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9DFAAF" w14:textId="77777777" w:rsidR="00EE59C2" w:rsidRPr="000322E4" w:rsidRDefault="00CA442F" w:rsidP="00CA442F">
      <w:pPr>
        <w:pStyle w:val="aff8"/>
      </w:pPr>
      <w:r w:rsidRPr="000322E4">
        <w:rPr>
          <w:noProof/>
          <w:lang w:eastAsia="ru-RU"/>
        </w:rPr>
        <mc:AlternateContent>
          <mc:Choice Requires="wps">
            <w:drawing>
              <wp:anchor distT="0" distB="0" distL="114300" distR="114300" simplePos="0" relativeHeight="251659264" behindDoc="1" locked="0" layoutInCell="1" allowOverlap="1" wp14:anchorId="6877B488" wp14:editId="5355C6CE">
                <wp:simplePos x="0" y="0"/>
                <wp:positionH relativeFrom="page">
                  <wp:posOffset>22225</wp:posOffset>
                </wp:positionH>
                <wp:positionV relativeFrom="paragraph">
                  <wp:posOffset>-705188</wp:posOffset>
                </wp:positionV>
                <wp:extent cx="7601585" cy="11021060"/>
                <wp:effectExtent l="0" t="0" r="0" b="8890"/>
                <wp:wrapNone/>
                <wp:docPr id="4"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01585" cy="11021060"/>
                        </a:xfrm>
                        <a:prstGeom prst="rect">
                          <a:avLst/>
                        </a:prstGeom>
                        <a:solidFill>
                          <a:srgbClr val="0B595D">
                            <a:alpha val="10000"/>
                          </a:srgbClr>
                        </a:solidFill>
                        <a:ln>
                          <a:noFill/>
                        </a:ln>
                      </wps:spPr>
                      <wps:style>
                        <a:lnRef idx="2">
                          <a:schemeClr val="accent1">
                            <a:shade val="50000"/>
                          </a:schemeClr>
                        </a:lnRef>
                        <a:fillRef idx="1">
                          <a:schemeClr val="accent1"/>
                        </a:fillRef>
                        <a:effectRef idx="0">
                          <a:schemeClr val="accent1"/>
                        </a:effectRef>
                        <a:fontRef idx="minor"/>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4F6F6EB" id="Прямоугольник 3" o:spid="_x0000_s1026" style="position:absolute;margin-left:1.75pt;margin-top:-55.55pt;width:598.55pt;height:867.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" fillcolor="#0b595d" stroked="f" strokeweight="1pt">
                <v:fill opacity="6682f"/>
                <v:path arrowok="t"/>
                <w10:wrap anchorx="page"/>
              </v:rect>
            </w:pict>
          </mc:Fallback>
        </mc:AlternateContent>
      </w:r>
      <w:r w:rsidR="00CC5156" w:rsidRPr="000322E4">
        <w:rPr>
          <w:noProof/>
          <w:lang w:eastAsia="ru-RU"/>
        </w:rPr>
        <mc:AlternateContent>
          <mc:Choice Requires="wps">
            <w:drawing>
              <wp:anchor distT="0" distB="0" distL="114300" distR="114300" simplePos="0" relativeHeight="251660288" behindDoc="1" locked="0" layoutInCell="1" allowOverlap="1" wp14:anchorId="1CB8C147" wp14:editId="76DB7E9B">
                <wp:simplePos x="0" y="0"/>
                <wp:positionH relativeFrom="column">
                  <wp:posOffset>-822960</wp:posOffset>
                </wp:positionH>
                <wp:positionV relativeFrom="paragraph">
                  <wp:posOffset>-491490</wp:posOffset>
                </wp:positionV>
                <wp:extent cx="7000875" cy="8448675"/>
                <wp:effectExtent l="0" t="0" r="9525" b="9525"/>
                <wp:wrapNone/>
                <wp:docPr id="2"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00875" cy="8448675"/>
                        </a:xfrm>
                        <a:prstGeom prst="rect">
                          <a:avLst/>
                        </a:prstGeom>
                        <a:solidFill>
                          <a:schemeClr val="bg1"/>
                        </a:solidFill>
                        <a:ln>
                          <a:noFill/>
                        </a:ln>
                      </wps:spPr>
                      <wps:style>
                        <a:lnRef idx="0">
                          <a:scrgbClr r="0" g="0" b="0"/>
                        </a:lnRef>
                        <a:fillRef idx="0">
                          <a:scrgbClr r="0" g="0" b="0"/>
                        </a:fillRef>
                        <a:effectRef idx="0">
                          <a:scrgbClr r="0" g="0" b="0"/>
                        </a:effectRef>
                        <a:fontRef idx="minor">
                          <a:schemeClr val="lt1"/>
                        </a:fontRef>
                      </wps:style>
                      <wps:txbx>
                        <w:txbxContent>
                          <w:p w14:paraId="2938D40B" w14:textId="77777777" w:rsidR="00F47A24" w:rsidRDefault="00F47A24" w:rsidP="00F8226D">
                            <w:pPr>
                              <w:jc w:val="center"/>
                            </w:pPr>
                            <w:r>
                              <w:t>\9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CB8C147" id="Прямоугольник 3" o:spid="_x0000_s1026" style="position:absolute;left:0;text-align:left;margin-left:-64.8pt;margin-top:-38.7pt;width:551.25pt;height:665.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" fillcolor="white [3212]" stroked="f">
                <v:textbox>
                  <w:txbxContent>
                    <w:p w14:paraId="2938D40B" w14:textId="77777777" w:rsidR="00F47A24" w:rsidRDefault="00F47A24" w:rsidP="00F8226D">
                      <w:pPr>
                        <w:jc w:val="center"/>
                      </w:pPr>
                      <w:r>
                        <w:t>\9</w:t>
                      </w:r>
                    </w:p>
                  </w:txbxContent>
                </v:textbox>
              </v:rect>
            </w:pict>
          </mc:Fallback>
        </mc:AlternateContent>
      </w:r>
    </w:p>
    <w:p w14:paraId="72A6C4F7" w14:textId="77777777" w:rsidR="00EE59C2" w:rsidRPr="000322E4" w:rsidRDefault="00EE59C2" w:rsidP="00CA442F">
      <w:pPr>
        <w:pStyle w:val="aff8"/>
      </w:pPr>
    </w:p>
    <w:p w14:paraId="02DF3D2F" w14:textId="77777777" w:rsidR="002145F1" w:rsidRPr="000322E4" w:rsidRDefault="002145F1" w:rsidP="00CA442F">
      <w:pPr>
        <w:spacing w:line="360" w:lineRule="auto"/>
        <w:jc w:val="both"/>
      </w:pPr>
    </w:p>
    <w:tbl>
      <w:tblPr>
        <w:tblStyle w:val="aff9"/>
        <w:tblpPr w:leftFromText="180" w:rightFromText="180" w:vertAnchor="page" w:horzAnchor="margin" w:tblpXSpec="right" w:tblpY="2391"/>
        <w:tblW w:w="9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839"/>
      </w:tblGrid>
      <w:tr w:rsidR="00CD01CE" w:rsidRPr="000322E4" w14:paraId="70F7BEBE" w14:textId="77777777" w:rsidTr="00CD01CE">
        <w:tc>
          <w:tcPr>
            <w:tcW w:w="9525" w:type="dxa"/>
            <w:gridSpan w:val="2"/>
          </w:tcPr>
          <w:p w14:paraId="493AD485" w14:textId="77777777" w:rsidR="00CD01CE" w:rsidRPr="000322E4" w:rsidRDefault="00CD01CE" w:rsidP="00CA442F">
            <w:pPr>
              <w:tabs>
                <w:tab w:val="left" w:pos="6135"/>
              </w:tabs>
              <w:spacing w:line="360" w:lineRule="auto"/>
              <w:jc w:val="both"/>
              <w:rPr>
                <w:sz w:val="28"/>
                <w:szCs w:val="28"/>
              </w:rPr>
            </w:pPr>
            <w:r w:rsidRPr="000322E4">
              <w:rPr>
                <w:color w:val="808080" w:themeColor="background1" w:themeShade="80"/>
              </w:rPr>
              <w:t xml:space="preserve">Клинические </w:t>
            </w:r>
            <w:r w:rsidRPr="000322E4">
              <w:rPr>
                <w:noProof/>
                <w:color w:val="767171" w:themeColor="background2" w:themeShade="80"/>
              </w:rPr>
              <w:t>рекомендации</w:t>
            </w:r>
          </w:p>
        </w:tc>
      </w:tr>
      <w:tr w:rsidR="00CD01CE" w:rsidRPr="000322E4" w14:paraId="37962056" w14:textId="77777777" w:rsidTr="00CD01CE">
        <w:trPr>
          <w:trHeight w:val="1907"/>
        </w:trPr>
        <w:tc>
          <w:tcPr>
            <w:tcW w:w="9525" w:type="dxa"/>
            <w:gridSpan w:val="2"/>
          </w:tcPr>
          <w:p w14:paraId="6B5D7A5A" w14:textId="77777777" w:rsidR="00CD01CE" w:rsidRPr="000322E4" w:rsidRDefault="00CD01CE" w:rsidP="00CA442F">
            <w:pPr>
              <w:tabs>
                <w:tab w:val="left" w:pos="6135"/>
              </w:tabs>
              <w:spacing w:line="360" w:lineRule="auto"/>
              <w:rPr>
                <w:b/>
                <w:color w:val="000000"/>
                <w:sz w:val="36"/>
              </w:rPr>
            </w:pPr>
            <w:r w:rsidRPr="000322E4">
              <w:rPr>
                <w:b/>
                <w:color w:val="000000"/>
                <w:sz w:val="36"/>
              </w:rPr>
              <w:t xml:space="preserve">Агрессивные </w:t>
            </w:r>
            <w:r w:rsidRPr="0044108E">
              <w:rPr>
                <w:b/>
                <w:color w:val="000000"/>
                <w:sz w:val="36"/>
              </w:rPr>
              <w:t>нефолликулярные</w:t>
            </w:r>
            <w:r w:rsidRPr="000322E4">
              <w:rPr>
                <w:b/>
                <w:color w:val="000000"/>
                <w:sz w:val="36"/>
              </w:rPr>
              <w:t xml:space="preserve"> лимфомы – диффузная крупноклеточная В-клеточная лимфома, первичная медиастинальная В-клеточная лимфома, лимфома Беркитта</w:t>
            </w:r>
          </w:p>
          <w:p w14:paraId="7C2BCE4B" w14:textId="77777777" w:rsidR="00CD01CE" w:rsidRPr="000322E4" w:rsidRDefault="00CD01CE" w:rsidP="00CA442F">
            <w:pPr>
              <w:tabs>
                <w:tab w:val="left" w:pos="6135"/>
              </w:tabs>
              <w:spacing w:line="360" w:lineRule="auto"/>
              <w:jc w:val="both"/>
              <w:rPr>
                <w:sz w:val="28"/>
                <w:szCs w:val="28"/>
              </w:rPr>
            </w:pPr>
          </w:p>
        </w:tc>
      </w:tr>
      <w:tr w:rsidR="00CD01CE" w:rsidRPr="000322E4" w14:paraId="475D31C4" w14:textId="77777777" w:rsidTr="00CD01CE">
        <w:trPr>
          <w:trHeight w:val="815"/>
        </w:trPr>
        <w:tc>
          <w:tcPr>
            <w:tcW w:w="3686" w:type="dxa"/>
          </w:tcPr>
          <w:p w14:paraId="15635E48" w14:textId="77777777" w:rsidR="00CD01CE" w:rsidRPr="000322E4" w:rsidRDefault="00CD01CE" w:rsidP="00CA442F">
            <w:pPr>
              <w:tabs>
                <w:tab w:val="left" w:pos="6135"/>
              </w:tabs>
              <w:spacing w:line="360" w:lineRule="auto"/>
              <w:rPr>
                <w:szCs w:val="28"/>
              </w:rPr>
            </w:pPr>
            <w:r w:rsidRPr="000322E4">
              <w:rPr>
                <w:color w:val="808080" w:themeColor="background1" w:themeShade="80"/>
                <w:szCs w:val="28"/>
              </w:rPr>
              <w:t xml:space="preserve">Кодирование по Международной статистической классификации болезней и проблем, связанных со здоровьем: </w:t>
            </w:r>
          </w:p>
          <w:p w14:paraId="2024BE3C" w14:textId="77777777" w:rsidR="00CD01CE" w:rsidRPr="000322E4" w:rsidRDefault="00CD01CE" w:rsidP="00CA442F">
            <w:pPr>
              <w:pStyle w:val="aff4"/>
              <w:spacing w:line="360" w:lineRule="auto"/>
              <w:ind w:firstLine="0"/>
              <w:jc w:val="left"/>
              <w:rPr>
                <w:sz w:val="24"/>
                <w:szCs w:val="28"/>
              </w:rPr>
            </w:pPr>
          </w:p>
        </w:tc>
        <w:tc>
          <w:tcPr>
            <w:tcW w:w="5839" w:type="dxa"/>
          </w:tcPr>
          <w:p w14:paraId="3CA2C19D" w14:textId="77777777" w:rsidR="00CD01CE" w:rsidRPr="000322E4" w:rsidRDefault="00CD01CE" w:rsidP="00CA442F">
            <w:pPr>
              <w:tabs>
                <w:tab w:val="left" w:pos="6135"/>
              </w:tabs>
              <w:spacing w:line="360" w:lineRule="auto"/>
              <w:rPr>
                <w:szCs w:val="28"/>
              </w:rPr>
            </w:pPr>
          </w:p>
          <w:p w14:paraId="4AEA7841" w14:textId="77777777" w:rsidR="00CD01CE" w:rsidRPr="000322E4" w:rsidRDefault="00CD01CE" w:rsidP="00CA442F">
            <w:pPr>
              <w:tabs>
                <w:tab w:val="left" w:pos="6135"/>
              </w:tabs>
              <w:spacing w:line="360" w:lineRule="auto"/>
              <w:rPr>
                <w:szCs w:val="28"/>
              </w:rPr>
            </w:pPr>
          </w:p>
          <w:p w14:paraId="201435C0" w14:textId="77777777" w:rsidR="00CD01CE" w:rsidRPr="000322E4" w:rsidRDefault="00CD01CE" w:rsidP="00CA442F">
            <w:pPr>
              <w:tabs>
                <w:tab w:val="left" w:pos="6135"/>
              </w:tabs>
              <w:spacing w:line="360" w:lineRule="auto"/>
              <w:rPr>
                <w:szCs w:val="28"/>
              </w:rPr>
            </w:pPr>
          </w:p>
          <w:p w14:paraId="425EBBF3" w14:textId="77777777" w:rsidR="00CD01CE" w:rsidRPr="000322E4" w:rsidRDefault="00CD01CE" w:rsidP="00CA442F">
            <w:pPr>
              <w:tabs>
                <w:tab w:val="left" w:pos="6135"/>
              </w:tabs>
              <w:spacing w:line="360" w:lineRule="auto"/>
              <w:rPr>
                <w:b/>
                <w:bCs/>
                <w:szCs w:val="28"/>
              </w:rPr>
            </w:pPr>
            <w:r w:rsidRPr="000322E4">
              <w:rPr>
                <w:rStyle w:val="pop-slug-vol"/>
              </w:rPr>
              <w:t>С83.3, С83.7, С85.2, С91.8</w:t>
            </w:r>
          </w:p>
        </w:tc>
      </w:tr>
      <w:tr w:rsidR="00CD01CE" w:rsidRPr="000322E4" w14:paraId="594B0789" w14:textId="77777777" w:rsidTr="00CD01CE">
        <w:trPr>
          <w:trHeight w:val="815"/>
        </w:trPr>
        <w:tc>
          <w:tcPr>
            <w:tcW w:w="3686" w:type="dxa"/>
          </w:tcPr>
          <w:p w14:paraId="5D4B19E6" w14:textId="77777777" w:rsidR="00CD01CE" w:rsidRPr="000322E4" w:rsidRDefault="00CD01CE" w:rsidP="00CA442F">
            <w:pPr>
              <w:tabs>
                <w:tab w:val="left" w:pos="6135"/>
              </w:tabs>
              <w:spacing w:line="360" w:lineRule="auto"/>
              <w:jc w:val="both"/>
              <w:rPr>
                <w:color w:val="808080" w:themeColor="background1" w:themeShade="80"/>
                <w:szCs w:val="28"/>
              </w:rPr>
            </w:pPr>
            <w:r w:rsidRPr="000322E4">
              <w:rPr>
                <w:rStyle w:val="pop-slug-vol"/>
                <w:color w:val="767171" w:themeColor="background2" w:themeShade="80"/>
                <w:szCs w:val="28"/>
              </w:rPr>
              <w:t>Возрастная группа:</w:t>
            </w:r>
            <w:r w:rsidRPr="000322E4">
              <w:rPr>
                <w:rStyle w:val="pop-slug-vol"/>
                <w:b/>
                <w:color w:val="767171" w:themeColor="background2" w:themeShade="80"/>
                <w:szCs w:val="28"/>
              </w:rPr>
              <w:t xml:space="preserve"> </w:t>
            </w:r>
            <w:r w:rsidRPr="000322E4">
              <w:rPr>
                <w:szCs w:val="28"/>
              </w:rPr>
              <w:t xml:space="preserve"> </w:t>
            </w:r>
          </w:p>
        </w:tc>
        <w:tc>
          <w:tcPr>
            <w:tcW w:w="5839" w:type="dxa"/>
          </w:tcPr>
          <w:p w14:paraId="252D6366" w14:textId="77777777" w:rsidR="00CD01CE" w:rsidRPr="000322E4" w:rsidRDefault="00CD01CE" w:rsidP="00CA442F">
            <w:pPr>
              <w:tabs>
                <w:tab w:val="left" w:pos="6135"/>
              </w:tabs>
              <w:spacing w:line="360" w:lineRule="auto"/>
              <w:jc w:val="both"/>
              <w:rPr>
                <w:color w:val="808080" w:themeColor="background1" w:themeShade="80"/>
                <w:szCs w:val="28"/>
              </w:rPr>
            </w:pPr>
            <w:r w:rsidRPr="000322E4">
              <w:rPr>
                <w:b/>
                <w:bCs/>
                <w:szCs w:val="28"/>
              </w:rPr>
              <w:t>Взрослые, дети</w:t>
            </w:r>
          </w:p>
        </w:tc>
      </w:tr>
      <w:tr w:rsidR="00CD01CE" w:rsidRPr="000322E4" w14:paraId="2C95E366" w14:textId="77777777" w:rsidTr="00CD01CE">
        <w:trPr>
          <w:trHeight w:val="815"/>
        </w:trPr>
        <w:tc>
          <w:tcPr>
            <w:tcW w:w="3686" w:type="dxa"/>
          </w:tcPr>
          <w:p w14:paraId="2E6CF78D" w14:textId="77777777" w:rsidR="00CD01CE" w:rsidRPr="000322E4" w:rsidRDefault="00CD01CE" w:rsidP="00CA442F">
            <w:pPr>
              <w:tabs>
                <w:tab w:val="left" w:pos="6135"/>
              </w:tabs>
              <w:spacing w:line="360" w:lineRule="auto"/>
              <w:jc w:val="both"/>
              <w:rPr>
                <w:color w:val="808080" w:themeColor="background1" w:themeShade="80"/>
                <w:szCs w:val="28"/>
              </w:rPr>
            </w:pPr>
            <w:r w:rsidRPr="000322E4">
              <w:rPr>
                <w:color w:val="808080" w:themeColor="background1" w:themeShade="80"/>
              </w:rPr>
              <w:t>Год утверждения:</w:t>
            </w:r>
          </w:p>
        </w:tc>
        <w:tc>
          <w:tcPr>
            <w:tcW w:w="5839" w:type="dxa"/>
          </w:tcPr>
          <w:p w14:paraId="25619B77" w14:textId="19AC872A" w:rsidR="00CD01CE" w:rsidRPr="000322E4" w:rsidRDefault="00CD01CE" w:rsidP="00CA442F">
            <w:pPr>
              <w:tabs>
                <w:tab w:val="left" w:pos="6135"/>
              </w:tabs>
              <w:spacing w:line="360" w:lineRule="auto"/>
              <w:jc w:val="both"/>
              <w:rPr>
                <w:b/>
              </w:rPr>
            </w:pPr>
          </w:p>
        </w:tc>
      </w:tr>
      <w:tr w:rsidR="00CD01CE" w:rsidRPr="000322E4" w14:paraId="23AF11EF" w14:textId="77777777" w:rsidTr="00CD01CE">
        <w:tc>
          <w:tcPr>
            <w:tcW w:w="9525" w:type="dxa"/>
            <w:gridSpan w:val="2"/>
          </w:tcPr>
          <w:p w14:paraId="0D417841" w14:textId="77777777" w:rsidR="00CD01CE" w:rsidRPr="000322E4" w:rsidRDefault="00CD01CE" w:rsidP="00CA442F">
            <w:pPr>
              <w:tabs>
                <w:tab w:val="left" w:pos="6135"/>
              </w:tabs>
              <w:spacing w:line="360" w:lineRule="auto"/>
              <w:jc w:val="both"/>
              <w:rPr>
                <w:color w:val="FF0000"/>
                <w:sz w:val="20"/>
                <w:szCs w:val="20"/>
              </w:rPr>
            </w:pPr>
            <w:r w:rsidRPr="000322E4">
              <w:rPr>
                <w:color w:val="808080" w:themeColor="background1" w:themeShade="80"/>
              </w:rPr>
              <w:t>Разработчик клинической рекомендации:</w:t>
            </w:r>
            <w:r w:rsidRPr="000322E4">
              <w:rPr>
                <w:color w:val="FF0000"/>
                <w:sz w:val="20"/>
                <w:szCs w:val="20"/>
              </w:rPr>
              <w:t xml:space="preserve"> </w:t>
            </w:r>
          </w:p>
        </w:tc>
      </w:tr>
      <w:tr w:rsidR="00CD01CE" w:rsidRPr="000322E4" w14:paraId="1ED3BA39" w14:textId="77777777" w:rsidTr="00CD01CE">
        <w:trPr>
          <w:trHeight w:val="4170"/>
        </w:trPr>
        <w:tc>
          <w:tcPr>
            <w:tcW w:w="9525" w:type="dxa"/>
            <w:gridSpan w:val="2"/>
          </w:tcPr>
          <w:p w14:paraId="23967A08" w14:textId="77777777" w:rsidR="00CD01CE" w:rsidRPr="000322E4" w:rsidRDefault="00CD01CE" w:rsidP="00CA442F">
            <w:pPr>
              <w:pStyle w:val="aff8"/>
              <w:numPr>
                <w:ilvl w:val="0"/>
                <w:numId w:val="2"/>
              </w:numPr>
            </w:pPr>
            <w:r w:rsidRPr="000322E4">
              <w:t>Российское общество онкогематологов</w:t>
            </w:r>
          </w:p>
          <w:p w14:paraId="7B5ADD26" w14:textId="77777777" w:rsidR="00D625D4" w:rsidRPr="00D625D4" w:rsidRDefault="001532E4" w:rsidP="00D625D4">
            <w:pPr>
              <w:pStyle w:val="aff8"/>
              <w:numPr>
                <w:ilvl w:val="0"/>
                <w:numId w:val="2"/>
              </w:numPr>
              <w:rPr>
                <w:b/>
                <w:color w:val="000000" w:themeColor="text1"/>
                <w:sz w:val="28"/>
              </w:rPr>
            </w:pPr>
            <w:r w:rsidRPr="00D625D4">
              <w:rPr>
                <w:color w:val="000000" w:themeColor="text1"/>
              </w:rPr>
              <w:t>Ассоциация содействия развитию гематологии и трансплантации костного мозга «</w:t>
            </w:r>
            <w:r w:rsidRPr="00D625D4">
              <w:rPr>
                <w:bCs/>
                <w:color w:val="000000" w:themeColor="text1"/>
              </w:rPr>
              <w:t>Национальное гематологическое общество»</w:t>
            </w:r>
            <w:r w:rsidR="00D625D4" w:rsidRPr="00D625D4">
              <w:rPr>
                <w:color w:val="000000" w:themeColor="text1"/>
              </w:rPr>
              <w:t xml:space="preserve"> </w:t>
            </w:r>
          </w:p>
          <w:p w14:paraId="5ED458F9" w14:textId="3BF74BD3" w:rsidR="00CD01CE" w:rsidRPr="00D625D4" w:rsidRDefault="00D625D4" w:rsidP="00D625D4">
            <w:pPr>
              <w:pStyle w:val="aff8"/>
              <w:numPr>
                <w:ilvl w:val="0"/>
                <w:numId w:val="2"/>
              </w:numPr>
              <w:rPr>
                <w:b/>
                <w:sz w:val="28"/>
              </w:rPr>
            </w:pPr>
            <w:r w:rsidRPr="000322E4">
              <w:t>Ассоциация онкологов России</w:t>
            </w:r>
          </w:p>
          <w:p w14:paraId="13664105" w14:textId="77777777" w:rsidR="00CD01CE" w:rsidRPr="000322E4" w:rsidRDefault="00CD01CE" w:rsidP="00CA442F">
            <w:pPr>
              <w:pStyle w:val="aff8"/>
              <w:numPr>
                <w:ilvl w:val="0"/>
                <w:numId w:val="2"/>
              </w:numPr>
              <w:rPr>
                <w:b/>
                <w:sz w:val="28"/>
              </w:rPr>
            </w:pPr>
            <w:r w:rsidRPr="000322E4">
              <w:t>Национальное общество детских гематологов и онкологов</w:t>
            </w:r>
          </w:p>
          <w:p w14:paraId="54D91A42" w14:textId="77777777" w:rsidR="00CD01CE" w:rsidRPr="000322E4" w:rsidRDefault="00CD01CE" w:rsidP="00CA442F">
            <w:pPr>
              <w:pStyle w:val="aff8"/>
              <w:rPr>
                <w:b/>
                <w:sz w:val="28"/>
              </w:rPr>
            </w:pPr>
          </w:p>
          <w:p w14:paraId="27D12DB8" w14:textId="77777777" w:rsidR="00CD01CE" w:rsidRPr="000322E4" w:rsidRDefault="00CD01CE" w:rsidP="00CA442F">
            <w:pPr>
              <w:pStyle w:val="aff8"/>
              <w:ind w:firstLine="0"/>
              <w:rPr>
                <w:b/>
                <w:sz w:val="28"/>
              </w:rPr>
            </w:pPr>
          </w:p>
        </w:tc>
      </w:tr>
    </w:tbl>
    <w:p w14:paraId="3B9BD009" w14:textId="77777777" w:rsidR="002145F1" w:rsidRPr="000322E4" w:rsidRDefault="002145F1" w:rsidP="00CA442F">
      <w:pPr>
        <w:spacing w:line="360" w:lineRule="auto"/>
        <w:jc w:val="both"/>
      </w:pPr>
    </w:p>
    <w:p w14:paraId="6388AD01" w14:textId="77777777" w:rsidR="002145F1" w:rsidRPr="000322E4" w:rsidRDefault="002145F1" w:rsidP="00CA442F">
      <w:pPr>
        <w:spacing w:line="360" w:lineRule="auto"/>
        <w:jc w:val="both"/>
      </w:pPr>
    </w:p>
    <w:p w14:paraId="0D61E100" w14:textId="77777777" w:rsidR="002145F1" w:rsidRPr="000322E4" w:rsidRDefault="002145F1" w:rsidP="00CA442F">
      <w:pPr>
        <w:spacing w:line="360" w:lineRule="auto"/>
        <w:jc w:val="both"/>
      </w:pPr>
    </w:p>
    <w:bookmarkStart w:id="0" w:name="_Toc492379891" w:displacedByCustomXml="next"/>
    <w:sdt>
      <w:sdtPr>
        <w:rPr>
          <w:rFonts w:eastAsia="Times New Roman" w:cstheme="minorBidi"/>
          <w:b w:val="0"/>
          <w:szCs w:val="22"/>
          <w:u w:val="none"/>
          <w:lang w:eastAsia="ru-RU"/>
        </w:rPr>
        <w:id w:val="-606890957"/>
        <w:docPartObj>
          <w:docPartGallery w:val="Table of Contents"/>
          <w:docPartUnique/>
        </w:docPartObj>
      </w:sdtPr>
      <w:sdtEndPr>
        <w:rPr>
          <w:rFonts w:cs="Times New Roman"/>
          <w:bCs/>
          <w:szCs w:val="24"/>
        </w:rPr>
      </w:sdtEndPr>
      <w:sdtContent>
        <w:p w14:paraId="7F01641C" w14:textId="77777777" w:rsidR="00094ED6" w:rsidRPr="000322E4" w:rsidRDefault="00094ED6" w:rsidP="00CA442F">
          <w:pPr>
            <w:pStyle w:val="aff"/>
            <w:spacing w:before="0" w:line="360" w:lineRule="auto"/>
            <w:rPr>
              <w:rFonts w:cstheme="minorBidi"/>
              <w:b w:val="0"/>
              <w:szCs w:val="22"/>
              <w:u w:val="none"/>
            </w:rPr>
          </w:pPr>
        </w:p>
        <w:p w14:paraId="736A7F54" w14:textId="77777777" w:rsidR="00172112" w:rsidRPr="000322E4" w:rsidRDefault="00172112" w:rsidP="00CA442F">
          <w:pPr>
            <w:pStyle w:val="afff2"/>
          </w:pPr>
          <w:bookmarkStart w:id="1" w:name="_Toc96601224"/>
          <w:r w:rsidRPr="000322E4">
            <w:lastRenderedPageBreak/>
            <w:t>Оглавление</w:t>
          </w:r>
          <w:bookmarkEnd w:id="0"/>
          <w:bookmarkEnd w:id="1"/>
        </w:p>
        <w:p w14:paraId="7F2BFAF0" w14:textId="5D036483" w:rsidR="00CE6A32" w:rsidRDefault="00172112">
          <w:pPr>
            <w:pStyle w:val="1a"/>
            <w:rPr>
              <w:rFonts w:asciiTheme="minorHAnsi" w:eastAsiaTheme="minorEastAsia" w:hAnsiTheme="minorHAnsi"/>
              <w:noProof/>
              <w:szCs w:val="24"/>
              <w:lang w:eastAsia="ru-RU"/>
            </w:rPr>
          </w:pPr>
          <w:r w:rsidRPr="000322E4">
            <w:rPr>
              <w:rFonts w:cs="Times New Roman"/>
              <w:szCs w:val="24"/>
            </w:rPr>
            <w:fldChar w:fldCharType="begin"/>
          </w:r>
          <w:r w:rsidRPr="000322E4">
            <w:rPr>
              <w:rFonts w:cs="Times New Roman"/>
              <w:szCs w:val="24"/>
            </w:rPr>
            <w:instrText xml:space="preserve"> TOC \o "1-3" \h \z \u </w:instrText>
          </w:r>
          <w:r w:rsidRPr="000322E4">
            <w:rPr>
              <w:rFonts w:cs="Times New Roman"/>
              <w:szCs w:val="24"/>
            </w:rPr>
            <w:fldChar w:fldCharType="separate"/>
          </w:r>
          <w:hyperlink w:anchor="_Toc96601224" w:history="1">
            <w:r w:rsidR="00CE6A32" w:rsidRPr="00370CD3">
              <w:rPr>
                <w:rStyle w:val="affd"/>
                <w:noProof/>
              </w:rPr>
              <w:t>Оглавление</w:t>
            </w:r>
            <w:r w:rsidR="00CE6A32">
              <w:rPr>
                <w:noProof/>
                <w:webHidden/>
              </w:rPr>
              <w:tab/>
            </w:r>
            <w:r w:rsidR="00CE6A32">
              <w:rPr>
                <w:noProof/>
                <w:webHidden/>
              </w:rPr>
              <w:fldChar w:fldCharType="begin"/>
            </w:r>
            <w:r w:rsidR="00CE6A32">
              <w:rPr>
                <w:noProof/>
                <w:webHidden/>
              </w:rPr>
              <w:instrText xml:space="preserve"> PAGEREF _Toc96601224 \h </w:instrText>
            </w:r>
            <w:r w:rsidR="00CE6A32">
              <w:rPr>
                <w:noProof/>
                <w:webHidden/>
              </w:rPr>
            </w:r>
            <w:r w:rsidR="00CE6A32">
              <w:rPr>
                <w:noProof/>
                <w:webHidden/>
              </w:rPr>
              <w:fldChar w:fldCharType="separate"/>
            </w:r>
            <w:r w:rsidR="00D433D9">
              <w:rPr>
                <w:noProof/>
                <w:webHidden/>
              </w:rPr>
              <w:t>2</w:t>
            </w:r>
            <w:r w:rsidR="00CE6A32">
              <w:rPr>
                <w:noProof/>
                <w:webHidden/>
              </w:rPr>
              <w:fldChar w:fldCharType="end"/>
            </w:r>
          </w:hyperlink>
        </w:p>
        <w:p w14:paraId="5546C425" w14:textId="5527EE17" w:rsidR="00CE6A32" w:rsidRDefault="00712FBD">
          <w:pPr>
            <w:pStyle w:val="1a"/>
            <w:rPr>
              <w:rFonts w:asciiTheme="minorHAnsi" w:eastAsiaTheme="minorEastAsia" w:hAnsiTheme="minorHAnsi"/>
              <w:noProof/>
              <w:szCs w:val="24"/>
              <w:lang w:eastAsia="ru-RU"/>
            </w:rPr>
          </w:pPr>
          <w:hyperlink w:anchor="_Toc96601225" w:history="1">
            <w:r w:rsidR="00CE6A32" w:rsidRPr="00370CD3">
              <w:rPr>
                <w:rStyle w:val="affd"/>
                <w:noProof/>
              </w:rPr>
              <w:t>Список сокращений</w:t>
            </w:r>
            <w:r w:rsidR="00CE6A32">
              <w:rPr>
                <w:noProof/>
                <w:webHidden/>
              </w:rPr>
              <w:tab/>
            </w:r>
            <w:r w:rsidR="00CE6A32">
              <w:rPr>
                <w:noProof/>
                <w:webHidden/>
              </w:rPr>
              <w:fldChar w:fldCharType="begin"/>
            </w:r>
            <w:r w:rsidR="00CE6A32">
              <w:rPr>
                <w:noProof/>
                <w:webHidden/>
              </w:rPr>
              <w:instrText xml:space="preserve"> PAGEREF _Toc96601225 \h </w:instrText>
            </w:r>
            <w:r w:rsidR="00CE6A32">
              <w:rPr>
                <w:noProof/>
                <w:webHidden/>
              </w:rPr>
            </w:r>
            <w:r w:rsidR="00CE6A32">
              <w:rPr>
                <w:noProof/>
                <w:webHidden/>
              </w:rPr>
              <w:fldChar w:fldCharType="separate"/>
            </w:r>
            <w:r w:rsidR="00D433D9">
              <w:rPr>
                <w:noProof/>
                <w:webHidden/>
              </w:rPr>
              <w:t>5</w:t>
            </w:r>
            <w:r w:rsidR="00CE6A32">
              <w:rPr>
                <w:noProof/>
                <w:webHidden/>
              </w:rPr>
              <w:fldChar w:fldCharType="end"/>
            </w:r>
          </w:hyperlink>
        </w:p>
        <w:p w14:paraId="16DF9C21" w14:textId="0A03BAE6" w:rsidR="00CE6A32" w:rsidRDefault="00712FBD">
          <w:pPr>
            <w:pStyle w:val="1a"/>
            <w:rPr>
              <w:rFonts w:asciiTheme="minorHAnsi" w:eastAsiaTheme="minorEastAsia" w:hAnsiTheme="minorHAnsi"/>
              <w:noProof/>
              <w:szCs w:val="24"/>
              <w:lang w:eastAsia="ru-RU"/>
            </w:rPr>
          </w:pPr>
          <w:hyperlink w:anchor="_Toc96601226" w:history="1">
            <w:r w:rsidR="00CE6A32" w:rsidRPr="00370CD3">
              <w:rPr>
                <w:rStyle w:val="affd"/>
                <w:noProof/>
              </w:rPr>
              <w:t>Термины и определения</w:t>
            </w:r>
            <w:r w:rsidR="00CE6A32">
              <w:rPr>
                <w:noProof/>
                <w:webHidden/>
              </w:rPr>
              <w:tab/>
            </w:r>
            <w:r w:rsidR="00CE6A32">
              <w:rPr>
                <w:noProof/>
                <w:webHidden/>
              </w:rPr>
              <w:fldChar w:fldCharType="begin"/>
            </w:r>
            <w:r w:rsidR="00CE6A32">
              <w:rPr>
                <w:noProof/>
                <w:webHidden/>
              </w:rPr>
              <w:instrText xml:space="preserve"> PAGEREF _Toc96601226 \h </w:instrText>
            </w:r>
            <w:r w:rsidR="00CE6A32">
              <w:rPr>
                <w:noProof/>
                <w:webHidden/>
              </w:rPr>
            </w:r>
            <w:r w:rsidR="00CE6A32">
              <w:rPr>
                <w:noProof/>
                <w:webHidden/>
              </w:rPr>
              <w:fldChar w:fldCharType="separate"/>
            </w:r>
            <w:r w:rsidR="00D433D9">
              <w:rPr>
                <w:noProof/>
                <w:webHidden/>
              </w:rPr>
              <w:t>7</w:t>
            </w:r>
            <w:r w:rsidR="00CE6A32">
              <w:rPr>
                <w:noProof/>
                <w:webHidden/>
              </w:rPr>
              <w:fldChar w:fldCharType="end"/>
            </w:r>
          </w:hyperlink>
        </w:p>
        <w:p w14:paraId="1B756BEB" w14:textId="4810E2F2" w:rsidR="00CE6A32" w:rsidRDefault="00712FBD">
          <w:pPr>
            <w:pStyle w:val="1a"/>
            <w:rPr>
              <w:rFonts w:asciiTheme="minorHAnsi" w:eastAsiaTheme="minorEastAsia" w:hAnsiTheme="minorHAnsi"/>
              <w:noProof/>
              <w:szCs w:val="24"/>
              <w:lang w:eastAsia="ru-RU"/>
            </w:rPr>
          </w:pPr>
          <w:hyperlink w:anchor="_Toc96601227" w:history="1">
            <w:r w:rsidR="00CE6A32" w:rsidRPr="00370CD3">
              <w:rPr>
                <w:rStyle w:val="affd"/>
                <w:noProof/>
              </w:rPr>
              <w:t>1. Краткая информация по заболеванию или состоянию (группе заболеваний или состояний)</w:t>
            </w:r>
            <w:r w:rsidR="00CE6A32">
              <w:rPr>
                <w:noProof/>
                <w:webHidden/>
              </w:rPr>
              <w:tab/>
            </w:r>
            <w:r w:rsidR="00CE6A32">
              <w:rPr>
                <w:noProof/>
                <w:webHidden/>
              </w:rPr>
              <w:fldChar w:fldCharType="begin"/>
            </w:r>
            <w:r w:rsidR="00CE6A32">
              <w:rPr>
                <w:noProof/>
                <w:webHidden/>
              </w:rPr>
              <w:instrText xml:space="preserve"> PAGEREF _Toc96601227 \h </w:instrText>
            </w:r>
            <w:r w:rsidR="00CE6A32">
              <w:rPr>
                <w:noProof/>
                <w:webHidden/>
              </w:rPr>
            </w:r>
            <w:r w:rsidR="00CE6A32">
              <w:rPr>
                <w:noProof/>
                <w:webHidden/>
              </w:rPr>
              <w:fldChar w:fldCharType="separate"/>
            </w:r>
            <w:r w:rsidR="00D433D9">
              <w:rPr>
                <w:noProof/>
                <w:webHidden/>
              </w:rPr>
              <w:t>8</w:t>
            </w:r>
            <w:r w:rsidR="00CE6A32">
              <w:rPr>
                <w:noProof/>
                <w:webHidden/>
              </w:rPr>
              <w:fldChar w:fldCharType="end"/>
            </w:r>
          </w:hyperlink>
        </w:p>
        <w:p w14:paraId="02B9C641" w14:textId="260A8BFB" w:rsidR="00CE6A32" w:rsidRDefault="00712FBD">
          <w:pPr>
            <w:pStyle w:val="21"/>
            <w:rPr>
              <w:rFonts w:asciiTheme="minorHAnsi" w:eastAsiaTheme="minorEastAsia" w:hAnsiTheme="minorHAnsi" w:cstheme="minorBidi"/>
              <w:noProof/>
              <w:sz w:val="24"/>
              <w:szCs w:val="24"/>
              <w:lang w:eastAsia="ru-RU"/>
            </w:rPr>
          </w:pPr>
          <w:hyperlink w:anchor="_Toc96601228" w:history="1">
            <w:r w:rsidR="00CE6A32" w:rsidRPr="00370CD3">
              <w:rPr>
                <w:rStyle w:val="affd"/>
                <w:noProof/>
              </w:rPr>
              <w:t xml:space="preserve">1.1 Определение </w:t>
            </w:r>
            <w:r w:rsidR="00CE6A32" w:rsidRPr="00370CD3">
              <w:rPr>
                <w:rStyle w:val="affd"/>
                <w:noProof/>
                <w:shd w:val="clear" w:color="auto" w:fill="FFFFFF"/>
              </w:rPr>
              <w:t>заболевания или состояния (группы заболеваний или состояний)</w:t>
            </w:r>
            <w:r w:rsidR="00CE6A32">
              <w:rPr>
                <w:noProof/>
                <w:webHidden/>
              </w:rPr>
              <w:tab/>
            </w:r>
            <w:r w:rsidR="00CE6A32">
              <w:rPr>
                <w:noProof/>
                <w:webHidden/>
              </w:rPr>
              <w:fldChar w:fldCharType="begin"/>
            </w:r>
            <w:r w:rsidR="00CE6A32">
              <w:rPr>
                <w:noProof/>
                <w:webHidden/>
              </w:rPr>
              <w:instrText xml:space="preserve"> PAGEREF _Toc96601228 \h </w:instrText>
            </w:r>
            <w:r w:rsidR="00CE6A32">
              <w:rPr>
                <w:noProof/>
                <w:webHidden/>
              </w:rPr>
            </w:r>
            <w:r w:rsidR="00CE6A32">
              <w:rPr>
                <w:noProof/>
                <w:webHidden/>
              </w:rPr>
              <w:fldChar w:fldCharType="separate"/>
            </w:r>
            <w:r w:rsidR="00D433D9">
              <w:rPr>
                <w:noProof/>
                <w:webHidden/>
              </w:rPr>
              <w:t>8</w:t>
            </w:r>
            <w:r w:rsidR="00CE6A32">
              <w:rPr>
                <w:noProof/>
                <w:webHidden/>
              </w:rPr>
              <w:fldChar w:fldCharType="end"/>
            </w:r>
          </w:hyperlink>
        </w:p>
        <w:p w14:paraId="2BF761B7" w14:textId="75DC2D0F" w:rsidR="00CE6A32" w:rsidRDefault="00712FBD">
          <w:pPr>
            <w:pStyle w:val="21"/>
            <w:rPr>
              <w:rFonts w:asciiTheme="minorHAnsi" w:eastAsiaTheme="minorEastAsia" w:hAnsiTheme="minorHAnsi" w:cstheme="minorBidi"/>
              <w:noProof/>
              <w:sz w:val="24"/>
              <w:szCs w:val="24"/>
              <w:lang w:eastAsia="ru-RU"/>
            </w:rPr>
          </w:pPr>
          <w:hyperlink w:anchor="_Toc96601229" w:history="1">
            <w:r w:rsidR="00CE6A32" w:rsidRPr="00370CD3">
              <w:rPr>
                <w:rStyle w:val="affd"/>
                <w:noProof/>
              </w:rPr>
              <w:t xml:space="preserve">1.2 Этиология и патогенез </w:t>
            </w:r>
            <w:r w:rsidR="00CE6A32" w:rsidRPr="00370CD3">
              <w:rPr>
                <w:rStyle w:val="affd"/>
                <w:noProof/>
                <w:shd w:val="clear" w:color="auto" w:fill="FFFFFF"/>
              </w:rPr>
              <w:t>заболевания или состояния (группы заболеваний или состояний)</w:t>
            </w:r>
            <w:r w:rsidR="00CE6A32">
              <w:rPr>
                <w:noProof/>
                <w:webHidden/>
              </w:rPr>
              <w:tab/>
            </w:r>
            <w:r w:rsidR="00CE6A32">
              <w:rPr>
                <w:noProof/>
                <w:webHidden/>
              </w:rPr>
              <w:fldChar w:fldCharType="begin"/>
            </w:r>
            <w:r w:rsidR="00CE6A32">
              <w:rPr>
                <w:noProof/>
                <w:webHidden/>
              </w:rPr>
              <w:instrText xml:space="preserve"> PAGEREF _Toc96601229 \h </w:instrText>
            </w:r>
            <w:r w:rsidR="00CE6A32">
              <w:rPr>
                <w:noProof/>
                <w:webHidden/>
              </w:rPr>
            </w:r>
            <w:r w:rsidR="00CE6A32">
              <w:rPr>
                <w:noProof/>
                <w:webHidden/>
              </w:rPr>
              <w:fldChar w:fldCharType="separate"/>
            </w:r>
            <w:r w:rsidR="00D433D9">
              <w:rPr>
                <w:noProof/>
                <w:webHidden/>
              </w:rPr>
              <w:t>8</w:t>
            </w:r>
            <w:r w:rsidR="00CE6A32">
              <w:rPr>
                <w:noProof/>
                <w:webHidden/>
              </w:rPr>
              <w:fldChar w:fldCharType="end"/>
            </w:r>
          </w:hyperlink>
        </w:p>
        <w:p w14:paraId="4C6C6281" w14:textId="620CA267" w:rsidR="00CE6A32" w:rsidRDefault="00712FBD">
          <w:pPr>
            <w:pStyle w:val="21"/>
            <w:rPr>
              <w:rFonts w:asciiTheme="minorHAnsi" w:eastAsiaTheme="minorEastAsia" w:hAnsiTheme="minorHAnsi" w:cstheme="minorBidi"/>
              <w:noProof/>
              <w:sz w:val="24"/>
              <w:szCs w:val="24"/>
              <w:lang w:eastAsia="ru-RU"/>
            </w:rPr>
          </w:pPr>
          <w:hyperlink w:anchor="_Toc96601230" w:history="1">
            <w:r w:rsidR="00CE6A32" w:rsidRPr="00370CD3">
              <w:rPr>
                <w:rStyle w:val="affd"/>
                <w:noProof/>
              </w:rPr>
              <w:t xml:space="preserve">1.3 Эпидемиология </w:t>
            </w:r>
            <w:r w:rsidR="00CE6A32" w:rsidRPr="00370CD3">
              <w:rPr>
                <w:rStyle w:val="affd"/>
                <w:noProof/>
                <w:shd w:val="clear" w:color="auto" w:fill="FFFFFF"/>
              </w:rPr>
              <w:t>заболевания или состояния (группы заболеваний или состояний)</w:t>
            </w:r>
            <w:r w:rsidR="00CE6A32">
              <w:rPr>
                <w:noProof/>
                <w:webHidden/>
              </w:rPr>
              <w:tab/>
            </w:r>
            <w:r w:rsidR="00CE6A32">
              <w:rPr>
                <w:noProof/>
                <w:webHidden/>
              </w:rPr>
              <w:fldChar w:fldCharType="begin"/>
            </w:r>
            <w:r w:rsidR="00CE6A32">
              <w:rPr>
                <w:noProof/>
                <w:webHidden/>
              </w:rPr>
              <w:instrText xml:space="preserve"> PAGEREF _Toc96601230 \h </w:instrText>
            </w:r>
            <w:r w:rsidR="00CE6A32">
              <w:rPr>
                <w:noProof/>
                <w:webHidden/>
              </w:rPr>
            </w:r>
            <w:r w:rsidR="00CE6A32">
              <w:rPr>
                <w:noProof/>
                <w:webHidden/>
              </w:rPr>
              <w:fldChar w:fldCharType="separate"/>
            </w:r>
            <w:r w:rsidR="00D433D9">
              <w:rPr>
                <w:noProof/>
                <w:webHidden/>
              </w:rPr>
              <w:t>10</w:t>
            </w:r>
            <w:r w:rsidR="00CE6A32">
              <w:rPr>
                <w:noProof/>
                <w:webHidden/>
              </w:rPr>
              <w:fldChar w:fldCharType="end"/>
            </w:r>
          </w:hyperlink>
        </w:p>
        <w:p w14:paraId="750BC21B" w14:textId="10C8EAA2" w:rsidR="00CE6A32" w:rsidRDefault="00712FBD">
          <w:pPr>
            <w:pStyle w:val="21"/>
            <w:rPr>
              <w:rFonts w:asciiTheme="minorHAnsi" w:eastAsiaTheme="minorEastAsia" w:hAnsiTheme="minorHAnsi" w:cstheme="minorBidi"/>
              <w:noProof/>
              <w:sz w:val="24"/>
              <w:szCs w:val="24"/>
              <w:lang w:eastAsia="ru-RU"/>
            </w:rPr>
          </w:pPr>
          <w:hyperlink w:anchor="_Toc96601231" w:history="1">
            <w:r w:rsidR="00CE6A32" w:rsidRPr="00370CD3">
              <w:rPr>
                <w:rStyle w:val="affd"/>
                <w:noProof/>
              </w:rPr>
              <w:t xml:space="preserve">1.4 </w:t>
            </w:r>
            <w:r w:rsidR="00CE6A32" w:rsidRPr="00370CD3">
              <w:rPr>
                <w:rStyle w:val="affd"/>
                <w:noProof/>
                <w:shd w:val="clear" w:color="auto" w:fill="FFFFFF"/>
              </w:rPr>
              <w:t>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r w:rsidR="00CE6A32">
              <w:rPr>
                <w:noProof/>
                <w:webHidden/>
              </w:rPr>
              <w:tab/>
            </w:r>
            <w:r w:rsidR="00CE6A32">
              <w:rPr>
                <w:noProof/>
                <w:webHidden/>
              </w:rPr>
              <w:fldChar w:fldCharType="begin"/>
            </w:r>
            <w:r w:rsidR="00CE6A32">
              <w:rPr>
                <w:noProof/>
                <w:webHidden/>
              </w:rPr>
              <w:instrText xml:space="preserve"> PAGEREF _Toc96601231 \h </w:instrText>
            </w:r>
            <w:r w:rsidR="00CE6A32">
              <w:rPr>
                <w:noProof/>
                <w:webHidden/>
              </w:rPr>
            </w:r>
            <w:r w:rsidR="00CE6A32">
              <w:rPr>
                <w:noProof/>
                <w:webHidden/>
              </w:rPr>
              <w:fldChar w:fldCharType="separate"/>
            </w:r>
            <w:r w:rsidR="00D433D9">
              <w:rPr>
                <w:noProof/>
                <w:webHidden/>
              </w:rPr>
              <w:t>10</w:t>
            </w:r>
            <w:r w:rsidR="00CE6A32">
              <w:rPr>
                <w:noProof/>
                <w:webHidden/>
              </w:rPr>
              <w:fldChar w:fldCharType="end"/>
            </w:r>
          </w:hyperlink>
        </w:p>
        <w:p w14:paraId="5F227E71" w14:textId="45D95819" w:rsidR="00CE6A32" w:rsidRDefault="00712FBD">
          <w:pPr>
            <w:pStyle w:val="21"/>
            <w:rPr>
              <w:rFonts w:asciiTheme="minorHAnsi" w:eastAsiaTheme="minorEastAsia" w:hAnsiTheme="minorHAnsi" w:cstheme="minorBidi"/>
              <w:noProof/>
              <w:sz w:val="24"/>
              <w:szCs w:val="24"/>
              <w:lang w:eastAsia="ru-RU"/>
            </w:rPr>
          </w:pPr>
          <w:hyperlink w:anchor="_Toc96601232" w:history="1">
            <w:r w:rsidR="00CE6A32" w:rsidRPr="00370CD3">
              <w:rPr>
                <w:rStyle w:val="affd"/>
                <w:noProof/>
              </w:rPr>
              <w:t xml:space="preserve">1.5 Классификация </w:t>
            </w:r>
            <w:r w:rsidR="00CE6A32" w:rsidRPr="00370CD3">
              <w:rPr>
                <w:rStyle w:val="affd"/>
                <w:noProof/>
                <w:shd w:val="clear" w:color="auto" w:fill="FFFFFF"/>
              </w:rPr>
              <w:t>заболевания или состояния (группы заболеваний или состояний)</w:t>
            </w:r>
            <w:r w:rsidR="00CE6A32">
              <w:rPr>
                <w:noProof/>
                <w:webHidden/>
              </w:rPr>
              <w:tab/>
            </w:r>
            <w:r w:rsidR="00CE6A32">
              <w:rPr>
                <w:noProof/>
                <w:webHidden/>
              </w:rPr>
              <w:fldChar w:fldCharType="begin"/>
            </w:r>
            <w:r w:rsidR="00CE6A32">
              <w:rPr>
                <w:noProof/>
                <w:webHidden/>
              </w:rPr>
              <w:instrText xml:space="preserve"> PAGEREF _Toc96601232 \h </w:instrText>
            </w:r>
            <w:r w:rsidR="00CE6A32">
              <w:rPr>
                <w:noProof/>
                <w:webHidden/>
              </w:rPr>
            </w:r>
            <w:r w:rsidR="00CE6A32">
              <w:rPr>
                <w:noProof/>
                <w:webHidden/>
              </w:rPr>
              <w:fldChar w:fldCharType="separate"/>
            </w:r>
            <w:r w:rsidR="00D433D9">
              <w:rPr>
                <w:noProof/>
                <w:webHidden/>
              </w:rPr>
              <w:t>10</w:t>
            </w:r>
            <w:r w:rsidR="00CE6A32">
              <w:rPr>
                <w:noProof/>
                <w:webHidden/>
              </w:rPr>
              <w:fldChar w:fldCharType="end"/>
            </w:r>
          </w:hyperlink>
        </w:p>
        <w:p w14:paraId="49599FF9" w14:textId="019B0E02" w:rsidR="00CE6A32" w:rsidRDefault="00712FBD">
          <w:pPr>
            <w:pStyle w:val="21"/>
            <w:rPr>
              <w:rFonts w:asciiTheme="minorHAnsi" w:eastAsiaTheme="minorEastAsia" w:hAnsiTheme="minorHAnsi" w:cstheme="minorBidi"/>
              <w:noProof/>
              <w:sz w:val="24"/>
              <w:szCs w:val="24"/>
              <w:lang w:eastAsia="ru-RU"/>
            </w:rPr>
          </w:pPr>
          <w:hyperlink w:anchor="_Toc96601233" w:history="1">
            <w:r w:rsidR="00CE6A32" w:rsidRPr="00370CD3">
              <w:rPr>
                <w:rStyle w:val="affd"/>
                <w:noProof/>
              </w:rPr>
              <w:t xml:space="preserve">1.6 Клиническая картина </w:t>
            </w:r>
            <w:r w:rsidR="00CE6A32" w:rsidRPr="00370CD3">
              <w:rPr>
                <w:rStyle w:val="affd"/>
                <w:noProof/>
                <w:shd w:val="clear" w:color="auto" w:fill="FFFFFF"/>
              </w:rPr>
              <w:t>заболевания или состояния (группы заболеваний или состояний)</w:t>
            </w:r>
            <w:r w:rsidR="00CE6A32">
              <w:rPr>
                <w:noProof/>
                <w:webHidden/>
              </w:rPr>
              <w:tab/>
            </w:r>
            <w:r w:rsidR="00CE6A32">
              <w:rPr>
                <w:noProof/>
                <w:webHidden/>
              </w:rPr>
              <w:fldChar w:fldCharType="begin"/>
            </w:r>
            <w:r w:rsidR="00CE6A32">
              <w:rPr>
                <w:noProof/>
                <w:webHidden/>
              </w:rPr>
              <w:instrText xml:space="preserve"> PAGEREF _Toc96601233 \h </w:instrText>
            </w:r>
            <w:r w:rsidR="00CE6A32">
              <w:rPr>
                <w:noProof/>
                <w:webHidden/>
              </w:rPr>
            </w:r>
            <w:r w:rsidR="00CE6A32">
              <w:rPr>
                <w:noProof/>
                <w:webHidden/>
              </w:rPr>
              <w:fldChar w:fldCharType="separate"/>
            </w:r>
            <w:r w:rsidR="00D433D9">
              <w:rPr>
                <w:noProof/>
                <w:webHidden/>
              </w:rPr>
              <w:t>12</w:t>
            </w:r>
            <w:r w:rsidR="00CE6A32">
              <w:rPr>
                <w:noProof/>
                <w:webHidden/>
              </w:rPr>
              <w:fldChar w:fldCharType="end"/>
            </w:r>
          </w:hyperlink>
        </w:p>
        <w:p w14:paraId="0E5AF504" w14:textId="70C14697" w:rsidR="00CE6A32" w:rsidRDefault="00712FBD">
          <w:pPr>
            <w:pStyle w:val="1a"/>
            <w:rPr>
              <w:rFonts w:asciiTheme="minorHAnsi" w:eastAsiaTheme="minorEastAsia" w:hAnsiTheme="minorHAnsi"/>
              <w:noProof/>
              <w:szCs w:val="24"/>
              <w:lang w:eastAsia="ru-RU"/>
            </w:rPr>
          </w:pPr>
          <w:hyperlink w:anchor="_Toc96601234" w:history="1">
            <w:r w:rsidR="00CE6A32" w:rsidRPr="00370CD3">
              <w:rPr>
                <w:rStyle w:val="affd"/>
                <w:noProof/>
              </w:rPr>
              <w:t>2. Диагностика заболевания или состояния (группы заболеваний или состояний), медицинские показания и противопоказания к применению методов диагностики</w:t>
            </w:r>
            <w:r w:rsidR="00CE6A32">
              <w:rPr>
                <w:noProof/>
                <w:webHidden/>
              </w:rPr>
              <w:tab/>
            </w:r>
            <w:r w:rsidR="00CE6A32">
              <w:rPr>
                <w:noProof/>
                <w:webHidden/>
              </w:rPr>
              <w:fldChar w:fldCharType="begin"/>
            </w:r>
            <w:r w:rsidR="00CE6A32">
              <w:rPr>
                <w:noProof/>
                <w:webHidden/>
              </w:rPr>
              <w:instrText xml:space="preserve"> PAGEREF _Toc96601234 \h </w:instrText>
            </w:r>
            <w:r w:rsidR="00CE6A32">
              <w:rPr>
                <w:noProof/>
                <w:webHidden/>
              </w:rPr>
            </w:r>
            <w:r w:rsidR="00CE6A32">
              <w:rPr>
                <w:noProof/>
                <w:webHidden/>
              </w:rPr>
              <w:fldChar w:fldCharType="separate"/>
            </w:r>
            <w:r w:rsidR="00D433D9">
              <w:rPr>
                <w:noProof/>
                <w:webHidden/>
              </w:rPr>
              <w:t>14</w:t>
            </w:r>
            <w:r w:rsidR="00CE6A32">
              <w:rPr>
                <w:noProof/>
                <w:webHidden/>
              </w:rPr>
              <w:fldChar w:fldCharType="end"/>
            </w:r>
          </w:hyperlink>
        </w:p>
        <w:p w14:paraId="527660F6" w14:textId="0031D93E" w:rsidR="00CE6A32" w:rsidRDefault="00712FBD">
          <w:pPr>
            <w:pStyle w:val="21"/>
            <w:rPr>
              <w:rFonts w:asciiTheme="minorHAnsi" w:eastAsiaTheme="minorEastAsia" w:hAnsiTheme="minorHAnsi" w:cstheme="minorBidi"/>
              <w:noProof/>
              <w:sz w:val="24"/>
              <w:szCs w:val="24"/>
              <w:lang w:eastAsia="ru-RU"/>
            </w:rPr>
          </w:pPr>
          <w:hyperlink w:anchor="_Toc96601235" w:history="1">
            <w:r w:rsidR="00CE6A32" w:rsidRPr="00370CD3">
              <w:rPr>
                <w:rStyle w:val="affd"/>
                <w:noProof/>
              </w:rPr>
              <w:t>2.1 Жалобы и анамнез</w:t>
            </w:r>
            <w:r w:rsidR="00CE6A32">
              <w:rPr>
                <w:noProof/>
                <w:webHidden/>
              </w:rPr>
              <w:tab/>
            </w:r>
            <w:r w:rsidR="00CE6A32">
              <w:rPr>
                <w:noProof/>
                <w:webHidden/>
              </w:rPr>
              <w:fldChar w:fldCharType="begin"/>
            </w:r>
            <w:r w:rsidR="00CE6A32">
              <w:rPr>
                <w:noProof/>
                <w:webHidden/>
              </w:rPr>
              <w:instrText xml:space="preserve"> PAGEREF _Toc96601235 \h </w:instrText>
            </w:r>
            <w:r w:rsidR="00CE6A32">
              <w:rPr>
                <w:noProof/>
                <w:webHidden/>
              </w:rPr>
            </w:r>
            <w:r w:rsidR="00CE6A32">
              <w:rPr>
                <w:noProof/>
                <w:webHidden/>
              </w:rPr>
              <w:fldChar w:fldCharType="separate"/>
            </w:r>
            <w:r w:rsidR="00D433D9">
              <w:rPr>
                <w:noProof/>
                <w:webHidden/>
              </w:rPr>
              <w:t>15</w:t>
            </w:r>
            <w:r w:rsidR="00CE6A32">
              <w:rPr>
                <w:noProof/>
                <w:webHidden/>
              </w:rPr>
              <w:fldChar w:fldCharType="end"/>
            </w:r>
          </w:hyperlink>
        </w:p>
        <w:p w14:paraId="22729449" w14:textId="7982CBF0" w:rsidR="00CE6A32" w:rsidRDefault="00712FBD">
          <w:pPr>
            <w:pStyle w:val="21"/>
            <w:rPr>
              <w:rFonts w:asciiTheme="minorHAnsi" w:eastAsiaTheme="minorEastAsia" w:hAnsiTheme="minorHAnsi" w:cstheme="minorBidi"/>
              <w:noProof/>
              <w:sz w:val="24"/>
              <w:szCs w:val="24"/>
              <w:lang w:eastAsia="ru-RU"/>
            </w:rPr>
          </w:pPr>
          <w:hyperlink w:anchor="_Toc96601236" w:history="1">
            <w:r w:rsidR="00CE6A32" w:rsidRPr="00370CD3">
              <w:rPr>
                <w:rStyle w:val="affd"/>
                <w:noProof/>
              </w:rPr>
              <w:t>2.2 Физикальное обследование</w:t>
            </w:r>
            <w:r w:rsidR="00CE6A32">
              <w:rPr>
                <w:noProof/>
                <w:webHidden/>
              </w:rPr>
              <w:tab/>
            </w:r>
            <w:r w:rsidR="00CE6A32">
              <w:rPr>
                <w:noProof/>
                <w:webHidden/>
              </w:rPr>
              <w:fldChar w:fldCharType="begin"/>
            </w:r>
            <w:r w:rsidR="00CE6A32">
              <w:rPr>
                <w:noProof/>
                <w:webHidden/>
              </w:rPr>
              <w:instrText xml:space="preserve"> PAGEREF _Toc96601236 \h </w:instrText>
            </w:r>
            <w:r w:rsidR="00CE6A32">
              <w:rPr>
                <w:noProof/>
                <w:webHidden/>
              </w:rPr>
            </w:r>
            <w:r w:rsidR="00CE6A32">
              <w:rPr>
                <w:noProof/>
                <w:webHidden/>
              </w:rPr>
              <w:fldChar w:fldCharType="separate"/>
            </w:r>
            <w:r w:rsidR="00D433D9">
              <w:rPr>
                <w:noProof/>
                <w:webHidden/>
              </w:rPr>
              <w:t>15</w:t>
            </w:r>
            <w:r w:rsidR="00CE6A32">
              <w:rPr>
                <w:noProof/>
                <w:webHidden/>
              </w:rPr>
              <w:fldChar w:fldCharType="end"/>
            </w:r>
          </w:hyperlink>
        </w:p>
        <w:p w14:paraId="20AF82F9" w14:textId="365E4F91" w:rsidR="00CE6A32" w:rsidRDefault="00712FBD">
          <w:pPr>
            <w:pStyle w:val="21"/>
            <w:rPr>
              <w:rFonts w:asciiTheme="minorHAnsi" w:eastAsiaTheme="minorEastAsia" w:hAnsiTheme="minorHAnsi" w:cstheme="minorBidi"/>
              <w:noProof/>
              <w:sz w:val="24"/>
              <w:szCs w:val="24"/>
              <w:lang w:eastAsia="ru-RU"/>
            </w:rPr>
          </w:pPr>
          <w:hyperlink w:anchor="_Toc96601237" w:history="1">
            <w:r w:rsidR="00CE6A32" w:rsidRPr="00370CD3">
              <w:rPr>
                <w:rStyle w:val="affd"/>
                <w:noProof/>
              </w:rPr>
              <w:t>2.3 Лабораторные диагностические исследования</w:t>
            </w:r>
            <w:r w:rsidR="00CE6A32">
              <w:rPr>
                <w:noProof/>
                <w:webHidden/>
              </w:rPr>
              <w:tab/>
            </w:r>
            <w:r w:rsidR="00CE6A32">
              <w:rPr>
                <w:noProof/>
                <w:webHidden/>
              </w:rPr>
              <w:fldChar w:fldCharType="begin"/>
            </w:r>
            <w:r w:rsidR="00CE6A32">
              <w:rPr>
                <w:noProof/>
                <w:webHidden/>
              </w:rPr>
              <w:instrText xml:space="preserve"> PAGEREF _Toc96601237 \h </w:instrText>
            </w:r>
            <w:r w:rsidR="00CE6A32">
              <w:rPr>
                <w:noProof/>
                <w:webHidden/>
              </w:rPr>
            </w:r>
            <w:r w:rsidR="00CE6A32">
              <w:rPr>
                <w:noProof/>
                <w:webHidden/>
              </w:rPr>
              <w:fldChar w:fldCharType="separate"/>
            </w:r>
            <w:r w:rsidR="00D433D9">
              <w:rPr>
                <w:noProof/>
                <w:webHidden/>
              </w:rPr>
              <w:t>16</w:t>
            </w:r>
            <w:r w:rsidR="00CE6A32">
              <w:rPr>
                <w:noProof/>
                <w:webHidden/>
              </w:rPr>
              <w:fldChar w:fldCharType="end"/>
            </w:r>
          </w:hyperlink>
        </w:p>
        <w:p w14:paraId="084044C1" w14:textId="0EF1336A" w:rsidR="00CE6A32" w:rsidRDefault="00712FBD">
          <w:pPr>
            <w:pStyle w:val="21"/>
            <w:rPr>
              <w:rFonts w:asciiTheme="minorHAnsi" w:eastAsiaTheme="minorEastAsia" w:hAnsiTheme="minorHAnsi" w:cstheme="minorBidi"/>
              <w:noProof/>
              <w:sz w:val="24"/>
              <w:szCs w:val="24"/>
              <w:lang w:eastAsia="ru-RU"/>
            </w:rPr>
          </w:pPr>
          <w:hyperlink w:anchor="_Toc96601238" w:history="1">
            <w:r w:rsidR="00CE6A32" w:rsidRPr="00370CD3">
              <w:rPr>
                <w:rStyle w:val="affd"/>
                <w:noProof/>
              </w:rPr>
              <w:t>2.4 Инструментальные диагностические исследования</w:t>
            </w:r>
            <w:r w:rsidR="00CE6A32">
              <w:rPr>
                <w:noProof/>
                <w:webHidden/>
              </w:rPr>
              <w:tab/>
            </w:r>
            <w:r w:rsidR="00CE6A32">
              <w:rPr>
                <w:noProof/>
                <w:webHidden/>
              </w:rPr>
              <w:fldChar w:fldCharType="begin"/>
            </w:r>
            <w:r w:rsidR="00CE6A32">
              <w:rPr>
                <w:noProof/>
                <w:webHidden/>
              </w:rPr>
              <w:instrText xml:space="preserve"> PAGEREF _Toc96601238 \h </w:instrText>
            </w:r>
            <w:r w:rsidR="00CE6A32">
              <w:rPr>
                <w:noProof/>
                <w:webHidden/>
              </w:rPr>
            </w:r>
            <w:r w:rsidR="00CE6A32">
              <w:rPr>
                <w:noProof/>
                <w:webHidden/>
              </w:rPr>
              <w:fldChar w:fldCharType="separate"/>
            </w:r>
            <w:r w:rsidR="00D433D9">
              <w:rPr>
                <w:noProof/>
                <w:webHidden/>
              </w:rPr>
              <w:t>19</w:t>
            </w:r>
            <w:r w:rsidR="00CE6A32">
              <w:rPr>
                <w:noProof/>
                <w:webHidden/>
              </w:rPr>
              <w:fldChar w:fldCharType="end"/>
            </w:r>
          </w:hyperlink>
        </w:p>
        <w:p w14:paraId="249A5FBB" w14:textId="3B841BDE" w:rsidR="00CE6A32" w:rsidRDefault="00712FBD">
          <w:pPr>
            <w:pStyle w:val="21"/>
            <w:rPr>
              <w:rFonts w:asciiTheme="minorHAnsi" w:eastAsiaTheme="minorEastAsia" w:hAnsiTheme="minorHAnsi" w:cstheme="minorBidi"/>
              <w:noProof/>
              <w:sz w:val="24"/>
              <w:szCs w:val="24"/>
              <w:lang w:eastAsia="ru-RU"/>
            </w:rPr>
          </w:pPr>
          <w:hyperlink w:anchor="_Toc96601239" w:history="1">
            <w:r w:rsidR="00CE6A32" w:rsidRPr="00370CD3">
              <w:rPr>
                <w:rStyle w:val="affd"/>
                <w:noProof/>
              </w:rPr>
              <w:t>2.5 Иные диагностические исследования</w:t>
            </w:r>
            <w:r w:rsidR="00CE6A32">
              <w:rPr>
                <w:noProof/>
                <w:webHidden/>
              </w:rPr>
              <w:tab/>
            </w:r>
            <w:r w:rsidR="00CE6A32">
              <w:rPr>
                <w:noProof/>
                <w:webHidden/>
              </w:rPr>
              <w:fldChar w:fldCharType="begin"/>
            </w:r>
            <w:r w:rsidR="00CE6A32">
              <w:rPr>
                <w:noProof/>
                <w:webHidden/>
              </w:rPr>
              <w:instrText xml:space="preserve"> PAGEREF _Toc96601239 \h </w:instrText>
            </w:r>
            <w:r w:rsidR="00CE6A32">
              <w:rPr>
                <w:noProof/>
                <w:webHidden/>
              </w:rPr>
            </w:r>
            <w:r w:rsidR="00CE6A32">
              <w:rPr>
                <w:noProof/>
                <w:webHidden/>
              </w:rPr>
              <w:fldChar w:fldCharType="separate"/>
            </w:r>
            <w:r w:rsidR="00D433D9">
              <w:rPr>
                <w:noProof/>
                <w:webHidden/>
              </w:rPr>
              <w:t>22</w:t>
            </w:r>
            <w:r w:rsidR="00CE6A32">
              <w:rPr>
                <w:noProof/>
                <w:webHidden/>
              </w:rPr>
              <w:fldChar w:fldCharType="end"/>
            </w:r>
          </w:hyperlink>
        </w:p>
        <w:p w14:paraId="51574493" w14:textId="6708F665" w:rsidR="00CE6A32" w:rsidRDefault="00712FBD">
          <w:pPr>
            <w:pStyle w:val="1a"/>
            <w:rPr>
              <w:rFonts w:asciiTheme="minorHAnsi" w:eastAsiaTheme="minorEastAsia" w:hAnsiTheme="minorHAnsi"/>
              <w:noProof/>
              <w:szCs w:val="24"/>
              <w:lang w:eastAsia="ru-RU"/>
            </w:rPr>
          </w:pPr>
          <w:hyperlink w:anchor="_Toc96601240" w:history="1">
            <w:r w:rsidR="00CE6A32" w:rsidRPr="00370CD3">
              <w:rPr>
                <w:rStyle w:val="affd"/>
                <w:noProof/>
              </w:rPr>
              <w:t>3. Лечение,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r w:rsidR="00CE6A32">
              <w:rPr>
                <w:noProof/>
                <w:webHidden/>
              </w:rPr>
              <w:tab/>
            </w:r>
            <w:r w:rsidR="00CE6A32">
              <w:rPr>
                <w:noProof/>
                <w:webHidden/>
              </w:rPr>
              <w:fldChar w:fldCharType="begin"/>
            </w:r>
            <w:r w:rsidR="00CE6A32">
              <w:rPr>
                <w:noProof/>
                <w:webHidden/>
              </w:rPr>
              <w:instrText xml:space="preserve"> PAGEREF _Toc96601240 \h </w:instrText>
            </w:r>
            <w:r w:rsidR="00CE6A32">
              <w:rPr>
                <w:noProof/>
                <w:webHidden/>
              </w:rPr>
            </w:r>
            <w:r w:rsidR="00CE6A32">
              <w:rPr>
                <w:noProof/>
                <w:webHidden/>
              </w:rPr>
              <w:fldChar w:fldCharType="separate"/>
            </w:r>
            <w:r w:rsidR="00D433D9">
              <w:rPr>
                <w:noProof/>
                <w:webHidden/>
              </w:rPr>
              <w:t>26</w:t>
            </w:r>
            <w:r w:rsidR="00CE6A32">
              <w:rPr>
                <w:noProof/>
                <w:webHidden/>
              </w:rPr>
              <w:fldChar w:fldCharType="end"/>
            </w:r>
          </w:hyperlink>
        </w:p>
        <w:p w14:paraId="1BEEABB9" w14:textId="7001CB55" w:rsidR="00CE6A32" w:rsidRDefault="00712FBD">
          <w:pPr>
            <w:pStyle w:val="21"/>
            <w:rPr>
              <w:rFonts w:asciiTheme="minorHAnsi" w:eastAsiaTheme="minorEastAsia" w:hAnsiTheme="minorHAnsi" w:cstheme="minorBidi"/>
              <w:noProof/>
              <w:sz w:val="24"/>
              <w:szCs w:val="24"/>
              <w:lang w:eastAsia="ru-RU"/>
            </w:rPr>
          </w:pPr>
          <w:hyperlink w:anchor="_Toc96601241" w:history="1">
            <w:r w:rsidR="00CE6A32" w:rsidRPr="00370CD3">
              <w:rPr>
                <w:rStyle w:val="affd"/>
                <w:noProof/>
              </w:rPr>
              <w:t>3.1 Первая линия терапии ДВКЛ у взрослых пациентов</w:t>
            </w:r>
            <w:r w:rsidR="00CE6A32">
              <w:rPr>
                <w:noProof/>
                <w:webHidden/>
              </w:rPr>
              <w:tab/>
            </w:r>
            <w:r w:rsidR="00CE6A32">
              <w:rPr>
                <w:noProof/>
                <w:webHidden/>
              </w:rPr>
              <w:fldChar w:fldCharType="begin"/>
            </w:r>
            <w:r w:rsidR="00CE6A32">
              <w:rPr>
                <w:noProof/>
                <w:webHidden/>
              </w:rPr>
              <w:instrText xml:space="preserve"> PAGEREF _Toc96601241 \h </w:instrText>
            </w:r>
            <w:r w:rsidR="00CE6A32">
              <w:rPr>
                <w:noProof/>
                <w:webHidden/>
              </w:rPr>
            </w:r>
            <w:r w:rsidR="00CE6A32">
              <w:rPr>
                <w:noProof/>
                <w:webHidden/>
              </w:rPr>
              <w:fldChar w:fldCharType="separate"/>
            </w:r>
            <w:r w:rsidR="00D433D9">
              <w:rPr>
                <w:noProof/>
                <w:webHidden/>
              </w:rPr>
              <w:t>27</w:t>
            </w:r>
            <w:r w:rsidR="00CE6A32">
              <w:rPr>
                <w:noProof/>
                <w:webHidden/>
              </w:rPr>
              <w:fldChar w:fldCharType="end"/>
            </w:r>
          </w:hyperlink>
        </w:p>
        <w:p w14:paraId="2E3E9666" w14:textId="2889B1AD" w:rsidR="00CE6A32" w:rsidRDefault="00712FBD">
          <w:pPr>
            <w:pStyle w:val="21"/>
            <w:rPr>
              <w:rFonts w:asciiTheme="minorHAnsi" w:eastAsiaTheme="minorEastAsia" w:hAnsiTheme="minorHAnsi" w:cstheme="minorBidi"/>
              <w:noProof/>
              <w:sz w:val="24"/>
              <w:szCs w:val="24"/>
              <w:lang w:eastAsia="ru-RU"/>
            </w:rPr>
          </w:pPr>
          <w:hyperlink w:anchor="_Toc96601242" w:history="1">
            <w:r w:rsidR="00CE6A32" w:rsidRPr="00370CD3">
              <w:rPr>
                <w:rStyle w:val="affd"/>
                <w:noProof/>
              </w:rPr>
              <w:t>3.2 Первая линия терапии первичной медиастинальной (тимической) В-клеточной крупноклеточной лимфомы</w:t>
            </w:r>
            <w:r w:rsidR="00CE6A32">
              <w:rPr>
                <w:noProof/>
                <w:webHidden/>
              </w:rPr>
              <w:tab/>
            </w:r>
            <w:r w:rsidR="00CE6A32">
              <w:rPr>
                <w:noProof/>
                <w:webHidden/>
              </w:rPr>
              <w:fldChar w:fldCharType="begin"/>
            </w:r>
            <w:r w:rsidR="00CE6A32">
              <w:rPr>
                <w:noProof/>
                <w:webHidden/>
              </w:rPr>
              <w:instrText xml:space="preserve"> PAGEREF _Toc96601242 \h </w:instrText>
            </w:r>
            <w:r w:rsidR="00CE6A32">
              <w:rPr>
                <w:noProof/>
                <w:webHidden/>
              </w:rPr>
            </w:r>
            <w:r w:rsidR="00CE6A32">
              <w:rPr>
                <w:noProof/>
                <w:webHidden/>
              </w:rPr>
              <w:fldChar w:fldCharType="separate"/>
            </w:r>
            <w:r w:rsidR="00D433D9">
              <w:rPr>
                <w:noProof/>
                <w:webHidden/>
              </w:rPr>
              <w:t>32</w:t>
            </w:r>
            <w:r w:rsidR="00CE6A32">
              <w:rPr>
                <w:noProof/>
                <w:webHidden/>
              </w:rPr>
              <w:fldChar w:fldCharType="end"/>
            </w:r>
          </w:hyperlink>
        </w:p>
        <w:p w14:paraId="321C97C1" w14:textId="4605D6AA" w:rsidR="00CE6A32" w:rsidRDefault="00712FBD">
          <w:pPr>
            <w:pStyle w:val="21"/>
            <w:rPr>
              <w:rFonts w:asciiTheme="minorHAnsi" w:eastAsiaTheme="minorEastAsia" w:hAnsiTheme="minorHAnsi" w:cstheme="minorBidi"/>
              <w:noProof/>
              <w:sz w:val="24"/>
              <w:szCs w:val="24"/>
              <w:lang w:eastAsia="ru-RU"/>
            </w:rPr>
          </w:pPr>
          <w:hyperlink w:anchor="_Toc96601243" w:history="1">
            <w:r w:rsidR="00CE6A32" w:rsidRPr="00370CD3">
              <w:rPr>
                <w:rStyle w:val="affd"/>
                <w:noProof/>
              </w:rPr>
              <w:t>3.3 Лечение первичной лимфомы ЦНС (ПЛЦНС)</w:t>
            </w:r>
            <w:r w:rsidR="00CE6A32">
              <w:rPr>
                <w:noProof/>
                <w:webHidden/>
              </w:rPr>
              <w:tab/>
            </w:r>
            <w:r w:rsidR="00CE6A32">
              <w:rPr>
                <w:noProof/>
                <w:webHidden/>
              </w:rPr>
              <w:fldChar w:fldCharType="begin"/>
            </w:r>
            <w:r w:rsidR="00CE6A32">
              <w:rPr>
                <w:noProof/>
                <w:webHidden/>
              </w:rPr>
              <w:instrText xml:space="preserve"> PAGEREF _Toc96601243 \h </w:instrText>
            </w:r>
            <w:r w:rsidR="00CE6A32">
              <w:rPr>
                <w:noProof/>
                <w:webHidden/>
              </w:rPr>
            </w:r>
            <w:r w:rsidR="00CE6A32">
              <w:rPr>
                <w:noProof/>
                <w:webHidden/>
              </w:rPr>
              <w:fldChar w:fldCharType="separate"/>
            </w:r>
            <w:r w:rsidR="00D433D9">
              <w:rPr>
                <w:noProof/>
                <w:webHidden/>
              </w:rPr>
              <w:t>32</w:t>
            </w:r>
            <w:r w:rsidR="00CE6A32">
              <w:rPr>
                <w:noProof/>
                <w:webHidden/>
              </w:rPr>
              <w:fldChar w:fldCharType="end"/>
            </w:r>
          </w:hyperlink>
        </w:p>
        <w:p w14:paraId="0DF692A5" w14:textId="4D7F504B" w:rsidR="00CE6A32" w:rsidRDefault="00712FBD">
          <w:pPr>
            <w:pStyle w:val="21"/>
            <w:rPr>
              <w:rFonts w:asciiTheme="minorHAnsi" w:eastAsiaTheme="minorEastAsia" w:hAnsiTheme="minorHAnsi" w:cstheme="minorBidi"/>
              <w:noProof/>
              <w:sz w:val="24"/>
              <w:szCs w:val="24"/>
              <w:lang w:eastAsia="ru-RU"/>
            </w:rPr>
          </w:pPr>
          <w:hyperlink w:anchor="_Toc96601244" w:history="1">
            <w:r w:rsidR="00CE6A32" w:rsidRPr="00370CD3">
              <w:rPr>
                <w:rStyle w:val="affd"/>
                <w:noProof/>
              </w:rPr>
              <w:t>3.4 Первая линия терапии ДВКЛ у детей и подростков до 18 лет</w:t>
            </w:r>
            <w:r w:rsidR="00CE6A32">
              <w:rPr>
                <w:noProof/>
                <w:webHidden/>
              </w:rPr>
              <w:tab/>
            </w:r>
            <w:r w:rsidR="00CE6A32">
              <w:rPr>
                <w:noProof/>
                <w:webHidden/>
              </w:rPr>
              <w:fldChar w:fldCharType="begin"/>
            </w:r>
            <w:r w:rsidR="00CE6A32">
              <w:rPr>
                <w:noProof/>
                <w:webHidden/>
              </w:rPr>
              <w:instrText xml:space="preserve"> PAGEREF _Toc96601244 \h </w:instrText>
            </w:r>
            <w:r w:rsidR="00CE6A32">
              <w:rPr>
                <w:noProof/>
                <w:webHidden/>
              </w:rPr>
            </w:r>
            <w:r w:rsidR="00CE6A32">
              <w:rPr>
                <w:noProof/>
                <w:webHidden/>
              </w:rPr>
              <w:fldChar w:fldCharType="separate"/>
            </w:r>
            <w:r w:rsidR="00D433D9">
              <w:rPr>
                <w:noProof/>
                <w:webHidden/>
              </w:rPr>
              <w:t>34</w:t>
            </w:r>
            <w:r w:rsidR="00CE6A32">
              <w:rPr>
                <w:noProof/>
                <w:webHidden/>
              </w:rPr>
              <w:fldChar w:fldCharType="end"/>
            </w:r>
          </w:hyperlink>
        </w:p>
        <w:p w14:paraId="47647B03" w14:textId="0A06D913" w:rsidR="00CE6A32" w:rsidRDefault="00712FBD">
          <w:pPr>
            <w:pStyle w:val="21"/>
            <w:rPr>
              <w:rFonts w:asciiTheme="minorHAnsi" w:eastAsiaTheme="minorEastAsia" w:hAnsiTheme="minorHAnsi" w:cstheme="minorBidi"/>
              <w:noProof/>
              <w:sz w:val="24"/>
              <w:szCs w:val="24"/>
              <w:lang w:eastAsia="ru-RU"/>
            </w:rPr>
          </w:pPr>
          <w:hyperlink w:anchor="_Toc96601245" w:history="1">
            <w:r w:rsidR="00CE6A32" w:rsidRPr="00370CD3">
              <w:rPr>
                <w:rStyle w:val="affd"/>
                <w:noProof/>
              </w:rPr>
              <w:t>3.5 Лечение лимфомы Беркитта</w:t>
            </w:r>
            <w:r w:rsidR="00CE6A32">
              <w:rPr>
                <w:noProof/>
                <w:webHidden/>
              </w:rPr>
              <w:tab/>
            </w:r>
            <w:r w:rsidR="00CE6A32">
              <w:rPr>
                <w:noProof/>
                <w:webHidden/>
              </w:rPr>
              <w:fldChar w:fldCharType="begin"/>
            </w:r>
            <w:r w:rsidR="00CE6A32">
              <w:rPr>
                <w:noProof/>
                <w:webHidden/>
              </w:rPr>
              <w:instrText xml:space="preserve"> PAGEREF _Toc96601245 \h </w:instrText>
            </w:r>
            <w:r w:rsidR="00CE6A32">
              <w:rPr>
                <w:noProof/>
                <w:webHidden/>
              </w:rPr>
            </w:r>
            <w:r w:rsidR="00CE6A32">
              <w:rPr>
                <w:noProof/>
                <w:webHidden/>
              </w:rPr>
              <w:fldChar w:fldCharType="separate"/>
            </w:r>
            <w:r w:rsidR="00D433D9">
              <w:rPr>
                <w:noProof/>
                <w:webHidden/>
              </w:rPr>
              <w:t>34</w:t>
            </w:r>
            <w:r w:rsidR="00CE6A32">
              <w:rPr>
                <w:noProof/>
                <w:webHidden/>
              </w:rPr>
              <w:fldChar w:fldCharType="end"/>
            </w:r>
          </w:hyperlink>
        </w:p>
        <w:p w14:paraId="74D00F55" w14:textId="564CFB06" w:rsidR="00CE6A32" w:rsidRDefault="00712FBD">
          <w:pPr>
            <w:pStyle w:val="21"/>
            <w:rPr>
              <w:rFonts w:asciiTheme="minorHAnsi" w:eastAsiaTheme="minorEastAsia" w:hAnsiTheme="minorHAnsi" w:cstheme="minorBidi"/>
              <w:noProof/>
              <w:sz w:val="24"/>
              <w:szCs w:val="24"/>
              <w:lang w:eastAsia="ru-RU"/>
            </w:rPr>
          </w:pPr>
          <w:hyperlink w:anchor="_Toc96601246" w:history="1">
            <w:r w:rsidR="00CE6A32" w:rsidRPr="00370CD3">
              <w:rPr>
                <w:rStyle w:val="affd"/>
                <w:noProof/>
              </w:rPr>
              <w:t>3.6 Лечение рецидивов агрессивных нефолликулярных В-клеточных лимфом</w:t>
            </w:r>
            <w:r w:rsidR="00CE6A32">
              <w:rPr>
                <w:noProof/>
                <w:webHidden/>
              </w:rPr>
              <w:tab/>
            </w:r>
            <w:r w:rsidR="00CE6A32">
              <w:rPr>
                <w:noProof/>
                <w:webHidden/>
              </w:rPr>
              <w:fldChar w:fldCharType="begin"/>
            </w:r>
            <w:r w:rsidR="00CE6A32">
              <w:rPr>
                <w:noProof/>
                <w:webHidden/>
              </w:rPr>
              <w:instrText xml:space="preserve"> PAGEREF _Toc96601246 \h </w:instrText>
            </w:r>
            <w:r w:rsidR="00CE6A32">
              <w:rPr>
                <w:noProof/>
                <w:webHidden/>
              </w:rPr>
            </w:r>
            <w:r w:rsidR="00CE6A32">
              <w:rPr>
                <w:noProof/>
                <w:webHidden/>
              </w:rPr>
              <w:fldChar w:fldCharType="separate"/>
            </w:r>
            <w:r w:rsidR="00D433D9">
              <w:rPr>
                <w:noProof/>
                <w:webHidden/>
              </w:rPr>
              <w:t>38</w:t>
            </w:r>
            <w:r w:rsidR="00CE6A32">
              <w:rPr>
                <w:noProof/>
                <w:webHidden/>
              </w:rPr>
              <w:fldChar w:fldCharType="end"/>
            </w:r>
          </w:hyperlink>
        </w:p>
        <w:p w14:paraId="6CE929A3" w14:textId="2A677D80" w:rsidR="00CE6A32" w:rsidRDefault="00712FBD">
          <w:pPr>
            <w:pStyle w:val="21"/>
            <w:rPr>
              <w:rFonts w:asciiTheme="minorHAnsi" w:eastAsiaTheme="minorEastAsia" w:hAnsiTheme="minorHAnsi" w:cstheme="minorBidi"/>
              <w:noProof/>
              <w:sz w:val="24"/>
              <w:szCs w:val="24"/>
              <w:lang w:eastAsia="ru-RU"/>
            </w:rPr>
          </w:pPr>
          <w:hyperlink w:anchor="_Toc96601247" w:history="1">
            <w:r w:rsidR="00CE6A32" w:rsidRPr="00370CD3">
              <w:rPr>
                <w:rStyle w:val="affd"/>
                <w:noProof/>
              </w:rPr>
              <w:t>3.7 Особенности ведения беременных пациенток</w:t>
            </w:r>
            <w:r w:rsidR="00CE6A32">
              <w:rPr>
                <w:noProof/>
                <w:webHidden/>
              </w:rPr>
              <w:tab/>
            </w:r>
            <w:r w:rsidR="00CE6A32">
              <w:rPr>
                <w:noProof/>
                <w:webHidden/>
              </w:rPr>
              <w:fldChar w:fldCharType="begin"/>
            </w:r>
            <w:r w:rsidR="00CE6A32">
              <w:rPr>
                <w:noProof/>
                <w:webHidden/>
              </w:rPr>
              <w:instrText xml:space="preserve"> PAGEREF _Toc96601247 \h </w:instrText>
            </w:r>
            <w:r w:rsidR="00CE6A32">
              <w:rPr>
                <w:noProof/>
                <w:webHidden/>
              </w:rPr>
            </w:r>
            <w:r w:rsidR="00CE6A32">
              <w:rPr>
                <w:noProof/>
                <w:webHidden/>
              </w:rPr>
              <w:fldChar w:fldCharType="separate"/>
            </w:r>
            <w:r w:rsidR="00D433D9">
              <w:rPr>
                <w:noProof/>
                <w:webHidden/>
              </w:rPr>
              <w:t>40</w:t>
            </w:r>
            <w:r w:rsidR="00CE6A32">
              <w:rPr>
                <w:noProof/>
                <w:webHidden/>
              </w:rPr>
              <w:fldChar w:fldCharType="end"/>
            </w:r>
          </w:hyperlink>
        </w:p>
        <w:p w14:paraId="47EF327F" w14:textId="15489DE8" w:rsidR="00CE6A32" w:rsidRDefault="00712FBD">
          <w:pPr>
            <w:pStyle w:val="21"/>
            <w:rPr>
              <w:rFonts w:asciiTheme="minorHAnsi" w:eastAsiaTheme="minorEastAsia" w:hAnsiTheme="minorHAnsi" w:cstheme="minorBidi"/>
              <w:noProof/>
              <w:sz w:val="24"/>
              <w:szCs w:val="24"/>
              <w:lang w:eastAsia="ru-RU"/>
            </w:rPr>
          </w:pPr>
          <w:hyperlink w:anchor="_Toc96601248" w:history="1">
            <w:r w:rsidR="00CE6A32" w:rsidRPr="00370CD3">
              <w:rPr>
                <w:rStyle w:val="affd"/>
                <w:noProof/>
              </w:rPr>
              <w:t>3.8 Оценка ответа на лечение</w:t>
            </w:r>
            <w:r w:rsidR="00CE6A32">
              <w:rPr>
                <w:noProof/>
                <w:webHidden/>
              </w:rPr>
              <w:tab/>
            </w:r>
            <w:r w:rsidR="00CE6A32">
              <w:rPr>
                <w:noProof/>
                <w:webHidden/>
              </w:rPr>
              <w:fldChar w:fldCharType="begin"/>
            </w:r>
            <w:r w:rsidR="00CE6A32">
              <w:rPr>
                <w:noProof/>
                <w:webHidden/>
              </w:rPr>
              <w:instrText xml:space="preserve"> PAGEREF _Toc96601248 \h </w:instrText>
            </w:r>
            <w:r w:rsidR="00CE6A32">
              <w:rPr>
                <w:noProof/>
                <w:webHidden/>
              </w:rPr>
            </w:r>
            <w:r w:rsidR="00CE6A32">
              <w:rPr>
                <w:noProof/>
                <w:webHidden/>
              </w:rPr>
              <w:fldChar w:fldCharType="separate"/>
            </w:r>
            <w:r w:rsidR="00D433D9">
              <w:rPr>
                <w:noProof/>
                <w:webHidden/>
              </w:rPr>
              <w:t>41</w:t>
            </w:r>
            <w:r w:rsidR="00CE6A32">
              <w:rPr>
                <w:noProof/>
                <w:webHidden/>
              </w:rPr>
              <w:fldChar w:fldCharType="end"/>
            </w:r>
          </w:hyperlink>
        </w:p>
        <w:p w14:paraId="3E711BB6" w14:textId="6F79FABF" w:rsidR="00CE6A32" w:rsidRDefault="00712FBD">
          <w:pPr>
            <w:pStyle w:val="21"/>
            <w:rPr>
              <w:rFonts w:asciiTheme="minorHAnsi" w:eastAsiaTheme="minorEastAsia" w:hAnsiTheme="minorHAnsi" w:cstheme="minorBidi"/>
              <w:noProof/>
              <w:sz w:val="24"/>
              <w:szCs w:val="24"/>
              <w:lang w:eastAsia="ru-RU"/>
            </w:rPr>
          </w:pPr>
          <w:hyperlink w:anchor="_Toc96601249" w:history="1">
            <w:r w:rsidR="00CE6A32" w:rsidRPr="00370CD3">
              <w:rPr>
                <w:rStyle w:val="affd"/>
                <w:noProof/>
              </w:rPr>
              <w:t>3.9 Сопутствующая и сопроводительная терапия</w:t>
            </w:r>
            <w:r w:rsidR="00CE6A32">
              <w:rPr>
                <w:noProof/>
                <w:webHidden/>
              </w:rPr>
              <w:tab/>
            </w:r>
            <w:r w:rsidR="00CE6A32">
              <w:rPr>
                <w:noProof/>
                <w:webHidden/>
              </w:rPr>
              <w:fldChar w:fldCharType="begin"/>
            </w:r>
            <w:r w:rsidR="00CE6A32">
              <w:rPr>
                <w:noProof/>
                <w:webHidden/>
              </w:rPr>
              <w:instrText xml:space="preserve"> PAGEREF _Toc96601249 \h </w:instrText>
            </w:r>
            <w:r w:rsidR="00CE6A32">
              <w:rPr>
                <w:noProof/>
                <w:webHidden/>
              </w:rPr>
            </w:r>
            <w:r w:rsidR="00CE6A32">
              <w:rPr>
                <w:noProof/>
                <w:webHidden/>
              </w:rPr>
              <w:fldChar w:fldCharType="separate"/>
            </w:r>
            <w:r w:rsidR="00D433D9">
              <w:rPr>
                <w:noProof/>
                <w:webHidden/>
              </w:rPr>
              <w:t>42</w:t>
            </w:r>
            <w:r w:rsidR="00CE6A32">
              <w:rPr>
                <w:noProof/>
                <w:webHidden/>
              </w:rPr>
              <w:fldChar w:fldCharType="end"/>
            </w:r>
          </w:hyperlink>
        </w:p>
        <w:p w14:paraId="1440EC56" w14:textId="676DB27C" w:rsidR="00CE6A32" w:rsidRDefault="00712FBD">
          <w:pPr>
            <w:pStyle w:val="1a"/>
            <w:rPr>
              <w:rFonts w:asciiTheme="minorHAnsi" w:eastAsiaTheme="minorEastAsia" w:hAnsiTheme="minorHAnsi"/>
              <w:noProof/>
              <w:szCs w:val="24"/>
              <w:lang w:eastAsia="ru-RU"/>
            </w:rPr>
          </w:pPr>
          <w:hyperlink w:anchor="_Toc96601250" w:history="1">
            <w:r w:rsidR="00CE6A32" w:rsidRPr="00370CD3">
              <w:rPr>
                <w:rStyle w:val="affd"/>
                <w:noProof/>
              </w:rPr>
              <w:t>4. Медицинская реабилитация и санаторно-курортное лечение, медицинские показания и противопоказания к применению методов медицинской реабилитации, в том числе основанных на использовании природных лечебных факторов</w:t>
            </w:r>
            <w:r w:rsidR="00CE6A32">
              <w:rPr>
                <w:noProof/>
                <w:webHidden/>
              </w:rPr>
              <w:tab/>
            </w:r>
            <w:r w:rsidR="00CE6A32">
              <w:rPr>
                <w:noProof/>
                <w:webHidden/>
              </w:rPr>
              <w:fldChar w:fldCharType="begin"/>
            </w:r>
            <w:r w:rsidR="00CE6A32">
              <w:rPr>
                <w:noProof/>
                <w:webHidden/>
              </w:rPr>
              <w:instrText xml:space="preserve"> PAGEREF _Toc96601250 \h </w:instrText>
            </w:r>
            <w:r w:rsidR="00CE6A32">
              <w:rPr>
                <w:noProof/>
                <w:webHidden/>
              </w:rPr>
            </w:r>
            <w:r w:rsidR="00CE6A32">
              <w:rPr>
                <w:noProof/>
                <w:webHidden/>
              </w:rPr>
              <w:fldChar w:fldCharType="separate"/>
            </w:r>
            <w:r w:rsidR="00D433D9">
              <w:rPr>
                <w:noProof/>
                <w:webHidden/>
              </w:rPr>
              <w:t>46</w:t>
            </w:r>
            <w:r w:rsidR="00CE6A32">
              <w:rPr>
                <w:noProof/>
                <w:webHidden/>
              </w:rPr>
              <w:fldChar w:fldCharType="end"/>
            </w:r>
          </w:hyperlink>
        </w:p>
        <w:p w14:paraId="19B76334" w14:textId="770C5C72" w:rsidR="00CE6A32" w:rsidRDefault="00712FBD">
          <w:pPr>
            <w:pStyle w:val="1a"/>
            <w:rPr>
              <w:rFonts w:asciiTheme="minorHAnsi" w:eastAsiaTheme="minorEastAsia" w:hAnsiTheme="minorHAnsi"/>
              <w:noProof/>
              <w:szCs w:val="24"/>
              <w:lang w:eastAsia="ru-RU"/>
            </w:rPr>
          </w:pPr>
          <w:hyperlink w:anchor="_Toc96601251" w:history="1">
            <w:r w:rsidR="00CE6A32" w:rsidRPr="00370CD3">
              <w:rPr>
                <w:rStyle w:val="affd"/>
                <w:noProof/>
              </w:rPr>
              <w:t>5. Профилактика и диспансерное наблюдение, медицинские показания и противопоказания к применению методов профилактики</w:t>
            </w:r>
            <w:r w:rsidR="00CE6A32">
              <w:rPr>
                <w:noProof/>
                <w:webHidden/>
              </w:rPr>
              <w:tab/>
            </w:r>
            <w:r w:rsidR="00CE6A32">
              <w:rPr>
                <w:noProof/>
                <w:webHidden/>
              </w:rPr>
              <w:fldChar w:fldCharType="begin"/>
            </w:r>
            <w:r w:rsidR="00CE6A32">
              <w:rPr>
                <w:noProof/>
                <w:webHidden/>
              </w:rPr>
              <w:instrText xml:space="preserve"> PAGEREF _Toc96601251 \h </w:instrText>
            </w:r>
            <w:r w:rsidR="00CE6A32">
              <w:rPr>
                <w:noProof/>
                <w:webHidden/>
              </w:rPr>
            </w:r>
            <w:r w:rsidR="00CE6A32">
              <w:rPr>
                <w:noProof/>
                <w:webHidden/>
              </w:rPr>
              <w:fldChar w:fldCharType="separate"/>
            </w:r>
            <w:r w:rsidR="00D433D9">
              <w:rPr>
                <w:noProof/>
                <w:webHidden/>
              </w:rPr>
              <w:t>47</w:t>
            </w:r>
            <w:r w:rsidR="00CE6A32">
              <w:rPr>
                <w:noProof/>
                <w:webHidden/>
              </w:rPr>
              <w:fldChar w:fldCharType="end"/>
            </w:r>
          </w:hyperlink>
        </w:p>
        <w:p w14:paraId="2B659211" w14:textId="20CCAAF6" w:rsidR="00CE6A32" w:rsidRDefault="00712FBD">
          <w:pPr>
            <w:pStyle w:val="1a"/>
            <w:rPr>
              <w:rFonts w:asciiTheme="minorHAnsi" w:eastAsiaTheme="minorEastAsia" w:hAnsiTheme="minorHAnsi"/>
              <w:noProof/>
              <w:szCs w:val="24"/>
              <w:lang w:eastAsia="ru-RU"/>
            </w:rPr>
          </w:pPr>
          <w:hyperlink w:anchor="_Toc96601252" w:history="1">
            <w:r w:rsidR="00CE6A32" w:rsidRPr="00370CD3">
              <w:rPr>
                <w:rStyle w:val="affd"/>
                <w:noProof/>
              </w:rPr>
              <w:t>6. Организация оказания медицинской помощи</w:t>
            </w:r>
            <w:r w:rsidR="00CE6A32">
              <w:rPr>
                <w:noProof/>
                <w:webHidden/>
              </w:rPr>
              <w:tab/>
            </w:r>
            <w:r w:rsidR="00CE6A32">
              <w:rPr>
                <w:noProof/>
                <w:webHidden/>
              </w:rPr>
              <w:fldChar w:fldCharType="begin"/>
            </w:r>
            <w:r w:rsidR="00CE6A32">
              <w:rPr>
                <w:noProof/>
                <w:webHidden/>
              </w:rPr>
              <w:instrText xml:space="preserve"> PAGEREF _Toc96601252 \h </w:instrText>
            </w:r>
            <w:r w:rsidR="00CE6A32">
              <w:rPr>
                <w:noProof/>
                <w:webHidden/>
              </w:rPr>
            </w:r>
            <w:r w:rsidR="00CE6A32">
              <w:rPr>
                <w:noProof/>
                <w:webHidden/>
              </w:rPr>
              <w:fldChar w:fldCharType="separate"/>
            </w:r>
            <w:r w:rsidR="00D433D9">
              <w:rPr>
                <w:noProof/>
                <w:webHidden/>
              </w:rPr>
              <w:t>49</w:t>
            </w:r>
            <w:r w:rsidR="00CE6A32">
              <w:rPr>
                <w:noProof/>
                <w:webHidden/>
              </w:rPr>
              <w:fldChar w:fldCharType="end"/>
            </w:r>
          </w:hyperlink>
        </w:p>
        <w:p w14:paraId="72A15749" w14:textId="700C1AD7" w:rsidR="00CE6A32" w:rsidRDefault="00712FBD">
          <w:pPr>
            <w:pStyle w:val="1a"/>
            <w:rPr>
              <w:rFonts w:asciiTheme="minorHAnsi" w:eastAsiaTheme="minorEastAsia" w:hAnsiTheme="minorHAnsi"/>
              <w:noProof/>
              <w:szCs w:val="24"/>
              <w:lang w:eastAsia="ru-RU"/>
            </w:rPr>
          </w:pPr>
          <w:hyperlink w:anchor="_Toc96601253" w:history="1">
            <w:r w:rsidR="00CE6A32" w:rsidRPr="00370CD3">
              <w:rPr>
                <w:rStyle w:val="affd"/>
                <w:noProof/>
              </w:rPr>
              <w:t>7. Дополнительная информация (в том числе факторы, влияющие на исход заболевания или состояния)</w:t>
            </w:r>
            <w:r w:rsidR="00CE6A32">
              <w:rPr>
                <w:noProof/>
                <w:webHidden/>
              </w:rPr>
              <w:tab/>
            </w:r>
            <w:r w:rsidR="00CE6A32">
              <w:rPr>
                <w:noProof/>
                <w:webHidden/>
              </w:rPr>
              <w:fldChar w:fldCharType="begin"/>
            </w:r>
            <w:r w:rsidR="00CE6A32">
              <w:rPr>
                <w:noProof/>
                <w:webHidden/>
              </w:rPr>
              <w:instrText xml:space="preserve"> PAGEREF _Toc96601253 \h </w:instrText>
            </w:r>
            <w:r w:rsidR="00CE6A32">
              <w:rPr>
                <w:noProof/>
                <w:webHidden/>
              </w:rPr>
            </w:r>
            <w:r w:rsidR="00CE6A32">
              <w:rPr>
                <w:noProof/>
                <w:webHidden/>
              </w:rPr>
              <w:fldChar w:fldCharType="separate"/>
            </w:r>
            <w:r w:rsidR="00D433D9">
              <w:rPr>
                <w:noProof/>
                <w:webHidden/>
              </w:rPr>
              <w:t>53</w:t>
            </w:r>
            <w:r w:rsidR="00CE6A32">
              <w:rPr>
                <w:noProof/>
                <w:webHidden/>
              </w:rPr>
              <w:fldChar w:fldCharType="end"/>
            </w:r>
          </w:hyperlink>
        </w:p>
        <w:p w14:paraId="329E85CE" w14:textId="0A402774" w:rsidR="00CE6A32" w:rsidRDefault="00712FBD">
          <w:pPr>
            <w:pStyle w:val="21"/>
            <w:rPr>
              <w:rFonts w:asciiTheme="minorHAnsi" w:eastAsiaTheme="minorEastAsia" w:hAnsiTheme="minorHAnsi" w:cstheme="minorBidi"/>
              <w:noProof/>
              <w:sz w:val="24"/>
              <w:szCs w:val="24"/>
              <w:lang w:eastAsia="ru-RU"/>
            </w:rPr>
          </w:pPr>
          <w:hyperlink w:anchor="_Toc96601254" w:history="1">
            <w:r w:rsidR="00CE6A32" w:rsidRPr="00370CD3">
              <w:rPr>
                <w:rStyle w:val="affd"/>
                <w:noProof/>
              </w:rPr>
              <w:t>7.1 Общие требования к морфологической диагностике лимфом</w:t>
            </w:r>
            <w:r w:rsidR="00CE6A32">
              <w:rPr>
                <w:noProof/>
                <w:webHidden/>
              </w:rPr>
              <w:tab/>
            </w:r>
            <w:r w:rsidR="00CE6A32">
              <w:rPr>
                <w:noProof/>
                <w:webHidden/>
              </w:rPr>
              <w:fldChar w:fldCharType="begin"/>
            </w:r>
            <w:r w:rsidR="00CE6A32">
              <w:rPr>
                <w:noProof/>
                <w:webHidden/>
              </w:rPr>
              <w:instrText xml:space="preserve"> PAGEREF _Toc96601254 \h </w:instrText>
            </w:r>
            <w:r w:rsidR="00CE6A32">
              <w:rPr>
                <w:noProof/>
                <w:webHidden/>
              </w:rPr>
            </w:r>
            <w:r w:rsidR="00CE6A32">
              <w:rPr>
                <w:noProof/>
                <w:webHidden/>
              </w:rPr>
              <w:fldChar w:fldCharType="separate"/>
            </w:r>
            <w:r w:rsidR="00D433D9">
              <w:rPr>
                <w:noProof/>
                <w:webHidden/>
              </w:rPr>
              <w:t>53</w:t>
            </w:r>
            <w:r w:rsidR="00CE6A32">
              <w:rPr>
                <w:noProof/>
                <w:webHidden/>
              </w:rPr>
              <w:fldChar w:fldCharType="end"/>
            </w:r>
          </w:hyperlink>
        </w:p>
        <w:p w14:paraId="067FF419" w14:textId="2FE9A96D" w:rsidR="00CE6A32" w:rsidRDefault="00712FBD">
          <w:pPr>
            <w:pStyle w:val="21"/>
            <w:rPr>
              <w:rFonts w:asciiTheme="minorHAnsi" w:eastAsiaTheme="minorEastAsia" w:hAnsiTheme="minorHAnsi" w:cstheme="minorBidi"/>
              <w:noProof/>
              <w:sz w:val="24"/>
              <w:szCs w:val="24"/>
              <w:lang w:eastAsia="ru-RU"/>
            </w:rPr>
          </w:pPr>
          <w:hyperlink w:anchor="_Toc96601255" w:history="1">
            <w:r w:rsidR="00CE6A32" w:rsidRPr="00370CD3">
              <w:rPr>
                <w:rStyle w:val="affd"/>
                <w:noProof/>
              </w:rPr>
              <w:t>7.2 Морфологическая и иммуногистохимическая диагностика агрессивных нефолликулярных В-клеточных лимфом</w:t>
            </w:r>
            <w:r w:rsidR="00CE6A32">
              <w:rPr>
                <w:noProof/>
                <w:webHidden/>
              </w:rPr>
              <w:tab/>
            </w:r>
            <w:r w:rsidR="00CE6A32">
              <w:rPr>
                <w:noProof/>
                <w:webHidden/>
              </w:rPr>
              <w:fldChar w:fldCharType="begin"/>
            </w:r>
            <w:r w:rsidR="00CE6A32">
              <w:rPr>
                <w:noProof/>
                <w:webHidden/>
              </w:rPr>
              <w:instrText xml:space="preserve"> PAGEREF _Toc96601255 \h </w:instrText>
            </w:r>
            <w:r w:rsidR="00CE6A32">
              <w:rPr>
                <w:noProof/>
                <w:webHidden/>
              </w:rPr>
            </w:r>
            <w:r w:rsidR="00CE6A32">
              <w:rPr>
                <w:noProof/>
                <w:webHidden/>
              </w:rPr>
              <w:fldChar w:fldCharType="separate"/>
            </w:r>
            <w:r w:rsidR="00D433D9">
              <w:rPr>
                <w:noProof/>
                <w:webHidden/>
              </w:rPr>
              <w:t>56</w:t>
            </w:r>
            <w:r w:rsidR="00CE6A32">
              <w:rPr>
                <w:noProof/>
                <w:webHidden/>
              </w:rPr>
              <w:fldChar w:fldCharType="end"/>
            </w:r>
          </w:hyperlink>
        </w:p>
        <w:p w14:paraId="75C428C3" w14:textId="29740BD5" w:rsidR="00CE6A32" w:rsidRDefault="00712FBD">
          <w:pPr>
            <w:pStyle w:val="21"/>
            <w:rPr>
              <w:rFonts w:asciiTheme="minorHAnsi" w:eastAsiaTheme="minorEastAsia" w:hAnsiTheme="minorHAnsi" w:cstheme="minorBidi"/>
              <w:noProof/>
              <w:sz w:val="24"/>
              <w:szCs w:val="24"/>
              <w:lang w:eastAsia="ru-RU"/>
            </w:rPr>
          </w:pPr>
          <w:hyperlink w:anchor="_Toc96601256" w:history="1">
            <w:r w:rsidR="00CE6A32" w:rsidRPr="00370CD3">
              <w:rPr>
                <w:rStyle w:val="affd"/>
                <w:noProof/>
              </w:rPr>
              <w:t>7.3 Стадирование агрессивных нефолликулярных В-клеточных лимфом</w:t>
            </w:r>
            <w:r w:rsidR="00CE6A32">
              <w:rPr>
                <w:noProof/>
                <w:webHidden/>
              </w:rPr>
              <w:tab/>
            </w:r>
            <w:r w:rsidR="00CE6A32">
              <w:rPr>
                <w:noProof/>
                <w:webHidden/>
              </w:rPr>
              <w:fldChar w:fldCharType="begin"/>
            </w:r>
            <w:r w:rsidR="00CE6A32">
              <w:rPr>
                <w:noProof/>
                <w:webHidden/>
              </w:rPr>
              <w:instrText xml:space="preserve"> PAGEREF _Toc96601256 \h </w:instrText>
            </w:r>
            <w:r w:rsidR="00CE6A32">
              <w:rPr>
                <w:noProof/>
                <w:webHidden/>
              </w:rPr>
            </w:r>
            <w:r w:rsidR="00CE6A32">
              <w:rPr>
                <w:noProof/>
                <w:webHidden/>
              </w:rPr>
              <w:fldChar w:fldCharType="separate"/>
            </w:r>
            <w:r w:rsidR="00D433D9">
              <w:rPr>
                <w:noProof/>
                <w:webHidden/>
              </w:rPr>
              <w:t>60</w:t>
            </w:r>
            <w:r w:rsidR="00CE6A32">
              <w:rPr>
                <w:noProof/>
                <w:webHidden/>
              </w:rPr>
              <w:fldChar w:fldCharType="end"/>
            </w:r>
          </w:hyperlink>
        </w:p>
        <w:p w14:paraId="015CBE33" w14:textId="36F4BEA4" w:rsidR="00CE6A32" w:rsidRDefault="00712FBD">
          <w:pPr>
            <w:pStyle w:val="21"/>
            <w:rPr>
              <w:rFonts w:asciiTheme="minorHAnsi" w:eastAsiaTheme="minorEastAsia" w:hAnsiTheme="minorHAnsi" w:cstheme="minorBidi"/>
              <w:noProof/>
              <w:sz w:val="24"/>
              <w:szCs w:val="24"/>
              <w:lang w:eastAsia="ru-RU"/>
            </w:rPr>
          </w:pPr>
          <w:hyperlink w:anchor="_Toc96601257" w:history="1">
            <w:r w:rsidR="00CE6A32" w:rsidRPr="00370CD3">
              <w:rPr>
                <w:rStyle w:val="affd"/>
                <w:noProof/>
              </w:rPr>
              <w:t>7.4 Определение групп риска ДВКЛ у взрослых пациентов</w:t>
            </w:r>
            <w:r w:rsidR="00CE6A32">
              <w:rPr>
                <w:noProof/>
                <w:webHidden/>
              </w:rPr>
              <w:tab/>
            </w:r>
            <w:r w:rsidR="00CE6A32">
              <w:rPr>
                <w:noProof/>
                <w:webHidden/>
              </w:rPr>
              <w:fldChar w:fldCharType="begin"/>
            </w:r>
            <w:r w:rsidR="00CE6A32">
              <w:rPr>
                <w:noProof/>
                <w:webHidden/>
              </w:rPr>
              <w:instrText xml:space="preserve"> PAGEREF _Toc96601257 \h </w:instrText>
            </w:r>
            <w:r w:rsidR="00CE6A32">
              <w:rPr>
                <w:noProof/>
                <w:webHidden/>
              </w:rPr>
            </w:r>
            <w:r w:rsidR="00CE6A32">
              <w:rPr>
                <w:noProof/>
                <w:webHidden/>
              </w:rPr>
              <w:fldChar w:fldCharType="separate"/>
            </w:r>
            <w:r w:rsidR="00D433D9">
              <w:rPr>
                <w:noProof/>
                <w:webHidden/>
              </w:rPr>
              <w:t>61</w:t>
            </w:r>
            <w:r w:rsidR="00CE6A32">
              <w:rPr>
                <w:noProof/>
                <w:webHidden/>
              </w:rPr>
              <w:fldChar w:fldCharType="end"/>
            </w:r>
          </w:hyperlink>
        </w:p>
        <w:p w14:paraId="5DF959A8" w14:textId="616DFF00" w:rsidR="00CE6A32" w:rsidRDefault="00712FBD">
          <w:pPr>
            <w:pStyle w:val="21"/>
            <w:rPr>
              <w:rFonts w:asciiTheme="minorHAnsi" w:eastAsiaTheme="minorEastAsia" w:hAnsiTheme="minorHAnsi" w:cstheme="minorBidi"/>
              <w:noProof/>
              <w:sz w:val="24"/>
              <w:szCs w:val="24"/>
              <w:lang w:eastAsia="ru-RU"/>
            </w:rPr>
          </w:pPr>
          <w:hyperlink w:anchor="_Toc96601258" w:history="1">
            <w:r w:rsidR="00CE6A32" w:rsidRPr="00370CD3">
              <w:rPr>
                <w:rStyle w:val="affd"/>
                <w:noProof/>
              </w:rPr>
              <w:t>7.5 Определение групп риска ДВКЛ у пациентов моложе 18 лет</w:t>
            </w:r>
            <w:r w:rsidR="00CE6A32">
              <w:rPr>
                <w:noProof/>
                <w:webHidden/>
              </w:rPr>
              <w:tab/>
            </w:r>
            <w:r w:rsidR="00CE6A32">
              <w:rPr>
                <w:noProof/>
                <w:webHidden/>
              </w:rPr>
              <w:fldChar w:fldCharType="begin"/>
            </w:r>
            <w:r w:rsidR="00CE6A32">
              <w:rPr>
                <w:noProof/>
                <w:webHidden/>
              </w:rPr>
              <w:instrText xml:space="preserve"> PAGEREF _Toc96601258 \h </w:instrText>
            </w:r>
            <w:r w:rsidR="00CE6A32">
              <w:rPr>
                <w:noProof/>
                <w:webHidden/>
              </w:rPr>
            </w:r>
            <w:r w:rsidR="00CE6A32">
              <w:rPr>
                <w:noProof/>
                <w:webHidden/>
              </w:rPr>
              <w:fldChar w:fldCharType="separate"/>
            </w:r>
            <w:r w:rsidR="00D433D9">
              <w:rPr>
                <w:noProof/>
                <w:webHidden/>
              </w:rPr>
              <w:t>63</w:t>
            </w:r>
            <w:r w:rsidR="00CE6A32">
              <w:rPr>
                <w:noProof/>
                <w:webHidden/>
              </w:rPr>
              <w:fldChar w:fldCharType="end"/>
            </w:r>
          </w:hyperlink>
        </w:p>
        <w:p w14:paraId="41F1658A" w14:textId="57413ED3" w:rsidR="00CE6A32" w:rsidRDefault="00712FBD">
          <w:pPr>
            <w:pStyle w:val="21"/>
            <w:rPr>
              <w:rFonts w:asciiTheme="minorHAnsi" w:eastAsiaTheme="minorEastAsia" w:hAnsiTheme="minorHAnsi" w:cstheme="minorBidi"/>
              <w:noProof/>
              <w:sz w:val="24"/>
              <w:szCs w:val="24"/>
              <w:lang w:eastAsia="ru-RU"/>
            </w:rPr>
          </w:pPr>
          <w:hyperlink w:anchor="_Toc96601259" w:history="1">
            <w:r w:rsidR="00CE6A32" w:rsidRPr="00370CD3">
              <w:rPr>
                <w:rStyle w:val="affd"/>
                <w:noProof/>
              </w:rPr>
              <w:t>7.6 Оценка ответа на лечение при лимфомах</w:t>
            </w:r>
            <w:r w:rsidR="00CE6A32">
              <w:rPr>
                <w:noProof/>
                <w:webHidden/>
              </w:rPr>
              <w:tab/>
            </w:r>
            <w:r w:rsidR="00CE6A32">
              <w:rPr>
                <w:noProof/>
                <w:webHidden/>
              </w:rPr>
              <w:fldChar w:fldCharType="begin"/>
            </w:r>
            <w:r w:rsidR="00CE6A32">
              <w:rPr>
                <w:noProof/>
                <w:webHidden/>
              </w:rPr>
              <w:instrText xml:space="preserve"> PAGEREF _Toc96601259 \h </w:instrText>
            </w:r>
            <w:r w:rsidR="00CE6A32">
              <w:rPr>
                <w:noProof/>
                <w:webHidden/>
              </w:rPr>
            </w:r>
            <w:r w:rsidR="00CE6A32">
              <w:rPr>
                <w:noProof/>
                <w:webHidden/>
              </w:rPr>
              <w:fldChar w:fldCharType="separate"/>
            </w:r>
            <w:r w:rsidR="00D433D9">
              <w:rPr>
                <w:noProof/>
                <w:webHidden/>
              </w:rPr>
              <w:t>63</w:t>
            </w:r>
            <w:r w:rsidR="00CE6A32">
              <w:rPr>
                <w:noProof/>
                <w:webHidden/>
              </w:rPr>
              <w:fldChar w:fldCharType="end"/>
            </w:r>
          </w:hyperlink>
        </w:p>
        <w:p w14:paraId="64D12676" w14:textId="5E19F0B6" w:rsidR="00CE6A32" w:rsidRDefault="00712FBD">
          <w:pPr>
            <w:pStyle w:val="21"/>
            <w:rPr>
              <w:rFonts w:asciiTheme="minorHAnsi" w:eastAsiaTheme="minorEastAsia" w:hAnsiTheme="minorHAnsi" w:cstheme="minorBidi"/>
              <w:noProof/>
              <w:sz w:val="24"/>
              <w:szCs w:val="24"/>
              <w:lang w:eastAsia="ru-RU"/>
            </w:rPr>
          </w:pPr>
          <w:hyperlink w:anchor="_Toc96601260" w:history="1">
            <w:r w:rsidR="00CE6A32" w:rsidRPr="00370CD3">
              <w:rPr>
                <w:rStyle w:val="affd"/>
                <w:noProof/>
              </w:rPr>
              <w:t>7.7 Лучевая терапия при ДВКЛ</w:t>
            </w:r>
            <w:r w:rsidR="00CE6A32">
              <w:rPr>
                <w:noProof/>
                <w:webHidden/>
              </w:rPr>
              <w:tab/>
            </w:r>
            <w:r w:rsidR="00CE6A32">
              <w:rPr>
                <w:noProof/>
                <w:webHidden/>
              </w:rPr>
              <w:fldChar w:fldCharType="begin"/>
            </w:r>
            <w:r w:rsidR="00CE6A32">
              <w:rPr>
                <w:noProof/>
                <w:webHidden/>
              </w:rPr>
              <w:instrText xml:space="preserve"> PAGEREF _Toc96601260 \h </w:instrText>
            </w:r>
            <w:r w:rsidR="00CE6A32">
              <w:rPr>
                <w:noProof/>
                <w:webHidden/>
              </w:rPr>
            </w:r>
            <w:r w:rsidR="00CE6A32">
              <w:rPr>
                <w:noProof/>
                <w:webHidden/>
              </w:rPr>
              <w:fldChar w:fldCharType="separate"/>
            </w:r>
            <w:r w:rsidR="00D433D9">
              <w:rPr>
                <w:noProof/>
                <w:webHidden/>
              </w:rPr>
              <w:t>66</w:t>
            </w:r>
            <w:r w:rsidR="00CE6A32">
              <w:rPr>
                <w:noProof/>
                <w:webHidden/>
              </w:rPr>
              <w:fldChar w:fldCharType="end"/>
            </w:r>
          </w:hyperlink>
        </w:p>
        <w:p w14:paraId="46BD7A13" w14:textId="6471737B" w:rsidR="00CE6A32" w:rsidRDefault="00712FBD">
          <w:pPr>
            <w:pStyle w:val="21"/>
            <w:rPr>
              <w:rFonts w:asciiTheme="minorHAnsi" w:eastAsiaTheme="minorEastAsia" w:hAnsiTheme="minorHAnsi" w:cstheme="minorBidi"/>
              <w:noProof/>
              <w:sz w:val="24"/>
              <w:szCs w:val="24"/>
              <w:lang w:eastAsia="ru-RU"/>
            </w:rPr>
          </w:pPr>
          <w:hyperlink w:anchor="_Toc96601261" w:history="1">
            <w:r w:rsidR="00CE6A32" w:rsidRPr="00370CD3">
              <w:rPr>
                <w:rStyle w:val="affd"/>
                <w:noProof/>
              </w:rPr>
              <w:t>7.8. Инфузионная терапия у пациентов с агрессивными лимфомами</w:t>
            </w:r>
            <w:r w:rsidR="00CE6A32">
              <w:rPr>
                <w:noProof/>
                <w:webHidden/>
              </w:rPr>
              <w:tab/>
            </w:r>
            <w:r w:rsidR="00CE6A32">
              <w:rPr>
                <w:noProof/>
                <w:webHidden/>
              </w:rPr>
              <w:fldChar w:fldCharType="begin"/>
            </w:r>
            <w:r w:rsidR="00CE6A32">
              <w:rPr>
                <w:noProof/>
                <w:webHidden/>
              </w:rPr>
              <w:instrText xml:space="preserve"> PAGEREF _Toc96601261 \h </w:instrText>
            </w:r>
            <w:r w:rsidR="00CE6A32">
              <w:rPr>
                <w:noProof/>
                <w:webHidden/>
              </w:rPr>
            </w:r>
            <w:r w:rsidR="00CE6A32">
              <w:rPr>
                <w:noProof/>
                <w:webHidden/>
              </w:rPr>
              <w:fldChar w:fldCharType="separate"/>
            </w:r>
            <w:r w:rsidR="00D433D9">
              <w:rPr>
                <w:noProof/>
                <w:webHidden/>
              </w:rPr>
              <w:t>67</w:t>
            </w:r>
            <w:r w:rsidR="00CE6A32">
              <w:rPr>
                <w:noProof/>
                <w:webHidden/>
              </w:rPr>
              <w:fldChar w:fldCharType="end"/>
            </w:r>
          </w:hyperlink>
        </w:p>
        <w:p w14:paraId="6E00F262" w14:textId="4B24EE04" w:rsidR="00CE6A32" w:rsidRDefault="00712FBD">
          <w:pPr>
            <w:pStyle w:val="21"/>
            <w:rPr>
              <w:rFonts w:asciiTheme="minorHAnsi" w:eastAsiaTheme="minorEastAsia" w:hAnsiTheme="minorHAnsi" w:cstheme="minorBidi"/>
              <w:noProof/>
              <w:sz w:val="24"/>
              <w:szCs w:val="24"/>
              <w:lang w:eastAsia="ru-RU"/>
            </w:rPr>
          </w:pPr>
          <w:hyperlink w:anchor="_Toc96601262" w:history="1">
            <w:r w:rsidR="00CE6A32" w:rsidRPr="00370CD3">
              <w:rPr>
                <w:rStyle w:val="affd"/>
                <w:noProof/>
              </w:rPr>
              <w:t>7.9. Применение компонентов донорской крови у гематологических пациентов</w:t>
            </w:r>
            <w:r w:rsidR="00CE6A32">
              <w:rPr>
                <w:noProof/>
                <w:webHidden/>
              </w:rPr>
              <w:tab/>
            </w:r>
            <w:r w:rsidR="00CE6A32">
              <w:rPr>
                <w:noProof/>
                <w:webHidden/>
              </w:rPr>
              <w:fldChar w:fldCharType="begin"/>
            </w:r>
            <w:r w:rsidR="00CE6A32">
              <w:rPr>
                <w:noProof/>
                <w:webHidden/>
              </w:rPr>
              <w:instrText xml:space="preserve"> PAGEREF _Toc96601262 \h </w:instrText>
            </w:r>
            <w:r w:rsidR="00CE6A32">
              <w:rPr>
                <w:noProof/>
                <w:webHidden/>
              </w:rPr>
            </w:r>
            <w:r w:rsidR="00CE6A32">
              <w:rPr>
                <w:noProof/>
                <w:webHidden/>
              </w:rPr>
              <w:fldChar w:fldCharType="separate"/>
            </w:r>
            <w:r w:rsidR="00D433D9">
              <w:rPr>
                <w:noProof/>
                <w:webHidden/>
              </w:rPr>
              <w:t>72</w:t>
            </w:r>
            <w:r w:rsidR="00CE6A32">
              <w:rPr>
                <w:noProof/>
                <w:webHidden/>
              </w:rPr>
              <w:fldChar w:fldCharType="end"/>
            </w:r>
          </w:hyperlink>
        </w:p>
        <w:p w14:paraId="355F7E62" w14:textId="0D86C524" w:rsidR="00CE6A32" w:rsidRDefault="00712FBD">
          <w:pPr>
            <w:pStyle w:val="21"/>
            <w:rPr>
              <w:rFonts w:asciiTheme="minorHAnsi" w:eastAsiaTheme="minorEastAsia" w:hAnsiTheme="minorHAnsi" w:cstheme="minorBidi"/>
              <w:noProof/>
              <w:sz w:val="24"/>
              <w:szCs w:val="24"/>
              <w:lang w:eastAsia="ru-RU"/>
            </w:rPr>
          </w:pPr>
          <w:hyperlink w:anchor="_Toc96601263" w:history="1">
            <w:r w:rsidR="00CE6A32" w:rsidRPr="00370CD3">
              <w:rPr>
                <w:rStyle w:val="affd"/>
                <w:noProof/>
              </w:rPr>
              <w:t>7.10. Протоколы выполнения аспирационного и биопсийного исследования костного мозга</w:t>
            </w:r>
            <w:r w:rsidR="00CE6A32">
              <w:rPr>
                <w:noProof/>
                <w:webHidden/>
              </w:rPr>
              <w:tab/>
            </w:r>
            <w:r w:rsidR="00CE6A32">
              <w:rPr>
                <w:noProof/>
                <w:webHidden/>
              </w:rPr>
              <w:fldChar w:fldCharType="begin"/>
            </w:r>
            <w:r w:rsidR="00CE6A32">
              <w:rPr>
                <w:noProof/>
                <w:webHidden/>
              </w:rPr>
              <w:instrText xml:space="preserve"> PAGEREF _Toc96601263 \h </w:instrText>
            </w:r>
            <w:r w:rsidR="00CE6A32">
              <w:rPr>
                <w:noProof/>
                <w:webHidden/>
              </w:rPr>
            </w:r>
            <w:r w:rsidR="00CE6A32">
              <w:rPr>
                <w:noProof/>
                <w:webHidden/>
              </w:rPr>
              <w:fldChar w:fldCharType="separate"/>
            </w:r>
            <w:r w:rsidR="00D433D9">
              <w:rPr>
                <w:noProof/>
                <w:webHidden/>
              </w:rPr>
              <w:t>93</w:t>
            </w:r>
            <w:r w:rsidR="00CE6A32">
              <w:rPr>
                <w:noProof/>
                <w:webHidden/>
              </w:rPr>
              <w:fldChar w:fldCharType="end"/>
            </w:r>
          </w:hyperlink>
        </w:p>
        <w:p w14:paraId="2B8034EB" w14:textId="7227B0D5" w:rsidR="00CE6A32" w:rsidRDefault="00712FBD">
          <w:pPr>
            <w:pStyle w:val="21"/>
            <w:rPr>
              <w:rFonts w:asciiTheme="minorHAnsi" w:eastAsiaTheme="minorEastAsia" w:hAnsiTheme="minorHAnsi" w:cstheme="minorBidi"/>
              <w:noProof/>
              <w:sz w:val="24"/>
              <w:szCs w:val="24"/>
              <w:lang w:eastAsia="ru-RU"/>
            </w:rPr>
          </w:pPr>
          <w:hyperlink w:anchor="_Toc96601264" w:history="1">
            <w:r w:rsidR="00CE6A32" w:rsidRPr="00370CD3">
              <w:rPr>
                <w:rStyle w:val="affd"/>
                <w:noProof/>
              </w:rPr>
              <w:t>7.11. Обеспечение сосудистого доступа</w:t>
            </w:r>
            <w:r w:rsidR="00CE6A32">
              <w:rPr>
                <w:noProof/>
                <w:webHidden/>
              </w:rPr>
              <w:tab/>
            </w:r>
            <w:r w:rsidR="00CE6A32">
              <w:rPr>
                <w:noProof/>
                <w:webHidden/>
              </w:rPr>
              <w:fldChar w:fldCharType="begin"/>
            </w:r>
            <w:r w:rsidR="00CE6A32">
              <w:rPr>
                <w:noProof/>
                <w:webHidden/>
              </w:rPr>
              <w:instrText xml:space="preserve"> PAGEREF _Toc96601264 \h </w:instrText>
            </w:r>
            <w:r w:rsidR="00CE6A32">
              <w:rPr>
                <w:noProof/>
                <w:webHidden/>
              </w:rPr>
            </w:r>
            <w:r w:rsidR="00CE6A32">
              <w:rPr>
                <w:noProof/>
                <w:webHidden/>
              </w:rPr>
              <w:fldChar w:fldCharType="separate"/>
            </w:r>
            <w:r w:rsidR="00D433D9">
              <w:rPr>
                <w:noProof/>
                <w:webHidden/>
              </w:rPr>
              <w:t>102</w:t>
            </w:r>
            <w:r w:rsidR="00CE6A32">
              <w:rPr>
                <w:noProof/>
                <w:webHidden/>
              </w:rPr>
              <w:fldChar w:fldCharType="end"/>
            </w:r>
          </w:hyperlink>
        </w:p>
        <w:p w14:paraId="707AE180" w14:textId="5D29C35D" w:rsidR="00CE6A32" w:rsidRDefault="00712FBD">
          <w:pPr>
            <w:pStyle w:val="21"/>
            <w:rPr>
              <w:rFonts w:asciiTheme="minorHAnsi" w:eastAsiaTheme="minorEastAsia" w:hAnsiTheme="minorHAnsi" w:cstheme="minorBidi"/>
              <w:noProof/>
              <w:sz w:val="24"/>
              <w:szCs w:val="24"/>
              <w:lang w:eastAsia="ru-RU"/>
            </w:rPr>
          </w:pPr>
          <w:hyperlink w:anchor="_Toc96601265" w:history="1">
            <w:r w:rsidR="00CE6A32" w:rsidRPr="00370CD3">
              <w:rPr>
                <w:rStyle w:val="affd"/>
                <w:noProof/>
              </w:rPr>
              <w:t>7.12. Лечение гематологического пациента в отделении реанимации и интенсивной терапии</w:t>
            </w:r>
            <w:r w:rsidR="00CE6A32">
              <w:rPr>
                <w:noProof/>
                <w:webHidden/>
              </w:rPr>
              <w:tab/>
            </w:r>
            <w:r w:rsidR="00CE6A32">
              <w:rPr>
                <w:noProof/>
                <w:webHidden/>
              </w:rPr>
              <w:fldChar w:fldCharType="begin"/>
            </w:r>
            <w:r w:rsidR="00CE6A32">
              <w:rPr>
                <w:noProof/>
                <w:webHidden/>
              </w:rPr>
              <w:instrText xml:space="preserve"> PAGEREF _Toc96601265 \h </w:instrText>
            </w:r>
            <w:r w:rsidR="00CE6A32">
              <w:rPr>
                <w:noProof/>
                <w:webHidden/>
              </w:rPr>
            </w:r>
            <w:r w:rsidR="00CE6A32">
              <w:rPr>
                <w:noProof/>
                <w:webHidden/>
              </w:rPr>
              <w:fldChar w:fldCharType="separate"/>
            </w:r>
            <w:r w:rsidR="00D433D9">
              <w:rPr>
                <w:noProof/>
                <w:webHidden/>
              </w:rPr>
              <w:t>114</w:t>
            </w:r>
            <w:r w:rsidR="00CE6A32">
              <w:rPr>
                <w:noProof/>
                <w:webHidden/>
              </w:rPr>
              <w:fldChar w:fldCharType="end"/>
            </w:r>
          </w:hyperlink>
        </w:p>
        <w:p w14:paraId="3529EC4D" w14:textId="5E9058E9" w:rsidR="00CE6A32" w:rsidRDefault="00712FBD">
          <w:pPr>
            <w:pStyle w:val="1a"/>
            <w:rPr>
              <w:rFonts w:asciiTheme="minorHAnsi" w:eastAsiaTheme="minorEastAsia" w:hAnsiTheme="minorHAnsi"/>
              <w:noProof/>
              <w:szCs w:val="24"/>
              <w:lang w:eastAsia="ru-RU"/>
            </w:rPr>
          </w:pPr>
          <w:hyperlink w:anchor="_Toc96601266" w:history="1">
            <w:r w:rsidR="00CE6A32" w:rsidRPr="00370CD3">
              <w:rPr>
                <w:rStyle w:val="affd"/>
                <w:noProof/>
              </w:rPr>
              <w:t>Критерии оценки качества медицинской помощи</w:t>
            </w:r>
            <w:r w:rsidR="00CE6A32">
              <w:rPr>
                <w:noProof/>
                <w:webHidden/>
              </w:rPr>
              <w:tab/>
            </w:r>
            <w:r w:rsidR="00CE6A32">
              <w:rPr>
                <w:noProof/>
                <w:webHidden/>
              </w:rPr>
              <w:fldChar w:fldCharType="begin"/>
            </w:r>
            <w:r w:rsidR="00CE6A32">
              <w:rPr>
                <w:noProof/>
                <w:webHidden/>
              </w:rPr>
              <w:instrText xml:space="preserve"> PAGEREF _Toc96601266 \h </w:instrText>
            </w:r>
            <w:r w:rsidR="00CE6A32">
              <w:rPr>
                <w:noProof/>
                <w:webHidden/>
              </w:rPr>
            </w:r>
            <w:r w:rsidR="00CE6A32">
              <w:rPr>
                <w:noProof/>
                <w:webHidden/>
              </w:rPr>
              <w:fldChar w:fldCharType="separate"/>
            </w:r>
            <w:r w:rsidR="00D433D9">
              <w:rPr>
                <w:noProof/>
                <w:webHidden/>
              </w:rPr>
              <w:t>117</w:t>
            </w:r>
            <w:r w:rsidR="00CE6A32">
              <w:rPr>
                <w:noProof/>
                <w:webHidden/>
              </w:rPr>
              <w:fldChar w:fldCharType="end"/>
            </w:r>
          </w:hyperlink>
        </w:p>
        <w:p w14:paraId="245B291B" w14:textId="542313EE" w:rsidR="00CE6A32" w:rsidRDefault="00712FBD">
          <w:pPr>
            <w:pStyle w:val="1a"/>
            <w:rPr>
              <w:rFonts w:asciiTheme="minorHAnsi" w:eastAsiaTheme="minorEastAsia" w:hAnsiTheme="minorHAnsi"/>
              <w:noProof/>
              <w:szCs w:val="24"/>
              <w:lang w:eastAsia="ru-RU"/>
            </w:rPr>
          </w:pPr>
          <w:hyperlink w:anchor="_Toc96601267" w:history="1">
            <w:r w:rsidR="00CE6A32" w:rsidRPr="00370CD3">
              <w:rPr>
                <w:rStyle w:val="affd"/>
                <w:noProof/>
              </w:rPr>
              <w:t>Список литературы</w:t>
            </w:r>
            <w:r w:rsidR="00CE6A32">
              <w:rPr>
                <w:noProof/>
                <w:webHidden/>
              </w:rPr>
              <w:tab/>
            </w:r>
            <w:r w:rsidR="00CE6A32">
              <w:rPr>
                <w:noProof/>
                <w:webHidden/>
              </w:rPr>
              <w:fldChar w:fldCharType="begin"/>
            </w:r>
            <w:r w:rsidR="00CE6A32">
              <w:rPr>
                <w:noProof/>
                <w:webHidden/>
              </w:rPr>
              <w:instrText xml:space="preserve"> PAGEREF _Toc96601267 \h </w:instrText>
            </w:r>
            <w:r w:rsidR="00CE6A32">
              <w:rPr>
                <w:noProof/>
                <w:webHidden/>
              </w:rPr>
            </w:r>
            <w:r w:rsidR="00CE6A32">
              <w:rPr>
                <w:noProof/>
                <w:webHidden/>
              </w:rPr>
              <w:fldChar w:fldCharType="separate"/>
            </w:r>
            <w:r w:rsidR="00D433D9">
              <w:rPr>
                <w:noProof/>
                <w:webHidden/>
              </w:rPr>
              <w:t>121</w:t>
            </w:r>
            <w:r w:rsidR="00CE6A32">
              <w:rPr>
                <w:noProof/>
                <w:webHidden/>
              </w:rPr>
              <w:fldChar w:fldCharType="end"/>
            </w:r>
          </w:hyperlink>
        </w:p>
        <w:p w14:paraId="5844B032" w14:textId="482AFD39" w:rsidR="00CE6A32" w:rsidRDefault="00712FBD">
          <w:pPr>
            <w:pStyle w:val="1a"/>
            <w:rPr>
              <w:rFonts w:asciiTheme="minorHAnsi" w:eastAsiaTheme="minorEastAsia" w:hAnsiTheme="minorHAnsi"/>
              <w:noProof/>
              <w:szCs w:val="24"/>
              <w:lang w:eastAsia="ru-RU"/>
            </w:rPr>
          </w:pPr>
          <w:hyperlink w:anchor="_Toc96601268" w:history="1">
            <w:r w:rsidR="00CE6A32" w:rsidRPr="00370CD3">
              <w:rPr>
                <w:rStyle w:val="affd"/>
                <w:noProof/>
              </w:rPr>
              <w:t>Приложение А1. Состав рабочей группы по разработке и пересмотру клинических рекомендаций</w:t>
            </w:r>
            <w:r w:rsidR="00CE6A32">
              <w:rPr>
                <w:noProof/>
                <w:webHidden/>
              </w:rPr>
              <w:tab/>
            </w:r>
            <w:r w:rsidR="00CE6A32">
              <w:rPr>
                <w:noProof/>
                <w:webHidden/>
              </w:rPr>
              <w:fldChar w:fldCharType="begin"/>
            </w:r>
            <w:r w:rsidR="00CE6A32">
              <w:rPr>
                <w:noProof/>
                <w:webHidden/>
              </w:rPr>
              <w:instrText xml:space="preserve"> PAGEREF _Toc96601268 \h </w:instrText>
            </w:r>
            <w:r w:rsidR="00CE6A32">
              <w:rPr>
                <w:noProof/>
                <w:webHidden/>
              </w:rPr>
            </w:r>
            <w:r w:rsidR="00CE6A32">
              <w:rPr>
                <w:noProof/>
                <w:webHidden/>
              </w:rPr>
              <w:fldChar w:fldCharType="separate"/>
            </w:r>
            <w:r w:rsidR="00D433D9">
              <w:rPr>
                <w:noProof/>
                <w:webHidden/>
              </w:rPr>
              <w:t>144</w:t>
            </w:r>
            <w:r w:rsidR="00CE6A32">
              <w:rPr>
                <w:noProof/>
                <w:webHidden/>
              </w:rPr>
              <w:fldChar w:fldCharType="end"/>
            </w:r>
          </w:hyperlink>
        </w:p>
        <w:p w14:paraId="5E2861A1" w14:textId="3499A0BC" w:rsidR="00CE6A32" w:rsidRDefault="00712FBD">
          <w:pPr>
            <w:pStyle w:val="1a"/>
            <w:rPr>
              <w:rFonts w:asciiTheme="minorHAnsi" w:eastAsiaTheme="minorEastAsia" w:hAnsiTheme="minorHAnsi"/>
              <w:noProof/>
              <w:szCs w:val="24"/>
              <w:lang w:eastAsia="ru-RU"/>
            </w:rPr>
          </w:pPr>
          <w:hyperlink w:anchor="_Toc96601269" w:history="1">
            <w:r w:rsidR="00CE6A32" w:rsidRPr="00370CD3">
              <w:rPr>
                <w:rStyle w:val="affd"/>
                <w:noProof/>
              </w:rPr>
              <w:t>Приложение А2. Методология разработки клинических рекомендаций</w:t>
            </w:r>
            <w:r w:rsidR="00CE6A32">
              <w:rPr>
                <w:noProof/>
                <w:webHidden/>
              </w:rPr>
              <w:tab/>
            </w:r>
            <w:r w:rsidR="00CE6A32">
              <w:rPr>
                <w:noProof/>
                <w:webHidden/>
              </w:rPr>
              <w:fldChar w:fldCharType="begin"/>
            </w:r>
            <w:r w:rsidR="00CE6A32">
              <w:rPr>
                <w:noProof/>
                <w:webHidden/>
              </w:rPr>
              <w:instrText xml:space="preserve"> PAGEREF _Toc96601269 \h </w:instrText>
            </w:r>
            <w:r w:rsidR="00CE6A32">
              <w:rPr>
                <w:noProof/>
                <w:webHidden/>
              </w:rPr>
            </w:r>
            <w:r w:rsidR="00CE6A32">
              <w:rPr>
                <w:noProof/>
                <w:webHidden/>
              </w:rPr>
              <w:fldChar w:fldCharType="separate"/>
            </w:r>
            <w:r w:rsidR="00D433D9">
              <w:rPr>
                <w:noProof/>
                <w:webHidden/>
              </w:rPr>
              <w:t>149</w:t>
            </w:r>
            <w:r w:rsidR="00CE6A32">
              <w:rPr>
                <w:noProof/>
                <w:webHidden/>
              </w:rPr>
              <w:fldChar w:fldCharType="end"/>
            </w:r>
          </w:hyperlink>
        </w:p>
        <w:p w14:paraId="4E3633CE" w14:textId="69C7EAFC" w:rsidR="00CE6A32" w:rsidRDefault="00712FBD">
          <w:pPr>
            <w:pStyle w:val="1a"/>
            <w:rPr>
              <w:rFonts w:asciiTheme="minorHAnsi" w:eastAsiaTheme="minorEastAsia" w:hAnsiTheme="minorHAnsi"/>
              <w:noProof/>
              <w:szCs w:val="24"/>
              <w:lang w:eastAsia="ru-RU"/>
            </w:rPr>
          </w:pPr>
          <w:hyperlink w:anchor="_Toc96601270" w:history="1">
            <w:r w:rsidR="00CE6A32" w:rsidRPr="00370CD3">
              <w:rPr>
                <w:rStyle w:val="affd"/>
                <w:noProof/>
              </w:rPr>
              <w:t>Приложение А3. Справочные материалы, включая соответствие показаний к применению и противопоказаний, способов применения и доз лекарственных препаратов, инструкции по применению лекарственного препарата</w:t>
            </w:r>
            <w:r w:rsidR="00CE6A32">
              <w:rPr>
                <w:noProof/>
                <w:webHidden/>
              </w:rPr>
              <w:tab/>
            </w:r>
            <w:r w:rsidR="00CE6A32">
              <w:rPr>
                <w:noProof/>
                <w:webHidden/>
              </w:rPr>
              <w:fldChar w:fldCharType="begin"/>
            </w:r>
            <w:r w:rsidR="00CE6A32">
              <w:rPr>
                <w:noProof/>
                <w:webHidden/>
              </w:rPr>
              <w:instrText xml:space="preserve"> PAGEREF _Toc96601270 \h </w:instrText>
            </w:r>
            <w:r w:rsidR="00CE6A32">
              <w:rPr>
                <w:noProof/>
                <w:webHidden/>
              </w:rPr>
            </w:r>
            <w:r w:rsidR="00CE6A32">
              <w:rPr>
                <w:noProof/>
                <w:webHidden/>
              </w:rPr>
              <w:fldChar w:fldCharType="separate"/>
            </w:r>
            <w:r w:rsidR="00D433D9">
              <w:rPr>
                <w:noProof/>
                <w:webHidden/>
              </w:rPr>
              <w:t>152</w:t>
            </w:r>
            <w:r w:rsidR="00CE6A32">
              <w:rPr>
                <w:noProof/>
                <w:webHidden/>
              </w:rPr>
              <w:fldChar w:fldCharType="end"/>
            </w:r>
          </w:hyperlink>
        </w:p>
        <w:p w14:paraId="106E4945" w14:textId="1EF79DC0" w:rsidR="00CE6A32" w:rsidRDefault="00712FBD">
          <w:pPr>
            <w:pStyle w:val="21"/>
            <w:rPr>
              <w:rFonts w:asciiTheme="minorHAnsi" w:eastAsiaTheme="minorEastAsia" w:hAnsiTheme="minorHAnsi" w:cstheme="minorBidi"/>
              <w:noProof/>
              <w:sz w:val="24"/>
              <w:szCs w:val="24"/>
              <w:lang w:eastAsia="ru-RU"/>
            </w:rPr>
          </w:pPr>
          <w:hyperlink w:anchor="_Toc96601271" w:history="1">
            <w:r w:rsidR="00CE6A32" w:rsidRPr="00370CD3">
              <w:rPr>
                <w:rStyle w:val="affd"/>
                <w:noProof/>
              </w:rPr>
              <w:t>Приложение А3.1. Режимы лекарственного лечения ДВКЛ</w:t>
            </w:r>
            <w:r w:rsidR="00CE6A32">
              <w:rPr>
                <w:noProof/>
                <w:webHidden/>
              </w:rPr>
              <w:tab/>
            </w:r>
            <w:r w:rsidR="00CE6A32">
              <w:rPr>
                <w:noProof/>
                <w:webHidden/>
              </w:rPr>
              <w:fldChar w:fldCharType="begin"/>
            </w:r>
            <w:r w:rsidR="00CE6A32">
              <w:rPr>
                <w:noProof/>
                <w:webHidden/>
              </w:rPr>
              <w:instrText xml:space="preserve"> PAGEREF _Toc96601271 \h </w:instrText>
            </w:r>
            <w:r w:rsidR="00CE6A32">
              <w:rPr>
                <w:noProof/>
                <w:webHidden/>
              </w:rPr>
            </w:r>
            <w:r w:rsidR="00CE6A32">
              <w:rPr>
                <w:noProof/>
                <w:webHidden/>
              </w:rPr>
              <w:fldChar w:fldCharType="separate"/>
            </w:r>
            <w:r w:rsidR="00D433D9">
              <w:rPr>
                <w:noProof/>
                <w:webHidden/>
              </w:rPr>
              <w:t>152</w:t>
            </w:r>
            <w:r w:rsidR="00CE6A32">
              <w:rPr>
                <w:noProof/>
                <w:webHidden/>
              </w:rPr>
              <w:fldChar w:fldCharType="end"/>
            </w:r>
          </w:hyperlink>
        </w:p>
        <w:p w14:paraId="71FD90F7" w14:textId="23EB44E1" w:rsidR="00CE6A32" w:rsidRDefault="00712FBD">
          <w:pPr>
            <w:pStyle w:val="21"/>
            <w:rPr>
              <w:rFonts w:asciiTheme="minorHAnsi" w:eastAsiaTheme="minorEastAsia" w:hAnsiTheme="minorHAnsi" w:cstheme="minorBidi"/>
              <w:noProof/>
              <w:sz w:val="24"/>
              <w:szCs w:val="24"/>
              <w:lang w:eastAsia="ru-RU"/>
            </w:rPr>
          </w:pPr>
          <w:hyperlink w:anchor="_Toc96601272" w:history="1">
            <w:r w:rsidR="00CE6A32" w:rsidRPr="00370CD3">
              <w:rPr>
                <w:rStyle w:val="affd"/>
                <w:noProof/>
              </w:rPr>
              <w:t>Приложение А3.2. Рекомендации по редукции доз или увеличению промежутков при проведении миелосупрессивной цитостатической терапии</w:t>
            </w:r>
            <w:r w:rsidR="00CE6A32">
              <w:rPr>
                <w:noProof/>
                <w:webHidden/>
              </w:rPr>
              <w:tab/>
            </w:r>
            <w:r w:rsidR="00CE6A32">
              <w:rPr>
                <w:noProof/>
                <w:webHidden/>
              </w:rPr>
              <w:fldChar w:fldCharType="begin"/>
            </w:r>
            <w:r w:rsidR="00CE6A32">
              <w:rPr>
                <w:noProof/>
                <w:webHidden/>
              </w:rPr>
              <w:instrText xml:space="preserve"> PAGEREF _Toc96601272 \h </w:instrText>
            </w:r>
            <w:r w:rsidR="00CE6A32">
              <w:rPr>
                <w:noProof/>
                <w:webHidden/>
              </w:rPr>
            </w:r>
            <w:r w:rsidR="00CE6A32">
              <w:rPr>
                <w:noProof/>
                <w:webHidden/>
              </w:rPr>
              <w:fldChar w:fldCharType="separate"/>
            </w:r>
            <w:r w:rsidR="00D433D9">
              <w:rPr>
                <w:noProof/>
                <w:webHidden/>
              </w:rPr>
              <w:t>166</w:t>
            </w:r>
            <w:r w:rsidR="00CE6A32">
              <w:rPr>
                <w:noProof/>
                <w:webHidden/>
              </w:rPr>
              <w:fldChar w:fldCharType="end"/>
            </w:r>
          </w:hyperlink>
        </w:p>
        <w:p w14:paraId="27AF36B6" w14:textId="2E781DB1" w:rsidR="00CE6A32" w:rsidRDefault="00712FBD">
          <w:pPr>
            <w:pStyle w:val="21"/>
            <w:rPr>
              <w:rFonts w:asciiTheme="minorHAnsi" w:eastAsiaTheme="minorEastAsia" w:hAnsiTheme="minorHAnsi" w:cstheme="minorBidi"/>
              <w:noProof/>
              <w:sz w:val="24"/>
              <w:szCs w:val="24"/>
              <w:lang w:eastAsia="ru-RU"/>
            </w:rPr>
          </w:pPr>
          <w:hyperlink w:anchor="_Toc96601273" w:history="1">
            <w:r w:rsidR="00CE6A32" w:rsidRPr="00370CD3">
              <w:rPr>
                <w:rStyle w:val="affd"/>
                <w:noProof/>
              </w:rPr>
              <w:t>Приложение А3.3. Трансплантация аутологичных гемопоэтических стволовых клеток</w:t>
            </w:r>
            <w:r w:rsidR="00CE6A32">
              <w:rPr>
                <w:noProof/>
                <w:webHidden/>
              </w:rPr>
              <w:tab/>
            </w:r>
            <w:r w:rsidR="00CE6A32">
              <w:rPr>
                <w:noProof/>
                <w:webHidden/>
              </w:rPr>
              <w:fldChar w:fldCharType="begin"/>
            </w:r>
            <w:r w:rsidR="00CE6A32">
              <w:rPr>
                <w:noProof/>
                <w:webHidden/>
              </w:rPr>
              <w:instrText xml:space="preserve"> PAGEREF _Toc96601273 \h </w:instrText>
            </w:r>
            <w:r w:rsidR="00CE6A32">
              <w:rPr>
                <w:noProof/>
                <w:webHidden/>
              </w:rPr>
            </w:r>
            <w:r w:rsidR="00CE6A32">
              <w:rPr>
                <w:noProof/>
                <w:webHidden/>
              </w:rPr>
              <w:fldChar w:fldCharType="separate"/>
            </w:r>
            <w:r w:rsidR="00D433D9">
              <w:rPr>
                <w:noProof/>
                <w:webHidden/>
              </w:rPr>
              <w:t>166</w:t>
            </w:r>
            <w:r w:rsidR="00CE6A32">
              <w:rPr>
                <w:noProof/>
                <w:webHidden/>
              </w:rPr>
              <w:fldChar w:fldCharType="end"/>
            </w:r>
          </w:hyperlink>
        </w:p>
        <w:p w14:paraId="07D2BC03" w14:textId="3D6AAE6F" w:rsidR="00CE6A32" w:rsidRDefault="00712FBD">
          <w:pPr>
            <w:pStyle w:val="1a"/>
            <w:rPr>
              <w:rFonts w:asciiTheme="minorHAnsi" w:eastAsiaTheme="minorEastAsia" w:hAnsiTheme="minorHAnsi"/>
              <w:noProof/>
              <w:szCs w:val="24"/>
              <w:lang w:eastAsia="ru-RU"/>
            </w:rPr>
          </w:pPr>
          <w:hyperlink w:anchor="_Toc96601274" w:history="1">
            <w:r w:rsidR="00CE6A32" w:rsidRPr="00370CD3">
              <w:rPr>
                <w:rStyle w:val="affd"/>
                <w:noProof/>
              </w:rPr>
              <w:t>Приложение Б. Алгоритмы действий врача</w:t>
            </w:r>
            <w:r w:rsidR="00CE6A32">
              <w:rPr>
                <w:noProof/>
                <w:webHidden/>
              </w:rPr>
              <w:tab/>
            </w:r>
            <w:r w:rsidR="00CE6A32">
              <w:rPr>
                <w:noProof/>
                <w:webHidden/>
              </w:rPr>
              <w:fldChar w:fldCharType="begin"/>
            </w:r>
            <w:r w:rsidR="00CE6A32">
              <w:rPr>
                <w:noProof/>
                <w:webHidden/>
              </w:rPr>
              <w:instrText xml:space="preserve"> PAGEREF _Toc96601274 \h </w:instrText>
            </w:r>
            <w:r w:rsidR="00CE6A32">
              <w:rPr>
                <w:noProof/>
                <w:webHidden/>
              </w:rPr>
            </w:r>
            <w:r w:rsidR="00CE6A32">
              <w:rPr>
                <w:noProof/>
                <w:webHidden/>
              </w:rPr>
              <w:fldChar w:fldCharType="separate"/>
            </w:r>
            <w:r w:rsidR="00D433D9">
              <w:rPr>
                <w:noProof/>
                <w:webHidden/>
              </w:rPr>
              <w:t>214</w:t>
            </w:r>
            <w:r w:rsidR="00CE6A32">
              <w:rPr>
                <w:noProof/>
                <w:webHidden/>
              </w:rPr>
              <w:fldChar w:fldCharType="end"/>
            </w:r>
          </w:hyperlink>
        </w:p>
        <w:p w14:paraId="3A83750A" w14:textId="7C71A0C2" w:rsidR="00CE6A32" w:rsidRDefault="00712FBD">
          <w:pPr>
            <w:pStyle w:val="1a"/>
            <w:rPr>
              <w:rFonts w:asciiTheme="minorHAnsi" w:eastAsiaTheme="minorEastAsia" w:hAnsiTheme="minorHAnsi"/>
              <w:noProof/>
              <w:szCs w:val="24"/>
              <w:lang w:eastAsia="ru-RU"/>
            </w:rPr>
          </w:pPr>
          <w:hyperlink w:anchor="_Toc96601275" w:history="1">
            <w:r w:rsidR="00CE6A32" w:rsidRPr="00370CD3">
              <w:rPr>
                <w:rStyle w:val="affd"/>
                <w:noProof/>
              </w:rPr>
              <w:t>Приложение В. Информация для пациента</w:t>
            </w:r>
            <w:r w:rsidR="00CE6A32">
              <w:rPr>
                <w:noProof/>
                <w:webHidden/>
              </w:rPr>
              <w:tab/>
            </w:r>
            <w:r w:rsidR="00CE6A32">
              <w:rPr>
                <w:noProof/>
                <w:webHidden/>
              </w:rPr>
              <w:fldChar w:fldCharType="begin"/>
            </w:r>
            <w:r w:rsidR="00CE6A32">
              <w:rPr>
                <w:noProof/>
                <w:webHidden/>
              </w:rPr>
              <w:instrText xml:space="preserve"> PAGEREF _Toc96601275 \h </w:instrText>
            </w:r>
            <w:r w:rsidR="00CE6A32">
              <w:rPr>
                <w:noProof/>
                <w:webHidden/>
              </w:rPr>
            </w:r>
            <w:r w:rsidR="00CE6A32">
              <w:rPr>
                <w:noProof/>
                <w:webHidden/>
              </w:rPr>
              <w:fldChar w:fldCharType="separate"/>
            </w:r>
            <w:r w:rsidR="00D433D9">
              <w:rPr>
                <w:noProof/>
                <w:webHidden/>
              </w:rPr>
              <w:t>217</w:t>
            </w:r>
            <w:r w:rsidR="00CE6A32">
              <w:rPr>
                <w:noProof/>
                <w:webHidden/>
              </w:rPr>
              <w:fldChar w:fldCharType="end"/>
            </w:r>
          </w:hyperlink>
        </w:p>
        <w:p w14:paraId="602DD214" w14:textId="034B9B81" w:rsidR="00CE6A32" w:rsidRDefault="00712FBD">
          <w:pPr>
            <w:pStyle w:val="1a"/>
            <w:rPr>
              <w:rFonts w:asciiTheme="minorHAnsi" w:eastAsiaTheme="minorEastAsia" w:hAnsiTheme="minorHAnsi"/>
              <w:noProof/>
              <w:szCs w:val="24"/>
              <w:lang w:eastAsia="ru-RU"/>
            </w:rPr>
          </w:pPr>
          <w:hyperlink w:anchor="_Toc96601276" w:history="1">
            <w:r w:rsidR="00CE6A32" w:rsidRPr="00370CD3">
              <w:rPr>
                <w:rStyle w:val="affd"/>
                <w:noProof/>
              </w:rPr>
              <w:t>Приложение Г. Шкалы оценки, вопросники и другие оценочные инструменты состояния пациента, приведенные в клинических рекомендациях</w:t>
            </w:r>
            <w:r w:rsidR="00CE6A32">
              <w:rPr>
                <w:noProof/>
                <w:webHidden/>
              </w:rPr>
              <w:tab/>
            </w:r>
            <w:r w:rsidR="00CE6A32">
              <w:rPr>
                <w:noProof/>
                <w:webHidden/>
              </w:rPr>
              <w:fldChar w:fldCharType="begin"/>
            </w:r>
            <w:r w:rsidR="00CE6A32">
              <w:rPr>
                <w:noProof/>
                <w:webHidden/>
              </w:rPr>
              <w:instrText xml:space="preserve"> PAGEREF _Toc96601276 \h </w:instrText>
            </w:r>
            <w:r w:rsidR="00CE6A32">
              <w:rPr>
                <w:noProof/>
                <w:webHidden/>
              </w:rPr>
            </w:r>
            <w:r w:rsidR="00CE6A32">
              <w:rPr>
                <w:noProof/>
                <w:webHidden/>
              </w:rPr>
              <w:fldChar w:fldCharType="separate"/>
            </w:r>
            <w:r w:rsidR="00D433D9">
              <w:rPr>
                <w:noProof/>
                <w:webHidden/>
              </w:rPr>
              <w:t>218</w:t>
            </w:r>
            <w:r w:rsidR="00CE6A32">
              <w:rPr>
                <w:noProof/>
                <w:webHidden/>
              </w:rPr>
              <w:fldChar w:fldCharType="end"/>
            </w:r>
          </w:hyperlink>
        </w:p>
        <w:p w14:paraId="58E1341D" w14:textId="79AC3B94" w:rsidR="00CE6A32" w:rsidRDefault="00712FBD">
          <w:pPr>
            <w:pStyle w:val="21"/>
            <w:rPr>
              <w:rFonts w:asciiTheme="minorHAnsi" w:eastAsiaTheme="minorEastAsia" w:hAnsiTheme="minorHAnsi" w:cstheme="minorBidi"/>
              <w:noProof/>
              <w:sz w:val="24"/>
              <w:szCs w:val="24"/>
              <w:lang w:eastAsia="ru-RU"/>
            </w:rPr>
          </w:pPr>
          <w:hyperlink w:anchor="_Toc96601277" w:history="1">
            <w:r w:rsidR="00CE6A32" w:rsidRPr="00370CD3">
              <w:rPr>
                <w:rStyle w:val="affd"/>
                <w:noProof/>
              </w:rPr>
              <w:t>Приложение Г1. Шкала оценки общего состояния пациента Восточной объединенной онкологической группы (ECOG)</w:t>
            </w:r>
            <w:r w:rsidR="00CE6A32">
              <w:rPr>
                <w:noProof/>
                <w:webHidden/>
              </w:rPr>
              <w:tab/>
            </w:r>
            <w:r w:rsidR="00CE6A32">
              <w:rPr>
                <w:noProof/>
                <w:webHidden/>
              </w:rPr>
              <w:fldChar w:fldCharType="begin"/>
            </w:r>
            <w:r w:rsidR="00CE6A32">
              <w:rPr>
                <w:noProof/>
                <w:webHidden/>
              </w:rPr>
              <w:instrText xml:space="preserve"> PAGEREF _Toc96601277 \h </w:instrText>
            </w:r>
            <w:r w:rsidR="00CE6A32">
              <w:rPr>
                <w:noProof/>
                <w:webHidden/>
              </w:rPr>
            </w:r>
            <w:r w:rsidR="00CE6A32">
              <w:rPr>
                <w:noProof/>
                <w:webHidden/>
              </w:rPr>
              <w:fldChar w:fldCharType="separate"/>
            </w:r>
            <w:r w:rsidR="00D433D9">
              <w:rPr>
                <w:noProof/>
                <w:webHidden/>
              </w:rPr>
              <w:t>218</w:t>
            </w:r>
            <w:r w:rsidR="00CE6A32">
              <w:rPr>
                <w:noProof/>
                <w:webHidden/>
              </w:rPr>
              <w:fldChar w:fldCharType="end"/>
            </w:r>
          </w:hyperlink>
        </w:p>
        <w:p w14:paraId="5299171F" w14:textId="6E77CA70" w:rsidR="00CE6A32" w:rsidRDefault="00712FBD">
          <w:pPr>
            <w:pStyle w:val="21"/>
            <w:rPr>
              <w:rFonts w:asciiTheme="minorHAnsi" w:eastAsiaTheme="minorEastAsia" w:hAnsiTheme="minorHAnsi" w:cstheme="minorBidi"/>
              <w:noProof/>
              <w:sz w:val="24"/>
              <w:szCs w:val="24"/>
              <w:lang w:eastAsia="ru-RU"/>
            </w:rPr>
          </w:pPr>
          <w:hyperlink w:anchor="_Toc96601278" w:history="1">
            <w:r w:rsidR="00CE6A32" w:rsidRPr="00370CD3">
              <w:rPr>
                <w:rStyle w:val="affd"/>
                <w:noProof/>
              </w:rPr>
              <w:t>Приложение Г2. Шкала визуальной оценки ПЭТ-данных</w:t>
            </w:r>
            <w:r w:rsidR="00CE6A32">
              <w:rPr>
                <w:noProof/>
                <w:webHidden/>
              </w:rPr>
              <w:tab/>
            </w:r>
            <w:r w:rsidR="00CE6A32">
              <w:rPr>
                <w:noProof/>
                <w:webHidden/>
              </w:rPr>
              <w:fldChar w:fldCharType="begin"/>
            </w:r>
            <w:r w:rsidR="00CE6A32">
              <w:rPr>
                <w:noProof/>
                <w:webHidden/>
              </w:rPr>
              <w:instrText xml:space="preserve"> PAGEREF _Toc96601278 \h </w:instrText>
            </w:r>
            <w:r w:rsidR="00CE6A32">
              <w:rPr>
                <w:noProof/>
                <w:webHidden/>
              </w:rPr>
            </w:r>
            <w:r w:rsidR="00CE6A32">
              <w:rPr>
                <w:noProof/>
                <w:webHidden/>
              </w:rPr>
              <w:fldChar w:fldCharType="separate"/>
            </w:r>
            <w:r w:rsidR="00D433D9">
              <w:rPr>
                <w:noProof/>
                <w:webHidden/>
              </w:rPr>
              <w:t>218</w:t>
            </w:r>
            <w:r w:rsidR="00CE6A32">
              <w:rPr>
                <w:noProof/>
                <w:webHidden/>
              </w:rPr>
              <w:fldChar w:fldCharType="end"/>
            </w:r>
          </w:hyperlink>
        </w:p>
        <w:p w14:paraId="5618F141" w14:textId="384F6609" w:rsidR="00CE6A32" w:rsidRDefault="00712FBD">
          <w:pPr>
            <w:pStyle w:val="21"/>
            <w:rPr>
              <w:rFonts w:asciiTheme="minorHAnsi" w:eastAsiaTheme="minorEastAsia" w:hAnsiTheme="minorHAnsi" w:cstheme="minorBidi"/>
              <w:noProof/>
              <w:sz w:val="24"/>
              <w:szCs w:val="24"/>
              <w:lang w:eastAsia="ru-RU"/>
            </w:rPr>
          </w:pPr>
          <w:hyperlink w:anchor="_Toc96601279" w:history="1">
            <w:r w:rsidR="00CE6A32" w:rsidRPr="00370CD3">
              <w:rPr>
                <w:rStyle w:val="affd"/>
                <w:noProof/>
              </w:rPr>
              <w:t>Приложение Г3. Шкала Khorana для оценки риска ВТЭО у пациентов, получающих химиотерапию</w:t>
            </w:r>
            <w:r w:rsidR="00CE6A32">
              <w:rPr>
                <w:noProof/>
                <w:webHidden/>
              </w:rPr>
              <w:tab/>
            </w:r>
            <w:r w:rsidR="00CE6A32">
              <w:rPr>
                <w:noProof/>
                <w:webHidden/>
              </w:rPr>
              <w:fldChar w:fldCharType="begin"/>
            </w:r>
            <w:r w:rsidR="00CE6A32">
              <w:rPr>
                <w:noProof/>
                <w:webHidden/>
              </w:rPr>
              <w:instrText xml:space="preserve"> PAGEREF _Toc96601279 \h </w:instrText>
            </w:r>
            <w:r w:rsidR="00CE6A32">
              <w:rPr>
                <w:noProof/>
                <w:webHidden/>
              </w:rPr>
            </w:r>
            <w:r w:rsidR="00CE6A32">
              <w:rPr>
                <w:noProof/>
                <w:webHidden/>
              </w:rPr>
              <w:fldChar w:fldCharType="separate"/>
            </w:r>
            <w:r w:rsidR="00D433D9">
              <w:rPr>
                <w:noProof/>
                <w:webHidden/>
              </w:rPr>
              <w:t>219</w:t>
            </w:r>
            <w:r w:rsidR="00CE6A32">
              <w:rPr>
                <w:noProof/>
                <w:webHidden/>
              </w:rPr>
              <w:fldChar w:fldCharType="end"/>
            </w:r>
          </w:hyperlink>
        </w:p>
        <w:p w14:paraId="2D76AEFC" w14:textId="15EC2129" w:rsidR="00160448" w:rsidRPr="00160448" w:rsidRDefault="00172112" w:rsidP="00160448">
          <w:pPr>
            <w:spacing w:line="360" w:lineRule="auto"/>
            <w:jc w:val="both"/>
            <w:rPr>
              <w:bCs/>
            </w:rPr>
          </w:pPr>
          <w:r w:rsidRPr="000322E4">
            <w:rPr>
              <w:b/>
              <w:bCs/>
            </w:rPr>
            <w:fldChar w:fldCharType="end"/>
          </w:r>
        </w:p>
      </w:sdtContent>
    </w:sdt>
    <w:bookmarkStart w:id="2" w:name="__RefHeading___doc_abbreviation" w:displacedByCustomXml="prev"/>
    <w:p w14:paraId="0640D5D9" w14:textId="77777777" w:rsidR="00160448" w:rsidRDefault="00160448" w:rsidP="00160448">
      <w:pPr>
        <w:pStyle w:val="afff2"/>
        <w:rPr>
          <w:rFonts w:eastAsia="Times New Roman" w:cs="Times New Roman"/>
          <w:b w:val="0"/>
          <w:sz w:val="24"/>
          <w:szCs w:val="24"/>
          <w:lang w:eastAsia="ru-RU"/>
        </w:rPr>
      </w:pPr>
      <w:r>
        <w:rPr>
          <w:rFonts w:eastAsia="Times New Roman" w:cs="Times New Roman"/>
          <w:b w:val="0"/>
          <w:sz w:val="24"/>
          <w:szCs w:val="24"/>
          <w:lang w:eastAsia="ru-RU"/>
        </w:rPr>
        <w:br w:type="page"/>
      </w:r>
    </w:p>
    <w:p w14:paraId="043A721F" w14:textId="4D3F08C9" w:rsidR="000414F6" w:rsidRPr="00160448" w:rsidRDefault="00CB71DA" w:rsidP="00160448">
      <w:pPr>
        <w:pStyle w:val="afff2"/>
      </w:pPr>
      <w:bookmarkStart w:id="3" w:name="_Toc96601225"/>
      <w:r w:rsidRPr="00160448">
        <w:lastRenderedPageBreak/>
        <w:t>Список сокращений</w:t>
      </w:r>
      <w:bookmarkEnd w:id="2"/>
      <w:bookmarkEnd w:id="3"/>
    </w:p>
    <w:p w14:paraId="6580A58B" w14:textId="77777777" w:rsidR="00160448" w:rsidRPr="000322E4" w:rsidRDefault="00160448" w:rsidP="00160448">
      <w:pPr>
        <w:spacing w:line="360" w:lineRule="auto"/>
        <w:contextualSpacing/>
        <w:jc w:val="both"/>
      </w:pPr>
      <w:r w:rsidRPr="000322E4">
        <w:t xml:space="preserve">MALT </w:t>
      </w:r>
      <w:r>
        <w:t>–</w:t>
      </w:r>
      <w:r w:rsidRPr="000322E4">
        <w:t xml:space="preserve"> мукозассоциированная лимфома</w:t>
      </w:r>
    </w:p>
    <w:p w14:paraId="3D9E3DB7" w14:textId="77777777" w:rsidR="00160448" w:rsidRPr="000322E4" w:rsidRDefault="00160448" w:rsidP="00160448">
      <w:pPr>
        <w:spacing w:line="360" w:lineRule="auto"/>
        <w:contextualSpacing/>
        <w:jc w:val="both"/>
      </w:pPr>
      <w:r w:rsidRPr="000322E4">
        <w:rPr>
          <w:lang w:val="en-US"/>
        </w:rPr>
        <w:t>Mtx</w:t>
      </w:r>
      <w:r w:rsidRPr="000322E4">
        <w:t>/</w:t>
      </w:r>
      <w:r w:rsidRPr="000322E4">
        <w:rPr>
          <w:lang w:val="en-US"/>
        </w:rPr>
        <w:t>AraC</w:t>
      </w:r>
      <w:r w:rsidRPr="000322E4">
        <w:t>/</w:t>
      </w:r>
      <w:r w:rsidRPr="000322E4">
        <w:rPr>
          <w:lang w:val="en-US"/>
        </w:rPr>
        <w:t>Pred</w:t>
      </w:r>
      <w:r w:rsidRPr="000322E4">
        <w:t xml:space="preserve"> – интратекальное введение метотрексата</w:t>
      </w:r>
      <w:r w:rsidRPr="000322E4">
        <w:rPr>
          <w:bCs/>
        </w:rPr>
        <w:t xml:space="preserve">**, </w:t>
      </w:r>
      <w:r w:rsidRPr="000322E4">
        <w:t>цитарабина</w:t>
      </w:r>
      <w:r w:rsidRPr="000322E4">
        <w:rPr>
          <w:bCs/>
        </w:rPr>
        <w:t xml:space="preserve">** и </w:t>
      </w:r>
      <w:r w:rsidRPr="000322E4">
        <w:t>преднизолона</w:t>
      </w:r>
      <w:r w:rsidRPr="000322E4">
        <w:rPr>
          <w:bCs/>
        </w:rPr>
        <w:t>**</w:t>
      </w:r>
    </w:p>
    <w:p w14:paraId="7AB25BD6" w14:textId="77777777" w:rsidR="00160448" w:rsidRPr="000322E4" w:rsidRDefault="00160448" w:rsidP="00160448">
      <w:pPr>
        <w:spacing w:line="360" w:lineRule="auto"/>
        <w:contextualSpacing/>
        <w:jc w:val="both"/>
      </w:pPr>
      <w:r w:rsidRPr="000322E4">
        <w:t xml:space="preserve">FISH – флуоресцентная гибридизаация </w:t>
      </w:r>
      <w:r w:rsidRPr="000322E4">
        <w:rPr>
          <w:i/>
        </w:rPr>
        <w:t>in situ</w:t>
      </w:r>
    </w:p>
    <w:p w14:paraId="5138B9AC" w14:textId="08AA4530" w:rsidR="00C3662B" w:rsidRPr="000322E4" w:rsidRDefault="00C3662B" w:rsidP="00CA442F">
      <w:pPr>
        <w:spacing w:line="360" w:lineRule="auto"/>
        <w:contextualSpacing/>
        <w:jc w:val="both"/>
      </w:pPr>
      <w:r w:rsidRPr="000322E4">
        <w:t>АЧТВ – активированное частичное тромбопластиновое время</w:t>
      </w:r>
    </w:p>
    <w:p w14:paraId="6E4A251E" w14:textId="77777777" w:rsidR="00160448" w:rsidRDefault="00160448" w:rsidP="00160448">
      <w:pPr>
        <w:spacing w:line="360" w:lineRule="auto"/>
        <w:contextualSpacing/>
        <w:jc w:val="both"/>
      </w:pPr>
      <w:r w:rsidRPr="000322E4">
        <w:t>ВБП – выживаемость без прогрессирования</w:t>
      </w:r>
    </w:p>
    <w:p w14:paraId="2D7EF38D" w14:textId="34ACD2B5" w:rsidR="00160448" w:rsidRDefault="00160448" w:rsidP="00160448">
      <w:pPr>
        <w:spacing w:line="360" w:lineRule="auto"/>
        <w:contextualSpacing/>
        <w:jc w:val="both"/>
      </w:pPr>
      <w:r w:rsidRPr="000322E4">
        <w:t>ВДХТ с аутоТГСК – высокодозная химиотерапия с последующей трасплантацией аутологичных гемопоэтических стволовых клеток</w:t>
      </w:r>
    </w:p>
    <w:p w14:paraId="651C4098" w14:textId="42544B97" w:rsidR="00544490" w:rsidRDefault="00544490" w:rsidP="00160448">
      <w:pPr>
        <w:spacing w:line="360" w:lineRule="auto"/>
        <w:contextualSpacing/>
        <w:jc w:val="both"/>
      </w:pPr>
      <w:r w:rsidRPr="000322E4">
        <w:t>ВКЛ</w:t>
      </w:r>
      <w:r>
        <w:t xml:space="preserve"> –</w:t>
      </w:r>
      <w:r w:rsidRPr="000322E4">
        <w:t xml:space="preserve"> В-клеточная крупноклеточная лимфома</w:t>
      </w:r>
    </w:p>
    <w:p w14:paraId="7A52213D" w14:textId="6FC812C7" w:rsidR="00160448" w:rsidRDefault="00160448" w:rsidP="00160448">
      <w:pPr>
        <w:spacing w:line="360" w:lineRule="auto"/>
        <w:contextualSpacing/>
        <w:jc w:val="both"/>
      </w:pPr>
      <w:r w:rsidRPr="000322E4">
        <w:t>ГЭБ – гематоэнцефалический барьер</w:t>
      </w:r>
    </w:p>
    <w:p w14:paraId="698556E0" w14:textId="53F3E9CA" w:rsidR="00544490" w:rsidRDefault="00544490" w:rsidP="00160448">
      <w:pPr>
        <w:spacing w:line="360" w:lineRule="auto"/>
        <w:contextualSpacing/>
        <w:jc w:val="both"/>
      </w:pPr>
      <w:r w:rsidRPr="000322E4">
        <w:t>ДВКЛ –диффузная крупноклеточная В-клеточная лимфома</w:t>
      </w:r>
    </w:p>
    <w:p w14:paraId="7F10044C" w14:textId="20DCFF5E" w:rsidR="00544490" w:rsidRDefault="00544490" w:rsidP="00160448">
      <w:pPr>
        <w:spacing w:line="360" w:lineRule="auto"/>
        <w:contextualSpacing/>
        <w:jc w:val="both"/>
      </w:pPr>
      <w:r w:rsidRPr="000322E4">
        <w:t xml:space="preserve">ИГХ </w:t>
      </w:r>
      <w:r>
        <w:t xml:space="preserve">– </w:t>
      </w:r>
      <w:r w:rsidRPr="000322E4">
        <w:t>иммуногистохимия</w:t>
      </w:r>
    </w:p>
    <w:p w14:paraId="71822D95" w14:textId="2800BF52" w:rsidR="00544490" w:rsidRDefault="00544490" w:rsidP="00544490">
      <w:pPr>
        <w:spacing w:line="360" w:lineRule="auto"/>
        <w:contextualSpacing/>
        <w:jc w:val="both"/>
      </w:pPr>
      <w:r w:rsidRPr="000322E4">
        <w:t xml:space="preserve">ИФТ </w:t>
      </w:r>
      <w:r>
        <w:t>–</w:t>
      </w:r>
      <w:r w:rsidRPr="000322E4">
        <w:t xml:space="preserve"> иммунофенотипирование методом проточной цитометрии</w:t>
      </w:r>
    </w:p>
    <w:p w14:paraId="3FB86E47" w14:textId="30D5AFD2" w:rsidR="00544490" w:rsidRPr="000322E4" w:rsidRDefault="00544490" w:rsidP="00544490">
      <w:pPr>
        <w:spacing w:line="360" w:lineRule="auto"/>
        <w:contextualSpacing/>
        <w:jc w:val="both"/>
      </w:pPr>
      <w:r w:rsidRPr="000322E4">
        <w:t xml:space="preserve">КМ </w:t>
      </w:r>
      <w:r>
        <w:t>–</w:t>
      </w:r>
      <w:r w:rsidRPr="000322E4">
        <w:t xml:space="preserve"> костный мозг</w:t>
      </w:r>
    </w:p>
    <w:p w14:paraId="08A70F54" w14:textId="77777777" w:rsidR="00160448" w:rsidRPr="000322E4" w:rsidRDefault="00160448" w:rsidP="00160448">
      <w:pPr>
        <w:spacing w:line="360" w:lineRule="auto"/>
        <w:contextualSpacing/>
        <w:jc w:val="both"/>
      </w:pPr>
      <w:r w:rsidRPr="000322E4">
        <w:t xml:space="preserve">КТ – компьютерная томография </w:t>
      </w:r>
    </w:p>
    <w:p w14:paraId="5827FE13" w14:textId="36939437" w:rsidR="00160448" w:rsidRDefault="00160448" w:rsidP="00160448">
      <w:pPr>
        <w:spacing w:line="360" w:lineRule="auto"/>
        <w:contextualSpacing/>
        <w:jc w:val="both"/>
      </w:pPr>
      <w:r w:rsidRPr="000322E4">
        <w:t>ЛБ – лимфома Беркитта</w:t>
      </w:r>
    </w:p>
    <w:p w14:paraId="56A9E376" w14:textId="54385F9A" w:rsidR="00544490" w:rsidRPr="000322E4" w:rsidRDefault="00544490" w:rsidP="00160448">
      <w:pPr>
        <w:spacing w:line="360" w:lineRule="auto"/>
        <w:contextualSpacing/>
        <w:jc w:val="both"/>
      </w:pPr>
      <w:r w:rsidRPr="000322E4">
        <w:t>ЛДГ</w:t>
      </w:r>
      <w:r>
        <w:t xml:space="preserve">– </w:t>
      </w:r>
      <w:r w:rsidRPr="000322E4">
        <w:t>лактатдегидрогеназа</w:t>
      </w:r>
    </w:p>
    <w:p w14:paraId="114AFE70" w14:textId="77777777" w:rsidR="00160448" w:rsidRPr="000322E4" w:rsidRDefault="00160448" w:rsidP="00160448">
      <w:pPr>
        <w:spacing w:line="360" w:lineRule="auto"/>
        <w:contextualSpacing/>
        <w:jc w:val="both"/>
      </w:pPr>
      <w:r w:rsidRPr="000322E4">
        <w:t>ЛТ – лучевая терапия</w:t>
      </w:r>
    </w:p>
    <w:p w14:paraId="0837CDFC" w14:textId="5D1F12C0" w:rsidR="00C3662B" w:rsidRPr="000322E4" w:rsidRDefault="00C3662B" w:rsidP="00CA442F">
      <w:pPr>
        <w:spacing w:line="360" w:lineRule="auto"/>
        <w:contextualSpacing/>
        <w:jc w:val="both"/>
      </w:pPr>
      <w:r w:rsidRPr="000322E4">
        <w:t>МНО – международное нормализованное отношение</w:t>
      </w:r>
    </w:p>
    <w:p w14:paraId="5FE5EF7F" w14:textId="3D857E96" w:rsidR="00C3662B" w:rsidRDefault="00C3662B" w:rsidP="00CA442F">
      <w:pPr>
        <w:spacing w:line="360" w:lineRule="auto"/>
        <w:contextualSpacing/>
        <w:jc w:val="both"/>
      </w:pPr>
      <w:r w:rsidRPr="000322E4">
        <w:t>МПИ – международный прогностический индекс</w:t>
      </w:r>
    </w:p>
    <w:p w14:paraId="45560666" w14:textId="74157D7B" w:rsidR="00544490" w:rsidRDefault="00544490" w:rsidP="00CA442F">
      <w:pPr>
        <w:spacing w:line="360" w:lineRule="auto"/>
        <w:contextualSpacing/>
        <w:jc w:val="both"/>
      </w:pPr>
      <w:r w:rsidRPr="000322E4">
        <w:t>МРТ – магнитно-резонансная томография</w:t>
      </w:r>
    </w:p>
    <w:p w14:paraId="777BDC27" w14:textId="237E38F3" w:rsidR="00544490" w:rsidRPr="000322E4" w:rsidRDefault="00544490" w:rsidP="00CA442F">
      <w:pPr>
        <w:spacing w:line="360" w:lineRule="auto"/>
        <w:contextualSpacing/>
        <w:jc w:val="both"/>
      </w:pPr>
      <w:r w:rsidRPr="000322E4">
        <w:t xml:space="preserve">НХЛ </w:t>
      </w:r>
      <w:r>
        <w:t>–</w:t>
      </w:r>
      <w:r w:rsidRPr="000322E4">
        <w:t xml:space="preserve"> неходжкинские лимфомы</w:t>
      </w:r>
    </w:p>
    <w:p w14:paraId="121F8A5A" w14:textId="7E0812D7" w:rsidR="00C3662B" w:rsidRDefault="00C3662B" w:rsidP="00CA442F">
      <w:pPr>
        <w:spacing w:line="360" w:lineRule="auto"/>
        <w:contextualSpacing/>
        <w:jc w:val="both"/>
      </w:pPr>
      <w:r w:rsidRPr="000322E4">
        <w:t>ОВ – общая выживаемость</w:t>
      </w:r>
    </w:p>
    <w:p w14:paraId="16C7D08C" w14:textId="0F56E700" w:rsidR="00544490" w:rsidRDefault="00544490" w:rsidP="00CA442F">
      <w:pPr>
        <w:spacing w:line="360" w:lineRule="auto"/>
        <w:contextualSpacing/>
        <w:jc w:val="both"/>
      </w:pPr>
      <w:r w:rsidRPr="000322E4">
        <w:t>ПЛЦНС – первичная лимфома центральной нервной системы</w:t>
      </w:r>
    </w:p>
    <w:p w14:paraId="78EB2B0E" w14:textId="52D2F370" w:rsidR="00544490" w:rsidRDefault="00544490" w:rsidP="00CA442F">
      <w:pPr>
        <w:spacing w:line="360" w:lineRule="auto"/>
        <w:contextualSpacing/>
        <w:jc w:val="both"/>
      </w:pPr>
      <w:r w:rsidRPr="000322E4">
        <w:t>ПМВКЛ – первичная медиастинальная крупноклеточная В-клеточная лимфома</w:t>
      </w:r>
    </w:p>
    <w:p w14:paraId="7057B827" w14:textId="6A3838F0" w:rsidR="00160448" w:rsidRDefault="00160448" w:rsidP="00160448">
      <w:pPr>
        <w:spacing w:line="360" w:lineRule="auto"/>
        <w:contextualSpacing/>
        <w:jc w:val="both"/>
      </w:pPr>
      <w:r w:rsidRPr="000322E4">
        <w:t>ПЭТ – позитронно-эмиссионная томография</w:t>
      </w:r>
    </w:p>
    <w:p w14:paraId="09ED3C96" w14:textId="34D5F176" w:rsidR="00544490" w:rsidRDefault="00544490" w:rsidP="00160448">
      <w:pPr>
        <w:spacing w:line="360" w:lineRule="auto"/>
        <w:contextualSpacing/>
        <w:jc w:val="both"/>
      </w:pPr>
      <w:r w:rsidRPr="000322E4">
        <w:t>РОД - разовая доза облучения</w:t>
      </w:r>
    </w:p>
    <w:p w14:paraId="0E9D1EDA" w14:textId="10CAAFA7" w:rsidR="00544490" w:rsidRPr="000322E4" w:rsidRDefault="00544490" w:rsidP="00160448">
      <w:pPr>
        <w:spacing w:line="360" w:lineRule="auto"/>
        <w:contextualSpacing/>
        <w:jc w:val="both"/>
      </w:pPr>
      <w:r w:rsidRPr="000322E4">
        <w:t>СОД - суммарная доза облучения</w:t>
      </w:r>
    </w:p>
    <w:p w14:paraId="5F0B6A4C" w14:textId="0A355BBD" w:rsidR="00C3662B" w:rsidRDefault="00C3662B" w:rsidP="00CA442F">
      <w:pPr>
        <w:spacing w:line="360" w:lineRule="auto"/>
        <w:contextualSpacing/>
        <w:jc w:val="both"/>
      </w:pPr>
      <w:r w:rsidRPr="000322E4">
        <w:t xml:space="preserve">УЗИ – ультразвуковое исследование </w:t>
      </w:r>
    </w:p>
    <w:p w14:paraId="3C0D1237" w14:textId="4C17DA9E" w:rsidR="00544490" w:rsidRPr="000322E4" w:rsidRDefault="00544490" w:rsidP="00CA442F">
      <w:pPr>
        <w:spacing w:line="360" w:lineRule="auto"/>
        <w:contextualSpacing/>
        <w:jc w:val="both"/>
      </w:pPr>
      <w:r w:rsidRPr="000322E4">
        <w:t>ЦНС – центральная нервная система</w:t>
      </w:r>
    </w:p>
    <w:p w14:paraId="4EEFED33" w14:textId="77777777" w:rsidR="00C3662B" w:rsidRPr="000322E4" w:rsidRDefault="00C3662B" w:rsidP="00CA442F">
      <w:pPr>
        <w:spacing w:line="360" w:lineRule="auto"/>
        <w:contextualSpacing/>
        <w:jc w:val="both"/>
      </w:pPr>
      <w:r w:rsidRPr="000322E4">
        <w:t>ЭКГ - электрокардиография</w:t>
      </w:r>
    </w:p>
    <w:p w14:paraId="656B9C9C" w14:textId="77777777" w:rsidR="00C3662B" w:rsidRPr="000322E4" w:rsidRDefault="00C3662B" w:rsidP="00CA442F">
      <w:pPr>
        <w:spacing w:line="360" w:lineRule="auto"/>
        <w:contextualSpacing/>
        <w:jc w:val="both"/>
      </w:pPr>
      <w:r w:rsidRPr="000322E4">
        <w:t>Эхо-КГ - эхокардиография</w:t>
      </w:r>
    </w:p>
    <w:p w14:paraId="0345D353" w14:textId="77777777" w:rsidR="006619AD" w:rsidRPr="000322E4" w:rsidRDefault="006619AD" w:rsidP="00CA442F">
      <w:pPr>
        <w:spacing w:line="360" w:lineRule="auto"/>
        <w:contextualSpacing/>
        <w:jc w:val="both"/>
      </w:pPr>
      <w:r w:rsidRPr="000322E4">
        <w:t>** – жизненно необходимые и важнейшие лекарственные препараты</w:t>
      </w:r>
    </w:p>
    <w:p w14:paraId="28C8BD11" w14:textId="77777777" w:rsidR="006619AD" w:rsidRPr="000322E4" w:rsidRDefault="006619AD" w:rsidP="00CA442F">
      <w:pPr>
        <w:spacing w:line="360" w:lineRule="auto"/>
        <w:contextualSpacing/>
        <w:jc w:val="both"/>
      </w:pPr>
      <w:r w:rsidRPr="000322E4">
        <w:lastRenderedPageBreak/>
        <w:t># – препарат, применяющийся не в соответствии с показаниями к применению и противопоказаниями, способами применения и дозами, содержащимися в инструкции по применению лекарственного препарата (офф-лейбл)</w:t>
      </w:r>
    </w:p>
    <w:p w14:paraId="380A0B92" w14:textId="77777777" w:rsidR="006619AD" w:rsidRPr="000322E4" w:rsidRDefault="006619AD" w:rsidP="00CA442F">
      <w:pPr>
        <w:spacing w:line="360" w:lineRule="auto"/>
        <w:jc w:val="both"/>
      </w:pPr>
    </w:p>
    <w:p w14:paraId="746ABB13" w14:textId="77777777" w:rsidR="000414F6" w:rsidRPr="000322E4" w:rsidRDefault="00CB71DA" w:rsidP="00CA442F">
      <w:pPr>
        <w:pStyle w:val="afff2"/>
      </w:pPr>
      <w:r w:rsidRPr="000322E4">
        <w:br w:type="page"/>
      </w:r>
      <w:bookmarkStart w:id="4" w:name="__RefHeading___doc_terms"/>
      <w:bookmarkStart w:id="5" w:name="_Toc96601226"/>
      <w:r w:rsidRPr="000322E4">
        <w:lastRenderedPageBreak/>
        <w:t>Термины и определения</w:t>
      </w:r>
      <w:bookmarkEnd w:id="4"/>
      <w:bookmarkEnd w:id="5"/>
    </w:p>
    <w:p w14:paraId="3D97BC57" w14:textId="77777777" w:rsidR="006619AD" w:rsidRPr="000322E4" w:rsidRDefault="006619AD" w:rsidP="00CA442F">
      <w:pPr>
        <w:spacing w:line="360" w:lineRule="auto"/>
        <w:contextualSpacing/>
        <w:jc w:val="both"/>
      </w:pPr>
      <w:r w:rsidRPr="000322E4">
        <w:rPr>
          <w:b/>
        </w:rPr>
        <w:t>ECOG</w:t>
      </w:r>
      <w:r w:rsidRPr="000322E4">
        <w:t xml:space="preserve"> – оценка общего состояния пациента по шкале, разработанной Восточной объединенной онкологической группой (Eastern Cooperative Oncology Group) – см. приложение Г1.</w:t>
      </w:r>
    </w:p>
    <w:p w14:paraId="012139F0" w14:textId="77777777" w:rsidR="006619AD" w:rsidRPr="000322E4" w:rsidRDefault="006619AD" w:rsidP="00CA442F">
      <w:pPr>
        <w:spacing w:line="360" w:lineRule="auto"/>
        <w:contextualSpacing/>
        <w:jc w:val="both"/>
      </w:pPr>
      <w:r w:rsidRPr="000322E4">
        <w:rPr>
          <w:b/>
        </w:rPr>
        <w:t xml:space="preserve">В-симптомы </w:t>
      </w:r>
      <w:r w:rsidRPr="000322E4">
        <w:t>– неспецифичиеские симптомы опухолевой интоксикации, включающие лихорадку выше 38°С не менее трех дней подряд без признаков воспаления; ночные профузные поты; похудание на 10% массы тела за последние 6 месяцев.</w:t>
      </w:r>
    </w:p>
    <w:p w14:paraId="72B867FA" w14:textId="77777777" w:rsidR="001D40F8" w:rsidRPr="000322E4" w:rsidRDefault="001D40F8" w:rsidP="00CA442F">
      <w:pPr>
        <w:spacing w:line="360" w:lineRule="auto"/>
        <w:jc w:val="both"/>
      </w:pPr>
    </w:p>
    <w:p w14:paraId="2779E014" w14:textId="77777777" w:rsidR="00275A41" w:rsidRPr="000322E4" w:rsidRDefault="00CB71DA" w:rsidP="00CA442F">
      <w:pPr>
        <w:pStyle w:val="afd"/>
        <w:divId w:val="576134796"/>
      </w:pPr>
      <w:r w:rsidRPr="000322E4">
        <w:t>                                   </w:t>
      </w:r>
    </w:p>
    <w:p w14:paraId="099620D5" w14:textId="77777777" w:rsidR="00B8195D" w:rsidRPr="000322E4" w:rsidRDefault="00CB71DA" w:rsidP="00CA442F">
      <w:pPr>
        <w:pStyle w:val="afff2"/>
        <w:spacing w:before="0"/>
        <w:jc w:val="both"/>
      </w:pPr>
      <w:r w:rsidRPr="000322E4">
        <w:br w:type="page"/>
      </w:r>
      <w:bookmarkStart w:id="6" w:name="__RefHeading___doc_1"/>
    </w:p>
    <w:p w14:paraId="5F763C61" w14:textId="77777777" w:rsidR="000414F6" w:rsidRPr="000322E4" w:rsidRDefault="00CB71DA" w:rsidP="00CA442F">
      <w:pPr>
        <w:pStyle w:val="afff2"/>
      </w:pPr>
      <w:bookmarkStart w:id="7" w:name="_Toc96601227"/>
      <w:r w:rsidRPr="000322E4">
        <w:lastRenderedPageBreak/>
        <w:t>1. Краткая информация</w:t>
      </w:r>
      <w:bookmarkEnd w:id="6"/>
      <w:r w:rsidR="00384B6A" w:rsidRPr="000322E4">
        <w:t xml:space="preserve"> по заболеванию или состоянию (группе заболеваний или состояний)</w:t>
      </w:r>
      <w:bookmarkEnd w:id="7"/>
    </w:p>
    <w:p w14:paraId="55F74D7F" w14:textId="77777777" w:rsidR="00B46390" w:rsidRPr="000322E4" w:rsidRDefault="00B46390" w:rsidP="00CA442F">
      <w:pPr>
        <w:pStyle w:val="2"/>
        <w:spacing w:before="0"/>
        <w:rPr>
          <w:color w:val="000000" w:themeColor="text1"/>
        </w:rPr>
      </w:pPr>
      <w:bookmarkStart w:id="8" w:name="_Toc469402330"/>
      <w:bookmarkStart w:id="9" w:name="_Toc468273527"/>
      <w:bookmarkStart w:id="10" w:name="_Toc468273445"/>
      <w:bookmarkStart w:id="11" w:name="_Toc96601228"/>
      <w:bookmarkStart w:id="12" w:name="__RefHeading___doc_2"/>
      <w:bookmarkEnd w:id="8"/>
      <w:bookmarkEnd w:id="9"/>
      <w:bookmarkEnd w:id="10"/>
      <w:r w:rsidRPr="000322E4">
        <w:rPr>
          <w:color w:val="000000" w:themeColor="text1"/>
        </w:rPr>
        <w:t>1.1 Определение</w:t>
      </w:r>
      <w:r w:rsidR="00311757" w:rsidRPr="000322E4">
        <w:rPr>
          <w:color w:val="000000" w:themeColor="text1"/>
        </w:rPr>
        <w:t xml:space="preserve"> </w:t>
      </w:r>
      <w:r w:rsidR="00311757" w:rsidRPr="000322E4">
        <w:rPr>
          <w:color w:val="000000" w:themeColor="text1"/>
          <w:shd w:val="clear" w:color="auto" w:fill="FFFFFF"/>
        </w:rPr>
        <w:t>заболевания или состояния (группы заболеваний или состояний)</w:t>
      </w:r>
      <w:bookmarkEnd w:id="11"/>
    </w:p>
    <w:p w14:paraId="0B64EF6F" w14:textId="49BDC38D" w:rsidR="009673D9" w:rsidRDefault="009673D9" w:rsidP="00CA442F">
      <w:pPr>
        <w:spacing w:line="360" w:lineRule="auto"/>
        <w:ind w:firstLine="709"/>
        <w:jc w:val="both"/>
      </w:pPr>
      <w:r w:rsidRPr="000322E4">
        <w:rPr>
          <w:b/>
        </w:rPr>
        <w:t>Диффузная крупноклеточная В-клеточная лимфома (ДВКЛ)</w:t>
      </w:r>
      <w:r w:rsidRPr="000322E4">
        <w:t xml:space="preserve"> </w:t>
      </w:r>
      <w:r w:rsidR="0027680D" w:rsidRPr="00544490">
        <w:t xml:space="preserve">объединяет </w:t>
      </w:r>
      <w:r w:rsidRPr="00544490">
        <w:t>гетерогенн</w:t>
      </w:r>
      <w:r w:rsidR="0027680D" w:rsidRPr="00544490">
        <w:t xml:space="preserve">ую </w:t>
      </w:r>
      <w:r w:rsidRPr="00544490">
        <w:t>групп</w:t>
      </w:r>
      <w:r w:rsidR="0027680D" w:rsidRPr="00544490">
        <w:t xml:space="preserve">у </w:t>
      </w:r>
      <w:r w:rsidRPr="00544490">
        <w:t xml:space="preserve">лимфатических опухолей с различными клиническими, морфологическими, иммунофенотипическими, цитогенетическими проявлениями и с разным ответом на терапию. Субстратом опухоли являются крупные лимфоидные В-клетки, которые характеризуются выраженным атипизмом и полиморфизмом, наличием крупного ядра, в два и более раз превышающим размер ядра малого лимфоцита или равным и превышающим размер ядра макрофага. Опухолевые клетки </w:t>
      </w:r>
      <w:r w:rsidRPr="00D625D4">
        <w:rPr>
          <w:color w:val="000000" w:themeColor="text1"/>
        </w:rPr>
        <w:t xml:space="preserve">в большинстве случаев располагаются диффузно, но могут </w:t>
      </w:r>
      <w:r w:rsidR="0044108E" w:rsidRPr="00D625D4">
        <w:rPr>
          <w:color w:val="000000" w:themeColor="text1"/>
        </w:rPr>
        <w:t xml:space="preserve">располагаться среди неопухолевых </w:t>
      </w:r>
      <w:r w:rsidR="008E1C96" w:rsidRPr="00D625D4">
        <w:rPr>
          <w:color w:val="000000" w:themeColor="text1"/>
        </w:rPr>
        <w:t>В-лимфоцитов</w:t>
      </w:r>
      <w:r w:rsidR="0044108E" w:rsidRPr="00D625D4">
        <w:rPr>
          <w:color w:val="000000" w:themeColor="text1"/>
        </w:rPr>
        <w:t>,</w:t>
      </w:r>
      <w:r w:rsidRPr="00D625D4">
        <w:rPr>
          <w:color w:val="000000" w:themeColor="text1"/>
        </w:rPr>
        <w:t xml:space="preserve"> иногда на фоне Т-клеточного окружения, или </w:t>
      </w:r>
      <w:r w:rsidRPr="00544490">
        <w:t xml:space="preserve">формировать очаговые скопления </w:t>
      </w:r>
      <w:r w:rsidRPr="00544490">
        <w:fldChar w:fldCharType="begin" w:fldLock="1"/>
      </w:r>
      <w:r w:rsidR="002E6B0E" w:rsidRPr="00544490">
        <w:instrText>ADDIN CSL_CITATION {"citationItems":[{"id":"ITEM-1","itemData":{"ISBN":"9789283244943","abstract":"Revised 4th edition. Introduction and overview of the classification of the myeloid neoplasms -- Myeloproliferative neoplasms -- Mastocytosis -- Myeloid/lymphoid neoplasms with eosinophilia and gene rearrangement -- Myelodysplastic/myeloproliferative neoplasms -- Myelodysplastic syndromes -- Myeloid neoplasms with germline predisposition -- Acute myeloid leukaemia and related precursor neoplasms -- Blastic plasmacytoid dendritic cell neoplasm -- Acute leukaemias of ambiguous lineage -- Introduction and overview of the classification of the lymphoid neoplasms -- Precursor lymphoid neoplasms -- Mature B-cell neoplasms -- Mature T- and NK-cell neoplasms -- Hodgkin lymphomas -- Immunodeficiency-associated lymphoproliferative disorders -- Histiocytic and dendritic cell neoplasms.","author":[{"dropping-particle":"","family":"Swerdlow","given":"Steven H.","non-dropping-particle":"","parse-names":false,"suffix":""},{"dropping-particle":"","family":"Campo","given":"Elias","non-dropping-particle":"","parse-names":false,"suffix":""},{"dropping-particle":"","family":"Harris","given":"Nancy Lee","non-dropping-particle":"","parse-names":false,"suffix":""},{"dropping-particle":"","family":"Jaffe","given":"Elaine S.","non-dropping-particle":"","parse-names":false,"suffix":""},{"dropping-particle":"","family":"Pileri","given":"Stefano A.","non-dropping-particle":"","parse-names":false,"suffix":""},{"dropping-particle":"","family":"Stein","given":"Harald","non-dropping-particle":"","parse-names":false,"suffix":""},{"dropping-particle":"","family":"Thiele","given":"Jürgen","non-dropping-particle":"","parse-names":false,"suffix":""}],"editor":[{"dropping-particle":"","family":"Swerdlow SH, Campo E, Harris NL, Jaffe ES, Pileri SA, Stein H","given":"Thiele J","non-dropping-particle":"","parse-names":false,"suffix":""}],"id":"ITEM-1","issued":{"date-parts":[["2017"]]},"number-of-pages":"585","title":"WHO classification of tumours of haematopoietic and lymphoid tissues. Revised 4th ed. Lyon, France: International Agency for Research in Cancer (IARC)","type":"book"},"uris":["http://www.mendeley.com/documents/?uuid=b06b14d2-e846-3ead-b23a-17e93b076e13"]}],"mendeley":{"formattedCitation":"[1]","plainTextFormattedCitation":"[1]","previouslyFormattedCitation":"[1]"},"properties":{"noteIndex":0},"schema":"https://github.com/citation-style-language/schema/raw/master/csl-citation.json"}</w:instrText>
      </w:r>
      <w:r w:rsidRPr="00544490">
        <w:fldChar w:fldCharType="separate"/>
      </w:r>
      <w:r w:rsidRPr="00544490">
        <w:rPr>
          <w:noProof/>
        </w:rPr>
        <w:t>[1]</w:t>
      </w:r>
      <w:r w:rsidRPr="00544490">
        <w:fldChar w:fldCharType="end"/>
      </w:r>
      <w:r w:rsidRPr="00544490">
        <w:t>. В зависимости от клинических проявлени</w:t>
      </w:r>
      <w:r w:rsidR="0027680D" w:rsidRPr="00544490">
        <w:t>ий</w:t>
      </w:r>
      <w:r w:rsidRPr="00544490">
        <w:t>,</w:t>
      </w:r>
      <w:r w:rsidRPr="000322E4">
        <w:t xml:space="preserve"> морфологических и молекулярных признаков выделяют различные типы крупноклеточных В-клеточных лимфом (см</w:t>
      </w:r>
      <w:r w:rsidRPr="000322E4">
        <w:rPr>
          <w:color w:val="000000" w:themeColor="text1"/>
        </w:rPr>
        <w:t>.</w:t>
      </w:r>
      <w:r w:rsidRPr="000322E4">
        <w:t xml:space="preserve"> раздел классификация).</w:t>
      </w:r>
    </w:p>
    <w:p w14:paraId="26D3D92C" w14:textId="53D1D6F2" w:rsidR="0044108E" w:rsidRPr="00AE0A1D" w:rsidRDefault="0044108E" w:rsidP="00CA442F">
      <w:pPr>
        <w:spacing w:line="360" w:lineRule="auto"/>
        <w:ind w:firstLine="709"/>
        <w:jc w:val="both"/>
        <w:rPr>
          <w:color w:val="000000" w:themeColor="text1"/>
        </w:rPr>
      </w:pPr>
      <w:r w:rsidRPr="00726C75">
        <w:rPr>
          <w:b/>
          <w:color w:val="000000" w:themeColor="text1"/>
        </w:rPr>
        <w:t xml:space="preserve">Первичная медиастинальная крупноклеточная В-клеточная лимфома (ПМВКЛ) – </w:t>
      </w:r>
      <w:r w:rsidR="00AD0AE4" w:rsidRPr="00726C75">
        <w:rPr>
          <w:color w:val="000000" w:themeColor="text1"/>
        </w:rPr>
        <w:t>особый вариант ДВКЛ с вовлечением в дебюте передне-верхнего средостения,</w:t>
      </w:r>
      <w:r w:rsidR="00AD0AE4" w:rsidRPr="00726C75">
        <w:rPr>
          <w:color w:val="000000" w:themeColor="text1"/>
          <w:sz w:val="28"/>
          <w:szCs w:val="28"/>
        </w:rPr>
        <w:t xml:space="preserve"> </w:t>
      </w:r>
      <w:r w:rsidR="00AD0AE4" w:rsidRPr="00726C75">
        <w:rPr>
          <w:color w:val="000000" w:themeColor="text1"/>
        </w:rPr>
        <w:t>с</w:t>
      </w:r>
      <w:r w:rsidR="00DE0590" w:rsidRPr="00726C75">
        <w:rPr>
          <w:color w:val="000000" w:themeColor="text1"/>
        </w:rPr>
        <w:t xml:space="preserve"> в</w:t>
      </w:r>
      <w:r w:rsidR="00AD0AE4" w:rsidRPr="00726C75">
        <w:rPr>
          <w:color w:val="000000" w:themeColor="text1"/>
        </w:rPr>
        <w:t>озможным распространением на окружающие органы и ткани</w:t>
      </w:r>
      <w:r w:rsidR="00726C75" w:rsidRPr="00726C75">
        <w:rPr>
          <w:color w:val="000000" w:themeColor="text1"/>
        </w:rPr>
        <w:t xml:space="preserve"> </w:t>
      </w:r>
      <w:r w:rsidR="00726C75" w:rsidRPr="00726C75">
        <w:rPr>
          <w:color w:val="000000" w:themeColor="text1"/>
        </w:rPr>
        <w:fldChar w:fldCharType="begin" w:fldLock="1"/>
      </w:r>
      <w:r w:rsidR="00AE0A1D">
        <w:rPr>
          <w:color w:val="000000" w:themeColor="text1"/>
        </w:rPr>
        <w:instrText>ADDIN CSL_CITATION {"citationItems":[{"id":"ITEM-1","itemData":{"DOI":"10.1016/0002-9343(80)90294-6","ISSN":"0002-9343","PMID":"6892753","abstract":"The incidence of primary mediastinal lymphoma in adults was investigated in 184 patients with non-Hodgkin's lymphoma. This entity was defined as disease within the mediastinum in patients who presented with symptoms due to an enlarging mediastinal mass. Of 184 patients, 17 presented with primary mediastinal lymphoma. All had a diffuse histologic pattern. The most common pathologic type was poorly differentiated lymphocytic lymphoma, diffuse (PDL-D), (11 cases). In nine of these 11 cases the patients had tumors of convoluted lymphocytes. The presentation was rapid in onset, with heart failure, pericarditis, dyspnea and superior vena caval syndrome predominating. Eleven of the 17 were clinical stage I or II, but eight of these had widespread disease on pathologic staging or rapid dissemination soon after diagnosis. In conclusion (1) primary mediastinal lymphoma is always diffuse in histology. (2) The most frequent pathologic type is PDL-D, with convoluted morphology. (3) Compression of vital intra-thoracic structures is common. (4) Although seemingly localized at presentation, this entity usually implies disseminated disease. © 1980.","author":[{"dropping-particle":"","family":"Lichtenstein","given":"Alan K.","non-dropping-particle":"","parse-names":false,"suffix":""},{"dropping-particle":"","family":"Levine","given":"Alexandra","non-dropping-particle":"","parse-names":false,"suffix":""},{"dropping-particle":"","family":"Taylor","given":"Clive R.","non-dropping-particle":"","parse-names":false,"suffix":""},{"dropping-particle":"","family":"Boswell","given":"William","non-dropping-particle":"","parse-names":false,"suffix":""},{"dropping-particle":"","family":"Rossman","given":"Stanley","non-dropping-particle":"","parse-names":false,"suffix":""},{"dropping-particle":"","family":"Feinstein","given":"Donald I.","non-dropping-particle":"","parse-names":false,"suffix":""},{"dropping-particle":"","family":"Lukes","given":"Robert J.","non-dropping-particle":"","parse-names":false,"suffix":""}],"container-title":"The American journal of medicine","id":"ITEM-1","issue":"4","issued":{"date-parts":[["1980"]]},"page":"509-514","publisher":"Am J Med","title":"Primary mediastinal lymphoma in adults","type":"article-journal","volume":"68"},"uris":["http://www.mendeley.com/documents/?uuid=8d4abc83-22d4-3d61-ae88-95eaf1cc1e0e"]},{"id":"ITEM-2","itemData":{"DOI":"10.1097/00000478-199607000-00012","ISSN":"0147-5185","PMID":"8669537","abstract":"Among non-Hodgkin's lymphomas, primary mediastinal large B-cell lymphomas (PMLCL) has been considered a separate entity that has specific clinical and histological aspects and a poor prognosis. In this study, we reexamined the clinicopathologic features and the response to current treatment of 141 PMLCL and compare them with 916 nonmediastinal large B-cell lymphomas (NMLCL) recorded in the same period and treated with similar combined chemotherapy. The clinical features of PMLCL at diagnosis were largely homogenous and distinct from NMLCL, with a predilection for young women (59% with a mean age of 37 years versus 42% with a mean age of 54 years) bulky tumor (77% versus 7%, p &lt; 104), high serum lactic dehydrogenase (LDH) level (76% versus 51%, p &lt; 104), and frequent intrathoracic extension to adjacent organs such as pleura, pericardium, and lung. By contrast, extrathoracic or hematologic dissemination was common (2% of bone marrow involvement versus 17%). All patients had diffuse large B-cell nonimmunoblastic, nonaplastic lymphomas. Histological analysis of the 141 PMLCL evaluated two common patterns: the presence of large cells with clear cytoplasm (found in 38% of cases) and the presence of fibrosis (marked in 25% of cases). The presence of clear cells or intense fibrosis did not constitute prognostic indicators. Immunologic and molecular analysis assessed the profile of bcl-2 expression and the presence of Epstein-Barr virus (EBV) in PMLCL: 30% expressed a high level of bcl-2 protein; EBER RNAs were detected by in situ hybridization in only two of the 41 cases tested. Monotypic light chain restriction could be demonstrated in seven of the 41 PMLCL tested on fixed-section. Treated with polychemotherapy regimens without radiotherapy, 79% of PMLCL patients achieved a complete remission compared with 68%, in the NMLCL patients group (p = 0.01). Overall, 3-years survival rates were estimated at 66 and 61%, respectively (p = 0.05), and disease-free survival rates were not significantly different (61 versus 64%). Stratified analysis on the International Prognostic Index (based on age, tumor stage, serum LDH level, and performance status) showed no difference in the overall and disease-free survivals between the two lymphoma groups. In conclusion, PMLCL can be combined with other diffuse large B-cell lymphomas on morphologic grounds; it is not associated with EBV. It responds favorably to treatment and should be managed like other high-grade lymphomas of equ…","author":[{"dropping-particle":"","family":"Cazals-Hatem","given":"D.","non-dropping-particle":"","parse-names":false,"suffix":""},{"dropping-particle":"","family":"Lepage","given":"E.","non-dropping-particle":"","parse-names":false,"suffix":""},{"dropping-particle":"","family":"Brice","given":"P.","non-dropping-particle":"","parse-names":false,"suffix":""},{"dropping-particle":"","family":"Ferrant","given":"A.","non-dropping-particle":"","parse-names":false,"suffix":""},{"dropping-particle":"","family":"D'Agay","given":"M. F.","non-dropping-particle":"","parse-names":false,"suffix":""},{"dropping-particle":"","family":"Baumelou","given":"E.","non-dropping-particle":"","parse-names":false,"suffix":""},{"dropping-particle":"","family":"Brière","given":"J.","non-dropping-particle":"","parse-names":false,"suffix":""},{"dropping-particle":"","family":"Blanc","given":"M.","non-dropping-particle":"","parse-names":false,"suffix":""},{"dropping-particle":"","family":"Gaulard","given":"P.","non-dropping-particle":"","parse-names":false,"suffix":""},{"dropping-particle":"","family":"Biron","given":"P.","non-dropping-particle":"","parse-names":false,"suffix":""},{"dropping-particle":"","family":"Schlaifer","given":"D.","non-dropping-particle":"","parse-names":false,"suffix":""},{"dropping-particle":"","family":"Diebold","given":"J.","non-dropping-particle":"","parse-names":false,"suffix":""},{"dropping-particle":"","family":"Audouin","given":"J.","non-dropping-particle":"","parse-names":false,"suffix":""}],"container-title":"The American journal of surgical pathology","id":"ITEM-2","issue":"7","issued":{"date-parts":[["1996","7"]]},"page":"877-888","publisher":"Am J Surg Pathol","title":"Primary mediastinal large B-cell lymphoma. A clinicopathologic study of 141 cases compared with 916 nonmediastinal large B-cell lymphomas, a GELA (\"Groupe d'Etude des Lymphomes de l'Adulte\") study","type":"article-journal","volume":"20"},"uris":["http://www.mendeley.com/documents/?uuid=a145ca81-641d-39fe-9d4d-d968904868de"]}],"mendeley":{"formattedCitation":"[2,3]","plainTextFormattedCitation":"[2,3]","previouslyFormattedCitation":"[2,3]"},"properties":{"noteIndex":0},"schema":"https://github.com/citation-style-language/schema/raw/master/csl-citation.json"}</w:instrText>
      </w:r>
      <w:r w:rsidR="00726C75" w:rsidRPr="00726C75">
        <w:rPr>
          <w:color w:val="000000" w:themeColor="text1"/>
        </w:rPr>
        <w:fldChar w:fldCharType="separate"/>
      </w:r>
      <w:r w:rsidR="00726C75" w:rsidRPr="00726C75">
        <w:rPr>
          <w:noProof/>
          <w:color w:val="000000" w:themeColor="text1"/>
        </w:rPr>
        <w:t>[2,3]</w:t>
      </w:r>
      <w:r w:rsidR="00726C75" w:rsidRPr="00726C75">
        <w:rPr>
          <w:color w:val="000000" w:themeColor="text1"/>
        </w:rPr>
        <w:fldChar w:fldCharType="end"/>
      </w:r>
      <w:r w:rsidR="00AD0AE4" w:rsidRPr="00726C75">
        <w:rPr>
          <w:color w:val="000000" w:themeColor="text1"/>
        </w:rPr>
        <w:t>. Определение ПМВКЛ как самостоятельного варианта ДВКЛ основывалось в первую очередь на клинических данных, однако дальнейшие исследования секвенирование экзома и оценка профиля экспрессии генов, полностью подтвердили обоснованность этого выделения.</w:t>
      </w:r>
      <w:r w:rsidR="00AD0AE4" w:rsidRPr="00726C75">
        <w:rPr>
          <w:color w:val="000000" w:themeColor="text1"/>
          <w:sz w:val="28"/>
          <w:szCs w:val="28"/>
        </w:rPr>
        <w:t xml:space="preserve"> </w:t>
      </w:r>
      <w:r w:rsidR="00AD0AE4" w:rsidRPr="00726C75">
        <w:rPr>
          <w:color w:val="000000" w:themeColor="text1"/>
        </w:rPr>
        <w:t xml:space="preserve"> </w:t>
      </w:r>
    </w:p>
    <w:p w14:paraId="3A423730" w14:textId="0DB3FC4F" w:rsidR="00DA1F72" w:rsidRPr="000322E4" w:rsidRDefault="00DA1F72" w:rsidP="00CA442F">
      <w:pPr>
        <w:spacing w:line="360" w:lineRule="auto"/>
        <w:ind w:firstLine="709"/>
        <w:jc w:val="both"/>
      </w:pPr>
      <w:r w:rsidRPr="000322E4">
        <w:rPr>
          <w:b/>
          <w:bCs/>
        </w:rPr>
        <w:t>Лимфома Беркитта (ЛБ)</w:t>
      </w:r>
      <w:r w:rsidRPr="000322E4">
        <w:t xml:space="preserve"> – высоко агрессивная лимфома из иммунологически зрелых В-клеток с преимущественно экстранодальной локализацией </w:t>
      </w:r>
      <w:r w:rsidRPr="000322E4">
        <w:fldChar w:fldCharType="begin" w:fldLock="1"/>
      </w:r>
      <w:r w:rsidR="00AE0A1D">
        <w:instrText>ADDIN CSL_CITATION {"citationItems":[{"id":"ITEM-1","itemData":{"author":[{"dropping-particle":"","family":"Барях","given":"Е.А.","non-dropping-particle":"","parse-names":false,"suffix":""}],"container-title":"Российские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Савченко.","id":"ITEM-1","issued":{"date-parts":[["2018"]]},"page":"80-87","title":"Лимфома Беркитта","type":"chapter"},"uris":["http://www.mendeley.com/documents/?uuid=6c46cd48-7af0-4ac2-8eb1-93f86718c4df"]}],"mendeley":{"formattedCitation":"[4]","plainTextFormattedCitation":"[4]","previouslyFormattedCitation":"[4]"},"properties":{"noteIndex":0},"schema":"https://github.com/citation-style-language/schema/raw/master/csl-citation.json"}</w:instrText>
      </w:r>
      <w:r w:rsidRPr="000322E4">
        <w:fldChar w:fldCharType="separate"/>
      </w:r>
      <w:r w:rsidR="00726C75" w:rsidRPr="00726C75">
        <w:rPr>
          <w:noProof/>
        </w:rPr>
        <w:t>[4]</w:t>
      </w:r>
      <w:r w:rsidRPr="000322E4">
        <w:fldChar w:fldCharType="end"/>
      </w:r>
      <w:r w:rsidRPr="000322E4">
        <w:t>.</w:t>
      </w:r>
    </w:p>
    <w:p w14:paraId="194BF951" w14:textId="77777777" w:rsidR="00B46390" w:rsidRPr="000322E4" w:rsidRDefault="00B46390" w:rsidP="00CA442F">
      <w:pPr>
        <w:pStyle w:val="2"/>
        <w:spacing w:before="0"/>
        <w:rPr>
          <w:color w:val="000000" w:themeColor="text1"/>
        </w:rPr>
      </w:pPr>
      <w:bookmarkStart w:id="13" w:name="_Toc96601229"/>
      <w:r w:rsidRPr="000322E4">
        <w:rPr>
          <w:color w:val="000000" w:themeColor="text1"/>
        </w:rPr>
        <w:t>1.2 Этиология и патогенез</w:t>
      </w:r>
      <w:r w:rsidR="00311757" w:rsidRPr="000322E4">
        <w:rPr>
          <w:color w:val="000000" w:themeColor="text1"/>
        </w:rPr>
        <w:t xml:space="preserve"> </w:t>
      </w:r>
      <w:r w:rsidR="00311757" w:rsidRPr="000322E4">
        <w:rPr>
          <w:color w:val="000000" w:themeColor="text1"/>
          <w:shd w:val="clear" w:color="auto" w:fill="FFFFFF"/>
        </w:rPr>
        <w:t>заболевания или состояния (группы заболеваний или состояний)</w:t>
      </w:r>
      <w:bookmarkEnd w:id="13"/>
    </w:p>
    <w:p w14:paraId="12A859D7" w14:textId="7C12E97F" w:rsidR="009673D9" w:rsidRPr="000322E4" w:rsidRDefault="009673D9" w:rsidP="00CA442F">
      <w:pPr>
        <w:spacing w:line="360" w:lineRule="auto"/>
        <w:ind w:firstLine="709"/>
        <w:jc w:val="both"/>
      </w:pPr>
      <w:r w:rsidRPr="000322E4">
        <w:t xml:space="preserve">Этиология ДВКЛ остается неясной. Опухоль чаще возникает </w:t>
      </w:r>
      <w:r w:rsidRPr="000322E4">
        <w:rPr>
          <w:lang w:val="en-US"/>
        </w:rPr>
        <w:t>de</w:t>
      </w:r>
      <w:r w:rsidRPr="000322E4">
        <w:t xml:space="preserve"> </w:t>
      </w:r>
      <w:r w:rsidRPr="000322E4">
        <w:rPr>
          <w:lang w:val="en-US"/>
        </w:rPr>
        <w:t>novo</w:t>
      </w:r>
      <w:r w:rsidRPr="000322E4">
        <w:t xml:space="preserve">, но может также трансформироваться из менее агрессивной лимфомы (ХЛЛ/лимфома из малых лимфоцитов, фолликулярная лимфома, лимфома из клеток маргинальной зоны или вариант нодулярного лимфоидного преобладания лимфомы Ходжкина). Значимым </w:t>
      </w:r>
      <w:r w:rsidRPr="008E1C96">
        <w:t>фактором</w:t>
      </w:r>
      <w:r w:rsidRPr="000322E4">
        <w:t xml:space="preserve"> риска является также сопутствующий иммунодефицит, у таких пациентов значительно чаще встречается </w:t>
      </w:r>
      <w:r w:rsidRPr="000322E4">
        <w:rPr>
          <w:lang w:val="en-US"/>
        </w:rPr>
        <w:t>EBV</w:t>
      </w:r>
      <w:r w:rsidRPr="000322E4">
        <w:t xml:space="preserve">-позитивная ДВКЛ. </w:t>
      </w:r>
    </w:p>
    <w:p w14:paraId="5F8B5689" w14:textId="47AD4284" w:rsidR="009673D9" w:rsidRPr="000322E4" w:rsidRDefault="009673D9" w:rsidP="00CA442F">
      <w:pPr>
        <w:spacing w:line="360" w:lineRule="auto"/>
        <w:ind w:firstLine="708"/>
        <w:jc w:val="both"/>
      </w:pPr>
      <w:r w:rsidRPr="000322E4">
        <w:lastRenderedPageBreak/>
        <w:t xml:space="preserve">В патогенезе ДВКЛ основными звеньями являются нарушение клеточных процессов пролиферации, созревания и дифференцировки В - лимфоцитов.  Первый этап дифференцировки В-лимфоцитов (первичная перестройка генов, кодирующих синтез </w:t>
      </w:r>
      <w:r w:rsidRPr="00544490">
        <w:t>иммуноглобулинов) проходит в костном мозге. Клетки с «успешной перестройкой» генов иммуноглобулинов (</w:t>
      </w:r>
      <w:r w:rsidRPr="00544490">
        <w:rPr>
          <w:i/>
        </w:rPr>
        <w:t>наивные</w:t>
      </w:r>
      <w:r w:rsidRPr="00544490">
        <w:t xml:space="preserve"> В-клетки) покидают костный мозг и попадают </w:t>
      </w:r>
      <w:r w:rsidR="006D5B03" w:rsidRPr="00544490">
        <w:t>в периферическ</w:t>
      </w:r>
      <w:r w:rsidR="008E1C96">
        <w:t>и</w:t>
      </w:r>
      <w:r w:rsidR="006D5B03" w:rsidRPr="00544490">
        <w:t>е органы иммуной системы (</w:t>
      </w:r>
      <w:r w:rsidRPr="00544490">
        <w:t>лимфатические узлы, миндалины, селезенку, пейеровы бляшки</w:t>
      </w:r>
      <w:r w:rsidR="006D5B03" w:rsidRPr="00544490">
        <w:t>)</w:t>
      </w:r>
      <w:r w:rsidRPr="00544490">
        <w:t>, где</w:t>
      </w:r>
      <w:r w:rsidR="006D5B03" w:rsidRPr="00544490">
        <w:t xml:space="preserve"> происходит второй</w:t>
      </w:r>
      <w:r w:rsidRPr="00544490">
        <w:t xml:space="preserve">, </w:t>
      </w:r>
      <w:r w:rsidR="006D5B03" w:rsidRPr="00544490">
        <w:t xml:space="preserve">антигензависимый этап дифференцировки В-лимфоцитов. </w:t>
      </w:r>
      <w:r w:rsidRPr="00544490">
        <w:t xml:space="preserve">В зародышевом центре вторичных </w:t>
      </w:r>
      <w:r w:rsidR="006D5B03" w:rsidRPr="00544490">
        <w:t xml:space="preserve">лимфоидных </w:t>
      </w:r>
      <w:r w:rsidRPr="00544490">
        <w:t>фолликулов наивные B-клетки</w:t>
      </w:r>
      <w:r w:rsidR="006D5B03" w:rsidRPr="00544490">
        <w:t xml:space="preserve">, </w:t>
      </w:r>
      <w:r w:rsidRPr="00544490">
        <w:t xml:space="preserve">не имеющие комплементарного антигена и не способные произвести функциональное антитело, подвергаются апоптозу.   </w:t>
      </w:r>
      <w:r w:rsidR="006D5B03" w:rsidRPr="00544490">
        <w:t xml:space="preserve">Те же </w:t>
      </w:r>
      <w:r w:rsidRPr="00544490">
        <w:t>В-лимфоцит</w:t>
      </w:r>
      <w:r w:rsidR="006D5B03" w:rsidRPr="00544490">
        <w:t>ы</w:t>
      </w:r>
      <w:r w:rsidRPr="00544490">
        <w:t xml:space="preserve">, </w:t>
      </w:r>
      <w:r w:rsidR="006D5B03" w:rsidRPr="00544490">
        <w:t xml:space="preserve">которые </w:t>
      </w:r>
      <w:r w:rsidRPr="00544490">
        <w:t>получи</w:t>
      </w:r>
      <w:r w:rsidR="006D5B03" w:rsidRPr="00544490">
        <w:t xml:space="preserve">ли </w:t>
      </w:r>
      <w:r w:rsidRPr="00544490">
        <w:t xml:space="preserve">возможность синтезировать антитела после контакта с соответствующими антигенами,  в зародышевом центре </w:t>
      </w:r>
      <w:r w:rsidR="006D5B03" w:rsidRPr="00544490">
        <w:t>при участии фолликулярных дендритных клеток и Т-лимфоцитов</w:t>
      </w:r>
      <w:r w:rsidR="00500DF3" w:rsidRPr="00544490">
        <w:t>,</w:t>
      </w:r>
      <w:r w:rsidR="006D5B03" w:rsidRPr="00544490">
        <w:t xml:space="preserve"> подвергаются ряду важн</w:t>
      </w:r>
      <w:r w:rsidR="00500DF3" w:rsidRPr="00544490">
        <w:t xml:space="preserve">ейших </w:t>
      </w:r>
      <w:r w:rsidRPr="00544490">
        <w:t>измененей</w:t>
      </w:r>
      <w:r w:rsidR="006D5B03" w:rsidRPr="00544490">
        <w:t xml:space="preserve">, таких как </w:t>
      </w:r>
      <w:r w:rsidRPr="00544490">
        <w:t>переключение класса иммуноглобулина (IgM, IgD на IgG, IgA или IgE)</w:t>
      </w:r>
      <w:r w:rsidR="00500DF3" w:rsidRPr="00544490">
        <w:t xml:space="preserve"> и </w:t>
      </w:r>
      <w:r w:rsidRPr="00544490">
        <w:t>соматическ</w:t>
      </w:r>
      <w:r w:rsidR="006D5B03" w:rsidRPr="00544490">
        <w:t xml:space="preserve">ие </w:t>
      </w:r>
      <w:r w:rsidRPr="00544490">
        <w:t>гипермутаци</w:t>
      </w:r>
      <w:r w:rsidR="006D5B03" w:rsidRPr="00544490">
        <w:t>и</w:t>
      </w:r>
      <w:r w:rsidRPr="00544490">
        <w:t xml:space="preserve"> (замена одного нуклеотида в гипервариабельных регионах иммуноглобулинов)</w:t>
      </w:r>
      <w:r w:rsidR="00500DF3" w:rsidRPr="00544490">
        <w:t xml:space="preserve">. Далее </w:t>
      </w:r>
      <w:r w:rsidRPr="00544490">
        <w:t xml:space="preserve">В-клетки покидают </w:t>
      </w:r>
      <w:r w:rsidR="00500DF3" w:rsidRPr="00544490">
        <w:t xml:space="preserve">вторичный лимфоидный </w:t>
      </w:r>
      <w:r w:rsidRPr="00544490">
        <w:t>фолликул, становясь окончательно дифференцированными плазматическими клетками или долгоживущими В-клетками памяти. С</w:t>
      </w:r>
      <w:r w:rsidRPr="000322E4">
        <w:t>лучайные неудачи в управлении этими процессами и играют решающую роль в развитии B-клеточных опухолей, в том числе ДВКЛ</w:t>
      </w:r>
      <w:r w:rsidR="002E6B0E" w:rsidRPr="000322E4">
        <w:t xml:space="preserve"> </w:t>
      </w:r>
      <w:r w:rsidR="002E6B0E" w:rsidRPr="000322E4">
        <w:fldChar w:fldCharType="begin" w:fldLock="1"/>
      </w:r>
      <w:r w:rsidR="00AE0A1D">
        <w:instrText>ADDIN CSL_CITATION {"citationItems":[{"id":"ITEM-1","itemData":{"DOI":"10.1016/1074-7613(94)90081-7","ISSN":"10747613","PMID":"7889417","abstract":"The precise time of appearance of the first hematopoietic stem cell activity in the developing mouse embryo is unknown. Recently the aorta-gonad-mesonephros region of the developing mouse embryo has been shown to possess hematopoietic colony-forming activity (CFU-S) in irradiated recipient mice. To determine whether the mouse embryo possesses definitive hematopoietic stem cell activity in the analogous AGM region and to determine the order of appearance of stem cells in the yolk sac, AGM region, and liver, we transferred these embryonic tissues into adult irradiated recipients. We report here the long-term, complete, and functional hematopoietic repopulation of primary and serial recipients with AGM-derived cells. We observe potent hematopoietic stem cell activity in the AGM region before the appearance of yolk sac and liver stem cell activity and discuss a model for the maturation of stem cell activity in mouse embryogenesis. © 1994.","author":[{"dropping-particle":"","family":"Müller","given":"Albrecht M.","non-dropping-particle":"","parse-names":false,"suffix":""},{"dropping-particle":"","family":"Medvinsky","given":"Alexander","non-dropping-particle":"","parse-names":false,"suffix":""},{"dropping-particle":"","family":"Strouboulis","given":"John","non-dropping-particle":"","parse-names":false,"suffix":""},{"dropping-particle":"","family":"Grosveld","given":"Frank","non-dropping-particle":"","parse-names":false,"suffix":""},{"dropping-particle":"","family":"Dzierzakt","given":"Elaine","non-dropping-particle":"","parse-names":false,"suffix":""}],"container-title":"Immunity","id":"ITEM-1","issue":"4","issued":{"date-parts":[["1994"]]},"page":"291-301","title":"Development of hematopoietic stem cell activity in the mouse embryo","type":"article-journal","volume":"1"},"uris":["http://www.mendeley.com/documents/?uuid=317b018b-c655-30cc-903e-290b72242351"]},{"id":"ITEM-2","itemData":{"DOI":"10.1038/nri1649","ISSN":"14741733","abstract":"In this Opinion article, I address the role of the pre-B-cell receptor (pre-BCR) in the development of antigen-specific B cells in terms of immunoglobulin heavy chain (IgH) variable-region repertoire selection, precursor B-cell differentiation and proliferation, and IgH allelic exclusion. Comparisons with the role of the pre-T-cell receptor (pre-TCR) in T-cell development raise provocative questions. Why do B- and T-cell lineages both use a surrogate chain -the surrogate light chain and the pre-TCR α-chain, respectively - as a step to develop their repertoires of antigen-recognizing cells? What are the functions of the pre-BCR and pre-TCR in lymphocyte differentiation and antigen-receptor allelic exclusion? This article, together with the accompanying article by Harald von Boehmer, hopes to answer some of these questions.","author":[{"dropping-particle":"","family":"Melchers","given":"Fritz","non-dropping-particle":"","parse-names":false,"suffix":""}],"container-title":"Nature Reviews Immunology","id":"ITEM-2","issue":"7","issued":{"date-parts":[["2005","7"]]},"page":"578-584","title":"The pre-B-cell receptor: Selector of fitting immunoglobulin heavy chains for the B-cell repertoire","type":"article","volume":"5"},"uris":["http://www.mendeley.com/documents/?uuid=4181a166-7eec-3522-8446-99d5c9d19a7f"]},{"id":"ITEM-3","itemData":{"DOI":"10.1084/jem.20060964","ISSN":"00221007","abstract":"The contribution of proliferation to B lymphocyte homeostasis and antigen responses is largely unknown. We quantified the replication history of mouse and human B lymphocyte subsets by calculating the ratio between genomic coding joints and signal joints on kappa-deleting recombination excision circles (KREC) of the IGK-deleting rearrangement. This approach was validated with in vitro proliferation studies. We demonstrate that naive mature B lymphocytes, but not transitional B lymphocytes, undergo in vivo homeostatic proliferation in the absence of somatic mutations in the periphery. T cell-dependent B cell proliferation was substantially higher and showed higher frequencies of somatic hypermutation than T cell-independent responses, fitting with the robustness and high affinity of T cell-dependent antibody responses. More extensive proliferation and somatic hypermutation in antigen-experienced B lymphocytes from human adults compared to children indicated consecutive responses upon additional antigen exposures. Our combined observations unravel the contribution of proliferation to both B lymphocyte homeostasis and antigeninduced B cell expansion. We propose an important role for both processes in humoral immunity. These new insights will support the understanding of peripheral B cell regeneration after hematopoietic stem cell transplantation or B cell-directed antibody therapy, and the identification of defects in homeostatic or antigen-induced B cell proliferation in patients with common variable immunodeficiency or another antibody deficiency. JEM © The Rockefeller University Press.","author":[{"dropping-particle":"","family":"Zelm","given":"Menno C.","non-dropping-particle":"Van","parse-names":false,"suffix":""},{"dropping-particle":"","family":"Szczepański","given":"Tomasz","non-dropping-particle":"","parse-names":false,"suffix":""},{"dropping-particle":"","family":"Burg","given":"Mirjam","non-dropping-particle":"Van Der","parse-names":false,"suffix":""},{"dropping-particle":"","family":"Dongen","given":"Jacques J.M.","non-dropping-particle":"Van","parse-names":false,"suffix":""}],"container-title":"Journal of Experimental Medicine","id":"ITEM-3","issue":"3","issued":{"date-parts":[["2007","3","19"]]},"page":"645-655","title":"Replication history of B lymphocytes reveals homeostatic proliferation and extensive antigen-induced B cell expansion","type":"article-journal","volume":"204"},"uris":["http://www.mendeley.com/documents/?uuid=0267efa3-d200-3fc4-8e9a-da092a73a49f"]},{"id":"ITEM-4","itemData":{"DOI":"10.1093/intimm/5.6.647","ISSN":"09538178","PMID":"8347558","abstract":"B lymphocyte differentiation is characterized by an ordered series of Ig gene assembly and expression events. In the majority of normal B cells, assembly and expression of Ig heavy (H) chain genes precedes that of light (L) chain genes. To determine the role of the Ig heavy chain protein in B cell development and L chain gene rearrangement, we have generated mice that cannot assemble Ig H chain genes as a result of targeted deletion of the JH gene segments in embryonic stem cells. Mice homozygous for this deletion are devoid of slg+ B cells in the bone marrow and periphery. B cell differentiation in these mice is blocked at the large, CD43+ precursor stage. However, these precursor B cells do assemble κ{script} L chain genes at a low level in the absence of μ H chain proteins. These data demonstrate that rearrangement and expression of the μ H chain gene is not absolutely required for κ{script} L chain gene rearrangement in vivo. Expression of μ chains may facilitate either efficient L chain gene rearrangement or the survival of cells that have rearranged light chain genes by promoting the differentiation of large, CD43+ to small, CD43- pre-B cells. © 1993 Oxford University Press.","author":[{"dropping-particle":"","family":"Chen","given":"Jianzhu","non-dropping-particle":"","parse-names":false,"suffix":""},{"dropping-particle":"","family":"Trounstine","given":"Mary","non-dropping-particle":"","parse-names":false,"suffix":""},{"dropping-particle":"","family":"Alt","given":"Frederick W.","non-dropping-particle":"","parse-names":false,"suffix":""},{"dropping-particle":"","family":"Young","given":"Faith","non-dropping-particle":"","parse-names":false,"suffix":""},{"dropping-particle":"","family":"Kurahara","given":"Carole","non-dropping-particle":"","parse-names":false,"suffix":""},{"dropping-particle":"","family":"Loring","given":"Jeanne F.","non-dropping-particle":"","parse-names":false,"suffix":""},{"dropping-particle":"","family":"Huszar","given":"Dennis","non-dropping-particle":"","parse-names":false,"suffix":""}],"container-title":"International Immunology","id":"ITEM-4","issue":"6","issued":{"date-parts":[["1993","6"]]},"page":"647-656","title":"Immunoglobulin gene rearrangement in B cell deficient mice generated by targeted deletion of the JH locus","type":"article-journal","volume":"5"},"uris":["http://www.mendeley.com/documents/?uuid=7df7eae5-f787-3e7c-b178-28b15e20bb75"]},{"id":"ITEM-5","itemData":{"DOI":"10.1146/annurev.genet.41.110306.130340","ISSN":"0066-4197","abstract":"The immunoglobulin (Ig) repertoire achieves functional diversification through several somatic alterations of the Ig locus. One of these processes, somatic hypermutation (SHM), deposits point mutations into the variable region of the Ig gene to generate higher-affinity variants. Activation-induced cytidine deaminase (AID) converts cytidine to uridine to initiate the hypermutation process. Error-prone versions of DNA repair are believed to then process these lesions into a diverse spectrum of point mutations. We review the current understanding of the molecular mechanisms and regulation of SHM, and also discuss emerging ideas which merit further exploration. Expected final online publication date for the Annual Review of Genetics Volume 41 is November 10, 2007. Please see http://www.annualreviews.org/catalog/pubdates.aspx for revised estimates.","author":[{"dropping-particle":"","family":"Teng","given":"Grace","non-dropping-particle":"","parse-names":false,"suffix":""},{"dropping-particle":"","family":"Papavasiliou","given":"F. Nina","non-dropping-particle":"","parse-names":false,"suffix":""}],"container-title":"Annual Review of Genetics","id":"ITEM-5","issue":"1","issued":{"date-parts":[["2007","12"]]},"page":"107-120","publisher":"Annual Reviews","title":"Immunoglobulin Somatic Hypermutation","type":"article-journal","volume":"41"},"uris":["http://www.mendeley.com/documents/?uuid=08c1e979-33b5-348b-92b0-f37a77e9e20b"]},{"id":"ITEM-6","itemData":{"ISSN":"0022-1767","PMID":"6420469","abstract":"Studies investigating the relative rates of biosynthesis of mu- and delta-polypeptide chains in normal resting B lymphocytes have shown that the translation rate of mu m is about sevenfold higher than that of delta m, thus reflecting the relative abundance of mRNA encoding these two chains. The turnover rate of cell surface IgM is faster, however, than that of cell surface IgD, resulting in higher expression of cell surface IgD relative to IgM under steady state conditions. LPS stimulation of B lymphocytes induces the complete cessation of synthesis of the delta-chain, thus accounting for the gradual disappearance of IgD from the cell surface of activated cells.","author":[{"dropping-particle":"","family":"Yuan","given":"D","non-dropping-particle":"","parse-names":false,"suffix":""}],"container-title":"Journal of immunology (Baltimore, Md. : 1950)","id":"ITEM-6","issue":"3","issued":{"date-parts":[["1984","3"]]},"page":"1566-70","title":"Regulation of IgM and IgD synthesis in B lymphocytes. II. Translational and post-translational events.","type":"article-journal","volume":"132"},"uris":["http://www.mendeley.com/documents/?uuid=bf392155-db28-3630-a227-407a60253829"]},{"id":"ITEM-7","itemData":{"DOI":"10.1182/asheducation-2007.1.210","ISSN":"15204391","abstract":"The immune system requires the production of high affinity antibodies of different subclasses to accomplish its many effector functions. Specific steps in B-cell ontogeny that occur within germinal centers of secondary lymphoid organs create much of the diversity in the immune system. This process also provides the raw material for the genesis of B-cell lymphomas as misdirection of the molecular machinery that regulate these steps can cause chromosomal translocations, prevent apoptosis and promote proliferation of abnormal clones. Many recent avenues of investigation have elucidated that the germinal center is a dynamic microenvironment where B-cells undergo repeated rounds of mutation and selection. Gene expression studies have further shown that malignancies derived from germinal center B-cells elaborate specific gene expression signatures that derive from neoplastic cells as well as elements of the host response such as T-cells and macrophages. This review will examine the current understanding of B-cell development in the germinal center and the key molecules involved in this process. Interactions between lymphoma cells and their cellular partners and models in the growth and development of follicular lymphoma will be presented.","author":[{"dropping-particle":"","family":"Natkunam","given":"Yasodha","non-dropping-particle":"","parse-names":false,"suffix":""}],"container-title":"Hematology / the Education Program of the American Society of Hematology. American Society of Hematology. Education Program","id":"ITEM-7","issued":{"date-parts":[["2007"]]},"page":"210-215","title":"The biology of the germinal center.","type":"article"},"uris":["http://www.mendeley.com/documents/?uuid=c1cde9a5-8fa5-3238-806a-673423588857"]}],"mendeley":{"formattedCitation":"[5–11]","plainTextFormattedCitation":"[5–11]","previouslyFormattedCitation":"[5–11]"},"properties":{"noteIndex":0},"schema":"https://github.com/citation-style-language/schema/raw/master/csl-citation.json"}</w:instrText>
      </w:r>
      <w:r w:rsidR="002E6B0E" w:rsidRPr="000322E4">
        <w:fldChar w:fldCharType="separate"/>
      </w:r>
      <w:r w:rsidR="00726C75" w:rsidRPr="00726C75">
        <w:rPr>
          <w:noProof/>
        </w:rPr>
        <w:t>[5–11]</w:t>
      </w:r>
      <w:r w:rsidR="002E6B0E" w:rsidRPr="000322E4">
        <w:fldChar w:fldCharType="end"/>
      </w:r>
      <w:r w:rsidR="002E6B0E" w:rsidRPr="000322E4">
        <w:t>.</w:t>
      </w:r>
    </w:p>
    <w:p w14:paraId="7F839FE8" w14:textId="2839AFA7" w:rsidR="009673D9" w:rsidRDefault="009673D9" w:rsidP="00CA442F">
      <w:pPr>
        <w:spacing w:line="360" w:lineRule="auto"/>
        <w:ind w:firstLine="708"/>
        <w:jc w:val="both"/>
      </w:pPr>
      <w:r w:rsidRPr="000322E4">
        <w:t xml:space="preserve">Как показали молекулярно-генетические исследования, в патогенезе ДВКЛ имеют значение многие гены, регулирующие события в зародышевых центрах, но самым изученным механизмом является перестройка гена </w:t>
      </w:r>
      <w:r w:rsidRPr="000322E4">
        <w:rPr>
          <w:lang w:val="en-US"/>
        </w:rPr>
        <w:t>Bcl</w:t>
      </w:r>
      <w:r w:rsidRPr="000322E4">
        <w:t>-6, расположенного в локусе 3</w:t>
      </w:r>
      <w:r w:rsidRPr="000322E4">
        <w:rPr>
          <w:lang w:val="en-US"/>
        </w:rPr>
        <w:t>q</w:t>
      </w:r>
      <w:r w:rsidRPr="000322E4">
        <w:t xml:space="preserve">27 и экспрессируемого исключительно В-клетками зародышевого центра. В физиологических </w:t>
      </w:r>
      <w:r w:rsidRPr="00726C75">
        <w:t xml:space="preserve">условиях ген </w:t>
      </w:r>
      <w:r w:rsidRPr="00726C75">
        <w:rPr>
          <w:lang w:val="en-US"/>
        </w:rPr>
        <w:t>Bcl</w:t>
      </w:r>
      <w:r w:rsidRPr="00726C75">
        <w:t>-6 связывается</w:t>
      </w:r>
      <w:r w:rsidR="008E1C96">
        <w:rPr>
          <w:color w:val="FF0000"/>
        </w:rPr>
        <w:t xml:space="preserve"> </w:t>
      </w:r>
      <w:r w:rsidRPr="000322E4">
        <w:t>с определенными регулирующими последовательностями ДНК, влияет на транскрипцию других генов, участвующих в активации и терминальной дифференцировке В-лимфоцитов. При перестройке локуса 3</w:t>
      </w:r>
      <w:r w:rsidRPr="000322E4">
        <w:rPr>
          <w:lang w:val="en-US"/>
        </w:rPr>
        <w:t>q</w:t>
      </w:r>
      <w:r w:rsidRPr="000322E4">
        <w:t>27 происходит блок дальнейшей дифференцировки В-клеток в плазматические клетки, что приводит к бесконтрольной пролиферации В-клеток зародышевого центра</w:t>
      </w:r>
      <w:r w:rsidR="002E6B0E" w:rsidRPr="000322E4">
        <w:t xml:space="preserve"> </w:t>
      </w:r>
      <w:r w:rsidRPr="000322E4">
        <w:t xml:space="preserve"> </w:t>
      </w:r>
      <w:r w:rsidR="002E6B0E" w:rsidRPr="000322E4">
        <w:fldChar w:fldCharType="begin" w:fldLock="1"/>
      </w:r>
      <w:r w:rsidR="00AE0A1D">
        <w:instrText>ADDIN CSL_CITATION {"citationItems":[{"id":"ITEM-1","itemData":{"DOI":"10.1128/mcb.25.15.6475-6484.2005","ISSN":"0270-7306","abstract":"The t(14;18) chromosomal translocation is the most common translocation in human cancer, and it occurs in all follicular lymphomas. The 150-bp bcl-2 major breakpoint region (Mbr) on chromosome 18 is a fragile site, because it adopts a non-B DNA conformation that can be cleaved by the RAG complex. The non-B DNA structure and the chromosomal translocation can be recapitulated on intracellular human minichromosomes where immunoglobulin 12- and 23-signals are positioned downstream of the bcl-2 Mbr. Here we show that either of the two coding ends in these V(D)J recombination reactions can recombine with either of the two broken ends of the bcl-2 Mbr but that neither signal end can recombine with the Mbr. Moreover, we show that the rejoining is fully dependent on DNA ligase IV, indicating that the rejoining phase relies on the nonhomologous DNA end-joining pathway. These results permit us to formulate a complete model for the order and types of cleavage and rejoining events in the t(14;18) translocation. Copyright © 2005, American Society for Microbiology. All Rights Reserved.","author":[{"dropping-particle":"","family":"Raghavan","given":"S. C.","non-dropping-particle":"","parse-names":false,"suffix":""},{"dropping-particle":"","family":"Hsieh","given":"C.-L.","non-dropping-particle":"","parse-names":false,"suffix":""},{"dropping-particle":"","family":"Lieber","given":"M. R.","non-dropping-particle":"","parse-names":false,"suffix":""}],"container-title":"Molecular and Cellular Biology","id":"ITEM-1","issue":"15","issued":{"date-parts":[["2005","8","1"]]},"page":"6475-6484","publisher":"American Society for Microbiology","title":"Both V(D)J Coding Ends but Neither Signal End Can Recombine at the bcl-2 Major Breakpoint Region, and the Rejoining Is Ligase IV Dependent","type":"article-journal","volume":"25"},"uris":["http://www.mendeley.com/documents/?uuid=12a8c37c-f069-3033-8c60-681d591b1306"]}],"mendeley":{"formattedCitation":"[12]","plainTextFormattedCitation":"[12]","previouslyFormattedCitation":"[12]"},"properties":{"noteIndex":0},"schema":"https://github.com/citation-style-language/schema/raw/master/csl-citation.json"}</w:instrText>
      </w:r>
      <w:r w:rsidR="002E6B0E" w:rsidRPr="000322E4">
        <w:fldChar w:fldCharType="separate"/>
      </w:r>
      <w:r w:rsidR="00726C75" w:rsidRPr="00726C75">
        <w:rPr>
          <w:noProof/>
        </w:rPr>
        <w:t>[12]</w:t>
      </w:r>
      <w:r w:rsidR="002E6B0E" w:rsidRPr="000322E4">
        <w:fldChar w:fldCharType="end"/>
      </w:r>
      <w:r w:rsidR="002E6B0E" w:rsidRPr="000322E4">
        <w:t>.</w:t>
      </w:r>
    </w:p>
    <w:p w14:paraId="11591C7B" w14:textId="5B0AD6FA" w:rsidR="00AD0AE4" w:rsidRPr="002200A6" w:rsidRDefault="00AD0AE4" w:rsidP="00AD0AE4">
      <w:pPr>
        <w:spacing w:line="360" w:lineRule="auto"/>
        <w:ind w:firstLine="708"/>
        <w:jc w:val="both"/>
        <w:rPr>
          <w:color w:val="000000" w:themeColor="text1"/>
        </w:rPr>
      </w:pPr>
      <w:r w:rsidRPr="002200A6">
        <w:rPr>
          <w:color w:val="000000" w:themeColor="text1"/>
        </w:rPr>
        <w:t xml:space="preserve">Этиология </w:t>
      </w:r>
      <w:r w:rsidR="0044108E" w:rsidRPr="002200A6">
        <w:rPr>
          <w:color w:val="000000" w:themeColor="text1"/>
        </w:rPr>
        <w:t xml:space="preserve">ПМВКЛ </w:t>
      </w:r>
      <w:r w:rsidRPr="002200A6">
        <w:rPr>
          <w:color w:val="000000" w:themeColor="text1"/>
        </w:rPr>
        <w:t>в настоящее время неизвестна.</w:t>
      </w:r>
      <w:r w:rsidRPr="002200A6">
        <w:rPr>
          <w:b/>
          <w:color w:val="000000" w:themeColor="text1"/>
        </w:rPr>
        <w:t xml:space="preserve"> </w:t>
      </w:r>
      <w:r w:rsidRPr="002200A6">
        <w:rPr>
          <w:color w:val="000000" w:themeColor="text1"/>
        </w:rPr>
        <w:t xml:space="preserve">Опухолевые клетки ПМВКЛ характеризуются уникальным профилем экспрессии генов, </w:t>
      </w:r>
      <w:r w:rsidRPr="002200A6">
        <w:rPr>
          <w:color w:val="000000" w:themeColor="text1"/>
          <w:highlight w:val="white"/>
        </w:rPr>
        <w:t>мутационным ландшафтом и предполагаемых генов-драйверов</w:t>
      </w:r>
      <w:r w:rsidRPr="002200A6">
        <w:rPr>
          <w:color w:val="000000" w:themeColor="text1"/>
        </w:rPr>
        <w:t xml:space="preserve"> который отличен от всех вариантов ДВКЛ и имеет большое сходство с портретом классической лимфомы Ходжкина</w:t>
      </w:r>
      <w:r w:rsidR="00726C75" w:rsidRPr="002200A6">
        <w:rPr>
          <w:color w:val="000000" w:themeColor="text1"/>
        </w:rPr>
        <w:t xml:space="preserve"> </w:t>
      </w:r>
      <w:r w:rsidR="00726C75" w:rsidRPr="002200A6">
        <w:rPr>
          <w:color w:val="000000" w:themeColor="text1"/>
        </w:rPr>
        <w:fldChar w:fldCharType="begin" w:fldLock="1"/>
      </w:r>
      <w:r w:rsidR="00AE0A1D">
        <w:rPr>
          <w:color w:val="000000" w:themeColor="text1"/>
        </w:rPr>
        <w:instrText>ADDIN CSL_CITATION {"citationItems":[{"id":"ITEM-1","itemData":{"DOI":"10.1016/0002-9343(80)90294-6","ISSN":"0002-9343","PMID":"6892753","abstract":"The incidence of primary mediastinal lymphoma in adults was investigated in 184 patients with non-Hodgkin's lymphoma. This entity was defined as disease within the mediastinum in patients who presented with symptoms due to an enlarging mediastinal mass. Of 184 patients, 17 presented with primary mediastinal lymphoma. All had a diffuse histologic pattern. The most common pathologic type was poorly differentiated lymphocytic lymphoma, diffuse (PDL-D), (11 cases). In nine of these 11 cases the patients had tumors of convoluted lymphocytes. The presentation was rapid in onset, with heart failure, pericarditis, dyspnea and superior vena caval syndrome predominating. Eleven of the 17 were clinical stage I or II, but eight of these had widespread disease on pathologic staging or rapid dissemination soon after diagnosis. In conclusion (1) primary mediastinal lymphoma is always diffuse in histology. (2) The most frequent pathologic type is PDL-D, with convoluted morphology. (3) Compression of vital intra-thoracic structures is common. (4) Although seemingly localized at presentation, this entity usually implies disseminated disease. © 1980.","author":[{"dropping-particle":"","family":"Lichtenstein","given":"Alan K.","non-dropping-particle":"","parse-names":false,"suffix":""},{"dropping-particle":"","family":"Levine","given":"Alexandra","non-dropping-particle":"","parse-names":false,"suffix":""},{"dropping-particle":"","family":"Taylor","given":"Clive R.","non-dropping-particle":"","parse-names":false,"suffix":""},{"dropping-particle":"","family":"Boswell","given":"William","non-dropping-particle":"","parse-names":false,"suffix":""},{"dropping-particle":"","family":"Rossman","given":"Stanley","non-dropping-particle":"","parse-names":false,"suffix":""},{"dropping-particle":"","family":"Feinstein","given":"Donald I.","non-dropping-particle":"","parse-names":false,"suffix":""},{"dropping-particle":"","family":"Lukes","given":"Robert J.","non-dropping-particle":"","parse-names":false,"suffix":""}],"container-title":"The American journal of medicine","id":"ITEM-1","issue":"4","issued":{"date-parts":[["1980"]]},"page":"509-514","publisher":"Am J Med","title":"Primary mediastinal lymphoma in adults","type":"article-journal","volume":"68"},"uris":["http://www.mendeley.com/documents/?uuid=8d4abc83-22d4-3d61-ae88-95eaf1cc1e0e"]},{"id":"ITEM-2","itemData":{"DOI":"10.1097/00000478-199607000-00012","ISSN":"0147-5185","PMID":"8669537","abstract":"Among non-Hodgkin's lymphomas, primary mediastinal large B-cell lymphomas (PMLCL) has been considered a separate entity that has specific clinical and histological aspects and a poor prognosis. In this study, we reexamined the clinicopathologic features and the response to current treatment of 141 PMLCL and compare them with 916 nonmediastinal large B-cell lymphomas (NMLCL) recorded in the same period and treated with similar combined chemotherapy. The clinical features of PMLCL at diagnosis were largely homogenous and distinct from NMLCL, with a predilection for young women (59% with a mean age of 37 years versus 42% with a mean age of 54 years) bulky tumor (77% versus 7%, p &lt; 104), high serum lactic dehydrogenase (LDH) level (76% versus 51%, p &lt; 104), and frequent intrathoracic extension to adjacent organs such as pleura, pericardium, and lung. By contrast, extrathoracic or hematologic dissemination was common (2% of bone marrow involvement versus 17%). All patients had diffuse large B-cell nonimmunoblastic, nonaplastic lymphomas. Histological analysis of the 141 PMLCL evaluated two common patterns: the presence of large cells with clear cytoplasm (found in 38% of cases) and the presence of fibrosis (marked in 25% of cases). The presence of clear cells or intense fibrosis did not constitute prognostic indicators. Immunologic and molecular analysis assessed the profile of bcl-2 expression and the presence of Epstein-Barr virus (EBV) in PMLCL: 30% expressed a high level of bcl-2 protein; EBER RNAs were detected by in situ hybridization in only two of the 41 cases tested. Monotypic light chain restriction could be demonstrated in seven of the 41 PMLCL tested on fixed-section. Treated with polychemotherapy regimens without radiotherapy, 79% of PMLCL patients achieved a complete remission compared with 68%, in the NMLCL patients group (p = 0.01). Overall, 3-years survival rates were estimated at 66 and 61%, respectively (p = 0.05), and disease-free survival rates were not significantly different (61 versus 64%). Stratified analysis on the International Prognostic Index (based on age, tumor stage, serum LDH level, and performance status) showed no difference in the overall and disease-free survivals between the two lymphoma groups. In conclusion, PMLCL can be combined with other diffuse large B-cell lymphomas on morphologic grounds; it is not associated with EBV. It responds favorably to treatment and should be managed like other high-grade lymphomas of equ…","author":[{"dropping-particle":"","family":"Cazals-Hatem","given":"D.","non-dropping-particle":"","parse-names":false,"suffix":""},{"dropping-particle":"","family":"Lepage","given":"E.","non-dropping-particle":"","parse-names":false,"suffix":""},{"dropping-particle":"","family":"Brice","given":"P.","non-dropping-particle":"","parse-names":false,"suffix":""},{"dropping-particle":"","family":"Ferrant","given":"A.","non-dropping-particle":"","parse-names":false,"suffix":""},{"dropping-particle":"","family":"D'Agay","given":"M. F.","non-dropping-particle":"","parse-names":false,"suffix":""},{"dropping-particle":"","family":"Baumelou","given":"E.","non-dropping-particle":"","parse-names":false,"suffix":""},{"dropping-particle":"","family":"Brière","given":"J.","non-dropping-particle":"","parse-names":false,"suffix":""},{"dropping-particle":"","family":"Blanc","given":"M.","non-dropping-particle":"","parse-names":false,"suffix":""},{"dropping-particle":"","family":"Gaulard","given":"P.","non-dropping-particle":"","parse-names":false,"suffix":""},{"dropping-particle":"","family":"Biron","given":"P.","non-dropping-particle":"","parse-names":false,"suffix":""},{"dropping-particle":"","family":"Schlaifer","given":"D.","non-dropping-particle":"","parse-names":false,"suffix":""},{"dropping-particle":"","family":"Diebold","given":"J.","non-dropping-particle":"","parse-names":false,"suffix":""},{"dropping-particle":"","family":"Audouin","given":"J.","non-dropping-particle":"","parse-names":false,"suffix":""}],"container-title":"The American journal of surgical pathology","id":"ITEM-2","issue":"7","issued":{"date-parts":[["1996","7"]]},"page":"877-888","publisher":"Am J Surg Pathol","title":"Primary mediastinal large B-cell lymphoma. A clinicopathologic study of 141 cases compared with 916 nonmediastinal large B-cell lymphomas, a GELA (\"Groupe d'Etude des Lymphomes de l'Adulte\") study","type":"article-journal","volume":"20"},"uris":["http://www.mendeley.com/documents/?uuid=a145ca81-641d-39fe-9d4d-d968904868de"]}],"mendeley":{"formattedCitation":"[2,3]","plainTextFormattedCitation":"[2,3]","previouslyFormattedCitation":"[2,3]"},"properties":{"noteIndex":0},"schema":"https://github.com/citation-style-language/schema/raw/master/csl-citation.json"}</w:instrText>
      </w:r>
      <w:r w:rsidR="00726C75" w:rsidRPr="002200A6">
        <w:rPr>
          <w:color w:val="000000" w:themeColor="text1"/>
        </w:rPr>
        <w:fldChar w:fldCharType="separate"/>
      </w:r>
      <w:r w:rsidR="00726C75" w:rsidRPr="002200A6">
        <w:rPr>
          <w:noProof/>
          <w:color w:val="000000" w:themeColor="text1"/>
        </w:rPr>
        <w:t>[2,3]</w:t>
      </w:r>
      <w:r w:rsidR="00726C75" w:rsidRPr="002200A6">
        <w:rPr>
          <w:color w:val="000000" w:themeColor="text1"/>
        </w:rPr>
        <w:fldChar w:fldCharType="end"/>
      </w:r>
      <w:r w:rsidRPr="002200A6">
        <w:rPr>
          <w:color w:val="000000" w:themeColor="text1"/>
        </w:rPr>
        <w:t>.</w:t>
      </w:r>
    </w:p>
    <w:p w14:paraId="22A6683D" w14:textId="2FB4E6AF" w:rsidR="00AD0AE4" w:rsidRPr="00095D58" w:rsidRDefault="00AD0AE4" w:rsidP="00AD0AE4">
      <w:pPr>
        <w:pStyle w:val="afd"/>
        <w:rPr>
          <w:b/>
          <w:color w:val="000000" w:themeColor="text1"/>
        </w:rPr>
      </w:pPr>
      <w:r w:rsidRPr="002200A6">
        <w:rPr>
          <w:color w:val="000000" w:themeColor="text1"/>
        </w:rPr>
        <w:lastRenderedPageBreak/>
        <w:t xml:space="preserve">В основе развития ПМВКЛ находится несколько основных патогенетических механизмов: активация </w:t>
      </w:r>
      <w:r w:rsidRPr="002200A6">
        <w:rPr>
          <w:color w:val="000000" w:themeColor="text1"/>
          <w:highlight w:val="white"/>
        </w:rPr>
        <w:t>путей JAK-STAT, NF-κB</w:t>
      </w:r>
      <w:r w:rsidRPr="002200A6">
        <w:rPr>
          <w:color w:val="000000" w:themeColor="text1"/>
        </w:rPr>
        <w:t xml:space="preserve"> и нарушения регуляции иммунного ответа в микроокружении ПМBКЛ. Опухолевые клетки ПМBКЛ обладают способностью «уходить» от иммунного надзора, осуществляемого клетками тимического микроокружения, накапливая генетические повреждения, способствующие защите опухоли от распознавания Т-клетками. Механизм «ухода» от иммунного надзора заключается в блокировании активации Т-клеток и нарушении </w:t>
      </w:r>
      <w:r w:rsidRPr="00095D58">
        <w:rPr>
          <w:color w:val="000000" w:themeColor="text1"/>
        </w:rPr>
        <w:t>экспрессии молекул главного комплекса гистосовместимости класса II (MHC-</w:t>
      </w:r>
      <w:r w:rsidRPr="00095D58">
        <w:rPr>
          <w:color w:val="000000" w:themeColor="text1"/>
          <w:lang w:val="en-US"/>
        </w:rPr>
        <w:t>II</w:t>
      </w:r>
      <w:r w:rsidRPr="00095D58">
        <w:rPr>
          <w:color w:val="000000" w:themeColor="text1"/>
        </w:rPr>
        <w:t>)</w:t>
      </w:r>
      <w:r w:rsidR="00AE0A1D" w:rsidRPr="00095D58">
        <w:rPr>
          <w:color w:val="000000" w:themeColor="text1"/>
        </w:rPr>
        <w:t xml:space="preserve"> </w:t>
      </w:r>
      <w:r w:rsidR="00AE0A1D" w:rsidRPr="00095D58">
        <w:rPr>
          <w:color w:val="000000" w:themeColor="text1"/>
        </w:rPr>
        <w:fldChar w:fldCharType="begin" w:fldLock="1"/>
      </w:r>
      <w:r w:rsidR="00AE0A1D" w:rsidRPr="00095D58">
        <w:rPr>
          <w:color w:val="000000" w:themeColor="text1"/>
        </w:rPr>
        <w:instrText>ADDIN CSL_CITATION {"citationItems":[{"id":"ITEM-1","itemData":{"PMID":"21700770","abstract":"Primary mediastinal large B-cell lymphoma (PMBCL) is a recognized non-Hodgkin lymphoma entity with unique pathologic, clinical, and molecular characteristics distinct from those of other diffuse large B-cell lymphomas. Immunohistochemical characterization and molecular studies strongly suggest that PMBCL is of germinal center or postgerminal center origin. Pivotal gene expression profiling work defined major deregulated pathway activities that overlap with Hodgkin lymphoma and prompted a more detailed analysis of candidate genes. In particular, the nuclear factor-κB and the Janus Kinase-Signal Transducer and Activator of Transcription signaling pathways are targeted by multiple genomic hits, and constitutive activity of both pathways can be considered molecular hallmark alterations of PMBCL. Moreover, data are emerging giving unique insight into remodeling of the epigenome that affects transcriptional regulation of a multitude of genes. More recently, the tumor microenvironment of PMBCL has shifted into focus based on a number of gene perturbations altering expression of surface molecules that contribute to immune escape. These findings highlight the importance of immune privilege in the pathogenesis of PMBCL and suggest that disrupting crosstalk between the tumor cells and the microenvironment might be a rational new therapeutic target in conjunction with traditional treatment strategies. © 2011 by The American Society of Hematology.","author":[{"dropping-particle":"","family":"Steidl","given":"Christian","non-dropping-particle":"","parse-names":false,"suffix":""},{"dropping-particle":"","family":"Gascoyne","given":"Randy D.","non-dropping-particle":"","parse-names":false,"suffix":""}],"container-title":"Blood","id":"ITEM-1","issue":"10","issued":{"date-parts":[["2011","9","8"]]},"page":"2659-2669","publisher":"Blood","title":"The molecular pathogenesis of primary mediastinal large B-cell lymphoma","type":"article-journal","volume":"118"},"uris":["http://www.mendeley.com/documents/?uuid=98796153-0161-4286-bf65-501debd146f5"]}],"mendeley":{"formattedCitation":"[13]","plainTextFormattedCitation":"[13]","previouslyFormattedCitation":"[13]"},"properties":{"noteIndex":0},"schema":"https://github.com/citation-style-language/schema/raw/master/csl-citation.json"}</w:instrText>
      </w:r>
      <w:r w:rsidR="00AE0A1D" w:rsidRPr="00095D58">
        <w:rPr>
          <w:color w:val="000000" w:themeColor="text1"/>
        </w:rPr>
        <w:fldChar w:fldCharType="separate"/>
      </w:r>
      <w:r w:rsidR="00AE0A1D" w:rsidRPr="00095D58">
        <w:rPr>
          <w:noProof/>
          <w:color w:val="000000" w:themeColor="text1"/>
        </w:rPr>
        <w:t>[13]</w:t>
      </w:r>
      <w:r w:rsidR="00AE0A1D" w:rsidRPr="00095D58">
        <w:rPr>
          <w:color w:val="000000" w:themeColor="text1"/>
        </w:rPr>
        <w:fldChar w:fldCharType="end"/>
      </w:r>
      <w:r w:rsidRPr="00095D58">
        <w:rPr>
          <w:color w:val="000000" w:themeColor="text1"/>
        </w:rPr>
        <w:t xml:space="preserve">. Транскрипция локуса MHC класса II строго контролируется мультибелковым комплексом, включающим </w:t>
      </w:r>
      <w:r w:rsidRPr="00095D58">
        <w:rPr>
          <w:i/>
          <w:color w:val="000000" w:themeColor="text1"/>
        </w:rPr>
        <w:t>RFX, X2BP, NF-Y</w:t>
      </w:r>
      <w:r w:rsidRPr="00095D58">
        <w:rPr>
          <w:color w:val="000000" w:themeColor="text1"/>
        </w:rPr>
        <w:t xml:space="preserve"> и </w:t>
      </w:r>
      <w:r w:rsidRPr="00095D58">
        <w:rPr>
          <w:i/>
          <w:color w:val="000000" w:themeColor="text1"/>
        </w:rPr>
        <w:t>CIITA</w:t>
      </w:r>
      <w:r w:rsidRPr="00095D58">
        <w:rPr>
          <w:color w:val="000000" w:themeColor="text1"/>
        </w:rPr>
        <w:t>, последний считается основным транскрипционным регулятором экспрессии  MHC класса II</w:t>
      </w:r>
      <w:r w:rsidR="00AE0A1D" w:rsidRPr="00095D58">
        <w:rPr>
          <w:color w:val="000000" w:themeColor="text1"/>
        </w:rPr>
        <w:t xml:space="preserve"> </w:t>
      </w:r>
      <w:r w:rsidR="00AE0A1D" w:rsidRPr="00095D58">
        <w:rPr>
          <w:color w:val="000000" w:themeColor="text1"/>
        </w:rPr>
        <w:fldChar w:fldCharType="begin" w:fldLock="1"/>
      </w:r>
      <w:r w:rsidR="00F3553D" w:rsidRPr="00095D58">
        <w:rPr>
          <w:color w:val="000000" w:themeColor="text1"/>
        </w:rPr>
        <w:instrText>ADDIN CSL_CITATION {"citationItems":[{"id":"ITEM-1","itemData":{"DOI":"10.1101/gad.14.9.1156","ISBN":"08909369/00","ISSN":"08909369","PMID":"10809673","abstract":"By virtue of its control over major histocompatibility complex class II (MHC-II) gene expression, CIITA represents a key molecule in the regulation of adaptive immune responses. It was first identified as a factor that is defective in MHC-II deficiency, a hereditary disease characterized by the absence of MHC-II expression. CIITA is a highly regulated transactivator that governs all spatial, temporal, and quantitative aspects of MHC-II expression. It has been proposed to act as a non-DNA-binding transcriptional coactivator, but evidence that it actually functions at the level of MHC-II promoters was lacking. By means of chromatin immunoprecipitation assays, we show here for the first time that CIITA is physically associated with MHC-II, as well as HLA-DM, Ii, MHC-I, and β2m promoters in vivo. To dissect the mechanism by which CIITA is recruited to the promoter, we have developed a DNA-dependent coimmunoprecipitation assay and a pull-down assay using immobilized promoter templates. We demonstrate that CIITA recruitment depends on multiple, synergistic protein-protein interactions with DNA-bound factors constituting the MHC-II enhanceosome. CIITA therefore represents a paradigm for a novel type of regulatory and gene-specific transcriptional cofactor.","author":[{"dropping-particle":"","family":"Masternak","given":"Krzysztof","non-dropping-particle":"","parse-names":false,"suffix":""},{"dropping-particle":"","family":"Muhlethaler-Mottet","given":"Annick","non-dropping-particle":"","parse-names":false,"suffix":""},{"dropping-particle":"","family":"Villard","given":"Jean","non-dropping-particle":"","parse-names":false,"suffix":""},{"dropping-particle":"","family":"Zufferey","given":"Madeleine","non-dropping-particle":"","parse-names":false,"suffix":""},{"dropping-particle":"","family":"Steimle","given":"Viktor","non-dropping-particle":"","parse-names":false,"suffix":""},{"dropping-particle":"","family":"Reith","given":"Walter","non-dropping-particle":"","parse-names":false,"suffix":""}],"id":"ITEM-1","issue":"9","issued":{"date-parts":[["2000","5","1"]]},"publisher":"Cold Spring Harbor Laboratory Press","title":"CIITA is a transcriptional coactivator that is recruited to MHC class II promoters by multiple synergistic interactions with an enhanceosome complex","type":"article-journal","volume":"14"},"uris":["http://www.mendeley.com/documents/?uuid=7d4f6a00-e925-401d-9b99-cd20ff3c77b0"]},{"id":"ITEM-2","itemData":{"PMID":"9177217","abstract":"Two of the genes defective in the five complementation groups identified in the class II-negative bare lymphocyte syndrome or corresponding laboratory mutants have been cloned. One gene encodes a protein, RFXS, that is a member of the RFX family of DNA binding proteins. The other, CIITA, encodes a large protein with a defined acidic transcriptional activation domain; this protein does not interact with DNA. Expression plasmids encoding regions of RFX5 fused to the GAL4 DNA binding domain activated transcription from a reporter construct containing GAL4 sites in a cotransfection assay in the Raji human B cell line. However, these plasmids produced transcriptional activity in HeLa cells only in conjunction with interferon y stimulation, a condition in which expression of both CIITA and class II major histocompatibility complex surface proteins are induced. Furthermore, these plasmids were not active in RJ2.2.5, an in vitro mutagenized derivative of Raji in which both copies of CIITA are defective. Transcriptional activation by the RFX5 fusion protein could be restored in RJ2.2.5 by cotransfection with a CIITA expression plasmid. Finally, a direct interaction between RFXS and CIITA was detected with the yeast two-hybrid and far-Western blot assays. Thus, RFXS can activate transcription only in cooperation with CIITA. RFXS and CIITA associate to form a complex capable of activating transcription from class II major histocompatibility complex promoters. In this complex, promoter specificity is determined by the DNA binding domain of RFXS and the general transcription apparatus is recruited by the acidic activation domain of CIITA.","author":[{"dropping-particle":"","family":"Scholl","given":"Thomas","non-dropping-particle":"","parse-names":false,"suffix":""},{"dropping-particle":"","family":"Mahanta","given":"Sanjeev K.","non-dropping-particle":"","parse-names":false,"suffix":""},{"dropping-particle":"","family":"Strominger","given":"Jack L.","non-dropping-particle":"","parse-names":false,"suffix":""}],"container-title":"Proceedings of the National Academy of Sciences of the United States of America","id":"ITEM-2","issue":"12","issued":{"date-parts":[["1997","6","10"]]},"page":"6330-6334","publisher":"Proc Natl Acad Sci U S A","title":"Specific complex formation between the type II bare lymphocyte syndrome-associated transactivators CIITA and RFX5","type":"article-journal","volume":"94"},"uris":["http://www.mendeley.com/documents/?uuid=fc554c6a-f702-42fc-a0c7-0c09a612bce8"]}],"mendeley":{"formattedCitation":"[14,15]","plainTextFormattedCitation":"[14,15]","previouslyFormattedCitation":"[14,15]"},"properties":{"noteIndex":0},"schema":"https://github.com/citation-style-language/schema/raw/master/csl-citation.json"}</w:instrText>
      </w:r>
      <w:r w:rsidR="00AE0A1D" w:rsidRPr="00095D58">
        <w:rPr>
          <w:color w:val="000000" w:themeColor="text1"/>
        </w:rPr>
        <w:fldChar w:fldCharType="separate"/>
      </w:r>
      <w:r w:rsidR="00AE0A1D" w:rsidRPr="00095D58">
        <w:rPr>
          <w:noProof/>
          <w:color w:val="000000" w:themeColor="text1"/>
        </w:rPr>
        <w:t>[14,15]</w:t>
      </w:r>
      <w:r w:rsidR="00AE0A1D" w:rsidRPr="00095D58">
        <w:rPr>
          <w:color w:val="000000" w:themeColor="text1"/>
        </w:rPr>
        <w:fldChar w:fldCharType="end"/>
      </w:r>
      <w:r w:rsidRPr="00095D58">
        <w:rPr>
          <w:color w:val="000000" w:themeColor="text1"/>
        </w:rPr>
        <w:t xml:space="preserve">. Последствия перестроек гена </w:t>
      </w:r>
      <w:r w:rsidRPr="00095D58">
        <w:rPr>
          <w:i/>
          <w:iCs/>
          <w:color w:val="000000" w:themeColor="text1"/>
          <w:lang w:val="en-US"/>
        </w:rPr>
        <w:t>CIITA</w:t>
      </w:r>
      <w:r w:rsidRPr="00095D58">
        <w:rPr>
          <w:color w:val="000000" w:themeColor="text1"/>
        </w:rPr>
        <w:t xml:space="preserve">, разнообразны, о чем свидетельствует наличие множественных транслокационных партнеров (включая гены </w:t>
      </w:r>
      <w:r w:rsidRPr="00095D58">
        <w:rPr>
          <w:i/>
          <w:color w:val="000000" w:themeColor="text1"/>
        </w:rPr>
        <w:t>PD-L1</w:t>
      </w:r>
      <w:r w:rsidRPr="00095D58">
        <w:rPr>
          <w:color w:val="000000" w:themeColor="text1"/>
        </w:rPr>
        <w:t xml:space="preserve"> и </w:t>
      </w:r>
      <w:r w:rsidRPr="00095D58">
        <w:rPr>
          <w:i/>
          <w:color w:val="000000" w:themeColor="text1"/>
        </w:rPr>
        <w:t>PD-L2</w:t>
      </w:r>
      <w:r w:rsidRPr="00095D58">
        <w:rPr>
          <w:color w:val="000000" w:themeColor="text1"/>
        </w:rPr>
        <w:t>), а также сопутствующие хромосомные нарушения</w:t>
      </w:r>
      <w:r w:rsidR="00AE0A1D" w:rsidRPr="00095D58">
        <w:rPr>
          <w:color w:val="000000" w:themeColor="text1"/>
        </w:rPr>
        <w:t xml:space="preserve"> </w:t>
      </w:r>
      <w:r w:rsidR="00F3553D" w:rsidRPr="00095D58">
        <w:rPr>
          <w:color w:val="000000" w:themeColor="text1"/>
        </w:rPr>
        <w:fldChar w:fldCharType="begin" w:fldLock="1"/>
      </w:r>
      <w:r w:rsidR="00F3553D" w:rsidRPr="00095D58">
        <w:rPr>
          <w:color w:val="000000" w:themeColor="text1"/>
        </w:rPr>
        <w:instrText>ADDIN CSL_CITATION {"citationItems":[{"id":"ITEM-1","itemData":{"DOI":"10.1007/s00262-004-0593-x","ISSN":"03407004","PMID":"15599732","abstract":"Programmed death receptor ligand 1 (PD-L1, also called B7-H1) is a recently described B7 family member. In contrast to B7-1 and B7-2, PD-L1 does not interact with either CD28 or CTLA-4. To date, one specific receptor has been identified that can be ligated by PD-L1. This receptor, programmed death receptor 1 (PD-1), has been shown to negatively regulate T-cell receptor (TCR) signaling. Upon ligating its receptor, PD-L1 has been reported to decrease TCR-mediated proliferation and cytokine production. PD-1 gene-deficient mice developed autoimmune diseases, which early led to the hypothesis of PD-L1 regulating peripheral tolerance. In contrast to normal tissues, which show minimal surface expression of PD-L1 protein, PD-L1 expression was found to be abundant on many murine and human cancers and could be further up-regulated upon IFN-γ stimulation. Thus, PD-L1 might play an important role in tumor immune evasion. This review discusses the currently available data concerning negative T-cell regulation via PD-1, the blockade of PD-L1/PD-1 interactions, and the implications for adoptive T-cell therapies. © Springer-Verlag 2004.","author":[{"dropping-particle":"","family":"Blank","given":"Christian","non-dropping-particle":"","parse-names":false,"suffix":""},{"dropping-particle":"","family":"Gajewski","given":"Thomas F.","non-dropping-particle":"","parse-names":false,"suffix":""},{"dropping-particle":"","family":"Mackensen","given":"Andreas","non-dropping-particle":"","parse-names":false,"suffix":""}],"container-title":"Cancer Immunology, Immunotherapy","id":"ITEM-1","issue":"4","issued":{"date-parts":[["2005"]]},"page":"307-314","title":"Interaction of PD-L1 on tumor cells with PD-1 on tumor-specific T cells as a mechanism of immune evasion: Implications for tumor immunotherapy","type":"article-journal","volume":"54"},"uris":["http://www.mendeley.com/documents/?uuid=ddac9e06-0893-452a-8a30-86ec3891aaa7"]},{"id":"ITEM-2","itemData":{"DOI":"10.1038/NATURE09754","ISSN":"1476-4687","PMID":"21368758","abstract":"Chromosomal translocations are critically involved in the molecular pathogenesis of B-cell lymphomas, and highly recurrent and specific rearrangements have defined distinct molecular subtypes linked to unique clinicopathological features. In contrast, several well-characterized lymphoma entities still lack disease-defining translocation events. To identify novel fusion transcripts resulting from translocations, we investigated two Hodgkin lymphoma cell lines by whole-transcriptome paired-end sequencing (RNA-seq). Here we show a highly expressed gene fusion involving the major histocompatibility complex (MHC) class II transactivator CIITA (MHC2TA) in KM-H2 cells. In a subsequent evaluation of 263 B-cell lymphomas, we also demonstrate that genomic CIITA breaks are highly recurrent in primary mediastinal B-cell lymphoma (38%) and classical Hodgkin lymphoma (cHL) (15%). Furthermore, we find that CIITA is a promiscuous partner of various in-frame gene fusions, and we report that CIITA gene alterations impact survival in primary mediastinal B-cell lymphoma (PMBCL). As functional consequences of CIITA gene fusions, we identify downregulation of surface HLA class II expression and overexpression of ligands of the receptor molecule programmed cell death 1 (CD274/PDL1 and CD273/PDL2). These receptorĝ€\"ligand interactions have been shown to impact anti-tumour immune responses in several cancers, whereas decreased MHC class II expression has been linked to reduced tumour cell immunogenicity. Thus, our findings suggest that recurrent rearrangements of CIITA may represent a novel genetic mechanism underlying tumourĝ€\"microenvironment interactions across a spectrum of lymphoid cancers. © 2011 Macmillan Publishers Limited. All rights reserved.","author":[{"dropping-particle":"","family":"Steidl","given":"Christian","non-dropping-particle":"","parse-names":false,"suffix":""},{"dropping-particle":"","family":"Shah","given":"Sohrab P.","non-dropping-particle":"","parse-names":false,"suffix":""},{"dropping-particle":"","family":"Woolcock","given":"Bruce W.","non-dropping-particle":"","parse-names":false,"suffix":""},{"dropping-particle":"","family":"Rui","given":"Lixin","non-dropping-particle":"","parse-names":false,"suffix":""},{"dropping-particle":"","family":"Kawahara","given":"Masahiro","non-dropping-particle":"","parse-names":false,"suffix":""},{"dropping-particle":"","family":"Farinha","given":"Pedro","non-dropping-particle":"","parse-names":false,"suffix":""},{"dropping-particle":"","family":"Johnson","given":"Nathalie A.","non-dropping-particle":"","parse-names":false,"suffix":""},{"dropping-particle":"","family":"Zhao","given":"Yongjun","non-dropping-particle":"","parse-names":false,"suffix":""},{"dropping-particle":"","family":"Telenius","given":"Adele","non-dropping-particle":"","parse-names":false,"suffix":""},{"dropping-particle":"Ben","family":"Neriah","given":"Susana","non-dropping-particle":"","parse-names":false,"suffix":""},{"dropping-particle":"","family":"McPherson","given":"Andrew","non-dropping-particle":"","parse-names":false,"suffix":""},{"dropping-particle":"","family":"Meissner","given":"Barbara","non-dropping-particle":"","parse-names":false,"suffix":""},{"dropping-particle":"","family":"Okoye","given":"Ujunwa C.","non-dropping-particle":"","parse-names":false,"suffix":""},{"dropping-particle":"","family":"Diepstra","given":"Arjan","non-dropping-particle":"","parse-names":false,"suffix":""},{"dropping-particle":"","family":"Berg","given":"Anke","non-dropping-particle":"Van Den","parse-names":false,"suffix":""},{"dropping-particle":"","family":"Sun","given":"Mark","non-dropping-particle":"","parse-names":false,"suffix":""},{"dropping-particle":"","family":"Leung","given":"Gillian","non-dropping-particle":"","parse-names":false,"suffix":""},{"dropping-particle":"","family":"Jones","given":"Steven J.","non-dropping-particle":"","parse-names":false,"suffix":""},{"dropping-particle":"","family":"Connors","given":"Joseph M.","non-dropping-particle":"","parse-names":false,"suffix":""},{"dropping-particle":"","family":"Huntsman","given":"David G.","non-dropping-particle":"","parse-names":false,"suffix":""},{"dropping-particle":"","family":"Savage","given":"Kerry J.","non-dropping-particle":"","parse-names":false,"suffix":""},{"dropping-particle":"","family":"Rimsza","given":"Lisa M.","non-dropping-particle":"","parse-names":false,"suffix":""},{"dropping-particle":"","family":"Horsman","given":"Douglas E.","non-dropping-particle":"","parse-names":false,"suffix":""},{"dropping-particle":"","family":"Staudt","given":"Louis M.","non-dropping-particle":"","parse-names":false,"suffix":""},{"dropping-particle":"","family":"Steidl","given":"Ulrich","non-dropping-particle":"","parse-names":false,"suffix":""},{"dropping-particle":"","family":"Marra","given":"Marco A.","non-dropping-particle":"","parse-names":false,"suffix":""},{"dropping-particle":"","family":"Gascoyne","given":"Randy D.","non-dropping-particle":"","parse-names":false,"suffix":""}],"container-title":"Nature","id":"ITEM-2","issue":"7338","issued":{"date-parts":[["2011","3","17"]]},"page":"377-383","publisher":"Nature","title":"MHC class II transactivator CIITA is a recurrent gene fusion partner in lymphoid cancers","type":"article-journal","volume":"471"},"uris":["http://www.mendeley.com/documents/?uuid=8f3ccc51-1564-3b76-ba13-2a9449b771b0"]},{"id":"ITEM-3","itemData":{"DOI":"10.1182/BLOOD-2003-07-2365","ISSN":"0006-4971","PMID":"14976040","abstract":"The Leukemia and Lymphoma Molecular Profiling Project recently published results from DNA microarray analyses of 240 diffuse large B-cell lymphomas (DLBCLs). Four gene expression \"signatures\" were identified as correlated with patient outcome, including the major histocompatibility complex (MHC) class II genes (eg, HLA-DRA) which correlated with better survival. We further analyzed the effects of HLA-DRA on survival and correlated gene expression with protein status and tumor-infiltrating lymphocytes. The 5-year overall survival was 24% in the lowest 10% of HLA-DRA expression, 37% in the 10% to 25% group, 50% in the 25% to 50% group, and 55% for patients in the highest 50%. Further analysis demonstrated that the hazard ratio of death was a nonlinear function of HLA-DRA expression. Adjustment for the International Prognostic Index did not alter the impact of HLA-DRA on survival. Other MHC class II genes were found to predict survival similarly. Microarray HLA-DRA expression correlated with the presence or absence of human leukocyte antigen-DR (HLA-DR) protein in 20 of 22 cases assessed. Fewer tumor-infiltrating CD8+ T cells were detected in MHC class II-negative cases compared with positive cases (2.8% versus 11.0%; P = .001), supporting the hypothesis that loss of tumor immunosurveillance has a devastating effect on patient outcome in DLBCL. © 2004 by The American Society of Hematology.","author":[{"dropping-particle":"","family":"Rimsza","given":"Lisa M.","non-dropping-particle":"","parse-names":false,"suffix":""},{"dropping-particle":"","family":"Roberts","given":"Robin A.","non-dropping-particle":"","parse-names":false,"suffix":""},{"dropping-particle":"","family":"Miller","given":"Thomas P.","non-dropping-particle":"","parse-names":false,"suffix":""},{"dropping-particle":"","family":"Unger","given":"Joseph M.","non-dropping-particle":"","parse-names":false,"suffix":""},{"dropping-particle":"","family":"LeBlanc","given":"Michael","non-dropping-particle":"","parse-names":false,"suffix":""},{"dropping-particle":"","family":"Braziel","given":"Rita M.","non-dropping-particle":"","parse-names":false,"suffix":""},{"dropping-particle":"","family":"Weisenberger","given":"Dennis D.","non-dropping-particle":"","parse-names":false,"suffix":""},{"dropping-particle":"","family":"Chan","given":"Wing C.","non-dropping-particle":"","parse-names":false,"suffix":""},{"dropping-particle":"","family":"Muller-Hermelink","given":"H. Konrad","non-dropping-particle":"","parse-names":false,"suffix":""},{"dropping-particle":"","family":"Jaffe","given":"Elaine S.","non-dropping-particle":"","parse-names":false,"suffix":""},{"dropping-particle":"","family":"Gascoyne","given":"Randy D.","non-dropping-particle":"","parse-names":false,"suffix":""},{"dropping-particle":"","family":"Campo","given":"Elias","non-dropping-particle":"","parse-names":false,"suffix":""},{"dropping-particle":"","family":"Fuchs","given":"Deborah A.","non-dropping-particle":"","parse-names":false,"suffix":""},{"dropping-particle":"","family":"Spier","given":"Catherine M.","non-dropping-particle":"","parse-names":false,"suffix":""},{"dropping-particle":"","family":"Fisher","given":"Richard I.","non-dropping-particle":"","parse-names":false,"suffix":""},{"dropping-particle":"","family":"Delabie","given":"Jan","non-dropping-particle":"","parse-names":false,"suffix":""},{"dropping-particle":"","family":"Rosenwald","given":"Andreas","non-dropping-particle":"","parse-names":false,"suffix":""},{"dropping-particle":"","family":"Staudt","given":"Louis M.","non-dropping-particle":"","parse-names":false,"suffix":""},{"dropping-particle":"","family":"Grogan","given":"Thomas M.","non-dropping-particle":"","parse-names":false,"suffix":""}],"container-title":"Blood","id":"ITEM-3","issue":"11","issued":{"date-parts":[["2004","6","1"]]},"page":"4251-4258","publisher":"Blood","title":"Loss of MHC class II gene and protein expression in diffuse large B-cell lymphoma is related to decreased tumor immunosurveillance and poor patient survival regardless of other prognostic factors: a follow-up study from the Leukemia and Lymphoma Molecular Profiling Project","type":"article-journal","volume":"103"},"uris":["http://www.mendeley.com/documents/?uuid=7bca4a08-7a11-3095-8487-9ecb98098dc3"]}],"mendeley":{"formattedCitation":"[16–18]","plainTextFormattedCitation":"[16–18]","previouslyFormattedCitation":"[16–18]"},"properties":{"noteIndex":0},"schema":"https://github.com/citation-style-language/schema/raw/master/csl-citation.json"}</w:instrText>
      </w:r>
      <w:r w:rsidR="00F3553D" w:rsidRPr="00095D58">
        <w:rPr>
          <w:color w:val="000000" w:themeColor="text1"/>
        </w:rPr>
        <w:fldChar w:fldCharType="separate"/>
      </w:r>
      <w:r w:rsidR="00F3553D" w:rsidRPr="00095D58">
        <w:rPr>
          <w:noProof/>
          <w:color w:val="000000" w:themeColor="text1"/>
        </w:rPr>
        <w:t>[16–18]</w:t>
      </w:r>
      <w:r w:rsidR="00F3553D" w:rsidRPr="00095D58">
        <w:rPr>
          <w:color w:val="000000" w:themeColor="text1"/>
        </w:rPr>
        <w:fldChar w:fldCharType="end"/>
      </w:r>
      <w:r w:rsidRPr="00095D58">
        <w:rPr>
          <w:color w:val="000000" w:themeColor="text1"/>
        </w:rPr>
        <w:t xml:space="preserve">. Нарушения в гене </w:t>
      </w:r>
      <w:r w:rsidRPr="00095D58">
        <w:rPr>
          <w:i/>
          <w:color w:val="000000" w:themeColor="text1"/>
        </w:rPr>
        <w:t>CIITA</w:t>
      </w:r>
      <w:r w:rsidRPr="00095D58">
        <w:rPr>
          <w:color w:val="000000" w:themeColor="text1"/>
        </w:rPr>
        <w:t xml:space="preserve"> могут быть представлены не только транслокациями</w:t>
      </w:r>
      <w:r w:rsidRPr="00095D58">
        <w:rPr>
          <w:i/>
          <w:color w:val="000000" w:themeColor="text1"/>
        </w:rPr>
        <w:t xml:space="preserve">, </w:t>
      </w:r>
      <w:r w:rsidRPr="00095D58">
        <w:rPr>
          <w:color w:val="000000" w:themeColor="text1"/>
        </w:rPr>
        <w:t>но и делециями, мутациями кодирующей последовательности</w:t>
      </w:r>
      <w:r w:rsidR="00AE0A1D" w:rsidRPr="00095D58">
        <w:rPr>
          <w:color w:val="000000" w:themeColor="text1"/>
        </w:rPr>
        <w:t xml:space="preserve"> </w:t>
      </w:r>
      <w:r w:rsidR="00AE0A1D" w:rsidRPr="00095D58">
        <w:rPr>
          <w:color w:val="000000" w:themeColor="text1"/>
        </w:rPr>
        <w:fldChar w:fldCharType="begin" w:fldLock="1"/>
      </w:r>
      <w:r w:rsidR="00F3553D" w:rsidRPr="00095D58">
        <w:rPr>
          <w:color w:val="000000" w:themeColor="text1"/>
        </w:rPr>
        <w:instrText>ADDIN CSL_CITATION {"citationItems":[{"id":"ITEM-1","itemData":{"PMID":"21700770","abstract":"Primary mediastinal large B-cell lymphoma (PMBCL) is a recognized non-Hodgkin lymphoma entity with unique pathologic, clinical, and molecular characteristics distinct from those of other diffuse large B-cell lymphomas. Immunohistochemical characterization and molecular studies strongly suggest that PMBCL is of germinal center or postgerminal center origin. Pivotal gene expression profiling work defined major deregulated pathway activities that overlap with Hodgkin lymphoma and prompted a more detailed analysis of candidate genes. In particular, the nuclear factor-κB and the Janus Kinase-Signal Transducer and Activator of Transcription signaling pathways are targeted by multiple genomic hits, and constitutive activity of both pathways can be considered molecular hallmark alterations of PMBCL. Moreover, data are emerging giving unique insight into remodeling of the epigenome that affects transcriptional regulation of a multitude of genes. More recently, the tumor microenvironment of PMBCL has shifted into focus based on a number of gene perturbations altering expression of surface molecules that contribute to immune escape. These findings highlight the importance of immune privilege in the pathogenesis of PMBCL and suggest that disrupting crosstalk between the tumor cells and the microenvironment might be a rational new therapeutic target in conjunction with traditional treatment strategies. © 2011 by The American Society of Hematology.","author":[{"dropping-particle":"","family":"Steidl","given":"Christian","non-dropping-particle":"","parse-names":false,"suffix":""},{"dropping-particle":"","family":"Gascoyne","given":"Randy D.","non-dropping-particle":"","parse-names":false,"suffix":""}],"container-title":"Blood","id":"ITEM-1","issue":"10","issued":{"date-parts":[["2011","9","8"]]},"page":"2659-2669","publisher":"Blood","title":"The molecular pathogenesis of primary mediastinal large B-cell lymphoma","type":"article-journal","volume":"118"},"uris":["http://www.mendeley.com/documents/?uuid=98796153-0161-4286-bf65-501debd146f5"]},{"id":"ITEM-2","itemData":{"DOI":"10.1182/BLOOD-2013-10-535443","ISSN":"0006-4971","PMID":"24497532","abstract":"The pathogenesis of primary mediastinal large B-cell lymphoma (PMBCL) is incompletely understood. Recently, specific genotypic and phenotypic features have been linked to tumor cellim mune escape mechanisms in PMBCL. We studied 571 B-cell lymphomas with a focus on PMBCL. Using fluorescence in situ hybridization here, we report that the programmed death ligand (PDL) locus (9p24.1) is frequently and specifically rearranged in PMBCL (20%) as compared with diffuse large B-cell lymphoma, follicular lymphoma, and Hodgkin lymphoma. Rearrangement was significantly correlated with overexpression of PDL transcripts. Utilizing high-throughput sequencing techniques, we characterized novel translocations and chimeric fusion transcripts involving PDLs at base-pair resolution. Our data suggest that recurrent genomic rearrangement events underlie an immune privilege phenotype in a subset of B-cell lymphomas. © 2014 by The American Society of Hematology.","author":[{"dropping-particle":"","family":"Twa","given":"David D.W.","non-dropping-particle":"","parse-names":false,"suffix":""},{"dropping-particle":"","family":"Chan","given":"Fong Chun","non-dropping-particle":"","parse-names":false,"suffix":""},{"dropping-particle":"","family":"Ben-Neriah","given":"Susana","non-dropping-particle":"","parse-names":false,"suffix":""},{"dropping-particle":"","family":"Woolcock","given":"Bruce W.","non-dropping-particle":"","parse-names":false,"suffix":""},{"dropping-particle":"","family":"Mottok","given":"Anja","non-dropping-particle":"","parse-names":false,"suffix":""},{"dropping-particle":"","family":"Tan","given":"King L.","non-dropping-particle":"","parse-names":false,"suffix":""},{"dropping-particle":"","family":"Slack","given":"Graham W.","non-dropping-particle":"","parse-names":false,"suffix":""},{"dropping-particle":"","family":"Gunawardana","given":"Jay","non-dropping-particle":"","parse-names":false,"suffix":""},{"dropping-particle":"","family":"Lim","given":"Raymond S.","non-dropping-particle":"","parse-names":false,"suffix":""},{"dropping-particle":"","family":"McPherson","given":"Andrew W.","non-dropping-particle":"","parse-names":false,"suffix":""},{"dropping-particle":"","family":"Kridel","given":"Robert","non-dropping-particle":"","parse-names":false,"suffix":""},{"dropping-particle":"","family":"Telenius","given":"Adele","non-dropping-particle":"","parse-names":false,"suffix":""},{"dropping-particle":"","family":"Scott","given":"David W.","non-dropping-particle":"","parse-names":false,"suffix":""},{"dropping-particle":"","family":"Savage","given":"Kerry J.","non-dropping-particle":"","parse-names":false,"suffix":""},{"dropping-particle":"","family":"Shah","given":"Sohrab P.","non-dropping-particle":"","parse-names":false,"suffix":""},{"dropping-particle":"","family":"Gascoyne","given":"Randy D.","non-dropping-particle":"","parse-names":false,"suffix":""},{"dropping-particle":"","family":"Steidl","given":"Christian","non-dropping-particle":"","parse-names":false,"suffix":""}],"container-title":"Blood","id":"ITEM-2","issue":"13","issued":{"date-parts":[["2014","3","27"]]},"page":"2062-2065","publisher":"American Society of Hematology","title":"Genomic rearrangements involving programmed death ligands are recurrent in primary mediastinal large B-cell lymphoma","type":"article-journal","volume":"123"},"uris":["http://www.mendeley.com/documents/?uuid=a59842d3-3dd2-3fe4-bb4b-41dea54a7a38"]}],"mendeley":{"formattedCitation":"[13,19]","plainTextFormattedCitation":"[13,19]","previouslyFormattedCitation":"[13,19]"},"properties":{"noteIndex":0},"schema":"https://github.com/citation-style-language/schema/raw/master/csl-citation.json"}</w:instrText>
      </w:r>
      <w:r w:rsidR="00AE0A1D" w:rsidRPr="00095D58">
        <w:rPr>
          <w:color w:val="000000" w:themeColor="text1"/>
        </w:rPr>
        <w:fldChar w:fldCharType="separate"/>
      </w:r>
      <w:r w:rsidR="00F3553D" w:rsidRPr="00095D58">
        <w:rPr>
          <w:noProof/>
          <w:color w:val="000000" w:themeColor="text1"/>
        </w:rPr>
        <w:t>[13,19]</w:t>
      </w:r>
      <w:r w:rsidR="00AE0A1D" w:rsidRPr="00095D58">
        <w:rPr>
          <w:color w:val="000000" w:themeColor="text1"/>
        </w:rPr>
        <w:fldChar w:fldCharType="end"/>
      </w:r>
      <w:r w:rsidRPr="00095D58">
        <w:rPr>
          <w:color w:val="000000" w:themeColor="text1"/>
        </w:rPr>
        <w:t>.</w:t>
      </w:r>
    </w:p>
    <w:p w14:paraId="64F99F8F" w14:textId="105DF279" w:rsidR="00AD0AE4" w:rsidRPr="00320416" w:rsidRDefault="00AD0AE4" w:rsidP="00AD0AE4">
      <w:pPr>
        <w:spacing w:line="360" w:lineRule="auto"/>
        <w:ind w:firstLine="708"/>
        <w:jc w:val="both"/>
        <w:rPr>
          <w:color w:val="000000" w:themeColor="text1"/>
        </w:rPr>
      </w:pPr>
      <w:r w:rsidRPr="00095D58">
        <w:rPr>
          <w:color w:val="000000" w:themeColor="text1"/>
        </w:rPr>
        <w:t>Так же одним из ключевых механизмов в патогенезе ПМВКЛ является амплификации генов локализующихся в 9p23-24 (</w:t>
      </w:r>
      <w:r w:rsidRPr="00095D58">
        <w:rPr>
          <w:i/>
          <w:color w:val="000000" w:themeColor="text1"/>
        </w:rPr>
        <w:t>JAK2, PDL1, PDL2, JMJD2C</w:t>
      </w:r>
      <w:r w:rsidRPr="00095D58">
        <w:rPr>
          <w:color w:val="000000" w:themeColor="text1"/>
        </w:rPr>
        <w:t xml:space="preserve">), которые выявляются в 75% случаев.  После агрегации происходит активация JAK2 и повышение пролиферации опухолевых клеток за счет активации сигнального пути JAK/STAT который служит важным компонентом передачи рецептор-опосредованных внутриклеточных сигналов для факторов роста, гормонов и цитокинов.  </w:t>
      </w:r>
      <w:r w:rsidRPr="00095D58">
        <w:rPr>
          <w:i/>
          <w:color w:val="000000" w:themeColor="text1"/>
        </w:rPr>
        <w:t xml:space="preserve">JAK2 </w:t>
      </w:r>
      <w:r w:rsidRPr="00095D58">
        <w:rPr>
          <w:color w:val="000000" w:themeColor="text1"/>
        </w:rPr>
        <w:t xml:space="preserve">транскпционно активирует сигнальные пути интерлейкинов (IL-4 и IL-13) и усиливает экспресиию PD-1 лиганда, что приводит к подавлению Т - клеточного ответа и росту опухолевого клона в тимусе.  Пролиферацию и выживание опухолевых клеток потенцирует амплификация </w:t>
      </w:r>
      <w:r w:rsidRPr="00095D58">
        <w:rPr>
          <w:i/>
          <w:color w:val="000000" w:themeColor="text1"/>
        </w:rPr>
        <w:t xml:space="preserve">JMJD2C </w:t>
      </w:r>
      <w:r w:rsidRPr="00095D58">
        <w:rPr>
          <w:color w:val="000000" w:themeColor="text1"/>
        </w:rPr>
        <w:t xml:space="preserve">в сочетании с </w:t>
      </w:r>
      <w:r w:rsidRPr="00095D58">
        <w:rPr>
          <w:i/>
          <w:color w:val="000000" w:themeColor="text1"/>
        </w:rPr>
        <w:t xml:space="preserve">JAK2 </w:t>
      </w:r>
      <w:r w:rsidRPr="00095D58">
        <w:rPr>
          <w:color w:val="000000" w:themeColor="text1"/>
        </w:rPr>
        <w:t xml:space="preserve">посредством модификации гистона H3. Киназная активность </w:t>
      </w:r>
      <w:r w:rsidRPr="00095D58">
        <w:rPr>
          <w:i/>
          <w:color w:val="000000" w:themeColor="text1"/>
        </w:rPr>
        <w:t xml:space="preserve">JAK2 </w:t>
      </w:r>
      <w:r w:rsidRPr="00095D58">
        <w:rPr>
          <w:color w:val="000000" w:themeColor="text1"/>
        </w:rPr>
        <w:t xml:space="preserve">по типу негативной обратной связи контролируется белком SOCS (suppressor of cytokine signaling). В опухолевых клетках отмечается делеция двух аллелей </w:t>
      </w:r>
      <w:r w:rsidRPr="00095D58">
        <w:rPr>
          <w:i/>
          <w:color w:val="000000" w:themeColor="text1"/>
        </w:rPr>
        <w:t>SOCS1</w:t>
      </w:r>
      <w:r w:rsidRPr="00095D58">
        <w:rPr>
          <w:color w:val="000000" w:themeColor="text1"/>
        </w:rPr>
        <w:t xml:space="preserve">, приводящая к изменению фосфорилирующей активности </w:t>
      </w:r>
      <w:r w:rsidRPr="00095D58">
        <w:rPr>
          <w:i/>
          <w:color w:val="000000" w:themeColor="text1"/>
        </w:rPr>
        <w:t xml:space="preserve">JAK2 </w:t>
      </w:r>
      <w:r w:rsidRPr="00095D58">
        <w:rPr>
          <w:color w:val="000000" w:themeColor="text1"/>
        </w:rPr>
        <w:t xml:space="preserve">и снятию запрета на размножение клеток. </w:t>
      </w:r>
      <w:r w:rsidR="009D3818" w:rsidRPr="00095D58">
        <w:rPr>
          <w:color w:val="000000" w:themeColor="text1"/>
        </w:rPr>
        <w:t>Резистентность</w:t>
      </w:r>
      <w:r w:rsidRPr="00095D58">
        <w:rPr>
          <w:color w:val="000000" w:themeColor="text1"/>
        </w:rPr>
        <w:t xml:space="preserve"> опухолевых клеток к апоптозу реализуется так же через </w:t>
      </w:r>
      <w:r w:rsidRPr="00095D58">
        <w:rPr>
          <w:i/>
          <w:color w:val="000000" w:themeColor="text1"/>
        </w:rPr>
        <w:t>REL</w:t>
      </w:r>
      <w:r w:rsidRPr="00095D58">
        <w:rPr>
          <w:color w:val="000000" w:themeColor="text1"/>
        </w:rPr>
        <w:t xml:space="preserve"> протонкоген, кодирующий белок из семейства NF-kB и повышенной экспрессия </w:t>
      </w:r>
      <w:r w:rsidRPr="00095D58">
        <w:rPr>
          <w:i/>
          <w:color w:val="000000" w:themeColor="text1"/>
        </w:rPr>
        <w:t>STAT1</w:t>
      </w:r>
      <w:r w:rsidRPr="00095D58">
        <w:rPr>
          <w:color w:val="000000" w:themeColor="text1"/>
        </w:rPr>
        <w:t xml:space="preserve"> (IL-13 сигнальный путь) и </w:t>
      </w:r>
      <w:r w:rsidRPr="00095D58">
        <w:rPr>
          <w:i/>
          <w:color w:val="000000" w:themeColor="text1"/>
        </w:rPr>
        <w:t>TRAF1</w:t>
      </w:r>
      <w:r w:rsidR="00F3553D" w:rsidRPr="00095D58">
        <w:rPr>
          <w:i/>
          <w:color w:val="000000" w:themeColor="text1"/>
        </w:rPr>
        <w:t xml:space="preserve"> </w:t>
      </w:r>
      <w:r w:rsidR="00F3553D" w:rsidRPr="00095D58">
        <w:rPr>
          <w:color w:val="000000" w:themeColor="text1"/>
        </w:rPr>
        <w:fldChar w:fldCharType="begin" w:fldLock="1"/>
      </w:r>
      <w:r w:rsidR="00F3553D" w:rsidRPr="00095D58">
        <w:rPr>
          <w:color w:val="000000" w:themeColor="text1"/>
        </w:rPr>
        <w:instrText>ADDIN CSL_CITATION {"citationItems":[{"id":"ITEM-1","itemData":{"DOI":"10.1007/s00262-004-0593-x","ISSN":"03407004","PMID":"15599732","abstract":"Programmed death receptor ligand 1 (PD-L1, also called B7-H1) is a recently described B7 family member. In contrast to B7-1 and B7-2, PD-L1 does not interact with either CD28 or CTLA-4. To date, one specific receptor has been identified that can be ligated by PD-L1. This receptor, programmed death receptor 1 (PD-1), has been shown to negatively regulate T-cell receptor (TCR) signaling. Upon ligating its receptor, PD-L1 has been reported to decrease TCR-mediated proliferation and cytokine production. PD-1 gene-deficient mice developed autoimmune diseases, which early led to the hypothesis of PD-L1 regulating peripheral tolerance. In contrast to normal tissues, which show minimal surface expression of PD-L1 protein, PD-L1 expression was found to be abundant on many murine and human cancers and could be further up-regulated upon IFN-γ stimulation. Thus, PD-L1 might play an important role in tumor immune evasion. This review discusses the currently available data concerning negative T-cell regulation via PD-1, the blockade of PD-L1/PD-1 interactions, and the implications for adoptive T-cell therapies. © Springer-Verlag 2004.","author":[{"dropping-particle":"","family":"Blank","given":"Christian","non-dropping-particle":"","parse-names":false,"suffix":""},{"dropping-particle":"","family":"Gajewski","given":"Thomas F.","non-dropping-particle":"","parse-names":false,"suffix":""},{"dropping-particle":"","family":"Mackensen","given":"Andreas","non-dropping-particle":"","parse-names":false,"suffix":""}],"container-title":"Cancer Immunology, Immunotherapy","id":"ITEM-1","issue":"4","issued":{"date-parts":[["2005"]]},"page":"307-314","title":"Interaction of PD-L1 on tumor cells with PD-1 on tumor-specific T cells as a mechanism of immune evasion: Implications for tumor immunotherapy","type":"article-journal","volume":"54"},"uris":["http://www.mendeley.com/documents/?uuid=ddac9e06-0893-452a-8a30-86ec3891aaa7"]},{"id":"ITEM-2","itemData":{"DOI":"10.1038/NATURE09754","ISSN":"1476-4687","PMID":"21368758","abstract":"Chromosomal translocations are critically involved in the molecular pathogenesis of B-cell lymphomas, and highly recurrent and specific rearrangements have defined distinct molecular subtypes linked to unique clinicopathological features. In contrast, several well-characterized lymphoma entities still lack disease-defining translocation events. To identify novel fusion transcripts resulting from translocations, we investigated two Hodgkin lymphoma cell lines by whole-transcriptome paired-end sequencing (RNA-seq). Here we show a highly expressed gene fusion involving the major histocompatibility complex (MHC) class II transactivator CIITA (MHC2TA) in KM-H2 cells. In a subsequent evaluation of 263 B-cell lymphomas, we also demonstrate that genomic CIITA breaks are highly recurrent in primary mediastinal B-cell lymphoma (38%) and classical Hodgkin lymphoma (cHL) (15%). Furthermore, we find that CIITA is a promiscuous partner of various in-frame gene fusions, and we report that CIITA gene alterations impact survival in primary mediastinal B-cell lymphoma (PMBCL). As functional consequences of CIITA gene fusions, we identify downregulation of surface HLA class II expression and overexpression of ligands of the receptor molecule programmed cell death 1 (CD274/PDL1 and CD273/PDL2). These receptorĝ€\"ligand interactions have been shown to impact anti-tumour immune responses in several cancers, whereas decreased MHC class II expression has been linked to reduced tumour cell immunogenicity. Thus, our findings suggest that recurrent rearrangements of CIITA may represent a novel genetic mechanism underlying tumourĝ€\"microenvironment interactions across a spectrum of lymphoid cancers. © 2011 Macmillan Publishers Limited. All rights reserved.","author":[{"dropping-particle":"","family":"Steidl","given":"Christian","non-dropping-particle":"","parse-names":false,"suffix":""},{"dropping-particle":"","family":"Shah","given":"Sohrab P.","non-dropping-particle":"","parse-names":false,"suffix":""},{"dropping-particle":"","family":"Woolcock","given":"Bruce W.","non-dropping-particle":"","parse-names":false,"suffix":""},{"dropping-particle":"","family":"Rui","given":"Lixin","non-dropping-particle":"","parse-names":false,"suffix":""},{"dropping-particle":"","family":"Kawahara","given":"Masahiro","non-dropping-particle":"","parse-names":false,"suffix":""},{"dropping-particle":"","family":"Farinha","given":"Pedro","non-dropping-particle":"","parse-names":false,"suffix":""},{"dropping-particle":"","family":"Johnson","given":"Nathalie A.","non-dropping-particle":"","parse-names":false,"suffix":""},{"dropping-particle":"","family":"Zhao","given":"Yongjun","non-dropping-particle":"","parse-names":false,"suffix":""},{"dropping-particle":"","family":"Telenius","given":"Adele","non-dropping-particle":"","parse-names":false,"suffix":""},{"dropping-particle":"Ben","family":"Neriah","given":"Susana","non-dropping-particle":"","parse-names":false,"suffix":""},{"dropping-particle":"","family":"McPherson","given":"Andrew","non-dropping-particle":"","parse-names":false,"suffix":""},{"dropping-particle":"","family":"Meissner","given":"Barbara","non-dropping-particle":"","parse-names":false,"suffix":""},{"dropping-particle":"","family":"Okoye","given":"Ujunwa C.","non-dropping-particle":"","parse-names":false,"suffix":""},{"dropping-particle":"","family":"Diepstra","given":"Arjan","non-dropping-particle":"","parse-names":false,"suffix":""},{"dropping-particle":"","family":"Berg","given":"Anke","non-dropping-particle":"Van Den","parse-names":false,"suffix":""},{"dropping-particle":"","family":"Sun","given":"Mark","non-dropping-particle":"","parse-names":false,"suffix":""},{"dropping-particle":"","family":"Leung","given":"Gillian","non-dropping-particle":"","parse-names":false,"suffix":""},{"dropping-particle":"","family":"Jones","given":"Steven J.","non-dropping-particle":"","parse-names":false,"suffix":""},{"dropping-particle":"","family":"Connors","given":"Joseph M.","non-dropping-particle":"","parse-names":false,"suffix":""},{"dropping-particle":"","family":"Huntsman","given":"David G.","non-dropping-parti</w:instrText>
      </w:r>
      <w:r w:rsidR="00F3553D" w:rsidRPr="00095D58">
        <w:rPr>
          <w:color w:val="000000" w:themeColor="text1"/>
          <w:lang w:val="en-US"/>
        </w:rPr>
        <w:instrText>cle</w:instrText>
      </w:r>
      <w:r w:rsidR="00F3553D" w:rsidRPr="00320416">
        <w:rPr>
          <w:color w:val="000000" w:themeColor="text1"/>
        </w:rPr>
        <w:instrText>":"","</w:instrText>
      </w:r>
      <w:r w:rsidR="00F3553D" w:rsidRPr="00095D58">
        <w:rPr>
          <w:color w:val="000000" w:themeColor="text1"/>
          <w:lang w:val="en-US"/>
        </w:rPr>
        <w:instrText>parse</w:instrText>
      </w:r>
      <w:r w:rsidR="00F3553D" w:rsidRPr="00320416">
        <w:rPr>
          <w:color w:val="000000" w:themeColor="text1"/>
        </w:rPr>
        <w:instrText>-</w:instrText>
      </w:r>
      <w:r w:rsidR="00F3553D" w:rsidRPr="00095D58">
        <w:rPr>
          <w:color w:val="000000" w:themeColor="text1"/>
          <w:lang w:val="en-US"/>
        </w:rPr>
        <w:instrText>names</w:instrText>
      </w:r>
      <w:r w:rsidR="00F3553D" w:rsidRPr="00320416">
        <w:rPr>
          <w:color w:val="000000" w:themeColor="text1"/>
        </w:rPr>
        <w:instrText>":</w:instrText>
      </w:r>
      <w:r w:rsidR="00F3553D" w:rsidRPr="00095D58">
        <w:rPr>
          <w:color w:val="000000" w:themeColor="text1"/>
          <w:lang w:val="en-US"/>
        </w:rPr>
        <w:instrText>false</w:instrText>
      </w:r>
      <w:r w:rsidR="00F3553D" w:rsidRPr="00320416">
        <w:rPr>
          <w:color w:val="000000" w:themeColor="text1"/>
        </w:rPr>
        <w:instrText>,"</w:instrText>
      </w:r>
      <w:r w:rsidR="00F3553D" w:rsidRPr="00095D58">
        <w:rPr>
          <w:color w:val="000000" w:themeColor="text1"/>
          <w:lang w:val="en-US"/>
        </w:rPr>
        <w:instrText>suffix</w:instrText>
      </w:r>
      <w:r w:rsidR="00F3553D" w:rsidRPr="00320416">
        <w:rPr>
          <w:color w:val="000000" w:themeColor="text1"/>
        </w:rPr>
        <w:instrText>":""},{"</w:instrText>
      </w:r>
      <w:r w:rsidR="00F3553D" w:rsidRPr="00095D58">
        <w:rPr>
          <w:color w:val="000000" w:themeColor="text1"/>
          <w:lang w:val="en-US"/>
        </w:rPr>
        <w:instrText>dropping</w:instrText>
      </w:r>
      <w:r w:rsidR="00F3553D" w:rsidRPr="00320416">
        <w:rPr>
          <w:color w:val="000000" w:themeColor="text1"/>
        </w:rPr>
        <w:instrText>-</w:instrText>
      </w:r>
      <w:r w:rsidR="00F3553D" w:rsidRPr="00095D58">
        <w:rPr>
          <w:color w:val="000000" w:themeColor="text1"/>
          <w:lang w:val="en-US"/>
        </w:rPr>
        <w:instrText>particle</w:instrText>
      </w:r>
      <w:r w:rsidR="00F3553D" w:rsidRPr="00320416">
        <w:rPr>
          <w:color w:val="000000" w:themeColor="text1"/>
        </w:rPr>
        <w:instrText>":"","</w:instrText>
      </w:r>
      <w:r w:rsidR="00F3553D" w:rsidRPr="00095D58">
        <w:rPr>
          <w:color w:val="000000" w:themeColor="text1"/>
          <w:lang w:val="en-US"/>
        </w:rPr>
        <w:instrText>family</w:instrText>
      </w:r>
      <w:r w:rsidR="00F3553D" w:rsidRPr="00320416">
        <w:rPr>
          <w:color w:val="000000" w:themeColor="text1"/>
        </w:rPr>
        <w:instrText>":"</w:instrText>
      </w:r>
      <w:r w:rsidR="00F3553D" w:rsidRPr="00095D58">
        <w:rPr>
          <w:color w:val="000000" w:themeColor="text1"/>
          <w:lang w:val="en-US"/>
        </w:rPr>
        <w:instrText>Savage</w:instrText>
      </w:r>
      <w:r w:rsidR="00F3553D" w:rsidRPr="00320416">
        <w:rPr>
          <w:color w:val="000000" w:themeColor="text1"/>
        </w:rPr>
        <w:instrText>","</w:instrText>
      </w:r>
      <w:r w:rsidR="00F3553D" w:rsidRPr="00095D58">
        <w:rPr>
          <w:color w:val="000000" w:themeColor="text1"/>
          <w:lang w:val="en-US"/>
        </w:rPr>
        <w:instrText>given</w:instrText>
      </w:r>
      <w:r w:rsidR="00F3553D" w:rsidRPr="00320416">
        <w:rPr>
          <w:color w:val="000000" w:themeColor="text1"/>
        </w:rPr>
        <w:instrText>":"</w:instrText>
      </w:r>
      <w:r w:rsidR="00F3553D" w:rsidRPr="00095D58">
        <w:rPr>
          <w:color w:val="000000" w:themeColor="text1"/>
          <w:lang w:val="en-US"/>
        </w:rPr>
        <w:instrText>Kerry</w:instrText>
      </w:r>
      <w:r w:rsidR="00F3553D" w:rsidRPr="00320416">
        <w:rPr>
          <w:color w:val="000000" w:themeColor="text1"/>
        </w:rPr>
        <w:instrText xml:space="preserve"> </w:instrText>
      </w:r>
      <w:r w:rsidR="00F3553D" w:rsidRPr="00095D58">
        <w:rPr>
          <w:color w:val="000000" w:themeColor="text1"/>
          <w:lang w:val="en-US"/>
        </w:rPr>
        <w:instrText>J</w:instrText>
      </w:r>
      <w:r w:rsidR="00F3553D" w:rsidRPr="00320416">
        <w:rPr>
          <w:color w:val="000000" w:themeColor="text1"/>
        </w:rPr>
        <w:instrText>.","</w:instrText>
      </w:r>
      <w:r w:rsidR="00F3553D" w:rsidRPr="00095D58">
        <w:rPr>
          <w:color w:val="000000" w:themeColor="text1"/>
          <w:lang w:val="en-US"/>
        </w:rPr>
        <w:instrText>non</w:instrText>
      </w:r>
      <w:r w:rsidR="00F3553D" w:rsidRPr="00320416">
        <w:rPr>
          <w:color w:val="000000" w:themeColor="text1"/>
        </w:rPr>
        <w:instrText>-</w:instrText>
      </w:r>
      <w:r w:rsidR="00F3553D" w:rsidRPr="00095D58">
        <w:rPr>
          <w:color w:val="000000" w:themeColor="text1"/>
          <w:lang w:val="en-US"/>
        </w:rPr>
        <w:instrText>dropping</w:instrText>
      </w:r>
      <w:r w:rsidR="00F3553D" w:rsidRPr="00320416">
        <w:rPr>
          <w:color w:val="000000" w:themeColor="text1"/>
        </w:rPr>
        <w:instrText>-</w:instrText>
      </w:r>
      <w:r w:rsidR="00F3553D" w:rsidRPr="00095D58">
        <w:rPr>
          <w:color w:val="000000" w:themeColor="text1"/>
          <w:lang w:val="en-US"/>
        </w:rPr>
        <w:instrText>particle</w:instrText>
      </w:r>
      <w:r w:rsidR="00F3553D" w:rsidRPr="00320416">
        <w:rPr>
          <w:color w:val="000000" w:themeColor="text1"/>
        </w:rPr>
        <w:instrText>":"","</w:instrText>
      </w:r>
      <w:r w:rsidR="00F3553D" w:rsidRPr="00095D58">
        <w:rPr>
          <w:color w:val="000000" w:themeColor="text1"/>
          <w:lang w:val="en-US"/>
        </w:rPr>
        <w:instrText>parse</w:instrText>
      </w:r>
      <w:r w:rsidR="00F3553D" w:rsidRPr="00320416">
        <w:rPr>
          <w:color w:val="000000" w:themeColor="text1"/>
        </w:rPr>
        <w:instrText>-</w:instrText>
      </w:r>
      <w:r w:rsidR="00F3553D" w:rsidRPr="00095D58">
        <w:rPr>
          <w:color w:val="000000" w:themeColor="text1"/>
          <w:lang w:val="en-US"/>
        </w:rPr>
        <w:instrText>names</w:instrText>
      </w:r>
      <w:r w:rsidR="00F3553D" w:rsidRPr="00320416">
        <w:rPr>
          <w:color w:val="000000" w:themeColor="text1"/>
        </w:rPr>
        <w:instrText>":</w:instrText>
      </w:r>
      <w:r w:rsidR="00F3553D" w:rsidRPr="00095D58">
        <w:rPr>
          <w:color w:val="000000" w:themeColor="text1"/>
          <w:lang w:val="en-US"/>
        </w:rPr>
        <w:instrText>false</w:instrText>
      </w:r>
      <w:r w:rsidR="00F3553D" w:rsidRPr="00320416">
        <w:rPr>
          <w:color w:val="000000" w:themeColor="text1"/>
        </w:rPr>
        <w:instrText>,"</w:instrText>
      </w:r>
      <w:r w:rsidR="00F3553D" w:rsidRPr="00095D58">
        <w:rPr>
          <w:color w:val="000000" w:themeColor="text1"/>
          <w:lang w:val="en-US"/>
        </w:rPr>
        <w:instrText>suffix</w:instrText>
      </w:r>
      <w:r w:rsidR="00F3553D" w:rsidRPr="00320416">
        <w:rPr>
          <w:color w:val="000000" w:themeColor="text1"/>
        </w:rPr>
        <w:instrText>":""},{"</w:instrText>
      </w:r>
      <w:r w:rsidR="00F3553D" w:rsidRPr="00095D58">
        <w:rPr>
          <w:color w:val="000000" w:themeColor="text1"/>
          <w:lang w:val="en-US"/>
        </w:rPr>
        <w:instrText>dropping</w:instrText>
      </w:r>
      <w:r w:rsidR="00F3553D" w:rsidRPr="00320416">
        <w:rPr>
          <w:color w:val="000000" w:themeColor="text1"/>
        </w:rPr>
        <w:instrText>-</w:instrText>
      </w:r>
      <w:r w:rsidR="00F3553D" w:rsidRPr="00095D58">
        <w:rPr>
          <w:color w:val="000000" w:themeColor="text1"/>
          <w:lang w:val="en-US"/>
        </w:rPr>
        <w:instrText>particle</w:instrText>
      </w:r>
      <w:r w:rsidR="00F3553D" w:rsidRPr="00320416">
        <w:rPr>
          <w:color w:val="000000" w:themeColor="text1"/>
        </w:rPr>
        <w:instrText>":"","</w:instrText>
      </w:r>
      <w:r w:rsidR="00F3553D" w:rsidRPr="00095D58">
        <w:rPr>
          <w:color w:val="000000" w:themeColor="text1"/>
          <w:lang w:val="en-US"/>
        </w:rPr>
        <w:instrText>family</w:instrText>
      </w:r>
      <w:r w:rsidR="00F3553D" w:rsidRPr="00320416">
        <w:rPr>
          <w:color w:val="000000" w:themeColor="text1"/>
        </w:rPr>
        <w:instrText>":"</w:instrText>
      </w:r>
      <w:r w:rsidR="00F3553D" w:rsidRPr="00095D58">
        <w:rPr>
          <w:color w:val="000000" w:themeColor="text1"/>
          <w:lang w:val="en-US"/>
        </w:rPr>
        <w:instrText>Rimsza</w:instrText>
      </w:r>
      <w:r w:rsidR="00F3553D" w:rsidRPr="00320416">
        <w:rPr>
          <w:color w:val="000000" w:themeColor="text1"/>
        </w:rPr>
        <w:instrText>","</w:instrText>
      </w:r>
      <w:r w:rsidR="00F3553D" w:rsidRPr="00095D58">
        <w:rPr>
          <w:color w:val="000000" w:themeColor="text1"/>
          <w:lang w:val="en-US"/>
        </w:rPr>
        <w:instrText>given</w:instrText>
      </w:r>
      <w:r w:rsidR="00F3553D" w:rsidRPr="00320416">
        <w:rPr>
          <w:color w:val="000000" w:themeColor="text1"/>
        </w:rPr>
        <w:instrText>":"</w:instrText>
      </w:r>
      <w:r w:rsidR="00F3553D" w:rsidRPr="00095D58">
        <w:rPr>
          <w:color w:val="000000" w:themeColor="text1"/>
          <w:lang w:val="en-US"/>
        </w:rPr>
        <w:instrText>Lisa</w:instrText>
      </w:r>
      <w:r w:rsidR="00F3553D" w:rsidRPr="00320416">
        <w:rPr>
          <w:color w:val="000000" w:themeColor="text1"/>
        </w:rPr>
        <w:instrText xml:space="preserve"> </w:instrText>
      </w:r>
      <w:r w:rsidR="00F3553D" w:rsidRPr="00095D58">
        <w:rPr>
          <w:color w:val="000000" w:themeColor="text1"/>
          <w:lang w:val="en-US"/>
        </w:rPr>
        <w:instrText>M</w:instrText>
      </w:r>
      <w:r w:rsidR="00F3553D" w:rsidRPr="00320416">
        <w:rPr>
          <w:color w:val="000000" w:themeColor="text1"/>
        </w:rPr>
        <w:instrText>.","</w:instrText>
      </w:r>
      <w:r w:rsidR="00F3553D" w:rsidRPr="00095D58">
        <w:rPr>
          <w:color w:val="000000" w:themeColor="text1"/>
          <w:lang w:val="en-US"/>
        </w:rPr>
        <w:instrText>non</w:instrText>
      </w:r>
      <w:r w:rsidR="00F3553D" w:rsidRPr="00320416">
        <w:rPr>
          <w:color w:val="000000" w:themeColor="text1"/>
        </w:rPr>
        <w:instrText>-</w:instrText>
      </w:r>
      <w:r w:rsidR="00F3553D" w:rsidRPr="00095D58">
        <w:rPr>
          <w:color w:val="000000" w:themeColor="text1"/>
          <w:lang w:val="en-US"/>
        </w:rPr>
        <w:instrText>dropping</w:instrText>
      </w:r>
      <w:r w:rsidR="00F3553D" w:rsidRPr="00320416">
        <w:rPr>
          <w:color w:val="000000" w:themeColor="text1"/>
        </w:rPr>
        <w:instrText>-</w:instrText>
      </w:r>
      <w:r w:rsidR="00F3553D" w:rsidRPr="00095D58">
        <w:rPr>
          <w:color w:val="000000" w:themeColor="text1"/>
          <w:lang w:val="en-US"/>
        </w:rPr>
        <w:instrText>particle</w:instrText>
      </w:r>
      <w:r w:rsidR="00F3553D" w:rsidRPr="00320416">
        <w:rPr>
          <w:color w:val="000000" w:themeColor="text1"/>
        </w:rPr>
        <w:instrText>":"","</w:instrText>
      </w:r>
      <w:r w:rsidR="00F3553D" w:rsidRPr="00095D58">
        <w:rPr>
          <w:color w:val="000000" w:themeColor="text1"/>
          <w:lang w:val="en-US"/>
        </w:rPr>
        <w:instrText>parse</w:instrText>
      </w:r>
      <w:r w:rsidR="00F3553D" w:rsidRPr="00320416">
        <w:rPr>
          <w:color w:val="000000" w:themeColor="text1"/>
        </w:rPr>
        <w:instrText>-</w:instrText>
      </w:r>
      <w:r w:rsidR="00F3553D" w:rsidRPr="00095D58">
        <w:rPr>
          <w:color w:val="000000" w:themeColor="text1"/>
          <w:lang w:val="en-US"/>
        </w:rPr>
        <w:instrText>names</w:instrText>
      </w:r>
      <w:r w:rsidR="00F3553D" w:rsidRPr="00320416">
        <w:rPr>
          <w:color w:val="000000" w:themeColor="text1"/>
        </w:rPr>
        <w:instrText>":</w:instrText>
      </w:r>
      <w:r w:rsidR="00F3553D" w:rsidRPr="00095D58">
        <w:rPr>
          <w:color w:val="000000" w:themeColor="text1"/>
          <w:lang w:val="en-US"/>
        </w:rPr>
        <w:instrText>false</w:instrText>
      </w:r>
      <w:r w:rsidR="00F3553D" w:rsidRPr="00320416">
        <w:rPr>
          <w:color w:val="000000" w:themeColor="text1"/>
        </w:rPr>
        <w:instrText>,"</w:instrText>
      </w:r>
      <w:r w:rsidR="00F3553D" w:rsidRPr="00095D58">
        <w:rPr>
          <w:color w:val="000000" w:themeColor="text1"/>
          <w:lang w:val="en-US"/>
        </w:rPr>
        <w:instrText>suffix</w:instrText>
      </w:r>
      <w:r w:rsidR="00F3553D" w:rsidRPr="00320416">
        <w:rPr>
          <w:color w:val="000000" w:themeColor="text1"/>
        </w:rPr>
        <w:instrText>":""},{"</w:instrText>
      </w:r>
      <w:r w:rsidR="00F3553D" w:rsidRPr="00095D58">
        <w:rPr>
          <w:color w:val="000000" w:themeColor="text1"/>
          <w:lang w:val="en-US"/>
        </w:rPr>
        <w:instrText>dropping</w:instrText>
      </w:r>
      <w:r w:rsidR="00F3553D" w:rsidRPr="00320416">
        <w:rPr>
          <w:color w:val="000000" w:themeColor="text1"/>
        </w:rPr>
        <w:instrText>-</w:instrText>
      </w:r>
      <w:r w:rsidR="00F3553D" w:rsidRPr="00095D58">
        <w:rPr>
          <w:color w:val="000000" w:themeColor="text1"/>
          <w:lang w:val="en-US"/>
        </w:rPr>
        <w:instrText>particle</w:instrText>
      </w:r>
      <w:r w:rsidR="00F3553D" w:rsidRPr="00320416">
        <w:rPr>
          <w:color w:val="000000" w:themeColor="text1"/>
        </w:rPr>
        <w:instrText>":"","</w:instrText>
      </w:r>
      <w:r w:rsidR="00F3553D" w:rsidRPr="00095D58">
        <w:rPr>
          <w:color w:val="000000" w:themeColor="text1"/>
          <w:lang w:val="en-US"/>
        </w:rPr>
        <w:instrText>family</w:instrText>
      </w:r>
      <w:r w:rsidR="00F3553D" w:rsidRPr="00320416">
        <w:rPr>
          <w:color w:val="000000" w:themeColor="text1"/>
        </w:rPr>
        <w:instrText>":"</w:instrText>
      </w:r>
      <w:r w:rsidR="00F3553D" w:rsidRPr="00095D58">
        <w:rPr>
          <w:color w:val="000000" w:themeColor="text1"/>
          <w:lang w:val="en-US"/>
        </w:rPr>
        <w:instrText>Horsman</w:instrText>
      </w:r>
      <w:r w:rsidR="00F3553D" w:rsidRPr="00320416">
        <w:rPr>
          <w:color w:val="000000" w:themeColor="text1"/>
        </w:rPr>
        <w:instrText>","</w:instrText>
      </w:r>
      <w:r w:rsidR="00F3553D" w:rsidRPr="00095D58">
        <w:rPr>
          <w:color w:val="000000" w:themeColor="text1"/>
          <w:lang w:val="en-US"/>
        </w:rPr>
        <w:instrText>given</w:instrText>
      </w:r>
      <w:r w:rsidR="00F3553D" w:rsidRPr="00320416">
        <w:rPr>
          <w:color w:val="000000" w:themeColor="text1"/>
        </w:rPr>
        <w:instrText>":"</w:instrText>
      </w:r>
      <w:r w:rsidR="00F3553D" w:rsidRPr="00095D58">
        <w:rPr>
          <w:color w:val="000000" w:themeColor="text1"/>
          <w:lang w:val="en-US"/>
        </w:rPr>
        <w:instrText>Douglas</w:instrText>
      </w:r>
      <w:r w:rsidR="00F3553D" w:rsidRPr="00320416">
        <w:rPr>
          <w:color w:val="000000" w:themeColor="text1"/>
        </w:rPr>
        <w:instrText xml:space="preserve"> </w:instrText>
      </w:r>
      <w:r w:rsidR="00F3553D" w:rsidRPr="00095D58">
        <w:rPr>
          <w:color w:val="000000" w:themeColor="text1"/>
          <w:lang w:val="en-US"/>
        </w:rPr>
        <w:instrText>E</w:instrText>
      </w:r>
      <w:r w:rsidR="00F3553D" w:rsidRPr="00320416">
        <w:rPr>
          <w:color w:val="000000" w:themeColor="text1"/>
        </w:rPr>
        <w:instrText>.","</w:instrText>
      </w:r>
      <w:r w:rsidR="00F3553D" w:rsidRPr="00095D58">
        <w:rPr>
          <w:color w:val="000000" w:themeColor="text1"/>
          <w:lang w:val="en-US"/>
        </w:rPr>
        <w:instrText>non</w:instrText>
      </w:r>
      <w:r w:rsidR="00F3553D" w:rsidRPr="00320416">
        <w:rPr>
          <w:color w:val="000000" w:themeColor="text1"/>
        </w:rPr>
        <w:instrText>-</w:instrText>
      </w:r>
      <w:r w:rsidR="00F3553D" w:rsidRPr="00095D58">
        <w:rPr>
          <w:color w:val="000000" w:themeColor="text1"/>
          <w:lang w:val="en-US"/>
        </w:rPr>
        <w:instrText>dropping</w:instrText>
      </w:r>
      <w:r w:rsidR="00F3553D" w:rsidRPr="00320416">
        <w:rPr>
          <w:color w:val="000000" w:themeColor="text1"/>
        </w:rPr>
        <w:instrText>-</w:instrText>
      </w:r>
      <w:r w:rsidR="00F3553D" w:rsidRPr="00095D58">
        <w:rPr>
          <w:color w:val="000000" w:themeColor="text1"/>
          <w:lang w:val="en-US"/>
        </w:rPr>
        <w:instrText>particle</w:instrText>
      </w:r>
      <w:r w:rsidR="00F3553D" w:rsidRPr="00320416">
        <w:rPr>
          <w:color w:val="000000" w:themeColor="text1"/>
        </w:rPr>
        <w:instrText>":"","</w:instrText>
      </w:r>
      <w:r w:rsidR="00F3553D" w:rsidRPr="00095D58">
        <w:rPr>
          <w:color w:val="000000" w:themeColor="text1"/>
          <w:lang w:val="en-US"/>
        </w:rPr>
        <w:instrText>parse</w:instrText>
      </w:r>
      <w:r w:rsidR="00F3553D" w:rsidRPr="00320416">
        <w:rPr>
          <w:color w:val="000000" w:themeColor="text1"/>
        </w:rPr>
        <w:instrText>-</w:instrText>
      </w:r>
      <w:r w:rsidR="00F3553D" w:rsidRPr="00095D58">
        <w:rPr>
          <w:color w:val="000000" w:themeColor="text1"/>
          <w:lang w:val="en-US"/>
        </w:rPr>
        <w:instrText>names</w:instrText>
      </w:r>
      <w:r w:rsidR="00F3553D" w:rsidRPr="00320416">
        <w:rPr>
          <w:color w:val="000000" w:themeColor="text1"/>
        </w:rPr>
        <w:instrText>":</w:instrText>
      </w:r>
      <w:r w:rsidR="00F3553D" w:rsidRPr="00095D58">
        <w:rPr>
          <w:color w:val="000000" w:themeColor="text1"/>
          <w:lang w:val="en-US"/>
        </w:rPr>
        <w:instrText>false</w:instrText>
      </w:r>
      <w:r w:rsidR="00F3553D" w:rsidRPr="00320416">
        <w:rPr>
          <w:color w:val="000000" w:themeColor="text1"/>
        </w:rPr>
        <w:instrText>,"</w:instrText>
      </w:r>
      <w:r w:rsidR="00F3553D" w:rsidRPr="00095D58">
        <w:rPr>
          <w:color w:val="000000" w:themeColor="text1"/>
          <w:lang w:val="en-US"/>
        </w:rPr>
        <w:instrText>suffix</w:instrText>
      </w:r>
      <w:r w:rsidR="00F3553D" w:rsidRPr="00320416">
        <w:rPr>
          <w:color w:val="000000" w:themeColor="text1"/>
        </w:rPr>
        <w:instrText>":""},{"</w:instrText>
      </w:r>
      <w:r w:rsidR="00F3553D" w:rsidRPr="00095D58">
        <w:rPr>
          <w:color w:val="000000" w:themeColor="text1"/>
          <w:lang w:val="en-US"/>
        </w:rPr>
        <w:instrText>dropping</w:instrText>
      </w:r>
      <w:r w:rsidR="00F3553D" w:rsidRPr="00320416">
        <w:rPr>
          <w:color w:val="000000" w:themeColor="text1"/>
        </w:rPr>
        <w:instrText>-</w:instrText>
      </w:r>
      <w:r w:rsidR="00F3553D" w:rsidRPr="00095D58">
        <w:rPr>
          <w:color w:val="000000" w:themeColor="text1"/>
          <w:lang w:val="en-US"/>
        </w:rPr>
        <w:instrText>particle</w:instrText>
      </w:r>
      <w:r w:rsidR="00F3553D" w:rsidRPr="00320416">
        <w:rPr>
          <w:color w:val="000000" w:themeColor="text1"/>
        </w:rPr>
        <w:instrText>":"","</w:instrText>
      </w:r>
      <w:r w:rsidR="00F3553D" w:rsidRPr="00095D58">
        <w:rPr>
          <w:color w:val="000000" w:themeColor="text1"/>
          <w:lang w:val="en-US"/>
        </w:rPr>
        <w:instrText>family</w:instrText>
      </w:r>
      <w:r w:rsidR="00F3553D" w:rsidRPr="00320416">
        <w:rPr>
          <w:color w:val="000000" w:themeColor="text1"/>
        </w:rPr>
        <w:instrText>":"</w:instrText>
      </w:r>
      <w:r w:rsidR="00F3553D" w:rsidRPr="00095D58">
        <w:rPr>
          <w:color w:val="000000" w:themeColor="text1"/>
          <w:lang w:val="en-US"/>
        </w:rPr>
        <w:instrText>Staudt</w:instrText>
      </w:r>
      <w:r w:rsidR="00F3553D" w:rsidRPr="00320416">
        <w:rPr>
          <w:color w:val="000000" w:themeColor="text1"/>
        </w:rPr>
        <w:instrText>","</w:instrText>
      </w:r>
      <w:r w:rsidR="00F3553D" w:rsidRPr="00095D58">
        <w:rPr>
          <w:color w:val="000000" w:themeColor="text1"/>
          <w:lang w:val="en-US"/>
        </w:rPr>
        <w:instrText>given</w:instrText>
      </w:r>
      <w:r w:rsidR="00F3553D" w:rsidRPr="00320416">
        <w:rPr>
          <w:color w:val="000000" w:themeColor="text1"/>
        </w:rPr>
        <w:instrText>":"</w:instrText>
      </w:r>
      <w:r w:rsidR="00F3553D" w:rsidRPr="00095D58">
        <w:rPr>
          <w:color w:val="000000" w:themeColor="text1"/>
          <w:lang w:val="en-US"/>
        </w:rPr>
        <w:instrText>Louis</w:instrText>
      </w:r>
      <w:r w:rsidR="00F3553D" w:rsidRPr="00320416">
        <w:rPr>
          <w:color w:val="000000" w:themeColor="text1"/>
        </w:rPr>
        <w:instrText xml:space="preserve"> </w:instrText>
      </w:r>
      <w:r w:rsidR="00F3553D" w:rsidRPr="00095D58">
        <w:rPr>
          <w:color w:val="000000" w:themeColor="text1"/>
          <w:lang w:val="en-US"/>
        </w:rPr>
        <w:instrText>M</w:instrText>
      </w:r>
      <w:r w:rsidR="00F3553D" w:rsidRPr="00320416">
        <w:rPr>
          <w:color w:val="000000" w:themeColor="text1"/>
        </w:rPr>
        <w:instrText>.","</w:instrText>
      </w:r>
      <w:r w:rsidR="00F3553D" w:rsidRPr="00095D58">
        <w:rPr>
          <w:color w:val="000000" w:themeColor="text1"/>
          <w:lang w:val="en-US"/>
        </w:rPr>
        <w:instrText>non</w:instrText>
      </w:r>
      <w:r w:rsidR="00F3553D" w:rsidRPr="00320416">
        <w:rPr>
          <w:color w:val="000000" w:themeColor="text1"/>
        </w:rPr>
        <w:instrText>-</w:instrText>
      </w:r>
      <w:r w:rsidR="00F3553D" w:rsidRPr="00095D58">
        <w:rPr>
          <w:color w:val="000000" w:themeColor="text1"/>
          <w:lang w:val="en-US"/>
        </w:rPr>
        <w:instrText>dropping</w:instrText>
      </w:r>
      <w:r w:rsidR="00F3553D" w:rsidRPr="00320416">
        <w:rPr>
          <w:color w:val="000000" w:themeColor="text1"/>
        </w:rPr>
        <w:instrText>-</w:instrText>
      </w:r>
      <w:r w:rsidR="00F3553D" w:rsidRPr="00095D58">
        <w:rPr>
          <w:color w:val="000000" w:themeColor="text1"/>
          <w:lang w:val="en-US"/>
        </w:rPr>
        <w:instrText>particle</w:instrText>
      </w:r>
      <w:r w:rsidR="00F3553D" w:rsidRPr="00320416">
        <w:rPr>
          <w:color w:val="000000" w:themeColor="text1"/>
        </w:rPr>
        <w:instrText>":"","</w:instrText>
      </w:r>
      <w:r w:rsidR="00F3553D" w:rsidRPr="00095D58">
        <w:rPr>
          <w:color w:val="000000" w:themeColor="text1"/>
          <w:lang w:val="en-US"/>
        </w:rPr>
        <w:instrText>parse</w:instrText>
      </w:r>
      <w:r w:rsidR="00F3553D" w:rsidRPr="00320416">
        <w:rPr>
          <w:color w:val="000000" w:themeColor="text1"/>
        </w:rPr>
        <w:instrText>-</w:instrText>
      </w:r>
      <w:r w:rsidR="00F3553D" w:rsidRPr="00095D58">
        <w:rPr>
          <w:color w:val="000000" w:themeColor="text1"/>
          <w:lang w:val="en-US"/>
        </w:rPr>
        <w:instrText>names</w:instrText>
      </w:r>
      <w:r w:rsidR="00F3553D" w:rsidRPr="00320416">
        <w:rPr>
          <w:color w:val="000000" w:themeColor="text1"/>
        </w:rPr>
        <w:instrText>":</w:instrText>
      </w:r>
      <w:r w:rsidR="00F3553D" w:rsidRPr="00095D58">
        <w:rPr>
          <w:color w:val="000000" w:themeColor="text1"/>
          <w:lang w:val="en-US"/>
        </w:rPr>
        <w:instrText>false</w:instrText>
      </w:r>
      <w:r w:rsidR="00F3553D" w:rsidRPr="00320416">
        <w:rPr>
          <w:color w:val="000000" w:themeColor="text1"/>
        </w:rPr>
        <w:instrText>,"</w:instrText>
      </w:r>
      <w:r w:rsidR="00F3553D" w:rsidRPr="00095D58">
        <w:rPr>
          <w:color w:val="000000" w:themeColor="text1"/>
          <w:lang w:val="en-US"/>
        </w:rPr>
        <w:instrText>suffix</w:instrText>
      </w:r>
      <w:r w:rsidR="00F3553D" w:rsidRPr="00320416">
        <w:rPr>
          <w:color w:val="000000" w:themeColor="text1"/>
        </w:rPr>
        <w:instrText>":""},{"</w:instrText>
      </w:r>
      <w:r w:rsidR="00F3553D" w:rsidRPr="00095D58">
        <w:rPr>
          <w:color w:val="000000" w:themeColor="text1"/>
          <w:lang w:val="en-US"/>
        </w:rPr>
        <w:instrText>dropping</w:instrText>
      </w:r>
      <w:r w:rsidR="00F3553D" w:rsidRPr="00320416">
        <w:rPr>
          <w:color w:val="000000" w:themeColor="text1"/>
        </w:rPr>
        <w:instrText>-</w:instrText>
      </w:r>
      <w:r w:rsidR="00F3553D" w:rsidRPr="00095D58">
        <w:rPr>
          <w:color w:val="000000" w:themeColor="text1"/>
          <w:lang w:val="en-US"/>
        </w:rPr>
        <w:instrText>particle</w:instrText>
      </w:r>
      <w:r w:rsidR="00F3553D" w:rsidRPr="00320416">
        <w:rPr>
          <w:color w:val="000000" w:themeColor="text1"/>
        </w:rPr>
        <w:instrText>":"","</w:instrText>
      </w:r>
      <w:r w:rsidR="00F3553D" w:rsidRPr="00095D58">
        <w:rPr>
          <w:color w:val="000000" w:themeColor="text1"/>
          <w:lang w:val="en-US"/>
        </w:rPr>
        <w:instrText>family</w:instrText>
      </w:r>
      <w:r w:rsidR="00F3553D" w:rsidRPr="00320416">
        <w:rPr>
          <w:color w:val="000000" w:themeColor="text1"/>
        </w:rPr>
        <w:instrText>":"</w:instrText>
      </w:r>
      <w:r w:rsidR="00F3553D" w:rsidRPr="00095D58">
        <w:rPr>
          <w:color w:val="000000" w:themeColor="text1"/>
          <w:lang w:val="en-US"/>
        </w:rPr>
        <w:instrText>Steidl</w:instrText>
      </w:r>
      <w:r w:rsidR="00F3553D" w:rsidRPr="00320416">
        <w:rPr>
          <w:color w:val="000000" w:themeColor="text1"/>
        </w:rPr>
        <w:instrText>","</w:instrText>
      </w:r>
      <w:r w:rsidR="00F3553D" w:rsidRPr="00095D58">
        <w:rPr>
          <w:color w:val="000000" w:themeColor="text1"/>
          <w:lang w:val="en-US"/>
        </w:rPr>
        <w:instrText>given</w:instrText>
      </w:r>
      <w:r w:rsidR="00F3553D" w:rsidRPr="00320416">
        <w:rPr>
          <w:color w:val="000000" w:themeColor="text1"/>
        </w:rPr>
        <w:instrText>":"</w:instrText>
      </w:r>
      <w:r w:rsidR="00F3553D" w:rsidRPr="00095D58">
        <w:rPr>
          <w:color w:val="000000" w:themeColor="text1"/>
          <w:lang w:val="en-US"/>
        </w:rPr>
        <w:instrText>Ulrich</w:instrText>
      </w:r>
      <w:r w:rsidR="00F3553D" w:rsidRPr="00320416">
        <w:rPr>
          <w:color w:val="000000" w:themeColor="text1"/>
        </w:rPr>
        <w:instrText>","</w:instrText>
      </w:r>
      <w:r w:rsidR="00F3553D" w:rsidRPr="00095D58">
        <w:rPr>
          <w:color w:val="000000" w:themeColor="text1"/>
          <w:lang w:val="en-US"/>
        </w:rPr>
        <w:instrText>non</w:instrText>
      </w:r>
      <w:r w:rsidR="00F3553D" w:rsidRPr="00320416">
        <w:rPr>
          <w:color w:val="000000" w:themeColor="text1"/>
        </w:rPr>
        <w:instrText>-</w:instrText>
      </w:r>
      <w:r w:rsidR="00F3553D" w:rsidRPr="00095D58">
        <w:rPr>
          <w:color w:val="000000" w:themeColor="text1"/>
          <w:lang w:val="en-US"/>
        </w:rPr>
        <w:instrText>dropping</w:instrText>
      </w:r>
      <w:r w:rsidR="00F3553D" w:rsidRPr="00320416">
        <w:rPr>
          <w:color w:val="000000" w:themeColor="text1"/>
        </w:rPr>
        <w:instrText>-</w:instrText>
      </w:r>
      <w:r w:rsidR="00F3553D" w:rsidRPr="00095D58">
        <w:rPr>
          <w:color w:val="000000" w:themeColor="text1"/>
          <w:lang w:val="en-US"/>
        </w:rPr>
        <w:instrText>particle</w:instrText>
      </w:r>
      <w:r w:rsidR="00F3553D" w:rsidRPr="00320416">
        <w:rPr>
          <w:color w:val="000000" w:themeColor="text1"/>
        </w:rPr>
        <w:instrText>":"","</w:instrText>
      </w:r>
      <w:r w:rsidR="00F3553D" w:rsidRPr="00095D58">
        <w:rPr>
          <w:color w:val="000000" w:themeColor="text1"/>
          <w:lang w:val="en-US"/>
        </w:rPr>
        <w:instrText>parse</w:instrText>
      </w:r>
      <w:r w:rsidR="00F3553D" w:rsidRPr="00320416">
        <w:rPr>
          <w:color w:val="000000" w:themeColor="text1"/>
        </w:rPr>
        <w:instrText>-</w:instrText>
      </w:r>
      <w:r w:rsidR="00F3553D" w:rsidRPr="00095D58">
        <w:rPr>
          <w:color w:val="000000" w:themeColor="text1"/>
          <w:lang w:val="en-US"/>
        </w:rPr>
        <w:instrText>names</w:instrText>
      </w:r>
      <w:r w:rsidR="00F3553D" w:rsidRPr="00320416">
        <w:rPr>
          <w:color w:val="000000" w:themeColor="text1"/>
        </w:rPr>
        <w:instrText>":</w:instrText>
      </w:r>
      <w:r w:rsidR="00F3553D" w:rsidRPr="00095D58">
        <w:rPr>
          <w:color w:val="000000" w:themeColor="text1"/>
          <w:lang w:val="en-US"/>
        </w:rPr>
        <w:instrText>false</w:instrText>
      </w:r>
      <w:r w:rsidR="00F3553D" w:rsidRPr="00320416">
        <w:rPr>
          <w:color w:val="000000" w:themeColor="text1"/>
        </w:rPr>
        <w:instrText>,"</w:instrText>
      </w:r>
      <w:r w:rsidR="00F3553D" w:rsidRPr="00095D58">
        <w:rPr>
          <w:color w:val="000000" w:themeColor="text1"/>
          <w:lang w:val="en-US"/>
        </w:rPr>
        <w:instrText>suffix</w:instrText>
      </w:r>
      <w:r w:rsidR="00F3553D" w:rsidRPr="00320416">
        <w:rPr>
          <w:color w:val="000000" w:themeColor="text1"/>
        </w:rPr>
        <w:instrText>":""},{"</w:instrText>
      </w:r>
      <w:r w:rsidR="00F3553D" w:rsidRPr="00095D58">
        <w:rPr>
          <w:color w:val="000000" w:themeColor="text1"/>
          <w:lang w:val="en-US"/>
        </w:rPr>
        <w:instrText>dropping</w:instrText>
      </w:r>
      <w:r w:rsidR="00F3553D" w:rsidRPr="00320416">
        <w:rPr>
          <w:color w:val="000000" w:themeColor="text1"/>
        </w:rPr>
        <w:instrText>-</w:instrText>
      </w:r>
      <w:r w:rsidR="00F3553D" w:rsidRPr="00095D58">
        <w:rPr>
          <w:color w:val="000000" w:themeColor="text1"/>
          <w:lang w:val="en-US"/>
        </w:rPr>
        <w:instrText>particle</w:instrText>
      </w:r>
      <w:r w:rsidR="00F3553D" w:rsidRPr="00320416">
        <w:rPr>
          <w:color w:val="000000" w:themeColor="text1"/>
        </w:rPr>
        <w:instrText>":"","</w:instrText>
      </w:r>
      <w:r w:rsidR="00F3553D" w:rsidRPr="00095D58">
        <w:rPr>
          <w:color w:val="000000" w:themeColor="text1"/>
          <w:lang w:val="en-US"/>
        </w:rPr>
        <w:instrText>family</w:instrText>
      </w:r>
      <w:r w:rsidR="00F3553D" w:rsidRPr="00320416">
        <w:rPr>
          <w:color w:val="000000" w:themeColor="text1"/>
        </w:rPr>
        <w:instrText>":"</w:instrText>
      </w:r>
      <w:r w:rsidR="00F3553D" w:rsidRPr="00095D58">
        <w:rPr>
          <w:color w:val="000000" w:themeColor="text1"/>
          <w:lang w:val="en-US"/>
        </w:rPr>
        <w:instrText>Marra</w:instrText>
      </w:r>
      <w:r w:rsidR="00F3553D" w:rsidRPr="00320416">
        <w:rPr>
          <w:color w:val="000000" w:themeColor="text1"/>
        </w:rPr>
        <w:instrText>","</w:instrText>
      </w:r>
      <w:r w:rsidR="00F3553D" w:rsidRPr="00095D58">
        <w:rPr>
          <w:color w:val="000000" w:themeColor="text1"/>
          <w:lang w:val="en-US"/>
        </w:rPr>
        <w:instrText>given</w:instrText>
      </w:r>
      <w:r w:rsidR="00F3553D" w:rsidRPr="00320416">
        <w:rPr>
          <w:color w:val="000000" w:themeColor="text1"/>
        </w:rPr>
        <w:instrText>":"</w:instrText>
      </w:r>
      <w:r w:rsidR="00F3553D" w:rsidRPr="00095D58">
        <w:rPr>
          <w:color w:val="000000" w:themeColor="text1"/>
          <w:lang w:val="en-US"/>
        </w:rPr>
        <w:instrText>Marco</w:instrText>
      </w:r>
      <w:r w:rsidR="00F3553D" w:rsidRPr="00320416">
        <w:rPr>
          <w:color w:val="000000" w:themeColor="text1"/>
        </w:rPr>
        <w:instrText xml:space="preserve"> </w:instrText>
      </w:r>
      <w:r w:rsidR="00F3553D" w:rsidRPr="00095D58">
        <w:rPr>
          <w:color w:val="000000" w:themeColor="text1"/>
          <w:lang w:val="en-US"/>
        </w:rPr>
        <w:instrText>A</w:instrText>
      </w:r>
      <w:r w:rsidR="00F3553D" w:rsidRPr="00320416">
        <w:rPr>
          <w:color w:val="000000" w:themeColor="text1"/>
        </w:rPr>
        <w:instrText>.","</w:instrText>
      </w:r>
      <w:r w:rsidR="00F3553D" w:rsidRPr="00095D58">
        <w:rPr>
          <w:color w:val="000000" w:themeColor="text1"/>
          <w:lang w:val="en-US"/>
        </w:rPr>
        <w:instrText>non</w:instrText>
      </w:r>
      <w:r w:rsidR="00F3553D" w:rsidRPr="00320416">
        <w:rPr>
          <w:color w:val="000000" w:themeColor="text1"/>
        </w:rPr>
        <w:instrText>-</w:instrText>
      </w:r>
      <w:r w:rsidR="00F3553D" w:rsidRPr="00095D58">
        <w:rPr>
          <w:color w:val="000000" w:themeColor="text1"/>
          <w:lang w:val="en-US"/>
        </w:rPr>
        <w:instrText>dropping</w:instrText>
      </w:r>
      <w:r w:rsidR="00F3553D" w:rsidRPr="00320416">
        <w:rPr>
          <w:color w:val="000000" w:themeColor="text1"/>
        </w:rPr>
        <w:instrText>-</w:instrText>
      </w:r>
      <w:r w:rsidR="00F3553D" w:rsidRPr="00095D58">
        <w:rPr>
          <w:color w:val="000000" w:themeColor="text1"/>
          <w:lang w:val="en-US"/>
        </w:rPr>
        <w:instrText>particle</w:instrText>
      </w:r>
      <w:r w:rsidR="00F3553D" w:rsidRPr="00320416">
        <w:rPr>
          <w:color w:val="000000" w:themeColor="text1"/>
        </w:rPr>
        <w:instrText>":"","</w:instrText>
      </w:r>
      <w:r w:rsidR="00F3553D" w:rsidRPr="00095D58">
        <w:rPr>
          <w:color w:val="000000" w:themeColor="text1"/>
          <w:lang w:val="en-US"/>
        </w:rPr>
        <w:instrText>parse</w:instrText>
      </w:r>
      <w:r w:rsidR="00F3553D" w:rsidRPr="00320416">
        <w:rPr>
          <w:color w:val="000000" w:themeColor="text1"/>
        </w:rPr>
        <w:instrText>-</w:instrText>
      </w:r>
      <w:r w:rsidR="00F3553D" w:rsidRPr="00095D58">
        <w:rPr>
          <w:color w:val="000000" w:themeColor="text1"/>
          <w:lang w:val="en-US"/>
        </w:rPr>
        <w:instrText>names</w:instrText>
      </w:r>
      <w:r w:rsidR="00F3553D" w:rsidRPr="00320416">
        <w:rPr>
          <w:color w:val="000000" w:themeColor="text1"/>
        </w:rPr>
        <w:instrText>":</w:instrText>
      </w:r>
      <w:r w:rsidR="00F3553D" w:rsidRPr="00095D58">
        <w:rPr>
          <w:color w:val="000000" w:themeColor="text1"/>
          <w:lang w:val="en-US"/>
        </w:rPr>
        <w:instrText>false</w:instrText>
      </w:r>
      <w:r w:rsidR="00F3553D" w:rsidRPr="00320416">
        <w:rPr>
          <w:color w:val="000000" w:themeColor="text1"/>
        </w:rPr>
        <w:instrText>,"</w:instrText>
      </w:r>
      <w:r w:rsidR="00F3553D" w:rsidRPr="00095D58">
        <w:rPr>
          <w:color w:val="000000" w:themeColor="text1"/>
          <w:lang w:val="en-US"/>
        </w:rPr>
        <w:instrText>suffix</w:instrText>
      </w:r>
      <w:r w:rsidR="00F3553D" w:rsidRPr="00320416">
        <w:rPr>
          <w:color w:val="000000" w:themeColor="text1"/>
        </w:rPr>
        <w:instrText>":""},{"</w:instrText>
      </w:r>
      <w:r w:rsidR="00F3553D" w:rsidRPr="00095D58">
        <w:rPr>
          <w:color w:val="000000" w:themeColor="text1"/>
          <w:lang w:val="en-US"/>
        </w:rPr>
        <w:instrText>dropping</w:instrText>
      </w:r>
      <w:r w:rsidR="00F3553D" w:rsidRPr="00320416">
        <w:rPr>
          <w:color w:val="000000" w:themeColor="text1"/>
        </w:rPr>
        <w:instrText>-</w:instrText>
      </w:r>
      <w:r w:rsidR="00F3553D" w:rsidRPr="00095D58">
        <w:rPr>
          <w:color w:val="000000" w:themeColor="text1"/>
          <w:lang w:val="en-US"/>
        </w:rPr>
        <w:instrText>particle</w:instrText>
      </w:r>
      <w:r w:rsidR="00F3553D" w:rsidRPr="00320416">
        <w:rPr>
          <w:color w:val="000000" w:themeColor="text1"/>
        </w:rPr>
        <w:instrText>":"","</w:instrText>
      </w:r>
      <w:r w:rsidR="00F3553D" w:rsidRPr="00095D58">
        <w:rPr>
          <w:color w:val="000000" w:themeColor="text1"/>
          <w:lang w:val="en-US"/>
        </w:rPr>
        <w:instrText>family</w:instrText>
      </w:r>
      <w:r w:rsidR="00F3553D" w:rsidRPr="00320416">
        <w:rPr>
          <w:color w:val="000000" w:themeColor="text1"/>
        </w:rPr>
        <w:instrText>":"</w:instrText>
      </w:r>
      <w:r w:rsidR="00F3553D" w:rsidRPr="00095D58">
        <w:rPr>
          <w:color w:val="000000" w:themeColor="text1"/>
          <w:lang w:val="en-US"/>
        </w:rPr>
        <w:instrText>Gascoyne</w:instrText>
      </w:r>
      <w:r w:rsidR="00F3553D" w:rsidRPr="00320416">
        <w:rPr>
          <w:color w:val="000000" w:themeColor="text1"/>
        </w:rPr>
        <w:instrText>","</w:instrText>
      </w:r>
      <w:r w:rsidR="00F3553D" w:rsidRPr="00095D58">
        <w:rPr>
          <w:color w:val="000000" w:themeColor="text1"/>
          <w:lang w:val="en-US"/>
        </w:rPr>
        <w:instrText>given</w:instrText>
      </w:r>
      <w:r w:rsidR="00F3553D" w:rsidRPr="00320416">
        <w:rPr>
          <w:color w:val="000000" w:themeColor="text1"/>
        </w:rPr>
        <w:instrText>":"</w:instrText>
      </w:r>
      <w:r w:rsidR="00F3553D" w:rsidRPr="00095D58">
        <w:rPr>
          <w:color w:val="000000" w:themeColor="text1"/>
          <w:lang w:val="en-US"/>
        </w:rPr>
        <w:instrText>Randy</w:instrText>
      </w:r>
      <w:r w:rsidR="00F3553D" w:rsidRPr="00320416">
        <w:rPr>
          <w:color w:val="000000" w:themeColor="text1"/>
        </w:rPr>
        <w:instrText xml:space="preserve"> </w:instrText>
      </w:r>
      <w:r w:rsidR="00F3553D" w:rsidRPr="00095D58">
        <w:rPr>
          <w:color w:val="000000" w:themeColor="text1"/>
          <w:lang w:val="en-US"/>
        </w:rPr>
        <w:instrText>D</w:instrText>
      </w:r>
      <w:r w:rsidR="00F3553D" w:rsidRPr="00320416">
        <w:rPr>
          <w:color w:val="000000" w:themeColor="text1"/>
        </w:rPr>
        <w:instrText>.","</w:instrText>
      </w:r>
      <w:r w:rsidR="00F3553D" w:rsidRPr="00095D58">
        <w:rPr>
          <w:color w:val="000000" w:themeColor="text1"/>
          <w:lang w:val="en-US"/>
        </w:rPr>
        <w:instrText>non</w:instrText>
      </w:r>
      <w:r w:rsidR="00F3553D" w:rsidRPr="00320416">
        <w:rPr>
          <w:color w:val="000000" w:themeColor="text1"/>
        </w:rPr>
        <w:instrText>-</w:instrText>
      </w:r>
      <w:r w:rsidR="00F3553D" w:rsidRPr="00095D58">
        <w:rPr>
          <w:color w:val="000000" w:themeColor="text1"/>
          <w:lang w:val="en-US"/>
        </w:rPr>
        <w:instrText>dropping</w:instrText>
      </w:r>
      <w:r w:rsidR="00F3553D" w:rsidRPr="00320416">
        <w:rPr>
          <w:color w:val="000000" w:themeColor="text1"/>
        </w:rPr>
        <w:instrText>-</w:instrText>
      </w:r>
      <w:r w:rsidR="00F3553D" w:rsidRPr="00095D58">
        <w:rPr>
          <w:color w:val="000000" w:themeColor="text1"/>
          <w:lang w:val="en-US"/>
        </w:rPr>
        <w:instrText>particle</w:instrText>
      </w:r>
      <w:r w:rsidR="00F3553D" w:rsidRPr="00320416">
        <w:rPr>
          <w:color w:val="000000" w:themeColor="text1"/>
        </w:rPr>
        <w:instrText>":"","</w:instrText>
      </w:r>
      <w:r w:rsidR="00F3553D" w:rsidRPr="00095D58">
        <w:rPr>
          <w:color w:val="000000" w:themeColor="text1"/>
          <w:lang w:val="en-US"/>
        </w:rPr>
        <w:instrText>parse</w:instrText>
      </w:r>
      <w:r w:rsidR="00F3553D" w:rsidRPr="00320416">
        <w:rPr>
          <w:color w:val="000000" w:themeColor="text1"/>
        </w:rPr>
        <w:instrText>-</w:instrText>
      </w:r>
      <w:r w:rsidR="00F3553D" w:rsidRPr="00095D58">
        <w:rPr>
          <w:color w:val="000000" w:themeColor="text1"/>
          <w:lang w:val="en-US"/>
        </w:rPr>
        <w:instrText>names</w:instrText>
      </w:r>
      <w:r w:rsidR="00F3553D" w:rsidRPr="00320416">
        <w:rPr>
          <w:color w:val="000000" w:themeColor="text1"/>
        </w:rPr>
        <w:instrText>":</w:instrText>
      </w:r>
      <w:r w:rsidR="00F3553D" w:rsidRPr="00095D58">
        <w:rPr>
          <w:color w:val="000000" w:themeColor="text1"/>
          <w:lang w:val="en-US"/>
        </w:rPr>
        <w:instrText>false</w:instrText>
      </w:r>
      <w:r w:rsidR="00F3553D" w:rsidRPr="00320416">
        <w:rPr>
          <w:color w:val="000000" w:themeColor="text1"/>
        </w:rPr>
        <w:instrText>,"</w:instrText>
      </w:r>
      <w:r w:rsidR="00F3553D" w:rsidRPr="00095D58">
        <w:rPr>
          <w:color w:val="000000" w:themeColor="text1"/>
          <w:lang w:val="en-US"/>
        </w:rPr>
        <w:instrText>suffix</w:instrText>
      </w:r>
      <w:r w:rsidR="00F3553D" w:rsidRPr="00320416">
        <w:rPr>
          <w:color w:val="000000" w:themeColor="text1"/>
        </w:rPr>
        <w:instrText>":""}],"</w:instrText>
      </w:r>
      <w:r w:rsidR="00F3553D" w:rsidRPr="00095D58">
        <w:rPr>
          <w:color w:val="000000" w:themeColor="text1"/>
          <w:lang w:val="en-US"/>
        </w:rPr>
        <w:instrText>container</w:instrText>
      </w:r>
      <w:r w:rsidR="00F3553D" w:rsidRPr="00320416">
        <w:rPr>
          <w:color w:val="000000" w:themeColor="text1"/>
        </w:rPr>
        <w:instrText>-</w:instrText>
      </w:r>
      <w:r w:rsidR="00F3553D" w:rsidRPr="00095D58">
        <w:rPr>
          <w:color w:val="000000" w:themeColor="text1"/>
          <w:lang w:val="en-US"/>
        </w:rPr>
        <w:instrText>title</w:instrText>
      </w:r>
      <w:r w:rsidR="00F3553D" w:rsidRPr="00320416">
        <w:rPr>
          <w:color w:val="000000" w:themeColor="text1"/>
        </w:rPr>
        <w:instrText>":"</w:instrText>
      </w:r>
      <w:r w:rsidR="00F3553D" w:rsidRPr="00095D58">
        <w:rPr>
          <w:color w:val="000000" w:themeColor="text1"/>
          <w:lang w:val="en-US"/>
        </w:rPr>
        <w:instrText>Nature</w:instrText>
      </w:r>
      <w:r w:rsidR="00F3553D" w:rsidRPr="00320416">
        <w:rPr>
          <w:color w:val="000000" w:themeColor="text1"/>
        </w:rPr>
        <w:instrText>","</w:instrText>
      </w:r>
      <w:r w:rsidR="00F3553D" w:rsidRPr="00095D58">
        <w:rPr>
          <w:color w:val="000000" w:themeColor="text1"/>
          <w:lang w:val="en-US"/>
        </w:rPr>
        <w:instrText>id</w:instrText>
      </w:r>
      <w:r w:rsidR="00F3553D" w:rsidRPr="00320416">
        <w:rPr>
          <w:color w:val="000000" w:themeColor="text1"/>
        </w:rPr>
        <w:instrText>":"</w:instrText>
      </w:r>
      <w:r w:rsidR="00F3553D" w:rsidRPr="00095D58">
        <w:rPr>
          <w:color w:val="000000" w:themeColor="text1"/>
          <w:lang w:val="en-US"/>
        </w:rPr>
        <w:instrText>ITEM</w:instrText>
      </w:r>
      <w:r w:rsidR="00F3553D" w:rsidRPr="00320416">
        <w:rPr>
          <w:color w:val="000000" w:themeColor="text1"/>
        </w:rPr>
        <w:instrText>-2","</w:instrText>
      </w:r>
      <w:r w:rsidR="00F3553D" w:rsidRPr="00095D58">
        <w:rPr>
          <w:color w:val="000000" w:themeColor="text1"/>
          <w:lang w:val="en-US"/>
        </w:rPr>
        <w:instrText>issue</w:instrText>
      </w:r>
      <w:r w:rsidR="00F3553D" w:rsidRPr="00320416">
        <w:rPr>
          <w:color w:val="000000" w:themeColor="text1"/>
        </w:rPr>
        <w:instrText>":"7338","</w:instrText>
      </w:r>
      <w:r w:rsidR="00F3553D" w:rsidRPr="00095D58">
        <w:rPr>
          <w:color w:val="000000" w:themeColor="text1"/>
          <w:lang w:val="en-US"/>
        </w:rPr>
        <w:instrText>issued</w:instrText>
      </w:r>
      <w:r w:rsidR="00F3553D" w:rsidRPr="00320416">
        <w:rPr>
          <w:color w:val="000000" w:themeColor="text1"/>
        </w:rPr>
        <w:instrText>":{"</w:instrText>
      </w:r>
      <w:r w:rsidR="00F3553D" w:rsidRPr="00095D58">
        <w:rPr>
          <w:color w:val="000000" w:themeColor="text1"/>
          <w:lang w:val="en-US"/>
        </w:rPr>
        <w:instrText>date</w:instrText>
      </w:r>
      <w:r w:rsidR="00F3553D" w:rsidRPr="00320416">
        <w:rPr>
          <w:color w:val="000000" w:themeColor="text1"/>
        </w:rPr>
        <w:instrText>-</w:instrText>
      </w:r>
      <w:r w:rsidR="00F3553D" w:rsidRPr="00095D58">
        <w:rPr>
          <w:color w:val="000000" w:themeColor="text1"/>
          <w:lang w:val="en-US"/>
        </w:rPr>
        <w:instrText>parts</w:instrText>
      </w:r>
      <w:r w:rsidR="00F3553D" w:rsidRPr="00320416">
        <w:rPr>
          <w:color w:val="000000" w:themeColor="text1"/>
        </w:rPr>
        <w:instrText>":[["2011","3","17"]]},"</w:instrText>
      </w:r>
      <w:r w:rsidR="00F3553D" w:rsidRPr="00095D58">
        <w:rPr>
          <w:color w:val="000000" w:themeColor="text1"/>
          <w:lang w:val="en-US"/>
        </w:rPr>
        <w:instrText>page</w:instrText>
      </w:r>
      <w:r w:rsidR="00F3553D" w:rsidRPr="00320416">
        <w:rPr>
          <w:color w:val="000000" w:themeColor="text1"/>
        </w:rPr>
        <w:instrText>":"377-383","</w:instrText>
      </w:r>
      <w:r w:rsidR="00F3553D" w:rsidRPr="00095D58">
        <w:rPr>
          <w:color w:val="000000" w:themeColor="text1"/>
          <w:lang w:val="en-US"/>
        </w:rPr>
        <w:instrText>publisher</w:instrText>
      </w:r>
      <w:r w:rsidR="00F3553D" w:rsidRPr="00320416">
        <w:rPr>
          <w:color w:val="000000" w:themeColor="text1"/>
        </w:rPr>
        <w:instrText>":"</w:instrText>
      </w:r>
      <w:r w:rsidR="00F3553D" w:rsidRPr="00095D58">
        <w:rPr>
          <w:color w:val="000000" w:themeColor="text1"/>
          <w:lang w:val="en-US"/>
        </w:rPr>
        <w:instrText>Nature</w:instrText>
      </w:r>
      <w:r w:rsidR="00F3553D" w:rsidRPr="00320416">
        <w:rPr>
          <w:color w:val="000000" w:themeColor="text1"/>
        </w:rPr>
        <w:instrText>","</w:instrText>
      </w:r>
      <w:r w:rsidR="00F3553D" w:rsidRPr="00095D58">
        <w:rPr>
          <w:color w:val="000000" w:themeColor="text1"/>
          <w:lang w:val="en-US"/>
        </w:rPr>
        <w:instrText>title</w:instrText>
      </w:r>
      <w:r w:rsidR="00F3553D" w:rsidRPr="00320416">
        <w:rPr>
          <w:color w:val="000000" w:themeColor="text1"/>
        </w:rPr>
        <w:instrText>":"</w:instrText>
      </w:r>
      <w:r w:rsidR="00F3553D" w:rsidRPr="00095D58">
        <w:rPr>
          <w:color w:val="000000" w:themeColor="text1"/>
          <w:lang w:val="en-US"/>
        </w:rPr>
        <w:instrText>MHC</w:instrText>
      </w:r>
      <w:r w:rsidR="00F3553D" w:rsidRPr="00320416">
        <w:rPr>
          <w:color w:val="000000" w:themeColor="text1"/>
        </w:rPr>
        <w:instrText xml:space="preserve"> </w:instrText>
      </w:r>
      <w:r w:rsidR="00F3553D" w:rsidRPr="00095D58">
        <w:rPr>
          <w:color w:val="000000" w:themeColor="text1"/>
          <w:lang w:val="en-US"/>
        </w:rPr>
        <w:instrText>class</w:instrText>
      </w:r>
      <w:r w:rsidR="00F3553D" w:rsidRPr="00320416">
        <w:rPr>
          <w:color w:val="000000" w:themeColor="text1"/>
        </w:rPr>
        <w:instrText xml:space="preserve"> </w:instrText>
      </w:r>
      <w:r w:rsidR="00F3553D" w:rsidRPr="00095D58">
        <w:rPr>
          <w:color w:val="000000" w:themeColor="text1"/>
          <w:lang w:val="en-US"/>
        </w:rPr>
        <w:instrText>II</w:instrText>
      </w:r>
      <w:r w:rsidR="00F3553D" w:rsidRPr="00320416">
        <w:rPr>
          <w:color w:val="000000" w:themeColor="text1"/>
        </w:rPr>
        <w:instrText xml:space="preserve"> </w:instrText>
      </w:r>
      <w:r w:rsidR="00F3553D" w:rsidRPr="00095D58">
        <w:rPr>
          <w:color w:val="000000" w:themeColor="text1"/>
          <w:lang w:val="en-US"/>
        </w:rPr>
        <w:instrText>transactivator</w:instrText>
      </w:r>
      <w:r w:rsidR="00F3553D" w:rsidRPr="00320416">
        <w:rPr>
          <w:color w:val="000000" w:themeColor="text1"/>
        </w:rPr>
        <w:instrText xml:space="preserve"> </w:instrText>
      </w:r>
      <w:r w:rsidR="00F3553D" w:rsidRPr="00095D58">
        <w:rPr>
          <w:color w:val="000000" w:themeColor="text1"/>
          <w:lang w:val="en-US"/>
        </w:rPr>
        <w:instrText>CIITA</w:instrText>
      </w:r>
      <w:r w:rsidR="00F3553D" w:rsidRPr="00320416">
        <w:rPr>
          <w:color w:val="000000" w:themeColor="text1"/>
        </w:rPr>
        <w:instrText xml:space="preserve"> </w:instrText>
      </w:r>
      <w:r w:rsidR="00F3553D" w:rsidRPr="00095D58">
        <w:rPr>
          <w:color w:val="000000" w:themeColor="text1"/>
          <w:lang w:val="en-US"/>
        </w:rPr>
        <w:instrText>is</w:instrText>
      </w:r>
      <w:r w:rsidR="00F3553D" w:rsidRPr="00320416">
        <w:rPr>
          <w:color w:val="000000" w:themeColor="text1"/>
        </w:rPr>
        <w:instrText xml:space="preserve"> </w:instrText>
      </w:r>
      <w:r w:rsidR="00F3553D" w:rsidRPr="00095D58">
        <w:rPr>
          <w:color w:val="000000" w:themeColor="text1"/>
          <w:lang w:val="en-US"/>
        </w:rPr>
        <w:instrText>a</w:instrText>
      </w:r>
      <w:r w:rsidR="00F3553D" w:rsidRPr="00320416">
        <w:rPr>
          <w:color w:val="000000" w:themeColor="text1"/>
        </w:rPr>
        <w:instrText xml:space="preserve"> </w:instrText>
      </w:r>
      <w:r w:rsidR="00F3553D" w:rsidRPr="00095D58">
        <w:rPr>
          <w:color w:val="000000" w:themeColor="text1"/>
          <w:lang w:val="en-US"/>
        </w:rPr>
        <w:instrText>recurrent</w:instrText>
      </w:r>
      <w:r w:rsidR="00F3553D" w:rsidRPr="00320416">
        <w:rPr>
          <w:color w:val="000000" w:themeColor="text1"/>
        </w:rPr>
        <w:instrText xml:space="preserve"> </w:instrText>
      </w:r>
      <w:r w:rsidR="00F3553D" w:rsidRPr="00095D58">
        <w:rPr>
          <w:color w:val="000000" w:themeColor="text1"/>
          <w:lang w:val="en-US"/>
        </w:rPr>
        <w:instrText>gene</w:instrText>
      </w:r>
      <w:r w:rsidR="00F3553D" w:rsidRPr="00320416">
        <w:rPr>
          <w:color w:val="000000" w:themeColor="text1"/>
        </w:rPr>
        <w:instrText xml:space="preserve"> </w:instrText>
      </w:r>
      <w:r w:rsidR="00F3553D" w:rsidRPr="00095D58">
        <w:rPr>
          <w:color w:val="000000" w:themeColor="text1"/>
          <w:lang w:val="en-US"/>
        </w:rPr>
        <w:instrText>fusion</w:instrText>
      </w:r>
      <w:r w:rsidR="00F3553D" w:rsidRPr="00320416">
        <w:rPr>
          <w:color w:val="000000" w:themeColor="text1"/>
        </w:rPr>
        <w:instrText xml:space="preserve"> </w:instrText>
      </w:r>
      <w:r w:rsidR="00F3553D" w:rsidRPr="00095D58">
        <w:rPr>
          <w:color w:val="000000" w:themeColor="text1"/>
          <w:lang w:val="en-US"/>
        </w:rPr>
        <w:instrText>partner</w:instrText>
      </w:r>
      <w:r w:rsidR="00F3553D" w:rsidRPr="00320416">
        <w:rPr>
          <w:color w:val="000000" w:themeColor="text1"/>
        </w:rPr>
        <w:instrText xml:space="preserve"> </w:instrText>
      </w:r>
      <w:r w:rsidR="00F3553D" w:rsidRPr="00095D58">
        <w:rPr>
          <w:color w:val="000000" w:themeColor="text1"/>
          <w:lang w:val="en-US"/>
        </w:rPr>
        <w:instrText>in</w:instrText>
      </w:r>
      <w:r w:rsidR="00F3553D" w:rsidRPr="00320416">
        <w:rPr>
          <w:color w:val="000000" w:themeColor="text1"/>
        </w:rPr>
        <w:instrText xml:space="preserve"> </w:instrText>
      </w:r>
      <w:r w:rsidR="00F3553D" w:rsidRPr="00095D58">
        <w:rPr>
          <w:color w:val="000000" w:themeColor="text1"/>
          <w:lang w:val="en-US"/>
        </w:rPr>
        <w:instrText>lymphoid</w:instrText>
      </w:r>
      <w:r w:rsidR="00F3553D" w:rsidRPr="00320416">
        <w:rPr>
          <w:color w:val="000000" w:themeColor="text1"/>
        </w:rPr>
        <w:instrText xml:space="preserve"> </w:instrText>
      </w:r>
      <w:r w:rsidR="00F3553D" w:rsidRPr="00095D58">
        <w:rPr>
          <w:color w:val="000000" w:themeColor="text1"/>
          <w:lang w:val="en-US"/>
        </w:rPr>
        <w:instrText>cancers</w:instrText>
      </w:r>
      <w:r w:rsidR="00F3553D" w:rsidRPr="00320416">
        <w:rPr>
          <w:color w:val="000000" w:themeColor="text1"/>
        </w:rPr>
        <w:instrText>","</w:instrText>
      </w:r>
      <w:r w:rsidR="00F3553D" w:rsidRPr="00095D58">
        <w:rPr>
          <w:color w:val="000000" w:themeColor="text1"/>
          <w:lang w:val="en-US"/>
        </w:rPr>
        <w:instrText>type</w:instrText>
      </w:r>
      <w:r w:rsidR="00F3553D" w:rsidRPr="00320416">
        <w:rPr>
          <w:color w:val="000000" w:themeColor="text1"/>
        </w:rPr>
        <w:instrText>":"</w:instrText>
      </w:r>
      <w:r w:rsidR="00F3553D" w:rsidRPr="00095D58">
        <w:rPr>
          <w:color w:val="000000" w:themeColor="text1"/>
          <w:lang w:val="en-US"/>
        </w:rPr>
        <w:instrText>article</w:instrText>
      </w:r>
      <w:r w:rsidR="00F3553D" w:rsidRPr="00320416">
        <w:rPr>
          <w:color w:val="000000" w:themeColor="text1"/>
        </w:rPr>
        <w:instrText>-</w:instrText>
      </w:r>
      <w:r w:rsidR="00F3553D" w:rsidRPr="00095D58">
        <w:rPr>
          <w:color w:val="000000" w:themeColor="text1"/>
          <w:lang w:val="en-US"/>
        </w:rPr>
        <w:instrText>journal</w:instrText>
      </w:r>
      <w:r w:rsidR="00F3553D" w:rsidRPr="00320416">
        <w:rPr>
          <w:color w:val="000000" w:themeColor="text1"/>
        </w:rPr>
        <w:instrText>","</w:instrText>
      </w:r>
      <w:r w:rsidR="00F3553D" w:rsidRPr="00095D58">
        <w:rPr>
          <w:color w:val="000000" w:themeColor="text1"/>
          <w:lang w:val="en-US"/>
        </w:rPr>
        <w:instrText>volume</w:instrText>
      </w:r>
      <w:r w:rsidR="00F3553D" w:rsidRPr="00320416">
        <w:rPr>
          <w:color w:val="000000" w:themeColor="text1"/>
        </w:rPr>
        <w:instrText>":"471"},"</w:instrText>
      </w:r>
      <w:r w:rsidR="00F3553D" w:rsidRPr="00095D58">
        <w:rPr>
          <w:color w:val="000000" w:themeColor="text1"/>
          <w:lang w:val="en-US"/>
        </w:rPr>
        <w:instrText>uris</w:instrText>
      </w:r>
      <w:r w:rsidR="00F3553D" w:rsidRPr="00320416">
        <w:rPr>
          <w:color w:val="000000" w:themeColor="text1"/>
        </w:rPr>
        <w:instrText>":["</w:instrText>
      </w:r>
      <w:r w:rsidR="00F3553D" w:rsidRPr="00095D58">
        <w:rPr>
          <w:color w:val="000000" w:themeColor="text1"/>
          <w:lang w:val="en-US"/>
        </w:rPr>
        <w:instrText>http</w:instrText>
      </w:r>
      <w:r w:rsidR="00F3553D" w:rsidRPr="00320416">
        <w:rPr>
          <w:color w:val="000000" w:themeColor="text1"/>
        </w:rPr>
        <w:instrText>://</w:instrText>
      </w:r>
      <w:r w:rsidR="00F3553D" w:rsidRPr="00095D58">
        <w:rPr>
          <w:color w:val="000000" w:themeColor="text1"/>
          <w:lang w:val="en-US"/>
        </w:rPr>
        <w:instrText>www</w:instrText>
      </w:r>
      <w:r w:rsidR="00F3553D" w:rsidRPr="00320416">
        <w:rPr>
          <w:color w:val="000000" w:themeColor="text1"/>
        </w:rPr>
        <w:instrText>.</w:instrText>
      </w:r>
      <w:r w:rsidR="00F3553D" w:rsidRPr="00095D58">
        <w:rPr>
          <w:color w:val="000000" w:themeColor="text1"/>
          <w:lang w:val="en-US"/>
        </w:rPr>
        <w:instrText>mendeley</w:instrText>
      </w:r>
      <w:r w:rsidR="00F3553D" w:rsidRPr="00320416">
        <w:rPr>
          <w:color w:val="000000" w:themeColor="text1"/>
        </w:rPr>
        <w:instrText>.</w:instrText>
      </w:r>
      <w:r w:rsidR="00F3553D" w:rsidRPr="00095D58">
        <w:rPr>
          <w:color w:val="000000" w:themeColor="text1"/>
          <w:lang w:val="en-US"/>
        </w:rPr>
        <w:instrText>com</w:instrText>
      </w:r>
      <w:r w:rsidR="00F3553D" w:rsidRPr="00320416">
        <w:rPr>
          <w:color w:val="000000" w:themeColor="text1"/>
        </w:rPr>
        <w:instrText>/</w:instrText>
      </w:r>
      <w:r w:rsidR="00F3553D" w:rsidRPr="00095D58">
        <w:rPr>
          <w:color w:val="000000" w:themeColor="text1"/>
          <w:lang w:val="en-US"/>
        </w:rPr>
        <w:instrText>documents</w:instrText>
      </w:r>
      <w:r w:rsidR="00F3553D" w:rsidRPr="00320416">
        <w:rPr>
          <w:color w:val="000000" w:themeColor="text1"/>
        </w:rPr>
        <w:instrText>/?</w:instrText>
      </w:r>
      <w:r w:rsidR="00F3553D" w:rsidRPr="00095D58">
        <w:rPr>
          <w:color w:val="000000" w:themeColor="text1"/>
          <w:lang w:val="en-US"/>
        </w:rPr>
        <w:instrText>uuid</w:instrText>
      </w:r>
      <w:r w:rsidR="00F3553D" w:rsidRPr="00320416">
        <w:rPr>
          <w:color w:val="000000" w:themeColor="text1"/>
        </w:rPr>
        <w:instrText>=8</w:instrText>
      </w:r>
      <w:r w:rsidR="00F3553D" w:rsidRPr="00095D58">
        <w:rPr>
          <w:color w:val="000000" w:themeColor="text1"/>
          <w:lang w:val="en-US"/>
        </w:rPr>
        <w:instrText>f</w:instrText>
      </w:r>
      <w:r w:rsidR="00F3553D" w:rsidRPr="00320416">
        <w:rPr>
          <w:color w:val="000000" w:themeColor="text1"/>
        </w:rPr>
        <w:instrText>3</w:instrText>
      </w:r>
      <w:r w:rsidR="00F3553D" w:rsidRPr="00095D58">
        <w:rPr>
          <w:color w:val="000000" w:themeColor="text1"/>
          <w:lang w:val="en-US"/>
        </w:rPr>
        <w:instrText>ccc</w:instrText>
      </w:r>
      <w:r w:rsidR="00F3553D" w:rsidRPr="00320416">
        <w:rPr>
          <w:color w:val="000000" w:themeColor="text1"/>
        </w:rPr>
        <w:instrText>51-1564-3</w:instrText>
      </w:r>
      <w:r w:rsidR="00F3553D" w:rsidRPr="00095D58">
        <w:rPr>
          <w:color w:val="000000" w:themeColor="text1"/>
          <w:lang w:val="en-US"/>
        </w:rPr>
        <w:instrText>b</w:instrText>
      </w:r>
      <w:r w:rsidR="00F3553D" w:rsidRPr="00320416">
        <w:rPr>
          <w:color w:val="000000" w:themeColor="text1"/>
        </w:rPr>
        <w:instrText>76-</w:instrText>
      </w:r>
      <w:r w:rsidR="00F3553D" w:rsidRPr="00095D58">
        <w:rPr>
          <w:color w:val="000000" w:themeColor="text1"/>
          <w:lang w:val="en-US"/>
        </w:rPr>
        <w:instrText>ba</w:instrText>
      </w:r>
      <w:r w:rsidR="00F3553D" w:rsidRPr="00320416">
        <w:rPr>
          <w:color w:val="000000" w:themeColor="text1"/>
        </w:rPr>
        <w:instrText>13-2</w:instrText>
      </w:r>
      <w:r w:rsidR="00F3553D" w:rsidRPr="00095D58">
        <w:rPr>
          <w:color w:val="000000" w:themeColor="text1"/>
          <w:lang w:val="en-US"/>
        </w:rPr>
        <w:instrText>a</w:instrText>
      </w:r>
      <w:r w:rsidR="00F3553D" w:rsidRPr="00320416">
        <w:rPr>
          <w:color w:val="000000" w:themeColor="text1"/>
        </w:rPr>
        <w:instrText>9449</w:instrText>
      </w:r>
      <w:r w:rsidR="00F3553D" w:rsidRPr="00095D58">
        <w:rPr>
          <w:color w:val="000000" w:themeColor="text1"/>
          <w:lang w:val="en-US"/>
        </w:rPr>
        <w:instrText>b</w:instrText>
      </w:r>
      <w:r w:rsidR="00F3553D" w:rsidRPr="00320416">
        <w:rPr>
          <w:color w:val="000000" w:themeColor="text1"/>
        </w:rPr>
        <w:instrText>771</w:instrText>
      </w:r>
      <w:r w:rsidR="00F3553D" w:rsidRPr="00095D58">
        <w:rPr>
          <w:color w:val="000000" w:themeColor="text1"/>
          <w:lang w:val="en-US"/>
        </w:rPr>
        <w:instrText>b</w:instrText>
      </w:r>
      <w:r w:rsidR="00F3553D" w:rsidRPr="00320416">
        <w:rPr>
          <w:color w:val="000000" w:themeColor="text1"/>
        </w:rPr>
        <w:instrText>0"]}],"</w:instrText>
      </w:r>
      <w:r w:rsidR="00F3553D" w:rsidRPr="00095D58">
        <w:rPr>
          <w:color w:val="000000" w:themeColor="text1"/>
          <w:lang w:val="en-US"/>
        </w:rPr>
        <w:instrText>mendeley</w:instrText>
      </w:r>
      <w:r w:rsidR="00F3553D" w:rsidRPr="00320416">
        <w:rPr>
          <w:color w:val="000000" w:themeColor="text1"/>
        </w:rPr>
        <w:instrText>":{"</w:instrText>
      </w:r>
      <w:r w:rsidR="00F3553D" w:rsidRPr="00095D58">
        <w:rPr>
          <w:color w:val="000000" w:themeColor="text1"/>
          <w:lang w:val="en-US"/>
        </w:rPr>
        <w:instrText>formattedCitation</w:instrText>
      </w:r>
      <w:r w:rsidR="00F3553D" w:rsidRPr="00320416">
        <w:rPr>
          <w:color w:val="000000" w:themeColor="text1"/>
        </w:rPr>
        <w:instrText>":"[16,17]","</w:instrText>
      </w:r>
      <w:r w:rsidR="00F3553D" w:rsidRPr="00095D58">
        <w:rPr>
          <w:color w:val="000000" w:themeColor="text1"/>
          <w:lang w:val="en-US"/>
        </w:rPr>
        <w:instrText>plainTextFormattedCitation</w:instrText>
      </w:r>
      <w:r w:rsidR="00F3553D" w:rsidRPr="00320416">
        <w:rPr>
          <w:color w:val="000000" w:themeColor="text1"/>
        </w:rPr>
        <w:instrText>":"[16,17]","</w:instrText>
      </w:r>
      <w:r w:rsidR="00F3553D" w:rsidRPr="00095D58">
        <w:rPr>
          <w:color w:val="000000" w:themeColor="text1"/>
          <w:lang w:val="en-US"/>
        </w:rPr>
        <w:instrText>previouslyFormattedCitation</w:instrText>
      </w:r>
      <w:r w:rsidR="00F3553D" w:rsidRPr="00320416">
        <w:rPr>
          <w:color w:val="000000" w:themeColor="text1"/>
        </w:rPr>
        <w:instrText>":"[16,17]"},"</w:instrText>
      </w:r>
      <w:r w:rsidR="00F3553D" w:rsidRPr="00095D58">
        <w:rPr>
          <w:color w:val="000000" w:themeColor="text1"/>
          <w:lang w:val="en-US"/>
        </w:rPr>
        <w:instrText>properties</w:instrText>
      </w:r>
      <w:r w:rsidR="00F3553D" w:rsidRPr="00320416">
        <w:rPr>
          <w:color w:val="000000" w:themeColor="text1"/>
        </w:rPr>
        <w:instrText>":{"</w:instrText>
      </w:r>
      <w:r w:rsidR="00F3553D" w:rsidRPr="00095D58">
        <w:rPr>
          <w:color w:val="000000" w:themeColor="text1"/>
          <w:lang w:val="en-US"/>
        </w:rPr>
        <w:instrText>noteIndex</w:instrText>
      </w:r>
      <w:r w:rsidR="00F3553D" w:rsidRPr="00320416">
        <w:rPr>
          <w:color w:val="000000" w:themeColor="text1"/>
        </w:rPr>
        <w:instrText>":0},"</w:instrText>
      </w:r>
      <w:r w:rsidR="00F3553D" w:rsidRPr="00095D58">
        <w:rPr>
          <w:color w:val="000000" w:themeColor="text1"/>
          <w:lang w:val="en-US"/>
        </w:rPr>
        <w:instrText>schema</w:instrText>
      </w:r>
      <w:r w:rsidR="00F3553D" w:rsidRPr="00320416">
        <w:rPr>
          <w:color w:val="000000" w:themeColor="text1"/>
        </w:rPr>
        <w:instrText>":"</w:instrText>
      </w:r>
      <w:r w:rsidR="00F3553D" w:rsidRPr="00095D58">
        <w:rPr>
          <w:color w:val="000000" w:themeColor="text1"/>
          <w:lang w:val="en-US"/>
        </w:rPr>
        <w:instrText>https</w:instrText>
      </w:r>
      <w:r w:rsidR="00F3553D" w:rsidRPr="00320416">
        <w:rPr>
          <w:color w:val="000000" w:themeColor="text1"/>
        </w:rPr>
        <w:instrText>://</w:instrText>
      </w:r>
      <w:r w:rsidR="00F3553D" w:rsidRPr="00095D58">
        <w:rPr>
          <w:color w:val="000000" w:themeColor="text1"/>
          <w:lang w:val="en-US"/>
        </w:rPr>
        <w:instrText>github</w:instrText>
      </w:r>
      <w:r w:rsidR="00F3553D" w:rsidRPr="00320416">
        <w:rPr>
          <w:color w:val="000000" w:themeColor="text1"/>
        </w:rPr>
        <w:instrText>.</w:instrText>
      </w:r>
      <w:r w:rsidR="00F3553D" w:rsidRPr="00095D58">
        <w:rPr>
          <w:color w:val="000000" w:themeColor="text1"/>
          <w:lang w:val="en-US"/>
        </w:rPr>
        <w:instrText>com</w:instrText>
      </w:r>
      <w:r w:rsidR="00F3553D" w:rsidRPr="00320416">
        <w:rPr>
          <w:color w:val="000000" w:themeColor="text1"/>
        </w:rPr>
        <w:instrText>/</w:instrText>
      </w:r>
      <w:r w:rsidR="00F3553D" w:rsidRPr="00095D58">
        <w:rPr>
          <w:color w:val="000000" w:themeColor="text1"/>
          <w:lang w:val="en-US"/>
        </w:rPr>
        <w:instrText>citation</w:instrText>
      </w:r>
      <w:r w:rsidR="00F3553D" w:rsidRPr="00320416">
        <w:rPr>
          <w:color w:val="000000" w:themeColor="text1"/>
        </w:rPr>
        <w:instrText>-</w:instrText>
      </w:r>
      <w:r w:rsidR="00F3553D" w:rsidRPr="00095D58">
        <w:rPr>
          <w:color w:val="000000" w:themeColor="text1"/>
          <w:lang w:val="en-US"/>
        </w:rPr>
        <w:instrText>style</w:instrText>
      </w:r>
      <w:r w:rsidR="00F3553D" w:rsidRPr="00320416">
        <w:rPr>
          <w:color w:val="000000" w:themeColor="text1"/>
        </w:rPr>
        <w:instrText>-</w:instrText>
      </w:r>
      <w:r w:rsidR="00F3553D" w:rsidRPr="00095D58">
        <w:rPr>
          <w:color w:val="000000" w:themeColor="text1"/>
          <w:lang w:val="en-US"/>
        </w:rPr>
        <w:instrText>language</w:instrText>
      </w:r>
      <w:r w:rsidR="00F3553D" w:rsidRPr="00320416">
        <w:rPr>
          <w:color w:val="000000" w:themeColor="text1"/>
        </w:rPr>
        <w:instrText>/</w:instrText>
      </w:r>
      <w:r w:rsidR="00F3553D" w:rsidRPr="00095D58">
        <w:rPr>
          <w:color w:val="000000" w:themeColor="text1"/>
          <w:lang w:val="en-US"/>
        </w:rPr>
        <w:instrText>schema</w:instrText>
      </w:r>
      <w:r w:rsidR="00F3553D" w:rsidRPr="00320416">
        <w:rPr>
          <w:color w:val="000000" w:themeColor="text1"/>
        </w:rPr>
        <w:instrText>/</w:instrText>
      </w:r>
      <w:r w:rsidR="00F3553D" w:rsidRPr="00095D58">
        <w:rPr>
          <w:color w:val="000000" w:themeColor="text1"/>
          <w:lang w:val="en-US"/>
        </w:rPr>
        <w:instrText>raw</w:instrText>
      </w:r>
      <w:r w:rsidR="00F3553D" w:rsidRPr="00320416">
        <w:rPr>
          <w:color w:val="000000" w:themeColor="text1"/>
        </w:rPr>
        <w:instrText>/</w:instrText>
      </w:r>
      <w:r w:rsidR="00F3553D" w:rsidRPr="00095D58">
        <w:rPr>
          <w:color w:val="000000" w:themeColor="text1"/>
          <w:lang w:val="en-US"/>
        </w:rPr>
        <w:instrText>master</w:instrText>
      </w:r>
      <w:r w:rsidR="00F3553D" w:rsidRPr="00320416">
        <w:rPr>
          <w:color w:val="000000" w:themeColor="text1"/>
        </w:rPr>
        <w:instrText>/</w:instrText>
      </w:r>
      <w:r w:rsidR="00F3553D" w:rsidRPr="00095D58">
        <w:rPr>
          <w:color w:val="000000" w:themeColor="text1"/>
          <w:lang w:val="en-US"/>
        </w:rPr>
        <w:instrText>csl</w:instrText>
      </w:r>
      <w:r w:rsidR="00F3553D" w:rsidRPr="00320416">
        <w:rPr>
          <w:color w:val="000000" w:themeColor="text1"/>
        </w:rPr>
        <w:instrText>-</w:instrText>
      </w:r>
      <w:r w:rsidR="00F3553D" w:rsidRPr="00095D58">
        <w:rPr>
          <w:color w:val="000000" w:themeColor="text1"/>
          <w:lang w:val="en-US"/>
        </w:rPr>
        <w:instrText>citation</w:instrText>
      </w:r>
      <w:r w:rsidR="00F3553D" w:rsidRPr="00320416">
        <w:rPr>
          <w:color w:val="000000" w:themeColor="text1"/>
        </w:rPr>
        <w:instrText>.</w:instrText>
      </w:r>
      <w:r w:rsidR="00F3553D" w:rsidRPr="00095D58">
        <w:rPr>
          <w:color w:val="000000" w:themeColor="text1"/>
          <w:lang w:val="en-US"/>
        </w:rPr>
        <w:instrText>json</w:instrText>
      </w:r>
      <w:r w:rsidR="00F3553D" w:rsidRPr="00320416">
        <w:rPr>
          <w:color w:val="000000" w:themeColor="text1"/>
        </w:rPr>
        <w:instrText>"}</w:instrText>
      </w:r>
      <w:r w:rsidR="00F3553D" w:rsidRPr="00095D58">
        <w:rPr>
          <w:color w:val="000000" w:themeColor="text1"/>
        </w:rPr>
        <w:fldChar w:fldCharType="separate"/>
      </w:r>
      <w:r w:rsidR="00F3553D" w:rsidRPr="00320416">
        <w:rPr>
          <w:noProof/>
          <w:color w:val="000000" w:themeColor="text1"/>
        </w:rPr>
        <w:t>[16,17]</w:t>
      </w:r>
      <w:r w:rsidR="00F3553D" w:rsidRPr="00095D58">
        <w:rPr>
          <w:color w:val="000000" w:themeColor="text1"/>
        </w:rPr>
        <w:fldChar w:fldCharType="end"/>
      </w:r>
      <w:r w:rsidRPr="00320416">
        <w:rPr>
          <w:color w:val="000000" w:themeColor="text1"/>
        </w:rPr>
        <w:t xml:space="preserve">. </w:t>
      </w:r>
    </w:p>
    <w:p w14:paraId="779A74D3" w14:textId="2A1BD248" w:rsidR="00DA1F72" w:rsidRPr="000322E4" w:rsidRDefault="00DA1F72" w:rsidP="00CA442F">
      <w:pPr>
        <w:spacing w:line="360" w:lineRule="auto"/>
        <w:ind w:firstLine="709"/>
        <w:jc w:val="both"/>
      </w:pPr>
      <w:r w:rsidRPr="000322E4">
        <w:t xml:space="preserve">ЛБ делят на 3 варианта: эндемический, спорадический и иммунодефицит-ассоциированный </w:t>
      </w:r>
      <w:r w:rsidRPr="000322E4">
        <w:fldChar w:fldCharType="begin" w:fldLock="1"/>
      </w:r>
      <w:r w:rsidR="00AE0A1D">
        <w:instrText>ADDIN CSL_CITATION {"citationItems":[{"id":"ITEM-1","itemData":{"author":[{"dropping-particle":"","family":"Барях","given":"Е.А.","non-dropping-particle":"","parse-names":false,"suffix":""}],"container-title":"Российские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Савченко.","id":"ITEM-1","issued":{"date-parts":[["2018"]]},"page":"80-87","title":"Лимфома Беркитта","type":"chapter"},"uris":["http://www.mendeley.com/documents/?uuid=6c46cd48-7af0-4ac2-8eb1-93f86718c4df"]}],"mendeley":{"formattedCitation":"[4]","plainTextFormattedCitation":"[4]","previouslyFormattedCitation":"[4]"},"properties":{"noteIndex":0},"schema":"https://github.com/citation-style-language/schema/raw/master/csl-citation.json"}</w:instrText>
      </w:r>
      <w:r w:rsidRPr="000322E4">
        <w:fldChar w:fldCharType="separate"/>
      </w:r>
      <w:r w:rsidR="00726C75" w:rsidRPr="00726C75">
        <w:rPr>
          <w:noProof/>
        </w:rPr>
        <w:t>[4]</w:t>
      </w:r>
      <w:r w:rsidRPr="000322E4">
        <w:fldChar w:fldCharType="end"/>
      </w:r>
      <w:r w:rsidRPr="000322E4">
        <w:t>.</w:t>
      </w:r>
    </w:p>
    <w:p w14:paraId="7B80B211" w14:textId="77777777" w:rsidR="00DA1F72" w:rsidRPr="000322E4" w:rsidRDefault="00DA1F72" w:rsidP="00CA442F">
      <w:pPr>
        <w:spacing w:line="360" w:lineRule="auto"/>
        <w:ind w:firstLine="709"/>
        <w:jc w:val="both"/>
      </w:pPr>
      <w:r w:rsidRPr="000322E4">
        <w:lastRenderedPageBreak/>
        <w:t xml:space="preserve">Эндемический вариант ЛБ чаще всего встречается в странах экваториальной Африки и Папуа-Новой Гвинеи, в которых это заболевание составляет до 75% всех детских онкологических заболеваний. Заболевание ассоциировано с такими инфекционными агентами, как вирус Эпштейна-Барр (EBV) или малярийный плазмодий. В клинической картине часто наблюдается поражение лицевого скелета: верхней и нижней челюстей, орбиты, а также почек, яичек, яичников, слюнных, молочных желез и центральной нервной системы. </w:t>
      </w:r>
    </w:p>
    <w:p w14:paraId="133C3A47" w14:textId="77777777" w:rsidR="00DA1F72" w:rsidRPr="000322E4" w:rsidRDefault="00DA1F72" w:rsidP="00CA442F">
      <w:pPr>
        <w:spacing w:line="360" w:lineRule="auto"/>
        <w:ind w:firstLine="709"/>
        <w:jc w:val="both"/>
      </w:pPr>
      <w:r w:rsidRPr="000322E4">
        <w:t>Спорадический вариант ЛБ – типичная ЛБ по морфологическим, иммунофенотипическим и цитогенетическим признакам, возникающая вне эндемичной зоны.</w:t>
      </w:r>
    </w:p>
    <w:p w14:paraId="08947244" w14:textId="77777777" w:rsidR="00DA1F72" w:rsidRPr="000322E4" w:rsidRDefault="00DA1F72" w:rsidP="00CA442F">
      <w:pPr>
        <w:spacing w:line="360" w:lineRule="auto"/>
        <w:ind w:firstLine="709"/>
        <w:jc w:val="both"/>
      </w:pPr>
      <w:r w:rsidRPr="000322E4">
        <w:t>Иммунодефицит-ассоциированный вариант ЛБ – ЛБ, возникающая на фоне иммунодефицитных состояний (у больных ВИЧ-инфекцией, после трансплантации органов, у больных первичными иммунодефицитами). Чаще всего встречается у ВИЧ-инфицированных больных, причем на ранних этапах развития (до снижения CD4+ клеток). Болеют преимущественно мужчины. Частыми проявлениями заболевания являются лимфаденопатия, спленомегалия, вовлечение в опухолевый процесс костного мозга.</w:t>
      </w:r>
    </w:p>
    <w:p w14:paraId="41F03E38" w14:textId="77777777" w:rsidR="00B46390" w:rsidRPr="000322E4" w:rsidRDefault="00B46390" w:rsidP="00CA442F">
      <w:pPr>
        <w:pStyle w:val="2"/>
        <w:spacing w:before="0"/>
        <w:rPr>
          <w:color w:val="000000" w:themeColor="text1"/>
        </w:rPr>
      </w:pPr>
      <w:bookmarkStart w:id="14" w:name="_Toc96601230"/>
      <w:r w:rsidRPr="000322E4">
        <w:rPr>
          <w:color w:val="000000" w:themeColor="text1"/>
        </w:rPr>
        <w:t>1.3 Эпидемиология</w:t>
      </w:r>
      <w:r w:rsidR="00311757" w:rsidRPr="000322E4">
        <w:rPr>
          <w:color w:val="000000" w:themeColor="text1"/>
        </w:rPr>
        <w:t xml:space="preserve"> </w:t>
      </w:r>
      <w:r w:rsidR="00311757" w:rsidRPr="000322E4">
        <w:rPr>
          <w:color w:val="000000" w:themeColor="text1"/>
          <w:shd w:val="clear" w:color="auto" w:fill="FFFFFF"/>
        </w:rPr>
        <w:t>заболевания или состояния (группы заболеваний или состояний)</w:t>
      </w:r>
      <w:bookmarkEnd w:id="14"/>
    </w:p>
    <w:p w14:paraId="388FC7EE" w14:textId="3B8FFF0A" w:rsidR="00F5789A" w:rsidRDefault="002E6B0E" w:rsidP="00CA442F">
      <w:pPr>
        <w:spacing w:line="360" w:lineRule="auto"/>
        <w:ind w:firstLine="709"/>
        <w:jc w:val="both"/>
        <w:rPr>
          <w:rFonts w:eastAsia="Calibri" w:cstheme="minorHAnsi"/>
        </w:rPr>
      </w:pPr>
      <w:r w:rsidRPr="000322E4">
        <w:rPr>
          <w:rFonts w:eastAsia="Calibri" w:cstheme="minorHAnsi"/>
        </w:rPr>
        <w:t xml:space="preserve">Диффузная В-клеточная крупноклеточная лимфома (ДВКЛ) является наиболее </w:t>
      </w:r>
      <w:r w:rsidRPr="00544490">
        <w:rPr>
          <w:rFonts w:eastAsia="Calibri" w:cstheme="minorHAnsi"/>
        </w:rPr>
        <w:t xml:space="preserve">распространенным вариантом лимфопролиферативных заболеваний взрослых (30-40% от всех неходжкинских лимфом). </w:t>
      </w:r>
      <w:r w:rsidR="00E00568" w:rsidRPr="00544490">
        <w:rPr>
          <w:rFonts w:eastAsia="Calibri" w:cstheme="minorHAnsi"/>
        </w:rPr>
        <w:t>Заболеваемость составляет в среднем 4-5 на 100 000 населения, в</w:t>
      </w:r>
      <w:r w:rsidRPr="00544490">
        <w:rPr>
          <w:rFonts w:eastAsia="Calibri" w:cstheme="minorHAnsi"/>
        </w:rPr>
        <w:t xml:space="preserve"> возрасте до 18 лет частота этого варианта В-клеточной опухоли не превышает 8-10%.</w:t>
      </w:r>
      <w:r w:rsidR="00E00568" w:rsidRPr="00544490">
        <w:rPr>
          <w:rFonts w:eastAsia="Calibri" w:cstheme="minorHAnsi"/>
        </w:rPr>
        <w:t xml:space="preserve"> </w:t>
      </w:r>
      <w:r w:rsidRPr="00544490">
        <w:rPr>
          <w:rFonts w:eastAsia="Calibri" w:cstheme="minorHAnsi"/>
        </w:rPr>
        <w:t>Риск развития болезни выше у людей с серопозитивностью вируса гепатита С, при наличии</w:t>
      </w:r>
      <w:r w:rsidRPr="000322E4">
        <w:rPr>
          <w:rFonts w:eastAsia="Calibri" w:cstheme="minorHAnsi"/>
        </w:rPr>
        <w:t xml:space="preserve"> вируса иммунодефицита человека (ВИЧ), аутоиммунных заболеваний. Медиана возраста составляет примерно 60 лет, мужчины и женщины болеют ДВКЛ почти </w:t>
      </w:r>
      <w:r w:rsidRPr="000322E4">
        <w:rPr>
          <w:rFonts w:eastAsia="Calibri" w:cstheme="minorHAnsi"/>
          <w:lang w:val="en-US"/>
        </w:rPr>
        <w:t>c</w:t>
      </w:r>
      <w:r w:rsidRPr="000322E4">
        <w:rPr>
          <w:rFonts w:eastAsia="Calibri" w:cstheme="minorHAnsi"/>
        </w:rPr>
        <w:t xml:space="preserve"> равной частотой </w:t>
      </w:r>
      <w:r w:rsidR="007818F7" w:rsidRPr="000322E4">
        <w:rPr>
          <w:rFonts w:eastAsia="Calibri" w:cstheme="minorHAnsi"/>
        </w:rPr>
        <w:fldChar w:fldCharType="begin" w:fldLock="1"/>
      </w:r>
      <w:r w:rsidR="00F3553D">
        <w:rPr>
          <w:rFonts w:eastAsia="Calibri" w:cstheme="minorHAnsi"/>
        </w:rPr>
        <w:instrText>ADDIN CSL_CITATION {"citationItems":[{"id":"ITEM-1","itemData":{"author":[{"dropping-particle":"","family":"Тумян","given":"Г.С.","non-dropping-particle":"","parse-names":false,"suffix":""},{"dropping-particle":"","family":"Кравченко","given":"С.К.","non-dropping-particle":"","parse-names":false,"suffix":""},{"dropping-particle":"","family":"Михайлова","given":"Н.Б.","non-dropping-particle":"","parse-names":false,"suffix":""},{"dropping-particle":"","family":"Барях","given":"Е.А.","non-dropping-particle":"","parse-names":false,"suffix":""},{"dropping-particle":"","family":"Птушкин","given":"В.В.","non-dropping-particle":"","parse-names":false,"suffix":""},{"dropping-particle":"","family":"Поддубная","given":"И.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Савченко.","id":"ITEM-1","issued":{"date-parts":[["2018"]]},"page":"58-68","title":"Диффузная В-клеточная крупноклеточная лимфома","type":"chapter"},"uris":["http://www.mendeley.com/documents/?uuid=cb7114f7-4655-4733-8df2-526cc4e32730"]},{"id":"ITEM-2","itemData":{"ISBN":"9789283244943","abstract":"Revised 4th edition. Introduction and overview of the classification of the myeloid neoplasms -- Myeloproliferative neoplasms -- Mastocytosis -- Myeloid/lymphoid neoplasms with eosinophilia and gene rearrangement -- Myelodysplastic/myeloproliferative neoplasms -- Myelodysplastic syndromes -- Myeloid neoplasms with germline predisposition -- Acute myeloid leukaemia and related precursor neoplasms -- Blastic plasmacytoid dendritic cell neoplasm -- Acute leukaemias of ambiguous lineage -- Introduction and overview of the classification of the lymphoid neoplasms -- Precursor lymphoid neoplasms -- Mature B-cell neoplasms -- Mature T- and NK-cell neoplasms -- Hodgkin lymphomas -- Immunodeficiency-associated lymphoproliferative disorders -- Histiocytic and dendritic cell neoplasms.","author":[{"dropping-particle":"","family":"Swerdlow","given":"Steven H.","non-dropping-particle":"","parse-names":false,"suffix":""},{"dropping-particle":"","family":"Campo","given":"Elias","non-dropping-particle":"","parse-names":false,"suffix":""},{"dropping-particle":"","family":"Harris","given":"Nancy Lee","non-dropping-particle":"","parse-names":false,"suffix":""},{"dropping-particle":"","family":"Jaffe","given":"Elaine S.","non-dropping-particle":"","parse-names":false,"suffix":""},{"dropping-particle":"","family":"Pileri","given":"Stefano A.","non-dropping-particle":"","parse-names":false,"suffix":""},{"dropping-particle":"","family":"Stein","given":"Harald","non-dropping-particle":"","parse-names":false,"suffix":""},{"dropping-particle":"","family":"Thiele","given":"Jürgen","non-dropping-particle":"","parse-names":false,"suffix":""}],"editor":[{"dropping-particle":"","family":"Swerdlow SH, Campo E, Harris NL, Jaffe ES, Pileri SA, Stein H","given":"Thiele J","non-dropping-particle":"","parse-names":false,"suffix":""}],"id":"ITEM-2","issued":{"date-parts":[["2017"]]},"number-of-pages":"585","title":"WHO classification of tumours of haematopoietic and lymphoid tissues. Revised 4th ed. Lyon, France: International Agency for Research in Cancer (IARC)","type":"book"},"uris":["http://www.mendeley.com/documents/?uuid=b06b14d2-e846-3ead-b23a-17e93b076e13"]}],"mendeley":{"formattedCitation":"[1,20]","plainTextFormattedCitation":"[1,20]","previouslyFormattedCitation":"[1,20]"},"properties":{"noteIndex":0},"schema":"https://github.com/citation-style-language/schema/raw/master/csl-citation.json"}</w:instrText>
      </w:r>
      <w:r w:rsidR="007818F7" w:rsidRPr="000322E4">
        <w:rPr>
          <w:rFonts w:eastAsia="Calibri" w:cstheme="minorHAnsi"/>
        </w:rPr>
        <w:fldChar w:fldCharType="separate"/>
      </w:r>
      <w:r w:rsidR="00F3553D" w:rsidRPr="00F3553D">
        <w:rPr>
          <w:rFonts w:eastAsia="Calibri" w:cstheme="minorHAnsi"/>
          <w:noProof/>
        </w:rPr>
        <w:t>[1,20]</w:t>
      </w:r>
      <w:r w:rsidR="007818F7" w:rsidRPr="000322E4">
        <w:rPr>
          <w:rFonts w:eastAsia="Calibri" w:cstheme="minorHAnsi"/>
        </w:rPr>
        <w:fldChar w:fldCharType="end"/>
      </w:r>
      <w:r w:rsidRPr="000322E4">
        <w:rPr>
          <w:rFonts w:eastAsia="Calibri" w:cstheme="minorHAnsi"/>
        </w:rPr>
        <w:t xml:space="preserve">. </w:t>
      </w:r>
    </w:p>
    <w:p w14:paraId="7BD8D29D" w14:textId="0717DCE1" w:rsidR="0044108E" w:rsidRPr="00095D58" w:rsidRDefault="0044108E" w:rsidP="00CA442F">
      <w:pPr>
        <w:spacing w:line="360" w:lineRule="auto"/>
        <w:ind w:firstLine="709"/>
        <w:jc w:val="both"/>
        <w:rPr>
          <w:rFonts w:eastAsia="Calibri" w:cstheme="minorHAnsi"/>
          <w:color w:val="000000" w:themeColor="text1"/>
        </w:rPr>
      </w:pPr>
      <w:r w:rsidRPr="00095D58">
        <w:rPr>
          <w:b/>
          <w:color w:val="000000" w:themeColor="text1"/>
        </w:rPr>
        <w:t>ПМВКЛ</w:t>
      </w:r>
      <w:r w:rsidR="00AD0AE4" w:rsidRPr="00095D58">
        <w:rPr>
          <w:b/>
          <w:color w:val="000000" w:themeColor="text1"/>
        </w:rPr>
        <w:t xml:space="preserve"> </w:t>
      </w:r>
      <w:r w:rsidR="00AD0AE4" w:rsidRPr="00095D58">
        <w:rPr>
          <w:color w:val="000000" w:themeColor="text1"/>
          <w:highlight w:val="white"/>
        </w:rPr>
        <w:t>составляет 2-4% от неходжкинских лимфом и встречается чаще у молодых женщин</w:t>
      </w:r>
      <w:r w:rsidR="00F3553D" w:rsidRPr="00095D58">
        <w:rPr>
          <w:color w:val="000000" w:themeColor="text1"/>
          <w:highlight w:val="white"/>
        </w:rPr>
        <w:t xml:space="preserve"> </w:t>
      </w:r>
      <w:r w:rsidR="00F3553D" w:rsidRPr="00095D58">
        <w:rPr>
          <w:color w:val="000000" w:themeColor="text1"/>
        </w:rPr>
        <w:fldChar w:fldCharType="begin" w:fldLock="1"/>
      </w:r>
      <w:r w:rsidR="00095D58" w:rsidRPr="00095D58">
        <w:rPr>
          <w:color w:val="000000" w:themeColor="text1"/>
        </w:rPr>
        <w:instrText>ADDIN CSL_CITATION {"citationItems":[{"id":"ITEM-1","itemData":{"DOI":"10.1097/00000478-199607000-00012","ISSN":"0147-5185","PMID":"8669537","abstract":"Among non-Hodgkin's lymphomas, primary mediastinal large B-cell lymphomas (PMLCL) has been considered a separate entity that has specific clinical and histological aspects and a poor prognosis. In this study, we reexamined the clinicopathologic features and the response to current treatment of 141 PMLCL and compare them with 916 nonmediastinal large B-cell lymphomas (NMLCL) recorded in the same period and treated with similar combined chemotherapy. The clinical features of PMLCL at diagnosis were largely homogenous and distinct from NMLCL, with a predilection for young women (59% with a mean age of 37 years versus 42% with a mean age of 54 years) bulky tumor (77% versus 7%, p &lt; 104), high serum lactic dehydrogenase (LDH) level (76% versus 51%, p &lt; 104), and frequent intrathoracic extension to adjacent organs such as pleura, pericardium, and lung. By contrast, extrathoracic or hematologic dissemination was common (2% of bone marrow involvement versus 17%). All patients had diffuse large B-cell nonimmunoblastic, nonaplastic lymphomas. Histological analysis of the 141 PMLCL evaluated two common patterns: the presence of large cells with clear cytoplasm (found in 38% of cases) and the presence of fibrosis (marked in 25% of cases). The presence of clear cells or intense fibrosis did not constitute prognostic indicators. Immunologic and molecular analysis assessed the profile of bcl-2 expression and the presence of Epstein-Barr virus (EBV) in PMLCL: 30% expressed a high level of bcl-2 protein; EBER RNAs were detected by in situ hybridization in only two of the 41 cases tested. Monotypic light chain restriction could be demonstrated in seven of the 41 PMLCL tested on fixed-section. Treated with polychemotherapy regimens without radiotherapy, 79% of PMLCL patients achieved a complete remission compared with 68%, in the NMLCL patients group (p = 0.01). Overall, 3-years survival rates were estimated at 66 and 61%, respectively (p = 0.05), and disease-free survival rates were not significantly different (61 versus 64%). Stratified analysis on the International Prognostic Index (based on age, tumor stage, serum LDH level, and performance status) showed no difference in the overall and disease-free survivals between the two lymphoma groups. In conclusion, PMLCL can be combined with other diffuse large B-cell lymphomas on morphologic grounds; it is not associated with EBV. It responds favorably to treatment and should be managed like other high-grade lymphomas of equ…","author":[{"dropping-particle":"","family":"Cazals-Hatem","given":"D.","non-dropping-particle":"","parse-names":false,"suffix":""},{"dropping-particle":"","family":"Lepage","given":"E.","non-dropping-particle":"","parse-names":false,"suffix":""},{"dropping-particle":"","family":"Brice","given":"P.","non-dropping-particle":"","parse-names":false,"suffix":""},{"dropping-particle":"","family":"Ferrant","given":"A.","non-dropping-particle":"","parse-names":false,"suffix":""},{"dropping-particle":"","family":"D'Agay","given":"M. F.","non-dropping-particle":"","parse-names":false,"suffix":""},{"dropping-particle":"","family":"Baumelou","given":"E.","non-dropping-particle":"","parse-names":false,"suffix":""},{"dropping-particle":"","family":"Brière","given":"J.","non-dropping-particle":"","parse-names":false,"suffix":""},{"dropping-particle":"","family":"Blanc","given":"M.","non-dropping-particle":"","parse-names":false,"suffix":""},{"dropping-particle":"","family":"Gaulard","given":"P.","non-dropping-particle":"","parse-names":false,"suffix":""},{"dropping-particle":"","family":"Biron","given":"P.","non-dropping-particle":"","parse-names":false,"suffix":""},{"dropping-particle":"","family":"Schlaifer","given":"D.","non-dropping-particle":"","parse-names":false,"suffix":""},{"dropping-particle":"","family":"Diebold","given":"J.","non-dropping-particle":"","parse-names":false,"suffix":""},{"dropping-particle":"","family":"Audouin","given":"J.","non-dropping-particle":"","parse-names":false,"suffix":""}],"container-title":"The American journal of surgical pathology","id":"ITEM-1","issue":"7","issued":{"date-parts":[["1996","7"]]},"page":"877-888","publisher":"Am J Surg Pathol","title":"Primary mediastinal large B-cell lymphoma. A clinicopathologic study of 141 cases compared with 916 nonmediastinal large B-cell lymphomas, a GELA (\"Groupe d'Etude des Lymphomes de l'Adulte\") study","type":"article-journal","volume":"20"},"uris":["http://www.mendeley.com/documents/?uuid=a145ca81-641d-39fe-9d4d-d968904868de"]}],"mendeley":{"formattedCitation":"[3]","plainTextFormattedCitation":"[3]","previouslyFormattedCitation":"[3]"},"properties":{"noteIndex":0},"schema":"https://github.com/citation-style-language/schema/raw/master/csl-citation.json"}</w:instrText>
      </w:r>
      <w:r w:rsidR="00F3553D" w:rsidRPr="00095D58">
        <w:rPr>
          <w:color w:val="000000" w:themeColor="text1"/>
        </w:rPr>
        <w:fldChar w:fldCharType="separate"/>
      </w:r>
      <w:r w:rsidR="00F3553D" w:rsidRPr="00095D58">
        <w:rPr>
          <w:noProof/>
          <w:color w:val="000000" w:themeColor="text1"/>
        </w:rPr>
        <w:t>[3]</w:t>
      </w:r>
      <w:r w:rsidR="00F3553D" w:rsidRPr="00095D58">
        <w:rPr>
          <w:color w:val="000000" w:themeColor="text1"/>
        </w:rPr>
        <w:fldChar w:fldCharType="end"/>
      </w:r>
      <w:r w:rsidR="00AD0AE4" w:rsidRPr="00095D58">
        <w:rPr>
          <w:color w:val="000000" w:themeColor="text1"/>
          <w:highlight w:val="white"/>
        </w:rPr>
        <w:t>.</w:t>
      </w:r>
      <w:r w:rsidR="00AD0AE4" w:rsidRPr="00095D58">
        <w:rPr>
          <w:color w:val="000000" w:themeColor="text1"/>
          <w:sz w:val="28"/>
          <w:highlight w:val="white"/>
        </w:rPr>
        <w:t> </w:t>
      </w:r>
    </w:p>
    <w:p w14:paraId="7EF5CA47" w14:textId="329F09EA" w:rsidR="00DA1F72" w:rsidRPr="000322E4" w:rsidRDefault="00DA1F72" w:rsidP="00CA442F">
      <w:pPr>
        <w:spacing w:line="360" w:lineRule="auto"/>
        <w:ind w:firstLine="709"/>
        <w:contextualSpacing/>
        <w:jc w:val="both"/>
      </w:pPr>
      <w:r w:rsidRPr="000322E4">
        <w:t>ЛБ болеют преимущественно мужчины. У детей ЛБ составляет около 30–50 % всех лимфом. Соотношение мальчики</w:t>
      </w:r>
      <w:r w:rsidR="00544490">
        <w:t> </w:t>
      </w:r>
      <w:r w:rsidRPr="000322E4">
        <w:t>:</w:t>
      </w:r>
      <w:r w:rsidR="00544490">
        <w:t> </w:t>
      </w:r>
      <w:r w:rsidRPr="000322E4">
        <w:t>девочки – 3–4</w:t>
      </w:r>
      <w:r w:rsidR="00544490">
        <w:t> </w:t>
      </w:r>
      <w:r w:rsidRPr="000322E4">
        <w:t>:</w:t>
      </w:r>
      <w:r w:rsidR="00544490">
        <w:t> </w:t>
      </w:r>
      <w:r w:rsidRPr="000322E4">
        <w:t xml:space="preserve">1, средний возраст – 8 лет. У взрослых ЛБ встречается значительно реже – в 2 % случаев всех лимфом. Болеют преимущественно молодые мужчины, соотношение мужчины : женщины – 3 : 1, средний возраст – 25–30 лет </w:t>
      </w:r>
      <w:r w:rsidRPr="000322E4">
        <w:fldChar w:fldCharType="begin" w:fldLock="1"/>
      </w:r>
      <w:r w:rsidR="00F3553D">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лейкозы","type":"chapter"},"uris":["http://www.mendeley.com/documents/?uuid=08f85f58-ddaa-48eb-b937-65d15d14b213"]},{"id":"ITEM-3","itemData":{"ISSN":"0008-543X (Print)","PMID":"6299496","abstract":"An account is given of the steps that led to the recognition of the tumor that became known as Burkitt's lymphoma. This is followed by a description of the methods employed in the subsequent epidemiologic studies, the manner in which successive hypotheses of etiology were erected and demolished, and the discovery by Epstein and his colleagues of the Epstein-Barr virus. The impact that this tumor has had on aspects of cancer research is considered.","author":[{"dropping-particle":"","family":"Burkitt","given":"D P","non-dropping-particle":"","parse-names":false,"suffix":""}],"container-title":"Cancer","id":"ITEM-3","issue":"10","issued":{"date-parts":[["1983","5"]]},"page":"1777-1786","title":"The discovery of Burkitt's lymphoma.","type":"article-journal","volume":"51"},"uris":["http://www.mendeley.com/documents/?uuid=b4af3e00-84f4-3f5a-a7fb-15561427ed39"]}],"mendeley":{"formattedCitation":"[21–23]","plainTextFormattedCitation":"[21–23]","previouslyFormattedCitation":"[21–23]"},"properties":{"noteIndex":0},"schema":"https://github.com/citation-style-language/schema/raw/master/csl-citation.json"}</w:instrText>
      </w:r>
      <w:r w:rsidRPr="000322E4">
        <w:fldChar w:fldCharType="separate"/>
      </w:r>
      <w:r w:rsidR="00F3553D" w:rsidRPr="00F3553D">
        <w:rPr>
          <w:noProof/>
        </w:rPr>
        <w:t>[21–23]</w:t>
      </w:r>
      <w:r w:rsidRPr="000322E4">
        <w:fldChar w:fldCharType="end"/>
      </w:r>
      <w:r w:rsidRPr="000322E4">
        <w:t>.</w:t>
      </w:r>
    </w:p>
    <w:p w14:paraId="365DF74F" w14:textId="77777777" w:rsidR="00311757" w:rsidRPr="000322E4" w:rsidRDefault="00B46390" w:rsidP="00CA442F">
      <w:pPr>
        <w:pStyle w:val="2"/>
        <w:spacing w:before="0"/>
        <w:rPr>
          <w:color w:val="000000" w:themeColor="text1"/>
        </w:rPr>
      </w:pPr>
      <w:bookmarkStart w:id="15" w:name="_Toc96601231"/>
      <w:r w:rsidRPr="000322E4">
        <w:rPr>
          <w:color w:val="000000" w:themeColor="text1"/>
        </w:rPr>
        <w:lastRenderedPageBreak/>
        <w:t xml:space="preserve">1.4 </w:t>
      </w:r>
      <w:r w:rsidR="00311757" w:rsidRPr="000322E4">
        <w:rPr>
          <w:color w:val="000000" w:themeColor="text1"/>
          <w:shd w:val="clear" w:color="auto" w:fill="FFFFFF"/>
        </w:rPr>
        <w:t>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bookmarkEnd w:id="15"/>
    </w:p>
    <w:p w14:paraId="4DE572BB" w14:textId="77777777" w:rsidR="007818F7" w:rsidRPr="000322E4" w:rsidRDefault="007818F7" w:rsidP="00CA442F">
      <w:pPr>
        <w:pStyle w:val="afe"/>
        <w:numPr>
          <w:ilvl w:val="0"/>
          <w:numId w:val="25"/>
        </w:numPr>
      </w:pPr>
      <w:r w:rsidRPr="000322E4">
        <w:t xml:space="preserve">С83.3 – Диффузная крупноклеточная В-клеточная лимфома </w:t>
      </w:r>
    </w:p>
    <w:p w14:paraId="766F5263" w14:textId="77777777" w:rsidR="006D0BE5" w:rsidRPr="000322E4" w:rsidRDefault="006D0BE5" w:rsidP="00CA442F">
      <w:pPr>
        <w:pStyle w:val="afe"/>
        <w:numPr>
          <w:ilvl w:val="0"/>
          <w:numId w:val="25"/>
        </w:numPr>
      </w:pPr>
      <w:r w:rsidRPr="000322E4">
        <w:t>С83.7 – Лимфома Беркитта</w:t>
      </w:r>
    </w:p>
    <w:p w14:paraId="27B893BB" w14:textId="63B4003A" w:rsidR="009A2FEF" w:rsidRPr="000322E4" w:rsidRDefault="007818F7" w:rsidP="00CA442F">
      <w:pPr>
        <w:pStyle w:val="afe"/>
        <w:numPr>
          <w:ilvl w:val="0"/>
          <w:numId w:val="25"/>
        </w:numPr>
      </w:pPr>
      <w:r w:rsidRPr="000322E4">
        <w:rPr>
          <w:lang w:val="en-US"/>
        </w:rPr>
        <w:t>C</w:t>
      </w:r>
      <w:r w:rsidRPr="000322E4">
        <w:t xml:space="preserve">85.2 – </w:t>
      </w:r>
      <w:r w:rsidRPr="00D51B7B">
        <w:t>Медиастинальная (тим</w:t>
      </w:r>
      <w:r w:rsidR="00E00568" w:rsidRPr="00D51B7B">
        <w:t>ическая</w:t>
      </w:r>
      <w:r w:rsidRPr="00D51B7B">
        <w:t xml:space="preserve">) </w:t>
      </w:r>
      <w:r w:rsidR="00E00568" w:rsidRPr="00D51B7B">
        <w:t xml:space="preserve">крупноклеточная </w:t>
      </w:r>
      <w:r w:rsidRPr="00D51B7B">
        <w:t>В-клеточная</w:t>
      </w:r>
      <w:r w:rsidRPr="000322E4">
        <w:t xml:space="preserve"> лимфома</w:t>
      </w:r>
    </w:p>
    <w:p w14:paraId="6F0838D5" w14:textId="77777777" w:rsidR="006D0BE5" w:rsidRPr="000322E4" w:rsidRDefault="006D0BE5" w:rsidP="00CA442F">
      <w:pPr>
        <w:pStyle w:val="afe"/>
        <w:numPr>
          <w:ilvl w:val="0"/>
          <w:numId w:val="25"/>
        </w:numPr>
      </w:pPr>
      <w:r w:rsidRPr="000322E4">
        <w:t>С91.8 – Зрелый В-клеточный лейкоз типа Беркитта</w:t>
      </w:r>
    </w:p>
    <w:p w14:paraId="297943A8" w14:textId="77777777" w:rsidR="00B46390" w:rsidRPr="000322E4" w:rsidRDefault="00B46390" w:rsidP="00CA442F">
      <w:pPr>
        <w:pStyle w:val="2"/>
        <w:spacing w:before="0"/>
      </w:pPr>
      <w:bookmarkStart w:id="16" w:name="_Toc96601232"/>
      <w:r w:rsidRPr="000322E4">
        <w:t>1.5 Классификация</w:t>
      </w:r>
      <w:r w:rsidR="00311757" w:rsidRPr="000322E4">
        <w:t xml:space="preserve"> </w:t>
      </w:r>
      <w:r w:rsidR="00311757" w:rsidRPr="000322E4">
        <w:rPr>
          <w:color w:val="333333"/>
          <w:shd w:val="clear" w:color="auto" w:fill="FFFFFF"/>
        </w:rPr>
        <w:t>заболевания или состояния (группы заболеваний или состояний)</w:t>
      </w:r>
      <w:bookmarkEnd w:id="16"/>
    </w:p>
    <w:p w14:paraId="2C255CAC" w14:textId="77777777" w:rsidR="007818F7" w:rsidRPr="000322E4" w:rsidRDefault="007818F7" w:rsidP="00CA442F">
      <w:pPr>
        <w:spacing w:line="360" w:lineRule="auto"/>
        <w:ind w:firstLine="709"/>
        <w:contextualSpacing/>
        <w:jc w:val="both"/>
      </w:pPr>
      <w:r w:rsidRPr="000322E4">
        <w:t xml:space="preserve">Разнообразие клинических, морфологических и иммунологических характеристик, а также молекулярно-цитогенетические исследования последних лет доказали, что ДВКЛ является не единой нозологической формой, а группой лимфатических опухолей, имеющих близкий, но неодинаковый патогенез. В настоящее время выделено несколько вариантов ДВКЛ в зависимости от уровня дифференцировки опухолевых клеток, типов нарушения клеточных процессов, хромосомных аномалий </w:t>
      </w:r>
      <w:r w:rsidRPr="000322E4">
        <w:fldChar w:fldCharType="begin" w:fldLock="1"/>
      </w:r>
      <w:r w:rsidRPr="000322E4">
        <w:instrText>ADDIN CSL_CITATION {"citationItems":[{"id":"ITEM-1","itemData":{"ISBN":"9789283244943","abstract":"Revised 4th edition. Introduction and overview of the classification of the myeloid neoplasms -- Myeloproliferative neoplasms -- Mastocytosis -- Myeloid/lymphoid neoplasms with eosinophilia and gene rearrangement -- Myelodysplastic/myeloproliferative neoplasms -- Myelodysplastic syndromes -- Myeloid neoplasms with germline predisposition -- Acute myeloid leukaemia and related precursor neoplasms -- Blastic plasmacytoid dendritic cell neoplasm -- Acute leukaemias of ambiguous lineage -- Introduction and overview of the classification of the lymphoid neoplasms -- Precursor lymphoid neoplasms -- Mature B-cell neoplasms -- Mature T- and NK-cell neoplasms -- Hodgkin lymphomas -- Immunodeficiency-associated lymphoproliferative disorders -- Histiocytic and dendritic cell neoplasms.","author":[{"dropping-particle":"","family":"Swerdlow","given":"Steven H.","non-dropping-particle":"","parse-names":false,"suffix":""},{"dropping-particle":"","family":"Campo","given":"Elias","non-dropping-particle":"","parse-names":false,"suffix":""},{"dropping-particle":"","family":"Harris","given":"Nancy Lee","non-dropping-particle":"","parse-names":false,"suffix":""},{"dropping-particle":"","family":"Jaffe","given":"Elaine S.","non-dropping-particle":"","parse-names":false,"suffix":""},{"dropping-particle":"","family":"Pileri","given":"Stefano A.","non-dropping-particle":"","parse-names":false,"suffix":""},{"dropping-particle":"","family":"Stein","given":"Harald","non-dropping-particle":"","parse-names":false,"suffix":""},{"dropping-particle":"","family":"Thiele","given":"Jürgen","non-dropping-particle":"","parse-names":false,"suffix":""}],"editor":[{"dropping-particle":"","family":"Swerdlow SH, Campo E, Harris NL, Jaffe ES, Pileri SA, Stein H","given":"Thiele J","non-dropping-particle":"","parse-names":false,"suffix":""}],"id":"ITEM-1","issued":{"date-parts":[["2017"]]},"number-of-pages":"585","title":"WHO classification of tumours of haematopoietic and lymphoid tissues. Revised 4th ed. Lyon, France: International Agency for Research in Cancer (IARC)","type":"book"},"uris":["http://www.mendeley.com/documents/?uuid=b06b14d2-e846-3ead-b23a-17e93b076e13"]}],"mendeley":{"formattedCitation":"[1]","plainTextFormattedCitation":"[1]","previouslyFormattedCitation":"[1]"},"properties":{"noteIndex":0},"schema":"https://github.com/citation-style-language/schema/raw/master/csl-citation.json"}</w:instrText>
      </w:r>
      <w:r w:rsidRPr="000322E4">
        <w:fldChar w:fldCharType="separate"/>
      </w:r>
      <w:r w:rsidRPr="000322E4">
        <w:rPr>
          <w:noProof/>
        </w:rPr>
        <w:t>[1]</w:t>
      </w:r>
      <w:r w:rsidRPr="000322E4">
        <w:fldChar w:fldCharType="end"/>
      </w:r>
      <w:r w:rsidRPr="000322E4">
        <w:t xml:space="preserve">. В соответствии с </w:t>
      </w:r>
      <w:r w:rsidRPr="000322E4">
        <w:rPr>
          <w:i/>
        </w:rPr>
        <w:t>классификацией ВОЗ</w:t>
      </w:r>
      <w:r w:rsidRPr="000322E4">
        <w:t xml:space="preserve"> пересмотра 2017 г. самостоятельными вариантами ДВКЛ признаны: </w:t>
      </w:r>
    </w:p>
    <w:p w14:paraId="306107C1" w14:textId="0B799780" w:rsidR="007818F7" w:rsidRPr="000322E4" w:rsidRDefault="007818F7" w:rsidP="00CA442F">
      <w:pPr>
        <w:pStyle w:val="afe"/>
        <w:numPr>
          <w:ilvl w:val="0"/>
          <w:numId w:val="32"/>
        </w:numPr>
        <w:ind w:left="426"/>
      </w:pPr>
      <w:r w:rsidRPr="000322E4">
        <w:t>ДВКЛ, неспецифицированная (</w:t>
      </w:r>
      <w:r w:rsidRPr="000322E4">
        <w:rPr>
          <w:lang w:val="en-US"/>
        </w:rPr>
        <w:t>NOS</w:t>
      </w:r>
      <w:r w:rsidRPr="000322E4">
        <w:t xml:space="preserve">).  В данную биологически гетерогенную группу включены заболевания, не относящиеся ни к одной из нижеперечисленных вариантов крупноклеточных лимфом:  </w:t>
      </w:r>
    </w:p>
    <w:p w14:paraId="157345B7" w14:textId="77777777" w:rsidR="007818F7" w:rsidRPr="000322E4" w:rsidRDefault="007818F7" w:rsidP="00CA442F">
      <w:pPr>
        <w:pStyle w:val="afe"/>
        <w:numPr>
          <w:ilvl w:val="0"/>
          <w:numId w:val="32"/>
        </w:numPr>
        <w:ind w:left="426"/>
      </w:pPr>
      <w:r w:rsidRPr="000322E4">
        <w:t>В-крупноклеточная лимфома, богатая Т-клетками/гистиоцитами</w:t>
      </w:r>
    </w:p>
    <w:p w14:paraId="024645B7" w14:textId="52B5C897" w:rsidR="007818F7" w:rsidRPr="000322E4" w:rsidRDefault="007818F7" w:rsidP="00CA442F">
      <w:pPr>
        <w:pStyle w:val="afe"/>
        <w:numPr>
          <w:ilvl w:val="0"/>
          <w:numId w:val="32"/>
        </w:numPr>
        <w:ind w:left="426"/>
      </w:pPr>
      <w:r w:rsidRPr="000322E4">
        <w:t>первичная ДВКЛ ЦНС (ПЛЦНС)</w:t>
      </w:r>
    </w:p>
    <w:p w14:paraId="5CED34DA" w14:textId="22DD2073" w:rsidR="007818F7" w:rsidRPr="000322E4" w:rsidRDefault="007818F7" w:rsidP="00CA442F">
      <w:pPr>
        <w:pStyle w:val="afe"/>
        <w:numPr>
          <w:ilvl w:val="0"/>
          <w:numId w:val="32"/>
        </w:numPr>
        <w:ind w:left="426"/>
      </w:pPr>
      <w:r w:rsidRPr="000322E4">
        <w:t>первичная кожная ДВКЛ, тип «нижних конечностей» (</w:t>
      </w:r>
      <w:r w:rsidRPr="000322E4">
        <w:rPr>
          <w:lang w:val="en-US"/>
        </w:rPr>
        <w:t>leg</w:t>
      </w:r>
      <w:r w:rsidRPr="000322E4">
        <w:t>-</w:t>
      </w:r>
      <w:r w:rsidRPr="000322E4">
        <w:rPr>
          <w:lang w:val="en-US"/>
        </w:rPr>
        <w:t>type</w:t>
      </w:r>
      <w:r w:rsidRPr="000322E4">
        <w:t>)</w:t>
      </w:r>
    </w:p>
    <w:p w14:paraId="131171F5" w14:textId="548FF499" w:rsidR="007818F7" w:rsidRPr="000322E4" w:rsidRDefault="007818F7" w:rsidP="00CA442F">
      <w:pPr>
        <w:pStyle w:val="afe"/>
        <w:numPr>
          <w:ilvl w:val="0"/>
          <w:numId w:val="32"/>
        </w:numPr>
        <w:ind w:left="426"/>
      </w:pPr>
      <w:r w:rsidRPr="000322E4">
        <w:rPr>
          <w:lang w:val="en-US"/>
        </w:rPr>
        <w:t>EBV</w:t>
      </w:r>
      <w:r w:rsidRPr="000322E4">
        <w:t xml:space="preserve">-позитивная ДВКЛ, </w:t>
      </w:r>
      <w:r w:rsidRPr="000322E4">
        <w:rPr>
          <w:lang w:val="en-US"/>
        </w:rPr>
        <w:t>NOS</w:t>
      </w:r>
    </w:p>
    <w:p w14:paraId="1F4D778F" w14:textId="31A786FF" w:rsidR="007818F7" w:rsidRPr="000322E4" w:rsidRDefault="007818F7" w:rsidP="00CA442F">
      <w:pPr>
        <w:pStyle w:val="afe"/>
        <w:numPr>
          <w:ilvl w:val="0"/>
          <w:numId w:val="32"/>
        </w:numPr>
        <w:ind w:left="426"/>
      </w:pPr>
      <w:r w:rsidRPr="000322E4">
        <w:t>ДВКЛ, ассоциированная с хроническим воспалением</w:t>
      </w:r>
    </w:p>
    <w:p w14:paraId="79F05B39" w14:textId="77777777" w:rsidR="007818F7" w:rsidRPr="000322E4" w:rsidRDefault="007818F7" w:rsidP="00CA442F">
      <w:pPr>
        <w:pStyle w:val="afe"/>
        <w:numPr>
          <w:ilvl w:val="0"/>
          <w:numId w:val="32"/>
        </w:numPr>
        <w:ind w:left="426"/>
      </w:pPr>
      <w:r w:rsidRPr="000322E4">
        <w:t>лимфоматоидный гранулематоз</w:t>
      </w:r>
    </w:p>
    <w:p w14:paraId="14E89557" w14:textId="77777777" w:rsidR="007818F7" w:rsidRPr="000322E4" w:rsidRDefault="007818F7" w:rsidP="00CA442F">
      <w:pPr>
        <w:pStyle w:val="afe"/>
        <w:numPr>
          <w:ilvl w:val="0"/>
          <w:numId w:val="32"/>
        </w:numPr>
        <w:ind w:left="426"/>
      </w:pPr>
      <w:r w:rsidRPr="000322E4">
        <w:t xml:space="preserve">крупноклеточная лимфома с реарранжировкой </w:t>
      </w:r>
      <w:r w:rsidRPr="000322E4">
        <w:rPr>
          <w:lang w:val="en-US"/>
        </w:rPr>
        <w:t>IRF</w:t>
      </w:r>
      <w:r w:rsidRPr="000322E4">
        <w:t>4</w:t>
      </w:r>
    </w:p>
    <w:p w14:paraId="39B5F95B" w14:textId="77777777" w:rsidR="007818F7" w:rsidRPr="000322E4" w:rsidRDefault="007818F7" w:rsidP="00CA442F">
      <w:pPr>
        <w:pStyle w:val="afe"/>
        <w:numPr>
          <w:ilvl w:val="0"/>
          <w:numId w:val="32"/>
        </w:numPr>
        <w:ind w:left="426"/>
      </w:pPr>
      <w:r w:rsidRPr="000322E4">
        <w:t>первичная медиастинальная (тимическая) крупноклеточная лимфома (ПМВКЛ)</w:t>
      </w:r>
    </w:p>
    <w:p w14:paraId="152BEE3B" w14:textId="77777777" w:rsidR="007818F7" w:rsidRPr="000322E4" w:rsidRDefault="007818F7" w:rsidP="00CA442F">
      <w:pPr>
        <w:pStyle w:val="afe"/>
        <w:numPr>
          <w:ilvl w:val="0"/>
          <w:numId w:val="32"/>
        </w:numPr>
        <w:ind w:left="426"/>
      </w:pPr>
      <w:r w:rsidRPr="000322E4">
        <w:t>внутрисосудистая крупноклеточная лимфома</w:t>
      </w:r>
    </w:p>
    <w:p w14:paraId="515EFC90" w14:textId="77777777" w:rsidR="007818F7" w:rsidRPr="000322E4" w:rsidRDefault="007818F7" w:rsidP="00CA442F">
      <w:pPr>
        <w:pStyle w:val="afe"/>
        <w:numPr>
          <w:ilvl w:val="0"/>
          <w:numId w:val="32"/>
        </w:numPr>
        <w:ind w:left="426"/>
      </w:pPr>
      <w:r w:rsidRPr="000322E4">
        <w:rPr>
          <w:lang w:val="en-US"/>
        </w:rPr>
        <w:t>ALK</w:t>
      </w:r>
      <w:r w:rsidRPr="000322E4">
        <w:t>-позитивная В-крупноклеточная лимфома</w:t>
      </w:r>
    </w:p>
    <w:p w14:paraId="440C03D1" w14:textId="77777777" w:rsidR="007818F7" w:rsidRPr="000322E4" w:rsidRDefault="007818F7" w:rsidP="00CA442F">
      <w:pPr>
        <w:pStyle w:val="afe"/>
        <w:numPr>
          <w:ilvl w:val="0"/>
          <w:numId w:val="32"/>
        </w:numPr>
        <w:ind w:left="426"/>
      </w:pPr>
      <w:r w:rsidRPr="000322E4">
        <w:t>плазмобластная лимфома</w:t>
      </w:r>
    </w:p>
    <w:p w14:paraId="1BFB4B29" w14:textId="77777777" w:rsidR="007818F7" w:rsidRPr="000322E4" w:rsidRDefault="007818F7" w:rsidP="00CA442F">
      <w:pPr>
        <w:pStyle w:val="afe"/>
        <w:numPr>
          <w:ilvl w:val="0"/>
          <w:numId w:val="32"/>
        </w:numPr>
        <w:ind w:left="426"/>
      </w:pPr>
      <w:r w:rsidRPr="000322E4">
        <w:t>НН</w:t>
      </w:r>
      <w:r w:rsidRPr="000322E4">
        <w:rPr>
          <w:lang w:val="en-US"/>
        </w:rPr>
        <w:t>V</w:t>
      </w:r>
      <w:r w:rsidRPr="000322E4">
        <w:t>8 позитивная крупноклеточная лимфома</w:t>
      </w:r>
    </w:p>
    <w:p w14:paraId="127F1C65" w14:textId="77777777" w:rsidR="007818F7" w:rsidRPr="00D51B7B" w:rsidRDefault="007818F7" w:rsidP="00CA442F">
      <w:pPr>
        <w:pStyle w:val="afe"/>
        <w:numPr>
          <w:ilvl w:val="0"/>
          <w:numId w:val="32"/>
        </w:numPr>
        <w:ind w:left="426"/>
      </w:pPr>
      <w:r w:rsidRPr="000322E4">
        <w:t xml:space="preserve">первичная лимфома </w:t>
      </w:r>
      <w:r w:rsidRPr="00D51B7B">
        <w:t xml:space="preserve">серозных полостей </w:t>
      </w:r>
    </w:p>
    <w:p w14:paraId="31710085" w14:textId="77777777" w:rsidR="007818F7" w:rsidRPr="00D51B7B" w:rsidRDefault="007818F7" w:rsidP="00CA442F">
      <w:pPr>
        <w:spacing w:line="360" w:lineRule="auto"/>
        <w:contextualSpacing/>
        <w:jc w:val="both"/>
      </w:pPr>
      <w:r w:rsidRPr="00D51B7B">
        <w:lastRenderedPageBreak/>
        <w:t>Отдельно рассматриваются следующие группы В- крупноклеточных лимфом:</w:t>
      </w:r>
    </w:p>
    <w:p w14:paraId="572DC023" w14:textId="6ED83C8C" w:rsidR="007818F7" w:rsidRPr="00D51B7B" w:rsidRDefault="007818F7" w:rsidP="00CA442F">
      <w:pPr>
        <w:pStyle w:val="afe"/>
        <w:numPr>
          <w:ilvl w:val="0"/>
          <w:numId w:val="33"/>
        </w:numPr>
        <w:ind w:left="426"/>
      </w:pPr>
      <w:r w:rsidRPr="00D51B7B">
        <w:t xml:space="preserve">агрессивная </w:t>
      </w:r>
      <w:r w:rsidR="00902140" w:rsidRPr="00D51B7B">
        <w:t xml:space="preserve">В-клеточная </w:t>
      </w:r>
      <w:r w:rsidRPr="00D51B7B">
        <w:t xml:space="preserve">лимфома с </w:t>
      </w:r>
      <w:r w:rsidRPr="00D51B7B">
        <w:rPr>
          <w:lang w:val="en-US"/>
        </w:rPr>
        <w:t>MYC</w:t>
      </w:r>
      <w:r w:rsidRPr="00D51B7B">
        <w:t xml:space="preserve"> и </w:t>
      </w:r>
      <w:r w:rsidRPr="00D51B7B">
        <w:rPr>
          <w:lang w:val="en-US"/>
        </w:rPr>
        <w:t>BCL</w:t>
      </w:r>
      <w:r w:rsidRPr="00D51B7B">
        <w:t xml:space="preserve">-2 и/или </w:t>
      </w:r>
      <w:r w:rsidRPr="00D51B7B">
        <w:rPr>
          <w:lang w:val="en-US"/>
        </w:rPr>
        <w:t>BCL</w:t>
      </w:r>
      <w:r w:rsidRPr="00D51B7B">
        <w:t xml:space="preserve"> 6 реарранжировкой</w:t>
      </w:r>
    </w:p>
    <w:p w14:paraId="5501D8DF" w14:textId="7897B3BA" w:rsidR="00902140" w:rsidRPr="00D51B7B" w:rsidRDefault="00902140" w:rsidP="00CA442F">
      <w:pPr>
        <w:pStyle w:val="afe"/>
        <w:numPr>
          <w:ilvl w:val="0"/>
          <w:numId w:val="33"/>
        </w:numPr>
        <w:ind w:left="426"/>
      </w:pPr>
      <w:r w:rsidRPr="00D51B7B">
        <w:t>агрессивная В-клеточная лимфома, неклассифицируемая</w:t>
      </w:r>
      <w:r w:rsidR="008E1C96">
        <w:t xml:space="preserve"> </w:t>
      </w:r>
    </w:p>
    <w:p w14:paraId="1130E60B" w14:textId="02F2B051" w:rsidR="007818F7" w:rsidRPr="000322E4" w:rsidRDefault="007818F7" w:rsidP="00CA442F">
      <w:pPr>
        <w:pStyle w:val="afe"/>
        <w:numPr>
          <w:ilvl w:val="0"/>
          <w:numId w:val="33"/>
        </w:numPr>
        <w:ind w:left="426"/>
      </w:pPr>
      <w:r w:rsidRPr="000322E4">
        <w:t>агрессивная лимфома, неклассифицируемая, с чертами, промежуточными между ДВКЛ и лимфомой Ходжкина (лимфома серой зоны)</w:t>
      </w:r>
    </w:p>
    <w:p w14:paraId="1BF5F9FB" w14:textId="7456A0E6" w:rsidR="007818F7" w:rsidRPr="000322E4" w:rsidRDefault="007818F7" w:rsidP="00CA442F">
      <w:pPr>
        <w:spacing w:line="360" w:lineRule="auto"/>
        <w:ind w:left="-1" w:firstLine="708"/>
        <w:contextualSpacing/>
        <w:jc w:val="both"/>
      </w:pPr>
      <w:r w:rsidRPr="000322E4">
        <w:t xml:space="preserve">Вариантом ДВКЛ в настоящее время также признаны случаи с очаговым поражением фолликулярных структур, с иммуногистохимически подтвержденным происхождением из фолликулярных дендритных клеток (ранее 3В цитологический тип фолликулярной лимфомы).    В последнее время охарактеризована новая группа лимфом - ДВКЛ, ассоциированные с фолликулярной лимфомой, с </w:t>
      </w:r>
      <w:r w:rsidRPr="000322E4">
        <w:rPr>
          <w:lang w:val="en-US"/>
        </w:rPr>
        <w:t>MALT</w:t>
      </w:r>
      <w:r w:rsidRPr="000322E4">
        <w:t>-лимфомой желудка и MALT-лимфомой других локализаций, имеющая клинические, морфо-иммунологические и молекулярно-генетические особенности и возможно, в скором времени потребующая разработки новых подходов к их лечению.</w:t>
      </w:r>
    </w:p>
    <w:p w14:paraId="4683DEAF" w14:textId="77777777" w:rsidR="007818F7" w:rsidRPr="000322E4" w:rsidRDefault="007818F7" w:rsidP="00CA442F">
      <w:pPr>
        <w:spacing w:line="360" w:lineRule="auto"/>
        <w:ind w:firstLine="709"/>
        <w:contextualSpacing/>
        <w:jc w:val="both"/>
        <w:rPr>
          <w:bCs/>
        </w:rPr>
      </w:pPr>
      <w:r w:rsidRPr="000322E4">
        <w:rPr>
          <w:bCs/>
        </w:rPr>
        <w:t>Выделены следующие морфологические варианты ДВКЛ неспецифицированной, имеющие различную клиническую картину и течение заболевания:</w:t>
      </w:r>
    </w:p>
    <w:p w14:paraId="4C02CADF" w14:textId="77777777" w:rsidR="007818F7" w:rsidRPr="000322E4" w:rsidRDefault="007818F7" w:rsidP="00CA442F">
      <w:pPr>
        <w:pStyle w:val="afe"/>
        <w:numPr>
          <w:ilvl w:val="0"/>
          <w:numId w:val="34"/>
        </w:numPr>
        <w:ind w:left="426"/>
      </w:pPr>
      <w:r w:rsidRPr="000322E4">
        <w:t>центробластный</w:t>
      </w:r>
    </w:p>
    <w:p w14:paraId="222DAB0D" w14:textId="77777777" w:rsidR="007818F7" w:rsidRPr="000322E4" w:rsidRDefault="007818F7" w:rsidP="00CA442F">
      <w:pPr>
        <w:pStyle w:val="afe"/>
        <w:numPr>
          <w:ilvl w:val="0"/>
          <w:numId w:val="34"/>
        </w:numPr>
        <w:ind w:left="426"/>
      </w:pPr>
      <w:r w:rsidRPr="000322E4">
        <w:t xml:space="preserve">иммунобластный </w:t>
      </w:r>
    </w:p>
    <w:p w14:paraId="4D07C3A0" w14:textId="77777777" w:rsidR="007818F7" w:rsidRPr="000322E4" w:rsidRDefault="007818F7" w:rsidP="00CA442F">
      <w:pPr>
        <w:pStyle w:val="afe"/>
        <w:numPr>
          <w:ilvl w:val="0"/>
          <w:numId w:val="34"/>
        </w:numPr>
        <w:ind w:left="426"/>
      </w:pPr>
      <w:r w:rsidRPr="000322E4">
        <w:t xml:space="preserve">анапластический </w:t>
      </w:r>
    </w:p>
    <w:p w14:paraId="3DE8A9EA" w14:textId="77777777" w:rsidR="007818F7" w:rsidRPr="000322E4" w:rsidRDefault="007818F7" w:rsidP="00CA442F">
      <w:pPr>
        <w:pStyle w:val="afe"/>
        <w:numPr>
          <w:ilvl w:val="0"/>
          <w:numId w:val="34"/>
        </w:numPr>
        <w:ind w:left="426"/>
      </w:pPr>
      <w:r w:rsidRPr="000322E4">
        <w:t>другие редкие варианты</w:t>
      </w:r>
    </w:p>
    <w:p w14:paraId="21CB5937" w14:textId="67CDA15E" w:rsidR="007818F7" w:rsidRPr="00D51B7B" w:rsidRDefault="007818F7" w:rsidP="00CA442F">
      <w:pPr>
        <w:spacing w:line="360" w:lineRule="auto"/>
        <w:ind w:firstLine="709"/>
        <w:contextualSpacing/>
        <w:jc w:val="both"/>
        <w:rPr>
          <w:bCs/>
        </w:rPr>
      </w:pPr>
      <w:r w:rsidRPr="000322E4">
        <w:rPr>
          <w:bCs/>
        </w:rPr>
        <w:t xml:space="preserve">В практике </w:t>
      </w:r>
      <w:r w:rsidRPr="00D51B7B">
        <w:rPr>
          <w:bCs/>
        </w:rPr>
        <w:t xml:space="preserve">гематопатолога в настоящее время используется определение </w:t>
      </w:r>
      <w:r w:rsidR="00902140" w:rsidRPr="00D51B7B">
        <w:rPr>
          <w:bCs/>
        </w:rPr>
        <w:t xml:space="preserve">разного происхожения опухолевых клеток при </w:t>
      </w:r>
      <w:r w:rsidRPr="00D51B7B">
        <w:rPr>
          <w:bCs/>
        </w:rPr>
        <w:t>ДВКЛ:</w:t>
      </w:r>
    </w:p>
    <w:p w14:paraId="112A5957" w14:textId="77777777" w:rsidR="007818F7" w:rsidRPr="00D51B7B" w:rsidRDefault="007818F7" w:rsidP="00CA442F">
      <w:pPr>
        <w:pStyle w:val="afe"/>
        <w:numPr>
          <w:ilvl w:val="0"/>
          <w:numId w:val="35"/>
        </w:numPr>
        <w:ind w:left="426"/>
      </w:pPr>
      <w:r w:rsidRPr="00D51B7B">
        <w:t>Из В-клеток герминальных центров фолликулов (GСB-подтип)</w:t>
      </w:r>
    </w:p>
    <w:p w14:paraId="20B22796" w14:textId="77777777" w:rsidR="007818F7" w:rsidRPr="00D51B7B" w:rsidRDefault="007818F7" w:rsidP="00CA442F">
      <w:pPr>
        <w:pStyle w:val="afe"/>
        <w:numPr>
          <w:ilvl w:val="0"/>
          <w:numId w:val="35"/>
        </w:numPr>
        <w:ind w:left="426"/>
      </w:pPr>
      <w:r w:rsidRPr="00D51B7B">
        <w:t xml:space="preserve">Из активированных В-клеток (non-GСB, </w:t>
      </w:r>
      <w:r w:rsidRPr="00D51B7B">
        <w:rPr>
          <w:lang w:val="en-US"/>
        </w:rPr>
        <w:t>ABC</w:t>
      </w:r>
      <w:r w:rsidRPr="00D51B7B">
        <w:t>-</w:t>
      </w:r>
      <w:r w:rsidRPr="00D51B7B">
        <w:rPr>
          <w:lang w:val="en-US"/>
        </w:rPr>
        <w:t>like</w:t>
      </w:r>
      <w:r w:rsidRPr="00D51B7B">
        <w:t xml:space="preserve"> подтип) </w:t>
      </w:r>
    </w:p>
    <w:p w14:paraId="6DA57C2F" w14:textId="3A679FAA" w:rsidR="00F5789A" w:rsidRDefault="007818F7" w:rsidP="00CA442F">
      <w:pPr>
        <w:spacing w:line="360" w:lineRule="auto"/>
        <w:ind w:firstLine="709"/>
        <w:contextualSpacing/>
        <w:jc w:val="both"/>
      </w:pPr>
      <w:r w:rsidRPr="00D51B7B">
        <w:t xml:space="preserve">Известно, что опухолевые клетки при ДВКЛ обычно экспрессируют пан-В-клеточные антигены, такие как </w:t>
      </w:r>
      <w:r w:rsidRPr="00D51B7B">
        <w:rPr>
          <w:lang w:val="en-US"/>
        </w:rPr>
        <w:t>CD</w:t>
      </w:r>
      <w:r w:rsidRPr="00D51B7B">
        <w:t xml:space="preserve">19, </w:t>
      </w:r>
      <w:r w:rsidRPr="00D51B7B">
        <w:rPr>
          <w:lang w:val="en-US"/>
        </w:rPr>
        <w:t>CD</w:t>
      </w:r>
      <w:r w:rsidRPr="00D51B7B">
        <w:t xml:space="preserve">20, </w:t>
      </w:r>
      <w:r w:rsidRPr="00D51B7B">
        <w:rPr>
          <w:lang w:val="en-US"/>
        </w:rPr>
        <w:t>CD</w:t>
      </w:r>
      <w:r w:rsidRPr="00D51B7B">
        <w:t xml:space="preserve">22, </w:t>
      </w:r>
      <w:r w:rsidRPr="00D51B7B">
        <w:rPr>
          <w:lang w:val="en-US"/>
        </w:rPr>
        <w:t>CD</w:t>
      </w:r>
      <w:r w:rsidRPr="00D51B7B">
        <w:t xml:space="preserve">79а, РАХ5, но в процессе прогрессии заболевания некоторые из них могут утрачиваться. В 50-75% случаев экспрессируются поверхностные и цитоплазматические иммуноглобулины (в порядке убывания </w:t>
      </w:r>
      <w:r w:rsidRPr="00D51B7B">
        <w:rPr>
          <w:lang w:val="en-US"/>
        </w:rPr>
        <w:t>IgM</w:t>
      </w:r>
      <w:r w:rsidRPr="00D51B7B">
        <w:t xml:space="preserve">, </w:t>
      </w:r>
      <w:r w:rsidRPr="00D51B7B">
        <w:rPr>
          <w:lang w:val="en-US"/>
        </w:rPr>
        <w:t>IgG</w:t>
      </w:r>
      <w:r w:rsidRPr="00D51B7B">
        <w:t xml:space="preserve">, </w:t>
      </w:r>
      <w:r w:rsidRPr="00D51B7B">
        <w:rPr>
          <w:lang w:val="en-US"/>
        </w:rPr>
        <w:t>Ig</w:t>
      </w:r>
      <w:r w:rsidRPr="00D51B7B">
        <w:t xml:space="preserve">А). </w:t>
      </w:r>
      <w:r w:rsidRPr="00D51B7B">
        <w:rPr>
          <w:lang w:val="en-US"/>
        </w:rPr>
        <w:t>CD</w:t>
      </w:r>
      <w:r w:rsidRPr="00D51B7B">
        <w:t xml:space="preserve">30 может выявляться на опухолевых клетках в 10-20% случаев, особенно </w:t>
      </w:r>
      <w:r w:rsidR="000D3073" w:rsidRPr="00D51B7B">
        <w:t>при</w:t>
      </w:r>
      <w:r w:rsidRPr="00D51B7B">
        <w:t xml:space="preserve"> анапластическом варианте лимфомы. Присутствие </w:t>
      </w:r>
      <w:r w:rsidRPr="00D51B7B">
        <w:rPr>
          <w:lang w:val="en-US"/>
        </w:rPr>
        <w:t>EBV</w:t>
      </w:r>
      <w:r w:rsidRPr="00D51B7B">
        <w:t xml:space="preserve"> в большинстве клеток является основанием для установления диагноза </w:t>
      </w:r>
      <w:r w:rsidRPr="00D51B7B">
        <w:rPr>
          <w:lang w:val="en-US"/>
        </w:rPr>
        <w:t>EBV</w:t>
      </w:r>
      <w:r w:rsidRPr="00D51B7B">
        <w:t xml:space="preserve">-позитивной ДВКЛ, неспецифицированной, </w:t>
      </w:r>
      <w:r w:rsidR="000D3073" w:rsidRPr="00D51B7B">
        <w:t xml:space="preserve">при этом </w:t>
      </w:r>
      <w:r w:rsidRPr="00D51B7B">
        <w:t xml:space="preserve">большинство опухолевых лимфоидных клеток </w:t>
      </w:r>
      <w:r w:rsidR="000D3073" w:rsidRPr="00D51B7B">
        <w:t xml:space="preserve">экспрессирют антиген </w:t>
      </w:r>
      <w:r w:rsidRPr="00D51B7B">
        <w:rPr>
          <w:lang w:val="en-US"/>
        </w:rPr>
        <w:t>CD</w:t>
      </w:r>
      <w:r w:rsidRPr="00D51B7B">
        <w:t xml:space="preserve">30. </w:t>
      </w:r>
      <w:r w:rsidR="000D3073" w:rsidRPr="00D51B7B">
        <w:t xml:space="preserve">В 5-10% случаев </w:t>
      </w:r>
      <w:r w:rsidRPr="00D51B7B">
        <w:t xml:space="preserve">на </w:t>
      </w:r>
      <w:r w:rsidR="000D3073" w:rsidRPr="00D51B7B">
        <w:t xml:space="preserve">опухолевых клетках </w:t>
      </w:r>
      <w:r w:rsidRPr="00D51B7B">
        <w:t xml:space="preserve">определяется </w:t>
      </w:r>
      <w:r w:rsidR="000D3073" w:rsidRPr="00D51B7B">
        <w:t>антиген CD5</w:t>
      </w:r>
      <w:r w:rsidRPr="00D51B7B">
        <w:t xml:space="preserve">, при этом это могут быть как </w:t>
      </w:r>
      <w:r w:rsidRPr="00D51B7B">
        <w:rPr>
          <w:lang w:val="en-US"/>
        </w:rPr>
        <w:t>de</w:t>
      </w:r>
      <w:r w:rsidRPr="00D51B7B">
        <w:t xml:space="preserve"> </w:t>
      </w:r>
      <w:r w:rsidRPr="00D51B7B">
        <w:rPr>
          <w:lang w:val="en-US"/>
        </w:rPr>
        <w:t>novo</w:t>
      </w:r>
      <w:r w:rsidRPr="00D51B7B">
        <w:t xml:space="preserve"> ДВКЛ, так и </w:t>
      </w:r>
      <w:r w:rsidRPr="00D51B7B">
        <w:lastRenderedPageBreak/>
        <w:t xml:space="preserve">вторичные крупноклеточные лимфомы, возникшие вследствие трансформации из ХЛЛ/лимфомы из малых лимфоцитов. Частота экспрессии </w:t>
      </w:r>
      <w:r w:rsidRPr="00D51B7B">
        <w:rPr>
          <w:lang w:val="en-US"/>
        </w:rPr>
        <w:t>CD</w:t>
      </w:r>
      <w:r w:rsidRPr="00D51B7B">
        <w:t xml:space="preserve">10, </w:t>
      </w:r>
      <w:r w:rsidRPr="00D51B7B">
        <w:rPr>
          <w:lang w:val="en-US"/>
        </w:rPr>
        <w:t>BCL</w:t>
      </w:r>
      <w:r w:rsidRPr="00D51B7B">
        <w:t xml:space="preserve">6, </w:t>
      </w:r>
      <w:r w:rsidRPr="00D51B7B">
        <w:rPr>
          <w:lang w:val="en-US"/>
        </w:rPr>
        <w:t>IRF</w:t>
      </w:r>
      <w:r w:rsidRPr="00D51B7B">
        <w:t>4/</w:t>
      </w:r>
      <w:r w:rsidRPr="00D51B7B">
        <w:rPr>
          <w:lang w:val="en-US"/>
        </w:rPr>
        <w:t>MUM</w:t>
      </w:r>
      <w:r w:rsidRPr="00D51B7B">
        <w:t xml:space="preserve">1, </w:t>
      </w:r>
      <w:r w:rsidRPr="00D51B7B">
        <w:rPr>
          <w:lang w:val="en-US"/>
        </w:rPr>
        <w:t>FOXP</w:t>
      </w:r>
      <w:r w:rsidRPr="00D51B7B">
        <w:t xml:space="preserve">1, </w:t>
      </w:r>
      <w:r w:rsidRPr="00D51B7B">
        <w:rPr>
          <w:lang w:val="en-US"/>
        </w:rPr>
        <w:t>GCET</w:t>
      </w:r>
      <w:r w:rsidRPr="00D51B7B">
        <w:t xml:space="preserve">1 и </w:t>
      </w:r>
      <w:r w:rsidRPr="00D51B7B">
        <w:rPr>
          <w:lang w:val="en-US"/>
        </w:rPr>
        <w:t>LM</w:t>
      </w:r>
      <w:r w:rsidRPr="00D51B7B">
        <w:t xml:space="preserve">02 варьируется. В алгоритме </w:t>
      </w:r>
      <w:r w:rsidRPr="00D51B7B">
        <w:rPr>
          <w:lang w:val="en-US"/>
        </w:rPr>
        <w:t>Hans</w:t>
      </w:r>
      <w:r w:rsidRPr="00D51B7B">
        <w:t xml:space="preserve"> </w:t>
      </w:r>
      <w:r w:rsidR="000D3073" w:rsidRPr="00D51B7B">
        <w:t>для определения подтипа ДВКЛ</w:t>
      </w:r>
      <w:r w:rsidRPr="00D51B7B">
        <w:t xml:space="preserve"> </w:t>
      </w:r>
      <w:r w:rsidR="000D3073" w:rsidRPr="00D51B7B">
        <w:t>(</w:t>
      </w:r>
      <w:r w:rsidRPr="00D51B7B">
        <w:rPr>
          <w:lang w:val="en-US"/>
        </w:rPr>
        <w:t>GCB</w:t>
      </w:r>
      <w:r w:rsidRPr="00D51B7B">
        <w:t xml:space="preserve"> </w:t>
      </w:r>
      <w:r w:rsidR="000D3073" w:rsidRPr="00D51B7B">
        <w:t>или non-GСB /</w:t>
      </w:r>
      <w:r w:rsidRPr="00D51B7B">
        <w:rPr>
          <w:lang w:val="en-US"/>
        </w:rPr>
        <w:t>ABC</w:t>
      </w:r>
      <w:r w:rsidR="000D3073" w:rsidRPr="00D51B7B">
        <w:t>) используются 3 основных маркера</w:t>
      </w:r>
      <w:r w:rsidRPr="00D51B7B">
        <w:t xml:space="preserve">: </w:t>
      </w:r>
      <w:r w:rsidRPr="00D51B7B">
        <w:rPr>
          <w:lang w:val="en-US"/>
        </w:rPr>
        <w:t>CD</w:t>
      </w:r>
      <w:r w:rsidRPr="00D51B7B">
        <w:t>10,</w:t>
      </w:r>
      <w:r w:rsidRPr="000322E4">
        <w:t xml:space="preserve"> </w:t>
      </w:r>
      <w:r w:rsidRPr="000322E4">
        <w:rPr>
          <w:lang w:val="en-US"/>
        </w:rPr>
        <w:t>BCL</w:t>
      </w:r>
      <w:r w:rsidRPr="000322E4">
        <w:t xml:space="preserve">-6 и </w:t>
      </w:r>
      <w:r w:rsidRPr="000322E4">
        <w:rPr>
          <w:lang w:val="en-US"/>
        </w:rPr>
        <w:t>IRF</w:t>
      </w:r>
      <w:r w:rsidRPr="000322E4">
        <w:t>4/</w:t>
      </w:r>
      <w:r w:rsidRPr="000322E4">
        <w:rPr>
          <w:lang w:val="en-US"/>
        </w:rPr>
        <w:t>MUM</w:t>
      </w:r>
      <w:r w:rsidRPr="000322E4">
        <w:t xml:space="preserve">1. Тест считается позитивным при выявлении этих антигенов на 30% и более опухолевых клеток. Показатель пролиферативной активности опухоли </w:t>
      </w:r>
      <w:r w:rsidRPr="000322E4">
        <w:rPr>
          <w:lang w:val="en-US"/>
        </w:rPr>
        <w:t>Ki</w:t>
      </w:r>
      <w:r w:rsidRPr="000322E4">
        <w:t>-67 высокий, от 40 до 90%</w:t>
      </w:r>
      <w:r w:rsidR="000D3073">
        <w:t xml:space="preserve">, </w:t>
      </w:r>
      <w:r w:rsidRPr="000322E4">
        <w:t xml:space="preserve">в некоторых случаях более 90%. Экспрессия р53 определяется у 20-60% </w:t>
      </w:r>
      <w:r w:rsidR="00103620" w:rsidRPr="000322E4">
        <w:t xml:space="preserve">лиц, </w:t>
      </w:r>
      <w:r w:rsidRPr="000322E4">
        <w:t xml:space="preserve">больных ДВКЛ, что во многом определяет ответ на лечение и прогноз у данной группы пациентов </w:t>
      </w:r>
      <w:r w:rsidRPr="000322E4">
        <w:fldChar w:fldCharType="begin" w:fldLock="1"/>
      </w:r>
      <w:r w:rsidR="005A2396" w:rsidRPr="000322E4">
        <w:instrText>ADDIN CSL_CITATION {"citationItems":[{"id":"ITEM-1","itemData":{"ISBN":"9789283244943","abstract":"Revised 4th edition. Introduction and overview of the classification of the myeloid neoplasms -- Myeloproliferative neoplasms -- Mastocytosis -- Myeloid/lymphoid neoplasms with eosinophilia and gene rearrangement -- Myelodysplastic/myeloproliferative neoplasms -- Myelodysplastic syndromes -- Myeloid neoplasms with germline predisposition -- Acute myeloid leukaemia and related precursor neoplasms -- Blastic plasmacytoid dendritic cell neoplasm -- Acute leukaemias of ambiguous lineage -- Introduction and overview of the classification of the lymphoid neoplasms -- Precursor lymphoid neoplasms -- Mature B-cell neoplasms -- Mature T- and NK-cell neoplasms -- Hodgkin lymphomas -- Immunodeficiency-associated lymphoproliferative disorders -- Histiocytic and dendritic cell neoplasms.","author":[{"dropping-particle":"","family":"Swerdlow","given":"Steven H.","non-dropping-particle":"","parse-names":false,"suffix":""},{"dropping-particle":"","family":"Campo","given":"Elias","non-dropping-particle":"","parse-names":false,"suffix":""},{"dropping-particle":"","family":"Harris","given":"Nancy Lee","non-dropping-particle":"","parse-names":false,"suffix":""},{"dropping-particle":"","family":"Jaffe","given":"Elaine S.","non-dropping-particle":"","parse-names":false,"suffix":""},{"dropping-particle":"","family":"Pileri","given":"Stefano A.","non-dropping-particle":"","parse-names":false,"suffix":""},{"dropping-particle":"","family":"Stein","given":"Harald","non-dropping-particle":"","parse-names":false,"suffix":""},{"dropping-particle":"","family":"Thiele","given":"Jürgen","non-dropping-particle":"","parse-names":false,"suffix":""}],"editor":[{"dropping-particle":"","family":"Swerdlow SH, Campo E, Harris NL, Jaffe ES, Pileri SA, Stein H","given":"Thiele J","non-dropping-particle":"","parse-names":false,"suffix":""}],"id":"ITEM-1","issued":{"date-parts":[["2017"]]},"number-of-pages":"585","title":"WHO classification of tumours of haematopoietic and lymphoid tissues. Revised 4th ed. Lyon, France: International Agency for Research in Cancer (IARC)","type":"book"},"uris":["http://www.mendeley.com/documents/?uuid=b06b14d2-e846-3ead-b23a-17e93b076e13"]}],"mendeley":{"formattedCitation":"[1]","plainTextFormattedCitation":"[1]","previouslyFormattedCitation":"[1]"},"properties":{"noteIndex":0},"schema":"https://github.com/citation-style-language/schema/raw/master/csl-citation.json"}</w:instrText>
      </w:r>
      <w:r w:rsidRPr="000322E4">
        <w:fldChar w:fldCharType="separate"/>
      </w:r>
      <w:r w:rsidRPr="000322E4">
        <w:rPr>
          <w:noProof/>
        </w:rPr>
        <w:t>[1]</w:t>
      </w:r>
      <w:r w:rsidRPr="000322E4">
        <w:fldChar w:fldCharType="end"/>
      </w:r>
      <w:r w:rsidRPr="000322E4">
        <w:t xml:space="preserve">. </w:t>
      </w:r>
    </w:p>
    <w:p w14:paraId="2F6CF7E4" w14:textId="12AC2E5A" w:rsidR="009D3818" w:rsidRPr="00095D58" w:rsidRDefault="009D3818" w:rsidP="009D3818">
      <w:pPr>
        <w:spacing w:line="360" w:lineRule="auto"/>
        <w:ind w:firstLine="708"/>
        <w:jc w:val="both"/>
        <w:rPr>
          <w:color w:val="000000" w:themeColor="text1"/>
          <w:lang w:val="en-US"/>
        </w:rPr>
      </w:pPr>
      <w:r w:rsidRPr="00095D58">
        <w:rPr>
          <w:color w:val="000000" w:themeColor="text1"/>
        </w:rPr>
        <w:t xml:space="preserve">При ПМВКЛ морфологическая картина характеризуется диффузной лимфоидной инфильтрацией клетками среднего и крупного размера. Частым признаком является стромальный склероз с формированием альвеолоподобного рисунка строения. Опухолевые клетки ПМВКЛ по уровню дифференцировки являются постгерминальными </w:t>
      </w:r>
      <w:r w:rsidRPr="00095D58">
        <w:rPr>
          <w:color w:val="000000" w:themeColor="text1"/>
          <w:lang w:val="en-US"/>
        </w:rPr>
        <w:t>IgM</w:t>
      </w:r>
      <w:r w:rsidRPr="00095D58">
        <w:rPr>
          <w:color w:val="000000" w:themeColor="text1"/>
        </w:rPr>
        <w:t xml:space="preserve"> негативными. Для ПМВКЛ кроме экспрессии основных В-клеточных антигенов (CD19, CD20, CD22, CD79a) характерно отсутствие антигенов СD10, CD21, поверхностных иммуноглобулинов, а также слабая экспрессия молекул МНС I и II классов. Опухолевые клетки экспрессируют активационный антиген CD23. Экспрессия СD30 для ПМВКЛ является слабой, неравномерной (в отличие от лимфомы Ходжкина, при которой практически все опухолевые клетки CD30 позитивны), сочетается с экспрессией CD23</w:t>
      </w:r>
      <w:r w:rsidR="00095D58" w:rsidRPr="00095D58">
        <w:rPr>
          <w:color w:val="000000" w:themeColor="text1"/>
        </w:rPr>
        <w:t xml:space="preserve"> </w:t>
      </w:r>
      <w:r w:rsidR="00095D58" w:rsidRPr="00095D58">
        <w:rPr>
          <w:color w:val="000000" w:themeColor="text1"/>
        </w:rPr>
        <w:fldChar w:fldCharType="begin" w:fldLock="1"/>
      </w:r>
      <w:r w:rsidR="009D170B">
        <w:rPr>
          <w:color w:val="000000" w:themeColor="text1"/>
        </w:rPr>
        <w:instrText>ADDIN CSL_CITATION {"citationItems":[{"id":"ITEM-1","itemData":{"author":[{"dropping-particle":"","family":"Bentz","given":"Martin","non-dropping-particle":"","parse-names":false,"suffix":""},{"dropping-particle":"","family":"Barth","given":"Thomas F. E.","non-dropping-particle":"","parse-names":false,"suffix":""},{"dropping-particle":"","family":"Brüderlein","given":"Silke","non-dropping-particle":"","parse-names":false,"suffix":""},{"dropping-particle":"","family":"Bock","given":"Daliah","non-dropping-particle":"","parse-names":false,"suffix":""},{"dropping-particle":"","family":"Schwerer","given":"Michael J.","non-dropping-particle":"","parse-names":false,"suffix":""},{"dropping-particle":"","family":"Baudis","given":"Michael","non-dropping-particle":"","parse-names":false,"suffix":""},{"dropping-particle":"","family":"Joos","given":"Stefan","non-dropping-particle":"","parse-names":false,"suffix":""},{"dropping-particle":"","family":"Viardot","given":"Andreas","non-dropping-particle":"","parse-names":false,"suffix":""},{"dropping-particle":"","family":"Feller","given":"Alfred C.","non-dropping-particle":"","parse-names":false,"suffix":""},{"dropping-particle":"","family":"Müller-Hermelink","given":"Hans-Konrad","non-dropping-particle":"","parse-names":false,"suffix":""},{"dropping-particle":"","family":"Lichter","given":"Peter","non-dropping-particle":"","parse-names":false,"suffix":""},{"dropping-particle":"","family":"Döhner","given":"Hartmut","non-dropping-particle":"","parse-names":false,"suffix":""},{"dropping-particle":"","family":"Möller","given":"Peter","non-dropping-particle":"","parse-names":false,"suffix":""}],"container-title":"Genes Chromosomes and Cancer","id":"ITEM-1","issue":"4","issued":{"date-parts":[["2001"]]},"page":"393-401","title":"Gain of chromosome arm 9p is characteristic of primary mediastinal b-cell lymphoma (MBL): Comprehensive molecular cytogenetic analysis and presentation of a novel MBL cell line","type":"article-journal","volume":"30"},"uris":["http://www.mendeley.com/documents/?uuid=46ae6aa6-119a-4abb-a5a7-52544e04c4b2"]}],"mendeley":{"formattedCitation":"[24]","plainTextFormattedCitation":"[24]","previouslyFormattedCitation":"[24]"},"properties":{"noteIndex":0},"schema":"https://github.com/citation-style-language/schema/raw/master/csl-citation.json"}</w:instrText>
      </w:r>
      <w:r w:rsidR="00095D58" w:rsidRPr="00095D58">
        <w:rPr>
          <w:color w:val="000000" w:themeColor="text1"/>
        </w:rPr>
        <w:fldChar w:fldCharType="separate"/>
      </w:r>
      <w:r w:rsidR="00095D58" w:rsidRPr="00095D58">
        <w:rPr>
          <w:noProof/>
          <w:color w:val="000000" w:themeColor="text1"/>
        </w:rPr>
        <w:t>[24]</w:t>
      </w:r>
      <w:r w:rsidR="00095D58" w:rsidRPr="00095D58">
        <w:rPr>
          <w:color w:val="000000" w:themeColor="text1"/>
        </w:rPr>
        <w:fldChar w:fldCharType="end"/>
      </w:r>
      <w:r w:rsidRPr="00095D58">
        <w:rPr>
          <w:color w:val="000000" w:themeColor="text1"/>
        </w:rPr>
        <w:t>.</w:t>
      </w:r>
      <w:r w:rsidRPr="00095D58">
        <w:rPr>
          <w:color w:val="000000" w:themeColor="text1"/>
          <w:lang w:val="en-US"/>
        </w:rPr>
        <w:t xml:space="preserve"> </w:t>
      </w:r>
      <w:r w:rsidRPr="00095D58">
        <w:rPr>
          <w:b/>
          <w:bCs/>
          <w:i/>
          <w:iCs/>
          <w:color w:val="000000" w:themeColor="text1"/>
          <w:lang w:val="en-US"/>
        </w:rPr>
        <w:t xml:space="preserve"> </w:t>
      </w:r>
      <w:r w:rsidRPr="00095D58">
        <w:rPr>
          <w:color w:val="000000" w:themeColor="text1"/>
          <w:lang w:val="en-US"/>
        </w:rPr>
        <w:t xml:space="preserve"> </w:t>
      </w:r>
    </w:p>
    <w:p w14:paraId="52E0DF52" w14:textId="299471CC" w:rsidR="0044108E" w:rsidRPr="00095D58" w:rsidRDefault="0044108E" w:rsidP="00CA442F">
      <w:pPr>
        <w:spacing w:line="360" w:lineRule="auto"/>
        <w:ind w:firstLine="709"/>
        <w:contextualSpacing/>
        <w:jc w:val="both"/>
        <w:rPr>
          <w:color w:val="000000" w:themeColor="text1"/>
          <w:lang w:val="en-US"/>
        </w:rPr>
      </w:pPr>
      <w:r w:rsidRPr="00095D58">
        <w:rPr>
          <w:color w:val="000000" w:themeColor="text1"/>
        </w:rPr>
        <w:t>Классификация</w:t>
      </w:r>
      <w:r w:rsidRPr="00095D58">
        <w:rPr>
          <w:color w:val="000000" w:themeColor="text1"/>
          <w:lang w:val="en-US"/>
        </w:rPr>
        <w:t xml:space="preserve"> </w:t>
      </w:r>
      <w:r w:rsidRPr="00095D58">
        <w:rPr>
          <w:color w:val="000000" w:themeColor="text1"/>
        </w:rPr>
        <w:t>ЛБ</w:t>
      </w:r>
      <w:r w:rsidRPr="00095D58">
        <w:rPr>
          <w:color w:val="000000" w:themeColor="text1"/>
          <w:lang w:val="en-US"/>
        </w:rPr>
        <w:t xml:space="preserve">: </w:t>
      </w:r>
    </w:p>
    <w:p w14:paraId="254E794D" w14:textId="726566E8" w:rsidR="0044108E" w:rsidRPr="00095D58" w:rsidRDefault="0044108E" w:rsidP="005C4D46">
      <w:pPr>
        <w:pStyle w:val="afe"/>
        <w:numPr>
          <w:ilvl w:val="0"/>
          <w:numId w:val="120"/>
        </w:numPr>
        <w:rPr>
          <w:color w:val="000000" w:themeColor="text1"/>
        </w:rPr>
      </w:pPr>
      <w:r w:rsidRPr="00095D58">
        <w:rPr>
          <w:color w:val="000000" w:themeColor="text1"/>
        </w:rPr>
        <w:t>Эндемический вариант ЛБ;</w:t>
      </w:r>
    </w:p>
    <w:p w14:paraId="65582E53" w14:textId="58EA42E6" w:rsidR="0044108E" w:rsidRPr="00095D58" w:rsidRDefault="0044108E" w:rsidP="005C4D46">
      <w:pPr>
        <w:pStyle w:val="afe"/>
        <w:numPr>
          <w:ilvl w:val="0"/>
          <w:numId w:val="120"/>
        </w:numPr>
        <w:rPr>
          <w:color w:val="000000" w:themeColor="text1"/>
        </w:rPr>
      </w:pPr>
      <w:r w:rsidRPr="00095D58">
        <w:rPr>
          <w:color w:val="000000" w:themeColor="text1"/>
        </w:rPr>
        <w:t>Спорадический вариант ЛБ;</w:t>
      </w:r>
    </w:p>
    <w:p w14:paraId="47E56A11" w14:textId="1C77CED2" w:rsidR="0044108E" w:rsidRPr="00095D58" w:rsidRDefault="0044108E" w:rsidP="005C4D46">
      <w:pPr>
        <w:pStyle w:val="afe"/>
        <w:numPr>
          <w:ilvl w:val="0"/>
          <w:numId w:val="120"/>
        </w:numPr>
        <w:rPr>
          <w:color w:val="000000" w:themeColor="text1"/>
        </w:rPr>
      </w:pPr>
      <w:r w:rsidRPr="00095D58">
        <w:rPr>
          <w:color w:val="000000" w:themeColor="text1"/>
        </w:rPr>
        <w:t xml:space="preserve">Иммунодефицит-ассоциированная ЛБ </w:t>
      </w:r>
      <w:r w:rsidRPr="00095D58">
        <w:rPr>
          <w:color w:val="000000" w:themeColor="text1"/>
        </w:rPr>
        <w:fldChar w:fldCharType="begin" w:fldLock="1"/>
      </w:r>
      <w:r w:rsidR="00AE0A1D" w:rsidRPr="00095D58">
        <w:rPr>
          <w:color w:val="000000" w:themeColor="text1"/>
        </w:rPr>
        <w:instrText>ADDIN CSL_CITATION {"citationItems":[{"id":"ITEM-1","itemData":{"author":[{"dropping-particle":"","family":"Барях","given":"Е.А.","non-dropping-particle":"","parse-names":false,"suffix":""}],"container-title":"Российские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Савченко.","id":"ITEM-1","issued":{"date-parts":[["2018"]]},"page":"80-87","title":"Лимфома Беркитта","type":"chapter"},"uris":["http://www.mendeley.com/documents/?uuid=6c46cd48-7af0-4ac2-8eb1-93f86718c4df"]}],"mendeley":{"formattedCitation":"[4]","plainTextFormattedCitation":"[4]","previouslyFormattedCitation":"[4]"},"properties":{"noteIndex":0},"schema":"https://github.com/citation-style-language/schema/raw/master/csl-citation.json"}</w:instrText>
      </w:r>
      <w:r w:rsidRPr="00095D58">
        <w:rPr>
          <w:color w:val="000000" w:themeColor="text1"/>
        </w:rPr>
        <w:fldChar w:fldCharType="separate"/>
      </w:r>
      <w:r w:rsidR="00726C75" w:rsidRPr="00095D58">
        <w:rPr>
          <w:noProof/>
          <w:color w:val="000000" w:themeColor="text1"/>
        </w:rPr>
        <w:t>[4]</w:t>
      </w:r>
      <w:r w:rsidRPr="00095D58">
        <w:rPr>
          <w:color w:val="000000" w:themeColor="text1"/>
        </w:rPr>
        <w:fldChar w:fldCharType="end"/>
      </w:r>
    </w:p>
    <w:p w14:paraId="0099F6FD" w14:textId="77777777" w:rsidR="00F5789A" w:rsidRPr="000322E4" w:rsidRDefault="00B46390" w:rsidP="00CA442F">
      <w:pPr>
        <w:pStyle w:val="2"/>
        <w:spacing w:before="0"/>
        <w:rPr>
          <w:color w:val="000000" w:themeColor="text1"/>
        </w:rPr>
      </w:pPr>
      <w:bookmarkStart w:id="17" w:name="_Toc96601233"/>
      <w:r w:rsidRPr="000322E4">
        <w:rPr>
          <w:color w:val="000000" w:themeColor="text1"/>
        </w:rPr>
        <w:t>1.6 Клиническая картина</w:t>
      </w:r>
      <w:r w:rsidR="00A70F44" w:rsidRPr="000322E4">
        <w:rPr>
          <w:color w:val="000000" w:themeColor="text1"/>
        </w:rPr>
        <w:t xml:space="preserve"> </w:t>
      </w:r>
      <w:r w:rsidR="00A70F44" w:rsidRPr="000322E4">
        <w:rPr>
          <w:color w:val="000000" w:themeColor="text1"/>
          <w:shd w:val="clear" w:color="auto" w:fill="FFFFFF"/>
        </w:rPr>
        <w:t>заболевания или состояния (группы заболеваний или состояний)</w:t>
      </w:r>
      <w:bookmarkEnd w:id="17"/>
    </w:p>
    <w:p w14:paraId="2DA4E835" w14:textId="4AF6AF3C" w:rsidR="000718D1" w:rsidRDefault="000718D1" w:rsidP="00CA442F">
      <w:pPr>
        <w:spacing w:line="360" w:lineRule="auto"/>
        <w:ind w:firstLine="709"/>
        <w:contextualSpacing/>
        <w:jc w:val="both"/>
      </w:pPr>
      <w:r w:rsidRPr="000322E4">
        <w:t>Клинические признаки</w:t>
      </w:r>
      <w:r w:rsidR="00C51648" w:rsidRPr="000322E4">
        <w:t xml:space="preserve"> ДВКЛ</w:t>
      </w:r>
      <w:r w:rsidRPr="000322E4">
        <w:t xml:space="preserve"> разнообразны, не всегда специфичны и определяются первичной локализацией, скоростью роста </w:t>
      </w:r>
      <w:r w:rsidRPr="00D51B7B">
        <w:t>и распространенностью опухоли, а также наличием/отсутствием симптомов интоксикации (В-симптом</w:t>
      </w:r>
      <w:r w:rsidR="000D3073" w:rsidRPr="00D51B7B">
        <w:t xml:space="preserve">ы </w:t>
      </w:r>
      <w:r w:rsidRPr="00D51B7B">
        <w:t>– температурой тела &gt;38°С более 3 дней без признаков воспаления, ночны</w:t>
      </w:r>
      <w:r w:rsidR="000D3073" w:rsidRPr="00D51B7B">
        <w:t xml:space="preserve">е </w:t>
      </w:r>
      <w:r w:rsidRPr="00D51B7B">
        <w:t>про</w:t>
      </w:r>
      <w:r w:rsidR="000D3073" w:rsidRPr="00D51B7B">
        <w:t xml:space="preserve">ливные </w:t>
      </w:r>
      <w:r w:rsidRPr="00D51B7B">
        <w:t>пот</w:t>
      </w:r>
      <w:r w:rsidR="000D3073" w:rsidRPr="00D51B7B">
        <w:t>ы</w:t>
      </w:r>
      <w:r w:rsidRPr="00D51B7B">
        <w:t>, похуданием на 10% массы тела за последние 6 мес.). Может</w:t>
      </w:r>
      <w:r w:rsidRPr="000322E4">
        <w:t xml:space="preserve"> наблюдаться увеличение лимфатических узлов, в случае вовлечения в процесс лимфатических узлов средостения и/или тимуса возможно развитие синдрома верхней полой вены (цианоз; </w:t>
      </w:r>
      <w:r w:rsidRPr="00095D58">
        <w:rPr>
          <w:color w:val="000000" w:themeColor="text1"/>
        </w:rPr>
        <w:t xml:space="preserve">одутловатость </w:t>
      </w:r>
      <w:r w:rsidR="00416EB2" w:rsidRPr="00095D58">
        <w:rPr>
          <w:color w:val="000000" w:themeColor="text1"/>
        </w:rPr>
        <w:t xml:space="preserve">лица, отек </w:t>
      </w:r>
      <w:r w:rsidRPr="000322E4">
        <w:t xml:space="preserve">головы, шеи, верхних конечностей, верхней половины грудной клетки; расширение подкожных вен; одышка, охриплость голоса, </w:t>
      </w:r>
      <w:r w:rsidRPr="000322E4">
        <w:lastRenderedPageBreak/>
        <w:t>кашель и др.). Процесс, локализованный в лимфатических узлах брюшной полости/забрюшинного пространства, может манифестироваться возникновением болевого синдрома и/или признаками нарушения функции внутренних органов, компремированных опухолевыми образованиями. При экстранодальном поражении обычно превалируют симптомы нарушения функции соответствующих органов и систем. ПЛЦНС в большинстве случаев проявляется очаговой и/или общемозговой неврологической симптоматикой. Часто встречаются изменения психики, симптомы повышения внутричерепного давления, судорожные припадки.</w:t>
      </w:r>
    </w:p>
    <w:p w14:paraId="20A32246" w14:textId="75F35EEE" w:rsidR="0044108E" w:rsidRPr="00095D58" w:rsidRDefault="0044108E" w:rsidP="00CA442F">
      <w:pPr>
        <w:spacing w:line="360" w:lineRule="auto"/>
        <w:ind w:firstLine="709"/>
        <w:contextualSpacing/>
        <w:jc w:val="both"/>
        <w:rPr>
          <w:color w:val="000000" w:themeColor="text1"/>
        </w:rPr>
      </w:pPr>
      <w:r w:rsidRPr="00095D58">
        <w:rPr>
          <w:color w:val="000000" w:themeColor="text1"/>
        </w:rPr>
        <w:t>Клинические проявления ПМВКЛ обусловлены локализацией опухоли в средостении и, в зависимости от ее объема, варьируют от отсутствия клигических проявлений до симптомов, обусловленных сдавлением и/или прорастанием органов и структур средостения (синдром верхней полой вены, симптомы вовлечения перикарда, реже плевры). Также могут наблюдаться симптомы опухолевой интоксикации.</w:t>
      </w:r>
    </w:p>
    <w:p w14:paraId="2A6CF7BF" w14:textId="77777777" w:rsidR="00C51648" w:rsidRPr="000322E4" w:rsidRDefault="00C51648" w:rsidP="00CA442F">
      <w:pPr>
        <w:spacing w:line="360" w:lineRule="auto"/>
        <w:ind w:firstLine="709"/>
        <w:contextualSpacing/>
        <w:jc w:val="both"/>
      </w:pPr>
      <w:r w:rsidRPr="000322E4">
        <w:t>Клинические проявления ЛБ обусловлены локализацией и объемом опухоли. Практически всегда есть В-симптомы, чаще всего – быстро развивающаяся потеря массы тела (до 10 кг и более за месяц).</w:t>
      </w:r>
    </w:p>
    <w:p w14:paraId="31692C19" w14:textId="77777777" w:rsidR="00C51648" w:rsidRPr="000322E4" w:rsidRDefault="00C51648" w:rsidP="00CA442F">
      <w:pPr>
        <w:spacing w:line="360" w:lineRule="auto"/>
        <w:ind w:firstLine="709"/>
        <w:contextualSpacing/>
        <w:jc w:val="both"/>
      </w:pPr>
      <w:r w:rsidRPr="000322E4">
        <w:t xml:space="preserve">Для ЛБ характерна экстранодальная локализация опухоли. Наиболее часто поражаются органы брюшной полости: тонкая кишка (чаще ее терминальный отдел), брыжейка, а также желудок, толстая кишка, брюшина, печень, селезенка. Специфическое поражение костного мозга наблюдается в 25-35% случаев, центральной нервной системы - в 20-25% случаев. Типично вовлечение почек, яичников, яичек, абдоминальных и забрюшинных лимфатических узлов (особенно в илеоцекальной области), реже – периферических лимфатических узлов.  </w:t>
      </w:r>
    </w:p>
    <w:p w14:paraId="2ACD84C7" w14:textId="77777777" w:rsidR="00C51648" w:rsidRPr="000322E4" w:rsidRDefault="00C51648" w:rsidP="00CA442F">
      <w:pPr>
        <w:spacing w:line="360" w:lineRule="auto"/>
        <w:ind w:firstLine="709"/>
        <w:contextualSpacing/>
        <w:jc w:val="both"/>
      </w:pPr>
      <w:r w:rsidRPr="000322E4">
        <w:t>В 10-15% случаев ЛБ отмечено вовлечение кольца Вальдейера, слюнных желез, верхней и нижней челюсти, орбиты. Средостение поражается редко.</w:t>
      </w:r>
    </w:p>
    <w:p w14:paraId="296B7F47" w14:textId="77777777" w:rsidR="00C51648" w:rsidRPr="000322E4" w:rsidRDefault="00C51648" w:rsidP="00CA442F">
      <w:pPr>
        <w:spacing w:line="360" w:lineRule="auto"/>
        <w:ind w:firstLine="709"/>
        <w:contextualSpacing/>
        <w:jc w:val="both"/>
      </w:pPr>
      <w:r w:rsidRPr="000322E4">
        <w:t xml:space="preserve">Характерным симптомокомплексом при ЛБ является клиника «острого живота» в результате обструктивной кишечной непроходимости, острого аппендицита, желудочно-кишечного кровотечения или перфорации вследствие специфической инфильтрации желудка и/или кишечника. При физикальном осмотре у больного можно обнаружить увеличение живота за счет опухоли и асцита. Рост опухоли происходит стремительно, и в большинстве случаев к моменту госпитализации поражение органов брюшной полости представлено массивным опухолевым конгломератом с вовлечением нескольких внутренних органов. Как правило, больные ЛБ поступают в стационар в тяжелом или крайне тяжелом </w:t>
      </w:r>
      <w:r w:rsidRPr="000322E4">
        <w:lastRenderedPageBreak/>
        <w:t>состоянии, обусловленном большой опухолевой массой, интоксикацией, истощением вплоть до кахексии, электролитными нарушениями. Нередко основной терапевтической проблемой у больных ЛБ на начальном этапе заболевания является прогрессирующая острая почечная недостаточность (ОПН). Наиболее частыми причинами ее развития являются специфическое поражение почек, синдром лизиса опухоли (СЛО) и нарушение уродинамики за счет сдавления мочеточников опухолевым конгломератом с развитием постренальной анурии.</w:t>
      </w:r>
    </w:p>
    <w:p w14:paraId="1BFE92BC" w14:textId="77777777" w:rsidR="000414F6" w:rsidRPr="000322E4" w:rsidRDefault="00B46390" w:rsidP="00CA442F">
      <w:pPr>
        <w:pStyle w:val="afff2"/>
      </w:pPr>
      <w:bookmarkStart w:id="18" w:name="_Toc96601234"/>
      <w:r w:rsidRPr="000322E4">
        <w:t xml:space="preserve">2. </w:t>
      </w:r>
      <w:r w:rsidR="00CB71DA" w:rsidRPr="000322E4">
        <w:t>Диагностика</w:t>
      </w:r>
      <w:bookmarkEnd w:id="12"/>
      <w:r w:rsidR="0038545E" w:rsidRPr="000322E4">
        <w:t xml:space="preserve"> заболевания или состояния (группы заболеваний или состояний), медицинские показания и противопоказания к применению методов диагностики</w:t>
      </w:r>
      <w:bookmarkEnd w:id="18"/>
    </w:p>
    <w:p w14:paraId="10500084" w14:textId="77777777" w:rsidR="00F5789A" w:rsidRPr="000322E4" w:rsidRDefault="00F5789A" w:rsidP="00CA442F">
      <w:pPr>
        <w:tabs>
          <w:tab w:val="left" w:pos="709"/>
        </w:tabs>
        <w:spacing w:line="360" w:lineRule="auto"/>
        <w:ind w:firstLine="709"/>
        <w:jc w:val="both"/>
        <w:rPr>
          <w:i/>
          <w:iCs/>
        </w:rPr>
      </w:pPr>
      <w:r w:rsidRPr="000322E4">
        <w:rPr>
          <w:i/>
          <w:iCs/>
        </w:rPr>
        <w:t>Многие рекомендованные методы диагностики заболевания и связанных с ним состояний имеют ограниченную доказательную базу (в соответствии с шкалами оценки УДД и УРР) по причине отсутствия посвященных им клинических исследований. Невзирая на это, они являются необходимыми элементами обследования пациента для установления диагноза и выбора тактики лечения, так как более эффективные и доказанные методы в настоящее время не разработаны.</w:t>
      </w:r>
    </w:p>
    <w:p w14:paraId="68308B59" w14:textId="74334530" w:rsidR="000718D1" w:rsidRDefault="00334F6C" w:rsidP="00CA442F">
      <w:pPr>
        <w:tabs>
          <w:tab w:val="left" w:pos="709"/>
        </w:tabs>
        <w:spacing w:line="360" w:lineRule="auto"/>
        <w:ind w:firstLine="709"/>
        <w:jc w:val="both"/>
        <w:rPr>
          <w:i/>
          <w:iCs/>
        </w:rPr>
      </w:pPr>
      <w:r w:rsidRPr="000322E4">
        <w:rPr>
          <w:b/>
          <w:i/>
        </w:rPr>
        <w:t>Критерии установления диагноза/</w:t>
      </w:r>
      <w:r w:rsidR="00B0565A" w:rsidRPr="000322E4">
        <w:rPr>
          <w:b/>
          <w:i/>
        </w:rPr>
        <w:t>состояния</w:t>
      </w:r>
      <w:r w:rsidR="00ED5598" w:rsidRPr="000322E4">
        <w:rPr>
          <w:b/>
          <w:i/>
        </w:rPr>
        <w:t xml:space="preserve">: </w:t>
      </w:r>
      <w:r w:rsidR="000718D1" w:rsidRPr="000322E4">
        <w:rPr>
          <w:i/>
          <w:iCs/>
        </w:rPr>
        <w:t>диагноз</w:t>
      </w:r>
      <w:r w:rsidR="00C51648" w:rsidRPr="000322E4">
        <w:rPr>
          <w:i/>
          <w:iCs/>
        </w:rPr>
        <w:t>ы</w:t>
      </w:r>
      <w:r w:rsidR="000718D1" w:rsidRPr="000322E4">
        <w:rPr>
          <w:i/>
          <w:iCs/>
        </w:rPr>
        <w:t xml:space="preserve"> ДВКЛ</w:t>
      </w:r>
      <w:r w:rsidR="009B70C4" w:rsidRPr="000322E4">
        <w:rPr>
          <w:i/>
          <w:iCs/>
        </w:rPr>
        <w:t>, ПМВКЛ</w:t>
      </w:r>
      <w:r w:rsidR="00C51648" w:rsidRPr="000322E4">
        <w:rPr>
          <w:i/>
          <w:iCs/>
        </w:rPr>
        <w:t xml:space="preserve"> и ЛБ</w:t>
      </w:r>
      <w:r w:rsidR="000718D1" w:rsidRPr="000322E4">
        <w:rPr>
          <w:i/>
          <w:iCs/>
        </w:rPr>
        <w:t xml:space="preserve"> устанавлива</w:t>
      </w:r>
      <w:r w:rsidR="009B70C4" w:rsidRPr="000322E4">
        <w:rPr>
          <w:i/>
          <w:iCs/>
        </w:rPr>
        <w:t>ю</w:t>
      </w:r>
      <w:r w:rsidR="000718D1" w:rsidRPr="000322E4">
        <w:rPr>
          <w:i/>
          <w:iCs/>
        </w:rPr>
        <w:t xml:space="preserve">тся на основании </w:t>
      </w:r>
      <w:r w:rsidR="00103620" w:rsidRPr="000322E4">
        <w:rPr>
          <w:i/>
          <w:iCs/>
        </w:rPr>
        <w:t xml:space="preserve">патолого-анатомического </w:t>
      </w:r>
      <w:r w:rsidR="000718D1" w:rsidRPr="000322E4">
        <w:rPr>
          <w:i/>
          <w:iCs/>
        </w:rPr>
        <w:t>исследования биоптата опухоли</w:t>
      </w:r>
      <w:r w:rsidR="00103620" w:rsidRPr="000322E4">
        <w:rPr>
          <w:i/>
          <w:iCs/>
        </w:rPr>
        <w:t xml:space="preserve"> с применением иммуногистохимических методов</w:t>
      </w:r>
      <w:r w:rsidR="000718D1" w:rsidRPr="000322E4">
        <w:rPr>
          <w:i/>
          <w:iCs/>
        </w:rPr>
        <w:t xml:space="preserve">. Рекомендуется обязательное выполнение </w:t>
      </w:r>
      <w:r w:rsidR="000718D1" w:rsidRPr="00095D58">
        <w:rPr>
          <w:i/>
          <w:iCs/>
          <w:color w:val="000000" w:themeColor="text1"/>
        </w:rPr>
        <w:t>эксцизионной биопсии</w:t>
      </w:r>
      <w:r w:rsidR="003D0E86" w:rsidRPr="00095D58">
        <w:rPr>
          <w:i/>
          <w:iCs/>
          <w:color w:val="000000" w:themeColor="text1"/>
        </w:rPr>
        <w:t xml:space="preserve"> или расширенной биопсии, так как при лимфомах информативность игольных биоптатов относительно невысока и может приводить к ошибкам диагностики</w:t>
      </w:r>
      <w:r w:rsidR="000718D1" w:rsidRPr="00095D58">
        <w:rPr>
          <w:i/>
          <w:iCs/>
          <w:color w:val="000000" w:themeColor="text1"/>
        </w:rPr>
        <w:t xml:space="preserve"> (</w:t>
      </w:r>
      <w:r w:rsidR="003D0E86" w:rsidRPr="00095D58">
        <w:rPr>
          <w:i/>
          <w:iCs/>
          <w:color w:val="000000" w:themeColor="text1"/>
        </w:rPr>
        <w:t xml:space="preserve">только </w:t>
      </w:r>
      <w:r w:rsidR="000718D1" w:rsidRPr="00095D58">
        <w:rPr>
          <w:i/>
          <w:iCs/>
          <w:color w:val="000000" w:themeColor="text1"/>
        </w:rPr>
        <w:t>при отсутствии технической возможности</w:t>
      </w:r>
      <w:r w:rsidR="003D0E86" w:rsidRPr="00095D58">
        <w:rPr>
          <w:i/>
          <w:iCs/>
          <w:color w:val="000000" w:themeColor="text1"/>
        </w:rPr>
        <w:t xml:space="preserve"> полноценной биопсии</w:t>
      </w:r>
      <w:r w:rsidR="000718D1" w:rsidRPr="00095D58">
        <w:rPr>
          <w:i/>
          <w:iCs/>
          <w:color w:val="000000" w:themeColor="text1"/>
        </w:rPr>
        <w:t xml:space="preserve"> – </w:t>
      </w:r>
      <w:r w:rsidR="003D0E86" w:rsidRPr="00095D58">
        <w:rPr>
          <w:i/>
          <w:iCs/>
          <w:color w:val="000000" w:themeColor="text1"/>
        </w:rPr>
        <w:t xml:space="preserve">проведение </w:t>
      </w:r>
      <w:r w:rsidR="000718D1" w:rsidRPr="00095D58">
        <w:rPr>
          <w:i/>
          <w:iCs/>
          <w:color w:val="000000" w:themeColor="text1"/>
          <w:lang w:val="en-US"/>
        </w:rPr>
        <w:t>cor</w:t>
      </w:r>
      <w:r w:rsidR="000718D1" w:rsidRPr="00095D58">
        <w:rPr>
          <w:i/>
          <w:iCs/>
          <w:color w:val="000000" w:themeColor="text1"/>
        </w:rPr>
        <w:t xml:space="preserve">-биопсии) лимфатического узла или очага поражения с </w:t>
      </w:r>
      <w:r w:rsidR="00103620" w:rsidRPr="00095D58">
        <w:rPr>
          <w:i/>
          <w:iCs/>
          <w:color w:val="000000" w:themeColor="text1"/>
        </w:rPr>
        <w:t xml:space="preserve">последующим патолого-анатомическим исследованием </w:t>
      </w:r>
      <w:r w:rsidR="000718D1" w:rsidRPr="00095D58">
        <w:rPr>
          <w:i/>
          <w:iCs/>
          <w:color w:val="000000" w:themeColor="text1"/>
        </w:rPr>
        <w:t xml:space="preserve">(цитологическим и гистологическим) </w:t>
      </w:r>
      <w:r w:rsidR="00103620" w:rsidRPr="00095D58">
        <w:rPr>
          <w:i/>
          <w:iCs/>
          <w:color w:val="000000" w:themeColor="text1"/>
        </w:rPr>
        <w:t>с применением иммуногистохимических методов</w:t>
      </w:r>
      <w:r w:rsidR="000718D1" w:rsidRPr="00095D58">
        <w:rPr>
          <w:i/>
          <w:iCs/>
          <w:color w:val="000000" w:themeColor="text1"/>
        </w:rPr>
        <w:t xml:space="preserve">. Для уточнения диагноза </w:t>
      </w:r>
      <w:r w:rsidR="00416EB2" w:rsidRPr="00095D58">
        <w:rPr>
          <w:i/>
          <w:iCs/>
          <w:color w:val="000000" w:themeColor="text1"/>
        </w:rPr>
        <w:t xml:space="preserve">ЛБ и высокоагрессивных В-клеточных лимфом </w:t>
      </w:r>
      <w:r w:rsidR="000718D1" w:rsidRPr="00095D58">
        <w:rPr>
          <w:i/>
          <w:iCs/>
          <w:color w:val="000000" w:themeColor="text1"/>
        </w:rPr>
        <w:t xml:space="preserve">требуется дополнительно выполнение молекулярно-биологических </w:t>
      </w:r>
      <w:r w:rsidR="000718D1" w:rsidRPr="000322E4">
        <w:rPr>
          <w:i/>
          <w:iCs/>
        </w:rPr>
        <w:t xml:space="preserve">и цитогенетических методов исследования биологического материала </w:t>
      </w:r>
      <w:r w:rsidR="000718D1" w:rsidRPr="000322E4">
        <w:rPr>
          <w:i/>
          <w:iCs/>
        </w:rPr>
        <w:fldChar w:fldCharType="begin" w:fldLock="1"/>
      </w:r>
      <w:r w:rsidR="009D170B">
        <w:rPr>
          <w:i/>
          <w:iCs/>
        </w:rPr>
        <w:instrText>ADDIN CSL_CITATION {"citationItems":[{"id":"ITEM-1","itemData":{"ISBN":"9291271195","author":[{"dropping-particle":"","family":"Zelenetz","given":"A.D.","non-dropping-particle":"","parse-names":false,"suffix":""},{"dropping-particle":"","family":"Gordon","given":"L.I.","non-dropping-particle":"","parse-names":false,"suffix":""},{"dropping-particle":"","family":"Abramson","given":"J.S.","non-dropping-particle":"","parse-names":false,"suffix":""},{"dropping-particle":"","family":"Advani","given":"R.H.","non-dropping-particle":"","parse-names":false,"suffix":""},{"dropping-particle":"","family":"Bartlett","given":"N.L.","non-dropping-particle":"","parse-names":false,"suffix":""},{"dropping-particle":"","family":"Caimi","given":"P.F.","non-dropping-particle":"","parse-names":false,"suffix":""}],"id":"ITEM-1","issued":{"date-parts":[["0"]]},"title":"B-cell lymphomas. NCCN Clinical Practice Guidelines in Oncology. Version 5.2019","type":"article"},"uris":["http://www.mendeley.com/documents/?uuid=4e117fbe-c678-350d-9b0c-f8bba5d6f848"]}],"mendeley":{"formattedCitation":"[25]","plainTextFormattedCitation":"[25]","previouslyFormattedCitation":"[25]"},"properties":{"noteIndex":0},"schema":"https://github.com/citation-style-language/schema/raw/master/csl-citation.json"}</w:instrText>
      </w:r>
      <w:r w:rsidR="000718D1" w:rsidRPr="000322E4">
        <w:rPr>
          <w:i/>
          <w:iCs/>
        </w:rPr>
        <w:fldChar w:fldCharType="separate"/>
      </w:r>
      <w:r w:rsidR="00095D58" w:rsidRPr="00095D58">
        <w:rPr>
          <w:iCs/>
          <w:noProof/>
        </w:rPr>
        <w:t>[25]</w:t>
      </w:r>
      <w:r w:rsidR="000718D1" w:rsidRPr="000322E4">
        <w:rPr>
          <w:i/>
          <w:iCs/>
        </w:rPr>
        <w:fldChar w:fldCharType="end"/>
      </w:r>
      <w:r w:rsidR="000718D1" w:rsidRPr="000322E4">
        <w:rPr>
          <w:i/>
          <w:iCs/>
        </w:rPr>
        <w:t>.</w:t>
      </w:r>
    </w:p>
    <w:p w14:paraId="295ED127" w14:textId="4C58427A" w:rsidR="004D1259" w:rsidRPr="00095D58" w:rsidRDefault="004D1259" w:rsidP="00CA442F">
      <w:pPr>
        <w:tabs>
          <w:tab w:val="left" w:pos="709"/>
        </w:tabs>
        <w:spacing w:line="360" w:lineRule="auto"/>
        <w:ind w:firstLine="709"/>
        <w:jc w:val="both"/>
        <w:rPr>
          <w:i/>
          <w:iCs/>
          <w:color w:val="000000" w:themeColor="text1"/>
        </w:rPr>
      </w:pPr>
      <w:r w:rsidRPr="000322E4">
        <w:rPr>
          <w:i/>
          <w:iCs/>
        </w:rPr>
        <w:t xml:space="preserve">Яркие клинические особенности ЛБ позволяют предположить этот диагноз уже на основании внимательной оценки анамнеза, клинических проявлений, первоочередных стандартных лабораторных показателей и результатов простейших первоначальных диагностических мероприятий (УЗИ брюшной полости). Дальнейший диагностический процесс, получение и исследование материала должны проводиться в режиме оказания неотложной помощи, целью </w:t>
      </w:r>
      <w:r w:rsidRPr="00095D58">
        <w:rPr>
          <w:i/>
          <w:iCs/>
          <w:color w:val="000000" w:themeColor="text1"/>
        </w:rPr>
        <w:lastRenderedPageBreak/>
        <w:t xml:space="preserve">которой является верификация диагноза и срочное начало соответствующей </w:t>
      </w:r>
      <w:r w:rsidR="00416EB2" w:rsidRPr="00095D58">
        <w:rPr>
          <w:i/>
          <w:iCs/>
          <w:color w:val="000000" w:themeColor="text1"/>
        </w:rPr>
        <w:t>программы</w:t>
      </w:r>
      <w:r w:rsidRPr="00095D58">
        <w:rPr>
          <w:i/>
          <w:iCs/>
          <w:color w:val="000000" w:themeColor="text1"/>
        </w:rPr>
        <w:t xml:space="preserve"> терапии </w:t>
      </w:r>
      <w:r w:rsidRPr="00095D58">
        <w:rPr>
          <w:i/>
          <w:iCs/>
          <w:color w:val="000000" w:themeColor="text1"/>
          <w:lang w:val="en-US"/>
        </w:rPr>
        <w:fldChar w:fldCharType="begin" w:fldLock="1"/>
      </w:r>
      <w:r w:rsidR="00AE0A1D" w:rsidRPr="00095D58">
        <w:rPr>
          <w:i/>
          <w:iCs/>
          <w:color w:val="000000" w:themeColor="text1"/>
          <w:lang w:val="en-US"/>
        </w:rPr>
        <w:instrText>ADDIN</w:instrText>
      </w:r>
      <w:r w:rsidR="00AE0A1D" w:rsidRPr="00095D58">
        <w:rPr>
          <w:i/>
          <w:iCs/>
          <w:color w:val="000000" w:themeColor="text1"/>
        </w:rPr>
        <w:instrText xml:space="preserve"> </w:instrText>
      </w:r>
      <w:r w:rsidR="00AE0A1D" w:rsidRPr="00095D58">
        <w:rPr>
          <w:i/>
          <w:iCs/>
          <w:color w:val="000000" w:themeColor="text1"/>
          <w:lang w:val="en-US"/>
        </w:rPr>
        <w:instrText>CSL</w:instrText>
      </w:r>
      <w:r w:rsidR="00AE0A1D" w:rsidRPr="00095D58">
        <w:rPr>
          <w:i/>
          <w:iCs/>
          <w:color w:val="000000" w:themeColor="text1"/>
        </w:rPr>
        <w:instrText>_</w:instrText>
      </w:r>
      <w:r w:rsidR="00AE0A1D" w:rsidRPr="00095D58">
        <w:rPr>
          <w:i/>
          <w:iCs/>
          <w:color w:val="000000" w:themeColor="text1"/>
          <w:lang w:val="en-US"/>
        </w:rPr>
        <w:instrText>CITATION</w:instrText>
      </w:r>
      <w:r w:rsidR="00AE0A1D" w:rsidRPr="00095D58">
        <w:rPr>
          <w:i/>
          <w:iCs/>
          <w:color w:val="000000" w:themeColor="text1"/>
        </w:rPr>
        <w:instrText xml:space="preserve"> {"</w:instrText>
      </w:r>
      <w:r w:rsidR="00AE0A1D" w:rsidRPr="00095D58">
        <w:rPr>
          <w:i/>
          <w:iCs/>
          <w:color w:val="000000" w:themeColor="text1"/>
          <w:lang w:val="en-US"/>
        </w:rPr>
        <w:instrText>citationItems</w:instrText>
      </w:r>
      <w:r w:rsidR="00AE0A1D" w:rsidRPr="00095D58">
        <w:rPr>
          <w:i/>
          <w:iCs/>
          <w:color w:val="000000" w:themeColor="text1"/>
        </w:rPr>
        <w:instrText>":[{"</w:instrText>
      </w:r>
      <w:r w:rsidR="00AE0A1D" w:rsidRPr="00095D58">
        <w:rPr>
          <w:i/>
          <w:iCs/>
          <w:color w:val="000000" w:themeColor="text1"/>
          <w:lang w:val="en-US"/>
        </w:rPr>
        <w:instrText>id</w:instrText>
      </w:r>
      <w:r w:rsidR="00AE0A1D" w:rsidRPr="00095D58">
        <w:rPr>
          <w:i/>
          <w:iCs/>
          <w:color w:val="000000" w:themeColor="text1"/>
        </w:rPr>
        <w:instrText>":"</w:instrText>
      </w:r>
      <w:r w:rsidR="00AE0A1D" w:rsidRPr="00095D58">
        <w:rPr>
          <w:i/>
          <w:iCs/>
          <w:color w:val="000000" w:themeColor="text1"/>
          <w:lang w:val="en-US"/>
        </w:rPr>
        <w:instrText>ITEM</w:instrText>
      </w:r>
      <w:r w:rsidR="00AE0A1D" w:rsidRPr="00095D58">
        <w:rPr>
          <w:i/>
          <w:iCs/>
          <w:color w:val="000000" w:themeColor="text1"/>
        </w:rPr>
        <w:instrText>-1","</w:instrText>
      </w:r>
      <w:r w:rsidR="00AE0A1D" w:rsidRPr="00095D58">
        <w:rPr>
          <w:i/>
          <w:iCs/>
          <w:color w:val="000000" w:themeColor="text1"/>
          <w:lang w:val="en-US"/>
        </w:rPr>
        <w:instrText>itemData</w:instrText>
      </w:r>
      <w:r w:rsidR="00AE0A1D" w:rsidRPr="00095D58">
        <w:rPr>
          <w:i/>
          <w:iCs/>
          <w:color w:val="000000" w:themeColor="text1"/>
        </w:rPr>
        <w:instrText>":{"</w:instrText>
      </w:r>
      <w:r w:rsidR="00AE0A1D" w:rsidRPr="00095D58">
        <w:rPr>
          <w:i/>
          <w:iCs/>
          <w:color w:val="000000" w:themeColor="text1"/>
          <w:lang w:val="en-US"/>
        </w:rPr>
        <w:instrText>author</w:instrText>
      </w:r>
      <w:r w:rsidR="00AE0A1D" w:rsidRPr="00095D58">
        <w:rPr>
          <w:i/>
          <w:iCs/>
          <w:color w:val="000000" w:themeColor="text1"/>
        </w:rPr>
        <w:instrText>":[{"</w:instrText>
      </w:r>
      <w:r w:rsidR="00AE0A1D" w:rsidRPr="00095D58">
        <w:rPr>
          <w:i/>
          <w:iCs/>
          <w:color w:val="000000" w:themeColor="text1"/>
          <w:lang w:val="en-US"/>
        </w:rPr>
        <w:instrText>dropping</w:instrText>
      </w:r>
      <w:r w:rsidR="00AE0A1D" w:rsidRPr="00095D58">
        <w:rPr>
          <w:i/>
          <w:iCs/>
          <w:color w:val="000000" w:themeColor="text1"/>
        </w:rPr>
        <w:instrText>-</w:instrText>
      </w:r>
      <w:r w:rsidR="00AE0A1D" w:rsidRPr="00095D58">
        <w:rPr>
          <w:i/>
          <w:iCs/>
          <w:color w:val="000000" w:themeColor="text1"/>
          <w:lang w:val="en-US"/>
        </w:rPr>
        <w:instrText>particle</w:instrText>
      </w:r>
      <w:r w:rsidR="00AE0A1D" w:rsidRPr="00095D58">
        <w:rPr>
          <w:i/>
          <w:iCs/>
          <w:color w:val="000000" w:themeColor="text1"/>
        </w:rPr>
        <w:instrText>":"","</w:instrText>
      </w:r>
      <w:r w:rsidR="00AE0A1D" w:rsidRPr="00095D58">
        <w:rPr>
          <w:i/>
          <w:iCs/>
          <w:color w:val="000000" w:themeColor="text1"/>
          <w:lang w:val="en-US"/>
        </w:rPr>
        <w:instrText>family</w:instrText>
      </w:r>
      <w:r w:rsidR="00AE0A1D" w:rsidRPr="00095D58">
        <w:rPr>
          <w:i/>
          <w:iCs/>
          <w:color w:val="000000" w:themeColor="text1"/>
        </w:rPr>
        <w:instrText>":"Барях","</w:instrText>
      </w:r>
      <w:r w:rsidR="00AE0A1D" w:rsidRPr="00095D58">
        <w:rPr>
          <w:i/>
          <w:iCs/>
          <w:color w:val="000000" w:themeColor="text1"/>
          <w:lang w:val="en-US"/>
        </w:rPr>
        <w:instrText>given</w:instrText>
      </w:r>
      <w:r w:rsidR="00AE0A1D" w:rsidRPr="00095D58">
        <w:rPr>
          <w:i/>
          <w:iCs/>
          <w:color w:val="000000" w:themeColor="text1"/>
        </w:rPr>
        <w:instrText>":"Е.А.","</w:instrText>
      </w:r>
      <w:r w:rsidR="00AE0A1D" w:rsidRPr="00095D58">
        <w:rPr>
          <w:i/>
          <w:iCs/>
          <w:color w:val="000000" w:themeColor="text1"/>
          <w:lang w:val="en-US"/>
        </w:rPr>
        <w:instrText>non</w:instrText>
      </w:r>
      <w:r w:rsidR="00AE0A1D" w:rsidRPr="00095D58">
        <w:rPr>
          <w:i/>
          <w:iCs/>
          <w:color w:val="000000" w:themeColor="text1"/>
        </w:rPr>
        <w:instrText>-</w:instrText>
      </w:r>
      <w:r w:rsidR="00AE0A1D" w:rsidRPr="00095D58">
        <w:rPr>
          <w:i/>
          <w:iCs/>
          <w:color w:val="000000" w:themeColor="text1"/>
          <w:lang w:val="en-US"/>
        </w:rPr>
        <w:instrText>dropping</w:instrText>
      </w:r>
      <w:r w:rsidR="00AE0A1D" w:rsidRPr="00095D58">
        <w:rPr>
          <w:i/>
          <w:iCs/>
          <w:color w:val="000000" w:themeColor="text1"/>
        </w:rPr>
        <w:instrText>-</w:instrText>
      </w:r>
      <w:r w:rsidR="00AE0A1D" w:rsidRPr="00095D58">
        <w:rPr>
          <w:i/>
          <w:iCs/>
          <w:color w:val="000000" w:themeColor="text1"/>
          <w:lang w:val="en-US"/>
        </w:rPr>
        <w:instrText>particle</w:instrText>
      </w:r>
      <w:r w:rsidR="00AE0A1D" w:rsidRPr="00095D58">
        <w:rPr>
          <w:i/>
          <w:iCs/>
          <w:color w:val="000000" w:themeColor="text1"/>
        </w:rPr>
        <w:instrText>":"","</w:instrText>
      </w:r>
      <w:r w:rsidR="00AE0A1D" w:rsidRPr="00095D58">
        <w:rPr>
          <w:i/>
          <w:iCs/>
          <w:color w:val="000000" w:themeColor="text1"/>
          <w:lang w:val="en-US"/>
        </w:rPr>
        <w:instrText>parse</w:instrText>
      </w:r>
      <w:r w:rsidR="00AE0A1D" w:rsidRPr="00095D58">
        <w:rPr>
          <w:i/>
          <w:iCs/>
          <w:color w:val="000000" w:themeColor="text1"/>
        </w:rPr>
        <w:instrText>-</w:instrText>
      </w:r>
      <w:r w:rsidR="00AE0A1D" w:rsidRPr="00095D58">
        <w:rPr>
          <w:i/>
          <w:iCs/>
          <w:color w:val="000000" w:themeColor="text1"/>
          <w:lang w:val="en-US"/>
        </w:rPr>
        <w:instrText>names</w:instrText>
      </w:r>
      <w:r w:rsidR="00AE0A1D" w:rsidRPr="00095D58">
        <w:rPr>
          <w:i/>
          <w:iCs/>
          <w:color w:val="000000" w:themeColor="text1"/>
        </w:rPr>
        <w:instrText>":</w:instrText>
      </w:r>
      <w:r w:rsidR="00AE0A1D" w:rsidRPr="00095D58">
        <w:rPr>
          <w:i/>
          <w:iCs/>
          <w:color w:val="000000" w:themeColor="text1"/>
          <w:lang w:val="en-US"/>
        </w:rPr>
        <w:instrText>false</w:instrText>
      </w:r>
      <w:r w:rsidR="00AE0A1D" w:rsidRPr="00095D58">
        <w:rPr>
          <w:i/>
          <w:iCs/>
          <w:color w:val="000000" w:themeColor="text1"/>
        </w:rPr>
        <w:instrText>,"</w:instrText>
      </w:r>
      <w:r w:rsidR="00AE0A1D" w:rsidRPr="00095D58">
        <w:rPr>
          <w:i/>
          <w:iCs/>
          <w:color w:val="000000" w:themeColor="text1"/>
          <w:lang w:val="en-US"/>
        </w:rPr>
        <w:instrText>suffix</w:instrText>
      </w:r>
      <w:r w:rsidR="00AE0A1D" w:rsidRPr="00095D58">
        <w:rPr>
          <w:i/>
          <w:iCs/>
          <w:color w:val="000000" w:themeColor="text1"/>
        </w:rPr>
        <w:instrText>":""}],"</w:instrText>
      </w:r>
      <w:r w:rsidR="00AE0A1D" w:rsidRPr="00095D58">
        <w:rPr>
          <w:i/>
          <w:iCs/>
          <w:color w:val="000000" w:themeColor="text1"/>
          <w:lang w:val="en-US"/>
        </w:rPr>
        <w:instrText>container</w:instrText>
      </w:r>
      <w:r w:rsidR="00AE0A1D" w:rsidRPr="00095D58">
        <w:rPr>
          <w:i/>
          <w:iCs/>
          <w:color w:val="000000" w:themeColor="text1"/>
        </w:rPr>
        <w:instrText>-</w:instrText>
      </w:r>
      <w:r w:rsidR="00AE0A1D" w:rsidRPr="00095D58">
        <w:rPr>
          <w:i/>
          <w:iCs/>
          <w:color w:val="000000" w:themeColor="text1"/>
          <w:lang w:val="en-US"/>
        </w:rPr>
        <w:instrText>title</w:instrText>
      </w:r>
      <w:r w:rsidR="00AE0A1D" w:rsidRPr="00095D58">
        <w:rPr>
          <w:i/>
          <w:iCs/>
          <w:color w:val="000000" w:themeColor="text1"/>
        </w:rPr>
        <w:instrText>":"Российские клинические рекомендации по диагностике и лечению злокачественных лимфопролиферативных заболеваний; под ред. И.В. Поддубной, В.Г. Савченко.","</w:instrText>
      </w:r>
      <w:r w:rsidR="00AE0A1D" w:rsidRPr="00095D58">
        <w:rPr>
          <w:i/>
          <w:iCs/>
          <w:color w:val="000000" w:themeColor="text1"/>
          <w:lang w:val="en-US"/>
        </w:rPr>
        <w:instrText>id</w:instrText>
      </w:r>
      <w:r w:rsidR="00AE0A1D" w:rsidRPr="00095D58">
        <w:rPr>
          <w:i/>
          <w:iCs/>
          <w:color w:val="000000" w:themeColor="text1"/>
        </w:rPr>
        <w:instrText>":"</w:instrText>
      </w:r>
      <w:r w:rsidR="00AE0A1D" w:rsidRPr="00095D58">
        <w:rPr>
          <w:i/>
          <w:iCs/>
          <w:color w:val="000000" w:themeColor="text1"/>
          <w:lang w:val="en-US"/>
        </w:rPr>
        <w:instrText>ITEM</w:instrText>
      </w:r>
      <w:r w:rsidR="00AE0A1D" w:rsidRPr="00095D58">
        <w:rPr>
          <w:i/>
          <w:iCs/>
          <w:color w:val="000000" w:themeColor="text1"/>
        </w:rPr>
        <w:instrText>-1","</w:instrText>
      </w:r>
      <w:r w:rsidR="00AE0A1D" w:rsidRPr="00095D58">
        <w:rPr>
          <w:i/>
          <w:iCs/>
          <w:color w:val="000000" w:themeColor="text1"/>
          <w:lang w:val="en-US"/>
        </w:rPr>
        <w:instrText>issued</w:instrText>
      </w:r>
      <w:r w:rsidR="00AE0A1D" w:rsidRPr="00095D58">
        <w:rPr>
          <w:i/>
          <w:iCs/>
          <w:color w:val="000000" w:themeColor="text1"/>
        </w:rPr>
        <w:instrText>":{"</w:instrText>
      </w:r>
      <w:r w:rsidR="00AE0A1D" w:rsidRPr="00095D58">
        <w:rPr>
          <w:i/>
          <w:iCs/>
          <w:color w:val="000000" w:themeColor="text1"/>
          <w:lang w:val="en-US"/>
        </w:rPr>
        <w:instrText>date</w:instrText>
      </w:r>
      <w:r w:rsidR="00AE0A1D" w:rsidRPr="00095D58">
        <w:rPr>
          <w:i/>
          <w:iCs/>
          <w:color w:val="000000" w:themeColor="text1"/>
        </w:rPr>
        <w:instrText>-</w:instrText>
      </w:r>
      <w:r w:rsidR="00AE0A1D" w:rsidRPr="00095D58">
        <w:rPr>
          <w:i/>
          <w:iCs/>
          <w:color w:val="000000" w:themeColor="text1"/>
          <w:lang w:val="en-US"/>
        </w:rPr>
        <w:instrText>parts</w:instrText>
      </w:r>
      <w:r w:rsidR="00AE0A1D" w:rsidRPr="00095D58">
        <w:rPr>
          <w:i/>
          <w:iCs/>
          <w:color w:val="000000" w:themeColor="text1"/>
        </w:rPr>
        <w:instrText>":[["2018"]]},"</w:instrText>
      </w:r>
      <w:r w:rsidR="00AE0A1D" w:rsidRPr="00095D58">
        <w:rPr>
          <w:i/>
          <w:iCs/>
          <w:color w:val="000000" w:themeColor="text1"/>
          <w:lang w:val="en-US"/>
        </w:rPr>
        <w:instrText>page</w:instrText>
      </w:r>
      <w:r w:rsidR="00AE0A1D" w:rsidRPr="00095D58">
        <w:rPr>
          <w:i/>
          <w:iCs/>
          <w:color w:val="000000" w:themeColor="text1"/>
        </w:rPr>
        <w:instrText>":"80-87","</w:instrText>
      </w:r>
      <w:r w:rsidR="00AE0A1D" w:rsidRPr="00095D58">
        <w:rPr>
          <w:i/>
          <w:iCs/>
          <w:color w:val="000000" w:themeColor="text1"/>
          <w:lang w:val="en-US"/>
        </w:rPr>
        <w:instrText>title</w:instrText>
      </w:r>
      <w:r w:rsidR="00AE0A1D" w:rsidRPr="00095D58">
        <w:rPr>
          <w:i/>
          <w:iCs/>
          <w:color w:val="000000" w:themeColor="text1"/>
        </w:rPr>
        <w:instrText>":"Лимфома Беркитта","</w:instrText>
      </w:r>
      <w:r w:rsidR="00AE0A1D" w:rsidRPr="00095D58">
        <w:rPr>
          <w:i/>
          <w:iCs/>
          <w:color w:val="000000" w:themeColor="text1"/>
          <w:lang w:val="en-US"/>
        </w:rPr>
        <w:instrText>type</w:instrText>
      </w:r>
      <w:r w:rsidR="00AE0A1D" w:rsidRPr="00095D58">
        <w:rPr>
          <w:i/>
          <w:iCs/>
          <w:color w:val="000000" w:themeColor="text1"/>
        </w:rPr>
        <w:instrText>":"</w:instrText>
      </w:r>
      <w:r w:rsidR="00AE0A1D" w:rsidRPr="00095D58">
        <w:rPr>
          <w:i/>
          <w:iCs/>
          <w:color w:val="000000" w:themeColor="text1"/>
          <w:lang w:val="en-US"/>
        </w:rPr>
        <w:instrText>chapter</w:instrText>
      </w:r>
      <w:r w:rsidR="00AE0A1D" w:rsidRPr="00095D58">
        <w:rPr>
          <w:i/>
          <w:iCs/>
          <w:color w:val="000000" w:themeColor="text1"/>
        </w:rPr>
        <w:instrText>"},"</w:instrText>
      </w:r>
      <w:r w:rsidR="00AE0A1D" w:rsidRPr="00095D58">
        <w:rPr>
          <w:i/>
          <w:iCs/>
          <w:color w:val="000000" w:themeColor="text1"/>
          <w:lang w:val="en-US"/>
        </w:rPr>
        <w:instrText>uris</w:instrText>
      </w:r>
      <w:r w:rsidR="00AE0A1D" w:rsidRPr="00095D58">
        <w:rPr>
          <w:i/>
          <w:iCs/>
          <w:color w:val="000000" w:themeColor="text1"/>
        </w:rPr>
        <w:instrText>":["</w:instrText>
      </w:r>
      <w:r w:rsidR="00AE0A1D" w:rsidRPr="00095D58">
        <w:rPr>
          <w:i/>
          <w:iCs/>
          <w:color w:val="000000" w:themeColor="text1"/>
          <w:lang w:val="en-US"/>
        </w:rPr>
        <w:instrText>http</w:instrText>
      </w:r>
      <w:r w:rsidR="00AE0A1D" w:rsidRPr="00095D58">
        <w:rPr>
          <w:i/>
          <w:iCs/>
          <w:color w:val="000000" w:themeColor="text1"/>
        </w:rPr>
        <w:instrText>://</w:instrText>
      </w:r>
      <w:r w:rsidR="00AE0A1D" w:rsidRPr="00095D58">
        <w:rPr>
          <w:i/>
          <w:iCs/>
          <w:color w:val="000000" w:themeColor="text1"/>
          <w:lang w:val="en-US"/>
        </w:rPr>
        <w:instrText>www</w:instrText>
      </w:r>
      <w:r w:rsidR="00AE0A1D" w:rsidRPr="00095D58">
        <w:rPr>
          <w:i/>
          <w:iCs/>
          <w:color w:val="000000" w:themeColor="text1"/>
        </w:rPr>
        <w:instrText>.</w:instrText>
      </w:r>
      <w:r w:rsidR="00AE0A1D" w:rsidRPr="00095D58">
        <w:rPr>
          <w:i/>
          <w:iCs/>
          <w:color w:val="000000" w:themeColor="text1"/>
          <w:lang w:val="en-US"/>
        </w:rPr>
        <w:instrText>mendeley</w:instrText>
      </w:r>
      <w:r w:rsidR="00AE0A1D" w:rsidRPr="00095D58">
        <w:rPr>
          <w:i/>
          <w:iCs/>
          <w:color w:val="000000" w:themeColor="text1"/>
        </w:rPr>
        <w:instrText>.</w:instrText>
      </w:r>
      <w:r w:rsidR="00AE0A1D" w:rsidRPr="00095D58">
        <w:rPr>
          <w:i/>
          <w:iCs/>
          <w:color w:val="000000" w:themeColor="text1"/>
          <w:lang w:val="en-US"/>
        </w:rPr>
        <w:instrText>com</w:instrText>
      </w:r>
      <w:r w:rsidR="00AE0A1D" w:rsidRPr="00095D58">
        <w:rPr>
          <w:i/>
          <w:iCs/>
          <w:color w:val="000000" w:themeColor="text1"/>
        </w:rPr>
        <w:instrText>/</w:instrText>
      </w:r>
      <w:r w:rsidR="00AE0A1D" w:rsidRPr="00095D58">
        <w:rPr>
          <w:i/>
          <w:iCs/>
          <w:color w:val="000000" w:themeColor="text1"/>
          <w:lang w:val="en-US"/>
        </w:rPr>
        <w:instrText>documents</w:instrText>
      </w:r>
      <w:r w:rsidR="00AE0A1D" w:rsidRPr="00095D58">
        <w:rPr>
          <w:i/>
          <w:iCs/>
          <w:color w:val="000000" w:themeColor="text1"/>
        </w:rPr>
        <w:instrText>/?</w:instrText>
      </w:r>
      <w:r w:rsidR="00AE0A1D" w:rsidRPr="00095D58">
        <w:rPr>
          <w:i/>
          <w:iCs/>
          <w:color w:val="000000" w:themeColor="text1"/>
          <w:lang w:val="en-US"/>
        </w:rPr>
        <w:instrText>uuid</w:instrText>
      </w:r>
      <w:r w:rsidR="00AE0A1D" w:rsidRPr="00095D58">
        <w:rPr>
          <w:i/>
          <w:iCs/>
          <w:color w:val="000000" w:themeColor="text1"/>
        </w:rPr>
        <w:instrText>=6</w:instrText>
      </w:r>
      <w:r w:rsidR="00AE0A1D" w:rsidRPr="00095D58">
        <w:rPr>
          <w:i/>
          <w:iCs/>
          <w:color w:val="000000" w:themeColor="text1"/>
          <w:lang w:val="en-US"/>
        </w:rPr>
        <w:instrText>c</w:instrText>
      </w:r>
      <w:r w:rsidR="00AE0A1D" w:rsidRPr="00095D58">
        <w:rPr>
          <w:i/>
          <w:iCs/>
          <w:color w:val="000000" w:themeColor="text1"/>
        </w:rPr>
        <w:instrText>46</w:instrText>
      </w:r>
      <w:r w:rsidR="00AE0A1D" w:rsidRPr="00095D58">
        <w:rPr>
          <w:i/>
          <w:iCs/>
          <w:color w:val="000000" w:themeColor="text1"/>
          <w:lang w:val="en-US"/>
        </w:rPr>
        <w:instrText>cd</w:instrText>
      </w:r>
      <w:r w:rsidR="00AE0A1D" w:rsidRPr="00095D58">
        <w:rPr>
          <w:i/>
          <w:iCs/>
          <w:color w:val="000000" w:themeColor="text1"/>
        </w:rPr>
        <w:instrText>48-7</w:instrText>
      </w:r>
      <w:r w:rsidR="00AE0A1D" w:rsidRPr="00095D58">
        <w:rPr>
          <w:i/>
          <w:iCs/>
          <w:color w:val="000000" w:themeColor="text1"/>
          <w:lang w:val="en-US"/>
        </w:rPr>
        <w:instrText>af</w:instrText>
      </w:r>
      <w:r w:rsidR="00AE0A1D" w:rsidRPr="00095D58">
        <w:rPr>
          <w:i/>
          <w:iCs/>
          <w:color w:val="000000" w:themeColor="text1"/>
        </w:rPr>
        <w:instrText>0-4</w:instrText>
      </w:r>
      <w:r w:rsidR="00AE0A1D" w:rsidRPr="00095D58">
        <w:rPr>
          <w:i/>
          <w:iCs/>
          <w:color w:val="000000" w:themeColor="text1"/>
          <w:lang w:val="en-US"/>
        </w:rPr>
        <w:instrText>ac</w:instrText>
      </w:r>
      <w:r w:rsidR="00AE0A1D" w:rsidRPr="00095D58">
        <w:rPr>
          <w:i/>
          <w:iCs/>
          <w:color w:val="000000" w:themeColor="text1"/>
        </w:rPr>
        <w:instrText>2-8</w:instrText>
      </w:r>
      <w:r w:rsidR="00AE0A1D" w:rsidRPr="00095D58">
        <w:rPr>
          <w:i/>
          <w:iCs/>
          <w:color w:val="000000" w:themeColor="text1"/>
          <w:lang w:val="en-US"/>
        </w:rPr>
        <w:instrText>eb</w:instrText>
      </w:r>
      <w:r w:rsidR="00AE0A1D" w:rsidRPr="00095D58">
        <w:rPr>
          <w:i/>
          <w:iCs/>
          <w:color w:val="000000" w:themeColor="text1"/>
        </w:rPr>
        <w:instrText>1-93</w:instrText>
      </w:r>
      <w:r w:rsidR="00AE0A1D" w:rsidRPr="00095D58">
        <w:rPr>
          <w:i/>
          <w:iCs/>
          <w:color w:val="000000" w:themeColor="text1"/>
          <w:lang w:val="en-US"/>
        </w:rPr>
        <w:instrText>f</w:instrText>
      </w:r>
      <w:r w:rsidR="00AE0A1D" w:rsidRPr="00095D58">
        <w:rPr>
          <w:i/>
          <w:iCs/>
          <w:color w:val="000000" w:themeColor="text1"/>
        </w:rPr>
        <w:instrText>86718</w:instrText>
      </w:r>
      <w:r w:rsidR="00AE0A1D" w:rsidRPr="00095D58">
        <w:rPr>
          <w:i/>
          <w:iCs/>
          <w:color w:val="000000" w:themeColor="text1"/>
          <w:lang w:val="en-US"/>
        </w:rPr>
        <w:instrText>c</w:instrText>
      </w:r>
      <w:r w:rsidR="00AE0A1D" w:rsidRPr="00095D58">
        <w:rPr>
          <w:i/>
          <w:iCs/>
          <w:color w:val="000000" w:themeColor="text1"/>
        </w:rPr>
        <w:instrText>4</w:instrText>
      </w:r>
      <w:r w:rsidR="00AE0A1D" w:rsidRPr="00095D58">
        <w:rPr>
          <w:i/>
          <w:iCs/>
          <w:color w:val="000000" w:themeColor="text1"/>
          <w:lang w:val="en-US"/>
        </w:rPr>
        <w:instrText>df</w:instrText>
      </w:r>
      <w:r w:rsidR="00AE0A1D" w:rsidRPr="00095D58">
        <w:rPr>
          <w:i/>
          <w:iCs/>
          <w:color w:val="000000" w:themeColor="text1"/>
        </w:rPr>
        <w:instrText>"]}],"</w:instrText>
      </w:r>
      <w:r w:rsidR="00AE0A1D" w:rsidRPr="00095D58">
        <w:rPr>
          <w:i/>
          <w:iCs/>
          <w:color w:val="000000" w:themeColor="text1"/>
          <w:lang w:val="en-US"/>
        </w:rPr>
        <w:instrText>mendeley</w:instrText>
      </w:r>
      <w:r w:rsidR="00AE0A1D" w:rsidRPr="00095D58">
        <w:rPr>
          <w:i/>
          <w:iCs/>
          <w:color w:val="000000" w:themeColor="text1"/>
        </w:rPr>
        <w:instrText>":{"</w:instrText>
      </w:r>
      <w:r w:rsidR="00AE0A1D" w:rsidRPr="00095D58">
        <w:rPr>
          <w:i/>
          <w:iCs/>
          <w:color w:val="000000" w:themeColor="text1"/>
          <w:lang w:val="en-US"/>
        </w:rPr>
        <w:instrText>formattedCitation</w:instrText>
      </w:r>
      <w:r w:rsidR="00AE0A1D" w:rsidRPr="00095D58">
        <w:rPr>
          <w:i/>
          <w:iCs/>
          <w:color w:val="000000" w:themeColor="text1"/>
        </w:rPr>
        <w:instrText>":"[4]","</w:instrText>
      </w:r>
      <w:r w:rsidR="00AE0A1D" w:rsidRPr="00095D58">
        <w:rPr>
          <w:i/>
          <w:iCs/>
          <w:color w:val="000000" w:themeColor="text1"/>
          <w:lang w:val="en-US"/>
        </w:rPr>
        <w:instrText>plainTextFormattedCitation</w:instrText>
      </w:r>
      <w:r w:rsidR="00AE0A1D" w:rsidRPr="00095D58">
        <w:rPr>
          <w:i/>
          <w:iCs/>
          <w:color w:val="000000" w:themeColor="text1"/>
        </w:rPr>
        <w:instrText>":"[4]","</w:instrText>
      </w:r>
      <w:r w:rsidR="00AE0A1D" w:rsidRPr="00095D58">
        <w:rPr>
          <w:i/>
          <w:iCs/>
          <w:color w:val="000000" w:themeColor="text1"/>
          <w:lang w:val="en-US"/>
        </w:rPr>
        <w:instrText>previouslyFormattedCitation</w:instrText>
      </w:r>
      <w:r w:rsidR="00AE0A1D" w:rsidRPr="00095D58">
        <w:rPr>
          <w:i/>
          <w:iCs/>
          <w:color w:val="000000" w:themeColor="text1"/>
        </w:rPr>
        <w:instrText>":"[4]"},"</w:instrText>
      </w:r>
      <w:r w:rsidR="00AE0A1D" w:rsidRPr="00095D58">
        <w:rPr>
          <w:i/>
          <w:iCs/>
          <w:color w:val="000000" w:themeColor="text1"/>
          <w:lang w:val="en-US"/>
        </w:rPr>
        <w:instrText>properties</w:instrText>
      </w:r>
      <w:r w:rsidR="00AE0A1D" w:rsidRPr="00095D58">
        <w:rPr>
          <w:i/>
          <w:iCs/>
          <w:color w:val="000000" w:themeColor="text1"/>
        </w:rPr>
        <w:instrText>":{"</w:instrText>
      </w:r>
      <w:r w:rsidR="00AE0A1D" w:rsidRPr="00095D58">
        <w:rPr>
          <w:i/>
          <w:iCs/>
          <w:color w:val="000000" w:themeColor="text1"/>
          <w:lang w:val="en-US"/>
        </w:rPr>
        <w:instrText>noteIndex</w:instrText>
      </w:r>
      <w:r w:rsidR="00AE0A1D" w:rsidRPr="00095D58">
        <w:rPr>
          <w:i/>
          <w:iCs/>
          <w:color w:val="000000" w:themeColor="text1"/>
        </w:rPr>
        <w:instrText>":0},"</w:instrText>
      </w:r>
      <w:r w:rsidR="00AE0A1D" w:rsidRPr="00095D58">
        <w:rPr>
          <w:i/>
          <w:iCs/>
          <w:color w:val="000000" w:themeColor="text1"/>
          <w:lang w:val="en-US"/>
        </w:rPr>
        <w:instrText>schema</w:instrText>
      </w:r>
      <w:r w:rsidR="00AE0A1D" w:rsidRPr="00095D58">
        <w:rPr>
          <w:i/>
          <w:iCs/>
          <w:color w:val="000000" w:themeColor="text1"/>
        </w:rPr>
        <w:instrText>":"</w:instrText>
      </w:r>
      <w:r w:rsidR="00AE0A1D" w:rsidRPr="00095D58">
        <w:rPr>
          <w:i/>
          <w:iCs/>
          <w:color w:val="000000" w:themeColor="text1"/>
          <w:lang w:val="en-US"/>
        </w:rPr>
        <w:instrText>https</w:instrText>
      </w:r>
      <w:r w:rsidR="00AE0A1D" w:rsidRPr="00095D58">
        <w:rPr>
          <w:i/>
          <w:iCs/>
          <w:color w:val="000000" w:themeColor="text1"/>
        </w:rPr>
        <w:instrText>://</w:instrText>
      </w:r>
      <w:r w:rsidR="00AE0A1D" w:rsidRPr="00095D58">
        <w:rPr>
          <w:i/>
          <w:iCs/>
          <w:color w:val="000000" w:themeColor="text1"/>
          <w:lang w:val="en-US"/>
        </w:rPr>
        <w:instrText>github</w:instrText>
      </w:r>
      <w:r w:rsidR="00AE0A1D" w:rsidRPr="00095D58">
        <w:rPr>
          <w:i/>
          <w:iCs/>
          <w:color w:val="000000" w:themeColor="text1"/>
        </w:rPr>
        <w:instrText>.</w:instrText>
      </w:r>
      <w:r w:rsidR="00AE0A1D" w:rsidRPr="00095D58">
        <w:rPr>
          <w:i/>
          <w:iCs/>
          <w:color w:val="000000" w:themeColor="text1"/>
          <w:lang w:val="en-US"/>
        </w:rPr>
        <w:instrText>com</w:instrText>
      </w:r>
      <w:r w:rsidR="00AE0A1D" w:rsidRPr="00095D58">
        <w:rPr>
          <w:i/>
          <w:iCs/>
          <w:color w:val="000000" w:themeColor="text1"/>
        </w:rPr>
        <w:instrText>/</w:instrText>
      </w:r>
      <w:r w:rsidR="00AE0A1D" w:rsidRPr="00095D58">
        <w:rPr>
          <w:i/>
          <w:iCs/>
          <w:color w:val="000000" w:themeColor="text1"/>
          <w:lang w:val="en-US"/>
        </w:rPr>
        <w:instrText>citation</w:instrText>
      </w:r>
      <w:r w:rsidR="00AE0A1D" w:rsidRPr="00095D58">
        <w:rPr>
          <w:i/>
          <w:iCs/>
          <w:color w:val="000000" w:themeColor="text1"/>
        </w:rPr>
        <w:instrText>-</w:instrText>
      </w:r>
      <w:r w:rsidR="00AE0A1D" w:rsidRPr="00095D58">
        <w:rPr>
          <w:i/>
          <w:iCs/>
          <w:color w:val="000000" w:themeColor="text1"/>
          <w:lang w:val="en-US"/>
        </w:rPr>
        <w:instrText>style</w:instrText>
      </w:r>
      <w:r w:rsidR="00AE0A1D" w:rsidRPr="00095D58">
        <w:rPr>
          <w:i/>
          <w:iCs/>
          <w:color w:val="000000" w:themeColor="text1"/>
        </w:rPr>
        <w:instrText>-</w:instrText>
      </w:r>
      <w:r w:rsidR="00AE0A1D" w:rsidRPr="00095D58">
        <w:rPr>
          <w:i/>
          <w:iCs/>
          <w:color w:val="000000" w:themeColor="text1"/>
          <w:lang w:val="en-US"/>
        </w:rPr>
        <w:instrText>language</w:instrText>
      </w:r>
      <w:r w:rsidR="00AE0A1D" w:rsidRPr="00095D58">
        <w:rPr>
          <w:i/>
          <w:iCs/>
          <w:color w:val="000000" w:themeColor="text1"/>
        </w:rPr>
        <w:instrText>/</w:instrText>
      </w:r>
      <w:r w:rsidR="00AE0A1D" w:rsidRPr="00095D58">
        <w:rPr>
          <w:i/>
          <w:iCs/>
          <w:color w:val="000000" w:themeColor="text1"/>
          <w:lang w:val="en-US"/>
        </w:rPr>
        <w:instrText>schema</w:instrText>
      </w:r>
      <w:r w:rsidR="00AE0A1D" w:rsidRPr="00095D58">
        <w:rPr>
          <w:i/>
          <w:iCs/>
          <w:color w:val="000000" w:themeColor="text1"/>
        </w:rPr>
        <w:instrText>/</w:instrText>
      </w:r>
      <w:r w:rsidR="00AE0A1D" w:rsidRPr="00095D58">
        <w:rPr>
          <w:i/>
          <w:iCs/>
          <w:color w:val="000000" w:themeColor="text1"/>
          <w:lang w:val="en-US"/>
        </w:rPr>
        <w:instrText>raw</w:instrText>
      </w:r>
      <w:r w:rsidR="00AE0A1D" w:rsidRPr="00095D58">
        <w:rPr>
          <w:i/>
          <w:iCs/>
          <w:color w:val="000000" w:themeColor="text1"/>
        </w:rPr>
        <w:instrText>/</w:instrText>
      </w:r>
      <w:r w:rsidR="00AE0A1D" w:rsidRPr="00095D58">
        <w:rPr>
          <w:i/>
          <w:iCs/>
          <w:color w:val="000000" w:themeColor="text1"/>
          <w:lang w:val="en-US"/>
        </w:rPr>
        <w:instrText>master</w:instrText>
      </w:r>
      <w:r w:rsidR="00AE0A1D" w:rsidRPr="00095D58">
        <w:rPr>
          <w:i/>
          <w:iCs/>
          <w:color w:val="000000" w:themeColor="text1"/>
        </w:rPr>
        <w:instrText>/</w:instrText>
      </w:r>
      <w:r w:rsidR="00AE0A1D" w:rsidRPr="00095D58">
        <w:rPr>
          <w:i/>
          <w:iCs/>
          <w:color w:val="000000" w:themeColor="text1"/>
          <w:lang w:val="en-US"/>
        </w:rPr>
        <w:instrText>csl</w:instrText>
      </w:r>
      <w:r w:rsidR="00AE0A1D" w:rsidRPr="00095D58">
        <w:rPr>
          <w:i/>
          <w:iCs/>
          <w:color w:val="000000" w:themeColor="text1"/>
        </w:rPr>
        <w:instrText>-</w:instrText>
      </w:r>
      <w:r w:rsidR="00AE0A1D" w:rsidRPr="00095D58">
        <w:rPr>
          <w:i/>
          <w:iCs/>
          <w:color w:val="000000" w:themeColor="text1"/>
          <w:lang w:val="en-US"/>
        </w:rPr>
        <w:instrText>citation</w:instrText>
      </w:r>
      <w:r w:rsidR="00AE0A1D" w:rsidRPr="00095D58">
        <w:rPr>
          <w:i/>
          <w:iCs/>
          <w:color w:val="000000" w:themeColor="text1"/>
        </w:rPr>
        <w:instrText>.</w:instrText>
      </w:r>
      <w:r w:rsidR="00AE0A1D" w:rsidRPr="00095D58">
        <w:rPr>
          <w:i/>
          <w:iCs/>
          <w:color w:val="000000" w:themeColor="text1"/>
          <w:lang w:val="en-US"/>
        </w:rPr>
        <w:instrText>json</w:instrText>
      </w:r>
      <w:r w:rsidR="00AE0A1D" w:rsidRPr="00095D58">
        <w:rPr>
          <w:i/>
          <w:iCs/>
          <w:color w:val="000000" w:themeColor="text1"/>
        </w:rPr>
        <w:instrText>"}</w:instrText>
      </w:r>
      <w:r w:rsidRPr="00095D58">
        <w:rPr>
          <w:i/>
          <w:iCs/>
          <w:color w:val="000000" w:themeColor="text1"/>
          <w:lang w:val="en-US"/>
        </w:rPr>
        <w:fldChar w:fldCharType="separate"/>
      </w:r>
      <w:r w:rsidR="00726C75" w:rsidRPr="00095D58">
        <w:rPr>
          <w:iCs/>
          <w:noProof/>
          <w:color w:val="000000" w:themeColor="text1"/>
        </w:rPr>
        <w:t>[4]</w:t>
      </w:r>
      <w:r w:rsidRPr="00095D58">
        <w:rPr>
          <w:i/>
          <w:iCs/>
          <w:color w:val="000000" w:themeColor="text1"/>
          <w:lang w:val="en-US"/>
        </w:rPr>
        <w:fldChar w:fldCharType="end"/>
      </w:r>
      <w:r w:rsidRPr="00095D58">
        <w:rPr>
          <w:i/>
          <w:iCs/>
          <w:color w:val="000000" w:themeColor="text1"/>
        </w:rPr>
        <w:t>.</w:t>
      </w:r>
    </w:p>
    <w:p w14:paraId="358A920C" w14:textId="01875F52" w:rsidR="00E136D2" w:rsidRPr="000322E4" w:rsidRDefault="000718D1" w:rsidP="00CA442F">
      <w:pPr>
        <w:tabs>
          <w:tab w:val="left" w:pos="709"/>
        </w:tabs>
        <w:spacing w:line="360" w:lineRule="auto"/>
        <w:ind w:firstLine="709"/>
        <w:jc w:val="both"/>
      </w:pPr>
      <w:r w:rsidRPr="00095D58">
        <w:rPr>
          <w:i/>
          <w:iCs/>
          <w:color w:val="000000" w:themeColor="text1"/>
        </w:rPr>
        <w:t>Диагноз ПЛЦНС устанавливается на основании биопсии (открытой или с использованием стереотаксической техники)</w:t>
      </w:r>
      <w:r w:rsidR="00416EB2" w:rsidRPr="00095D58">
        <w:rPr>
          <w:i/>
          <w:iCs/>
          <w:color w:val="000000" w:themeColor="text1"/>
        </w:rPr>
        <w:t xml:space="preserve"> опухолевого очага головного или спинного мозга. Крайне редко, при наличии цитоза в</w:t>
      </w:r>
      <w:r w:rsidRPr="00095D58">
        <w:rPr>
          <w:i/>
          <w:iCs/>
          <w:color w:val="000000" w:themeColor="text1"/>
        </w:rPr>
        <w:t xml:space="preserve"> </w:t>
      </w:r>
      <w:r w:rsidR="00E0494A" w:rsidRPr="00095D58">
        <w:rPr>
          <w:i/>
          <w:iCs/>
          <w:color w:val="000000" w:themeColor="text1"/>
        </w:rPr>
        <w:t>спинномозговой жидкости</w:t>
      </w:r>
      <w:r w:rsidR="00416EB2" w:rsidRPr="00095D58">
        <w:rPr>
          <w:i/>
          <w:iCs/>
          <w:color w:val="000000" w:themeColor="text1"/>
        </w:rPr>
        <w:t xml:space="preserve">, возможно установление диагноза при исследовании спинномозговой жидкости </w:t>
      </w:r>
      <w:r w:rsidRPr="00095D58">
        <w:rPr>
          <w:i/>
          <w:iCs/>
          <w:color w:val="000000" w:themeColor="text1"/>
        </w:rPr>
        <w:t>(</w:t>
      </w:r>
      <w:r w:rsidR="002667AE" w:rsidRPr="00095D58">
        <w:rPr>
          <w:i/>
          <w:iCs/>
          <w:color w:val="000000" w:themeColor="text1"/>
        </w:rPr>
        <w:t xml:space="preserve">общий </w:t>
      </w:r>
      <w:r w:rsidR="00E0494A" w:rsidRPr="00095D58">
        <w:rPr>
          <w:i/>
          <w:iCs/>
          <w:color w:val="000000" w:themeColor="text1"/>
        </w:rPr>
        <w:t>(клинический) анализ спинномозговой жидкости</w:t>
      </w:r>
      <w:r w:rsidRPr="00095D58">
        <w:rPr>
          <w:i/>
          <w:iCs/>
          <w:color w:val="000000" w:themeColor="text1"/>
        </w:rPr>
        <w:t xml:space="preserve">, </w:t>
      </w:r>
      <w:r w:rsidR="00E0494A" w:rsidRPr="000322E4">
        <w:rPr>
          <w:i/>
          <w:iCs/>
        </w:rPr>
        <w:t>цитологическое исследование клеток спинномозговой жидкости</w:t>
      </w:r>
      <w:r w:rsidR="002667AE" w:rsidRPr="000322E4">
        <w:rPr>
          <w:i/>
          <w:iCs/>
        </w:rPr>
        <w:t>, исследование биологического материала (спинномозговой жидкости) методом проточной цитофлуориметрии</w:t>
      </w:r>
      <w:r w:rsidRPr="000322E4">
        <w:rPr>
          <w:i/>
          <w:iCs/>
        </w:rPr>
        <w:t xml:space="preserve">).   </w:t>
      </w:r>
      <w:r w:rsidRPr="000322E4">
        <w:rPr>
          <w:i/>
          <w:iCs/>
        </w:rPr>
        <w:fldChar w:fldCharType="begin" w:fldLock="1"/>
      </w:r>
      <w:r w:rsidR="009D170B">
        <w:rPr>
          <w:i/>
          <w:iCs/>
        </w:rPr>
        <w:instrText>ADDIN CSL_CITATION {"citationItems":[{"id":"ITEM-1","itemData":{"DOI":"10.1200/JCO.2017.72.7602","ISSN":"15277755","PMID":"28640701","abstract":"Primary CNS lymphoma (PCNSL) is a rare form of extranodal non-Hodgkin lymphoma that is typically confined to the brain, eyes, and cerebrospinal fluid without evidence of systemic spread. The prognosis of patients with PCNSL has improved during the last decades with the introduction of high-dose methotrexate. However, despite recent progress, results after treatment are durable in half of patients, and therapy can be associated with late neurotoxicity. PCNSL is an uncommon tumor, and only four randomized trials and one phase III trial have been completed so far, all in the first-line setting. To our knowledge, no randomized trial has been conducted for recurrent/refractory disease, leaving many questions unanswered about optimal first-line and salvage treatments. This review will give an overview of the presentation, evaluation, and treatment of immunocompetent patients with PCNSL.","author":[{"dropping-particle":"","family":"Grommes","given":"Christian","non-dropping-particle":"","parse-names":false,"suffix":""},{"dropping-particle":"","family":"DeAngelis","given":"Lisa M.","non-dropping-particle":"","parse-names":false,"suffix":""}],"container-title":"Journal of Clinical Oncology","id":"ITEM-1","issue":"21","issued":{"date-parts":[["2017","7","20"]]},"page":"2410-2418","publisher":"American Society of Clinical Oncology","title":"Primary CNS lymphoma","type":"article","volume":"35"},"uris":["http://www.mendeley.com/documents/?uuid=182c350d-ad17-3bb3-bec5-d0f20d4b7264"]}],"mendeley":{"formattedCitation":"[26]","plainTextFormattedCitation":"[26]","previouslyFormattedCitation":"[26]"},"properties":{"noteIndex":0},"schema":"https://github.com/citation-style-language/schema/raw/master/csl-citation.json"}</w:instrText>
      </w:r>
      <w:r w:rsidRPr="000322E4">
        <w:rPr>
          <w:i/>
          <w:iCs/>
        </w:rPr>
        <w:fldChar w:fldCharType="separate"/>
      </w:r>
      <w:r w:rsidR="00095D58" w:rsidRPr="00095D58">
        <w:rPr>
          <w:iCs/>
          <w:noProof/>
        </w:rPr>
        <w:t>[26]</w:t>
      </w:r>
      <w:r w:rsidRPr="000322E4">
        <w:rPr>
          <w:i/>
          <w:iCs/>
        </w:rPr>
        <w:fldChar w:fldCharType="end"/>
      </w:r>
      <w:r w:rsidRPr="000322E4">
        <w:rPr>
          <w:i/>
          <w:iCs/>
        </w:rPr>
        <w:t>.</w:t>
      </w:r>
      <w:bookmarkStart w:id="19" w:name="_Toc469402336"/>
      <w:bookmarkStart w:id="20" w:name="_Toc468273531"/>
      <w:bookmarkStart w:id="21" w:name="_Toc468273449"/>
      <w:bookmarkEnd w:id="19"/>
      <w:bookmarkEnd w:id="20"/>
      <w:bookmarkEnd w:id="21"/>
    </w:p>
    <w:p w14:paraId="201197C6" w14:textId="77777777" w:rsidR="00B46390" w:rsidRPr="000322E4" w:rsidRDefault="00B46390" w:rsidP="00CA442F">
      <w:pPr>
        <w:pStyle w:val="2"/>
        <w:spacing w:before="0"/>
        <w:divId w:val="266810958"/>
      </w:pPr>
      <w:bookmarkStart w:id="22" w:name="_Toc96601235"/>
      <w:r w:rsidRPr="000322E4">
        <w:t>2.1 Жалобы и анамнез</w:t>
      </w:r>
      <w:bookmarkEnd w:id="22"/>
    </w:p>
    <w:p w14:paraId="5DF8505C" w14:textId="4092F183" w:rsidR="00E136D2" w:rsidRPr="000322E4" w:rsidRDefault="005F1C5F" w:rsidP="00CA442F">
      <w:pPr>
        <w:pStyle w:val="afff8"/>
        <w:spacing w:before="0"/>
        <w:divId w:val="266810958"/>
      </w:pPr>
      <w:r>
        <w:t>П</w:t>
      </w:r>
      <w:r w:rsidR="005A50FB" w:rsidRPr="000322E4">
        <w:t xml:space="preserve">ациентам с подозрением на </w:t>
      </w:r>
      <w:r w:rsidR="00685BEC" w:rsidRPr="000322E4">
        <w:t>ДВКЛ</w:t>
      </w:r>
      <w:r w:rsidR="009B70C4" w:rsidRPr="000322E4">
        <w:t>, ПМВКЛ</w:t>
      </w:r>
      <w:r w:rsidR="0044108E">
        <w:t>,</w:t>
      </w:r>
      <w:r w:rsidR="009B70C4" w:rsidRPr="000322E4">
        <w:t xml:space="preserve"> ЛБ</w:t>
      </w:r>
      <w:r w:rsidR="005A50FB" w:rsidRPr="000322E4">
        <w:t xml:space="preserve">, а также всем пациентам с верифицированной  </w:t>
      </w:r>
      <w:r w:rsidR="00685BEC" w:rsidRPr="000322E4">
        <w:t>ДВКЛ</w:t>
      </w:r>
      <w:r w:rsidR="0044108E">
        <w:t xml:space="preserve">, ПМВКЛ, </w:t>
      </w:r>
      <w:r w:rsidR="009B70C4" w:rsidRPr="000322E4">
        <w:t>ЛБ</w:t>
      </w:r>
      <w:r w:rsidR="005A50FB" w:rsidRPr="000322E4">
        <w:t xml:space="preserve"> </w:t>
      </w:r>
      <w:r w:rsidR="00D17164" w:rsidRPr="000322E4">
        <w:t>при каждом приеме (осмотре, консультации) врача-</w:t>
      </w:r>
      <w:r w:rsidR="00C51648" w:rsidRPr="000322E4">
        <w:t>онколога или врача-</w:t>
      </w:r>
      <w:r w:rsidR="00D17164" w:rsidRPr="000322E4">
        <w:t>гематолога</w:t>
      </w:r>
      <w:r w:rsidR="00E136D2" w:rsidRPr="000322E4">
        <w:t xml:space="preserve"> </w:t>
      </w:r>
      <w:r w:rsidR="00E136D2" w:rsidRPr="000322E4">
        <w:rPr>
          <w:b/>
        </w:rPr>
        <w:t>рекомендуется</w:t>
      </w:r>
      <w:r w:rsidR="00E136D2" w:rsidRPr="000322E4">
        <w:t xml:space="preserve"> сбор </w:t>
      </w:r>
      <w:r w:rsidR="00C51648" w:rsidRPr="000322E4">
        <w:t xml:space="preserve">жалоб и </w:t>
      </w:r>
      <w:r w:rsidR="00E136D2" w:rsidRPr="000322E4">
        <w:t>анамнеза при заболеваниях органов кроветворения и крови</w:t>
      </w:r>
      <w:r w:rsidR="005A50FB" w:rsidRPr="000322E4">
        <w:t xml:space="preserve"> для оценки состояния пациента, а также для установления факторов, которые могут оказать влияние на определение лечебной тактики пациента </w:t>
      </w:r>
      <w:r w:rsidR="005A50FB" w:rsidRPr="000322E4">
        <w:fldChar w:fldCharType="begin" w:fldLock="1"/>
      </w:r>
      <w:r w:rsidR="009D170B">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id":"ITEM-2","itemData":{"author":[{"dropping-particle":"","family":"Тумян","given":"Г.С.","non-dropping-particle":"","parse-names":false,"suffix":""},{"dropping-particle":"","family":"Кравченко","given":"С.К.","non-dropping-particle":"","parse-names":false,"suffix":""},{"dropping-particle":"","family":"Михайлова","given":"Н.Б.","non-dropping-particle":"","parse-names":false,"suffix":""},{"dropping-particle":"","family":"Барях","given":"Е.А.","non-dropping-particle":"","parse-names":false,"suffix":""},{"dropping-particle":"","family":"Птушкин","given":"В.В.","non-dropping-particle":"","parse-names":false,"suffix":""},{"dropping-particle":"","family":"Поддубная","given":"И.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Савченко.","id":"ITEM-2","issued":{"date-parts":[["2018"]]},"page":"58-68","title":"Диффузная В-клеточная крупноклеточная лимфома","type":"chapter"},"uris":["http://www.mendeley.com/documents/?uuid=cb7114f7-4655-4733-8df2-526cc4e32730"]},{"id":"ITEM-3","itemData":{"DOI":"10.1093/annonc/mdv304","ISSN":"1569-8041","PMID":"26314773","author":[{"dropping-particle":"","family":"Tilly","given":"H","non-dropping-particle":"","parse-names":false,"suffix":""},{"dropping-particle":"","family":"Gomes da Silva","given":"M","non-dropping-particle":"","parse-names":false,"suffix":""},{"dropping-particle":"","family":"Vitolo","given":"U","non-dropping-particle":"","parse-names":false,"suffix":""},{"dropping-particle":"","family":"Jack","given":"A","non-dropping-particle":"","parse-names":false,"suffix":""},{"dropping-particle":"","family":"Meignan","given":"M","non-dropping-particle":"","parse-names":false,"suffix":""},{"dropping-particle":"","family":"Lopez-Guillermo","given":"A","non-dropping-particle":"","parse-names":false,"suffix":""},{"dropping-particle":"","family":"Walewski","given":"J","non-dropping-particle":"","parse-names":false,"suffix":""},{"dropping-particle":"","family":"André","given":"M","non-dropping-particle":"","parse-names":false,"suffix":""},{"dropping-particle":"","family":"Johnson","given":"P W","non-dropping-particle":"","parse-names":false,"suffix":""},{"dropping-particle":"","family":"Pfreundschuh","given":"M","non-dropping-particle":"","parse-names":false,"suffix":""},{"dropping-particle":"","family":"Ladetto","given":"M","non-dropping-particle":"","parse-names":false,"suffix":""},{"dropping-particle":"","family":"ESMO Guidelines Committee","given":"","non-dropping-particle":"","parse-names":false,"suffix":""}],"container-title":"Annals of oncology : official journal of the European Society for Medical Oncology","id":"ITEM-3","issued":{"date-parts":[["2015","9"]]},"page":"v116-25","title":"Diffuse large B-cell lymphoma (DLBCL): ESMO Clinical Practice Guidelines for diagnosis, treatment and follow-up.","type":"article-journal","volume":"26 Suppl 5"},"uris":["http://www.mendeley.com/documents/?uuid=1697b7a7-5190-39af-8155-3d2b075b5466"]},{"id":"ITEM-4","itemData":{"author":[{"dropping-particle":"","family":"Барях","given":"Е.А.","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Савченко.","id":"ITEM-4","issued":{"date-parts":[["2018"]]},"page":"80-87","title":"Лимфома Беркитта","type":"chapter"},"uris":["http://www.mendeley.com/documents/?uuid=6c46cd48-7af0-4ac2-8eb1-93f86718c4df"]}],"mendeley":{"formattedCitation":"[4,20,27,28]","plainTextFormattedCitation":"[4,20,27,28]","previouslyFormattedCitation":"[4,20,27,28]"},"properties":{"noteIndex":0},"schema":"https://github.com/citation-style-language/schema/raw/master/csl-citation.json"}</w:instrText>
      </w:r>
      <w:r w:rsidR="005A50FB" w:rsidRPr="000322E4">
        <w:fldChar w:fldCharType="separate"/>
      </w:r>
      <w:r w:rsidR="00095D58" w:rsidRPr="00095D58">
        <w:rPr>
          <w:noProof/>
        </w:rPr>
        <w:t>[4,20,27,28]</w:t>
      </w:r>
      <w:r w:rsidR="005A50FB" w:rsidRPr="000322E4">
        <w:fldChar w:fldCharType="end"/>
      </w:r>
      <w:r w:rsidR="00E136D2" w:rsidRPr="000322E4">
        <w:t>.</w:t>
      </w:r>
    </w:p>
    <w:p w14:paraId="1A2FB390" w14:textId="77777777" w:rsidR="00E136D2" w:rsidRPr="000322E4" w:rsidRDefault="00E136D2" w:rsidP="00CA442F">
      <w:pPr>
        <w:spacing w:line="360" w:lineRule="auto"/>
        <w:ind w:left="709"/>
        <w:contextualSpacing/>
        <w:jc w:val="both"/>
        <w:divId w:val="266810958"/>
        <w:rPr>
          <w:b/>
        </w:rPr>
      </w:pPr>
      <w:r w:rsidRPr="000322E4">
        <w:rPr>
          <w:b/>
        </w:rPr>
        <w:t>Уровень убедительности рекомендаций С (уровень достоверности доказательств 5).</w:t>
      </w:r>
    </w:p>
    <w:p w14:paraId="3308627F" w14:textId="1E2506A3" w:rsidR="00E136D2" w:rsidRPr="000322E4" w:rsidRDefault="00E136D2" w:rsidP="005F1C5F">
      <w:pPr>
        <w:spacing w:line="360" w:lineRule="auto"/>
        <w:ind w:firstLine="709"/>
        <w:contextualSpacing/>
        <w:jc w:val="both"/>
        <w:divId w:val="266810958"/>
        <w:rPr>
          <w:i/>
        </w:rPr>
      </w:pPr>
      <w:r w:rsidRPr="000322E4">
        <w:rPr>
          <w:b/>
        </w:rPr>
        <w:t>Комментарии:</w:t>
      </w:r>
      <w:r w:rsidRPr="000322E4">
        <w:t xml:space="preserve"> </w:t>
      </w:r>
      <w:r w:rsidR="00D476E4" w:rsidRPr="000322E4">
        <w:rPr>
          <w:i/>
        </w:rPr>
        <w:t>жалобы неспецифичны и определяются первичной локализацией, скоростью и распространенностью опухоли, могут присутст</w:t>
      </w:r>
      <w:r w:rsidR="00D476E4" w:rsidRPr="000322E4">
        <w:rPr>
          <w:i/>
        </w:rPr>
        <w:softHyphen/>
        <w:t xml:space="preserve">вовать любые жалобы, связанные с вовлечением/нарушением функции органов и тканей. При сборе жалоб особое внимание необходимо уделить выявлению </w:t>
      </w:r>
      <w:r w:rsidR="00D476E4" w:rsidRPr="00095D58">
        <w:rPr>
          <w:i/>
          <w:color w:val="000000" w:themeColor="text1"/>
        </w:rPr>
        <w:t>неспецифических симптомов интоксикации (температуры тела &gt;38°С 3 дня и более без признаков воспаления, ночных профузных потов; похудания на 10 % массы тела за последние 6 мес.).</w:t>
      </w:r>
      <w:r w:rsidR="00D476E4" w:rsidRPr="00095D58">
        <w:rPr>
          <w:color w:val="000000" w:themeColor="text1"/>
        </w:rPr>
        <w:t xml:space="preserve"> При </w:t>
      </w:r>
      <w:r w:rsidR="00D476E4" w:rsidRPr="00095D58">
        <w:rPr>
          <w:i/>
          <w:color w:val="000000" w:themeColor="text1"/>
        </w:rPr>
        <w:t xml:space="preserve">ПЛЦНС в большинстве случаев </w:t>
      </w:r>
      <w:r w:rsidR="00416EB2" w:rsidRPr="00095D58">
        <w:rPr>
          <w:i/>
          <w:color w:val="000000" w:themeColor="text1"/>
        </w:rPr>
        <w:t>име</w:t>
      </w:r>
      <w:r w:rsidR="00D476E4" w:rsidRPr="00095D58">
        <w:rPr>
          <w:i/>
          <w:color w:val="000000" w:themeColor="text1"/>
        </w:rPr>
        <w:t>ются жалобы</w:t>
      </w:r>
      <w:r w:rsidR="00D476E4" w:rsidRPr="000322E4">
        <w:rPr>
          <w:i/>
        </w:rPr>
        <w:t>, связанные с общемозговой (головная боль, тошнота, рвота) или очаговой неврологической симптоматикой. Учитывая агрессивный характер опухоли, анамнез заболевания, как правило, короткий</w:t>
      </w:r>
      <w:r w:rsidRPr="000322E4">
        <w:rPr>
          <w:i/>
        </w:rPr>
        <w:t xml:space="preserve">. </w:t>
      </w:r>
    </w:p>
    <w:p w14:paraId="63B76B0A" w14:textId="77777777" w:rsidR="00B46390" w:rsidRPr="000322E4" w:rsidRDefault="00B46390" w:rsidP="00CA442F">
      <w:pPr>
        <w:pStyle w:val="2"/>
        <w:spacing w:before="0"/>
        <w:divId w:val="266810958"/>
      </w:pPr>
      <w:bookmarkStart w:id="23" w:name="_Toc96601236"/>
      <w:r w:rsidRPr="000322E4">
        <w:t>2.2 Физикальное обследование</w:t>
      </w:r>
      <w:bookmarkEnd w:id="23"/>
    </w:p>
    <w:p w14:paraId="0E9254B9" w14:textId="0B4E496F" w:rsidR="0052462B" w:rsidRPr="000322E4" w:rsidRDefault="005F1C5F" w:rsidP="00CA442F">
      <w:pPr>
        <w:pStyle w:val="afff8"/>
        <w:spacing w:before="0"/>
        <w:divId w:val="266810958"/>
      </w:pPr>
      <w:r>
        <w:t>П</w:t>
      </w:r>
      <w:r w:rsidR="005A50FB" w:rsidRPr="000322E4">
        <w:t xml:space="preserve">ациентам с подозрением на </w:t>
      </w:r>
      <w:r w:rsidR="00D476E4" w:rsidRPr="000322E4">
        <w:t>ДВКЛ</w:t>
      </w:r>
      <w:r w:rsidR="001532E4">
        <w:t>, ПМВКЛ,</w:t>
      </w:r>
      <w:r w:rsidR="009B70C4" w:rsidRPr="000322E4">
        <w:t xml:space="preserve"> ЛБ</w:t>
      </w:r>
      <w:r w:rsidR="005A50FB" w:rsidRPr="000322E4">
        <w:t xml:space="preserve">, или с выявленной </w:t>
      </w:r>
      <w:r w:rsidR="00D476E4" w:rsidRPr="000322E4">
        <w:t>ДВКЛ</w:t>
      </w:r>
      <w:r w:rsidR="001532E4">
        <w:t xml:space="preserve">, ПМВКЛ, </w:t>
      </w:r>
      <w:r w:rsidR="009B70C4" w:rsidRPr="000322E4">
        <w:t>ЛБ</w:t>
      </w:r>
      <w:r w:rsidR="005A50FB" w:rsidRPr="000322E4">
        <w:t>, при первичном или повторном приеме, при контрольных обследованиях и при подозрении на рецидив/прогрессирование заболевания</w:t>
      </w:r>
      <w:r w:rsidR="0052462B" w:rsidRPr="000322E4">
        <w:t xml:space="preserve"> </w:t>
      </w:r>
      <w:r w:rsidR="0052462B" w:rsidRPr="000322E4">
        <w:rPr>
          <w:b/>
          <w:bCs/>
        </w:rPr>
        <w:t>рекомендуется</w:t>
      </w:r>
      <w:r w:rsidR="0052462B" w:rsidRPr="000322E4">
        <w:t xml:space="preserve"> </w:t>
      </w:r>
      <w:bookmarkStart w:id="24" w:name="_Hlk532293045"/>
      <w:r w:rsidR="0052462B" w:rsidRPr="000322E4">
        <w:t>выполнение визуального осмотра терапевтического, пальпации терапевтической и аускультации терапевтической</w:t>
      </w:r>
      <w:bookmarkEnd w:id="24"/>
      <w:r w:rsidR="0052462B" w:rsidRPr="000322E4">
        <w:t xml:space="preserve"> для </w:t>
      </w:r>
      <w:r w:rsidR="005A50FB" w:rsidRPr="000322E4">
        <w:t xml:space="preserve">уточнения </w:t>
      </w:r>
      <w:r w:rsidR="005A50FB" w:rsidRPr="000322E4">
        <w:lastRenderedPageBreak/>
        <w:t>распространенности заболевания и оценки состояния пациента по органам и системам</w:t>
      </w:r>
      <w:r w:rsidR="00C51648" w:rsidRPr="000322E4">
        <w:t xml:space="preserve"> </w:t>
      </w:r>
      <w:r w:rsidR="00C51648" w:rsidRPr="000322E4">
        <w:fldChar w:fldCharType="begin" w:fldLock="1"/>
      </w:r>
      <w:r w:rsidR="009D170B">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id":"ITEM-2","itemData":{"author":[{"dropping-particle":"","family":"Тумян","given":"Г.С.","non-dropping-particle":"","parse-names":false,"suffix":""},{"dropping-particle":"","family":"Кравченко","given":"С.К.","non-dropping-particle":"","parse-names":false,"suffix":""},{"dropping-particle":"","family":"Михайлова","given":"Н.Б.","non-dropping-particle":"","parse-names":false,"suffix":""},{"dropping-particle":"","family":"Барях","given":"Е.А.","non-dropping-particle":"","parse-names":false,"suffix":""},{"dropping-particle":"","family":"Птушкин","given":"В.В.","non-dropping-particle":"","parse-names":false,"suffix":""},{"dropping-particle":"","family":"Поддубная","given":"И.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Савченко.","id":"ITEM-2","issued":{"date-parts":[["2018"]]},"page":"58-68","title":"Диффузная В-клеточная крупноклеточная лимфома","type":"chapter"},"uris":["http://www.mendeley.com/documents/?uuid=cb7114f7-4655-4733-8df2-526cc4e32730"]},{"id":"ITEM-3","itemData":{"DOI":"10.1093/annonc/mdv304","ISSN":"1569-8041","PMID":"26314773","author":[{"dropping-particle":"","family":"Tilly","given":"H","non-dropping-particle":"","parse-names":false,"suffix":""},{"dropping-particle":"","family":"Gomes da Silva","given":"M","non-dropping-particle":"","parse-names":false,"suffix":""},{"dropping-particle":"","family":"Vitolo","given":"U","non-dropping-particle":"","parse-names":false,"suffix":""},{"dropping-particle":"","family":"Jack","given":"A","non-dropping-particle":"","parse-names":false,"suffix":""},{"dropping-particle":"","family":"Meignan","given":"M","non-dropping-particle":"","parse-names":false,"suffix":""},{"dropping-particle":"","family":"Lopez-Guillermo","given":"A","non-dropping-particle":"","parse-names":false,"suffix":""},{"dropping-particle":"","family":"Walewski","given":"J","non-dropping-particle":"","parse-names":false,"suffix":""},{"dropping-particle":"","family":"André","given":"M","non-dropping-particle":"","parse-names":false,"suffix":""},{"dropping-particle":"","family":"Johnson","given":"P W","non-dropping-particle":"","parse-names":false,"suffix":""},{"dropping-particle":"","family":"Pfreundschuh","given":"M","non-dropping-particle":"","parse-names":false,"suffix":""},{"dropping-particle":"","family":"Ladetto","given":"M","non-dropping-particle":"","parse-names":false,"suffix":""},{"dropping-particle":"","family":"ESMO Guidelines Committee","given":"","non-dropping-particle":"","parse-names":false,"suffix":""}],"container-title":"Annals of oncology : official journal of the European Society for Medical Oncology","id":"ITEM-3","issued":{"date-parts":[["2015","9"]]},"page":"v116-25","title":"Diffuse large B-cell lymphoma (DLBCL): ESMO Clinical Practice Guidelines for diagnosis, treatment and follow-up.","type":"article-journal","volume":"26 Suppl 5"},"uris":["http://www.mendeley.com/documents/?uuid=1697b7a7-5190-39af-8155-3d2b075b5466"]},{"id":"ITEM-4","itemData":{"author":[{"dropping-particle":"","family":"Барях","given":"Е.А.","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Савченко.","id":"ITEM-4","issued":{"date-parts":[["2018"]]},"page":"80-87","title":"Лимфома Беркитта","type":"chapter"},"uris":["http://www.mendeley.com/documents/?uuid=6c46cd48-7af0-4ac2-8eb1-93f86718c4df"]}],"mendeley":{"formattedCitation":"[4,20,27,28]","plainTextFormattedCitation":"[4,20,27,28]","previouslyFormattedCitation":"[4,20,27,28]"},"properties":{"noteIndex":0},"schema":"https://github.com/citation-style-language/schema/raw/master/csl-citation.json"}</w:instrText>
      </w:r>
      <w:r w:rsidR="00C51648" w:rsidRPr="000322E4">
        <w:fldChar w:fldCharType="separate"/>
      </w:r>
      <w:r w:rsidR="00095D58" w:rsidRPr="00095D58">
        <w:rPr>
          <w:noProof/>
        </w:rPr>
        <w:t>[4,20,27,28]</w:t>
      </w:r>
      <w:r w:rsidR="00C51648" w:rsidRPr="000322E4">
        <w:fldChar w:fldCharType="end"/>
      </w:r>
      <w:r w:rsidR="0052462B" w:rsidRPr="000322E4">
        <w:t>.</w:t>
      </w:r>
    </w:p>
    <w:p w14:paraId="1EC8FAE0" w14:textId="77777777" w:rsidR="0052462B" w:rsidRPr="000322E4" w:rsidRDefault="0052462B" w:rsidP="00CA442F">
      <w:pPr>
        <w:spacing w:line="360" w:lineRule="auto"/>
        <w:ind w:left="709"/>
        <w:contextualSpacing/>
        <w:jc w:val="both"/>
        <w:divId w:val="266810958"/>
        <w:rPr>
          <w:b/>
        </w:rPr>
      </w:pPr>
      <w:r w:rsidRPr="000322E4">
        <w:rPr>
          <w:b/>
        </w:rPr>
        <w:t>Уровень убедительности рекомендаций С (уровень достоверности доказательств 5)</w:t>
      </w:r>
    </w:p>
    <w:p w14:paraId="1F4D29A9" w14:textId="77777777" w:rsidR="0052462B" w:rsidRPr="000322E4" w:rsidRDefault="0052462B" w:rsidP="005F1C5F">
      <w:pPr>
        <w:spacing w:line="360" w:lineRule="auto"/>
        <w:ind w:firstLine="709"/>
        <w:contextualSpacing/>
        <w:jc w:val="both"/>
        <w:divId w:val="266810958"/>
        <w:rPr>
          <w:i/>
        </w:rPr>
      </w:pPr>
      <w:r w:rsidRPr="000322E4">
        <w:rPr>
          <w:b/>
        </w:rPr>
        <w:t xml:space="preserve">Комментарий: </w:t>
      </w:r>
      <w:bookmarkStart w:id="25" w:name="_Hlk532293146"/>
      <w:r w:rsidRPr="000322E4">
        <w:rPr>
          <w:i/>
        </w:rPr>
        <w:t xml:space="preserve">при осмотре необходимо оценить общее состояние пациента по шкале </w:t>
      </w:r>
      <w:r w:rsidRPr="000322E4">
        <w:rPr>
          <w:i/>
          <w:lang w:val="en-US"/>
        </w:rPr>
        <w:t>ECOG</w:t>
      </w:r>
      <w:r w:rsidRPr="000322E4">
        <w:rPr>
          <w:i/>
        </w:rPr>
        <w:t xml:space="preserve"> (см. приложение Г</w:t>
      </w:r>
      <w:r w:rsidR="005D0A68" w:rsidRPr="000322E4">
        <w:rPr>
          <w:i/>
        </w:rPr>
        <w:t>1</w:t>
      </w:r>
      <w:r w:rsidRPr="000322E4">
        <w:rPr>
          <w:i/>
        </w:rPr>
        <w:t>), а также осмотреть кожные покровы, миндалины и полость рта; пальпация должна включать в себя пальпацию всех доступных групп периферических лимфатических узлов, печени, селезенки.</w:t>
      </w:r>
      <w:bookmarkEnd w:id="25"/>
    </w:p>
    <w:p w14:paraId="6E43FA67" w14:textId="77777777" w:rsidR="00094ED6" w:rsidRPr="000322E4" w:rsidRDefault="00B46390" w:rsidP="00CA442F">
      <w:pPr>
        <w:pStyle w:val="2"/>
        <w:spacing w:before="0"/>
        <w:divId w:val="266810958"/>
      </w:pPr>
      <w:bookmarkStart w:id="26" w:name="_Toc96601237"/>
      <w:r w:rsidRPr="000322E4">
        <w:t>2.3 Лабораторн</w:t>
      </w:r>
      <w:r w:rsidR="00A70F44" w:rsidRPr="000322E4">
        <w:t>ые диагностические исследования</w:t>
      </w:r>
      <w:bookmarkEnd w:id="26"/>
    </w:p>
    <w:p w14:paraId="40EA4298" w14:textId="043CD7FC" w:rsidR="0052462B" w:rsidRPr="000322E4" w:rsidRDefault="005F1C5F" w:rsidP="00CA442F">
      <w:pPr>
        <w:pStyle w:val="afe"/>
        <w:numPr>
          <w:ilvl w:val="0"/>
          <w:numId w:val="5"/>
        </w:numPr>
        <w:ind w:left="709" w:hanging="709"/>
        <w:divId w:val="266810958"/>
      </w:pPr>
      <w:r>
        <w:t>П</w:t>
      </w:r>
      <w:r w:rsidR="0052462B" w:rsidRPr="000322E4">
        <w:t xml:space="preserve">ациентам с подозрением на </w:t>
      </w:r>
      <w:r w:rsidR="00D476E4" w:rsidRPr="000322E4">
        <w:t>ДВКЛ</w:t>
      </w:r>
      <w:r w:rsidR="009B70C4" w:rsidRPr="000322E4">
        <w:t>, ПМВКЛ</w:t>
      </w:r>
      <w:r w:rsidR="001532E4">
        <w:t>,</w:t>
      </w:r>
      <w:r w:rsidR="009B70C4" w:rsidRPr="000322E4">
        <w:t xml:space="preserve"> ЛБ</w:t>
      </w:r>
      <w:r w:rsidR="0052462B" w:rsidRPr="000322E4">
        <w:t xml:space="preserve"> или выявленной </w:t>
      </w:r>
      <w:r w:rsidR="00D476E4" w:rsidRPr="000322E4">
        <w:t>ДВКЛ</w:t>
      </w:r>
      <w:r w:rsidR="001532E4">
        <w:t>, ПМВКЛ,</w:t>
      </w:r>
      <w:r w:rsidR="009B70C4" w:rsidRPr="000322E4">
        <w:t xml:space="preserve"> ЛБ</w:t>
      </w:r>
      <w:r w:rsidR="0052462B" w:rsidRPr="000322E4">
        <w:t xml:space="preserve"> при первичном или повторном приеме, после завершения каждого цикла терапии и перед началом каждого нового цикла терапии, при оценке ремиссии после завершения терапии, при контрольных обследованиях, и при подозрении на рецидив заболевания </w:t>
      </w:r>
      <w:r w:rsidR="0052462B" w:rsidRPr="000322E4">
        <w:rPr>
          <w:b/>
        </w:rPr>
        <w:t>рекомендуется</w:t>
      </w:r>
      <w:r w:rsidR="0052462B" w:rsidRPr="000322E4">
        <w:t xml:space="preserve"> для уточнения состояния пациента, планирования терапевтической тактики и определения необходимости ее модификации, а также для определения потребности в сопутствующей и сопроводительной терапии выполнить следующие диагностические исследования </w:t>
      </w:r>
      <w:r w:rsidR="0052462B" w:rsidRPr="000322E4">
        <w:fldChar w:fldCharType="begin" w:fldLock="1"/>
      </w:r>
      <w:r w:rsidR="009D170B">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id":"ITEM-2","itemData":{"DOI":"10.1093/annonc/mdv304","ISSN":"1569-8041","PMID":"26314773","author":[{"dropping-particle":"","family":"Tilly","given":"H","non-dropping-particle":"","parse-names":false,"suffix":""},{"dropping-particle":"","family":"Gomes da Silva","given":"M","non-dropping-particle":"","parse-names":false,"suffix":""},{"dropping-particle":"","family":"Vitolo","given":"U","non-dropping-particle":"","parse-names":false,"suffix":""},{"dropping-particle":"","family":"Jack","given":"A","non-dropping-particle":"","parse-names":false,"suffix":""},{"dropping-particle":"","family":"Meignan","given":"M","non-dropping-particle":"","parse-names":false,"suffix":""},{"dropping-particle":"","family":"Lopez-Guillermo","given":"A","non-dropping-particle":"","parse-names":false,"suffix":""},{"dropping-particle":"","family":"Walewski","given":"J","non-dropping-particle":"","parse-names":false,"suffix":""},{"dropping-particle":"","family":"André","given":"M","non-dropping-particle":"","parse-names":false,"suffix":""},{"dropping-particle":"","family":"Johnson","given":"P W","non-dropping-particle":"","parse-names":false,"suffix":""},{"dropping-particle":"","family":"Pfreundschuh","given":"M","non-dropping-particle":"","parse-names":false,"suffix":""},{"dropping-particle":"","family":"Ladetto","given":"M","non-dropping-particle":"","parse-names":false,"suffix":""},{"dropping-particle":"","family":"ESMO Guidelines Committee","given":"","non-dropping-particle":"","parse-names":false,"suffix":""}],"container-title":"Annals of oncology : official journal of the European Society for Medical Oncology","id":"ITEM-2","issued":{"date-parts":[["2015","9"]]},"page":"v116-25","title":"Diffuse large B-cell lymphoma (DLBCL): ESMO Clinical Practice Guidelines for diagnosis, treatment and follow-up.","type":"article-journal","volume":"26 Suppl 5"},"uris":["http://www.mendeley.com/documents/?uuid=1697b7a7-5190-39af-8155-3d2b075b5466"]}],"mendeley":{"formattedCitation":"[27,28]","plainTextFormattedCitation":"[27,28]","previouslyFormattedCitation":"[27,28]"},"properties":{"noteIndex":0},"schema":"https://github.com/citation-style-language/schema/raw/master/csl-citation.json"}</w:instrText>
      </w:r>
      <w:r w:rsidR="0052462B" w:rsidRPr="000322E4">
        <w:fldChar w:fldCharType="separate"/>
      </w:r>
      <w:r w:rsidR="00095D58" w:rsidRPr="00095D58">
        <w:rPr>
          <w:noProof/>
        </w:rPr>
        <w:t>[27,28]</w:t>
      </w:r>
      <w:r w:rsidR="0052462B" w:rsidRPr="000322E4">
        <w:fldChar w:fldCharType="end"/>
      </w:r>
      <w:r w:rsidR="0052462B" w:rsidRPr="000322E4">
        <w:t>:</w:t>
      </w:r>
    </w:p>
    <w:p w14:paraId="7609A0C0" w14:textId="77777777" w:rsidR="0052462B" w:rsidRPr="000322E4" w:rsidRDefault="00BA2C65" w:rsidP="00CA442F">
      <w:pPr>
        <w:pStyle w:val="afe"/>
        <w:numPr>
          <w:ilvl w:val="1"/>
          <w:numId w:val="5"/>
        </w:numPr>
        <w:divId w:val="266810958"/>
      </w:pPr>
      <w:bookmarkStart w:id="27" w:name="_Hlk532293244"/>
      <w:r w:rsidRPr="000322E4">
        <w:t>общий (клинический) анализ крови развернутый</w:t>
      </w:r>
      <w:r w:rsidRPr="000322E4" w:rsidDel="00442E27">
        <w:t xml:space="preserve"> </w:t>
      </w:r>
      <w:r w:rsidRPr="000322E4">
        <w:t xml:space="preserve">с исследованием </w:t>
      </w:r>
      <w:r w:rsidRPr="000322E4">
        <w:rPr>
          <w:rFonts w:cs="Times New Roman"/>
        </w:rPr>
        <w:t>уровней общего гемоглобина</w:t>
      </w:r>
      <w:r w:rsidRPr="000322E4">
        <w:t xml:space="preserve">, эритроцитов, тромбоцитов, лейкоцитов в крови, с дифференцированным подсчетом лейкоцитов (лейкоцитарная формула), с исследованием </w:t>
      </w:r>
      <w:r w:rsidRPr="000322E4">
        <w:rPr>
          <w:rFonts w:cs="Times New Roman"/>
        </w:rPr>
        <w:t>уровня</w:t>
      </w:r>
      <w:r w:rsidRPr="000322E4">
        <w:t xml:space="preserve"> ретикулоцитов в крови, а также с исследованием скорости оседания эритроцитов</w:t>
      </w:r>
      <w:bookmarkEnd w:id="27"/>
      <w:r w:rsidR="0052462B" w:rsidRPr="000322E4">
        <w:t>;</w:t>
      </w:r>
    </w:p>
    <w:p w14:paraId="6A68D64A" w14:textId="77777777" w:rsidR="0052462B" w:rsidRPr="000322E4" w:rsidRDefault="0052462B" w:rsidP="00CA442F">
      <w:pPr>
        <w:pStyle w:val="afe"/>
        <w:numPr>
          <w:ilvl w:val="1"/>
          <w:numId w:val="5"/>
        </w:numPr>
        <w:divId w:val="266810958"/>
      </w:pPr>
      <w:r w:rsidRPr="000322E4">
        <w:t>общ</w:t>
      </w:r>
      <w:r w:rsidR="007C3C41" w:rsidRPr="000322E4">
        <w:t>ий</w:t>
      </w:r>
      <w:r w:rsidRPr="000322E4">
        <w:t xml:space="preserve"> (клиническ</w:t>
      </w:r>
      <w:r w:rsidR="007C3C41" w:rsidRPr="000322E4">
        <w:t>ий</w:t>
      </w:r>
      <w:r w:rsidRPr="000322E4">
        <w:t>) анализ мочи;</w:t>
      </w:r>
    </w:p>
    <w:p w14:paraId="52F1CE7E" w14:textId="1886E138" w:rsidR="00BA2C65" w:rsidRPr="00095D58" w:rsidRDefault="00BA2C65" w:rsidP="00CA442F">
      <w:pPr>
        <w:pStyle w:val="afe"/>
        <w:numPr>
          <w:ilvl w:val="1"/>
          <w:numId w:val="5"/>
        </w:numPr>
        <w:divId w:val="266810958"/>
        <w:rPr>
          <w:color w:val="000000" w:themeColor="text1"/>
        </w:rPr>
      </w:pPr>
      <w:r w:rsidRPr="000322E4">
        <w:t xml:space="preserve">анализ крови биохимический общетерапевтический с </w:t>
      </w:r>
      <w:r w:rsidRPr="000322E4">
        <w:rPr>
          <w:iCs/>
        </w:rPr>
        <w:t xml:space="preserve">определениями активностей лактатдегидрогеназы (ЛДГ), </w:t>
      </w:r>
      <w:r w:rsidRPr="000322E4">
        <w:rPr>
          <w:rFonts w:eastAsia="Times New Roman" w:cs="Times New Roman"/>
          <w:szCs w:val="24"/>
          <w:lang w:eastAsia="ru-RU"/>
        </w:rPr>
        <w:t>аланинаминотрансферазы</w:t>
      </w:r>
      <w:r w:rsidRPr="000322E4">
        <w:rPr>
          <w:iCs/>
        </w:rPr>
        <w:t xml:space="preserve"> (АЛТ), аспартатаминотрансферазы (АСТ), щелочной фосфатазы в крови, исследованиями уровней мочевины, креатинина, альбумина, общего белка, </w:t>
      </w:r>
      <w:r w:rsidRPr="000322E4">
        <w:rPr>
          <w:rFonts w:cs="Times New Roman"/>
        </w:rPr>
        <w:t xml:space="preserve">общего билирубина, калия, натрия, общего кальция, хлоридов </w:t>
      </w:r>
      <w:r w:rsidRPr="000322E4">
        <w:rPr>
          <w:iCs/>
        </w:rPr>
        <w:t>в крови, исследованием уровня бета-2-микроглобулина в крови</w:t>
      </w:r>
      <w:r w:rsidRPr="000322E4" w:rsidDel="00442E27">
        <w:rPr>
          <w:iCs/>
        </w:rPr>
        <w:t xml:space="preserve"> </w:t>
      </w:r>
      <w:r w:rsidRPr="000322E4">
        <w:rPr>
          <w:iCs/>
        </w:rPr>
        <w:t xml:space="preserve">(другие </w:t>
      </w:r>
      <w:r w:rsidRPr="00095D58">
        <w:rPr>
          <w:iCs/>
          <w:color w:val="000000" w:themeColor="text1"/>
        </w:rPr>
        <w:t>параметры биохимического анализа крови могут быть включены в исследование на усмотрение врача</w:t>
      </w:r>
      <w:r w:rsidR="001532E4" w:rsidRPr="00095D58">
        <w:rPr>
          <w:iCs/>
          <w:color w:val="000000" w:themeColor="text1"/>
        </w:rPr>
        <w:t>, в соответствии с клинческой ситуацией</w:t>
      </w:r>
      <w:r w:rsidRPr="00095D58">
        <w:rPr>
          <w:iCs/>
          <w:color w:val="000000" w:themeColor="text1"/>
        </w:rPr>
        <w:t>);</w:t>
      </w:r>
    </w:p>
    <w:p w14:paraId="218B8A0C" w14:textId="77777777" w:rsidR="00D60231" w:rsidRPr="000322E4" w:rsidRDefault="00D60231" w:rsidP="00CA442F">
      <w:pPr>
        <w:pStyle w:val="afe"/>
        <w:numPr>
          <w:ilvl w:val="1"/>
          <w:numId w:val="5"/>
        </w:numPr>
        <w:divId w:val="266810958"/>
      </w:pPr>
      <w:r w:rsidRPr="000322E4">
        <w:rPr>
          <w:iCs/>
        </w:rPr>
        <w:lastRenderedPageBreak/>
        <w:t xml:space="preserve">у пациентов в тяжелом состоянии, а также при наличии признаков острой почечной недостаточности (особенно при ЛБ) - </w:t>
      </w:r>
      <w:r w:rsidRPr="000322E4">
        <w:t>исследование кислотно-основного состояния и газов крови</w:t>
      </w:r>
    </w:p>
    <w:p w14:paraId="013BB2C6" w14:textId="2C943936" w:rsidR="0052462B" w:rsidRPr="000322E4" w:rsidRDefault="004A21C0" w:rsidP="00CA442F">
      <w:pPr>
        <w:pStyle w:val="afe"/>
        <w:numPr>
          <w:ilvl w:val="1"/>
          <w:numId w:val="5"/>
        </w:numPr>
        <w:divId w:val="266810958"/>
        <w:rPr>
          <w:iCs/>
        </w:rPr>
      </w:pPr>
      <w:r w:rsidRPr="000322E4">
        <w:t xml:space="preserve">исследование свертывающей системы крови (коагулограмма) с </w:t>
      </w:r>
      <w:r w:rsidRPr="000322E4">
        <w:rPr>
          <w:iCs/>
        </w:rPr>
        <w:t xml:space="preserve">включением </w:t>
      </w:r>
      <w:r w:rsidR="00A81848" w:rsidRPr="000322E4">
        <w:rPr>
          <w:iCs/>
        </w:rPr>
        <w:t xml:space="preserve">следующих параметров: протромбин, МНО, АЧТВ, фибриноген, тромбиновое время, антитромбин </w:t>
      </w:r>
      <w:r w:rsidR="00A81848" w:rsidRPr="000322E4">
        <w:rPr>
          <w:iCs/>
          <w:lang w:val="en-US"/>
        </w:rPr>
        <w:t>III</w:t>
      </w:r>
      <w:r w:rsidR="00A81848" w:rsidRPr="000322E4">
        <w:rPr>
          <w:iCs/>
        </w:rPr>
        <w:t xml:space="preserve">, плазминоген, </w:t>
      </w:r>
      <w:r w:rsidR="00A81848" w:rsidRPr="000322E4">
        <w:rPr>
          <w:iCs/>
          <w:lang w:val="en-US"/>
        </w:rPr>
        <w:t>D</w:t>
      </w:r>
      <w:r w:rsidR="00A81848" w:rsidRPr="000322E4">
        <w:rPr>
          <w:iCs/>
        </w:rPr>
        <w:t>-димер</w:t>
      </w:r>
      <w:r w:rsidR="00C51648" w:rsidRPr="000322E4">
        <w:rPr>
          <w:iCs/>
        </w:rPr>
        <w:t xml:space="preserve"> </w:t>
      </w:r>
      <w:r w:rsidR="00C51648" w:rsidRPr="000322E4">
        <w:rPr>
          <w:iCs/>
          <w:lang w:val="en-US"/>
        </w:rPr>
        <w:fldChar w:fldCharType="begin" w:fldLock="1"/>
      </w:r>
      <w:r w:rsidR="009D170B">
        <w:rPr>
          <w:iCs/>
          <w:lang w:val="en-US"/>
        </w:rPr>
        <w:instrText>ADDIN</w:instrText>
      </w:r>
      <w:r w:rsidR="009D170B" w:rsidRPr="00320416">
        <w:rPr>
          <w:iCs/>
        </w:rPr>
        <w:instrText xml:space="preserve"> </w:instrText>
      </w:r>
      <w:r w:rsidR="009D170B">
        <w:rPr>
          <w:iCs/>
          <w:lang w:val="en-US"/>
        </w:rPr>
        <w:instrText>CSL</w:instrText>
      </w:r>
      <w:r w:rsidR="009D170B" w:rsidRPr="00320416">
        <w:rPr>
          <w:iCs/>
        </w:rPr>
        <w:instrText>_</w:instrText>
      </w:r>
      <w:r w:rsidR="009D170B">
        <w:rPr>
          <w:iCs/>
          <w:lang w:val="en-US"/>
        </w:rPr>
        <w:instrText>CITATION</w:instrText>
      </w:r>
      <w:r w:rsidR="009D170B" w:rsidRPr="00320416">
        <w:rPr>
          <w:iCs/>
        </w:rPr>
        <w:instrText xml:space="preserve"> {"</w:instrText>
      </w:r>
      <w:r w:rsidR="009D170B">
        <w:rPr>
          <w:iCs/>
          <w:lang w:val="en-US"/>
        </w:rPr>
        <w:instrText>citationItems</w:instrText>
      </w:r>
      <w:r w:rsidR="009D170B" w:rsidRPr="00320416">
        <w:rPr>
          <w:iCs/>
        </w:rPr>
        <w:instrText>":[{"</w:instrText>
      </w:r>
      <w:r w:rsidR="009D170B">
        <w:rPr>
          <w:iCs/>
          <w:lang w:val="en-US"/>
        </w:rPr>
        <w:instrText>id</w:instrText>
      </w:r>
      <w:r w:rsidR="009D170B" w:rsidRPr="00320416">
        <w:rPr>
          <w:iCs/>
        </w:rPr>
        <w:instrText>":"</w:instrText>
      </w:r>
      <w:r w:rsidR="009D170B">
        <w:rPr>
          <w:iCs/>
          <w:lang w:val="en-US"/>
        </w:rPr>
        <w:instrText>ITEM</w:instrText>
      </w:r>
      <w:r w:rsidR="009D170B" w:rsidRPr="00320416">
        <w:rPr>
          <w:iCs/>
        </w:rPr>
        <w:instrText>-1","</w:instrText>
      </w:r>
      <w:r w:rsidR="009D170B">
        <w:rPr>
          <w:iCs/>
          <w:lang w:val="en-US"/>
        </w:rPr>
        <w:instrText>itemData</w:instrText>
      </w:r>
      <w:r w:rsidR="009D170B" w:rsidRPr="00320416">
        <w:rPr>
          <w:iCs/>
        </w:rPr>
        <w:instrText>":{"</w:instrText>
      </w:r>
      <w:r w:rsidR="009D170B">
        <w:rPr>
          <w:iCs/>
          <w:lang w:val="en-US"/>
        </w:rPr>
        <w:instrText>DOI</w:instrText>
      </w:r>
      <w:r w:rsidR="009D170B" w:rsidRPr="00320416">
        <w:rPr>
          <w:iCs/>
        </w:rPr>
        <w:instrText>":"10.1634/</w:instrText>
      </w:r>
      <w:r w:rsidR="009D170B">
        <w:rPr>
          <w:iCs/>
          <w:lang w:val="en-US"/>
        </w:rPr>
        <w:instrText>theoncologist</w:instrText>
      </w:r>
      <w:r w:rsidR="009D170B" w:rsidRPr="00320416">
        <w:rPr>
          <w:iCs/>
        </w:rPr>
        <w:instrText>.2015-0361","</w:instrText>
      </w:r>
      <w:r w:rsidR="009D170B">
        <w:rPr>
          <w:iCs/>
          <w:lang w:val="en-US"/>
        </w:rPr>
        <w:instrText>ISSN</w:instrText>
      </w:r>
      <w:r w:rsidR="009D170B" w:rsidRPr="00320416">
        <w:rPr>
          <w:iCs/>
        </w:rPr>
        <w:instrText>":"1083-7159","</w:instrText>
      </w:r>
      <w:r w:rsidR="009D170B">
        <w:rPr>
          <w:iCs/>
          <w:lang w:val="en-US"/>
        </w:rPr>
        <w:instrText>abstract</w:instrText>
      </w:r>
      <w:r w:rsidR="009D170B" w:rsidRPr="00320416">
        <w:rPr>
          <w:iCs/>
        </w:rPr>
        <w:instrText xml:space="preserve">":"© </w:instrText>
      </w:r>
      <w:r w:rsidR="009D170B">
        <w:rPr>
          <w:iCs/>
          <w:lang w:val="en-US"/>
        </w:rPr>
        <w:instrText>AlphaMed</w:instrText>
      </w:r>
      <w:r w:rsidR="009D170B" w:rsidRPr="00320416">
        <w:rPr>
          <w:iCs/>
        </w:rPr>
        <w:instrText xml:space="preserve"> </w:instrText>
      </w:r>
      <w:r w:rsidR="009D170B">
        <w:rPr>
          <w:iCs/>
          <w:lang w:val="en-US"/>
        </w:rPr>
        <w:instrText>Press</w:instrText>
      </w:r>
      <w:r w:rsidR="009D170B" w:rsidRPr="00320416">
        <w:rPr>
          <w:iCs/>
        </w:rPr>
        <w:instrText xml:space="preserve"> 2016. </w:instrText>
      </w:r>
      <w:r w:rsidR="009D170B">
        <w:rPr>
          <w:iCs/>
          <w:lang w:val="en-US"/>
        </w:rPr>
        <w:instrText>Background</w:instrText>
      </w:r>
      <w:r w:rsidR="009D170B" w:rsidRPr="00320416">
        <w:rPr>
          <w:iCs/>
        </w:rPr>
        <w:instrText xml:space="preserve">. </w:instrText>
      </w:r>
      <w:r w:rsidR="009D170B">
        <w:rPr>
          <w:iCs/>
          <w:lang w:val="en-US"/>
        </w:rPr>
        <w:instrText>Retrospective</w:instrText>
      </w:r>
      <w:r w:rsidR="009D170B" w:rsidRPr="00320416">
        <w:rPr>
          <w:iCs/>
        </w:rPr>
        <w:instrText xml:space="preserve"> </w:instrText>
      </w:r>
      <w:r w:rsidR="009D170B">
        <w:rPr>
          <w:iCs/>
          <w:lang w:val="en-US"/>
        </w:rPr>
        <w:instrText>studies</w:instrText>
      </w:r>
      <w:r w:rsidR="009D170B" w:rsidRPr="00320416">
        <w:rPr>
          <w:iCs/>
        </w:rPr>
        <w:instrText xml:space="preserve"> </w:instrText>
      </w:r>
      <w:r w:rsidR="009D170B">
        <w:rPr>
          <w:iCs/>
          <w:lang w:val="en-US"/>
        </w:rPr>
        <w:instrText>have</w:instrText>
      </w:r>
      <w:r w:rsidR="009D170B" w:rsidRPr="00320416">
        <w:rPr>
          <w:iCs/>
        </w:rPr>
        <w:instrText xml:space="preserve"> </w:instrText>
      </w:r>
      <w:r w:rsidR="009D170B">
        <w:rPr>
          <w:iCs/>
          <w:lang w:val="en-US"/>
        </w:rPr>
        <w:instrText>suggested</w:instrText>
      </w:r>
      <w:r w:rsidR="009D170B" w:rsidRPr="00320416">
        <w:rPr>
          <w:iCs/>
        </w:rPr>
        <w:instrText xml:space="preserve"> </w:instrText>
      </w:r>
      <w:r w:rsidR="009D170B">
        <w:rPr>
          <w:iCs/>
          <w:lang w:val="en-US"/>
        </w:rPr>
        <w:instrText>an</w:instrText>
      </w:r>
      <w:r w:rsidR="009D170B" w:rsidRPr="00320416">
        <w:rPr>
          <w:iCs/>
        </w:rPr>
        <w:instrText xml:space="preserve"> </w:instrText>
      </w:r>
      <w:r w:rsidR="009D170B">
        <w:rPr>
          <w:iCs/>
          <w:lang w:val="en-US"/>
        </w:rPr>
        <w:instrText>association</w:instrText>
      </w:r>
      <w:r w:rsidR="009D170B" w:rsidRPr="00320416">
        <w:rPr>
          <w:iCs/>
        </w:rPr>
        <w:instrText xml:space="preserve"> </w:instrText>
      </w:r>
      <w:r w:rsidR="009D170B">
        <w:rPr>
          <w:iCs/>
          <w:lang w:val="en-US"/>
        </w:rPr>
        <w:instrText>between</w:instrText>
      </w:r>
      <w:r w:rsidR="009D170B" w:rsidRPr="00320416">
        <w:rPr>
          <w:iCs/>
        </w:rPr>
        <w:instrText xml:space="preserve"> </w:instrText>
      </w:r>
      <w:r w:rsidR="009D170B">
        <w:rPr>
          <w:iCs/>
          <w:lang w:val="en-US"/>
        </w:rPr>
        <w:instrText>cancer</w:instrText>
      </w:r>
      <w:r w:rsidR="009D170B" w:rsidRPr="00320416">
        <w:rPr>
          <w:iCs/>
        </w:rPr>
        <w:instrText>-</w:instrText>
      </w:r>
      <w:r w:rsidR="009D170B">
        <w:rPr>
          <w:iCs/>
          <w:lang w:val="en-US"/>
        </w:rPr>
        <w:instrText>associated</w:instrText>
      </w:r>
      <w:r w:rsidR="009D170B" w:rsidRPr="00320416">
        <w:rPr>
          <w:iCs/>
        </w:rPr>
        <w:instrText xml:space="preserve"> </w:instrText>
      </w:r>
      <w:r w:rsidR="009D170B">
        <w:rPr>
          <w:iCs/>
          <w:lang w:val="en-US"/>
        </w:rPr>
        <w:instrText>venous</w:instrText>
      </w:r>
      <w:r w:rsidR="009D170B" w:rsidRPr="00320416">
        <w:rPr>
          <w:iCs/>
        </w:rPr>
        <w:instrText xml:space="preserve"> </w:instrText>
      </w:r>
      <w:r w:rsidR="009D170B">
        <w:rPr>
          <w:iCs/>
          <w:lang w:val="en-US"/>
        </w:rPr>
        <w:instrText>thromboembolism</w:instrText>
      </w:r>
      <w:r w:rsidR="009D170B" w:rsidRPr="00320416">
        <w:rPr>
          <w:iCs/>
        </w:rPr>
        <w:instrText xml:space="preserve"> (</w:instrText>
      </w:r>
      <w:r w:rsidR="009D170B">
        <w:rPr>
          <w:iCs/>
          <w:lang w:val="en-US"/>
        </w:rPr>
        <w:instrText>VTE</w:instrText>
      </w:r>
      <w:r w:rsidR="009D170B" w:rsidRPr="00AA43FB">
        <w:rPr>
          <w:iCs/>
        </w:rPr>
        <w:instrText xml:space="preserve">) </w:instrText>
      </w:r>
      <w:r w:rsidR="009D170B">
        <w:rPr>
          <w:iCs/>
          <w:lang w:val="en-US"/>
        </w:rPr>
        <w:instrText>and</w:instrText>
      </w:r>
      <w:r w:rsidR="009D170B" w:rsidRPr="00AA43FB">
        <w:rPr>
          <w:iCs/>
        </w:rPr>
        <w:instrText xml:space="preserve"> </w:instrText>
      </w:r>
      <w:r w:rsidR="009D170B">
        <w:rPr>
          <w:iCs/>
          <w:lang w:val="en-US"/>
        </w:rPr>
        <w:instrText>patient</w:instrText>
      </w:r>
      <w:r w:rsidR="009D170B" w:rsidRPr="00AA43FB">
        <w:rPr>
          <w:iCs/>
        </w:rPr>
        <w:instrText xml:space="preserve"> </w:instrText>
      </w:r>
      <w:r w:rsidR="009D170B">
        <w:rPr>
          <w:iCs/>
          <w:lang w:val="en-US"/>
        </w:rPr>
        <w:instrText>survival</w:instrText>
      </w:r>
      <w:r w:rsidR="009D170B" w:rsidRPr="00AA43FB">
        <w:rPr>
          <w:iCs/>
        </w:rPr>
        <w:instrText>.</w:instrText>
      </w:r>
      <w:r w:rsidR="009D170B">
        <w:rPr>
          <w:iCs/>
          <w:lang w:val="en-US"/>
        </w:rPr>
        <w:instrText>Weevaluated</w:instrText>
      </w:r>
      <w:r w:rsidR="009D170B" w:rsidRPr="00AA43FB">
        <w:rPr>
          <w:iCs/>
        </w:rPr>
        <w:instrText xml:space="preserve"> </w:instrText>
      </w:r>
      <w:r w:rsidR="009D170B">
        <w:rPr>
          <w:iCs/>
          <w:lang w:val="en-US"/>
        </w:rPr>
        <w:instrText>a</w:instrText>
      </w:r>
      <w:r w:rsidR="009D170B" w:rsidRPr="00AA43FB">
        <w:rPr>
          <w:iCs/>
        </w:rPr>
        <w:instrText xml:space="preserve"> </w:instrText>
      </w:r>
      <w:r w:rsidR="009D170B">
        <w:rPr>
          <w:iCs/>
          <w:lang w:val="en-US"/>
        </w:rPr>
        <w:instrText>previously</w:instrText>
      </w:r>
      <w:r w:rsidR="009D170B" w:rsidRPr="00AA43FB">
        <w:rPr>
          <w:iCs/>
        </w:rPr>
        <w:instrText xml:space="preserve"> </w:instrText>
      </w:r>
      <w:r w:rsidR="009D170B">
        <w:rPr>
          <w:iCs/>
          <w:lang w:val="en-US"/>
        </w:rPr>
        <w:instrText>validated</w:instrText>
      </w:r>
      <w:r w:rsidR="009D170B" w:rsidRPr="00AA43FB">
        <w:rPr>
          <w:iCs/>
        </w:rPr>
        <w:instrText xml:space="preserve"> </w:instrText>
      </w:r>
      <w:r w:rsidR="009D170B">
        <w:rPr>
          <w:iCs/>
          <w:lang w:val="en-US"/>
        </w:rPr>
        <w:instrText>VTE</w:instrText>
      </w:r>
      <w:r w:rsidR="009D170B" w:rsidRPr="00AA43FB">
        <w:rPr>
          <w:iCs/>
        </w:rPr>
        <w:instrText xml:space="preserve"> </w:instrText>
      </w:r>
      <w:r w:rsidR="009D170B">
        <w:rPr>
          <w:iCs/>
          <w:lang w:val="en-US"/>
        </w:rPr>
        <w:instrText>Clinical</w:instrText>
      </w:r>
      <w:r w:rsidR="009D170B" w:rsidRPr="00AA43FB">
        <w:rPr>
          <w:iCs/>
        </w:rPr>
        <w:instrText xml:space="preserve"> </w:instrText>
      </w:r>
      <w:r w:rsidR="009D170B">
        <w:rPr>
          <w:iCs/>
          <w:lang w:val="en-US"/>
        </w:rPr>
        <w:instrText>Risk</w:instrText>
      </w:r>
      <w:r w:rsidR="009D170B" w:rsidRPr="00AA43FB">
        <w:rPr>
          <w:iCs/>
        </w:rPr>
        <w:instrText xml:space="preserve"> </w:instrText>
      </w:r>
      <w:r w:rsidR="009D170B">
        <w:rPr>
          <w:iCs/>
          <w:lang w:val="en-US"/>
        </w:rPr>
        <w:instrText>Score</w:instrText>
      </w:r>
      <w:r w:rsidR="009D170B" w:rsidRPr="00AA43FB">
        <w:rPr>
          <w:iCs/>
        </w:rPr>
        <w:instrText xml:space="preserve"> </w:instrText>
      </w:r>
      <w:r w:rsidR="009D170B">
        <w:rPr>
          <w:iCs/>
          <w:lang w:val="en-US"/>
        </w:rPr>
        <w:instrText>in</w:instrText>
      </w:r>
      <w:r w:rsidR="009D170B" w:rsidRPr="00AA43FB">
        <w:rPr>
          <w:iCs/>
        </w:rPr>
        <w:instrText xml:space="preserve"> </w:instrText>
      </w:r>
      <w:r w:rsidR="009D170B">
        <w:rPr>
          <w:iCs/>
          <w:lang w:val="en-US"/>
        </w:rPr>
        <w:instrText>also</w:instrText>
      </w:r>
      <w:r w:rsidR="009D170B" w:rsidRPr="00AA43FB">
        <w:rPr>
          <w:iCs/>
        </w:rPr>
        <w:instrText xml:space="preserve"> </w:instrText>
      </w:r>
      <w:r w:rsidR="009D170B">
        <w:rPr>
          <w:iCs/>
          <w:lang w:val="en-US"/>
        </w:rPr>
        <w:instrText>predicting</w:instrText>
      </w:r>
      <w:r w:rsidR="009D170B" w:rsidRPr="00AA43FB">
        <w:rPr>
          <w:iCs/>
        </w:rPr>
        <w:instrText xml:space="preserve"> </w:instrText>
      </w:r>
      <w:r w:rsidR="009D170B">
        <w:rPr>
          <w:iCs/>
          <w:lang w:val="en-US"/>
        </w:rPr>
        <w:instrText>early</w:instrText>
      </w:r>
      <w:r w:rsidR="009D170B" w:rsidRPr="00AA43FB">
        <w:rPr>
          <w:iCs/>
        </w:rPr>
        <w:instrText xml:space="preserve"> </w:instrText>
      </w:r>
      <w:r w:rsidR="009D170B">
        <w:rPr>
          <w:iCs/>
          <w:lang w:val="en-US"/>
        </w:rPr>
        <w:instrText>mortality</w:instrText>
      </w:r>
      <w:r w:rsidR="009D170B" w:rsidRPr="00AA43FB">
        <w:rPr>
          <w:iCs/>
        </w:rPr>
        <w:instrText xml:space="preserve"> </w:instrText>
      </w:r>
      <w:r w:rsidR="009D170B">
        <w:rPr>
          <w:iCs/>
          <w:lang w:val="en-US"/>
        </w:rPr>
        <w:instrText>and</w:instrText>
      </w:r>
      <w:r w:rsidR="009D170B" w:rsidRPr="00AA43FB">
        <w:rPr>
          <w:iCs/>
        </w:rPr>
        <w:instrText xml:space="preserve"> </w:instrText>
      </w:r>
      <w:r w:rsidR="009D170B">
        <w:rPr>
          <w:iCs/>
          <w:lang w:val="en-US"/>
        </w:rPr>
        <w:instrText>cancer</w:instrText>
      </w:r>
      <w:r w:rsidR="009D170B" w:rsidRPr="00AA43FB">
        <w:rPr>
          <w:iCs/>
        </w:rPr>
        <w:instrText xml:space="preserve"> </w:instrText>
      </w:r>
      <w:r w:rsidR="009D170B">
        <w:rPr>
          <w:iCs/>
          <w:lang w:val="en-US"/>
        </w:rPr>
        <w:instrText>progression</w:instrText>
      </w:r>
      <w:r w:rsidR="009D170B" w:rsidRPr="00AA43FB">
        <w:rPr>
          <w:iCs/>
        </w:rPr>
        <w:instrText xml:space="preserve">. </w:instrText>
      </w:r>
      <w:r w:rsidR="009D170B">
        <w:rPr>
          <w:iCs/>
          <w:lang w:val="en-US"/>
        </w:rPr>
        <w:instrText>Methods</w:instrText>
      </w:r>
      <w:r w:rsidR="009D170B" w:rsidRPr="00AA43FB">
        <w:rPr>
          <w:iCs/>
        </w:rPr>
        <w:instrText xml:space="preserve">. </w:instrText>
      </w:r>
      <w:r w:rsidR="009D170B">
        <w:rPr>
          <w:iCs/>
          <w:lang w:val="en-US"/>
        </w:rPr>
        <w:instrText>A</w:instrText>
      </w:r>
      <w:r w:rsidR="009D170B" w:rsidRPr="00AA43FB">
        <w:rPr>
          <w:iCs/>
        </w:rPr>
        <w:instrText xml:space="preserve"> </w:instrText>
      </w:r>
      <w:r w:rsidR="009D170B">
        <w:rPr>
          <w:iCs/>
          <w:lang w:val="en-US"/>
        </w:rPr>
        <w:instrText>large</w:instrText>
      </w:r>
      <w:r w:rsidR="009D170B" w:rsidRPr="00AA43FB">
        <w:rPr>
          <w:iCs/>
        </w:rPr>
        <w:instrText xml:space="preserve">, </w:instrText>
      </w:r>
      <w:r w:rsidR="009D170B">
        <w:rPr>
          <w:iCs/>
          <w:lang w:val="en-US"/>
        </w:rPr>
        <w:instrText>nationwide</w:instrText>
      </w:r>
      <w:r w:rsidR="009D170B" w:rsidRPr="00AA43FB">
        <w:rPr>
          <w:iCs/>
        </w:rPr>
        <w:instrText xml:space="preserve">, </w:instrText>
      </w:r>
      <w:r w:rsidR="009D170B">
        <w:rPr>
          <w:iCs/>
          <w:lang w:val="en-US"/>
        </w:rPr>
        <w:instrText>prospective</w:instrText>
      </w:r>
      <w:r w:rsidR="009D170B" w:rsidRPr="00AA43FB">
        <w:rPr>
          <w:iCs/>
        </w:rPr>
        <w:instrText xml:space="preserve"> </w:instrText>
      </w:r>
      <w:r w:rsidR="009D170B">
        <w:rPr>
          <w:iCs/>
          <w:lang w:val="en-US"/>
        </w:rPr>
        <w:instrText>cohort</w:instrText>
      </w:r>
      <w:r w:rsidR="009D170B" w:rsidRPr="00AA43FB">
        <w:rPr>
          <w:iCs/>
        </w:rPr>
        <w:instrText xml:space="preserve"> </w:instrText>
      </w:r>
      <w:r w:rsidR="009D170B">
        <w:rPr>
          <w:iCs/>
          <w:lang w:val="en-US"/>
        </w:rPr>
        <w:instrText>study</w:instrText>
      </w:r>
      <w:r w:rsidR="009D170B" w:rsidRPr="00AA43FB">
        <w:rPr>
          <w:iCs/>
        </w:rPr>
        <w:instrText xml:space="preserve"> </w:instrText>
      </w:r>
      <w:r w:rsidR="009D170B">
        <w:rPr>
          <w:iCs/>
          <w:lang w:val="en-US"/>
        </w:rPr>
        <w:instrText>of</w:instrText>
      </w:r>
      <w:r w:rsidR="009D170B" w:rsidRPr="00AA43FB">
        <w:rPr>
          <w:iCs/>
        </w:rPr>
        <w:instrText xml:space="preserve"> </w:instrText>
      </w:r>
      <w:r w:rsidR="009D170B">
        <w:rPr>
          <w:iCs/>
          <w:lang w:val="en-US"/>
        </w:rPr>
        <w:instrText>adults</w:instrText>
      </w:r>
      <w:r w:rsidR="009D170B" w:rsidRPr="00AA43FB">
        <w:rPr>
          <w:iCs/>
        </w:rPr>
        <w:instrText xml:space="preserve"> </w:instrText>
      </w:r>
      <w:r w:rsidR="009D170B">
        <w:rPr>
          <w:iCs/>
          <w:lang w:val="en-US"/>
        </w:rPr>
        <w:instrText>with</w:instrText>
      </w:r>
      <w:r w:rsidR="009D170B" w:rsidRPr="00AA43FB">
        <w:rPr>
          <w:iCs/>
        </w:rPr>
        <w:instrText xml:space="preserve"> </w:instrText>
      </w:r>
      <w:r w:rsidR="009D170B">
        <w:rPr>
          <w:iCs/>
          <w:lang w:val="en-US"/>
        </w:rPr>
        <w:instrText>solid</w:instrText>
      </w:r>
      <w:r w:rsidR="009D170B" w:rsidRPr="00AA43FB">
        <w:rPr>
          <w:iCs/>
        </w:rPr>
        <w:instrText xml:space="preserve"> </w:instrText>
      </w:r>
      <w:r w:rsidR="009D170B">
        <w:rPr>
          <w:iCs/>
          <w:lang w:val="en-US"/>
        </w:rPr>
        <w:instrText>tumors</w:instrText>
      </w:r>
      <w:r w:rsidR="009D170B" w:rsidRPr="00AA43FB">
        <w:rPr>
          <w:iCs/>
        </w:rPr>
        <w:instrText xml:space="preserve"> </w:instrText>
      </w:r>
      <w:r w:rsidR="009D170B">
        <w:rPr>
          <w:iCs/>
          <w:lang w:val="en-US"/>
        </w:rPr>
        <w:instrText>orlymphoma</w:instrText>
      </w:r>
      <w:r w:rsidR="009D170B" w:rsidRPr="00AA43FB">
        <w:rPr>
          <w:iCs/>
        </w:rPr>
        <w:instrText xml:space="preserve"> </w:instrText>
      </w:r>
      <w:r w:rsidR="009D170B">
        <w:rPr>
          <w:iCs/>
          <w:lang w:val="en-US"/>
        </w:rPr>
        <w:instrText>initiating</w:instrText>
      </w:r>
      <w:r w:rsidR="009D170B" w:rsidRPr="00AA43FB">
        <w:rPr>
          <w:iCs/>
        </w:rPr>
        <w:instrText xml:space="preserve"> </w:instrText>
      </w:r>
      <w:r w:rsidR="009D170B">
        <w:rPr>
          <w:iCs/>
          <w:lang w:val="en-US"/>
        </w:rPr>
        <w:instrText>chemotherapy</w:instrText>
      </w:r>
      <w:r w:rsidR="009D170B" w:rsidRPr="00AA43FB">
        <w:rPr>
          <w:iCs/>
        </w:rPr>
        <w:instrText xml:space="preserve"> </w:instrText>
      </w:r>
      <w:r w:rsidR="009D170B">
        <w:rPr>
          <w:iCs/>
          <w:lang w:val="en-US"/>
        </w:rPr>
        <w:instrText>was</w:instrText>
      </w:r>
      <w:r w:rsidR="009D170B" w:rsidRPr="00AA43FB">
        <w:rPr>
          <w:iCs/>
        </w:rPr>
        <w:instrText xml:space="preserve"> </w:instrText>
      </w:r>
      <w:r w:rsidR="009D170B">
        <w:rPr>
          <w:iCs/>
          <w:lang w:val="en-US"/>
        </w:rPr>
        <w:instrText>conducted</w:instrText>
      </w:r>
      <w:r w:rsidR="009D170B" w:rsidRPr="00AA43FB">
        <w:rPr>
          <w:iCs/>
        </w:rPr>
        <w:instrText xml:space="preserve"> </w:instrText>
      </w:r>
      <w:r w:rsidR="009D170B">
        <w:rPr>
          <w:iCs/>
          <w:lang w:val="en-US"/>
        </w:rPr>
        <w:instrText>from</w:instrText>
      </w:r>
      <w:r w:rsidR="009D170B" w:rsidRPr="00AA43FB">
        <w:rPr>
          <w:iCs/>
        </w:rPr>
        <w:instrText xml:space="preserve"> 2002 </w:instrText>
      </w:r>
      <w:r w:rsidR="009D170B">
        <w:rPr>
          <w:iCs/>
          <w:lang w:val="en-US"/>
        </w:rPr>
        <w:instrText>to</w:instrText>
      </w:r>
      <w:r w:rsidR="009D170B" w:rsidRPr="00AA43FB">
        <w:rPr>
          <w:iCs/>
        </w:rPr>
        <w:instrText xml:space="preserve"> 2006 </w:instrText>
      </w:r>
      <w:r w:rsidR="009D170B">
        <w:rPr>
          <w:iCs/>
          <w:lang w:val="en-US"/>
        </w:rPr>
        <w:instrText>at</w:instrText>
      </w:r>
      <w:r w:rsidR="009D170B" w:rsidRPr="00AA43FB">
        <w:rPr>
          <w:iCs/>
        </w:rPr>
        <w:instrText xml:space="preserve"> 115 </w:instrText>
      </w:r>
      <w:r w:rsidR="009D170B">
        <w:rPr>
          <w:iCs/>
          <w:lang w:val="en-US"/>
        </w:rPr>
        <w:instrText>U</w:instrText>
      </w:r>
      <w:r w:rsidR="009D170B" w:rsidRPr="00AA43FB">
        <w:rPr>
          <w:iCs/>
        </w:rPr>
        <w:instrText>.</w:instrText>
      </w:r>
      <w:r w:rsidR="009D170B">
        <w:rPr>
          <w:iCs/>
          <w:lang w:val="en-US"/>
        </w:rPr>
        <w:instrText>S</w:instrText>
      </w:r>
      <w:r w:rsidR="009D170B" w:rsidRPr="00AA43FB">
        <w:rPr>
          <w:iCs/>
        </w:rPr>
        <w:instrText xml:space="preserve">. </w:instrText>
      </w:r>
      <w:r w:rsidR="009D170B">
        <w:rPr>
          <w:iCs/>
          <w:lang w:val="en-US"/>
        </w:rPr>
        <w:instrText>practice</w:instrText>
      </w:r>
      <w:r w:rsidR="009D170B" w:rsidRPr="00AA43FB">
        <w:rPr>
          <w:iCs/>
        </w:rPr>
        <w:instrText xml:space="preserve"> </w:instrText>
      </w:r>
      <w:r w:rsidR="009D170B">
        <w:rPr>
          <w:iCs/>
          <w:lang w:val="en-US"/>
        </w:rPr>
        <w:instrText>sites</w:instrText>
      </w:r>
      <w:r w:rsidR="009D170B" w:rsidRPr="00AA43FB">
        <w:rPr>
          <w:iCs/>
        </w:rPr>
        <w:instrText xml:space="preserve">. </w:instrText>
      </w:r>
      <w:r w:rsidR="009D170B">
        <w:rPr>
          <w:iCs/>
          <w:lang w:val="en-US"/>
        </w:rPr>
        <w:instrText>Survivalandcancer</w:instrText>
      </w:r>
      <w:r w:rsidR="009D170B" w:rsidRPr="00AA43FB">
        <w:rPr>
          <w:iCs/>
        </w:rPr>
        <w:instrText xml:space="preserve"> </w:instrText>
      </w:r>
      <w:r w:rsidR="009D170B">
        <w:rPr>
          <w:iCs/>
          <w:lang w:val="en-US"/>
        </w:rPr>
        <w:instrText>progressionwereestimatedbythemethod</w:instrText>
      </w:r>
      <w:r w:rsidR="009D170B" w:rsidRPr="00AA43FB">
        <w:rPr>
          <w:iCs/>
        </w:rPr>
        <w:instrText xml:space="preserve"> </w:instrText>
      </w:r>
      <w:r w:rsidR="009D170B">
        <w:rPr>
          <w:iCs/>
          <w:lang w:val="en-US"/>
        </w:rPr>
        <w:instrText>of</w:instrText>
      </w:r>
      <w:r w:rsidR="009D170B" w:rsidRPr="00AA43FB">
        <w:rPr>
          <w:iCs/>
        </w:rPr>
        <w:instrText xml:space="preserve"> </w:instrText>
      </w:r>
      <w:r w:rsidR="009D170B">
        <w:rPr>
          <w:iCs/>
          <w:lang w:val="en-US"/>
        </w:rPr>
        <w:instrText>Kaplan</w:instrText>
      </w:r>
      <w:r w:rsidR="009D170B" w:rsidRPr="00AA43FB">
        <w:rPr>
          <w:iCs/>
        </w:rPr>
        <w:instrText xml:space="preserve"> </w:instrText>
      </w:r>
      <w:r w:rsidR="009D170B">
        <w:rPr>
          <w:iCs/>
          <w:lang w:val="en-US"/>
        </w:rPr>
        <w:instrText>and</w:instrText>
      </w:r>
      <w:r w:rsidR="009D170B" w:rsidRPr="00AA43FB">
        <w:rPr>
          <w:iCs/>
        </w:rPr>
        <w:instrText xml:space="preserve"> </w:instrText>
      </w:r>
      <w:r w:rsidR="009D170B">
        <w:rPr>
          <w:iCs/>
          <w:lang w:val="en-US"/>
        </w:rPr>
        <w:instrText>Meier</w:instrText>
      </w:r>
      <w:r w:rsidR="009D170B" w:rsidRPr="00AA43FB">
        <w:rPr>
          <w:iCs/>
        </w:rPr>
        <w:instrText xml:space="preserve">. </w:instrText>
      </w:r>
      <w:r w:rsidR="009D170B">
        <w:rPr>
          <w:iCs/>
          <w:lang w:val="en-US"/>
        </w:rPr>
        <w:instrText>Multivariate</w:instrText>
      </w:r>
      <w:r w:rsidR="009D170B" w:rsidRPr="00AA43FB">
        <w:rPr>
          <w:iCs/>
        </w:rPr>
        <w:instrText xml:space="preserve"> </w:instrText>
      </w:r>
      <w:r w:rsidR="009D170B">
        <w:rPr>
          <w:iCs/>
          <w:lang w:val="en-US"/>
        </w:rPr>
        <w:instrText>analysis</w:instrText>
      </w:r>
      <w:r w:rsidR="009D170B" w:rsidRPr="00AA43FB">
        <w:rPr>
          <w:iCs/>
        </w:rPr>
        <w:instrText xml:space="preserve"> </w:instrText>
      </w:r>
      <w:r w:rsidR="009D170B">
        <w:rPr>
          <w:iCs/>
          <w:lang w:val="en-US"/>
        </w:rPr>
        <w:instrText>was</w:instrText>
      </w:r>
      <w:r w:rsidR="009D170B" w:rsidRPr="00AA43FB">
        <w:rPr>
          <w:iCs/>
        </w:rPr>
        <w:instrText xml:space="preserve"> </w:instrText>
      </w:r>
      <w:r w:rsidR="009D170B">
        <w:rPr>
          <w:iCs/>
          <w:lang w:val="en-US"/>
        </w:rPr>
        <w:instrText>based</w:instrText>
      </w:r>
      <w:r w:rsidR="009D170B" w:rsidRPr="00AA43FB">
        <w:rPr>
          <w:iCs/>
        </w:rPr>
        <w:instrText xml:space="preserve"> </w:instrText>
      </w:r>
      <w:r w:rsidR="009D170B">
        <w:rPr>
          <w:iCs/>
          <w:lang w:val="en-US"/>
        </w:rPr>
        <w:instrText>on</w:instrText>
      </w:r>
      <w:r w:rsidR="009D170B" w:rsidRPr="00AA43FB">
        <w:rPr>
          <w:iCs/>
        </w:rPr>
        <w:instrText xml:space="preserve"> </w:instrText>
      </w:r>
      <w:r w:rsidR="009D170B">
        <w:rPr>
          <w:iCs/>
          <w:lang w:val="en-US"/>
        </w:rPr>
        <w:instrText>Cox</w:instrText>
      </w:r>
      <w:r w:rsidR="009D170B" w:rsidRPr="00AA43FB">
        <w:rPr>
          <w:iCs/>
        </w:rPr>
        <w:instrText xml:space="preserve"> </w:instrText>
      </w:r>
      <w:r w:rsidR="009D170B">
        <w:rPr>
          <w:iCs/>
          <w:lang w:val="en-US"/>
        </w:rPr>
        <w:instrText>regression</w:instrText>
      </w:r>
      <w:r w:rsidR="009D170B" w:rsidRPr="00AA43FB">
        <w:rPr>
          <w:iCs/>
        </w:rPr>
        <w:instrText xml:space="preserve"> </w:instrText>
      </w:r>
      <w:r w:rsidR="009D170B">
        <w:rPr>
          <w:iCs/>
          <w:lang w:val="en-US"/>
        </w:rPr>
        <w:instrText>analysis</w:instrText>
      </w:r>
      <w:r w:rsidR="009D170B" w:rsidRPr="00AA43FB">
        <w:rPr>
          <w:iCs/>
        </w:rPr>
        <w:instrText xml:space="preserve"> </w:instrText>
      </w:r>
      <w:r w:rsidR="009D170B">
        <w:rPr>
          <w:iCs/>
          <w:lang w:val="en-US"/>
        </w:rPr>
        <w:instrText>adjusted</w:instrText>
      </w:r>
      <w:r w:rsidR="009D170B" w:rsidRPr="00AA43FB">
        <w:rPr>
          <w:iCs/>
        </w:rPr>
        <w:instrText xml:space="preserve"> </w:instrText>
      </w:r>
      <w:r w:rsidR="009D170B">
        <w:rPr>
          <w:iCs/>
          <w:lang w:val="en-US"/>
        </w:rPr>
        <w:instrText>for</w:instrText>
      </w:r>
      <w:r w:rsidR="009D170B" w:rsidRPr="00AA43FB">
        <w:rPr>
          <w:iCs/>
        </w:rPr>
        <w:instrText xml:space="preserve"> </w:instrText>
      </w:r>
      <w:r w:rsidR="009D170B">
        <w:rPr>
          <w:iCs/>
          <w:lang w:val="en-US"/>
        </w:rPr>
        <w:instrText>major</w:instrText>
      </w:r>
      <w:r w:rsidR="009D170B" w:rsidRPr="00AA43FB">
        <w:rPr>
          <w:iCs/>
        </w:rPr>
        <w:instrText xml:space="preserve"> </w:instrText>
      </w:r>
      <w:r w:rsidR="009D170B">
        <w:rPr>
          <w:iCs/>
          <w:lang w:val="en-US"/>
        </w:rPr>
        <w:instrText>prognostic</w:instrText>
      </w:r>
      <w:r w:rsidR="009D170B" w:rsidRPr="00AA43FB">
        <w:rPr>
          <w:iCs/>
        </w:rPr>
        <w:instrText xml:space="preserve"> </w:instrText>
      </w:r>
      <w:r w:rsidR="009D170B">
        <w:rPr>
          <w:iCs/>
          <w:lang w:val="en-US"/>
        </w:rPr>
        <w:instrText>factors</w:instrText>
      </w:r>
      <w:r w:rsidR="009D170B" w:rsidRPr="00AA43FB">
        <w:rPr>
          <w:iCs/>
        </w:rPr>
        <w:instrText xml:space="preserve"> </w:instrText>
      </w:r>
      <w:r w:rsidR="009D170B">
        <w:rPr>
          <w:iCs/>
          <w:lang w:val="en-US"/>
        </w:rPr>
        <w:instrText>including</w:instrText>
      </w:r>
      <w:r w:rsidR="009D170B" w:rsidRPr="00AA43FB">
        <w:rPr>
          <w:iCs/>
        </w:rPr>
        <w:instrText xml:space="preserve"> </w:instrText>
      </w:r>
      <w:r w:rsidR="009D170B">
        <w:rPr>
          <w:iCs/>
          <w:lang w:val="en-US"/>
        </w:rPr>
        <w:instrText>VTE</w:instrText>
      </w:r>
      <w:r w:rsidR="009D170B" w:rsidRPr="00AA43FB">
        <w:rPr>
          <w:iCs/>
        </w:rPr>
        <w:instrText xml:space="preserve"> </w:instrText>
      </w:r>
      <w:r w:rsidR="009D170B">
        <w:rPr>
          <w:iCs/>
          <w:lang w:val="en-US"/>
        </w:rPr>
        <w:instrText>itself</w:instrText>
      </w:r>
      <w:r w:rsidR="009D170B" w:rsidRPr="00AA43FB">
        <w:rPr>
          <w:iCs/>
        </w:rPr>
        <w:instrText xml:space="preserve">. </w:instrText>
      </w:r>
      <w:r w:rsidR="009D170B">
        <w:rPr>
          <w:iCs/>
          <w:lang w:val="en-US"/>
        </w:rPr>
        <w:instrText>Results</w:instrText>
      </w:r>
      <w:r w:rsidR="009D170B" w:rsidRPr="00AA43FB">
        <w:rPr>
          <w:iCs/>
        </w:rPr>
        <w:instrText xml:space="preserve">. </w:instrText>
      </w:r>
      <w:r w:rsidR="009D170B">
        <w:rPr>
          <w:iCs/>
          <w:lang w:val="en-US"/>
        </w:rPr>
        <w:instrText>Of</w:instrText>
      </w:r>
      <w:r w:rsidR="009D170B" w:rsidRPr="00AA43FB">
        <w:rPr>
          <w:iCs/>
        </w:rPr>
        <w:instrText xml:space="preserve"> 4,405 </w:instrText>
      </w:r>
      <w:r w:rsidR="009D170B">
        <w:rPr>
          <w:iCs/>
          <w:lang w:val="en-US"/>
        </w:rPr>
        <w:instrText>patients</w:instrText>
      </w:r>
      <w:r w:rsidR="009D170B" w:rsidRPr="00AA43FB">
        <w:rPr>
          <w:iCs/>
        </w:rPr>
        <w:instrText xml:space="preserve">, 134 (3.0%) </w:instrText>
      </w:r>
      <w:r w:rsidR="009D170B">
        <w:rPr>
          <w:iCs/>
          <w:lang w:val="en-US"/>
        </w:rPr>
        <w:instrText>died</w:instrText>
      </w:r>
      <w:r w:rsidR="009D170B" w:rsidRPr="00AA43FB">
        <w:rPr>
          <w:iCs/>
        </w:rPr>
        <w:instrText xml:space="preserve"> </w:instrText>
      </w:r>
      <w:r w:rsidR="009D170B">
        <w:rPr>
          <w:iCs/>
          <w:lang w:val="en-US"/>
        </w:rPr>
        <w:instrText>and</w:instrText>
      </w:r>
      <w:r w:rsidR="009D170B" w:rsidRPr="00AA43FB">
        <w:rPr>
          <w:iCs/>
        </w:rPr>
        <w:instrText xml:space="preserve"> 330 (7.5%) </w:instrText>
      </w:r>
      <w:r w:rsidR="009D170B">
        <w:rPr>
          <w:iCs/>
          <w:lang w:val="en-US"/>
        </w:rPr>
        <w:instrText>experienced</w:instrText>
      </w:r>
      <w:r w:rsidR="009D170B" w:rsidRPr="00AA43FB">
        <w:rPr>
          <w:iCs/>
        </w:rPr>
        <w:instrText xml:space="preserve"> </w:instrText>
      </w:r>
      <w:r w:rsidR="009D170B">
        <w:rPr>
          <w:iCs/>
          <w:lang w:val="en-US"/>
        </w:rPr>
        <w:instrText>disease</w:instrText>
      </w:r>
      <w:r w:rsidR="009D170B" w:rsidRPr="00AA43FB">
        <w:rPr>
          <w:iCs/>
        </w:rPr>
        <w:instrText xml:space="preserve"> </w:instrText>
      </w:r>
      <w:r w:rsidR="009D170B">
        <w:rPr>
          <w:iCs/>
          <w:lang w:val="en-US"/>
        </w:rPr>
        <w:instrText>progression</w:instrText>
      </w:r>
      <w:r w:rsidR="009D170B" w:rsidRPr="00AA43FB">
        <w:rPr>
          <w:iCs/>
        </w:rPr>
        <w:instrText xml:space="preserve"> </w:instrText>
      </w:r>
      <w:r w:rsidR="009D170B">
        <w:rPr>
          <w:iCs/>
          <w:lang w:val="en-US"/>
        </w:rPr>
        <w:instrText>during</w:instrText>
      </w:r>
      <w:r w:rsidR="009D170B" w:rsidRPr="00AA43FB">
        <w:rPr>
          <w:iCs/>
        </w:rPr>
        <w:instrText xml:space="preserve"> </w:instrText>
      </w:r>
      <w:r w:rsidR="009D170B">
        <w:rPr>
          <w:iCs/>
          <w:lang w:val="en-US"/>
        </w:rPr>
        <w:instrText>the</w:instrText>
      </w:r>
      <w:r w:rsidR="009D170B" w:rsidRPr="00AA43FB">
        <w:rPr>
          <w:iCs/>
        </w:rPr>
        <w:instrText xml:space="preserve"> </w:instrText>
      </w:r>
      <w:r w:rsidR="009D170B">
        <w:rPr>
          <w:iCs/>
          <w:lang w:val="en-US"/>
        </w:rPr>
        <w:instrText>first</w:instrText>
      </w:r>
      <w:r w:rsidR="009D170B" w:rsidRPr="00AA43FB">
        <w:rPr>
          <w:iCs/>
        </w:rPr>
        <w:instrText xml:space="preserve"> 4 </w:instrText>
      </w:r>
      <w:r w:rsidR="009D170B">
        <w:rPr>
          <w:iCs/>
          <w:lang w:val="en-US"/>
        </w:rPr>
        <w:instrText>months</w:instrText>
      </w:r>
      <w:r w:rsidR="009D170B" w:rsidRPr="00AA43FB">
        <w:rPr>
          <w:iCs/>
        </w:rPr>
        <w:instrText xml:space="preserve"> </w:instrText>
      </w:r>
      <w:r w:rsidR="009D170B">
        <w:rPr>
          <w:iCs/>
          <w:lang w:val="en-US"/>
        </w:rPr>
        <w:instrText>of</w:instrText>
      </w:r>
      <w:r w:rsidR="009D170B" w:rsidRPr="00AA43FB">
        <w:rPr>
          <w:iCs/>
        </w:rPr>
        <w:instrText xml:space="preserve"> </w:instrText>
      </w:r>
      <w:r w:rsidR="009D170B">
        <w:rPr>
          <w:iCs/>
          <w:lang w:val="en-US"/>
        </w:rPr>
        <w:instrText>therapy</w:instrText>
      </w:r>
      <w:r w:rsidR="009D170B" w:rsidRPr="00AA43FB">
        <w:rPr>
          <w:iCs/>
        </w:rPr>
        <w:instrText xml:space="preserve"> (</w:instrText>
      </w:r>
      <w:r w:rsidR="009D170B">
        <w:rPr>
          <w:iCs/>
          <w:lang w:val="en-US"/>
        </w:rPr>
        <w:instrText>median</w:instrText>
      </w:r>
      <w:r w:rsidR="009D170B" w:rsidRPr="00AA43FB">
        <w:rPr>
          <w:iCs/>
        </w:rPr>
        <w:instrText xml:space="preserve"> </w:instrText>
      </w:r>
      <w:r w:rsidR="009D170B">
        <w:rPr>
          <w:iCs/>
          <w:lang w:val="en-US"/>
        </w:rPr>
        <w:instrText>follow</w:instrText>
      </w:r>
      <w:r w:rsidR="009D170B" w:rsidRPr="00AA43FB">
        <w:rPr>
          <w:iCs/>
        </w:rPr>
        <w:instrText>-</w:instrText>
      </w:r>
      <w:r w:rsidR="009D170B">
        <w:rPr>
          <w:iCs/>
          <w:lang w:val="en-US"/>
        </w:rPr>
        <w:instrText>up</w:instrText>
      </w:r>
      <w:r w:rsidR="009D170B" w:rsidRPr="00AA43FB">
        <w:rPr>
          <w:iCs/>
        </w:rPr>
        <w:instrText xml:space="preserve"> 75 </w:instrText>
      </w:r>
      <w:r w:rsidR="009D170B">
        <w:rPr>
          <w:iCs/>
          <w:lang w:val="en-US"/>
        </w:rPr>
        <w:instrText>days</w:instrText>
      </w:r>
      <w:r w:rsidR="009D170B" w:rsidRPr="00AA43FB">
        <w:rPr>
          <w:iCs/>
        </w:rPr>
        <w:instrText xml:space="preserve">). </w:instrText>
      </w:r>
      <w:r w:rsidR="009D170B">
        <w:rPr>
          <w:iCs/>
          <w:lang w:val="en-US"/>
        </w:rPr>
        <w:instrText>Patients</w:instrText>
      </w:r>
      <w:r w:rsidR="009D170B" w:rsidRPr="00AA43FB">
        <w:rPr>
          <w:iCs/>
        </w:rPr>
        <w:instrText xml:space="preserve"> </w:instrText>
      </w:r>
      <w:r w:rsidR="009D170B">
        <w:rPr>
          <w:iCs/>
          <w:lang w:val="en-US"/>
        </w:rPr>
        <w:instrText>deemed</w:instrText>
      </w:r>
      <w:r w:rsidR="009D170B" w:rsidRPr="00AA43FB">
        <w:rPr>
          <w:iCs/>
        </w:rPr>
        <w:instrText xml:space="preserve"> </w:instrText>
      </w:r>
      <w:r w:rsidR="009D170B">
        <w:rPr>
          <w:iCs/>
          <w:lang w:val="en-US"/>
        </w:rPr>
        <w:instrText>high</w:instrText>
      </w:r>
      <w:r w:rsidR="009D170B" w:rsidRPr="00AA43FB">
        <w:rPr>
          <w:iCs/>
        </w:rPr>
        <w:instrText xml:space="preserve"> </w:instrText>
      </w:r>
      <w:r w:rsidR="009D170B">
        <w:rPr>
          <w:iCs/>
          <w:lang w:val="en-US"/>
        </w:rPr>
        <w:instrText>risk</w:instrText>
      </w:r>
      <w:r w:rsidR="009D170B" w:rsidRPr="00AA43FB">
        <w:rPr>
          <w:iCs/>
        </w:rPr>
        <w:instrText xml:space="preserve"> (</w:instrText>
      </w:r>
      <w:r w:rsidR="009D170B">
        <w:rPr>
          <w:iCs/>
          <w:lang w:val="en-US"/>
        </w:rPr>
        <w:instrText>n</w:instrText>
      </w:r>
      <w:r w:rsidR="009D170B" w:rsidRPr="00AA43FB">
        <w:rPr>
          <w:iCs/>
        </w:rPr>
        <w:instrText xml:space="preserve"> = 540, 12.3%) </w:instrText>
      </w:r>
      <w:r w:rsidR="009D170B">
        <w:rPr>
          <w:iCs/>
          <w:lang w:val="en-US"/>
        </w:rPr>
        <w:instrText>by</w:instrText>
      </w:r>
      <w:r w:rsidR="009D170B" w:rsidRPr="00AA43FB">
        <w:rPr>
          <w:iCs/>
        </w:rPr>
        <w:instrText xml:space="preserve"> </w:instrText>
      </w:r>
      <w:r w:rsidR="009D170B">
        <w:rPr>
          <w:iCs/>
          <w:lang w:val="en-US"/>
        </w:rPr>
        <w:instrText>the</w:instrText>
      </w:r>
      <w:r w:rsidR="009D170B" w:rsidRPr="00AA43FB">
        <w:rPr>
          <w:iCs/>
        </w:rPr>
        <w:instrText xml:space="preserve"> </w:instrText>
      </w:r>
      <w:r w:rsidR="009D170B">
        <w:rPr>
          <w:iCs/>
          <w:lang w:val="en-US"/>
        </w:rPr>
        <w:instrText>Clinical</w:instrText>
      </w:r>
      <w:r w:rsidR="009D170B" w:rsidRPr="00AA43FB">
        <w:rPr>
          <w:iCs/>
        </w:rPr>
        <w:instrText xml:space="preserve"> </w:instrText>
      </w:r>
      <w:r w:rsidR="009D170B">
        <w:rPr>
          <w:iCs/>
          <w:lang w:val="en-US"/>
        </w:rPr>
        <w:instrText>Risk</w:instrText>
      </w:r>
      <w:r w:rsidR="009D170B" w:rsidRPr="00AA43FB">
        <w:rPr>
          <w:iCs/>
        </w:rPr>
        <w:instrText xml:space="preserve"> </w:instrText>
      </w:r>
      <w:r w:rsidR="009D170B">
        <w:rPr>
          <w:iCs/>
          <w:lang w:val="en-US"/>
        </w:rPr>
        <w:instrText>Score</w:instrText>
      </w:r>
      <w:r w:rsidR="009D170B" w:rsidRPr="00AA43FB">
        <w:rPr>
          <w:iCs/>
        </w:rPr>
        <w:instrText xml:space="preserve"> </w:instrText>
      </w:r>
      <w:r w:rsidR="009D170B">
        <w:rPr>
          <w:iCs/>
          <w:lang w:val="en-US"/>
        </w:rPr>
        <w:instrText>had</w:instrText>
      </w:r>
      <w:r w:rsidR="009D170B" w:rsidRPr="00AA43FB">
        <w:rPr>
          <w:iCs/>
        </w:rPr>
        <w:instrText xml:space="preserve"> </w:instrText>
      </w:r>
      <w:r w:rsidR="009D170B">
        <w:rPr>
          <w:iCs/>
          <w:lang w:val="en-US"/>
        </w:rPr>
        <w:instrText>a</w:instrText>
      </w:r>
      <w:r w:rsidR="009D170B" w:rsidRPr="00AA43FB">
        <w:rPr>
          <w:iCs/>
        </w:rPr>
        <w:instrText xml:space="preserve"> 120-</w:instrText>
      </w:r>
      <w:r w:rsidR="009D170B">
        <w:rPr>
          <w:iCs/>
          <w:lang w:val="en-US"/>
        </w:rPr>
        <w:instrText>day</w:instrText>
      </w:r>
      <w:r w:rsidR="009D170B" w:rsidRPr="00AA43FB">
        <w:rPr>
          <w:iCs/>
        </w:rPr>
        <w:instrText xml:space="preserve"> </w:instrText>
      </w:r>
      <w:r w:rsidR="009D170B">
        <w:rPr>
          <w:iCs/>
          <w:lang w:val="en-US"/>
        </w:rPr>
        <w:instrText>mortality</w:instrText>
      </w:r>
      <w:r w:rsidR="009D170B" w:rsidRPr="00AA43FB">
        <w:rPr>
          <w:iCs/>
        </w:rPr>
        <w:instrText xml:space="preserve"> </w:instrText>
      </w:r>
      <w:r w:rsidR="009D170B">
        <w:rPr>
          <w:iCs/>
          <w:lang w:val="en-US"/>
        </w:rPr>
        <w:instrText>rate</w:instrText>
      </w:r>
      <w:r w:rsidR="009D170B" w:rsidRPr="00AA43FB">
        <w:rPr>
          <w:iCs/>
        </w:rPr>
        <w:instrText xml:space="preserve"> </w:instrText>
      </w:r>
      <w:r w:rsidR="009D170B">
        <w:rPr>
          <w:iCs/>
          <w:lang w:val="en-US"/>
        </w:rPr>
        <w:instrText>of</w:instrText>
      </w:r>
      <w:r w:rsidR="009D170B" w:rsidRPr="00AA43FB">
        <w:rPr>
          <w:iCs/>
        </w:rPr>
        <w:instrText xml:space="preserve"> 12.7% (</w:instrText>
      </w:r>
      <w:r w:rsidR="009D170B">
        <w:rPr>
          <w:iCs/>
          <w:lang w:val="en-US"/>
        </w:rPr>
        <w:instrText>adjusted</w:instrText>
      </w:r>
      <w:r w:rsidR="009D170B" w:rsidRPr="00AA43FB">
        <w:rPr>
          <w:iCs/>
        </w:rPr>
        <w:instrText xml:space="preserve"> </w:instrText>
      </w:r>
      <w:r w:rsidR="009D170B">
        <w:rPr>
          <w:iCs/>
          <w:lang w:val="en-US"/>
        </w:rPr>
        <w:instrText>hazard</w:instrText>
      </w:r>
      <w:r w:rsidR="009D170B" w:rsidRPr="00AA43FB">
        <w:rPr>
          <w:iCs/>
        </w:rPr>
        <w:instrText xml:space="preserve"> </w:instrText>
      </w:r>
      <w:r w:rsidR="009D170B">
        <w:rPr>
          <w:iCs/>
          <w:lang w:val="en-US"/>
        </w:rPr>
        <w:instrText>ratio</w:instrText>
      </w:r>
      <w:r w:rsidR="009D170B" w:rsidRPr="00AA43FB">
        <w:rPr>
          <w:iCs/>
        </w:rPr>
        <w:instrText xml:space="preserve"> [</w:instrText>
      </w:r>
      <w:r w:rsidR="009D170B">
        <w:rPr>
          <w:iCs/>
          <w:lang w:val="en-US"/>
        </w:rPr>
        <w:instrText>aHR</w:instrText>
      </w:r>
      <w:r w:rsidR="009D170B" w:rsidRPr="00AA43FB">
        <w:rPr>
          <w:iCs/>
        </w:rPr>
        <w:instrText xml:space="preserve">] 3.00, 95% </w:instrText>
      </w:r>
      <w:r w:rsidR="009D170B">
        <w:rPr>
          <w:iCs/>
          <w:lang w:val="en-US"/>
        </w:rPr>
        <w:instrText>confidence</w:instrText>
      </w:r>
      <w:r w:rsidR="009D170B" w:rsidRPr="00AA43FB">
        <w:rPr>
          <w:iCs/>
        </w:rPr>
        <w:instrText xml:space="preserve"> </w:instrText>
      </w:r>
      <w:r w:rsidR="009D170B">
        <w:rPr>
          <w:iCs/>
          <w:lang w:val="en-US"/>
        </w:rPr>
        <w:instrText>interval</w:instrText>
      </w:r>
      <w:r w:rsidR="009D170B" w:rsidRPr="00AA43FB">
        <w:rPr>
          <w:iCs/>
        </w:rPr>
        <w:instrText xml:space="preserve"> [</w:instrText>
      </w:r>
      <w:r w:rsidR="009D170B">
        <w:rPr>
          <w:iCs/>
          <w:lang w:val="en-US"/>
        </w:rPr>
        <w:instrText>CI</w:instrText>
      </w:r>
      <w:r w:rsidR="009D170B" w:rsidRPr="00AA43FB">
        <w:rPr>
          <w:iCs/>
        </w:rPr>
        <w:instrText xml:space="preserve">]  1.4-6.3), </w:instrText>
      </w:r>
      <w:r w:rsidR="009D170B">
        <w:rPr>
          <w:iCs/>
          <w:lang w:val="en-US"/>
        </w:rPr>
        <w:instrText>and</w:instrText>
      </w:r>
      <w:r w:rsidR="009D170B" w:rsidRPr="00AA43FB">
        <w:rPr>
          <w:iCs/>
        </w:rPr>
        <w:instrText xml:space="preserve"> </w:instrText>
      </w:r>
      <w:r w:rsidR="009D170B">
        <w:rPr>
          <w:iCs/>
          <w:lang w:val="en-US"/>
        </w:rPr>
        <w:instrText>intermediate</w:instrText>
      </w:r>
      <w:r w:rsidR="009D170B" w:rsidRPr="00AA43FB">
        <w:rPr>
          <w:iCs/>
        </w:rPr>
        <w:instrText>-</w:instrText>
      </w:r>
      <w:r w:rsidR="009D170B">
        <w:rPr>
          <w:iCs/>
          <w:lang w:val="en-US"/>
        </w:rPr>
        <w:instrText>risk</w:instrText>
      </w:r>
      <w:r w:rsidR="009D170B" w:rsidRPr="00AA43FB">
        <w:rPr>
          <w:iCs/>
        </w:rPr>
        <w:instrText xml:space="preserve"> </w:instrText>
      </w:r>
      <w:r w:rsidR="009D170B">
        <w:rPr>
          <w:iCs/>
          <w:lang w:val="en-US"/>
        </w:rPr>
        <w:instrText>patients</w:instrText>
      </w:r>
      <w:r w:rsidR="009D170B" w:rsidRPr="00AA43FB">
        <w:rPr>
          <w:iCs/>
        </w:rPr>
        <w:instrText xml:space="preserve"> (</w:instrText>
      </w:r>
      <w:r w:rsidR="009D170B">
        <w:rPr>
          <w:iCs/>
          <w:lang w:val="en-US"/>
        </w:rPr>
        <w:instrText>n</w:instrText>
      </w:r>
      <w:r w:rsidR="009D170B" w:rsidRPr="00AA43FB">
        <w:rPr>
          <w:iCs/>
        </w:rPr>
        <w:instrText xml:space="preserve"> = 2,665, 60.5%) </w:instrText>
      </w:r>
      <w:r w:rsidR="009D170B">
        <w:rPr>
          <w:iCs/>
          <w:lang w:val="en-US"/>
        </w:rPr>
        <w:instrText>had</w:instrText>
      </w:r>
      <w:r w:rsidR="009D170B" w:rsidRPr="00AA43FB">
        <w:rPr>
          <w:iCs/>
        </w:rPr>
        <w:instrText xml:space="preserve"> </w:instrText>
      </w:r>
      <w:r w:rsidR="009D170B">
        <w:rPr>
          <w:iCs/>
          <w:lang w:val="en-US"/>
        </w:rPr>
        <w:instrText>a</w:instrText>
      </w:r>
      <w:r w:rsidR="009D170B" w:rsidRPr="00AA43FB">
        <w:rPr>
          <w:iCs/>
        </w:rPr>
        <w:instrText xml:space="preserve"> </w:instrText>
      </w:r>
      <w:r w:rsidR="009D170B">
        <w:rPr>
          <w:iCs/>
          <w:lang w:val="en-US"/>
        </w:rPr>
        <w:instrText>mortality</w:instrText>
      </w:r>
      <w:r w:rsidR="009D170B" w:rsidRPr="00AA43FB">
        <w:rPr>
          <w:iCs/>
        </w:rPr>
        <w:instrText xml:space="preserve"> </w:instrText>
      </w:r>
      <w:r w:rsidR="009D170B">
        <w:rPr>
          <w:iCs/>
          <w:lang w:val="en-US"/>
        </w:rPr>
        <w:instrText>rate</w:instrText>
      </w:r>
      <w:r w:rsidR="009D170B" w:rsidRPr="00AA43FB">
        <w:rPr>
          <w:iCs/>
        </w:rPr>
        <w:instrText xml:space="preserve"> </w:instrText>
      </w:r>
      <w:r w:rsidR="009D170B">
        <w:rPr>
          <w:iCs/>
          <w:lang w:val="en-US"/>
        </w:rPr>
        <w:instrText>of</w:instrText>
      </w:r>
      <w:r w:rsidR="009D170B" w:rsidRPr="00AA43FB">
        <w:rPr>
          <w:iCs/>
        </w:rPr>
        <w:instrText xml:space="preserve"> 5.9% (</w:instrText>
      </w:r>
      <w:r w:rsidR="009D170B">
        <w:rPr>
          <w:iCs/>
          <w:lang w:val="en-US"/>
        </w:rPr>
        <w:instrText>aHR</w:instrText>
      </w:r>
      <w:r w:rsidR="009D170B" w:rsidRPr="00AA43FB">
        <w:rPr>
          <w:iCs/>
        </w:rPr>
        <w:instrText xml:space="preserve"> 2.3, 95% </w:instrText>
      </w:r>
      <w:r w:rsidR="009D170B">
        <w:rPr>
          <w:iCs/>
          <w:lang w:val="en-US"/>
        </w:rPr>
        <w:instrText>CI</w:instrText>
      </w:r>
      <w:r w:rsidR="009D170B" w:rsidRPr="00AA43FB">
        <w:rPr>
          <w:iCs/>
        </w:rPr>
        <w:instrText xml:space="preserve"> 1.2-4.4) </w:instrText>
      </w:r>
      <w:r w:rsidR="009D170B">
        <w:rPr>
          <w:iCs/>
          <w:lang w:val="en-US"/>
        </w:rPr>
        <w:instrText>compared</w:instrText>
      </w:r>
      <w:r w:rsidR="009D170B" w:rsidRPr="00AA43FB">
        <w:rPr>
          <w:iCs/>
        </w:rPr>
        <w:instrText xml:space="preserve"> </w:instrText>
      </w:r>
      <w:r w:rsidR="009D170B">
        <w:rPr>
          <w:iCs/>
          <w:lang w:val="en-US"/>
        </w:rPr>
        <w:instrText>with</w:instrText>
      </w:r>
      <w:r w:rsidR="009D170B" w:rsidRPr="00AA43FB">
        <w:rPr>
          <w:iCs/>
        </w:rPr>
        <w:instrText xml:space="preserve"> </w:instrText>
      </w:r>
      <w:r w:rsidR="009D170B">
        <w:rPr>
          <w:iCs/>
          <w:lang w:val="en-US"/>
        </w:rPr>
        <w:instrText>only</w:instrText>
      </w:r>
      <w:r w:rsidR="009D170B" w:rsidRPr="00AA43FB">
        <w:rPr>
          <w:iCs/>
        </w:rPr>
        <w:instrText xml:space="preserve"> 1.4% </w:instrText>
      </w:r>
      <w:r w:rsidR="009D170B">
        <w:rPr>
          <w:iCs/>
          <w:lang w:val="en-US"/>
        </w:rPr>
        <w:instrText>for</w:instrText>
      </w:r>
      <w:r w:rsidR="009D170B" w:rsidRPr="00AA43FB">
        <w:rPr>
          <w:iCs/>
        </w:rPr>
        <w:instrText xml:space="preserve"> </w:instrText>
      </w:r>
      <w:r w:rsidR="009D170B">
        <w:rPr>
          <w:iCs/>
          <w:lang w:val="en-US"/>
        </w:rPr>
        <w:instrText>low</w:instrText>
      </w:r>
      <w:r w:rsidR="009D170B" w:rsidRPr="00AA43FB">
        <w:rPr>
          <w:iCs/>
        </w:rPr>
        <w:instrText>-</w:instrText>
      </w:r>
      <w:r w:rsidR="009D170B">
        <w:rPr>
          <w:iCs/>
          <w:lang w:val="en-US"/>
        </w:rPr>
        <w:instrText>risk</w:instrText>
      </w:r>
      <w:r w:rsidR="009D170B" w:rsidRPr="00AA43FB">
        <w:rPr>
          <w:iCs/>
        </w:rPr>
        <w:instrText xml:space="preserve"> </w:instrText>
      </w:r>
      <w:r w:rsidR="009D170B">
        <w:rPr>
          <w:iCs/>
          <w:lang w:val="en-US"/>
        </w:rPr>
        <w:instrText>patients</w:instrText>
      </w:r>
      <w:r w:rsidR="009D170B" w:rsidRPr="00AA43FB">
        <w:rPr>
          <w:iCs/>
        </w:rPr>
        <w:instrText xml:space="preserve"> (</w:instrText>
      </w:r>
      <w:r w:rsidR="009D170B">
        <w:rPr>
          <w:iCs/>
          <w:lang w:val="en-US"/>
        </w:rPr>
        <w:instrText>n</w:instrText>
      </w:r>
      <w:r w:rsidR="009D170B" w:rsidRPr="00AA43FB">
        <w:rPr>
          <w:iCs/>
        </w:rPr>
        <w:instrText xml:space="preserve"> = 1,200, 27.2%). </w:instrText>
      </w:r>
      <w:r w:rsidR="009D170B">
        <w:rPr>
          <w:iCs/>
          <w:lang w:val="en-US"/>
        </w:rPr>
        <w:instrText>At</w:instrText>
      </w:r>
      <w:r w:rsidR="009D170B" w:rsidRPr="00AA43FB">
        <w:rPr>
          <w:iCs/>
        </w:rPr>
        <w:instrText xml:space="preserve"> 120 </w:instrText>
      </w:r>
      <w:r w:rsidR="009D170B">
        <w:rPr>
          <w:iCs/>
          <w:lang w:val="en-US"/>
        </w:rPr>
        <w:instrText>days</w:instrText>
      </w:r>
      <w:r w:rsidR="009D170B" w:rsidRPr="00AA43FB">
        <w:rPr>
          <w:iCs/>
        </w:rPr>
        <w:instrText xml:space="preserve"> </w:instrText>
      </w:r>
      <w:r w:rsidR="009D170B">
        <w:rPr>
          <w:iCs/>
          <w:lang w:val="en-US"/>
        </w:rPr>
        <w:instrText>of</w:instrText>
      </w:r>
      <w:r w:rsidR="009D170B" w:rsidRPr="00AA43FB">
        <w:rPr>
          <w:iCs/>
        </w:rPr>
        <w:instrText xml:space="preserve"> </w:instrText>
      </w:r>
      <w:r w:rsidR="009D170B">
        <w:rPr>
          <w:iCs/>
          <w:lang w:val="en-US"/>
        </w:rPr>
        <w:instrText>follow</w:instrText>
      </w:r>
      <w:r w:rsidR="009D170B" w:rsidRPr="00AA43FB">
        <w:rPr>
          <w:iCs/>
        </w:rPr>
        <w:instrText>-</w:instrText>
      </w:r>
      <w:r w:rsidR="009D170B">
        <w:rPr>
          <w:iCs/>
          <w:lang w:val="en-US"/>
        </w:rPr>
        <w:instrText>up</w:instrText>
      </w:r>
      <w:r w:rsidR="009D170B" w:rsidRPr="00AA43FB">
        <w:rPr>
          <w:iCs/>
        </w:rPr>
        <w:instrText xml:space="preserve">, </w:instrText>
      </w:r>
      <w:r w:rsidR="009D170B">
        <w:rPr>
          <w:iCs/>
          <w:lang w:val="en-US"/>
        </w:rPr>
        <w:instrText>cancer</w:instrText>
      </w:r>
      <w:r w:rsidR="009D170B" w:rsidRPr="00AA43FB">
        <w:rPr>
          <w:iCs/>
        </w:rPr>
        <w:instrText xml:space="preserve"> </w:instrText>
      </w:r>
      <w:r w:rsidR="009D170B">
        <w:rPr>
          <w:iCs/>
          <w:lang w:val="en-US"/>
        </w:rPr>
        <w:instrText>progression</w:instrText>
      </w:r>
      <w:r w:rsidR="009D170B" w:rsidRPr="00AA43FB">
        <w:rPr>
          <w:iCs/>
        </w:rPr>
        <w:instrText xml:space="preserve"> </w:instrText>
      </w:r>
      <w:r w:rsidR="009D170B">
        <w:rPr>
          <w:iCs/>
          <w:lang w:val="en-US"/>
        </w:rPr>
        <w:instrText>occurred</w:instrText>
      </w:r>
      <w:r w:rsidR="009D170B" w:rsidRPr="00AA43FB">
        <w:rPr>
          <w:iCs/>
        </w:rPr>
        <w:instrText xml:space="preserve"> </w:instrText>
      </w:r>
      <w:r w:rsidR="009D170B">
        <w:rPr>
          <w:iCs/>
          <w:lang w:val="en-US"/>
        </w:rPr>
        <w:instrText>in</w:instrText>
      </w:r>
      <w:r w:rsidR="009D170B" w:rsidRPr="00AA43FB">
        <w:rPr>
          <w:iCs/>
        </w:rPr>
        <w:instrText xml:space="preserve"> 27.2% </w:instrText>
      </w:r>
      <w:r w:rsidR="009D170B">
        <w:rPr>
          <w:iCs/>
          <w:lang w:val="en-US"/>
        </w:rPr>
        <w:instrText>of</w:instrText>
      </w:r>
      <w:r w:rsidR="009D170B" w:rsidRPr="00AA43FB">
        <w:rPr>
          <w:iCs/>
        </w:rPr>
        <w:instrText xml:space="preserve"> </w:instrText>
      </w:r>
      <w:r w:rsidR="009D170B">
        <w:rPr>
          <w:iCs/>
          <w:lang w:val="en-US"/>
        </w:rPr>
        <w:instrText>high</w:instrText>
      </w:r>
      <w:r w:rsidR="009D170B" w:rsidRPr="00AA43FB">
        <w:rPr>
          <w:iCs/>
        </w:rPr>
        <w:instrText>-</w:instrText>
      </w:r>
      <w:r w:rsidR="009D170B">
        <w:rPr>
          <w:iCs/>
          <w:lang w:val="en-US"/>
        </w:rPr>
        <w:instrText>risk</w:instrText>
      </w:r>
      <w:r w:rsidR="009D170B" w:rsidRPr="00AA43FB">
        <w:rPr>
          <w:iCs/>
        </w:rPr>
        <w:instrText xml:space="preserve"> </w:instrText>
      </w:r>
      <w:r w:rsidR="009D170B">
        <w:rPr>
          <w:iCs/>
          <w:lang w:val="en-US"/>
        </w:rPr>
        <w:instrText>patients</w:instrText>
      </w:r>
      <w:r w:rsidR="009D170B" w:rsidRPr="00AA43FB">
        <w:rPr>
          <w:iCs/>
        </w:rPr>
        <w:instrText xml:space="preserve"> (</w:instrText>
      </w:r>
      <w:r w:rsidR="009D170B">
        <w:rPr>
          <w:iCs/>
          <w:lang w:val="en-US"/>
        </w:rPr>
        <w:instrText>aHR</w:instrText>
      </w:r>
      <w:r w:rsidR="009D170B" w:rsidRPr="00AA43FB">
        <w:rPr>
          <w:iCs/>
        </w:rPr>
        <w:instrText xml:space="preserve"> 2.2, 95% </w:instrText>
      </w:r>
      <w:r w:rsidR="009D170B">
        <w:rPr>
          <w:iCs/>
          <w:lang w:val="en-US"/>
        </w:rPr>
        <w:instrText>CI</w:instrText>
      </w:r>
      <w:r w:rsidR="009D170B" w:rsidRPr="00AA43FB">
        <w:rPr>
          <w:iCs/>
        </w:rPr>
        <w:instrText xml:space="preserve"> 1.4-3.5) </w:instrText>
      </w:r>
      <w:r w:rsidR="009D170B">
        <w:rPr>
          <w:iCs/>
          <w:lang w:val="en-US"/>
        </w:rPr>
        <w:instrText>and</w:instrText>
      </w:r>
      <w:r w:rsidR="009D170B" w:rsidRPr="00AA43FB">
        <w:rPr>
          <w:iCs/>
        </w:rPr>
        <w:instrText xml:space="preserve"> 16.4% </w:instrText>
      </w:r>
      <w:r w:rsidR="009D170B">
        <w:rPr>
          <w:iCs/>
          <w:lang w:val="en-US"/>
        </w:rPr>
        <w:instrText>of</w:instrText>
      </w:r>
      <w:r w:rsidR="009D170B" w:rsidRPr="00AA43FB">
        <w:rPr>
          <w:iCs/>
        </w:rPr>
        <w:instrText xml:space="preserve"> </w:instrText>
      </w:r>
      <w:r w:rsidR="009D170B">
        <w:rPr>
          <w:iCs/>
          <w:lang w:val="en-US"/>
        </w:rPr>
        <w:instrText>intermediate</w:instrText>
      </w:r>
      <w:r w:rsidR="009D170B" w:rsidRPr="00AA43FB">
        <w:rPr>
          <w:iCs/>
        </w:rPr>
        <w:instrText>-</w:instrText>
      </w:r>
      <w:r w:rsidR="009D170B">
        <w:rPr>
          <w:iCs/>
          <w:lang w:val="en-US"/>
        </w:rPr>
        <w:instrText>risk</w:instrText>
      </w:r>
      <w:r w:rsidR="009D170B" w:rsidRPr="00AA43FB">
        <w:rPr>
          <w:iCs/>
        </w:rPr>
        <w:instrText xml:space="preserve"> </w:instrText>
      </w:r>
      <w:r w:rsidR="009D170B">
        <w:rPr>
          <w:iCs/>
          <w:lang w:val="en-US"/>
        </w:rPr>
        <w:instrText>patients</w:instrText>
      </w:r>
      <w:r w:rsidR="009D170B" w:rsidRPr="00AA43FB">
        <w:rPr>
          <w:iCs/>
        </w:rPr>
        <w:instrText xml:space="preserve"> (</w:instrText>
      </w:r>
      <w:r w:rsidR="009D170B">
        <w:rPr>
          <w:iCs/>
          <w:lang w:val="en-US"/>
        </w:rPr>
        <w:instrText>aHR</w:instrText>
      </w:r>
      <w:r w:rsidR="009D170B" w:rsidRPr="00AA43FB">
        <w:rPr>
          <w:iCs/>
        </w:rPr>
        <w:instrText xml:space="preserve"> 1.9, 95% </w:instrText>
      </w:r>
      <w:r w:rsidR="009D170B">
        <w:rPr>
          <w:iCs/>
          <w:lang w:val="en-US"/>
        </w:rPr>
        <w:instrText>CI</w:instrText>
      </w:r>
      <w:r w:rsidR="009D170B" w:rsidRPr="00AA43FB">
        <w:rPr>
          <w:iCs/>
        </w:rPr>
        <w:instrText xml:space="preserve"> 1.3-2.7) </w:instrText>
      </w:r>
      <w:r w:rsidR="009D170B">
        <w:rPr>
          <w:iCs/>
          <w:lang w:val="en-US"/>
        </w:rPr>
        <w:instrText>compared</w:instrText>
      </w:r>
      <w:r w:rsidR="009D170B" w:rsidRPr="00AA43FB">
        <w:rPr>
          <w:iCs/>
        </w:rPr>
        <w:instrText xml:space="preserve"> </w:instrText>
      </w:r>
      <w:r w:rsidR="009D170B">
        <w:rPr>
          <w:iCs/>
          <w:lang w:val="en-US"/>
        </w:rPr>
        <w:instrText>with</w:instrText>
      </w:r>
      <w:r w:rsidR="009D170B" w:rsidRPr="00AA43FB">
        <w:rPr>
          <w:iCs/>
        </w:rPr>
        <w:instrText xml:space="preserve"> </w:instrText>
      </w:r>
      <w:r w:rsidR="009D170B">
        <w:rPr>
          <w:iCs/>
          <w:lang w:val="en-US"/>
        </w:rPr>
        <w:instrText>only</w:instrText>
      </w:r>
      <w:r w:rsidR="009D170B" w:rsidRPr="00AA43FB">
        <w:rPr>
          <w:iCs/>
        </w:rPr>
        <w:instrText xml:space="preserve"> 8.5% </w:instrText>
      </w:r>
      <w:r w:rsidR="009D170B">
        <w:rPr>
          <w:iCs/>
          <w:lang w:val="en-US"/>
        </w:rPr>
        <w:instrText>of</w:instrText>
      </w:r>
      <w:r w:rsidR="009D170B" w:rsidRPr="00AA43FB">
        <w:rPr>
          <w:iCs/>
        </w:rPr>
        <w:instrText xml:space="preserve"> </w:instrText>
      </w:r>
      <w:r w:rsidR="009D170B">
        <w:rPr>
          <w:iCs/>
          <w:lang w:val="en-US"/>
        </w:rPr>
        <w:instrText>low</w:instrText>
      </w:r>
      <w:r w:rsidR="009D170B" w:rsidRPr="00AA43FB">
        <w:rPr>
          <w:iCs/>
        </w:rPr>
        <w:instrText>-</w:instrText>
      </w:r>
      <w:r w:rsidR="009D170B">
        <w:rPr>
          <w:iCs/>
          <w:lang w:val="en-US"/>
        </w:rPr>
        <w:instrText>risk</w:instrText>
      </w:r>
      <w:r w:rsidR="009D170B" w:rsidRPr="00AA43FB">
        <w:rPr>
          <w:iCs/>
        </w:rPr>
        <w:instrText xml:space="preserve"> </w:instrText>
      </w:r>
      <w:r w:rsidR="009D170B">
        <w:rPr>
          <w:iCs/>
          <w:lang w:val="en-US"/>
        </w:rPr>
        <w:instrText>patients</w:instrText>
      </w:r>
      <w:r w:rsidR="009D170B" w:rsidRPr="00AA43FB">
        <w:rPr>
          <w:iCs/>
        </w:rPr>
        <w:instrText xml:space="preserve"> (</w:instrText>
      </w:r>
      <w:r w:rsidR="009D170B">
        <w:rPr>
          <w:iCs/>
          <w:lang w:val="en-US"/>
        </w:rPr>
        <w:instrText>p</w:instrText>
      </w:r>
      <w:r w:rsidR="009D170B" w:rsidRPr="00AA43FB">
        <w:rPr>
          <w:iCs/>
        </w:rPr>
        <w:instrText xml:space="preserve">  &lt;  .0001). </w:instrText>
      </w:r>
      <w:r w:rsidR="009D170B">
        <w:rPr>
          <w:iCs/>
          <w:lang w:val="en-US"/>
        </w:rPr>
        <w:instrText>Conclusion</w:instrText>
      </w:r>
      <w:r w:rsidR="009D170B" w:rsidRPr="00AA43FB">
        <w:rPr>
          <w:iCs/>
        </w:rPr>
        <w:instrText xml:space="preserve">. </w:instrText>
      </w:r>
      <w:r w:rsidR="009D170B">
        <w:rPr>
          <w:iCs/>
          <w:lang w:val="en-US"/>
        </w:rPr>
        <w:instrText>The</w:instrText>
      </w:r>
      <w:r w:rsidR="009D170B" w:rsidRPr="00AA43FB">
        <w:rPr>
          <w:iCs/>
        </w:rPr>
        <w:instrText xml:space="preserve"> </w:instrText>
      </w:r>
      <w:r w:rsidR="009D170B">
        <w:rPr>
          <w:iCs/>
          <w:lang w:val="en-US"/>
        </w:rPr>
        <w:instrText>Clinical</w:instrText>
      </w:r>
      <w:r w:rsidR="009D170B" w:rsidRPr="00AA43FB">
        <w:rPr>
          <w:iCs/>
        </w:rPr>
        <w:instrText xml:space="preserve"> </w:instrText>
      </w:r>
      <w:r w:rsidR="009D170B">
        <w:rPr>
          <w:iCs/>
          <w:lang w:val="en-US"/>
        </w:rPr>
        <w:instrText>Risk</w:instrText>
      </w:r>
      <w:r w:rsidR="009D170B" w:rsidRPr="00AA43FB">
        <w:rPr>
          <w:iCs/>
        </w:rPr>
        <w:instrText xml:space="preserve"> </w:instrText>
      </w:r>
      <w:r w:rsidR="009D170B">
        <w:rPr>
          <w:iCs/>
          <w:lang w:val="en-US"/>
        </w:rPr>
        <w:instrText>Score</w:instrText>
      </w:r>
      <w:r w:rsidR="009D170B" w:rsidRPr="00AA43FB">
        <w:rPr>
          <w:iCs/>
        </w:rPr>
        <w:instrText xml:space="preserve">, </w:instrText>
      </w:r>
      <w:r w:rsidR="009D170B">
        <w:rPr>
          <w:iCs/>
          <w:lang w:val="en-US"/>
        </w:rPr>
        <w:instrText>originally</w:instrText>
      </w:r>
      <w:r w:rsidR="009D170B" w:rsidRPr="00AA43FB">
        <w:rPr>
          <w:iCs/>
        </w:rPr>
        <w:instrText xml:space="preserve"> </w:instrText>
      </w:r>
      <w:r w:rsidR="009D170B">
        <w:rPr>
          <w:iCs/>
          <w:lang w:val="en-US"/>
        </w:rPr>
        <w:instrText>developed</w:instrText>
      </w:r>
      <w:r w:rsidR="009D170B" w:rsidRPr="00AA43FB">
        <w:rPr>
          <w:iCs/>
        </w:rPr>
        <w:instrText xml:space="preserve"> </w:instrText>
      </w:r>
      <w:r w:rsidR="009D170B">
        <w:rPr>
          <w:iCs/>
          <w:lang w:val="en-US"/>
        </w:rPr>
        <w:instrText>to</w:instrText>
      </w:r>
      <w:r w:rsidR="009D170B" w:rsidRPr="00AA43FB">
        <w:rPr>
          <w:iCs/>
        </w:rPr>
        <w:instrText xml:space="preserve"> </w:instrText>
      </w:r>
      <w:r w:rsidR="009D170B">
        <w:rPr>
          <w:iCs/>
          <w:lang w:val="en-US"/>
        </w:rPr>
        <w:instrText>predict</w:instrText>
      </w:r>
      <w:r w:rsidR="009D170B" w:rsidRPr="00AA43FB">
        <w:rPr>
          <w:iCs/>
        </w:rPr>
        <w:instrText xml:space="preserve"> </w:instrText>
      </w:r>
      <w:r w:rsidR="009D170B">
        <w:rPr>
          <w:iCs/>
          <w:lang w:val="en-US"/>
        </w:rPr>
        <w:instrText>the</w:instrText>
      </w:r>
      <w:r w:rsidR="009D170B" w:rsidRPr="00AA43FB">
        <w:rPr>
          <w:iCs/>
        </w:rPr>
        <w:instrText xml:space="preserve"> </w:instrText>
      </w:r>
      <w:r w:rsidR="009D170B">
        <w:rPr>
          <w:iCs/>
          <w:lang w:val="en-US"/>
        </w:rPr>
        <w:instrText>occurrence</w:instrText>
      </w:r>
      <w:r w:rsidR="009D170B" w:rsidRPr="00AA43FB">
        <w:rPr>
          <w:iCs/>
        </w:rPr>
        <w:instrText xml:space="preserve"> </w:instrText>
      </w:r>
      <w:r w:rsidR="009D170B">
        <w:rPr>
          <w:iCs/>
          <w:lang w:val="en-US"/>
        </w:rPr>
        <w:instrText>of</w:instrText>
      </w:r>
      <w:r w:rsidR="009D170B" w:rsidRPr="00AA43FB">
        <w:rPr>
          <w:iCs/>
        </w:rPr>
        <w:instrText xml:space="preserve"> </w:instrText>
      </w:r>
      <w:r w:rsidR="009D170B">
        <w:rPr>
          <w:iCs/>
          <w:lang w:val="en-US"/>
        </w:rPr>
        <w:instrText>VTE</w:instrText>
      </w:r>
      <w:r w:rsidR="009D170B" w:rsidRPr="00AA43FB">
        <w:rPr>
          <w:iCs/>
        </w:rPr>
        <w:instrText xml:space="preserve">, </w:instrText>
      </w:r>
      <w:r w:rsidR="009D170B">
        <w:rPr>
          <w:iCs/>
          <w:lang w:val="en-US"/>
        </w:rPr>
        <w:instrText>is</w:instrText>
      </w:r>
      <w:r w:rsidR="009D170B" w:rsidRPr="00AA43FB">
        <w:rPr>
          <w:iCs/>
        </w:rPr>
        <w:instrText xml:space="preserve"> </w:instrText>
      </w:r>
      <w:r w:rsidR="009D170B">
        <w:rPr>
          <w:iCs/>
          <w:lang w:val="en-US"/>
        </w:rPr>
        <w:instrText>also</w:instrText>
      </w:r>
      <w:r w:rsidR="009D170B" w:rsidRPr="00AA43FB">
        <w:rPr>
          <w:iCs/>
        </w:rPr>
        <w:instrText xml:space="preserve"> </w:instrText>
      </w:r>
      <w:r w:rsidR="009D170B">
        <w:rPr>
          <w:iCs/>
          <w:lang w:val="en-US"/>
        </w:rPr>
        <w:instrText>predictive</w:instrText>
      </w:r>
      <w:r w:rsidR="009D170B" w:rsidRPr="00AA43FB">
        <w:rPr>
          <w:iCs/>
        </w:rPr>
        <w:instrText xml:space="preserve"> </w:instrText>
      </w:r>
      <w:r w:rsidR="009D170B">
        <w:rPr>
          <w:iCs/>
          <w:lang w:val="en-US"/>
        </w:rPr>
        <w:instrText>of</w:instrText>
      </w:r>
      <w:r w:rsidR="009D170B" w:rsidRPr="00AA43FB">
        <w:rPr>
          <w:iCs/>
        </w:rPr>
        <w:instrText xml:space="preserve"> </w:instrText>
      </w:r>
      <w:r w:rsidR="009D170B">
        <w:rPr>
          <w:iCs/>
          <w:lang w:val="en-US"/>
        </w:rPr>
        <w:instrText>early</w:instrText>
      </w:r>
      <w:r w:rsidR="009D170B" w:rsidRPr="00AA43FB">
        <w:rPr>
          <w:iCs/>
        </w:rPr>
        <w:instrText xml:space="preserve"> </w:instrText>
      </w:r>
      <w:r w:rsidR="009D170B">
        <w:rPr>
          <w:iCs/>
          <w:lang w:val="en-US"/>
        </w:rPr>
        <w:instrText>mortality</w:instrText>
      </w:r>
      <w:r w:rsidR="009D170B" w:rsidRPr="00AA43FB">
        <w:rPr>
          <w:iCs/>
        </w:rPr>
        <w:instrText xml:space="preserve"> </w:instrText>
      </w:r>
      <w:r w:rsidR="009D170B">
        <w:rPr>
          <w:iCs/>
          <w:lang w:val="en-US"/>
        </w:rPr>
        <w:instrText>and</w:instrText>
      </w:r>
      <w:r w:rsidR="009D170B" w:rsidRPr="00AA43FB">
        <w:rPr>
          <w:iCs/>
        </w:rPr>
        <w:instrText xml:space="preserve"> </w:instrText>
      </w:r>
      <w:r w:rsidR="009D170B">
        <w:rPr>
          <w:iCs/>
          <w:lang w:val="en-US"/>
        </w:rPr>
        <w:instrText>cancer</w:instrText>
      </w:r>
      <w:r w:rsidR="009D170B" w:rsidRPr="00AA43FB">
        <w:rPr>
          <w:iCs/>
        </w:rPr>
        <w:instrText xml:space="preserve"> </w:instrText>
      </w:r>
      <w:r w:rsidR="009D170B">
        <w:rPr>
          <w:iCs/>
          <w:lang w:val="en-US"/>
        </w:rPr>
        <w:instrText>progression</w:instrText>
      </w:r>
      <w:r w:rsidR="009D170B" w:rsidRPr="00AA43FB">
        <w:rPr>
          <w:iCs/>
        </w:rPr>
        <w:instrText xml:space="preserve"> </w:instrText>
      </w:r>
      <w:r w:rsidR="009D170B">
        <w:rPr>
          <w:iCs/>
          <w:lang w:val="en-US"/>
        </w:rPr>
        <w:instrText>during</w:instrText>
      </w:r>
      <w:r w:rsidR="009D170B" w:rsidRPr="00AA43FB">
        <w:rPr>
          <w:iCs/>
        </w:rPr>
        <w:instrText xml:space="preserve"> </w:instrText>
      </w:r>
      <w:r w:rsidR="009D170B">
        <w:rPr>
          <w:iCs/>
          <w:lang w:val="en-US"/>
        </w:rPr>
        <w:instrText>the</w:instrText>
      </w:r>
      <w:r w:rsidR="009D170B" w:rsidRPr="00AA43FB">
        <w:rPr>
          <w:iCs/>
        </w:rPr>
        <w:instrText xml:space="preserve"> </w:instrText>
      </w:r>
      <w:r w:rsidR="009D170B">
        <w:rPr>
          <w:iCs/>
          <w:lang w:val="en-US"/>
        </w:rPr>
        <w:instrText>first</w:instrText>
      </w:r>
      <w:r w:rsidR="009D170B" w:rsidRPr="00AA43FB">
        <w:rPr>
          <w:iCs/>
        </w:rPr>
        <w:instrText xml:space="preserve"> </w:instrText>
      </w:r>
      <w:r w:rsidR="009D170B">
        <w:rPr>
          <w:iCs/>
          <w:lang w:val="en-US"/>
        </w:rPr>
        <w:instrText>four</w:instrText>
      </w:r>
      <w:r w:rsidR="009D170B" w:rsidRPr="00AA43FB">
        <w:rPr>
          <w:iCs/>
        </w:rPr>
        <w:instrText xml:space="preserve"> </w:instrText>
      </w:r>
      <w:r w:rsidR="009D170B">
        <w:rPr>
          <w:iCs/>
          <w:lang w:val="en-US"/>
        </w:rPr>
        <w:instrText>cycles</w:instrText>
      </w:r>
      <w:r w:rsidR="009D170B" w:rsidRPr="00AA43FB">
        <w:rPr>
          <w:iCs/>
        </w:rPr>
        <w:instrText xml:space="preserve"> </w:instrText>
      </w:r>
      <w:r w:rsidR="009D170B">
        <w:rPr>
          <w:iCs/>
          <w:lang w:val="en-US"/>
        </w:rPr>
        <w:instrText>of</w:instrText>
      </w:r>
      <w:r w:rsidR="009D170B" w:rsidRPr="00AA43FB">
        <w:rPr>
          <w:iCs/>
        </w:rPr>
        <w:instrText xml:space="preserve"> </w:instrText>
      </w:r>
      <w:r w:rsidR="009D170B">
        <w:rPr>
          <w:iCs/>
          <w:lang w:val="en-US"/>
        </w:rPr>
        <w:instrText>outpatient</w:instrText>
      </w:r>
      <w:r w:rsidR="009D170B" w:rsidRPr="00AA43FB">
        <w:rPr>
          <w:iCs/>
        </w:rPr>
        <w:instrText xml:space="preserve"> </w:instrText>
      </w:r>
      <w:r w:rsidR="009D170B">
        <w:rPr>
          <w:iCs/>
          <w:lang w:val="en-US"/>
        </w:rPr>
        <w:instrText>chemotherapy</w:instrText>
      </w:r>
      <w:r w:rsidR="009D170B" w:rsidRPr="00AA43FB">
        <w:rPr>
          <w:iCs/>
        </w:rPr>
        <w:instrText xml:space="preserve">, </w:instrText>
      </w:r>
      <w:r w:rsidR="009D170B">
        <w:rPr>
          <w:iCs/>
          <w:lang w:val="en-US"/>
        </w:rPr>
        <w:instrText>independent</w:instrText>
      </w:r>
      <w:r w:rsidR="009D170B" w:rsidRPr="00AA43FB">
        <w:rPr>
          <w:iCs/>
        </w:rPr>
        <w:instrText xml:space="preserve"> </w:instrText>
      </w:r>
      <w:r w:rsidR="009D170B">
        <w:rPr>
          <w:iCs/>
          <w:lang w:val="en-US"/>
        </w:rPr>
        <w:instrText>from</w:instrText>
      </w:r>
      <w:r w:rsidR="009D170B" w:rsidRPr="00AA43FB">
        <w:rPr>
          <w:iCs/>
        </w:rPr>
        <w:instrText xml:space="preserve"> </w:instrText>
      </w:r>
      <w:r w:rsidR="009D170B">
        <w:rPr>
          <w:iCs/>
          <w:lang w:val="en-US"/>
        </w:rPr>
        <w:instrText>other</w:instrText>
      </w:r>
      <w:r w:rsidR="009D170B" w:rsidRPr="00AA43FB">
        <w:rPr>
          <w:iCs/>
        </w:rPr>
        <w:instrText xml:space="preserve"> </w:instrText>
      </w:r>
      <w:r w:rsidR="009D170B">
        <w:rPr>
          <w:iCs/>
          <w:lang w:val="en-US"/>
        </w:rPr>
        <w:instrText>major</w:instrText>
      </w:r>
      <w:r w:rsidR="009D170B" w:rsidRPr="00AA43FB">
        <w:rPr>
          <w:iCs/>
        </w:rPr>
        <w:instrText xml:space="preserve"> </w:instrText>
      </w:r>
      <w:r w:rsidR="009D170B">
        <w:rPr>
          <w:iCs/>
          <w:lang w:val="en-US"/>
        </w:rPr>
        <w:instrText>prognostic</w:instrText>
      </w:r>
      <w:r w:rsidR="009D170B" w:rsidRPr="00AA43FB">
        <w:rPr>
          <w:iCs/>
        </w:rPr>
        <w:instrText xml:space="preserve"> </w:instrText>
      </w:r>
      <w:r w:rsidR="009D170B">
        <w:rPr>
          <w:iCs/>
          <w:lang w:val="en-US"/>
        </w:rPr>
        <w:instrText>factors</w:instrText>
      </w:r>
      <w:r w:rsidR="009D170B" w:rsidRPr="00AA43FB">
        <w:rPr>
          <w:iCs/>
        </w:rPr>
        <w:instrText xml:space="preserve"> </w:instrText>
      </w:r>
      <w:r w:rsidR="009D170B">
        <w:rPr>
          <w:iCs/>
          <w:lang w:val="en-US"/>
        </w:rPr>
        <w:instrText>including</w:instrText>
      </w:r>
      <w:r w:rsidR="009D170B" w:rsidRPr="00AA43FB">
        <w:rPr>
          <w:iCs/>
        </w:rPr>
        <w:instrText xml:space="preserve"> </w:instrText>
      </w:r>
      <w:r w:rsidR="009D170B">
        <w:rPr>
          <w:iCs/>
          <w:lang w:val="en-US"/>
        </w:rPr>
        <w:instrText>VTE</w:instrText>
      </w:r>
      <w:r w:rsidR="009D170B" w:rsidRPr="00AA43FB">
        <w:rPr>
          <w:iCs/>
        </w:rPr>
        <w:instrText xml:space="preserve"> </w:instrText>
      </w:r>
      <w:r w:rsidR="009D170B">
        <w:rPr>
          <w:iCs/>
          <w:lang w:val="en-US"/>
        </w:rPr>
        <w:instrText>itself</w:instrText>
      </w:r>
      <w:r w:rsidR="009D170B" w:rsidRPr="00AA43FB">
        <w:rPr>
          <w:iCs/>
        </w:rPr>
        <w:instrText xml:space="preserve">. </w:instrText>
      </w:r>
      <w:r w:rsidR="009D170B">
        <w:rPr>
          <w:iCs/>
          <w:lang w:val="en-US"/>
        </w:rPr>
        <w:instrText>Ongoing</w:instrText>
      </w:r>
      <w:r w:rsidR="009D170B" w:rsidRPr="00AA43FB">
        <w:rPr>
          <w:iCs/>
        </w:rPr>
        <w:instrText xml:space="preserve"> </w:instrText>
      </w:r>
      <w:r w:rsidR="009D170B">
        <w:rPr>
          <w:iCs/>
          <w:lang w:val="en-US"/>
        </w:rPr>
        <w:instrText>and</w:instrText>
      </w:r>
      <w:r w:rsidR="009D170B" w:rsidRPr="00AA43FB">
        <w:rPr>
          <w:iCs/>
        </w:rPr>
        <w:instrText xml:space="preserve"> </w:instrText>
      </w:r>
      <w:r w:rsidR="009D170B">
        <w:rPr>
          <w:iCs/>
          <w:lang w:val="en-US"/>
        </w:rPr>
        <w:instrText>future</w:instrText>
      </w:r>
      <w:r w:rsidR="009D170B" w:rsidRPr="00AA43FB">
        <w:rPr>
          <w:iCs/>
        </w:rPr>
        <w:instrText xml:space="preserve"> </w:instrText>
      </w:r>
      <w:r w:rsidR="009D170B">
        <w:rPr>
          <w:iCs/>
          <w:lang w:val="en-US"/>
        </w:rPr>
        <w:instrText>studies</w:instrText>
      </w:r>
      <w:r w:rsidR="009D170B" w:rsidRPr="00AA43FB">
        <w:rPr>
          <w:iCs/>
        </w:rPr>
        <w:instrText xml:space="preserve"> </w:instrText>
      </w:r>
      <w:r w:rsidR="009D170B">
        <w:rPr>
          <w:iCs/>
          <w:lang w:val="en-US"/>
        </w:rPr>
        <w:instrText>will</w:instrText>
      </w:r>
      <w:r w:rsidR="009D170B" w:rsidRPr="00AA43FB">
        <w:rPr>
          <w:iCs/>
        </w:rPr>
        <w:instrText xml:space="preserve"> </w:instrText>
      </w:r>
      <w:r w:rsidR="009D170B">
        <w:rPr>
          <w:iCs/>
          <w:lang w:val="en-US"/>
        </w:rPr>
        <w:instrText>help</w:instrText>
      </w:r>
      <w:r w:rsidR="009D170B" w:rsidRPr="00AA43FB">
        <w:rPr>
          <w:iCs/>
        </w:rPr>
        <w:instrText xml:space="preserve"> </w:instrText>
      </w:r>
      <w:r w:rsidR="009D170B">
        <w:rPr>
          <w:iCs/>
          <w:lang w:val="en-US"/>
        </w:rPr>
        <w:instrText>determine</w:instrText>
      </w:r>
      <w:r w:rsidR="009D170B" w:rsidRPr="00AA43FB">
        <w:rPr>
          <w:iCs/>
        </w:rPr>
        <w:instrText xml:space="preserve"> </w:instrText>
      </w:r>
      <w:r w:rsidR="009D170B">
        <w:rPr>
          <w:iCs/>
          <w:lang w:val="en-US"/>
        </w:rPr>
        <w:instrText>the</w:instrText>
      </w:r>
      <w:r w:rsidR="009D170B" w:rsidRPr="00AA43FB">
        <w:rPr>
          <w:iCs/>
        </w:rPr>
        <w:instrText xml:space="preserve"> </w:instrText>
      </w:r>
      <w:r w:rsidR="009D170B">
        <w:rPr>
          <w:iCs/>
          <w:lang w:val="en-US"/>
        </w:rPr>
        <w:instrText>impact</w:instrText>
      </w:r>
      <w:r w:rsidR="009D170B" w:rsidRPr="00AA43FB">
        <w:rPr>
          <w:iCs/>
        </w:rPr>
        <w:instrText xml:space="preserve"> </w:instrText>
      </w:r>
      <w:r w:rsidR="009D170B">
        <w:rPr>
          <w:iCs/>
          <w:lang w:val="en-US"/>
        </w:rPr>
        <w:instrText>of</w:instrText>
      </w:r>
      <w:r w:rsidR="009D170B" w:rsidRPr="00AA43FB">
        <w:rPr>
          <w:iCs/>
        </w:rPr>
        <w:instrText xml:space="preserve"> </w:instrText>
      </w:r>
      <w:r w:rsidR="009D170B">
        <w:rPr>
          <w:iCs/>
          <w:lang w:val="en-US"/>
        </w:rPr>
        <w:instrText>VTE</w:instrText>
      </w:r>
      <w:r w:rsidR="009D170B" w:rsidRPr="00AA43FB">
        <w:rPr>
          <w:iCs/>
        </w:rPr>
        <w:instrText xml:space="preserve"> </w:instrText>
      </w:r>
      <w:r w:rsidR="009D170B">
        <w:rPr>
          <w:iCs/>
          <w:lang w:val="en-US"/>
        </w:rPr>
        <w:instrText>prophylaxis</w:instrText>
      </w:r>
      <w:r w:rsidR="009D170B" w:rsidRPr="00AA43FB">
        <w:rPr>
          <w:iCs/>
        </w:rPr>
        <w:instrText xml:space="preserve"> </w:instrText>
      </w:r>
      <w:r w:rsidR="009D170B">
        <w:rPr>
          <w:iCs/>
          <w:lang w:val="en-US"/>
        </w:rPr>
        <w:instrText>on</w:instrText>
      </w:r>
      <w:r w:rsidR="009D170B" w:rsidRPr="00AA43FB">
        <w:rPr>
          <w:iCs/>
        </w:rPr>
        <w:instrText xml:space="preserve"> </w:instrText>
      </w:r>
      <w:r w:rsidR="009D170B">
        <w:rPr>
          <w:iCs/>
          <w:lang w:val="en-US"/>
        </w:rPr>
        <w:instrText>survival</w:instrText>
      </w:r>
      <w:r w:rsidR="009D170B" w:rsidRPr="00AA43FB">
        <w:rPr>
          <w:iCs/>
        </w:rPr>
        <w:instrText>.","</w:instrText>
      </w:r>
      <w:r w:rsidR="009D170B">
        <w:rPr>
          <w:iCs/>
          <w:lang w:val="en-US"/>
        </w:rPr>
        <w:instrText>author</w:instrText>
      </w:r>
      <w:r w:rsidR="009D170B" w:rsidRPr="00AA43FB">
        <w:rPr>
          <w:iCs/>
        </w:rPr>
        <w:instrText>":[{"</w:instrText>
      </w:r>
      <w:r w:rsidR="009D170B">
        <w:rPr>
          <w:iCs/>
          <w:lang w:val="en-US"/>
        </w:rPr>
        <w:instrText>dropping</w:instrText>
      </w:r>
      <w:r w:rsidR="009D170B" w:rsidRPr="00AA43FB">
        <w:rPr>
          <w:iCs/>
        </w:rPr>
        <w:instrText>-</w:instrText>
      </w:r>
      <w:r w:rsidR="009D170B">
        <w:rPr>
          <w:iCs/>
          <w:lang w:val="en-US"/>
        </w:rPr>
        <w:instrText>particle</w:instrText>
      </w:r>
      <w:r w:rsidR="009D170B" w:rsidRPr="00AA43FB">
        <w:rPr>
          <w:iCs/>
        </w:rPr>
        <w:instrText>":"","</w:instrText>
      </w:r>
      <w:r w:rsidR="009D170B">
        <w:rPr>
          <w:iCs/>
          <w:lang w:val="en-US"/>
        </w:rPr>
        <w:instrText>family</w:instrText>
      </w:r>
      <w:r w:rsidR="009D170B" w:rsidRPr="00AA43FB">
        <w:rPr>
          <w:iCs/>
        </w:rPr>
        <w:instrText>":"</w:instrText>
      </w:r>
      <w:r w:rsidR="009D170B">
        <w:rPr>
          <w:iCs/>
          <w:lang w:val="en-US"/>
        </w:rPr>
        <w:instrText>Kuderer</w:instrText>
      </w:r>
      <w:r w:rsidR="009D170B" w:rsidRPr="00AA43FB">
        <w:rPr>
          <w:iCs/>
        </w:rPr>
        <w:instrText>","</w:instrText>
      </w:r>
      <w:r w:rsidR="009D170B">
        <w:rPr>
          <w:iCs/>
          <w:lang w:val="en-US"/>
        </w:rPr>
        <w:instrText>given</w:instrText>
      </w:r>
      <w:r w:rsidR="009D170B" w:rsidRPr="00AA43FB">
        <w:rPr>
          <w:iCs/>
        </w:rPr>
        <w:instrText>":"</w:instrText>
      </w:r>
      <w:r w:rsidR="009D170B">
        <w:rPr>
          <w:iCs/>
          <w:lang w:val="en-US"/>
        </w:rPr>
        <w:instrText>Nicole</w:instrText>
      </w:r>
      <w:r w:rsidR="009D170B" w:rsidRPr="00AA43FB">
        <w:rPr>
          <w:iCs/>
        </w:rPr>
        <w:instrText xml:space="preserve"> </w:instrText>
      </w:r>
      <w:r w:rsidR="009D170B">
        <w:rPr>
          <w:iCs/>
          <w:lang w:val="en-US"/>
        </w:rPr>
        <w:instrText>M</w:instrText>
      </w:r>
      <w:r w:rsidR="009D170B" w:rsidRPr="00AA43FB">
        <w:rPr>
          <w:iCs/>
        </w:rPr>
        <w:instrText>.","</w:instrText>
      </w:r>
      <w:r w:rsidR="009D170B">
        <w:rPr>
          <w:iCs/>
          <w:lang w:val="en-US"/>
        </w:rPr>
        <w:instrText>non</w:instrText>
      </w:r>
      <w:r w:rsidR="009D170B" w:rsidRPr="00AA43FB">
        <w:rPr>
          <w:iCs/>
        </w:rPr>
        <w:instrText>-</w:instrText>
      </w:r>
      <w:r w:rsidR="009D170B">
        <w:rPr>
          <w:iCs/>
          <w:lang w:val="en-US"/>
        </w:rPr>
        <w:instrText>dropping</w:instrText>
      </w:r>
      <w:r w:rsidR="009D170B" w:rsidRPr="00AA43FB">
        <w:rPr>
          <w:iCs/>
        </w:rPr>
        <w:instrText>-</w:instrText>
      </w:r>
      <w:r w:rsidR="009D170B">
        <w:rPr>
          <w:iCs/>
          <w:lang w:val="en-US"/>
        </w:rPr>
        <w:instrText>particle</w:instrText>
      </w:r>
      <w:r w:rsidR="009D170B" w:rsidRPr="00AA43FB">
        <w:rPr>
          <w:iCs/>
        </w:rPr>
        <w:instrText>":"","</w:instrText>
      </w:r>
      <w:r w:rsidR="009D170B">
        <w:rPr>
          <w:iCs/>
          <w:lang w:val="en-US"/>
        </w:rPr>
        <w:instrText>parse</w:instrText>
      </w:r>
      <w:r w:rsidR="009D170B" w:rsidRPr="00AA43FB">
        <w:rPr>
          <w:iCs/>
        </w:rPr>
        <w:instrText>-</w:instrText>
      </w:r>
      <w:r w:rsidR="009D170B">
        <w:rPr>
          <w:iCs/>
          <w:lang w:val="en-US"/>
        </w:rPr>
        <w:instrText>names</w:instrText>
      </w:r>
      <w:r w:rsidR="009D170B" w:rsidRPr="00AA43FB">
        <w:rPr>
          <w:iCs/>
        </w:rPr>
        <w:instrText>":</w:instrText>
      </w:r>
      <w:r w:rsidR="009D170B">
        <w:rPr>
          <w:iCs/>
          <w:lang w:val="en-US"/>
        </w:rPr>
        <w:instrText>false</w:instrText>
      </w:r>
      <w:r w:rsidR="009D170B" w:rsidRPr="00AA43FB">
        <w:rPr>
          <w:iCs/>
        </w:rPr>
        <w:instrText>,"</w:instrText>
      </w:r>
      <w:r w:rsidR="009D170B">
        <w:rPr>
          <w:iCs/>
          <w:lang w:val="en-US"/>
        </w:rPr>
        <w:instrText>suffix</w:instrText>
      </w:r>
      <w:r w:rsidR="009D170B" w:rsidRPr="00AA43FB">
        <w:rPr>
          <w:iCs/>
        </w:rPr>
        <w:instrText>":""},{"</w:instrText>
      </w:r>
      <w:r w:rsidR="009D170B">
        <w:rPr>
          <w:iCs/>
          <w:lang w:val="en-US"/>
        </w:rPr>
        <w:instrText>dropping</w:instrText>
      </w:r>
      <w:r w:rsidR="009D170B" w:rsidRPr="00AA43FB">
        <w:rPr>
          <w:iCs/>
        </w:rPr>
        <w:instrText>-</w:instrText>
      </w:r>
      <w:r w:rsidR="009D170B">
        <w:rPr>
          <w:iCs/>
          <w:lang w:val="en-US"/>
        </w:rPr>
        <w:instrText>particle</w:instrText>
      </w:r>
      <w:r w:rsidR="009D170B" w:rsidRPr="00AA43FB">
        <w:rPr>
          <w:iCs/>
        </w:rPr>
        <w:instrText>":"","</w:instrText>
      </w:r>
      <w:r w:rsidR="009D170B">
        <w:rPr>
          <w:iCs/>
          <w:lang w:val="en-US"/>
        </w:rPr>
        <w:instrText>family</w:instrText>
      </w:r>
      <w:r w:rsidR="009D170B" w:rsidRPr="00AA43FB">
        <w:rPr>
          <w:iCs/>
        </w:rPr>
        <w:instrText>":"</w:instrText>
      </w:r>
      <w:r w:rsidR="009D170B">
        <w:rPr>
          <w:iCs/>
          <w:lang w:val="en-US"/>
        </w:rPr>
        <w:instrText>Culakova</w:instrText>
      </w:r>
      <w:r w:rsidR="009D170B" w:rsidRPr="00AA43FB">
        <w:rPr>
          <w:iCs/>
        </w:rPr>
        <w:instrText>","</w:instrText>
      </w:r>
      <w:r w:rsidR="009D170B">
        <w:rPr>
          <w:iCs/>
          <w:lang w:val="en-US"/>
        </w:rPr>
        <w:instrText>given</w:instrText>
      </w:r>
      <w:r w:rsidR="009D170B" w:rsidRPr="00AA43FB">
        <w:rPr>
          <w:iCs/>
        </w:rPr>
        <w:instrText>":"</w:instrText>
      </w:r>
      <w:r w:rsidR="009D170B">
        <w:rPr>
          <w:iCs/>
          <w:lang w:val="en-US"/>
        </w:rPr>
        <w:instrText>Eva</w:instrText>
      </w:r>
      <w:r w:rsidR="009D170B" w:rsidRPr="00AA43FB">
        <w:rPr>
          <w:iCs/>
        </w:rPr>
        <w:instrText>","</w:instrText>
      </w:r>
      <w:r w:rsidR="009D170B">
        <w:rPr>
          <w:iCs/>
          <w:lang w:val="en-US"/>
        </w:rPr>
        <w:instrText>non</w:instrText>
      </w:r>
      <w:r w:rsidR="009D170B" w:rsidRPr="00AA43FB">
        <w:rPr>
          <w:iCs/>
        </w:rPr>
        <w:instrText>-</w:instrText>
      </w:r>
      <w:r w:rsidR="009D170B">
        <w:rPr>
          <w:iCs/>
          <w:lang w:val="en-US"/>
        </w:rPr>
        <w:instrText>dropping</w:instrText>
      </w:r>
      <w:r w:rsidR="009D170B" w:rsidRPr="00AA43FB">
        <w:rPr>
          <w:iCs/>
        </w:rPr>
        <w:instrText>-</w:instrText>
      </w:r>
      <w:r w:rsidR="009D170B">
        <w:rPr>
          <w:iCs/>
          <w:lang w:val="en-US"/>
        </w:rPr>
        <w:instrText>particle</w:instrText>
      </w:r>
      <w:r w:rsidR="009D170B" w:rsidRPr="00AA43FB">
        <w:rPr>
          <w:iCs/>
        </w:rPr>
        <w:instrText>":"","</w:instrText>
      </w:r>
      <w:r w:rsidR="009D170B">
        <w:rPr>
          <w:iCs/>
          <w:lang w:val="en-US"/>
        </w:rPr>
        <w:instrText>parse</w:instrText>
      </w:r>
      <w:r w:rsidR="009D170B" w:rsidRPr="00AA43FB">
        <w:rPr>
          <w:iCs/>
        </w:rPr>
        <w:instrText>-</w:instrText>
      </w:r>
      <w:r w:rsidR="009D170B">
        <w:rPr>
          <w:iCs/>
          <w:lang w:val="en-US"/>
        </w:rPr>
        <w:instrText>names</w:instrText>
      </w:r>
      <w:r w:rsidR="009D170B" w:rsidRPr="00AA43FB">
        <w:rPr>
          <w:iCs/>
        </w:rPr>
        <w:instrText>":</w:instrText>
      </w:r>
      <w:r w:rsidR="009D170B">
        <w:rPr>
          <w:iCs/>
          <w:lang w:val="en-US"/>
        </w:rPr>
        <w:instrText>false</w:instrText>
      </w:r>
      <w:r w:rsidR="009D170B" w:rsidRPr="00AA43FB">
        <w:rPr>
          <w:iCs/>
        </w:rPr>
        <w:instrText>,"</w:instrText>
      </w:r>
      <w:r w:rsidR="009D170B">
        <w:rPr>
          <w:iCs/>
          <w:lang w:val="en-US"/>
        </w:rPr>
        <w:instrText>suffix</w:instrText>
      </w:r>
      <w:r w:rsidR="009D170B" w:rsidRPr="00AA43FB">
        <w:rPr>
          <w:iCs/>
        </w:rPr>
        <w:instrText>":""},{"</w:instrText>
      </w:r>
      <w:r w:rsidR="009D170B">
        <w:rPr>
          <w:iCs/>
          <w:lang w:val="en-US"/>
        </w:rPr>
        <w:instrText>dropping</w:instrText>
      </w:r>
      <w:r w:rsidR="009D170B" w:rsidRPr="00AA43FB">
        <w:rPr>
          <w:iCs/>
        </w:rPr>
        <w:instrText>-</w:instrText>
      </w:r>
      <w:r w:rsidR="009D170B">
        <w:rPr>
          <w:iCs/>
          <w:lang w:val="en-US"/>
        </w:rPr>
        <w:instrText>particle</w:instrText>
      </w:r>
      <w:r w:rsidR="009D170B" w:rsidRPr="00AA43FB">
        <w:rPr>
          <w:iCs/>
        </w:rPr>
        <w:instrText>":"","</w:instrText>
      </w:r>
      <w:r w:rsidR="009D170B">
        <w:rPr>
          <w:iCs/>
          <w:lang w:val="en-US"/>
        </w:rPr>
        <w:instrText>family</w:instrText>
      </w:r>
      <w:r w:rsidR="009D170B" w:rsidRPr="00AA43FB">
        <w:rPr>
          <w:iCs/>
        </w:rPr>
        <w:instrText>":"</w:instrText>
      </w:r>
      <w:r w:rsidR="009D170B">
        <w:rPr>
          <w:iCs/>
          <w:lang w:val="en-US"/>
        </w:rPr>
        <w:instrText>Lyman</w:instrText>
      </w:r>
      <w:r w:rsidR="009D170B" w:rsidRPr="00AA43FB">
        <w:rPr>
          <w:iCs/>
        </w:rPr>
        <w:instrText>","</w:instrText>
      </w:r>
      <w:r w:rsidR="009D170B">
        <w:rPr>
          <w:iCs/>
          <w:lang w:val="en-US"/>
        </w:rPr>
        <w:instrText>given</w:instrText>
      </w:r>
      <w:r w:rsidR="009D170B" w:rsidRPr="00AA43FB">
        <w:rPr>
          <w:iCs/>
        </w:rPr>
        <w:instrText>":"</w:instrText>
      </w:r>
      <w:r w:rsidR="009D170B">
        <w:rPr>
          <w:iCs/>
          <w:lang w:val="en-US"/>
        </w:rPr>
        <w:instrText>Gary</w:instrText>
      </w:r>
      <w:r w:rsidR="009D170B" w:rsidRPr="00AA43FB">
        <w:rPr>
          <w:iCs/>
        </w:rPr>
        <w:instrText xml:space="preserve"> </w:instrText>
      </w:r>
      <w:r w:rsidR="009D170B">
        <w:rPr>
          <w:iCs/>
          <w:lang w:val="en-US"/>
        </w:rPr>
        <w:instrText>H</w:instrText>
      </w:r>
      <w:r w:rsidR="009D170B" w:rsidRPr="00AA43FB">
        <w:rPr>
          <w:iCs/>
        </w:rPr>
        <w:instrText>.","</w:instrText>
      </w:r>
      <w:r w:rsidR="009D170B">
        <w:rPr>
          <w:iCs/>
          <w:lang w:val="en-US"/>
        </w:rPr>
        <w:instrText>non</w:instrText>
      </w:r>
      <w:r w:rsidR="009D170B" w:rsidRPr="00AA43FB">
        <w:rPr>
          <w:iCs/>
        </w:rPr>
        <w:instrText>-</w:instrText>
      </w:r>
      <w:r w:rsidR="009D170B">
        <w:rPr>
          <w:iCs/>
          <w:lang w:val="en-US"/>
        </w:rPr>
        <w:instrText>dropping</w:instrText>
      </w:r>
      <w:r w:rsidR="009D170B" w:rsidRPr="00AA43FB">
        <w:rPr>
          <w:iCs/>
        </w:rPr>
        <w:instrText>-</w:instrText>
      </w:r>
      <w:r w:rsidR="009D170B">
        <w:rPr>
          <w:iCs/>
          <w:lang w:val="en-US"/>
        </w:rPr>
        <w:instrText>particle</w:instrText>
      </w:r>
      <w:r w:rsidR="009D170B" w:rsidRPr="00AA43FB">
        <w:rPr>
          <w:iCs/>
        </w:rPr>
        <w:instrText>":"","</w:instrText>
      </w:r>
      <w:r w:rsidR="009D170B">
        <w:rPr>
          <w:iCs/>
          <w:lang w:val="en-US"/>
        </w:rPr>
        <w:instrText>parse</w:instrText>
      </w:r>
      <w:r w:rsidR="009D170B" w:rsidRPr="00AA43FB">
        <w:rPr>
          <w:iCs/>
        </w:rPr>
        <w:instrText>-</w:instrText>
      </w:r>
      <w:r w:rsidR="009D170B">
        <w:rPr>
          <w:iCs/>
          <w:lang w:val="en-US"/>
        </w:rPr>
        <w:instrText>names</w:instrText>
      </w:r>
      <w:r w:rsidR="009D170B" w:rsidRPr="00AA43FB">
        <w:rPr>
          <w:iCs/>
        </w:rPr>
        <w:instrText>":</w:instrText>
      </w:r>
      <w:r w:rsidR="009D170B">
        <w:rPr>
          <w:iCs/>
          <w:lang w:val="en-US"/>
        </w:rPr>
        <w:instrText>false</w:instrText>
      </w:r>
      <w:r w:rsidR="009D170B" w:rsidRPr="00AA43FB">
        <w:rPr>
          <w:iCs/>
        </w:rPr>
        <w:instrText>,"</w:instrText>
      </w:r>
      <w:r w:rsidR="009D170B">
        <w:rPr>
          <w:iCs/>
          <w:lang w:val="en-US"/>
        </w:rPr>
        <w:instrText>suffix</w:instrText>
      </w:r>
      <w:r w:rsidR="009D170B" w:rsidRPr="00AA43FB">
        <w:rPr>
          <w:iCs/>
        </w:rPr>
        <w:instrText>":""},{"</w:instrText>
      </w:r>
      <w:r w:rsidR="009D170B">
        <w:rPr>
          <w:iCs/>
          <w:lang w:val="en-US"/>
        </w:rPr>
        <w:instrText>dropping</w:instrText>
      </w:r>
      <w:r w:rsidR="009D170B" w:rsidRPr="00AA43FB">
        <w:rPr>
          <w:iCs/>
        </w:rPr>
        <w:instrText>-</w:instrText>
      </w:r>
      <w:r w:rsidR="009D170B">
        <w:rPr>
          <w:iCs/>
          <w:lang w:val="en-US"/>
        </w:rPr>
        <w:instrText>particle</w:instrText>
      </w:r>
      <w:r w:rsidR="009D170B" w:rsidRPr="00AA43FB">
        <w:rPr>
          <w:iCs/>
        </w:rPr>
        <w:instrText>":"","</w:instrText>
      </w:r>
      <w:r w:rsidR="009D170B">
        <w:rPr>
          <w:iCs/>
          <w:lang w:val="en-US"/>
        </w:rPr>
        <w:instrText>family</w:instrText>
      </w:r>
      <w:r w:rsidR="009D170B" w:rsidRPr="00AA43FB">
        <w:rPr>
          <w:iCs/>
        </w:rPr>
        <w:instrText>":"</w:instrText>
      </w:r>
      <w:r w:rsidR="009D170B">
        <w:rPr>
          <w:iCs/>
          <w:lang w:val="en-US"/>
        </w:rPr>
        <w:instrText>Francis</w:instrText>
      </w:r>
      <w:r w:rsidR="009D170B" w:rsidRPr="00AA43FB">
        <w:rPr>
          <w:iCs/>
        </w:rPr>
        <w:instrText>","</w:instrText>
      </w:r>
      <w:r w:rsidR="009D170B">
        <w:rPr>
          <w:iCs/>
          <w:lang w:val="en-US"/>
        </w:rPr>
        <w:instrText>given</w:instrText>
      </w:r>
      <w:r w:rsidR="009D170B" w:rsidRPr="00AA43FB">
        <w:rPr>
          <w:iCs/>
        </w:rPr>
        <w:instrText>":"</w:instrText>
      </w:r>
      <w:r w:rsidR="009D170B">
        <w:rPr>
          <w:iCs/>
          <w:lang w:val="en-US"/>
        </w:rPr>
        <w:instrText>Charles</w:instrText>
      </w:r>
      <w:r w:rsidR="009D170B" w:rsidRPr="00AA43FB">
        <w:rPr>
          <w:iCs/>
        </w:rPr>
        <w:instrText>","</w:instrText>
      </w:r>
      <w:r w:rsidR="009D170B">
        <w:rPr>
          <w:iCs/>
          <w:lang w:val="en-US"/>
        </w:rPr>
        <w:instrText>non</w:instrText>
      </w:r>
      <w:r w:rsidR="009D170B" w:rsidRPr="00AA43FB">
        <w:rPr>
          <w:iCs/>
        </w:rPr>
        <w:instrText>-</w:instrText>
      </w:r>
      <w:r w:rsidR="009D170B">
        <w:rPr>
          <w:iCs/>
          <w:lang w:val="en-US"/>
        </w:rPr>
        <w:instrText>dropping</w:instrText>
      </w:r>
      <w:r w:rsidR="009D170B" w:rsidRPr="00AA43FB">
        <w:rPr>
          <w:iCs/>
        </w:rPr>
        <w:instrText>-</w:instrText>
      </w:r>
      <w:r w:rsidR="009D170B">
        <w:rPr>
          <w:iCs/>
          <w:lang w:val="en-US"/>
        </w:rPr>
        <w:instrText>particle</w:instrText>
      </w:r>
      <w:r w:rsidR="009D170B" w:rsidRPr="00AA43FB">
        <w:rPr>
          <w:iCs/>
        </w:rPr>
        <w:instrText>":"","</w:instrText>
      </w:r>
      <w:r w:rsidR="009D170B">
        <w:rPr>
          <w:iCs/>
          <w:lang w:val="en-US"/>
        </w:rPr>
        <w:instrText>parse</w:instrText>
      </w:r>
      <w:r w:rsidR="009D170B" w:rsidRPr="00AA43FB">
        <w:rPr>
          <w:iCs/>
        </w:rPr>
        <w:instrText>-</w:instrText>
      </w:r>
      <w:r w:rsidR="009D170B">
        <w:rPr>
          <w:iCs/>
          <w:lang w:val="en-US"/>
        </w:rPr>
        <w:instrText>names</w:instrText>
      </w:r>
      <w:r w:rsidR="009D170B" w:rsidRPr="00AA43FB">
        <w:rPr>
          <w:iCs/>
        </w:rPr>
        <w:instrText>":</w:instrText>
      </w:r>
      <w:r w:rsidR="009D170B">
        <w:rPr>
          <w:iCs/>
          <w:lang w:val="en-US"/>
        </w:rPr>
        <w:instrText>false</w:instrText>
      </w:r>
      <w:r w:rsidR="009D170B" w:rsidRPr="00AA43FB">
        <w:rPr>
          <w:iCs/>
        </w:rPr>
        <w:instrText>,"</w:instrText>
      </w:r>
      <w:r w:rsidR="009D170B">
        <w:rPr>
          <w:iCs/>
          <w:lang w:val="en-US"/>
        </w:rPr>
        <w:instrText>suffix</w:instrText>
      </w:r>
      <w:r w:rsidR="009D170B" w:rsidRPr="00AA43FB">
        <w:rPr>
          <w:iCs/>
        </w:rPr>
        <w:instrText>":""},{"</w:instrText>
      </w:r>
      <w:r w:rsidR="009D170B">
        <w:rPr>
          <w:iCs/>
          <w:lang w:val="en-US"/>
        </w:rPr>
        <w:instrText>dropping</w:instrText>
      </w:r>
      <w:r w:rsidR="009D170B" w:rsidRPr="00AA43FB">
        <w:rPr>
          <w:iCs/>
        </w:rPr>
        <w:instrText>-</w:instrText>
      </w:r>
      <w:r w:rsidR="009D170B">
        <w:rPr>
          <w:iCs/>
          <w:lang w:val="en-US"/>
        </w:rPr>
        <w:instrText>particle</w:instrText>
      </w:r>
      <w:r w:rsidR="009D170B" w:rsidRPr="00AA43FB">
        <w:rPr>
          <w:iCs/>
        </w:rPr>
        <w:instrText>":"","</w:instrText>
      </w:r>
      <w:r w:rsidR="009D170B">
        <w:rPr>
          <w:iCs/>
          <w:lang w:val="en-US"/>
        </w:rPr>
        <w:instrText>family</w:instrText>
      </w:r>
      <w:r w:rsidR="009D170B" w:rsidRPr="00AA43FB">
        <w:rPr>
          <w:iCs/>
        </w:rPr>
        <w:instrText>":"</w:instrText>
      </w:r>
      <w:r w:rsidR="009D170B">
        <w:rPr>
          <w:iCs/>
          <w:lang w:val="en-US"/>
        </w:rPr>
        <w:instrText>Falanga</w:instrText>
      </w:r>
      <w:r w:rsidR="009D170B" w:rsidRPr="00AA43FB">
        <w:rPr>
          <w:iCs/>
        </w:rPr>
        <w:instrText>","</w:instrText>
      </w:r>
      <w:r w:rsidR="009D170B">
        <w:rPr>
          <w:iCs/>
          <w:lang w:val="en-US"/>
        </w:rPr>
        <w:instrText>given</w:instrText>
      </w:r>
      <w:r w:rsidR="009D170B" w:rsidRPr="00AA43FB">
        <w:rPr>
          <w:iCs/>
        </w:rPr>
        <w:instrText>":"</w:instrText>
      </w:r>
      <w:r w:rsidR="009D170B">
        <w:rPr>
          <w:iCs/>
          <w:lang w:val="en-US"/>
        </w:rPr>
        <w:instrText>Anna</w:instrText>
      </w:r>
      <w:r w:rsidR="009D170B" w:rsidRPr="00AA43FB">
        <w:rPr>
          <w:iCs/>
        </w:rPr>
        <w:instrText>","</w:instrText>
      </w:r>
      <w:r w:rsidR="009D170B">
        <w:rPr>
          <w:iCs/>
          <w:lang w:val="en-US"/>
        </w:rPr>
        <w:instrText>non</w:instrText>
      </w:r>
      <w:r w:rsidR="009D170B" w:rsidRPr="00AA43FB">
        <w:rPr>
          <w:iCs/>
        </w:rPr>
        <w:instrText>-</w:instrText>
      </w:r>
      <w:r w:rsidR="009D170B">
        <w:rPr>
          <w:iCs/>
          <w:lang w:val="en-US"/>
        </w:rPr>
        <w:instrText>dropping</w:instrText>
      </w:r>
      <w:r w:rsidR="009D170B" w:rsidRPr="00AA43FB">
        <w:rPr>
          <w:iCs/>
        </w:rPr>
        <w:instrText>-</w:instrText>
      </w:r>
      <w:r w:rsidR="009D170B">
        <w:rPr>
          <w:iCs/>
          <w:lang w:val="en-US"/>
        </w:rPr>
        <w:instrText>particle</w:instrText>
      </w:r>
      <w:r w:rsidR="009D170B" w:rsidRPr="00AA43FB">
        <w:rPr>
          <w:iCs/>
        </w:rPr>
        <w:instrText>":"","</w:instrText>
      </w:r>
      <w:r w:rsidR="009D170B">
        <w:rPr>
          <w:iCs/>
          <w:lang w:val="en-US"/>
        </w:rPr>
        <w:instrText>parse</w:instrText>
      </w:r>
      <w:r w:rsidR="009D170B" w:rsidRPr="00AA43FB">
        <w:rPr>
          <w:iCs/>
        </w:rPr>
        <w:instrText>-</w:instrText>
      </w:r>
      <w:r w:rsidR="009D170B">
        <w:rPr>
          <w:iCs/>
          <w:lang w:val="en-US"/>
        </w:rPr>
        <w:instrText>names</w:instrText>
      </w:r>
      <w:r w:rsidR="009D170B" w:rsidRPr="00AA43FB">
        <w:rPr>
          <w:iCs/>
        </w:rPr>
        <w:instrText>":</w:instrText>
      </w:r>
      <w:r w:rsidR="009D170B">
        <w:rPr>
          <w:iCs/>
          <w:lang w:val="en-US"/>
        </w:rPr>
        <w:instrText>false</w:instrText>
      </w:r>
      <w:r w:rsidR="009D170B" w:rsidRPr="00AA43FB">
        <w:rPr>
          <w:iCs/>
        </w:rPr>
        <w:instrText>,"</w:instrText>
      </w:r>
      <w:r w:rsidR="009D170B">
        <w:rPr>
          <w:iCs/>
          <w:lang w:val="en-US"/>
        </w:rPr>
        <w:instrText>suffix</w:instrText>
      </w:r>
      <w:r w:rsidR="009D170B" w:rsidRPr="00AA43FB">
        <w:rPr>
          <w:iCs/>
        </w:rPr>
        <w:instrText>":""},{"</w:instrText>
      </w:r>
      <w:r w:rsidR="009D170B">
        <w:rPr>
          <w:iCs/>
          <w:lang w:val="en-US"/>
        </w:rPr>
        <w:instrText>dropping</w:instrText>
      </w:r>
      <w:r w:rsidR="009D170B" w:rsidRPr="00AA43FB">
        <w:rPr>
          <w:iCs/>
        </w:rPr>
        <w:instrText>-</w:instrText>
      </w:r>
      <w:r w:rsidR="009D170B">
        <w:rPr>
          <w:iCs/>
          <w:lang w:val="en-US"/>
        </w:rPr>
        <w:instrText>particle</w:instrText>
      </w:r>
      <w:r w:rsidR="009D170B" w:rsidRPr="00AA43FB">
        <w:rPr>
          <w:iCs/>
        </w:rPr>
        <w:instrText>":"","</w:instrText>
      </w:r>
      <w:r w:rsidR="009D170B">
        <w:rPr>
          <w:iCs/>
          <w:lang w:val="en-US"/>
        </w:rPr>
        <w:instrText>family</w:instrText>
      </w:r>
      <w:r w:rsidR="009D170B" w:rsidRPr="00AA43FB">
        <w:rPr>
          <w:iCs/>
        </w:rPr>
        <w:instrText>":"</w:instrText>
      </w:r>
      <w:r w:rsidR="009D170B">
        <w:rPr>
          <w:iCs/>
          <w:lang w:val="en-US"/>
        </w:rPr>
        <w:instrText>Khorana</w:instrText>
      </w:r>
      <w:r w:rsidR="009D170B" w:rsidRPr="00AA43FB">
        <w:rPr>
          <w:iCs/>
        </w:rPr>
        <w:instrText>","</w:instrText>
      </w:r>
      <w:r w:rsidR="009D170B">
        <w:rPr>
          <w:iCs/>
          <w:lang w:val="en-US"/>
        </w:rPr>
        <w:instrText>given</w:instrText>
      </w:r>
      <w:r w:rsidR="009D170B" w:rsidRPr="00AA43FB">
        <w:rPr>
          <w:iCs/>
        </w:rPr>
        <w:instrText>":"</w:instrText>
      </w:r>
      <w:r w:rsidR="009D170B">
        <w:rPr>
          <w:iCs/>
          <w:lang w:val="en-US"/>
        </w:rPr>
        <w:instrText>Alok</w:instrText>
      </w:r>
      <w:r w:rsidR="009D170B" w:rsidRPr="00AA43FB">
        <w:rPr>
          <w:iCs/>
        </w:rPr>
        <w:instrText xml:space="preserve"> </w:instrText>
      </w:r>
      <w:r w:rsidR="009D170B">
        <w:rPr>
          <w:iCs/>
          <w:lang w:val="en-US"/>
        </w:rPr>
        <w:instrText>A</w:instrText>
      </w:r>
      <w:r w:rsidR="009D170B" w:rsidRPr="00AA43FB">
        <w:rPr>
          <w:iCs/>
        </w:rPr>
        <w:instrText>.","</w:instrText>
      </w:r>
      <w:r w:rsidR="009D170B">
        <w:rPr>
          <w:iCs/>
          <w:lang w:val="en-US"/>
        </w:rPr>
        <w:instrText>non</w:instrText>
      </w:r>
      <w:r w:rsidR="009D170B" w:rsidRPr="00AA43FB">
        <w:rPr>
          <w:iCs/>
        </w:rPr>
        <w:instrText>-</w:instrText>
      </w:r>
      <w:r w:rsidR="009D170B">
        <w:rPr>
          <w:iCs/>
          <w:lang w:val="en-US"/>
        </w:rPr>
        <w:instrText>dropping</w:instrText>
      </w:r>
      <w:r w:rsidR="009D170B" w:rsidRPr="00AA43FB">
        <w:rPr>
          <w:iCs/>
        </w:rPr>
        <w:instrText>-</w:instrText>
      </w:r>
      <w:r w:rsidR="009D170B">
        <w:rPr>
          <w:iCs/>
          <w:lang w:val="en-US"/>
        </w:rPr>
        <w:instrText>particle</w:instrText>
      </w:r>
      <w:r w:rsidR="009D170B" w:rsidRPr="00AA43FB">
        <w:rPr>
          <w:iCs/>
        </w:rPr>
        <w:instrText>":"","</w:instrText>
      </w:r>
      <w:r w:rsidR="009D170B">
        <w:rPr>
          <w:iCs/>
          <w:lang w:val="en-US"/>
        </w:rPr>
        <w:instrText>parse</w:instrText>
      </w:r>
      <w:r w:rsidR="009D170B" w:rsidRPr="00AA43FB">
        <w:rPr>
          <w:iCs/>
        </w:rPr>
        <w:instrText>-</w:instrText>
      </w:r>
      <w:r w:rsidR="009D170B">
        <w:rPr>
          <w:iCs/>
          <w:lang w:val="en-US"/>
        </w:rPr>
        <w:instrText>names</w:instrText>
      </w:r>
      <w:r w:rsidR="009D170B" w:rsidRPr="00AA43FB">
        <w:rPr>
          <w:iCs/>
        </w:rPr>
        <w:instrText>":</w:instrText>
      </w:r>
      <w:r w:rsidR="009D170B">
        <w:rPr>
          <w:iCs/>
          <w:lang w:val="en-US"/>
        </w:rPr>
        <w:instrText>false</w:instrText>
      </w:r>
      <w:r w:rsidR="009D170B" w:rsidRPr="00AA43FB">
        <w:rPr>
          <w:iCs/>
        </w:rPr>
        <w:instrText>,"</w:instrText>
      </w:r>
      <w:r w:rsidR="009D170B">
        <w:rPr>
          <w:iCs/>
          <w:lang w:val="en-US"/>
        </w:rPr>
        <w:instrText>suffix</w:instrText>
      </w:r>
      <w:r w:rsidR="009D170B" w:rsidRPr="00AA43FB">
        <w:rPr>
          <w:iCs/>
        </w:rPr>
        <w:instrText>":""}],"</w:instrText>
      </w:r>
      <w:r w:rsidR="009D170B">
        <w:rPr>
          <w:iCs/>
          <w:lang w:val="en-US"/>
        </w:rPr>
        <w:instrText>container</w:instrText>
      </w:r>
      <w:r w:rsidR="009D170B" w:rsidRPr="00AA43FB">
        <w:rPr>
          <w:iCs/>
        </w:rPr>
        <w:instrText>-</w:instrText>
      </w:r>
      <w:r w:rsidR="009D170B">
        <w:rPr>
          <w:iCs/>
          <w:lang w:val="en-US"/>
        </w:rPr>
        <w:instrText>title</w:instrText>
      </w:r>
      <w:r w:rsidR="009D170B" w:rsidRPr="00AA43FB">
        <w:rPr>
          <w:iCs/>
        </w:rPr>
        <w:instrText>":"</w:instrText>
      </w:r>
      <w:r w:rsidR="009D170B">
        <w:rPr>
          <w:iCs/>
          <w:lang w:val="en-US"/>
        </w:rPr>
        <w:instrText>The</w:instrText>
      </w:r>
      <w:r w:rsidR="009D170B" w:rsidRPr="00AA43FB">
        <w:rPr>
          <w:iCs/>
        </w:rPr>
        <w:instrText xml:space="preserve"> </w:instrText>
      </w:r>
      <w:r w:rsidR="009D170B">
        <w:rPr>
          <w:iCs/>
          <w:lang w:val="en-US"/>
        </w:rPr>
        <w:instrText>Oncologist</w:instrText>
      </w:r>
      <w:r w:rsidR="009D170B" w:rsidRPr="00AA43FB">
        <w:rPr>
          <w:iCs/>
        </w:rPr>
        <w:instrText>","</w:instrText>
      </w:r>
      <w:r w:rsidR="009D170B">
        <w:rPr>
          <w:iCs/>
          <w:lang w:val="en-US"/>
        </w:rPr>
        <w:instrText>id</w:instrText>
      </w:r>
      <w:r w:rsidR="009D170B" w:rsidRPr="00AA43FB">
        <w:rPr>
          <w:iCs/>
        </w:rPr>
        <w:instrText>":"</w:instrText>
      </w:r>
      <w:r w:rsidR="009D170B">
        <w:rPr>
          <w:iCs/>
          <w:lang w:val="en-US"/>
        </w:rPr>
        <w:instrText>ITEM</w:instrText>
      </w:r>
      <w:r w:rsidR="009D170B" w:rsidRPr="00AA43FB">
        <w:rPr>
          <w:iCs/>
        </w:rPr>
        <w:instrText>-1","</w:instrText>
      </w:r>
      <w:r w:rsidR="009D170B">
        <w:rPr>
          <w:iCs/>
          <w:lang w:val="en-US"/>
        </w:rPr>
        <w:instrText>issue</w:instrText>
      </w:r>
      <w:r w:rsidR="009D170B" w:rsidRPr="00AA43FB">
        <w:rPr>
          <w:iCs/>
        </w:rPr>
        <w:instrText>":"7","</w:instrText>
      </w:r>
      <w:r w:rsidR="009D170B">
        <w:rPr>
          <w:iCs/>
          <w:lang w:val="en-US"/>
        </w:rPr>
        <w:instrText>issued</w:instrText>
      </w:r>
      <w:r w:rsidR="009D170B" w:rsidRPr="00AA43FB">
        <w:rPr>
          <w:iCs/>
        </w:rPr>
        <w:instrText>":{"</w:instrText>
      </w:r>
      <w:r w:rsidR="009D170B">
        <w:rPr>
          <w:iCs/>
          <w:lang w:val="en-US"/>
        </w:rPr>
        <w:instrText>date</w:instrText>
      </w:r>
      <w:r w:rsidR="009D170B" w:rsidRPr="00AA43FB">
        <w:rPr>
          <w:iCs/>
        </w:rPr>
        <w:instrText>-</w:instrText>
      </w:r>
      <w:r w:rsidR="009D170B">
        <w:rPr>
          <w:iCs/>
          <w:lang w:val="en-US"/>
        </w:rPr>
        <w:instrText>parts</w:instrText>
      </w:r>
      <w:r w:rsidR="009D170B" w:rsidRPr="00AA43FB">
        <w:rPr>
          <w:iCs/>
        </w:rPr>
        <w:instrText>":[["2016","7"]]},"</w:instrText>
      </w:r>
      <w:r w:rsidR="009D170B">
        <w:rPr>
          <w:iCs/>
          <w:lang w:val="en-US"/>
        </w:rPr>
        <w:instrText>page</w:instrText>
      </w:r>
      <w:r w:rsidR="009D170B" w:rsidRPr="00AA43FB">
        <w:rPr>
          <w:iCs/>
        </w:rPr>
        <w:instrText>":"861-867","</w:instrText>
      </w:r>
      <w:r w:rsidR="009D170B">
        <w:rPr>
          <w:iCs/>
          <w:lang w:val="en-US"/>
        </w:rPr>
        <w:instrText>publisher</w:instrText>
      </w:r>
      <w:r w:rsidR="009D170B" w:rsidRPr="00AA43FB">
        <w:rPr>
          <w:iCs/>
        </w:rPr>
        <w:instrText>":"</w:instrText>
      </w:r>
      <w:r w:rsidR="009D170B">
        <w:rPr>
          <w:iCs/>
          <w:lang w:val="en-US"/>
        </w:rPr>
        <w:instrText>Alphamed</w:instrText>
      </w:r>
      <w:r w:rsidR="009D170B" w:rsidRPr="00AA43FB">
        <w:rPr>
          <w:iCs/>
        </w:rPr>
        <w:instrText xml:space="preserve"> </w:instrText>
      </w:r>
      <w:r w:rsidR="009D170B">
        <w:rPr>
          <w:iCs/>
          <w:lang w:val="en-US"/>
        </w:rPr>
        <w:instrText>Press</w:instrText>
      </w:r>
      <w:r w:rsidR="009D170B" w:rsidRPr="00AA43FB">
        <w:rPr>
          <w:iCs/>
        </w:rPr>
        <w:instrText>","</w:instrText>
      </w:r>
      <w:r w:rsidR="009D170B">
        <w:rPr>
          <w:iCs/>
          <w:lang w:val="en-US"/>
        </w:rPr>
        <w:instrText>title</w:instrText>
      </w:r>
      <w:r w:rsidR="009D170B" w:rsidRPr="00AA43FB">
        <w:rPr>
          <w:iCs/>
        </w:rPr>
        <w:instrText>":"</w:instrText>
      </w:r>
      <w:r w:rsidR="009D170B">
        <w:rPr>
          <w:iCs/>
          <w:lang w:val="en-US"/>
        </w:rPr>
        <w:instrText>A</w:instrText>
      </w:r>
      <w:r w:rsidR="009D170B" w:rsidRPr="00AA43FB">
        <w:rPr>
          <w:iCs/>
        </w:rPr>
        <w:instrText xml:space="preserve"> </w:instrText>
      </w:r>
      <w:r w:rsidR="009D170B">
        <w:rPr>
          <w:iCs/>
          <w:lang w:val="en-US"/>
        </w:rPr>
        <w:instrText>Validated</w:instrText>
      </w:r>
      <w:r w:rsidR="009D170B" w:rsidRPr="00AA43FB">
        <w:rPr>
          <w:iCs/>
        </w:rPr>
        <w:instrText xml:space="preserve"> </w:instrText>
      </w:r>
      <w:r w:rsidR="009D170B">
        <w:rPr>
          <w:iCs/>
          <w:lang w:val="en-US"/>
        </w:rPr>
        <w:instrText>Risk</w:instrText>
      </w:r>
      <w:r w:rsidR="009D170B" w:rsidRPr="00AA43FB">
        <w:rPr>
          <w:iCs/>
        </w:rPr>
        <w:instrText xml:space="preserve"> </w:instrText>
      </w:r>
      <w:r w:rsidR="009D170B">
        <w:rPr>
          <w:iCs/>
          <w:lang w:val="en-US"/>
        </w:rPr>
        <w:instrText>Score</w:instrText>
      </w:r>
      <w:r w:rsidR="009D170B" w:rsidRPr="00AA43FB">
        <w:rPr>
          <w:iCs/>
        </w:rPr>
        <w:instrText xml:space="preserve"> </w:instrText>
      </w:r>
      <w:r w:rsidR="009D170B">
        <w:rPr>
          <w:iCs/>
          <w:lang w:val="en-US"/>
        </w:rPr>
        <w:instrText>for Venous Thromboembolism Is Predictive of Cancer Progression and Mortality","type":"article-journal","volume":"21"},"uris":["http://www.mendeley.com/documents/?uuid=18a4966e-5d62-3c04-83a9-fd95d5e2da41"]},{"id":"ITEM-2","itemData":{"DOI":"10.1016/s0049-3848(16)30136-0","ISSN":"00493848","abstract":"BACKGROUND\\nRecent studies show that the risk of VTE in NHL pts is similar to that observed in high risk solid tumors (i.e. pancreatic, ovarian cancer). VTE in NHL occurs in most cases within three months from diagnosis and can have substantial impact on treatment delivery and outcome as well as on quality of life. However few data are available on potential predictors. \\n\\nAIMS\\nTo better clarify the epidemiology of early (within six months from treatment start) VTE in NHL we conducted a pooled data analysis of 12 clinical trials from FIL. Our analysis included basic demographic features, lymphoma-related characteristics as well the Khorana score (based on histology, BMI, platelets WBC and HB counts) which is extensively used in solid tumors to predict VTE risk. \\n\\nPATIENTS AND METHODS\\nFrom Jan. 2010 to Dec. 2014, all pts with B-cell NHL enrolled in prospective clinical trials from FIL for frontline treatment were included. For 9 studies study period included the entire trial population was included. The analyses were conducted based on CRFs as well as pharmacovigilance reports. VTE definition and grading was stated according to standard criteria of toxicity (CTCAE V4.0). Cumulative incidence of VTE from the study enrollment was estimated using the method described by Gooley et al. accounting for death from any causes as a competing risk. The Fine &amp; Gray survival model was used to identify predictors of VTE among NHL pts. Factors predicting the grade of VTE were investigated using an ordinal logistic regression model. This pooled data analysis was approved by local IRB. \\n\\nRESULTS\\nOverall, 1,717 patients belonging to 12 studies were evaluated. Eight were phase I/II or II (25% of pts) and 4 phase III (75% of pts). M/F ratio was 1.41, Median age was 57, (IQ range (IQR) 49-66). Histologies were: DLCL-B 34%, FL 41%, MCL 18%, other 6%. Median BMI was 25 (IQR 22-28). Median Hb, WBC and platelets counts were 13g/dl) (IQR 11.5-14.2), 7.1*10^9/l (IQR 5.6-10.3), 224*10^9/l (IQR 169-298), respectively. 1189 pts were evaluable Khorana score: 58% low risk, 30% intermediate risk, 12% were high risk. Human erythropoetin support was given to 9% of patients. All pts received Rituximab. Planned therapeutic programs included ASCT in 27% of pts, conventional chemotherapy in 67% a conventional chemotherapy plus lenalidomide in 6%. Overall 59 any grade VTE episodes occurred in 51 pts (2.9%), including 21 grade III-IV VTE (18 pts). None was fatal. Median time from study …","author":[{"dropping-particle":"","family":"Santi","given":"R.M.","non-dropping-particle":"","parse-names":false,"suffix":""},{"dropping-particle":"","family":"Ceccarelli","given":"M.","non-dropping-particle":"","parse-names":false,"suffix":""},{"dropping-particle":"","family":"Catania","given":"G.","non-dropping-particle":"","parse-names":false,"suffix":""},{"dropping-particle":"","family":"Monagheddu","given":"C.","non-dropping-particle":"","parse-names":false,"suffix":""},{"dropping-particle":"","family":"Evangelista","given":"A.","non-dropping-particle":"","parse-names":false,"suffix":""},{"dropping-particle":"","family":"Bernocco","given":"E.","non-dropping-particle":"","parse-names":false,"suffix":""},{"dropping-particle":"","family":"Monaco","given":"F.","non-dropping-particle":"","parse-names":false,"suffix":""},{"dropping-particle":"","family":"Federico","given":"M.","non-dropping-particle":"","parse-names":false,"suffix":""},{"dropping-particle":"","family":"Vitolo","given":"U.","non-dropping-particle":"","parse-names":false,"suffix":""},{"dropping-particle":"","family":"Cortelazzo","given":"S.","non-dropping-particle":"","parse-names":false,"suffix":""},{"dropping-particle":"","family":"Cabras","given":"M.G.","non-dropping-particle":"","parse-names":false,"suffix":""},{"dropping-particle":"","family":"Spina","given":"M.","non-dropping-particle":"","parse-names":false,"suffix":""},{"dropping-particle":"","family":"Baldini","given":"L.","non-dropping-particle":"","parse-names":false,"suffix":""},{"dropping-particle":"","family":"Boccomini","given":"C.","non-dropping-particle":"","parse-names":false,"suffix":""},{"dropping-particle":"","family":"Chiappella","given":"A.","non-dropping-particle":"","parse-names":false,"suffix":""},{"dropping-particle":"","family":"Bari","given":"A.","non-dropping-particle":"","parse-names":false,"suffix":""},{"dropping-particle":"","family":"Luminari","given":"S.","non-dropping-particle":"","parse-names":false,"suffix":""},{"dropping-particle":"","family":"Calabrese","given":"M.","non-dropping-particle":"","parse-names":false,"suffix":""},{"dropping-particle":"","family":"Levis","given":"A.","non-dropping-particle":"","parse-names":false,"suffix":""},{"dropping-particle":"","family":"Visco","given":"C.","non-dropping-particle":"","parse-names":false,"suffix":""},{"dropping-particle":"","family":"Contino","given":"L.","non-dropping-particle":"","parse-names":false,"suffix":""},{"dropping-particle":"","family":"Ciccone","given":"G.","non-dropping-particle":"","parse-names":false,"suffix":""},{"dropping-particle":"","family":"Ladetto","given":"M.","non-dropping-particle":"","parse-names":false,"suffix":""}],"container-title":"Thrombosis Research","id":"ITEM-2","issued":{"date-parts":[["2016","4","1"]]},"page":"S177","publisher":"Elsevier BV","title":"PO-03 - Khorana score and histotype predict the incidence of early venous thromboembolism (VTE) in Non Hodgkin Lymphoma (NHL). A pooled data analysis of twelve clinical trials of Fondazione Italiana Linfomi (FIL)","type":"article-journal","volume":"140"},"uris":["http://www.mendeley.com/documents/?uuid=f8991f19-b353-3dbf-93ae-ea021c37a7dc"]}],"mendeley":{"formattedCitation":"[29,30]","plainTextFormattedCitation":"[29,30]","previouslyFormattedCitation":"[29,30]"},"properties":{"noteIndex":0},"schema":"https://github.com/citation-style-language/schema/raw/master/csl-citation.json"}</w:instrText>
      </w:r>
      <w:r w:rsidR="00C51648" w:rsidRPr="000322E4">
        <w:rPr>
          <w:iCs/>
          <w:lang w:val="en-US"/>
        </w:rPr>
        <w:fldChar w:fldCharType="separate"/>
      </w:r>
      <w:r w:rsidR="00095D58" w:rsidRPr="00095D58">
        <w:rPr>
          <w:iCs/>
          <w:noProof/>
          <w:lang w:val="en-US"/>
        </w:rPr>
        <w:t>[29,30]</w:t>
      </w:r>
      <w:r w:rsidR="00C51648" w:rsidRPr="000322E4">
        <w:rPr>
          <w:iCs/>
          <w:lang w:val="en-US"/>
        </w:rPr>
        <w:fldChar w:fldCharType="end"/>
      </w:r>
      <w:r w:rsidR="0052462B" w:rsidRPr="000322E4">
        <w:rPr>
          <w:iCs/>
        </w:rPr>
        <w:t>.</w:t>
      </w:r>
    </w:p>
    <w:p w14:paraId="6A46032F" w14:textId="77777777" w:rsidR="0052462B" w:rsidRPr="000322E4" w:rsidRDefault="0052462B" w:rsidP="00CA442F">
      <w:pPr>
        <w:spacing w:line="360" w:lineRule="auto"/>
        <w:ind w:left="709"/>
        <w:contextualSpacing/>
        <w:jc w:val="both"/>
        <w:divId w:val="266810958"/>
        <w:rPr>
          <w:b/>
        </w:rPr>
      </w:pPr>
      <w:r w:rsidRPr="000322E4">
        <w:rPr>
          <w:b/>
        </w:rPr>
        <w:t>Уровень убедительности рекомендаций С (уровень достоверности доказательств 5).</w:t>
      </w:r>
    </w:p>
    <w:p w14:paraId="1AF51731" w14:textId="50BFE77A" w:rsidR="00D67C73" w:rsidRPr="00095D58" w:rsidRDefault="00D67C73" w:rsidP="005F1C5F">
      <w:pPr>
        <w:spacing w:line="360" w:lineRule="auto"/>
        <w:ind w:firstLine="709"/>
        <w:contextualSpacing/>
        <w:jc w:val="both"/>
        <w:divId w:val="266810958"/>
        <w:rPr>
          <w:i/>
          <w:color w:val="000000" w:themeColor="text1"/>
        </w:rPr>
      </w:pPr>
      <w:r w:rsidRPr="000322E4">
        <w:rPr>
          <w:b/>
        </w:rPr>
        <w:t xml:space="preserve">Комментарий: </w:t>
      </w:r>
      <w:r w:rsidR="001532E4" w:rsidRPr="00095D58">
        <w:rPr>
          <w:i/>
          <w:color w:val="000000" w:themeColor="text1"/>
        </w:rPr>
        <w:t>исследование общего (клинического) анализа крови</w:t>
      </w:r>
      <w:r w:rsidR="001532E4" w:rsidRPr="00095D58">
        <w:rPr>
          <w:color w:val="000000" w:themeColor="text1"/>
        </w:rPr>
        <w:t xml:space="preserve"> </w:t>
      </w:r>
      <w:r w:rsidR="005A50FB" w:rsidRPr="00095D58">
        <w:rPr>
          <w:i/>
          <w:iCs/>
          <w:color w:val="000000" w:themeColor="text1"/>
        </w:rPr>
        <w:t>включает в себя дифференциальный подсчет клеток крови с использованием автоматического анализатора; исследование морфологии эритроцитов, тромбоцитов, лейкоцитов по мазку, при необходимости – оптический подсчет количества тромбоцитов (по Фонио)</w:t>
      </w:r>
      <w:r w:rsidRPr="00095D58">
        <w:rPr>
          <w:i/>
          <w:color w:val="000000" w:themeColor="text1"/>
        </w:rPr>
        <w:t>.</w:t>
      </w:r>
    </w:p>
    <w:p w14:paraId="47876E12" w14:textId="1A7098F7" w:rsidR="00F82D52" w:rsidRPr="000322E4" w:rsidRDefault="005F1C5F" w:rsidP="005F1C5F">
      <w:pPr>
        <w:pStyle w:val="a"/>
        <w:spacing w:before="0"/>
        <w:ind w:left="709"/>
        <w:divId w:val="266810958"/>
      </w:pPr>
      <w:r>
        <w:rPr>
          <w:color w:val="000000" w:themeColor="text1"/>
        </w:rPr>
        <w:t>П</w:t>
      </w:r>
      <w:r w:rsidR="00F82D52" w:rsidRPr="00095D58">
        <w:rPr>
          <w:color w:val="000000" w:themeColor="text1"/>
        </w:rPr>
        <w:t xml:space="preserve">ациентам </w:t>
      </w:r>
      <w:r w:rsidR="000958E3" w:rsidRPr="00095D58">
        <w:rPr>
          <w:color w:val="000000" w:themeColor="text1"/>
        </w:rPr>
        <w:t>с подозрением на ДВКЛ</w:t>
      </w:r>
      <w:r w:rsidR="00C16891" w:rsidRPr="00095D58">
        <w:rPr>
          <w:color w:val="000000" w:themeColor="text1"/>
        </w:rPr>
        <w:t xml:space="preserve">, ПМВКЛ, </w:t>
      </w:r>
      <w:r w:rsidR="009B70C4" w:rsidRPr="00095D58">
        <w:rPr>
          <w:color w:val="000000" w:themeColor="text1"/>
        </w:rPr>
        <w:t>ЛБ</w:t>
      </w:r>
      <w:r w:rsidR="000958E3" w:rsidRPr="00095D58">
        <w:rPr>
          <w:color w:val="000000" w:themeColor="text1"/>
        </w:rPr>
        <w:t xml:space="preserve"> или с верифицированной ДВКЛ</w:t>
      </w:r>
      <w:r w:rsidR="00C16891" w:rsidRPr="00095D58">
        <w:rPr>
          <w:color w:val="000000" w:themeColor="text1"/>
        </w:rPr>
        <w:t xml:space="preserve">, ПМВКЛ, </w:t>
      </w:r>
      <w:r w:rsidR="009B70C4" w:rsidRPr="00095D58">
        <w:rPr>
          <w:color w:val="000000" w:themeColor="text1"/>
        </w:rPr>
        <w:t>ЛБ</w:t>
      </w:r>
      <w:r w:rsidR="000958E3" w:rsidRPr="00095D58">
        <w:rPr>
          <w:color w:val="000000" w:themeColor="text1"/>
        </w:rPr>
        <w:t xml:space="preserve"> при выявлении лимфоцитоза в общем </w:t>
      </w:r>
      <w:r w:rsidR="00E0494A" w:rsidRPr="00095D58">
        <w:rPr>
          <w:color w:val="000000" w:themeColor="text1"/>
        </w:rPr>
        <w:t xml:space="preserve">(клиническом) </w:t>
      </w:r>
      <w:r w:rsidR="000958E3" w:rsidRPr="00095D58">
        <w:rPr>
          <w:color w:val="000000" w:themeColor="text1"/>
        </w:rPr>
        <w:t xml:space="preserve">анализе крови (независимо от числа лейкоцитов), а также при преобладании лимфоидных клеток, атипичных лимфоцитов или клеток с бластной морфологией </w:t>
      </w:r>
      <w:r w:rsidR="006F4D87" w:rsidRPr="00095D58">
        <w:rPr>
          <w:color w:val="000000" w:themeColor="text1"/>
        </w:rPr>
        <w:t xml:space="preserve">в крови или в другом биологическом субстрате </w:t>
      </w:r>
      <w:r w:rsidR="000958E3" w:rsidRPr="00095D58">
        <w:rPr>
          <w:color w:val="000000" w:themeColor="text1"/>
        </w:rPr>
        <w:t>на любом этапе диагностики и лечения</w:t>
      </w:r>
      <w:r w:rsidR="00F82D52" w:rsidRPr="00095D58">
        <w:rPr>
          <w:color w:val="000000" w:themeColor="text1"/>
        </w:rPr>
        <w:t xml:space="preserve"> </w:t>
      </w:r>
      <w:r w:rsidR="00F82D52" w:rsidRPr="00095D58">
        <w:rPr>
          <w:b/>
          <w:color w:val="000000" w:themeColor="text1"/>
        </w:rPr>
        <w:t>рекомендуется</w:t>
      </w:r>
      <w:r w:rsidR="00F82D52" w:rsidRPr="00095D58">
        <w:rPr>
          <w:color w:val="000000" w:themeColor="text1"/>
        </w:rPr>
        <w:t xml:space="preserve"> </w:t>
      </w:r>
      <w:r w:rsidR="000958E3" w:rsidRPr="00095D58">
        <w:rPr>
          <w:color w:val="000000" w:themeColor="text1"/>
        </w:rPr>
        <w:t xml:space="preserve">выполнение иммунофенотипирования </w:t>
      </w:r>
      <w:r w:rsidR="00E0494A" w:rsidRPr="00095D58">
        <w:rPr>
          <w:color w:val="000000" w:themeColor="text1"/>
        </w:rPr>
        <w:t xml:space="preserve">периферической крови </w:t>
      </w:r>
      <w:r w:rsidR="00C16891" w:rsidRPr="00095D58">
        <w:rPr>
          <w:color w:val="000000" w:themeColor="text1"/>
        </w:rPr>
        <w:t xml:space="preserve">(ИФТ) </w:t>
      </w:r>
      <w:r w:rsidR="00E0494A" w:rsidRPr="00095D58">
        <w:rPr>
          <w:color w:val="000000" w:themeColor="text1"/>
        </w:rPr>
        <w:t xml:space="preserve">для </w:t>
      </w:r>
      <w:r w:rsidR="00E0494A" w:rsidRPr="000322E4">
        <w:t>выявления субпопуляционного состава лимфоцитов</w:t>
      </w:r>
      <w:r w:rsidR="00F82D52" w:rsidRPr="000322E4">
        <w:t xml:space="preserve"> </w:t>
      </w:r>
      <w:r w:rsidR="00F82D52" w:rsidRPr="000322E4">
        <w:fldChar w:fldCharType="begin" w:fldLock="1"/>
      </w:r>
      <w:r w:rsidR="009D170B">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id":"ITEM-2","itemData":{"DOI":"10.1093/annonc/mdv304","ISSN":"1569-8041","PMID":"26314773","author":[{"dropping-particle":"","family":"Tilly","given":"H","non-dropping-particle":"","parse-names":false,"suffix":""},{"dropping-particle":"","family":"Gomes da Silva","given":"M","non-dropping-particle":"","parse-names":false,"suffix":""},{"dropping-particle":"","family":"Vitolo","given":"U","non-dropping-particle":"","parse-names":false,"suffix":""},{"dropping-particle":"","family":"Jack","given":"A","non-dropping-particle":"","parse-names":false,"suffix":""},{"dropping-particle":"","family":"Meignan","given":"M","non-dropping-particle":"","parse-names":false,"suffix":""},{"dropping-particle":"","family":"Lopez-Guillermo","given":"A","non-dropping-particle":"","parse-names":false,"suffix":""},{"dropping-particle":"","family":"Walewski","given":"J","non-dropping-particle":"","parse-names":false,"suffix":""},{"dropping-particle":"","family":"André","given":"M","non-dropping-particle":"","parse-names":false,"suffix":""},{"dropping-particle":"","family":"Johnson","given":"P W","non-dropping-particle":"","parse-names":false,"suffix":""},{"dropping-particle":"","family":"Pfreundschuh","given":"M","non-dropping-particle":"","parse-names":false,"suffix":""},{"dropping-particle":"","family":"Ladetto","given":"M","non-dropping-particle":"","parse-names":false,"suffix":""},{"dropping-particle":"","family":"ESMO Guidelines Committee","given":"","non-dropping-particle":"","parse-names":false,"suffix":""}],"container-title":"Annals of oncology : official journal of the European Society for Medical Oncology","id":"ITEM-2","issued":{"date-parts":[["2015","9"]]},"page":"v116-25","title":"Diffuse large B-cell lymphoma (DLBCL): ESMO Clinical Practice Guidelines for diagnosis, treatment and follow-up.","type":"article-journal","volume":"26 Suppl 5"},"uris":["http://www.mendeley.com/documents/?uuid=1697b7a7-5190-39af-8155-3d2b075b5466"]}],"mendeley":{"formattedCitation":"[27,28]","plainTextFormattedCitation":"[27,28]","previouslyFormattedCitation":"[27,28]"},"properties":{"noteIndex":0},"schema":"https://github.com/citation-style-language/schema/raw/master/csl-citation.json"}</w:instrText>
      </w:r>
      <w:r w:rsidR="00F82D52" w:rsidRPr="000322E4">
        <w:fldChar w:fldCharType="separate"/>
      </w:r>
      <w:r w:rsidR="00095D58" w:rsidRPr="00095D58">
        <w:rPr>
          <w:noProof/>
        </w:rPr>
        <w:t>[27,28]</w:t>
      </w:r>
      <w:r w:rsidR="00F82D52" w:rsidRPr="000322E4">
        <w:fldChar w:fldCharType="end"/>
      </w:r>
      <w:r w:rsidR="00F82D52" w:rsidRPr="000322E4">
        <w:t xml:space="preserve">. </w:t>
      </w:r>
    </w:p>
    <w:p w14:paraId="31967604" w14:textId="77777777" w:rsidR="00F82D52" w:rsidRPr="000322E4" w:rsidRDefault="00F82D52" w:rsidP="00CA442F">
      <w:pPr>
        <w:spacing w:line="360" w:lineRule="auto"/>
        <w:ind w:left="709"/>
        <w:contextualSpacing/>
        <w:jc w:val="both"/>
        <w:divId w:val="266810958"/>
        <w:rPr>
          <w:b/>
        </w:rPr>
      </w:pPr>
      <w:r w:rsidRPr="000322E4">
        <w:rPr>
          <w:b/>
        </w:rPr>
        <w:t>Уровень убедительности рекомендаций С (уровень достоверности доказательств 5).</w:t>
      </w:r>
    </w:p>
    <w:p w14:paraId="743A4A3F" w14:textId="77777777" w:rsidR="000958E3" w:rsidRPr="000322E4" w:rsidRDefault="000958E3" w:rsidP="005F1C5F">
      <w:pPr>
        <w:spacing w:line="360" w:lineRule="auto"/>
        <w:ind w:firstLine="709"/>
        <w:contextualSpacing/>
        <w:jc w:val="both"/>
        <w:divId w:val="266810958"/>
        <w:rPr>
          <w:b/>
        </w:rPr>
      </w:pPr>
      <w:r w:rsidRPr="000322E4">
        <w:rPr>
          <w:b/>
        </w:rPr>
        <w:t xml:space="preserve">Комментарий: </w:t>
      </w:r>
      <w:r w:rsidRPr="000322E4">
        <w:rPr>
          <w:i/>
        </w:rPr>
        <w:t xml:space="preserve">выполнение ИФТ желательно при наличии лимфоцитоза в общем анализе крови (независимо от числа лейкоцитов), а также при преобладании лимфоидных клеток, атипичных лимфоцитов или клеток с бластной морфологией в плевральной, асцитической или других биологических жидкостях. Выполнение ИФТ позволяет быстро провести дифференциальную диагностику опухолевого и реактивного лимфоцитоза, что важно для определения дальнейшей тактики обследования пациента. Материалом для ИФТ могут служить клетки крови, костного мозга, выпотных жидкостей, </w:t>
      </w:r>
      <w:r w:rsidR="00E0494A" w:rsidRPr="000322E4">
        <w:rPr>
          <w:i/>
        </w:rPr>
        <w:t>спинномозговой жидкости</w:t>
      </w:r>
      <w:r w:rsidRPr="000322E4">
        <w:rPr>
          <w:i/>
        </w:rPr>
        <w:t xml:space="preserve">, гомогенизированные образцы тканей (селезенка, лимфатические узлы и т.д.), клеточная суспензия, полученная при аспирационной тонкоигольной пункции лимфатических узлов. Минимальная ИФТ - панель должна включать оценку </w:t>
      </w:r>
      <w:r w:rsidRPr="000322E4">
        <w:rPr>
          <w:i/>
        </w:rPr>
        <w:lastRenderedPageBreak/>
        <w:t>экспрессии CD19, CD20, CD10, CD5, СД23, CD3, CD45, легкие цепи иммуноглобулинов (Ig-kappa, Ig-lambda).</w:t>
      </w:r>
      <w:r w:rsidRPr="000322E4">
        <w:rPr>
          <w:i/>
          <w:iCs/>
        </w:rPr>
        <w:t>бъем исследования включает в себя дифференциальный подсчет.</w:t>
      </w:r>
    </w:p>
    <w:p w14:paraId="7B3F4812" w14:textId="7FF40434" w:rsidR="000958E3" w:rsidRPr="000322E4" w:rsidRDefault="00BC33D5" w:rsidP="005F1C5F">
      <w:pPr>
        <w:pStyle w:val="a"/>
        <w:spacing w:before="0"/>
        <w:ind w:left="709"/>
        <w:divId w:val="266810958"/>
      </w:pPr>
      <w:r>
        <w:t>П</w:t>
      </w:r>
      <w:r w:rsidR="000958E3" w:rsidRPr="000322E4">
        <w:t>ациентам с ДВКЛ</w:t>
      </w:r>
      <w:r w:rsidR="009B70C4" w:rsidRPr="000322E4">
        <w:t>, ПМВКЛ</w:t>
      </w:r>
      <w:r w:rsidR="00E5278F">
        <w:t>,</w:t>
      </w:r>
      <w:r w:rsidR="009B70C4" w:rsidRPr="000322E4">
        <w:t xml:space="preserve"> ЛБ</w:t>
      </w:r>
      <w:r w:rsidR="000958E3" w:rsidRPr="000322E4">
        <w:t xml:space="preserve"> при наличии клинических или лабораторных признаков гемолиза перед проведением первой линии противоопухолевой терапии </w:t>
      </w:r>
      <w:r w:rsidR="000958E3" w:rsidRPr="000322E4">
        <w:rPr>
          <w:b/>
        </w:rPr>
        <w:t>рекомендуется</w:t>
      </w:r>
      <w:r w:rsidR="000958E3" w:rsidRPr="000322E4">
        <w:t xml:space="preserve"> прямой антиглобулиновый тест (прямая проба Кумбса)</w:t>
      </w:r>
      <w:r w:rsidR="00527A4D" w:rsidRPr="000322E4">
        <w:t xml:space="preserve"> для уточнения причины гемолиза </w:t>
      </w:r>
      <w:r w:rsidR="000958E3" w:rsidRPr="000322E4">
        <w:t xml:space="preserve"> </w:t>
      </w:r>
      <w:r w:rsidR="000958E3" w:rsidRPr="000322E4">
        <w:fldChar w:fldCharType="begin" w:fldLock="1"/>
      </w:r>
      <w:r w:rsidR="009D170B">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лимфом","type":"chapter"},"uris":["http://www.mendeley.com/documents/?uuid=d7eb85a2-da5e-400d-b112-7f0a5734958d"]},{"id":"ITEM-2","itemData":{"DOI":"10.7534/j.issn.1009-2137.2013.03.019","ISSN":"10092137","abstract":"This study was purpose to investigate the clinical characteristics of B-cell chronic lymphoproliferative disorders (B-CLPD) complicated by autoimmune hemolytic anemia (AIHA) so as to improve the understanding of this disease. The clinical characteristics, laboratory data, therapy and outcome of 14 patients suffering from B-CLPD complicated by AIHA were retrospectively analyzed in Wuxi People Hospital and the First Affiliated Hospital of Nanjing Medical University from 2000 to 2012. The results showed that 9 cases of the 14 patients were patients with chronic lymphocytic leukemia (CLL), 5 cases were patients with lymphoma, at time of hemolysis the median level of hemoglobin was 61 (33 - 84)g/L, the median ratio of reticulocytes was 12.0 (3.1 - 35.0)%, the positive rate of Coombs test was 100%. 1 case received corticosteroid alone, 5 cases were treated with chemotherapy combined with corticosteroid, 8 cases were treated with immunochemotherapy rituximab combined with corticosteroid. Overall response rate was 100%, in which CR was 78.6% (11/14), PR was 21.4% (3/14). The follow-up for these patients were performed to now, 35.7% (5/14) patients relapsed with hemolysis again, but they showed therapeutic response to treatment with above-mentioned therapy. From patients treated with rituximab alone, only 1 patient relapsed. Among 14 patients, 6 cases died, 1 case was lost, the other cases are still alive. It is concluded that the AIHA is the commonest complication of B-CLPD, it can be observed at different stages of B-CLPD, the treatment with corticosteroids can give well therapeutic effect for these patients, but the long time CR is lower, the rituximab has been confirmed to be effective for B-CLPD complicated by AIHA.","author":[{"dropping-particle":"","family":"Zhuang","given":"Yun","non-dropping-particle":"","parse-names":false,"suffix":""},{"dropping-particle":"","family":"Fan","given":"Lei","non-dropping-particle":"","parse-names":false,"suffix":""},{"dropping-particle":"","family":"Shen","given":"Yun Feng","non-dropping-particle":"","parse-names":false,"suffix":""},{"dropping-particle":"","family":"Xu","given":"Wei","non-dropping-particle":"","parse-names":false,"suffix":""},{"dropping-particle":"","family":"Li","given":"Jian Yong","non-dropping-particle":"","parse-names":false,"suffix":""}],"container-title":"Zhongguo shi yan xue ye xue za zhi / Zhongguo bing li sheng li xue hui = Journal of experimental hematology / Chinese Association of Pathophysiology","id":"ITEM-2","issue":"3","issued":{"date-parts":[["2013","6"]]},"page":"633-636","title":"[Autoimmune hemolytic anemia associated with B-cell chronic lymphoproliferative disorders].","type":"article-journal","volume":"21"},"uris":["http://www.mendeley.com/documents/?uuid=d43fc990-5159-3b21-a018-24862dc86441"]},{"id":"ITEM-3","itemData":{"ISSN":"0485-1439","PMID":"17695307","abstract":"A 75-year-old woman was admitted for general fatigue. Diagnostic investigations showed no lymphadenopathy or hepatosplenomegaly. Laboratory examinations revealed severe anemia and an undetectable level of haptoglobin in the peripheral blood. A direct Coombs test was positive. Bone marrow examination showed abnormal, large, CD20-positive lymphocytes and erythroid hypoplasia. Accordingly, a diagnosis of primary diffuse large B-cell lymphoma (DLBCL) of the bone marrow with autoimmune hemolytic anemia (AIHA) and erythroid hypoplasia was made. The patient was treated with prednisolone and 3 courses of rituximab, followed by 6 courses of R-CHOP. AIHA and erythroid hypoplasia subsided after prednisolone and 3 courses of rituximab. Treatment with 6 courses of R-CHOP resulted in complete remission. Isolated bone marrow disease as a presenting feature of DLBCL is very rare. Although malignant lymphomas are often associated with immunologic disorders, this is the first report of diffuse large B-cell lymphoma with isolated bone marrow disease and simultaneous autoimmune hemolytic anemia and erythroid hypoplasia. This case provides valuable information concerning the pathophysiology of an immunologic anomaly with malignant lymphoma.","author":[{"dropping-particle":"","family":"Sumi","given":"Masahiko","non-dropping-particle":"","parse-names":false,"suffix":""},{"dropping-particle":"","family":"Ichikawa","given":"Naoaki","non-dropping-particle":"","parse-names":false,"suffix":""},{"dropping-particle":"","family":"Shimizu","given":"Ikuo","non-dropping-particle":"","parse-names":false,"suffix":""},{"dropping-particle":"","family":"Yotsumoto","given":"Mihoko","non-dropping-particle":"","parse-names":false,"suffix":""},{"dropping-particle":"","family":"Ueno","given":"Mayumi","non-dropping-particle":"","parse-names":false,"suffix":""},{"dropping-particle":"","family":"Kobayashi","given":"Hikaru","non-dropping-particle":"","parse-names":false,"suffix":""}],"container-title":"[Rinsho ketsueki] The Japanese journal of clinical hematology","id":"ITEM-3","issue":"7","issued":{"date-parts":[["2007","7"]]},"page":"571-5","title":"[Primary diffuse large B-cell lymphoma of the bone marrow complicated with autoimmune hemolytic anemia and erythroid hypoplasia].","type":"article-journal","volume":"48"},"uris":["http://www.mendeley.com/documents/?uuid=33f3bf3c-a54e-331c-8320-5a5e5695ed37"]},{"id":"ITEM-4","itemData":{"ISSN":"1009-2137","PMID":"22391174","abstract":"The cases of lymphoma accompanied or preceded by Coombs' test positive autoimmune hemolytic anemia (AIHA) have been reported. However, Coombs' test negative AIHA prior to the diagnosis of lymphoma was rarely described. Herein, this article reports a case of non-Hodgkin's lymphoma (NHL) preceded about 1.5 years by Coombs test negative AIHA. A woman aged 69 was diagnosed with HA based on the history and laboratory tests. Further studies revealed that this patient was negative with Coombs' test for IgG, IgM, IgA and C3. After all possible causes of HA, especially malignancies were ruled out, the patient was diagnosed with Coombs' test negative AIHA and treated with prednisolone. The patient responded well initially to steroid treatment. Two recurrences of acute HA were presented at time of 10 months post steroid cessation, and immediately after an attempt to withdraw steroid, respectively, but the hemolysis was effectively controlled by reinstitution of prednisolone. At third recurrence, however, the patient was no longer responding to steroid, and was found with cervical lymphadenopathy. Coombs' test for IgG, IgM, IgA and C3 remained negative. B cell NHL was diagnosed by pathology. After receiving 6 cycles of CHOP chemotherapy, the patient was lymphoma free, but the hemolysis was not improved, however, which was effectively controlled by the following low dose-rituximab (RTX) therapy. The patient was still kept in a remission of lymphoma free of anemia. In conclusion, this report presented a very rare case of NHL with Coombs' test negative AIHA as initial major clinical manifestation.","author":[{"dropping-particle":"","family":"Wan","given":"Sui-Gui","non-dropping-particle":"","parse-names":false,"suffix":""},{"dropping-particle":"","family":"Lin","given":"Yang","non-dropping-particle":"","parse-names":false,"suffix":""},{"dropping-particle":"","family":"Xia","given":"Chang-Qing","non-dropping-particle":"","parse-names":false,"suffix":""},{"dropping-particle":"","family":"Zhao","given":"Hong","non-dropping-particle":"","parse-names":false,"suffix":""},{"dropping-particle":"","family":"Xu","given":"Juan","non-dropping-particle":"","parse-names":false,"suffix":""}],"container-title":"Zhongguo shi yan xue ye xue za zhi","id":"ITEM-4","issue":"1","issued":{"date-parts":[["2012","2"]]},"page":"97-9","title":"Incipient Coombs' test negative autoimmune hemolytic anemia precedes non-Hodgkin's lymphoma.","type":"article-journal","volume":"20"},"uris":["http://www.mendeley.com/documents/?uuid=b0df6826-2e70-3689-9ab0-5b79e55db775"]},{"id":"ITEM-5","itemData":{"ISSN":"0041-4301","PMID":"17290572","abstract":"Autoimmune hemolytic anemia (AIHA) is an unusual complication of malignancy. We diagnosed primary splenic anaplastic large cell lymphoma (ALCL) in a patient. A seven-year-old boy presented with Coombs test-positive hemolytic anemia. After a course of prednisolone therapy, a complete response for anemia was achieved. Twenty months later, in addition to severe hemolytic anemia, the patient was diagnosed with ALCL after splenectomy and pathologic examination of the sample. The recognition of this clinical picture as a complication of non-Hodgkin's lymphoma has important implications. The most effective management of AIHA in the setting of cancer is to treat the underlying malignancy.","author":[{"dropping-particle":"","family":"Köksal","given":"Yavuz","non-dropping-particle":"","parse-names":false,"suffix":""},{"dropping-particle":"","family":"Calişkan","given":"Umran","non-dropping-particle":"","parse-names":false,"suffix":""},{"dropping-particle":"","family":"Uçar","given":"Canan","non-dropping-particle":"","parse-names":false,"suffix":""},{"dropping-particle":"","family":"Erekul","given":"Selim","non-dropping-particle":"","parse-names":false,"suffix":""},{"dropping-particle":"","family":"Ilerisoy Yakut","given":"Zeynep","non-dropping-particle":"","parse-names":false,"suffix":""}],"container-title":"The Turkish journal of pediatrics","id":"ITEM-5","issue":"4","issued":{"date-parts":[["0"]]},"page":"354-6","title":"Autoimmune hemolytic anemia as presenting manifestation of primary splenic anaplastic large cell lymphoma.","type":"article-journal","volume":"48"},"uris":["http://www.mendeley.com/documents/?uuid=46985db8-c224-3d7d-a1d7-089cf46e6f67"]}],"mendeley":{"formattedCitation":"[27,31–34]","plainTextFormattedCitation":"[27,31–34]","previouslyFormattedCitation":"[27,31–34]"},"properties":{"noteIndex":0},"schema":"https://github.com/citation-style-language/schema/raw/master/csl-citation.json"}</w:instrText>
      </w:r>
      <w:r w:rsidR="000958E3" w:rsidRPr="000322E4">
        <w:fldChar w:fldCharType="separate"/>
      </w:r>
      <w:r w:rsidR="00095D58" w:rsidRPr="00095D58">
        <w:rPr>
          <w:noProof/>
        </w:rPr>
        <w:t>[27,31–34]</w:t>
      </w:r>
      <w:r w:rsidR="000958E3" w:rsidRPr="000322E4">
        <w:fldChar w:fldCharType="end"/>
      </w:r>
      <w:r w:rsidR="000958E3" w:rsidRPr="000322E4">
        <w:t xml:space="preserve">. </w:t>
      </w:r>
    </w:p>
    <w:p w14:paraId="45BCDE0A" w14:textId="77777777" w:rsidR="000958E3" w:rsidRPr="000322E4" w:rsidRDefault="000958E3" w:rsidP="00CA442F">
      <w:pPr>
        <w:spacing w:line="360" w:lineRule="auto"/>
        <w:ind w:left="709"/>
        <w:contextualSpacing/>
        <w:jc w:val="both"/>
        <w:divId w:val="266810958"/>
        <w:rPr>
          <w:b/>
        </w:rPr>
      </w:pPr>
      <w:r w:rsidRPr="000322E4">
        <w:rPr>
          <w:b/>
        </w:rPr>
        <w:t>Уровень убедительности рекомендаций С (уровень достоверности</w:t>
      </w:r>
      <w:r w:rsidR="00E904D8" w:rsidRPr="000322E4">
        <w:rPr>
          <w:b/>
        </w:rPr>
        <w:t xml:space="preserve"> доказательств 4)</w:t>
      </w:r>
    </w:p>
    <w:p w14:paraId="799EF714" w14:textId="5026E960" w:rsidR="0052462B" w:rsidRPr="000322E4" w:rsidRDefault="00BC33D5" w:rsidP="005F1C5F">
      <w:pPr>
        <w:pStyle w:val="a"/>
        <w:spacing w:before="0"/>
        <w:ind w:left="709"/>
        <w:divId w:val="266810958"/>
      </w:pPr>
      <w:r>
        <w:t>Р</w:t>
      </w:r>
      <w:r w:rsidR="00D75819" w:rsidRPr="000322E4">
        <w:t>анее не получавшим лечение</w:t>
      </w:r>
      <w:r w:rsidR="0052462B" w:rsidRPr="000322E4">
        <w:t xml:space="preserve"> пациентам с </w:t>
      </w:r>
      <w:r w:rsidR="000958E3" w:rsidRPr="000322E4">
        <w:t>ДВКЛ</w:t>
      </w:r>
      <w:r w:rsidR="009B70C4" w:rsidRPr="000322E4">
        <w:t>, ПМВКЛ</w:t>
      </w:r>
      <w:r w:rsidR="00E5278F">
        <w:t xml:space="preserve">, </w:t>
      </w:r>
      <w:r w:rsidR="009B70C4" w:rsidRPr="000322E4">
        <w:t>ЛБ</w:t>
      </w:r>
      <w:r w:rsidR="0052462B" w:rsidRPr="000322E4">
        <w:t xml:space="preserve"> перед проведением первой линии противоопухолевой терапии </w:t>
      </w:r>
      <w:r w:rsidR="0052462B" w:rsidRPr="000322E4">
        <w:rPr>
          <w:b/>
        </w:rPr>
        <w:t>рекомендуется</w:t>
      </w:r>
      <w:r w:rsidR="0052462B" w:rsidRPr="000322E4">
        <w:t xml:space="preserve"> определение основных групп крови по системе AB0, определение антигена D системы Резус (резус-фактора) для возможности выполнения гемотрансфузии при наличии показаний до, во время или после терапии</w:t>
      </w:r>
      <w:r w:rsidR="00A87256" w:rsidRPr="000322E4">
        <w:t xml:space="preserve"> </w:t>
      </w:r>
      <w:r w:rsidR="00A87256" w:rsidRPr="000322E4">
        <w:fldChar w:fldCharType="begin" w:fldLock="1"/>
      </w:r>
      <w:r w:rsidR="009D170B">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mendeley":{"formattedCitation":"[27]","plainTextFormattedCitation":"[27]","previouslyFormattedCitation":"[27]"},"properties":{"noteIndex":0},"schema":"https://github.com/citation-style-language/schema/raw/master/csl-citation.json"}</w:instrText>
      </w:r>
      <w:r w:rsidR="00A87256" w:rsidRPr="000322E4">
        <w:fldChar w:fldCharType="separate"/>
      </w:r>
      <w:r w:rsidR="00095D58" w:rsidRPr="00095D58">
        <w:rPr>
          <w:noProof/>
        </w:rPr>
        <w:t>[27]</w:t>
      </w:r>
      <w:r w:rsidR="00A87256" w:rsidRPr="000322E4">
        <w:fldChar w:fldCharType="end"/>
      </w:r>
      <w:r w:rsidR="0052462B" w:rsidRPr="000322E4">
        <w:t xml:space="preserve">. </w:t>
      </w:r>
    </w:p>
    <w:p w14:paraId="6279A51D" w14:textId="77777777" w:rsidR="0052462B" w:rsidRPr="000322E4" w:rsidRDefault="0052462B" w:rsidP="00CA442F">
      <w:pPr>
        <w:spacing w:line="360" w:lineRule="auto"/>
        <w:ind w:left="709"/>
        <w:contextualSpacing/>
        <w:jc w:val="both"/>
        <w:divId w:val="266810958"/>
        <w:rPr>
          <w:b/>
        </w:rPr>
      </w:pPr>
      <w:r w:rsidRPr="000322E4">
        <w:rPr>
          <w:b/>
        </w:rPr>
        <w:t>Уровень убедительности рекомендаций С (уровень достоверности доказательств 5).</w:t>
      </w:r>
    </w:p>
    <w:p w14:paraId="6FC02445" w14:textId="2FAF76E0" w:rsidR="004A21C0" w:rsidRPr="000322E4" w:rsidRDefault="00BC33D5" w:rsidP="005F1C5F">
      <w:pPr>
        <w:pStyle w:val="a"/>
        <w:spacing w:before="0"/>
        <w:ind w:left="709"/>
        <w:divId w:val="266810958"/>
        <w:rPr>
          <w:b/>
        </w:rPr>
      </w:pPr>
      <w:r>
        <w:t>Р</w:t>
      </w:r>
      <w:r w:rsidR="00D75819" w:rsidRPr="000322E4">
        <w:t xml:space="preserve">анее не получавшим лечение </w:t>
      </w:r>
      <w:r w:rsidR="0052462B" w:rsidRPr="000322E4">
        <w:t xml:space="preserve">пациентам с </w:t>
      </w:r>
      <w:r w:rsidR="000958E3" w:rsidRPr="000322E4">
        <w:t>ДВКЛ</w:t>
      </w:r>
      <w:r w:rsidR="009B70C4" w:rsidRPr="000322E4">
        <w:t>, ПМВКЛ</w:t>
      </w:r>
      <w:r w:rsidR="00E5278F">
        <w:t>,</w:t>
      </w:r>
      <w:r w:rsidR="009B70C4" w:rsidRPr="000322E4">
        <w:t xml:space="preserve"> ЛБ</w:t>
      </w:r>
      <w:r w:rsidR="0052462B" w:rsidRPr="000322E4">
        <w:t xml:space="preserve"> перед проведением первой линии противоопухолевой терапии </w:t>
      </w:r>
      <w:r w:rsidR="0052462B" w:rsidRPr="000322E4">
        <w:rPr>
          <w:b/>
        </w:rPr>
        <w:t>рекомендуется</w:t>
      </w:r>
      <w:r w:rsidR="0052462B" w:rsidRPr="000322E4">
        <w:t xml:space="preserve"> </w:t>
      </w:r>
      <w:r w:rsidR="004A21C0" w:rsidRPr="000322E4">
        <w:t xml:space="preserve">для уточнения наличия сопутствующих инфекционных заболеваний и планирования необходимой сопутствующей терапии </w:t>
      </w:r>
      <w:r w:rsidR="0052462B" w:rsidRPr="000322E4">
        <w:t>выполнение</w:t>
      </w:r>
      <w:r w:rsidR="004A21C0" w:rsidRPr="000322E4">
        <w:t xml:space="preserve"> следующих исследований</w:t>
      </w:r>
      <w:r w:rsidR="000E2BA9" w:rsidRPr="000322E4">
        <w:t xml:space="preserve"> </w:t>
      </w:r>
      <w:r w:rsidR="000E2BA9" w:rsidRPr="000322E4">
        <w:fldChar w:fldCharType="begin" w:fldLock="1"/>
      </w:r>
      <w:r w:rsidR="009D170B">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id":"ITEM-2","itemData":{"DOI":"10.1093/annonc/mdv304","ISSN":"1569-8041","PMID":"26314773","author":[{"dropping-particle":"","family":"Tilly","given":"H","non-dropping-particle":"","parse-names":false,"suffix":""},{"dropping-particle":"","family":"Gomes da Silva","given":"M","non-dropping-particle":"","parse-names":false,"suffix":""},{"dropping-particle":"","family":"Vitolo","given":"U","non-dropping-particle":"","parse-names":false,"suffix":""},{"dropping-particle":"","family":"Jack","given":"A","non-dropping-particle":"","parse-names":false,"suffix":""},{"dropping-particle":"","family":"Meignan","given":"M","non-dropping-particle":"","parse-names":false,"suffix":""},{"dropping-particle":"","family":"Lopez-Guillermo","given":"A","non-dropping-particle":"","parse-names":false,"suffix":""},{"dropping-particle":"","family":"Walewski","given":"J","non-dropping-particle":"","parse-names":false,"suffix":""},{"dropping-particle":"","family":"André","given":"M","non-dropping-particle":"","parse-names":false,"suffix":""},{"dropping-particle":"","family":"Johnson","given":"P W","non-dropping-particle":"","parse-names":false,"suffix":""},{"dropping-particle":"","family":"Pfreundschuh","given":"M","non-dropping-particle":"","parse-names":false,"suffix":""},{"dropping-particle":"","family":"Ladetto","given":"M","non-dropping-particle":"","parse-names":false,"suffix":""},{"dropping-particle":"","family":"ESMO Guidelines Committee","given":"","non-dropping-particle":"","parse-names":false,"suffix":""}],"container-title":"Annals of oncology : official journal of the European Society for Medical Oncology","id":"ITEM-2","issued":{"date-parts":[["2015","9"]]},"page":"v116-25","title":"Diffuse large B-cell lymphoma (DLBCL): ESMO Clinical Practice Guidelines for diagnosis, treatment and follow-up.","type":"article-journal","volume":"26 Suppl 5"},"uris":["http://www.mendeley.com/documents/?uuid=1697b7a7-5190-39af-8155-3d2b075b5466"]}],"mendeley":{"formattedCitation":"[27,28]","plainTextFormattedCitation":"[27,28]","previouslyFormattedCitation":"[27,28]"},"properties":{"noteIndex":0},"schema":"https://github.com/citation-style-language/schema/raw/master/csl-citation.json"}</w:instrText>
      </w:r>
      <w:r w:rsidR="000E2BA9" w:rsidRPr="000322E4">
        <w:fldChar w:fldCharType="separate"/>
      </w:r>
      <w:r w:rsidR="00095D58" w:rsidRPr="00095D58">
        <w:rPr>
          <w:noProof/>
        </w:rPr>
        <w:t>[27,28]</w:t>
      </w:r>
      <w:r w:rsidR="000E2BA9" w:rsidRPr="000322E4">
        <w:fldChar w:fldCharType="end"/>
      </w:r>
      <w:r w:rsidR="004A21C0" w:rsidRPr="000322E4">
        <w:t>:</w:t>
      </w:r>
    </w:p>
    <w:p w14:paraId="049CAB4A" w14:textId="409BFA46" w:rsidR="0044108E" w:rsidRPr="00095D58" w:rsidRDefault="0044108E" w:rsidP="005C2787">
      <w:pPr>
        <w:pStyle w:val="afe"/>
        <w:widowControl w:val="0"/>
        <w:numPr>
          <w:ilvl w:val="0"/>
          <w:numId w:val="7"/>
        </w:numPr>
        <w:autoSpaceDE w:val="0"/>
        <w:autoSpaceDN w:val="0"/>
        <w:adjustRightInd w:val="0"/>
        <w:divId w:val="266810958"/>
        <w:rPr>
          <w:b/>
          <w:color w:val="000000" w:themeColor="text1"/>
          <w:szCs w:val="24"/>
          <w:lang w:eastAsia="zh-CN"/>
        </w:rPr>
      </w:pPr>
      <w:r w:rsidRPr="00095D58">
        <w:rPr>
          <w:color w:val="000000" w:themeColor="text1"/>
          <w:szCs w:val="24"/>
        </w:rPr>
        <w:t>определение антигена (HbsAg) вируса гепатита B (Hepatitis B virus) в крови и определение антител класса G (anti-HCV IgG) к вирусу гепатита C (Hepatitis C virus) в крови.</w:t>
      </w:r>
    </w:p>
    <w:p w14:paraId="393C69FF" w14:textId="51FAE86F" w:rsidR="0052462B" w:rsidRPr="00095D58" w:rsidRDefault="0044108E" w:rsidP="0044108E">
      <w:pPr>
        <w:pStyle w:val="afe"/>
        <w:numPr>
          <w:ilvl w:val="0"/>
          <w:numId w:val="7"/>
        </w:numPr>
        <w:divId w:val="266810958"/>
        <w:rPr>
          <w:color w:val="000000" w:themeColor="text1"/>
        </w:rPr>
      </w:pPr>
      <w:r w:rsidRPr="00095D58">
        <w:rPr>
          <w:color w:val="000000" w:themeColor="text1"/>
        </w:rPr>
        <w:t xml:space="preserve">в случае позитивности </w:t>
      </w:r>
      <w:r w:rsidRPr="00095D58">
        <w:rPr>
          <w:color w:val="000000" w:themeColor="text1"/>
          <w:szCs w:val="24"/>
        </w:rPr>
        <w:t>HbsAg</w:t>
      </w:r>
      <w:r w:rsidRPr="00095D58">
        <w:rPr>
          <w:color w:val="000000" w:themeColor="text1"/>
        </w:rPr>
        <w:t xml:space="preserve"> и/или </w:t>
      </w:r>
      <w:r w:rsidRPr="00095D58">
        <w:rPr>
          <w:color w:val="000000" w:themeColor="text1"/>
          <w:szCs w:val="24"/>
        </w:rPr>
        <w:t>anti-HCV IgG</w:t>
      </w:r>
      <w:r w:rsidRPr="00095D58">
        <w:rPr>
          <w:color w:val="000000" w:themeColor="text1"/>
        </w:rPr>
        <w:t xml:space="preserve"> - </w:t>
      </w:r>
      <w:r w:rsidR="0052462B" w:rsidRPr="00095D58">
        <w:rPr>
          <w:color w:val="000000" w:themeColor="text1"/>
        </w:rPr>
        <w:t>молекулярно-биологического исследования крови на вирус гепатита B (Hepatitis B virus) и на вирус гепатита C (Hepatitis C virus)</w:t>
      </w:r>
      <w:r w:rsidR="004A21C0" w:rsidRPr="00095D58">
        <w:rPr>
          <w:color w:val="000000" w:themeColor="text1"/>
        </w:rPr>
        <w:t>;</w:t>
      </w:r>
    </w:p>
    <w:p w14:paraId="5DBB2A16" w14:textId="52C71808" w:rsidR="004A21C0" w:rsidRPr="00095D58" w:rsidRDefault="0044108E" w:rsidP="00985CBF">
      <w:pPr>
        <w:pStyle w:val="afe"/>
        <w:widowControl w:val="0"/>
        <w:numPr>
          <w:ilvl w:val="0"/>
          <w:numId w:val="7"/>
        </w:numPr>
        <w:autoSpaceDE w:val="0"/>
        <w:autoSpaceDN w:val="0"/>
        <w:adjustRightInd w:val="0"/>
        <w:divId w:val="266810958"/>
        <w:rPr>
          <w:color w:val="000000" w:themeColor="text1"/>
        </w:rPr>
      </w:pPr>
      <w:r w:rsidRPr="00095D58">
        <w:rPr>
          <w:color w:val="000000" w:themeColor="text1"/>
          <w:szCs w:val="24"/>
        </w:rPr>
        <w:t>определение антител классов M, G (IgM, IgG) к вирусу иммунодефицита человека ВИЧ-2 (Human immunodeficiency virus HIV 2) в крови и определение антигена p24 вируса иммунодефицита человека ВИЧ-1 (Hum</w:t>
      </w:r>
      <w:r w:rsidR="00AA43FB">
        <w:rPr>
          <w:color w:val="000000" w:themeColor="text1"/>
          <w:szCs w:val="24"/>
        </w:rPr>
        <w:t>an immunodeficiency virus HIV-1</w:t>
      </w:r>
      <w:bookmarkStart w:id="28" w:name="_GoBack"/>
      <w:bookmarkEnd w:id="28"/>
      <w:r w:rsidRPr="00095D58">
        <w:rPr>
          <w:color w:val="000000" w:themeColor="text1"/>
          <w:szCs w:val="24"/>
        </w:rPr>
        <w:t>) в крови</w:t>
      </w:r>
    </w:p>
    <w:p w14:paraId="704A6EA6" w14:textId="53E64034" w:rsidR="0052462B" w:rsidRDefault="0052462B" w:rsidP="00CA442F">
      <w:pPr>
        <w:pStyle w:val="afe"/>
        <w:ind w:left="709" w:firstLine="0"/>
        <w:divId w:val="266810958"/>
        <w:rPr>
          <w:b/>
        </w:rPr>
      </w:pPr>
      <w:r w:rsidRPr="000322E4">
        <w:rPr>
          <w:b/>
        </w:rPr>
        <w:t>Уровень убедительности рекомендаций С (уровень достоверности доказательств 5).</w:t>
      </w:r>
    </w:p>
    <w:p w14:paraId="2280E3A5" w14:textId="6CC90F21" w:rsidR="00BC33D5" w:rsidRPr="000322E4" w:rsidRDefault="00BC33D5" w:rsidP="005F1C5F">
      <w:pPr>
        <w:pStyle w:val="a"/>
        <w:spacing w:before="0"/>
        <w:ind w:left="709"/>
        <w:divId w:val="266810958"/>
      </w:pPr>
      <w:r>
        <w:t>П</w:t>
      </w:r>
      <w:r w:rsidRPr="000322E4">
        <w:t>ациентам с ДВКЛ, ПМВК</w:t>
      </w:r>
      <w:r w:rsidR="00E5278F">
        <w:t>Л,</w:t>
      </w:r>
      <w:r w:rsidRPr="000322E4">
        <w:t xml:space="preserve"> ЛБ</w:t>
      </w:r>
      <w:r>
        <w:t xml:space="preserve">, которым планируется назначение кардиотоксичных цитостатических препаратов и/или лучевой терапии на </w:t>
      </w:r>
      <w:r>
        <w:lastRenderedPageBreak/>
        <w:t>область средостения</w:t>
      </w:r>
      <w:r w:rsidRPr="000322E4">
        <w:t xml:space="preserve"> </w:t>
      </w:r>
      <w:r w:rsidRPr="000322E4">
        <w:rPr>
          <w:b/>
        </w:rPr>
        <w:t>рекомендуется</w:t>
      </w:r>
      <w:r w:rsidRPr="000322E4">
        <w:t xml:space="preserve"> </w:t>
      </w:r>
      <w:r w:rsidRPr="00BC33D5">
        <w:t>определение сердечных биомаркеров (исследование уровня тропонинов I, T в крови, N-терминального фрагмента натрийуретического пропептида мозгового (NT-proBNP) в крови)</w:t>
      </w:r>
      <w:r w:rsidRPr="000322E4">
        <w:t xml:space="preserve"> </w:t>
      </w:r>
      <w:r>
        <w:t>для определения риска развития сердечно-сосудистых осложнений</w:t>
      </w:r>
      <w:r w:rsidRPr="000322E4">
        <w:t xml:space="preserve"> </w:t>
      </w:r>
      <w:r w:rsidRPr="000322E4">
        <w:fldChar w:fldCharType="begin" w:fldLock="1"/>
      </w:r>
      <w:r w:rsidR="009D170B">
        <w:instrText>ADDIN CSL_CITATION {"citationItems":[{"id":"ITEM-1","itemData":{"DOI":"10.1177/1179546819866445","ISSN":"1179-5468","PMID":"31384135","abstract":"Cancer therapy-related cardiac dysfunction (CTRCD) is one of the most feared and undesirable side effects of chemotherapy, occurring in approximately 10% of the patients. It can be classified as direct (dose-dependent vs dose-independent) or indirect, either case being potentially permanent or reversible. Risk assessment, recognition, and prevention of CTRCD are crucial.","author":[{"dropping-particle":"","family":"Perez","given":"Irving E","non-dropping-particle":"","parse-names":false,"suffix":""},{"dropping-particle":"","family":"Taveras Alam","given":"Sara","non-dropping-particle":"","parse-names":false,"suffix":""},{"dropping-particle":"","family":"Hernandez","given":"Gabriel A","non-dropping-particle":"","parse-names":false,"suffix":""},{"dropping-particle":"","family":"Sancassani","given":"Rhea","non-dropping-particle":"","parse-names":false,"suffix":""}],"container-title":"Clinical Medicine Insights. Cardiology","id":"ITEM-1","issued":{"date-parts":[["2019","7","29"]]},"page":"1179546819866445","publisher":"SAGE PublicationsSage UK: London, England","title":"Cancer Therapy-Related Cardiac Dysfunction: An Overview for the Clinician.","type":"article-journal","volume":"13"},"uris":["http://www.mendeley.com/documents/?uuid=c7022e0a-27f4-34c7-a67a-0e8c1f64246c"]}],"mendeley":{"formattedCitation":"[35]","plainTextFormattedCitation":"[35]","previouslyFormattedCitation":"[35]"},"properties":{"noteIndex":0},"schema":"https://github.com/citation-style-language/schema/raw/master/csl-citation.json"}</w:instrText>
      </w:r>
      <w:r w:rsidRPr="000322E4">
        <w:fldChar w:fldCharType="separate"/>
      </w:r>
      <w:r w:rsidR="00095D58" w:rsidRPr="00095D58">
        <w:rPr>
          <w:noProof/>
        </w:rPr>
        <w:t>[35]</w:t>
      </w:r>
      <w:r w:rsidRPr="000322E4">
        <w:fldChar w:fldCharType="end"/>
      </w:r>
      <w:r w:rsidRPr="000322E4">
        <w:t xml:space="preserve">. </w:t>
      </w:r>
    </w:p>
    <w:p w14:paraId="45AA02EA" w14:textId="77777777" w:rsidR="00BC33D5" w:rsidRPr="000322E4" w:rsidRDefault="00BC33D5" w:rsidP="00BC33D5">
      <w:pPr>
        <w:spacing w:line="360" w:lineRule="auto"/>
        <w:ind w:left="709"/>
        <w:contextualSpacing/>
        <w:jc w:val="both"/>
        <w:divId w:val="266810958"/>
        <w:rPr>
          <w:b/>
        </w:rPr>
      </w:pPr>
      <w:r w:rsidRPr="000322E4">
        <w:rPr>
          <w:b/>
        </w:rPr>
        <w:t>Уровень убедительности рекомендаций С (уровень достоверности доказательств 4)</w:t>
      </w:r>
    </w:p>
    <w:p w14:paraId="7283BC48" w14:textId="7A20E002" w:rsidR="003263CD" w:rsidRPr="000322E4" w:rsidRDefault="005F1C5F" w:rsidP="005F1C5F">
      <w:pPr>
        <w:pStyle w:val="a"/>
        <w:spacing w:before="0"/>
        <w:ind w:left="709"/>
        <w:divId w:val="266810958"/>
        <w:rPr>
          <w:i/>
        </w:rPr>
      </w:pPr>
      <w:r>
        <w:t>П</w:t>
      </w:r>
      <w:r w:rsidR="005D4E90" w:rsidRPr="000322E4">
        <w:t xml:space="preserve">ациентам с </w:t>
      </w:r>
      <w:r w:rsidR="000958E3" w:rsidRPr="000322E4">
        <w:t>ДВКЛ</w:t>
      </w:r>
      <w:r w:rsidR="0044108E">
        <w:t xml:space="preserve">, ПМВКЛ, </w:t>
      </w:r>
      <w:r w:rsidR="009B70C4" w:rsidRPr="000322E4">
        <w:t>ЛБ</w:t>
      </w:r>
      <w:r w:rsidR="005D4E90" w:rsidRPr="000322E4">
        <w:t xml:space="preserve">  младше 18 лет до начала противоопухолевой терапии, а также в</w:t>
      </w:r>
      <w:r w:rsidR="003263CD" w:rsidRPr="000322E4">
        <w:t xml:space="preserve">сем пациентам с </w:t>
      </w:r>
      <w:r w:rsidR="000958E3" w:rsidRPr="000322E4">
        <w:t>ДВКЛ</w:t>
      </w:r>
      <w:r w:rsidR="009B70C4" w:rsidRPr="000322E4">
        <w:t>, ПМВКЛ или ЛБ</w:t>
      </w:r>
      <w:r w:rsidR="005D4E90" w:rsidRPr="000322E4">
        <w:t xml:space="preserve"> независимо от возраста</w:t>
      </w:r>
      <w:r w:rsidR="003263CD" w:rsidRPr="000322E4">
        <w:t xml:space="preserve">, получающим или получавшим противоопухолевую терапию, после первого эпизода тяжелой инфекции </w:t>
      </w:r>
      <w:r w:rsidR="003263CD" w:rsidRPr="000322E4">
        <w:rPr>
          <w:b/>
          <w:bCs/>
        </w:rPr>
        <w:t>рекомендуется</w:t>
      </w:r>
      <w:r w:rsidR="003263CD" w:rsidRPr="000322E4">
        <w:t xml:space="preserve"> определение иммунного статуса (</w:t>
      </w:r>
      <w:r w:rsidR="00E0494A" w:rsidRPr="000322E4">
        <w:t xml:space="preserve">исследования </w:t>
      </w:r>
      <w:r w:rsidR="003263CD" w:rsidRPr="000322E4">
        <w:t xml:space="preserve">уровня иммуноглобулинов </w:t>
      </w:r>
      <w:r w:rsidR="003263CD" w:rsidRPr="000322E4">
        <w:rPr>
          <w:lang w:val="en-US"/>
        </w:rPr>
        <w:t>G</w:t>
      </w:r>
      <w:r w:rsidR="003263CD" w:rsidRPr="000322E4">
        <w:t xml:space="preserve">, </w:t>
      </w:r>
      <w:r w:rsidR="003263CD" w:rsidRPr="000322E4">
        <w:rPr>
          <w:lang w:val="en-US"/>
        </w:rPr>
        <w:t>A</w:t>
      </w:r>
      <w:r w:rsidR="003263CD" w:rsidRPr="000322E4">
        <w:t xml:space="preserve"> и </w:t>
      </w:r>
      <w:r w:rsidR="003263CD" w:rsidRPr="000322E4">
        <w:rPr>
          <w:lang w:val="en-US"/>
        </w:rPr>
        <w:t>M</w:t>
      </w:r>
      <w:r w:rsidR="003263CD" w:rsidRPr="000322E4">
        <w:t xml:space="preserve"> в крови</w:t>
      </w:r>
      <w:r w:rsidR="00E0494A" w:rsidRPr="000322E4">
        <w:t>)</w:t>
      </w:r>
      <w:r w:rsidR="003263CD" w:rsidRPr="000322E4">
        <w:t xml:space="preserve"> для уточнения риска развития инфекционных осложнений и необходимости назначения соответствующей профилактики </w:t>
      </w:r>
      <w:r w:rsidR="003263CD" w:rsidRPr="000322E4">
        <w:fldChar w:fldCharType="begin" w:fldLock="1"/>
      </w:r>
      <w:r w:rsidR="009D170B">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лимфом","type":"chapter"},"uris":["http://www.mendeley.com/documents/?uuid=d7eb85a2-da5e-400d-b112-7f0a5734958d"]},{"id":"ITEM-2","itemData":{"DOI":"10.7861/clinmedicine.16-6-571","ISSN":"14734893","abstract":"Antibody defi ciencies can occur in the context of primary disorders due to inherited genetic defects; however, secondary immune disorders are far more prevalent and can be caused by various diseases and their treatment, certain medications and surgical procedures. Immunoglobulin replacement therapy has been shown to be effective in reducing infections, morbidity and mortality in primary antibody defi ciencies but secondary antibody defi ciencies are in general poorly defi ned and there are no guidelines for the management of patients with this condition. Clinical decisions are based on experience from primary antibody defi ciencies. Both primary and secondary antibody defi ciencies can be associated with infections, immune dysregulation and end-organ damage, causing signifi cant morbidity and mortality. Therefore, it is important to diagnose and treat these patients promptly to minimise adverse effects and improve quality of life. We focus on secondary antibody defi ciency and describe the causes, diagnosis and treatment of this disorder.","author":[{"dropping-particle":"","family":"Srivastava","given":"Sapna","non-dropping-particle":"","parse-names":false,"suffix":""},{"dropping-particle":"","family":"Wood","given":"Philip","non-dropping-particle":"","parse-names":false,"suffix":""}],"container-title":"Clinical Medicine, Journal of the Royal College of Physicians of London","id":"ITEM-2","issued":{"date-parts":[["2016"]]},"title":"Secondary antibody deficiency-causes and approach to diagnosis","type":"article-journal"},"uris":["http://www.mendeley.com/documents/?uuid=122c5237-a104-392a-be50-9d92c8764a3d"]}],"mendeley":{"formattedCitation":"[27,36]","plainTextFormattedCitation":"[27,36]","previouslyFormattedCitation":"[27,36]"},"properties":{"noteIndex":0},"schema":"https://github.com/citation-style-language/schema/raw/master/csl-citation.json"}</w:instrText>
      </w:r>
      <w:r w:rsidR="003263CD" w:rsidRPr="000322E4">
        <w:fldChar w:fldCharType="separate"/>
      </w:r>
      <w:r w:rsidR="00095D58" w:rsidRPr="00095D58">
        <w:rPr>
          <w:noProof/>
        </w:rPr>
        <w:t>[27,36]</w:t>
      </w:r>
      <w:r w:rsidR="003263CD" w:rsidRPr="000322E4">
        <w:fldChar w:fldCharType="end"/>
      </w:r>
      <w:r w:rsidR="003263CD" w:rsidRPr="000322E4">
        <w:t>.</w:t>
      </w:r>
    </w:p>
    <w:p w14:paraId="42DAF83D" w14:textId="77777777" w:rsidR="003263CD" w:rsidRPr="000322E4" w:rsidRDefault="003263CD" w:rsidP="00CA442F">
      <w:pPr>
        <w:spacing w:line="360" w:lineRule="auto"/>
        <w:ind w:left="709"/>
        <w:contextualSpacing/>
        <w:jc w:val="both"/>
        <w:divId w:val="266810958"/>
        <w:rPr>
          <w:b/>
        </w:rPr>
      </w:pPr>
      <w:r w:rsidRPr="000322E4">
        <w:rPr>
          <w:b/>
        </w:rPr>
        <w:t>Уровень убедительности рекомендаций С (уровень достоверности доказательств 5).</w:t>
      </w:r>
    </w:p>
    <w:p w14:paraId="65720D28" w14:textId="19A13150" w:rsidR="003263CD" w:rsidRPr="000322E4" w:rsidRDefault="003263CD" w:rsidP="005F1C5F">
      <w:pPr>
        <w:spacing w:line="360" w:lineRule="auto"/>
        <w:ind w:firstLine="709"/>
        <w:contextualSpacing/>
        <w:jc w:val="both"/>
        <w:divId w:val="266810958"/>
        <w:rPr>
          <w:i/>
        </w:rPr>
      </w:pPr>
      <w:r w:rsidRPr="000322E4">
        <w:rPr>
          <w:b/>
        </w:rPr>
        <w:t>Комментарии:</w:t>
      </w:r>
      <w:r w:rsidRPr="000322E4">
        <w:t xml:space="preserve"> </w:t>
      </w:r>
      <w:r w:rsidRPr="000322E4">
        <w:rPr>
          <w:i/>
        </w:rPr>
        <w:t xml:space="preserve">если </w:t>
      </w:r>
      <w:r w:rsidRPr="000322E4">
        <w:rPr>
          <w:i/>
          <w:lang w:val="en-US"/>
        </w:rPr>
        <w:t>IgG</w:t>
      </w:r>
      <w:r w:rsidR="00D17164" w:rsidRPr="000322E4">
        <w:rPr>
          <w:i/>
        </w:rPr>
        <w:t xml:space="preserve"> </w:t>
      </w:r>
      <w:r w:rsidRPr="000322E4">
        <w:rPr>
          <w:i/>
        </w:rPr>
        <w:t>&lt;4 г/л, клиническая ситуация расценивается как симпт</w:t>
      </w:r>
      <w:r w:rsidRPr="005F1C5F">
        <w:rPr>
          <w:i/>
          <w:color w:val="000000" w:themeColor="text1"/>
        </w:rPr>
        <w:t>ом</w:t>
      </w:r>
      <w:r w:rsidR="0044108E" w:rsidRPr="005F1C5F">
        <w:rPr>
          <w:i/>
          <w:color w:val="000000" w:themeColor="text1"/>
        </w:rPr>
        <w:t>н</w:t>
      </w:r>
      <w:r w:rsidRPr="005F1C5F">
        <w:rPr>
          <w:i/>
          <w:color w:val="000000" w:themeColor="text1"/>
        </w:rPr>
        <w:t>а</w:t>
      </w:r>
      <w:r w:rsidRPr="000322E4">
        <w:rPr>
          <w:i/>
        </w:rPr>
        <w:t>я гипогаммаглобулинемия. В этих случаях показана заместительная терапия иммуноглобулинами (см. раздел «Сопутствующая и сопроводительная терапия)</w:t>
      </w:r>
    </w:p>
    <w:p w14:paraId="636F9EEE" w14:textId="77777777" w:rsidR="00F6558C" w:rsidRPr="000322E4" w:rsidRDefault="00B46390" w:rsidP="00CA442F">
      <w:pPr>
        <w:pStyle w:val="2"/>
        <w:spacing w:before="0"/>
        <w:divId w:val="266810958"/>
      </w:pPr>
      <w:bookmarkStart w:id="29" w:name="_Toc96601238"/>
      <w:r w:rsidRPr="000322E4">
        <w:t xml:space="preserve">2.4 </w:t>
      </w:r>
      <w:r w:rsidR="00A70F44" w:rsidRPr="000322E4">
        <w:t xml:space="preserve">Инструментальные </w:t>
      </w:r>
      <w:r w:rsidRPr="000322E4">
        <w:t>диагно</w:t>
      </w:r>
      <w:r w:rsidR="00A70F44" w:rsidRPr="000322E4">
        <w:t>стические исследования</w:t>
      </w:r>
      <w:bookmarkEnd w:id="29"/>
    </w:p>
    <w:p w14:paraId="4C3103C6" w14:textId="2AA60280" w:rsidR="00E80F3F" w:rsidRPr="000322E4" w:rsidRDefault="007F5C33" w:rsidP="005F1C5F">
      <w:pPr>
        <w:pStyle w:val="a"/>
        <w:spacing w:before="0"/>
        <w:ind w:left="709"/>
        <w:divId w:val="266810958"/>
      </w:pPr>
      <w:r>
        <w:t>П</w:t>
      </w:r>
      <w:r w:rsidR="00E80F3F" w:rsidRPr="000322E4">
        <w:t>ациентам при установлении диагноза ДВКЛ</w:t>
      </w:r>
      <w:r w:rsidR="009B70C4" w:rsidRPr="000322E4">
        <w:t>, ПМВКЛ или ЛБ</w:t>
      </w:r>
      <w:r w:rsidR="00E80F3F" w:rsidRPr="000322E4">
        <w:t xml:space="preserve">, при оценке ответа на лечение, а также при подозрении на рецидив заболевания </w:t>
      </w:r>
      <w:r w:rsidR="00E80F3F" w:rsidRPr="000322E4">
        <w:rPr>
          <w:b/>
        </w:rPr>
        <w:t>рекомендуется</w:t>
      </w:r>
      <w:r w:rsidR="00E80F3F" w:rsidRPr="000322E4">
        <w:t xml:space="preserve"> при наличии возможности</w:t>
      </w:r>
      <w:r>
        <w:t xml:space="preserve"> и при отсутствии противопоказаний</w:t>
      </w:r>
      <w:r w:rsidR="00E80F3F" w:rsidRPr="000322E4">
        <w:t xml:space="preserve"> выполнить позитронную эмиссионную томографию, совмещенную с компьютерной томографией (ПЭТ/КТ) с туморотропными </w:t>
      </w:r>
      <w:r w:rsidR="00E80F3F" w:rsidRPr="00095D58">
        <w:rPr>
          <w:color w:val="000000" w:themeColor="text1"/>
        </w:rPr>
        <w:t>радиофармпрепаратами (РФП) или (хуже, при отсутствии технической возможности выполнит</w:t>
      </w:r>
      <w:r w:rsidR="0044108E" w:rsidRPr="00095D58">
        <w:rPr>
          <w:color w:val="000000" w:themeColor="text1"/>
        </w:rPr>
        <w:t>ь</w:t>
      </w:r>
      <w:r w:rsidR="00E80F3F" w:rsidRPr="00095D58">
        <w:rPr>
          <w:color w:val="000000" w:themeColor="text1"/>
        </w:rPr>
        <w:t xml:space="preserve"> </w:t>
      </w:r>
      <w:r w:rsidR="00E80F3F" w:rsidRPr="000322E4">
        <w:t xml:space="preserve">ПЭТ/КТ) позитронную эмиссионную томографию (ПЭТ) всего тела с туморотропными РФП для стадирования заболевания и оценки эффекта на терапию </w:t>
      </w:r>
      <w:r w:rsidR="00E80F3F" w:rsidRPr="000322E4">
        <w:fldChar w:fldCharType="begin" w:fldLock="1"/>
      </w:r>
      <w:r w:rsidR="009D170B">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id":"ITEM-2","itemData":{"author":[{"dropping-particle":"","family":"Мухортова","given":"О.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Савченко.","id":"ITEM-2","issued":{"date-parts":[["2018"]]},"page":"168-179","title":"Использование ПЭТ/КТ при лимфопролиферативных заболеваниях","type":"chapter"},"uris":["http://www.mendeley.com/documents/?uuid=84c36229-beea-4ecf-a021-0d26c44a1db3"]},{"id":"ITEM-3","itemData":{"DOI":"10.1093/annonc/mdv304","ISSN":"1569-8041","PMID":"26314773","author":[{"dropping-particle":"","family":"Tilly","given":"H","non-dropping-particle":"","parse-names":false,"suffix":""},{"dropping-particle":"","family":"Gomes da Silva","given":"M","non-dropping-particle":"","parse-names":false,"suffix":""},{"dropping-particle":"","family":"Vitolo","given":"U","non-dropping-particle":"","parse-names":false,"suffix":""},{"dropping-particle":"","family":"Jack","given":"A","non-dropping-particle":"","parse-names":false,"suffix":""},{"dropping-particle":"","family":"Meignan","given":"M","non-dropping-particle":"","parse-names":false,"suffix":""},{"dropping-particle":"","family":"Lopez-Guillermo","given":"A","non-dropping-particle":"","parse-names":false,"suffix":""},{"dropping-particle":"","family":"Walewski","given":"J","non-dropping-particle":"","parse-names":false,"suffix":""},{"dropping-particle":"","family":"André","given":"M","non-dropping-particle":"","parse-names":false,"suffix":""},{"dropping-particle":"","family":"Johnson","given":"P W","non-dropping-particle":"","parse-names":false,"suffix":""},{"dropping-particle":"","family":"Pfreundschuh","given":"M","non-dropping-particle":"","parse-names":false,"suffix":""},{"dropping-particle":"","family":"Ladetto","given":"M","non-dropping-particle":"","parse-names":false,"suffix":""},{"dropping-particle":"","family":"ESMO Guidelines Committee","given":"","non-dropping-particle":"","parse-names":false,"suffix":""}],"container-title":"Annals of oncology : official journal of the European Society for Medical Oncology","id":"ITEM-3","issued":{"date-parts":[["2015","9"]]},"page":"v116-25","title":"Diffuse large B-cell lymphoma (DLBCL): ESMO Clinical Practice Guidelines for diagnosis, treatment and follow-up.","type":"article-journal","volume":"26 Suppl 5"},"uris":["http://www.mendeley.com/documents/?uuid=1697b7a7-5190-39af-8155-3d2b075b5466"]},{"id":"ITEM-4","itemData":{"ISSN":"1824-4785","PMID":"21150862","abstract":"AIM To compare the accuracy of bone marrow biopsy (BMb) and positron emission tomography (PET) in bone marrow disease (BMD) detection, in a large multicentre population of patients with new diagnosis of malignant lymphoma. METHODS PET and BMb were performed to complete disease staging in 337 consecutive patients: 130 Hodgkin's disease (HD), 207 aggressive non Hodgkin's lymphoma (NHL). Sensitivity, specificity and accuracy of both techniques in BMD detection were evaluated and compared. RESULTS 87 patients with BMD (25 positives at both exams, 27 only at the BMb and 35 only at the PET study). PET vs. BMb were reordered: sensitivity: 69% vs. 59.8%; specificity: 99.2% vs. 100%; accuracy: 91.4% vs. 89.6%; positive predictive value: 96.8% vs. 100%; negative predictive value: 90.2% vs. 87.7%. CONCLUSION The sensitivity of PET and BMb is similar (69% and 60%, respectively), PET and BMb are complementary: in fact out of 87 patients with confirmed BMD only 25 are positive at both exams, while 27 only at the BMb and 35 only at the PET exam; the integration of PET findings with BMb ones increases the diagnostic accuracy. Consequentially PET is essential during the staging of malignant lymphomas.","author":[{"dropping-particle":"","family":"Pelosi","given":"E","non-dropping-particle":"","parse-names":false,"suffix":""},{"dropping-particle":"","family":"Penna","given":"D","non-dropping-particle":"","parse-names":false,"suffix":""},{"dropping-particle":"","family":"Douroukas","given":"A","non-dropping-particle":"","parse-names":false,"suffix":""},{"dropping-particle":"","family":"Bellò","given":"M","non-dropping-particle":"","parse-names":false,"suffix":""},{"dropping-particle":"","family":"Amati","given":"A","non-dropping-particle":"","parse-names":false,"suffix":""},{"dropping-particle":"","family":"Arena","given":"V","non-dropping-particle":"","parse-names":false,"suffix":""},{"dropping-particle":"","family":"Passera","given":"R","non-dropping-particle":"","parse-names":false,"suffix":""},{"dropping-particle":"","family":"Bisi","given":"G","non-dropping-particle":"","parse-names":false,"suffix":""}],"container-title":"The quarterly journal of nuclear medicine and molecular imaging : official publication of the Italian Association of Nuclear Medicine (AIMN) [and] the International Association of Radiopharmacology (IAR), [and] Section of the Society of...","id":"ITEM-4","issue":"4","issued":{"date-parts":[["2011","8"]]},"page":"469-75","title":"Bone marrow disease detection with FDG-PET/CT and bone marrow biopsy during the staging of malignant lymphoma: results from a large multicentre study.","type":"article-journal","volume":"55"},"uris":["http://www.mendeley.com/documents/?uuid=345c3cc1-480a-36b0-8e1e-f4e24ab559fb"]},{"id":"ITEM-5","itemData":{"DOI":"10.1182/blood-2012-12-473389","ISSN":"00064971","abstract":"We investigated whether positron emission tomography combined with computed tomography (PET-CT) identifies clinically important bone marrow involvement by diffuse large B-cell lymphoma (DLBCL) with sufficient accuracy to replace routine staging bone marrow biopsy. All patients from a single centre diagnosed as DLBCL since 2005 had data extracted from staging PET-CT, marrow biopsy, and treatment records. Of 130 patients, 35 (27%) were judged to have marrow involvement; 33 were identified by PET-CT compared with 14 by marrow histology. PET identified all clinically important marrow lymphoma, while biopsy did not upstage any patient. Sensitivity and specificity were 94% and 100% for PET-CT and 40% and 100% for marrow biopsy. As a secondary aim, we compared the prognosis of marrow involvement, as detected by PET-CT or biopsy. Cases with marrow deposits identified by PET-CT but not biopsy had progression-free survival (PFS) and overall survival similar to stage IV disease without involved marrow. Positive biopsy conferred significantly inferior PFS (P 5 = 003); these cases frequently had other markers of poor-risk disease. These data confirm that in experienced hands PET-CT has a high level of accuracy for identifying marrow disease in DLBCL, and provide new insight into the nature and clinical significance of marrow involvement. © 2013 by The American Society of Hematology.","author":[{"dropping-particle":"","family":"Khan","given":"Anjum Bashir","non-dropping-particle":"","parse-names":false,"suffix":""},{"dropping-particle":"","family":"Barrington","given":"Sally Fiona","non-dropping-particle":"","parse-names":false,"suffix":""},{"dropping-particle":"","family":"Mikhaeel","given":"Nabegh George","non-dropping-particle":"","parse-names":false,"suffix":""},{"dropping-particle":"","family":"Hunt","given":"Alesia Abigael","non-dropping-particle":"","parse-names":false,"suffix":""},{"dropping-particle":"","family":"Cameron","given":"Laura","non-dropping-particle":"","parse-names":false,"suffix":""},{"dropping-particle":"","family":"Morris","given":"Tim","non-dropping-particle":"","parse-names":false,"suffix":""},{"dropping-particle":"","family":"Carr","given":"Robert","non-dropping-particle":"","parse-names":false,"suffix":""}],"container-title":"Blood","id":"ITEM-5","issue":"1","issued":{"date-parts":[["2013","7","4"]]},"page":"61-67","title":"PET-CT staging of DLBCL accurately identifies and provides new insight into the clinical significance of bone marrow involvement","type":"paper-conference","volume":"122"},"uris":["http://www.mendeley.com/documents/?uuid=017163c4-37bb-393a-bb27-8c9e7c5f788b"]}],"mendeley":{"formattedCitation":"[27,28,37–39]","plainTextFormattedCitation":"[27,28,37–39]","previouslyFormattedCitation":"[27,28,37–39]"},"properties":{"noteIndex":0},"schema":"https://github.com/citation-style-language/schema/raw/master/csl-citation.json"}</w:instrText>
      </w:r>
      <w:r w:rsidR="00E80F3F" w:rsidRPr="000322E4">
        <w:fldChar w:fldCharType="separate"/>
      </w:r>
      <w:r w:rsidR="00095D58" w:rsidRPr="00095D58">
        <w:rPr>
          <w:noProof/>
        </w:rPr>
        <w:t>[27,28,37–39]</w:t>
      </w:r>
      <w:r w:rsidR="00E80F3F" w:rsidRPr="000322E4">
        <w:fldChar w:fldCharType="end"/>
      </w:r>
      <w:r w:rsidR="00E80F3F" w:rsidRPr="000322E4">
        <w:t>.</w:t>
      </w:r>
    </w:p>
    <w:p w14:paraId="0F6AB1AD" w14:textId="77777777" w:rsidR="00E80F3F" w:rsidRPr="000322E4" w:rsidRDefault="00E80F3F" w:rsidP="00CA442F">
      <w:pPr>
        <w:spacing w:line="360" w:lineRule="auto"/>
        <w:ind w:left="709"/>
        <w:contextualSpacing/>
        <w:jc w:val="both"/>
        <w:divId w:val="266810958"/>
        <w:rPr>
          <w:b/>
        </w:rPr>
      </w:pPr>
      <w:r w:rsidRPr="000322E4">
        <w:rPr>
          <w:b/>
        </w:rPr>
        <w:t>Уровень убедительности рекомендаций В (уровень достоверности доказательств 2).</w:t>
      </w:r>
    </w:p>
    <w:p w14:paraId="0B2EFF29" w14:textId="77777777" w:rsidR="00E80F3F" w:rsidRPr="000322E4" w:rsidRDefault="00E80F3F" w:rsidP="005F1C5F">
      <w:pPr>
        <w:pStyle w:val="afe"/>
        <w:ind w:left="0"/>
        <w:divId w:val="266810958"/>
        <w:rPr>
          <w:i/>
        </w:rPr>
      </w:pPr>
      <w:r w:rsidRPr="000322E4">
        <w:rPr>
          <w:b/>
        </w:rPr>
        <w:t>Комментарии:</w:t>
      </w:r>
      <w:r w:rsidRPr="000322E4">
        <w:t xml:space="preserve"> </w:t>
      </w:r>
      <w:r w:rsidRPr="000322E4">
        <w:rPr>
          <w:i/>
        </w:rPr>
        <w:t xml:space="preserve">ПЭТ/КТ, выполненная до начала лечения, позволяет не только уточнить стадию, но и более точно определить локализацию очагов поражения, особенно экстранодальные вовлечения, которые могут плохо диагностироваться при КТ, что имеет существенное значение для последующей оценки эффекта </w:t>
      </w:r>
      <w:r w:rsidRPr="000322E4">
        <w:rPr>
          <w:i/>
        </w:rPr>
        <w:lastRenderedPageBreak/>
        <w:t xml:space="preserve">терапии индукции и качественного планирования последующей лучевой терапии и минимизации облучения здоровых тканей. При наличии возможности выполнения ПЭТ/КТ, она может быть применена в соответствии с пересмотренными критериями оценки ответа, в первую очередь у пациентов с минимальным объемом опухоли, а также с учетом возможной коррекции лечения. </w:t>
      </w:r>
    </w:p>
    <w:p w14:paraId="6BB198CE" w14:textId="77777777" w:rsidR="007F5C33" w:rsidRDefault="00E80F3F" w:rsidP="005F1C5F">
      <w:pPr>
        <w:pStyle w:val="afe"/>
        <w:ind w:left="0"/>
        <w:divId w:val="266810958"/>
        <w:rPr>
          <w:i/>
        </w:rPr>
      </w:pPr>
      <w:r w:rsidRPr="000322E4">
        <w:rPr>
          <w:i/>
        </w:rPr>
        <w:t xml:space="preserve">При наличии технической возможности ПЭТ/КТ должна оцениваться по шкале </w:t>
      </w:r>
      <w:r w:rsidRPr="000322E4">
        <w:rPr>
          <w:i/>
          <w:lang w:val="en-US"/>
        </w:rPr>
        <w:t>Deauville</w:t>
      </w:r>
      <w:r w:rsidRPr="000322E4">
        <w:rPr>
          <w:i/>
        </w:rPr>
        <w:t xml:space="preserve"> (см. приложение Г2).</w:t>
      </w:r>
    </w:p>
    <w:p w14:paraId="01F23BB0" w14:textId="21B3C5F6" w:rsidR="007F5C33" w:rsidRPr="00293AC8" w:rsidRDefault="007F5C33" w:rsidP="005F1C5F">
      <w:pPr>
        <w:pStyle w:val="afe"/>
        <w:ind w:left="0"/>
        <w:divId w:val="266810958"/>
        <w:rPr>
          <w:i/>
          <w:iCs/>
        </w:rPr>
      </w:pPr>
      <w:r>
        <w:rPr>
          <w:i/>
          <w:iCs/>
        </w:rPr>
        <w:t>У</w:t>
      </w:r>
      <w:r w:rsidRPr="007F5C33">
        <w:rPr>
          <w:i/>
          <w:iCs/>
        </w:rPr>
        <w:t xml:space="preserve"> беременных</w:t>
      </w:r>
      <w:r>
        <w:rPr>
          <w:i/>
          <w:iCs/>
        </w:rPr>
        <w:t xml:space="preserve"> нежелательно применение</w:t>
      </w:r>
      <w:r w:rsidRPr="007F5C33">
        <w:rPr>
          <w:i/>
          <w:iCs/>
        </w:rPr>
        <w:t xml:space="preserve"> ПЭТ</w:t>
      </w:r>
      <w:r>
        <w:rPr>
          <w:i/>
          <w:iCs/>
        </w:rPr>
        <w:t>/</w:t>
      </w:r>
      <w:r w:rsidRPr="007F5C33">
        <w:rPr>
          <w:i/>
          <w:iCs/>
        </w:rPr>
        <w:t>КТ</w:t>
      </w:r>
      <w:r>
        <w:rPr>
          <w:i/>
          <w:iCs/>
        </w:rPr>
        <w:t xml:space="preserve"> </w:t>
      </w:r>
      <w:r w:rsidRPr="007F5C33">
        <w:rPr>
          <w:i/>
          <w:iCs/>
        </w:rPr>
        <w:t>с целью диагностики заболевания</w:t>
      </w:r>
      <w:r w:rsidR="00293AC8">
        <w:rPr>
          <w:i/>
          <w:iCs/>
        </w:rPr>
        <w:t xml:space="preserve"> </w:t>
      </w:r>
      <w:r w:rsidR="00293AC8">
        <w:rPr>
          <w:i/>
          <w:iCs/>
        </w:rPr>
        <w:fldChar w:fldCharType="begin" w:fldLock="1"/>
      </w:r>
      <w:r w:rsidR="009D170B">
        <w:rPr>
          <w:i/>
          <w:iCs/>
        </w:rPr>
        <w:instrText>ADDIN CSL_CITATION {"citationItems":[{"id":"ITEM-1","itemData":{"DOI":"10.2967/JNUMED.117.195404","ISSN":"0161-5505","PMID":"28572491","abstract":"Current standard values of fetal dosimetry deriving from 18F-FDG injection in pregnant women are estimated from animal data. The present communication offers a revision of fetal dosimetry values calculated from recently published human data, in which fetal 18F-FDG uptake was directly observed in vivo. The final doses were obtained from the observed time-integrated activity coefficients and a new generation of anthropomorphic voxel-based pregnancy phantoms.","author":[{"dropping-particle":"","family":"Zanotti-Fregonara","given":"Paolo","non-dropping-particle":"","parse-names":false,"suffix":""},{"dropping-particle":"","family":"Stabin","given":"Michael G.","non-dropping-particle":"","parse-names":false,"suffix":""}],"container-title":"Journal of Nuclear Medicine","id":"ITEM-1","issue":"11","issued":{"date-parts":[["2017","11","1"]]},"page":"1865-1866","publisher":"Society of Nuclear Medicine","title":"New Fetal Radiation Doses for 18F-FDG Based on Human Data","type":"article-journal","volume":"58"},"uris":["http://www.mendeley.com/documents/?uuid=caa54c05-95ff-31e1-8e22-db217ec888c6"]}],"mendeley":{"formattedCitation":"[40]","plainTextFormattedCitation":"[40]","previouslyFormattedCitation":"[40]"},"properties":{"noteIndex":0},"schema":"https://github.com/citation-style-language/schema/raw/master/csl-citation.json"}</w:instrText>
      </w:r>
      <w:r w:rsidR="00293AC8">
        <w:rPr>
          <w:i/>
          <w:iCs/>
        </w:rPr>
        <w:fldChar w:fldCharType="separate"/>
      </w:r>
      <w:r w:rsidR="00095D58" w:rsidRPr="00095D58">
        <w:rPr>
          <w:iCs/>
          <w:noProof/>
        </w:rPr>
        <w:t>[40]</w:t>
      </w:r>
      <w:r w:rsidR="00293AC8">
        <w:rPr>
          <w:i/>
          <w:iCs/>
        </w:rPr>
        <w:fldChar w:fldCharType="end"/>
      </w:r>
    </w:p>
    <w:p w14:paraId="78469C04" w14:textId="223CA42B" w:rsidR="00B0429E" w:rsidRPr="00095D58" w:rsidRDefault="005F1C5F" w:rsidP="005F1C5F">
      <w:pPr>
        <w:pStyle w:val="a"/>
        <w:spacing w:before="0"/>
        <w:ind w:left="709"/>
        <w:divId w:val="266810958"/>
        <w:rPr>
          <w:color w:val="000000" w:themeColor="text1"/>
        </w:rPr>
      </w:pPr>
      <w:r>
        <w:t>П</w:t>
      </w:r>
      <w:r w:rsidR="00B0429E" w:rsidRPr="000322E4">
        <w:t>ациентам при установ</w:t>
      </w:r>
      <w:r w:rsidR="007C3C41" w:rsidRPr="000322E4">
        <w:t>лении</w:t>
      </w:r>
      <w:r w:rsidR="00B0429E" w:rsidRPr="000322E4">
        <w:t xml:space="preserve"> диагноза </w:t>
      </w:r>
      <w:r w:rsidR="000958E3" w:rsidRPr="000322E4">
        <w:t>ДВКЛ</w:t>
      </w:r>
      <w:r w:rsidR="009B70C4" w:rsidRPr="000322E4">
        <w:t>, ПМВКЛ или ЛБ</w:t>
      </w:r>
      <w:r w:rsidR="00B0429E" w:rsidRPr="000322E4">
        <w:t>,</w:t>
      </w:r>
      <w:r w:rsidR="00E80F3F" w:rsidRPr="000322E4">
        <w:t xml:space="preserve"> которым </w:t>
      </w:r>
      <w:r w:rsidR="00E80F3F" w:rsidRPr="00095D58">
        <w:rPr>
          <w:color w:val="000000" w:themeColor="text1"/>
        </w:rPr>
        <w:t>не может быть выполнена ПЭТ/КТ,</w:t>
      </w:r>
      <w:r w:rsidR="00B0429E" w:rsidRPr="00095D58">
        <w:rPr>
          <w:color w:val="000000" w:themeColor="text1"/>
        </w:rPr>
        <w:t xml:space="preserve"> при оценке ответа на лечение, а также при подозрении на рецидив заболевания </w:t>
      </w:r>
      <w:r w:rsidR="00B0429E" w:rsidRPr="00095D58">
        <w:rPr>
          <w:b/>
          <w:color w:val="000000" w:themeColor="text1"/>
        </w:rPr>
        <w:t>рекомендуется</w:t>
      </w:r>
      <w:r w:rsidR="00B0429E" w:rsidRPr="00095D58">
        <w:rPr>
          <w:color w:val="000000" w:themeColor="text1"/>
        </w:rPr>
        <w:t xml:space="preserve"> выполнить КТ </w:t>
      </w:r>
      <w:r w:rsidR="0007109D" w:rsidRPr="00095D58">
        <w:rPr>
          <w:color w:val="000000" w:themeColor="text1"/>
        </w:rPr>
        <w:t xml:space="preserve">головы, </w:t>
      </w:r>
      <w:r w:rsidR="00E45C65" w:rsidRPr="00095D58">
        <w:rPr>
          <w:color w:val="000000" w:themeColor="text1"/>
        </w:rPr>
        <w:t xml:space="preserve">шеи, </w:t>
      </w:r>
      <w:r w:rsidR="00B0429E" w:rsidRPr="00095D58">
        <w:rPr>
          <w:color w:val="000000" w:themeColor="text1"/>
        </w:rPr>
        <w:t xml:space="preserve">грудной клетки, органов брюшной полости и малого таза (с контрастированием) для стадирования заболевания и уточнения наличия, размеров и распространенности опухолевых очагов </w:t>
      </w:r>
      <w:r w:rsidR="00B0429E" w:rsidRPr="00095D58">
        <w:rPr>
          <w:color w:val="000000" w:themeColor="text1"/>
        </w:rPr>
        <w:fldChar w:fldCharType="begin" w:fldLock="1"/>
      </w:r>
      <w:r w:rsidR="009D170B">
        <w:rPr>
          <w:color w:val="000000" w:themeColor="text1"/>
        </w:rPr>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id":"ITEM-2","itemData":{"DOI":"10.1093/annonc/mdv304","ISSN":"1569-8041","PMID":"26314773","author":[{"dropping-particle":"","family":"Tilly","given":"H","non-dropping-particle":"","parse-names":false,"suffix":""},{"dropping-particle":"","family":"Gomes da Silva","given":"M","non-dropping-particle":"","parse-names":false,"suffix":""},{"dropping-particle":"","family":"Vitolo","given":"U","non-dropping-particle":"","parse-names":false,"suffix":""},{"dropping-particle":"","family":"Jack","given":"A","non-dropping-particle":"","parse-names":false,"suffix":""},{"dropping-particle":"","family":"Meignan","given":"M","non-dropping-particle":"","parse-names":false,"suffix":""},{"dropping-particle":"","family":"Lopez-Guillermo","given":"A","non-dropping-particle":"","parse-names":false,"suffix":""},{"dropping-particle":"","family":"Walewski","given":"J","non-dropping-particle":"","parse-names":false,"suffix":""},{"dropping-particle":"","family":"André","given":"M","non-dropping-particle":"","parse-names":false,"suffix":""},{"dropping-particle":"","family":"Johnson","given":"P W","non-dropping-particle":"","parse-names":false,"suffix":""},{"dropping-particle":"","family":"Pfreundschuh","given":"M","non-dropping-particle":"","parse-names":false,"suffix":""},{"dropping-particle":"","family":"Ladetto","given":"M","non-dropping-particle":"","parse-names":false,"suffix":""},{"dropping-particle":"","family":"ESMO Guidelines Committee","given":"","non-dropping-particle":"","parse-names":false,"suffix":""}],"container-title":"Annals of oncology : official journal of the European Society for Medical Oncology","id":"ITEM-2","issued":{"date-parts":[["2015","9"]]},"page":"v116-25","title":"Diffuse large B-cell lymphoma (DLBCL): ESMO Clinical Practice Guidelines for diagnosis, treatment and follow-up.","type":"article-journal","volume":"26 Suppl 5"},"uris":["http://www.mendeley.com/documents/?uuid=1697b7a7-5190-39af-8155-3d2b075b5466"]}],"mendeley":{"formattedCitation":"[27,28]","plainTextFormattedCitation":"[27,28]","previouslyFormattedCitation":"[27,28]"},"properties":{"noteIndex":0},"schema":"https://github.com/citation-style-language/schema/raw/master/csl-citation.json"}</w:instrText>
      </w:r>
      <w:r w:rsidR="00B0429E" w:rsidRPr="00095D58">
        <w:rPr>
          <w:color w:val="000000" w:themeColor="text1"/>
        </w:rPr>
        <w:fldChar w:fldCharType="separate"/>
      </w:r>
      <w:r w:rsidR="00095D58" w:rsidRPr="00095D58">
        <w:rPr>
          <w:noProof/>
          <w:color w:val="000000" w:themeColor="text1"/>
        </w:rPr>
        <w:t>[27,28]</w:t>
      </w:r>
      <w:r w:rsidR="00B0429E" w:rsidRPr="00095D58">
        <w:rPr>
          <w:color w:val="000000" w:themeColor="text1"/>
        </w:rPr>
        <w:fldChar w:fldCharType="end"/>
      </w:r>
      <w:r w:rsidR="00B0429E" w:rsidRPr="00095D58">
        <w:rPr>
          <w:color w:val="000000" w:themeColor="text1"/>
        </w:rPr>
        <w:t>.</w:t>
      </w:r>
    </w:p>
    <w:p w14:paraId="47DC467B" w14:textId="577993A0" w:rsidR="00B0429E" w:rsidRPr="00095D58" w:rsidRDefault="00B0429E" w:rsidP="00CA442F">
      <w:pPr>
        <w:pStyle w:val="afe"/>
        <w:ind w:left="709" w:firstLine="0"/>
        <w:divId w:val="266810958"/>
        <w:rPr>
          <w:b/>
          <w:color w:val="000000" w:themeColor="text1"/>
        </w:rPr>
      </w:pPr>
      <w:r w:rsidRPr="00095D58">
        <w:rPr>
          <w:b/>
          <w:color w:val="000000" w:themeColor="text1"/>
        </w:rPr>
        <w:t>Уровень убедительности рекомендаций С (уровень достоверности доказательств 5).</w:t>
      </w:r>
    </w:p>
    <w:p w14:paraId="1C9C3816" w14:textId="1E751BA2" w:rsidR="0007109D" w:rsidRPr="00095D58" w:rsidRDefault="00293AC8" w:rsidP="005F1C5F">
      <w:pPr>
        <w:spacing w:line="360" w:lineRule="auto"/>
        <w:ind w:firstLine="709"/>
        <w:contextualSpacing/>
        <w:jc w:val="both"/>
        <w:divId w:val="266810958"/>
        <w:rPr>
          <w:i/>
          <w:color w:val="000000" w:themeColor="text1"/>
        </w:rPr>
      </w:pPr>
      <w:r w:rsidRPr="00095D58">
        <w:rPr>
          <w:b/>
          <w:color w:val="000000" w:themeColor="text1"/>
        </w:rPr>
        <w:t>Комментарии:</w:t>
      </w:r>
      <w:r w:rsidRPr="00095D58">
        <w:rPr>
          <w:color w:val="000000" w:themeColor="text1"/>
        </w:rPr>
        <w:t xml:space="preserve"> </w:t>
      </w:r>
      <w:r w:rsidRPr="00095D58">
        <w:rPr>
          <w:i/>
          <w:color w:val="000000" w:themeColor="text1"/>
        </w:rPr>
        <w:t>беременным пациенткам не должна выполняться КТ органов брюшной полости и малого таза в связи с высоким уровнем облучения плода</w:t>
      </w:r>
      <w:r w:rsidR="005145E6" w:rsidRPr="00095D58">
        <w:rPr>
          <w:i/>
          <w:color w:val="000000" w:themeColor="text1"/>
        </w:rPr>
        <w:t xml:space="preserve"> </w:t>
      </w:r>
      <w:r w:rsidR="005145E6" w:rsidRPr="00095D58">
        <w:rPr>
          <w:i/>
          <w:color w:val="000000" w:themeColor="text1"/>
        </w:rPr>
        <w:fldChar w:fldCharType="begin" w:fldLock="1"/>
      </w:r>
      <w:r w:rsidR="009D170B">
        <w:rPr>
          <w:i/>
          <w:color w:val="000000" w:themeColor="text1"/>
        </w:rPr>
        <w:instrText>ADDIN CSL_CITATION {"citationItems":[{"id":"ITEM-1","itemData":{"DOI":"10.2214/AJR.10.4271","ISSN":"1546-3141","PMID":"21178060","abstract":"OBJECTIVE. The objective of our study was to analyze body CT utilization trends, indications, fetal radiation doses, and scanning parameters associated with high fetal radiation doses (defined as &gt; 30 mGy). MATERIALS AND METHODS. A retrospective review of all chest and abdominopelvic CT examinations performed between 1998 and 2005 of patients known to be pregnant was conducted. Demographics, gestational age, examination indication, and scan parameters were recorded. Fetal radiation dose was calculated for those abdominopelvic examinations with direct fetal irradiation. RESULTS. From a database of more than 170,000 chest and more than 180,000 abdominopelvic CT examinations, 74 chest and 86 abdominopelvic examinations of pregnant patients were identified. Chest CT use increased on average 75%/y/1,000 deliveries in pregnancy versus 19%/y increase in all patients (p = 0.2700). Abdominopelvic CT utilization increase was on average 22%/y/1,000 deliveries in pregnant patients versus 13%/y increase in all patients (p = 0.1865). The most common indication for chest CT during pregnancy was suspected pulmonary embolism (85%, 63/74) and for abdominopelvic CT, suspected appendicitis (58%, 50/86). The average fetal dose from abdominopelvic CT was 24.8 mGy (range, 6.7-56 mGy); one examination exceeded the 50-mGy threshold for increased risk of childhood cancer. Scanning parameters associated with a dose of more than 30 mGy were a pitch of less than 1 (p = 0.0080) and more than one series acquisition (p = 0.0136). CONCLUSION. Growth of CT during pregnancy reflects the trend of increased CT utilization in the general population. Avoiding use of CT in pregnant patients with suspected appendicitis would significantly decrease fetal radiation exposure. Abdominopelvic CT during pregnancy should be carefully planned and monitored so as not to exceed the fetal radiation dose for negligible risk. © American Roentgen Ray Society.","author":[{"dropping-particle":"","family":"Goldberg-Stein","given":"Shlomit","non-dropping-particle":"","parse-names":false,"suffix":""},{"dropping-particle":"","family":"Liu","given":"Bob","non-dropping-particle":"","parse-names":false,"suffix":""},{"dropping-particle":"","family":"Hahn","given":"Peter F.","non-dropping-particle":"","parse-names":false,"suffix":""},{"dropping-particle":"","family":"Lee","given":"Susanna I.","non-dropping-particle":"","parse-names":false,"suffix":""}],"container-title":"AJR. American journal of roentgenology","id":"ITEM-1","issue":"1","issued":{"date-parts":[["2011","1"]]},"page":"146-151","publisher":"AJR Am J Roentgenol","title":"Body CT during pregnancy: utilization trends, examination indications, and fetal radiation doses","type":"article-journal","volume":"196"},"uris":["http://www.mendeley.com/documents/?uuid=cbb401f4-1a31-3c87-a308-13802e0f61ab"]},{"id":"ITEM-2","itemData":{"DOI":"10.1177/1753495X19838658","ISSN":"1753-495X","PMID":"31523267","abstract":"The use of diagnostic imaging involving ionising radiation may be necessary in pregnancy and requires an assessment of the most appropriate and safest imaging modality which will provide the necessary information balanced with the potential risks to the mother and fetus. In most cases, this will involve a potential fetal radiation dose well below 50 mGy. At these doses, there is no risk of lethality, genetic damage/epigenetic change, teratogenicity, growth impairment or sterility. Older epidemiological data indicating a potential increased cancer risk have been contradicted by newer data and better understanding of the biology of low dose radiation. The linear no-threshold rule has been challenged by many and more realistic estimates of oncogenicity risk along with the potential risks of contrast agents are summarised in this review. Imaging in the pregnant population is increasing in both the number of examinations performed and the number of patients being imaged, with the greatest increase being computed tomography scans. Counselling and obtaining informed consent for imaging that involves radiation requires the clinician to communicate with the woman and her family a realistic estimate of the potential radiation dose to herself and her fetus, to describe and quantitate the risks of this estimated dose, to outline the benefits of the imaging procedure and to respond to any questions or concerns. As almost all diagnostic imaging involves doses below the 50 mGy threshold, clinically indicated investigations should not be withheld during pregnancy. All allied staff must also be well informed to ensure the patient receives a consistent message about the risks and benefits of the proposed test.","author":[{"dropping-particle":"","family":"Lowe","given":"Sandra","non-dropping-particle":"","parse-names":false,"suffix":""}],"container-title":"Obstetric medicine","id":"ITEM-2","issue":"3","issued":{"date-parts":[["2019","9","1"]]},"page":"116-122","publisher":"Obstet Med","title":"Diagnostic imaging in pregnancy: Making informed decisions","type":"article-journal","volume":"12"},"uris":["http://www.mendeley.com/documents/?uuid=49430122-e641-3efb-8f9a-9200dfb54970"]}],"mendeley":{"formattedCitation":"[41,42]","plainTextFormattedCitation":"[41,42]","previouslyFormattedCitation":"[41,42]"},"properties":{"noteIndex":0},"schema":"https://github.com/citation-style-language/schema/raw/master/csl-citation.json"}</w:instrText>
      </w:r>
      <w:r w:rsidR="005145E6" w:rsidRPr="00095D58">
        <w:rPr>
          <w:i/>
          <w:color w:val="000000" w:themeColor="text1"/>
        </w:rPr>
        <w:fldChar w:fldCharType="separate"/>
      </w:r>
      <w:r w:rsidR="00095D58" w:rsidRPr="00095D58">
        <w:rPr>
          <w:noProof/>
          <w:color w:val="000000" w:themeColor="text1"/>
        </w:rPr>
        <w:t>[41,42]</w:t>
      </w:r>
      <w:r w:rsidR="005145E6" w:rsidRPr="00095D58">
        <w:rPr>
          <w:i/>
          <w:color w:val="000000" w:themeColor="text1"/>
        </w:rPr>
        <w:fldChar w:fldCharType="end"/>
      </w:r>
      <w:r w:rsidR="0007109D" w:rsidRPr="00095D58">
        <w:rPr>
          <w:i/>
          <w:color w:val="000000" w:themeColor="text1"/>
        </w:rPr>
        <w:t xml:space="preserve">. У беременных пациенток КТ головы, </w:t>
      </w:r>
      <w:r w:rsidR="0007109D" w:rsidRPr="00095D58">
        <w:rPr>
          <w:i/>
          <w:iCs/>
          <w:color w:val="000000" w:themeColor="text1"/>
        </w:rPr>
        <w:t>шеи, грудной клетки</w:t>
      </w:r>
      <w:r w:rsidR="0007109D" w:rsidRPr="00095D58">
        <w:rPr>
          <w:i/>
          <w:color w:val="000000" w:themeColor="text1"/>
        </w:rPr>
        <w:t xml:space="preserve"> должна выполняться с использованием специального свинцового фартука для защиты плода</w:t>
      </w:r>
    </w:p>
    <w:p w14:paraId="6888AE6E" w14:textId="62AD56F3" w:rsidR="000F4D7F" w:rsidRPr="000322E4" w:rsidRDefault="00B0429E" w:rsidP="005F1C5F">
      <w:pPr>
        <w:pStyle w:val="a"/>
        <w:spacing w:before="0"/>
        <w:ind w:left="709"/>
        <w:divId w:val="266810958"/>
      </w:pPr>
      <w:r w:rsidRPr="000322E4">
        <w:t>Пациентам с противопоказаниями к</w:t>
      </w:r>
      <w:r w:rsidR="00E80F3F" w:rsidRPr="000322E4">
        <w:t xml:space="preserve"> ПЭТ/КТ и</w:t>
      </w:r>
      <w:r w:rsidRPr="000322E4">
        <w:t xml:space="preserve"> КТ, либо при невозможности выполнения </w:t>
      </w:r>
      <w:r w:rsidR="00E80F3F" w:rsidRPr="000322E4">
        <w:t>ПЭТ/</w:t>
      </w:r>
      <w:r w:rsidRPr="000322E4">
        <w:t>КТ</w:t>
      </w:r>
      <w:r w:rsidR="00E80F3F" w:rsidRPr="000322E4">
        <w:t xml:space="preserve"> и КТ</w:t>
      </w:r>
      <w:r w:rsidRPr="000322E4">
        <w:t>, при установ</w:t>
      </w:r>
      <w:r w:rsidR="007C3C41" w:rsidRPr="000322E4">
        <w:t>лении</w:t>
      </w:r>
      <w:r w:rsidRPr="000322E4">
        <w:t xml:space="preserve"> диагноза </w:t>
      </w:r>
      <w:r w:rsidR="00622670" w:rsidRPr="000322E4">
        <w:t>ДВКЛ</w:t>
      </w:r>
      <w:r w:rsidR="009B70C4" w:rsidRPr="000322E4">
        <w:t>, ПМВКЛ или ЛБ</w:t>
      </w:r>
      <w:r w:rsidRPr="000322E4">
        <w:t xml:space="preserve">, при оценке ответа на лечение, а также при подозрении на рецидив заболевания </w:t>
      </w:r>
      <w:r w:rsidRPr="000322E4">
        <w:rPr>
          <w:b/>
        </w:rPr>
        <w:t>рекомендуется</w:t>
      </w:r>
      <w:r w:rsidRPr="000322E4">
        <w:t xml:space="preserve"> </w:t>
      </w:r>
      <w:r w:rsidR="000F4D7F" w:rsidRPr="000322E4">
        <w:t xml:space="preserve">для стадирования заболевания и уточнения наличия, размеров и распространенности опухолевых очагов </w:t>
      </w:r>
      <w:r w:rsidRPr="000322E4">
        <w:t>выполнить</w:t>
      </w:r>
      <w:r w:rsidR="000F4D7F" w:rsidRPr="000322E4">
        <w:t xml:space="preserve"> следующие диагностические исследования </w:t>
      </w:r>
      <w:r w:rsidR="000F4D7F" w:rsidRPr="000322E4">
        <w:fldChar w:fldCharType="begin" w:fldLock="1"/>
      </w:r>
      <w:r w:rsidR="009D170B">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mendeley":{"formattedCitation":"[27]","plainTextFormattedCitation":"[27]","previouslyFormattedCitation":"[27]"},"properties":{"noteIndex":0},"schema":"https://github.com/citation-style-language/schema/raw/master/csl-citation.json"}</w:instrText>
      </w:r>
      <w:r w:rsidR="000F4D7F" w:rsidRPr="000322E4">
        <w:fldChar w:fldCharType="separate"/>
      </w:r>
      <w:r w:rsidR="00095D58" w:rsidRPr="00095D58">
        <w:rPr>
          <w:noProof/>
        </w:rPr>
        <w:t>[27]</w:t>
      </w:r>
      <w:r w:rsidR="000F4D7F" w:rsidRPr="000322E4">
        <w:fldChar w:fldCharType="end"/>
      </w:r>
      <w:r w:rsidR="000F4D7F" w:rsidRPr="000322E4">
        <w:t>:</w:t>
      </w:r>
    </w:p>
    <w:p w14:paraId="5E989251" w14:textId="77777777" w:rsidR="00B0429E" w:rsidRPr="000322E4" w:rsidRDefault="00B0429E" w:rsidP="00CA442F">
      <w:pPr>
        <w:pStyle w:val="afe"/>
        <w:numPr>
          <w:ilvl w:val="1"/>
          <w:numId w:val="6"/>
        </w:numPr>
        <w:divId w:val="266810958"/>
        <w:rPr>
          <w:color w:val="000000" w:themeColor="text1"/>
        </w:rPr>
      </w:pPr>
      <w:r w:rsidRPr="000322E4">
        <w:rPr>
          <w:color w:val="000000" w:themeColor="text1"/>
        </w:rPr>
        <w:t>рентгенографию органов грудной клетки в двух проекциях</w:t>
      </w:r>
      <w:r w:rsidR="000F4D7F" w:rsidRPr="000322E4">
        <w:t>;</w:t>
      </w:r>
    </w:p>
    <w:p w14:paraId="1E321DE5" w14:textId="77777777" w:rsidR="000F4D7F" w:rsidRPr="000322E4" w:rsidRDefault="000F4D7F" w:rsidP="00CA442F">
      <w:pPr>
        <w:pStyle w:val="afe"/>
        <w:numPr>
          <w:ilvl w:val="1"/>
          <w:numId w:val="6"/>
        </w:numPr>
        <w:divId w:val="266810958"/>
        <w:rPr>
          <w:color w:val="000000" w:themeColor="text1"/>
        </w:rPr>
      </w:pPr>
      <w:r w:rsidRPr="000322E4">
        <w:rPr>
          <w:color w:val="000000" w:themeColor="text1"/>
        </w:rPr>
        <w:t>ультразвуковое исследование лимфатических узлов и внутренних органов</w:t>
      </w:r>
      <w:r w:rsidR="00622670" w:rsidRPr="000322E4">
        <w:rPr>
          <w:color w:val="000000" w:themeColor="text1"/>
        </w:rPr>
        <w:t>, у мужчин – также яичек</w:t>
      </w:r>
      <w:r w:rsidRPr="000322E4">
        <w:rPr>
          <w:color w:val="000000" w:themeColor="text1"/>
        </w:rPr>
        <w:t>.</w:t>
      </w:r>
    </w:p>
    <w:p w14:paraId="03B1A653" w14:textId="77777777" w:rsidR="00B0429E" w:rsidRPr="000322E4" w:rsidRDefault="00B0429E" w:rsidP="00CA442F">
      <w:pPr>
        <w:spacing w:line="360" w:lineRule="auto"/>
        <w:ind w:left="709"/>
        <w:contextualSpacing/>
        <w:jc w:val="both"/>
        <w:divId w:val="266810958"/>
        <w:rPr>
          <w:b/>
        </w:rPr>
      </w:pPr>
      <w:r w:rsidRPr="000322E4">
        <w:rPr>
          <w:b/>
        </w:rPr>
        <w:t>Уровень убедительности рекомендаций С (уровень достоверности доказательств 5).</w:t>
      </w:r>
    </w:p>
    <w:p w14:paraId="5146603E" w14:textId="77736809" w:rsidR="00B0429E" w:rsidRDefault="00B0429E" w:rsidP="005F1C5F">
      <w:pPr>
        <w:spacing w:line="360" w:lineRule="auto"/>
        <w:ind w:firstLine="709"/>
        <w:contextualSpacing/>
        <w:jc w:val="both"/>
        <w:divId w:val="266810958"/>
        <w:rPr>
          <w:i/>
        </w:rPr>
      </w:pPr>
      <w:r w:rsidRPr="000322E4">
        <w:rPr>
          <w:b/>
        </w:rPr>
        <w:t>Комментарии:</w:t>
      </w:r>
      <w:r w:rsidRPr="000322E4">
        <w:t xml:space="preserve"> </w:t>
      </w:r>
      <w:r w:rsidR="000F4D7F" w:rsidRPr="000322E4">
        <w:rPr>
          <w:i/>
        </w:rPr>
        <w:t xml:space="preserve">при </w:t>
      </w:r>
      <w:r w:rsidRPr="000322E4">
        <w:rPr>
          <w:i/>
        </w:rPr>
        <w:t>ультразвуковом исследовании необходимо оценить периферические лимфатические узлы, внутрибрюшные, забрюшинные узлы, органы брюшной полости и малого таза.</w:t>
      </w:r>
      <w:r w:rsidR="00F6558C" w:rsidRPr="000322E4">
        <w:rPr>
          <w:i/>
        </w:rPr>
        <w:t xml:space="preserve"> Лимфоузлы диаметром менее 1 см считаются </w:t>
      </w:r>
      <w:r w:rsidR="00F6558C" w:rsidRPr="000322E4">
        <w:rPr>
          <w:i/>
        </w:rPr>
        <w:lastRenderedPageBreak/>
        <w:t>непораженными, лимфоузлы диаметром 1-2 см требуют динамического наблюдения в процессе терапии, лимфоузлы диаметром более 2 см считаются пораженными.</w:t>
      </w:r>
    </w:p>
    <w:p w14:paraId="216B19E8" w14:textId="0C2C5A98" w:rsidR="007F5C33" w:rsidRPr="000322E4" w:rsidRDefault="00293AC8" w:rsidP="005F1C5F">
      <w:pPr>
        <w:spacing w:line="360" w:lineRule="auto"/>
        <w:ind w:firstLine="709"/>
        <w:contextualSpacing/>
        <w:jc w:val="both"/>
        <w:divId w:val="266810958"/>
        <w:rPr>
          <w:i/>
        </w:rPr>
      </w:pPr>
      <w:r>
        <w:rPr>
          <w:i/>
        </w:rPr>
        <w:t>У б</w:t>
      </w:r>
      <w:r w:rsidRPr="00293AC8">
        <w:rPr>
          <w:i/>
        </w:rPr>
        <w:t>еременны</w:t>
      </w:r>
      <w:r>
        <w:rPr>
          <w:i/>
        </w:rPr>
        <w:t>х</w:t>
      </w:r>
      <w:r w:rsidRPr="00293AC8">
        <w:rPr>
          <w:i/>
        </w:rPr>
        <w:t xml:space="preserve"> </w:t>
      </w:r>
      <w:r>
        <w:rPr>
          <w:i/>
        </w:rPr>
        <w:t xml:space="preserve">пациенток </w:t>
      </w:r>
      <w:r w:rsidRPr="00293AC8">
        <w:rPr>
          <w:i/>
        </w:rPr>
        <w:t xml:space="preserve">рентгенография </w:t>
      </w:r>
      <w:r>
        <w:rPr>
          <w:i/>
        </w:rPr>
        <w:t>должна выполняться</w:t>
      </w:r>
      <w:r w:rsidRPr="00293AC8">
        <w:rPr>
          <w:i/>
        </w:rPr>
        <w:t xml:space="preserve"> с использованием специального свинцового фартука для защиты плода</w:t>
      </w:r>
      <w:r w:rsidR="0007109D">
        <w:rPr>
          <w:i/>
        </w:rPr>
        <w:t>.</w:t>
      </w:r>
    </w:p>
    <w:p w14:paraId="13E71D2B" w14:textId="40F847C8" w:rsidR="00622670" w:rsidRPr="000322E4" w:rsidRDefault="00622670" w:rsidP="00CA442F">
      <w:pPr>
        <w:pStyle w:val="afff8"/>
        <w:spacing w:before="0"/>
        <w:divId w:val="266810958"/>
      </w:pPr>
      <w:r w:rsidRPr="000322E4">
        <w:t>Пациентам с подозрением на ПЛЦНС, либо с установленным диагнозом ПЛЦНС</w:t>
      </w:r>
      <w:r w:rsidR="00E80F3F" w:rsidRPr="000322E4">
        <w:t>, а также всем пациентам с ДВКЛ</w:t>
      </w:r>
      <w:r w:rsidR="0044108E">
        <w:t>, ПМВКЛ,</w:t>
      </w:r>
      <w:r w:rsidR="009B70C4" w:rsidRPr="000322E4">
        <w:t xml:space="preserve"> ЛБ</w:t>
      </w:r>
      <w:r w:rsidRPr="000322E4">
        <w:t xml:space="preserve"> </w:t>
      </w:r>
      <w:r w:rsidR="00E80F3F" w:rsidRPr="000322E4">
        <w:t xml:space="preserve">с нейролейкемией и/или неврологической симптоматикой, имеющейся в дебюте болезни или на этапах ее развития, </w:t>
      </w:r>
      <w:r w:rsidRPr="000322E4">
        <w:t xml:space="preserve">перед лечением, после завершения лечения или в процессе лечения для исключения прогрессирования, </w:t>
      </w:r>
      <w:r w:rsidRPr="000322E4">
        <w:rPr>
          <w:b/>
          <w:bCs/>
        </w:rPr>
        <w:t>рекомендуется</w:t>
      </w:r>
      <w:r w:rsidRPr="000322E4">
        <w:t xml:space="preserve"> выполнить МРТ головного мозга с внутривенным контрастированием для уточнения распространенности опухолевого процесса или оценки противоопухолевого эффекта, если исследование выполнено в динамике </w:t>
      </w:r>
      <w:r w:rsidRPr="000322E4">
        <w:fldChar w:fldCharType="begin" w:fldLock="1"/>
      </w:r>
      <w:r w:rsidR="009D170B">
        <w:instrText>ADDIN CSL_CITATION {"citationItems":[{"id":"ITEM-1","itemData":{"DOI":"10.1200/JCO.2017.72.7602","ISSN":"15277755","PMID":"28640701","abstract":"Primary CNS lymphoma (PCNSL) is a rare form of extranodal non-Hodgkin lymphoma that is typically confined to the brain, eyes, and cerebrospinal fluid without evidence of systemic spread. The prognosis of patients with PCNSL has improved during the last decades with the introduction of high-dose methotrexate. However, despite recent progress, results after treatment are durable in half of patients, and therapy can be associated with late neurotoxicity. PCNSL is an uncommon tumor, and only four randomized trials and one phase III trial have been completed so far, all in the first-line setting. To our knowledge, no randomized trial has been conducted for recurrent/refractory disease, leaving many questions unanswered about optimal first-line and salvage treatments. This review will give an overview of the presentation, evaluation, and treatment of immunocompetent patients with PCNSL.","author":[{"dropping-particle":"","family":"Grommes","given":"Christian","non-dropping-particle":"","parse-names":false,"suffix":""},{"dropping-particle":"","family":"DeAngelis","given":"Lisa M.","non-dropping-particle":"","parse-names":false,"suffix":""}],"container-title":"Journal of Clinical Oncology","id":"ITEM-1","issue":"21","issued":{"date-parts":[["2017","7","20"]]},"page":"2410-2418","publisher":"American Society of Clinical Oncology","title":"Primary CNS lymphoma","type":"article","volume":"35"},"uris":["http://www.mendeley.com/documents/?uuid=182c350d-ad17-3bb3-bec5-d0f20d4b7264"]},{"id":"ITEM-2","itemData":{"author":[{"dropping-particle":"","family":"Кузьмин","given":"А.А.","non-dropping-particle":"","parse-names":false,"suffix":""},{"dropping-particle":"","family":"Бабичева","given":"Л.Г.","non-dropping-particle":"","parse-names":false,"suffix":""},{"dropping-particle":"","family":"Тумян","given":"Г.С.","non-dropping-particle":"","parse-names":false,"suffix":""},{"dropping-particle":"","family":"Птушкин","given":"В.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Савченко.","id":"ITEM-2","issued":{"date-parts":[["2018"]]},"page":"87-93","title":"Первичная лимфома центральной нервной системы","type":"chapter"},"uris":["http://www.mendeley.com/documents/?uuid=dac650cf-b934-4db3-8c16-71fbc7fc82e3"]}],"mendeley":{"formattedCitation":"[26,43]","plainTextFormattedCitation":"[26,43]","previouslyFormattedCitation":"[26,43]"},"properties":{"noteIndex":0},"schema":"https://github.com/citation-style-language/schema/raw/master/csl-citation.json"}</w:instrText>
      </w:r>
      <w:r w:rsidRPr="000322E4">
        <w:fldChar w:fldCharType="separate"/>
      </w:r>
      <w:r w:rsidR="00095D58" w:rsidRPr="00095D58">
        <w:rPr>
          <w:noProof/>
        </w:rPr>
        <w:t>[26,43]</w:t>
      </w:r>
      <w:r w:rsidRPr="000322E4">
        <w:fldChar w:fldCharType="end"/>
      </w:r>
      <w:r w:rsidRPr="000322E4">
        <w:t>.</w:t>
      </w:r>
    </w:p>
    <w:p w14:paraId="2456AAA7" w14:textId="0BB88736" w:rsidR="00622670" w:rsidRDefault="00622670" w:rsidP="00CA442F">
      <w:pPr>
        <w:pStyle w:val="afe"/>
        <w:ind w:left="709" w:firstLine="0"/>
        <w:divId w:val="266810958"/>
        <w:rPr>
          <w:b/>
        </w:rPr>
      </w:pPr>
      <w:r w:rsidRPr="000322E4">
        <w:rPr>
          <w:b/>
        </w:rPr>
        <w:t>Уровень убедительности рекомендаций С (уровень достоверности доказательств 5).</w:t>
      </w:r>
    </w:p>
    <w:p w14:paraId="4127EBF9" w14:textId="2D9944A4" w:rsidR="007F5C33" w:rsidRPr="005572BF" w:rsidRDefault="007F5C33" w:rsidP="005F1C5F">
      <w:pPr>
        <w:pStyle w:val="afe"/>
        <w:ind w:left="0"/>
        <w:divId w:val="266810958"/>
        <w:rPr>
          <w:color w:val="000000" w:themeColor="text1"/>
        </w:rPr>
      </w:pPr>
      <w:r w:rsidRPr="000322E4">
        <w:rPr>
          <w:b/>
        </w:rPr>
        <w:t>Комментарии:</w:t>
      </w:r>
      <w:r w:rsidRPr="000322E4">
        <w:t xml:space="preserve"> </w:t>
      </w:r>
      <w:r w:rsidR="005572BF">
        <w:rPr>
          <w:i/>
        </w:rPr>
        <w:t xml:space="preserve">беременным пациенткам МРТ должно выполняться без контрастирования </w:t>
      </w:r>
      <w:r w:rsidR="005572BF">
        <w:rPr>
          <w:i/>
        </w:rPr>
        <w:fldChar w:fldCharType="begin" w:fldLock="1"/>
      </w:r>
      <w:r w:rsidR="009D170B">
        <w:rPr>
          <w:i/>
        </w:rPr>
        <w:instrText>ADDIN CSL_CITATION {"citationItems":[{"id":"ITEM-1","itemData":{"DOI":"10.1177/1753495X19838658","ISSN":"1753-495X","PMID":"31523267","abstract":"The use of diagnostic imaging involving ionising radiation may be necessary in pregnancy and requires an assessment of the most appropriate and safest imaging modality which will provide the necessary information balanced with the potential risks to the mother and fetus. In most cases, this will involve a potential fetal radiation dose well below 50 mGy. At these doses, there is no risk of lethality, genetic damage/epigenetic change, teratogenicity, growth impairment or sterility. Older epidemiological data indicating a potential increased cancer risk have been contradicted by newer data and better understanding of the biology of low dose radiation. The linear no-threshold rule has been challenged by many and more realistic estimates of oncogenicity risk along with the potential risks of contrast agents are summarised in this review. Imaging in the pregnant population is increasing in both the number of examinations performed and the number of patients being imaged, with the greatest increase being computed tomography scans. Counselling and obtaining informed consent for imaging that involves radiation requires the clinician to communicate with the woman and her family a realistic estimate of the potential radiation dose to herself and her fetus, to describe and quantitate the risks of this estimated dose, to outline the benefits of the imaging procedure and to respond to any questions or concerns. As almost all diagnostic imaging involves doses below the 50 mGy threshold, clinically indicated investigations should not be withheld during pregnancy. All allied staff must also be well informed to ensure the patient receives a consistent message about the risks and benefits of the proposed test.","author":[{"dropping-particle":"","family":"Lowe","given":"Sandra","non-dropping-particle":"","parse-names":false,"suffix":""}],"container-title":"Obstetric medicine","id":"ITEM-1","issue":"3","issued":{"date-parts":[["2019","9","1"]]},"page":"116-122","publisher":"Obstet Med","title":"Diagnostic imaging in pregnancy: Making informed decisions","type":"article-journal","volume":"12"},"uris":["http://www.mendeley.com/documents/?uuid=49430122-e641-3efb-8f9a-9200dfb54970"]}],"mendeley":{"formattedCitation":"[42]","plainTextFormattedCitation":"[42]","previouslyFormattedCitation":"[42]"},"properties":{"noteIndex":0},"schema":"https://github.com/citation-style-language/schema/raw/master/csl-citation.json"}</w:instrText>
      </w:r>
      <w:r w:rsidR="005572BF">
        <w:rPr>
          <w:i/>
        </w:rPr>
        <w:fldChar w:fldCharType="separate"/>
      </w:r>
      <w:r w:rsidR="00095D58" w:rsidRPr="00095D58">
        <w:rPr>
          <w:noProof/>
        </w:rPr>
        <w:t>[42]</w:t>
      </w:r>
      <w:r w:rsidR="005572BF">
        <w:rPr>
          <w:i/>
        </w:rPr>
        <w:fldChar w:fldCharType="end"/>
      </w:r>
    </w:p>
    <w:p w14:paraId="2BDD8CB4" w14:textId="4102EA59" w:rsidR="00EB08D0" w:rsidRPr="000322E4" w:rsidRDefault="005F1C5F" w:rsidP="00CA442F">
      <w:pPr>
        <w:pStyle w:val="afff8"/>
        <w:spacing w:before="0"/>
        <w:divId w:val="266810958"/>
      </w:pPr>
      <w:r>
        <w:t>П</w:t>
      </w:r>
      <w:r w:rsidR="00B0429E" w:rsidRPr="000322E4">
        <w:t xml:space="preserve">ациентам с установленным диагнозом </w:t>
      </w:r>
      <w:r w:rsidR="0007109D" w:rsidRPr="00095D58">
        <w:rPr>
          <w:color w:val="000000" w:themeColor="text1"/>
        </w:rPr>
        <w:t>ДВКЛ, ПМВКЛ</w:t>
      </w:r>
      <w:r w:rsidR="00341C3D" w:rsidRPr="00095D58">
        <w:rPr>
          <w:color w:val="000000" w:themeColor="text1"/>
        </w:rPr>
        <w:t xml:space="preserve">, </w:t>
      </w:r>
      <w:r w:rsidR="0007109D" w:rsidRPr="00095D58">
        <w:rPr>
          <w:color w:val="000000" w:themeColor="text1"/>
        </w:rPr>
        <w:t>ЛБ</w:t>
      </w:r>
      <w:r w:rsidR="00B0429E" w:rsidRPr="000322E4">
        <w:t>, которым планируется лечение по поводу впервые установленного заболевания, либо по поводу рецидива,</w:t>
      </w:r>
      <w:r w:rsidR="009D7E19" w:rsidRPr="000322E4">
        <w:t xml:space="preserve"> </w:t>
      </w:r>
      <w:r w:rsidR="00B0429E" w:rsidRPr="000322E4">
        <w:rPr>
          <w:b/>
        </w:rPr>
        <w:t>рекомендуется</w:t>
      </w:r>
      <w:r w:rsidR="00B0429E" w:rsidRPr="000322E4">
        <w:t xml:space="preserve"> </w:t>
      </w:r>
      <w:r w:rsidR="00EB08D0" w:rsidRPr="000322E4">
        <w:t>для своевременного выявления сопутствующей патологии со стороны сердечно-сосудистой, дыхательной и пищеварительной систем и для определения необходимости их профилактики или лечения рекомендуется выполнить следующие исследования</w:t>
      </w:r>
      <w:r w:rsidR="00B0429E" w:rsidRPr="000322E4">
        <w:t xml:space="preserve"> </w:t>
      </w:r>
      <w:r w:rsidR="00C346EB" w:rsidRPr="000322E4">
        <w:fldChar w:fldCharType="begin" w:fldLock="1"/>
      </w:r>
      <w:r w:rsidR="009D170B">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id":"ITEM-2","itemData":{"author":[{"dropping-particle":"","family":"Барях","given":"Е.А.","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Савченко.","id":"ITEM-2","issued":{"date-parts":[["2018"]]},"page":"80-87","title":"Лимфома Беркитта","type":"chapter"},"uris":["http://www.mendeley.com/documents/?uuid=6c46cd48-7af0-4ac2-8eb1-93f86718c4df"]}],"mendeley":{"formattedCitation":"[4,27]","plainTextFormattedCitation":"[4,27]","previouslyFormattedCitation":"[4,27]"},"properties":{"noteIndex":0},"schema":"https://github.com/citation-style-language/schema/raw/master/csl-citation.json"}</w:instrText>
      </w:r>
      <w:r w:rsidR="00C346EB" w:rsidRPr="000322E4">
        <w:fldChar w:fldCharType="separate"/>
      </w:r>
      <w:r w:rsidR="00095D58" w:rsidRPr="00095D58">
        <w:rPr>
          <w:noProof/>
        </w:rPr>
        <w:t>[4,27]</w:t>
      </w:r>
      <w:r w:rsidR="00C346EB" w:rsidRPr="000322E4">
        <w:fldChar w:fldCharType="end"/>
      </w:r>
      <w:r w:rsidR="00EB08D0" w:rsidRPr="000322E4">
        <w:t>:</w:t>
      </w:r>
    </w:p>
    <w:p w14:paraId="6D6BAC88" w14:textId="77777777" w:rsidR="00EB08D0" w:rsidRPr="000322E4" w:rsidRDefault="00EB08D0" w:rsidP="00CA442F">
      <w:pPr>
        <w:pStyle w:val="afe"/>
        <w:numPr>
          <w:ilvl w:val="1"/>
          <w:numId w:val="6"/>
        </w:numPr>
        <w:divId w:val="266810958"/>
      </w:pPr>
      <w:r w:rsidRPr="000322E4">
        <w:t>электрокардиографию;</w:t>
      </w:r>
    </w:p>
    <w:p w14:paraId="56C6C0C3" w14:textId="77777777" w:rsidR="00EB08D0" w:rsidRPr="000322E4" w:rsidRDefault="00EB08D0" w:rsidP="00CA442F">
      <w:pPr>
        <w:pStyle w:val="afe"/>
        <w:numPr>
          <w:ilvl w:val="1"/>
          <w:numId w:val="6"/>
        </w:numPr>
        <w:divId w:val="266810958"/>
      </w:pPr>
      <w:r w:rsidRPr="000322E4">
        <w:t>эхокардиографию;</w:t>
      </w:r>
    </w:p>
    <w:p w14:paraId="21DDCD49" w14:textId="77777777" w:rsidR="00EB08D0" w:rsidRPr="000322E4" w:rsidRDefault="00EB08D0" w:rsidP="00CA442F">
      <w:pPr>
        <w:pStyle w:val="afe"/>
        <w:numPr>
          <w:ilvl w:val="1"/>
          <w:numId w:val="6"/>
        </w:numPr>
        <w:divId w:val="266810958"/>
      </w:pPr>
      <w:r w:rsidRPr="000322E4">
        <w:t>эзофагогастродоуденоскопию;</w:t>
      </w:r>
    </w:p>
    <w:p w14:paraId="55193831" w14:textId="77777777" w:rsidR="009D7E19" w:rsidRPr="000322E4" w:rsidRDefault="009D7E19" w:rsidP="00CA442F">
      <w:pPr>
        <w:pStyle w:val="afe"/>
        <w:numPr>
          <w:ilvl w:val="1"/>
          <w:numId w:val="6"/>
        </w:numPr>
        <w:divId w:val="266810958"/>
      </w:pPr>
      <w:r w:rsidRPr="000322E4">
        <w:t>колоноскопию, биопсию кишки эндоскопическую при подозрении на поражение кишки при ЛБ;</w:t>
      </w:r>
    </w:p>
    <w:p w14:paraId="438DA55D" w14:textId="2BC09FA1" w:rsidR="00EB08D0" w:rsidRPr="000322E4" w:rsidRDefault="00EB08D0" w:rsidP="00CA442F">
      <w:pPr>
        <w:pStyle w:val="afe"/>
        <w:numPr>
          <w:ilvl w:val="1"/>
          <w:numId w:val="6"/>
        </w:numPr>
        <w:divId w:val="266810958"/>
      </w:pPr>
      <w:r w:rsidRPr="000322E4">
        <w:t>ультразвуковую допплерографию сосудов (артерий и вен) нижних конечностей</w:t>
      </w:r>
      <w:r w:rsidR="00E80F3F" w:rsidRPr="000322E4">
        <w:t xml:space="preserve"> </w:t>
      </w:r>
      <w:r w:rsidR="00E80F3F" w:rsidRPr="000322E4">
        <w:fldChar w:fldCharType="begin" w:fldLock="1"/>
      </w:r>
      <w:r w:rsidR="009D170B">
        <w:instrText>ADDIN CSL_CITATION {"citationItems":[{"id":"ITEM-1","itemData":{"DOI":"10.5812/ircmj.14722","ISSN":"20741812","abstract":"Background: Deep vein thrombosis (DVT) is a well-recognized complication in patients with cancer. Chemotherapy and cancer surgery increase the risk of DVT in these patients. There are a few reports about the prevalence of DVT in patients with cancer regarding different managing modalities. Objectives: This study aimed to assess the prevalence of DVT in patients with cancer, who were hospitalized in teaching hospitals, according to their treatment intervention. Patients and Methods: A cross-sectional retrospective study was conducted on 602 patients with cancer in Kerman, Iran, during years 2006-2007. Among the subjects, 301 had been operated and the rest had received chemotherapy. The prevalence of DVT was determined based on patients’ variables, cancer factors, and therapeutic modalities. Results: Totally, 349 subjects (58%) were male. DVT incidence was 19.9%, most of the cases were over 40 years of age (82.2%), and 21.2% of males and 18.2% of females had developed DVT. The prevalence of DVT in chemotherapy group was higher than that in surgery group (21.9% and 17.9%, respectively); however, this difference was statistically insignificant. DVT developed more frequently in lung cancer (42%) with small cell carcinoma being the most common pathologic finding (42.9%) in those with lung cancer (P = 0.0001). Conclusions: DVT occurs frequently in patients with malignancies. In this study, there was no association between DVT prevalence and age as well as sex; nonetheless, the prevalence was significantly higher in some sites and in patients with certain pathologies. Although DVT prevalence was higher in chemotherapy than in surgery, the difference was insignificant. Informing patients with cancer about symptoms of DVT and prophylactic interventions are warranted.","author":[{"dropping-particle":"","family":"Fekri","given":"Mitra Samare","non-dropping-particle":"","parse-names":false,"suffix":""},{"dropping-particle":"","family":"Zade","given":"Mahdie Khalily","non-dropping-particle":"","parse-names":false,"suffix":""},{"dropping-particle":"","family":"Fatehi","given":"Shima","non-dropping-particle":"","parse-names":false,"suffix":""}],"container-title":"Iranian Red Crescent Medical Journal","id":"ITEM-1","issue":"9","issued":{"date-parts":[["2014","9","1"]]},"publisher":"Kowsar Medical Publishing Company","title":"The association of deep vein thrombosis with cancer treatment modality: Chemotherapy or surgery?","type":"article-journal","volume":"16"},"uris":["http://www.mendeley.com/documents/?uuid=ae10daf8-ebbd-3677-a3a8-37a3491efde5"]}],"mendeley":{"formattedCitation":"[44]","plainTextFormattedCitation":"[44]","previouslyFormattedCitation":"[44]"},"properties":{"noteIndex":0},"schema":"https://github.com/citation-style-language/schema/raw/master/csl-citation.json"}</w:instrText>
      </w:r>
      <w:r w:rsidR="00E80F3F" w:rsidRPr="000322E4">
        <w:fldChar w:fldCharType="separate"/>
      </w:r>
      <w:r w:rsidR="00095D58" w:rsidRPr="00095D58">
        <w:rPr>
          <w:noProof/>
        </w:rPr>
        <w:t>[44]</w:t>
      </w:r>
      <w:r w:rsidR="00E80F3F" w:rsidRPr="000322E4">
        <w:fldChar w:fldCharType="end"/>
      </w:r>
    </w:p>
    <w:p w14:paraId="2C0DBA67" w14:textId="77777777" w:rsidR="00B0429E" w:rsidRPr="000322E4" w:rsidRDefault="00B0429E" w:rsidP="00CA442F">
      <w:pPr>
        <w:pStyle w:val="afffa"/>
        <w:divId w:val="266810958"/>
      </w:pPr>
      <w:r w:rsidRPr="000322E4">
        <w:t>Уровень убедительности рекомендаций С (уровень достоверности доказательств 5).</w:t>
      </w:r>
    </w:p>
    <w:p w14:paraId="25B4BE30" w14:textId="6030CA4F" w:rsidR="00622670" w:rsidRDefault="00622670" w:rsidP="005F1C5F">
      <w:pPr>
        <w:spacing w:line="360" w:lineRule="auto"/>
        <w:ind w:firstLine="709"/>
        <w:contextualSpacing/>
        <w:jc w:val="both"/>
        <w:divId w:val="266810958"/>
        <w:rPr>
          <w:i/>
          <w:spacing w:val="-4"/>
        </w:rPr>
      </w:pPr>
      <w:r w:rsidRPr="000322E4">
        <w:rPr>
          <w:b/>
        </w:rPr>
        <w:t>Комментарии:</w:t>
      </w:r>
      <w:r w:rsidRPr="000322E4">
        <w:t xml:space="preserve"> </w:t>
      </w:r>
      <w:r w:rsidRPr="000322E4">
        <w:rPr>
          <w:i/>
          <w:spacing w:val="-4"/>
        </w:rPr>
        <w:t>эзофагогастродоуденоскопия выполняется как с целью установления распространенности опухолевого процесса, так и с целью исключения неопухолевой патологии, требующей дополнительного лечения, профилактики развития осложнений в процессе терапии.</w:t>
      </w:r>
    </w:p>
    <w:p w14:paraId="62925CCC" w14:textId="44A3A5AA" w:rsidR="009D48DA" w:rsidRPr="000322E4" w:rsidRDefault="009D48DA" w:rsidP="005F1C5F">
      <w:pPr>
        <w:pStyle w:val="a"/>
        <w:spacing w:before="0"/>
        <w:ind w:left="709"/>
        <w:divId w:val="266810958"/>
      </w:pPr>
      <w:r>
        <w:lastRenderedPageBreak/>
        <w:t xml:space="preserve">Беременным пациенткам с </w:t>
      </w:r>
      <w:r w:rsidR="0044108E">
        <w:t>ДВКЛ, ПМВКЛ,</w:t>
      </w:r>
      <w:r w:rsidRPr="000322E4">
        <w:t xml:space="preserve"> ЛБ</w:t>
      </w:r>
      <w:r w:rsidR="00916D58">
        <w:t xml:space="preserve"> </w:t>
      </w:r>
      <w:r w:rsidRPr="000322E4">
        <w:rPr>
          <w:b/>
        </w:rPr>
        <w:t>рекомендуется</w:t>
      </w:r>
      <w:r w:rsidRPr="000322E4">
        <w:t xml:space="preserve"> </w:t>
      </w:r>
      <w:r w:rsidR="00916D58" w:rsidRPr="00916D58">
        <w:t>УЗИ плода</w:t>
      </w:r>
      <w:r w:rsidR="00CD0151">
        <w:t xml:space="preserve">, а также (с 22 недели) </w:t>
      </w:r>
      <w:r w:rsidR="00CD0151" w:rsidRPr="00CD0151">
        <w:t xml:space="preserve">допплерометрия плода с оценкой фето-плацентарного, маточно-плацентарного кровотока и кровотока в средней мозговой артерии плода </w:t>
      </w:r>
      <w:r w:rsidR="00916D58" w:rsidRPr="00916D58">
        <w:t>перед началом ХТ</w:t>
      </w:r>
      <w:r w:rsidR="00916D58">
        <w:t xml:space="preserve"> и </w:t>
      </w:r>
      <w:r w:rsidR="00916D58" w:rsidRPr="00916D58">
        <w:t>перед каждым последующим курсом ХТ для оценки роста и развития плода,  количества околоплодных вод, состояния плаценты</w:t>
      </w:r>
      <w:r w:rsidRPr="000322E4">
        <w:t xml:space="preserve"> </w:t>
      </w:r>
      <w:r w:rsidRPr="000322E4">
        <w:fldChar w:fldCharType="begin" w:fldLock="1"/>
      </w:r>
      <w:r w:rsidR="009D170B">
        <w:instrText>ADDIN CSL_CITATION {"citationItems":[{"id":"ITEM-1","itemData":{"author":[{"dropping-particle":"","family":"Мангасарова","given":"Я.К.","non-dropping-particle":"","parse-names":false,"suffix":""},{"dropping-particle":"","family":"Магомедова","given":"А.У.","non-dropping-particle":"","parse-names":false,"suffix":""},{"dropping-particle":"","family":"Нестерова","given":"Е.С.","non-dropping-particle":"","parse-names":false,"suffix":""},{"dropping-particle":"","family":"Горенкова","given":"Л.Г.","non-dropping-particle":"","parse-names":false,"suffix":""},{"dropping-particle":"","family":"Бабаева","given":"Ф.Э.","non-dropping-particle":"","parse-names":false,"suffix":""},{"dropping-particle":"","family":"Шмаков","given":"Р.Г.","non-dropping-particle":"","parse-names":false,"suffix":""},{"dropping-particle":"","family":"Кравченко","given":"С.К.","non-dropping-particle":"","parse-names":false,"suffix":""}],"container-title":"Клиническая онкогематология","id":"ITEM-1","issue":"3","issued":{"date-parts":[["2020"]]},"page":"316-321","title":"Терапия агрессивных неходжкинских лимфом у беременных","type":"article-journal","volume":"13"},"uris":["http://www.mendeley.com/documents/?uuid=fd881d44-3009-444c-81bf-f5b416a399b8"]}],"mendeley":{"formattedCitation":"[45]","plainTextFormattedCitation":"[45]","previouslyFormattedCitation":"[45]"},"properties":{"noteIndex":0},"schema":"https://github.com/citation-style-language/schema/raw/master/csl-citation.json"}</w:instrText>
      </w:r>
      <w:r w:rsidRPr="000322E4">
        <w:fldChar w:fldCharType="separate"/>
      </w:r>
      <w:r w:rsidR="00095D58" w:rsidRPr="00095D58">
        <w:rPr>
          <w:noProof/>
        </w:rPr>
        <w:t>[45]</w:t>
      </w:r>
      <w:r w:rsidRPr="000322E4">
        <w:fldChar w:fldCharType="end"/>
      </w:r>
      <w:r w:rsidR="001D4258">
        <w:t>.</w:t>
      </w:r>
    </w:p>
    <w:p w14:paraId="24EBBBC6" w14:textId="318F25F1" w:rsidR="009D48DA" w:rsidRDefault="009D48DA" w:rsidP="009D48DA">
      <w:pPr>
        <w:spacing w:line="360" w:lineRule="auto"/>
        <w:ind w:left="709"/>
        <w:contextualSpacing/>
        <w:jc w:val="both"/>
        <w:divId w:val="266810958"/>
        <w:rPr>
          <w:b/>
        </w:rPr>
      </w:pPr>
      <w:r w:rsidRPr="000322E4">
        <w:rPr>
          <w:b/>
        </w:rPr>
        <w:t>Уровень убедительности рекомендаций С (уровень достоверности доказательств 5).</w:t>
      </w:r>
    </w:p>
    <w:p w14:paraId="4258D3C9" w14:textId="4E9CA86A" w:rsidR="001D4258" w:rsidRPr="000322E4" w:rsidRDefault="001D4258" w:rsidP="005F1C5F">
      <w:pPr>
        <w:pStyle w:val="a"/>
        <w:spacing w:before="0"/>
        <w:ind w:left="709"/>
        <w:divId w:val="266810958"/>
      </w:pPr>
      <w:r>
        <w:t xml:space="preserve">Беременным пациенткам с </w:t>
      </w:r>
      <w:r w:rsidR="0044108E">
        <w:t>ДВКЛ, ПМВКЛ,</w:t>
      </w:r>
      <w:r w:rsidRPr="000322E4">
        <w:t xml:space="preserve"> ЛБ</w:t>
      </w:r>
      <w:r>
        <w:t xml:space="preserve"> </w:t>
      </w:r>
      <w:r w:rsidRPr="000322E4">
        <w:rPr>
          <w:b/>
        </w:rPr>
        <w:t>рекомендуется</w:t>
      </w:r>
      <w:r w:rsidRPr="000322E4">
        <w:t xml:space="preserve"> </w:t>
      </w:r>
      <w:r w:rsidRPr="00916D58">
        <w:t>УЗИ плода перед началом ХТ</w:t>
      </w:r>
      <w:r>
        <w:t xml:space="preserve"> и </w:t>
      </w:r>
      <w:r w:rsidRPr="00916D58">
        <w:t>перед каждым последующим курсом ХТ для оценки роста и развития плода,  количества околоплодных вод, состояния плаценты</w:t>
      </w:r>
      <w:r w:rsidRPr="000322E4">
        <w:t xml:space="preserve"> </w:t>
      </w:r>
      <w:r w:rsidRPr="000322E4">
        <w:fldChar w:fldCharType="begin" w:fldLock="1"/>
      </w:r>
      <w:r w:rsidR="009D170B">
        <w:instrText>ADDIN CSL_CITATION {"citationItems":[{"id":"ITEM-1","itemData":{"author":[{"dropping-particle":"","family":"Мангасарова","given":"Я.К.","non-dropping-particle":"","parse-names":false,"suffix":""},{"dropping-particle":"","family":"Магомедова","given":"А.У.","non-dropping-particle":"","parse-names":false,"suffix":""},{"dropping-particle":"","family":"Нестерова","given":"Е.С.","non-dropping-particle":"","parse-names":false,"suffix":""},{"dropping-particle":"","family":"Горенкова","given":"Л.Г.","non-dropping-particle":"","parse-names":false,"suffix":""},{"dropping-particle":"","family":"Бабаева","given":"Ф.Э.","non-dropping-particle":"","parse-names":false,"suffix":""},{"dropping-particle":"","family":"Шмаков","given":"Р.Г.","non-dropping-particle":"","parse-names":false,"suffix":""},{"dropping-particle":"","family":"Кравченко","given":"С.К.","non-dropping-particle":"","parse-names":false,"suffix":""}],"container-title":"Клиническая онкогематология","id":"ITEM-1","issue":"3","issued":{"date-parts":[["2020"]]},"page":"316-321","title":"Терапия агрессивных неходжкинских лимфом у беременных","type":"article-journal","volume":"13"},"uris":["http://www.mendeley.com/documents/?uuid=fd881d44-3009-444c-81bf-f5b416a399b8"]}],"mendeley":{"formattedCitation":"[45]","plainTextFormattedCitation":"[45]","previouslyFormattedCitation":"[45]"},"properties":{"noteIndex":0},"schema":"https://github.com/citation-style-language/schema/raw/master/csl-citation.json"}</w:instrText>
      </w:r>
      <w:r w:rsidRPr="000322E4">
        <w:fldChar w:fldCharType="separate"/>
      </w:r>
      <w:r w:rsidR="00095D58" w:rsidRPr="00095D58">
        <w:rPr>
          <w:noProof/>
        </w:rPr>
        <w:t>[45]</w:t>
      </w:r>
      <w:r w:rsidRPr="000322E4">
        <w:fldChar w:fldCharType="end"/>
      </w:r>
      <w:r>
        <w:t>.</w:t>
      </w:r>
    </w:p>
    <w:p w14:paraId="5BAF61CB" w14:textId="64C19BBC" w:rsidR="001D4258" w:rsidRPr="000322E4" w:rsidRDefault="001D4258" w:rsidP="001D4258">
      <w:pPr>
        <w:spacing w:line="360" w:lineRule="auto"/>
        <w:ind w:left="709"/>
        <w:contextualSpacing/>
        <w:jc w:val="both"/>
        <w:divId w:val="266810958"/>
        <w:rPr>
          <w:b/>
        </w:rPr>
      </w:pPr>
      <w:r w:rsidRPr="000322E4">
        <w:rPr>
          <w:b/>
        </w:rPr>
        <w:t>Уровень убедительности рекомендаций С (уровень достоверности доказательств 5).</w:t>
      </w:r>
    </w:p>
    <w:p w14:paraId="21F0F6D4" w14:textId="77777777" w:rsidR="00B46390" w:rsidRPr="000322E4" w:rsidRDefault="00B46390" w:rsidP="00CA442F">
      <w:pPr>
        <w:pStyle w:val="2"/>
        <w:spacing w:before="0"/>
        <w:divId w:val="266810958"/>
      </w:pPr>
      <w:bookmarkStart w:id="30" w:name="_Toc96601239"/>
      <w:r w:rsidRPr="000322E4">
        <w:t>2.5 Ин</w:t>
      </w:r>
      <w:r w:rsidR="00A70F44" w:rsidRPr="000322E4">
        <w:t>ые диагностические исследования</w:t>
      </w:r>
      <w:bookmarkEnd w:id="30"/>
    </w:p>
    <w:p w14:paraId="3439F01E" w14:textId="6745F00C" w:rsidR="00C346EB" w:rsidRPr="000322E4" w:rsidRDefault="005F1C5F" w:rsidP="00CA442F">
      <w:pPr>
        <w:pStyle w:val="afff8"/>
        <w:spacing w:before="0"/>
      </w:pPr>
      <w:bookmarkStart w:id="31" w:name="__RefHeading___doc_3"/>
      <w:r>
        <w:t>П</w:t>
      </w:r>
      <w:r w:rsidR="00C346EB" w:rsidRPr="000322E4">
        <w:t xml:space="preserve">ациентам с подозрением на </w:t>
      </w:r>
      <w:r w:rsidR="000958E3" w:rsidRPr="000322E4">
        <w:t>ДВКЛ</w:t>
      </w:r>
      <w:r w:rsidR="009B70C4" w:rsidRPr="000322E4">
        <w:t>, ПМВКЛ</w:t>
      </w:r>
      <w:r w:rsidR="00341C3D">
        <w:t>,</w:t>
      </w:r>
      <w:r w:rsidR="009B70C4" w:rsidRPr="000322E4">
        <w:t xml:space="preserve"> ЛБ</w:t>
      </w:r>
      <w:r w:rsidR="00C346EB" w:rsidRPr="000322E4">
        <w:t xml:space="preserve">, с подозрением на рецидив </w:t>
      </w:r>
      <w:r w:rsidR="000958E3" w:rsidRPr="000322E4">
        <w:t>ДВКЛ</w:t>
      </w:r>
      <w:r w:rsidR="009B70C4" w:rsidRPr="000322E4">
        <w:t>, ПМВКЛ</w:t>
      </w:r>
      <w:r w:rsidR="00341C3D">
        <w:t>,</w:t>
      </w:r>
      <w:r w:rsidR="009B70C4" w:rsidRPr="000322E4">
        <w:t xml:space="preserve"> ЛБ</w:t>
      </w:r>
      <w:r w:rsidR="00E07D1C" w:rsidRPr="000322E4">
        <w:t>, а также при неоднозначности трактовки противоопухолевого ответа после завершения лечения</w:t>
      </w:r>
      <w:r w:rsidR="00C346EB" w:rsidRPr="000322E4">
        <w:t xml:space="preserve"> </w:t>
      </w:r>
      <w:r w:rsidR="00C346EB" w:rsidRPr="000322E4">
        <w:rPr>
          <w:b/>
        </w:rPr>
        <w:t>рекомендуется</w:t>
      </w:r>
      <w:r w:rsidR="00C346EB" w:rsidRPr="000322E4">
        <w:t xml:space="preserve"> выполнить биопсию </w:t>
      </w:r>
      <w:r w:rsidR="00861F2F" w:rsidRPr="000322E4">
        <w:t xml:space="preserve">(взятие биопсийного материала) </w:t>
      </w:r>
      <w:r w:rsidR="00C346EB" w:rsidRPr="000322E4">
        <w:t>лимфатического узла либо другого очага поражения</w:t>
      </w:r>
      <w:r w:rsidR="00170E50" w:rsidRPr="000322E4">
        <w:t>,</w:t>
      </w:r>
      <w:r w:rsidR="00861F2F" w:rsidRPr="000322E4">
        <w:t xml:space="preserve"> </w:t>
      </w:r>
      <w:r w:rsidR="00170E50" w:rsidRPr="000322E4">
        <w:rPr>
          <w:szCs w:val="24"/>
          <w:lang w:eastAsia="ru-RU"/>
        </w:rPr>
        <w:t>патолого-анатомическое исследование биопсийного (операционного) материала с применением иммуногистохимических методов</w:t>
      </w:r>
      <w:r w:rsidR="00C346EB" w:rsidRPr="000322E4">
        <w:t xml:space="preserve"> для верификации диагноза </w:t>
      </w:r>
      <w:r w:rsidR="00C346EB" w:rsidRPr="000322E4">
        <w:fldChar w:fldCharType="begin" w:fldLock="1"/>
      </w:r>
      <w:r w:rsidR="009D170B">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id":"ITEM-2","itemData":{"author":[{"dropping-particle":"","family":"Тумян","given":"Г.С.","non-dropping-particle":"","parse-names":false,"suffix":""},{"dropping-particle":"","family":"Кравченко","given":"С.К.","non-dropping-particle":"","parse-names":false,"suffix":""},{"dropping-particle":"","family":"Михайлова","given":"Н.Б.","non-dropping-particle":"","parse-names":false,"suffix":""},{"dropping-particle":"","family":"Барях","given":"Е.А.","non-dropping-particle":"","parse-names":false,"suffix":""},{"dropping-particle":"","family":"Птушкин","given":"В.В.","non-dropping-particle":"","parse-names":false,"suffix":""},{"dropping-particle":"","family":"Поддубная","given":"И.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Савченко.","id":"ITEM-2","issued":{"date-parts":[["2018"]]},"page":"58-68","title":"Диффузная В-клеточная крупноклеточная лимфома","type":"chapter"},"uris":["http://www.mendeley.com/documents/?uuid=cb7114f7-4655-4733-8df2-526cc4e32730"]},{"id":"ITEM-3","itemData":{"DOI":"10.1093/annonc/mdv304","ISSN":"1569-8041","PMID":"26314773","author":[{"dropping-particle":"","family":"Tilly","given":"H","non-dropping-particle":"","parse-names":false,"suffix":""},{"dropping-particle":"","family":"Gomes da Silva","given":"M","non-dropping-particle":"","parse-names":false,"suffix":""},{"dropping-particle":"","family":"Vitolo","given":"U","non-dropping-particle":"","parse-names":false,"suffix":""},{"dropping-particle":"","family":"Jack","given":"A","non-dropping-particle":"","parse-names":false,"suffix":""},{"dropping-particle":"","family":"Meignan","given":"M","non-dropping-particle":"","parse-names":false,"suffix":""},{"dropping-particle":"","family":"Lopez-Guillermo","given":"A","non-dropping-particle":"","parse-names":false,"suffix":""},{"dropping-particle":"","family":"Walewski","given":"J","non-dropping-particle":"","parse-names":false,"suffix":""},{"dropping-particle":"","family":"André","given":"M","non-dropping-particle":"","parse-names":false,"suffix":""},{"dropping-particle":"","family":"Johnson","given":"P W","non-dropping-particle":"","parse-names":false,"suffix":""},{"dropping-particle":"","family":"Pfreundschuh","given":"M","non-dropping-particle":"","parse-names":false,"suffix":""},{"dropping-particle":"","family":"Ladetto","given":"M","non-dropping-particle":"","parse-names":false,"suffix":""},{"dropping-particle":"","family":"ESMO Guidelines Committee","given":"","non-dropping-particle":"","parse-names":false,"suffix":""}],"container-title":"Annals of oncology : official journal of the European Society for Medical Oncology","id":"ITEM-3","issued":{"date-parts":[["2015","9"]]},"page":"v116-25","title":"Diffuse large B-cell lymphoma (DLBCL): ESMO Clinical Practice Guidelines for diagnosis, treatment and follow-up.","type":"article-journal","volume":"26 Suppl 5"},"uris":["http://www.mendeley.com/documents/?uuid=1697b7a7-5190-39af-8155-3d2b075b5466"]}],"mendeley":{"formattedCitation":"[20,27,28]","plainTextFormattedCitation":"[20,27,28]","previouslyFormattedCitation":"[20,27,28]"},"properties":{"noteIndex":0},"schema":"https://github.com/citation-style-language/schema/raw/master/csl-citation.json"}</w:instrText>
      </w:r>
      <w:r w:rsidR="00C346EB" w:rsidRPr="000322E4">
        <w:fldChar w:fldCharType="separate"/>
      </w:r>
      <w:r w:rsidR="00095D58" w:rsidRPr="00095D58">
        <w:rPr>
          <w:noProof/>
        </w:rPr>
        <w:t>[20,27,28]</w:t>
      </w:r>
      <w:r w:rsidR="00C346EB" w:rsidRPr="000322E4">
        <w:fldChar w:fldCharType="end"/>
      </w:r>
      <w:r w:rsidR="00C346EB" w:rsidRPr="000322E4">
        <w:t>.</w:t>
      </w:r>
    </w:p>
    <w:p w14:paraId="2DBD8538" w14:textId="77777777" w:rsidR="00C346EB" w:rsidRPr="000322E4" w:rsidRDefault="00C346EB" w:rsidP="00CA442F">
      <w:pPr>
        <w:spacing w:line="360" w:lineRule="auto"/>
        <w:ind w:left="709"/>
        <w:contextualSpacing/>
        <w:jc w:val="both"/>
        <w:rPr>
          <w:b/>
        </w:rPr>
      </w:pPr>
      <w:r w:rsidRPr="000322E4">
        <w:rPr>
          <w:b/>
        </w:rPr>
        <w:t>Уровень убедительности рекомендаций С (уровень достоверности доказательств 5).</w:t>
      </w:r>
    </w:p>
    <w:p w14:paraId="5AAC7269" w14:textId="77777777" w:rsidR="00B16826" w:rsidRPr="000322E4" w:rsidRDefault="00C346EB" w:rsidP="005F1C5F">
      <w:pPr>
        <w:spacing w:line="360" w:lineRule="auto"/>
        <w:ind w:firstLine="709"/>
        <w:contextualSpacing/>
        <w:jc w:val="both"/>
        <w:rPr>
          <w:i/>
        </w:rPr>
      </w:pPr>
      <w:r w:rsidRPr="000322E4">
        <w:rPr>
          <w:b/>
        </w:rPr>
        <w:t>Комментарии:</w:t>
      </w:r>
      <w:r w:rsidRPr="000322E4">
        <w:rPr>
          <w:i/>
        </w:rPr>
        <w:t xml:space="preserve"> </w:t>
      </w:r>
      <w:r w:rsidR="00861F2F" w:rsidRPr="000322E4">
        <w:rPr>
          <w:i/>
        </w:rPr>
        <w:t xml:space="preserve">выбор </w:t>
      </w:r>
      <w:r w:rsidR="00B16826" w:rsidRPr="000322E4">
        <w:rPr>
          <w:i/>
        </w:rPr>
        <w:t>ткани и объем биопсии должны быть адекватны поставленной диагностической задаче.</w:t>
      </w:r>
    </w:p>
    <w:p w14:paraId="24AE0169" w14:textId="07941B12" w:rsidR="00B16826" w:rsidRPr="009D170B" w:rsidRDefault="00B16826" w:rsidP="005C4D46">
      <w:pPr>
        <w:pStyle w:val="afe"/>
        <w:numPr>
          <w:ilvl w:val="1"/>
          <w:numId w:val="122"/>
        </w:numPr>
        <w:rPr>
          <w:i/>
          <w:color w:val="000000" w:themeColor="text1"/>
        </w:rPr>
      </w:pPr>
      <w:r w:rsidRPr="009D170B">
        <w:rPr>
          <w:i/>
          <w:color w:val="000000" w:themeColor="text1"/>
        </w:rPr>
        <w:t xml:space="preserve">Тонкоигольные биопсии лимфоидной ткани </w:t>
      </w:r>
      <w:r w:rsidR="00EA30F2" w:rsidRPr="009D170B">
        <w:rPr>
          <w:i/>
          <w:color w:val="000000" w:themeColor="text1"/>
        </w:rPr>
        <w:t xml:space="preserve">не всегда </w:t>
      </w:r>
      <w:r w:rsidRPr="009D170B">
        <w:rPr>
          <w:i/>
          <w:color w:val="000000" w:themeColor="text1"/>
        </w:rPr>
        <w:t xml:space="preserve">могут быть диагностически значимыми, </w:t>
      </w:r>
      <w:r w:rsidR="00EA30F2" w:rsidRPr="009D170B">
        <w:rPr>
          <w:i/>
          <w:color w:val="000000" w:themeColor="text1"/>
        </w:rPr>
        <w:t>в связи с чем</w:t>
      </w:r>
      <w:r w:rsidRPr="009D170B">
        <w:rPr>
          <w:i/>
          <w:color w:val="000000" w:themeColor="text1"/>
        </w:rPr>
        <w:t xml:space="preserve"> </w:t>
      </w:r>
      <w:r w:rsidR="00EA30F2" w:rsidRPr="009D170B">
        <w:rPr>
          <w:rStyle w:val="affc"/>
          <w:color w:val="000000" w:themeColor="text1"/>
          <w:shd w:val="clear" w:color="auto" w:fill="FFFFFF"/>
        </w:rPr>
        <w:t>настоятельно рекомендуется выполнять эксцизионную биопсию (или при невозможности эксцизионной – расширенную биопсию).</w:t>
      </w:r>
    </w:p>
    <w:p w14:paraId="4278D5C3" w14:textId="2596AABD" w:rsidR="00B16826" w:rsidRPr="009D170B" w:rsidRDefault="00B16826" w:rsidP="005C4D46">
      <w:pPr>
        <w:pStyle w:val="afe"/>
        <w:numPr>
          <w:ilvl w:val="1"/>
          <w:numId w:val="122"/>
        </w:numPr>
        <w:rPr>
          <w:i/>
        </w:rPr>
      </w:pPr>
      <w:r w:rsidRPr="009D170B">
        <w:rPr>
          <w:i/>
        </w:rPr>
        <w:t>Краевые биопсии лимфоидной ткани мало информативны.</w:t>
      </w:r>
    </w:p>
    <w:p w14:paraId="30AD71A8" w14:textId="64FB1C98" w:rsidR="00B16826" w:rsidRPr="009D170B" w:rsidRDefault="00B16826" w:rsidP="005C4D46">
      <w:pPr>
        <w:pStyle w:val="afe"/>
        <w:numPr>
          <w:ilvl w:val="1"/>
          <w:numId w:val="122"/>
        </w:numPr>
        <w:rPr>
          <w:i/>
        </w:rPr>
      </w:pPr>
      <w:r w:rsidRPr="009D170B">
        <w:rPr>
          <w:i/>
        </w:rPr>
        <w:t>Фрагментация материала крайне затрудняет его оценку.</w:t>
      </w:r>
    </w:p>
    <w:p w14:paraId="08EE0F61" w14:textId="6F2B182D" w:rsidR="00B16826" w:rsidRPr="009D170B" w:rsidRDefault="00B16826" w:rsidP="005C4D46">
      <w:pPr>
        <w:pStyle w:val="afe"/>
        <w:numPr>
          <w:ilvl w:val="1"/>
          <w:numId w:val="122"/>
        </w:numPr>
        <w:rPr>
          <w:i/>
        </w:rPr>
      </w:pPr>
      <w:r w:rsidRPr="009D170B">
        <w:rPr>
          <w:i/>
        </w:rPr>
        <w:t xml:space="preserve">Материал для гистологического исследования должен быть помещён в фиксирующую среду как можно быстрее. Нельзя допускать высыхания материала. </w:t>
      </w:r>
    </w:p>
    <w:p w14:paraId="2FD0AB72" w14:textId="67EE6850" w:rsidR="00B16826" w:rsidRPr="009D170B" w:rsidRDefault="00B16826" w:rsidP="005C4D46">
      <w:pPr>
        <w:pStyle w:val="afe"/>
        <w:numPr>
          <w:ilvl w:val="1"/>
          <w:numId w:val="122"/>
        </w:numPr>
        <w:rPr>
          <w:i/>
        </w:rPr>
      </w:pPr>
      <w:r w:rsidRPr="009D170B">
        <w:rPr>
          <w:i/>
        </w:rPr>
        <w:lastRenderedPageBreak/>
        <w:t>Соотношение объёма фиксирующей среды к объёму фиксируемого объекта не менее чем 10:1</w:t>
      </w:r>
    </w:p>
    <w:p w14:paraId="734DF885" w14:textId="501921EC" w:rsidR="00B16826" w:rsidRPr="009D170B" w:rsidRDefault="00B16826" w:rsidP="005C4D46">
      <w:pPr>
        <w:pStyle w:val="afe"/>
        <w:numPr>
          <w:ilvl w:val="1"/>
          <w:numId w:val="122"/>
        </w:numPr>
        <w:rPr>
          <w:i/>
        </w:rPr>
      </w:pPr>
      <w:r w:rsidRPr="009D170B">
        <w:rPr>
          <w:i/>
        </w:rPr>
        <w:t>Время фиксации не должно быть менее 12 и более 48 часов.</w:t>
      </w:r>
    </w:p>
    <w:p w14:paraId="11440ACB" w14:textId="77777777" w:rsidR="00B16826" w:rsidRPr="000322E4" w:rsidRDefault="00B16826" w:rsidP="005F1C5F">
      <w:pPr>
        <w:spacing w:line="360" w:lineRule="auto"/>
        <w:ind w:firstLine="709"/>
        <w:contextualSpacing/>
        <w:jc w:val="both"/>
        <w:rPr>
          <w:i/>
        </w:rPr>
      </w:pPr>
      <w:r w:rsidRPr="000322E4">
        <w:rPr>
          <w:i/>
        </w:rPr>
        <w:t>Неадекватная (слабая или чрезмерная) фиксация приводит к изменению морфологических свойств ткани и артефициальным результатам ИГХ.</w:t>
      </w:r>
    </w:p>
    <w:p w14:paraId="7A5EC69D" w14:textId="3770CA8F" w:rsidR="00B16826" w:rsidRPr="000322E4" w:rsidRDefault="00B16826" w:rsidP="005F1C5F">
      <w:pPr>
        <w:spacing w:line="360" w:lineRule="auto"/>
        <w:ind w:firstLine="709"/>
        <w:contextualSpacing/>
        <w:jc w:val="both"/>
        <w:rPr>
          <w:i/>
        </w:rPr>
      </w:pPr>
      <w:r w:rsidRPr="000322E4">
        <w:rPr>
          <w:i/>
        </w:rPr>
        <w:t xml:space="preserve">Гистологический материал должен сопровождаться направлением, содержащим информацию о пациенте, длительности и характере заболевания, локализации очага поражения, описании биопсии </w:t>
      </w:r>
      <w:r w:rsidRPr="000322E4">
        <w:rPr>
          <w:i/>
        </w:rPr>
        <w:fldChar w:fldCharType="begin" w:fldLock="1"/>
      </w:r>
      <w:r w:rsidR="009D170B">
        <w:rPr>
          <w:i/>
        </w:rPr>
        <w:instrText>ADDIN CSL_CITATION {"citationItems":[{"id":"ITEM-1","itemData":{"author":[{"dropping-particle":"","family":"Криволапов","given":"Ю.А.","non-dropping-particle":"","parse-names":false,"suffix":""},{"dropping-particle":"","family":"Леенман","given":"Е.Е.","non-dropping-particle":"","parse-names":false,"suffix":""}],"id":"ITEM-1","issued":{"date-parts":[["2006"]]},"publisher":"КОСТА, Санкт-Петербург","title":"Морфологическая диагностика лимфом","type":"book"},"uris":["http://www.mendeley.com/documents/?uuid=e5e5daac-5f8a-4f1d-9717-13c0235ef6a9"]}],"mendeley":{"formattedCitation":"[46]","plainTextFormattedCitation":"[46]","previouslyFormattedCitation":"[46]"},"properties":{"noteIndex":0},"schema":"https://github.com/citation-style-language/schema/raw/master/csl-citation.json"}</w:instrText>
      </w:r>
      <w:r w:rsidRPr="000322E4">
        <w:rPr>
          <w:i/>
        </w:rPr>
        <w:fldChar w:fldCharType="separate"/>
      </w:r>
      <w:r w:rsidR="00095D58" w:rsidRPr="00095D58">
        <w:rPr>
          <w:noProof/>
        </w:rPr>
        <w:t>[46]</w:t>
      </w:r>
      <w:r w:rsidRPr="000322E4">
        <w:rPr>
          <w:i/>
        </w:rPr>
        <w:fldChar w:fldCharType="end"/>
      </w:r>
      <w:r w:rsidRPr="000322E4">
        <w:rPr>
          <w:i/>
        </w:rPr>
        <w:t>.</w:t>
      </w:r>
    </w:p>
    <w:p w14:paraId="20F67012" w14:textId="77777777" w:rsidR="002A7272" w:rsidRPr="000322E4" w:rsidRDefault="002A7272" w:rsidP="005F1C5F">
      <w:pPr>
        <w:spacing w:line="360" w:lineRule="auto"/>
        <w:ind w:firstLine="709"/>
        <w:contextualSpacing/>
        <w:jc w:val="both"/>
        <w:rPr>
          <w:i/>
        </w:rPr>
      </w:pPr>
      <w:r w:rsidRPr="000322E4">
        <w:rPr>
          <w:i/>
        </w:rPr>
        <w:t>Диагностические полостные операции – торакоскопия/томия, лапароскопия/томия с биопсией внутригрудных, внутрибрюшных л/у или печени проводятся только при отсутствии увеличенных периферических лимфоузлов и невозможности верификации диагноза</w:t>
      </w:r>
      <w:r w:rsidR="00861F2F" w:rsidRPr="000322E4">
        <w:rPr>
          <w:i/>
        </w:rPr>
        <w:t>.</w:t>
      </w:r>
    </w:p>
    <w:p w14:paraId="29361FE8" w14:textId="77777777" w:rsidR="00861F2F" w:rsidRPr="000322E4" w:rsidRDefault="00861F2F" w:rsidP="005F1C5F">
      <w:pPr>
        <w:spacing w:line="360" w:lineRule="auto"/>
        <w:ind w:firstLine="709"/>
        <w:contextualSpacing/>
        <w:jc w:val="both"/>
        <w:rPr>
          <w:i/>
        </w:rPr>
      </w:pPr>
      <w:r w:rsidRPr="000322E4">
        <w:rPr>
          <w:i/>
        </w:rPr>
        <w:t xml:space="preserve">Гистологические и иммуногистохимические характеристики различных </w:t>
      </w:r>
      <w:r w:rsidR="000958E3" w:rsidRPr="000322E4">
        <w:rPr>
          <w:i/>
        </w:rPr>
        <w:t>ДВКЛ</w:t>
      </w:r>
      <w:r w:rsidRPr="000322E4">
        <w:rPr>
          <w:i/>
        </w:rPr>
        <w:t xml:space="preserve">, а также обязательные требования к </w:t>
      </w:r>
      <w:r w:rsidR="00AF7684" w:rsidRPr="000322E4">
        <w:rPr>
          <w:i/>
        </w:rPr>
        <w:t>патолого-анатомическому заключению</w:t>
      </w:r>
      <w:r w:rsidRPr="000322E4">
        <w:rPr>
          <w:i/>
        </w:rPr>
        <w:t xml:space="preserve"> представлены в разделе 7.1 данных рекомендаций.</w:t>
      </w:r>
      <w:r w:rsidR="00AF7684" w:rsidRPr="000322E4">
        <w:rPr>
          <w:i/>
        </w:rPr>
        <w:t xml:space="preserve"> </w:t>
      </w:r>
      <w:r w:rsidR="0064071E" w:rsidRPr="000322E4">
        <w:rPr>
          <w:i/>
        </w:rPr>
        <w:t xml:space="preserve">Описание морфологической и иммуногистохимической картины </w:t>
      </w:r>
      <w:r w:rsidR="00E07D1C" w:rsidRPr="000322E4">
        <w:rPr>
          <w:i/>
        </w:rPr>
        <w:t xml:space="preserve">различных </w:t>
      </w:r>
      <w:r w:rsidR="000958E3" w:rsidRPr="000322E4">
        <w:rPr>
          <w:i/>
        </w:rPr>
        <w:t>ДВКЛ</w:t>
      </w:r>
      <w:r w:rsidR="0064071E" w:rsidRPr="000322E4">
        <w:rPr>
          <w:i/>
        </w:rPr>
        <w:t xml:space="preserve"> представлено в разделе 7.2 данных рекомендаций</w:t>
      </w:r>
    </w:p>
    <w:p w14:paraId="1C72D80E" w14:textId="40E3D00C" w:rsidR="00CE3AE3" w:rsidRPr="000322E4" w:rsidRDefault="005F1C5F" w:rsidP="005C4D46">
      <w:pPr>
        <w:pStyle w:val="afff8"/>
        <w:numPr>
          <w:ilvl w:val="0"/>
          <w:numId w:val="123"/>
        </w:numPr>
        <w:spacing w:before="0"/>
        <w:rPr>
          <w:lang w:eastAsia="ru-RU"/>
        </w:rPr>
      </w:pPr>
      <w:r>
        <w:rPr>
          <w:lang w:eastAsia="ru-RU"/>
        </w:rPr>
        <w:t>П</w:t>
      </w:r>
      <w:r w:rsidR="006E6304" w:rsidRPr="000322E4">
        <w:rPr>
          <w:lang w:eastAsia="ru-RU"/>
        </w:rPr>
        <w:t xml:space="preserve">ациентам при подозрении или наличии подтвержденного диагноза </w:t>
      </w:r>
      <w:r w:rsidR="000958E3" w:rsidRPr="000322E4">
        <w:rPr>
          <w:lang w:eastAsia="ru-RU"/>
        </w:rPr>
        <w:t>ДВКЛ</w:t>
      </w:r>
      <w:r w:rsidR="0044108E">
        <w:t xml:space="preserve">, ПМВКЛ, </w:t>
      </w:r>
      <w:r w:rsidR="009B70C4" w:rsidRPr="000322E4">
        <w:t>ЛБ</w:t>
      </w:r>
      <w:r w:rsidR="00EE3B0B" w:rsidRPr="000322E4">
        <w:rPr>
          <w:lang w:eastAsia="ru-RU"/>
        </w:rPr>
        <w:t xml:space="preserve"> </w:t>
      </w:r>
      <w:r w:rsidR="006E6304" w:rsidRPr="000322E4">
        <w:rPr>
          <w:lang w:eastAsia="ru-RU"/>
        </w:rPr>
        <w:t xml:space="preserve">первично (для </w:t>
      </w:r>
      <w:r w:rsidR="00CE3AE3" w:rsidRPr="000322E4">
        <w:rPr>
          <w:lang w:eastAsia="ru-RU"/>
        </w:rPr>
        <w:t>стадирования заболевания)</w:t>
      </w:r>
      <w:r w:rsidR="006E6304" w:rsidRPr="000322E4">
        <w:rPr>
          <w:lang w:eastAsia="ru-RU"/>
        </w:rPr>
        <w:t>, после завершения терапии</w:t>
      </w:r>
      <w:r w:rsidR="00CE3AE3" w:rsidRPr="000322E4">
        <w:rPr>
          <w:lang w:eastAsia="ru-RU"/>
        </w:rPr>
        <w:t xml:space="preserve"> (для оценки противоопухолевого ответа)</w:t>
      </w:r>
      <w:r w:rsidR="006E6304" w:rsidRPr="000322E4">
        <w:rPr>
          <w:lang w:eastAsia="ru-RU"/>
        </w:rPr>
        <w:t>, при подозрении на рецидив заболевания</w:t>
      </w:r>
      <w:r w:rsidR="00B264A8" w:rsidRPr="000322E4">
        <w:rPr>
          <w:lang w:eastAsia="ru-RU"/>
        </w:rPr>
        <w:t xml:space="preserve"> </w:t>
      </w:r>
      <w:r w:rsidR="00B264A8" w:rsidRPr="000322E4">
        <w:rPr>
          <w:b/>
          <w:bCs/>
          <w:lang w:eastAsia="ru-RU"/>
        </w:rPr>
        <w:t>рекомендуется</w:t>
      </w:r>
      <w:r w:rsidR="00EF5C06" w:rsidRPr="000322E4">
        <w:rPr>
          <w:b/>
          <w:bCs/>
          <w:lang w:eastAsia="ru-RU"/>
        </w:rPr>
        <w:t xml:space="preserve"> </w:t>
      </w:r>
      <w:r w:rsidR="00EF5C06" w:rsidRPr="000322E4">
        <w:rPr>
          <w:b/>
          <w:bCs/>
          <w:lang w:eastAsia="ru-RU"/>
        </w:rPr>
        <w:fldChar w:fldCharType="begin" w:fldLock="1"/>
      </w:r>
      <w:r w:rsidR="009D170B">
        <w:rPr>
          <w:b/>
          <w:bCs/>
          <w:lang w:eastAsia="ru-RU"/>
        </w:rPr>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id":"ITEM-2","itemData":{"author":[{"dropping-particle":"","family":"Тумян","given":"Г.С.","non-dropping-particle":"","parse-names":false,"suffix":""},{"dropping-particle":"","family":"Кравченко","given":"С.К.","non-dropping-particle":"","parse-names":false,"suffix":""},{"dropping-particle":"","family":"Михайлова","given":"Н.Б.","non-dropping-particle":"","parse-names":false,"suffix":""},{"dropping-particle":"","family":"Барях","given":"Е.А.","non-dropping-particle":"","parse-names":false,"suffix":""},{"dropping-particle":"","family":"Птушкин","given":"В.В.","non-dropping-particle":"","parse-names":false,"suffix":""},{"dropping-particle":"","family":"Поддубная","given":"И.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Савченко.","id":"ITEM-2","issued":{"date-parts":[["2018"]]},"page":"58-68","title":"Диффузная В-клеточная крупноклеточная лимфома","type":"chapter"},"uris":["http://www.mendeley.com/documents/?uuid=cb7114f7-4655-4733-8df2-526cc4e32730"]},{"id":"ITEM-3","itemData":{"ISSN":"1824-4785","PMID":"21150862","abstract":"AIM To compare the accuracy of bone marrow biopsy (BMb) and positron emission tomography (PET) in bone marrow disease (BMD) detection, in a large multicentre population of patients with new diagnosis of malignant lymphoma. METHODS PET and BMb were performed to complete disease staging in 337 consecutive patients: 130 Hodgkin's disease (HD), 207 aggressive non Hodgkin's lymphoma (NHL). Sensitivity, specificity and accuracy of both techniques in BMD detection were evaluated and compared. RESULTS 87 patients with BMD (25 positives at both exams, 27 only at the BMb and 35 only at the PET study). PET vs. BMb were reordered: sensitivity: 69% vs. 59.8%; specificity: 99.2% vs. 100%; accuracy: 91.4% vs. 89.6%; positive predictive value: 96.8% vs. 100%; negative predictive value: 90.2% vs. 87.7%. CONCLUSION The sensitivity of PET and BMb is similar (69% and 60%, respectively), PET and BMb are complementary: in fact out of 87 patients with confirmed BMD only 25 are positive at both exams, while 27 only at the BMb and 35 only at the PET exam; the integration of PET findings with BMb ones increases the diagnostic accuracy. Consequentially PET is essential during the staging of malignant lymphomas.","author":[{"dropping-particle":"","family":"Pelosi","given":"E","non-dropping-particle":"","parse-names":false,"suffix":""},{"dropping-particle":"","family":"Penna","given":"D","non-dropping-particle":"","parse-names":false,"suffix":""},{"dropping-particle":"","family":"Douroukas","given":"A","non-dropping-particle":"","parse-names":false,"suffix":""},{"dropping-particle":"","family":"Bellò","given":"M","non-dropping-particle":"","parse-names":false,"suffix":""},{"dropping-particle":"","family":"Amati","given":"A","non-dropping-particle":"","parse-names":false,"suffix":""},{"dropping-particle":"","family":"Arena","given":"V","non-dropping-particle":"","parse-names":false,"suffix":""},{"dropping-particle":"","family":"Passera","given":"R","non-dropping-particle":"","parse-names":false,"suffix":""},{"dropping-particle":"","family":"Bisi","given":"G","non-dropping-particle":"","parse-names":false,"suffix":""}],"container-title":"The quarterly journal of nuclear medicine and molecular imaging : official publication of the Italian Association of Nuclear Medicine (AIMN) [and] the International Association of Radiopharmacology (IAR), [and] Section of the Society of...","id":"ITEM-3","issue":"4","issued":{"date-parts":[["2011","8"]]},"page":"469-75","title":"Bone marrow disease detection with FDG-PET/CT and bone marrow biopsy during the staging of malignant lymphoma: results from a large multicentre study.","type":"article-journal","volume":"55"},"uris":["http://www.mendeley.com/documents/?uuid=345c3cc1-480a-36b0-8e1e-f4e24ab559fb"]},{"id":"ITEM-4","itemData":{"DOI":"10.1182/blood-2012-12-473389","ISSN":"00064971","abstract":"We investigated whether positron emission tomography combined with computed tomography (PET-CT) identifies clinically important bone marrow involvement by diffuse large B-cell lymphoma (DLBCL) with sufficient accuracy to replace routine staging bone marrow biopsy. All patients from a single centre diagnosed as DLBCL since 2005 had data extracted from staging PET-CT, marrow biopsy, and treatment records. Of 130 patients, 35 (27%) were judged to have marrow involvement; 33 were identified by PET-CT compared with 14 by marrow histology. PET identified all clinically important marrow lymphoma, while biopsy did not upstage any patient. Sensitivity and specificity were 94% and 100% for PET-CT and 40% and 100% for marrow biopsy. As a secondary aim, we compared the prognosis of marrow involvement, as detected by PET-CT or biopsy. Cases with marrow deposits identified by PET-CT but not biopsy had progression-free survival (PFS) and overall survival similar to stage IV disease without involved marrow. Positive biopsy conferred significantly inferior PFS (P 5 = 003); these cases frequently had other markers of poor-risk disease. These data confirm that in experienced hands PET-CT has a high level of accuracy for identifying marrow disease in DLBCL, and provide new insight into the nature and clinical significance of marrow involvement. © 2013 by The American Society of Hematology.","author":[{"dropping-particle":"","family":"Khan","given":"Anjum Bashir","non-dropping-particle":"","parse-names":false,"suffix":""},{"dropping-particle":"","family":"Barrington","given":"Sally Fiona","non-dropping-particle":"","parse-names":false,"suffix":""},{"dropping-particle":"","family":"Mikhaeel","given":"Nabegh George","non-dropping-particle":"","parse-names":false,"suffix":""},{"dropping-particle":"","family":"Hunt","given":"Alesia Abigael","non-dropping-particle":"","parse-names":false,"suffix":""},{"dropping-particle":"","family":"Cameron","given":"Laura","non-dropping-particle":"","parse-names":false,"suffix":""},{"dropping-particle":"","family":"Morris","given":"Tim","non-dropping-particle":"","parse-names":false,"suffix":""},{"dropping-particle":"","family":"Carr","given":"Robert","non-dropping-particle":"","parse-names":false,"suffix":""}],"container-title":"Blood","id":"ITEM-4","issue":"1","issued":{"date-parts":[["2013","7","4"]]},"page":"61-67","title":"PET-CT staging of DLBCL accurately identifies and provides new insight into the clinical significance of bone marrow involvement","type":"paper-conference","volume":"122"},"uris":["http://www.mendeley.com/documents/?uuid=017163c4-37bb-393a-bb27-8c9e7c5f788b"]}],"mendeley":{"formattedCitation":"[20,27,38,39]","plainTextFormattedCitation":"[20,27,38,39]","previouslyFormattedCitation":"[20,27,38,39]"},"properties":{"noteIndex":0},"schema":"https://github.com/citation-style-language/schema/raw/master/csl-citation.json"}</w:instrText>
      </w:r>
      <w:r w:rsidR="00EF5C06" w:rsidRPr="000322E4">
        <w:rPr>
          <w:b/>
          <w:bCs/>
          <w:lang w:eastAsia="ru-RU"/>
        </w:rPr>
        <w:fldChar w:fldCharType="separate"/>
      </w:r>
      <w:r w:rsidR="00095D58" w:rsidRPr="00095D58">
        <w:rPr>
          <w:bCs/>
          <w:noProof/>
          <w:lang w:eastAsia="ru-RU"/>
        </w:rPr>
        <w:t>[20,27,38,39]</w:t>
      </w:r>
      <w:r w:rsidR="00EF5C06" w:rsidRPr="000322E4">
        <w:rPr>
          <w:b/>
          <w:bCs/>
          <w:lang w:eastAsia="ru-RU"/>
        </w:rPr>
        <w:fldChar w:fldCharType="end"/>
      </w:r>
      <w:r w:rsidR="00CE3AE3" w:rsidRPr="000322E4">
        <w:rPr>
          <w:b/>
          <w:bCs/>
          <w:lang w:eastAsia="ru-RU"/>
        </w:rPr>
        <w:t>:</w:t>
      </w:r>
      <w:r w:rsidR="00B264A8" w:rsidRPr="000322E4">
        <w:rPr>
          <w:lang w:eastAsia="ru-RU"/>
        </w:rPr>
        <w:t xml:space="preserve"> </w:t>
      </w:r>
    </w:p>
    <w:p w14:paraId="7CD76394" w14:textId="21CD293B" w:rsidR="00CE3AE3" w:rsidRPr="00095D58" w:rsidRDefault="00AF52E2" w:rsidP="00CA442F">
      <w:pPr>
        <w:numPr>
          <w:ilvl w:val="1"/>
          <w:numId w:val="8"/>
        </w:numPr>
        <w:spacing w:line="360" w:lineRule="auto"/>
        <w:jc w:val="both"/>
        <w:rPr>
          <w:color w:val="000000" w:themeColor="text1"/>
        </w:rPr>
      </w:pPr>
      <w:r w:rsidRPr="000322E4">
        <w:t>получение цитологического препарата костного мозга путем пункции</w:t>
      </w:r>
      <w:r w:rsidR="00CE3AE3" w:rsidRPr="000322E4">
        <w:rPr>
          <w:color w:val="000000" w:themeColor="text1"/>
        </w:rPr>
        <w:t>, цитологическое исследование мазка костного мозга (миелограмма), а</w:t>
      </w:r>
      <w:r w:rsidRPr="000322E4">
        <w:rPr>
          <w:color w:val="000000" w:themeColor="text1"/>
        </w:rPr>
        <w:t xml:space="preserve"> </w:t>
      </w:r>
      <w:r w:rsidR="00CE3AE3" w:rsidRPr="000322E4">
        <w:rPr>
          <w:color w:val="000000" w:themeColor="text1"/>
        </w:rPr>
        <w:t xml:space="preserve">при повышении количества лимфоидных клеток, наличия атипичных лимфоцитов или клеток с бластной морфологией </w:t>
      </w:r>
      <w:r w:rsidRPr="000322E4">
        <w:rPr>
          <w:color w:val="000000" w:themeColor="text1"/>
        </w:rPr>
        <w:t>в костном мозге –</w:t>
      </w:r>
      <w:r w:rsidR="00CE3AE3" w:rsidRPr="000322E4">
        <w:rPr>
          <w:color w:val="000000" w:themeColor="text1"/>
        </w:rPr>
        <w:t xml:space="preserve"> </w:t>
      </w:r>
      <w:r w:rsidRPr="000322E4">
        <w:rPr>
          <w:color w:val="000000" w:themeColor="text1"/>
        </w:rPr>
        <w:t xml:space="preserve">исследование </w:t>
      </w:r>
      <w:r w:rsidRPr="00095D58">
        <w:rPr>
          <w:color w:val="000000" w:themeColor="text1"/>
        </w:rPr>
        <w:t>биологического материала (аспирата костного мозга) метод</w:t>
      </w:r>
      <w:r w:rsidRPr="00095D58">
        <w:rPr>
          <w:strike/>
          <w:color w:val="000000" w:themeColor="text1"/>
        </w:rPr>
        <w:t>ом</w:t>
      </w:r>
      <w:r w:rsidR="0007109D" w:rsidRPr="00095D58">
        <w:rPr>
          <w:color w:val="000000" w:themeColor="text1"/>
        </w:rPr>
        <w:t>ами</w:t>
      </w:r>
      <w:r w:rsidRPr="00095D58">
        <w:rPr>
          <w:color w:val="000000" w:themeColor="text1"/>
        </w:rPr>
        <w:t xml:space="preserve"> проточной цитофлуориметрии</w:t>
      </w:r>
      <w:r w:rsidR="0007109D" w:rsidRPr="00095D58">
        <w:rPr>
          <w:color w:val="000000" w:themeColor="text1"/>
        </w:rPr>
        <w:t xml:space="preserve">, молекулярно-генетическим, цитогенетическим. </w:t>
      </w:r>
    </w:p>
    <w:p w14:paraId="6E142471" w14:textId="77777777" w:rsidR="00B264A8" w:rsidRPr="000322E4" w:rsidRDefault="00F6558C" w:rsidP="00CA442F">
      <w:pPr>
        <w:numPr>
          <w:ilvl w:val="1"/>
          <w:numId w:val="8"/>
        </w:numPr>
        <w:spacing w:line="360" w:lineRule="auto"/>
        <w:jc w:val="both"/>
        <w:rPr>
          <w:color w:val="000000" w:themeColor="text1"/>
        </w:rPr>
      </w:pPr>
      <w:r w:rsidRPr="000322E4">
        <w:rPr>
          <w:color w:val="000000" w:themeColor="text1"/>
        </w:rPr>
        <w:t>получение гистологического препарата костного мозга (трепанобиопсия), патолого-анатомическое исследование биопсийного (операционного) материала костного мозга с применением иммуногистохимических методов</w:t>
      </w:r>
      <w:r w:rsidR="00861F2F" w:rsidRPr="000322E4">
        <w:rPr>
          <w:color w:val="000000" w:themeColor="text1"/>
        </w:rPr>
        <w:t>.</w:t>
      </w:r>
    </w:p>
    <w:p w14:paraId="15C6F0AC" w14:textId="77777777" w:rsidR="00B264A8" w:rsidRPr="000322E4" w:rsidRDefault="00B264A8" w:rsidP="00CA442F">
      <w:pPr>
        <w:spacing w:line="360" w:lineRule="auto"/>
        <w:ind w:left="709"/>
        <w:contextualSpacing/>
        <w:jc w:val="both"/>
        <w:rPr>
          <w:b/>
          <w:color w:val="000000" w:themeColor="text1"/>
        </w:rPr>
      </w:pPr>
      <w:r w:rsidRPr="000322E4">
        <w:rPr>
          <w:b/>
          <w:color w:val="000000" w:themeColor="text1"/>
        </w:rPr>
        <w:t xml:space="preserve">Уровень убедительности рекомендаций </w:t>
      </w:r>
      <w:r w:rsidR="00796731" w:rsidRPr="000322E4">
        <w:rPr>
          <w:b/>
          <w:color w:val="000000" w:themeColor="text1"/>
        </w:rPr>
        <w:t xml:space="preserve">В </w:t>
      </w:r>
      <w:r w:rsidRPr="000322E4">
        <w:rPr>
          <w:b/>
          <w:color w:val="000000" w:themeColor="text1"/>
        </w:rPr>
        <w:t xml:space="preserve">(уровень достоверности доказательств </w:t>
      </w:r>
      <w:r w:rsidR="00796731" w:rsidRPr="000322E4">
        <w:rPr>
          <w:b/>
          <w:color w:val="000000" w:themeColor="text1"/>
        </w:rPr>
        <w:t>2</w:t>
      </w:r>
      <w:r w:rsidRPr="000322E4">
        <w:rPr>
          <w:b/>
          <w:color w:val="000000" w:themeColor="text1"/>
        </w:rPr>
        <w:t>).</w:t>
      </w:r>
    </w:p>
    <w:p w14:paraId="0C0BC670" w14:textId="77777777" w:rsidR="00AF52E2" w:rsidRPr="000322E4" w:rsidRDefault="00B264A8" w:rsidP="009D170B">
      <w:pPr>
        <w:spacing w:line="360" w:lineRule="auto"/>
        <w:ind w:firstLine="720"/>
        <w:jc w:val="both"/>
        <w:rPr>
          <w:i/>
        </w:rPr>
      </w:pPr>
      <w:r w:rsidRPr="000322E4">
        <w:rPr>
          <w:b/>
          <w:color w:val="000000" w:themeColor="text1"/>
        </w:rPr>
        <w:lastRenderedPageBreak/>
        <w:t>Комментарии:</w:t>
      </w:r>
      <w:r w:rsidRPr="000322E4">
        <w:rPr>
          <w:color w:val="000000" w:themeColor="text1"/>
        </w:rPr>
        <w:t xml:space="preserve"> </w:t>
      </w:r>
      <w:r w:rsidR="00AF52E2" w:rsidRPr="000322E4">
        <w:rPr>
          <w:i/>
        </w:rPr>
        <w:t>исследование костного мозга (аспират и трепанат) также рекомендуется при появлении клинически немотивированных цитопении и лихорадки (вне зависимости от наличия исходного поражения).</w:t>
      </w:r>
    </w:p>
    <w:p w14:paraId="3AC862E5" w14:textId="77777777" w:rsidR="00B16826" w:rsidRPr="000322E4" w:rsidRDefault="00861F2F" w:rsidP="009D170B">
      <w:pPr>
        <w:spacing w:line="360" w:lineRule="auto"/>
        <w:ind w:firstLine="720"/>
        <w:jc w:val="both"/>
        <w:rPr>
          <w:i/>
        </w:rPr>
      </w:pPr>
      <w:r w:rsidRPr="000322E4">
        <w:rPr>
          <w:i/>
        </w:rPr>
        <w:t xml:space="preserve">У </w:t>
      </w:r>
      <w:r w:rsidR="00B16826" w:rsidRPr="000322E4">
        <w:rPr>
          <w:i/>
        </w:rPr>
        <w:t>детей трепанобиопсия подвздошной кости должна обязательно проводиться под общей анестезией.</w:t>
      </w:r>
      <w:r w:rsidR="00B264A8" w:rsidRPr="000322E4">
        <w:rPr>
          <w:i/>
        </w:rPr>
        <w:t xml:space="preserve"> </w:t>
      </w:r>
    </w:p>
    <w:p w14:paraId="3486CB7A" w14:textId="32DFA00B" w:rsidR="00622670" w:rsidRPr="000322E4" w:rsidRDefault="00095D58" w:rsidP="00CA442F">
      <w:pPr>
        <w:pStyle w:val="afff8"/>
        <w:spacing w:before="0"/>
        <w:rPr>
          <w:color w:val="000000" w:themeColor="text1"/>
          <w:szCs w:val="24"/>
          <w:lang w:eastAsia="ru-RU"/>
        </w:rPr>
      </w:pPr>
      <w:r w:rsidRPr="00095D58">
        <w:rPr>
          <w:color w:val="000000" w:themeColor="text1"/>
          <w:szCs w:val="24"/>
          <w:lang w:eastAsia="ru-RU"/>
        </w:rPr>
        <w:t>П</w:t>
      </w:r>
      <w:r w:rsidR="00622670" w:rsidRPr="00095D58">
        <w:rPr>
          <w:color w:val="000000" w:themeColor="text1"/>
          <w:szCs w:val="24"/>
          <w:lang w:eastAsia="ru-RU"/>
        </w:rPr>
        <w:t>ациентам</w:t>
      </w:r>
      <w:r w:rsidR="004D1259" w:rsidRPr="00095D58">
        <w:rPr>
          <w:color w:val="000000" w:themeColor="text1"/>
          <w:szCs w:val="24"/>
          <w:lang w:eastAsia="ru-RU"/>
        </w:rPr>
        <w:t xml:space="preserve"> </w:t>
      </w:r>
      <w:r w:rsidR="0007109D" w:rsidRPr="00095D58">
        <w:rPr>
          <w:color w:val="000000" w:themeColor="text1"/>
        </w:rPr>
        <w:t xml:space="preserve">с </w:t>
      </w:r>
      <w:r w:rsidR="0007109D" w:rsidRPr="00095D58">
        <w:rPr>
          <w:color w:val="000000" w:themeColor="text1"/>
          <w:lang w:eastAsia="ru-RU"/>
        </w:rPr>
        <w:t>ДВКЛ</w:t>
      </w:r>
      <w:r w:rsidR="00912E0E" w:rsidRPr="00095D58">
        <w:rPr>
          <w:color w:val="000000" w:themeColor="text1"/>
        </w:rPr>
        <w:t>, ПМВКЛ,</w:t>
      </w:r>
      <w:r w:rsidR="0007109D" w:rsidRPr="00095D58">
        <w:rPr>
          <w:color w:val="000000" w:themeColor="text1"/>
        </w:rPr>
        <w:t xml:space="preserve"> ЛБ</w:t>
      </w:r>
      <w:r w:rsidR="0007109D" w:rsidRPr="00095D58">
        <w:rPr>
          <w:color w:val="000000" w:themeColor="text1"/>
          <w:lang w:eastAsia="ru-RU"/>
        </w:rPr>
        <w:t xml:space="preserve"> </w:t>
      </w:r>
      <w:r w:rsidR="00622670" w:rsidRPr="00095D58">
        <w:rPr>
          <w:color w:val="000000" w:themeColor="text1"/>
        </w:rPr>
        <w:t xml:space="preserve">с неврологической </w:t>
      </w:r>
      <w:r w:rsidR="00622670" w:rsidRPr="000322E4">
        <w:t>симптоматикой, имеющейся в дебюте болезни или на этапах ее развития, а также пациентам</w:t>
      </w:r>
      <w:r w:rsidR="00D611C5" w:rsidRPr="000322E4">
        <w:t xml:space="preserve"> </w:t>
      </w:r>
      <w:r w:rsidR="00622670" w:rsidRPr="000322E4">
        <w:t>из группы высокого  риска по вовлечению ЦНС перед началом терапии</w:t>
      </w:r>
      <w:r w:rsidR="00622670" w:rsidRPr="000322E4">
        <w:rPr>
          <w:color w:val="000000" w:themeColor="text1"/>
          <w:szCs w:val="24"/>
          <w:lang w:eastAsia="ru-RU"/>
        </w:rPr>
        <w:t xml:space="preserve"> </w:t>
      </w:r>
      <w:r w:rsidR="00622670" w:rsidRPr="000322E4">
        <w:rPr>
          <w:b/>
          <w:bCs/>
          <w:color w:val="000000" w:themeColor="text1"/>
          <w:szCs w:val="24"/>
          <w:lang w:eastAsia="ru-RU"/>
        </w:rPr>
        <w:t xml:space="preserve">рекомендуется </w:t>
      </w:r>
      <w:r w:rsidR="00622670" w:rsidRPr="000322E4">
        <w:rPr>
          <w:b/>
          <w:bCs/>
          <w:color w:val="000000" w:themeColor="text1"/>
          <w:szCs w:val="24"/>
          <w:lang w:eastAsia="ru-RU"/>
        </w:rPr>
        <w:fldChar w:fldCharType="begin" w:fldLock="1"/>
      </w:r>
      <w:r w:rsidR="009D170B">
        <w:rPr>
          <w:b/>
          <w:bCs/>
          <w:color w:val="000000" w:themeColor="text1"/>
          <w:szCs w:val="24"/>
          <w:lang w:eastAsia="ru-RU"/>
        </w:rPr>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id":"ITEM-2","itemData":{"author":[{"dropping-particle":"","family":"Тумян","given":"Г.С.","non-dropping-particle":"","parse-names":false,"suffix":""},{"dropping-particle":"","family":"Кравченко","given":"С.К.","non-dropping-particle":"","parse-names":false,"suffix":""},{"dropping-particle":"","family":"Михайлова","given":"Н.Б.","non-dropping-particle":"","parse-names":false,"suffix":""},{"dropping-particle":"","family":"Барях","given":"Е.А.","non-dropping-particle":"","parse-names":false,"suffix":""},{"dropping-particle":"","family":"Птушкин","given":"В.В.","non-dropping-particle":"","parse-names":false,"suffix":""},{"dropping-particle":"","family":"Поддубная","given":"И.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Савченко.","id":"ITEM-2","issued":{"date-parts":[["2018"]]},"page":"58-68","title":"Диффузная В-клеточная крупноклеточная лимфома","type":"chapter"},"uris":["http://www.mendeley.com/documents/?uuid=cb7114f7-4655-4733-8df2-526cc4e32730"]},{"id":"ITEM-3","itemData":{"author":[{"dropping-particle":"","family":"Кузьмин","given":"А.А.","non-dropping-particle":"","parse-names":false,"suffix":""},{"dropping-particle":"","family":"Бабичева","given":"Л.Г.","non-dropping-particle":"","parse-names":false,"suffix":""},{"dropping-particle":"","family":"Тумян","given":"Г.С.","non-dropping-particle":"","parse-names":false,"suffix":""},{"dropping-particle":"","family":"Птушкин","given":"В.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Савченко.","id":"ITEM-3","issued":{"date-parts":[["2018"]]},"page":"87-93","title":"Первичная лимфома центральной нервной системы","type":"chapter"},"uris":["http://www.mendeley.com/documents/?uuid=dac650cf-b934-4db3-8c16-71fbc7fc82e3"]},{"id":"ITEM-4","itemData":{"author":[{"dropping-particle":"","family":"Барях","given":"Е.А.","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Савченко.","id":"ITEM-4","issued":{"date-parts":[["2018"]]},"page":"80-87","title":"Лимфома Беркитта","type":"chapter"},"uris":["http://www.mendeley.com/documents/?uuid=6c46cd48-7af0-4ac2-8eb1-93f86718c4df"]}],"mendeley":{"formattedCitation":"[4,20,27,43]","plainTextFormattedCitation":"[4,20,27,43]","previouslyFormattedCitation":"[4,20,27,43]"},"properties":{"noteIndex":0},"schema":"https://github.com/citation-style-language/schema/raw/master/csl-citation.json"}</w:instrText>
      </w:r>
      <w:r w:rsidR="00622670" w:rsidRPr="000322E4">
        <w:rPr>
          <w:b/>
          <w:bCs/>
          <w:color w:val="000000" w:themeColor="text1"/>
          <w:szCs w:val="24"/>
          <w:lang w:eastAsia="ru-RU"/>
        </w:rPr>
        <w:fldChar w:fldCharType="separate"/>
      </w:r>
      <w:r w:rsidRPr="00095D58">
        <w:rPr>
          <w:bCs/>
          <w:noProof/>
          <w:color w:val="000000" w:themeColor="text1"/>
          <w:szCs w:val="24"/>
          <w:lang w:eastAsia="ru-RU"/>
        </w:rPr>
        <w:t>[4,20,27,43]</w:t>
      </w:r>
      <w:r w:rsidR="00622670" w:rsidRPr="000322E4">
        <w:rPr>
          <w:b/>
          <w:bCs/>
          <w:color w:val="000000" w:themeColor="text1"/>
          <w:szCs w:val="24"/>
          <w:lang w:eastAsia="ru-RU"/>
        </w:rPr>
        <w:fldChar w:fldCharType="end"/>
      </w:r>
      <w:r w:rsidR="00622670" w:rsidRPr="000322E4">
        <w:rPr>
          <w:b/>
          <w:bCs/>
          <w:color w:val="000000" w:themeColor="text1"/>
          <w:szCs w:val="24"/>
          <w:lang w:eastAsia="ru-RU"/>
        </w:rPr>
        <w:t>:</w:t>
      </w:r>
      <w:r w:rsidR="00622670" w:rsidRPr="000322E4">
        <w:rPr>
          <w:color w:val="000000" w:themeColor="text1"/>
          <w:szCs w:val="24"/>
          <w:lang w:eastAsia="ru-RU"/>
        </w:rPr>
        <w:t xml:space="preserve"> </w:t>
      </w:r>
    </w:p>
    <w:p w14:paraId="3238CA75" w14:textId="77777777" w:rsidR="00622670" w:rsidRPr="000322E4" w:rsidRDefault="003670CE" w:rsidP="00CA442F">
      <w:pPr>
        <w:numPr>
          <w:ilvl w:val="1"/>
          <w:numId w:val="8"/>
        </w:numPr>
        <w:spacing w:line="360" w:lineRule="auto"/>
        <w:jc w:val="both"/>
        <w:rPr>
          <w:color w:val="000000" w:themeColor="text1"/>
        </w:rPr>
      </w:pPr>
      <w:r w:rsidRPr="000322E4">
        <w:t xml:space="preserve">выполнение </w:t>
      </w:r>
      <w:r w:rsidR="00E0494A" w:rsidRPr="000322E4">
        <w:t xml:space="preserve">спинномозговой </w:t>
      </w:r>
      <w:r w:rsidR="00622670" w:rsidRPr="000322E4">
        <w:t>пункции</w:t>
      </w:r>
      <w:r w:rsidR="00796731" w:rsidRPr="000322E4">
        <w:t>;</w:t>
      </w:r>
    </w:p>
    <w:p w14:paraId="47BBBAC1" w14:textId="74EB4E74" w:rsidR="00622670" w:rsidRPr="00EE09D7" w:rsidRDefault="003670CE" w:rsidP="00A63644">
      <w:pPr>
        <w:numPr>
          <w:ilvl w:val="1"/>
          <w:numId w:val="8"/>
        </w:numPr>
        <w:spacing w:line="360" w:lineRule="auto"/>
        <w:jc w:val="both"/>
        <w:rPr>
          <w:color w:val="000000" w:themeColor="text1"/>
        </w:rPr>
      </w:pPr>
      <w:r w:rsidRPr="00EE09D7">
        <w:rPr>
          <w:color w:val="000000" w:themeColor="text1"/>
        </w:rPr>
        <w:t xml:space="preserve">исследование </w:t>
      </w:r>
      <w:r w:rsidR="00E0494A" w:rsidRPr="000322E4">
        <w:t>спинномозговой жидкости</w:t>
      </w:r>
      <w:r w:rsidR="00622670" w:rsidRPr="00EE09D7">
        <w:rPr>
          <w:color w:val="000000" w:themeColor="text1"/>
        </w:rPr>
        <w:t xml:space="preserve">, включающее </w:t>
      </w:r>
      <w:r w:rsidR="00622670" w:rsidRPr="000322E4">
        <w:t xml:space="preserve">визуальную оценку, определение концентрации белка и глюкозы, </w:t>
      </w:r>
      <w:r w:rsidR="00E0494A" w:rsidRPr="000322E4">
        <w:t xml:space="preserve">микроскопическое исследование спинномозговой жидкости, подсчет клеток в счетной камере (определение цитоза), </w:t>
      </w:r>
      <w:r w:rsidR="00622670" w:rsidRPr="000322E4">
        <w:t xml:space="preserve">с оценкой морфологии лейкоцитов в мазке, а </w:t>
      </w:r>
      <w:r w:rsidR="00622670" w:rsidRPr="00095D58">
        <w:rPr>
          <w:color w:val="000000" w:themeColor="text1"/>
        </w:rPr>
        <w:t>также, при обнаружении повышенного количества лимфоидных элементов, выполнение ИФТ</w:t>
      </w:r>
      <w:r w:rsidR="00EE09D7" w:rsidRPr="00095D58">
        <w:rPr>
          <w:color w:val="000000" w:themeColor="text1"/>
        </w:rPr>
        <w:t xml:space="preserve">, молекулярно-генетического, цитогенетического исследований </w:t>
      </w:r>
      <w:r w:rsidR="00622670" w:rsidRPr="00095D58">
        <w:rPr>
          <w:color w:val="000000" w:themeColor="text1"/>
        </w:rPr>
        <w:t>ли</w:t>
      </w:r>
      <w:r w:rsidR="00622670" w:rsidRPr="000322E4">
        <w:t>квора</w:t>
      </w:r>
      <w:r w:rsidR="00622670" w:rsidRPr="00EE09D7">
        <w:rPr>
          <w:color w:val="000000" w:themeColor="text1"/>
        </w:rPr>
        <w:t>.</w:t>
      </w:r>
    </w:p>
    <w:p w14:paraId="07F84633" w14:textId="77777777" w:rsidR="00622670" w:rsidRDefault="00622670" w:rsidP="00CA442F">
      <w:pPr>
        <w:spacing w:line="360" w:lineRule="auto"/>
        <w:ind w:left="720"/>
        <w:jc w:val="both"/>
        <w:rPr>
          <w:b/>
          <w:color w:val="000000" w:themeColor="text1"/>
        </w:rPr>
      </w:pPr>
      <w:r w:rsidRPr="000322E4">
        <w:rPr>
          <w:b/>
          <w:color w:val="000000" w:themeColor="text1"/>
        </w:rPr>
        <w:t>Уровень убедительности рекомендаций С (уровень достоверности доказательств 5)</w:t>
      </w:r>
    </w:p>
    <w:p w14:paraId="2B1C69F4" w14:textId="639CA9FC" w:rsidR="0007109D" w:rsidRPr="00095D58" w:rsidRDefault="0007109D" w:rsidP="009D170B">
      <w:pPr>
        <w:spacing w:line="360" w:lineRule="auto"/>
        <w:ind w:firstLine="720"/>
        <w:jc w:val="both"/>
        <w:rPr>
          <w:b/>
          <w:color w:val="000000" w:themeColor="text1"/>
        </w:rPr>
      </w:pPr>
      <w:r w:rsidRPr="00095D58">
        <w:rPr>
          <w:b/>
          <w:color w:val="000000" w:themeColor="text1"/>
        </w:rPr>
        <w:t xml:space="preserve">Комметарии: </w:t>
      </w:r>
      <w:r w:rsidRPr="00095D58">
        <w:rPr>
          <w:b/>
          <w:i/>
          <w:color w:val="000000" w:themeColor="text1"/>
        </w:rPr>
        <w:t xml:space="preserve">к </w:t>
      </w:r>
      <w:r w:rsidRPr="00095D58">
        <w:rPr>
          <w:i/>
          <w:color w:val="000000" w:themeColor="text1"/>
        </w:rPr>
        <w:t xml:space="preserve">группе высокого  риска по вовлечению ЦНС относятся пациенты с 4-6 прогностическими факторами по шкале </w:t>
      </w:r>
      <w:r w:rsidRPr="00095D58">
        <w:rPr>
          <w:i/>
          <w:iCs/>
          <w:color w:val="000000" w:themeColor="text1"/>
          <w:lang w:val="en-US"/>
        </w:rPr>
        <w:t>CNS</w:t>
      </w:r>
      <w:r w:rsidRPr="00095D58">
        <w:rPr>
          <w:i/>
          <w:iCs/>
          <w:color w:val="000000" w:themeColor="text1"/>
        </w:rPr>
        <w:t>-</w:t>
      </w:r>
      <w:r w:rsidRPr="00095D58">
        <w:rPr>
          <w:i/>
          <w:iCs/>
          <w:color w:val="000000" w:themeColor="text1"/>
          <w:lang w:val="en-US"/>
        </w:rPr>
        <w:t>IPI</w:t>
      </w:r>
      <w:r w:rsidR="00EE09D7" w:rsidRPr="00095D58">
        <w:rPr>
          <w:i/>
          <w:color w:val="000000" w:themeColor="text1"/>
        </w:rPr>
        <w:t xml:space="preserve"> (</w:t>
      </w:r>
      <w:r w:rsidRPr="00095D58">
        <w:rPr>
          <w:i/>
          <w:color w:val="000000" w:themeColor="text1"/>
        </w:rPr>
        <w:t>см. раздел 7.4 данных рекомендаций</w:t>
      </w:r>
      <w:r w:rsidR="00EE09D7" w:rsidRPr="00095D58">
        <w:rPr>
          <w:i/>
          <w:color w:val="000000" w:themeColor="text1"/>
        </w:rPr>
        <w:t>)</w:t>
      </w:r>
      <w:r w:rsidRPr="00095D58">
        <w:rPr>
          <w:i/>
          <w:color w:val="000000" w:themeColor="text1"/>
        </w:rPr>
        <w:t xml:space="preserve">, а также пациентам с ВИЧ ассоциированной лимфомой, лимфомой яичка, лимфомой высокой степени злокачественности с транслокацией </w:t>
      </w:r>
      <w:r w:rsidRPr="00095D58">
        <w:rPr>
          <w:i/>
          <w:color w:val="000000" w:themeColor="text1"/>
          <w:lang w:val="en-US"/>
        </w:rPr>
        <w:t>MYC</w:t>
      </w:r>
      <w:r w:rsidRPr="00095D58">
        <w:rPr>
          <w:i/>
          <w:color w:val="000000" w:themeColor="text1"/>
        </w:rPr>
        <w:t xml:space="preserve">, </w:t>
      </w:r>
      <w:r w:rsidRPr="00095D58">
        <w:rPr>
          <w:i/>
          <w:color w:val="000000" w:themeColor="text1"/>
          <w:lang w:val="en-US"/>
        </w:rPr>
        <w:t>BCL</w:t>
      </w:r>
      <w:r w:rsidRPr="00095D58">
        <w:rPr>
          <w:i/>
          <w:color w:val="000000" w:themeColor="text1"/>
        </w:rPr>
        <w:t xml:space="preserve">-2 и/или </w:t>
      </w:r>
      <w:r w:rsidRPr="00095D58">
        <w:rPr>
          <w:i/>
          <w:color w:val="000000" w:themeColor="text1"/>
          <w:lang w:val="en-US"/>
        </w:rPr>
        <w:t>BCL</w:t>
      </w:r>
      <w:r w:rsidRPr="00095D58">
        <w:rPr>
          <w:i/>
          <w:color w:val="000000" w:themeColor="text1"/>
        </w:rPr>
        <w:t xml:space="preserve">-6, лимфомой высокой степени злокачественности, неклассифицируемой,  или ДВКЛ с вовлечением почек или надпочечников, пациентам с </w:t>
      </w:r>
      <w:r w:rsidRPr="00095D58">
        <w:rPr>
          <w:i/>
          <w:color w:val="000000" w:themeColor="text1"/>
          <w:lang w:val="en-US"/>
        </w:rPr>
        <w:t>I</w:t>
      </w:r>
      <w:r w:rsidRPr="00095D58">
        <w:rPr>
          <w:i/>
          <w:color w:val="000000" w:themeColor="text1"/>
        </w:rPr>
        <w:t>Е Д</w:t>
      </w:r>
      <w:r w:rsidR="00EE09D7" w:rsidRPr="00095D58">
        <w:rPr>
          <w:i/>
          <w:color w:val="000000" w:themeColor="text1"/>
        </w:rPr>
        <w:t>ВКЛ с поражением молочных желез.</w:t>
      </w:r>
    </w:p>
    <w:p w14:paraId="5AA9BBF6" w14:textId="637CE554" w:rsidR="00D60231" w:rsidRPr="000322E4" w:rsidRDefault="005F1C5F" w:rsidP="00CA442F">
      <w:pPr>
        <w:pStyle w:val="afff8"/>
        <w:spacing w:before="0"/>
      </w:pPr>
      <w:r>
        <w:rPr>
          <w:color w:val="000000" w:themeColor="text1"/>
        </w:rPr>
        <w:t>П</w:t>
      </w:r>
      <w:r w:rsidR="00D60231" w:rsidRPr="00095D58">
        <w:rPr>
          <w:color w:val="000000" w:themeColor="text1"/>
        </w:rPr>
        <w:t>ациентам с подозрением или</w:t>
      </w:r>
      <w:r w:rsidR="00EE09D7" w:rsidRPr="00095D58">
        <w:rPr>
          <w:color w:val="000000" w:themeColor="text1"/>
        </w:rPr>
        <w:t xml:space="preserve"> с верифицированным диагнозом</w:t>
      </w:r>
      <w:r w:rsidR="00D60231" w:rsidRPr="00095D58">
        <w:rPr>
          <w:color w:val="000000" w:themeColor="text1"/>
        </w:rPr>
        <w:t xml:space="preserve"> </w:t>
      </w:r>
      <w:r w:rsidR="00EE09D7" w:rsidRPr="00095D58">
        <w:rPr>
          <w:color w:val="000000" w:themeColor="text1"/>
          <w:lang w:eastAsia="ru-RU"/>
        </w:rPr>
        <w:t>ДВКЛ</w:t>
      </w:r>
      <w:r w:rsidR="00912E0E" w:rsidRPr="00095D58">
        <w:rPr>
          <w:color w:val="000000" w:themeColor="text1"/>
        </w:rPr>
        <w:t>, ПМВКЛ,</w:t>
      </w:r>
      <w:r w:rsidR="00EE09D7" w:rsidRPr="00095D58">
        <w:rPr>
          <w:color w:val="000000" w:themeColor="text1"/>
        </w:rPr>
        <w:t xml:space="preserve"> ЛБ </w:t>
      </w:r>
      <w:r w:rsidR="00D60231" w:rsidRPr="00095D58">
        <w:rPr>
          <w:color w:val="000000" w:themeColor="text1"/>
        </w:rPr>
        <w:t>с асцитом</w:t>
      </w:r>
      <w:r w:rsidR="00912E0E" w:rsidRPr="00095D58">
        <w:rPr>
          <w:color w:val="000000" w:themeColor="text1"/>
        </w:rPr>
        <w:t>,</w:t>
      </w:r>
      <w:r w:rsidR="00D60231" w:rsidRPr="00095D58">
        <w:rPr>
          <w:color w:val="000000" w:themeColor="text1"/>
        </w:rPr>
        <w:t xml:space="preserve"> </w:t>
      </w:r>
      <w:r w:rsidR="00912E0E" w:rsidRPr="00095D58">
        <w:rPr>
          <w:color w:val="000000" w:themeColor="text1"/>
        </w:rPr>
        <w:t xml:space="preserve">при наличии клинических показаний, </w:t>
      </w:r>
      <w:r w:rsidR="00D60231" w:rsidRPr="00095D58">
        <w:rPr>
          <w:b/>
          <w:color w:val="000000" w:themeColor="text1"/>
        </w:rPr>
        <w:t>рекомендуется</w:t>
      </w:r>
      <w:r w:rsidR="00D60231" w:rsidRPr="00095D58">
        <w:rPr>
          <w:color w:val="000000" w:themeColor="text1"/>
        </w:rPr>
        <w:t xml:space="preserve"> выполнить</w:t>
      </w:r>
      <w:r w:rsidR="00072ECA" w:rsidRPr="00095D58">
        <w:rPr>
          <w:color w:val="000000" w:themeColor="text1"/>
        </w:rPr>
        <w:t xml:space="preserve"> парацентез с регулируемым удалением перитонеального </w:t>
      </w:r>
      <w:r w:rsidR="00072ECA" w:rsidRPr="000322E4">
        <w:t>транссудата</w:t>
      </w:r>
      <w:r w:rsidR="00D60231" w:rsidRPr="000322E4">
        <w:t xml:space="preserve">, </w:t>
      </w:r>
      <w:r w:rsidR="00072ECA" w:rsidRPr="000322E4">
        <w:t>цитологическое исследование перитонеальной жидкости и исследование биологического материала (перитонеальной жидкости) метод</w:t>
      </w:r>
      <w:r>
        <w:t xml:space="preserve">ом </w:t>
      </w:r>
      <w:r w:rsidR="00072ECA" w:rsidRPr="000322E4">
        <w:t>проточной цитофлуориметрии</w:t>
      </w:r>
      <w:r>
        <w:t xml:space="preserve"> </w:t>
      </w:r>
      <w:r w:rsidR="00D60231" w:rsidRPr="000322E4">
        <w:t>для</w:t>
      </w:r>
      <w:r w:rsidR="00072ECA" w:rsidRPr="000322E4">
        <w:t xml:space="preserve"> уточнения распространенности опухолевого процесса</w:t>
      </w:r>
      <w:r w:rsidR="00D60231" w:rsidRPr="000322E4">
        <w:t xml:space="preserve"> </w:t>
      </w:r>
      <w:r w:rsidR="00D60231" w:rsidRPr="000322E4">
        <w:fldChar w:fldCharType="begin" w:fldLock="1"/>
      </w:r>
      <w:r w:rsidR="00AE0A1D">
        <w:rPr>
          <w:lang w:val="en-US"/>
        </w:rPr>
        <w:instrText>ADDIN</w:instrText>
      </w:r>
      <w:r w:rsidR="00AE0A1D" w:rsidRPr="00AE0A1D">
        <w:instrText xml:space="preserve"> </w:instrText>
      </w:r>
      <w:r w:rsidR="00AE0A1D">
        <w:rPr>
          <w:lang w:val="en-US"/>
        </w:rPr>
        <w:instrText>CSL</w:instrText>
      </w:r>
      <w:r w:rsidR="00AE0A1D" w:rsidRPr="00AE0A1D">
        <w:instrText>_</w:instrText>
      </w:r>
      <w:r w:rsidR="00AE0A1D">
        <w:rPr>
          <w:lang w:val="en-US"/>
        </w:rPr>
        <w:instrText>CITATION</w:instrText>
      </w:r>
      <w:r w:rsidR="00AE0A1D" w:rsidRPr="00AE0A1D">
        <w:instrText xml:space="preserve"> {"</w:instrText>
      </w:r>
      <w:r w:rsidR="00AE0A1D">
        <w:rPr>
          <w:lang w:val="en-US"/>
        </w:rPr>
        <w:instrText>citationItems</w:instrText>
      </w:r>
      <w:r w:rsidR="00AE0A1D" w:rsidRPr="00AE0A1D">
        <w:instrText>":[{"</w:instrText>
      </w:r>
      <w:r w:rsidR="00AE0A1D">
        <w:rPr>
          <w:lang w:val="en-US"/>
        </w:rPr>
        <w:instrText>id</w:instrText>
      </w:r>
      <w:r w:rsidR="00AE0A1D" w:rsidRPr="00AE0A1D">
        <w:instrText>":"</w:instrText>
      </w:r>
      <w:r w:rsidR="00AE0A1D">
        <w:rPr>
          <w:lang w:val="en-US"/>
        </w:rPr>
        <w:instrText>ITEM</w:instrText>
      </w:r>
      <w:r w:rsidR="00AE0A1D" w:rsidRPr="00AE0A1D">
        <w:instrText>-1","</w:instrText>
      </w:r>
      <w:r w:rsidR="00AE0A1D">
        <w:rPr>
          <w:lang w:val="en-US"/>
        </w:rPr>
        <w:instrText>itemData</w:instrText>
      </w:r>
      <w:r w:rsidR="00AE0A1D" w:rsidRPr="00AE0A1D">
        <w:instrText>":{"</w:instrText>
      </w:r>
      <w:r w:rsidR="00AE0A1D">
        <w:rPr>
          <w:lang w:val="en-US"/>
        </w:rPr>
        <w:instrText>author</w:instrText>
      </w:r>
      <w:r w:rsidR="00AE0A1D" w:rsidRPr="00AE0A1D">
        <w:instrText>":[{"</w:instrText>
      </w:r>
      <w:r w:rsidR="00AE0A1D">
        <w:rPr>
          <w:lang w:val="en-US"/>
        </w:rPr>
        <w:instrText>dropping</w:instrText>
      </w:r>
      <w:r w:rsidR="00AE0A1D" w:rsidRPr="00AE0A1D">
        <w:instrText>-</w:instrText>
      </w:r>
      <w:r w:rsidR="00AE0A1D">
        <w:rPr>
          <w:lang w:val="en-US"/>
        </w:rPr>
        <w:instrText>particle</w:instrText>
      </w:r>
      <w:r w:rsidR="00AE0A1D" w:rsidRPr="00AE0A1D">
        <w:instrText>":"","</w:instrText>
      </w:r>
      <w:r w:rsidR="00AE0A1D">
        <w:rPr>
          <w:lang w:val="en-US"/>
        </w:rPr>
        <w:instrText>family</w:instrText>
      </w:r>
      <w:r w:rsidR="00AE0A1D" w:rsidRPr="00AE0A1D">
        <w:instrText>":"Барях","</w:instrText>
      </w:r>
      <w:r w:rsidR="00AE0A1D">
        <w:rPr>
          <w:lang w:val="en-US"/>
        </w:rPr>
        <w:instrText>given</w:instrText>
      </w:r>
      <w:r w:rsidR="00AE0A1D" w:rsidRPr="00AE0A1D">
        <w:instrText>":"Е.А.","</w:instrText>
      </w:r>
      <w:r w:rsidR="00AE0A1D">
        <w:rPr>
          <w:lang w:val="en-US"/>
        </w:rPr>
        <w:instrText>non</w:instrText>
      </w:r>
      <w:r w:rsidR="00AE0A1D" w:rsidRPr="00AE0A1D">
        <w:instrText>-</w:instrText>
      </w:r>
      <w:r w:rsidR="00AE0A1D">
        <w:rPr>
          <w:lang w:val="en-US"/>
        </w:rPr>
        <w:instrText>dropping</w:instrText>
      </w:r>
      <w:r w:rsidR="00AE0A1D" w:rsidRPr="00AE0A1D">
        <w:instrText>-</w:instrText>
      </w:r>
      <w:r w:rsidR="00AE0A1D">
        <w:rPr>
          <w:lang w:val="en-US"/>
        </w:rPr>
        <w:instrText>particle</w:instrText>
      </w:r>
      <w:r w:rsidR="00AE0A1D" w:rsidRPr="00AE0A1D">
        <w:instrText>":"","</w:instrText>
      </w:r>
      <w:r w:rsidR="00AE0A1D">
        <w:rPr>
          <w:lang w:val="en-US"/>
        </w:rPr>
        <w:instrText>parse</w:instrText>
      </w:r>
      <w:r w:rsidR="00AE0A1D" w:rsidRPr="00AE0A1D">
        <w:instrText>-</w:instrText>
      </w:r>
      <w:r w:rsidR="00AE0A1D">
        <w:rPr>
          <w:lang w:val="en-US"/>
        </w:rPr>
        <w:instrText>names</w:instrText>
      </w:r>
      <w:r w:rsidR="00AE0A1D" w:rsidRPr="00AE0A1D">
        <w:instrText>":</w:instrText>
      </w:r>
      <w:r w:rsidR="00AE0A1D">
        <w:rPr>
          <w:lang w:val="en-US"/>
        </w:rPr>
        <w:instrText>false</w:instrText>
      </w:r>
      <w:r w:rsidR="00AE0A1D" w:rsidRPr="00AE0A1D">
        <w:instrText>,"</w:instrText>
      </w:r>
      <w:r w:rsidR="00AE0A1D">
        <w:rPr>
          <w:lang w:val="en-US"/>
        </w:rPr>
        <w:instrText>suffix</w:instrText>
      </w:r>
      <w:r w:rsidR="00AE0A1D" w:rsidRPr="00AE0A1D">
        <w:instrText>":""}],"</w:instrText>
      </w:r>
      <w:r w:rsidR="00AE0A1D">
        <w:rPr>
          <w:lang w:val="en-US"/>
        </w:rPr>
        <w:instrText>container</w:instrText>
      </w:r>
      <w:r w:rsidR="00AE0A1D" w:rsidRPr="00AE0A1D">
        <w:instrText>-</w:instrText>
      </w:r>
      <w:r w:rsidR="00AE0A1D">
        <w:rPr>
          <w:lang w:val="en-US"/>
        </w:rPr>
        <w:instrText>title</w:instrText>
      </w:r>
      <w:r w:rsidR="00AE0A1D" w:rsidRPr="00AE0A1D">
        <w:instrText>":"Российские клинические рекомендации по диагностике и лечению злокачественных лимфопролиферативных заболеваний; под ред. И.В. Поддубной, В.Г. Савченко.","</w:instrText>
      </w:r>
      <w:r w:rsidR="00AE0A1D">
        <w:rPr>
          <w:lang w:val="en-US"/>
        </w:rPr>
        <w:instrText>id</w:instrText>
      </w:r>
      <w:r w:rsidR="00AE0A1D" w:rsidRPr="00AE0A1D">
        <w:instrText>":"</w:instrText>
      </w:r>
      <w:r w:rsidR="00AE0A1D">
        <w:rPr>
          <w:lang w:val="en-US"/>
        </w:rPr>
        <w:instrText>ITEM</w:instrText>
      </w:r>
      <w:r w:rsidR="00AE0A1D" w:rsidRPr="00AE0A1D">
        <w:instrText>-1","</w:instrText>
      </w:r>
      <w:r w:rsidR="00AE0A1D">
        <w:rPr>
          <w:lang w:val="en-US"/>
        </w:rPr>
        <w:instrText>issued</w:instrText>
      </w:r>
      <w:r w:rsidR="00AE0A1D" w:rsidRPr="00AE0A1D">
        <w:instrText>":{"</w:instrText>
      </w:r>
      <w:r w:rsidR="00AE0A1D">
        <w:rPr>
          <w:lang w:val="en-US"/>
        </w:rPr>
        <w:instrText>date</w:instrText>
      </w:r>
      <w:r w:rsidR="00AE0A1D" w:rsidRPr="00AE0A1D">
        <w:instrText>-</w:instrText>
      </w:r>
      <w:r w:rsidR="00AE0A1D">
        <w:rPr>
          <w:lang w:val="en-US"/>
        </w:rPr>
        <w:instrText>parts</w:instrText>
      </w:r>
      <w:r w:rsidR="00AE0A1D" w:rsidRPr="00AE0A1D">
        <w:instrText>":[["2018"]]},"</w:instrText>
      </w:r>
      <w:r w:rsidR="00AE0A1D">
        <w:rPr>
          <w:lang w:val="en-US"/>
        </w:rPr>
        <w:instrText>page</w:instrText>
      </w:r>
      <w:r w:rsidR="00AE0A1D" w:rsidRPr="00AE0A1D">
        <w:instrText>":"80-87","</w:instrText>
      </w:r>
      <w:r w:rsidR="00AE0A1D">
        <w:rPr>
          <w:lang w:val="en-US"/>
        </w:rPr>
        <w:instrText>title</w:instrText>
      </w:r>
      <w:r w:rsidR="00AE0A1D" w:rsidRPr="00AE0A1D">
        <w:instrText>":"Лимфома Беркитта","</w:instrText>
      </w:r>
      <w:r w:rsidR="00AE0A1D">
        <w:rPr>
          <w:lang w:val="en-US"/>
        </w:rPr>
        <w:instrText>type</w:instrText>
      </w:r>
      <w:r w:rsidR="00AE0A1D" w:rsidRPr="00AE0A1D">
        <w:instrText>":"</w:instrText>
      </w:r>
      <w:r w:rsidR="00AE0A1D">
        <w:rPr>
          <w:lang w:val="en-US"/>
        </w:rPr>
        <w:instrText>chapter</w:instrText>
      </w:r>
      <w:r w:rsidR="00AE0A1D" w:rsidRPr="00AE0A1D">
        <w:instrText>"},"</w:instrText>
      </w:r>
      <w:r w:rsidR="00AE0A1D">
        <w:rPr>
          <w:lang w:val="en-US"/>
        </w:rPr>
        <w:instrText>uris</w:instrText>
      </w:r>
      <w:r w:rsidR="00AE0A1D" w:rsidRPr="00AE0A1D">
        <w:instrText>":["</w:instrText>
      </w:r>
      <w:r w:rsidR="00AE0A1D">
        <w:rPr>
          <w:lang w:val="en-US"/>
        </w:rPr>
        <w:instrText>http</w:instrText>
      </w:r>
      <w:r w:rsidR="00AE0A1D" w:rsidRPr="00AE0A1D">
        <w:instrText>://</w:instrText>
      </w:r>
      <w:r w:rsidR="00AE0A1D">
        <w:rPr>
          <w:lang w:val="en-US"/>
        </w:rPr>
        <w:instrText>www</w:instrText>
      </w:r>
      <w:r w:rsidR="00AE0A1D" w:rsidRPr="00AE0A1D">
        <w:instrText>.</w:instrText>
      </w:r>
      <w:r w:rsidR="00AE0A1D">
        <w:rPr>
          <w:lang w:val="en-US"/>
        </w:rPr>
        <w:instrText>mendeley</w:instrText>
      </w:r>
      <w:r w:rsidR="00AE0A1D" w:rsidRPr="00AE0A1D">
        <w:instrText>.</w:instrText>
      </w:r>
      <w:r w:rsidR="00AE0A1D">
        <w:rPr>
          <w:lang w:val="en-US"/>
        </w:rPr>
        <w:instrText>com</w:instrText>
      </w:r>
      <w:r w:rsidR="00AE0A1D" w:rsidRPr="00AE0A1D">
        <w:instrText>/</w:instrText>
      </w:r>
      <w:r w:rsidR="00AE0A1D">
        <w:rPr>
          <w:lang w:val="en-US"/>
        </w:rPr>
        <w:instrText>documents</w:instrText>
      </w:r>
      <w:r w:rsidR="00AE0A1D" w:rsidRPr="00AE0A1D">
        <w:instrText>/?</w:instrText>
      </w:r>
      <w:r w:rsidR="00AE0A1D">
        <w:rPr>
          <w:lang w:val="en-US"/>
        </w:rPr>
        <w:instrText>uuid</w:instrText>
      </w:r>
      <w:r w:rsidR="00AE0A1D" w:rsidRPr="00AE0A1D">
        <w:instrText>=6</w:instrText>
      </w:r>
      <w:r w:rsidR="00AE0A1D">
        <w:rPr>
          <w:lang w:val="en-US"/>
        </w:rPr>
        <w:instrText>c</w:instrText>
      </w:r>
      <w:r w:rsidR="00AE0A1D" w:rsidRPr="00AE0A1D">
        <w:instrText>46</w:instrText>
      </w:r>
      <w:r w:rsidR="00AE0A1D">
        <w:rPr>
          <w:lang w:val="en-US"/>
        </w:rPr>
        <w:instrText>cd</w:instrText>
      </w:r>
      <w:r w:rsidR="00AE0A1D" w:rsidRPr="00AE0A1D">
        <w:instrText>48-7</w:instrText>
      </w:r>
      <w:r w:rsidR="00AE0A1D">
        <w:rPr>
          <w:lang w:val="en-US"/>
        </w:rPr>
        <w:instrText>af</w:instrText>
      </w:r>
      <w:r w:rsidR="00AE0A1D" w:rsidRPr="00AE0A1D">
        <w:instrText>0-4</w:instrText>
      </w:r>
      <w:r w:rsidR="00AE0A1D">
        <w:rPr>
          <w:lang w:val="en-US"/>
        </w:rPr>
        <w:instrText>ac</w:instrText>
      </w:r>
      <w:r w:rsidR="00AE0A1D" w:rsidRPr="00AE0A1D">
        <w:instrText>2-8</w:instrText>
      </w:r>
      <w:r w:rsidR="00AE0A1D">
        <w:rPr>
          <w:lang w:val="en-US"/>
        </w:rPr>
        <w:instrText>eb</w:instrText>
      </w:r>
      <w:r w:rsidR="00AE0A1D" w:rsidRPr="00AE0A1D">
        <w:instrText>1-93</w:instrText>
      </w:r>
      <w:r w:rsidR="00AE0A1D">
        <w:rPr>
          <w:lang w:val="en-US"/>
        </w:rPr>
        <w:instrText>f</w:instrText>
      </w:r>
      <w:r w:rsidR="00AE0A1D" w:rsidRPr="00AE0A1D">
        <w:instrText>86718</w:instrText>
      </w:r>
      <w:r w:rsidR="00AE0A1D">
        <w:rPr>
          <w:lang w:val="en-US"/>
        </w:rPr>
        <w:instrText>c</w:instrText>
      </w:r>
      <w:r w:rsidR="00AE0A1D" w:rsidRPr="00AE0A1D">
        <w:instrText>4</w:instrText>
      </w:r>
      <w:r w:rsidR="00AE0A1D">
        <w:rPr>
          <w:lang w:val="en-US"/>
        </w:rPr>
        <w:instrText>df</w:instrText>
      </w:r>
      <w:r w:rsidR="00AE0A1D" w:rsidRPr="00AE0A1D">
        <w:instrText>"]}],"</w:instrText>
      </w:r>
      <w:r w:rsidR="00AE0A1D">
        <w:rPr>
          <w:lang w:val="en-US"/>
        </w:rPr>
        <w:instrText>mendeley</w:instrText>
      </w:r>
      <w:r w:rsidR="00AE0A1D" w:rsidRPr="00AE0A1D">
        <w:instrText>":{"</w:instrText>
      </w:r>
      <w:r w:rsidR="00AE0A1D">
        <w:rPr>
          <w:lang w:val="en-US"/>
        </w:rPr>
        <w:instrText>formattedCitation</w:instrText>
      </w:r>
      <w:r w:rsidR="00AE0A1D" w:rsidRPr="00AE0A1D">
        <w:instrText>":"[4]","</w:instrText>
      </w:r>
      <w:r w:rsidR="00AE0A1D">
        <w:rPr>
          <w:lang w:val="en-US"/>
        </w:rPr>
        <w:instrText>plainTextFormattedCitation</w:instrText>
      </w:r>
      <w:r w:rsidR="00AE0A1D" w:rsidRPr="00AE0A1D">
        <w:instrText>":"[4]","</w:instrText>
      </w:r>
      <w:r w:rsidR="00AE0A1D">
        <w:rPr>
          <w:lang w:val="en-US"/>
        </w:rPr>
        <w:instrText>previouslyFormattedCitation</w:instrText>
      </w:r>
      <w:r w:rsidR="00AE0A1D" w:rsidRPr="00AE0A1D">
        <w:instrText>":"[4]"},"</w:instrText>
      </w:r>
      <w:r w:rsidR="00AE0A1D">
        <w:rPr>
          <w:lang w:val="en-US"/>
        </w:rPr>
        <w:instrText>properties</w:instrText>
      </w:r>
      <w:r w:rsidR="00AE0A1D" w:rsidRPr="00AE0A1D">
        <w:instrText>":{"</w:instrText>
      </w:r>
      <w:r w:rsidR="00AE0A1D">
        <w:rPr>
          <w:lang w:val="en-US"/>
        </w:rPr>
        <w:instrText>noteIndex</w:instrText>
      </w:r>
      <w:r w:rsidR="00AE0A1D" w:rsidRPr="00AE0A1D">
        <w:instrText>":0},"</w:instrText>
      </w:r>
      <w:r w:rsidR="00AE0A1D">
        <w:rPr>
          <w:lang w:val="en-US"/>
        </w:rPr>
        <w:instrText>schema</w:instrText>
      </w:r>
      <w:r w:rsidR="00AE0A1D" w:rsidRPr="00AE0A1D">
        <w:instrText>":"</w:instrText>
      </w:r>
      <w:r w:rsidR="00AE0A1D">
        <w:rPr>
          <w:lang w:val="en-US"/>
        </w:rPr>
        <w:instrText>https</w:instrText>
      </w:r>
      <w:r w:rsidR="00AE0A1D" w:rsidRPr="00AE0A1D">
        <w:instrText>://</w:instrText>
      </w:r>
      <w:r w:rsidR="00AE0A1D">
        <w:rPr>
          <w:lang w:val="en-US"/>
        </w:rPr>
        <w:instrText>github</w:instrText>
      </w:r>
      <w:r w:rsidR="00AE0A1D" w:rsidRPr="00AE0A1D">
        <w:instrText>.</w:instrText>
      </w:r>
      <w:r w:rsidR="00AE0A1D">
        <w:rPr>
          <w:lang w:val="en-US"/>
        </w:rPr>
        <w:instrText>com</w:instrText>
      </w:r>
      <w:r w:rsidR="00AE0A1D" w:rsidRPr="00AE0A1D">
        <w:instrText>/</w:instrText>
      </w:r>
      <w:r w:rsidR="00AE0A1D">
        <w:rPr>
          <w:lang w:val="en-US"/>
        </w:rPr>
        <w:instrText>citation</w:instrText>
      </w:r>
      <w:r w:rsidR="00AE0A1D" w:rsidRPr="00AE0A1D">
        <w:instrText>-</w:instrText>
      </w:r>
      <w:r w:rsidR="00AE0A1D">
        <w:rPr>
          <w:lang w:val="en-US"/>
        </w:rPr>
        <w:instrText>style</w:instrText>
      </w:r>
      <w:r w:rsidR="00AE0A1D" w:rsidRPr="00AE0A1D">
        <w:instrText>-</w:instrText>
      </w:r>
      <w:r w:rsidR="00AE0A1D">
        <w:rPr>
          <w:lang w:val="en-US"/>
        </w:rPr>
        <w:instrText>language</w:instrText>
      </w:r>
      <w:r w:rsidR="00AE0A1D" w:rsidRPr="00AE0A1D">
        <w:instrText>/</w:instrText>
      </w:r>
      <w:r w:rsidR="00AE0A1D">
        <w:rPr>
          <w:lang w:val="en-US"/>
        </w:rPr>
        <w:instrText>schema</w:instrText>
      </w:r>
      <w:r w:rsidR="00AE0A1D" w:rsidRPr="00AE0A1D">
        <w:instrText>/</w:instrText>
      </w:r>
      <w:r w:rsidR="00AE0A1D">
        <w:rPr>
          <w:lang w:val="en-US"/>
        </w:rPr>
        <w:instrText>raw</w:instrText>
      </w:r>
      <w:r w:rsidR="00AE0A1D" w:rsidRPr="00AE0A1D">
        <w:instrText>/</w:instrText>
      </w:r>
      <w:r w:rsidR="00AE0A1D">
        <w:rPr>
          <w:lang w:val="en-US"/>
        </w:rPr>
        <w:instrText>master</w:instrText>
      </w:r>
      <w:r w:rsidR="00AE0A1D" w:rsidRPr="00AE0A1D">
        <w:instrText>/</w:instrText>
      </w:r>
      <w:r w:rsidR="00AE0A1D">
        <w:rPr>
          <w:lang w:val="en-US"/>
        </w:rPr>
        <w:instrText>csl</w:instrText>
      </w:r>
      <w:r w:rsidR="00AE0A1D" w:rsidRPr="00AE0A1D">
        <w:instrText>-</w:instrText>
      </w:r>
      <w:r w:rsidR="00AE0A1D">
        <w:rPr>
          <w:lang w:val="en-US"/>
        </w:rPr>
        <w:instrText>citation</w:instrText>
      </w:r>
      <w:r w:rsidR="00AE0A1D" w:rsidRPr="00AE0A1D">
        <w:instrText>.</w:instrText>
      </w:r>
      <w:r w:rsidR="00AE0A1D">
        <w:rPr>
          <w:lang w:val="en-US"/>
        </w:rPr>
        <w:instrText>json</w:instrText>
      </w:r>
      <w:r w:rsidR="00AE0A1D" w:rsidRPr="00AE0A1D">
        <w:instrText>"}</w:instrText>
      </w:r>
      <w:r w:rsidR="00D60231" w:rsidRPr="000322E4">
        <w:fldChar w:fldCharType="separate"/>
      </w:r>
      <w:r w:rsidR="00726C75" w:rsidRPr="00726C75">
        <w:rPr>
          <w:noProof/>
        </w:rPr>
        <w:t>[4]</w:t>
      </w:r>
      <w:r w:rsidR="00D60231" w:rsidRPr="000322E4">
        <w:fldChar w:fldCharType="end"/>
      </w:r>
      <w:r w:rsidR="00D60231" w:rsidRPr="000322E4">
        <w:t>.</w:t>
      </w:r>
    </w:p>
    <w:p w14:paraId="3C9CB75E" w14:textId="77777777" w:rsidR="00D60231" w:rsidRPr="000322E4" w:rsidRDefault="00D60231" w:rsidP="00CA442F">
      <w:pPr>
        <w:spacing w:line="360" w:lineRule="auto"/>
        <w:ind w:left="709"/>
        <w:contextualSpacing/>
        <w:jc w:val="both"/>
        <w:rPr>
          <w:b/>
        </w:rPr>
      </w:pPr>
      <w:r w:rsidRPr="000322E4">
        <w:rPr>
          <w:b/>
        </w:rPr>
        <w:t>Уровень убедительности рекомендаций С (уровень достоверности доказательств 5).</w:t>
      </w:r>
    </w:p>
    <w:p w14:paraId="6333534F" w14:textId="18B97235" w:rsidR="00072ECA" w:rsidRPr="000322E4" w:rsidRDefault="005F1C5F" w:rsidP="00CA442F">
      <w:pPr>
        <w:pStyle w:val="afff8"/>
        <w:spacing w:before="0"/>
      </w:pPr>
      <w:r>
        <w:lastRenderedPageBreak/>
        <w:t>П</w:t>
      </w:r>
      <w:r w:rsidR="00072ECA" w:rsidRPr="000322E4">
        <w:t xml:space="preserve">ациентам с подозрением или с </w:t>
      </w:r>
      <w:r w:rsidR="00072ECA" w:rsidRPr="005F1C5F">
        <w:rPr>
          <w:color w:val="000000" w:themeColor="text1"/>
        </w:rPr>
        <w:t>верифицированн</w:t>
      </w:r>
      <w:r w:rsidR="00951071" w:rsidRPr="005F1C5F">
        <w:rPr>
          <w:color w:val="000000" w:themeColor="text1"/>
        </w:rPr>
        <w:t xml:space="preserve">ым диагнозом </w:t>
      </w:r>
      <w:r w:rsidR="00951071" w:rsidRPr="005F1C5F">
        <w:rPr>
          <w:color w:val="000000" w:themeColor="text1"/>
          <w:lang w:eastAsia="ru-RU"/>
        </w:rPr>
        <w:t>ДВКЛ</w:t>
      </w:r>
      <w:r w:rsidR="00912E0E" w:rsidRPr="005F1C5F">
        <w:rPr>
          <w:color w:val="000000" w:themeColor="text1"/>
        </w:rPr>
        <w:t>, ПМВКЛ,</w:t>
      </w:r>
      <w:r w:rsidR="00951071" w:rsidRPr="005F1C5F">
        <w:rPr>
          <w:color w:val="000000" w:themeColor="text1"/>
        </w:rPr>
        <w:t xml:space="preserve"> ЛБ</w:t>
      </w:r>
      <w:r w:rsidR="00072ECA" w:rsidRPr="005F1C5F">
        <w:rPr>
          <w:color w:val="000000" w:themeColor="text1"/>
        </w:rPr>
        <w:t xml:space="preserve"> с плевритом</w:t>
      </w:r>
      <w:r w:rsidR="00912E0E" w:rsidRPr="005F1C5F">
        <w:rPr>
          <w:color w:val="000000" w:themeColor="text1"/>
        </w:rPr>
        <w:t xml:space="preserve">, при наличии клинических показаний, </w:t>
      </w:r>
      <w:r w:rsidR="00072ECA" w:rsidRPr="000322E4">
        <w:rPr>
          <w:b/>
        </w:rPr>
        <w:t>рекомендуется</w:t>
      </w:r>
      <w:r w:rsidR="00072ECA" w:rsidRPr="000322E4">
        <w:t xml:space="preserve"> выполнить дренирование плевральной полости, цитологическое исследование плевральной жидкости и исследование биологического материала (плевральной жидкости) </w:t>
      </w:r>
      <w:r w:rsidR="00A63644" w:rsidRPr="000322E4">
        <w:t>метод</w:t>
      </w:r>
      <w:r>
        <w:t>ом</w:t>
      </w:r>
      <w:r w:rsidR="00A63644" w:rsidRPr="000322E4">
        <w:t xml:space="preserve"> проточной цитофлуориметрии</w:t>
      </w:r>
      <w:r w:rsidR="00A63644">
        <w:t xml:space="preserve"> </w:t>
      </w:r>
      <w:r w:rsidR="00072ECA" w:rsidRPr="000322E4">
        <w:t xml:space="preserve">для уточнения распространенности опухолевого процесса верификации диагноза </w:t>
      </w:r>
      <w:r w:rsidR="00072ECA" w:rsidRPr="000322E4">
        <w:fldChar w:fldCharType="begin" w:fldLock="1"/>
      </w:r>
      <w:r w:rsidR="00AE0A1D">
        <w:instrText>ADDIN CSL_CITATION {"citationItems":[{"id":"ITEM-1","itemData":{"author":[{"dropping-particle":"","family":"Барях","given":"Е.А.","non-dropping-particle":"","parse-names":false,"suffix":""}],"container-title":"Российские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Савченко.","id":"ITEM-1","issued":{"date-parts":[["2018"]]},"page":"80-87","title":"Лимфома Беркитта","type":"chapter"},"uris":["http://www.mendeley.com/documents/?uuid=6c46cd48-7af0-4ac2-8eb1-93f86718c4df"]}],"mendeley":{"formattedCitation":"[4]","plainTextFormattedCitation":"[4]","previouslyFormattedCitation":"[4]"},"properties":{"noteIndex":0},"schema":"https://github.com/citation-style-language/schema/raw/master/csl-citation.json"}</w:instrText>
      </w:r>
      <w:r w:rsidR="00072ECA" w:rsidRPr="000322E4">
        <w:fldChar w:fldCharType="separate"/>
      </w:r>
      <w:r w:rsidR="00726C75" w:rsidRPr="00726C75">
        <w:rPr>
          <w:noProof/>
        </w:rPr>
        <w:t>[4]</w:t>
      </w:r>
      <w:r w:rsidR="00072ECA" w:rsidRPr="000322E4">
        <w:fldChar w:fldCharType="end"/>
      </w:r>
      <w:r w:rsidR="00072ECA" w:rsidRPr="000322E4">
        <w:t>.</w:t>
      </w:r>
    </w:p>
    <w:p w14:paraId="430FE673" w14:textId="77777777" w:rsidR="00072ECA" w:rsidRPr="000322E4" w:rsidRDefault="00072ECA" w:rsidP="00CA442F">
      <w:pPr>
        <w:spacing w:line="360" w:lineRule="auto"/>
        <w:ind w:left="709"/>
        <w:contextualSpacing/>
        <w:jc w:val="both"/>
        <w:rPr>
          <w:b/>
        </w:rPr>
      </w:pPr>
      <w:r w:rsidRPr="000322E4">
        <w:rPr>
          <w:b/>
        </w:rPr>
        <w:t>Уровень убедительности рекомендаций С (уровень достоверности доказательств 5).</w:t>
      </w:r>
    </w:p>
    <w:p w14:paraId="5408A111" w14:textId="2652056A" w:rsidR="007A7BCA" w:rsidRPr="000322E4" w:rsidRDefault="005F1C5F" w:rsidP="00CA442F">
      <w:pPr>
        <w:pStyle w:val="afff8"/>
        <w:spacing w:before="0"/>
      </w:pPr>
      <w:r>
        <w:t>П</w:t>
      </w:r>
      <w:r w:rsidR="007A7BCA" w:rsidRPr="000322E4">
        <w:t xml:space="preserve">ациентам младше 18 лет с верифицированной ЛБ, особенно если опухоль обнаружена в младшем возрасте или если есть признаки врожденного иммунодефицита или синдрома нестабильности хромосом, </w:t>
      </w:r>
      <w:r w:rsidR="007A7BCA" w:rsidRPr="000322E4">
        <w:rPr>
          <w:b/>
        </w:rPr>
        <w:t>рекомендуется</w:t>
      </w:r>
      <w:r w:rsidR="007A7BCA" w:rsidRPr="000322E4">
        <w:t xml:space="preserve"> выполнить молекулярно-биологическое исследование крови на вирус Эпштейна-Барра (Epstein - Barr virus) для уточнения этиологии и патогенеза заболевания </w:t>
      </w:r>
      <w:r w:rsidR="007A7BCA" w:rsidRPr="000322E4">
        <w:fldChar w:fldCharType="begin" w:fldLock="1"/>
      </w:r>
      <w:r w:rsidR="00AE0A1D">
        <w:instrText>ADDIN CSL_CITATION {"citationItems":[{"id":"ITEM-1","itemData":{"author":[{"dropping-particle":"","family":"Барях","given":"Е.А.","non-dropping-particle":"","parse-names":false,"suffix":""}],"container-title":"Российские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Савченко.","id":"ITEM-1","issued":{"date-parts":[["2018"]]},"page":"80-87","title":"Лимфома Беркитта","type":"chapter"},"uris":["http://www.mendeley.com/documents/?uuid=6c46cd48-7af0-4ac2-8eb1-93f86718c4df"]}],"mendeley":{"formattedCitation":"[4]","plainTextFormattedCitation":"[4]","previouslyFormattedCitation":"[4]"},"properties":{"noteIndex":0},"schema":"https://github.com/citation-style-language/schema/raw/master/csl-citation.json"}</w:instrText>
      </w:r>
      <w:r w:rsidR="007A7BCA" w:rsidRPr="000322E4">
        <w:fldChar w:fldCharType="separate"/>
      </w:r>
      <w:r w:rsidR="00726C75" w:rsidRPr="00726C75">
        <w:rPr>
          <w:noProof/>
        </w:rPr>
        <w:t>[4]</w:t>
      </w:r>
      <w:r w:rsidR="007A7BCA" w:rsidRPr="000322E4">
        <w:fldChar w:fldCharType="end"/>
      </w:r>
      <w:r w:rsidR="007A7BCA" w:rsidRPr="000322E4">
        <w:t>.</w:t>
      </w:r>
    </w:p>
    <w:p w14:paraId="6A17FA77" w14:textId="77777777" w:rsidR="007A7BCA" w:rsidRPr="000322E4" w:rsidRDefault="007A7BCA" w:rsidP="00CA442F">
      <w:pPr>
        <w:spacing w:line="360" w:lineRule="auto"/>
        <w:ind w:left="709"/>
        <w:contextualSpacing/>
        <w:jc w:val="both"/>
        <w:rPr>
          <w:b/>
        </w:rPr>
      </w:pPr>
      <w:r w:rsidRPr="000322E4">
        <w:rPr>
          <w:b/>
        </w:rPr>
        <w:t>Уровень убедительности рекомендаций С (уровень достоверности доказательств 5).</w:t>
      </w:r>
    </w:p>
    <w:p w14:paraId="34F099A6" w14:textId="36DDF780" w:rsidR="000578EF" w:rsidRPr="000322E4" w:rsidRDefault="000578EF" w:rsidP="00CA442F">
      <w:pPr>
        <w:pStyle w:val="afff8"/>
        <w:spacing w:before="0"/>
        <w:rPr>
          <w:lang w:eastAsia="ru-RU"/>
        </w:rPr>
      </w:pPr>
      <w:r w:rsidRPr="000322E4">
        <w:t xml:space="preserve">Пациентам с </w:t>
      </w:r>
      <w:r w:rsidR="00BD2E10" w:rsidRPr="000322E4">
        <w:t xml:space="preserve">верифицированной </w:t>
      </w:r>
      <w:r w:rsidR="00622670" w:rsidRPr="000322E4">
        <w:t>ДВКЛ</w:t>
      </w:r>
      <w:r w:rsidR="009B70C4" w:rsidRPr="000322E4">
        <w:t>, ПМВКЛ</w:t>
      </w:r>
      <w:r w:rsidR="0044108E">
        <w:t xml:space="preserve">, </w:t>
      </w:r>
      <w:r w:rsidR="009B70C4" w:rsidRPr="000322E4">
        <w:t>ЛБ</w:t>
      </w:r>
      <w:r w:rsidR="00BD2E10" w:rsidRPr="000322E4">
        <w:t xml:space="preserve"> при первичном обследовании и планировании терапии </w:t>
      </w:r>
      <w:r w:rsidRPr="000322E4">
        <w:rPr>
          <w:b/>
          <w:lang w:eastAsia="ru-RU"/>
        </w:rPr>
        <w:t>рекомендуется</w:t>
      </w:r>
      <w:r w:rsidRPr="000322E4">
        <w:rPr>
          <w:lang w:eastAsia="ru-RU"/>
        </w:rPr>
        <w:t xml:space="preserve"> в зависимости от сопутствующей патологии о</w:t>
      </w:r>
      <w:r w:rsidRPr="000322E4">
        <w:t>смотр (консультация)</w:t>
      </w:r>
      <w:r w:rsidRPr="000322E4">
        <w:rPr>
          <w:lang w:eastAsia="ru-RU"/>
        </w:rPr>
        <w:t xml:space="preserve"> врача-кардиолога, врача-эндокринолога, врача-невролога, врача-инфекциониста</w:t>
      </w:r>
      <w:r w:rsidR="007A7BCA" w:rsidRPr="000322E4">
        <w:rPr>
          <w:lang w:eastAsia="ru-RU"/>
        </w:rPr>
        <w:t>, для детей раннего возраста с ЛБ – врача-генетика и врача-иммунолога,</w:t>
      </w:r>
      <w:r w:rsidRPr="000322E4">
        <w:rPr>
          <w:lang w:eastAsia="ru-RU"/>
        </w:rPr>
        <w:t xml:space="preserve"> </w:t>
      </w:r>
      <w:r w:rsidR="007A7BCA" w:rsidRPr="000322E4">
        <w:rPr>
          <w:lang w:eastAsia="ru-RU"/>
        </w:rPr>
        <w:t xml:space="preserve">а также </w:t>
      </w:r>
      <w:r w:rsidRPr="000322E4">
        <w:rPr>
          <w:lang w:eastAsia="ru-RU"/>
        </w:rPr>
        <w:t xml:space="preserve">других врачей-специалистов для определения необходимости терапии сопутствующих заболеваний </w:t>
      </w:r>
      <w:r w:rsidRPr="000322E4">
        <w:fldChar w:fldCharType="begin" w:fldLock="1"/>
      </w:r>
      <w:r w:rsidR="009D170B">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id":"ITEM-2","itemData":{"author":[{"dropping-particle":"","family":"Барях","given":"Е.А.","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Савченко.","id":"ITEM-2","issued":{"date-parts":[["2018"]]},"page":"80-87","title":"Лимфома Беркитта","type":"chapter"},"uris":["http://www.mendeley.com/documents/?uuid=6c46cd48-7af0-4ac2-8eb1-93f86718c4df"]}],"mendeley":{"formattedCitation":"[4,27]","plainTextFormattedCitation":"[4,27]","previouslyFormattedCitation":"[4,27]"},"properties":{"noteIndex":0},"schema":"https://github.com/citation-style-language/schema/raw/master/csl-citation.json"}</w:instrText>
      </w:r>
      <w:r w:rsidRPr="000322E4">
        <w:fldChar w:fldCharType="separate"/>
      </w:r>
      <w:r w:rsidR="00095D58" w:rsidRPr="00095D58">
        <w:rPr>
          <w:noProof/>
        </w:rPr>
        <w:t>[4,27]</w:t>
      </w:r>
      <w:r w:rsidRPr="000322E4">
        <w:fldChar w:fldCharType="end"/>
      </w:r>
      <w:r w:rsidRPr="000322E4">
        <w:rPr>
          <w:lang w:eastAsia="ru-RU"/>
        </w:rPr>
        <w:t>.</w:t>
      </w:r>
    </w:p>
    <w:p w14:paraId="0D4336CC" w14:textId="77777777" w:rsidR="000578EF" w:rsidRPr="000322E4" w:rsidRDefault="000578EF" w:rsidP="00CA442F">
      <w:pPr>
        <w:pStyle w:val="affff0"/>
        <w:ind w:left="709" w:firstLine="0"/>
        <w:rPr>
          <w:b/>
        </w:rPr>
      </w:pPr>
      <w:r w:rsidRPr="000322E4">
        <w:rPr>
          <w:b/>
        </w:rPr>
        <w:t>Уровень убедительности рекомендаций С (уровень достоверности доказательств 5).</w:t>
      </w:r>
    </w:p>
    <w:p w14:paraId="6699DA24" w14:textId="118F3D87" w:rsidR="00F82D52" w:rsidRPr="000322E4" w:rsidRDefault="00F82D52" w:rsidP="005F1C5F">
      <w:pPr>
        <w:pStyle w:val="a"/>
        <w:spacing w:before="0"/>
        <w:ind w:left="709"/>
        <w:rPr>
          <w:rFonts w:eastAsia="Times New Roman"/>
          <w:lang w:eastAsia="ru-RU"/>
        </w:rPr>
      </w:pPr>
      <w:r w:rsidRPr="000322E4">
        <w:t xml:space="preserve">Пациентам с верифицированной </w:t>
      </w:r>
      <w:r w:rsidR="00622670" w:rsidRPr="000322E4">
        <w:t>ДВКЛ</w:t>
      </w:r>
      <w:r w:rsidR="009B70C4" w:rsidRPr="000322E4">
        <w:t>, ПМВКЛ</w:t>
      </w:r>
      <w:r w:rsidR="0044108E">
        <w:t xml:space="preserve">, </w:t>
      </w:r>
      <w:r w:rsidR="009B70C4" w:rsidRPr="000322E4">
        <w:t>ЛБ</w:t>
      </w:r>
      <w:r w:rsidRPr="000322E4">
        <w:t xml:space="preserve"> при первичном обследовании и планировании терапии </w:t>
      </w:r>
      <w:r w:rsidRPr="000322E4">
        <w:rPr>
          <w:rFonts w:eastAsia="Times New Roman"/>
          <w:b/>
          <w:lang w:eastAsia="ru-RU"/>
        </w:rPr>
        <w:t>рекомендуется</w:t>
      </w:r>
      <w:r w:rsidRPr="000322E4">
        <w:rPr>
          <w:rFonts w:eastAsia="Times New Roman"/>
          <w:lang w:eastAsia="ru-RU"/>
        </w:rPr>
        <w:t xml:space="preserve"> оценить </w:t>
      </w:r>
      <w:r w:rsidRPr="000322E4">
        <w:t>риск развития венозных тромбоэмболических осложнений (шкала оценки риска ВТЭО по Khorana – см. приложение Г3 данных рекомендаций) для выявления пациентов, требующих назначения и определения способов  профилактики тромботических  осложнений при проведении цитостатической терапии</w:t>
      </w:r>
      <w:r w:rsidRPr="000322E4">
        <w:rPr>
          <w:rFonts w:eastAsia="Times New Roman"/>
          <w:lang w:eastAsia="ru-RU"/>
        </w:rPr>
        <w:t xml:space="preserve"> </w:t>
      </w:r>
      <w:r w:rsidRPr="000322E4">
        <w:rPr>
          <w:rFonts w:eastAsia="Times New Roman"/>
        </w:rPr>
        <w:fldChar w:fldCharType="begin" w:fldLock="1"/>
      </w:r>
      <w:r w:rsidR="009D170B">
        <w:rPr>
          <w:rFonts w:eastAsia="Times New Roman"/>
        </w:rPr>
        <w:instrText>ADDIN CSL_CITATION {"citationItems":[{"id":"ITEM-1","itemData":{"author":[{"dropping-particle":"","family":"Бокерия","given":"Л.А.","non-dropping-particle":"","parse-names":false,"suffix":""},{"dropping-particle":"","family":"Затевахин","given":"И.И.","non-dropping-particle":"","parse-names":false,"suffix":""},{"dropping-particle":"","family":"Кириенко","given":"А.И.","non-dropping-particle":"","parse-names":false,"suffix":""}],"container-title":"Флебология","id":"ITEM-1","issue":"2","issued":{"date-parts":[["2015"]]},"page":"3-52","title":"Российские клинические рекомендации по диагностике, лечению и профилактике венозных тромбоэмболических осложнений (ВТЭО).","type":"article-journal","volume":"4"},"uris":["http://www.mendeley.com/documents/?uuid=86c98716-7768-469e-9d28-62b6dd34948f"]},{"id":"ITEM-2","itemData":{"author":[{"dropping-particle":"","family":"Кириенко","given":"А.И.","non-dropping-particle":"","parse-names":false,"suffix":""},{"dropping-particle":"","family":"Галстян","given":"Г.М.","non-dropping-particle":"","parse-names":false,"suffix":""},{"dropping-particle":"","family":"Савченко","given":"В.Г.","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Савченко.","id":"ITEM-2","issued":{"date-parts":[["2018"]]},"page":"268-278","title":"Профилактика венозных тромбоэмболических осложнений при лимфопролиферативных заболеваниях","type":"chapter"},"uris":["http://www.mendeley.com/documents/?uuid=cc775b4e-6cf7-4317-b2fc-ce2a5210744b"]},{"id":"ITEM-3","itemData":{"DOI":"10.1160/TH16-11-0895","ISSN":"03406245","abstract":"Current data suggests that the risk of venous thromboembolism (VTE) in patients with non-Hodgkin lymphoma (NHL) is comparable to that observed in patients with solid tumours, although more robust confirmatory analyses are required. With that in mind, we investigated the occurrence of VTE in a pooled analysis of 12 “Fondazione Italiana Linfomi” (FIL) prospective clinical studies. Specifically, we wished to assess the cumulative incidence of VTE in NHL patients, evaluate the predictive value of the Khorana Score (KS), and identify other potential risk factors for VTEs. Data for VTE occurrence were retrieved from study databases and pharmacovigilance reports. Our analysis includes 1717 patients from 12 prospective phase II and III trials, including newly diagnosed NHL. We observed 53 VTEs (any grade) in 46 patients, with 20 severe VTEs in 17 patients. The cumulative incidences for „all-grade“ or grade ≥3 VTEs were 2.9 % (95 % CI: 2.1-3.8) and 1.1 % (95 % CI: 0.6-1.6), respectively. KS categories were positively associated with the risk of VTE of any grade, and with severe events (i. e. grade ≥3; Gray’s test p-values = 0.048 and 0.012, respectively). Among NHL patients, those with diffuse large B-cell lymphoma (DLBCL) showed a greater risk of (any grade) VTE (HR: 3.42, 95 % CI: 1.32-8.84, p-value = 0.011). Our study indicates that 1) VTE is a relevant complication for NHL patients, 2) KS is predictive of VTE events and 3) DLBCL histotype is an independent risk factor for VTE incidence, for which preventative interventions could be considered.","author":[{"dropping-particle":"","family":"Santi","given":"Roberto Mario","non-dropping-particle":"","parse-names":false,"suffix":""},{"dropping-particle":"","family":"Ceccarelli","given":"Manuela","non-dropping-particle":"","parse-names":false,"suffix":""},{"dropping-particle":"","family":"Bernocco","given":"Elisa","non-dropping-particle":"","parse-names":false,"suffix":""},{"dropping-particle":"","family":"Monagheddu","given":"Chiara","non-dropping-particle":"","parse-names":false,"suffix":""},{"dropping-particle":"","family":"Evangelista","given":"Andrea","non-dropping-particle":"","parse-names":false,"suffix":""},{"dropping-particle":"","family":"Valeri","given":"Federica","non-dropping-particle":"","parse-names":false,"suffix":""},{"dropping-particle":"","family":"Monaco","given":"Federico","non-dropping-particle":"","parse-names":false,"suffix":""},{"dropping-particle":"","family":"Vitolo","given":"Umberto","non-dropping-particle":"","parse-names":false,"suffix":""},{"dropping-particle":"","family":"Cortelazzo","given":"Sergio","non-dropping-particle":"","parse-names":false,"suffix":""},{"dropping-particle":"","family":"Cabras","given":"Maria Giuseppina","non-dropping-particle":"","parse-names":false,"suffix":""},{"dropping-particle":"","family":"Spina","given":"Michele","non-dropping-particle":"","parse-names":false,"suffix":""},{"dropping-particle":"","family":"Baldini","given":"Luca","non-dropping-particle":"","parse-names":false,"suffix":""},{"dropping-particle":"","family":"Boccomini","given":"Carola","non-dropping-particle":"","parse-names":false,"suffix":""},{"dropping-particle":"","family":"Chiappella","given":"Annalisa","non-dropping-particle":"","parse-names":false,"suffix":""},{"dropping-particle":"","family":"Bari","given":"Alessia","non-dropping-particle":"","parse-names":false,"suffix":""},{"dropping-particle":"","family":"Luminari","given":"Stefano","non-dropping-particle":"","parse-names":false,"suffix":""},{"dropping-particle":"","family":"Visco","given":"Carlo","non-dropping-particle":"","parse-names":false,"suffix":""},{"dropping-particle":"","family":"Calabrese","given":"Marco","non-dropping-particle":"","parse-names":false,"suffix":""},{"dropping-particle":"","family":"Limberti","given":"Giulia","non-dropping-particle":"","parse-names":false,"suffix":""},{"dropping-particle":"","family":"Levis","given":"Alessandro","non-dropping-particle":"","parse-names":false,"suffix":""},{"dropping-particle":"","family":"Contino","given":"Laura","non-dropping-particle":"","parse-names":false,"suffix":""},{"dropping-particle":"","family":"Ciccone","given":"Giovannino","non-dropping-particle":"","parse-names":false,"suffix":""},{"dropping-particle":"","family":"Ladetto","given":"Marco","non-dropping-particle":"","parse-names":false,"suffix":""}],"container-title":"Thrombosis and Haemostasis","id":"ITEM-3","issue":"8","issued":{"date-parts":[["2017","4","27"]]},"page":"1615-1621","publisher":"Schattauer GmbH","title":"Khorana score and histotype predicts incidence of early venous thromboembolism in Non-Hodgkin lymphomas: A Pooled-Data analysis of 12 clinical trials of fondazione italiana linfomi (FIL)","type":"article-journal","volume":"117"},"uris":["http://www.mendeley.com/documents/?uuid=08ff1c42-56b9-3c28-b502-37fb28c97ec6"]},{"id":"ITEM-4","itemData":{"DOI":"10.1016/s0049-3848(16)30136-0","ISSN":"00493848","abstract":"BACKGROUND\\nRecent studies show that the risk of VTE in NHL pts is similar to that observed in high risk solid tumors (i.e. pancreatic, ovarian cancer). VTE in NHL occurs in most cases within three months from diagnosis and can have substantial impact on treatment delivery and outcome as well as on quality of life. However few data are available on potential predictors. \\n\\nAIMS\\nTo better clarify the epidemiology of early (within six months from treatment start) VTE in NHL we conducted a pooled data analysis of 12 clinical trials from FIL. Our analysis included basic demographic features, lymphoma-related characteristics as well the Khorana score (based on histology, BMI, platelets WBC and HB counts) which is extensively used in solid tumors to predict VTE risk. \\n\\nPATIENTS AND METHODS\\nFrom Jan. 2010 to Dec. 2014, all pts with B-cell NHL enrolled in prospective clinical trials from FIL for frontline treatment were included. For 9 studies study period included the entire trial population was included. The analyses were conducted based on CRFs as well as pharmacovigilance reports. VTE definition and grading was stated according to standard criteria of toxicity (CTCAE V4.0). Cumulative incidence of VTE from the study enrollment was estimated using the method described by Gooley et al. accounting for death from any causes as a competing risk. The Fine &amp; Gray survival model was used to identify predictors of VTE among NHL pts. Factors predicting the grade of VTE were investigated using an ordinal logistic regression model. This pooled data analysis was approved by local IRB. \\n\\nRESULTS\\nOverall, 1,717 patients belonging to 12 studies were evaluated. Eight were phase I/II or II (25% of pts) and 4 phase III (75% of pts). M/F ratio was 1.41, Median age was 57, (IQ range (IQR) 49-66). Histologies were: DLCL-B 34%, FL 41%, MCL 18%, other 6%. Median BMI was 25 (IQR 22-28). Median Hb, WBC and platelets counts were 13g/dl) (IQR 11.5-14.2), 7.1*10^9/l (IQR 5.6-10.3), 224*10^9/l (IQR 169-298), respectively. 1189 pts were evaluable Khorana score: 58% low risk, 30% intermediate risk, 12% were high risk. Human erythropoetin support was given to 9% of patients. All pts received Rituximab. Planned therapeutic programs included ASCT in 27% of pts, conventional chemotherapy in 67% a conventional chemotherapy plus lenalidomide in 6%. Overall 59 any grade VTE episodes occurred in 51 pts (2.9%), including 21 grade III-IV VTE (18 pts). None was fatal. Median time from study …","author":[{"dropping-particle":"","family":"Santi","given":"R.M.","non-dropping-particle":"","parse-names":false,"suffix":""},{"dropping-particle":"","family":"Ceccarelli","given":"M.","non-dropping-particle":"","parse-names":false,"suffix":""},{"dropping-particle":"","family":"Catania","given":"G.","non-dropping-particle":"","parse-names":false,"suffix":""},{"dropping-particle":"","family":"Monagheddu","given":"C.","non-dropping-particle":"","parse-names":false,"suffix":""},{"dropping-particle":"","family":"Evangelista","given":"A.","non-dropping-particle":"","parse-names":false,"suffix":""},{"dropping-particle":"","family":"Bernocco","given":"E.","non-dropping-particle":"","parse-names":false,"suffix":""},{"dropping-particle":"","family":"Monaco","given":"F.","non-dropping-particle":"","parse-names":false,"suffix":""},{"dropping-particle":"","family":"Federico","given":"M.","non-dropping-particle":"","parse-names":false,"suffix":""},{"dropping-particle":"","family":"Vitolo","given":"U.","non-dropping-particle":"","parse-names":false,"suffix":""},{"dropping-particle":"","family":"Cortelazzo","given":"S.","non-dropping-particle":"","parse-names":false,"suffix":""},{"dropping-particle":"","family":"Cabras","given":"M.G.","non-dropping-particle":"","parse-names":false,"suffix":""},{"dropping-particle":"","family":"Spina","given":"M.","non-dropping-particle":"","parse-names":false,"suffix":""},{"dropping-particle":"","family":"Baldini","given":"L.","non-dropping-particle":"","parse-names":false,"suffix":""},{"dropping-particle":"","family":"Boccomini","given":"C.","non-dropping-particle":"","parse-names":false,"suffix":""},{"dropping-particle":"","family":"Chiappella","given":"A.","non-dropping-particle":"","parse-names":false,"suffix":""},{"dropping-particle":"","family":"Bari","given":"A.","non-dropping-particle":"","parse-names":false,"suffix":""},{"dropping-particle":"","family":"Luminari","given":"S.","non-dropping-particle":"","parse-names":false,"suffix":""},{"dropping-particle":"","family":"Calabrese","given":"M.","non-dropping-particle":"","parse-names":false,"suffix":""},{"dropping-particle":"","family":"Levis","given":"A.","non-dropping-particle":"","parse-names":false,"suffix":""},{"dropping-particle":"","family":"Visco","given":"C.","non-dropping-particle":"","parse-names":false,"suffix":""},{"dropping-particle":"","family":"Contino","given":"L.","non-dropping-particle":"","parse-names":false,"suffix":""},{"dropping-particle":"","family":"Ciccone","given":"G.","non-dropping-particle":"","parse-names":false,"suffix":""},{"dropping-particle":"","family":"Ladetto","given":"M.","non-dropping-particle":"","parse-names":false,"suffix":""}],"container-title":"Thrombosis Research","id":"ITEM-4","issued":{"date-parts":[["2016","4","1"]]},"page":"S177","publisher":"Elsevier BV","title":"PO-03 - Khorana score and histotype predict the incidence of early venous thromboembolism (VTE) in Non Hodgkin Lymphoma (NHL). A pooled data analysis of twelve clinical trials of Fondazione Italiana Linfomi (FIL)","type":"article-journal","volume":"140"},"uris":["http://www.mendeley.com/documents/?uuid=f8991f19-b353-3dbf-93ae-ea021c37a7dc"]},{"id":"ITEM-5","itemData":{"DOI":"10.1634/theoncologist.2015-0361","ISSN":"1083-7159","abstract":"© AlphaMed Press 2016. Background. Retrospective studies have suggested an association between cancer-associated venous thromboembolism (VTE) and patient survival.Weevaluated a previously validated VTE Clinical Risk Score in also predicting early mortality and cancer progression. Methods. A large, nationwide, prospective cohort study of adults with solid tumors orlymphoma initiating chemotherapy was conducted from 2002 to 2006 at 115 U.S. practice sites. Survivalandcancer progressionwereestimatedbythemethod of Kaplan and Meier. Multivariate analysis was based on Cox regression analysis adjusted for major prognostic factors including VTE itself. Results. Of 4,405 patients, 134 (3.0%) died and 330 (7.5%) experienced disease progression during the first 4 months of therapy (median follow-up 75 days). Patients deemed high risk (n = 540, 12.3%) by the Clinical Risk Score had a 120-day mortality rate of 12.7% (adjusted hazard ratio [aHR] 3.00, 95% confidence interval [CI]  1.4-6.3), and intermediate-risk patients (n = 2,665, 60.5%) had a mortality rate of 5.9% (aHR 2.3, 95% CI 1.2-4.4) compared with only 1.4% for low-risk patients (n = 1,200, 27.2%). At 120 days of follow-up, cancer progression occurred in 27.2% of high-risk patients (aHR 2.2, 95% CI 1.4-3.5) and 16.4% of intermediate-risk patients (aHR 1.9, 95% CI 1.3-2.7) compared with only 8.5% of low-risk patients (p  &lt;  .0001). Conclusion. The Clinical Risk Score, originally developed to predict the occurrence of VTE, is also predictive of early mortality and cancer progression during the first four cycles of outpatient chemotherapy, independent from other major prognostic factors including VTE itself. Ongoing and future studies will help determine the impact of VTE prophylaxis on survival.","author":[{"dropping-particle":"","family":"Kuderer","given":"Nicole M.","non-dropping-particle":"","parse-names":false,"suffix":""},{"dropping-particle":"","family":"Culakova","given":"Eva","non-dropping-particle":"","parse-names":false,"suffix":""},{"dropping-particle":"","family":"Lyman","given":"Gary H.","non-dropping-particle":"","parse-names":false,"suffix":""},{"dropping-particle":"","family":"Francis","given":"Charles","non-dropping-particle":"","parse-names":false,"suffix":""},{"dropping-particle":"","family":"Falanga","given":"Anna","non-dropping-particle":"","parse-names":false,"suffix":""},{"dropping-particle":"","family":"Khorana","given":"Alok A.","non-dropping-particle":"","parse-names":false,"suffix":""}],"container-title":"The Oncologist","id":"ITEM-5","issue":"7","issued":{"date-parts":[["2016","7"]]},"page":"861-867","publisher":"Alphamed Press","title":"A Validated Risk Score for Venous Thromboembolism Is Predictive of Cancer Progression and Mortality","type":"article-journal","volume":"21"},"uris":["http://www.mendeley.com/documents/?uuid=18a4966e-5d62-3c04-83a9-fd95d5e2da41"]}],"mendeley":{"formattedCitation":"[29,30,47–49]","plainTextFormattedCitation":"[29,30,47–49]","previouslyFormattedCitation":"[29,30,47–49]"},"properties":{"noteIndex":0},"schema":"https://github.com/citation-style-language/schema/raw/master/csl-citation.json"}</w:instrText>
      </w:r>
      <w:r w:rsidRPr="000322E4">
        <w:rPr>
          <w:rFonts w:eastAsia="Times New Roman"/>
        </w:rPr>
        <w:fldChar w:fldCharType="separate"/>
      </w:r>
      <w:r w:rsidR="00095D58" w:rsidRPr="00095D58">
        <w:rPr>
          <w:rFonts w:eastAsia="Times New Roman"/>
          <w:noProof/>
        </w:rPr>
        <w:t>[29,30,47–49]</w:t>
      </w:r>
      <w:r w:rsidRPr="000322E4">
        <w:rPr>
          <w:rFonts w:eastAsia="Times New Roman"/>
        </w:rPr>
        <w:fldChar w:fldCharType="end"/>
      </w:r>
      <w:r w:rsidRPr="000322E4">
        <w:rPr>
          <w:rFonts w:eastAsia="Times New Roman"/>
          <w:lang w:eastAsia="ru-RU"/>
        </w:rPr>
        <w:t>.</w:t>
      </w:r>
    </w:p>
    <w:p w14:paraId="37529376" w14:textId="77777777" w:rsidR="00F82D52" w:rsidRPr="000322E4" w:rsidRDefault="00F82D52" w:rsidP="00CA442F">
      <w:pPr>
        <w:pStyle w:val="affff0"/>
        <w:ind w:left="709" w:firstLine="0"/>
        <w:rPr>
          <w:b/>
        </w:rPr>
      </w:pPr>
      <w:r w:rsidRPr="000322E4">
        <w:rPr>
          <w:b/>
        </w:rPr>
        <w:t xml:space="preserve">Уровень убедительности рекомендаций </w:t>
      </w:r>
      <w:r w:rsidR="000C58AB" w:rsidRPr="000322E4">
        <w:rPr>
          <w:b/>
        </w:rPr>
        <w:t xml:space="preserve">В </w:t>
      </w:r>
      <w:r w:rsidRPr="000322E4">
        <w:rPr>
          <w:b/>
        </w:rPr>
        <w:t xml:space="preserve">(уровень достоверности доказательств </w:t>
      </w:r>
      <w:r w:rsidR="000C58AB" w:rsidRPr="000322E4">
        <w:rPr>
          <w:b/>
        </w:rPr>
        <w:t>3</w:t>
      </w:r>
      <w:r w:rsidRPr="000322E4">
        <w:rPr>
          <w:b/>
        </w:rPr>
        <w:t>).</w:t>
      </w:r>
    </w:p>
    <w:p w14:paraId="75EFDD6C" w14:textId="6519579C" w:rsidR="00F82D52" w:rsidRPr="000322E4" w:rsidRDefault="009D170B" w:rsidP="005F1C5F">
      <w:pPr>
        <w:pStyle w:val="a"/>
        <w:spacing w:before="0"/>
        <w:ind w:left="709"/>
      </w:pPr>
      <w:r>
        <w:lastRenderedPageBreak/>
        <w:t>Ж</w:t>
      </w:r>
      <w:r w:rsidR="00F82D52" w:rsidRPr="000322E4">
        <w:t xml:space="preserve">енщинам детородного возраста с впервые выявленной </w:t>
      </w:r>
      <w:r w:rsidR="00622670" w:rsidRPr="000322E4">
        <w:t>ДВКЛ</w:t>
      </w:r>
      <w:r w:rsidR="009B70C4" w:rsidRPr="000322E4">
        <w:t>, ПМВКЛ</w:t>
      </w:r>
      <w:r w:rsidR="0044108E">
        <w:t>,</w:t>
      </w:r>
      <w:r w:rsidR="009B70C4" w:rsidRPr="000322E4">
        <w:t xml:space="preserve"> ЛБ</w:t>
      </w:r>
      <w:r w:rsidR="00F82D52" w:rsidRPr="000322E4">
        <w:t xml:space="preserve">, а также с рецидивом </w:t>
      </w:r>
      <w:r w:rsidR="00622670" w:rsidRPr="000322E4">
        <w:t>ДВКЛ</w:t>
      </w:r>
      <w:r w:rsidR="009B70C4" w:rsidRPr="000322E4">
        <w:t>, ПМВКЛ</w:t>
      </w:r>
      <w:r w:rsidR="0044108E">
        <w:t>,</w:t>
      </w:r>
      <w:r w:rsidR="009B70C4" w:rsidRPr="000322E4">
        <w:t xml:space="preserve"> ЛБ</w:t>
      </w:r>
      <w:r w:rsidR="00F82D52" w:rsidRPr="000322E4">
        <w:t xml:space="preserve">, перед началом терапии </w:t>
      </w:r>
      <w:r w:rsidR="00F82D52" w:rsidRPr="000322E4">
        <w:rPr>
          <w:b/>
        </w:rPr>
        <w:t>рекомендуется</w:t>
      </w:r>
      <w:r w:rsidR="00F82D52" w:rsidRPr="000322E4">
        <w:t xml:space="preserve"> выполнение комплекса исследований по определению беременности для коррекции терапевтической тактики и консультации акушера-гинеколога в случае наличия беременности </w:t>
      </w:r>
      <w:r w:rsidR="00F82D52" w:rsidRPr="000322E4">
        <w:fldChar w:fldCharType="begin" w:fldLock="1"/>
      </w:r>
      <w:r>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id":"ITEM-2","itemData":{"author":[{"dropping-particle":"","family":"Шмаков","given":"Р.Г.","non-dropping-particle":"","parse-names":false,"suffix":""},{"dropping-particle":"","family":"Демина","given":"Е.А.","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Савченко.","id":"ITEM-2","issued":{"date-parts":[["2018"]]},"page":"143-150","title":"Лимфомы и беременность","type":"chapter"},"uris":["http://www.mendeley.com/documents/?uuid=1b144eff-cfc3-4cd9-b619-e66b3bbc7228"]}],"mendeley":{"formattedCitation":"[27,50]","plainTextFormattedCitation":"[27,50]","previouslyFormattedCitation":"[27,50]"},"properties":{"noteIndex":0},"schema":"https://github.com/citation-style-language/schema/raw/master/csl-citation.json"}</w:instrText>
      </w:r>
      <w:r w:rsidR="00F82D52" w:rsidRPr="000322E4">
        <w:fldChar w:fldCharType="separate"/>
      </w:r>
      <w:r w:rsidR="00095D58" w:rsidRPr="00095D58">
        <w:rPr>
          <w:noProof/>
        </w:rPr>
        <w:t>[27,50]</w:t>
      </w:r>
      <w:r w:rsidR="00F82D52" w:rsidRPr="000322E4">
        <w:fldChar w:fldCharType="end"/>
      </w:r>
      <w:r w:rsidR="00F82D52" w:rsidRPr="000322E4">
        <w:t>.</w:t>
      </w:r>
    </w:p>
    <w:p w14:paraId="0E0E63FC" w14:textId="77777777" w:rsidR="00F82D52" w:rsidRPr="000322E4" w:rsidRDefault="00F82D52" w:rsidP="00CA442F">
      <w:pPr>
        <w:spacing w:line="360" w:lineRule="auto"/>
        <w:ind w:left="709" w:hanging="1"/>
        <w:contextualSpacing/>
        <w:jc w:val="both"/>
        <w:rPr>
          <w:b/>
        </w:rPr>
      </w:pPr>
      <w:r w:rsidRPr="000322E4">
        <w:rPr>
          <w:b/>
        </w:rPr>
        <w:t>Уровень убедительности рекомендаций С (уровень достоверности доказательств 5).</w:t>
      </w:r>
    </w:p>
    <w:p w14:paraId="591E75D0" w14:textId="05227282" w:rsidR="00ED5598" w:rsidRPr="000322E4" w:rsidRDefault="00CB71DA" w:rsidP="008A40EA">
      <w:pPr>
        <w:pStyle w:val="afff2"/>
        <w:rPr>
          <w:rStyle w:val="afffc"/>
          <w:rFonts w:eastAsia="Sans" w:cstheme="minorBidi"/>
          <w:i w:val="0"/>
          <w:color w:val="auto"/>
          <w:sz w:val="28"/>
          <w:szCs w:val="22"/>
        </w:rPr>
      </w:pPr>
      <w:bookmarkStart w:id="32" w:name="_Toc96601240"/>
      <w:r w:rsidRPr="000322E4">
        <w:t>3. Лечение</w:t>
      </w:r>
      <w:bookmarkEnd w:id="31"/>
      <w:r w:rsidR="0038545E" w:rsidRPr="000322E4">
        <w:t>,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bookmarkStart w:id="33" w:name="_Toc469402341"/>
      <w:bookmarkStart w:id="34" w:name="_Toc468273538"/>
      <w:bookmarkStart w:id="35" w:name="_Toc468273456"/>
      <w:bookmarkEnd w:id="32"/>
      <w:bookmarkEnd w:id="33"/>
      <w:bookmarkEnd w:id="34"/>
      <w:bookmarkEnd w:id="35"/>
    </w:p>
    <w:p w14:paraId="009AA068" w14:textId="77777777" w:rsidR="007A344D" w:rsidRPr="000322E4" w:rsidRDefault="000578EF" w:rsidP="00CA442F">
      <w:pPr>
        <w:pStyle w:val="afd"/>
        <w:rPr>
          <w:i/>
          <w:iCs/>
        </w:rPr>
      </w:pPr>
      <w:bookmarkStart w:id="36" w:name="__RefHeading___doc_4"/>
      <w:r w:rsidRPr="000322E4">
        <w:rPr>
          <w:i/>
          <w:iCs/>
        </w:rPr>
        <w:t>При выборе тактики и проведении терапии следует учитывать, что у пациента могут быть нестандартные проявления болезни, а также сочетание конкретной болезни с другими патологиями, что может диктовать лечащему врачу изменения в алгоритме выбора оптимальной тактики диагностики и лечения.</w:t>
      </w:r>
    </w:p>
    <w:p w14:paraId="47086237" w14:textId="77777777" w:rsidR="00043202" w:rsidRPr="000322E4" w:rsidRDefault="00043202" w:rsidP="00CA442F">
      <w:pPr>
        <w:pStyle w:val="afd"/>
        <w:rPr>
          <w:i/>
          <w:iCs/>
        </w:rPr>
      </w:pPr>
      <w:r w:rsidRPr="000322E4">
        <w:rPr>
          <w:i/>
          <w:iCs/>
        </w:rPr>
        <w:t>Учитывая наличие неудовлетворенных медицинских потребностей (большое количество рецидивов, недостаточная эффективность и высокая токсичность существующих методов лечения), а также интенсивное изучение новых методов диагностики и лечения, рекомендуется участие пациентов в исследовательских проектах.</w:t>
      </w:r>
    </w:p>
    <w:p w14:paraId="27ACA6CF" w14:textId="77777777" w:rsidR="003F0AA9" w:rsidRPr="000322E4" w:rsidRDefault="003F0AA9" w:rsidP="00CA442F">
      <w:pPr>
        <w:pStyle w:val="afd"/>
        <w:rPr>
          <w:i/>
          <w:iCs/>
        </w:rPr>
      </w:pPr>
      <w:r w:rsidRPr="000322E4">
        <w:rPr>
          <w:i/>
          <w:iCs/>
        </w:rPr>
        <w:t>Каждый цикл терапии начинается, если состояние пациента удовлетворяет следующим критериям:</w:t>
      </w:r>
    </w:p>
    <w:p w14:paraId="25881570" w14:textId="77777777" w:rsidR="003F0AA9" w:rsidRPr="000322E4" w:rsidRDefault="00263322" w:rsidP="008A40EA">
      <w:pPr>
        <w:pStyle w:val="1f6"/>
        <w:numPr>
          <w:ilvl w:val="0"/>
          <w:numId w:val="5"/>
        </w:numPr>
        <w:rPr>
          <w:rFonts w:ascii="Times New Roman" w:hAnsi="Times New Roman"/>
          <w:bCs w:val="0"/>
          <w:i/>
          <w:sz w:val="24"/>
          <w:szCs w:val="24"/>
        </w:rPr>
      </w:pPr>
      <w:r w:rsidRPr="000322E4">
        <w:rPr>
          <w:rFonts w:ascii="Times New Roman" w:hAnsi="Times New Roman"/>
          <w:bCs w:val="0"/>
          <w:i/>
          <w:sz w:val="24"/>
          <w:szCs w:val="24"/>
        </w:rPr>
        <w:t xml:space="preserve">гранулоциты </w:t>
      </w:r>
      <w:r w:rsidRPr="000322E4">
        <w:rPr>
          <w:rFonts w:ascii="Times New Roman" w:hAnsi="Times New Roman"/>
          <w:bCs w:val="0"/>
          <w:i/>
          <w:sz w:val="24"/>
          <w:szCs w:val="24"/>
          <w:lang w:val="en-US"/>
        </w:rPr>
        <w:t>&gt;</w:t>
      </w:r>
      <w:r w:rsidR="003F0AA9" w:rsidRPr="000322E4">
        <w:rPr>
          <w:rFonts w:ascii="Times New Roman" w:hAnsi="Times New Roman"/>
          <w:bCs w:val="0"/>
          <w:i/>
          <w:sz w:val="24"/>
          <w:szCs w:val="24"/>
        </w:rPr>
        <w:t xml:space="preserve"> </w:t>
      </w:r>
      <w:r w:rsidR="007A344D" w:rsidRPr="000322E4">
        <w:rPr>
          <w:rFonts w:ascii="Times New Roman" w:hAnsi="Times New Roman"/>
          <w:bCs w:val="0"/>
          <w:i/>
          <w:sz w:val="24"/>
          <w:szCs w:val="24"/>
        </w:rPr>
        <w:t>1</w:t>
      </w:r>
      <w:r w:rsidRPr="000322E4">
        <w:rPr>
          <w:rFonts w:ascii="Times New Roman" w:hAnsi="Times New Roman"/>
          <w:bCs w:val="0"/>
          <w:i/>
          <w:sz w:val="24"/>
          <w:szCs w:val="24"/>
        </w:rPr>
        <w:t xml:space="preserve"> </w:t>
      </w:r>
      <w:r w:rsidRPr="000322E4">
        <w:rPr>
          <w:rFonts w:ascii="Times New Roman" w:hAnsi="Times New Roman"/>
          <w:bCs w:val="0"/>
          <w:i/>
          <w:sz w:val="24"/>
          <w:szCs w:val="24"/>
          <w:lang w:val="en-US"/>
        </w:rPr>
        <w:t>x 10</w:t>
      </w:r>
      <w:r w:rsidRPr="000322E4">
        <w:rPr>
          <w:rFonts w:ascii="Times New Roman" w:hAnsi="Times New Roman"/>
          <w:bCs w:val="0"/>
          <w:i/>
          <w:sz w:val="24"/>
          <w:szCs w:val="24"/>
          <w:vertAlign w:val="superscript"/>
          <w:lang w:val="en-US"/>
        </w:rPr>
        <w:t>9</w:t>
      </w:r>
      <w:r w:rsidRPr="000322E4">
        <w:rPr>
          <w:rFonts w:ascii="Times New Roman" w:hAnsi="Times New Roman"/>
          <w:bCs w:val="0"/>
          <w:i/>
          <w:sz w:val="24"/>
          <w:szCs w:val="24"/>
        </w:rPr>
        <w:t>/л</w:t>
      </w:r>
      <w:r w:rsidR="003F0AA9" w:rsidRPr="000322E4">
        <w:rPr>
          <w:rFonts w:ascii="Times New Roman" w:hAnsi="Times New Roman"/>
          <w:bCs w:val="0"/>
          <w:i/>
          <w:sz w:val="24"/>
          <w:szCs w:val="24"/>
        </w:rPr>
        <w:t xml:space="preserve">, </w:t>
      </w:r>
    </w:p>
    <w:p w14:paraId="70AB330A" w14:textId="77777777" w:rsidR="003F0AA9" w:rsidRPr="000322E4" w:rsidRDefault="00263322" w:rsidP="008A40EA">
      <w:pPr>
        <w:pStyle w:val="1f6"/>
        <w:numPr>
          <w:ilvl w:val="0"/>
          <w:numId w:val="5"/>
        </w:numPr>
        <w:rPr>
          <w:rFonts w:ascii="Times New Roman" w:hAnsi="Times New Roman"/>
          <w:bCs w:val="0"/>
          <w:i/>
          <w:sz w:val="24"/>
          <w:szCs w:val="24"/>
        </w:rPr>
      </w:pPr>
      <w:r w:rsidRPr="000322E4">
        <w:rPr>
          <w:rFonts w:ascii="Times New Roman" w:hAnsi="Times New Roman"/>
          <w:bCs w:val="0"/>
          <w:i/>
          <w:sz w:val="24"/>
          <w:szCs w:val="24"/>
        </w:rPr>
        <w:t xml:space="preserve">тромбоциты </w:t>
      </w:r>
      <w:r w:rsidRPr="000322E4">
        <w:rPr>
          <w:rFonts w:ascii="Times New Roman" w:hAnsi="Times New Roman"/>
          <w:bCs w:val="0"/>
          <w:i/>
          <w:sz w:val="24"/>
          <w:szCs w:val="24"/>
          <w:lang w:val="en-US"/>
        </w:rPr>
        <w:t xml:space="preserve">&gt; </w:t>
      </w:r>
      <w:r w:rsidR="007A344D" w:rsidRPr="000322E4">
        <w:rPr>
          <w:rFonts w:ascii="Times New Roman" w:hAnsi="Times New Roman"/>
          <w:bCs w:val="0"/>
          <w:i/>
          <w:sz w:val="24"/>
          <w:szCs w:val="24"/>
        </w:rPr>
        <w:t>10</w:t>
      </w:r>
      <w:r w:rsidR="003F0AA9" w:rsidRPr="000322E4">
        <w:rPr>
          <w:rFonts w:ascii="Times New Roman" w:hAnsi="Times New Roman"/>
          <w:bCs w:val="0"/>
          <w:i/>
          <w:sz w:val="24"/>
          <w:szCs w:val="24"/>
        </w:rPr>
        <w:t>0</w:t>
      </w:r>
      <w:r w:rsidRPr="000322E4">
        <w:rPr>
          <w:rFonts w:ascii="Times New Roman" w:hAnsi="Times New Roman"/>
          <w:bCs w:val="0"/>
          <w:i/>
          <w:sz w:val="24"/>
          <w:szCs w:val="24"/>
          <w:lang w:val="en-US"/>
        </w:rPr>
        <w:t xml:space="preserve"> x 10</w:t>
      </w:r>
      <w:r w:rsidRPr="000322E4">
        <w:rPr>
          <w:rFonts w:ascii="Times New Roman" w:hAnsi="Times New Roman"/>
          <w:bCs w:val="0"/>
          <w:i/>
          <w:sz w:val="24"/>
          <w:szCs w:val="24"/>
          <w:vertAlign w:val="superscript"/>
          <w:lang w:val="en-US"/>
        </w:rPr>
        <w:t>9</w:t>
      </w:r>
      <w:r w:rsidRPr="000322E4">
        <w:rPr>
          <w:rFonts w:ascii="Times New Roman" w:hAnsi="Times New Roman"/>
          <w:bCs w:val="0"/>
          <w:i/>
          <w:sz w:val="24"/>
          <w:szCs w:val="24"/>
        </w:rPr>
        <w:t>/л</w:t>
      </w:r>
      <w:r w:rsidR="003F0AA9" w:rsidRPr="000322E4">
        <w:rPr>
          <w:rFonts w:ascii="Times New Roman" w:hAnsi="Times New Roman"/>
          <w:bCs w:val="0"/>
          <w:i/>
          <w:sz w:val="24"/>
          <w:szCs w:val="24"/>
        </w:rPr>
        <w:t>.</w:t>
      </w:r>
    </w:p>
    <w:p w14:paraId="72D2002A" w14:textId="77777777" w:rsidR="007C3C41" w:rsidRDefault="007C3C41" w:rsidP="00CA442F">
      <w:pPr>
        <w:pStyle w:val="1f6"/>
        <w:ind w:firstLine="720"/>
        <w:rPr>
          <w:rFonts w:ascii="Times New Roman" w:hAnsi="Times New Roman"/>
          <w:bCs w:val="0"/>
          <w:i/>
          <w:iCs w:val="0"/>
          <w:sz w:val="24"/>
          <w:szCs w:val="24"/>
        </w:rPr>
      </w:pPr>
      <w:r w:rsidRPr="000322E4">
        <w:rPr>
          <w:rFonts w:ascii="Times New Roman" w:hAnsi="Times New Roman"/>
          <w:bCs w:val="0"/>
          <w:i/>
          <w:iCs w:val="0"/>
          <w:sz w:val="24"/>
          <w:szCs w:val="24"/>
        </w:rPr>
        <w:t xml:space="preserve">Для </w:t>
      </w:r>
      <w:r w:rsidR="00103620" w:rsidRPr="000322E4">
        <w:rPr>
          <w:rFonts w:ascii="Times New Roman" w:hAnsi="Times New Roman"/>
          <w:bCs w:val="0"/>
          <w:i/>
          <w:iCs w:val="0"/>
          <w:sz w:val="24"/>
          <w:szCs w:val="24"/>
        </w:rPr>
        <w:t xml:space="preserve">пациентов </w:t>
      </w:r>
      <w:r w:rsidRPr="000322E4">
        <w:rPr>
          <w:rFonts w:ascii="Times New Roman" w:hAnsi="Times New Roman"/>
          <w:bCs w:val="0"/>
          <w:i/>
          <w:iCs w:val="0"/>
          <w:sz w:val="24"/>
          <w:szCs w:val="24"/>
        </w:rPr>
        <w:t>с цитопенией, обусловленной поражением костного мозга, специфическая терапия возможна и при более низких показателях лейкоцитов и тромбоцитов, однако в этих случаях должна быть обеспечена соответствующая сопроводительная терапия.</w:t>
      </w:r>
    </w:p>
    <w:p w14:paraId="780ED059" w14:textId="76D37121" w:rsidR="0044108E" w:rsidRPr="005F1C5F" w:rsidRDefault="0044108E" w:rsidP="0044108E">
      <w:pPr>
        <w:pStyle w:val="1f6"/>
        <w:rPr>
          <w:rFonts w:ascii="Times New Roman" w:hAnsi="Times New Roman"/>
          <w:bCs w:val="0"/>
          <w:i/>
          <w:iCs w:val="0"/>
          <w:color w:val="000000" w:themeColor="text1"/>
          <w:sz w:val="24"/>
          <w:szCs w:val="24"/>
        </w:rPr>
      </w:pPr>
      <w:r w:rsidRPr="005F1C5F">
        <w:rPr>
          <w:rFonts w:ascii="Times New Roman" w:hAnsi="Times New Roman"/>
          <w:bCs w:val="0"/>
          <w:i/>
          <w:color w:val="000000" w:themeColor="text1"/>
          <w:sz w:val="24"/>
          <w:szCs w:val="24"/>
        </w:rPr>
        <w:t xml:space="preserve">При наличии хирургических осложнений лимфом </w:t>
      </w:r>
      <w:r w:rsidRPr="005F1C5F">
        <w:rPr>
          <w:rFonts w:ascii="Times New Roman" w:hAnsi="Times New Roman"/>
          <w:i/>
          <w:color w:val="000000" w:themeColor="text1"/>
          <w:sz w:val="24"/>
          <w:szCs w:val="24"/>
        </w:rPr>
        <w:t>(кишечная непроходимость, кровотечения, перфорация, и другие), необходима их срочное купирование соответствующими хирургическими пособиями. Также, при наличии, необходима коррекция электролитных нарушений, купирование инфекционных осложнений, болевого синдрома, почечной недостаточности.</w:t>
      </w:r>
    </w:p>
    <w:p w14:paraId="7D5D3D12" w14:textId="77777777" w:rsidR="00497137" w:rsidRPr="000322E4" w:rsidRDefault="00497137" w:rsidP="00CA442F">
      <w:pPr>
        <w:pStyle w:val="1f6"/>
        <w:ind w:firstLine="720"/>
        <w:rPr>
          <w:rFonts w:ascii="Times New Roman" w:hAnsi="Times New Roman"/>
          <w:bCs w:val="0"/>
          <w:i/>
          <w:sz w:val="24"/>
          <w:szCs w:val="24"/>
        </w:rPr>
      </w:pPr>
      <w:r w:rsidRPr="000322E4">
        <w:rPr>
          <w:rFonts w:ascii="Times New Roman" w:hAnsi="Times New Roman"/>
          <w:bCs w:val="0"/>
          <w:i/>
          <w:sz w:val="24"/>
          <w:szCs w:val="24"/>
        </w:rPr>
        <w:t xml:space="preserve">Все режимы терапии, начиная с первого курса, должны проводиться с ритуксимабом** во внутривенной или подкожной форме. В нескольких крупных </w:t>
      </w:r>
      <w:r w:rsidRPr="000322E4">
        <w:rPr>
          <w:rFonts w:ascii="Times New Roman" w:hAnsi="Times New Roman"/>
          <w:bCs w:val="0"/>
          <w:i/>
          <w:sz w:val="24"/>
          <w:szCs w:val="24"/>
        </w:rPr>
        <w:lastRenderedPageBreak/>
        <w:t>рандомизированных исследованиях доказано, что подкожная форма ритуксимаба** является столь же эффективной и безопасной, как и внутривенная. Первое введение препарата всем пациентам проводится в дозе 375 мг/м</w:t>
      </w:r>
      <w:r w:rsidRPr="000322E4">
        <w:rPr>
          <w:rFonts w:ascii="Times New Roman" w:hAnsi="Times New Roman"/>
          <w:bCs w:val="0"/>
          <w:i/>
          <w:sz w:val="24"/>
          <w:szCs w:val="24"/>
          <w:vertAlign w:val="superscript"/>
        </w:rPr>
        <w:t>2</w:t>
      </w:r>
      <w:r w:rsidRPr="000322E4">
        <w:rPr>
          <w:rFonts w:ascii="Times New Roman" w:hAnsi="Times New Roman"/>
          <w:bCs w:val="0"/>
          <w:i/>
          <w:sz w:val="24"/>
          <w:szCs w:val="24"/>
        </w:rPr>
        <w:t xml:space="preserve"> внутривенно, во втором и/или последующих циклах терапии ритуксимаб** может вводиться подкожно в фиксированной дозе 1400 мг независимо от площади поверхности тела.</w:t>
      </w:r>
    </w:p>
    <w:p w14:paraId="7085D523" w14:textId="77777777" w:rsidR="0044108E" w:rsidRDefault="00F533A5" w:rsidP="0044108E">
      <w:pPr>
        <w:pStyle w:val="1f6"/>
        <w:rPr>
          <w:rFonts w:ascii="Times New Roman" w:hAnsi="Times New Roman"/>
          <w:bCs w:val="0"/>
          <w:i/>
          <w:iCs w:val="0"/>
          <w:sz w:val="24"/>
          <w:szCs w:val="24"/>
        </w:rPr>
      </w:pPr>
      <w:r w:rsidRPr="000322E4">
        <w:rPr>
          <w:rFonts w:ascii="Times New Roman" w:hAnsi="Times New Roman"/>
          <w:bCs w:val="0"/>
          <w:i/>
          <w:iCs w:val="0"/>
          <w:sz w:val="24"/>
          <w:szCs w:val="24"/>
        </w:rPr>
        <w:t>Пациент прекращает лечение по протоколу в случаях прогрессии заболевания или токсических эффектов, не позволяющих продолжать химиотерапию в необходимом объеме.</w:t>
      </w:r>
    </w:p>
    <w:p w14:paraId="00768FC7" w14:textId="77777777" w:rsidR="0044108E" w:rsidRPr="000322E4" w:rsidRDefault="0044108E" w:rsidP="008A40EA">
      <w:pPr>
        <w:pStyle w:val="1f6"/>
        <w:rPr>
          <w:rFonts w:ascii="Times New Roman" w:hAnsi="Times New Roman"/>
          <w:bCs w:val="0"/>
          <w:i/>
          <w:iCs w:val="0"/>
          <w:sz w:val="24"/>
          <w:szCs w:val="24"/>
        </w:rPr>
      </w:pPr>
    </w:p>
    <w:p w14:paraId="0B085F77" w14:textId="77777777" w:rsidR="000578EF" w:rsidRPr="000322E4" w:rsidRDefault="000578EF" w:rsidP="008A40EA">
      <w:pPr>
        <w:pStyle w:val="2"/>
        <w:spacing w:before="0"/>
        <w:contextualSpacing/>
      </w:pPr>
      <w:bookmarkStart w:id="37" w:name="_Toc96601241"/>
      <w:r w:rsidRPr="000322E4">
        <w:t xml:space="preserve">3.1 Первая линия терапии </w:t>
      </w:r>
      <w:r w:rsidR="00B57EFF" w:rsidRPr="000322E4">
        <w:t>ДВКЛ</w:t>
      </w:r>
      <w:r w:rsidR="00F5607D" w:rsidRPr="000322E4">
        <w:t xml:space="preserve"> у взрослых пациентов</w:t>
      </w:r>
      <w:bookmarkEnd w:id="37"/>
      <w:r w:rsidR="00FE0969" w:rsidRPr="000322E4">
        <w:t xml:space="preserve"> </w:t>
      </w:r>
    </w:p>
    <w:p w14:paraId="5B4307CF" w14:textId="324DA7C1" w:rsidR="001E1A3A" w:rsidRPr="000322E4" w:rsidRDefault="001E1A3A" w:rsidP="005C4D46">
      <w:pPr>
        <w:widowControl w:val="0"/>
        <w:numPr>
          <w:ilvl w:val="0"/>
          <w:numId w:val="121"/>
        </w:numPr>
        <w:autoSpaceDE w:val="0"/>
        <w:autoSpaceDN w:val="0"/>
        <w:adjustRightInd w:val="0"/>
        <w:spacing w:line="360" w:lineRule="auto"/>
        <w:jc w:val="both"/>
      </w:pPr>
      <w:r w:rsidRPr="000322E4">
        <w:t xml:space="preserve">Пациентам с верифицированной ДВКЛ с высокой опухолевой нагрузкой </w:t>
      </w:r>
      <w:r w:rsidRPr="000322E4">
        <w:rPr>
          <w:b/>
          <w:bCs/>
        </w:rPr>
        <w:t>рекомендуется</w:t>
      </w:r>
      <w:r w:rsidRPr="000322E4">
        <w:t xml:space="preserve"> начинать лечение </w:t>
      </w:r>
      <w:r w:rsidRPr="000322E4">
        <w:rPr>
          <w:rFonts w:eastAsia="Calibri" w:cstheme="minorHAnsi"/>
        </w:rPr>
        <w:t>с предфазы (</w:t>
      </w:r>
      <w:r w:rsidR="00062D82" w:rsidRPr="000322E4">
        <w:rPr>
          <w:rFonts w:eastAsia="Calibri" w:cstheme="minorHAnsi"/>
        </w:rPr>
        <w:t>#</w:t>
      </w:r>
      <w:r w:rsidRPr="000322E4">
        <w:rPr>
          <w:rFonts w:eastAsia="Calibri" w:cstheme="minorHAnsi"/>
        </w:rPr>
        <w:t>преднизолон** 100 мг внутрь 5-7 дней</w:t>
      </w:r>
      <w:r w:rsidR="009C4518">
        <w:rPr>
          <w:rFonts w:eastAsia="Calibri" w:cstheme="minorHAnsi"/>
        </w:rPr>
        <w:t xml:space="preserve"> </w:t>
      </w:r>
      <w:r w:rsidR="009C4518" w:rsidRPr="005F1C5F">
        <w:rPr>
          <w:rFonts w:eastAsia="Calibri" w:cstheme="minorHAnsi"/>
          <w:color w:val="000000" w:themeColor="text1"/>
        </w:rPr>
        <w:t>или #</w:t>
      </w:r>
      <w:r w:rsidR="0044108E" w:rsidRPr="005F1C5F">
        <w:rPr>
          <w:color w:val="000000" w:themeColor="text1"/>
        </w:rPr>
        <w:t>д</w:t>
      </w:r>
      <w:r w:rsidR="009C4518" w:rsidRPr="005F1C5F">
        <w:rPr>
          <w:color w:val="000000" w:themeColor="text1"/>
        </w:rPr>
        <w:t>ексаметазон** 10 мг мг/м</w:t>
      </w:r>
      <w:r w:rsidR="009C4518" w:rsidRPr="005F1C5F">
        <w:rPr>
          <w:color w:val="000000" w:themeColor="text1"/>
          <w:vertAlign w:val="superscript"/>
        </w:rPr>
        <w:t>2</w:t>
      </w:r>
      <w:r w:rsidR="009C4518" w:rsidRPr="005F1C5F">
        <w:rPr>
          <w:color w:val="000000" w:themeColor="text1"/>
        </w:rPr>
        <w:t xml:space="preserve"> в/в, 1-3-й дни</w:t>
      </w:r>
      <w:r w:rsidRPr="009C4518">
        <w:rPr>
          <w:rFonts w:eastAsia="Calibri" w:cstheme="minorHAnsi"/>
        </w:rPr>
        <w:t>) на фоне инфузионной терапии (2-3 литра в сутки) и приема аллопуринола для предотвращения синдрома лизиса опухоли (см. раздел 3</w:t>
      </w:r>
      <w:r w:rsidR="00DE6A24" w:rsidRPr="009C4518">
        <w:rPr>
          <w:rFonts w:eastAsia="Calibri" w:cstheme="minorHAnsi"/>
        </w:rPr>
        <w:t>.</w:t>
      </w:r>
      <w:r w:rsidR="007D4302" w:rsidRPr="009C4518">
        <w:rPr>
          <w:rFonts w:eastAsia="Calibri" w:cstheme="minorHAnsi"/>
        </w:rPr>
        <w:t>7</w:t>
      </w:r>
      <w:r w:rsidRPr="009C4518">
        <w:rPr>
          <w:rFonts w:eastAsia="Calibri" w:cstheme="minorHAnsi"/>
        </w:rPr>
        <w:t xml:space="preserve">.) </w:t>
      </w:r>
      <w:r w:rsidRPr="009C4518">
        <w:rPr>
          <w:rFonts w:eastAsia="Calibri" w:cstheme="minorHAnsi"/>
        </w:rPr>
        <w:fldChar w:fldCharType="begin" w:fldLock="1"/>
      </w:r>
      <w:r w:rsidR="00F3553D">
        <w:rPr>
          <w:rFonts w:eastAsia="Calibri" w:cstheme="minorHAnsi"/>
        </w:rPr>
        <w:instrText>ADDIN CSL_CITATION {"citationItems":[{"id":"ITEM-1","itemData":{"author":[{"dropping-particle":"","family":"Тумян","given":"Г.С.","non-dropping-particle":"","parse-names":false,"suffix":""},{"dropping-particle":"","family":"Кравченко","given":"С.К.","non-dropping-particle":"","parse-names":false,"suffix":""},{"dropping-particle":"","family":"Михайлова","given":"Н.Б.","non-dropping-particle":"","parse-names":false,"suffix":""},{"dropping-particle":"","family":"Барях","given":"Е.А.","non-dropping-particle":"","parse-names":false,"suffix":""},{"dropping-particle":"","family":"Птушкин","given":"В.В.","non-dropping-particle":"","parse-names":false,"suffix":""},{"dropping-particle":"","family":"Поддубная","given":"И.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Савченко.","id":"ITEM-1","issued":{"date-parts":[["2018"]]},"page":"58-68","title":"Диффузная В-клеточная крупноклеточная лимфома","type":"chapter"},"uris":["http://www.mendeley.com/documents/?uuid=cb7114f7-4655-4733-8df2-526cc4e32730"]}],"mendeley":{"formattedCitation":"[20]","plainTextFormattedCitation":"[20]","previouslyFormattedCitation":"[20]"},"properties":{"noteIndex":0},"schema":"https://github.com/citation-style-language/schema/raw/master/csl-citation.json"}</w:instrText>
      </w:r>
      <w:r w:rsidRPr="009C4518">
        <w:rPr>
          <w:rFonts w:eastAsia="Calibri" w:cstheme="minorHAnsi"/>
        </w:rPr>
        <w:fldChar w:fldCharType="separate"/>
      </w:r>
      <w:r w:rsidR="00F3553D" w:rsidRPr="00F3553D">
        <w:rPr>
          <w:rFonts w:eastAsia="Calibri" w:cstheme="minorHAnsi"/>
          <w:noProof/>
        </w:rPr>
        <w:t>[20]</w:t>
      </w:r>
      <w:r w:rsidRPr="009C4518">
        <w:rPr>
          <w:rFonts w:eastAsia="Calibri" w:cstheme="minorHAnsi"/>
        </w:rPr>
        <w:fldChar w:fldCharType="end"/>
      </w:r>
      <w:r w:rsidRPr="009C4518">
        <w:rPr>
          <w:rFonts w:eastAsia="Calibri" w:cstheme="minorHAnsi"/>
        </w:rPr>
        <w:t>.</w:t>
      </w:r>
      <w:r w:rsidRPr="000322E4">
        <w:t xml:space="preserve"> </w:t>
      </w:r>
    </w:p>
    <w:p w14:paraId="358F7727" w14:textId="28DF2B8F" w:rsidR="001E1A3A" w:rsidRDefault="001E1A3A" w:rsidP="008A40EA">
      <w:pPr>
        <w:spacing w:line="360" w:lineRule="auto"/>
        <w:ind w:left="709"/>
        <w:contextualSpacing/>
        <w:jc w:val="both"/>
        <w:rPr>
          <w:b/>
        </w:rPr>
      </w:pPr>
      <w:r w:rsidRPr="000322E4">
        <w:rPr>
          <w:b/>
        </w:rPr>
        <w:t xml:space="preserve">Уровень убедительности рекомендаций </w:t>
      </w:r>
      <w:r w:rsidRPr="000322E4">
        <w:rPr>
          <w:b/>
          <w:lang w:val="en-US"/>
        </w:rPr>
        <w:t>C</w:t>
      </w:r>
      <w:r w:rsidRPr="000322E4">
        <w:rPr>
          <w:b/>
        </w:rPr>
        <w:t xml:space="preserve"> (уровень достоверности доказательств 5).</w:t>
      </w:r>
    </w:p>
    <w:p w14:paraId="1496C393" w14:textId="3BA90FD6" w:rsidR="00E13E67" w:rsidRPr="000322E4" w:rsidRDefault="00E13E67" w:rsidP="009D170B">
      <w:pPr>
        <w:spacing w:line="360" w:lineRule="auto"/>
        <w:ind w:firstLine="709"/>
        <w:contextualSpacing/>
        <w:jc w:val="both"/>
        <w:rPr>
          <w:b/>
        </w:rPr>
      </w:pPr>
      <w:r w:rsidRPr="000322E4">
        <w:rPr>
          <w:b/>
        </w:rPr>
        <w:t>Комментарий:</w:t>
      </w:r>
      <w:r w:rsidRPr="000322E4">
        <w:rPr>
          <w:bCs/>
        </w:rPr>
        <w:t xml:space="preserve"> </w:t>
      </w:r>
      <w:r>
        <w:rPr>
          <w:i/>
          <w:iCs/>
        </w:rPr>
        <w:t>беременным пациенткам аллопуринол не назначается.</w:t>
      </w:r>
    </w:p>
    <w:p w14:paraId="1379AF2E" w14:textId="7A07F0CC" w:rsidR="00BD68C0" w:rsidRPr="00BD68C0" w:rsidRDefault="00B57EFF" w:rsidP="005F1C5F">
      <w:pPr>
        <w:pStyle w:val="a"/>
        <w:spacing w:before="0"/>
        <w:ind w:left="709"/>
      </w:pPr>
      <w:r w:rsidRPr="000322E4">
        <w:t>Пациентам</w:t>
      </w:r>
      <w:r w:rsidR="00F5607D" w:rsidRPr="000322E4">
        <w:t xml:space="preserve"> старше 18 лет</w:t>
      </w:r>
      <w:r w:rsidRPr="000322E4">
        <w:t xml:space="preserve"> с впервые установленной ДВКЛ I-II стадии </w:t>
      </w:r>
      <w:r w:rsidRPr="000322E4">
        <w:rPr>
          <w:b/>
          <w:bCs/>
        </w:rPr>
        <w:t>рекомендуется</w:t>
      </w:r>
      <w:r w:rsidR="005939AE">
        <w:rPr>
          <w:b/>
          <w:bCs/>
        </w:rPr>
        <w:t xml:space="preserve"> </w:t>
      </w:r>
      <w:r w:rsidR="005939AE" w:rsidRPr="005939AE">
        <w:t>один из следующих лечебных подходов</w:t>
      </w:r>
      <w:r w:rsidR="00BD68C0" w:rsidRPr="005939AE">
        <w:t>:</w:t>
      </w:r>
    </w:p>
    <w:p w14:paraId="5BDADCAC" w14:textId="01BEDD2B" w:rsidR="008E7EEC" w:rsidRPr="00BC258F" w:rsidRDefault="00B57EFF" w:rsidP="009D170B">
      <w:pPr>
        <w:pStyle w:val="a"/>
        <w:numPr>
          <w:ilvl w:val="1"/>
          <w:numId w:val="15"/>
        </w:numPr>
        <w:spacing w:before="0"/>
        <w:ind w:left="1134"/>
      </w:pPr>
      <w:r w:rsidRPr="00BC258F">
        <w:t>4 курс</w:t>
      </w:r>
      <w:r w:rsidR="00BD68C0" w:rsidRPr="00BC258F">
        <w:t xml:space="preserve">а </w:t>
      </w:r>
      <w:r w:rsidRPr="00BC258F">
        <w:t>иммунохимиотерапии</w:t>
      </w:r>
      <w:r w:rsidR="00746BF7" w:rsidRPr="00BC258F">
        <w:t xml:space="preserve"> по схеме</w:t>
      </w:r>
      <w:r w:rsidRPr="00BC258F">
        <w:t xml:space="preserve"> </w:t>
      </w:r>
      <w:bookmarkStart w:id="38" w:name="_Hlk85487208"/>
      <w:r w:rsidRPr="00BC258F">
        <w:t>R-CHOP-21</w:t>
      </w:r>
      <w:r w:rsidR="00CD0739" w:rsidRPr="00BC258F">
        <w:t xml:space="preserve"> </w:t>
      </w:r>
      <w:bookmarkEnd w:id="38"/>
      <w:r w:rsidRPr="00BC258F">
        <w:t>(схемы режимов лечения см. в приложении А3.</w:t>
      </w:r>
      <w:r w:rsidR="00CD0739" w:rsidRPr="00BC258F">
        <w:t>1</w:t>
      </w:r>
      <w:r w:rsidRPr="00BC258F">
        <w:t>)</w:t>
      </w:r>
      <w:r w:rsidR="00BD68C0" w:rsidRPr="00BC258F">
        <w:t xml:space="preserve"> с дополнительными введениями 2 доз ритуксимаба</w:t>
      </w:r>
      <w:r w:rsidR="00BC258F">
        <w:t>**</w:t>
      </w:r>
      <w:r w:rsidR="00BD68C0" w:rsidRPr="00BC258F">
        <w:t xml:space="preserve"> (4 </w:t>
      </w:r>
      <w:r w:rsidR="00BD68C0" w:rsidRPr="00BC258F">
        <w:rPr>
          <w:lang w:val="en-US"/>
        </w:rPr>
        <w:t>R</w:t>
      </w:r>
      <w:r w:rsidR="00BD68C0" w:rsidRPr="00BC258F">
        <w:t>-</w:t>
      </w:r>
      <w:r w:rsidR="00BD68C0" w:rsidRPr="00BC258F">
        <w:rPr>
          <w:lang w:val="en-US"/>
        </w:rPr>
        <w:t>CHOP</w:t>
      </w:r>
      <w:r w:rsidR="00BD68C0" w:rsidRPr="00BC258F">
        <w:t xml:space="preserve"> + 2 </w:t>
      </w:r>
      <w:r w:rsidR="00BD68C0" w:rsidRPr="00BC258F">
        <w:rPr>
          <w:lang w:val="en-US"/>
        </w:rPr>
        <w:t>R</w:t>
      </w:r>
      <w:r w:rsidR="00BD68C0" w:rsidRPr="00BC258F">
        <w:t>)</w:t>
      </w:r>
      <w:r w:rsidRPr="00BC258F">
        <w:t xml:space="preserve"> с последующим выполнением процедуры рестадирования (</w:t>
      </w:r>
      <w:r w:rsidR="00CD0739" w:rsidRPr="00BC258F">
        <w:t>см. раздел 7.</w:t>
      </w:r>
      <w:r w:rsidR="00AE61A0" w:rsidRPr="00BC258F">
        <w:t>6</w:t>
      </w:r>
      <w:r w:rsidRPr="00BC258F">
        <w:t xml:space="preserve">) </w:t>
      </w:r>
      <w:r w:rsidR="006B6073" w:rsidRPr="00BC258F">
        <w:fldChar w:fldCharType="begin" w:fldLock="1"/>
      </w:r>
      <w:r w:rsidR="009D170B">
        <w:instrText>ADDIN CSL_CITATION {"citationItems":[{"id":"ITEM-1","itemData":{"DOI":"10.1182/blood-2010-03-276246","ISSN":"15280020","abstract":"We report the outcome of patients included in the LNH-98.5 study, which compared cyclophosphamide, doxorubicin, vincristine, and prednisone (CHOP) to rituximab plus CHOP (R-CHOP) therapy in 399 patients with diffuse large B-cell lymphoma (DLBCL) aged 60 to 80 years, with a median follow-up time of 10 years. Clinical event information was updated in all living patients (with the exception of 3 patients) in 2009. Survival end points were improved in patients treated with R-CHOP: the 10-year progression-free survival was 36.5%, compared with 20% with CHOP alone, and the 10-year overall survival was 43.5% compared with 27.6%. The same risk of death due to other diseases, secondary cancers, and late relapses was observed in both study arms. Relapses occurring after 5 years represented 7% of all disease progressions. The results from the 10-year analysis confirm the benefits and tolerability of the addition of rituximab to CHOP. Our findings underscore the need to treat elderly patients as young patients, with the use of curative chemotherapy. © 2010 by The American Society of Hematology.","author":[{"dropping-particle":"","family":"Coiffier","given":"Bertrand","non-dropping-particle":"","parse-names":false,"suffix":""},{"dropping-particle":"","family":"Thieblemont","given":"Catherine","non-dropping-particle":"","parse-names":false,"suffix":""},{"dropping-particle":"","family":"Neste","given":"Eric","non-dropping-particle":"Van Den","parse-names":false,"suffix":""},{"dropping-particle":"","family":"Lepeu","given":"Gérard","non-dropping-particle":"","parse-names":false,"suffix":""},{"dropping-particle":"","family":"Plantier","given":"Isabelle","non-dropping-particle":"","parse-names":false,"suffix":""},{"dropping-particle":"","family":"Castaigne","given":"Sylvie","non-dropping-particle":"","parse-names":false,"suffix":""},{"dropping-particle":"","family":"Lefort","given":"Sophie","non-dropping-particle":"","parse-names":false,"suffix":""},{"dropping-particle":"","family":"Marit","given":"Gérald","non-dropping-particle":"","parse-names":false,"suffix":""},{"dropping-particle":"","family":"Macro","given":"Margaret","non-dropping-particle":"","parse-names":false,"suffix":""},{"dropping-particle":"","family":"Sebban","given":"Catherine","non-dropping-particle":"","parse-names":false,"suffix":""},{"dropping-particle":"","family":"Belhadj","given":"Karim","non-dropping-particle":"","parse-names":false,"suffix":""},{"dropping-particle":"","family":"Bordessoule","given":"Dominique","non-dropping-particle":"","parse-names":false,"suffix":""},{"dropping-particle":"","family":"Fermé","given":"Christophe","non-dropping-particle":"","parse-names":false,"suffix":""},{"dropping-particle":"","family":"Tilly","given":"Hervé","non-dropping-particle":"","parse-names":false,"suffix":""}],"container-title":"Blood","id":"ITEM-1","issue":"12","issued":{"date-parts":[["2010","9","23"]]},"page":"2040-2045","publisher":"American Society of Hematology","title":"Long-term outcome of patients in the LNH-98.5 trial, the first randomized study comparing rituximab-CHOP to standard CHOP chemotherapy in DLBCL patients: A study by the Groupe d'Etudes des Lymphomes de l'Adulte","type":"article-journal","volume":"116"},"uris":["http://www.mendeley.com/documents/?uuid=c10963c4-44e4-37de-9b33-f1faa7a9fa55"]},{"id":"ITEM-2","itemData":{"DOI":"10.1200/JCO.2005.09.131","ISSN":"0732183X","abstract":"Purpose: To analyze the long-term outcome of patients included in the Lymphome Non Hodgkinien study 98-5 (LNH98-5) comparing cyclophosphamide, doxorubicin, vincristine, and prednisone (CHOP) to rituximab plus CHOP (R-CHOP) in elderly patients with diffuse large B-cell lymphoma. Patients and Methods: LNH98-5 was a randomized study that included 399 previously untreated patients, age 60 to 80 years, with diffuse large B-cell lymphoma. Patients received eight cycles of classical CHOP (cyclophosphamide 750 mg/m2, doxorubicin 50 mg/m2, vincristine 1.4 mg/m2, and prednisone 40 mg/m 2 for 5 days) every 3 weeks. In R-CHOP, rituximab 375 mg/m 2 was administered the same day as CHOP. Survivals were analyzed using the intent-to-treat principle. Results: Median follow-up is 5 years at present. Event-free survival, progression-free survival, disease-free survival, and overall survival remain statistically significant in favor of the combination of R-CHOP (P= .00002, P &lt; .00001, P &lt; .00031, and P &lt; .0073, respectively, in the log-rank test). Patients with low-risk or high-risk lymphoma according to the age-adjusted International Prognostic Index have longer survivals if treated with the combination. No long-term toxicity appeared to be associated with the R-CHOP combination. Conclusion: Using the combination of R-CHOP leads to significant improvement of the outcome of elderly patients with diffuse large B-cell lymphoma, with significant survival benefit maintained during a 5-year follow-up. This combination should become the standard for treating these patients. © 2005 by American Society of Clinical Oncology.","author":[{"dropping-particle":"","family":"Feugier","given":"Pierre","non-dropping-particle":"","parse-names":false,"suffix":""},{"dropping-particle":"","family":"Hoof","given":"A.","non-dropping-particle":"Van","parse-names":false,"suffix":""},{"dropping-particle":"","family":"Sebban","given":"C.","non-dropping-particle":"","parse-names":false,"suffix":""},{"dropping-particle":"","family":"Solal-Celigny","given":"P.","non-dropping-particle":"","parse-names":false,"suffix":""},{"dropping-particle":"","family":"Bouabdallah","given":"R.","non-dropping-particle":"","parse-names":false,"suffix":""},{"dropping-particle":"","family":"Fermé","given":"C.","non-dropping-particle":"","parse-names":false,"suffix":""},{"dropping-particle":"","family":"Christian","given":"B.","non-dropping-particle":"","parse-names":false,"suffix":""},{"dropping-particle":"","family":"Lepage","given":"E.","non-dropping-particle":"","parse-names":false,"suffix":""},{"dropping-particle":"","family":"Tilly","given":"H.","non-dropping-particle":"","parse-names":false,"suffix":""},{"dropping-particle":"","family":"Morschhauser","given":"F.","non-dropping-particle":"","parse-names":false,"suffix":""},{"dropping-particle":"","family":"Gaulard","given":"P.","non-dropping-particle":"","parse-names":false,"suffix":""},{"dropping-particle":"","family":"Salles","given":"G.","non-dropping-particle":"","parse-names":false,"suffix":""},{"dropping-particle":"","family":"Bosly","given":"A.","non-dropping-particle":"","parse-names":false,"suffix":""},{"dropping-particle":"","family":"Gisselbrecht","given":"C.","non-dropping-particle":"","parse-names":false,"suffix":""},{"dropping-particle":"","family":"Reyes","given":"F.","non-dropping-particle":"","parse-names":false,"suffix":""},{"dropping-particle":"","family":"Coiffier","given":"B.","non-dropping-particle":"","parse-names":false,"suffix":""}],"container-title":"Journal of Clinical Oncology","id":"ITEM-2","issue":"18","issued":{"date-parts":[["2005","6","20"]]},"page":"4117-4126","title":"Long-term results of the R-CHOP study in the treatment of elderly patients with diffuse large B-cell lymphoma: A study by the groupe d'etude des lymphomes de l'adulte","type":"article-journal","volume":"23"},"uris":["http://www.mendeley.com/documents/?uuid=eb7df7c3-c637-3f34-8ed5-dd4ceae537f1"]},{"id":"ITEM-3","itemData":{"DOI":"10.1016/S1470-2045(06)70664-7","ISSN":"14702045","abstract":"Background: The role of rituximab in combination with different CHOP (cyclophosphamide, doxorubicin, vincristine, and prednisone)-like chemotherapy regimens in young patients with good-prognosis diffuse large-B-cell lymphoma remains to be defined. We aimed to compare CHOP-like chemotherapy and rituximab with CHOP-like chemotherapy alone in these patients. Methods: 824 patients who were from 18 countries; aged 18-60 years; and who had no risk factors or one risk factor according to age-adjusted International Prognostic Index (IPI), stage II-IV disease, or stage I disease with bulk were enrolled. These patients were randomly assigned to six cycles of CHOP-like chemotherapy and rituximab (n=413) or to six cycles of CHOP-like chemotherapy alone (n=411). Bulky and extranodal sites received additional radiotherapy. The primary endpoint was event-free survival; secondary endpoints were response, progression under therapy, progression-free survival, overall survival, and frequency of toxic effects. Analyses were done by intention to treat and per protocol. This trial is registered at http://www.clinicaltrials.gov, NCT 00064116. Findings: After a median follow-up of 34 months (range 0·03-61), patients assigned chemotherapy and rituximab had increased 3-year event-free survival compared with those assigned chemotherapy alone (79% [95% CI 75-83] vs 59% [54-64]; difference between groups 20% [13-27], log-rank p&lt;0·0001), and had increased 3-year overall survival (93% [90-95] vs 84% [80-88]; difference between groups 9% [3-13], log-rank p=0·0001). Event-free survival was affected by treatment group, presence of bulky disease, and age-adjusted IPI: after chemotherapy and rituximab, a favourable subgroup (ie, IPI=0, no bulk) could be defined from a less-favourable subgroup (ie, IPI=1 or bulk, or both). Groups did not differ in the frequency of adverse events. Interpretation: Rituximab added to six cycles of CHOP is an effective treatment for young patients with good-prognosis diffuse large-B-cell lymphoma. The definition of two prognostic subgroups allows for a more refined therapeutic approach for these patients. © 2006 Elsevier Ltd. All rights reserved.","author":[{"dropping-particle":"","family":"Pfreundschuh","given":"Michael","non-dropping-particle":"","parse-names":false,"suffix":""},{"dropping-particle":"","family":"Trümper","given":"Lorenz","non-dropping-particle":"","parse-names":false,"suffix":""},{"dropping-particle":"","family":"Österborg","given":"Anders","non-dropping-particle":"","parse-names":false,"suffix":""},{"dropping-particle":"","family":"Pettengell","given":"Ruth","non-dropping-particle":"","parse-names":false,"suffix":""},{"dropping-particle":"","family":"Trneny","given":"Marek","non-dropping-particle":"","parse-names":false,"suffix":""},{"dropping-particle":"","family":"Imrie","given":"Kevin","non-dropping-particle":"","parse-names":false,"suffix":""},{"dropping-particle":"","family":"Ma","given":"David","non-dropping-particle":"","parse-names":false,"suffix":""},{"dropping-particle":"","family":"Gill","given":"Devinder","non-dropping-particle":"","parse-names":false,"suffix":""},{"dropping-particle":"","family":"Walewski","given":"Jan","non-dropping-particle":"","parse-names":false,"suffix":""},{"dropping-particle":"","family":"Zinzani","given":"Pier Luigi","non-dropping-particle":"","parse-names":false,"suffix":""},{"dropping-particle":"","family":"Stahel","given":"Rolf","non-dropping-particle":"","parse-names":false,"suffix":""},{"dropping-particle":"","family":"Kvaloy","given":"Stein","non-dropping-particle":"","parse-names":false,"suffix":""},{"dropping-particle":"","family":"Shpilberg","given":"Ofer","non-dropping-particle":"","parse-names":false,"suffix":""},{"dropping-particle":"","family":"Jaeger","given":"Ulrich","non-dropping-particle":"","parse-names":false,"suffix":""},{"dropping-particle":"","family":"Hansen","given":"Mads","non-dropping-particle":"","parse-names":false,"suffix":""},{"dropping-particle":"","family":"Lehtinen","given":"Tuula","non-dropping-particle":"","parse-names":false,"suffix":""},{"dropping-particle":"","family":"López-Guillermo","given":"Armando","non-dropping-particle":"","parse-names":false,"suffix":""},{"dropping-particle":"","family":"Corrado","given":"Claudia","non-dropping-particle":"","parse-names":false,"suffix":""},{"dropping-particle":"","family":"Scheliga","given":"Adriana","non-dropping-particle":"","parse-names":false,"suffix":""},{"dropping-particle":"","family":"Milpied","given":"Noel","non-dropping-particle":"","parse-names":false,"suffix":""},{"dropping-particle":"","family":"Mendila","given":"Myriam","non-dropping-particle":"","parse-names":false,"suffix":""},{"dropping-particle":"","family":"Rashford","given":"Michelle","non-dropping-particle":"","parse-names":false,"suffix":""},{"dropping-particle":"","family":"Kuhnt","given":"Evelyn","non-dropping-particle":"","parse-names":false,"suffix":""},{"dropping-particle":"","family":"Loeffler","given":"Markus","non-dropping-particle":"","parse-names":false,"suffix":""}],"container-title":"Lancet Oncology","id":"ITEM-3","issue":"5","issued":{"date-parts":[["2006","5"]]},"page":"379-391","title":"CHOP-like chemotherapy plus rituximab versus CHOP-like chemotherapy alone in young patients with good-prognosis diffuse large-B-cell lymphoma: a randomised controlled trial by the MabThera International Trial (MInT) Group","type":"article-journal","volume":"7"},"uris":["http://www.mendeley.com/documents/?uuid=805ebaf8-c90d-3a2a-9895-15fe62df78e2"]},{"id":"ITEM-4","itemData":{"DOI":"10.1056/NEJM199807023390104","ISSN":"00284793","abstract":"Background Patients with clinically localized, intermediate- or high- grade non-Hodgkin's lymphoma usually receive initial treatment with a doxorubicin-containing regimen such as cyclophosphamide, doxorubicin, vincristine, and prednisone (CHOP). Pilot studies suggest that eight cycles of CHOP alone or three cycles of CHOP followed by involved-field radiotherapy are effective in such patients. Methods We compared these two approaches in a prospective, randomized, multi-institutional study. The end points were progression-free survival, overall survival, and life-threatening or fatal toxic effects. Two hundred eligible patients were randomly assigned to receive CHOP plus radiotherapy, and 201 received CHOP alone. Results Patients treated with three cycles of CHOP plus radiotherapy had significantly better progression-free survival (P=0.03) and overall survival (P=0.02) than patients treated with CHOP alone. The five-year estimates of progression- free survival for patients receiving CHOP plus radiotherapy and for patients receiving CHOP alone were 77 percent and 64 percent, respectively. The five- year estimates of overall survival for patients receiving CHOP plus radiotherapy and for patients receiving CHOP alone were 82 percent and 72 percent, respectively. The adverse effects included one death in each treatment group. Life-threatening toxic effects of any type were seen in 61 of 200 patients treated with CHOP plus radiotherapy and in 80 of 201 patients treated with CHOP alone (P=0.06). The left ventricular function was decreased in seven patients who received CHOP alone, whereas no cardiac events were recorded in the group receiving CHOP plus radiotherapy (P=0.02). Conclusions Three cycles of CHOP followed by involved-field radiotherapy are superior to eight cycles of CHOP alone for the treatment of localized intermediate- and high-grade non-Hodgkin's lymphoma.","author":[{"dropping-particle":"","family":"Miller","given":"Thomas P.","non-dropping-particle":"","parse-names":false,"suffix":""},{"dropping-particle":"","family":"Dahlberg","given":"Steve","non-dropping-particle":"","parse-names":false,"suffix":""},{"dropping-particle":"","family":"Cassady","given":"J. Robert","non-dropping-particle":"","parse-names":false,"suffix":""},{"dropping-particle":"","family":"Adelstein","given":"David J.","non-dropping-particle":"","parse-names":false,"suffix":""},{"dropping-particle":"","family":"Spier","given":"Catherine M.","non-dropping-particle":"","parse-names":false,"suffix":""},{"dropping-particle":"","family":"Grogan","given":"Thomas M.","non-dropping-particle":"","parse-names":false,"suffix":""},{"dropping-particle":"","family":"LeBlanc","given":"Michael","non-dropping-particle":"","parse-names":false,"suffix":""},{"dropping-particle":"","family":"Carlin","given":"Susan","non-dropping-particle":"","parse-names":false,"suffix":""},{"dropping-particle":"","family":"Chase","given":"Ellen","non-dropping-particle":"","parse-names":false,"suffix":""},{"dropping-particle":"","family":"Fisher","given":"Richard I.","non-dropping-particle":"","parse-names":false,"suffix":""}],"container-title":"New England Journal of Medicine","id":"ITEM-4","issue":"1","issued":{"date-parts":[["1998","7","2"]]},"page":"21-26","title":"Chemotherapy alone compared with chemotherapy plus radiotherapy for localized intermediate- and high-grade non-Hodgkin's lymphoma","type":"article-journal","volume":"339"},"uris":["http://www.mendeley.com/documents/?uuid=5750c820-620d-35ec-af78-8f3147d7c38d"]},{"id":"ITEM-5","itemData":{"DOI":"10.1200/JCO.2004.06.088","ISSN":"0732183X","abstract":"Purpose: To compare low-dose (30 Gy) radiotherapy (RT) with observation (OBS) in limited-stage aggressive lymphoma patients achieving complete remission (CR) after chemotherapy, and to measure conversion from partial response (PR) to CR with high-dose (40 Gy) RT. Patients and Methods: From 1984 to 1992, stage I (with risk factors) and II adults with diffuse aggressive lymphoma in CR after eight cycles of cyclophosphamide, doxorubicin, vincristine, and prednisone (CHOP) were randomly assigned to 30 Gy involved-field RT or OBS. PR patients received 40 Gy RT. Results: Among 172 CR patients, the 6-year disease-free survival (DFS) was 73% for low-dose RT versus 56% for OBS (two-sided P = .05). Failure-free survival (two-sided P = .06), and time to progression (two-sided P = .06) also favored RT. Intent-to-treat analyses yielded similar results. No survival differences were observed. Three RT versus 15 OBS patients relapsed in initial disease sites. At 6 years, failure-free survival was 63% in PR patients; conversion to CR did not significantly influence clinical outcome. Conclusion: For patients in CR after CHOP, low-dose RT prolonged DFS and provided local control, but no survival benefit was observed. The majority of PR patients were event-free at 6 years despite residual radiographic abnormalities. Future efforts should be directed toward improved imaging and more effective systemic therapies. © 2004 by American Society of Clinical Oncology.","author":[{"dropping-particle":"","family":"Horning","given":"Sandra J.","non-dropping-particle":"","parse-names":false,"suffix":""},{"dropping-particle":"","family":"Weller","given":"Edie","non-dropping-particle":"","parse-names":false,"suffix":""},{"dropping-particle":"","family":"Kim","given":"Kyung Mann","non-dropping-particle":"","parse-names":false,"suffix":""},{"dropping-particle":"","family":"Earle","given":"John D.","non-dropping-particle":"","parse-names":false,"suffix":""},{"dropping-particle":"","family":"O'Connell","given":"Michael J.","non-dropping-particle":"","parse-names":false,"suffix":""},{"dropping-particle":"","family":"Habermann","given":"Thomas M.","non-dropping-particle":"","parse-names":false,"suffix":""},{"dropping-particle":"","family":"Glick","given":"John H.","non-dropping-particle":"","parse-names":false,"suffix":""}],"container-title":"Journal of Clinical Oncology","id":"ITEM-5","issue":"15","issued":{"date-parts":[["2004","8"]]},"page":"3032-3038","title":"Chemotherapy with or without radiotherapy in limited-stage diffuse aggressive non-Hodgkin's lymphoma: Eastern Cooperative Oncology Group Study 1484","type":"article-journal","volume":"22"},"uris":["http://www.mendeley.com/documents/?uuid=b56310c6-223f-345b-93f3-e630a2d72c65"]},{"id":"ITEM-6","itemData":{"DOI":"10.1200/JCO.2007.13.6929","ISSN":"0732183X","abstract":"Purpose: To evaluate the effect of rituximab in limited-stage diffuse large B-cell lymphoma (DLBCL), we conducted a multicenter phase II trial combining rituximab with three cycles of CHOP (cyclophosphamide, doxorubicin, vincristine, and prednisone; R-CHOP) followed by involved-field radiation therapy (IFRT). Patients and Methods: Southwest Oncology Group (SWOG) study S0014 enrolled patients with newly diagnosed, aggressive, CD20-expressing non-Hodgkin's lymphoma (NHL). Patients had limited-stage disease and at least one adverse risk factor as defined by the stage-modified International Prognostic Index (nonbulky stage II disease, age &gt; 60 years, WHO performance status of 2, or elevated serum lactate dehydrogenase). Four doses of rituximab were infused on days -7, 1, 22, and 43, and CHOP was administered on days 3, 24, and 45, followed 3 weeks later by 40 to 46 Gy of IFRT. Results: Sixty patients with aggressive NHL were eligible. With the median follow-up of 5.3 years, treatment resulted in a progression-free survival (PFS) of 93% at 2 years and 88% at 4 years. Overall survival (OS) was 95% at 2 years and 92% at 4 years. These results were compared with those from a historic group of patients treated without rituximab on S8736, demonstrating PFS of 78% and OS of 88% at 4 years. Conclusion: In limited-stage DLBCL, the addition of rituximab to three cycles of CHOP plus IFRT met prespecified study criteria of efficacy, with 2-year PFS of at least 84%, meriting further investigation. There is a pattern of continuing relapse with modest survival gains. We hypothesize that such a pattern may be the result of biologic differences between limited- and advanced-stage lymphoma. © 2008 by American Society of Clinical Oncology.","author":[{"dropping-particle":"","family":"Persky","given":"Daniel O.","non-dropping-particle":"","parse-names":false,"suffix":""},{"dropping-particle":"","family":"Unger","given":"Joseph M.","non-dropping-particle":"","parse-names":false,"suffix":""},{"dropping-particle":"","family":"Spier","given":"Catherine M.","non-dropping-particle":"","parse-names":false,"suffix":""},{"dropping-particle":"","family":"Stea","given":"Baldassarre","non-dropping-particle":"","parse-names":false,"suffix":""},{"dropping-particle":"","family":"LeBlanc","given":"Michael","non-dropping-particle":"","parse-names":false,"suffix":""},{"dropping-particle":"","family":"McCarty","given":"Matthew J.","non-dropping-particle":"","parse-names":false,"suffix":""},{"dropping-particle":"","family":"Rimsza","given":"Lisa M.","non-dropping-particle":"","parse-names":false,"suffix":""},{"dropping-particle":"","family":"Fisher","given":"Richard I.","non-dropping-particle":"","parse-names":false,"suffix":""},{"dropping-particle":"","family":"Miller","given":"Thomas P.","non-dropping-particle":"","parse-names":false,"suffix":""}],"container-title":"Journal of Clinical Oncology","id":"ITEM-6","issue":"14","issued":{"date-parts":[["2008","5","10"]]},"page":"2258-2263","title":"Phase II study of rituximab plus three cycles of CHOP and involved-field radiotherapy for patients with limited-stage aggressive B-cell lymphoma: Southwest Oncology Group Study 0014","type":"article-journal","volume":"26"},"uris":["http://www.mendeley.com/documents/?uuid=7448f813-39f1-3ffd-994a-b0fb40324c4c"]},{"id":"ITEM-7","itemData":{"DOI":"10.1093/annonc/mdy184","ISSN":"1569-8041","PMID":"29790897","author":[{"dropping-particle":"","family":"Wästerlid","given":"T","non-dropping-particle":"","parse-names":false,"suffix":""},{"dropping-particle":"","family":"Biccler","given":"J L","non-dropping-particle":"","parse-names":false,"suffix":""},{"dropping-particle":"","family":"Brown","given":"P N","non-dropping-particle":"","parse-names":false,"suffix":""},{"dropping-particle":"","family":"Bøgsted","given":"M","non-dropping-particle":"","parse-names":false,"suffix":""},{"dropping-particle":"","family":"Enblad","given":"G","non-dropping-particle":"","parse-names":false,"suffix":""},{"dropping-particle":"","family":"Mészáros Jørgensen","given":"J","non-dropping-particle":"","parse-names":false,"suffix":""},{"dropping-particle":"","family":"Christensen","given":"J H","non-dropping-particle":"","parse-names":false,"suffix":""},{"dropping-particle":"","family":"Wahlin","given":"B E","non-dropping-particle":"","parse-names":false,"suffix":""},{"dropping-particle":"","family":"Smedby","given":"K E","non-dropping-particle":"","parse-names":false,"suffix":""},{"dropping-particle":"","family":"El-Galaly","given":"T C","non-dropping-particle":"","parse-names":false,"suffix":""},{"dropping-particle":"","family":"Jerkeman","given":"M","non-dropping-particle":"","parse-names":false,"suffix":""}],"container-title":"Annals of oncology : official journal of the European Society for Medical Oncology","id":"ITEM-7","issue":"8","issued":{"date-parts":[["2018"]]},"page":"1882-1883","title":"Six cycles of R-CHOP-21 are not inferior to eight cycles for treatment of diffuse large B-cell lymphoma: a Nordic Lymphoma Group Population-based Study.","type":"article-journal","volume":"29"},"uris":["http://www.mendeley.com/documents/?uuid=eee9eefc-217c-39a9-8108-d467754b3a23"]},{"id":"ITEM-8","itemData":{"DOI":"10.1016/S0140-6736(13)60313-X","ISSN":"1474547X","abstract":"Background Dose intensification with a combination of cyclophosphamide, doxorubicin, vincristine, and prednisolone (CHOP) every 2 weeks improves outcomes in patients older than 60 years with diffuse large B-cell lymphoma compared with CHOP every 3 weeks. We investigated whether this survival benefit from dose intensification persists in the presence of rituximab (R-CHOP) in all age groups. Methods Patients (aged ≥18 years) with previously untreated bulky stage IA to stage IV diffuse large B-cell lymphoma in 119 centres in the UK were randomly assigned centrally in a one-to-one ratio, using minimisation, to receive six cycles of R-CHOP every 14 days plus two cycles of rituximab (R-CHOP-14) or eight cycles of R-CHOP every 21 days (R-CHOP-21). R-CHOP-21 was intravenous cyclophosphamide 750 mg/m2, doxorubicin 50 mg/m 2, vincristine 1·4 mg/m2 (maximum dose 2 mg), and rituximab 375 mg/m2 on day 1, and oral prednisolone 40 mg/m 2 on days 1-5, administered every 21 days for a total of eight cycles. R-CHOP-14 was intravenous cyclophosphamide 750 mg/m2, doxorubicin 50 mg/m2, vincristine 2 mg, rituximab 375 mg/m 2 on day 1, and oral prednisolone 100 mg on days 1-5, administered every 14 days for six cycles, followed by two further infusions of rituximab 375 mg/m2 on day 1 every 14 days. The trial was not masked. The primary outcome was overall survival (OS). This study is registered, number ISCRTN 16017947. Findings 1080 patients were assigned to R-CHOP-21 (n=540) and R-CHOP-14 (n=540). With a median follow-up of 46 months (IQR 35-57), 2-year OS was 82·7% (79·5-85·9) in the R-CHOP-14 group and 80·8% (77·5-84·2) in the R-CHOP-21 (standard) group (hazard ratio 0·90, 95% CI 0·70-1·15; p=0·3763). No significant improvement was noted in 2-year progression-free survival (R-CHOP-14 75·4%, 71·8-79·1, and R-CHOP-21 74·8%, 71·0-78·4; 0·94, 0·76-1·17; p=0·5907). High international prognostic index, poor-prognosis molecular characteristics, and cell of origin were not predictive for benefit from either schedule. Grade 3 or 4 neutropenia was higher in the R-CHOP-21 group (318 [60%] of 534 vs 167 [31%] of 534), with no prophylactic use of recombinant human granulocyte-colony stimulating factor mandated in this group, whereas grade 3 or 4 thrombo cytopenia was higher with R-CHOP-14 (50 [9%] vs 28 [5%]); other frequent grade 3 or 4 adverse events were febrile neutropenia (58 [11%] vs 28 [5%]) and infection (125 [23%] vs 96 [18%]). Frequencies of non-haematological adverse events …","author":[{"dropping-particle":"","family":"Cunningham","given":"David","non-dropping-particle":"","parse-names":false,"suffix":""},{"dropping-particle":"","family":"Hawkes","given":"Eliza A.","non-dropping-particle":"","parse-names":false,"suffix":""},{"dropping-particle":"","family":"Jack","given":"Andrew","non-dropping-particle":"","parse-names":false,"suffix":""},{"dropping-particle":"","family":"Qian","given":"Wendi","non-dropping-particle":"","parse-names":false,"suffix":""},{"dropping-particle":"","family":"Smith","given":"Paul","non-dropping-particle":"","parse-names":false,"suffix":""},{"dropping-particle":"","family":"Mouncey","given":"Paul","non-dropping-particle":"","parse-names":false,"suffix":""},{"dropping-particle":"","family":"Pocock","given":"Christopher","non-dropping-particle":"","parse-names":false,"suffix":""},{"dropping-particle":"","family":"Ardeshna","given":"Kirit M.","non-dropping-particle":"","parse-names":false,"suffix":""},{"dropping-particle":"","family":"Radford","given":"John A.","non-dropping-particle":"","parse-names":false,"suffix":""},{"dropping-particle":"","family":"McMillan","given":"Andrew","non-dropping-particle":"","parse-names":false,"suffix":""},{"dropping-particle":"","family":"Davies","given":"John","non-dropping-particle":"","parse-names":false,"suffix":""},{"dropping-particle":"","family":"Turner","given":"Deborah","non-dropping-particle":"","parse-names":false,"suffix":""},{"dropping-particle":"","family":"Kruger","given":"Anton","non-dropping-particle":"","parse-names":false,"suffix":""},{"dropping-particle":"","family":"Johnson","given":"Peter","non-dropping-particle":"","parse-names":false,"suffix":""},{"dropping-particle":"","family":"Gambell","given":"Joanna","non-dropping-particle":"","parse-names":false,"suffix":""},{"dropping-particle":"","family":"Linch","given":"David","non-dropping-particle":"","parse-names":false,"suffix":""}],"container-title":"The Lancet","id":"ITEM-8","issue":"9880","issued":{"date-parts":[["2013","5","25"]]},"page":"1817-1826","publisher":"Lancet Publishing Group","title":"Rituximab plus cyclophosphamide, doxorubicin, vincristine, and prednisolone in patients with newly diagnosed diffuse large B-cell non-Hodgkin lymphoma: A phase 3 comparison of dose intensification with 14-day versus 21-day cycles","type":"article-journal","volume":"381"},"uris":["http://www.mendeley.com/documents/?uuid=528af3f9-f37f-38fb-9cfc-d82be32faa43"]}],"mendeley":{"formattedCitation":"[51–58]","plainTextFormattedCitation":"[51–58]","previouslyFormattedCitation":"[51–58]"},"properties":{"noteIndex":0},"schema":"https://github.com/citation-style-language/schema/raw/master/csl-citation.json"}</w:instrText>
      </w:r>
      <w:r w:rsidR="006B6073" w:rsidRPr="00BC258F">
        <w:fldChar w:fldCharType="separate"/>
      </w:r>
      <w:r w:rsidR="00095D58" w:rsidRPr="00095D58">
        <w:rPr>
          <w:noProof/>
        </w:rPr>
        <w:t>[51–58]</w:t>
      </w:r>
      <w:r w:rsidR="006B6073" w:rsidRPr="00BC258F">
        <w:fldChar w:fldCharType="end"/>
      </w:r>
      <w:r w:rsidRPr="00BC258F">
        <w:t xml:space="preserve">. </w:t>
      </w:r>
    </w:p>
    <w:p w14:paraId="4BDA6646" w14:textId="4D6010FB" w:rsidR="00BD68C0" w:rsidRPr="00BC258F" w:rsidRDefault="00BD68C0" w:rsidP="009D170B">
      <w:pPr>
        <w:pStyle w:val="a"/>
        <w:numPr>
          <w:ilvl w:val="1"/>
          <w:numId w:val="15"/>
        </w:numPr>
        <w:spacing w:before="0"/>
        <w:ind w:left="1134"/>
      </w:pPr>
      <w:r w:rsidRPr="00BC258F">
        <w:t xml:space="preserve">6 курсов иммунохимиотерапии по схеме R-CHOP-21 (схемы режимов лечения см. в приложении А3.1) с последующим выполнением процедуры рестадирования (см. раздел 7.6) [36–43]. </w:t>
      </w:r>
    </w:p>
    <w:p w14:paraId="76509397" w14:textId="77777777" w:rsidR="008E7EEC" w:rsidRPr="000322E4" w:rsidRDefault="008E7EEC" w:rsidP="008A40EA">
      <w:pPr>
        <w:spacing w:line="360" w:lineRule="auto"/>
        <w:ind w:left="709"/>
        <w:contextualSpacing/>
        <w:jc w:val="both"/>
        <w:rPr>
          <w:b/>
        </w:rPr>
      </w:pPr>
      <w:r w:rsidRPr="000322E4">
        <w:rPr>
          <w:b/>
        </w:rPr>
        <w:t xml:space="preserve">Уровень убедительности рекомендаций </w:t>
      </w:r>
      <w:r w:rsidRPr="000322E4">
        <w:rPr>
          <w:b/>
          <w:lang w:val="en-US"/>
        </w:rPr>
        <w:t>B</w:t>
      </w:r>
      <w:r w:rsidRPr="000322E4">
        <w:rPr>
          <w:b/>
        </w:rPr>
        <w:t xml:space="preserve"> (уровень достоверности доказательств 2).</w:t>
      </w:r>
    </w:p>
    <w:p w14:paraId="0C3AF148" w14:textId="77777777" w:rsidR="008E7EEC" w:rsidRPr="000322E4" w:rsidRDefault="008E7EEC" w:rsidP="009D170B">
      <w:pPr>
        <w:spacing w:line="360" w:lineRule="auto"/>
        <w:ind w:firstLine="709"/>
        <w:contextualSpacing/>
        <w:jc w:val="both"/>
        <w:rPr>
          <w:i/>
          <w:iCs/>
        </w:rPr>
      </w:pPr>
      <w:r w:rsidRPr="000322E4">
        <w:rPr>
          <w:b/>
        </w:rPr>
        <w:t>Комментарий:</w:t>
      </w:r>
      <w:r w:rsidRPr="000322E4">
        <w:rPr>
          <w:bCs/>
        </w:rPr>
        <w:t xml:space="preserve"> </w:t>
      </w:r>
      <w:r w:rsidR="006B6073" w:rsidRPr="000322E4">
        <w:rPr>
          <w:i/>
          <w:iCs/>
        </w:rPr>
        <w:t xml:space="preserve">В случае отсутствия противоопухолевого ответа и/или при наличии признаков прогрессирования ДВКЛ </w:t>
      </w:r>
      <w:r w:rsidR="00103620" w:rsidRPr="000322E4">
        <w:rPr>
          <w:i/>
          <w:iCs/>
        </w:rPr>
        <w:t xml:space="preserve">пациент </w:t>
      </w:r>
      <w:r w:rsidR="006B6073" w:rsidRPr="000322E4">
        <w:rPr>
          <w:i/>
          <w:iCs/>
        </w:rPr>
        <w:t>переводится на терапию в рамках 2 линии</w:t>
      </w:r>
      <w:r w:rsidR="00746BF7" w:rsidRPr="000322E4">
        <w:rPr>
          <w:i/>
          <w:iCs/>
        </w:rPr>
        <w:t>.</w:t>
      </w:r>
    </w:p>
    <w:p w14:paraId="45AF9D20" w14:textId="7C54F3CE" w:rsidR="00BD68C0" w:rsidRPr="00BC258F" w:rsidRDefault="00746BF7" w:rsidP="003D0E86">
      <w:pPr>
        <w:pStyle w:val="afff8"/>
        <w:spacing w:before="0"/>
        <w:rPr>
          <w:i/>
          <w:iCs/>
        </w:rPr>
      </w:pPr>
      <w:r w:rsidRPr="00BC258F">
        <w:t xml:space="preserve">В случае достижения </w:t>
      </w:r>
      <w:r w:rsidR="00BD68C0" w:rsidRPr="00BC258F">
        <w:t>полного или частичного (</w:t>
      </w:r>
      <w:r w:rsidR="00BD68C0" w:rsidRPr="00BC258F">
        <w:rPr>
          <w:lang w:val="en-US"/>
        </w:rPr>
        <w:t>DC</w:t>
      </w:r>
      <w:r w:rsidR="00BD68C0" w:rsidRPr="00BC258F">
        <w:t>4) метаболическ</w:t>
      </w:r>
      <w:r w:rsidR="00CF782A" w:rsidRPr="00BC258F">
        <w:t xml:space="preserve">ого </w:t>
      </w:r>
      <w:r w:rsidR="00BD68C0" w:rsidRPr="00BC258F">
        <w:t>ответ</w:t>
      </w:r>
      <w:r w:rsidR="00CF782A" w:rsidRPr="00BC258F">
        <w:t>а</w:t>
      </w:r>
      <w:r w:rsidR="00BD68C0" w:rsidRPr="00BC258F">
        <w:t xml:space="preserve"> </w:t>
      </w:r>
      <w:r w:rsidRPr="00BC258F">
        <w:t xml:space="preserve"> пациент</w:t>
      </w:r>
      <w:r w:rsidR="00CF782A" w:rsidRPr="00BC258F">
        <w:t xml:space="preserve">ам </w:t>
      </w:r>
      <w:r w:rsidRPr="00BC258F">
        <w:t xml:space="preserve">старше 18 лет с впервые установленной ДВКЛ I-II стадии </w:t>
      </w:r>
      <w:r w:rsidR="00BD68C0" w:rsidRPr="00BC258F">
        <w:rPr>
          <w:b/>
          <w:bCs/>
        </w:rPr>
        <w:t>рекомендуется</w:t>
      </w:r>
      <w:r w:rsidR="00BD68C0" w:rsidRPr="00BC258F">
        <w:t xml:space="preserve"> </w:t>
      </w:r>
      <w:r w:rsidRPr="00BC258F">
        <w:t>консолидирующ</w:t>
      </w:r>
      <w:r w:rsidR="00BD68C0" w:rsidRPr="00BC258F">
        <w:t xml:space="preserve">ая </w:t>
      </w:r>
      <w:r w:rsidRPr="00BC258F">
        <w:t>лучев</w:t>
      </w:r>
      <w:r w:rsidR="00BD68C0" w:rsidRPr="00BC258F">
        <w:t xml:space="preserve">ая </w:t>
      </w:r>
      <w:r w:rsidRPr="00BC258F">
        <w:t>терапи</w:t>
      </w:r>
      <w:r w:rsidR="00BD68C0" w:rsidRPr="00BC258F">
        <w:t>я</w:t>
      </w:r>
      <w:r w:rsidRPr="00BC258F">
        <w:t xml:space="preserve"> </w:t>
      </w:r>
      <w:r w:rsidR="00BD68C0" w:rsidRPr="00BC258F">
        <w:t xml:space="preserve">на </w:t>
      </w:r>
      <w:r w:rsidRPr="00BC258F">
        <w:t>зон</w:t>
      </w:r>
      <w:r w:rsidR="00BD68C0" w:rsidRPr="00BC258F">
        <w:t>ы</w:t>
      </w:r>
      <w:r w:rsidRPr="00BC258F">
        <w:t xml:space="preserve"> исходно</w:t>
      </w:r>
      <w:r w:rsidR="00BD68C0" w:rsidRPr="00BC258F">
        <w:t xml:space="preserve"> </w:t>
      </w:r>
      <w:r w:rsidR="00BD68C0" w:rsidRPr="00BC258F">
        <w:lastRenderedPageBreak/>
        <w:t xml:space="preserve">массивных </w:t>
      </w:r>
      <w:r w:rsidRPr="00BC258F">
        <w:t xml:space="preserve"> поражённых лимфатических узлов</w:t>
      </w:r>
      <w:r w:rsidR="00BD68C0" w:rsidRPr="00BC258F">
        <w:t xml:space="preserve"> (</w:t>
      </w:r>
      <w:r w:rsidR="00BD68C0" w:rsidRPr="00BC258F">
        <w:rPr>
          <w:lang w:val="en-US"/>
        </w:rPr>
        <w:t>bulky</w:t>
      </w:r>
      <w:r w:rsidR="00BD68C0" w:rsidRPr="00BC258F">
        <w:t>)</w:t>
      </w:r>
      <w:r w:rsidRPr="00BC258F">
        <w:t xml:space="preserve"> и/или экстранодального поражения СОД 30 Гр, РОД 1,8 - 2,0 Гр</w:t>
      </w:r>
      <w:r w:rsidR="00BD68C0" w:rsidRPr="00BC258F">
        <w:t xml:space="preserve"> </w:t>
      </w:r>
      <w:r w:rsidR="00FE4AC0" w:rsidRPr="00BC258F">
        <w:t xml:space="preserve"> </w:t>
      </w:r>
      <w:r w:rsidR="00FE4AC0" w:rsidRPr="00BC258F">
        <w:rPr>
          <w:lang w:val="en-US"/>
        </w:rPr>
        <w:fldChar w:fldCharType="begin" w:fldLock="1"/>
      </w:r>
      <w:r w:rsidR="009D170B">
        <w:rPr>
          <w:lang w:val="en-US"/>
        </w:rPr>
        <w:instrText>ADDIN</w:instrText>
      </w:r>
      <w:r w:rsidR="009D170B" w:rsidRPr="009D170B">
        <w:instrText xml:space="preserve"> </w:instrText>
      </w:r>
      <w:r w:rsidR="009D170B">
        <w:rPr>
          <w:lang w:val="en-US"/>
        </w:rPr>
        <w:instrText>CSL</w:instrText>
      </w:r>
      <w:r w:rsidR="009D170B" w:rsidRPr="009D170B">
        <w:instrText>_</w:instrText>
      </w:r>
      <w:r w:rsidR="009D170B">
        <w:rPr>
          <w:lang w:val="en-US"/>
        </w:rPr>
        <w:instrText>CITATION</w:instrText>
      </w:r>
      <w:r w:rsidR="009D170B" w:rsidRPr="009D170B">
        <w:instrText xml:space="preserve"> {"</w:instrText>
      </w:r>
      <w:r w:rsidR="009D170B">
        <w:rPr>
          <w:lang w:val="en-US"/>
        </w:rPr>
        <w:instrText>citationItems</w:instrText>
      </w:r>
      <w:r w:rsidR="009D170B" w:rsidRPr="009D170B">
        <w:instrText>":[{"</w:instrText>
      </w:r>
      <w:r w:rsidR="009D170B">
        <w:rPr>
          <w:lang w:val="en-US"/>
        </w:rPr>
        <w:instrText>id</w:instrText>
      </w:r>
      <w:r w:rsidR="009D170B" w:rsidRPr="009D170B">
        <w:instrText>":"</w:instrText>
      </w:r>
      <w:r w:rsidR="009D170B">
        <w:rPr>
          <w:lang w:val="en-US"/>
        </w:rPr>
        <w:instrText>ITEM</w:instrText>
      </w:r>
      <w:r w:rsidR="009D170B" w:rsidRPr="009D170B">
        <w:instrText>-1","</w:instrText>
      </w:r>
      <w:r w:rsidR="009D170B">
        <w:rPr>
          <w:lang w:val="en-US"/>
        </w:rPr>
        <w:instrText>itemData</w:instrText>
      </w:r>
      <w:r w:rsidR="009D170B" w:rsidRPr="009D170B">
        <w:instrText>":{"</w:instrText>
      </w:r>
      <w:r w:rsidR="009D170B">
        <w:rPr>
          <w:lang w:val="en-US"/>
        </w:rPr>
        <w:instrText>DOI</w:instrText>
      </w:r>
      <w:r w:rsidR="009D170B" w:rsidRPr="009D170B">
        <w:instrText>":"10.1016/</w:instrText>
      </w:r>
      <w:r w:rsidR="009D170B">
        <w:rPr>
          <w:lang w:val="en-US"/>
        </w:rPr>
        <w:instrText>j</w:instrText>
      </w:r>
      <w:r w:rsidR="009D170B" w:rsidRPr="009D170B">
        <w:instrText>.</w:instrText>
      </w:r>
      <w:r w:rsidR="009D170B">
        <w:rPr>
          <w:lang w:val="en-US"/>
        </w:rPr>
        <w:instrText>ijrobp</w:instrText>
      </w:r>
      <w:r w:rsidR="009D170B" w:rsidRPr="009D170B">
        <w:instrText>.2014.12.042","</w:instrText>
      </w:r>
      <w:r w:rsidR="009D170B">
        <w:rPr>
          <w:lang w:val="en-US"/>
        </w:rPr>
        <w:instrText>ISSN</w:instrText>
      </w:r>
      <w:r w:rsidR="009D170B" w:rsidRPr="009D170B">
        <w:instrText>":"1879355</w:instrText>
      </w:r>
      <w:r w:rsidR="009D170B">
        <w:rPr>
          <w:lang w:val="en-US"/>
        </w:rPr>
        <w:instrText>X</w:instrText>
      </w:r>
      <w:r w:rsidR="009D170B" w:rsidRPr="009D170B">
        <w:instrText>","</w:instrText>
      </w:r>
      <w:r w:rsidR="009D170B">
        <w:rPr>
          <w:lang w:val="en-US"/>
        </w:rPr>
        <w:instrText>abstract</w:instrText>
      </w:r>
      <w:r w:rsidR="009D170B" w:rsidRPr="009D170B">
        <w:instrText>":"</w:instrText>
      </w:r>
      <w:r w:rsidR="009D170B">
        <w:rPr>
          <w:lang w:val="en-US"/>
        </w:rPr>
        <w:instrText>Purpose</w:instrText>
      </w:r>
      <w:r w:rsidR="009D170B" w:rsidRPr="009D170B">
        <w:instrText xml:space="preserve"> </w:instrText>
      </w:r>
      <w:r w:rsidR="009D170B">
        <w:rPr>
          <w:lang w:val="en-US"/>
        </w:rPr>
        <w:instrText>The</w:instrText>
      </w:r>
      <w:r w:rsidR="009D170B" w:rsidRPr="009D170B">
        <w:instrText xml:space="preserve"> </w:instrText>
      </w:r>
      <w:r w:rsidR="009D170B">
        <w:rPr>
          <w:lang w:val="en-US"/>
        </w:rPr>
        <w:instrText>purpose</w:instrText>
      </w:r>
      <w:r w:rsidR="009D170B" w:rsidRPr="009D170B">
        <w:instrText xml:space="preserve"> </w:instrText>
      </w:r>
      <w:r w:rsidR="009D170B">
        <w:rPr>
          <w:lang w:val="en-US"/>
        </w:rPr>
        <w:instrText>of</w:instrText>
      </w:r>
      <w:r w:rsidR="009D170B" w:rsidRPr="009D170B">
        <w:instrText xml:space="preserve"> </w:instrText>
      </w:r>
      <w:r w:rsidR="009D170B">
        <w:rPr>
          <w:lang w:val="en-US"/>
        </w:rPr>
        <w:instrText>this</w:instrText>
      </w:r>
      <w:r w:rsidR="009D170B" w:rsidRPr="009D170B">
        <w:instrText xml:space="preserve"> </w:instrText>
      </w:r>
      <w:r w:rsidR="009D170B">
        <w:rPr>
          <w:lang w:val="en-US"/>
        </w:rPr>
        <w:instrText>study</w:instrText>
      </w:r>
      <w:r w:rsidR="009D170B" w:rsidRPr="009D170B">
        <w:instrText xml:space="preserve"> </w:instrText>
      </w:r>
      <w:r w:rsidR="009D170B">
        <w:rPr>
          <w:lang w:val="en-US"/>
        </w:rPr>
        <w:instrText>was</w:instrText>
      </w:r>
      <w:r w:rsidR="009D170B" w:rsidRPr="009D170B">
        <w:instrText xml:space="preserve"> </w:instrText>
      </w:r>
      <w:r w:rsidR="009D170B">
        <w:rPr>
          <w:lang w:val="en-US"/>
        </w:rPr>
        <w:instrText>to</w:instrText>
      </w:r>
      <w:r w:rsidR="009D170B" w:rsidRPr="009D170B">
        <w:instrText xml:space="preserve"> </w:instrText>
      </w:r>
      <w:r w:rsidR="009D170B">
        <w:rPr>
          <w:lang w:val="en-US"/>
        </w:rPr>
        <w:instrText>evaluate</w:instrText>
      </w:r>
      <w:r w:rsidR="009D170B" w:rsidRPr="009D170B">
        <w:instrText xml:space="preserve"> </w:instrText>
      </w:r>
      <w:r w:rsidR="009D170B">
        <w:rPr>
          <w:lang w:val="en-US"/>
        </w:rPr>
        <w:instrText>the</w:instrText>
      </w:r>
      <w:r w:rsidR="009D170B" w:rsidRPr="009D170B">
        <w:instrText xml:space="preserve"> </w:instrText>
      </w:r>
      <w:r w:rsidR="009D170B">
        <w:rPr>
          <w:lang w:val="en-US"/>
        </w:rPr>
        <w:instrText>role</w:instrText>
      </w:r>
      <w:r w:rsidR="009D170B" w:rsidRPr="009D170B">
        <w:instrText xml:space="preserve"> </w:instrText>
      </w:r>
      <w:r w:rsidR="009D170B">
        <w:rPr>
          <w:lang w:val="en-US"/>
        </w:rPr>
        <w:instrText>of</w:instrText>
      </w:r>
      <w:r w:rsidR="009D170B" w:rsidRPr="009D170B">
        <w:instrText xml:space="preserve"> </w:instrText>
      </w:r>
      <w:r w:rsidR="009D170B">
        <w:rPr>
          <w:lang w:val="en-US"/>
        </w:rPr>
        <w:instrText>involved</w:instrText>
      </w:r>
      <w:r w:rsidR="009D170B" w:rsidRPr="009D170B">
        <w:instrText>-</w:instrText>
      </w:r>
      <w:r w:rsidR="009D170B">
        <w:rPr>
          <w:lang w:val="en-US"/>
        </w:rPr>
        <w:instrText>lesion</w:instrText>
      </w:r>
      <w:r w:rsidR="009D170B" w:rsidRPr="009D170B">
        <w:instrText xml:space="preserve"> </w:instrText>
      </w:r>
      <w:r w:rsidR="009D170B">
        <w:rPr>
          <w:lang w:val="en-US"/>
        </w:rPr>
        <w:instrText>radiation</w:instrText>
      </w:r>
      <w:r w:rsidR="009D170B" w:rsidRPr="009D170B">
        <w:instrText xml:space="preserve"> </w:instrText>
      </w:r>
      <w:r w:rsidR="009D170B">
        <w:rPr>
          <w:lang w:val="en-US"/>
        </w:rPr>
        <w:instrText>therapy</w:instrText>
      </w:r>
      <w:r w:rsidR="009D170B" w:rsidRPr="009D170B">
        <w:instrText xml:space="preserve"> (</w:instrText>
      </w:r>
      <w:r w:rsidR="009D170B">
        <w:rPr>
          <w:lang w:val="en-US"/>
        </w:rPr>
        <w:instrText>ILRT</w:instrText>
      </w:r>
      <w:r w:rsidR="009D170B" w:rsidRPr="009D170B">
        <w:instrText xml:space="preserve">) </w:instrText>
      </w:r>
      <w:r w:rsidR="009D170B">
        <w:rPr>
          <w:lang w:val="en-US"/>
        </w:rPr>
        <w:instrText>after</w:instrText>
      </w:r>
      <w:r w:rsidR="009D170B" w:rsidRPr="009D170B">
        <w:instrText xml:space="preserve"> </w:instrText>
      </w:r>
      <w:r w:rsidR="009D170B">
        <w:rPr>
          <w:lang w:val="en-US"/>
        </w:rPr>
        <w:instrText>rituximab</w:instrText>
      </w:r>
      <w:r w:rsidR="009D170B" w:rsidRPr="009D170B">
        <w:instrText xml:space="preserve">, </w:instrText>
      </w:r>
      <w:r w:rsidR="009D170B">
        <w:rPr>
          <w:lang w:val="en-US"/>
        </w:rPr>
        <w:instrText>cyclophosphamide</w:instrText>
      </w:r>
      <w:r w:rsidR="009D170B" w:rsidRPr="009D170B">
        <w:instrText xml:space="preserve">, </w:instrText>
      </w:r>
      <w:r w:rsidR="009D170B">
        <w:rPr>
          <w:lang w:val="en-US"/>
        </w:rPr>
        <w:instrText>doxorubicin</w:instrText>
      </w:r>
      <w:r w:rsidR="009D170B" w:rsidRPr="009D170B">
        <w:instrText xml:space="preserve">, </w:instrText>
      </w:r>
      <w:r w:rsidR="009D170B">
        <w:rPr>
          <w:lang w:val="en-US"/>
        </w:rPr>
        <w:instrText>vincristine</w:instrText>
      </w:r>
      <w:r w:rsidR="009D170B" w:rsidRPr="009D170B">
        <w:instrText xml:space="preserve">, </w:instrText>
      </w:r>
      <w:r w:rsidR="009D170B">
        <w:rPr>
          <w:lang w:val="en-US"/>
        </w:rPr>
        <w:instrText>and</w:instrText>
      </w:r>
      <w:r w:rsidR="009D170B" w:rsidRPr="009D170B">
        <w:instrText xml:space="preserve"> </w:instrText>
      </w:r>
      <w:r w:rsidR="009D170B">
        <w:rPr>
          <w:lang w:val="en-US"/>
        </w:rPr>
        <w:instrText>prednisone</w:instrText>
      </w:r>
      <w:r w:rsidR="009D170B" w:rsidRPr="009D170B">
        <w:instrText xml:space="preserve"> (</w:instrText>
      </w:r>
      <w:r w:rsidR="009D170B">
        <w:rPr>
          <w:lang w:val="en-US"/>
        </w:rPr>
        <w:instrText>R</w:instrText>
      </w:r>
      <w:r w:rsidR="009D170B" w:rsidRPr="009D170B">
        <w:instrText>-</w:instrText>
      </w:r>
      <w:r w:rsidR="009D170B">
        <w:rPr>
          <w:lang w:val="en-US"/>
        </w:rPr>
        <w:instrText>CHOP</w:instrText>
      </w:r>
      <w:r w:rsidR="009D170B" w:rsidRPr="009D170B">
        <w:instrText xml:space="preserve">) </w:instrText>
      </w:r>
      <w:r w:rsidR="009D170B">
        <w:rPr>
          <w:lang w:val="en-US"/>
        </w:rPr>
        <w:instrText>chemotherapy</w:instrText>
      </w:r>
      <w:r w:rsidR="009D170B" w:rsidRPr="009D170B">
        <w:instrText xml:space="preserve"> </w:instrText>
      </w:r>
      <w:r w:rsidR="009D170B">
        <w:rPr>
          <w:lang w:val="en-US"/>
        </w:rPr>
        <w:instrText>in</w:instrText>
      </w:r>
      <w:r w:rsidR="009D170B" w:rsidRPr="009D170B">
        <w:instrText xml:space="preserve"> </w:instrText>
      </w:r>
      <w:r w:rsidR="009D170B">
        <w:rPr>
          <w:lang w:val="en-US"/>
        </w:rPr>
        <w:instrText>limited</w:instrText>
      </w:r>
      <w:r w:rsidR="009D170B" w:rsidRPr="009D170B">
        <w:instrText xml:space="preserve"> </w:instrText>
      </w:r>
      <w:r w:rsidR="009D170B">
        <w:rPr>
          <w:lang w:val="en-US"/>
        </w:rPr>
        <w:instrText>stage</w:instrText>
      </w:r>
      <w:r w:rsidR="009D170B" w:rsidRPr="009D170B">
        <w:instrText xml:space="preserve"> </w:instrText>
      </w:r>
      <w:r w:rsidR="009D170B">
        <w:rPr>
          <w:lang w:val="en-US"/>
        </w:rPr>
        <w:instrText>diffuse</w:instrText>
      </w:r>
      <w:r w:rsidR="009D170B" w:rsidRPr="009D170B">
        <w:instrText xml:space="preserve"> </w:instrText>
      </w:r>
      <w:r w:rsidR="009D170B">
        <w:rPr>
          <w:lang w:val="en-US"/>
        </w:rPr>
        <w:instrText>large</w:instrText>
      </w:r>
      <w:r w:rsidR="009D170B" w:rsidRPr="009D170B">
        <w:instrText xml:space="preserve"> </w:instrText>
      </w:r>
      <w:r w:rsidR="009D170B">
        <w:rPr>
          <w:lang w:val="en-US"/>
        </w:rPr>
        <w:instrText>B</w:instrText>
      </w:r>
      <w:r w:rsidR="009D170B" w:rsidRPr="009D170B">
        <w:instrText>-</w:instrText>
      </w:r>
      <w:r w:rsidR="009D170B">
        <w:rPr>
          <w:lang w:val="en-US"/>
        </w:rPr>
        <w:instrText>cell</w:instrText>
      </w:r>
      <w:r w:rsidR="009D170B" w:rsidRPr="009D170B">
        <w:instrText xml:space="preserve"> </w:instrText>
      </w:r>
      <w:r w:rsidR="009D170B">
        <w:rPr>
          <w:lang w:val="en-US"/>
        </w:rPr>
        <w:instrText>lymphoma</w:instrText>
      </w:r>
      <w:r w:rsidR="009D170B" w:rsidRPr="009D170B">
        <w:instrText xml:space="preserve"> (</w:instrText>
      </w:r>
      <w:r w:rsidR="009D170B">
        <w:rPr>
          <w:lang w:val="en-US"/>
        </w:rPr>
        <w:instrText>DLBCL</w:instrText>
      </w:r>
      <w:r w:rsidR="009D170B" w:rsidRPr="009D170B">
        <w:instrText xml:space="preserve">) </w:instrText>
      </w:r>
      <w:r w:rsidR="009D170B">
        <w:rPr>
          <w:lang w:val="en-US"/>
        </w:rPr>
        <w:instrText>by</w:instrText>
      </w:r>
      <w:r w:rsidR="009D170B" w:rsidRPr="009D170B">
        <w:instrText xml:space="preserve"> </w:instrText>
      </w:r>
      <w:r w:rsidR="009D170B">
        <w:rPr>
          <w:lang w:val="en-US"/>
        </w:rPr>
        <w:instrText>comparing</w:instrText>
      </w:r>
      <w:r w:rsidR="009D170B" w:rsidRPr="009D170B">
        <w:instrText xml:space="preserve"> </w:instrText>
      </w:r>
      <w:r w:rsidR="009D170B">
        <w:rPr>
          <w:lang w:val="en-US"/>
        </w:rPr>
        <w:instrText>outcomes</w:instrText>
      </w:r>
      <w:r w:rsidR="009D170B" w:rsidRPr="009D170B">
        <w:instrText xml:space="preserve"> </w:instrText>
      </w:r>
      <w:r w:rsidR="009D170B">
        <w:rPr>
          <w:lang w:val="en-US"/>
        </w:rPr>
        <w:instrText>of</w:instrText>
      </w:r>
      <w:r w:rsidR="009D170B" w:rsidRPr="009D170B">
        <w:instrText xml:space="preserve"> </w:instrText>
      </w:r>
      <w:r w:rsidR="009D170B">
        <w:rPr>
          <w:lang w:val="en-US"/>
        </w:rPr>
        <w:instrText>R</w:instrText>
      </w:r>
      <w:r w:rsidR="009D170B" w:rsidRPr="009D170B">
        <w:instrText>-</w:instrText>
      </w:r>
      <w:r w:rsidR="009D170B">
        <w:rPr>
          <w:lang w:val="en-US"/>
        </w:rPr>
        <w:instrText>CHOP</w:instrText>
      </w:r>
      <w:r w:rsidR="009D170B" w:rsidRPr="009D170B">
        <w:instrText xml:space="preserve"> </w:instrText>
      </w:r>
      <w:r w:rsidR="009D170B">
        <w:rPr>
          <w:lang w:val="en-US"/>
        </w:rPr>
        <w:instrText>therapy</w:instrText>
      </w:r>
      <w:r w:rsidR="009D170B" w:rsidRPr="009D170B">
        <w:instrText xml:space="preserve"> </w:instrText>
      </w:r>
      <w:r w:rsidR="009D170B">
        <w:rPr>
          <w:lang w:val="en-US"/>
        </w:rPr>
        <w:instrText>alone</w:instrText>
      </w:r>
      <w:r w:rsidR="009D170B" w:rsidRPr="009D170B">
        <w:instrText xml:space="preserve"> </w:instrText>
      </w:r>
      <w:r w:rsidR="009D170B">
        <w:rPr>
          <w:lang w:val="en-US"/>
        </w:rPr>
        <w:instrText>with</w:instrText>
      </w:r>
      <w:r w:rsidR="009D170B" w:rsidRPr="009D170B">
        <w:instrText xml:space="preserve"> </w:instrText>
      </w:r>
      <w:r w:rsidR="009D170B">
        <w:rPr>
          <w:lang w:val="en-US"/>
        </w:rPr>
        <w:instrText>R</w:instrText>
      </w:r>
      <w:r w:rsidR="009D170B" w:rsidRPr="009D170B">
        <w:instrText>-</w:instrText>
      </w:r>
      <w:r w:rsidR="009D170B">
        <w:rPr>
          <w:lang w:val="en-US"/>
        </w:rPr>
        <w:instrText>CHOP</w:instrText>
      </w:r>
      <w:r w:rsidR="009D170B" w:rsidRPr="009D170B">
        <w:instrText xml:space="preserve"> </w:instrText>
      </w:r>
      <w:r w:rsidR="009D170B">
        <w:rPr>
          <w:lang w:val="en-US"/>
        </w:rPr>
        <w:instrText>followed</w:instrText>
      </w:r>
      <w:r w:rsidR="009D170B" w:rsidRPr="009D170B">
        <w:instrText xml:space="preserve"> </w:instrText>
      </w:r>
      <w:r w:rsidR="009D170B">
        <w:rPr>
          <w:lang w:val="en-US"/>
        </w:rPr>
        <w:instrText>by</w:instrText>
      </w:r>
      <w:r w:rsidR="009D170B" w:rsidRPr="009D170B">
        <w:instrText xml:space="preserve"> </w:instrText>
      </w:r>
      <w:r w:rsidR="009D170B">
        <w:rPr>
          <w:lang w:val="en-US"/>
        </w:rPr>
        <w:instrText>ILRT</w:instrText>
      </w:r>
      <w:r w:rsidR="009D170B" w:rsidRPr="009D170B">
        <w:instrText xml:space="preserve">. </w:instrText>
      </w:r>
      <w:r w:rsidR="009D170B">
        <w:rPr>
          <w:lang w:val="en-US"/>
        </w:rPr>
        <w:instrText>Methods</w:instrText>
      </w:r>
      <w:r w:rsidR="009D170B" w:rsidRPr="009D170B">
        <w:instrText xml:space="preserve"> </w:instrText>
      </w:r>
      <w:r w:rsidR="009D170B">
        <w:rPr>
          <w:lang w:val="en-US"/>
        </w:rPr>
        <w:instrText>and</w:instrText>
      </w:r>
      <w:r w:rsidR="009D170B" w:rsidRPr="009D170B">
        <w:instrText xml:space="preserve"> </w:instrText>
      </w:r>
      <w:r w:rsidR="009D170B">
        <w:rPr>
          <w:lang w:val="en-US"/>
        </w:rPr>
        <w:instrText>Materials</w:instrText>
      </w:r>
      <w:r w:rsidR="009D170B" w:rsidRPr="009D170B">
        <w:instrText xml:space="preserve"> </w:instrText>
      </w:r>
      <w:r w:rsidR="009D170B">
        <w:rPr>
          <w:lang w:val="en-US"/>
        </w:rPr>
        <w:instrText>We</w:instrText>
      </w:r>
      <w:r w:rsidR="009D170B" w:rsidRPr="009D170B">
        <w:instrText xml:space="preserve"> </w:instrText>
      </w:r>
      <w:r w:rsidR="009D170B">
        <w:rPr>
          <w:lang w:val="en-US"/>
        </w:rPr>
        <w:instrText>identified</w:instrText>
      </w:r>
      <w:r w:rsidR="009D170B" w:rsidRPr="009D170B">
        <w:instrText xml:space="preserve"> 198 </w:instrText>
      </w:r>
      <w:r w:rsidR="009D170B">
        <w:rPr>
          <w:lang w:val="en-US"/>
        </w:rPr>
        <w:instrText>patients</w:instrText>
      </w:r>
      <w:r w:rsidR="009D170B" w:rsidRPr="009D170B">
        <w:instrText xml:space="preserve"> </w:instrText>
      </w:r>
      <w:r w:rsidR="009D170B">
        <w:rPr>
          <w:lang w:val="en-US"/>
        </w:rPr>
        <w:instrText>treated</w:instrText>
      </w:r>
      <w:r w:rsidR="009D170B" w:rsidRPr="009D170B">
        <w:instrText xml:space="preserve"> </w:instrText>
      </w:r>
      <w:r w:rsidR="009D170B">
        <w:rPr>
          <w:lang w:val="en-US"/>
        </w:rPr>
        <w:instrText>with</w:instrText>
      </w:r>
      <w:r w:rsidR="009D170B" w:rsidRPr="009D170B">
        <w:instrText xml:space="preserve"> </w:instrText>
      </w:r>
      <w:r w:rsidR="009D170B">
        <w:rPr>
          <w:lang w:val="en-US"/>
        </w:rPr>
        <w:instrText>R</w:instrText>
      </w:r>
      <w:r w:rsidR="009D170B" w:rsidRPr="009D170B">
        <w:instrText>-</w:instrText>
      </w:r>
      <w:r w:rsidR="009D170B">
        <w:rPr>
          <w:lang w:val="en-US"/>
        </w:rPr>
        <w:instrText>CHOP</w:instrText>
      </w:r>
      <w:r w:rsidR="009D170B" w:rsidRPr="009D170B">
        <w:instrText xml:space="preserve"> (</w:instrText>
      </w:r>
      <w:r w:rsidR="009D170B">
        <w:rPr>
          <w:lang w:val="en-US"/>
        </w:rPr>
        <w:instrText>median</w:instrText>
      </w:r>
      <w:r w:rsidR="009D170B" w:rsidRPr="009D170B">
        <w:instrText xml:space="preserve">, 6 </w:instrText>
      </w:r>
      <w:r w:rsidR="009D170B">
        <w:rPr>
          <w:lang w:val="en-US"/>
        </w:rPr>
        <w:instrText>cycles</w:instrText>
      </w:r>
      <w:r w:rsidR="009D170B" w:rsidRPr="009D170B">
        <w:instrText xml:space="preserve">) </w:instrText>
      </w:r>
      <w:r w:rsidR="009D170B">
        <w:rPr>
          <w:lang w:val="en-US"/>
        </w:rPr>
        <w:instrText>for</w:instrText>
      </w:r>
      <w:r w:rsidR="009D170B" w:rsidRPr="009D170B">
        <w:instrText xml:space="preserve"> </w:instrText>
      </w:r>
      <w:r w:rsidR="009D170B">
        <w:rPr>
          <w:lang w:val="en-US"/>
        </w:rPr>
        <w:instrText>pathologically</w:instrText>
      </w:r>
      <w:r w:rsidR="009D170B" w:rsidRPr="009D170B">
        <w:instrText xml:space="preserve"> </w:instrText>
      </w:r>
      <w:r w:rsidR="009D170B">
        <w:rPr>
          <w:lang w:val="en-US"/>
        </w:rPr>
        <w:instrText>confirmed</w:instrText>
      </w:r>
      <w:r w:rsidR="009D170B" w:rsidRPr="009D170B">
        <w:instrText xml:space="preserve"> </w:instrText>
      </w:r>
      <w:r w:rsidR="009D170B">
        <w:rPr>
          <w:lang w:val="en-US"/>
        </w:rPr>
        <w:instrText>DLBCL</w:instrText>
      </w:r>
      <w:r w:rsidR="009D170B" w:rsidRPr="009D170B">
        <w:instrText xml:space="preserve"> </w:instrText>
      </w:r>
      <w:r w:rsidR="009D170B">
        <w:rPr>
          <w:lang w:val="en-US"/>
        </w:rPr>
        <w:instrText>of</w:instrText>
      </w:r>
      <w:r w:rsidR="009D170B" w:rsidRPr="009D170B">
        <w:instrText xml:space="preserve"> </w:instrText>
      </w:r>
      <w:r w:rsidR="009D170B">
        <w:rPr>
          <w:lang w:val="en-US"/>
        </w:rPr>
        <w:instrText>limited</w:instrText>
      </w:r>
      <w:r w:rsidR="009D170B" w:rsidRPr="009D170B">
        <w:instrText xml:space="preserve"> </w:instrText>
      </w:r>
      <w:r w:rsidR="009D170B">
        <w:rPr>
          <w:lang w:val="en-US"/>
        </w:rPr>
        <w:instrText>stage</w:instrText>
      </w:r>
      <w:r w:rsidR="009D170B" w:rsidRPr="009D170B">
        <w:instrText xml:space="preserve"> </w:instrText>
      </w:r>
      <w:r w:rsidR="009D170B">
        <w:rPr>
          <w:lang w:val="en-US"/>
        </w:rPr>
        <w:instrText>from</w:instrText>
      </w:r>
      <w:r w:rsidR="009D170B" w:rsidRPr="009D170B">
        <w:instrText xml:space="preserve"> </w:instrText>
      </w:r>
      <w:r w:rsidR="009D170B">
        <w:rPr>
          <w:lang w:val="en-US"/>
        </w:rPr>
        <w:instrText>July</w:instrText>
      </w:r>
      <w:r w:rsidR="009D170B" w:rsidRPr="009D170B">
        <w:instrText xml:space="preserve"> 2004 </w:instrText>
      </w:r>
      <w:r w:rsidR="009D170B">
        <w:rPr>
          <w:lang w:val="en-US"/>
        </w:rPr>
        <w:instrText>to</w:instrText>
      </w:r>
      <w:r w:rsidR="009D170B" w:rsidRPr="009D170B">
        <w:instrText xml:space="preserve"> </w:instrText>
      </w:r>
      <w:r w:rsidR="009D170B">
        <w:rPr>
          <w:lang w:val="en-US"/>
        </w:rPr>
        <w:instrText>December</w:instrText>
      </w:r>
      <w:r w:rsidR="009D170B" w:rsidRPr="009D170B">
        <w:instrText xml:space="preserve"> 2012. </w:instrText>
      </w:r>
      <w:r w:rsidR="009D170B">
        <w:rPr>
          <w:lang w:val="en-US"/>
        </w:rPr>
        <w:instrText>Clinical</w:instrText>
      </w:r>
      <w:r w:rsidR="009D170B" w:rsidRPr="009D170B">
        <w:instrText xml:space="preserve"> </w:instrText>
      </w:r>
      <w:r w:rsidR="009D170B">
        <w:rPr>
          <w:lang w:val="en-US"/>
        </w:rPr>
        <w:instrText>characteristics</w:instrText>
      </w:r>
      <w:r w:rsidR="009D170B" w:rsidRPr="009D170B">
        <w:instrText xml:space="preserve"> </w:instrText>
      </w:r>
      <w:r w:rsidR="009D170B">
        <w:rPr>
          <w:lang w:val="en-US"/>
        </w:rPr>
        <w:instrText>of</w:instrText>
      </w:r>
      <w:r w:rsidR="009D170B" w:rsidRPr="009D170B">
        <w:instrText xml:space="preserve"> </w:instrText>
      </w:r>
      <w:r w:rsidR="009D170B">
        <w:rPr>
          <w:lang w:val="en-US"/>
        </w:rPr>
        <w:instrText>these</w:instrText>
      </w:r>
      <w:r w:rsidR="009D170B" w:rsidRPr="009D170B">
        <w:instrText xml:space="preserve"> </w:instrText>
      </w:r>
      <w:r w:rsidR="009D170B">
        <w:rPr>
          <w:lang w:val="en-US"/>
        </w:rPr>
        <w:instrText>patients</w:instrText>
      </w:r>
      <w:r w:rsidR="009D170B" w:rsidRPr="009D170B">
        <w:instrText xml:space="preserve"> </w:instrText>
      </w:r>
      <w:r w:rsidR="009D170B">
        <w:rPr>
          <w:lang w:val="en-US"/>
        </w:rPr>
        <w:instrText>were</w:instrText>
      </w:r>
      <w:r w:rsidR="009D170B" w:rsidRPr="009D170B">
        <w:instrText xml:space="preserve"> 33% </w:instrText>
      </w:r>
      <w:r w:rsidR="009D170B">
        <w:rPr>
          <w:lang w:val="en-US"/>
        </w:rPr>
        <w:instrText>with</w:instrText>
      </w:r>
      <w:r w:rsidR="009D170B" w:rsidRPr="009D170B">
        <w:instrText xml:space="preserve"> </w:instrText>
      </w:r>
      <w:r w:rsidR="009D170B">
        <w:rPr>
          <w:lang w:val="en-US"/>
        </w:rPr>
        <w:instrText>stage</w:instrText>
      </w:r>
      <w:r w:rsidR="009D170B" w:rsidRPr="009D170B">
        <w:instrText xml:space="preserve"> </w:instrText>
      </w:r>
      <w:r w:rsidR="009D170B">
        <w:rPr>
          <w:lang w:val="en-US"/>
        </w:rPr>
        <w:instrText>I</w:instrText>
      </w:r>
      <w:r w:rsidR="009D170B" w:rsidRPr="009D170B">
        <w:instrText xml:space="preserve"> </w:instrText>
      </w:r>
      <w:r w:rsidR="009D170B">
        <w:rPr>
          <w:lang w:val="en-US"/>
        </w:rPr>
        <w:instrText>and</w:instrText>
      </w:r>
      <w:r w:rsidR="009D170B" w:rsidRPr="009D170B">
        <w:instrText xml:space="preserve"> 66.7% </w:instrText>
      </w:r>
      <w:r w:rsidR="009D170B">
        <w:rPr>
          <w:lang w:val="en-US"/>
        </w:rPr>
        <w:instrText>with</w:instrText>
      </w:r>
      <w:r w:rsidR="009D170B" w:rsidRPr="009D170B">
        <w:instrText xml:space="preserve"> </w:instrText>
      </w:r>
      <w:r w:rsidR="009D170B">
        <w:rPr>
          <w:lang w:val="en-US"/>
        </w:rPr>
        <w:instrText>stage</w:instrText>
      </w:r>
      <w:r w:rsidR="009D170B" w:rsidRPr="009D170B">
        <w:instrText xml:space="preserve"> </w:instrText>
      </w:r>
      <w:r w:rsidR="009D170B">
        <w:rPr>
          <w:lang w:val="en-US"/>
        </w:rPr>
        <w:instrText>II</w:instrText>
      </w:r>
      <w:r w:rsidR="009D170B" w:rsidRPr="009D170B">
        <w:instrText xml:space="preserve">; 79.8% </w:instrText>
      </w:r>
      <w:r w:rsidR="009D170B">
        <w:rPr>
          <w:lang w:val="en-US"/>
        </w:rPr>
        <w:instrText>were</w:instrText>
      </w:r>
      <w:r w:rsidR="009D170B" w:rsidRPr="009D170B">
        <w:instrText xml:space="preserve"> </w:instrText>
      </w:r>
      <w:r w:rsidR="009D170B">
        <w:rPr>
          <w:lang w:val="en-US"/>
        </w:rPr>
        <w:instrText>in</w:instrText>
      </w:r>
      <w:r w:rsidR="009D170B" w:rsidRPr="009D170B">
        <w:instrText xml:space="preserve"> </w:instrText>
      </w:r>
      <w:r w:rsidR="009D170B">
        <w:rPr>
          <w:lang w:val="en-US"/>
        </w:rPr>
        <w:instrText>the</w:instrText>
      </w:r>
      <w:r w:rsidR="009D170B" w:rsidRPr="009D170B">
        <w:instrText xml:space="preserve"> </w:instrText>
      </w:r>
      <w:r w:rsidR="009D170B">
        <w:rPr>
          <w:lang w:val="en-US"/>
        </w:rPr>
        <w:instrText>low</w:instrText>
      </w:r>
      <w:r w:rsidR="009D170B" w:rsidRPr="009D170B">
        <w:instrText xml:space="preserve"> </w:instrText>
      </w:r>
      <w:r w:rsidR="009D170B">
        <w:rPr>
          <w:lang w:val="en-US"/>
        </w:rPr>
        <w:instrText>or</w:instrText>
      </w:r>
      <w:r w:rsidR="009D170B" w:rsidRPr="009D170B">
        <w:instrText xml:space="preserve"> </w:instrText>
      </w:r>
      <w:r w:rsidR="009D170B">
        <w:rPr>
          <w:lang w:val="en-US"/>
        </w:rPr>
        <w:instrText>low</w:instrText>
      </w:r>
      <w:r w:rsidR="009D170B" w:rsidRPr="009D170B">
        <w:instrText>-</w:instrText>
      </w:r>
      <w:r w:rsidR="009D170B">
        <w:rPr>
          <w:lang w:val="en-US"/>
        </w:rPr>
        <w:instrText>intermediate</w:instrText>
      </w:r>
      <w:r w:rsidR="009D170B" w:rsidRPr="009D170B">
        <w:instrText xml:space="preserve"> </w:instrText>
      </w:r>
      <w:r w:rsidR="009D170B">
        <w:rPr>
          <w:lang w:val="en-US"/>
        </w:rPr>
        <w:instrText>risk</w:instrText>
      </w:r>
      <w:r w:rsidR="009D170B" w:rsidRPr="009D170B">
        <w:instrText xml:space="preserve"> </w:instrText>
      </w:r>
      <w:r w:rsidR="009D170B">
        <w:rPr>
          <w:lang w:val="en-US"/>
        </w:rPr>
        <w:instrText>group</w:instrText>
      </w:r>
      <w:r w:rsidR="009D170B" w:rsidRPr="009D170B">
        <w:instrText xml:space="preserve">; 13.6% </w:instrText>
      </w:r>
      <w:r w:rsidR="009D170B">
        <w:rPr>
          <w:lang w:val="en-US"/>
        </w:rPr>
        <w:instrText>had</w:instrText>
      </w:r>
      <w:r w:rsidR="009D170B" w:rsidRPr="009D170B">
        <w:instrText xml:space="preserve"> </w:instrText>
      </w:r>
      <w:r w:rsidR="009D170B">
        <w:rPr>
          <w:lang w:val="en-US"/>
        </w:rPr>
        <w:instrText>B</w:instrText>
      </w:r>
      <w:r w:rsidR="009D170B" w:rsidRPr="009D170B">
        <w:instrText xml:space="preserve"> </w:instrText>
      </w:r>
      <w:r w:rsidR="009D170B">
        <w:rPr>
          <w:lang w:val="en-US"/>
        </w:rPr>
        <w:instrText>symptoms</w:instrText>
      </w:r>
      <w:r w:rsidR="009D170B" w:rsidRPr="009D170B">
        <w:instrText xml:space="preserve">; 29.8% </w:instrText>
      </w:r>
      <w:r w:rsidR="009D170B">
        <w:rPr>
          <w:lang w:val="en-US"/>
        </w:rPr>
        <w:instrText>had</w:instrText>
      </w:r>
      <w:r w:rsidR="009D170B" w:rsidRPr="009D170B">
        <w:instrText xml:space="preserve"> </w:instrText>
      </w:r>
      <w:r w:rsidR="009D170B">
        <w:rPr>
          <w:lang w:val="en-US"/>
        </w:rPr>
        <w:instrText>bulky</w:instrText>
      </w:r>
      <w:r w:rsidR="009D170B" w:rsidRPr="009D170B">
        <w:instrText xml:space="preserve"> </w:instrText>
      </w:r>
      <w:r w:rsidR="009D170B">
        <w:rPr>
          <w:lang w:val="en-US"/>
        </w:rPr>
        <w:instrText>tumors</w:instrText>
      </w:r>
      <w:r w:rsidR="009D170B" w:rsidRPr="009D170B">
        <w:instrText xml:space="preserve"> (≥7 </w:instrText>
      </w:r>
      <w:r w:rsidR="009D170B">
        <w:rPr>
          <w:lang w:val="en-US"/>
        </w:rPr>
        <w:instrText>cm</w:instrText>
      </w:r>
      <w:r w:rsidR="009D170B" w:rsidRPr="009D170B">
        <w:instrText xml:space="preserve">); </w:instrText>
      </w:r>
      <w:r w:rsidR="009D170B">
        <w:rPr>
          <w:lang w:val="en-US"/>
        </w:rPr>
        <w:instrText>and</w:instrText>
      </w:r>
      <w:r w:rsidR="009D170B" w:rsidRPr="009D170B">
        <w:instrText xml:space="preserve"> 75.3% </w:instrText>
      </w:r>
      <w:r w:rsidR="009D170B">
        <w:rPr>
          <w:lang w:val="en-US"/>
        </w:rPr>
        <w:instrText>underwent</w:instrText>
      </w:r>
      <w:r w:rsidR="009D170B" w:rsidRPr="009D170B">
        <w:instrText xml:space="preserve"> ≥6 </w:instrText>
      </w:r>
      <w:r w:rsidR="009D170B">
        <w:rPr>
          <w:lang w:val="en-US"/>
        </w:rPr>
        <w:instrText>cycles</w:instrText>
      </w:r>
      <w:r w:rsidR="009D170B" w:rsidRPr="009D170B">
        <w:instrText xml:space="preserve"> </w:instrText>
      </w:r>
      <w:r w:rsidR="009D170B">
        <w:rPr>
          <w:lang w:val="en-US"/>
        </w:rPr>
        <w:instrText>of</w:instrText>
      </w:r>
      <w:r w:rsidR="009D170B" w:rsidRPr="009D170B">
        <w:instrText xml:space="preserve"> </w:instrText>
      </w:r>
      <w:r w:rsidR="009D170B">
        <w:rPr>
          <w:lang w:val="en-US"/>
        </w:rPr>
        <w:instrText>R</w:instrText>
      </w:r>
      <w:r w:rsidR="009D170B" w:rsidRPr="009D170B">
        <w:instrText>-</w:instrText>
      </w:r>
      <w:r w:rsidR="009D170B">
        <w:rPr>
          <w:lang w:val="en-US"/>
        </w:rPr>
        <w:instrText>CHOP</w:instrText>
      </w:r>
      <w:r w:rsidR="009D170B" w:rsidRPr="009D170B">
        <w:instrText xml:space="preserve"> </w:instrText>
      </w:r>
      <w:r w:rsidR="009D170B">
        <w:rPr>
          <w:lang w:val="en-US"/>
        </w:rPr>
        <w:instrText>therapy</w:instrText>
      </w:r>
      <w:r w:rsidR="009D170B" w:rsidRPr="009D170B">
        <w:instrText xml:space="preserve">. </w:instrText>
      </w:r>
      <w:r w:rsidR="009D170B">
        <w:rPr>
          <w:lang w:val="en-US"/>
        </w:rPr>
        <w:instrText>RT</w:instrText>
      </w:r>
      <w:r w:rsidR="009D170B" w:rsidRPr="009D170B">
        <w:instrText xml:space="preserve"> </w:instrText>
      </w:r>
      <w:r w:rsidR="009D170B">
        <w:rPr>
          <w:lang w:val="en-US"/>
        </w:rPr>
        <w:instrText>was</w:instrText>
      </w:r>
      <w:r w:rsidR="009D170B" w:rsidRPr="009D170B">
        <w:instrText xml:space="preserve"> </w:instrText>
      </w:r>
      <w:r w:rsidR="009D170B">
        <w:rPr>
          <w:lang w:val="en-US"/>
        </w:rPr>
        <w:instrText>given</w:instrText>
      </w:r>
      <w:r w:rsidR="009D170B" w:rsidRPr="009D170B">
        <w:instrText xml:space="preserve"> </w:instrText>
      </w:r>
      <w:r w:rsidR="009D170B">
        <w:rPr>
          <w:lang w:val="en-US"/>
        </w:rPr>
        <w:instrText>to</w:instrText>
      </w:r>
      <w:r w:rsidR="009D170B" w:rsidRPr="009D170B">
        <w:instrText xml:space="preserve"> 43 </w:instrText>
      </w:r>
      <w:r w:rsidR="009D170B">
        <w:rPr>
          <w:lang w:val="en-US"/>
        </w:rPr>
        <w:instrText>patients</w:instrText>
      </w:r>
      <w:r w:rsidR="009D170B" w:rsidRPr="009D170B">
        <w:instrText xml:space="preserve"> (21.7%) </w:instrText>
      </w:r>
      <w:r w:rsidR="009D170B">
        <w:rPr>
          <w:lang w:val="en-US"/>
        </w:rPr>
        <w:instrText>using</w:instrText>
      </w:r>
      <w:r w:rsidR="009D170B" w:rsidRPr="009D170B">
        <w:instrText xml:space="preserve"> </w:instrText>
      </w:r>
      <w:r w:rsidR="009D170B">
        <w:rPr>
          <w:lang w:val="en-US"/>
        </w:rPr>
        <w:instrText>ILRT</w:instrText>
      </w:r>
      <w:r w:rsidR="009D170B" w:rsidRPr="009D170B">
        <w:instrText xml:space="preserve"> </w:instrText>
      </w:r>
      <w:r w:rsidR="009D170B">
        <w:rPr>
          <w:lang w:val="en-US"/>
        </w:rPr>
        <w:instrText>technique</w:instrText>
      </w:r>
      <w:r w:rsidR="009D170B" w:rsidRPr="009D170B">
        <w:instrText xml:space="preserve">, </w:instrText>
      </w:r>
      <w:r w:rsidR="009D170B">
        <w:rPr>
          <w:lang w:val="en-US"/>
        </w:rPr>
        <w:instrText>which</w:instrText>
      </w:r>
      <w:r w:rsidR="009D170B" w:rsidRPr="009D170B">
        <w:instrText xml:space="preserve"> </w:instrText>
      </w:r>
      <w:r w:rsidR="009D170B">
        <w:rPr>
          <w:lang w:val="en-US"/>
        </w:rPr>
        <w:instrText>included</w:instrText>
      </w:r>
      <w:r w:rsidR="009D170B" w:rsidRPr="009D170B">
        <w:instrText xml:space="preserve"> </w:instrText>
      </w:r>
      <w:r w:rsidR="009D170B">
        <w:rPr>
          <w:lang w:val="en-US"/>
        </w:rPr>
        <w:instrText>the</w:instrText>
      </w:r>
      <w:r w:rsidR="009D170B" w:rsidRPr="009D170B">
        <w:instrText xml:space="preserve"> </w:instrText>
      </w:r>
      <w:r w:rsidR="009D170B">
        <w:rPr>
          <w:lang w:val="en-US"/>
        </w:rPr>
        <w:instrText>prechemotherapy</w:instrText>
      </w:r>
      <w:r w:rsidR="009D170B" w:rsidRPr="009D170B">
        <w:instrText xml:space="preserve"> </w:instrText>
      </w:r>
      <w:r w:rsidR="009D170B">
        <w:rPr>
          <w:lang w:val="en-US"/>
        </w:rPr>
        <w:instrText>tumor</w:instrText>
      </w:r>
      <w:r w:rsidR="009D170B" w:rsidRPr="009D170B">
        <w:instrText xml:space="preserve"> </w:instrText>
      </w:r>
      <w:r w:rsidR="009D170B">
        <w:rPr>
          <w:lang w:val="en-US"/>
        </w:rPr>
        <w:instrText>volume</w:instrText>
      </w:r>
      <w:r w:rsidR="009D170B" w:rsidRPr="009D170B">
        <w:instrText xml:space="preserve"> </w:instrText>
      </w:r>
      <w:r w:rsidR="009D170B">
        <w:rPr>
          <w:lang w:val="en-US"/>
        </w:rPr>
        <w:instrText>with</w:instrText>
      </w:r>
      <w:r w:rsidR="009D170B" w:rsidRPr="009D170B">
        <w:instrText xml:space="preserve"> </w:instrText>
      </w:r>
      <w:r w:rsidR="009D170B">
        <w:rPr>
          <w:lang w:val="en-US"/>
        </w:rPr>
        <w:instrText>a</w:instrText>
      </w:r>
      <w:r w:rsidR="009D170B" w:rsidRPr="009D170B">
        <w:instrText xml:space="preserve"> </w:instrText>
      </w:r>
      <w:r w:rsidR="009D170B">
        <w:rPr>
          <w:lang w:val="en-US"/>
        </w:rPr>
        <w:instrText>median</w:instrText>
      </w:r>
      <w:r w:rsidR="009D170B" w:rsidRPr="009D170B">
        <w:instrText xml:space="preserve"> </w:instrText>
      </w:r>
      <w:r w:rsidR="009D170B">
        <w:rPr>
          <w:lang w:val="en-US"/>
        </w:rPr>
        <w:instrText>margin</w:instrText>
      </w:r>
      <w:r w:rsidR="009D170B" w:rsidRPr="009D170B">
        <w:instrText xml:space="preserve"> </w:instrText>
      </w:r>
      <w:r w:rsidR="009D170B">
        <w:rPr>
          <w:lang w:val="en-US"/>
        </w:rPr>
        <w:instrText>of</w:instrText>
      </w:r>
      <w:r w:rsidR="009D170B" w:rsidRPr="009D170B">
        <w:instrText xml:space="preserve"> 2 </w:instrText>
      </w:r>
      <w:r w:rsidR="009D170B">
        <w:rPr>
          <w:lang w:val="en-US"/>
        </w:rPr>
        <w:instrText>cm</w:instrText>
      </w:r>
      <w:r w:rsidR="009D170B" w:rsidRPr="009D170B">
        <w:instrText xml:space="preserve"> (</w:instrText>
      </w:r>
      <w:r w:rsidR="009D170B">
        <w:rPr>
          <w:lang w:val="en-US"/>
        </w:rPr>
        <w:instrText>median</w:instrText>
      </w:r>
      <w:r w:rsidR="009D170B" w:rsidRPr="009D170B">
        <w:instrText xml:space="preserve"> </w:instrText>
      </w:r>
      <w:r w:rsidR="009D170B">
        <w:rPr>
          <w:lang w:val="en-US"/>
        </w:rPr>
        <w:instrText>RT</w:instrText>
      </w:r>
      <w:r w:rsidR="009D170B" w:rsidRPr="009D170B">
        <w:instrText xml:space="preserve"> </w:instrText>
      </w:r>
      <w:r w:rsidR="009D170B">
        <w:rPr>
          <w:lang w:val="en-US"/>
        </w:rPr>
        <w:instrText>dose</w:instrText>
      </w:r>
      <w:r w:rsidR="009D170B" w:rsidRPr="009D170B">
        <w:instrText xml:space="preserve">: 36 </w:instrText>
      </w:r>
      <w:r w:rsidR="009D170B">
        <w:rPr>
          <w:lang w:val="en-US"/>
        </w:rPr>
        <w:instrText>Gy</w:instrText>
      </w:r>
      <w:r w:rsidR="009D170B" w:rsidRPr="009D170B">
        <w:instrText xml:space="preserve">). </w:instrText>
      </w:r>
      <w:r w:rsidR="009D170B">
        <w:rPr>
          <w:lang w:val="en-US"/>
        </w:rPr>
        <w:instrText>Results</w:instrText>
      </w:r>
      <w:r w:rsidR="009D170B" w:rsidRPr="009D170B">
        <w:instrText xml:space="preserve"> </w:instrText>
      </w:r>
      <w:r w:rsidR="009D170B">
        <w:rPr>
          <w:lang w:val="en-US"/>
        </w:rPr>
        <w:instrText>After</w:instrText>
      </w:r>
      <w:r w:rsidR="009D170B" w:rsidRPr="009D170B">
        <w:instrText xml:space="preserve"> </w:instrText>
      </w:r>
      <w:r w:rsidR="009D170B">
        <w:rPr>
          <w:lang w:val="en-US"/>
        </w:rPr>
        <w:instrText>a</w:instrText>
      </w:r>
      <w:r w:rsidR="009D170B" w:rsidRPr="009D170B">
        <w:instrText xml:space="preserve"> </w:instrText>
      </w:r>
      <w:r w:rsidR="009D170B">
        <w:rPr>
          <w:lang w:val="en-US"/>
        </w:rPr>
        <w:instrText>median</w:instrText>
      </w:r>
      <w:r w:rsidR="009D170B" w:rsidRPr="009D170B">
        <w:instrText xml:space="preserve"> </w:instrText>
      </w:r>
      <w:r w:rsidR="009D170B">
        <w:rPr>
          <w:lang w:val="en-US"/>
        </w:rPr>
        <w:instrText>follow</w:instrText>
      </w:r>
      <w:r w:rsidR="009D170B" w:rsidRPr="009D170B">
        <w:instrText>-</w:instrText>
      </w:r>
      <w:r w:rsidR="009D170B">
        <w:rPr>
          <w:lang w:val="en-US"/>
        </w:rPr>
        <w:instrText>up</w:instrText>
      </w:r>
      <w:r w:rsidR="009D170B" w:rsidRPr="009D170B">
        <w:instrText xml:space="preserve"> </w:instrText>
      </w:r>
      <w:r w:rsidR="009D170B">
        <w:rPr>
          <w:lang w:val="en-US"/>
        </w:rPr>
        <w:instrText>of</w:instrText>
      </w:r>
      <w:r w:rsidR="009D170B" w:rsidRPr="009D170B">
        <w:instrText xml:space="preserve"> 40 </w:instrText>
      </w:r>
      <w:r w:rsidR="009D170B">
        <w:rPr>
          <w:lang w:val="en-US"/>
        </w:rPr>
        <w:instrText>months</w:instrText>
      </w:r>
      <w:r w:rsidR="009D170B" w:rsidRPr="009D170B">
        <w:instrText>, 3-</w:instrText>
      </w:r>
      <w:r w:rsidR="009D170B">
        <w:rPr>
          <w:lang w:val="en-US"/>
        </w:rPr>
        <w:instrText>year</w:instrText>
      </w:r>
      <w:r w:rsidR="009D170B" w:rsidRPr="009D170B">
        <w:instrText xml:space="preserve"> </w:instrText>
      </w:r>
      <w:r w:rsidR="009D170B">
        <w:rPr>
          <w:lang w:val="en-US"/>
        </w:rPr>
        <w:instrText>progression</w:instrText>
      </w:r>
      <w:r w:rsidR="009D170B" w:rsidRPr="009D170B">
        <w:instrText>-</w:instrText>
      </w:r>
      <w:r w:rsidR="009D170B">
        <w:rPr>
          <w:lang w:val="en-US"/>
        </w:rPr>
        <w:instrText>free</w:instrText>
      </w:r>
      <w:r w:rsidR="009D170B" w:rsidRPr="009D170B">
        <w:instrText xml:space="preserve"> </w:instrText>
      </w:r>
      <w:r w:rsidR="009D170B">
        <w:rPr>
          <w:lang w:val="en-US"/>
        </w:rPr>
        <w:instrText>survival</w:instrText>
      </w:r>
      <w:r w:rsidR="009D170B" w:rsidRPr="009D170B">
        <w:instrText xml:space="preserve"> (</w:instrText>
      </w:r>
      <w:r w:rsidR="009D170B">
        <w:rPr>
          <w:lang w:val="en-US"/>
        </w:rPr>
        <w:instrText>PFS</w:instrText>
      </w:r>
      <w:r w:rsidR="009D170B" w:rsidRPr="009D170B">
        <w:instrText xml:space="preserve">) </w:instrText>
      </w:r>
      <w:r w:rsidR="009D170B">
        <w:rPr>
          <w:lang w:val="en-US"/>
        </w:rPr>
        <w:instrText>and</w:instrText>
      </w:r>
      <w:r w:rsidR="009D170B" w:rsidRPr="009D170B">
        <w:instrText xml:space="preserve"> </w:instrText>
      </w:r>
      <w:r w:rsidR="009D170B">
        <w:rPr>
          <w:lang w:val="en-US"/>
        </w:rPr>
        <w:instrText>overall</w:instrText>
      </w:r>
      <w:r w:rsidR="009D170B" w:rsidRPr="009D170B">
        <w:instrText xml:space="preserve"> </w:instrText>
      </w:r>
      <w:r w:rsidR="009D170B">
        <w:rPr>
          <w:lang w:val="en-US"/>
        </w:rPr>
        <w:instrText>survival</w:instrText>
      </w:r>
      <w:r w:rsidR="009D170B" w:rsidRPr="009D170B">
        <w:instrText xml:space="preserve"> (</w:instrText>
      </w:r>
      <w:r w:rsidR="009D170B">
        <w:rPr>
          <w:lang w:val="en-US"/>
        </w:rPr>
        <w:instrText>OS</w:instrText>
      </w:r>
      <w:r w:rsidR="009D170B" w:rsidRPr="009D170B">
        <w:instrText xml:space="preserve">) </w:instrText>
      </w:r>
      <w:r w:rsidR="009D170B">
        <w:rPr>
          <w:lang w:val="en-US"/>
        </w:rPr>
        <w:instrText>were</w:instrText>
      </w:r>
      <w:r w:rsidR="009D170B" w:rsidRPr="009D170B">
        <w:instrText xml:space="preserve"> 85.8% </w:instrText>
      </w:r>
      <w:r w:rsidR="009D170B">
        <w:rPr>
          <w:lang w:val="en-US"/>
        </w:rPr>
        <w:instrText>and</w:instrText>
      </w:r>
      <w:r w:rsidR="009D170B" w:rsidRPr="009D170B">
        <w:instrText xml:space="preserve"> 88.9%, </w:instrText>
      </w:r>
      <w:r w:rsidR="009D170B">
        <w:rPr>
          <w:lang w:val="en-US"/>
        </w:rPr>
        <w:instrText>respectively</w:instrText>
      </w:r>
      <w:r w:rsidR="009D170B" w:rsidRPr="009D170B">
        <w:instrText xml:space="preserve">. </w:instrText>
      </w:r>
      <w:r w:rsidR="009D170B">
        <w:rPr>
          <w:lang w:val="en-US"/>
        </w:rPr>
        <w:instrText>Multivariate</w:instrText>
      </w:r>
      <w:r w:rsidR="009D170B" w:rsidRPr="009D170B">
        <w:instrText xml:space="preserve"> </w:instrText>
      </w:r>
      <w:r w:rsidR="009D170B">
        <w:rPr>
          <w:lang w:val="en-US"/>
        </w:rPr>
        <w:instrText>analysis</w:instrText>
      </w:r>
      <w:r w:rsidR="009D170B" w:rsidRPr="009D170B">
        <w:instrText xml:space="preserve"> </w:instrText>
      </w:r>
      <w:r w:rsidR="009D170B">
        <w:rPr>
          <w:lang w:val="en-US"/>
        </w:rPr>
        <w:instrText>showed</w:instrText>
      </w:r>
      <w:r w:rsidR="009D170B" w:rsidRPr="009D170B">
        <w:instrText xml:space="preserve"> ≥6 </w:instrText>
      </w:r>
      <w:r w:rsidR="009D170B">
        <w:rPr>
          <w:lang w:val="en-US"/>
        </w:rPr>
        <w:instrText>cycles</w:instrText>
      </w:r>
      <w:r w:rsidR="009D170B" w:rsidRPr="009D170B">
        <w:instrText xml:space="preserve"> </w:instrText>
      </w:r>
      <w:r w:rsidR="009D170B">
        <w:rPr>
          <w:lang w:val="en-US"/>
        </w:rPr>
        <w:instrText>of</w:instrText>
      </w:r>
      <w:r w:rsidR="009D170B" w:rsidRPr="009D170B">
        <w:instrText xml:space="preserve"> </w:instrText>
      </w:r>
      <w:r w:rsidR="009D170B">
        <w:rPr>
          <w:lang w:val="en-US"/>
        </w:rPr>
        <w:instrText>R</w:instrText>
      </w:r>
      <w:r w:rsidR="009D170B" w:rsidRPr="009D170B">
        <w:instrText>-</w:instrText>
      </w:r>
      <w:r w:rsidR="009D170B">
        <w:rPr>
          <w:lang w:val="en-US"/>
        </w:rPr>
        <w:instrText>CHOP</w:instrText>
      </w:r>
      <w:r w:rsidR="009D170B" w:rsidRPr="009D170B">
        <w:instrText xml:space="preserve"> (</w:instrText>
      </w:r>
      <w:r w:rsidR="009D170B">
        <w:rPr>
          <w:lang w:val="en-US"/>
        </w:rPr>
        <w:instrText>PFS</w:instrText>
      </w:r>
      <w:r w:rsidR="009D170B" w:rsidRPr="009D170B">
        <w:instrText xml:space="preserve">, </w:instrText>
      </w:r>
      <w:r w:rsidR="009D170B">
        <w:rPr>
          <w:lang w:val="en-US"/>
        </w:rPr>
        <w:instrText>P</w:instrText>
      </w:r>
      <w:r w:rsidR="009D170B" w:rsidRPr="009D170B">
        <w:instrText xml:space="preserve">=.004; </w:instrText>
      </w:r>
      <w:r w:rsidR="009D170B">
        <w:rPr>
          <w:lang w:val="en-US"/>
        </w:rPr>
        <w:instrText>OS</w:instrText>
      </w:r>
      <w:r w:rsidR="009D170B" w:rsidRPr="009D170B">
        <w:instrText xml:space="preserve">, </w:instrText>
      </w:r>
      <w:r w:rsidR="009D170B">
        <w:rPr>
          <w:lang w:val="en-US"/>
        </w:rPr>
        <w:instrText>P</w:instrText>
      </w:r>
      <w:r w:rsidR="009D170B" w:rsidRPr="009D170B">
        <w:instrText xml:space="preserve">=.004) </w:instrText>
      </w:r>
      <w:r w:rsidR="009D170B">
        <w:rPr>
          <w:lang w:val="en-US"/>
        </w:rPr>
        <w:instrText>and</w:instrText>
      </w:r>
      <w:r w:rsidR="009D170B" w:rsidRPr="009D170B">
        <w:instrText xml:space="preserve"> </w:instrText>
      </w:r>
      <w:r w:rsidR="009D170B">
        <w:rPr>
          <w:lang w:val="en-US"/>
        </w:rPr>
        <w:instrText>ILRT</w:instrText>
      </w:r>
      <w:r w:rsidR="009D170B" w:rsidRPr="009D170B">
        <w:instrText xml:space="preserve"> (</w:instrText>
      </w:r>
      <w:r w:rsidR="009D170B">
        <w:rPr>
          <w:lang w:val="en-US"/>
        </w:rPr>
        <w:instrText>PFS</w:instrText>
      </w:r>
      <w:r w:rsidR="009D170B" w:rsidRPr="009D170B">
        <w:instrText xml:space="preserve">, </w:instrText>
      </w:r>
      <w:r w:rsidR="009D170B">
        <w:rPr>
          <w:lang w:val="en-US"/>
        </w:rPr>
        <w:instrText>P</w:instrText>
      </w:r>
      <w:r w:rsidR="009D170B" w:rsidRPr="009D170B">
        <w:instrText xml:space="preserve">=.021; </w:instrText>
      </w:r>
      <w:r w:rsidR="009D170B">
        <w:rPr>
          <w:lang w:val="en-US"/>
        </w:rPr>
        <w:instrText>OS</w:instrText>
      </w:r>
      <w:r w:rsidR="009D170B" w:rsidRPr="009D170B">
        <w:instrText xml:space="preserve">, </w:instrText>
      </w:r>
      <w:r w:rsidR="009D170B">
        <w:rPr>
          <w:lang w:val="en-US"/>
        </w:rPr>
        <w:instrText>P</w:instrText>
      </w:r>
      <w:r w:rsidR="009D170B" w:rsidRPr="009D170B">
        <w:instrText xml:space="preserve">=.014) </w:instrText>
      </w:r>
      <w:r w:rsidR="009D170B">
        <w:rPr>
          <w:lang w:val="en-US"/>
        </w:rPr>
        <w:instrText>were</w:instrText>
      </w:r>
      <w:r w:rsidR="009D170B" w:rsidRPr="009D170B">
        <w:instrText xml:space="preserve"> </w:instrText>
      </w:r>
      <w:r w:rsidR="009D170B">
        <w:rPr>
          <w:lang w:val="en-US"/>
        </w:rPr>
        <w:instrText>favorable</w:instrText>
      </w:r>
      <w:r w:rsidR="009D170B" w:rsidRPr="009D170B">
        <w:instrText xml:space="preserve"> </w:instrText>
      </w:r>
      <w:r w:rsidR="009D170B">
        <w:rPr>
          <w:lang w:val="en-US"/>
        </w:rPr>
        <w:instrText>prognosticators</w:instrText>
      </w:r>
      <w:r w:rsidR="009D170B" w:rsidRPr="009D170B">
        <w:instrText xml:space="preserve"> </w:instrText>
      </w:r>
      <w:r w:rsidR="009D170B">
        <w:rPr>
          <w:lang w:val="en-US"/>
        </w:rPr>
        <w:instrText>of</w:instrText>
      </w:r>
      <w:r w:rsidR="009D170B" w:rsidRPr="009D170B">
        <w:instrText xml:space="preserve"> </w:instrText>
      </w:r>
      <w:r w:rsidR="009D170B">
        <w:rPr>
          <w:lang w:val="en-US"/>
        </w:rPr>
        <w:instrText>PFS</w:instrText>
      </w:r>
      <w:r w:rsidR="009D170B" w:rsidRPr="009D170B">
        <w:instrText xml:space="preserve"> </w:instrText>
      </w:r>
      <w:r w:rsidR="009D170B">
        <w:rPr>
          <w:lang w:val="en-US"/>
        </w:rPr>
        <w:instrText>and</w:instrText>
      </w:r>
      <w:r w:rsidR="009D170B" w:rsidRPr="009D170B">
        <w:instrText xml:space="preserve"> </w:instrText>
      </w:r>
      <w:r w:rsidR="009D170B">
        <w:rPr>
          <w:lang w:val="en-US"/>
        </w:rPr>
        <w:instrText>OS</w:instrText>
      </w:r>
      <w:r w:rsidR="009D170B" w:rsidRPr="009D170B">
        <w:instrText xml:space="preserve">. </w:instrText>
      </w:r>
      <w:r w:rsidR="009D170B">
        <w:rPr>
          <w:lang w:val="en-US"/>
        </w:rPr>
        <w:instrText>A</w:instrText>
      </w:r>
      <w:r w:rsidR="009D170B" w:rsidRPr="009D170B">
        <w:instrText xml:space="preserve"> </w:instrText>
      </w:r>
      <w:r w:rsidR="009D170B">
        <w:rPr>
          <w:lang w:val="en-US"/>
        </w:rPr>
        <w:instrText>bulky</w:instrText>
      </w:r>
      <w:r w:rsidR="009D170B" w:rsidRPr="009D170B">
        <w:instrText xml:space="preserve"> </w:instrText>
      </w:r>
      <w:r w:rsidR="009D170B">
        <w:rPr>
          <w:lang w:val="en-US"/>
        </w:rPr>
        <w:instrText>tumor</w:instrText>
      </w:r>
      <w:r w:rsidR="009D170B" w:rsidRPr="009D170B">
        <w:instrText xml:space="preserve"> (</w:instrText>
      </w:r>
      <w:r w:rsidR="009D170B">
        <w:rPr>
          <w:lang w:val="en-US"/>
        </w:rPr>
        <w:instrText>P</w:instrText>
      </w:r>
      <w:r w:rsidR="009D170B" w:rsidRPr="009D170B">
        <w:instrText xml:space="preserve">=.027) </w:instrText>
      </w:r>
      <w:r w:rsidR="009D170B">
        <w:rPr>
          <w:lang w:val="en-US"/>
        </w:rPr>
        <w:instrText>and</w:instrText>
      </w:r>
      <w:r w:rsidR="009D170B" w:rsidRPr="009D170B">
        <w:instrText xml:space="preserve"> </w:instrText>
      </w:r>
      <w:r w:rsidR="009D170B">
        <w:rPr>
          <w:lang w:val="en-US"/>
        </w:rPr>
        <w:instrText>response</w:instrText>
      </w:r>
      <w:r w:rsidR="009D170B" w:rsidRPr="009D170B">
        <w:instrText xml:space="preserve"> </w:instrText>
      </w:r>
      <w:r w:rsidR="009D170B">
        <w:rPr>
          <w:lang w:val="en-US"/>
        </w:rPr>
        <w:instrText>to</w:instrText>
      </w:r>
      <w:r w:rsidR="009D170B" w:rsidRPr="009D170B">
        <w:instrText xml:space="preserve"> </w:instrText>
      </w:r>
      <w:r w:rsidR="009D170B">
        <w:rPr>
          <w:lang w:val="en-US"/>
        </w:rPr>
        <w:instrText>R</w:instrText>
      </w:r>
      <w:r w:rsidR="009D170B" w:rsidRPr="009D170B">
        <w:instrText>-</w:instrText>
      </w:r>
      <w:r w:rsidR="009D170B">
        <w:rPr>
          <w:lang w:val="en-US"/>
        </w:rPr>
        <w:instrText>CHOP</w:instrText>
      </w:r>
      <w:r w:rsidR="009D170B" w:rsidRPr="009D170B">
        <w:instrText xml:space="preserve"> (</w:instrText>
      </w:r>
      <w:r w:rsidR="009D170B">
        <w:rPr>
          <w:lang w:val="en-US"/>
        </w:rPr>
        <w:instrText>P</w:instrText>
      </w:r>
      <w:r w:rsidR="009D170B" w:rsidRPr="009D170B">
        <w:instrText xml:space="preserve">=.012) </w:instrText>
      </w:r>
      <w:r w:rsidR="009D170B">
        <w:rPr>
          <w:lang w:val="en-US"/>
        </w:rPr>
        <w:instrText>were</w:instrText>
      </w:r>
      <w:r w:rsidR="009D170B" w:rsidRPr="009D170B">
        <w:instrText xml:space="preserve"> </w:instrText>
      </w:r>
      <w:r w:rsidR="009D170B">
        <w:rPr>
          <w:lang w:val="en-US"/>
        </w:rPr>
        <w:instrText>also</w:instrText>
      </w:r>
      <w:r w:rsidR="009D170B" w:rsidRPr="009D170B">
        <w:instrText xml:space="preserve"> </w:instrText>
      </w:r>
      <w:r w:rsidR="009D170B">
        <w:rPr>
          <w:lang w:val="en-US"/>
        </w:rPr>
        <w:instrText>found</w:instrText>
      </w:r>
      <w:r w:rsidR="009D170B" w:rsidRPr="009D170B">
        <w:instrText xml:space="preserve"> </w:instrText>
      </w:r>
      <w:r w:rsidR="009D170B">
        <w:rPr>
          <w:lang w:val="en-US"/>
        </w:rPr>
        <w:instrText>to</w:instrText>
      </w:r>
      <w:r w:rsidR="009D170B" w:rsidRPr="009D170B">
        <w:instrText xml:space="preserve"> </w:instrText>
      </w:r>
      <w:r w:rsidR="009D170B">
        <w:rPr>
          <w:lang w:val="en-US"/>
        </w:rPr>
        <w:instrText>be</w:instrText>
      </w:r>
      <w:r w:rsidR="009D170B" w:rsidRPr="009D170B">
        <w:instrText xml:space="preserve"> </w:instrText>
      </w:r>
      <w:r w:rsidR="009D170B">
        <w:rPr>
          <w:lang w:val="en-US"/>
        </w:rPr>
        <w:instrText>independent</w:instrText>
      </w:r>
      <w:r w:rsidR="009D170B" w:rsidRPr="009D170B">
        <w:instrText xml:space="preserve"> </w:instrText>
      </w:r>
      <w:r w:rsidR="009D170B">
        <w:rPr>
          <w:lang w:val="en-US"/>
        </w:rPr>
        <w:instrText>factors</w:instrText>
      </w:r>
      <w:r w:rsidR="009D170B" w:rsidRPr="009D170B">
        <w:instrText xml:space="preserve"> </w:instrText>
      </w:r>
      <w:r w:rsidR="009D170B">
        <w:rPr>
          <w:lang w:val="en-US"/>
        </w:rPr>
        <w:instrText>of</w:instrText>
      </w:r>
      <w:r w:rsidR="009D170B" w:rsidRPr="009D170B">
        <w:instrText xml:space="preserve"> </w:instrText>
      </w:r>
      <w:r w:rsidR="009D170B">
        <w:rPr>
          <w:lang w:val="en-US"/>
        </w:rPr>
        <w:instrText>OS</w:instrText>
      </w:r>
      <w:r w:rsidR="009D170B" w:rsidRPr="009D170B">
        <w:instrText xml:space="preserve">. </w:instrText>
      </w:r>
      <w:r w:rsidR="009D170B">
        <w:rPr>
          <w:lang w:val="en-US"/>
        </w:rPr>
        <w:instrText>In</w:instrText>
      </w:r>
      <w:r w:rsidR="009D170B" w:rsidRPr="009D170B">
        <w:instrText xml:space="preserve"> </w:instrText>
      </w:r>
      <w:r w:rsidR="009D170B">
        <w:rPr>
          <w:lang w:val="en-US"/>
        </w:rPr>
        <w:instrText>subgroup</w:instrText>
      </w:r>
      <w:r w:rsidR="009D170B" w:rsidRPr="009D170B">
        <w:instrText xml:space="preserve"> </w:instrText>
      </w:r>
      <w:r w:rsidR="009D170B">
        <w:rPr>
          <w:lang w:val="en-US"/>
        </w:rPr>
        <w:instrText>analysis</w:instrText>
      </w:r>
      <w:r w:rsidR="009D170B" w:rsidRPr="009D170B">
        <w:instrText xml:space="preserve">, </w:instrText>
      </w:r>
      <w:r w:rsidR="009D170B">
        <w:rPr>
          <w:lang w:val="en-US"/>
        </w:rPr>
        <w:instrText>the</w:instrText>
      </w:r>
      <w:r w:rsidR="009D170B" w:rsidRPr="009D170B">
        <w:instrText xml:space="preserve"> </w:instrText>
      </w:r>
      <w:r w:rsidR="009D170B">
        <w:rPr>
          <w:lang w:val="en-US"/>
        </w:rPr>
        <w:instrText>effect</w:instrText>
      </w:r>
      <w:r w:rsidR="009D170B" w:rsidRPr="009D170B">
        <w:instrText xml:space="preserve"> </w:instrText>
      </w:r>
      <w:r w:rsidR="009D170B">
        <w:rPr>
          <w:lang w:val="en-US"/>
        </w:rPr>
        <w:instrText>of</w:instrText>
      </w:r>
      <w:r w:rsidR="009D170B" w:rsidRPr="009D170B">
        <w:instrText xml:space="preserve"> </w:instrText>
      </w:r>
      <w:r w:rsidR="009D170B">
        <w:rPr>
          <w:lang w:val="en-US"/>
        </w:rPr>
        <w:instrText>ILRT</w:instrText>
      </w:r>
      <w:r w:rsidR="009D170B" w:rsidRPr="009D170B">
        <w:instrText xml:space="preserve"> </w:instrText>
      </w:r>
      <w:r w:rsidR="009D170B">
        <w:rPr>
          <w:lang w:val="en-US"/>
        </w:rPr>
        <w:instrText>was</w:instrText>
      </w:r>
      <w:r w:rsidR="009D170B" w:rsidRPr="009D170B">
        <w:instrText xml:space="preserve"> </w:instrText>
      </w:r>
      <w:r w:rsidR="009D170B">
        <w:rPr>
          <w:lang w:val="en-US"/>
        </w:rPr>
        <w:instrText>prominent</w:instrText>
      </w:r>
      <w:r w:rsidR="009D170B" w:rsidRPr="009D170B">
        <w:instrText xml:space="preserve"> </w:instrText>
      </w:r>
      <w:r w:rsidR="009D170B">
        <w:rPr>
          <w:lang w:val="en-US"/>
        </w:rPr>
        <w:instrText>in</w:instrText>
      </w:r>
      <w:r w:rsidR="009D170B" w:rsidRPr="009D170B">
        <w:instrText xml:space="preserve"> </w:instrText>
      </w:r>
      <w:r w:rsidR="009D170B">
        <w:rPr>
          <w:lang w:val="en-US"/>
        </w:rPr>
        <w:instrText>patients</w:instrText>
      </w:r>
      <w:r w:rsidR="009D170B" w:rsidRPr="009D170B">
        <w:instrText xml:space="preserve"> </w:instrText>
      </w:r>
      <w:r w:rsidR="009D170B">
        <w:rPr>
          <w:lang w:val="en-US"/>
        </w:rPr>
        <w:instrText>with</w:instrText>
      </w:r>
      <w:r w:rsidR="009D170B" w:rsidRPr="009D170B">
        <w:instrText xml:space="preserve"> </w:instrText>
      </w:r>
      <w:r w:rsidR="009D170B">
        <w:rPr>
          <w:lang w:val="en-US"/>
        </w:rPr>
        <w:instrText>a</w:instrText>
      </w:r>
      <w:r w:rsidR="009D170B" w:rsidRPr="009D170B">
        <w:instrText xml:space="preserve"> </w:instrText>
      </w:r>
      <w:r w:rsidR="009D170B">
        <w:rPr>
          <w:lang w:val="en-US"/>
        </w:rPr>
        <w:instrText>bulky</w:instrText>
      </w:r>
      <w:r w:rsidR="009D170B" w:rsidRPr="009D170B">
        <w:instrText xml:space="preserve"> </w:instrText>
      </w:r>
      <w:r w:rsidR="009D170B">
        <w:rPr>
          <w:lang w:val="en-US"/>
        </w:rPr>
        <w:instrText>tumor</w:instrText>
      </w:r>
      <w:r w:rsidR="009D170B" w:rsidRPr="009D170B">
        <w:instrText xml:space="preserve"> (</w:instrText>
      </w:r>
      <w:r w:rsidR="009D170B">
        <w:rPr>
          <w:lang w:val="en-US"/>
        </w:rPr>
        <w:instrText>PFS</w:instrText>
      </w:r>
      <w:r w:rsidR="009D170B" w:rsidRPr="009D170B">
        <w:instrText xml:space="preserve">, </w:instrText>
      </w:r>
      <w:r w:rsidR="009D170B">
        <w:rPr>
          <w:lang w:val="en-US"/>
        </w:rPr>
        <w:instrText>P</w:instrText>
      </w:r>
      <w:r w:rsidR="009D170B" w:rsidRPr="009D170B">
        <w:instrText xml:space="preserve">=.014; </w:instrText>
      </w:r>
      <w:r w:rsidR="009D170B">
        <w:rPr>
          <w:lang w:val="en-US"/>
        </w:rPr>
        <w:instrText>OS</w:instrText>
      </w:r>
      <w:r w:rsidR="009D170B" w:rsidRPr="009D170B">
        <w:instrText xml:space="preserve">, </w:instrText>
      </w:r>
      <w:r w:rsidR="009D170B">
        <w:rPr>
          <w:lang w:val="en-US"/>
        </w:rPr>
        <w:instrText>P</w:instrText>
      </w:r>
      <w:r w:rsidR="009D170B" w:rsidRPr="009D170B">
        <w:instrText xml:space="preserve">=.030) </w:instrText>
      </w:r>
      <w:r w:rsidR="009D170B">
        <w:rPr>
          <w:lang w:val="en-US"/>
        </w:rPr>
        <w:instrText>or</w:instrText>
      </w:r>
      <w:r w:rsidR="009D170B" w:rsidRPr="009D170B">
        <w:instrText xml:space="preserve"> </w:instrText>
      </w:r>
      <w:r w:rsidR="009D170B">
        <w:rPr>
          <w:lang w:val="en-US"/>
        </w:rPr>
        <w:instrText>an</w:instrText>
      </w:r>
      <w:r w:rsidR="009D170B" w:rsidRPr="009D170B">
        <w:instrText xml:space="preserve"> </w:instrText>
      </w:r>
      <w:r w:rsidR="009D170B">
        <w:rPr>
          <w:lang w:val="en-US"/>
        </w:rPr>
        <w:instrText>elevated</w:instrText>
      </w:r>
      <w:r w:rsidR="009D170B" w:rsidRPr="009D170B">
        <w:instrText xml:space="preserve"> </w:instrText>
      </w:r>
      <w:r w:rsidR="009D170B">
        <w:rPr>
          <w:lang w:val="en-US"/>
        </w:rPr>
        <w:instrText>level</w:instrText>
      </w:r>
      <w:r w:rsidR="009D170B" w:rsidRPr="009D170B">
        <w:instrText xml:space="preserve"> </w:instrText>
      </w:r>
      <w:r w:rsidR="009D170B">
        <w:rPr>
          <w:lang w:val="en-US"/>
        </w:rPr>
        <w:instrText>of</w:instrText>
      </w:r>
      <w:r w:rsidR="009D170B" w:rsidRPr="009D170B">
        <w:instrText xml:space="preserve"> </w:instrText>
      </w:r>
      <w:r w:rsidR="009D170B">
        <w:rPr>
          <w:lang w:val="en-US"/>
        </w:rPr>
        <w:instrText>serum</w:instrText>
      </w:r>
      <w:r w:rsidR="009D170B" w:rsidRPr="009D170B">
        <w:instrText xml:space="preserve"> </w:instrText>
      </w:r>
      <w:r w:rsidR="009D170B">
        <w:rPr>
          <w:lang w:val="en-US"/>
        </w:rPr>
        <w:instrText>lactate</w:instrText>
      </w:r>
      <w:r w:rsidR="009D170B" w:rsidRPr="009D170B">
        <w:instrText xml:space="preserve"> </w:instrText>
      </w:r>
      <w:r w:rsidR="009D170B">
        <w:rPr>
          <w:lang w:val="en-US"/>
        </w:rPr>
        <w:instrText>dehydrogenase</w:instrText>
      </w:r>
      <w:r w:rsidR="009D170B" w:rsidRPr="009D170B">
        <w:instrText xml:space="preserve"> (</w:instrText>
      </w:r>
      <w:r w:rsidR="009D170B">
        <w:rPr>
          <w:lang w:val="en-US"/>
        </w:rPr>
        <w:instrText>LDH</w:instrText>
      </w:r>
      <w:r w:rsidR="009D170B" w:rsidRPr="009D170B">
        <w:instrText xml:space="preserve">; </w:instrText>
      </w:r>
      <w:r w:rsidR="009D170B">
        <w:rPr>
          <w:lang w:val="en-US"/>
        </w:rPr>
        <w:instrText>PFS</w:instrText>
      </w:r>
      <w:r w:rsidR="009D170B" w:rsidRPr="009D170B">
        <w:instrText xml:space="preserve">, </w:instrText>
      </w:r>
      <w:r w:rsidR="009D170B">
        <w:rPr>
          <w:lang w:val="en-US"/>
        </w:rPr>
        <w:instrText>P</w:instrText>
      </w:r>
      <w:r w:rsidR="009D170B" w:rsidRPr="009D170B">
        <w:instrText xml:space="preserve">=.004; </w:instrText>
      </w:r>
      <w:r w:rsidR="009D170B">
        <w:rPr>
          <w:lang w:val="en-US"/>
        </w:rPr>
        <w:instrText>OS</w:instrText>
      </w:r>
      <w:r w:rsidR="009D170B" w:rsidRPr="009D170B">
        <w:instrText xml:space="preserve">, </w:instrText>
      </w:r>
      <w:r w:rsidR="009D170B">
        <w:rPr>
          <w:lang w:val="en-US"/>
        </w:rPr>
        <w:instrText>P</w:instrText>
      </w:r>
      <w:r w:rsidR="009D170B" w:rsidRPr="009D170B">
        <w:instrText xml:space="preserve">=.012). </w:instrText>
      </w:r>
      <w:r w:rsidR="009D170B">
        <w:rPr>
          <w:lang w:val="en-US"/>
        </w:rPr>
        <w:instrText>Conclusions</w:instrText>
      </w:r>
      <w:r w:rsidR="009D170B" w:rsidRPr="009D170B">
        <w:instrText xml:space="preserve"> </w:instrText>
      </w:r>
      <w:r w:rsidR="009D170B">
        <w:rPr>
          <w:lang w:val="en-US"/>
        </w:rPr>
        <w:instrText>Our</w:instrText>
      </w:r>
      <w:r w:rsidR="009D170B" w:rsidRPr="009D170B">
        <w:instrText xml:space="preserve"> </w:instrText>
      </w:r>
      <w:r w:rsidR="009D170B">
        <w:rPr>
          <w:lang w:val="en-US"/>
        </w:rPr>
        <w:instrText>results</w:instrText>
      </w:r>
      <w:r w:rsidR="009D170B" w:rsidRPr="009D170B">
        <w:instrText xml:space="preserve"> </w:instrText>
      </w:r>
      <w:r w:rsidR="009D170B">
        <w:rPr>
          <w:lang w:val="en-US"/>
        </w:rPr>
        <w:instrText>suggest</w:instrText>
      </w:r>
      <w:r w:rsidR="009D170B" w:rsidRPr="009D170B">
        <w:instrText xml:space="preserve"> </w:instrText>
      </w:r>
      <w:r w:rsidR="009D170B">
        <w:rPr>
          <w:lang w:val="en-US"/>
        </w:rPr>
        <w:instrText>that</w:instrText>
      </w:r>
      <w:r w:rsidR="009D170B" w:rsidRPr="009D170B">
        <w:instrText xml:space="preserve"> </w:instrText>
      </w:r>
      <w:r w:rsidR="009D170B">
        <w:rPr>
          <w:lang w:val="en-US"/>
        </w:rPr>
        <w:instrText>ILRT</w:instrText>
      </w:r>
      <w:r w:rsidR="009D170B" w:rsidRPr="009D170B">
        <w:instrText xml:space="preserve"> </w:instrText>
      </w:r>
      <w:r w:rsidR="009D170B">
        <w:rPr>
          <w:lang w:val="en-US"/>
        </w:rPr>
        <w:instrText>after</w:instrText>
      </w:r>
      <w:r w:rsidR="009D170B" w:rsidRPr="009D170B">
        <w:instrText xml:space="preserve"> </w:instrText>
      </w:r>
      <w:r w:rsidR="009D170B">
        <w:rPr>
          <w:lang w:val="en-US"/>
        </w:rPr>
        <w:instrText>R</w:instrText>
      </w:r>
      <w:r w:rsidR="009D170B" w:rsidRPr="009D170B">
        <w:instrText>-</w:instrText>
      </w:r>
      <w:r w:rsidR="009D170B">
        <w:rPr>
          <w:lang w:val="en-US"/>
        </w:rPr>
        <w:instrText>CHOP</w:instrText>
      </w:r>
      <w:r w:rsidR="009D170B" w:rsidRPr="009D170B">
        <w:instrText xml:space="preserve"> </w:instrText>
      </w:r>
      <w:r w:rsidR="009D170B">
        <w:rPr>
          <w:lang w:val="en-US"/>
        </w:rPr>
        <w:instrText>therapy</w:instrText>
      </w:r>
      <w:r w:rsidR="009D170B" w:rsidRPr="009D170B">
        <w:instrText xml:space="preserve"> </w:instrText>
      </w:r>
      <w:r w:rsidR="009D170B">
        <w:rPr>
          <w:lang w:val="en-US"/>
        </w:rPr>
        <w:instrText>improves</w:instrText>
      </w:r>
      <w:r w:rsidR="009D170B" w:rsidRPr="009D170B">
        <w:instrText xml:space="preserve"> </w:instrText>
      </w:r>
      <w:r w:rsidR="009D170B">
        <w:rPr>
          <w:lang w:val="en-US"/>
        </w:rPr>
        <w:instrText>PFS</w:instrText>
      </w:r>
      <w:r w:rsidR="009D170B" w:rsidRPr="009D170B">
        <w:instrText xml:space="preserve"> </w:instrText>
      </w:r>
      <w:r w:rsidR="009D170B">
        <w:rPr>
          <w:lang w:val="en-US"/>
        </w:rPr>
        <w:instrText>and</w:instrText>
      </w:r>
      <w:r w:rsidR="009D170B" w:rsidRPr="009D170B">
        <w:instrText xml:space="preserve"> </w:instrText>
      </w:r>
      <w:r w:rsidR="009D170B">
        <w:rPr>
          <w:lang w:val="en-US"/>
        </w:rPr>
        <w:instrText>OS</w:instrText>
      </w:r>
      <w:r w:rsidR="009D170B" w:rsidRPr="009D170B">
        <w:instrText xml:space="preserve"> </w:instrText>
      </w:r>
      <w:r w:rsidR="009D170B">
        <w:rPr>
          <w:lang w:val="en-US"/>
        </w:rPr>
        <w:instrText>in</w:instrText>
      </w:r>
      <w:r w:rsidR="009D170B" w:rsidRPr="009D170B">
        <w:instrText xml:space="preserve"> </w:instrText>
      </w:r>
      <w:r w:rsidR="009D170B">
        <w:rPr>
          <w:lang w:val="en-US"/>
        </w:rPr>
        <w:instrText>patients</w:instrText>
      </w:r>
      <w:r w:rsidR="009D170B" w:rsidRPr="009D170B">
        <w:instrText xml:space="preserve"> </w:instrText>
      </w:r>
      <w:r w:rsidR="009D170B">
        <w:rPr>
          <w:lang w:val="en-US"/>
        </w:rPr>
        <w:instrText>with</w:instrText>
      </w:r>
      <w:r w:rsidR="009D170B" w:rsidRPr="009D170B">
        <w:instrText xml:space="preserve"> </w:instrText>
      </w:r>
      <w:r w:rsidR="009D170B">
        <w:rPr>
          <w:lang w:val="en-US"/>
        </w:rPr>
        <w:instrText>limited</w:instrText>
      </w:r>
      <w:r w:rsidR="009D170B" w:rsidRPr="009D170B">
        <w:instrText xml:space="preserve"> </w:instrText>
      </w:r>
      <w:r w:rsidR="009D170B">
        <w:rPr>
          <w:lang w:val="en-US"/>
        </w:rPr>
        <w:instrText>stage</w:instrText>
      </w:r>
      <w:r w:rsidR="009D170B" w:rsidRPr="009D170B">
        <w:instrText xml:space="preserve"> </w:instrText>
      </w:r>
      <w:r w:rsidR="009D170B">
        <w:rPr>
          <w:lang w:val="en-US"/>
        </w:rPr>
        <w:instrText>DLBCL</w:instrText>
      </w:r>
      <w:r w:rsidR="009D170B" w:rsidRPr="009D170B">
        <w:instrText xml:space="preserve">, </w:instrText>
      </w:r>
      <w:r w:rsidR="009D170B">
        <w:rPr>
          <w:lang w:val="en-US"/>
        </w:rPr>
        <w:instrText>especially</w:instrText>
      </w:r>
      <w:r w:rsidR="009D170B" w:rsidRPr="009D170B">
        <w:instrText xml:space="preserve"> </w:instrText>
      </w:r>
      <w:r w:rsidR="009D170B">
        <w:rPr>
          <w:lang w:val="en-US"/>
        </w:rPr>
        <w:instrText>in</w:instrText>
      </w:r>
      <w:r w:rsidR="009D170B" w:rsidRPr="009D170B">
        <w:instrText xml:space="preserve"> </w:instrText>
      </w:r>
      <w:r w:rsidR="009D170B">
        <w:rPr>
          <w:lang w:val="en-US"/>
        </w:rPr>
        <w:instrText>those</w:instrText>
      </w:r>
      <w:r w:rsidR="009D170B" w:rsidRPr="009D170B">
        <w:instrText xml:space="preserve"> </w:instrText>
      </w:r>
      <w:r w:rsidR="009D170B">
        <w:rPr>
          <w:lang w:val="en-US"/>
        </w:rPr>
        <w:instrText>with</w:instrText>
      </w:r>
      <w:r w:rsidR="009D170B" w:rsidRPr="009D170B">
        <w:instrText xml:space="preserve"> </w:instrText>
      </w:r>
      <w:r w:rsidR="009D170B">
        <w:rPr>
          <w:lang w:val="en-US"/>
        </w:rPr>
        <w:instrText>bulky</w:instrText>
      </w:r>
      <w:r w:rsidR="009D170B" w:rsidRPr="009D170B">
        <w:instrText xml:space="preserve"> </w:instrText>
      </w:r>
      <w:r w:rsidR="009D170B">
        <w:rPr>
          <w:lang w:val="en-US"/>
        </w:rPr>
        <w:instrText>disease</w:instrText>
      </w:r>
      <w:r w:rsidR="009D170B" w:rsidRPr="009D170B">
        <w:instrText xml:space="preserve"> </w:instrText>
      </w:r>
      <w:r w:rsidR="009D170B">
        <w:rPr>
          <w:lang w:val="en-US"/>
        </w:rPr>
        <w:instrText>or</w:instrText>
      </w:r>
      <w:r w:rsidR="009D170B" w:rsidRPr="009D170B">
        <w:instrText xml:space="preserve"> </w:instrText>
      </w:r>
      <w:r w:rsidR="009D170B">
        <w:rPr>
          <w:lang w:val="en-US"/>
        </w:rPr>
        <w:instrText>an</w:instrText>
      </w:r>
      <w:r w:rsidR="009D170B" w:rsidRPr="009D170B">
        <w:instrText xml:space="preserve"> </w:instrText>
      </w:r>
      <w:r w:rsidR="009D170B">
        <w:rPr>
          <w:lang w:val="en-US"/>
        </w:rPr>
        <w:instrText>elevated</w:instrText>
      </w:r>
      <w:r w:rsidR="009D170B" w:rsidRPr="009D170B">
        <w:instrText xml:space="preserve"> </w:instrText>
      </w:r>
      <w:r w:rsidR="009D170B">
        <w:rPr>
          <w:lang w:val="en-US"/>
        </w:rPr>
        <w:instrText>serum</w:instrText>
      </w:r>
      <w:r w:rsidR="009D170B" w:rsidRPr="009D170B">
        <w:instrText xml:space="preserve"> </w:instrText>
      </w:r>
      <w:r w:rsidR="009D170B">
        <w:rPr>
          <w:lang w:val="en-US"/>
        </w:rPr>
        <w:instrText>LDH</w:instrText>
      </w:r>
      <w:r w:rsidR="009D170B" w:rsidRPr="009D170B">
        <w:instrText xml:space="preserve"> </w:instrText>
      </w:r>
      <w:r w:rsidR="009D170B">
        <w:rPr>
          <w:lang w:val="en-US"/>
        </w:rPr>
        <w:instrText>level</w:instrText>
      </w:r>
      <w:r w:rsidR="009D170B" w:rsidRPr="009D170B">
        <w:instrText>.","</w:instrText>
      </w:r>
      <w:r w:rsidR="009D170B">
        <w:rPr>
          <w:lang w:val="en-US"/>
        </w:rPr>
        <w:instrText>author</w:instrText>
      </w:r>
      <w:r w:rsidR="009D170B" w:rsidRPr="009D170B">
        <w:instrText>":[{"</w:instrText>
      </w:r>
      <w:r w:rsidR="009D170B">
        <w:rPr>
          <w:lang w:val="en-US"/>
        </w:rPr>
        <w:instrText>dropping</w:instrText>
      </w:r>
      <w:r w:rsidR="009D170B" w:rsidRPr="009D170B">
        <w:instrText>-</w:instrText>
      </w:r>
      <w:r w:rsidR="009D170B">
        <w:rPr>
          <w:lang w:val="en-US"/>
        </w:rPr>
        <w:instrText>particle</w:instrText>
      </w:r>
      <w:r w:rsidR="009D170B" w:rsidRPr="009D170B">
        <w:instrText>":"","</w:instrText>
      </w:r>
      <w:r w:rsidR="009D170B">
        <w:rPr>
          <w:lang w:val="en-US"/>
        </w:rPr>
        <w:instrText>family</w:instrText>
      </w:r>
      <w:r w:rsidR="009D170B" w:rsidRPr="009D170B">
        <w:instrText>":"</w:instrText>
      </w:r>
      <w:r w:rsidR="009D170B">
        <w:rPr>
          <w:lang w:val="en-US"/>
        </w:rPr>
        <w:instrText>Kwon</w:instrText>
      </w:r>
      <w:r w:rsidR="009D170B" w:rsidRPr="009D170B">
        <w:instrText>","</w:instrText>
      </w:r>
      <w:r w:rsidR="009D170B">
        <w:rPr>
          <w:lang w:val="en-US"/>
        </w:rPr>
        <w:instrText>given</w:instrText>
      </w:r>
      <w:r w:rsidR="009D170B" w:rsidRPr="009D170B">
        <w:instrText>":"</w:instrText>
      </w:r>
      <w:r w:rsidR="009D170B">
        <w:rPr>
          <w:lang w:val="en-US"/>
        </w:rPr>
        <w:instrText>Jeanny</w:instrText>
      </w:r>
      <w:r w:rsidR="009D170B" w:rsidRPr="009D170B">
        <w:instrText>","</w:instrText>
      </w:r>
      <w:r w:rsidR="009D170B">
        <w:rPr>
          <w:lang w:val="en-US"/>
        </w:rPr>
        <w:instrText>non</w:instrText>
      </w:r>
      <w:r w:rsidR="009D170B" w:rsidRPr="009D170B">
        <w:instrText>-</w:instrText>
      </w:r>
      <w:r w:rsidR="009D170B">
        <w:rPr>
          <w:lang w:val="en-US"/>
        </w:rPr>
        <w:instrText>dropping</w:instrText>
      </w:r>
      <w:r w:rsidR="009D170B" w:rsidRPr="009D170B">
        <w:instrText>-</w:instrText>
      </w:r>
      <w:r w:rsidR="009D170B">
        <w:rPr>
          <w:lang w:val="en-US"/>
        </w:rPr>
        <w:instrText>particle</w:instrText>
      </w:r>
      <w:r w:rsidR="009D170B" w:rsidRPr="009D170B">
        <w:instrText>":"","</w:instrText>
      </w:r>
      <w:r w:rsidR="009D170B">
        <w:rPr>
          <w:lang w:val="en-US"/>
        </w:rPr>
        <w:instrText>parse</w:instrText>
      </w:r>
      <w:r w:rsidR="009D170B" w:rsidRPr="009D170B">
        <w:instrText>-</w:instrText>
      </w:r>
      <w:r w:rsidR="009D170B">
        <w:rPr>
          <w:lang w:val="en-US"/>
        </w:rPr>
        <w:instrText>names</w:instrText>
      </w:r>
      <w:r w:rsidR="009D170B" w:rsidRPr="009D170B">
        <w:instrText>":</w:instrText>
      </w:r>
      <w:r w:rsidR="009D170B">
        <w:rPr>
          <w:lang w:val="en-US"/>
        </w:rPr>
        <w:instrText>false</w:instrText>
      </w:r>
      <w:r w:rsidR="009D170B" w:rsidRPr="009D170B">
        <w:instrText>,"</w:instrText>
      </w:r>
      <w:r w:rsidR="009D170B">
        <w:rPr>
          <w:lang w:val="en-US"/>
        </w:rPr>
        <w:instrText>suffix</w:instrText>
      </w:r>
      <w:r w:rsidR="009D170B" w:rsidRPr="009D170B">
        <w:instrText>":""},{"</w:instrText>
      </w:r>
      <w:r w:rsidR="009D170B">
        <w:rPr>
          <w:lang w:val="en-US"/>
        </w:rPr>
        <w:instrText>dropping</w:instrText>
      </w:r>
      <w:r w:rsidR="009D170B" w:rsidRPr="009D170B">
        <w:instrText>-</w:instrText>
      </w:r>
      <w:r w:rsidR="009D170B">
        <w:rPr>
          <w:lang w:val="en-US"/>
        </w:rPr>
        <w:instrText>particle</w:instrText>
      </w:r>
      <w:r w:rsidR="009D170B" w:rsidRPr="009D170B">
        <w:instrText>":"","</w:instrText>
      </w:r>
      <w:r w:rsidR="009D170B">
        <w:rPr>
          <w:lang w:val="en-US"/>
        </w:rPr>
        <w:instrText>family</w:instrText>
      </w:r>
      <w:r w:rsidR="009D170B" w:rsidRPr="009D170B">
        <w:instrText>":"</w:instrText>
      </w:r>
      <w:r w:rsidR="009D170B">
        <w:rPr>
          <w:lang w:val="en-US"/>
        </w:rPr>
        <w:instrText>Kim</w:instrText>
      </w:r>
      <w:r w:rsidR="009D170B" w:rsidRPr="009D170B">
        <w:instrText>","</w:instrText>
      </w:r>
      <w:r w:rsidR="009D170B">
        <w:rPr>
          <w:lang w:val="en-US"/>
        </w:rPr>
        <w:instrText>given</w:instrText>
      </w:r>
      <w:r w:rsidR="009D170B" w:rsidRPr="009D170B">
        <w:instrText>":"</w:instrText>
      </w:r>
      <w:r w:rsidR="009D170B">
        <w:rPr>
          <w:lang w:val="en-US"/>
        </w:rPr>
        <w:instrText>Il</w:instrText>
      </w:r>
      <w:r w:rsidR="009D170B" w:rsidRPr="009D170B">
        <w:instrText xml:space="preserve"> </w:instrText>
      </w:r>
      <w:r w:rsidR="009D170B">
        <w:rPr>
          <w:lang w:val="en-US"/>
        </w:rPr>
        <w:instrText>Han</w:instrText>
      </w:r>
      <w:r w:rsidR="009D170B" w:rsidRPr="009D170B">
        <w:instrText>","</w:instrText>
      </w:r>
      <w:r w:rsidR="009D170B">
        <w:rPr>
          <w:lang w:val="en-US"/>
        </w:rPr>
        <w:instrText>non</w:instrText>
      </w:r>
      <w:r w:rsidR="009D170B" w:rsidRPr="009D170B">
        <w:instrText>-</w:instrText>
      </w:r>
      <w:r w:rsidR="009D170B">
        <w:rPr>
          <w:lang w:val="en-US"/>
        </w:rPr>
        <w:instrText>dropping</w:instrText>
      </w:r>
      <w:r w:rsidR="009D170B" w:rsidRPr="009D170B">
        <w:instrText>-</w:instrText>
      </w:r>
      <w:r w:rsidR="009D170B">
        <w:rPr>
          <w:lang w:val="en-US"/>
        </w:rPr>
        <w:instrText>particle</w:instrText>
      </w:r>
      <w:r w:rsidR="009D170B" w:rsidRPr="009D170B">
        <w:instrText>":"","</w:instrText>
      </w:r>
      <w:r w:rsidR="009D170B">
        <w:rPr>
          <w:lang w:val="en-US"/>
        </w:rPr>
        <w:instrText>parse</w:instrText>
      </w:r>
      <w:r w:rsidR="009D170B" w:rsidRPr="009D170B">
        <w:instrText>-</w:instrText>
      </w:r>
      <w:r w:rsidR="009D170B">
        <w:rPr>
          <w:lang w:val="en-US"/>
        </w:rPr>
        <w:instrText>names</w:instrText>
      </w:r>
      <w:r w:rsidR="009D170B" w:rsidRPr="009D170B">
        <w:instrText>":</w:instrText>
      </w:r>
      <w:r w:rsidR="009D170B">
        <w:rPr>
          <w:lang w:val="en-US"/>
        </w:rPr>
        <w:instrText>false</w:instrText>
      </w:r>
      <w:r w:rsidR="009D170B" w:rsidRPr="009D170B">
        <w:instrText>,"</w:instrText>
      </w:r>
      <w:r w:rsidR="009D170B">
        <w:rPr>
          <w:lang w:val="en-US"/>
        </w:rPr>
        <w:instrText>suffix</w:instrText>
      </w:r>
      <w:r w:rsidR="009D170B" w:rsidRPr="009D170B">
        <w:instrText>":""},{"</w:instrText>
      </w:r>
      <w:r w:rsidR="009D170B">
        <w:rPr>
          <w:lang w:val="en-US"/>
        </w:rPr>
        <w:instrText>dropping</w:instrText>
      </w:r>
      <w:r w:rsidR="009D170B" w:rsidRPr="009D170B">
        <w:instrText>-</w:instrText>
      </w:r>
      <w:r w:rsidR="009D170B">
        <w:rPr>
          <w:lang w:val="en-US"/>
        </w:rPr>
        <w:instrText>particle</w:instrText>
      </w:r>
      <w:r w:rsidR="009D170B" w:rsidRPr="009D170B">
        <w:instrText>":"","</w:instrText>
      </w:r>
      <w:r w:rsidR="009D170B">
        <w:rPr>
          <w:lang w:val="en-US"/>
        </w:rPr>
        <w:instrText>family</w:instrText>
      </w:r>
      <w:r w:rsidR="009D170B" w:rsidRPr="009D170B">
        <w:instrText>":"</w:instrText>
      </w:r>
      <w:r w:rsidR="009D170B">
        <w:rPr>
          <w:lang w:val="en-US"/>
        </w:rPr>
        <w:instrText>Kim</w:instrText>
      </w:r>
      <w:r w:rsidR="009D170B" w:rsidRPr="009D170B">
        <w:instrText>","</w:instrText>
      </w:r>
      <w:r w:rsidR="009D170B">
        <w:rPr>
          <w:lang w:val="en-US"/>
        </w:rPr>
        <w:instrText>given</w:instrText>
      </w:r>
      <w:r w:rsidR="009D170B" w:rsidRPr="009D170B">
        <w:instrText>":"</w:instrText>
      </w:r>
      <w:r w:rsidR="009D170B">
        <w:rPr>
          <w:lang w:val="en-US"/>
        </w:rPr>
        <w:instrText>Byoung</w:instrText>
      </w:r>
      <w:r w:rsidR="009D170B" w:rsidRPr="009D170B">
        <w:instrText xml:space="preserve"> </w:instrText>
      </w:r>
      <w:r w:rsidR="009D170B">
        <w:rPr>
          <w:lang w:val="en-US"/>
        </w:rPr>
        <w:instrText>Hyuck</w:instrText>
      </w:r>
      <w:r w:rsidR="009D170B" w:rsidRPr="009D170B">
        <w:instrText>","</w:instrText>
      </w:r>
      <w:r w:rsidR="009D170B">
        <w:rPr>
          <w:lang w:val="en-US"/>
        </w:rPr>
        <w:instrText>non</w:instrText>
      </w:r>
      <w:r w:rsidR="009D170B" w:rsidRPr="009D170B">
        <w:instrText>-</w:instrText>
      </w:r>
      <w:r w:rsidR="009D170B">
        <w:rPr>
          <w:lang w:val="en-US"/>
        </w:rPr>
        <w:instrText>dropping</w:instrText>
      </w:r>
      <w:r w:rsidR="009D170B" w:rsidRPr="009D170B">
        <w:instrText>-</w:instrText>
      </w:r>
      <w:r w:rsidR="009D170B">
        <w:rPr>
          <w:lang w:val="en-US"/>
        </w:rPr>
        <w:instrText>particle</w:instrText>
      </w:r>
      <w:r w:rsidR="009D170B" w:rsidRPr="009D170B">
        <w:instrText>":"","</w:instrText>
      </w:r>
      <w:r w:rsidR="009D170B">
        <w:rPr>
          <w:lang w:val="en-US"/>
        </w:rPr>
        <w:instrText>parse</w:instrText>
      </w:r>
      <w:r w:rsidR="009D170B" w:rsidRPr="009D170B">
        <w:instrText>-</w:instrText>
      </w:r>
      <w:r w:rsidR="009D170B">
        <w:rPr>
          <w:lang w:val="en-US"/>
        </w:rPr>
        <w:instrText>names</w:instrText>
      </w:r>
      <w:r w:rsidR="009D170B" w:rsidRPr="009D170B">
        <w:instrText>":</w:instrText>
      </w:r>
      <w:r w:rsidR="009D170B">
        <w:rPr>
          <w:lang w:val="en-US"/>
        </w:rPr>
        <w:instrText>false</w:instrText>
      </w:r>
      <w:r w:rsidR="009D170B" w:rsidRPr="009D170B">
        <w:instrText>,"</w:instrText>
      </w:r>
      <w:r w:rsidR="009D170B">
        <w:rPr>
          <w:lang w:val="en-US"/>
        </w:rPr>
        <w:instrText>suffix</w:instrText>
      </w:r>
      <w:r w:rsidR="009D170B" w:rsidRPr="009D170B">
        <w:instrText>":""},{"</w:instrText>
      </w:r>
      <w:r w:rsidR="009D170B">
        <w:rPr>
          <w:lang w:val="en-US"/>
        </w:rPr>
        <w:instrText>dropping</w:instrText>
      </w:r>
      <w:r w:rsidR="009D170B" w:rsidRPr="009D170B">
        <w:instrText>-</w:instrText>
      </w:r>
      <w:r w:rsidR="009D170B">
        <w:rPr>
          <w:lang w:val="en-US"/>
        </w:rPr>
        <w:instrText>particle</w:instrText>
      </w:r>
      <w:r w:rsidR="009D170B" w:rsidRPr="009D170B">
        <w:instrText>":"","</w:instrText>
      </w:r>
      <w:r w:rsidR="009D170B">
        <w:rPr>
          <w:lang w:val="en-US"/>
        </w:rPr>
        <w:instrText>family</w:instrText>
      </w:r>
      <w:r w:rsidR="009D170B" w:rsidRPr="009D170B">
        <w:instrText>":"</w:instrText>
      </w:r>
      <w:r w:rsidR="009D170B">
        <w:rPr>
          <w:lang w:val="en-US"/>
        </w:rPr>
        <w:instrText>Kim</w:instrText>
      </w:r>
      <w:r w:rsidR="009D170B" w:rsidRPr="009D170B">
        <w:instrText>","</w:instrText>
      </w:r>
      <w:r w:rsidR="009D170B">
        <w:rPr>
          <w:lang w:val="en-US"/>
        </w:rPr>
        <w:instrText>given</w:instrText>
      </w:r>
      <w:r w:rsidR="009D170B" w:rsidRPr="009D170B">
        <w:instrText>":"</w:instrText>
      </w:r>
      <w:r w:rsidR="009D170B">
        <w:rPr>
          <w:lang w:val="en-US"/>
        </w:rPr>
        <w:instrText>Tae</w:instrText>
      </w:r>
      <w:r w:rsidR="009D170B" w:rsidRPr="009D170B">
        <w:instrText xml:space="preserve"> </w:instrText>
      </w:r>
      <w:r w:rsidR="009D170B">
        <w:rPr>
          <w:lang w:val="en-US"/>
        </w:rPr>
        <w:instrText>Min</w:instrText>
      </w:r>
      <w:r w:rsidR="009D170B" w:rsidRPr="009D170B">
        <w:instrText>","</w:instrText>
      </w:r>
      <w:r w:rsidR="009D170B">
        <w:rPr>
          <w:lang w:val="en-US"/>
        </w:rPr>
        <w:instrText>non</w:instrText>
      </w:r>
      <w:r w:rsidR="009D170B" w:rsidRPr="009D170B">
        <w:instrText>-</w:instrText>
      </w:r>
      <w:r w:rsidR="009D170B">
        <w:rPr>
          <w:lang w:val="en-US"/>
        </w:rPr>
        <w:instrText>dropping</w:instrText>
      </w:r>
      <w:r w:rsidR="009D170B" w:rsidRPr="009D170B">
        <w:instrText>-</w:instrText>
      </w:r>
      <w:r w:rsidR="009D170B">
        <w:rPr>
          <w:lang w:val="en-US"/>
        </w:rPr>
        <w:instrText>particle</w:instrText>
      </w:r>
      <w:r w:rsidR="009D170B" w:rsidRPr="009D170B">
        <w:instrText>":"","</w:instrText>
      </w:r>
      <w:r w:rsidR="009D170B">
        <w:rPr>
          <w:lang w:val="en-US"/>
        </w:rPr>
        <w:instrText>parse</w:instrText>
      </w:r>
      <w:r w:rsidR="009D170B" w:rsidRPr="009D170B">
        <w:instrText>-</w:instrText>
      </w:r>
      <w:r w:rsidR="009D170B">
        <w:rPr>
          <w:lang w:val="en-US"/>
        </w:rPr>
        <w:instrText>names</w:instrText>
      </w:r>
      <w:r w:rsidR="009D170B" w:rsidRPr="009D170B">
        <w:instrText>":</w:instrText>
      </w:r>
      <w:r w:rsidR="009D170B">
        <w:rPr>
          <w:lang w:val="en-US"/>
        </w:rPr>
        <w:instrText>false</w:instrText>
      </w:r>
      <w:r w:rsidR="009D170B" w:rsidRPr="009D170B">
        <w:instrText>,"</w:instrText>
      </w:r>
      <w:r w:rsidR="009D170B">
        <w:rPr>
          <w:lang w:val="en-US"/>
        </w:rPr>
        <w:instrText>suffix</w:instrText>
      </w:r>
      <w:r w:rsidR="009D170B" w:rsidRPr="009D170B">
        <w:instrText>":""},{"</w:instrText>
      </w:r>
      <w:r w:rsidR="009D170B">
        <w:rPr>
          <w:lang w:val="en-US"/>
        </w:rPr>
        <w:instrText>dropping</w:instrText>
      </w:r>
      <w:r w:rsidR="009D170B" w:rsidRPr="009D170B">
        <w:instrText>-</w:instrText>
      </w:r>
      <w:r w:rsidR="009D170B">
        <w:rPr>
          <w:lang w:val="en-US"/>
        </w:rPr>
        <w:instrText>particle</w:instrText>
      </w:r>
      <w:r w:rsidR="009D170B" w:rsidRPr="009D170B">
        <w:instrText>":"","</w:instrText>
      </w:r>
      <w:r w:rsidR="009D170B">
        <w:rPr>
          <w:lang w:val="en-US"/>
        </w:rPr>
        <w:instrText>family</w:instrText>
      </w:r>
      <w:r w:rsidR="009D170B" w:rsidRPr="009D170B">
        <w:instrText>":"</w:instrText>
      </w:r>
      <w:r w:rsidR="009D170B">
        <w:rPr>
          <w:lang w:val="en-US"/>
        </w:rPr>
        <w:instrText>Heo</w:instrText>
      </w:r>
      <w:r w:rsidR="009D170B" w:rsidRPr="009D170B">
        <w:instrText>","</w:instrText>
      </w:r>
      <w:r w:rsidR="009D170B">
        <w:rPr>
          <w:lang w:val="en-US"/>
        </w:rPr>
        <w:instrText>given</w:instrText>
      </w:r>
      <w:r w:rsidR="009D170B" w:rsidRPr="009D170B">
        <w:instrText>":"</w:instrText>
      </w:r>
      <w:r w:rsidR="009D170B">
        <w:rPr>
          <w:lang w:val="en-US"/>
        </w:rPr>
        <w:instrText>Dae</w:instrText>
      </w:r>
      <w:r w:rsidR="009D170B" w:rsidRPr="009D170B">
        <w:instrText xml:space="preserve"> </w:instrText>
      </w:r>
      <w:r w:rsidR="009D170B">
        <w:rPr>
          <w:lang w:val="en-US"/>
        </w:rPr>
        <w:instrText>Seog</w:instrText>
      </w:r>
      <w:r w:rsidR="009D170B" w:rsidRPr="009D170B">
        <w:instrText>","</w:instrText>
      </w:r>
      <w:r w:rsidR="009D170B">
        <w:rPr>
          <w:lang w:val="en-US"/>
        </w:rPr>
        <w:instrText>non</w:instrText>
      </w:r>
      <w:r w:rsidR="009D170B" w:rsidRPr="009D170B">
        <w:instrText>-</w:instrText>
      </w:r>
      <w:r w:rsidR="009D170B">
        <w:rPr>
          <w:lang w:val="en-US"/>
        </w:rPr>
        <w:instrText>dropping</w:instrText>
      </w:r>
      <w:r w:rsidR="009D170B" w:rsidRPr="009D170B">
        <w:instrText>-</w:instrText>
      </w:r>
      <w:r w:rsidR="009D170B">
        <w:rPr>
          <w:lang w:val="en-US"/>
        </w:rPr>
        <w:instrText>particle</w:instrText>
      </w:r>
      <w:r w:rsidR="009D170B" w:rsidRPr="009D170B">
        <w:instrText>":"","</w:instrText>
      </w:r>
      <w:r w:rsidR="009D170B">
        <w:rPr>
          <w:lang w:val="en-US"/>
        </w:rPr>
        <w:instrText>parse</w:instrText>
      </w:r>
      <w:r w:rsidR="009D170B" w:rsidRPr="009D170B">
        <w:instrText>-</w:instrText>
      </w:r>
      <w:r w:rsidR="009D170B">
        <w:rPr>
          <w:lang w:val="en-US"/>
        </w:rPr>
        <w:instrText>names</w:instrText>
      </w:r>
      <w:r w:rsidR="009D170B" w:rsidRPr="009D170B">
        <w:instrText>":</w:instrText>
      </w:r>
      <w:r w:rsidR="009D170B">
        <w:rPr>
          <w:lang w:val="en-US"/>
        </w:rPr>
        <w:instrText>false</w:instrText>
      </w:r>
      <w:r w:rsidR="009D170B" w:rsidRPr="009D170B">
        <w:instrText>,"</w:instrText>
      </w:r>
      <w:r w:rsidR="009D170B">
        <w:rPr>
          <w:lang w:val="en-US"/>
        </w:rPr>
        <w:instrText>suffix</w:instrText>
      </w:r>
      <w:r w:rsidR="009D170B" w:rsidRPr="009D170B">
        <w:instrText>":""}],"</w:instrText>
      </w:r>
      <w:r w:rsidR="009D170B">
        <w:rPr>
          <w:lang w:val="en-US"/>
        </w:rPr>
        <w:instrText>container</w:instrText>
      </w:r>
      <w:r w:rsidR="009D170B" w:rsidRPr="009D170B">
        <w:instrText>-</w:instrText>
      </w:r>
      <w:r w:rsidR="009D170B">
        <w:rPr>
          <w:lang w:val="en-US"/>
        </w:rPr>
        <w:instrText>title</w:instrText>
      </w:r>
      <w:r w:rsidR="009D170B" w:rsidRPr="009D170B">
        <w:instrText>":"</w:instrText>
      </w:r>
      <w:r w:rsidR="009D170B">
        <w:rPr>
          <w:lang w:val="en-US"/>
        </w:rPr>
        <w:instrText>International</w:instrText>
      </w:r>
      <w:r w:rsidR="009D170B" w:rsidRPr="009D170B">
        <w:instrText xml:space="preserve"> </w:instrText>
      </w:r>
      <w:r w:rsidR="009D170B">
        <w:rPr>
          <w:lang w:val="en-US"/>
        </w:rPr>
        <w:instrText>Journal</w:instrText>
      </w:r>
      <w:r w:rsidR="009D170B" w:rsidRPr="009D170B">
        <w:instrText xml:space="preserve"> </w:instrText>
      </w:r>
      <w:r w:rsidR="009D170B">
        <w:rPr>
          <w:lang w:val="en-US"/>
        </w:rPr>
        <w:instrText>of</w:instrText>
      </w:r>
      <w:r w:rsidR="009D170B" w:rsidRPr="009D170B">
        <w:instrText xml:space="preserve"> </w:instrText>
      </w:r>
      <w:r w:rsidR="009D170B">
        <w:rPr>
          <w:lang w:val="en-US"/>
        </w:rPr>
        <w:instrText>Radiation</w:instrText>
      </w:r>
      <w:r w:rsidR="009D170B" w:rsidRPr="009D170B">
        <w:instrText xml:space="preserve"> </w:instrText>
      </w:r>
      <w:r w:rsidR="009D170B">
        <w:rPr>
          <w:lang w:val="en-US"/>
        </w:rPr>
        <w:instrText>Oncology</w:instrText>
      </w:r>
      <w:r w:rsidR="009D170B" w:rsidRPr="009D170B">
        <w:instrText xml:space="preserve"> </w:instrText>
      </w:r>
      <w:r w:rsidR="009D170B">
        <w:rPr>
          <w:lang w:val="en-US"/>
        </w:rPr>
        <w:instrText>Biology</w:instrText>
      </w:r>
      <w:r w:rsidR="009D170B" w:rsidRPr="009D170B">
        <w:instrText xml:space="preserve"> </w:instrText>
      </w:r>
      <w:r w:rsidR="009D170B">
        <w:rPr>
          <w:lang w:val="en-US"/>
        </w:rPr>
        <w:instrText>Physics</w:instrText>
      </w:r>
      <w:r w:rsidR="009D170B" w:rsidRPr="009D170B">
        <w:instrText>","</w:instrText>
      </w:r>
      <w:r w:rsidR="009D170B">
        <w:rPr>
          <w:lang w:val="en-US"/>
        </w:rPr>
        <w:instrText>id</w:instrText>
      </w:r>
      <w:r w:rsidR="009D170B" w:rsidRPr="009D170B">
        <w:instrText>":"</w:instrText>
      </w:r>
      <w:r w:rsidR="009D170B">
        <w:rPr>
          <w:lang w:val="en-US"/>
        </w:rPr>
        <w:instrText>ITEM</w:instrText>
      </w:r>
      <w:r w:rsidR="009D170B" w:rsidRPr="009D170B">
        <w:instrText>-1","</w:instrText>
      </w:r>
      <w:r w:rsidR="009D170B">
        <w:rPr>
          <w:lang w:val="en-US"/>
        </w:rPr>
        <w:instrText>issue</w:instrText>
      </w:r>
      <w:r w:rsidR="009D170B" w:rsidRPr="009D170B">
        <w:instrText>":"1","</w:instrText>
      </w:r>
      <w:r w:rsidR="009D170B">
        <w:rPr>
          <w:lang w:val="en-US"/>
        </w:rPr>
        <w:instrText>issued</w:instrText>
      </w:r>
      <w:r w:rsidR="009D170B" w:rsidRPr="009D170B">
        <w:instrText>":{"</w:instrText>
      </w:r>
      <w:r w:rsidR="009D170B">
        <w:rPr>
          <w:lang w:val="en-US"/>
        </w:rPr>
        <w:instrText>date</w:instrText>
      </w:r>
      <w:r w:rsidR="009D170B" w:rsidRPr="009D170B">
        <w:instrText>-</w:instrText>
      </w:r>
      <w:r w:rsidR="009D170B">
        <w:rPr>
          <w:lang w:val="en-US"/>
        </w:rPr>
        <w:instrText>parts</w:instrText>
      </w:r>
      <w:r w:rsidR="009D170B" w:rsidRPr="009D170B">
        <w:instrText>":[["2015","5","1"]]},"</w:instrText>
      </w:r>
      <w:r w:rsidR="009D170B">
        <w:rPr>
          <w:lang w:val="en-US"/>
        </w:rPr>
        <w:instrText>page</w:instrText>
      </w:r>
      <w:r w:rsidR="009D170B" w:rsidRPr="009D170B">
        <w:instrText>":"91-98","</w:instrText>
      </w:r>
      <w:r w:rsidR="009D170B">
        <w:rPr>
          <w:lang w:val="en-US"/>
        </w:rPr>
        <w:instrText>publisher</w:instrText>
      </w:r>
      <w:r w:rsidR="009D170B" w:rsidRPr="009D170B">
        <w:instrText>":"</w:instrText>
      </w:r>
      <w:r w:rsidR="009D170B">
        <w:rPr>
          <w:lang w:val="en-US"/>
        </w:rPr>
        <w:instrText>Elsevier</w:instrText>
      </w:r>
      <w:r w:rsidR="009D170B" w:rsidRPr="009D170B">
        <w:instrText xml:space="preserve"> </w:instrText>
      </w:r>
      <w:r w:rsidR="009D170B">
        <w:rPr>
          <w:lang w:val="en-US"/>
        </w:rPr>
        <w:instrText>Inc</w:instrText>
      </w:r>
      <w:r w:rsidR="009D170B" w:rsidRPr="009D170B">
        <w:instrText>.","</w:instrText>
      </w:r>
      <w:r w:rsidR="009D170B">
        <w:rPr>
          <w:lang w:val="en-US"/>
        </w:rPr>
        <w:instrText>title</w:instrText>
      </w:r>
      <w:r w:rsidR="009D170B" w:rsidRPr="009D170B">
        <w:instrText>":"</w:instrText>
      </w:r>
      <w:r w:rsidR="009D170B">
        <w:rPr>
          <w:lang w:val="en-US"/>
        </w:rPr>
        <w:instrText>Additional</w:instrText>
      </w:r>
      <w:r w:rsidR="009D170B" w:rsidRPr="009D170B">
        <w:instrText xml:space="preserve"> </w:instrText>
      </w:r>
      <w:r w:rsidR="009D170B">
        <w:rPr>
          <w:lang w:val="en-US"/>
        </w:rPr>
        <w:instrText>survival</w:instrText>
      </w:r>
      <w:r w:rsidR="009D170B" w:rsidRPr="009D170B">
        <w:instrText xml:space="preserve"> </w:instrText>
      </w:r>
      <w:r w:rsidR="009D170B">
        <w:rPr>
          <w:lang w:val="en-US"/>
        </w:rPr>
        <w:instrText>benefit</w:instrText>
      </w:r>
      <w:r w:rsidR="009D170B" w:rsidRPr="009D170B">
        <w:instrText xml:space="preserve"> </w:instrText>
      </w:r>
      <w:r w:rsidR="009D170B">
        <w:rPr>
          <w:lang w:val="en-US"/>
        </w:rPr>
        <w:instrText>of</w:instrText>
      </w:r>
      <w:r w:rsidR="009D170B" w:rsidRPr="009D170B">
        <w:instrText xml:space="preserve"> </w:instrText>
      </w:r>
      <w:r w:rsidR="009D170B">
        <w:rPr>
          <w:lang w:val="en-US"/>
        </w:rPr>
        <w:instrText>involved</w:instrText>
      </w:r>
      <w:r w:rsidR="009D170B" w:rsidRPr="009D170B">
        <w:instrText>-</w:instrText>
      </w:r>
      <w:r w:rsidR="009D170B">
        <w:rPr>
          <w:lang w:val="en-US"/>
        </w:rPr>
        <w:instrText>lesion</w:instrText>
      </w:r>
      <w:r w:rsidR="009D170B" w:rsidRPr="00320416">
        <w:instrText xml:space="preserve"> </w:instrText>
      </w:r>
      <w:r w:rsidR="009D170B">
        <w:rPr>
          <w:lang w:val="en-US"/>
        </w:rPr>
        <w:instrText>radiation</w:instrText>
      </w:r>
      <w:r w:rsidR="009D170B" w:rsidRPr="00320416">
        <w:instrText xml:space="preserve"> </w:instrText>
      </w:r>
      <w:r w:rsidR="009D170B">
        <w:rPr>
          <w:lang w:val="en-US"/>
        </w:rPr>
        <w:instrText>therapy</w:instrText>
      </w:r>
      <w:r w:rsidR="009D170B" w:rsidRPr="00320416">
        <w:instrText xml:space="preserve"> </w:instrText>
      </w:r>
      <w:r w:rsidR="009D170B">
        <w:rPr>
          <w:lang w:val="en-US"/>
        </w:rPr>
        <w:instrText>after</w:instrText>
      </w:r>
      <w:r w:rsidR="009D170B" w:rsidRPr="00320416">
        <w:instrText xml:space="preserve"> </w:instrText>
      </w:r>
      <w:r w:rsidR="009D170B">
        <w:rPr>
          <w:lang w:val="en-US"/>
        </w:rPr>
        <w:instrText>r</w:instrText>
      </w:r>
      <w:r w:rsidR="009D170B" w:rsidRPr="00320416">
        <w:instrText>-</w:instrText>
      </w:r>
      <w:r w:rsidR="009D170B">
        <w:rPr>
          <w:lang w:val="en-US"/>
        </w:rPr>
        <w:instrText>chop</w:instrText>
      </w:r>
      <w:r w:rsidR="009D170B" w:rsidRPr="00320416">
        <w:instrText xml:space="preserve"> </w:instrText>
      </w:r>
      <w:r w:rsidR="009D170B">
        <w:rPr>
          <w:lang w:val="en-US"/>
        </w:rPr>
        <w:instrText>chemotherapy</w:instrText>
      </w:r>
      <w:r w:rsidR="009D170B" w:rsidRPr="00320416">
        <w:instrText xml:space="preserve"> </w:instrText>
      </w:r>
      <w:r w:rsidR="009D170B">
        <w:rPr>
          <w:lang w:val="en-US"/>
        </w:rPr>
        <w:instrText>in</w:instrText>
      </w:r>
      <w:r w:rsidR="009D170B" w:rsidRPr="00320416">
        <w:instrText xml:space="preserve"> </w:instrText>
      </w:r>
      <w:r w:rsidR="009D170B">
        <w:rPr>
          <w:lang w:val="en-US"/>
        </w:rPr>
        <w:instrText>limited</w:instrText>
      </w:r>
      <w:r w:rsidR="009D170B" w:rsidRPr="00320416">
        <w:instrText xml:space="preserve"> </w:instrText>
      </w:r>
      <w:r w:rsidR="009D170B">
        <w:rPr>
          <w:lang w:val="en-US"/>
        </w:rPr>
        <w:instrText>stage</w:instrText>
      </w:r>
      <w:r w:rsidR="009D170B" w:rsidRPr="00320416">
        <w:instrText xml:space="preserve"> </w:instrText>
      </w:r>
      <w:r w:rsidR="009D170B">
        <w:rPr>
          <w:lang w:val="en-US"/>
        </w:rPr>
        <w:instrText>diffuse</w:instrText>
      </w:r>
      <w:r w:rsidR="009D170B" w:rsidRPr="00320416">
        <w:instrText xml:space="preserve"> </w:instrText>
      </w:r>
      <w:r w:rsidR="009D170B">
        <w:rPr>
          <w:lang w:val="en-US"/>
        </w:rPr>
        <w:instrText>large</w:instrText>
      </w:r>
      <w:r w:rsidR="009D170B" w:rsidRPr="00320416">
        <w:instrText xml:space="preserve"> </w:instrText>
      </w:r>
      <w:r w:rsidR="009D170B">
        <w:rPr>
          <w:lang w:val="en-US"/>
        </w:rPr>
        <w:instrText>b</w:instrText>
      </w:r>
      <w:r w:rsidR="009D170B" w:rsidRPr="00320416">
        <w:instrText>-</w:instrText>
      </w:r>
      <w:r w:rsidR="009D170B">
        <w:rPr>
          <w:lang w:val="en-US"/>
        </w:rPr>
        <w:instrText>cell</w:instrText>
      </w:r>
      <w:r w:rsidR="009D170B" w:rsidRPr="00320416">
        <w:instrText xml:space="preserve"> </w:instrText>
      </w:r>
      <w:r w:rsidR="009D170B">
        <w:rPr>
          <w:lang w:val="en-US"/>
        </w:rPr>
        <w:instrText>lymphoma</w:instrText>
      </w:r>
      <w:r w:rsidR="009D170B" w:rsidRPr="00320416">
        <w:instrText>","</w:instrText>
      </w:r>
      <w:r w:rsidR="009D170B">
        <w:rPr>
          <w:lang w:val="en-US"/>
        </w:rPr>
        <w:instrText>type</w:instrText>
      </w:r>
      <w:r w:rsidR="009D170B" w:rsidRPr="00320416">
        <w:instrText>":"</w:instrText>
      </w:r>
      <w:r w:rsidR="009D170B">
        <w:rPr>
          <w:lang w:val="en-US"/>
        </w:rPr>
        <w:instrText>article</w:instrText>
      </w:r>
      <w:r w:rsidR="009D170B" w:rsidRPr="00320416">
        <w:instrText>-</w:instrText>
      </w:r>
      <w:r w:rsidR="009D170B">
        <w:rPr>
          <w:lang w:val="en-US"/>
        </w:rPr>
        <w:instrText>journal</w:instrText>
      </w:r>
      <w:r w:rsidR="009D170B" w:rsidRPr="00320416">
        <w:instrText>","</w:instrText>
      </w:r>
      <w:r w:rsidR="009D170B">
        <w:rPr>
          <w:lang w:val="en-US"/>
        </w:rPr>
        <w:instrText>volume</w:instrText>
      </w:r>
      <w:r w:rsidR="009D170B" w:rsidRPr="00320416">
        <w:instrText>":"92"},"</w:instrText>
      </w:r>
      <w:r w:rsidR="009D170B">
        <w:rPr>
          <w:lang w:val="en-US"/>
        </w:rPr>
        <w:instrText>uris</w:instrText>
      </w:r>
      <w:r w:rsidR="009D170B" w:rsidRPr="00320416">
        <w:instrText>":["</w:instrText>
      </w:r>
      <w:r w:rsidR="009D170B">
        <w:rPr>
          <w:lang w:val="en-US"/>
        </w:rPr>
        <w:instrText>http</w:instrText>
      </w:r>
      <w:r w:rsidR="009D170B" w:rsidRPr="00320416">
        <w:instrText>://</w:instrText>
      </w:r>
      <w:r w:rsidR="009D170B">
        <w:rPr>
          <w:lang w:val="en-US"/>
        </w:rPr>
        <w:instrText>www</w:instrText>
      </w:r>
      <w:r w:rsidR="009D170B" w:rsidRPr="00320416">
        <w:instrText>.</w:instrText>
      </w:r>
      <w:r w:rsidR="009D170B">
        <w:rPr>
          <w:lang w:val="en-US"/>
        </w:rPr>
        <w:instrText>mendeley</w:instrText>
      </w:r>
      <w:r w:rsidR="009D170B" w:rsidRPr="00320416">
        <w:instrText>.</w:instrText>
      </w:r>
      <w:r w:rsidR="009D170B">
        <w:rPr>
          <w:lang w:val="en-US"/>
        </w:rPr>
        <w:instrText>com</w:instrText>
      </w:r>
      <w:r w:rsidR="009D170B" w:rsidRPr="00320416">
        <w:instrText>/</w:instrText>
      </w:r>
      <w:r w:rsidR="009D170B">
        <w:rPr>
          <w:lang w:val="en-US"/>
        </w:rPr>
        <w:instrText>documents</w:instrText>
      </w:r>
      <w:r w:rsidR="009D170B" w:rsidRPr="00320416">
        <w:instrText>/?</w:instrText>
      </w:r>
      <w:r w:rsidR="009D170B">
        <w:rPr>
          <w:lang w:val="en-US"/>
        </w:rPr>
        <w:instrText>uuid</w:instrText>
      </w:r>
      <w:r w:rsidR="009D170B" w:rsidRPr="00320416">
        <w:instrText>=779041</w:instrText>
      </w:r>
      <w:r w:rsidR="009D170B">
        <w:rPr>
          <w:lang w:val="en-US"/>
        </w:rPr>
        <w:instrText>ac</w:instrText>
      </w:r>
      <w:r w:rsidR="009D170B" w:rsidRPr="00320416">
        <w:instrText>-2168-35</w:instrText>
      </w:r>
      <w:r w:rsidR="009D170B">
        <w:rPr>
          <w:lang w:val="en-US"/>
        </w:rPr>
        <w:instrText>ad</w:instrText>
      </w:r>
      <w:r w:rsidR="009D170B" w:rsidRPr="00320416">
        <w:instrText>-9</w:instrText>
      </w:r>
      <w:r w:rsidR="009D170B">
        <w:rPr>
          <w:lang w:val="en-US"/>
        </w:rPr>
        <w:instrText>d</w:instrText>
      </w:r>
      <w:r w:rsidR="009D170B" w:rsidRPr="00320416">
        <w:instrText>53-4</w:instrText>
      </w:r>
      <w:r w:rsidR="009D170B">
        <w:rPr>
          <w:lang w:val="en-US"/>
        </w:rPr>
        <w:instrText>c</w:instrText>
      </w:r>
      <w:r w:rsidR="009D170B" w:rsidRPr="00320416">
        <w:instrText>15</w:instrText>
      </w:r>
      <w:r w:rsidR="009D170B">
        <w:rPr>
          <w:lang w:val="en-US"/>
        </w:rPr>
        <w:instrText>ca</w:instrText>
      </w:r>
      <w:r w:rsidR="009D170B" w:rsidRPr="00320416">
        <w:instrText>0</w:instrText>
      </w:r>
      <w:r w:rsidR="009D170B">
        <w:rPr>
          <w:lang w:val="en-US"/>
        </w:rPr>
        <w:instrText>ee</w:instrText>
      </w:r>
      <w:r w:rsidR="009D170B" w:rsidRPr="00320416">
        <w:instrText>6</w:instrText>
      </w:r>
      <w:r w:rsidR="009D170B">
        <w:rPr>
          <w:lang w:val="en-US"/>
        </w:rPr>
        <w:instrText>c</w:instrText>
      </w:r>
      <w:r w:rsidR="009D170B" w:rsidRPr="00320416">
        <w:instrText>4"]}],"</w:instrText>
      </w:r>
      <w:r w:rsidR="009D170B">
        <w:rPr>
          <w:lang w:val="en-US"/>
        </w:rPr>
        <w:instrText>mendeley</w:instrText>
      </w:r>
      <w:r w:rsidR="009D170B" w:rsidRPr="00320416">
        <w:instrText>":{"</w:instrText>
      </w:r>
      <w:r w:rsidR="009D170B">
        <w:rPr>
          <w:lang w:val="en-US"/>
        </w:rPr>
        <w:instrText>formattedCitation</w:instrText>
      </w:r>
      <w:r w:rsidR="009D170B" w:rsidRPr="00320416">
        <w:instrText>":"[59]","</w:instrText>
      </w:r>
      <w:r w:rsidR="009D170B">
        <w:rPr>
          <w:lang w:val="en-US"/>
        </w:rPr>
        <w:instrText>plainTextFormattedCitation</w:instrText>
      </w:r>
      <w:r w:rsidR="009D170B" w:rsidRPr="00320416">
        <w:instrText>":"[59]","</w:instrText>
      </w:r>
      <w:r w:rsidR="009D170B">
        <w:rPr>
          <w:lang w:val="en-US"/>
        </w:rPr>
        <w:instrText>previouslyFormattedCitation</w:instrText>
      </w:r>
      <w:r w:rsidR="009D170B" w:rsidRPr="00320416">
        <w:instrText>":"[59]"},"</w:instrText>
      </w:r>
      <w:r w:rsidR="009D170B">
        <w:rPr>
          <w:lang w:val="en-US"/>
        </w:rPr>
        <w:instrText>properties</w:instrText>
      </w:r>
      <w:r w:rsidR="009D170B" w:rsidRPr="00320416">
        <w:instrText>":{"</w:instrText>
      </w:r>
      <w:r w:rsidR="009D170B">
        <w:rPr>
          <w:lang w:val="en-US"/>
        </w:rPr>
        <w:instrText>noteIndex</w:instrText>
      </w:r>
      <w:r w:rsidR="009D170B" w:rsidRPr="00320416">
        <w:instrText>":0},"</w:instrText>
      </w:r>
      <w:r w:rsidR="009D170B">
        <w:rPr>
          <w:lang w:val="en-US"/>
        </w:rPr>
        <w:instrText>schema</w:instrText>
      </w:r>
      <w:r w:rsidR="009D170B" w:rsidRPr="00320416">
        <w:instrText>":"</w:instrText>
      </w:r>
      <w:r w:rsidR="009D170B">
        <w:rPr>
          <w:lang w:val="en-US"/>
        </w:rPr>
        <w:instrText>https</w:instrText>
      </w:r>
      <w:r w:rsidR="009D170B" w:rsidRPr="00320416">
        <w:instrText>://</w:instrText>
      </w:r>
      <w:r w:rsidR="009D170B">
        <w:rPr>
          <w:lang w:val="en-US"/>
        </w:rPr>
        <w:instrText>github</w:instrText>
      </w:r>
      <w:r w:rsidR="009D170B" w:rsidRPr="00320416">
        <w:instrText>.</w:instrText>
      </w:r>
      <w:r w:rsidR="009D170B">
        <w:rPr>
          <w:lang w:val="en-US"/>
        </w:rPr>
        <w:instrText>com</w:instrText>
      </w:r>
      <w:r w:rsidR="009D170B" w:rsidRPr="00320416">
        <w:instrText>/</w:instrText>
      </w:r>
      <w:r w:rsidR="009D170B">
        <w:rPr>
          <w:lang w:val="en-US"/>
        </w:rPr>
        <w:instrText>citation</w:instrText>
      </w:r>
      <w:r w:rsidR="009D170B" w:rsidRPr="00320416">
        <w:instrText>-</w:instrText>
      </w:r>
      <w:r w:rsidR="009D170B">
        <w:rPr>
          <w:lang w:val="en-US"/>
        </w:rPr>
        <w:instrText>style</w:instrText>
      </w:r>
      <w:r w:rsidR="009D170B" w:rsidRPr="00320416">
        <w:instrText>-</w:instrText>
      </w:r>
      <w:r w:rsidR="009D170B">
        <w:rPr>
          <w:lang w:val="en-US"/>
        </w:rPr>
        <w:instrText>language</w:instrText>
      </w:r>
      <w:r w:rsidR="009D170B" w:rsidRPr="00320416">
        <w:instrText>/</w:instrText>
      </w:r>
      <w:r w:rsidR="009D170B">
        <w:rPr>
          <w:lang w:val="en-US"/>
        </w:rPr>
        <w:instrText>schema</w:instrText>
      </w:r>
      <w:r w:rsidR="009D170B" w:rsidRPr="00320416">
        <w:instrText>/</w:instrText>
      </w:r>
      <w:r w:rsidR="009D170B">
        <w:rPr>
          <w:lang w:val="en-US"/>
        </w:rPr>
        <w:instrText>raw</w:instrText>
      </w:r>
      <w:r w:rsidR="009D170B" w:rsidRPr="00320416">
        <w:instrText>/</w:instrText>
      </w:r>
      <w:r w:rsidR="009D170B">
        <w:rPr>
          <w:lang w:val="en-US"/>
        </w:rPr>
        <w:instrText>master</w:instrText>
      </w:r>
      <w:r w:rsidR="009D170B" w:rsidRPr="00320416">
        <w:instrText>/</w:instrText>
      </w:r>
      <w:r w:rsidR="009D170B">
        <w:rPr>
          <w:lang w:val="en-US"/>
        </w:rPr>
        <w:instrText>csl</w:instrText>
      </w:r>
      <w:r w:rsidR="009D170B" w:rsidRPr="00320416">
        <w:instrText>-</w:instrText>
      </w:r>
      <w:r w:rsidR="009D170B">
        <w:rPr>
          <w:lang w:val="en-US"/>
        </w:rPr>
        <w:instrText>citation</w:instrText>
      </w:r>
      <w:r w:rsidR="009D170B" w:rsidRPr="00320416">
        <w:instrText>.</w:instrText>
      </w:r>
      <w:r w:rsidR="009D170B">
        <w:rPr>
          <w:lang w:val="en-US"/>
        </w:rPr>
        <w:instrText>json</w:instrText>
      </w:r>
      <w:r w:rsidR="009D170B" w:rsidRPr="00320416">
        <w:instrText>"}</w:instrText>
      </w:r>
      <w:r w:rsidR="00FE4AC0" w:rsidRPr="00BC258F">
        <w:rPr>
          <w:lang w:val="en-US"/>
        </w:rPr>
        <w:fldChar w:fldCharType="separate"/>
      </w:r>
      <w:r w:rsidR="00095D58" w:rsidRPr="00095D58">
        <w:rPr>
          <w:noProof/>
        </w:rPr>
        <w:t>[59]</w:t>
      </w:r>
      <w:r w:rsidR="00FE4AC0" w:rsidRPr="00BC258F">
        <w:rPr>
          <w:lang w:val="en-US"/>
        </w:rPr>
        <w:fldChar w:fldCharType="end"/>
      </w:r>
    </w:p>
    <w:p w14:paraId="5FB714C2" w14:textId="77777777" w:rsidR="00746BF7" w:rsidRPr="000322E4" w:rsidRDefault="00746BF7" w:rsidP="008A40EA">
      <w:pPr>
        <w:spacing w:line="360" w:lineRule="auto"/>
        <w:ind w:left="709"/>
        <w:contextualSpacing/>
        <w:jc w:val="both"/>
        <w:rPr>
          <w:b/>
        </w:rPr>
      </w:pPr>
      <w:r w:rsidRPr="000322E4">
        <w:rPr>
          <w:b/>
        </w:rPr>
        <w:t>Уровень убедительности рекомендаций С (уровень достоверности доказательств 4).</w:t>
      </w:r>
    </w:p>
    <w:p w14:paraId="0DA44825" w14:textId="24C7E64D" w:rsidR="00F5607D" w:rsidRPr="00BC258F" w:rsidRDefault="00F5607D" w:rsidP="005C4D46">
      <w:pPr>
        <w:pStyle w:val="a"/>
        <w:numPr>
          <w:ilvl w:val="0"/>
          <w:numId w:val="124"/>
        </w:numPr>
        <w:spacing w:before="0"/>
        <w:ind w:left="709"/>
      </w:pPr>
      <w:r w:rsidRPr="00BC258F">
        <w:t>Пациентам старше 18 лет с впервые установленной ДВКЛ III</w:t>
      </w:r>
      <w:r w:rsidR="00AD0C41" w:rsidRPr="00BC258F">
        <w:t>-</w:t>
      </w:r>
      <w:r w:rsidR="00AD0C41" w:rsidRPr="00BC258F">
        <w:rPr>
          <w:lang w:val="en-US"/>
        </w:rPr>
        <w:t>IV</w:t>
      </w:r>
      <w:r w:rsidRPr="00BC258F">
        <w:t xml:space="preserve"> стадии </w:t>
      </w:r>
      <w:r w:rsidRPr="00BC258F">
        <w:rPr>
          <w:b/>
          <w:bCs/>
        </w:rPr>
        <w:t>рекомендуется</w:t>
      </w:r>
      <w:r w:rsidRPr="00BC258F">
        <w:t xml:space="preserve"> провести иммунохимиотерапи</w:t>
      </w:r>
      <w:r w:rsidR="00CF782A" w:rsidRPr="00BC258F">
        <w:t>ю</w:t>
      </w:r>
      <w:r w:rsidRPr="00BC258F">
        <w:t xml:space="preserve"> </w:t>
      </w:r>
      <w:r w:rsidR="00CF782A" w:rsidRPr="00BC258F">
        <w:t xml:space="preserve">по следующим схемам:                      6-8 </w:t>
      </w:r>
      <w:r w:rsidRPr="00BC258F">
        <w:t>R-CHOP-21</w:t>
      </w:r>
      <w:r w:rsidR="00CF782A" w:rsidRPr="00BC258F">
        <w:t xml:space="preserve">, 6 </w:t>
      </w:r>
      <w:r w:rsidR="00CF782A" w:rsidRPr="00BC258F">
        <w:rPr>
          <w:lang w:val="en-US"/>
        </w:rPr>
        <w:t>R</w:t>
      </w:r>
      <w:r w:rsidR="00CF782A" w:rsidRPr="00BC258F">
        <w:t>-</w:t>
      </w:r>
      <w:r w:rsidR="00CF782A" w:rsidRPr="00BC258F">
        <w:rPr>
          <w:lang w:val="en-US"/>
        </w:rPr>
        <w:t>CHOEP</w:t>
      </w:r>
      <w:r w:rsidR="00CF782A" w:rsidRPr="00BC258F">
        <w:t xml:space="preserve">-14 (моложе 60 лет), 6 </w:t>
      </w:r>
      <w:r w:rsidR="00CF782A" w:rsidRPr="00BC258F">
        <w:rPr>
          <w:lang w:val="en-US"/>
        </w:rPr>
        <w:t>R</w:t>
      </w:r>
      <w:r w:rsidR="00CF782A" w:rsidRPr="00BC258F">
        <w:t>-</w:t>
      </w:r>
      <w:r w:rsidR="00CF782A" w:rsidRPr="00BC258F">
        <w:rPr>
          <w:lang w:val="en-US"/>
        </w:rPr>
        <w:t>DA</w:t>
      </w:r>
      <w:r w:rsidR="00CF782A" w:rsidRPr="00BC258F">
        <w:t>-</w:t>
      </w:r>
      <w:r w:rsidR="00CF782A" w:rsidRPr="00BC258F">
        <w:rPr>
          <w:lang w:val="en-US"/>
        </w:rPr>
        <w:t>EPOCH</w:t>
      </w:r>
      <w:r w:rsidR="00CF782A" w:rsidRPr="00BC258F">
        <w:t xml:space="preserve"> (моложе 60 лет)</w:t>
      </w:r>
      <w:r w:rsidRPr="00BC258F">
        <w:t xml:space="preserve"> (схемы режимов лечения см. в приложении А3.1)</w:t>
      </w:r>
      <w:r w:rsidR="00CF782A" w:rsidRPr="00BC258F">
        <w:t>,</w:t>
      </w:r>
      <w:r w:rsidRPr="00BC258F">
        <w:t xml:space="preserve"> с последующим выполнением процедуры рестадирования (см. раздел 7.</w:t>
      </w:r>
      <w:r w:rsidR="00AE61A0" w:rsidRPr="00BC258F">
        <w:t>6</w:t>
      </w:r>
      <w:r w:rsidRPr="00BC258F">
        <w:t>)</w:t>
      </w:r>
      <w:r w:rsidR="00CF782A" w:rsidRPr="00BC258F">
        <w:t xml:space="preserve">. В ряде случаев возможно </w:t>
      </w:r>
      <w:r w:rsidR="004252FC" w:rsidRPr="00BC258F">
        <w:t>планирование</w:t>
      </w:r>
      <w:r w:rsidR="00CF782A" w:rsidRPr="00BC258F">
        <w:t xml:space="preserve"> </w:t>
      </w:r>
      <w:r w:rsidRPr="00BC258F">
        <w:t>консолидирующей  лучевой терапии</w:t>
      </w:r>
      <w:r w:rsidR="009375D9" w:rsidRPr="00BC258F">
        <w:t xml:space="preserve"> на зоны с исходно массивными </w:t>
      </w:r>
      <w:r w:rsidR="00CF782A" w:rsidRPr="00BC258F">
        <w:t xml:space="preserve">или остаточными </w:t>
      </w:r>
      <w:r w:rsidR="009375D9" w:rsidRPr="00BC258F">
        <w:t xml:space="preserve">опухолевыми образованиями СОД 30 Гр, РОД 1,8-2,0 Гр </w:t>
      </w:r>
      <w:r w:rsidRPr="00BC258F">
        <w:fldChar w:fldCharType="begin" w:fldLock="1"/>
      </w:r>
      <w:r w:rsidR="009D170B">
        <w:instrText>ADDIN CSL_CITATION {"citationItems":[{"id":"ITEM-1","itemData":{"DOI":"10.1182/blood-2010-03-276246","ISSN":"15280020","abstract":"We report the outcome of patients included in the LNH-98.5 study, which compared cyclophosphamide, doxorubicin, vincristine, and prednisone (CHOP) to rituximab plus CHOP (R-CHOP) therapy in 399 patients with diffuse large B-cell lymphoma (DLBCL) aged 60 to 80 years, with a median follow-up time of 10 years. Clinical event information was updated in all living patients (with the exception of 3 patients) in 2009. Survival end points were improved in patients treated with R-CHOP: the 10-year progression-free survival was 36.5%, compared with 20% with CHOP alone, and the 10-year overall survival was 43.5% compared with 27.6%. The same risk of death due to other diseases, secondary cancers, and late relapses was observed in both study arms. Relapses occurring after 5 years represented 7% of all disease progressions. The results from the 10-year analysis confirm the benefits and tolerability of the addition of rituximab to CHOP. Our findings underscore the need to treat elderly patients as young patients, with the use of curative chemotherapy. © 2010 by The American Society of Hematology.","author":[{"dropping-particle":"","family":"Coiffier","given":"Bertrand","non-dropping-particle":"","parse-names":false,"suffix":""},{"dropping-particle":"","family":"Thieblemont","given":"Catherine","non-dropping-particle":"","parse-names":false,"suffix":""},{"dropping-particle":"","family":"Neste","given":"Eric","non-dropping-particle":"Van Den","parse-names":false,"suffix":""},{"dropping-particle":"","family":"Lepeu","given":"Gérard","non-dropping-particle":"","parse-names":false,"suffix":""},{"dropping-particle":"","family":"Plantier","given":"Isabelle","non-dropping-particle":"","parse-names":false,"suffix":""},{"dropping-particle":"","family":"Castaigne","given":"Sylvie","non-dropping-particle":"","parse-names":false,"suffix":""},{"dropping-particle":"","family":"Lefort","given":"Sophie","non-dropping-particle":"","parse-names":false,"suffix":""},{"dropping-particle":"","family":"Marit","given":"Gérald","non-dropping-particle":"","parse-names":false,"suffix":""},{"dropping-particle":"","family":"Macro","given":"Margaret","non-dropping-particle":"","parse-names":false,"suffix":""},{"dropping-particle":"","family":"Sebban","given":"Catherine","non-dropping-particle":"","parse-names":false,"suffix":""},{"dropping-particle":"","family":"Belhadj","given":"Karim","non-dropping-particle":"","parse-names":false,"suffix":""},{"dropping-particle":"","family":"Bordessoule","given":"Dominique","non-dropping-particle":"","parse-names":false,"suffix":""},{"dropping-particle":"","family":"Fermé","given":"Christophe","non-dropping-particle":"","parse-names":false,"suffix":""},{"dropping-particle":"","family":"Tilly","given":"Hervé","non-dropping-particle":"","parse-names":false,"suffix":""}],"container-title":"Blood","id":"ITEM-1","issue":"12","issued":{"date-parts":[["2010","9","23"]]},"page":"2040-2045","publisher":"American Society of Hematology","title":"Long-term outcome of patients in the LNH-98.5 trial, the first randomized study comparing rituximab-CHOP to standard CHOP chemotherapy in DLBCL patients: A study by the Groupe d'Etudes des Lymphomes de l'Adulte","type":"article-journal","volume":"116"},"uris":["http://www.mendeley.com/documents/?uuid=c10963c4-44e4-37de-9b33-f1faa7a9fa55"]},{"id":"ITEM-2","itemData":{"DOI":"10.1200/JCO.2005.09.131","ISSN":"0732183X","abstract":"Purpose: To analyze the long-term outcome of patients included in the Lymphome Non Hodgkinien study 98-5 (LNH98-5) comparing cyclophosphamide, doxorubicin, vincristine, and prednisone (CHOP) to rituximab plus CHOP (R-CHOP) in elderly patients with diffuse large B-cell lymphoma. Patients and Methods: LNH98-5 was a randomized study that included 399 previously untreated patients, age 60 to 80 years, with diffuse large B-cell lymphoma. Patients received eight cycles of classical CHOP (cyclophosphamide 750 mg/m2, doxorubicin 50 mg/m2, vincristine 1.4 mg/m2, and prednisone 40 mg/m 2 for 5 days) every 3 weeks. In R-CHOP, rituximab 375 mg/m 2 was administered the same day as CHOP. Survivals were analyzed using the intent-to-treat principle. Results: Median follow-up is 5 years at present. Event-free survival, progression-free survival, disease-free survival, and overall survival remain statistically significant in favor of the combination of R-CHOP (P= .00002, P &lt; .00001, P &lt; .00031, and P &lt; .0073, respectively, in the log-rank test). Patients with low-risk or high-risk lymphoma according to the age-adjusted International Prognostic Index have longer survivals if treated with the combination. No long-term toxicity appeared to be associated with the R-CHOP combination. Conclusion: Using the combination of R-CHOP leads to significant improvement of the outcome of elderly patients with diffuse large B-cell lymphoma, with significant survival benefit maintained during a 5-year follow-up. This combination should become the standard for treating these patients. © 2005 by American Society of Clinical Oncology.","author":[{"dropping-particle":"","family":"Feugier","given":"Pierre","non-dropping-particle":"","parse-names":false,"suffix":""},{"dropping-particle":"","family":"Hoof","given":"A.","non-dropping-particle":"Van","parse-names":false,"suffix":""},{"dropping-particle":"","family":"Sebban","given":"C.","non-dropping-particle":"","parse-names":false,"suffix":""},{"dropping-particle":"","family":"Solal-Celigny","given":"P.","non-dropping-particle":"","parse-names":false,"suffix":""},{"dropping-particle":"","family":"Bouabdallah","given":"R.","non-dropping-particle":"","parse-names":false,"suffix":""},{"dropping-particle":"","family":"Fermé","given":"C.","non-dropping-particle":"","parse-names":false,"suffix":""},{"dropping-particle":"","family":"Christian","given":"B.","non-dropping-particle":"","parse-names":false,"suffix":""},{"dropping-particle":"","family":"Lepage","given":"E.","non-dropping-particle":"","parse-names":false,"suffix":""},{"dropping-particle":"","family":"Tilly","given":"H.","non-dropping-particle":"","parse-names":false,"suffix":""},{"dropping-particle":"","family":"Morschhauser","given":"F.","non-dropping-particle":"","parse-names":false,"suffix":""},{"dropping-particle":"","family":"Gaulard","given":"P.","non-dropping-particle":"","parse-names":false,"suffix":""},{"dropping-particle":"","family":"Salles","given":"G.","non-dropping-particle":"","parse-names":false,"suffix":""},{"dropping-particle":"","family":"Bosly","given":"A.","non-dropping-particle":"","parse-names":false,"suffix":""},{"dropping-particle":"","family":"Gisselbrecht","given":"C.","non-dropping-particle":"","parse-names":false,"suffix":""},{"dropping-particle":"","family":"Reyes","given":"F.","non-dropping-particle":"","parse-names":false,"suffix":""},{"dropping-particle":"","family":"Coiffier","given":"B.","non-dropping-particle":"","parse-names":false,"suffix":""}],"container-title":"Journal of Clinical Oncology","id":"ITEM-2","issue":"18","issued":{"date-parts":[["2005","6","20"]]},"page":"4117-4126","title":"Long-term results of the R-CHOP study in the treatment of elderly patients with diffuse large B-cell lymphoma: A study by the groupe d'etude des lymphomes de l'adulte","type":"article-journal","volume":"23"},"uris":["http://www.mendeley.com/documents/?uuid=eb7df7c3-c637-3f34-8ed5-dd4ceae537f1"]},{"id":"ITEM-3","itemData":{"DOI":"10.1016/S1470-2045(06)70664-7","ISSN":"14702045","abstract":"Background: The role of rituximab in combination with different CHOP (cyclophosphamide, doxorubicin, vincristine, and prednisone)-like chemotherapy regimens in young patients with good-prognosis diffuse large-B-cell lymphoma remains to be defined. We aimed to compare CHOP-like chemotherapy and rituximab with CHOP-like chemotherapy alone in these patients. Methods: 824 patients who were from 18 countries; aged 18-60 years; and who had no risk factors or one risk factor according to age-adjusted International Prognostic Index (IPI), stage II-IV disease, or stage I disease with bulk were enrolled. These patients were randomly assigned to six cycles of CHOP-like chemotherapy and rituximab (n=413) or to six cycles of CHOP-like chemotherapy alone (n=411). Bulky and extranodal sites received additional radiotherapy. The primary endpoint was event-free survival; secondary endpoints were response, progression under therapy, progression-free survival, overall survival, and frequency of toxic effects. Analyses were done by intention to treat and per protocol. This trial is registered at http://www.clinicaltrials.gov, NCT 00064116. Findings: After a median follow-up of 34 months (range 0·03-61), patients assigned chemotherapy and rituximab had increased 3-year event-free survival compared with those assigned chemotherapy alone (79% [95% CI 75-83] vs 59% [54-64]; difference between groups 20% [13-27], log-rank p&lt;0·0001), and had increased 3-year overall survival (93% [90-95] vs 84% [80-88]; difference between groups 9% [3-13], log-rank p=0·0001). Event-free survival was affected by treatment group, presence of bulky disease, and age-adjusted IPI: after chemotherapy and rituximab, a favourable subgroup (ie, IPI=0, no bulk) could be defined from a less-favourable subgroup (ie, IPI=1 or bulk, or both). Groups did not differ in the frequency of adverse events. Interpretation: Rituximab added to six cycles of CHOP is an effective treatment for young patients with good-prognosis diffuse large-B-cell lymphoma. The definition of two prognostic subgroups allows for a more refined therapeutic approach for these patients. © 2006 Elsevier Ltd. All rights reserved.","author":[{"dropping-particle":"","family":"Pfreundschuh","given":"Michael","non-dropping-particle":"","parse-names":false,"suffix":""},{"dropping-particle":"","family":"Trümper","given":"Lorenz","non-dropping-particle":"","parse-names":false,"suffix":""},{"dropping-particle":"","family":"Österborg","given":"Anders","non-dropping-particle":"","parse-names":false,"suffix":""},{"dropping-particle":"","family":"Pettengell","given":"Ruth","non-dropping-particle":"","parse-names":false,"suffix":""},{"dropping-particle":"","family":"Trneny","given":"Marek","non-dropping-particle":"","parse-names":false,"suffix":""},{"dropping-particle":"","family":"Imrie","given":"Kevin","non-dropping-particle":"","parse-names":false,"suffix":""},{"dropping-particle":"","family":"Ma","given":"David","non-dropping-particle":"","parse-names":false,"suffix":""},{"dropping-particle":"","family":"Gill","given":"Devinder","non-dropping-particle":"","parse-names":false,"suffix":""},{"dropping-particle":"","family":"Walewski","given":"Jan","non-dropping-particle":"","parse-names":false,"suffix":""},{"dropping-particle":"","family":"Zinzani","given":"Pier Luigi","non-dropping-particle":"","parse-names":false,"suffix":""},{"dropping-particle":"","family":"Stahel","given":"Rolf","non-dropping-particle":"","parse-names":false,"suffix":""},{"dropping-particle":"","family":"Kvaloy","given":"Stein","non-dropping-particle":"","parse-names":false,"suffix":""},{"dropping-particle":"","family":"Shpilberg","given":"Ofer","non-dropping-particle":"","parse-names":false,"suffix":""},{"dropping-particle":"","family":"Jaeger","given":"Ulrich","non-dropping-particle":"","parse-names":false,"suffix":""},{"dropping-particle":"","family":"Hansen","given":"Mads","non-dropping-particle":"","parse-names":false,"suffix":""},{"dropping-particle":"","family":"Lehtinen","given":"Tuula","non-dropping-particle":"","parse-names":false,"suffix":""},{"dropping-particle":"","family":"López-Guillermo","given":"Armando","non-dropping-particle":"","parse-names":false,"suffix":""},{"dropping-particle":"","family":"Corrado","given":"Claudia","non-dropping-particle":"","parse-names":false,"suffix":""},{"dropping-particle":"","family":"Scheliga","given":"Adriana","non-dropping-particle":"","parse-names":false,"suffix":""},{"dropping-particle":"","family":"Milpied","given":"Noel","non-dropping-particle":"","parse-names":false,"suffix":""},{"dropping-particle":"","family":"Mendila","given":"Myriam","non-dropping-particle":"","parse-names":false,"suffix":""},{"dropping-particle":"","family":"Rashford","given":"Michelle","non-dropping-particle":"","parse-names":false,"suffix":""},{"dropping-particle":"","family":"Kuhnt","given":"Evelyn","non-dropping-particle":"","parse-names":false,"suffix":""},{"dropping-particle":"","family":"Loeffler","given":"Markus","non-dropping-particle":"","parse-names":false,"suffix":""}],"container-title":"Lancet Oncology","id":"ITEM-3","issue":"5","issued":{"date-parts":[["2006","5"]]},"page":"379-391","title":"CHOP-like chemotherapy plus rituximab versus CHOP-like chemotherapy alone in young patients with good-prognosis diffuse large-B-cell lymphoma: a randomised controlled trial by the MabThera International Trial (MInT) Group","type":"article-journal","volume":"7"},"uris":["http://www.mendeley.com/documents/?uuid=805ebaf8-c90d-3a2a-9895-15fe62df78e2"]},{"id":"ITEM-4","itemData":{"DOI":"10.1016/j.ijrobp.2014.01.006","ISSN":"1879355X","abstract":"Radiation therapy (RT) is the most effective single modality for local control of non-Hodgkin lymphoma (NHL) and is an important component of therapy for many patients. Many of the historic concepts of dose and volume have recently been challenged by the advent of modern imaging and RT planning tools. The International Lymphoma Radiation Oncology Group (ILROG) has developed these guidelines after multinational meetings and analysis of available evidence. The guidelines represent an agreed consensus view of the ILROG steering committee on the use of RT in NHL in the modern era. The roles of reduced volume and reduced doses are addressed, integrating modern imaging with 3-dimensional planning and advanced techniques of RT delivery. In the modern era, in which combined-modality treatment with systemic therapy is appropriate, the previously applied extended-field and involved-field RT techniques that targeted nodal regions have now been replaced by limiting the RT to smaller volumes based solely on detectable nodal involvement at presentation. A new concept, involved-site RT, defines the clinical target volume. For indolent NHL, often treated with RT alone, larger fields should be considered. Newer treatment techniques, including intensity modulated RT, breath holding, image guided RT, and 4-dimensional imaging, should be implemented, and their use is expected to decrease significantly the risk for normal tissue damage while still achieving the primary goal of local tumor control. © 2014 Elsevier Inc. All rights reserved.","author":[{"dropping-particle":"","family":"Illidge","given":"Tim","non-dropping-particle":"","parse-names":false,"suffix":""},{"dropping-particle":"","family":"Specht","given":"Lena","non-dropping-particle":"","parse-names":false,"suffix":""},{"dropping-particle":"","family":"Yahalom","given":"Joachim","non-dropping-particle":"","parse-names":false,"suffix":""},{"dropping-particle":"","family":"Aleman","given":"Berthe","non-dropping-particle":"","parse-names":false,"suffix":""},{"dropping-particle":"","family":"Berthelsen","given":"Anne Kiil","non-dropping-particle":"","parse-names":false,"suffix":""},{"dropping-particle":"","family":"Constine","given":"Louis","non-dropping-particle":"","parse-names":false,"suffix":""},{"dropping-particle":"","family":"Dabaja","given":"Bouthaina","non-dropping-particle":"","parse-names":false,"suffix":""},{"dropping-particle":"","family":"Dharmarajan","given":"Kavita","non-dropping-particle":"","parse-names":false,"suffix":""},{"dropping-particle":"","family":"Ng","given":"Andrea","non-dropping-particle":"","parse-names":false,"suffix":""},{"dropping-particle":"","family":"Ricardi","given":"Umberto","non-dropping-particle":"","parse-names":false,"suffix":""},{"dropping-particle":"","family":"Wirth","given":"Andrew","non-dropping-particle":"","parse-names":false,"suffix":""}],"container-title":"International Journal of Radiation Oncology Biology Physics","id":"ITEM-4","issue":"1","issued":{"date-parts":[["2014","5","1"]]},"page":"49-58","publisher":"Elsevier Inc.","title":"Modern radiation therapy for nodal non-hodgkin lymphoma - Target definition and dose guidelines from the international lymphoma radiation oncology group","type":"article","volume":"89"},"uris":["http://www.mendeley.com/documents/?uuid=5c57fece-507a-32db-b04a-89e0d0f6fca0"]},{"id":"ITEM-5","itemData":{"DOI":"10.1200/JCO.2013.51.4505","ISSN":"15277755","abstract":"Purpose: R-CHOP (rituximab plus cyclophosphamide, doxorubicin, vincristine, and prednisone) is standard care for aggressive B-cell lymphoma. A prospective trial was conducted to investigate the role of additive radiotherapy (RT) to bulky and extralymphatic disease. Patients and Methods: The best arm of the RICOVER-60 trial (6xR-CHOP-14+2R [R-CHOP administered once every 2 weeks plus two additional applications of rituximab] plus involved-field RT [36 Gy] to sites of initial bulky [≥ 7.5 cm] disease and extralymphatic involvement) was compared with a cohort receiving the same immunochemotherapy but without RT in an amendment to the RICOVER-60 trial (RICOVER-noRTh) in a prospective fashion. Results: After a median observation time of 39 months, 164 of 166 RICOVER-noRTh patients were evaluable. In a multivariable analysis of the intention-to-treat population adjusting for International Prognostic Index risk factors and age (&gt; 70 years), event-free survival (EFS) of patients with bulky disease was inferior without additive RT (hazard ratio [HR], 2.1; 95% CI, 1.3 to 3.5; P = .005), with trends for inferior progression-free (PFS; HR, 1.8; 95% CI, 1.0 to 3.3; P = .058) and overall survival (OS; HR, 1.6; 95% CI, 0.9 to 3.1; P = .127). In a per-protocol analysis with 11 patients in RICOVER-noRTh excluded for receiving unplanned RT, multivariable analysis revealed HRs of 2.7 (95% CI, 1.3 to 5.9; P = .011) for EFS, 4.4 (95% CI, 1.8 to 10.6; P = .001) for PFS, and 4.3 (95% CI, 1.7 to 11.1; P = .002) for OS for patients not receiving RT to bulky disease. Conclusion: Additive RT to bulky sites abrogates bulky disease as a risk factor and improves outcome of elderly patients with aggressive B-cell lymphoma. Whether RT can be spared in patients with (metabolic) complete remission after immunochemotherapy must be addressed in appropriately designed prospective trials. © 2014 by American Society of Clinical Oncology.","author":[{"dropping-particle":"","family":"Held","given":"Gerhard","non-dropping-particle":"","parse-names":false,"suffix":""},{"dropping-particle":"","family":"Murawski","given":"Niels","non-dropping-particle":"","parse-names":false,"suffix":""},{"dropping-particle":"","family":"Ziepert","given":"Marita","non-dropping-particle":"","parse-names":false,"suffix":""},{"dropping-particle":"","family":"Fleckenstein","given":"Jochen","non-dropping-particle":"","parse-names":false,"suffix":""},{"dropping-particle":"","family":"Pöschel","given":"Viola","non-dropping-particle":"","parse-names":false,"suffix":""},{"dropping-particle":"","family":"Zwick","given":"Carsten","non-dropping-particle":"","parse-names":false,"suffix":""},{"dropping-particle":"","family":"Bittenbring","given":"Jörg","non-dropping-particle":"","parse-names":false,"suffix":""},{"dropping-particle":"","family":"Hänel","given":"Mathias","non-dropping-particle":"","parse-names":false,"suffix":""},{"dropping-particle":"","family":"Wilhelm","given":"Sibylla","non-dropping-particle":"","parse-names":false,"suffix":""},{"dropping-particle":"","family":"Schubert","given":"Jörg","non-dropping-particle":"","parse-names":false,"suffix":""},{"dropping-particle":"","family":"Schmitz","given":"Norbert","non-dropping-particle":"","parse-names":false,"suffix":""},{"dropping-particle":"","family":"Löffler","given":"Markus","non-dropping-particle":"","parse-names":false,"suffix":""},{"dropping-particle":"","family":"Rübe","given":"Christian","non-dropping-particle":"","parse-names":false,"suffix":""},{"dropping-particle":"","family":"Pfreundschuh","given":"Michael","non-dropping-particle":"","parse-names":false,"suffix":""}],"container-title":"Journal of Clinical Oncology","id":"ITEM-5","issue":"11","issued":{"date-parts":[["2014","4","10"]]},"page":"1112-1118","publisher":"American Society of Clinical Oncology","title":"Role of radiotherapy to bulky disease in elderly patients with aggressive b-cell lymphoma","type":"article-journal","volume":"32"},"uris":["http://www.mendeley.com/documents/?uuid=6256bfef-0c49-37be-93af-e837883993c4"]},{"id":"ITEM-6","itemData":{"DOI":"10.3109/10428194.2013.779687","ISSN":"10428194","abstract":"Diffuse large B-cell lymphoma (DLBCL) represents the most common subtype of non-Hodgkin lymphoma (NHL) in the United States, and two-thirds of these patients will present with advanced stage (stage III-IV) disease. Although radiation therapy (RT) alone was the first curative therapy for limited stage DLBCL, the advancement of combination chemotherapy with cyclophosphamide, doxorubicin, vincristine and prednisone (CHOP) with the addition of the anti-CD20 antibody rituximab became the cornerstone of current management. The role of consolidative RT as part of first-line therapy in the management of patients with advanced stage DLBCL remains unclear, and represents an area of controversy with considerable differences in patterns of practice across different institutions. Emerging data now challenge the National Comprehensive Cancer Network (NCCN) guidelines, and give support to the use of consolidative RT in patients with advanced stage DLBCL. This review summarizes the major studies as reflected in our current practice and provides further insight into future directions for randomized trials which would help better define the role of consolidative RT in such a cohort. © 2013 Informa UK, Ltd.","author":[{"dropping-particle":"","family":"Shi","given":"Zheng","non-dropping-particle":"","parse-names":false,"suffix":""},{"dropping-particle":"","family":"Esiashvili","given":"Natia","non-dropping-particle":"","parse-names":false,"suffix":""},{"dropping-particle":"","family":"Flowers","given":"Christopher","non-dropping-particle":"","parse-names":false,"suffix":""},{"dropping-particle":"","family":"Das","given":"Satya","non-dropping-particle":"","parse-names":false,"suffix":""},{"dropping-particle":"","family":"Khan","given":"Mohammad K.","non-dropping-particle":"","parse-names":false,"suffix":""}],"container-title":"Leukemia and Lymphoma","id":"ITEM-6","issue":"10","issued":{"date-parts":[["2013","10"]]},"page":"2122-2130","title":"Renewed interest in the role of consolidative radiotherapy in advanced stage diffuse large B-cell lymphoma","type":"article","volume":"54"},"uris":["http://www.mendeley.com/documents/?uuid=54d9c3d2-7224-334a-8c9c-0b7d0407320b"]},{"id":"ITEM-7","itemData":{"ISSN":"0890-9091","PMID":"25510806","abstract":"Diffuse large B-cell lymphoma (DLBCL) is the most common subtype of non-Hodgkin lymphoma. Approximately half of patients will present with advanced (stage III/IV) disease. The cornerstone of treatment is a combination of chemotherapy and immunotherapy, most commonly R-CHOP (rituximab, cyclophosphamide, doxorubicin, vincristine, prednisone). Efforts to improve upon R-CHOP-including more chemotherapy cycles, dose-dense chemotherapy, alternative drug combinations, high-dose chemotherapy with autologous stem cell transplant, and maintenance rituximab-have generally proved unsuccessful. There is a growing body of retrospective and prospective data, however, suggesting a benefit for consolidation radiation therapy (RT) in select patients with advanced DLBCL. Consolidation RT has been shown to improve outcomes for patients with advanced DLBCL generally, and in specific instances including initially bulky disease, bone involvement, or in the setting of a partial response to systemic therapy. In these settings consolidation RT is highly efficacious at achieving local disease control and improving overall outcomes.","author":[{"dropping-particle":"","family":"Boyle","given":"John","non-dropping-particle":"","parse-names":false,"suffix":""},{"dropping-particle":"","family":"Beaven","given":"Anne W","non-dropping-particle":"","parse-names":false,"suffix":""},{"dropping-particle":"","family":"Diehl","given":"Louis F","non-dropping-particle":"","parse-names":false,"suffix":""},{"dropping-particle":"","family":"Prosnitz","given":"Leonard R","non-dropping-particle":"","parse-names":false,"suffix":""},{"dropping-particle":"","family":"Kelsey","given":"Chris R","non-dropping-particle":"","parse-names":false,"suffix":""}],"container-title":"Oncology (Williston Park, N.Y.)","id":"ITEM-7","issue":"12","issued":{"date-parts":[["2014","12"]]},"page":"1074-81, 1084","title":"Improving outcomes in advanced DLBCL: systemic approaches and radiotherapy.","type":"article-journal","volume":"28"},"uris":["http://www.mendeley.com/documents/?uuid=c886d7cf-02e5-344d-ac5f-72ca44dd3184"]},{"id":"ITEM-8","itemData":{"DOI":"10.1002/cncr.29113","ISSN":"10970142","abstract":"BACKGROUND The role of consolidation radiotherapy was examined for patients with diffuse large B-cell lymphoma who were treated at institutions of the National Comprehensive Cancer Network during the rituximab era. METHODS Failure-free survival (FFS) and overall survival (OS) were analyzed in terms of patient and treatment characteristics. Potential associations were investigated with univariate and multivariate survival analysis and matched pair analysis. RESULTS There were 841 patients, and most (710 or 84%) received 6 to 8 cycles of rituximab, cyclophosphamide, doxorubicin, vincristine, and prednisone (R-CHOP); 293 (35%) received consolidation radiation therapy (RT). Failure occurred for 181 patients: 126 patients (70%) who did not receive RT and 55 patients (30%) who did. At 5 years, both OS and FFS rates were better for patients who had received RT versus those who did not (OS, 91% vs 83% [P = .01]; FFS, 83% vs 76% [P = .05]). A matched pair analysis (217 pairs matched by age, stage, International Prognostic Index [IPI] score, B symptoms, disease bulk, and response to chemotherapy) showed that the receipt of RT improved OS (hazard ratio [HR], 0.53 [P = .07]) and FFS (HR, 0.77 [P = .34]) for patients with stage III/IV disease, but too few events took place among those with stage I/II disease for meaningful comparisons (HR for OS, 0.94 [P = .89]; HR for FFS, 1.81 [P = .15]). A multivariate analysis suggested that the IPI score and the response to chemotherapy had the greatest influence on outcomes. CONCLUSIONS There was a trend of higher OS and FFS rates for patients who had received consolidation RT after R-CHOP (especially for patients with stage III/IV disease), but the difference did not reach statistical significance. Cancer 2014.","author":[{"dropping-particle":"","family":"Dabaja","given":"Bouthaina S.","non-dropping-particle":"","parse-names":false,"suffix":""},{"dropping-particle":"","family":"Vanderplas","given":"Ann M.","non-dropping-particle":"","parse-names":false,"suffix":""},{"dropping-particle":"","family":"Crosby-Thompson","given":"Allison L.","non-dropping-particle":"","parse-names":false,"suffix":""},{"dropping-particle":"","family":"Abel","given":"Gregory A.","non-dropping-particle":"","parse-names":false,"suffix":""},{"dropping-particle":"","family":"Czuczman","given":"Myron S.","non-dropping-particle":"","parse-names":false,"suffix":""},{"dropping-particle":"","family":"Friedberg","given":"Jonathan W.","non-dropping-particle":"","parse-names":false,"suffix":""},{"dropping-particle":"","family":"Gordon","given":"Leo I.","non-dropping-particle":"","parse-names":false,"suffix":""},{"dropping-particle":"","family":"Kaminski","given":"Mark","non-dropping-particle":"","parse-names":false,"suffix":""},{"dropping-particle":"","family":"Niland","given":"Joyce","non-dropping-particle":"","parse-names":false,"suffix":""},{"dropping-particle":"","family":"Millenson","given":"Michael","non-dropping-particle":"","parse-names":false,"suffix":""},{"dropping-particle":"","family":"Nademanee","given":"Auayporn P.","non-dropping-particle":"","parse-names":false,"suffix":""},{"dropping-particle":"","family":"Zelenetz","given":"Andrew","non-dropping-particle":"","parse-names":false,"suffix":""},{"dropping-particle":"","family":"Lacasce","given":"Ann S.","non-dropping-particle":"","parse-names":false,"suffix":""},{"dropping-particle":"","family":"Rodriguez","given":"Maria Alma","non-dropping-particle":"","parse-names":false,"suffix":""}],"container-title":"Cancer","id":"ITEM-8","issue":"7","issued":{"date-parts":[["2015","4","1"]]},"page":"1032-1039","publisher":"John Wiley and Sons Inc.","title":"Radiation for diffuse large B-cell lymphoma in the rituximab era: Analysis of the National Comprehensive Cancer Network lymphoma outcomes project","type":"paper-conference","volume":"121"},"uris":["http://www.mendeley.com/documents/?uuid=b24d1ddb-2448-341b-989c-63e965523fea"]}],"mendeley":{"formattedCitation":"[51–53,60–64]","plainTextFormattedCitation":"[51–53,60–64]","previouslyFormattedCitation":"[51–53,60–64]"},"properties":{"noteIndex":0},"schema":"https://github.com/citation-style-language/schema/raw/master/csl-citation.json"}</w:instrText>
      </w:r>
      <w:r w:rsidRPr="00BC258F">
        <w:fldChar w:fldCharType="separate"/>
      </w:r>
      <w:r w:rsidR="00095D58" w:rsidRPr="00095D58">
        <w:rPr>
          <w:noProof/>
        </w:rPr>
        <w:t>[51–53,60–64]</w:t>
      </w:r>
      <w:r w:rsidRPr="00BC258F">
        <w:fldChar w:fldCharType="end"/>
      </w:r>
      <w:r w:rsidRPr="00BC258F">
        <w:t xml:space="preserve">. </w:t>
      </w:r>
    </w:p>
    <w:p w14:paraId="72707BF8" w14:textId="77777777" w:rsidR="00F5607D" w:rsidRPr="000322E4" w:rsidRDefault="00F5607D" w:rsidP="008A40EA">
      <w:pPr>
        <w:spacing w:line="360" w:lineRule="auto"/>
        <w:ind w:left="709"/>
        <w:contextualSpacing/>
        <w:jc w:val="both"/>
        <w:rPr>
          <w:b/>
        </w:rPr>
      </w:pPr>
      <w:r w:rsidRPr="000322E4">
        <w:rPr>
          <w:b/>
        </w:rPr>
        <w:t xml:space="preserve">Уровень убедительности рекомендаций </w:t>
      </w:r>
      <w:r w:rsidR="00D9209D" w:rsidRPr="000322E4">
        <w:rPr>
          <w:b/>
        </w:rPr>
        <w:t xml:space="preserve">С </w:t>
      </w:r>
      <w:r w:rsidRPr="000322E4">
        <w:rPr>
          <w:b/>
        </w:rPr>
        <w:t xml:space="preserve">(уровень достоверности доказательств </w:t>
      </w:r>
      <w:r w:rsidR="00D9209D" w:rsidRPr="000322E4">
        <w:rPr>
          <w:b/>
        </w:rPr>
        <w:t>4</w:t>
      </w:r>
      <w:r w:rsidRPr="000322E4">
        <w:rPr>
          <w:b/>
        </w:rPr>
        <w:t>).</w:t>
      </w:r>
    </w:p>
    <w:p w14:paraId="6050D2B3" w14:textId="6B880B33" w:rsidR="00F5607D" w:rsidRDefault="00F5607D" w:rsidP="009D170B">
      <w:pPr>
        <w:spacing w:line="360" w:lineRule="auto"/>
        <w:ind w:firstLine="709"/>
        <w:contextualSpacing/>
        <w:jc w:val="both"/>
        <w:rPr>
          <w:i/>
          <w:iCs/>
        </w:rPr>
      </w:pPr>
      <w:r w:rsidRPr="000322E4">
        <w:rPr>
          <w:b/>
        </w:rPr>
        <w:t>Комментарий:</w:t>
      </w:r>
      <w:r w:rsidRPr="000322E4">
        <w:rPr>
          <w:bCs/>
        </w:rPr>
        <w:t xml:space="preserve"> </w:t>
      </w:r>
      <w:r w:rsidR="004252FC" w:rsidRPr="000322E4">
        <w:rPr>
          <w:i/>
          <w:iCs/>
        </w:rPr>
        <w:t xml:space="preserve">в </w:t>
      </w:r>
      <w:r w:rsidRPr="000322E4">
        <w:rPr>
          <w:i/>
          <w:iCs/>
        </w:rPr>
        <w:t xml:space="preserve">случае отсутствия противоопухолевого ответа и/или при наличии признаков прогрессирования ДВККЛ </w:t>
      </w:r>
      <w:r w:rsidR="00103620" w:rsidRPr="000322E4">
        <w:rPr>
          <w:i/>
          <w:iCs/>
        </w:rPr>
        <w:t xml:space="preserve">пациент </w:t>
      </w:r>
      <w:r w:rsidRPr="000322E4">
        <w:rPr>
          <w:i/>
          <w:iCs/>
        </w:rPr>
        <w:t>переводится на терапию в рамках 2 линии</w:t>
      </w:r>
      <w:r w:rsidR="00013C75" w:rsidRPr="000322E4">
        <w:rPr>
          <w:i/>
          <w:iCs/>
        </w:rPr>
        <w:t>.</w:t>
      </w:r>
    </w:p>
    <w:p w14:paraId="130A449D" w14:textId="16051B7C" w:rsidR="00EF5047" w:rsidRPr="00BC258F" w:rsidRDefault="00EF5047" w:rsidP="009D170B">
      <w:pPr>
        <w:pStyle w:val="a"/>
        <w:spacing w:before="0"/>
        <w:ind w:left="709"/>
      </w:pPr>
      <w:r w:rsidRPr="00BC258F">
        <w:t>Пациентам старше 18 лет с впервые установленной ДВКЛ</w:t>
      </w:r>
      <w:r w:rsidRPr="00EF5047">
        <w:t xml:space="preserve">, относящимся к группе промежуточного и высокого риска (МПИ 2-5), </w:t>
      </w:r>
      <w:r>
        <w:t>в качестве альтернативного режима</w:t>
      </w:r>
      <w:r w:rsidRPr="00EF5047">
        <w:t xml:space="preserve"> </w:t>
      </w:r>
      <w:r w:rsidRPr="00EF5047">
        <w:rPr>
          <w:b/>
          <w:bCs/>
        </w:rPr>
        <w:t>рекомендуется</w:t>
      </w:r>
      <w:r w:rsidRPr="00EF5047">
        <w:t xml:space="preserve"> проведение 6 циклов иммунохимиотерапии Pola+R-CHP (схемы режимов лечения см. в приложении А3.1) с последующими 2 введениями ритуксимаба в монорежиме (7-8 циклы)</w:t>
      </w:r>
      <w:r w:rsidRPr="00BC258F">
        <w:t xml:space="preserve"> </w:t>
      </w:r>
      <w:r w:rsidRPr="00BC258F">
        <w:fldChar w:fldCharType="begin" w:fldLock="1"/>
      </w:r>
      <w:r w:rsidR="009D170B">
        <w:instrText>ADDIN CSL_CITATION {"citationItems":[{"id":"ITEM-1","itemData":{"DOI":"10.1056/NEJMOA2115304","ISSN":"1533-4406","PMID":"34904799","abstract":"BACKGROUND Diffuse large B-cell lymphoma (DLBCL) is typically treated with rituximab, cyclophosphamide, doxorubicin, vincristine, and prednisone (R-CHOP). However, only 60% of patients are cured with R-CHOP. Polatuzumab vedotin is an antibody-drug conjugate targeting CD79b, which is ubiquitously expressed on the surface of malignant B cells. METHODS We conducted a double-blind, placebo-controlled, international phase 3 trial to evaluate a modified regimen of R-CHOP (pola-R-CHP), in which vincristine was replaced with polatuzumab vedotin, as compared with standard R-CHOP, in patients with previously untreated intermediate-risk or high-risk DLBCL. Patients 18 to 80 years of age were randomly assigned in a 1:1 ratio to receive six cycles of either pola-R-CHP or R-CHOP, plus two cycles of rituximab alone. The primary end point was investigator-assessed progression-free survival. Secondary end points included overall survival and safety. RESULTS Overall, 879 patients underwent randomization: 440 were assigned to the pola-R-CHP group and 439 to the R-CHOP group. After a median follow-up of 28.2 months, the percentage of patients surviving without progression was significantly higher in the pola-R-CHP group than in the R-CHOP group (76.7% [95% confidence interval (CI), 72.7 to 80.8] vs. 70.2% [95% CI, 65.8 to 74.6] at 2 years; stratified hazard ratio for progression, relapse, or death, 0.73 by Cox regression; 95% CI, 0.57 to 0.95; P = 0.02). Overall survival at 2 years did not differ significantly between the groups (88.7% [95% CI, 85.7 to 91.6] in the pola-R-CHP group and 88.6% [95% CI, 85.6 to 91.6] in the R-CHOP group; hazard ratio for death, 0.94; 95% CI, 0.65 to 1.37; P = 0.75). The safety profile was similar in the two groups. CONCLUSIONS Among patients with previously untreated intermediate-risk or high-risk DLBCL, the risk of disease progression, relapse, or death was lower among those who received pola-R-CHP than among those who received R-CHOP. (Funded by F. Hoffmann-La Roche/Genentech; POLARIX ClinicalTrials.gov number, NCT03274492.).","author":[{"dropping-particle":"","family":"Tilly","given":"Hervé","non-dropping-particle":"","parse-names":false,"suffix":""},{"dropping-particle":"","family":"Morschhauser","given":"Franck","non-dropping-particle":"","parse-names":false,"suffix":""},{"dropping-particle":"","family":"Sehn","given":"Laurie H.","non-dropping-particle":"","parse-names":false,"suffix":""},{"dropping-particle":"","family":"Friedberg","given":"Jonathan W.","non-dropping-particle":"","parse-names":false,"suffix":""},{"dropping-particle":"","family":"Trněný","given":"Marek","non-dropping-particle":"","parse-names":false,"suffix":""},{"dropping-particle":"","family":"Sharman","given":"Jeff P.","non-dropping-particle":"","parse-names":false,"suffix":""},{"dropping-particle":"","family":"Herbaux","given":"Charles","non-dropping-particle":"","parse-names":false,"suffix":""},{"dropping-particle":"","family":"Burke","given":"John M.","non-dropping-particle":"","parse-names":false,"suffix":""},{"dropping-particle":"","family":"Matasar","given":"Matthew","non-dropping-particle":"","parse-names":false,"suffix":""},{"dropping-particle":"","family":"Rai","given":"Shinya","non-dropping-particle":"","parse-names":false,"suffix":""},{"dropping-particle":"","family":"Izutsu","given":"Koji","non-dropping-particle":"","parse-names":false,"suffix":""},{"dropping-particle":"","family":"Mehta-Shah","given":"Neha","non-dropping-particle":"","parse-names":false,"suffix":""},{"dropping-particle":"","family":"Oberic","given":"Lucie","non-dropping-particle":"","parse-names":false,"suffix":""},{"dropping-particle":"","family":"Chauchet","given":"Adrien","non-dropping-particle":"","parse-names":false,"suffix":""},{"dropping-particle":"","family":"Jurczak","given":"Wojciech","non-dropping-particle":"","parse-names":false,"suffix":""},{"dropping-particle":"","family":"Song","given":"Yuqin","non-dropping-particle":"","parse-names":false,"suffix":""},{"dropping-particle":"","family":"Greil","given":"Richard","non-dropping-particle":"","parse-names":false,"suffix":""},{"dropping-particle":"","family":"Mykhalska","given":"Larysa","non-dropping-particle":"","parse-names":false,"suffix":""},{"dropping-particle":"","family":"Bergua-Burgués","given":"Juan M.","non-dropping-particle":"","parse-names":false,"suffix":""},{"dropping-particle":"","family":"Cheung","given":"Matthew C.","non-dropping-particle":"","parse-names":false,"suffix":""},{"dropping-particle":"","family":"Pinto","given":"Antonio","non-dropping-particle":"","parse-names":false,"suffix":""},{"dropping-particle":"","family":"Shin","given":"Ho-Jin","non-dropping-particle":"","parse-names":false,"suffix":""},{"dropping-particle":"","family":"Hapgood","given":"Greg","non-dropping-particle":"","parse-names":false,"suffix":""},{"dropping-particle":"","family":"Munhoz","given":"Eduardo","non-dropping-particle":"","parse-names":false,"suffix":""},{"dropping-particle":"","family":"Abrisqueta","given":"Pau","non-dropping-particle":"","parse-names":false,"suffix":""},{"dropping-particle":"","family":"Gau","given":"Jyh-Pyng","non-dropping-particle":"","parse-names":false,"suffix":""},{"dropping-particle":"","family":"Hirata","given":"Jamie","non-dropping-particle":"","parse-names":false,"suffix":""},{"dropping-particle":"","family":"Jiang","given":"Yanwen","non-dropping-particle":"","parse-names":false,"suffix":""},{"dropping-particle":"","family":"Yan","given":"Mark","non-dropping-particle":"","parse-names":false,"suffix":""},{"dropping-particle":"","family":"Lee","given":"Calvin","non-dropping-particle":"","parse-names":false,"suffix":""},{"dropping-particle":"","family":"Flowers","given":"Christopher R.","non-dropping-particle":"","parse-names":false,"suffix":""},{"dropping-particle":"","family":"Salles","given":"Gilles","non-dropping-particle":"","parse-names":false,"suffix":""}],"container-title":"The New England journal of medicine","id":"ITEM-1","issue":"4","issued":{"date-parts":[["2022","1","27"]]},"page":"351-363","publisher":"N Engl J Med","title":"Polatuzumab Vedotin in Previously Untreated Diffuse Large B-Cell Lymphoma","type":"article-journal","volume":"386"},"uris":["http://www.mendeley.com/documents/?uuid=8cdd3a88-7ad8-3602-9581-79d8bad4aacc"]}],"mendeley":{"formattedCitation":"[65]","plainTextFormattedCitation":"[65]","previouslyFormattedCitation":"[65]"},"properties":{"noteIndex":0},"schema":"https://github.com/citation-style-language/schema/raw/master/csl-citation.json"}</w:instrText>
      </w:r>
      <w:r w:rsidRPr="00BC258F">
        <w:fldChar w:fldCharType="separate"/>
      </w:r>
      <w:r w:rsidR="00095D58" w:rsidRPr="00095D58">
        <w:rPr>
          <w:noProof/>
        </w:rPr>
        <w:t>[65]</w:t>
      </w:r>
      <w:r w:rsidRPr="00BC258F">
        <w:fldChar w:fldCharType="end"/>
      </w:r>
      <w:r w:rsidRPr="00BC258F">
        <w:t xml:space="preserve">. </w:t>
      </w:r>
    </w:p>
    <w:p w14:paraId="0BF701EC" w14:textId="00F02092" w:rsidR="00EF5047" w:rsidRPr="000322E4" w:rsidRDefault="00EF5047" w:rsidP="00EF5047">
      <w:pPr>
        <w:spacing w:line="360" w:lineRule="auto"/>
        <w:ind w:left="709"/>
        <w:contextualSpacing/>
        <w:jc w:val="both"/>
        <w:rPr>
          <w:b/>
        </w:rPr>
      </w:pPr>
      <w:r w:rsidRPr="000322E4">
        <w:rPr>
          <w:b/>
        </w:rPr>
        <w:t xml:space="preserve">Уровень убедительности рекомендаций </w:t>
      </w:r>
      <w:r w:rsidR="006A4859">
        <w:rPr>
          <w:b/>
          <w:lang w:val="en-US"/>
        </w:rPr>
        <w:t>B</w:t>
      </w:r>
      <w:r w:rsidRPr="000322E4">
        <w:rPr>
          <w:b/>
        </w:rPr>
        <w:t xml:space="preserve"> (уровень достоверности доказательств </w:t>
      </w:r>
      <w:r w:rsidR="006A4859" w:rsidRPr="006A4859">
        <w:rPr>
          <w:b/>
        </w:rPr>
        <w:t>2</w:t>
      </w:r>
      <w:r w:rsidRPr="000322E4">
        <w:rPr>
          <w:b/>
        </w:rPr>
        <w:t>).</w:t>
      </w:r>
    </w:p>
    <w:p w14:paraId="5D229711" w14:textId="6E56E3B1" w:rsidR="00EF5047" w:rsidRDefault="00EF5047" w:rsidP="009D170B">
      <w:pPr>
        <w:spacing w:line="360" w:lineRule="auto"/>
        <w:ind w:firstLine="709"/>
        <w:contextualSpacing/>
        <w:jc w:val="both"/>
        <w:rPr>
          <w:i/>
          <w:iCs/>
        </w:rPr>
      </w:pPr>
      <w:r w:rsidRPr="000322E4">
        <w:rPr>
          <w:b/>
        </w:rPr>
        <w:t>Комментарий:</w:t>
      </w:r>
      <w:r w:rsidRPr="000322E4">
        <w:rPr>
          <w:bCs/>
        </w:rPr>
        <w:t xml:space="preserve"> </w:t>
      </w:r>
      <w:r w:rsidR="006A4859" w:rsidRPr="006A4859">
        <w:rPr>
          <w:i/>
          <w:iCs/>
        </w:rPr>
        <w:t>эффективность комбинации полатузумаба ведотина с ритуксимабом, доксорубицином, циклофосфомидом и преднизолоном (Pola + R-CHP) у пациентов с впервые диагностированной ДВКЛ (МПИ 2-5) была продемонстрирована в многоцентровом рандомизированном двойном слепом плацебо-контролируем исследование III фазы POLARIX. Риск  развития рецидива\прогрессирования в группе  полатузумаба ведотина был снижен на 27% (ОР 0.73, p&lt;0.02) по сравнению с группой, получавшей R-CHOP.</w:t>
      </w:r>
    </w:p>
    <w:p w14:paraId="1669E66E" w14:textId="19185C95" w:rsidR="006A4859" w:rsidRPr="006A4859" w:rsidRDefault="006A4859" w:rsidP="009D170B">
      <w:pPr>
        <w:spacing w:line="360" w:lineRule="auto"/>
        <w:ind w:firstLine="709"/>
        <w:contextualSpacing/>
        <w:jc w:val="both"/>
        <w:rPr>
          <w:i/>
          <w:iCs/>
        </w:rPr>
      </w:pPr>
      <w:r w:rsidRPr="006A4859">
        <w:rPr>
          <w:i/>
          <w:iCs/>
        </w:rPr>
        <w:t>Процедура рестадирования после 3 и 6 циклов (см. раздел 7.6).</w:t>
      </w:r>
    </w:p>
    <w:p w14:paraId="17B015BD" w14:textId="74A5B86F" w:rsidR="00A61C76" w:rsidRPr="000322E4" w:rsidRDefault="00A61C76" w:rsidP="009D170B">
      <w:pPr>
        <w:pStyle w:val="a"/>
        <w:spacing w:before="0"/>
        <w:ind w:left="709"/>
      </w:pPr>
      <w:r w:rsidRPr="000322E4">
        <w:t>Пациентам старше 18 лет с впервые установленной ДВКЛ</w:t>
      </w:r>
      <w:r w:rsidR="001E1A3A" w:rsidRPr="000322E4">
        <w:t xml:space="preserve"> </w:t>
      </w:r>
      <w:r w:rsidRPr="000322E4">
        <w:t xml:space="preserve">при наличии серьезной </w:t>
      </w:r>
      <w:r w:rsidR="00D9209D" w:rsidRPr="000322E4">
        <w:t xml:space="preserve">сердечно-сосудистой </w:t>
      </w:r>
      <w:r w:rsidRPr="000322E4">
        <w:t xml:space="preserve">патологии </w:t>
      </w:r>
      <w:r w:rsidRPr="000322E4">
        <w:rPr>
          <w:rStyle w:val="affc"/>
          <w:i w:val="0"/>
        </w:rPr>
        <w:t xml:space="preserve">(снижение фракции выброса левого </w:t>
      </w:r>
      <w:r w:rsidRPr="000322E4">
        <w:rPr>
          <w:rStyle w:val="affc"/>
          <w:i w:val="0"/>
        </w:rPr>
        <w:lastRenderedPageBreak/>
        <w:t xml:space="preserve">желудочка ниже 50%) </w:t>
      </w:r>
      <w:r w:rsidRPr="000322E4">
        <w:rPr>
          <w:rStyle w:val="affc"/>
          <w:b/>
          <w:bCs/>
          <w:i w:val="0"/>
        </w:rPr>
        <w:t>рекомендуется</w:t>
      </w:r>
      <w:r w:rsidRPr="000322E4">
        <w:rPr>
          <w:rStyle w:val="affc"/>
          <w:i w:val="0"/>
        </w:rPr>
        <w:t xml:space="preserve"> терапия режимами иммунохимиотерапии, не содержащими доксорубицин** или с использованием пегилированного липосомального доксорубицина**</w:t>
      </w:r>
      <w:r w:rsidR="00FE2B46" w:rsidRPr="000322E4">
        <w:rPr>
          <w:rStyle w:val="affc"/>
          <w:i w:val="0"/>
        </w:rPr>
        <w:t>:</w:t>
      </w:r>
      <w:r w:rsidRPr="000322E4">
        <w:rPr>
          <w:rStyle w:val="affc"/>
          <w:i w:val="0"/>
        </w:rPr>
        <w:t xml:space="preserve"> </w:t>
      </w:r>
      <w:r w:rsidR="007F4661" w:rsidRPr="000322E4">
        <w:rPr>
          <w:rStyle w:val="affc"/>
          <w:i w:val="0"/>
          <w:lang w:val="en-US"/>
        </w:rPr>
        <w:t>CHOP</w:t>
      </w:r>
      <w:r w:rsidR="007F4661" w:rsidRPr="000322E4">
        <w:rPr>
          <w:rStyle w:val="affc"/>
          <w:i w:val="0"/>
        </w:rPr>
        <w:t xml:space="preserve"> с пегилированным липосомальным доксорубицином, </w:t>
      </w:r>
      <w:r w:rsidRPr="000322E4">
        <w:rPr>
          <w:rStyle w:val="affc"/>
          <w:i w:val="0"/>
          <w:color w:val="000000" w:themeColor="text1"/>
        </w:rPr>
        <w:t>CEOP</w:t>
      </w:r>
      <w:r w:rsidRPr="000322E4">
        <w:rPr>
          <w:rStyle w:val="affc"/>
          <w:i w:val="0"/>
        </w:rPr>
        <w:t>,</w:t>
      </w:r>
      <w:r w:rsidR="007F4661" w:rsidRPr="000322E4">
        <w:rPr>
          <w:rStyle w:val="affc"/>
          <w:i w:val="0"/>
        </w:rPr>
        <w:t xml:space="preserve"> </w:t>
      </w:r>
      <w:r w:rsidR="007F4661" w:rsidRPr="000322E4">
        <w:rPr>
          <w:rStyle w:val="affc"/>
          <w:i w:val="0"/>
          <w:lang w:val="en-US"/>
        </w:rPr>
        <w:t>CCOP</w:t>
      </w:r>
      <w:r w:rsidR="008A40EA" w:rsidRPr="000322E4">
        <w:rPr>
          <w:rStyle w:val="affc"/>
          <w:i w:val="0"/>
        </w:rPr>
        <w:t>,</w:t>
      </w:r>
      <w:r w:rsidRPr="000322E4">
        <w:rPr>
          <w:rStyle w:val="affc"/>
          <w:i w:val="0"/>
        </w:rPr>
        <w:t xml:space="preserve"> GCVP</w:t>
      </w:r>
      <w:r w:rsidR="005C1E9B" w:rsidRPr="000322E4">
        <w:rPr>
          <w:rStyle w:val="affc"/>
          <w:i w:val="0"/>
        </w:rPr>
        <w:t xml:space="preserve">, </w:t>
      </w:r>
      <w:r w:rsidR="005C1E9B" w:rsidRPr="000322E4">
        <w:rPr>
          <w:rStyle w:val="affc"/>
          <w:i w:val="0"/>
          <w:lang w:val="en-US"/>
        </w:rPr>
        <w:t>CNOP</w:t>
      </w:r>
      <w:r w:rsidRPr="000322E4">
        <w:rPr>
          <w:rStyle w:val="affc"/>
          <w:i w:val="0"/>
        </w:rPr>
        <w:t xml:space="preserve"> </w:t>
      </w:r>
      <w:r w:rsidR="00FB58EF" w:rsidRPr="000322E4">
        <w:rPr>
          <w:rStyle w:val="affc"/>
          <w:i w:val="0"/>
        </w:rPr>
        <w:t>в комбинации с ритуксимабом** (</w:t>
      </w:r>
      <w:r w:rsidR="001E1A3A" w:rsidRPr="000322E4">
        <w:rPr>
          <w:rStyle w:val="affc"/>
          <w:i w:val="0"/>
        </w:rPr>
        <w:t>см. приложение А3.1</w:t>
      </w:r>
      <w:r w:rsidRPr="000322E4">
        <w:rPr>
          <w:rStyle w:val="affc"/>
          <w:i w:val="0"/>
        </w:rPr>
        <w:t>)</w:t>
      </w:r>
      <w:r w:rsidR="008A40EA" w:rsidRPr="000322E4">
        <w:rPr>
          <w:rStyle w:val="affc"/>
          <w:i w:val="0"/>
        </w:rPr>
        <w:t xml:space="preserve"> </w:t>
      </w:r>
      <w:r w:rsidR="005C1E9B" w:rsidRPr="000322E4">
        <w:fldChar w:fldCharType="begin" w:fldLock="1"/>
      </w:r>
      <w:r w:rsidR="009D170B">
        <w:instrText>ADDIN CSL_CITATION {"citationItems":[{"id":"ITEM-1","itemData":{"ISSN":"0390-6078","PMID":"12161358","abstract":"BACKGROUND AND OBJECTIVES Anthracycline-based combination chemotherapy regimens are the standard therapy for patients with diffuse large B-cell lymphoma (DLBCL), but such regimens may be poorly tolerated in elderly patients. DESIGN AND METHODS In a prospective phase II study we analyzed the feasibility of a regimen (CCOP) that includes pegylated liposomal doxorubicin (Caelyx ) plus vincristine, cyclophosphamide and prednisone in patients with DLBCL above the age of 60 years. RESULTS Thirty-three patients, with a median age of 74 years, were enrolled in the study. The overall response rate was 64% (49% complete remissions and 15% partial remissions). The estimated one-year overall and event-free survivals were 55% (95% CI, 38-72) and 45% (95%CI, 28-62), respectively. The only relevant toxicity was neutropenia, which reached grades 3-4 in 21 cases (64%). INTERPRETATION AND CONCLUSIONS These results suggest that CCOP appears to be an acceptable alternative for elderly patients with DLBCL, and randomized trials against a conventional doxorubicin-containing regimen are justified.","author":[{"dropping-particle":"","family":"Martino","given":"Rodrigo","non-dropping-particle":"","parse-names":false,"suffix":""},{"dropping-particle":"","family":"Perea","given":"Granada","non-dropping-particle":"","parse-names":false,"suffix":""},{"dropping-particle":"","family":"Caballero","given":"María Dolores","non-dropping-particle":"","parse-names":false,"suffix":""},{"dropping-particle":"V","family":"Mateos","given":"María","non-dropping-particle":"","parse-names":false,"suffix":""},{"dropping-particle":"","family":"Ribera","given":"Josep M","non-dropping-particle":"","parse-names":false,"suffix":""},{"dropping-particle":"","family":"Oteyza","given":"Jaime Pérez","non-dropping-particle":"de","parse-names":false,"suffix":""},{"dropping-particle":"","family":"Arranz","given":"Reyes","non-dropping-particle":"","parse-names":false,"suffix":""},{"dropping-particle":"","family":"Terol","given":"María José","non-dropping-particle":"","parse-names":false,"suffix":""},{"dropping-particle":"","family":"Sierra","given":"Jorge","non-dropping-particle":"","parse-names":false,"suffix":""},{"dropping-particle":"","family":"San Miguel","given":"Jesús F","non-dropping-particle":"","parse-names":false,"suffix":""}],"container-title":"Haematologica","id":"ITEM-1","issue":"8","issued":{"date-parts":[["2002","8","1"]]},"page":"822-7","publisher":"Haematologica","title":"Cyclophosphamide, pegylated liposomal doxorubicin (Caelyx), vincristine and prednisone (CCOP) in elderly patients with diffuse large B-cell lymphoma: results from a prospective phase II study.","type":"article-journal","volume":"87"},"uris":["http://www.mendeley.com/documents/?uuid=3f2e1abe-b820-48c7-b6d1-a9c3185592ee"]},{"id":"ITEM-2","itemData":{"DOI":"10.1080/10428190600799946","ISSN":"10428194","abstract":"Thirty untreated patients, median age 69 years (range 60-75 years), with diffuse large B-cell lymphoma (B-DLCL) were treated with a pegylated liposomal doxorubicin (PL-doxorubicin) modified CHOP-rituximab regimen. PL-doxorubicin 30 mg/m2, was given in combination with standard dosage of prednisone, vincristine, cyclophosphamide, rituximab (according to CHOP-R regimen) every 21 days for six courses. Cardiac toxicity was evaluated by mean of echocardiography for left ventricular ejection fraction (LVEF) evaluations and serum troponin-I levels. Overall response and complete response rates were 76% and 59%. Projected two year event free survival and overall survival are 65.5% and 68.5%. No treatment-related mortality was documented. WHO grade III-IV neutropenia and thrombocytopenia were 86% and 3%. Extra-hematological III-IV toxicity was represented, respectively, by a single case of infection, mucositis, and bleeding. LVEF evaluations and the troponin levels did not show significant changes over the course of the treatment. One patient with a previous history of atrial fibrillation experienced a single episode of arrhythmia. None of the patients developed palmar-plantar erythrodysesthesia. This regimen appears an active regimen for the treatment of elderly patients with B-DLCL. The replacement of conventional doxorubicin with PL-doxorubicin seems to be associated with a negligible incidence of extra-hematological toxicity, in particular cardiac and infectious complications.","author":[{"dropping-particle":"","family":"Zaja","given":"F.","non-dropping-particle":"","parse-names":false,"suffix":""},{"dropping-particle":"","family":"Tomadini","given":"V.","non-dropping-particle":"","parse-names":false,"suffix":""},{"dropping-particle":"","family":"Zaccaria","given":"A.","non-dropping-particle":"","parse-names":false,"suffix":""},{"dropping-particle":"","family":"Lenoci","given":"M.","non-dropping-particle":"","parse-names":false,"suffix":""},{"dropping-particle":"","family":"Battista","given":"M.","non-dropping-particle":"","parse-names":false,"suffix":""},{"dropping-particle":"","family":"Molinari","given":"A. L.","non-dropping-particle":"","parse-names":false,"suffix":""},{"dropping-particle":"","family":"Fabbri","given":"A.","non-dropping-particle":"","parse-names":false,"suffix":""},{"dropping-particle":"","family":"Battista","given":"R.","non-dropping-particle":"","parse-names":false,"suffix":""},{"dropping-particle":"","family":"Cabras","given":"M. G.","non-dropping-particle":"","parse-names":false,"suffix":""},{"dropping-particle":"","family":"Gallamini","given":"A.","non-dropping-particle":"","parse-names":false,"suffix":""},{"dropping-particle":"","family":"Fanin","given":"R.","non-dropping-particle":"","parse-names":false,"suffix":""}],"container-title":"Leukemia and Lymphoma","id":"ITEM-2","issue":"10","issued":{"date-parts":[["2006","10"]]},"page":"2174-2180","title":"CHOP-rituximab with pegylated liposomal doxorubicin for the treatment of elderly patients with diffuse large B-cell lymphoma","type":"article-journal","volume":"47"},"uris":["http://www.mendeley.com/documents/?uuid=f43fc2fc-c6d0-394a-ab16-c200c65f161a"]},{"id":"ITEM-3","itemData":{"DOI":"10.1182/blood.v114.22.408.408","ISSN":"0006-4971","abstract":"Abstract 408","author":[{"dropping-particle":"","family":"Moccia","given":"Alden A.","non-dropping-particle":"","parse-names":false,"suffix":""},{"dropping-particle":"","family":"Schaff","given":"Kimberly","non-dropping-particle":"","parse-names":false,"suffix":""},{"dropping-particle":"","family":"Hoskins","given":"Paul","non-dropping-particle":"","parse-names":false,"suffix":""},{"dropping-particle":"","family":"Klasa","given":"Richard","non-dropping-particle":"","parse-names":false,"suffix":""},{"dropping-particle":"","family":"Savage","given":"Kerry J.","non-dropping-particle":"","parse-names":false,"suffix":""},{"dropping-particle":"","family":"Shenkier","given":"Tamara","non-dropping-particle":"","parse-names":false,"suffix":""},{"dropping-particle":"","family":"Gascoyne","given":"Randy D.","non-dropping-particle":"","parse-names":false,"suffix":""},{"dropping-particle":"","family":"Connors","given":"Joseph M.","non-dropping-particle":"","parse-names":false,"suffix":""},{"dropping-particle":"","family":"Sehn","given":"Laurie H.","non-dropping-particle":"","parse-names":false,"suffix":""}],"container-title":"Blood","id":"ITEM-3","issue":"22","issued":{"date-parts":[["2009","11","20"]]},"page":"408-408","publisher":"American Society of Hematology","title":"R-CHOP with Etoposide Substituted for Doxorubicin (R-CEOP): Excellent Outcome in Diffuse Large B Cell Lymphoma for Patients with a Contraindication to Anthracyclines.","type":"article-journal","volume":"114"},"uris":["http://www.mendeley.com/documents/?uuid=077fb5fc-03d3-38fb-a737-1e2c0637b312"]},{"id":"ITEM-4","itemData":{"DOI":"10.1200/JCO.2013.49.7586","ISSN":"15277755","abstract":"Purpose: The treatment of patients with diffuse large B-cell lymphoma (DLBCL) with cardiac comorbidity is problematic, because this group may not be able to receive anthracycline-containing chemoimmunotherapy. We designed a single-arm phase II multicenter trial of rituximab, gemcitabine, cyclophosphamide, vincristine, and prednisolone (R-GCVP) in patients considered unfit for anthracycline-containing chemoimmunotherapy because of cardiac comorbidity. Patients and Methods: Sixty-one of 62 patients received R-GCVP, administered on day 1 with gemcitabine repeated on day 8 of a 21-day cycle. Median age was 76.5 years. All patients had advanced disease; 27 (43.5%) had left ventricular ejection fraction of ≤ 50%, and 35 (56.5%) had borderline ejection fraction of &gt; 50% but ≤ 55% and comorbid cardiac risk factors such as ischemic heart disease, diabetes mellitus, or hypertension. Primary end point was overall response rate at the end of treatment. Results: Thirty-eight patients (61.3%; 95% CI, 49.2 to 73.4) achieved disease response (complete response [CR], n = 18; undocumented/unconfirmed CR, n = 6; partial response, n = 14). Two-year progression-free survival for all patients was 49.8% (95% CI, 37.3 to 62.3), and 2-year overall survival was 55.8% (95% CI, 43.3 to 68.4). Thirty-four patients experienced grade ≥ 3 hematologic toxicity. There were 15 cardiac events, of which seven were grade 1 to 2, five were grade 3 to 4, and three were fatal, reflecting the poor cardiac status of the study population. Conclusion: Our phase II multicenter trial showed that the R-GCVP regimen is an active, reasonably well-tolerated treatment for patients with DLBCL for whom anthracycline-containing immunochemotherapy was considered unsuitable because of coexisting cardiac disease. © 2013 by American Society of Clinical Oncology.","author":[{"dropping-particle":"","family":"Fields","given":"Paul A.","non-dropping-particle":"","parse-names":false,"suffix":""},{"dropping-particle":"","family":"Townsend","given":"William","non-dropping-particle":"","parse-names":false,"suffix":""},{"dropping-particle":"","family":"Webb","given":"Andrew","non-dropping-particle":"","parse-names":false,"suffix":""},{"dropping-particle":"","family":"Counsell","given":"Nicholas","non-dropping-particle":"","parse-names":false,"suffix":""},{"dropping-particle":"","family":"Pocock","given":"Christopher","non-dropping-particle":"","parse-names":false,"suffix":""},{"dropping-particle":"","family":"Smith","given":"Paul","non-dropping-particle":"","parse-names":false,"suffix":""},{"dropping-particle":"","family":"Jack","given":"Andrew","non-dropping-particle":"","parse-names":false,"suffix":""},{"dropping-particle":"","family":"El-Mehidi","given":"Nadjet","non-dropping-particle":"","parse-names":false,"suffix":""},{"dropping-particle":"","family":"Johnson","given":"Peter W.","non-dropping-particle":"","parse-names":false,"suffix":""},{"dropping-particle":"","family":"Radford","given":"John","non-dropping-particle":"","parse-names":false,"suffix":""},{"dropping-particle":"","family":"Linch","given":"David C.","non-dropping-particle":"","parse-names":false,"suffix":""},{"dropping-particle":"","family":"Cunnningham","given":"David","non-dropping-particle":"","parse-names":false,"suffix":""}],"container-title":"Journal of Clinical Oncology","id":"ITEM-4","issue":"4","issued":{"date-parts":[["2014","2","1"]]},"page":"282-287","publisher":"American Society of Clinical Oncology","title":"De novo treatment of diffuse large B-cell lymphoma with rituximab, cyclophosphamide, vincristine, gemcitabine, and prednisolone in patients with cardiac comorbidity: A United Kingdom National Cancer Research Institute trial","type":"article-journal","volume":"32"},"uris":["http://www.mendeley.com/documents/?uuid=0847902b-64d1-3c94-b0e5-4eabd02def00"]},{"id":"ITEM-5","itemData":{"DOI":"10.1016/S1726-4901(08)70106-0","ISSN":"17287731","abstract":"Primary splenic lymphoma (PSL) is a rare disease with ambiguous definition, comprising less than 1% of non-Hodgkin's lymphoma. Even rarer is PSL combined with hemophagocytic lymphohistiocytosis (HLH), which has presentations of fever, cytopenia, hepatosplenomegaly, hyperferritinemia, and phagocytosis of hematopoietic cells in the reticuloendothelial system. We report the case of a 77-year-old man who presented with HLH initially. Refusing diagnostic splenectomy, he received chemotherapy. Spontaneous splenic rupture occurred after chemotherapy. In the following emergency operation, PSL was diagnosed. He received another 5 courses of chemotherapy with the R-CNOP regimen (rituximab, cyclophosphamide, mitoxantrone, vincristine, prednisolone). Now he has no residual or relapsed disease. Diagnostic splenectomy for adult HLH patients without definite etiologies may play an important role. © 2008 Elsevier. All rights reserved.","author":[{"dropping-particle":"","family":"Han","given":"Shao Min","non-dropping-particle":"","parse-names":false,"suffix":""},{"dropping-particle":"","family":"Teng","given":"Chieh Lin","non-dropping-particle":"","parse-names":false,"suffix":""},{"dropping-particle":"","family":"Hwang","given":"Guang Yuh","non-dropping-particle":"","parse-names":false,"suffix":""},{"dropping-particle":"","family":"Chou","given":"Guan","non-dropping-particle":"","parse-names":false,"suffix":""},{"dropping-particle":"","family":"Tsai","given":"Che An","non-dropping-particle":"","parse-names":false,"suffix":""}],"container-title":"Journal of the Chinese Medical Association","id":"ITEM-5","issue":"4","issued":{"date-parts":[["2008","4"]]},"page":"210-213","publisher":"Elsevier (Singapore) Pte Ltd","title":"Primary splenic lymphoma associated with hemophagocytic lymphohistiocytosis complicated with splenic rupture","type":"article-journal","volume":"71"},"uris":["http://www.mendeley.com/documents/?uuid=d18e0634-d75a-3799-9100-3435cd2d0334"]},{"id":"ITEM-6","itemData":{"DOI":"10.1007/s12325-017-0612-x","ISSN":"18658652","abstract":"Abstract: Rituximab is a human/murine, chimeric anti-CD20 monoclonal antibody with established efficacy, and a favorable and well-defined safety profile in patients with various CD20-expressing lymphoid malignancies, including indolent and aggressive forms of B-cell non-Hodgkin lymphoma. Since its first approval 20 years ago, intravenously administered rituximab has revolutionized the treatment of B-cell malignancies and has become a standard component of care for follicular lymphoma, diffuse large B-cell lymphoma, chronic lymphocytic leukemia, and mantle cell lymphoma. For all of these diseases, clinical trials have demonstrated that rituximab not only prolongs the time to disease progression but also extends overall survival. Efficacy benefits have also been shown in patients with marginal zone lymphoma and in more aggressive diseases such as Burkitt lymphoma. Although the proven clinical efficacy and success of rituximab has led to the development of other anti-CD20 monoclonal antibodies in recent years (e.g., obinutuzumab, ofatumumab, veltuzumab, and ocrelizumab), rituximab is likely to maintain a position within the therapeutic armamentarium because it is well established with a long history of successful clinical use. Furthermore, a subcutaneous formulation of the drug has been approved both in the EU and in the USA for the treatment of B-cell malignancies. Using the wealth of data published on rituximab during the last two decades, we review the preclinical development of rituximab and the clinical experience gained in the treatment of hematologic B-cell malignancies, with a focus on the well-established intravenous route of administration. This article is a companion paper to A. Davies, et al., which is also published in this issue. Funding: F. Hoffmann-La Roche Ltd., Basel, Switzerland.","author":[{"dropping-particle":"","family":"Salles","given":"Gilles","non-dropping-particle":"","parse-names":false,"suffix":""},{"dropping-particle":"","family":"Barrett","given":"Martin","non-dropping-particle":"","parse-names":false,"suffix":""},{"dropping-particle":"","family":"Foà","given":"Robin","non-dropping-particle":"","parse-names":false,"suffix":""},{"dropping-particle":"","family":"Maurer","given":"Joerg","non-dropping-particle":"","parse-names":false,"suffix":""},{"dropping-particle":"","family":"O’Brien","given":"Susan","non-dropping-particle":"","parse-names":false,"suffix":""},{"dropping-particle":"","family":"Valente","given":"Nancy","non-dropping-particle":"","parse-names":false,"suffix":""},{"dropping-particle":"","family":"Wenger","given":"Michael","non-dropping-particle":"","parse-names":false,"suffix":""},{"dropping-particle":"","family":"Maloney","given":"David G.","non-dropping-particle":"","parse-names":false,"suffix":""}],"container-title":"Advances in Therapy","id":"ITEM-6","issue":"10","issued":{"date-parts":[["2017"]]},"page":"2232-2273","title":"Rituximab in B-Cell Hematologic Malignancies: A Review of 20 Years of Clinical Experience","type":"article","volume":"34"},"uris":["http://www.mendeley.com/documents/?uuid=99572feb-1e31-3440-866b-d3d6fcf81668"]},{"id":"ITEM-7","itemData":{"DOI":"10.1200/jco.2006.24.18_suppl.7577","ISSN":"0732-183X","abstract":"&lt;p&gt;7577&lt;/p&gt;","author":[{"dropping-particle":"","family":"Raefsky","given":"E. L.","non-dropping-particle":"","parse-names":false,"suffix":""},{"dropping-particle":"","family":"Greco","given":"F. A.","non-dropping-particle":"","parse-names":false,"suffix":""},{"dropping-particle":"","family":"Spigel","given":"D. R.","non-dropping-particle":"","parse-names":false,"suffix":""},{"dropping-particle":"","family":"Doss","given":"H. H.","non-dropping-particle":"","parse-names":false,"suffix":""},{"dropping-particle":"","family":"Farley","given":"C.","non-dropping-particle":"","parse-names":false,"suffix":""},{"dropping-particle":"","family":"Saez","given":"R.","non-dropping-particle":"","parse-names":false,"suffix":""},{"dropping-particle":"","family":"Kommor","given":"M.","non-dropping-particle":"","parse-names":false,"suffix":""},{"dropping-particle":"","family":"Hainsworth","given":"J. D.","non-dropping-particle":"","parse-names":false,"suffix":""}],"container-title":"Journal of Clinical Oncology","id":"ITEM-7","issue":"18_suppl","issued":{"date-parts":[["2006","6","20"]]},"page":"7577-7577","publisher":"American Society of Clinical Oncology","title":"Brief duration rituximab(R)/chemotherapy (CNOP or CVP) followed by maintenance rituximab in elderly/poor performance status patients (pts) with diffuse large B-cell lymphoma (DLBCL): A phase II trial of the Minnie Pearl Cancer Research Network","type":"article-journal","volume":"24"},"uris":["http://www.mendeley.com/documents/?uuid=76f4f06c-afe0-37d5-89e5-46625af51045"]}],"mendeley":{"formattedCitation":"[66–72]","plainTextFormattedCitation":"[66–72]","previouslyFormattedCitation":"[66–72]"},"properties":{"noteIndex":0},"schema":"https://github.com/citation-style-language/schema/raw/master/csl-citation.json"}</w:instrText>
      </w:r>
      <w:r w:rsidR="005C1E9B" w:rsidRPr="000322E4">
        <w:fldChar w:fldCharType="separate"/>
      </w:r>
      <w:r w:rsidR="00095D58" w:rsidRPr="00095D58">
        <w:rPr>
          <w:noProof/>
        </w:rPr>
        <w:t>[66–72]</w:t>
      </w:r>
      <w:r w:rsidR="005C1E9B" w:rsidRPr="000322E4">
        <w:fldChar w:fldCharType="end"/>
      </w:r>
    </w:p>
    <w:p w14:paraId="593EBF09" w14:textId="77777777" w:rsidR="00A61C76" w:rsidRPr="000322E4" w:rsidRDefault="00A61C76" w:rsidP="008E3584">
      <w:pPr>
        <w:spacing w:line="360" w:lineRule="auto"/>
        <w:ind w:left="709"/>
        <w:contextualSpacing/>
        <w:jc w:val="both"/>
        <w:rPr>
          <w:b/>
        </w:rPr>
      </w:pPr>
      <w:r w:rsidRPr="000322E4">
        <w:rPr>
          <w:b/>
        </w:rPr>
        <w:t xml:space="preserve">Уровень убедительности рекомендаций </w:t>
      </w:r>
      <w:r w:rsidR="0071141A" w:rsidRPr="000322E4">
        <w:rPr>
          <w:b/>
        </w:rPr>
        <w:t xml:space="preserve">С </w:t>
      </w:r>
      <w:r w:rsidRPr="000322E4">
        <w:rPr>
          <w:b/>
        </w:rPr>
        <w:t xml:space="preserve">(уровень достоверности доказательств </w:t>
      </w:r>
      <w:r w:rsidR="0071141A" w:rsidRPr="000322E4">
        <w:rPr>
          <w:b/>
        </w:rPr>
        <w:t>4</w:t>
      </w:r>
      <w:r w:rsidRPr="000322E4">
        <w:rPr>
          <w:b/>
        </w:rPr>
        <w:t>)</w:t>
      </w:r>
    </w:p>
    <w:p w14:paraId="5733B221" w14:textId="7144B41B" w:rsidR="001E1A3A" w:rsidRPr="000322E4" w:rsidRDefault="001E1A3A" w:rsidP="009D170B">
      <w:pPr>
        <w:pStyle w:val="a"/>
        <w:spacing w:before="0"/>
        <w:ind w:left="709"/>
      </w:pPr>
      <w:r w:rsidRPr="000322E4">
        <w:t xml:space="preserve">Пациентам с верифицированной ДВКЛ с высоким риском вовлечения ЦНС (4-6 прогностических факторов по шкале </w:t>
      </w:r>
      <w:r w:rsidRPr="000322E4">
        <w:rPr>
          <w:iCs/>
          <w:lang w:val="en-US"/>
        </w:rPr>
        <w:t>CNS</w:t>
      </w:r>
      <w:r w:rsidRPr="000322E4">
        <w:rPr>
          <w:iCs/>
        </w:rPr>
        <w:t>-</w:t>
      </w:r>
      <w:r w:rsidRPr="000322E4">
        <w:rPr>
          <w:iCs/>
          <w:lang w:val="en-US"/>
        </w:rPr>
        <w:t>IPI</w:t>
      </w:r>
      <w:r w:rsidRPr="000322E4">
        <w:t xml:space="preserve"> – см. раздел 7.4 данных рекомендаций, а также пациентам с ВИЧ-ассоциированной лимфомой, лимфомой яичка, лимфомой высокой степени злокачественности с транслокацией </w:t>
      </w:r>
      <w:r w:rsidRPr="000322E4">
        <w:rPr>
          <w:lang w:val="en-US"/>
        </w:rPr>
        <w:t>MYC</w:t>
      </w:r>
      <w:r w:rsidRPr="000322E4">
        <w:t xml:space="preserve">, </w:t>
      </w:r>
      <w:r w:rsidRPr="000322E4">
        <w:rPr>
          <w:lang w:val="en-US"/>
        </w:rPr>
        <w:t>BCL</w:t>
      </w:r>
      <w:r w:rsidRPr="000322E4">
        <w:t xml:space="preserve">-2 и/или </w:t>
      </w:r>
      <w:r w:rsidRPr="000322E4">
        <w:rPr>
          <w:lang w:val="en-US"/>
        </w:rPr>
        <w:t>BCL</w:t>
      </w:r>
      <w:r w:rsidRPr="000322E4">
        <w:t xml:space="preserve">-6, лимфомой высокой степени злокачественности, неклассифицируемой,  или ДВККЛ с вовлечением почек или надпочечников, пациентам с </w:t>
      </w:r>
      <w:r w:rsidRPr="000322E4">
        <w:rPr>
          <w:lang w:val="en-US"/>
        </w:rPr>
        <w:t>I</w:t>
      </w:r>
      <w:r w:rsidRPr="000322E4">
        <w:t xml:space="preserve">Е ДВККЛ с поражением молочных желез)  </w:t>
      </w:r>
      <w:r w:rsidRPr="000322E4">
        <w:rPr>
          <w:b/>
          <w:bCs/>
        </w:rPr>
        <w:t>рекомендуется</w:t>
      </w:r>
      <w:r w:rsidRPr="000322E4">
        <w:t xml:space="preserve"> проведение </w:t>
      </w:r>
      <w:r w:rsidRPr="000322E4">
        <w:rPr>
          <w:rFonts w:eastAsia="Calibri" w:cstheme="minorHAnsi"/>
        </w:rPr>
        <w:t xml:space="preserve">профилактики рецидива в ЦНС, которая включает 4 интратекальных </w:t>
      </w:r>
      <w:r w:rsidRPr="00BC258F">
        <w:rPr>
          <w:rFonts w:eastAsia="Calibri" w:cstheme="minorHAnsi"/>
        </w:rPr>
        <w:t xml:space="preserve">введения </w:t>
      </w:r>
      <w:r w:rsidR="00062D82" w:rsidRPr="00BC258F">
        <w:rPr>
          <w:rFonts w:eastAsia="Calibri" w:cstheme="minorHAnsi"/>
        </w:rPr>
        <w:t>#</w:t>
      </w:r>
      <w:r w:rsidRPr="00BC258F">
        <w:rPr>
          <w:rFonts w:eastAsia="Calibri" w:cstheme="minorHAnsi"/>
        </w:rPr>
        <w:t>метотрексата** (</w:t>
      </w:r>
      <w:r w:rsidR="00FE7926" w:rsidRPr="00BC258F">
        <w:rPr>
          <w:rFonts w:eastAsia="Calibri" w:cstheme="minorHAnsi"/>
        </w:rPr>
        <w:t>12</w:t>
      </w:r>
      <w:r w:rsidRPr="00BC258F">
        <w:rPr>
          <w:rFonts w:eastAsia="Calibri" w:cstheme="minorHAnsi"/>
        </w:rPr>
        <w:t xml:space="preserve"> мг), </w:t>
      </w:r>
      <w:r w:rsidR="00062D82" w:rsidRPr="00BC258F">
        <w:rPr>
          <w:rFonts w:eastAsia="Calibri" w:cstheme="minorHAnsi"/>
        </w:rPr>
        <w:t>#</w:t>
      </w:r>
      <w:r w:rsidRPr="00BC258F">
        <w:rPr>
          <w:rFonts w:eastAsia="Calibri" w:cstheme="minorHAnsi"/>
        </w:rPr>
        <w:t>цитарабина** (</w:t>
      </w:r>
      <w:r w:rsidR="00FE7926" w:rsidRPr="00BC258F">
        <w:rPr>
          <w:rFonts w:eastAsia="Calibri" w:cstheme="minorHAnsi"/>
        </w:rPr>
        <w:t>30</w:t>
      </w:r>
      <w:r w:rsidRPr="00BC258F">
        <w:rPr>
          <w:rFonts w:eastAsia="Calibri" w:cstheme="minorHAnsi"/>
        </w:rPr>
        <w:t xml:space="preserve"> мг), </w:t>
      </w:r>
      <w:r w:rsidR="00062D82" w:rsidRPr="00BC258F">
        <w:rPr>
          <w:rFonts w:eastAsia="Calibri" w:cstheme="minorHAnsi"/>
        </w:rPr>
        <w:t>#</w:t>
      </w:r>
      <w:r w:rsidRPr="00BC258F">
        <w:rPr>
          <w:rFonts w:eastAsia="Calibri" w:cstheme="minorHAnsi"/>
        </w:rPr>
        <w:t>дексаметазона** (</w:t>
      </w:r>
      <w:r w:rsidR="00CF782A" w:rsidRPr="00BC258F">
        <w:rPr>
          <w:rFonts w:eastAsia="Calibri" w:cstheme="minorHAnsi"/>
        </w:rPr>
        <w:t>4</w:t>
      </w:r>
      <w:r w:rsidRPr="00BC258F">
        <w:rPr>
          <w:rFonts w:eastAsia="Calibri" w:cstheme="minorHAnsi"/>
        </w:rPr>
        <w:t xml:space="preserve"> мг) и 2 си</w:t>
      </w:r>
      <w:r w:rsidRPr="000322E4">
        <w:rPr>
          <w:rFonts w:eastAsia="Calibri" w:cstheme="minorHAnsi"/>
        </w:rPr>
        <w:t>стемных введения высоких доз метотрексата** (1,5-3 г/м</w:t>
      </w:r>
      <w:r w:rsidRPr="000322E4">
        <w:rPr>
          <w:rFonts w:eastAsia="Calibri" w:cstheme="minorHAnsi"/>
          <w:vertAlign w:val="superscript"/>
        </w:rPr>
        <w:t>2</w:t>
      </w:r>
      <w:r w:rsidRPr="000322E4">
        <w:rPr>
          <w:rFonts w:eastAsia="Calibri" w:cstheme="minorHAnsi"/>
        </w:rPr>
        <w:t xml:space="preserve">) </w:t>
      </w:r>
      <w:r w:rsidRPr="000322E4">
        <w:rPr>
          <w:rFonts w:eastAsia="Calibri" w:cstheme="minorHAnsi"/>
        </w:rPr>
        <w:fldChar w:fldCharType="begin" w:fldLock="1"/>
      </w:r>
      <w:r w:rsidR="009D170B">
        <w:rPr>
          <w:rFonts w:eastAsia="Calibri" w:cstheme="minorHAnsi"/>
        </w:rPr>
        <w:instrText>ADDIN CSL_CITATION {"citationItems":[{"id":"ITEM-1","itemData":{"author":[{"dropping-particle":"","family":"Тумян","given":"Г.С.","non-dropping-particle":"","parse-names":false,"suffix":""},{"dropping-particle":"","family":"Кравченко","given":"С.К.","non-dropping-particle":"","parse-names":false,"suffix":""},{"dropping-particle":"","family":"Михайлова","given":"Н.Б.","non-dropping-particle":"","parse-names":false,"suffix":""},{"dropping-particle":"","family":"Барях","given":"Е.А.","non-dropping-particle":"","parse-names":false,"suffix":""},{"dropping-particle":"","family":"Птушкин","given":"В.В.","non-dropping-particle":"","parse-names":false,"suffix":""},{"dropping-particle":"","family":"Поддубная","given":"И.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Савченко.","id":"ITEM-1","issued":{"date-parts":[["2018"]]},"page":"58-68","title":"Диффузная В-клеточная крупноклеточная лимфома","type":"chapter"},"uris":["http://www.mendeley.com/documents/?uuid=cb7114f7-4655-4733-8df2-526cc4e32730"]},{"id":"ITEM-2","itemData":{"DOI":"10.7399/fh.2017.41.1.10616","abstract":"Introduction: Intrathecal chemotherapy is frequently used in clinical practice for treatment and prevention of neoplastic me­ ningitis. Despite its widespread use, there is little information about practical aspects such as the volume of drug to be admi­ nistered or its preparation and administration. Objective: To conduct a literature review about practical as­ pects of the use of intrathecal chemotherapy. Materials: Search in PubMed/ Medline using the terms \"che­ motherapy AND intrathecal\", analysis of secondary and ter­ tiary information sources. Results: The most widely used drugs in intrathecal therapy are methotrexate and cytarabine, at variable doses. One of the as­ pects with higher variability among different studies is their potential combination with a glucocorticoid, the specific cor­ ticoid selected and its dose. The efficacy and toxicity of the different combinations have not been compared. Regarding preparation, it is worth highlighting the recommendation to adjust pH and osmolarity to the physiological range, with the aim of improving tolerability. The volume of administration can influence distribution, and recommendated range is between 5 and 12 mL. Overall, it is recommended to extract a similar volume of cerebrospinal fluid before administration. The po­ sition of the patient during and after administration can have an impact on distribution and toxicity; lateral decubitus or si­ tting position is recommended in the first case, and prone and/ or supine position in the second one. Most publications don't explain how the treatment has been prepared or administered, and the lack of standardization could affect results. Conclusions: There is a great variability in practice when using intrathecal chemotherapy, despite being an effective therapy, accepted by all international groups. This uncertainty is not li­ Resumen Introducción: La quimioterapia intratecal es utilizada frecuen­ temente, en la práctica clínica, para el tratamiento y prevención de la meningitis neoplásica. A pesar de su uso extendido, existe poca información acerca de aspectos prácticos tales como el volumen de fármaco a administrar o la forma de preparación y administración. Objetivo: Realizar una revisión de la literatura acerca de aspec­ tos prácticos de la utilización de la quimioterapia intratecal. Material: Búsqueda en PubMed/Medline utilizando los térmi­ nos \"chemotherapy AND intrathecal\", análisis de fuentes de información secundarias y terciarias. Resultados: Lo…","author":[{"dropping-particle":"","family":"Olmos-Jiménez","given":"Raquel","non-dropping-particle":"","parse-names":false,"suffix":""},{"dropping-particle":"","family":"Espuny-Miró","given":"Alberto","non-dropping-particle":"","parse-names":false,"suffix":""},{"dropping-particle":"","family":"Cárceles-Rodríguez","given":"Carlos","non-dropping-particle":"","parse-names":false,"suffix":""},{"dropping-particle":"","family":"Sacramento Díaz-Carrasco","given":"María","non-dropping-particle":"","parse-names":false,"suffix":""}],"container-title":"Farm Hosp","id":"ITEM-2","issue":"1","issued":{"date-parts":[["2017"]]},"page":"105-129","title":"Practical aspects of the use of intrathecal chemotherapy Aspectos prácticos de la utilización de quimioterapia intratecal","type":"article-journal","volume":"41"},"uris":["http://www.mendeley.com/documents/?uuid=9aa635f8-5102-3828-a106-593616701f6e"]}],"mendeley":{"formattedCitation":"[20,73]","plainTextFormattedCitation":"[20,73]","previouslyFormattedCitation":"[20,73]"},"properties":{"noteIndex":0},"schema":"https://github.com/citation-style-language/schema/raw/master/csl-citation.json"}</w:instrText>
      </w:r>
      <w:r w:rsidRPr="000322E4">
        <w:rPr>
          <w:rFonts w:eastAsia="Calibri" w:cstheme="minorHAnsi"/>
        </w:rPr>
        <w:fldChar w:fldCharType="separate"/>
      </w:r>
      <w:r w:rsidR="00095D58" w:rsidRPr="00095D58">
        <w:rPr>
          <w:rFonts w:eastAsia="Calibri" w:cstheme="minorHAnsi"/>
          <w:noProof/>
        </w:rPr>
        <w:t>[20,73]</w:t>
      </w:r>
      <w:r w:rsidRPr="000322E4">
        <w:rPr>
          <w:rFonts w:eastAsia="Calibri" w:cstheme="minorHAnsi"/>
        </w:rPr>
        <w:fldChar w:fldCharType="end"/>
      </w:r>
      <w:r w:rsidRPr="000322E4">
        <w:rPr>
          <w:rFonts w:eastAsia="Calibri" w:cstheme="minorHAnsi"/>
        </w:rPr>
        <w:t>.</w:t>
      </w:r>
      <w:r w:rsidRPr="000322E4">
        <w:t xml:space="preserve"> </w:t>
      </w:r>
    </w:p>
    <w:p w14:paraId="75459179" w14:textId="64E9E07B" w:rsidR="001E1A3A" w:rsidRDefault="001E1A3A" w:rsidP="008A40EA">
      <w:pPr>
        <w:spacing w:line="360" w:lineRule="auto"/>
        <w:ind w:left="709"/>
        <w:contextualSpacing/>
        <w:jc w:val="both"/>
        <w:rPr>
          <w:b/>
        </w:rPr>
      </w:pPr>
      <w:r w:rsidRPr="000322E4">
        <w:rPr>
          <w:b/>
        </w:rPr>
        <w:t xml:space="preserve">Уровень убедительности рекомендаций </w:t>
      </w:r>
      <w:r w:rsidRPr="000322E4">
        <w:rPr>
          <w:b/>
          <w:lang w:val="en-US"/>
        </w:rPr>
        <w:t>C</w:t>
      </w:r>
      <w:r w:rsidRPr="000322E4">
        <w:rPr>
          <w:b/>
        </w:rPr>
        <w:t xml:space="preserve"> (уровень достоверности доказательств 5).</w:t>
      </w:r>
    </w:p>
    <w:p w14:paraId="7B55C2D2" w14:textId="6AB6A9DE" w:rsidR="002818CC" w:rsidRPr="002818CC" w:rsidRDefault="002818CC" w:rsidP="009D170B">
      <w:pPr>
        <w:spacing w:line="360" w:lineRule="auto"/>
        <w:ind w:firstLine="709"/>
        <w:contextualSpacing/>
        <w:jc w:val="both"/>
        <w:rPr>
          <w:b/>
        </w:rPr>
      </w:pPr>
      <w:r w:rsidRPr="000322E4">
        <w:rPr>
          <w:b/>
        </w:rPr>
        <w:t>Комментарий:</w:t>
      </w:r>
      <w:r w:rsidRPr="000322E4">
        <w:rPr>
          <w:bCs/>
        </w:rPr>
        <w:t xml:space="preserve"> </w:t>
      </w:r>
      <w:r>
        <w:rPr>
          <w:i/>
          <w:iCs/>
        </w:rPr>
        <w:t xml:space="preserve">беременным пациенткам профилактика рецидива в ЦНС проводится без введения #метотрексата** </w:t>
      </w:r>
      <w:r>
        <w:rPr>
          <w:i/>
          <w:iCs/>
        </w:rPr>
        <w:fldChar w:fldCharType="begin" w:fldLock="1"/>
      </w:r>
      <w:r w:rsidR="009D170B">
        <w:rPr>
          <w:i/>
          <w:iCs/>
        </w:rPr>
        <w:instrText>ADDIN CSL_CITATION {"citationItems":[{"id":"ITEM-1","itemData":{"ISSN":"0890-6238","author":[{"dropping-particle":"","family":"Martín","given":"María Cecilia","non-dropping-particle":"","parse-names":false,"suffix":""},{"dropping-particle":"","family":"Barbero","given":"Pablo","non-dropping-particle":"","parse-names":false,"suffix":""},{"dropping-particle":"","family":"Groisman","given":"Boris","non-dropping-particle":"","parse-names":false,"suffix":""},{"dropping-particle":"","family":"Aguirre","given":"Miguel Ángel","non-dropping-particle":"","parse-names":false,"suffix":""},{"dropping-particle":"","family":"Koren","given":"Gideon","non-dropping-particle":"","parse-names":false,"suffix":""}],"container-title":"Reproductive Toxicology","id":"ITEM-1","issued":{"date-parts":[["2014"]]},"page":"26-29","title":"Methotrexate embryopathy after exposure to low weekly doses in early pregnancy","type":"article-journal","volume":"43"},"uris":["http://www.mendeley.com/documents/?uuid=8d8e4a94-297f-3077-85f8-7aea781495e1"]}],"mendeley":{"formattedCitation":"[74]","plainTextFormattedCitation":"[74]","previouslyFormattedCitation":"[74]"},"properties":{"noteIndex":0},"schema":"https://github.com/citation-style-language/schema/raw/master/csl-citation.json"}</w:instrText>
      </w:r>
      <w:r>
        <w:rPr>
          <w:i/>
          <w:iCs/>
        </w:rPr>
        <w:fldChar w:fldCharType="separate"/>
      </w:r>
      <w:r w:rsidR="00095D58" w:rsidRPr="00095D58">
        <w:rPr>
          <w:iCs/>
          <w:noProof/>
        </w:rPr>
        <w:t>[74]</w:t>
      </w:r>
      <w:r>
        <w:rPr>
          <w:i/>
          <w:iCs/>
        </w:rPr>
        <w:fldChar w:fldCharType="end"/>
      </w:r>
    </w:p>
    <w:p w14:paraId="08EAC7F8" w14:textId="0C529EC5" w:rsidR="00085E80" w:rsidRPr="000322E4" w:rsidRDefault="00085E80" w:rsidP="009D170B">
      <w:pPr>
        <w:pStyle w:val="a"/>
        <w:spacing w:before="0"/>
        <w:ind w:left="709"/>
      </w:pPr>
      <w:r w:rsidRPr="000322E4">
        <w:t xml:space="preserve">Пациентам старше 18 лет с впервые установленной ДВКЛ яичка </w:t>
      </w:r>
      <w:r w:rsidRPr="000322E4">
        <w:rPr>
          <w:b/>
          <w:bCs/>
        </w:rPr>
        <w:t>рекомендуется</w:t>
      </w:r>
      <w:r w:rsidRPr="000322E4">
        <w:t xml:space="preserve"> выполнение орхофуникулэктомии с последующей </w:t>
      </w:r>
      <w:r w:rsidR="002C0F8E" w:rsidRPr="000322E4">
        <w:t xml:space="preserve">химиотерапией  </w:t>
      </w:r>
      <w:r w:rsidRPr="000322E4">
        <w:t xml:space="preserve">в соответствии с рекомендациями для ДВКЛ соответсвующей стадии с высоким риском вовлечения ЦНС и последующей лучевой терапии на область мошонки СОД 30 Гр, РОД 1,8-2,0 Гр </w:t>
      </w:r>
      <w:r w:rsidRPr="000322E4">
        <w:fldChar w:fldCharType="begin" w:fldLock="1"/>
      </w:r>
      <w:r w:rsidR="00F3553D">
        <w:instrText>ADDIN CSL_CITATION {"citationItems":[{"id":"ITEM-1","itemData":{"author":[{"dropping-particle":"","family":"Тумян","given":"Г.С.","non-dropping-particle":"","parse-names":false,"suffix":""},{"dropping-particle":"","family":"Кравченко","given":"С.К.","non-dropping-particle":"","parse-names":false,"suffix":""},{"dropping-particle":"","family":"Михайлова","given":"Н.Б.","non-dropping-particle":"","parse-names":false,"suffix":""},{"dropping-particle":"","family":"Барях","given":"Е.А.","non-dropping-particle":"","parse-names":false,"suffix":""},{"dropping-particle":"","family":"Птушкин","given":"В.В.","non-dropping-particle":"","parse-names":false,"suffix":""},{"dropping-particle":"","family":"Поддубная","given":"И.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Савченко.","id":"ITEM-1","issued":{"date-parts":[["2018"]]},"page":"58-68","title":"Диффузная В-клеточная крупноклеточная лимфома","type":"chapter"},"uris":["http://www.mendeley.com/documents/?uuid=cb7114f7-4655-4733-8df2-526cc4e32730"]}],"mendeley":{"formattedCitation":"[20]","plainTextFormattedCitation":"[20]","previouslyFormattedCitation":"[20]"},"properties":{"noteIndex":0},"schema":"https://github.com/citation-style-language/schema/raw/master/csl-citation.json"}</w:instrText>
      </w:r>
      <w:r w:rsidRPr="000322E4">
        <w:fldChar w:fldCharType="separate"/>
      </w:r>
      <w:r w:rsidR="00F3553D" w:rsidRPr="00F3553D">
        <w:rPr>
          <w:noProof/>
        </w:rPr>
        <w:t>[20]</w:t>
      </w:r>
      <w:r w:rsidRPr="000322E4">
        <w:fldChar w:fldCharType="end"/>
      </w:r>
      <w:r w:rsidRPr="000322E4">
        <w:t xml:space="preserve">. </w:t>
      </w:r>
    </w:p>
    <w:p w14:paraId="3206360F" w14:textId="4751D224" w:rsidR="00085E80" w:rsidRDefault="00085E80" w:rsidP="008A40EA">
      <w:pPr>
        <w:spacing w:line="360" w:lineRule="auto"/>
        <w:ind w:left="709"/>
        <w:contextualSpacing/>
        <w:jc w:val="both"/>
        <w:rPr>
          <w:b/>
        </w:rPr>
      </w:pPr>
      <w:r w:rsidRPr="000322E4">
        <w:rPr>
          <w:b/>
        </w:rPr>
        <w:t xml:space="preserve">Уровень убедительности рекомендаций </w:t>
      </w:r>
      <w:r w:rsidR="004436C7" w:rsidRPr="000322E4">
        <w:rPr>
          <w:b/>
        </w:rPr>
        <w:t xml:space="preserve">С </w:t>
      </w:r>
      <w:r w:rsidRPr="000322E4">
        <w:rPr>
          <w:b/>
        </w:rPr>
        <w:t xml:space="preserve">(уровень достоверности доказательств </w:t>
      </w:r>
      <w:r w:rsidR="004436C7" w:rsidRPr="000322E4">
        <w:rPr>
          <w:b/>
        </w:rPr>
        <w:t>5</w:t>
      </w:r>
      <w:r w:rsidRPr="000322E4">
        <w:rPr>
          <w:b/>
        </w:rPr>
        <w:t>).</w:t>
      </w:r>
    </w:p>
    <w:p w14:paraId="3CD47E0D" w14:textId="257A9C1E" w:rsidR="001914DF" w:rsidRPr="001914DF" w:rsidRDefault="002F7153" w:rsidP="009D170B">
      <w:pPr>
        <w:pStyle w:val="a"/>
        <w:spacing w:before="0"/>
        <w:ind w:left="709"/>
      </w:pPr>
      <w:r w:rsidRPr="00C20A53">
        <w:t xml:space="preserve">Подросткам и молодым взрослым с впервые установленной </w:t>
      </w:r>
      <w:r w:rsidR="009C4518" w:rsidRPr="009D170B">
        <w:rPr>
          <w:color w:val="000000" w:themeColor="text1"/>
        </w:rPr>
        <w:t xml:space="preserve">высоко </w:t>
      </w:r>
      <w:r w:rsidR="0093339E" w:rsidRPr="00C20A53">
        <w:t xml:space="preserve">агрессивной В-клеточной лимфомой или </w:t>
      </w:r>
      <w:r w:rsidRPr="00C20A53">
        <w:t>ДВКЛ высокого риска (</w:t>
      </w:r>
      <w:r w:rsidRPr="00C20A53">
        <w:rPr>
          <w:lang w:val="en-US"/>
        </w:rPr>
        <w:t>aaIPI</w:t>
      </w:r>
      <w:r w:rsidRPr="00C20A53">
        <w:t>=3</w:t>
      </w:r>
      <w:r w:rsidR="001914DF">
        <w:t xml:space="preserve"> </w:t>
      </w:r>
      <w:r w:rsidR="001914DF" w:rsidRPr="009D170B">
        <w:rPr>
          <w:color w:val="000000" w:themeColor="text1"/>
        </w:rPr>
        <w:t>или</w:t>
      </w:r>
      <w:r w:rsidRPr="00C20A53">
        <w:t xml:space="preserve"> с дополнительными факторами риска раннего прогрессирования, </w:t>
      </w:r>
      <w:r w:rsidR="0093339E" w:rsidRPr="00C20A53">
        <w:t>например</w:t>
      </w:r>
      <w:r w:rsidRPr="00C20A53">
        <w:t xml:space="preserve">, </w:t>
      </w:r>
      <w:r w:rsidRPr="009D170B">
        <w:rPr>
          <w:color w:val="000000" w:themeColor="text1"/>
        </w:rPr>
        <w:t>вовлечение ЦНС, костного мозга</w:t>
      </w:r>
      <w:r w:rsidR="0093339E" w:rsidRPr="009D170B">
        <w:rPr>
          <w:color w:val="000000" w:themeColor="text1"/>
        </w:rPr>
        <w:t xml:space="preserve"> и другие</w:t>
      </w:r>
      <w:r w:rsidRPr="009D170B">
        <w:rPr>
          <w:color w:val="000000" w:themeColor="text1"/>
        </w:rPr>
        <w:t xml:space="preserve">) </w:t>
      </w:r>
      <w:r w:rsidR="0093339E" w:rsidRPr="009D170B">
        <w:rPr>
          <w:color w:val="000000" w:themeColor="text1"/>
        </w:rPr>
        <w:t xml:space="preserve">возможно </w:t>
      </w:r>
      <w:r w:rsidRPr="009D170B">
        <w:rPr>
          <w:color w:val="000000" w:themeColor="text1"/>
        </w:rPr>
        <w:t xml:space="preserve">применение интенсивных протоколов иммунохимиотерапии: R-Hyper-CVAD, </w:t>
      </w:r>
      <w:r w:rsidR="00A36748" w:rsidRPr="009D170B">
        <w:rPr>
          <w:color w:val="000000" w:themeColor="text1"/>
          <w:lang w:val="en-US"/>
        </w:rPr>
        <w:t>R</w:t>
      </w:r>
      <w:r w:rsidR="00A36748" w:rsidRPr="009D170B">
        <w:rPr>
          <w:color w:val="000000" w:themeColor="text1"/>
        </w:rPr>
        <w:t>-</w:t>
      </w:r>
      <w:r w:rsidR="00A36748" w:rsidRPr="009D170B">
        <w:rPr>
          <w:color w:val="000000" w:themeColor="text1"/>
          <w:lang w:val="en-US"/>
        </w:rPr>
        <w:t>mNHL</w:t>
      </w:r>
      <w:r w:rsidR="00A36748" w:rsidRPr="009D170B">
        <w:rPr>
          <w:color w:val="000000" w:themeColor="text1"/>
        </w:rPr>
        <w:t>-</w:t>
      </w:r>
      <w:r w:rsidR="00A36748" w:rsidRPr="009D170B">
        <w:rPr>
          <w:color w:val="000000" w:themeColor="text1"/>
          <w:lang w:val="en-US"/>
        </w:rPr>
        <w:t>BFM</w:t>
      </w:r>
      <w:r w:rsidR="00A36748" w:rsidRPr="009D170B">
        <w:rPr>
          <w:color w:val="000000" w:themeColor="text1"/>
        </w:rPr>
        <w:t xml:space="preserve">-90, </w:t>
      </w:r>
      <w:r w:rsidR="00A36748" w:rsidRPr="009D170B">
        <w:rPr>
          <w:color w:val="000000" w:themeColor="text1"/>
          <w:lang w:val="en-US"/>
        </w:rPr>
        <w:t>R</w:t>
      </w:r>
      <w:r w:rsidR="00A36748" w:rsidRPr="009D170B">
        <w:rPr>
          <w:color w:val="000000" w:themeColor="text1"/>
        </w:rPr>
        <w:t>-CODOX</w:t>
      </w:r>
      <w:r w:rsidR="00A36748" w:rsidRPr="00C20A53">
        <w:t>M/</w:t>
      </w:r>
      <w:r w:rsidR="00A36748" w:rsidRPr="00C20A53">
        <w:rPr>
          <w:lang w:val="en-US"/>
        </w:rPr>
        <w:t>R</w:t>
      </w:r>
      <w:r w:rsidR="00A36748" w:rsidRPr="00C20A53">
        <w:t xml:space="preserve">-IVAC </w:t>
      </w:r>
      <w:r w:rsidR="00A36748" w:rsidRPr="00C20A53">
        <w:fldChar w:fldCharType="begin" w:fldLock="1"/>
      </w:r>
      <w:r w:rsidR="00021E2A">
        <w:instrText>ADDIN CSL_CITATION {"citationItems":[{"id":"ITEM-1","itemData":{"author":[{"dropping-particle":"","family":"Бобкова","given":"М.М.","non-dropping-particle":"","parse-names":false,"suffix":""},{"dropping-particle":"","family":"Семочкин","given":"С.В.","non-dropping-particle":"","parse-names":false,"suffix":""},{"dropping-particle":"","family":"Иванова","given":"В.Л.","non-dropping-particle":"","parse-names":false,"suffix":""},{"dropping-particle":"","family":"Агафонова","given":"О.Г.","non-dropping-particle":"","parse-names":false,"suffix":""},{"dropping-particle":"","family":"Антипова","given":"Л.А.","non-dropping-particle":"","parse-names":false,"suffix":""},{"dropping-particle":"","family":"Вольченко","given":"Н.Н.","non-dropping-particle":"","parse-names":false,"suffix":""},{"dropping-particle":"","family":"Дергачева","given":"В.В.","non-dropping-particle":"","parse-names":false,"suffix":""},{"dropping-particle":"","family":"Захаров","given":"О.Д.","non-dropping-particle":"","parse-names":false,"suffix":""},{"dropping-particle":"","family":"Кудинов","given":"Ю.А.","non-dropping-particle":"","parse-names":false,"suffix":""},{"dropping-particle":"","family":"Куликова","given":"С.С.","non-dropping-particle":"","parse-names":false,"suffix":""},{"dropping-particle":"","family":"Кочкарева","given":"Ю.Б.","non-dropping-particle":"","parse-names":false,"suffix":""},{"dropping-particle":"","family":"Лобанова","given":"Н.А.","non-dropping-particle":"","parse-names":false,"suffix":""},{"dropping-particle":"","family":"Лазарев","given":"И.Е.","non-dropping-particle":"","parse-names":false,"suffix":""},{"dropping-particle":"","family":"Ларичева","given":"Е.В.","non-dropping-particle":"","parse-names":false,"suffix":""},{"dropping-particle":"","family":"Магомедова","given":"Л.А.","non-dropping-particle":"","parse-names":false,"suffix":""},{"dropping-particle":"","family":"Малахова","given":"Н.В.","non-dropping-particle":"","parse-names":false,"suffix":""},{"dropping-particle":"","family":"Маркарян","given":"В.Г.","non-dropping-particle":"","parse-names":false,"suffix":""},{"dropping-particle":"","family":"Муха","given":"Л.А.","non-dropping-particle":"","parse-names":false,"suffix":""},{"dropping-particle":"","family":"Миненко","given":"С.В.","non-dropping-particle":"","parse-names":false,"suffix":""},{"dropping-particle":"","family":"Остренкова","given":"Т.Ю.","non-dropping-particle":"","parse-names":false,"suffix":""},{"dropping-particle":"","family":"Ованесова","given":"Е.В.","non-dropping-particle":"","parse-names":false,"suffix":""},{"dropping-particle":"","family":"Пересторонина","given":"Т.Н.","non-dropping-particle":"","parse-names":false,"suffix":""},{"dropping-particle":"","family":"Рыбакова","given":"М.Е.","non-dropping-particle":"","parse-names":false,"suffix":""},{"dropping-particle":"","family":"Самышина","given":"Е.А.","non-dropping-particle":"","parse-names":false,"suffix":""},{"dropping-particle":"","family":"Птушкин","given":"В.В.","non-dropping-particle":"","parse-names":false,"suffix":""}],"container-title":"Онкогематология","id":"ITEM-1","issued":{"date-parts":[["2009"]]},"page":"4-11","title":"Эффективность применения интенсивной полихимиотерапии в лечении молодых больных с диффузной В-крупноклеточной лимфомой из клеток герминального центра","type":"article-journal","volume":"4"},"uris":["http://www.mendeley.com/documents/?uuid=9a38c03c-a060-4181-9eea-f13dd862f8ca"]},{"id":"ITEM-2","itemData":{"DOI":"10.1002/JHA2.296","ISSN":"2688-6146","abstract":"Patients with high-risk aggressive B-cell lymphoma exhibit poor survival after R-CHOP. More intensive regimens yield higher rates of remission but also of complication. We investigated all 401 patients &lt; 70 years with high-risk (age-adjusted [aa] international prognostic index [IPI] ≥2, extranodal, or bulky) aggressive B-cell lymphoma hospitalized at Karolinska for urgent start of immunochemotherapy (129 R-Hyper-CVAD; 261 R-CHOP/R-CHOEP). Patients showed IPI 3-5 (70%), WHO PS ≥2 (49%), bulky disease (70%), extranodal (75%) and CNS (8%) involvement. Five-year overall/progression-free survival (OS/PFS) was better in patients who started R-Hyper-CVAD (84%/77%) compared with R-CHOP/R-CHOEP (66%/55%). Differences were independent in multi-variable analysis, seen in all patient categories, and accentuated in extreme high-risk disease: R-Hyper-CVAD vs. R-CHOP/R-CHOEP showed 5-year PFS 69% vs.40% in aaIPI 3 and 88% vs. 38% in CNS involvement. For validation, survival was compared between the two Karolinska sites and calendar periods. Survival was superior 2006-2010 at the site that introduced R-Hyper-CVAD/R-MA 2006, identical at both sites 2011-2017 after the other site adopted R-Hyper-CVAD/R-MA 2011, and excellent 2018-2020 when R-Hyper-CVAD/R-MA use increased to 75% of patients. Despite considerable toxicity, also patients aged 61-69 years showed better survival with R-Hyper-CVAD/R-MA. This is the largest single-centre series of patients treated with R-Hyper-CVAD/R-MA, showing favourable outcome in high-risk aggressive B-cell lym-phoma. K E Y W O R D S aggressive B-cell lymphoma, chemotherapy, DLBCL, hyper-CVAD, PMBCL, R-CHOP, R-Hyper-CVAD This is an open access article under the terms of the Creative Commons Attribution License, which permits use, distribution and reproduction in any medium, provided the original work is properly cited.","author":[{"dropping-particle":"","family":"Sonnevi","given":"Kristina","non-dropping-particle":"","parse-names":false,"suffix":""},{"dropping-particle":"","family":"Ljungqvist","given":"Maria","non-dropping-particle":"","parse-names":false,"suffix":""},{"dropping-particle":"","family":"Jóelsson","given":"Jóel Kristinn","non-dropping-particle":"","parse-names":false,"suffix":""},{"dropping-particle":"","family":"Harrysson","given":"Sara","non-dropping-particle":"","parse-names":false,"suffix":""},{"dropping-particle":"","family":"Wästerlid","given":"Tove","non-dropping-particle":"","parse-names":false,"suffix":""},{"dropping-particle":"","family":"Bernell","given":"Per","non-dropping-particle":"","parse-names":false,"suffix":""},{"dropping-particle":"","family":"Wahlin","given":"Björn Engelbrekt","non-dropping-particle":"","parse-names":false,"suffix":""}],"container-title":"eJHaem","id":"ITEM-2","issue":"4","issued":{"date-parts":[["2021","11","1"]]},"page":"774-784","publisher":"John Wiley &amp; Sons, Ltd","title":"Excellent survival after R-Hyper-CVAD in hospitalized patients with high-risk large B-cell lymphoma: The Karolinska experience","type":"article-journal","volume":"2"},"uris":["http://www.mendeley.com/documents/?uuid=886415bf-7677-362b-9b89-39ad1a72224d"]},{"id":"ITEM-3","itemData":{"DOI":"10.1016/J.ANNONC.2020.05.016","ISSN":"1569-8041","PMID":"32464282","abstract":"Background: Outcomes for patients with high-risk diffuse large B-cell lymphoma (DLBCL) treated with R-CHOP chemotherapy are suboptimal but, to date, no alternative regimen has been shown to improve survival rates. This phase 2 trial aimed to assess the efficacy of a Burkitt-like approach for high-risk DLBCL using the dose-intense R-CODOX-M/R-IVAC regimen. Patients and methods: Eligible patients were aged 18–65 years with stage II–IV untreated DLBCL and an International Prognostic Index (IPI) score of 3–5. Patients received alternating cycles of CODOX-M (cyclophosphamide, vincristine, doxorubicin and high-dose methotrexate) alternating with IVAC chemotherapy (ifosfamide, etoposide and high-dose cytarabine) plus eight doses of rituximab. Response was assessed by computed tomography after completing all four cycles of chemotherapy. The primary end point was 2-year progression-free survival (PFS). Results: A total of 111 eligible patients were registered; median age was 50 years, IPI score was 3 (60.4%) or 4/5 (39.6%), 54% had a performance status ≥2 and 9% had central nervous system involvement. A total of 85 patients (76.6%) completed all four cycles of chemotherapy. There were five treatment-related deaths (4.3%), all in patients with performance status of 3 and aged &gt;50 years. Two-year PFS for the whole cohort was 67.9% [90% confidence interval (CI) 59.9–74.6] and 2-year overall survival was 76.0% (90% CI 68.5–82.0). The ability to tolerate and complete treatment was lower in patients with performance status ≥2 who were aged &gt;50 years, where 2-year PFS was 43.5% (90% CI 27.9–58.0). Conclusions: This trial demonstrates that R-CODOX-M/R-IVAC is a feasible and effective regimen for the treatment of younger and/or fit patients with high-risk DLBCL. These encouraging survival rates demonstrate that this regimen warrants further investigation against standard of care. Trial Registration: ClinicalTrials.gov (NCT00974792) and EudraCT (2005-003479-19).","author":[{"dropping-particle":"","family":"McMillan","given":"A. K.","non-dropping-particle":"","parse-names":false,"suffix":""},{"dropping-particle":"","family":"Phillips","given":"E. H.","non-dropping-particle":"","parse-names":false,"suffix":""},{"dropping-particle":"","family":"Kirkwood","given":"A. A.","non-dropping-particle":"","parse-names":false,"suffix":""},{"dropping-particle":"","family":"Barrans","given":"S.","non-dropping-particle":"","parse-names":false,"suffix":""},{"dropping-particle":"","family":"Burton","given":"C.","non-dropping-particle":"","parse-names":false,"suffix":""},{"dropping-particle":"","family":"Rule","given":"S.","non-dropping-particle":"","parse-names":false,"suffix":""},{"dropping-particle":"","family":"Patmore","given":"R.","non-dropping-particle":"","parse-names":false,"suffix":""},{"dropping-particle":"","family":"Pettengell","given":"R.","non-dropping-particle":"","parse-names":false,"suffix":""},{"dropping-particle":"","family":"Ardeshna","given":"K. M.","non-dropping-particle":"","parse-names":false,"suffix":""},{"dropping-particle":"","family":"Lawrie","given":"A.","non-dropping-particle":"","parse-names":false,"suffix":""},{"dropping-particle":"","family":"Montoto","given":"S.","non-dropping-particle":"","parse-names":false,"suffix":""},{"dropping-particle":"","family":"Paneesha","given":"S.","non-dropping-particle":"","parse-names":false,"suffix":""},{"dropping-particle":"","family":"Clifton-Hadley","given":"L.","non-dropping-particle":"","parse-names":false,"suffix":""},{"dropping-particle":"","family":"Linch","given":"D. C.","non-dropping-particle":"","parse-names":false,"suffix":""}],"container-title":"Annals of oncology : official journal of the European Society for Medical Oncology","id":"ITEM-3","issue":"9","issued":{"date-parts":[["2020","9","1"]]},"page":"1251-1259","publisher":"Ann Oncol","title":"Favourable outcomes for high-risk diffuse large B-cell lymphoma (IPI 3-5) treated with front-line R-CODOX-M/R-IVAC chemotherapy: results of a phase 2 UK NCRI trial","type":"article-journal","volume":"31"},"uris":["http://www.mendeley.com/documents/?uuid=07ac9586-69bf-3740-ac9f-44a6a4da1bba"]},{"id":"ITEM-4","itemData":{"author":[{"dropping-particle":"","family":"Магомедова","given":"А.У.","non-dropping-particle":"","parse-names":false,"suffix":""},{"dropping-particle":"","family":"Сычевская","given":"К.Н.","non-dropping-particle":"","parse-names":false,"suffix":""},{"dropping-particle":"","family":"Моисеева","given":"Т.Н.","non-dropping-particle":"","parse-names":false,"suffix":""},{"dropping-particle":"","family":"Ковригина","given":"А.М.","non-dropping-particle":"","parse-names":false,"suffix":""},{"dropping-particle":"","family":"Обухова","given":"Т.Н.","non-dropping-particle":"","parse-names":false,"suffix":""},{"dropping-particle":"","family":"Сурин","given":"В.Л.","non-dropping-particle":"","parse-names":false,"suffix":""},{"dropping-particle":"","family":"Кравченко","given":"С.К.","non-dropping-particle":"","parse-names":false,"suffix":""},{"dropping-particle":"","family":"Мангасарова","given":"Я.К.","non-dropping-particle":"","parse-names":false,"suffix":""},{"dropping-particle":"","family":"Мисюрина","given":"А.Е.","non-dropping-particle":"","parse-names":false,"suffix":""},{"dropping-particle":"","family":"Марголин","given":"О.В.","non-dropping-particle":"","parse-names":false,"suffix":""},{"dropping-particle":"","family":"Багова","given":"М.О.","non-dropping-particle":"","parse-names":false,"suffix":""},{"dropping-particle":"","family":"Горенкова","given":"Л.Г.","non-dropping-particle":"","parse-names":false,"suffix":""},{"dropping-particle":"","family":"Фастова","given":"Е.А.","non-dropping-particle":"","parse-names":false,"suffix":""},{"dropping-particle":"","family":"Нестерова","given":"Е.А.","non-dropping-particle":"","parse-names":false,"suffix":""},{"dropping-particle":"","family":"Бабаева","given":"Ф.Э.","non-dropping-particle":"","parse-names":false,"suffix":""},{"dropping-particle":"","family":"Шелехова","given":"Т.В.","non-dropping-particle":"","parse-names":false,"suffix":""},{"dropping-particle":"","family":"Аржанухина","given":"Ю.В.","non-dropping-particle":"","parse-names":false,"suffix":""},{"dropping-particle":"","family":"Зинина","given":"Е.Е.","non-dropping-particle":"","parse-names":false,"suffix":""},{"dropping-particle":"","family":"Крючкова","given":"И.В.","non-dropping-particle":"","parse-names":false,"suffix":""},{"dropping-particle":"","family":"Сизикова","given":"С.А.","non-dropping-particle":"","parse-names":false,"suffix":""}],"container-title":"Гематология и трансфузиология","id":"ITEM-4","issue":"S1","issued":{"date-parts":[["2020"]]},"page":"35","title":"Промежуточные результаты многоцентрового, рандомизированного, контролируемого (сравнительного) открытого, проспективного исследования по оценке эффективности программ R-DA-EPOCH-21, R-MNHL-BFM-90 и трансплантации аутологичных стволовых кроветворных клеток","type":"article-journal","volume":"65"},"uris":["http://www.mendeley.com/documents/?uuid=0a590c07-f29f-4fe2-a256-9fea28a9ea29"]}],"mendeley":{"formattedCitation":"[75–78]","plainTextFormattedCitation":"[75–78]","previouslyFormattedCitation":"[75–78]"},"properties":{"noteIndex":0},"schema":"https://github.com/citation-style-language/schema/raw/master/csl-citation.json"}</w:instrText>
      </w:r>
      <w:r w:rsidR="00A36748" w:rsidRPr="00C20A53">
        <w:fldChar w:fldCharType="separate"/>
      </w:r>
      <w:r w:rsidR="009D170B" w:rsidRPr="009D170B">
        <w:rPr>
          <w:noProof/>
        </w:rPr>
        <w:t>[75–78]</w:t>
      </w:r>
      <w:r w:rsidR="00A36748" w:rsidRPr="00C20A53">
        <w:fldChar w:fldCharType="end"/>
      </w:r>
    </w:p>
    <w:p w14:paraId="607AB99E" w14:textId="7BFAFF59" w:rsidR="00C20A53" w:rsidRPr="00C20A53" w:rsidRDefault="00C20A53" w:rsidP="00C20A53">
      <w:pPr>
        <w:spacing w:line="360" w:lineRule="auto"/>
        <w:ind w:left="709"/>
        <w:contextualSpacing/>
        <w:jc w:val="both"/>
        <w:rPr>
          <w:b/>
        </w:rPr>
      </w:pPr>
      <w:r w:rsidRPr="000322E4">
        <w:rPr>
          <w:b/>
        </w:rPr>
        <w:lastRenderedPageBreak/>
        <w:t xml:space="preserve">Уровень убедительности рекомендаций </w:t>
      </w:r>
      <w:r>
        <w:rPr>
          <w:b/>
          <w:lang w:val="en-US"/>
        </w:rPr>
        <w:t>B</w:t>
      </w:r>
      <w:r w:rsidRPr="000322E4">
        <w:rPr>
          <w:b/>
        </w:rPr>
        <w:t xml:space="preserve"> (уровень достоверности доказательств </w:t>
      </w:r>
      <w:r w:rsidRPr="003C376C">
        <w:rPr>
          <w:b/>
        </w:rPr>
        <w:t>2</w:t>
      </w:r>
      <w:r w:rsidRPr="000322E4">
        <w:rPr>
          <w:b/>
        </w:rPr>
        <w:t>).</w:t>
      </w:r>
    </w:p>
    <w:p w14:paraId="3354A36F" w14:textId="72F4B5CD" w:rsidR="00D928DC" w:rsidRPr="000322E4" w:rsidRDefault="00D928DC" w:rsidP="009D170B">
      <w:pPr>
        <w:pStyle w:val="a"/>
        <w:spacing w:before="0"/>
        <w:ind w:left="709"/>
      </w:pPr>
      <w:r w:rsidRPr="000322E4">
        <w:t>Пациентам</w:t>
      </w:r>
      <w:r w:rsidR="00260AFA" w:rsidRPr="00FC72BC">
        <w:t xml:space="preserve"> </w:t>
      </w:r>
      <w:r w:rsidR="00260AFA" w:rsidRPr="000322E4">
        <w:t>старше</w:t>
      </w:r>
      <w:r w:rsidR="00260AFA" w:rsidRPr="00FC72BC">
        <w:t xml:space="preserve"> 18 </w:t>
      </w:r>
      <w:r w:rsidR="00260AFA" w:rsidRPr="000322E4">
        <w:t>лет</w:t>
      </w:r>
      <w:r w:rsidRPr="00FC72BC">
        <w:t xml:space="preserve"> </w:t>
      </w:r>
      <w:r w:rsidRPr="000322E4">
        <w:t>с</w:t>
      </w:r>
      <w:r w:rsidRPr="00FC72BC">
        <w:t xml:space="preserve"> </w:t>
      </w:r>
      <w:r w:rsidRPr="000322E4">
        <w:t>впервые</w:t>
      </w:r>
      <w:r w:rsidRPr="00FC72BC">
        <w:t xml:space="preserve"> </w:t>
      </w:r>
      <w:r w:rsidRPr="000322E4">
        <w:t>установленной</w:t>
      </w:r>
      <w:r w:rsidRPr="00FC72BC">
        <w:t xml:space="preserve"> </w:t>
      </w:r>
      <w:r w:rsidRPr="000322E4">
        <w:t>ДВКЛ</w:t>
      </w:r>
      <w:r w:rsidRPr="00FC72BC">
        <w:t xml:space="preserve"> </w:t>
      </w:r>
      <w:r w:rsidRPr="000322E4">
        <w:t>при</w:t>
      </w:r>
      <w:r w:rsidRPr="00FC72BC">
        <w:t xml:space="preserve"> </w:t>
      </w:r>
      <w:r w:rsidRPr="000322E4">
        <w:t>одновременном</w:t>
      </w:r>
      <w:r w:rsidRPr="00FC72BC">
        <w:t xml:space="preserve"> </w:t>
      </w:r>
      <w:r w:rsidRPr="000322E4">
        <w:t>выявлении</w:t>
      </w:r>
      <w:r w:rsidRPr="00FC72BC">
        <w:t xml:space="preserve"> </w:t>
      </w:r>
      <w:r w:rsidRPr="000322E4">
        <w:t>паренхиматозного</w:t>
      </w:r>
      <w:r w:rsidRPr="00FC72BC">
        <w:t xml:space="preserve"> </w:t>
      </w:r>
      <w:r w:rsidRPr="000322E4">
        <w:rPr>
          <w:color w:val="000000" w:themeColor="text1"/>
        </w:rPr>
        <w:t>поражения</w:t>
      </w:r>
      <w:r w:rsidRPr="00FC72BC">
        <w:rPr>
          <w:color w:val="000000" w:themeColor="text1"/>
        </w:rPr>
        <w:t xml:space="preserve"> </w:t>
      </w:r>
      <w:r w:rsidRPr="000322E4">
        <w:rPr>
          <w:color w:val="000000" w:themeColor="text1"/>
        </w:rPr>
        <w:t>ЦНС</w:t>
      </w:r>
      <w:r w:rsidRPr="00FC72BC">
        <w:rPr>
          <w:color w:val="000000" w:themeColor="text1"/>
        </w:rPr>
        <w:t xml:space="preserve"> </w:t>
      </w:r>
      <w:r w:rsidRPr="000322E4">
        <w:rPr>
          <w:b/>
          <w:bCs/>
          <w:color w:val="000000" w:themeColor="text1"/>
        </w:rPr>
        <w:t>рекомендовано</w:t>
      </w:r>
      <w:r w:rsidRPr="00FC72BC">
        <w:rPr>
          <w:color w:val="000000" w:themeColor="text1"/>
        </w:rPr>
        <w:t xml:space="preserve"> </w:t>
      </w:r>
      <w:r w:rsidRPr="000322E4">
        <w:rPr>
          <w:color w:val="000000" w:themeColor="text1"/>
        </w:rPr>
        <w:t>проведение</w:t>
      </w:r>
      <w:r w:rsidRPr="00FC72BC">
        <w:rPr>
          <w:color w:val="000000" w:themeColor="text1"/>
        </w:rPr>
        <w:t xml:space="preserve"> </w:t>
      </w:r>
      <w:r w:rsidRPr="00C20A53">
        <w:rPr>
          <w:color w:val="000000" w:themeColor="text1"/>
        </w:rPr>
        <w:t xml:space="preserve">программы лечения </w:t>
      </w:r>
      <w:r w:rsidRPr="00C20A53">
        <w:rPr>
          <w:color w:val="000000" w:themeColor="text1"/>
          <w:lang w:val="en-CA"/>
        </w:rPr>
        <w:t>R</w:t>
      </w:r>
      <w:r w:rsidRPr="00C20A53">
        <w:rPr>
          <w:color w:val="000000" w:themeColor="text1"/>
        </w:rPr>
        <w:t>-</w:t>
      </w:r>
      <w:r w:rsidRPr="00C20A53">
        <w:rPr>
          <w:color w:val="000000" w:themeColor="text1"/>
          <w:lang w:val="en-CA"/>
        </w:rPr>
        <w:t>CHOP</w:t>
      </w:r>
      <w:r w:rsidRPr="00C20A53">
        <w:rPr>
          <w:color w:val="000000" w:themeColor="text1"/>
        </w:rPr>
        <w:t xml:space="preserve"> </w:t>
      </w:r>
      <w:r w:rsidR="004436C7" w:rsidRPr="00C20A53">
        <w:rPr>
          <w:rStyle w:val="affc"/>
          <w:i w:val="0"/>
          <w:color w:val="000000" w:themeColor="text1"/>
        </w:rPr>
        <w:t xml:space="preserve">(см. приложение А3.1) </w:t>
      </w:r>
      <w:r w:rsidR="004436C7" w:rsidRPr="00C20A53">
        <w:rPr>
          <w:color w:val="000000" w:themeColor="text1"/>
        </w:rPr>
        <w:t xml:space="preserve">с добавлением </w:t>
      </w:r>
      <w:r w:rsidR="004436C7" w:rsidRPr="00C20A53">
        <w:rPr>
          <w:rFonts w:eastAsia="Calibri" w:cstheme="minorHAnsi"/>
          <w:color w:val="000000" w:themeColor="text1"/>
        </w:rPr>
        <w:t>2</w:t>
      </w:r>
      <w:r w:rsidR="0093339E" w:rsidRPr="00C20A53">
        <w:rPr>
          <w:rFonts w:eastAsia="Calibri" w:cstheme="minorHAnsi"/>
          <w:color w:val="000000" w:themeColor="text1"/>
        </w:rPr>
        <w:t>-4</w:t>
      </w:r>
      <w:r w:rsidR="004436C7" w:rsidRPr="00FC72BC">
        <w:rPr>
          <w:rFonts w:eastAsia="Calibri" w:cstheme="minorHAnsi"/>
          <w:color w:val="000000" w:themeColor="text1"/>
        </w:rPr>
        <w:t xml:space="preserve"> </w:t>
      </w:r>
      <w:r w:rsidR="004436C7" w:rsidRPr="000322E4">
        <w:rPr>
          <w:rFonts w:eastAsia="Calibri" w:cstheme="minorHAnsi"/>
          <w:color w:val="000000" w:themeColor="text1"/>
        </w:rPr>
        <w:t>системных</w:t>
      </w:r>
      <w:r w:rsidR="004436C7" w:rsidRPr="00FC72BC">
        <w:rPr>
          <w:rFonts w:eastAsia="Calibri" w:cstheme="minorHAnsi"/>
          <w:color w:val="000000" w:themeColor="text1"/>
        </w:rPr>
        <w:t xml:space="preserve"> </w:t>
      </w:r>
      <w:r w:rsidR="004436C7" w:rsidRPr="000322E4">
        <w:rPr>
          <w:rFonts w:eastAsia="Calibri" w:cstheme="minorHAnsi"/>
          <w:color w:val="000000" w:themeColor="text1"/>
        </w:rPr>
        <w:t>введений</w:t>
      </w:r>
      <w:r w:rsidR="004436C7" w:rsidRPr="00FC72BC">
        <w:rPr>
          <w:rFonts w:eastAsia="Calibri" w:cstheme="minorHAnsi"/>
          <w:color w:val="000000" w:themeColor="text1"/>
        </w:rPr>
        <w:t xml:space="preserve"> </w:t>
      </w:r>
      <w:r w:rsidR="004436C7" w:rsidRPr="000322E4">
        <w:rPr>
          <w:rFonts w:eastAsia="Calibri" w:cstheme="minorHAnsi"/>
          <w:color w:val="000000" w:themeColor="text1"/>
        </w:rPr>
        <w:t>высоких</w:t>
      </w:r>
      <w:r w:rsidR="004436C7" w:rsidRPr="00FC72BC">
        <w:rPr>
          <w:rFonts w:eastAsia="Calibri" w:cstheme="minorHAnsi"/>
          <w:color w:val="000000" w:themeColor="text1"/>
        </w:rPr>
        <w:t xml:space="preserve"> </w:t>
      </w:r>
      <w:r w:rsidR="004436C7" w:rsidRPr="000322E4">
        <w:rPr>
          <w:rFonts w:eastAsia="Calibri" w:cstheme="minorHAnsi"/>
          <w:color w:val="000000" w:themeColor="text1"/>
        </w:rPr>
        <w:t>доз</w:t>
      </w:r>
      <w:r w:rsidR="004436C7" w:rsidRPr="00FC72BC">
        <w:rPr>
          <w:rFonts w:eastAsia="Calibri" w:cstheme="minorHAnsi"/>
          <w:color w:val="000000" w:themeColor="text1"/>
        </w:rPr>
        <w:t xml:space="preserve"> </w:t>
      </w:r>
      <w:r w:rsidR="004436C7" w:rsidRPr="000322E4">
        <w:rPr>
          <w:rFonts w:eastAsia="Calibri" w:cstheme="minorHAnsi"/>
          <w:color w:val="000000" w:themeColor="text1"/>
        </w:rPr>
        <w:t>метотрексата</w:t>
      </w:r>
      <w:r w:rsidR="004436C7" w:rsidRPr="00FC72BC">
        <w:rPr>
          <w:rFonts w:eastAsia="Calibri" w:cstheme="minorHAnsi"/>
          <w:color w:val="000000" w:themeColor="text1"/>
        </w:rPr>
        <w:t>** (3</w:t>
      </w:r>
      <w:r w:rsidR="00CA64E2" w:rsidRPr="00FC72BC">
        <w:rPr>
          <w:rFonts w:eastAsia="Calibri" w:cstheme="minorHAnsi"/>
          <w:color w:val="000000" w:themeColor="text1"/>
        </w:rPr>
        <w:t>,5</w:t>
      </w:r>
      <w:r w:rsidR="004436C7" w:rsidRPr="00FC72BC">
        <w:rPr>
          <w:rFonts w:eastAsia="Calibri" w:cstheme="minorHAnsi"/>
          <w:color w:val="000000" w:themeColor="text1"/>
        </w:rPr>
        <w:t xml:space="preserve"> </w:t>
      </w:r>
      <w:r w:rsidR="004436C7" w:rsidRPr="000322E4">
        <w:rPr>
          <w:rFonts w:eastAsia="Calibri" w:cstheme="minorHAnsi"/>
          <w:color w:val="000000" w:themeColor="text1"/>
        </w:rPr>
        <w:t>г</w:t>
      </w:r>
      <w:r w:rsidR="004436C7" w:rsidRPr="00FC72BC">
        <w:rPr>
          <w:rFonts w:eastAsia="Calibri" w:cstheme="minorHAnsi"/>
          <w:color w:val="000000" w:themeColor="text1"/>
        </w:rPr>
        <w:t>/</w:t>
      </w:r>
      <w:r w:rsidR="004436C7" w:rsidRPr="000322E4">
        <w:rPr>
          <w:rFonts w:eastAsia="Calibri" w:cstheme="minorHAnsi"/>
          <w:color w:val="000000" w:themeColor="text1"/>
        </w:rPr>
        <w:t>м</w:t>
      </w:r>
      <w:r w:rsidR="004436C7" w:rsidRPr="00FC72BC">
        <w:rPr>
          <w:rFonts w:eastAsia="Calibri" w:cstheme="minorHAnsi"/>
          <w:color w:val="000000" w:themeColor="text1"/>
          <w:vertAlign w:val="superscript"/>
        </w:rPr>
        <w:t>2</w:t>
      </w:r>
      <w:r w:rsidR="004436C7" w:rsidRPr="00FC72BC">
        <w:rPr>
          <w:rFonts w:eastAsia="Calibri" w:cstheme="minorHAnsi"/>
          <w:color w:val="000000" w:themeColor="text1"/>
        </w:rPr>
        <w:t>)</w:t>
      </w:r>
      <w:r w:rsidRPr="00FC72BC">
        <w:t xml:space="preserve"> </w:t>
      </w:r>
      <w:r w:rsidRPr="000322E4">
        <w:fldChar w:fldCharType="begin" w:fldLock="1"/>
      </w:r>
      <w:r w:rsidR="00021E2A">
        <w:rPr>
          <w:lang w:val="en-US"/>
        </w:rPr>
        <w:instrText>ADDIN</w:instrText>
      </w:r>
      <w:r w:rsidR="00021E2A" w:rsidRPr="00320416">
        <w:instrText xml:space="preserve"> </w:instrText>
      </w:r>
      <w:r w:rsidR="00021E2A">
        <w:rPr>
          <w:lang w:val="en-US"/>
        </w:rPr>
        <w:instrText>CSL</w:instrText>
      </w:r>
      <w:r w:rsidR="00021E2A" w:rsidRPr="00320416">
        <w:instrText>_</w:instrText>
      </w:r>
      <w:r w:rsidR="00021E2A">
        <w:rPr>
          <w:lang w:val="en-US"/>
        </w:rPr>
        <w:instrText>CITATION</w:instrText>
      </w:r>
      <w:r w:rsidR="00021E2A" w:rsidRPr="00320416">
        <w:instrText xml:space="preserve"> {"</w:instrText>
      </w:r>
      <w:r w:rsidR="00021E2A">
        <w:rPr>
          <w:lang w:val="en-US"/>
        </w:rPr>
        <w:instrText>citationItems</w:instrText>
      </w:r>
      <w:r w:rsidR="00021E2A" w:rsidRPr="00320416">
        <w:instrText>":[{"</w:instrText>
      </w:r>
      <w:r w:rsidR="00021E2A">
        <w:rPr>
          <w:lang w:val="en-US"/>
        </w:rPr>
        <w:instrText>id</w:instrText>
      </w:r>
      <w:r w:rsidR="00021E2A" w:rsidRPr="00320416">
        <w:instrText>":"</w:instrText>
      </w:r>
      <w:r w:rsidR="00021E2A">
        <w:rPr>
          <w:lang w:val="en-US"/>
        </w:rPr>
        <w:instrText>ITEM</w:instrText>
      </w:r>
      <w:r w:rsidR="00021E2A" w:rsidRPr="00320416">
        <w:instrText>-1","</w:instrText>
      </w:r>
      <w:r w:rsidR="00021E2A">
        <w:rPr>
          <w:lang w:val="en-US"/>
        </w:rPr>
        <w:instrText>itemData</w:instrText>
      </w:r>
      <w:r w:rsidR="00021E2A" w:rsidRPr="00320416">
        <w:instrText>":{"</w:instrText>
      </w:r>
      <w:r w:rsidR="00021E2A">
        <w:rPr>
          <w:lang w:val="en-US"/>
        </w:rPr>
        <w:instrText>DOI</w:instrText>
      </w:r>
      <w:r w:rsidR="00021E2A" w:rsidRPr="00320416">
        <w:instrText>":"10.1002/</w:instrText>
      </w:r>
      <w:r w:rsidR="00021E2A">
        <w:rPr>
          <w:lang w:val="en-US"/>
        </w:rPr>
        <w:instrText>ajh</w:instrText>
      </w:r>
      <w:r w:rsidR="00021E2A" w:rsidRPr="00320416">
        <w:instrText>.25558","</w:instrText>
      </w:r>
      <w:r w:rsidR="00021E2A">
        <w:rPr>
          <w:lang w:val="en-US"/>
        </w:rPr>
        <w:instrText>ISSN</w:instrText>
      </w:r>
      <w:r w:rsidR="00021E2A" w:rsidRPr="00320416">
        <w:instrText>":"10968652","</w:instrText>
      </w:r>
      <w:r w:rsidR="00021E2A">
        <w:rPr>
          <w:lang w:val="en-US"/>
        </w:rPr>
        <w:instrText>abstract</w:instrText>
      </w:r>
      <w:r w:rsidR="00021E2A" w:rsidRPr="00320416">
        <w:instrText>":"</w:instrText>
      </w:r>
      <w:r w:rsidR="00021E2A">
        <w:rPr>
          <w:lang w:val="en-US"/>
        </w:rPr>
        <w:instrText>The</w:instrText>
      </w:r>
      <w:r w:rsidR="00021E2A" w:rsidRPr="00320416">
        <w:instrText xml:space="preserve"> </w:instrText>
      </w:r>
      <w:r w:rsidR="00021E2A">
        <w:rPr>
          <w:lang w:val="en-US"/>
        </w:rPr>
        <w:instrText>incidence</w:instrText>
      </w:r>
      <w:r w:rsidR="00021E2A" w:rsidRPr="00320416">
        <w:instrText xml:space="preserve"> </w:instrText>
      </w:r>
      <w:r w:rsidR="00021E2A">
        <w:rPr>
          <w:lang w:val="en-US"/>
        </w:rPr>
        <w:instrText>of</w:instrText>
      </w:r>
      <w:r w:rsidR="00021E2A" w:rsidRPr="00320416">
        <w:instrText xml:space="preserve"> </w:instrText>
      </w:r>
      <w:r w:rsidR="00021E2A">
        <w:rPr>
          <w:lang w:val="en-US"/>
        </w:rPr>
        <w:instrText>systemic</w:instrText>
      </w:r>
      <w:r w:rsidR="00021E2A" w:rsidRPr="00320416">
        <w:instrText xml:space="preserve"> </w:instrText>
      </w:r>
      <w:r w:rsidR="00021E2A">
        <w:rPr>
          <w:lang w:val="en-US"/>
        </w:rPr>
        <w:instrText>diffuse</w:instrText>
      </w:r>
      <w:r w:rsidR="00021E2A" w:rsidRPr="00320416">
        <w:instrText xml:space="preserve"> </w:instrText>
      </w:r>
      <w:r w:rsidR="00021E2A">
        <w:rPr>
          <w:lang w:val="en-US"/>
        </w:rPr>
        <w:instrText>large</w:instrText>
      </w:r>
      <w:r w:rsidR="00021E2A" w:rsidRPr="00320416">
        <w:instrText xml:space="preserve"> </w:instrText>
      </w:r>
      <w:r w:rsidR="00021E2A">
        <w:rPr>
          <w:lang w:val="en-US"/>
        </w:rPr>
        <w:instrText>B</w:instrText>
      </w:r>
      <w:r w:rsidR="00021E2A" w:rsidRPr="00320416">
        <w:instrText xml:space="preserve"> </w:instrText>
      </w:r>
      <w:r w:rsidR="00021E2A">
        <w:rPr>
          <w:lang w:val="en-US"/>
        </w:rPr>
        <w:instrText>cell</w:instrText>
      </w:r>
      <w:r w:rsidR="00021E2A" w:rsidRPr="00320416">
        <w:instrText xml:space="preserve"> </w:instrText>
      </w:r>
      <w:r w:rsidR="00021E2A">
        <w:rPr>
          <w:lang w:val="en-US"/>
        </w:rPr>
        <w:instrText>lymphoma</w:instrText>
      </w:r>
      <w:r w:rsidR="00021E2A" w:rsidRPr="00320416">
        <w:instrText xml:space="preserve"> (</w:instrText>
      </w:r>
      <w:r w:rsidR="00021E2A">
        <w:rPr>
          <w:lang w:val="en-US"/>
        </w:rPr>
        <w:instrText>DLBCL</w:instrText>
      </w:r>
      <w:r w:rsidR="00021E2A" w:rsidRPr="00320416">
        <w:instrText xml:space="preserve">) </w:instrText>
      </w:r>
      <w:r w:rsidR="00021E2A">
        <w:rPr>
          <w:lang w:val="en-US"/>
        </w:rPr>
        <w:instrText>concurrently</w:instrText>
      </w:r>
      <w:r w:rsidR="00021E2A" w:rsidRPr="00320416">
        <w:instrText xml:space="preserve"> </w:instrText>
      </w:r>
      <w:r w:rsidR="00021E2A">
        <w:rPr>
          <w:lang w:val="en-US"/>
        </w:rPr>
        <w:instrText>involving</w:instrText>
      </w:r>
      <w:r w:rsidR="00021E2A" w:rsidRPr="00320416">
        <w:instrText xml:space="preserve"> </w:instrText>
      </w:r>
      <w:r w:rsidR="00021E2A">
        <w:rPr>
          <w:lang w:val="en-US"/>
        </w:rPr>
        <w:instrText>the</w:instrText>
      </w:r>
      <w:r w:rsidR="00021E2A" w:rsidRPr="00320416">
        <w:instrText xml:space="preserve"> </w:instrText>
      </w:r>
      <w:r w:rsidR="00021E2A">
        <w:rPr>
          <w:lang w:val="en-US"/>
        </w:rPr>
        <w:instrText>central</w:instrText>
      </w:r>
      <w:r w:rsidR="00021E2A" w:rsidRPr="00320416">
        <w:instrText xml:space="preserve"> </w:instrText>
      </w:r>
      <w:r w:rsidR="00021E2A">
        <w:rPr>
          <w:lang w:val="en-US"/>
        </w:rPr>
        <w:instrText>nervous</w:instrText>
      </w:r>
      <w:r w:rsidR="00021E2A" w:rsidRPr="00320416">
        <w:instrText xml:space="preserve"> </w:instrText>
      </w:r>
      <w:r w:rsidR="00021E2A">
        <w:rPr>
          <w:lang w:val="en-US"/>
        </w:rPr>
        <w:instrText>system</w:instrText>
      </w:r>
      <w:r w:rsidR="00021E2A" w:rsidRPr="00320416">
        <w:instrText xml:space="preserve"> (</w:instrText>
      </w:r>
      <w:r w:rsidR="00021E2A">
        <w:rPr>
          <w:lang w:val="en-US"/>
        </w:rPr>
        <w:instrText>CNS</w:instrText>
      </w:r>
      <w:r w:rsidR="00021E2A" w:rsidRPr="00320416">
        <w:instrText xml:space="preserve">) </w:instrText>
      </w:r>
      <w:r w:rsidR="00021E2A">
        <w:rPr>
          <w:lang w:val="en-US"/>
        </w:rPr>
        <w:instrText>at</w:instrText>
      </w:r>
      <w:r w:rsidR="00021E2A" w:rsidRPr="00320416">
        <w:instrText xml:space="preserve"> </w:instrText>
      </w:r>
      <w:r w:rsidR="00021E2A">
        <w:rPr>
          <w:lang w:val="en-US"/>
        </w:rPr>
        <w:instrText>diagnosis</w:instrText>
      </w:r>
      <w:r w:rsidR="00021E2A" w:rsidRPr="00320416">
        <w:instrText xml:space="preserve">, </w:instrText>
      </w:r>
      <w:r w:rsidR="00021E2A">
        <w:rPr>
          <w:lang w:val="en-US"/>
        </w:rPr>
        <w:instrText>is</w:instrText>
      </w:r>
      <w:r w:rsidR="00021E2A" w:rsidRPr="00320416">
        <w:instrText xml:space="preserve"> </w:instrText>
      </w:r>
      <w:r w:rsidR="00021E2A">
        <w:rPr>
          <w:lang w:val="en-US"/>
        </w:rPr>
        <w:instrText>very</w:instrText>
      </w:r>
      <w:r w:rsidR="00021E2A" w:rsidRPr="00320416">
        <w:instrText xml:space="preserve"> </w:instrText>
      </w:r>
      <w:r w:rsidR="00021E2A">
        <w:rPr>
          <w:lang w:val="en-US"/>
        </w:rPr>
        <w:instrText>low</w:instrText>
      </w:r>
      <w:r w:rsidR="00021E2A" w:rsidRPr="00320416">
        <w:instrText xml:space="preserve"> </w:instrText>
      </w:r>
      <w:r w:rsidR="00021E2A">
        <w:rPr>
          <w:lang w:val="en-US"/>
        </w:rPr>
        <w:instrText>and</w:instrText>
      </w:r>
      <w:r w:rsidR="00021E2A" w:rsidRPr="00320416">
        <w:instrText xml:space="preserve"> </w:instrText>
      </w:r>
      <w:r w:rsidR="00021E2A">
        <w:rPr>
          <w:lang w:val="en-US"/>
        </w:rPr>
        <w:instrText>data</w:instrText>
      </w:r>
      <w:r w:rsidR="00021E2A" w:rsidRPr="00320416">
        <w:instrText xml:space="preserve"> </w:instrText>
      </w:r>
      <w:r w:rsidR="00021E2A">
        <w:rPr>
          <w:lang w:val="en-US"/>
        </w:rPr>
        <w:instrText>regarding</w:instrText>
      </w:r>
      <w:r w:rsidR="00021E2A" w:rsidRPr="00320416">
        <w:instrText xml:space="preserve"> </w:instrText>
      </w:r>
      <w:r w:rsidR="00021E2A">
        <w:rPr>
          <w:lang w:val="en-US"/>
        </w:rPr>
        <w:instrText>the</w:instrText>
      </w:r>
      <w:r w:rsidR="00021E2A" w:rsidRPr="00320416">
        <w:instrText xml:space="preserve"> </w:instrText>
      </w:r>
      <w:r w:rsidR="00021E2A">
        <w:rPr>
          <w:lang w:val="en-US"/>
        </w:rPr>
        <w:instrText>clinical</w:instrText>
      </w:r>
      <w:r w:rsidR="00021E2A" w:rsidRPr="00320416">
        <w:instrText xml:space="preserve"> </w:instrText>
      </w:r>
      <w:r w:rsidR="00021E2A">
        <w:rPr>
          <w:lang w:val="en-US"/>
        </w:rPr>
        <w:instrText>course</w:instrText>
      </w:r>
      <w:r w:rsidR="00021E2A" w:rsidRPr="00320416">
        <w:instrText xml:space="preserve"> </w:instrText>
      </w:r>
      <w:r w:rsidR="00021E2A">
        <w:rPr>
          <w:lang w:val="en-US"/>
        </w:rPr>
        <w:instrText>of</w:instrText>
      </w:r>
      <w:r w:rsidR="00021E2A" w:rsidRPr="00320416">
        <w:instrText xml:space="preserve"> </w:instrText>
      </w:r>
      <w:r w:rsidR="00021E2A">
        <w:rPr>
          <w:lang w:val="en-US"/>
        </w:rPr>
        <w:instrText>these</w:instrText>
      </w:r>
      <w:r w:rsidR="00021E2A" w:rsidRPr="00320416">
        <w:instrText xml:space="preserve"> </w:instrText>
      </w:r>
      <w:r w:rsidR="00021E2A">
        <w:rPr>
          <w:lang w:val="en-US"/>
        </w:rPr>
        <w:instrText>patients</w:instrText>
      </w:r>
      <w:r w:rsidR="00021E2A" w:rsidRPr="00320416">
        <w:instrText xml:space="preserve"> </w:instrText>
      </w:r>
      <w:r w:rsidR="00021E2A">
        <w:rPr>
          <w:lang w:val="en-US"/>
        </w:rPr>
        <w:instrText>are</w:instrText>
      </w:r>
      <w:r w:rsidR="00021E2A" w:rsidRPr="00320416">
        <w:instrText xml:space="preserve"> </w:instrText>
      </w:r>
      <w:r w:rsidR="00021E2A">
        <w:rPr>
          <w:lang w:val="en-US"/>
        </w:rPr>
        <w:instrText>scarce</w:instrText>
      </w:r>
      <w:r w:rsidR="00021E2A" w:rsidRPr="00320416">
        <w:instrText xml:space="preserve">. </w:instrText>
      </w:r>
      <w:r w:rsidR="00021E2A">
        <w:rPr>
          <w:lang w:val="en-US"/>
        </w:rPr>
        <w:instrText>We</w:instrText>
      </w:r>
      <w:r w:rsidR="00021E2A" w:rsidRPr="00320416">
        <w:instrText xml:space="preserve"> </w:instrText>
      </w:r>
      <w:r w:rsidR="00021E2A">
        <w:rPr>
          <w:lang w:val="en-US"/>
        </w:rPr>
        <w:instrText>investigated</w:instrText>
      </w:r>
      <w:r w:rsidR="00021E2A" w:rsidRPr="00320416">
        <w:instrText xml:space="preserve"> </w:instrText>
      </w:r>
      <w:r w:rsidR="00021E2A">
        <w:rPr>
          <w:lang w:val="en-US"/>
        </w:rPr>
        <w:instrText>characteristics</w:instrText>
      </w:r>
      <w:r w:rsidR="00021E2A" w:rsidRPr="00320416">
        <w:instrText xml:space="preserve">, </w:instrText>
      </w:r>
      <w:r w:rsidR="00021E2A">
        <w:rPr>
          <w:lang w:val="en-US"/>
        </w:rPr>
        <w:instrText>efficacy</w:instrText>
      </w:r>
      <w:r w:rsidR="00021E2A" w:rsidRPr="00320416">
        <w:instrText xml:space="preserve"> </w:instrText>
      </w:r>
      <w:r w:rsidR="00021E2A">
        <w:rPr>
          <w:lang w:val="en-US"/>
        </w:rPr>
        <w:instrText>of</w:instrText>
      </w:r>
      <w:r w:rsidR="00021E2A" w:rsidRPr="00320416">
        <w:instrText xml:space="preserve"> </w:instrText>
      </w:r>
      <w:r w:rsidR="00021E2A">
        <w:rPr>
          <w:lang w:val="en-US"/>
        </w:rPr>
        <w:instrText>treatment</w:instrText>
      </w:r>
      <w:r w:rsidR="00021E2A" w:rsidRPr="00320416">
        <w:instrText xml:space="preserve"> </w:instrText>
      </w:r>
      <w:r w:rsidR="00021E2A">
        <w:rPr>
          <w:lang w:val="en-US"/>
        </w:rPr>
        <w:instrText>regimens</w:instrText>
      </w:r>
      <w:r w:rsidR="00021E2A" w:rsidRPr="00320416">
        <w:instrText xml:space="preserve"> </w:instrText>
      </w:r>
      <w:r w:rsidR="00021E2A">
        <w:rPr>
          <w:lang w:val="en-US"/>
        </w:rPr>
        <w:instrText>including</w:instrText>
      </w:r>
      <w:r w:rsidR="00021E2A" w:rsidRPr="00320416">
        <w:instrText xml:space="preserve"> </w:instrText>
      </w:r>
      <w:r w:rsidR="00021E2A">
        <w:rPr>
          <w:lang w:val="en-US"/>
        </w:rPr>
        <w:instrText>consolidative</w:instrText>
      </w:r>
      <w:r w:rsidR="00021E2A" w:rsidRPr="00320416">
        <w:instrText xml:space="preserve"> </w:instrText>
      </w:r>
      <w:r w:rsidR="00021E2A">
        <w:rPr>
          <w:lang w:val="en-US"/>
        </w:rPr>
        <w:instrText>autologous</w:instrText>
      </w:r>
      <w:r w:rsidR="00021E2A" w:rsidRPr="00320416">
        <w:instrText xml:space="preserve"> </w:instrText>
      </w:r>
      <w:r w:rsidR="00021E2A">
        <w:rPr>
          <w:lang w:val="en-US"/>
        </w:rPr>
        <w:instrText>stem</w:instrText>
      </w:r>
      <w:r w:rsidR="00021E2A" w:rsidRPr="00320416">
        <w:instrText xml:space="preserve"> </w:instrText>
      </w:r>
      <w:r w:rsidR="00021E2A">
        <w:rPr>
          <w:lang w:val="en-US"/>
        </w:rPr>
        <w:instrText>cell</w:instrText>
      </w:r>
      <w:r w:rsidR="00021E2A" w:rsidRPr="00320416">
        <w:instrText xml:space="preserve"> </w:instrText>
      </w:r>
      <w:r w:rsidR="00021E2A">
        <w:rPr>
          <w:lang w:val="en-US"/>
        </w:rPr>
        <w:instrText>transplantation</w:instrText>
      </w:r>
      <w:r w:rsidR="00021E2A" w:rsidRPr="00320416">
        <w:instrText xml:space="preserve"> </w:instrText>
      </w:r>
      <w:r w:rsidR="00021E2A">
        <w:rPr>
          <w:lang w:val="en-US"/>
        </w:rPr>
        <w:instrText>and</w:instrText>
      </w:r>
      <w:r w:rsidR="00021E2A" w:rsidRPr="00320416">
        <w:instrText xml:space="preserve"> </w:instrText>
      </w:r>
      <w:r w:rsidR="00021E2A">
        <w:rPr>
          <w:lang w:val="en-US"/>
        </w:rPr>
        <w:instrText>outcome</w:instrText>
      </w:r>
      <w:r w:rsidR="00021E2A" w:rsidRPr="00320416">
        <w:instrText xml:space="preserve"> </w:instrText>
      </w:r>
      <w:r w:rsidR="00021E2A">
        <w:rPr>
          <w:lang w:val="en-US"/>
        </w:rPr>
        <w:instrText>of</w:instrText>
      </w:r>
      <w:r w:rsidR="00021E2A" w:rsidRPr="00320416">
        <w:instrText xml:space="preserve"> </w:instrText>
      </w:r>
      <w:r w:rsidR="00021E2A">
        <w:rPr>
          <w:lang w:val="en-US"/>
        </w:rPr>
        <w:instrText>patients</w:instrText>
      </w:r>
      <w:r w:rsidR="00021E2A" w:rsidRPr="00320416">
        <w:instrText xml:space="preserve"> </w:instrText>
      </w:r>
      <w:r w:rsidR="00021E2A">
        <w:rPr>
          <w:lang w:val="en-US"/>
        </w:rPr>
        <w:instrText>presenting</w:instrText>
      </w:r>
      <w:r w:rsidR="00021E2A" w:rsidRPr="00320416">
        <w:instrText xml:space="preserve"> </w:instrText>
      </w:r>
      <w:r w:rsidR="00021E2A">
        <w:rPr>
          <w:lang w:val="en-US"/>
        </w:rPr>
        <w:instrText>with</w:instrText>
      </w:r>
      <w:r w:rsidR="00021E2A" w:rsidRPr="00320416">
        <w:instrText xml:space="preserve"> </w:instrText>
      </w:r>
      <w:r w:rsidR="00021E2A">
        <w:rPr>
          <w:lang w:val="en-US"/>
        </w:rPr>
        <w:instrText>concomitant</w:instrText>
      </w:r>
      <w:r w:rsidR="00021E2A" w:rsidRPr="00320416">
        <w:instrText xml:space="preserve"> </w:instrText>
      </w:r>
      <w:r w:rsidR="00021E2A">
        <w:rPr>
          <w:lang w:val="en-US"/>
        </w:rPr>
        <w:instrText>systemic</w:instrText>
      </w:r>
      <w:r w:rsidR="00021E2A" w:rsidRPr="00320416">
        <w:instrText xml:space="preserve"> </w:instrText>
      </w:r>
      <w:r w:rsidR="00021E2A">
        <w:rPr>
          <w:lang w:val="en-US"/>
        </w:rPr>
        <w:instrText>and</w:instrText>
      </w:r>
      <w:r w:rsidR="00021E2A" w:rsidRPr="00320416">
        <w:instrText xml:space="preserve"> </w:instrText>
      </w:r>
      <w:r w:rsidR="00021E2A">
        <w:rPr>
          <w:lang w:val="en-US"/>
        </w:rPr>
        <w:instrText>CNS</w:instrText>
      </w:r>
      <w:r w:rsidR="00021E2A" w:rsidRPr="00320416">
        <w:instrText xml:space="preserve"> </w:instrText>
      </w:r>
      <w:r w:rsidR="00021E2A">
        <w:rPr>
          <w:lang w:val="en-US"/>
        </w:rPr>
        <w:instrText>DLBCL</w:instrText>
      </w:r>
      <w:r w:rsidR="00021E2A" w:rsidRPr="00320416">
        <w:instrText xml:space="preserve">. </w:instrText>
      </w:r>
      <w:r w:rsidR="00021E2A">
        <w:rPr>
          <w:lang w:val="en-US"/>
        </w:rPr>
        <w:instrText>The</w:instrText>
      </w:r>
      <w:r w:rsidR="00021E2A" w:rsidRPr="00320416">
        <w:instrText xml:space="preserve"> </w:instrText>
      </w:r>
      <w:r w:rsidR="00021E2A">
        <w:rPr>
          <w:lang w:val="en-US"/>
        </w:rPr>
        <w:instrText>records</w:instrText>
      </w:r>
      <w:r w:rsidR="00021E2A" w:rsidRPr="00320416">
        <w:instrText xml:space="preserve"> </w:instrText>
      </w:r>
      <w:r w:rsidR="00021E2A">
        <w:rPr>
          <w:lang w:val="en-US"/>
        </w:rPr>
        <w:instrText>of</w:instrText>
      </w:r>
      <w:r w:rsidR="00021E2A" w:rsidRPr="00320416">
        <w:instrText xml:space="preserve"> 44 </w:instrText>
      </w:r>
      <w:r w:rsidR="00021E2A">
        <w:rPr>
          <w:lang w:val="en-US"/>
        </w:rPr>
        <w:instrText>patients</w:instrText>
      </w:r>
      <w:r w:rsidR="00021E2A" w:rsidRPr="00320416">
        <w:instrText xml:space="preserve">, </w:instrText>
      </w:r>
      <w:r w:rsidR="00021E2A">
        <w:rPr>
          <w:lang w:val="en-US"/>
        </w:rPr>
        <w:instrText>diagnosed</w:instrText>
      </w:r>
      <w:r w:rsidR="00021E2A" w:rsidRPr="00320416">
        <w:instrText xml:space="preserve"> </w:instrText>
      </w:r>
      <w:r w:rsidR="00021E2A">
        <w:rPr>
          <w:lang w:val="en-US"/>
        </w:rPr>
        <w:instrText>between</w:instrText>
      </w:r>
      <w:r w:rsidR="00021E2A" w:rsidRPr="00320416">
        <w:instrText xml:space="preserve"> 2004 </w:instrText>
      </w:r>
      <w:r w:rsidR="00021E2A">
        <w:rPr>
          <w:lang w:val="en-US"/>
        </w:rPr>
        <w:instrText>and</w:instrText>
      </w:r>
      <w:r w:rsidR="00021E2A" w:rsidRPr="00320416">
        <w:instrText xml:space="preserve"> 2017, </w:instrText>
      </w:r>
      <w:r w:rsidR="00021E2A">
        <w:rPr>
          <w:lang w:val="en-US"/>
        </w:rPr>
        <w:instrText>who</w:instrText>
      </w:r>
      <w:r w:rsidR="00021E2A" w:rsidRPr="00320416">
        <w:instrText xml:space="preserve"> </w:instrText>
      </w:r>
      <w:r w:rsidR="00021E2A">
        <w:rPr>
          <w:lang w:val="en-US"/>
        </w:rPr>
        <w:instrText>fulfilled</w:instrText>
      </w:r>
      <w:r w:rsidR="00021E2A" w:rsidRPr="00320416">
        <w:instrText xml:space="preserve"> </w:instrText>
      </w:r>
      <w:r w:rsidR="00021E2A">
        <w:rPr>
          <w:lang w:val="en-US"/>
        </w:rPr>
        <w:instrText>the</w:instrText>
      </w:r>
      <w:r w:rsidR="00021E2A" w:rsidRPr="00320416">
        <w:instrText xml:space="preserve"> </w:instrText>
      </w:r>
      <w:r w:rsidR="00021E2A">
        <w:rPr>
          <w:lang w:val="en-US"/>
        </w:rPr>
        <w:instrText>inclusion</w:instrText>
      </w:r>
      <w:r w:rsidR="00021E2A" w:rsidRPr="00320416">
        <w:instrText xml:space="preserve"> </w:instrText>
      </w:r>
      <w:r w:rsidR="00021E2A">
        <w:rPr>
          <w:lang w:val="en-US"/>
        </w:rPr>
        <w:instrText>criteria</w:instrText>
      </w:r>
      <w:r w:rsidR="00021E2A" w:rsidRPr="00320416">
        <w:instrText xml:space="preserve">, </w:instrText>
      </w:r>
      <w:r w:rsidR="00021E2A">
        <w:rPr>
          <w:lang w:val="en-US"/>
        </w:rPr>
        <w:instrText>were</w:instrText>
      </w:r>
      <w:r w:rsidR="00021E2A" w:rsidRPr="00320416">
        <w:instrText xml:space="preserve"> </w:instrText>
      </w:r>
      <w:r w:rsidR="00021E2A">
        <w:rPr>
          <w:lang w:val="en-US"/>
        </w:rPr>
        <w:instrText>retrospectively</w:instrText>
      </w:r>
      <w:r w:rsidR="00021E2A" w:rsidRPr="00320416">
        <w:instrText xml:space="preserve"> </w:instrText>
      </w:r>
      <w:r w:rsidR="00021E2A">
        <w:rPr>
          <w:lang w:val="en-US"/>
        </w:rPr>
        <w:instrText>reviewed</w:instrText>
      </w:r>
      <w:r w:rsidR="00021E2A" w:rsidRPr="00320416">
        <w:instrText xml:space="preserve">. </w:instrText>
      </w:r>
      <w:r w:rsidR="00021E2A">
        <w:rPr>
          <w:lang w:val="en-US"/>
        </w:rPr>
        <w:instrText>CNS</w:instrText>
      </w:r>
      <w:r w:rsidR="00021E2A" w:rsidRPr="00320416">
        <w:instrText xml:space="preserve"> </w:instrText>
      </w:r>
      <w:r w:rsidR="00021E2A">
        <w:rPr>
          <w:lang w:val="en-US"/>
        </w:rPr>
        <w:instrText>involvement</w:instrText>
      </w:r>
      <w:r w:rsidR="00021E2A" w:rsidRPr="00320416">
        <w:instrText xml:space="preserve"> </w:instrText>
      </w:r>
      <w:r w:rsidR="00021E2A">
        <w:rPr>
          <w:lang w:val="en-US"/>
        </w:rPr>
        <w:instrText>was</w:instrText>
      </w:r>
      <w:r w:rsidR="00021E2A" w:rsidRPr="00320416">
        <w:instrText xml:space="preserve"> </w:instrText>
      </w:r>
      <w:r w:rsidR="00021E2A">
        <w:rPr>
          <w:lang w:val="en-US"/>
        </w:rPr>
        <w:instrText>diagnosed</w:instrText>
      </w:r>
      <w:r w:rsidR="00021E2A" w:rsidRPr="00320416">
        <w:instrText xml:space="preserve"> </w:instrText>
      </w:r>
      <w:r w:rsidR="00021E2A">
        <w:rPr>
          <w:lang w:val="en-US"/>
        </w:rPr>
        <w:instrText>as</w:instrText>
      </w:r>
      <w:r w:rsidR="00021E2A" w:rsidRPr="00320416">
        <w:instrText xml:space="preserve"> </w:instrText>
      </w:r>
      <w:r w:rsidR="00021E2A">
        <w:rPr>
          <w:lang w:val="en-US"/>
        </w:rPr>
        <w:instrText>solely</w:instrText>
      </w:r>
      <w:r w:rsidR="00021E2A" w:rsidRPr="00320416">
        <w:instrText xml:space="preserve"> </w:instrText>
      </w:r>
      <w:r w:rsidR="00021E2A">
        <w:rPr>
          <w:lang w:val="en-US"/>
        </w:rPr>
        <w:instrText>parenchymal</w:instrText>
      </w:r>
      <w:r w:rsidR="00021E2A" w:rsidRPr="00320416">
        <w:instrText xml:space="preserve"> </w:instrText>
      </w:r>
      <w:r w:rsidR="00021E2A">
        <w:rPr>
          <w:lang w:val="en-US"/>
        </w:rPr>
        <w:instrText>in</w:instrText>
      </w:r>
      <w:r w:rsidR="00021E2A" w:rsidRPr="00320416">
        <w:instrText xml:space="preserve"> 41%, </w:instrText>
      </w:r>
      <w:r w:rsidR="00021E2A">
        <w:rPr>
          <w:lang w:val="en-US"/>
        </w:rPr>
        <w:instrText>solely</w:instrText>
      </w:r>
      <w:r w:rsidR="00021E2A" w:rsidRPr="00320416">
        <w:instrText xml:space="preserve"> </w:instrText>
      </w:r>
      <w:r w:rsidR="00021E2A">
        <w:rPr>
          <w:lang w:val="en-US"/>
        </w:rPr>
        <w:instrText>leptomeningeal</w:instrText>
      </w:r>
      <w:r w:rsidR="00021E2A" w:rsidRPr="00320416">
        <w:instrText xml:space="preserve"> </w:instrText>
      </w:r>
      <w:r w:rsidR="00021E2A">
        <w:rPr>
          <w:lang w:val="en-US"/>
        </w:rPr>
        <w:instrText>in</w:instrText>
      </w:r>
      <w:r w:rsidR="00021E2A" w:rsidRPr="00320416">
        <w:instrText xml:space="preserve"> 43%, </w:instrText>
      </w:r>
      <w:r w:rsidR="00021E2A">
        <w:rPr>
          <w:lang w:val="en-US"/>
        </w:rPr>
        <w:instrText>and</w:instrText>
      </w:r>
      <w:r w:rsidR="00021E2A" w:rsidRPr="00320416">
        <w:instrText xml:space="preserve"> </w:instrText>
      </w:r>
      <w:r w:rsidR="00021E2A">
        <w:rPr>
          <w:lang w:val="en-US"/>
        </w:rPr>
        <w:instrText>paranchymal</w:instrText>
      </w:r>
      <w:r w:rsidR="00021E2A" w:rsidRPr="00320416">
        <w:instrText xml:space="preserve"> </w:instrText>
      </w:r>
      <w:r w:rsidR="00021E2A">
        <w:rPr>
          <w:lang w:val="en-US"/>
        </w:rPr>
        <w:instrText>with</w:instrText>
      </w:r>
      <w:r w:rsidR="00021E2A" w:rsidRPr="00320416">
        <w:instrText xml:space="preserve"> </w:instrText>
      </w:r>
      <w:r w:rsidR="00021E2A">
        <w:rPr>
          <w:lang w:val="en-US"/>
        </w:rPr>
        <w:instrText>leptomeningeal</w:instrText>
      </w:r>
      <w:r w:rsidR="00021E2A" w:rsidRPr="00320416">
        <w:instrText xml:space="preserve"> </w:instrText>
      </w:r>
      <w:r w:rsidR="00021E2A">
        <w:rPr>
          <w:lang w:val="en-US"/>
        </w:rPr>
        <w:instrText>in</w:instrText>
      </w:r>
      <w:r w:rsidR="00021E2A" w:rsidRPr="00320416">
        <w:instrText xml:space="preserve"> 11% </w:instrText>
      </w:r>
      <w:r w:rsidR="00021E2A">
        <w:rPr>
          <w:lang w:val="en-US"/>
        </w:rPr>
        <w:instrText>of</w:instrText>
      </w:r>
      <w:r w:rsidR="00021E2A" w:rsidRPr="00320416">
        <w:instrText xml:space="preserve"> </w:instrText>
      </w:r>
      <w:r w:rsidR="00021E2A">
        <w:rPr>
          <w:lang w:val="en-US"/>
        </w:rPr>
        <w:instrText>the</w:instrText>
      </w:r>
      <w:r w:rsidR="00021E2A" w:rsidRPr="00320416">
        <w:instrText xml:space="preserve"> </w:instrText>
      </w:r>
      <w:r w:rsidR="00021E2A">
        <w:rPr>
          <w:lang w:val="en-US"/>
        </w:rPr>
        <w:instrText>patients</w:instrText>
      </w:r>
      <w:r w:rsidR="00021E2A" w:rsidRPr="00320416">
        <w:instrText xml:space="preserve">. </w:instrText>
      </w:r>
      <w:r w:rsidR="00021E2A">
        <w:rPr>
          <w:lang w:val="en-US"/>
        </w:rPr>
        <w:instrText>Induction</w:instrText>
      </w:r>
      <w:r w:rsidR="00021E2A" w:rsidRPr="00320416">
        <w:instrText xml:space="preserve"> </w:instrText>
      </w:r>
      <w:r w:rsidR="00021E2A">
        <w:rPr>
          <w:lang w:val="en-US"/>
        </w:rPr>
        <w:instrText>regimens</w:instrText>
      </w:r>
      <w:r w:rsidR="00021E2A" w:rsidRPr="00320416">
        <w:instrText xml:space="preserve"> </w:instrText>
      </w:r>
      <w:r w:rsidR="00021E2A">
        <w:rPr>
          <w:lang w:val="en-US"/>
        </w:rPr>
        <w:instrText>were</w:instrText>
      </w:r>
      <w:r w:rsidR="00021E2A" w:rsidRPr="00320416">
        <w:instrText xml:space="preserve"> </w:instrText>
      </w:r>
      <w:r w:rsidR="00021E2A">
        <w:rPr>
          <w:lang w:val="en-US"/>
        </w:rPr>
        <w:instrText>anthracycline</w:instrText>
      </w:r>
      <w:r w:rsidR="00021E2A" w:rsidRPr="00320416">
        <w:instrText>-</w:instrText>
      </w:r>
      <w:r w:rsidR="00021E2A">
        <w:rPr>
          <w:lang w:val="en-US"/>
        </w:rPr>
        <w:instrText>based</w:instrText>
      </w:r>
      <w:r w:rsidR="00021E2A" w:rsidRPr="00320416">
        <w:instrText xml:space="preserve"> </w:instrText>
      </w:r>
      <w:r w:rsidR="00021E2A">
        <w:rPr>
          <w:lang w:val="en-US"/>
        </w:rPr>
        <w:instrText>combined</w:instrText>
      </w:r>
      <w:r w:rsidR="00021E2A" w:rsidRPr="00320416">
        <w:instrText xml:space="preserve"> </w:instrText>
      </w:r>
      <w:r w:rsidR="00021E2A">
        <w:rPr>
          <w:lang w:val="en-US"/>
        </w:rPr>
        <w:instrText>with</w:instrText>
      </w:r>
      <w:r w:rsidR="00021E2A" w:rsidRPr="00320416">
        <w:instrText xml:space="preserve"> </w:instrText>
      </w:r>
      <w:r w:rsidR="00021E2A">
        <w:rPr>
          <w:lang w:val="en-US"/>
        </w:rPr>
        <w:instrText>high</w:instrText>
      </w:r>
      <w:r w:rsidR="00021E2A" w:rsidRPr="00320416">
        <w:instrText>-</w:instrText>
      </w:r>
      <w:r w:rsidR="00021E2A">
        <w:rPr>
          <w:lang w:val="en-US"/>
        </w:rPr>
        <w:instrText>dose</w:instrText>
      </w:r>
      <w:r w:rsidR="00021E2A" w:rsidRPr="00320416">
        <w:instrText xml:space="preserve"> </w:instrText>
      </w:r>
      <w:r w:rsidR="00021E2A">
        <w:rPr>
          <w:lang w:val="en-US"/>
        </w:rPr>
        <w:instrText>methotrexate</w:instrText>
      </w:r>
      <w:r w:rsidR="00021E2A" w:rsidRPr="00320416">
        <w:instrText xml:space="preserve"> (</w:instrText>
      </w:r>
      <w:r w:rsidR="00021E2A">
        <w:rPr>
          <w:lang w:val="en-US"/>
        </w:rPr>
        <w:instrText>HD</w:instrText>
      </w:r>
      <w:r w:rsidR="00021E2A" w:rsidRPr="00320416">
        <w:instrText>-</w:instrText>
      </w:r>
      <w:r w:rsidR="00021E2A">
        <w:rPr>
          <w:lang w:val="en-US"/>
        </w:rPr>
        <w:instrText>MTX</w:instrText>
      </w:r>
      <w:r w:rsidR="00021E2A" w:rsidRPr="00320416">
        <w:instrText xml:space="preserve">) </w:instrText>
      </w:r>
      <w:r w:rsidR="00021E2A">
        <w:rPr>
          <w:lang w:val="en-US"/>
        </w:rPr>
        <w:instrText>in</w:instrText>
      </w:r>
      <w:r w:rsidR="00021E2A" w:rsidRPr="00320416">
        <w:instrText xml:space="preserve"> 80% (</w:instrText>
      </w:r>
      <w:r w:rsidR="00021E2A">
        <w:rPr>
          <w:lang w:val="en-US"/>
        </w:rPr>
        <w:instrText>n</w:instrText>
      </w:r>
      <w:r w:rsidR="00021E2A" w:rsidRPr="00320416">
        <w:instrText xml:space="preserve"> = 35) </w:instrText>
      </w:r>
      <w:r w:rsidR="00021E2A">
        <w:rPr>
          <w:lang w:val="en-US"/>
        </w:rPr>
        <w:instrText>of</w:instrText>
      </w:r>
      <w:r w:rsidR="00021E2A" w:rsidRPr="00320416">
        <w:instrText xml:space="preserve"> </w:instrText>
      </w:r>
      <w:r w:rsidR="00021E2A">
        <w:rPr>
          <w:lang w:val="en-US"/>
        </w:rPr>
        <w:instrText>patients</w:instrText>
      </w:r>
      <w:r w:rsidR="00021E2A" w:rsidRPr="00320416">
        <w:instrText xml:space="preserve">, </w:instrText>
      </w:r>
      <w:r w:rsidR="00021E2A">
        <w:rPr>
          <w:lang w:val="en-US"/>
        </w:rPr>
        <w:instrText>anthracycline</w:instrText>
      </w:r>
      <w:r w:rsidR="00021E2A" w:rsidRPr="00320416">
        <w:instrText>-</w:instrText>
      </w:r>
      <w:r w:rsidR="00021E2A">
        <w:rPr>
          <w:lang w:val="en-US"/>
        </w:rPr>
        <w:instrText>based</w:instrText>
      </w:r>
      <w:r w:rsidR="00021E2A" w:rsidRPr="00320416">
        <w:instrText xml:space="preserve"> </w:instrText>
      </w:r>
      <w:r w:rsidR="00021E2A">
        <w:rPr>
          <w:lang w:val="en-US"/>
        </w:rPr>
        <w:instrText>combined</w:instrText>
      </w:r>
      <w:r w:rsidR="00021E2A" w:rsidRPr="00320416">
        <w:instrText xml:space="preserve"> </w:instrText>
      </w:r>
      <w:r w:rsidR="00021E2A">
        <w:rPr>
          <w:lang w:val="en-US"/>
        </w:rPr>
        <w:instrText>with</w:instrText>
      </w:r>
      <w:r w:rsidR="00021E2A" w:rsidRPr="00320416">
        <w:instrText xml:space="preserve"> </w:instrText>
      </w:r>
      <w:r w:rsidR="00021E2A">
        <w:rPr>
          <w:lang w:val="en-US"/>
        </w:rPr>
        <w:instrText>intrathecal</w:instrText>
      </w:r>
      <w:r w:rsidR="00021E2A" w:rsidRPr="00320416">
        <w:instrText xml:space="preserve"> </w:instrText>
      </w:r>
      <w:r w:rsidR="00021E2A">
        <w:rPr>
          <w:lang w:val="en-US"/>
        </w:rPr>
        <w:instrText>MTX</w:instrText>
      </w:r>
      <w:r w:rsidR="00021E2A" w:rsidRPr="00320416">
        <w:instrText xml:space="preserve"> </w:instrText>
      </w:r>
      <w:r w:rsidR="00021E2A">
        <w:rPr>
          <w:lang w:val="en-US"/>
        </w:rPr>
        <w:instrText>in</w:instrText>
      </w:r>
      <w:r w:rsidR="00021E2A" w:rsidRPr="00320416">
        <w:instrText xml:space="preserve"> 3, </w:instrText>
      </w:r>
      <w:r w:rsidR="00021E2A">
        <w:rPr>
          <w:lang w:val="en-US"/>
        </w:rPr>
        <w:instrText>cytarabine</w:instrText>
      </w:r>
      <w:r w:rsidR="00021E2A" w:rsidRPr="00320416">
        <w:instrText>-</w:instrText>
      </w:r>
      <w:r w:rsidR="00021E2A">
        <w:rPr>
          <w:lang w:val="en-US"/>
        </w:rPr>
        <w:instrText>based</w:instrText>
      </w:r>
      <w:r w:rsidR="00021E2A" w:rsidRPr="00320416">
        <w:instrText xml:space="preserve"> (</w:instrText>
      </w:r>
      <w:r w:rsidR="00021E2A">
        <w:rPr>
          <w:lang w:val="en-US"/>
        </w:rPr>
        <w:instrText>without</w:instrText>
      </w:r>
      <w:r w:rsidR="00021E2A" w:rsidRPr="00320416">
        <w:instrText xml:space="preserve"> </w:instrText>
      </w:r>
      <w:r w:rsidR="00021E2A">
        <w:rPr>
          <w:lang w:val="en-US"/>
        </w:rPr>
        <w:instrText>antracyclines</w:instrText>
      </w:r>
      <w:r w:rsidR="00021E2A" w:rsidRPr="00320416">
        <w:instrText xml:space="preserve">) </w:instrText>
      </w:r>
      <w:r w:rsidR="00021E2A">
        <w:rPr>
          <w:lang w:val="en-US"/>
        </w:rPr>
        <w:instrText>in</w:instrText>
      </w:r>
      <w:r w:rsidR="00021E2A" w:rsidRPr="00320416">
        <w:instrText xml:space="preserve"> 2, </w:instrText>
      </w:r>
      <w:r w:rsidR="00021E2A">
        <w:rPr>
          <w:lang w:val="en-US"/>
        </w:rPr>
        <w:instrText>HD</w:instrText>
      </w:r>
      <w:r w:rsidR="00021E2A" w:rsidRPr="00320416">
        <w:instrText>-</w:instrText>
      </w:r>
      <w:r w:rsidR="00021E2A">
        <w:rPr>
          <w:lang w:val="en-US"/>
        </w:rPr>
        <w:instrText>MTX</w:instrText>
      </w:r>
      <w:r w:rsidR="00021E2A" w:rsidRPr="00320416">
        <w:instrText xml:space="preserve"> </w:instrText>
      </w:r>
      <w:r w:rsidR="00021E2A">
        <w:rPr>
          <w:lang w:val="en-US"/>
        </w:rPr>
        <w:instrText>in</w:instrText>
      </w:r>
      <w:r w:rsidR="00021E2A" w:rsidRPr="00320416">
        <w:instrText xml:space="preserve"> 1 </w:instrText>
      </w:r>
      <w:r w:rsidR="00021E2A">
        <w:rPr>
          <w:lang w:val="en-US"/>
        </w:rPr>
        <w:instrText>and</w:instrText>
      </w:r>
      <w:r w:rsidR="00021E2A" w:rsidRPr="00320416">
        <w:instrText xml:space="preserve"> </w:instrText>
      </w:r>
      <w:r w:rsidR="00021E2A">
        <w:rPr>
          <w:lang w:val="en-US"/>
        </w:rPr>
        <w:instrText>palliative</w:instrText>
      </w:r>
      <w:r w:rsidR="00021E2A" w:rsidRPr="00320416">
        <w:instrText xml:space="preserve"> </w:instrText>
      </w:r>
      <w:r w:rsidR="00021E2A">
        <w:rPr>
          <w:lang w:val="en-US"/>
        </w:rPr>
        <w:instrText>in</w:instrText>
      </w:r>
      <w:r w:rsidR="00021E2A" w:rsidRPr="00320416">
        <w:instrText xml:space="preserve"> </w:instrText>
      </w:r>
      <w:r w:rsidR="00021E2A">
        <w:rPr>
          <w:lang w:val="en-US"/>
        </w:rPr>
        <w:instrText>three</w:instrText>
      </w:r>
      <w:r w:rsidR="00021E2A" w:rsidRPr="00320416">
        <w:instrText xml:space="preserve">. </w:instrText>
      </w:r>
      <w:r w:rsidR="00021E2A">
        <w:rPr>
          <w:lang w:val="en-US"/>
        </w:rPr>
        <w:instrText>Five</w:instrText>
      </w:r>
      <w:r w:rsidR="00021E2A" w:rsidRPr="00320416">
        <w:instrText xml:space="preserve"> </w:instrText>
      </w:r>
      <w:r w:rsidR="00021E2A">
        <w:rPr>
          <w:lang w:val="en-US"/>
        </w:rPr>
        <w:instrText>of</w:instrText>
      </w:r>
      <w:r w:rsidR="00021E2A" w:rsidRPr="00320416">
        <w:instrText xml:space="preserve"> 41 </w:instrText>
      </w:r>
      <w:r w:rsidR="00021E2A">
        <w:rPr>
          <w:lang w:val="en-US"/>
        </w:rPr>
        <w:instrText>patients</w:instrText>
      </w:r>
      <w:r w:rsidR="00021E2A" w:rsidRPr="00320416">
        <w:instrText xml:space="preserve"> </w:instrText>
      </w:r>
      <w:r w:rsidR="00021E2A">
        <w:rPr>
          <w:lang w:val="en-US"/>
        </w:rPr>
        <w:instrText>treated</w:instrText>
      </w:r>
      <w:r w:rsidR="00021E2A" w:rsidRPr="00320416">
        <w:instrText xml:space="preserve"> </w:instrText>
      </w:r>
      <w:r w:rsidR="00021E2A">
        <w:rPr>
          <w:lang w:val="en-US"/>
        </w:rPr>
        <w:instrText>with</w:instrText>
      </w:r>
      <w:r w:rsidR="00021E2A" w:rsidRPr="00320416">
        <w:instrText xml:space="preserve"> </w:instrText>
      </w:r>
      <w:r w:rsidR="00021E2A">
        <w:rPr>
          <w:lang w:val="en-US"/>
        </w:rPr>
        <w:instrText>chemotherapy</w:instrText>
      </w:r>
      <w:r w:rsidR="00021E2A" w:rsidRPr="00320416">
        <w:instrText xml:space="preserve"> </w:instrText>
      </w:r>
      <w:r w:rsidR="00021E2A">
        <w:rPr>
          <w:lang w:val="en-US"/>
        </w:rPr>
        <w:instrText>died</w:instrText>
      </w:r>
      <w:r w:rsidR="00021E2A" w:rsidRPr="00320416">
        <w:instrText xml:space="preserve"> </w:instrText>
      </w:r>
      <w:r w:rsidR="00021E2A">
        <w:rPr>
          <w:lang w:val="en-US"/>
        </w:rPr>
        <w:instrText>of</w:instrText>
      </w:r>
      <w:r w:rsidR="00021E2A" w:rsidRPr="00320416">
        <w:instrText xml:space="preserve"> </w:instrText>
      </w:r>
      <w:r w:rsidR="00021E2A">
        <w:rPr>
          <w:lang w:val="en-US"/>
        </w:rPr>
        <w:instrText>treatment</w:instrText>
      </w:r>
      <w:r w:rsidR="00021E2A" w:rsidRPr="00320416">
        <w:instrText>-</w:instrText>
      </w:r>
      <w:r w:rsidR="00021E2A">
        <w:rPr>
          <w:lang w:val="en-US"/>
        </w:rPr>
        <w:instrText>related</w:instrText>
      </w:r>
      <w:r w:rsidR="00021E2A" w:rsidRPr="00320416">
        <w:instrText xml:space="preserve"> </w:instrText>
      </w:r>
      <w:r w:rsidR="00021E2A">
        <w:rPr>
          <w:lang w:val="en-US"/>
        </w:rPr>
        <w:instrText>toxicity</w:instrText>
      </w:r>
      <w:r w:rsidR="00021E2A" w:rsidRPr="00AA43FB">
        <w:instrText xml:space="preserve">, </w:instrText>
      </w:r>
      <w:r w:rsidR="00021E2A">
        <w:rPr>
          <w:lang w:val="en-US"/>
        </w:rPr>
        <w:instrText>all</w:instrText>
      </w:r>
      <w:r w:rsidR="00021E2A" w:rsidRPr="00AA43FB">
        <w:instrText xml:space="preserve"> </w:instrText>
      </w:r>
      <w:r w:rsidR="00021E2A">
        <w:rPr>
          <w:lang w:val="en-US"/>
        </w:rPr>
        <w:instrText>due</w:instrText>
      </w:r>
      <w:r w:rsidR="00021E2A" w:rsidRPr="00AA43FB">
        <w:instrText xml:space="preserve"> </w:instrText>
      </w:r>
      <w:r w:rsidR="00021E2A">
        <w:rPr>
          <w:lang w:val="en-US"/>
        </w:rPr>
        <w:instrText>to</w:instrText>
      </w:r>
      <w:r w:rsidR="00021E2A" w:rsidRPr="00AA43FB">
        <w:instrText xml:space="preserve"> </w:instrText>
      </w:r>
      <w:r w:rsidR="00021E2A">
        <w:rPr>
          <w:lang w:val="en-US"/>
        </w:rPr>
        <w:instrText>infections</w:instrText>
      </w:r>
      <w:r w:rsidR="00021E2A" w:rsidRPr="00AA43FB">
        <w:instrText xml:space="preserve">. </w:instrText>
      </w:r>
      <w:r w:rsidR="00021E2A">
        <w:rPr>
          <w:lang w:val="en-US"/>
        </w:rPr>
        <w:instrText>Nineteen</w:instrText>
      </w:r>
      <w:r w:rsidR="00021E2A" w:rsidRPr="00AA43FB">
        <w:instrText xml:space="preserve"> </w:instrText>
      </w:r>
      <w:r w:rsidR="00021E2A">
        <w:rPr>
          <w:lang w:val="en-US"/>
        </w:rPr>
        <w:instrText>patients</w:instrText>
      </w:r>
      <w:r w:rsidR="00021E2A" w:rsidRPr="00AA43FB">
        <w:instrText xml:space="preserve"> </w:instrText>
      </w:r>
      <w:r w:rsidR="00021E2A">
        <w:rPr>
          <w:lang w:val="en-US"/>
        </w:rPr>
        <w:instrText>had</w:instrText>
      </w:r>
      <w:r w:rsidR="00021E2A" w:rsidRPr="00AA43FB">
        <w:instrText xml:space="preserve"> </w:instrText>
      </w:r>
      <w:r w:rsidR="00021E2A">
        <w:rPr>
          <w:lang w:val="en-US"/>
        </w:rPr>
        <w:instrText>consolidative</w:instrText>
      </w:r>
      <w:r w:rsidR="00021E2A" w:rsidRPr="00AA43FB">
        <w:instrText xml:space="preserve"> </w:instrText>
      </w:r>
      <w:r w:rsidR="00021E2A">
        <w:rPr>
          <w:lang w:val="en-US"/>
        </w:rPr>
        <w:instrText>autologous</w:instrText>
      </w:r>
      <w:r w:rsidR="00021E2A" w:rsidRPr="00AA43FB">
        <w:instrText xml:space="preserve"> </w:instrText>
      </w:r>
      <w:r w:rsidR="00021E2A">
        <w:rPr>
          <w:lang w:val="en-US"/>
        </w:rPr>
        <w:instrText>transplantation</w:instrText>
      </w:r>
      <w:r w:rsidR="00021E2A" w:rsidRPr="00AA43FB">
        <w:instrText xml:space="preserve">. </w:instrText>
      </w:r>
      <w:r w:rsidR="00021E2A">
        <w:rPr>
          <w:lang w:val="en-US"/>
        </w:rPr>
        <w:instrText>Overall</w:instrText>
      </w:r>
      <w:r w:rsidR="00021E2A" w:rsidRPr="00AA43FB">
        <w:instrText xml:space="preserve"> </w:instrText>
      </w:r>
      <w:r w:rsidR="00021E2A">
        <w:rPr>
          <w:lang w:val="en-US"/>
        </w:rPr>
        <w:instrText>response</w:instrText>
      </w:r>
      <w:r w:rsidR="00021E2A" w:rsidRPr="00AA43FB">
        <w:instrText xml:space="preserve"> </w:instrText>
      </w:r>
      <w:r w:rsidR="00021E2A">
        <w:rPr>
          <w:lang w:val="en-US"/>
        </w:rPr>
        <w:instrText>rate</w:instrText>
      </w:r>
      <w:r w:rsidR="00021E2A" w:rsidRPr="00AA43FB">
        <w:instrText xml:space="preserve"> </w:instrText>
      </w:r>
      <w:r w:rsidR="00021E2A">
        <w:rPr>
          <w:lang w:val="en-US"/>
        </w:rPr>
        <w:instrText>following</w:instrText>
      </w:r>
      <w:r w:rsidR="00021E2A" w:rsidRPr="00AA43FB">
        <w:instrText xml:space="preserve"> </w:instrText>
      </w:r>
      <w:r w:rsidR="00021E2A">
        <w:rPr>
          <w:lang w:val="en-US"/>
        </w:rPr>
        <w:instrText>induction</w:instrText>
      </w:r>
      <w:r w:rsidR="00021E2A" w:rsidRPr="00AA43FB">
        <w:instrText xml:space="preserve"> </w:instrText>
      </w:r>
      <w:r w:rsidR="00021E2A">
        <w:rPr>
          <w:lang w:val="en-US"/>
        </w:rPr>
        <w:instrText>was</w:instrText>
      </w:r>
      <w:r w:rsidR="00021E2A" w:rsidRPr="00AA43FB">
        <w:instrText xml:space="preserve"> 80% (</w:instrText>
      </w:r>
      <w:r w:rsidR="00021E2A">
        <w:rPr>
          <w:lang w:val="en-US"/>
        </w:rPr>
        <w:instrText>complete</w:instrText>
      </w:r>
      <w:r w:rsidR="00021E2A" w:rsidRPr="00AA43FB">
        <w:instrText xml:space="preserve"> </w:instrText>
      </w:r>
      <w:r w:rsidR="00021E2A">
        <w:rPr>
          <w:lang w:val="en-US"/>
        </w:rPr>
        <w:instrText>responses</w:instrText>
      </w:r>
      <w:r w:rsidR="00021E2A" w:rsidRPr="00AA43FB">
        <w:instrText xml:space="preserve"> 66% </w:instrText>
      </w:r>
      <w:r w:rsidR="00021E2A">
        <w:rPr>
          <w:lang w:val="en-US"/>
        </w:rPr>
        <w:instrText>and</w:instrText>
      </w:r>
      <w:r w:rsidR="00021E2A" w:rsidRPr="00AA43FB">
        <w:instrText xml:space="preserve"> </w:instrText>
      </w:r>
      <w:r w:rsidR="00021E2A">
        <w:rPr>
          <w:lang w:val="en-US"/>
        </w:rPr>
        <w:instrText>partial</w:instrText>
      </w:r>
      <w:r w:rsidR="00021E2A" w:rsidRPr="00AA43FB">
        <w:instrText xml:space="preserve"> </w:instrText>
      </w:r>
      <w:r w:rsidR="00021E2A">
        <w:rPr>
          <w:lang w:val="en-US"/>
        </w:rPr>
        <w:instrText>responses</w:instrText>
      </w:r>
      <w:r w:rsidR="00021E2A" w:rsidRPr="00AA43FB">
        <w:instrText xml:space="preserve"> 15%). </w:instrText>
      </w:r>
      <w:r w:rsidR="00021E2A">
        <w:rPr>
          <w:lang w:val="en-US"/>
        </w:rPr>
        <w:instrText>All</w:instrText>
      </w:r>
      <w:r w:rsidR="00021E2A" w:rsidRPr="00AA43FB">
        <w:instrText xml:space="preserve"> </w:instrText>
      </w:r>
      <w:r w:rsidR="00021E2A">
        <w:rPr>
          <w:lang w:val="en-US"/>
        </w:rPr>
        <w:instrText>relapses</w:instrText>
      </w:r>
      <w:r w:rsidR="00021E2A" w:rsidRPr="00AA43FB">
        <w:instrText xml:space="preserve"> (</w:instrText>
      </w:r>
      <w:r w:rsidR="00021E2A">
        <w:rPr>
          <w:lang w:val="en-US"/>
        </w:rPr>
        <w:instrText>n</w:instrText>
      </w:r>
      <w:r w:rsidR="00021E2A" w:rsidRPr="00AA43FB">
        <w:instrText xml:space="preserve"> = 11) </w:instrText>
      </w:r>
      <w:r w:rsidR="00021E2A">
        <w:rPr>
          <w:lang w:val="en-US"/>
        </w:rPr>
        <w:instrText>occurred</w:instrText>
      </w:r>
      <w:r w:rsidR="00021E2A" w:rsidRPr="00AA43FB">
        <w:instrText xml:space="preserve"> </w:instrText>
      </w:r>
      <w:r w:rsidR="00021E2A">
        <w:rPr>
          <w:lang w:val="en-US"/>
        </w:rPr>
        <w:instrText>within</w:instrText>
      </w:r>
      <w:r w:rsidR="00021E2A" w:rsidRPr="00AA43FB">
        <w:instrText xml:space="preserve"> </w:instrText>
      </w:r>
      <w:r w:rsidR="00021E2A">
        <w:rPr>
          <w:lang w:val="en-US"/>
        </w:rPr>
        <w:instrText>less</w:instrText>
      </w:r>
      <w:r w:rsidR="00021E2A" w:rsidRPr="00AA43FB">
        <w:instrText xml:space="preserve"> </w:instrText>
      </w:r>
      <w:r w:rsidR="00021E2A">
        <w:rPr>
          <w:lang w:val="en-US"/>
        </w:rPr>
        <w:instrText>than</w:instrText>
      </w:r>
      <w:r w:rsidR="00021E2A" w:rsidRPr="00AA43FB">
        <w:instrText xml:space="preserve"> 2 </w:instrText>
      </w:r>
      <w:r w:rsidR="00021E2A">
        <w:rPr>
          <w:lang w:val="en-US"/>
        </w:rPr>
        <w:instrText>years</w:instrText>
      </w:r>
      <w:r w:rsidR="00021E2A" w:rsidRPr="00AA43FB">
        <w:instrText xml:space="preserve">. </w:instrText>
      </w:r>
      <w:r w:rsidR="00021E2A">
        <w:rPr>
          <w:lang w:val="en-US"/>
        </w:rPr>
        <w:instrText>Within</w:instrText>
      </w:r>
      <w:r w:rsidR="00021E2A" w:rsidRPr="00AA43FB">
        <w:instrText xml:space="preserve"> </w:instrText>
      </w:r>
      <w:r w:rsidR="00021E2A">
        <w:rPr>
          <w:lang w:val="en-US"/>
        </w:rPr>
        <w:instrText>a</w:instrText>
      </w:r>
      <w:r w:rsidR="00021E2A" w:rsidRPr="00AA43FB">
        <w:instrText xml:space="preserve"> </w:instrText>
      </w:r>
      <w:r w:rsidR="00021E2A">
        <w:rPr>
          <w:lang w:val="en-US"/>
        </w:rPr>
        <w:instrText>median</w:instrText>
      </w:r>
      <w:r w:rsidR="00021E2A" w:rsidRPr="00AA43FB">
        <w:instrText xml:space="preserve"> </w:instrText>
      </w:r>
      <w:r w:rsidR="00021E2A">
        <w:rPr>
          <w:lang w:val="en-US"/>
        </w:rPr>
        <w:instrText>follow</w:instrText>
      </w:r>
      <w:r w:rsidR="00021E2A" w:rsidRPr="00AA43FB">
        <w:instrText>-</w:instrText>
      </w:r>
      <w:r w:rsidR="00021E2A">
        <w:rPr>
          <w:lang w:val="en-US"/>
        </w:rPr>
        <w:instrText>up</w:instrText>
      </w:r>
      <w:r w:rsidR="00021E2A" w:rsidRPr="00AA43FB">
        <w:instrText xml:space="preserve"> </w:instrText>
      </w:r>
      <w:r w:rsidR="00021E2A">
        <w:rPr>
          <w:lang w:val="en-US"/>
        </w:rPr>
        <w:instrText>of</w:instrText>
      </w:r>
      <w:r w:rsidR="00021E2A" w:rsidRPr="00AA43FB">
        <w:instrText xml:space="preserve"> 26.8 </w:instrText>
      </w:r>
      <w:r w:rsidR="00021E2A">
        <w:rPr>
          <w:lang w:val="en-US"/>
        </w:rPr>
        <w:instrText>months</w:instrText>
      </w:r>
      <w:r w:rsidR="00021E2A" w:rsidRPr="00AA43FB">
        <w:instrText>, 3-</w:instrText>
      </w:r>
      <w:r w:rsidR="00021E2A">
        <w:rPr>
          <w:lang w:val="en-US"/>
        </w:rPr>
        <w:instrText>years</w:instrText>
      </w:r>
      <w:r w:rsidR="00021E2A" w:rsidRPr="00AA43FB">
        <w:instrText xml:space="preserve"> </w:instrText>
      </w:r>
      <w:r w:rsidR="00021E2A">
        <w:rPr>
          <w:lang w:val="en-US"/>
        </w:rPr>
        <w:instrText>projected</w:instrText>
      </w:r>
      <w:r w:rsidR="00021E2A" w:rsidRPr="00AA43FB">
        <w:instrText xml:space="preserve"> </w:instrText>
      </w:r>
      <w:r w:rsidR="00021E2A">
        <w:rPr>
          <w:lang w:val="en-US"/>
        </w:rPr>
        <w:instrText>overall</w:instrText>
      </w:r>
      <w:r w:rsidR="00021E2A" w:rsidRPr="00AA43FB">
        <w:instrText xml:space="preserve"> </w:instrText>
      </w:r>
      <w:r w:rsidR="00021E2A">
        <w:rPr>
          <w:lang w:val="en-US"/>
        </w:rPr>
        <w:instrText>survival</w:instrText>
      </w:r>
      <w:r w:rsidR="00021E2A" w:rsidRPr="00AA43FB">
        <w:instrText xml:space="preserve"> (</w:instrText>
      </w:r>
      <w:r w:rsidR="00021E2A">
        <w:rPr>
          <w:lang w:val="en-US"/>
        </w:rPr>
        <w:instrText>OS</w:instrText>
      </w:r>
      <w:r w:rsidR="00021E2A" w:rsidRPr="00AA43FB">
        <w:instrText xml:space="preserve">) </w:instrText>
      </w:r>
      <w:r w:rsidR="00021E2A">
        <w:rPr>
          <w:lang w:val="en-US"/>
        </w:rPr>
        <w:instrText>and</w:instrText>
      </w:r>
      <w:r w:rsidR="00021E2A" w:rsidRPr="00AA43FB">
        <w:instrText xml:space="preserve"> </w:instrText>
      </w:r>
      <w:r w:rsidR="00021E2A">
        <w:rPr>
          <w:lang w:val="en-US"/>
        </w:rPr>
        <w:instrText>progression</w:instrText>
      </w:r>
      <w:r w:rsidR="00021E2A" w:rsidRPr="00AA43FB">
        <w:instrText xml:space="preserve"> </w:instrText>
      </w:r>
      <w:r w:rsidR="00021E2A">
        <w:rPr>
          <w:lang w:val="en-US"/>
        </w:rPr>
        <w:instrText>free</w:instrText>
      </w:r>
      <w:r w:rsidR="00021E2A" w:rsidRPr="00AA43FB">
        <w:instrText xml:space="preserve"> </w:instrText>
      </w:r>
      <w:r w:rsidR="00021E2A">
        <w:rPr>
          <w:lang w:val="en-US"/>
        </w:rPr>
        <w:instrText>survival</w:instrText>
      </w:r>
      <w:r w:rsidR="00021E2A" w:rsidRPr="00AA43FB">
        <w:instrText xml:space="preserve"> </w:instrText>
      </w:r>
      <w:r w:rsidR="00021E2A">
        <w:rPr>
          <w:lang w:val="en-US"/>
        </w:rPr>
        <w:instrText>rates</w:instrText>
      </w:r>
      <w:r w:rsidR="00021E2A" w:rsidRPr="00AA43FB">
        <w:instrText xml:space="preserve"> </w:instrText>
      </w:r>
      <w:r w:rsidR="00021E2A">
        <w:rPr>
          <w:lang w:val="en-US"/>
        </w:rPr>
        <w:instrText>for</w:instrText>
      </w:r>
      <w:r w:rsidR="00021E2A" w:rsidRPr="00AA43FB">
        <w:instrText xml:space="preserve"> </w:instrText>
      </w:r>
      <w:r w:rsidR="00021E2A">
        <w:rPr>
          <w:lang w:val="en-US"/>
        </w:rPr>
        <w:instrText>the</w:instrText>
      </w:r>
      <w:r w:rsidR="00021E2A" w:rsidRPr="00AA43FB">
        <w:instrText xml:space="preserve"> </w:instrText>
      </w:r>
      <w:r w:rsidR="00021E2A">
        <w:rPr>
          <w:lang w:val="en-US"/>
        </w:rPr>
        <w:instrText>entire</w:instrText>
      </w:r>
      <w:r w:rsidR="00021E2A" w:rsidRPr="00AA43FB">
        <w:instrText xml:space="preserve"> </w:instrText>
      </w:r>
      <w:r w:rsidR="00021E2A">
        <w:rPr>
          <w:lang w:val="en-US"/>
        </w:rPr>
        <w:instrText>cohort</w:instrText>
      </w:r>
      <w:r w:rsidR="00021E2A" w:rsidRPr="00AA43FB">
        <w:instrText xml:space="preserve"> </w:instrText>
      </w:r>
      <w:r w:rsidR="00021E2A">
        <w:rPr>
          <w:lang w:val="en-US"/>
        </w:rPr>
        <w:instrText>were</w:instrText>
      </w:r>
      <w:r w:rsidR="00021E2A" w:rsidRPr="00AA43FB">
        <w:instrText xml:space="preserve"> 56% ± 8.3 </w:instrText>
      </w:r>
      <w:r w:rsidR="00021E2A">
        <w:rPr>
          <w:lang w:val="en-US"/>
        </w:rPr>
        <w:instrText>and</w:instrText>
      </w:r>
      <w:r w:rsidR="00021E2A" w:rsidRPr="00AA43FB">
        <w:instrText xml:space="preserve"> 42% ± 8.9, </w:instrText>
      </w:r>
      <w:r w:rsidR="00021E2A">
        <w:rPr>
          <w:lang w:val="en-US"/>
        </w:rPr>
        <w:instrText>respectively</w:instrText>
      </w:r>
      <w:r w:rsidR="00021E2A" w:rsidRPr="00AA43FB">
        <w:instrText xml:space="preserve">. </w:instrText>
      </w:r>
      <w:r w:rsidR="00021E2A">
        <w:rPr>
          <w:lang w:val="en-US"/>
        </w:rPr>
        <w:instrText>In</w:instrText>
      </w:r>
      <w:r w:rsidR="00021E2A" w:rsidRPr="00AA43FB">
        <w:instrText xml:space="preserve"> </w:instrText>
      </w:r>
      <w:r w:rsidR="00021E2A">
        <w:rPr>
          <w:lang w:val="en-US"/>
        </w:rPr>
        <w:instrText>multivariate</w:instrText>
      </w:r>
      <w:r w:rsidR="00021E2A" w:rsidRPr="00AA43FB">
        <w:instrText xml:space="preserve"> </w:instrText>
      </w:r>
      <w:r w:rsidR="00021E2A">
        <w:rPr>
          <w:lang w:val="en-US"/>
        </w:rPr>
        <w:instrText>analysis</w:instrText>
      </w:r>
      <w:r w:rsidR="00021E2A" w:rsidRPr="00AA43FB">
        <w:instrText xml:space="preserve">, </w:instrText>
      </w:r>
      <w:r w:rsidR="00021E2A">
        <w:rPr>
          <w:lang w:val="en-US"/>
        </w:rPr>
        <w:instrText>RCHOP</w:instrText>
      </w:r>
      <w:r w:rsidR="00021E2A" w:rsidRPr="00AA43FB">
        <w:instrText>-</w:instrText>
      </w:r>
      <w:r w:rsidR="00021E2A">
        <w:rPr>
          <w:lang w:val="en-US"/>
        </w:rPr>
        <w:instrText>HD</w:instrText>
      </w:r>
      <w:r w:rsidR="00021E2A" w:rsidRPr="00AA43FB">
        <w:instrText xml:space="preserve"> </w:instrText>
      </w:r>
      <w:r w:rsidR="00021E2A">
        <w:rPr>
          <w:lang w:val="en-US"/>
        </w:rPr>
        <w:instrText>MTX</w:instrText>
      </w:r>
      <w:r w:rsidR="00021E2A" w:rsidRPr="00AA43FB">
        <w:instrText>-</w:instrText>
      </w:r>
      <w:r w:rsidR="00021E2A">
        <w:rPr>
          <w:lang w:val="en-US"/>
        </w:rPr>
        <w:instrText>based</w:instrText>
      </w:r>
      <w:r w:rsidR="00021E2A" w:rsidRPr="00AA43FB">
        <w:instrText xml:space="preserve"> </w:instrText>
      </w:r>
      <w:r w:rsidR="00021E2A">
        <w:rPr>
          <w:lang w:val="en-US"/>
        </w:rPr>
        <w:instrText>induction</w:instrText>
      </w:r>
      <w:r w:rsidR="00021E2A" w:rsidRPr="00AA43FB">
        <w:instrText xml:space="preserve"> [</w:instrText>
      </w:r>
      <w:r w:rsidR="00021E2A">
        <w:rPr>
          <w:lang w:val="en-US"/>
        </w:rPr>
        <w:instrText>HR</w:instrText>
      </w:r>
      <w:r w:rsidR="00021E2A" w:rsidRPr="00AA43FB">
        <w:instrText xml:space="preserve"> = 0.228, (0.054-0.964)], </w:instrText>
      </w:r>
      <w:r w:rsidR="00021E2A">
        <w:rPr>
          <w:lang w:val="en-US"/>
        </w:rPr>
        <w:instrText>administration</w:instrText>
      </w:r>
      <w:r w:rsidR="00021E2A" w:rsidRPr="00AA43FB">
        <w:instrText xml:space="preserve"> </w:instrText>
      </w:r>
      <w:r w:rsidR="00021E2A">
        <w:rPr>
          <w:lang w:val="en-US"/>
        </w:rPr>
        <w:instrText>of</w:instrText>
      </w:r>
      <w:r w:rsidR="00021E2A" w:rsidRPr="00AA43FB">
        <w:instrText xml:space="preserve"> 3.5 </w:instrText>
      </w:r>
      <w:r w:rsidR="00021E2A">
        <w:rPr>
          <w:lang w:val="en-US"/>
        </w:rPr>
        <w:instrText>g</w:instrText>
      </w:r>
      <w:r w:rsidR="00021E2A" w:rsidRPr="00AA43FB">
        <w:instrText>/</w:instrText>
      </w:r>
      <w:r w:rsidR="00021E2A">
        <w:rPr>
          <w:lang w:val="en-US"/>
        </w:rPr>
        <w:instrText>m</w:instrText>
      </w:r>
      <w:r w:rsidR="00021E2A" w:rsidRPr="00AA43FB">
        <w:instrText xml:space="preserve">2 </w:instrText>
      </w:r>
      <w:r w:rsidR="00021E2A">
        <w:rPr>
          <w:lang w:val="en-US"/>
        </w:rPr>
        <w:instrText>MTX</w:instrText>
      </w:r>
      <w:r w:rsidR="00021E2A" w:rsidRPr="00AA43FB">
        <w:instrText xml:space="preserve"> [</w:instrText>
      </w:r>
      <w:r w:rsidR="00021E2A">
        <w:rPr>
          <w:lang w:val="en-US"/>
        </w:rPr>
        <w:instrText>HR</w:instrText>
      </w:r>
      <w:r w:rsidR="00021E2A" w:rsidRPr="00AA43FB">
        <w:instrText xml:space="preserve"> = 0.735 (0.620-0.871)], </w:instrText>
      </w:r>
      <w:r w:rsidR="00021E2A">
        <w:rPr>
          <w:lang w:val="en-US"/>
        </w:rPr>
        <w:instrText>and</w:instrText>
      </w:r>
      <w:r w:rsidR="00021E2A" w:rsidRPr="00AA43FB">
        <w:instrText xml:space="preserve"> </w:instrText>
      </w:r>
      <w:r w:rsidR="00021E2A">
        <w:rPr>
          <w:lang w:val="en-US"/>
        </w:rPr>
        <w:instrText>attaining</w:instrText>
      </w:r>
      <w:r w:rsidR="00021E2A" w:rsidRPr="00AA43FB">
        <w:instrText xml:space="preserve"> </w:instrText>
      </w:r>
      <w:r w:rsidR="00021E2A">
        <w:rPr>
          <w:lang w:val="en-US"/>
        </w:rPr>
        <w:instrText>CR</w:instrText>
      </w:r>
      <w:r w:rsidR="00021E2A" w:rsidRPr="00AA43FB">
        <w:instrText xml:space="preserve"> </w:instrText>
      </w:r>
      <w:r w:rsidR="00021E2A">
        <w:rPr>
          <w:lang w:val="en-US"/>
        </w:rPr>
        <w:instrText>following</w:instrText>
      </w:r>
      <w:r w:rsidR="00021E2A" w:rsidRPr="00AA43FB">
        <w:instrText xml:space="preserve"> </w:instrText>
      </w:r>
      <w:r w:rsidR="00021E2A">
        <w:rPr>
          <w:lang w:val="en-US"/>
        </w:rPr>
        <w:instrText>induction</w:instrText>
      </w:r>
      <w:r w:rsidR="00021E2A" w:rsidRPr="00AA43FB">
        <w:instrText xml:space="preserve"> [</w:instrText>
      </w:r>
      <w:r w:rsidR="00021E2A">
        <w:rPr>
          <w:lang w:val="en-US"/>
        </w:rPr>
        <w:instrText>HR</w:instrText>
      </w:r>
      <w:r w:rsidR="00021E2A" w:rsidRPr="00AA43FB">
        <w:instrText xml:space="preserve"> = 0.185, (0.051-0.667)] </w:instrText>
      </w:r>
      <w:r w:rsidR="00021E2A">
        <w:rPr>
          <w:lang w:val="en-US"/>
        </w:rPr>
        <w:instrText>predicted</w:instrText>
      </w:r>
      <w:r w:rsidR="00021E2A" w:rsidRPr="00AA43FB">
        <w:instrText xml:space="preserve"> </w:instrText>
      </w:r>
      <w:r w:rsidR="00021E2A">
        <w:rPr>
          <w:lang w:val="en-US"/>
        </w:rPr>
        <w:instrText>longer</w:instrText>
      </w:r>
      <w:r w:rsidR="00021E2A" w:rsidRPr="00AA43FB">
        <w:instrText xml:space="preserve"> </w:instrText>
      </w:r>
      <w:r w:rsidR="00021E2A">
        <w:rPr>
          <w:lang w:val="en-US"/>
        </w:rPr>
        <w:instrText>OS</w:instrText>
      </w:r>
      <w:r w:rsidR="00021E2A" w:rsidRPr="00AA43FB">
        <w:instrText xml:space="preserve">. </w:instrText>
      </w:r>
      <w:r w:rsidR="00021E2A">
        <w:rPr>
          <w:lang w:val="en-US"/>
        </w:rPr>
        <w:instrText>RCHOP</w:instrText>
      </w:r>
      <w:r w:rsidR="00021E2A" w:rsidRPr="00AA43FB">
        <w:instrText>-</w:instrText>
      </w:r>
      <w:r w:rsidR="00021E2A">
        <w:rPr>
          <w:lang w:val="en-US"/>
        </w:rPr>
        <w:instrText>HD</w:instrText>
      </w:r>
      <w:r w:rsidR="00021E2A" w:rsidRPr="00AA43FB">
        <w:instrText xml:space="preserve"> </w:instrText>
      </w:r>
      <w:r w:rsidR="00021E2A">
        <w:rPr>
          <w:lang w:val="en-US"/>
        </w:rPr>
        <w:instrText>MTX</w:instrText>
      </w:r>
      <w:r w:rsidR="00021E2A" w:rsidRPr="00AA43FB">
        <w:instrText xml:space="preserve"> </w:instrText>
      </w:r>
      <w:r w:rsidR="00021E2A">
        <w:rPr>
          <w:lang w:val="en-US"/>
        </w:rPr>
        <w:instrText>can</w:instrText>
      </w:r>
      <w:r w:rsidR="00021E2A" w:rsidRPr="00AA43FB">
        <w:instrText xml:space="preserve"> </w:instrText>
      </w:r>
      <w:r w:rsidR="00021E2A">
        <w:rPr>
          <w:lang w:val="en-US"/>
        </w:rPr>
        <w:instrText>provide</w:instrText>
      </w:r>
      <w:r w:rsidR="00021E2A" w:rsidRPr="00AA43FB">
        <w:instrText xml:space="preserve"> </w:instrText>
      </w:r>
      <w:r w:rsidR="00021E2A">
        <w:rPr>
          <w:lang w:val="en-US"/>
        </w:rPr>
        <w:instrText>prolonged</w:instrText>
      </w:r>
      <w:r w:rsidR="00021E2A" w:rsidRPr="00AA43FB">
        <w:instrText xml:space="preserve"> </w:instrText>
      </w:r>
      <w:r w:rsidR="00021E2A">
        <w:rPr>
          <w:lang w:val="en-US"/>
        </w:rPr>
        <w:instrText>remissions</w:instrText>
      </w:r>
      <w:r w:rsidR="00021E2A" w:rsidRPr="00AA43FB">
        <w:instrText xml:space="preserve"> </w:instrText>
      </w:r>
      <w:r w:rsidR="00021E2A">
        <w:rPr>
          <w:lang w:val="en-US"/>
        </w:rPr>
        <w:instrText>in</w:instrText>
      </w:r>
      <w:r w:rsidR="00021E2A" w:rsidRPr="00AA43FB">
        <w:instrText xml:space="preserve"> </w:instrText>
      </w:r>
      <w:r w:rsidR="00021E2A">
        <w:rPr>
          <w:lang w:val="en-US"/>
        </w:rPr>
        <w:instrText>DLBCL</w:instrText>
      </w:r>
      <w:r w:rsidR="00021E2A" w:rsidRPr="00AA43FB">
        <w:instrText xml:space="preserve"> </w:instrText>
      </w:r>
      <w:r w:rsidR="00021E2A">
        <w:rPr>
          <w:lang w:val="en-US"/>
        </w:rPr>
        <w:instrText>patients</w:instrText>
      </w:r>
      <w:r w:rsidR="00021E2A" w:rsidRPr="00AA43FB">
        <w:instrText xml:space="preserve"> </w:instrText>
      </w:r>
      <w:r w:rsidR="00021E2A">
        <w:rPr>
          <w:lang w:val="en-US"/>
        </w:rPr>
        <w:instrText>presenting</w:instrText>
      </w:r>
      <w:r w:rsidR="00021E2A" w:rsidRPr="00AA43FB">
        <w:instrText xml:space="preserve"> </w:instrText>
      </w:r>
      <w:r w:rsidR="00021E2A">
        <w:rPr>
          <w:lang w:val="en-US"/>
        </w:rPr>
        <w:instrText>with</w:instrText>
      </w:r>
      <w:r w:rsidR="00021E2A" w:rsidRPr="00AA43FB">
        <w:instrText xml:space="preserve"> </w:instrText>
      </w:r>
      <w:r w:rsidR="00021E2A">
        <w:rPr>
          <w:lang w:val="en-US"/>
        </w:rPr>
        <w:instrText>concomitant</w:instrText>
      </w:r>
      <w:r w:rsidR="00021E2A" w:rsidRPr="00AA43FB">
        <w:instrText xml:space="preserve"> </w:instrText>
      </w:r>
      <w:r w:rsidR="00021E2A">
        <w:rPr>
          <w:lang w:val="en-US"/>
        </w:rPr>
        <w:instrText>systemic</w:instrText>
      </w:r>
      <w:r w:rsidR="00021E2A" w:rsidRPr="00AA43FB">
        <w:instrText xml:space="preserve"> </w:instrText>
      </w:r>
      <w:r w:rsidR="00021E2A">
        <w:rPr>
          <w:lang w:val="en-US"/>
        </w:rPr>
        <w:instrText>and</w:instrText>
      </w:r>
      <w:r w:rsidR="00021E2A" w:rsidRPr="00AA43FB">
        <w:instrText xml:space="preserve"> </w:instrText>
      </w:r>
      <w:r w:rsidR="00021E2A">
        <w:rPr>
          <w:lang w:val="en-US"/>
        </w:rPr>
        <w:instrText>CNS</w:instrText>
      </w:r>
      <w:r w:rsidR="00021E2A" w:rsidRPr="00AA43FB">
        <w:instrText xml:space="preserve"> </w:instrText>
      </w:r>
      <w:r w:rsidR="00021E2A">
        <w:rPr>
          <w:lang w:val="en-US"/>
        </w:rPr>
        <w:instrText>involvement</w:instrText>
      </w:r>
      <w:r w:rsidR="00021E2A" w:rsidRPr="00AA43FB">
        <w:instrText xml:space="preserve"> </w:instrText>
      </w:r>
      <w:r w:rsidR="00021E2A">
        <w:rPr>
          <w:lang w:val="en-US"/>
        </w:rPr>
        <w:instrText>whereas</w:instrText>
      </w:r>
      <w:r w:rsidR="00021E2A" w:rsidRPr="00AA43FB">
        <w:instrText xml:space="preserve"> </w:instrText>
      </w:r>
      <w:r w:rsidR="00021E2A">
        <w:rPr>
          <w:lang w:val="en-US"/>
        </w:rPr>
        <w:instrText>role</w:instrText>
      </w:r>
      <w:r w:rsidR="00021E2A" w:rsidRPr="00AA43FB">
        <w:instrText xml:space="preserve"> </w:instrText>
      </w:r>
      <w:r w:rsidR="00021E2A">
        <w:rPr>
          <w:lang w:val="en-US"/>
        </w:rPr>
        <w:instrText>of</w:instrText>
      </w:r>
      <w:r w:rsidR="00021E2A" w:rsidRPr="00AA43FB">
        <w:instrText xml:space="preserve"> </w:instrText>
      </w:r>
      <w:r w:rsidR="00021E2A">
        <w:rPr>
          <w:lang w:val="en-US"/>
        </w:rPr>
        <w:instrText>autograft</w:instrText>
      </w:r>
      <w:r w:rsidR="00021E2A" w:rsidRPr="00AA43FB">
        <w:instrText xml:space="preserve"> </w:instrText>
      </w:r>
      <w:r w:rsidR="00021E2A">
        <w:rPr>
          <w:lang w:val="en-US"/>
        </w:rPr>
        <w:instrText>remains</w:instrText>
      </w:r>
      <w:r w:rsidR="00021E2A" w:rsidRPr="00AA43FB">
        <w:instrText xml:space="preserve"> </w:instrText>
      </w:r>
      <w:r w:rsidR="00021E2A">
        <w:rPr>
          <w:lang w:val="en-US"/>
        </w:rPr>
        <w:instrText>uncertain</w:instrText>
      </w:r>
      <w:r w:rsidR="00021E2A" w:rsidRPr="00AA43FB">
        <w:instrText>.","</w:instrText>
      </w:r>
      <w:r w:rsidR="00021E2A">
        <w:rPr>
          <w:lang w:val="en-US"/>
        </w:rPr>
        <w:instrText>author</w:instrText>
      </w:r>
      <w:r w:rsidR="00021E2A" w:rsidRPr="00AA43FB">
        <w:instrText>":[{"</w:instrText>
      </w:r>
      <w:r w:rsidR="00021E2A">
        <w:rPr>
          <w:lang w:val="en-US"/>
        </w:rPr>
        <w:instrText>dropping</w:instrText>
      </w:r>
      <w:r w:rsidR="00021E2A" w:rsidRPr="00AA43FB">
        <w:instrText>-</w:instrText>
      </w:r>
      <w:r w:rsidR="00021E2A">
        <w:rPr>
          <w:lang w:val="en-US"/>
        </w:rPr>
        <w:instrText>particle</w:instrText>
      </w:r>
      <w:r w:rsidR="00021E2A" w:rsidRPr="00AA43FB">
        <w:instrText>":"","</w:instrText>
      </w:r>
      <w:r w:rsidR="00021E2A">
        <w:rPr>
          <w:lang w:val="en-US"/>
        </w:rPr>
        <w:instrText>family</w:instrText>
      </w:r>
      <w:r w:rsidR="00021E2A" w:rsidRPr="00AA43FB">
        <w:instrText>":"</w:instrText>
      </w:r>
      <w:r w:rsidR="00021E2A">
        <w:rPr>
          <w:lang w:val="en-US"/>
        </w:rPr>
        <w:instrText>Perry</w:instrText>
      </w:r>
      <w:r w:rsidR="00021E2A" w:rsidRPr="00AA43FB">
        <w:instrText>","</w:instrText>
      </w:r>
      <w:r w:rsidR="00021E2A">
        <w:rPr>
          <w:lang w:val="en-US"/>
        </w:rPr>
        <w:instrText>given</w:instrText>
      </w:r>
      <w:r w:rsidR="00021E2A" w:rsidRPr="00AA43FB">
        <w:instrText>":"</w:instrText>
      </w:r>
      <w:r w:rsidR="00021E2A">
        <w:rPr>
          <w:lang w:val="en-US"/>
        </w:rPr>
        <w:instrText>Chava</w:instrText>
      </w:r>
      <w:r w:rsidR="00021E2A" w:rsidRPr="00AA43FB">
        <w:instrText>","</w:instrText>
      </w:r>
      <w:r w:rsidR="00021E2A">
        <w:rPr>
          <w:lang w:val="en-US"/>
        </w:rPr>
        <w:instrText>non</w:instrText>
      </w:r>
      <w:r w:rsidR="00021E2A" w:rsidRPr="00AA43FB">
        <w:instrText>-</w:instrText>
      </w:r>
      <w:r w:rsidR="00021E2A">
        <w:rPr>
          <w:lang w:val="en-US"/>
        </w:rPr>
        <w:instrText>dropping</w:instrText>
      </w:r>
      <w:r w:rsidR="00021E2A" w:rsidRPr="00AA43FB">
        <w:instrText>-</w:instrText>
      </w:r>
      <w:r w:rsidR="00021E2A">
        <w:rPr>
          <w:lang w:val="en-US"/>
        </w:rPr>
        <w:instrText>particle</w:instrText>
      </w:r>
      <w:r w:rsidR="00021E2A" w:rsidRPr="00AA43FB">
        <w:instrText>":"","</w:instrText>
      </w:r>
      <w:r w:rsidR="00021E2A">
        <w:rPr>
          <w:lang w:val="en-US"/>
        </w:rPr>
        <w:instrText>parse</w:instrText>
      </w:r>
      <w:r w:rsidR="00021E2A" w:rsidRPr="00AA43FB">
        <w:instrText>-</w:instrText>
      </w:r>
      <w:r w:rsidR="00021E2A">
        <w:rPr>
          <w:lang w:val="en-US"/>
        </w:rPr>
        <w:instrText>names</w:instrText>
      </w:r>
      <w:r w:rsidR="00021E2A" w:rsidRPr="00AA43FB">
        <w:instrText>":</w:instrText>
      </w:r>
      <w:r w:rsidR="00021E2A">
        <w:rPr>
          <w:lang w:val="en-US"/>
        </w:rPr>
        <w:instrText>false</w:instrText>
      </w:r>
      <w:r w:rsidR="00021E2A" w:rsidRPr="00AA43FB">
        <w:instrText>,"</w:instrText>
      </w:r>
      <w:r w:rsidR="00021E2A">
        <w:rPr>
          <w:lang w:val="en-US"/>
        </w:rPr>
        <w:instrText>suffix</w:instrText>
      </w:r>
      <w:r w:rsidR="00021E2A" w:rsidRPr="00AA43FB">
        <w:instrText>":""},{"</w:instrText>
      </w:r>
      <w:r w:rsidR="00021E2A">
        <w:rPr>
          <w:lang w:val="en-US"/>
        </w:rPr>
        <w:instrText>dropping</w:instrText>
      </w:r>
      <w:r w:rsidR="00021E2A" w:rsidRPr="00AA43FB">
        <w:instrText>-</w:instrText>
      </w:r>
      <w:r w:rsidR="00021E2A">
        <w:rPr>
          <w:lang w:val="en-US"/>
        </w:rPr>
        <w:instrText>particle</w:instrText>
      </w:r>
      <w:r w:rsidR="00021E2A" w:rsidRPr="00AA43FB">
        <w:instrText>":"","</w:instrText>
      </w:r>
      <w:r w:rsidR="00021E2A">
        <w:rPr>
          <w:lang w:val="en-US"/>
        </w:rPr>
        <w:instrText>family</w:instrText>
      </w:r>
      <w:r w:rsidR="00021E2A" w:rsidRPr="00AA43FB">
        <w:instrText>":"</w:instrText>
      </w:r>
      <w:r w:rsidR="00021E2A">
        <w:rPr>
          <w:lang w:val="en-US"/>
        </w:rPr>
        <w:instrText>Barouch</w:instrText>
      </w:r>
      <w:r w:rsidR="00021E2A" w:rsidRPr="00AA43FB">
        <w:instrText>","</w:instrText>
      </w:r>
      <w:r w:rsidR="00021E2A">
        <w:rPr>
          <w:lang w:val="en-US"/>
        </w:rPr>
        <w:instrText>given</w:instrText>
      </w:r>
      <w:r w:rsidR="00021E2A" w:rsidRPr="00AA43FB">
        <w:instrText>":"</w:instrText>
      </w:r>
      <w:r w:rsidR="00021E2A">
        <w:rPr>
          <w:lang w:val="en-US"/>
        </w:rPr>
        <w:instrText>Sharon</w:instrText>
      </w:r>
      <w:r w:rsidR="00021E2A" w:rsidRPr="00AA43FB">
        <w:instrText>","</w:instrText>
      </w:r>
      <w:r w:rsidR="00021E2A">
        <w:rPr>
          <w:lang w:val="en-US"/>
        </w:rPr>
        <w:instrText>non</w:instrText>
      </w:r>
      <w:r w:rsidR="00021E2A" w:rsidRPr="00AA43FB">
        <w:instrText>-</w:instrText>
      </w:r>
      <w:r w:rsidR="00021E2A">
        <w:rPr>
          <w:lang w:val="en-US"/>
        </w:rPr>
        <w:instrText>dropping</w:instrText>
      </w:r>
      <w:r w:rsidR="00021E2A" w:rsidRPr="00AA43FB">
        <w:instrText>-</w:instrText>
      </w:r>
      <w:r w:rsidR="00021E2A">
        <w:rPr>
          <w:lang w:val="en-US"/>
        </w:rPr>
        <w:instrText>particle</w:instrText>
      </w:r>
      <w:r w:rsidR="00021E2A" w:rsidRPr="00AA43FB">
        <w:instrText>":"</w:instrText>
      </w:r>
      <w:r w:rsidR="00021E2A">
        <w:rPr>
          <w:lang w:val="en-US"/>
        </w:rPr>
        <w:instrText>Ben</w:instrText>
      </w:r>
      <w:r w:rsidR="00021E2A" w:rsidRPr="00AA43FB">
        <w:instrText>","</w:instrText>
      </w:r>
      <w:r w:rsidR="00021E2A">
        <w:rPr>
          <w:lang w:val="en-US"/>
        </w:rPr>
        <w:instrText>parse</w:instrText>
      </w:r>
      <w:r w:rsidR="00021E2A" w:rsidRPr="00AA43FB">
        <w:instrText>-</w:instrText>
      </w:r>
      <w:r w:rsidR="00021E2A">
        <w:rPr>
          <w:lang w:val="en-US"/>
        </w:rPr>
        <w:instrText>names</w:instrText>
      </w:r>
      <w:r w:rsidR="00021E2A" w:rsidRPr="00AA43FB">
        <w:instrText>":</w:instrText>
      </w:r>
      <w:r w:rsidR="00021E2A">
        <w:rPr>
          <w:lang w:val="en-US"/>
        </w:rPr>
        <w:instrText>false</w:instrText>
      </w:r>
      <w:r w:rsidR="00021E2A" w:rsidRPr="00AA43FB">
        <w:instrText>,"</w:instrText>
      </w:r>
      <w:r w:rsidR="00021E2A">
        <w:rPr>
          <w:lang w:val="en-US"/>
        </w:rPr>
        <w:instrText>suffix</w:instrText>
      </w:r>
      <w:r w:rsidR="00021E2A" w:rsidRPr="00AA43FB">
        <w:instrText>":""},{"</w:instrText>
      </w:r>
      <w:r w:rsidR="00021E2A">
        <w:rPr>
          <w:lang w:val="en-US"/>
        </w:rPr>
        <w:instrText>dropping</w:instrText>
      </w:r>
      <w:r w:rsidR="00021E2A" w:rsidRPr="00AA43FB">
        <w:instrText>-</w:instrText>
      </w:r>
      <w:r w:rsidR="00021E2A">
        <w:rPr>
          <w:lang w:val="en-US"/>
        </w:rPr>
        <w:instrText>particle</w:instrText>
      </w:r>
      <w:r w:rsidR="00021E2A" w:rsidRPr="00AA43FB">
        <w:instrText>":"","</w:instrText>
      </w:r>
      <w:r w:rsidR="00021E2A">
        <w:rPr>
          <w:lang w:val="en-US"/>
        </w:rPr>
        <w:instrText>family</w:instrText>
      </w:r>
      <w:r w:rsidR="00021E2A" w:rsidRPr="00AA43FB">
        <w:instrText>":"</w:instrText>
      </w:r>
      <w:r w:rsidR="00021E2A">
        <w:rPr>
          <w:lang w:val="en-US"/>
        </w:rPr>
        <w:instrText>Goldschmidt</w:instrText>
      </w:r>
      <w:r w:rsidR="00021E2A" w:rsidRPr="00AA43FB">
        <w:instrText>","</w:instrText>
      </w:r>
      <w:r w:rsidR="00021E2A">
        <w:rPr>
          <w:lang w:val="en-US"/>
        </w:rPr>
        <w:instrText>given</w:instrText>
      </w:r>
      <w:r w:rsidR="00021E2A" w:rsidRPr="00AA43FB">
        <w:instrText>":"</w:instrText>
      </w:r>
      <w:r w:rsidR="00021E2A">
        <w:rPr>
          <w:lang w:val="en-US"/>
        </w:rPr>
        <w:instrText>Neta</w:instrText>
      </w:r>
      <w:r w:rsidR="00021E2A" w:rsidRPr="00AA43FB">
        <w:instrText>","</w:instrText>
      </w:r>
      <w:r w:rsidR="00021E2A">
        <w:rPr>
          <w:lang w:val="en-US"/>
        </w:rPr>
        <w:instrText>non</w:instrText>
      </w:r>
      <w:r w:rsidR="00021E2A" w:rsidRPr="00AA43FB">
        <w:instrText>-</w:instrText>
      </w:r>
      <w:r w:rsidR="00021E2A">
        <w:rPr>
          <w:lang w:val="en-US"/>
        </w:rPr>
        <w:instrText>dropping</w:instrText>
      </w:r>
      <w:r w:rsidR="00021E2A" w:rsidRPr="00AA43FB">
        <w:instrText>-</w:instrText>
      </w:r>
      <w:r w:rsidR="00021E2A">
        <w:rPr>
          <w:lang w:val="en-US"/>
        </w:rPr>
        <w:instrText>particle</w:instrText>
      </w:r>
      <w:r w:rsidR="00021E2A" w:rsidRPr="00AA43FB">
        <w:instrText>":"","</w:instrText>
      </w:r>
      <w:r w:rsidR="00021E2A">
        <w:rPr>
          <w:lang w:val="en-US"/>
        </w:rPr>
        <w:instrText>parse</w:instrText>
      </w:r>
      <w:r w:rsidR="00021E2A" w:rsidRPr="00AA43FB">
        <w:instrText>-</w:instrText>
      </w:r>
      <w:r w:rsidR="00021E2A">
        <w:rPr>
          <w:lang w:val="en-US"/>
        </w:rPr>
        <w:instrText>names</w:instrText>
      </w:r>
      <w:r w:rsidR="00021E2A" w:rsidRPr="00AA43FB">
        <w:instrText>":</w:instrText>
      </w:r>
      <w:r w:rsidR="00021E2A">
        <w:rPr>
          <w:lang w:val="en-US"/>
        </w:rPr>
        <w:instrText>false</w:instrText>
      </w:r>
      <w:r w:rsidR="00021E2A" w:rsidRPr="00AA43FB">
        <w:instrText>,"</w:instrText>
      </w:r>
      <w:r w:rsidR="00021E2A">
        <w:rPr>
          <w:lang w:val="en-US"/>
        </w:rPr>
        <w:instrText>suffix</w:instrText>
      </w:r>
      <w:r w:rsidR="00021E2A" w:rsidRPr="00AA43FB">
        <w:instrText>":""},{"</w:instrText>
      </w:r>
      <w:r w:rsidR="00021E2A">
        <w:rPr>
          <w:lang w:val="en-US"/>
        </w:rPr>
        <w:instrText>dropping</w:instrText>
      </w:r>
      <w:r w:rsidR="00021E2A" w:rsidRPr="00AA43FB">
        <w:instrText>-</w:instrText>
      </w:r>
      <w:r w:rsidR="00021E2A">
        <w:rPr>
          <w:lang w:val="en-US"/>
        </w:rPr>
        <w:instrText>particle</w:instrText>
      </w:r>
      <w:r w:rsidR="00021E2A" w:rsidRPr="00AA43FB">
        <w:instrText>":"","</w:instrText>
      </w:r>
      <w:r w:rsidR="00021E2A">
        <w:rPr>
          <w:lang w:val="en-US"/>
        </w:rPr>
        <w:instrText>family</w:instrText>
      </w:r>
      <w:r w:rsidR="00021E2A" w:rsidRPr="00AA43FB">
        <w:instrText>":"</w:instrText>
      </w:r>
      <w:r w:rsidR="00021E2A">
        <w:rPr>
          <w:lang w:val="en-US"/>
        </w:rPr>
        <w:instrText>Sarid</w:instrText>
      </w:r>
      <w:r w:rsidR="00021E2A" w:rsidRPr="00AA43FB">
        <w:instrText>","</w:instrText>
      </w:r>
      <w:r w:rsidR="00021E2A">
        <w:rPr>
          <w:lang w:val="en-US"/>
        </w:rPr>
        <w:instrText>given</w:instrText>
      </w:r>
      <w:r w:rsidR="00021E2A" w:rsidRPr="00AA43FB">
        <w:instrText>":"</w:instrText>
      </w:r>
      <w:r w:rsidR="00021E2A">
        <w:rPr>
          <w:lang w:val="en-US"/>
        </w:rPr>
        <w:instrText>Nadav</w:instrText>
      </w:r>
      <w:r w:rsidR="00021E2A" w:rsidRPr="00AA43FB">
        <w:instrText>","</w:instrText>
      </w:r>
      <w:r w:rsidR="00021E2A">
        <w:rPr>
          <w:lang w:val="en-US"/>
        </w:rPr>
        <w:instrText>non</w:instrText>
      </w:r>
      <w:r w:rsidR="00021E2A" w:rsidRPr="00AA43FB">
        <w:instrText>-</w:instrText>
      </w:r>
      <w:r w:rsidR="00021E2A">
        <w:rPr>
          <w:lang w:val="en-US"/>
        </w:rPr>
        <w:instrText>dropping</w:instrText>
      </w:r>
      <w:r w:rsidR="00021E2A" w:rsidRPr="00AA43FB">
        <w:instrText>-</w:instrText>
      </w:r>
      <w:r w:rsidR="00021E2A">
        <w:rPr>
          <w:lang w:val="en-US"/>
        </w:rPr>
        <w:instrText>particle</w:instrText>
      </w:r>
      <w:r w:rsidR="00021E2A" w:rsidRPr="00AA43FB">
        <w:instrText>":"","</w:instrText>
      </w:r>
      <w:r w:rsidR="00021E2A">
        <w:rPr>
          <w:lang w:val="en-US"/>
        </w:rPr>
        <w:instrText>parse</w:instrText>
      </w:r>
      <w:r w:rsidR="00021E2A" w:rsidRPr="00AA43FB">
        <w:instrText>-</w:instrText>
      </w:r>
      <w:r w:rsidR="00021E2A">
        <w:rPr>
          <w:lang w:val="en-US"/>
        </w:rPr>
        <w:instrText>names</w:instrText>
      </w:r>
      <w:r w:rsidR="00021E2A" w:rsidRPr="00AA43FB">
        <w:instrText>":</w:instrText>
      </w:r>
      <w:r w:rsidR="00021E2A">
        <w:rPr>
          <w:lang w:val="en-US"/>
        </w:rPr>
        <w:instrText>false</w:instrText>
      </w:r>
      <w:r w:rsidR="00021E2A" w:rsidRPr="00AA43FB">
        <w:instrText>,"</w:instrText>
      </w:r>
      <w:r w:rsidR="00021E2A">
        <w:rPr>
          <w:lang w:val="en-US"/>
        </w:rPr>
        <w:instrText>suffix</w:instrText>
      </w:r>
      <w:r w:rsidR="00021E2A" w:rsidRPr="00AA43FB">
        <w:instrText>":""},{"</w:instrText>
      </w:r>
      <w:r w:rsidR="00021E2A">
        <w:rPr>
          <w:lang w:val="en-US"/>
        </w:rPr>
        <w:instrText>dropping</w:instrText>
      </w:r>
      <w:r w:rsidR="00021E2A" w:rsidRPr="00AA43FB">
        <w:instrText>-</w:instrText>
      </w:r>
      <w:r w:rsidR="00021E2A">
        <w:rPr>
          <w:lang w:val="en-US"/>
        </w:rPr>
        <w:instrText>particle</w:instrText>
      </w:r>
      <w:r w:rsidR="00021E2A" w:rsidRPr="00AA43FB">
        <w:instrText>":"","</w:instrText>
      </w:r>
      <w:r w:rsidR="00021E2A">
        <w:rPr>
          <w:lang w:val="en-US"/>
        </w:rPr>
        <w:instrText>family</w:instrText>
      </w:r>
      <w:r w:rsidR="00021E2A" w:rsidRPr="00AA43FB">
        <w:instrText>":"</w:instrText>
      </w:r>
      <w:r w:rsidR="00021E2A">
        <w:rPr>
          <w:lang w:val="en-US"/>
        </w:rPr>
        <w:instrText>Herishanu</w:instrText>
      </w:r>
      <w:r w:rsidR="00021E2A" w:rsidRPr="00AA43FB">
        <w:instrText>","</w:instrText>
      </w:r>
      <w:r w:rsidR="00021E2A">
        <w:rPr>
          <w:lang w:val="en-US"/>
        </w:rPr>
        <w:instrText>given</w:instrText>
      </w:r>
      <w:r w:rsidR="00021E2A" w:rsidRPr="00AA43FB">
        <w:instrText>":"</w:instrText>
      </w:r>
      <w:r w:rsidR="00021E2A">
        <w:rPr>
          <w:lang w:val="en-US"/>
        </w:rPr>
        <w:instrText>Yair</w:instrText>
      </w:r>
      <w:r w:rsidR="00021E2A" w:rsidRPr="00AA43FB">
        <w:instrText>","</w:instrText>
      </w:r>
      <w:r w:rsidR="00021E2A">
        <w:rPr>
          <w:lang w:val="en-US"/>
        </w:rPr>
        <w:instrText>non</w:instrText>
      </w:r>
      <w:r w:rsidR="00021E2A" w:rsidRPr="00AA43FB">
        <w:instrText>-</w:instrText>
      </w:r>
      <w:r w:rsidR="00021E2A">
        <w:rPr>
          <w:lang w:val="en-US"/>
        </w:rPr>
        <w:instrText>dropping</w:instrText>
      </w:r>
      <w:r w:rsidR="00021E2A" w:rsidRPr="00AA43FB">
        <w:instrText>-</w:instrText>
      </w:r>
      <w:r w:rsidR="00021E2A">
        <w:rPr>
          <w:lang w:val="en-US"/>
        </w:rPr>
        <w:instrText>particle</w:instrText>
      </w:r>
      <w:r w:rsidR="00021E2A" w:rsidRPr="00AA43FB">
        <w:instrText>":"","</w:instrText>
      </w:r>
      <w:r w:rsidR="00021E2A">
        <w:rPr>
          <w:lang w:val="en-US"/>
        </w:rPr>
        <w:instrText>parse</w:instrText>
      </w:r>
      <w:r w:rsidR="00021E2A" w:rsidRPr="00AA43FB">
        <w:instrText>-</w:instrText>
      </w:r>
      <w:r w:rsidR="00021E2A">
        <w:rPr>
          <w:lang w:val="en-US"/>
        </w:rPr>
        <w:instrText>names</w:instrText>
      </w:r>
      <w:r w:rsidR="00021E2A" w:rsidRPr="00AA43FB">
        <w:instrText>":</w:instrText>
      </w:r>
      <w:r w:rsidR="00021E2A">
        <w:rPr>
          <w:lang w:val="en-US"/>
        </w:rPr>
        <w:instrText>false</w:instrText>
      </w:r>
      <w:r w:rsidR="00021E2A" w:rsidRPr="00AA43FB">
        <w:instrText>,"</w:instrText>
      </w:r>
      <w:r w:rsidR="00021E2A">
        <w:rPr>
          <w:lang w:val="en-US"/>
        </w:rPr>
        <w:instrText>suffix</w:instrText>
      </w:r>
      <w:r w:rsidR="00021E2A" w:rsidRPr="00AA43FB">
        <w:instrText>":""},{"</w:instrText>
      </w:r>
      <w:r w:rsidR="00021E2A">
        <w:rPr>
          <w:lang w:val="en-US"/>
        </w:rPr>
        <w:instrText>dropping</w:instrText>
      </w:r>
      <w:r w:rsidR="00021E2A" w:rsidRPr="00AA43FB">
        <w:instrText>-</w:instrText>
      </w:r>
      <w:r w:rsidR="00021E2A">
        <w:rPr>
          <w:lang w:val="en-US"/>
        </w:rPr>
        <w:instrText>particle</w:instrText>
      </w:r>
      <w:r w:rsidR="00021E2A" w:rsidRPr="00AA43FB">
        <w:instrText>":"","</w:instrText>
      </w:r>
      <w:r w:rsidR="00021E2A">
        <w:rPr>
          <w:lang w:val="en-US"/>
        </w:rPr>
        <w:instrText>family</w:instrText>
      </w:r>
      <w:r w:rsidR="00021E2A" w:rsidRPr="00AA43FB">
        <w:instrText>":"</w:instrText>
      </w:r>
      <w:r w:rsidR="00021E2A">
        <w:rPr>
          <w:lang w:val="en-US"/>
        </w:rPr>
        <w:instrText>Shvidel</w:instrText>
      </w:r>
      <w:r w:rsidR="00021E2A" w:rsidRPr="00AA43FB">
        <w:instrText>","</w:instrText>
      </w:r>
      <w:r w:rsidR="00021E2A">
        <w:rPr>
          <w:lang w:val="en-US"/>
        </w:rPr>
        <w:instrText>given</w:instrText>
      </w:r>
      <w:r w:rsidR="00021E2A" w:rsidRPr="00AA43FB">
        <w:instrText>":"</w:instrText>
      </w:r>
      <w:r w:rsidR="00021E2A">
        <w:rPr>
          <w:lang w:val="en-US"/>
        </w:rPr>
        <w:instrText>Lev</w:instrText>
      </w:r>
      <w:r w:rsidR="00021E2A" w:rsidRPr="00AA43FB">
        <w:instrText>","</w:instrText>
      </w:r>
      <w:r w:rsidR="00021E2A">
        <w:rPr>
          <w:lang w:val="en-US"/>
        </w:rPr>
        <w:instrText>non</w:instrText>
      </w:r>
      <w:r w:rsidR="00021E2A" w:rsidRPr="00AA43FB">
        <w:instrText>-</w:instrText>
      </w:r>
      <w:r w:rsidR="00021E2A">
        <w:rPr>
          <w:lang w:val="en-US"/>
        </w:rPr>
        <w:instrText>dropping</w:instrText>
      </w:r>
      <w:r w:rsidR="00021E2A" w:rsidRPr="00AA43FB">
        <w:instrText>-</w:instrText>
      </w:r>
      <w:r w:rsidR="00021E2A">
        <w:rPr>
          <w:lang w:val="en-US"/>
        </w:rPr>
        <w:instrText>particle</w:instrText>
      </w:r>
      <w:r w:rsidR="00021E2A" w:rsidRPr="00AA43FB">
        <w:instrText>":"","</w:instrText>
      </w:r>
      <w:r w:rsidR="00021E2A">
        <w:rPr>
          <w:lang w:val="en-US"/>
        </w:rPr>
        <w:instrText>parse</w:instrText>
      </w:r>
      <w:r w:rsidR="00021E2A" w:rsidRPr="00AA43FB">
        <w:instrText>-</w:instrText>
      </w:r>
      <w:r w:rsidR="00021E2A">
        <w:rPr>
          <w:lang w:val="en-US"/>
        </w:rPr>
        <w:instrText>names</w:instrText>
      </w:r>
      <w:r w:rsidR="00021E2A" w:rsidRPr="00AA43FB">
        <w:instrText>":</w:instrText>
      </w:r>
      <w:r w:rsidR="00021E2A">
        <w:rPr>
          <w:lang w:val="en-US"/>
        </w:rPr>
        <w:instrText>false</w:instrText>
      </w:r>
      <w:r w:rsidR="00021E2A" w:rsidRPr="00AA43FB">
        <w:instrText>,"</w:instrText>
      </w:r>
      <w:r w:rsidR="00021E2A">
        <w:rPr>
          <w:lang w:val="en-US"/>
        </w:rPr>
        <w:instrText>suffix</w:instrText>
      </w:r>
      <w:r w:rsidR="00021E2A" w:rsidRPr="00AA43FB">
        <w:instrText>":""},{"</w:instrText>
      </w:r>
      <w:r w:rsidR="00021E2A">
        <w:rPr>
          <w:lang w:val="en-US"/>
        </w:rPr>
        <w:instrText>dropping</w:instrText>
      </w:r>
      <w:r w:rsidR="00021E2A" w:rsidRPr="00AA43FB">
        <w:instrText>-</w:instrText>
      </w:r>
      <w:r w:rsidR="00021E2A">
        <w:rPr>
          <w:lang w:val="en-US"/>
        </w:rPr>
        <w:instrText>particle</w:instrText>
      </w:r>
      <w:r w:rsidR="00021E2A" w:rsidRPr="00AA43FB">
        <w:instrText>":"","</w:instrText>
      </w:r>
      <w:r w:rsidR="00021E2A">
        <w:rPr>
          <w:lang w:val="en-US"/>
        </w:rPr>
        <w:instrText>family":"Bairey","given":"Osnat","non-dropping-particle":"","parse-names":false,"suffix":""},{"dropping-particle":"","family":"Lavi","given":"Noa","non-dropping-particle":"","parse-names":false,"suffix":""},{"dropping-particle":"","family":"Horowitz","given":"Netanel","non-dropping-particle":"","parse-names":false,"suffix":""},{"dropping-particle":"","family":"Avigdor","given":"Avraham","non-dropping-particle":"","parse-names":false,"suffix":""},{"dropping-particle":"","family":"Lebel","given":"Eyal","non-dropping-particle":"","parse-names":false,"suffix":""},{"dropping-particle":"","family":"Sofer","given":"Orit","non-dropping-particle":"","parse-names":false,"suffix":""},{"dropping-particle":"","family":"Ram","given":"Ron","non-dropping-particle":"","parse-names":false,"suffix":""},{"dropping-particle":"","family":"Avivi","given":"Irit","non-dropping-particle":"","parse-names":false,"suffix":""}],"container-title":"American Journal of Hematology","id":"ITEM-1","issue":"9","issued":{"date-parts":[["2019"]]},"page":"992-1001","publisher":"Wiley-Liss Inc.","title":"Characteristics, management and outcome of DLBCL patients, presenting with simultaneous systemic and CNS disease at diagnosis: A retrospective multicenter study","type":"article-journal","volume":"94"},"uris":["http://www.mendeley.com/documents/?uuid=16b93294-7ed6-390c-bf31-540c4899c83e"]}],"mendeley":{"formattedCitation":"[79]","plainTextFormattedCitation":"[79]","previouslyFormattedCitation":"[79]"},"properties":{"noteIndex":0},"schema":"https://github.com/citation-style-language/schema/raw/master/csl-citation.json"}</w:instrText>
      </w:r>
      <w:r w:rsidRPr="000322E4">
        <w:fldChar w:fldCharType="separate"/>
      </w:r>
      <w:r w:rsidR="009D170B" w:rsidRPr="009D170B">
        <w:rPr>
          <w:noProof/>
        </w:rPr>
        <w:t>[79]</w:t>
      </w:r>
      <w:r w:rsidRPr="000322E4">
        <w:fldChar w:fldCharType="end"/>
      </w:r>
      <w:r w:rsidRPr="000322E4">
        <w:t xml:space="preserve">. </w:t>
      </w:r>
    </w:p>
    <w:p w14:paraId="510EA5D3" w14:textId="77777777" w:rsidR="00D928DC" w:rsidRPr="000322E4" w:rsidRDefault="00D928DC" w:rsidP="008A40EA">
      <w:pPr>
        <w:spacing w:line="360" w:lineRule="auto"/>
        <w:ind w:left="709"/>
        <w:contextualSpacing/>
        <w:jc w:val="both"/>
        <w:rPr>
          <w:b/>
        </w:rPr>
      </w:pPr>
      <w:r w:rsidRPr="000322E4">
        <w:rPr>
          <w:b/>
        </w:rPr>
        <w:t xml:space="preserve">Уровень убедительности рекомендаций </w:t>
      </w:r>
      <w:r w:rsidR="00D5432B" w:rsidRPr="000322E4">
        <w:rPr>
          <w:b/>
        </w:rPr>
        <w:t xml:space="preserve">С </w:t>
      </w:r>
      <w:r w:rsidRPr="000322E4">
        <w:rPr>
          <w:b/>
        </w:rPr>
        <w:t xml:space="preserve">(уровень достоверности доказательств </w:t>
      </w:r>
      <w:r w:rsidR="00D5432B" w:rsidRPr="000322E4">
        <w:rPr>
          <w:b/>
        </w:rPr>
        <w:t>4</w:t>
      </w:r>
      <w:r w:rsidRPr="000322E4">
        <w:rPr>
          <w:b/>
        </w:rPr>
        <w:t>).</w:t>
      </w:r>
    </w:p>
    <w:p w14:paraId="39FC7AF3" w14:textId="63724519" w:rsidR="00D928DC" w:rsidRPr="000322E4" w:rsidRDefault="00D928DC" w:rsidP="009D170B">
      <w:pPr>
        <w:pStyle w:val="a"/>
        <w:spacing w:before="0"/>
        <w:ind w:left="709"/>
      </w:pPr>
      <w:r w:rsidRPr="000322E4">
        <w:t>Пациентам</w:t>
      </w:r>
      <w:r w:rsidR="00260AFA" w:rsidRPr="000322E4">
        <w:t xml:space="preserve"> старше 18 лет</w:t>
      </w:r>
      <w:r w:rsidRPr="000322E4">
        <w:t xml:space="preserve"> с впервые установленной ДВКЛ при одновременном выявлении  поражения оболочек головного/спинного мозга (нейролейкемии) </w:t>
      </w:r>
      <w:r w:rsidRPr="000322E4">
        <w:rPr>
          <w:b/>
          <w:bCs/>
        </w:rPr>
        <w:t>рекомендовано</w:t>
      </w:r>
      <w:r w:rsidRPr="000322E4">
        <w:t xml:space="preserve"> проведение программного лечения по схеме </w:t>
      </w:r>
      <w:r w:rsidRPr="000322E4">
        <w:rPr>
          <w:lang w:val="en-CA"/>
        </w:rPr>
        <w:t>R</w:t>
      </w:r>
      <w:r w:rsidRPr="000322E4">
        <w:t>-</w:t>
      </w:r>
      <w:r w:rsidRPr="000322E4">
        <w:rPr>
          <w:lang w:val="en-CA"/>
        </w:rPr>
        <w:t>CHOP</w:t>
      </w:r>
      <w:r w:rsidRPr="000322E4">
        <w:t xml:space="preserve"> с выполнением интратекальных введений цитостатиков (</w:t>
      </w:r>
      <w:r w:rsidR="007E272E" w:rsidRPr="000322E4">
        <w:t>#</w:t>
      </w:r>
      <w:r w:rsidRPr="000322E4">
        <w:t xml:space="preserve">метотрексат** 15 мг, </w:t>
      </w:r>
      <w:r w:rsidR="007E272E" w:rsidRPr="000322E4">
        <w:t>#</w:t>
      </w:r>
      <w:r w:rsidRPr="000322E4">
        <w:t xml:space="preserve">цитарабин** 30 мг, </w:t>
      </w:r>
      <w:r w:rsidR="007E272E" w:rsidRPr="000322E4">
        <w:t>#</w:t>
      </w:r>
      <w:r w:rsidRPr="000322E4">
        <w:t>дексаметазон** 4 мг) дважды в неделю до полной санации ликвора с последующими интратекальными введениями препаратов 1 раз в месяц до завершения  программы иммунотерапии с последующим введением метотрексата** в высоких дозах</w:t>
      </w:r>
      <w:r w:rsidRPr="000322E4">
        <w:rPr>
          <w:rStyle w:val="affc"/>
          <w:i w:val="0"/>
        </w:rPr>
        <w:t xml:space="preserve"> </w:t>
      </w:r>
      <w:r w:rsidRPr="000322E4">
        <w:fldChar w:fldCharType="begin" w:fldLock="1"/>
      </w:r>
      <w:r w:rsidR="00F3553D">
        <w:instrText>ADDIN CSL_CITATION {"citationItems":[{"id":"ITEM-1","itemData":{"author":[{"dropping-particle":"","family":"Тумян","given":"Г.С.","non-dropping-particle":"","parse-names":false,"suffix":""},{"dropping-particle":"","family":"Кравченко","given":"С.К.","non-dropping-particle":"","parse-names":false,"suffix":""},{"dropping-particle":"","family":"Михайлова","given":"Н.Б.","non-dropping-particle":"","parse-names":false,"suffix":""},{"dropping-particle":"","family":"Барях","given":"Е.А.","non-dropping-particle":"","parse-names":false,"suffix":""},{"dropping-particle":"","family":"Птушкин","given":"В.В.","non-dropping-particle":"","parse-names":false,"suffix":""},{"dropping-particle":"","family":"Поддубная","given":"И.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Савченко.","id":"ITEM-1","issued":{"date-parts":[["2018"]]},"page":"58-68","title":"Диффузная В-клеточная крупноклеточная лимфома","type":"chapter"},"uris":["http://www.mendeley.com/documents/?uuid=cb7114f7-4655-4733-8df2-526cc4e32730"]}],"mendeley":{"formattedCitation":"[20]","plainTextFormattedCitation":"[20]","previouslyFormattedCitation":"[20]"},"properties":{"noteIndex":0},"schema":"https://github.com/citation-style-language/schema/raw/master/csl-citation.json"}</w:instrText>
      </w:r>
      <w:r w:rsidRPr="000322E4">
        <w:fldChar w:fldCharType="separate"/>
      </w:r>
      <w:r w:rsidR="00F3553D" w:rsidRPr="00F3553D">
        <w:rPr>
          <w:noProof/>
        </w:rPr>
        <w:t>[20]</w:t>
      </w:r>
      <w:r w:rsidRPr="000322E4">
        <w:fldChar w:fldCharType="end"/>
      </w:r>
      <w:r w:rsidRPr="000322E4">
        <w:t xml:space="preserve">. </w:t>
      </w:r>
    </w:p>
    <w:p w14:paraId="26059A50" w14:textId="77777777" w:rsidR="00D928DC" w:rsidRPr="000322E4" w:rsidRDefault="00D928DC" w:rsidP="008A40EA">
      <w:pPr>
        <w:spacing w:line="360" w:lineRule="auto"/>
        <w:ind w:left="709"/>
        <w:contextualSpacing/>
        <w:jc w:val="both"/>
        <w:rPr>
          <w:b/>
        </w:rPr>
      </w:pPr>
      <w:r w:rsidRPr="000322E4">
        <w:rPr>
          <w:b/>
        </w:rPr>
        <w:t xml:space="preserve">Уровень убедительности рекомендаций </w:t>
      </w:r>
      <w:r w:rsidR="004436C7" w:rsidRPr="000322E4">
        <w:rPr>
          <w:b/>
        </w:rPr>
        <w:t xml:space="preserve">С </w:t>
      </w:r>
      <w:r w:rsidRPr="000322E4">
        <w:rPr>
          <w:b/>
        </w:rPr>
        <w:t xml:space="preserve">(уровень достоверности доказательств </w:t>
      </w:r>
      <w:r w:rsidR="004436C7" w:rsidRPr="000322E4">
        <w:rPr>
          <w:b/>
        </w:rPr>
        <w:t>5</w:t>
      </w:r>
      <w:r w:rsidRPr="000322E4">
        <w:rPr>
          <w:b/>
        </w:rPr>
        <w:t>).</w:t>
      </w:r>
    </w:p>
    <w:p w14:paraId="3FFDC754" w14:textId="70FEE0F3" w:rsidR="001E1A3A" w:rsidRDefault="001E1A3A" w:rsidP="009D170B">
      <w:pPr>
        <w:pStyle w:val="afe"/>
        <w:ind w:left="0"/>
        <w:rPr>
          <w:bCs/>
          <w:i/>
          <w:iCs/>
          <w:szCs w:val="24"/>
        </w:rPr>
      </w:pPr>
      <w:r w:rsidRPr="000322E4">
        <w:rPr>
          <w:b/>
          <w:szCs w:val="24"/>
        </w:rPr>
        <w:t>Комментарий:</w:t>
      </w:r>
      <w:r w:rsidRPr="000322E4">
        <w:rPr>
          <w:bCs/>
          <w:szCs w:val="24"/>
        </w:rPr>
        <w:t xml:space="preserve"> </w:t>
      </w:r>
      <w:r w:rsidR="004436C7" w:rsidRPr="000322E4">
        <w:rPr>
          <w:bCs/>
          <w:i/>
          <w:iCs/>
          <w:szCs w:val="24"/>
        </w:rPr>
        <w:t xml:space="preserve">выбор </w:t>
      </w:r>
      <w:r w:rsidRPr="000322E4">
        <w:rPr>
          <w:bCs/>
          <w:i/>
          <w:iCs/>
          <w:szCs w:val="24"/>
        </w:rPr>
        <w:t>дозы метотрексата** для внутривенной инфузии определяется возрастом, наличием сопутствующих заболеваний и состояний, выделительной функцией почек. Для снижения токсичности рекомендуется ограничиться 4-часовой длительностью инфузии метотрексата*</w:t>
      </w:r>
      <w:r w:rsidR="003122E1" w:rsidRPr="000322E4">
        <w:rPr>
          <w:bCs/>
          <w:i/>
          <w:iCs/>
          <w:szCs w:val="24"/>
        </w:rPr>
        <w:t>*.</w:t>
      </w:r>
      <w:r w:rsidRPr="000322E4">
        <w:rPr>
          <w:bCs/>
          <w:i/>
          <w:iCs/>
          <w:szCs w:val="24"/>
        </w:rPr>
        <w:t xml:space="preserve"> Профилактика поражения ЦНС выполняется на ранних этапах программного лечения, при необходимости – с поддержкой колониестимулирующими факторами (по одному интратекальному введению в 1-й день циклов 1-4, метотрексат** в высоких дозах назначается на 15-й день 1 или 2-ого циклов и после завершения последнего цикла лечения). В ряде случаев, при тяжелом соматическом состоянии </w:t>
      </w:r>
      <w:r w:rsidR="00103620" w:rsidRPr="000322E4">
        <w:rPr>
          <w:bCs/>
          <w:i/>
          <w:iCs/>
          <w:szCs w:val="24"/>
        </w:rPr>
        <w:t>пациента</w:t>
      </w:r>
      <w:r w:rsidRPr="000322E4">
        <w:rPr>
          <w:bCs/>
          <w:i/>
          <w:iCs/>
          <w:szCs w:val="24"/>
        </w:rPr>
        <w:t>, наличии значимого плеврита/асцита возможно использование системного метотрексата** в конце лекарственного лечения (2 введения препарата с перерывом в 15 дней).</w:t>
      </w:r>
    </w:p>
    <w:p w14:paraId="7D08C11C" w14:textId="6F122893" w:rsidR="002818CC" w:rsidRPr="000322E4" w:rsidRDefault="002818CC" w:rsidP="009D170B">
      <w:pPr>
        <w:pStyle w:val="afe"/>
        <w:ind w:left="0"/>
        <w:rPr>
          <w:bCs/>
          <w:i/>
          <w:iCs/>
          <w:szCs w:val="24"/>
        </w:rPr>
      </w:pPr>
      <w:r>
        <w:rPr>
          <w:i/>
          <w:iCs/>
        </w:rPr>
        <w:t xml:space="preserve">Беременным пациенткам профилактика рецидива в ЦНС проводится без введения #метотрексата** </w:t>
      </w:r>
      <w:r>
        <w:rPr>
          <w:i/>
          <w:iCs/>
        </w:rPr>
        <w:fldChar w:fldCharType="begin" w:fldLock="1"/>
      </w:r>
      <w:r w:rsidR="009D170B">
        <w:rPr>
          <w:i/>
          <w:iCs/>
        </w:rPr>
        <w:instrText>ADDIN CSL_CITATION {"citationItems":[{"id":"ITEM-1","itemData":{"ISSN":"0890-6238","author":[{"dropping-particle":"","family":"Martín","given":"María Cecilia","non-dropping-particle":"","parse-names":false,"suffix":""},{"dropping-particle":"","family":"Barbero","given":"Pablo","non-dropping-particle":"","parse-names":false,"suffix":""},{"dropping-particle":"","family":"Groisman","given":"Boris","non-dropping-particle":"","parse-names":false,"suffix":""},{"dropping-particle":"","family":"Aguirre","given":"Miguel Ángel","non-dropping-particle":"","parse-names":false,"suffix":""},{"dropping-particle":"","family":"Koren","given":"Gideon","non-dropping-particle":"","parse-names":false,"suffix":""}],"container-title":"Reproductive Toxicology","id":"ITEM-1","issued":{"date-parts":[["2014"]]},"page":"26-29","title":"Methotrexate embryopathy after exposure to low weekly doses in early pregnancy","type":"article-journal","volume":"43"},"uris":["http://www.mendeley.com/documents/?uuid=8d8e4a94-297f-3077-85f8-7aea781495e1"]}],"mendeley":{"formattedCitation":"[74]","plainTextFormattedCitation":"[74]","previouslyFormattedCitation":"[74]"},"properties":{"noteIndex":0},"schema":"https://github.com/citation-style-language/schema/raw/master/csl-citation.json"}</w:instrText>
      </w:r>
      <w:r>
        <w:rPr>
          <w:i/>
          <w:iCs/>
        </w:rPr>
        <w:fldChar w:fldCharType="separate"/>
      </w:r>
      <w:r w:rsidR="00095D58" w:rsidRPr="00095D58">
        <w:rPr>
          <w:iCs/>
          <w:noProof/>
        </w:rPr>
        <w:t>[74]</w:t>
      </w:r>
      <w:r>
        <w:rPr>
          <w:i/>
          <w:iCs/>
        </w:rPr>
        <w:fldChar w:fldCharType="end"/>
      </w:r>
    </w:p>
    <w:p w14:paraId="05D4BA4F" w14:textId="463B5BA0" w:rsidR="001E1A3A" w:rsidRPr="000322E4" w:rsidRDefault="001E1A3A" w:rsidP="008A40EA">
      <w:pPr>
        <w:pStyle w:val="afff8"/>
        <w:spacing w:before="0"/>
      </w:pPr>
      <w:r w:rsidRPr="000322E4">
        <w:t xml:space="preserve">Пациентам с впервые установленной ДВКЛ старше 80 лет, с выраженной сопутствующей патологией и/или с ослабленным соматическим статусом </w:t>
      </w:r>
      <w:r w:rsidRPr="000322E4">
        <w:rPr>
          <w:rStyle w:val="affc"/>
          <w:b/>
          <w:bCs/>
          <w:i w:val="0"/>
        </w:rPr>
        <w:t>рекомендуется</w:t>
      </w:r>
      <w:r w:rsidRPr="000322E4">
        <w:rPr>
          <w:rStyle w:val="affc"/>
          <w:i w:val="0"/>
        </w:rPr>
        <w:t xml:space="preserve"> применение менее токсичных режимов иммунохимиотерапии</w:t>
      </w:r>
      <w:r w:rsidR="005C1E9B" w:rsidRPr="000322E4">
        <w:rPr>
          <w:rStyle w:val="affc"/>
          <w:i w:val="0"/>
        </w:rPr>
        <w:t xml:space="preserve"> (</w:t>
      </w:r>
      <w:r w:rsidR="005C1E9B" w:rsidRPr="000322E4">
        <w:rPr>
          <w:rStyle w:val="affc"/>
          <w:i w:val="0"/>
          <w:lang w:val="en-US"/>
        </w:rPr>
        <w:t>R</w:t>
      </w:r>
      <w:r w:rsidR="005C1E9B" w:rsidRPr="000322E4">
        <w:rPr>
          <w:rStyle w:val="affc"/>
          <w:i w:val="0"/>
        </w:rPr>
        <w:t>-</w:t>
      </w:r>
      <w:r w:rsidR="005C1E9B" w:rsidRPr="000322E4">
        <w:rPr>
          <w:rStyle w:val="affc"/>
          <w:i w:val="0"/>
          <w:lang w:val="en-US"/>
        </w:rPr>
        <w:t>CVP</w:t>
      </w:r>
      <w:r w:rsidR="005C1E9B" w:rsidRPr="000322E4">
        <w:rPr>
          <w:rStyle w:val="affc"/>
          <w:i w:val="0"/>
        </w:rPr>
        <w:t xml:space="preserve">, </w:t>
      </w:r>
      <w:r w:rsidR="005C1E9B" w:rsidRPr="000322E4">
        <w:rPr>
          <w:rStyle w:val="affc"/>
          <w:i w:val="0"/>
          <w:lang w:val="en-US"/>
        </w:rPr>
        <w:t>BR</w:t>
      </w:r>
      <w:r w:rsidR="005C1E9B" w:rsidRPr="000322E4">
        <w:rPr>
          <w:rStyle w:val="affc"/>
          <w:i w:val="0"/>
        </w:rPr>
        <w:t xml:space="preserve">, </w:t>
      </w:r>
      <w:r w:rsidRPr="000322E4">
        <w:rPr>
          <w:rStyle w:val="affc"/>
          <w:i w:val="0"/>
        </w:rPr>
        <w:t>R-mini-CHOP</w:t>
      </w:r>
      <w:r w:rsidR="005C1E9B" w:rsidRPr="000322E4">
        <w:rPr>
          <w:rStyle w:val="affc"/>
          <w:i w:val="0"/>
        </w:rPr>
        <w:t xml:space="preserve"> –</w:t>
      </w:r>
      <w:r w:rsidRPr="000322E4">
        <w:rPr>
          <w:rStyle w:val="affc"/>
          <w:i w:val="0"/>
        </w:rPr>
        <w:t xml:space="preserve"> см. приложение А3.1) </w:t>
      </w:r>
      <w:r w:rsidR="005C1E9B" w:rsidRPr="000322E4">
        <w:fldChar w:fldCharType="begin" w:fldLock="1"/>
      </w:r>
      <w:r w:rsidR="00021E2A">
        <w:instrText>ADDIN CSL_CITATION {"citationItems":[{"id":"ITEM-1","itemData":{"DOI":"10.1016/S1470-2045(11)70069-9","ISSN":"14702045","abstract":"Background: Diffuse large B-cell lymphoma is a common cancer in elderly patients. Although treatment has been standardised in younger patients, no prospective study has been done in patients over 80 years old. We aimed to investigate the efficacy and safety of a decreased dose of CHOP (doxorubicin, cyclophosphamide, vincristine, and prednisone) chemotherapy with a conventional dose of rituximab in elderly patients with diffuse large B-cell lymphoma. Methods: We did a prospective, multicentre, single-arm, phase 2 study of patients aged over 80 years who had diffuse large B-cell lymphoma. Patients were included from 38 centres in France and Belgium. All patients received six cycles of rituximab combined with low-dose CHOP (R-miniCHOP) at 3-week intervals. Patients received 375 mg/m2 rituximab, 400 mg/m2 cyclophosphamide, 25 mg/m2 doxorubicin, and 1 mg vincristine on day 1 of each cycle, and 40 mg/m2 prednisone on days 1-5. The primary endpoint was overall survival, both unadjusted and adjusted for treatment and baseline prognostic factors. Analysis was by intention to treat. This study is registered with ClinicalTrials.gov, NCT01087424. Findings: 150 patients were enrolled between Jan 9, 2006, and Jan 23, 2009 and 149 were included in the intention-to-treat analyses. Median age was 83 years (range 80-95). After a median follow-up of 20 months (range 0-45), the median overall survival was 29 months (95% CI 21 to upper limit not reached); 2-year overall survival was 59% (49-67%). In multivariate analyses, overall survival was only affected by a serum albumin concentration of 35 g/L or less (hazard ratio 3·2, 95% CI 1·4-7·1; p=0·0053). Median progression-free survival was 21 months (95% CI 13 to upper limit not reached), with a 2-year progression free survival of 47% (38-56). 58 deaths were reported, 33 of which were secondary to lymphoma progression. 12 deaths were attributed to toxicity of the treatment. The most frequent side-effect was haematological toxicity (grade ≥3 neutropenia in 59 patients; febrile neutropenia in 11 patients). Interpretation: R-miniCHOP offers a good compromise between efficacy and safety in patients aged over 80 years old. R-miniCHOP should be considered as the new standard treatment in this subgroup of patients. Funding: Groupe d'Etude des Lymphomes de l'Adulte (GELA). © 2011 Elsevier Ltd.","author":[{"dropping-particle":"","family":"Peyrade","given":"Frédéric","non-dropping-particle":"","parse-names":false,"suffix":""},{"dropping-particle":"","family":"Jardin","given":"Fabrice","non-dropping-particle":"","parse-names":false,"suffix":""},{"dropping-particle":"","family":"Thieblemont","given":"Catherine","non-dropping-particle":"","parse-names":false,"suffix":""},{"dropping-particle":"","family":"Thyss","given":"Antoine","non-dropping-particle":"","parse-names":false,"suffix":""},{"dropping-particle":"","family":"Emile","given":"Jean François","non-dropping-particle":"","parse-names":false,"suffix":""},{"dropping-particle":"","family":"Castaigne","given":"Sylvie","non-dropping-particle":"","parse-names":false,"suffix":""},{"dropping-particle":"","family":"Coiffier","given":"Bertrand","non-dropping-particle":"","parse-names":false,"suffix":""},{"dropping-particle":"","family":"Haioun","given":"Corinne","non-dropping-particle":"","parse-names":false,"suffix":""},{"dropping-particle":"","family":"Bologna","given":"Serge","non-dropping-particle":"","parse-names":false,"suffix":""},{"dropping-particle":"","family":"Fitoussi","given":"Olivier","non-dropping-particle":"","parse-names":false,"suffix":""},{"dropping-particle":"","family":"Lepeu","given":"Gérard","non-dropping-particle":"","parse-names":false,"suffix":""},{"dropping-particle":"","family":"Fruchart","given":"Christophe","non-dropping-particle":"","parse-names":false,"suffix":""},{"dropping-particle":"","family":"Bordessoule","given":"Dominique","non-dropping-particle":"","parse-names":false,"suffix":""},{"dropping-particle":"","family":"Blanc","given":"Michel","non-dropping-particle":"","parse-names":false,"suffix":""},{"dropping-particle":"","family":"Delarue","given":"Richard","non-dropping-particle":"","parse-names":false,"suffix":""},{"dropping-particle":"","family":"Janvier","given":"Maud","non-dropping-particle":"","parse-names":false,"suffix":""},{"dropping-particle":"","family":"Salles","given":"Bruno","non-dropping-particle":"","parse-names":false,"suffix":""},{"dropping-particle":"","family":"André","given":"Marc","non-dropping-particle":"","parse-names":false,"suffix":""},{"dropping-particle":"","family":"Fournier","given":"Marion","non-dropping-particle":"","parse-names":false,"suffix":""},{"dropping-particle":"","family":"Gaulard","given":"Philippe","non-dropping-particle":"","parse-names":false,"suffix":""},{"dropping-particle":"","family":"Tilly","given":"Hervé","non-dropping-particle":"","parse-names":false,"suffix":""}],"container-title":"The Lancet Oncology","id":"ITEM-1","issue":"5","issued":{"date-parts":[["2011","5"]]},"page":"460-468","title":"Attenuated immunochemotherapy regimen (R-miniCHOP) in elderly patients older than 80 years with diffuse large B-cell lymphoma: A multicentre, single-arm, phase 2 trial","type":"article-journal","volume":"12"},"uris":["http://www.mendeley.com/documents/?uuid=1f10293b-8542-395b-ba32-5b71aa075ff0"]},{"id":"ITEM-2","itemData":{"DOI":"10.1200/jco.2013.31.15_suppl.8536","ISSN":"0732-183X","abstract":"8536 Background: We report the outcome of patients included in the LNH 03-7B prospective phase II study of the GELA group which evaluated the tolerance and efficacy of a reduced dosage chemotherapy regimen (miniCHOP) associated with full dose rituximab in patients aged over 80 years with DLBCL. Methods: Patients were between 80 and 95 years (median 83 years), had disease stage I Bulky to IV and 65% had poor risk lymphoma according to IPI. Perfomance status was 0-2 in all cases. The majority of deaths and grade III/IV toxicity occurred during cycle 1 and 2. Response to treatment and early survival analyses were previously presented with 20 months median follow-up (Lancet oncol 2011;12:460-468). Results: At the time of this analysis, The median follow-up time was 41 months and 75 (50%) patients were alive. The 4-year estimated overall survival (OS) was 49.3% [95% CI: 40.8-57.3%] and the median OS was 38 months. The 4-year estimated PFS, EFS and DFS were 41.4% [95% CI: 33.1-49.5%], 39.4% [95% CI : 31.2-47.5%] and 57.9% [95% CI : 47.3-67.2%] respectively.]. During the additional follow-up, 8 patients relapsed (10% of CR patients) and 17 died. No long term toxicity was recorded. In a multivariate analysis an albumin level &gt;35 g/l remained significantly associated with a longer survival. Conclusions: These results show that very old patients with DLBCL treated with RminiCHOP could express long-term survival and probably be cured. Regarding the DFS and despite the early toxicity, it seems crucial to obtain the best possible response. This long term analysis confirm that in patient aged over 80y with DLBCL and with PS from 0 to 2, RminiCHOP is the treatment cornerstone. Clinical trial information: NCT01087424.","author":[{"dropping-particle":"","family":"Peyrade","given":"Frederic","non-dropping-particle":"","parse-names":false,"suffix":""},{"dropping-particle":"","family":"Fain","given":"Olivier","non-dropping-particle":"","parse-names":false,"suffix":""},{"dropping-particle":"","family":"Fabiani","given":"Bettina","non-dropping-particle":"","parse-names":false,"suffix":""},{"dropping-particle":"","family":"Bauduer","given":"Frederic","non-dropping-particle":"","parse-names":false,"suffix":""},{"dropping-particle":"","family":"Neste","given":"Eric","non-dropping-particle":"Van Den","parse-names":false,"suffix":""},{"dropping-particle":"","family":"Macro","given":"Margaret","non-dropping-particle":"","parse-names":false,"suffix":""},{"dropping-particle":"","family":"Devidas","given":"Alain","non-dropping-particle":"","parse-names":false,"suffix":""},{"dropping-particle":"","family":"Collignon","given":"Joelle","non-dropping-particle":"","parse-names":false,"suffix":""},{"dropping-particle":"","family":"Rose","given":"Christian","non-dropping-particle":"","parse-names":false,"suffix":""},{"dropping-particle":"","family":"Bonnet","given":"Sophie","non-dropping-particle":"","parse-names":false,"suffix":""},{"dropping-particle":"","family":"Maerevoet","given":"Marie","non-dropping-particle":"","parse-names":false,"suffix":""},{"dropping-particle":"","family":"Demuynck","given":"Hilde","non-dropping-particle":"","parse-names":false,"suffix":""},{"dropping-particle":"","family":"Casasnovas","given":"Rene-Olivier","non-dropping-particle":"","parse-names":false,"suffix":""}],"container-title":"Journal of Clinical Oncology","id":"ITEM-2","issue":"15_suppl","issued":{"date-parts":[["2013"]]},"page":"8536","publisher":"American Society of Clinical Oncology","title":"Long-term follow-up of the GELA LNH 03-7B study: A prospective phase II study of 150 patients over 80 years with diffuse large B-cell lymphoma (DLBCL) treated with RminiCHOP.","type":"article-journal","volume":"31"},"uris":["http://www.mendeley.com/documents/?uuid=fa7bbef8-84c8-3435-966c-b1eaae1aa162"]},{"id":"ITEM-3","itemData":{"DOI":"10.1007/s00277-016-2768-x","ISSN":"14320584","abstract":"Patients aged 80 or over with diffuse large B cell lymphoma (DLBCL) often have comorbidities that increase drug toxicity and prevent the use of otherwise optimal treatment. We performed a retrospective analysis of 43 patients aged 80 or over (median age: 83; range: 80–93) unable to receive treatment with anthracyclines, at diagnosis of DLBCL, treated with an R-CVP treatment (standard R-CHOP without doxorubicin). The patients had one or more comorbidities: 18 patients (41.9 %) had a performance status (PS) of 3; 23 patients (53.5 %) had low creatinine clearance; 12 patients (27.9 %) had low left ventricular ejection fraction; seven patients (16.3 %) had poor hepatic function; and 26 patients (60.5 %) had a Charlson index score ≥4. Thirty patients (70 %) had two or three adverse factors according to the age-adjusted International Prognostic Index. Twenty-five patients (58.1 %) received eight cycles of R-CVP, but the full eight cycles could not be given to 18 patients (41.9 %). The OR rate was 58.1 % (CR 37.2 %). There were 34 deaths (79 %) during treatment and follow-up. Ten patients (23.3 %) died early from toxicity before interim evaluation; all had PS 3. The median follow-up of surviving patients was 52.6 months. The overall 2-year survival rate was 31.9 % and the median OS was 12.6 months. The median OS for patients who completed the entire treatment was 26.4 months. The median PFS was 11.2 months. In multivariate analyses, OS was only affected by performance status ≥2 and Charlson index score ≥4. The R-CVP regimen can be active in elderly frail patients aged 80 or more with DLBCL, but systematic geriatric assessment is required so that those unsuitable for chemotherapy are excluded.","author":[{"dropping-particle":"","family":"Laribi","given":"Kamel","non-dropping-particle":"","parse-names":false,"suffix":""},{"dropping-particle":"","family":"Denizon","given":"Nathalie","non-dropping-particle":"","parse-names":false,"suffix":""},{"dropping-particle":"","family":"Bolle","given":"Delphine","non-dropping-particle":"","parse-names":false,"suffix":""},{"dropping-particle":"","family":"Truong","given":"Catherine","non-dropping-particle":"","parse-names":false,"suffix":""},{"dropping-particle":"","family":"Besançon","given":"Anne","non-dropping-particle":"","parse-names":false,"suffix":""},{"dropping-particle":"","family":"Sandrini","given":"Jeremy","non-dropping-particle":"","parse-names":false,"suffix":""},{"dropping-particle":"","family":"Anghel","given":"Andreaa","non-dropping-particle":"","parse-names":false,"suffix":""},{"dropping-particle":"","family":"Farhi","given":"Jonathan","non-dropping-particle":"","parse-names":false,"suffix":""},{"dropping-particle":"","family":"Ghnaya","given":"Habib","non-dropping-particle":"","parse-names":false,"suffix":""},{"dropping-particle":"","family":"Baugier de Materre","given":"Alix","non-dropping-particle":"","parse-names":false,"suffix":""}],"container-title":"Annals of Hematology","id":"ITEM-3","issue":"10","issued":{"date-parts":[["2016","10","1"]]},"page":"1705-1714","publisher":"Springer Verlag","title":"R-CVP regimen is active in frail elderly patients aged 80 or over with diffuse large B cell lymphoma","type":"article-journal","volume":"95"},"uris":["http://www.mendeley.com/documents/?uuid=4f1e73e5-4563-30cd-a068-12950a36fd3d"]},{"id":"ITEM-4","itemData":{"DOI":"10.1007/s00277-017-3017-7","ISSN":"14320584","author":[{"dropping-particle":"","family":"Arakaki","given":"Hideki","non-dropping-particle":"","parse-names":false,"suffix":""},{"dropping-particle":"","family":"Nakazato","given":"Tomonori","non-dropping-particle":"","parse-names":false,"suffix":""},{"dropping-particle":"","family":"Osada","given":"Yuki","non-dropping-particle":"","parse-names":false,"suffix":""},{"dropping-particle":"","family":"Ito","given":"Chisako","non-dropping-particle":"","parse-names":false,"suffix":""},{"dropping-particle":"","family":"Aisa","given":"Yoshinobu","non-dropping-particle":"","parse-names":false,"suffix":""},{"dropping-particle":"","family":"Mori","given":"Takehiko","non-dropping-particle":"","parse-names":false,"suffix":""}],"container-title":"Annals of Hematology","id":"ITEM-4","issue":"7","issued":{"date-parts":[["2017","7","1"]]},"page":"1225-1226","publisher":"Springer Verlag","title":"Comparison of R-CVP with R-CHOP for very elderly patients aged 80 or over with diffuse large B cell lymphoma","type":"article","volume":"96"},"uris":["http://www.mendeley.com/documents/?uuid=0fbde1d9-7549-3c37-8916-2698e4818096"]},{"id":"ITEM-5","itemData":{"DOI":"10.1007/s00277-019-03819-3","ISSN":"14320584","abstract":"Despite bendamustine-rituximab (BR) showed disappointing efficacy in diffuse large B cell lymphoma (DLBCL), it is still occasionally used as first-line treatment in older DLBCL patients instead of recommended R-CHOP. This multicentre, retrospective study was aimed to clarify circumstances in which BR may be justified in this setting. Patients ≥ 65 years with ECOG performance status (PS) ≥ 2 or ≥ 75 years regardless of PS were included. A total of 140 patients were analysed (BR, 68; R-CHOP, 72). BR patients were older (p &lt; 0.001) and were diagnosed more often with high-risk disease (p = 0.03); no difference regarding comorbidities or PS was seen. Compared with R-CHOP, BR was associated with marked inferior overall survival (OS) (16.3 vs. 75.4 months; p = 0.006) and progression-free survival (PFS) (11.0 vs. 62.3 months; p &lt; 0.001). In multivariate analysis, only high age-adjusted Charlson Comorbidity Index (aaCCI) was associated with inferior PFS in R-CHOP patients (hazard ratio 2.67; p = 0.012). Comparing the subgroup of BR and R-CHOP patients with high aaCCI, there was no difference in OS (p = 0.73) or PFS (p = 0.75). Due to the observed non-superiority of R-CHOP in older DLBCL patients with comorbidities, we propose that this subgroup may be treated alternatively with BR, whereas all other older patients are clearly R-CHOP candidates.","author":[{"dropping-particle":"","family":"Zeremski","given":"Vanja","non-dropping-particle":"","parse-names":false,"suffix":""},{"dropping-particle":"","family":"Jentsch-Ullrich","given":"Kathleen","non-dropping-particle":"","parse-names":false,"suffix":""},{"dropping-particle":"","family":"Kahl","given":"Christoph","non-dropping-particle":"","parse-names":false,"suffix":""},{"dropping-particle":"","family":"Mohren","given":"Martin","non-dropping-particle":"","parse-names":false,"suffix":""},{"dropping-particle":"","family":"Eberhardt","given":"Judith","non-dropping-particle":"","parse-names":false,"suffix":""},{"dropping-particle":"","family":"Fischer","given":"Thomas","non-dropping-particle":"","parse-names":false,"suffix":""},{"dropping-particle":"","family":"Schalk","given":"Enrico","non-dropping-particle":"","parse-names":false,"suffix":""}],"container-title":"Annals of Hematology","id":"ITEM-5","issue":"12","issued":{"date-parts":[["2019","12","1"]]},"page":"2729-2737","publisher":"Springer","title":"Is bendamustine-rituximab a reasonable treatment in selected older patients with diffuse large B cell lymphoma? Results from a multicentre, retrospective study","type":"article-journal","volume":"98"},"uris":["http://www.mendeley.com/documents/?uuid=920882d1-175a-3334-86bd-c7ba5af21976"]},{"id":"ITEM-6","itemData":{"DOI":"10.3324/haematol.2017.186569","ISSN":"15928721","abstract":"We conducted a phase II study to assess activity and safety profile of bendamustine and rituximab in elderly patients with untreated diffuse large B-cell lymphoma (DLBCL) who were prospectively defined as frail using a simplified version of the Comprehensive Geriatric Assessment (CGA). Patients had to be over 70 years of age, with histologically confirmed DLBCL. Frail patients were those younger than 80 years with a frail profile at CGA or older than 80 years with an unfit profile. Treatment consisted of 4-6 courses of bendamustine [90 mg/m 2 days (d)1-2] and rituximab (375 mg/m 2 d1) administered every 28 days. Other main study end points were complete remission rate and the rate of extra-hematologic adverse events. Forty-nine patients were enrolled of whom 45 were confirmed eligible. Overall, 24 patients achieved a complete remission (53%; 95%CI: 38-68%) and the overall response rate was 62% (95%CI: 47-76%). The most frequent grade 3-4 adverse event was neutropenia (37.8%). Grade 3-4 extra-hematologic adverse events were observed in 7 patients (15.6%; 95%CI: 6.5-29.5%); the most frequent was grade 3 infection in 2 patients. With a median follow up of 33 months (range 1-52), the median progression-free survival was ten months (95%CI: 7-25). The study shows promising activity and manageable toxicity profile of BR combination as first-line therapy for patients with DLBCL who are prospectively defined as frail according to a simplified CGA, as adopted in this trial (clinicaltrials.gov identifier: 01990144).","author":[{"dropping-particle":"","family":"Storti","given":"Sergio","non-dropping-particle":"","parse-names":false,"suffix":""},{"dropping-particle":"","family":"Spina","given":"Michele","non-dropping-particle":"","parse-names":false,"suffix":""},{"dropping-particle":"","family":"Pesce","given":"Emanuela Anna","non-dropping-particle":"","parse-names":false,"suffix":""},{"dropping-particle":"","family":"Salvi","given":"Flavia","non-dropping-particle":"","parse-names":false,"suffix":""},{"dropping-particle":"","family":"Merli","given":"Michele","non-dropping-particle":"","parse-names":false,"suffix":""},{"dropping-particle":"","family":"Ruffini","given":"Alessia","non-dropping-particle":"","parse-names":false,"suffix":""},{"dropping-particle":"","family":"Cabras","given":"Giuseppina","non-dropping-particle":"","parse-names":false,"suffix":""},{"dropping-particle":"","family":"Chiappella","given":"Annalisa","non-dropping-particle":"","parse-names":false,"suffix":""},{"dropping-particle":"","family":"Angelucci","given":"Emanuele","non-dropping-particle":"","parse-names":false,"suffix":""},{"dropping-particle":"","family":"Fabbri","given":"Alberto","non-dropping-particle":"","parse-names":false,"suffix":""},{"dropping-particle":"","family":"Liberati","given":"Anna Marina","non-dropping-particle":"","parse-names":false,"suffix":""},{"dropping-particle":"","family":"Tani","given":"Monica","non-dropping-particle":"","parse-names":false,"suffix":""},{"dropping-particle":"","family":"Musuraca","given":"Gerardo","non-dropping-particle":"","parse-names":false,"suffix":""},{"dropping-particle":"","family":"Molinari","given":"Annalia","non-dropping-particle":"","parse-names":false,"suffix":""},{"dropping-particle":"","family":"Petrilli","given":"Maria Pia","non-dropping-particle":"","parse-names":false,"suffix":""},{"dropping-particle":"","family":"Palladino","given":"Carmela","non-dropping-particle":"","parse-names":false,"suffix":""},{"dropping-particle":"","family":"Ciancia","given":"Rosanna","non-dropping-particle":"","parse-names":false,"suffix":""},{"dropping-particle":"","family":"Ferrario","given":"Andrea","non-dropping-particle":"","parse-names":false,"suffix":""},{"dropping-particle":"","family":"Gasbarrino","given":"Cristiana","non-dropping-particle":"","parse-names":false,"suffix":""},{"dropping-particle":"","family":"Monaco","given":"Federico","non-dropping-particle":"","parse-names":false,"suffix":""},{"dropping-particle":"","family":"Fraticelli","given":"Vincenzo","non-dropping-particle":"","parse-names":false,"suffix":""},{"dropping-particle":"","family":"Vellis","given":"Annalisa","non-dropping-particle":"De","parse-names":false,"suffix":""},{"dropping-particle":"","family":"Merli","given":"Francesco","non-dropping-particle":"","parse-names":false,"suffix":""},{"dropping-particle":"","family":"Luminari","given":"Stefano","non-dropping-particle":"","parse-names":false,"suffix":""}],"container-title":"Haematologica","id":"ITEM-6","issue":"8","issued":{"date-parts":[["2018","7","31"]]},"page":"1345-1350","publisher":"Ferrata Storti Foundation","title":"Rituximab plus bendamustine as front-line treatment in frail elderly (&gt;70 years) patients with diffuse large b-cell non-hodgkin lymphoma: A phase ii multicenter study of the fondazione italiana linfomi","type":"article-journal","volume":"103"},"uris":["http://www.mendeley.com/documents/?uuid=42955152-80e8-3fa0-bcc8-9fbe611003f6"]}],"mendeley":{"formattedCitation":"[80–85]","plainTextFormattedCitation":"[80–85]","previouslyFormattedCitation":"[80–85]"},"properties":{"noteIndex":0},"schema":"https://github.com/citation-style-language/schema/raw/master/csl-citation.json"}</w:instrText>
      </w:r>
      <w:r w:rsidR="005C1E9B" w:rsidRPr="000322E4">
        <w:fldChar w:fldCharType="separate"/>
      </w:r>
      <w:r w:rsidR="009D170B" w:rsidRPr="009D170B">
        <w:rPr>
          <w:noProof/>
        </w:rPr>
        <w:t>[80–85]</w:t>
      </w:r>
      <w:r w:rsidR="005C1E9B" w:rsidRPr="000322E4">
        <w:fldChar w:fldCharType="end"/>
      </w:r>
      <w:r w:rsidR="005C1E9B" w:rsidRPr="000322E4">
        <w:rPr>
          <w:b/>
          <w:bCs/>
        </w:rPr>
        <w:t xml:space="preserve"> </w:t>
      </w:r>
    </w:p>
    <w:p w14:paraId="4CFC258A" w14:textId="77777777" w:rsidR="001E1A3A" w:rsidRPr="000322E4" w:rsidRDefault="001E1A3A" w:rsidP="008A40EA">
      <w:pPr>
        <w:spacing w:line="360" w:lineRule="auto"/>
        <w:ind w:left="709"/>
        <w:contextualSpacing/>
        <w:jc w:val="both"/>
        <w:rPr>
          <w:b/>
        </w:rPr>
      </w:pPr>
      <w:r w:rsidRPr="000322E4">
        <w:rPr>
          <w:b/>
        </w:rPr>
        <w:lastRenderedPageBreak/>
        <w:t xml:space="preserve">Уровень убедительности рекомендаций </w:t>
      </w:r>
      <w:r w:rsidR="003122E1" w:rsidRPr="000322E4">
        <w:rPr>
          <w:b/>
        </w:rPr>
        <w:t xml:space="preserve">С </w:t>
      </w:r>
      <w:r w:rsidRPr="000322E4">
        <w:rPr>
          <w:b/>
        </w:rPr>
        <w:t xml:space="preserve">(уровень достоверности доказательств </w:t>
      </w:r>
      <w:r w:rsidR="003122E1" w:rsidRPr="000322E4">
        <w:rPr>
          <w:b/>
        </w:rPr>
        <w:t>4</w:t>
      </w:r>
      <w:r w:rsidRPr="000322E4">
        <w:rPr>
          <w:b/>
        </w:rPr>
        <w:t>).</w:t>
      </w:r>
    </w:p>
    <w:p w14:paraId="00390BDC" w14:textId="77777777" w:rsidR="00210FA0" w:rsidRPr="000322E4" w:rsidRDefault="00210FA0" w:rsidP="008A40EA">
      <w:pPr>
        <w:pStyle w:val="2"/>
        <w:spacing w:before="0"/>
        <w:contextualSpacing/>
      </w:pPr>
      <w:bookmarkStart w:id="39" w:name="_Toc96601242"/>
      <w:r w:rsidRPr="000322E4">
        <w:t>3.</w:t>
      </w:r>
      <w:r w:rsidR="00260AFA" w:rsidRPr="000322E4">
        <w:t>2</w:t>
      </w:r>
      <w:r w:rsidRPr="000322E4">
        <w:t xml:space="preserve"> Первая линия терапии первичной медиастинальной (тимической) В-клеточной крупноклеточной лимфомы</w:t>
      </w:r>
      <w:bookmarkEnd w:id="39"/>
    </w:p>
    <w:p w14:paraId="2788998A" w14:textId="7EC564C5" w:rsidR="00210FA0" w:rsidRPr="000322E4" w:rsidRDefault="00210FA0" w:rsidP="008A40EA">
      <w:pPr>
        <w:pStyle w:val="afff8"/>
        <w:spacing w:before="0"/>
      </w:pPr>
      <w:r w:rsidRPr="000322E4">
        <w:t>Пациентам</w:t>
      </w:r>
      <w:r w:rsidR="00260AFA" w:rsidRPr="000322E4">
        <w:t xml:space="preserve"> старше 18 лет</w:t>
      </w:r>
      <w:r w:rsidRPr="000322E4">
        <w:t xml:space="preserve"> с установленным диагнозом ПМВКЛ </w:t>
      </w:r>
      <w:r w:rsidRPr="000322E4">
        <w:rPr>
          <w:b/>
        </w:rPr>
        <w:t xml:space="preserve">рекомендовано </w:t>
      </w:r>
      <w:r w:rsidRPr="000322E4">
        <w:rPr>
          <w:bCs/>
        </w:rPr>
        <w:t>проведение</w:t>
      </w:r>
      <w:r w:rsidRPr="000322E4">
        <w:t xml:space="preserve"> одного из следующих режимов иммунохимиотерапии на выбор лечащего врача (см. приложение А3.1) </w:t>
      </w:r>
      <w:r w:rsidRPr="000322E4">
        <w:fldChar w:fldCharType="begin" w:fldLock="1"/>
      </w:r>
      <w:r w:rsidR="00021E2A">
        <w:instrText>ADDIN CSL_CITATION {"citationItems":[{"id":"ITEM-1","itemData":{"DOI":"10.3816/CLM.2009.n.074","ISSN":"15579190","abstract":"Background: Third-generation regimens (MACOP-B [methotrexate/leucovorin (LV)/doxorubicin/cyclophosphamide/vincristine/ prednisone/bleomycin] or VACOP-B [etoposide/LV/doxorubicin/cyclophosphamide/vincristine/prednisone/bleomycin]) in combination with local radiation therapy seem to improve lymphoma-free survival of primary mediastinal large B-cell lymphoma (PMLBCL). Recently, the superiority of R-CHOP (rituximab plus cyclophosphamide/doxorubicin/vincristine/ prednisone) over CHOP-like regimens has been demonstrated in elderly and younger patients with low-risk diffuse large B-cell lymphoma. Patients and Methods: Retrospectively, between February 2002 and July 2006, 45 previously untreated patients with PMLBCL were treated with a combination of a third-generation chemotherapy regimen (MACOP-B or VACOP-B), concurrent rituximab, and mediastinal radiation therapy. Results: Twenty-six (62%) patients achieved a complete response (CR), and 15 (36%) obtained a partial response after MACOP-B/VACOP-B plus rituximab. After radiation therapy, the CR rate was 80%. At a median follow-up of 28 months, among the 34 patients who obtained a CR, 3 relapsed after 16, 19, and 22 months, respectively. Projected overall survival was 80% at 5 years; the relapse-free survival (RFS) curve of the 34 patients who achieved CR was 88% at 5 years. Conclusion: In this retrospective study, in patients with PMLBCL, combined-modality treatment using the MACOP-B/VACOP-B regimen plus rituximab induces a high remission rate, with patients having a &gt; 80% chance of surviving relapse free at 5 years. In comparison with historical data on MACOP-B/VACOP-B without rituximab, there are no statistically significant differences in terms of CR and RFS rates.","author":[{"dropping-particle":"","family":"Zinzani","given":"Pier Luigi","non-dropping-particle":"","parse-names":false,"suffix":""},{"dropping-particle":"","family":"Stefoni","given":"Vittorio","non-dropping-particle":"","parse-names":false,"suffix":""},{"dropping-particle":"","family":"Finolezzi","given":"Erica","non-dropping-particle":"","parse-names":false,"suffix":""},{"dropping-particle":"","family":"Brusamolino","given":"Ercole","non-dropping-particle":"","parse-names":false,"suffix":""},{"dropping-particle":"","family":"Cabras","given":"Maria Giuseppina","non-dropping-particle":"","parse-names":false,"suffix":""},{"dropping-particle":"","family":"Chiappella","given":"Annalisa","non-dropping-particle":"","parse-names":false,"suffix":""},{"dropping-particle":"","family":"Salvi","given":"Flavia","non-dropping-particle":"","parse-names":false,"suffix":""},{"dropping-particle":"","family":"Rossi","given":"Andrea","non-dropping-particle":"","parse-names":false,"suffix":""},{"dropping-particle":"","family":"Broccoli","given":"Alessandro","non-dropping-particle":"","parse-names":false,"suffix":""},{"dropping-particle":"","family":"Martelli","given":"Maurizio","non-dropping-particle":"","parse-names":false,"suffix":""}],"container-title":"Clinical Lymphoma and Myeloma","id":"ITEM-1","issue":"5","issued":{"date-parts":[["2009","10","1"]]},"page":"381-385","publisher":"Cancer Information Group, LP","title":"Rituximab combined with MACOP-B or VACOP-B and radiation therapy in primary mediastinal large B-cell lymphoma: A retrospective study","type":"article-journal","volume":"9"},"uris":["http://www.mendeley.com/documents/?uuid=a12eb4c5-b379-3abf-9bab-bdd4fd30fd75"]},{"id":"ITEM-2","itemData":{"author":[{"dropping-particle":"","family":"Вернюк","given":"М.А.","non-dropping-particle":"","parse-names":false,"suffix":""},{"dropping-particle":"","family":"Тюрина","given":"Н.Г.","non-dropping-particle":"","parse-names":false,"suffix":""},{"dropping-particle":"","family":"Павлова","given":"О.А.","non-dropping-particle":"","parse-names":false,"suffix":""},{"dropping-particle":"","family":"Червонцева","given":"А.М.","non-dropping-particle":"","parse-names":false,"suffix":""},{"dropping-particle":"","family":"Жуков","given":"Н.В.","non-dropping-particle":"","parse-names":false,"suffix":""}],"container-title":"Онкогематология","id":"ITEM-2","issued":{"date-parts":[["2013"]]},"page":"18-23","title":"Опыт лечения первичной медиастинальной В-крупноклеточной лимфомы","type":"article-journal","volume":"4"},"uris":["http://www.mendeley.com/documents/?uuid=ba22f72c-afee-41ab-a4fe-c98c71096551"]},{"id":"ITEM-3","itemData":{"author":[{"dropping-particle":"","family":"Тумян","given":"Г.С.","non-dropping-particle":"","parse-names":false,"suffix":""}],"container-title":"Современная онкология","id":"ITEM-3","issue":"3","issued":{"date-parts":[["2008"]]},"page":"66-68","title":"Первичная медиастинальная В-крупноклеточная лимфома: диагностика, клиническая картина и лечение","type":"article-journal","volume":"10"},"uris":["http://www.mendeley.com/documents/?uuid=1ecdd8f8-1b2f-4452-b7b0-134663b7c18f"]},{"id":"ITEM-4","itemData":{"DOI":"10.1056/NEJMoa1214561","ISSN":"15334406","abstract":"BACKGROUND: Primary mediastinal B-cell lymphoma is a distinct subtype of diffuse large-B-cell lymphoma that is closely related to nodular sclerosing Hodgkin's lymphoma. Patients are usually young and present with large mediastinal masses. There is no standard treatment, but the inadequacy of immunochemotherapy alone has resulted in routine consolidation with mediastinal radiotherapy, which has potentially serious late effects. We aimed to develop a strategy that improves the rate of cure and obviates the need for radiotherapy. METHODS: We conducted a single-group, phase 2, prospective study of infusional dose-adjusted etoposide, doxorubicin, and cyclophosphamide with vincristine, prednisone, and rituximab (DA-EPOCH-R) and filgrastim without radiotherapy in 51 patients with untreated primary mediastinal B-cell lymphoma. We used results from a retrospective study of DA-EPOCH-R from another center to independently verify the outcomes. RESULTS: The patients had a median age of 30 years (range, 19 to 52) and a median tumor diameter of 11 cm; 59% were women. During a median of 5 years of follow-up, the event-free survival rate was 93%, and the overall survival rate was 97%. Among the 16 patients who were involved in the retrospective analysis at another center, over a median of 3 years of follow-up, the event-free survival rate was 100%, and no patients received radiotherapy. No late morbidity or cardiac toxic effects were found in any patients. After follow-up ranging from 10 months to 14 years, all but 2 of the 51 patients (4%) who received DA-EPOCH-R alone were in complete remission. The 2 remaining patients received radiotherapy and were disease-free at follow-up. CONCLUSIONS: Therapy with DA-EPOCH-R obviated the need for radiotherapy in patients with primary mediastinal B-cell lymphoma. (Funded by the National Cancer Institute; ClinicalTrials.gov number, NCT00001337.) Copyright © 2013 Massachusetts Medical Society.","author":[{"dropping-particle":"","family":"Dunleavy","given":"Kieron","non-dropping-particle":"","parse-names":false,"suffix":""},{"dropping-particle":"","family":"Pittaluga","given":"Stefania","non-dropping-particle":"","parse-names":false,"suffix":""},{"dropping-particle":"","family":"Maeda","given":"Lauren S.","non-dropping-particle":"","parse-names":false,"suffix":""},{"dropping-particle":"","family":"Advani","given":"Ranjana","non-dropping-particle":"","parse-names":false,"suffix":""},{"dropping-particle":"","family":"Chen","given":"Clara C.","non-dropping-particle":"","parse-names":false,"suffix":""},{"dropping-particle":"","family":"Hessler","given":"Julie","non-dropping-particle":"","parse-names":false,"suffix":""},{"dropping-particle":"","family":"Steinberg","given":"Seth M.","non-dropping-particle":"","parse-names":false,"suffix":""},{"dropping-particle":"","family":"Grant","given":"Cliona","non-dropping-particle":"","parse-names":false,"suffix":""},{"dropping-particle":"","family":"Wright","given":"George","non-dropping-particle":"","parse-names":false,"suffix":""},{"dropping-particle":"","family":"Varma","given":"Gaurav","non-dropping-particle":"","parse-names":false,"suffix":""},{"dropping-particle":"","family":"Staudt","given":"Louis M.","non-dropping-particle":"","parse-names":false,"suffix":""},{"dropping-particle":"","family":"Jaffe","given":"Elaine S.","non-dropping-particle":"","parse-names":false,"suffix":""},{"dropping-particle":"","family":"Wilson","given":"Wyndham H.","non-dropping-particle":"","parse-names":false,"suffix":""}],"container-title":"New England Journal of Medicine","id":"ITEM-4","issue":"15","issued":{"date-parts":[["2013","4","11"]]},"page":"1408-1416","publisher":"Massachussetts Medical Society","title":"Dose-adjusted EPOCH-rituximab therapy in primary mediastinal B-cell lymphoma","type":"article-journal","volume":"368"},"uris":["http://www.mendeley.com/documents/?uuid=ab2bf952-eead-3cc2-82f7-59d922c2fd09"]},{"id":"ITEM-5","itemData":{"DOI":"10.1002/cam4.2347","ISSN":"20457634","abstract":"Primary mediastinal large B-cell lymphoma (PMBCL) is a distinct clinico-pathological subtype of diffuse large B-cell lymphoma with unclear prognostic factors and limited clinical data. Optimal treatment and role for radiotherapy is not fully defined. We performed a multicenter retrospective review of 124 patients with newly diagnosed PMBCL between 2001 and 2016. Treatment regimens were R-CHOP (n = 41), R-CHOP + RT (n = 37), and DA-EPOCH-R (n = 46). 6% (n = 3) in the DA-EPOCH-R group received RT. With a median follow up of 45 months, the overall 5-year OS and PFS was 89.4% and 82.4%, respectively. The type of chemo-radiotherapy regimen, B symptoms and Ann-Arbor staging showed a significant association with OS on univariate analysis but only B symptoms remained prognostic (P = 0.012) after multivariate analysis. The chemo-radiotherapy regimen, Japanese IPI and Ann-Arbor stage was significantly associated with PFS in univariate analysis, but only chemo-radiotherapy regimen remained significant (P = 0.02) after multivariate analysis. Patients who received R-CHOP + RT or DA-EPOCH-R had better PFS than those receiving R-CHOP alone, with 5-year PFS of 90% vs 88.5% vs 56%, respectively (P = 0.02). In the subgroup analysis of patients with bulk (n = 71), R-CHOP alone (n = 21) had inferior 5-year PFS 56.6% compared to those who received R-CHOP + RT (n = 23) 91.3% or DA-EPOCH-R (n = 27) 92.6% (P = 0.007). In contrast, in patients without bulk (n = 42), there was no impact of treatment regimen on PFS (P = 0.25). In conclusion, R-CHOP + RT and DA-EPOCH-R provide excellent outcomes in patients with PMBCL. In patients with bulky disease, the use of DA-EPOCH-R may be preferable as it allows omission of RT without reduction in efficacy.","author":[{"dropping-particle":"","family":"Chan","given":"Esther Hian Li","non-dropping-particle":"","parse-names":false,"suffix":""},{"dropping-particle":"","family":"Koh","given":"Liang Piu","non-dropping-particle":"","parse-names":false,"suffix":""},{"dropping-particle":"","family":"Lee","given":"Joanne","non-dropping-particle":"","parse-names":false,"suffix":""},{"dropping-particle":"","family":"Mel","given":"Sanjay","non-dropping-particle":"De","parse-names":false,"suffix":""},{"dropping-particle":"","family":"Jeyasekharan","given":"Anand","non-dropping-particle":"","parse-names":false,"suffix":""},{"dropping-particle":"","family":"Liu","given":"Xin","non-dropping-particle":"","parse-names":false,"suffix":""},{"dropping-particle":"","family":"Tang","given":"Tiffany","non-dropping-particle":"","parse-names":false,"suffix":""},{"dropping-particle":"","family":"Lim","given":"Soon Thye","non-dropping-particle":"","parse-names":false,"suffix":""},{"dropping-particle":"","family":"Tao","given":"Miriam","non-dropping-particle":"","parse-names":false,"suffix":""},{"dropping-particle":"","family":"Quek","given":"Richard","non-dropping-particle":"","parse-names":false,"suffix":""},{"dropping-particle":"","family":"Farid Bin Harunal Ras","given":"Mohamad","non-dropping-particle":"","parse-names":false,"suffix":""},{"dropping-particle":"","family":"Lee","given":"Yuh Shan","non-dropping-particle":"","parse-names":false,"suffix":""},{"dropping-particle":"","family":"Diong","given":"Colin","non-dropping-particle":"","parse-names":false,"suffix":""},{"dropping-particle":"","family":"Tan","given":"Daryl","non-dropping-particle":"","parse-names":false,"suffix":""},{"dropping-particle":"","family":"Kim","given":"Seok Jin","non-dropping-particle":"","parse-names":false,"suffix":""},{"dropping-particle":"","family":"Chee","given":"Yen Lin","non-dropping-particle":"","parse-names":false,"suffix":""},{"dropping-particle":"","family":"Poon","given":"Li Mei Michelle","non-dropping-particle":"","parse-names":false,"suffix":""}],"container-title":"Cancer Medicine","id":"ITEM-5","issue":"10","issued":{"date-parts":[["2019","8"]]},"page":"4626-4632","publisher":"Blackwell Publishing Ltd","title":"Real world experience of R-CHOP with or without consolidative radiotherapy vs DA-EPOCH-R in the first-line treatment of primary mediastinal B-cell lymphoma","type":"article-journal","volume":"8"},"uris":["http://www.mendeley.com/documents/?uuid=763b4824-ca36-31a1-ba2b-44186d6ea483"]},{"id":"ITEM-6","itemData":{"author":[{"dropping-particle":"","family":"Мангасарова","given":"Я.К.","non-dropping-particle":"","parse-names":false,"suffix":""},{"dropping-particle":"","family":"Магомедова","given":"А.У.","non-dropping-particle":"","parse-names":false,"suffix":""},{"dropping-particle":"","family":"Ковригина","given":"А.М.","non-dropping-particle":"","parse-names":false,"suffix":""},{"dropping-particle":"","family":"Костина","given":"И.Э.","non-dropping-particle":"","parse-names":false,"suffix":""},{"dropping-particle":"","family":"Нестерова","given":"Е.С.","non-dropping-particle":"","parse-names":false,"suffix":""},{"dropping-particle":"","family":"Горенкова","given":"Л.Г.","non-dropping-particle":"","parse-names":false,"suffix":""},{"dropping-particle":"","family":"Мисюрина","given":"А.Е.","non-dropping-particle":"","parse-names":false,"suffix":""},{"dropping-particle":"","family":"Марголин","given":"О.В.","non-dropping-particle":"","parse-names":false,"suffix":""},{"dropping-particle":"","family":"Кравченко","given":"С.К.","non-dropping-particle":"","parse-names":false,"suffix":""}],"container-title":"Клиническая онкогематология","id":"ITEM-6","issue":"3","issued":{"date-parts":[["2018"]]},"page":"220-226","title":"Первичная медиастинальная (тимическая) В-крупноклеточная лимфома: диагностика отдаленных экстрамедиастинальных поражений и возможности лечения","type":"article-journal","volume":"11"},"uris":["http://www.mendeley.com/documents/?uuid=80d180ed-4e73-48d0-83aa-df76d0de3f6c"]},{"id":"ITEM-7","itemData":{"DOI":"10.3109/10428190903216796","ISSN":"10428194","abstract":"Young patients (aged 1860 years) with good-prognosis diffuse large B-cell lymphoma (DLBCL) [0 and 1 risk factor according to age-adjusted international prognostic index (aa-IPI)] are distinguished from patients with poor-prognosis. Six cycles of cyclophosphamide, doxorubicin, vincristine, prednisone (CHOP) in combination with rituximab achieved best results in young patients with low-risk DLBCL. We retrospectively analyzed the data of 82 patients (1860 years) with untreated aa-IPI 01 DLBCL, from six Italian institutions, who underwent, between January 2002 and January 2007, rituximab-cyclophosphamide, doxorubicin, vincristine, methotrexate, bleomicin and prednisone (R-MACOP-B) therapy followed, in patients with bulky presentation, by 3036 Gy involved-field radiation therapy (34 patients). An overall response rate was noted in 77 out of 82 (94) patients (75 patients had a complete response (91), 2 patients had a partial response). With a median follow-up of 46 months, 7-year progression-free and overall survival were estimated to be 91 and 94, respectively. R-MACOP-B regimen followed by involved-field radiation on bulky presentation is safe and very effective in the treatment of young patients with low-risk DLBCL. © 2009 Informa Healthcare USA, Inc.","author":[{"dropping-particle":"","family":"Derenzini","given":"Enrico","non-dropping-particle":"","parse-names":false,"suffix":""},{"dropping-particle":"","family":"Stefoni","given":"Vittorio","non-dropping-particle":"","parse-names":false,"suffix":""},{"dropping-particle":"","family":"Pellegrini","given":"Cinzia","non-dropping-particle":"","parse-names":false,"suffix":""},{"dropping-particle":"","family":"Fina","given":"Maria Paola","non-dropping-particle":"","parse-names":false,"suffix":""},{"dropping-particle":"","family":"Broccoli","given":"Alessandro","non-dropping-particle":"","parse-names":false,"suffix":""},{"dropping-particle":"","family":"Venturini","given":"Filippo","non-dropping-particle":"","parse-names":false,"suffix":""},{"dropping-particle":"","family":"Gandolfi","given":"Letizia","non-dropping-particle":"","parse-names":false,"suffix":""},{"dropping-particle":"","family":"Pileri","given":"Stefano A.","non-dropping-particle":"","parse-names":false,"suffix":""},{"dropping-particle":"","family":"Martelli","given":"Maurizio","non-dropping-particle":"","parse-names":false,"suffix":""},{"dropping-particle":"","family":"Petti","given":"Maria Concetta","non-dropping-particle":"","parse-names":false,"suffix":""},{"dropping-particle":"","family":"Perrotti","given":"Alessio","non-dropping-particle":"","parse-names":false,"suffix":""},{"dropping-particle":"","family":"Renzo","given":"Amalia","non-dropping-particle":"De","parse-names":false,"suffix":""},{"dropping-particle":"","family":"Zaja","given":"Francesco","non-dropping-particle":"","parse-names":false,"suffix":""},{"dropping-particle":"","family":"Baccarani","given":"Michele","non-dropping-particle":"","parse-names":false,"suffix":""},{"dropping-particle":"","family":"Zinzani","given":"Pier Luigi","non-dropping-particle":"","parse-names":false,"suffix":""}],"container-title":"Leukemia and Lymphoma","id":"ITEM-7","issue":"11","issued":{"date-parts":[["2009","11"]]},"page":"1824-1829","publisher":"Taylor &amp; Francis","title":"Cyclophosphamide, doxorubicin, vincristine, methotrexate, bleomicin and prednisone plus rituximab in untreated young patients with low-risk (age-adjusted international prognostic index 01) diffuse large B-cell lymphoma","type":"article-journal","volume":"50"},"uris":["http://www.mendeley.com/documents/?uuid=951e19d5-4af0-3134-80eb-a4949fbd2f5c"]}],"mendeley":{"formattedCitation":"[86–92]","plainTextFormattedCitation":"[86–92]","previouslyFormattedCitation":"[86–92]"},"properties":{"noteIndex":0},"schema":"https://github.com/citation-style-language/schema/raw/master/csl-citation.json"}</w:instrText>
      </w:r>
      <w:r w:rsidRPr="000322E4">
        <w:fldChar w:fldCharType="separate"/>
      </w:r>
      <w:r w:rsidR="009D170B" w:rsidRPr="009D170B">
        <w:rPr>
          <w:noProof/>
        </w:rPr>
        <w:t>[86–92]</w:t>
      </w:r>
      <w:r w:rsidRPr="000322E4">
        <w:fldChar w:fldCharType="end"/>
      </w:r>
      <w:r w:rsidRPr="000322E4">
        <w:t>:</w:t>
      </w:r>
    </w:p>
    <w:p w14:paraId="3E7719D4" w14:textId="77777777" w:rsidR="00210FA0" w:rsidRPr="000322E4" w:rsidRDefault="00210FA0" w:rsidP="009D170B">
      <w:pPr>
        <w:pStyle w:val="afe"/>
        <w:numPr>
          <w:ilvl w:val="1"/>
          <w:numId w:val="9"/>
        </w:numPr>
        <w:ind w:left="1134"/>
      </w:pPr>
      <w:r w:rsidRPr="000322E4">
        <w:rPr>
          <w:lang w:val="en-US"/>
        </w:rPr>
        <w:t>DA</w:t>
      </w:r>
      <w:r w:rsidRPr="000322E4">
        <w:t>-</w:t>
      </w:r>
      <w:r w:rsidRPr="000322E4">
        <w:rPr>
          <w:lang w:val="en-US"/>
        </w:rPr>
        <w:t>EPOCH</w:t>
      </w:r>
      <w:r w:rsidRPr="000322E4">
        <w:t>-</w:t>
      </w:r>
      <w:r w:rsidRPr="000322E4">
        <w:rPr>
          <w:lang w:val="en-US"/>
        </w:rPr>
        <w:t>R</w:t>
      </w:r>
    </w:p>
    <w:p w14:paraId="7A26A1F2" w14:textId="77777777" w:rsidR="00C36E4E" w:rsidRPr="000322E4" w:rsidRDefault="00210FA0" w:rsidP="009D170B">
      <w:pPr>
        <w:pStyle w:val="afe"/>
        <w:numPr>
          <w:ilvl w:val="1"/>
          <w:numId w:val="9"/>
        </w:numPr>
        <w:ind w:left="1134"/>
      </w:pPr>
      <w:r w:rsidRPr="000322E4">
        <w:rPr>
          <w:lang w:val="en-US"/>
        </w:rPr>
        <w:t>R</w:t>
      </w:r>
      <w:r w:rsidRPr="000322E4">
        <w:t>-</w:t>
      </w:r>
      <w:r w:rsidRPr="000322E4">
        <w:rPr>
          <w:lang w:val="en-US"/>
        </w:rPr>
        <w:t>MACOP</w:t>
      </w:r>
      <w:r w:rsidRPr="000322E4">
        <w:t>-</w:t>
      </w:r>
      <w:r w:rsidRPr="000322E4">
        <w:rPr>
          <w:lang w:val="en-US"/>
        </w:rPr>
        <w:t>B</w:t>
      </w:r>
    </w:p>
    <w:p w14:paraId="371FA924" w14:textId="77777777" w:rsidR="00210FA0" w:rsidRPr="000322E4" w:rsidRDefault="00C36E4E" w:rsidP="009D170B">
      <w:pPr>
        <w:pStyle w:val="afe"/>
        <w:numPr>
          <w:ilvl w:val="1"/>
          <w:numId w:val="9"/>
        </w:numPr>
        <w:ind w:left="1134"/>
      </w:pPr>
      <w:r w:rsidRPr="000322E4">
        <w:rPr>
          <w:lang w:val="en-US"/>
        </w:rPr>
        <w:t>R</w:t>
      </w:r>
      <w:r w:rsidR="00210FA0" w:rsidRPr="000322E4">
        <w:t>-</w:t>
      </w:r>
      <w:r w:rsidR="00210FA0" w:rsidRPr="000322E4">
        <w:rPr>
          <w:lang w:val="en-US"/>
        </w:rPr>
        <w:t>CHOP</w:t>
      </w:r>
    </w:p>
    <w:p w14:paraId="54A89707" w14:textId="77777777" w:rsidR="00210FA0" w:rsidRPr="000322E4" w:rsidRDefault="00210FA0" w:rsidP="008A40EA">
      <w:pPr>
        <w:spacing w:line="360" w:lineRule="auto"/>
        <w:ind w:left="709"/>
        <w:contextualSpacing/>
        <w:jc w:val="both"/>
        <w:rPr>
          <w:b/>
        </w:rPr>
      </w:pPr>
      <w:r w:rsidRPr="000322E4">
        <w:rPr>
          <w:b/>
        </w:rPr>
        <w:t xml:space="preserve">Уровень убедительности рекомендаций </w:t>
      </w:r>
      <w:r w:rsidR="00834102" w:rsidRPr="000322E4">
        <w:rPr>
          <w:b/>
          <w:lang w:val="en-US"/>
        </w:rPr>
        <w:t>C</w:t>
      </w:r>
      <w:r w:rsidR="00834102" w:rsidRPr="000322E4">
        <w:rPr>
          <w:b/>
        </w:rPr>
        <w:t xml:space="preserve"> </w:t>
      </w:r>
      <w:r w:rsidRPr="000322E4">
        <w:rPr>
          <w:b/>
        </w:rPr>
        <w:t xml:space="preserve">(уровень достоверности доказательств </w:t>
      </w:r>
      <w:r w:rsidR="00834102" w:rsidRPr="000322E4">
        <w:rPr>
          <w:b/>
        </w:rPr>
        <w:t>4</w:t>
      </w:r>
      <w:r w:rsidRPr="000322E4">
        <w:rPr>
          <w:b/>
        </w:rPr>
        <w:t>).</w:t>
      </w:r>
    </w:p>
    <w:p w14:paraId="62B6D649" w14:textId="77777777" w:rsidR="00210FA0" w:rsidRPr="000322E4" w:rsidRDefault="00210FA0" w:rsidP="009D170B">
      <w:pPr>
        <w:spacing w:line="360" w:lineRule="auto"/>
        <w:ind w:firstLine="709"/>
        <w:contextualSpacing/>
        <w:jc w:val="both"/>
        <w:rPr>
          <w:i/>
        </w:rPr>
      </w:pPr>
      <w:r w:rsidRPr="000322E4">
        <w:rPr>
          <w:b/>
        </w:rPr>
        <w:t>Комментарий:</w:t>
      </w:r>
      <w:r w:rsidRPr="000322E4">
        <w:rPr>
          <w:bCs/>
        </w:rPr>
        <w:t xml:space="preserve"> </w:t>
      </w:r>
      <w:r w:rsidR="002A607D" w:rsidRPr="000322E4">
        <w:rPr>
          <w:i/>
        </w:rPr>
        <w:t xml:space="preserve">эффективность и преимущества в достижении противоопухолевого ответа, показателей ВБП и ОВ режимов R-MACOP-B и R-DA-EPOCH над режимом </w:t>
      </w:r>
      <w:r w:rsidR="002A607D" w:rsidRPr="000322E4">
        <w:rPr>
          <w:i/>
          <w:lang w:val="en-US"/>
        </w:rPr>
        <w:t>R</w:t>
      </w:r>
      <w:r w:rsidR="002A607D" w:rsidRPr="000322E4">
        <w:rPr>
          <w:i/>
        </w:rPr>
        <w:t>-</w:t>
      </w:r>
      <w:r w:rsidR="002A607D" w:rsidRPr="000322E4">
        <w:rPr>
          <w:i/>
          <w:lang w:val="en-US"/>
        </w:rPr>
        <w:t>CHOP</w:t>
      </w:r>
      <w:r w:rsidR="002A607D" w:rsidRPr="000322E4">
        <w:rPr>
          <w:i/>
        </w:rPr>
        <w:t xml:space="preserve"> продемонстрированы в нескольких международных и отечественных проспективных и ретроспективных исследованиях. Программа R-MACOP-B рассчитана для использования в условиях дневного стационара.</w:t>
      </w:r>
    </w:p>
    <w:p w14:paraId="1B479A32" w14:textId="1194FA4F" w:rsidR="002A607D" w:rsidRPr="000322E4" w:rsidRDefault="002A607D" w:rsidP="008A40EA">
      <w:pPr>
        <w:pStyle w:val="afff8"/>
        <w:spacing w:before="0"/>
      </w:pPr>
      <w:r w:rsidRPr="000322E4">
        <w:t xml:space="preserve">Пациентам с установленным диагнозом ПМВКЛ с исходным массивным поражением средостения </w:t>
      </w:r>
      <w:r w:rsidR="009375D9" w:rsidRPr="000322E4">
        <w:t xml:space="preserve">в случае достижения ремиссии после индукционной химиотерапии </w:t>
      </w:r>
      <w:r w:rsidRPr="000322E4">
        <w:rPr>
          <w:b/>
        </w:rPr>
        <w:t xml:space="preserve">рекомендовано </w:t>
      </w:r>
      <w:r w:rsidRPr="000322E4">
        <w:rPr>
          <w:bCs/>
        </w:rPr>
        <w:t>проведение</w:t>
      </w:r>
      <w:r w:rsidRPr="000322E4">
        <w:t xml:space="preserve"> консолидирующей</w:t>
      </w:r>
      <w:r w:rsidR="00260AFA" w:rsidRPr="000322E4">
        <w:t xml:space="preserve"> дистанционной</w:t>
      </w:r>
      <w:r w:rsidRPr="000322E4">
        <w:t xml:space="preserve"> лучевой терапии на средостение</w:t>
      </w:r>
      <w:r w:rsidR="009375D9" w:rsidRPr="000322E4">
        <w:t xml:space="preserve"> СОД 30 Гр, РОД 1,8-2,0 Гр, при сохранении остаточной опухоли в средостении – с добавлением «буста» СОД 6-10 Гр на остаточную опухоль</w:t>
      </w:r>
      <w:r w:rsidRPr="000322E4">
        <w:t xml:space="preserve"> </w:t>
      </w:r>
      <w:r w:rsidRPr="000322E4">
        <w:fldChar w:fldCharType="begin" w:fldLock="1"/>
      </w:r>
      <w:r w:rsidR="00021E2A">
        <w:instrText>ADDIN CSL_CITATION {"citationItems":[{"id":"ITEM-1","itemData":{"DOI":"10.3816/CLM.2009.n.074","ISSN":"15579190","abstract":"Background: Third-generation regimens (MACOP-B [methotrexate/leucovorin (LV)/doxorubicin/cyclophosphamide/vincristine/ prednisone/bleomycin] or VACOP-B [etoposide/LV/doxorubicin/cyclophosphamide/vincristine/prednisone/bleomycin]) in combination with local radiation therapy seem to improve lymphoma-free survival of primary mediastinal large B-cell lymphoma (PMLBCL). Recently, the superiority of R-CHOP (rituximab plus cyclophosphamide/doxorubicin/vincristine/ prednisone) over CHOP-like regimens has been demonstrated in elderly and younger patients with low-risk diffuse large B-cell lymphoma. Patients and Methods: Retrospectively, between February 2002 and July 2006, 45 previously untreated patients with PMLBCL were treated with a combination of a third-generation chemotherapy regimen (MACOP-B or VACOP-B), concurrent rituximab, and mediastinal radiation therapy. Results: Twenty-six (62%) patients achieved a complete response (CR), and 15 (36%) obtained a partial response after MACOP-B/VACOP-B plus rituximab. After radiation therapy, the CR rate was 80%. At a median follow-up of 28 months, among the 34 patients who obtained a CR, 3 relapsed after 16, 19, and 22 months, respectively. Projected overall survival was 80% at 5 years; the relapse-free survival (RFS) curve of the 34 patients who achieved CR was 88% at 5 years. Conclusion: In this retrospective study, in patients with PMLBCL, combined-modality treatment using the MACOP-B/VACOP-B regimen plus rituximab induces a high remission rate, with patients having a &gt; 80% chance of surviving relapse free at 5 years. In comparison with historical data on MACOP-B/VACOP-B without rituximab, there are no statistically significant differences in terms of CR and RFS rates.","author":[{"dropping-particle":"","family":"Zinzani","given":"Pier Luigi","non-dropping-particle":"","parse-names":false,"suffix":""},{"dropping-particle":"","family":"Stefoni","given":"Vittorio","non-dropping-particle":"","parse-names":false,"suffix":""},{"dropping-particle":"","family":"Finolezzi","given":"Erica","non-dropping-particle":"","parse-names":false,"suffix":""},{"dropping-particle":"","family":"Brusamolino","given":"Ercole","non-dropping-particle":"","parse-names":false,"suffix":""},{"dropping-particle":"","family":"Cabras","given":"Maria Giuseppina","non-dropping-particle":"","parse-names":false,"suffix":""},{"dropping-particle":"","family":"Chiappella","given":"Annalisa","non-dropping-particle":"","parse-names":false,"suffix":""},{"dropping-particle":"","family":"Salvi","given":"Flavia","non-dropping-particle":"","parse-names":false,"suffix":""},{"dropping-particle":"","family":"Rossi","given":"Andrea","non-dropping-particle":"","parse-names":false,"suffix":""},{"dropping-particle":"","family":"Broccoli","given":"Alessandro","non-dropping-particle":"","parse-names":false,"suffix":""},{"dropping-particle":"","family":"Martelli","given":"Maurizio","non-dropping-particle":"","parse-names":false,"suffix":""}],"container-title":"Clinical Lymphoma and Myeloma","id":"ITEM-1","issue":"5","issued":{"date-parts":[["2009","10","1"]]},"page":"381-385","publisher":"Cancer Information Group, LP","title":"Rituximab combined with MACOP-B or VACOP-B and radiation therapy in primary mediastinal large B-cell lymphoma: A retrospective study","type":"article-journal","volume":"9"},"uris":["http://www.mendeley.com/documents/?uuid=a12eb4c5-b379-3abf-9bab-bdd4fd30fd75"]},{"id":"ITEM-2","itemData":{"author":[{"dropping-particle":"","family":"Вернюк","given":"М.А.","non-dropping-particle":"","parse-names":false,"suffix":""},{"dropping-particle":"","family":"Тюрина","given":"Н.Г.","non-dropping-particle":"","parse-names":false,"suffix":""},{"dropping-particle":"","family":"Павлова","given":"О.А.","non-dropping-particle":"","parse-names":false,"suffix":""},{"dropping-particle":"","family":"Червонцева","given":"А.М.","non-dropping-particle":"","parse-names":false,"suffix":""},{"dropping-particle":"","family":"Жуков","given":"Н.В.","non-dropping-particle":"","parse-names":false,"suffix":""}],"container-title":"Онкогематология","id":"ITEM-2","issued":{"date-parts":[["2013"]]},"page":"18-23","title":"Опыт лечения первичной медиастинальной В-крупноклеточной лимфомы","type":"article-journal","volume":"4"},"uris":["http://www.mendeley.com/documents/?uuid=ba22f72c-afee-41ab-a4fe-c98c71096551"]},{"id":"ITEM-3","itemData":{"author":[{"dropping-particle":"","family":"Тумян","given":"Г.С.","non-dropping-particle":"","parse-names":false,"suffix":""}],"container-title":"Современная онкология","id":"ITEM-3","issue":"3","issued":{"date-parts":[["2008"]]},"page":"66-68","title":"Первичная медиастинальная В-крупноклеточная лимфома: диагностика, клиническая картина и лечение","type":"article-journal","volume":"10"},"uris":["http://www.mendeley.com/documents/?uuid=1ecdd8f8-1b2f-4452-b7b0-134663b7c18f"]},{"id":"ITEM-4","itemData":{"DOI":"10.1056/NEJMoa1214561","ISSN":"15334406","abstract":"BACKGROUND: Primary mediastinal B-cell lymphoma is a distinct subtype of diffuse large-B-cell lymphoma that is closely related to nodular sclerosing Hodgkin's lymphoma. Patients are usually young and present with large mediastinal masses. There is no standard treatment, but the inadequacy of immunochemotherapy alone has resulted in routine consolidation with mediastinal radiotherapy, which has potentially serious late effects. We aimed to develop a strategy that improves the rate of cure and obviates the need for radiotherapy. METHODS: We conducted a single-group, phase 2, prospective study of infusional dose-adjusted etoposide, doxorubicin, and cyclophosphamide with vincristine, prednisone, and rituximab (DA-EPOCH-R) and filgrastim without radiotherapy in 51 patients with untreated primary mediastinal B-cell lymphoma. We used results from a retrospective study of DA-EPOCH-R from another center to independently verify the outcomes. RESULTS: The patients had a median age of 30 years (range, 19 to 52) and a median tumor diameter of 11 cm; 59% were women. During a median of 5 years of follow-up, the event-free survival rate was 93%, and the overall survival rate was 97%. Among the 16 patients who were involved in the retrospective analysis at another center, over a median of 3 years of follow-up, the event-free survival rate was 100%, and no patients received radiotherapy. No late morbidity or cardiac toxic effects were found in any patients. After follow-up ranging from 10 months to 14 years, all but 2 of the 51 patients (4%) who received DA-EPOCH-R alone were in complete remission. The 2 remaining patients received radiotherapy and were disease-free at follow-up. CONCLUSIONS: Therapy with DA-EPOCH-R obviated the need for radiotherapy in patients with primary mediastinal B-cell lymphoma. (Funded by the National Cancer Institute; ClinicalTrials.gov number, NCT00001337.) Copyright © 2013 Massachusetts Medical Society.","author":[{"dropping-particle":"","family":"Dunleavy","given":"Kieron","non-dropping-particle":"","parse-names":false,"suffix":""},{"dropping-particle":"","family":"Pittaluga","given":"Stefania","non-dropping-particle":"","parse-names":false,"suffix":""},{"dropping-particle":"","family":"Maeda","given":"Lauren S.","non-dropping-particle":"","parse-names":false,"suffix":""},{"dropping-particle":"","family":"Advani","given":"Ranjana","non-dropping-particle":"","parse-names":false,"suffix":""},{"dropping-particle":"","family":"Chen","given":"Clara C.","non-dropping-particle":"","parse-names":false,"suffix":""},{"dropping-particle":"","family":"Hessler","given":"Julie","non-dropping-particle":"","parse-names":false,"suffix":""},{"dropping-particle":"","family":"Steinberg","given":"Seth M.","non-dropping-particle":"","parse-names":false,"suffix":""},{"dropping-particle":"","family":"Grant","given":"Cliona","non-dropping-particle":"","parse-names":false,"suffix":""},{"dropping-particle":"","family":"Wright","given":"George","non-dropping-particle":"","parse-names":false,"suffix":""},{"dropping-particle":"","family":"Varma","given":"Gaurav","non-dropping-particle":"","parse-names":false,"suffix":""},{"dropping-particle":"","family":"Staudt","given":"Louis M.","non-dropping-particle":"","parse-names":false,"suffix":""},{"dropping-particle":"","family":"Jaffe","given":"Elaine S.","non-dropping-particle":"","parse-names":false,"suffix":""},{"dropping-particle":"","family":"Wilson","given":"Wyndham H.","non-dropping-particle":"","parse-names":false,"suffix":""}],"container-title":"New England Journal of Medicine","id":"ITEM-4","issue":"15","issued":{"date-parts":[["2013","4","11"]]},"page":"1408-1416","publisher":"Massachussetts Medical Society","title":"Dose-adjusted EPOCH-rituximab therapy in primary mediastinal B-cell lymphoma","type":"article-journal","volume":"368"},"uris":["http://www.mendeley.com/documents/?uuid=ab2bf952-eead-3cc2-82f7-59d922c2fd09"]},{"id":"ITEM-5","itemData":{"DOI":"10.1002/cam4.2347","ISSN":"20457634","abstract":"Primary mediastinal large B-cell lymphoma (PMBCL) is a distinct clinico-pathological subtype of diffuse large B-cell lymphoma with unclear prognostic factors and limited clinical data. Optimal treatment and role for radiotherapy is not fully defined. We performed a multicenter retrospective review of 124 patients with newly diagnosed PMBCL between 2001 and 2016. Treatment regimens were R-CHOP (n = 41), R-CHOP + RT (n = 37), and DA-EPOCH-R (n = 46). 6% (n = 3) in the DA-EPOCH-R group received RT. With a median follow up of 45 months, the overall 5-year OS and PFS was 89.4% and 82.4%, respectively. The type of chemo-radiotherapy regimen, B symptoms and Ann-Arbor staging showed a significant association with OS on univariate analysis but only B symptoms remained prognostic (P = 0.012) after multivariate analysis. The chemo-radiotherapy regimen, Japanese IPI and Ann-Arbor stage was significantly associated with PFS in univariate analysis, but only chemo-radiotherapy regimen remained significant (P = 0.02) after multivariate analysis. Patients who received R-CHOP + RT or DA-EPOCH-R had better PFS than those receiving R-CHOP alone, with 5-year PFS of 90% vs 88.5% vs 56%, respectively (P = 0.02). In the subgroup analysis of patients with bulk (n = 71), R-CHOP alone (n = 21) had inferior 5-year PFS 56.6% compared to those who received R-CHOP + RT (n = 23) 91.3% or DA-EPOCH-R (n = 27) 92.6% (P = 0.007). In contrast, in patients without bulk (n = 42), there was no impact of treatment regimen on PFS (P = 0.25). In conclusion, R-CHOP + RT and DA-EPOCH-R provide excellent outcomes in patients with PMBCL. In patients with bulky disease, the use of DA-EPOCH-R may be preferable as it allows omission of RT without reduction in efficacy.","author":[{"dropping-particle":"","family":"Chan","given":"Esther Hian Li","non-dropping-particle":"","parse-names":false,"suffix":""},{"dropping-particle":"","family":"Koh","given":"Liang Piu","non-dropping-particle":"","parse-names":false,"suffix":""},{"dropping-particle":"","family":"Lee","given":"Joanne","non-dropping-particle":"","parse-names":false,"suffix":""},{"dropping-particle":"","family":"Mel","given":"Sanjay","non-dropping-particle":"De","parse-names":false,"suffix":""},{"dropping-particle":"","family":"Jeyasekharan","given":"Anand","non-dropping-particle":"","parse-names":false,"suffix":""},{"dropping-particle":"","family":"Liu","given":"Xin","non-dropping-particle":"","parse-names":false,"suffix":""},{"dropping-particle":"","family":"Tang","given":"Tiffany","non-dropping-particle":"","parse-names":false,"suffix":""},{"dropping-particle":"","family":"Lim","given":"Soon Thye","non-dropping-particle":"","parse-names":false,"suffix":""},{"dropping-particle":"","family":"Tao","given":"Miriam","non-dropping-particle":"","parse-names":false,"suffix":""},{"dropping-particle":"","family":"Quek","given":"Richard","non-dropping-particle":"","parse-names":false,"suffix":""},{"dropping-particle":"","family":"Farid Bin Harunal Ras","given":"Mohamad","non-dropping-particle":"","parse-names":false,"suffix":""},{"dropping-particle":"","family":"Lee","given":"Yuh Shan","non-dropping-particle":"","parse-names":false,"suffix":""},{"dropping-particle":"","family":"Diong","given":"Colin","non-dropping-particle":"","parse-names":false,"suffix":""},{"dropping-particle":"","family":"Tan","given":"Daryl","non-dropping-particle":"","parse-names":false,"suffix":""},{"dropping-particle":"","family":"Kim","given":"Seok Jin","non-dropping-particle":"","parse-names":false,"suffix":""},{"dropping-particle":"","family":"Chee","given":"Yen Lin","non-dropping-particle":"","parse-names":false,"suffix":""},{"dropping-particle":"","family":"Poon","given":"Li Mei Michelle","non-dropping-particle":"","parse-names":false,"suffix":""}],"container-title":"Cancer Medicine","id":"ITEM-5","issue":"10","issued":{"date-parts":[["2019","8"]]},"page":"4626-4632","publisher":"Blackwell Publishing Ltd","title":"Real world experience of R-CHOP with or without consolidative radiotherapy vs DA-EPOCH-R in the first-line treatment of primary mediastinal B-cell lymphoma","type":"article-journal","volume":"8"},"uris":["http://www.mendeley.com/documents/?uuid=763b4824-ca36-31a1-ba2b-44186d6ea483"]},{"id":"ITEM-6","itemData":{"author":[{"dropping-particle":"","family":"Мангасарова","given":"Я.К.","non-dropping-particle":"","parse-names":false,"suffix":""},{"dropping-particle":"","family":"Магомедова","given":"А.У.","non-dropping-particle":"","parse-names":false,"suffix":""},{"dropping-particle":"","family":"Ковригина","given":"А.М.","non-dropping-particle":"","parse-names":false,"suffix":""},{"dropping-particle":"","family":"Костина","given":"И.Э.","non-dropping-particle":"","parse-names":false,"suffix":""},{"dropping-particle":"","family":"Нестерова","given":"Е.С.","non-dropping-particle":"","parse-names":false,"suffix":""},{"dropping-particle":"","family":"Горенкова","given":"Л.Г.","non-dropping-particle":"","parse-names":false,"suffix":""},{"dropping-particle":"","family":"Мисюрина","given":"А.Е.","non-dropping-particle":"","parse-names":false,"suffix":""},{"dropping-particle":"","family":"Марголин","given":"О.В.","non-dropping-particle":"","parse-names":false,"suffix":""},{"dropping-particle":"","family":"Кравченко","given":"С.К.","non-dropping-particle":"","parse-names":false,"suffix":""}],"container-title":"Клиническая онкогематология","id":"ITEM-6","issue":"3","issued":{"date-parts":[["2018"]]},"page":"220-226","title":"Первичная медиастинальная (тимическая) В-крупноклеточная лимфома: диагностика отдаленных экстрамедиастинальных поражений и возможности лечения","type":"article-journal","volume":"11"},"uris":["http://www.mendeley.com/documents/?uuid=80d180ed-4e73-48d0-83aa-df76d0de3f6c"]}],"mendeley":{"formattedCitation":"[86–91]","plainTextFormattedCitation":"[86–91]","previouslyFormattedCitation":"[86–91]"},"properties":{"noteIndex":0},"schema":"https://github.com/citation-style-language/schema/raw/master/csl-citation.json"}</w:instrText>
      </w:r>
      <w:r w:rsidRPr="000322E4">
        <w:fldChar w:fldCharType="separate"/>
      </w:r>
      <w:r w:rsidR="009D170B" w:rsidRPr="009D170B">
        <w:rPr>
          <w:noProof/>
        </w:rPr>
        <w:t>[86–91]</w:t>
      </w:r>
      <w:r w:rsidRPr="000322E4">
        <w:fldChar w:fldCharType="end"/>
      </w:r>
      <w:r w:rsidRPr="000322E4">
        <w:t>.</w:t>
      </w:r>
    </w:p>
    <w:p w14:paraId="24F32451" w14:textId="6282735F" w:rsidR="002A607D" w:rsidRDefault="002A607D" w:rsidP="008A40EA">
      <w:pPr>
        <w:spacing w:line="360" w:lineRule="auto"/>
        <w:ind w:left="709"/>
        <w:contextualSpacing/>
        <w:jc w:val="both"/>
        <w:rPr>
          <w:b/>
        </w:rPr>
      </w:pPr>
      <w:r w:rsidRPr="000322E4">
        <w:rPr>
          <w:b/>
        </w:rPr>
        <w:t xml:space="preserve">Уровень убедительности рекомендаций </w:t>
      </w:r>
      <w:r w:rsidR="00834102" w:rsidRPr="000322E4">
        <w:rPr>
          <w:b/>
          <w:lang w:val="en-US"/>
        </w:rPr>
        <w:t>C</w:t>
      </w:r>
      <w:r w:rsidR="00834102" w:rsidRPr="000322E4">
        <w:rPr>
          <w:b/>
        </w:rPr>
        <w:t xml:space="preserve"> </w:t>
      </w:r>
      <w:r w:rsidRPr="000322E4">
        <w:rPr>
          <w:b/>
        </w:rPr>
        <w:t xml:space="preserve">(уровень достоверности доказательств </w:t>
      </w:r>
      <w:r w:rsidR="00834102" w:rsidRPr="000322E4">
        <w:rPr>
          <w:b/>
        </w:rPr>
        <w:t>4</w:t>
      </w:r>
      <w:r w:rsidRPr="000322E4">
        <w:rPr>
          <w:b/>
        </w:rPr>
        <w:t>).</w:t>
      </w:r>
    </w:p>
    <w:p w14:paraId="4190DFC0" w14:textId="77777777" w:rsidR="00CD0151" w:rsidRPr="000322E4" w:rsidRDefault="00CD0151" w:rsidP="008A40EA">
      <w:pPr>
        <w:spacing w:line="360" w:lineRule="auto"/>
        <w:ind w:left="709"/>
        <w:contextualSpacing/>
        <w:jc w:val="both"/>
        <w:rPr>
          <w:b/>
        </w:rPr>
      </w:pPr>
    </w:p>
    <w:p w14:paraId="1EC4FB17" w14:textId="77777777" w:rsidR="002A607D" w:rsidRPr="000322E4" w:rsidRDefault="002A607D" w:rsidP="008A40EA">
      <w:pPr>
        <w:pStyle w:val="2"/>
        <w:spacing w:before="0"/>
        <w:contextualSpacing/>
      </w:pPr>
      <w:bookmarkStart w:id="40" w:name="_Toc96601243"/>
      <w:r w:rsidRPr="000322E4">
        <w:t>3.</w:t>
      </w:r>
      <w:r w:rsidR="00260AFA" w:rsidRPr="000322E4">
        <w:t>3</w:t>
      </w:r>
      <w:r w:rsidRPr="000322E4">
        <w:t xml:space="preserve"> </w:t>
      </w:r>
      <w:r w:rsidR="00716437" w:rsidRPr="000322E4">
        <w:t>Лечение первичной лимфомы ЦНС (ПЛЦНС)</w:t>
      </w:r>
      <w:bookmarkEnd w:id="40"/>
    </w:p>
    <w:p w14:paraId="05E155A9" w14:textId="18DD7561" w:rsidR="00716437" w:rsidRPr="000322E4" w:rsidRDefault="00716437" w:rsidP="008A40EA">
      <w:pPr>
        <w:pStyle w:val="afff8"/>
        <w:spacing w:before="0"/>
      </w:pPr>
      <w:r w:rsidRPr="000322E4">
        <w:t xml:space="preserve">Пациентам с впервые верифицированной ПЛЦНС </w:t>
      </w:r>
      <w:r w:rsidRPr="000322E4">
        <w:rPr>
          <w:b/>
        </w:rPr>
        <w:t xml:space="preserve">рекомендовано </w:t>
      </w:r>
      <w:r w:rsidR="00101F95" w:rsidRPr="000322E4">
        <w:t>лечени</w:t>
      </w:r>
      <w:r w:rsidR="00A6186F" w:rsidRPr="000322E4">
        <w:t>е</w:t>
      </w:r>
      <w:r w:rsidR="00101F95" w:rsidRPr="000322E4">
        <w:t xml:space="preserve"> с включением высоких доз метотрексата** (≥3000 мг/м</w:t>
      </w:r>
      <w:r w:rsidR="00101F95" w:rsidRPr="000322E4">
        <w:rPr>
          <w:vertAlign w:val="superscript"/>
        </w:rPr>
        <w:t>2</w:t>
      </w:r>
      <w:r w:rsidR="00101F95" w:rsidRPr="000322E4">
        <w:t xml:space="preserve">)  </w:t>
      </w:r>
      <w:r w:rsidRPr="000322E4">
        <w:t>(см. приложение А3.1)</w:t>
      </w:r>
      <w:r w:rsidR="00101F95" w:rsidRPr="000322E4">
        <w:t xml:space="preserve"> </w:t>
      </w:r>
      <w:r w:rsidRPr="000322E4">
        <w:rPr>
          <w:b/>
        </w:rPr>
        <w:t xml:space="preserve"> </w:t>
      </w:r>
      <w:r w:rsidRPr="000322E4">
        <w:fldChar w:fldCharType="begin" w:fldLock="1"/>
      </w:r>
      <w:r w:rsidR="00021E2A">
        <w:instrText>ADDIN CSL_CITATION {"citationItems":[{"id":"ITEM-1","itemData":{"DOI":"10.1016/S1470-2045(10)70229-1","ISSN":"14702045","abstract":"Background: High-dose methotrexate is the standard of care for patients with newly diagnosed primary CNS lymphoma. The role of whole brain radiotherapy is controversial because delayed neurotoxicity limits its acceptance as a standard of care. We aimed to investigate whether first-line chemotherapy based on high-dose methotrexate was non-inferior to the same chemotherapy regimen followed by whole brain radiotherapy for overall survival. Methods: Immunocompetent patients with newly diagnosed primary CNS lymphoma were enrolled from 75 centres and treated between May, 2000, and May, 2009. Patients were allocated by computer-generated block randomisation to receive first-line chemotherapy based on high-dose methotrexate with or without subsequent whole brain radiotherapy, with stratification by age (&lt;60 vs ≥60 years) and institution (Berlin vs Tübingen vs all other sites). The biostatistics centre assigned patients to treatment groups and informed local centres by fax; physicians and patients were not masked to treatment group after assignment. Patients enrolled between May, 2000, and August, 2006, received high-dose methotrexate (4 g/m2) on day 1 of six 14-day cycles; thereafter, patients received high-dose methotrexate plus ifosfamide (1·5 g/m2) on days 3-5 of six 14-day cycles. In those assigned to receive first-line chemotherapy followed by radiotherapy, whole brain radiotherapy was given to a total dose of 45 Gy, in 30 fractions of 1·5 Gy given daily on weekdays. Patients allocated to first-line chemotherapy without whole brain radiotherapy who had not achieved complete response were given high-dose cytarabine. The primary endpoint was overall survival, and analysis was per protocol. Our hypothesis was that the omission of whole brain radiotherapy does not compromise overall survival, with a non-inferiority margin of 0·9. This trial is registered with ClinicalTrials.gov, number NCT00153530. Findings: 551 patients (median age 63 years, IQR 55-69) were enrolled and randomised, of whom 318 were treated per protocol. In the per-protocol population, median overall survival was 32·4 months (95% CI 25·8-39·0) in patients receiving whole brain radiotherapy (n=154), and 37·1 months (27·5-46·7) in those not receiving whole brain radiotherapy (n=164), hazard ratio 1·06 (95% CI 0·80-1·40; p=0·71). Thus our primary hypothesis was not proven. Median progression-free survival was 18·3 months (95% CI 11·6-25·0) in patients receiving whole brain radiotherapy, and 11·9 …","author":[{"dropping-particle":"","family":"Thiel","given":"Eckhard","non-dropping-particle":"","parse-names":false,"suffix":""},{"dropping-particle":"","family":"Korfel","given":"Agnieszka","non-dropping-particle":"","parse-names":false,"suffix":""},{"dropping-particle":"","family":"Martus","given":"Peter","non-dropping-particle":"","parse-names":false,"suffix":""},{"dropping-particle":"","family":"Kanz","given":"Lothar","non-dropping-particle":"","parse-names":false,"suffix":""},{"dropping-particle":"","family":"Griesinger","given":"Frank","non-dropping-particle":"","parse-names":false,"suffix":""},{"dropping-particle":"","family":"Rauch","given":"Michael","non-dropping-particle":"","parse-names":false,"suffix":""},{"dropping-particle":"","family":"Röth","given":"Alexander","non-dropping-particle":"","parse-names":false,"suffix":""},{"dropping-particle":"","family":"Hertenstein","given":"Bernd","non-dropping-particle":"","parse-names":false,"suffix":""},{"dropping-particle":"","family":"Toll","given":"Theda","non-dropping-particle":"von","parse-names":false,"suffix":""},{"dropping-particle":"","family":"Hundsberger","given":"Thomas","non-dropping-particle":"","parse-names":false,"suffix":""},{"dropping-particle":"","family":"Mergenthaler","given":"Hans Günther","non-dropping-particle":"","parse-names":false,"suffix":""},{"dropping-particle":"","family":"Leithäuser","given":"Malte","non-dropping-particle":"","parse-names":false,"suffix":""},{"dropping-particle":"","family":"Birnbaum","given":"Tobias","non-dropping-particle":"","parse-names":false,"suffix":""},{"dropping-particle":"","family":"Fischer","given":"Lars","non-dropping-particle":"","parse-names":false,"suffix":""},{"dropping-particle":"","family":"Jahnke","given":"Kristoph","non-dropping-particle":"","parse-names":false,"suffix":""},{"dropping-particle":"","family":"Herrlinger","given":"Ulrich","non-dropping-particle":"","parse-names":false,"suffix":""},{"dropping-particle":"","family":"Plasswilm","given":"Ludwig","non-dropping-particle":"","parse-names":false,"suffix":""},{"dropping-particle":"","family":"Nägele","given":"Thomas","non-dropping-particle":"","parse-names":false,"suffix":""},{"dropping-particle":"","family":"Pietsch","given":"Torsten","non-dropping-particle":"","parse-names":false,"suffix":""},{"dropping-particle":"","family":"Bamberg","given":"Michael","non-dropping-particle":"","parse-names":false,"suffix":""},{"dropping-particle":"","family":"Weller","given":"Michael","non-dropping-particle":"","parse-names":false,"suffix":""}],"container-title":"The Lancet Oncology","id":"ITEM-1","issue":"11","issued":{"date-parts":[["2010","11"]]},"page":"1036-1047","title":"High-dose methotrexate with or without whole brain radiotherapy for primary CNS lymphoma (G-PCNSL-SG-1): a phase 3, randomised, non-inferiority trial","type":"article-journal","volume":"11"},"uris":["http://www.mendeley.com/documents/?uuid=4f8cf043-3a2a-35c6-b4f9-c28df8d2d84a"]},{"id":"ITEM-2","itemData":{"DOI":"10.1016/S0140-6736(09)61416-1","ISSN":"01406736","abstract":"Background: Chemotherapy with high-dose methotrexate is the conventional approach to treat primary CNS lymphomas, but superiority of polychemotherapy compared with high-dose methotrexate alone is unproven. We assessed the effect of adding high-dose cytarabine to methotrexate in patients with newly diagnosed primary CNS lymphoma. Methods: This open, randomised, phase 2 trial was undertaken in 24 centres in six countries. 79 patients with non-Hodgkin lymphoma exclusively localised into the CNS, cranial nerves, or eyes, aged 18-75 years, and with Eastern Cooperative Oncology Group performance status of 3 or lower and measurable disease were centrally randomly assigned by computer to receive four courses of either methotrexate 3·5 g/m2 on day 1 (n=40) or methotrexate 3·5 g/m2 on day 1 plus cytarabine 2 g/m2 twice a day on days 2-3 (n=39). Both regimens were administered every 3 weeks and were followed by whole-brain irradiation. The primary endpoint was complete remission rate after chemotherapy. Analysis was by intention to treat. This study is registered with ClinicalTrials.gov, number NCT00210314. Findings: All randomly assigned participants were analysed. After chemotherapy, seven patients given methotrexate and 18 given methotrexate plus cytarabine achieved a complete remission, with a complete remission rate of 18% (95% CI 6-30) and 46% (31-61), respectively, (p=0·006). Nine patients receiving methotrexate and nine receiving methotrexate plus cytarabine achieved a partial response, with an overall response rate of 40% (25-55) and 69% (55-83), respectively, (p=0·009). Grade 3-4 haematological toxicity was more common in the methotrexate plus cytarabine group than in the methotrexate group (36 [92%] vs six [15%]). Four patients died of toxic effects (three vs one). Interpretation: In patients aged 75 years and younger with primary CNS lymphoma, the addition of high-dose cytarabine to high-dose methotrexate provides improved outcome with acceptable toxicity compared with high-dose methotrexate alone. Funding: Swiss Cancer League. © 2009 Elsevier Ltd. All rights reserved.","author":[{"dropping-particle":"","family":"Ferreri","given":"Andrés JM","non-dropping-particle":"","parse-names":false,"suffix":""},{"dropping-particle":"","family":"Reni","given":"Michele","non-dropping-particle":"","parse-names":false,"suffix":""},{"dropping-particle":"","family":"Foppoli","given":"Marco","non-dropping-particle":"","parse-names":false,"suffix":""},{"dropping-particle":"","family":"Martelli","given":"Maurizio","non-dropping-particle":"","parse-names":false,"suffix":""},{"dropping-particle":"","family":"Pangalis","given":"Gerasimus A.","non-dropping-particle":"","parse-names":false,"suffix":""},{"dropping-particle":"","family":"Frezzato","given":"Maurizio","non-dropping-particle":"","parse-names":false,"suffix":""},{"dropping-particle":"","family":"Cabras","given":"Maria Giuseppina","non-dropping-particle":"","parse-names":false,"suffix":""},{"dropping-particle":"","family":"Fabbri","given":"Alberto","non-dropping-particle":"","parse-names":false,"suffix":""},{"dropping-particle":"","family":"Corazzelli","given":"Gaetano","non-dropping-particle":"","parse-names":false,"suffix":""},{"dropping-particle":"","family":"Ilariucci","given":"Fiorella","non-dropping-particle":"","parse-names":false,"suffix":""},{"dropping-particle":"","family":"Rossi","given":"Giuseppe","non-dropping-particle":"","parse-names":false,"suffix":""},{"dropping-particle":"","family":"Soffietti","given":"Riccardo","non-dropping-particle":"","parse-names":false,"suffix":""},{"dropping-particle":"","family":"Stelitano","given":"Caterina","non-dropping-particle":"","parse-names":false,"suffix":""},{"dropping-particle":"","family":"Vallisa","given":"Daniele","non-dropping-particle":"","parse-names":false,"suffix":""},{"dropping-particle":"","family":"Zaja","given":"Francesco","non-dropping-particle":"","parse-names":false,"suffix":""},{"dropping-particle":"","family":"Zoppegno","given":"Lucía","non-dropping-particle":"","parse-names":false,"suffix":""},{"dropping-particle":"","family":"Aondio","given":"Gian Marco","non-dropping-particle":"","parse-names":false,"suffix":""},{"dropping-particle":"","family":"Avvisati","given":"Giuseppe","non-dropping-particle":"","parse-names":false,"suffix":""},{"dropping-particle":"","family":"Balzarotti","given":"Monica","non-dropping-particle":"","parse-names":false,"suffix":""},{"dropping-particle":"","family":"Brandes","given":"Alba A.","non-dropping-particle":"","parse-names":false,"suffix":""},{"dropping-particle":"","family":"Fajardo","given":"José","non-dropping-particle":"","parse-names":false,"suffix":""},{"dropping-particle":"","family":"Gomez","given":"Henry","non-dropping-particle":"","parse-names":false,"suffix":""},{"dropping-particle":"","family":"Guarini","given":"Attilio","non-dropping-particle":"","parse-names":false,"suffix":""},{"dropping-particle":"","family":"Pinotti","given":"Graziella","non-dropping-particle":"","parse-names":false,"suffix":""},{"dropping-particle":"","family":"Rigacci","given":"Luigi","non-dropping-particle":"","parse-names":false,"suffix":""},{"dropping-particle":"","family":"Uhlmann","given":"Catrina","non-dropping-particle":"","parse-names":false,"suffix":""},{"dropping-particle":"","family":"Picozzi","given":"Piero","non-dropping-particle":"","parse-names":false,"suffix":""},{"dropping-particle":"","family":"Vezzulli","given":"Paolo","non-dropping-particle":"","parse-names":false,"suffix":""},{"dropping-particle":"","family":"Ponzoni","given":"Maurilio","non-dropping-particle":"","parse-names":false,"suffix":""},{"dropping-particle":"","family":"Zucca","given":"Emanuele","non-dropping-particle":"","parse-names":false,"suffix":""},{"dropping-particle":"","family":"Caligaris-Cappio","given":"Federico","non-dropping-particle":"","parse-names":false,"suffix":""},{"dropping-particle":"","family":"Cavalli","given":"Franco","non-dropping-particle":"","parse-names":false,"suffix":""}],"container-title":"The Lancet","id":"ITEM-2","issue":"9700","issued":{"date-parts":[["2009"]]},"page":"1512-1520","title":"High-dose cytarabine plus high-dose methotrexate versus high-dose methotrexate alone in patients with primary CNS lymphoma: a randomised phase 2 trial","type":"article-journal","volume":"374"},"uris":["http://www.mendeley.com/documents/?uuid=ff6c34eb-65ed-333e-878d-5d30c9dd2ebd"]},{"id":"ITEM-3","itemData":{"DOI":"10.1200/JCO.2012.46.9957","ISSN":"0732183X","abstract":"Purpose Concerns regarding neurocognitive toxicity of whole-brain radiotherapy (WBRT) have motivated development of alternative, dose-intensive chemotherapeutic strategies as consolidation in primary CNS lymphoma (PCNSL). We performed a multicenter study of high-dose consolidation, without WBRT, in PCNSL. Objectives were to determine: one, rate of complete response (CR) after remission induction therapy with methotrexate, temozolomide, and rituximab (MT-R); two, feasibility of a two-step approach using high-dose consolidation with etoposide plus cytarabine (EA); three, progression-free survival (PFS); and four, correlation between clinical and molecular prognostic factors and outcome. Patients and Methods Forty-four patients with newly diagnosed PCNSL were treated with induction MT-R, and patients who achieved CR received EA consolidation. We performed a prospective analysis of molecular prognostic biomarkers in PCNSL in the setting of a clinical trial. Results The rate of CR to MT-R was 66%. The overall 2-year PFS was 0.57, with median follow-up of 4.9 years. The 2-year time to progression was 0.59, and for patients who completed consolidation, it was 0.77. Patients age &gt; 60 years did as well as younger patients, and the most significant clinical prognostic variable was treatment delay. High BCL6 expression correlated with shorter survival. Conclusion CALGB 50202 demonstrates for the first time to our knowledge that dose-intensive consolidation for PCNSL is feasible in the multicenter setting and yields rates of PFS and OS at least comparable to those of regimens involving WBRT. On the basis of these encouraging results, an intergroup study has been activated comparing EA consolidation with myeloablative chemotherapy in this randomized trial in PCNSL, in which neither arm involves WBRT. Copyright © 2013 American Society of Clinical Oncology. All rights reserved.","author":[{"dropping-particle":"","family":"Rubenstein","given":"James L.","non-dropping-particle":"","parse-names":false,"suffix":""},{"dropping-particle":"","family":"Hsi","given":"Eric D.","non-dropping-particle":"","parse-names":false,"suffix":""},{"dropping-particle":"","family":"Johnson","given":"Jeffrey L.","non-dropping-particle":"","parse-names":false,"suffix":""},{"dropping-particle":"","family":"Jung","given":"Sin Ho","non-dropping-particle":"","parse-names":false,"suffix":""},{"dropping-particle":"","family":"Nakashima","given":"Megan O.","non-dropping-particle":"","parse-names":false,"suffix":""},{"dropping-particle":"","family":"Grant","given":"Barbara","non-dropping-particle":"","parse-names":false,"suffix":""},{"dropping-particle":"","family":"Cheson","given":"Bruce D.","non-dropping-particle":"","parse-names":false,"suffix":""},{"dropping-particle":"","family":"Kaplan","given":"Lawrence D.","non-dropping-particle":"","parse-names":false,"suffix":""}],"container-title":"Journal of Clinical Oncology","id":"ITEM-3","issue":"25","issued":{"date-parts":[["2013","9","1"]]},"page":"3061-3068","title":"Intensive chemotherapy and immunotherapy in patients with newly diagnosed primary CNS lymphoma: CALGB 50202 (Alliance 50202)","type":"article-journal","volume":"31"},"uris":["http://www.mendeley.com/documents/?uuid=7fd13872-59f9-3663-b3dd-f3fd86080132"]},{"id":"ITEM-4","itemData":{"DOI":"10.1093/neuonc/noq011","ISSN":"1523-5866","PMID":"20511181","abstract":"We conducted a prospective Phase II study of high-dose methotrexate (HD-MTX) and rituximab with deferred whole brain radiotherapy in patients with newly diagnosed B-cell primary central nervous system lymphoma with a primary objective of evaluating progression-free survival (PFS). Forty patients (25 men; 15 women), ages 18-93 years (median 61.5), were treated. All patients received biweekly HD-MTX/rituximab (8 g/m(2)/dose; 375 mg/m(2)/dose) for 4-6 cycles (induction) and following best radiographic response, with every 4 weeks HD-MTX (8 g/m(2)/dose) for 4 cycles (maintenance). Neurological and neuroradiographic evaluation were performed every 4 weeks during induction therapy and every 8 weeks during maintenance therapy. All patients were evaluable. A total of 303 cycles of HD-MTX (median 8 cycles; range 4-10) was administered. HD-MTX/rituximab-related toxicity included 16 grade 3 adverse events in 13 patients (32.5%). Following induction, 8 patients (20%) demonstrated progressive disease and discontinued therapy; 32 patients (80%) demonstrated a partial (8/40; 20%) or complete (24/40; 60%) radiographic response. At the conclusion of maintenance therapy (6-10 months of total therapy), 28 patients (70%) demonstrated either a partial (1/28) or complete (27/28) response. Overall, survival of these 28 patients ranged from 11 to 80 months (median 33.5). Survival in the entire cohort ranged from 6 to 80 months with an estimated median of 29 months. Overall, PFS ranged from 2 to 80 months (median 21.0). HD-MTX/rituximab and deferred radiotherapy demonstrated similar or better efficacy similar to other HD-MTX-only regimens and reduced time on therapy on average to 6 months.","author":[{"dropping-particle":"","family":"Chamberlain","given":"Marc C","non-dropping-particle":"","parse-names":false,"suffix":""},{"dropping-particle":"","family":"Johnston","given":"Sandra K","non-dropping-particle":"","parse-names":false,"suffix":""}],"container-title":"Neuro-oncology","id":"ITEM-4","issue":"7","issued":{"date-parts":[["2010","7"]]},"page":"736-44","title":"High-dose methotrexate and rituximab with deferred radiotherapy for newly diagnosed primary B-cell CNS lymphoma.","type":"article-journal","volume":"12"},"uris":["http://www.mendeley.com/documents/?uuid=ed268df3-8138-3706-b145-a6ed55d67297"]},{"id":"ITEM-5","itemData":{"DOI":"10.1212/WNL.0000000000000593","ISSN":"1526632X","abstract":"Objective: To evaluate the efficacy of rituximab (R) when added to high-dose methotrexate (HDMTX) in patients with newly diagnosed immunocompetent primary CNS lymphomas (PCNSLs). Methods: Immunocompetent adults with newly diagnosed PCNSL treated at The Johns Hopkins Hospital between 1995 and 2012 were investigated. From 1995 to 2008, patients received HD-MTX monotherapy (8 g/m2 initially every 2 weeks and after complete response [CR] monthly to complete 12 months of therapy). From 2008 to 2012, patients received the same HD-MTX with rituximab (375 mg/m2) with each HD-MTX treatment. CR rates and median overall and progression-free survival were analyzed for each patient cohort in this single-institution, retrospective study. Results: A total of 81 patients were identified: 54 received HD-MTX (median age 66 years) while 27 received HD-MTX/R (median age 65 years). CR rates were 36% in the HD-MTX cohort and 73% in the HD-MTX/R cohort (p = 0.0145). Median progression-free survival was 4.5 months in the HD-MTX cohort and 26.7 months in the HD-MTX/R cohort (p = 0.003). Median overall survival was 16.3 months in the HD-MTX cohort and has not yet been reached in the HD-MTX/R cohort (p = 0.01). Conclusions: The addition of rituximab to HD-MTX appears to improve CR rates as well as overall and progression-free survival in patients with newly diagnosed PCNSL. Comparisons of long-term survival in the 2 cohorts await further maturation of the data. Classification of evidence: This study provides Class III evidence that in immunocompetent patients with PCNSL, HD-MTX plus rituximab compared with HD-MTX alone improves CR and overall survival rates. © 2014 American Academy of Neurology.","author":[{"dropping-particle":"","family":"Holdhoff","given":"Matthias","non-dropping-particle":"","parse-names":false,"suffix":""},{"dropping-particle":"","family":"Ambady","given":"Prakash","non-dropping-particle":"","parse-names":false,"suffix":""},{"dropping-particle":"","family":"Abdelaziz","given":"Ahmed","non-dropping-particle":"","parse-names":false,"suffix":""},{"dropping-particle":"","family":"Sarai","given":"Guneet","non-dropping-particle":"","parse-names":false,"suffix":""},{"dropping-particle":"","family":"Bonekamp","given":"David","non-dropping-particle":"","parse-names":false,"suffix":""},{"dropping-particle":"","family":"Blakeley","given":"Jaishri","non-dropping-particle":"","parse-names":false,"suffix":""},{"dropping-particle":"","family":"Grossman","given":"Stuart A.","non-dropping-particle":"","parse-names":false,"suffix":""},{"dropping-particle":"","family":"Ye","given":"Xiaobu","non-dropping-particle":"","parse-names":false,"suffix":""}],"container-title":"Neurology","id":"ITEM-5","issue":"3","issued":{"date-parts":[["2014","7","15"]]},"page":"235-239","publisher":"Lippincott Williams and Wilkins","title":"High-dose methotrexate with or without rituximab in newly diagnosed primary CNS lymphoma","type":"article-journal","volume":"83"},"uris":["http://www.mendeley.com/documents/?uuid=17caaea4-b755-39e2-a62a-d87d8a504fe8"]}],"mendeley":{"formattedCitation":"[93–97]","plainTextFormattedCitation":"[93–97]","previouslyFormattedCitation":"[93–97]"},"properties":{"noteIndex":0},"schema":"https://github.com/citation-style-language/schema/raw/master/csl-citation.json"}</w:instrText>
      </w:r>
      <w:r w:rsidRPr="000322E4">
        <w:fldChar w:fldCharType="separate"/>
      </w:r>
      <w:r w:rsidR="009D170B" w:rsidRPr="009D170B">
        <w:rPr>
          <w:noProof/>
        </w:rPr>
        <w:t>[93–97]</w:t>
      </w:r>
      <w:r w:rsidRPr="000322E4">
        <w:fldChar w:fldCharType="end"/>
      </w:r>
      <w:r w:rsidRPr="000322E4">
        <w:t>.</w:t>
      </w:r>
    </w:p>
    <w:p w14:paraId="309FDFA1" w14:textId="77777777" w:rsidR="00716437" w:rsidRPr="000322E4" w:rsidRDefault="00716437" w:rsidP="008A40EA">
      <w:pPr>
        <w:spacing w:line="360" w:lineRule="auto"/>
        <w:ind w:left="709"/>
        <w:contextualSpacing/>
        <w:jc w:val="both"/>
        <w:rPr>
          <w:b/>
        </w:rPr>
      </w:pPr>
      <w:r w:rsidRPr="000322E4">
        <w:rPr>
          <w:b/>
        </w:rPr>
        <w:t xml:space="preserve">Уровень убедительности рекомендаций </w:t>
      </w:r>
      <w:r w:rsidR="008327E3" w:rsidRPr="000322E4">
        <w:rPr>
          <w:b/>
        </w:rPr>
        <w:t xml:space="preserve">В </w:t>
      </w:r>
      <w:r w:rsidRPr="000322E4">
        <w:rPr>
          <w:b/>
        </w:rPr>
        <w:t xml:space="preserve">(уровень достоверности доказательств </w:t>
      </w:r>
      <w:r w:rsidR="0057542B" w:rsidRPr="000322E4">
        <w:rPr>
          <w:b/>
        </w:rPr>
        <w:t>2</w:t>
      </w:r>
      <w:r w:rsidRPr="000322E4">
        <w:rPr>
          <w:b/>
        </w:rPr>
        <w:t>).</w:t>
      </w:r>
    </w:p>
    <w:p w14:paraId="0052F5EA" w14:textId="2F2D9081" w:rsidR="0057542B" w:rsidRPr="000322E4" w:rsidRDefault="0057542B" w:rsidP="009D170B">
      <w:pPr>
        <w:spacing w:line="360" w:lineRule="auto"/>
        <w:ind w:firstLine="709"/>
        <w:jc w:val="both"/>
      </w:pPr>
      <w:r w:rsidRPr="000322E4">
        <w:rPr>
          <w:b/>
        </w:rPr>
        <w:t xml:space="preserve">Комментарии: </w:t>
      </w:r>
      <w:r w:rsidRPr="000322E4">
        <w:rPr>
          <w:i/>
          <w:color w:val="000000"/>
        </w:rPr>
        <w:t xml:space="preserve">Применение химиотерапии значительно улучшило результаты лечения ПЛЦНС. Выбор лекарственных препаратов для лечения ПЛЦНС обусловлен их активностью при НХЛ и способностью проникать через </w:t>
      </w:r>
      <w:r w:rsidRPr="000322E4">
        <w:rPr>
          <w:i/>
          <w:color w:val="000000"/>
        </w:rPr>
        <w:lastRenderedPageBreak/>
        <w:t>гематоэнцефалический барьер (ГЭБ). Стандартные протоколы (CHOP, MACOP-B), применяемые при лечении других форм НХЛ, не эффективны для ПЛЦНС, поскольку входящие в них лекарственные средства не могут проникать через ГЭБ. К препаратам, проникающим через ГЭБ, относят метотрексат, цитарабин, прокарбазин, винкристин, кармустин, ломустин, тиотепа, топотекан, циклофосфамид, этопозид, цисплатин и</w:t>
      </w:r>
      <w:r w:rsidR="005C347F">
        <w:rPr>
          <w:i/>
          <w:color w:val="000000"/>
        </w:rPr>
        <w:t xml:space="preserve"> глюкокортикоиды</w:t>
      </w:r>
      <w:r w:rsidRPr="000322E4">
        <w:rPr>
          <w:i/>
          <w:color w:val="000000"/>
        </w:rPr>
        <w:t xml:space="preserve"> </w:t>
      </w:r>
      <w:r w:rsidRPr="000322E4">
        <w:fldChar w:fldCharType="begin" w:fldLock="1"/>
      </w:r>
      <w:r w:rsidR="00021E2A">
        <w:instrText>ADDIN CSL_CITATION {"citationItems":[{"id":"ITEM-1","itemData":{"DOI":"10.1016/S1470-2045(10)70229-1","ISSN":"14702045","abstract":"Background: High-dose methotrexate is the standard of care for patients with newly diagnosed primary CNS lymphoma. The role of whole brain radiotherapy is controversial because delayed neurotoxicity limits its acceptance as a standard of care. We aimed to investigate whether first-line chemotherapy based on high-dose methotrexate was non-inferior to the same chemotherapy regimen followed by whole brain radiotherapy for overall survival. Methods: Immunocompetent patients with newly diagnosed primary CNS lymphoma were enrolled from 75 centres and treated between May, 2000, and May, 2009. Patients were allocated by computer-generated block randomisation to receive first-line chemotherapy based on high-dose methotrexate with or without subsequent whole brain radiotherapy, with stratification by age (&lt;60 vs ≥60 years) and institution (Berlin vs Tübingen vs all other sites). The biostatistics centre assigned patients to treatment groups and informed local centres by fax; physicians and patients were not masked to treatment group after assignment. Patients enrolled between May, 2000, and August, 2006, received high-dose methotrexate (4 g/m2) on day 1 of six 14-day cycles; thereafter, patients received high-dose methotrexate plus ifosfamide (1·5 g/m2) on days 3-5 of six 14-day cycles. In those assigned to receive first-line chemotherapy followed by radiotherapy, whole brain radiotherapy was given to a total dose of 45 Gy, in 30 fractions of 1·5 Gy given daily on weekdays. Patients allocated to first-line chemotherapy without whole brain radiotherapy who had not achieved complete response were given high-dose cytarabine. The primary endpoint was overall survival, and analysis was per protocol. Our hypothesis was that the omission of whole brain radiotherapy does not compromise overall survival, with a non-inferiority margin of 0·9. This trial is registered with ClinicalTrials.gov, number NCT00153530. Findings: 551 patients (median age 63 years, IQR 55-69) were enrolled and randomised, of whom 318 were treated per protocol. In the per-protocol population, median overall survival was 32·4 months (95% CI 25·8-39·0) in patients receiving whole brain radiotherapy (n=154), and 37·1 months (27·5-46·7) in those not receiving whole brain radiotherapy (n=164), hazard ratio 1·06 (95% CI 0·80-1·40; p=0·71). Thus our primary hypothesis was not proven. Median progression-free survival was 18·3 months (95% CI 11·6-25·0) in patients receiving whole brain radiotherapy, and 11·9 …","author":[{"dropping-particle":"","family":"Thiel","given":"Eckhard","non-dropping-particle":"","parse-names":false,"suffix":""},{"dropping-particle":"","family":"Korfel","given":"Agnieszka","non-dropping-particle":"","parse-names":false,"suffix":""},{"dropping-particle":"","family":"Martus","given":"Peter","non-dropping-particle":"","parse-names":false,"suffix":""},{"dropping-particle":"","family":"Kanz","given":"Lothar","non-dropping-particle":"","parse-names":false,"suffix":""},{"dropping-particle":"","family":"Griesinger","given":"Frank","non-dropping-particle":"","parse-names":false,"suffix":""},{"dropping-particle":"","family":"Rauch","given":"Michael","non-dropping-particle":"","parse-names":false,"suffix":""},{"dropping-particle":"","family":"Röth","given":"Alexander","non-dropping-particle":"","parse-names":false,"suffix":""},{"dropping-particle":"","family":"Hertenstein","given":"Bernd","non-dropping-particle":"","parse-names":false,"suffix":""},{"dropping-particle":"","family":"Toll","given":"Theda","non-dropping-particle":"von","parse-names":false,"suffix":""},{"dropping-particle":"","family":"Hundsberger","given":"Thomas","non-dropping-particle":"","parse-names":false,"suffix":""},{"dropping-particle":"","family":"Mergenthaler","given":"Hans Günther","non-dropping-particle":"","parse-names":false,"suffix":""},{"dropping-particle":"","family":"Leithäuser","given":"Malte","non-dropping-particle":"","parse-names":false,"suffix":""},{"dropping-particle":"","family":"Birnbaum","given":"Tobias","non-dropping-particle":"","parse-names":false,"suffix":""},{"dropping-particle":"","family":"Fischer","given":"Lars","non-dropping-particle":"","parse-names":false,"suffix":""},{"dropping-particle":"","family":"Jahnke","given":"Kristoph","non-dropping-particle":"","parse-names":false,"suffix":""},{"dropping-particle":"","family":"Herrlinger","given":"Ulrich","non-dropping-particle":"","parse-names":false,"suffix":""},{"dropping-particle":"","family":"Plasswilm","given":"Ludwig","non-dropping-particle":"","parse-names":false,"suffix":""},{"dropping-particle":"","family":"Nägele","given":"Thomas","non-dropping-particle":"","parse-names":false,"suffix":""},{"dropping-particle":"","family":"Pietsch","given":"Torsten","non-dropping-particle":"","parse-names":false,"suffix":""},{"dropping-particle":"","family":"Bamberg","given":"Michael","non-dropping-particle":"","parse-names":false,"suffix":""},{"dropping-particle":"","family":"Weller","given":"Michael","non-dropping-particle":"","parse-names":false,"suffix":""}],"container-title":"The Lancet Oncology","id":"ITEM-1","issue":"11","issued":{"date-parts":[["2010","11"]]},"page":"1036-1047","title":"High-dose methotrexate with or without whole brain radiotherapy for primary CNS lymphoma (G-PCNSL-SG-1): a phase 3, randomised, non-inferiority trial","type":"article-journal","volume":"11"},"uris":["http://www.mendeley.com/documents/?uuid=4f8cf043-3a2a-35c6-b4f9-c28df8d2d84a"]},{"id":"ITEM-2","itemData":{"DOI":"10.1016/S0140-6736(09)61416-1","ISSN":"01406736","abstract":"Background: Chemotherapy with high-dose methotrexate is the conventional approach to treat primary CNS lymphomas, but superiority of polychemotherapy compared with high-dose methotrexate alone is unproven. We assessed the effect of adding high-dose cytarabine to methotrexate in patients with newly diagnosed primary CNS lymphoma. Methods: This open, randomised, phase 2 trial was undertaken in 24 centres in six countries. 79 patients with non-Hodgkin lymphoma exclusively localised into the CNS, cranial nerves, or eyes, aged 18-75 years, and with Eastern Cooperative Oncology Group performance status of 3 or lower and measurable disease were centrally randomly assigned by computer to receive four courses of either methotrexate 3·5 g/m2 on day 1 (n=40) or methotrexate 3·5 g/m2 on day 1 plus cytarabine 2 g/m2 twice a day on days 2-3 (n=39). Both regimens were administered every 3 weeks and were followed by whole-brain irradiation. The primary endpoint was complete remission rate after chemotherapy. Analysis was by intention to treat. This study is registered with ClinicalTrials.gov, number NCT00210314. Findings: All randomly assigned participants were analysed. After chemotherapy, seven patients given methotrexate and 18 given methotrexate plus cytarabine achieved a complete remission, with a complete remission rate of 18% (95% CI 6-30) and 46% (31-61), respectively, (p=0·006). Nine patients receiving methotrexate and nine receiving methotrexate plus cytarabine achieved a partial response, with an overall response rate of 40% (25-55) and 69% (55-83), respectively, (p=0·009). Grade 3-4 haematological toxicity was more common in the methotrexate plus cytarabine group than in the methotrexate group (36 [92%] vs six [15%]). Four patients died of toxic effects (three vs one). Interpretation: In patients aged 75 years and younger with primary CNS lymphoma, the addition of high-dose cytarabine to high-dose methotrexate provides improved outcome with acceptable toxicity compared with high-dose methotrexate alone. Funding: Swiss Cancer League. © 2009 Elsevier Ltd. All rights reserved.","author":[{"dropping-particle":"","family":"Ferreri","given":"Andrés JM","non-dropping-particle":"","parse-names":false,"suffix":""},{"dropping-particle":"","family":"Reni","given":"Michele","non-dropping-particle":"","parse-names":false,"suffix":""},{"dropping-particle":"","family":"Foppoli","given":"Marco","non-dropping-particle":"","parse-names":false,"suffix":""},{"dropping-particle":"","family":"Martelli","given":"Maurizio","non-dropping-particle":"","parse-names":false,"suffix":""},{"dropping-particle":"","family":"Pangalis","given":"Gerasimus A.","non-dropping-particle":"","parse-names":false,"suffix":""},{"dropping-particle":"","family":"Frezzato","given":"Maurizio","non-dropping-particle":"","parse-names":false,"suffix":""},{"dropping-particle":"","family":"Cabras","given":"Maria Giuseppina","non-dropping-particle":"","parse-names":false,"suffix":""},{"dropping-particle":"","family":"Fabbri","given":"Alberto","non-dropping-particle":"","parse-names":false,"suffix":""},{"dropping-particle":"","family":"Corazzelli","given":"Gaetano","non-dropping-particle":"","parse-names":false,"suffix":""},{"dropping-particle":"","family":"Ilariucci","given":"Fiorella","non-dropping-particle":"","parse-names":false,"suffix":""},{"dropping-particle":"","family":"Rossi","given":"Giuseppe","non-dropping-particle":"","parse-names":false,"suffix":""},{"dropping-particle":"","family":"Soffietti","given":"Riccardo","non-dropping-particle":"","parse-names":false,"suffix":""},{"dropping-particle":"","family":"Stelitano","given":"Caterina","non-dropping-particle":"","parse-names":false,"suffix":""},{"dropping-particle":"","family":"Vallisa","given":"Daniele","non-dropping-particle":"","parse-names":false,"suffix":""},{"dropping-particle":"","family":"Zaja","given":"Francesco","non-dropping-particle":"","parse-names":false,"suffix":""},{"dropping-particle":"","family":"Zoppegno","given":"Lucía","non-dropping-particle":"","parse-names":false,"suffix":""},{"dropping-particle":"","family":"Aondio","given":"Gian Marco","non-dropping-particle":"","parse-names":false,"suffix":""},{"dropping-particle":"","family":"Avvisati","given":"Giuseppe","non-dropping-particle":"","parse-names":false,"suffix":""},{"dropping-particle":"","family":"Balzarotti","given":"Monica","non-dropping-particle":"","parse-names":false,"suffix":""},{"dropping-particle":"","family":"Brandes","given":"Alba A.","non-dropping-particle":"","parse-names":false,"suffix":""},{"dropping-particle":"","family":"Fajardo","given":"José","non-dropping-particle":"","parse-names":false,"suffix":""},{"dropping-particle":"","family":"Gomez","given":"Henry","non-dropping-particle":"","parse-names":false,"suffix":""},{"dropping-particle":"","family":"Guarini","given":"Attilio","non-dropping-particle":"","parse-names":false,"suffix":""},{"dropping-particle":"","family":"Pinotti","given":"Graziella","non-dropping-particle":"","parse-names":false,"suffix":""},{"dropping-particle":"","family":"Rigacci","given":"Luigi","non-dropping-particle":"","parse-names":false,"suffix":""},{"dropping-particle":"","family":"Uhlmann","given":"Catrina","non-dropping-particle":"","parse-names":false,"suffix":""},{"dropping-particle":"","family":"Picozzi","given":"Piero","non-dropping-particle":"","parse-names":false,"suffix":""},{"dropping-particle":"","family":"Vezzulli","given":"Paolo","non-dropping-particle":"","parse-names":false,"suffix":""},{"dropping-particle":"","family":"Ponzoni","given":"Maurilio","non-dropping-particle":"","parse-names":false,"suffix":""},{"dropping-particle":"","family":"Zucca","given":"Emanuele","non-dropping-particle":"","parse-names":false,"suffix":""},{"dropping-particle":"","family":"Caligaris-Cappio","given":"Federico","non-dropping-particle":"","parse-names":false,"suffix":""},{"dropping-particle":"","family":"Cavalli","given":"Franco","non-dropping-particle":"","parse-names":false,"suffix":""}],"container-title":"The Lancet","id":"ITEM-2","issue":"9700","issued":{"date-parts":[["2009"]]},"page":"1512-1520","title":"High-dose cytarabine plus high-dose methotrexate versus high-dose methotrexate alone in patients with primary CNS lymphoma: a randomised phase 2 trial","type":"article-journal","volume":"374"},"uris":["http://www.mendeley.com/documents/?uuid=ff6c34eb-65ed-333e-878d-5d30c9dd2ebd"]},{"id":"ITEM-3","itemData":{"DOI":"10.1200/JCO.2012.46.9957","ISSN":"0732183X","abstract":"Purpose Concerns regarding neurocognitive toxicity of whole-brain radiotherapy (WBRT) have motivated development of alternative, dose-intensive chemotherapeutic strategies as consolidation in primary CNS lymphoma (PCNSL). We performed a multicenter study of high-dose consolidation, without WBRT, in PCNSL. Objectives were to determine: one, rate of complete response (CR) after remission induction therapy with methotrexate, temozolomide, and rituximab (MT-R); two, feasibility of a two-step approach using high-dose consolidation with etoposide plus cytarabine (EA); three, progression-free survival (PFS); and four, correlation between clinical and molecular prognostic factors and outcome. Patients and Methods Forty-four patients with newly diagnosed PCNSL were treated with induction MT-R, and patients who achieved CR received EA consolidation. We performed a prospective analysis of molecular prognostic biomarkers in PCNSL in the setting of a clinical trial. Results The rate of CR to MT-R was 66%. The overall 2-year PFS was 0.57, with median follow-up of 4.9 years. The 2-year time to progression was 0.59, and for patients who completed consolidation, it was 0.77. Patients age &gt; 60 years did as well as younger patients, and the most significant clinical prognostic variable was treatment delay. High BCL6 expression correlated with shorter survival. Conclusion CALGB 50202 demonstrates for the first time to our knowledge that dose-intensive consolidation for PCNSL is feasible in the multicenter setting and yields rates of PFS and OS at least comparable to those of regimens involving WBRT. On the basis of these encouraging results, an intergroup study has been activated comparing EA consolidation with myeloablative chemotherapy in this randomized trial in PCNSL, in which neither arm involves WBRT. Copyright © 2013 American Society of Clinical Oncology. All rights reserved.","author":[{"dropping-particle":"","family":"Rubenstein","given":"James L.","non-dropping-particle":"","parse-names":false,"suffix":""},{"dropping-particle":"","family":"Hsi","given":"Eric D.","non-dropping-particle":"","parse-names":false,"suffix":""},{"dropping-particle":"","family":"Johnson","given":"Jeffrey L.","non-dropping-particle":"","parse-names":false,"suffix":""},{"dropping-particle":"","family":"Jung","given":"Sin Ho","non-dropping-particle":"","parse-names":false,"suffix":""},{"dropping-particle":"","family":"Nakashima","given":"Megan O.","non-dropping-particle":"","parse-names":false,"suffix":""},{"dropping-particle":"","family":"Grant","given":"Barbara","non-dropping-particle":"","parse-names":false,"suffix":""},{"dropping-particle":"","family":"Cheson","given":"Bruce D.","non-dropping-particle":"","parse-names":false,"suffix":""},{"dropping-particle":"","family":"Kaplan","given":"Lawrence D.","non-dropping-particle":"","parse-names":false,"suffix":""}],"container-title":"Journal of Clinical Oncology","id":"ITEM-3","issue":"25","issued":{"date-parts":[["2013","9","1"]]},"page":"3061-3068","title":"Intensive chemotherapy and immunotherapy in patients with newly diagnosed primary CNS lymphoma: CALGB 50202 (Alliance 50202)","type":"article-journal","volume":"31"},"uris":["http://www.mendeley.com/documents/?uuid=7fd13872-59f9-3663-b3dd-f3fd86080132"]},{"id":"ITEM-4","itemData":{"DOI":"10.1093/neuonc/noq011","ISSN":"1523-5866","PMID":"20511181","abstract":"We conducted a prospective Phase II study of high-dose methotrexate (HD-MTX) and rituximab with deferred whole brain radiotherapy in patients with newly diagnosed B-cell primary central nervous system lymphoma with a primary objective of evaluating progression-free survival (PFS). Forty patients (25 men; 15 women), ages 18-93 years (median 61.5), were treated. All patients received biweekly HD-MTX/rituximab (8 g/m(2)/dose; 375 mg/m(2)/dose) for 4-6 cycles (induction) and following best radiographic response, with every 4 weeks HD-MTX (8 g/m(2)/dose) for 4 cycles (maintenance). Neurological and neuroradiographic evaluation were performed every 4 weeks during induction therapy and every 8 weeks during maintenance therapy. All patients were evaluable. A total of 303 cycles of HD-MTX (median 8 cycles; range 4-10) was administered. HD-MTX/rituximab-related toxicity included 16 grade 3 adverse events in 13 patients (32.5%). Following induction, 8 patients (20%) demonstrated progressive disease and discontinued therapy; 32 patients (80%) demonstrated a partial (8/40; 20%) or complete (24/40; 60%) radiographic response. At the conclusion of maintenance therapy (6-10 months of total therapy), 28 patients (70%) demonstrated either a partial (1/28) or complete (27/28) response. Overall, survival of these 28 patients ranged from 11 to 80 months (median 33.5). Survival in the entire cohort ranged from 6 to 80 months with an estimated median of 29 months. Overall, PFS ranged from 2 to 80 months (median 21.0). HD-MTX/rituximab and deferred radiotherapy demonstrated similar or better efficacy similar to other HD-MTX-only regimens and reduced time on therapy on average to 6 months.","author":[{"dropping-particle":"","family":"Chamberlain","given":"Marc C","non-dropping-particle":"","parse-names":false,"suffix":""},{"dropping-particle":"","family":"Johnston","given":"Sandra K","non-dropping-particle":"","parse-names":false,"suffix":""}],"container-title":"Neuro-oncology","id":"ITEM-4","issue":"7","issued":{"date-parts":[["2010","7"]]},"page":"736-44","title":"High-dose methotrexate and rituximab with deferred radiotherapy for newly diagnosed primary B-cell CNS lymphoma.","type":"article-journal","volume":"12"},"uris":["http://www.mendeley.com/documents/?uuid=ed268df3-8138-3706-b145-a6ed55d67297"]},{"id":"ITEM-5","itemData":{"DOI":"10.1212/WNL.0000000000000593","ISSN":"1526632X","abstract":"Objective: To evaluate the efficacy of rituximab (R) when added to high-dose methotrexate (HDMTX) in patients with newly diagnosed immunocompetent primary CNS lymphomas (PCNSLs). Methods: Immunocompetent adults with newly diagnosed PCNSL treated at The Johns Hopkins Hospital between 1995 and 2012 were investigated. From 1995 to 2008, patients received HD-MTX monotherapy (8 g/m2 initially every 2 weeks and after complete response [CR] monthly to complete 12 months of therapy). From 2008 to 2012, patients received the same HD-MTX with rituximab (375 mg/m2) with each HD-MTX treatment. CR rates and median overall and progression-free survival were analyzed for each patient cohort in this single-institution, retrospective study. Results: A total of 81 patients were identified: 54 received HD-MTX (median age 66 years) while 27 received HD-MTX/R (median age 65 years). CR rates were 36% in the HD-MTX cohort and 73% in the HD-MTX/R cohort (p = 0.0145). Median progression-free survival was 4.5 months in the HD-MTX cohort and 26.7 months in the HD-MTX/R cohort (p = 0.003). Median overall survival was 16.3 months in the HD-MTX cohort and has not yet been reached in the HD-MTX/R cohort (p = 0.01). Conclusions: The addition of rituximab to HD-MTX appears to improve CR rates as well as overall and progression-free survival in patients with newly diagnosed PCNSL. Comparisons of long-term survival in the 2 cohorts await further maturation of the data. Classification of evidence: This study provides Class III evidence that in immunocompetent patients with PCNSL, HD-MTX plus rituximab compared with HD-MTX alone improves CR and overall survival rates. © 2014 American Academy of Neurology.","author":[{"dropping-particle":"","family":"Holdhoff","given":"Matthias","non-dropping-particle":"","parse-names":false,"suffix":""},{"dropping-particle":"","family":"Ambady","given":"Prakash","non-dropping-particle":"","parse-names":false,"suffix":""},{"dropping-particle":"","family":"Abdelaziz","given":"Ahmed","non-dropping-particle":"","parse-names":false,"suffix":""},{"dropping-particle":"","family":"Sarai","given":"Guneet","non-dropping-particle":"","parse-names":false,"suffix":""},{"dropping-particle":"","family":"Bonekamp","given":"David","non-dropping-particle":"","parse-names":false,"suffix":""},{"dropping-particle":"","family":"Blakeley","given":"Jaishri","non-dropping-particle":"","parse-names":false,"suffix":""},{"dropping-particle":"","family":"Grossman","given":"Stuart A.","non-dropping-particle":"","parse-names":false,"suffix":""},{"dropping-particle":"","family":"Ye","given":"Xiaobu","non-dropping-particle":"","parse-names":false,"suffix":""}],"container-title":"Neurology","id":"ITEM-5","issue":"3","issued":{"date-parts":[["2014","7","15"]]},"page":"235-239","publisher":"Lippincott Williams and Wilkins","title":"High-dose methotrexate with or without rituximab in newly diagnosed primary CNS lymphoma","type":"article-journal","volume":"83"},"uris":["http://www.mendeley.com/documents/?uuid=17caaea4-b755-39e2-a62a-d87d8a504fe8"]},{"id":"ITEM-6","itemData":{"DOI":"10.1016/S2352-3026(15)00074-5","ISSN":"23523026","abstract":"BACKGROUND: No standard chemotherapy regimen exists for primary CNS lymphoma, reflecting an absence of randomised studies. We prospectively tested two promising methotrexate-based regimens, one more intensive and a milder regimen, for primary CNS lymphoma in the elderly population, who account for most patients. METHODS: In this open-label, randomised phase 2 trial, done in 13 French institutions, we enrolled immunocompetent patients who had neuroimaging and histologically confirmed newly diagnosed primary CNS lymphoma, were aged 60 years and older, and had a Karnofsky performance scale score of 40 or more. Participants were stratified by Karnofsky performance scale score (&lt;60 vs ≥60) and treating institution and randomly assigned (1:1) to receive methotrexate (3·5 g/m2) with temozolomide (150 mg/m2) or methotrexate (3·5 g/m2), procarbazine (100 mg/m2), vincristine (1·4 mg/m2), and cytarabine (3 mg/m2). Neither regimen included radiotherapy; both included prophylactic G-CSF and corticosteroids. The primary endpoint was 1-year progression-free survival. Analysis was intent to treat, in a non-comparative phase 2 trial design. This study is registered with ClinicalTrials.gov, number NCT00503594. FINDINGS: Between July 16, 2007, and March 25, 2010, 98 patients were enrolled, of whom 95 were randomly assigned and analysed; 48 to methotrexate with temozolomide and 47 to methotrexate, procarbazine, vincristine, and cytarabine. 1-year progression-free survival was 36% (95% CI 22-50) in the methotrexate, procarbazine, vincristine, and cytarabine group and 36% (22-50) in the methotrexate with temozolomide group; median progression-free survival was 9·5 months (95% CI 5·3-13·8) versus 6·1 months (3·8-11·9), respectively. Objective responses were noted in 82% (95% CI 68-92) of patients in the methotrexate, procarbazine, vincristine, and cytarabine group versus 71% (55-84) of patients in the methotrexate with temozolomide group. Median overall survival was 31 months (95% CI 12·2-35·8) in the methotrexate, procarbazine, vincristine, and cytarabine group and 14 months (8·1-28·4) in the methotrexate with temozolomide group. No differences were noted in toxic effects between the two groups. The most common grades 3 and 4 toxicities in both groups were liver dysfunction (21 [4%] in the the methotrexate and temozolomide group and 18 [38%] in the methotrexate, procarbazine, vincristine, and cytarabine group), lymphopenia (14 [29%] and 14 [30%]), and infection (six [13%] an…","author":[{"dropping-particle":"","family":"Omuro","given":"Antonio","non-dropping-particle":"","parse-names":false,"suffix":""},{"dropping-particle":"","family":"Chinot","given":"Olivier","non-dropping-particle":"","parse-names":false,"suffix":""},{"dropping-particle":"","family":"Taillandier","given":"Luc","non-dropping-particle":"","parse-names":false,"suffix":""},{"dropping-particle":"","family":"Ghesquieres","given":"Hervé","non-dropping-particle":"","parse-names":false,"suffix":""},{"dropping-particle":"","family":"Soussain","given":"Carole","non-dropping-particle":"","parse-names":false,"suffix":""},{"dropping-particle":"","family":"Delwail","given":"Vincent","non-dropping-particle":"","parse-names":false,"suffix":""},{"dropping-particle":"","family":"Lamy","given":"Thierry","non-dropping-particle":"","parse-names":false,"suffix":""},{"dropping-particle":"","family":"Gressin","given":"Rémy","non-dropping-particle":"","parse-names":false,"suffix":""},{"dropping-particle":"","family":"Choquet","given":"Sylvain","non-dropping-particle":"","parse-names":false,"suffix":""},{"dropping-particle":"","family":"Soubeyran","given":"Pierre","non-dropping-particle":"","parse-names":false,"suffix":""},{"dropping-particle":"","family":"Huchet","given":"Aymeri","non-dropping-particle":"","parse-names":false,"suffix":""},{"dropping-particle":"","family":"Benouaich-Amiel","given":"Alexandra","non-dropping-particle":"","parse-names":false,"suffix":""},{"dropping-particle":"","family":"Lebouvier-Sadot","given":"Sophie","non-dropping-particle":"","parse-names":false,"suffix":""},{"dropping-particle":"","family":"Gyan","given":"Emmanuel","non-dropping-particle":"","parse-names":false,"suffix":""},{"dropping-particle":"","family":"Touitou","given":"Valérie","non-dropping-particle":"","parse-names":false,"suffix":""},{"dropping-particle":"","family":"Barrié","given":"Maryline","non-dropping-particle":"","parse-names":false,"suffix":""},{"dropping-particle":"","family":"Rio","given":"Monica Sierra","non-dropping-particle":"del","parse-names":false,"suffix":""},{"dropping-particle":"","family":"Gonzalez-Aguilar","given":"Alberto","non-dropping-particle":"","parse-names":false,"suffix":""},{"dropping-particle":"","family":"Houillier","given":"Caroline","non-dropping-particle":"","parse-names":false,"suffix":""},{"dropping-particle":"","family":"Delgadillo","given":"Daniel","non-dropping-particle":"","parse-names":false,"suffix":""},{"dropping-particle":"","family":"Lacomblez","given":"Lucette","non-dropping-particle":"","parse-names":false,"suffix":""},{"dropping-particle":"","family":"Tanguy","given":"Marie Laure","non-dropping-particle":"","parse-names":false,"suffix":""},{"dropping-particle":"","family":"Hoang-Xuan","given":"Khê","non-dropping-particle":"","parse-names":false,"suffix":""}],"container-title":"The Lancet Haematology","id":"ITEM-6","issue":"6","issued":{"date-parts":[["2015","6"]]},"page":"e251-e259","publisher":"Elsevier Ltd","title":"Methotrexate and temozolomide versus methotrexate, procarbazine, vincristine, and cytarabine for primary CNS lymphoma in an elderly population: An intergroup ANOCEF-GOELAMS randomised phase 2 trial","type":"article-journal","volume":"2"},"uris":["http://www.mendeley.com/documents/?uuid=0a1fbb92-d487-3b66-9700-72c0a823cf91"]},{"id":"ITEM-7","itemData":{"DOI":"10.1200/JCO.2013.50.4910","ISSN":"15277755","abstract":"Purpose: A multicenter phase II study was conducted to assess the efficacy of rituximab, methotrexate, procarbazine, and vincristine (R-MPV) followed by consolidation reduced-dose whole-brain radiotherapy (rdWBRT) and cytarabine in primary CNS lymphoma. Patients and Methods: Patients received induction chemotherapy with R-MPV (five to seven cycles); those achieving a complete response (CR) received rdWBRT (23.4 Gy), and otherwise, standard WBRT was offered (45 Gy). Consolidation cytarabine was given after the radiotherapy. The primary end point was 2-year progression-free survival (PFS) in patients receiving rdWBRT. Exploratory end points included prospective neuropsychological evaluation, analysis of magnetic resonance imaging (MRI) white matter changes using the Fazekas scale, and evaluation of the apparent diffusion coefficient (ADC) as a prognostic factor. Results: Fifty-two patients were enrolled, with median age of 60 years (range, 30 to 79 years) and median Karnofsky performance score of 70 (range, 50 to 100). Thirty-one patients (60%) achieved a CR after R-MPV and received rdWBRT. The 2-year PFS for this group was 77%; median PFS was 7.7 years. Median overall survival (OS) was not reached (median follow-up for survivors, 5.9 years); 3-year OS was 87%. The overall (N = 52) median PFS was 3.3 years, and median OS was 6.6 years. Cognitive assessment showed improvement in executive function (P &lt; .01) and verbal memory (P &lt; .05) after chemotherapy, and follow-up scores remained relatively stable across the various domains (n = 12). All examined MRIs (n = 28) displayed a Fazekas score of ≤ 3, and no patient developed scores of 4 to 5; differences in ADC values did not predict response (P = .15), PFS (P = .27), or OS (P = .33). Conclusion: R-MPV combined with consolidation rdWBRT and cytarabine is associated with high response rates, long-term disease control, and minimal neurotoxicity. © 2013 by American Society of Clinical Oncology.","author":[{"dropping-particle":"","family":"Morris","given":"Patrick G.","non-dropping-particle":"","parse-names":false,"suffix":""},{"dropping-particle":"","family":"Correa","given":"Denise D.","non-dropping-particle":"","parse-names":false,"suffix":""},{"dropping-particle":"","family":"Yahalom","given":"Joachim","non-dropping-particle":"","parse-names":false,"suffix":""},{"dropping-particle":"","family":"Raizer","given":"Jeffrey J.","non-dropping-particle":"","parse-names":false,"suffix":""},{"dropping-particle":"","family":"Schiff","given":"David","non-dropping-particle":"","parse-names":false,"suffix":""},{"dropping-particle":"","family":"Grant","given":"Barbara","non-dropping-particle":"","parse-names":false,"suffix":""},{"dropping-particle":"","family":"Grimm","given":"Sean","non-dropping-particle":"","parse-names":false,"suffix":""},{"dropping-particle":"","family":"Lai","given":"Rose K.","non-dropping-particle":"","parse-names":false,"suffix":""},{"dropping-particle":"","family":"Reiner","given":"Anne S.","non-dropping-particle":"","parse-names":false,"suffix":""},{"dropping-particle":"","family":"Panageas","given":"Kathy","non-dropping-particle":"","parse-names":false,"suffix":""},{"dropping-particle":"","family":"Karimi","given":"Sasan","non-dropping-particle":"","parse-names":false,"suffix":""},{"dropping-particle":"","family":"Curry","given":"Richard","non-dropping-particle":"","parse-names":false,"suffix":""},{"dropping-particle":"","family":"Shah","given":"Gaurav","non-dropping-particle":"","parse-names":false,"suffix":""},{"dropping-particle":"","family":"Abrey","given":"Lauren E.","non-dropping-particle":"","parse-names":false,"suffix":""},{"dropping-particle":"","family":"DeAngelis","given":"Lisa M.","non-dropping-particle":"","parse-names":false,"suffix":""},{"dropping-particle":"","family":"Omuro","given":"Antonio","non-dropping-particle":"","parse-names":false,"suffix":""}],"container-title":"Journal of Clinical Oncology","id":"ITEM-7","issue":"31","issued":{"date-parts":[["2013","11","1"]]},"page":"3971-3979","publisher":"American Society of Clinical Oncology","title":"Rituximab, methotrexate, procarbazine, and vincristine followed by consolidation reduced-dose whole-brain radiotherapy and cytarabine in newly diagnosed primary CNS lymphoma: Final results and long-term outcome","type":"article-journal","volume":"31"},"uris":["http://www.mendeley.com/documents/?uuid=07de7ec0-87f0-38d4-81b2-29cb402e4a1a"]},{"id":"ITEM-8","itemData":{"DOI":"10.1093/annonc/mdq712","ISSN":"1569-8041","PMID":"21303800","abstract":"BACKGROUND Primary central nervous system lymphoma (PCNSL) is an aggressive extranodal non-Hodgkin lymphoma confined to the central nervous system. In this article, we report the results of a pilot trial adding rituximab to the established regimen consisting of methotrexate, procarbazine, and lomustine (R-MCP). DESIGN AND METHODS PCNSL patients ≥65 years without Karnofsky performance score (KPS) limit were included. R-MCP regimen consisted of rituximab (375 mg/m(2) i.v. on days -6, 1, 15, and 29), methotrexate (3 g/m(2) i.v., days 2, 16, and 30) followed by folinic rescue, procarbazine (60 mg/m(2) orally, days 2-11), and lomustine (110 mg/m(2) orally, day 2). A maximum of three 43-day cycles were applied. Primary end point was response to treatment obtained by magnetic resonance imaging. Secondary end points were overall survival (OS) and progression-free survival (PFS). RESULTS Twenty-eight patients were included (median age 75, median KPS 60%). Best documented response: complete remission in 18 of 28 (64%), partial remission in 5 of 28 (18%), stable disease in 1 of 28 (4%), and progressive disease in 2 of 28 (7%) patients. Response was not assessed in two patients. Two treatment-associated deaths were observed. After a median follow-up of 36 months, the 3-year PFS and OS was 31%. CONCLUSION R-MCP regimen is well tolerated and active in elderly patients with newly diagnosed PCNSL.","author":[{"dropping-particle":"","family":"Fritsch","given":"K","non-dropping-particle":"","parse-names":false,"suffix":""},{"dropping-particle":"","family":"Kasenda","given":"B","non-dropping-particle":"","parse-names":false,"suffix":""},{"dropping-particle":"","family":"Hader","given":"C","non-dropping-particle":"","parse-names":false,"suffix":""},{"dropping-particle":"","family":"Nikkhah","given":"G","non-dropping-particle":"","parse-names":false,"suffix":""},{"dropping-particle":"","family":"Prinz","given":"M","non-dropping-particle":"","parse-names":false,"suffix":""},{"dropping-particle":"","family":"Haug","given":"V","non-dropping-particle":"","parse-names":false,"suffix":""},{"dropping-particle":"","family":"Haug","given":"S","non-dropping-particle":"","parse-names":false,"suffix":""},{"dropping-particle":"","family":"Ihorst","given":"G","non-dropping-particle":"","parse-names":false,"suffix":""},{"dropping-particle":"","family":"Finke","given":"J","non-dropping-particle":"","parse-names":false,"suffix":""},{"dropping-particle":"","family":"Illerhaus","given":"G","non-dropping-particle":"","parse-names":false,"suffix":""}],"container-title":"Annals of oncology : official journal of the European Society for Medical Oncology","id":"ITEM-8","issue":"9","issued":{"date-parts":[["2011","9"]]},"page":"2080-5","title":"Immunochemotherapy with rituximab, methotrexate, procarbazine, and lomustine for primary CNS lymphoma (PCNSL) in the elderly.","type":"article-journal","volume":"22"},"uris":["http://www.mendeley.com/documents/?uuid=c5014370-e027-3c23-8df9-a764eeff52b0"]}],"mendeley":{"formattedCitation":"[93–100]","plainTextFormattedCitation":"[93–100]","previouslyFormattedCitation":"[93–100]"},"properties":{"noteIndex":0},"schema":"https://github.com/citation-style-language/schema/raw/master/csl-citation.json"}</w:instrText>
      </w:r>
      <w:r w:rsidRPr="000322E4">
        <w:fldChar w:fldCharType="separate"/>
      </w:r>
      <w:r w:rsidR="009D170B" w:rsidRPr="009D170B">
        <w:rPr>
          <w:noProof/>
        </w:rPr>
        <w:t>[93–100]</w:t>
      </w:r>
      <w:r w:rsidRPr="000322E4">
        <w:fldChar w:fldCharType="end"/>
      </w:r>
      <w:r w:rsidRPr="000322E4">
        <w:t>.</w:t>
      </w:r>
    </w:p>
    <w:p w14:paraId="09B0BDFF" w14:textId="77777777" w:rsidR="002A607D" w:rsidRPr="000322E4" w:rsidRDefault="0057542B" w:rsidP="009D170B">
      <w:pPr>
        <w:spacing w:line="360" w:lineRule="auto"/>
        <w:ind w:firstLine="709"/>
        <w:contextualSpacing/>
        <w:jc w:val="both"/>
        <w:rPr>
          <w:i/>
          <w:color w:val="000000"/>
        </w:rPr>
      </w:pPr>
      <w:r w:rsidRPr="000322E4">
        <w:rPr>
          <w:i/>
          <w:color w:val="000000"/>
        </w:rPr>
        <w:t>MTX** в высоких дозах является одним из наиболее часто используемых препаратов для лечения ПЛЦНС. Доза MTX** ≥ 1 г/м</w:t>
      </w:r>
      <w:r w:rsidRPr="000322E4">
        <w:rPr>
          <w:i/>
          <w:color w:val="000000"/>
          <w:vertAlign w:val="superscript"/>
        </w:rPr>
        <w:t>2</w:t>
      </w:r>
      <w:r w:rsidRPr="000322E4">
        <w:rPr>
          <w:i/>
          <w:color w:val="000000"/>
        </w:rPr>
        <w:t> уже обеспечивает необходимую лечебную концентрацию в головном мозг</w:t>
      </w:r>
      <w:r w:rsidR="00260AFA" w:rsidRPr="000322E4">
        <w:rPr>
          <w:i/>
          <w:color w:val="000000"/>
        </w:rPr>
        <w:t>е</w:t>
      </w:r>
      <w:r w:rsidRPr="000322E4">
        <w:rPr>
          <w:i/>
          <w:color w:val="000000"/>
        </w:rPr>
        <w:t>, а доза ≥ 3,5 г/м</w:t>
      </w:r>
      <w:r w:rsidRPr="000322E4">
        <w:rPr>
          <w:i/>
          <w:color w:val="000000"/>
          <w:vertAlign w:val="superscript"/>
        </w:rPr>
        <w:t>2</w:t>
      </w:r>
      <w:r w:rsidRPr="000322E4">
        <w:rPr>
          <w:i/>
          <w:color w:val="000000"/>
        </w:rPr>
        <w:t xml:space="preserve"> — в ликворе. На основании полученных данных наиболее эффективными режимами лечения признаны монотерапия высокими дозами MTX** (от </w:t>
      </w:r>
      <w:r w:rsidR="00260AFA" w:rsidRPr="000322E4">
        <w:rPr>
          <w:i/>
          <w:color w:val="000000"/>
        </w:rPr>
        <w:t>3</w:t>
      </w:r>
      <w:r w:rsidRPr="000322E4">
        <w:rPr>
          <w:i/>
          <w:color w:val="000000"/>
        </w:rPr>
        <w:t xml:space="preserve"> до 8 г/м</w:t>
      </w:r>
      <w:r w:rsidRPr="000322E4">
        <w:rPr>
          <w:i/>
          <w:color w:val="000000"/>
          <w:vertAlign w:val="superscript"/>
        </w:rPr>
        <w:t>2</w:t>
      </w:r>
      <w:r w:rsidRPr="000322E4">
        <w:rPr>
          <w:i/>
          <w:color w:val="000000"/>
        </w:rPr>
        <w:t>) и комбинация его с другими химиотерапевтическими агентами.</w:t>
      </w:r>
    </w:p>
    <w:p w14:paraId="5C7584A7" w14:textId="2E77691F" w:rsidR="0057542B" w:rsidRPr="000322E4" w:rsidRDefault="0057542B" w:rsidP="008A40EA">
      <w:pPr>
        <w:pStyle w:val="afff8"/>
        <w:spacing w:before="0"/>
      </w:pPr>
      <w:r w:rsidRPr="000322E4">
        <w:t>Пациентам с впервые верифицированной ПЛЦНС, которым по тем или иным причинам невозможно проведение терапии с включением высоких доз метотрексата** (≥3000 мг/м</w:t>
      </w:r>
      <w:r w:rsidRPr="000322E4">
        <w:rPr>
          <w:vertAlign w:val="superscript"/>
        </w:rPr>
        <w:t>2</w:t>
      </w:r>
      <w:r w:rsidRPr="000322E4">
        <w:t xml:space="preserve">),  </w:t>
      </w:r>
      <w:r w:rsidRPr="000322E4">
        <w:rPr>
          <w:b/>
        </w:rPr>
        <w:t>рекомендован</w:t>
      </w:r>
      <w:r w:rsidR="00F66932" w:rsidRPr="000322E4">
        <w:rPr>
          <w:b/>
        </w:rPr>
        <w:t>а</w:t>
      </w:r>
      <w:r w:rsidRPr="000322E4">
        <w:rPr>
          <w:b/>
        </w:rPr>
        <w:t xml:space="preserve"> </w:t>
      </w:r>
      <w:r w:rsidR="00F66932" w:rsidRPr="000322E4">
        <w:t xml:space="preserve">терапия комбинацией  </w:t>
      </w:r>
      <w:r w:rsidR="00D2304E" w:rsidRPr="00D2304E">
        <w:t>#</w:t>
      </w:r>
      <w:r w:rsidR="006C029F" w:rsidRPr="000322E4">
        <w:t>темозоломида** и ритуксимаба**</w:t>
      </w:r>
      <w:r w:rsidRPr="000322E4">
        <w:t xml:space="preserve"> (см. приложение А3.1) </w:t>
      </w:r>
      <w:r w:rsidRPr="000322E4">
        <w:rPr>
          <w:b/>
        </w:rPr>
        <w:t xml:space="preserve"> </w:t>
      </w:r>
      <w:r w:rsidRPr="000322E4">
        <w:fldChar w:fldCharType="begin" w:fldLock="1"/>
      </w:r>
      <w:r w:rsidR="00021E2A">
        <w:instrText>ADDIN CSL_CITATION {"citationItems":[{"id":"ITEM-1","itemData":{"DOI":"10.1002/cncr.20339","ISSN":"0008-543X","abstract":"BACKGROUND. Methotrexate-based and alkylator-based chemotherapy regimens are associated with renal and bone marrow toxicities, which limit their use in patients with central nervous system (CNS) lymphomas. The authors report their experience with an immunochemotherapy regimen consisting of rituximab and temozolomide in patients with primary or metastatic CNS lymphoma. METHODS. Seven patients who had received rituximab and temozolomide were identified from the database of the brain tumor clinic at the authors' institution: three patients had developed recurrent primary CNS lymphoma (PCNSL), one patient had newly diagnosed PCNSL but had poor renal function, and three other patients with systemic non-Hodgkin lymphoma developed recurrent lymphoma in the brain only. Patients were scheduled to receive 4 cycles of induction rituximab on Day 1 and temozolomide on Days 1-5 of a 28-day cycle. Thereafter, their treatment included a total of up to 8 maintenance cycles of temozolomide alone on Days 1-5 of a 28-day cycle. A gadolinium-enhanced magnetic resonance image of the head was obtained after every two cycles of treatment. RESULTS. All patients received rituximab without toxicity. Of the 4 patients who received induction temozolomide at doses &gt; 150 mg/m2 daily on Days 1-5, 2 experienced Grade 2 leukopenia and thrombocytopenia. Five patients achieved a radiographic complete response, and two patients had partial responses after induction treatment. The median response duration was 6 months (range 3-12+ months), and the median survival was 8 months (range 3+-12+ months). CONCLUSIONS. Although median survival was short, immunochemotherapy with rituximab and temozolomide was well tolerated and exhibited efficacy in this elderly and heavily pretreated cohort. The data obtained in the current study suggest that the optimal induction dose combination consists of rituximab 375 mg/m2 on Day 1 and temozolomide 150 mg/m2 daily on Days 1-5. © 2004 American Cancer Society.","author":[{"dropping-particle":"","family":"Wong","given":"Eric T.","non-dropping-particle":"","parse-names":false,"suffix":""},{"dropping-particle":"","family":"Tishler","given":"Roy","non-dropping-particle":"","parse-names":false,"suffix":""},{"dropping-particle":"","family":"Barron","given":"Loretta","non-dropping-particle":"","parse-names":false,"suffix":""},{"dropping-particle":"","family":"Wu","given":"Julian K.","non-dropping-particle":"","parse-names":false,"suffix":""}],"container-title":"Cancer","id":"ITEM-1","issue":"1","issued":{"date-parts":[["2004","7","1"]]},"page":"139-145","title":"Immunochemotherapy with rituximab and temozolomide for central nervous system lymphomas","type":"article-journal","volume":"101"},"uris":["http://www.mendeley.com/documents/?uuid=d5d8adba-c9a5-3b37-a941-79d220a16009"]}],"mendeley":{"formattedCitation":"[101]","plainTextFormattedCitation":"[101]","previouslyFormattedCitation":"[101]"},"properties":{"noteIndex":0},"schema":"https://github.com/citation-style-language/schema/raw/master/csl-citation.json"}</w:instrText>
      </w:r>
      <w:r w:rsidRPr="000322E4">
        <w:fldChar w:fldCharType="separate"/>
      </w:r>
      <w:r w:rsidR="009D170B" w:rsidRPr="009D170B">
        <w:rPr>
          <w:noProof/>
        </w:rPr>
        <w:t>[101]</w:t>
      </w:r>
      <w:r w:rsidRPr="000322E4">
        <w:fldChar w:fldCharType="end"/>
      </w:r>
      <w:r w:rsidRPr="000322E4">
        <w:t>.</w:t>
      </w:r>
    </w:p>
    <w:p w14:paraId="236ED88C" w14:textId="77777777" w:rsidR="0057542B" w:rsidRPr="000322E4" w:rsidRDefault="0057542B" w:rsidP="00357C19">
      <w:pPr>
        <w:spacing w:line="360" w:lineRule="auto"/>
        <w:ind w:left="709"/>
        <w:contextualSpacing/>
        <w:jc w:val="both"/>
        <w:rPr>
          <w:b/>
        </w:rPr>
      </w:pPr>
      <w:r w:rsidRPr="000322E4">
        <w:rPr>
          <w:b/>
        </w:rPr>
        <w:t xml:space="preserve">Уровень убедительности рекомендаций </w:t>
      </w:r>
      <w:r w:rsidR="006C029F" w:rsidRPr="000322E4">
        <w:rPr>
          <w:b/>
          <w:lang w:val="en-US"/>
        </w:rPr>
        <w:t>C</w:t>
      </w:r>
      <w:r w:rsidR="006C029F" w:rsidRPr="000322E4">
        <w:rPr>
          <w:b/>
        </w:rPr>
        <w:t xml:space="preserve"> </w:t>
      </w:r>
      <w:r w:rsidRPr="000322E4">
        <w:rPr>
          <w:b/>
        </w:rPr>
        <w:t xml:space="preserve">(уровень достоверности доказательств </w:t>
      </w:r>
      <w:r w:rsidR="008119CC" w:rsidRPr="000322E4">
        <w:rPr>
          <w:b/>
        </w:rPr>
        <w:t>4</w:t>
      </w:r>
      <w:r w:rsidRPr="000322E4">
        <w:rPr>
          <w:b/>
        </w:rPr>
        <w:t>).</w:t>
      </w:r>
    </w:p>
    <w:p w14:paraId="6E762DE6" w14:textId="77777777" w:rsidR="00357C19" w:rsidRPr="000322E4" w:rsidRDefault="00A6186F" w:rsidP="00357C19">
      <w:pPr>
        <w:pStyle w:val="afff8"/>
        <w:spacing w:before="0"/>
      </w:pPr>
      <w:r w:rsidRPr="000322E4">
        <w:t xml:space="preserve">Пациентам с ПЛЦНС </w:t>
      </w:r>
      <w:r w:rsidRPr="000322E4">
        <w:rPr>
          <w:lang w:eastAsia="ru-RU"/>
        </w:rPr>
        <w:t>при достижении полной ремиссии</w:t>
      </w:r>
      <w:r w:rsidR="009512F1" w:rsidRPr="000322E4">
        <w:rPr>
          <w:lang w:eastAsia="ru-RU"/>
        </w:rPr>
        <w:t xml:space="preserve"> после первой линии индукционной терапии</w:t>
      </w:r>
      <w:r w:rsidRPr="000322E4">
        <w:t xml:space="preserve"> </w:t>
      </w:r>
      <w:r w:rsidRPr="000322E4">
        <w:rPr>
          <w:b/>
        </w:rPr>
        <w:t xml:space="preserve">рекомендовано </w:t>
      </w:r>
      <w:r w:rsidRPr="000322E4">
        <w:rPr>
          <w:lang w:eastAsia="ru-RU"/>
        </w:rPr>
        <w:t>проведение этапа консолидации ремиссии</w:t>
      </w:r>
      <w:r w:rsidR="00357C19" w:rsidRPr="000322E4">
        <w:rPr>
          <w:lang w:eastAsia="ru-RU"/>
        </w:rPr>
        <w:t xml:space="preserve"> по одной из следующих терапевтических стратегий</w:t>
      </w:r>
      <w:r w:rsidRPr="000322E4">
        <w:rPr>
          <w:lang w:eastAsia="ru-RU"/>
        </w:rPr>
        <w:t xml:space="preserve">: </w:t>
      </w:r>
    </w:p>
    <w:p w14:paraId="46CBD5DA" w14:textId="0E7664E2" w:rsidR="00357C19" w:rsidRPr="000322E4" w:rsidRDefault="00A6186F" w:rsidP="00357C19">
      <w:pPr>
        <w:pStyle w:val="afff8"/>
        <w:numPr>
          <w:ilvl w:val="1"/>
          <w:numId w:val="1"/>
        </w:numPr>
        <w:spacing w:before="0"/>
      </w:pPr>
      <w:r w:rsidRPr="000322E4">
        <w:rPr>
          <w:lang w:eastAsia="ru-RU"/>
        </w:rPr>
        <w:t>ВДХТ с аутоТГСК у пациентов моложе 65 лет</w:t>
      </w:r>
      <w:r w:rsidR="00357C19" w:rsidRPr="000322E4">
        <w:rPr>
          <w:lang w:eastAsia="ru-RU"/>
        </w:rPr>
        <w:t xml:space="preserve"> </w:t>
      </w:r>
      <w:r w:rsidR="00357C19" w:rsidRPr="000322E4">
        <w:rPr>
          <w:lang w:eastAsia="ru-RU"/>
        </w:rPr>
        <w:fldChar w:fldCharType="begin" w:fldLock="1"/>
      </w:r>
      <w:r w:rsidR="00021E2A">
        <w:rPr>
          <w:lang w:eastAsia="ru-RU"/>
        </w:rPr>
        <w:instrText>ADDIN CSL_CITATION {"citationItems":[{"id":"ITEM-1","itemData":{"DOI":"10.1200/JCO.2006.06.2117","ISSN":"0732183X","abstract":"Purpose: To improve survival and reduce toxicity in primary CNS lymphoma (PCNSL) treatment, we conducted a multicenter phase II study with early high-dose chemotherapy (HDT) and autologous stem-cell transplantation (ASCT) followed by hyperfractionated whole-brain radiotherapy (WBRT) for newly diagnosed PCNSL patients younger than 65 years of age. Patients and Methods: Chemotherapy included three steps: three cycles of methotrexate (8 g/m 2); cytarabine (AraC; two doses of 3 g/m2) and thiotepa (40 mg/m2) followed by stem-cell harvest; HDT with carmustine (400 mg/m2) and thiotepa (two doses of 5 mg/kg body weight) followed by ASCT. WBRT (45 Gy, two doses of 1 Gy/d) was administered for consolidation. Results: Thirty patients with PCNSL younger than 65 years of age (median, 54 years; range, 27 years to 64 years) were enrolled (nine pilot-phase; 21 phase II). Twenty-eight patients responded to methotrexate: six patients with complete remission (CR), 15 patients with partial remission (PR), and seven patients with stable disease (SD) with clinical improvement. Of 26 patients proceeding to AraC and thiotepa, 10 patients achieved CR, 14 patients achieved PR, one patient experienced SD with clinical improvement, and one patient suffered disease progression. Twenty-three patients received HDT plus ASCT, resulting in 15 patients with CRs and eight patients with PRs. After WBRT, 21 of 21 patients had CRs. One patient died from liver failure after methotrexate. HDT was well tolerated apart from WHO grade 3/4 cytopenia. With a median follow-up of 63 months (range, 4 months to 84 months), 5-year overall survival probability is 69% for all patients and 87% for the 23 patients receiving HDT plus ASCT. The 5-year probability of relapse-related death is 21% for all patients (n = 30) and 8.7% for patients treated with HDT plus ASCT (n = 23). Conclusion: Sequential systemic methotrexate and AraC and thiotepa followed by HDT plus ASCT and hyperfractionated WBRT is very effective with little toxicity as initial therapy for PCNSL. © 2006 by American Society of Clinical Oncology.","author":[{"dropping-particle":"","family":"Illerhaus","given":"Gerald","non-dropping-particle":"","parse-names":false,"suffix":""},{"dropping-particle":"","family":"Marks","given":"Reinhard","non-dropping-particle":"","parse-names":false,"suffix":""},{"dropping-particle":"","family":"Ihorst","given":"Gabriele","non-dropping-particle":"","parse-names":false,"suffix":""},{"dropping-particle":"","family":"Guttenberger","given":"Roland","non-dropping-particle":"","parse-names":false,"suffix":""},{"dropping-particle":"","family":"Ostertag","given":"Christoph","non-dropping-particle":"","parse-names":false,"suffix":""},{"dropping-particle":"","family":"Derigs","given":"Günther","non-dropping-particle":"","parse-names":false,"suffix":""},{"dropping-particle":"","family":"Frickhofen","given":"Norbert","non-dropping-particle":"","parse-names":false,"suffix":""},{"dropping-particle":"","family":"Feuerhake","given":"Friedrich","non-dropping-particle":"","parse-names":false,"suffix":""},{"dropping-particle":"","family":"Volk","given":"Benedikt","non-dropping-particle":"","parse-names":false,"suffix":""},{"dropping-particle":"","family":"Finke","given":"Jürgen","non-dropping-particle":"","parse-names":false,"suffix":""}],"container-title":"Journal of Clinical Oncology","id":"ITEM-1","issue":"24","issued":{"date-parts":[["2006","8","20"]]},"page":"3865-3870","title":"High-dose chemotherapy with autologous stem-cell transplantation and hyperfractionated radiotherapy as first-line treatment of primary CNS lymphoma","type":"article-journal","volume":"24"},"uris":["http://www.mendeley.com/documents/?uuid=f8b152aa-293d-3ad2-8ea6-ed0af35f5a68"]},{"id":"ITEM-2","itemData":{"DOI":"10.1200/JCO.18.00306","ISSN":"1527-7755","PMID":"30785830","abstract":"PURPOSE To determine the efficacy and toxicity of chemoimmunotherapy followed by either whole-brain radiotherapy (WBRT) or intensive chemotherapy and autologous stem-cell transplantation (ASCT) as a first-line treatment of primary CNS lymphoma (PCNSL). PATIENTS AND METHODS Immunocompetent patients (18 to 60 years of age) with untreated PCNSL were randomly assigned to receive WBRT or ASCT as consolidation treatment after induction chemotherapy consisting of two cycles of R-MBVP (rituximab 375 mg/m2 day (D) 1, methotrexate 3 g/m2 D1; D15, VP16 100 mg/m2 D2, BCNU 100 mg/m2 D3, prednisone 60 mg/kg/d D1-D5) followed by two cycles of R-AraC (rituximab 375 mg/m2 D1, cytarabine 3 g/m2 D1 to D2). Intensive chemotherapy consisted of thiotepa (250 mg/m2/d D9; D8; D7), busulfan (8 mg/kg D6 through D4), and cyclophosphamide (60 mg/kg/d D3; D2). WBRT delivered 40 Gy (2 Gy/fraction). The primary end point was 2-year progression-free survival. Cognitive outcome was the main secondary end point. Analysis was intention to treat in a noncomparative phase II trial. RESULTS Between October 2008 and February 2014, 140 patients were recruited from 23 French centers. Both WBRT and ASCT met the predetermined threshold (among the first 38 patients in each group, at least 24 patients were alive and disease free at 2 years). The 2-year progression-free survival rates were 63% (95% CI, 49% to 81%) and 87% (95% CI, 77% to 98%) in the WBRT and ASCT arms, respectively. Toxicity deaths were recorded in one and five patients after WBRT and ASCT, respectively. Cognitive impairment was observed after WBRT, whereas cognitive functions were preserved or improved after ASCT. CONCLUSION WBRT and ASCT are effective consolidation treatments for patients with PCNSL who are 60 years of age and younger. The efficacy end points tended to favor the ASCT arm. The specific risk of each procedure should be considered.","author":[{"dropping-particle":"","family":"Houillier","given":"Caroline","non-dropping-particle":"","parse-names":false,"suffix":""},{"dropping-particle":"","family":"Taillandier","given":"Luc","non-dropping-particle":"","parse-names":false,"suffix":""},{"dropping-particle":"","family":"Dureau","given":"Sylvain","non-dropping-particle":"","parse-names":false,"suffix":""},{"dropping-particle":"","family":"Lamy","given":"Thierry","non-dropping-particle":"","parse-names":false,"suffix":""},{"dropping-particle":"","family":"Laadhari","given":"Mouna","non-dropping-particle":"","parse-names":false,"suffix":""},{"dropping-particle":"","family":"Chinot","given":"Olivier","non-dropping-particle":"","parse-names":false,"suffix":""},{"dropping-particle":"","family":"Moluçon-Chabrot","given":"Cecile","non-dropping-particle":"","parse-names":false,"suffix":""},{"dropping-particle":"","family":"Soubeyran","given":"Pierre","non-dropping-particle":"","parse-names":false,"suffix":""},{"dropping-particle":"","family":"Gressin","given":"Remy","non-dropping-particle":"","parse-names":false,"suffix":""},{"dropping-particle":"","family":"Choquet","given":"Sylvain","non-dropping-particle":"","parse-names":false,"suffix":""},{"dropping-particle":"","family":"Damaj","given":"Gandhi","non-dropping-particle":"","parse-names":false,"suffix":""},{"dropping-particle":"","family":"Thyss","given":"Antoine","non-dropping-particle":"","parse-names":false,"suffix":""},{"dropping-particle":"","family":"Abraham","given":"Julie","non-dropping-particle":"","parse-names":false,"suffix":""},{"dropping-particle":"","family":"Delwail","given":"Vincent","non-dropping-particle":"","parse-names":false,"suffix":""},{"dropping-particle":"","family":"Gyan","given":"Emmanuel","non-dropping-particle":"","parse-names":false,"suffix":""},{"dropping-particle":"","family":"Sanhes","given":"Laurence","non-dropping-particle":"","parse-names":false,"suffix":""},{"dropping-particle":"","family":"Cornillon","given":"Jérôme","non-dropping-particle":"","parse-names":false,"suffix":""},{"dropping-particle":"","family":"Garidi","given":"Reda","non-dropping-particle":"","parse-names":false,"suffix":""},{"dropping-particle":"","family":"Delmer","given":"Alain","non-dropping-particle":"","parse-names":false,"suffix":""},{"dropping-particle":"","family":"Tanguy","given":"Marie-Laure","non-dropping-particle":"","parse-names":false,"suffix":""},{"dropping-particle":"","family":"Jijakli","given":"Ahmad","non-dropping-particle":"Al","parse-names":false,"suffix":""},{"dropping-particle":"","family":"Morel","given":"Pierre","non-dropping-particle":"","parse-names":false,"suffix":""},{"dropping-particle":"","family":"Bourquard","given":"Pascal","non-dropping-particle":"","parse-names":false,"suffix":""},{"dropping-particle":"","family":"Moles","given":"Marie-Pierre","non-dropping-particle":"","parse-names":false,"suffix":""},{"dropping-particle":"","family":"Chauchet","given":"Adrien","non-dropping-particle":"","parse-names":false,"suffix":""},{"dropping-particle":"","family":"Gastinne","given":"Thomas","non-dropping-particle":"","parse-names":false,"suffix":""},{"dropping-particle":"","family":"Constans","given":"Jean-Marc","non-dropping-particle":"","parse-names":false,"suffix":""},{"dropping-particle":"","family":"Langer","given":"Adriana","non-dropping-particle":"","parse-names":false,"suffix":""},{"dropping-particle":"","family":"Martin","given":"Antoine","non-dropping-particle":"","parse-names":false,"suffix":""},{"dropping-particle":"","family":"Moisson","given":"Patricia","non-dropping-particle":"","parse-names":false,"suffix":""},{"dropping-particle":"","family":"Lacomblez","given":"Lucette","non-dropping-particle":"","parse-names":false,"suffix":""},{"dropping-particle":"","family":"Martin-Duverneuil","given":"Nadine","non-dropping-particle":"","parse-names":false,"suffix":""},{"dropping-particle":"","family":"Delgadillo","given":"Daniel","non-dropping-particle":"","parse-names":false,"suffix":""},{"dropping-particle":"","family":"Turbiez","given":"Isabelle","non-dropping-particle":"","parse-names":false,"suffix":""},{"dropping-particle":"","family":"Feuvret","given":"Loïc","non-dropping-particle":"","parse-names":false,"suffix":""},{"dropping-particle":"","family":"Cassoux","given":"Nathalie","non-dropping-particle":"","parse-names":false,"suffix":""},{"dropping-particle":"","family":"Touitou","given":"Valérie","non-dropping-particle":"","parse-names":false,"suffix":""},{"dropping-particle":"","family":"Ricard","given":"Damien","non-dropping-particle":"","parse-names":false,"suffix":""},{"dropping-particle":"","family":"Hoang-Xuan","given":"Khê","non-dropping-particle":"","parse-names":false,"suffix":""},{"dropping-particle":"","family":"Soussain","given":"Carole","non-dropping-particle":"","parse-names":false,"suffix":""},{"dropping-particle":"","family":"Intergroupe GOELAMS–ANOCEF and the LOC Network for CNS Lymphoma","given":"","non-dropping-particle":"","parse-names":false,"suffix":""}],"container-title":"Journal of clinical oncology : official journal of the American Society of Clinical Oncology","id":"ITEM-2","issue":"10","issued":{"date-parts":[["2019","4","1"]]},"page":"823-833","publisher":"American Society of Clinical Oncology","title":"Radiotherapy or Autologous Stem-Cell Transplantation for Primary CNS Lymphoma in Patients 60 Years of Age and Younger: Results of the Intergroup ANOCEF-GOELAMS Randomized Phase II PRECIS Study.","type":"article-journal","volume":"37"},"uris":["http://www.mendeley.com/documents/?uuid=3c1f7860-8a64-35f6-b2b0-4d605f1581c6"]}],"mendeley":{"formattedCitation":"[102,103]","plainTextFormattedCitation":"[102,103]","previouslyFormattedCitation":"[102,103]"},"properties":{"noteIndex":0},"schema":"https://github.com/citation-style-language/schema/raw/master/csl-citation.json"}</w:instrText>
      </w:r>
      <w:r w:rsidR="00357C19" w:rsidRPr="000322E4">
        <w:rPr>
          <w:lang w:eastAsia="ru-RU"/>
        </w:rPr>
        <w:fldChar w:fldCharType="separate"/>
      </w:r>
      <w:r w:rsidR="009D170B" w:rsidRPr="009D170B">
        <w:rPr>
          <w:noProof/>
          <w:lang w:eastAsia="ru-RU"/>
        </w:rPr>
        <w:t>[102,103]</w:t>
      </w:r>
      <w:r w:rsidR="00357C19" w:rsidRPr="000322E4">
        <w:rPr>
          <w:lang w:eastAsia="ru-RU"/>
        </w:rPr>
        <w:fldChar w:fldCharType="end"/>
      </w:r>
      <w:r w:rsidRPr="000322E4">
        <w:rPr>
          <w:lang w:eastAsia="ru-RU"/>
        </w:rPr>
        <w:t xml:space="preserve">, </w:t>
      </w:r>
    </w:p>
    <w:p w14:paraId="14D7EB6F" w14:textId="78577F84" w:rsidR="00357C19" w:rsidRPr="000322E4" w:rsidRDefault="00A6186F" w:rsidP="00357C19">
      <w:pPr>
        <w:pStyle w:val="afff8"/>
        <w:numPr>
          <w:ilvl w:val="1"/>
          <w:numId w:val="1"/>
        </w:numPr>
        <w:spacing w:before="0"/>
      </w:pPr>
      <w:r w:rsidRPr="000322E4">
        <w:rPr>
          <w:lang w:eastAsia="ru-RU"/>
        </w:rPr>
        <w:t>химиотерапи</w:t>
      </w:r>
      <w:r w:rsidR="00357C19" w:rsidRPr="000322E4">
        <w:rPr>
          <w:lang w:eastAsia="ru-RU"/>
        </w:rPr>
        <w:t>я</w:t>
      </w:r>
      <w:r w:rsidRPr="000322E4">
        <w:rPr>
          <w:lang w:eastAsia="ru-RU"/>
        </w:rPr>
        <w:t xml:space="preserve"> с включением высоких доз цитарабина** +/- </w:t>
      </w:r>
      <w:r w:rsidR="00212EF5" w:rsidRPr="000322E4">
        <w:rPr>
          <w:lang w:eastAsia="ru-RU"/>
        </w:rPr>
        <w:t>высокие дозы метотрексата</w:t>
      </w:r>
      <w:r w:rsidR="00357C19" w:rsidRPr="000322E4">
        <w:rPr>
          <w:lang w:eastAsia="ru-RU"/>
        </w:rPr>
        <w:t xml:space="preserve"> (см. приложение А3.1)</w:t>
      </w:r>
      <w:r w:rsidR="00212EF5" w:rsidRPr="000322E4">
        <w:rPr>
          <w:lang w:eastAsia="ru-RU"/>
        </w:rPr>
        <w:t xml:space="preserve"> </w:t>
      </w:r>
      <w:r w:rsidR="00416CC7" w:rsidRPr="000322E4">
        <w:rPr>
          <w:lang w:eastAsia="ru-RU"/>
        </w:rPr>
        <w:fldChar w:fldCharType="begin" w:fldLock="1"/>
      </w:r>
      <w:r w:rsidR="00021E2A">
        <w:rPr>
          <w:lang w:eastAsia="ru-RU"/>
        </w:rPr>
        <w:instrText>ADDIN CSL_CITATION {"citationItems":[{"id":"ITEM-1","itemData":{"DOI":"10.1016/S0140-6736(09)61416-1","ISSN":"01406736","abstract":"Background: Chemotherapy with high-dose methotrexate is the conventional approach to treat primary CNS lymphomas, but superiority of polychemotherapy compared with high-dose methotrexate alone is unproven. We assessed the effect of adding high-dose cytarabine to methotrexate in patients with newly diagnosed primary CNS lymphoma. Methods: This open, randomised, phase 2 trial was undertaken in 24 centres in six countries. 79 patients with non-Hodgkin lymphoma exclusively localised into the CNS, cranial nerves, or eyes, aged 18-75 years, and with Eastern Cooperative Oncology Group performance status of 3 or lower and measurable disease were centrally randomly assigned by computer to receive four courses of either methotrexate 3·5 g/m2 on day 1 (n=40) or methotrexate 3·5 g/m2 on day 1 plus cytarabine 2 g/m2 twice a day on days 2-3 (n=39). Both regimens were administered every 3 weeks and were followed by whole-brain irradiation. The primary endpoint was complete remission rate after chemotherapy. Analysis was by intention to treat. This study is registered with ClinicalTrials.gov, number NCT00210314. Findings: All randomly assigned participants were analysed. After chemotherapy, seven patients given methotrexate and 18 given methotrexate plus cytarabine achieved a complete remission, with a complete remission rate of 18% (95% CI 6-30) and 46% (31-61), respectively, (p=0·006). Nine patients receiving methotrexate and nine receiving methotrexate plus cytarabine achieved a partial response, with an overall response rate of 40% (25-55) and 69% (55-83), respectively, (p=0·009). Grade 3-4 haematological toxicity was more common in the methotrexate plus cytarabine group than in the methotrexate group (36 [92%] vs six [15%]). Four patients died of toxic effects (three vs one). Interpretation: In patients aged 75 years and younger with primary CNS lymphoma, the addition of high-dose cytarabine to high-dose methotrexate provides improved outcome with acceptable toxicity compared with high-dose methotrexate alone. Funding: Swiss Cancer League. © 2009 Elsevier Ltd. All rights reserved.","author":[{"dropping-particle":"","family":"Ferreri","given":"Andrés JM","non-dropping-particle":"","parse-names":false,"suffix":""},{"dropping-particle":"","family":"Reni","given":"Michele","non-dropping-particle":"","parse-names":false,"suffix":""},{"dropping-particle":"","family":"Foppoli","given":"Marco","non-dropping-particle":"","parse-names":false,"suffix":""},{"dropping-particle":"","family":"Martelli","given":"Maurizio","non-dropping-particle":"","parse-names":false,"suffix":""},{"dropping-particle":"","family":"Pangalis","given":"Gerasimus A.","non-dropping-particle":"","parse-names":false,"suffix":""},{"dropping-particle":"","family":"Frezzato","given":"Maurizio","non-dropping-particle":"","parse-names":false,"suffix":""},{"dropping-particle":"","family":"Cabras","given":"Maria Giuseppina","non-dropping-particle":"","parse-names":false,"suffix":""},{"dropping-particle":"","family":"Fabbri","given":"Alberto","non-dropping-particle":"","parse-names":false,"suffix":""},{"dropping-particle":"","family":"Corazzelli","given":"Gaetano","non-dropping-particle":"","parse-names":false,"suffix":""},{"dropping-particle":"","family":"Ilariucci","given":"Fiorella","non-dropping-particle":"","parse-names":false,"suffix":""},{"dropping-particle":"","family":"Rossi","given":"Giuseppe","non-dropping-particle":"","parse-names":false,"suffix":""},{"dropping-particle":"","family":"Soffietti","given":"Riccardo","non-dropping-particle":"","parse-names":false,"suffix":""},{"dropping-particle":"","family":"Stelitano","given":"Caterina","non-dropping-particle":"","parse-names":false,"suffix":""},{"dropping-particle":"","family":"Vallisa","given":"Daniele","non-dropping-particle":"","parse-names":false,"suffix":""},{"dropping-particle":"","family":"Zaja","given":"Francesco","non-dropping-particle":"","parse-names":false,"suffix":""},{"dropping-particle":"","family":"Zoppegno","given":"Lucía","non-dropping-particle":"","parse-names":false,"suffix":""},{"dropping-particle":"","family":"Aondio","given":"Gian Marco","non-dropping-particle":"","parse-names":false,"suffix":""},{"dropping-particle":"","family":"Avvisati","given":"Giuseppe","non-dropping-particle":"","parse-names":false,"suffix":""},{"dropping-particle":"","family":"Balzarotti","given":"Monica","non-dropping-particle":"","parse-names":false,"suffix":""},{"dropping-particle":"","family":"Brandes","given":"Alba A.","non-dropping-particle":"","parse-names":false,"suffix":""},{"dropping-particle":"","family":"Fajardo","given":"José","non-dropping-particle":"","parse-names":false,"suffix":""},{"dropping-particle":"","family":"Gomez","given":"Henry","non-dropping-particle":"","parse-names":false,"suffix":""},{"dropping-particle":"","family":"Guarini","given":"Attilio","non-dropping-particle":"","parse-names":false,"suffix":""},{"dropping-particle":"","family":"Pinotti","given":"Graziella","non-dropping-particle":"","parse-names":false,"suffix":""},{"dropping-particle":"","family":"Rigacci","given":"Luigi","non-dropping-particle":"","parse-names":false,"suffix":""},{"dropping-particle":"","family":"Uhlmann","given":"Catrina","non-dropping-particle":"","parse-names":false,"suffix":""},{"dropping-particle":"","family":"Picozzi","given":"Piero","non-dropping-particle":"","parse-names":false,"suffix":""},{"dropping-particle":"","family":"Vezzulli","given":"Paolo","non-dropping-particle":"","parse-names":false,"suffix":""},{"dropping-particle":"","family":"Ponzoni","given":"Maurilio","non-dropping-particle":"","parse-names":false,"suffix":""},{"dropping-particle":"","family":"Zucca","given":"Emanuele","non-dropping-particle":"","parse-names":false,"suffix":""},{"dropping-particle":"","family":"Caligaris-Cappio","given":"Federico","non-dropping-particle":"","parse-names":false,"suffix":""},{"dropping-particle":"","family":"Cavalli","given":"Franco","non-dropping-particle":"","parse-names":false,"suffix":""}],"container-title":"The Lancet","id":"ITEM-1","issue":"9700","issued":{"date-parts":[["2009"]]},"page":"1512-1520","title":"High-dose cytarabine plus high-dose methotrexate versus high-dose methotrexate alone in patients with primary CNS lymphoma: a randomised phase 2 trial","type":"article-journal","volume":"374"},"uris":["http://www.mendeley.com/documents/?uuid=ff6c34eb-65ed-333e-878d-5d30c9dd2ebd"]},{"id":"ITEM-2","itemData":{"DOI":"10.1016/S2352-3026(16)00036-3","ISSN":"23523026","abstract":"Background: Standard treatment for patients with primary CNS lymphoma remains to be defined. Active therapies are often associated with increased risk of haematological or neurological toxicity. In this trial, we addressed the tolerability and efficacy of adding rituximab with or without thiotepa to methotrexate-cytarabine combination therapy (the MATRix regimen), followed by a second randomisation comparing consolidation with whole-brain radiotherapy or autologous stem cell transplantation in patients with primary CNS lymphoma. We report the results of the first randomisation in this Article. Methods: For the international randomised phase 2 International Extranodal Lymphoma Study Group-32 (IELSG32) trial, HIV-negative patients (aged 18-70 years) with newly diagnosed primary CNS lymphoma and measurable disease were enrolled from 53 cancer centres in five European countries (Denmark, Germany, Italy, Switzerland, and the UK) and randomly assigned (1:1:1) to receive four courses of methotrexate 3·5 g/m2 on day 1 plus cytarabine 2 g/m2 twice daily on days 2 and 3 (group A); or the same combination plus two doses of rituximab 375 mg/m2 on days -5 and 0 (group B); or the same methotrexate-cytarabine-rituximab combination plus thiotepa 30 mg/m2 on day 4 (group C), with the three groups repeating treatment every 3 weeks. Patients with responsive or stable disease after the first stage were then randomly allocated between whole-brain radiotherapy and autologous stem cell transplantation. A permuted blocks randomised design (block size four) was used for both randomisations, and a computer-generated randomisation list was used within each stratum to preserve allocation concealment. Randomisation was stratified by IELSG risk score (low vs intermediate vs high). No masking after assignment to intervention was used. The primary endpoint of the first randomisation was the complete remission rate, analysed by modified intention to treat. This study is registered with ClinicalTrials.gov, number NCT01011920. Findings: Between Feb 19, 2010, and Aug 27, 2014, 227 eligible patients were recruited. 219 of these 227 enrolled patients were assessable. At median follow-up of 30 months (IQR 22-38), patients treated with rituximab and thiotepa had a complete remission rate of 49% (95% CI 38-60), compared with 23% (14-31) of those treated with methotrexate-cytarabine alone (hazard ratio 0·46, 95% CI 0·28-0·74) and 30% (21-42) of those treated with methotrexate-cytarabine plus ri…","author":[{"dropping-particle":"","family":"Ferreri","given":"Andrés J.M.","non-dropping-particle":"","parse-names":false,"suffix":""},{"dropping-particle":"","family":"Cwynarski","given":"Kate","non-dropping-particle":"","parse-names":false,"suffix":""},{"dropping-particle":"","family":"Pulczynski","given":"Elisa","non-dropping-particle":"","parse-names":false,"suffix":""},{"dropping-particle":"","family":"Ponzoni","given":"Maurilio","non-dropping-particle":"","parse-names":false,"suffix":""},{"dropping-particle":"","family":"Deckert","given":"Martina","non-dropping-particle":"","parse-names":false,"suffix":""},{"dropping-particle":"","family":"Politi","given":"Letterio S.","non-dropping-particle":"","parse-names":false,"suffix":""},{"dropping-particle":"","family":"Torri","given":"Valter","non-dropping-particle":"","parse-names":false,"suffix":""},{"dropping-particle":"","family":"Fox","given":"Christopher P.","non-dropping-particle":"","parse-names":false,"suffix":""},{"dropping-particle":"La","family":"Rosée","given":"Paul","non-dropping-particle":"","parse-names":false,"suffix":""},{"dropping-particle":"","family":"Schorb","given":"Elisabeth","non-dropping-particle":"","parse-names":false,"suffix":""},{"dropping-particle":"","family":"Ambrosetti","given":"Achille","non-dropping-particle":"","parse-names":false,"suffix":""},{"dropping-particle":"","family":"Roth","given":"Alexander","non-dropping-particle":"","parse-names":false,"suffix":""},{"dropping-particle":"","family":"Hemmaway","given":"Claire","non-dropping-particle":"","parse-names":false,"suffix":""},{"dropping-particle":"","family":"Ferrari","given":"Angela","non-dropping-particle":"","parse-names":false,"suffix":""},{"dropping-particle":"","family":"Linton","given":"Kim M.","non-dropping-particle":"","parse-names":false,"suffix":""},{"dropping-particle":"","family":"Rudà","given":"Roberta","non-dropping-particle":"","parse-names":false,"suffix":""},{"dropping-particle":"","family":"Binder","given":"Mascha","non-dropping-particle":"","parse-names":false,"suffix":""},{"dropping-particle":"","family":"Pukrop","given":"Tobias","non-dropping-particle":"","parse-names":false,"suffix":""},{"dropping-particle":"","family":"Balzarotti","given":"Monica","non-dropping-particle":"","parse-names":false,"suffix":""},{"dropping-particle":"","family":"Fabbri","given":"Alberto","non-dropping-particle":"","parse-names":false,"suffix":""},{"dropping-particle":"","family":"Johnson","given":"Peter","non-dropping-particle":"","parse-names":false,"suffix":""},{"dropping-particle":"","family":"Gørløv","given":"Jette Sønderskov","non-dropping-particle":"","parse-names":false,"suffix":""},{"dropping-particle":"","family":"Hess","given":"Georg","non-dropping-particle":"","parse-names":false,"suffix":""},{"dropping-particle":"","family":"Panse","given":"Jens","non-dropping-particle":"","parse-names":false,"suffix":""},{"dropping-particle":"","family":"Pisani","given":"Francesco","non-dropping-particle":"","parse-names":false,"suffix":""},{"dropping-particle":"","family":"Tucci","given":"Alessandra","non-dropping-particle":"","parse-names":false,"suffix":""},{"dropping-particle":"","family":"Stilgenbauer","given":"Stephan","non-dropping-particle":"","parse-names":false,"suffix":""},{"dropping-particle":"","family":"Hertenstein","given":"Bernd","non-dropping-particle":"","parse-names":false,"suffix":""},{"dropping-particle":"","family":"Keller","given":"Ulrich","non-dropping-particle":"","parse-names":false,"suffix":""},{"dropping-particle":"","family":"Krause","given":"Stefan W.","non-dropping-particle":"","parse-names":false,"suffix":""},{"dropping-particle":"","family":"Levis","given":"Alessandro","non-dropping-particle":"","parse-names":false,"suffix":""},{"dropping-particle":"","family":"Schmoll","given":"Hans J.","non-dropping-particle":"","parse-names":false,"suffix":""},{"dropping-particle":"","family":"Cavalli","given":"Franco","non-dropping-particle":"","parse-names":false,"suffix":""},{"dropping-particle":"","family":"Finke","given":"Jürgen","non-dropping-particle":"","parse-names":false,"suffix":""},{"dropping-particle":"","family":"Reni","given":"Michele","non-dropping-particle":"","parse-names":false,"suffix":""},{"dropping-particle":"","family":"Zucca","given":"Emanuele","non-dropping-particle":"","parse-names":false,"suffix":""},{"dropping-particle":"","family":"Illerhaus","given":"Gerald","non-dropping-particle":"","parse-names":false,"suffix":""}],"container-title":"The Lancet Haematology","id":"ITEM-2","issue":"5","issued":{"date-parts":[["2016","5","1"]]},"page":"e217-e227","publisher":"Elsevier Ltd","title":"Chemoimmunotherapy with methotrexate, cytarabine, thiotepa, and rituximab (MATRix regimen) in patients with primary CNS lymphoma: Results of the first randomisation of the International Extranodal Lymphoma Study Group-32 (IELSG32) phase 2 trial","type":"article-journal","volume":"3"},"uris":["http://www.mendeley.com/documents/?uuid=dba9195b-19f7-3b8c-bc61-a75828657f4a"]}],"mendeley":{"formattedCitation":"[94,104]","plainTextFormattedCitation":"[94,104]","previouslyFormattedCitation":"[94,104]"},"properties":{"noteIndex":0},"schema":"https://github.com/citation-style-language/schema/raw/master/csl-citation.json"}</w:instrText>
      </w:r>
      <w:r w:rsidR="00416CC7" w:rsidRPr="000322E4">
        <w:rPr>
          <w:lang w:eastAsia="ru-RU"/>
        </w:rPr>
        <w:fldChar w:fldCharType="separate"/>
      </w:r>
      <w:r w:rsidR="009D170B" w:rsidRPr="009D170B">
        <w:rPr>
          <w:noProof/>
          <w:lang w:eastAsia="ru-RU"/>
        </w:rPr>
        <w:t>[94,104]</w:t>
      </w:r>
      <w:r w:rsidR="00416CC7" w:rsidRPr="000322E4">
        <w:rPr>
          <w:lang w:eastAsia="ru-RU"/>
        </w:rPr>
        <w:fldChar w:fldCharType="end"/>
      </w:r>
    </w:p>
    <w:p w14:paraId="3A6FAFA1" w14:textId="52396DE5" w:rsidR="00A6186F" w:rsidRPr="000322E4" w:rsidRDefault="00A6186F" w:rsidP="00A76511">
      <w:pPr>
        <w:pStyle w:val="afff8"/>
        <w:numPr>
          <w:ilvl w:val="1"/>
          <w:numId w:val="1"/>
        </w:numPr>
        <w:spacing w:before="0"/>
      </w:pPr>
      <w:r w:rsidRPr="000322E4">
        <w:rPr>
          <w:lang w:eastAsia="ru-RU"/>
        </w:rPr>
        <w:t>проведение лучевой терапии</w:t>
      </w:r>
      <w:r w:rsidRPr="000322E4">
        <w:t xml:space="preserve"> </w:t>
      </w:r>
      <w:r w:rsidR="009375D9" w:rsidRPr="000322E4">
        <w:t>на весь головной мозг СОД 2</w:t>
      </w:r>
      <w:r w:rsidR="00212EF5" w:rsidRPr="000322E4">
        <w:t>3,</w:t>
      </w:r>
      <w:r w:rsidR="009375D9" w:rsidRPr="000322E4">
        <w:t>4 Гр, РОД 1,8 Гр</w:t>
      </w:r>
      <w:r w:rsidR="00212EF5" w:rsidRPr="000322E4">
        <w:t xml:space="preserve"> </w:t>
      </w:r>
      <w:r w:rsidR="00212EF5" w:rsidRPr="000322E4">
        <w:rPr>
          <w:lang w:val="en-US"/>
        </w:rPr>
        <w:fldChar w:fldCharType="begin" w:fldLock="1"/>
      </w:r>
      <w:r w:rsidR="00021E2A">
        <w:rPr>
          <w:lang w:val="en-US"/>
        </w:rPr>
        <w:instrText>ADDIN</w:instrText>
      </w:r>
      <w:r w:rsidR="00021E2A" w:rsidRPr="00320416">
        <w:instrText xml:space="preserve"> </w:instrText>
      </w:r>
      <w:r w:rsidR="00021E2A">
        <w:rPr>
          <w:lang w:val="en-US"/>
        </w:rPr>
        <w:instrText>CSL</w:instrText>
      </w:r>
      <w:r w:rsidR="00021E2A" w:rsidRPr="00320416">
        <w:instrText>_</w:instrText>
      </w:r>
      <w:r w:rsidR="00021E2A">
        <w:rPr>
          <w:lang w:val="en-US"/>
        </w:rPr>
        <w:instrText>CITATION</w:instrText>
      </w:r>
      <w:r w:rsidR="00021E2A" w:rsidRPr="00320416">
        <w:instrText xml:space="preserve"> {"</w:instrText>
      </w:r>
      <w:r w:rsidR="00021E2A">
        <w:rPr>
          <w:lang w:val="en-US"/>
        </w:rPr>
        <w:instrText>citationItems</w:instrText>
      </w:r>
      <w:r w:rsidR="00021E2A" w:rsidRPr="00320416">
        <w:instrText>":[{"</w:instrText>
      </w:r>
      <w:r w:rsidR="00021E2A">
        <w:rPr>
          <w:lang w:val="en-US"/>
        </w:rPr>
        <w:instrText>id</w:instrText>
      </w:r>
      <w:r w:rsidR="00021E2A" w:rsidRPr="00320416">
        <w:instrText>":"</w:instrText>
      </w:r>
      <w:r w:rsidR="00021E2A">
        <w:rPr>
          <w:lang w:val="en-US"/>
        </w:rPr>
        <w:instrText>ITEM</w:instrText>
      </w:r>
      <w:r w:rsidR="00021E2A" w:rsidRPr="00320416">
        <w:instrText>-1","</w:instrText>
      </w:r>
      <w:r w:rsidR="00021E2A">
        <w:rPr>
          <w:lang w:val="en-US"/>
        </w:rPr>
        <w:instrText>itemData</w:instrText>
      </w:r>
      <w:r w:rsidR="00021E2A" w:rsidRPr="00320416">
        <w:instrText>":{"</w:instrText>
      </w:r>
      <w:r w:rsidR="00021E2A">
        <w:rPr>
          <w:lang w:val="en-US"/>
        </w:rPr>
        <w:instrText>DOI</w:instrText>
      </w:r>
      <w:r w:rsidR="00021E2A" w:rsidRPr="00320416">
        <w:instrText>":"10.1200/</w:instrText>
      </w:r>
      <w:r w:rsidR="00021E2A">
        <w:rPr>
          <w:lang w:val="en-US"/>
        </w:rPr>
        <w:instrText>JCO</w:instrText>
      </w:r>
      <w:r w:rsidR="00021E2A" w:rsidRPr="00320416">
        <w:instrText>.2013.50.4910","</w:instrText>
      </w:r>
      <w:r w:rsidR="00021E2A">
        <w:rPr>
          <w:lang w:val="en-US"/>
        </w:rPr>
        <w:instrText>ISSN</w:instrText>
      </w:r>
      <w:r w:rsidR="00021E2A" w:rsidRPr="00320416">
        <w:instrText>":"15277755","</w:instrText>
      </w:r>
      <w:r w:rsidR="00021E2A">
        <w:rPr>
          <w:lang w:val="en-US"/>
        </w:rPr>
        <w:instrText>abstract</w:instrText>
      </w:r>
      <w:r w:rsidR="00021E2A" w:rsidRPr="00320416">
        <w:instrText>":"</w:instrText>
      </w:r>
      <w:r w:rsidR="00021E2A">
        <w:rPr>
          <w:lang w:val="en-US"/>
        </w:rPr>
        <w:instrText>Purpose</w:instrText>
      </w:r>
      <w:r w:rsidR="00021E2A" w:rsidRPr="00320416">
        <w:instrText xml:space="preserve">: </w:instrText>
      </w:r>
      <w:r w:rsidR="00021E2A">
        <w:rPr>
          <w:lang w:val="en-US"/>
        </w:rPr>
        <w:instrText>A</w:instrText>
      </w:r>
      <w:r w:rsidR="00021E2A" w:rsidRPr="00320416">
        <w:instrText xml:space="preserve"> </w:instrText>
      </w:r>
      <w:r w:rsidR="00021E2A">
        <w:rPr>
          <w:lang w:val="en-US"/>
        </w:rPr>
        <w:instrText>multicenter</w:instrText>
      </w:r>
      <w:r w:rsidR="00021E2A" w:rsidRPr="00320416">
        <w:instrText xml:space="preserve"> </w:instrText>
      </w:r>
      <w:r w:rsidR="00021E2A">
        <w:rPr>
          <w:lang w:val="en-US"/>
        </w:rPr>
        <w:instrText>phase</w:instrText>
      </w:r>
      <w:r w:rsidR="00021E2A" w:rsidRPr="00320416">
        <w:instrText xml:space="preserve"> </w:instrText>
      </w:r>
      <w:r w:rsidR="00021E2A">
        <w:rPr>
          <w:lang w:val="en-US"/>
        </w:rPr>
        <w:instrText>II</w:instrText>
      </w:r>
      <w:r w:rsidR="00021E2A" w:rsidRPr="00320416">
        <w:instrText xml:space="preserve"> </w:instrText>
      </w:r>
      <w:r w:rsidR="00021E2A">
        <w:rPr>
          <w:lang w:val="en-US"/>
        </w:rPr>
        <w:instrText>study</w:instrText>
      </w:r>
      <w:r w:rsidR="00021E2A" w:rsidRPr="00320416">
        <w:instrText xml:space="preserve"> </w:instrText>
      </w:r>
      <w:r w:rsidR="00021E2A">
        <w:rPr>
          <w:lang w:val="en-US"/>
        </w:rPr>
        <w:instrText>was</w:instrText>
      </w:r>
      <w:r w:rsidR="00021E2A" w:rsidRPr="00320416">
        <w:instrText xml:space="preserve"> </w:instrText>
      </w:r>
      <w:r w:rsidR="00021E2A">
        <w:rPr>
          <w:lang w:val="en-US"/>
        </w:rPr>
        <w:instrText>conducted</w:instrText>
      </w:r>
      <w:r w:rsidR="00021E2A" w:rsidRPr="00320416">
        <w:instrText xml:space="preserve"> </w:instrText>
      </w:r>
      <w:r w:rsidR="00021E2A">
        <w:rPr>
          <w:lang w:val="en-US"/>
        </w:rPr>
        <w:instrText>to</w:instrText>
      </w:r>
      <w:r w:rsidR="00021E2A" w:rsidRPr="00320416">
        <w:instrText xml:space="preserve"> </w:instrText>
      </w:r>
      <w:r w:rsidR="00021E2A">
        <w:rPr>
          <w:lang w:val="en-US"/>
        </w:rPr>
        <w:instrText>assess</w:instrText>
      </w:r>
      <w:r w:rsidR="00021E2A" w:rsidRPr="00320416">
        <w:instrText xml:space="preserve"> </w:instrText>
      </w:r>
      <w:r w:rsidR="00021E2A">
        <w:rPr>
          <w:lang w:val="en-US"/>
        </w:rPr>
        <w:instrText>the</w:instrText>
      </w:r>
      <w:r w:rsidR="00021E2A" w:rsidRPr="00320416">
        <w:instrText xml:space="preserve"> </w:instrText>
      </w:r>
      <w:r w:rsidR="00021E2A">
        <w:rPr>
          <w:lang w:val="en-US"/>
        </w:rPr>
        <w:instrText>efficacy</w:instrText>
      </w:r>
      <w:r w:rsidR="00021E2A" w:rsidRPr="00320416">
        <w:instrText xml:space="preserve"> </w:instrText>
      </w:r>
      <w:r w:rsidR="00021E2A">
        <w:rPr>
          <w:lang w:val="en-US"/>
        </w:rPr>
        <w:instrText>of</w:instrText>
      </w:r>
      <w:r w:rsidR="00021E2A" w:rsidRPr="00320416">
        <w:instrText xml:space="preserve"> </w:instrText>
      </w:r>
      <w:r w:rsidR="00021E2A">
        <w:rPr>
          <w:lang w:val="en-US"/>
        </w:rPr>
        <w:instrText>rituximab</w:instrText>
      </w:r>
      <w:r w:rsidR="00021E2A" w:rsidRPr="00320416">
        <w:instrText xml:space="preserve">, </w:instrText>
      </w:r>
      <w:r w:rsidR="00021E2A">
        <w:rPr>
          <w:lang w:val="en-US"/>
        </w:rPr>
        <w:instrText>methotrexate</w:instrText>
      </w:r>
      <w:r w:rsidR="00021E2A" w:rsidRPr="00320416">
        <w:instrText xml:space="preserve">, </w:instrText>
      </w:r>
      <w:r w:rsidR="00021E2A">
        <w:rPr>
          <w:lang w:val="en-US"/>
        </w:rPr>
        <w:instrText>procarbazine</w:instrText>
      </w:r>
      <w:r w:rsidR="00021E2A" w:rsidRPr="00320416">
        <w:instrText xml:space="preserve">, </w:instrText>
      </w:r>
      <w:r w:rsidR="00021E2A">
        <w:rPr>
          <w:lang w:val="en-US"/>
        </w:rPr>
        <w:instrText>and</w:instrText>
      </w:r>
      <w:r w:rsidR="00021E2A" w:rsidRPr="00320416">
        <w:instrText xml:space="preserve"> </w:instrText>
      </w:r>
      <w:r w:rsidR="00021E2A">
        <w:rPr>
          <w:lang w:val="en-US"/>
        </w:rPr>
        <w:instrText>vincristine</w:instrText>
      </w:r>
      <w:r w:rsidR="00021E2A" w:rsidRPr="00320416">
        <w:instrText xml:space="preserve"> (</w:instrText>
      </w:r>
      <w:r w:rsidR="00021E2A">
        <w:rPr>
          <w:lang w:val="en-US"/>
        </w:rPr>
        <w:instrText>R</w:instrText>
      </w:r>
      <w:r w:rsidR="00021E2A" w:rsidRPr="00320416">
        <w:instrText>-</w:instrText>
      </w:r>
      <w:r w:rsidR="00021E2A">
        <w:rPr>
          <w:lang w:val="en-US"/>
        </w:rPr>
        <w:instrText>MPV</w:instrText>
      </w:r>
      <w:r w:rsidR="00021E2A" w:rsidRPr="00320416">
        <w:instrText xml:space="preserve">) </w:instrText>
      </w:r>
      <w:r w:rsidR="00021E2A">
        <w:rPr>
          <w:lang w:val="en-US"/>
        </w:rPr>
        <w:instrText>followed</w:instrText>
      </w:r>
      <w:r w:rsidR="00021E2A" w:rsidRPr="00320416">
        <w:instrText xml:space="preserve"> </w:instrText>
      </w:r>
      <w:r w:rsidR="00021E2A">
        <w:rPr>
          <w:lang w:val="en-US"/>
        </w:rPr>
        <w:instrText>by</w:instrText>
      </w:r>
      <w:r w:rsidR="00021E2A" w:rsidRPr="00320416">
        <w:instrText xml:space="preserve"> </w:instrText>
      </w:r>
      <w:r w:rsidR="00021E2A">
        <w:rPr>
          <w:lang w:val="en-US"/>
        </w:rPr>
        <w:instrText>consolidation</w:instrText>
      </w:r>
      <w:r w:rsidR="00021E2A" w:rsidRPr="00320416">
        <w:instrText xml:space="preserve"> </w:instrText>
      </w:r>
      <w:r w:rsidR="00021E2A">
        <w:rPr>
          <w:lang w:val="en-US"/>
        </w:rPr>
        <w:instrText>reduced</w:instrText>
      </w:r>
      <w:r w:rsidR="00021E2A" w:rsidRPr="00320416">
        <w:instrText>-</w:instrText>
      </w:r>
      <w:r w:rsidR="00021E2A">
        <w:rPr>
          <w:lang w:val="en-US"/>
        </w:rPr>
        <w:instrText>dose</w:instrText>
      </w:r>
      <w:r w:rsidR="00021E2A" w:rsidRPr="00320416">
        <w:instrText xml:space="preserve"> </w:instrText>
      </w:r>
      <w:r w:rsidR="00021E2A">
        <w:rPr>
          <w:lang w:val="en-US"/>
        </w:rPr>
        <w:instrText>whole</w:instrText>
      </w:r>
      <w:r w:rsidR="00021E2A" w:rsidRPr="00320416">
        <w:instrText>-</w:instrText>
      </w:r>
      <w:r w:rsidR="00021E2A">
        <w:rPr>
          <w:lang w:val="en-US"/>
        </w:rPr>
        <w:instrText>brain</w:instrText>
      </w:r>
      <w:r w:rsidR="00021E2A" w:rsidRPr="00320416">
        <w:instrText xml:space="preserve"> </w:instrText>
      </w:r>
      <w:r w:rsidR="00021E2A">
        <w:rPr>
          <w:lang w:val="en-US"/>
        </w:rPr>
        <w:instrText>radiotherapy</w:instrText>
      </w:r>
      <w:r w:rsidR="00021E2A" w:rsidRPr="00320416">
        <w:instrText xml:space="preserve"> (</w:instrText>
      </w:r>
      <w:r w:rsidR="00021E2A">
        <w:rPr>
          <w:lang w:val="en-US"/>
        </w:rPr>
        <w:instrText>rdWBRT</w:instrText>
      </w:r>
      <w:r w:rsidR="00021E2A" w:rsidRPr="00320416">
        <w:instrText xml:space="preserve">) </w:instrText>
      </w:r>
      <w:r w:rsidR="00021E2A">
        <w:rPr>
          <w:lang w:val="en-US"/>
        </w:rPr>
        <w:instrText>and</w:instrText>
      </w:r>
      <w:r w:rsidR="00021E2A" w:rsidRPr="00320416">
        <w:instrText xml:space="preserve"> </w:instrText>
      </w:r>
      <w:r w:rsidR="00021E2A">
        <w:rPr>
          <w:lang w:val="en-US"/>
        </w:rPr>
        <w:instrText>cytarabine</w:instrText>
      </w:r>
      <w:r w:rsidR="00021E2A" w:rsidRPr="00320416">
        <w:instrText xml:space="preserve"> </w:instrText>
      </w:r>
      <w:r w:rsidR="00021E2A">
        <w:rPr>
          <w:lang w:val="en-US"/>
        </w:rPr>
        <w:instrText>in</w:instrText>
      </w:r>
      <w:r w:rsidR="00021E2A" w:rsidRPr="00320416">
        <w:instrText xml:space="preserve"> </w:instrText>
      </w:r>
      <w:r w:rsidR="00021E2A">
        <w:rPr>
          <w:lang w:val="en-US"/>
        </w:rPr>
        <w:instrText>primary</w:instrText>
      </w:r>
      <w:r w:rsidR="00021E2A" w:rsidRPr="00320416">
        <w:instrText xml:space="preserve"> </w:instrText>
      </w:r>
      <w:r w:rsidR="00021E2A">
        <w:rPr>
          <w:lang w:val="en-US"/>
        </w:rPr>
        <w:instrText>CNS</w:instrText>
      </w:r>
      <w:r w:rsidR="00021E2A" w:rsidRPr="00320416">
        <w:instrText xml:space="preserve"> </w:instrText>
      </w:r>
      <w:r w:rsidR="00021E2A">
        <w:rPr>
          <w:lang w:val="en-US"/>
        </w:rPr>
        <w:instrText>lymphoma</w:instrText>
      </w:r>
      <w:r w:rsidR="00021E2A" w:rsidRPr="00320416">
        <w:instrText xml:space="preserve">. </w:instrText>
      </w:r>
      <w:r w:rsidR="00021E2A">
        <w:rPr>
          <w:lang w:val="en-US"/>
        </w:rPr>
        <w:instrText>Patients</w:instrText>
      </w:r>
      <w:r w:rsidR="00021E2A" w:rsidRPr="00320416">
        <w:instrText xml:space="preserve"> </w:instrText>
      </w:r>
      <w:r w:rsidR="00021E2A">
        <w:rPr>
          <w:lang w:val="en-US"/>
        </w:rPr>
        <w:instrText>and</w:instrText>
      </w:r>
      <w:r w:rsidR="00021E2A" w:rsidRPr="00320416">
        <w:instrText xml:space="preserve"> </w:instrText>
      </w:r>
      <w:r w:rsidR="00021E2A">
        <w:rPr>
          <w:lang w:val="en-US"/>
        </w:rPr>
        <w:instrText>Methods</w:instrText>
      </w:r>
      <w:r w:rsidR="00021E2A" w:rsidRPr="00320416">
        <w:instrText xml:space="preserve">: </w:instrText>
      </w:r>
      <w:r w:rsidR="00021E2A">
        <w:rPr>
          <w:lang w:val="en-US"/>
        </w:rPr>
        <w:instrText>Patients</w:instrText>
      </w:r>
      <w:r w:rsidR="00021E2A" w:rsidRPr="00320416">
        <w:instrText xml:space="preserve"> </w:instrText>
      </w:r>
      <w:r w:rsidR="00021E2A">
        <w:rPr>
          <w:lang w:val="en-US"/>
        </w:rPr>
        <w:instrText>received</w:instrText>
      </w:r>
      <w:r w:rsidR="00021E2A" w:rsidRPr="00320416">
        <w:instrText xml:space="preserve"> </w:instrText>
      </w:r>
      <w:r w:rsidR="00021E2A">
        <w:rPr>
          <w:lang w:val="en-US"/>
        </w:rPr>
        <w:instrText>induction</w:instrText>
      </w:r>
      <w:r w:rsidR="00021E2A" w:rsidRPr="00320416">
        <w:instrText xml:space="preserve"> </w:instrText>
      </w:r>
      <w:r w:rsidR="00021E2A">
        <w:rPr>
          <w:lang w:val="en-US"/>
        </w:rPr>
        <w:instrText>chemotherapy</w:instrText>
      </w:r>
      <w:r w:rsidR="00021E2A" w:rsidRPr="00320416">
        <w:instrText xml:space="preserve"> </w:instrText>
      </w:r>
      <w:r w:rsidR="00021E2A">
        <w:rPr>
          <w:lang w:val="en-US"/>
        </w:rPr>
        <w:instrText>with</w:instrText>
      </w:r>
      <w:r w:rsidR="00021E2A" w:rsidRPr="00320416">
        <w:instrText xml:space="preserve"> </w:instrText>
      </w:r>
      <w:r w:rsidR="00021E2A">
        <w:rPr>
          <w:lang w:val="en-US"/>
        </w:rPr>
        <w:instrText>R</w:instrText>
      </w:r>
      <w:r w:rsidR="00021E2A" w:rsidRPr="00320416">
        <w:instrText>-</w:instrText>
      </w:r>
      <w:r w:rsidR="00021E2A">
        <w:rPr>
          <w:lang w:val="en-US"/>
        </w:rPr>
        <w:instrText>MPV</w:instrText>
      </w:r>
      <w:r w:rsidR="00021E2A" w:rsidRPr="00320416">
        <w:instrText xml:space="preserve"> (</w:instrText>
      </w:r>
      <w:r w:rsidR="00021E2A">
        <w:rPr>
          <w:lang w:val="en-US"/>
        </w:rPr>
        <w:instrText>five</w:instrText>
      </w:r>
      <w:r w:rsidR="00021E2A" w:rsidRPr="00320416">
        <w:instrText xml:space="preserve"> </w:instrText>
      </w:r>
      <w:r w:rsidR="00021E2A">
        <w:rPr>
          <w:lang w:val="en-US"/>
        </w:rPr>
        <w:instrText>to</w:instrText>
      </w:r>
      <w:r w:rsidR="00021E2A" w:rsidRPr="00320416">
        <w:instrText xml:space="preserve"> </w:instrText>
      </w:r>
      <w:r w:rsidR="00021E2A">
        <w:rPr>
          <w:lang w:val="en-US"/>
        </w:rPr>
        <w:instrText>seven</w:instrText>
      </w:r>
      <w:r w:rsidR="00021E2A" w:rsidRPr="00320416">
        <w:instrText xml:space="preserve"> </w:instrText>
      </w:r>
      <w:r w:rsidR="00021E2A">
        <w:rPr>
          <w:lang w:val="en-US"/>
        </w:rPr>
        <w:instrText>cycles</w:instrText>
      </w:r>
      <w:r w:rsidR="00021E2A" w:rsidRPr="00320416">
        <w:instrText xml:space="preserve">); </w:instrText>
      </w:r>
      <w:r w:rsidR="00021E2A">
        <w:rPr>
          <w:lang w:val="en-US"/>
        </w:rPr>
        <w:instrText>those</w:instrText>
      </w:r>
      <w:r w:rsidR="00021E2A" w:rsidRPr="00320416">
        <w:instrText xml:space="preserve"> </w:instrText>
      </w:r>
      <w:r w:rsidR="00021E2A">
        <w:rPr>
          <w:lang w:val="en-US"/>
        </w:rPr>
        <w:instrText>achieving</w:instrText>
      </w:r>
      <w:r w:rsidR="00021E2A" w:rsidRPr="00320416">
        <w:instrText xml:space="preserve"> </w:instrText>
      </w:r>
      <w:r w:rsidR="00021E2A">
        <w:rPr>
          <w:lang w:val="en-US"/>
        </w:rPr>
        <w:instrText>a</w:instrText>
      </w:r>
      <w:r w:rsidR="00021E2A" w:rsidRPr="00320416">
        <w:instrText xml:space="preserve"> </w:instrText>
      </w:r>
      <w:r w:rsidR="00021E2A">
        <w:rPr>
          <w:lang w:val="en-US"/>
        </w:rPr>
        <w:instrText>complete</w:instrText>
      </w:r>
      <w:r w:rsidR="00021E2A" w:rsidRPr="00320416">
        <w:instrText xml:space="preserve"> </w:instrText>
      </w:r>
      <w:r w:rsidR="00021E2A">
        <w:rPr>
          <w:lang w:val="en-US"/>
        </w:rPr>
        <w:instrText>response</w:instrText>
      </w:r>
      <w:r w:rsidR="00021E2A" w:rsidRPr="00320416">
        <w:instrText xml:space="preserve"> (</w:instrText>
      </w:r>
      <w:r w:rsidR="00021E2A">
        <w:rPr>
          <w:lang w:val="en-US"/>
        </w:rPr>
        <w:instrText>CR</w:instrText>
      </w:r>
      <w:r w:rsidR="00021E2A" w:rsidRPr="00320416">
        <w:instrText xml:space="preserve">) </w:instrText>
      </w:r>
      <w:r w:rsidR="00021E2A">
        <w:rPr>
          <w:lang w:val="en-US"/>
        </w:rPr>
        <w:instrText>received</w:instrText>
      </w:r>
      <w:r w:rsidR="00021E2A" w:rsidRPr="00320416">
        <w:instrText xml:space="preserve"> </w:instrText>
      </w:r>
      <w:r w:rsidR="00021E2A">
        <w:rPr>
          <w:lang w:val="en-US"/>
        </w:rPr>
        <w:instrText>rdWBRT</w:instrText>
      </w:r>
      <w:r w:rsidR="00021E2A" w:rsidRPr="00320416">
        <w:instrText xml:space="preserve"> (23.4 </w:instrText>
      </w:r>
      <w:r w:rsidR="00021E2A">
        <w:rPr>
          <w:lang w:val="en-US"/>
        </w:rPr>
        <w:instrText>Gy</w:instrText>
      </w:r>
      <w:r w:rsidR="00021E2A" w:rsidRPr="00320416">
        <w:instrText xml:space="preserve">), </w:instrText>
      </w:r>
      <w:r w:rsidR="00021E2A">
        <w:rPr>
          <w:lang w:val="en-US"/>
        </w:rPr>
        <w:instrText>and</w:instrText>
      </w:r>
      <w:r w:rsidR="00021E2A" w:rsidRPr="00320416">
        <w:instrText xml:space="preserve"> </w:instrText>
      </w:r>
      <w:r w:rsidR="00021E2A">
        <w:rPr>
          <w:lang w:val="en-US"/>
        </w:rPr>
        <w:instrText>otherwise</w:instrText>
      </w:r>
      <w:r w:rsidR="00021E2A" w:rsidRPr="00320416">
        <w:instrText xml:space="preserve">, </w:instrText>
      </w:r>
      <w:r w:rsidR="00021E2A">
        <w:rPr>
          <w:lang w:val="en-US"/>
        </w:rPr>
        <w:instrText>standard</w:instrText>
      </w:r>
      <w:r w:rsidR="00021E2A" w:rsidRPr="00320416">
        <w:instrText xml:space="preserve"> </w:instrText>
      </w:r>
      <w:r w:rsidR="00021E2A">
        <w:rPr>
          <w:lang w:val="en-US"/>
        </w:rPr>
        <w:instrText>WBRT</w:instrText>
      </w:r>
      <w:r w:rsidR="00021E2A" w:rsidRPr="00320416">
        <w:instrText xml:space="preserve"> </w:instrText>
      </w:r>
      <w:r w:rsidR="00021E2A">
        <w:rPr>
          <w:lang w:val="en-US"/>
        </w:rPr>
        <w:instrText>was</w:instrText>
      </w:r>
      <w:r w:rsidR="00021E2A" w:rsidRPr="00320416">
        <w:instrText xml:space="preserve"> </w:instrText>
      </w:r>
      <w:r w:rsidR="00021E2A">
        <w:rPr>
          <w:lang w:val="en-US"/>
        </w:rPr>
        <w:instrText>offered</w:instrText>
      </w:r>
      <w:r w:rsidR="00021E2A" w:rsidRPr="00320416">
        <w:instrText xml:space="preserve"> (45 </w:instrText>
      </w:r>
      <w:r w:rsidR="00021E2A">
        <w:rPr>
          <w:lang w:val="en-US"/>
        </w:rPr>
        <w:instrText>Gy</w:instrText>
      </w:r>
      <w:r w:rsidR="00021E2A" w:rsidRPr="00320416">
        <w:instrText xml:space="preserve">). </w:instrText>
      </w:r>
      <w:r w:rsidR="00021E2A">
        <w:rPr>
          <w:lang w:val="en-US"/>
        </w:rPr>
        <w:instrText>Consolidation</w:instrText>
      </w:r>
      <w:r w:rsidR="00021E2A" w:rsidRPr="00320416">
        <w:instrText xml:space="preserve"> </w:instrText>
      </w:r>
      <w:r w:rsidR="00021E2A">
        <w:rPr>
          <w:lang w:val="en-US"/>
        </w:rPr>
        <w:instrText>cytarabine</w:instrText>
      </w:r>
      <w:r w:rsidR="00021E2A" w:rsidRPr="00320416">
        <w:instrText xml:space="preserve"> </w:instrText>
      </w:r>
      <w:r w:rsidR="00021E2A">
        <w:rPr>
          <w:lang w:val="en-US"/>
        </w:rPr>
        <w:instrText>was</w:instrText>
      </w:r>
      <w:r w:rsidR="00021E2A" w:rsidRPr="00320416">
        <w:instrText xml:space="preserve"> </w:instrText>
      </w:r>
      <w:r w:rsidR="00021E2A">
        <w:rPr>
          <w:lang w:val="en-US"/>
        </w:rPr>
        <w:instrText>given</w:instrText>
      </w:r>
      <w:r w:rsidR="00021E2A" w:rsidRPr="00320416">
        <w:instrText xml:space="preserve"> </w:instrText>
      </w:r>
      <w:r w:rsidR="00021E2A">
        <w:rPr>
          <w:lang w:val="en-US"/>
        </w:rPr>
        <w:instrText>after</w:instrText>
      </w:r>
      <w:r w:rsidR="00021E2A" w:rsidRPr="00320416">
        <w:instrText xml:space="preserve"> </w:instrText>
      </w:r>
      <w:r w:rsidR="00021E2A">
        <w:rPr>
          <w:lang w:val="en-US"/>
        </w:rPr>
        <w:instrText>the</w:instrText>
      </w:r>
      <w:r w:rsidR="00021E2A" w:rsidRPr="00320416">
        <w:instrText xml:space="preserve"> </w:instrText>
      </w:r>
      <w:r w:rsidR="00021E2A">
        <w:rPr>
          <w:lang w:val="en-US"/>
        </w:rPr>
        <w:instrText>radiotherapy</w:instrText>
      </w:r>
      <w:r w:rsidR="00021E2A" w:rsidRPr="00320416">
        <w:instrText xml:space="preserve">. </w:instrText>
      </w:r>
      <w:r w:rsidR="00021E2A">
        <w:rPr>
          <w:lang w:val="en-US"/>
        </w:rPr>
        <w:instrText>The</w:instrText>
      </w:r>
      <w:r w:rsidR="00021E2A" w:rsidRPr="00320416">
        <w:instrText xml:space="preserve"> </w:instrText>
      </w:r>
      <w:r w:rsidR="00021E2A">
        <w:rPr>
          <w:lang w:val="en-US"/>
        </w:rPr>
        <w:instrText>primary</w:instrText>
      </w:r>
      <w:r w:rsidR="00021E2A" w:rsidRPr="00320416">
        <w:instrText xml:space="preserve"> </w:instrText>
      </w:r>
      <w:r w:rsidR="00021E2A">
        <w:rPr>
          <w:lang w:val="en-US"/>
        </w:rPr>
        <w:instrText>end</w:instrText>
      </w:r>
      <w:r w:rsidR="00021E2A" w:rsidRPr="00320416">
        <w:instrText xml:space="preserve"> </w:instrText>
      </w:r>
      <w:r w:rsidR="00021E2A">
        <w:rPr>
          <w:lang w:val="en-US"/>
        </w:rPr>
        <w:instrText>point</w:instrText>
      </w:r>
      <w:r w:rsidR="00021E2A" w:rsidRPr="00320416">
        <w:instrText xml:space="preserve"> </w:instrText>
      </w:r>
      <w:r w:rsidR="00021E2A">
        <w:rPr>
          <w:lang w:val="en-US"/>
        </w:rPr>
        <w:instrText>was</w:instrText>
      </w:r>
      <w:r w:rsidR="00021E2A" w:rsidRPr="00320416">
        <w:instrText xml:space="preserve"> 2-</w:instrText>
      </w:r>
      <w:r w:rsidR="00021E2A">
        <w:rPr>
          <w:lang w:val="en-US"/>
        </w:rPr>
        <w:instrText>year</w:instrText>
      </w:r>
      <w:r w:rsidR="00021E2A" w:rsidRPr="00320416">
        <w:instrText xml:space="preserve"> </w:instrText>
      </w:r>
      <w:r w:rsidR="00021E2A">
        <w:rPr>
          <w:lang w:val="en-US"/>
        </w:rPr>
        <w:instrText>progression</w:instrText>
      </w:r>
      <w:r w:rsidR="00021E2A" w:rsidRPr="00320416">
        <w:instrText>-</w:instrText>
      </w:r>
      <w:r w:rsidR="00021E2A">
        <w:rPr>
          <w:lang w:val="en-US"/>
        </w:rPr>
        <w:instrText>free</w:instrText>
      </w:r>
      <w:r w:rsidR="00021E2A" w:rsidRPr="00320416">
        <w:instrText xml:space="preserve"> </w:instrText>
      </w:r>
      <w:r w:rsidR="00021E2A">
        <w:rPr>
          <w:lang w:val="en-US"/>
        </w:rPr>
        <w:instrText>survival</w:instrText>
      </w:r>
      <w:r w:rsidR="00021E2A" w:rsidRPr="00320416">
        <w:instrText xml:space="preserve"> (</w:instrText>
      </w:r>
      <w:r w:rsidR="00021E2A">
        <w:rPr>
          <w:lang w:val="en-US"/>
        </w:rPr>
        <w:instrText>PFS</w:instrText>
      </w:r>
      <w:r w:rsidR="00021E2A" w:rsidRPr="00320416">
        <w:instrText xml:space="preserve">) </w:instrText>
      </w:r>
      <w:r w:rsidR="00021E2A">
        <w:rPr>
          <w:lang w:val="en-US"/>
        </w:rPr>
        <w:instrText>in</w:instrText>
      </w:r>
      <w:r w:rsidR="00021E2A" w:rsidRPr="00320416">
        <w:instrText xml:space="preserve"> </w:instrText>
      </w:r>
      <w:r w:rsidR="00021E2A">
        <w:rPr>
          <w:lang w:val="en-US"/>
        </w:rPr>
        <w:instrText>patients</w:instrText>
      </w:r>
      <w:r w:rsidR="00021E2A" w:rsidRPr="00320416">
        <w:instrText xml:space="preserve"> </w:instrText>
      </w:r>
      <w:r w:rsidR="00021E2A">
        <w:rPr>
          <w:lang w:val="en-US"/>
        </w:rPr>
        <w:instrText>receiving</w:instrText>
      </w:r>
      <w:r w:rsidR="00021E2A" w:rsidRPr="00320416">
        <w:instrText xml:space="preserve"> </w:instrText>
      </w:r>
      <w:r w:rsidR="00021E2A">
        <w:rPr>
          <w:lang w:val="en-US"/>
        </w:rPr>
        <w:instrText>rdWBRT</w:instrText>
      </w:r>
      <w:r w:rsidR="00021E2A" w:rsidRPr="00320416">
        <w:instrText xml:space="preserve">. </w:instrText>
      </w:r>
      <w:r w:rsidR="00021E2A">
        <w:rPr>
          <w:lang w:val="en-US"/>
        </w:rPr>
        <w:instrText>Exploratory</w:instrText>
      </w:r>
      <w:r w:rsidR="00021E2A" w:rsidRPr="00320416">
        <w:instrText xml:space="preserve"> </w:instrText>
      </w:r>
      <w:r w:rsidR="00021E2A">
        <w:rPr>
          <w:lang w:val="en-US"/>
        </w:rPr>
        <w:instrText>end</w:instrText>
      </w:r>
      <w:r w:rsidR="00021E2A" w:rsidRPr="00320416">
        <w:instrText xml:space="preserve"> </w:instrText>
      </w:r>
      <w:r w:rsidR="00021E2A">
        <w:rPr>
          <w:lang w:val="en-US"/>
        </w:rPr>
        <w:instrText>points</w:instrText>
      </w:r>
      <w:r w:rsidR="00021E2A" w:rsidRPr="00320416">
        <w:instrText xml:space="preserve"> </w:instrText>
      </w:r>
      <w:r w:rsidR="00021E2A">
        <w:rPr>
          <w:lang w:val="en-US"/>
        </w:rPr>
        <w:instrText>included</w:instrText>
      </w:r>
      <w:r w:rsidR="00021E2A" w:rsidRPr="00320416">
        <w:instrText xml:space="preserve"> </w:instrText>
      </w:r>
      <w:r w:rsidR="00021E2A">
        <w:rPr>
          <w:lang w:val="en-US"/>
        </w:rPr>
        <w:instrText>prospective</w:instrText>
      </w:r>
      <w:r w:rsidR="00021E2A" w:rsidRPr="00320416">
        <w:instrText xml:space="preserve"> </w:instrText>
      </w:r>
      <w:r w:rsidR="00021E2A">
        <w:rPr>
          <w:lang w:val="en-US"/>
        </w:rPr>
        <w:instrText>neuropsychological</w:instrText>
      </w:r>
      <w:r w:rsidR="00021E2A" w:rsidRPr="00320416">
        <w:instrText xml:space="preserve"> </w:instrText>
      </w:r>
      <w:r w:rsidR="00021E2A">
        <w:rPr>
          <w:lang w:val="en-US"/>
        </w:rPr>
        <w:instrText>evaluation</w:instrText>
      </w:r>
      <w:r w:rsidR="00021E2A" w:rsidRPr="00320416">
        <w:instrText xml:space="preserve">, </w:instrText>
      </w:r>
      <w:r w:rsidR="00021E2A">
        <w:rPr>
          <w:lang w:val="en-US"/>
        </w:rPr>
        <w:instrText>analysis</w:instrText>
      </w:r>
      <w:r w:rsidR="00021E2A" w:rsidRPr="00320416">
        <w:instrText xml:space="preserve"> </w:instrText>
      </w:r>
      <w:r w:rsidR="00021E2A">
        <w:rPr>
          <w:lang w:val="en-US"/>
        </w:rPr>
        <w:instrText>of</w:instrText>
      </w:r>
      <w:r w:rsidR="00021E2A" w:rsidRPr="00320416">
        <w:instrText xml:space="preserve"> </w:instrText>
      </w:r>
      <w:r w:rsidR="00021E2A">
        <w:rPr>
          <w:lang w:val="en-US"/>
        </w:rPr>
        <w:instrText>magnetic</w:instrText>
      </w:r>
      <w:r w:rsidR="00021E2A" w:rsidRPr="00320416">
        <w:instrText xml:space="preserve"> </w:instrText>
      </w:r>
      <w:r w:rsidR="00021E2A">
        <w:rPr>
          <w:lang w:val="en-US"/>
        </w:rPr>
        <w:instrText>resonance</w:instrText>
      </w:r>
      <w:r w:rsidR="00021E2A" w:rsidRPr="00320416">
        <w:instrText xml:space="preserve"> </w:instrText>
      </w:r>
      <w:r w:rsidR="00021E2A">
        <w:rPr>
          <w:lang w:val="en-US"/>
        </w:rPr>
        <w:instrText>imaging</w:instrText>
      </w:r>
      <w:r w:rsidR="00021E2A" w:rsidRPr="00320416">
        <w:instrText xml:space="preserve"> (</w:instrText>
      </w:r>
      <w:r w:rsidR="00021E2A">
        <w:rPr>
          <w:lang w:val="en-US"/>
        </w:rPr>
        <w:instrText>MRI</w:instrText>
      </w:r>
      <w:r w:rsidR="00021E2A" w:rsidRPr="00320416">
        <w:instrText xml:space="preserve">) </w:instrText>
      </w:r>
      <w:r w:rsidR="00021E2A">
        <w:rPr>
          <w:lang w:val="en-US"/>
        </w:rPr>
        <w:instrText>white</w:instrText>
      </w:r>
      <w:r w:rsidR="00021E2A" w:rsidRPr="00320416">
        <w:instrText xml:space="preserve"> </w:instrText>
      </w:r>
      <w:r w:rsidR="00021E2A">
        <w:rPr>
          <w:lang w:val="en-US"/>
        </w:rPr>
        <w:instrText>matter</w:instrText>
      </w:r>
      <w:r w:rsidR="00021E2A" w:rsidRPr="00320416">
        <w:instrText xml:space="preserve"> </w:instrText>
      </w:r>
      <w:r w:rsidR="00021E2A">
        <w:rPr>
          <w:lang w:val="en-US"/>
        </w:rPr>
        <w:instrText>changes</w:instrText>
      </w:r>
      <w:r w:rsidR="00021E2A" w:rsidRPr="00320416">
        <w:instrText xml:space="preserve"> </w:instrText>
      </w:r>
      <w:r w:rsidR="00021E2A">
        <w:rPr>
          <w:lang w:val="en-US"/>
        </w:rPr>
        <w:instrText>using</w:instrText>
      </w:r>
      <w:r w:rsidR="00021E2A" w:rsidRPr="00320416">
        <w:instrText xml:space="preserve"> </w:instrText>
      </w:r>
      <w:r w:rsidR="00021E2A">
        <w:rPr>
          <w:lang w:val="en-US"/>
        </w:rPr>
        <w:instrText>the</w:instrText>
      </w:r>
      <w:r w:rsidR="00021E2A" w:rsidRPr="00320416">
        <w:instrText xml:space="preserve"> </w:instrText>
      </w:r>
      <w:r w:rsidR="00021E2A">
        <w:rPr>
          <w:lang w:val="en-US"/>
        </w:rPr>
        <w:instrText>Fazekas</w:instrText>
      </w:r>
      <w:r w:rsidR="00021E2A" w:rsidRPr="00320416">
        <w:instrText xml:space="preserve"> </w:instrText>
      </w:r>
      <w:r w:rsidR="00021E2A">
        <w:rPr>
          <w:lang w:val="en-US"/>
        </w:rPr>
        <w:instrText>scale</w:instrText>
      </w:r>
      <w:r w:rsidR="00021E2A" w:rsidRPr="00320416">
        <w:instrText xml:space="preserve">, </w:instrText>
      </w:r>
      <w:r w:rsidR="00021E2A">
        <w:rPr>
          <w:lang w:val="en-US"/>
        </w:rPr>
        <w:instrText>and</w:instrText>
      </w:r>
      <w:r w:rsidR="00021E2A" w:rsidRPr="00320416">
        <w:instrText xml:space="preserve"> </w:instrText>
      </w:r>
      <w:r w:rsidR="00021E2A">
        <w:rPr>
          <w:lang w:val="en-US"/>
        </w:rPr>
        <w:instrText>evaluation</w:instrText>
      </w:r>
      <w:r w:rsidR="00021E2A" w:rsidRPr="00320416">
        <w:instrText xml:space="preserve"> </w:instrText>
      </w:r>
      <w:r w:rsidR="00021E2A">
        <w:rPr>
          <w:lang w:val="en-US"/>
        </w:rPr>
        <w:instrText>of</w:instrText>
      </w:r>
      <w:r w:rsidR="00021E2A" w:rsidRPr="00320416">
        <w:instrText xml:space="preserve"> </w:instrText>
      </w:r>
      <w:r w:rsidR="00021E2A">
        <w:rPr>
          <w:lang w:val="en-US"/>
        </w:rPr>
        <w:instrText>the</w:instrText>
      </w:r>
      <w:r w:rsidR="00021E2A" w:rsidRPr="00320416">
        <w:instrText xml:space="preserve"> </w:instrText>
      </w:r>
      <w:r w:rsidR="00021E2A">
        <w:rPr>
          <w:lang w:val="en-US"/>
        </w:rPr>
        <w:instrText>apparent</w:instrText>
      </w:r>
      <w:r w:rsidR="00021E2A" w:rsidRPr="00320416">
        <w:instrText xml:space="preserve"> </w:instrText>
      </w:r>
      <w:r w:rsidR="00021E2A">
        <w:rPr>
          <w:lang w:val="en-US"/>
        </w:rPr>
        <w:instrText>diffusion</w:instrText>
      </w:r>
      <w:r w:rsidR="00021E2A" w:rsidRPr="00320416">
        <w:instrText xml:space="preserve"> </w:instrText>
      </w:r>
      <w:r w:rsidR="00021E2A">
        <w:rPr>
          <w:lang w:val="en-US"/>
        </w:rPr>
        <w:instrText>coefficient</w:instrText>
      </w:r>
      <w:r w:rsidR="00021E2A" w:rsidRPr="00320416">
        <w:instrText xml:space="preserve"> (</w:instrText>
      </w:r>
      <w:r w:rsidR="00021E2A">
        <w:rPr>
          <w:lang w:val="en-US"/>
        </w:rPr>
        <w:instrText>ADC</w:instrText>
      </w:r>
      <w:r w:rsidR="00021E2A" w:rsidRPr="00320416">
        <w:instrText xml:space="preserve">) </w:instrText>
      </w:r>
      <w:r w:rsidR="00021E2A">
        <w:rPr>
          <w:lang w:val="en-US"/>
        </w:rPr>
        <w:instrText>as</w:instrText>
      </w:r>
      <w:r w:rsidR="00021E2A" w:rsidRPr="00320416">
        <w:instrText xml:space="preserve"> </w:instrText>
      </w:r>
      <w:r w:rsidR="00021E2A">
        <w:rPr>
          <w:lang w:val="en-US"/>
        </w:rPr>
        <w:instrText>a</w:instrText>
      </w:r>
      <w:r w:rsidR="00021E2A" w:rsidRPr="00320416">
        <w:instrText xml:space="preserve"> </w:instrText>
      </w:r>
      <w:r w:rsidR="00021E2A">
        <w:rPr>
          <w:lang w:val="en-US"/>
        </w:rPr>
        <w:instrText>prognostic</w:instrText>
      </w:r>
      <w:r w:rsidR="00021E2A" w:rsidRPr="00320416">
        <w:instrText xml:space="preserve"> </w:instrText>
      </w:r>
      <w:r w:rsidR="00021E2A">
        <w:rPr>
          <w:lang w:val="en-US"/>
        </w:rPr>
        <w:instrText>factor</w:instrText>
      </w:r>
      <w:r w:rsidR="00021E2A" w:rsidRPr="00320416">
        <w:instrText xml:space="preserve">. </w:instrText>
      </w:r>
      <w:r w:rsidR="00021E2A">
        <w:rPr>
          <w:lang w:val="en-US"/>
        </w:rPr>
        <w:instrText>Results</w:instrText>
      </w:r>
      <w:r w:rsidR="00021E2A" w:rsidRPr="00320416">
        <w:instrText xml:space="preserve">: </w:instrText>
      </w:r>
      <w:r w:rsidR="00021E2A">
        <w:rPr>
          <w:lang w:val="en-US"/>
        </w:rPr>
        <w:instrText>Fifty</w:instrText>
      </w:r>
      <w:r w:rsidR="00021E2A" w:rsidRPr="00320416">
        <w:instrText>-</w:instrText>
      </w:r>
      <w:r w:rsidR="00021E2A">
        <w:rPr>
          <w:lang w:val="en-US"/>
        </w:rPr>
        <w:instrText>two</w:instrText>
      </w:r>
      <w:r w:rsidR="00021E2A" w:rsidRPr="00320416">
        <w:instrText xml:space="preserve"> </w:instrText>
      </w:r>
      <w:r w:rsidR="00021E2A">
        <w:rPr>
          <w:lang w:val="en-US"/>
        </w:rPr>
        <w:instrText>patients</w:instrText>
      </w:r>
      <w:r w:rsidR="00021E2A" w:rsidRPr="00320416">
        <w:instrText xml:space="preserve"> </w:instrText>
      </w:r>
      <w:r w:rsidR="00021E2A">
        <w:rPr>
          <w:lang w:val="en-US"/>
        </w:rPr>
        <w:instrText>were</w:instrText>
      </w:r>
      <w:r w:rsidR="00021E2A" w:rsidRPr="00320416">
        <w:instrText xml:space="preserve"> </w:instrText>
      </w:r>
      <w:r w:rsidR="00021E2A">
        <w:rPr>
          <w:lang w:val="en-US"/>
        </w:rPr>
        <w:instrText>enrolled</w:instrText>
      </w:r>
      <w:r w:rsidR="00021E2A" w:rsidRPr="00320416">
        <w:instrText xml:space="preserve">, </w:instrText>
      </w:r>
      <w:r w:rsidR="00021E2A">
        <w:rPr>
          <w:lang w:val="en-US"/>
        </w:rPr>
        <w:instrText>with</w:instrText>
      </w:r>
      <w:r w:rsidR="00021E2A" w:rsidRPr="00320416">
        <w:instrText xml:space="preserve"> </w:instrText>
      </w:r>
      <w:r w:rsidR="00021E2A">
        <w:rPr>
          <w:lang w:val="en-US"/>
        </w:rPr>
        <w:instrText>median</w:instrText>
      </w:r>
      <w:r w:rsidR="00021E2A" w:rsidRPr="00320416">
        <w:instrText xml:space="preserve"> </w:instrText>
      </w:r>
      <w:r w:rsidR="00021E2A">
        <w:rPr>
          <w:lang w:val="en-US"/>
        </w:rPr>
        <w:instrText>age</w:instrText>
      </w:r>
      <w:r w:rsidR="00021E2A" w:rsidRPr="00320416">
        <w:instrText xml:space="preserve"> </w:instrText>
      </w:r>
      <w:r w:rsidR="00021E2A">
        <w:rPr>
          <w:lang w:val="en-US"/>
        </w:rPr>
        <w:instrText>of</w:instrText>
      </w:r>
      <w:r w:rsidR="00021E2A" w:rsidRPr="00320416">
        <w:instrText xml:space="preserve"> 60 </w:instrText>
      </w:r>
      <w:r w:rsidR="00021E2A">
        <w:rPr>
          <w:lang w:val="en-US"/>
        </w:rPr>
        <w:instrText>years</w:instrText>
      </w:r>
      <w:r w:rsidR="00021E2A" w:rsidRPr="00320416">
        <w:instrText xml:space="preserve"> (</w:instrText>
      </w:r>
      <w:r w:rsidR="00021E2A">
        <w:rPr>
          <w:lang w:val="en-US"/>
        </w:rPr>
        <w:instrText>range</w:instrText>
      </w:r>
      <w:r w:rsidR="00021E2A" w:rsidRPr="00320416">
        <w:instrText xml:space="preserve">, 30 </w:instrText>
      </w:r>
      <w:r w:rsidR="00021E2A">
        <w:rPr>
          <w:lang w:val="en-US"/>
        </w:rPr>
        <w:instrText>to</w:instrText>
      </w:r>
      <w:r w:rsidR="00021E2A" w:rsidRPr="00320416">
        <w:instrText xml:space="preserve"> 79 </w:instrText>
      </w:r>
      <w:r w:rsidR="00021E2A">
        <w:rPr>
          <w:lang w:val="en-US"/>
        </w:rPr>
        <w:instrText>years</w:instrText>
      </w:r>
      <w:r w:rsidR="00021E2A" w:rsidRPr="00320416">
        <w:instrText xml:space="preserve">) </w:instrText>
      </w:r>
      <w:r w:rsidR="00021E2A">
        <w:rPr>
          <w:lang w:val="en-US"/>
        </w:rPr>
        <w:instrText>and</w:instrText>
      </w:r>
      <w:r w:rsidR="00021E2A" w:rsidRPr="00320416">
        <w:instrText xml:space="preserve"> </w:instrText>
      </w:r>
      <w:r w:rsidR="00021E2A">
        <w:rPr>
          <w:lang w:val="en-US"/>
        </w:rPr>
        <w:instrText>median</w:instrText>
      </w:r>
      <w:r w:rsidR="00021E2A" w:rsidRPr="00320416">
        <w:instrText xml:space="preserve"> </w:instrText>
      </w:r>
      <w:r w:rsidR="00021E2A">
        <w:rPr>
          <w:lang w:val="en-US"/>
        </w:rPr>
        <w:instrText>Karnofsky</w:instrText>
      </w:r>
      <w:r w:rsidR="00021E2A" w:rsidRPr="00320416">
        <w:instrText xml:space="preserve"> </w:instrText>
      </w:r>
      <w:r w:rsidR="00021E2A">
        <w:rPr>
          <w:lang w:val="en-US"/>
        </w:rPr>
        <w:instrText>performance</w:instrText>
      </w:r>
      <w:r w:rsidR="00021E2A" w:rsidRPr="00320416">
        <w:instrText xml:space="preserve"> </w:instrText>
      </w:r>
      <w:r w:rsidR="00021E2A">
        <w:rPr>
          <w:lang w:val="en-US"/>
        </w:rPr>
        <w:instrText>score</w:instrText>
      </w:r>
      <w:r w:rsidR="00021E2A" w:rsidRPr="00320416">
        <w:instrText xml:space="preserve"> </w:instrText>
      </w:r>
      <w:r w:rsidR="00021E2A">
        <w:rPr>
          <w:lang w:val="en-US"/>
        </w:rPr>
        <w:instrText>of</w:instrText>
      </w:r>
      <w:r w:rsidR="00021E2A" w:rsidRPr="00320416">
        <w:instrText xml:space="preserve"> 70 (</w:instrText>
      </w:r>
      <w:r w:rsidR="00021E2A">
        <w:rPr>
          <w:lang w:val="en-US"/>
        </w:rPr>
        <w:instrText>range</w:instrText>
      </w:r>
      <w:r w:rsidR="00021E2A" w:rsidRPr="00320416">
        <w:instrText xml:space="preserve">, 50 </w:instrText>
      </w:r>
      <w:r w:rsidR="00021E2A">
        <w:rPr>
          <w:lang w:val="en-US"/>
        </w:rPr>
        <w:instrText>to</w:instrText>
      </w:r>
      <w:r w:rsidR="00021E2A" w:rsidRPr="00320416">
        <w:instrText xml:space="preserve"> 100). </w:instrText>
      </w:r>
      <w:r w:rsidR="00021E2A">
        <w:rPr>
          <w:lang w:val="en-US"/>
        </w:rPr>
        <w:instrText>Thirty</w:instrText>
      </w:r>
      <w:r w:rsidR="00021E2A" w:rsidRPr="00320416">
        <w:instrText>-</w:instrText>
      </w:r>
      <w:r w:rsidR="00021E2A">
        <w:rPr>
          <w:lang w:val="en-US"/>
        </w:rPr>
        <w:instrText>one</w:instrText>
      </w:r>
      <w:r w:rsidR="00021E2A" w:rsidRPr="00320416">
        <w:instrText xml:space="preserve"> </w:instrText>
      </w:r>
      <w:r w:rsidR="00021E2A">
        <w:rPr>
          <w:lang w:val="en-US"/>
        </w:rPr>
        <w:instrText>patients</w:instrText>
      </w:r>
      <w:r w:rsidR="00021E2A" w:rsidRPr="00320416">
        <w:instrText xml:space="preserve"> (60%) </w:instrText>
      </w:r>
      <w:r w:rsidR="00021E2A">
        <w:rPr>
          <w:lang w:val="en-US"/>
        </w:rPr>
        <w:instrText>achieved</w:instrText>
      </w:r>
      <w:r w:rsidR="00021E2A" w:rsidRPr="00320416">
        <w:instrText xml:space="preserve"> </w:instrText>
      </w:r>
      <w:r w:rsidR="00021E2A">
        <w:rPr>
          <w:lang w:val="en-US"/>
        </w:rPr>
        <w:instrText>a</w:instrText>
      </w:r>
      <w:r w:rsidR="00021E2A" w:rsidRPr="00320416">
        <w:instrText xml:space="preserve"> </w:instrText>
      </w:r>
      <w:r w:rsidR="00021E2A">
        <w:rPr>
          <w:lang w:val="en-US"/>
        </w:rPr>
        <w:instrText>CR</w:instrText>
      </w:r>
      <w:r w:rsidR="00021E2A" w:rsidRPr="00320416">
        <w:instrText xml:space="preserve"> </w:instrText>
      </w:r>
      <w:r w:rsidR="00021E2A">
        <w:rPr>
          <w:lang w:val="en-US"/>
        </w:rPr>
        <w:instrText>after</w:instrText>
      </w:r>
      <w:r w:rsidR="00021E2A" w:rsidRPr="00320416">
        <w:instrText xml:space="preserve"> </w:instrText>
      </w:r>
      <w:r w:rsidR="00021E2A">
        <w:rPr>
          <w:lang w:val="en-US"/>
        </w:rPr>
        <w:instrText>R</w:instrText>
      </w:r>
      <w:r w:rsidR="00021E2A" w:rsidRPr="00320416">
        <w:instrText>-</w:instrText>
      </w:r>
      <w:r w:rsidR="00021E2A">
        <w:rPr>
          <w:lang w:val="en-US"/>
        </w:rPr>
        <w:instrText>MPV</w:instrText>
      </w:r>
      <w:r w:rsidR="00021E2A" w:rsidRPr="00320416">
        <w:instrText xml:space="preserve"> </w:instrText>
      </w:r>
      <w:r w:rsidR="00021E2A">
        <w:rPr>
          <w:lang w:val="en-US"/>
        </w:rPr>
        <w:instrText>and</w:instrText>
      </w:r>
      <w:r w:rsidR="00021E2A" w:rsidRPr="00320416">
        <w:instrText xml:space="preserve"> </w:instrText>
      </w:r>
      <w:r w:rsidR="00021E2A">
        <w:rPr>
          <w:lang w:val="en-US"/>
        </w:rPr>
        <w:instrText>received</w:instrText>
      </w:r>
      <w:r w:rsidR="00021E2A" w:rsidRPr="00320416">
        <w:instrText xml:space="preserve"> </w:instrText>
      </w:r>
      <w:r w:rsidR="00021E2A">
        <w:rPr>
          <w:lang w:val="en-US"/>
        </w:rPr>
        <w:instrText>rdWBRT</w:instrText>
      </w:r>
      <w:r w:rsidR="00021E2A" w:rsidRPr="00320416">
        <w:instrText xml:space="preserve">. </w:instrText>
      </w:r>
      <w:r w:rsidR="00021E2A">
        <w:rPr>
          <w:lang w:val="en-US"/>
        </w:rPr>
        <w:instrText>The</w:instrText>
      </w:r>
      <w:r w:rsidR="00021E2A" w:rsidRPr="00320416">
        <w:instrText xml:space="preserve"> 2-</w:instrText>
      </w:r>
      <w:r w:rsidR="00021E2A">
        <w:rPr>
          <w:lang w:val="en-US"/>
        </w:rPr>
        <w:instrText>year</w:instrText>
      </w:r>
      <w:r w:rsidR="00021E2A" w:rsidRPr="00320416">
        <w:instrText xml:space="preserve"> </w:instrText>
      </w:r>
      <w:r w:rsidR="00021E2A">
        <w:rPr>
          <w:lang w:val="en-US"/>
        </w:rPr>
        <w:instrText>PFS</w:instrText>
      </w:r>
      <w:r w:rsidR="00021E2A" w:rsidRPr="00320416">
        <w:instrText xml:space="preserve"> </w:instrText>
      </w:r>
      <w:r w:rsidR="00021E2A">
        <w:rPr>
          <w:lang w:val="en-US"/>
        </w:rPr>
        <w:instrText>for</w:instrText>
      </w:r>
      <w:r w:rsidR="00021E2A" w:rsidRPr="00320416">
        <w:instrText xml:space="preserve"> </w:instrText>
      </w:r>
      <w:r w:rsidR="00021E2A">
        <w:rPr>
          <w:lang w:val="en-US"/>
        </w:rPr>
        <w:instrText>this</w:instrText>
      </w:r>
      <w:r w:rsidR="00021E2A" w:rsidRPr="00320416">
        <w:instrText xml:space="preserve"> </w:instrText>
      </w:r>
      <w:r w:rsidR="00021E2A">
        <w:rPr>
          <w:lang w:val="en-US"/>
        </w:rPr>
        <w:instrText>group</w:instrText>
      </w:r>
      <w:r w:rsidR="00021E2A" w:rsidRPr="00320416">
        <w:instrText xml:space="preserve"> </w:instrText>
      </w:r>
      <w:r w:rsidR="00021E2A">
        <w:rPr>
          <w:lang w:val="en-US"/>
        </w:rPr>
        <w:instrText>was</w:instrText>
      </w:r>
      <w:r w:rsidR="00021E2A" w:rsidRPr="00320416">
        <w:instrText xml:space="preserve"> 77%; </w:instrText>
      </w:r>
      <w:r w:rsidR="00021E2A">
        <w:rPr>
          <w:lang w:val="en-US"/>
        </w:rPr>
        <w:instrText>median</w:instrText>
      </w:r>
      <w:r w:rsidR="00021E2A" w:rsidRPr="00320416">
        <w:instrText xml:space="preserve"> </w:instrText>
      </w:r>
      <w:r w:rsidR="00021E2A">
        <w:rPr>
          <w:lang w:val="en-US"/>
        </w:rPr>
        <w:instrText>PFS</w:instrText>
      </w:r>
      <w:r w:rsidR="00021E2A" w:rsidRPr="00320416">
        <w:instrText xml:space="preserve"> </w:instrText>
      </w:r>
      <w:r w:rsidR="00021E2A">
        <w:rPr>
          <w:lang w:val="en-US"/>
        </w:rPr>
        <w:instrText>was</w:instrText>
      </w:r>
      <w:r w:rsidR="00021E2A" w:rsidRPr="00320416">
        <w:instrText xml:space="preserve"> 7.7 </w:instrText>
      </w:r>
      <w:r w:rsidR="00021E2A">
        <w:rPr>
          <w:lang w:val="en-US"/>
        </w:rPr>
        <w:instrText>years</w:instrText>
      </w:r>
      <w:r w:rsidR="00021E2A" w:rsidRPr="00320416">
        <w:instrText xml:space="preserve">. </w:instrText>
      </w:r>
      <w:r w:rsidR="00021E2A">
        <w:rPr>
          <w:lang w:val="en-US"/>
        </w:rPr>
        <w:instrText>Median</w:instrText>
      </w:r>
      <w:r w:rsidR="00021E2A" w:rsidRPr="00320416">
        <w:instrText xml:space="preserve"> </w:instrText>
      </w:r>
      <w:r w:rsidR="00021E2A">
        <w:rPr>
          <w:lang w:val="en-US"/>
        </w:rPr>
        <w:instrText>overall</w:instrText>
      </w:r>
      <w:r w:rsidR="00021E2A" w:rsidRPr="00320416">
        <w:instrText xml:space="preserve"> </w:instrText>
      </w:r>
      <w:r w:rsidR="00021E2A">
        <w:rPr>
          <w:lang w:val="en-US"/>
        </w:rPr>
        <w:instrText>survival</w:instrText>
      </w:r>
      <w:r w:rsidR="00021E2A" w:rsidRPr="00320416">
        <w:instrText xml:space="preserve"> (</w:instrText>
      </w:r>
      <w:r w:rsidR="00021E2A">
        <w:rPr>
          <w:lang w:val="en-US"/>
        </w:rPr>
        <w:instrText>OS</w:instrText>
      </w:r>
      <w:r w:rsidR="00021E2A" w:rsidRPr="00320416">
        <w:instrText xml:space="preserve">) </w:instrText>
      </w:r>
      <w:r w:rsidR="00021E2A">
        <w:rPr>
          <w:lang w:val="en-US"/>
        </w:rPr>
        <w:instrText>was</w:instrText>
      </w:r>
      <w:r w:rsidR="00021E2A" w:rsidRPr="00320416">
        <w:instrText xml:space="preserve"> </w:instrText>
      </w:r>
      <w:r w:rsidR="00021E2A">
        <w:rPr>
          <w:lang w:val="en-US"/>
        </w:rPr>
        <w:instrText>not</w:instrText>
      </w:r>
      <w:r w:rsidR="00021E2A" w:rsidRPr="00320416">
        <w:instrText xml:space="preserve"> </w:instrText>
      </w:r>
      <w:r w:rsidR="00021E2A">
        <w:rPr>
          <w:lang w:val="en-US"/>
        </w:rPr>
        <w:instrText>reached</w:instrText>
      </w:r>
      <w:r w:rsidR="00021E2A" w:rsidRPr="00320416">
        <w:instrText xml:space="preserve"> (</w:instrText>
      </w:r>
      <w:r w:rsidR="00021E2A">
        <w:rPr>
          <w:lang w:val="en-US"/>
        </w:rPr>
        <w:instrText>median</w:instrText>
      </w:r>
      <w:r w:rsidR="00021E2A" w:rsidRPr="00320416">
        <w:instrText xml:space="preserve"> </w:instrText>
      </w:r>
      <w:r w:rsidR="00021E2A">
        <w:rPr>
          <w:lang w:val="en-US"/>
        </w:rPr>
        <w:instrText>follow</w:instrText>
      </w:r>
      <w:r w:rsidR="00021E2A" w:rsidRPr="00320416">
        <w:instrText>-</w:instrText>
      </w:r>
      <w:r w:rsidR="00021E2A">
        <w:rPr>
          <w:lang w:val="en-US"/>
        </w:rPr>
        <w:instrText>up</w:instrText>
      </w:r>
      <w:r w:rsidR="00021E2A" w:rsidRPr="00320416">
        <w:instrText xml:space="preserve"> </w:instrText>
      </w:r>
      <w:r w:rsidR="00021E2A">
        <w:rPr>
          <w:lang w:val="en-US"/>
        </w:rPr>
        <w:instrText>for</w:instrText>
      </w:r>
      <w:r w:rsidR="00021E2A" w:rsidRPr="00320416">
        <w:instrText xml:space="preserve"> </w:instrText>
      </w:r>
      <w:r w:rsidR="00021E2A">
        <w:rPr>
          <w:lang w:val="en-US"/>
        </w:rPr>
        <w:instrText>survivors</w:instrText>
      </w:r>
      <w:r w:rsidR="00021E2A" w:rsidRPr="00320416">
        <w:instrText xml:space="preserve">, 5.9 </w:instrText>
      </w:r>
      <w:r w:rsidR="00021E2A">
        <w:rPr>
          <w:lang w:val="en-US"/>
        </w:rPr>
        <w:instrText>years</w:instrText>
      </w:r>
      <w:r w:rsidR="00021E2A" w:rsidRPr="00320416">
        <w:instrText>); 3-</w:instrText>
      </w:r>
      <w:r w:rsidR="00021E2A">
        <w:rPr>
          <w:lang w:val="en-US"/>
        </w:rPr>
        <w:instrText>year</w:instrText>
      </w:r>
      <w:r w:rsidR="00021E2A" w:rsidRPr="00320416">
        <w:instrText xml:space="preserve"> </w:instrText>
      </w:r>
      <w:r w:rsidR="00021E2A">
        <w:rPr>
          <w:lang w:val="en-US"/>
        </w:rPr>
        <w:instrText>OS</w:instrText>
      </w:r>
      <w:r w:rsidR="00021E2A" w:rsidRPr="00320416">
        <w:instrText xml:space="preserve"> </w:instrText>
      </w:r>
      <w:r w:rsidR="00021E2A">
        <w:rPr>
          <w:lang w:val="en-US"/>
        </w:rPr>
        <w:instrText>was</w:instrText>
      </w:r>
      <w:r w:rsidR="00021E2A" w:rsidRPr="00320416">
        <w:instrText xml:space="preserve"> 87%. </w:instrText>
      </w:r>
      <w:r w:rsidR="00021E2A">
        <w:rPr>
          <w:lang w:val="en-US"/>
        </w:rPr>
        <w:instrText>The</w:instrText>
      </w:r>
      <w:r w:rsidR="00021E2A" w:rsidRPr="00320416">
        <w:instrText xml:space="preserve"> </w:instrText>
      </w:r>
      <w:r w:rsidR="00021E2A">
        <w:rPr>
          <w:lang w:val="en-US"/>
        </w:rPr>
        <w:instrText>overall</w:instrText>
      </w:r>
      <w:r w:rsidR="00021E2A" w:rsidRPr="00AA43FB">
        <w:instrText xml:space="preserve"> (</w:instrText>
      </w:r>
      <w:r w:rsidR="00021E2A">
        <w:rPr>
          <w:lang w:val="en-US"/>
        </w:rPr>
        <w:instrText>N</w:instrText>
      </w:r>
      <w:r w:rsidR="00021E2A" w:rsidRPr="00AA43FB">
        <w:instrText xml:space="preserve"> = 52) </w:instrText>
      </w:r>
      <w:r w:rsidR="00021E2A">
        <w:rPr>
          <w:lang w:val="en-US"/>
        </w:rPr>
        <w:instrText>median</w:instrText>
      </w:r>
      <w:r w:rsidR="00021E2A" w:rsidRPr="00AA43FB">
        <w:instrText xml:space="preserve"> </w:instrText>
      </w:r>
      <w:r w:rsidR="00021E2A">
        <w:rPr>
          <w:lang w:val="en-US"/>
        </w:rPr>
        <w:instrText>PFS</w:instrText>
      </w:r>
      <w:r w:rsidR="00021E2A" w:rsidRPr="00AA43FB">
        <w:instrText xml:space="preserve"> </w:instrText>
      </w:r>
      <w:r w:rsidR="00021E2A">
        <w:rPr>
          <w:lang w:val="en-US"/>
        </w:rPr>
        <w:instrText>was</w:instrText>
      </w:r>
      <w:r w:rsidR="00021E2A" w:rsidRPr="00AA43FB">
        <w:instrText xml:space="preserve"> 3.3 </w:instrText>
      </w:r>
      <w:r w:rsidR="00021E2A">
        <w:rPr>
          <w:lang w:val="en-US"/>
        </w:rPr>
        <w:instrText>years</w:instrText>
      </w:r>
      <w:r w:rsidR="00021E2A" w:rsidRPr="00AA43FB">
        <w:instrText xml:space="preserve">, </w:instrText>
      </w:r>
      <w:r w:rsidR="00021E2A">
        <w:rPr>
          <w:lang w:val="en-US"/>
        </w:rPr>
        <w:instrText>and</w:instrText>
      </w:r>
      <w:r w:rsidR="00021E2A" w:rsidRPr="00AA43FB">
        <w:instrText xml:space="preserve"> </w:instrText>
      </w:r>
      <w:r w:rsidR="00021E2A">
        <w:rPr>
          <w:lang w:val="en-US"/>
        </w:rPr>
        <w:instrText>median</w:instrText>
      </w:r>
      <w:r w:rsidR="00021E2A" w:rsidRPr="00AA43FB">
        <w:instrText xml:space="preserve"> </w:instrText>
      </w:r>
      <w:r w:rsidR="00021E2A">
        <w:rPr>
          <w:lang w:val="en-US"/>
        </w:rPr>
        <w:instrText>OS</w:instrText>
      </w:r>
      <w:r w:rsidR="00021E2A" w:rsidRPr="00AA43FB">
        <w:instrText xml:space="preserve"> </w:instrText>
      </w:r>
      <w:r w:rsidR="00021E2A">
        <w:rPr>
          <w:lang w:val="en-US"/>
        </w:rPr>
        <w:instrText>was</w:instrText>
      </w:r>
      <w:r w:rsidR="00021E2A" w:rsidRPr="00AA43FB">
        <w:instrText xml:space="preserve"> 6.6 </w:instrText>
      </w:r>
      <w:r w:rsidR="00021E2A">
        <w:rPr>
          <w:lang w:val="en-US"/>
        </w:rPr>
        <w:instrText>years</w:instrText>
      </w:r>
      <w:r w:rsidR="00021E2A" w:rsidRPr="00AA43FB">
        <w:instrText xml:space="preserve">. </w:instrText>
      </w:r>
      <w:r w:rsidR="00021E2A">
        <w:rPr>
          <w:lang w:val="en-US"/>
        </w:rPr>
        <w:instrText>Cognitive</w:instrText>
      </w:r>
      <w:r w:rsidR="00021E2A" w:rsidRPr="00AA43FB">
        <w:instrText xml:space="preserve"> </w:instrText>
      </w:r>
      <w:r w:rsidR="00021E2A">
        <w:rPr>
          <w:lang w:val="en-US"/>
        </w:rPr>
        <w:instrText>assessment</w:instrText>
      </w:r>
      <w:r w:rsidR="00021E2A" w:rsidRPr="00AA43FB">
        <w:instrText xml:space="preserve"> </w:instrText>
      </w:r>
      <w:r w:rsidR="00021E2A">
        <w:rPr>
          <w:lang w:val="en-US"/>
        </w:rPr>
        <w:instrText>showed</w:instrText>
      </w:r>
      <w:r w:rsidR="00021E2A" w:rsidRPr="00AA43FB">
        <w:instrText xml:space="preserve"> </w:instrText>
      </w:r>
      <w:r w:rsidR="00021E2A">
        <w:rPr>
          <w:lang w:val="en-US"/>
        </w:rPr>
        <w:instrText>improvement</w:instrText>
      </w:r>
      <w:r w:rsidR="00021E2A" w:rsidRPr="00AA43FB">
        <w:instrText xml:space="preserve"> </w:instrText>
      </w:r>
      <w:r w:rsidR="00021E2A">
        <w:rPr>
          <w:lang w:val="en-US"/>
        </w:rPr>
        <w:instrText>in</w:instrText>
      </w:r>
      <w:r w:rsidR="00021E2A" w:rsidRPr="00AA43FB">
        <w:instrText xml:space="preserve"> </w:instrText>
      </w:r>
      <w:r w:rsidR="00021E2A">
        <w:rPr>
          <w:lang w:val="en-US"/>
        </w:rPr>
        <w:instrText>executive</w:instrText>
      </w:r>
      <w:r w:rsidR="00021E2A" w:rsidRPr="00AA43FB">
        <w:instrText xml:space="preserve"> </w:instrText>
      </w:r>
      <w:r w:rsidR="00021E2A">
        <w:rPr>
          <w:lang w:val="en-US"/>
        </w:rPr>
        <w:instrText>function</w:instrText>
      </w:r>
      <w:r w:rsidR="00021E2A" w:rsidRPr="00AA43FB">
        <w:instrText xml:space="preserve"> (</w:instrText>
      </w:r>
      <w:r w:rsidR="00021E2A">
        <w:rPr>
          <w:lang w:val="en-US"/>
        </w:rPr>
        <w:instrText>P</w:instrText>
      </w:r>
      <w:r w:rsidR="00021E2A" w:rsidRPr="00AA43FB">
        <w:instrText xml:space="preserve"> &lt; .01) </w:instrText>
      </w:r>
      <w:r w:rsidR="00021E2A">
        <w:rPr>
          <w:lang w:val="en-US"/>
        </w:rPr>
        <w:instrText>and</w:instrText>
      </w:r>
      <w:r w:rsidR="00021E2A" w:rsidRPr="00AA43FB">
        <w:instrText xml:space="preserve"> </w:instrText>
      </w:r>
      <w:r w:rsidR="00021E2A">
        <w:rPr>
          <w:lang w:val="en-US"/>
        </w:rPr>
        <w:instrText>verbal</w:instrText>
      </w:r>
      <w:r w:rsidR="00021E2A" w:rsidRPr="00AA43FB">
        <w:instrText xml:space="preserve"> </w:instrText>
      </w:r>
      <w:r w:rsidR="00021E2A">
        <w:rPr>
          <w:lang w:val="en-US"/>
        </w:rPr>
        <w:instrText>memory</w:instrText>
      </w:r>
      <w:r w:rsidR="00021E2A" w:rsidRPr="00AA43FB">
        <w:instrText xml:space="preserve"> (</w:instrText>
      </w:r>
      <w:r w:rsidR="00021E2A">
        <w:rPr>
          <w:lang w:val="en-US"/>
        </w:rPr>
        <w:instrText>P</w:instrText>
      </w:r>
      <w:r w:rsidR="00021E2A" w:rsidRPr="00AA43FB">
        <w:instrText xml:space="preserve"> &lt; .05) </w:instrText>
      </w:r>
      <w:r w:rsidR="00021E2A">
        <w:rPr>
          <w:lang w:val="en-US"/>
        </w:rPr>
        <w:instrText>after</w:instrText>
      </w:r>
      <w:r w:rsidR="00021E2A" w:rsidRPr="00AA43FB">
        <w:instrText xml:space="preserve"> </w:instrText>
      </w:r>
      <w:r w:rsidR="00021E2A">
        <w:rPr>
          <w:lang w:val="en-US"/>
        </w:rPr>
        <w:instrText>chemotherapy</w:instrText>
      </w:r>
      <w:r w:rsidR="00021E2A" w:rsidRPr="00AA43FB">
        <w:instrText xml:space="preserve">, </w:instrText>
      </w:r>
      <w:r w:rsidR="00021E2A">
        <w:rPr>
          <w:lang w:val="en-US"/>
        </w:rPr>
        <w:instrText>and</w:instrText>
      </w:r>
      <w:r w:rsidR="00021E2A" w:rsidRPr="00AA43FB">
        <w:instrText xml:space="preserve"> </w:instrText>
      </w:r>
      <w:r w:rsidR="00021E2A">
        <w:rPr>
          <w:lang w:val="en-US"/>
        </w:rPr>
        <w:instrText>follow</w:instrText>
      </w:r>
      <w:r w:rsidR="00021E2A" w:rsidRPr="00AA43FB">
        <w:instrText>-</w:instrText>
      </w:r>
      <w:r w:rsidR="00021E2A">
        <w:rPr>
          <w:lang w:val="en-US"/>
        </w:rPr>
        <w:instrText>up</w:instrText>
      </w:r>
      <w:r w:rsidR="00021E2A" w:rsidRPr="00AA43FB">
        <w:instrText xml:space="preserve"> </w:instrText>
      </w:r>
      <w:r w:rsidR="00021E2A">
        <w:rPr>
          <w:lang w:val="en-US"/>
        </w:rPr>
        <w:instrText>scores</w:instrText>
      </w:r>
      <w:r w:rsidR="00021E2A" w:rsidRPr="00AA43FB">
        <w:instrText xml:space="preserve"> </w:instrText>
      </w:r>
      <w:r w:rsidR="00021E2A">
        <w:rPr>
          <w:lang w:val="en-US"/>
        </w:rPr>
        <w:instrText>remained</w:instrText>
      </w:r>
      <w:r w:rsidR="00021E2A" w:rsidRPr="00AA43FB">
        <w:instrText xml:space="preserve"> </w:instrText>
      </w:r>
      <w:r w:rsidR="00021E2A">
        <w:rPr>
          <w:lang w:val="en-US"/>
        </w:rPr>
        <w:instrText>relatively</w:instrText>
      </w:r>
      <w:r w:rsidR="00021E2A" w:rsidRPr="00AA43FB">
        <w:instrText xml:space="preserve"> </w:instrText>
      </w:r>
      <w:r w:rsidR="00021E2A">
        <w:rPr>
          <w:lang w:val="en-US"/>
        </w:rPr>
        <w:instrText>stable</w:instrText>
      </w:r>
      <w:r w:rsidR="00021E2A" w:rsidRPr="00AA43FB">
        <w:instrText xml:space="preserve"> </w:instrText>
      </w:r>
      <w:r w:rsidR="00021E2A">
        <w:rPr>
          <w:lang w:val="en-US"/>
        </w:rPr>
        <w:instrText>across</w:instrText>
      </w:r>
      <w:r w:rsidR="00021E2A" w:rsidRPr="00AA43FB">
        <w:instrText xml:space="preserve"> </w:instrText>
      </w:r>
      <w:r w:rsidR="00021E2A">
        <w:rPr>
          <w:lang w:val="en-US"/>
        </w:rPr>
        <w:instrText>the</w:instrText>
      </w:r>
      <w:r w:rsidR="00021E2A" w:rsidRPr="00AA43FB">
        <w:instrText xml:space="preserve"> </w:instrText>
      </w:r>
      <w:r w:rsidR="00021E2A">
        <w:rPr>
          <w:lang w:val="en-US"/>
        </w:rPr>
        <w:instrText>various</w:instrText>
      </w:r>
      <w:r w:rsidR="00021E2A" w:rsidRPr="00AA43FB">
        <w:instrText xml:space="preserve"> </w:instrText>
      </w:r>
      <w:r w:rsidR="00021E2A">
        <w:rPr>
          <w:lang w:val="en-US"/>
        </w:rPr>
        <w:instrText>domains</w:instrText>
      </w:r>
      <w:r w:rsidR="00021E2A" w:rsidRPr="00AA43FB">
        <w:instrText xml:space="preserve"> (</w:instrText>
      </w:r>
      <w:r w:rsidR="00021E2A">
        <w:rPr>
          <w:lang w:val="en-US"/>
        </w:rPr>
        <w:instrText>n</w:instrText>
      </w:r>
      <w:r w:rsidR="00021E2A" w:rsidRPr="00AA43FB">
        <w:instrText xml:space="preserve"> = 12). </w:instrText>
      </w:r>
      <w:r w:rsidR="00021E2A">
        <w:rPr>
          <w:lang w:val="en-US"/>
        </w:rPr>
        <w:instrText>All</w:instrText>
      </w:r>
      <w:r w:rsidR="00021E2A" w:rsidRPr="00AA43FB">
        <w:instrText xml:space="preserve"> </w:instrText>
      </w:r>
      <w:r w:rsidR="00021E2A">
        <w:rPr>
          <w:lang w:val="en-US"/>
        </w:rPr>
        <w:instrText>examined</w:instrText>
      </w:r>
      <w:r w:rsidR="00021E2A" w:rsidRPr="00AA43FB">
        <w:instrText xml:space="preserve"> </w:instrText>
      </w:r>
      <w:r w:rsidR="00021E2A">
        <w:rPr>
          <w:lang w:val="en-US"/>
        </w:rPr>
        <w:instrText>MRIs</w:instrText>
      </w:r>
      <w:r w:rsidR="00021E2A" w:rsidRPr="00AA43FB">
        <w:instrText xml:space="preserve"> (</w:instrText>
      </w:r>
      <w:r w:rsidR="00021E2A">
        <w:rPr>
          <w:lang w:val="en-US"/>
        </w:rPr>
        <w:instrText>n</w:instrText>
      </w:r>
      <w:r w:rsidR="00021E2A" w:rsidRPr="00AA43FB">
        <w:instrText xml:space="preserve"> = 28) </w:instrText>
      </w:r>
      <w:r w:rsidR="00021E2A">
        <w:rPr>
          <w:lang w:val="en-US"/>
        </w:rPr>
        <w:instrText>displayed</w:instrText>
      </w:r>
      <w:r w:rsidR="00021E2A" w:rsidRPr="00AA43FB">
        <w:instrText xml:space="preserve"> </w:instrText>
      </w:r>
      <w:r w:rsidR="00021E2A">
        <w:rPr>
          <w:lang w:val="en-US"/>
        </w:rPr>
        <w:instrText>a</w:instrText>
      </w:r>
      <w:r w:rsidR="00021E2A" w:rsidRPr="00AA43FB">
        <w:instrText xml:space="preserve"> </w:instrText>
      </w:r>
      <w:r w:rsidR="00021E2A">
        <w:rPr>
          <w:lang w:val="en-US"/>
        </w:rPr>
        <w:instrText>Fazekas</w:instrText>
      </w:r>
      <w:r w:rsidR="00021E2A" w:rsidRPr="00AA43FB">
        <w:instrText xml:space="preserve"> </w:instrText>
      </w:r>
      <w:r w:rsidR="00021E2A">
        <w:rPr>
          <w:lang w:val="en-US"/>
        </w:rPr>
        <w:instrText>score</w:instrText>
      </w:r>
      <w:r w:rsidR="00021E2A" w:rsidRPr="00AA43FB">
        <w:instrText xml:space="preserve"> </w:instrText>
      </w:r>
      <w:r w:rsidR="00021E2A">
        <w:rPr>
          <w:lang w:val="en-US"/>
        </w:rPr>
        <w:instrText>of</w:instrText>
      </w:r>
      <w:r w:rsidR="00021E2A" w:rsidRPr="00AA43FB">
        <w:instrText xml:space="preserve"> ≤ 3, </w:instrText>
      </w:r>
      <w:r w:rsidR="00021E2A">
        <w:rPr>
          <w:lang w:val="en-US"/>
        </w:rPr>
        <w:instrText>and</w:instrText>
      </w:r>
      <w:r w:rsidR="00021E2A" w:rsidRPr="00AA43FB">
        <w:instrText xml:space="preserve"> </w:instrText>
      </w:r>
      <w:r w:rsidR="00021E2A">
        <w:rPr>
          <w:lang w:val="en-US"/>
        </w:rPr>
        <w:instrText>no</w:instrText>
      </w:r>
      <w:r w:rsidR="00021E2A" w:rsidRPr="00AA43FB">
        <w:instrText xml:space="preserve"> </w:instrText>
      </w:r>
      <w:r w:rsidR="00021E2A">
        <w:rPr>
          <w:lang w:val="en-US"/>
        </w:rPr>
        <w:instrText>patient</w:instrText>
      </w:r>
      <w:r w:rsidR="00021E2A" w:rsidRPr="00AA43FB">
        <w:instrText xml:space="preserve"> </w:instrText>
      </w:r>
      <w:r w:rsidR="00021E2A">
        <w:rPr>
          <w:lang w:val="en-US"/>
        </w:rPr>
        <w:instrText>developed</w:instrText>
      </w:r>
      <w:r w:rsidR="00021E2A" w:rsidRPr="00AA43FB">
        <w:instrText xml:space="preserve"> </w:instrText>
      </w:r>
      <w:r w:rsidR="00021E2A">
        <w:rPr>
          <w:lang w:val="en-US"/>
        </w:rPr>
        <w:instrText>scores</w:instrText>
      </w:r>
      <w:r w:rsidR="00021E2A" w:rsidRPr="00AA43FB">
        <w:instrText xml:space="preserve"> </w:instrText>
      </w:r>
      <w:r w:rsidR="00021E2A">
        <w:rPr>
          <w:lang w:val="en-US"/>
        </w:rPr>
        <w:instrText>of</w:instrText>
      </w:r>
      <w:r w:rsidR="00021E2A" w:rsidRPr="00AA43FB">
        <w:instrText xml:space="preserve"> 4 </w:instrText>
      </w:r>
      <w:r w:rsidR="00021E2A">
        <w:rPr>
          <w:lang w:val="en-US"/>
        </w:rPr>
        <w:instrText>to</w:instrText>
      </w:r>
      <w:r w:rsidR="00021E2A" w:rsidRPr="00AA43FB">
        <w:instrText xml:space="preserve"> 5; </w:instrText>
      </w:r>
      <w:r w:rsidR="00021E2A">
        <w:rPr>
          <w:lang w:val="en-US"/>
        </w:rPr>
        <w:instrText>differences</w:instrText>
      </w:r>
      <w:r w:rsidR="00021E2A" w:rsidRPr="00AA43FB">
        <w:instrText xml:space="preserve"> </w:instrText>
      </w:r>
      <w:r w:rsidR="00021E2A">
        <w:rPr>
          <w:lang w:val="en-US"/>
        </w:rPr>
        <w:instrText>in</w:instrText>
      </w:r>
      <w:r w:rsidR="00021E2A" w:rsidRPr="00AA43FB">
        <w:instrText xml:space="preserve"> </w:instrText>
      </w:r>
      <w:r w:rsidR="00021E2A">
        <w:rPr>
          <w:lang w:val="en-US"/>
        </w:rPr>
        <w:instrText>ADC</w:instrText>
      </w:r>
      <w:r w:rsidR="00021E2A" w:rsidRPr="00AA43FB">
        <w:instrText xml:space="preserve"> </w:instrText>
      </w:r>
      <w:r w:rsidR="00021E2A">
        <w:rPr>
          <w:lang w:val="en-US"/>
        </w:rPr>
        <w:instrText>values</w:instrText>
      </w:r>
      <w:r w:rsidR="00021E2A" w:rsidRPr="00AA43FB">
        <w:instrText xml:space="preserve"> </w:instrText>
      </w:r>
      <w:r w:rsidR="00021E2A">
        <w:rPr>
          <w:lang w:val="en-US"/>
        </w:rPr>
        <w:instrText>did</w:instrText>
      </w:r>
      <w:r w:rsidR="00021E2A" w:rsidRPr="00AA43FB">
        <w:instrText xml:space="preserve"> </w:instrText>
      </w:r>
      <w:r w:rsidR="00021E2A">
        <w:rPr>
          <w:lang w:val="en-US"/>
        </w:rPr>
        <w:instrText>not</w:instrText>
      </w:r>
      <w:r w:rsidR="00021E2A" w:rsidRPr="00AA43FB">
        <w:instrText xml:space="preserve"> </w:instrText>
      </w:r>
      <w:r w:rsidR="00021E2A">
        <w:rPr>
          <w:lang w:val="en-US"/>
        </w:rPr>
        <w:instrText>predict</w:instrText>
      </w:r>
      <w:r w:rsidR="00021E2A" w:rsidRPr="00AA43FB">
        <w:instrText xml:space="preserve"> </w:instrText>
      </w:r>
      <w:r w:rsidR="00021E2A">
        <w:rPr>
          <w:lang w:val="en-US"/>
        </w:rPr>
        <w:instrText>response</w:instrText>
      </w:r>
      <w:r w:rsidR="00021E2A" w:rsidRPr="00AA43FB">
        <w:instrText xml:space="preserve"> (</w:instrText>
      </w:r>
      <w:r w:rsidR="00021E2A">
        <w:rPr>
          <w:lang w:val="en-US"/>
        </w:rPr>
        <w:instrText>P</w:instrText>
      </w:r>
      <w:r w:rsidR="00021E2A" w:rsidRPr="00AA43FB">
        <w:instrText xml:space="preserve"> = .15), </w:instrText>
      </w:r>
      <w:r w:rsidR="00021E2A">
        <w:rPr>
          <w:lang w:val="en-US"/>
        </w:rPr>
        <w:instrText>PFS</w:instrText>
      </w:r>
      <w:r w:rsidR="00021E2A" w:rsidRPr="00AA43FB">
        <w:instrText xml:space="preserve"> (</w:instrText>
      </w:r>
      <w:r w:rsidR="00021E2A">
        <w:rPr>
          <w:lang w:val="en-US"/>
        </w:rPr>
        <w:instrText>P</w:instrText>
      </w:r>
      <w:r w:rsidR="00021E2A" w:rsidRPr="00AA43FB">
        <w:instrText xml:space="preserve"> = .27), </w:instrText>
      </w:r>
      <w:r w:rsidR="00021E2A">
        <w:rPr>
          <w:lang w:val="en-US"/>
        </w:rPr>
        <w:instrText>or</w:instrText>
      </w:r>
      <w:r w:rsidR="00021E2A" w:rsidRPr="00AA43FB">
        <w:instrText xml:space="preserve"> </w:instrText>
      </w:r>
      <w:r w:rsidR="00021E2A">
        <w:rPr>
          <w:lang w:val="en-US"/>
        </w:rPr>
        <w:instrText>OS</w:instrText>
      </w:r>
      <w:r w:rsidR="00021E2A" w:rsidRPr="00AA43FB">
        <w:instrText xml:space="preserve"> (</w:instrText>
      </w:r>
      <w:r w:rsidR="00021E2A">
        <w:rPr>
          <w:lang w:val="en-US"/>
        </w:rPr>
        <w:instrText>P</w:instrText>
      </w:r>
      <w:r w:rsidR="00021E2A" w:rsidRPr="00AA43FB">
        <w:instrText xml:space="preserve"> = .33). </w:instrText>
      </w:r>
      <w:r w:rsidR="00021E2A">
        <w:rPr>
          <w:lang w:val="en-US"/>
        </w:rPr>
        <w:instrText>Conclusion</w:instrText>
      </w:r>
      <w:r w:rsidR="00021E2A" w:rsidRPr="00AA43FB">
        <w:instrText xml:space="preserve">: </w:instrText>
      </w:r>
      <w:r w:rsidR="00021E2A">
        <w:rPr>
          <w:lang w:val="en-US"/>
        </w:rPr>
        <w:instrText>R</w:instrText>
      </w:r>
      <w:r w:rsidR="00021E2A" w:rsidRPr="00AA43FB">
        <w:instrText>-</w:instrText>
      </w:r>
      <w:r w:rsidR="00021E2A">
        <w:rPr>
          <w:lang w:val="en-US"/>
        </w:rPr>
        <w:instrText>MPV</w:instrText>
      </w:r>
      <w:r w:rsidR="00021E2A" w:rsidRPr="00AA43FB">
        <w:instrText xml:space="preserve"> </w:instrText>
      </w:r>
      <w:r w:rsidR="00021E2A">
        <w:rPr>
          <w:lang w:val="en-US"/>
        </w:rPr>
        <w:instrText>combined</w:instrText>
      </w:r>
      <w:r w:rsidR="00021E2A" w:rsidRPr="00AA43FB">
        <w:instrText xml:space="preserve"> </w:instrText>
      </w:r>
      <w:r w:rsidR="00021E2A">
        <w:rPr>
          <w:lang w:val="en-US"/>
        </w:rPr>
        <w:instrText>with</w:instrText>
      </w:r>
      <w:r w:rsidR="00021E2A" w:rsidRPr="00AA43FB">
        <w:instrText xml:space="preserve"> </w:instrText>
      </w:r>
      <w:r w:rsidR="00021E2A">
        <w:rPr>
          <w:lang w:val="en-US"/>
        </w:rPr>
        <w:instrText>consolidation</w:instrText>
      </w:r>
      <w:r w:rsidR="00021E2A" w:rsidRPr="00AA43FB">
        <w:instrText xml:space="preserve"> </w:instrText>
      </w:r>
      <w:r w:rsidR="00021E2A">
        <w:rPr>
          <w:lang w:val="en-US"/>
        </w:rPr>
        <w:instrText>rdWBRT</w:instrText>
      </w:r>
      <w:r w:rsidR="00021E2A" w:rsidRPr="00AA43FB">
        <w:instrText xml:space="preserve"> </w:instrText>
      </w:r>
      <w:r w:rsidR="00021E2A">
        <w:rPr>
          <w:lang w:val="en-US"/>
        </w:rPr>
        <w:instrText>and</w:instrText>
      </w:r>
      <w:r w:rsidR="00021E2A" w:rsidRPr="00AA43FB">
        <w:instrText xml:space="preserve"> </w:instrText>
      </w:r>
      <w:r w:rsidR="00021E2A">
        <w:rPr>
          <w:lang w:val="en-US"/>
        </w:rPr>
        <w:instrText>cytarabine</w:instrText>
      </w:r>
      <w:r w:rsidR="00021E2A" w:rsidRPr="00AA43FB">
        <w:instrText xml:space="preserve"> </w:instrText>
      </w:r>
      <w:r w:rsidR="00021E2A">
        <w:rPr>
          <w:lang w:val="en-US"/>
        </w:rPr>
        <w:instrText>is</w:instrText>
      </w:r>
      <w:r w:rsidR="00021E2A" w:rsidRPr="00AA43FB">
        <w:instrText xml:space="preserve"> </w:instrText>
      </w:r>
      <w:r w:rsidR="00021E2A">
        <w:rPr>
          <w:lang w:val="en-US"/>
        </w:rPr>
        <w:instrText>associated</w:instrText>
      </w:r>
      <w:r w:rsidR="00021E2A" w:rsidRPr="00AA43FB">
        <w:instrText xml:space="preserve"> </w:instrText>
      </w:r>
      <w:r w:rsidR="00021E2A">
        <w:rPr>
          <w:lang w:val="en-US"/>
        </w:rPr>
        <w:instrText>with</w:instrText>
      </w:r>
      <w:r w:rsidR="00021E2A" w:rsidRPr="00AA43FB">
        <w:instrText xml:space="preserve"> </w:instrText>
      </w:r>
      <w:r w:rsidR="00021E2A">
        <w:rPr>
          <w:lang w:val="en-US"/>
        </w:rPr>
        <w:instrText>high</w:instrText>
      </w:r>
      <w:r w:rsidR="00021E2A" w:rsidRPr="00AA43FB">
        <w:instrText xml:space="preserve"> </w:instrText>
      </w:r>
      <w:r w:rsidR="00021E2A">
        <w:rPr>
          <w:lang w:val="en-US"/>
        </w:rPr>
        <w:instrText>response</w:instrText>
      </w:r>
      <w:r w:rsidR="00021E2A" w:rsidRPr="00AA43FB">
        <w:instrText xml:space="preserve"> </w:instrText>
      </w:r>
      <w:r w:rsidR="00021E2A">
        <w:rPr>
          <w:lang w:val="en-US"/>
        </w:rPr>
        <w:instrText>rates</w:instrText>
      </w:r>
      <w:r w:rsidR="00021E2A" w:rsidRPr="00AA43FB">
        <w:instrText xml:space="preserve">, </w:instrText>
      </w:r>
      <w:r w:rsidR="00021E2A">
        <w:rPr>
          <w:lang w:val="en-US"/>
        </w:rPr>
        <w:instrText>long</w:instrText>
      </w:r>
      <w:r w:rsidR="00021E2A" w:rsidRPr="00AA43FB">
        <w:instrText>-</w:instrText>
      </w:r>
      <w:r w:rsidR="00021E2A">
        <w:rPr>
          <w:lang w:val="en-US"/>
        </w:rPr>
        <w:instrText>term</w:instrText>
      </w:r>
      <w:r w:rsidR="00021E2A" w:rsidRPr="00AA43FB">
        <w:instrText xml:space="preserve"> </w:instrText>
      </w:r>
      <w:r w:rsidR="00021E2A">
        <w:rPr>
          <w:lang w:val="en-US"/>
        </w:rPr>
        <w:instrText>disease</w:instrText>
      </w:r>
      <w:r w:rsidR="00021E2A" w:rsidRPr="00AA43FB">
        <w:instrText xml:space="preserve"> </w:instrText>
      </w:r>
      <w:r w:rsidR="00021E2A">
        <w:rPr>
          <w:lang w:val="en-US"/>
        </w:rPr>
        <w:instrText>control</w:instrText>
      </w:r>
      <w:r w:rsidR="00021E2A" w:rsidRPr="00AA43FB">
        <w:instrText xml:space="preserve">, </w:instrText>
      </w:r>
      <w:r w:rsidR="00021E2A">
        <w:rPr>
          <w:lang w:val="en-US"/>
        </w:rPr>
        <w:instrText>and</w:instrText>
      </w:r>
      <w:r w:rsidR="00021E2A" w:rsidRPr="00AA43FB">
        <w:instrText xml:space="preserve"> </w:instrText>
      </w:r>
      <w:r w:rsidR="00021E2A">
        <w:rPr>
          <w:lang w:val="en-US"/>
        </w:rPr>
        <w:instrText>minimal</w:instrText>
      </w:r>
      <w:r w:rsidR="00021E2A" w:rsidRPr="00AA43FB">
        <w:instrText xml:space="preserve"> </w:instrText>
      </w:r>
      <w:r w:rsidR="00021E2A">
        <w:rPr>
          <w:lang w:val="en-US"/>
        </w:rPr>
        <w:instrText>neurotoxicity</w:instrText>
      </w:r>
      <w:r w:rsidR="00021E2A" w:rsidRPr="00AA43FB">
        <w:instrText xml:space="preserve">. © 2013 </w:instrText>
      </w:r>
      <w:r w:rsidR="00021E2A">
        <w:rPr>
          <w:lang w:val="en-US"/>
        </w:rPr>
        <w:instrText>by</w:instrText>
      </w:r>
      <w:r w:rsidR="00021E2A" w:rsidRPr="00AA43FB">
        <w:instrText xml:space="preserve"> </w:instrText>
      </w:r>
      <w:r w:rsidR="00021E2A">
        <w:rPr>
          <w:lang w:val="en-US"/>
        </w:rPr>
        <w:instrText>American</w:instrText>
      </w:r>
      <w:r w:rsidR="00021E2A" w:rsidRPr="00AA43FB">
        <w:instrText xml:space="preserve"> </w:instrText>
      </w:r>
      <w:r w:rsidR="00021E2A">
        <w:rPr>
          <w:lang w:val="en-US"/>
        </w:rPr>
        <w:instrText>Society</w:instrText>
      </w:r>
      <w:r w:rsidR="00021E2A" w:rsidRPr="00AA43FB">
        <w:instrText xml:space="preserve"> </w:instrText>
      </w:r>
      <w:r w:rsidR="00021E2A">
        <w:rPr>
          <w:lang w:val="en-US"/>
        </w:rPr>
        <w:instrText>of</w:instrText>
      </w:r>
      <w:r w:rsidR="00021E2A" w:rsidRPr="00AA43FB">
        <w:instrText xml:space="preserve"> </w:instrText>
      </w:r>
      <w:r w:rsidR="00021E2A">
        <w:rPr>
          <w:lang w:val="en-US"/>
        </w:rPr>
        <w:instrText>Clinical</w:instrText>
      </w:r>
      <w:r w:rsidR="00021E2A" w:rsidRPr="00AA43FB">
        <w:instrText xml:space="preserve"> </w:instrText>
      </w:r>
      <w:r w:rsidR="00021E2A">
        <w:rPr>
          <w:lang w:val="en-US"/>
        </w:rPr>
        <w:instrText>Oncology</w:instrText>
      </w:r>
      <w:r w:rsidR="00021E2A" w:rsidRPr="00AA43FB">
        <w:instrText>.","</w:instrText>
      </w:r>
      <w:r w:rsidR="00021E2A">
        <w:rPr>
          <w:lang w:val="en-US"/>
        </w:rPr>
        <w:instrText>author</w:instrText>
      </w:r>
      <w:r w:rsidR="00021E2A" w:rsidRPr="00AA43FB">
        <w:instrText>":[{"</w:instrText>
      </w:r>
      <w:r w:rsidR="00021E2A">
        <w:rPr>
          <w:lang w:val="en-US"/>
        </w:rPr>
        <w:instrText>dropping</w:instrText>
      </w:r>
      <w:r w:rsidR="00021E2A" w:rsidRPr="00AA43FB">
        <w:instrText>-</w:instrText>
      </w:r>
      <w:r w:rsidR="00021E2A">
        <w:rPr>
          <w:lang w:val="en-US"/>
        </w:rPr>
        <w:instrText>particle</w:instrText>
      </w:r>
      <w:r w:rsidR="00021E2A" w:rsidRPr="00AA43FB">
        <w:instrText>":"","</w:instrText>
      </w:r>
      <w:r w:rsidR="00021E2A">
        <w:rPr>
          <w:lang w:val="en-US"/>
        </w:rPr>
        <w:instrText>family</w:instrText>
      </w:r>
      <w:r w:rsidR="00021E2A" w:rsidRPr="00AA43FB">
        <w:instrText>":"</w:instrText>
      </w:r>
      <w:r w:rsidR="00021E2A">
        <w:rPr>
          <w:lang w:val="en-US"/>
        </w:rPr>
        <w:instrText>Morris</w:instrText>
      </w:r>
      <w:r w:rsidR="00021E2A" w:rsidRPr="00AA43FB">
        <w:instrText>","</w:instrText>
      </w:r>
      <w:r w:rsidR="00021E2A">
        <w:rPr>
          <w:lang w:val="en-US"/>
        </w:rPr>
        <w:instrText>given</w:instrText>
      </w:r>
      <w:r w:rsidR="00021E2A" w:rsidRPr="00AA43FB">
        <w:instrText>":"</w:instrText>
      </w:r>
      <w:r w:rsidR="00021E2A">
        <w:rPr>
          <w:lang w:val="en-US"/>
        </w:rPr>
        <w:instrText>Patrick</w:instrText>
      </w:r>
      <w:r w:rsidR="00021E2A" w:rsidRPr="00AA43FB">
        <w:instrText xml:space="preserve"> </w:instrText>
      </w:r>
      <w:r w:rsidR="00021E2A">
        <w:rPr>
          <w:lang w:val="en-US"/>
        </w:rPr>
        <w:instrText>G</w:instrText>
      </w:r>
      <w:r w:rsidR="00021E2A" w:rsidRPr="00AA43FB">
        <w:instrText>.","</w:instrText>
      </w:r>
      <w:r w:rsidR="00021E2A">
        <w:rPr>
          <w:lang w:val="en-US"/>
        </w:rPr>
        <w:instrText>non</w:instrText>
      </w:r>
      <w:r w:rsidR="00021E2A" w:rsidRPr="00AA43FB">
        <w:instrText>-</w:instrText>
      </w:r>
      <w:r w:rsidR="00021E2A">
        <w:rPr>
          <w:lang w:val="en-US"/>
        </w:rPr>
        <w:instrText>dropping</w:instrText>
      </w:r>
      <w:r w:rsidR="00021E2A" w:rsidRPr="00AA43FB">
        <w:instrText>-</w:instrText>
      </w:r>
      <w:r w:rsidR="00021E2A">
        <w:rPr>
          <w:lang w:val="en-US"/>
        </w:rPr>
        <w:instrText>particle</w:instrText>
      </w:r>
      <w:r w:rsidR="00021E2A" w:rsidRPr="00AA43FB">
        <w:instrText>":"","</w:instrText>
      </w:r>
      <w:r w:rsidR="00021E2A">
        <w:rPr>
          <w:lang w:val="en-US"/>
        </w:rPr>
        <w:instrText>parse</w:instrText>
      </w:r>
      <w:r w:rsidR="00021E2A" w:rsidRPr="00AA43FB">
        <w:instrText>-</w:instrText>
      </w:r>
      <w:r w:rsidR="00021E2A">
        <w:rPr>
          <w:lang w:val="en-US"/>
        </w:rPr>
        <w:instrText>names</w:instrText>
      </w:r>
      <w:r w:rsidR="00021E2A" w:rsidRPr="00AA43FB">
        <w:instrText>":</w:instrText>
      </w:r>
      <w:r w:rsidR="00021E2A">
        <w:rPr>
          <w:lang w:val="en-US"/>
        </w:rPr>
        <w:instrText>false</w:instrText>
      </w:r>
      <w:r w:rsidR="00021E2A" w:rsidRPr="00AA43FB">
        <w:instrText>,"</w:instrText>
      </w:r>
      <w:r w:rsidR="00021E2A">
        <w:rPr>
          <w:lang w:val="en-US"/>
        </w:rPr>
        <w:instrText>suffix</w:instrText>
      </w:r>
      <w:r w:rsidR="00021E2A" w:rsidRPr="00AA43FB">
        <w:instrText>":""},{"</w:instrText>
      </w:r>
      <w:r w:rsidR="00021E2A">
        <w:rPr>
          <w:lang w:val="en-US"/>
        </w:rPr>
        <w:instrText>dropping</w:instrText>
      </w:r>
      <w:r w:rsidR="00021E2A" w:rsidRPr="00AA43FB">
        <w:instrText>-</w:instrText>
      </w:r>
      <w:r w:rsidR="00021E2A">
        <w:rPr>
          <w:lang w:val="en-US"/>
        </w:rPr>
        <w:instrText>particle</w:instrText>
      </w:r>
      <w:r w:rsidR="00021E2A" w:rsidRPr="00AA43FB">
        <w:instrText>":"","</w:instrText>
      </w:r>
      <w:r w:rsidR="00021E2A">
        <w:rPr>
          <w:lang w:val="en-US"/>
        </w:rPr>
        <w:instrText>family</w:instrText>
      </w:r>
      <w:r w:rsidR="00021E2A" w:rsidRPr="00AA43FB">
        <w:instrText>":"</w:instrText>
      </w:r>
      <w:r w:rsidR="00021E2A">
        <w:rPr>
          <w:lang w:val="en-US"/>
        </w:rPr>
        <w:instrText>Correa</w:instrText>
      </w:r>
      <w:r w:rsidR="00021E2A" w:rsidRPr="00AA43FB">
        <w:instrText>","</w:instrText>
      </w:r>
      <w:r w:rsidR="00021E2A">
        <w:rPr>
          <w:lang w:val="en-US"/>
        </w:rPr>
        <w:instrText>given</w:instrText>
      </w:r>
      <w:r w:rsidR="00021E2A" w:rsidRPr="00AA43FB">
        <w:instrText>":"</w:instrText>
      </w:r>
      <w:r w:rsidR="00021E2A">
        <w:rPr>
          <w:lang w:val="en-US"/>
        </w:rPr>
        <w:instrText>Denise</w:instrText>
      </w:r>
      <w:r w:rsidR="00021E2A" w:rsidRPr="00AA43FB">
        <w:instrText xml:space="preserve"> </w:instrText>
      </w:r>
      <w:r w:rsidR="00021E2A">
        <w:rPr>
          <w:lang w:val="en-US"/>
        </w:rPr>
        <w:instrText>D</w:instrText>
      </w:r>
      <w:r w:rsidR="00021E2A" w:rsidRPr="00AA43FB">
        <w:instrText>.","</w:instrText>
      </w:r>
      <w:r w:rsidR="00021E2A">
        <w:rPr>
          <w:lang w:val="en-US"/>
        </w:rPr>
        <w:instrText>non</w:instrText>
      </w:r>
      <w:r w:rsidR="00021E2A" w:rsidRPr="00AA43FB">
        <w:instrText>-</w:instrText>
      </w:r>
      <w:r w:rsidR="00021E2A">
        <w:rPr>
          <w:lang w:val="en-US"/>
        </w:rPr>
        <w:instrText>dropping</w:instrText>
      </w:r>
      <w:r w:rsidR="00021E2A" w:rsidRPr="00AA43FB">
        <w:instrText>-</w:instrText>
      </w:r>
      <w:r w:rsidR="00021E2A">
        <w:rPr>
          <w:lang w:val="en-US"/>
        </w:rPr>
        <w:instrText>particle</w:instrText>
      </w:r>
      <w:r w:rsidR="00021E2A" w:rsidRPr="00AA43FB">
        <w:instrText>":"","</w:instrText>
      </w:r>
      <w:r w:rsidR="00021E2A">
        <w:rPr>
          <w:lang w:val="en-US"/>
        </w:rPr>
        <w:instrText>parse</w:instrText>
      </w:r>
      <w:r w:rsidR="00021E2A" w:rsidRPr="00AA43FB">
        <w:instrText>-</w:instrText>
      </w:r>
      <w:r w:rsidR="00021E2A">
        <w:rPr>
          <w:lang w:val="en-US"/>
        </w:rPr>
        <w:instrText>names</w:instrText>
      </w:r>
      <w:r w:rsidR="00021E2A" w:rsidRPr="00AA43FB">
        <w:instrText>":</w:instrText>
      </w:r>
      <w:r w:rsidR="00021E2A">
        <w:rPr>
          <w:lang w:val="en-US"/>
        </w:rPr>
        <w:instrText>false</w:instrText>
      </w:r>
      <w:r w:rsidR="00021E2A" w:rsidRPr="00AA43FB">
        <w:instrText>,"</w:instrText>
      </w:r>
      <w:r w:rsidR="00021E2A">
        <w:rPr>
          <w:lang w:val="en-US"/>
        </w:rPr>
        <w:instrText>suffix</w:instrText>
      </w:r>
      <w:r w:rsidR="00021E2A" w:rsidRPr="00AA43FB">
        <w:instrText>":""},{"</w:instrText>
      </w:r>
      <w:r w:rsidR="00021E2A">
        <w:rPr>
          <w:lang w:val="en-US"/>
        </w:rPr>
        <w:instrText>dropping</w:instrText>
      </w:r>
      <w:r w:rsidR="00021E2A" w:rsidRPr="00AA43FB">
        <w:instrText>-</w:instrText>
      </w:r>
      <w:r w:rsidR="00021E2A">
        <w:rPr>
          <w:lang w:val="en-US"/>
        </w:rPr>
        <w:instrText>particle</w:instrText>
      </w:r>
      <w:r w:rsidR="00021E2A" w:rsidRPr="00AA43FB">
        <w:instrText>":"","</w:instrText>
      </w:r>
      <w:r w:rsidR="00021E2A">
        <w:rPr>
          <w:lang w:val="en-US"/>
        </w:rPr>
        <w:instrText>family</w:instrText>
      </w:r>
      <w:r w:rsidR="00021E2A" w:rsidRPr="00AA43FB">
        <w:instrText>":"</w:instrText>
      </w:r>
      <w:r w:rsidR="00021E2A">
        <w:rPr>
          <w:lang w:val="en-US"/>
        </w:rPr>
        <w:instrText>Yahalom</w:instrText>
      </w:r>
      <w:r w:rsidR="00021E2A" w:rsidRPr="00AA43FB">
        <w:instrText>","</w:instrText>
      </w:r>
      <w:r w:rsidR="00021E2A">
        <w:rPr>
          <w:lang w:val="en-US"/>
        </w:rPr>
        <w:instrText>given</w:instrText>
      </w:r>
      <w:r w:rsidR="00021E2A" w:rsidRPr="00AA43FB">
        <w:instrText>":"</w:instrText>
      </w:r>
      <w:r w:rsidR="00021E2A">
        <w:rPr>
          <w:lang w:val="en-US"/>
        </w:rPr>
        <w:instrText>Joachim</w:instrText>
      </w:r>
      <w:r w:rsidR="00021E2A" w:rsidRPr="00AA43FB">
        <w:instrText>","</w:instrText>
      </w:r>
      <w:r w:rsidR="00021E2A">
        <w:rPr>
          <w:lang w:val="en-US"/>
        </w:rPr>
        <w:instrText>non</w:instrText>
      </w:r>
      <w:r w:rsidR="00021E2A" w:rsidRPr="00AA43FB">
        <w:instrText>-</w:instrText>
      </w:r>
      <w:r w:rsidR="00021E2A">
        <w:rPr>
          <w:lang w:val="en-US"/>
        </w:rPr>
        <w:instrText>dropping</w:instrText>
      </w:r>
      <w:r w:rsidR="00021E2A" w:rsidRPr="00AA43FB">
        <w:instrText>-</w:instrText>
      </w:r>
      <w:r w:rsidR="00021E2A">
        <w:rPr>
          <w:lang w:val="en-US"/>
        </w:rPr>
        <w:instrText>particle</w:instrText>
      </w:r>
      <w:r w:rsidR="00021E2A" w:rsidRPr="00AA43FB">
        <w:instrText>":"","</w:instrText>
      </w:r>
      <w:r w:rsidR="00021E2A">
        <w:rPr>
          <w:lang w:val="en-US"/>
        </w:rPr>
        <w:instrText>parse</w:instrText>
      </w:r>
      <w:r w:rsidR="00021E2A" w:rsidRPr="00AA43FB">
        <w:instrText>-</w:instrText>
      </w:r>
      <w:r w:rsidR="00021E2A">
        <w:rPr>
          <w:lang w:val="en-US"/>
        </w:rPr>
        <w:instrText>names</w:instrText>
      </w:r>
      <w:r w:rsidR="00021E2A" w:rsidRPr="00AA43FB">
        <w:instrText>":</w:instrText>
      </w:r>
      <w:r w:rsidR="00021E2A">
        <w:rPr>
          <w:lang w:val="en-US"/>
        </w:rPr>
        <w:instrText>false</w:instrText>
      </w:r>
      <w:r w:rsidR="00021E2A" w:rsidRPr="00AA43FB">
        <w:instrText>,"</w:instrText>
      </w:r>
      <w:r w:rsidR="00021E2A">
        <w:rPr>
          <w:lang w:val="en-US"/>
        </w:rPr>
        <w:instrText>suffix</w:instrText>
      </w:r>
      <w:r w:rsidR="00021E2A" w:rsidRPr="00AA43FB">
        <w:instrText>":""},{"</w:instrText>
      </w:r>
      <w:r w:rsidR="00021E2A">
        <w:rPr>
          <w:lang w:val="en-US"/>
        </w:rPr>
        <w:instrText>dropping</w:instrText>
      </w:r>
      <w:r w:rsidR="00021E2A" w:rsidRPr="00AA43FB">
        <w:instrText>-</w:instrText>
      </w:r>
      <w:r w:rsidR="00021E2A">
        <w:rPr>
          <w:lang w:val="en-US"/>
        </w:rPr>
        <w:instrText>particle</w:instrText>
      </w:r>
      <w:r w:rsidR="00021E2A" w:rsidRPr="00AA43FB">
        <w:instrText>":"","</w:instrText>
      </w:r>
      <w:r w:rsidR="00021E2A">
        <w:rPr>
          <w:lang w:val="en-US"/>
        </w:rPr>
        <w:instrText>family</w:instrText>
      </w:r>
      <w:r w:rsidR="00021E2A" w:rsidRPr="00AA43FB">
        <w:instrText>":"</w:instrText>
      </w:r>
      <w:r w:rsidR="00021E2A">
        <w:rPr>
          <w:lang w:val="en-US"/>
        </w:rPr>
        <w:instrText>Raizer</w:instrText>
      </w:r>
      <w:r w:rsidR="00021E2A" w:rsidRPr="00AA43FB">
        <w:instrText>","</w:instrText>
      </w:r>
      <w:r w:rsidR="00021E2A">
        <w:rPr>
          <w:lang w:val="en-US"/>
        </w:rPr>
        <w:instrText>given</w:instrText>
      </w:r>
      <w:r w:rsidR="00021E2A" w:rsidRPr="00AA43FB">
        <w:instrText>":"</w:instrText>
      </w:r>
      <w:r w:rsidR="00021E2A">
        <w:rPr>
          <w:lang w:val="en-US"/>
        </w:rPr>
        <w:instrText>Jeffrey</w:instrText>
      </w:r>
      <w:r w:rsidR="00021E2A" w:rsidRPr="00AA43FB">
        <w:instrText xml:space="preserve"> </w:instrText>
      </w:r>
      <w:r w:rsidR="00021E2A">
        <w:rPr>
          <w:lang w:val="en-US"/>
        </w:rPr>
        <w:instrText>J</w:instrText>
      </w:r>
      <w:r w:rsidR="00021E2A" w:rsidRPr="00AA43FB">
        <w:instrText>.","</w:instrText>
      </w:r>
      <w:r w:rsidR="00021E2A">
        <w:rPr>
          <w:lang w:val="en-US"/>
        </w:rPr>
        <w:instrText>non</w:instrText>
      </w:r>
      <w:r w:rsidR="00021E2A" w:rsidRPr="00AA43FB">
        <w:instrText>-</w:instrText>
      </w:r>
      <w:r w:rsidR="00021E2A">
        <w:rPr>
          <w:lang w:val="en-US"/>
        </w:rPr>
        <w:instrText>dropping</w:instrText>
      </w:r>
      <w:r w:rsidR="00021E2A" w:rsidRPr="00AA43FB">
        <w:instrText>-</w:instrText>
      </w:r>
      <w:r w:rsidR="00021E2A">
        <w:rPr>
          <w:lang w:val="en-US"/>
        </w:rPr>
        <w:instrText>particle</w:instrText>
      </w:r>
      <w:r w:rsidR="00021E2A" w:rsidRPr="00AA43FB">
        <w:instrText>":"","</w:instrText>
      </w:r>
      <w:r w:rsidR="00021E2A">
        <w:rPr>
          <w:lang w:val="en-US"/>
        </w:rPr>
        <w:instrText>parse</w:instrText>
      </w:r>
      <w:r w:rsidR="00021E2A" w:rsidRPr="00AA43FB">
        <w:instrText>-</w:instrText>
      </w:r>
      <w:r w:rsidR="00021E2A">
        <w:rPr>
          <w:lang w:val="en-US"/>
        </w:rPr>
        <w:instrText>names</w:instrText>
      </w:r>
      <w:r w:rsidR="00021E2A" w:rsidRPr="00AA43FB">
        <w:instrText>":</w:instrText>
      </w:r>
      <w:r w:rsidR="00021E2A">
        <w:rPr>
          <w:lang w:val="en-US"/>
        </w:rPr>
        <w:instrText>false</w:instrText>
      </w:r>
      <w:r w:rsidR="00021E2A" w:rsidRPr="00AA43FB">
        <w:instrText>,"</w:instrText>
      </w:r>
      <w:r w:rsidR="00021E2A">
        <w:rPr>
          <w:lang w:val="en-US"/>
        </w:rPr>
        <w:instrText>suffix</w:instrText>
      </w:r>
      <w:r w:rsidR="00021E2A" w:rsidRPr="00AA43FB">
        <w:instrText>":""},{"</w:instrText>
      </w:r>
      <w:r w:rsidR="00021E2A">
        <w:rPr>
          <w:lang w:val="en-US"/>
        </w:rPr>
        <w:instrText>dropping</w:instrText>
      </w:r>
      <w:r w:rsidR="00021E2A" w:rsidRPr="00AA43FB">
        <w:instrText>-</w:instrText>
      </w:r>
      <w:r w:rsidR="00021E2A">
        <w:rPr>
          <w:lang w:val="en-US"/>
        </w:rPr>
        <w:instrText>particle</w:instrText>
      </w:r>
      <w:r w:rsidR="00021E2A" w:rsidRPr="00AA43FB">
        <w:instrText>":"","</w:instrText>
      </w:r>
      <w:r w:rsidR="00021E2A">
        <w:rPr>
          <w:lang w:val="en-US"/>
        </w:rPr>
        <w:instrText>family</w:instrText>
      </w:r>
      <w:r w:rsidR="00021E2A" w:rsidRPr="00AA43FB">
        <w:instrText>":"</w:instrText>
      </w:r>
      <w:r w:rsidR="00021E2A">
        <w:rPr>
          <w:lang w:val="en-US"/>
        </w:rPr>
        <w:instrText>Schiff</w:instrText>
      </w:r>
      <w:r w:rsidR="00021E2A" w:rsidRPr="00AA43FB">
        <w:instrText>","</w:instrText>
      </w:r>
      <w:r w:rsidR="00021E2A">
        <w:rPr>
          <w:lang w:val="en-US"/>
        </w:rPr>
        <w:instrText>given</w:instrText>
      </w:r>
      <w:r w:rsidR="00021E2A" w:rsidRPr="00AA43FB">
        <w:instrText>":"</w:instrText>
      </w:r>
      <w:r w:rsidR="00021E2A">
        <w:rPr>
          <w:lang w:val="en-US"/>
        </w:rPr>
        <w:instrText>David</w:instrText>
      </w:r>
      <w:r w:rsidR="00021E2A" w:rsidRPr="00AA43FB">
        <w:instrText>","</w:instrText>
      </w:r>
      <w:r w:rsidR="00021E2A">
        <w:rPr>
          <w:lang w:val="en-US"/>
        </w:rPr>
        <w:instrText>non</w:instrText>
      </w:r>
      <w:r w:rsidR="00021E2A" w:rsidRPr="00AA43FB">
        <w:instrText>-</w:instrText>
      </w:r>
      <w:r w:rsidR="00021E2A">
        <w:rPr>
          <w:lang w:val="en-US"/>
        </w:rPr>
        <w:instrText>dropping</w:instrText>
      </w:r>
      <w:r w:rsidR="00021E2A" w:rsidRPr="00AA43FB">
        <w:instrText>-</w:instrText>
      </w:r>
      <w:r w:rsidR="00021E2A">
        <w:rPr>
          <w:lang w:val="en-US"/>
        </w:rPr>
        <w:instrText>particle</w:instrText>
      </w:r>
      <w:r w:rsidR="00021E2A" w:rsidRPr="00AA43FB">
        <w:instrText>":"","</w:instrText>
      </w:r>
      <w:r w:rsidR="00021E2A">
        <w:rPr>
          <w:lang w:val="en-US"/>
        </w:rPr>
        <w:instrText>parse</w:instrText>
      </w:r>
      <w:r w:rsidR="00021E2A" w:rsidRPr="00AA43FB">
        <w:instrText>-</w:instrText>
      </w:r>
      <w:r w:rsidR="00021E2A">
        <w:rPr>
          <w:lang w:val="en-US"/>
        </w:rPr>
        <w:instrText>names</w:instrText>
      </w:r>
      <w:r w:rsidR="00021E2A" w:rsidRPr="00AA43FB">
        <w:instrText>":</w:instrText>
      </w:r>
      <w:r w:rsidR="00021E2A">
        <w:rPr>
          <w:lang w:val="en-US"/>
        </w:rPr>
        <w:instrText>false</w:instrText>
      </w:r>
      <w:r w:rsidR="00021E2A" w:rsidRPr="00AA43FB">
        <w:instrText>,"</w:instrText>
      </w:r>
      <w:r w:rsidR="00021E2A">
        <w:rPr>
          <w:lang w:val="en-US"/>
        </w:rPr>
        <w:instrText>suffix</w:instrText>
      </w:r>
      <w:r w:rsidR="00021E2A" w:rsidRPr="00AA43FB">
        <w:instrText>":""},{"</w:instrText>
      </w:r>
      <w:r w:rsidR="00021E2A">
        <w:rPr>
          <w:lang w:val="en-US"/>
        </w:rPr>
        <w:instrText>dropping</w:instrText>
      </w:r>
      <w:r w:rsidR="00021E2A" w:rsidRPr="00AA43FB">
        <w:instrText>-</w:instrText>
      </w:r>
      <w:r w:rsidR="00021E2A">
        <w:rPr>
          <w:lang w:val="en-US"/>
        </w:rPr>
        <w:instrText>particle</w:instrText>
      </w:r>
      <w:r w:rsidR="00021E2A" w:rsidRPr="00AA43FB">
        <w:instrText>":"","</w:instrText>
      </w:r>
      <w:r w:rsidR="00021E2A">
        <w:rPr>
          <w:lang w:val="en-US"/>
        </w:rPr>
        <w:instrText>family</w:instrText>
      </w:r>
      <w:r w:rsidR="00021E2A" w:rsidRPr="00AA43FB">
        <w:instrText>":"</w:instrText>
      </w:r>
      <w:r w:rsidR="00021E2A">
        <w:rPr>
          <w:lang w:val="en-US"/>
        </w:rPr>
        <w:instrText>Grant</w:instrText>
      </w:r>
      <w:r w:rsidR="00021E2A" w:rsidRPr="00AA43FB">
        <w:instrText>","</w:instrText>
      </w:r>
      <w:r w:rsidR="00021E2A">
        <w:rPr>
          <w:lang w:val="en-US"/>
        </w:rPr>
        <w:instrText>given</w:instrText>
      </w:r>
      <w:r w:rsidR="00021E2A" w:rsidRPr="00AA43FB">
        <w:instrText>":"</w:instrText>
      </w:r>
      <w:r w:rsidR="00021E2A">
        <w:rPr>
          <w:lang w:val="en-US"/>
        </w:rPr>
        <w:instrText>Barbara</w:instrText>
      </w:r>
      <w:r w:rsidR="00021E2A" w:rsidRPr="00AA43FB">
        <w:instrText>","</w:instrText>
      </w:r>
      <w:r w:rsidR="00021E2A">
        <w:rPr>
          <w:lang w:val="en-US"/>
        </w:rPr>
        <w:instrText>non</w:instrText>
      </w:r>
      <w:r w:rsidR="00021E2A" w:rsidRPr="00AA43FB">
        <w:instrText>-</w:instrText>
      </w:r>
      <w:r w:rsidR="00021E2A">
        <w:rPr>
          <w:lang w:val="en-US"/>
        </w:rPr>
        <w:instrText>dropping</w:instrText>
      </w:r>
      <w:r w:rsidR="00021E2A" w:rsidRPr="00AA43FB">
        <w:instrText>-</w:instrText>
      </w:r>
      <w:r w:rsidR="00021E2A">
        <w:rPr>
          <w:lang w:val="en-US"/>
        </w:rPr>
        <w:instrText>particle</w:instrText>
      </w:r>
      <w:r w:rsidR="00021E2A" w:rsidRPr="00AA43FB">
        <w:instrText>":"","</w:instrText>
      </w:r>
      <w:r w:rsidR="00021E2A">
        <w:rPr>
          <w:lang w:val="en-US"/>
        </w:rPr>
        <w:instrText>parse</w:instrText>
      </w:r>
      <w:r w:rsidR="00021E2A" w:rsidRPr="00AA43FB">
        <w:instrText>-</w:instrText>
      </w:r>
      <w:r w:rsidR="00021E2A">
        <w:rPr>
          <w:lang w:val="en-US"/>
        </w:rPr>
        <w:instrText>names</w:instrText>
      </w:r>
      <w:r w:rsidR="00021E2A" w:rsidRPr="00AA43FB">
        <w:instrText>":</w:instrText>
      </w:r>
      <w:r w:rsidR="00021E2A">
        <w:rPr>
          <w:lang w:val="en-US"/>
        </w:rPr>
        <w:instrText>false</w:instrText>
      </w:r>
      <w:r w:rsidR="00021E2A" w:rsidRPr="00AA43FB">
        <w:instrText>,"</w:instrText>
      </w:r>
      <w:r w:rsidR="00021E2A">
        <w:rPr>
          <w:lang w:val="en-US"/>
        </w:rPr>
        <w:instrText>suffix</w:instrText>
      </w:r>
      <w:r w:rsidR="00021E2A" w:rsidRPr="00AA43FB">
        <w:instrText>":""},{"</w:instrText>
      </w:r>
      <w:r w:rsidR="00021E2A">
        <w:rPr>
          <w:lang w:val="en-US"/>
        </w:rPr>
        <w:instrText>dropping</w:instrText>
      </w:r>
      <w:r w:rsidR="00021E2A" w:rsidRPr="00AA43FB">
        <w:instrText>-</w:instrText>
      </w:r>
      <w:r w:rsidR="00021E2A">
        <w:rPr>
          <w:lang w:val="en-US"/>
        </w:rPr>
        <w:instrText>particle</w:instrText>
      </w:r>
      <w:r w:rsidR="00021E2A" w:rsidRPr="00AA43FB">
        <w:instrText>":"","</w:instrText>
      </w:r>
      <w:r w:rsidR="00021E2A">
        <w:rPr>
          <w:lang w:val="en-US"/>
        </w:rPr>
        <w:instrText>family</w:instrText>
      </w:r>
      <w:r w:rsidR="00021E2A" w:rsidRPr="00AA43FB">
        <w:instrText>":"</w:instrText>
      </w:r>
      <w:r w:rsidR="00021E2A">
        <w:rPr>
          <w:lang w:val="en-US"/>
        </w:rPr>
        <w:instrText>Grimm</w:instrText>
      </w:r>
      <w:r w:rsidR="00021E2A" w:rsidRPr="00AA43FB">
        <w:instrText>","</w:instrText>
      </w:r>
      <w:r w:rsidR="00021E2A">
        <w:rPr>
          <w:lang w:val="en-US"/>
        </w:rPr>
        <w:instrText>given</w:instrText>
      </w:r>
      <w:r w:rsidR="00021E2A" w:rsidRPr="00AA43FB">
        <w:instrText>":"</w:instrText>
      </w:r>
      <w:r w:rsidR="00021E2A">
        <w:rPr>
          <w:lang w:val="en-US"/>
        </w:rPr>
        <w:instrText>Sean</w:instrText>
      </w:r>
      <w:r w:rsidR="00021E2A" w:rsidRPr="00AA43FB">
        <w:instrText>","</w:instrText>
      </w:r>
      <w:r w:rsidR="00021E2A">
        <w:rPr>
          <w:lang w:val="en-US"/>
        </w:rPr>
        <w:instrText>non</w:instrText>
      </w:r>
      <w:r w:rsidR="00021E2A" w:rsidRPr="00AA43FB">
        <w:instrText>-</w:instrText>
      </w:r>
      <w:r w:rsidR="00021E2A">
        <w:rPr>
          <w:lang w:val="en-US"/>
        </w:rPr>
        <w:instrText>dropping</w:instrText>
      </w:r>
      <w:r w:rsidR="00021E2A" w:rsidRPr="00AA43FB">
        <w:instrText>-</w:instrText>
      </w:r>
      <w:r w:rsidR="00021E2A">
        <w:rPr>
          <w:lang w:val="en-US"/>
        </w:rPr>
        <w:instrText>particle</w:instrText>
      </w:r>
      <w:r w:rsidR="00021E2A" w:rsidRPr="00AA43FB">
        <w:instrText>":"","</w:instrText>
      </w:r>
      <w:r w:rsidR="00021E2A">
        <w:rPr>
          <w:lang w:val="en-US"/>
        </w:rPr>
        <w:instrText>parse</w:instrText>
      </w:r>
      <w:r w:rsidR="00021E2A" w:rsidRPr="00AA43FB">
        <w:instrText>-</w:instrText>
      </w:r>
      <w:r w:rsidR="00021E2A">
        <w:rPr>
          <w:lang w:val="en-US"/>
        </w:rPr>
        <w:instrText>names":false,"suffix":""},{"dropping-particle":"","family":"Lai","given":"Rose K.","non-dropping-particle":"","parse-names":false,"suffix":""},{"dropping-particle":"","family":"Reiner","given":"Anne S.","non-dropping-particle":"","parse-names":false,"suffix":""},{"dropping-particle":"","family":"Panageas","given":"Kathy","non-dropping-particle":"","parse-names":false,"suffix":""},{"dropping-particle":"","family":"Karimi","given":"Sasan","non-dropping-particle":"","parse-names":false,"suffix":""},{"dropping-particle":"","family":"Curry","given":"Richard","non-dropping-particle":"","parse-names":false,"suffix":""},{"dropping-particle":"","family":"Shah","given":"Gaurav","non-dropping-particle":"","parse-names":false,"suffix":""},{"dropping-particle":"","family":"Abrey","given":"Lauren E.","non-dropping-particle":"","parse-names":false,"suffix":""},{"dropping-particle":"","family":"DeAngelis","given":"Lisa M.","non-dropping-particle":"","parse-names":false,"suffix":""},{"dropping-particle":"","family":"Omuro","given":"Antonio","non-dropping-particle":"","parse-names":false,"suffix":""}],"container-title":"Journal of Clinical Oncology","id":"ITEM-1","issue":"31","issued":{"date-parts":[["2013","11","1"]]},"page":"3971-3979","publisher":"American Society of Clinical Oncology","title":"Rituximab, methotrexate, procarbazine, and vincristine followed by consolidation reduced-dose whole-brain radiotherapy and cytarabine in newly diagnosed primary CNS lymphoma: Final results and long-term outcome","type":"article-journal","volume":"31"},"uris":["http://www.mendeley.com/documents/?uuid=07de7ec0-87f0-38d4-81b2-29cb402e4a1a"]}],"mendeley":{"formattedCitation":"[99]","plainTextFormattedCitation":"[99]","previouslyFormattedCitation":"[99]"},"properties":{"noteIndex":0},"schema":"https://github.com/citation-style-language/schema/raw/master/csl-citation.json"}</w:instrText>
      </w:r>
      <w:r w:rsidR="00212EF5" w:rsidRPr="000322E4">
        <w:rPr>
          <w:lang w:val="en-US"/>
        </w:rPr>
        <w:fldChar w:fldCharType="separate"/>
      </w:r>
      <w:r w:rsidR="009D170B" w:rsidRPr="009D170B">
        <w:rPr>
          <w:noProof/>
          <w:lang w:val="en-US"/>
        </w:rPr>
        <w:t>[99]</w:t>
      </w:r>
      <w:r w:rsidR="00212EF5" w:rsidRPr="000322E4">
        <w:rPr>
          <w:lang w:val="en-US"/>
        </w:rPr>
        <w:fldChar w:fldCharType="end"/>
      </w:r>
      <w:r w:rsidRPr="000322E4">
        <w:t>.</w:t>
      </w:r>
    </w:p>
    <w:p w14:paraId="69B19711" w14:textId="77777777" w:rsidR="00A6186F" w:rsidRPr="000322E4" w:rsidRDefault="00A6186F" w:rsidP="00416CC7">
      <w:pPr>
        <w:spacing w:line="360" w:lineRule="auto"/>
        <w:ind w:left="709"/>
        <w:contextualSpacing/>
        <w:jc w:val="both"/>
        <w:rPr>
          <w:b/>
        </w:rPr>
      </w:pPr>
      <w:r w:rsidRPr="000322E4">
        <w:rPr>
          <w:b/>
        </w:rPr>
        <w:t xml:space="preserve">Уровень убедительности рекомендаций </w:t>
      </w:r>
      <w:r w:rsidR="00357C19" w:rsidRPr="000322E4">
        <w:rPr>
          <w:b/>
        </w:rPr>
        <w:t xml:space="preserve">С </w:t>
      </w:r>
      <w:r w:rsidRPr="000322E4">
        <w:rPr>
          <w:b/>
        </w:rPr>
        <w:t xml:space="preserve">(уровень достоверности доказательств </w:t>
      </w:r>
      <w:r w:rsidR="00357C19" w:rsidRPr="000322E4">
        <w:rPr>
          <w:b/>
        </w:rPr>
        <w:t>4</w:t>
      </w:r>
      <w:r w:rsidRPr="000322E4">
        <w:rPr>
          <w:b/>
        </w:rPr>
        <w:t>).</w:t>
      </w:r>
    </w:p>
    <w:p w14:paraId="5CFD5060" w14:textId="77777777" w:rsidR="0057542B" w:rsidRPr="000322E4" w:rsidRDefault="00A6186F" w:rsidP="009D170B">
      <w:pPr>
        <w:spacing w:line="360" w:lineRule="auto"/>
        <w:ind w:firstLine="709"/>
        <w:contextualSpacing/>
        <w:jc w:val="both"/>
        <w:rPr>
          <w:i/>
        </w:rPr>
      </w:pPr>
      <w:r w:rsidRPr="000322E4">
        <w:rPr>
          <w:b/>
        </w:rPr>
        <w:t xml:space="preserve">Комментарии: </w:t>
      </w:r>
      <w:r w:rsidRPr="000322E4">
        <w:rPr>
          <w:i/>
        </w:rPr>
        <w:t>в настоящее время отсутствуют сведения о преимуществе того или иного варианта терапии на этапе консолидации ремиссии при ПЛЦНС</w:t>
      </w:r>
      <w:r w:rsidR="009512F1" w:rsidRPr="000322E4">
        <w:rPr>
          <w:i/>
        </w:rPr>
        <w:t>.</w:t>
      </w:r>
    </w:p>
    <w:p w14:paraId="7D014D9C" w14:textId="2E5A68A2" w:rsidR="009512F1" w:rsidRPr="000322E4" w:rsidRDefault="009512F1" w:rsidP="00416CC7">
      <w:pPr>
        <w:pStyle w:val="afff8"/>
        <w:spacing w:before="0"/>
      </w:pPr>
      <w:r w:rsidRPr="000322E4">
        <w:t xml:space="preserve">Пациентам с ПЛЦНС </w:t>
      </w:r>
      <w:r w:rsidRPr="000322E4">
        <w:rPr>
          <w:lang w:eastAsia="ru-RU"/>
        </w:rPr>
        <w:t xml:space="preserve">при сохранении резидуальной опухоли после первой линии индукционной терапии </w:t>
      </w:r>
      <w:r w:rsidRPr="000322E4">
        <w:rPr>
          <w:b/>
        </w:rPr>
        <w:t xml:space="preserve">рекомендовано </w:t>
      </w:r>
      <w:r w:rsidRPr="000322E4">
        <w:rPr>
          <w:lang w:eastAsia="ru-RU"/>
        </w:rPr>
        <w:t xml:space="preserve">проведение курсов химиотерапии с включением высоких доз цитарабина** +/- этопозида** </w:t>
      </w:r>
      <w:r w:rsidR="009375D9" w:rsidRPr="000322E4">
        <w:t xml:space="preserve">(см. приложение А3.1) </w:t>
      </w:r>
      <w:r w:rsidR="009375D9" w:rsidRPr="000322E4">
        <w:rPr>
          <w:b/>
        </w:rPr>
        <w:t xml:space="preserve"> </w:t>
      </w:r>
      <w:r w:rsidRPr="000322E4">
        <w:rPr>
          <w:lang w:eastAsia="ru-RU"/>
        </w:rPr>
        <w:t>или проведение лучевой терапии</w:t>
      </w:r>
      <w:r w:rsidR="009375D9" w:rsidRPr="000322E4">
        <w:rPr>
          <w:lang w:eastAsia="ru-RU"/>
        </w:rPr>
        <w:t xml:space="preserve"> </w:t>
      </w:r>
      <w:r w:rsidR="009375D9" w:rsidRPr="000322E4">
        <w:t xml:space="preserve">на весь головной мозг СОД 30-36 Гр с последующим дополнительным облучением резидуальных </w:t>
      </w:r>
      <w:r w:rsidR="009375D9" w:rsidRPr="000322E4">
        <w:lastRenderedPageBreak/>
        <w:t xml:space="preserve">опухолевых образований до </w:t>
      </w:r>
      <w:r w:rsidR="006D44E2" w:rsidRPr="000322E4">
        <w:t xml:space="preserve">44 </w:t>
      </w:r>
      <w:r w:rsidR="009375D9" w:rsidRPr="000322E4">
        <w:t>Гр, или проведение лучевой терапии только на резидуальные опухолевые образования до 45 Гр</w:t>
      </w:r>
      <w:r w:rsidRPr="000322E4">
        <w:t xml:space="preserve"> </w:t>
      </w:r>
      <w:r w:rsidRPr="000322E4">
        <w:fldChar w:fldCharType="begin" w:fldLock="1"/>
      </w:r>
      <w:r w:rsidR="009D170B">
        <w:instrText>ADDIN CSL_CITATION {"citationItems":[{"id":"ITEM-1","itemData":{"author":[{"dropping-particle":"","family":"Кузьмин","given":"А.А.","non-dropping-particle":"","parse-names":false,"suffix":""},{"dropping-particle":"","family":"Бабичева","given":"Л.Г.","non-dropping-particle":"","parse-names":false,"suffix":""},{"dropping-particle":"","family":"Тумян","given":"Г.С.","non-dropping-particle":"","parse-names":false,"suffix":""},{"dropping-particle":"","family":"Птушкин","given":"В.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Савченко.","id":"ITEM-1","issued":{"date-parts":[["2018"]]},"page":"87-93","title":"Первичная лимфома центральной нервной системы","type":"chapter"},"uris":["http://www.mendeley.com/documents/?uuid=dac650cf-b934-4db3-8c16-71fbc7fc82e3"]}],"mendeley":{"formattedCitation":"[43]","plainTextFormattedCitation":"[43]","previouslyFormattedCitation":"[43]"},"properties":{"noteIndex":0},"schema":"https://github.com/citation-style-language/schema/raw/master/csl-citation.json"}</w:instrText>
      </w:r>
      <w:r w:rsidRPr="000322E4">
        <w:fldChar w:fldCharType="separate"/>
      </w:r>
      <w:r w:rsidR="00095D58" w:rsidRPr="00095D58">
        <w:rPr>
          <w:noProof/>
        </w:rPr>
        <w:t>[43]</w:t>
      </w:r>
      <w:r w:rsidRPr="000322E4">
        <w:fldChar w:fldCharType="end"/>
      </w:r>
      <w:r w:rsidRPr="000322E4">
        <w:t>.</w:t>
      </w:r>
    </w:p>
    <w:p w14:paraId="360B589A" w14:textId="77777777" w:rsidR="009512F1" w:rsidRPr="000322E4" w:rsidRDefault="009512F1" w:rsidP="00416CC7">
      <w:pPr>
        <w:spacing w:line="360" w:lineRule="auto"/>
        <w:ind w:left="709"/>
        <w:contextualSpacing/>
        <w:jc w:val="both"/>
        <w:rPr>
          <w:b/>
        </w:rPr>
      </w:pPr>
      <w:r w:rsidRPr="000322E4">
        <w:rPr>
          <w:b/>
        </w:rPr>
        <w:t xml:space="preserve">Уровень убедительности рекомендаций </w:t>
      </w:r>
      <w:r w:rsidRPr="000322E4">
        <w:rPr>
          <w:b/>
          <w:lang w:val="en-US"/>
        </w:rPr>
        <w:t>C</w:t>
      </w:r>
      <w:r w:rsidRPr="000322E4">
        <w:rPr>
          <w:b/>
        </w:rPr>
        <w:t xml:space="preserve"> (уровень достоверности доказательств 5).</w:t>
      </w:r>
    </w:p>
    <w:p w14:paraId="6C52DA65" w14:textId="77777777" w:rsidR="009375D9" w:rsidRPr="000322E4" w:rsidRDefault="009375D9" w:rsidP="009D170B">
      <w:pPr>
        <w:spacing w:line="360" w:lineRule="auto"/>
        <w:ind w:firstLine="709"/>
        <w:jc w:val="both"/>
      </w:pPr>
      <w:r w:rsidRPr="000322E4">
        <w:rPr>
          <w:b/>
        </w:rPr>
        <w:t>Комментарии:</w:t>
      </w:r>
      <w:r w:rsidRPr="000322E4">
        <w:t xml:space="preserve"> </w:t>
      </w:r>
      <w:r w:rsidRPr="000322E4">
        <w:rPr>
          <w:i/>
        </w:rPr>
        <w:t>проведение лучевой терапии на головной мозг сопряжено с риском развития нейротоксичности, более высоким у пациентов старше 60 лет.</w:t>
      </w:r>
    </w:p>
    <w:p w14:paraId="41913559" w14:textId="77777777" w:rsidR="00021FC9" w:rsidRPr="000322E4" w:rsidRDefault="00021FC9" w:rsidP="00416CC7">
      <w:pPr>
        <w:pStyle w:val="2"/>
        <w:spacing w:before="0"/>
        <w:contextualSpacing/>
      </w:pPr>
      <w:bookmarkStart w:id="41" w:name="_Toc96601244"/>
      <w:r w:rsidRPr="000322E4">
        <w:t>3.</w:t>
      </w:r>
      <w:r w:rsidR="007726E0" w:rsidRPr="000322E4">
        <w:t>4</w:t>
      </w:r>
      <w:r w:rsidRPr="000322E4">
        <w:t xml:space="preserve"> Первая линия терапии ДВКЛ у детей и подростков до 18 лет</w:t>
      </w:r>
      <w:bookmarkEnd w:id="41"/>
    </w:p>
    <w:p w14:paraId="7AB87D75" w14:textId="736E6FD8" w:rsidR="00021FC9" w:rsidRPr="000322E4" w:rsidRDefault="00021FC9" w:rsidP="00416CC7">
      <w:pPr>
        <w:pStyle w:val="afff8"/>
        <w:spacing w:before="0"/>
      </w:pPr>
      <w:r w:rsidRPr="000322E4">
        <w:t xml:space="preserve">Пациентам до 18 лет с установленным диагнозом агрессивной нефолликулярной В-клеточной лимфомы (ДВКЛ, ЛБ или ПМВКЛ) </w:t>
      </w:r>
      <w:r w:rsidRPr="000322E4">
        <w:rPr>
          <w:b/>
        </w:rPr>
        <w:t xml:space="preserve">рекомендовано </w:t>
      </w:r>
      <w:r w:rsidRPr="000322E4">
        <w:rPr>
          <w:bCs/>
        </w:rPr>
        <w:t>проведение</w:t>
      </w:r>
      <w:r w:rsidRPr="000322E4">
        <w:t xml:space="preserve"> многокомпонентной полихимиотерапии на основе протоколов </w:t>
      </w:r>
      <w:r w:rsidRPr="009D170B">
        <w:rPr>
          <w:color w:val="000000" w:themeColor="text1"/>
        </w:rPr>
        <w:t xml:space="preserve">группы </w:t>
      </w:r>
      <w:r w:rsidR="00096052" w:rsidRPr="009D170B">
        <w:rPr>
          <w:color w:val="000000" w:themeColor="text1"/>
          <w:lang w:val="en-US"/>
        </w:rPr>
        <w:t>BFM</w:t>
      </w:r>
      <w:r w:rsidR="00096052" w:rsidRPr="009D170B">
        <w:rPr>
          <w:color w:val="000000" w:themeColor="text1"/>
        </w:rPr>
        <w:t xml:space="preserve"> </w:t>
      </w:r>
      <w:r w:rsidRPr="000322E4">
        <w:t>(см. приложение А3.1) в зависимости от групп риска (см. раздел 7.5) с включением ритуксимаба**</w:t>
      </w:r>
      <w:r w:rsidRPr="000322E4">
        <w:rPr>
          <w:b/>
        </w:rPr>
        <w:t xml:space="preserve"> </w:t>
      </w:r>
      <w:r w:rsidRPr="000322E4">
        <w:fldChar w:fldCharType="begin" w:fldLock="1"/>
      </w:r>
      <w:r w:rsidR="00021E2A">
        <w:instrText>ADDIN CSL_CITATION {"citationItems":[{"id":"ITEM-1","itemData":{"DOI":"10.1111/bjh.15944","ISSN":"13652141","abstract":"The value of adding rituximab to chemotherapy in children with aggressive B-cell non-Hodgkin lymphoma (B-NHL) is still insufficiently studied. We enrolled 231 patients [mean age 9 years old (range 2–17); male:female ratio 3·4:1] with Burkitt (BL, 179 patients, 76·7%), diffuse large B-cell (32 patients, 14%), primary mediastinal B-cell (14 patients, 6%), and other (6 patients, 2·6%) B-cell lymphomas in a prospective study of immuno-chemotherapy. Stages were I–II in 32% and III–IV in 68% of the patients. Four doses of 375 mg/m2 rituximab were added to the Berlin-Frankfurt-Munster-NHL-90-like chemotherapy, with methotrexate being reduced or omitted in the first 2 induction blocks. The complete remission rate was 100% in limited-stage and 91·4% in advanced-stage patients. Five advanced-stage patients (2·2%) died in induction and 1 patient with stage 2 B-NHL died in remission; 11 patients in the high-risk group progressed on therapy (3 non-BL are alive after salvage) and 5 relapsed. Sixteen patients (9·7%) with advanced stage disease proceeded to transplant. With a median follow-up of 46 months, 98·5 ± 1% of patients with limited disease and 88·1 ± 2% (88·1% in Risk Group 3; 82·6% in Risk Group 4) in advanced stages are alive. This study confirmed that combined immunochemotherapy for B-lymphomas is highly effective in children, despite reducing the intensity of the induction blocks.","author":[{"dropping-particle":"","family":"Maschan","given":"Alexey","non-dropping-particle":"","parse-names":false,"suffix":""},{"dropping-particle":"","family":"Myakova","given":"Natalia","non-dropping-particle":"","parse-names":false,"suffix":""},{"dropping-particle":"","family":"Aleinikova","given":"Olga","non-dropping-particle":"","parse-names":false,"suffix":""},{"dropping-particle":"","family":"Abugova","given":"Yulia","non-dropping-particle":"","parse-names":false,"suffix":""},{"dropping-particle":"","family":"Ponomareva","given":"Natalia","non-dropping-particle":"","parse-names":false,"suffix":""},{"dropping-particle":"","family":"Belogurova","given":"Margarita","non-dropping-particle":"","parse-names":false,"suffix":""},{"dropping-particle":"","family":"Fechina","given":"Larisa","non-dropping-particle":"","parse-names":false,"suffix":""},{"dropping-particle":"","family":"Fedorova","given":"Alina","non-dropping-particle":"","parse-names":false,"suffix":""},{"dropping-particle":"","family":"Grigor'eva","given":"Natalia","non-dropping-particle":"","parse-names":false,"suffix":""},{"dropping-particle":"","family":"Lebedev","given":"Vladimir","non-dropping-particle":"","parse-names":false,"suffix":""},{"dropping-particle":"","family":"Nikonova","given":"Olga","non-dropping-particle":"","parse-names":false,"suffix":""},{"dropping-particle":"","family":"Shamardina","given":"Anastassia","non-dropping-particle":"","parse-names":false,"suffix":""},{"dropping-particle":"","family":"Sharapova","given":"Guzel","non-dropping-particle":"","parse-names":false,"suffix":""},{"dropping-particle":"","family":"Smirnova","given":"Nadezhda","non-dropping-particle":"","parse-names":false,"suffix":""},{"dropping-particle":"","family":"Rudneva","given":"Anastassia","non-dropping-particle":"","parse-names":false,"suffix":""},{"dropping-particle":"","family":"Volchkov","given":"Egor","non-dropping-particle":"","parse-names":false,"suffix":""},{"dropping-particle":"","family":"Samochatova","given":"Elena","non-dropping-particle":"","parse-names":false,"suffix":""}],"container-title":"British Journal of Haematology","id":"ITEM-1","issue":"3","issued":{"date-parts":[["2019","8","1"]]},"page":"477-483","publisher":"Blackwell Publishing Ltd","title":"Rituximab and reduced-intensity chemotherapy in children and adolescents with mature B-cell lymphoma: interim results for 231 patients enrolled in the second Russian-Belorussian multicentre study B-NHL-2010M","type":"article-journal","volume":"186"},"uris":["http://www.mendeley.com/documents/?uuid=d785740a-3410-3e67-a0c7-4d516bcdcf16"]}],"mendeley":{"formattedCitation":"[105]","plainTextFormattedCitation":"[105]","previouslyFormattedCitation":"[105]"},"properties":{"noteIndex":0},"schema":"https://github.com/citation-style-language/schema/raw/master/csl-citation.json"}</w:instrText>
      </w:r>
      <w:r w:rsidRPr="000322E4">
        <w:fldChar w:fldCharType="separate"/>
      </w:r>
      <w:r w:rsidR="009D170B" w:rsidRPr="009D170B">
        <w:rPr>
          <w:noProof/>
        </w:rPr>
        <w:t>[105]</w:t>
      </w:r>
      <w:r w:rsidRPr="000322E4">
        <w:fldChar w:fldCharType="end"/>
      </w:r>
      <w:r w:rsidRPr="000322E4">
        <w:t>.</w:t>
      </w:r>
    </w:p>
    <w:p w14:paraId="12B1E173" w14:textId="77777777" w:rsidR="00021FC9" w:rsidRPr="000322E4" w:rsidRDefault="00021FC9" w:rsidP="00416CC7">
      <w:pPr>
        <w:spacing w:line="360" w:lineRule="auto"/>
        <w:ind w:left="709"/>
        <w:contextualSpacing/>
        <w:jc w:val="both"/>
        <w:rPr>
          <w:b/>
        </w:rPr>
      </w:pPr>
      <w:r w:rsidRPr="000322E4">
        <w:rPr>
          <w:b/>
        </w:rPr>
        <w:t xml:space="preserve">Уровень убедительности рекомендаций </w:t>
      </w:r>
      <w:r w:rsidR="006D44E2" w:rsidRPr="000322E4">
        <w:rPr>
          <w:b/>
        </w:rPr>
        <w:t xml:space="preserve">В </w:t>
      </w:r>
      <w:r w:rsidRPr="000322E4">
        <w:rPr>
          <w:b/>
        </w:rPr>
        <w:t xml:space="preserve">(уровень достоверности доказательств </w:t>
      </w:r>
      <w:r w:rsidR="006D44E2" w:rsidRPr="000322E4">
        <w:rPr>
          <w:b/>
        </w:rPr>
        <w:t>3</w:t>
      </w:r>
      <w:r w:rsidRPr="000322E4">
        <w:rPr>
          <w:b/>
        </w:rPr>
        <w:t>).</w:t>
      </w:r>
    </w:p>
    <w:p w14:paraId="4D22BAA4" w14:textId="77777777" w:rsidR="00021FC9" w:rsidRPr="000322E4" w:rsidRDefault="00021FC9" w:rsidP="009D170B">
      <w:pPr>
        <w:spacing w:line="360" w:lineRule="auto"/>
        <w:ind w:firstLine="709"/>
        <w:contextualSpacing/>
        <w:jc w:val="both"/>
        <w:rPr>
          <w:bCs/>
          <w:i/>
          <w:iCs/>
        </w:rPr>
      </w:pPr>
      <w:r w:rsidRPr="000322E4">
        <w:rPr>
          <w:b/>
        </w:rPr>
        <w:t>Комментарий:</w:t>
      </w:r>
      <w:r w:rsidRPr="000322E4">
        <w:rPr>
          <w:bCs/>
        </w:rPr>
        <w:t xml:space="preserve"> </w:t>
      </w:r>
      <w:r w:rsidRPr="000322E4">
        <w:rPr>
          <w:i/>
          <w:iCs/>
        </w:rPr>
        <w:t>при сохраняющемся остаточном образовании после 4 блока пациенту рекомендовано провести контрольное обследование (ПЭТ/КТ или биопсию остаточного образования), в сомнительных случаях – обе процедуры. Если нет данных об активном опухолевом процессе, продолжают курсы АА-ВВ-СС.</w:t>
      </w:r>
      <w:r w:rsidRPr="000322E4">
        <w:rPr>
          <w:bCs/>
          <w:i/>
          <w:iCs/>
        </w:rPr>
        <w:t xml:space="preserve"> </w:t>
      </w:r>
    </w:p>
    <w:p w14:paraId="485EF274" w14:textId="77777777" w:rsidR="00021FC9" w:rsidRPr="000322E4" w:rsidRDefault="00350858" w:rsidP="009D170B">
      <w:pPr>
        <w:spacing w:line="360" w:lineRule="auto"/>
        <w:ind w:firstLine="709"/>
        <w:contextualSpacing/>
        <w:jc w:val="both"/>
        <w:rPr>
          <w:i/>
        </w:rPr>
      </w:pPr>
      <w:r w:rsidRPr="000322E4">
        <w:rPr>
          <w:i/>
        </w:rPr>
        <w:t>При инициальном поражении ЦНС (особенно при наличии инфильтративных очагов) больным после блока АА проводит</w:t>
      </w:r>
      <w:r w:rsidR="004A4684" w:rsidRPr="000322E4">
        <w:rPr>
          <w:i/>
        </w:rPr>
        <w:t>ся</w:t>
      </w:r>
      <w:r w:rsidRPr="000322E4">
        <w:rPr>
          <w:i/>
        </w:rPr>
        <w:t xml:space="preserve"> эндолюмбальн</w:t>
      </w:r>
      <w:r w:rsidR="004A4684" w:rsidRPr="000322E4">
        <w:rPr>
          <w:i/>
        </w:rPr>
        <w:t>ая</w:t>
      </w:r>
      <w:r w:rsidRPr="000322E4">
        <w:rPr>
          <w:i/>
        </w:rPr>
        <w:t xml:space="preserve"> терапи</w:t>
      </w:r>
      <w:r w:rsidR="004A4684" w:rsidRPr="000322E4">
        <w:rPr>
          <w:i/>
        </w:rPr>
        <w:t>я</w:t>
      </w:r>
      <w:r w:rsidRPr="000322E4">
        <w:rPr>
          <w:i/>
        </w:rPr>
        <w:t xml:space="preserve"> (по 2-3 введения в течение одного блока в полной возрастной дозе трех препаратов, кроме введений на блоке СС)</w:t>
      </w:r>
      <w:r w:rsidR="00021FC9" w:rsidRPr="000322E4">
        <w:rPr>
          <w:i/>
        </w:rPr>
        <w:t>.</w:t>
      </w:r>
    </w:p>
    <w:p w14:paraId="7D8833EA" w14:textId="77777777" w:rsidR="00021FC9" w:rsidRPr="000322E4" w:rsidRDefault="007726E0" w:rsidP="00416CC7">
      <w:pPr>
        <w:pStyle w:val="2"/>
        <w:spacing w:before="0"/>
      </w:pPr>
      <w:bookmarkStart w:id="42" w:name="_Toc96601245"/>
      <w:r w:rsidRPr="000322E4">
        <w:t>3.5 Лечение лимфомы Беркитта</w:t>
      </w:r>
      <w:bookmarkEnd w:id="42"/>
    </w:p>
    <w:p w14:paraId="6D3C87CC" w14:textId="2F67D762" w:rsidR="007726E0" w:rsidRPr="000322E4" w:rsidRDefault="007726E0" w:rsidP="00416CC7">
      <w:pPr>
        <w:spacing w:line="360" w:lineRule="auto"/>
        <w:ind w:firstLine="709"/>
        <w:contextualSpacing/>
        <w:jc w:val="both"/>
        <w:rPr>
          <w:i/>
        </w:rPr>
      </w:pPr>
      <w:r w:rsidRPr="000322E4">
        <w:rPr>
          <w:i/>
        </w:rPr>
        <w:t xml:space="preserve">Лечение ЛБ проводится в кратчайшие сроки и в режиме оказания неотложной медицинской помощи </w:t>
      </w:r>
      <w:r w:rsidRPr="000322E4">
        <w:rPr>
          <w:i/>
        </w:rPr>
        <w:fldChar w:fldCharType="begin" w:fldLock="1"/>
      </w:r>
      <w:r w:rsidR="00021E2A">
        <w:rPr>
          <w:i/>
        </w:rPr>
        <w:instrText>ADDIN CSL_CITATION {"citationItems":[{"id":"ITEM-1","itemData":{"DOI":"10.1016/j.ejca.2017.03.013","ISSN":"18790852","abstract":"Background Non-Hodgkin lymphoma (NHL) is often diagnosed after emergency presentation, a route associated with poor survival and an indicator of diagnostic delay. Accounting for around half of all NHLs, diffuse large B-cell lymphoma (DLBCL) is of particular interest since although it is potentially curable with standardised chemotherapy it can be challenging to identify at an early stage in the primary care setting. Patients and methods Set within a socio-demographically representative United Kingdom population of around 4 million people, data are from an established patient cohort. This report includes all patients (≥18 years) diagnosed with DLBCL 2004–2011 (n = 1660). Emergency admissions were identified via linkage to Hospital Episode Statistics using standard methods, and survival was examined using proportional hazards regression. Results Two out of every five patients were diagnosed following an emergency admission, and this was associated with advanced disease and poor survival (p &lt; 0.001). Among the 80% of patients treated with curative chemotherapy, survival discrepancies emerged at the point of diagnosis; the adjusted hazard ratio (emergency versus non-emergency) at one month being 4.0 (95% confidence interval 1.9–8.2). No lasting impact was evident in patients who survived for 12 months or more. Conclusion Emergency presentation impacts negatively on DLBCL survival; patients presenting via this route have significantly poorer outcomes than patients with similar clinical characteristics who present via other routes.","author":[{"dropping-particle":"","family":"Kane","given":"Eleanor","non-dropping-particle":"","parse-names":false,"suffix":""},{"dropping-particle":"","family":"Howell","given":"Debra","non-dropping-particle":"","parse-names":false,"suffix":""},{"dropping-particle":"","family":"Smith","given":"Alexandra","non-dropping-particle":"","parse-names":false,"suffix":""},{"dropping-particle":"","family":"Crouch","given":"Simon","non-dropping-particle":"","parse-names":false,"suffix":""},{"dropping-particle":"","family":"Burton","given":"Cathy","non-dropping-particle":"","parse-names":false,"suffix":""},{"dropping-particle":"","family":"Roman","given":"Eve","non-dropping-particle":"","parse-names":false,"suffix":""},{"dropping-particle":"","family":"Patmore","given":"Russell","non-dropping-particle":"","parse-names":false,"suffix":""}],"container-title":"European Journal of Cancer","id":"ITEM-1","issued":{"date-parts":[["2017","6","1"]]},"page":"53-60","publisher":"Elsevier Ltd","title":"Emergency admission and survival from aggressive non-Hodgkin lymphoma: A report from the UK's population-based Haematological Malignancy Research Network","type":"article-journal","volume":"78"},"uris":["http://www.mendeley.com/documents/?uuid=40576fb6-316e-3a7e-8692-5f2f6f9fddee"]},{"id":"ITEM-2","itemData":{"author":[{"dropping-particle":"","family":"Барях","given":"Е.А.","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Савченко.","id":"ITEM-2","issued":{"date-parts":[["2018"]]},"page":"80-87","title":"Лимфома Беркитта","type":"chapter"},"uris":["http://www.mendeley.com/documents/?uuid=6c46cd48-7af0-4ac2-8eb1-93f86718c4df"]}],"mendeley":{"formattedCitation":"[4,106]","plainTextFormattedCitation":"[4,106]","previouslyFormattedCitation":"[4,106]"},"properties":{"noteIndex":0},"schema":"https://github.com/citation-style-language/schema/raw/master/csl-citation.json"}</w:instrText>
      </w:r>
      <w:r w:rsidRPr="000322E4">
        <w:rPr>
          <w:i/>
        </w:rPr>
        <w:fldChar w:fldCharType="separate"/>
      </w:r>
      <w:r w:rsidR="009D170B" w:rsidRPr="009D170B">
        <w:rPr>
          <w:noProof/>
        </w:rPr>
        <w:t>[4,106]</w:t>
      </w:r>
      <w:r w:rsidRPr="000322E4">
        <w:rPr>
          <w:i/>
        </w:rPr>
        <w:fldChar w:fldCharType="end"/>
      </w:r>
      <w:r w:rsidRPr="000322E4">
        <w:rPr>
          <w:i/>
        </w:rPr>
        <w:t>.</w:t>
      </w:r>
    </w:p>
    <w:p w14:paraId="46329D9D" w14:textId="3440CC2A" w:rsidR="007726E0" w:rsidRPr="000322E4" w:rsidRDefault="007726E0" w:rsidP="00416CC7">
      <w:pPr>
        <w:widowControl w:val="0"/>
        <w:numPr>
          <w:ilvl w:val="0"/>
          <w:numId w:val="26"/>
        </w:numPr>
        <w:autoSpaceDE w:val="0"/>
        <w:autoSpaceDN w:val="0"/>
        <w:adjustRightInd w:val="0"/>
        <w:spacing w:line="360" w:lineRule="auto"/>
        <w:contextualSpacing/>
        <w:jc w:val="both"/>
        <w:rPr>
          <w:b/>
          <w:sz w:val="28"/>
          <w:szCs w:val="28"/>
        </w:rPr>
      </w:pPr>
      <w:r w:rsidRPr="000322E4">
        <w:rPr>
          <w:bCs/>
        </w:rPr>
        <w:t>П</w:t>
      </w:r>
      <w:r w:rsidRPr="000322E4">
        <w:t xml:space="preserve">ациентам с ЛБ </w:t>
      </w:r>
      <w:r w:rsidRPr="000322E4">
        <w:rPr>
          <w:b/>
          <w:bCs/>
        </w:rPr>
        <w:t>рекомендуется</w:t>
      </w:r>
      <w:r w:rsidRPr="000322E4">
        <w:t xml:space="preserve"> экстренное купирование имеющихся хирургических осложнений (кишечная непроходимость, кровотечения, перфорация), коррекция электролитных нарушений, купирование инфекционных осложнений, болевого синдрома </w:t>
      </w:r>
      <w:r w:rsidRPr="000322E4">
        <w:rPr>
          <w:i/>
        </w:rPr>
        <w:fldChar w:fldCharType="begin" w:fldLock="1"/>
      </w:r>
      <w:r w:rsidR="00021E2A">
        <w:rPr>
          <w:i/>
        </w:rPr>
        <w:instrText>ADDIN CSL_CITATION {"citationItems":[{"id":"ITEM-1","itemData":{"DOI":"10.1016/j.ejca.2017.03.013","ISSN":"18790852","abstract":"Background Non-Hodgkin lymphoma (NHL) is often diagnosed after emergency presentation, a route associated with poor survival and an indicator of diagnostic delay. Accounting for around half of all NHLs, diffuse large B-cell lymphoma (DLBCL) is of particular interest since although it is potentially curable with standardised chemotherapy it can be challenging to identify at an early stage in the primary care setting. Patients and methods Set within a socio-demographically representative United Kingdom population of around 4 million people, data are from an established patient cohort. This report includes all patients (≥18 years) diagnosed with DLBCL 2004–2011 (n = 1660). Emergency admissions were identified via linkage to Hospital Episode Statistics using standard methods, and survival was examined using proportional hazards regression. Results Two out of every five patients were diagnosed following an emergency admission, and this was associated with advanced disease and poor survival (p &lt; 0.001). Among the 80% of patients treated with curative chemotherapy, survival discrepancies emerged at the point of diagnosis; the adjusted hazard ratio (emergency versus non-emergency) at one month being 4.0 (95% confidence interval 1.9–8.2). No lasting impact was evident in patients who survived for 12 months or more. Conclusion Emergency presentation impacts negatively on DLBCL survival; patients presenting via this route have significantly poorer outcomes than patients with similar clinical characteristics who present via other routes.","author":[{"dropping-particle":"","family":"Kane","given":"Eleanor","non-dropping-particle":"","parse-names":false,"suffix":""},{"dropping-particle":"","family":"Howell","given":"Debra","non-dropping-particle":"","parse-names":false,"suffix":""},{"dropping-particle":"","family":"Smith","given":"Alexandra","non-dropping-particle":"","parse-names":false,"suffix":""},{"dropping-particle":"","family":"Crouch","given":"Simon","non-dropping-particle":"","parse-names":false,"suffix":""},{"dropping-particle":"","family":"Burton","given":"Cathy","non-dropping-particle":"","parse-names":false,"suffix":""},{"dropping-particle":"","family":"Roman","given":"Eve","non-dropping-particle":"","parse-names":false,"suffix":""},{"dropping-particle":"","family":"Patmore","given":"Russell","non-dropping-particle":"","parse-names":false,"suffix":""}],"container-title":"European Journal of Cancer","id":"ITEM-1","issued":{"date-parts":[["2017","6","1"]]},"page":"53-60","publisher":"Elsevier Ltd","title":"Emergency admission and survival from aggressive non-Hodgkin lymphoma: A report from the UK's population-based Haematological Malignancy Research Network","type":"article-journal","volume":"78"},"uris":["http://www.mendeley.com/documents/?uuid=40576fb6-316e-3a7e-8692-5f2f6f9fddee"]},{"id":"ITEM-2","itemData":{"author":[{"dropping-particle":"","family":"Барях","given":"Е.А.","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Савченко.","id":"ITEM-2","issued":{"date-parts":[["2018"]]},"page":"80-87","title":"Лимфома Беркитта","type":"chapter"},"uris":["http://www.mendeley.com/documents/?uuid=6c46cd48-7af0-4ac2-8eb1-93f86718c4df"]}],"mendeley":{"formattedCitation":"[4,106]","plainTextFormattedCitation":"[4,106]","previouslyFormattedCitation":"[4,106]"},"properties":{"noteIndex":0},"schema":"https://github.com/citation-style-language/schema/raw/master/csl-citation.json"}</w:instrText>
      </w:r>
      <w:r w:rsidRPr="000322E4">
        <w:rPr>
          <w:i/>
        </w:rPr>
        <w:fldChar w:fldCharType="separate"/>
      </w:r>
      <w:r w:rsidR="009D170B" w:rsidRPr="009D170B">
        <w:rPr>
          <w:noProof/>
        </w:rPr>
        <w:t>[4,106]</w:t>
      </w:r>
      <w:r w:rsidRPr="000322E4">
        <w:rPr>
          <w:i/>
        </w:rPr>
        <w:fldChar w:fldCharType="end"/>
      </w:r>
      <w:r w:rsidRPr="000322E4">
        <w:rPr>
          <w:i/>
        </w:rPr>
        <w:t>.</w:t>
      </w:r>
    </w:p>
    <w:p w14:paraId="1ED5574B" w14:textId="77777777" w:rsidR="007726E0" w:rsidRPr="000322E4" w:rsidRDefault="007726E0" w:rsidP="00CA442F">
      <w:pPr>
        <w:pStyle w:val="afffa"/>
        <w:rPr>
          <w:rFonts w:eastAsia="Arial Unicode MS"/>
          <w:color w:val="000000"/>
        </w:rPr>
      </w:pPr>
      <w:r w:rsidRPr="000322E4">
        <w:t xml:space="preserve">Уровень убедительности рекомендаций – </w:t>
      </w:r>
      <w:r w:rsidRPr="000322E4">
        <w:rPr>
          <w:lang w:val="en-US"/>
        </w:rPr>
        <w:t>B</w:t>
      </w:r>
      <w:r w:rsidRPr="000322E4">
        <w:t xml:space="preserve"> (уровень </w:t>
      </w:r>
      <w:r w:rsidRPr="000322E4">
        <w:rPr>
          <w:spacing w:val="-1"/>
        </w:rPr>
        <w:t xml:space="preserve">достоверности доказательств </w:t>
      </w:r>
      <w:r w:rsidRPr="000322E4">
        <w:t>– 5)</w:t>
      </w:r>
      <w:r w:rsidRPr="000322E4">
        <w:rPr>
          <w:rFonts w:eastAsia="Arial Unicode MS"/>
          <w:color w:val="000000"/>
        </w:rPr>
        <w:t>.</w:t>
      </w:r>
    </w:p>
    <w:p w14:paraId="7982A81E" w14:textId="259E6AD8" w:rsidR="007726E0" w:rsidRPr="000322E4" w:rsidRDefault="007726E0" w:rsidP="009D170B">
      <w:pPr>
        <w:pStyle w:val="a"/>
        <w:spacing w:before="0"/>
        <w:ind w:left="709"/>
      </w:pPr>
      <w:r w:rsidRPr="000322E4">
        <w:t xml:space="preserve">Пациентам с ЛБ при наличии острой почечной недостаточности </w:t>
      </w:r>
      <w:r w:rsidRPr="000322E4">
        <w:rPr>
          <w:b/>
          <w:bCs/>
        </w:rPr>
        <w:t>рекомендуется</w:t>
      </w:r>
      <w:r w:rsidRPr="000322E4">
        <w:t xml:space="preserve"> проводить ХТ на фоне ежедневных сеансов гемодиализа </w:t>
      </w:r>
      <w:r w:rsidRPr="000322E4">
        <w:fldChar w:fldCharType="begin" w:fldLock="1"/>
      </w:r>
      <w:r w:rsidR="00021E2A">
        <w:instrText>ADDIN CSL_CITATION {"citationItems":[{"id":"ITEM-1","itemData":{"DOI":"10.4103/0971-4065.57102","ISSN":"09714065","abstract":"Morbidity and mortality in patients with hematologic malignancies are significantly increased by development of acute renal failure. This is more likely in the developing world where facilities for renal replacement therapy are scarce. This review discusses the pathophysiology of acute renal failure due to tumor lysis syndrome in patients with Burkitt′s lymphoma, the commonest hematological malignancy in the pediatric age group in sub-Saharan Africa, and evaluates the possible management options. Tumor lysis can also develop in association with other hematologic malignancies, both spontaneously and following treatment, and these principles are applicable in all such cases.","author":[{"dropping-particle":"","family":"Senbanjo","given":"I. O.","non-dropping-particle":"","parse-names":false,"suffix":""}],"container-title":"Indian Journal of Nephrology","id":"ITEM-1","issue":"3","issued":{"date-parts":[["2009","7","1"]]},"page":"83-86","title":"Tumor lysis and acute renal failure in Burkitt′s lymphoma: A review on pathophysiology and management","type":"article","volume":"19"},"uris":["http://www.mendeley.com/documents/?uuid=f5f980dd-8348-3033-a578-1f2ff406326c"]}],"mendeley":{"formattedCitation":"[107]","plainTextFormattedCitation":"[107]","previouslyFormattedCitation":"[107]"},"properties":{"noteIndex":0},"schema":"https://github.com/citation-style-language/schema/raw/master/csl-citation.json"}</w:instrText>
      </w:r>
      <w:r w:rsidRPr="000322E4">
        <w:fldChar w:fldCharType="separate"/>
      </w:r>
      <w:r w:rsidR="009D170B" w:rsidRPr="009D170B">
        <w:rPr>
          <w:noProof/>
        </w:rPr>
        <w:t>[107]</w:t>
      </w:r>
      <w:r w:rsidRPr="000322E4">
        <w:fldChar w:fldCharType="end"/>
      </w:r>
      <w:r w:rsidRPr="000322E4">
        <w:t>.</w:t>
      </w:r>
    </w:p>
    <w:p w14:paraId="247878DE" w14:textId="77777777" w:rsidR="007726E0" w:rsidRPr="000322E4" w:rsidRDefault="007726E0" w:rsidP="00CA442F">
      <w:pPr>
        <w:pStyle w:val="afffa"/>
      </w:pPr>
      <w:r w:rsidRPr="000322E4">
        <w:t xml:space="preserve">Уровень убедительности рекомендаций – </w:t>
      </w:r>
      <w:r w:rsidRPr="000322E4">
        <w:rPr>
          <w:lang w:val="en-US"/>
        </w:rPr>
        <w:t>C</w:t>
      </w:r>
      <w:r w:rsidRPr="000322E4">
        <w:t xml:space="preserve"> (уровень </w:t>
      </w:r>
      <w:r w:rsidRPr="000322E4">
        <w:rPr>
          <w:spacing w:val="-1"/>
        </w:rPr>
        <w:t xml:space="preserve">достоверности доказательств </w:t>
      </w:r>
      <w:r w:rsidRPr="000322E4">
        <w:t>– 5).</w:t>
      </w:r>
    </w:p>
    <w:p w14:paraId="3CC19AC4" w14:textId="19DF3A2E" w:rsidR="007726E0" w:rsidRPr="000322E4" w:rsidRDefault="007726E0" w:rsidP="009D170B">
      <w:pPr>
        <w:pStyle w:val="a"/>
        <w:spacing w:before="0"/>
        <w:ind w:left="709"/>
      </w:pPr>
      <w:r w:rsidRPr="000322E4">
        <w:lastRenderedPageBreak/>
        <w:t xml:space="preserve">Пациентам с ЛБ </w:t>
      </w:r>
      <w:r w:rsidRPr="000322E4">
        <w:rPr>
          <w:b/>
          <w:bCs/>
        </w:rPr>
        <w:t>рекомендуется</w:t>
      </w:r>
      <w:r w:rsidRPr="000322E4">
        <w:t xml:space="preserve"> в качестве основного метода лечения короткая импульсная высокоинтенсивная ХТ +/– ритуксимаб** (см. приложение </w:t>
      </w:r>
      <w:r w:rsidRPr="000322E4">
        <w:rPr>
          <w:lang w:val="en-US"/>
        </w:rPr>
        <w:t>A</w:t>
      </w:r>
      <w:r w:rsidRPr="000322E4">
        <w:t xml:space="preserve">3.1) </w:t>
      </w:r>
      <w:r w:rsidRPr="000322E4">
        <w:fldChar w:fldCharType="begin" w:fldLock="1"/>
      </w:r>
      <w:r w:rsidR="00021E2A">
        <w:instrText>ADDIN CSL_CITATION {"citationItems":[{"id":"ITEM-1","itemData":{"DOI":"10.1007/s00277-017-3167-7","ISSN":"1432-0584","PMID":"29209924","abstract":"Burkitt lymphoma is an aggressive B cell malignancy accounting for 1-2% of all adult lymphomas. Treatment with dose-intensive, multi-agent chemotherapy is effective but associated with considerable toxicity. In this observational study, we compared real-world efficacy, toxicity, and costs of four frequently employed treatment strategies for Burkitt lymphoma: the Lymphome Malins B (LMB), the Berlin-Frankfurt-Münster (BFM), the HOVON, and the CODOX-M/IVAC regimens. We collected data from 147 adult patients treated in eight referral centers. Following central pathology assessment, 105 of these cases were accepted as Burkitt lymphoma, resulting in the following treatment groups: LMB 36 patients, BFM 19 patients, HOVON 29 patients, and CODOX-M/IVAC 21 patients (median age 39 years, range 14-74; mean duration of follow-up 47 months). There was no significant difference between age, sex ratio, disease stage, or percentage HIV-positive patients between the treatment groups. Five-year progression-free survival (69%, p = 0.966) and 5-year overall survival (69%, p = 0.981) were comparable for all treatment groups. Treatment-related toxicity was also comparable with only hepatotoxicity seen more frequently in the CODOX/M-IVAC group (p = 0.004). Costs were determined by the number of rituximab gifts and the number of inpatients days. Overall, CODOX-M/IVAC had the most beneficial profile with regards to costs, treatment duration, and percentage of patients completing planned treatment. We conclude that the four treatment protocols for Burkitt lymphoma yield nearly identical results with regards to efficacy and safety but differ in treatment duration and costs. These differences may help guide future choice of treatment.","author":[{"dropping-particle":"","family":"Oosten","given":"L E M","non-dropping-particle":"","parse-names":false,"suffix":""},{"dropping-particle":"","family":"Chamuleau","given":"M E D","non-dropping-particle":"","parse-names":false,"suffix":""},{"dropping-particle":"","family":"Thielen","given":"F W","non-dropping-particle":"","parse-names":false,"suffix":""},{"dropping-particle":"","family":"Wreede","given":"L C","non-dropping-particle":"de","parse-names":false,"suffix":""},{"dropping-particle":"","family":"Siemes","given":"C","non-dropping-particle":"","parse-names":false,"suffix":""},{"dropping-particle":"","family":"Doorduijn","given":"J K","non-dropping-particle":"","parse-names":false,"suffix":""},{"dropping-particle":"","family":"Smeekes","given":"O S","non-dropping-particle":"","parse-names":false,"suffix":""},{"dropping-particle":"","family":"Kersten","given":"M J","non-dropping-particle":"","parse-names":false,"suffix":""},{"dropping-particle":"","family":"Hardi","given":"L","non-dropping-particle":"","parse-names":false,"suffix":""},{"dropping-particle":"","family":"Baars","given":"J W","non-dropping-particle":"","parse-names":false,"suffix":""},{"dropping-particle":"","family":"Demandt","given":"A M P","non-dropping-particle":"","parse-names":false,"suffix":""},{"dropping-particle":"","family":"Stevens","given":"W B C","non-dropping-particle":"","parse-names":false,"suffix":""},{"dropping-particle":"","family":"Nijland","given":"M","non-dropping-particle":"","parse-names":false,"suffix":""},{"dropping-particle":"","family":"Imhoff","given":"G W","non-dropping-particle":"van","parse-names":false,"suffix":""},{"dropping-particle":"","family":"Brouwer","given":"R","non-dropping-particle":"","parse-names":false,"suffix":""},{"dropping-particle":"","family":"Uyl-de Groot","given":"C A","non-dropping-particle":"","parse-names":false,"suffix":""},{"dropping-particle":"","family":"Kluin","given":"P M","non-dropping-particle":"","parse-names":false,"suffix":""},{"dropping-particle":"","family":"Jong","given":"D","non-dropping-particle":"de","parse-names":false,"suffix":""},{"dropping-particle":"","family":"Veelken","given":"H","non-dropping-particle":"","parse-names":false,"suffix":""}],"container-title":"Annals of hematology","id":"ITEM-1","issue":"2","issued":{"date-parts":[["2018","2"]]},"page":"255-266","title":"Treatment of sporadic Burkitt lymphoma in adults, a retrospective comparison of four treatment regimens.","type":"article-journal","volume":"97"},"uris":["http://www.mendeley.com/documents/?uuid=4854059d-c095-362e-a61b-2f81d7e3ac6c"]}],"mendeley":{"formattedCitation":"[108]","plainTextFormattedCitation":"[108]","previouslyFormattedCitation":"[108]"},"properties":{"noteIndex":0},"schema":"https://github.com/citation-style-language/schema/raw/master/csl-citation.json"}</w:instrText>
      </w:r>
      <w:r w:rsidRPr="000322E4">
        <w:fldChar w:fldCharType="separate"/>
      </w:r>
      <w:r w:rsidR="009D170B" w:rsidRPr="009D170B">
        <w:rPr>
          <w:noProof/>
        </w:rPr>
        <w:t>[108]</w:t>
      </w:r>
      <w:r w:rsidRPr="000322E4">
        <w:fldChar w:fldCharType="end"/>
      </w:r>
      <w:r w:rsidRPr="000322E4">
        <w:t>.</w:t>
      </w:r>
    </w:p>
    <w:p w14:paraId="6A5B1AEE" w14:textId="77777777" w:rsidR="007726E0" w:rsidRPr="000322E4" w:rsidRDefault="007726E0" w:rsidP="00CA442F">
      <w:pPr>
        <w:pStyle w:val="afffa"/>
        <w:rPr>
          <w:rFonts w:eastAsia="Arial Unicode MS"/>
          <w:color w:val="000000"/>
        </w:rPr>
      </w:pPr>
      <w:r w:rsidRPr="000322E4">
        <w:t xml:space="preserve">Уровень убедительности рекомендаций – С (уровень </w:t>
      </w:r>
      <w:r w:rsidRPr="000322E4">
        <w:rPr>
          <w:spacing w:val="-1"/>
        </w:rPr>
        <w:t xml:space="preserve">достоверности доказательств </w:t>
      </w:r>
      <w:r w:rsidRPr="000322E4">
        <w:t xml:space="preserve">– </w:t>
      </w:r>
      <w:r w:rsidR="006D44E2" w:rsidRPr="000322E4">
        <w:t>5</w:t>
      </w:r>
      <w:r w:rsidRPr="000322E4">
        <w:t>)</w:t>
      </w:r>
      <w:r w:rsidRPr="000322E4">
        <w:rPr>
          <w:rFonts w:eastAsia="Arial Unicode MS"/>
          <w:color w:val="000000"/>
        </w:rPr>
        <w:t>.</w:t>
      </w:r>
    </w:p>
    <w:p w14:paraId="44251279" w14:textId="77777777" w:rsidR="007726E0" w:rsidRPr="000322E4" w:rsidRDefault="007726E0" w:rsidP="009D170B">
      <w:pPr>
        <w:spacing w:line="360" w:lineRule="auto"/>
        <w:ind w:firstLine="709"/>
        <w:contextualSpacing/>
        <w:jc w:val="both"/>
        <w:rPr>
          <w:i/>
        </w:rPr>
      </w:pPr>
      <w:r w:rsidRPr="000322E4">
        <w:rPr>
          <w:b/>
        </w:rPr>
        <w:t>Комментарии:</w:t>
      </w:r>
      <w:r w:rsidRPr="000322E4">
        <w:t xml:space="preserve"> </w:t>
      </w:r>
      <w:r w:rsidRPr="000322E4">
        <w:rPr>
          <w:i/>
        </w:rPr>
        <w:t xml:space="preserve">при редко встречающихся локальных стадиях заболевания количество курсов ХТ редуцировано в соответствии с протоколами. К факторам плохого прогноза, требующим интенсификации терапии, относят: поражение КМ и ЦНС, повышение ЛДГ &gt;2 верхних границ нормальных значений, поражение почек, костей (мультифокальные очаги), размер опухоли более 10 см. </w:t>
      </w:r>
    </w:p>
    <w:p w14:paraId="5D428904" w14:textId="63E6547F" w:rsidR="007726E0" w:rsidRPr="000322E4" w:rsidRDefault="007726E0" w:rsidP="009D170B">
      <w:pPr>
        <w:pStyle w:val="a"/>
        <w:spacing w:before="0"/>
        <w:ind w:left="709"/>
        <w:rPr>
          <w:i/>
        </w:rPr>
      </w:pPr>
      <w:r w:rsidRPr="000322E4">
        <w:t>Пациентам с ЛБ в 1-й линии лечения</w:t>
      </w:r>
      <w:r w:rsidRPr="000322E4">
        <w:rPr>
          <w:b/>
          <w:bCs/>
        </w:rPr>
        <w:t xml:space="preserve"> рекомендуется</w:t>
      </w:r>
      <w:r w:rsidRPr="000322E4">
        <w:t xml:space="preserve"> применение интенсивных протоколов ХТ: R-Hyper-CVAD, ЛБ-М-04+/-R, LMB 95, CODOXM/IVAC+/-R, (схемы см. в приложении А3.1) </w:t>
      </w:r>
      <w:r w:rsidRPr="000322E4">
        <w:fldChar w:fldCharType="begin" w:fldLock="1"/>
      </w:r>
      <w:r w:rsidR="00AE0A1D">
        <w:instrText>ADDIN CSL_CITATION {"citationItems":[{"id":"ITEM-1","itemData":{"author":[{"dropping-particle":"","family":"Барях","given":"Е.А.","non-dropping-particle":"","parse-names":false,"suffix":""}],"container-title":"Российские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Савченко.","id":"ITEM-1","issued":{"date-parts":[["2018"]]},"page":"80-87","title":"Лимфома Беркитта","type":"chapter"},"uris":["http://www.mendeley.com/documents/?uuid=6c46cd48-7af0-4ac2-8eb1-93f86718c4df"]}],"mendeley":{"formattedCitation":"[4]","plainTextFormattedCitation":"[4]","previouslyFormattedCitation":"[4]"},"properties":{"noteIndex":0},"schema":"https://github.com/citation-style-language/schema/raw/master/csl-citation.json"}</w:instrText>
      </w:r>
      <w:r w:rsidRPr="000322E4">
        <w:fldChar w:fldCharType="separate"/>
      </w:r>
      <w:r w:rsidR="00726C75" w:rsidRPr="00726C75">
        <w:rPr>
          <w:noProof/>
        </w:rPr>
        <w:t>[4]</w:t>
      </w:r>
      <w:r w:rsidRPr="000322E4">
        <w:fldChar w:fldCharType="end"/>
      </w:r>
      <w:r w:rsidRPr="000322E4">
        <w:t xml:space="preserve">. </w:t>
      </w:r>
    </w:p>
    <w:p w14:paraId="5C8F4F38" w14:textId="77777777" w:rsidR="007726E0" w:rsidRPr="000322E4" w:rsidRDefault="007726E0" w:rsidP="00CA442F">
      <w:pPr>
        <w:pStyle w:val="afffa"/>
        <w:rPr>
          <w:rFonts w:eastAsia="Arial Unicode MS"/>
          <w:color w:val="000000"/>
        </w:rPr>
      </w:pPr>
      <w:r w:rsidRPr="000322E4">
        <w:t xml:space="preserve">Уровень убедительности рекомендаций – С (уровень </w:t>
      </w:r>
      <w:r w:rsidRPr="000322E4">
        <w:rPr>
          <w:spacing w:val="-1"/>
        </w:rPr>
        <w:t xml:space="preserve">достоверности доказательств </w:t>
      </w:r>
      <w:r w:rsidRPr="000322E4">
        <w:t>– 5)</w:t>
      </w:r>
      <w:r w:rsidRPr="000322E4">
        <w:rPr>
          <w:rFonts w:eastAsia="Arial Unicode MS"/>
          <w:color w:val="000000"/>
        </w:rPr>
        <w:t>.</w:t>
      </w:r>
    </w:p>
    <w:p w14:paraId="00DEFF59" w14:textId="77777777" w:rsidR="007726E0" w:rsidRPr="000322E4" w:rsidRDefault="007726E0" w:rsidP="009D170B">
      <w:pPr>
        <w:spacing w:line="360" w:lineRule="auto"/>
        <w:ind w:firstLine="709"/>
        <w:contextualSpacing/>
        <w:jc w:val="both"/>
        <w:rPr>
          <w:i/>
        </w:rPr>
      </w:pPr>
      <w:r w:rsidRPr="000322E4">
        <w:rPr>
          <w:b/>
        </w:rPr>
        <w:t>Комментарии:</w:t>
      </w:r>
      <w:r w:rsidRPr="000322E4">
        <w:t xml:space="preserve"> </w:t>
      </w:r>
      <w:r w:rsidRPr="000322E4">
        <w:rPr>
          <w:i/>
        </w:rPr>
        <w:t>основным правилом в терапии ЛБ является соблюдение принципа «доза – интервал», т.</w:t>
      </w:r>
      <w:r w:rsidRPr="000322E4">
        <w:rPr>
          <w:i/>
          <w:lang w:val="en-US"/>
        </w:rPr>
        <w:t> </w:t>
      </w:r>
      <w:r w:rsidRPr="000322E4">
        <w:rPr>
          <w:i/>
        </w:rPr>
        <w:t>е. проведение курса в полных дозах с соблюдением межкурсового интервала. За исключением ситуаций развития жизнеугрожающих осложнений, не рекомендуется прерывать начатый курс ХТ. В исключительных случаях при наличии тяжелых инфекционных осложнений, с которыми не удалось справиться к окончанию межкурсового перерыва, возможно увеличение интервала между курсами.</w:t>
      </w:r>
    </w:p>
    <w:p w14:paraId="05F6B14F" w14:textId="219CE679" w:rsidR="007726E0" w:rsidRPr="000322E4" w:rsidRDefault="007726E0" w:rsidP="009D170B">
      <w:pPr>
        <w:pStyle w:val="a"/>
        <w:spacing w:before="0"/>
        <w:ind w:left="709"/>
        <w:rPr>
          <w:i/>
        </w:rPr>
      </w:pPr>
      <w:r w:rsidRPr="000322E4">
        <w:t xml:space="preserve">Пациентам с ЛБ </w:t>
      </w:r>
      <w:r w:rsidRPr="000322E4">
        <w:rPr>
          <w:b/>
        </w:rPr>
        <w:t>не рекомендуется</w:t>
      </w:r>
      <w:r w:rsidRPr="000322E4">
        <w:t xml:space="preserve"> проведение терапии по схеме R-CHOP вследствие ее неэффективности </w:t>
      </w:r>
      <w:r w:rsidRPr="000322E4">
        <w:fldChar w:fldCharType="begin" w:fldLock="1"/>
      </w:r>
      <w:r w:rsidR="00AE0A1D">
        <w:instrText>ADDIN CSL_CITATION {"citationItems":[{"id":"ITEM-1","itemData":{"author":[{"dropping-particle":"","family":"Барях","given":"Е.А.","non-dropping-particle":"","parse-names":false,"suffix":""}],"container-title":"Российские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Савченко.","id":"ITEM-1","issued":{"date-parts":[["2018"]]},"page":"80-87","title":"Лимфома Беркитта","type":"chapter"},"uris":["http://www.mendeley.com/documents/?uuid=6c46cd48-7af0-4ac2-8eb1-93f86718c4df"]}],"mendeley":{"formattedCitation":"[4]","plainTextFormattedCitation":"[4]","previouslyFormattedCitation":"[4]"},"properties":{"noteIndex":0},"schema":"https://github.com/citation-style-language/schema/raw/master/csl-citation.json"}</w:instrText>
      </w:r>
      <w:r w:rsidRPr="000322E4">
        <w:fldChar w:fldCharType="separate"/>
      </w:r>
      <w:r w:rsidR="00726C75" w:rsidRPr="00726C75">
        <w:rPr>
          <w:noProof/>
        </w:rPr>
        <w:t>[4]</w:t>
      </w:r>
      <w:r w:rsidRPr="000322E4">
        <w:fldChar w:fldCharType="end"/>
      </w:r>
      <w:r w:rsidRPr="000322E4">
        <w:t>.</w:t>
      </w:r>
    </w:p>
    <w:p w14:paraId="63FCCB1C" w14:textId="77777777" w:rsidR="007726E0" w:rsidRPr="000322E4" w:rsidRDefault="007726E0" w:rsidP="00CA442F">
      <w:pPr>
        <w:pStyle w:val="afffa"/>
        <w:rPr>
          <w:rFonts w:eastAsia="Arial Unicode MS"/>
          <w:color w:val="000000"/>
        </w:rPr>
      </w:pPr>
      <w:r w:rsidRPr="000322E4">
        <w:t xml:space="preserve">Уровень убедительности рекомендаций – С (уровень </w:t>
      </w:r>
      <w:r w:rsidRPr="000322E4">
        <w:rPr>
          <w:spacing w:val="-1"/>
        </w:rPr>
        <w:t xml:space="preserve">достоверности доказательств </w:t>
      </w:r>
      <w:r w:rsidRPr="000322E4">
        <w:t>– 5)</w:t>
      </w:r>
      <w:r w:rsidRPr="000322E4">
        <w:rPr>
          <w:rFonts w:eastAsia="Arial Unicode MS"/>
          <w:color w:val="000000"/>
        </w:rPr>
        <w:t>.</w:t>
      </w:r>
    </w:p>
    <w:p w14:paraId="7408EB56" w14:textId="2E6C50EA" w:rsidR="007726E0" w:rsidRPr="000322E4" w:rsidRDefault="007726E0" w:rsidP="009D170B">
      <w:pPr>
        <w:pStyle w:val="a"/>
        <w:spacing w:before="0"/>
        <w:ind w:left="709"/>
        <w:rPr>
          <w:i/>
        </w:rPr>
      </w:pPr>
      <w:r w:rsidRPr="000322E4">
        <w:t xml:space="preserve">Пациентам старше 55 лет без поражения ЦНС (не кандидатам для интенсивной ХТ) </w:t>
      </w:r>
      <w:r w:rsidRPr="000322E4">
        <w:rPr>
          <w:b/>
        </w:rPr>
        <w:t>рекомендуется</w:t>
      </w:r>
      <w:r w:rsidRPr="000322E4">
        <w:t xml:space="preserve"> проведение лечения по протоколу R-DA-EPOCH (см. приложение А3.1) </w:t>
      </w:r>
      <w:r w:rsidRPr="000322E4">
        <w:rPr>
          <w:lang w:val="en-US"/>
        </w:rPr>
        <w:fldChar w:fldCharType="begin" w:fldLock="1"/>
      </w:r>
      <w:r w:rsidR="00021E2A">
        <w:rPr>
          <w:lang w:val="en-US"/>
        </w:rPr>
        <w:instrText>ADDIN</w:instrText>
      </w:r>
      <w:r w:rsidR="00021E2A" w:rsidRPr="00320416">
        <w:instrText xml:space="preserve"> </w:instrText>
      </w:r>
      <w:r w:rsidR="00021E2A">
        <w:rPr>
          <w:lang w:val="en-US"/>
        </w:rPr>
        <w:instrText>CSL</w:instrText>
      </w:r>
      <w:r w:rsidR="00021E2A" w:rsidRPr="00320416">
        <w:instrText>_</w:instrText>
      </w:r>
      <w:r w:rsidR="00021E2A">
        <w:rPr>
          <w:lang w:val="en-US"/>
        </w:rPr>
        <w:instrText>CITATION</w:instrText>
      </w:r>
      <w:r w:rsidR="00021E2A" w:rsidRPr="00320416">
        <w:instrText xml:space="preserve"> {"</w:instrText>
      </w:r>
      <w:r w:rsidR="00021E2A">
        <w:rPr>
          <w:lang w:val="en-US"/>
        </w:rPr>
        <w:instrText>citationItems</w:instrText>
      </w:r>
      <w:r w:rsidR="00021E2A" w:rsidRPr="00320416">
        <w:instrText>":[{"</w:instrText>
      </w:r>
      <w:r w:rsidR="00021E2A">
        <w:rPr>
          <w:lang w:val="en-US"/>
        </w:rPr>
        <w:instrText>id</w:instrText>
      </w:r>
      <w:r w:rsidR="00021E2A" w:rsidRPr="00320416">
        <w:instrText>":"</w:instrText>
      </w:r>
      <w:r w:rsidR="00021E2A">
        <w:rPr>
          <w:lang w:val="en-US"/>
        </w:rPr>
        <w:instrText>ITEM</w:instrText>
      </w:r>
      <w:r w:rsidR="00021E2A" w:rsidRPr="00320416">
        <w:instrText>-1","</w:instrText>
      </w:r>
      <w:r w:rsidR="00021E2A">
        <w:rPr>
          <w:lang w:val="en-US"/>
        </w:rPr>
        <w:instrText>itemData</w:instrText>
      </w:r>
      <w:r w:rsidR="00021E2A" w:rsidRPr="00320416">
        <w:instrText>":{"</w:instrText>
      </w:r>
      <w:r w:rsidR="00021E2A">
        <w:rPr>
          <w:lang w:val="en-US"/>
        </w:rPr>
        <w:instrText>DOI</w:instrText>
      </w:r>
      <w:r w:rsidR="00021E2A" w:rsidRPr="00320416">
        <w:instrText>":"10.1200/</w:instrText>
      </w:r>
      <w:r w:rsidR="00021E2A">
        <w:rPr>
          <w:lang w:val="en-US"/>
        </w:rPr>
        <w:instrText>jop</w:instrText>
      </w:r>
      <w:r w:rsidR="00021E2A" w:rsidRPr="00320416">
        <w:instrText>.18.00148","</w:instrText>
      </w:r>
      <w:r w:rsidR="00021E2A">
        <w:rPr>
          <w:lang w:val="en-US"/>
        </w:rPr>
        <w:instrText>ISSN</w:instrText>
      </w:r>
      <w:r w:rsidR="00021E2A" w:rsidRPr="00320416">
        <w:instrText>":"1554-7477","</w:instrText>
      </w:r>
      <w:r w:rsidR="00021E2A">
        <w:rPr>
          <w:lang w:val="en-US"/>
        </w:rPr>
        <w:instrText>abstract</w:instrText>
      </w:r>
      <w:r w:rsidR="00021E2A" w:rsidRPr="00320416">
        <w:instrText>":"</w:instrText>
      </w:r>
      <w:r w:rsidR="00021E2A">
        <w:rPr>
          <w:lang w:val="en-US"/>
        </w:rPr>
        <w:instrText>Burkitt</w:instrText>
      </w:r>
      <w:r w:rsidR="00021E2A" w:rsidRPr="00320416">
        <w:instrText>'</w:instrText>
      </w:r>
      <w:r w:rsidR="00021E2A">
        <w:rPr>
          <w:lang w:val="en-US"/>
        </w:rPr>
        <w:instrText>s</w:instrText>
      </w:r>
      <w:r w:rsidR="00021E2A" w:rsidRPr="00320416">
        <w:instrText xml:space="preserve"> </w:instrText>
      </w:r>
      <w:r w:rsidR="00021E2A">
        <w:rPr>
          <w:lang w:val="en-US"/>
        </w:rPr>
        <w:instrText>lymphoma</w:instrText>
      </w:r>
      <w:r w:rsidR="00021E2A" w:rsidRPr="00320416">
        <w:instrText xml:space="preserve"> </w:instrText>
      </w:r>
      <w:r w:rsidR="00021E2A">
        <w:rPr>
          <w:lang w:val="en-US"/>
        </w:rPr>
        <w:instrText>is</w:instrText>
      </w:r>
      <w:r w:rsidR="00021E2A" w:rsidRPr="00320416">
        <w:instrText xml:space="preserve"> </w:instrText>
      </w:r>
      <w:r w:rsidR="00021E2A">
        <w:rPr>
          <w:lang w:val="en-US"/>
        </w:rPr>
        <w:instrText>a</w:instrText>
      </w:r>
      <w:r w:rsidR="00021E2A" w:rsidRPr="00320416">
        <w:instrText xml:space="preserve"> </w:instrText>
      </w:r>
      <w:r w:rsidR="00021E2A">
        <w:rPr>
          <w:lang w:val="en-US"/>
        </w:rPr>
        <w:instrText>rarely</w:instrText>
      </w:r>
      <w:r w:rsidR="00021E2A" w:rsidRPr="00320416">
        <w:instrText xml:space="preserve"> </w:instrText>
      </w:r>
      <w:r w:rsidR="00021E2A">
        <w:rPr>
          <w:lang w:val="en-US"/>
        </w:rPr>
        <w:instrText>encountered</w:instrText>
      </w:r>
      <w:r w:rsidR="00021E2A" w:rsidRPr="00320416">
        <w:instrText xml:space="preserve">, </w:instrText>
      </w:r>
      <w:r w:rsidR="00021E2A">
        <w:rPr>
          <w:lang w:val="en-US"/>
        </w:rPr>
        <w:instrText>aggressive</w:instrText>
      </w:r>
      <w:r w:rsidR="00021E2A" w:rsidRPr="00320416">
        <w:instrText xml:space="preserve"> </w:instrText>
      </w:r>
      <w:r w:rsidR="00021E2A">
        <w:rPr>
          <w:lang w:val="en-US"/>
        </w:rPr>
        <w:instrText>B</w:instrText>
      </w:r>
      <w:r w:rsidR="00021E2A" w:rsidRPr="00320416">
        <w:instrText>-</w:instrText>
      </w:r>
      <w:r w:rsidR="00021E2A">
        <w:rPr>
          <w:lang w:val="en-US"/>
        </w:rPr>
        <w:instrText>cell</w:instrText>
      </w:r>
      <w:r w:rsidR="00021E2A" w:rsidRPr="00320416">
        <w:instrText xml:space="preserve"> </w:instrText>
      </w:r>
      <w:r w:rsidR="00021E2A">
        <w:rPr>
          <w:lang w:val="en-US"/>
        </w:rPr>
        <w:instrText>lymphoma</w:instrText>
      </w:r>
      <w:r w:rsidR="00021E2A" w:rsidRPr="00320416">
        <w:instrText xml:space="preserve"> </w:instrText>
      </w:r>
      <w:r w:rsidR="00021E2A">
        <w:rPr>
          <w:lang w:val="en-US"/>
        </w:rPr>
        <w:instrText>that</w:instrText>
      </w:r>
      <w:r w:rsidR="00021E2A" w:rsidRPr="00320416">
        <w:instrText xml:space="preserve"> </w:instrText>
      </w:r>
      <w:r w:rsidR="00021E2A">
        <w:rPr>
          <w:lang w:val="en-US"/>
        </w:rPr>
        <w:instrText>is</w:instrText>
      </w:r>
      <w:r w:rsidR="00021E2A" w:rsidRPr="00320416">
        <w:instrText xml:space="preserve"> </w:instrText>
      </w:r>
      <w:r w:rsidR="00021E2A">
        <w:rPr>
          <w:lang w:val="en-US"/>
        </w:rPr>
        <w:instrText>highly</w:instrText>
      </w:r>
      <w:r w:rsidR="00021E2A" w:rsidRPr="00320416">
        <w:instrText xml:space="preserve"> </w:instrText>
      </w:r>
      <w:r w:rsidR="00021E2A">
        <w:rPr>
          <w:lang w:val="en-US"/>
        </w:rPr>
        <w:instrText>curable</w:instrText>
      </w:r>
      <w:r w:rsidR="00021E2A" w:rsidRPr="00320416">
        <w:instrText xml:space="preserve"> </w:instrText>
      </w:r>
      <w:r w:rsidR="00021E2A">
        <w:rPr>
          <w:lang w:val="en-US"/>
        </w:rPr>
        <w:instrText>in</w:instrText>
      </w:r>
      <w:r w:rsidR="00021E2A" w:rsidRPr="00320416">
        <w:instrText xml:space="preserve"> </w:instrText>
      </w:r>
      <w:r w:rsidR="00021E2A">
        <w:rPr>
          <w:lang w:val="en-US"/>
        </w:rPr>
        <w:instrText>children</w:instrText>
      </w:r>
      <w:r w:rsidR="00021E2A" w:rsidRPr="00320416">
        <w:instrText xml:space="preserve"> </w:instrText>
      </w:r>
      <w:r w:rsidR="00021E2A">
        <w:rPr>
          <w:lang w:val="en-US"/>
        </w:rPr>
        <w:instrText>and</w:instrText>
      </w:r>
      <w:r w:rsidR="00021E2A" w:rsidRPr="00320416">
        <w:instrText xml:space="preserve"> </w:instrText>
      </w:r>
      <w:r w:rsidR="00021E2A">
        <w:rPr>
          <w:lang w:val="en-US"/>
        </w:rPr>
        <w:instrText>young</w:instrText>
      </w:r>
      <w:r w:rsidR="00021E2A" w:rsidRPr="00320416">
        <w:instrText xml:space="preserve"> </w:instrText>
      </w:r>
      <w:r w:rsidR="00021E2A">
        <w:rPr>
          <w:lang w:val="en-US"/>
        </w:rPr>
        <w:instrText>adults</w:instrText>
      </w:r>
      <w:r w:rsidR="00021E2A" w:rsidRPr="00320416">
        <w:instrText xml:space="preserve">. </w:instrText>
      </w:r>
      <w:r w:rsidR="00021E2A">
        <w:rPr>
          <w:lang w:val="en-US"/>
        </w:rPr>
        <w:instrText>In</w:instrText>
      </w:r>
      <w:r w:rsidR="00021E2A" w:rsidRPr="00320416">
        <w:instrText xml:space="preserve"> </w:instrText>
      </w:r>
      <w:r w:rsidR="00021E2A">
        <w:rPr>
          <w:lang w:val="en-US"/>
        </w:rPr>
        <w:instrText>middle</w:instrText>
      </w:r>
      <w:r w:rsidR="00021E2A" w:rsidRPr="00320416">
        <w:instrText>-</w:instrText>
      </w:r>
      <w:r w:rsidR="00021E2A">
        <w:rPr>
          <w:lang w:val="en-US"/>
        </w:rPr>
        <w:instrText>aged</w:instrText>
      </w:r>
      <w:r w:rsidR="00021E2A" w:rsidRPr="00320416">
        <w:instrText xml:space="preserve"> </w:instrText>
      </w:r>
      <w:r w:rsidR="00021E2A">
        <w:rPr>
          <w:lang w:val="en-US"/>
        </w:rPr>
        <w:instrText>and</w:instrText>
      </w:r>
      <w:r w:rsidR="00021E2A" w:rsidRPr="00320416">
        <w:instrText xml:space="preserve"> </w:instrText>
      </w:r>
      <w:r w:rsidR="00021E2A">
        <w:rPr>
          <w:lang w:val="en-US"/>
        </w:rPr>
        <w:instrText>older</w:instrText>
      </w:r>
      <w:r w:rsidR="00021E2A" w:rsidRPr="00320416">
        <w:instrText xml:space="preserve"> </w:instrText>
      </w:r>
      <w:r w:rsidR="00021E2A">
        <w:rPr>
          <w:lang w:val="en-US"/>
        </w:rPr>
        <w:instrText>adults</w:instrText>
      </w:r>
      <w:r w:rsidR="00021E2A" w:rsidRPr="00320416">
        <w:instrText xml:space="preserve">, </w:instrText>
      </w:r>
      <w:r w:rsidR="00021E2A">
        <w:rPr>
          <w:lang w:val="en-US"/>
        </w:rPr>
        <w:instrText>however</w:instrText>
      </w:r>
      <w:r w:rsidR="00021E2A" w:rsidRPr="00320416">
        <w:instrText xml:space="preserve">, </w:instrText>
      </w:r>
      <w:r w:rsidR="00021E2A">
        <w:rPr>
          <w:lang w:val="en-US"/>
        </w:rPr>
        <w:instrText>administering</w:instrText>
      </w:r>
      <w:r w:rsidR="00021E2A" w:rsidRPr="00320416">
        <w:instrText xml:space="preserve"> </w:instrText>
      </w:r>
      <w:r w:rsidR="00021E2A">
        <w:rPr>
          <w:lang w:val="en-US"/>
        </w:rPr>
        <w:instrText>curative</w:instrText>
      </w:r>
      <w:r w:rsidR="00021E2A" w:rsidRPr="00320416">
        <w:instrText xml:space="preserve"> </w:instrText>
      </w:r>
      <w:r w:rsidR="00021E2A">
        <w:rPr>
          <w:lang w:val="en-US"/>
        </w:rPr>
        <w:instrText>therapy</w:instrText>
      </w:r>
      <w:r w:rsidR="00021E2A" w:rsidRPr="00320416">
        <w:instrText xml:space="preserve"> </w:instrText>
      </w:r>
      <w:r w:rsidR="00021E2A">
        <w:rPr>
          <w:lang w:val="en-US"/>
        </w:rPr>
        <w:instrText>may</w:instrText>
      </w:r>
      <w:r w:rsidR="00021E2A" w:rsidRPr="00320416">
        <w:instrText xml:space="preserve"> </w:instrText>
      </w:r>
      <w:r w:rsidR="00021E2A">
        <w:rPr>
          <w:lang w:val="en-US"/>
        </w:rPr>
        <w:instrText>be</w:instrText>
      </w:r>
      <w:r w:rsidR="00021E2A" w:rsidRPr="00320416">
        <w:instrText xml:space="preserve"> </w:instrText>
      </w:r>
      <w:r w:rsidR="00021E2A">
        <w:rPr>
          <w:lang w:val="en-US"/>
        </w:rPr>
        <w:instrText>challenging</w:instrText>
      </w:r>
      <w:r w:rsidR="00021E2A" w:rsidRPr="00320416">
        <w:instrText xml:space="preserve"> </w:instrText>
      </w:r>
      <w:r w:rsidR="00021E2A">
        <w:rPr>
          <w:lang w:val="en-US"/>
        </w:rPr>
        <w:instrText>because</w:instrText>
      </w:r>
      <w:r w:rsidR="00021E2A" w:rsidRPr="00320416">
        <w:instrText xml:space="preserve"> </w:instrText>
      </w:r>
      <w:r w:rsidR="00021E2A">
        <w:rPr>
          <w:lang w:val="en-US"/>
        </w:rPr>
        <w:instrText>standard</w:instrText>
      </w:r>
      <w:r w:rsidR="00021E2A" w:rsidRPr="00320416">
        <w:instrText xml:space="preserve"> </w:instrText>
      </w:r>
      <w:r w:rsidR="00021E2A">
        <w:rPr>
          <w:lang w:val="en-US"/>
        </w:rPr>
        <w:instrText>Burkitt</w:instrText>
      </w:r>
      <w:r w:rsidR="00021E2A" w:rsidRPr="00320416">
        <w:instrText>'</w:instrText>
      </w:r>
      <w:r w:rsidR="00021E2A">
        <w:rPr>
          <w:lang w:val="en-US"/>
        </w:rPr>
        <w:instrText>s</w:instrText>
      </w:r>
      <w:r w:rsidR="00021E2A" w:rsidRPr="00320416">
        <w:instrText xml:space="preserve"> </w:instrText>
      </w:r>
      <w:r w:rsidR="00021E2A">
        <w:rPr>
          <w:lang w:val="en-US"/>
        </w:rPr>
        <w:instrText>lymphoma</w:instrText>
      </w:r>
      <w:r w:rsidR="00021E2A" w:rsidRPr="00320416">
        <w:instrText xml:space="preserve"> </w:instrText>
      </w:r>
      <w:r w:rsidR="00021E2A">
        <w:rPr>
          <w:lang w:val="en-US"/>
        </w:rPr>
        <w:instrText>platforms</w:instrText>
      </w:r>
      <w:r w:rsidR="00021E2A" w:rsidRPr="00320416">
        <w:instrText xml:space="preserve"> </w:instrText>
      </w:r>
      <w:r w:rsidR="00021E2A">
        <w:rPr>
          <w:lang w:val="en-US"/>
        </w:rPr>
        <w:instrText>are</w:instrText>
      </w:r>
      <w:r w:rsidR="00021E2A" w:rsidRPr="00320416">
        <w:instrText xml:space="preserve"> </w:instrText>
      </w:r>
      <w:r w:rsidR="00021E2A">
        <w:rPr>
          <w:lang w:val="en-US"/>
        </w:rPr>
        <w:instrText>associated</w:instrText>
      </w:r>
      <w:r w:rsidR="00021E2A" w:rsidRPr="00320416">
        <w:instrText xml:space="preserve"> </w:instrText>
      </w:r>
      <w:r w:rsidR="00021E2A">
        <w:rPr>
          <w:lang w:val="en-US"/>
        </w:rPr>
        <w:instrText>with</w:instrText>
      </w:r>
      <w:r w:rsidR="00021E2A" w:rsidRPr="00320416">
        <w:instrText xml:space="preserve"> </w:instrText>
      </w:r>
      <w:r w:rsidR="00021E2A">
        <w:rPr>
          <w:lang w:val="en-US"/>
        </w:rPr>
        <w:instrText>high</w:instrText>
      </w:r>
      <w:r w:rsidR="00021E2A" w:rsidRPr="00320416">
        <w:instrText xml:space="preserve"> </w:instrText>
      </w:r>
      <w:r w:rsidR="00021E2A">
        <w:rPr>
          <w:lang w:val="en-US"/>
        </w:rPr>
        <w:instrText>treatment</w:instrText>
      </w:r>
      <w:r w:rsidR="00021E2A" w:rsidRPr="00320416">
        <w:instrText>-</w:instrText>
      </w:r>
      <w:r w:rsidR="00021E2A">
        <w:rPr>
          <w:lang w:val="en-US"/>
        </w:rPr>
        <w:instrText>related</w:instrText>
      </w:r>
      <w:r w:rsidR="00021E2A" w:rsidRPr="00320416">
        <w:instrText xml:space="preserve"> </w:instrText>
      </w:r>
      <w:r w:rsidR="00021E2A">
        <w:rPr>
          <w:lang w:val="en-US"/>
        </w:rPr>
        <w:instrText>toxicity</w:instrText>
      </w:r>
      <w:r w:rsidR="00021E2A" w:rsidRPr="00320416">
        <w:instrText xml:space="preserve"> </w:instrText>
      </w:r>
      <w:r w:rsidR="00021E2A">
        <w:rPr>
          <w:lang w:val="en-US"/>
        </w:rPr>
        <w:instrText>in</w:instrText>
      </w:r>
      <w:r w:rsidR="00021E2A" w:rsidRPr="00320416">
        <w:instrText xml:space="preserve"> </w:instrText>
      </w:r>
      <w:r w:rsidR="00021E2A">
        <w:rPr>
          <w:lang w:val="en-US"/>
        </w:rPr>
        <w:instrText>these</w:instrText>
      </w:r>
      <w:r w:rsidR="00021E2A" w:rsidRPr="00320416">
        <w:instrText xml:space="preserve"> </w:instrText>
      </w:r>
      <w:r w:rsidR="00021E2A">
        <w:rPr>
          <w:lang w:val="en-US"/>
        </w:rPr>
        <w:instrText>age</w:instrText>
      </w:r>
      <w:r w:rsidR="00021E2A" w:rsidRPr="00320416">
        <w:instrText xml:space="preserve"> </w:instrText>
      </w:r>
      <w:r w:rsidR="00021E2A">
        <w:rPr>
          <w:lang w:val="en-US"/>
        </w:rPr>
        <w:instrText>groups</w:instrText>
      </w:r>
      <w:r w:rsidR="00021E2A" w:rsidRPr="00320416">
        <w:instrText xml:space="preserve">. </w:instrText>
      </w:r>
      <w:r w:rsidR="00021E2A">
        <w:rPr>
          <w:lang w:val="en-US"/>
        </w:rPr>
        <w:instrText>Because</w:instrText>
      </w:r>
      <w:r w:rsidR="00021E2A" w:rsidRPr="00320416">
        <w:instrText xml:space="preserve"> </w:instrText>
      </w:r>
      <w:r w:rsidR="00021E2A">
        <w:rPr>
          <w:lang w:val="en-US"/>
        </w:rPr>
        <w:instrText>of</w:instrText>
      </w:r>
      <w:r w:rsidR="00021E2A" w:rsidRPr="00320416">
        <w:instrText xml:space="preserve"> </w:instrText>
      </w:r>
      <w:r w:rsidR="00021E2A">
        <w:rPr>
          <w:lang w:val="en-US"/>
        </w:rPr>
        <w:instrText>its</w:instrText>
      </w:r>
      <w:r w:rsidR="00021E2A" w:rsidRPr="00320416">
        <w:instrText xml:space="preserve"> </w:instrText>
      </w:r>
      <w:r w:rsidR="00021E2A">
        <w:rPr>
          <w:lang w:val="en-US"/>
        </w:rPr>
        <w:instrText>high</w:instrText>
      </w:r>
      <w:r w:rsidR="00021E2A" w:rsidRPr="00320416">
        <w:instrText xml:space="preserve"> </w:instrText>
      </w:r>
      <w:r w:rsidR="00021E2A">
        <w:rPr>
          <w:lang w:val="en-US"/>
        </w:rPr>
        <w:instrText>curability</w:instrText>
      </w:r>
      <w:r w:rsidR="00021E2A" w:rsidRPr="00320416">
        <w:instrText xml:space="preserve">, </w:instrText>
      </w:r>
      <w:r w:rsidR="00021E2A">
        <w:rPr>
          <w:lang w:val="en-US"/>
        </w:rPr>
        <w:instrText>the</w:instrText>
      </w:r>
      <w:r w:rsidR="00021E2A" w:rsidRPr="00320416">
        <w:instrText xml:space="preserve"> </w:instrText>
      </w:r>
      <w:r w:rsidR="00021E2A">
        <w:rPr>
          <w:lang w:val="en-US"/>
        </w:rPr>
        <w:instrText>testing</w:instrText>
      </w:r>
      <w:r w:rsidR="00021E2A" w:rsidRPr="00320416">
        <w:instrText xml:space="preserve"> </w:instrText>
      </w:r>
      <w:r w:rsidR="00021E2A">
        <w:rPr>
          <w:lang w:val="en-US"/>
        </w:rPr>
        <w:instrText>of</w:instrText>
      </w:r>
      <w:r w:rsidR="00021E2A" w:rsidRPr="00320416">
        <w:instrText xml:space="preserve"> </w:instrText>
      </w:r>
      <w:r w:rsidR="00021E2A">
        <w:rPr>
          <w:lang w:val="en-US"/>
        </w:rPr>
        <w:instrText>alternative</w:instrText>
      </w:r>
      <w:r w:rsidR="00021E2A" w:rsidRPr="00320416">
        <w:instrText xml:space="preserve">, </w:instrText>
      </w:r>
      <w:r w:rsidR="00021E2A">
        <w:rPr>
          <w:lang w:val="en-US"/>
        </w:rPr>
        <w:instrText>less</w:instrText>
      </w:r>
      <w:r w:rsidR="00021E2A" w:rsidRPr="00320416">
        <w:instrText xml:space="preserve"> </w:instrText>
      </w:r>
      <w:r w:rsidR="00021E2A">
        <w:rPr>
          <w:lang w:val="en-US"/>
        </w:rPr>
        <w:instrText>toxic</w:instrText>
      </w:r>
      <w:r w:rsidR="00021E2A" w:rsidRPr="00320416">
        <w:instrText xml:space="preserve"> </w:instrText>
      </w:r>
      <w:r w:rsidR="00021E2A">
        <w:rPr>
          <w:lang w:val="en-US"/>
        </w:rPr>
        <w:instrText>approaches</w:instrText>
      </w:r>
      <w:r w:rsidR="00021E2A" w:rsidRPr="00320416">
        <w:instrText xml:space="preserve"> </w:instrText>
      </w:r>
      <w:r w:rsidR="00021E2A">
        <w:rPr>
          <w:lang w:val="en-US"/>
        </w:rPr>
        <w:instrText>in</w:instrText>
      </w:r>
      <w:r w:rsidR="00021E2A" w:rsidRPr="00320416">
        <w:instrText xml:space="preserve"> </w:instrText>
      </w:r>
      <w:r w:rsidR="00021E2A">
        <w:rPr>
          <w:lang w:val="en-US"/>
        </w:rPr>
        <w:instrText>Burkitt</w:instrText>
      </w:r>
      <w:r w:rsidR="00021E2A" w:rsidRPr="00320416">
        <w:instrText>'</w:instrText>
      </w:r>
      <w:r w:rsidR="00021E2A">
        <w:rPr>
          <w:lang w:val="en-US"/>
        </w:rPr>
        <w:instrText>s</w:instrText>
      </w:r>
      <w:r w:rsidR="00021E2A" w:rsidRPr="00320416">
        <w:instrText xml:space="preserve"> </w:instrText>
      </w:r>
      <w:r w:rsidR="00021E2A">
        <w:rPr>
          <w:lang w:val="en-US"/>
        </w:rPr>
        <w:instrText>lymphoma</w:instrText>
      </w:r>
      <w:r w:rsidR="00021E2A" w:rsidRPr="00320416">
        <w:instrText xml:space="preserve"> </w:instrText>
      </w:r>
      <w:r w:rsidR="00021E2A">
        <w:rPr>
          <w:lang w:val="en-US"/>
        </w:rPr>
        <w:instrText>has</w:instrText>
      </w:r>
      <w:r w:rsidR="00021E2A" w:rsidRPr="00320416">
        <w:instrText xml:space="preserve"> </w:instrText>
      </w:r>
      <w:r w:rsidR="00021E2A">
        <w:rPr>
          <w:lang w:val="en-US"/>
        </w:rPr>
        <w:instrText>been</w:instrText>
      </w:r>
      <w:r w:rsidR="00021E2A" w:rsidRPr="00320416">
        <w:instrText xml:space="preserve"> </w:instrText>
      </w:r>
      <w:r w:rsidR="00021E2A">
        <w:rPr>
          <w:lang w:val="en-US"/>
        </w:rPr>
        <w:instrText>challenging</w:instrText>
      </w:r>
      <w:r w:rsidR="00021E2A" w:rsidRPr="00320416">
        <w:instrText xml:space="preserve">. </w:instrText>
      </w:r>
      <w:r w:rsidR="00021E2A">
        <w:rPr>
          <w:lang w:val="en-US"/>
        </w:rPr>
        <w:instrText>Although</w:instrText>
      </w:r>
      <w:r w:rsidR="00021E2A" w:rsidRPr="00320416">
        <w:instrText xml:space="preserve"> </w:instrText>
      </w:r>
      <w:r w:rsidR="00021E2A">
        <w:rPr>
          <w:lang w:val="en-US"/>
        </w:rPr>
        <w:instrText>the</w:instrText>
      </w:r>
      <w:r w:rsidR="00021E2A" w:rsidRPr="00320416">
        <w:instrText xml:space="preserve"> </w:instrText>
      </w:r>
      <w:r w:rsidR="00021E2A">
        <w:rPr>
          <w:lang w:val="en-US"/>
        </w:rPr>
        <w:instrText>critical</w:instrText>
      </w:r>
      <w:r w:rsidR="00021E2A" w:rsidRPr="00320416">
        <w:instrText xml:space="preserve"> </w:instrText>
      </w:r>
      <w:r w:rsidR="00021E2A">
        <w:rPr>
          <w:lang w:val="en-US"/>
        </w:rPr>
        <w:instrText>role</w:instrText>
      </w:r>
      <w:r w:rsidR="00021E2A" w:rsidRPr="00320416">
        <w:instrText xml:space="preserve"> </w:instrText>
      </w:r>
      <w:r w:rsidR="00021E2A">
        <w:rPr>
          <w:lang w:val="en-US"/>
        </w:rPr>
        <w:instrText>of</w:instrText>
      </w:r>
      <w:r w:rsidR="00021E2A" w:rsidRPr="00320416">
        <w:instrText xml:space="preserve"> </w:instrText>
      </w:r>
      <w:r w:rsidR="00021E2A">
        <w:rPr>
          <w:lang w:val="en-US"/>
        </w:rPr>
        <w:instrText>MYC</w:instrText>
      </w:r>
      <w:r w:rsidR="00021E2A" w:rsidRPr="00320416">
        <w:instrText xml:space="preserve"> </w:instrText>
      </w:r>
      <w:r w:rsidR="00021E2A">
        <w:rPr>
          <w:lang w:val="en-US"/>
        </w:rPr>
        <w:instrText>in</w:instrText>
      </w:r>
      <w:r w:rsidR="00021E2A" w:rsidRPr="00320416">
        <w:instrText xml:space="preserve"> </w:instrText>
      </w:r>
      <w:r w:rsidR="00021E2A">
        <w:rPr>
          <w:lang w:val="en-US"/>
        </w:rPr>
        <w:instrText>Burkitt</w:instrText>
      </w:r>
      <w:r w:rsidR="00021E2A" w:rsidRPr="00320416">
        <w:instrText>'</w:instrText>
      </w:r>
      <w:r w:rsidR="00021E2A">
        <w:rPr>
          <w:lang w:val="en-US"/>
        </w:rPr>
        <w:instrText>s</w:instrText>
      </w:r>
      <w:r w:rsidR="00021E2A" w:rsidRPr="00320416">
        <w:instrText xml:space="preserve"> </w:instrText>
      </w:r>
      <w:r w:rsidR="00021E2A">
        <w:rPr>
          <w:lang w:val="en-US"/>
        </w:rPr>
        <w:instrText>lymphoma</w:instrText>
      </w:r>
      <w:r w:rsidR="00021E2A" w:rsidRPr="00320416">
        <w:instrText xml:space="preserve"> </w:instrText>
      </w:r>
      <w:r w:rsidR="00021E2A">
        <w:rPr>
          <w:lang w:val="en-US"/>
        </w:rPr>
        <w:instrText>has</w:instrText>
      </w:r>
      <w:r w:rsidR="00021E2A" w:rsidRPr="00320416">
        <w:instrText xml:space="preserve"> </w:instrText>
      </w:r>
      <w:r w:rsidR="00021E2A">
        <w:rPr>
          <w:lang w:val="en-US"/>
        </w:rPr>
        <w:instrText>been</w:instrText>
      </w:r>
      <w:r w:rsidR="00021E2A" w:rsidRPr="00320416">
        <w:instrText xml:space="preserve"> </w:instrText>
      </w:r>
      <w:r w:rsidR="00021E2A">
        <w:rPr>
          <w:lang w:val="en-US"/>
        </w:rPr>
        <w:instrText>well</w:instrText>
      </w:r>
      <w:r w:rsidR="00021E2A" w:rsidRPr="00320416">
        <w:instrText xml:space="preserve"> </w:instrText>
      </w:r>
      <w:r w:rsidR="00021E2A">
        <w:rPr>
          <w:lang w:val="en-US"/>
        </w:rPr>
        <w:instrText>described</w:instrText>
      </w:r>
      <w:r w:rsidR="00021E2A" w:rsidRPr="00320416">
        <w:instrText xml:space="preserve">, </w:instrText>
      </w:r>
      <w:r w:rsidR="00021E2A">
        <w:rPr>
          <w:lang w:val="en-US"/>
        </w:rPr>
        <w:instrText>recent</w:instrText>
      </w:r>
      <w:r w:rsidR="00021E2A" w:rsidRPr="00320416">
        <w:instrText xml:space="preserve"> </w:instrText>
      </w:r>
      <w:r w:rsidR="00021E2A">
        <w:rPr>
          <w:lang w:val="en-US"/>
        </w:rPr>
        <w:instrText>biologic</w:instrText>
      </w:r>
      <w:r w:rsidR="00021E2A" w:rsidRPr="00320416">
        <w:instrText xml:space="preserve"> </w:instrText>
      </w:r>
      <w:r w:rsidR="00021E2A">
        <w:rPr>
          <w:lang w:val="en-US"/>
        </w:rPr>
        <w:instrText>insights</w:instrText>
      </w:r>
      <w:r w:rsidR="00021E2A" w:rsidRPr="00320416">
        <w:instrText xml:space="preserve"> </w:instrText>
      </w:r>
      <w:r w:rsidR="00021E2A">
        <w:rPr>
          <w:lang w:val="en-US"/>
        </w:rPr>
        <w:instrText>have</w:instrText>
      </w:r>
      <w:r w:rsidR="00021E2A" w:rsidRPr="00320416">
        <w:instrText xml:space="preserve"> </w:instrText>
      </w:r>
      <w:r w:rsidR="00021E2A">
        <w:rPr>
          <w:lang w:val="en-US"/>
        </w:rPr>
        <w:instrText>identified</w:instrText>
      </w:r>
      <w:r w:rsidR="00021E2A" w:rsidRPr="00320416">
        <w:instrText xml:space="preserve"> </w:instrText>
      </w:r>
      <w:r w:rsidR="00021E2A">
        <w:rPr>
          <w:lang w:val="en-US"/>
        </w:rPr>
        <w:instrText>several</w:instrText>
      </w:r>
      <w:r w:rsidR="00021E2A" w:rsidRPr="00320416">
        <w:instrText xml:space="preserve"> </w:instrText>
      </w:r>
      <w:r w:rsidR="00021E2A">
        <w:rPr>
          <w:lang w:val="en-US"/>
        </w:rPr>
        <w:instrText>new</w:instrText>
      </w:r>
      <w:r w:rsidR="00021E2A" w:rsidRPr="00320416">
        <w:instrText xml:space="preserve"> </w:instrText>
      </w:r>
      <w:r w:rsidR="00021E2A">
        <w:rPr>
          <w:lang w:val="en-US"/>
        </w:rPr>
        <w:instrText>mutations</w:instrText>
      </w:r>
      <w:r w:rsidR="00021E2A" w:rsidRPr="00320416">
        <w:instrText xml:space="preserve"> </w:instrText>
      </w:r>
      <w:r w:rsidR="00021E2A">
        <w:rPr>
          <w:lang w:val="en-US"/>
        </w:rPr>
        <w:instrText>that</w:instrText>
      </w:r>
      <w:r w:rsidR="00021E2A" w:rsidRPr="00320416">
        <w:instrText xml:space="preserve"> </w:instrText>
      </w:r>
      <w:r w:rsidR="00021E2A">
        <w:rPr>
          <w:lang w:val="en-US"/>
        </w:rPr>
        <w:instrText>cooperate</w:instrText>
      </w:r>
      <w:r w:rsidR="00021E2A" w:rsidRPr="00320416">
        <w:instrText xml:space="preserve"> </w:instrText>
      </w:r>
      <w:r w:rsidR="00021E2A">
        <w:rPr>
          <w:lang w:val="en-US"/>
        </w:rPr>
        <w:instrText>with</w:instrText>
      </w:r>
      <w:r w:rsidR="00021E2A" w:rsidRPr="00320416">
        <w:instrText xml:space="preserve"> </w:instrText>
      </w:r>
      <w:r w:rsidR="00021E2A">
        <w:rPr>
          <w:lang w:val="en-US"/>
        </w:rPr>
        <w:instrText>MYC</w:instrText>
      </w:r>
      <w:r w:rsidR="00021E2A" w:rsidRPr="00320416">
        <w:instrText xml:space="preserve"> </w:instrText>
      </w:r>
      <w:r w:rsidR="00021E2A">
        <w:rPr>
          <w:lang w:val="en-US"/>
        </w:rPr>
        <w:instrText>in</w:instrText>
      </w:r>
      <w:r w:rsidR="00021E2A" w:rsidRPr="00320416">
        <w:instrText xml:space="preserve"> </w:instrText>
      </w:r>
      <w:r w:rsidR="00021E2A">
        <w:rPr>
          <w:lang w:val="en-US"/>
        </w:rPr>
        <w:instrText>driving</w:instrText>
      </w:r>
      <w:r w:rsidR="00021E2A" w:rsidRPr="00320416">
        <w:instrText xml:space="preserve"> </w:instrText>
      </w:r>
      <w:r w:rsidR="00021E2A">
        <w:rPr>
          <w:lang w:val="en-US"/>
        </w:rPr>
        <w:instrText>lymphomagenesis</w:instrText>
      </w:r>
      <w:r w:rsidR="00021E2A" w:rsidRPr="00320416">
        <w:instrText xml:space="preserve">, </w:instrText>
      </w:r>
      <w:r w:rsidR="00021E2A">
        <w:rPr>
          <w:lang w:val="en-US"/>
        </w:rPr>
        <w:instrText>paving</w:instrText>
      </w:r>
      <w:r w:rsidR="00021E2A" w:rsidRPr="00320416">
        <w:instrText xml:space="preserve"> </w:instrText>
      </w:r>
      <w:r w:rsidR="00021E2A">
        <w:rPr>
          <w:lang w:val="en-US"/>
        </w:rPr>
        <w:instrText>the</w:instrText>
      </w:r>
      <w:r w:rsidR="00021E2A" w:rsidRPr="00320416">
        <w:instrText xml:space="preserve"> </w:instrText>
      </w:r>
      <w:r w:rsidR="00021E2A">
        <w:rPr>
          <w:lang w:val="en-US"/>
        </w:rPr>
        <w:instrText>way</w:instrText>
      </w:r>
      <w:r w:rsidR="00021E2A" w:rsidRPr="00320416">
        <w:instrText xml:space="preserve"> </w:instrText>
      </w:r>
      <w:r w:rsidR="00021E2A">
        <w:rPr>
          <w:lang w:val="en-US"/>
        </w:rPr>
        <w:instrText>for</w:instrText>
      </w:r>
      <w:r w:rsidR="00021E2A" w:rsidRPr="00320416">
        <w:instrText xml:space="preserve"> </w:instrText>
      </w:r>
      <w:r w:rsidR="00021E2A">
        <w:rPr>
          <w:lang w:val="en-US"/>
        </w:rPr>
        <w:instrText>novel</w:instrText>
      </w:r>
      <w:r w:rsidR="00021E2A" w:rsidRPr="00320416">
        <w:instrText xml:space="preserve"> </w:instrText>
      </w:r>
      <w:r w:rsidR="00021E2A">
        <w:rPr>
          <w:lang w:val="en-US"/>
        </w:rPr>
        <w:instrText>drug</w:instrText>
      </w:r>
      <w:r w:rsidR="00021E2A" w:rsidRPr="00320416">
        <w:instrText xml:space="preserve"> </w:instrText>
      </w:r>
      <w:r w:rsidR="00021E2A">
        <w:rPr>
          <w:lang w:val="en-US"/>
        </w:rPr>
        <w:instrText>testing</w:instrText>
      </w:r>
      <w:r w:rsidR="00021E2A" w:rsidRPr="00320416">
        <w:instrText xml:space="preserve"> </w:instrText>
      </w:r>
      <w:r w:rsidR="00021E2A">
        <w:rPr>
          <w:lang w:val="en-US"/>
        </w:rPr>
        <w:instrText>in</w:instrText>
      </w:r>
      <w:r w:rsidR="00021E2A" w:rsidRPr="00320416">
        <w:instrText xml:space="preserve"> </w:instrText>
      </w:r>
      <w:r w:rsidR="00021E2A">
        <w:rPr>
          <w:lang w:val="en-US"/>
        </w:rPr>
        <w:instrText>this</w:instrText>
      </w:r>
      <w:r w:rsidR="00021E2A" w:rsidRPr="00320416">
        <w:instrText xml:space="preserve"> </w:instrText>
      </w:r>
      <w:r w:rsidR="00021E2A">
        <w:rPr>
          <w:lang w:val="en-US"/>
        </w:rPr>
        <w:instrText>disease</w:instrText>
      </w:r>
      <w:r w:rsidR="00021E2A" w:rsidRPr="00320416">
        <w:instrText xml:space="preserve">. </w:instrText>
      </w:r>
      <w:r w:rsidR="00021E2A">
        <w:rPr>
          <w:lang w:val="en-US"/>
        </w:rPr>
        <w:instrText>Recently</w:instrText>
      </w:r>
      <w:r w:rsidR="00021E2A" w:rsidRPr="00320416">
        <w:instrText xml:space="preserve">, </w:instrText>
      </w:r>
      <w:r w:rsidR="00021E2A">
        <w:rPr>
          <w:lang w:val="en-US"/>
        </w:rPr>
        <w:instrText>intermediate</w:instrText>
      </w:r>
      <w:r w:rsidR="00021E2A" w:rsidRPr="00320416">
        <w:instrText>-</w:instrText>
      </w:r>
      <w:r w:rsidR="00021E2A">
        <w:rPr>
          <w:lang w:val="en-US"/>
        </w:rPr>
        <w:instrText>intensity</w:instrText>
      </w:r>
      <w:r w:rsidR="00021E2A" w:rsidRPr="00320416">
        <w:instrText xml:space="preserve"> </w:instrText>
      </w:r>
      <w:r w:rsidR="00021E2A">
        <w:rPr>
          <w:lang w:val="en-US"/>
        </w:rPr>
        <w:instrText>approaches</w:instrText>
      </w:r>
      <w:r w:rsidR="00021E2A" w:rsidRPr="00320416">
        <w:instrText xml:space="preserve"> </w:instrText>
      </w:r>
      <w:r w:rsidR="00021E2A">
        <w:rPr>
          <w:lang w:val="en-US"/>
        </w:rPr>
        <w:instrText>have</w:instrText>
      </w:r>
      <w:r w:rsidR="00021E2A" w:rsidRPr="00320416">
        <w:instrText xml:space="preserve"> </w:instrText>
      </w:r>
      <w:r w:rsidR="00021E2A">
        <w:rPr>
          <w:lang w:val="en-US"/>
        </w:rPr>
        <w:instrText>been</w:instrText>
      </w:r>
      <w:r w:rsidR="00021E2A" w:rsidRPr="00320416">
        <w:instrText xml:space="preserve"> </w:instrText>
      </w:r>
      <w:r w:rsidR="00021E2A">
        <w:rPr>
          <w:lang w:val="en-US"/>
        </w:rPr>
        <w:instrText>tested</w:instrText>
      </w:r>
      <w:r w:rsidR="00021E2A" w:rsidRPr="00320416">
        <w:instrText xml:space="preserve"> </w:instrText>
      </w:r>
      <w:r w:rsidR="00021E2A">
        <w:rPr>
          <w:lang w:val="en-US"/>
        </w:rPr>
        <w:instrText>in</w:instrText>
      </w:r>
      <w:r w:rsidR="00021E2A" w:rsidRPr="00320416">
        <w:instrText xml:space="preserve"> </w:instrText>
      </w:r>
      <w:r w:rsidR="00021E2A">
        <w:rPr>
          <w:lang w:val="en-US"/>
        </w:rPr>
        <w:instrText>Burkitt</w:instrText>
      </w:r>
      <w:r w:rsidR="00021E2A" w:rsidRPr="00320416">
        <w:instrText>'</w:instrText>
      </w:r>
      <w:r w:rsidR="00021E2A">
        <w:rPr>
          <w:lang w:val="en-US"/>
        </w:rPr>
        <w:instrText>s</w:instrText>
      </w:r>
      <w:r w:rsidR="00021E2A" w:rsidRPr="00320416">
        <w:instrText xml:space="preserve"> </w:instrText>
      </w:r>
      <w:r w:rsidR="00021E2A">
        <w:rPr>
          <w:lang w:val="en-US"/>
        </w:rPr>
        <w:instrText>lymphoma</w:instrText>
      </w:r>
      <w:r w:rsidR="00021E2A" w:rsidRPr="00320416">
        <w:instrText xml:space="preserve">. </w:instrText>
      </w:r>
      <w:r w:rsidR="00021E2A">
        <w:rPr>
          <w:lang w:val="en-US"/>
        </w:rPr>
        <w:instrText>Early</w:instrText>
      </w:r>
      <w:r w:rsidR="00021E2A" w:rsidRPr="00320416">
        <w:instrText xml:space="preserve"> </w:instrText>
      </w:r>
      <w:r w:rsidR="00021E2A">
        <w:rPr>
          <w:lang w:val="en-US"/>
        </w:rPr>
        <w:instrText>multicenter</w:instrText>
      </w:r>
      <w:r w:rsidR="00021E2A" w:rsidRPr="00320416">
        <w:instrText xml:space="preserve"> </w:instrText>
      </w:r>
      <w:r w:rsidR="00021E2A">
        <w:rPr>
          <w:lang w:val="en-US"/>
        </w:rPr>
        <w:instrText>results</w:instrText>
      </w:r>
      <w:r w:rsidR="00021E2A" w:rsidRPr="00320416">
        <w:instrText xml:space="preserve"> </w:instrText>
      </w:r>
      <w:r w:rsidR="00021E2A">
        <w:rPr>
          <w:lang w:val="en-US"/>
        </w:rPr>
        <w:instrText>demonstrate</w:instrText>
      </w:r>
      <w:r w:rsidR="00021E2A" w:rsidRPr="00320416">
        <w:instrText xml:space="preserve"> </w:instrText>
      </w:r>
      <w:r w:rsidR="00021E2A">
        <w:rPr>
          <w:lang w:val="en-US"/>
        </w:rPr>
        <w:instrText>good</w:instrText>
      </w:r>
      <w:r w:rsidR="00021E2A" w:rsidRPr="00320416">
        <w:instrText xml:space="preserve"> </w:instrText>
      </w:r>
      <w:r w:rsidR="00021E2A">
        <w:rPr>
          <w:lang w:val="en-US"/>
        </w:rPr>
        <w:instrText>tolerability</w:instrText>
      </w:r>
      <w:r w:rsidR="00021E2A" w:rsidRPr="00320416">
        <w:instrText xml:space="preserve"> </w:instrText>
      </w:r>
      <w:r w:rsidR="00021E2A">
        <w:rPr>
          <w:lang w:val="en-US"/>
        </w:rPr>
        <w:instrText>while</w:instrText>
      </w:r>
      <w:r w:rsidR="00021E2A" w:rsidRPr="00320416">
        <w:instrText xml:space="preserve"> </w:instrText>
      </w:r>
      <w:r w:rsidR="00021E2A">
        <w:rPr>
          <w:lang w:val="en-US"/>
        </w:rPr>
        <w:instrText>maintaining</w:instrText>
      </w:r>
      <w:r w:rsidR="00021E2A" w:rsidRPr="00320416">
        <w:instrText xml:space="preserve"> </w:instrText>
      </w:r>
      <w:r w:rsidR="00021E2A">
        <w:rPr>
          <w:lang w:val="en-US"/>
        </w:rPr>
        <w:instrText>high</w:instrText>
      </w:r>
      <w:r w:rsidR="00021E2A" w:rsidRPr="00320416">
        <w:instrText xml:space="preserve"> </w:instrText>
      </w:r>
      <w:r w:rsidR="00021E2A">
        <w:rPr>
          <w:lang w:val="en-US"/>
        </w:rPr>
        <w:instrText>cure</w:instrText>
      </w:r>
      <w:r w:rsidR="00021E2A" w:rsidRPr="00320416">
        <w:instrText xml:space="preserve"> </w:instrText>
      </w:r>
      <w:r w:rsidR="00021E2A">
        <w:rPr>
          <w:lang w:val="en-US"/>
        </w:rPr>
        <w:instrText>rates</w:instrText>
      </w:r>
      <w:r w:rsidR="00021E2A" w:rsidRPr="00320416">
        <w:instrText xml:space="preserve"> </w:instrText>
      </w:r>
      <w:r w:rsidR="00021E2A">
        <w:rPr>
          <w:lang w:val="en-US"/>
        </w:rPr>
        <w:instrText>in</w:instrText>
      </w:r>
      <w:r w:rsidR="00021E2A" w:rsidRPr="00320416">
        <w:instrText xml:space="preserve"> </w:instrText>
      </w:r>
      <w:r w:rsidR="00021E2A">
        <w:rPr>
          <w:lang w:val="en-US"/>
        </w:rPr>
        <w:instrText>all</w:instrText>
      </w:r>
      <w:r w:rsidR="00021E2A" w:rsidRPr="00320416">
        <w:instrText xml:space="preserve"> </w:instrText>
      </w:r>
      <w:r w:rsidR="00021E2A">
        <w:rPr>
          <w:lang w:val="en-US"/>
        </w:rPr>
        <w:instrText>patient</w:instrText>
      </w:r>
      <w:r w:rsidR="00021E2A" w:rsidRPr="00320416">
        <w:instrText xml:space="preserve"> </w:instrText>
      </w:r>
      <w:r w:rsidR="00021E2A">
        <w:rPr>
          <w:lang w:val="en-US"/>
        </w:rPr>
        <w:instrText>and</w:instrText>
      </w:r>
      <w:r w:rsidR="00021E2A" w:rsidRPr="00320416">
        <w:instrText xml:space="preserve"> </w:instrText>
      </w:r>
      <w:r w:rsidR="00021E2A">
        <w:rPr>
          <w:lang w:val="en-US"/>
        </w:rPr>
        <w:instrText>age</w:instrText>
      </w:r>
      <w:r w:rsidR="00021E2A" w:rsidRPr="00320416">
        <w:instrText xml:space="preserve"> </w:instrText>
      </w:r>
      <w:r w:rsidR="00021E2A">
        <w:rPr>
          <w:lang w:val="en-US"/>
        </w:rPr>
        <w:instrText>groups</w:instrText>
      </w:r>
      <w:r w:rsidR="00021E2A" w:rsidRPr="00320416">
        <w:instrText>.","</w:instrText>
      </w:r>
      <w:r w:rsidR="00021E2A">
        <w:rPr>
          <w:lang w:val="en-US"/>
        </w:rPr>
        <w:instrText>author</w:instrText>
      </w:r>
      <w:r w:rsidR="00021E2A" w:rsidRPr="00320416">
        <w:instrText>":[{"</w:instrText>
      </w:r>
      <w:r w:rsidR="00021E2A">
        <w:rPr>
          <w:lang w:val="en-US"/>
        </w:rPr>
        <w:instrText>dropping</w:instrText>
      </w:r>
      <w:r w:rsidR="00021E2A" w:rsidRPr="00320416">
        <w:instrText>-</w:instrText>
      </w:r>
      <w:r w:rsidR="00021E2A">
        <w:rPr>
          <w:lang w:val="en-US"/>
        </w:rPr>
        <w:instrText>particle</w:instrText>
      </w:r>
      <w:r w:rsidR="00021E2A" w:rsidRPr="00320416">
        <w:instrText>":"","</w:instrText>
      </w:r>
      <w:r w:rsidR="00021E2A">
        <w:rPr>
          <w:lang w:val="en-US"/>
        </w:rPr>
        <w:instrText>family</w:instrText>
      </w:r>
      <w:r w:rsidR="00021E2A" w:rsidRPr="00320416">
        <w:instrText>":"</w:instrText>
      </w:r>
      <w:r w:rsidR="00021E2A">
        <w:rPr>
          <w:lang w:val="en-US"/>
        </w:rPr>
        <w:instrText>Dunleavy</w:instrText>
      </w:r>
      <w:r w:rsidR="00021E2A" w:rsidRPr="00320416">
        <w:instrText>","</w:instrText>
      </w:r>
      <w:r w:rsidR="00021E2A">
        <w:rPr>
          <w:lang w:val="en-US"/>
        </w:rPr>
        <w:instrText>given</w:instrText>
      </w:r>
      <w:r w:rsidR="00021E2A" w:rsidRPr="00320416">
        <w:instrText>":"</w:instrText>
      </w:r>
      <w:r w:rsidR="00021E2A">
        <w:rPr>
          <w:lang w:val="en-US"/>
        </w:rPr>
        <w:instrText>Kieron</w:instrText>
      </w:r>
      <w:r w:rsidR="00021E2A" w:rsidRPr="00320416">
        <w:instrText>","</w:instrText>
      </w:r>
      <w:r w:rsidR="00021E2A">
        <w:rPr>
          <w:lang w:val="en-US"/>
        </w:rPr>
        <w:instrText>non</w:instrText>
      </w:r>
      <w:r w:rsidR="00021E2A" w:rsidRPr="00320416">
        <w:instrText>-</w:instrText>
      </w:r>
      <w:r w:rsidR="00021E2A">
        <w:rPr>
          <w:lang w:val="en-US"/>
        </w:rPr>
        <w:instrText>dropping</w:instrText>
      </w:r>
      <w:r w:rsidR="00021E2A" w:rsidRPr="00320416">
        <w:instrText>-</w:instrText>
      </w:r>
      <w:r w:rsidR="00021E2A">
        <w:rPr>
          <w:lang w:val="en-US"/>
        </w:rPr>
        <w:instrText>particle</w:instrText>
      </w:r>
      <w:r w:rsidR="00021E2A" w:rsidRPr="00320416">
        <w:instrText>":"","</w:instrText>
      </w:r>
      <w:r w:rsidR="00021E2A">
        <w:rPr>
          <w:lang w:val="en-US"/>
        </w:rPr>
        <w:instrText>parse</w:instrText>
      </w:r>
      <w:r w:rsidR="00021E2A" w:rsidRPr="00320416">
        <w:instrText>-</w:instrText>
      </w:r>
      <w:r w:rsidR="00021E2A">
        <w:rPr>
          <w:lang w:val="en-US"/>
        </w:rPr>
        <w:instrText>names</w:instrText>
      </w:r>
      <w:r w:rsidR="00021E2A" w:rsidRPr="00320416">
        <w:instrText>":</w:instrText>
      </w:r>
      <w:r w:rsidR="00021E2A">
        <w:rPr>
          <w:lang w:val="en-US"/>
        </w:rPr>
        <w:instrText>false</w:instrText>
      </w:r>
      <w:r w:rsidR="00021E2A" w:rsidRPr="00320416">
        <w:instrText>,"</w:instrText>
      </w:r>
      <w:r w:rsidR="00021E2A">
        <w:rPr>
          <w:lang w:val="en-US"/>
        </w:rPr>
        <w:instrText>suffix</w:instrText>
      </w:r>
      <w:r w:rsidR="00021E2A" w:rsidRPr="00320416">
        <w:instrText>":""}],"</w:instrText>
      </w:r>
      <w:r w:rsidR="00021E2A">
        <w:rPr>
          <w:lang w:val="en-US"/>
        </w:rPr>
        <w:instrText>container</w:instrText>
      </w:r>
      <w:r w:rsidR="00021E2A" w:rsidRPr="00320416">
        <w:instrText>-</w:instrText>
      </w:r>
      <w:r w:rsidR="00021E2A">
        <w:rPr>
          <w:lang w:val="en-US"/>
        </w:rPr>
        <w:instrText>title</w:instrText>
      </w:r>
      <w:r w:rsidR="00021E2A" w:rsidRPr="00320416">
        <w:instrText>":"</w:instrText>
      </w:r>
      <w:r w:rsidR="00021E2A">
        <w:rPr>
          <w:lang w:val="en-US"/>
        </w:rPr>
        <w:instrText>Journal</w:instrText>
      </w:r>
      <w:r w:rsidR="00021E2A" w:rsidRPr="00320416">
        <w:instrText xml:space="preserve"> </w:instrText>
      </w:r>
      <w:r w:rsidR="00021E2A">
        <w:rPr>
          <w:lang w:val="en-US"/>
        </w:rPr>
        <w:instrText>of</w:instrText>
      </w:r>
      <w:r w:rsidR="00021E2A" w:rsidRPr="00320416">
        <w:instrText xml:space="preserve"> </w:instrText>
      </w:r>
      <w:r w:rsidR="00021E2A">
        <w:rPr>
          <w:lang w:val="en-US"/>
        </w:rPr>
        <w:instrText>Oncology</w:instrText>
      </w:r>
      <w:r w:rsidR="00021E2A" w:rsidRPr="00320416">
        <w:instrText xml:space="preserve"> </w:instrText>
      </w:r>
      <w:r w:rsidR="00021E2A">
        <w:rPr>
          <w:lang w:val="en-US"/>
        </w:rPr>
        <w:instrText>Practice</w:instrText>
      </w:r>
      <w:r w:rsidR="00021E2A" w:rsidRPr="00320416">
        <w:instrText>","</w:instrText>
      </w:r>
      <w:r w:rsidR="00021E2A">
        <w:rPr>
          <w:lang w:val="en-US"/>
        </w:rPr>
        <w:instrText>id</w:instrText>
      </w:r>
      <w:r w:rsidR="00021E2A" w:rsidRPr="00320416">
        <w:instrText>":"</w:instrText>
      </w:r>
      <w:r w:rsidR="00021E2A">
        <w:rPr>
          <w:lang w:val="en-US"/>
        </w:rPr>
        <w:instrText>ITEM</w:instrText>
      </w:r>
      <w:r w:rsidR="00021E2A" w:rsidRPr="00320416">
        <w:instrText>-1","</w:instrText>
      </w:r>
      <w:r w:rsidR="00021E2A">
        <w:rPr>
          <w:lang w:val="en-US"/>
        </w:rPr>
        <w:instrText>issue</w:instrText>
      </w:r>
      <w:r w:rsidR="00021E2A" w:rsidRPr="00320416">
        <w:instrText>":"11","</w:instrText>
      </w:r>
      <w:r w:rsidR="00021E2A">
        <w:rPr>
          <w:lang w:val="en-US"/>
        </w:rPr>
        <w:instrText>issued</w:instrText>
      </w:r>
      <w:r w:rsidR="00021E2A" w:rsidRPr="00320416">
        <w:instrText>":{"</w:instrText>
      </w:r>
      <w:r w:rsidR="00021E2A">
        <w:rPr>
          <w:lang w:val="en-US"/>
        </w:rPr>
        <w:instrText>date</w:instrText>
      </w:r>
      <w:r w:rsidR="00021E2A" w:rsidRPr="00320416">
        <w:instrText>-</w:instrText>
      </w:r>
      <w:r w:rsidR="00021E2A">
        <w:rPr>
          <w:lang w:val="en-US"/>
        </w:rPr>
        <w:instrText>parts</w:instrText>
      </w:r>
      <w:r w:rsidR="00021E2A" w:rsidRPr="00320416">
        <w:instrText>":[["2018","11"]]},"</w:instrText>
      </w:r>
      <w:r w:rsidR="00021E2A">
        <w:rPr>
          <w:lang w:val="en-US"/>
        </w:rPr>
        <w:instrText>page</w:instrText>
      </w:r>
      <w:r w:rsidR="00021E2A" w:rsidRPr="00320416">
        <w:instrText>":"665-671","</w:instrText>
      </w:r>
      <w:r w:rsidR="00021E2A">
        <w:rPr>
          <w:lang w:val="en-US"/>
        </w:rPr>
        <w:instrText>publisher</w:instrText>
      </w:r>
      <w:r w:rsidR="00021E2A" w:rsidRPr="00320416">
        <w:instrText>":"</w:instrText>
      </w:r>
      <w:r w:rsidR="00021E2A">
        <w:rPr>
          <w:lang w:val="en-US"/>
        </w:rPr>
        <w:instrText>American</w:instrText>
      </w:r>
      <w:r w:rsidR="00021E2A" w:rsidRPr="00320416">
        <w:instrText xml:space="preserve"> </w:instrText>
      </w:r>
      <w:r w:rsidR="00021E2A">
        <w:rPr>
          <w:lang w:val="en-US"/>
        </w:rPr>
        <w:instrText>Society</w:instrText>
      </w:r>
      <w:r w:rsidR="00021E2A" w:rsidRPr="00320416">
        <w:instrText xml:space="preserve"> </w:instrText>
      </w:r>
      <w:r w:rsidR="00021E2A">
        <w:rPr>
          <w:lang w:val="en-US"/>
        </w:rPr>
        <w:instrText>of</w:instrText>
      </w:r>
      <w:r w:rsidR="00021E2A" w:rsidRPr="00320416">
        <w:instrText xml:space="preserve"> </w:instrText>
      </w:r>
      <w:r w:rsidR="00021E2A">
        <w:rPr>
          <w:lang w:val="en-US"/>
        </w:rPr>
        <w:instrText>Clinical</w:instrText>
      </w:r>
      <w:r w:rsidR="00021E2A" w:rsidRPr="00320416">
        <w:instrText xml:space="preserve"> </w:instrText>
      </w:r>
      <w:r w:rsidR="00021E2A">
        <w:rPr>
          <w:lang w:val="en-US"/>
        </w:rPr>
        <w:instrText>Oncology</w:instrText>
      </w:r>
      <w:r w:rsidR="00021E2A" w:rsidRPr="00320416">
        <w:instrText xml:space="preserve"> (</w:instrText>
      </w:r>
      <w:r w:rsidR="00021E2A">
        <w:rPr>
          <w:lang w:val="en-US"/>
        </w:rPr>
        <w:instrText>ASCO</w:instrText>
      </w:r>
      <w:r w:rsidR="00021E2A" w:rsidRPr="00320416">
        <w:instrText>)","</w:instrText>
      </w:r>
      <w:r w:rsidR="00021E2A">
        <w:rPr>
          <w:lang w:val="en-US"/>
        </w:rPr>
        <w:instrText>title</w:instrText>
      </w:r>
      <w:r w:rsidR="00021E2A" w:rsidRPr="00320416">
        <w:instrText>":"</w:instrText>
      </w:r>
      <w:r w:rsidR="00021E2A">
        <w:rPr>
          <w:lang w:val="en-US"/>
        </w:rPr>
        <w:instrText>Approach</w:instrText>
      </w:r>
      <w:r w:rsidR="00021E2A" w:rsidRPr="00320416">
        <w:instrText xml:space="preserve"> </w:instrText>
      </w:r>
      <w:r w:rsidR="00021E2A">
        <w:rPr>
          <w:lang w:val="en-US"/>
        </w:rPr>
        <w:instrText>to</w:instrText>
      </w:r>
      <w:r w:rsidR="00021E2A" w:rsidRPr="00320416">
        <w:instrText xml:space="preserve"> </w:instrText>
      </w:r>
      <w:r w:rsidR="00021E2A">
        <w:rPr>
          <w:lang w:val="en-US"/>
        </w:rPr>
        <w:instrText>the</w:instrText>
      </w:r>
      <w:r w:rsidR="00021E2A" w:rsidRPr="00320416">
        <w:instrText xml:space="preserve"> </w:instrText>
      </w:r>
      <w:r w:rsidR="00021E2A">
        <w:rPr>
          <w:lang w:val="en-US"/>
        </w:rPr>
        <w:instrText>Diagnosis</w:instrText>
      </w:r>
      <w:r w:rsidR="00021E2A" w:rsidRPr="00320416">
        <w:instrText xml:space="preserve"> </w:instrText>
      </w:r>
      <w:r w:rsidR="00021E2A">
        <w:rPr>
          <w:lang w:val="en-US"/>
        </w:rPr>
        <w:instrText>and</w:instrText>
      </w:r>
      <w:r w:rsidR="00021E2A" w:rsidRPr="00320416">
        <w:instrText xml:space="preserve"> </w:instrText>
      </w:r>
      <w:r w:rsidR="00021E2A">
        <w:rPr>
          <w:lang w:val="en-US"/>
        </w:rPr>
        <w:instrText>Treatment</w:instrText>
      </w:r>
      <w:r w:rsidR="00021E2A" w:rsidRPr="00320416">
        <w:instrText xml:space="preserve"> </w:instrText>
      </w:r>
      <w:r w:rsidR="00021E2A">
        <w:rPr>
          <w:lang w:val="en-US"/>
        </w:rPr>
        <w:instrText>of</w:instrText>
      </w:r>
      <w:r w:rsidR="00021E2A" w:rsidRPr="00320416">
        <w:instrText xml:space="preserve"> </w:instrText>
      </w:r>
      <w:r w:rsidR="00021E2A">
        <w:rPr>
          <w:lang w:val="en-US"/>
        </w:rPr>
        <w:instrText>Adult</w:instrText>
      </w:r>
      <w:r w:rsidR="00021E2A" w:rsidRPr="00320416">
        <w:instrText xml:space="preserve"> </w:instrText>
      </w:r>
      <w:r w:rsidR="00021E2A">
        <w:rPr>
          <w:lang w:val="en-US"/>
        </w:rPr>
        <w:instrText>Burkitt</w:instrText>
      </w:r>
      <w:r w:rsidR="00021E2A" w:rsidRPr="00320416">
        <w:instrText>'</w:instrText>
      </w:r>
      <w:r w:rsidR="00021E2A">
        <w:rPr>
          <w:lang w:val="en-US"/>
        </w:rPr>
        <w:instrText>s</w:instrText>
      </w:r>
      <w:r w:rsidR="00021E2A" w:rsidRPr="00320416">
        <w:instrText xml:space="preserve"> </w:instrText>
      </w:r>
      <w:r w:rsidR="00021E2A">
        <w:rPr>
          <w:lang w:val="en-US"/>
        </w:rPr>
        <w:instrText>Lymphoma</w:instrText>
      </w:r>
      <w:r w:rsidR="00021E2A" w:rsidRPr="00320416">
        <w:instrText>","</w:instrText>
      </w:r>
      <w:r w:rsidR="00021E2A">
        <w:rPr>
          <w:lang w:val="en-US"/>
        </w:rPr>
        <w:instrText>type</w:instrText>
      </w:r>
      <w:r w:rsidR="00021E2A" w:rsidRPr="00320416">
        <w:instrText>":"</w:instrText>
      </w:r>
      <w:r w:rsidR="00021E2A">
        <w:rPr>
          <w:lang w:val="en-US"/>
        </w:rPr>
        <w:instrText>article</w:instrText>
      </w:r>
      <w:r w:rsidR="00021E2A" w:rsidRPr="00320416">
        <w:instrText>-</w:instrText>
      </w:r>
      <w:r w:rsidR="00021E2A">
        <w:rPr>
          <w:lang w:val="en-US"/>
        </w:rPr>
        <w:instrText>journal</w:instrText>
      </w:r>
      <w:r w:rsidR="00021E2A" w:rsidRPr="00320416">
        <w:instrText>","</w:instrText>
      </w:r>
      <w:r w:rsidR="00021E2A">
        <w:rPr>
          <w:lang w:val="en-US"/>
        </w:rPr>
        <w:instrText>volume</w:instrText>
      </w:r>
      <w:r w:rsidR="00021E2A" w:rsidRPr="00320416">
        <w:instrText>":"14"},"</w:instrText>
      </w:r>
      <w:r w:rsidR="00021E2A">
        <w:rPr>
          <w:lang w:val="en-US"/>
        </w:rPr>
        <w:instrText>uris</w:instrText>
      </w:r>
      <w:r w:rsidR="00021E2A" w:rsidRPr="00320416">
        <w:instrText>":["</w:instrText>
      </w:r>
      <w:r w:rsidR="00021E2A">
        <w:rPr>
          <w:lang w:val="en-US"/>
        </w:rPr>
        <w:instrText>http</w:instrText>
      </w:r>
      <w:r w:rsidR="00021E2A" w:rsidRPr="00320416">
        <w:instrText>://</w:instrText>
      </w:r>
      <w:r w:rsidR="00021E2A">
        <w:rPr>
          <w:lang w:val="en-US"/>
        </w:rPr>
        <w:instrText>www</w:instrText>
      </w:r>
      <w:r w:rsidR="00021E2A" w:rsidRPr="00320416">
        <w:instrText>.</w:instrText>
      </w:r>
      <w:r w:rsidR="00021E2A">
        <w:rPr>
          <w:lang w:val="en-US"/>
        </w:rPr>
        <w:instrText>mendeley</w:instrText>
      </w:r>
      <w:r w:rsidR="00021E2A" w:rsidRPr="00320416">
        <w:instrText>.</w:instrText>
      </w:r>
      <w:r w:rsidR="00021E2A">
        <w:rPr>
          <w:lang w:val="en-US"/>
        </w:rPr>
        <w:instrText>com</w:instrText>
      </w:r>
      <w:r w:rsidR="00021E2A" w:rsidRPr="00320416">
        <w:instrText>/</w:instrText>
      </w:r>
      <w:r w:rsidR="00021E2A">
        <w:rPr>
          <w:lang w:val="en-US"/>
        </w:rPr>
        <w:instrText>documents</w:instrText>
      </w:r>
      <w:r w:rsidR="00021E2A" w:rsidRPr="00320416">
        <w:instrText>/?</w:instrText>
      </w:r>
      <w:r w:rsidR="00021E2A">
        <w:rPr>
          <w:lang w:val="en-US"/>
        </w:rPr>
        <w:instrText>uuid</w:instrText>
      </w:r>
      <w:r w:rsidR="00021E2A" w:rsidRPr="00320416">
        <w:instrText>=7</w:instrText>
      </w:r>
      <w:r w:rsidR="00021E2A">
        <w:rPr>
          <w:lang w:val="en-US"/>
        </w:rPr>
        <w:instrText>abde</w:instrText>
      </w:r>
      <w:r w:rsidR="00021E2A" w:rsidRPr="00320416">
        <w:instrText>26</w:instrText>
      </w:r>
      <w:r w:rsidR="00021E2A">
        <w:rPr>
          <w:lang w:val="en-US"/>
        </w:rPr>
        <w:instrText>b</w:instrText>
      </w:r>
      <w:r w:rsidR="00021E2A" w:rsidRPr="00320416">
        <w:instrText>-</w:instrText>
      </w:r>
      <w:r w:rsidR="00021E2A">
        <w:rPr>
          <w:lang w:val="en-US"/>
        </w:rPr>
        <w:instrText>c</w:instrText>
      </w:r>
      <w:r w:rsidR="00021E2A" w:rsidRPr="00320416">
        <w:instrText>6</w:instrText>
      </w:r>
      <w:r w:rsidR="00021E2A">
        <w:rPr>
          <w:lang w:val="en-US"/>
        </w:rPr>
        <w:instrText>f</w:instrText>
      </w:r>
      <w:r w:rsidR="00021E2A" w:rsidRPr="00320416">
        <w:instrText>6-3</w:instrText>
      </w:r>
      <w:r w:rsidR="00021E2A">
        <w:rPr>
          <w:lang w:val="en-US"/>
        </w:rPr>
        <w:instrText>d</w:instrText>
      </w:r>
      <w:r w:rsidR="00021E2A" w:rsidRPr="00320416">
        <w:instrText>3</w:instrText>
      </w:r>
      <w:r w:rsidR="00021E2A">
        <w:rPr>
          <w:lang w:val="en-US"/>
        </w:rPr>
        <w:instrText>e</w:instrText>
      </w:r>
      <w:r w:rsidR="00021E2A" w:rsidRPr="00320416">
        <w:instrText>-</w:instrText>
      </w:r>
      <w:r w:rsidR="00021E2A">
        <w:rPr>
          <w:lang w:val="en-US"/>
        </w:rPr>
        <w:instrText>b</w:instrText>
      </w:r>
      <w:r w:rsidR="00021E2A" w:rsidRPr="00320416">
        <w:instrText>960-</w:instrText>
      </w:r>
      <w:r w:rsidR="00021E2A">
        <w:rPr>
          <w:lang w:val="en-US"/>
        </w:rPr>
        <w:instrText>b</w:instrText>
      </w:r>
      <w:r w:rsidR="00021E2A" w:rsidRPr="00320416">
        <w:instrText>44</w:instrText>
      </w:r>
      <w:r w:rsidR="00021E2A">
        <w:rPr>
          <w:lang w:val="en-US"/>
        </w:rPr>
        <w:instrText>bb</w:instrText>
      </w:r>
      <w:r w:rsidR="00021E2A" w:rsidRPr="00320416">
        <w:instrText>7413</w:instrText>
      </w:r>
      <w:r w:rsidR="00021E2A">
        <w:rPr>
          <w:lang w:val="en-US"/>
        </w:rPr>
        <w:instrText>a</w:instrText>
      </w:r>
      <w:r w:rsidR="00021E2A" w:rsidRPr="00320416">
        <w:instrText>36"]}],"</w:instrText>
      </w:r>
      <w:r w:rsidR="00021E2A">
        <w:rPr>
          <w:lang w:val="en-US"/>
        </w:rPr>
        <w:instrText>mendeley</w:instrText>
      </w:r>
      <w:r w:rsidR="00021E2A" w:rsidRPr="00320416">
        <w:instrText>":{"</w:instrText>
      </w:r>
      <w:r w:rsidR="00021E2A">
        <w:rPr>
          <w:lang w:val="en-US"/>
        </w:rPr>
        <w:instrText>formattedCitation</w:instrText>
      </w:r>
      <w:r w:rsidR="00021E2A" w:rsidRPr="00320416">
        <w:instrText>":"[109]","</w:instrText>
      </w:r>
      <w:r w:rsidR="00021E2A">
        <w:rPr>
          <w:lang w:val="en-US"/>
        </w:rPr>
        <w:instrText>plainTextFormattedCitation</w:instrText>
      </w:r>
      <w:r w:rsidR="00021E2A" w:rsidRPr="00320416">
        <w:instrText>":"[109]","</w:instrText>
      </w:r>
      <w:r w:rsidR="00021E2A">
        <w:rPr>
          <w:lang w:val="en-US"/>
        </w:rPr>
        <w:instrText>previouslyFormattedCitation</w:instrText>
      </w:r>
      <w:r w:rsidR="00021E2A" w:rsidRPr="00320416">
        <w:instrText>":"[109]"},"</w:instrText>
      </w:r>
      <w:r w:rsidR="00021E2A">
        <w:rPr>
          <w:lang w:val="en-US"/>
        </w:rPr>
        <w:instrText>properties</w:instrText>
      </w:r>
      <w:r w:rsidR="00021E2A" w:rsidRPr="00320416">
        <w:instrText>":{"</w:instrText>
      </w:r>
      <w:r w:rsidR="00021E2A">
        <w:rPr>
          <w:lang w:val="en-US"/>
        </w:rPr>
        <w:instrText>noteIndex</w:instrText>
      </w:r>
      <w:r w:rsidR="00021E2A" w:rsidRPr="00320416">
        <w:instrText>":0},"</w:instrText>
      </w:r>
      <w:r w:rsidR="00021E2A">
        <w:rPr>
          <w:lang w:val="en-US"/>
        </w:rPr>
        <w:instrText>schema</w:instrText>
      </w:r>
      <w:r w:rsidR="00021E2A" w:rsidRPr="00320416">
        <w:instrText>":"</w:instrText>
      </w:r>
      <w:r w:rsidR="00021E2A">
        <w:rPr>
          <w:lang w:val="en-US"/>
        </w:rPr>
        <w:instrText>https</w:instrText>
      </w:r>
      <w:r w:rsidR="00021E2A" w:rsidRPr="00320416">
        <w:instrText>://</w:instrText>
      </w:r>
      <w:r w:rsidR="00021E2A">
        <w:rPr>
          <w:lang w:val="en-US"/>
        </w:rPr>
        <w:instrText>github</w:instrText>
      </w:r>
      <w:r w:rsidR="00021E2A" w:rsidRPr="00320416">
        <w:instrText>.</w:instrText>
      </w:r>
      <w:r w:rsidR="00021E2A">
        <w:rPr>
          <w:lang w:val="en-US"/>
        </w:rPr>
        <w:instrText>com</w:instrText>
      </w:r>
      <w:r w:rsidR="00021E2A" w:rsidRPr="00320416">
        <w:instrText>/</w:instrText>
      </w:r>
      <w:r w:rsidR="00021E2A">
        <w:rPr>
          <w:lang w:val="en-US"/>
        </w:rPr>
        <w:instrText>citation</w:instrText>
      </w:r>
      <w:r w:rsidR="00021E2A" w:rsidRPr="00320416">
        <w:instrText>-</w:instrText>
      </w:r>
      <w:r w:rsidR="00021E2A">
        <w:rPr>
          <w:lang w:val="en-US"/>
        </w:rPr>
        <w:instrText>style</w:instrText>
      </w:r>
      <w:r w:rsidR="00021E2A" w:rsidRPr="00320416">
        <w:instrText>-</w:instrText>
      </w:r>
      <w:r w:rsidR="00021E2A">
        <w:rPr>
          <w:lang w:val="en-US"/>
        </w:rPr>
        <w:instrText>language</w:instrText>
      </w:r>
      <w:r w:rsidR="00021E2A" w:rsidRPr="00320416">
        <w:instrText>/</w:instrText>
      </w:r>
      <w:r w:rsidR="00021E2A">
        <w:rPr>
          <w:lang w:val="en-US"/>
        </w:rPr>
        <w:instrText>schema</w:instrText>
      </w:r>
      <w:r w:rsidR="00021E2A" w:rsidRPr="00320416">
        <w:instrText>/</w:instrText>
      </w:r>
      <w:r w:rsidR="00021E2A">
        <w:rPr>
          <w:lang w:val="en-US"/>
        </w:rPr>
        <w:instrText>raw</w:instrText>
      </w:r>
      <w:r w:rsidR="00021E2A" w:rsidRPr="00320416">
        <w:instrText>/</w:instrText>
      </w:r>
      <w:r w:rsidR="00021E2A">
        <w:rPr>
          <w:lang w:val="en-US"/>
        </w:rPr>
        <w:instrText>master</w:instrText>
      </w:r>
      <w:r w:rsidR="00021E2A" w:rsidRPr="00320416">
        <w:instrText>/</w:instrText>
      </w:r>
      <w:r w:rsidR="00021E2A">
        <w:rPr>
          <w:lang w:val="en-US"/>
        </w:rPr>
        <w:instrText>csl</w:instrText>
      </w:r>
      <w:r w:rsidR="00021E2A" w:rsidRPr="00320416">
        <w:instrText>-</w:instrText>
      </w:r>
      <w:r w:rsidR="00021E2A">
        <w:rPr>
          <w:lang w:val="en-US"/>
        </w:rPr>
        <w:instrText>citation</w:instrText>
      </w:r>
      <w:r w:rsidR="00021E2A" w:rsidRPr="00320416">
        <w:instrText>.</w:instrText>
      </w:r>
      <w:r w:rsidR="00021E2A">
        <w:rPr>
          <w:lang w:val="en-US"/>
        </w:rPr>
        <w:instrText>json</w:instrText>
      </w:r>
      <w:r w:rsidR="00021E2A" w:rsidRPr="00320416">
        <w:instrText>"}</w:instrText>
      </w:r>
      <w:r w:rsidRPr="000322E4">
        <w:rPr>
          <w:lang w:val="en-US"/>
        </w:rPr>
        <w:fldChar w:fldCharType="separate"/>
      </w:r>
      <w:r w:rsidR="009D170B" w:rsidRPr="009D170B">
        <w:rPr>
          <w:noProof/>
        </w:rPr>
        <w:t>[109]</w:t>
      </w:r>
      <w:r w:rsidRPr="000322E4">
        <w:rPr>
          <w:lang w:val="en-US"/>
        </w:rPr>
        <w:fldChar w:fldCharType="end"/>
      </w:r>
      <w:r w:rsidRPr="000322E4">
        <w:t>.</w:t>
      </w:r>
    </w:p>
    <w:p w14:paraId="15392DFE" w14:textId="77777777" w:rsidR="007726E0" w:rsidRPr="000322E4" w:rsidRDefault="007726E0" w:rsidP="00C114E4">
      <w:pPr>
        <w:spacing w:line="360" w:lineRule="auto"/>
        <w:ind w:left="709"/>
        <w:contextualSpacing/>
        <w:jc w:val="both"/>
        <w:rPr>
          <w:rFonts w:eastAsia="Arial Unicode MS"/>
          <w:color w:val="000000"/>
        </w:rPr>
      </w:pPr>
      <w:r w:rsidRPr="000322E4">
        <w:rPr>
          <w:b/>
        </w:rPr>
        <w:t xml:space="preserve">Уровень убедительности рекомендаций – С (уровень </w:t>
      </w:r>
      <w:r w:rsidRPr="000322E4">
        <w:rPr>
          <w:b/>
          <w:spacing w:val="-1"/>
        </w:rPr>
        <w:t xml:space="preserve">достоверности доказательств </w:t>
      </w:r>
      <w:r w:rsidRPr="000322E4">
        <w:rPr>
          <w:b/>
        </w:rPr>
        <w:t>– 5)</w:t>
      </w:r>
      <w:r w:rsidRPr="000322E4">
        <w:rPr>
          <w:rFonts w:eastAsia="Arial Unicode MS"/>
          <w:color w:val="000000"/>
        </w:rPr>
        <w:t>.</w:t>
      </w:r>
    </w:p>
    <w:p w14:paraId="4DA6248B" w14:textId="77777777" w:rsidR="007726E0" w:rsidRPr="00AB22BC" w:rsidRDefault="007726E0" w:rsidP="009D170B">
      <w:pPr>
        <w:pStyle w:val="a"/>
        <w:spacing w:before="0"/>
        <w:ind w:left="709"/>
        <w:rPr>
          <w:i/>
        </w:rPr>
      </w:pPr>
      <w:r w:rsidRPr="00AB22BC">
        <w:t xml:space="preserve">Всем пациентам с ЛБ </w:t>
      </w:r>
      <w:r w:rsidRPr="00AB22BC">
        <w:rPr>
          <w:b/>
        </w:rPr>
        <w:t>рекомендуется</w:t>
      </w:r>
      <w:r w:rsidRPr="00AB22BC">
        <w:t xml:space="preserve"> устанавливать центральный венозный катетер для проведения ХТ и сопроводительной терапии [1, 2].</w:t>
      </w:r>
    </w:p>
    <w:p w14:paraId="79D4B5F8" w14:textId="47379687" w:rsidR="007726E0" w:rsidRPr="00AB22BC" w:rsidRDefault="007726E0" w:rsidP="00CA442F">
      <w:pPr>
        <w:pStyle w:val="afffa"/>
        <w:rPr>
          <w:rFonts w:eastAsia="Arial Unicode MS"/>
          <w:color w:val="FF0000"/>
        </w:rPr>
      </w:pPr>
      <w:r w:rsidRPr="00AB22BC">
        <w:t xml:space="preserve">Уровень убедительности рекомендаций – </w:t>
      </w:r>
      <w:r w:rsidRPr="00AB22BC">
        <w:rPr>
          <w:lang w:val="en-US"/>
        </w:rPr>
        <w:t>C</w:t>
      </w:r>
      <w:r w:rsidRPr="00AB22BC">
        <w:t xml:space="preserve"> (уровень </w:t>
      </w:r>
      <w:r w:rsidRPr="00AB22BC">
        <w:rPr>
          <w:spacing w:val="-1"/>
        </w:rPr>
        <w:t xml:space="preserve">достоверности доказательств </w:t>
      </w:r>
      <w:r w:rsidRPr="00AB22BC">
        <w:t>– 5).</w:t>
      </w:r>
      <w:r w:rsidR="00E26299" w:rsidRPr="00AB22BC">
        <w:t xml:space="preserve"> </w:t>
      </w:r>
    </w:p>
    <w:p w14:paraId="03DD65C6" w14:textId="72ABF9D4" w:rsidR="007726E0" w:rsidRPr="00AB22BC" w:rsidRDefault="009D170B" w:rsidP="009D170B">
      <w:pPr>
        <w:pStyle w:val="a"/>
        <w:spacing w:before="0"/>
        <w:ind w:left="709"/>
        <w:rPr>
          <w:b/>
        </w:rPr>
      </w:pPr>
      <w:r w:rsidRPr="009D170B">
        <w:rPr>
          <w:color w:val="000000" w:themeColor="text1"/>
        </w:rPr>
        <w:lastRenderedPageBreak/>
        <w:t>П</w:t>
      </w:r>
      <w:r w:rsidR="00AB22BC" w:rsidRPr="009D170B">
        <w:rPr>
          <w:color w:val="000000" w:themeColor="text1"/>
        </w:rPr>
        <w:t>ациентам с ЛБ п</w:t>
      </w:r>
      <w:r w:rsidR="007726E0" w:rsidRPr="009D170B">
        <w:rPr>
          <w:color w:val="000000" w:themeColor="text1"/>
        </w:rPr>
        <w:t xml:space="preserve">ри </w:t>
      </w:r>
      <w:r w:rsidR="007726E0" w:rsidRPr="00AB22BC">
        <w:t>применении высоких доз метотрексата** рекомендованы контроль его элиминации (определение концентрации в сыворотке!) и коррекция дозы кальция</w:t>
      </w:r>
      <w:r w:rsidR="006D44E2" w:rsidRPr="00AB22BC">
        <w:t xml:space="preserve"> фолината</w:t>
      </w:r>
      <w:r w:rsidR="007726E0" w:rsidRPr="00AB22BC">
        <w:t xml:space="preserve">** ежедневно до нормализации показателей </w:t>
      </w:r>
      <w:r w:rsidR="007726E0" w:rsidRPr="00AB22BC">
        <w:fldChar w:fldCharType="begin" w:fldLock="1"/>
      </w:r>
      <w:r w:rsidR="00AE0A1D">
        <w:instrText>ADDIN CSL_CITATION {"citationItems":[{"id":"ITEM-1","itemData":{"author":[{"dropping-particle":"","family":"Барях","given":"Е.А.","non-dropping-particle":"","parse-names":false,"suffix":""}],"container-title":"Российские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Савченко.","id":"ITEM-1","issued":{"date-parts":[["2018"]]},"page":"80-87","title":"Лимфома Беркитта","type":"chapter"},"uris":["http://www.mendeley.com/documents/?uuid=6c46cd48-7af0-4ac2-8eb1-93f86718c4df"]}],"mendeley":{"formattedCitation":"[4]","plainTextFormattedCitation":"[4]","previouslyFormattedCitation":"[4]"},"properties":{"noteIndex":0},"schema":"https://github.com/citation-style-language/schema/raw/master/csl-citation.json"}</w:instrText>
      </w:r>
      <w:r w:rsidR="007726E0" w:rsidRPr="00AB22BC">
        <w:fldChar w:fldCharType="separate"/>
      </w:r>
      <w:r w:rsidR="00726C75" w:rsidRPr="00726C75">
        <w:rPr>
          <w:noProof/>
        </w:rPr>
        <w:t>[4]</w:t>
      </w:r>
      <w:r w:rsidR="007726E0" w:rsidRPr="00AB22BC">
        <w:fldChar w:fldCharType="end"/>
      </w:r>
      <w:r w:rsidR="007726E0" w:rsidRPr="00AB22BC">
        <w:t xml:space="preserve">. </w:t>
      </w:r>
    </w:p>
    <w:p w14:paraId="5F960AC9" w14:textId="77777777" w:rsidR="007726E0" w:rsidRPr="00AB22BC" w:rsidRDefault="007726E0" w:rsidP="00CA442F">
      <w:pPr>
        <w:pStyle w:val="afffa"/>
      </w:pPr>
      <w:r w:rsidRPr="00AB22BC">
        <w:t>Уровень убедительности рекомендаций – С (уровень достоверности доказательств – 5).</w:t>
      </w:r>
    </w:p>
    <w:p w14:paraId="1A28A128" w14:textId="7033BA56" w:rsidR="007726E0" w:rsidRPr="000322E4" w:rsidRDefault="009D170B" w:rsidP="009D170B">
      <w:pPr>
        <w:pStyle w:val="a"/>
        <w:spacing w:before="0"/>
        <w:ind w:left="709"/>
        <w:rPr>
          <w:rFonts w:eastAsia="Arial Unicode MS"/>
          <w:color w:val="000000"/>
        </w:rPr>
      </w:pPr>
      <w:r w:rsidRPr="009D170B">
        <w:rPr>
          <w:color w:val="000000" w:themeColor="text1"/>
        </w:rPr>
        <w:t>П</w:t>
      </w:r>
      <w:r w:rsidR="007726E0" w:rsidRPr="009D170B">
        <w:rPr>
          <w:color w:val="000000" w:themeColor="text1"/>
        </w:rPr>
        <w:t xml:space="preserve">ациентам </w:t>
      </w:r>
      <w:r w:rsidR="00AB22BC" w:rsidRPr="009D170B">
        <w:rPr>
          <w:color w:val="000000" w:themeColor="text1"/>
        </w:rPr>
        <w:t xml:space="preserve">с </w:t>
      </w:r>
      <w:r w:rsidR="00E26299" w:rsidRPr="009D170B">
        <w:rPr>
          <w:color w:val="000000" w:themeColor="text1"/>
        </w:rPr>
        <w:t xml:space="preserve">ЛБ </w:t>
      </w:r>
      <w:r w:rsidR="007726E0" w:rsidRPr="009D170B">
        <w:rPr>
          <w:color w:val="000000" w:themeColor="text1"/>
        </w:rPr>
        <w:t>с массивным</w:t>
      </w:r>
      <w:r w:rsidR="007726E0" w:rsidRPr="00AB22BC">
        <w:t xml:space="preserve"> экстрамедуллярным опухолевым поражением (органов средостения, брюшной полости и др.) рекомендовано проведение профилактики тромботических осложнений под контролем коагулограммы согласно существующим протоколам профилактики венозных тромбоэмболических осложнений </w:t>
      </w:r>
      <w:r w:rsidR="007726E0" w:rsidRPr="000322E4">
        <w:fldChar w:fldCharType="begin" w:fldLock="1"/>
      </w:r>
      <w:r>
        <w:instrText>ADDIN CSL_CITATION {"citationItems":[{"id":"ITEM-1","itemData":{"author":[{"dropping-particle":"","family":"Бокерия","given":"Л.А.","non-dropping-particle":"","parse-names":false,"suffix":""},{"dropping-particle":"","family":"Затевахин","given":"И.И.","non-dropping-particle":"","parse-names":false,"suffix":""},{"dropping-particle":"","family":"Кириенко","given":"А.И.","non-dropping-particle":"","parse-names":false,"suffix":""}],"container-title":"Флебология","id":"ITEM-1","issue":"2","issued":{"date-parts":[["2015"]]},"page":"3-52","title":"Российские клинические рекомендации по диагностике, лечению и профилактике венозных тромбоэмболических осложнений (ВТЭО).","type":"article-journal","volume":"4"},"uris":["http://www.mendeley.com/documents/?uuid=86c98716-7768-469e-9d28-62b6dd34948f"]}],"mendeley":{"formattedCitation":"[47]","plainTextFormattedCitation":"[47]","previouslyFormattedCitation":"[47]"},"properties":{"noteIndex":0},"schema":"https://github.com/citation-style-language/schema/raw/master/csl-citation.json"}</w:instrText>
      </w:r>
      <w:r w:rsidR="007726E0" w:rsidRPr="000322E4">
        <w:fldChar w:fldCharType="separate"/>
      </w:r>
      <w:r w:rsidR="00095D58" w:rsidRPr="00095D58">
        <w:rPr>
          <w:noProof/>
        </w:rPr>
        <w:t>[47]</w:t>
      </w:r>
      <w:r w:rsidR="007726E0" w:rsidRPr="000322E4">
        <w:fldChar w:fldCharType="end"/>
      </w:r>
      <w:r w:rsidR="007726E0" w:rsidRPr="000322E4">
        <w:t>.</w:t>
      </w:r>
    </w:p>
    <w:p w14:paraId="23BB30BB" w14:textId="77777777" w:rsidR="007726E0" w:rsidRPr="000322E4" w:rsidRDefault="007726E0" w:rsidP="00CA442F">
      <w:pPr>
        <w:pStyle w:val="afffa"/>
        <w:rPr>
          <w:rFonts w:eastAsia="Arial Unicode MS"/>
          <w:color w:val="000000"/>
        </w:rPr>
      </w:pPr>
      <w:r w:rsidRPr="000322E4">
        <w:t xml:space="preserve">Уровень убедительности рекомендаций – С (уровень </w:t>
      </w:r>
      <w:r w:rsidRPr="000322E4">
        <w:rPr>
          <w:spacing w:val="-1"/>
        </w:rPr>
        <w:t xml:space="preserve">достоверности доказательств </w:t>
      </w:r>
      <w:r w:rsidRPr="000322E4">
        <w:t>– 5).</w:t>
      </w:r>
    </w:p>
    <w:p w14:paraId="5EB7F4B4" w14:textId="6BD1FA05" w:rsidR="007726E0" w:rsidRPr="000322E4" w:rsidRDefault="009D170B" w:rsidP="009D170B">
      <w:pPr>
        <w:pStyle w:val="a"/>
        <w:spacing w:before="0"/>
        <w:ind w:left="709"/>
      </w:pPr>
      <w:r w:rsidRPr="009D170B">
        <w:rPr>
          <w:bCs/>
        </w:rPr>
        <w:t>Пациентам с ЛБ</w:t>
      </w:r>
      <w:r>
        <w:rPr>
          <w:b/>
        </w:rPr>
        <w:t xml:space="preserve"> р</w:t>
      </w:r>
      <w:r w:rsidR="007726E0" w:rsidRPr="000322E4">
        <w:rPr>
          <w:b/>
        </w:rPr>
        <w:t>екомендуется</w:t>
      </w:r>
      <w:r w:rsidR="007726E0" w:rsidRPr="000322E4">
        <w:t xml:space="preserve"> обязательная профилактика нейролейкемии путем интратекального введения 3 препаратов (цитарабин** 30 мг, метотрексат** 15 мг, дексаметазон** 4 мг) 1 раз за курс в течение всего периода терапии </w:t>
      </w:r>
      <w:r w:rsidR="007726E0" w:rsidRPr="000322E4">
        <w:fldChar w:fldCharType="begin" w:fldLock="1"/>
      </w:r>
      <w:r w:rsidR="00AE0A1D">
        <w:instrText>ADDIN CSL_CITATION {"citationItems":[{"id":"ITEM-1","itemData":{"author":[{"dropping-particle":"","family":"Барях","given":"Е.А.","non-dropping-particle":"","parse-names":false,"suffix":""}],"container-title":"Российские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Савченко.","id":"ITEM-1","issued":{"date-parts":[["2018"]]},"page":"80-87","title":"Лимфома Беркитта","type":"chapter"},"uris":["http://www.mendeley.com/documents/?uuid=6c46cd48-7af0-4ac2-8eb1-93f86718c4df"]}],"mendeley":{"formattedCitation":"[4]","plainTextFormattedCitation":"[4]","previouslyFormattedCitation":"[4]"},"properties":{"noteIndex":0},"schema":"https://github.com/citation-style-language/schema/raw/master/csl-citation.json"}</w:instrText>
      </w:r>
      <w:r w:rsidR="007726E0" w:rsidRPr="000322E4">
        <w:fldChar w:fldCharType="separate"/>
      </w:r>
      <w:r w:rsidR="00726C75" w:rsidRPr="00726C75">
        <w:rPr>
          <w:noProof/>
        </w:rPr>
        <w:t>[4]</w:t>
      </w:r>
      <w:r w:rsidR="007726E0" w:rsidRPr="000322E4">
        <w:fldChar w:fldCharType="end"/>
      </w:r>
      <w:r w:rsidR="007726E0" w:rsidRPr="000322E4">
        <w:t xml:space="preserve">. </w:t>
      </w:r>
    </w:p>
    <w:p w14:paraId="523382FE" w14:textId="77777777" w:rsidR="007726E0" w:rsidRPr="000322E4" w:rsidRDefault="007726E0" w:rsidP="00CA442F">
      <w:pPr>
        <w:pStyle w:val="afffa"/>
      </w:pPr>
      <w:r w:rsidRPr="000322E4">
        <w:t xml:space="preserve">Уровень убедительности рекомендаций – С (уровень </w:t>
      </w:r>
      <w:r w:rsidRPr="000322E4">
        <w:rPr>
          <w:spacing w:val="-1"/>
        </w:rPr>
        <w:t xml:space="preserve">достоверности доказательств </w:t>
      </w:r>
      <w:r w:rsidRPr="000322E4">
        <w:t>– 5).</w:t>
      </w:r>
    </w:p>
    <w:p w14:paraId="1D352FCE" w14:textId="3A654822" w:rsidR="007726E0" w:rsidRDefault="007726E0" w:rsidP="009D170B">
      <w:pPr>
        <w:spacing w:line="360" w:lineRule="auto"/>
        <w:ind w:firstLine="709"/>
        <w:contextualSpacing/>
        <w:jc w:val="both"/>
        <w:rPr>
          <w:i/>
        </w:rPr>
      </w:pPr>
      <w:r w:rsidRPr="000322E4">
        <w:rPr>
          <w:b/>
        </w:rPr>
        <w:t>Комментарии:</w:t>
      </w:r>
      <w:r w:rsidRPr="000322E4">
        <w:t xml:space="preserve"> </w:t>
      </w:r>
      <w:r w:rsidRPr="000322E4">
        <w:rPr>
          <w:i/>
          <w:iCs/>
        </w:rPr>
        <w:t xml:space="preserve">лечение нейролейкемии должно выполняться в соответствии со стандартными правилами: спинномозговые пункции с введением цитостатиков выполняют 3 раза в неделю до получения 3 нормальных анализов ликвора связи с увеличением количества инфекционных осложнений и высоким риском смерти от них. </w:t>
      </w:r>
      <w:r w:rsidRPr="000322E4">
        <w:rPr>
          <w:bCs/>
          <w:i/>
          <w:iCs/>
        </w:rPr>
        <w:t>Н</w:t>
      </w:r>
      <w:r w:rsidRPr="000322E4">
        <w:rPr>
          <w:i/>
        </w:rPr>
        <w:t>а последующих блоках ХТ (после санации ликвора) люмбальные пункции с интратекальным введением цитостатиков проводят дважды за курс.</w:t>
      </w:r>
    </w:p>
    <w:p w14:paraId="5A8D1252" w14:textId="0A88C5E1" w:rsidR="002818CC" w:rsidRPr="000322E4" w:rsidRDefault="002818CC" w:rsidP="009D170B">
      <w:pPr>
        <w:spacing w:line="360" w:lineRule="auto"/>
        <w:ind w:firstLine="709"/>
        <w:contextualSpacing/>
        <w:jc w:val="both"/>
        <w:rPr>
          <w:i/>
        </w:rPr>
      </w:pPr>
      <w:r>
        <w:rPr>
          <w:i/>
          <w:iCs/>
        </w:rPr>
        <w:t xml:space="preserve">Беременным пациенткам профилактика рецидива в ЦНС проводится без введения #метотрексата** </w:t>
      </w:r>
      <w:r>
        <w:rPr>
          <w:i/>
          <w:iCs/>
        </w:rPr>
        <w:fldChar w:fldCharType="begin" w:fldLock="1"/>
      </w:r>
      <w:r w:rsidR="009D170B">
        <w:rPr>
          <w:i/>
          <w:iCs/>
        </w:rPr>
        <w:instrText>ADDIN CSL_CITATION {"citationItems":[{"id":"ITEM-1","itemData":{"ISSN":"0890-6238","author":[{"dropping-particle":"","family":"Martín","given":"María Cecilia","non-dropping-particle":"","parse-names":false,"suffix":""},{"dropping-particle":"","family":"Barbero","given":"Pablo","non-dropping-particle":"","parse-names":false,"suffix":""},{"dropping-particle":"","family":"Groisman","given":"Boris","non-dropping-particle":"","parse-names":false,"suffix":""},{"dropping-particle":"","family":"Aguirre","given":"Miguel Ángel","non-dropping-particle":"","parse-names":false,"suffix":""},{"dropping-particle":"","family":"Koren","given":"Gideon","non-dropping-particle":"","parse-names":false,"suffix":""}],"container-title":"Reproductive Toxicology","id":"ITEM-1","issued":{"date-parts":[["2014"]]},"page":"26-29","title":"Methotrexate embryopathy after exposure to low weekly doses in early pregnancy","type":"article-journal","volume":"43"},"uris":["http://www.mendeley.com/documents/?uuid=8d8e4a94-297f-3077-85f8-7aea781495e1"]}],"mendeley":{"formattedCitation":"[74]","plainTextFormattedCitation":"[74]","previouslyFormattedCitation":"[74]"},"properties":{"noteIndex":0},"schema":"https://github.com/citation-style-language/schema/raw/master/csl-citation.json"}</w:instrText>
      </w:r>
      <w:r>
        <w:rPr>
          <w:i/>
          <w:iCs/>
        </w:rPr>
        <w:fldChar w:fldCharType="separate"/>
      </w:r>
      <w:r w:rsidR="00095D58" w:rsidRPr="00095D58">
        <w:rPr>
          <w:iCs/>
          <w:noProof/>
        </w:rPr>
        <w:t>[74]</w:t>
      </w:r>
      <w:r>
        <w:rPr>
          <w:i/>
          <w:iCs/>
        </w:rPr>
        <w:fldChar w:fldCharType="end"/>
      </w:r>
    </w:p>
    <w:p w14:paraId="2E61B2F0" w14:textId="2FD4C0D3" w:rsidR="007726E0" w:rsidRPr="000322E4" w:rsidRDefault="007726E0" w:rsidP="009D170B">
      <w:pPr>
        <w:pStyle w:val="a"/>
        <w:spacing w:before="0"/>
        <w:ind w:left="709"/>
      </w:pPr>
      <w:r w:rsidRPr="000322E4">
        <w:rPr>
          <w:b/>
        </w:rPr>
        <w:t>Не рекомендуется</w:t>
      </w:r>
      <w:r w:rsidRPr="000322E4">
        <w:t xml:space="preserve"> пациентам </w:t>
      </w:r>
      <w:r w:rsidR="003A0E7E" w:rsidRPr="000322E4">
        <w:t xml:space="preserve">с ЛБ </w:t>
      </w:r>
      <w:r w:rsidRPr="000322E4">
        <w:t xml:space="preserve">алло-ТГСК в связи с рисками, обусловленными выполнением трансплантации </w:t>
      </w:r>
      <w:r w:rsidRPr="000322E4">
        <w:fldChar w:fldCharType="begin" w:fldLock="1"/>
      </w:r>
      <w:r w:rsidR="006A2B13">
        <w:instrText>ADDIN CSL_CITATION {"citationItems":[{"id":"ITEM-1","itemData":{"DOI":"10.1111/j.1365-2141.2005.05755.x","ISSN":"0007-1048","PMID":"16197454","abstract":"Forty-four patients with relapsed or refractory aggressive histology non-Hodgkin lymphoma (NHL) (diffuse large B cell, n = 23; peripheral T cell, n = 5; transformed B cell, n = 16) proceeded to allogeneic stem cell transplant (allo-SCT) between 1987 and 2003. Median age at transplant was 40 years (range 19-56 years). At the time of transplant, 35 were chemosensitive and nine were chemorefractory. Thirty-three patients had matched sibling donors and 11 had unrelated donors. Forty-two patients (95%) received radiation-based conditioning regimens. Event-free survival (EFS) and overall survival (OS) at 5 years was 43% [95% confidence interval (CI): 27-58%] and 48% (95% CI: 32-63%) respectively. Treatment-related mortality was 25% at 1 year. Grade III-IV acute graft-versus-host disease (GVHD) was the only significant variable affecting OS and EFS, and had a negative impact. Chronic GVHD did not influence survival. Lymphoma relapse &lt;12 months after initial therapy predicted for increased risk of relapse post-transplant (P = 0.02). Patients with chemorefractory lymphoma were not at increased risk of relapse (P = 0.20) with four of nine patients remaining alive without disease 12-103 months post-transplant. In conclusion, allo-SCT for relapsed or refractory aggressive histology NHL results in long-term EFS and OS of 40-50%. Patients with chemorefractory disease can have a durable remission post-transplant.","author":[{"dropping-particle":"","family":"Doocey","given":"Richard T","non-dropping-particle":"","parse-names":false,"suffix":""},{"dropping-particle":"","family":"Toze","given":"Cynthia L","non-dropping-particle":"","parse-names":false,"suffix":""},{"dropping-particle":"","family":"Connors","given":"Joseph M","non-dropping-particle":"","parse-names":false,"suffix":""},{"dropping-particle":"","family":"Nevill","given":"Thomas J","non-dropping-particle":"","parse-names":false,"suffix":""},{"dropping-particle":"","family":"Gascoyne","given":"Randy D","non-dropping-particle":"","parse-names":false,"suffix":""},{"dropping-particle":"","family":"Barnett","given":"Michael J","non-dropping-particle":"","parse-names":false,"suffix":""},{"dropping-particle":"","family":"Forrest","given":"Donna L","non-dropping-particle":"","parse-names":false,"suffix":""},{"dropping-particle":"","family":"Hogge","given":"Donna E","non-dropping-particle":"","parse-names":false,"suffix":""},{"dropping-particle":"","family":"Lavoie","given":"Julye C","non-dropping-particle":"","parse-names":false,"suffix":""},{"dropping-particle":"","family":"Nantel","given":"Stephen H","non-dropping-particle":"","parse-names":false,"suffix":""},{"dropping-particle":"","family":"Shepherd","given":"John D","non-dropping-particle":"","parse-names":false,"suffix":""},{"dropping-particle":"","family":"Sutherland","given":"Heather J","non-dropping-particle":"","parse-names":false,"suffix":""},{"dropping-particle":"","family":"Voss","given":"Nicholas J","non-dropping-particle":"","parse-names":false,"suffix":""},{"dropping-particle":"","family":"Smith","given":"Clayton A","non-dropping-particle":"","parse-names":false,"suffix":""},{"dropping-particle":"","family":"Song","given":"Kevin W","non-dropping-particle":"","parse-names":false,"suffix":""}],"container-title":"British journal of haematology","id":"ITEM-1","issue":"2","issued":{"date-parts":[["2005","10"]]},"page":"223-30","title":"Allogeneic haematopoietic stem-cell transplantation for relapsed and refractory aggressive histology non-Hodgkin lymphoma.","type":"article-journal","volume":"131"},"uris":["http://www.mendeley.com/documents/?uuid=e5ac2f06-26b6-3c9e-8f68-23443d3b456f"]}],"mendeley":{"formattedCitation":"[110]","plainTextFormattedCitation":"[110]","previouslyFormattedCitation":"[110]"},"properties":{"noteIndex":0},"schema":"https://github.com/citation-style-language/schema/raw/master/csl-citation.json"}</w:instrText>
      </w:r>
      <w:r w:rsidRPr="000322E4">
        <w:fldChar w:fldCharType="separate"/>
      </w:r>
      <w:r w:rsidR="00A6794A" w:rsidRPr="00A6794A">
        <w:rPr>
          <w:noProof/>
        </w:rPr>
        <w:t>[110]</w:t>
      </w:r>
      <w:r w:rsidRPr="000322E4">
        <w:fldChar w:fldCharType="end"/>
      </w:r>
      <w:r w:rsidRPr="000322E4">
        <w:t>.</w:t>
      </w:r>
    </w:p>
    <w:p w14:paraId="751A7541" w14:textId="77777777" w:rsidR="007726E0" w:rsidRPr="000322E4" w:rsidRDefault="007726E0" w:rsidP="00CA442F">
      <w:pPr>
        <w:pStyle w:val="afffa"/>
      </w:pPr>
      <w:r w:rsidRPr="000322E4">
        <w:t>Уровень убедительности рекомендаций – С (уровень достоверности доказательств – 4).</w:t>
      </w:r>
    </w:p>
    <w:p w14:paraId="1311372D" w14:textId="77777777" w:rsidR="00AE77FF" w:rsidRPr="000322E4" w:rsidRDefault="00AE77FF" w:rsidP="00C114E4">
      <w:pPr>
        <w:pStyle w:val="2"/>
        <w:spacing w:before="0"/>
        <w:contextualSpacing/>
      </w:pPr>
      <w:bookmarkStart w:id="43" w:name="_Toc96601246"/>
      <w:r w:rsidRPr="000322E4">
        <w:t>3.</w:t>
      </w:r>
      <w:r w:rsidR="007726E0" w:rsidRPr="000322E4">
        <w:t>6</w:t>
      </w:r>
      <w:r w:rsidRPr="000322E4">
        <w:t xml:space="preserve"> Лечение рецидивов </w:t>
      </w:r>
      <w:r w:rsidR="007726E0" w:rsidRPr="000322E4">
        <w:t xml:space="preserve">агрессивных </w:t>
      </w:r>
      <w:r w:rsidR="007726E0" w:rsidRPr="00096052">
        <w:t>нефолликулярных</w:t>
      </w:r>
      <w:r w:rsidR="007726E0" w:rsidRPr="000322E4">
        <w:t xml:space="preserve"> В-клеточных лимфом</w:t>
      </w:r>
      <w:bookmarkEnd w:id="43"/>
    </w:p>
    <w:p w14:paraId="167E76DE" w14:textId="77F4BF28" w:rsidR="00E26065" w:rsidRPr="000322E4" w:rsidRDefault="00E26065" w:rsidP="00C114E4">
      <w:pPr>
        <w:pStyle w:val="afff8"/>
        <w:spacing w:before="0"/>
      </w:pPr>
      <w:r w:rsidRPr="000322E4">
        <w:t>Пациентам с рецидивами/рефрактерными формами ДВКЛ</w:t>
      </w:r>
      <w:r w:rsidR="00021E2A">
        <w:t>, ПМВКЛ или ЛБ</w:t>
      </w:r>
      <w:r w:rsidRPr="000322E4">
        <w:t xml:space="preserve"> моложе 65 лет без значимой коморбидности </w:t>
      </w:r>
      <w:r w:rsidRPr="000322E4">
        <w:rPr>
          <w:b/>
        </w:rPr>
        <w:t xml:space="preserve">рекомендовано </w:t>
      </w:r>
      <w:r w:rsidRPr="000322E4">
        <w:rPr>
          <w:szCs w:val="24"/>
          <w:lang w:eastAsia="ru-RU"/>
        </w:rPr>
        <w:t xml:space="preserve">проведение </w:t>
      </w:r>
      <w:r w:rsidR="00140246" w:rsidRPr="000322E4">
        <w:rPr>
          <w:szCs w:val="24"/>
          <w:lang w:eastAsia="ru-RU"/>
        </w:rPr>
        <w:lastRenderedPageBreak/>
        <w:t>интенсивных рецидивов противорецидивной терапии по одной из следующих схем</w:t>
      </w:r>
      <w:r w:rsidR="00A33C04" w:rsidRPr="000322E4">
        <w:t>:</w:t>
      </w:r>
    </w:p>
    <w:p w14:paraId="0CA2DAFF" w14:textId="4B2C2B50" w:rsidR="00A33C04" w:rsidRPr="000322E4" w:rsidRDefault="00A33C04" w:rsidP="009D170B">
      <w:pPr>
        <w:pStyle w:val="afe"/>
        <w:numPr>
          <w:ilvl w:val="1"/>
          <w:numId w:val="9"/>
        </w:numPr>
        <w:ind w:left="1134"/>
      </w:pPr>
      <w:r w:rsidRPr="000322E4">
        <w:rPr>
          <w:lang w:val="en-US"/>
        </w:rPr>
        <w:t>DHAP</w:t>
      </w:r>
      <w:r w:rsidR="00496F35" w:rsidRPr="000322E4">
        <w:rPr>
          <w:lang w:val="en-US"/>
        </w:rPr>
        <w:t xml:space="preserve"> </w:t>
      </w:r>
      <w:r w:rsidR="00496F35" w:rsidRPr="000322E4">
        <w:rPr>
          <w:lang w:val="en-US"/>
        </w:rPr>
        <w:fldChar w:fldCharType="begin" w:fldLock="1"/>
      </w:r>
      <w:r w:rsidR="006A2B13">
        <w:rPr>
          <w:lang w:val="en-US"/>
        </w:rPr>
        <w:instrText>ADDIN CSL_CITATION {"citationItems":[{"id":"ITEM-1","itemData":{"id":"ITEM-1","issued":{"date-parts":[["2015"]]},"title":"Guidelines for the management of non-­-Hodgkin's and Hodgkin's lymphoma in adults","type":"report"},"uris":["http://www.mendeley.com/documents/?uuid=a380ec17-d736-3ac7-b3e2-610474fcc0a2"]}],"mendeley":{"formattedCitation":"[111]","plainTextFormattedCitation":"[111]","previouslyFormattedCitation":"[111]"},"properties":{"noteIndex":0},"schema":"https://github.com/citation-style-language/schema/raw/master/csl-citation.json"}</w:instrText>
      </w:r>
      <w:r w:rsidR="00496F35" w:rsidRPr="000322E4">
        <w:rPr>
          <w:lang w:val="en-US"/>
        </w:rPr>
        <w:fldChar w:fldCharType="separate"/>
      </w:r>
      <w:r w:rsidR="00A6794A" w:rsidRPr="00A6794A">
        <w:rPr>
          <w:noProof/>
          <w:lang w:val="en-US"/>
        </w:rPr>
        <w:t>[111]</w:t>
      </w:r>
      <w:r w:rsidR="00496F35" w:rsidRPr="000322E4">
        <w:rPr>
          <w:lang w:val="en-US"/>
        </w:rPr>
        <w:fldChar w:fldCharType="end"/>
      </w:r>
    </w:p>
    <w:p w14:paraId="5EB832E4" w14:textId="7C8EC75F" w:rsidR="00A33C04" w:rsidRPr="000322E4" w:rsidRDefault="00A33C04" w:rsidP="009D170B">
      <w:pPr>
        <w:pStyle w:val="afe"/>
        <w:numPr>
          <w:ilvl w:val="1"/>
          <w:numId w:val="9"/>
        </w:numPr>
        <w:ind w:left="1134"/>
      </w:pPr>
      <w:r w:rsidRPr="000322E4">
        <w:rPr>
          <w:lang w:val="en-US"/>
        </w:rPr>
        <w:t>ESHAP</w:t>
      </w:r>
      <w:r w:rsidR="00496F35" w:rsidRPr="000322E4">
        <w:rPr>
          <w:lang w:val="en-US"/>
        </w:rPr>
        <w:t xml:space="preserve"> </w:t>
      </w:r>
      <w:r w:rsidR="00496F35" w:rsidRPr="000322E4">
        <w:rPr>
          <w:lang w:val="en-US"/>
        </w:rPr>
        <w:fldChar w:fldCharType="begin" w:fldLock="1"/>
      </w:r>
      <w:r w:rsidR="006A2B13">
        <w:rPr>
          <w:lang w:val="en-US"/>
        </w:rPr>
        <w:instrText>ADDIN CSL_CITATION {"citationItems":[{"id":"ITEM-1","itemData":{"DOI":"10.1200/JCO.1994.12.6.1169","ISSN":"0732183X","abstract":"Purpose: This study attempted to determine the efficacy of the combination of etoposide (VP-16), methylprednisolone, and cytarabine (Ara-C) with or without cisplatin in relapsing and refractory adult lymphoma patients. Patients and Methods: The first 63 patients were randomized to receive VP-16 40 mg/m2/d for 4 days, methylprednisolone 500 mg intravenously daily for 5 days, and Ara-C 2 g/m2 intravenously over 2 to 3 hours on day 5 with or without cisplatin 25 mg/m2 IV administered by 24-hour infusion for 4 days (ESHA ± P). Markedly different responses between ESHA (33%) and ESHAP (75%) led to deletion of the ESHA arm. A total of 122 patients on the ESHAP regimen were studied. Results: Forty-five patients (37%) attained a complete remission (CR) and 33 (27%) attained a partial remission (PR), for a total response rate of 64%. The median duration of CR was 20 months, with 28% of remitters still in CR at 3 years. The overall median survival duration was 14 months; the survival rate at 3 years was 31%. Overall time to treatment failure (TTF) showed 10% of all patients to be alive and disease-free at 40 months. Response and survival rates were similar in patients with low-grade (n = 34), intermediate-grade (n = 67), transformed (n = 18), and high-grade (n = 3) lymphoma. The most significant factors for response and survival by multivariate analysis were the serum lactic dehydrogenase (LDH) level, tumor burden, and age (when analyzed as a continuous variable), while prior CR was highly significant by univariate analysis. A significant difference in survival was noted for patients with normal LDH levels and low- or intermediate-tumor burden or patients with low tumor burden and elevated LDH levels (55% 3-year survival rate) versus patients with elevated LDH levels and intermediate or high tumor burden (&lt; 20%). Major toxicities included myelosuppression, with a median granulocyte count of 500/μL and platelet count of 70,000/μL. Conclusion: ESHAP was found to be an active, tolerable chemotherapy regimen for relapsing and refractory lymphoma. Applying a prognostic model based on tumor burden and serum LDH level shows significant differences in survival in this patient population.","author":[{"dropping-particle":"","family":"Velasquez","given":"W. S.","non-dropping-particle":"","parse-names":false,"suffix":""},{"dropping-particle":"","family":"McLaughlin","given":"P.","non-dropping-particle":"","parse-names":false,"suffix":""},{"dropping-particle":"","family":"Tucker","given":"S.","non-dropping-particle":"","parse-names":false,"suffix":""},{"dropping-particle":"","family":"Hagemeister","given":"F. B.","non-dropping-particle":"","parse-names":false,"suffix":""},{"dropping-particle":"","family":"Swan","given":"F.","non-dropping-particle":"","parse-names":false,"suffix":""},{"dropping-particle":"","family":"Rodriguez","given":"M. A.","non-dropping-particle":"","parse-names":false,"suffix":""},{"dropping-particle":"","family":"Romaguera","given":"J.","non-dropping-particle":"","parse-names":false,"suffix":""},{"dropping-particle":"","family":"Rubenstein","given":"E.","non-dropping-particle":"","parse-names":false,"suffix":""},{"dropping-particle":"","family":"Cabanillas","given":"F.","non-dropping-particle":"","parse-names":false,"suffix":""}],"container-title":"Journal of Clinical Oncology","id":"ITEM-1","issue":"6","issued":{"date-parts":[["1994","6"]]},"page":"1169-1176","publisher":"American Society of Clinical Oncology","title":"ESHAP - An effective chemotherapy regimen in refractory and relapsing lymphoma: A 4-year follow-up study","type":"article-journal","volume":"12"},"uris":["http://www.mendeley.com/documents/?uuid=58c7db38-48ed-4e7d-873e-d735e5fdcf22"]}],"mendeley":{"formattedCitation":"[112]","plainTextFormattedCitation":"[112]","previouslyFormattedCitation":"[112]"},"properties":{"noteIndex":0},"schema":"https://github.com/citation-style-language/schema/raw/master/csl-citation.json"}</w:instrText>
      </w:r>
      <w:r w:rsidR="00496F35" w:rsidRPr="000322E4">
        <w:rPr>
          <w:lang w:val="en-US"/>
        </w:rPr>
        <w:fldChar w:fldCharType="separate"/>
      </w:r>
      <w:r w:rsidR="00A6794A" w:rsidRPr="00A6794A">
        <w:rPr>
          <w:noProof/>
          <w:lang w:val="en-US"/>
        </w:rPr>
        <w:t>[112]</w:t>
      </w:r>
      <w:r w:rsidR="00496F35" w:rsidRPr="000322E4">
        <w:rPr>
          <w:lang w:val="en-US"/>
        </w:rPr>
        <w:fldChar w:fldCharType="end"/>
      </w:r>
    </w:p>
    <w:p w14:paraId="5B852EE4" w14:textId="737AE927" w:rsidR="00A33C04" w:rsidRPr="000322E4" w:rsidRDefault="00A33C04" w:rsidP="009D170B">
      <w:pPr>
        <w:pStyle w:val="afe"/>
        <w:numPr>
          <w:ilvl w:val="1"/>
          <w:numId w:val="9"/>
        </w:numPr>
        <w:ind w:left="1134"/>
      </w:pPr>
      <w:r w:rsidRPr="000322E4">
        <w:rPr>
          <w:lang w:val="en-US"/>
        </w:rPr>
        <w:t>ICE</w:t>
      </w:r>
      <w:r w:rsidR="00496F35" w:rsidRPr="000322E4">
        <w:rPr>
          <w:lang w:val="en-US"/>
        </w:rPr>
        <w:t xml:space="preserve"> </w:t>
      </w:r>
      <w:r w:rsidR="00496F35" w:rsidRPr="000322E4">
        <w:rPr>
          <w:lang w:val="en-US"/>
        </w:rPr>
        <w:fldChar w:fldCharType="begin" w:fldLock="1"/>
      </w:r>
      <w:r w:rsidR="006A2B13">
        <w:rPr>
          <w:lang w:val="en-US"/>
        </w:rPr>
        <w:instrText>ADDIN CSL_CITATION {"citationItems":[{"id":"ITEM-1","itemData":{"DOI":"10.1093/annonc/mdg702","ISSN":"09237534","PMID":"12736224","abstract":"Despite advances in the management of aggressive non-Hodgkin's lymphoma, the treatment of relapsed and primary refractory disease remains a major challenge. High-dose chemotherapy or radio-chemotherapy followed by autologous or allogeneic stem cell transplantation (SCT) is a potentially curative treatment approach; however, the applicability of this approach is restricted to patients responding to second-line chemotherapy. Thus, second-line therapy must be both efficacious and without stem cell or organ toxicity that would compromise the ability to proceed to SCT. The ifosfamide, carboplatin and etoposide (ICE) regimen was developed to address these challenges. In a series of prospective clinical trials, 222 patients were treated with the ICE regimen, with an overall response rate of 72%. The mobilization of stem cells with this regimen was excellent, with 86% of patients mobilizing at least 2.0 × 106 CD34+ cells/kg. The incidence of treatment-related toxicity precluding SCT after ICE is very low. Herein, we report the clinical results of this treatment program for 222 patients with 5-year median follow-up for surviving patients. Rituximab was subsequently added to the ICE regimen for patients with diffuse large B-cell lymphoma (DLBCL) to improve upon these favorable results. This resulted in an increased complete remission rate. Additional follow-up is necessary to determine if this improvement in the complete remission rate will confer an increase in the overall survival following SCT.","author":[{"dropping-particle":"","family":"Zelenetz","given":"A. D.","non-dropping-particle":"","parse-names":false,"suffix":""},{"dropping-particle":"","family":"Hamlin","given":"P.","non-dropping-particle":"","parse-names":false,"suffix":""},{"dropping-particle":"","family":"Kewalramani","given":"T.","non-dropping-particle":"","parse-names":false,"suffix":""},{"dropping-particle":"","family":"Yahalom","given":"J.","non-dropping-particle":"","parse-names":false,"suffix":""},{"dropping-particle":"","family":"Nimer","given":"S.","non-dropping-particle":"","parse-names":false,"suffix":""},{"dropping-particle":"","family":"Moskowitz","given":"C. H.","non-dropping-particle":"","parse-names":false,"suffix":""}],"container-title":"Annals of Oncology","id":"ITEM-1","issue":"SUPPL. 1","issued":{"date-parts":[["2003"]]},"title":"Ifosfamide, carboplatin, etoposide (ICE)-based second-line chemotherapy for the management of relapsed and refractory aggressive non-Hodgkin's lymphoma","type":"article-journal","volume":"14"},"uris":["http://www.mendeley.com/documents/?uuid=81f1024b-4652-3404-9c8e-9f2c8255711f"]}],"mendeley":{"formattedCitation":"[113]","plainTextFormattedCitation":"[113]","previouslyFormattedCitation":"[113]"},"properties":{"noteIndex":0},"schema":"https://github.com/citation-style-language/schema/raw/master/csl-citation.json"}</w:instrText>
      </w:r>
      <w:r w:rsidR="00496F35" w:rsidRPr="000322E4">
        <w:rPr>
          <w:lang w:val="en-US"/>
        </w:rPr>
        <w:fldChar w:fldCharType="separate"/>
      </w:r>
      <w:r w:rsidR="00A6794A" w:rsidRPr="00A6794A">
        <w:rPr>
          <w:noProof/>
          <w:lang w:val="en-US"/>
        </w:rPr>
        <w:t>[113]</w:t>
      </w:r>
      <w:r w:rsidR="00496F35" w:rsidRPr="000322E4">
        <w:rPr>
          <w:lang w:val="en-US"/>
        </w:rPr>
        <w:fldChar w:fldCharType="end"/>
      </w:r>
    </w:p>
    <w:p w14:paraId="1F64C768" w14:textId="343FBD9F" w:rsidR="00A33C04" w:rsidRPr="000322E4" w:rsidRDefault="00A33C04" w:rsidP="009D170B">
      <w:pPr>
        <w:pStyle w:val="afe"/>
        <w:numPr>
          <w:ilvl w:val="1"/>
          <w:numId w:val="9"/>
        </w:numPr>
        <w:ind w:left="1134"/>
      </w:pPr>
      <w:r w:rsidRPr="000322E4">
        <w:rPr>
          <w:lang w:val="en-US"/>
        </w:rPr>
        <w:t>GDP</w:t>
      </w:r>
      <w:r w:rsidR="00496F35" w:rsidRPr="000322E4">
        <w:rPr>
          <w:lang w:val="en-US"/>
        </w:rPr>
        <w:t xml:space="preserve"> </w:t>
      </w:r>
      <w:r w:rsidR="00496F35" w:rsidRPr="000322E4">
        <w:rPr>
          <w:lang w:val="en-US"/>
        </w:rPr>
        <w:fldChar w:fldCharType="begin" w:fldLock="1"/>
      </w:r>
      <w:r w:rsidR="006A2B13">
        <w:rPr>
          <w:lang w:val="en-US"/>
        </w:rPr>
        <w:instrText>ADDIN CSL_CITATION {"citationItems":[{"id":"ITEM-1","itemData":{"DOI":"10.1002/cncr.20587","ISSN":"0008543X","abstract":"BACKGROUND. Gemcitabine has been shown to have activity as a single agent in lymphoma and, when combined with cisplatin, is effective therapy for a number of solid tumors. The authors wished to determine the response rate and toxicity of gemcitabine, dexamethasone, and cisplatin for recurrent or refractory non-Hodgkin lymphoma (NHL). METHODS. Patients with recurrent or refractory diffuse large B-cell NHL or variants (REAL classification), measurable disease, and one previous chemotherapy regimen were eligible. Treatment consisted of gemcitabine 1000 mg/m2 intravenously (i.v.) on Days 1 and 8, dexamethasone 40 mg orally on Days 1-4, and cisplatin 75 mg/m2 i.v. on Day 1 (GDP), every 21 days as an outpatient. The primary end point was a response after two cycles. Patients could then proceed to stem cell transplantation (SCT) or receive up to six treatment cycles. RESULTS. Fifty-one eligible patients were evaluable for toxicity and response. The median age of the patients was 57 years (range, 18-84 years) and most had diffuse large-cell lymphoma. After 2 cycles, there were 8 complete responses (CR; 16%) and 17 partial responses (PR; 33%). There was an overall response rate (RR) of 49% (95% confidence interval = 37-63%). The RR afer completion of all protocol chemotherapy (including those who received &gt; 2 cycles of GDP) was 53% (11 CR, 16 PR). Grade 3 and 4 neutropenia occurred in 33% and 39% of patients, respectively. Grade 3 and 4 thrombocytopenia occurred in 24% and 4% of patients, respectively. Seven patients (14%) experienced febrile neutropenia. Of the 35 patients &lt; 66 years, 22 (63%) proceeded to SCT. CONCLUSIONS. GDP is an active regimen in B-cell NHL and can be administered with acceptable toxicity to outpatients. A Phase III trial comparing GDP with standard cisplatin-based chemotherapy is now ongoing through the National Cancer Institute of Canada Clinical Trials Group. © 2004 American Cancer Society.","author":[{"dropping-particle":"","family":"Crump","given":"Michael","non-dropping-particle":"","parse-names":false,"suffix":""},{"dropping-particle":"","family":"Baetz","given":"Tara","non-dropping-particle":"","parse-names":false,"suffix":""},{"dropping-particle":"","family":"Couban","given":"Stephen","non-dropping-particle":"","parse-names":false,"suffix":""},{"dropping-particle":"","family":"Belch","given":"Andrew","non-dropping-particle":"","parse-names":false,"suffix":""},{"dropping-particle":"","family":"Marcellus","given":"Deborah","non-dropping-particle":"","parse-names":false,"suffix":""},{"dropping-particle":"","family":"Howson-Jan","given":"Kang","non-dropping-particle":"","parse-names":false,"suffix":""},{"dropping-particle":"","family":"Imrie","given":"Kevin","non-dropping-particle":"","parse-names":false,"suffix":""},{"dropping-particle":"","family":"Myers","given":"Robert","non-dropping-particle":"","parse-names":false,"suffix":""},{"dropping-particle":"","family":"Adams","given":"Grenfell","non-dropping-particle":"","parse-names":false,"suffix":""},{"dropping-particle":"","family":"Ding","given":"Keyue","non-dropping-particle":"","parse-names":false,"suffix":""},{"dropping-particle":"","family":"Paul","given":"Nancy","non-dropping-particle":"","parse-names":false,"suffix":""},{"dropping-particle":"","family":"Shepherd","given":"Lois","non-dropping-particle":"","parse-names":false,"suffix":""},{"dropping-particle":"","family":"Iglesias","given":"Jose","non-dropping-particle":"","parse-names":false,"suffix":""},{"dropping-particle":"","family":"Meyer","given":"Ralph","non-dropping-particle":"","parse-names":false,"suffix":""}],"container-title":"Cancer","id":"ITEM-1","issue":"8","issued":{"date-parts":[["2004","10","15"]]},"page":"1835-1842","title":"Gemcitabine, dexamethasone, and cisplatin in patients with recurrent or refractory aggressive histology B-cell non-Hodgkin lymphoma: A phase II study by the National Cancer Institute of Canada Clinical Trials Group (NCIC-CTG)","type":"article-journal","volume":"101"},"uris":["http://www.mendeley.com/documents/?uuid=c4263650-1307-3d44-8329-df1ffbf659e1"]}],"mendeley":{"formattedCitation":"[114]","plainTextFormattedCitation":"[114]","previouslyFormattedCitation":"[114]"},"properties":{"noteIndex":0},"schema":"https://github.com/citation-style-language/schema/raw/master/csl-citation.json"}</w:instrText>
      </w:r>
      <w:r w:rsidR="00496F35" w:rsidRPr="000322E4">
        <w:rPr>
          <w:lang w:val="en-US"/>
        </w:rPr>
        <w:fldChar w:fldCharType="separate"/>
      </w:r>
      <w:r w:rsidR="00A6794A" w:rsidRPr="00A6794A">
        <w:rPr>
          <w:noProof/>
          <w:lang w:val="en-US"/>
        </w:rPr>
        <w:t>[114]</w:t>
      </w:r>
      <w:r w:rsidR="00496F35" w:rsidRPr="000322E4">
        <w:rPr>
          <w:lang w:val="en-US"/>
        </w:rPr>
        <w:fldChar w:fldCharType="end"/>
      </w:r>
    </w:p>
    <w:p w14:paraId="7842ADCE" w14:textId="2D5B43D5" w:rsidR="00A33C04" w:rsidRPr="000322E4" w:rsidRDefault="00A33C04" w:rsidP="009D170B">
      <w:pPr>
        <w:pStyle w:val="afe"/>
        <w:numPr>
          <w:ilvl w:val="1"/>
          <w:numId w:val="9"/>
        </w:numPr>
        <w:ind w:left="1134"/>
      </w:pPr>
      <w:r w:rsidRPr="000322E4">
        <w:rPr>
          <w:lang w:val="en-US"/>
        </w:rPr>
        <w:t>GemOx</w:t>
      </w:r>
      <w:r w:rsidR="00496F35" w:rsidRPr="000322E4">
        <w:rPr>
          <w:lang w:val="en-US"/>
        </w:rPr>
        <w:t xml:space="preserve"> </w:t>
      </w:r>
      <w:r w:rsidR="00496F35" w:rsidRPr="000322E4">
        <w:rPr>
          <w:lang w:val="en-US"/>
        </w:rPr>
        <w:fldChar w:fldCharType="begin" w:fldLock="1"/>
      </w:r>
      <w:r w:rsidR="006A2B13">
        <w:rPr>
          <w:lang w:val="en-US"/>
        </w:rPr>
        <w:instrText>ADDIN CSL_CITATION {"citationItems":[{"id":"ITEM-1","itemData":{"DOI":"10.1007/s00280-009-0941-9","ISSN":"03445704","PMID":"19219604","abstract":"PURPOSE To determine the efficacy and safety of the combination of gemcitabine plus oxaliplatin, with and without rituximab, in patients with relapsed/refractory B-cell lymphoma unsuitable for high dose therapy. METHODS Patients were prospectively enrolled in two subsequent trials, GEMOX [gemcitabine (1200 mg/m(2), days 1 and 8) and oxaliplatin (120 mg/m(2), day 2), three-weekly] and R-GEMOX [rituximab (375 mg/m(2), day 1), gemcitabine (1200 mg/m(2), day 1) and oxaliplatin (120 mg/m(2), day 2), bi-weekly], up to six courses. RESULTS Sixty-two patients were enrolled: GEMOX [n = 30; median age, 66 years (range, 46-85); previous chemotherapy &gt; or =2, 70%; PS ECOG &gt; or = 2, 57%]; R-GEMOX [n = 32; median age, 65 years (range 32-79); previous chemotherapy &gt; or =2, 75%; PS ECOG &gt; or = 2, 47%]. Overall and complete response rates were 57 and 30% (95% CI, 15-49) for GEMOX and 78 and 50% (95% CI, 32-68) in R-GEMOX, respectively. Grade 3/4 neutropenia occurred in 57 and 47% of cycles and grade 3/4 thrombocytopenia in 26 and 17% of courses for GEMOX and R-GEMOX, respectively. At 42 months, the failure-free survival (FFS) was 7% (95% CI, 0-16) for GEMOX and 28% (95% CI, 9-47) for R-GEMOX (P = 0.014), with overall survivals of 7 (95% CI, 0-16) and 37% (95% CI, 20-55), respectively (P = 0.016). CONCLUSIONS Both regimes showed good tolerability and appealing response rates. FFS was more prolonged in R-GEMOX, but patients continuously relapsed without a clear plateau on survival curves.","author":[{"dropping-particle":"","family":"Corazzelli","given":"Gaetano","non-dropping-particle":"","parse-names":false,"suffix":""},{"dropping-particle":"","family":"Capobianco","given":"Gaetana","non-dropping-particle":"","parse-names":false,"suffix":""},{"dropping-particle":"","family":"Arcamone","given":"Manuela","non-dropping-particle":"","parse-names":false,"suffix":""},{"dropping-particle":"","family":"Ballerini","given":"Pier Ferruccio","non-dropping-particle":"","parse-names":false,"suffix":""},{"dropping-particle":"","family":"Iannitto","given":"Emilio","non-dropping-particle":"","parse-names":false,"suffix":""},{"dropping-particle":"","family":"Russo","given":"Filippo","non-dropping-particle":"","parse-names":false,"suffix":""},{"dropping-particle":"","family":"Frigeri","given":"Ferdinando","non-dropping-particle":"","parse-names":false,"suffix":""},{"dropping-particle":"","family":"Becchimanzi","given":"Cristina","non-dropping-particle":"","parse-names":false,"suffix":""},{"dropping-particle":"","family":"Marcacci","given":"Gianpaolo","non-dropping-particle":"","parse-names":false,"suffix":""},{"dropping-particle":"","family":"Chiara","given":"Annarosaria","non-dropping-particle":"De","parse-names":false,"suffix":""},{"dropping-particle":"","family":"Pinto","given":"Antonio","non-dropping-particle":"","parse-names":false,"suffix":""}],"container-title":"Cancer chemotherapy and pharmacology","id":"ITEM-1","issue":"5","issued":{"date-parts":[["2009","10"]]},"page":"907-16","title":"Long-term results of gemcitabine plus oxaliplatin with and without rituximab as salvage treatment for transplant-ineligible patients with refractory/relapsing B-cell lymphoma.","type":"article-journal","volume":"64"},"uris":["http://www.mendeley.com/documents/?uuid=94d56952-9f06-4fc1-a65e-4bfb5f2841d6"]}],"mendeley":{"formattedCitation":"[115]","plainTextFormattedCitation":"[115]","previouslyFormattedCitation":"[115]"},"properties":{"noteIndex":0},"schema":"https://github.com/citation-style-language/schema/raw/master/csl-citation.json"}</w:instrText>
      </w:r>
      <w:r w:rsidR="00496F35" w:rsidRPr="000322E4">
        <w:rPr>
          <w:lang w:val="en-US"/>
        </w:rPr>
        <w:fldChar w:fldCharType="separate"/>
      </w:r>
      <w:r w:rsidR="00A6794A" w:rsidRPr="00A6794A">
        <w:rPr>
          <w:noProof/>
          <w:lang w:val="en-US"/>
        </w:rPr>
        <w:t>[115]</w:t>
      </w:r>
      <w:r w:rsidR="00496F35" w:rsidRPr="000322E4">
        <w:rPr>
          <w:lang w:val="en-US"/>
        </w:rPr>
        <w:fldChar w:fldCharType="end"/>
      </w:r>
    </w:p>
    <w:p w14:paraId="3112AD8D" w14:textId="55C297E2" w:rsidR="00A33C04" w:rsidRPr="000322E4" w:rsidRDefault="00A33C04" w:rsidP="009D170B">
      <w:pPr>
        <w:pStyle w:val="afe"/>
        <w:numPr>
          <w:ilvl w:val="1"/>
          <w:numId w:val="9"/>
        </w:numPr>
        <w:ind w:left="1134"/>
      </w:pPr>
      <w:r w:rsidRPr="000322E4">
        <w:rPr>
          <w:lang w:val="en-US"/>
        </w:rPr>
        <w:t>DHAX</w:t>
      </w:r>
      <w:r w:rsidR="00F414BF" w:rsidRPr="000322E4">
        <w:t xml:space="preserve"> </w:t>
      </w:r>
      <w:r w:rsidR="00F414BF" w:rsidRPr="000322E4">
        <w:rPr>
          <w:lang w:val="en-US"/>
        </w:rPr>
        <w:fldChar w:fldCharType="begin" w:fldLock="1"/>
      </w:r>
      <w:r w:rsidR="006A2B13">
        <w:rPr>
          <w:lang w:val="en-US"/>
        </w:rPr>
        <w:instrText>ADDIN CSL_CITATION {"citationItems":[{"id":"ITEM-1","itemData":{"DOI":"10.1046/j.1365-2141.2001.03181.x","ISSN":"00071048","abstract":"This study was designed to assess the efficacy and safety of substituting cisplatin with oxaliplatin in the DHAP (dexamethasone, cytarabine and cisplatin) regimen for patients with relapsed or refractory non-Hodgkin's lymphoma. Twenty-four evaluable patients with intermediate or high-grade non-Hodgkin's lymphoma were treated at 3-weekly intervals with oxaliplatin (130 mg/m2, d 1), cytarabine (2 g/m2 for two doses, d 2) and dexamethasone (40 mg, d 1-4). The median age of the patients was 58 (range 18-70). Histological subtypes were diffuse large B cell, 20; mantle cell, two; anaplastic large cell, one; and peripheral T cell, one. The overall objective response rate (RR) was 50% [95% confidence interval (CI) = 29-71%] including four complete responses and eight partial responses. RR for those patients treated at first relapse was higher than those treated at second and subsequent relapse (77% versus 29%). Grade 3 and 4 toxicity was mainly haematological: anaemia 17%, neutropenia 75% and thrombocytopenia 75%. No grade 4 non-haematological toxicity was reported. No significant renal and neurotoxicity was demonstrated. Median survival was 10.6 months. Probabilities of 1-year progression-free survival and overall survival were 47% (95% CI = 26-66%) and 50% (95% CI = 23-72%) respectively. In conclusion, dexamethasone, cytarabine and oxaliplatin (DHAX) is a novel combination in salvage therapy for relapsed or refractory non-Hodgkin's lymphoma. It has clinically significant activity with an acceptable toxicity profile. Lack of renal toxicity makes DHAX an attractive cytoreductive regimen before high-dose chemotherapy.","author":[{"dropping-particle":"","family":"Chau","given":"Ian","non-dropping-particle":"","parse-names":false,"suffix":""},{"dropping-particle":"","family":"Webb","given":"Andrew","non-dropping-particle":"","parse-names":false,"suffix":""},{"dropping-particle":"","family":"Cunningham","given":"David","non-dropping-particle":"","parse-names":false,"suffix":""},{"dropping-particle":"","family":"Hill","given":"Mark","non-dropping-particle":"","parse-names":false,"suffix":""},{"dropping-particle":"","family":"Rao","given":"Sheela","non-dropping-particle":"","parse-names":false,"suffix":""},{"dropping-particle":"","family":"Ageli","given":"Suad","non-dropping-particle":"","parse-names":false,"suffix":""},{"dropping-particle":"","family":"Norman","given":"Andrew","non-dropping-particle":"","parse-names":false,"suffix":""},{"dropping-particle":"","family":"Gill","given":"Kairen","non-dropping-particle":"","parse-names":false,"suffix":""},{"dropping-particle":"","family":"Howard","given":"Anne","non-dropping-particle":"","parse-names":false,"suffix":""},{"dropping-particle":"","family":"Catovsky","given":"Daniel","non-dropping-particle":"","parse-names":false,"suffix":""}],"container-title":"British Journal of Haematology","id":"ITEM-1","issue":"4","issued":{"date-parts":[["2001","12"]]},"page":"786-792","title":"An oxaliplatin-based chemotherapy in patients with relapsed or refractory intermediate and high-grade non-Hodgkin's lymphoma","type":"article-journal","volume":"115"},"uris":["http://www.mendeley.com/documents/?uuid=f4c05131-9586-3f40-ad46-6e84e6b61c46"]}],"mendeley":{"formattedCitation":"[116]","plainTextFormattedCitation":"[116]","previouslyFormattedCitation":"[116]"},"properties":{"noteIndex":0},"schema":"https://github.com/citation-style-language/schema/raw/master/csl-citation.json"}</w:instrText>
      </w:r>
      <w:r w:rsidR="00F414BF" w:rsidRPr="000322E4">
        <w:rPr>
          <w:lang w:val="en-US"/>
        </w:rPr>
        <w:fldChar w:fldCharType="separate"/>
      </w:r>
      <w:r w:rsidR="00A6794A" w:rsidRPr="00A6794A">
        <w:rPr>
          <w:noProof/>
        </w:rPr>
        <w:t>[116]</w:t>
      </w:r>
      <w:r w:rsidR="00F414BF" w:rsidRPr="000322E4">
        <w:rPr>
          <w:lang w:val="en-US"/>
        </w:rPr>
        <w:fldChar w:fldCharType="end"/>
      </w:r>
      <w:r w:rsidR="00F414BF" w:rsidRPr="000322E4" w:rsidDel="00F414BF">
        <w:rPr>
          <w:lang w:val="en-US"/>
        </w:rPr>
        <w:t xml:space="preserve"> </w:t>
      </w:r>
    </w:p>
    <w:p w14:paraId="3498BB7C" w14:textId="5AE728F4" w:rsidR="00BB3904" w:rsidRPr="000322E4" w:rsidRDefault="00BB3904" w:rsidP="009D170B">
      <w:pPr>
        <w:pStyle w:val="afe"/>
        <w:numPr>
          <w:ilvl w:val="1"/>
          <w:numId w:val="9"/>
        </w:numPr>
        <w:ind w:left="1134"/>
      </w:pPr>
      <w:r w:rsidRPr="000322E4">
        <w:rPr>
          <w:lang w:val="en-US"/>
        </w:rPr>
        <w:t xml:space="preserve">MINE </w:t>
      </w:r>
      <w:r w:rsidRPr="000322E4">
        <w:rPr>
          <w:lang w:val="en-US"/>
        </w:rPr>
        <w:fldChar w:fldCharType="begin" w:fldLock="1"/>
      </w:r>
      <w:r w:rsidR="006A2B13">
        <w:rPr>
          <w:lang w:val="en-US"/>
        </w:rPr>
        <w:instrText>ADDIN CSL_CITATION {"citationItems":[{"id":"ITEM-1","itemData":{"DOI":"10.3109/10428194.2015.1135437","ISSN":"10292403","author":[{"dropping-particle":"","family":"Amorim","given":"Sandy","non-dropping-particle":"","parse-names":false,"suffix":""},{"dropping-particle":"","family":"Fleury","given":"Isabelle","non-dropping-particle":"","parse-names":false,"suffix":""},{"dropping-particle":"","family":"Mounier","given":"Nicolas","non-dropping-particle":"","parse-names":false,"suffix":""},{"dropping-particle":"","family":"Harel","given":"Stéphanie","non-dropping-particle":"","parse-names":false,"suffix":""},{"dropping-particle":"","family":"Brice","given":"Pauline","non-dropping-particle":"","parse-names":false,"suffix":""},{"dropping-particle":"","family":"Thieblemont","given":"Catherine","non-dropping-particle":"","parse-names":false,"suffix":""}],"container-title":"Leukemia and Lymphoma","id":"ITEM-1","issue":"10","issued":{"date-parts":[["2016","10","2"]]},"page":"2425-2428","publisher":"Taylor and Francis Ltd","title":"Consolidation therapy with mitoxantrone, ifosfamide and etoposide with or without rituximab before stem cell transplantation in relapsed diffuse large B-cell lymphoma patients failing second-line treatment","type":"article","volume":"57"},"uris":["http://www.mendeley.com/documents/?uuid=ba15de37-26c3-3642-b509-b49ecb260e3c"]}],"mendeley":{"formattedCitation":"[117]","plainTextFormattedCitation":"[117]","previouslyFormattedCitation":"[117]"},"properties":{"noteIndex":0},"schema":"https://github.com/citation-style-language/schema/raw/master/csl-citation.json"}</w:instrText>
      </w:r>
      <w:r w:rsidRPr="000322E4">
        <w:rPr>
          <w:lang w:val="en-US"/>
        </w:rPr>
        <w:fldChar w:fldCharType="separate"/>
      </w:r>
      <w:r w:rsidR="00A6794A" w:rsidRPr="00A6794A">
        <w:rPr>
          <w:noProof/>
          <w:lang w:val="en-US"/>
        </w:rPr>
        <w:t>[117]</w:t>
      </w:r>
      <w:r w:rsidRPr="000322E4">
        <w:rPr>
          <w:lang w:val="en-US"/>
        </w:rPr>
        <w:fldChar w:fldCharType="end"/>
      </w:r>
    </w:p>
    <w:p w14:paraId="625D65E7" w14:textId="77777777" w:rsidR="00E26065" w:rsidRPr="000322E4" w:rsidRDefault="00E26065" w:rsidP="00F414BF">
      <w:pPr>
        <w:spacing w:line="360" w:lineRule="auto"/>
        <w:ind w:left="709"/>
        <w:contextualSpacing/>
        <w:jc w:val="both"/>
        <w:rPr>
          <w:b/>
        </w:rPr>
      </w:pPr>
      <w:r w:rsidRPr="000322E4">
        <w:rPr>
          <w:b/>
        </w:rPr>
        <w:t xml:space="preserve">Уровень убедительности рекомендаций </w:t>
      </w:r>
      <w:r w:rsidR="00D36141" w:rsidRPr="000322E4">
        <w:rPr>
          <w:b/>
        </w:rPr>
        <w:t xml:space="preserve">С </w:t>
      </w:r>
      <w:r w:rsidRPr="000322E4">
        <w:rPr>
          <w:b/>
        </w:rPr>
        <w:t xml:space="preserve">(уровень достоверности доказательств </w:t>
      </w:r>
      <w:r w:rsidR="00D36141" w:rsidRPr="000322E4">
        <w:rPr>
          <w:b/>
        </w:rPr>
        <w:t>5</w:t>
      </w:r>
      <w:r w:rsidRPr="000322E4">
        <w:rPr>
          <w:b/>
        </w:rPr>
        <w:t>).</w:t>
      </w:r>
    </w:p>
    <w:p w14:paraId="341B314D" w14:textId="77777777" w:rsidR="00A33C04" w:rsidRPr="000322E4" w:rsidRDefault="00A33C04" w:rsidP="00021E2A">
      <w:pPr>
        <w:spacing w:line="360" w:lineRule="auto"/>
        <w:ind w:firstLine="709"/>
        <w:jc w:val="both"/>
        <w:rPr>
          <w:i/>
          <w:iCs/>
        </w:rPr>
      </w:pPr>
      <w:r w:rsidRPr="000322E4">
        <w:rPr>
          <w:b/>
        </w:rPr>
        <w:t>Комментарии:</w:t>
      </w:r>
      <w:r w:rsidRPr="000322E4">
        <w:t xml:space="preserve"> </w:t>
      </w:r>
      <w:r w:rsidRPr="000322E4">
        <w:rPr>
          <w:i/>
          <w:iCs/>
        </w:rPr>
        <w:t>цитостатики, используемые в данных схемах лечения, не оказывают повреждающего влияния на стоволовые гемопоэтические клетки и не ухудшают качество сбора стволовых клеток для ауто- трансплантата.</w:t>
      </w:r>
    </w:p>
    <w:p w14:paraId="123F1D69" w14:textId="30417DBA" w:rsidR="0011642B" w:rsidRPr="000322E4" w:rsidRDefault="0011642B" w:rsidP="00F414BF">
      <w:pPr>
        <w:pStyle w:val="afff8"/>
        <w:spacing w:before="0"/>
      </w:pPr>
      <w:r w:rsidRPr="000322E4">
        <w:t xml:space="preserve">Пациентам с рецидивами/рефрактерными </w:t>
      </w:r>
      <w:r w:rsidRPr="00021E2A">
        <w:rPr>
          <w:color w:val="000000" w:themeColor="text1"/>
        </w:rPr>
        <w:t xml:space="preserve">формами </w:t>
      </w:r>
      <w:r w:rsidR="00096052" w:rsidRPr="00021E2A">
        <w:rPr>
          <w:color w:val="000000" w:themeColor="text1"/>
          <w:lang w:eastAsia="ru-RU"/>
        </w:rPr>
        <w:t>ДВКЛ</w:t>
      </w:r>
      <w:r w:rsidR="00096052" w:rsidRPr="00021E2A">
        <w:rPr>
          <w:color w:val="000000" w:themeColor="text1"/>
        </w:rPr>
        <w:t>, ПМВКЛ</w:t>
      </w:r>
      <w:r w:rsidR="001F280A" w:rsidRPr="00021E2A">
        <w:rPr>
          <w:color w:val="000000" w:themeColor="text1"/>
        </w:rPr>
        <w:t>,</w:t>
      </w:r>
      <w:r w:rsidR="00096052" w:rsidRPr="00021E2A">
        <w:rPr>
          <w:color w:val="000000" w:themeColor="text1"/>
        </w:rPr>
        <w:t xml:space="preserve"> ЛБ </w:t>
      </w:r>
      <w:r w:rsidRPr="000322E4">
        <w:t xml:space="preserve">моложе 65 лет без значимой коморбидности в случае достижения противоопухолевого ответа на противорецидивную терапию </w:t>
      </w:r>
      <w:r w:rsidRPr="000322E4">
        <w:rPr>
          <w:bCs/>
        </w:rPr>
        <w:t>при наличии возможности</w:t>
      </w:r>
      <w:r w:rsidRPr="000322E4">
        <w:t xml:space="preserve"> </w:t>
      </w:r>
      <w:r w:rsidRPr="000322E4">
        <w:rPr>
          <w:b/>
        </w:rPr>
        <w:t xml:space="preserve">рекомендовано </w:t>
      </w:r>
      <w:r w:rsidRPr="000322E4">
        <w:rPr>
          <w:szCs w:val="24"/>
          <w:lang w:eastAsia="ru-RU"/>
        </w:rPr>
        <w:t xml:space="preserve">проведение высокодозной химиотерапии с </w:t>
      </w:r>
      <w:r w:rsidRPr="00021E2A">
        <w:rPr>
          <w:szCs w:val="24"/>
          <w:lang w:eastAsia="ru-RU"/>
        </w:rPr>
        <w:t>трансплантацией аутологичных гемопоэтических стволовых клеток</w:t>
      </w:r>
      <w:r w:rsidRPr="000322E4">
        <w:rPr>
          <w:szCs w:val="24"/>
          <w:lang w:eastAsia="ru-RU"/>
        </w:rPr>
        <w:t xml:space="preserve"> </w:t>
      </w:r>
      <w:r w:rsidR="00021E2A">
        <w:fldChar w:fldCharType="begin" w:fldLock="1"/>
      </w:r>
      <w:r w:rsidR="006A2B13">
        <w:instrText>ADDIN CSL_CITATION {"citationItems":[{"id":"ITEM-1","itemData":{"DOI":"10.1056/NEJM199512073332305","ISSN":"15334406","abstract":"High-dose chemotherapy followed by autologous bone marrow transplantation is a therapeutic option for patients with chemotherapy-sensitive non-Hodgkin's lymphoma who have relapses. In this report we describe a prospective randomized study of such treatment. A total of 215 patients with relapses of non-Hodgkin's lymphoma were treated between July 1987 and June 1994. All patients received two courses of conventional chemotherapy. The 109 patients who had a response to chemotherapy were randomly assigned to receive four courses of chemotherapy plus radiotherapy (54 patients) or radiotherapy plus intensive chemotherapy and autologous bone marrow transplantation (55 patients). The overall rate of response to conventional chemotherapy was 58 percent; among patients with relapses after chemotherapy, the response rate was 64 percent, and among those with relapses during chemotherapy, the response rate was 21 percent. There were three deaths from toxic effects among the patients in the transplantation group, and none among those in the group receiving chemotherapy without transplantation. The two groups did not differ in terms of prognostic factors. The median follow-up time was 63 months. The response rate was 84 percent after bone marrow transplantation and 44 percent after chemotherapy without transplantation. At five years, the rate of event-free survival was 46 percent in the transplantation group and 12 percent in the group receiving chemotherapy without transplantation (P = 0.001), and the rate of overall survival was 53 and 32 percent, respectively (P = 0.038). As compared with conventional chemotherapy, treatment with high-dose chemotherapy and autologous bone marrow transplantation increases event-free and overall survival in patients with chemotherapy-sensitive non-Hodgkin's lymphoma in relapse. © 1995, Massachusetts Medical Society. All rights reserved.","author":[{"dropping-particle":"","family":"Philip","given":"Thierry","non-dropping-particle":"","parse-names":false,"suffix":""},{"dropping-particle":"","family":"Guglielmi","given":"Cesare","non-dropping-particle":"","parse-names":false,"suffix":""},{"dropping-particle":"","family":"Hagenbeek","given":"Anton","non-dropping-particle":"","parse-names":false,"suffix":""},{"dropping-particle":"","family":"Somers","given":"Renier","non-dropping-particle":"","parse-names":false,"suffix":""},{"dropping-particle":"","family":"Lelie","given":"Hans","non-dropping-particle":"Van Der","parse-names":false,"suffix":""},{"dropping-particle":"","family":"Bron","given":"Dominique","non-dropping-particle":"","parse-names":false,"suffix":""},{"dropping-particle":"","family":"Sonneveld","given":"Pieter","non-dropping-particle":"","parse-names":false,"suffix":""},{"dropping-particle":"","family":"Gisselbrecht","given":"Christian","non-dropping-particle":"","parse-names":false,"suffix":""},{"dropping-particle":"","family":"Cahn","given":"Jean Yves","non-dropping-particle":"","parse-names":false,"suffix":""},{"dropping-particle":"","family":"Harousseau","given":"Jean Luc","non-dropping-particle":"","parse-names":false,"suffix":""},{"dropping-particle":"","family":"Coiffier","given":"Bertrand","non-dropping-particle":"","parse-names":false,"suffix":""},{"dropping-particle":"","family":"Biron","given":"Pierre","non-dropping-particle":"","parse-names":false,"suffix":""},{"dropping-particle":"","family":"Mandelli","given":"Franco","non-dropping-particle":"","parse-names":false,"suffix":""},{"dropping-particle":"","family":"Chauvin","given":"Franck","non-dropping-particle":"","parse-names":false,"suffix":""}],"container-title":"New England Journal of Medicine","id":"ITEM-1","issue":"23","issued":{"date-parts":[["1995","12","7"]]},"page":"1540-1545","title":"Autologous bone marrow transplantation as compared with salvage chemotherapy in relapses of chemotherapy-sensitive non-hodgkin's lymphoma","type":"article-journal","volume":"333"},"uris":["http://www.mendeley.com/documents/?uuid=8c2de6b9-bbfd-3bb4-a853-02372fd7b8eb"]},{"id":"ITEM-2","itemData":{"DOI":"10.1200/JCO.1996.14.9.2465","ISSN":"0732183X","abstract":"PURPOSE: To investigate the results of treatment for adult patients with Burkitt's and Burkitt-like non-Hodgkin's lymphoma (NHL) undergoing high-dose therapy and autologous stem-cell transplantation (ASCT), and to determine prognostic factors for this group. PATIENTS AND METHODS: A retrospective analysis of 117 adult patients reported to the lymphoma registry of the European Group for Blood and Marrow Transplantation (EBMT) between June 1984 and November 1994. Seventy of these patients received high-dose therapy and stem-cell transplantation in first complete remission (CR). Data on all patients were reviewed, and prognostic factors were determined by univariate and multivariate analysis. RESULTS: The actuarial overall survival (OS) rate for the entire group was 53% at 3 years. The major factor predicting for outcome after transplantation was disease status: the 3-year actuarial OS rate was 72% for patients transplanted in first CR, compared with 37% for patients in chemosensitive relapse, and 7% for chemoresistant patients. For patients transplanted in first CR, disease bulk at the time of ASCT was the only factor predictive of progression-free survival (PFS) and OS. CONCLUSION: The results of high-dose therapy and ASCT for patients with relapsed disease, particularly chemosensitive relapse, are superior to those reported for conventional-dose salvage regimens. The results for patients transplanted in first CR require comparison with modern dose-intensive regimens.","author":[{"dropping-particle":"","family":"Sweetenham","given":"J. W.","non-dropping-particle":"","parse-names":false,"suffix":""},{"dropping-particle":"","family":"Pearce","given":"R.","non-dropping-particle":"","parse-names":false,"suffix":""},{"dropping-particle":"","family":"Taghipour","given":"G.","non-dropping-particle":"","parse-names":false,"suffix":""},{"dropping-particle":"","family":"Biaise","given":"D.","non-dropping-particle":"","parse-names":false,"suffix":""},{"dropping-particle":"","family":"Gisselbrecht","given":"C.","non-dropping-particle":"","parse-names":false,"suffix":""},{"dropping-particle":"","family":"Goldstone","given":"A. H.","non-dropping-particle":"","parse-names":false,"suffix":""}],"container-title":"Journal of Clinical Oncology","id":"ITEM-2","issue":"9","issued":{"date-parts":[["1996"]]},"page":"2465-2472","publisher":"American Society of Clinical Oncology","title":"Adult Burkitt's and Burkitt-like non-Hodgkin's lymphoma - Outcome for patients treated with high-dose therapy and autologous stem-cell transplantation in first remission or at relapse: Results from the European group for blood and marrow transplantation","type":"article-journal","volume":"14"},"uris":["http://www.mendeley.com/documents/?uuid=05684feb-eaa2-3a48-a6f5-7e5ff32cb2c2"]}],"mendeley":{"formattedCitation":"[118,119]","plainTextFormattedCitation":"[118,119]","previouslyFormattedCitation":"[118,119]"},"properties":{"noteIndex":0},"schema":"https://github.com/citation-style-language/schema/raw/master/csl-citation.json"}</w:instrText>
      </w:r>
      <w:r w:rsidR="00021E2A">
        <w:fldChar w:fldCharType="separate"/>
      </w:r>
      <w:r w:rsidR="00A6794A" w:rsidRPr="00A6794A">
        <w:rPr>
          <w:noProof/>
        </w:rPr>
        <w:t>[118,119]</w:t>
      </w:r>
      <w:r w:rsidR="00021E2A">
        <w:fldChar w:fldCharType="end"/>
      </w:r>
      <w:r w:rsidRPr="000322E4">
        <w:t>.</w:t>
      </w:r>
    </w:p>
    <w:p w14:paraId="1A57EEBB" w14:textId="77777777" w:rsidR="00A33C04" w:rsidRPr="000322E4" w:rsidRDefault="009A20F4" w:rsidP="00CA442F">
      <w:pPr>
        <w:pStyle w:val="afe"/>
        <w:ind w:left="709" w:firstLine="0"/>
        <w:rPr>
          <w:b/>
        </w:rPr>
      </w:pPr>
      <w:r w:rsidRPr="000322E4">
        <w:rPr>
          <w:b/>
        </w:rPr>
        <w:t xml:space="preserve">Уровень убедительности рекомендаций </w:t>
      </w:r>
      <w:r w:rsidR="00B4008F" w:rsidRPr="000322E4">
        <w:rPr>
          <w:b/>
        </w:rPr>
        <w:t>С</w:t>
      </w:r>
      <w:r w:rsidRPr="000322E4">
        <w:rPr>
          <w:b/>
        </w:rPr>
        <w:t xml:space="preserve"> (уровень достоверности доказательств </w:t>
      </w:r>
      <w:r w:rsidR="00B4008F" w:rsidRPr="000322E4">
        <w:rPr>
          <w:b/>
        </w:rPr>
        <w:t>4</w:t>
      </w:r>
      <w:r w:rsidRPr="000322E4">
        <w:rPr>
          <w:b/>
        </w:rPr>
        <w:t>).</w:t>
      </w:r>
    </w:p>
    <w:p w14:paraId="3A6E4E81" w14:textId="77777777" w:rsidR="009A20F4" w:rsidRPr="000322E4" w:rsidRDefault="009A20F4" w:rsidP="00021E2A">
      <w:pPr>
        <w:spacing w:line="360" w:lineRule="auto"/>
        <w:ind w:firstLine="709"/>
        <w:jc w:val="both"/>
        <w:rPr>
          <w:i/>
          <w:iCs/>
        </w:rPr>
      </w:pPr>
      <w:r w:rsidRPr="000322E4">
        <w:rPr>
          <w:b/>
        </w:rPr>
        <w:t>Комментарии:</w:t>
      </w:r>
      <w:r w:rsidRPr="000322E4">
        <w:t xml:space="preserve"> </w:t>
      </w:r>
      <w:r w:rsidRPr="000322E4">
        <w:rPr>
          <w:i/>
          <w:iCs/>
        </w:rPr>
        <w:t>тактика лечения рецидивов у пациентов после ВДХТ с аутоТГСК определяется физическим состоянием пациента, а также объемом проведенного ранее лечения. У молодых пациентов с хорошим соматическим статусом можно рассматривать возможность выполнения алло-ТГСК (алло-ТКМ). Предлагается рассмотреть вопрос об участии пациентов данной группы в клинических исследованиях.</w:t>
      </w:r>
    </w:p>
    <w:p w14:paraId="34C68B26" w14:textId="77777777" w:rsidR="009A20F4" w:rsidRPr="000322E4" w:rsidRDefault="009A20F4" w:rsidP="00F414BF">
      <w:pPr>
        <w:pStyle w:val="afe"/>
        <w:numPr>
          <w:ilvl w:val="0"/>
          <w:numId w:val="9"/>
        </w:numPr>
        <w:ind w:left="709" w:hanging="709"/>
      </w:pPr>
      <w:r w:rsidRPr="000322E4">
        <w:t xml:space="preserve">Пациентам с рецидивами/рефрактерными формами ДВКЛ старше 65 лет и/или со значимой коморбидностью и не являющимся кандидатами на проведение ВДХТ с ауто-ТГСК </w:t>
      </w:r>
      <w:r w:rsidRPr="000322E4">
        <w:rPr>
          <w:b/>
        </w:rPr>
        <w:t xml:space="preserve">рекомендовано </w:t>
      </w:r>
      <w:r w:rsidRPr="000322E4">
        <w:rPr>
          <w:rFonts w:eastAsia="Times New Roman"/>
          <w:szCs w:val="24"/>
          <w:lang w:eastAsia="ru-RU"/>
        </w:rPr>
        <w:t xml:space="preserve">проведение </w:t>
      </w:r>
      <w:r w:rsidRPr="000322E4">
        <w:t xml:space="preserve">менее интенсивных режимов химиотерапии/иммунохимиотерапии второй и последующих линий терапии, таких как: </w:t>
      </w:r>
    </w:p>
    <w:p w14:paraId="3FD4F3F1" w14:textId="137038E6" w:rsidR="00D36123" w:rsidRPr="000322E4" w:rsidRDefault="00D36123" w:rsidP="00021E2A">
      <w:pPr>
        <w:pStyle w:val="afe"/>
        <w:numPr>
          <w:ilvl w:val="1"/>
          <w:numId w:val="9"/>
        </w:numPr>
        <w:ind w:left="1134"/>
      </w:pPr>
      <w:r w:rsidRPr="000322E4">
        <w:rPr>
          <w:lang w:val="en-US"/>
        </w:rPr>
        <w:t xml:space="preserve">GemOx </w:t>
      </w:r>
      <w:r w:rsidRPr="000322E4">
        <w:rPr>
          <w:lang w:val="en-US"/>
        </w:rPr>
        <w:fldChar w:fldCharType="begin" w:fldLock="1"/>
      </w:r>
      <w:r w:rsidR="006A2B13">
        <w:rPr>
          <w:lang w:val="en-US"/>
        </w:rPr>
        <w:instrText>ADDIN CSL_CITATION {"citationItems":[{"id":"ITEM-1","itemData":{"DOI":"10.3324/haematol.2013.090597","ISSN":"03906078","abstract":"A previous pilot study with rituximab, gemcitabine and oxaliplatin showed promising activity in patients with refractory/relapsed B-cell lymphoma. We, therefore, conducted a phase II study to determine whether these results could be reproduced in a multi-institutional setting. This phase II study included 49 patients with refractory (n=6) or relapsing (n=43) diffuse large B-cell lymphoma. The median age of the patients was 69 years. Prior treatment included rituximab in 31 (63%) and autologous transplantation in 17 (35%) patients. International Prognostic Index at enrollment was &gt;2 in 34 patients (71%). The primary endpoint was overall response rate after four cycles of treatment. Patients were planned to receive eight cycles if they reached at least partial remission after four cycles. After four cycles 21 patients (44%) were in complete remission and 8 (17%) in partial remission, resulting in an overall response rate of 61%. Factors significantly affecting overall response rate were early (&lt;1 year) progression/relapse (18% versus 54%; P=0.001) and prior exposure to rituximab (23% versus 65%; P=0.004). Five-year progression-free and overall survival rates were 12.8% and 13.9%, respectively. Rituximab, gemcitabine and oxaliplatin were well tolerated with grade 3-4 infectious episodes in 22% of the cycles. These results are the first confirmation from a multicenter study that rituximab, gemcitabine and oxaliplatin provide a consistent response rate in patients with refractory/relapsed diffuse large B-cell lymphoma. This therapy can now be considered as a platform for new combinations with targeted treatments. This trial was registered at clinicaltrial.gov under #NCT00169195. © 2013 Ferrata Storti Foundation.","author":[{"dropping-particle":"","family":"Mounier","given":"Nicolas","non-dropping-particle":"","parse-names":false,"suffix":""},{"dropping-particle":"","family":"Gnaoui","given":"Taoufik","non-dropping-particle":"El","parse-names":false,"suffix":""},{"dropping-particle":"","family":"Tilly","given":"Hervé","non-dropping-particle":"","parse-names":false,"suffix":""},{"dropping-particle":"","family":"Canioni","given":"Danièle","non-dropping-particle":"","parse-names":false,"suffix":""},{"dropping-particle":"","family":"Sebban","given":"Catherine","non-dropping-particle":"","parse-names":false,"suffix":""},{"dropping-particle":"","family":"Casasnovas","given":"René Olivier","non-dropping-particle":"","parse-names":false,"suffix":""},{"dropping-particle":"","family":"Delarue","given":"Richard","non-dropping-particle":"","parse-names":false,"suffix":""},{"dropping-particle":"","family":"Sonet","given":"Anne","non-dropping-particle":"","parse-names":false,"suffix":""},{"dropping-particle":"","family":"Beaussart","given":"Pauline","non-dropping-particle":"","parse-names":false,"suffix":""},{"dropping-particle":"","family":"Petrella","given":"Tony","non-dropping-particle":"","parse-names":false,"suffix":""},{"dropping-particle":"","family":"Castaigne","given":"Sylvie","non-dropping-particle":"","parse-names":false,"suffix":""},{"dropping-particle":"","family":"Bologna","given":"Serge","non-dropping-particle":"","parse-names":false,"suffix":""},{"dropping-particle":"","family":"Salles","given":"Gilles","non-dropping-particle":"","parse-names":false,"suffix":""},{"dropping-particle":"","family":"Rahmouni","given":"Alain","non-dropping-particle":"","parse-names":false,"suffix":""},{"dropping-particle":"","family":"Gaulard","given":"Philippe","non-dropping-particle":"","parse-names":false,"suffix":""},{"dropping-particle":"","family":"Haioun","given":"Corinne","non-dropping-particle":"","parse-names":false,"suffix":""}],"container-title":"Haematologica","id":"ITEM-1","issue":"11","issued":{"date-parts":[["2013","11","1"]]},"page":"1726-1731","title":"Rituximab plus gemcitabine and oxaliplatin in patients with refractory/relapsed diffuse large B-cell lymphoma who are not candidates for high-dose therapy. A phase II lymphoma study Association trial","type":"article-journal","volume":"98"},"uris":["http://www.mendeley.com/documents/?uuid=9f883ea0-57fe-3731-ab2d-2c5d5446927a"]}],"mendeley":{"formattedCitation":"[120]","plainTextFormattedCitation":"[120]","previouslyFormattedCitation":"[120]"},"properties":{"noteIndex":0},"schema":"https://github.com/citation-style-language/schema/raw/master/csl-citation.json"}</w:instrText>
      </w:r>
      <w:r w:rsidRPr="000322E4">
        <w:rPr>
          <w:lang w:val="en-US"/>
        </w:rPr>
        <w:fldChar w:fldCharType="separate"/>
      </w:r>
      <w:r w:rsidR="00A6794A" w:rsidRPr="00A6794A">
        <w:rPr>
          <w:noProof/>
          <w:lang w:val="en-US"/>
        </w:rPr>
        <w:t>[120]</w:t>
      </w:r>
      <w:r w:rsidRPr="000322E4">
        <w:rPr>
          <w:lang w:val="en-US"/>
        </w:rPr>
        <w:fldChar w:fldCharType="end"/>
      </w:r>
    </w:p>
    <w:p w14:paraId="679F34CC" w14:textId="2781A73C" w:rsidR="009A20F4" w:rsidRPr="000322E4" w:rsidRDefault="009A20F4" w:rsidP="00021E2A">
      <w:pPr>
        <w:pStyle w:val="afe"/>
        <w:numPr>
          <w:ilvl w:val="1"/>
          <w:numId w:val="9"/>
        </w:numPr>
        <w:ind w:left="1134"/>
      </w:pPr>
      <w:r w:rsidRPr="000322E4">
        <w:rPr>
          <w:lang w:val="en-US"/>
        </w:rPr>
        <w:t>BR</w:t>
      </w:r>
      <w:r w:rsidR="00D36123" w:rsidRPr="000322E4">
        <w:rPr>
          <w:lang w:val="en-US"/>
        </w:rPr>
        <w:t xml:space="preserve"> </w:t>
      </w:r>
      <w:r w:rsidR="00D36123" w:rsidRPr="000322E4">
        <w:rPr>
          <w:lang w:val="en-US"/>
        </w:rPr>
        <w:fldChar w:fldCharType="begin" w:fldLock="1"/>
      </w:r>
      <w:r w:rsidR="006A2B13">
        <w:rPr>
          <w:lang w:val="en-US"/>
        </w:rPr>
        <w:instrText>ADDIN CSL_CITATION {"citationItems":[{"id":"ITEM-1","itemData":{"DOI":"10.1007/s00277-013-1879-x","ISSN":"09395555","abstract":"Patients with relapsed or refractory diffuse large B cell lymphoma (DLBCL) are treated with salvage regimens and may be considered for high-dose chemotherapy and autologous stem cell transplantation if disease is chemosensitive. Bendamustine is active in indolent B cell lymphomas and chronic lymphocytic leukemia but has not been extensively studied in aggressive lymphomas. This trial examines the combination of bendamustine and rituximab in patients with relapsed and refractory DLBCL. Patients received bendamustine at 90 mg/m2 (n = 2) or 120 mg/m2 (n = 57) on days 1 and 2 and rituximab at 375 mg/m2 on day 1 every 28 days for up to 6 cycles. The study evaluated objective response rate (ORR), duration of response (DOR), progression-free survival (PFS), and treatment safety. Fifty-nine patients were treated, and 48 were evaluable for response. Median age was 74; 89 % had stage III or IV disease, and 63 % had high revised International Prognostic Index scores; the median number of prior therapies was 1. Based on analysis using the intent-to-treat population, the ORR was 45.8 % (complete response, 15.3 %; partial response, 30.5 %). The median DOR was 17.3 months, and the median PFS was 3.6 months. Grade 3 or 4 hematological toxicities included neutropenia (36 %), leukopenia (29 %), thrombocytopenia (22 %), and anemia (12 %). The combination of bendamustine and rituximab showed modest activity in patients with relapsed and refractory DLBCL and has an acceptable toxicity profile. © 2013 The Author(s).","author":[{"dropping-particle":"","family":"Vacirca","given":"Jeffrey L.","non-dropping-particle":"","parse-names":false,"suffix":""},{"dropping-particle":"","family":"Acs","given":"Peter I.","non-dropping-particle":"","parse-names":false,"suffix":""},{"dropping-particle":"","family":"Tabbara","given":"Imad A.","non-dropping-particle":"","parse-names":false,"suffix":""},{"dropping-particle":"","family":"Rosen","given":"Peter J.","non-dropping-particle":"","parse-names":false,"suffix":""},{"dropping-particle":"","family":"Lee","given":"Peter","non-dropping-particle":"","parse-names":false,"suffix":""},{"dropping-particle":"","family":"Lynam","given":"Eric","non-dropping-particle":"","parse-names":false,"suffix":""}],"container-title":"Annals of Hematology","id":"ITEM-1","issue":"3","issued":{"date-parts":[["2014","3"]]},"page":"403-409","title":"Bendamustine combined with rituximab for patients with relapsed or refractory diffuse large B cell lymphoma","type":"article-journal","volume":"93"},"uris":["http://www.mendeley.com/documents/?uuid=0070ae13-9af0-3b16-960e-b2b285b056da"]},{"id":"ITEM-2","itemData":{"DOI":"10.1200/JCO.2012.46.5203","ISSN":"15277755","abstract":"Purpose Effective and less aggressive therapies are required for patients with relapsed or refractory diffuse large B-cell lymphoma (DLBCL) who are not eligible for or have undergone autologous stem-cell transplantation (ASCT). The present phase II study assessed the efficacy and safety of bendamustine plus rituximab (BR) in this population. Patients and Methods Patients with relapsed or refractory DLBCL treated with one to three prior chemotherapy regimens received rituximab 375 mg/m2 intravenous (IV) infusion on day 1 and bendamustine 120 mg/m2 by IV infusion on days 2 and 3 of each 21-day cycle for up to six cycles. The primary end point was overall response rate (ORR), and the secondary end points were complete response (CR) rate, progression-free survival (PFS), and safety. Results Sixty-Three patients were enrolled, and 59 received BR. The median age was 67 years (range, 36 to 75 years), and 62.7% of patients were 65 years of age or older. Fifty-seven patients (96.6%) were previously treated with rituximab-containing chemotherapy. The ORR was 62.7% (95% CI, 49.1% to 75.0%), with a CR rate of 37.3% (95% CI, 25.0% to 50.9%). The ORRs were comparable between patients - 65 years of age and less than 65 years (62.2% and 63.6%, respectively). The median PFS was 6.7 months (95% CI, 3.6 to 13.7 months). The most frequently observed grade 3 or 4 adverse events were hematologic: lymphopenia (78.0%), neutropenia (76.3%), leukopenia (72.9%), CD4 lymphopenia (66.1%), and thrombocytopenia (22.0%). Conclusion BR is a promising salvage regimen for patients with relapsed or refractory DLBCL after rituximab-containing chemotherapy, warranting further investigation.","author":[{"dropping-particle":"","family":"Ohmachi","given":"Ken","non-dropping-particle":"","parse-names":false,"suffix":""},{"dropping-particle":"","family":"Niitsu","given":"Nozomi","non-dropping-particle":"","parse-names":false,"suffix":""},{"dropping-particle":"","family":"Uchida","given":"Toshiki","non-dropping-particle":"","parse-names":false,"suffix":""},{"dropping-particle":"","family":"Kim","given":"Seok Jin","non-dropping-particle":"","parse-names":false,"suffix":""},{"dropping-particle":"","family":"Ando","given":"Kiyoshi","non-dropping-particle":"","parse-names":false,"suffix":""},{"dropping-particle":"","family":"Takahashi","given":"Naoki","non-dropping-particle":"","parse-names":false,"suffix":""},{"dropping-particle":"","family":"Takahashi","given":"Naoto","non-dropping-particle":"","parse-names":false,"suffix":""},{"dropping-particle":"","family":"Uike","given":"Naokuni","non-dropping-particle":"","parse-names":false,"suffix":""},{"dropping-particle":"","family":"Eom","given":"Hyeon Seok","non-dropping-particle":"","parse-names":false,"suffix":""},{"dropping-particle":"","family":"Chae","given":"Yee Soo","non-dropping-particle":"","parse-names":false,"suffix":""},{"dropping-particle":"","family":"Terauchi","given":"Takashi","non-dropping-particle":"","parse-names":false,"suffix":""},{"dropping-particle":"","family":"Tateishi","given":"Ukihide","non-dropping-particle":"","parse-names":false,"suffix":""},{"dropping-particle":"","family":"Tatsumi","given":"Mitsuaki","non-dropping-particle":"","parse-names":false,"suffix":""},{"dropping-particle":"","family":"Kim","given":"Won Seog","non-dropping-particle":"","parse-names":false,"suffix":""},{"dropping-particle":"","family":"Tobinai","given":"Kensei","non-dropping-particle":"","parse-names":false,"suffix":""},{"dropping-particle":"","family":"Suh","given":"Cheolwon","non-dropping-particle":"","parse-names":false,"suffix":""},{"dropping-particle":"","family":"Ogura","given":"Michinori","non-dropping-particle":"","parse-names":false,"suffix":""}],"container-title":"Journal of Clinical Oncology","id":"ITEM-2","issue":"17","issued":{"date-parts":[["2013","6","10"]]},"page":"2103-2109","publisher":"American Society of Clinical Oncology","title":"Multicenter phase II study of bendamustine plus rituximab in patients with relapsed or refractory diffuse large B-cell lymphoma","type":"paper-conference","volume":"31"},"uris":["http://www.mendeley.com/documents/?uuid=11818781-861b-36f3-aa08-86cabb13c19e"]}],"mendeley":{"formattedCitation":"[121,122]","plainTextFormattedCitation":"[121,122]","previouslyFormattedCitation":"[121,122]"},"properties":{"noteIndex":0},"schema":"https://github.com/citation-style-language/schema/raw/master/csl-citation.json"}</w:instrText>
      </w:r>
      <w:r w:rsidR="00D36123" w:rsidRPr="000322E4">
        <w:rPr>
          <w:lang w:val="en-US"/>
        </w:rPr>
        <w:fldChar w:fldCharType="separate"/>
      </w:r>
      <w:r w:rsidR="00A6794A" w:rsidRPr="00A6794A">
        <w:rPr>
          <w:noProof/>
          <w:lang w:val="en-US"/>
        </w:rPr>
        <w:t>[121,122]</w:t>
      </w:r>
      <w:r w:rsidR="00D36123" w:rsidRPr="000322E4">
        <w:rPr>
          <w:lang w:val="en-US"/>
        </w:rPr>
        <w:fldChar w:fldCharType="end"/>
      </w:r>
      <w:r w:rsidRPr="000322E4">
        <w:t xml:space="preserve">, </w:t>
      </w:r>
    </w:p>
    <w:p w14:paraId="61B9648D" w14:textId="1AAAF7B6" w:rsidR="009A20F4" w:rsidRPr="000322E4" w:rsidRDefault="009A20F4" w:rsidP="00021E2A">
      <w:pPr>
        <w:pStyle w:val="afe"/>
        <w:numPr>
          <w:ilvl w:val="1"/>
          <w:numId w:val="9"/>
        </w:numPr>
        <w:ind w:left="1134"/>
      </w:pPr>
      <w:r w:rsidRPr="000322E4">
        <w:rPr>
          <w:lang w:val="en-US"/>
        </w:rPr>
        <w:t>CEPP</w:t>
      </w:r>
      <w:r w:rsidR="00D36123" w:rsidRPr="000322E4">
        <w:rPr>
          <w:lang w:val="en-US"/>
        </w:rPr>
        <w:t xml:space="preserve"> </w:t>
      </w:r>
      <w:r w:rsidR="00D36123" w:rsidRPr="000322E4">
        <w:rPr>
          <w:lang w:val="en-US"/>
        </w:rPr>
        <w:fldChar w:fldCharType="begin" w:fldLock="1"/>
      </w:r>
      <w:r w:rsidR="006A2B13">
        <w:rPr>
          <w:lang w:val="en-US"/>
        </w:rPr>
        <w:instrText>ADDIN CSL_CITATION {"citationItems":[{"id":"ITEM-1","itemData":{"DOI":"10.1182/blood.v76.7.1293.bloodjournal7671293","ISSN":"00064971","PMID":"2207307","abstract":"Eighty-three patients with intermediate- or high-grade non-Hodgkin's lymphoma were treated with CEPP(B) (cyclophosphamide, etoposide [VP-16], procarbazine, and prednisone with or without bleomycin) chemotherapy at Stanford University Medical Center (Stanford, CA) from January 1982 through June 1989. Sixty-nine received CEPP(B) as second-line or subsequent therapy after relapse from previous combination chemotherapy, and 14 patients received CEPP(B) as first-line therapy. Of 75 patients evaluable for response, 30 patients (40%) achieved a complete response (CR) and 24 patients (32%) achieved a partial response (PR), providing an overall response rate of 72%. Complete responses were recorded on 21 of 61 (34%) patients with recurrent disease and 9 of the 14 patients who received CEPP(B) as first line therapy (64%). Myelosuppression was the major side effect of treatment, resulting in eight neutropenic-febrile episodes from a total of 253 courses. A single fatal toxic event occurred on a patient who developed adult respiratory distress syndrome. Overall, CEPP(B) was well-tolerated and proved to be effective palliative therapy for patients with non-Hodgkin's lymphoma after relapse. As such, CEPP(B) may be considered for cytoreduction before ablative therapy and bone marrow transplantation. CEPP(B) may also be considered for initial therapy in selected patients who cannot tolerate doxorubicin-containing regimens.","author":[{"dropping-particle":"","family":"Chao","given":"N. J.","non-dropping-particle":"","parse-names":false,"suffix":""},{"dropping-particle":"","family":"Rosenberg","given":"S. A.","non-dropping-particle":"","parse-names":false,"suffix":""},{"dropping-particle":"","family":"Horning","given":"S. J.","non-dropping-particle":"","parse-names":false,"suffix":""}],"container-title":"Blood","id":"ITEM-1","issue":"7","issued":{"date-parts":[["1990"]]},"page":"1293-1298","title":"CEPP(B): An effective and well-tolerated regimen in poor-risk, aggressive non-Hodgkin's lymphoma","type":"article-journal","volume":"76"},"uris":["http://www.mendeley.com/documents/?uuid=8a216bfd-7651-3d0e-b380-02003a5766a8"]}],"mendeley":{"formattedCitation":"[123]","plainTextFormattedCitation":"[123]","previouslyFormattedCitation":"[123]"},"properties":{"noteIndex":0},"schema":"https://github.com/citation-style-language/schema/raw/master/csl-citation.json"}</w:instrText>
      </w:r>
      <w:r w:rsidR="00D36123" w:rsidRPr="000322E4">
        <w:rPr>
          <w:lang w:val="en-US"/>
        </w:rPr>
        <w:fldChar w:fldCharType="separate"/>
      </w:r>
      <w:r w:rsidR="00A6794A" w:rsidRPr="00A6794A">
        <w:rPr>
          <w:noProof/>
          <w:lang w:val="en-US"/>
        </w:rPr>
        <w:t>[123]</w:t>
      </w:r>
      <w:r w:rsidR="00D36123" w:rsidRPr="000322E4">
        <w:rPr>
          <w:lang w:val="en-US"/>
        </w:rPr>
        <w:fldChar w:fldCharType="end"/>
      </w:r>
      <w:r w:rsidRPr="000322E4">
        <w:t xml:space="preserve">, </w:t>
      </w:r>
    </w:p>
    <w:p w14:paraId="20536B63" w14:textId="1D525117" w:rsidR="009A20F4" w:rsidRPr="000322E4" w:rsidRDefault="009A20F4" w:rsidP="00021E2A">
      <w:pPr>
        <w:pStyle w:val="afe"/>
        <w:numPr>
          <w:ilvl w:val="1"/>
          <w:numId w:val="9"/>
        </w:numPr>
        <w:ind w:left="1134"/>
      </w:pPr>
      <w:r w:rsidRPr="000322E4">
        <w:rPr>
          <w:lang w:val="en-US"/>
        </w:rPr>
        <w:lastRenderedPageBreak/>
        <w:t>GDP</w:t>
      </w:r>
      <w:r w:rsidR="00D36123" w:rsidRPr="000322E4">
        <w:rPr>
          <w:lang w:val="en-US"/>
        </w:rPr>
        <w:t xml:space="preserve"> </w:t>
      </w:r>
      <w:r w:rsidR="00D36123" w:rsidRPr="000322E4">
        <w:rPr>
          <w:lang w:val="en-US"/>
        </w:rPr>
        <w:fldChar w:fldCharType="begin" w:fldLock="1"/>
      </w:r>
      <w:r w:rsidR="006A2B13">
        <w:rPr>
          <w:lang w:val="en-US"/>
        </w:rPr>
        <w:instrText>ADDIN CSL_CITATION {"citationItems":[{"id":"ITEM-1","itemData":{"DOI":"10.3109/10428194.2010.491137","ISSN":"10428194","abstract":"We conducted a multi-center phase II trial of gemcitabine (G), carboplatin (C), dexamethasone (D), and rituximab (R) in order to examine its safety and efficacy as an outpatient salvage regimen for lymphoma. Fifty-one patients received 24 21-day cycles of G (1000mg/m2, days 1 and 8), C (AUC5, day 1), D (40mg, daily days 14), and R (375mg/m2, day 8 for CD20-positive disease) and were evaluable for response. Characteristics included: median age 58 yeas (1979 years), stage III/IV 88, elevated LDH 33, median prior therapies 2, prior stem cell transplant 12, chemoresistant 62, median prior remission duration 2.5 months. The overall and complete response rates were 67 (95 confidence interval [CI] 5480) and 31 (95 CI 1944), respectively, with activity seen in a broad variety of histologies. Responses occurred in 16 of 17 (94, 95 CI 83100) transplant-eligible patients and 15 of 28 (54, 95 CI 3471) with chemoresistant disease. The median CD34 yield in patients attempting peripheral blood stem cell (PBSC) collection following this regimen was 10.9×106 CD34 cells/kg (range 5.024.1×10 6). Hematologic toxicity was common, but febrile neutropenia (2.5) and grade 4 non-hematologic adverse events (n2) were rare, with no treatment-related deaths. GCD(R) is a safe and effective outpatient regimen for relapsed lymphoma, and successfully mobilizes PBSCs. © 2010 Informa UK, Ltd.","author":[{"dropping-particle":"","family":"Gopal","given":"Ajay K.","non-dropping-particle":"","parse-names":false,"suffix":""},{"dropping-particle":"","family":"Press","given":"Oliver W.","non-dropping-particle":"","parse-names":false,"suffix":""},{"dropping-particle":"","family":"Shustov","given":"Andrei R.","non-dropping-particle":"","parse-names":false,"suffix":""},{"dropping-particle":"","family":"Petersdorf","given":"Stephen H.","non-dropping-particle":"","parse-names":false,"suffix":""},{"dropping-particle":"","family":"Gooley","given":"Ted A.","non-dropping-particle":"","parse-names":false,"suffix":""},{"dropping-particle":"","family":"Daniels","given":"Jasmine T.","non-dropping-particle":"","parse-names":false,"suffix":""},{"dropping-particle":"","family":"Garrison","given":"Mitchell A.","non-dropping-particle":"","parse-names":false,"suffix":""},{"dropping-particle":"","family":"Gjerset","given":"George F.","non-dropping-particle":"","parse-names":false,"suffix":""},{"dropping-particle":"","family":"Lonergan","given":"Matthew","non-dropping-particle":"","parse-names":false,"suffix":""},{"dropping-particle":"","family":"Murphy","given":"Anne E.","non-dropping-particle":"","parse-names":false,"suffix":""},{"dropping-particle":"","family":"Smith","given":"Julie C.","non-dropping-particle":"","parse-names":false,"suffix":""},{"dropping-particle":"","family":"Pagel","given":"John M.","non-dropping-particle":"","parse-names":false,"suffix":""}],"container-title":"Leukemia and Lymphoma","id":"ITEM-1","issue":"8","issued":{"date-parts":[["2010","8"]]},"page":"1523-1529","title":"Efficacy and safety of gemcitabine, carboplatin, dexamethasone, and rituximab in patients with relapsed/refractory lymphoma: A prospective multi-center phase II study by the Puget Sound Oncology Consortium","type":"article-journal","volume":"51"},"uris":["http://www.mendeley.com/documents/?uuid=d780465f-a25a-33fc-bd81-4ad6855226a0"]}],"mendeley":{"formattedCitation":"[124]","plainTextFormattedCitation":"[124]","previouslyFormattedCitation":"[124]"},"properties":{"noteIndex":0},"schema":"https://github.com/citation-style-language/schema/raw/master/csl-citation.json"}</w:instrText>
      </w:r>
      <w:r w:rsidR="00D36123" w:rsidRPr="000322E4">
        <w:rPr>
          <w:lang w:val="en-US"/>
        </w:rPr>
        <w:fldChar w:fldCharType="separate"/>
      </w:r>
      <w:r w:rsidR="00A6794A" w:rsidRPr="00A6794A">
        <w:rPr>
          <w:noProof/>
          <w:lang w:val="en-US"/>
        </w:rPr>
        <w:t>[124]</w:t>
      </w:r>
      <w:r w:rsidR="00D36123" w:rsidRPr="000322E4">
        <w:rPr>
          <w:lang w:val="en-US"/>
        </w:rPr>
        <w:fldChar w:fldCharType="end"/>
      </w:r>
      <w:r w:rsidRPr="000322E4">
        <w:t xml:space="preserve">, </w:t>
      </w:r>
    </w:p>
    <w:p w14:paraId="3B4B799A" w14:textId="5ED847E7" w:rsidR="009A20F4" w:rsidRPr="003C376C" w:rsidRDefault="00D2304E" w:rsidP="00021E2A">
      <w:pPr>
        <w:pStyle w:val="afe"/>
        <w:numPr>
          <w:ilvl w:val="1"/>
          <w:numId w:val="9"/>
        </w:numPr>
        <w:ind w:left="1134"/>
      </w:pPr>
      <w:r>
        <w:rPr>
          <w:lang w:val="en-US"/>
        </w:rPr>
        <w:t>#</w:t>
      </w:r>
      <w:r w:rsidR="009A20F4" w:rsidRPr="000322E4">
        <w:t xml:space="preserve">Гемцитабин** + </w:t>
      </w:r>
      <w:r>
        <w:rPr>
          <w:lang w:val="en-US"/>
        </w:rPr>
        <w:t>#</w:t>
      </w:r>
      <w:r w:rsidR="00BD230E" w:rsidRPr="000322E4">
        <w:t>винорелбин</w:t>
      </w:r>
      <w:r w:rsidR="009A20F4" w:rsidRPr="000322E4">
        <w:t>**</w:t>
      </w:r>
      <w:r w:rsidR="00D36123" w:rsidRPr="000322E4">
        <w:rPr>
          <w:lang w:val="en-US"/>
        </w:rPr>
        <w:t xml:space="preserve"> </w:t>
      </w:r>
      <w:r w:rsidR="00D36123" w:rsidRPr="000322E4">
        <w:rPr>
          <w:lang w:val="en-US"/>
        </w:rPr>
        <w:fldChar w:fldCharType="begin" w:fldLock="1"/>
      </w:r>
      <w:r w:rsidR="006A2B13">
        <w:rPr>
          <w:lang w:val="en-US"/>
        </w:rPr>
        <w:instrText>ADDIN CSL_CITATION {"citationItems":[{"id":"ITEM-1","itemData":{"DOI":"10.1111/j.1600-0609.2005.00482.x","ISSN":"09024441","abstract":"To investigate the efficacy and toxicity of the combination of gemcitabine and vinorelbine in patients with relapsed or refractory diffuse large B-cell lymphoma (DLBL), 22 patients with relapsed or refractory DLBL were treated with gemcitabine 1000 mg/m2 and vinorelbine 30 mg/m2 on days 1 and 8 every 3 wk for a maximum of six cycles. Fourteen patients were considered chemosensitive while eight patients were considered chemoresistant to the last treatment regimen. All 22 patients were assessed for response to treatment. Three patients (14%) achieved complete remission and eight patients (36%) had partial remission of their disease, with an overall response rate of 50%. With a median follow up of 44 months, the median time to progression (TTP) for all patients was 8.1 months while the median overall survival (OS) was 12.9 months. Toxicity was minimal and all patients were treated on an outpatient basis. The combination of gemcitabine and vinorelbine is an effective and well-tolerated regimen for patients with relapsed of refractory DLBL. © Blackwell Munksgaard 2005.","author":[{"dropping-particle":"","family":"Papageorgiou","given":"Efstathios S.","non-dropping-particle":"","parse-names":false,"suffix":""},{"dropping-particle":"","family":"Tsirigotis","given":"Panagiotis","non-dropping-particle":"","parse-names":false,"suffix":""},{"dropping-particle":"","family":"Dimopoulos","given":"Meletios","non-dropping-particle":"","parse-names":false,"suffix":""},{"dropping-particle":"","family":"Pavlidis","given":"Nikolaos","non-dropping-particle":"","parse-names":false,"suffix":""},{"dropping-particle":"","family":"Fountzilas","given":"George","non-dropping-particle":"","parse-names":false,"suffix":""},{"dropping-particle":"","family":"Papageorgiou","given":"Sotirios","non-dropping-particle":"","parse-names":false,"suffix":""},{"dropping-particle":"","family":"Economopoulos","given":"Theofanis","non-dropping-particle":"","parse-names":false,"suffix":""}],"container-title":"European Journal of Haematology","id":"ITEM-1","issue":"2","issued":{"date-parts":[["2005","8"]]},"page":"124-129","title":"Combination chemotherapy with gemcitabine and vinorelbine in the treatment of relapsed or refractory diffuse large B-cell lymphoma: A phase-II trial by the Hellenic Cooperative Oncology Group","type":"article-journal","volume":"75"},"uris":["http://www.mendeley.com/documents/?uuid=1c1506a1-5edd-3390-84b3-4cf10928adb2"]}],"mendeley":{"formattedCitation":"[125]","plainTextFormattedCitation":"[125]","previouslyFormattedCitation":"[125]"},"properties":{"noteIndex":0},"schema":"https://github.com/citation-style-language/schema/raw/master/csl-citation.json"}</w:instrText>
      </w:r>
      <w:r w:rsidR="00D36123" w:rsidRPr="000322E4">
        <w:rPr>
          <w:lang w:val="en-US"/>
        </w:rPr>
        <w:fldChar w:fldCharType="separate"/>
      </w:r>
      <w:r w:rsidR="00A6794A" w:rsidRPr="00A6794A">
        <w:rPr>
          <w:noProof/>
          <w:lang w:val="en-US"/>
        </w:rPr>
        <w:t>[125]</w:t>
      </w:r>
      <w:r w:rsidR="00D36123" w:rsidRPr="000322E4">
        <w:rPr>
          <w:lang w:val="en-US"/>
        </w:rPr>
        <w:fldChar w:fldCharType="end"/>
      </w:r>
      <w:r w:rsidR="003C376C">
        <w:rPr>
          <w:lang w:val="en-US"/>
        </w:rPr>
        <w:t>,</w:t>
      </w:r>
    </w:p>
    <w:p w14:paraId="1F1AA62F" w14:textId="19CD6024" w:rsidR="003C376C" w:rsidRDefault="003C376C" w:rsidP="00021E2A">
      <w:pPr>
        <w:pStyle w:val="afe"/>
        <w:numPr>
          <w:ilvl w:val="1"/>
          <w:numId w:val="9"/>
        </w:numPr>
        <w:ind w:left="1134"/>
      </w:pPr>
      <w:r>
        <w:t xml:space="preserve">Полатузумаб ведотин </w:t>
      </w:r>
      <w:r>
        <w:rPr>
          <w:lang w:val="en-US"/>
        </w:rPr>
        <w:t>+ BR</w:t>
      </w:r>
      <w:r w:rsidR="00F24A5D">
        <w:rPr>
          <w:lang w:val="en-US"/>
        </w:rPr>
        <w:t xml:space="preserve"> </w:t>
      </w:r>
      <w:r w:rsidR="00B972D6">
        <w:rPr>
          <w:lang w:val="en-US"/>
        </w:rPr>
        <w:fldChar w:fldCharType="begin" w:fldLock="1"/>
      </w:r>
      <w:r w:rsidR="006A2B13">
        <w:rPr>
          <w:lang w:val="en-US"/>
        </w:rPr>
        <w:instrText>ADDIN CSL_CITATION {"citationItems":[{"id":"ITEM-1","itemData":{"DOI":"10.1200/JCO.19.00172","ISSN":"1527-7755","PMID":"31693429","abstract":"PURPOSE Patients with transplantation-ineligible relapsed/refractory (R/R) diffuse large B-cell lymphoma (DLBCL) fare poorly, with limited treatment options. The antibody-drug conjugate polatuzumab vedotin targets CD79b, a B-cell receptor component. METHODS Safety and efficacy of polatuzumab vedotin with bendamustine and obinutuzumab (pola-BG) was evaluated in a single-arm cohort. Polatuzumab vedotin combined with bendamustine and rituximab (pola-BR) was compared with bendamustine and rituximab (BR) in a randomly assigned cohort of patients with transplantation-ineligible R/R DLBCL (primary end point: independent review committee [IRC] assessed complete response [CR] rate at the end of treatment). Duration of response, progression-free survival (PFS), and overall survival (OS) were analyzed using Kaplan–Meier and Cox regression methods. RESULTS Pola-BG and pola-BR had a tolerable safety profile. The phase Ib/II pola-BG cohort (n = 27) had a CR rate of 29.6% and a median OS of 10.8 months (median follow-up, 27.0 months). In the randomly assigned cohort (n = 80; 40 per arm), pola-BR patients had a significantly higher IRC-assessed CR rate (40.0% v 17.5%; P = .026) and longer IRC-assessed PFS (median, 9.5 v 3.7 months; hazard ratio [HR], 0.36, 95% CI, 0.21 to 0.63; P, .001) and OS (median, 12.4 v 4.7 months; HR, 0.42; 95% CI, 0.24 to 0.75; P = .002; median followup, 22.3 months). Pola-BR patients had higher rates of grade 3-4 neutropenia (46.2% v 33.3%), anemia (28.2% v 17.9%), and thrombocytopenia (41% v 23.1%), but similar grade 3-4 infections (23.1% v 20.5%), versus the BR group. Peripheral neuropathy associated with polatuzumab vedotin (43.6% of patients) was grade 1-2 and resolved in most patients. CONCLUSION Polatuzumab vedotin combined with BR resulted in a significantly higher CR rate and reduced the risk of death by 58% compared with BR in patients with transplantation-ineligible R/R DLBCL.","author":[{"dropping-particle":"","family":"Sehn","given":"Laurie H.","non-dropping-particle":"","parse-names":false,"suffix":""},{"dropping-particle":"","family":"Herrera","given":"Alex F.","non-dropping-particle":"","parse-names":false,"suffix":""},{"dropping-particle":"","family":"Flowers","given":"Christopher R.","non-dropping-particle":"","parse-names":false,"suffix":""},{"dropping-particle":"","family":"Kamdar","given":"Manali K.","non-dropping-particle":"","parse-names":false,"suffix":""},{"dropping-particle":"","family":"McMillan","given":"Andrew","non-dropping-particle":"","parse-names":false,"suffix":""},{"dropping-particle":"","family":"Hertzberg","given":"Mark","non-dropping-particle":"","parse-names":false,"suffix":""},{"dropping-particle":"","family":"Assouline","given":"Sarit","non-dropping-particle":"","parse-names":false,"suffix":""},{"dropping-particle":"","family":"Kim","given":"Tae Min","non-dropping-particle":"","parse-names":false,"suffix":""},{"dropping-particle":"","family":"Kim","given":"Won Seog","non-dropping-particle":"","parse-names":false,"suffix":""},{"dropping-particle":"","family":"Ozcan","given":"Muhit","non-dropping-particle":"","parse-names":false,"suffix":""},{"dropping-particle":"","family":"Hirata","given":"Jamie","non-dropping-particle":"","parse-names":false,"suffix":""},{"dropping-particle":"","family":"Penuel","given":"Elicia","non-dropping-particle":"","parse-names":false,"suffix":""},{"dropping-particle":"","family":"Paulson","given":"Joseph N.","non-dropping-particle":"","parse-names":false,"suffix":""},{"dropping-particle":"","family":"Cheng","given":"Ji","non-dropping-particle":"","parse-names":false,"suffix":""},{"dropping-particle":"","family":"Ku","given":"Grace","non-dropping-particle":"","parse-names":false,"suffix":""},{"dropping-particle":"","family":"Matasar","given":"Matthew J.","non-dropping-particle":"","parse-names":false,"suffix":""}],"container-title":"Journal of clinical oncology : official journal of the American Society of Clinical Oncology","id":"ITEM-1","issue":"2","issued":{"date-parts":[["2020"]]},"page":"155-165","publisher":"J Clin Oncol","title":"Polatuzumab Vedotin in Relapsed or Refractory Diffuse Large B-Cell Lymphoma","type":"article-journal","volume":"38"},"uris":["http://www.mendeley.com/documents/?uuid=6b1b2170-b9e0-3861-a028-bfe3ad6448a6"]}],"mendeley":{"formattedCitation":"[126]","plainTextFormattedCitation":"[126]","previouslyFormattedCitation":"[126]"},"properties":{"noteIndex":0},"schema":"https://github.com/citation-style-language/schema/raw/master/csl-citation.json"}</w:instrText>
      </w:r>
      <w:r w:rsidR="00B972D6">
        <w:rPr>
          <w:lang w:val="en-US"/>
        </w:rPr>
        <w:fldChar w:fldCharType="separate"/>
      </w:r>
      <w:r w:rsidR="00A6794A" w:rsidRPr="00A6794A">
        <w:rPr>
          <w:noProof/>
        </w:rPr>
        <w:t>[126]</w:t>
      </w:r>
      <w:r w:rsidR="00B972D6">
        <w:rPr>
          <w:lang w:val="en-US"/>
        </w:rPr>
        <w:fldChar w:fldCharType="end"/>
      </w:r>
      <w:r w:rsidR="00B972D6" w:rsidRPr="00B972D6">
        <w:t>,</w:t>
      </w:r>
    </w:p>
    <w:p w14:paraId="2171160F" w14:textId="440E9287" w:rsidR="00B972D6" w:rsidRPr="0073118A" w:rsidRDefault="00BD230E" w:rsidP="00021E2A">
      <w:pPr>
        <w:pStyle w:val="afe"/>
        <w:numPr>
          <w:ilvl w:val="1"/>
          <w:numId w:val="9"/>
        </w:numPr>
        <w:ind w:left="1134"/>
      </w:pPr>
      <w:r>
        <w:t>Ритуксимаб** + #ибрутиниб** + #леналидомид**</w:t>
      </w:r>
      <w:r w:rsidRPr="00BD230E">
        <w:t xml:space="preserve"> (</w:t>
      </w:r>
      <w:r>
        <w:t xml:space="preserve">при </w:t>
      </w:r>
      <w:r>
        <w:rPr>
          <w:lang w:val="en-US"/>
        </w:rPr>
        <w:t>non</w:t>
      </w:r>
      <w:r w:rsidRPr="00BD230E">
        <w:t>-</w:t>
      </w:r>
      <w:r>
        <w:rPr>
          <w:lang w:val="en-US"/>
        </w:rPr>
        <w:t>GCB</w:t>
      </w:r>
      <w:r w:rsidRPr="00BD230E">
        <w:t xml:space="preserve">, </w:t>
      </w:r>
      <w:r>
        <w:t xml:space="preserve">при отсутствии других доступных опций) </w:t>
      </w:r>
      <w:r>
        <w:fldChar w:fldCharType="begin" w:fldLock="1"/>
      </w:r>
      <w:r w:rsidR="006A2B13">
        <w:instrText>ADDIN CSL_CITATION {"citationItems":[{"id":"ITEM-1","itemData":{"DOI":"10.1182/BLOOD.2018891598","ISSN":"1528-0020","PMID":"31331917","abstract":"The outcome of patients with relapsed/refractory diffuse large B-cell lymphoma (DLBCL) is poor, particularly in patients ineligible for stem cell transplantation or who fail induction therapy or salvage therapy. The phase 1b portion of this open-label, dose-escalation (31313 design) study examined the maximum tolerated dose (MTD) and preliminary safety and activity of the regimen in transplant-ineligible adults with histologically confirmed relapsed/refractory DLBCL after at least 1 prior therapy. Patients received once-daily 560 mg ibrutinib, 375 mg/m2 intravenous rituximab day 1 of cycles 1 to 6, and 10, 15, 20, or 25 mg lenalidomide days 1 to 21 of each 28-day cycle. Forty-five patients were treated; median time since diagnosis was 14.1 months, and 51% of the patients had non–germinal center B-cell–like (non-GCB) DLBCL, 33% had transformed DLBCL, 60% were refractory, and 27% were primary refractory. Because of dose-limiting toxicities, a deescalation cohort (10 mg lenalidomide) was initiated, and with subsequent re-escalation up to 25 mg lenalidomide, the MTD was not reached. In response-evaluable patients, the overall response rate (ORR) was 44% (complete response [CR], 28%); among them, the ORR was 65% (CR, 41%) in non-GCB and 69% and 56% in relapsed (n 5 16) and secondary refractory (n 5 27) disease, respectively. Overall and for non-GCB, median response duration was 15.9 months, with 2 patients receiving therapy beyond 3 years. Phase 2 was initiated with 20 mg lenalidomide in relapsed/refractory non-GCB, whereas the phase 1b 25-mg lenalidomide cohort was being completed; an additional 25-mg cohort in phase 2 is currently ongoing. This study was registered at www.clinicaltrials.gov as #NCT02077166.","author":[{"dropping-particle":"","family":"Goy","given":"Andre","non-dropping-particle":"","parse-names":false,"suffix":""},{"dropping-particle":"","family":"Ramchandren","given":"Radhakrishnan","non-dropping-particle":"","parse-names":false,"suffix":""},{"dropping-particle":"","family":"Ghosh","given":"Nilanjan","non-dropping-particle":"","parse-names":false,"suffix":""},{"dropping-particle":"","family":"Munoz","given":"Javier","non-dropping-particle":"","parse-names":false,"suffix":""},{"dropping-particle":"","family":"Morgan","given":"David S.","non-dropping-particle":"","parse-names":false,"suffix":""},{"dropping-particle":"","family":"Dang","given":"Nam H.","non-dropping-particle":"","parse-names":false,"suffix":""},{"dropping-particle":"","family":"Knapp","given":"Mark","non-dropping-particle":"","parse-names":false,"suffix":""},{"dropping-particle":"","family":"Delioukina","given":"Maria","non-dropping-particle":"","parse-names":false,"suffix":""},{"dropping-particle":"","family":"Kingsley","given":"Edwin","non-dropping-particle":"","parse-names":false,"suffix":""},{"dropping-particle":"","family":"Ping","given":"Jerry","non-dropping-particle":"","parse-names":false,"suffix":""},{"dropping-particle":"","family":"Beaupre","given":"Darrin M.","non-dropping-particle":"","parse-names":false,"suffix":""},{"dropping-particle":"","family":"Neuenburg","given":"Jutta K.","non-dropping-particle":"","parse-names":false,"suffix":""},{"dropping-particle":"","family":"Ruan","given":"Jia","non-dropping-particle":"","parse-names":false,"suffix":""}],"container-title":"Blood","id":"ITEM-1","issue":"13","issued":{"date-parts":[["2019","9","26"]]},"page":"1024-1036","publisher":"Blood","title":"Ibrutinib plus lenalidomide and rituximab has promising activity in relapsed/refractory non-germinal center B-cell-like DLBCL","type":"article-journal","volume":"134"},"uris":["http://www.mendeley.com/documents/?uuid=a062c172-8692-3230-8871-8ee0ca70cdfd"]}],"mendeley":{"formattedCitation":"[127]","plainTextFormattedCitation":"[127]","previouslyFormattedCitation":"[127]"},"properties":{"noteIndex":0},"schema":"https://github.com/citation-style-language/schema/raw/master/csl-citation.json"}</w:instrText>
      </w:r>
      <w:r>
        <w:fldChar w:fldCharType="separate"/>
      </w:r>
      <w:r w:rsidR="00A6794A" w:rsidRPr="00A6794A">
        <w:rPr>
          <w:noProof/>
        </w:rPr>
        <w:t>[127]</w:t>
      </w:r>
      <w:r>
        <w:fldChar w:fldCharType="end"/>
      </w:r>
    </w:p>
    <w:p w14:paraId="5984CB1B" w14:textId="77777777" w:rsidR="009A20F4" w:rsidRPr="000322E4" w:rsidRDefault="009A20F4" w:rsidP="00F414BF">
      <w:pPr>
        <w:spacing w:line="360" w:lineRule="auto"/>
        <w:ind w:left="709"/>
        <w:contextualSpacing/>
        <w:jc w:val="both"/>
        <w:rPr>
          <w:b/>
        </w:rPr>
      </w:pPr>
      <w:r w:rsidRPr="000322E4">
        <w:rPr>
          <w:b/>
        </w:rPr>
        <w:t xml:space="preserve">Уровень убедительности рекомендаций </w:t>
      </w:r>
      <w:r w:rsidR="006D44E2" w:rsidRPr="000322E4">
        <w:rPr>
          <w:b/>
        </w:rPr>
        <w:t xml:space="preserve">С </w:t>
      </w:r>
      <w:r w:rsidRPr="000322E4">
        <w:rPr>
          <w:b/>
        </w:rPr>
        <w:t xml:space="preserve">(уровень достоверности доказательств </w:t>
      </w:r>
      <w:r w:rsidR="006D44E2" w:rsidRPr="000322E4">
        <w:rPr>
          <w:b/>
        </w:rPr>
        <w:t>4</w:t>
      </w:r>
      <w:r w:rsidRPr="000322E4">
        <w:rPr>
          <w:b/>
        </w:rPr>
        <w:t>).</w:t>
      </w:r>
    </w:p>
    <w:p w14:paraId="5670B38F" w14:textId="1DC917AE" w:rsidR="00A33C04" w:rsidRDefault="00A33C04" w:rsidP="00F414BF">
      <w:pPr>
        <w:pStyle w:val="afff8"/>
        <w:spacing w:before="0"/>
      </w:pPr>
      <w:r w:rsidRPr="000322E4">
        <w:t xml:space="preserve">Пациентам с рецидивами/рефрактерными формами ДВКЛ, у которых </w:t>
      </w:r>
      <w:r w:rsidRPr="000322E4">
        <w:rPr>
          <w:lang w:eastAsia="ru-RU"/>
        </w:rPr>
        <w:t xml:space="preserve">рецидив был диагностирован более чем через 6 месяцев после предшествующего введения препарата, </w:t>
      </w:r>
      <w:r w:rsidRPr="000322E4">
        <w:rPr>
          <w:b/>
        </w:rPr>
        <w:t xml:space="preserve">рекомендовано </w:t>
      </w:r>
      <w:r w:rsidRPr="000322E4">
        <w:rPr>
          <w:lang w:eastAsia="ru-RU"/>
        </w:rPr>
        <w:t xml:space="preserve">добавление к противорецидивной терапии ритуксимаба** </w:t>
      </w:r>
      <w:r w:rsidRPr="000322E4">
        <w:fldChar w:fldCharType="begin" w:fldLock="1"/>
      </w:r>
      <w:r w:rsidR="009D170B">
        <w:instrText>ADDIN CSL_CITATION {"citationItems":[{"id":"ITEM-1","itemData":{"DOI":"10.1007/s12325-017-0612-x","ISSN":"18658652","abstract":"Abstract: Rituximab is a human/murine, chimeric anti-CD20 monoclonal antibody with established efficacy, and a favorable and well-defined safety profile in patients with various CD20-expressing lymphoid malignancies, including indolent and aggressive forms of B-cell non-Hodgkin lymphoma. Since its first approval 20 years ago, intravenously administered rituximab has revolutionized the treatment of B-cell malignancies and has become a standard component of care for follicular lymphoma, diffuse large B-cell lymphoma, chronic lymphocytic leukemia, and mantle cell lymphoma. For all of these diseases, clinical trials have demonstrated that rituximab not only prolongs the time to disease progression but also extends overall survival. Efficacy benefits have also been shown in patients with marginal zone lymphoma and in more aggressive diseases such as Burkitt lymphoma. Although the proven clinical efficacy and success of rituximab has led to the development of other anti-CD20 monoclonal antibodies in recent years (e.g., obinutuzumab, ofatumumab, veltuzumab, and ocrelizumab), rituximab is likely to maintain a position within the therapeutic armamentarium because it is well established with a long history of successful clinical use. Furthermore, a subcutaneous formulation of the drug has been approved both in the EU and in the USA for the treatment of B-cell malignancies. Using the wealth of data published on rituximab during the last two decades, we review the preclinical development of rituximab and the clinical experience gained in the treatment of hematologic B-cell malignancies, with a focus on the well-established intravenous route of administration. This article is a companion paper to A. Davies, et al., which is also published in this issue. Funding: F. Hoffmann-La Roche Ltd., Basel, Switzerland.","author":[{"dropping-particle":"","family":"Salles","given":"Gilles","non-dropping-particle":"","parse-names":false,"suffix":""},{"dropping-particle":"","family":"Barrett","given":"Martin","non-dropping-particle":"","parse-names":false,"suffix":""},{"dropping-particle":"","family":"Foà","given":"Robin","non-dropping-particle":"","parse-names":false,"suffix":""},{"dropping-particle":"","family":"Maurer","given":"Joerg","non-dropping-particle":"","parse-names":false,"suffix":""},{"dropping-particle":"","family":"O’Brien","given":"Susan","non-dropping-particle":"","parse-names":false,"suffix":""},{"dropping-particle":"","family":"Valente","given":"Nancy","non-dropping-particle":"","parse-names":false,"suffix":""},{"dropping-particle":"","family":"Wenger","given":"Michael","non-dropping-particle":"","parse-names":false,"suffix":""},{"dropping-particle":"","family":"Maloney","given":"David G.","non-dropping-particle":"","parse-names":false,"suffix":""}],"container-title":"Advances in Therapy","id":"ITEM-1","issue":"10","issued":{"date-parts":[["2017"]]},"page":"2232-2273","title":"Rituximab in B-Cell Hematologic Malignancies: A Review of 20 Years of Clinical Experience","type":"article","volume":"34"},"uris":["http://www.mendeley.com/documents/?uuid=99572feb-1e31-3440-866b-d3d6fcf81668"]}],"mendeley":{"formattedCitation":"[71]","plainTextFormattedCitation":"[71]","previouslyFormattedCitation":"[71]"},"properties":{"noteIndex":0},"schema":"https://github.com/citation-style-language/schema/raw/master/csl-citation.json"}</w:instrText>
      </w:r>
      <w:r w:rsidRPr="000322E4">
        <w:fldChar w:fldCharType="separate"/>
      </w:r>
      <w:r w:rsidR="00095D58" w:rsidRPr="00095D58">
        <w:rPr>
          <w:noProof/>
        </w:rPr>
        <w:t>[71]</w:t>
      </w:r>
      <w:r w:rsidRPr="000322E4">
        <w:fldChar w:fldCharType="end"/>
      </w:r>
      <w:r w:rsidRPr="000322E4">
        <w:t>.</w:t>
      </w:r>
    </w:p>
    <w:p w14:paraId="3F0E659D" w14:textId="14424664" w:rsidR="00021E2A" w:rsidRPr="00021E2A" w:rsidRDefault="00021E2A" w:rsidP="00021E2A">
      <w:pPr>
        <w:spacing w:line="360" w:lineRule="auto"/>
        <w:ind w:left="709"/>
        <w:contextualSpacing/>
        <w:jc w:val="both"/>
        <w:rPr>
          <w:b/>
        </w:rPr>
      </w:pPr>
      <w:r w:rsidRPr="00021E2A">
        <w:rPr>
          <w:b/>
        </w:rPr>
        <w:t xml:space="preserve">Уровень убедительности рекомендаций С (уровень достоверности доказательств </w:t>
      </w:r>
      <w:r>
        <w:rPr>
          <w:b/>
        </w:rPr>
        <w:t>5</w:t>
      </w:r>
      <w:r w:rsidRPr="00021E2A">
        <w:rPr>
          <w:b/>
        </w:rPr>
        <w:t>).</w:t>
      </w:r>
    </w:p>
    <w:p w14:paraId="695D6BCD" w14:textId="4C645B7D" w:rsidR="00BD230E" w:rsidRDefault="00BD230E" w:rsidP="00F414BF">
      <w:pPr>
        <w:pStyle w:val="afff8"/>
        <w:spacing w:before="0"/>
      </w:pPr>
      <w:r w:rsidRPr="000322E4">
        <w:t xml:space="preserve">Пациентам с рецидивами/рефрактерными формами </w:t>
      </w:r>
      <w:r>
        <w:t>ПМВКЛ</w:t>
      </w:r>
      <w:r w:rsidRPr="000322E4">
        <w:rPr>
          <w:lang w:eastAsia="ru-RU"/>
        </w:rPr>
        <w:t xml:space="preserve"> </w:t>
      </w:r>
      <w:r w:rsidRPr="000322E4">
        <w:rPr>
          <w:b/>
        </w:rPr>
        <w:t xml:space="preserve">рекомендовано </w:t>
      </w:r>
      <w:r>
        <w:rPr>
          <w:lang w:eastAsia="ru-RU"/>
        </w:rPr>
        <w:t>применение #пембролизумаба</w:t>
      </w:r>
      <w:r w:rsidRPr="000322E4">
        <w:rPr>
          <w:lang w:eastAsia="ru-RU"/>
        </w:rPr>
        <w:t>**</w:t>
      </w:r>
      <w:r>
        <w:rPr>
          <w:lang w:eastAsia="ru-RU"/>
        </w:rPr>
        <w:t xml:space="preserve"> ил</w:t>
      </w:r>
      <w:r w:rsidR="0053335B">
        <w:rPr>
          <w:lang w:eastAsia="ru-RU"/>
        </w:rPr>
        <w:t xml:space="preserve">и комбинации #ниволумаба** и #брентуксимаба ведотина** </w:t>
      </w:r>
      <w:r w:rsidR="0053335B">
        <w:rPr>
          <w:lang w:eastAsia="ru-RU"/>
        </w:rPr>
        <w:fldChar w:fldCharType="begin" w:fldLock="1"/>
      </w:r>
      <w:r w:rsidR="006A2B13">
        <w:rPr>
          <w:lang w:eastAsia="ru-RU"/>
        </w:rPr>
        <w:instrText>ADDIN CSL_CITATION {"citationItems":[{"id":"ITEM-1","itemData":{"DOI":"10.1200/JCO.19.01389","ISSN":"15277755","PMID":"31609651","abstract":"PURPOSE Patients with relapsed or refractory primary mediastinal large B-cell lymphoma (rrPMBCL) have a poor prognosis, and their treatment represents an urgent and unmet need. Because PMBCL is associated with genetic aberrations at 9p24 and overexpression of programmed cell death-1 (PD-1) ligands (PD-L1), it is hypothesized to be susceptible to PD-1 blockade. METHODS In the phase IB KEYNOTE-013 (ClinicalTrials.gov identifier: NCT01953692) and phase II KEYNOTE- 170 (ClinicalTrials.gov identifier: NCT02576990) studies, adults with rrPMBCL received pembrolizumab for up to 2 years or until disease progression or unacceptable toxicity. The primary end points were safety and objective response rate in KEYNOTE-013 and objective response rate in KEYNOTE-170. Secondary end points included duration of response, progression-free survival, overall survival, and safety. Exploratory end points included association between biomarkers and pembrolizumab activity. RESULTS The objective response rate was 48% (7 complete responses; 33%) among 21 patients in KEYNOTE- 013 and 45% (7 complete responses; 13%) among 53 patients in KEYNOTE-170. After a median follow-up time of 29.1 months in KEYNOTE-013 and 12.5 months in KEYNOTE-170, the median duration of response was not reached in either study. No patient with complete response experienced progression, including 2 patients with complete response for at least 1 year off therapy. Treatment-related adverse events occurred in 24% of patients in KEYNOTE-013 and 23% of patients in KEYNOTE-170. There were no treatment-related deaths. Among 42 evaluable patients, the magnitude of the 9p24 gene abnormality was associated with PD-L1 expression, which was itself significantly associated with progression-free survival. CONCLUSION Pembrolizumab is associated with high response rate, durable activity, and a manageable safety profile in patients with rrPMBCL. andcopy; 2019 by American Society of Clinical Oncology.","author":[{"dropping-particle":"","family":"Armand","given":"Philippe","non-dropping-particle":"","parse-names":false,"suffix":""},{"dropping-particle":"","family":"Rodig","given":"Scott","non-dropping-particle":"","parse-names":false,"suffix":""},{"dropping-particle":"","family":"Melnichenko","given":"Vladimir","non-dropping-particle":"","parse-names":false,"suffix":""},{"dropping-particle":"","family":"Thieblemont","given":"Catherine","non-dropping-particle":"","parse-names":false,"suffix":""},{"dropping-particle":"","family":"Bouabdallah","given":"Kamal","non-dropping-particle":"","parse-names":false,"suffix":""},{"dropping-particle":"","family":"Tumyan","given":"Gayane","non-dropping-particle":"","parse-names":false,"suffix":""},{"dropping-particle":"","family":"Özcan","given":"Muhit","non-dropping-particle":"","parse-names":false,"suffix":""},{"dropping-particle":"","family":"Portino","given":"Sergio","non-dropping-particle":"","parse-names":false,"suffix":""},{"dropping-particle":"","family":"Fogliatto","given":"Laura","non-dropping-particle":"","parse-names":false,"suffix":""},{"dropping-particle":"","family":"Caballero","given":"Maria D.","non-dropping-particle":"","parse-names":false,"suffix":""},{"dropping-particle":"","family":"Walewski","given":"Jan","non-dropping-particle":"","parse-names":false,"suffix":""},{"dropping-particle":"","family":"Gulbas","given":"Zafer","non-dropping-particle":"","parse-names":false,"suffix":""},{"dropping-particle":"","family":"Ribrag","given":"Vincent","non-dropping-particle":"","parse-names":false,"suffix":""},{"dropping-particle":"","family":"Christian","given":"Beth","non-dropping-particle":"","parse-names":false,"suffix":""},{"dropping-particle":"","family":"Perini","given":"Guilherme Fleury","non-dropping-particle":"","parse-names":false,"suffix":""},{"dropping-particle":"","family":"Salles","given":"Gilles","non-dropping-particle":"","parse-names":false,"suffix":""},{"dropping-particle":"","family":"Svoboda","given":"Jakub","non-dropping-particle":"","parse-names":false,"suffix":""},{"dropping-particle":"","family":"Zain","given":"Jasmine","non-dropping-particle":"","parse-names":false,"suffix":""},{"dropping-particle":"","family":"Patel","given":"Sanjay","non-dropping-particle":"","parse-names":false,"suffix":""},{"dropping-particle":"","family":"Chen","given":"Pei Hsuan","non-dropping-particle":"","parse-names":false,"suffix":""},{"dropping-particle":"","family":"Ligon","given":"Azra H.","non-dropping-particle":"","parse-names":false,"suffix":""},{"dropping-particle":"","family":"Ouyang","given":"Jing","non-dropping-particle":"","parse-names":false,"suffix":""},{"dropping-particle":"","family":"Neuberg","given":"Donna","non-dropping-particle":"","parse-names":false,"suffix":""},{"dropping-particle":"","family":"Redd","given":"Robert","non-dropping-particle":"","parse-names":false,"suffix":""},{"dropping-particle":"","family":"Chatterjee","given":"Arkendu","non-dropping-particle":"","parse-names":false,"suffix":""},{"dropping-particle":"","family":"Balakumaran","given":"Arun","non-dropping-particle":"","parse-names":false,"suffix":""},{"dropping-particle":"","family":"Orlowski","given":"Robert","non-dropping-particle":"","parse-names":false,"suffix":""},{"dropping-particle":"","family":"Shipp","given":"Margaret","non-dropping-particle":"","parse-names":false,"suffix":""},{"dropping-particle":"","family":"Zinzani","given":"Pier Luigi","non-dropping-particle":"","parse-names":false,"suffix":""}],"container-title":"Journal of Clinical Oncology","id":"ITEM-1","issue":"34","issued":{"date-parts":[["2019","10","14"]]},"page":"3291-3299","publisher":"American Society of Clinical Oncology","title":"Pembrolizumab in relapsed or refractory primary mediastinal large b-cell lymphoma","type":"article-journal","volume":"37"},"uris":["http://www.mendeley.com/documents/?uuid=fb5c9134-85e7-3157-b88f-49b434611086"]}],"mendeley":{"formattedCitation":"[128]","plainTextFormattedCitation":"[128]","previouslyFormattedCitation":"[128]"},"properties":{"noteIndex":0},"schema":"https://github.com/citation-style-language/schema/raw/master/csl-citation.json"}</w:instrText>
      </w:r>
      <w:r w:rsidR="0053335B">
        <w:rPr>
          <w:lang w:eastAsia="ru-RU"/>
        </w:rPr>
        <w:fldChar w:fldCharType="separate"/>
      </w:r>
      <w:r w:rsidR="00A6794A" w:rsidRPr="00A6794A">
        <w:rPr>
          <w:noProof/>
          <w:lang w:eastAsia="ru-RU"/>
        </w:rPr>
        <w:t>[128]</w:t>
      </w:r>
      <w:r w:rsidR="0053335B">
        <w:rPr>
          <w:lang w:eastAsia="ru-RU"/>
        </w:rPr>
        <w:fldChar w:fldCharType="end"/>
      </w:r>
    </w:p>
    <w:p w14:paraId="3CA54C3E" w14:textId="0874AED2" w:rsidR="00A33C04" w:rsidRPr="000322E4" w:rsidRDefault="00A33C04" w:rsidP="00F414BF">
      <w:pPr>
        <w:spacing w:line="360" w:lineRule="auto"/>
        <w:ind w:left="709"/>
        <w:contextualSpacing/>
        <w:jc w:val="both"/>
        <w:rPr>
          <w:b/>
        </w:rPr>
      </w:pPr>
      <w:r w:rsidRPr="000322E4">
        <w:rPr>
          <w:b/>
        </w:rPr>
        <w:t xml:space="preserve">Уровень убедительности рекомендаций </w:t>
      </w:r>
      <w:r w:rsidR="0053335B">
        <w:rPr>
          <w:b/>
          <w:lang w:val="en-US"/>
        </w:rPr>
        <w:t>B</w:t>
      </w:r>
      <w:r w:rsidR="00D36123" w:rsidRPr="000322E4">
        <w:rPr>
          <w:b/>
        </w:rPr>
        <w:t xml:space="preserve"> </w:t>
      </w:r>
      <w:r w:rsidRPr="000322E4">
        <w:rPr>
          <w:b/>
        </w:rPr>
        <w:t xml:space="preserve">(уровень достоверности доказательств </w:t>
      </w:r>
      <w:r w:rsidR="0053335B" w:rsidRPr="0053335B">
        <w:rPr>
          <w:b/>
        </w:rPr>
        <w:t>3</w:t>
      </w:r>
      <w:r w:rsidRPr="000322E4">
        <w:rPr>
          <w:b/>
        </w:rPr>
        <w:t>).</w:t>
      </w:r>
    </w:p>
    <w:p w14:paraId="2C6AB174" w14:textId="744FE090" w:rsidR="005C2F6B" w:rsidRPr="000322E4" w:rsidRDefault="005C2F6B" w:rsidP="00F414BF">
      <w:pPr>
        <w:pStyle w:val="afff8"/>
        <w:spacing w:before="0"/>
      </w:pPr>
      <w:r w:rsidRPr="000322E4">
        <w:t xml:space="preserve">Пациентам с рецидивами/рефрактерными формами ПЛЦНС, развившимися после тотального облучения головного мозга </w:t>
      </w:r>
      <w:r w:rsidRPr="000322E4">
        <w:rPr>
          <w:b/>
        </w:rPr>
        <w:t xml:space="preserve">рекомендовано </w:t>
      </w:r>
      <w:r w:rsidRPr="000322E4">
        <w:t>в зависимости от физического и неврологического статуса, возраста, сопутствующих заболеваний</w:t>
      </w:r>
      <w:r w:rsidRPr="000322E4">
        <w:rPr>
          <w:lang w:eastAsia="ru-RU"/>
        </w:rPr>
        <w:t xml:space="preserve"> проведение системной химиотерапии</w:t>
      </w:r>
      <w:r w:rsidR="00DE6A24" w:rsidRPr="000322E4">
        <w:rPr>
          <w:lang w:eastAsia="ru-RU"/>
        </w:rPr>
        <w:t xml:space="preserve"> (</w:t>
      </w:r>
      <w:r w:rsidR="00DE6A24" w:rsidRPr="000322E4">
        <w:t xml:space="preserve">повторное введение высокодозного метотрексата** с /или без  риткусимаба**, </w:t>
      </w:r>
      <w:r w:rsidR="00D2304E" w:rsidRPr="00D2304E">
        <w:t>#</w:t>
      </w:r>
      <w:r w:rsidR="00DE6A24" w:rsidRPr="000322E4">
        <w:t>темозоломид** с/или без ритуксимаба**, топотекан, DHAP, высокие дозы цитарабина**)</w:t>
      </w:r>
      <w:r w:rsidRPr="000322E4">
        <w:rPr>
          <w:lang w:eastAsia="ru-RU"/>
        </w:rPr>
        <w:t xml:space="preserve"> </w:t>
      </w:r>
      <w:r w:rsidRPr="000322E4">
        <w:t>и/или интратекального введения цитостатиков</w:t>
      </w:r>
      <w:r w:rsidR="00DE6A24" w:rsidRPr="000322E4">
        <w:t xml:space="preserve"> с или без высокодозной химиотерапии с трансплантацией аутологичных стволовых клеток</w:t>
      </w:r>
      <w:r w:rsidRPr="000322E4">
        <w:t>, или повторного облучения или паллиативной помощи</w:t>
      </w:r>
      <w:r w:rsidRPr="000322E4">
        <w:rPr>
          <w:lang w:eastAsia="ru-RU"/>
        </w:rPr>
        <w:t xml:space="preserve"> </w:t>
      </w:r>
      <w:r w:rsidRPr="000322E4">
        <w:fldChar w:fldCharType="begin" w:fldLock="1"/>
      </w:r>
      <w:r w:rsidR="006A2B13">
        <w:instrText>ADDIN CSL_CITATION {"citationItems":[{"id":"ITEM-1","itemData":{"DOI":"10.1016/S1470-2045(10)70229-1","ISSN":"14702045","abstract":"Background: High-dose methotrexate is the standard of care for patients with newly diagnosed primary CNS lymphoma. The role of whole brain radiotherapy is controversial because delayed neurotoxicity limits its acceptance as a standard of care. We aimed to investigate whether first-line chemotherapy based on high-dose methotrexate was non-inferior to the same chemotherapy regimen followed by whole brain radiotherapy for overall survival. Methods: Immunocompetent patients with newly diagnosed primary CNS lymphoma were enrolled from 75 centres and treated between May, 2000, and May, 2009. Patients were allocated by computer-generated block randomisation to receive first-line chemotherapy based on high-dose methotrexate with or without subsequent whole brain radiotherapy, with stratification by age (&lt;60 vs ≥60 years) and institution (Berlin vs Tübingen vs all other sites). The biostatistics centre assigned patients to treatment groups and informed local centres by fax; physicians and patients were not masked to treatment group after assignment. Patients enrolled between May, 2000, and August, 2006, received high-dose methotrexate (4 g/m2) on day 1 of six 14-day cycles; thereafter, patients received high-dose methotrexate plus ifosfamide (1·5 g/m2) on days 3-5 of six 14-day cycles. In those assigned to receive first-line chemotherapy followed by radiotherapy, whole brain radiotherapy was given to a total dose of 45 Gy, in 30 fractions of 1·5 Gy given daily on weekdays. Patients allocated to first-line chemotherapy without whole brain radiotherapy who had not achieved complete response were given high-dose cytarabine. The primary endpoint was overall survival, and analysis was per protocol. Our hypothesis was that the omission of whole brain radiotherapy does not compromise overall survival, with a non-inferiority margin of 0·9. This trial is registered with ClinicalTrials.gov, number NCT00153530. Findings: 551 patients (median age 63 years, IQR 55-69) were enrolled and randomised, of whom 318 were treated per protocol. In the per-protocol population, median overall survival was 32·4 months (95% CI 25·8-39·0) in patients receiving whole brain radiotherapy (n=154), and 37·1 months (27·5-46·7) in those not receiving whole brain radiotherapy (n=164), hazard ratio 1·06 (95% CI 0·80-1·40; p=0·71). Thus our primary hypothesis was not proven. Median progression-free survival was 18·3 months (95% CI 11·6-25·0) in patients receiving whole brain radiotherapy, and 11·9 …","author":[{"dropping-particle":"","family":"Thiel","given":"Eckhard","non-dropping-particle":"","parse-names":false,"suffix":""},{"dropping-particle":"","family":"Korfel","given":"Agnieszka","non-dropping-particle":"","parse-names":false,"suffix":""},{"dropping-particle":"","family":"Martus","given":"Peter","non-dropping-particle":"","parse-names":false,"suffix":""},{"dropping-particle":"","family":"Kanz","given":"Lothar","non-dropping-particle":"","parse-names":false,"suffix":""},{"dropping-particle":"","family":"Griesinger","given":"Frank","non-dropping-particle":"","parse-names":false,"suffix":""},{"dropping-particle":"","family":"Rauch","given":"Michael","non-dropping-particle":"","parse-names":false,"suffix":""},{"dropping-particle":"","family":"Röth","given":"Alexander","non-dropping-particle":"","parse-names":false,"suffix":""},{"dropping-particle":"","family":"Hertenstein","given":"Bernd","non-dropping-particle":"","parse-names":false,"suffix":""},{"dropping-particle":"","family":"Toll","given":"Theda","non-dropping-particle":"von","parse-names":false,"suffix":""},{"dropping-particle":"","family":"Hundsberger","given":"Thomas","non-dropping-particle":"","parse-names":false,"suffix":""},{"dropping-particle":"","family":"Mergenthaler","given":"Hans Günther","non-dropping-particle":"","parse-names":false,"suffix":""},{"dropping-particle":"","family":"Leithäuser","given":"Malte","non-dropping-particle":"","parse-names":false,"suffix":""},{"dropping-particle":"","family":"Birnbaum","given":"Tobias","non-dropping-particle":"","parse-names":false,"suffix":""},{"dropping-particle":"","family":"Fischer","given":"Lars","non-dropping-particle":"","parse-names":false,"suffix":""},{"dropping-particle":"","family":"Jahnke","given":"Kristoph","non-dropping-particle":"","parse-names":false,"suffix":""},{"dropping-particle":"","family":"Herrlinger","given":"Ulrich","non-dropping-particle":"","parse-names":false,"suffix":""},{"dropping-particle":"","family":"Plasswilm","given":"Ludwig","non-dropping-particle":"","parse-names":false,"suffix":""},{"dropping-particle":"","family":"Nägele","given":"Thomas","non-dropping-particle":"","parse-names":false,"suffix":""},{"dropping-particle":"","family":"Pietsch","given":"Torsten","non-dropping-particle":"","parse-names":false,"suffix":""},{"dropping-particle":"","family":"Bamberg","given":"Michael","non-dropping-particle":"","parse-names":false,"suffix":""},{"dropping-particle":"","family":"Weller","given":"Michael","non-dropping-particle":"","parse-names":false,"suffix":""}],"container-title":"The Lancet Oncology","id":"ITEM-1","issue":"11","issued":{"date-parts":[["2010","11"]]},"page":"1036-1047","title":"High-dose methotrexate with or without whole brain radiotherapy for primary CNS lymphoma (G-PCNSL-SG-1): a phase 3, randomised, non-inferiority trial","type":"article-journal","volume":"11"},"uris":["http://www.mendeley.com/documents/?uuid=4f8cf043-3a2a-35c6-b4f9-c28df8d2d84a"]},{"id":"ITEM-2","itemData":{"DOI":"10.1016/S0140-6736(09)61416-1","ISSN":"01406736","abstract":"Background: Chemotherapy with high-dose methotrexate is the conventional approach to treat primary CNS lymphomas, but superiority of polychemotherapy compared with high-dose methotrexate alone is unproven. We assessed the effect of adding high-dose cytarabine to methotrexate in patients with newly diagnosed primary CNS lymphoma. Methods: This open, randomised, phase 2 trial was undertaken in 24 centres in six countries. 79 patients with non-Hodgkin lymphoma exclusively localised into the CNS, cranial nerves, or eyes, aged 18-75 years, and with Eastern Cooperative Oncology Group performance status of 3 or lower and measurable disease were centrally randomly assigned by computer to receive four courses of either methotrexate 3·5 g/m2 on day 1 (n=40) or methotrexate 3·5 g/m2 on day 1 plus cytarabine 2 g/m2 twice a day on days 2-3 (n=39). Both regimens were administered every 3 weeks and were followed by whole-brain irradiation. The primary endpoint was complete remission rate after chemotherapy. Analysis was by intention to treat. This study is registered with ClinicalTrials.gov, number NCT00210314. Findings: All randomly assigned participants were analysed. After chemotherapy, seven patients given methotrexate and 18 given methotrexate plus cytarabine achieved a complete remission, with a complete remission rate of 18% (95% CI 6-30) and 46% (31-61), respectively, (p=0·006). Nine patients receiving methotrexate and nine receiving methotrexate plus cytarabine achieved a partial response, with an overall response rate of 40% (25-55) and 69% (55-83), respectively, (p=0·009). Grade 3-4 haematological toxicity was more common in the methotrexate plus cytarabine group than in the methotrexate group (36 [92%] vs six [15%]). Four patients died of toxic effects (three vs one). Interpretation: In patients aged 75 years and younger with primary CNS lymphoma, the addition of high-dose cytarabine to high-dose methotrexate provides improved outcome with acceptable toxicity compared with high-dose methotrexate alone. Funding: Swiss Cancer League. © 2009 Elsevier Ltd. All rights reserved.","author":[{"dropping-particle":"","family":"Ferreri","given":"Andrés JM","non-dropping-particle":"","parse-names":false,"suffix":""},{"dropping-particle":"","family":"Reni","given":"Michele","non-dropping-particle":"","parse-names":false,"suffix":""},{"dropping-particle":"","family":"Foppoli","given":"Marco","non-dropping-particle":"","parse-names":false,"suffix":""},{"dropping-particle":"","family":"Martelli","given":"Maurizio","non-dropping-particle":"","parse-names":false,"suffix":""},{"dropping-particle":"","family":"Pangalis","given":"Gerasimus A.","non-dropping-particle":"","parse-names":false,"suffix":""},{"dropping-particle":"","family":"Frezzato","given":"Maurizio","non-dropping-particle":"","parse-names":false,"suffix":""},{"dropping-particle":"","family":"Cabras","given":"Maria Giuseppina","non-dropping-particle":"","parse-names":false,"suffix":""},{"dropping-particle":"","family":"Fabbri","given":"Alberto","non-dropping-particle":"","parse-names":false,"suffix":""},{"dropping-particle":"","family":"Corazzelli","given":"Gaetano","non-dropping-particle":"","parse-names":false,"suffix":""},{"dropping-particle":"","family":"Ilariucci","given":"Fiorella","non-dropping-particle":"","parse-names":false,"suffix":""},{"dropping-particle":"","family":"Rossi","given":"Giuseppe","non-dropping-particle":"","parse-names":false,"suffix":""},{"dropping-particle":"","family":"Soffietti","given":"Riccardo","non-dropping-particle":"","parse-names":false,"suffix":""},{"dropping-particle":"","family":"Stelitano","given":"Caterina","non-dropping-particle":"","parse-names":false,"suffix":""},{"dropping-particle":"","family":"Vallisa","given":"Daniele","non-dropping-particle":"","parse-names":false,"suffix":""},{"dropping-particle":"","family":"Zaja","given":"Francesco","non-dropping-particle":"","parse-names":false,"suffix":""},{"dropping-particle":"","family":"Zoppegno","given":"Lucía","non-dropping-particle":"","parse-names":false,"suffix":""},{"dropping-particle":"","family":"Aondio","given":"Gian Marco","non-dropping-particle":"","parse-names":false,"suffix":""},{"dropping-particle":"","family":"Avvisati","given":"Giuseppe","non-dropping-particle":"","parse-names":false,"suffix":""},{"dropping-particle":"","family":"Balzarotti","given":"Monica","non-dropping-particle":"","parse-names":false,"suffix":""},{"dropping-particle":"","family":"Brandes","given":"Alba A.","non-dropping-particle":"","parse-names":false,"suffix":""},{"dropping-particle":"","family":"Fajardo","given":"José","non-dropping-particle":"","parse-names":false,"suffix":""},{"dropping-particle":"","family":"Gomez","given":"Henry","non-dropping-particle":"","parse-names":false,"suffix":""},{"dropping-particle":"","family":"Guarini","given":"Attilio","non-dropping-particle":"","parse-names":false,"suffix":""},{"dropping-particle":"","family":"Pinotti","given":"Graziella","non-dropping-particle":"","parse-names":false,"suffix":""},{"dropping-particle":"","family":"Rigacci","given":"Luigi","non-dropping-particle":"","parse-names":false,"suffix":""},{"dropping-particle":"","family":"Uhlmann","given":"Catrina","non-dropping-particle":"","parse-names":false,"suffix":""},{"dropping-particle":"","family":"Picozzi","given":"Piero","non-dropping-particle":"","parse-names":false,"suffix":""},{"dropping-particle":"","family":"Vezzulli","given":"Paolo","non-dropping-particle":"","parse-names":false,"suffix":""},{"dropping-particle":"","family":"Ponzoni","given":"Maurilio","non-dropping-particle":"","parse-names":false,"suffix":""},{"dropping-particle":"","family":"Zucca","given":"Emanuele","non-dropping-particle":"","parse-names":false,"suffix":""},{"dropping-particle":"","family":"Caligaris-Cappio","given":"Federico","non-dropping-particle":"","parse-names":false,"suffix":""},{"dropping-particle":"","family":"Cavalli","given":"Franco","non-dropping-particle":"","parse-names":false,"suffix":""}],"container-title":"The Lancet","id":"ITEM-2","issue":"9700","issued":{"date-parts":[["2009"]]},"page":"1512-1520","title":"High-dose cytarabine plus high-dose methotrexate versus high-dose methotrexate alone in patients with primary CNS lymphoma: a randomised phase 2 trial","type":"article-journal","volume":"374"},"uris":["http://www.mendeley.com/documents/?uuid=ff6c34eb-65ed-333e-878d-5d30c9dd2ebd"]},{"id":"ITEM-3","itemData":{"DOI":"10.1093/jnci/80.17.1408","ISSN":"0027-8874","PMID":"3172268","abstract":"Ten patients with parenchymal CNS lymphoma received combination chemotherapy with dexamethasone, high-dose cytarabine, and cisplatin (DHAP), and additional therapy according to clinical circumstances. Two of four patients with primary CNS lymphoma achieved and remain in complete remission (CR). Four of six patients with CNS lymphoma at relapse also achieved CR. DHAP is active against CNS lymphoma. Further trials with DHAP, particularly in conjunction with other treatment modalities, are warranted.","author":[{"dropping-particle":"","family":"McLaughlin","given":"P","non-dropping-particle":"","parse-names":false,"suffix":""},{"dropping-particle":"","family":"Velasquez","given":"W S","non-dropping-particle":"","parse-names":false,"suffix":""},{"dropping-particle":"","family":"Redman","given":"J R","non-dropping-particle":"","parse-names":false,"suffix":""},{"dropping-particle":"","family":"Yung","given":"W K","non-dropping-particle":"","parse-names":false,"suffix":""},{"dropping-particle":"","family":"Hagemeister","given":"F B","non-dropping-particle":"","parse-names":false,"suffix":""},{"dropping-particle":"","family":"Rodriguez","given":"M A","non-dropping-particle":"","parse-names":false,"suffix":""},{"dropping-particle":"","family":"Cabanillas","given":"F","non-dropping-particle":"","parse-names":false,"suffix":""}],"container-title":"Journal of the National Cancer Institute","id":"ITEM-3","issue":"17","issued":{"date-parts":[["1988","11","2"]]},"page":"1408-12","title":"Chemotherapy with dexamethasone, high-dose cytarabine, and cisplatin for parenchymal brain lymphoma.","type":"article-journal","volume":"80"},"uris":["http://www.mendeley.com/documents/?uuid=fa097cbb-f48c-3862-a073-b6059158db96"]},{"id":"ITEM-4","itemData":{"DOI":"10.3109/10428194.2014.916800","ISSN":"10292403","abstract":"The prognosis for patients with central nervous system (CNS) involvement by recurrent or refractory diffuse large B-cell lymphoma is poor, with overall survival (OS) of 4-10 months. High-dose chemotherapy (HDC) and autologous stem cell transplant (ASCT) is a potential treatment alternative. We reviewed patients with recurrent primary (PCNSL) or secondary (SCNSL) CNS lymphoma referred for consolidation HDC-ASCT utilizing thiotepa, busulfan and cyclophosphamide (TBC). Among the 17 patients included, all had achieved a complete remission after salvage induction chemotherapy, which incorporated methotrexate in 82% of patients. Two patients failed stem-cell harvesting and 15 (88%) underwent transplant. The estimated 3-year progression-free survival (PFS) and OS were both 93% (95% confidence interval 61-99%). Median PFS and OS were not reached. There was no transplant-related mortality. These results confirm the benefit of TBC followed by ASCT in select patients with recurrent PCNSL and suggest a potential role for the regimen in those with SCNSL. Further investigation is warranted.","author":[{"dropping-particle":"","family":"Welch","given":"Mary R.","non-dropping-particle":"","parse-names":false,"suffix":""},{"dropping-particle":"","family":"Sauter","given":"Craig S.","non-dropping-particle":"","parse-names":false,"suffix":""},{"dropping-particle":"","family":"Matasar","given":"Matthew J.","non-dropping-particle":"","parse-names":false,"suffix":""},{"dropping-particle":"","family":"Faivre","given":"Geraldine","non-dropping-particle":"","parse-names":false,"suffix":""},{"dropping-particle":"","family":"Weaver","given":"Susan A.","non-dropping-particle":"","parse-names":false,"suffix":""},{"dropping-particle":"","family":"Moskowitz","given":"Craig H.","non-dropping-particle":"","parse-names":false,"suffix":""},{"dropping-particle":"","family":"Omuro","given":"Antonio M.","non-dropping-particle":"","parse-names":false,"suffix":""}],"container-title":"Leukemia and Lymphoma","id":"ITEM-4","issue":"2","issued":{"date-parts":[["2015","2","1"]]},"page":"361-367","publisher":"Informa Healthcare","title":"Autologous stem cell transplant in recurrent or refractory primary or secondary central nervous system lymphoma using thiotepa, busulfan and cyclophosphamide","type":"article-journal","volume":"56"},"uris":["http://www.mendeley.com/documents/?uuid=58e365c0-daa1-3d31-92db-ceacf55db374"]},{"id":"ITEM-5","itemData":{"DOI":"10.1200/JCO.2005.01.161","ISSN":"0732183X","abstract":"Purpose: This study evaluates the efficacy and toxicity of whole-brain radiation therapy (WBRT) as salvage therapy for immunocompetent patients who failed initial high-dose methotrexate for primary CNS lymphoma (PCNSL). Patients and Methods: The study cohort included 27 consecutive patients who failed initial high-dose methotrexate and then received salvage WBRT (median dose, 36 Gy). Actuarial survival was measured from the initiation of radiotherapy. Results: Ten patients (37%) achieved a complete radiographic response (CR), and 10 patients (37%) a partial response to WBRT, for a 74% overall radiographic response rate. At the time of maximal response, Karnofsky performance status improved in 12 (44%) of 27 patients and at least stabilized in 67%. Median estimated survival from initiation of WBRT was 10.9 months (range, 0.3 to 63.7 months). The univariate predictor of longer survival was age less than 60 years at the time of WBRT (P = .028). Among patients who survived 4 months, achievement of a CR to WBRT by 4 months (P = .002) predicted longer survival. Late treatment-associated neurotoxicity was diagnosed in four patients (15%) and was significantly associated with total radiation doses greater than 36 Gy (P = .04). No patient treated with daily fractions less than 1.8 Gy developed late neurotoxicity. Conclusion: For patients with PCNSL who experience treatment failure with methotrexate, WBRT provides high response rates (74%) and a median survival of 10.9 months. Age less than 60 years and response to WBRT predict post-WBRT survival. Modest rates of late neurotoxicity (15%) were seen and were associated with a total dose greater than 36 Gy. © 2005 by American Society of Clinical Oncology.","author":[{"dropping-particle":"","family":"Nguyen","given":"Paul L.","non-dropping-particle":"","parse-names":false,"suffix":""},{"dropping-particle":"","family":"Chakravarti","given":"Arnab","non-dropping-particle":"","parse-names":false,"suffix":""},{"dropping-particle":"","family":"Finkelstein","given":"Dianne M.","non-dropping-particle":"","parse-names":false,"suffix":""},{"dropping-particle":"","family":"Hochberg","given":"Fred H.","non-dropping-particle":"","parse-names":false,"suffix":""},{"dropping-particle":"","family":"Batchelor","given":"Tracy T.","non-dropping-particle":"","parse-names":false,"suffix":""},{"dropping-particle":"","family":"Loeffler","given":"Jay S.","non-dropping-particle":"","parse-names":false,"suffix":""}],"container-title":"Journal of Clinical Oncology","id":"ITEM-5","issue":"7","issued":{"date-parts":[["2005","3","1"]]},"page":"1507-1513","title":"Results of whole-brain radiation as salvage of methotrexate failure for immunocompetent patients with primary CNS lymphoma","type":"article-journal","volume":"23"},"uris":["http://www.mendeley.com/documents/?uuid=4a193ec7-ab91-3c54-82cb-30f291d607ae"]}],"mendeley":{"formattedCitation":"[93,94,129–131]","plainTextFormattedCitation":"[93,94,129–131]","previouslyFormattedCitation":"[93,94,129–131]"},"properties":{"noteIndex":0},"schema":"https://github.com/citation-style-language/schema/raw/master/csl-citation.json"}</w:instrText>
      </w:r>
      <w:r w:rsidRPr="000322E4">
        <w:fldChar w:fldCharType="separate"/>
      </w:r>
      <w:r w:rsidR="00A6794A" w:rsidRPr="00A6794A">
        <w:rPr>
          <w:noProof/>
        </w:rPr>
        <w:t>[93,94,129–131]</w:t>
      </w:r>
      <w:r w:rsidRPr="000322E4">
        <w:fldChar w:fldCharType="end"/>
      </w:r>
      <w:r w:rsidRPr="000322E4">
        <w:t>.</w:t>
      </w:r>
    </w:p>
    <w:p w14:paraId="14267B32" w14:textId="77777777" w:rsidR="005C2F6B" w:rsidRPr="000322E4" w:rsidRDefault="005C2F6B" w:rsidP="00F414BF">
      <w:pPr>
        <w:spacing w:line="360" w:lineRule="auto"/>
        <w:ind w:left="709"/>
        <w:contextualSpacing/>
        <w:jc w:val="both"/>
        <w:rPr>
          <w:b/>
        </w:rPr>
      </w:pPr>
      <w:r w:rsidRPr="000322E4">
        <w:rPr>
          <w:b/>
        </w:rPr>
        <w:t xml:space="preserve">Уровень убедительности рекомендаций </w:t>
      </w:r>
      <w:r w:rsidR="00DE6A24" w:rsidRPr="000322E4">
        <w:rPr>
          <w:b/>
        </w:rPr>
        <w:t>С</w:t>
      </w:r>
      <w:r w:rsidRPr="000322E4">
        <w:rPr>
          <w:b/>
        </w:rPr>
        <w:t xml:space="preserve"> (уровень достоверности доказательств </w:t>
      </w:r>
      <w:r w:rsidR="00DE6A24" w:rsidRPr="000322E4">
        <w:rPr>
          <w:b/>
        </w:rPr>
        <w:t>4</w:t>
      </w:r>
      <w:r w:rsidRPr="000322E4">
        <w:rPr>
          <w:b/>
        </w:rPr>
        <w:t>).</w:t>
      </w:r>
    </w:p>
    <w:p w14:paraId="6043CC02" w14:textId="26CDA4A0" w:rsidR="00694780" w:rsidRDefault="005C2F6B" w:rsidP="00021E2A">
      <w:pPr>
        <w:spacing w:line="360" w:lineRule="auto"/>
        <w:ind w:firstLine="709"/>
        <w:contextualSpacing/>
        <w:jc w:val="both"/>
        <w:rPr>
          <w:i/>
          <w:iCs/>
        </w:rPr>
      </w:pPr>
      <w:r w:rsidRPr="000322E4">
        <w:rPr>
          <w:b/>
        </w:rPr>
        <w:t>Комментарии:</w:t>
      </w:r>
      <w:r w:rsidRPr="000322E4">
        <w:t xml:space="preserve"> </w:t>
      </w:r>
      <w:r w:rsidR="00DE6A24" w:rsidRPr="000322E4">
        <w:rPr>
          <w:i/>
          <w:iCs/>
        </w:rPr>
        <w:t>пациентам, получившим в первой линии режимы с высокодозным метотрексатом, без лучевой терапии, выбор между назначением системной химиотерапии или облучения зависит от длительности ответа на ХТ первой линии: если эффект сохраняется относительно долго (1</w:t>
      </w:r>
      <w:r w:rsidR="009462E4" w:rsidRPr="000322E4">
        <w:rPr>
          <w:i/>
          <w:iCs/>
        </w:rPr>
        <w:t xml:space="preserve"> </w:t>
      </w:r>
      <w:r w:rsidR="00DE6A24" w:rsidRPr="000322E4">
        <w:rPr>
          <w:i/>
          <w:iCs/>
        </w:rPr>
        <w:t xml:space="preserve">год и больше), рекомендуется возобновление ХТ, того же или иного режима. Если ответ был коротким или не получен вообще, рекомендуется выполнение ЛТ: на весь головной </w:t>
      </w:r>
      <w:r w:rsidR="00DE6A24" w:rsidRPr="000322E4">
        <w:rPr>
          <w:i/>
          <w:iCs/>
        </w:rPr>
        <w:lastRenderedPageBreak/>
        <w:t>мозг или вовлеченные области с/или без системной терапии. В иных случаях, как опция рассматривается паллиативная терапия, для отдельных групп пациентов — ВДХТ с аутоТГСК.</w:t>
      </w:r>
    </w:p>
    <w:p w14:paraId="246C1C32" w14:textId="77777777" w:rsidR="00CD0151" w:rsidRDefault="00CD0151" w:rsidP="00F414BF">
      <w:pPr>
        <w:spacing w:line="360" w:lineRule="auto"/>
        <w:ind w:left="709"/>
        <w:contextualSpacing/>
        <w:jc w:val="both"/>
        <w:rPr>
          <w:i/>
          <w:iCs/>
        </w:rPr>
      </w:pPr>
    </w:p>
    <w:p w14:paraId="3095DFAD" w14:textId="48084FD0" w:rsidR="00CD0151" w:rsidRPr="000322E4" w:rsidRDefault="00CD0151" w:rsidP="00CD0151">
      <w:pPr>
        <w:pStyle w:val="2"/>
        <w:spacing w:before="0"/>
        <w:contextualSpacing/>
      </w:pPr>
      <w:bookmarkStart w:id="44" w:name="_Toc96601247"/>
      <w:r w:rsidRPr="000322E4">
        <w:t>3.</w:t>
      </w:r>
      <w:r>
        <w:t>7</w:t>
      </w:r>
      <w:r w:rsidRPr="000322E4">
        <w:t xml:space="preserve"> </w:t>
      </w:r>
      <w:r>
        <w:t>Особенности ведения беременных пациенток</w:t>
      </w:r>
      <w:bookmarkEnd w:id="44"/>
      <w:r w:rsidRPr="000322E4">
        <w:t xml:space="preserve"> </w:t>
      </w:r>
    </w:p>
    <w:p w14:paraId="41402399" w14:textId="12140830" w:rsidR="00CF5D64" w:rsidRDefault="00CD0151" w:rsidP="00CF5D64">
      <w:pPr>
        <w:pStyle w:val="afff8"/>
        <w:numPr>
          <w:ilvl w:val="0"/>
          <w:numId w:val="0"/>
        </w:numPr>
        <w:spacing w:before="0"/>
        <w:ind w:firstLine="709"/>
        <w:rPr>
          <w:i/>
          <w:iCs/>
        </w:rPr>
      </w:pPr>
      <w:r w:rsidRPr="00CF5D64">
        <w:rPr>
          <w:i/>
          <w:iCs/>
        </w:rPr>
        <w:t xml:space="preserve">Тактика ведения беременности у женщин </w:t>
      </w:r>
      <w:r w:rsidR="00CF5D64">
        <w:rPr>
          <w:i/>
          <w:iCs/>
        </w:rPr>
        <w:t>с</w:t>
      </w:r>
      <w:r w:rsidRPr="00CF5D64">
        <w:rPr>
          <w:i/>
          <w:iCs/>
        </w:rPr>
        <w:t xml:space="preserve"> агрессивной лимфом</w:t>
      </w:r>
      <w:r w:rsidR="00CF5D64">
        <w:rPr>
          <w:i/>
          <w:iCs/>
        </w:rPr>
        <w:t>ой</w:t>
      </w:r>
      <w:r w:rsidRPr="00CF5D64">
        <w:rPr>
          <w:i/>
          <w:iCs/>
        </w:rPr>
        <w:t xml:space="preserve"> зависит от трёх слагающих: агрессивности лимфомы, времени возникновения заболевания (I, II, III триместр беременности) и желания женщины сохранить ребенка. Возможны следующие варианты тактики ведения:</w:t>
      </w:r>
    </w:p>
    <w:p w14:paraId="414C8F60" w14:textId="77777777" w:rsidR="00CF5D64" w:rsidRPr="00CF5D64" w:rsidRDefault="00CD0151" w:rsidP="00CF5D64">
      <w:pPr>
        <w:pStyle w:val="10"/>
        <w:spacing w:before="0"/>
        <w:ind w:left="714" w:hanging="357"/>
        <w:rPr>
          <w:i/>
          <w:iCs/>
        </w:rPr>
      </w:pPr>
      <w:r w:rsidRPr="00CF5D64">
        <w:rPr>
          <w:i/>
          <w:iCs/>
        </w:rPr>
        <w:t xml:space="preserve">прерывание беременности </w:t>
      </w:r>
    </w:p>
    <w:p w14:paraId="4C4AC5C1" w14:textId="00BF2DCC" w:rsidR="00CD0151" w:rsidRPr="00CF5D64" w:rsidRDefault="00CD0151" w:rsidP="00CF5D64">
      <w:pPr>
        <w:pStyle w:val="10"/>
        <w:spacing w:before="0"/>
        <w:ind w:left="714" w:hanging="357"/>
        <w:rPr>
          <w:i/>
          <w:iCs/>
        </w:rPr>
      </w:pPr>
      <w:r w:rsidRPr="00CF5D64">
        <w:rPr>
          <w:i/>
          <w:iCs/>
        </w:rPr>
        <w:t>проведение лечения во II - III триместрах беременности</w:t>
      </w:r>
    </w:p>
    <w:p w14:paraId="2AC83C4F" w14:textId="26EAAF39" w:rsidR="00CD0151" w:rsidRPr="00CF5D64" w:rsidRDefault="00CD0151" w:rsidP="00CF5D64">
      <w:pPr>
        <w:pStyle w:val="10"/>
        <w:spacing w:before="0"/>
        <w:ind w:left="714" w:hanging="357"/>
      </w:pPr>
      <w:r w:rsidRPr="00CF5D64">
        <w:rPr>
          <w:i/>
          <w:iCs/>
        </w:rPr>
        <w:t>отсрочка лечения до послеродового периода</w:t>
      </w:r>
    </w:p>
    <w:p w14:paraId="1450E8CA" w14:textId="77777777" w:rsidR="00CF5D64" w:rsidRPr="00CF5D64" w:rsidRDefault="00CF5D64" w:rsidP="00CF5D64">
      <w:pPr>
        <w:pStyle w:val="10"/>
        <w:numPr>
          <w:ilvl w:val="0"/>
          <w:numId w:val="0"/>
        </w:numPr>
        <w:spacing w:before="0"/>
        <w:ind w:left="714"/>
      </w:pPr>
    </w:p>
    <w:p w14:paraId="0D0606EE" w14:textId="53E6B8F2" w:rsidR="00CD0151" w:rsidRPr="000322E4" w:rsidRDefault="00CF5D64" w:rsidP="00CD0151">
      <w:pPr>
        <w:pStyle w:val="afff8"/>
        <w:spacing w:before="0"/>
      </w:pPr>
      <w:r>
        <w:t>Беременным женщинам с</w:t>
      </w:r>
      <w:r w:rsidR="00163AA0">
        <w:t xml:space="preserve"> ДВКЛ, ПМВКЛ,</w:t>
      </w:r>
      <w:r w:rsidR="00CD0151" w:rsidRPr="000322E4">
        <w:t xml:space="preserve"> ЛБ </w:t>
      </w:r>
      <w:r w:rsidR="00CD0151" w:rsidRPr="000322E4">
        <w:rPr>
          <w:b/>
        </w:rPr>
        <w:t>рекомендуется</w:t>
      </w:r>
      <w:r w:rsidR="00CD0151" w:rsidRPr="000322E4">
        <w:t xml:space="preserve"> </w:t>
      </w:r>
      <w:r>
        <w:t xml:space="preserve">проведение химиотерапии схемами </w:t>
      </w:r>
      <w:r>
        <w:rPr>
          <w:lang w:val="en-US"/>
        </w:rPr>
        <w:t>R</w:t>
      </w:r>
      <w:r w:rsidRPr="00CF5D64">
        <w:t>-</w:t>
      </w:r>
      <w:r>
        <w:rPr>
          <w:lang w:val="en-US"/>
        </w:rPr>
        <w:t>CHOP</w:t>
      </w:r>
      <w:r w:rsidRPr="00CF5D64">
        <w:t xml:space="preserve"> </w:t>
      </w:r>
      <w:r>
        <w:t xml:space="preserve">или </w:t>
      </w:r>
      <w:r>
        <w:rPr>
          <w:lang w:val="en-US"/>
        </w:rPr>
        <w:t>R</w:t>
      </w:r>
      <w:r w:rsidRPr="00CF5D64">
        <w:t>-</w:t>
      </w:r>
      <w:r>
        <w:rPr>
          <w:lang w:val="en-US"/>
        </w:rPr>
        <w:t>EPOCH</w:t>
      </w:r>
      <w:r w:rsidRPr="00CF5D64">
        <w:t xml:space="preserve"> </w:t>
      </w:r>
      <w:r>
        <w:t>в зависимости от варианта лимфомы и факторов неблагоприятного прогноза</w:t>
      </w:r>
      <w:r w:rsidR="00CD0151" w:rsidRPr="000322E4">
        <w:t xml:space="preserve"> </w:t>
      </w:r>
      <w:r w:rsidR="00CD0151" w:rsidRPr="000322E4">
        <w:fldChar w:fldCharType="begin" w:fldLock="1"/>
      </w:r>
      <w:r w:rsidR="006A2B13">
        <w:instrText>ADDIN CSL_CITATION {"citationItems":[{"id":"ITEM-1","itemData":{"author":[{"dropping-particle":"","family":"Мангасарова","given":"Я.К.","non-dropping-particle":"","parse-names":false,"suffix":""},{"dropping-particle":"","family":"Магомедова","given":"А.У.","non-dropping-particle":"","parse-names":false,"suffix":""},{"dropping-particle":"","family":"Нестерова","given":"Е.С.","non-dropping-particle":"","parse-names":false,"suffix":""},{"dropping-particle":"","family":"Горенкова","given":"Л.Г.","non-dropping-particle":"","parse-names":false,"suffix":""},{"dropping-particle":"","family":"Бабаева","given":"Ф.Э.","non-dropping-particle":"","parse-names":false,"suffix":""},{"dropping-particle":"","family":"Шмаков","given":"Р.Г.","non-dropping-particle":"","parse-names":false,"suffix":""},{"dropping-particle":"","family":"Кравченко","given":"С.К.","non-dropping-particle":"","parse-names":false,"suffix":""}],"container-title":"Клиническая онкогематология","id":"ITEM-1","issue":"3","issued":{"date-parts":[["2020"]]},"page":"316-321","title":"Терапия агрессивных неходжкинских лимфом у беременных","type":"article-journal","volume":"13"},"uris":["http://www.mendeley.com/documents/?uuid=fd881d44-3009-444c-81bf-f5b416a399b8"]},{"id":"ITEM-2","itemData":{"author":[{"dropping-particle":"","family":"Котомина","given":"Т.С.","non-dropping-particle":"","parse-names":false,"suffix":""},{"dropping-particle":"","family":"Барях","given":"Е.А.","non-dropping-particle":"","parse-names":false,"suffix":""},{"dropping-particle":"","family":"Мисюрина","given":"Е.Н.","non-dropping-particle":"","parse-names":false,"suffix":""},{"dropping-particle":"","family":"Желнова","given":"Е.И.","non-dropping-particle":"","parse-names":false,"suffix":""},{"dropping-particle":"","family":"Кокоя","given":"И.Ю.","non-dropping-particle":"","parse-names":false,"suffix":""},{"dropping-particle":"","family":"Грабовский","given":"В.М.","non-dropping-particle":"","parse-names":false,"suffix":""},{"dropping-particle":"","family":"Лысенко","given":"М.А.","non-dropping-particle":"","parse-names":false,"suffix":""}],"container-title":"РМЖ. Мать и дитя","id":"ITEM-2","issued":{"date-parts":[["2020"]]},"page":"211-216","title":"Лимфома Беркитта и беременность. Возможности современной медицины","type":"article-journal","volume":"3"},"uris":["http://www.mendeley.com/documents/?uuid=5d1e2185-6741-4ff5-8f8b-9681e4d102e0"]},{"id":"ITEM-3","itemData":{"DOI":"10.1182/BLOOD.2019000961","ISSN":"0006-4971","PMID":"32797210","abstract":"Lymphomas afflict all age groups of people, with certain types demonstrating a female predilection in adolescents and young adults. A proportion of lymphomas that are diagnosed in this population demographic occur in the setting of pregnancy.Most of these behave aggressively at presentation and require immediate or urgent therapy. Treatmentmust consider both maternal and fetal health, and management approaches are therefore influenced by gestational age at diagnosis and treatment and timing of delivery. Although there is a paucity of literature on how to treat these patients, limited retrospective reports demonstrate generally good outcomes and highlight the necessity of an experienced multidisciplinary team approach to management.","author":[{"dropping-particle":"","family":"Dunleavy","given":"Kieron","non-dropping-particle":"","parse-names":false,"suffix":""},{"dropping-particle":"","family":"McLintock","given":"Claire","non-dropping-particle":"","parse-names":false,"suffix":""}],"container-title":"Blood","id":"ITEM-3","issue":"19","issued":{"date-parts":[["2020","11","5"]]},"page":"2118-2124","publisher":"American Society of Hematology","title":"How I treat lymphoma in pregnancy","type":"article-journal","volume":"136"},"uris":["http://www.mendeley.com/documents/?uuid=1e68e98a-12b7-34b1-92c2-3e193e13af84"]}],"mendeley":{"formattedCitation":"[45,132,133]","plainTextFormattedCitation":"[45,132,133]","previouslyFormattedCitation":"[45,132,133]"},"properties":{"noteIndex":0},"schema":"https://github.com/citation-style-language/schema/raw/master/csl-citation.json"}</w:instrText>
      </w:r>
      <w:r w:rsidR="00CD0151" w:rsidRPr="000322E4">
        <w:fldChar w:fldCharType="separate"/>
      </w:r>
      <w:r w:rsidR="00A6794A" w:rsidRPr="00A6794A">
        <w:rPr>
          <w:noProof/>
        </w:rPr>
        <w:t>[45,132,133]</w:t>
      </w:r>
      <w:r w:rsidR="00CD0151" w:rsidRPr="000322E4">
        <w:fldChar w:fldCharType="end"/>
      </w:r>
      <w:r w:rsidR="00CD0151" w:rsidRPr="000322E4">
        <w:t>.</w:t>
      </w:r>
    </w:p>
    <w:p w14:paraId="3B44A018" w14:textId="59E8A599" w:rsidR="00CD0151" w:rsidRDefault="00CD0151" w:rsidP="00CD0151">
      <w:pPr>
        <w:spacing w:line="360" w:lineRule="auto"/>
        <w:ind w:left="709"/>
        <w:contextualSpacing/>
        <w:jc w:val="both"/>
        <w:rPr>
          <w:b/>
        </w:rPr>
      </w:pPr>
      <w:r w:rsidRPr="000322E4">
        <w:rPr>
          <w:b/>
        </w:rPr>
        <w:t>Уровень убедительности рекомендаций С (уровень достоверности доказательств 5).</w:t>
      </w:r>
    </w:p>
    <w:p w14:paraId="76ACBEA6" w14:textId="36365402" w:rsidR="00A877EB" w:rsidRPr="000322E4" w:rsidRDefault="00A877EB" w:rsidP="00A877EB">
      <w:pPr>
        <w:pStyle w:val="afff8"/>
        <w:spacing w:before="0"/>
      </w:pPr>
      <w:r>
        <w:t xml:space="preserve">Беременным женщинам </w:t>
      </w:r>
      <w:r w:rsidRPr="00A877EB">
        <w:rPr>
          <w:b/>
          <w:bCs/>
        </w:rPr>
        <w:t>не</w:t>
      </w:r>
      <w:r w:rsidRPr="000322E4">
        <w:t xml:space="preserve"> </w:t>
      </w:r>
      <w:r w:rsidRPr="000322E4">
        <w:rPr>
          <w:b/>
        </w:rPr>
        <w:t>рекомендуется</w:t>
      </w:r>
      <w:r w:rsidRPr="000322E4">
        <w:t xml:space="preserve"> </w:t>
      </w:r>
      <w:r>
        <w:t>назначение препаратов группы антиметаболитов (</w:t>
      </w:r>
      <w:r>
        <w:rPr>
          <w:lang w:val="en-US"/>
        </w:rPr>
        <w:t>L</w:t>
      </w:r>
      <w:r w:rsidRPr="00A877EB">
        <w:t>01</w:t>
      </w:r>
      <w:r>
        <w:rPr>
          <w:lang w:val="en-US"/>
        </w:rPr>
        <w:t>B</w:t>
      </w:r>
      <w:r w:rsidRPr="00A877EB">
        <w:t xml:space="preserve"> </w:t>
      </w:r>
      <w:r>
        <w:t>по АТХ классификации)</w:t>
      </w:r>
      <w:r w:rsidRPr="000322E4">
        <w:t xml:space="preserve"> </w:t>
      </w:r>
      <w:r w:rsidRPr="000322E4">
        <w:fldChar w:fldCharType="begin" w:fldLock="1"/>
      </w:r>
      <w:r w:rsidR="009D170B">
        <w:instrText>ADDIN CSL_CITATION {"citationItems":[{"id":"ITEM-1","itemData":{"ISSN":"0890-6238","author":[{"dropping-particle":"","family":"Martín","given":"María Cecilia","non-dropping-particle":"","parse-names":false,"suffix":""},{"dropping-particle":"","family":"Barbero","given":"Pablo","non-dropping-particle":"","parse-names":false,"suffix":""},{"dropping-particle":"","family":"Groisman","given":"Boris","non-dropping-particle":"","parse-names":false,"suffix":""},{"dropping-particle":"","family":"Aguirre","given":"Miguel Ángel","non-dropping-particle":"","parse-names":false,"suffix":""},{"dropping-particle":"","family":"Koren","given":"Gideon","non-dropping-particle":"","parse-names":false,"suffix":""}],"container-title":"Reproductive Toxicology","id":"ITEM-1","issued":{"date-parts":[["2014"]]},"page":"26-29","title":"Methotrexate embryopathy after exposure to low weekly doses in early pregnancy","type":"article-journal","volume":"43"},"uris":["http://www.mendeley.com/documents/?uuid=8d8e4a94-297f-3077-85f8-7aea781495e1"]}],"mendeley":{"formattedCitation":"[74]","plainTextFormattedCitation":"[74]","previouslyFormattedCitation":"[74]"},"properties":{"noteIndex":0},"schema":"https://github.com/citation-style-language/schema/raw/master/csl-citation.json"}</w:instrText>
      </w:r>
      <w:r w:rsidRPr="000322E4">
        <w:fldChar w:fldCharType="separate"/>
      </w:r>
      <w:r w:rsidR="00095D58" w:rsidRPr="00095D58">
        <w:rPr>
          <w:noProof/>
        </w:rPr>
        <w:t>[74]</w:t>
      </w:r>
      <w:r w:rsidRPr="000322E4">
        <w:fldChar w:fldCharType="end"/>
      </w:r>
      <w:r w:rsidRPr="000322E4">
        <w:t>.</w:t>
      </w:r>
    </w:p>
    <w:p w14:paraId="5C1ACD54" w14:textId="768DC191" w:rsidR="00A877EB" w:rsidRDefault="00A877EB" w:rsidP="00A877EB">
      <w:pPr>
        <w:spacing w:line="360" w:lineRule="auto"/>
        <w:ind w:left="709"/>
        <w:contextualSpacing/>
        <w:jc w:val="both"/>
        <w:rPr>
          <w:b/>
        </w:rPr>
      </w:pPr>
      <w:r w:rsidRPr="000322E4">
        <w:rPr>
          <w:b/>
        </w:rPr>
        <w:t>Уровень убедительности рекомендаций С (уровень достоверности доказательств 5).</w:t>
      </w:r>
    </w:p>
    <w:p w14:paraId="0CE45BB8" w14:textId="44F5750D" w:rsidR="008B04BE" w:rsidRPr="000322E4" w:rsidRDefault="00030ACD" w:rsidP="00030ACD">
      <w:pPr>
        <w:pStyle w:val="afff8"/>
        <w:spacing w:before="0"/>
        <w:ind w:left="714" w:hanging="357"/>
      </w:pPr>
      <w:r>
        <w:t>Беременным женщинам с</w:t>
      </w:r>
      <w:r w:rsidRPr="000322E4">
        <w:t xml:space="preserve"> ДВКЛ, ПМВКЛ или ЛБ</w:t>
      </w:r>
      <w:r w:rsidR="008B04BE" w:rsidRPr="000322E4">
        <w:t xml:space="preserve"> </w:t>
      </w:r>
      <w:r w:rsidR="008B04BE" w:rsidRPr="000322E4">
        <w:rPr>
          <w:b/>
        </w:rPr>
        <w:t xml:space="preserve">рекомендовано </w:t>
      </w:r>
      <w:r w:rsidRPr="00030ACD">
        <w:t>проводить расчет дозы препаратов аналогично тому, как это делается при расчете дозы для небеременных пациенток</w:t>
      </w:r>
      <w:r>
        <w:t xml:space="preserve"> </w:t>
      </w:r>
      <w:r w:rsidR="00D24B72">
        <w:fldChar w:fldCharType="begin" w:fldLock="1"/>
      </w:r>
      <w:r w:rsidR="006A2B13">
        <w:instrText>ADDIN CSL_CITATION {"citationItems":[{"id":"ITEM-1","itemData":{"DOI":"10.1200/JCO.2013.49.8220","ISSN":"1527-7755","PMID":"24043736","abstract":"Purpose: Lymphoma is the fourth most frequent cancer in pregnancy; however, current clinical practice is based largely on small series and case reports. Patients and Methods: In a multicenter retrospective analysis, we examined treatment, complications, and outcomes for Hodgkin lymphoma (HL) and non-Hodgkin lymphoma (NHL) occurring during pregnancy. Results: Among 90 patients (NHL, n = 50; HL, n = 40), median age was 30 years (range, 18 to 44 years) and median diagnosis occurred at 24 weeks gestation. Of patients with NHL, 52% had advanced-stage versus 25% of patients with HL (P = .01). Pregnancy was terminated in six patients. Among the other 84 patients, 28 (33%) had therapy deferred to postpartum; these patients were diagnosed at a median 30 weeks gestation. This compared with 56 patients (67%) who received antenatal therapy with median lymphoma diagnosis at 21 weeks (P &lt; .001); 89% of these patients received combination chemotherapy. The most common preterm complication was induction of labor (33%). Gestation went to full term in 56% of patients with delivery occurring at a median of 37 weeks. There were no differences in maternal complications, perinatal events, or median infant birth weight based on deferred versus antenatal therapy. At 41 months, 3-year progression-free survival (PFS) and overall survival (OS) for NHL were 53% and 82%, respectively, and 85% and 97%, respectively, for HL. On univariate analysis for NHL, radiotherapy predicted inferior PFS, and increased lactate dehydrogenase and poor Eastern Cooperative Oncology Group performance status (ECOG PS) portended worse OS. For HL patients, nulliparous status and \"B\" symptoms predicted inferior PFS. Conclusion: Standard (non-antimetabolite) combination chemotherapy administered past the first trimester, as early as 13 weeks gestation, was associated with few complications and expected maternal survival with lymphoma occurring during pregnancy.","author":[{"dropping-particle":"","family":"Evens","given":"Andrew M.","non-dropping-particle":"","parse-names":false,"suffix":""},{"dropping-particle":"","family":"Advani","given":"Ranjana","non-dropping-particle":"","parse-names":false,"suffix":""},{"dropping-particle":"","family":"Press","given":"Oliver W.","non-dropping-particle":"","parse-names":false,"suffix":""},{"dropping-particle":"","family":"Lossos","given":"Izidore S.","non-dropping-particle":"","parse-names":false,"suffix":""},{"dropping-particle":"","family":"Vose","given":"Julie M.","non-dropping-particle":"","parse-names":false,"suffix":""},{"dropping-particle":"","family":"Hernandez-Ilizaliturri","given":"Francisco J.","non-dropping-particle":"","parse-names":false,"suffix":""},{"dropping-particle":"","family":"Robinson","given":"Barrett K.","non-dropping-particle":"","parse-names":false,"suffix":""},{"dropping-particle":"","family":"Otis","given":"Stavroula","non-dropping-particle":"","parse-names":false,"suffix":""},{"dropping-particle":"","family":"Dagan","given":"Liat Nadav","non-dropping-particle":"","parse-names":false,"suffix":""},{"dropping-particle":"","family":"Abdallah","given":"Ramsey","non-dropping-particle":"","parse-names":false,"suffix":""},{"dropping-particle":"","family":"Kroll-Desrosiers","given":"Aimee","non-dropping-particle":"","parse-names":false,"suffix":""},{"dropping-particle":"","family":"Yarber","given":"Jessica L.","non-dropping-particle":"","parse-names":false,"suffix":""},{"dropping-particle":"","family":"Sandoval","given":"Jose","non-dropping-particle":"","parse-names":false,"suffix":""},{"dropping-particle":"","family":"Foyil","given":"Kelley","non-dropping-particle":"","parse-names":false,"suffix":""},{"dropping-particle":"","family":"Parker","given":"Linda M.","non-dropping-particle":"","parse-names":false,"suffix":""},{"dropping-particle":"","family":"Gordon","given":"Leo I.","non-dropping-particle":"","parse-names":false,"suffix":""},{"dropping-particle":"","family":"Blum","given":"Kristie A.","non-dropping-particle":"","parse-names":false,"suffix":""},{"dropping-particle":"","family":"Flowers","given":"Christopher R.","non-dropping-particle":"","parse-names":false,"suffix":""},{"dropping-particle":"","family":"Leonard","given":"John P.","non-dropping-particle":"","parse-names":false,"suffix":""},{"dropping-particle":"","family":"Habermann","given":"Thomas M.","non-dropping-particle":"","parse-names":false,"suffix":""},{"dropping-particle":"","family":"Bartlett","given":"Nancy L.","non-dropping-particle":"","parse-names":false,"suffix":""}],"container-title":"Journal of clinical oncology : official journal of the American Society of Clinical Oncology","id":"ITEM-1","issue":"32","issued":{"date-parts":[["2013","11","10"]]},"page":"4132-4139","publisher":"J Clin Oncol","title":"Lymphoma occurring during pregnancy: antenatal therapy, complications, and maternal survival in a multicenter analysis","type":"article-journal","volume":"31"},"uris":["http://www.mendeley.com/documents/?uuid=1e35312a-a4dc-3dde-b9ec-ec9ce3ae8fd0"]}],"mendeley":{"formattedCitation":"[134]","plainTextFormattedCitation":"[134]","previouslyFormattedCitation":"[134]"},"properties":{"noteIndex":0},"schema":"https://github.com/citation-style-language/schema/raw/master/csl-citation.json"}</w:instrText>
      </w:r>
      <w:r w:rsidR="00D24B72">
        <w:fldChar w:fldCharType="separate"/>
      </w:r>
      <w:r w:rsidR="00A6794A" w:rsidRPr="00A6794A">
        <w:rPr>
          <w:noProof/>
        </w:rPr>
        <w:t>[134]</w:t>
      </w:r>
      <w:r w:rsidR="00D24B72">
        <w:fldChar w:fldCharType="end"/>
      </w:r>
      <w:r w:rsidR="008B04BE" w:rsidRPr="000322E4">
        <w:t xml:space="preserve"> </w:t>
      </w:r>
    </w:p>
    <w:p w14:paraId="2F9F655B" w14:textId="6BFF405A" w:rsidR="008B04BE" w:rsidRPr="000322E4" w:rsidRDefault="008B04BE" w:rsidP="008B04BE">
      <w:pPr>
        <w:spacing w:line="360" w:lineRule="auto"/>
        <w:ind w:left="709"/>
        <w:contextualSpacing/>
        <w:jc w:val="both"/>
        <w:rPr>
          <w:b/>
        </w:rPr>
      </w:pPr>
      <w:r w:rsidRPr="000322E4">
        <w:rPr>
          <w:b/>
        </w:rPr>
        <w:t xml:space="preserve">Уровень убедительности рекомендаций С (уровень достоверности доказательств </w:t>
      </w:r>
      <w:r w:rsidR="005F2C4B" w:rsidRPr="004F2D3F">
        <w:rPr>
          <w:b/>
        </w:rPr>
        <w:t>5</w:t>
      </w:r>
      <w:r w:rsidRPr="000322E4">
        <w:rPr>
          <w:b/>
        </w:rPr>
        <w:t>).</w:t>
      </w:r>
    </w:p>
    <w:p w14:paraId="5F8266E3" w14:textId="68EDC8E3" w:rsidR="00D24B72" w:rsidRPr="000322E4" w:rsidRDefault="00E13E67" w:rsidP="00D24B72">
      <w:pPr>
        <w:pStyle w:val="afff8"/>
        <w:spacing w:before="0"/>
        <w:ind w:left="714" w:hanging="357"/>
      </w:pPr>
      <w:r>
        <w:t>Не</w:t>
      </w:r>
      <w:r w:rsidR="00D24B72" w:rsidRPr="000322E4">
        <w:t xml:space="preserve"> </w:t>
      </w:r>
      <w:r w:rsidR="00D24B72" w:rsidRPr="000322E4">
        <w:rPr>
          <w:b/>
        </w:rPr>
        <w:t xml:space="preserve">рекомендовано </w:t>
      </w:r>
      <w:r w:rsidR="00D24B72" w:rsidRPr="00030ACD">
        <w:t xml:space="preserve">проводить </w:t>
      </w:r>
      <w:r>
        <w:t>лучевую терапию во время беременности</w:t>
      </w:r>
      <w:r w:rsidR="00D24B72">
        <w:t xml:space="preserve"> </w:t>
      </w:r>
      <w:r w:rsidR="00D24B72">
        <w:fldChar w:fldCharType="begin" w:fldLock="1"/>
      </w:r>
      <w:r w:rsidR="006A2B13">
        <w:instrText>ADDIN CSL_CITATION {"citationItems":[{"id":"ITEM-1","itemData":{"DOI":"10.1016/S0167-8140(02)00329-8","ISSN":"0167-8140","PMID":"12742274","abstract":"Background and purpose: Limited information exists on the possibility of pregnant women undergoing radiotherapy for Hodgkin's disease in early pregnancy. The purpose of this study was to measure embryo dose resulting from treatment of supra-diaphragmatic Hodgkin's disease at the first trimester of gestation. Materials and methods: A humanoid phantom was used to simulate pregnancy at the first trimester of gestation. Embryo dose, was measured using three different field sizes that may be applied for local field irradiation in each of the regions of neck, axilla, neck-mediastinum and for mantle treatment. A shielding device consisting of 5cm of lead was used to reduce the embryo dose. Dose measurements were carried out using thermoluminescent dosimeters. Phantom exposures were made with a 6MV photon beam. Results:Local field irradiation in the regions of neck or axilla always resulted in embryo doses below 10cGy. For local field irradiation in the region of neck-mediastinum and for mantle treatment, the radiation dose to a shielded embryo was 2.8-18.6 and 4.2-24.5cGy depending upon the distance from the field isocenter and the field size used, respectively. The corresponding dose for an unshielded embryo exceeded 10cGy. All the above embryo doses were obtained for a tumor dose of 40Gy. Conclusions: Local field irradiation in the regions of neck or axilla may be safely performed even without uterus shielding. For local field irradiation in the region of neck-mediastinum and for mantle radiotherapy, the extent of the irradiated area, the distance separating the embryo from the field isocenter and the tumor dose are the factors, determining whether the radiation dose to a shielded embryo may possibly be reduced below 10cGy. © 2002 Elsevier Science Ireland Ltd. All rights reserved.","author":[{"dropping-particle":"","family":"Mazonakis","given":"Michael","non-dropping-particle":"","parse-names":false,"suffix":""},{"dropping-particle":"","family":"Varveris","given":"Haris","non-dropping-particle":"","parse-names":false,"suffix":""},{"dropping-particle":"","family":"Fasoulaki","given":"Maria","non-dropping-particle":"","parse-names":false,"suffix":""},{"dropping-particle":"","family":"Damilakis","given":"John","non-dropping-particle":"","parse-names":false,"suffix":""}],"container-title":"Radiotherapy and oncology : journal of the European Society for Therapeutic Radiology and Oncology","id":"ITEM-1","issue":"3","issued":{"date-parts":[["2003","3","1"]]},"page":"333-339","publisher":"Radiother Oncol","title":"Radiotherapy of Hodgkin's disease in early pregnancy: embryo dose measurements","type":"article-journal","volume":"66"},"uris":["http://www.mendeley.com/documents/?uuid=4b7570e7-efb5-349d-ba82-0a0de315aac5"]}],"mendeley":{"formattedCitation":"[135]","plainTextFormattedCitation":"[135]","previouslyFormattedCitation":"[135]"},"properties":{"noteIndex":0},"schema":"https://github.com/citation-style-language/schema/raw/master/csl-citation.json"}</w:instrText>
      </w:r>
      <w:r w:rsidR="00D24B72">
        <w:fldChar w:fldCharType="separate"/>
      </w:r>
      <w:r w:rsidR="00A6794A" w:rsidRPr="00A6794A">
        <w:rPr>
          <w:noProof/>
        </w:rPr>
        <w:t>[135]</w:t>
      </w:r>
      <w:r w:rsidR="00D24B72">
        <w:fldChar w:fldCharType="end"/>
      </w:r>
      <w:r w:rsidR="00D24B72" w:rsidRPr="000322E4">
        <w:t xml:space="preserve"> </w:t>
      </w:r>
    </w:p>
    <w:p w14:paraId="28B1F42C" w14:textId="667760D8" w:rsidR="00D24B72" w:rsidRPr="000322E4" w:rsidRDefault="00D24B72" w:rsidP="00D24B72">
      <w:pPr>
        <w:spacing w:line="360" w:lineRule="auto"/>
        <w:ind w:left="709"/>
        <w:contextualSpacing/>
        <w:jc w:val="both"/>
        <w:rPr>
          <w:b/>
        </w:rPr>
      </w:pPr>
      <w:r w:rsidRPr="000322E4">
        <w:rPr>
          <w:b/>
        </w:rPr>
        <w:t xml:space="preserve">Уровень убедительности рекомендаций С (уровень достоверности доказательств </w:t>
      </w:r>
      <w:r w:rsidR="005F2C4B" w:rsidRPr="005F2C4B">
        <w:rPr>
          <w:b/>
        </w:rPr>
        <w:t>5</w:t>
      </w:r>
      <w:r w:rsidRPr="000322E4">
        <w:rPr>
          <w:b/>
        </w:rPr>
        <w:t>).</w:t>
      </w:r>
    </w:p>
    <w:p w14:paraId="4DF1106E" w14:textId="36FAF7C5" w:rsidR="00D24B72" w:rsidRDefault="00D24B72" w:rsidP="00021E2A">
      <w:pPr>
        <w:spacing w:line="360" w:lineRule="auto"/>
        <w:ind w:firstLine="709"/>
        <w:contextualSpacing/>
        <w:jc w:val="both"/>
        <w:rPr>
          <w:i/>
          <w:iCs/>
        </w:rPr>
      </w:pPr>
      <w:r w:rsidRPr="000322E4">
        <w:rPr>
          <w:b/>
        </w:rPr>
        <w:t>Комментарии:</w:t>
      </w:r>
      <w:r w:rsidRPr="000322E4">
        <w:t xml:space="preserve"> </w:t>
      </w:r>
      <w:r w:rsidR="00E13E67" w:rsidRPr="00E13E67">
        <w:rPr>
          <w:i/>
          <w:iCs/>
        </w:rPr>
        <w:t xml:space="preserve">согласно данным международной комиссии по радиологической защите при воздействии на беременную женщину излучением дозой 100-200 мГр существует высокий риск развития пороков центральной нервной системы плода. Более низкие дозы облучения могут привести к развитию ЗРП, </w:t>
      </w:r>
      <w:r w:rsidR="00E13E67" w:rsidRPr="00E13E67">
        <w:rPr>
          <w:i/>
          <w:iCs/>
        </w:rPr>
        <w:lastRenderedPageBreak/>
        <w:t>возникновению онкологического заболевания у ребенка в раннем детстве, нарушению фертильности.</w:t>
      </w:r>
    </w:p>
    <w:p w14:paraId="7FFEF994" w14:textId="2181F90B" w:rsidR="00F77455" w:rsidRPr="000322E4" w:rsidRDefault="00F77455" w:rsidP="00F77455">
      <w:pPr>
        <w:pStyle w:val="afff8"/>
        <w:spacing w:before="0"/>
        <w:ind w:left="714" w:hanging="357"/>
      </w:pPr>
      <w:r>
        <w:t>Беременным женщинам с</w:t>
      </w:r>
      <w:r w:rsidRPr="000322E4">
        <w:t xml:space="preserve"> ДВ</w:t>
      </w:r>
      <w:r w:rsidR="00163AA0">
        <w:t>КЛ, ПМВКЛ,</w:t>
      </w:r>
      <w:r w:rsidRPr="000322E4">
        <w:t xml:space="preserve"> ЛБ </w:t>
      </w:r>
      <w:r w:rsidRPr="000322E4">
        <w:rPr>
          <w:b/>
        </w:rPr>
        <w:t xml:space="preserve">рекомендовано </w:t>
      </w:r>
      <w:r w:rsidR="00AE1EB9">
        <w:rPr>
          <w:rFonts w:cs="Times New Roman"/>
          <w:color w:val="000000" w:themeColor="text1"/>
          <w:szCs w:val="24"/>
        </w:rPr>
        <w:t xml:space="preserve">проводить родоразрешение после 37 </w:t>
      </w:r>
      <w:r w:rsidR="00AE1EB9" w:rsidRPr="00021E2A">
        <w:rPr>
          <w:rFonts w:cs="Times New Roman"/>
          <w:color w:val="000000" w:themeColor="text1"/>
          <w:szCs w:val="24"/>
        </w:rPr>
        <w:t xml:space="preserve">недель беременности в тех случаях, если пролонгирование беременности </w:t>
      </w:r>
      <w:r w:rsidR="008B6AF1" w:rsidRPr="00021E2A">
        <w:rPr>
          <w:rFonts w:cs="Times New Roman"/>
          <w:color w:val="000000" w:themeColor="text1"/>
          <w:szCs w:val="24"/>
        </w:rPr>
        <w:t xml:space="preserve">до этого срока </w:t>
      </w:r>
      <w:r w:rsidR="00AE1EB9" w:rsidRPr="00021E2A">
        <w:rPr>
          <w:rFonts w:cs="Times New Roman"/>
          <w:color w:val="000000" w:themeColor="text1"/>
          <w:szCs w:val="24"/>
        </w:rPr>
        <w:t xml:space="preserve">не </w:t>
      </w:r>
      <w:r w:rsidR="00AE1EB9">
        <w:rPr>
          <w:rFonts w:cs="Times New Roman"/>
          <w:color w:val="000000" w:themeColor="text1"/>
          <w:szCs w:val="24"/>
        </w:rPr>
        <w:t>несет серьезную угрозу для здоровья матери и плода</w:t>
      </w:r>
      <w:r>
        <w:t xml:space="preserve"> </w:t>
      </w:r>
      <w:r w:rsidR="005F2C4B">
        <w:fldChar w:fldCharType="begin" w:fldLock="1"/>
      </w:r>
      <w:r w:rsidR="006A2B13">
        <w:instrText>ADDIN CSL_CITATION {"citationItems":[{"id":"ITEM-1","itemData":{"DOI":"10.1016/J.AJOG.2016.01.004","ISSN":"1097-6868","PMID":"26772790","abstract":"Background Although preterm birth &lt;37 weeks' gestation is the leading cause of neonatal morbidity and mortality in the United States, the majority of data regarding preterm neonatal outcomes come from older studies, and many reports have been limited to only very preterm neonates. Delineation of neonatal outcomes by delivery gestational age is needed to further clarify the continuum of mortality and morbidity frequencies among preterm neonates. Objective We sought to describe the contemporary frequencies of neonatal death, neonatal morbidities, and neonatal length of stay across the spectrum of preterm gestational ages. Study Design This was a secondary analysis of an obstetric cohort of 115,502 women and their neonates who were born in 25 hospitals nationwide, 2008 through 2011. All liveborn nonanomalous singleton preterm (23.0-36.9 weeks of gestation) neonates were included in this analysis. The frequency of neonatal death, major neonatal morbidity (intraventricular hemorrhage grade III/IV, seizures, hypoxic-ischemic encephalopathy, necrotizing enterocolitis stage II/III, bronchopulmonary dysplasia, persistent pulmonary hypertension), and minor neonatal morbidity (hypotension requiring treatment, intraventricular hemorrhage grade I/II, necrotizing enterocolitis stage I, respiratory distress syndrome, hyperbilirubinemia requiring treatment) were calculated by delivery gestational age; each neonate was classified once by the worst outcome for which criteria was met. Results In all, 8334 deliveries met inclusion criteria. There were 119 (1.4%) neonatal deaths. In all, 657 (7.9%) neonates had major morbidity, 3136 (37.6%) had minor morbidity, and 4422 (53.1%) survived without any of the studied morbidities. Deaths declined rapidly with each advancing week of gestation. This decline in death was accompanied by an increase in major neonatal morbidity, which peaked at 54.8% at 25 weeks of gestation. As frequencies of death and major neonatal morbidity fell, minor neonatal morbidity increased, peaking at 81.7% at 31 weeks of gestation. The frequency of all morbidities fell &gt;32 weeks. After 25 weeks, neonatal length of hospital stay decreased significantly with each additional completed week of pregnancy; among babies delivered from 26-32 weeks of gestation, each additional week in utero reduced the subsequent length of neonatal hospitalization by a minimum of 8 days. The median postmenstrual age at discharge nadired around 36 weeks' postmenstrual age for babi…","author":[{"dropping-particle":"","family":"Manuck","given":"Tracy A.","non-dropping-particle":"","parse-names":false,"suffix":""},{"dropping-particle":"","family":"Rice","given":"Madeline Murguia","non-dropping-particle":"","parse-names":false,"suffix":""},{"dropping-particle":"","family":"Bailit","given":"Jennifer L.","non-dropping-particle":"","parse-names":false,"suffix":""},{"dropping-particle":"","family":"Grobman","given":"William A.","non-dropping-particle":"","parse-names":false,"suffix":""},{"dropping-particle":"","family":"Reddy","given":"Uma M.","non-dropping-particle":"","parse-names":false,"suffix":""},{"dropping-particle":"","family":"Wapner","given":"Ronald J.","non-dropping-particle":"","parse-names":false,"suffix":""},{"dropping-particle":"","family":"Thorp","given":"John M.","non-dropping-particle":"","parse-names":false,"suffix":""},{"dropping-particle":"","family":"Caritis","given":"Steve N.","non-dropping-particle":"","parse-names":false,"suffix":""},{"dropping-particle":"","family":"Prasad","given":"Mona","non-dropping-particle":"","parse-names":false,"suffix":""},{"dropping-particle":"","family":"Tita","given":"Alan T.N.","non-dropping-particle":"","parse-names":false,"suffix":""},{"dropping-particle":"","family":"Saade","given":"George R.","non-dropping-particle":"","parse-names":false,"suffix":""},{"dropping-particle":"","family":"Sorokin","given":"Yoram","non-dropping-particle":"","parse-names":false,"suffix":""},{"dropping-particle":"","family":"Rouse","given":"Dwight J.","non-dropping-particle":"","parse-names":false,"suffix":""},{"dropping-particle":"","family":"Blackwell","given":"Sean C.","non-dropping-particle":"","parse-names":false,"suffix":""},{"dropping-particle":"","family":"Tolosa","given":"Jorge E.","non-dropping-particle":"","parse-names":false,"suffix":""},{"dropping-particle":"","family":"Varner","given":"M.","non-dropping-particle":"","parse-names":false,"suffix":""},{"dropping-particle":"","family":"Hill","given":"K.","non-dropping-particle":"","parse-names":false,"suffix":""},{"dropping-particle":"","family":"Sowles","given":"A.","non-dropping-particle":"","parse-names":false,"suffix":""},{"dropping-particle":"","family":"Postma","given":"J.","non-dropping-particle":"","parse-names":false,"suffix":""},{"dropping-particle":"","family":"Alexander","given":"S.","non-dropping-particle":"","parse-names":false,"suffix":""},{"dropping-particle":"","family":"Andersen","given":"G.","non-dropping-particle":"","parse-names":false,"suffix":""},{"dropping-particle":"","family":"Scott","given":"V.","non-dropping-particle":"","parse-names":false,"suffix":""},{"dropping-particle":"","family":"Morby","given":"V.","non-dropping-particle":"","parse-names":false,"suffix":""},{"dropping-particle":"","family":"Jolley","given":"K.","non-dropping-particle":"","parse-names":false,"suffix":""},{"dropping-particle":"","family":"Miller","given":"J.","non-dropping-particle":"","parse-names":false,"suffix":""},{"dropping-particle":"","family":"Berg","given":"B.","non-dropping-particle":"","parse-names":false,"suffix":""},{"dropping-particle":"","family":"Talucci","given":"M.","non-dropping-particle":"","parse-names":false,"suffix":""},{"dropping-particle":"","family":"Zylfijaj","given":"M.","non-dropping-particle":"","parse-names":false,"suffix":""},{"dropping-particle":"","family":"Reid","given":"Z.","non-dropping-particle":"","parse-names":false,"suffix":""},{"dropping-particle":"","family":"Leed","given":"R.","non-dropping-particle":"","parse-names":false,"suffix":""},{"dropping-particle":"","family":"Benson","given":"J.","non-dropping-particle":"","parse-names":false,"suffix":""},{"dropping-particle":"","family":"Forester","given":"S.","non-dropping-particle":"","parse-names":false,"suffix":""},{"dropping-particle":"","family":"Kitto","given":"C.","non-dropping-particle":"","parse-names":false,"suffix":""},{"dropping-particle":"","family":"Davis","given":"S.","non-dropping-particle":"","parse-names":false,"suffix":""},{"dropping-particle":"","family":"Falk","given":"M.","non-dropping-particle":"","parse-names":false,"suffix":""},{"dropping-particle":"","family":"Perez","given":"C.","non-dropping-particle":"","parse-names":false,"suffix":""},{"dropping-particle":"","family":"Dorman","given":"K.","non-dropping-particle":"","parse-names":false,"suffix":""},{"dropping-particle":"","family":"Mitchell","given":"J.","non-dropping-particle":"","parse-names":false,"suffix":""},{"dropping-particle":"","family":"Kaluta","given":"E.","non-dropping-particle":"","parse-names":false,"suffix":""},{"dropping-particle":"","family":"Clark","given":"K.","non-dropping-particle":"","parse-names":false,"suffix":""},{"dropping-particle":"","family":"Spicer","given":"K.","non-dropping-particle":"","parse-names":false,"suffix":""},{"dropping-particle":"","family":"Timlin","given":"S.","non-dropping-particle":"","parse-names":false,"suffix":""},{"dropping-particle":"","family":"Wilson","given":"K.","non-dropping-particle":"","parse-names":false,"suffix":""},{"dropping-particle":"","family":"Leveno","given":"K.","non-dropping-particle":"","parse-names":false,"suffix":""},{"dropping-particle":"","family":"Moseley","given":"L.","non-dropping-particle":"","parse-names":false,"suffix":""},{"dropping-particle":"","family":"Santillan","given":"M.","non-dropping-particle":"","parse-names":false,"suffix":""},{"dropping-particle":"","family":"Price","given":"J.","non-dropping-particle":"","parse-names":false,"suffix":""},{"dropping-particle":"","family":"Buentipo","given":"K.","non-dropping-particle":"","parse-names":false,"suffix":""},{"dropping-particle":"","family":"Bludau","given":"V.","non-dropping-particle":"","parse-names":false,"suffix":""},{"dropping-particle":"","family":"Thomas","given":"T.","non-dropping-particle":"","parse-names":false,"suffix":""},{"dropping-particle":"","family":"Fay","given":"L.","non-dropping-particle":"","parse-names":false,"suffix":""},{"dropping-particle":"","family":"Melton","given":"C.","non-dropping-particle":"","parse-names":false,"suffix":""},{"dropping-particle":"","family":"Kingsbery","given":"J.","non-dropping-particle":"","parse-names":false,"suffix":""},{"dropping-particle":"","family":"Benezue","given":"R.","non-dropping-particle":"","parse-names":false,"suffix":""},{"dropping-particle":"","family":"Simhan","given":"H.","non-dropping-particle":"","parse-names":false,"suffix":""},{"dropping-particle":"","family":"Bickus","given":"M.","non-dropping-particle":"","parse-names":false,"suffix":""},{"dropping-particle":"","family":"Fischer","given":"D.","non-dropping-particle":"","parse-names":false,"suffix":""},{"dropping-particle":"","family":"Kamon","given":"T.","non-dropping-particle":"","parse-names":false,"suffix":""},{"dropping-particle":"","family":"Deangelis","given":"D.","non-dropping-particle":"","parse-names":false,"suffix":""},{"dropping-particle":"","family":"Mercer","given":"B.","non-dropping-particle":"","parse-names":false,"suffix":""},{"dropping-particle":"","family":"Milluzzi","given":"C.","non-dropping-particle":"","parse-names":false,"suffix":""},{"dropping-particle":"","family":"Dalton","given":"W.","non-dropping-particle":"","parse-names":false,"suffix":""},{"dropping-particle":"","family":"Dotson","given":"T.","non-dropping-particle":"","parse-names":false,"suffix":""},{"dropping-particle":"","family":"McDonald","given":"P.","non-dropping-particle":"","parse-names":false,"suffix":""},{"dropping-particle":"","family":"Brezine","given":"C.","non-dropping-particle":"","parse-names":false,"suffix":""},{"dropping-particle":"","family":"McGrail","given":"A.","non-dropping-particle":"","parse-names":false,"suffix":""},{"dropping-particle":"","family":"Latimer","given":"C.","non-dropping-particle":"","parse-names":false,"suffix":""},{"dropping-particle":"","family":"Guzzo","given":"L.","non-dropping-particle":"","parse-names":false,"suffix":""},{"dropping-particle":"","family":"Johnson","given":"F.","non-dropping-particle":"","parse-names":false,"suffix":""},{"dropping-particle":"","family":"Gerwig","given":"L.","non-dropping-particle":"","parse-names":false,"suffix":""},{"dropping-particle":"","family":"Fyffe","given":"S.","non-dropping-particle":"","parse-names":false,"suffix":""},{"dropping-particle":"","family":"Loux","given":"D.","non-dropping-particle":"","parse-names":false,"suffix":""},{"dropping-particle":"","family":"Frantz","given":"S.","non-dropping-particle":"","parse-names":false,"suffix":""},{"dropping-particle":"","family":"Cline","given":"D.","non-dropping-particle":"","parse-names":false,"suffix":""},{"dropping-particle":"","family":"Wylie","given":"S.","non-dropping-particle":"","parse-names":false,"suffix":""},{"dropping-particle":"","family":"Iams","given":"J.","non-dropping-particle":"","parse-names":false,"suffix":""},{"dropping-particle":"","family":"Wallace","given":"M.","non-dropping-particle":"","parse-names":false,"suffix":""},{"dropping-particle":"","family":"Northen","given":"A.","non-dropping-particle":"","parse-names":false,"suffix":""},{"dropping-particle":"","family":"Grant","given":"J.","non-dropping-particle":"","parse-names":false,"suffix":""},{"dropping-particle":"","family":"Colquitt","given":"C.","non-dropping-particle":"","parse-names":false,"suffix":""},{"dropping-particle":"","family":"Andrews","given":"W.","non-dropping-particle":"","parse-names":false,"suffix":""},{"dropping-particle":"","family":"Mallett","given":"G.","non-dropping-particle":"","parse-names":false,"suffix":""},{"dropping-particle":"","family":"Ramos-Brinson","given":"M.","non-dropping-particle":"","parse-names":false,"suffix":""},{"dropping-particle":"","family":"Roy","given":"A.","non-dropping-particle":"","parse-names":false,"suffix":""},{"dropping-particle":"","family":"Stein","given":"L.","non-dropping-particle":"","parse-names":false,"suffix":""},{"dropping-particle":"","family":"Campbell","given":"P.","non-dropping-particle":"","parse-names":false,"suffix":""},{"dropping-particle":"","family":"Collins","given":"C.","non-dropping-particle":"","parse-names":false,"suffix":""},{"dropping-particle":"","family":"Jackson","given":"N.","non-dropping-particle":"","parse-names":false,"suffix":""},{"dropping-particle":"","family":"Dinsmoor","given":"M.","non-dropping-particle":"","parse-names":false,"suffix":""},{"dropping-particle":"","family":"Senka","given":"J.","non-dropping-particle":"","parse-names":false,"suffix":""},{"dropping-particle":"","family":"Paychek","given":"K.","non-dropping-particle":"","parse-names":false,"suffix":""},{"dropping-particle":"","family":"Peaceman","given":"A.","non-dropping-particle":"","parse-names":false,"suffix":""},{"dropping-particle":"","family":"Moss","given":"J.","non-dropping-particle":"","parse-names":false,"suffix":""},{"dropping-particle":"","family":"Salazar","given":"A.","non-dropping-particle":"","parse-names":false,"suffix":""},{"dropping-particle":"","family":"Acosta","given":"A.","non-dropping-particle":"","parse-names":false,"suffix":""},{"dropping-particle":"","family":"Hankins","given":"G.","non-dropping-particle":"","parse-names":false,"suffix":""},{"dropping-particle":"","family":"Hauff","given":"N.","non-dropping-particle":"","parse-names":false,"suffix":""},{"dropping-particle":"","family":"Palmer","given":"L.","non-dropping-particle":"","parse-names":false,"suffix":""},{"dropping-particle":"","family":"Lockhart","given":"P.","non-dropping-particle":"","parse-names":false,"suffix":""},{"dropping-particle":"","family":"Driscoll","given":"D.","non-dropping-particle":"","parse-names":false,"suffix":""},{"dropping-particle":"","family":"Wynn","given":"L.","non-dropping-particle":"","parse-names":false,"suffix":""},{"dropping-particle":"","family":"Sudz","given":"C.","non-dropping-particle":"","parse-names":false,"suffix":""},{"dropping-particle":"","family":"Dengate","given":"D.","non-dropping-particle":"","parse-names":false,"suffix":""},{"dropping-particle":"","family":"Girard","given":"C.","non-dropping-particle":"","parse-names":false,"suffix":""},{"dropping-particle":"","family":"Field","given":"S.","non-dropping-particle":"","parse-names":false,"suffix":""},{"dropping-particle":"","family":"Breault","given":"P.","non-dropping-particle":"","parse-names":false,"suffix":""},{"dropping-particle":"","family":"Smith","given":"F.","non-dropping-particle":"","parse-names":false,"suffix":""},{"dropping-particle":"","family":"Annunziata","given":"N.","non-dropping-particle":"","parse-names":false,"suffix":""},{"dropping-particle":"","family":"Allard","given":"D.","non-dropping-particle":"","parse-names":false,"suffix":""},{"dropping-particle":"","family":"Silva","given":"J.","non-dropping-particle":"","parse-names":false,"suffix":""},{"dropping-particle":"","family":"Gamage","given":"M.","non-dropping-particle":"","parse-names":false,"suffix":""},{"dropping-particle":"","family":"Hunt","given":"J.","non-dropping-particle":"","parse-names":false,"suffix":""},{"dropping-particle":"","family":"Tillinghast","given":"J.","non-dropping-particle":"","parse-names":false,"suffix":""},{"dropping-particle":"","family":"Corcoran","given":"N.","non-dropping-particle":"","parse-names":false,"suffix":""},{"dropping-particle":"","family":"Jimenez","given":"M.","non-dropping-particle":"","parse-names":false,"suffix":""},{"dropping-particle":"","family":"Ortiz","given":"F.","non-dropping-particle":"","parse-names":false,"suffix":""},{"dropping-particle":"","family":"Givens","given":"P.","non-dropping-particle":"","parse-names":false,"suffix":""},{"dropping-particle":"","family":"Rech","given":"B.","non-dropping-particle":"","parse-names":false,"suffix":""},{"dropping-particle":"","family":"Moran","given":"C.","non-dropping-particle":"","parse-names":false,"suffix":""},{"dropping-particle":"","family":"Hutchinson","given":"M.","non-dropping-particle":"","parse-names":false,"suffix":""},{"dropping-particle":"","family":"Spears","given":"Z.","non-dropping-particle":"","parse-names":false,"suffix":""},{"dropping-particle":"","family":"Carreno","given":"C.","non-dropping-particle":"","parse-names":false,"suffix":""},{"dropping-particle":"","family":"Heaps","given":"B.","non-dropping-particle":"","parse-names":false,"suffix":""},{"dropping-particle":"","family":"Zamora","given":"G.","non-dropping-particle":"","parse-names":false,"suffix":""},{"dropping-particle":"","family":"Seguin","given":"J.","non-dropping-particle":"","parse-names":false,"suffix":""},{"dropping-particle":"","family":"Rincon","given":"M.","non-dropping-particle":"","parse-names":false,"suffix":""},{"dropping-particle":"","family":"Snyder","given":"J.","non-dropping-particle":"","parse-names":false,"suffix":""},{"dropping-particle":"","family":"Farrar","given":"C.","non-dropping-particle":"","parse-names":false,"suffix":""},{"dropping-particle":"","family":"Lairson","given":"E.","non-dropping-particle":"","parse-names":false,"suffix":""},{"dropping-particle":"","family":"Bonino","given":"C.","non-dropping-particle":"","parse-names":false,"suffix":""},{"dropping-particle":"","family":"Smith","given":"W.","non-dropping-particle":"","parse-names":false,"suffix":""},{"dropping-particle":"","family":"Beach","given":"K.","non-dropping-particle":"","parse-names":false,"suffix":""},{"dropping-particle":"","family":"Dyke","given":"S.","non-dropping-particle":"Van","parse-names":false,"suffix":""},{"dropping-particle":"","family":"Butcher","given":"S.","non-dropping-particle":"","parse-names":false,"suffix":""},{"dropping-particle":"","family":"Thom","given":"E.","non-dropping-particle":"","parse-names":false,"suffix":""},{"dropping-particle":"","family":"Zhao","given":"Y.","non-dropping-particle":"","parse-names":false,"suffix":""},{"dropping-particle":"","family":"McGee","given":"P.","non-dropping-particle":"","parse-names":false,"suffix":""},{"dropping-particle":"","family":"Momirova","given":"V.","non-dropping-particle":"","parse-names":false,"suffix":""},{"dropping-particle":"","family":"Palugod","given":"R.","non-dropping-particle":"","parse-names":false,"suffix":""},{"dropping-particle":"","family":"Reamer","given":"B.","non-dropping-particle":"","parse-names":false,"suffix":""},{"dropping-particle":"","family":"Larsen","given":"M.","non-dropping-particle":"","parse-names":false,"suffix":""},{"dropping-particle":"","family":"Williams","given":"T.","non-dropping-particle":"","parse-names":false,"suffix":""},{"dropping-particle":"","family":"Spangler","given":"T.","non-dropping-particle":"","parse-names":false,"suffix":""},{"dropping-particle":"","family":"Lozitska","given":"A.","non-dropping-particle":"","parse-names":false,"suffix":""},{"dropping-particle":"","family":"Spong","given":"C.","non-dropping-particle":"","parse-names":false,"suffix":""},{"dropping-particle":"","family":"Tolivaisa","given":"S.","non-dropping-particle":"","parse-names":false,"suffix":""},{"dropping-particle":"","family":"Vandorsten","given":"J. P.","non-dropping-particle":"","parse-names":false,"suffix":""}],"container-title":"American journal of obstetrics and gynecology","id":"ITEM-1","issue":"1","issued":{"date-parts":[["2016","7","1"]]},"page":"103.e1-103.e14","publisher":"Am J Obstet Gynecol","title":"Preterm neonatal morbidity and mortality by gestational age: a contemporary cohort","type":"article-journal","volume":"215"},"uris":["http://www.mendeley.com/documents/?uuid=0b110411-f6e6-379e-95e2-b6c1a192a614"]}],"mendeley":{"formattedCitation":"[136]","plainTextFormattedCitation":"[136]","previouslyFormattedCitation":"[136]"},"properties":{"noteIndex":0},"schema":"https://github.com/citation-style-language/schema/raw/master/csl-citation.json"}</w:instrText>
      </w:r>
      <w:r w:rsidR="005F2C4B">
        <w:fldChar w:fldCharType="separate"/>
      </w:r>
      <w:r w:rsidR="00A6794A" w:rsidRPr="00A6794A">
        <w:rPr>
          <w:noProof/>
        </w:rPr>
        <w:t>[136]</w:t>
      </w:r>
      <w:r w:rsidR="005F2C4B">
        <w:fldChar w:fldCharType="end"/>
      </w:r>
    </w:p>
    <w:p w14:paraId="73B9A6A3" w14:textId="3453FE6E" w:rsidR="00F77455" w:rsidRPr="000322E4" w:rsidRDefault="00F77455" w:rsidP="00F77455">
      <w:pPr>
        <w:spacing w:line="360" w:lineRule="auto"/>
        <w:ind w:left="709"/>
        <w:contextualSpacing/>
        <w:jc w:val="both"/>
        <w:rPr>
          <w:b/>
        </w:rPr>
      </w:pPr>
      <w:r w:rsidRPr="000322E4">
        <w:rPr>
          <w:b/>
        </w:rPr>
        <w:t xml:space="preserve">Уровень убедительности рекомендаций С (уровень достоверности доказательств </w:t>
      </w:r>
      <w:r w:rsidR="005F2C4B" w:rsidRPr="005F2C4B">
        <w:rPr>
          <w:b/>
        </w:rPr>
        <w:t>5</w:t>
      </w:r>
      <w:r w:rsidRPr="000322E4">
        <w:rPr>
          <w:b/>
        </w:rPr>
        <w:t>).</w:t>
      </w:r>
    </w:p>
    <w:p w14:paraId="375D8613" w14:textId="61A4971C" w:rsidR="005F2C4B" w:rsidRPr="000322E4" w:rsidRDefault="005F2C4B" w:rsidP="005F2C4B">
      <w:pPr>
        <w:pStyle w:val="afff8"/>
        <w:spacing w:before="0"/>
        <w:ind w:left="714" w:hanging="357"/>
      </w:pPr>
      <w:r>
        <w:t>Беременным женщинам с</w:t>
      </w:r>
      <w:r w:rsidR="00163AA0">
        <w:t xml:space="preserve"> ДВКЛ, ПМВКЛ,</w:t>
      </w:r>
      <w:r w:rsidRPr="000322E4">
        <w:t xml:space="preserve"> ЛБ </w:t>
      </w:r>
      <w:r w:rsidRPr="000322E4">
        <w:rPr>
          <w:b/>
        </w:rPr>
        <w:t xml:space="preserve">рекомендовано </w:t>
      </w:r>
      <w:r>
        <w:rPr>
          <w:rFonts w:cs="Times New Roman"/>
          <w:color w:val="000000" w:themeColor="text1"/>
          <w:szCs w:val="24"/>
        </w:rPr>
        <w:t xml:space="preserve">завершить химиотерапию за 2-3 недели до </w:t>
      </w:r>
      <w:r w:rsidRPr="00021E2A">
        <w:rPr>
          <w:rFonts w:cs="Times New Roman"/>
          <w:color w:val="000000" w:themeColor="text1"/>
          <w:szCs w:val="24"/>
        </w:rPr>
        <w:t xml:space="preserve">предполагаемого срока родоразрешения </w:t>
      </w:r>
      <w:r w:rsidR="000C630B" w:rsidRPr="00021E2A">
        <w:rPr>
          <w:rFonts w:cs="Times New Roman"/>
          <w:color w:val="000000" w:themeColor="text1"/>
          <w:szCs w:val="24"/>
        </w:rPr>
        <w:t xml:space="preserve">(не позднее 35-36 недель беременности) </w:t>
      </w:r>
      <w:r w:rsidRPr="00021E2A">
        <w:rPr>
          <w:rFonts w:cs="Times New Roman"/>
          <w:color w:val="000000" w:themeColor="text1"/>
          <w:szCs w:val="24"/>
        </w:rPr>
        <w:t xml:space="preserve">в связи с возможной </w:t>
      </w:r>
      <w:r>
        <w:rPr>
          <w:rFonts w:cs="Times New Roman"/>
          <w:color w:val="000000" w:themeColor="text1"/>
          <w:szCs w:val="24"/>
        </w:rPr>
        <w:t>миелосупрессией как у матери, так и плода</w:t>
      </w:r>
      <w:r>
        <w:t xml:space="preserve"> </w:t>
      </w:r>
      <w:r>
        <w:fldChar w:fldCharType="begin" w:fldLock="1"/>
      </w:r>
      <w:r w:rsidR="006A2B13">
        <w:instrText>ADDIN CSL_CITATION {"citationItems":[{"id":"ITEM-1","itemData":{"DOI":"10.1016/J.AJOG.2016.01.004","ISSN":"1097-6868","PMID":"26772790","abstract":"Background Although preterm birth &lt;37 weeks' gestation is the leading cause of neonatal morbidity and mortality in the United States, the majority of data regarding preterm neonatal outcomes come from older studies, and many reports have been limited to only very preterm neonates. Delineation of neonatal outcomes by delivery gestational age is needed to further clarify the continuum of mortality and morbidity frequencies among preterm neonates. Objective We sought to describe the contemporary frequencies of neonatal death, neonatal morbidities, and neonatal length of stay across the spectrum of preterm gestational ages. Study Design This was a secondary analysis of an obstetric cohort of 115,502 women and their neonates who were born in 25 hospitals nationwide, 2008 through 2011. All liveborn nonanomalous singleton preterm (23.0-36.9 weeks of gestation) neonates were included in this analysis. The frequency of neonatal death, major neonatal morbidity (intraventricular hemorrhage grade III/IV, seizures, hypoxic-ischemic encephalopathy, necrotizing enterocolitis stage II/III, bronchopulmonary dysplasia, persistent pulmonary hypertension), and minor neonatal morbidity (hypotension requiring treatment, intraventricular hemorrhage grade I/II, necrotizing enterocolitis stage I, respiratory distress syndrome, hyperbilirubinemia requiring treatment) were calculated by delivery gestational age; each neonate was classified once by the worst outcome for which criteria was met. Results In all, 8334 deliveries met inclusion criteria. There were 119 (1.4%) neonatal deaths. In all, 657 (7.9%) neonates had major morbidity, 3136 (37.6%) had minor morbidity, and 4422 (53.1%) survived without any of the studied morbidities. Deaths declined rapidly with each advancing week of gestation. This decline in death was accompanied by an increase in major neonatal morbidity, which peaked at 54.8% at 25 weeks of gestation. As frequencies of death and major neonatal morbidity fell, minor neonatal morbidity increased, peaking at 81.7% at 31 weeks of gestation. The frequency of all morbidities fell &gt;32 weeks. After 25 weeks, neonatal length of hospital stay decreased significantly with each additional completed week of pregnancy; among babies delivered from 26-32 weeks of gestation, each additional week in utero reduced the subsequent length of neonatal hospitalization by a minimum of 8 days. The median postmenstrual age at discharge nadired around 36 weeks' postmenstrual age for babi…","author":[{"dropping-particle":"","family":"Manuck","given":"Tracy A.","non-dropping-particle":"","parse-names":false,"suffix":""},{"dropping-particle":"","family":"Rice","given":"Madeline Murguia","non-dropping-particle":"","parse-names":false,"suffix":""},{"dropping-particle":"","family":"Bailit","given":"Jennifer L.","non-dropping-particle":"","parse-names":false,"suffix":""},{"dropping-particle":"","family":"Grobman","given":"William A.","non-dropping-particle":"","parse-names":false,"suffix":""},{"dropping-particle":"","family":"Reddy","given":"Uma M.","non-dropping-particle":"","parse-names":false,"suffix":""},{"dropping-particle":"","family":"Wapner","given":"Ronald J.","non-dropping-particle":"","parse-names":false,"suffix":""},{"dropping-particle":"","family":"Thorp","given":"John M.","non-dropping-particle":"","parse-names":false,"suffix":""},{"dropping-particle":"","family":"Caritis","given":"Steve N.","non-dropping-particle":"","parse-names":false,"suffix":""},{"dropping-particle":"","family":"Prasad","given":"Mona","non-dropping-particle":"","parse-names":false,"suffix":""},{"dropping-particle":"","family":"Tita","given":"Alan T.N.","non-dropping-particle":"","parse-names":false,"suffix":""},{"dropping-particle":"","family":"Saade","given":"George R.","non-dropping-particle":"","parse-names":false,"suffix":""},{"dropping-particle":"","family":"Sorokin","given":"Yoram","non-dropping-particle":"","parse-names":false,"suffix":""},{"dropping-particle":"","family":"Rouse","given":"Dwight J.","non-dropping-particle":"","parse-names":false,"suffix":""},{"dropping-particle":"","family":"Blackwell","given":"Sean C.","non-dropping-particle":"","parse-names":false,"suffix":""},{"dropping-particle":"","family":"Tolosa","given":"Jorge E.","non-dropping-particle":"","parse-names":false,"suffix":""},{"dropping-particle":"","family":"Varner","given":"M.","non-dropping-particle":"","parse-names":false,"suffix":""},{"dropping-particle":"","family":"Hill","given":"K.","non-dropping-particle":"","parse-names":false,"suffix":""},{"dropping-particle":"","family":"Sowles","given":"A.","non-dropping-particle":"","parse-names":false,"suffix":""},{"dropping-particle":"","family":"Postma","given":"J.","non-dropping-particle":"","parse-names":false,"suffix":""},{"dropping-particle":"","family":"Alexander","given":"S.","non-dropping-particle":"","parse-names":false,"suffix":""},{"dropping-particle":"","family":"Andersen","given":"G.","non-dropping-particle":"","parse-names":false,"suffix":""},{"dropping-particle":"","family":"Scott","given":"V.","non-dropping-particle":"","parse-names":false,"suffix":""},{"dropping-particle":"","family":"Morby","given":"V.","non-dropping-particle":"","parse-names":false,"suffix":""},{"dropping-particle":"","family":"Jolley","given":"K.","non-dropping-particle":"","parse-names":false,"suffix":""},{"dropping-particle":"","family":"Miller","given":"J.","non-dropping-particle":"","parse-names":false,"suffix":""},{"dropping-particle":"","family":"Berg","given":"B.","non-dropping-particle":"","parse-names":false,"suffix":""},{"dropping-particle":"","family":"Talucci","given":"M.","non-dropping-particle":"","parse-names":false,"suffix":""},{"dropping-particle":"","family":"Zylfijaj","given":"M.","non-dropping-particle":"","parse-names":false,"suffix":""},{"dropping-particle":"","family":"Reid","given":"Z.","non-dropping-particle":"","parse-names":false,"suffix":""},{"dropping-particle":"","family":"Leed","given":"R.","non-dropping-particle":"","parse-names":false,"suffix":""},{"dropping-particle":"","family":"Benson","given":"J.","non-dropping-particle":"","parse-names":false,"suffix":""},{"dropping-particle":"","family":"Forester","given":"S.","non-dropping-particle":"","parse-names":false,"suffix":""},{"dropping-particle":"","family":"Kitto","given":"C.","non-dropping-particle":"","parse-names":false,"suffix":""},{"dropping-particle":"","family":"Davis","given":"S.","non-dropping-particle":"","parse-names":false,"suffix":""},{"dropping-particle":"","family":"Falk","given":"M.","non-dropping-particle":"","parse-names":false,"suffix":""},{"dropping-particle":"","family":"Perez","given":"C.","non-dropping-particle":"","parse-names":false,"suffix":""},{"dropping-particle":"","family":"Dorman","given":"K.","non-dropping-particle":"","parse-names":false,"suffix":""},{"dropping-particle":"","family":"Mitchell","given":"J.","non-dropping-particle":"","parse-names":false,"suffix":""},{"dropping-particle":"","family":"Kaluta","given":"E.","non-dropping-particle":"","parse-names":false,"suffix":""},{"dropping-particle":"","family":"Clark","given":"K.","non-dropping-particle":"","parse-names":false,"suffix":""},{"dropping-particle":"","family":"Spicer","given":"K.","non-dropping-particle":"","parse-names":false,"suffix":""},{"dropping-particle":"","family":"Timlin","given":"S.","non-dropping-particle":"","parse-names":false,"suffix":""},{"dropping-particle":"","family":"Wilson","given":"K.","non-dropping-particle":"","parse-names":false,"suffix":""},{"dropping-particle":"","family":"Leveno","given":"K.","non-dropping-particle":"","parse-names":false,"suffix":""},{"dropping-particle":"","family":"Moseley","given":"L.","non-dropping-particle":"","parse-names":false,"suffix":""},{"dropping-particle":"","family":"Santillan","given":"M.","non-dropping-particle":"","parse-names":false,"suffix":""},{"dropping-particle":"","family":"Price","given":"J.","non-dropping-particle":"","parse-names":false,"suffix":""},{"dropping-particle":"","family":"Buentipo","given":"K.","non-dropping-particle":"","parse-names":false,"suffix":""},{"dropping-particle":"","family":"Bludau","given":"V.","non-dropping-particle":"","parse-names":false,"suffix":""},{"dropping-particle":"","family":"Thomas","given":"T.","non-dropping-particle":"","parse-names":false,"suffix":""},{"dropping-particle":"","family":"Fay","given":"L.","non-dropping-particle":"","parse-names":false,"suffix":""},{"dropping-particle":"","family":"Melton","given":"C.","non-dropping-particle":"","parse-names":false,"suffix":""},{"dropping-particle":"","family":"Kingsbery","given":"J.","non-dropping-particle":"","parse-names":false,"suffix":""},{"dropping-particle":"","family":"Benezue","given":"R.","non-dropping-particle":"","parse-names":false,"suffix":""},{"dropping-particle":"","family":"Simhan","given":"H.","non-dropping-particle":"","parse-names":false,"suffix":""},{"dropping-particle":"","family":"Bickus","given":"M.","non-dropping-particle":"","parse-names":false,"suffix":""},{"dropping-particle":"","family":"Fischer","given":"D.","non-dropping-particle":"","parse-names":false,"suffix":""},{"dropping-particle":"","family":"Kamon","given":"T.","non-dropping-particle":"","parse-names":false,"suffix":""},{"dropping-particle":"","family":"Deangelis","given":"D.","non-dropping-particle":"","parse-names":false,"suffix":""},{"dropping-particle":"","family":"Mercer","given":"B.","non-dropping-particle":"","parse-names":false,"suffix":""},{"dropping-particle":"","family":"Milluzzi","given":"C.","non-dropping-particle":"","parse-names":false,"suffix":""},{"dropping-particle":"","family":"Dalton","given":"W.","non-dropping-particle":"","parse-names":false,"suffix":""},{"dropping-particle":"","family":"Dotson","given":"T.","non-dropping-particle":"","parse-names":false,"suffix":""},{"dropping-particle":"","family":"McDonald","given":"P.","non-dropping-particle":"","parse-names":false,"suffix":""},{"dropping-particle":"","family":"Brezine","given":"C.","non-dropping-particle":"","parse-names":false,"suffix":""},{"dropping-particle":"","family":"McGrail","given":"A.","non-dropping-particle":"","parse-names":false,"suffix":""},{"dropping-particle":"","family":"Latimer","given":"C.","non-dropping-particle":"","parse-names":false,"suffix":""},{"dropping-particle":"","family":"Guzzo","given":"L.","non-dropping-particle":"","parse-names":false,"suffix":""},{"dropping-particle":"","family":"Johnson","given":"F.","non-dropping-particle":"","parse-names":false,"suffix":""},{"dropping-particle":"","family":"Gerwig","given":"L.","non-dropping-particle":"","parse-names":false,"suffix":""},{"dropping-particle":"","family":"Fyffe","given":"S.","non-dropping-particle":"","parse-names":false,"suffix":""},{"dropping-particle":"","family":"Loux","given":"D.","non-dropping-particle":"","parse-names":false,"suffix":""},{"dropping-particle":"","family":"Frantz","given":"S.","non-dropping-particle":"","parse-names":false,"suffix":""},{"dropping-particle":"","family":"Cline","given":"D.","non-dropping-particle":"","parse-names":false,"suffix":""},{"dropping-particle":"","family":"Wylie","given":"S.","non-dropping-particle":"","parse-names":false,"suffix":""},{"dropping-particle":"","family":"Iams","given":"J.","non-dropping-particle":"","parse-names":false,"suffix":""},{"dropping-particle":"","family":"Wallace","given":"M.","non-dropping-particle":"","parse-names":false,"suffix":""},{"dropping-particle":"","family":"Northen","given":"A.","non-dropping-particle":"","parse-names":false,"suffix":""},{"dropping-particle":"","family":"Grant","given":"J.","non-dropping-particle":"","parse-names":false,"suffix":""},{"dropping-particle":"","family":"Colquitt","given":"C.","non-dropping-particle":"","parse-names":false,"suffix":""},{"dropping-particle":"","family":"Andrews","given":"W.","non-dropping-particle":"","parse-names":false,"suffix":""},{"dropping-particle":"","family":"Mallett","given":"G.","non-dropping-particle":"","parse-names":false,"suffix":""},{"dropping-particle":"","family":"Ramos-Brinson","given":"M.","non-dropping-particle":"","parse-names":false,"suffix":""},{"dropping-particle":"","family":"Roy","given":"A.","non-dropping-particle":"","parse-names":false,"suffix":""},{"dropping-particle":"","family":"Stein","given":"L.","non-dropping-particle":"","parse-names":false,"suffix":""},{"dropping-particle":"","family":"Campbell","given":"P.","non-dropping-particle":"","parse-names":false,"suffix":""},{"dropping-particle":"","family":"Collins","given":"C.","non-dropping-particle":"","parse-names":false,"suffix":""},{"dropping-particle":"","family":"Jackson","given":"N.","non-dropping-particle":"","parse-names":false,"suffix":""},{"dropping-particle":"","family":"Dinsmoor","given":"M.","non-dropping-particle":"","parse-names":false,"suffix":""},{"dropping-particle":"","family":"Senka","given":"J.","non-dropping-particle":"","parse-names":false,"suffix":""},{"dropping-particle":"","family":"Paychek","given":"K.","non-dropping-particle":"","parse-names":false,"suffix":""},{"dropping-particle":"","family":"Peaceman","given":"A.","non-dropping-particle":"","parse-names":false,"suffix":""},{"dropping-particle":"","family":"Moss","given":"J.","non-dropping-particle":"","parse-names":false,"suffix":""},{"dropping-particle":"","family":"Salazar","given":"A.","non-dropping-particle":"","parse-names":false,"suffix":""},{"dropping-particle":"","family":"Acosta","given":"A.","non-dropping-particle":"","parse-names":false,"suffix":""},{"dropping-particle":"","family":"Hankins","given":"G.","non-dropping-particle":"","parse-names":false,"suffix":""},{"dropping-particle":"","family":"Hauff","given":"N.","non-dropping-particle":"","parse-names":false,"suffix":""},{"dropping-particle":"","family":"Palmer","given":"L.","non-dropping-particle":"","parse-names":false,"suffix":""},{"dropping-particle":"","family":"Lockhart","given":"P.","non-dropping-particle":"","parse-names":false,"suffix":""},{"dropping-particle":"","family":"Driscoll","given":"D.","non-dropping-particle":"","parse-names":false,"suffix":""},{"dropping-particle":"","family":"Wynn","given":"L.","non-dropping-particle":"","parse-names":false,"suffix":""},{"dropping-particle":"","family":"Sudz","given":"C.","non-dropping-particle":"","parse-names":false,"suffix":""},{"dropping-particle":"","family":"Dengate","given":"D.","non-dropping-particle":"","parse-names":false,"suffix":""},{"dropping-particle":"","family":"Girard","given":"C.","non-dropping-particle":"","parse-names":false,"suffix":""},{"dropping-particle":"","family":"Field","given":"S.","non-dropping-particle":"","parse-names":false,"suffix":""},{"dropping-particle":"","family":"Breault","given":"P.","non-dropping-particle":"","parse-names":false,"suffix":""},{"dropping-particle":"","family":"Smith","given":"F.","non-dropping-particle":"","parse-names":false,"suffix":""},{"dropping-particle":"","family":"Annunziata","given":"N.","non-dropping-particle":"","parse-names":false,"suffix":""},{"dropping-particle":"","family":"Allard","given":"D.","non-dropping-particle":"","parse-names":false,"suffix":""},{"dropping-particle":"","family":"Silva","given":"J.","non-dropping-particle":"","parse-names":false,"suffix":""},{"dropping-particle":"","family":"Gamage","given":"M.","non-dropping-particle":"","parse-names":false,"suffix":""},{"dropping-particle":"","family":"Hunt","given":"J.","non-dropping-particle":"","parse-names":false,"suffix":""},{"dropping-particle":"","family":"Tillinghast","given":"J.","non-dropping-particle":"","parse-names":false,"suffix":""},{"dropping-particle":"","family":"Corcoran","given":"N.","non-dropping-particle":"","parse-names":false,"suffix":""},{"dropping-particle":"","family":"Jimenez","given":"M.","non-dropping-particle":"","parse-names":false,"suffix":""},{"dropping-particle":"","family":"Ortiz","given":"F.","non-dropping-particle":"","parse-names":false,"suffix":""},{"dropping-particle":"","family":"Givens","given":"P.","non-dropping-particle":"","parse-names":false,"suffix":""},{"dropping-particle":"","family":"Rech","given":"B.","non-dropping-particle":"","parse-names":false,"suffix":""},{"dropping-particle":"","family":"Moran","given":"C.","non-dropping-particle":"","parse-names":false,"suffix":""},{"dropping-particle":"","family":"Hutchinson","given":"M.","non-dropping-particle":"","parse-names":false,"suffix":""},{"dropping-particle":"","family":"Spears","given":"Z.","non-dropping-particle":"","parse-names":false,"suffix":""},{"dropping-particle":"","family":"Carreno","given":"C.","non-dropping-particle":"","parse-names":false,"suffix":""},{"dropping-particle":"","family":"Heaps","given":"B.","non-dropping-particle":"","parse-names":false,"suffix":""},{"dropping-particle":"","family":"Zamora","given":"G.","non-dropping-particle":"","parse-names":false,"suffix":""},{"dropping-particle":"","family":"Seguin","given":"J.","non-dropping-particle":"","parse-names":false,"suffix":""},{"dropping-particle":"","family":"Rincon","given":"M.","non-dropping-particle":"","parse-names":false,"suffix":""},{"dropping-particle":"","family":"Snyder","given":"J.","non-dropping-particle":"","parse-names":false,"suffix":""},{"dropping-particle":"","family":"Farrar","given":"C.","non-dropping-particle":"","parse-names":false,"suffix":""},{"dropping-particle":"","family":"Lairson","given":"E.","non-dropping-particle":"","parse-names":false,"suffix":""},{"dropping-particle":"","family":"Bonino","given":"C.","non-dropping-particle":"","parse-names":false,"suffix":""},{"dropping-particle":"","family":"Smith","given":"W.","non-dropping-particle":"","parse-names":false,"suffix":""},{"dropping-particle":"","family":"Beach","given":"K.","non-dropping-particle":"","parse-names":false,"suffix":""},{"dropping-particle":"","family":"Dyke","given":"S.","non-dropping-particle":"Van","parse-names":false,"suffix":""},{"dropping-particle":"","family":"Butcher","given":"S.","non-dropping-particle":"","parse-names":false,"suffix":""},{"dropping-particle":"","family":"Thom","given":"E.","non-dropping-particle":"","parse-names":false,"suffix":""},{"dropping-particle":"","family":"Zhao","given":"Y.","non-dropping-particle":"","parse-names":false,"suffix":""},{"dropping-particle":"","family":"McGee","given":"P.","non-dropping-particle":"","parse-names":false,"suffix":""},{"dropping-particle":"","family":"Momirova","given":"V.","non-dropping-particle":"","parse-names":false,"suffix":""},{"dropping-particle":"","family":"Palugod","given":"R.","non-dropping-particle":"","parse-names":false,"suffix":""},{"dropping-particle":"","family":"Reamer","given":"B.","non-dropping-particle":"","parse-names":false,"suffix":""},{"dropping-particle":"","family":"Larsen","given":"M.","non-dropping-particle":"","parse-names":false,"suffix":""},{"dropping-particle":"","family":"Williams","given":"T.","non-dropping-particle":"","parse-names":false,"suffix":""},{"dropping-particle":"","family":"Spangler","given":"T.","non-dropping-particle":"","parse-names":false,"suffix":""},{"dropping-particle":"","family":"Lozitska","given":"A.","non-dropping-particle":"","parse-names":false,"suffix":""},{"dropping-particle":"","family":"Spong","given":"C.","non-dropping-particle":"","parse-names":false,"suffix":""},{"dropping-particle":"","family":"Tolivaisa","given":"S.","non-dropping-particle":"","parse-names":false,"suffix":""},{"dropping-particle":"","family":"Vandorsten","given":"J. P.","non-dropping-particle":"","parse-names":false,"suffix":""}],"container-title":"American journal of obstetrics and gynecology","id":"ITEM-1","issue":"1","issued":{"date-parts":[["2016","7","1"]]},"page":"103.e1-103.e14","publisher":"Am J Obstet Gynecol","title":"Preterm neonatal morbidity and mortality by gestational age: a contemporary cohort","type":"article-journal","volume":"215"},"uris":["http://www.mendeley.com/documents/?uuid=0b110411-f6e6-379e-95e2-b6c1a192a614"]},{"id":"ITEM-2","itemData":{"DOI":"10.1007/S11899-017-0386-X","ISSN":"1558-822X","PMID":"28470380","abstract":"The diagnosis of lymphoma in pregnant patients poses a therapeutic challenge necessitating consideration of the developing fetus without compromise of therapy with curative potential for the mother. The decision to initiate therapy during pregnancy is heavily influenced by fetal, maternal, and disease-related factors, of which the most influential are the trimester at diagnosis, the stage, and aggressiveness of the disease and the presence of life-threatening symptoms. Recent data suggest that deferral of therapy until after the first trimester is desirable if it is perceived that postponement of therapy will not compromise maternal outcome. For some patients, delay of therapy to the postpartum period is feasible.","author":[{"dropping-particle":"","family":"Pinnix","given":"Chelsea C.","non-dropping-particle":"","parse-names":false,"suffix":""},{"dropping-particle":"","family":"Andraos","given":"Therese Y.","non-dropping-particle":"","parse-names":false,"suffix":""},{"dropping-particle":"","family":"Milgrom","given":"Sarah","non-dropping-particle":"","parse-names":false,"suffix":""},{"dropping-particle":"","family":"Fanale","given":"Michelle A.","non-dropping-particle":"","parse-names":false,"suffix":""}],"container-title":"Current hematologic malignancy reports","id":"ITEM-2","issue":"3","issued":{"date-parts":[["2017","6","1"]]},"page":"251-256","publisher":"Curr Hematol Malig Rep","title":"The Management of Lymphoma in the Setting of Pregnancy","type":"article-journal","volume":"12"},"uris":["http://www.mendeley.com/documents/?uuid=9b7594c3-c4e5-33c9-a812-f1c59f789752"]}],"mendeley":{"formattedCitation":"[136,137]","plainTextFormattedCitation":"[136,137]","previouslyFormattedCitation":"[136,137]"},"properties":{"noteIndex":0},"schema":"https://github.com/citation-style-language/schema/raw/master/csl-citation.json"}</w:instrText>
      </w:r>
      <w:r>
        <w:fldChar w:fldCharType="separate"/>
      </w:r>
      <w:r w:rsidR="00A6794A" w:rsidRPr="00A6794A">
        <w:rPr>
          <w:noProof/>
        </w:rPr>
        <w:t>[136,137]</w:t>
      </w:r>
      <w:r>
        <w:fldChar w:fldCharType="end"/>
      </w:r>
    </w:p>
    <w:p w14:paraId="19ED6889" w14:textId="77777777" w:rsidR="005F2C4B" w:rsidRPr="000322E4" w:rsidRDefault="005F2C4B" w:rsidP="005F2C4B">
      <w:pPr>
        <w:spacing w:line="360" w:lineRule="auto"/>
        <w:ind w:left="709"/>
        <w:contextualSpacing/>
        <w:jc w:val="both"/>
        <w:rPr>
          <w:b/>
        </w:rPr>
      </w:pPr>
      <w:r w:rsidRPr="000322E4">
        <w:rPr>
          <w:b/>
        </w:rPr>
        <w:t xml:space="preserve">Уровень убедительности рекомендаций С (уровень достоверности доказательств </w:t>
      </w:r>
      <w:r w:rsidRPr="005F2C4B">
        <w:rPr>
          <w:b/>
        </w:rPr>
        <w:t>5</w:t>
      </w:r>
      <w:r w:rsidRPr="000322E4">
        <w:rPr>
          <w:b/>
        </w:rPr>
        <w:t>).</w:t>
      </w:r>
    </w:p>
    <w:p w14:paraId="5655CFFD" w14:textId="6FFA3F95" w:rsidR="004F2D3F" w:rsidRPr="000322E4" w:rsidRDefault="004F2D3F" w:rsidP="00BF5D0B">
      <w:pPr>
        <w:pStyle w:val="afff8"/>
        <w:spacing w:before="0"/>
        <w:ind w:left="714" w:hanging="357"/>
      </w:pPr>
      <w:r>
        <w:t>Женщинам с</w:t>
      </w:r>
      <w:r w:rsidRPr="000322E4">
        <w:t xml:space="preserve"> ДВКЛ, ПМВКЛ</w:t>
      </w:r>
      <w:r w:rsidR="001F280A">
        <w:t xml:space="preserve">, </w:t>
      </w:r>
      <w:r w:rsidRPr="000322E4">
        <w:t>ЛБ</w:t>
      </w:r>
      <w:r>
        <w:t xml:space="preserve"> при наличии показаний</w:t>
      </w:r>
      <w:r w:rsidRPr="000322E4">
        <w:t xml:space="preserve"> </w:t>
      </w:r>
      <w:r w:rsidRPr="000322E4">
        <w:rPr>
          <w:b/>
        </w:rPr>
        <w:t xml:space="preserve">рекомендовано </w:t>
      </w:r>
      <w:r w:rsidR="00BF5D0B" w:rsidRPr="00BF5D0B">
        <w:rPr>
          <w:rFonts w:cs="Times New Roman"/>
          <w:color w:val="000000" w:themeColor="text1"/>
          <w:szCs w:val="24"/>
        </w:rPr>
        <w:t>продолжение специфической терапии через 3-4 недели после родоразрешения</w:t>
      </w:r>
      <w:r>
        <w:t xml:space="preserve"> </w:t>
      </w:r>
      <w:r>
        <w:fldChar w:fldCharType="begin" w:fldLock="1"/>
      </w:r>
      <w:r w:rsidR="009D170B">
        <w:instrText>ADDIN CSL_CITATION {"citationItems":[{"id":"ITEM-1","itemData":{"author":[{"dropping-particle":"","family":"Мангасарова","given":"Я.К.","non-dropping-particle":"","parse-names":false,"suffix":""},{"dropping-particle":"","family":"Магомедова","given":"А.У.","non-dropping-particle":"","parse-names":false,"suffix":""},{"dropping-particle":"","family":"Нестерова","given":"Е.С.","non-dropping-particle":"","parse-names":false,"suffix":""},{"dropping-particle":"","family":"Горенкова","given":"Л.Г.","non-dropping-particle":"","parse-names":false,"suffix":""},{"dropping-particle":"","family":"Бабаева","given":"Ф.Э.","non-dropping-particle":"","parse-names":false,"suffix":""},{"dropping-particle":"","family":"Шмаков","given":"Р.Г.","non-dropping-particle":"","parse-names":false,"suffix":""},{"dropping-particle":"","family":"Кравченко","given":"С.К.","non-dropping-particle":"","parse-names":false,"suffix":""}],"container-title":"Клиническая онкогематология","id":"ITEM-1","issue":"3","issued":{"date-parts":[["2020"]]},"page":"316-321","title":"Терапия агрессивных неходжкинских лимфом у беременных","type":"article-journal","volume":"13"},"uris":["http://www.mendeley.com/documents/?uuid=fd881d44-3009-444c-81bf-f5b416a399b8"]}],"mendeley":{"formattedCitation":"[45]","plainTextFormattedCitation":"[45]","previouslyFormattedCitation":"[45]"},"properties":{"noteIndex":0},"schema":"https://github.com/citation-style-language/schema/raw/master/csl-citation.json"}</w:instrText>
      </w:r>
      <w:r>
        <w:fldChar w:fldCharType="separate"/>
      </w:r>
      <w:r w:rsidR="00095D58" w:rsidRPr="00095D58">
        <w:rPr>
          <w:noProof/>
        </w:rPr>
        <w:t>[45]</w:t>
      </w:r>
      <w:r>
        <w:fldChar w:fldCharType="end"/>
      </w:r>
    </w:p>
    <w:p w14:paraId="3518F806" w14:textId="77777777" w:rsidR="004F2D3F" w:rsidRPr="000322E4" w:rsidRDefault="004F2D3F" w:rsidP="004F2D3F">
      <w:pPr>
        <w:spacing w:line="360" w:lineRule="auto"/>
        <w:ind w:left="709"/>
        <w:contextualSpacing/>
        <w:jc w:val="both"/>
        <w:rPr>
          <w:b/>
        </w:rPr>
      </w:pPr>
      <w:r w:rsidRPr="000322E4">
        <w:rPr>
          <w:b/>
        </w:rPr>
        <w:t xml:space="preserve">Уровень убедительности рекомендаций С (уровень достоверности доказательств </w:t>
      </w:r>
      <w:r w:rsidRPr="005F2C4B">
        <w:rPr>
          <w:b/>
        </w:rPr>
        <w:t>5</w:t>
      </w:r>
      <w:r w:rsidRPr="000322E4">
        <w:rPr>
          <w:b/>
        </w:rPr>
        <w:t>).</w:t>
      </w:r>
    </w:p>
    <w:p w14:paraId="19EFD33A" w14:textId="0436F05D" w:rsidR="004F2D3F" w:rsidRDefault="004F2D3F" w:rsidP="00021E2A">
      <w:pPr>
        <w:spacing w:line="360" w:lineRule="auto"/>
        <w:ind w:firstLine="709"/>
        <w:contextualSpacing/>
        <w:jc w:val="both"/>
        <w:rPr>
          <w:i/>
          <w:iCs/>
        </w:rPr>
      </w:pPr>
      <w:r w:rsidRPr="000322E4">
        <w:rPr>
          <w:b/>
        </w:rPr>
        <w:t>Комментарии:</w:t>
      </w:r>
      <w:r w:rsidRPr="000322E4">
        <w:t xml:space="preserve"> </w:t>
      </w:r>
      <w:r w:rsidR="00BF5D0B" w:rsidRPr="00BF5D0B">
        <w:rPr>
          <w:i/>
          <w:iCs/>
        </w:rPr>
        <w:t>лечение агрессивной лимфомы при наличие показаний может быть продолжено сразу после родов через естественные родовые пути и через 1 неделю после неосложненной операции кесарева сечения</w:t>
      </w:r>
      <w:r w:rsidR="00BF5D0B">
        <w:rPr>
          <w:i/>
          <w:iCs/>
        </w:rPr>
        <w:t xml:space="preserve"> </w:t>
      </w:r>
      <w:r w:rsidR="00BF5D0B">
        <w:rPr>
          <w:i/>
          <w:iCs/>
        </w:rPr>
        <w:fldChar w:fldCharType="begin" w:fldLock="1"/>
      </w:r>
      <w:r w:rsidR="006A2B13">
        <w:rPr>
          <w:i/>
          <w:iCs/>
        </w:rPr>
        <w:instrText>ADDIN CSL_CITATION {"citationItems":[{"id":"ITEM-1","itemData":{"DOI":"10.1056/NEJMOA1508913","ISSN":"1533-4406","PMID":"26415085","abstract":"Copyright ? 2015 Massachusetts Medical Society.BACKGROUND Data on the long-term outcome of children who are exposed to maternal cancer with or without treatment during pregnancy are lacking. METHODS In this multicenter case-control study, we compared children whose mothers received a diagnosis of cancer during the pregnancy with matched children of women without a cancer diagnosis. We used a health questionnaire and medical files to collect data regarding neonatal and general health. All children were prospectively assessed (by means of a neurologic examination and the Bayley Scales of Infant Development) at 18 months, 36 months, or both. A cardiac assessment was performed at 36 months. RESULTS A total of 129 children (median age, 22 months; range, 12 to 42) were included in the group whose mother had cancer (prenatal-exposure group) with a matching number in the control group. During pregnancy, 96 children (74.4%) were exposed to chemotherapy (alone or in combination with other treatments), 11 (8.5%) to radiotherapy (alone or in combination), 13 (10.1%) to surgery alone, 2 (1.6%) to other drug treatments, and 14 (10.9%) to no treatment. Birth weight was below the 10th percentile in 28 of 127 children (22.0%) in the prenatal-exposure group and in 19 of 125 children (15.2%) in the control group (P = 0.16). There was no significant between-group difference in cognitive development on the basis of the Bayley score (P = 0.08) or in subgroup analyses. The gestational age at birth was correlated with the cognitive outcome in the two study groups. Cardiologic evaluation among 47 children at 36 months of age showed normal cardiac findings. CONCLUSIONS Prenatal exposure to maternal cancer with or without treatment did not impair the cognitive, cardiac, or general development of children in early childhood. Prematurity was correlated with a worse cognitive outcome, but this effect was independent of cancer treatment.","author":[{"dropping-particle":"","family":"Amant","given":"Frédéric","non-dropping-particle":"","parse-names":false,"suffix":""},{"dropping-particle":"","family":"Vandenbroucke","given":"Tineke","non-dropping-particle":"","parse-names":false,"suffix":""},{"dropping-particle":"","family":"Verheecke","given":"Magali","non-dropping-particle":"","parse-names":false,"suffix":""},{"dropping-particle":"","family":"Fumagalli","given":"Monica","non-dropping-particle":"","parse-names":false,"suffix":""},{"dropping-particle":"","family":"Halaska","given":"Michael J.","non-dropping-particle":"","parse-names":false,"suffix":""},{"dropping-particle":"","family":"Boere","given":"Ingrid","non-dropping-particle":"","parse-names":false,"suffix":""},{"dropping-particle":"","family":"Han","given":"Sileny","non-dropping-particle":"","parse-names":false,"suffix":""},{"dropping-particle":"","family":"Gziri","given":"Mina Mhallem","non-dropping-particle":"","parse-names":false,"suffix":""},{"dropping-particle":"","family":"Peccatori","given":"Fedro","non-dropping-particle":"","parse-names":false,"suffix":""},{"dropping-particle":"","family":"Rob","given":"Lukas","non-dropping-particle":"","parse-names":false,"suffix":""},{"dropping-particle":"","family":"Lok","given":"Christianne","non-dropping-particle":"","parse-names":false,"suffix":""},{"dropping-particle":"","family":"Witteveen","given":"Petronella","non-dropping-particle":"","parse-names":false,"suffix":""},{"dropping-particle":"","family":"Voigt","given":"Jens-Uwe","non-dropping-particle":"","parse-names":false,"suffix":""},{"dropping-particle":"","family":"Naulaers","given":"Gunnar","non-dropping-particle":"","parse-names":false,"suffix":""},{"dropping-particle":"","family":"Vallaeys","given":"Lore","non-dropping-particle":"","parse-names":false,"suffix":""},{"dropping-particle":"","family":"Heuvel","given":"Frank","non-dropping-particle":"Van den","parse-names":false,"suffix":""},{"dropping-particle":"","family":"Lagae","given":"Lieven","non-dropping-particle":"","parse-names":false,"suffix":""},{"dropping-particle":"","family":"Mertens","given":"Luc","non-dropping-particle":"","parse-names":false,"suffix":""},{"dropping-particle":"","family":"Claes","given":"Laurence","non-dropping-particle":"","parse-names":false,"suffix":""},{"dropping-particle":"","family":"Calsteren","given":"Kristel","non-dropping-particle":"Van","parse-names":false,"suffix":""}],"container-title":"The New England journal of medicine","id":"ITEM-1","issue":"19","issued":{"date-parts":[["2015","11","5"]]},"page":"1824-1834","publisher":"N Engl J Med","title":"Pediatric Outcome after Maternal Cancer Diagnosed during Pregnancy","type":"article-journal","volume":"373"},"uris":["http://www.mendeley.com/documents/?uuid=bd0994c0-9adc-3d44-88aa-144be7f8375e"]}],"mendeley":{"formattedCitation":"[138]","plainTextFormattedCitation":"[138]","previouslyFormattedCitation":"[138]"},"properties":{"noteIndex":0},"schema":"https://github.com/citation-style-language/schema/raw/master/csl-citation.json"}</w:instrText>
      </w:r>
      <w:r w:rsidR="00BF5D0B">
        <w:rPr>
          <w:i/>
          <w:iCs/>
        </w:rPr>
        <w:fldChar w:fldCharType="separate"/>
      </w:r>
      <w:r w:rsidR="00A6794A" w:rsidRPr="00A6794A">
        <w:rPr>
          <w:iCs/>
          <w:noProof/>
        </w:rPr>
        <w:t>[138]</w:t>
      </w:r>
      <w:r w:rsidR="00BF5D0B">
        <w:rPr>
          <w:i/>
          <w:iCs/>
        </w:rPr>
        <w:fldChar w:fldCharType="end"/>
      </w:r>
    </w:p>
    <w:p w14:paraId="7009A090" w14:textId="549610AD" w:rsidR="00BF5D0B" w:rsidRPr="000322E4" w:rsidRDefault="00BF5D0B" w:rsidP="006B427A">
      <w:pPr>
        <w:pStyle w:val="afff8"/>
        <w:spacing w:before="0"/>
        <w:ind w:left="714" w:hanging="357"/>
      </w:pPr>
      <w:r>
        <w:t>Женщинам с</w:t>
      </w:r>
      <w:r w:rsidR="00163AA0">
        <w:t xml:space="preserve"> ДВКЛ, ПМВКЛ,</w:t>
      </w:r>
      <w:r w:rsidRPr="000322E4">
        <w:t xml:space="preserve"> ЛБ</w:t>
      </w:r>
      <w:r w:rsidR="006B427A">
        <w:t xml:space="preserve">, которым показано продолжение противоопухолевого лечения после родоразрешения, </w:t>
      </w:r>
      <w:r w:rsidRPr="000322E4">
        <w:rPr>
          <w:b/>
        </w:rPr>
        <w:t xml:space="preserve">рекомендовано </w:t>
      </w:r>
      <w:r w:rsidR="006B427A" w:rsidRPr="006B427A">
        <w:rPr>
          <w:rFonts w:cs="Times New Roman"/>
          <w:color w:val="000000" w:themeColor="text1"/>
          <w:szCs w:val="24"/>
        </w:rPr>
        <w:t>подавление лактации</w:t>
      </w:r>
      <w:r>
        <w:t xml:space="preserve"> </w:t>
      </w:r>
      <w:r>
        <w:fldChar w:fldCharType="begin" w:fldLock="1"/>
      </w:r>
      <w:r w:rsidR="006A2B13">
        <w:instrText>ADDIN CSL_CITATION {"citationItems":[{"id":"ITEM-1","itemData":{"DOI":"10.1200/JCO.2013.49.8220","ISSN":"1527-7755","PMID":"24043736","abstract":"Purpose: Lymphoma is the fourth most frequent cancer in pregnancy; however, current clinical practice is based largely on small series and case reports. Patients and Methods: In a multicenter retrospective analysis, we examined treatment, complications, and outcomes for Hodgkin lymphoma (HL) and non-Hodgkin lymphoma (NHL) occurring during pregnancy. Results: Among 90 patients (NHL, n = 50; HL, n = 40), median age was 30 years (range, 18 to 44 years) and median diagnosis occurred at 24 weeks gestation. Of patients with NHL, 52% had advanced-stage versus 25% of patients with HL (P = .01). Pregnancy was terminated in six patients. Among the other 84 patients, 28 (33%) had therapy deferred to postpartum; these patients were diagnosed at a median 30 weeks gestation. This compared with 56 patients (67%) who received antenatal therapy with median lymphoma diagnosis at 21 weeks (P &lt; .001); 89% of these patients received combination chemotherapy. The most common preterm complication was induction of labor (33%). Gestation went to full term in 56% of patients with delivery occurring at a median of 37 weeks. There were no differences in maternal complications, perinatal events, or median infant birth weight based on deferred versus antenatal therapy. At 41 months, 3-year progression-free survival (PFS) and overall survival (OS) for NHL were 53% and 82%, respectively, and 85% and 97%, respectively, for HL. On univariate analysis for NHL, radiotherapy predicted inferior PFS, and increased lactate dehydrogenase and poor Eastern Cooperative Oncology Group performance status (ECOG PS) portended worse OS. For HL patients, nulliparous status and \"B\" symptoms predicted inferior PFS. Conclusion: Standard (non-antimetabolite) combination chemotherapy administered past the first trimester, as early as 13 weeks gestation, was associated with few complications and expected maternal survival with lymphoma occurring during pregnancy.","author":[{"dropping-particle":"","family":"Evens","given":"Andrew M.","non-dropping-particle":"","parse-names":false,"suffix":""},{"dropping-particle":"","family":"Advani","given":"Ranjana","non-dropping-particle":"","parse-names":false,"suffix":""},{"dropping-particle":"","family":"Press","given":"Oliver W.","non-dropping-particle":"","parse-names":false,"suffix":""},{"dropping-particle":"","family":"Lossos","given":"Izidore S.","non-dropping-particle":"","parse-names":false,"suffix":""},{"dropping-particle":"","family":"Vose","given":"Julie M.","non-dropping-particle":"","parse-names":false,"suffix":""},{"dropping-particle":"","family":"Hernandez-Ilizaliturri","given":"Francisco J.","non-dropping-particle":"","parse-names":false,"suffix":""},{"dropping-particle":"","family":"Robinson","given":"Barrett K.","non-dropping-particle":"","parse-names":false,"suffix":""},{"dropping-particle":"","family":"Otis","given":"Stavroula","non-dropping-particle":"","parse-names":false,"suffix":""},{"dropping-particle":"","family":"Dagan","given":"Liat Nadav","non-dropping-particle":"","parse-names":false,"suffix":""},{"dropping-particle":"","family":"Abdallah","given":"Ramsey","non-dropping-particle":"","parse-names":false,"suffix":""},{"dropping-particle":"","family":"Kroll-Desrosiers","given":"Aimee","non-dropping-particle":"","parse-names":false,"suffix":""},{"dropping-particle":"","family":"Yarber","given":"Jessica L.","non-dropping-particle":"","parse-names":false,"suffix":""},{"dropping-particle":"","family":"Sandoval","given":"Jose","non-dropping-particle":"","parse-names":false,"suffix":""},{"dropping-particle":"","family":"Foyil","given":"Kelley","non-dropping-particle":"","parse-names":false,"suffix":""},{"dropping-particle":"","family":"Parker","given":"Linda M.","non-dropping-particle":"","parse-names":false,"suffix":""},{"dropping-particle":"","family":"Gordon","given":"Leo I.","non-dropping-particle":"","parse-names":false,"suffix":""},{"dropping-particle":"","family":"Blum","given":"Kristie A.","non-dropping-particle":"","parse-names":false,"suffix":""},{"dropping-particle":"","family":"Flowers","given":"Christopher R.","non-dropping-particle":"","parse-names":false,"suffix":""},{"dropping-particle":"","family":"Leonard","given":"John P.","non-dropping-particle":"","parse-names":false,"suffix":""},{"dropping-particle":"","family":"Habermann","given":"Thomas M.","non-dropping-particle":"","parse-names":false,"suffix":""},{"dropping-particle":"","family":"Bartlett","given":"Nancy L.","non-dropping-particle":"","parse-names":false,"suffix":""}],"container-title":"Journal of clinical oncology : official journal of the American Society of Clinical Oncology","id":"ITEM-1","issue":"32","issued":{"date-parts":[["2013","11","10"]]},"page":"4132-4139","publisher":"J Clin Oncol","title":"Lymphoma occurring during pregnancy: antenatal therapy, complications, and maternal survival in a multicenter analysis","type":"article-journal","volume":"31"},"uris":["http://www.mendeley.com/documents/?uuid=1e35312a-a4dc-3dde-b9ec-ec9ce3ae8fd0"]}],"mendeley":{"formattedCitation":"[134]","plainTextFormattedCitation":"[134]","previouslyFormattedCitation":"[134]"},"properties":{"noteIndex":0},"schema":"https://github.com/citation-style-language/schema/raw/master/csl-citation.json"}</w:instrText>
      </w:r>
      <w:r>
        <w:fldChar w:fldCharType="separate"/>
      </w:r>
      <w:r w:rsidR="00A6794A" w:rsidRPr="00A6794A">
        <w:rPr>
          <w:noProof/>
        </w:rPr>
        <w:t>[134]</w:t>
      </w:r>
      <w:r>
        <w:fldChar w:fldCharType="end"/>
      </w:r>
    </w:p>
    <w:p w14:paraId="3C61B1AB" w14:textId="083DC8DD" w:rsidR="00BF5D0B" w:rsidRDefault="00BF5D0B" w:rsidP="00BF5D0B">
      <w:pPr>
        <w:spacing w:line="360" w:lineRule="auto"/>
        <w:ind w:left="709"/>
        <w:contextualSpacing/>
        <w:jc w:val="both"/>
        <w:rPr>
          <w:b/>
        </w:rPr>
      </w:pPr>
      <w:r w:rsidRPr="000322E4">
        <w:rPr>
          <w:b/>
        </w:rPr>
        <w:t xml:space="preserve">Уровень убедительности рекомендаций С (уровень достоверности доказательств </w:t>
      </w:r>
      <w:r w:rsidRPr="005F2C4B">
        <w:rPr>
          <w:b/>
        </w:rPr>
        <w:t>5</w:t>
      </w:r>
      <w:r w:rsidRPr="000322E4">
        <w:rPr>
          <w:b/>
        </w:rPr>
        <w:t>).</w:t>
      </w:r>
    </w:p>
    <w:p w14:paraId="454F7890" w14:textId="14D10195" w:rsidR="00A6794A" w:rsidRDefault="00A6794A" w:rsidP="00BF5D0B">
      <w:pPr>
        <w:spacing w:line="360" w:lineRule="auto"/>
        <w:ind w:left="709"/>
        <w:contextualSpacing/>
        <w:jc w:val="both"/>
        <w:rPr>
          <w:b/>
        </w:rPr>
      </w:pPr>
    </w:p>
    <w:p w14:paraId="12CEF12B" w14:textId="0C1FFD84" w:rsidR="00A6794A" w:rsidRPr="000322E4" w:rsidRDefault="00A6794A" w:rsidP="00A6794A">
      <w:pPr>
        <w:pStyle w:val="2"/>
        <w:spacing w:before="0"/>
        <w:contextualSpacing/>
      </w:pPr>
      <w:r w:rsidRPr="000322E4">
        <w:t>3.</w:t>
      </w:r>
      <w:r w:rsidRPr="00A6794A">
        <w:t>8</w:t>
      </w:r>
      <w:r w:rsidRPr="000322E4">
        <w:t xml:space="preserve"> </w:t>
      </w:r>
      <w:r>
        <w:t>Особенности ведения ВИЧ-инфицированных пациентов</w:t>
      </w:r>
      <w:r w:rsidRPr="000322E4">
        <w:t xml:space="preserve"> </w:t>
      </w:r>
    </w:p>
    <w:p w14:paraId="409AF4FC" w14:textId="4CF38184" w:rsidR="00A6794A" w:rsidRPr="00A6794A" w:rsidRDefault="00A6794A" w:rsidP="00A6794A">
      <w:pPr>
        <w:pStyle w:val="a"/>
        <w:spacing w:before="0"/>
        <w:ind w:left="709"/>
        <w:rPr>
          <w:color w:val="000000" w:themeColor="text1"/>
        </w:rPr>
      </w:pPr>
      <w:r w:rsidRPr="00A6794A">
        <w:rPr>
          <w:color w:val="000000" w:themeColor="text1"/>
        </w:rPr>
        <w:t xml:space="preserve">Пациентам </w:t>
      </w:r>
      <w:r w:rsidRPr="00A6794A">
        <w:rPr>
          <w:color w:val="000000" w:themeColor="text1"/>
          <w:lang w:val="en-US"/>
        </w:rPr>
        <w:t>c</w:t>
      </w:r>
      <w:r w:rsidRPr="00A6794A">
        <w:rPr>
          <w:color w:val="000000" w:themeColor="text1"/>
        </w:rPr>
        <w:t xml:space="preserve"> ДВКЛ, ПМВКЛ, ЛБ, инфицированных ВИЧ, </w:t>
      </w:r>
      <w:r w:rsidRPr="00A6794A">
        <w:rPr>
          <w:b/>
          <w:color w:val="000000" w:themeColor="text1"/>
        </w:rPr>
        <w:t>рекомендуется</w:t>
      </w:r>
      <w:r w:rsidRPr="00A6794A">
        <w:rPr>
          <w:color w:val="000000" w:themeColor="text1"/>
        </w:rPr>
        <w:t xml:space="preserve"> проводить терапию по соответствующим протоколам на фоне постоянного приема антиретровирусной терапии </w:t>
      </w:r>
      <w:r w:rsidRPr="00A6794A">
        <w:rPr>
          <w:color w:val="000000" w:themeColor="text1"/>
        </w:rPr>
        <w:fldChar w:fldCharType="begin" w:fldLock="1"/>
      </w:r>
      <w:r w:rsidR="006A2B13">
        <w:rPr>
          <w:color w:val="000000" w:themeColor="text1"/>
        </w:rPr>
        <w:instrText>ADDIN CSL_CITATION {"citationItems":[{"id":"ITEM-1","itemData":{"author":[{"dropping-particle":"","family":"Дудина","given":"Г.А.","non-dropping-particle":"","parse-names":false,"suffix":""},{"dropping-particle":"","family":"Пивник","given":"А.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Савченко.","id":"ITEM-1","issued":{"date-parts":[["2018"]]},"page":"126-137","title":"Неходжкинские лимфомы у больных ВИЧ-инфекцией","type":"chapter"},"uris":["http://www.mendeley.com/documents/?uuid=776f7d54-f8fa-4921-a982-b651232ebe49"]}],"mendeley":{"formattedCitation":"[139]","plainTextFormattedCitation":"[139]","previouslyFormattedCitation":"[139]"},"properties":{"noteIndex":0},"schema":"https://github.com/citation-style-language/schema/raw/master/csl-citation.json"}</w:instrText>
      </w:r>
      <w:r w:rsidRPr="00A6794A">
        <w:rPr>
          <w:color w:val="000000" w:themeColor="text1"/>
        </w:rPr>
        <w:fldChar w:fldCharType="separate"/>
      </w:r>
      <w:r w:rsidRPr="00A6794A">
        <w:rPr>
          <w:noProof/>
          <w:color w:val="000000" w:themeColor="text1"/>
        </w:rPr>
        <w:t>[139]</w:t>
      </w:r>
      <w:r w:rsidRPr="00A6794A">
        <w:rPr>
          <w:color w:val="000000" w:themeColor="text1"/>
        </w:rPr>
        <w:fldChar w:fldCharType="end"/>
      </w:r>
      <w:r w:rsidRPr="00A6794A">
        <w:rPr>
          <w:color w:val="000000" w:themeColor="text1"/>
        </w:rPr>
        <w:t>.</w:t>
      </w:r>
    </w:p>
    <w:p w14:paraId="13B549EE" w14:textId="77777777" w:rsidR="00A6794A" w:rsidRPr="00A6794A" w:rsidRDefault="00A6794A" w:rsidP="00A6794A">
      <w:pPr>
        <w:pStyle w:val="afffa"/>
        <w:rPr>
          <w:color w:val="000000" w:themeColor="text1"/>
        </w:rPr>
      </w:pPr>
      <w:r w:rsidRPr="00A6794A">
        <w:rPr>
          <w:color w:val="000000" w:themeColor="text1"/>
        </w:rPr>
        <w:t xml:space="preserve">Уровень убедительности рекомендаций – С (уровень </w:t>
      </w:r>
      <w:r w:rsidRPr="00A6794A">
        <w:rPr>
          <w:color w:val="000000" w:themeColor="text1"/>
          <w:spacing w:val="-1"/>
        </w:rPr>
        <w:t xml:space="preserve">достоверности доказательств </w:t>
      </w:r>
      <w:r w:rsidRPr="00A6794A">
        <w:rPr>
          <w:color w:val="000000" w:themeColor="text1"/>
        </w:rPr>
        <w:t>– 5).</w:t>
      </w:r>
    </w:p>
    <w:p w14:paraId="2CE1F5E5" w14:textId="505F7C6D" w:rsidR="00A6794A" w:rsidRPr="00A6794A" w:rsidRDefault="00A6794A" w:rsidP="00A6794A">
      <w:pPr>
        <w:pStyle w:val="a"/>
        <w:spacing w:before="0"/>
        <w:ind w:left="709"/>
        <w:rPr>
          <w:rFonts w:eastAsia="Arial Unicode MS"/>
          <w:color w:val="000000" w:themeColor="text1"/>
        </w:rPr>
      </w:pPr>
      <w:r w:rsidRPr="00A6794A">
        <w:rPr>
          <w:color w:val="000000" w:themeColor="text1"/>
        </w:rPr>
        <w:lastRenderedPageBreak/>
        <w:t xml:space="preserve">Пациентам </w:t>
      </w:r>
      <w:r w:rsidRPr="00A6794A">
        <w:rPr>
          <w:color w:val="000000" w:themeColor="text1"/>
          <w:lang w:val="en-US"/>
        </w:rPr>
        <w:t>c</w:t>
      </w:r>
      <w:r w:rsidRPr="00A6794A">
        <w:rPr>
          <w:color w:val="000000" w:themeColor="text1"/>
        </w:rPr>
        <w:t xml:space="preserve"> ДВКЛ, ПМВКЛ, ЛБ, инфицированным ВИЧ, </w:t>
      </w:r>
      <w:r w:rsidRPr="00A6794A">
        <w:rPr>
          <w:b/>
          <w:color w:val="000000" w:themeColor="text1"/>
        </w:rPr>
        <w:t>не рекомендуется</w:t>
      </w:r>
      <w:r w:rsidRPr="00A6794A">
        <w:rPr>
          <w:color w:val="000000" w:themeColor="text1"/>
        </w:rPr>
        <w:t xml:space="preserve"> вводить ритуксимаб** при количестве CD4-клеток менее 100/мкл в связи с увеличением количества инфекционных осложнений и высоким риском смерти от них </w:t>
      </w:r>
      <w:r w:rsidRPr="00A6794A">
        <w:rPr>
          <w:color w:val="000000" w:themeColor="text1"/>
        </w:rPr>
        <w:fldChar w:fldCharType="begin" w:fldLock="1"/>
      </w:r>
      <w:r w:rsidR="006A2B13">
        <w:rPr>
          <w:color w:val="000000" w:themeColor="text1"/>
        </w:rPr>
        <w:instrText>ADDIN CSL_CITATION {"citationItems":[{"id":"ITEM-1","itemData":{"author":[{"dropping-particle":"","family":"Дудина","given":"Г.А.","non-dropping-particle":"","parse-names":false,"suffix":""},{"dropping-particle":"","family":"Пивник","given":"А.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Савченко.","id":"ITEM-1","issued":{"date-parts":[["2018"]]},"page":"126-137","title":"Неходжкинские лимфомы у больных ВИЧ-инфекцией","type":"chapter"},"uris":["http://www.mendeley.com/documents/?uuid=776f7d54-f8fa-4921-a982-b651232ebe49"]}],"mendeley":{"formattedCitation":"[139]","plainTextFormattedCitation":"[139]","previouslyFormattedCitation":"[139]"},"properties":{"noteIndex":0},"schema":"https://github.com/citation-style-language/schema/raw/master/csl-citation.json"}</w:instrText>
      </w:r>
      <w:r w:rsidRPr="00A6794A">
        <w:rPr>
          <w:color w:val="000000" w:themeColor="text1"/>
        </w:rPr>
        <w:fldChar w:fldCharType="separate"/>
      </w:r>
      <w:r w:rsidRPr="00A6794A">
        <w:rPr>
          <w:noProof/>
          <w:color w:val="000000" w:themeColor="text1"/>
        </w:rPr>
        <w:t>[139]</w:t>
      </w:r>
      <w:r w:rsidRPr="00A6794A">
        <w:rPr>
          <w:color w:val="000000" w:themeColor="text1"/>
        </w:rPr>
        <w:fldChar w:fldCharType="end"/>
      </w:r>
      <w:r w:rsidRPr="00A6794A">
        <w:rPr>
          <w:color w:val="000000" w:themeColor="text1"/>
        </w:rPr>
        <w:t>.</w:t>
      </w:r>
    </w:p>
    <w:p w14:paraId="73A32223" w14:textId="77777777" w:rsidR="00A6794A" w:rsidRPr="00A6794A" w:rsidRDefault="00A6794A" w:rsidP="00A6794A">
      <w:pPr>
        <w:pStyle w:val="afffa"/>
        <w:rPr>
          <w:color w:val="000000" w:themeColor="text1"/>
        </w:rPr>
      </w:pPr>
      <w:r w:rsidRPr="00A6794A">
        <w:rPr>
          <w:color w:val="000000" w:themeColor="text1"/>
        </w:rPr>
        <w:t xml:space="preserve">Уровень убедительности рекомендаций – С (уровень </w:t>
      </w:r>
      <w:r w:rsidRPr="00A6794A">
        <w:rPr>
          <w:color w:val="000000" w:themeColor="text1"/>
          <w:spacing w:val="-1"/>
        </w:rPr>
        <w:t xml:space="preserve">достоверности доказательств </w:t>
      </w:r>
      <w:r w:rsidRPr="00A6794A">
        <w:rPr>
          <w:color w:val="000000" w:themeColor="text1"/>
        </w:rPr>
        <w:t>– 5).</w:t>
      </w:r>
    </w:p>
    <w:p w14:paraId="502188C3" w14:textId="77777777" w:rsidR="006B427A" w:rsidRDefault="006B427A" w:rsidP="00F414BF">
      <w:pPr>
        <w:pStyle w:val="2"/>
        <w:spacing w:before="0"/>
        <w:contextualSpacing/>
      </w:pPr>
    </w:p>
    <w:p w14:paraId="72E04D10" w14:textId="7B8D88A1" w:rsidR="000578EF" w:rsidRPr="000322E4" w:rsidRDefault="000578EF" w:rsidP="00F414BF">
      <w:pPr>
        <w:pStyle w:val="2"/>
        <w:spacing w:before="0"/>
        <w:contextualSpacing/>
      </w:pPr>
      <w:bookmarkStart w:id="45" w:name="_Toc96601248"/>
      <w:r w:rsidRPr="000322E4">
        <w:t>3.</w:t>
      </w:r>
      <w:r w:rsidR="00A6794A" w:rsidRPr="00A6794A">
        <w:t>9</w:t>
      </w:r>
      <w:r w:rsidRPr="000322E4">
        <w:t xml:space="preserve"> Оценка ответа на лечение</w:t>
      </w:r>
      <w:bookmarkEnd w:id="45"/>
    </w:p>
    <w:p w14:paraId="21F95B32" w14:textId="64D04176" w:rsidR="000578EF" w:rsidRPr="000322E4" w:rsidRDefault="000578EF" w:rsidP="00F414BF">
      <w:pPr>
        <w:pStyle w:val="afff8"/>
        <w:spacing w:before="0"/>
      </w:pPr>
      <w:r w:rsidRPr="000322E4">
        <w:t xml:space="preserve">Всем пациентам с </w:t>
      </w:r>
      <w:r w:rsidR="00AE61A0" w:rsidRPr="000322E4">
        <w:t>ДВКЛ</w:t>
      </w:r>
      <w:r w:rsidR="00163AA0">
        <w:t>, ПМВКЛ,</w:t>
      </w:r>
      <w:r w:rsidR="007726E0" w:rsidRPr="000322E4">
        <w:t xml:space="preserve"> ЛБ</w:t>
      </w:r>
      <w:r w:rsidR="00AE61A0" w:rsidRPr="000322E4">
        <w:t xml:space="preserve"> </w:t>
      </w:r>
      <w:r w:rsidRPr="000322E4">
        <w:t>после завершения всей программы лечения,</w:t>
      </w:r>
      <w:r w:rsidRPr="000322E4">
        <w:rPr>
          <w:b/>
        </w:rPr>
        <w:t xml:space="preserve"> рекомендуется</w:t>
      </w:r>
      <w:r w:rsidRPr="000322E4">
        <w:t xml:space="preserve"> оценка ответа на терапию в соответствии со стандартными критериями ответа на лечение лимфом (см. </w:t>
      </w:r>
      <w:r w:rsidR="007A344D" w:rsidRPr="000322E4">
        <w:t>раздел 7.</w:t>
      </w:r>
      <w:r w:rsidR="00AE61A0" w:rsidRPr="000322E4">
        <w:t>6</w:t>
      </w:r>
      <w:r w:rsidR="007A344D" w:rsidRPr="000322E4">
        <w:t xml:space="preserve"> данных рекомендаций</w:t>
      </w:r>
      <w:r w:rsidRPr="000322E4">
        <w:t>)</w:t>
      </w:r>
      <w:r w:rsidR="001D28F8" w:rsidRPr="000322E4">
        <w:t xml:space="preserve"> </w:t>
      </w:r>
      <w:r w:rsidR="001D28F8" w:rsidRPr="000322E4">
        <w:fldChar w:fldCharType="begin" w:fldLock="1"/>
      </w:r>
      <w:r w:rsidR="006A2B13">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лимфом","type":"chapter"},"uris":["http://www.mendeley.com/documents/?uuid=d7eb85a2-da5e-400d-b112-7f0a5734958d"]},{"id":"ITEM-2","itemData":{"DOI":"10.1200/JCO.2006.09.2403","ISSN":"0732183X","abstract":"PURPOSE Standardized response criteria are needed to interpret and compare clinical trials and for approval of new therapeutic agents by regulatory agencies. METHODS The International Working Group response criteria (Cheson et al, J Clin Oncol 17:1244, 1999) were widely adopted, but required reassessment because of identified limitations and the increased use of [18F]fluorodeoxyglucose-positron emission tomography (PET), immunohistochemistry (IHC), and flow cytometry. The International Harmonization Project was convened to provide updated recommendations. RESULTS New guidelines are presented incorporating PET, IHC, and flow cytometry for definitions of response in non-Hodgkin's and Hodgkin's lymphoma. Standardized definitions of end points are provided. CONCLUSION We hope that these guidelines will be adopted widely by study groups, pharmaceutical and biotechnology companies, and regulatory agencies to facilitate the development of new and more effective therapies to improve the outcome of patients with lymphoma.","author":[{"dropping-particle":"","family":"Cheson","given":"Bruce D.","non-dropping-particle":"","parse-names":false,"suffix":""},{"dropping-particle":"","family":"Pfistner","given":"Beate","non-dropping-particle":"","parse-names":false,"suffix":""},{"dropping-particle":"","family":"Juweid","given":"Malik E.","non-dropping-particle":"","parse-names":false,"suffix":""},{"dropping-particle":"","family":"Gascoyne","given":"Randy D.","non-dropping-particle":"","parse-names":false,"suffix":""},{"dropping-particle":"","family":"Specht","given":"Lena","non-dropping-particle":"","parse-names":false,"suffix":""},{"dropping-particle":"","family":"Horning","given":"Sandra J.","non-dropping-particle":"","parse-names":false,"suffix":""},{"dropping-particle":"","family":"Coiffier","given":"Bertrand","non-dropping-particle":"","parse-names":false,"suffix":""},{"dropping-particle":"","family":"Fisher","given":"Richard I.","non-dropping-particle":"","parse-names":false,"suffix":""},{"dropping-particle":"","family":"Hagenbeek","given":"Anton","non-dropping-particle":"","parse-names":false,"suffix":""},{"dropping-particle":"","family":"Zucca","given":"Emanuele","non-dropping-particle":"","parse-names":false,"suffix":""},{"dropping-particle":"","family":"Rosen","given":"Steven T.","non-dropping-particle":"","parse-names":false,"suffix":""},{"dropping-particle":"","family":"Stroobants","given":"Sigrid","non-dropping-particle":"","parse-names":false,"suffix":""},{"dropping-particle":"","family":"Lister","given":"T. Andrew","non-dropping-particle":"","parse-names":false,"suffix":""},{"dropping-particle":"","family":"Hoppe","given":"Richard T.","non-dropping-particle":"","parse-names":false,"suffix":""},{"dropping-particle":"","family":"Dreyling","given":"Martin","non-dropping-particle":"","parse-names":false,"suffix":""},{"dropping-particle":"","family":"Tobinai","given":"Kensei","non-dropping-particle":"","parse-names":false,"suffix":""},{"dropping-particle":"","family":"Vose","given":"Julie M.","non-dropping-particle":"","parse-names":false,"suffix":""},{"dropping-particle":"","family":"Connors","given":"Joseph M.","non-dropping-particle":"","parse-names":false,"suffix":""},{"dropping-particle":"","family":"Federico","given":"Massimo","non-dropping-particle":"","parse-names":false,"suffix":""},{"dropping-particle":"","family":"Diehl","given":"Volker","non-dropping-particle":"","parse-names":false,"suffix":""}],"container-title":"Journal of Clinical Oncology","id":"ITEM-2","issue":"5","issued":{"date-parts":[["2007"]]},"page":"579-586","title":"Revised response criteria for malignant lymphoma","type":"article","volume":"25"},"uris":["http://www.mendeley.com/documents/?uuid=54621e2a-fa6c-3787-a396-2fbb20883fe7"]}],"mendeley":{"formattedCitation":"[27,140]","plainTextFormattedCitation":"[27,140]","previouslyFormattedCitation":"[27,140]"},"properties":{"noteIndex":0},"schema":"https://github.com/citation-style-language/schema/raw/master/csl-citation.json"}</w:instrText>
      </w:r>
      <w:r w:rsidR="001D28F8" w:rsidRPr="000322E4">
        <w:fldChar w:fldCharType="separate"/>
      </w:r>
      <w:r w:rsidR="00A6794A" w:rsidRPr="00A6794A">
        <w:rPr>
          <w:noProof/>
        </w:rPr>
        <w:t>[27,140]</w:t>
      </w:r>
      <w:r w:rsidR="001D28F8" w:rsidRPr="000322E4">
        <w:fldChar w:fldCharType="end"/>
      </w:r>
      <w:r w:rsidRPr="000322E4">
        <w:t xml:space="preserve">. </w:t>
      </w:r>
    </w:p>
    <w:p w14:paraId="762C54B8" w14:textId="31887596" w:rsidR="000578EF" w:rsidRDefault="000578EF" w:rsidP="00F414BF">
      <w:pPr>
        <w:spacing w:line="360" w:lineRule="auto"/>
        <w:ind w:left="709"/>
        <w:jc w:val="both"/>
        <w:rPr>
          <w:b/>
        </w:rPr>
      </w:pPr>
      <w:r w:rsidRPr="000322E4">
        <w:rPr>
          <w:b/>
        </w:rPr>
        <w:t>Уровень убедительности рекомендаций С (уровень достоверности доказательств 5).</w:t>
      </w:r>
    </w:p>
    <w:p w14:paraId="5B13BFAD" w14:textId="77777777" w:rsidR="006B427A" w:rsidRPr="000322E4" w:rsidRDefault="006B427A" w:rsidP="00F414BF">
      <w:pPr>
        <w:spacing w:line="360" w:lineRule="auto"/>
        <w:ind w:left="709"/>
        <w:jc w:val="both"/>
        <w:rPr>
          <w:b/>
        </w:rPr>
      </w:pPr>
    </w:p>
    <w:p w14:paraId="1DBB0298" w14:textId="7865A4A9" w:rsidR="001D28F8" w:rsidRPr="000322E4" w:rsidRDefault="001D28F8" w:rsidP="00F414BF">
      <w:pPr>
        <w:pStyle w:val="2"/>
        <w:spacing w:before="0"/>
        <w:contextualSpacing/>
      </w:pPr>
      <w:bookmarkStart w:id="46" w:name="_Toc96601249"/>
      <w:r w:rsidRPr="000322E4">
        <w:t>3.</w:t>
      </w:r>
      <w:r w:rsidR="00A6794A">
        <w:rPr>
          <w:lang w:val="en-US"/>
        </w:rPr>
        <w:t>10</w:t>
      </w:r>
      <w:r w:rsidRPr="000322E4">
        <w:t xml:space="preserve"> Сопутствующая и сопроводительная терапия</w:t>
      </w:r>
      <w:bookmarkEnd w:id="46"/>
    </w:p>
    <w:p w14:paraId="5CBD2E33" w14:textId="3F407DBE" w:rsidR="0004292D" w:rsidRPr="00AB22BC" w:rsidRDefault="0004292D" w:rsidP="0004292D">
      <w:pPr>
        <w:pStyle w:val="a"/>
        <w:spacing w:before="0"/>
        <w:ind w:left="709"/>
        <w:rPr>
          <w:b/>
        </w:rPr>
      </w:pPr>
      <w:r w:rsidRPr="009D170B">
        <w:rPr>
          <w:color w:val="000000" w:themeColor="text1"/>
        </w:rPr>
        <w:t>Пациентам с</w:t>
      </w:r>
      <w:r>
        <w:rPr>
          <w:color w:val="000000" w:themeColor="text1"/>
        </w:rPr>
        <w:t xml:space="preserve"> </w:t>
      </w:r>
      <w:r>
        <w:t xml:space="preserve">ДВКЛ или ПМВКЛ с массивным опухолевым поражением, а также всем пациентам с </w:t>
      </w:r>
      <w:r w:rsidRPr="009D170B">
        <w:rPr>
          <w:color w:val="000000" w:themeColor="text1"/>
        </w:rPr>
        <w:t xml:space="preserve">ЛБ </w:t>
      </w:r>
      <w:r>
        <w:t>р</w:t>
      </w:r>
      <w:r w:rsidRPr="00AB22BC">
        <w:rPr>
          <w:b/>
        </w:rPr>
        <w:t>екомендуется</w:t>
      </w:r>
      <w:r w:rsidRPr="00AB22BC">
        <w:t xml:space="preserve"> профилактик</w:t>
      </w:r>
      <w:r>
        <w:t>а</w:t>
      </w:r>
      <w:r w:rsidRPr="00AB22BC">
        <w:t xml:space="preserve"> и лечение синдрома массивного лизиса опухоли: аллопуринол** 10 мг/кг/сут и инфузионная терапия 3 л/м</w:t>
      </w:r>
      <w:r w:rsidRPr="00AB22BC">
        <w:rPr>
          <w:vertAlign w:val="superscript"/>
        </w:rPr>
        <w:t>2</w:t>
      </w:r>
      <w:r w:rsidRPr="00AB22BC">
        <w:t xml:space="preserve">/сут с защелачиванием раствора натрия гидрокарбоната** 40–80 ммоль/л под контролем диуреза и плановым назначением фуросемида**, лабораторным контролем кислотно-основного состояния </w:t>
      </w:r>
      <w:r w:rsidRPr="00AB22BC">
        <w:fldChar w:fldCharType="begin" w:fldLock="1"/>
      </w:r>
      <w:r w:rsidR="006A2B13">
        <w:instrText>ADDIN CSL_CITATION {"citationItems":[{"id":"ITEM-1","itemData":{"author":[{"dropping-particle":"","family":"Барях","given":"Е.А.","non-dropping-particle":"","parse-names":false,"suffix":""},{"dropping-particle":"","family":"Мякова","given":"Н.В.","non-dropping-particle":"","parse-names":false,"suffix":""},{"dropping-particle":"","family":"Поддубная","given":"И.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Савченко.","id":"ITEM-1","issued":{"date-parts":[["2018"]]},"page":"251-253","title":"Профилактика и лечение синдрома лизиса опухоли","type":"chapter"},"uris":["http://www.mendeley.com/documents/?uuid=f076f62d-bb83-43f7-ada9-fd1c459dafc9"]},{"id":"ITEM-2","itemData":{"author":[{"dropping-particle":"","family":"Барях","given":"Е.А.","non-dropping-particle":"","parse-names":false,"suffix":""},{"dropping-particle":"","family":"Кравченко","given":"С.К.","non-dropping-particle":"","parse-names":false,"suffix":""},{"dropping-particle":"","family":"Кременецкая","given":"А.М.","non-dropping-particle":"","parse-names":false,"suffix":""},{"dropping-particle":"","family":"Звонков","given":"Е.Е.","non-dropping-particle":"","parse-names":false,"suffix":""},{"dropping-particle":"","family":"Магомедова","given":"А.У.","non-dropping-particle":"","parse-names":false,"suffix":""},{"dropping-particle":"","family":"Обухова","given":"Т.Н.","non-dropping-particle":"","parse-names":false,"suffix":""},{"dropping-particle":"","family":"Попова","given":"Ю.Ю.","non-dropping-particle":"","parse-names":false,"suffix":""},{"dropping-particle":"","family":"Финк","given":"О.С.","non-dropping-particle":"","parse-names":false,"suffix":""},{"dropping-particle":"","family":"Клясова","given":"Г.А.","non-dropping-particle":"","parse-names":false,"suffix":""},{"dropping-particle":"","family":"Шулутко","given":"Е.М.","non-dropping-particle":"","parse-names":false,"suffix":""},{"dropping-particle":"","family":"Галстян","given":"Г.М.","non-dropping-particle":"","parse-names":false,"suffix":""},{"dropping-particle":"","family":"Капланская","given":"И.Б.","non-dropping-particle":"","parse-names":false,"suffix":""},{"dropping-particle":"","family":"Воробьев","given":"И.А.","non-dropping-particle":"","parse-names":false,"suffix":""},{"dropping-particle":"","family":"Воробьев","given":"А.И.","non-dropping-particle":"","parse-names":false,"suffix":""}],"container-title":"Клиническая онкогематология. Фундаментальные исследования и клиническая практика","id":"ITEM-2","issue":"2","issued":{"date-parts":[["2010"]]},"page":"138-143","title":"Лейкоз/лимфома Беркитта: клинические особенности, диагностические критерии, терапевтическая тактика","type":"article-journal","volume":"3"},"uris":["http://www.mendeley.com/documents/?uuid=ca97d2c7-6100-4926-b460-c64743fdc29b"]}],"mendeley":{"formattedCitation":"[141,142]","plainTextFormattedCitation":"[141,142]","previouslyFormattedCitation":"[141,142]"},"properties":{"noteIndex":0},"schema":"https://github.com/citation-style-language/schema/raw/master/csl-citation.json"}</w:instrText>
      </w:r>
      <w:r w:rsidRPr="00AB22BC">
        <w:fldChar w:fldCharType="separate"/>
      </w:r>
      <w:r w:rsidR="00A6794A" w:rsidRPr="00A6794A">
        <w:rPr>
          <w:noProof/>
        </w:rPr>
        <w:t>[141,142]</w:t>
      </w:r>
      <w:r w:rsidRPr="00AB22BC">
        <w:fldChar w:fldCharType="end"/>
      </w:r>
      <w:r w:rsidRPr="00AB22BC">
        <w:t xml:space="preserve">. </w:t>
      </w:r>
    </w:p>
    <w:p w14:paraId="60A23ACF" w14:textId="77777777" w:rsidR="0004292D" w:rsidRPr="00AB22BC" w:rsidRDefault="0004292D" w:rsidP="0004292D">
      <w:pPr>
        <w:pStyle w:val="afffa"/>
      </w:pPr>
      <w:r w:rsidRPr="00AB22BC">
        <w:t>Уровень убедительности рекомендаций – С (уровень достоверности доказательств – 5).</w:t>
      </w:r>
    </w:p>
    <w:p w14:paraId="51917D7A" w14:textId="15D2F08A" w:rsidR="00E8072E" w:rsidRPr="00E8072E" w:rsidRDefault="00E8072E" w:rsidP="00021E2A">
      <w:pPr>
        <w:pStyle w:val="a"/>
        <w:spacing w:before="0"/>
        <w:ind w:left="709"/>
        <w:rPr>
          <w:i/>
        </w:rPr>
      </w:pPr>
      <w:r w:rsidRPr="00E8072E">
        <w:rPr>
          <w:rStyle w:val="affc"/>
          <w:i w:val="0"/>
        </w:rPr>
        <w:t xml:space="preserve">Пациентам </w:t>
      </w:r>
      <w:r w:rsidR="00163AA0">
        <w:t>с ДВКЛ, ПМВКЛ,</w:t>
      </w:r>
      <w:r w:rsidRPr="00E8072E">
        <w:t xml:space="preserve"> ЛБ</w:t>
      </w:r>
      <w:r w:rsidRPr="00E8072E">
        <w:rPr>
          <w:rStyle w:val="affc"/>
          <w:i w:val="0"/>
        </w:rPr>
        <w:t xml:space="preserve"> на фоне </w:t>
      </w:r>
      <w:r w:rsidR="00512950">
        <w:rPr>
          <w:rStyle w:val="affc"/>
          <w:i w:val="0"/>
        </w:rPr>
        <w:t xml:space="preserve">приема глюкокортикостероидов </w:t>
      </w:r>
      <w:r w:rsidRPr="00E8072E">
        <w:rPr>
          <w:rStyle w:val="affc"/>
          <w:b/>
          <w:i w:val="0"/>
        </w:rPr>
        <w:t>рекомендуется</w:t>
      </w:r>
      <w:r w:rsidRPr="00E8072E">
        <w:rPr>
          <w:rStyle w:val="affc"/>
          <w:i w:val="0"/>
        </w:rPr>
        <w:t xml:space="preserve"> проведение профилактики язвенной болезни желудка и 12-перстной кишки</w:t>
      </w:r>
      <w:r w:rsidR="0057254D" w:rsidRPr="0057254D">
        <w:rPr>
          <w:rStyle w:val="affc"/>
          <w:i w:val="0"/>
        </w:rPr>
        <w:t xml:space="preserve"> </w:t>
      </w:r>
      <w:r w:rsidR="0057254D">
        <w:rPr>
          <w:rStyle w:val="affc"/>
          <w:i w:val="0"/>
        </w:rPr>
        <w:fldChar w:fldCharType="begin" w:fldLock="1"/>
      </w:r>
      <w:r w:rsidR="00021E2A">
        <w:rPr>
          <w:rStyle w:val="affc"/>
          <w:i w:val="0"/>
        </w:rPr>
        <w:instrText>ADDIN CSL_CITATION {"citationItems":[{"id":"ITEM-1","itemData":{"PMID":"24833682","author":[{"dropping-particle":"","family":"Narum","given":"Sigrid","non-dropping-particle":"","parse-names":false,"suffix":""},{"dropping-particle":"","family":"Westergren","given":"Tone","non-dropping-particle":"","parse-names":false,"suffix":""},{"dropping-particle":"","family":"Klemp","given":"Marianne","non-dropping-particle":"","parse-names":false,"suffix":""}],"container-title":"BMJ Open","id":"ITEM-1","issue":"5","issued":{"date-parts":[["2014","5","1"]]},"page":"e004587","title":"Corticosteroids and risk of gastrointestinal bleeding: A systematic review and meta-analysis","type":"article-journal","volume":"4"},"uris":["http://www.mendeley.com/documents/?uuid=926ef8e8-8aa3-4855-829a-14142b61de3e"]}],"mendeley":{"formattedCitation":"[143]","plainTextFormattedCitation":"[143]","previouslyFormattedCitation":"[143]"},"properties":{"noteIndex":0},"schema":"https://github.com/citation-style-language/schema/raw/master/csl-citation.json"}</w:instrText>
      </w:r>
      <w:r w:rsidR="0057254D">
        <w:rPr>
          <w:rStyle w:val="affc"/>
          <w:i w:val="0"/>
        </w:rPr>
        <w:fldChar w:fldCharType="separate"/>
      </w:r>
      <w:r w:rsidR="009D170B" w:rsidRPr="009D170B">
        <w:rPr>
          <w:rStyle w:val="affc"/>
          <w:i w:val="0"/>
          <w:noProof/>
        </w:rPr>
        <w:t>[143]</w:t>
      </w:r>
      <w:r w:rsidR="0057254D">
        <w:rPr>
          <w:rStyle w:val="affc"/>
          <w:i w:val="0"/>
        </w:rPr>
        <w:fldChar w:fldCharType="end"/>
      </w:r>
      <w:r w:rsidRPr="00E8072E">
        <w:rPr>
          <w:rStyle w:val="affc"/>
          <w:i w:val="0"/>
        </w:rPr>
        <w:t>.</w:t>
      </w:r>
    </w:p>
    <w:p w14:paraId="55878AA2" w14:textId="77777777" w:rsidR="00E8072E" w:rsidRPr="00E8072E" w:rsidRDefault="00E8072E" w:rsidP="00E8072E">
      <w:pPr>
        <w:pStyle w:val="afd"/>
        <w:ind w:left="709" w:firstLine="0"/>
        <w:contextualSpacing/>
        <w:rPr>
          <w:b/>
        </w:rPr>
      </w:pPr>
      <w:r w:rsidRPr="00E8072E">
        <w:rPr>
          <w:b/>
        </w:rPr>
        <w:t>Уровень убедительности рекомендаций С (уровень достоверности доказательств 5)</w:t>
      </w:r>
    </w:p>
    <w:p w14:paraId="4BDE5679" w14:textId="77777777" w:rsidR="00E8072E" w:rsidRPr="00E8072E" w:rsidRDefault="00E8072E" w:rsidP="00021E2A">
      <w:pPr>
        <w:spacing w:line="360" w:lineRule="auto"/>
        <w:ind w:firstLine="709"/>
        <w:jc w:val="both"/>
      </w:pPr>
      <w:r w:rsidRPr="00E8072E">
        <w:rPr>
          <w:rStyle w:val="affc"/>
          <w:b/>
          <w:i w:val="0"/>
          <w:iCs w:val="0"/>
        </w:rPr>
        <w:t>Комментарии:</w:t>
      </w:r>
      <w:r w:rsidRPr="00E8072E">
        <w:t xml:space="preserve"> </w:t>
      </w:r>
      <w:r w:rsidRPr="00E8072E">
        <w:rPr>
          <w:rStyle w:val="affc"/>
          <w:bCs/>
        </w:rPr>
        <w:t xml:space="preserve">язва желудка или двенадцатиперстной кишки является одним из серьёзных побочных эффектов терапии ГКС (включены в профилактику осложнений АТГ**). Механизм ульцерогенного действия ГКС заключается в повышении секреции соляной кислоты в желудке, изменении качественного состава слизи, торможении регенерации поверхностного эпителия. В связи с </w:t>
      </w:r>
      <w:r w:rsidRPr="00E8072E">
        <w:rPr>
          <w:rStyle w:val="affc"/>
          <w:bCs/>
        </w:rPr>
        <w:lastRenderedPageBreak/>
        <w:t>ульцерогенностью, при использовании ГКС необходимо проводить антисекреторную терапию с целью профилактики стероидных язв</w:t>
      </w:r>
    </w:p>
    <w:p w14:paraId="2BA82FD5" w14:textId="17530C49" w:rsidR="00E8072E" w:rsidRPr="00E8072E" w:rsidRDefault="00E8072E" w:rsidP="00021E2A">
      <w:pPr>
        <w:spacing w:line="360" w:lineRule="auto"/>
        <w:ind w:firstLine="709"/>
        <w:jc w:val="both"/>
        <w:rPr>
          <w:i/>
          <w:iCs/>
        </w:rPr>
      </w:pPr>
      <w:r w:rsidRPr="00E8072E">
        <w:rPr>
          <w:i/>
          <w:iCs/>
        </w:rPr>
        <w:t xml:space="preserve">По результатам мета-анализа 300 работ </w:t>
      </w:r>
      <w:r w:rsidRPr="00E8072E">
        <w:rPr>
          <w:i/>
          <w:iCs/>
        </w:rPr>
        <w:fldChar w:fldCharType="begin" w:fldLock="1"/>
      </w:r>
      <w:r w:rsidR="00021E2A">
        <w:rPr>
          <w:i/>
          <w:iCs/>
        </w:rPr>
        <w:instrText>ADDIN CSL_CITATION {"citationItems":[{"id":"ITEM-1","itemData":{"DOI":"10.1016/0016-5085(90)91015-X","ISSN":"00165085","PMID":"2142113","abstract":"The optimal degree and duration of suppression of gastric acidity required for the healing of peptic ulcers has never been established. Although very potent inhibitors of acid secretion are now available, the need for this degree of suppression has not been shown, and there is a possibility of adverse effects because of pronounced acid inhibition. Therefore, a model has been constructed that defines the relationship between duodenal ulcer healing and antisecretory therapy. Acid suppression data were obtained directly from investigators as raw data from 24-hour studies of acid secretion. Twenty-one experiments from seven investigators provided 490 24-hour studies using 19 different treatment regimens. Healing data were collected from a metaanalysis of published clinical trials of duodenal ulcer healing. A total of 144 published trials in 14,208 patients provided healing data at several endoscopic endpoints for the 19 drug regimens for which acidity data were provided. Weighted least-squares polynomial regression analysis was used to define those parameters of antisecretory therapy that contributed most to duodenal ulcer healing and to define the shape of the response surface. A highly significant correlation (r = 0.9814) was found between healing and the degree of acid suppression, the duration of acid suppression, and the length of therapy. The shape of the contour expressing this relationship shows that healing increases as the duration of suppression increases and as gastric pH increases. However, suppression that increased pH beyond 3.0 was not found to increase ulcer healing further. It is concluded that a longer duration of antisecretory effect and/or a longer duration of therapy are of greater importance than potency for duodenal ulcer healing. © 1990.","author":[{"dropping-particle":"","family":"Burget","given":"Douglas W.","non-dropping-particle":"","parse-names":false,"suffix":""},{"dropping-particle":"","family":"Chiverton","given":"Stephen G.","non-dropping-particle":"","parse-names":false,"suffix":""},{"dropping-particle":"","family":"Hunt","given":"Richard H.","non-dropping-particle":"","parse-names":false,"suffix":""}],"container-title":"Gastroenterology","id":"ITEM-1","issue":"2","issued":{"date-parts":[["1990","8"]]},"page":"345-351","publisher":"Gastroenterology","title":"Is there an optimal degree of acid suppression for healing of duodenal ulcers? A model of the relationship between ulcer healing and acid suppression","type":"article-journal","volume":"99"},"uris":["http://www.mendeley.com/documents/?uuid=55c5fe56-6faa-4e55-bfe2-e8e5c51854a2"]}],"mendeley":{"formattedCitation":"[144]","plainTextFormattedCitation":"[144]","previouslyFormattedCitation":"[144]"},"properties":{"noteIndex":0},"schema":"https://github.com/citation-style-language/schema/raw/master/csl-citation.json"}</w:instrText>
      </w:r>
      <w:r w:rsidRPr="00E8072E">
        <w:rPr>
          <w:i/>
          <w:iCs/>
        </w:rPr>
        <w:fldChar w:fldCharType="separate"/>
      </w:r>
      <w:r w:rsidR="009D170B" w:rsidRPr="009D170B">
        <w:rPr>
          <w:iCs/>
          <w:noProof/>
        </w:rPr>
        <w:t>[144]</w:t>
      </w:r>
      <w:r w:rsidRPr="00E8072E">
        <w:rPr>
          <w:i/>
          <w:iCs/>
        </w:rPr>
        <w:fldChar w:fldCharType="end"/>
      </w:r>
      <w:r w:rsidRPr="00E8072E">
        <w:rPr>
          <w:i/>
          <w:iCs/>
        </w:rPr>
        <w:t xml:space="preserve">, язвы желудка и двенадцатиперстной кишки рубцуются практически во всех случаях, если рН внутрижелудочного содержимого поддерживается более 3 в течение суток на протяжении 18 часов. С учетом указанного правила в качестве противоязвенной терапии в настоящее время могут рассматриваться антациды, блокаторы Н2-гистаминовых рецепторов и ингибиторы протонноого насоса (ИПН). Согласно одному из последних мета-анализов, при использовании ИПН или блокаторов Н2-гистаминовых рецепторов достоверно эффективнее достигается рубцевание язвенного дефекта, а также снижается риск повторного кровотечения. Лишь препараты этих двух групп позволяют достигать и поддерживать необходимую рН-среду желудка, при которой происходит заживление гастродуоденальных язв. </w:t>
      </w:r>
    </w:p>
    <w:p w14:paraId="6E3FC9FB" w14:textId="6C2E8A02" w:rsidR="00E8072E" w:rsidRPr="00E8072E" w:rsidRDefault="00E8072E" w:rsidP="00021E2A">
      <w:pPr>
        <w:spacing w:line="360" w:lineRule="auto"/>
        <w:ind w:firstLine="709"/>
        <w:jc w:val="both"/>
        <w:rPr>
          <w:i/>
          <w:iCs/>
        </w:rPr>
      </w:pPr>
      <w:r w:rsidRPr="00E8072E">
        <w:rPr>
          <w:i/>
          <w:iCs/>
        </w:rPr>
        <w:t xml:space="preserve">В настоящее время с антисекреторной целью для профилактики язвенной болезни желудка и двенадцатиперстной кишки, в том числе на фоне терапии глюкокортикостероидами, применяются два класса препаратов: ингибиторы протонной помпы и блокаторы Н2-гистаминовых рецепторов </w:t>
      </w:r>
      <w:r w:rsidRPr="00E8072E">
        <w:rPr>
          <w:i/>
          <w:iCs/>
        </w:rPr>
        <w:fldChar w:fldCharType="begin" w:fldLock="1"/>
      </w:r>
      <w:r w:rsidR="00021E2A">
        <w:rPr>
          <w:i/>
          <w:iCs/>
        </w:rPr>
        <w:instrText>ADDIN CSL_CITATION {"citationItems":[{"id":"ITEM-1","itemData":{"author":[{"dropping-particle":"","family":"Ивашкин","given":"В.Т.","non-dropping-particle":"","parse-names":false,"suffix":""},{"dropping-particle":"","family":"Маев","given":"И.В.","non-dropping-particle":"","parse-names":false,"suffix":""},{"dropping-particle":"","family":"Царьков","given":"П.В.","non-dropping-particle":"","parse-names":false,"suffix":""},{"dropping-particle":"","family":"Королев","given":"М.П.","non-dropping-particle":"","parse-names":false,"suffix":""},{"dropping-particle":"","family":"Андреев","given":"Д.Н.","non-dropping-particle":"","parse-names":false,"suffix":""},{"dropping-particle":"","family":"Баранская","given":"Е.К.","non-dropping-particle":"","parse-names":false,"suffix":""},{"dropping-particle":"","family":"Бурков","given":"С.Г.","non-dropping-particle":"","parse-names":false,"suffix":""},{"dropping-particle":"","family":"Деринов","given":"А.А.","non-dropping-particle":"","parse-names":false,"suffix":""},{"dropping-particle":"","family":"Ефетов","given":"С.К.","non-dropping-particle":"","parse-names":false,"suffix":""},{"dropping-particle":"","family":"Лапина","given":"Т.Л.","non-dropping-particle":"","parse-names":false,"suffix":""},{"dropping-particle":"","family":"Павлов","given":"П.В.","non-dropping-particle":"","parse-names":false,"suffix":""},{"dropping-particle":"","family":"Пирогов","given":"С.С.","non-dropping-particle":"","parse-names":false,"suffix":""},{"dropping-particle":"","family":"Ткачев","given":"А.В.","non-dropping-particle":"","parse-names":false,"suffix":""},{"dropping-particle":"","family":"Трухманов","given":"А.С.","non-dropping-particle":"","parse-names":false,"suffix":""},{"dropping-particle":"","family":"Федоров","given":"Е.Д.","non-dropping-particle":"","parse-names":false,"suffix":""},{"dropping-particle":"","family":"Шептулин","given":"А.А.","non-dropping-particle":"","parse-names":false,"suffix":""}],"container-title":"Российский журнал гастроэнтерологии, гепатологии, колопроктологии.","id":"ITEM-1","issue":"1","issued":{"date-parts":[["2020"]]},"page":"49-70","title":"Диагностика и лечение язвенной болезни у взрослых (Клинические рекомендации Российской гастроэнтерологической ассоциации, Российского общества колоректальных хирургов и Российского эндоскопического общества).","type":"article-journal","volume":"30"},"uris":["http://www.mendeley.com/documents/?uuid=858a1835-2f3b-419a-91b4-8a8e3ef10cc9"]},{"id":"ITEM-2","itemData":{"DOI":"10.1016/S2468-1253(18)30037-2","ISSN":"24681253","PMID":"29475806","abstract":"Background: Gastroprotectant drugs are used for the prevention and treatment of peptic ulcer disease and might reduce its associated complications, but reliable estimates of the effects of gastroprotectants in different clinical settings are scarce. We aimed to examine the effects of proton-pump inhibitors (PPIs), prostaglandin analogues, and histamine-2 receptor antagonists (H2RAs) in different clinical circumstances by doing meta-analyses of tabular data from all relevant unconfounded randomised trials of gastroprotectant drugs. Methods: We searched MEDLINE and Embase from Jan 1, 1950, to Dec 31, 2015, to identify unconfounded, randomised trials of a gastroprotectant drug (defined as a PPI, prostaglandin analogue, or H2RA) versus control, or versus another gastroprotectant. Two independent researchers reviewed the search results and extracted the prespecified outcomes and key characteristics for each trial. We did meta-analyses of the effects of gastroprotectant drugs on ulcer development, bleeding, and mortality overall, according to the class of gastroprotectant, and according to the individual drug within a gastroprotectant class. Findings: We identified comparisons of gastroprotectant versus control in 849 trials (142 485 participants): 580 prevention trials (110 626 participants), 233 healing trials (24 033 participants), and 36 trials for the treatment of acute upper gastrointestinal bleeding (7826 participants). Comparisons of one gastroprotectant drug versus another were available in 345 trials (64 905 participants), comprising 160 prevention trials (32 959 participants), 167 healing trials (28 306 participants), and 18 trials for treatment of acute upper gastrointestinal bleeding (3640 participants). The median number of patients in each trial was 78 (IQR 44·0–210·5) and the median duration was 1·4 months (0·9–2·8). In prevention trials, gastroprotectant drugs reduced development of endoscopic ulcers (odds ratio [OR] 0·27, 95% CI 0·25–0·29; p&lt;0·0001), symptomatic ulcers (0·25, 0·22–0·29; p&lt;0·0001), and upper gastrointestinal bleeding (0·40, 0·32–0·50; p&lt;0·0001), but did not significantly reduce mortality (0·85, 0·69–1·04; p=0·11). Larger proportional reductions in upper gastrointestinal bleeding were observed for PPIs than for other gastroprotectant drugs (PPIs 0·21, 99% CI 0·12–0·36; prostaglandin analogues 0·63, 0·35–1·12; H2RAs 0·49, 0·30–0·80; phet=0·0005). Gastroprotectant drugs were effective in preventing bleeding irrespective of the u…","author":[{"dropping-particle":"","family":"Scally","given":"Benjamin","non-dropping-particle":"","parse-names":false,"suffix":""},{"dropping-particle":"","family":"Emberson","given":"Jonathan R.","non-dropping-particle":"","parse-names":false,"suffix":""},{"dropping-particle":"","family":"Spata","given":"Enti","non-dropping-particle":"","parse-names":false,"suffix":""},{"dropping-particle":"","family":"Reith","given":"Christina","non-dropping-particle":"","parse-names":false,"suffix":""},{"dropping-particle":"","family":"Davies","given":"Kelly","non-dropping-particle":"","parse-names":false,"suffix":""},{"dropping-particle":"","family":"Halls","given":"Heather","non-dropping-particle":"","parse-names":false,"suffix":""},{"dropping-particle":"","family":"Holland","given":"Lisa","non-dropping-particle":"","parse-names":false,"suffix":""},{"dropping-particle":"","family":"Wilson","given":"Kate","non-dropping-particle":"","parse-names":false,"suffix":""},{"dropping-particle":"","family":"Bhala","given":"Neeraj","non-dropping-particle":"","parse-names":false,"suffix":""},{"dropping-particle":"","family":"Hawkey","given":"Christopher","non-dropping-particle":"","parse-names":false,"suffix":""},{"dropping-particle":"","family":"Hochberg","given":"Marc","non-dropping-particle":"","parse-names":false,"suffix":""},{"dropping-particle":"","family":"Hunt","given":"Richard","non-dropping-particle":"","parse-names":false,"suffix":""},{"dropping-particle":"","family":"Laine","given":"Loren","non-dropping-particle":"","parse-names":false,"suffix":""},{"dropping-particle":"","family":"Lanas","given":"Angel","non-dropping-particle":"","parse-names":false,"suffix":""},{"dropping-particle":"","family":"Patrono","given":"Carlo","non-dropping-particle":"","parse-names":false,"suffix":""},{"dropping-particle":"","family":"Baigent","given":"Colin","non-dropping-particle":"","parse-names":false,"suffix":""}],"container-title":"The Lancet Gastroenterology and Hepatology","id":"ITEM-2","issue":"4","issued":{"date-parts":[["2018","4","1"]]},"page":"231-241","publisher":"Elsevier Ltd","title":"Effects of gastroprotectant drugs for the prevention and treatment of peptic ulcer disease and its complications: a meta-analysis of randomised trials","type":"article-journal","volume":"3"},"uris":["http://www.mendeley.com/documents/?uuid=f1962b3a-e3e6-3474-95a8-4fc5245efa04"]}],"mendeley":{"formattedCitation":"[145,146]","plainTextFormattedCitation":"[145,146]","previouslyFormattedCitation":"[145,146]"},"properties":{"noteIndex":0},"schema":"https://github.com/citation-style-language/schema/raw/master/csl-citation.json"}</w:instrText>
      </w:r>
      <w:r w:rsidRPr="00E8072E">
        <w:rPr>
          <w:i/>
          <w:iCs/>
        </w:rPr>
        <w:fldChar w:fldCharType="separate"/>
      </w:r>
      <w:r w:rsidR="009D170B" w:rsidRPr="009D170B">
        <w:rPr>
          <w:iCs/>
          <w:noProof/>
        </w:rPr>
        <w:t>[145,146]</w:t>
      </w:r>
      <w:r w:rsidRPr="00E8072E">
        <w:rPr>
          <w:i/>
          <w:iCs/>
        </w:rPr>
        <w:fldChar w:fldCharType="end"/>
      </w:r>
      <w:r w:rsidRPr="00E8072E">
        <w:rPr>
          <w:i/>
          <w:iCs/>
        </w:rPr>
        <w:t>.</w:t>
      </w:r>
    </w:p>
    <w:p w14:paraId="1453A82C" w14:textId="6E2505BB" w:rsidR="00D75478" w:rsidRPr="001071EC" w:rsidRDefault="00D75478" w:rsidP="00021E2A">
      <w:pPr>
        <w:pStyle w:val="a"/>
        <w:spacing w:before="0"/>
        <w:ind w:left="709"/>
        <w:rPr>
          <w:bCs/>
        </w:rPr>
      </w:pPr>
      <w:r>
        <w:t>П</w:t>
      </w:r>
      <w:r w:rsidRPr="000322E4">
        <w:t xml:space="preserve">ациентам </w:t>
      </w:r>
      <w:r w:rsidRPr="000322E4">
        <w:rPr>
          <w:lang w:val="en-US"/>
        </w:rPr>
        <w:t>c</w:t>
      </w:r>
      <w:r w:rsidR="00163AA0">
        <w:t xml:space="preserve"> ДВКЛ, ПМВКЛ,</w:t>
      </w:r>
      <w:r w:rsidRPr="000322E4">
        <w:t xml:space="preserve"> ЛБ, получающим противоопухолевую химио- или лучевую терапию, </w:t>
      </w:r>
      <w:r w:rsidRPr="000322E4">
        <w:rPr>
          <w:b/>
        </w:rPr>
        <w:t xml:space="preserve">рекомендована </w:t>
      </w:r>
      <w:r w:rsidRPr="001071EC">
        <w:rPr>
          <w:bCs/>
        </w:rPr>
        <w:t xml:space="preserve">для профилактики тошноты и рвоты рекомендуется применение противорвотных препаратов (блокаторы 5-НТ3 серотониновых рецепторов, антагонистами NK-1 рецепторов), дексаметазона, стимуляторов моторики желудочно-кишечного тракта (метоклопрамид), анксиолитиков, антипсихотических препаратов, ингибиторов протонной помпы, блокаторов Н2 гистаминовых рецепторов </w:t>
      </w:r>
      <w:r>
        <w:rPr>
          <w:bCs/>
        </w:rPr>
        <w:fldChar w:fldCharType="begin" w:fldLock="1"/>
      </w:r>
      <w:r w:rsidR="00021E2A">
        <w:rPr>
          <w:bCs/>
        </w:rPr>
        <w:instrText>ADDIN CSL_CITATION {"citationItems":[{"id":"ITEM-1","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онкологии.","id":"ITEM-1","issued":{"date-parts":[["2018"]]},"page":"502-511","title":"Практические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больных","type":"chapter"},"uris":["http://www.mendeley.com/documents/?uuid=78a86b9f-7e15-4d77-b54b-a16387fd5e97"]},{"id":"ITEM-2","itemData":{"DOI":"10.1016/J.SUPONC.2011.05.002","ISSN":"1544-6794","PMID":"22024310","abstract":"Background: The purpose of the study was to compare the effectiveness of olanzapine (OLN) and aprepitant (APR) for the prevention of chemotherapy-induced nausea and vomiting (CINV) in patients receiving highly emetogenic chemotherapy. Methods: A phase III trial was performed in chemotherapy-naive patients receiving cisplatin ≥70 mg/m 2 or cyclophosphamide ≥500 mg/m 2 and doxorubicin ≥50 mg/m 2, comparing OLN to APR in combination with palonosetron (PAL) and dexamethasone (DEX). The OLN, PAL, DEX (OPD) regimen was 10 mg of oral OLN, 0.25 mg of IV PAL, and 20 mg of IV DEX prechemotherapy, day 1, and 10 mg/day of oral OLN alone on days 2-4 postchemotherapy. The APR, PAL, DEX (APD) regimen was 125 mg of oral APR, 0.25 mg of IV PAL, and 12 mg of IV DEX, day 1, and 80 mg of oral APR, days 2 and 3, and 4 mg of DEX BID, days 2-4. Two hundred fifty-one patients consented to the protocol and were randomized. Two hundred forty-one patients were evaluable. Results: Complete response (CR) (no emesis, no rescue) was 97% for the acute period (24 hours postchemotherapy), 77% for the delayed period (days 2-5 postchemotherapy), and 77% for the overall period (0-120 hours) for 121 patients receiving the OPD regimen. CR was 87% for the acute period, 73% for the delayed period, and 73% for the overall period in 120 patients receiving the APD regimen. Patients without nausea (0, scale 0-10, MD Anderson Symptom Inventory) were OPD: 87% acute, 69% delayed, and 69% overall; APD: 87% acute, 38% delayed, and 38% overall. There were no grade 3 or 4 toxicities. CR and control of nausea in subsequent chemotherapy cycles were equal to or greater than cycle 1 for both regimens. OPD was comparable to APD in the control of CINV. Nausea was better controlled with OPD. Discussion: In this study, OLN combined with a single dose of DEX and a single dose of PAL was very effective at controlling acute and delayed CINV in patients receiving highly emetogenic chemotherapy. CR rates were not significantly different from a similar group of patients receiving highly emetogenic chemotherapy and an antiemetic regimen consisting of APR, PAL, and DEX. © 2011 Elsevier Inc.","author":[{"dropping-particle":"","family":"Navari","given":"Rudolph M.","non-dropping-particle":"","parse-names":false,"suffix":""},{"dropping-particle":"","family":"Gray","given":"Sarah E.","non-dropping-particle":"","parse-names":false,"suffix":""},{"dropping-particle":"","family":"Kerr","given":"Andrew C.","non-dropping-particle":"","parse-names":false,"suffix":""}],"container-title":"The journal of supportive oncology","id":"ITEM-2","issue":"5","issued":{"date-parts":[["2011","9"]]},"page":"188-195","publisher":"J Support Oncol","title":"Olanzapine versus aprepitant for the prevention of chemotherapy-induced nausea and vomiting: a randomized phase III trial","type":"article-journal","volume":"9"},"uris":["http://www.mendeley.com/documents/?uuid=81bd1ac1-c314-39c6-970d-d293df131ee7"]},{"id":"ITEM-3","itemData":{"DOI":"10.1056/nejmra1515442","ISSN":"0028-4793","PMID":"27050207","abstract":"One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Medicine","id":"ITEM-3","issue":"14","issued":{"date-parts":[["2016","4","7"]]},"page":"1356-1367","publisher":"New England Journal of Medicine (NEJM/MMS)","title":"Antiemetic Prophylaxis for Chemotherapy-Induced Nausea and Vomiting","type":"article-journal","volume":"374"},"uris":["http://www.mendeley.com/documents/?uuid=29ca644e-1c2a-3fa9-8d3e-90c52d8c3c4f"]}],"mendeley":{"formattedCitation":"[147–149]","plainTextFormattedCitation":"[147–149]","previouslyFormattedCitation":"[147–149]"},"properties":{"noteIndex":0},"schema":"https://github.com/citation-style-language/schema/raw/master/csl-citation.json"}</w:instrText>
      </w:r>
      <w:r>
        <w:rPr>
          <w:bCs/>
        </w:rPr>
        <w:fldChar w:fldCharType="separate"/>
      </w:r>
      <w:r w:rsidR="009D170B" w:rsidRPr="009D170B">
        <w:rPr>
          <w:bCs/>
          <w:noProof/>
        </w:rPr>
        <w:t>[147–149]</w:t>
      </w:r>
      <w:r>
        <w:rPr>
          <w:bCs/>
        </w:rPr>
        <w:fldChar w:fldCharType="end"/>
      </w:r>
      <w:r w:rsidRPr="001071EC">
        <w:rPr>
          <w:bCs/>
        </w:rPr>
        <w:t>.</w:t>
      </w:r>
    </w:p>
    <w:p w14:paraId="68676D15" w14:textId="77777777" w:rsidR="00D75478" w:rsidRDefault="00D75478" w:rsidP="00D75478">
      <w:pPr>
        <w:spacing w:line="360" w:lineRule="auto"/>
        <w:ind w:left="709"/>
        <w:contextualSpacing/>
        <w:jc w:val="both"/>
        <w:rPr>
          <w:b/>
        </w:rPr>
      </w:pPr>
      <w:r w:rsidRPr="001071EC">
        <w:rPr>
          <w:b/>
        </w:rPr>
        <w:t xml:space="preserve">Уровень убедительности рекомендаций </w:t>
      </w:r>
      <w:r>
        <w:rPr>
          <w:b/>
          <w:lang w:val="en-US"/>
        </w:rPr>
        <w:t>C</w:t>
      </w:r>
      <w:r w:rsidRPr="001071EC">
        <w:rPr>
          <w:b/>
        </w:rPr>
        <w:t xml:space="preserve"> (уровень достоверности доказательств – 5)</w:t>
      </w:r>
    </w:p>
    <w:p w14:paraId="62D0BB4F" w14:textId="77777777" w:rsidR="00D75478" w:rsidRPr="001071EC" w:rsidRDefault="00D75478" w:rsidP="00021E2A">
      <w:pPr>
        <w:spacing w:line="360" w:lineRule="auto"/>
        <w:ind w:firstLine="709"/>
        <w:contextualSpacing/>
        <w:jc w:val="both"/>
        <w:rPr>
          <w:b/>
        </w:rPr>
      </w:pPr>
      <w:r w:rsidRPr="001071EC">
        <w:rPr>
          <w:b/>
        </w:rPr>
        <w:t xml:space="preserve">Комментарии: </w:t>
      </w:r>
      <w:r w:rsidRPr="001071EC">
        <w:rPr>
          <w:bCs/>
          <w:i/>
          <w:iCs/>
        </w:rPr>
        <w:t>выбор метода профилактики тошноты и рвоты определяется эметогенностью режима терапии, индивидуальным порогом тошноты и рвоты, сопутствующими заболеваниями.</w:t>
      </w:r>
      <w:r w:rsidRPr="001071EC">
        <w:rPr>
          <w:b/>
        </w:rPr>
        <w:t xml:space="preserve"> </w:t>
      </w:r>
    </w:p>
    <w:p w14:paraId="02D685E9" w14:textId="5D3EE33C" w:rsidR="009513DB" w:rsidRPr="000322E4" w:rsidRDefault="00D75478" w:rsidP="00021E2A">
      <w:pPr>
        <w:pStyle w:val="a"/>
        <w:spacing w:before="0"/>
        <w:ind w:left="709" w:hanging="357"/>
      </w:pPr>
      <w:r>
        <w:t>П</w:t>
      </w:r>
      <w:r w:rsidR="009513DB" w:rsidRPr="000322E4">
        <w:t xml:space="preserve">ациентам </w:t>
      </w:r>
      <w:r w:rsidR="009513DB" w:rsidRPr="009513DB">
        <w:rPr>
          <w:lang w:val="en-US"/>
        </w:rPr>
        <w:t>c</w:t>
      </w:r>
      <w:r w:rsidR="00163AA0">
        <w:t xml:space="preserve"> ДВКЛ, ПМВКЛ,</w:t>
      </w:r>
      <w:r w:rsidR="009513DB" w:rsidRPr="000322E4">
        <w:t xml:space="preserve"> ЛБ </w:t>
      </w:r>
      <w:r w:rsidR="009513DB" w:rsidRPr="009513DB">
        <w:t xml:space="preserve">при проведении курсов химиоиммунотерапии с высоким риском фебрильной нейтропении, превышающем 20% </w:t>
      </w:r>
      <w:r w:rsidR="00C2696C">
        <w:t xml:space="preserve">(режимы R-CHOP, DA-R-EPOCH, R-Hyper-CVAD, DHAP, ESHAP, ICE, GDP, MINE), </w:t>
      </w:r>
      <w:r w:rsidR="009513DB" w:rsidRPr="009513DB">
        <w:t>или с промежуточным риском ФН 10-20% с наличием факторов риска</w:t>
      </w:r>
      <w:r w:rsidR="00C2696C">
        <w:t xml:space="preserve"> </w:t>
      </w:r>
      <w:r w:rsidR="00C2696C" w:rsidRPr="00C2696C">
        <w:t xml:space="preserve">(возраст ˃ 65 лет; тяжелые сопутствующие заболевания; почечная, печеночная недостаточность; гемоглобин менее 12 </w:t>
      </w:r>
      <w:r w:rsidR="00C2696C" w:rsidRPr="00C2696C">
        <w:lastRenderedPageBreak/>
        <w:t>г/дл; недостаточное питание; длительная нейтропения или ФН в анамнезе; отсутствие антимикробной профилактики; ECOG ≥2; открытые раны или раневая инфекция; недавние обширные хирургические вмешательства; женский пол; химиолучевая терапия; цитопения вследствие опухолевого поражения костного мозга; ВИЧ инфекция)</w:t>
      </w:r>
      <w:r w:rsidR="009513DB" w:rsidRPr="009513DB">
        <w:t xml:space="preserve"> </w:t>
      </w:r>
      <w:r w:rsidR="009513DB" w:rsidRPr="009513DB">
        <w:rPr>
          <w:b/>
          <w:bCs/>
        </w:rPr>
        <w:t>рекомендована</w:t>
      </w:r>
      <w:r w:rsidR="009513DB" w:rsidRPr="009513DB">
        <w:t xml:space="preserve"> первичная профилактика фебрильной нейтропении препаратами Г-КСФ группы L03AA по ATX классификации</w:t>
      </w:r>
      <w:r w:rsidR="009513DB" w:rsidRPr="000322E4">
        <w:t xml:space="preserve"> </w:t>
      </w:r>
      <w:r w:rsidR="009513DB" w:rsidRPr="000322E4">
        <w:fldChar w:fldCharType="begin" w:fldLock="1"/>
      </w:r>
      <w:r w:rsidR="00021E2A">
        <w:instrText>ADDIN CSL_CITATION {"citationItems":[{"id":"ITEM-1","itemData":{"author":[{"dropping-particle":"","family":"Roy","given":"Vivek","non-dropping-particle":"","parse-names":false,"suffix":""},{"dropping-particle":"","family":"Chair","given":"Vice","non-dropping-particle":"","parse-names":false,"suffix":""},{"dropping-particle":"","family":"Alwan","given":"Laura","non-dropping-particle":"","parse-names":false,"suffix":""},{"dropping-particle":"","family":"Bachiashvili","given":"Kimo","non-dropping-particle":"","parse-names":false,"suffix":""},{"dropping-particle":"","family":"Baird","given":"John","non-dropping-particle":"","parse-names":false,"suffix":""},{"dropping-particle":"","family":"Cool","given":"Rita","non-dropping-particle":"","parse-names":false,"suffix":""},{"dropping-particle":"","family":"Dinner","given":"Shira","non-dropping-particle":"","parse-names":false,"suffix":""},{"dropping-particle":"","family":"Lurie","given":"Robert H","non-dropping-particle":"","parse-names":false,"suffix":""},{"dropping-particle":"","family":"Geyer","given":"Mark","non-dropping-particle":"","parse-names":false,"suffix":""},{"dropping-particle":"","family":"Glaspy","given":"John","non-dropping-particle":"","parse-names":false,"suffix":""},{"dropping-particle":"","family":"Gojo","given":"Ivana","non-dropping-particle":"","parse-names":false,"suffix":""},{"dropping-particle":"","family":"Hicks","given":"Ashley","non-dropping-particle":"","parse-names":false,"suffix":""},{"dropping-particle":"","family":"Kallam","given":"Avyakta","non-dropping-particle":"","parse-names":false,"suffix":""},{"dropping-particle":"","family":"Fred","given":"Þ","non-dropping-particle":"","parse-names":false,"suffix":""},{"dropping-particle":"","family":"Buffett Cancer Center Wajih Zaheer Kidwai","given":"Pamela","non-dropping-particle":"","parse-names":false,"suffix":""},{"dropping-particle":"","family":"Kloth","given":"Dwight D","non-dropping-particle":"","parse-names":false,"suffix":""},{"dropping-particle":"","family":"Kraut","given":"Eric H","non-dropping-particle":"","parse-names":false,"suffix":""},{"dropping-particle":"","family":"Landsburg","given":"Daniel","non-dropping-particle":"","parse-names":false,"suffix":""},{"dropping-particle":"","family":"Lyman","given":"Gary H","non-dropping-particle":"","parse-names":false,"suffix":""},{"dropping-particle":"","family":"Mahajan","given":"Anjlee","non-dropping-particle":"","parse-names":false,"suffix":""},{"dropping-particle":"","family":"Miller","given":"Ryan","non-dropping-particle":"","parse-names":false,"suffix":""},{"dropping-particle":"","family":"Nachar","given":"Victoria","non-dropping-particle":"","parse-names":false,"suffix":""},{"dropping-particle":"","family":"Patel","given":"Seema","non-dropping-particle":"","parse-names":false,"suffix":""},{"dropping-particle":"","family":"Patel","given":"Shiven","non-dropping-particle":"","parse-names":false,"suffix":""},{"dropping-particle":"","family":"Perez","given":"Lia E","non-dropping-particle":"","parse-names":false,"suffix":""},{"dropping-particle":"","family":"Poust","given":"Adam","non-dropping-particle":"","parse-names":false,"suffix":""},{"dropping-particle":"","family":"Riaz","given":"Fauzia","non-dropping-particle":"","parse-names":false,"suffix":""},{"dropping-particle":"","family":"Rosovsky","given":"Rachel","non-dropping-particle":"","parse-names":false,"suffix":""},{"dropping-particle":"","family":"Rugo","given":"Hope S","non-dropping-particle":"","parse-names":false,"suffix":""},{"dropping-particle":"","family":"Simon","given":"Shayna","non-dropping-particle":"","parse-names":false,"suffix":""},{"dropping-particle":"","family":"Vasu","given":"Sumithira","non-dropping-particle":"","parse-names":false,"suffix":""},{"dropping-particle":"","family":"Wadleigh","given":"Martha","non-dropping-particle":"","parse-names":false,"suffix":""},{"dropping-particle":"","family":"Westbrook","given":"Kelly","non-dropping-particle":"","parse-names":false,"suffix":""},{"dropping-particle":"","family":"Westervelt","given":"Peter","non-dropping-particle":"","parse-names":false,"suffix":""},{"dropping-particle":"","family":"Ryan Berardi","given":"NCCN","non-dropping-particle":"","parse-names":false,"suffix":""},{"dropping-particle":"","family":"Pluchino","given":"Lenora","non-dropping-particle":"","parse-names":false,"suffix":""}],"id":"ITEM-1","issued":{"date-parts":[["2022"]]},"title":"Hematopoietic Growth Factors. NCCN Guidelines. Ver 1.2022","type":"article-journal"},"uris":["http://www.mendeley.com/documents/?uuid=903dad7a-7a53-3672-82e0-4ac0336a89c4"]}],"mendeley":{"formattedCitation":"[150]","plainTextFormattedCitation":"[150]","previouslyFormattedCitation":"[150]"},"properties":{"noteIndex":0},"schema":"https://github.com/citation-style-language/schema/raw/master/csl-citation.json"}</w:instrText>
      </w:r>
      <w:r w:rsidR="009513DB" w:rsidRPr="000322E4">
        <w:fldChar w:fldCharType="separate"/>
      </w:r>
      <w:r w:rsidR="009D170B" w:rsidRPr="009D170B">
        <w:rPr>
          <w:noProof/>
        </w:rPr>
        <w:t>[150]</w:t>
      </w:r>
      <w:r w:rsidR="009513DB" w:rsidRPr="000322E4">
        <w:fldChar w:fldCharType="end"/>
      </w:r>
    </w:p>
    <w:p w14:paraId="42EB8C4D" w14:textId="61723D30" w:rsidR="00C2696C" w:rsidRDefault="00C2696C" w:rsidP="009513DB">
      <w:pPr>
        <w:spacing w:line="360" w:lineRule="auto"/>
        <w:ind w:left="709"/>
        <w:contextualSpacing/>
        <w:jc w:val="both"/>
        <w:rPr>
          <w:b/>
        </w:rPr>
      </w:pPr>
      <w:r w:rsidRPr="000322E4">
        <w:rPr>
          <w:b/>
        </w:rPr>
        <w:t>Уровень убедительности рекомендаций С (уровень достоверности доказательств 5).</w:t>
      </w:r>
    </w:p>
    <w:p w14:paraId="197EEBB7" w14:textId="350A8F5F" w:rsidR="009513DB" w:rsidRDefault="009513DB" w:rsidP="00021E2A">
      <w:pPr>
        <w:spacing w:line="360" w:lineRule="auto"/>
        <w:ind w:firstLine="709"/>
        <w:contextualSpacing/>
        <w:jc w:val="both"/>
        <w:rPr>
          <w:b/>
        </w:rPr>
      </w:pPr>
      <w:r w:rsidRPr="000322E4">
        <w:rPr>
          <w:b/>
        </w:rPr>
        <w:t>Комментарии:</w:t>
      </w:r>
      <w:r>
        <w:t xml:space="preserve"> </w:t>
      </w:r>
      <w:r w:rsidRPr="009513DB">
        <w:rPr>
          <w:i/>
          <w:iCs/>
        </w:rPr>
        <w:t>профилактическое назначение гранулоцитарного</w:t>
      </w:r>
      <w:r>
        <w:rPr>
          <w:i/>
          <w:iCs/>
        </w:rPr>
        <w:t xml:space="preserve"> </w:t>
      </w:r>
      <w:r w:rsidRPr="009513DB">
        <w:rPr>
          <w:i/>
          <w:iCs/>
        </w:rPr>
        <w:t>колониестимулирующего фактора (Г-КСФ): филграстим 5</w:t>
      </w:r>
      <w:r w:rsidR="00D714AB" w:rsidRPr="00D714AB">
        <w:rPr>
          <w:i/>
          <w:iCs/>
        </w:rPr>
        <w:t xml:space="preserve"> </w:t>
      </w:r>
      <w:r w:rsidRPr="009513DB">
        <w:rPr>
          <w:i/>
          <w:iCs/>
        </w:rPr>
        <w:t>мкг/кг подкожно (п/к) через 24-72 часа после окончания введенияхимиопрепаратов и до восстановления нормального числанейтрофилов после надира или пэгфилграстим в дозе 6 мг или эмпэгфилграстим в дозе 7,5 мг подкожно, однократно, не менее чем через 24 часа после окончания введения химиопрепаратов в соответствии с инструкцией по медицинскому применению с целью предупреждения развития и лечения нейтропении, вызванной цитотоксической химиотерапией опухолей.</w:t>
      </w:r>
    </w:p>
    <w:p w14:paraId="78AB0326" w14:textId="1B829512" w:rsidR="00D714AB" w:rsidRPr="000322E4" w:rsidRDefault="00D75478" w:rsidP="00021E2A">
      <w:pPr>
        <w:pStyle w:val="a"/>
        <w:spacing w:before="0"/>
        <w:ind w:left="709"/>
      </w:pPr>
      <w:r>
        <w:t>П</w:t>
      </w:r>
      <w:r w:rsidR="00D714AB" w:rsidRPr="000322E4">
        <w:t xml:space="preserve">ациентам </w:t>
      </w:r>
      <w:r w:rsidR="00D714AB" w:rsidRPr="009513DB">
        <w:rPr>
          <w:lang w:val="en-US"/>
        </w:rPr>
        <w:t>c</w:t>
      </w:r>
      <w:r w:rsidR="00163AA0">
        <w:t xml:space="preserve"> ДВКЛ, ПМВКЛ,</w:t>
      </w:r>
      <w:r w:rsidR="00D714AB" w:rsidRPr="000322E4">
        <w:t xml:space="preserve"> ЛБ </w:t>
      </w:r>
      <w:r w:rsidR="00D714AB" w:rsidRPr="00D714AB">
        <w:t xml:space="preserve">после зафиксированного ранее эпизода ФН, дозолимитирующей афебрильной нейтропении (после единственного эпизода удлинения интервалов между курсами и/или редукции дозы) </w:t>
      </w:r>
      <w:r w:rsidR="00D714AB" w:rsidRPr="00D714AB">
        <w:rPr>
          <w:b/>
          <w:bCs/>
        </w:rPr>
        <w:t>рекомендована</w:t>
      </w:r>
      <w:r w:rsidR="00D714AB" w:rsidRPr="00D714AB">
        <w:t xml:space="preserve"> вторичная профилактика фебрильной нейтропении препаратами Г-КСФ группы L03AA по ATX классификации</w:t>
      </w:r>
      <w:r w:rsidR="00D714AB" w:rsidRPr="000322E4">
        <w:t xml:space="preserve"> </w:t>
      </w:r>
      <w:r w:rsidR="00D714AB" w:rsidRPr="000322E4">
        <w:fldChar w:fldCharType="begin" w:fldLock="1"/>
      </w:r>
      <w:r w:rsidR="00021E2A">
        <w:instrText>ADDIN CSL_CITATION {"citationItems":[{"id":"ITEM-1","itemData":{"author":[{"dropping-particle":"","family":"Roy","given":"Vivek","non-dropping-particle":"","parse-names":false,"suffix":""},{"dropping-particle":"","family":"Chair","given":"Vice","non-dropping-particle":"","parse-names":false,"suffix":""},{"dropping-particle":"","family":"Alwan","given":"Laura","non-dropping-particle":"","parse-names":false,"suffix":""},{"dropping-particle":"","family":"Bachiashvili","given":"Kimo","non-dropping-particle":"","parse-names":false,"suffix":""},{"dropping-particle":"","family":"Baird","given":"John","non-dropping-particle":"","parse-names":false,"suffix":""},{"dropping-particle":"","family":"Cool","given":"Rita","non-dropping-particle":"","parse-names":false,"suffix":""},{"dropping-particle":"","family":"Dinner","given":"Shira","non-dropping-particle":"","parse-names":false,"suffix":""},{"dropping-particle":"","family":"Lurie","given":"Robert H","non-dropping-particle":"","parse-names":false,"suffix":""},{"dropping-particle":"","family":"Geyer","given":"Mark","non-dropping-particle":"","parse-names":false,"suffix":""},{"dropping-particle":"","family":"Glaspy","given":"John","non-dropping-particle":"","parse-names":false,"suffix":""},{"dropping-particle":"","family":"Gojo","given":"Ivana","non-dropping-particle":"","parse-names":false,"suffix":""},{"dropping-particle":"","family":"Hicks","given":"Ashley","non-dropping-particle":"","parse-names":false,"suffix":""},{"dropping-particle":"","family":"Kallam","given":"Avyakta","non-dropping-particle":"","parse-names":false,"suffix":""},{"dropping-particle":"","family":"Fred","given":"Þ","non-dropping-particle":"","parse-names":false,"suffix":""},{"dropping-particle":"","family":"Buffett Cancer Center Wajih Zaheer Kidwai","given":"Pamela","non-dropping-particle":"","parse-names":false,"suffix":""},{"dropping-particle":"","family":"Kloth","given":"Dwight D","non-dropping-particle":"","parse-names":false,"suffix":""},{"dropping-particle":"","family":"Kraut","given":"Eric H","non-dropping-particle":"","parse-names":false,"suffix":""},{"dropping-particle":"","family":"Landsburg","given":"Daniel","non-dropping-particle":"","parse-names":false,"suffix":""},{"dropping-particle":"","family":"Lyman","given":"Gary H","non-dropping-particle":"","parse-names":false,"suffix":""},{"dropping-particle":"","family":"Mahajan","given":"Anjlee","non-dropping-particle":"","parse-names":false,"suffix":""},{"dropping-particle":"","family":"Miller","given":"Ryan","non-dropping-particle":"","parse-names":false,"suffix":""},{"dropping-particle":"","family":"Nachar","given":"Victoria","non-dropping-particle":"","parse-names":false,"suffix":""},{"dropping-particle":"","family":"Patel","given":"Seema","non-dropping-particle":"","parse-names":false,"suffix":""},{"dropping-particle":"","family":"Patel","given":"Shiven","non-dropping-particle":"","parse-names":false,"suffix":""},{"dropping-particle":"","family":"Perez","given":"Lia E","non-dropping-particle":"","parse-names":false,"suffix":""},{"dropping-particle":"","family":"Poust","given":"Adam","non-dropping-particle":"","parse-names":false,"suffix":""},{"dropping-particle":"","family":"Riaz","given":"Fauzia","non-dropping-particle":"","parse-names":false,"suffix":""},{"dropping-particle":"","family":"Rosovsky","given":"Rachel","non-dropping-particle":"","parse-names":false,"suffix":""},{"dropping-particle":"","family":"Rugo","given":"Hope S","non-dropping-particle":"","parse-names":false,"suffix":""},{"dropping-particle":"","family":"Simon","given":"Shayna","non-dropping-particle":"","parse-names":false,"suffix":""},{"dropping-particle":"","family":"Vasu","given":"Sumithira","non-dropping-particle":"","parse-names":false,"suffix":""},{"dropping-particle":"","family":"Wadleigh","given":"Martha","non-dropping-particle":"","parse-names":false,"suffix":""},{"dropping-particle":"","family":"Westbrook","given":"Kelly","non-dropping-particle":"","parse-names":false,"suffix":""},{"dropping-particle":"","family":"Westervelt","given":"Peter","non-dropping-particle":"","parse-names":false,"suffix":""},{"dropping-particle":"","family":"Ryan Berardi","given":"NCCN","non-dropping-particle":"","parse-names":false,"suffix":""},{"dropping-particle":"","family":"Pluchino","given":"Lenora","non-dropping-particle":"","parse-names":false,"suffix":""}],"id":"ITEM-1","issued":{"date-parts":[["2022"]]},"title":"Hematopoietic Growth Factors. NCCN Guidelines. Ver 1.2022","type":"article-journal"},"uris":["http://www.mendeley.com/documents/?uuid=903dad7a-7a53-3672-82e0-4ac0336a89c4"]}],"mendeley":{"formattedCitation":"[150]","plainTextFormattedCitation":"[150]","previouslyFormattedCitation":"[150]"},"properties":{"noteIndex":0},"schema":"https://github.com/citation-style-language/schema/raw/master/csl-citation.json"}</w:instrText>
      </w:r>
      <w:r w:rsidR="00D714AB" w:rsidRPr="000322E4">
        <w:fldChar w:fldCharType="separate"/>
      </w:r>
      <w:r w:rsidR="009D170B" w:rsidRPr="009D170B">
        <w:rPr>
          <w:noProof/>
        </w:rPr>
        <w:t>[150]</w:t>
      </w:r>
      <w:r w:rsidR="00D714AB" w:rsidRPr="000322E4">
        <w:fldChar w:fldCharType="end"/>
      </w:r>
    </w:p>
    <w:p w14:paraId="53A4B18E" w14:textId="77777777" w:rsidR="00D714AB" w:rsidRDefault="00D714AB" w:rsidP="00D714AB">
      <w:pPr>
        <w:spacing w:line="360" w:lineRule="auto"/>
        <w:ind w:left="709"/>
        <w:contextualSpacing/>
        <w:jc w:val="both"/>
        <w:rPr>
          <w:b/>
        </w:rPr>
      </w:pPr>
      <w:r w:rsidRPr="000322E4">
        <w:rPr>
          <w:b/>
        </w:rPr>
        <w:t>Уровень убедительности рекомендаций С (уровень достоверности доказательств 5).</w:t>
      </w:r>
    </w:p>
    <w:p w14:paraId="7ADBE47A" w14:textId="35B38C18" w:rsidR="009513DB" w:rsidRPr="00C2696C" w:rsidRDefault="00D714AB" w:rsidP="00021E2A">
      <w:pPr>
        <w:spacing w:line="360" w:lineRule="auto"/>
        <w:ind w:firstLine="709"/>
        <w:contextualSpacing/>
        <w:jc w:val="both"/>
        <w:rPr>
          <w:b/>
        </w:rPr>
      </w:pPr>
      <w:r w:rsidRPr="000322E4">
        <w:rPr>
          <w:b/>
        </w:rPr>
        <w:t>Комментарии:</w:t>
      </w:r>
      <w:r>
        <w:t xml:space="preserve"> </w:t>
      </w:r>
      <w:r w:rsidRPr="00D714AB">
        <w:rPr>
          <w:i/>
          <w:iCs/>
        </w:rPr>
        <w:t>профилактическое назначение гранулоцитарного колониестимулирующего фактора (Г-КСФ): филграстим 5 мкг/кг подкожно (п/к) через 24-72 часа после окончания введенияхимиопрепаратов и до восстановления нормального числанейтрофилов после надира или пэгфилграстим в дозе 6 мг или эмпэгфилграстим в дозе 7,5 мг подкожно, однократно, неменее чем через 24 часа после окончания введения химиопрепаратов в соответствии с инструкцией по медицинскому применению с целью предупреждения развития и лечения нейтропении, вызванной цитотоксической химиотерапией опухолей</w:t>
      </w:r>
      <w:r w:rsidR="0044108E">
        <w:rPr>
          <w:i/>
          <w:iCs/>
        </w:rPr>
        <w:t>.</w:t>
      </w:r>
    </w:p>
    <w:p w14:paraId="5F4A5E1A" w14:textId="03721DC4" w:rsidR="001F280A" w:rsidRPr="00320416" w:rsidRDefault="001F280A" w:rsidP="00320416">
      <w:pPr>
        <w:pStyle w:val="a"/>
        <w:spacing w:before="0"/>
        <w:ind w:left="709" w:hanging="357"/>
        <w:rPr>
          <w:i/>
          <w:color w:val="000000" w:themeColor="text1"/>
        </w:rPr>
      </w:pPr>
      <w:r w:rsidRPr="00320416">
        <w:rPr>
          <w:color w:val="000000" w:themeColor="text1"/>
        </w:rPr>
        <w:t xml:space="preserve">Пациентам </w:t>
      </w:r>
      <w:r w:rsidRPr="00320416">
        <w:rPr>
          <w:color w:val="000000" w:themeColor="text1"/>
          <w:lang w:val="en-US"/>
        </w:rPr>
        <w:t>c</w:t>
      </w:r>
      <w:r w:rsidRPr="00320416">
        <w:rPr>
          <w:color w:val="000000" w:themeColor="text1"/>
        </w:rPr>
        <w:t xml:space="preserve"> ДВКЛ, ПМВКЛ, ЛБ </w:t>
      </w:r>
      <w:r w:rsidRPr="00320416">
        <w:rPr>
          <w:rStyle w:val="affc"/>
          <w:i w:val="0"/>
          <w:color w:val="000000" w:themeColor="text1"/>
        </w:rPr>
        <w:t xml:space="preserve">на фоне проведения химиотерапии и в мекурсовых интервалах </w:t>
      </w:r>
      <w:r w:rsidRPr="00320416">
        <w:rPr>
          <w:rStyle w:val="affc"/>
          <w:b/>
          <w:i w:val="0"/>
          <w:color w:val="000000" w:themeColor="text1"/>
        </w:rPr>
        <w:t>рекомендуется</w:t>
      </w:r>
      <w:r w:rsidRPr="00320416">
        <w:rPr>
          <w:rStyle w:val="affc"/>
          <w:i w:val="0"/>
          <w:color w:val="000000" w:themeColor="text1"/>
        </w:rPr>
        <w:t xml:space="preserve"> проведение профилактики пневмоцистной пневмонии</w:t>
      </w:r>
      <w:r w:rsidR="00320416" w:rsidRPr="00320416">
        <w:rPr>
          <w:rStyle w:val="affc"/>
          <w:i w:val="0"/>
          <w:color w:val="000000" w:themeColor="text1"/>
        </w:rPr>
        <w:t xml:space="preserve"> </w:t>
      </w:r>
      <w:r w:rsidR="00320416" w:rsidRPr="00320416">
        <w:rPr>
          <w:rStyle w:val="affc"/>
          <w:i w:val="0"/>
          <w:color w:val="000000" w:themeColor="text1"/>
        </w:rPr>
        <w:fldChar w:fldCharType="begin" w:fldLock="1"/>
      </w:r>
      <w:r w:rsidR="006E1902">
        <w:rPr>
          <w:rStyle w:val="affc"/>
          <w:i w:val="0"/>
          <w:color w:val="000000" w:themeColor="text1"/>
        </w:rPr>
        <w:instrText>ADDIN CSL_CITATION {"citationItems":[{"id":"ITEM-1","itemData":{"DOI":"10.1007/s00277-013-1698-0","ISSN":"09395555","abstract":"Bacterial infections are the most common cause for treatment-related mortality in patients with neutropenia after chemotherapy. Here, we discuss the use of antibacterial prophylaxis against bacteria and Pneumocystis pneumonia (PCP) in neutropenic cancer patients and offer guidance towards the choice of drug. A literature search was performed to screen all articles published between September 2000 and January 2012 on antibiotic prophylaxis in neutropenic cancer patients. The authors assembled original reports and meta-analysis from the literature and drew conclusions, which were discussed and approved in a consensus conference of the Infectious Disease Working Party of the German Society of Hematology and Oncology (AGIHO). Antibacterial prophylaxis has led to a reduction of febrile events and infections. A significant reduction of overall mortality could only be shown in a meta-analysis. Fluoroquinolones are preferred for antibacterial and trimethoprim-sulfamethoxazole for PCP prophylaxis. Due to serious concerns about an increase of resistant pathogens, only patients at high risk of severe infections should be considered for antibiotic prophylaxis. Risk factors of individual patients and local resistance patterns must be taken into account. Risk factors, choice of drug for antibacterial and PCP prophylaxis and concerns regarding the use of prophylactic antibiotics are discussed in the review. © 2013 The Author(s).","author":[{"dropping-particle":"","family":"Neumann","given":"S.","non-dropping-particle":"","parse-names":false,"suffix":""},{"dropping-particle":"","family":"Krause","given":"S. W.","non-dropping-particle":"","parse-names":false,"suffix":""},{"dropping-particle":"","family":"Maschmeyer","given":"G.","non-dropping-particle":"","parse-names":false,"suffix":""},{"dropping-particle":"","family":"Schiel","given":"X.","non-dropping-particle":"","parse-names":false,"suffix":""},{"dropping-particle":"","family":"Lilienfeld-Toal","given":"M.","non-dropping-particle":"Von","parse-names":false,"suffix":""}],"container-title":"Annals of Hematology","id":"ITEM-1","issue":"4","issued":{"date-parts":[["2013","4"]]},"page":"433-442","publisher":"Ann Hematol","title":"Primary prophylaxis of bacterial infections and Pneumocystis jirovecii pneumonia in patients with hematological malignancies and solid tumors: Guidelines of the Infectious Diseases Working Party (AGIHO) of the German Society of Hematology and Oncology (DG","type":"article","volume":"92"},"uris":["http://www.mendeley.com/documents/?uuid=300b3a3c-d6fd-4873-aabf-5d8646d68ed5"]}],"mendeley":{"formattedCitation":"[151]","plainTextFormattedCitation":"[151]","previouslyFormattedCitation":"[151]"},"properties":{"noteIndex":0},"schema":"https://github.com/citation-style-language/schema/raw/master/csl-citation.json"}</w:instrText>
      </w:r>
      <w:r w:rsidR="00320416" w:rsidRPr="00320416">
        <w:rPr>
          <w:rStyle w:val="affc"/>
          <w:i w:val="0"/>
          <w:color w:val="000000" w:themeColor="text1"/>
        </w:rPr>
        <w:fldChar w:fldCharType="separate"/>
      </w:r>
      <w:r w:rsidR="00320416" w:rsidRPr="00320416">
        <w:rPr>
          <w:rStyle w:val="affc"/>
          <w:i w:val="0"/>
          <w:noProof/>
          <w:color w:val="000000" w:themeColor="text1"/>
        </w:rPr>
        <w:t>[151]</w:t>
      </w:r>
      <w:r w:rsidR="00320416" w:rsidRPr="00320416">
        <w:rPr>
          <w:rStyle w:val="affc"/>
          <w:i w:val="0"/>
          <w:color w:val="000000" w:themeColor="text1"/>
        </w:rPr>
        <w:fldChar w:fldCharType="end"/>
      </w:r>
      <w:r w:rsidRPr="00320416">
        <w:rPr>
          <w:rStyle w:val="affc"/>
          <w:i w:val="0"/>
          <w:color w:val="000000" w:themeColor="text1"/>
        </w:rPr>
        <w:t>.</w:t>
      </w:r>
    </w:p>
    <w:p w14:paraId="4308F3BF" w14:textId="77777777" w:rsidR="001F280A" w:rsidRPr="00320416" w:rsidRDefault="001F280A" w:rsidP="00320416">
      <w:pPr>
        <w:pStyle w:val="afd"/>
        <w:ind w:left="709" w:firstLine="0"/>
        <w:contextualSpacing/>
        <w:rPr>
          <w:b/>
          <w:color w:val="000000" w:themeColor="text1"/>
        </w:rPr>
      </w:pPr>
      <w:r w:rsidRPr="00320416">
        <w:rPr>
          <w:b/>
          <w:color w:val="000000" w:themeColor="text1"/>
        </w:rPr>
        <w:lastRenderedPageBreak/>
        <w:t>Уровень убедительности рекомендаций С (уровень достоверности доказательств 5)</w:t>
      </w:r>
    </w:p>
    <w:p w14:paraId="497BBA3B" w14:textId="77777777" w:rsidR="001F280A" w:rsidRPr="00320416" w:rsidRDefault="001F280A" w:rsidP="00320416">
      <w:pPr>
        <w:spacing w:line="360" w:lineRule="auto"/>
        <w:ind w:right="49" w:firstLine="708"/>
        <w:contextualSpacing/>
        <w:jc w:val="both"/>
        <w:rPr>
          <w:i/>
          <w:iCs/>
          <w:color w:val="000000" w:themeColor="text1"/>
        </w:rPr>
      </w:pPr>
      <w:r w:rsidRPr="00320416">
        <w:rPr>
          <w:rStyle w:val="affc"/>
          <w:b/>
          <w:i w:val="0"/>
          <w:iCs w:val="0"/>
          <w:color w:val="000000" w:themeColor="text1"/>
        </w:rPr>
        <w:t>Комментарии:</w:t>
      </w:r>
      <w:r w:rsidRPr="00320416">
        <w:rPr>
          <w:color w:val="000000" w:themeColor="text1"/>
        </w:rPr>
        <w:t xml:space="preserve"> </w:t>
      </w:r>
      <w:r w:rsidRPr="00320416">
        <w:rPr>
          <w:i/>
          <w:iCs/>
          <w:color w:val="000000" w:themeColor="text1"/>
        </w:rPr>
        <w:t>препаратом выбора для профилактики пневмоцистной пневмонии является ко-тримоксазол [сульфаметоксазол+триметоприм]**,  назначают по 480 мг ежедневно. Использование ко-тримоксазола [сульфаметоксазол+триметоприм]** ежедневно одновременно предупреждает инфекции, вызываемые Toxoplasma gondii, Listeria monocytogenes, Nocardia asteroides. Пациенты, инфицированные Pneumocystis jirovecii, не должны находиться в одной палате с другими иммунокомпрометированными пациентами.</w:t>
      </w:r>
    </w:p>
    <w:p w14:paraId="4E821F84" w14:textId="40D511B3" w:rsidR="0044108E" w:rsidRPr="006E1902" w:rsidRDefault="0044108E" w:rsidP="006E1902">
      <w:pPr>
        <w:pStyle w:val="a"/>
        <w:spacing w:before="0"/>
        <w:ind w:left="709"/>
      </w:pPr>
      <w:r w:rsidRPr="006E1902">
        <w:rPr>
          <w:color w:val="000000" w:themeColor="text1"/>
        </w:rPr>
        <w:t xml:space="preserve">Пациентам </w:t>
      </w:r>
      <w:r w:rsidRPr="006E1902">
        <w:rPr>
          <w:color w:val="000000" w:themeColor="text1"/>
          <w:lang w:val="en-US"/>
        </w:rPr>
        <w:t>c</w:t>
      </w:r>
      <w:r w:rsidRPr="006E1902">
        <w:rPr>
          <w:color w:val="000000" w:themeColor="text1"/>
        </w:rPr>
        <w:t xml:space="preserve"> ДВКЛ, ПМВКЛ, ЛБ с планируемыми интенсивными режимами химиотерапии </w:t>
      </w:r>
      <w:r w:rsidRPr="006E1902">
        <w:rPr>
          <w:b/>
          <w:color w:val="000000" w:themeColor="text1"/>
        </w:rPr>
        <w:t>рекомендуется</w:t>
      </w:r>
      <w:r w:rsidRPr="006E1902">
        <w:rPr>
          <w:color w:val="000000" w:themeColor="text1"/>
        </w:rPr>
        <w:t xml:space="preserve"> устанавливать центральный венозный катетер для проведения ХТ и сопроводительной терапии</w:t>
      </w:r>
      <w:r w:rsidR="006E1902" w:rsidRPr="006E1902">
        <w:t xml:space="preserve"> (см. раздел 7.11) </w:t>
      </w:r>
      <w:r w:rsidR="006E1902" w:rsidRPr="006E1902">
        <w:fldChar w:fldCharType="begin" w:fldLock="1"/>
      </w:r>
      <w:r w:rsidR="00A6794A">
        <w:instrText>ADDIN CSL_CITATION {"citationItems":[{"id":"ITEM-1","itemData":{"abstract":"NTRODUCTION. SVCS results from compression of the superior vena cava. Lymphoma - one of the most frequent causes of the malignant SVCS.\r\nThe aim of the study was to identify the incidence of SVCS in lymphoma pts and features of the central venous access in lymphoma pts\r\nwith SVCS. METHODS. Materials and methods. 686 lymphoma pts (311 male,\r\n375 female) were included in the prospective study. The pts suffered\r\nfrom Hodgkin's lymphoma (HL) (69 pts) and non-Hodgkin's lymphoma (NHL) (617 pts). In all pts SVCS was diagnosed clinically and was\r\nconfirmed by CT scan or MRI. In pts with confirmed SVCS the central\r\nvenous access was provided by non-tunneled central venous catheters (non-tCVCs) (Certofix DUO 7Fr, BBraun) and totally implantable\r\ncentral venous port system (PowerPort, Bard Access System). The indwelling time, the number of the replaced CVCs and the incidence of complications were analyzed. Statistic: SPSS ver.23 (IBM, Chicago, II., USA). Pearson's chi-squared test and Fisher's exact test were used.\r\nRESULTS. . SVCS was revealed in 70 (10.2%) of 686 lymphoma pts (9 pts with HL and 61 pts with NHL). Among lymphoma pts the frequency of SVCS was highest in pts with primary mediastinal large Bcell lymphoma (PMBCL). SVCS was revealed in 49 (51.6%) of 95 PMBCL pts. In SVCS pts venous access was provided by non-tCVC\r\ninserted in femoral vein (50 pts) and TIVAPS (20 pts) implanted into v. cava inferior through the femoral vein. TIVAPS reservoirs were implanted on the thigh. During lymphoma treatment most pts with non-tCVCs needed repeated catheterizations: median 3 (1-14) CVCs. Among pts with TIVAPS only in 3 pts TIVAPS needed repeated catheterizations; their TIVAPS were removed due to complications. The median indwelling times were 6 (1-129) catheter days for CVCs and\r\n164 (1-280) catheter days for TIVAPS (p&lt;0.05). Incidences of CVC related bloodstream infections (CRBSI) were 2.1/1000 catheter days for\r\nCVCs and 0.1/1000 catheter days for TIVAPS. Incidence of CVC associated thrombosis (CAT) were 4.1/1000 catheter days for CVCs and 0.5/\r\n1000 catheter days for TIVAPS. One patient had infection of the subcutaneous pocket (0.3/1000 catheter days). The reasons for nontCVCs removal were the treatment completion (82.8%) and complications: CRBSI (7.1%), CAT (8.5%), malfunction (1.6%). The reasons for the TIVAPS removal were the treatment completion (85%), CRBSI (5%), infection of the subcutaneous pocket (5%) and CAT (5%). CONCLUSION. SVCS was revealed in 10.2% l…","author":[{"dropping-particle":"","family":"SPIRIN","given":"M.","non-dropping-particle":"","parse-names":false,"suffix":""},{"dropping-particle":"","family":"GALSTYAN","given":"G.","non-dropping-particle":"","parse-names":false,"suffix":""},{"dropping-particle":"","family":"DROKOV","given":"M.","non-dropping-particle":"","parse-names":false,"suffix":""}],"container-title":"INTENSIVE CARE MEDICINE EXPERIMENTAL","id":"ITEM-1","issue":"Suppl. 3:001341","issued":{"date-parts":[["2019"]]},"page":"388-389","title":"Central venous access in lymphoma patients (pts) with superior vena cava syndrome (SVCS)","type":"article-journal","volume":"7"},"uris":["http://www.mendeley.com/documents/?uuid=d4b66f57-5a46-3b0e-bb39-8451d9534a0c","http://www.mendeley.com/documents/?uuid=c29428ae-471c-4ca0-bb6e-1085dbeae434","http://www.mendeley.com/documents/?uuid=34ed67cd-3386-4746-82ca-e1d8edc0179d"]}],"mendeley":{"formattedCitation":"[152]","plainTextFormattedCitation":"[152]","previouslyFormattedCitation":"[152]"},"properties":{"noteIndex":0},"schema":"https://github.com/citation-style-language/schema/raw/master/csl-citation.json"}</w:instrText>
      </w:r>
      <w:r w:rsidR="006E1902" w:rsidRPr="006E1902">
        <w:fldChar w:fldCharType="separate"/>
      </w:r>
      <w:r w:rsidR="006E1902" w:rsidRPr="006E1902">
        <w:rPr>
          <w:noProof/>
        </w:rPr>
        <w:t>[152]</w:t>
      </w:r>
      <w:r w:rsidR="006E1902" w:rsidRPr="006E1902">
        <w:fldChar w:fldCharType="end"/>
      </w:r>
      <w:r w:rsidRPr="006E1902">
        <w:t>.</w:t>
      </w:r>
    </w:p>
    <w:p w14:paraId="70FFFC64" w14:textId="06701923" w:rsidR="0044108E" w:rsidRPr="00E26299" w:rsidRDefault="0044108E" w:rsidP="0044108E">
      <w:pPr>
        <w:pStyle w:val="afffa"/>
        <w:rPr>
          <w:rFonts w:eastAsia="Arial Unicode MS"/>
          <w:color w:val="FF0000"/>
        </w:rPr>
      </w:pPr>
      <w:r w:rsidRPr="0044108E">
        <w:t xml:space="preserve">Уровень убедительности рекомендаций – </w:t>
      </w:r>
      <w:r w:rsidRPr="0044108E">
        <w:rPr>
          <w:lang w:val="en-US"/>
        </w:rPr>
        <w:t>C</w:t>
      </w:r>
      <w:r w:rsidRPr="0044108E">
        <w:t xml:space="preserve"> (уровень </w:t>
      </w:r>
      <w:r w:rsidRPr="0044108E">
        <w:rPr>
          <w:spacing w:val="-1"/>
        </w:rPr>
        <w:t xml:space="preserve">достоверности доказательств </w:t>
      </w:r>
      <w:r w:rsidRPr="0044108E">
        <w:t>– 5).</w:t>
      </w:r>
      <w:r>
        <w:t xml:space="preserve"> </w:t>
      </w:r>
    </w:p>
    <w:p w14:paraId="62D7DDB1" w14:textId="7B260D98" w:rsidR="001D28F8" w:rsidRPr="000322E4" w:rsidRDefault="001D28F8" w:rsidP="00A6794A">
      <w:pPr>
        <w:pStyle w:val="a"/>
        <w:spacing w:before="0"/>
        <w:ind w:left="709"/>
      </w:pPr>
      <w:r w:rsidRPr="0044108E">
        <w:t>Пациентам</w:t>
      </w:r>
      <w:r w:rsidRPr="000322E4">
        <w:t xml:space="preserve"> с </w:t>
      </w:r>
      <w:r w:rsidR="00AE61A0" w:rsidRPr="000322E4">
        <w:t>ДВКЛ</w:t>
      </w:r>
      <w:r w:rsidR="00163AA0">
        <w:t>, ПМВКЛ,</w:t>
      </w:r>
      <w:r w:rsidR="007726E0" w:rsidRPr="000322E4">
        <w:t xml:space="preserve"> ЛБ</w:t>
      </w:r>
      <w:r w:rsidRPr="000322E4">
        <w:t xml:space="preserve"> с выявленной симптоматической гипогаммаглобулинемией (перенесенная тяжелая инфекция, </w:t>
      </w:r>
      <w:r w:rsidRPr="000322E4">
        <w:rPr>
          <w:lang w:val="en-US"/>
        </w:rPr>
        <w:t>IgG</w:t>
      </w:r>
      <w:r w:rsidRPr="000322E4">
        <w:t xml:space="preserve"> &lt; 4 г/л) </w:t>
      </w:r>
      <w:r w:rsidRPr="000322E4">
        <w:rPr>
          <w:b/>
        </w:rPr>
        <w:t xml:space="preserve">рекомендовано </w:t>
      </w:r>
      <w:r w:rsidRPr="000322E4">
        <w:t>проведение заместительной терапии #иммуноглобулином человека нормальным 0,2-0,4 г/кг в/в кажды</w:t>
      </w:r>
      <w:r w:rsidR="00347A28" w:rsidRPr="000322E4">
        <w:t>е</w:t>
      </w:r>
      <w:r w:rsidRPr="000322E4">
        <w:t xml:space="preserve"> 3-4 недели в течение 12 месяцев </w:t>
      </w:r>
      <w:r w:rsidR="000C58AB" w:rsidRPr="000322E4">
        <w:t xml:space="preserve">для лечения вторичного иммунодефицита </w:t>
      </w:r>
      <w:r w:rsidR="00D234C0" w:rsidRPr="000322E4">
        <w:fldChar w:fldCharType="begin" w:fldLock="1"/>
      </w:r>
      <w:r w:rsidR="00A6794A">
        <w:instrText>ADDIN CSL_CITATION {"citationItems":[{"id":"ITEM-1","itemData":{"author":[{"dropping-particle":"","family":"Константинова","given":"Т.С.","non-dropping-particle":"","parse-names":false,"suffix":""},{"dropping-particle":"","family":"Клясова","given":"Г.А.","non-dropping-particle":"","parse-names":false,"suffix":""},{"dropping-particle":"","family":"Капланов","given":"К.Д.","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Савченко.","id":"ITEM-1","issued":{"date-parts":[["2018"]]},"page":"289-311","title":"Лечение и профилактика инфекционных осложнений у пациентов с лимфопролиферативными заболеваниями.","type":"chapter"},"uris":["http://www.mendeley.com/documents/?uuid=b8826e3f-ec9d-405b-84e4-56b1a1300212"]},{"id":"ITEM-2","itemData":{"DOI":"10.7861/clinmedicine.16-6-571","ISSN":"14734893","abstract":"Antibody defi ciencies can occur in the context of primary disorders due to inherited genetic defects; however, secondary immune disorders are far more prevalent and can be caused by various diseases and their treatment, certain medications and surgical procedures. Immunoglobulin replacement therapy has been shown to be effective in reducing infections, morbidity and mortality in primary antibody defi ciencies but secondary antibody defi ciencies are in general poorly defi ned and there are no guidelines for the management of patients with this condition. Clinical decisions are based on experience from primary antibody defi ciencies. Both primary and secondary antibody defi ciencies can be associated with infections, immune dysregulation and end-organ damage, causing signifi cant morbidity and mortality. Therefore, it is important to diagnose and treat these patients promptly to minimise adverse effects and improve quality of life. We focus on secondary antibody defi ciency and describe the causes, diagnosis and treatment of this disorder.","author":[{"dropping-particle":"","family":"Srivastava","given":"Sapna","non-dropping-particle":"","parse-names":false,"suffix":""},{"dropping-particle":"","family":"Wood","given":"Philip","non-dropping-particle":"","parse-names":false,"suffix":""}],"container-title":"Clinical Medicine, Journal of the Royal College of Physicians of London","id":"ITEM-2","issued":{"date-parts":[["2016"]]},"title":"Secondary antibody deficiency-causes and approach to diagnosis","type":"article-journal"},"uris":["http://www.mendeley.com/documents/?uuid=122c5237-a104-392a-be50-9d92c8764a3d"]}],"mendeley":{"formattedCitation":"[36,153]","plainTextFormattedCitation":"[36,153]","previouslyFormattedCitation":"[36,153]"},"properties":{"noteIndex":0},"schema":"https://github.com/citation-style-language/schema/raw/master/csl-citation.json"}</w:instrText>
      </w:r>
      <w:r w:rsidR="00D234C0" w:rsidRPr="000322E4">
        <w:fldChar w:fldCharType="separate"/>
      </w:r>
      <w:r w:rsidR="006E1902" w:rsidRPr="006E1902">
        <w:rPr>
          <w:noProof/>
        </w:rPr>
        <w:t>[36,153]</w:t>
      </w:r>
      <w:r w:rsidR="00D234C0" w:rsidRPr="000322E4">
        <w:fldChar w:fldCharType="end"/>
      </w:r>
      <w:r w:rsidRPr="000322E4">
        <w:t>.</w:t>
      </w:r>
    </w:p>
    <w:p w14:paraId="0E60AE17" w14:textId="77777777" w:rsidR="001D28F8" w:rsidRPr="000322E4" w:rsidRDefault="001D28F8" w:rsidP="00F414BF">
      <w:pPr>
        <w:spacing w:line="360" w:lineRule="auto"/>
        <w:ind w:left="709"/>
        <w:contextualSpacing/>
        <w:jc w:val="both"/>
        <w:rPr>
          <w:b/>
        </w:rPr>
      </w:pPr>
      <w:r w:rsidRPr="000322E4">
        <w:rPr>
          <w:b/>
        </w:rPr>
        <w:t>Уровень убедительности рекомендаций С (уровень достоверности доказательств 5).</w:t>
      </w:r>
    </w:p>
    <w:p w14:paraId="2E035337" w14:textId="09B71E5C" w:rsidR="001D28F8" w:rsidRDefault="001D28F8" w:rsidP="00A6794A">
      <w:pPr>
        <w:spacing w:line="360" w:lineRule="auto"/>
        <w:ind w:firstLine="709"/>
        <w:contextualSpacing/>
        <w:jc w:val="both"/>
        <w:rPr>
          <w:i/>
        </w:rPr>
      </w:pPr>
      <w:r w:rsidRPr="000322E4">
        <w:rPr>
          <w:b/>
        </w:rPr>
        <w:t xml:space="preserve">Комментарий: </w:t>
      </w:r>
      <w:r w:rsidR="00D234C0" w:rsidRPr="000322E4">
        <w:rPr>
          <w:i/>
        </w:rPr>
        <w:t xml:space="preserve">терапия </w:t>
      </w:r>
      <w:r w:rsidRPr="000322E4">
        <w:rPr>
          <w:i/>
        </w:rPr>
        <w:t xml:space="preserve">проводится под контролем уровня </w:t>
      </w:r>
      <w:r w:rsidRPr="000322E4">
        <w:rPr>
          <w:i/>
          <w:lang w:val="en-US"/>
        </w:rPr>
        <w:t>IgG</w:t>
      </w:r>
      <w:r w:rsidRPr="000322E4">
        <w:rPr>
          <w:i/>
        </w:rPr>
        <w:t xml:space="preserve"> каждые 6 месяцев, пересмотр дозы #иммуноглобулина человека нормального каждые 6 месяцев. После завершения терапии проводится пожизненное мониторирование уровня </w:t>
      </w:r>
      <w:r w:rsidRPr="000322E4">
        <w:rPr>
          <w:i/>
          <w:lang w:val="en-US"/>
        </w:rPr>
        <w:t>IgG</w:t>
      </w:r>
      <w:r w:rsidRPr="000322E4">
        <w:rPr>
          <w:i/>
        </w:rPr>
        <w:t xml:space="preserve"> 1 раз в год, в случае пов</w:t>
      </w:r>
      <w:r w:rsidR="00285B5C" w:rsidRPr="000322E4">
        <w:rPr>
          <w:i/>
        </w:rPr>
        <w:t>т</w:t>
      </w:r>
      <w:r w:rsidRPr="000322E4">
        <w:rPr>
          <w:i/>
        </w:rPr>
        <w:t xml:space="preserve">орного снижения </w:t>
      </w:r>
      <w:r w:rsidRPr="000322E4">
        <w:rPr>
          <w:i/>
          <w:lang w:val="en-US"/>
        </w:rPr>
        <w:t>IgG</w:t>
      </w:r>
      <w:r w:rsidRPr="000322E4">
        <w:rPr>
          <w:i/>
        </w:rPr>
        <w:t xml:space="preserve"> &lt; 4 г/л проводятся повторные курсы заместительной терапии аналогичным препарато</w:t>
      </w:r>
      <w:r w:rsidR="003430E6" w:rsidRPr="000322E4">
        <w:rPr>
          <w:i/>
        </w:rPr>
        <w:t>м</w:t>
      </w:r>
      <w:r w:rsidRPr="000322E4">
        <w:rPr>
          <w:i/>
        </w:rPr>
        <w:t xml:space="preserve"> в аналогичном режиме в течение 12 месяцев</w:t>
      </w:r>
      <w:r w:rsidR="00D234C0" w:rsidRPr="000322E4">
        <w:rPr>
          <w:i/>
        </w:rPr>
        <w:t>.</w:t>
      </w:r>
    </w:p>
    <w:p w14:paraId="7400A361" w14:textId="056DCBBA" w:rsidR="00857364" w:rsidRPr="005E4671" w:rsidRDefault="00857364" w:rsidP="005E4671">
      <w:pPr>
        <w:pStyle w:val="afe"/>
        <w:numPr>
          <w:ilvl w:val="0"/>
          <w:numId w:val="9"/>
        </w:numPr>
        <w:ind w:left="709"/>
        <w:rPr>
          <w:iCs/>
        </w:rPr>
      </w:pPr>
      <w:r w:rsidRPr="005E4671">
        <w:rPr>
          <w:iCs/>
        </w:rPr>
        <w:t xml:space="preserve">Пациентам с </w:t>
      </w:r>
      <w:r w:rsidR="00163AA0">
        <w:t>ДВКЛ, ПМВКЛ,</w:t>
      </w:r>
      <w:r w:rsidR="005E4671" w:rsidRPr="000322E4">
        <w:t xml:space="preserve"> ЛБ</w:t>
      </w:r>
      <w:r w:rsidRPr="005E4671">
        <w:rPr>
          <w:iCs/>
        </w:rPr>
        <w:t xml:space="preserve"> и факторами риска тр</w:t>
      </w:r>
      <w:r w:rsidR="005E4671">
        <w:rPr>
          <w:iCs/>
        </w:rPr>
        <w:t>о</w:t>
      </w:r>
      <w:r w:rsidRPr="005E4671">
        <w:rPr>
          <w:iCs/>
        </w:rPr>
        <w:t xml:space="preserve">мботических осложнений с целью профилактики венозных тромбоэмболических осложнений </w:t>
      </w:r>
      <w:r w:rsidRPr="005E4671">
        <w:rPr>
          <w:b/>
          <w:bCs/>
          <w:iCs/>
        </w:rPr>
        <w:t>рекомендуется</w:t>
      </w:r>
      <w:r w:rsidRPr="005E4671">
        <w:rPr>
          <w:iCs/>
        </w:rPr>
        <w:t xml:space="preserve"> применение антикоагулянт</w:t>
      </w:r>
      <w:r w:rsidR="005E4671">
        <w:rPr>
          <w:iCs/>
        </w:rPr>
        <w:t>ов (В01 по АТХ классификации)</w:t>
      </w:r>
      <w:r w:rsidRPr="005E4671">
        <w:rPr>
          <w:iCs/>
        </w:rPr>
        <w:t>, методов физического воздействия (компрессионный трикотаж, пневмомассаж конечностей)</w:t>
      </w:r>
      <w:r w:rsidR="005E4671">
        <w:rPr>
          <w:iCs/>
        </w:rPr>
        <w:t xml:space="preserve"> </w:t>
      </w:r>
      <w:r w:rsidR="005E4671">
        <w:rPr>
          <w:iCs/>
        </w:rPr>
        <w:fldChar w:fldCharType="begin" w:fldLock="1"/>
      </w:r>
      <w:r w:rsidR="00A6794A">
        <w:rPr>
          <w:iCs/>
        </w:rPr>
        <w:instrText>ADDIN CSL_CITATION {"citationItems":[{"id":"ITEM-1","itemData":{"author":[{"dropping-particle":"","family":"Сомонова","given":"О. В.","non-dropping-particle":"","parse-names":false,"suffix":""},{"dropping-particle":"","family":"Антух","given":"Э. А.","non-dropping-particle":"","parse-names":false,"suffix":""},{"dropping-particle":"","family":"Долгушин","given":"Б. И.","non-dropping-particle":"","parse-names":false,"suffix":""},{"dropping-particle":"","family":"Елизарова","given":"А. Л.","non-dropping-particle":"","parse-names":false,"suffix":""},{"dropping-particle":"","family":"Сакаева","given":"Д. Д.","non-dropping-particle":"","parse-names":false,"suffix":""},{"dropping-particle":"","family":"Сельчук","given":"В. Ю.","non-dropping-particle":"","parse-names":false,"suffix":""},{"dropping-particle":"","family":"Трякин","given":"А. А.","non-dropping-particle":"","parse-names":false,"suffix":""},{"dropping-particle":"","family":"Черкасов","given":"В. А.","non-dropping-particle":"","parse-names":false,"suffix":""}],"container-title":"Злокачественные опухоли: Практические рекомендации RUSSCO","id":"ITEM-1","issue":"3S2","issued":{"date-parts":[["2021"]]},"page":"47","title":"Практические рекомендации по профилактике и лечению тромбоэмболических осложнений у онкологических больных","type":"article-journal","volume":"11"},"uris":["http://www.mendeley.com/documents/?uuid=dfa74c01-1634-4fb4-9a4c-37cce5c44944"]},{"id":"ITEM-2","itemData":{"DOI":"10.1182/BLOODADVANCES.2020003442","ISSN":"2473-9537","PMID":"33570602","abstract":"Background: Venous thromboembolism (VTE) is a common complication among patients with cancer. Patients with cancer and VTE are at a markedly increased risk for morbidity and mortality. Objective: These evidence-based guidelines of the American Society of Hematology (ASH) are intended to support patients, clinicians, and other health care professionals in their decisions about the prevention and treatment of VTE in patients with cancer. Methods: ASH formed a multidisciplinary guideline panel balanced to minimize potential bias from conflicts of interest. The guideline development process was supported by updated or new systematic evidence reviews. The Grading of Recommendations Assessment, Development, and Evaluation (GRADE) approach was used to assess evidence and make recommendations. Results: Recommendations address mechanical and pharmacological prophylaxis in hospitalized medical patients with cancer, those undergoing a surgical procedure, and ambulatory patients receiving cancer chemotherapy. The recommendations also address the use of anticoagulation for the initial, short-term, and long-term treatment of VTE in patients with cancer. Conclusions: Strong recommendations include not using thromboprophylaxis in ambulatory patients receiving cancer chemotherapy at low risk of VTE and to use low-molecular-weight heparin (LMWH) for initial treatment of VTE in patients with cancer. Conditional recommendations include using thromboprophylaxis in hospitalized medical patients with cancer, LMWH or fondaparinux for surgical patients with cancer, LMWH or direct oral anticoagulants (DOAC) in ambulatory patients with cancer receiving systemic therapy at high risk of VTE and LMWH or DOAC for initial treatment of VTE, DOAC for the short-term treatment of VTE, and LMWH or DOAC for the long-term treatment of VTE in patients with cancer.","author":[{"dropping-particle":"","family":"Lyman","given":"Gary H.","non-dropping-particle":"","parse-names":false,"suffix":""},{"dropping-particle":"","family":"Carrier","given":"Marc","non-dropping-particle":"","parse-names":false,"suffix":""},{"dropping-particle":"","family":"Ay","given":"Cihan","non-dropping-particle":"","parse-names":false,"suffix":""},{"dropping-particle":"Di","family":"Nisio","given":"Marcello","non-dropping-particle":"","parse-names":false,"suffix":""},{"dropping-particle":"","family":"Hicks","given":"Lisa K.","non-dropping-particle":"","parse-names":false,"suffix":""},{"dropping-particle":"","family":"Khorana","given":"Alok A.","non-dropping-particle":"","parse-names":false,"suffix":""},{"dropping-particle":"","family":"Leavitt","given":"Andrew D.","non-dropping-particle":"","parse-names":false,"suffix":""},{"dropping-particle":"","family":"Lee","given":"Agnes Y.Y.","non-dropping-particle":"","parse-names":false,"suffix":""},{"dropping-particle":"","family":"MacBeth","given":"Fergus","non-dropping-particle":"","parse-names":false,"suffix":""},{"dropping-particle":"","family":"Morgan","given":"Rebecca L.","non-dropping-particle":"","parse-names":false,"suffix":""},{"dropping-particle":"","family":"Noble","given":"Simon","non-dropping-particle":"","parse-names":false,"suffix":""},{"dropping-particle":"","family":"Sexton","given":"Elizabeth A.","non-dropping-particle":"","parse-names":false,"suffix":""},{"dropping-particle":"","family":"Stenehjem","given":"David","non-dropping-particle":"","parse-names":false,"suffix":""},{"dropping-particle":"","family":"Wiercioch","given":"Wojtek","non-dropping-particle":"","parse-names":false,"suffix":""},{"dropping-particle":"","family":"Kahale","given":"Lara A.","non-dropping-particle":"","parse-names":false,"suffix":""},{"dropping-particle":"","family":"Alonso-Coello","given":"Pablo","non-dropping-particle":"","parse-names":false,"suffix":""}],"container-title":"Blood advances","id":"ITEM-2","issue":"4","issued":{"date-parts":[["2021","2","23"]]},"page":"927-974","publisher":"Blood Adv","title":"American Society of Hematology 2021 guidelines for management of venous thromboembolism: prevention and treatment in patients with cancer","type":"article-journal","volume":"5"},"uris":["http://www.mendeley.com/documents/?uuid=53f2d840-a30d-3215-9801-32c68697c08f"]}],"mendeley":{"formattedCitation":"[154,155]","plainTextFormattedCitation":"[154,155]","previouslyFormattedCitation":"[154,155]"},"properties":{"noteIndex":0},"schema":"https://github.com/citation-style-language/schema/raw/master/csl-citation.json"}</w:instrText>
      </w:r>
      <w:r w:rsidR="005E4671">
        <w:rPr>
          <w:iCs/>
        </w:rPr>
        <w:fldChar w:fldCharType="separate"/>
      </w:r>
      <w:r w:rsidR="006E1902" w:rsidRPr="006E1902">
        <w:rPr>
          <w:iCs/>
          <w:noProof/>
        </w:rPr>
        <w:t>[154,155]</w:t>
      </w:r>
      <w:r w:rsidR="005E4671">
        <w:rPr>
          <w:iCs/>
        </w:rPr>
        <w:fldChar w:fldCharType="end"/>
      </w:r>
      <w:r w:rsidRPr="005E4671">
        <w:rPr>
          <w:iCs/>
        </w:rPr>
        <w:t>.</w:t>
      </w:r>
    </w:p>
    <w:p w14:paraId="51145A48" w14:textId="6FE4A415" w:rsidR="00857364" w:rsidRDefault="00857364" w:rsidP="00857364">
      <w:pPr>
        <w:spacing w:line="360" w:lineRule="auto"/>
        <w:ind w:left="709"/>
        <w:contextualSpacing/>
        <w:jc w:val="both"/>
        <w:rPr>
          <w:b/>
          <w:bCs/>
          <w:iCs/>
        </w:rPr>
      </w:pPr>
      <w:r w:rsidRPr="005E4671">
        <w:rPr>
          <w:b/>
          <w:bCs/>
          <w:iCs/>
        </w:rPr>
        <w:t xml:space="preserve">Уровень убедительности рекомендаций </w:t>
      </w:r>
      <w:r w:rsidR="005E4671">
        <w:rPr>
          <w:b/>
          <w:bCs/>
          <w:iCs/>
        </w:rPr>
        <w:t>С</w:t>
      </w:r>
      <w:r w:rsidRPr="005E4671">
        <w:rPr>
          <w:b/>
          <w:bCs/>
          <w:iCs/>
        </w:rPr>
        <w:t xml:space="preserve"> (уровень достоверности доказательств – </w:t>
      </w:r>
      <w:r w:rsidR="005E4671">
        <w:rPr>
          <w:b/>
          <w:bCs/>
          <w:iCs/>
        </w:rPr>
        <w:t>5</w:t>
      </w:r>
      <w:r w:rsidRPr="005E4671">
        <w:rPr>
          <w:b/>
          <w:bCs/>
          <w:iCs/>
        </w:rPr>
        <w:t>)</w:t>
      </w:r>
    </w:p>
    <w:p w14:paraId="333323CE" w14:textId="6C84F2AD" w:rsidR="00927D4F" w:rsidRPr="00927D4F" w:rsidRDefault="00927D4F" w:rsidP="00927D4F">
      <w:pPr>
        <w:pStyle w:val="afe"/>
        <w:numPr>
          <w:ilvl w:val="0"/>
          <w:numId w:val="9"/>
        </w:numPr>
        <w:ind w:left="709"/>
        <w:rPr>
          <w:iCs/>
        </w:rPr>
      </w:pPr>
      <w:r w:rsidRPr="00927D4F">
        <w:rPr>
          <w:iCs/>
        </w:rPr>
        <w:lastRenderedPageBreak/>
        <w:t xml:space="preserve">Пациентам с </w:t>
      </w:r>
      <w:r w:rsidRPr="005E4671">
        <w:rPr>
          <w:iCs/>
        </w:rPr>
        <w:t xml:space="preserve">с </w:t>
      </w:r>
      <w:r w:rsidR="00163AA0">
        <w:t>ДВКЛ, ПМВКЛ,</w:t>
      </w:r>
      <w:r w:rsidRPr="000322E4">
        <w:t xml:space="preserve"> ЛБ</w:t>
      </w:r>
      <w:r w:rsidRPr="00927D4F">
        <w:rPr>
          <w:iCs/>
        </w:rPr>
        <w:t xml:space="preserve"> при проведении цитотоксической химиотерапии</w:t>
      </w:r>
      <w:r>
        <w:rPr>
          <w:iCs/>
        </w:rPr>
        <w:t xml:space="preserve"> при риске развития мукозита или при развитии мукозита</w:t>
      </w:r>
      <w:r w:rsidRPr="00927D4F">
        <w:rPr>
          <w:b/>
          <w:bCs/>
          <w:iCs/>
        </w:rPr>
        <w:t xml:space="preserve"> рекомендуется </w:t>
      </w:r>
      <w:r>
        <w:rPr>
          <w:iCs/>
        </w:rPr>
        <w:t xml:space="preserve">с профилактической и </w:t>
      </w:r>
      <w:r w:rsidRPr="00927D4F">
        <w:rPr>
          <w:iCs/>
        </w:rPr>
        <w:t>лече</w:t>
      </w:r>
      <w:r>
        <w:rPr>
          <w:iCs/>
        </w:rPr>
        <w:t>бной целью применение</w:t>
      </w:r>
      <w:r w:rsidRPr="00927D4F">
        <w:rPr>
          <w:iCs/>
        </w:rPr>
        <w:t xml:space="preserve"> кортикостероид</w:t>
      </w:r>
      <w:r>
        <w:rPr>
          <w:iCs/>
        </w:rPr>
        <w:t>ов</w:t>
      </w:r>
      <w:r w:rsidRPr="00927D4F">
        <w:rPr>
          <w:iCs/>
        </w:rPr>
        <w:t>, аналог</w:t>
      </w:r>
      <w:r>
        <w:rPr>
          <w:iCs/>
        </w:rPr>
        <w:t>ов</w:t>
      </w:r>
      <w:r w:rsidRPr="00927D4F">
        <w:rPr>
          <w:iCs/>
        </w:rPr>
        <w:t xml:space="preserve"> соматостатина синтетически</w:t>
      </w:r>
      <w:r>
        <w:rPr>
          <w:iCs/>
        </w:rPr>
        <w:t>х</w:t>
      </w:r>
      <w:r w:rsidRPr="00927D4F">
        <w:rPr>
          <w:iCs/>
        </w:rPr>
        <w:t>, противодиарейны</w:t>
      </w:r>
      <w:r>
        <w:rPr>
          <w:iCs/>
        </w:rPr>
        <w:t>х</w:t>
      </w:r>
      <w:r w:rsidRPr="00927D4F">
        <w:rPr>
          <w:iCs/>
        </w:rPr>
        <w:t xml:space="preserve"> средств, противопротозойны</w:t>
      </w:r>
      <w:r>
        <w:rPr>
          <w:iCs/>
        </w:rPr>
        <w:t>х</w:t>
      </w:r>
      <w:r w:rsidRPr="00927D4F">
        <w:rPr>
          <w:iCs/>
        </w:rPr>
        <w:t xml:space="preserve"> препарат</w:t>
      </w:r>
      <w:r>
        <w:rPr>
          <w:iCs/>
        </w:rPr>
        <w:t>ов</w:t>
      </w:r>
      <w:r w:rsidRPr="00927D4F">
        <w:rPr>
          <w:iCs/>
        </w:rPr>
        <w:t xml:space="preserve"> с антибактериальной активностью, гликопептид</w:t>
      </w:r>
      <w:r>
        <w:rPr>
          <w:iCs/>
        </w:rPr>
        <w:t>ов</w:t>
      </w:r>
      <w:r w:rsidRPr="00927D4F">
        <w:rPr>
          <w:iCs/>
        </w:rPr>
        <w:t>, местн</w:t>
      </w:r>
      <w:r>
        <w:rPr>
          <w:iCs/>
        </w:rPr>
        <w:t>ых</w:t>
      </w:r>
      <w:r w:rsidRPr="00927D4F">
        <w:rPr>
          <w:iCs/>
        </w:rPr>
        <w:t xml:space="preserve"> анестетик</w:t>
      </w:r>
      <w:r>
        <w:rPr>
          <w:iCs/>
        </w:rPr>
        <w:t>ов</w:t>
      </w:r>
      <w:r w:rsidRPr="00927D4F">
        <w:rPr>
          <w:iCs/>
        </w:rPr>
        <w:t>, антидепрессант</w:t>
      </w:r>
      <w:r>
        <w:rPr>
          <w:iCs/>
        </w:rPr>
        <w:t>ов</w:t>
      </w:r>
      <w:r w:rsidRPr="00927D4F">
        <w:rPr>
          <w:iCs/>
        </w:rPr>
        <w:t>, установк</w:t>
      </w:r>
      <w:r>
        <w:rPr>
          <w:iCs/>
        </w:rPr>
        <w:t>а</w:t>
      </w:r>
      <w:r w:rsidRPr="00927D4F">
        <w:rPr>
          <w:iCs/>
        </w:rPr>
        <w:t xml:space="preserve"> назогастрального зонда</w:t>
      </w:r>
      <w:r>
        <w:rPr>
          <w:iCs/>
        </w:rPr>
        <w:t xml:space="preserve"> </w:t>
      </w:r>
      <w:r>
        <w:rPr>
          <w:iCs/>
        </w:rPr>
        <w:fldChar w:fldCharType="begin" w:fldLock="1"/>
      </w:r>
      <w:r w:rsidR="00A6794A">
        <w:rPr>
          <w:iCs/>
        </w:rPr>
        <w:instrText>ADDIN CSL_CITATION {"citationItems":[{"id":"ITEM-1","itemData":{"author":[{"dropping-particle":"","family":"Семиглазова","given":"Т.Ю.","non-dropping-particle":"","parse-names":false,"suffix":""},{"dropping-particle":"","family":"Беляк","given":"Н.П.","non-dropping-particle":"","parse-names":false,"suffix":""},{"dropping-particle":"","family":"Владимирова","given":"Л.Ю.","non-dropping-particle":"","parse-names":false,"suffix":""},{"dropping-particle":"","family":"Корниецкая","given":"А.Л.","non-dropping-particle":"","parse-names":false,"suffix":""},{"dropping-particle":"","family":"Королева","given":"И.А.","non-dropping-particle":"","parse-names":false,"suffix":""},{"dropping-particle":"","family":"Нечаева","given":"М.Н.","non-dropping-particle":"","parse-names":false,"suffix":""},{"dropping-particle":"","family":"Раджабова","given":"З.А.","non-dropping-particle":"","parse-names":false,"suffix":""},{"dropping-particle":"","family":"Телетаева","given":"Г.М.","non-dropping-particle":"","parse-names":false,"suffix":""},{"dropping-particle":"","family":"Ткаченко","given":"Е.В.","non-dropping-particle":"","parse-names":false,"suffix":""}],"container-title":"Злокачественные опухоли: Практические рекомендации RUSSCO","id":"ITEM-1","issue":"3s2","issued":{"date-parts":[["2021"]]},"page":"51","title":"Практические рекомендации по лечению и профилактике мукозитов","type":"article-journal","volume":"11"},"uris":["http://www.mendeley.com/documents/?uuid=b917adf0-8c0b-4492-bfee-0b53d7b77f13"]},{"id":"ITEM-2","itemData":{"DOI":"10.1093/ANNONC/MDR391","ISSN":"1569-8041","PMID":"21908510","author":[{"dropping-particle":"","family":"Peterson","given":"D. E.","non-dropping-particle":"","parse-names":false,"suffix":""},{"dropping-particle":"","family":"Bensadoun","given":"R. J.","non-dropping-particle":"","parse-names":false,"suffix":""},{"dropping-particle":"","family":"Roila","given":"F.","non-dropping-particle":"","parse-names":false,"suffix":""}],"container-title":"Annals of oncology : official journal of the European Society for Medical Oncology","id":"ITEM-2","issue":"Suppl 6","issued":{"date-parts":[["2011"]]},"publisher":"Ann Oncol","title":"Management of oral and gastrointestinal mucositis: ESMO Clinical Practice Guidelines","type":"article-journal","volume":"22 Suppl 6"},"uris":["http://www.mendeley.com/documents/?uuid=38bc0f88-4108-3866-98de-6da572e36295"]}],"mendeley":{"formattedCitation":"[156,157]","plainTextFormattedCitation":"[156,157]","previouslyFormattedCitation":"[156,157]"},"properties":{"noteIndex":0},"schema":"https://github.com/citation-style-language/schema/raw/master/csl-citation.json"}</w:instrText>
      </w:r>
      <w:r>
        <w:rPr>
          <w:iCs/>
        </w:rPr>
        <w:fldChar w:fldCharType="separate"/>
      </w:r>
      <w:r w:rsidR="006E1902" w:rsidRPr="006E1902">
        <w:rPr>
          <w:iCs/>
          <w:noProof/>
        </w:rPr>
        <w:t>[156,157]</w:t>
      </w:r>
      <w:r>
        <w:rPr>
          <w:iCs/>
        </w:rPr>
        <w:fldChar w:fldCharType="end"/>
      </w:r>
      <w:r w:rsidR="003045CE">
        <w:rPr>
          <w:iCs/>
          <w:lang w:val="en-US"/>
        </w:rPr>
        <w:t>.</w:t>
      </w:r>
    </w:p>
    <w:p w14:paraId="4BF1652F" w14:textId="1522285E" w:rsidR="00927D4F" w:rsidRPr="00927D4F" w:rsidRDefault="00927D4F" w:rsidP="00927D4F">
      <w:pPr>
        <w:spacing w:line="360" w:lineRule="auto"/>
        <w:ind w:left="709"/>
        <w:contextualSpacing/>
        <w:jc w:val="both"/>
        <w:rPr>
          <w:b/>
          <w:bCs/>
          <w:iCs/>
        </w:rPr>
      </w:pPr>
      <w:r w:rsidRPr="00927D4F">
        <w:rPr>
          <w:b/>
          <w:bCs/>
          <w:iCs/>
        </w:rPr>
        <w:t>Уровень убедительности рекомендаций C (уровень достоверности доказательств – 3)</w:t>
      </w:r>
    </w:p>
    <w:p w14:paraId="3177AF31" w14:textId="4405AC7E" w:rsidR="00927D4F" w:rsidRDefault="00927D4F" w:rsidP="00A6794A">
      <w:pPr>
        <w:spacing w:line="360" w:lineRule="auto"/>
        <w:ind w:firstLine="709"/>
        <w:contextualSpacing/>
        <w:jc w:val="both"/>
        <w:rPr>
          <w:i/>
        </w:rPr>
      </w:pPr>
      <w:r w:rsidRPr="00927D4F">
        <w:rPr>
          <w:b/>
          <w:bCs/>
          <w:iCs/>
        </w:rPr>
        <w:t xml:space="preserve">Комментарии: </w:t>
      </w:r>
      <w:r w:rsidRPr="00B95E2C">
        <w:rPr>
          <w:i/>
        </w:rPr>
        <w:t>выбор метода профилактики и лечения мукозита определяется степенью тяжести и локализацией поражения.</w:t>
      </w:r>
    </w:p>
    <w:p w14:paraId="0867D872" w14:textId="16AE5B3C" w:rsidR="003045CE" w:rsidRPr="003045CE" w:rsidRDefault="003045CE" w:rsidP="003045CE">
      <w:pPr>
        <w:pStyle w:val="afe"/>
        <w:numPr>
          <w:ilvl w:val="0"/>
          <w:numId w:val="9"/>
        </w:numPr>
        <w:ind w:left="709"/>
        <w:rPr>
          <w:b/>
          <w:bCs/>
          <w:iCs/>
        </w:rPr>
      </w:pPr>
      <w:r w:rsidRPr="003045CE">
        <w:rPr>
          <w:iCs/>
        </w:rPr>
        <w:t xml:space="preserve">Пациентам с </w:t>
      </w:r>
      <w:r w:rsidR="00163AA0">
        <w:t>ДВКЛ, ПМВКЛ,</w:t>
      </w:r>
      <w:r w:rsidRPr="000322E4">
        <w:t xml:space="preserve"> ЛБ</w:t>
      </w:r>
      <w:r w:rsidRPr="003045CE">
        <w:rPr>
          <w:iCs/>
        </w:rPr>
        <w:t xml:space="preserve"> при проведении цитотоксической химиотерапии для профилактики водно-электролитных нарушений</w:t>
      </w:r>
      <w:r w:rsidRPr="003045CE">
        <w:rPr>
          <w:b/>
          <w:bCs/>
          <w:iCs/>
        </w:rPr>
        <w:t xml:space="preserve"> рекомендуется </w:t>
      </w:r>
      <w:r w:rsidRPr="003045CE">
        <w:rPr>
          <w:iCs/>
        </w:rPr>
        <w:t xml:space="preserve">нутритивная поддержка комплексами микроэлементов для парентерального введения, растворами кристаллических аминокислот, растворами углеводов, жировыми эмульсиями, готовыми сбалансированными смесями для перорального приёма (полимерные, олигомерные) в зависимости от вида нарушения питания </w:t>
      </w:r>
      <w:r>
        <w:rPr>
          <w:iCs/>
        </w:rPr>
        <w:fldChar w:fldCharType="begin" w:fldLock="1"/>
      </w:r>
      <w:r w:rsidR="00A6794A">
        <w:rPr>
          <w:iCs/>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больных","type":"article-journal"},"uris":["http://www.mendeley.com/documents/?uuid=a6673349-099e-4c86-922d-b6b69b73ee38"]},{"id":"ITEM-2","itemData":{"DOI":"10.1093/ANNONC/MDY114","ISSN":"1569-8041","PMID":"29788170","abstract":"Background: Driven by reduced nutritional intakes and metabolic alterations, malnutrition in cancer patients adversely affects quality of life, treatment tolerance and survival. We examined evidence for oral nutritional interventions during chemo(radio)therapy. Design: We carried out a systematic review of randomized controlled trials (RCT) with either dietary counseling (DC), highenergy oral nutritional supplements (ONS) aiming at improving intakes or ONS enriched with protein and n-3 polyunsaturated fatty acids (PUFA) additionally aiming for modulation of cancer-related metabolic alterations. Meta-analyses were carried out on body weight (BW) response to nutritional interventions, with subgroup analyses for DC and/or high-energy ONS or high-protein n-3 PUFA-enriched ONS. Results: Eleven studies were identified. Meta-analysis showed overall benefit of interventions on BW during chemo(radio)therapy (+1.31 kg, 95% CI 0.24-2.38, P=0.02, heterogeneity Q=21.1, P=0.007). Subgroup analysis showed no effect of DC and/or high-energy ONS (+0.80 kg, 95% CI -1.14 to 2.74, P=0.32; Q=10.5, P=0.03), possibly due to limited compliance and intakes falling short of intake goals. A significant effect was observed for high-protein n-3 PUFA-enriched intervention compared with isocaloric controls (+1.89 kg, 95% CI 0.51-3.27, P=0.02; Q=3.1 P=0.37). High-protein, n-3 PUFA-enriched ONS studies showed attenuation of lean body mass loss (N=2 studies) and improvement of some quality of life domains (N=3 studies). Overall, studies were limited in number, heterogeneous, and inadequately powered to show effects on treatment toxicity or survival. Conclusion: This systematic review suggests an overall positive effect of nutritional interventions during chemo(radio)therapy on BW. Subgroup analyses showed effects were driven by high-protein n-3 PUFA-enriched ONS, suggesting the benefit of targeting metabolic alterations. DC and/or high-energy ONS were less effective, likely due to cumulative caloric deficits despite interventions. We highlight the need and provide recommendations for well-designed RCT to determine the effect of nutritional interventions on clinical outcomes, with specific focus on reaching nutritional goals and providing the right nutrients, as part of an integral supportive care approach.","author":[{"dropping-particle":"","family":"van der Schueren","given":"Marian A.E.","non-dropping-particle":"de","parse-names":false,"suffix":""},{"dropping-particle":"","family":"Laviano","given":"A.","non-dropping-particle":"","parse-names":false,"suffix":""},{"dropping-particle":"","family":"Blanchard","given":"H.","non-dropping-particle":"","parse-names":false,"suffix":""},{"dropping-particle":"","family":"Jourdan","given":"M.","non-dropping-particle":"","parse-names":false,"suffix":""},{"dropping-particle":"","family":"Arends","given":"J.","non-dropping-particle":"","parse-names":false,"suffix":""},{"dropping-particle":"","family":"Baracos","given":"V. E.","non-dropping-particle":"","parse-names":false,"suffix":""}],"container-title":"Annals of oncology : official journal of the European Society for Medical Oncology","id":"ITEM-2","issue":"5","issued":{"date-parts":[["2018","5","1"]]},"page":"1141-1153","publisher":"Ann Oncol","title":"Systematic review and meta-analysis of the evidence for oral nutritional intervention on nutritional and clinical outcomes during chemo(radio)therapy: current evidence and guidance for design of future trials","type":"article-journal","volume":"29"},"uris":["http://www.mendeley.com/documents/?uuid=e2170dcb-53ce-3833-9a9b-87d2813189d3"]}],"mendeley":{"formattedCitation":"[158,159]","plainTextFormattedCitation":"[158,159]","previouslyFormattedCitation":"[158,159]"},"properties":{"noteIndex":0},"schema":"https://github.com/citation-style-language/schema/raw/master/csl-citation.json"}</w:instrText>
      </w:r>
      <w:r>
        <w:rPr>
          <w:iCs/>
        </w:rPr>
        <w:fldChar w:fldCharType="separate"/>
      </w:r>
      <w:r w:rsidR="006E1902" w:rsidRPr="006E1902">
        <w:rPr>
          <w:iCs/>
          <w:noProof/>
        </w:rPr>
        <w:t>[158,159]</w:t>
      </w:r>
      <w:r>
        <w:rPr>
          <w:iCs/>
        </w:rPr>
        <w:fldChar w:fldCharType="end"/>
      </w:r>
      <w:r>
        <w:rPr>
          <w:iCs/>
          <w:lang w:val="en-US"/>
        </w:rPr>
        <w:t>.</w:t>
      </w:r>
    </w:p>
    <w:p w14:paraId="28B72D20" w14:textId="36776C5C" w:rsidR="003045CE" w:rsidRPr="005E4671" w:rsidRDefault="003045CE" w:rsidP="003045CE">
      <w:pPr>
        <w:spacing w:line="360" w:lineRule="auto"/>
        <w:ind w:left="709"/>
        <w:contextualSpacing/>
        <w:jc w:val="both"/>
        <w:rPr>
          <w:b/>
          <w:bCs/>
          <w:iCs/>
        </w:rPr>
      </w:pPr>
      <w:r w:rsidRPr="003045CE">
        <w:rPr>
          <w:b/>
          <w:bCs/>
          <w:iCs/>
        </w:rPr>
        <w:t xml:space="preserve">Уровень убедительности рекомендаций </w:t>
      </w:r>
      <w:r>
        <w:rPr>
          <w:b/>
          <w:bCs/>
          <w:iCs/>
          <w:lang w:val="en-US"/>
        </w:rPr>
        <w:t>C</w:t>
      </w:r>
      <w:r w:rsidRPr="003045CE">
        <w:rPr>
          <w:b/>
          <w:bCs/>
          <w:iCs/>
        </w:rPr>
        <w:t xml:space="preserve"> (уровень достоверности доказательств – 5)</w:t>
      </w:r>
    </w:p>
    <w:p w14:paraId="13DE16AB" w14:textId="7A4BC91C" w:rsidR="007E22B4" w:rsidRPr="000322E4" w:rsidRDefault="007E22B4" w:rsidP="00A6794A">
      <w:pPr>
        <w:pStyle w:val="a"/>
        <w:spacing w:before="0"/>
        <w:ind w:left="709"/>
      </w:pPr>
      <w:r w:rsidRPr="000322E4">
        <w:rPr>
          <w:bCs/>
        </w:rPr>
        <w:t>Для пациент</w:t>
      </w:r>
      <w:r>
        <w:rPr>
          <w:bCs/>
        </w:rPr>
        <w:t>ов</w:t>
      </w:r>
      <w:r w:rsidRPr="000322E4">
        <w:rPr>
          <w:bCs/>
        </w:rPr>
        <w:t xml:space="preserve"> с </w:t>
      </w:r>
      <w:r w:rsidR="00163AA0">
        <w:t>ДВКЛ, ПМВКЛ,</w:t>
      </w:r>
      <w:r w:rsidRPr="000322E4">
        <w:t xml:space="preserve"> ЛБ</w:t>
      </w:r>
      <w:r w:rsidRPr="000322E4">
        <w:rPr>
          <w:bCs/>
        </w:rPr>
        <w:t xml:space="preserve"> </w:t>
      </w:r>
      <w:r>
        <w:rPr>
          <w:bCs/>
        </w:rPr>
        <w:t xml:space="preserve">детородного возраста </w:t>
      </w:r>
      <w:r w:rsidRPr="000322E4">
        <w:rPr>
          <w:b/>
        </w:rPr>
        <w:t>рекомендуется</w:t>
      </w:r>
      <w:r w:rsidRPr="000322E4">
        <w:t xml:space="preserve"> </w:t>
      </w:r>
      <w:r w:rsidRPr="007E22B4">
        <w:t>обсуждать вопрос о возможности криоконсервации спермы или ооцитов/эмбрионов перед началом терапии</w:t>
      </w:r>
      <w:r w:rsidRPr="000322E4">
        <w:t xml:space="preserve"> </w:t>
      </w:r>
      <w:r w:rsidRPr="000322E4">
        <w:fldChar w:fldCharType="begin" w:fldLock="1"/>
      </w:r>
      <w:r w:rsidR="00A6794A">
        <w:instrText>ADDIN CSL_CITATION {"citationItems":[{"id":"ITEM-1","itemData":{"DOI":"10.1200/JCO.2018.78.1914","ISSN":"1527-7755","PMID":"29620997","abstract":"Purpose To provide current recommendations about fertility preservation for adults and children with cancer. Methods A systematic review of the literature published from January 2013 to March 2017 was completed using PubMed and the Cochrane Library. An Update Panel reviewed the identified publications. Results There were 61 publications identified and reviewed. None of these publications prompted a significant change in the 2013 recommendations. Recommendations Health care providers should initiate the discussion on the possibility of infertility with patients with cancer treated during their reproductive years or with parents/guardians of children as early as possible. Providers should be prepared to discuss fertility preservation options and/or to refer all potential patients to appropriate reproductive specialists. Although patients may be focused initially on their cancer diagnosis, providers should advise patients regarding potential threats to fertility as early as possible in the treatment process so as to allow for the widest array of options for fertility preservation. The discussion should be documented. Sperm, oocyte, and embryo cryopreservation are considered standard practice and are widely available. There is conflicting evidence to recommend gonadotrophin-releasing hormone agonists (GnRHa) and other means of ovarian suppression for fertility preservation. The Panel recognizes that, when proven fertility preservation methods are not feasible, and in the setting of young women with breast cancer, GnRHa may be offered to patients in the hope of reducing the likelihood of chemotherapy-induced ovarian insufficiency. GnRHa should not be used in place of proven fertility preservation methods. The panel notes that the field of ovarian tissue cryopreservation is advancing quickly and may evolve to become standard therapy in the future. Additional information is available at www.asco.org/survivorship-guidelines.","author":[{"dropping-particle":"","family":"Oktay","given":"Kutluk","non-dropping-particle":"","parse-names":false,"suffix":""},{"dropping-particle":"","family":"Harvey","given":"Brittany E.","non-dropping-particle":"","parse-names":false,"suffix":""},{"dropping-particle":"","family":"Partridge","given":"Ann H.","non-dropping-particle":"","parse-names":false,"suffix":""},{"dropping-particle":"","family":"Quinn","given":"Gwendolyn P.","non-dropping-particle":"","parse-names":false,"suffix":""},{"dropping-particle":"","family":"Reinecke","given":"Joyce","non-dropping-particle":"","parse-names":false,"suffix":""},{"dropping-particle":"","family":"Taylor","given":"Hugh S.","non-dropping-particle":"","parse-names":false,"suffix":""},{"dropping-particle":"","family":"Hamish Wallace","given":"W.","non-dropping-particle":"","parse-names":false,"suffix":""},{"dropping-particle":"","family":"Wang","given":"Erica T.","non-dropping-particle":"","parse-names":false,"suffix":""},{"dropping-particle":"","family":"Loren","given":"Alison W.","non-dropping-particle":"","parse-names":false,"suffix":""}],"container-title":"Journal of clinical oncology : official journal of the American Society of Clinical Oncology","id":"ITEM-1","issue":"19","issued":{"date-parts":[["2018","7","1"]]},"page":"1994-2001","publisher":"J Clin Oncol","title":"Fertility Preservation in Patients With Cancer: ASCO Clinical Practice Guideline Update","type":"article-journal","volume":"36"},"uris":["http://www.mendeley.com/documents/?uuid=fd9acec1-e31f-36b0-b985-325e2947c538"]}],"mendeley":{"formattedCitation":"[160]","plainTextFormattedCitation":"[160]","previouslyFormattedCitation":"[160]"},"properties":{"noteIndex":0},"schema":"https://github.com/citation-style-language/schema/raw/master/csl-citation.json"}</w:instrText>
      </w:r>
      <w:r w:rsidRPr="000322E4">
        <w:fldChar w:fldCharType="separate"/>
      </w:r>
      <w:r w:rsidR="006E1902" w:rsidRPr="006E1902">
        <w:rPr>
          <w:noProof/>
        </w:rPr>
        <w:t>[160]</w:t>
      </w:r>
      <w:r w:rsidRPr="000322E4">
        <w:fldChar w:fldCharType="end"/>
      </w:r>
      <w:r w:rsidRPr="000322E4">
        <w:t>.</w:t>
      </w:r>
    </w:p>
    <w:p w14:paraId="4A18636E" w14:textId="77777777" w:rsidR="007E22B4" w:rsidRPr="000322E4" w:rsidRDefault="007E22B4" w:rsidP="007E22B4">
      <w:pPr>
        <w:spacing w:line="360" w:lineRule="auto"/>
        <w:ind w:left="709"/>
        <w:contextualSpacing/>
        <w:jc w:val="both"/>
        <w:rPr>
          <w:b/>
        </w:rPr>
      </w:pPr>
      <w:r w:rsidRPr="000322E4">
        <w:rPr>
          <w:b/>
        </w:rPr>
        <w:t xml:space="preserve">Уровень убедительности рекомендаций </w:t>
      </w:r>
      <w:r w:rsidRPr="000322E4">
        <w:rPr>
          <w:b/>
          <w:lang w:val="en-US"/>
        </w:rPr>
        <w:t>C</w:t>
      </w:r>
      <w:r w:rsidRPr="000322E4">
        <w:rPr>
          <w:b/>
        </w:rPr>
        <w:t xml:space="preserve"> (уровень </w:t>
      </w:r>
      <w:r w:rsidRPr="000322E4">
        <w:rPr>
          <w:b/>
          <w:spacing w:val="-1"/>
        </w:rPr>
        <w:t xml:space="preserve">достоверности доказательств </w:t>
      </w:r>
      <w:r w:rsidRPr="000322E4">
        <w:rPr>
          <w:b/>
        </w:rPr>
        <w:t>– 5)</w:t>
      </w:r>
    </w:p>
    <w:p w14:paraId="509C3AEC" w14:textId="564A63E6" w:rsidR="00A9169E" w:rsidRPr="000322E4" w:rsidRDefault="00A9169E" w:rsidP="00A6794A">
      <w:pPr>
        <w:pStyle w:val="a"/>
        <w:spacing w:before="0"/>
        <w:ind w:left="709"/>
      </w:pPr>
      <w:bookmarkStart w:id="47" w:name="_Toc24546444"/>
      <w:r w:rsidRPr="000322E4">
        <w:rPr>
          <w:bCs/>
        </w:rPr>
        <w:t xml:space="preserve">Для пациенток с </w:t>
      </w:r>
      <w:r w:rsidR="00AE61A0" w:rsidRPr="000322E4">
        <w:t>ДВКЛ</w:t>
      </w:r>
      <w:r w:rsidR="00163AA0">
        <w:t>, ПМВКЛ,</w:t>
      </w:r>
      <w:r w:rsidR="007726E0" w:rsidRPr="000322E4">
        <w:t xml:space="preserve"> ЛБ</w:t>
      </w:r>
      <w:r w:rsidRPr="000322E4">
        <w:rPr>
          <w:bCs/>
        </w:rPr>
        <w:t xml:space="preserve"> – девочек и молодых женщин, у которых планируется лучевая терапия на подвздошную область, </w:t>
      </w:r>
      <w:r w:rsidRPr="000322E4">
        <w:rPr>
          <w:b/>
        </w:rPr>
        <w:t>рекомендуется</w:t>
      </w:r>
      <w:r w:rsidRPr="000322E4">
        <w:t xml:space="preserve"> рассмотрение вопроса о необходимости гомолатеральной овариопексии для защиты яичников </w:t>
      </w:r>
      <w:r w:rsidRPr="000322E4">
        <w:fldChar w:fldCharType="begin" w:fldLock="1"/>
      </w:r>
      <w:r w:rsidR="00A6794A">
        <w:instrText>ADDIN CSL_CITATION {"citationItems":[{"id":"ITEM-1","itemData":{"author":[{"dropping-particle":"","family":"Meirow","given":"D","non-dropping-particle":"","parse-names":false,"suffix":""},{"dropping-particle":"","family":"Nugent","given":"D","non-dropping-particle":"","parse-names":false,"suffix":""}],"container-title":"Human reproduction update","id":"ITEM-1","issue":"6","issued":{"date-parts":[["2001"]]},"page":"535-543","title":"The effects of radiotherapy and chemotherapy on female reproduction","type":"article-journal","volume":"7"},"uris":["http://www.mendeley.com/documents/?uuid=a7e3f9a7-1c88-3f3e-a54b-2c4a6a10c6b6"]}],"mendeley":{"formattedCitation":"[161]","plainTextFormattedCitation":"[161]","previouslyFormattedCitation":"[161]"},"properties":{"noteIndex":0},"schema":"https://github.com/citation-style-language/schema/raw/master/csl-citation.json"}</w:instrText>
      </w:r>
      <w:r w:rsidRPr="000322E4">
        <w:fldChar w:fldCharType="separate"/>
      </w:r>
      <w:r w:rsidR="006E1902" w:rsidRPr="006E1902">
        <w:rPr>
          <w:noProof/>
        </w:rPr>
        <w:t>[161]</w:t>
      </w:r>
      <w:r w:rsidRPr="000322E4">
        <w:fldChar w:fldCharType="end"/>
      </w:r>
      <w:r w:rsidRPr="000322E4">
        <w:t>.</w:t>
      </w:r>
    </w:p>
    <w:p w14:paraId="148D56B0" w14:textId="77777777" w:rsidR="00A9169E" w:rsidRPr="000322E4" w:rsidRDefault="00A9169E" w:rsidP="00F414BF">
      <w:pPr>
        <w:spacing w:line="360" w:lineRule="auto"/>
        <w:ind w:left="709"/>
        <w:contextualSpacing/>
        <w:jc w:val="both"/>
        <w:rPr>
          <w:b/>
        </w:rPr>
      </w:pPr>
      <w:r w:rsidRPr="000322E4">
        <w:rPr>
          <w:b/>
        </w:rPr>
        <w:t xml:space="preserve">Уровень убедительности рекомендаций </w:t>
      </w:r>
      <w:r w:rsidRPr="000322E4">
        <w:rPr>
          <w:b/>
          <w:lang w:val="en-US"/>
        </w:rPr>
        <w:t>C</w:t>
      </w:r>
      <w:r w:rsidRPr="000322E4">
        <w:rPr>
          <w:b/>
        </w:rPr>
        <w:t xml:space="preserve"> (уровень </w:t>
      </w:r>
      <w:r w:rsidRPr="000322E4">
        <w:rPr>
          <w:b/>
          <w:spacing w:val="-1"/>
        </w:rPr>
        <w:t xml:space="preserve">достоверности доказательств </w:t>
      </w:r>
      <w:r w:rsidRPr="000322E4">
        <w:rPr>
          <w:b/>
        </w:rPr>
        <w:t>– 5)</w:t>
      </w:r>
    </w:p>
    <w:p w14:paraId="0D436772" w14:textId="77777777" w:rsidR="00A9169E" w:rsidRPr="000322E4" w:rsidRDefault="00A9169E" w:rsidP="00A6794A">
      <w:pPr>
        <w:spacing w:line="360" w:lineRule="auto"/>
        <w:ind w:firstLine="709"/>
        <w:contextualSpacing/>
        <w:jc w:val="both"/>
        <w:rPr>
          <w:i/>
        </w:rPr>
      </w:pPr>
      <w:r w:rsidRPr="000322E4">
        <w:rPr>
          <w:b/>
        </w:rPr>
        <w:t xml:space="preserve">Комментарий: </w:t>
      </w:r>
      <w:r w:rsidRPr="000322E4">
        <w:rPr>
          <w:i/>
        </w:rPr>
        <w:t xml:space="preserve">овариопексия особенно показана, если ожидаемая доза облучения на яичники составит более 5 Гр, так как при этом может возникнуть длительная дисфункция яичника.  Этого можно избежать, если лучевая терапия </w:t>
      </w:r>
      <w:r w:rsidRPr="000322E4">
        <w:rPr>
          <w:i/>
        </w:rPr>
        <w:lastRenderedPageBreak/>
        <w:t>проводится с противоположных полей в СОД 20 Гр и яичник находится, как минимум, на расстоянии 2 см от границы лучевой области.</w:t>
      </w:r>
    </w:p>
    <w:p w14:paraId="6DE43B28" w14:textId="28E6955A" w:rsidR="00702D8D" w:rsidRPr="000322E4" w:rsidRDefault="00A9169E" w:rsidP="00A6794A">
      <w:pPr>
        <w:spacing w:line="360" w:lineRule="auto"/>
        <w:ind w:firstLine="709"/>
        <w:contextualSpacing/>
        <w:jc w:val="both"/>
        <w:rPr>
          <w:rStyle w:val="affb"/>
          <w:bCs w:val="0"/>
        </w:rPr>
      </w:pPr>
      <w:r w:rsidRPr="000322E4">
        <w:rPr>
          <w:i/>
        </w:rPr>
        <w:t>При проведении овариопексии нить должна быть обязательно помечена клипсой</w:t>
      </w:r>
      <w:r w:rsidR="00D051CB" w:rsidRPr="000322E4">
        <w:rPr>
          <w:i/>
        </w:rPr>
        <w:t>.</w:t>
      </w:r>
      <w:r w:rsidRPr="000322E4">
        <w:rPr>
          <w:i/>
        </w:rPr>
        <w:t xml:space="preserve"> Процедура выполняется хирургом после консультации</w:t>
      </w:r>
      <w:r w:rsidR="00AF07AB" w:rsidRPr="000322E4">
        <w:rPr>
          <w:i/>
        </w:rPr>
        <w:t xml:space="preserve"> врача-радиолога</w:t>
      </w:r>
      <w:r w:rsidRPr="000322E4">
        <w:rPr>
          <w:i/>
        </w:rPr>
        <w:t xml:space="preserve"> до начала лучевой терапии на поддиафрагмальную область.</w:t>
      </w:r>
    </w:p>
    <w:p w14:paraId="2039DFBC" w14:textId="60894081" w:rsidR="000414F6" w:rsidRPr="000322E4" w:rsidRDefault="00CB71DA" w:rsidP="00F414BF">
      <w:pPr>
        <w:pStyle w:val="afff2"/>
      </w:pPr>
      <w:bookmarkStart w:id="48" w:name="_Toc96601250"/>
      <w:bookmarkEnd w:id="47"/>
      <w:r w:rsidRPr="000322E4">
        <w:t xml:space="preserve">4. </w:t>
      </w:r>
      <w:bookmarkEnd w:id="36"/>
      <w:r w:rsidR="00160448" w:rsidRPr="00D34804">
        <w:t>Медицинская реабилитация и санаторно-курортное лечение, медицинские показания и противопоказания к применению методов медицинской реабилитации, в том числе основанных на использовании природных лечебных факторов</w:t>
      </w:r>
      <w:bookmarkEnd w:id="48"/>
    </w:p>
    <w:p w14:paraId="6748FD72" w14:textId="1D17DAEE" w:rsidR="006F29CD" w:rsidRPr="000322E4" w:rsidRDefault="006F29CD" w:rsidP="00F414BF">
      <w:pPr>
        <w:pStyle w:val="afff8"/>
        <w:spacing w:before="0"/>
      </w:pPr>
      <w:bookmarkStart w:id="49" w:name="__RefHeading___doc_5"/>
      <w:r w:rsidRPr="000322E4">
        <w:t xml:space="preserve">Всем </w:t>
      </w:r>
      <w:r w:rsidRPr="00D3550C">
        <w:rPr>
          <w:color w:val="000000" w:themeColor="text1"/>
        </w:rPr>
        <w:t xml:space="preserve">пациентам с </w:t>
      </w:r>
      <w:r w:rsidR="001F280A" w:rsidRPr="00D3550C">
        <w:rPr>
          <w:color w:val="000000" w:themeColor="text1"/>
        </w:rPr>
        <w:t>ДВКЛ, ПМВКЛ, ЛБ</w:t>
      </w:r>
      <w:r w:rsidRPr="00D3550C">
        <w:rPr>
          <w:color w:val="000000" w:themeColor="text1"/>
        </w:rPr>
        <w:t xml:space="preserve"> на всех </w:t>
      </w:r>
      <w:r w:rsidRPr="000322E4">
        <w:t xml:space="preserve">этапах терапии заболевания, а также после завершения лекарственного лечения </w:t>
      </w:r>
      <w:r w:rsidRPr="000322E4">
        <w:rPr>
          <w:b/>
        </w:rPr>
        <w:t>рекомендуется</w:t>
      </w:r>
      <w:r w:rsidRPr="000322E4">
        <w:t xml:space="preserve"> комплексная реабилитация, а также, при необходимости, поддерживающая терапия </w:t>
      </w:r>
      <w:r w:rsidRPr="000322E4">
        <w:fldChar w:fldCharType="begin" w:fldLock="1"/>
      </w:r>
      <w:r w:rsidR="00A6794A">
        <w:instrText>ADDIN CSL_CITATION {"citationItems":[{"id":"ITEM-1","itemData":{"DOI":"10.1097/PHM.0b013e31820be055","ISSN":"1537-7385","PMID":"21765268","abstract":"Patients facing hematologic malignancy and its treatment are highly vulnerable to profound physiologic, functional, and cognitive disability and often experience a significant increase in psychosocial stress. For optimal outcomes, this incredibly vulnerable oncology population will need earlier and more comprehensive involvement of rehabilitation services, including exercise strategies.Exercise interventions for those with cancer have not been well studied, particularly in those with hematologic malignancies. Of the research available to date, significant methodologic limitations exist. There is a strong need for further investigation into the effects of and guidelines for exercise interventions in this population of patients, particularly among those undergoing or having undergone hematopoietic stem cell transplantation, as this has historically been a difficult population to study because of the high morbidity and potential for medical complications. From the limited data available to date, exercise seems to be generally safe, feasible, efficacious, and capable of providing functional improvements for those with hematologic cancers.","author":[{"dropping-particle":"","family":"Paul","given":"Kelly L","non-dropping-particle":"","parse-names":false,"suffix":""}],"container-title":"American journal of physical medicine &amp; rehabilitation","id":"ITEM-1","issue":"5 Suppl 1","issued":{"date-parts":[["2011","5"]]},"page":"S88-94","title":"Rehabilitation and exercise considerations in hematologic malignancies.","type":"article-journal","volume":"90"},"uris":["http://www.mendeley.com/documents/?uuid=2b502bce-bc0a-35cf-9c9a-aab53cb19bfd"]},{"id":"ITEM-2","itemData":{"DOI":"10.1002/hon.2561","ISSN":"10991069","abstract":"Randomized trials of maintenance therapy (MT) in diffuse large B cell lymphoma (DLBCL) are inconclusive regarding its effect on overall survival (OS) and disease control. We aimed to examine the efficacy and safety of MT in this meta-analysis. Systematic review and meta-analysis of randomized controlled trials comparing MT with observation or placebo, in patients with DLBCL, who achieved complete response (CR) or partial response (PR) after first-line chemotherapy with or without rituximab. Primary outcome was OS. Secondary outcomes included relapse rate, disease control (defined as progression-free survival, event-free survival, or disease-free survival, as reported in the original trials), and safety. Our search yielded 14 trials including 5122 patients. Median age of patients was 49 to 70 years. Six trials included rituximab as the MT; three included Interferon alfa; other trials include thalidomide, lenalidomide, cyclophosphamide and prednisone, serine threonine kinase inhibitor enzastaurin, and mTOR inhibitor everolimus. MT did not improve OS compared to observation, OR 0.91, (95% CI 0.78-1.07). Results were the same in a subgroup analysis by the type of maintenance (rituximab vs other). MT did decreased relapse rate, RR 0.76 (95% CI 0.65-0.89) and improved disease control, OR 0.74 (95% CI 0.65-0.84). Disease control was significantly improved in the subgroup of studies evaluating rituximab as maintenance OR 0.61 (95% CI 0.47-0.79) and in the subgroup of R-CHOP induction studies OR 0.77 (95% CI 0.67-0.88). Serious or grade III/IV adverse events including neutropenia and infections were significantly more common in the maintenance arm, RR = 1.69 (95% CI 1.29-2.22). MT in patients with DLBCL achieving CR or PR after induction therapy did not affect OS, yet it decreased relapse rate and improved disease control at the cost of higher infection rate. Our data do not support routine administration of MT in patients with DLBCL.","author":[{"dropping-particle":"","family":"Rozental","given":"Alon","non-dropping-particle":"","parse-names":false,"suffix":""},{"dropping-particle":"","family":"Gafter-Gvili","given":"Anat","non-dropping-particle":"","parse-names":false,"suffix":""},{"dropping-particle":"","family":"Vidal","given":"Liat","non-dropping-particle":"","parse-names":false,"suffix":""},{"dropping-particle":"","family":"Raanani","given":"Pia","non-dropping-particle":"","parse-names":false,"suffix":""},{"dropping-particle":"","family":"Gurion","given":"Ronit","non-dropping-particle":"","parse-names":false,"suffix":""}],"container-title":"Hematological Oncology","id":"ITEM-2","issue":"1","issued":{"date-parts":[["2019","2","1"]]},"page":"27-34","publisher":"John Wiley and Sons Ltd","title":"The role of maintenance therapy in patients with diffuse large B cell lymphoma: A systematic review and meta-analysis","type":"article-journal","volume":"37"},"uris":["http://www.mendeley.com/documents/?uuid=9d0e3f8c-bfa4-357c-b374-138c04bee059"]}],"mendeley":{"formattedCitation":"[162,163]","plainTextFormattedCitation":"[162,163]","previouslyFormattedCitation":"[162,163]"},"properties":{"noteIndex":0},"schema":"https://github.com/citation-style-language/schema/raw/master/csl-citation.json"}</w:instrText>
      </w:r>
      <w:r w:rsidRPr="000322E4">
        <w:fldChar w:fldCharType="separate"/>
      </w:r>
      <w:r w:rsidR="006E1902" w:rsidRPr="006E1902">
        <w:rPr>
          <w:noProof/>
        </w:rPr>
        <w:t>[162,163]</w:t>
      </w:r>
      <w:r w:rsidRPr="000322E4">
        <w:fldChar w:fldCharType="end"/>
      </w:r>
      <w:r w:rsidRPr="000322E4">
        <w:t xml:space="preserve">. </w:t>
      </w:r>
    </w:p>
    <w:p w14:paraId="762FE98F" w14:textId="77777777" w:rsidR="006F29CD" w:rsidRPr="000322E4" w:rsidRDefault="006F29CD" w:rsidP="00F414BF">
      <w:pPr>
        <w:spacing w:line="360" w:lineRule="auto"/>
        <w:ind w:left="709"/>
        <w:contextualSpacing/>
        <w:jc w:val="both"/>
        <w:rPr>
          <w:b/>
        </w:rPr>
      </w:pPr>
      <w:r w:rsidRPr="000322E4">
        <w:rPr>
          <w:b/>
        </w:rPr>
        <w:t xml:space="preserve">Уровень убедительности рекомендаций </w:t>
      </w:r>
      <w:r w:rsidRPr="000322E4">
        <w:rPr>
          <w:b/>
          <w:lang w:val="en-US"/>
        </w:rPr>
        <w:t>C</w:t>
      </w:r>
      <w:r w:rsidRPr="000322E4">
        <w:rPr>
          <w:b/>
        </w:rPr>
        <w:t xml:space="preserve"> (уровень достоверности доказательств 5).</w:t>
      </w:r>
    </w:p>
    <w:p w14:paraId="2720096A" w14:textId="5A42FB40" w:rsidR="006F29CD" w:rsidRPr="000322E4" w:rsidRDefault="006F29CD" w:rsidP="00D3550C">
      <w:pPr>
        <w:spacing w:line="360" w:lineRule="auto"/>
        <w:ind w:firstLine="709"/>
        <w:contextualSpacing/>
        <w:jc w:val="both"/>
        <w:rPr>
          <w:i/>
        </w:rPr>
      </w:pPr>
      <w:r w:rsidRPr="000322E4">
        <w:rPr>
          <w:b/>
        </w:rPr>
        <w:t>Комментарий:</w:t>
      </w:r>
      <w:r w:rsidRPr="000322E4">
        <w:t xml:space="preserve"> </w:t>
      </w:r>
      <w:r w:rsidR="00D3550C" w:rsidRPr="000322E4">
        <w:rPr>
          <w:i/>
        </w:rPr>
        <w:t xml:space="preserve">специальных </w:t>
      </w:r>
      <w:r w:rsidRPr="000322E4">
        <w:rPr>
          <w:i/>
        </w:rPr>
        <w:t xml:space="preserve">методов </w:t>
      </w:r>
      <w:r w:rsidRPr="00D3550C">
        <w:rPr>
          <w:i/>
          <w:color w:val="000000" w:themeColor="text1"/>
        </w:rPr>
        <w:t xml:space="preserve">реабилитации при </w:t>
      </w:r>
      <w:r w:rsidR="001F280A" w:rsidRPr="00D3550C">
        <w:rPr>
          <w:i/>
          <w:color w:val="000000" w:themeColor="text1"/>
        </w:rPr>
        <w:t>ДВКЛ, ПМВКЛ, ЛБ</w:t>
      </w:r>
      <w:r w:rsidRPr="00D3550C">
        <w:rPr>
          <w:i/>
          <w:color w:val="000000" w:themeColor="text1"/>
        </w:rPr>
        <w:t xml:space="preserve"> не существует. Реабилитация пациентов с </w:t>
      </w:r>
      <w:r w:rsidR="001F280A" w:rsidRPr="00D3550C">
        <w:rPr>
          <w:i/>
          <w:color w:val="000000" w:themeColor="text1"/>
        </w:rPr>
        <w:t>ДВКЛ, ПМВКЛ, ЛБ</w:t>
      </w:r>
      <w:r w:rsidRPr="00D3550C">
        <w:rPr>
          <w:i/>
          <w:color w:val="000000" w:themeColor="text1"/>
        </w:rPr>
        <w:t xml:space="preserve"> должна носить комплексный характер, охватывая не только медицинские</w:t>
      </w:r>
      <w:r w:rsidRPr="000322E4">
        <w:rPr>
          <w:i/>
        </w:rPr>
        <w:t>, но и социально-психологические аспекты адаптации пациента к нормальной жизни. Такая реабилитация требует, кроме медицинской помощи, обязательного участия социальных работников и психологов. Программы реабилитации разрабатываются индивидуально, в зависимости от выявленных осложнений лекарственного лечения, сопутствующей патологии, социальных и психологических проблем.</w:t>
      </w:r>
    </w:p>
    <w:p w14:paraId="1315E1BB" w14:textId="77777777" w:rsidR="006F29CD" w:rsidRPr="000322E4" w:rsidRDefault="006F29CD" w:rsidP="00D3550C">
      <w:pPr>
        <w:spacing w:line="360" w:lineRule="auto"/>
        <w:ind w:firstLine="709"/>
        <w:contextualSpacing/>
        <w:jc w:val="both"/>
        <w:rPr>
          <w:i/>
        </w:rPr>
      </w:pPr>
      <w:r w:rsidRPr="000322E4">
        <w:rPr>
          <w:i/>
        </w:rPr>
        <w:t xml:space="preserve">Реабилитация при возникновении осложнений в течение заболевания и лечения проводится в рамках соответствующих нозологий. </w:t>
      </w:r>
    </w:p>
    <w:p w14:paraId="49817B94" w14:textId="407A63F8" w:rsidR="00A43CE5" w:rsidRPr="000322E4" w:rsidRDefault="00094ED6" w:rsidP="00F414BF">
      <w:pPr>
        <w:pStyle w:val="afff2"/>
      </w:pPr>
      <w:bookmarkStart w:id="50" w:name="_Toc96601251"/>
      <w:r w:rsidRPr="000322E4">
        <w:t xml:space="preserve">5. </w:t>
      </w:r>
      <w:r w:rsidR="00CB71DA" w:rsidRPr="000322E4">
        <w:t>Профилактика</w:t>
      </w:r>
      <w:bookmarkEnd w:id="49"/>
      <w:r w:rsidR="00B104EF" w:rsidRPr="000322E4">
        <w:t xml:space="preserve"> и диспансерное наблюдение</w:t>
      </w:r>
      <w:r w:rsidR="00A43CE5" w:rsidRPr="000322E4">
        <w:t>,</w:t>
      </w:r>
      <w:r w:rsidR="008371F9" w:rsidRPr="000322E4">
        <w:t xml:space="preserve"> </w:t>
      </w:r>
      <w:r w:rsidR="00A43CE5" w:rsidRPr="000322E4">
        <w:t>медицинские показания и противопоказания к применению методов профилактики</w:t>
      </w:r>
      <w:bookmarkEnd w:id="50"/>
    </w:p>
    <w:p w14:paraId="076EC2E6" w14:textId="69BF0791" w:rsidR="003B006C" w:rsidRPr="000322E4" w:rsidRDefault="003B006C" w:rsidP="00F414BF">
      <w:pPr>
        <w:spacing w:line="360" w:lineRule="auto"/>
        <w:ind w:firstLine="709"/>
        <w:jc w:val="both"/>
      </w:pPr>
      <w:bookmarkStart w:id="51" w:name="__RefHeading___doc_6"/>
      <w:r w:rsidRPr="000322E4">
        <w:rPr>
          <w:i/>
          <w:iCs/>
        </w:rPr>
        <w:t xml:space="preserve">Методов профилактики </w:t>
      </w:r>
      <w:r w:rsidR="001F280A" w:rsidRPr="00D3550C">
        <w:rPr>
          <w:i/>
          <w:iCs/>
          <w:color w:val="000000" w:themeColor="text1"/>
        </w:rPr>
        <w:t>ДВКЛ, ПМВКЛ, ЛБ</w:t>
      </w:r>
      <w:r w:rsidRPr="00D3550C">
        <w:rPr>
          <w:i/>
          <w:iCs/>
          <w:color w:val="000000" w:themeColor="text1"/>
        </w:rPr>
        <w:t xml:space="preserve"> </w:t>
      </w:r>
      <w:r w:rsidRPr="000322E4">
        <w:rPr>
          <w:i/>
          <w:iCs/>
        </w:rPr>
        <w:t>в настоящее время не существует, поскольку неизвестны этиологические факторы, ведущие к развитию заболевания.</w:t>
      </w:r>
    </w:p>
    <w:p w14:paraId="3F3794C5" w14:textId="57892970" w:rsidR="00655C97" w:rsidRPr="000322E4" w:rsidRDefault="00F533A5" w:rsidP="00F414BF">
      <w:pPr>
        <w:pStyle w:val="afe"/>
        <w:numPr>
          <w:ilvl w:val="0"/>
          <w:numId w:val="10"/>
        </w:numPr>
        <w:ind w:left="709" w:hanging="425"/>
      </w:pPr>
      <w:r w:rsidRPr="000322E4">
        <w:lastRenderedPageBreak/>
        <w:t>Взрослым</w:t>
      </w:r>
      <w:r w:rsidR="00655C97" w:rsidRPr="000322E4">
        <w:t xml:space="preserve"> пациентам, завершивши</w:t>
      </w:r>
      <w:r w:rsidRPr="000322E4">
        <w:t>м</w:t>
      </w:r>
      <w:r w:rsidR="00655C97" w:rsidRPr="000322E4">
        <w:t xml:space="preserve"> лечение </w:t>
      </w:r>
      <w:r w:rsidR="00655C97" w:rsidRPr="00D3550C">
        <w:rPr>
          <w:color w:val="000000" w:themeColor="text1"/>
        </w:rPr>
        <w:t xml:space="preserve">по поводу </w:t>
      </w:r>
      <w:r w:rsidR="001F280A" w:rsidRPr="00D3550C">
        <w:rPr>
          <w:color w:val="000000" w:themeColor="text1"/>
        </w:rPr>
        <w:t>ДВКЛ, ПМВКЛ, ЛБ</w:t>
      </w:r>
      <w:r w:rsidR="00655C97" w:rsidRPr="00D3550C">
        <w:rPr>
          <w:color w:val="000000" w:themeColor="text1"/>
        </w:rPr>
        <w:t xml:space="preserve"> с </w:t>
      </w:r>
      <w:r w:rsidR="00655C97" w:rsidRPr="000322E4">
        <w:t xml:space="preserve">достижением ПР, </w:t>
      </w:r>
      <w:r w:rsidR="00655C97" w:rsidRPr="000322E4">
        <w:rPr>
          <w:b/>
          <w:bCs/>
        </w:rPr>
        <w:t xml:space="preserve">рекомендуется </w:t>
      </w:r>
      <w:r w:rsidR="00655C97" w:rsidRPr="000322E4">
        <w:t>диспансерное наблюдение</w:t>
      </w:r>
      <w:r w:rsidR="00831EAA" w:rsidRPr="000322E4">
        <w:t xml:space="preserve"> у</w:t>
      </w:r>
      <w:r w:rsidR="00BA2C65" w:rsidRPr="000322E4">
        <w:t xml:space="preserve"> врача-</w:t>
      </w:r>
      <w:r w:rsidR="00831EAA" w:rsidRPr="000322E4">
        <w:t xml:space="preserve">онколога или </w:t>
      </w:r>
      <w:r w:rsidR="00BA2C65" w:rsidRPr="000322E4">
        <w:t>врача-</w:t>
      </w:r>
      <w:r w:rsidR="00831EAA" w:rsidRPr="000322E4">
        <w:t>гематолога</w:t>
      </w:r>
      <w:r w:rsidR="00655C97" w:rsidRPr="000322E4">
        <w:t xml:space="preserve"> </w:t>
      </w:r>
      <w:r w:rsidR="00BA2C65" w:rsidRPr="000322E4">
        <w:t xml:space="preserve">с соблюдением следующей частоты обследований пациента - </w:t>
      </w:r>
      <w:r w:rsidR="00441E32" w:rsidRPr="000322E4">
        <w:t xml:space="preserve">в течение первого года </w:t>
      </w:r>
      <w:r w:rsidR="00831EAA" w:rsidRPr="000322E4">
        <w:t xml:space="preserve">после завершения терапии </w:t>
      </w:r>
      <w:r w:rsidR="00441E32" w:rsidRPr="000322E4">
        <w:t>каждые 3 месяца, 2-го года – каждые 6 месяцев, в дальнейшем – ежегодно</w:t>
      </w:r>
      <w:r w:rsidR="003430E6" w:rsidRPr="000322E4">
        <w:t>, после 5 лет – каждые 2 года</w:t>
      </w:r>
      <w:r w:rsidR="00831EAA" w:rsidRPr="000322E4">
        <w:t xml:space="preserve"> </w:t>
      </w:r>
      <w:r w:rsidR="00831EAA" w:rsidRPr="000322E4">
        <w:fldChar w:fldCharType="begin" w:fldLock="1"/>
      </w:r>
      <w:r w:rsidR="009D170B">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id":"ITEM-2","itemData":{"author":[{"dropping-particle":"","family":"Тумян","given":"Г.С.","non-dropping-particle":"","parse-names":false,"suffix":""},{"dropping-particle":"","family":"Кравченко","given":"С.К.","non-dropping-particle":"","parse-names":false,"suffix":""},{"dropping-particle":"","family":"Михайлова","given":"Н.Б.","non-dropping-particle":"","parse-names":false,"suffix":""},{"dropping-particle":"","family":"Барях","given":"Е.А.","non-dropping-particle":"","parse-names":false,"suffix":""},{"dropping-particle":"","family":"Птушкин","given":"В.В.","non-dropping-particle":"","parse-names":false,"suffix":""},{"dropping-particle":"","family":"Поддубная","given":"И.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Савченко.","id":"ITEM-2","issued":{"date-parts":[["2018"]]},"page":"58-68","title":"Диффузная В-клеточная крупноклеточная лимфома","type":"chapter"},"uris":["http://www.mendeley.com/documents/?uuid=cb7114f7-4655-4733-8df2-526cc4e32730"]},{"id":"ITEM-3","itemData":{"DOI":"10.1093/annonc/mdv304","ISSN":"1569-8041","PMID":"26314773","author":[{"dropping-particle":"","family":"Tilly","given":"H","non-dropping-particle":"","parse-names":false,"suffix":""},{"dropping-particle":"","family":"Gomes da Silva","given":"M","non-dropping-particle":"","parse-names":false,"suffix":""},{"dropping-particle":"","family":"Vitolo","given":"U","non-dropping-particle":"","parse-names":false,"suffix":""},{"dropping-particle":"","family":"Jack","given":"A","non-dropping-particle":"","parse-names":false,"suffix":""},{"dropping-particle":"","family":"Meignan","given":"M","non-dropping-particle":"","parse-names":false,"suffix":""},{"dropping-particle":"","family":"Lopez-Guillermo","given":"A","non-dropping-particle":"","parse-names":false,"suffix":""},{"dropping-particle":"","family":"Walewski","given":"J","non-dropping-particle":"","parse-names":false,"suffix":""},{"dropping-particle":"","family":"André","given":"M","non-dropping-particle":"","parse-names":false,"suffix":""},{"dropping-particle":"","family":"Johnson","given":"P W","non-dropping-particle":"","parse-names":false,"suffix":""},{"dropping-particle":"","family":"Pfreundschuh","given":"M","non-dropping-particle":"","parse-names":false,"suffix":""},{"dropping-particle":"","family":"Ladetto","given":"M","non-dropping-particle":"","parse-names":false,"suffix":""},{"dropping-particle":"","family":"ESMO Guidelines Committee","given":"","non-dropping-particle":"","parse-names":false,"suffix":""}],"container-title":"Annals of oncology : official journal of the European Society for Medical Oncology","id":"ITEM-3","issued":{"date-parts":[["2015","9"]]},"page":"v116-25","title":"Diffuse large B-cell lymphoma (DLBCL): ESMO Clinical Practice Guidelines for diagnosis, treatment and follow-up.","type":"article-journal","volume":"26 Suppl 5"},"uris":["http://www.mendeley.com/documents/?uuid=1697b7a7-5190-39af-8155-3d2b075b5466"]}],"mendeley":{"formattedCitation":"[20,27,28]","plainTextFormattedCitation":"[20,27,28]","previouslyFormattedCitation":"[20,27,28]"},"properties":{"noteIndex":0},"schema":"https://github.com/citation-style-language/schema/raw/master/csl-citation.json"}</w:instrText>
      </w:r>
      <w:r w:rsidR="00831EAA" w:rsidRPr="000322E4">
        <w:fldChar w:fldCharType="separate"/>
      </w:r>
      <w:r w:rsidR="00095D58" w:rsidRPr="00095D58">
        <w:rPr>
          <w:noProof/>
        </w:rPr>
        <w:t>[20,27,28]</w:t>
      </w:r>
      <w:r w:rsidR="00831EAA" w:rsidRPr="000322E4">
        <w:fldChar w:fldCharType="end"/>
      </w:r>
      <w:r w:rsidR="00441E32" w:rsidRPr="000322E4">
        <w:t>.</w:t>
      </w:r>
      <w:r w:rsidR="00655C97" w:rsidRPr="000322E4">
        <w:t xml:space="preserve"> </w:t>
      </w:r>
    </w:p>
    <w:p w14:paraId="525331A4" w14:textId="77777777" w:rsidR="00831EAA" w:rsidRPr="000322E4" w:rsidRDefault="00441E32" w:rsidP="00F414BF">
      <w:pPr>
        <w:spacing w:line="360" w:lineRule="auto"/>
        <w:ind w:left="709"/>
        <w:contextualSpacing/>
        <w:jc w:val="both"/>
        <w:rPr>
          <w:b/>
        </w:rPr>
      </w:pPr>
      <w:r w:rsidRPr="000322E4">
        <w:rPr>
          <w:b/>
        </w:rPr>
        <w:t xml:space="preserve">Уровень убедительности рекомендаций </w:t>
      </w:r>
      <w:r w:rsidRPr="000322E4">
        <w:rPr>
          <w:b/>
          <w:lang w:val="en-US"/>
        </w:rPr>
        <w:t>C</w:t>
      </w:r>
      <w:r w:rsidRPr="000322E4">
        <w:rPr>
          <w:b/>
        </w:rPr>
        <w:t xml:space="preserve"> (уровень достоверности доказательств 5).</w:t>
      </w:r>
    </w:p>
    <w:p w14:paraId="5CA445E1" w14:textId="77777777" w:rsidR="00831EAA" w:rsidRPr="000322E4" w:rsidRDefault="00441E32" w:rsidP="00D3550C">
      <w:pPr>
        <w:spacing w:line="360" w:lineRule="auto"/>
        <w:ind w:firstLine="709"/>
        <w:contextualSpacing/>
        <w:jc w:val="both"/>
        <w:rPr>
          <w:i/>
          <w:iCs/>
        </w:rPr>
      </w:pPr>
      <w:r w:rsidRPr="000322E4">
        <w:rPr>
          <w:b/>
        </w:rPr>
        <w:t>Комментарий:</w:t>
      </w:r>
      <w:r w:rsidRPr="000322E4">
        <w:t xml:space="preserve"> </w:t>
      </w:r>
      <w:r w:rsidR="00831EAA" w:rsidRPr="000322E4">
        <w:rPr>
          <w:i/>
        </w:rPr>
        <w:t>диспа</w:t>
      </w:r>
      <w:r w:rsidR="003430E6" w:rsidRPr="000322E4">
        <w:rPr>
          <w:i/>
        </w:rPr>
        <w:t>нс</w:t>
      </w:r>
      <w:r w:rsidRPr="000322E4">
        <w:rPr>
          <w:i/>
        </w:rPr>
        <w:t>е</w:t>
      </w:r>
      <w:r w:rsidR="00831EAA" w:rsidRPr="000322E4">
        <w:rPr>
          <w:i/>
        </w:rPr>
        <w:t xml:space="preserve">рное наблюдение должно включать тщательный сбор жалоб, клинический осмотр пациента, </w:t>
      </w:r>
      <w:r w:rsidRPr="000322E4">
        <w:rPr>
          <w:i/>
          <w:iCs/>
        </w:rPr>
        <w:t>рентгенологический контроль органов грудной клетки</w:t>
      </w:r>
      <w:r w:rsidR="009B70C4" w:rsidRPr="000322E4">
        <w:rPr>
          <w:i/>
          <w:iCs/>
        </w:rPr>
        <w:t xml:space="preserve"> (КТ или рентгенография)</w:t>
      </w:r>
      <w:r w:rsidRPr="000322E4">
        <w:rPr>
          <w:i/>
          <w:iCs/>
        </w:rPr>
        <w:t>, УЗИ брюшной полости и периферических лимфатических коллекторов</w:t>
      </w:r>
      <w:r w:rsidR="00831EAA" w:rsidRPr="000322E4">
        <w:rPr>
          <w:i/>
          <w:iCs/>
        </w:rPr>
        <w:t>.</w:t>
      </w:r>
      <w:r w:rsidR="003430E6" w:rsidRPr="000322E4">
        <w:rPr>
          <w:i/>
          <w:iCs/>
        </w:rPr>
        <w:t xml:space="preserve"> Для </w:t>
      </w:r>
      <w:r w:rsidR="00103620" w:rsidRPr="000322E4">
        <w:rPr>
          <w:i/>
          <w:iCs/>
        </w:rPr>
        <w:t>пациентов</w:t>
      </w:r>
      <w:r w:rsidR="003430E6" w:rsidRPr="000322E4">
        <w:rPr>
          <w:i/>
          <w:iCs/>
        </w:rPr>
        <w:t>, получавших антрациклины и блеомицин в сочетании с облучением средостения – исследование функции сердца</w:t>
      </w:r>
      <w:r w:rsidR="009B70C4" w:rsidRPr="000322E4">
        <w:rPr>
          <w:i/>
          <w:iCs/>
        </w:rPr>
        <w:t xml:space="preserve"> (ЭКТ и ЭхоКГ)</w:t>
      </w:r>
      <w:r w:rsidR="003430E6" w:rsidRPr="000322E4">
        <w:rPr>
          <w:i/>
          <w:iCs/>
        </w:rPr>
        <w:t xml:space="preserve"> и легких</w:t>
      </w:r>
      <w:r w:rsidR="009B70C4" w:rsidRPr="000322E4">
        <w:rPr>
          <w:i/>
          <w:iCs/>
        </w:rPr>
        <w:t xml:space="preserve"> (спирография)</w:t>
      </w:r>
      <w:r w:rsidR="003430E6" w:rsidRPr="000322E4">
        <w:rPr>
          <w:i/>
          <w:iCs/>
        </w:rPr>
        <w:t>.</w:t>
      </w:r>
    </w:p>
    <w:p w14:paraId="2519B8C2" w14:textId="6EA5DC44" w:rsidR="00F533A5" w:rsidRPr="000322E4" w:rsidRDefault="00F533A5" w:rsidP="00F414BF">
      <w:pPr>
        <w:pStyle w:val="afe"/>
        <w:numPr>
          <w:ilvl w:val="0"/>
          <w:numId w:val="10"/>
        </w:numPr>
        <w:ind w:left="709" w:hanging="425"/>
      </w:pPr>
      <w:r w:rsidRPr="000322E4">
        <w:t xml:space="preserve">Детям и подросткам, завершившим лечение </w:t>
      </w:r>
      <w:r w:rsidRPr="00D3550C">
        <w:rPr>
          <w:color w:val="000000" w:themeColor="text1"/>
        </w:rPr>
        <w:t xml:space="preserve">по поводу </w:t>
      </w:r>
      <w:r w:rsidR="001F280A" w:rsidRPr="00D3550C">
        <w:rPr>
          <w:color w:val="000000" w:themeColor="text1"/>
        </w:rPr>
        <w:t>ДВКЛ, ПМВКЛ, ЛБ</w:t>
      </w:r>
      <w:r w:rsidRPr="00D3550C">
        <w:rPr>
          <w:color w:val="000000" w:themeColor="text1"/>
        </w:rPr>
        <w:t xml:space="preserve"> </w:t>
      </w:r>
      <w:r w:rsidRPr="000322E4">
        <w:t xml:space="preserve">с достижением ПР, </w:t>
      </w:r>
      <w:r w:rsidRPr="000322E4">
        <w:rPr>
          <w:b/>
          <w:bCs/>
        </w:rPr>
        <w:t xml:space="preserve">рекомендуется </w:t>
      </w:r>
      <w:r w:rsidRPr="000322E4">
        <w:t xml:space="preserve">диспансерное наблюдение у </w:t>
      </w:r>
      <w:r w:rsidR="00BA2C65" w:rsidRPr="000322E4">
        <w:t>врача-</w:t>
      </w:r>
      <w:r w:rsidRPr="000322E4">
        <w:t xml:space="preserve">онколога или </w:t>
      </w:r>
      <w:r w:rsidR="00BA2C65" w:rsidRPr="000322E4">
        <w:t>врача-</w:t>
      </w:r>
      <w:r w:rsidRPr="000322E4">
        <w:t xml:space="preserve">гематолога по графику, представленному в табл. 5.1 </w:t>
      </w:r>
      <w:r w:rsidRPr="000322E4">
        <w:fldChar w:fldCharType="begin" w:fldLock="1"/>
      </w:r>
      <w:r w:rsidR="00A6794A">
        <w:instrText>ADDIN CSL_CITATION {"citationItems":[{"id":"ITEM-1","itemData":{"author":[{"dropping-particle":"","family":"Румянцев","given":"А.Г.","non-dropping-particle":"","parse-names":false,"suffix":""},{"dropping-particle":"","family":"Самочатова","given":"Е.В.","non-dropping-particle":"","parse-names":false,"suffix":""}],"id":"ITEM-1","issued":{"date-parts":[["2004"]]},"publisher":"Медпрактика-М, Москва","title":"Практическое руководство по детским болезням. Гематология/онкология детского возраста.","type":"book"},"uris":["http://www.mendeley.com/documents/?uuid=8c7d4149-b932-4e8f-a7ab-5a5e6f9b51b5"]}],"mendeley":{"formattedCitation":"[164]","plainTextFormattedCitation":"[164]","previouslyFormattedCitation":"[164]"},"properties":{"noteIndex":0},"schema":"https://github.com/citation-style-language/schema/raw/master/csl-citation.json"}</w:instrText>
      </w:r>
      <w:r w:rsidRPr="000322E4">
        <w:fldChar w:fldCharType="separate"/>
      </w:r>
      <w:r w:rsidR="006E1902" w:rsidRPr="006E1902">
        <w:rPr>
          <w:noProof/>
        </w:rPr>
        <w:t>[164]</w:t>
      </w:r>
      <w:r w:rsidRPr="000322E4">
        <w:fldChar w:fldCharType="end"/>
      </w:r>
      <w:r w:rsidRPr="000322E4">
        <w:t xml:space="preserve">. </w:t>
      </w:r>
    </w:p>
    <w:p w14:paraId="66D1B328" w14:textId="77777777" w:rsidR="00F533A5" w:rsidRPr="000322E4" w:rsidRDefault="00F533A5" w:rsidP="00F414BF">
      <w:pPr>
        <w:spacing w:line="360" w:lineRule="auto"/>
        <w:ind w:left="709"/>
        <w:contextualSpacing/>
        <w:jc w:val="both"/>
        <w:rPr>
          <w:b/>
        </w:rPr>
      </w:pPr>
      <w:r w:rsidRPr="000322E4">
        <w:rPr>
          <w:b/>
        </w:rPr>
        <w:t xml:space="preserve">Уровень убедительности рекомендаций </w:t>
      </w:r>
      <w:r w:rsidRPr="000322E4">
        <w:rPr>
          <w:b/>
          <w:lang w:val="en-US"/>
        </w:rPr>
        <w:t>C</w:t>
      </w:r>
      <w:r w:rsidRPr="000322E4">
        <w:rPr>
          <w:b/>
        </w:rPr>
        <w:t xml:space="preserve"> (уровень достоверности доказательств 5).</w:t>
      </w:r>
    </w:p>
    <w:p w14:paraId="15D2E6B7" w14:textId="77777777" w:rsidR="00F533A5" w:rsidRPr="000322E4" w:rsidRDefault="00F533A5" w:rsidP="00F414BF">
      <w:pPr>
        <w:spacing w:line="360" w:lineRule="auto"/>
        <w:ind w:left="709"/>
        <w:contextualSpacing/>
        <w:jc w:val="both"/>
        <w:rPr>
          <w:i/>
        </w:rPr>
      </w:pPr>
      <w:r w:rsidRPr="000322E4">
        <w:rPr>
          <w:b/>
        </w:rPr>
        <w:t>Комментарий:</w:t>
      </w:r>
      <w:r w:rsidRPr="000322E4">
        <w:t xml:space="preserve"> </w:t>
      </w:r>
    </w:p>
    <w:p w14:paraId="56E9C482" w14:textId="77777777" w:rsidR="00F533A5" w:rsidRPr="000322E4" w:rsidRDefault="00F533A5" w:rsidP="00D3550C">
      <w:pPr>
        <w:spacing w:line="360" w:lineRule="auto"/>
        <w:ind w:firstLine="709"/>
        <w:contextualSpacing/>
        <w:jc w:val="both"/>
        <w:rPr>
          <w:i/>
        </w:rPr>
      </w:pPr>
      <w:r w:rsidRPr="000322E4">
        <w:rPr>
          <w:i/>
        </w:rPr>
        <w:t xml:space="preserve">Таблица 5.1. График диспансерного наблюдения детей после завершения терапии по поводу </w:t>
      </w:r>
      <w:r w:rsidR="00210FA0" w:rsidRPr="000322E4">
        <w:rPr>
          <w:i/>
        </w:rPr>
        <w:t>ДВКЛ</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1276"/>
        <w:gridCol w:w="1134"/>
        <w:gridCol w:w="1276"/>
        <w:gridCol w:w="1134"/>
        <w:gridCol w:w="1275"/>
        <w:gridCol w:w="1134"/>
      </w:tblGrid>
      <w:tr w:rsidR="00F533A5" w:rsidRPr="000322E4" w14:paraId="0C2F201F" w14:textId="77777777" w:rsidTr="00F533A5">
        <w:tc>
          <w:tcPr>
            <w:tcW w:w="2552" w:type="dxa"/>
          </w:tcPr>
          <w:p w14:paraId="61249ABF" w14:textId="77777777" w:rsidR="00F533A5" w:rsidRPr="000322E4" w:rsidRDefault="00F533A5" w:rsidP="00F414BF">
            <w:pPr>
              <w:spacing w:line="360" w:lineRule="auto"/>
              <w:ind w:left="67"/>
              <w:contextualSpacing/>
              <w:jc w:val="both"/>
              <w:rPr>
                <w:rFonts w:cs="Arial"/>
                <w:sz w:val="22"/>
              </w:rPr>
            </w:pPr>
            <w:r w:rsidRPr="000322E4">
              <w:rPr>
                <w:rFonts w:cs="Arial"/>
                <w:sz w:val="22"/>
              </w:rPr>
              <w:t>Обследование</w:t>
            </w:r>
          </w:p>
        </w:tc>
        <w:tc>
          <w:tcPr>
            <w:tcW w:w="1276" w:type="dxa"/>
          </w:tcPr>
          <w:p w14:paraId="54518453" w14:textId="77777777" w:rsidR="00F533A5" w:rsidRPr="000322E4" w:rsidRDefault="00F533A5" w:rsidP="00F414BF">
            <w:pPr>
              <w:spacing w:line="360" w:lineRule="auto"/>
              <w:contextualSpacing/>
              <w:jc w:val="both"/>
              <w:rPr>
                <w:rFonts w:cs="Arial"/>
                <w:sz w:val="22"/>
              </w:rPr>
            </w:pPr>
            <w:r w:rsidRPr="000322E4">
              <w:rPr>
                <w:rFonts w:cs="Arial"/>
                <w:sz w:val="22"/>
              </w:rPr>
              <w:t>1-ый год</w:t>
            </w:r>
          </w:p>
        </w:tc>
        <w:tc>
          <w:tcPr>
            <w:tcW w:w="1134" w:type="dxa"/>
          </w:tcPr>
          <w:p w14:paraId="564E566B" w14:textId="77777777" w:rsidR="00F533A5" w:rsidRPr="000322E4" w:rsidRDefault="00F533A5" w:rsidP="00F414BF">
            <w:pPr>
              <w:spacing w:line="360" w:lineRule="auto"/>
              <w:contextualSpacing/>
              <w:jc w:val="both"/>
              <w:rPr>
                <w:rFonts w:cs="Arial"/>
                <w:sz w:val="22"/>
              </w:rPr>
            </w:pPr>
            <w:r w:rsidRPr="000322E4">
              <w:rPr>
                <w:rFonts w:cs="Arial"/>
                <w:sz w:val="22"/>
              </w:rPr>
              <w:t>2-ой год</w:t>
            </w:r>
          </w:p>
        </w:tc>
        <w:tc>
          <w:tcPr>
            <w:tcW w:w="1276" w:type="dxa"/>
          </w:tcPr>
          <w:p w14:paraId="165620CA" w14:textId="77777777" w:rsidR="00F533A5" w:rsidRPr="000322E4" w:rsidRDefault="00F533A5" w:rsidP="00F414BF">
            <w:pPr>
              <w:spacing w:line="360" w:lineRule="auto"/>
              <w:contextualSpacing/>
              <w:jc w:val="both"/>
              <w:rPr>
                <w:rFonts w:cs="Arial"/>
                <w:sz w:val="22"/>
              </w:rPr>
            </w:pPr>
            <w:r w:rsidRPr="000322E4">
              <w:rPr>
                <w:rFonts w:cs="Arial"/>
                <w:sz w:val="22"/>
              </w:rPr>
              <w:t>3-ий год</w:t>
            </w:r>
          </w:p>
        </w:tc>
        <w:tc>
          <w:tcPr>
            <w:tcW w:w="1134" w:type="dxa"/>
          </w:tcPr>
          <w:p w14:paraId="013497AA" w14:textId="77777777" w:rsidR="00F533A5" w:rsidRPr="000322E4" w:rsidRDefault="00F533A5" w:rsidP="00F414BF">
            <w:pPr>
              <w:spacing w:line="360" w:lineRule="auto"/>
              <w:contextualSpacing/>
              <w:jc w:val="both"/>
              <w:rPr>
                <w:rFonts w:cs="Arial"/>
                <w:sz w:val="22"/>
              </w:rPr>
            </w:pPr>
            <w:r w:rsidRPr="000322E4">
              <w:rPr>
                <w:rFonts w:cs="Arial"/>
                <w:sz w:val="22"/>
              </w:rPr>
              <w:t>4-ый год</w:t>
            </w:r>
          </w:p>
        </w:tc>
        <w:tc>
          <w:tcPr>
            <w:tcW w:w="1275" w:type="dxa"/>
          </w:tcPr>
          <w:p w14:paraId="59AB03A9" w14:textId="77777777" w:rsidR="00F533A5" w:rsidRPr="000322E4" w:rsidRDefault="00F533A5" w:rsidP="00F414BF">
            <w:pPr>
              <w:spacing w:line="360" w:lineRule="auto"/>
              <w:contextualSpacing/>
              <w:jc w:val="both"/>
              <w:rPr>
                <w:rFonts w:cs="Arial"/>
                <w:sz w:val="22"/>
              </w:rPr>
            </w:pPr>
            <w:r w:rsidRPr="000322E4">
              <w:rPr>
                <w:rFonts w:cs="Arial"/>
                <w:sz w:val="22"/>
              </w:rPr>
              <w:t>5-ый год</w:t>
            </w:r>
          </w:p>
        </w:tc>
        <w:tc>
          <w:tcPr>
            <w:tcW w:w="1134" w:type="dxa"/>
          </w:tcPr>
          <w:p w14:paraId="10B85F5D" w14:textId="77777777" w:rsidR="00F533A5" w:rsidRPr="000322E4" w:rsidRDefault="00F533A5" w:rsidP="00F414BF">
            <w:pPr>
              <w:spacing w:line="360" w:lineRule="auto"/>
              <w:contextualSpacing/>
              <w:jc w:val="both"/>
              <w:rPr>
                <w:rFonts w:cs="Arial"/>
                <w:sz w:val="22"/>
              </w:rPr>
            </w:pPr>
            <w:r w:rsidRPr="000322E4">
              <w:rPr>
                <w:rFonts w:cs="Arial"/>
                <w:sz w:val="22"/>
              </w:rPr>
              <w:t>6-ой  год</w:t>
            </w:r>
          </w:p>
        </w:tc>
      </w:tr>
      <w:tr w:rsidR="00F533A5" w:rsidRPr="000322E4" w14:paraId="7C83C123" w14:textId="77777777" w:rsidTr="00F533A5">
        <w:trPr>
          <w:cantSplit/>
        </w:trPr>
        <w:tc>
          <w:tcPr>
            <w:tcW w:w="2552" w:type="dxa"/>
          </w:tcPr>
          <w:p w14:paraId="06EFF49F" w14:textId="77777777" w:rsidR="00F533A5" w:rsidRPr="000322E4" w:rsidRDefault="00F533A5" w:rsidP="00F414BF">
            <w:pPr>
              <w:spacing w:line="360" w:lineRule="auto"/>
              <w:ind w:left="67"/>
              <w:contextualSpacing/>
              <w:jc w:val="both"/>
              <w:rPr>
                <w:rFonts w:cs="Arial"/>
                <w:sz w:val="22"/>
              </w:rPr>
            </w:pPr>
            <w:r w:rsidRPr="000322E4">
              <w:rPr>
                <w:rFonts w:cs="Arial"/>
                <w:sz w:val="22"/>
              </w:rPr>
              <w:t>Клинический осмотр</w:t>
            </w:r>
          </w:p>
        </w:tc>
        <w:tc>
          <w:tcPr>
            <w:tcW w:w="1276" w:type="dxa"/>
          </w:tcPr>
          <w:p w14:paraId="3E882372" w14:textId="77777777" w:rsidR="00F533A5" w:rsidRPr="000322E4" w:rsidRDefault="00F533A5" w:rsidP="00F414BF">
            <w:pPr>
              <w:spacing w:line="360" w:lineRule="auto"/>
              <w:contextualSpacing/>
              <w:jc w:val="both"/>
              <w:rPr>
                <w:rFonts w:cs="Arial"/>
                <w:sz w:val="22"/>
              </w:rPr>
            </w:pPr>
            <w:r w:rsidRPr="000322E4">
              <w:rPr>
                <w:rFonts w:cs="Arial"/>
                <w:sz w:val="22"/>
              </w:rPr>
              <w:t>4-8х</w:t>
            </w:r>
          </w:p>
        </w:tc>
        <w:tc>
          <w:tcPr>
            <w:tcW w:w="1134" w:type="dxa"/>
          </w:tcPr>
          <w:p w14:paraId="07C4A249" w14:textId="77777777" w:rsidR="00F533A5" w:rsidRPr="000322E4" w:rsidRDefault="00F533A5" w:rsidP="00F414BF">
            <w:pPr>
              <w:spacing w:line="360" w:lineRule="auto"/>
              <w:contextualSpacing/>
              <w:jc w:val="both"/>
              <w:rPr>
                <w:rFonts w:cs="Arial"/>
                <w:sz w:val="22"/>
              </w:rPr>
            </w:pPr>
            <w:r w:rsidRPr="000322E4">
              <w:rPr>
                <w:rFonts w:cs="Arial"/>
                <w:sz w:val="22"/>
              </w:rPr>
              <w:t>4-8х</w:t>
            </w:r>
          </w:p>
        </w:tc>
        <w:tc>
          <w:tcPr>
            <w:tcW w:w="1276" w:type="dxa"/>
          </w:tcPr>
          <w:p w14:paraId="1D928424" w14:textId="77777777" w:rsidR="00F533A5" w:rsidRPr="000322E4" w:rsidRDefault="00F533A5" w:rsidP="00F414BF">
            <w:pPr>
              <w:spacing w:line="360" w:lineRule="auto"/>
              <w:contextualSpacing/>
              <w:jc w:val="both"/>
              <w:rPr>
                <w:rFonts w:cs="Arial"/>
                <w:sz w:val="22"/>
              </w:rPr>
            </w:pPr>
            <w:r w:rsidRPr="000322E4">
              <w:rPr>
                <w:rFonts w:cs="Arial"/>
                <w:sz w:val="22"/>
              </w:rPr>
              <w:t>4х</w:t>
            </w:r>
          </w:p>
        </w:tc>
        <w:tc>
          <w:tcPr>
            <w:tcW w:w="1134" w:type="dxa"/>
          </w:tcPr>
          <w:p w14:paraId="18E426B5" w14:textId="77777777" w:rsidR="00F533A5" w:rsidRPr="000322E4" w:rsidRDefault="00F533A5" w:rsidP="00F414BF">
            <w:pPr>
              <w:spacing w:line="360" w:lineRule="auto"/>
              <w:contextualSpacing/>
              <w:jc w:val="both"/>
              <w:rPr>
                <w:rFonts w:cs="Arial"/>
                <w:sz w:val="22"/>
              </w:rPr>
            </w:pPr>
            <w:r w:rsidRPr="000322E4">
              <w:rPr>
                <w:rFonts w:cs="Arial"/>
                <w:sz w:val="22"/>
              </w:rPr>
              <w:t>2х</w:t>
            </w:r>
          </w:p>
        </w:tc>
        <w:tc>
          <w:tcPr>
            <w:tcW w:w="1275" w:type="dxa"/>
          </w:tcPr>
          <w:p w14:paraId="03ADA821" w14:textId="77777777" w:rsidR="00F533A5" w:rsidRPr="000322E4" w:rsidRDefault="00F533A5" w:rsidP="00F414BF">
            <w:pPr>
              <w:spacing w:line="360" w:lineRule="auto"/>
              <w:contextualSpacing/>
              <w:jc w:val="both"/>
              <w:rPr>
                <w:rFonts w:cs="Arial"/>
                <w:sz w:val="22"/>
              </w:rPr>
            </w:pPr>
            <w:r w:rsidRPr="000322E4">
              <w:rPr>
                <w:rFonts w:cs="Arial"/>
                <w:sz w:val="22"/>
              </w:rPr>
              <w:t>2х</w:t>
            </w:r>
          </w:p>
        </w:tc>
        <w:tc>
          <w:tcPr>
            <w:tcW w:w="1134" w:type="dxa"/>
            <w:vMerge w:val="restart"/>
            <w:textDirection w:val="btLr"/>
          </w:tcPr>
          <w:p w14:paraId="38179A35" w14:textId="77777777" w:rsidR="00F533A5" w:rsidRPr="000322E4" w:rsidRDefault="00F533A5" w:rsidP="00F414BF">
            <w:pPr>
              <w:spacing w:line="360" w:lineRule="auto"/>
              <w:contextualSpacing/>
              <w:jc w:val="both"/>
              <w:rPr>
                <w:rFonts w:cs="Arial"/>
                <w:sz w:val="22"/>
              </w:rPr>
            </w:pPr>
            <w:r w:rsidRPr="000322E4">
              <w:rPr>
                <w:rFonts w:cs="Arial"/>
                <w:sz w:val="22"/>
              </w:rPr>
              <w:t>Индивидуально</w:t>
            </w:r>
          </w:p>
        </w:tc>
      </w:tr>
      <w:tr w:rsidR="00F533A5" w:rsidRPr="000322E4" w14:paraId="2D61699A" w14:textId="77777777" w:rsidTr="00F533A5">
        <w:trPr>
          <w:cantSplit/>
        </w:trPr>
        <w:tc>
          <w:tcPr>
            <w:tcW w:w="2552" w:type="dxa"/>
          </w:tcPr>
          <w:p w14:paraId="65954C68" w14:textId="77777777" w:rsidR="00F533A5" w:rsidRPr="000322E4" w:rsidRDefault="00F533A5" w:rsidP="00F414BF">
            <w:pPr>
              <w:spacing w:line="360" w:lineRule="auto"/>
              <w:ind w:left="67"/>
              <w:contextualSpacing/>
              <w:jc w:val="both"/>
              <w:rPr>
                <w:rFonts w:cs="Arial"/>
                <w:sz w:val="22"/>
              </w:rPr>
            </w:pPr>
            <w:r w:rsidRPr="000322E4">
              <w:rPr>
                <w:rFonts w:cs="Arial"/>
                <w:sz w:val="22"/>
              </w:rPr>
              <w:t>ОАК</w:t>
            </w:r>
          </w:p>
        </w:tc>
        <w:tc>
          <w:tcPr>
            <w:tcW w:w="1276" w:type="dxa"/>
          </w:tcPr>
          <w:p w14:paraId="2BA112D1" w14:textId="77777777" w:rsidR="00F533A5" w:rsidRPr="000322E4" w:rsidRDefault="00F533A5" w:rsidP="00F414BF">
            <w:pPr>
              <w:spacing w:line="360" w:lineRule="auto"/>
              <w:contextualSpacing/>
              <w:jc w:val="both"/>
              <w:rPr>
                <w:rFonts w:cs="Arial"/>
                <w:sz w:val="22"/>
              </w:rPr>
            </w:pPr>
            <w:r w:rsidRPr="000322E4">
              <w:rPr>
                <w:rFonts w:cs="Arial"/>
                <w:sz w:val="22"/>
              </w:rPr>
              <w:t>4х</w:t>
            </w:r>
          </w:p>
        </w:tc>
        <w:tc>
          <w:tcPr>
            <w:tcW w:w="1134" w:type="dxa"/>
          </w:tcPr>
          <w:p w14:paraId="5D5B9804" w14:textId="77777777" w:rsidR="00F533A5" w:rsidRPr="000322E4" w:rsidRDefault="00F533A5" w:rsidP="00F414BF">
            <w:pPr>
              <w:spacing w:line="360" w:lineRule="auto"/>
              <w:contextualSpacing/>
              <w:jc w:val="both"/>
              <w:rPr>
                <w:rFonts w:cs="Arial"/>
                <w:sz w:val="22"/>
              </w:rPr>
            </w:pPr>
            <w:r w:rsidRPr="000322E4">
              <w:rPr>
                <w:rFonts w:cs="Arial"/>
                <w:sz w:val="22"/>
              </w:rPr>
              <w:t>4х</w:t>
            </w:r>
          </w:p>
        </w:tc>
        <w:tc>
          <w:tcPr>
            <w:tcW w:w="1276" w:type="dxa"/>
          </w:tcPr>
          <w:p w14:paraId="1DE3C538" w14:textId="77777777" w:rsidR="00F533A5" w:rsidRPr="000322E4" w:rsidRDefault="00F533A5" w:rsidP="00F414BF">
            <w:pPr>
              <w:spacing w:line="360" w:lineRule="auto"/>
              <w:contextualSpacing/>
              <w:jc w:val="both"/>
              <w:rPr>
                <w:rFonts w:cs="Arial"/>
                <w:sz w:val="22"/>
              </w:rPr>
            </w:pPr>
            <w:r w:rsidRPr="000322E4">
              <w:rPr>
                <w:rFonts w:cs="Arial"/>
                <w:sz w:val="22"/>
              </w:rPr>
              <w:t>2х</w:t>
            </w:r>
          </w:p>
        </w:tc>
        <w:tc>
          <w:tcPr>
            <w:tcW w:w="1134" w:type="dxa"/>
          </w:tcPr>
          <w:p w14:paraId="4611C12C" w14:textId="77777777" w:rsidR="00F533A5" w:rsidRPr="000322E4" w:rsidRDefault="00F533A5" w:rsidP="00F414BF">
            <w:pPr>
              <w:spacing w:line="360" w:lineRule="auto"/>
              <w:contextualSpacing/>
              <w:jc w:val="both"/>
              <w:rPr>
                <w:rFonts w:cs="Arial"/>
                <w:sz w:val="22"/>
              </w:rPr>
            </w:pPr>
            <w:r w:rsidRPr="000322E4">
              <w:rPr>
                <w:rFonts w:cs="Arial"/>
                <w:sz w:val="22"/>
              </w:rPr>
              <w:t>2х</w:t>
            </w:r>
          </w:p>
        </w:tc>
        <w:tc>
          <w:tcPr>
            <w:tcW w:w="1275" w:type="dxa"/>
          </w:tcPr>
          <w:p w14:paraId="322C87EE" w14:textId="77777777" w:rsidR="00F533A5" w:rsidRPr="000322E4" w:rsidRDefault="00F533A5" w:rsidP="00F414BF">
            <w:pPr>
              <w:spacing w:line="360" w:lineRule="auto"/>
              <w:contextualSpacing/>
              <w:jc w:val="both"/>
              <w:rPr>
                <w:rFonts w:cs="Arial"/>
                <w:sz w:val="22"/>
              </w:rPr>
            </w:pPr>
            <w:r w:rsidRPr="000322E4">
              <w:rPr>
                <w:rFonts w:cs="Arial"/>
                <w:sz w:val="22"/>
              </w:rPr>
              <w:t>2х</w:t>
            </w:r>
          </w:p>
        </w:tc>
        <w:tc>
          <w:tcPr>
            <w:tcW w:w="1134" w:type="dxa"/>
            <w:vMerge/>
          </w:tcPr>
          <w:p w14:paraId="71679238" w14:textId="77777777" w:rsidR="00F533A5" w:rsidRPr="000322E4" w:rsidRDefault="00F533A5" w:rsidP="00F414BF">
            <w:pPr>
              <w:spacing w:line="360" w:lineRule="auto"/>
              <w:contextualSpacing/>
              <w:jc w:val="both"/>
              <w:rPr>
                <w:rFonts w:cs="Arial"/>
                <w:sz w:val="22"/>
              </w:rPr>
            </w:pPr>
          </w:p>
        </w:tc>
      </w:tr>
      <w:tr w:rsidR="00F533A5" w:rsidRPr="000322E4" w14:paraId="7929B428" w14:textId="77777777" w:rsidTr="00F533A5">
        <w:trPr>
          <w:cantSplit/>
        </w:trPr>
        <w:tc>
          <w:tcPr>
            <w:tcW w:w="2552" w:type="dxa"/>
          </w:tcPr>
          <w:p w14:paraId="0D1D0B25" w14:textId="77777777" w:rsidR="00F533A5" w:rsidRPr="000322E4" w:rsidRDefault="00F533A5" w:rsidP="00F414BF">
            <w:pPr>
              <w:spacing w:line="360" w:lineRule="auto"/>
              <w:ind w:left="67"/>
              <w:contextualSpacing/>
              <w:jc w:val="both"/>
              <w:rPr>
                <w:rFonts w:cs="Arial"/>
                <w:sz w:val="22"/>
              </w:rPr>
            </w:pPr>
            <w:r w:rsidRPr="000322E4">
              <w:rPr>
                <w:rFonts w:cs="Arial"/>
                <w:sz w:val="22"/>
              </w:rPr>
              <w:t>ФВД</w:t>
            </w:r>
          </w:p>
        </w:tc>
        <w:tc>
          <w:tcPr>
            <w:tcW w:w="1276" w:type="dxa"/>
          </w:tcPr>
          <w:p w14:paraId="2E4147E2" w14:textId="77777777" w:rsidR="00F533A5" w:rsidRPr="000322E4" w:rsidRDefault="00F533A5" w:rsidP="00F414BF">
            <w:pPr>
              <w:spacing w:line="360" w:lineRule="auto"/>
              <w:contextualSpacing/>
              <w:jc w:val="both"/>
              <w:rPr>
                <w:rFonts w:cs="Arial"/>
                <w:sz w:val="22"/>
              </w:rPr>
            </w:pPr>
            <w:r w:rsidRPr="000322E4">
              <w:rPr>
                <w:rFonts w:cs="Arial"/>
                <w:sz w:val="22"/>
              </w:rPr>
              <w:t>1х</w:t>
            </w:r>
          </w:p>
        </w:tc>
        <w:tc>
          <w:tcPr>
            <w:tcW w:w="4819" w:type="dxa"/>
            <w:gridSpan w:val="4"/>
          </w:tcPr>
          <w:p w14:paraId="196F80D8" w14:textId="77777777" w:rsidR="00F533A5" w:rsidRPr="000322E4" w:rsidRDefault="00F533A5" w:rsidP="00F414BF">
            <w:pPr>
              <w:spacing w:line="360" w:lineRule="auto"/>
              <w:contextualSpacing/>
              <w:jc w:val="both"/>
              <w:rPr>
                <w:rFonts w:cs="Arial"/>
                <w:sz w:val="22"/>
              </w:rPr>
            </w:pPr>
            <w:r w:rsidRPr="000322E4">
              <w:rPr>
                <w:rFonts w:cs="Arial"/>
                <w:sz w:val="22"/>
              </w:rPr>
              <w:t>Индивидуально</w:t>
            </w:r>
          </w:p>
        </w:tc>
        <w:tc>
          <w:tcPr>
            <w:tcW w:w="1134" w:type="dxa"/>
            <w:vMerge/>
          </w:tcPr>
          <w:p w14:paraId="65AEACD7" w14:textId="77777777" w:rsidR="00F533A5" w:rsidRPr="000322E4" w:rsidRDefault="00F533A5" w:rsidP="00F414BF">
            <w:pPr>
              <w:spacing w:line="360" w:lineRule="auto"/>
              <w:contextualSpacing/>
              <w:jc w:val="both"/>
              <w:rPr>
                <w:rFonts w:cs="Arial"/>
                <w:sz w:val="22"/>
              </w:rPr>
            </w:pPr>
          </w:p>
        </w:tc>
      </w:tr>
      <w:tr w:rsidR="00F533A5" w:rsidRPr="000322E4" w14:paraId="6E66B53F" w14:textId="77777777" w:rsidTr="00F533A5">
        <w:trPr>
          <w:cantSplit/>
        </w:trPr>
        <w:tc>
          <w:tcPr>
            <w:tcW w:w="2552" w:type="dxa"/>
          </w:tcPr>
          <w:p w14:paraId="4FF14CA1" w14:textId="77777777" w:rsidR="00F533A5" w:rsidRPr="000322E4" w:rsidRDefault="00F533A5" w:rsidP="00F414BF">
            <w:pPr>
              <w:spacing w:line="360" w:lineRule="auto"/>
              <w:ind w:left="67"/>
              <w:contextualSpacing/>
              <w:jc w:val="both"/>
              <w:rPr>
                <w:rFonts w:cs="Arial"/>
                <w:sz w:val="22"/>
              </w:rPr>
            </w:pPr>
            <w:r w:rsidRPr="000322E4">
              <w:rPr>
                <w:rFonts w:cs="Arial"/>
                <w:sz w:val="22"/>
              </w:rPr>
              <w:t>УЗИ</w:t>
            </w:r>
          </w:p>
        </w:tc>
        <w:tc>
          <w:tcPr>
            <w:tcW w:w="1276" w:type="dxa"/>
          </w:tcPr>
          <w:p w14:paraId="77159E1E" w14:textId="77777777" w:rsidR="00F533A5" w:rsidRPr="000322E4" w:rsidRDefault="00F533A5" w:rsidP="00F414BF">
            <w:pPr>
              <w:spacing w:line="360" w:lineRule="auto"/>
              <w:contextualSpacing/>
              <w:jc w:val="both"/>
              <w:rPr>
                <w:rFonts w:cs="Arial"/>
                <w:sz w:val="22"/>
              </w:rPr>
            </w:pPr>
            <w:r w:rsidRPr="000322E4">
              <w:rPr>
                <w:rFonts w:cs="Arial"/>
                <w:sz w:val="22"/>
              </w:rPr>
              <w:t>4х</w:t>
            </w:r>
          </w:p>
        </w:tc>
        <w:tc>
          <w:tcPr>
            <w:tcW w:w="1134" w:type="dxa"/>
          </w:tcPr>
          <w:p w14:paraId="135FD8BE" w14:textId="77777777" w:rsidR="00F533A5" w:rsidRPr="000322E4" w:rsidRDefault="00F533A5" w:rsidP="00F414BF">
            <w:pPr>
              <w:spacing w:line="360" w:lineRule="auto"/>
              <w:contextualSpacing/>
              <w:jc w:val="both"/>
              <w:rPr>
                <w:rFonts w:cs="Arial"/>
                <w:sz w:val="22"/>
              </w:rPr>
            </w:pPr>
            <w:r w:rsidRPr="000322E4">
              <w:rPr>
                <w:rFonts w:cs="Arial"/>
                <w:sz w:val="22"/>
              </w:rPr>
              <w:t>4х</w:t>
            </w:r>
          </w:p>
        </w:tc>
        <w:tc>
          <w:tcPr>
            <w:tcW w:w="1276" w:type="dxa"/>
          </w:tcPr>
          <w:p w14:paraId="5F0A9D9B" w14:textId="77777777" w:rsidR="00F533A5" w:rsidRPr="000322E4" w:rsidRDefault="00F533A5" w:rsidP="00F414BF">
            <w:pPr>
              <w:spacing w:line="360" w:lineRule="auto"/>
              <w:contextualSpacing/>
              <w:jc w:val="both"/>
              <w:rPr>
                <w:rFonts w:cs="Arial"/>
                <w:sz w:val="22"/>
              </w:rPr>
            </w:pPr>
            <w:r w:rsidRPr="000322E4">
              <w:rPr>
                <w:rFonts w:cs="Arial"/>
                <w:sz w:val="22"/>
              </w:rPr>
              <w:t>2х</w:t>
            </w:r>
          </w:p>
        </w:tc>
        <w:tc>
          <w:tcPr>
            <w:tcW w:w="1134" w:type="dxa"/>
          </w:tcPr>
          <w:p w14:paraId="354D2012" w14:textId="77777777" w:rsidR="00F533A5" w:rsidRPr="000322E4" w:rsidRDefault="00F533A5" w:rsidP="00F414BF">
            <w:pPr>
              <w:spacing w:line="360" w:lineRule="auto"/>
              <w:contextualSpacing/>
              <w:jc w:val="both"/>
              <w:rPr>
                <w:rFonts w:cs="Arial"/>
                <w:sz w:val="22"/>
              </w:rPr>
            </w:pPr>
            <w:r w:rsidRPr="000322E4">
              <w:rPr>
                <w:rFonts w:cs="Arial"/>
                <w:sz w:val="22"/>
              </w:rPr>
              <w:t>2х</w:t>
            </w:r>
          </w:p>
        </w:tc>
        <w:tc>
          <w:tcPr>
            <w:tcW w:w="1275" w:type="dxa"/>
          </w:tcPr>
          <w:p w14:paraId="6AD4276E" w14:textId="77777777" w:rsidR="00F533A5" w:rsidRPr="000322E4" w:rsidRDefault="00F533A5" w:rsidP="00F414BF">
            <w:pPr>
              <w:spacing w:line="360" w:lineRule="auto"/>
              <w:contextualSpacing/>
              <w:jc w:val="both"/>
              <w:rPr>
                <w:rFonts w:cs="Arial"/>
                <w:sz w:val="22"/>
              </w:rPr>
            </w:pPr>
            <w:r w:rsidRPr="000322E4">
              <w:rPr>
                <w:rFonts w:cs="Arial"/>
                <w:sz w:val="22"/>
              </w:rPr>
              <w:t>2х</w:t>
            </w:r>
          </w:p>
        </w:tc>
        <w:tc>
          <w:tcPr>
            <w:tcW w:w="1134" w:type="dxa"/>
            <w:vMerge/>
          </w:tcPr>
          <w:p w14:paraId="67F99F72" w14:textId="77777777" w:rsidR="00F533A5" w:rsidRPr="000322E4" w:rsidRDefault="00F533A5" w:rsidP="00F414BF">
            <w:pPr>
              <w:spacing w:line="360" w:lineRule="auto"/>
              <w:contextualSpacing/>
              <w:jc w:val="both"/>
              <w:rPr>
                <w:rFonts w:cs="Arial"/>
                <w:sz w:val="22"/>
              </w:rPr>
            </w:pPr>
          </w:p>
        </w:tc>
      </w:tr>
      <w:tr w:rsidR="00F533A5" w:rsidRPr="000322E4" w14:paraId="55FDAC31" w14:textId="77777777" w:rsidTr="00F533A5">
        <w:trPr>
          <w:cantSplit/>
        </w:trPr>
        <w:tc>
          <w:tcPr>
            <w:tcW w:w="2552" w:type="dxa"/>
          </w:tcPr>
          <w:p w14:paraId="7544341C" w14:textId="77777777" w:rsidR="00F533A5" w:rsidRPr="000322E4" w:rsidRDefault="00F533A5" w:rsidP="00F414BF">
            <w:pPr>
              <w:spacing w:line="360" w:lineRule="auto"/>
              <w:ind w:left="67"/>
              <w:contextualSpacing/>
              <w:jc w:val="both"/>
              <w:rPr>
                <w:rFonts w:cs="Arial"/>
                <w:sz w:val="22"/>
              </w:rPr>
            </w:pPr>
            <w:r w:rsidRPr="000322E4">
              <w:rPr>
                <w:rFonts w:cs="Arial"/>
                <w:sz w:val="22"/>
              </w:rPr>
              <w:t>КТ, МРТ</w:t>
            </w:r>
          </w:p>
        </w:tc>
        <w:tc>
          <w:tcPr>
            <w:tcW w:w="1276" w:type="dxa"/>
          </w:tcPr>
          <w:p w14:paraId="54900AAF" w14:textId="77777777" w:rsidR="00F533A5" w:rsidRPr="000322E4" w:rsidRDefault="00F533A5" w:rsidP="00F414BF">
            <w:pPr>
              <w:spacing w:line="360" w:lineRule="auto"/>
              <w:contextualSpacing/>
              <w:jc w:val="both"/>
              <w:rPr>
                <w:rFonts w:cs="Arial"/>
                <w:sz w:val="22"/>
              </w:rPr>
            </w:pPr>
            <w:r w:rsidRPr="000322E4">
              <w:rPr>
                <w:rFonts w:cs="Arial"/>
                <w:sz w:val="22"/>
              </w:rPr>
              <w:t>2х</w:t>
            </w:r>
          </w:p>
        </w:tc>
        <w:tc>
          <w:tcPr>
            <w:tcW w:w="1134" w:type="dxa"/>
          </w:tcPr>
          <w:p w14:paraId="34F6C6CC" w14:textId="77777777" w:rsidR="00F533A5" w:rsidRPr="000322E4" w:rsidRDefault="00F533A5" w:rsidP="00F414BF">
            <w:pPr>
              <w:spacing w:line="360" w:lineRule="auto"/>
              <w:contextualSpacing/>
              <w:jc w:val="both"/>
              <w:rPr>
                <w:rFonts w:cs="Arial"/>
                <w:sz w:val="22"/>
              </w:rPr>
            </w:pPr>
            <w:r w:rsidRPr="000322E4">
              <w:rPr>
                <w:rFonts w:cs="Arial"/>
                <w:sz w:val="22"/>
              </w:rPr>
              <w:t>2-1х</w:t>
            </w:r>
          </w:p>
        </w:tc>
        <w:tc>
          <w:tcPr>
            <w:tcW w:w="1276" w:type="dxa"/>
          </w:tcPr>
          <w:p w14:paraId="7A35572C" w14:textId="77777777" w:rsidR="00F533A5" w:rsidRPr="000322E4" w:rsidRDefault="00F533A5" w:rsidP="00F414BF">
            <w:pPr>
              <w:spacing w:line="360" w:lineRule="auto"/>
              <w:contextualSpacing/>
              <w:jc w:val="both"/>
              <w:rPr>
                <w:rFonts w:cs="Arial"/>
                <w:sz w:val="22"/>
              </w:rPr>
            </w:pPr>
            <w:r w:rsidRPr="000322E4">
              <w:rPr>
                <w:rFonts w:cs="Arial"/>
                <w:sz w:val="22"/>
              </w:rPr>
              <w:t>1х</w:t>
            </w:r>
          </w:p>
        </w:tc>
        <w:tc>
          <w:tcPr>
            <w:tcW w:w="1134" w:type="dxa"/>
          </w:tcPr>
          <w:p w14:paraId="6B5E35BB" w14:textId="77777777" w:rsidR="00F533A5" w:rsidRPr="000322E4" w:rsidRDefault="00F533A5" w:rsidP="00F414BF">
            <w:pPr>
              <w:spacing w:line="360" w:lineRule="auto"/>
              <w:contextualSpacing/>
              <w:jc w:val="both"/>
              <w:rPr>
                <w:rFonts w:cs="Arial"/>
                <w:sz w:val="22"/>
              </w:rPr>
            </w:pPr>
            <w:r w:rsidRPr="000322E4">
              <w:rPr>
                <w:rFonts w:cs="Arial"/>
                <w:sz w:val="22"/>
              </w:rPr>
              <w:t>1х</w:t>
            </w:r>
          </w:p>
        </w:tc>
        <w:tc>
          <w:tcPr>
            <w:tcW w:w="1275" w:type="dxa"/>
          </w:tcPr>
          <w:p w14:paraId="184045CA" w14:textId="77777777" w:rsidR="00F533A5" w:rsidRPr="000322E4" w:rsidRDefault="00F533A5" w:rsidP="00F414BF">
            <w:pPr>
              <w:spacing w:line="360" w:lineRule="auto"/>
              <w:contextualSpacing/>
              <w:jc w:val="both"/>
              <w:rPr>
                <w:rFonts w:cs="Arial"/>
                <w:sz w:val="22"/>
              </w:rPr>
            </w:pPr>
            <w:r w:rsidRPr="000322E4">
              <w:rPr>
                <w:rFonts w:cs="Arial"/>
                <w:sz w:val="22"/>
              </w:rPr>
              <w:t>1х</w:t>
            </w:r>
          </w:p>
        </w:tc>
        <w:tc>
          <w:tcPr>
            <w:tcW w:w="1134" w:type="dxa"/>
            <w:vMerge/>
          </w:tcPr>
          <w:p w14:paraId="74C21DC9" w14:textId="77777777" w:rsidR="00F533A5" w:rsidRPr="000322E4" w:rsidRDefault="00F533A5" w:rsidP="00F414BF">
            <w:pPr>
              <w:spacing w:line="360" w:lineRule="auto"/>
              <w:contextualSpacing/>
              <w:jc w:val="both"/>
              <w:rPr>
                <w:rFonts w:cs="Arial"/>
                <w:sz w:val="22"/>
              </w:rPr>
            </w:pPr>
          </w:p>
        </w:tc>
      </w:tr>
      <w:tr w:rsidR="00F533A5" w:rsidRPr="000322E4" w14:paraId="075AC173" w14:textId="77777777" w:rsidTr="00F533A5">
        <w:trPr>
          <w:cantSplit/>
        </w:trPr>
        <w:tc>
          <w:tcPr>
            <w:tcW w:w="2552" w:type="dxa"/>
          </w:tcPr>
          <w:p w14:paraId="7FC3BD85" w14:textId="77777777" w:rsidR="00F533A5" w:rsidRPr="000322E4" w:rsidRDefault="00F533A5" w:rsidP="00F414BF">
            <w:pPr>
              <w:spacing w:line="360" w:lineRule="auto"/>
              <w:ind w:left="67"/>
              <w:contextualSpacing/>
              <w:jc w:val="both"/>
              <w:rPr>
                <w:rFonts w:cs="Arial"/>
                <w:sz w:val="22"/>
              </w:rPr>
            </w:pPr>
            <w:r w:rsidRPr="000322E4">
              <w:rPr>
                <w:rFonts w:cs="Arial"/>
                <w:sz w:val="22"/>
              </w:rPr>
              <w:t>Гормоны щитовидной железы</w:t>
            </w:r>
          </w:p>
        </w:tc>
        <w:tc>
          <w:tcPr>
            <w:tcW w:w="1276" w:type="dxa"/>
          </w:tcPr>
          <w:p w14:paraId="134AA2D6" w14:textId="77777777" w:rsidR="00F533A5" w:rsidRPr="000322E4" w:rsidRDefault="00F533A5" w:rsidP="00F414BF">
            <w:pPr>
              <w:spacing w:line="360" w:lineRule="auto"/>
              <w:contextualSpacing/>
              <w:jc w:val="both"/>
              <w:rPr>
                <w:rFonts w:cs="Arial"/>
                <w:sz w:val="22"/>
              </w:rPr>
            </w:pPr>
            <w:r w:rsidRPr="000322E4">
              <w:rPr>
                <w:rFonts w:cs="Arial"/>
                <w:sz w:val="22"/>
              </w:rPr>
              <w:t>1х</w:t>
            </w:r>
          </w:p>
        </w:tc>
        <w:tc>
          <w:tcPr>
            <w:tcW w:w="1134" w:type="dxa"/>
          </w:tcPr>
          <w:p w14:paraId="3155A79C" w14:textId="77777777" w:rsidR="00F533A5" w:rsidRPr="000322E4" w:rsidRDefault="00F533A5" w:rsidP="00F414BF">
            <w:pPr>
              <w:spacing w:line="360" w:lineRule="auto"/>
              <w:contextualSpacing/>
              <w:jc w:val="both"/>
              <w:rPr>
                <w:rFonts w:cs="Arial"/>
                <w:sz w:val="22"/>
              </w:rPr>
            </w:pPr>
            <w:r w:rsidRPr="000322E4">
              <w:rPr>
                <w:rFonts w:cs="Arial"/>
                <w:sz w:val="22"/>
              </w:rPr>
              <w:t>1х</w:t>
            </w:r>
          </w:p>
        </w:tc>
        <w:tc>
          <w:tcPr>
            <w:tcW w:w="1276" w:type="dxa"/>
          </w:tcPr>
          <w:p w14:paraId="3E0BEA88" w14:textId="77777777" w:rsidR="00F533A5" w:rsidRPr="000322E4" w:rsidRDefault="00F533A5" w:rsidP="00F414BF">
            <w:pPr>
              <w:spacing w:line="360" w:lineRule="auto"/>
              <w:contextualSpacing/>
              <w:jc w:val="both"/>
              <w:rPr>
                <w:rFonts w:cs="Arial"/>
                <w:sz w:val="22"/>
              </w:rPr>
            </w:pPr>
            <w:r w:rsidRPr="000322E4">
              <w:rPr>
                <w:rFonts w:cs="Arial"/>
                <w:sz w:val="22"/>
              </w:rPr>
              <w:t>1х</w:t>
            </w:r>
          </w:p>
        </w:tc>
        <w:tc>
          <w:tcPr>
            <w:tcW w:w="1134" w:type="dxa"/>
          </w:tcPr>
          <w:p w14:paraId="6A313B98" w14:textId="77777777" w:rsidR="00F533A5" w:rsidRPr="000322E4" w:rsidRDefault="00F533A5" w:rsidP="00F414BF">
            <w:pPr>
              <w:spacing w:line="360" w:lineRule="auto"/>
              <w:contextualSpacing/>
              <w:jc w:val="both"/>
              <w:rPr>
                <w:rFonts w:cs="Arial"/>
                <w:sz w:val="22"/>
              </w:rPr>
            </w:pPr>
            <w:r w:rsidRPr="000322E4">
              <w:rPr>
                <w:rFonts w:cs="Arial"/>
                <w:sz w:val="22"/>
              </w:rPr>
              <w:t>1х</w:t>
            </w:r>
          </w:p>
        </w:tc>
        <w:tc>
          <w:tcPr>
            <w:tcW w:w="1275" w:type="dxa"/>
          </w:tcPr>
          <w:p w14:paraId="7DC82E66" w14:textId="77777777" w:rsidR="00F533A5" w:rsidRPr="000322E4" w:rsidRDefault="00F533A5" w:rsidP="00F414BF">
            <w:pPr>
              <w:spacing w:line="360" w:lineRule="auto"/>
              <w:contextualSpacing/>
              <w:jc w:val="both"/>
              <w:rPr>
                <w:rFonts w:cs="Arial"/>
                <w:sz w:val="22"/>
              </w:rPr>
            </w:pPr>
            <w:r w:rsidRPr="000322E4">
              <w:rPr>
                <w:rFonts w:cs="Arial"/>
                <w:sz w:val="22"/>
              </w:rPr>
              <w:t>1х</w:t>
            </w:r>
          </w:p>
        </w:tc>
        <w:tc>
          <w:tcPr>
            <w:tcW w:w="1134" w:type="dxa"/>
            <w:vMerge/>
          </w:tcPr>
          <w:p w14:paraId="03A90CC0" w14:textId="77777777" w:rsidR="00F533A5" w:rsidRPr="000322E4" w:rsidRDefault="00F533A5" w:rsidP="00F414BF">
            <w:pPr>
              <w:spacing w:line="360" w:lineRule="auto"/>
              <w:contextualSpacing/>
              <w:jc w:val="both"/>
              <w:rPr>
                <w:rFonts w:cs="Arial"/>
                <w:sz w:val="22"/>
              </w:rPr>
            </w:pPr>
          </w:p>
        </w:tc>
      </w:tr>
      <w:tr w:rsidR="00F533A5" w:rsidRPr="000322E4" w14:paraId="58AAC16D" w14:textId="77777777" w:rsidTr="00F533A5">
        <w:trPr>
          <w:cantSplit/>
        </w:trPr>
        <w:tc>
          <w:tcPr>
            <w:tcW w:w="2552" w:type="dxa"/>
          </w:tcPr>
          <w:p w14:paraId="3FBC05E2" w14:textId="77777777" w:rsidR="00F533A5" w:rsidRPr="000322E4" w:rsidRDefault="00F533A5" w:rsidP="00F414BF">
            <w:pPr>
              <w:spacing w:line="360" w:lineRule="auto"/>
              <w:ind w:left="67"/>
              <w:contextualSpacing/>
              <w:jc w:val="both"/>
              <w:rPr>
                <w:rFonts w:cs="Arial"/>
                <w:sz w:val="22"/>
              </w:rPr>
            </w:pPr>
            <w:r w:rsidRPr="000322E4">
              <w:rPr>
                <w:rFonts w:cs="Arial"/>
                <w:sz w:val="22"/>
              </w:rPr>
              <w:t>ЭКГ, ЭХО-КГ</w:t>
            </w:r>
          </w:p>
        </w:tc>
        <w:tc>
          <w:tcPr>
            <w:tcW w:w="1276" w:type="dxa"/>
          </w:tcPr>
          <w:p w14:paraId="2B3A9648" w14:textId="77777777" w:rsidR="00F533A5" w:rsidRPr="000322E4" w:rsidRDefault="00F533A5" w:rsidP="00F414BF">
            <w:pPr>
              <w:spacing w:line="360" w:lineRule="auto"/>
              <w:contextualSpacing/>
              <w:jc w:val="both"/>
              <w:rPr>
                <w:rFonts w:cs="Arial"/>
                <w:sz w:val="22"/>
              </w:rPr>
            </w:pPr>
          </w:p>
        </w:tc>
        <w:tc>
          <w:tcPr>
            <w:tcW w:w="1134" w:type="dxa"/>
          </w:tcPr>
          <w:p w14:paraId="01A40035" w14:textId="77777777" w:rsidR="00F533A5" w:rsidRPr="000322E4" w:rsidRDefault="00F533A5" w:rsidP="00F414BF">
            <w:pPr>
              <w:spacing w:line="360" w:lineRule="auto"/>
              <w:contextualSpacing/>
              <w:jc w:val="both"/>
              <w:rPr>
                <w:rFonts w:cs="Arial"/>
                <w:sz w:val="22"/>
              </w:rPr>
            </w:pPr>
            <w:r w:rsidRPr="000322E4">
              <w:rPr>
                <w:rFonts w:cs="Arial"/>
                <w:sz w:val="22"/>
              </w:rPr>
              <w:t>1х</w:t>
            </w:r>
          </w:p>
        </w:tc>
        <w:tc>
          <w:tcPr>
            <w:tcW w:w="1276" w:type="dxa"/>
          </w:tcPr>
          <w:p w14:paraId="0BA89FA3" w14:textId="77777777" w:rsidR="00F533A5" w:rsidRPr="000322E4" w:rsidRDefault="00F533A5" w:rsidP="00F414BF">
            <w:pPr>
              <w:spacing w:line="360" w:lineRule="auto"/>
              <w:contextualSpacing/>
              <w:jc w:val="both"/>
              <w:rPr>
                <w:rFonts w:cs="Arial"/>
                <w:sz w:val="22"/>
              </w:rPr>
            </w:pPr>
          </w:p>
        </w:tc>
        <w:tc>
          <w:tcPr>
            <w:tcW w:w="1134" w:type="dxa"/>
          </w:tcPr>
          <w:p w14:paraId="5F00F466" w14:textId="77777777" w:rsidR="00F533A5" w:rsidRPr="000322E4" w:rsidRDefault="00F533A5" w:rsidP="00F414BF">
            <w:pPr>
              <w:spacing w:line="360" w:lineRule="auto"/>
              <w:contextualSpacing/>
              <w:jc w:val="both"/>
              <w:rPr>
                <w:rFonts w:cs="Arial"/>
                <w:sz w:val="22"/>
              </w:rPr>
            </w:pPr>
          </w:p>
        </w:tc>
        <w:tc>
          <w:tcPr>
            <w:tcW w:w="1275" w:type="dxa"/>
          </w:tcPr>
          <w:p w14:paraId="42ACDDA2" w14:textId="77777777" w:rsidR="00F533A5" w:rsidRPr="000322E4" w:rsidRDefault="00F533A5" w:rsidP="00F414BF">
            <w:pPr>
              <w:spacing w:line="360" w:lineRule="auto"/>
              <w:contextualSpacing/>
              <w:jc w:val="both"/>
              <w:rPr>
                <w:rFonts w:cs="Arial"/>
                <w:sz w:val="22"/>
              </w:rPr>
            </w:pPr>
            <w:r w:rsidRPr="000322E4">
              <w:rPr>
                <w:rFonts w:cs="Arial"/>
                <w:sz w:val="22"/>
              </w:rPr>
              <w:t>1х</w:t>
            </w:r>
          </w:p>
        </w:tc>
        <w:tc>
          <w:tcPr>
            <w:tcW w:w="1134" w:type="dxa"/>
            <w:vMerge/>
          </w:tcPr>
          <w:p w14:paraId="7CBF79A6" w14:textId="77777777" w:rsidR="00F533A5" w:rsidRPr="000322E4" w:rsidRDefault="00F533A5" w:rsidP="00F414BF">
            <w:pPr>
              <w:spacing w:line="360" w:lineRule="auto"/>
              <w:contextualSpacing/>
              <w:jc w:val="both"/>
              <w:rPr>
                <w:rFonts w:cs="Arial"/>
                <w:sz w:val="22"/>
              </w:rPr>
            </w:pPr>
          </w:p>
        </w:tc>
      </w:tr>
    </w:tbl>
    <w:p w14:paraId="29CB50A2" w14:textId="77777777" w:rsidR="00F533A5" w:rsidRPr="000322E4" w:rsidRDefault="00F533A5" w:rsidP="00F414BF">
      <w:pPr>
        <w:spacing w:line="360" w:lineRule="auto"/>
        <w:ind w:left="709"/>
        <w:contextualSpacing/>
        <w:jc w:val="both"/>
        <w:rPr>
          <w:i/>
          <w:iCs/>
        </w:rPr>
      </w:pPr>
    </w:p>
    <w:p w14:paraId="77E12F1D" w14:textId="1882172F" w:rsidR="00F82F9F" w:rsidRPr="000322E4" w:rsidRDefault="00F82F9F" w:rsidP="00F414BF">
      <w:pPr>
        <w:pStyle w:val="afe"/>
        <w:numPr>
          <w:ilvl w:val="0"/>
          <w:numId w:val="10"/>
        </w:numPr>
        <w:ind w:left="709" w:hanging="425"/>
      </w:pPr>
      <w:r w:rsidRPr="000322E4">
        <w:t xml:space="preserve">Детям и подросткам, завершившим лечение по </w:t>
      </w:r>
      <w:r w:rsidRPr="00D3550C">
        <w:rPr>
          <w:color w:val="000000" w:themeColor="text1"/>
        </w:rPr>
        <w:t xml:space="preserve">поводу </w:t>
      </w:r>
      <w:r w:rsidR="001F280A" w:rsidRPr="00D3550C">
        <w:rPr>
          <w:color w:val="000000" w:themeColor="text1"/>
        </w:rPr>
        <w:t>ДВКЛ, ПМВКЛ, ЛБ</w:t>
      </w:r>
      <w:r w:rsidRPr="00D3550C">
        <w:rPr>
          <w:color w:val="000000" w:themeColor="text1"/>
        </w:rPr>
        <w:t xml:space="preserve"> с </w:t>
      </w:r>
      <w:r w:rsidRPr="000322E4">
        <w:t xml:space="preserve">достижением ПР, </w:t>
      </w:r>
      <w:r w:rsidRPr="000322E4">
        <w:rPr>
          <w:b/>
          <w:bCs/>
        </w:rPr>
        <w:t xml:space="preserve">рекомендуется </w:t>
      </w:r>
      <w:r w:rsidRPr="000322E4">
        <w:t>скрининг поздних эффектов терапии (см. табл. 5.2), скрини</w:t>
      </w:r>
      <w:r w:rsidR="008B322C" w:rsidRPr="000322E4">
        <w:t>н</w:t>
      </w:r>
      <w:r w:rsidRPr="000322E4">
        <w:t xml:space="preserve">г органных осложнений проведенного лечения (см. табл. 5.3) </w:t>
      </w:r>
      <w:r w:rsidRPr="000322E4">
        <w:lastRenderedPageBreak/>
        <w:t>и скрини</w:t>
      </w:r>
      <w:r w:rsidR="008B322C" w:rsidRPr="000322E4">
        <w:t>н</w:t>
      </w:r>
      <w:r w:rsidRPr="000322E4">
        <w:t xml:space="preserve">г по кардиотоксическим эффектам (в зависимости от проведенного лечения и возраста пациента – см. табл. 5.4) </w:t>
      </w:r>
      <w:r w:rsidRPr="000322E4">
        <w:fldChar w:fldCharType="begin" w:fldLock="1"/>
      </w:r>
      <w:r w:rsidR="00A6794A">
        <w:instrText>ADDIN CSL_CITATION {"citationItems":[{"id":"ITEM-1","itemData":{"author":[{"dropping-particle":"","family":"Румянцев","given":"А.Г.","non-dropping-particle":"","parse-names":false,"suffix":""},{"dropping-particle":"","family":"Самочатова","given":"Е.В.","non-dropping-particle":"","parse-names":false,"suffix":""}],"id":"ITEM-1","issued":{"date-parts":[["2004"]]},"publisher":"Медпрактика-М, Москва","title":"Практическое руководство по детским болезням. Гематология/онкология детского возраста.","type":"book"},"uris":["http://www.mendeley.com/documents/?uuid=8c7d4149-b932-4e8f-a7ab-5a5e6f9b51b5"]}],"mendeley":{"formattedCitation":"[164]","plainTextFormattedCitation":"[164]","previouslyFormattedCitation":"[164]"},"properties":{"noteIndex":0},"schema":"https://github.com/citation-style-language/schema/raw/master/csl-citation.json"}</w:instrText>
      </w:r>
      <w:r w:rsidRPr="000322E4">
        <w:fldChar w:fldCharType="separate"/>
      </w:r>
      <w:r w:rsidR="006E1902" w:rsidRPr="006E1902">
        <w:rPr>
          <w:noProof/>
        </w:rPr>
        <w:t>[164]</w:t>
      </w:r>
      <w:r w:rsidRPr="000322E4">
        <w:fldChar w:fldCharType="end"/>
      </w:r>
      <w:r w:rsidRPr="000322E4">
        <w:t xml:space="preserve">. </w:t>
      </w:r>
    </w:p>
    <w:p w14:paraId="14D96AB1" w14:textId="77777777" w:rsidR="00F82F9F" w:rsidRPr="000322E4" w:rsidRDefault="00F82F9F" w:rsidP="00F414BF">
      <w:pPr>
        <w:spacing w:line="360" w:lineRule="auto"/>
        <w:ind w:left="709"/>
        <w:contextualSpacing/>
        <w:jc w:val="both"/>
        <w:rPr>
          <w:b/>
        </w:rPr>
      </w:pPr>
      <w:r w:rsidRPr="000322E4">
        <w:rPr>
          <w:b/>
        </w:rPr>
        <w:t xml:space="preserve">Уровень убедительности рекомендаций </w:t>
      </w:r>
      <w:r w:rsidRPr="000322E4">
        <w:rPr>
          <w:b/>
          <w:lang w:val="en-US"/>
        </w:rPr>
        <w:t>C</w:t>
      </w:r>
      <w:r w:rsidRPr="000322E4">
        <w:rPr>
          <w:b/>
        </w:rPr>
        <w:t xml:space="preserve"> (уровень достоверности доказательств 5).</w:t>
      </w:r>
    </w:p>
    <w:p w14:paraId="73DEC537" w14:textId="77777777" w:rsidR="00F82F9F" w:rsidRPr="000322E4" w:rsidRDefault="00F82F9F" w:rsidP="00F414BF">
      <w:pPr>
        <w:spacing w:line="360" w:lineRule="auto"/>
        <w:ind w:left="709"/>
        <w:contextualSpacing/>
        <w:jc w:val="both"/>
        <w:rPr>
          <w:i/>
        </w:rPr>
      </w:pPr>
      <w:r w:rsidRPr="000322E4">
        <w:rPr>
          <w:b/>
        </w:rPr>
        <w:t>Комментарий:</w:t>
      </w:r>
      <w:r w:rsidRPr="000322E4">
        <w:t xml:space="preserve"> </w:t>
      </w:r>
    </w:p>
    <w:p w14:paraId="4440C2AB" w14:textId="77777777" w:rsidR="00F82F9F" w:rsidRPr="000322E4" w:rsidRDefault="00F82F9F" w:rsidP="00D3550C">
      <w:pPr>
        <w:spacing w:line="360" w:lineRule="auto"/>
        <w:ind w:firstLine="709"/>
        <w:contextualSpacing/>
        <w:jc w:val="both"/>
        <w:rPr>
          <w:i/>
        </w:rPr>
      </w:pPr>
      <w:r w:rsidRPr="000322E4">
        <w:rPr>
          <w:i/>
        </w:rPr>
        <w:t>Таблица 5.2. Скрини</w:t>
      </w:r>
      <w:r w:rsidR="008B322C" w:rsidRPr="000322E4">
        <w:rPr>
          <w:i/>
        </w:rPr>
        <w:t>н</w:t>
      </w:r>
      <w:r w:rsidRPr="000322E4">
        <w:rPr>
          <w:i/>
        </w:rPr>
        <w:t>г поздних эффектов противолимфомной терапии</w:t>
      </w:r>
    </w:p>
    <w:tbl>
      <w:tblPr>
        <w:tblW w:w="964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411"/>
        <w:gridCol w:w="7229"/>
      </w:tblGrid>
      <w:tr w:rsidR="008762E9" w:rsidRPr="000322E4" w14:paraId="1A79BEFA" w14:textId="77777777" w:rsidTr="009B70C4">
        <w:trPr>
          <w:trHeight w:val="508"/>
        </w:trPr>
        <w:tc>
          <w:tcPr>
            <w:tcW w:w="2411" w:type="dxa"/>
            <w:tcMar>
              <w:top w:w="72" w:type="dxa"/>
              <w:left w:w="144" w:type="dxa"/>
              <w:bottom w:w="72" w:type="dxa"/>
              <w:right w:w="144" w:type="dxa"/>
            </w:tcMar>
          </w:tcPr>
          <w:p w14:paraId="03790559" w14:textId="77777777" w:rsidR="00F82F9F" w:rsidRPr="000322E4" w:rsidRDefault="00F82F9F" w:rsidP="00F414BF">
            <w:pPr>
              <w:spacing w:line="360" w:lineRule="auto"/>
              <w:ind w:left="63" w:hanging="6"/>
              <w:contextualSpacing/>
              <w:jc w:val="both"/>
              <w:rPr>
                <w:rFonts w:cs="Arial"/>
                <w:sz w:val="22"/>
              </w:rPr>
            </w:pPr>
            <w:r w:rsidRPr="000322E4">
              <w:rPr>
                <w:rFonts w:cs="Arial"/>
                <w:sz w:val="22"/>
              </w:rPr>
              <w:t>1 год от окончания терапии (каждые 3 мес.)</w:t>
            </w:r>
          </w:p>
        </w:tc>
        <w:tc>
          <w:tcPr>
            <w:tcW w:w="7229" w:type="dxa"/>
            <w:tcMar>
              <w:top w:w="72" w:type="dxa"/>
              <w:left w:w="144" w:type="dxa"/>
              <w:bottom w:w="72" w:type="dxa"/>
              <w:right w:w="144" w:type="dxa"/>
            </w:tcMar>
          </w:tcPr>
          <w:p w14:paraId="54CED809" w14:textId="77777777" w:rsidR="00F82F9F" w:rsidRPr="000322E4" w:rsidRDefault="00F82F9F" w:rsidP="00F414BF">
            <w:pPr>
              <w:numPr>
                <w:ilvl w:val="0"/>
                <w:numId w:val="27"/>
              </w:numPr>
              <w:spacing w:line="360" w:lineRule="auto"/>
              <w:ind w:left="276" w:hanging="284"/>
              <w:contextualSpacing/>
              <w:jc w:val="both"/>
              <w:rPr>
                <w:rFonts w:cs="Arial"/>
                <w:sz w:val="22"/>
              </w:rPr>
            </w:pPr>
            <w:r w:rsidRPr="000322E4">
              <w:rPr>
                <w:rFonts w:cs="Arial"/>
                <w:sz w:val="22"/>
              </w:rPr>
              <w:t>осмотр (рост/вес, объем яичек, признаки полового созревания)</w:t>
            </w:r>
          </w:p>
          <w:p w14:paraId="1E42ADA9" w14:textId="77777777" w:rsidR="00F82F9F" w:rsidRPr="000322E4" w:rsidRDefault="00F82F9F" w:rsidP="00F414BF">
            <w:pPr>
              <w:numPr>
                <w:ilvl w:val="0"/>
                <w:numId w:val="27"/>
              </w:numPr>
              <w:spacing w:line="360" w:lineRule="auto"/>
              <w:ind w:left="276" w:hanging="284"/>
              <w:contextualSpacing/>
              <w:jc w:val="both"/>
              <w:rPr>
                <w:rFonts w:cs="Arial"/>
                <w:sz w:val="22"/>
              </w:rPr>
            </w:pPr>
            <w:r w:rsidRPr="000322E4">
              <w:rPr>
                <w:rFonts w:cs="Arial"/>
                <w:sz w:val="22"/>
              </w:rPr>
              <w:t>ежемесячное самообследование молочных желез</w:t>
            </w:r>
          </w:p>
          <w:p w14:paraId="7F0CDE71" w14:textId="77777777" w:rsidR="00F82F9F" w:rsidRPr="000322E4" w:rsidRDefault="00F82F9F" w:rsidP="00F414BF">
            <w:pPr>
              <w:numPr>
                <w:ilvl w:val="0"/>
                <w:numId w:val="27"/>
              </w:numPr>
              <w:spacing w:line="360" w:lineRule="auto"/>
              <w:ind w:left="276" w:hanging="284"/>
              <w:contextualSpacing/>
              <w:jc w:val="both"/>
              <w:rPr>
                <w:rFonts w:cs="Arial"/>
                <w:sz w:val="22"/>
              </w:rPr>
            </w:pPr>
            <w:r w:rsidRPr="000322E4">
              <w:rPr>
                <w:rFonts w:cs="Arial"/>
                <w:sz w:val="22"/>
              </w:rPr>
              <w:t>общий анализ крови + СОЭ</w:t>
            </w:r>
          </w:p>
          <w:p w14:paraId="2BBEA224" w14:textId="77777777" w:rsidR="00F82F9F" w:rsidRPr="000322E4" w:rsidRDefault="00F82F9F" w:rsidP="00F414BF">
            <w:pPr>
              <w:numPr>
                <w:ilvl w:val="0"/>
                <w:numId w:val="27"/>
              </w:numPr>
              <w:spacing w:line="360" w:lineRule="auto"/>
              <w:ind w:left="276" w:hanging="284"/>
              <w:contextualSpacing/>
              <w:jc w:val="both"/>
              <w:rPr>
                <w:rFonts w:cs="Arial"/>
                <w:sz w:val="22"/>
              </w:rPr>
            </w:pPr>
            <w:r w:rsidRPr="000322E4">
              <w:rPr>
                <w:rFonts w:cs="Arial"/>
                <w:sz w:val="22"/>
              </w:rPr>
              <w:t xml:space="preserve">Рентгенография органов грудной клетки/КТ шеи/грудной клетки для </w:t>
            </w:r>
            <w:r w:rsidRPr="000322E4">
              <w:rPr>
                <w:rFonts w:cs="Arial"/>
                <w:sz w:val="22"/>
                <w:lang w:val="en-US"/>
              </w:rPr>
              <w:t>I</w:t>
            </w:r>
            <w:r w:rsidRPr="000322E4">
              <w:rPr>
                <w:rFonts w:cs="Arial"/>
                <w:sz w:val="22"/>
              </w:rPr>
              <w:t>-</w:t>
            </w:r>
            <w:r w:rsidRPr="000322E4">
              <w:rPr>
                <w:rFonts w:cs="Arial"/>
                <w:sz w:val="22"/>
                <w:lang w:val="en-US"/>
              </w:rPr>
              <w:t>II</w:t>
            </w:r>
            <w:r w:rsidRPr="000322E4">
              <w:rPr>
                <w:rFonts w:cs="Arial"/>
                <w:sz w:val="22"/>
              </w:rPr>
              <w:t xml:space="preserve"> + КТ живота/таза для </w:t>
            </w:r>
            <w:r w:rsidRPr="000322E4">
              <w:rPr>
                <w:rFonts w:cs="Arial"/>
                <w:sz w:val="22"/>
                <w:lang w:val="en-US"/>
              </w:rPr>
              <w:t>III</w:t>
            </w:r>
            <w:r w:rsidRPr="000322E4">
              <w:rPr>
                <w:rFonts w:cs="Arial"/>
                <w:sz w:val="22"/>
              </w:rPr>
              <w:t>-</w:t>
            </w:r>
            <w:r w:rsidRPr="000322E4">
              <w:rPr>
                <w:rFonts w:cs="Arial"/>
                <w:sz w:val="22"/>
                <w:lang w:val="en-US"/>
              </w:rPr>
              <w:t>IV</w:t>
            </w:r>
            <w:r w:rsidRPr="000322E4">
              <w:rPr>
                <w:rFonts w:cs="Arial"/>
                <w:sz w:val="22"/>
              </w:rPr>
              <w:t xml:space="preserve"> стадий</w:t>
            </w:r>
          </w:p>
          <w:p w14:paraId="4B5F1A1E" w14:textId="77777777" w:rsidR="00F82F9F" w:rsidRPr="000322E4" w:rsidRDefault="00F82F9F" w:rsidP="00F414BF">
            <w:pPr>
              <w:numPr>
                <w:ilvl w:val="0"/>
                <w:numId w:val="27"/>
              </w:numPr>
              <w:spacing w:line="360" w:lineRule="auto"/>
              <w:ind w:left="276" w:hanging="284"/>
              <w:contextualSpacing/>
              <w:jc w:val="both"/>
              <w:rPr>
                <w:rFonts w:cs="Arial"/>
                <w:sz w:val="22"/>
              </w:rPr>
            </w:pPr>
            <w:r w:rsidRPr="000322E4">
              <w:rPr>
                <w:rFonts w:cs="Arial"/>
                <w:sz w:val="22"/>
              </w:rPr>
              <w:t xml:space="preserve">ЭКГ/эхоКГ/Холтер, </w:t>
            </w:r>
            <w:r w:rsidRPr="000322E4">
              <w:rPr>
                <w:rFonts w:cs="Arial"/>
                <w:sz w:val="22"/>
                <w:lang w:val="en-US"/>
              </w:rPr>
              <w:t>LH</w:t>
            </w:r>
            <w:r w:rsidRPr="000322E4">
              <w:rPr>
                <w:rFonts w:cs="Arial"/>
                <w:sz w:val="22"/>
              </w:rPr>
              <w:t xml:space="preserve">, </w:t>
            </w:r>
            <w:r w:rsidRPr="000322E4">
              <w:rPr>
                <w:rFonts w:cs="Arial"/>
                <w:sz w:val="22"/>
                <w:lang w:val="en-US"/>
              </w:rPr>
              <w:t>FSH</w:t>
            </w:r>
            <w:r w:rsidRPr="000322E4">
              <w:rPr>
                <w:rFonts w:cs="Arial"/>
                <w:sz w:val="22"/>
              </w:rPr>
              <w:t xml:space="preserve">, эстрогены/тестостерон, гормоны щит. </w:t>
            </w:r>
            <w:r w:rsidR="008B322C" w:rsidRPr="000322E4">
              <w:rPr>
                <w:rFonts w:cs="Arial"/>
                <w:sz w:val="22"/>
              </w:rPr>
              <w:t>Ж</w:t>
            </w:r>
            <w:r w:rsidRPr="000322E4">
              <w:rPr>
                <w:rFonts w:cs="Arial"/>
                <w:sz w:val="22"/>
              </w:rPr>
              <w:t>елезы</w:t>
            </w:r>
          </w:p>
        </w:tc>
      </w:tr>
      <w:tr w:rsidR="008762E9" w:rsidRPr="000322E4" w14:paraId="1BD0C912" w14:textId="77777777" w:rsidTr="009B70C4">
        <w:trPr>
          <w:trHeight w:val="421"/>
        </w:trPr>
        <w:tc>
          <w:tcPr>
            <w:tcW w:w="2411" w:type="dxa"/>
            <w:tcMar>
              <w:top w:w="72" w:type="dxa"/>
              <w:left w:w="144" w:type="dxa"/>
              <w:bottom w:w="72" w:type="dxa"/>
              <w:right w:w="144" w:type="dxa"/>
            </w:tcMar>
          </w:tcPr>
          <w:p w14:paraId="4BA03AA3" w14:textId="77777777" w:rsidR="00F82F9F" w:rsidRPr="000322E4" w:rsidRDefault="00F82F9F" w:rsidP="00F414BF">
            <w:pPr>
              <w:spacing w:line="360" w:lineRule="auto"/>
              <w:ind w:left="63" w:hanging="6"/>
              <w:contextualSpacing/>
              <w:jc w:val="both"/>
              <w:rPr>
                <w:rFonts w:cs="Arial"/>
                <w:sz w:val="22"/>
              </w:rPr>
            </w:pPr>
            <w:r w:rsidRPr="000322E4">
              <w:rPr>
                <w:rFonts w:cs="Arial"/>
                <w:sz w:val="22"/>
              </w:rPr>
              <w:t>2 год от окончания терапии</w:t>
            </w:r>
          </w:p>
        </w:tc>
        <w:tc>
          <w:tcPr>
            <w:tcW w:w="7229" w:type="dxa"/>
            <w:tcMar>
              <w:top w:w="72" w:type="dxa"/>
              <w:left w:w="144" w:type="dxa"/>
              <w:bottom w:w="72" w:type="dxa"/>
              <w:right w:w="144" w:type="dxa"/>
            </w:tcMar>
          </w:tcPr>
          <w:p w14:paraId="5CF6536F" w14:textId="77777777" w:rsidR="00F82F9F" w:rsidRPr="000322E4" w:rsidRDefault="00F82F9F" w:rsidP="00F414BF">
            <w:pPr>
              <w:numPr>
                <w:ilvl w:val="0"/>
                <w:numId w:val="28"/>
              </w:numPr>
              <w:spacing w:line="360" w:lineRule="auto"/>
              <w:ind w:left="276" w:hanging="284"/>
              <w:contextualSpacing/>
              <w:jc w:val="both"/>
              <w:rPr>
                <w:rFonts w:cs="Arial"/>
                <w:sz w:val="22"/>
              </w:rPr>
            </w:pPr>
            <w:r w:rsidRPr="000322E4">
              <w:rPr>
                <w:rFonts w:cs="Arial"/>
                <w:sz w:val="22"/>
              </w:rPr>
              <w:t>осмотр, анализы и КТ каждые 6 мес.</w:t>
            </w:r>
          </w:p>
          <w:p w14:paraId="70EBA974" w14:textId="77777777" w:rsidR="00F82F9F" w:rsidRPr="000322E4" w:rsidRDefault="00F82F9F" w:rsidP="00F414BF">
            <w:pPr>
              <w:numPr>
                <w:ilvl w:val="0"/>
                <w:numId w:val="28"/>
              </w:numPr>
              <w:spacing w:line="360" w:lineRule="auto"/>
              <w:ind w:left="276" w:hanging="284"/>
              <w:contextualSpacing/>
              <w:jc w:val="both"/>
              <w:rPr>
                <w:rFonts w:cs="Arial"/>
                <w:sz w:val="22"/>
              </w:rPr>
            </w:pPr>
            <w:r w:rsidRPr="000322E4">
              <w:rPr>
                <w:rFonts w:cs="Arial"/>
                <w:sz w:val="22"/>
              </w:rPr>
              <w:t>ежегодно – маммолог, оценка функции сердца, легких, щитовидной железы и гормонального статуса</w:t>
            </w:r>
          </w:p>
        </w:tc>
      </w:tr>
      <w:tr w:rsidR="008762E9" w:rsidRPr="000322E4" w14:paraId="4C076F6F" w14:textId="77777777" w:rsidTr="009B70C4">
        <w:trPr>
          <w:trHeight w:val="13"/>
        </w:trPr>
        <w:tc>
          <w:tcPr>
            <w:tcW w:w="2411" w:type="dxa"/>
            <w:tcMar>
              <w:top w:w="72" w:type="dxa"/>
              <w:left w:w="144" w:type="dxa"/>
              <w:bottom w:w="72" w:type="dxa"/>
              <w:right w:w="144" w:type="dxa"/>
            </w:tcMar>
          </w:tcPr>
          <w:p w14:paraId="33BE69D1" w14:textId="77777777" w:rsidR="00F82F9F" w:rsidRPr="000322E4" w:rsidRDefault="00F82F9F" w:rsidP="00F414BF">
            <w:pPr>
              <w:spacing w:line="360" w:lineRule="auto"/>
              <w:ind w:left="63" w:hanging="6"/>
              <w:contextualSpacing/>
              <w:jc w:val="both"/>
              <w:rPr>
                <w:rFonts w:cs="Arial"/>
                <w:sz w:val="22"/>
              </w:rPr>
            </w:pPr>
            <w:r w:rsidRPr="000322E4">
              <w:rPr>
                <w:rFonts w:cs="Arial"/>
                <w:sz w:val="22"/>
              </w:rPr>
              <w:t>3 год от окончания терапии</w:t>
            </w:r>
          </w:p>
        </w:tc>
        <w:tc>
          <w:tcPr>
            <w:tcW w:w="7229" w:type="dxa"/>
            <w:tcMar>
              <w:top w:w="72" w:type="dxa"/>
              <w:left w:w="144" w:type="dxa"/>
              <w:bottom w:w="72" w:type="dxa"/>
              <w:right w:w="144" w:type="dxa"/>
            </w:tcMar>
          </w:tcPr>
          <w:p w14:paraId="2AEE4C32" w14:textId="77777777" w:rsidR="00F82F9F" w:rsidRPr="000322E4" w:rsidRDefault="00F82F9F" w:rsidP="00F414BF">
            <w:pPr>
              <w:numPr>
                <w:ilvl w:val="0"/>
                <w:numId w:val="29"/>
              </w:numPr>
              <w:spacing w:line="360" w:lineRule="auto"/>
              <w:ind w:left="276" w:hanging="284"/>
              <w:contextualSpacing/>
              <w:jc w:val="both"/>
              <w:rPr>
                <w:rFonts w:cs="Arial"/>
                <w:sz w:val="22"/>
              </w:rPr>
            </w:pPr>
            <w:r w:rsidRPr="000322E4">
              <w:rPr>
                <w:rFonts w:cs="Arial"/>
                <w:sz w:val="22"/>
              </w:rPr>
              <w:t>осмотр, анализы и КТ каждые 12 мес.</w:t>
            </w:r>
          </w:p>
          <w:p w14:paraId="12EDE8C4" w14:textId="77777777" w:rsidR="00F82F9F" w:rsidRPr="000322E4" w:rsidRDefault="00F82F9F" w:rsidP="00F414BF">
            <w:pPr>
              <w:numPr>
                <w:ilvl w:val="0"/>
                <w:numId w:val="29"/>
              </w:numPr>
              <w:spacing w:line="360" w:lineRule="auto"/>
              <w:ind w:left="276" w:hanging="284"/>
              <w:contextualSpacing/>
              <w:jc w:val="both"/>
              <w:rPr>
                <w:rFonts w:cs="Arial"/>
                <w:sz w:val="22"/>
              </w:rPr>
            </w:pPr>
            <w:r w:rsidRPr="000322E4">
              <w:rPr>
                <w:rFonts w:cs="Arial"/>
                <w:sz w:val="22"/>
              </w:rPr>
              <w:t>маммолог, оценка функции сердца, легких, щитовидной железы и гормонального статуса</w:t>
            </w:r>
          </w:p>
        </w:tc>
      </w:tr>
      <w:tr w:rsidR="008762E9" w:rsidRPr="000322E4" w14:paraId="509A61F7" w14:textId="77777777" w:rsidTr="008762E9">
        <w:trPr>
          <w:trHeight w:val="553"/>
        </w:trPr>
        <w:tc>
          <w:tcPr>
            <w:tcW w:w="2411" w:type="dxa"/>
            <w:tcMar>
              <w:top w:w="72" w:type="dxa"/>
              <w:left w:w="144" w:type="dxa"/>
              <w:bottom w:w="72" w:type="dxa"/>
              <w:right w:w="144" w:type="dxa"/>
            </w:tcMar>
          </w:tcPr>
          <w:p w14:paraId="544AD30F" w14:textId="77777777" w:rsidR="00F82F9F" w:rsidRPr="000322E4" w:rsidRDefault="00F82F9F" w:rsidP="00F414BF">
            <w:pPr>
              <w:spacing w:line="360" w:lineRule="auto"/>
              <w:ind w:left="63" w:hanging="6"/>
              <w:contextualSpacing/>
              <w:jc w:val="both"/>
              <w:rPr>
                <w:rFonts w:cs="Arial"/>
                <w:sz w:val="22"/>
              </w:rPr>
            </w:pPr>
            <w:r w:rsidRPr="000322E4">
              <w:rPr>
                <w:rFonts w:cs="Arial"/>
                <w:sz w:val="22"/>
              </w:rPr>
              <w:t>4 год от окончания терапии</w:t>
            </w:r>
          </w:p>
        </w:tc>
        <w:tc>
          <w:tcPr>
            <w:tcW w:w="7229" w:type="dxa"/>
            <w:tcMar>
              <w:top w:w="72" w:type="dxa"/>
              <w:left w:w="144" w:type="dxa"/>
              <w:bottom w:w="72" w:type="dxa"/>
              <w:right w:w="144" w:type="dxa"/>
            </w:tcMar>
          </w:tcPr>
          <w:p w14:paraId="558FC934" w14:textId="77777777" w:rsidR="009B70C4" w:rsidRPr="000322E4" w:rsidRDefault="009B70C4" w:rsidP="00F414BF">
            <w:pPr>
              <w:numPr>
                <w:ilvl w:val="0"/>
                <w:numId w:val="29"/>
              </w:numPr>
              <w:spacing w:line="360" w:lineRule="auto"/>
              <w:ind w:left="276" w:hanging="284"/>
              <w:contextualSpacing/>
              <w:jc w:val="both"/>
              <w:rPr>
                <w:rFonts w:cs="Arial"/>
                <w:sz w:val="22"/>
              </w:rPr>
            </w:pPr>
            <w:r w:rsidRPr="000322E4">
              <w:rPr>
                <w:rFonts w:cs="Arial"/>
                <w:sz w:val="22"/>
              </w:rPr>
              <w:t>осмотр, анализы и КТ каждые 12 мес.</w:t>
            </w:r>
          </w:p>
          <w:p w14:paraId="0826B92B" w14:textId="77777777" w:rsidR="00F82F9F" w:rsidRPr="000322E4" w:rsidRDefault="009B70C4" w:rsidP="00F414BF">
            <w:pPr>
              <w:numPr>
                <w:ilvl w:val="0"/>
                <w:numId w:val="29"/>
              </w:numPr>
              <w:spacing w:line="360" w:lineRule="auto"/>
              <w:ind w:left="276" w:hanging="284"/>
              <w:contextualSpacing/>
              <w:jc w:val="both"/>
              <w:rPr>
                <w:rFonts w:cs="Arial"/>
                <w:sz w:val="22"/>
              </w:rPr>
            </w:pPr>
            <w:r w:rsidRPr="000322E4">
              <w:rPr>
                <w:rFonts w:cs="Arial"/>
                <w:sz w:val="22"/>
              </w:rPr>
              <w:t>маммолог, оценка функции сердца, легких, щитовидной железы и гормонального статуса</w:t>
            </w:r>
          </w:p>
        </w:tc>
      </w:tr>
      <w:tr w:rsidR="008762E9" w:rsidRPr="000322E4" w14:paraId="487C6B61" w14:textId="77777777" w:rsidTr="008762E9">
        <w:trPr>
          <w:trHeight w:val="548"/>
        </w:trPr>
        <w:tc>
          <w:tcPr>
            <w:tcW w:w="2411" w:type="dxa"/>
            <w:tcMar>
              <w:top w:w="72" w:type="dxa"/>
              <w:left w:w="144" w:type="dxa"/>
              <w:bottom w:w="72" w:type="dxa"/>
              <w:right w:w="144" w:type="dxa"/>
            </w:tcMar>
          </w:tcPr>
          <w:p w14:paraId="4DAD152D" w14:textId="77777777" w:rsidR="00F82F9F" w:rsidRPr="000322E4" w:rsidRDefault="00F82F9F" w:rsidP="00F414BF">
            <w:pPr>
              <w:spacing w:line="360" w:lineRule="auto"/>
              <w:ind w:left="63" w:hanging="6"/>
              <w:contextualSpacing/>
              <w:jc w:val="both"/>
              <w:rPr>
                <w:rFonts w:cs="Arial"/>
                <w:sz w:val="22"/>
              </w:rPr>
            </w:pPr>
            <w:r w:rsidRPr="000322E4">
              <w:rPr>
                <w:rFonts w:cs="Arial"/>
                <w:sz w:val="22"/>
              </w:rPr>
              <w:t>5 год от окончания терапии</w:t>
            </w:r>
          </w:p>
        </w:tc>
        <w:tc>
          <w:tcPr>
            <w:tcW w:w="7229" w:type="dxa"/>
            <w:tcMar>
              <w:top w:w="72" w:type="dxa"/>
              <w:left w:w="144" w:type="dxa"/>
              <w:bottom w:w="72" w:type="dxa"/>
              <w:right w:w="144" w:type="dxa"/>
            </w:tcMar>
          </w:tcPr>
          <w:p w14:paraId="04122E07" w14:textId="77777777" w:rsidR="00F82F9F" w:rsidRPr="000322E4" w:rsidRDefault="00F82F9F" w:rsidP="00F414BF">
            <w:pPr>
              <w:spacing w:line="360" w:lineRule="auto"/>
              <w:ind w:left="276" w:hanging="284"/>
              <w:contextualSpacing/>
              <w:jc w:val="both"/>
              <w:rPr>
                <w:rFonts w:cs="Arial"/>
                <w:sz w:val="22"/>
              </w:rPr>
            </w:pPr>
            <w:r w:rsidRPr="000322E4">
              <w:rPr>
                <w:rFonts w:cs="Arial"/>
                <w:sz w:val="22"/>
              </w:rPr>
              <w:t>Переход под наблюдение в катамнестическую службу</w:t>
            </w:r>
          </w:p>
        </w:tc>
      </w:tr>
    </w:tbl>
    <w:p w14:paraId="683041DA" w14:textId="77777777" w:rsidR="00F82F9F" w:rsidRPr="000322E4" w:rsidRDefault="00F82F9F" w:rsidP="00F414BF">
      <w:pPr>
        <w:spacing w:line="360" w:lineRule="auto"/>
        <w:ind w:left="709"/>
        <w:contextualSpacing/>
        <w:jc w:val="both"/>
        <w:rPr>
          <w:i/>
        </w:rPr>
      </w:pPr>
    </w:p>
    <w:p w14:paraId="1E5B2B54" w14:textId="77777777" w:rsidR="008762E9" w:rsidRPr="000322E4" w:rsidRDefault="008762E9" w:rsidP="00F414BF">
      <w:pPr>
        <w:spacing w:line="360" w:lineRule="auto"/>
        <w:ind w:left="709"/>
        <w:contextualSpacing/>
        <w:jc w:val="both"/>
        <w:rPr>
          <w:i/>
        </w:rPr>
      </w:pPr>
      <w:r w:rsidRPr="000322E4">
        <w:rPr>
          <w:i/>
        </w:rPr>
        <w:t>Таблица 5.</w:t>
      </w:r>
      <w:r w:rsidR="00210FA0" w:rsidRPr="000322E4">
        <w:rPr>
          <w:i/>
        </w:rPr>
        <w:t>3</w:t>
      </w:r>
      <w:r w:rsidRPr="000322E4">
        <w:rPr>
          <w:i/>
        </w:rPr>
        <w:t>. Скрининг по кардиотоксическим эффектам</w:t>
      </w:r>
    </w:p>
    <w:tbl>
      <w:tblPr>
        <w:tblW w:w="9843" w:type="dxa"/>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663"/>
        <w:gridCol w:w="2460"/>
        <w:gridCol w:w="3000"/>
        <w:gridCol w:w="2720"/>
      </w:tblGrid>
      <w:tr w:rsidR="008762E9" w:rsidRPr="000322E4" w14:paraId="6F553561" w14:textId="77777777" w:rsidTr="00D254F2">
        <w:trPr>
          <w:trHeight w:val="332"/>
        </w:trPr>
        <w:tc>
          <w:tcPr>
            <w:tcW w:w="9843" w:type="dxa"/>
            <w:gridSpan w:val="4"/>
            <w:tcMar>
              <w:top w:w="72" w:type="dxa"/>
              <w:left w:w="144" w:type="dxa"/>
              <w:bottom w:w="72" w:type="dxa"/>
              <w:right w:w="144" w:type="dxa"/>
            </w:tcMar>
          </w:tcPr>
          <w:p w14:paraId="2A99F4E8" w14:textId="77777777" w:rsidR="008762E9" w:rsidRPr="000322E4" w:rsidRDefault="008762E9" w:rsidP="00F414BF">
            <w:pPr>
              <w:spacing w:line="360" w:lineRule="auto"/>
              <w:contextualSpacing/>
              <w:jc w:val="both"/>
              <w:rPr>
                <w:rFonts w:cs="Arial"/>
                <w:sz w:val="22"/>
              </w:rPr>
            </w:pPr>
            <w:r w:rsidRPr="000322E4">
              <w:rPr>
                <w:rFonts w:cs="Arial"/>
                <w:sz w:val="22"/>
              </w:rPr>
              <w:t>Функция сердца</w:t>
            </w:r>
          </w:p>
        </w:tc>
      </w:tr>
      <w:tr w:rsidR="008762E9" w:rsidRPr="000322E4" w14:paraId="4802819C" w14:textId="77777777" w:rsidTr="00D254F2">
        <w:trPr>
          <w:trHeight w:val="465"/>
        </w:trPr>
        <w:tc>
          <w:tcPr>
            <w:tcW w:w="1663" w:type="dxa"/>
            <w:tcMar>
              <w:top w:w="72" w:type="dxa"/>
              <w:left w:w="144" w:type="dxa"/>
              <w:bottom w:w="72" w:type="dxa"/>
              <w:right w:w="144" w:type="dxa"/>
            </w:tcMar>
          </w:tcPr>
          <w:p w14:paraId="32EDC6EC" w14:textId="77777777" w:rsidR="008762E9" w:rsidRPr="000322E4" w:rsidRDefault="008762E9" w:rsidP="00F414BF">
            <w:pPr>
              <w:spacing w:line="360" w:lineRule="auto"/>
              <w:contextualSpacing/>
              <w:jc w:val="both"/>
              <w:rPr>
                <w:rFonts w:cs="Arial"/>
                <w:sz w:val="22"/>
              </w:rPr>
            </w:pPr>
            <w:r w:rsidRPr="000322E4">
              <w:rPr>
                <w:rFonts w:cs="Arial"/>
                <w:sz w:val="22"/>
              </w:rPr>
              <w:t>Возраст</w:t>
            </w:r>
          </w:p>
        </w:tc>
        <w:tc>
          <w:tcPr>
            <w:tcW w:w="2460" w:type="dxa"/>
            <w:tcMar>
              <w:top w:w="72" w:type="dxa"/>
              <w:left w:w="144" w:type="dxa"/>
              <w:bottom w:w="72" w:type="dxa"/>
              <w:right w:w="144" w:type="dxa"/>
            </w:tcMar>
          </w:tcPr>
          <w:p w14:paraId="66F508CD" w14:textId="77777777" w:rsidR="008762E9" w:rsidRPr="000322E4" w:rsidRDefault="008762E9" w:rsidP="00F414BF">
            <w:pPr>
              <w:spacing w:line="360" w:lineRule="auto"/>
              <w:contextualSpacing/>
              <w:jc w:val="both"/>
              <w:rPr>
                <w:rFonts w:cs="Arial"/>
                <w:sz w:val="22"/>
              </w:rPr>
            </w:pPr>
            <w:r w:rsidRPr="000322E4">
              <w:rPr>
                <w:rFonts w:cs="Arial"/>
                <w:sz w:val="22"/>
                <w:lang w:val="en-US"/>
              </w:rPr>
              <w:t>Облучение</w:t>
            </w:r>
            <w:r w:rsidRPr="000322E4">
              <w:rPr>
                <w:rFonts w:cs="Arial"/>
                <w:sz w:val="22"/>
              </w:rPr>
              <w:t xml:space="preserve"> средостения</w:t>
            </w:r>
          </w:p>
        </w:tc>
        <w:tc>
          <w:tcPr>
            <w:tcW w:w="3000" w:type="dxa"/>
            <w:tcMar>
              <w:top w:w="72" w:type="dxa"/>
              <w:left w:w="144" w:type="dxa"/>
              <w:bottom w:w="72" w:type="dxa"/>
              <w:right w:w="144" w:type="dxa"/>
            </w:tcMar>
          </w:tcPr>
          <w:p w14:paraId="615F7BBC" w14:textId="77777777" w:rsidR="008762E9" w:rsidRPr="000322E4" w:rsidRDefault="008762E9" w:rsidP="00F414BF">
            <w:pPr>
              <w:spacing w:line="360" w:lineRule="auto"/>
              <w:contextualSpacing/>
              <w:jc w:val="both"/>
              <w:rPr>
                <w:rFonts w:cs="Arial"/>
                <w:sz w:val="22"/>
              </w:rPr>
            </w:pPr>
            <w:r w:rsidRPr="000322E4">
              <w:rPr>
                <w:rFonts w:cs="Arial"/>
                <w:sz w:val="22"/>
              </w:rPr>
              <w:t>Доза антрациклинов</w:t>
            </w:r>
          </w:p>
        </w:tc>
        <w:tc>
          <w:tcPr>
            <w:tcW w:w="2720" w:type="dxa"/>
            <w:tcMar>
              <w:top w:w="72" w:type="dxa"/>
              <w:left w:w="144" w:type="dxa"/>
              <w:bottom w:w="72" w:type="dxa"/>
              <w:right w:w="144" w:type="dxa"/>
            </w:tcMar>
          </w:tcPr>
          <w:p w14:paraId="271ABE47" w14:textId="77777777" w:rsidR="008762E9" w:rsidRPr="000322E4" w:rsidRDefault="008762E9" w:rsidP="00F414BF">
            <w:pPr>
              <w:spacing w:line="360" w:lineRule="auto"/>
              <w:contextualSpacing/>
              <w:jc w:val="both"/>
              <w:rPr>
                <w:rFonts w:cs="Arial"/>
                <w:sz w:val="22"/>
              </w:rPr>
            </w:pPr>
            <w:r w:rsidRPr="000322E4">
              <w:rPr>
                <w:rFonts w:cs="Arial"/>
                <w:sz w:val="22"/>
              </w:rPr>
              <w:t>ЭхоКГ</w:t>
            </w:r>
          </w:p>
        </w:tc>
      </w:tr>
      <w:tr w:rsidR="008762E9" w:rsidRPr="000322E4" w14:paraId="57B09B74" w14:textId="77777777" w:rsidTr="00D254F2">
        <w:trPr>
          <w:trHeight w:val="402"/>
        </w:trPr>
        <w:tc>
          <w:tcPr>
            <w:tcW w:w="1663" w:type="dxa"/>
            <w:vMerge w:val="restart"/>
            <w:tcMar>
              <w:top w:w="72" w:type="dxa"/>
              <w:left w:w="144" w:type="dxa"/>
              <w:bottom w:w="72" w:type="dxa"/>
              <w:right w:w="144" w:type="dxa"/>
            </w:tcMar>
          </w:tcPr>
          <w:p w14:paraId="23331304" w14:textId="77777777" w:rsidR="008762E9" w:rsidRPr="000322E4" w:rsidRDefault="008762E9" w:rsidP="00F414BF">
            <w:pPr>
              <w:spacing w:line="360" w:lineRule="auto"/>
              <w:contextualSpacing/>
              <w:jc w:val="both"/>
              <w:rPr>
                <w:rFonts w:cs="Arial"/>
                <w:sz w:val="22"/>
              </w:rPr>
            </w:pPr>
            <w:r w:rsidRPr="000322E4">
              <w:rPr>
                <w:rFonts w:cs="Arial"/>
                <w:sz w:val="22"/>
                <w:lang w:val="en-US"/>
              </w:rPr>
              <w:t>&lt; 1</w:t>
            </w:r>
            <w:r w:rsidRPr="000322E4">
              <w:rPr>
                <w:rFonts w:cs="Arial"/>
                <w:sz w:val="22"/>
              </w:rPr>
              <w:t xml:space="preserve"> года</w:t>
            </w:r>
          </w:p>
        </w:tc>
        <w:tc>
          <w:tcPr>
            <w:tcW w:w="2460" w:type="dxa"/>
            <w:tcMar>
              <w:top w:w="72" w:type="dxa"/>
              <w:left w:w="144" w:type="dxa"/>
              <w:bottom w:w="72" w:type="dxa"/>
              <w:right w:w="144" w:type="dxa"/>
            </w:tcMar>
          </w:tcPr>
          <w:p w14:paraId="796D5605" w14:textId="77777777" w:rsidR="008762E9" w:rsidRPr="000322E4" w:rsidRDefault="008762E9" w:rsidP="00F414BF">
            <w:pPr>
              <w:spacing w:line="360" w:lineRule="auto"/>
              <w:contextualSpacing/>
              <w:jc w:val="both"/>
              <w:rPr>
                <w:rFonts w:cs="Arial"/>
                <w:sz w:val="22"/>
              </w:rPr>
            </w:pPr>
            <w:r w:rsidRPr="000322E4">
              <w:rPr>
                <w:rFonts w:cs="Arial"/>
                <w:sz w:val="22"/>
              </w:rPr>
              <w:t>+</w:t>
            </w:r>
          </w:p>
        </w:tc>
        <w:tc>
          <w:tcPr>
            <w:tcW w:w="3000" w:type="dxa"/>
            <w:tcMar>
              <w:top w:w="72" w:type="dxa"/>
              <w:left w:w="144" w:type="dxa"/>
              <w:bottom w:w="72" w:type="dxa"/>
              <w:right w:w="144" w:type="dxa"/>
            </w:tcMar>
          </w:tcPr>
          <w:p w14:paraId="7289E849" w14:textId="77777777" w:rsidR="008762E9" w:rsidRPr="000322E4" w:rsidRDefault="008762E9" w:rsidP="00F414BF">
            <w:pPr>
              <w:spacing w:line="360" w:lineRule="auto"/>
              <w:contextualSpacing/>
              <w:jc w:val="both"/>
              <w:rPr>
                <w:rFonts w:cs="Arial"/>
                <w:sz w:val="22"/>
              </w:rPr>
            </w:pPr>
            <w:r w:rsidRPr="000322E4">
              <w:rPr>
                <w:rFonts w:cs="Arial"/>
                <w:sz w:val="22"/>
              </w:rPr>
              <w:t>любая</w:t>
            </w:r>
          </w:p>
        </w:tc>
        <w:tc>
          <w:tcPr>
            <w:tcW w:w="2720" w:type="dxa"/>
            <w:tcMar>
              <w:top w:w="72" w:type="dxa"/>
              <w:left w:w="144" w:type="dxa"/>
              <w:bottom w:w="72" w:type="dxa"/>
              <w:right w:w="144" w:type="dxa"/>
            </w:tcMar>
          </w:tcPr>
          <w:p w14:paraId="2FA13D12" w14:textId="77777777" w:rsidR="008762E9" w:rsidRPr="000322E4" w:rsidRDefault="008762E9" w:rsidP="00F414BF">
            <w:pPr>
              <w:spacing w:line="360" w:lineRule="auto"/>
              <w:contextualSpacing/>
              <w:jc w:val="both"/>
              <w:rPr>
                <w:rFonts w:cs="Arial"/>
                <w:sz w:val="22"/>
              </w:rPr>
            </w:pPr>
            <w:r w:rsidRPr="000322E4">
              <w:rPr>
                <w:rFonts w:cs="Arial"/>
                <w:sz w:val="22"/>
              </w:rPr>
              <w:t>раз в год</w:t>
            </w:r>
          </w:p>
        </w:tc>
      </w:tr>
      <w:tr w:rsidR="008762E9" w:rsidRPr="000322E4" w14:paraId="5FDEAE2D" w14:textId="77777777" w:rsidTr="00D254F2">
        <w:trPr>
          <w:trHeight w:val="397"/>
        </w:trPr>
        <w:tc>
          <w:tcPr>
            <w:tcW w:w="1663" w:type="dxa"/>
            <w:vMerge/>
            <w:vAlign w:val="center"/>
          </w:tcPr>
          <w:p w14:paraId="2D4888A9" w14:textId="77777777" w:rsidR="008762E9" w:rsidRPr="000322E4" w:rsidRDefault="008762E9" w:rsidP="00F414BF">
            <w:pPr>
              <w:spacing w:line="360" w:lineRule="auto"/>
              <w:contextualSpacing/>
              <w:jc w:val="both"/>
              <w:rPr>
                <w:rFonts w:cs="Arial"/>
                <w:sz w:val="22"/>
              </w:rPr>
            </w:pPr>
          </w:p>
        </w:tc>
        <w:tc>
          <w:tcPr>
            <w:tcW w:w="2460" w:type="dxa"/>
            <w:vMerge w:val="restart"/>
            <w:tcMar>
              <w:top w:w="72" w:type="dxa"/>
              <w:left w:w="144" w:type="dxa"/>
              <w:bottom w:w="72" w:type="dxa"/>
              <w:right w:w="144" w:type="dxa"/>
            </w:tcMar>
          </w:tcPr>
          <w:p w14:paraId="52AF74DD" w14:textId="77777777" w:rsidR="008762E9" w:rsidRPr="000322E4" w:rsidRDefault="008762E9" w:rsidP="00F414BF">
            <w:pPr>
              <w:spacing w:line="360" w:lineRule="auto"/>
              <w:contextualSpacing/>
              <w:jc w:val="both"/>
              <w:rPr>
                <w:rFonts w:cs="Arial"/>
                <w:sz w:val="22"/>
              </w:rPr>
            </w:pPr>
            <w:r w:rsidRPr="000322E4">
              <w:rPr>
                <w:rFonts w:cs="Arial"/>
                <w:sz w:val="22"/>
              </w:rPr>
              <w:t>-</w:t>
            </w:r>
          </w:p>
        </w:tc>
        <w:tc>
          <w:tcPr>
            <w:tcW w:w="3000" w:type="dxa"/>
            <w:tcMar>
              <w:top w:w="72" w:type="dxa"/>
              <w:left w:w="144" w:type="dxa"/>
              <w:bottom w:w="72" w:type="dxa"/>
              <w:right w:w="144" w:type="dxa"/>
            </w:tcMar>
          </w:tcPr>
          <w:p w14:paraId="30232857" w14:textId="77777777" w:rsidR="008762E9" w:rsidRPr="000322E4" w:rsidRDefault="008762E9" w:rsidP="00F414BF">
            <w:pPr>
              <w:spacing w:line="360" w:lineRule="auto"/>
              <w:contextualSpacing/>
              <w:jc w:val="both"/>
              <w:rPr>
                <w:rFonts w:cs="Arial"/>
                <w:sz w:val="22"/>
              </w:rPr>
            </w:pPr>
            <w:r w:rsidRPr="000322E4">
              <w:rPr>
                <w:rFonts w:cs="Arial"/>
                <w:sz w:val="22"/>
                <w:lang w:val="en-US"/>
              </w:rPr>
              <w:t>&lt;200</w:t>
            </w:r>
            <w:r w:rsidRPr="000322E4">
              <w:rPr>
                <w:rFonts w:cs="Arial"/>
                <w:sz w:val="22"/>
              </w:rPr>
              <w:t xml:space="preserve"> мг/м</w:t>
            </w:r>
            <w:r w:rsidR="003430E6" w:rsidRPr="000322E4">
              <w:rPr>
                <w:rFonts w:cs="Arial"/>
                <w:sz w:val="22"/>
                <w:vertAlign w:val="superscript"/>
              </w:rPr>
              <w:t>2</w:t>
            </w:r>
          </w:p>
        </w:tc>
        <w:tc>
          <w:tcPr>
            <w:tcW w:w="2720" w:type="dxa"/>
            <w:tcMar>
              <w:top w:w="72" w:type="dxa"/>
              <w:left w:w="144" w:type="dxa"/>
              <w:bottom w:w="72" w:type="dxa"/>
              <w:right w:w="144" w:type="dxa"/>
            </w:tcMar>
          </w:tcPr>
          <w:p w14:paraId="4FCF5437" w14:textId="77777777" w:rsidR="008762E9" w:rsidRPr="000322E4" w:rsidRDefault="008762E9" w:rsidP="00F414BF">
            <w:pPr>
              <w:spacing w:line="360" w:lineRule="auto"/>
              <w:contextualSpacing/>
              <w:jc w:val="both"/>
              <w:rPr>
                <w:rFonts w:cs="Arial"/>
                <w:sz w:val="22"/>
              </w:rPr>
            </w:pPr>
            <w:r w:rsidRPr="000322E4">
              <w:rPr>
                <w:rFonts w:cs="Arial"/>
                <w:sz w:val="22"/>
              </w:rPr>
              <w:t>каждые 2 года</w:t>
            </w:r>
          </w:p>
        </w:tc>
      </w:tr>
      <w:tr w:rsidR="008762E9" w:rsidRPr="000322E4" w14:paraId="7A074A46" w14:textId="77777777" w:rsidTr="00D254F2">
        <w:trPr>
          <w:trHeight w:val="377"/>
        </w:trPr>
        <w:tc>
          <w:tcPr>
            <w:tcW w:w="1663" w:type="dxa"/>
            <w:vMerge/>
            <w:vAlign w:val="center"/>
          </w:tcPr>
          <w:p w14:paraId="7CCCD946" w14:textId="77777777" w:rsidR="008762E9" w:rsidRPr="000322E4" w:rsidRDefault="008762E9" w:rsidP="00F414BF">
            <w:pPr>
              <w:spacing w:line="360" w:lineRule="auto"/>
              <w:contextualSpacing/>
              <w:jc w:val="both"/>
              <w:rPr>
                <w:rFonts w:cs="Arial"/>
                <w:sz w:val="22"/>
              </w:rPr>
            </w:pPr>
          </w:p>
        </w:tc>
        <w:tc>
          <w:tcPr>
            <w:tcW w:w="0" w:type="auto"/>
            <w:vMerge/>
            <w:vAlign w:val="center"/>
          </w:tcPr>
          <w:p w14:paraId="59B845F8" w14:textId="77777777" w:rsidR="008762E9" w:rsidRPr="000322E4" w:rsidRDefault="008762E9" w:rsidP="00F414BF">
            <w:pPr>
              <w:spacing w:line="360" w:lineRule="auto"/>
              <w:contextualSpacing/>
              <w:jc w:val="both"/>
              <w:rPr>
                <w:rFonts w:cs="Arial"/>
                <w:sz w:val="22"/>
              </w:rPr>
            </w:pPr>
          </w:p>
        </w:tc>
        <w:tc>
          <w:tcPr>
            <w:tcW w:w="3000" w:type="dxa"/>
            <w:tcMar>
              <w:top w:w="72" w:type="dxa"/>
              <w:left w:w="144" w:type="dxa"/>
              <w:bottom w:w="72" w:type="dxa"/>
              <w:right w:w="144" w:type="dxa"/>
            </w:tcMar>
          </w:tcPr>
          <w:p w14:paraId="0D611888" w14:textId="77777777" w:rsidR="008762E9" w:rsidRPr="000322E4" w:rsidRDefault="008762E9" w:rsidP="00F414BF">
            <w:pPr>
              <w:spacing w:line="360" w:lineRule="auto"/>
              <w:contextualSpacing/>
              <w:jc w:val="both"/>
              <w:rPr>
                <w:rFonts w:cs="Arial"/>
                <w:sz w:val="22"/>
              </w:rPr>
            </w:pPr>
            <w:r w:rsidRPr="000322E4">
              <w:rPr>
                <w:rFonts w:cs="Arial"/>
                <w:sz w:val="22"/>
                <w:lang w:val="en-US"/>
              </w:rPr>
              <w:t>&gt;200</w:t>
            </w:r>
            <w:r w:rsidRPr="000322E4">
              <w:rPr>
                <w:rFonts w:cs="Arial"/>
                <w:sz w:val="22"/>
              </w:rPr>
              <w:t xml:space="preserve"> </w:t>
            </w:r>
            <w:r w:rsidR="003430E6" w:rsidRPr="000322E4">
              <w:rPr>
                <w:rFonts w:cs="Arial"/>
                <w:sz w:val="22"/>
              </w:rPr>
              <w:t>мг/м</w:t>
            </w:r>
            <w:r w:rsidR="003430E6" w:rsidRPr="000322E4">
              <w:rPr>
                <w:rFonts w:cs="Arial"/>
                <w:sz w:val="22"/>
                <w:vertAlign w:val="superscript"/>
              </w:rPr>
              <w:t>2</w:t>
            </w:r>
          </w:p>
        </w:tc>
        <w:tc>
          <w:tcPr>
            <w:tcW w:w="2720" w:type="dxa"/>
            <w:tcMar>
              <w:top w:w="72" w:type="dxa"/>
              <w:left w:w="144" w:type="dxa"/>
              <w:bottom w:w="72" w:type="dxa"/>
              <w:right w:w="144" w:type="dxa"/>
            </w:tcMar>
          </w:tcPr>
          <w:p w14:paraId="60F6E049" w14:textId="77777777" w:rsidR="008762E9" w:rsidRPr="000322E4" w:rsidRDefault="008762E9" w:rsidP="00F414BF">
            <w:pPr>
              <w:spacing w:line="360" w:lineRule="auto"/>
              <w:contextualSpacing/>
              <w:jc w:val="both"/>
              <w:rPr>
                <w:rFonts w:cs="Arial"/>
                <w:sz w:val="22"/>
              </w:rPr>
            </w:pPr>
            <w:r w:rsidRPr="000322E4">
              <w:rPr>
                <w:rFonts w:cs="Arial"/>
                <w:sz w:val="22"/>
              </w:rPr>
              <w:t>раз в год</w:t>
            </w:r>
          </w:p>
        </w:tc>
      </w:tr>
      <w:tr w:rsidR="008762E9" w:rsidRPr="000322E4" w14:paraId="39CD1252" w14:textId="77777777" w:rsidTr="00D254F2">
        <w:trPr>
          <w:trHeight w:val="371"/>
        </w:trPr>
        <w:tc>
          <w:tcPr>
            <w:tcW w:w="1663" w:type="dxa"/>
            <w:vMerge w:val="restart"/>
            <w:tcMar>
              <w:top w:w="72" w:type="dxa"/>
              <w:left w:w="144" w:type="dxa"/>
              <w:bottom w:w="72" w:type="dxa"/>
              <w:right w:w="144" w:type="dxa"/>
            </w:tcMar>
          </w:tcPr>
          <w:p w14:paraId="04B96601" w14:textId="77777777" w:rsidR="008762E9" w:rsidRPr="000322E4" w:rsidRDefault="008762E9" w:rsidP="00F414BF">
            <w:pPr>
              <w:spacing w:line="360" w:lineRule="auto"/>
              <w:contextualSpacing/>
              <w:jc w:val="both"/>
              <w:rPr>
                <w:rFonts w:cs="Arial"/>
                <w:sz w:val="22"/>
              </w:rPr>
            </w:pPr>
            <w:r w:rsidRPr="000322E4">
              <w:rPr>
                <w:rFonts w:cs="Arial"/>
                <w:sz w:val="22"/>
              </w:rPr>
              <w:lastRenderedPageBreak/>
              <w:t>1-4 лет</w:t>
            </w:r>
          </w:p>
        </w:tc>
        <w:tc>
          <w:tcPr>
            <w:tcW w:w="2460" w:type="dxa"/>
            <w:tcMar>
              <w:top w:w="72" w:type="dxa"/>
              <w:left w:w="144" w:type="dxa"/>
              <w:bottom w:w="72" w:type="dxa"/>
              <w:right w:w="144" w:type="dxa"/>
            </w:tcMar>
          </w:tcPr>
          <w:p w14:paraId="578AF088" w14:textId="77777777" w:rsidR="008762E9" w:rsidRPr="000322E4" w:rsidRDefault="008762E9" w:rsidP="00F414BF">
            <w:pPr>
              <w:spacing w:line="360" w:lineRule="auto"/>
              <w:contextualSpacing/>
              <w:jc w:val="both"/>
              <w:rPr>
                <w:rFonts w:cs="Arial"/>
                <w:sz w:val="22"/>
              </w:rPr>
            </w:pPr>
            <w:r w:rsidRPr="000322E4">
              <w:rPr>
                <w:rFonts w:cs="Arial"/>
                <w:sz w:val="22"/>
              </w:rPr>
              <w:t>+</w:t>
            </w:r>
          </w:p>
        </w:tc>
        <w:tc>
          <w:tcPr>
            <w:tcW w:w="3000" w:type="dxa"/>
            <w:tcMar>
              <w:top w:w="72" w:type="dxa"/>
              <w:left w:w="144" w:type="dxa"/>
              <w:bottom w:w="72" w:type="dxa"/>
              <w:right w:w="144" w:type="dxa"/>
            </w:tcMar>
          </w:tcPr>
          <w:p w14:paraId="083A65C7" w14:textId="77777777" w:rsidR="008762E9" w:rsidRPr="000322E4" w:rsidRDefault="008762E9" w:rsidP="00F414BF">
            <w:pPr>
              <w:spacing w:line="360" w:lineRule="auto"/>
              <w:contextualSpacing/>
              <w:jc w:val="both"/>
              <w:rPr>
                <w:rFonts w:cs="Arial"/>
                <w:sz w:val="22"/>
              </w:rPr>
            </w:pPr>
            <w:r w:rsidRPr="000322E4">
              <w:rPr>
                <w:rFonts w:cs="Arial"/>
                <w:sz w:val="22"/>
              </w:rPr>
              <w:t>любая</w:t>
            </w:r>
          </w:p>
        </w:tc>
        <w:tc>
          <w:tcPr>
            <w:tcW w:w="2720" w:type="dxa"/>
            <w:tcMar>
              <w:top w:w="72" w:type="dxa"/>
              <w:left w:w="144" w:type="dxa"/>
              <w:bottom w:w="72" w:type="dxa"/>
              <w:right w:w="144" w:type="dxa"/>
            </w:tcMar>
          </w:tcPr>
          <w:p w14:paraId="435F4B00" w14:textId="77777777" w:rsidR="008762E9" w:rsidRPr="000322E4" w:rsidRDefault="008762E9" w:rsidP="00F414BF">
            <w:pPr>
              <w:spacing w:line="360" w:lineRule="auto"/>
              <w:contextualSpacing/>
              <w:jc w:val="both"/>
              <w:rPr>
                <w:rFonts w:cs="Arial"/>
                <w:sz w:val="22"/>
              </w:rPr>
            </w:pPr>
            <w:r w:rsidRPr="000322E4">
              <w:rPr>
                <w:rFonts w:cs="Arial"/>
                <w:sz w:val="22"/>
              </w:rPr>
              <w:t>раз в год</w:t>
            </w:r>
          </w:p>
        </w:tc>
      </w:tr>
      <w:tr w:rsidR="008762E9" w:rsidRPr="000322E4" w14:paraId="5CDB1B30" w14:textId="77777777" w:rsidTr="00D254F2">
        <w:trPr>
          <w:trHeight w:val="334"/>
        </w:trPr>
        <w:tc>
          <w:tcPr>
            <w:tcW w:w="1663" w:type="dxa"/>
            <w:vMerge/>
            <w:vAlign w:val="center"/>
          </w:tcPr>
          <w:p w14:paraId="0B44AD08" w14:textId="77777777" w:rsidR="008762E9" w:rsidRPr="000322E4" w:rsidRDefault="008762E9" w:rsidP="00F414BF">
            <w:pPr>
              <w:spacing w:line="360" w:lineRule="auto"/>
              <w:contextualSpacing/>
              <w:jc w:val="both"/>
              <w:rPr>
                <w:rFonts w:cs="Arial"/>
                <w:sz w:val="22"/>
              </w:rPr>
            </w:pPr>
          </w:p>
        </w:tc>
        <w:tc>
          <w:tcPr>
            <w:tcW w:w="2460" w:type="dxa"/>
            <w:vMerge w:val="restart"/>
            <w:tcMar>
              <w:top w:w="72" w:type="dxa"/>
              <w:left w:w="144" w:type="dxa"/>
              <w:bottom w:w="72" w:type="dxa"/>
              <w:right w:w="144" w:type="dxa"/>
            </w:tcMar>
          </w:tcPr>
          <w:p w14:paraId="64AECC31" w14:textId="77777777" w:rsidR="008762E9" w:rsidRPr="000322E4" w:rsidRDefault="008762E9" w:rsidP="00F414BF">
            <w:pPr>
              <w:spacing w:line="360" w:lineRule="auto"/>
              <w:contextualSpacing/>
              <w:jc w:val="both"/>
              <w:rPr>
                <w:rFonts w:cs="Arial"/>
                <w:sz w:val="22"/>
              </w:rPr>
            </w:pPr>
            <w:r w:rsidRPr="000322E4">
              <w:rPr>
                <w:rFonts w:cs="Arial"/>
                <w:sz w:val="22"/>
              </w:rPr>
              <w:t>-</w:t>
            </w:r>
          </w:p>
        </w:tc>
        <w:tc>
          <w:tcPr>
            <w:tcW w:w="3000" w:type="dxa"/>
            <w:tcMar>
              <w:top w:w="72" w:type="dxa"/>
              <w:left w:w="144" w:type="dxa"/>
              <w:bottom w:w="72" w:type="dxa"/>
              <w:right w:w="144" w:type="dxa"/>
            </w:tcMar>
          </w:tcPr>
          <w:p w14:paraId="20DC6E29" w14:textId="77777777" w:rsidR="008762E9" w:rsidRPr="000322E4" w:rsidRDefault="008762E9" w:rsidP="00F414BF">
            <w:pPr>
              <w:spacing w:line="360" w:lineRule="auto"/>
              <w:contextualSpacing/>
              <w:jc w:val="both"/>
              <w:rPr>
                <w:rFonts w:cs="Arial"/>
                <w:sz w:val="22"/>
              </w:rPr>
            </w:pPr>
            <w:r w:rsidRPr="000322E4">
              <w:rPr>
                <w:rFonts w:cs="Arial"/>
                <w:sz w:val="22"/>
                <w:lang w:val="en-US"/>
              </w:rPr>
              <w:t>&lt;100</w:t>
            </w:r>
            <w:r w:rsidRPr="000322E4">
              <w:rPr>
                <w:rFonts w:cs="Arial"/>
                <w:sz w:val="22"/>
              </w:rPr>
              <w:t xml:space="preserve"> </w:t>
            </w:r>
            <w:r w:rsidR="003430E6" w:rsidRPr="000322E4">
              <w:rPr>
                <w:rFonts w:cs="Arial"/>
                <w:sz w:val="22"/>
              </w:rPr>
              <w:t>мг/м</w:t>
            </w:r>
            <w:r w:rsidR="003430E6" w:rsidRPr="000322E4">
              <w:rPr>
                <w:rFonts w:cs="Arial"/>
                <w:sz w:val="22"/>
                <w:vertAlign w:val="superscript"/>
              </w:rPr>
              <w:t>2</w:t>
            </w:r>
          </w:p>
        </w:tc>
        <w:tc>
          <w:tcPr>
            <w:tcW w:w="2720" w:type="dxa"/>
            <w:tcMar>
              <w:top w:w="72" w:type="dxa"/>
              <w:left w:w="144" w:type="dxa"/>
              <w:bottom w:w="72" w:type="dxa"/>
              <w:right w:w="144" w:type="dxa"/>
            </w:tcMar>
          </w:tcPr>
          <w:p w14:paraId="437AE61F" w14:textId="77777777" w:rsidR="008762E9" w:rsidRPr="000322E4" w:rsidRDefault="008762E9" w:rsidP="00F414BF">
            <w:pPr>
              <w:spacing w:line="360" w:lineRule="auto"/>
              <w:contextualSpacing/>
              <w:jc w:val="both"/>
              <w:rPr>
                <w:rFonts w:cs="Arial"/>
                <w:sz w:val="22"/>
              </w:rPr>
            </w:pPr>
            <w:r w:rsidRPr="000322E4">
              <w:rPr>
                <w:rFonts w:cs="Arial"/>
                <w:sz w:val="22"/>
              </w:rPr>
              <w:t>каждые 5 лет</w:t>
            </w:r>
          </w:p>
        </w:tc>
      </w:tr>
      <w:tr w:rsidR="008762E9" w:rsidRPr="000322E4" w14:paraId="5E8B507C" w14:textId="77777777" w:rsidTr="00D254F2">
        <w:trPr>
          <w:trHeight w:val="186"/>
        </w:trPr>
        <w:tc>
          <w:tcPr>
            <w:tcW w:w="1663" w:type="dxa"/>
            <w:vMerge/>
            <w:vAlign w:val="center"/>
          </w:tcPr>
          <w:p w14:paraId="5CAED7CD" w14:textId="77777777" w:rsidR="008762E9" w:rsidRPr="000322E4" w:rsidRDefault="008762E9" w:rsidP="00F414BF">
            <w:pPr>
              <w:spacing w:line="360" w:lineRule="auto"/>
              <w:contextualSpacing/>
              <w:jc w:val="both"/>
              <w:rPr>
                <w:rFonts w:cs="Arial"/>
                <w:sz w:val="22"/>
              </w:rPr>
            </w:pPr>
          </w:p>
        </w:tc>
        <w:tc>
          <w:tcPr>
            <w:tcW w:w="0" w:type="auto"/>
            <w:vMerge/>
            <w:vAlign w:val="center"/>
          </w:tcPr>
          <w:p w14:paraId="3A99CBBC" w14:textId="77777777" w:rsidR="008762E9" w:rsidRPr="000322E4" w:rsidRDefault="008762E9" w:rsidP="00F414BF">
            <w:pPr>
              <w:spacing w:line="360" w:lineRule="auto"/>
              <w:contextualSpacing/>
              <w:jc w:val="both"/>
              <w:rPr>
                <w:rFonts w:cs="Arial"/>
                <w:sz w:val="22"/>
              </w:rPr>
            </w:pPr>
          </w:p>
        </w:tc>
        <w:tc>
          <w:tcPr>
            <w:tcW w:w="3000" w:type="dxa"/>
            <w:tcMar>
              <w:top w:w="72" w:type="dxa"/>
              <w:left w:w="144" w:type="dxa"/>
              <w:bottom w:w="72" w:type="dxa"/>
              <w:right w:w="144" w:type="dxa"/>
            </w:tcMar>
          </w:tcPr>
          <w:p w14:paraId="3929B33B" w14:textId="77777777" w:rsidR="008762E9" w:rsidRPr="000322E4" w:rsidRDefault="008762E9" w:rsidP="00F414BF">
            <w:pPr>
              <w:spacing w:line="360" w:lineRule="auto"/>
              <w:contextualSpacing/>
              <w:jc w:val="both"/>
              <w:rPr>
                <w:rFonts w:cs="Arial"/>
                <w:sz w:val="22"/>
              </w:rPr>
            </w:pPr>
            <w:r w:rsidRPr="000322E4">
              <w:rPr>
                <w:rFonts w:cs="Arial"/>
                <w:sz w:val="22"/>
                <w:lang w:val="en-US"/>
              </w:rPr>
              <w:t>100-300</w:t>
            </w:r>
            <w:r w:rsidRPr="000322E4">
              <w:rPr>
                <w:rFonts w:cs="Arial"/>
                <w:sz w:val="22"/>
              </w:rPr>
              <w:t xml:space="preserve"> </w:t>
            </w:r>
            <w:r w:rsidR="003430E6" w:rsidRPr="000322E4">
              <w:rPr>
                <w:rFonts w:cs="Arial"/>
                <w:sz w:val="22"/>
              </w:rPr>
              <w:t>мг/м</w:t>
            </w:r>
            <w:r w:rsidR="003430E6" w:rsidRPr="000322E4">
              <w:rPr>
                <w:rFonts w:cs="Arial"/>
                <w:sz w:val="22"/>
                <w:vertAlign w:val="superscript"/>
              </w:rPr>
              <w:t>2</w:t>
            </w:r>
          </w:p>
        </w:tc>
        <w:tc>
          <w:tcPr>
            <w:tcW w:w="2720" w:type="dxa"/>
            <w:tcMar>
              <w:top w:w="72" w:type="dxa"/>
              <w:left w:w="144" w:type="dxa"/>
              <w:bottom w:w="72" w:type="dxa"/>
              <w:right w:w="144" w:type="dxa"/>
            </w:tcMar>
          </w:tcPr>
          <w:p w14:paraId="0FCDA04D" w14:textId="77777777" w:rsidR="008762E9" w:rsidRPr="000322E4" w:rsidRDefault="008762E9" w:rsidP="00F414BF">
            <w:pPr>
              <w:spacing w:line="360" w:lineRule="auto"/>
              <w:contextualSpacing/>
              <w:jc w:val="both"/>
              <w:rPr>
                <w:rFonts w:cs="Arial"/>
                <w:sz w:val="22"/>
              </w:rPr>
            </w:pPr>
            <w:r w:rsidRPr="000322E4">
              <w:rPr>
                <w:rFonts w:cs="Arial"/>
                <w:sz w:val="22"/>
              </w:rPr>
              <w:t>каждые 2 года</w:t>
            </w:r>
          </w:p>
        </w:tc>
      </w:tr>
      <w:tr w:rsidR="008762E9" w:rsidRPr="000322E4" w14:paraId="0710B5A9" w14:textId="77777777" w:rsidTr="00D254F2">
        <w:trPr>
          <w:trHeight w:val="166"/>
        </w:trPr>
        <w:tc>
          <w:tcPr>
            <w:tcW w:w="1663" w:type="dxa"/>
            <w:vMerge/>
            <w:vAlign w:val="center"/>
          </w:tcPr>
          <w:p w14:paraId="219B8CD3" w14:textId="77777777" w:rsidR="008762E9" w:rsidRPr="000322E4" w:rsidRDefault="008762E9" w:rsidP="00F414BF">
            <w:pPr>
              <w:spacing w:line="360" w:lineRule="auto"/>
              <w:contextualSpacing/>
              <w:jc w:val="both"/>
              <w:rPr>
                <w:rFonts w:cs="Arial"/>
                <w:sz w:val="22"/>
              </w:rPr>
            </w:pPr>
          </w:p>
        </w:tc>
        <w:tc>
          <w:tcPr>
            <w:tcW w:w="0" w:type="auto"/>
            <w:vMerge/>
            <w:vAlign w:val="center"/>
          </w:tcPr>
          <w:p w14:paraId="67764414" w14:textId="77777777" w:rsidR="008762E9" w:rsidRPr="000322E4" w:rsidRDefault="008762E9" w:rsidP="00F414BF">
            <w:pPr>
              <w:spacing w:line="360" w:lineRule="auto"/>
              <w:contextualSpacing/>
              <w:jc w:val="both"/>
              <w:rPr>
                <w:rFonts w:cs="Arial"/>
                <w:sz w:val="22"/>
              </w:rPr>
            </w:pPr>
          </w:p>
        </w:tc>
        <w:tc>
          <w:tcPr>
            <w:tcW w:w="3000" w:type="dxa"/>
            <w:tcMar>
              <w:top w:w="72" w:type="dxa"/>
              <w:left w:w="144" w:type="dxa"/>
              <w:bottom w:w="72" w:type="dxa"/>
              <w:right w:w="144" w:type="dxa"/>
            </w:tcMar>
          </w:tcPr>
          <w:p w14:paraId="3F1EB3C5" w14:textId="77777777" w:rsidR="008762E9" w:rsidRPr="000322E4" w:rsidRDefault="008762E9" w:rsidP="00F414BF">
            <w:pPr>
              <w:spacing w:line="360" w:lineRule="auto"/>
              <w:contextualSpacing/>
              <w:jc w:val="both"/>
              <w:rPr>
                <w:rFonts w:cs="Arial"/>
                <w:sz w:val="22"/>
              </w:rPr>
            </w:pPr>
            <w:r w:rsidRPr="000322E4">
              <w:rPr>
                <w:rFonts w:cs="Arial"/>
                <w:sz w:val="22"/>
                <w:lang w:val="en-US"/>
              </w:rPr>
              <w:t>&gt;300</w:t>
            </w:r>
            <w:r w:rsidRPr="000322E4">
              <w:rPr>
                <w:rFonts w:cs="Arial"/>
                <w:sz w:val="22"/>
              </w:rPr>
              <w:t xml:space="preserve"> мг/м</w:t>
            </w:r>
            <w:r w:rsidR="003430E6" w:rsidRPr="000322E4">
              <w:rPr>
                <w:rFonts w:cs="Arial"/>
                <w:sz w:val="22"/>
                <w:vertAlign w:val="superscript"/>
              </w:rPr>
              <w:t>2</w:t>
            </w:r>
          </w:p>
        </w:tc>
        <w:tc>
          <w:tcPr>
            <w:tcW w:w="2720" w:type="dxa"/>
            <w:tcMar>
              <w:top w:w="72" w:type="dxa"/>
              <w:left w:w="144" w:type="dxa"/>
              <w:bottom w:w="72" w:type="dxa"/>
              <w:right w:w="144" w:type="dxa"/>
            </w:tcMar>
          </w:tcPr>
          <w:p w14:paraId="17E353C0" w14:textId="77777777" w:rsidR="008762E9" w:rsidRPr="000322E4" w:rsidRDefault="008762E9" w:rsidP="00F414BF">
            <w:pPr>
              <w:spacing w:line="360" w:lineRule="auto"/>
              <w:contextualSpacing/>
              <w:jc w:val="both"/>
              <w:rPr>
                <w:rFonts w:cs="Arial"/>
                <w:sz w:val="22"/>
              </w:rPr>
            </w:pPr>
            <w:r w:rsidRPr="000322E4">
              <w:rPr>
                <w:rFonts w:cs="Arial"/>
                <w:sz w:val="22"/>
              </w:rPr>
              <w:t>раз в год</w:t>
            </w:r>
          </w:p>
        </w:tc>
      </w:tr>
      <w:tr w:rsidR="008762E9" w:rsidRPr="000322E4" w14:paraId="2115A205" w14:textId="77777777" w:rsidTr="00D254F2">
        <w:trPr>
          <w:trHeight w:val="159"/>
        </w:trPr>
        <w:tc>
          <w:tcPr>
            <w:tcW w:w="1663" w:type="dxa"/>
            <w:vMerge w:val="restart"/>
            <w:tcMar>
              <w:top w:w="72" w:type="dxa"/>
              <w:left w:w="144" w:type="dxa"/>
              <w:bottom w:w="72" w:type="dxa"/>
              <w:right w:w="144" w:type="dxa"/>
            </w:tcMar>
          </w:tcPr>
          <w:p w14:paraId="2715BDC2" w14:textId="77777777" w:rsidR="008762E9" w:rsidRPr="000322E4" w:rsidRDefault="008762E9" w:rsidP="00F414BF">
            <w:pPr>
              <w:spacing w:line="360" w:lineRule="auto"/>
              <w:contextualSpacing/>
              <w:jc w:val="both"/>
              <w:rPr>
                <w:rFonts w:cs="Arial"/>
                <w:sz w:val="22"/>
              </w:rPr>
            </w:pPr>
            <w:r w:rsidRPr="000322E4">
              <w:rPr>
                <w:rFonts w:cs="Arial"/>
                <w:sz w:val="22"/>
                <w:lang w:val="en-US"/>
              </w:rPr>
              <w:t xml:space="preserve">&gt; 5 </w:t>
            </w:r>
            <w:r w:rsidRPr="000322E4">
              <w:rPr>
                <w:rFonts w:cs="Arial"/>
                <w:sz w:val="22"/>
              </w:rPr>
              <w:t>лет</w:t>
            </w:r>
          </w:p>
        </w:tc>
        <w:tc>
          <w:tcPr>
            <w:tcW w:w="2460" w:type="dxa"/>
            <w:vMerge w:val="restart"/>
            <w:tcMar>
              <w:top w:w="72" w:type="dxa"/>
              <w:left w:w="144" w:type="dxa"/>
              <w:bottom w:w="72" w:type="dxa"/>
              <w:right w:w="144" w:type="dxa"/>
            </w:tcMar>
          </w:tcPr>
          <w:p w14:paraId="081D7925" w14:textId="77777777" w:rsidR="008762E9" w:rsidRPr="000322E4" w:rsidRDefault="008762E9" w:rsidP="00F414BF">
            <w:pPr>
              <w:spacing w:line="360" w:lineRule="auto"/>
              <w:contextualSpacing/>
              <w:jc w:val="both"/>
              <w:rPr>
                <w:rFonts w:cs="Arial"/>
                <w:sz w:val="22"/>
              </w:rPr>
            </w:pPr>
            <w:r w:rsidRPr="000322E4">
              <w:rPr>
                <w:rFonts w:cs="Arial"/>
                <w:sz w:val="22"/>
              </w:rPr>
              <w:t>+</w:t>
            </w:r>
          </w:p>
        </w:tc>
        <w:tc>
          <w:tcPr>
            <w:tcW w:w="3000" w:type="dxa"/>
            <w:tcMar>
              <w:top w:w="72" w:type="dxa"/>
              <w:left w:w="144" w:type="dxa"/>
              <w:bottom w:w="72" w:type="dxa"/>
              <w:right w:w="144" w:type="dxa"/>
            </w:tcMar>
          </w:tcPr>
          <w:p w14:paraId="6DBD46B9" w14:textId="77777777" w:rsidR="008762E9" w:rsidRPr="000322E4" w:rsidRDefault="008762E9" w:rsidP="00F414BF">
            <w:pPr>
              <w:spacing w:line="360" w:lineRule="auto"/>
              <w:contextualSpacing/>
              <w:jc w:val="both"/>
              <w:rPr>
                <w:rFonts w:cs="Arial"/>
                <w:sz w:val="22"/>
              </w:rPr>
            </w:pPr>
            <w:r w:rsidRPr="000322E4">
              <w:rPr>
                <w:rFonts w:cs="Arial"/>
                <w:sz w:val="22"/>
                <w:lang w:val="en-US"/>
              </w:rPr>
              <w:t>&lt;300</w:t>
            </w:r>
            <w:r w:rsidRPr="000322E4">
              <w:rPr>
                <w:rFonts w:cs="Arial"/>
                <w:sz w:val="22"/>
              </w:rPr>
              <w:t xml:space="preserve"> мг/м</w:t>
            </w:r>
            <w:r w:rsidR="003430E6" w:rsidRPr="000322E4">
              <w:rPr>
                <w:rFonts w:cs="Arial"/>
                <w:sz w:val="22"/>
                <w:vertAlign w:val="superscript"/>
              </w:rPr>
              <w:t>2</w:t>
            </w:r>
          </w:p>
        </w:tc>
        <w:tc>
          <w:tcPr>
            <w:tcW w:w="2720" w:type="dxa"/>
            <w:tcMar>
              <w:top w:w="72" w:type="dxa"/>
              <w:left w:w="144" w:type="dxa"/>
              <w:bottom w:w="72" w:type="dxa"/>
              <w:right w:w="144" w:type="dxa"/>
            </w:tcMar>
          </w:tcPr>
          <w:p w14:paraId="114F0F96" w14:textId="77777777" w:rsidR="008762E9" w:rsidRPr="000322E4" w:rsidRDefault="008762E9" w:rsidP="00F414BF">
            <w:pPr>
              <w:spacing w:line="360" w:lineRule="auto"/>
              <w:contextualSpacing/>
              <w:jc w:val="both"/>
              <w:rPr>
                <w:rFonts w:cs="Arial"/>
                <w:sz w:val="22"/>
              </w:rPr>
            </w:pPr>
            <w:r w:rsidRPr="000322E4">
              <w:rPr>
                <w:rFonts w:cs="Arial"/>
                <w:sz w:val="22"/>
              </w:rPr>
              <w:t>каждые 2 года</w:t>
            </w:r>
          </w:p>
        </w:tc>
      </w:tr>
      <w:tr w:rsidR="008762E9" w:rsidRPr="000322E4" w14:paraId="36BFC34A" w14:textId="77777777" w:rsidTr="00D254F2">
        <w:trPr>
          <w:trHeight w:val="139"/>
        </w:trPr>
        <w:tc>
          <w:tcPr>
            <w:tcW w:w="1663" w:type="dxa"/>
            <w:vMerge/>
            <w:vAlign w:val="center"/>
          </w:tcPr>
          <w:p w14:paraId="55F559F4" w14:textId="77777777" w:rsidR="008762E9" w:rsidRPr="000322E4" w:rsidRDefault="008762E9" w:rsidP="00F414BF">
            <w:pPr>
              <w:spacing w:line="360" w:lineRule="auto"/>
              <w:contextualSpacing/>
              <w:jc w:val="both"/>
              <w:rPr>
                <w:rFonts w:cs="Arial"/>
                <w:sz w:val="22"/>
              </w:rPr>
            </w:pPr>
          </w:p>
        </w:tc>
        <w:tc>
          <w:tcPr>
            <w:tcW w:w="0" w:type="auto"/>
            <w:vMerge/>
            <w:vAlign w:val="center"/>
          </w:tcPr>
          <w:p w14:paraId="4088D210" w14:textId="77777777" w:rsidR="008762E9" w:rsidRPr="000322E4" w:rsidRDefault="008762E9" w:rsidP="00F414BF">
            <w:pPr>
              <w:spacing w:line="360" w:lineRule="auto"/>
              <w:contextualSpacing/>
              <w:jc w:val="both"/>
              <w:rPr>
                <w:rFonts w:cs="Arial"/>
                <w:sz w:val="22"/>
              </w:rPr>
            </w:pPr>
          </w:p>
        </w:tc>
        <w:tc>
          <w:tcPr>
            <w:tcW w:w="3000" w:type="dxa"/>
            <w:tcMar>
              <w:top w:w="72" w:type="dxa"/>
              <w:left w:w="144" w:type="dxa"/>
              <w:bottom w:w="72" w:type="dxa"/>
              <w:right w:w="144" w:type="dxa"/>
            </w:tcMar>
          </w:tcPr>
          <w:p w14:paraId="5BEF8348" w14:textId="77777777" w:rsidR="008762E9" w:rsidRPr="000322E4" w:rsidRDefault="008762E9" w:rsidP="00F414BF">
            <w:pPr>
              <w:spacing w:line="360" w:lineRule="auto"/>
              <w:contextualSpacing/>
              <w:jc w:val="both"/>
              <w:rPr>
                <w:rFonts w:cs="Arial"/>
                <w:sz w:val="22"/>
              </w:rPr>
            </w:pPr>
            <w:r w:rsidRPr="000322E4">
              <w:rPr>
                <w:rFonts w:cs="Arial"/>
                <w:sz w:val="22"/>
                <w:lang w:val="en-US"/>
              </w:rPr>
              <w:t>&gt;300</w:t>
            </w:r>
            <w:r w:rsidRPr="000322E4">
              <w:rPr>
                <w:rFonts w:cs="Arial"/>
                <w:sz w:val="22"/>
              </w:rPr>
              <w:t xml:space="preserve"> мг/м</w:t>
            </w:r>
            <w:r w:rsidR="003430E6" w:rsidRPr="000322E4">
              <w:rPr>
                <w:rFonts w:cs="Arial"/>
                <w:sz w:val="22"/>
                <w:vertAlign w:val="superscript"/>
              </w:rPr>
              <w:t>2</w:t>
            </w:r>
          </w:p>
        </w:tc>
        <w:tc>
          <w:tcPr>
            <w:tcW w:w="2720" w:type="dxa"/>
            <w:tcMar>
              <w:top w:w="72" w:type="dxa"/>
              <w:left w:w="144" w:type="dxa"/>
              <w:bottom w:w="72" w:type="dxa"/>
              <w:right w:w="144" w:type="dxa"/>
            </w:tcMar>
          </w:tcPr>
          <w:p w14:paraId="0E8C4856" w14:textId="77777777" w:rsidR="008762E9" w:rsidRPr="000322E4" w:rsidRDefault="008762E9" w:rsidP="00F414BF">
            <w:pPr>
              <w:spacing w:line="360" w:lineRule="auto"/>
              <w:contextualSpacing/>
              <w:jc w:val="both"/>
              <w:rPr>
                <w:rFonts w:cs="Arial"/>
                <w:sz w:val="22"/>
              </w:rPr>
            </w:pPr>
            <w:r w:rsidRPr="000322E4">
              <w:rPr>
                <w:rFonts w:cs="Arial"/>
                <w:sz w:val="22"/>
              </w:rPr>
              <w:t>раз в год</w:t>
            </w:r>
          </w:p>
        </w:tc>
      </w:tr>
      <w:tr w:rsidR="008762E9" w:rsidRPr="000322E4" w14:paraId="52E96A6C" w14:textId="77777777" w:rsidTr="00D254F2">
        <w:trPr>
          <w:trHeight w:val="303"/>
        </w:trPr>
        <w:tc>
          <w:tcPr>
            <w:tcW w:w="1663" w:type="dxa"/>
            <w:vMerge/>
            <w:vAlign w:val="center"/>
          </w:tcPr>
          <w:p w14:paraId="75B3C2A0" w14:textId="77777777" w:rsidR="008762E9" w:rsidRPr="000322E4" w:rsidRDefault="008762E9" w:rsidP="00F414BF">
            <w:pPr>
              <w:spacing w:line="360" w:lineRule="auto"/>
              <w:contextualSpacing/>
              <w:jc w:val="both"/>
              <w:rPr>
                <w:rFonts w:cs="Arial"/>
                <w:sz w:val="22"/>
              </w:rPr>
            </w:pPr>
          </w:p>
        </w:tc>
        <w:tc>
          <w:tcPr>
            <w:tcW w:w="2460" w:type="dxa"/>
            <w:vMerge w:val="restart"/>
            <w:tcMar>
              <w:top w:w="72" w:type="dxa"/>
              <w:left w:w="144" w:type="dxa"/>
              <w:bottom w:w="72" w:type="dxa"/>
              <w:right w:w="144" w:type="dxa"/>
            </w:tcMar>
          </w:tcPr>
          <w:p w14:paraId="0C3E5EAD" w14:textId="77777777" w:rsidR="008762E9" w:rsidRPr="000322E4" w:rsidRDefault="008762E9" w:rsidP="00F414BF">
            <w:pPr>
              <w:spacing w:line="360" w:lineRule="auto"/>
              <w:contextualSpacing/>
              <w:jc w:val="both"/>
              <w:rPr>
                <w:rFonts w:cs="Arial"/>
                <w:sz w:val="22"/>
              </w:rPr>
            </w:pPr>
            <w:r w:rsidRPr="000322E4">
              <w:rPr>
                <w:rFonts w:cs="Arial"/>
                <w:sz w:val="22"/>
              </w:rPr>
              <w:t>-</w:t>
            </w:r>
          </w:p>
        </w:tc>
        <w:tc>
          <w:tcPr>
            <w:tcW w:w="3000" w:type="dxa"/>
            <w:tcMar>
              <w:top w:w="72" w:type="dxa"/>
              <w:left w:w="144" w:type="dxa"/>
              <w:bottom w:w="72" w:type="dxa"/>
              <w:right w:w="144" w:type="dxa"/>
            </w:tcMar>
          </w:tcPr>
          <w:p w14:paraId="4FC2D1B6" w14:textId="77777777" w:rsidR="008762E9" w:rsidRPr="000322E4" w:rsidRDefault="008762E9" w:rsidP="00F414BF">
            <w:pPr>
              <w:spacing w:line="360" w:lineRule="auto"/>
              <w:contextualSpacing/>
              <w:jc w:val="both"/>
              <w:rPr>
                <w:rFonts w:cs="Arial"/>
                <w:sz w:val="22"/>
              </w:rPr>
            </w:pPr>
            <w:r w:rsidRPr="000322E4">
              <w:rPr>
                <w:rFonts w:cs="Arial"/>
                <w:sz w:val="22"/>
                <w:lang w:val="en-US"/>
              </w:rPr>
              <w:t>&lt;200</w:t>
            </w:r>
            <w:r w:rsidRPr="000322E4">
              <w:rPr>
                <w:rFonts w:cs="Arial"/>
                <w:sz w:val="22"/>
              </w:rPr>
              <w:t xml:space="preserve"> мг/м</w:t>
            </w:r>
            <w:r w:rsidR="003430E6" w:rsidRPr="000322E4">
              <w:rPr>
                <w:rFonts w:cs="Arial"/>
                <w:sz w:val="22"/>
                <w:vertAlign w:val="superscript"/>
              </w:rPr>
              <w:t>2</w:t>
            </w:r>
          </w:p>
        </w:tc>
        <w:tc>
          <w:tcPr>
            <w:tcW w:w="2720" w:type="dxa"/>
            <w:tcMar>
              <w:top w:w="72" w:type="dxa"/>
              <w:left w:w="144" w:type="dxa"/>
              <w:bottom w:w="72" w:type="dxa"/>
              <w:right w:w="144" w:type="dxa"/>
            </w:tcMar>
          </w:tcPr>
          <w:p w14:paraId="7FF41C2A" w14:textId="77777777" w:rsidR="008762E9" w:rsidRPr="000322E4" w:rsidRDefault="008762E9" w:rsidP="00F414BF">
            <w:pPr>
              <w:spacing w:line="360" w:lineRule="auto"/>
              <w:contextualSpacing/>
              <w:jc w:val="both"/>
              <w:rPr>
                <w:rFonts w:cs="Arial"/>
                <w:sz w:val="22"/>
              </w:rPr>
            </w:pPr>
            <w:r w:rsidRPr="000322E4">
              <w:rPr>
                <w:rFonts w:cs="Arial"/>
                <w:sz w:val="22"/>
              </w:rPr>
              <w:t>каждые 5 лет</w:t>
            </w:r>
          </w:p>
        </w:tc>
      </w:tr>
      <w:tr w:rsidR="008762E9" w:rsidRPr="000322E4" w14:paraId="0C8D92E6" w14:textId="77777777" w:rsidTr="00D254F2">
        <w:trPr>
          <w:trHeight w:val="297"/>
        </w:trPr>
        <w:tc>
          <w:tcPr>
            <w:tcW w:w="1663" w:type="dxa"/>
            <w:vMerge/>
            <w:vAlign w:val="center"/>
          </w:tcPr>
          <w:p w14:paraId="5FA4921D" w14:textId="77777777" w:rsidR="008762E9" w:rsidRPr="000322E4" w:rsidRDefault="008762E9" w:rsidP="00F414BF">
            <w:pPr>
              <w:spacing w:line="360" w:lineRule="auto"/>
              <w:contextualSpacing/>
              <w:jc w:val="both"/>
              <w:rPr>
                <w:rFonts w:cs="Arial"/>
                <w:sz w:val="22"/>
              </w:rPr>
            </w:pPr>
          </w:p>
        </w:tc>
        <w:tc>
          <w:tcPr>
            <w:tcW w:w="0" w:type="auto"/>
            <w:vMerge/>
            <w:vAlign w:val="center"/>
          </w:tcPr>
          <w:p w14:paraId="47865D6B" w14:textId="77777777" w:rsidR="008762E9" w:rsidRPr="000322E4" w:rsidRDefault="008762E9" w:rsidP="00F414BF">
            <w:pPr>
              <w:spacing w:line="360" w:lineRule="auto"/>
              <w:contextualSpacing/>
              <w:jc w:val="both"/>
              <w:rPr>
                <w:rFonts w:cs="Arial"/>
                <w:sz w:val="22"/>
              </w:rPr>
            </w:pPr>
          </w:p>
        </w:tc>
        <w:tc>
          <w:tcPr>
            <w:tcW w:w="3000" w:type="dxa"/>
            <w:tcMar>
              <w:top w:w="72" w:type="dxa"/>
              <w:left w:w="144" w:type="dxa"/>
              <w:bottom w:w="72" w:type="dxa"/>
              <w:right w:w="144" w:type="dxa"/>
            </w:tcMar>
          </w:tcPr>
          <w:p w14:paraId="08BAA785" w14:textId="77777777" w:rsidR="008762E9" w:rsidRPr="000322E4" w:rsidRDefault="008762E9" w:rsidP="00F414BF">
            <w:pPr>
              <w:spacing w:line="360" w:lineRule="auto"/>
              <w:contextualSpacing/>
              <w:jc w:val="both"/>
              <w:rPr>
                <w:rFonts w:cs="Arial"/>
                <w:sz w:val="22"/>
              </w:rPr>
            </w:pPr>
            <w:r w:rsidRPr="000322E4">
              <w:rPr>
                <w:rFonts w:cs="Arial"/>
                <w:sz w:val="22"/>
                <w:lang w:val="en-US"/>
              </w:rPr>
              <w:t>200-300</w:t>
            </w:r>
            <w:r w:rsidRPr="000322E4">
              <w:rPr>
                <w:rFonts w:cs="Arial"/>
                <w:sz w:val="22"/>
              </w:rPr>
              <w:t xml:space="preserve"> мг/м</w:t>
            </w:r>
            <w:r w:rsidR="003430E6" w:rsidRPr="000322E4">
              <w:rPr>
                <w:rFonts w:cs="Arial"/>
                <w:sz w:val="22"/>
                <w:vertAlign w:val="superscript"/>
              </w:rPr>
              <w:t>2</w:t>
            </w:r>
          </w:p>
        </w:tc>
        <w:tc>
          <w:tcPr>
            <w:tcW w:w="2720" w:type="dxa"/>
            <w:tcMar>
              <w:top w:w="72" w:type="dxa"/>
              <w:left w:w="144" w:type="dxa"/>
              <w:bottom w:w="72" w:type="dxa"/>
              <w:right w:w="144" w:type="dxa"/>
            </w:tcMar>
          </w:tcPr>
          <w:p w14:paraId="7BB93E07" w14:textId="77777777" w:rsidR="008762E9" w:rsidRPr="000322E4" w:rsidRDefault="008762E9" w:rsidP="00F414BF">
            <w:pPr>
              <w:spacing w:line="360" w:lineRule="auto"/>
              <w:contextualSpacing/>
              <w:jc w:val="both"/>
              <w:rPr>
                <w:rFonts w:cs="Arial"/>
                <w:sz w:val="22"/>
              </w:rPr>
            </w:pPr>
            <w:r w:rsidRPr="000322E4">
              <w:rPr>
                <w:rFonts w:cs="Arial"/>
                <w:sz w:val="22"/>
              </w:rPr>
              <w:t>каждые 2 года</w:t>
            </w:r>
          </w:p>
        </w:tc>
      </w:tr>
      <w:tr w:rsidR="008762E9" w:rsidRPr="000322E4" w14:paraId="48707103" w14:textId="77777777" w:rsidTr="00D254F2">
        <w:trPr>
          <w:trHeight w:val="163"/>
        </w:trPr>
        <w:tc>
          <w:tcPr>
            <w:tcW w:w="1663" w:type="dxa"/>
            <w:vMerge/>
            <w:vAlign w:val="center"/>
          </w:tcPr>
          <w:p w14:paraId="2E493AE0" w14:textId="77777777" w:rsidR="008762E9" w:rsidRPr="000322E4" w:rsidRDefault="008762E9" w:rsidP="00F414BF">
            <w:pPr>
              <w:spacing w:line="360" w:lineRule="auto"/>
              <w:contextualSpacing/>
              <w:jc w:val="both"/>
              <w:rPr>
                <w:rFonts w:cs="Arial"/>
                <w:sz w:val="22"/>
              </w:rPr>
            </w:pPr>
          </w:p>
        </w:tc>
        <w:tc>
          <w:tcPr>
            <w:tcW w:w="0" w:type="auto"/>
            <w:vMerge/>
            <w:vAlign w:val="center"/>
          </w:tcPr>
          <w:p w14:paraId="4A647B7E" w14:textId="77777777" w:rsidR="008762E9" w:rsidRPr="000322E4" w:rsidRDefault="008762E9" w:rsidP="00F414BF">
            <w:pPr>
              <w:spacing w:line="360" w:lineRule="auto"/>
              <w:contextualSpacing/>
              <w:jc w:val="both"/>
              <w:rPr>
                <w:rFonts w:cs="Arial"/>
                <w:sz w:val="22"/>
              </w:rPr>
            </w:pPr>
          </w:p>
        </w:tc>
        <w:tc>
          <w:tcPr>
            <w:tcW w:w="3000" w:type="dxa"/>
            <w:tcMar>
              <w:top w:w="72" w:type="dxa"/>
              <w:left w:w="144" w:type="dxa"/>
              <w:bottom w:w="72" w:type="dxa"/>
              <w:right w:w="144" w:type="dxa"/>
            </w:tcMar>
          </w:tcPr>
          <w:p w14:paraId="0BE25BA1" w14:textId="77777777" w:rsidR="008762E9" w:rsidRPr="000322E4" w:rsidRDefault="008762E9" w:rsidP="00F414BF">
            <w:pPr>
              <w:spacing w:line="360" w:lineRule="auto"/>
              <w:contextualSpacing/>
              <w:jc w:val="both"/>
              <w:rPr>
                <w:rFonts w:cs="Arial"/>
                <w:sz w:val="22"/>
              </w:rPr>
            </w:pPr>
            <w:r w:rsidRPr="000322E4">
              <w:rPr>
                <w:rFonts w:cs="Arial"/>
                <w:sz w:val="22"/>
                <w:lang w:val="en-US"/>
              </w:rPr>
              <w:t>&gt;300</w:t>
            </w:r>
            <w:r w:rsidRPr="000322E4">
              <w:rPr>
                <w:rFonts w:cs="Arial"/>
                <w:sz w:val="22"/>
              </w:rPr>
              <w:t xml:space="preserve"> мг/м</w:t>
            </w:r>
            <w:r w:rsidR="003430E6" w:rsidRPr="000322E4">
              <w:rPr>
                <w:rFonts w:cs="Arial"/>
                <w:sz w:val="22"/>
                <w:vertAlign w:val="superscript"/>
              </w:rPr>
              <w:t>2</w:t>
            </w:r>
          </w:p>
        </w:tc>
        <w:tc>
          <w:tcPr>
            <w:tcW w:w="2720" w:type="dxa"/>
            <w:tcMar>
              <w:top w:w="72" w:type="dxa"/>
              <w:left w:w="144" w:type="dxa"/>
              <w:bottom w:w="72" w:type="dxa"/>
              <w:right w:w="144" w:type="dxa"/>
            </w:tcMar>
          </w:tcPr>
          <w:p w14:paraId="05E1F493" w14:textId="77777777" w:rsidR="008762E9" w:rsidRPr="000322E4" w:rsidRDefault="008762E9" w:rsidP="00F414BF">
            <w:pPr>
              <w:spacing w:line="360" w:lineRule="auto"/>
              <w:contextualSpacing/>
              <w:jc w:val="both"/>
              <w:rPr>
                <w:rFonts w:cs="Arial"/>
                <w:sz w:val="22"/>
              </w:rPr>
            </w:pPr>
            <w:r w:rsidRPr="000322E4">
              <w:rPr>
                <w:rFonts w:cs="Arial"/>
                <w:sz w:val="22"/>
              </w:rPr>
              <w:t>раз в год</w:t>
            </w:r>
          </w:p>
        </w:tc>
      </w:tr>
    </w:tbl>
    <w:p w14:paraId="1CAC501E" w14:textId="77777777" w:rsidR="00F82F9F" w:rsidRPr="000322E4" w:rsidRDefault="00F82F9F" w:rsidP="00F414BF">
      <w:pPr>
        <w:spacing w:line="360" w:lineRule="auto"/>
        <w:ind w:left="709"/>
        <w:contextualSpacing/>
        <w:jc w:val="both"/>
        <w:rPr>
          <w:b/>
        </w:rPr>
      </w:pPr>
    </w:p>
    <w:p w14:paraId="198A4214" w14:textId="77777777" w:rsidR="009B4039" w:rsidRPr="000322E4" w:rsidRDefault="00C4630C" w:rsidP="00F414BF">
      <w:pPr>
        <w:pStyle w:val="afff2"/>
      </w:pPr>
      <w:bookmarkStart w:id="52" w:name="_Toc96601252"/>
      <w:r w:rsidRPr="000322E4">
        <w:t xml:space="preserve">6. </w:t>
      </w:r>
      <w:r w:rsidR="009B4039" w:rsidRPr="000322E4">
        <w:t xml:space="preserve">Организация </w:t>
      </w:r>
      <w:r w:rsidR="00103620" w:rsidRPr="000322E4">
        <w:t xml:space="preserve">оказания </w:t>
      </w:r>
      <w:r w:rsidR="009B4039" w:rsidRPr="000322E4">
        <w:t>медицинской помощи</w:t>
      </w:r>
      <w:bookmarkEnd w:id="52"/>
    </w:p>
    <w:p w14:paraId="6815AF10" w14:textId="77777777" w:rsidR="00613DB8" w:rsidRPr="000322E4" w:rsidRDefault="00613DB8" w:rsidP="00F414BF">
      <w:pPr>
        <w:spacing w:line="360" w:lineRule="auto"/>
        <w:ind w:firstLine="851"/>
        <w:jc w:val="both"/>
      </w:pPr>
      <w:r w:rsidRPr="000322E4">
        <w:t>Медицинская помощь, за исключением медицинской помощи в рамках клинической апробации, в соответствии с федеральным законом от 21.11.2011 № 323-ФЗ (ред. от 25.05.2019) «Об основах охраны здоровья граждан в Российской Федерации» организуется и оказывается:</w:t>
      </w:r>
    </w:p>
    <w:p w14:paraId="22E9E2B0" w14:textId="77777777" w:rsidR="00613DB8" w:rsidRPr="000322E4" w:rsidRDefault="00613DB8" w:rsidP="00F414BF">
      <w:pPr>
        <w:pStyle w:val="afe"/>
        <w:numPr>
          <w:ilvl w:val="0"/>
          <w:numId w:val="16"/>
        </w:numPr>
        <w:ind w:left="0" w:firstLine="851"/>
      </w:pPr>
      <w:r w:rsidRPr="000322E4">
        <w:t>в соответствии с положением об организации оказания медицинской помощи по видам медицинской помощи, которое утверждается уполномоченным федеральным органом исполнительной власти;</w:t>
      </w:r>
    </w:p>
    <w:p w14:paraId="01AA46AB" w14:textId="77777777" w:rsidR="00613DB8" w:rsidRPr="000322E4" w:rsidRDefault="00613DB8" w:rsidP="00F414BF">
      <w:pPr>
        <w:pStyle w:val="afe"/>
        <w:numPr>
          <w:ilvl w:val="0"/>
          <w:numId w:val="16"/>
        </w:numPr>
        <w:ind w:left="0" w:firstLine="851"/>
      </w:pPr>
      <w:r w:rsidRPr="000322E4">
        <w:t>в соответствии с порядком оказания помощи по профилю «онкология», обязательным для исполнения на территории Российской Федерации всеми медицинскими организациями;</w:t>
      </w:r>
    </w:p>
    <w:p w14:paraId="7C65C198" w14:textId="77777777" w:rsidR="00613DB8" w:rsidRPr="000322E4" w:rsidRDefault="00613DB8" w:rsidP="00F414BF">
      <w:pPr>
        <w:pStyle w:val="afe"/>
        <w:numPr>
          <w:ilvl w:val="0"/>
          <w:numId w:val="16"/>
        </w:numPr>
        <w:ind w:left="0" w:firstLine="851"/>
      </w:pPr>
      <w:r w:rsidRPr="000322E4">
        <w:t>на основе настоящих клинических рекомендаций;</w:t>
      </w:r>
    </w:p>
    <w:p w14:paraId="66C0DC41" w14:textId="77777777" w:rsidR="00613DB8" w:rsidRPr="000322E4" w:rsidRDefault="00613DB8" w:rsidP="00F414BF">
      <w:pPr>
        <w:pStyle w:val="afe"/>
        <w:numPr>
          <w:ilvl w:val="0"/>
          <w:numId w:val="16"/>
        </w:numPr>
        <w:ind w:left="0" w:firstLine="851"/>
      </w:pPr>
      <w:r w:rsidRPr="000322E4">
        <w:t>с учетом стандартов медицинской помощи, утвержденных уполномоченным федеральным органом исполнительной власти.</w:t>
      </w:r>
    </w:p>
    <w:p w14:paraId="0FCE8E8C" w14:textId="77777777" w:rsidR="00613DB8" w:rsidRPr="000322E4" w:rsidRDefault="00613DB8" w:rsidP="00F414BF">
      <w:pPr>
        <w:spacing w:line="360" w:lineRule="auto"/>
        <w:ind w:firstLine="851"/>
        <w:jc w:val="both"/>
      </w:pPr>
      <w:r w:rsidRPr="000322E4">
        <w:t>Первичная специализированная медико-санитарная помощь оказывается врачом-онкологом и иными врачами-специалистами в центре амбулаторной онкологической помощи либо в первичном онкологическом кабинете, первичном онкологическом отделении, поликлиническом отделении онкологического диспансера.</w:t>
      </w:r>
    </w:p>
    <w:p w14:paraId="023F37AD" w14:textId="336936E7" w:rsidR="00613DB8" w:rsidRPr="000322E4" w:rsidRDefault="00613DB8" w:rsidP="00F414BF">
      <w:pPr>
        <w:spacing w:line="360" w:lineRule="auto"/>
        <w:ind w:firstLine="851"/>
        <w:jc w:val="both"/>
      </w:pPr>
      <w:r w:rsidRPr="000322E4">
        <w:t>При выявлении у пациента</w:t>
      </w:r>
      <w:r w:rsidR="00695151" w:rsidRPr="000322E4">
        <w:t xml:space="preserve"> </w:t>
      </w:r>
      <w:r w:rsidR="00EA74D7" w:rsidRPr="00D3550C">
        <w:rPr>
          <w:color w:val="000000" w:themeColor="text1"/>
        </w:rPr>
        <w:t>ДВКЛ</w:t>
      </w:r>
      <w:r w:rsidR="00F47A24" w:rsidRPr="00D3550C">
        <w:rPr>
          <w:color w:val="000000" w:themeColor="text1"/>
        </w:rPr>
        <w:t>, ПМВКЛ, ЛБ</w:t>
      </w:r>
      <w:r w:rsidRPr="00D3550C">
        <w:rPr>
          <w:color w:val="000000" w:themeColor="text1"/>
        </w:rPr>
        <w:t xml:space="preserve"> или подозрении на н</w:t>
      </w:r>
      <w:r w:rsidR="00F47A24" w:rsidRPr="00D3550C">
        <w:rPr>
          <w:color w:val="000000" w:themeColor="text1"/>
        </w:rPr>
        <w:t>их</w:t>
      </w:r>
      <w:r w:rsidRPr="00D3550C">
        <w:rPr>
          <w:color w:val="000000" w:themeColor="text1"/>
        </w:rPr>
        <w:t xml:space="preserve"> </w:t>
      </w:r>
      <w:r w:rsidRPr="000322E4">
        <w:t xml:space="preserve">врачи-терапевты, врачи-терапевты участковые, врачи общей практики (семейные врачи), </w:t>
      </w:r>
      <w:r w:rsidRPr="000322E4">
        <w:lastRenderedPageBreak/>
        <w:t>врачи-специалисты, средние медицинские работники в установленном порядке направляют пациента на консультацию в центр амбулаторной онкологической помощи либо в первичный онкологический кабинет, первичное онкологическое отделение медицинской организации для оказания ему первичной специализированной медико-санитарной помощи.</w:t>
      </w:r>
    </w:p>
    <w:p w14:paraId="4E479EC5" w14:textId="77777777" w:rsidR="00613DB8" w:rsidRPr="000322E4" w:rsidRDefault="00613DB8" w:rsidP="00F414BF">
      <w:pPr>
        <w:spacing w:line="360" w:lineRule="auto"/>
        <w:ind w:firstLine="851"/>
        <w:jc w:val="both"/>
      </w:pPr>
      <w:r w:rsidRPr="000322E4">
        <w:t>Консультация в центре амбулаторной онкологической помощи либо в первичном онкологическом кабинете, первичном онкологическом отделении медицинской организации должна быть проведена не позднее 5 рабочих дней с даты выдачи направления на консультацию. Врач-онколог центра амбулаторной онкологической помощи (в случае отсутствия центра амбулаторной онкологической помощи врач-онколог первичного онкологического кабинета или первичного онкологического отделения) организует взятие биопсийного (операционного) материала, а также организует выполнение иных диагностических исследований, необходимых для установления диагноза, включая распространенность онкологического процесса и стадию заболевания.</w:t>
      </w:r>
    </w:p>
    <w:p w14:paraId="2CA2CAE1" w14:textId="77777777" w:rsidR="00613DB8" w:rsidRPr="000322E4" w:rsidRDefault="00613DB8" w:rsidP="00F414BF">
      <w:pPr>
        <w:spacing w:line="360" w:lineRule="auto"/>
        <w:ind w:firstLine="851"/>
        <w:jc w:val="both"/>
      </w:pPr>
      <w:r w:rsidRPr="000322E4">
        <w:t>В случае невозможности взятия в медицинской организации, в составе которой организован центр амбулаторной онкологической помощи (первичный онкологический кабинет, первичное онкологическое отделение), биопсийного (операционного) материала, проведения иных диагностических исследований пациент направляется лечащим врачом в онкологический диспансер или в медицинскую организацию, оказывающую медицинскую помощь пациентам с онкологическими заболеваниями.</w:t>
      </w:r>
    </w:p>
    <w:p w14:paraId="7C4DE603" w14:textId="77777777" w:rsidR="00613DB8" w:rsidRPr="00D3550C" w:rsidRDefault="00613DB8" w:rsidP="00F414BF">
      <w:pPr>
        <w:spacing w:line="360" w:lineRule="auto"/>
        <w:ind w:firstLine="851"/>
        <w:jc w:val="both"/>
        <w:rPr>
          <w:color w:val="000000" w:themeColor="text1"/>
        </w:rPr>
      </w:pPr>
      <w:r w:rsidRPr="000322E4">
        <w:t xml:space="preserve">Срок выполнения патологоанатомических исследований, необходимых для гистологической верификации злокачественного новообразования, не должен превышать 15 рабочих </w:t>
      </w:r>
      <w:r w:rsidRPr="00D3550C">
        <w:rPr>
          <w:color w:val="000000" w:themeColor="text1"/>
        </w:rPr>
        <w:t>дней с даты поступления биопсийного (операционного) материала в патологоанатомическое бюро (отделение).</w:t>
      </w:r>
    </w:p>
    <w:p w14:paraId="537DFDD8" w14:textId="3E333CA9" w:rsidR="00613DB8" w:rsidRPr="000322E4" w:rsidRDefault="00613DB8" w:rsidP="00F414BF">
      <w:pPr>
        <w:spacing w:line="360" w:lineRule="auto"/>
        <w:ind w:firstLine="851"/>
        <w:jc w:val="both"/>
      </w:pPr>
      <w:r w:rsidRPr="00D3550C">
        <w:rPr>
          <w:color w:val="000000" w:themeColor="text1"/>
        </w:rPr>
        <w:t xml:space="preserve">При выявлении </w:t>
      </w:r>
      <w:r w:rsidR="00F47A24" w:rsidRPr="00D3550C">
        <w:rPr>
          <w:color w:val="000000" w:themeColor="text1"/>
        </w:rPr>
        <w:t xml:space="preserve">ДВКЛ, ПМВКЛ, ЛБ или подозрении на них </w:t>
      </w:r>
      <w:r w:rsidRPr="00D3550C">
        <w:rPr>
          <w:color w:val="000000" w:themeColor="text1"/>
        </w:rPr>
        <w:t xml:space="preserve">в ходе оказания скорой медицинской помощи пациента переводят или направляют </w:t>
      </w:r>
      <w:r w:rsidRPr="000322E4">
        <w:t>в медицинские организации, оказывающие медицинскую помощь пациентам с онкологическими заболеваниями, для определения тактики ведения и необходимости применения дополнительно других методов специализированного противоопухолевого лечения.</w:t>
      </w:r>
    </w:p>
    <w:p w14:paraId="238031F2" w14:textId="77777777" w:rsidR="00613DB8" w:rsidRPr="000322E4" w:rsidRDefault="00613DB8" w:rsidP="00F414BF">
      <w:pPr>
        <w:spacing w:line="360" w:lineRule="auto"/>
        <w:ind w:firstLine="851"/>
        <w:jc w:val="both"/>
      </w:pPr>
      <w:r w:rsidRPr="000322E4">
        <w:t xml:space="preserve">Врач-онколог центра амбулаторной онкологической помощи (первичного онкологического кабинета, первичного онкологического отделения) направляет пациента в онкологический диспансер или в медицинские организации, оказывающие медицинскую помощь пациентам с онкологическими заболеваниями, для уточнения </w:t>
      </w:r>
      <w:r w:rsidRPr="000322E4">
        <w:lastRenderedPageBreak/>
        <w:t>диагноза (в случае невозможности установления диагноза, включая распространенность онкологического процесса и стадию заболевания, врачом-онкологом центра амбулаторной онкологической помощи, первичного онкологического кабинета или первичного онкологического отделения) и оказания специализированной, в том числе высокотехнологичной, медицинской помощи.</w:t>
      </w:r>
    </w:p>
    <w:p w14:paraId="0808C8AA" w14:textId="12308D10" w:rsidR="00613DB8" w:rsidRPr="00D3550C" w:rsidRDefault="00613DB8" w:rsidP="00F414BF">
      <w:pPr>
        <w:spacing w:line="360" w:lineRule="auto"/>
        <w:ind w:firstLine="851"/>
        <w:jc w:val="both"/>
        <w:rPr>
          <w:color w:val="000000" w:themeColor="text1"/>
        </w:rPr>
      </w:pPr>
      <w:r w:rsidRPr="000322E4">
        <w:t xml:space="preserve">Срок начала оказания специализированной, за исключением высокотехнологичной, медицинской помощи пациентам с онкологическими заболеваниями в медицинской организации, оказывающей медицинскую помощь пациентам с онкологическими заболеваниями, </w:t>
      </w:r>
      <w:r w:rsidRPr="00D3550C">
        <w:rPr>
          <w:color w:val="000000" w:themeColor="text1"/>
        </w:rPr>
        <w:t>не должен превышать 14 календарных дней с даты гистологической верификации злокачественного новообразования или 14 календарных дней с даты установления предварительного диагноза</w:t>
      </w:r>
      <w:r w:rsidR="00880FB4" w:rsidRPr="00D3550C">
        <w:rPr>
          <w:color w:val="000000" w:themeColor="text1"/>
        </w:rPr>
        <w:t xml:space="preserve"> </w:t>
      </w:r>
      <w:r w:rsidR="00F47A24" w:rsidRPr="00D3550C">
        <w:rPr>
          <w:color w:val="000000" w:themeColor="text1"/>
        </w:rPr>
        <w:t xml:space="preserve">агрессивной нефолликулярной лимфомы </w:t>
      </w:r>
      <w:r w:rsidRPr="00D3550C">
        <w:rPr>
          <w:color w:val="000000" w:themeColor="text1"/>
        </w:rPr>
        <w:t>(в случае отсутствия медицинских показаний к проведению патолого-анатомических исследований в амбулаторных условиях).</w:t>
      </w:r>
    </w:p>
    <w:p w14:paraId="5406DAA1" w14:textId="6041B69C" w:rsidR="00613DB8" w:rsidRPr="00D3550C" w:rsidRDefault="00613DB8" w:rsidP="00F414BF">
      <w:pPr>
        <w:spacing w:line="360" w:lineRule="auto"/>
        <w:ind w:firstLine="851"/>
        <w:jc w:val="both"/>
        <w:rPr>
          <w:color w:val="000000" w:themeColor="text1"/>
        </w:rPr>
      </w:pPr>
      <w:r w:rsidRPr="00D3550C">
        <w:rPr>
          <w:color w:val="000000" w:themeColor="text1"/>
        </w:rPr>
        <w:t xml:space="preserve">Специализированная, в том числе высокотехнологичная, медицинская помощь оказывается врачами-онкологами, </w:t>
      </w:r>
      <w:r w:rsidR="00880FB4" w:rsidRPr="00D3550C">
        <w:rPr>
          <w:color w:val="000000" w:themeColor="text1"/>
        </w:rPr>
        <w:t xml:space="preserve">врачами-гематологами, </w:t>
      </w:r>
      <w:r w:rsidRPr="00D3550C">
        <w:rPr>
          <w:color w:val="000000" w:themeColor="text1"/>
        </w:rPr>
        <w:t xml:space="preserve">врачами-радиотерапевтами в онкологическом диспансере или в медицинских организациях, оказывающих медицинскую помощь пациентам с </w:t>
      </w:r>
      <w:r w:rsidR="00F47A24" w:rsidRPr="00D3550C">
        <w:rPr>
          <w:color w:val="000000" w:themeColor="text1"/>
        </w:rPr>
        <w:t xml:space="preserve">ДВКЛ, ПМВКЛ, ЛБ, </w:t>
      </w:r>
      <w:r w:rsidRPr="00D3550C">
        <w:rPr>
          <w:color w:val="000000" w:themeColor="text1"/>
        </w:rPr>
        <w:t>имеющих лицензию, необходимую материально-техническую базу, сертифицированных специалистов, в стационарных условиях и условиях дневного стационара и включает в себя профилактику, диагностику, лечение онкологических заболеваний, требующих использования специальных методов и сложных уникальных медицинских технологий, а также медицинскую реабилитацию.</w:t>
      </w:r>
    </w:p>
    <w:p w14:paraId="25FE2729" w14:textId="3CF77BEE" w:rsidR="00613DB8" w:rsidRPr="000322E4" w:rsidRDefault="00613DB8" w:rsidP="00F414BF">
      <w:pPr>
        <w:spacing w:line="360" w:lineRule="auto"/>
        <w:ind w:firstLine="851"/>
        <w:jc w:val="both"/>
      </w:pPr>
      <w:r w:rsidRPr="00D3550C">
        <w:rPr>
          <w:color w:val="000000" w:themeColor="text1"/>
        </w:rPr>
        <w:t xml:space="preserve">В медицинской организации, оказывающей медицинскую помощь пациентам с </w:t>
      </w:r>
      <w:r w:rsidR="00F47A24" w:rsidRPr="00D3550C">
        <w:rPr>
          <w:color w:val="000000" w:themeColor="text1"/>
        </w:rPr>
        <w:t>ДВКЛ, ПМВКЛ, ЛБ или подозрении на них</w:t>
      </w:r>
      <w:r w:rsidR="006C0C64" w:rsidRPr="00D3550C">
        <w:rPr>
          <w:color w:val="000000" w:themeColor="text1"/>
        </w:rPr>
        <w:t>,</w:t>
      </w:r>
      <w:r w:rsidRPr="00D3550C">
        <w:rPr>
          <w:color w:val="000000" w:themeColor="text1"/>
        </w:rPr>
        <w:t xml:space="preserve"> тактика медицинск</w:t>
      </w:r>
      <w:r w:rsidRPr="000322E4">
        <w:rPr>
          <w:color w:val="000000" w:themeColor="text1"/>
        </w:rPr>
        <w:t xml:space="preserve">ого обследования </w:t>
      </w:r>
      <w:r w:rsidRPr="000322E4">
        <w:t>и лечения устанавливается консилиумом врачей-онкологов и врачей-радиотерапевтов с привлечением при необходимости других врачей-специалистов. Решение консилиума врачей оформляется протоколом, подписывается участниками консилиума врачей и вносится в медицинскую документацию пациента.</w:t>
      </w:r>
    </w:p>
    <w:p w14:paraId="22310D1D" w14:textId="77777777" w:rsidR="00613DB8" w:rsidRPr="000322E4" w:rsidRDefault="00613DB8" w:rsidP="00F414BF">
      <w:pPr>
        <w:spacing w:line="360" w:lineRule="auto"/>
        <w:ind w:firstLine="851"/>
        <w:jc w:val="both"/>
      </w:pPr>
      <w:r w:rsidRPr="000322E4">
        <w:t>Показания к госпитализации в круглосуточный или дневной стационар медицинской организации, оказывающей специализированную, в том числе высокотехнологичную, медицинскую помощь по профилю «онкология» определяются консилиумом врачей-онкологов и врачей-радиотерапевтов с привлечением при необходимости других врачей-специалистов.</w:t>
      </w:r>
    </w:p>
    <w:p w14:paraId="4ED0D45F" w14:textId="77777777" w:rsidR="00613DB8" w:rsidRPr="000322E4" w:rsidRDefault="00613DB8" w:rsidP="00CA442F">
      <w:pPr>
        <w:pStyle w:val="1f0"/>
        <w:contextualSpacing/>
        <w:rPr>
          <w:b/>
        </w:rPr>
      </w:pPr>
      <w:r w:rsidRPr="000322E4">
        <w:rPr>
          <w:b/>
        </w:rPr>
        <w:t xml:space="preserve">Показания для плановой госпитализации: </w:t>
      </w:r>
    </w:p>
    <w:p w14:paraId="3C701B40" w14:textId="77777777" w:rsidR="00EA74D7" w:rsidRPr="000322E4" w:rsidRDefault="00613DB8" w:rsidP="00CA442F">
      <w:pPr>
        <w:pStyle w:val="1f0"/>
        <w:contextualSpacing/>
      </w:pPr>
      <w:r w:rsidRPr="000322E4">
        <w:t>1.</w:t>
      </w:r>
      <w:r w:rsidRPr="000322E4">
        <w:tab/>
      </w:r>
      <w:r w:rsidR="00EA74D7" w:rsidRPr="000322E4">
        <w:t xml:space="preserve">Проведение терапии в случаях, требующих круглосуточного наблюдения за </w:t>
      </w:r>
      <w:r w:rsidR="00EA74D7" w:rsidRPr="000322E4">
        <w:lastRenderedPageBreak/>
        <w:t>пациентом по причине тяжести состояния, обусловленного опухолью, или по причине риска осложнений, связанных с программой лечения или сопутствующими заболеваниями.</w:t>
      </w:r>
    </w:p>
    <w:p w14:paraId="33D23ED1" w14:textId="77777777" w:rsidR="00613DB8" w:rsidRPr="000322E4" w:rsidRDefault="00EA74D7" w:rsidP="008A40EA">
      <w:pPr>
        <w:pStyle w:val="1f0"/>
        <w:contextualSpacing/>
      </w:pPr>
      <w:r w:rsidRPr="000322E4">
        <w:t>2.</w:t>
      </w:r>
      <w:r w:rsidRPr="000322E4">
        <w:tab/>
        <w:t>Обследование пациента, включающее биопсию и инвазивные вмешательства, в случаях, когда оно не может быть проведено амбулаторно</w:t>
      </w:r>
    </w:p>
    <w:p w14:paraId="23C0A63A" w14:textId="77777777" w:rsidR="00613DB8" w:rsidRPr="000322E4" w:rsidRDefault="00613DB8" w:rsidP="008A40EA">
      <w:pPr>
        <w:pStyle w:val="1f0"/>
        <w:contextualSpacing/>
        <w:rPr>
          <w:b/>
        </w:rPr>
      </w:pPr>
      <w:r w:rsidRPr="000322E4">
        <w:rPr>
          <w:b/>
        </w:rPr>
        <w:t xml:space="preserve">Показания для экстренной госпитализации: </w:t>
      </w:r>
    </w:p>
    <w:p w14:paraId="30B5D1CB" w14:textId="24C05CD2" w:rsidR="00EA74D7" w:rsidRPr="00D3550C" w:rsidRDefault="00613DB8" w:rsidP="00B85809">
      <w:pPr>
        <w:pStyle w:val="1f0"/>
        <w:contextualSpacing/>
        <w:rPr>
          <w:color w:val="000000" w:themeColor="text1"/>
        </w:rPr>
      </w:pPr>
      <w:r w:rsidRPr="000322E4">
        <w:t>1.</w:t>
      </w:r>
      <w:r w:rsidRPr="000322E4">
        <w:tab/>
      </w:r>
      <w:r w:rsidR="00EA74D7" w:rsidRPr="000322E4">
        <w:t xml:space="preserve">Развитие тяжелой </w:t>
      </w:r>
      <w:r w:rsidR="00EA74D7" w:rsidRPr="00D3550C">
        <w:rPr>
          <w:color w:val="000000" w:themeColor="text1"/>
        </w:rPr>
        <w:t>инфекции (необязательна</w:t>
      </w:r>
      <w:r w:rsidR="001F280A" w:rsidRPr="00D3550C">
        <w:rPr>
          <w:color w:val="000000" w:themeColor="text1"/>
        </w:rPr>
        <w:t>, но желательна</w:t>
      </w:r>
      <w:r w:rsidR="00EA74D7" w:rsidRPr="00D3550C">
        <w:rPr>
          <w:color w:val="000000" w:themeColor="text1"/>
        </w:rPr>
        <w:t xml:space="preserve"> госпитализация в гематологический стационар).</w:t>
      </w:r>
    </w:p>
    <w:p w14:paraId="4A3E209A" w14:textId="77777777" w:rsidR="00EA74D7" w:rsidRPr="00D3550C" w:rsidRDefault="00EA74D7" w:rsidP="00B85809">
      <w:pPr>
        <w:pStyle w:val="1f0"/>
        <w:contextualSpacing/>
        <w:rPr>
          <w:color w:val="000000" w:themeColor="text1"/>
        </w:rPr>
      </w:pPr>
      <w:r w:rsidRPr="00D3550C">
        <w:rPr>
          <w:color w:val="000000" w:themeColor="text1"/>
        </w:rPr>
        <w:t>2.</w:t>
      </w:r>
      <w:r w:rsidRPr="00D3550C">
        <w:rPr>
          <w:color w:val="000000" w:themeColor="text1"/>
        </w:rPr>
        <w:tab/>
        <w:t>Развитие угрожающих жизни цитопений (глубокой анемии, геморрагического синдрома, нейтропении).</w:t>
      </w:r>
    </w:p>
    <w:p w14:paraId="4C759534" w14:textId="73217397" w:rsidR="00EA74D7" w:rsidRPr="000322E4" w:rsidRDefault="00EA74D7" w:rsidP="00B85809">
      <w:pPr>
        <w:pStyle w:val="1f0"/>
        <w:contextualSpacing/>
      </w:pPr>
      <w:r w:rsidRPr="00D3550C">
        <w:rPr>
          <w:color w:val="000000" w:themeColor="text1"/>
        </w:rPr>
        <w:t>3.</w:t>
      </w:r>
      <w:r w:rsidRPr="00D3550C">
        <w:rPr>
          <w:color w:val="000000" w:themeColor="text1"/>
        </w:rPr>
        <w:tab/>
        <w:t xml:space="preserve">Развитие осложнений </w:t>
      </w:r>
      <w:r w:rsidR="00F47A24" w:rsidRPr="00D3550C">
        <w:rPr>
          <w:color w:val="000000" w:themeColor="text1"/>
        </w:rPr>
        <w:t>агрессивных нефолликулярных лимфом</w:t>
      </w:r>
      <w:r w:rsidRPr="00D3550C">
        <w:rPr>
          <w:color w:val="000000" w:themeColor="text1"/>
        </w:rPr>
        <w:t>: симптом</w:t>
      </w:r>
      <w:r w:rsidR="001F280A" w:rsidRPr="00D3550C">
        <w:rPr>
          <w:color w:val="000000" w:themeColor="text1"/>
        </w:rPr>
        <w:t>ная</w:t>
      </w:r>
      <w:r w:rsidRPr="00D3550C">
        <w:rPr>
          <w:color w:val="000000" w:themeColor="text1"/>
        </w:rPr>
        <w:t xml:space="preserve"> лимфаденопати</w:t>
      </w:r>
      <w:r w:rsidR="001F280A" w:rsidRPr="00D3550C">
        <w:rPr>
          <w:color w:val="000000" w:themeColor="text1"/>
        </w:rPr>
        <w:t>я</w:t>
      </w:r>
      <w:r w:rsidRPr="00D3550C">
        <w:rPr>
          <w:color w:val="000000" w:themeColor="text1"/>
        </w:rPr>
        <w:t xml:space="preserve"> и</w:t>
      </w:r>
      <w:r w:rsidR="001F280A" w:rsidRPr="00D3550C">
        <w:rPr>
          <w:color w:val="000000" w:themeColor="text1"/>
        </w:rPr>
        <w:t>/или</w:t>
      </w:r>
      <w:r w:rsidRPr="00D3550C">
        <w:rPr>
          <w:color w:val="000000" w:themeColor="text1"/>
        </w:rPr>
        <w:t xml:space="preserve"> органомегали</w:t>
      </w:r>
      <w:r w:rsidR="001F280A" w:rsidRPr="00D3550C">
        <w:rPr>
          <w:color w:val="000000" w:themeColor="text1"/>
        </w:rPr>
        <w:t>я</w:t>
      </w:r>
      <w:r w:rsidRPr="00D3550C">
        <w:rPr>
          <w:color w:val="000000" w:themeColor="text1"/>
        </w:rPr>
        <w:t xml:space="preserve"> с риском развития тяжелых осложнений, нейролейкеми</w:t>
      </w:r>
      <w:r w:rsidR="001F280A" w:rsidRPr="00D3550C">
        <w:rPr>
          <w:color w:val="000000" w:themeColor="text1"/>
        </w:rPr>
        <w:t>я</w:t>
      </w:r>
      <w:r w:rsidRPr="00D3550C">
        <w:rPr>
          <w:color w:val="000000" w:themeColor="text1"/>
        </w:rPr>
        <w:t>, специфический плеврит, хилоторакс, синдром компрессии верхней полой</w:t>
      </w:r>
      <w:r w:rsidR="001F280A" w:rsidRPr="00D3550C">
        <w:rPr>
          <w:color w:val="000000" w:themeColor="text1"/>
        </w:rPr>
        <w:t xml:space="preserve"> вены</w:t>
      </w:r>
      <w:r w:rsidRPr="00D3550C">
        <w:rPr>
          <w:color w:val="000000" w:themeColor="text1"/>
        </w:rPr>
        <w:t xml:space="preserve"> с признаками д</w:t>
      </w:r>
      <w:r w:rsidRPr="000322E4">
        <w:t xml:space="preserve">ыхательной недостаточности и другие осложнения, угрожающие жизни. </w:t>
      </w:r>
    </w:p>
    <w:p w14:paraId="55E9BCE3" w14:textId="77777777" w:rsidR="00EA74D7" w:rsidRPr="000322E4" w:rsidRDefault="00EA74D7" w:rsidP="005B7DE0">
      <w:pPr>
        <w:pStyle w:val="1f0"/>
        <w:contextualSpacing/>
      </w:pPr>
      <w:r w:rsidRPr="000322E4">
        <w:t>4.</w:t>
      </w:r>
      <w:r w:rsidRPr="000322E4">
        <w:tab/>
        <w:t>Развитие осложнений терапии, включая синдром лизиса опухоли, тяжелые инфузионные реакции, миелотоксический агранулоцитоз с лихорадкой и другие осложнения, угрожающие жизни.</w:t>
      </w:r>
    </w:p>
    <w:p w14:paraId="030037DF" w14:textId="77777777" w:rsidR="00613DB8" w:rsidRPr="000322E4" w:rsidRDefault="00613DB8" w:rsidP="00357C19">
      <w:pPr>
        <w:pStyle w:val="1f0"/>
        <w:contextualSpacing/>
        <w:rPr>
          <w:b/>
        </w:rPr>
      </w:pPr>
      <w:r w:rsidRPr="000322E4">
        <w:rPr>
          <w:b/>
        </w:rPr>
        <w:t>Показания к выписке пациента из стационара:</w:t>
      </w:r>
    </w:p>
    <w:p w14:paraId="3A6C0C9A" w14:textId="77777777" w:rsidR="00EA74D7" w:rsidRPr="000322E4" w:rsidRDefault="00EA74D7" w:rsidP="00F414BF">
      <w:pPr>
        <w:pStyle w:val="afe"/>
        <w:numPr>
          <w:ilvl w:val="0"/>
          <w:numId w:val="38"/>
        </w:numPr>
        <w:tabs>
          <w:tab w:val="left" w:pos="1134"/>
        </w:tabs>
        <w:suppressAutoHyphens/>
        <w:contextualSpacing w:val="0"/>
      </w:pPr>
      <w:r w:rsidRPr="000322E4">
        <w:t>Завершение курса лечения или одного из этапов оказания специализированной, в том числе высокотехнологичной, медицинской помощи, в условиях круглосуточного или дневного стационара при условии отсутствия осложнений лечения, требующих медикаментозной коррекции и/или медицинских вмешательств в стационарных условиях.</w:t>
      </w:r>
    </w:p>
    <w:p w14:paraId="5E2C3854" w14:textId="77777777" w:rsidR="00EA74D7" w:rsidRPr="000322E4" w:rsidRDefault="00EA74D7" w:rsidP="00F414BF">
      <w:pPr>
        <w:pStyle w:val="afe"/>
        <w:numPr>
          <w:ilvl w:val="0"/>
          <w:numId w:val="38"/>
        </w:numPr>
        <w:tabs>
          <w:tab w:val="left" w:pos="1134"/>
        </w:tabs>
        <w:suppressAutoHyphens/>
        <w:contextualSpacing w:val="0"/>
      </w:pPr>
      <w:r w:rsidRPr="000322E4">
        <w:t xml:space="preserve">Отказ </w:t>
      </w:r>
      <w:r w:rsidR="00103620" w:rsidRPr="000322E4">
        <w:t xml:space="preserve">пациента </w:t>
      </w:r>
      <w:r w:rsidRPr="000322E4">
        <w:t>или его законного представителя от специализированной, в том числе высокотехнологичной, медицинской помощи в условиях круглосуточного или дневного стационара, установленной консилиумом медицинской организации, оказывающей онкологическую помощь, при условии отсутствия осложнений основного заболевания и/или лечения, требующих медикаментозной коррекции и/или медицинских вмешательств в стационарных условиях.</w:t>
      </w:r>
    </w:p>
    <w:p w14:paraId="6179CAD3" w14:textId="77777777" w:rsidR="00EA74D7" w:rsidRPr="000322E4" w:rsidRDefault="00EA74D7" w:rsidP="00F414BF">
      <w:pPr>
        <w:pStyle w:val="afe"/>
        <w:numPr>
          <w:ilvl w:val="0"/>
          <w:numId w:val="38"/>
        </w:numPr>
        <w:tabs>
          <w:tab w:val="left" w:pos="1134"/>
        </w:tabs>
        <w:suppressAutoHyphens/>
        <w:contextualSpacing w:val="0"/>
      </w:pPr>
      <w:r w:rsidRPr="000322E4">
        <w:t xml:space="preserve">Необходимость перевода </w:t>
      </w:r>
      <w:r w:rsidR="00103620" w:rsidRPr="000322E4">
        <w:t xml:space="preserve">пациента </w:t>
      </w:r>
      <w:r w:rsidRPr="000322E4">
        <w:t>в другую медицинскую организацию по соответствующему профилю оказания медицинской помощи.</w:t>
      </w:r>
    </w:p>
    <w:p w14:paraId="1866F877" w14:textId="77777777" w:rsidR="00EA74D7" w:rsidRPr="000322E4" w:rsidRDefault="00EA74D7" w:rsidP="00F414BF">
      <w:pPr>
        <w:pStyle w:val="afe"/>
        <w:numPr>
          <w:ilvl w:val="0"/>
          <w:numId w:val="38"/>
        </w:numPr>
        <w:tabs>
          <w:tab w:val="left" w:pos="1134"/>
        </w:tabs>
        <w:suppressAutoHyphens/>
        <w:contextualSpacing w:val="0"/>
      </w:pPr>
      <w:r w:rsidRPr="000322E4">
        <w:lastRenderedPageBreak/>
        <w:t>Решение врачебной комиссии об отсутствии показаний к пребыванию пациента в стационаре в связи с бесперспективностью лечения и необходимостью оказания только паллиативной помощи.</w:t>
      </w:r>
    </w:p>
    <w:p w14:paraId="4156B1B7" w14:textId="77777777" w:rsidR="00613DB8" w:rsidRPr="000322E4" w:rsidRDefault="00613DB8" w:rsidP="00CA442F">
      <w:pPr>
        <w:pStyle w:val="1f0"/>
        <w:ind w:left="0" w:firstLine="851"/>
        <w:rPr>
          <w:color w:val="000000"/>
        </w:rPr>
      </w:pPr>
      <w:r w:rsidRPr="000322E4">
        <w:rPr>
          <w:color w:val="000000"/>
        </w:rPr>
        <w:t>Заключение о целесообразности перевода пациента в профильную медицинскую организацию составляется после предварительной консультации по предоставленным медицинским документам и/или предварительного осмотра пациента врачами-специалистами медицинской организации, в которую планируется перевод.</w:t>
      </w:r>
    </w:p>
    <w:p w14:paraId="35EC9412" w14:textId="77777777" w:rsidR="00613DB8" w:rsidRPr="000322E4" w:rsidRDefault="00613DB8" w:rsidP="00CA442F">
      <w:pPr>
        <w:pStyle w:val="1f0"/>
        <w:ind w:left="0" w:firstLine="851"/>
        <w:contextualSpacing/>
      </w:pPr>
    </w:p>
    <w:p w14:paraId="4FF9412B" w14:textId="1F3162A3" w:rsidR="00CB562F" w:rsidRPr="000322E4" w:rsidRDefault="00C4630C" w:rsidP="00F414BF">
      <w:pPr>
        <w:pStyle w:val="afff2"/>
      </w:pPr>
      <w:bookmarkStart w:id="53" w:name="_Toc96601253"/>
      <w:r w:rsidRPr="000322E4">
        <w:t xml:space="preserve">7. </w:t>
      </w:r>
      <w:r w:rsidR="00CB71DA" w:rsidRPr="000322E4">
        <w:t>Дополнительная инфор</w:t>
      </w:r>
      <w:r w:rsidR="009B4039" w:rsidRPr="000322E4">
        <w:t>мация (</w:t>
      </w:r>
      <w:r w:rsidR="00A43CE5" w:rsidRPr="000322E4">
        <w:t>в том числе факторы, влияющие на</w:t>
      </w:r>
      <w:r w:rsidR="00CB71DA" w:rsidRPr="000322E4">
        <w:t xml:space="preserve"> исход заболевания</w:t>
      </w:r>
      <w:bookmarkEnd w:id="51"/>
      <w:r w:rsidR="008371F9" w:rsidRPr="000322E4">
        <w:t xml:space="preserve"> </w:t>
      </w:r>
      <w:r w:rsidR="00A43CE5" w:rsidRPr="000322E4">
        <w:t>или состояния)</w:t>
      </w:r>
      <w:bookmarkEnd w:id="53"/>
    </w:p>
    <w:p w14:paraId="2845E52A" w14:textId="77777777" w:rsidR="002C7010" w:rsidRPr="000322E4" w:rsidRDefault="002C7010" w:rsidP="00F414BF">
      <w:pPr>
        <w:pStyle w:val="2"/>
        <w:spacing w:before="0"/>
      </w:pPr>
      <w:bookmarkStart w:id="54" w:name="_Toc96601254"/>
      <w:bookmarkStart w:id="55" w:name="__RefHeading___doc_criteria"/>
      <w:r w:rsidRPr="000322E4">
        <w:t xml:space="preserve">7.1 </w:t>
      </w:r>
      <w:r w:rsidR="00A26422" w:rsidRPr="000322E4">
        <w:t>Общие требования к морфологической диагностик</w:t>
      </w:r>
      <w:r w:rsidR="000718D1" w:rsidRPr="000322E4">
        <w:t>е</w:t>
      </w:r>
      <w:r w:rsidR="00A26422" w:rsidRPr="000322E4">
        <w:t xml:space="preserve"> лимфом</w:t>
      </w:r>
      <w:bookmarkEnd w:id="54"/>
      <w:r w:rsidRPr="000322E4">
        <w:t xml:space="preserve"> </w:t>
      </w:r>
    </w:p>
    <w:p w14:paraId="1C754E3B" w14:textId="77777777" w:rsidR="00A26422" w:rsidRPr="00D3550C" w:rsidRDefault="00A26422" w:rsidP="00F414BF">
      <w:pPr>
        <w:spacing w:line="360" w:lineRule="auto"/>
        <w:ind w:firstLine="567"/>
        <w:jc w:val="both"/>
        <w:rPr>
          <w:rFonts w:eastAsia="Calibri" w:cstheme="minorHAnsi"/>
          <w:color w:val="000000" w:themeColor="text1"/>
        </w:rPr>
      </w:pPr>
      <w:r w:rsidRPr="000322E4">
        <w:rPr>
          <w:rFonts w:eastAsia="Calibri" w:cstheme="minorHAnsi"/>
        </w:rPr>
        <w:t xml:space="preserve">До биопсии лимфатического узла необходимо выполнить общий анализ крови с подсчетом лейкоцитарной формулы, чтобы </w:t>
      </w:r>
      <w:r w:rsidRPr="000322E4">
        <w:rPr>
          <w:rFonts w:eastAsia="Calibri" w:cstheme="minorHAnsi"/>
          <w:color w:val="000000"/>
        </w:rPr>
        <w:t>исключить выполнение биопсии</w:t>
      </w:r>
      <w:r w:rsidRPr="000322E4">
        <w:rPr>
          <w:rFonts w:eastAsia="Calibri" w:cstheme="minorHAnsi"/>
        </w:rPr>
        <w:t xml:space="preserve"> у </w:t>
      </w:r>
      <w:r w:rsidR="00103620" w:rsidRPr="000322E4">
        <w:rPr>
          <w:rFonts w:eastAsia="Calibri" w:cstheme="minorHAnsi"/>
        </w:rPr>
        <w:t xml:space="preserve">пациентов с </w:t>
      </w:r>
      <w:r w:rsidRPr="000322E4">
        <w:rPr>
          <w:rFonts w:eastAsia="Calibri" w:cstheme="minorHAnsi"/>
        </w:rPr>
        <w:t xml:space="preserve">хроническим лимфолейкозом, моноклональным В-клеточным лимфоцитозом, острыми лейкозами, </w:t>
      </w:r>
      <w:r w:rsidRPr="000322E4">
        <w:rPr>
          <w:rFonts w:eastAsia="Calibri" w:cstheme="minorHAnsi"/>
          <w:color w:val="000000"/>
        </w:rPr>
        <w:t>при лимфоцитозе инфекционной (</w:t>
      </w:r>
      <w:r w:rsidRPr="000322E4">
        <w:rPr>
          <w:rFonts w:eastAsia="Calibri" w:cstheme="minorHAnsi"/>
          <w:color w:val="000000"/>
          <w:lang w:val="en-US"/>
        </w:rPr>
        <w:t>HIV</w:t>
      </w:r>
      <w:r w:rsidRPr="000322E4">
        <w:rPr>
          <w:rFonts w:eastAsia="Calibri" w:cstheme="minorHAnsi"/>
          <w:color w:val="000000"/>
        </w:rPr>
        <w:t xml:space="preserve">, </w:t>
      </w:r>
      <w:r w:rsidRPr="000322E4">
        <w:rPr>
          <w:rFonts w:eastAsia="Calibri" w:cstheme="minorHAnsi"/>
          <w:color w:val="000000"/>
          <w:lang w:val="en-US"/>
        </w:rPr>
        <w:t>EBV</w:t>
      </w:r>
      <w:r w:rsidRPr="000322E4">
        <w:rPr>
          <w:rFonts w:eastAsia="Calibri" w:cstheme="minorHAnsi"/>
          <w:color w:val="000000"/>
        </w:rPr>
        <w:t xml:space="preserve">, </w:t>
      </w:r>
      <w:r w:rsidRPr="000322E4">
        <w:rPr>
          <w:rFonts w:eastAsia="Calibri" w:cstheme="minorHAnsi"/>
          <w:color w:val="000000"/>
          <w:lang w:val="en-US"/>
        </w:rPr>
        <w:t>CMV</w:t>
      </w:r>
      <w:r w:rsidRPr="000322E4">
        <w:rPr>
          <w:rFonts w:eastAsia="Calibri" w:cstheme="minorHAnsi"/>
          <w:color w:val="000000"/>
        </w:rPr>
        <w:t>-инфекции, коклюш, вирусные гепатиты, токсоплазмоз и др.) или другой этиологии (поствакцинальный</w:t>
      </w:r>
      <w:r w:rsidRPr="00D3550C">
        <w:rPr>
          <w:rFonts w:eastAsia="Calibri" w:cstheme="minorHAnsi"/>
          <w:color w:val="000000" w:themeColor="text1"/>
        </w:rPr>
        <w:t xml:space="preserve">, лекарственная реакция, курение, тимома, «стрессорный» лимфоцитоз). </w:t>
      </w:r>
    </w:p>
    <w:p w14:paraId="5B46FC55" w14:textId="165CB77E" w:rsidR="00A26422" w:rsidRPr="000322E4" w:rsidRDefault="00A26422" w:rsidP="00F414BF">
      <w:pPr>
        <w:spacing w:line="360" w:lineRule="auto"/>
        <w:ind w:firstLine="567"/>
        <w:jc w:val="both"/>
        <w:rPr>
          <w:rFonts w:eastAsia="Calibri" w:cstheme="minorHAnsi"/>
        </w:rPr>
      </w:pPr>
      <w:r w:rsidRPr="00D3550C">
        <w:rPr>
          <w:rFonts w:eastAsia="Calibri" w:cstheme="minorHAnsi"/>
          <w:color w:val="000000" w:themeColor="text1"/>
        </w:rPr>
        <w:t xml:space="preserve">Диагноз </w:t>
      </w:r>
      <w:r w:rsidR="00F47A24" w:rsidRPr="00D3550C">
        <w:rPr>
          <w:color w:val="000000" w:themeColor="text1"/>
        </w:rPr>
        <w:t xml:space="preserve">ДВКЛ, ПМВКЛ, ЛБ </w:t>
      </w:r>
      <w:r w:rsidRPr="00D3550C">
        <w:rPr>
          <w:rFonts w:eastAsia="Calibri" w:cstheme="minorHAnsi"/>
          <w:color w:val="000000" w:themeColor="text1"/>
        </w:rPr>
        <w:t xml:space="preserve">устанавливают на основании </w:t>
      </w:r>
      <w:r w:rsidR="00791E66" w:rsidRPr="00D3550C">
        <w:rPr>
          <w:rFonts w:eastAsia="Calibri" w:cstheme="minorHAnsi"/>
          <w:color w:val="000000" w:themeColor="text1"/>
        </w:rPr>
        <w:t xml:space="preserve">патолого-анатомического исследования с применением </w:t>
      </w:r>
      <w:r w:rsidRPr="000322E4">
        <w:rPr>
          <w:rFonts w:eastAsia="Calibri" w:cstheme="minorHAnsi"/>
          <w:color w:val="000000" w:themeColor="text1"/>
        </w:rPr>
        <w:t>иммуногистохимическ</w:t>
      </w:r>
      <w:r w:rsidR="00791E66" w:rsidRPr="000322E4">
        <w:rPr>
          <w:rFonts w:eastAsia="Calibri" w:cstheme="minorHAnsi"/>
          <w:color w:val="000000" w:themeColor="text1"/>
        </w:rPr>
        <w:t>их</w:t>
      </w:r>
      <w:r w:rsidRPr="000322E4">
        <w:rPr>
          <w:rFonts w:eastAsia="Calibri" w:cstheme="minorHAnsi"/>
          <w:color w:val="000000" w:themeColor="text1"/>
        </w:rPr>
        <w:t xml:space="preserve"> </w:t>
      </w:r>
      <w:r w:rsidR="00791E66" w:rsidRPr="000322E4">
        <w:rPr>
          <w:rFonts w:eastAsia="Calibri" w:cstheme="minorHAnsi"/>
          <w:color w:val="000000" w:themeColor="text1"/>
        </w:rPr>
        <w:t>методов</w:t>
      </w:r>
      <w:r w:rsidRPr="000322E4">
        <w:rPr>
          <w:rFonts w:eastAsia="Calibri" w:cstheme="minorHAnsi"/>
          <w:color w:val="000000" w:themeColor="text1"/>
        </w:rPr>
        <w:t xml:space="preserve"> биопсийного </w:t>
      </w:r>
      <w:r w:rsidRPr="000322E4">
        <w:rPr>
          <w:rFonts w:eastAsia="Calibri" w:cstheme="minorHAnsi"/>
        </w:rPr>
        <w:t xml:space="preserve">или операционного материала. В части случаев необходимо проведение молекулярно-биологических и генетических тестов. Цитологическое исследование пунктатов или мазков-отпечатков лимфатических узлов или других опухолевых очагов является дополнительным методом исследования и не может служить достаточным основанием для диагноза лимфомы и ее нозологической верификации. </w:t>
      </w:r>
    </w:p>
    <w:p w14:paraId="4D4B2CFC" w14:textId="77777777" w:rsidR="00A26422" w:rsidRPr="000322E4" w:rsidRDefault="00A26422" w:rsidP="00F414BF">
      <w:pPr>
        <w:spacing w:line="360" w:lineRule="auto"/>
        <w:ind w:firstLine="567"/>
        <w:jc w:val="both"/>
        <w:rPr>
          <w:rFonts w:eastAsia="Calibri" w:cstheme="minorHAnsi"/>
        </w:rPr>
      </w:pPr>
      <w:r w:rsidRPr="000322E4">
        <w:rPr>
          <w:rFonts w:eastAsia="Calibri" w:cstheme="minorHAnsi"/>
        </w:rPr>
        <w:t xml:space="preserve">При первичном обследовании пациента во всех случаях проводится гистологическое и иммуногистохимическое исследование материала инцизионной или эксцизионной биопсии патологического очага или операционного материала при обязательном предоставлении врачу-патологоанатому выписки из амбулаторной карты/истории болезни пациента. Пунктировать лимфатические узлы для аспирации клеточной взвеси не следует. В исключительных случаях (локализация опухоли в труднодоступных анатомических зонах, тяжесть состояния пациента) при обосновании невозможности выполнения эксцизионной биопсии (отраженном в </w:t>
      </w:r>
      <w:r w:rsidRPr="000322E4">
        <w:rPr>
          <w:rFonts w:eastAsia="Calibri" w:cstheme="minorHAnsi"/>
        </w:rPr>
        <w:lastRenderedPageBreak/>
        <w:t xml:space="preserve">медицинской документации), объектом исследования может быть тканевой материал, полученный с помощью пистолетной («кор»-) биопсии. Пригодным для исследования является биоптат диаметром не менее 16 </w:t>
      </w:r>
      <w:r w:rsidRPr="000322E4">
        <w:rPr>
          <w:rFonts w:eastAsia="Calibri" w:cstheme="minorHAnsi"/>
          <w:lang w:val="en-US"/>
        </w:rPr>
        <w:t>G</w:t>
      </w:r>
      <w:r w:rsidRPr="000322E4">
        <w:rPr>
          <w:rFonts w:eastAsia="Calibri" w:cstheme="minorHAnsi"/>
        </w:rPr>
        <w:t xml:space="preserve">, при длине опухолевого инфильтрата в ткани не менее 1,5 см. Объем иммуногистохимического исследования определяет врач-патологоанатом при гистологическом изучении материала. Разделение материала между различными лабораториями категорически недопустимо. Протокол </w:t>
      </w:r>
      <w:r w:rsidR="00791E66" w:rsidRPr="000322E4">
        <w:rPr>
          <w:rFonts w:eastAsia="Calibri" w:cstheme="minorHAnsi"/>
        </w:rPr>
        <w:t>атолого-анатомического исследования биопсийного (операционного) материала</w:t>
      </w:r>
      <w:r w:rsidRPr="000322E4">
        <w:rPr>
          <w:rFonts w:eastAsia="Calibri" w:cstheme="minorHAnsi"/>
        </w:rPr>
        <w:t xml:space="preserve"> должен содержать:</w:t>
      </w:r>
    </w:p>
    <w:p w14:paraId="58098CCC" w14:textId="77777777" w:rsidR="00A26422" w:rsidRPr="000322E4" w:rsidRDefault="00A26422" w:rsidP="00F414BF">
      <w:pPr>
        <w:pStyle w:val="afe"/>
        <w:numPr>
          <w:ilvl w:val="0"/>
          <w:numId w:val="30"/>
        </w:numPr>
        <w:rPr>
          <w:rFonts w:eastAsia="Calibri" w:cstheme="minorHAnsi"/>
        </w:rPr>
      </w:pPr>
      <w:r w:rsidRPr="000322E4">
        <w:rPr>
          <w:rFonts w:eastAsia="Calibri" w:cstheme="minorHAnsi"/>
        </w:rPr>
        <w:t>Макроскопическое описание материала, присланного для исследования; при исследовании готовых блоков и микропрепаратов в протоколе должны быть указаны количество и идентификационные номера всех присланных объектов.</w:t>
      </w:r>
    </w:p>
    <w:p w14:paraId="016B525E" w14:textId="77777777" w:rsidR="004B7BA3" w:rsidRPr="000322E4" w:rsidRDefault="00A26422" w:rsidP="00F414BF">
      <w:pPr>
        <w:pStyle w:val="afe"/>
        <w:numPr>
          <w:ilvl w:val="0"/>
          <w:numId w:val="30"/>
        </w:numPr>
        <w:rPr>
          <w:rFonts w:eastAsia="Calibri" w:cstheme="minorHAnsi"/>
        </w:rPr>
      </w:pPr>
      <w:r w:rsidRPr="000322E4">
        <w:rPr>
          <w:rFonts w:eastAsia="Calibri" w:cstheme="minorHAnsi"/>
        </w:rPr>
        <w:t>Гистологическое описание лимфомы с указанием типа роста (диффузный, нодулярный и т. п.), характеристики клеточного состава (мелкие, крупные клетки, полиморфный состав, анапластическая, бластная/бластоидная морфология, наличие многоядерных форм, характеристика ядер), наличия реактивных и резидуальных компонентов.</w:t>
      </w:r>
      <w:r w:rsidR="004B7BA3" w:rsidRPr="000322E4">
        <w:rPr>
          <w:rFonts w:eastAsia="Calibri" w:cstheme="minorHAnsi"/>
        </w:rPr>
        <w:t xml:space="preserve"> </w:t>
      </w:r>
    </w:p>
    <w:p w14:paraId="0D4394FA" w14:textId="77777777" w:rsidR="004B7BA3" w:rsidRPr="000322E4" w:rsidRDefault="004B7BA3" w:rsidP="00F414BF">
      <w:pPr>
        <w:pStyle w:val="afe"/>
        <w:numPr>
          <w:ilvl w:val="0"/>
          <w:numId w:val="30"/>
        </w:numPr>
        <w:rPr>
          <w:rFonts w:eastAsia="Calibri" w:cstheme="minorHAnsi"/>
        </w:rPr>
      </w:pPr>
      <w:r w:rsidRPr="000322E4">
        <w:rPr>
          <w:rFonts w:eastAsia="Calibri" w:cstheme="minorHAnsi"/>
        </w:rPr>
        <w:t xml:space="preserve">Результаты иммуногистохимического исследования с указанием использованных антител и подробностей окрашивания, указывающих на специфический характер реакции (например, окрашивание ядер в реакциях с антителами к TdT, </w:t>
      </w:r>
      <w:r w:rsidRPr="000322E4">
        <w:rPr>
          <w:rFonts w:eastAsia="Calibri" w:cstheme="minorHAnsi"/>
          <w:lang w:val="en-US"/>
        </w:rPr>
        <w:t>BCL</w:t>
      </w:r>
      <w:r w:rsidRPr="000322E4">
        <w:rPr>
          <w:rFonts w:eastAsia="Calibri" w:cstheme="minorHAnsi"/>
        </w:rPr>
        <w:t>-6, Cyclin D1; цитоплазмы</w:t>
      </w:r>
      <w:r w:rsidRPr="000322E4">
        <w:rPr>
          <w:rFonts w:eastAsia="Calibri" w:cstheme="minorHAnsi"/>
          <w:color w:val="FF0000"/>
        </w:rPr>
        <w:t xml:space="preserve"> </w:t>
      </w:r>
      <w:r w:rsidRPr="000322E4">
        <w:rPr>
          <w:rFonts w:eastAsia="Calibri" w:cstheme="minorHAnsi"/>
        </w:rPr>
        <w:t>–</w:t>
      </w:r>
      <w:r w:rsidRPr="000322E4">
        <w:rPr>
          <w:rFonts w:eastAsia="Calibri" w:cstheme="minorHAnsi"/>
          <w:color w:val="FF0000"/>
        </w:rPr>
        <w:t xml:space="preserve"> </w:t>
      </w:r>
      <w:r w:rsidRPr="000322E4">
        <w:rPr>
          <w:rFonts w:eastAsia="Calibri" w:cstheme="minorHAnsi"/>
        </w:rPr>
        <w:t>в</w:t>
      </w:r>
      <w:r w:rsidRPr="000322E4">
        <w:rPr>
          <w:rFonts w:eastAsia="Calibri" w:cstheme="minorHAnsi"/>
          <w:color w:val="FF0000"/>
        </w:rPr>
        <w:t xml:space="preserve"> </w:t>
      </w:r>
      <w:r w:rsidRPr="000322E4">
        <w:rPr>
          <w:rFonts w:eastAsia="Calibri" w:cstheme="minorHAnsi"/>
        </w:rPr>
        <w:t>реакциях на CD79a; гранулярная цитоплазматическая реакция - цитотоксические молекулы; окрашивание цитоплазмы или мембраны - в реакциях с антителами к CD3, тяжелым или легким цепям иммуноглобулинов; мембраны – в реакциях на CD20, CD10), интенсивность, особенности иммуногистоархитектоники. Представление результатов иммуногистохимических тестов только в виде «крестов» («плюсов») и перечня антител недопустимо.</w:t>
      </w:r>
    </w:p>
    <w:p w14:paraId="74B6F078" w14:textId="77777777" w:rsidR="00A26422" w:rsidRPr="000322E4" w:rsidRDefault="00791E66" w:rsidP="00F414BF">
      <w:pPr>
        <w:pStyle w:val="afe"/>
        <w:numPr>
          <w:ilvl w:val="0"/>
          <w:numId w:val="30"/>
        </w:numPr>
        <w:rPr>
          <w:rFonts w:eastAsia="Calibri" w:cstheme="minorHAnsi"/>
        </w:rPr>
      </w:pPr>
      <w:r w:rsidRPr="000322E4">
        <w:rPr>
          <w:rFonts w:eastAsia="Calibri" w:cstheme="minorHAnsi"/>
        </w:rPr>
        <w:t>Заключение</w:t>
      </w:r>
      <w:r w:rsidR="00A26422" w:rsidRPr="000322E4">
        <w:rPr>
          <w:rFonts w:eastAsia="Calibri" w:cstheme="minorHAnsi"/>
        </w:rPr>
        <w:t>, сформулированное в соответствии с действующей редакцией классификации опухолей гемопоэтической и лимфоидной тканей (ВОЗ, 2017 г.).</w:t>
      </w:r>
    </w:p>
    <w:p w14:paraId="29341309" w14:textId="77777777" w:rsidR="00A26422" w:rsidRPr="000322E4" w:rsidRDefault="00A26422" w:rsidP="00F414BF">
      <w:pPr>
        <w:spacing w:line="360" w:lineRule="auto"/>
        <w:ind w:firstLine="567"/>
        <w:jc w:val="both"/>
        <w:rPr>
          <w:rFonts w:eastAsia="Calibri" w:cstheme="minorHAnsi"/>
        </w:rPr>
      </w:pPr>
      <w:r w:rsidRPr="000322E4">
        <w:rPr>
          <w:rFonts w:eastAsia="Calibri" w:cstheme="minorHAnsi"/>
        </w:rPr>
        <w:t xml:space="preserve">Обязательным компонентом определения распространенности опухолевого процесса (стадии) является гистологическое исследование трепанобиоптата костного мозга. В процессе первичного обследования рекомендуется выполнять биопсию билатерально. </w:t>
      </w:r>
    </w:p>
    <w:p w14:paraId="4DCAFDA3" w14:textId="77777777" w:rsidR="00A26422" w:rsidRPr="000322E4" w:rsidRDefault="003B604F" w:rsidP="00F414BF">
      <w:pPr>
        <w:spacing w:line="360" w:lineRule="auto"/>
        <w:ind w:firstLine="567"/>
        <w:jc w:val="both"/>
        <w:rPr>
          <w:rFonts w:eastAsia="Calibri" w:cstheme="minorHAnsi"/>
          <w:strike/>
          <w:color w:val="000000" w:themeColor="text1"/>
        </w:rPr>
      </w:pPr>
      <w:r w:rsidRPr="000322E4">
        <w:rPr>
          <w:rFonts w:eastAsia="Calibri" w:cstheme="minorHAnsi"/>
        </w:rPr>
        <w:t xml:space="preserve">Цитологическое </w:t>
      </w:r>
      <w:r w:rsidR="00A26422" w:rsidRPr="000322E4">
        <w:rPr>
          <w:rFonts w:eastAsia="Calibri" w:cstheme="minorHAnsi"/>
        </w:rPr>
        <w:t xml:space="preserve">исследование пунктата костного мозга (стернального или др.) </w:t>
      </w:r>
      <w:r w:rsidR="00A26422" w:rsidRPr="000322E4">
        <w:rPr>
          <w:rFonts w:eastAsia="Calibri" w:cstheme="minorHAnsi"/>
          <w:color w:val="000000" w:themeColor="text1"/>
        </w:rPr>
        <w:t>не заменяет</w:t>
      </w:r>
      <w:r w:rsidRPr="000322E4">
        <w:rPr>
          <w:rFonts w:eastAsia="Calibri" w:cstheme="minorHAnsi"/>
          <w:color w:val="000000" w:themeColor="text1"/>
        </w:rPr>
        <w:t xml:space="preserve"> патолого-анатомическое </w:t>
      </w:r>
      <w:r w:rsidR="00A26422" w:rsidRPr="000322E4">
        <w:rPr>
          <w:rFonts w:eastAsia="Calibri" w:cstheme="minorHAnsi"/>
          <w:color w:val="000000" w:themeColor="text1"/>
        </w:rPr>
        <w:t xml:space="preserve">исследование трепанобиоптата. </w:t>
      </w:r>
    </w:p>
    <w:p w14:paraId="7F7126FC" w14:textId="77777777" w:rsidR="00A26422" w:rsidRPr="000322E4" w:rsidRDefault="00A26422" w:rsidP="00F414BF">
      <w:pPr>
        <w:spacing w:line="360" w:lineRule="auto"/>
        <w:ind w:firstLine="567"/>
        <w:jc w:val="both"/>
        <w:rPr>
          <w:rFonts w:eastAsia="Calibri" w:cstheme="minorHAnsi"/>
        </w:rPr>
      </w:pPr>
      <w:r w:rsidRPr="000322E4">
        <w:rPr>
          <w:rFonts w:eastAsia="Calibri" w:cstheme="minorHAnsi"/>
          <w:color w:val="000000" w:themeColor="text1"/>
        </w:rPr>
        <w:lastRenderedPageBreak/>
        <w:t xml:space="preserve">При наличии в общем анализе крови или миелограмме лимфоцитоза, независимо от числа лейкоцитов, а также при преобладании лимфоидных клеточных элементов, </w:t>
      </w:r>
      <w:r w:rsidRPr="000322E4">
        <w:rPr>
          <w:rFonts w:eastAsia="Calibri" w:cstheme="minorHAnsi"/>
        </w:rPr>
        <w:t>атипичных лимфоцитов или клеток с бластной морфологией в плевральной, асцитической или других биологических жидкостях необходимо выполнить иммунофенотипирование методом проточной цитометрии. Проточная цитометрия позволяет быстро провести дифференциальную диагностику опухолевого и реактивного лимфоцитоза, что важно для определения дальнейшей тактики обследования пациента. Материалом для анализа методом проточной цитометрии могут служить клетки крови, костного мозга, выпотных жидкостей, бронхоальвеолярного смыва, ликвора, гомогенизированные образцы тканей (селезенка, лимфатические узлы и т. д.), клеточная суспензия, полученная при аспирационной тонкоигольной пункции лимфатических узлов.</w:t>
      </w:r>
    </w:p>
    <w:p w14:paraId="32F18A68" w14:textId="77777777" w:rsidR="00A26422" w:rsidRPr="000322E4" w:rsidRDefault="00A26422" w:rsidP="00F414BF">
      <w:pPr>
        <w:spacing w:line="360" w:lineRule="auto"/>
        <w:ind w:firstLine="567"/>
        <w:jc w:val="both"/>
        <w:rPr>
          <w:rFonts w:eastAsia="Calibri" w:cstheme="minorHAnsi"/>
        </w:rPr>
      </w:pPr>
      <w:r w:rsidRPr="000322E4">
        <w:rPr>
          <w:rFonts w:eastAsia="Calibri" w:cstheme="minorHAnsi"/>
        </w:rPr>
        <w:t>При определении стадии опухолевого процесса может потребоваться биопсия других очагов поражения, если нельзя исключить их опухолевую</w:t>
      </w:r>
      <w:r w:rsidRPr="000322E4">
        <w:rPr>
          <w:rFonts w:eastAsia="Calibri" w:cstheme="minorHAnsi"/>
          <w:color w:val="1F497D"/>
        </w:rPr>
        <w:t xml:space="preserve"> </w:t>
      </w:r>
      <w:r w:rsidRPr="000322E4">
        <w:rPr>
          <w:rFonts w:eastAsia="Calibri" w:cstheme="minorHAnsi"/>
        </w:rPr>
        <w:t>природу другими способами.</w:t>
      </w:r>
    </w:p>
    <w:p w14:paraId="7757912B" w14:textId="77777777" w:rsidR="00A26422" w:rsidRPr="000322E4" w:rsidRDefault="00A26422" w:rsidP="00F414BF">
      <w:pPr>
        <w:spacing w:line="360" w:lineRule="auto"/>
        <w:ind w:firstLine="567"/>
        <w:jc w:val="both"/>
        <w:rPr>
          <w:rFonts w:eastAsia="Calibri" w:cstheme="minorHAnsi"/>
        </w:rPr>
      </w:pPr>
      <w:r w:rsidRPr="000322E4">
        <w:rPr>
          <w:rFonts w:eastAsia="Calibri" w:cstheme="minorHAnsi"/>
        </w:rPr>
        <w:t xml:space="preserve">При рецидиве или прогрессировании заболевания обязательно выполнение повторной биопсии и </w:t>
      </w:r>
      <w:r w:rsidR="00791E66" w:rsidRPr="000322E4">
        <w:t xml:space="preserve">патолого-анатомического </w:t>
      </w:r>
      <w:r w:rsidRPr="000322E4">
        <w:rPr>
          <w:rFonts w:eastAsia="Calibri" w:cstheme="minorHAnsi"/>
        </w:rPr>
        <w:t>исследования пораженных лимфатических узлов или экстранодальных очагов. Повторная биопсия также показана при наличии резидуальных очагов для подтверждения ремиссии. Проведение повторной биопсии патологического очага является обязательным при первично-резистентном течении или рецидиве заболевания в целях подтверждения диагноза или верификации опухолевой трансформации, а также исключения второй опухоли, инфекционного процесса.</w:t>
      </w:r>
    </w:p>
    <w:p w14:paraId="75691335" w14:textId="4C78FDAC" w:rsidR="00A26422" w:rsidRDefault="00A26422" w:rsidP="00F414BF">
      <w:pPr>
        <w:spacing w:line="360" w:lineRule="auto"/>
        <w:ind w:firstLine="567"/>
        <w:jc w:val="both"/>
        <w:rPr>
          <w:rFonts w:eastAsia="Calibri" w:cstheme="minorHAnsi"/>
        </w:rPr>
      </w:pPr>
      <w:r w:rsidRPr="000322E4">
        <w:rPr>
          <w:rFonts w:eastAsia="Calibri" w:cstheme="minorHAnsi"/>
        </w:rPr>
        <w:t xml:space="preserve">Повторная аспирация и трепанобиопсия костного мозга выполняются для плановой оценки результатов лечения и при появлении клинически немотивированных цитопении и лихорадки. Аспират костного мозга может быть информативен для оценки регенерации и диспластических изменений миелопоэза. У </w:t>
      </w:r>
      <w:r w:rsidR="00103620" w:rsidRPr="000322E4">
        <w:rPr>
          <w:rFonts w:eastAsia="Calibri" w:cstheme="minorHAnsi"/>
        </w:rPr>
        <w:t xml:space="preserve">пациентов </w:t>
      </w:r>
      <w:r w:rsidRPr="000322E4">
        <w:rPr>
          <w:rFonts w:eastAsia="Calibri" w:cstheme="minorHAnsi"/>
        </w:rPr>
        <w:t xml:space="preserve">с поражением костного мозга цитологическое исследование пунктата для оценки изменений объема опухолевой инфильтрации не всегда информативно. </w:t>
      </w:r>
    </w:p>
    <w:p w14:paraId="58A89CA7" w14:textId="77777777" w:rsidR="00D3550C" w:rsidRPr="000322E4" w:rsidRDefault="00D3550C" w:rsidP="00F414BF">
      <w:pPr>
        <w:spacing w:line="360" w:lineRule="auto"/>
        <w:ind w:firstLine="567"/>
        <w:jc w:val="both"/>
        <w:rPr>
          <w:rFonts w:eastAsia="Calibri" w:cstheme="minorHAnsi"/>
        </w:rPr>
      </w:pPr>
    </w:p>
    <w:p w14:paraId="5B12CA5E" w14:textId="77777777" w:rsidR="00A26422" w:rsidRPr="000322E4" w:rsidRDefault="00A26422" w:rsidP="00F414BF">
      <w:pPr>
        <w:pStyle w:val="2"/>
        <w:spacing w:before="0"/>
      </w:pPr>
      <w:bookmarkStart w:id="56" w:name="_Toc96601255"/>
      <w:r w:rsidRPr="000322E4">
        <w:t>7.</w:t>
      </w:r>
      <w:r w:rsidR="0064071E" w:rsidRPr="000322E4">
        <w:t>2</w:t>
      </w:r>
      <w:r w:rsidRPr="000322E4">
        <w:t xml:space="preserve"> Морфологическая и иммуногистохимическая диагностика </w:t>
      </w:r>
      <w:r w:rsidR="009B70C4" w:rsidRPr="000322E4">
        <w:t>агрессивных нефолликулярных В-клеточных лимфом</w:t>
      </w:r>
      <w:bookmarkEnd w:id="56"/>
    </w:p>
    <w:p w14:paraId="7AEA6A90" w14:textId="2F43C1F0" w:rsidR="009673D9" w:rsidRPr="000322E4" w:rsidRDefault="009673D9" w:rsidP="00F414BF">
      <w:pPr>
        <w:spacing w:line="360" w:lineRule="auto"/>
        <w:ind w:firstLine="567"/>
        <w:jc w:val="both"/>
        <w:rPr>
          <w:rFonts w:cstheme="minorHAnsi"/>
        </w:rPr>
      </w:pPr>
      <w:r w:rsidRPr="000322E4">
        <w:rPr>
          <w:rFonts w:cstheme="minorHAnsi"/>
        </w:rPr>
        <w:t xml:space="preserve">Морфологический субстрат ДВКЛ представлен центробластами, иммунобластами, клетками с многодольчатыми ядрами, клетками с полиморфными/анаплазированными ядрами в различных количественных </w:t>
      </w:r>
      <w:r w:rsidRPr="000322E4">
        <w:rPr>
          <w:rFonts w:cstheme="minorHAnsi"/>
        </w:rPr>
        <w:lastRenderedPageBreak/>
        <w:t xml:space="preserve">соотношениях, что определяет морфологический вариант опухоли: центробластный, иммунобластный (&gt;90% опухолевых клеток с морфологией иммунобластов), анапластический. </w:t>
      </w:r>
    </w:p>
    <w:p w14:paraId="0E06FE2B" w14:textId="77777777" w:rsidR="009673D9" w:rsidRPr="000322E4" w:rsidRDefault="009673D9" w:rsidP="00F414BF">
      <w:pPr>
        <w:spacing w:line="360" w:lineRule="auto"/>
        <w:ind w:firstLine="567"/>
        <w:jc w:val="both"/>
        <w:rPr>
          <w:rFonts w:cstheme="minorHAnsi"/>
        </w:rPr>
      </w:pPr>
      <w:r w:rsidRPr="000322E4">
        <w:rPr>
          <w:rFonts w:cstheme="minorHAnsi"/>
        </w:rPr>
        <w:t xml:space="preserve">Иммунофенотип опухоли характеризуется экспрессией пан-В-клеточных антигенов </w:t>
      </w:r>
      <w:r w:rsidRPr="000322E4">
        <w:rPr>
          <w:rFonts w:cstheme="minorHAnsi"/>
          <w:lang w:val="en-US"/>
        </w:rPr>
        <w:t>CD</w:t>
      </w:r>
      <w:r w:rsidRPr="000322E4">
        <w:rPr>
          <w:rFonts w:cstheme="minorHAnsi"/>
        </w:rPr>
        <w:t xml:space="preserve">20, </w:t>
      </w:r>
      <w:r w:rsidRPr="000322E4">
        <w:rPr>
          <w:rFonts w:cstheme="minorHAnsi"/>
          <w:lang w:val="en-US"/>
        </w:rPr>
        <w:t>CD</w:t>
      </w:r>
      <w:r w:rsidRPr="000322E4">
        <w:rPr>
          <w:rFonts w:cstheme="minorHAnsi"/>
        </w:rPr>
        <w:t xml:space="preserve">19, </w:t>
      </w:r>
      <w:r w:rsidRPr="000322E4">
        <w:rPr>
          <w:rFonts w:cstheme="minorHAnsi"/>
          <w:lang w:val="en-US"/>
        </w:rPr>
        <w:t>CD</w:t>
      </w:r>
      <w:r w:rsidRPr="000322E4">
        <w:rPr>
          <w:rFonts w:cstheme="minorHAnsi"/>
        </w:rPr>
        <w:t>79</w:t>
      </w:r>
      <w:r w:rsidRPr="000322E4">
        <w:rPr>
          <w:rFonts w:cstheme="minorHAnsi"/>
          <w:lang w:val="en-US"/>
        </w:rPr>
        <w:t>a</w:t>
      </w:r>
      <w:r w:rsidRPr="000322E4">
        <w:rPr>
          <w:rFonts w:cstheme="minorHAnsi"/>
        </w:rPr>
        <w:t xml:space="preserve">, </w:t>
      </w:r>
      <w:r w:rsidRPr="000322E4">
        <w:rPr>
          <w:rFonts w:cstheme="minorHAnsi"/>
          <w:lang w:val="en-US"/>
        </w:rPr>
        <w:t>PAX</w:t>
      </w:r>
      <w:r w:rsidRPr="000322E4">
        <w:rPr>
          <w:rFonts w:cstheme="minorHAnsi"/>
        </w:rPr>
        <w:t xml:space="preserve">-5 (мономорфная интенсивная ядерная экспрессия), </w:t>
      </w:r>
      <w:r w:rsidRPr="000322E4">
        <w:rPr>
          <w:rFonts w:cstheme="minorHAnsi"/>
          <w:lang w:val="en-US"/>
        </w:rPr>
        <w:t>CD</w:t>
      </w:r>
      <w:r w:rsidRPr="000322E4">
        <w:rPr>
          <w:rFonts w:cstheme="minorHAnsi"/>
        </w:rPr>
        <w:t xml:space="preserve">45 и отсутствием экспрессии </w:t>
      </w:r>
      <w:r w:rsidRPr="000322E4">
        <w:rPr>
          <w:rFonts w:cstheme="minorHAnsi"/>
          <w:lang w:val="en-US"/>
        </w:rPr>
        <w:t>CD</w:t>
      </w:r>
      <w:r w:rsidRPr="000322E4">
        <w:rPr>
          <w:rFonts w:cstheme="minorHAnsi"/>
        </w:rPr>
        <w:t xml:space="preserve">3. </w:t>
      </w:r>
      <w:r w:rsidRPr="000322E4">
        <w:rPr>
          <w:rFonts w:cstheme="minorHAnsi"/>
          <w:lang w:val="en-US"/>
        </w:rPr>
        <w:t>CD</w:t>
      </w:r>
      <w:r w:rsidRPr="000322E4">
        <w:rPr>
          <w:rFonts w:cstheme="minorHAnsi"/>
        </w:rPr>
        <w:t xml:space="preserve">30 (мембранная +/- </w:t>
      </w:r>
      <w:r w:rsidRPr="000322E4">
        <w:rPr>
          <w:rFonts w:cstheme="minorHAnsi"/>
          <w:lang w:val="en-US"/>
        </w:rPr>
        <w:t>dot</w:t>
      </w:r>
      <w:r w:rsidRPr="000322E4">
        <w:rPr>
          <w:rFonts w:cstheme="minorHAnsi"/>
        </w:rPr>
        <w:t>-</w:t>
      </w:r>
      <w:r w:rsidRPr="000322E4">
        <w:rPr>
          <w:rFonts w:cstheme="minorHAnsi"/>
          <w:lang w:val="en-US"/>
        </w:rPr>
        <w:t>like</w:t>
      </w:r>
      <w:r w:rsidRPr="000322E4">
        <w:rPr>
          <w:rFonts w:cstheme="minorHAnsi"/>
        </w:rPr>
        <w:t xml:space="preserve"> реакция) может быть экспрессирован частью опухолевых клеток. </w:t>
      </w:r>
      <w:r w:rsidRPr="000322E4">
        <w:rPr>
          <w:rFonts w:cstheme="minorHAnsi"/>
          <w:lang w:val="en-US"/>
        </w:rPr>
        <w:t>CD</w:t>
      </w:r>
      <w:r w:rsidRPr="000322E4">
        <w:rPr>
          <w:rFonts w:cstheme="minorHAnsi"/>
        </w:rPr>
        <w:t xml:space="preserve">5-позитивная ДВКЛ встречается примерно в 10% наблюдений. В этих случаях необходимо иммуногистохимическое исследование с антителами к </w:t>
      </w:r>
      <w:r w:rsidRPr="000322E4">
        <w:rPr>
          <w:rFonts w:cstheme="minorHAnsi"/>
          <w:lang w:val="en-US"/>
        </w:rPr>
        <w:t>Cyclin</w:t>
      </w:r>
      <w:r w:rsidRPr="000322E4">
        <w:rPr>
          <w:rFonts w:cstheme="minorHAnsi"/>
        </w:rPr>
        <w:t xml:space="preserve"> </w:t>
      </w:r>
      <w:r w:rsidRPr="000322E4">
        <w:rPr>
          <w:rFonts w:cstheme="minorHAnsi"/>
          <w:lang w:val="en-US"/>
        </w:rPr>
        <w:t>D</w:t>
      </w:r>
      <w:r w:rsidRPr="000322E4">
        <w:rPr>
          <w:rFonts w:cstheme="minorHAnsi"/>
        </w:rPr>
        <w:t xml:space="preserve">1 для исключения полиморфноклеточного/бластоидного варианта лимфомы из клеток мантии. Вместе с тем, до 20% ДВКЛ могут экспрессировать </w:t>
      </w:r>
      <w:r w:rsidRPr="000322E4">
        <w:rPr>
          <w:rFonts w:cstheme="minorHAnsi"/>
          <w:lang w:val="en-US"/>
        </w:rPr>
        <w:t>Cyclin</w:t>
      </w:r>
      <w:r w:rsidRPr="000322E4">
        <w:rPr>
          <w:rFonts w:cstheme="minorHAnsi"/>
        </w:rPr>
        <w:t xml:space="preserve"> </w:t>
      </w:r>
      <w:r w:rsidRPr="000322E4">
        <w:rPr>
          <w:rFonts w:cstheme="minorHAnsi"/>
          <w:lang w:val="en-US"/>
        </w:rPr>
        <w:t>D</w:t>
      </w:r>
      <w:r w:rsidRPr="000322E4">
        <w:rPr>
          <w:rFonts w:cstheme="minorHAnsi"/>
        </w:rPr>
        <w:t xml:space="preserve">1 (часть опухолевых клеток, слабая по интенсивности ядерная реакция). </w:t>
      </w:r>
    </w:p>
    <w:p w14:paraId="3D5161CE" w14:textId="77777777" w:rsidR="009673D9" w:rsidRPr="000322E4" w:rsidRDefault="009673D9" w:rsidP="00F414BF">
      <w:pPr>
        <w:spacing w:line="360" w:lineRule="auto"/>
        <w:ind w:firstLine="567"/>
        <w:jc w:val="both"/>
        <w:rPr>
          <w:rFonts w:cstheme="minorHAnsi"/>
        </w:rPr>
      </w:pPr>
      <w:r w:rsidRPr="000322E4">
        <w:rPr>
          <w:rFonts w:cstheme="minorHAnsi"/>
        </w:rPr>
        <w:t xml:space="preserve">ДВКЛ, как правило, характеризуется высокой митотической и пролиферативной активностью. Индекс пролиферации (по </w:t>
      </w:r>
      <w:r w:rsidRPr="000322E4">
        <w:rPr>
          <w:rFonts w:cstheme="minorHAnsi"/>
          <w:lang w:val="en-US"/>
        </w:rPr>
        <w:t>Ki</w:t>
      </w:r>
      <w:r w:rsidRPr="000322E4">
        <w:rPr>
          <w:rFonts w:cstheme="minorHAnsi"/>
        </w:rPr>
        <w:t xml:space="preserve">-67) колеблется в широком диапазоне от 40% до 90%, в отдельных наблюдениях превышает 90%. </w:t>
      </w:r>
    </w:p>
    <w:p w14:paraId="7621FFCA" w14:textId="77777777" w:rsidR="009673D9" w:rsidRPr="000322E4" w:rsidRDefault="009673D9" w:rsidP="00F414BF">
      <w:pPr>
        <w:spacing w:line="360" w:lineRule="auto"/>
        <w:ind w:firstLine="567"/>
        <w:jc w:val="both"/>
        <w:rPr>
          <w:rFonts w:cstheme="minorHAnsi"/>
        </w:rPr>
      </w:pPr>
      <w:r w:rsidRPr="000322E4">
        <w:rPr>
          <w:rFonts w:cstheme="minorHAnsi"/>
        </w:rPr>
        <w:t xml:space="preserve">Изучение профиля экспрессии генов позволяет идентифицировать молекулярные подтипы ДВКЛ, что может иметь прогностическое значение: благоприятным признается GCB (герминоклеточный) подтип, неблагоприятным – АВС подтип (из активированных В-клеток). С помощью иммуногистохимического алгоритма с использованием суррогатных маркеров CD10, ВCL-6, MUM.1 (алгоритм </w:t>
      </w:r>
      <w:r w:rsidRPr="000322E4">
        <w:rPr>
          <w:rFonts w:cstheme="minorHAnsi"/>
          <w:lang w:val="en-US"/>
        </w:rPr>
        <w:t>Hans</w:t>
      </w:r>
      <w:r w:rsidRPr="000322E4">
        <w:rPr>
          <w:rFonts w:cstheme="minorHAnsi"/>
        </w:rPr>
        <w:t xml:space="preserve">, 2004; рис. 7.2.1) или </w:t>
      </w:r>
      <w:r w:rsidRPr="000322E4">
        <w:rPr>
          <w:rFonts w:cstheme="minorHAnsi"/>
          <w:lang w:val="en-US"/>
        </w:rPr>
        <w:t>CD</w:t>
      </w:r>
      <w:r w:rsidRPr="000322E4">
        <w:rPr>
          <w:rFonts w:cstheme="minorHAnsi"/>
        </w:rPr>
        <w:t xml:space="preserve">10, </w:t>
      </w:r>
      <w:r w:rsidRPr="000322E4">
        <w:rPr>
          <w:rFonts w:cstheme="minorHAnsi"/>
          <w:lang w:val="en-US"/>
        </w:rPr>
        <w:t>BCL</w:t>
      </w:r>
      <w:r w:rsidRPr="000322E4">
        <w:rPr>
          <w:rFonts w:cstheme="minorHAnsi"/>
        </w:rPr>
        <w:t xml:space="preserve">-6, </w:t>
      </w:r>
      <w:r w:rsidRPr="000322E4">
        <w:rPr>
          <w:rFonts w:cstheme="minorHAnsi"/>
          <w:lang w:val="en-US"/>
        </w:rPr>
        <w:t>FOXP</w:t>
      </w:r>
      <w:r w:rsidRPr="000322E4">
        <w:rPr>
          <w:rFonts w:cstheme="minorHAnsi"/>
        </w:rPr>
        <w:t xml:space="preserve">1 (алгоритм </w:t>
      </w:r>
      <w:r w:rsidRPr="000322E4">
        <w:rPr>
          <w:rFonts w:cstheme="minorHAnsi"/>
          <w:lang w:val="en-US"/>
        </w:rPr>
        <w:t>Visco</w:t>
      </w:r>
      <w:r w:rsidRPr="000322E4">
        <w:rPr>
          <w:rFonts w:cstheme="minorHAnsi"/>
        </w:rPr>
        <w:t>-</w:t>
      </w:r>
      <w:r w:rsidRPr="000322E4">
        <w:rPr>
          <w:rFonts w:cstheme="minorHAnsi"/>
          <w:lang w:val="en-US"/>
        </w:rPr>
        <w:t>Young</w:t>
      </w:r>
      <w:r w:rsidRPr="000322E4">
        <w:rPr>
          <w:rFonts w:cstheme="minorHAnsi"/>
        </w:rPr>
        <w:t>, 2012; рис. 7.2.2) могут быть выделены</w:t>
      </w:r>
      <w:r w:rsidRPr="000322E4">
        <w:rPr>
          <w:rFonts w:cstheme="minorHAnsi"/>
          <w:color w:val="FF0000"/>
        </w:rPr>
        <w:t xml:space="preserve"> </w:t>
      </w:r>
      <w:r w:rsidRPr="000322E4">
        <w:rPr>
          <w:rFonts w:cstheme="minorHAnsi"/>
        </w:rPr>
        <w:t xml:space="preserve">иммуногистохимические подгруппы ДВКЛ (GCB и non-GCB типы), коррелирующие с профилем экспрессии генов. </w:t>
      </w:r>
    </w:p>
    <w:p w14:paraId="115ECE10" w14:textId="77777777" w:rsidR="009673D9" w:rsidRPr="000322E4" w:rsidRDefault="009673D9" w:rsidP="00F414BF">
      <w:pPr>
        <w:spacing w:line="360" w:lineRule="auto"/>
        <w:ind w:firstLine="567"/>
        <w:jc w:val="both"/>
        <w:rPr>
          <w:rFonts w:cstheme="minorHAnsi"/>
        </w:rPr>
      </w:pPr>
    </w:p>
    <w:p w14:paraId="7D140204" w14:textId="77777777" w:rsidR="009673D9" w:rsidRPr="000322E4" w:rsidRDefault="009673D9" w:rsidP="00F414BF">
      <w:pPr>
        <w:spacing w:line="360" w:lineRule="auto"/>
        <w:ind w:firstLine="567"/>
        <w:jc w:val="both"/>
        <w:rPr>
          <w:rFonts w:cstheme="minorHAnsi"/>
        </w:rPr>
      </w:pPr>
      <w:r w:rsidRPr="000322E4">
        <w:rPr>
          <w:rFonts w:cstheme="minorHAnsi"/>
        </w:rPr>
        <w:t>Рисунок 7.2.1</w:t>
      </w:r>
    </w:p>
    <w:p w14:paraId="039E5B3A" w14:textId="77777777" w:rsidR="009673D9" w:rsidRPr="000322E4" w:rsidRDefault="009673D9" w:rsidP="00F414BF">
      <w:pPr>
        <w:spacing w:line="360" w:lineRule="auto"/>
        <w:ind w:firstLine="567"/>
        <w:jc w:val="both"/>
        <w:rPr>
          <w:rFonts w:cstheme="minorHAnsi"/>
          <w:lang w:val="en-US"/>
        </w:rPr>
      </w:pPr>
      <w:r w:rsidRPr="000322E4">
        <w:rPr>
          <w:rFonts w:cstheme="minorHAnsi"/>
        </w:rPr>
        <w:t xml:space="preserve">Диагностический алгоритм </w:t>
      </w:r>
      <w:r w:rsidRPr="000322E4">
        <w:rPr>
          <w:rFonts w:cstheme="minorHAnsi"/>
          <w:lang w:val="en-US"/>
        </w:rPr>
        <w:t>Hans</w:t>
      </w:r>
      <w:r w:rsidRPr="000322E4">
        <w:rPr>
          <w:rFonts w:cstheme="minorHAnsi"/>
        </w:rPr>
        <w:t>,</w:t>
      </w:r>
      <w:r w:rsidRPr="000322E4">
        <w:rPr>
          <w:rFonts w:cstheme="minorHAnsi"/>
          <w:lang w:val="en-US"/>
        </w:rPr>
        <w:t xml:space="preserve"> 2004</w:t>
      </w:r>
    </w:p>
    <w:p w14:paraId="6D1E78A4" w14:textId="77777777" w:rsidR="009673D9" w:rsidRPr="000322E4" w:rsidRDefault="009673D9" w:rsidP="00F414BF">
      <w:pPr>
        <w:spacing w:line="360" w:lineRule="auto"/>
        <w:ind w:firstLine="567"/>
        <w:jc w:val="both"/>
        <w:rPr>
          <w:rFonts w:cstheme="minorHAnsi"/>
        </w:rPr>
      </w:pPr>
    </w:p>
    <w:p w14:paraId="45070ABD" w14:textId="77777777" w:rsidR="009673D9" w:rsidRPr="000322E4" w:rsidRDefault="009673D9" w:rsidP="00F414BF">
      <w:pPr>
        <w:spacing w:line="360" w:lineRule="auto"/>
        <w:ind w:firstLine="567"/>
        <w:jc w:val="both"/>
        <w:rPr>
          <w:rFonts w:cstheme="minorHAnsi"/>
        </w:rPr>
      </w:pPr>
      <w:r w:rsidRPr="000322E4">
        <w:rPr>
          <w:rFonts w:cstheme="minorHAnsi"/>
          <w:noProof/>
        </w:rPr>
        <w:drawing>
          <wp:inline distT="0" distB="0" distL="0" distR="0" wp14:anchorId="5D94FAE4" wp14:editId="3769DCF6">
            <wp:extent cx="3985260" cy="1249680"/>
            <wp:effectExtent l="0" t="0" r="0" b="7620"/>
            <wp:docPr id="24" name="Рисунок 24" descr="Изображение выглядит как объект, часы&#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3985260" cy="1249680"/>
                    </a:xfrm>
                    <a:prstGeom prst="rect">
                      <a:avLst/>
                    </a:prstGeom>
                  </pic:spPr>
                </pic:pic>
              </a:graphicData>
            </a:graphic>
          </wp:inline>
        </w:drawing>
      </w:r>
    </w:p>
    <w:p w14:paraId="3A33C283" w14:textId="77777777" w:rsidR="009673D9" w:rsidRPr="000322E4" w:rsidRDefault="009673D9" w:rsidP="00F414BF">
      <w:pPr>
        <w:spacing w:line="360" w:lineRule="auto"/>
        <w:ind w:firstLine="567"/>
        <w:jc w:val="both"/>
        <w:rPr>
          <w:rFonts w:cstheme="minorHAnsi"/>
          <w:lang w:val="en-US"/>
        </w:rPr>
      </w:pPr>
    </w:p>
    <w:p w14:paraId="6EB9EADD" w14:textId="77777777" w:rsidR="009673D9" w:rsidRPr="000322E4" w:rsidRDefault="009673D9" w:rsidP="00F414BF">
      <w:pPr>
        <w:spacing w:line="360" w:lineRule="auto"/>
        <w:ind w:firstLine="567"/>
        <w:jc w:val="both"/>
        <w:rPr>
          <w:rFonts w:cstheme="minorHAnsi"/>
        </w:rPr>
      </w:pPr>
    </w:p>
    <w:p w14:paraId="6D7400DE" w14:textId="77777777" w:rsidR="009673D9" w:rsidRPr="000322E4" w:rsidRDefault="009673D9" w:rsidP="00F414BF">
      <w:pPr>
        <w:spacing w:line="360" w:lineRule="auto"/>
        <w:ind w:firstLine="567"/>
        <w:jc w:val="both"/>
        <w:rPr>
          <w:rFonts w:cstheme="minorHAnsi"/>
        </w:rPr>
      </w:pPr>
      <w:r w:rsidRPr="000322E4">
        <w:rPr>
          <w:rFonts w:cstheme="minorHAnsi"/>
        </w:rPr>
        <w:t>Рисунок 7.2.2</w:t>
      </w:r>
    </w:p>
    <w:p w14:paraId="165223BC" w14:textId="77777777" w:rsidR="009673D9" w:rsidRPr="000322E4" w:rsidRDefault="009673D9" w:rsidP="00F414BF">
      <w:pPr>
        <w:spacing w:line="360" w:lineRule="auto"/>
        <w:ind w:firstLine="567"/>
        <w:jc w:val="both"/>
        <w:rPr>
          <w:rFonts w:cstheme="minorHAnsi"/>
        </w:rPr>
      </w:pPr>
      <w:r w:rsidRPr="000322E4">
        <w:rPr>
          <w:rFonts w:cstheme="minorHAnsi"/>
        </w:rPr>
        <w:lastRenderedPageBreak/>
        <w:t xml:space="preserve">Диагностический алгоритм </w:t>
      </w:r>
      <w:r w:rsidRPr="000322E4">
        <w:rPr>
          <w:rFonts w:cstheme="minorHAnsi"/>
          <w:lang w:val="en-US"/>
        </w:rPr>
        <w:t>Visco</w:t>
      </w:r>
      <w:r w:rsidRPr="000322E4">
        <w:rPr>
          <w:rFonts w:cstheme="minorHAnsi"/>
        </w:rPr>
        <w:t>-</w:t>
      </w:r>
      <w:r w:rsidRPr="000322E4">
        <w:rPr>
          <w:rFonts w:cstheme="minorHAnsi"/>
          <w:lang w:val="en-US"/>
        </w:rPr>
        <w:t>Young</w:t>
      </w:r>
      <w:r w:rsidRPr="000322E4">
        <w:rPr>
          <w:rFonts w:cstheme="minorHAnsi"/>
        </w:rPr>
        <w:t>, 2012</w:t>
      </w:r>
    </w:p>
    <w:p w14:paraId="6831AA1A" w14:textId="77777777" w:rsidR="009673D9" w:rsidRPr="000322E4" w:rsidRDefault="009673D9" w:rsidP="00F414BF">
      <w:pPr>
        <w:spacing w:line="360" w:lineRule="auto"/>
        <w:ind w:firstLine="567"/>
        <w:jc w:val="both"/>
        <w:rPr>
          <w:rFonts w:cstheme="minorHAnsi"/>
          <w:lang w:val="en-US"/>
        </w:rPr>
      </w:pPr>
      <w:r w:rsidRPr="000322E4">
        <w:rPr>
          <w:rFonts w:cstheme="minorHAnsi"/>
          <w:noProof/>
        </w:rPr>
        <w:drawing>
          <wp:inline distT="0" distB="0" distL="0" distR="0" wp14:anchorId="734EA4ED" wp14:editId="2B1A16F4">
            <wp:extent cx="4084320" cy="1577340"/>
            <wp:effectExtent l="0" t="0" r="0" b="3810"/>
            <wp:docPr id="38" name="Рисунок 38" descr="Изображение выглядит как объект, часы&#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4084320" cy="1577340"/>
                    </a:xfrm>
                    <a:prstGeom prst="rect">
                      <a:avLst/>
                    </a:prstGeom>
                  </pic:spPr>
                </pic:pic>
              </a:graphicData>
            </a:graphic>
          </wp:inline>
        </w:drawing>
      </w:r>
    </w:p>
    <w:p w14:paraId="54579A3C" w14:textId="77777777" w:rsidR="009673D9" w:rsidRPr="000322E4" w:rsidRDefault="009673D9" w:rsidP="00F414BF">
      <w:pPr>
        <w:spacing w:line="360" w:lineRule="auto"/>
        <w:ind w:firstLine="567"/>
        <w:jc w:val="both"/>
        <w:rPr>
          <w:rFonts w:cstheme="minorHAnsi"/>
        </w:rPr>
      </w:pPr>
    </w:p>
    <w:p w14:paraId="3FC4D420" w14:textId="77777777" w:rsidR="009673D9" w:rsidRPr="000322E4" w:rsidRDefault="009673D9" w:rsidP="00F414BF">
      <w:pPr>
        <w:spacing w:line="360" w:lineRule="auto"/>
        <w:ind w:firstLine="567"/>
        <w:jc w:val="both"/>
        <w:rPr>
          <w:rFonts w:cstheme="minorHAnsi"/>
        </w:rPr>
      </w:pPr>
      <w:r w:rsidRPr="000322E4">
        <w:rPr>
          <w:rFonts w:cstheme="minorHAnsi"/>
        </w:rPr>
        <w:t xml:space="preserve">Для выявления случаев ДВКЛ с неблагоприятным прогнозом, требующих интенсификации терапии, классификация ВОЗ рекомендует исследовать наличие/отсутствие коэкспрессии </w:t>
      </w:r>
      <w:r w:rsidRPr="000322E4">
        <w:rPr>
          <w:rFonts w:cstheme="minorHAnsi"/>
          <w:lang w:val="en-US"/>
        </w:rPr>
        <w:t>c</w:t>
      </w:r>
      <w:r w:rsidRPr="000322E4">
        <w:rPr>
          <w:rFonts w:cstheme="minorHAnsi"/>
        </w:rPr>
        <w:t>-</w:t>
      </w:r>
      <w:r w:rsidRPr="000322E4">
        <w:rPr>
          <w:rFonts w:cstheme="minorHAnsi"/>
          <w:lang w:val="en-US"/>
        </w:rPr>
        <w:t>Myc</w:t>
      </w:r>
      <w:r w:rsidRPr="000322E4">
        <w:rPr>
          <w:rFonts w:cstheme="minorHAnsi"/>
        </w:rPr>
        <w:t xml:space="preserve"> (учитывается при окрашивании более 40% клеток) и </w:t>
      </w:r>
      <w:r w:rsidRPr="000322E4">
        <w:rPr>
          <w:rFonts w:cstheme="minorHAnsi"/>
          <w:lang w:val="en-US"/>
        </w:rPr>
        <w:t>BCL</w:t>
      </w:r>
      <w:r w:rsidRPr="000322E4">
        <w:rPr>
          <w:rFonts w:cstheme="minorHAnsi"/>
        </w:rPr>
        <w:t>-2 (более 50% клеток).</w:t>
      </w:r>
    </w:p>
    <w:p w14:paraId="7D0AB1C7" w14:textId="77777777" w:rsidR="009673D9" w:rsidRPr="000322E4" w:rsidRDefault="009673D9" w:rsidP="00F414BF">
      <w:pPr>
        <w:spacing w:line="360" w:lineRule="auto"/>
        <w:ind w:firstLine="567"/>
        <w:jc w:val="both"/>
        <w:rPr>
          <w:rFonts w:cstheme="minorHAnsi"/>
        </w:rPr>
      </w:pPr>
      <w:r w:rsidRPr="000322E4">
        <w:rPr>
          <w:rFonts w:cstheme="minorHAnsi"/>
        </w:rPr>
        <w:t xml:space="preserve">В диагностический алгоритм целесообразно включить определение перестройки гена </w:t>
      </w:r>
      <w:r w:rsidRPr="000322E4">
        <w:rPr>
          <w:rFonts w:cstheme="minorHAnsi"/>
          <w:i/>
        </w:rPr>
        <w:t>MYC</w:t>
      </w:r>
      <w:r w:rsidRPr="000322E4">
        <w:rPr>
          <w:rFonts w:cstheme="minorHAnsi"/>
        </w:rPr>
        <w:t xml:space="preserve"> - ДВКЛ с реаранжировкой </w:t>
      </w:r>
      <w:r w:rsidRPr="000322E4">
        <w:rPr>
          <w:rFonts w:cstheme="minorHAnsi"/>
          <w:i/>
          <w:lang w:val="en-US"/>
        </w:rPr>
        <w:t>MYC</w:t>
      </w:r>
      <w:r w:rsidRPr="000322E4">
        <w:rPr>
          <w:rFonts w:cstheme="minorHAnsi"/>
        </w:rPr>
        <w:t xml:space="preserve"> встречается в около 10% случаев. </w:t>
      </w:r>
    </w:p>
    <w:p w14:paraId="1E531D8D" w14:textId="77777777" w:rsidR="009673D9" w:rsidRPr="000322E4" w:rsidRDefault="009673D9" w:rsidP="00F414BF">
      <w:pPr>
        <w:spacing w:line="360" w:lineRule="auto"/>
        <w:ind w:firstLine="567"/>
        <w:jc w:val="both"/>
        <w:rPr>
          <w:rFonts w:cstheme="minorHAnsi"/>
        </w:rPr>
      </w:pPr>
      <w:r w:rsidRPr="000322E4">
        <w:rPr>
          <w:rFonts w:cstheme="minorHAnsi"/>
        </w:rPr>
        <w:t xml:space="preserve">Если ткань опухоли, имеющая структуру ДВКЛ, содержит очаги некроза, участки ангиоцентрического роста, крупные одно-, двуядерные клетки с крупными ядрышками, напоминающие клетки Ходжкина и Рид-Штернберга, признаки плазмоцитоидной дифференцировки, необходимо включить в спектр дифференциальной диагностики </w:t>
      </w:r>
      <w:r w:rsidRPr="000322E4">
        <w:rPr>
          <w:rFonts w:cstheme="minorHAnsi"/>
          <w:lang w:val="en-US"/>
        </w:rPr>
        <w:t>EBV</w:t>
      </w:r>
      <w:r w:rsidRPr="000322E4">
        <w:rPr>
          <w:rFonts w:cstheme="minorHAnsi"/>
        </w:rPr>
        <w:t xml:space="preserve">-позитивную ДВКЛ. Рекомендуется использовать панель маркеров: </w:t>
      </w:r>
      <w:r w:rsidRPr="000322E4">
        <w:rPr>
          <w:rFonts w:cstheme="minorHAnsi"/>
          <w:lang w:val="en-US"/>
        </w:rPr>
        <w:t>CD</w:t>
      </w:r>
      <w:r w:rsidRPr="000322E4">
        <w:rPr>
          <w:rFonts w:cstheme="minorHAnsi"/>
        </w:rPr>
        <w:t xml:space="preserve">20, </w:t>
      </w:r>
      <w:r w:rsidRPr="000322E4">
        <w:rPr>
          <w:rFonts w:cstheme="minorHAnsi"/>
          <w:lang w:val="en-US"/>
        </w:rPr>
        <w:t>CD</w:t>
      </w:r>
      <w:r w:rsidRPr="000322E4">
        <w:rPr>
          <w:rFonts w:cstheme="minorHAnsi"/>
        </w:rPr>
        <w:t xml:space="preserve">30, </w:t>
      </w:r>
      <w:r w:rsidRPr="000322E4">
        <w:rPr>
          <w:rFonts w:cstheme="minorHAnsi"/>
          <w:lang w:val="en-US"/>
        </w:rPr>
        <w:t>EBV</w:t>
      </w:r>
      <w:r w:rsidRPr="000322E4">
        <w:rPr>
          <w:rFonts w:cstheme="minorHAnsi"/>
        </w:rPr>
        <w:t>-</w:t>
      </w:r>
      <w:r w:rsidRPr="000322E4">
        <w:rPr>
          <w:rFonts w:cstheme="minorHAnsi"/>
          <w:lang w:val="en-US"/>
        </w:rPr>
        <w:t>LMP</w:t>
      </w:r>
      <w:r w:rsidRPr="000322E4">
        <w:rPr>
          <w:rFonts w:cstheme="minorHAnsi"/>
        </w:rPr>
        <w:t xml:space="preserve">, однако диагностика этой лимфомы часто невозможна без выявления малых РНК вируса Эпштейна-Барр - </w:t>
      </w:r>
      <w:r w:rsidRPr="000322E4">
        <w:rPr>
          <w:rFonts w:cstheme="minorHAnsi"/>
          <w:lang w:val="en-US"/>
        </w:rPr>
        <w:t>EBER</w:t>
      </w:r>
      <w:r w:rsidRPr="000322E4">
        <w:rPr>
          <w:rFonts w:cstheme="minorHAnsi"/>
        </w:rPr>
        <w:t xml:space="preserve"> (методом гибридизации </w:t>
      </w:r>
      <w:r w:rsidRPr="000322E4">
        <w:rPr>
          <w:rFonts w:cstheme="minorHAnsi"/>
          <w:lang w:val="en-US"/>
        </w:rPr>
        <w:t>in</w:t>
      </w:r>
      <w:r w:rsidRPr="000322E4">
        <w:rPr>
          <w:rFonts w:cstheme="minorHAnsi"/>
        </w:rPr>
        <w:t xml:space="preserve"> </w:t>
      </w:r>
      <w:r w:rsidRPr="000322E4">
        <w:rPr>
          <w:rFonts w:cstheme="minorHAnsi"/>
          <w:lang w:val="en-US"/>
        </w:rPr>
        <w:t>situ</w:t>
      </w:r>
      <w:r w:rsidRPr="000322E4">
        <w:rPr>
          <w:rFonts w:cstheme="minorHAnsi"/>
        </w:rPr>
        <w:t xml:space="preserve">). При </w:t>
      </w:r>
      <w:r w:rsidRPr="000322E4">
        <w:rPr>
          <w:rFonts w:cstheme="minorHAnsi"/>
          <w:lang w:val="en-US"/>
        </w:rPr>
        <w:t>EBV</w:t>
      </w:r>
      <w:r w:rsidRPr="000322E4">
        <w:rPr>
          <w:rFonts w:cstheme="minorHAnsi"/>
        </w:rPr>
        <w:t xml:space="preserve">+ ДВКЛ практически все крупные опухолевые клетки (&gt;90%) мономорфно экспрессируют </w:t>
      </w:r>
      <w:r w:rsidRPr="000322E4">
        <w:rPr>
          <w:rFonts w:cstheme="minorHAnsi"/>
          <w:lang w:val="en-US"/>
        </w:rPr>
        <w:t>EBER</w:t>
      </w:r>
      <w:r w:rsidRPr="000322E4">
        <w:rPr>
          <w:rFonts w:cstheme="minorHAnsi"/>
        </w:rPr>
        <w:t xml:space="preserve"> (</w:t>
      </w:r>
      <w:r w:rsidRPr="000322E4">
        <w:rPr>
          <w:rFonts w:cstheme="minorHAnsi"/>
          <w:lang w:val="en-US"/>
        </w:rPr>
        <w:t>ISH</w:t>
      </w:r>
      <w:r w:rsidRPr="000322E4">
        <w:rPr>
          <w:rFonts w:cstheme="minorHAnsi"/>
        </w:rPr>
        <w:t>).</w:t>
      </w:r>
    </w:p>
    <w:p w14:paraId="75A1603E" w14:textId="77777777" w:rsidR="009673D9" w:rsidRPr="000322E4" w:rsidRDefault="009673D9" w:rsidP="00F414BF">
      <w:pPr>
        <w:spacing w:line="360" w:lineRule="auto"/>
        <w:ind w:firstLine="567"/>
        <w:jc w:val="both"/>
        <w:rPr>
          <w:rFonts w:cstheme="minorHAnsi"/>
        </w:rPr>
      </w:pPr>
      <w:r w:rsidRPr="000322E4">
        <w:rPr>
          <w:rFonts w:cstheme="minorHAnsi"/>
        </w:rPr>
        <w:t>В целом, в спектре ДВКЛ (по классификации ВОЗ 2017 г.) опухолевый пролиферат с морфологией центробластов и/или иммунобластов может соответствовать по крайней мере 13 нозологическим формам лимфом:</w:t>
      </w:r>
    </w:p>
    <w:p w14:paraId="4AF6294D" w14:textId="77777777" w:rsidR="009673D9" w:rsidRPr="000322E4" w:rsidRDefault="009673D9" w:rsidP="00F414BF">
      <w:pPr>
        <w:pStyle w:val="afe"/>
        <w:numPr>
          <w:ilvl w:val="0"/>
          <w:numId w:val="31"/>
        </w:numPr>
        <w:rPr>
          <w:rFonts w:cstheme="minorHAnsi"/>
        </w:rPr>
      </w:pPr>
      <w:r w:rsidRPr="000322E4">
        <w:rPr>
          <w:rFonts w:cstheme="minorHAnsi"/>
        </w:rPr>
        <w:t>ДВКЛ, неуточненная</w:t>
      </w:r>
    </w:p>
    <w:p w14:paraId="609B55B3" w14:textId="77777777" w:rsidR="009673D9" w:rsidRPr="000322E4" w:rsidRDefault="009673D9" w:rsidP="00F414BF">
      <w:pPr>
        <w:pStyle w:val="afe"/>
        <w:numPr>
          <w:ilvl w:val="0"/>
          <w:numId w:val="31"/>
        </w:numPr>
        <w:rPr>
          <w:rFonts w:cstheme="minorHAnsi"/>
        </w:rPr>
      </w:pPr>
      <w:r w:rsidRPr="000322E4">
        <w:rPr>
          <w:rFonts w:cstheme="minorHAnsi"/>
        </w:rPr>
        <w:t>ДВКЛ, богатая Т-клетками и/или гистиоцитами</w:t>
      </w:r>
    </w:p>
    <w:p w14:paraId="42338EFE" w14:textId="77777777" w:rsidR="009673D9" w:rsidRPr="000322E4" w:rsidRDefault="009673D9" w:rsidP="00F414BF">
      <w:pPr>
        <w:pStyle w:val="afe"/>
        <w:numPr>
          <w:ilvl w:val="0"/>
          <w:numId w:val="31"/>
        </w:numPr>
        <w:rPr>
          <w:rFonts w:cstheme="minorHAnsi"/>
        </w:rPr>
      </w:pPr>
      <w:r w:rsidRPr="000322E4">
        <w:rPr>
          <w:rFonts w:cstheme="minorHAnsi"/>
        </w:rPr>
        <w:t xml:space="preserve">Первичная кожная ДВКЛ, </w:t>
      </w:r>
      <w:r w:rsidRPr="000322E4">
        <w:rPr>
          <w:rFonts w:cstheme="minorHAnsi"/>
          <w:lang w:val="en-US"/>
        </w:rPr>
        <w:t>leg</w:t>
      </w:r>
      <w:r w:rsidRPr="000322E4">
        <w:rPr>
          <w:rFonts w:cstheme="minorHAnsi"/>
        </w:rPr>
        <w:t xml:space="preserve"> </w:t>
      </w:r>
      <w:r w:rsidRPr="000322E4">
        <w:rPr>
          <w:rFonts w:cstheme="minorHAnsi"/>
          <w:lang w:val="en-US"/>
        </w:rPr>
        <w:t>type</w:t>
      </w:r>
    </w:p>
    <w:p w14:paraId="4F016D61" w14:textId="77777777" w:rsidR="009673D9" w:rsidRPr="000322E4" w:rsidRDefault="009673D9" w:rsidP="00F414BF">
      <w:pPr>
        <w:pStyle w:val="afe"/>
        <w:numPr>
          <w:ilvl w:val="0"/>
          <w:numId w:val="31"/>
        </w:numPr>
        <w:rPr>
          <w:rFonts w:cstheme="minorHAnsi"/>
        </w:rPr>
      </w:pPr>
      <w:r w:rsidRPr="000322E4">
        <w:rPr>
          <w:rFonts w:cstheme="minorHAnsi"/>
        </w:rPr>
        <w:t>Первичная ДВКЛ ЦНС</w:t>
      </w:r>
    </w:p>
    <w:p w14:paraId="04CE0A8B" w14:textId="77777777" w:rsidR="009673D9" w:rsidRPr="000322E4" w:rsidRDefault="009673D9" w:rsidP="00F414BF">
      <w:pPr>
        <w:pStyle w:val="afe"/>
        <w:numPr>
          <w:ilvl w:val="0"/>
          <w:numId w:val="31"/>
        </w:numPr>
        <w:rPr>
          <w:rFonts w:cstheme="minorHAnsi"/>
        </w:rPr>
      </w:pPr>
      <w:r w:rsidRPr="000322E4">
        <w:rPr>
          <w:rFonts w:cstheme="minorHAnsi"/>
        </w:rPr>
        <w:t>Фибрин-ассоциированная ДВКЛ</w:t>
      </w:r>
    </w:p>
    <w:p w14:paraId="6F7723FA" w14:textId="77777777" w:rsidR="009673D9" w:rsidRPr="000322E4" w:rsidRDefault="009673D9" w:rsidP="00F414BF">
      <w:pPr>
        <w:pStyle w:val="afe"/>
        <w:numPr>
          <w:ilvl w:val="0"/>
          <w:numId w:val="31"/>
        </w:numPr>
        <w:rPr>
          <w:rFonts w:cstheme="minorHAnsi"/>
        </w:rPr>
      </w:pPr>
      <w:r w:rsidRPr="000322E4">
        <w:rPr>
          <w:rFonts w:cstheme="minorHAnsi"/>
        </w:rPr>
        <w:t>ДВКЛ, ассоциированная с хроническим воспалением</w:t>
      </w:r>
    </w:p>
    <w:p w14:paraId="48AC117A" w14:textId="77777777" w:rsidR="009673D9" w:rsidRPr="000322E4" w:rsidRDefault="009673D9" w:rsidP="00F414BF">
      <w:pPr>
        <w:pStyle w:val="afe"/>
        <w:numPr>
          <w:ilvl w:val="0"/>
          <w:numId w:val="31"/>
        </w:numPr>
        <w:rPr>
          <w:rFonts w:cstheme="minorHAnsi"/>
        </w:rPr>
      </w:pPr>
      <w:r w:rsidRPr="000322E4">
        <w:rPr>
          <w:rFonts w:cstheme="minorHAnsi"/>
        </w:rPr>
        <w:t xml:space="preserve">ДВКЛ, </w:t>
      </w:r>
      <w:r w:rsidRPr="000322E4">
        <w:rPr>
          <w:rFonts w:cstheme="minorHAnsi"/>
          <w:lang w:val="en-US"/>
        </w:rPr>
        <w:t>EBV</w:t>
      </w:r>
      <w:r w:rsidRPr="000322E4">
        <w:rPr>
          <w:rFonts w:cstheme="minorHAnsi"/>
        </w:rPr>
        <w:t>+, неуточненная</w:t>
      </w:r>
    </w:p>
    <w:p w14:paraId="0C273F47" w14:textId="77777777" w:rsidR="009673D9" w:rsidRPr="000322E4" w:rsidRDefault="009673D9" w:rsidP="00F414BF">
      <w:pPr>
        <w:pStyle w:val="afe"/>
        <w:numPr>
          <w:ilvl w:val="0"/>
          <w:numId w:val="31"/>
        </w:numPr>
        <w:rPr>
          <w:rFonts w:cstheme="minorHAnsi"/>
        </w:rPr>
      </w:pPr>
      <w:r w:rsidRPr="000322E4">
        <w:rPr>
          <w:rFonts w:cstheme="minorHAnsi"/>
        </w:rPr>
        <w:t>Плазмобластная лимфома</w:t>
      </w:r>
    </w:p>
    <w:p w14:paraId="58B344FB" w14:textId="77777777" w:rsidR="009673D9" w:rsidRPr="000322E4" w:rsidRDefault="009673D9" w:rsidP="00F414BF">
      <w:pPr>
        <w:pStyle w:val="afe"/>
        <w:numPr>
          <w:ilvl w:val="0"/>
          <w:numId w:val="31"/>
        </w:numPr>
        <w:rPr>
          <w:rFonts w:cstheme="minorHAnsi"/>
        </w:rPr>
      </w:pPr>
      <w:r w:rsidRPr="000322E4">
        <w:rPr>
          <w:rFonts w:cstheme="minorHAnsi"/>
        </w:rPr>
        <w:lastRenderedPageBreak/>
        <w:t xml:space="preserve">В-клеточная крупноклеточная лимфома, </w:t>
      </w:r>
      <w:r w:rsidRPr="000322E4">
        <w:rPr>
          <w:rFonts w:cstheme="minorHAnsi"/>
          <w:lang w:val="en-US"/>
        </w:rPr>
        <w:t>ALK</w:t>
      </w:r>
      <w:r w:rsidRPr="000322E4">
        <w:rPr>
          <w:rFonts w:cstheme="minorHAnsi"/>
        </w:rPr>
        <w:t>+</w:t>
      </w:r>
    </w:p>
    <w:p w14:paraId="706A483E" w14:textId="77777777" w:rsidR="009673D9" w:rsidRPr="000322E4" w:rsidRDefault="009673D9" w:rsidP="00F414BF">
      <w:pPr>
        <w:pStyle w:val="afe"/>
        <w:numPr>
          <w:ilvl w:val="0"/>
          <w:numId w:val="31"/>
        </w:numPr>
        <w:rPr>
          <w:rFonts w:cstheme="minorHAnsi"/>
        </w:rPr>
      </w:pPr>
      <w:r w:rsidRPr="000322E4">
        <w:rPr>
          <w:rFonts w:cstheme="minorHAnsi"/>
        </w:rPr>
        <w:t>Внутрисосудистая В-клеточная крупноклеточная лимфома</w:t>
      </w:r>
    </w:p>
    <w:p w14:paraId="3862646A" w14:textId="77777777" w:rsidR="009673D9" w:rsidRPr="000322E4" w:rsidRDefault="009673D9" w:rsidP="00F414BF">
      <w:pPr>
        <w:pStyle w:val="afe"/>
        <w:numPr>
          <w:ilvl w:val="0"/>
          <w:numId w:val="31"/>
        </w:numPr>
        <w:rPr>
          <w:rFonts w:cstheme="minorHAnsi"/>
        </w:rPr>
      </w:pPr>
      <w:r w:rsidRPr="000322E4">
        <w:rPr>
          <w:rFonts w:cstheme="minorHAnsi"/>
        </w:rPr>
        <w:t>Первичная медиастинальная (тимическая) В-клеточная крупноклеточная лимфома</w:t>
      </w:r>
    </w:p>
    <w:p w14:paraId="31B313F2" w14:textId="77777777" w:rsidR="009673D9" w:rsidRPr="000322E4" w:rsidRDefault="009673D9" w:rsidP="00F414BF">
      <w:pPr>
        <w:pStyle w:val="afe"/>
        <w:numPr>
          <w:ilvl w:val="0"/>
          <w:numId w:val="31"/>
        </w:numPr>
        <w:rPr>
          <w:rFonts w:cstheme="minorHAnsi"/>
        </w:rPr>
      </w:pPr>
      <w:r w:rsidRPr="000322E4">
        <w:rPr>
          <w:rFonts w:cstheme="minorHAnsi"/>
        </w:rPr>
        <w:t xml:space="preserve">ДВКЛ, </w:t>
      </w:r>
      <w:r w:rsidRPr="000322E4">
        <w:rPr>
          <w:rFonts w:cstheme="minorHAnsi"/>
          <w:lang w:val="en-US"/>
        </w:rPr>
        <w:t>HHV</w:t>
      </w:r>
      <w:r w:rsidRPr="000322E4">
        <w:rPr>
          <w:rFonts w:cstheme="minorHAnsi"/>
        </w:rPr>
        <w:t>+, неуточненная</w:t>
      </w:r>
    </w:p>
    <w:p w14:paraId="3E10F1CC" w14:textId="77777777" w:rsidR="009673D9" w:rsidRPr="000322E4" w:rsidRDefault="009673D9" w:rsidP="00F414BF">
      <w:pPr>
        <w:pStyle w:val="afe"/>
        <w:numPr>
          <w:ilvl w:val="0"/>
          <w:numId w:val="31"/>
        </w:numPr>
        <w:rPr>
          <w:rFonts w:cstheme="minorHAnsi"/>
        </w:rPr>
      </w:pPr>
      <w:r w:rsidRPr="000322E4">
        <w:rPr>
          <w:rFonts w:cstheme="minorHAnsi"/>
        </w:rPr>
        <w:t xml:space="preserve">В-клеточная лимфома высокой степени злокачественности с реаранжировками </w:t>
      </w:r>
      <w:r w:rsidRPr="000322E4">
        <w:rPr>
          <w:rFonts w:cstheme="minorHAnsi"/>
          <w:i/>
          <w:lang w:val="en-US"/>
        </w:rPr>
        <w:t>MYC</w:t>
      </w:r>
      <w:r w:rsidRPr="000322E4">
        <w:rPr>
          <w:rFonts w:cstheme="minorHAnsi"/>
        </w:rPr>
        <w:t xml:space="preserve"> и </w:t>
      </w:r>
      <w:r w:rsidRPr="000322E4">
        <w:rPr>
          <w:rFonts w:cstheme="minorHAnsi"/>
          <w:i/>
          <w:lang w:val="en-US"/>
        </w:rPr>
        <w:t>BCL</w:t>
      </w:r>
      <w:r w:rsidRPr="000322E4">
        <w:rPr>
          <w:rFonts w:cstheme="minorHAnsi"/>
          <w:i/>
        </w:rPr>
        <w:t xml:space="preserve">-2 </w:t>
      </w:r>
      <w:r w:rsidRPr="000322E4">
        <w:rPr>
          <w:rFonts w:cstheme="minorHAnsi"/>
        </w:rPr>
        <w:t xml:space="preserve"> и/или </w:t>
      </w:r>
      <w:r w:rsidRPr="000322E4">
        <w:rPr>
          <w:rFonts w:cstheme="minorHAnsi"/>
          <w:i/>
          <w:lang w:val="en-US"/>
        </w:rPr>
        <w:t>BCL</w:t>
      </w:r>
      <w:r w:rsidRPr="000322E4">
        <w:rPr>
          <w:rFonts w:cstheme="minorHAnsi"/>
          <w:i/>
        </w:rPr>
        <w:t>-6.</w:t>
      </w:r>
    </w:p>
    <w:p w14:paraId="2B18F282" w14:textId="77777777" w:rsidR="009673D9" w:rsidRPr="000322E4" w:rsidRDefault="009673D9" w:rsidP="00F414BF">
      <w:pPr>
        <w:spacing w:line="360" w:lineRule="auto"/>
        <w:ind w:firstLine="567"/>
        <w:jc w:val="both"/>
        <w:rPr>
          <w:rFonts w:cstheme="minorHAnsi"/>
        </w:rPr>
      </w:pPr>
      <w:r w:rsidRPr="000322E4">
        <w:rPr>
          <w:rFonts w:cstheme="minorHAnsi"/>
        </w:rPr>
        <w:t xml:space="preserve">Нозологическая форма устанавливается с учетом клинико-анамнестических данных, локализации опухолевого поражения, на основе детального морфологического, расширенного ИГХ-исследования, с использованием в ряде случаев молекулярных тестов. </w:t>
      </w:r>
    </w:p>
    <w:p w14:paraId="771C1F11" w14:textId="77777777" w:rsidR="009B70C4" w:rsidRPr="000322E4" w:rsidRDefault="009B70C4" w:rsidP="00F414BF">
      <w:pPr>
        <w:spacing w:line="360" w:lineRule="auto"/>
        <w:ind w:firstLine="567"/>
        <w:jc w:val="both"/>
        <w:rPr>
          <w:rFonts w:eastAsia="BalticaC" w:cstheme="minorHAnsi"/>
        </w:rPr>
      </w:pPr>
      <w:r w:rsidRPr="000322E4">
        <w:rPr>
          <w:rFonts w:eastAsia="BalticaC" w:cstheme="minorHAnsi"/>
        </w:rPr>
        <w:t xml:space="preserve">Лимфома Беркитта (ЛБ) представляет собой В-клеточную лимфому с диффузным ростом мономорфных клеток среднего размера с округлыми ядрами, высоким ядерно-цитоплазматическим соотношением, выраженными морфологическими признаками апоптоза. Типична картина «звездного неба» (макрофаги с фрагментами апоптозных телец в цитоплазме). </w:t>
      </w:r>
    </w:p>
    <w:p w14:paraId="0CE0D813" w14:textId="77777777" w:rsidR="009B70C4" w:rsidRPr="000322E4" w:rsidRDefault="009B70C4" w:rsidP="00F414BF">
      <w:pPr>
        <w:spacing w:line="360" w:lineRule="auto"/>
        <w:ind w:firstLine="567"/>
        <w:jc w:val="both"/>
        <w:rPr>
          <w:rFonts w:eastAsia="BalticaC" w:cstheme="minorHAnsi"/>
        </w:rPr>
      </w:pPr>
      <w:r w:rsidRPr="000322E4">
        <w:rPr>
          <w:rFonts w:eastAsia="BalticaC" w:cstheme="minorHAnsi"/>
        </w:rPr>
        <w:t xml:space="preserve">Опухоль имеет иммунофенотип CD20+, CD10+, CD38+, BCL-6+, BCL-2-, CD44-, TdT-, CD3-, </w:t>
      </w:r>
      <w:r w:rsidRPr="000322E4">
        <w:rPr>
          <w:rFonts w:eastAsia="BalticaC" w:cstheme="minorHAnsi"/>
          <w:lang w:val="en-US"/>
        </w:rPr>
        <w:t>EBER</w:t>
      </w:r>
      <w:r w:rsidRPr="000322E4">
        <w:rPr>
          <w:rFonts w:eastAsia="BalticaC" w:cstheme="minorHAnsi"/>
        </w:rPr>
        <w:t xml:space="preserve"> (</w:t>
      </w:r>
      <w:r w:rsidRPr="000322E4">
        <w:rPr>
          <w:rFonts w:eastAsia="BalticaC" w:cstheme="minorHAnsi"/>
          <w:lang w:val="en-US"/>
        </w:rPr>
        <w:t>ISH</w:t>
      </w:r>
      <w:r w:rsidRPr="000322E4">
        <w:rPr>
          <w:rFonts w:eastAsia="BalticaC" w:cstheme="minorHAnsi"/>
        </w:rPr>
        <w:t xml:space="preserve">)-/+. Индекс пролиферативной активности опухолевых клеток (по Ki-67) приближается к 100%. В редких случаях часть опухолевых клеток слабо экспрессирует </w:t>
      </w:r>
      <w:r w:rsidRPr="000322E4">
        <w:rPr>
          <w:rFonts w:eastAsia="BalticaC" w:cstheme="minorHAnsi"/>
          <w:lang w:val="en-US"/>
        </w:rPr>
        <w:t>BCL</w:t>
      </w:r>
      <w:r w:rsidRPr="000322E4">
        <w:rPr>
          <w:rFonts w:eastAsia="BalticaC" w:cstheme="minorHAnsi"/>
        </w:rPr>
        <w:t xml:space="preserve">-2 (цитоплазматическая реакция). Экспрессия </w:t>
      </w:r>
      <w:r w:rsidRPr="000322E4">
        <w:rPr>
          <w:rFonts w:eastAsia="BalticaC" w:cstheme="minorHAnsi"/>
          <w:lang w:val="en-US"/>
        </w:rPr>
        <w:t>MUM</w:t>
      </w:r>
      <w:r w:rsidRPr="000322E4">
        <w:rPr>
          <w:rFonts w:eastAsia="BalticaC" w:cstheme="minorHAnsi"/>
        </w:rPr>
        <w:t xml:space="preserve">.1 (ядерная реакция) часто ассоциирована с наличием инфекции </w:t>
      </w:r>
      <w:r w:rsidRPr="000322E4">
        <w:rPr>
          <w:rFonts w:eastAsia="BalticaC" w:cstheme="minorHAnsi"/>
          <w:lang w:val="en-US"/>
        </w:rPr>
        <w:t>HIV</w:t>
      </w:r>
      <w:r w:rsidRPr="000322E4">
        <w:rPr>
          <w:rFonts w:eastAsia="BalticaC" w:cstheme="minorHAnsi"/>
        </w:rPr>
        <w:t xml:space="preserve"> и </w:t>
      </w:r>
      <w:r w:rsidRPr="000322E4">
        <w:rPr>
          <w:rFonts w:eastAsia="BalticaC" w:cstheme="minorHAnsi"/>
          <w:lang w:val="en-US"/>
        </w:rPr>
        <w:t>EBV</w:t>
      </w:r>
      <w:r w:rsidRPr="000322E4">
        <w:rPr>
          <w:rFonts w:eastAsia="BalticaC" w:cstheme="minorHAnsi"/>
        </w:rPr>
        <w:t>.</w:t>
      </w:r>
    </w:p>
    <w:p w14:paraId="28CDFEFC" w14:textId="77777777" w:rsidR="009B70C4" w:rsidRPr="000322E4" w:rsidRDefault="009B70C4" w:rsidP="00F414BF">
      <w:pPr>
        <w:spacing w:line="360" w:lineRule="auto"/>
        <w:ind w:firstLine="567"/>
        <w:jc w:val="both"/>
        <w:rPr>
          <w:rFonts w:eastAsia="BalticaC" w:cstheme="minorHAnsi"/>
        </w:rPr>
      </w:pPr>
      <w:r w:rsidRPr="000322E4">
        <w:rPr>
          <w:rFonts w:eastAsia="BalticaC" w:cstheme="minorHAnsi"/>
        </w:rPr>
        <w:t xml:space="preserve">Диагноз ЛБ требует обязательного проведения цитогенетического/FISH исследования для выявления транслокации c-myc/IgH, и исключения реаранжировок генов </w:t>
      </w:r>
      <w:r w:rsidRPr="000322E4">
        <w:rPr>
          <w:rFonts w:eastAsia="BalticaC" w:cstheme="minorHAnsi"/>
          <w:i/>
        </w:rPr>
        <w:t>BCL-2, BCL-6</w:t>
      </w:r>
      <w:r w:rsidRPr="000322E4">
        <w:rPr>
          <w:rFonts w:eastAsia="BalticaC" w:cstheme="minorHAnsi"/>
        </w:rPr>
        <w:t>.</w:t>
      </w:r>
    </w:p>
    <w:p w14:paraId="01BBD83A" w14:textId="77777777" w:rsidR="009B70C4" w:rsidRPr="000322E4" w:rsidRDefault="009B70C4" w:rsidP="00F414BF">
      <w:pPr>
        <w:spacing w:line="360" w:lineRule="auto"/>
        <w:ind w:firstLine="567"/>
        <w:jc w:val="both"/>
        <w:rPr>
          <w:rFonts w:eastAsia="BalticaC" w:cstheme="minorHAnsi"/>
        </w:rPr>
      </w:pPr>
      <w:r w:rsidRPr="000322E4">
        <w:rPr>
          <w:rFonts w:eastAsia="BalticaC" w:cstheme="minorHAnsi"/>
        </w:rPr>
        <w:t xml:space="preserve">Признаком, свидетельствующим о высокой вероятности реаранжировки гена </w:t>
      </w:r>
      <w:r w:rsidRPr="000322E4">
        <w:rPr>
          <w:rFonts w:eastAsia="BalticaC" w:cstheme="minorHAnsi"/>
          <w:i/>
        </w:rPr>
        <w:t>с-</w:t>
      </w:r>
      <w:r w:rsidRPr="000322E4">
        <w:rPr>
          <w:rFonts w:eastAsia="BalticaC" w:cstheme="minorHAnsi"/>
          <w:i/>
          <w:lang w:val="en-US"/>
        </w:rPr>
        <w:t>MYC</w:t>
      </w:r>
      <w:r w:rsidRPr="000322E4">
        <w:rPr>
          <w:rFonts w:eastAsia="BalticaC" w:cstheme="minorHAnsi"/>
        </w:rPr>
        <w:t xml:space="preserve">, является экспрессия белка </w:t>
      </w:r>
      <w:r w:rsidRPr="000322E4">
        <w:rPr>
          <w:rFonts w:eastAsia="BalticaC" w:cstheme="minorHAnsi"/>
          <w:lang w:val="en-US"/>
        </w:rPr>
        <w:t>c</w:t>
      </w:r>
      <w:r w:rsidRPr="000322E4">
        <w:rPr>
          <w:rFonts w:eastAsia="BalticaC" w:cstheme="minorHAnsi"/>
        </w:rPr>
        <w:t>-</w:t>
      </w:r>
      <w:r w:rsidRPr="000322E4">
        <w:rPr>
          <w:rFonts w:eastAsia="BalticaC" w:cstheme="minorHAnsi"/>
          <w:lang w:val="en-US"/>
        </w:rPr>
        <w:t>MYC</w:t>
      </w:r>
      <w:r w:rsidRPr="000322E4">
        <w:rPr>
          <w:rFonts w:eastAsia="BalticaC" w:cstheme="minorHAnsi"/>
        </w:rPr>
        <w:t xml:space="preserve"> (клон </w:t>
      </w:r>
      <w:r w:rsidRPr="000322E4">
        <w:rPr>
          <w:rFonts w:eastAsia="BalticaC" w:cstheme="minorHAnsi"/>
          <w:lang w:val="en-US"/>
        </w:rPr>
        <w:t>Y</w:t>
      </w:r>
      <w:r w:rsidRPr="000322E4">
        <w:rPr>
          <w:rFonts w:eastAsia="BalticaC" w:cstheme="minorHAnsi"/>
        </w:rPr>
        <w:t>69/</w:t>
      </w:r>
      <w:r w:rsidRPr="000322E4">
        <w:rPr>
          <w:rFonts w:eastAsia="BalticaC" w:cstheme="minorHAnsi"/>
          <w:lang w:val="en-US"/>
        </w:rPr>
        <w:t>EP</w:t>
      </w:r>
      <w:r w:rsidRPr="000322E4">
        <w:rPr>
          <w:rFonts w:eastAsia="BalticaC" w:cstheme="minorHAnsi"/>
        </w:rPr>
        <w:t>121) в 100% опухолевых клеток с интенсивным ядерным окрашиванием.</w:t>
      </w:r>
    </w:p>
    <w:p w14:paraId="1E62D1E9" w14:textId="77777777" w:rsidR="009B70C4" w:rsidRPr="000322E4" w:rsidRDefault="009B70C4" w:rsidP="00F414BF">
      <w:pPr>
        <w:spacing w:line="360" w:lineRule="auto"/>
        <w:jc w:val="both"/>
        <w:rPr>
          <w:rFonts w:cstheme="minorHAnsi"/>
        </w:rPr>
      </w:pPr>
      <w:r w:rsidRPr="000322E4">
        <w:rPr>
          <w:rFonts w:cstheme="minorHAnsi"/>
        </w:rPr>
        <w:t>В-клеточная лимфома высокой степени злокачественности встречается в виде</w:t>
      </w:r>
    </w:p>
    <w:p w14:paraId="501B8AE6" w14:textId="77777777" w:rsidR="009B70C4" w:rsidRPr="000322E4" w:rsidRDefault="009B70C4" w:rsidP="00A265AD">
      <w:pPr>
        <w:pStyle w:val="afe"/>
        <w:numPr>
          <w:ilvl w:val="0"/>
          <w:numId w:val="56"/>
        </w:numPr>
        <w:rPr>
          <w:rFonts w:cstheme="minorHAnsi"/>
        </w:rPr>
      </w:pPr>
      <w:r w:rsidRPr="000322E4">
        <w:rPr>
          <w:rFonts w:cstheme="minorHAnsi"/>
        </w:rPr>
        <w:t xml:space="preserve">В-клеточной лимфомы высокой степени злокачественности с реаранжировками </w:t>
      </w:r>
      <w:r w:rsidRPr="000322E4">
        <w:rPr>
          <w:rFonts w:cstheme="minorHAnsi"/>
          <w:i/>
          <w:lang w:val="en-US"/>
        </w:rPr>
        <w:t>MYC</w:t>
      </w:r>
      <w:r w:rsidRPr="000322E4">
        <w:rPr>
          <w:rFonts w:cstheme="minorHAnsi"/>
        </w:rPr>
        <w:t xml:space="preserve">, </w:t>
      </w:r>
      <w:r w:rsidRPr="000322E4">
        <w:rPr>
          <w:rFonts w:cstheme="minorHAnsi"/>
          <w:i/>
          <w:lang w:val="en-US"/>
        </w:rPr>
        <w:t>BCL</w:t>
      </w:r>
      <w:r w:rsidRPr="000322E4">
        <w:rPr>
          <w:rFonts w:cstheme="minorHAnsi"/>
          <w:i/>
        </w:rPr>
        <w:t>-2</w:t>
      </w:r>
      <w:r w:rsidRPr="000322E4">
        <w:rPr>
          <w:rFonts w:cstheme="minorHAnsi"/>
        </w:rPr>
        <w:t xml:space="preserve"> и/или </w:t>
      </w:r>
      <w:r w:rsidRPr="000322E4">
        <w:rPr>
          <w:rFonts w:cstheme="minorHAnsi"/>
          <w:i/>
          <w:lang w:val="en-US"/>
        </w:rPr>
        <w:t>BCL</w:t>
      </w:r>
      <w:r w:rsidRPr="000322E4">
        <w:rPr>
          <w:rFonts w:cstheme="minorHAnsi"/>
          <w:i/>
        </w:rPr>
        <w:t xml:space="preserve">-6 </w:t>
      </w:r>
    </w:p>
    <w:p w14:paraId="4BAC6D53" w14:textId="77777777" w:rsidR="009B70C4" w:rsidRPr="000322E4" w:rsidRDefault="009B70C4" w:rsidP="00A265AD">
      <w:pPr>
        <w:pStyle w:val="afe"/>
        <w:numPr>
          <w:ilvl w:val="0"/>
          <w:numId w:val="56"/>
        </w:numPr>
        <w:rPr>
          <w:rFonts w:cstheme="minorHAnsi"/>
        </w:rPr>
      </w:pPr>
      <w:r w:rsidRPr="000322E4">
        <w:rPr>
          <w:rFonts w:cstheme="minorHAnsi"/>
        </w:rPr>
        <w:t xml:space="preserve">В-клеточной лимфомы высокой степени злокачественности, неуточненной </w:t>
      </w:r>
    </w:p>
    <w:p w14:paraId="30EAE5D7" w14:textId="77777777" w:rsidR="009B70C4" w:rsidRPr="000322E4" w:rsidRDefault="009B70C4" w:rsidP="00F414BF">
      <w:pPr>
        <w:spacing w:line="360" w:lineRule="auto"/>
        <w:jc w:val="both"/>
        <w:rPr>
          <w:rFonts w:cstheme="minorHAnsi"/>
        </w:rPr>
      </w:pPr>
      <w:r w:rsidRPr="000322E4">
        <w:rPr>
          <w:rFonts w:cstheme="minorHAnsi"/>
        </w:rPr>
        <w:t xml:space="preserve">В-клеточная лимфома высокой степени злокачественности в классификации ВОЗ 2017 г. заменила «В-клеточную лимфому, неклассифицируемую, занимающую промежуточное положение между диффузной крупноклеточной В-клеточной лимфомой и лимфомой Беркитта». </w:t>
      </w:r>
    </w:p>
    <w:p w14:paraId="3E803708" w14:textId="77777777" w:rsidR="009B70C4" w:rsidRPr="000322E4" w:rsidRDefault="009B70C4" w:rsidP="00F414BF">
      <w:pPr>
        <w:spacing w:line="360" w:lineRule="auto"/>
        <w:jc w:val="both"/>
        <w:rPr>
          <w:rFonts w:cstheme="minorHAnsi"/>
          <w:i/>
        </w:rPr>
      </w:pPr>
      <w:r w:rsidRPr="000322E4">
        <w:rPr>
          <w:rFonts w:cstheme="minorHAnsi"/>
        </w:rPr>
        <w:lastRenderedPageBreak/>
        <w:t xml:space="preserve">В отличие от классификации ВОЗ 2008 г., из этой группы исключены фолликулярная лимфома с трансформацией в В-клеточную лимфому высокой степени злокачественности с реаранжировками </w:t>
      </w:r>
      <w:r w:rsidRPr="000322E4">
        <w:rPr>
          <w:rFonts w:cstheme="minorHAnsi"/>
          <w:i/>
          <w:lang w:val="en-US"/>
        </w:rPr>
        <w:t>MYC</w:t>
      </w:r>
      <w:r w:rsidRPr="000322E4">
        <w:rPr>
          <w:rFonts w:cstheme="minorHAnsi"/>
          <w:i/>
        </w:rPr>
        <w:t xml:space="preserve">, </w:t>
      </w:r>
      <w:r w:rsidRPr="000322E4">
        <w:rPr>
          <w:rFonts w:cstheme="minorHAnsi"/>
          <w:i/>
          <w:lang w:val="en-US"/>
        </w:rPr>
        <w:t>BCL</w:t>
      </w:r>
      <w:r w:rsidRPr="000322E4">
        <w:rPr>
          <w:rFonts w:cstheme="minorHAnsi"/>
          <w:i/>
        </w:rPr>
        <w:t>-2</w:t>
      </w:r>
      <w:r w:rsidRPr="000322E4">
        <w:rPr>
          <w:rFonts w:cstheme="minorHAnsi"/>
        </w:rPr>
        <w:t xml:space="preserve">, а также лимфобластная лимфома, </w:t>
      </w:r>
      <w:r w:rsidRPr="000322E4">
        <w:rPr>
          <w:rFonts w:cstheme="minorHAnsi"/>
          <w:lang w:val="en-US"/>
        </w:rPr>
        <w:t>TdT</w:t>
      </w:r>
      <w:r w:rsidRPr="000322E4">
        <w:rPr>
          <w:rFonts w:cstheme="minorHAnsi"/>
        </w:rPr>
        <w:t xml:space="preserve">+ с реаранжировками </w:t>
      </w:r>
      <w:r w:rsidRPr="000322E4">
        <w:rPr>
          <w:rFonts w:cstheme="minorHAnsi"/>
          <w:i/>
          <w:lang w:val="en-US"/>
        </w:rPr>
        <w:t>MYC</w:t>
      </w:r>
      <w:r w:rsidRPr="000322E4">
        <w:rPr>
          <w:rFonts w:cstheme="minorHAnsi"/>
          <w:i/>
        </w:rPr>
        <w:t>,</w:t>
      </w:r>
      <w:r w:rsidRPr="000322E4">
        <w:rPr>
          <w:rFonts w:cstheme="minorHAnsi"/>
        </w:rPr>
        <w:t xml:space="preserve"> </w:t>
      </w:r>
      <w:r w:rsidRPr="000322E4">
        <w:rPr>
          <w:rFonts w:cstheme="minorHAnsi"/>
          <w:i/>
          <w:lang w:val="en-US"/>
        </w:rPr>
        <w:t>BCL</w:t>
      </w:r>
      <w:r w:rsidRPr="000322E4">
        <w:rPr>
          <w:rFonts w:cstheme="minorHAnsi"/>
          <w:i/>
        </w:rPr>
        <w:t>-2.</w:t>
      </w:r>
    </w:p>
    <w:p w14:paraId="57CC0426" w14:textId="77777777" w:rsidR="009B70C4" w:rsidRPr="000322E4" w:rsidRDefault="009B70C4" w:rsidP="00F414BF">
      <w:pPr>
        <w:spacing w:line="360" w:lineRule="auto"/>
        <w:ind w:firstLine="360"/>
        <w:jc w:val="both"/>
        <w:rPr>
          <w:rFonts w:cstheme="minorHAnsi"/>
        </w:rPr>
      </w:pPr>
      <w:r w:rsidRPr="000322E4">
        <w:rPr>
          <w:rFonts w:cstheme="minorHAnsi"/>
        </w:rPr>
        <w:t xml:space="preserve">Диагностика В-клеточной лимфомы высокой степени злокачественности с реаранжировками </w:t>
      </w:r>
      <w:r w:rsidRPr="000322E4">
        <w:rPr>
          <w:rFonts w:cstheme="minorHAnsi"/>
          <w:i/>
          <w:lang w:val="en-US"/>
        </w:rPr>
        <w:t>MYC</w:t>
      </w:r>
      <w:r w:rsidRPr="000322E4">
        <w:rPr>
          <w:rFonts w:cstheme="minorHAnsi"/>
        </w:rPr>
        <w:t xml:space="preserve">, </w:t>
      </w:r>
      <w:r w:rsidRPr="000322E4">
        <w:rPr>
          <w:rFonts w:cstheme="minorHAnsi"/>
          <w:i/>
          <w:lang w:val="en-US"/>
        </w:rPr>
        <w:t>BCL</w:t>
      </w:r>
      <w:r w:rsidRPr="000322E4">
        <w:rPr>
          <w:rFonts w:cstheme="minorHAnsi"/>
          <w:i/>
        </w:rPr>
        <w:t>-2</w:t>
      </w:r>
      <w:r w:rsidRPr="000322E4">
        <w:rPr>
          <w:rFonts w:cstheme="minorHAnsi"/>
        </w:rPr>
        <w:t xml:space="preserve"> и/или </w:t>
      </w:r>
      <w:r w:rsidRPr="000322E4">
        <w:rPr>
          <w:rFonts w:cstheme="minorHAnsi"/>
          <w:i/>
          <w:lang w:val="en-US"/>
        </w:rPr>
        <w:t>BCL</w:t>
      </w:r>
      <w:r w:rsidRPr="000322E4">
        <w:rPr>
          <w:rFonts w:cstheme="minorHAnsi"/>
          <w:i/>
        </w:rPr>
        <w:t>-6</w:t>
      </w:r>
      <w:r w:rsidRPr="000322E4">
        <w:rPr>
          <w:rFonts w:cstheme="minorHAnsi"/>
        </w:rPr>
        <w:t xml:space="preserve"> невозможна без выявления указанных реаранжировок. Необходимо учитывать, что изолированная реаранжировка </w:t>
      </w:r>
      <w:r w:rsidRPr="000322E4">
        <w:rPr>
          <w:rFonts w:cstheme="minorHAnsi"/>
          <w:i/>
        </w:rPr>
        <w:t xml:space="preserve">MYC </w:t>
      </w:r>
      <w:r w:rsidRPr="000322E4">
        <w:rPr>
          <w:rFonts w:cstheme="minorHAnsi"/>
        </w:rPr>
        <w:t>является одним из диагностических признаков лимфомы Беркитта, а также может встречаться при других лимфомах: диффузной В-клеточной крупноклеточной лимфоме (5-10% наблюдений), плазмобластной лимфоме (примерно в 50%), В-лимфобластной лимфоме TdT+.</w:t>
      </w:r>
    </w:p>
    <w:p w14:paraId="48C80244" w14:textId="77777777" w:rsidR="009B70C4" w:rsidRPr="000322E4" w:rsidRDefault="009B70C4" w:rsidP="00F414BF">
      <w:pPr>
        <w:spacing w:line="360" w:lineRule="auto"/>
        <w:ind w:firstLine="360"/>
        <w:jc w:val="both"/>
        <w:rPr>
          <w:rFonts w:cstheme="minorHAnsi"/>
        </w:rPr>
      </w:pPr>
      <w:r w:rsidRPr="000322E4">
        <w:rPr>
          <w:rFonts w:cstheme="minorHAnsi"/>
        </w:rPr>
        <w:t xml:space="preserve">Субстрат этой опухоли может напоминать ЛБ, иметь черты ЛБ и ДВКЛ, может иметь бластоидный вид, напоминая бластоидный вариант лимфомы из клеток мантии или лимфобластную лимфому, а также соответствовать диффузной В-клеточной крупноклеточной лимфоме. Диагностические иммунофенотипические признаки отсутствуют. </w:t>
      </w:r>
    </w:p>
    <w:p w14:paraId="3C0BCA16" w14:textId="77777777" w:rsidR="009B70C4" w:rsidRPr="000322E4" w:rsidRDefault="009B70C4" w:rsidP="00F414BF">
      <w:pPr>
        <w:spacing w:line="360" w:lineRule="auto"/>
        <w:ind w:firstLine="360"/>
        <w:jc w:val="both"/>
        <w:rPr>
          <w:rFonts w:cstheme="minorHAnsi"/>
        </w:rPr>
      </w:pPr>
      <w:r w:rsidRPr="000322E4">
        <w:rPr>
          <w:rFonts w:cstheme="minorHAnsi"/>
        </w:rPr>
        <w:t>Опухоли с морфологическими/иммунофенотипическими чертами лимфомы Беркитта и диффузной В-клеточной крупноклеточной лимфомы («промежуточного типа») или с бластоидной морфологией, но без указанных реаранжировок классифицируются как В-клеточные лимфомы высокой степени злокачественности, неуточненные (</w:t>
      </w:r>
      <w:r w:rsidRPr="000322E4">
        <w:rPr>
          <w:rFonts w:cstheme="minorHAnsi"/>
          <w:lang w:val="en-US"/>
        </w:rPr>
        <w:t>NOS</w:t>
      </w:r>
      <w:r w:rsidRPr="000322E4">
        <w:rPr>
          <w:rFonts w:cstheme="minorHAnsi"/>
        </w:rPr>
        <w:t xml:space="preserve">). </w:t>
      </w:r>
    </w:p>
    <w:p w14:paraId="2B549099" w14:textId="56ADA568" w:rsidR="009B70C4" w:rsidRDefault="009B70C4" w:rsidP="00F414BF">
      <w:pPr>
        <w:spacing w:line="360" w:lineRule="auto"/>
        <w:ind w:firstLine="360"/>
        <w:jc w:val="both"/>
        <w:rPr>
          <w:rFonts w:cstheme="minorHAnsi"/>
        </w:rPr>
      </w:pPr>
      <w:r w:rsidRPr="000322E4">
        <w:rPr>
          <w:rFonts w:cstheme="minorHAnsi"/>
        </w:rPr>
        <w:t>Если опухоль имеет «промежуточную» морфологию, но полностью соответствует иммунофенотипу и генотипу лимфомы Беркитта, она диагностируется как лимфома Беркитта.</w:t>
      </w:r>
    </w:p>
    <w:p w14:paraId="5EAF7AD8" w14:textId="77777777" w:rsidR="00D3550C" w:rsidRDefault="00D3550C" w:rsidP="00F414BF">
      <w:pPr>
        <w:spacing w:line="360" w:lineRule="auto"/>
        <w:ind w:firstLine="360"/>
        <w:jc w:val="both"/>
        <w:rPr>
          <w:rFonts w:cstheme="minorHAnsi"/>
        </w:rPr>
      </w:pPr>
    </w:p>
    <w:p w14:paraId="663C18EB" w14:textId="77777777" w:rsidR="002C7010" w:rsidRPr="000322E4" w:rsidRDefault="002C7010" w:rsidP="00F414BF">
      <w:pPr>
        <w:pStyle w:val="2"/>
        <w:spacing w:before="0"/>
        <w:rPr>
          <w:color w:val="000000" w:themeColor="text1"/>
        </w:rPr>
      </w:pPr>
      <w:bookmarkStart w:id="57" w:name="_Toc96601256"/>
      <w:r w:rsidRPr="000322E4">
        <w:rPr>
          <w:color w:val="000000" w:themeColor="text1"/>
        </w:rPr>
        <w:t>7.</w:t>
      </w:r>
      <w:r w:rsidR="0064071E" w:rsidRPr="000322E4">
        <w:rPr>
          <w:color w:val="000000" w:themeColor="text1"/>
        </w:rPr>
        <w:t>3</w:t>
      </w:r>
      <w:r w:rsidRPr="000322E4">
        <w:rPr>
          <w:color w:val="000000" w:themeColor="text1"/>
        </w:rPr>
        <w:t xml:space="preserve"> Стадирование</w:t>
      </w:r>
      <w:r w:rsidR="00F65B65" w:rsidRPr="000322E4">
        <w:rPr>
          <w:color w:val="000000" w:themeColor="text1"/>
        </w:rPr>
        <w:t xml:space="preserve"> </w:t>
      </w:r>
      <w:r w:rsidR="009B70C4" w:rsidRPr="000322E4">
        <w:rPr>
          <w:color w:val="000000" w:themeColor="text1"/>
        </w:rPr>
        <w:t>агрессивных нефолликулярных В-клеточных лимфом</w:t>
      </w:r>
      <w:bookmarkEnd w:id="57"/>
    </w:p>
    <w:p w14:paraId="2A94D952" w14:textId="4DF6C7D1" w:rsidR="00A54C2B" w:rsidRPr="000322E4" w:rsidRDefault="002C7010" w:rsidP="00F414BF">
      <w:pPr>
        <w:spacing w:line="360" w:lineRule="auto"/>
        <w:ind w:firstLine="567"/>
        <w:jc w:val="both"/>
        <w:rPr>
          <w:bCs/>
        </w:rPr>
      </w:pPr>
      <w:r w:rsidRPr="00D3550C">
        <w:rPr>
          <w:bCs/>
          <w:color w:val="000000" w:themeColor="text1"/>
        </w:rPr>
        <w:t xml:space="preserve">Стадирование </w:t>
      </w:r>
      <w:r w:rsidR="00F47A24" w:rsidRPr="00D3550C">
        <w:rPr>
          <w:color w:val="000000" w:themeColor="text1"/>
        </w:rPr>
        <w:t xml:space="preserve">ДВКЛ, ПМВКЛ, ЛБ </w:t>
      </w:r>
      <w:r w:rsidRPr="00D3550C">
        <w:rPr>
          <w:bCs/>
          <w:color w:val="000000" w:themeColor="text1"/>
        </w:rPr>
        <w:t xml:space="preserve">осуществляется по результатам </w:t>
      </w:r>
      <w:r w:rsidRPr="000322E4">
        <w:rPr>
          <w:bCs/>
        </w:rPr>
        <w:t xml:space="preserve">обследования в соответствии с критериями классификации </w:t>
      </w:r>
      <w:r w:rsidRPr="000322E4">
        <w:rPr>
          <w:bCs/>
          <w:lang w:val="en-US"/>
        </w:rPr>
        <w:t>Ann</w:t>
      </w:r>
      <w:r w:rsidRPr="000322E4">
        <w:rPr>
          <w:bCs/>
        </w:rPr>
        <w:t xml:space="preserve"> </w:t>
      </w:r>
      <w:r w:rsidRPr="000322E4">
        <w:rPr>
          <w:bCs/>
          <w:lang w:val="en-US"/>
        </w:rPr>
        <w:t>Arbor</w:t>
      </w:r>
      <w:r w:rsidR="00F65B65" w:rsidRPr="000322E4">
        <w:rPr>
          <w:bCs/>
        </w:rPr>
        <w:t xml:space="preserve"> (табл. 7.3.1)</w:t>
      </w:r>
      <w:r w:rsidR="00F65B65" w:rsidRPr="000322E4">
        <w:t>.</w:t>
      </w:r>
      <w:r w:rsidR="00F65B65" w:rsidRPr="000322E4">
        <w:rPr>
          <w:bCs/>
        </w:rPr>
        <w:t xml:space="preserve"> </w:t>
      </w:r>
      <w:r w:rsidR="00791E66" w:rsidRPr="000322E4">
        <w:rPr>
          <w:bCs/>
        </w:rPr>
        <w:t xml:space="preserve"> Данная классификация не применима для ПЛЦНС. Диагноз ПЛЦНС формулируется с указанием локализации очага поражения без указания стадии.</w:t>
      </w:r>
    </w:p>
    <w:p w14:paraId="2B61F27C" w14:textId="6D831883" w:rsidR="00F65B65" w:rsidRPr="00293AC8" w:rsidRDefault="00F65B65" w:rsidP="00F414BF">
      <w:pPr>
        <w:spacing w:line="360" w:lineRule="auto"/>
        <w:jc w:val="both"/>
      </w:pPr>
      <w:r w:rsidRPr="000322E4">
        <w:rPr>
          <w:b/>
          <w:bCs/>
        </w:rPr>
        <w:t xml:space="preserve">Таблица 7.3.1. </w:t>
      </w:r>
      <w:r w:rsidRPr="000322E4">
        <w:rPr>
          <w:b/>
        </w:rPr>
        <w:t xml:space="preserve">Стадирование лимфом по </w:t>
      </w:r>
      <w:r w:rsidRPr="000322E4">
        <w:rPr>
          <w:b/>
          <w:lang w:val="en-US"/>
        </w:rPr>
        <w:t>Ann</w:t>
      </w:r>
      <w:r w:rsidRPr="000322E4">
        <w:rPr>
          <w:b/>
        </w:rPr>
        <w:t xml:space="preserve"> </w:t>
      </w:r>
      <w:r w:rsidRPr="000322E4">
        <w:rPr>
          <w:b/>
          <w:lang w:val="en-US"/>
        </w:rPr>
        <w:t>Arbor</w:t>
      </w:r>
      <w:r w:rsidRPr="000322E4">
        <w:rPr>
          <w:b/>
        </w:rPr>
        <w:t xml:space="preserve"> (модификация Лугано, 2014)</w:t>
      </w:r>
      <w:r w:rsidR="00BB7996" w:rsidRPr="000322E4">
        <w:rPr>
          <w:b/>
        </w:rPr>
        <w:t xml:space="preserve"> </w:t>
      </w:r>
      <w:r w:rsidR="00BB7996" w:rsidRPr="000322E4">
        <w:rPr>
          <w:lang w:val="en-US"/>
        </w:rPr>
        <w:fldChar w:fldCharType="begin" w:fldLock="1"/>
      </w:r>
      <w:r w:rsidR="00A6794A">
        <w:rPr>
          <w:lang w:val="en-US"/>
        </w:rPr>
        <w:instrText>ADDIN</w:instrText>
      </w:r>
      <w:r w:rsidR="00A6794A" w:rsidRPr="00A6794A">
        <w:instrText xml:space="preserve"> </w:instrText>
      </w:r>
      <w:r w:rsidR="00A6794A">
        <w:rPr>
          <w:lang w:val="en-US"/>
        </w:rPr>
        <w:instrText>CSL</w:instrText>
      </w:r>
      <w:r w:rsidR="00A6794A" w:rsidRPr="00A6794A">
        <w:instrText>_</w:instrText>
      </w:r>
      <w:r w:rsidR="00A6794A">
        <w:rPr>
          <w:lang w:val="en-US"/>
        </w:rPr>
        <w:instrText>CITATION</w:instrText>
      </w:r>
      <w:r w:rsidR="00A6794A" w:rsidRPr="00A6794A">
        <w:instrText xml:space="preserve"> {"</w:instrText>
      </w:r>
      <w:r w:rsidR="00A6794A">
        <w:rPr>
          <w:lang w:val="en-US"/>
        </w:rPr>
        <w:instrText>citationItems</w:instrText>
      </w:r>
      <w:r w:rsidR="00A6794A" w:rsidRPr="00A6794A">
        <w:instrText>":[{"</w:instrText>
      </w:r>
      <w:r w:rsidR="00A6794A">
        <w:rPr>
          <w:lang w:val="en-US"/>
        </w:rPr>
        <w:instrText>id</w:instrText>
      </w:r>
      <w:r w:rsidR="00A6794A" w:rsidRPr="00A6794A">
        <w:instrText>":"</w:instrText>
      </w:r>
      <w:r w:rsidR="00A6794A">
        <w:rPr>
          <w:lang w:val="en-US"/>
        </w:rPr>
        <w:instrText>ITEM</w:instrText>
      </w:r>
      <w:r w:rsidR="00A6794A" w:rsidRPr="00A6794A">
        <w:instrText>-1","</w:instrText>
      </w:r>
      <w:r w:rsidR="00A6794A">
        <w:rPr>
          <w:lang w:val="en-US"/>
        </w:rPr>
        <w:instrText>itemData</w:instrText>
      </w:r>
      <w:r w:rsidR="00A6794A" w:rsidRPr="00A6794A">
        <w:instrText>":{"</w:instrText>
      </w:r>
      <w:r w:rsidR="00A6794A">
        <w:rPr>
          <w:lang w:val="en-US"/>
        </w:rPr>
        <w:instrText>DOI</w:instrText>
      </w:r>
      <w:r w:rsidR="00A6794A" w:rsidRPr="00A6794A">
        <w:instrText>":"10.1200/</w:instrText>
      </w:r>
      <w:r w:rsidR="00A6794A">
        <w:rPr>
          <w:lang w:val="en-US"/>
        </w:rPr>
        <w:instrText>JCO</w:instrText>
      </w:r>
      <w:r w:rsidR="00A6794A" w:rsidRPr="00A6794A">
        <w:instrText>.2013.54.8800","</w:instrText>
      </w:r>
      <w:r w:rsidR="00A6794A">
        <w:rPr>
          <w:lang w:val="en-US"/>
        </w:rPr>
        <w:instrText>ISSN</w:instrText>
      </w:r>
      <w:r w:rsidR="00A6794A" w:rsidRPr="00A6794A">
        <w:instrText>":"15277755","</w:instrText>
      </w:r>
      <w:r w:rsidR="00A6794A">
        <w:rPr>
          <w:lang w:val="en-US"/>
        </w:rPr>
        <w:instrText>PMID</w:instrText>
      </w:r>
      <w:r w:rsidR="00A6794A" w:rsidRPr="00A6794A">
        <w:instrText>":"25113753","</w:instrText>
      </w:r>
      <w:r w:rsidR="00A6794A">
        <w:rPr>
          <w:lang w:val="en-US"/>
        </w:rPr>
        <w:instrText>abstract</w:instrText>
      </w:r>
      <w:r w:rsidR="00A6794A" w:rsidRPr="00A6794A">
        <w:instrText>":"</w:instrText>
      </w:r>
      <w:r w:rsidR="00A6794A">
        <w:rPr>
          <w:lang w:val="en-US"/>
        </w:rPr>
        <w:instrText>The</w:instrText>
      </w:r>
      <w:r w:rsidR="00A6794A" w:rsidRPr="00A6794A">
        <w:instrText xml:space="preserve"> </w:instrText>
      </w:r>
      <w:r w:rsidR="00A6794A">
        <w:rPr>
          <w:lang w:val="en-US"/>
        </w:rPr>
        <w:instrText>purpose</w:instrText>
      </w:r>
      <w:r w:rsidR="00A6794A" w:rsidRPr="00A6794A">
        <w:instrText xml:space="preserve"> </w:instrText>
      </w:r>
      <w:r w:rsidR="00A6794A">
        <w:rPr>
          <w:lang w:val="en-US"/>
        </w:rPr>
        <w:instrText>of</w:instrText>
      </w:r>
      <w:r w:rsidR="00A6794A" w:rsidRPr="00A6794A">
        <w:instrText xml:space="preserve"> </w:instrText>
      </w:r>
      <w:r w:rsidR="00A6794A">
        <w:rPr>
          <w:lang w:val="en-US"/>
        </w:rPr>
        <w:instrText>this</w:instrText>
      </w:r>
      <w:r w:rsidR="00A6794A" w:rsidRPr="00A6794A">
        <w:instrText xml:space="preserve"> </w:instrText>
      </w:r>
      <w:r w:rsidR="00A6794A">
        <w:rPr>
          <w:lang w:val="en-US"/>
        </w:rPr>
        <w:instrText>work</w:instrText>
      </w:r>
      <w:r w:rsidR="00A6794A" w:rsidRPr="00A6794A">
        <w:instrText xml:space="preserve"> </w:instrText>
      </w:r>
      <w:r w:rsidR="00A6794A">
        <w:rPr>
          <w:lang w:val="en-US"/>
        </w:rPr>
        <w:instrText>was</w:instrText>
      </w:r>
      <w:r w:rsidR="00A6794A" w:rsidRPr="00A6794A">
        <w:instrText xml:space="preserve"> </w:instrText>
      </w:r>
      <w:r w:rsidR="00A6794A">
        <w:rPr>
          <w:lang w:val="en-US"/>
        </w:rPr>
        <w:instrText>to</w:instrText>
      </w:r>
      <w:r w:rsidR="00A6794A" w:rsidRPr="00A6794A">
        <w:instrText xml:space="preserve"> </w:instrText>
      </w:r>
      <w:r w:rsidR="00A6794A">
        <w:rPr>
          <w:lang w:val="en-US"/>
        </w:rPr>
        <w:instrText>modernize</w:instrText>
      </w:r>
      <w:r w:rsidR="00A6794A" w:rsidRPr="00A6794A">
        <w:instrText xml:space="preserve"> </w:instrText>
      </w:r>
      <w:r w:rsidR="00A6794A">
        <w:rPr>
          <w:lang w:val="en-US"/>
        </w:rPr>
        <w:instrText>recommendations</w:instrText>
      </w:r>
      <w:r w:rsidR="00A6794A" w:rsidRPr="00A6794A">
        <w:instrText xml:space="preserve"> </w:instrText>
      </w:r>
      <w:r w:rsidR="00A6794A">
        <w:rPr>
          <w:lang w:val="en-US"/>
        </w:rPr>
        <w:instrText>for</w:instrText>
      </w:r>
      <w:r w:rsidR="00A6794A" w:rsidRPr="00A6794A">
        <w:instrText xml:space="preserve"> </w:instrText>
      </w:r>
      <w:r w:rsidR="00A6794A">
        <w:rPr>
          <w:lang w:val="en-US"/>
        </w:rPr>
        <w:instrText>evaluation</w:instrText>
      </w:r>
      <w:r w:rsidR="00A6794A" w:rsidRPr="00A6794A">
        <w:instrText xml:space="preserve">, </w:instrText>
      </w:r>
      <w:r w:rsidR="00A6794A">
        <w:rPr>
          <w:lang w:val="en-US"/>
        </w:rPr>
        <w:instrText>staging</w:instrText>
      </w:r>
      <w:r w:rsidR="00A6794A" w:rsidRPr="00A6794A">
        <w:instrText xml:space="preserve">, </w:instrText>
      </w:r>
      <w:r w:rsidR="00A6794A">
        <w:rPr>
          <w:lang w:val="en-US"/>
        </w:rPr>
        <w:instrText>and</w:instrText>
      </w:r>
      <w:r w:rsidR="00A6794A" w:rsidRPr="00A6794A">
        <w:instrText xml:space="preserve"> </w:instrText>
      </w:r>
      <w:r w:rsidR="00A6794A">
        <w:rPr>
          <w:lang w:val="en-US"/>
        </w:rPr>
        <w:instrText>response</w:instrText>
      </w:r>
      <w:r w:rsidR="00A6794A" w:rsidRPr="00A6794A">
        <w:instrText xml:space="preserve"> </w:instrText>
      </w:r>
      <w:r w:rsidR="00A6794A">
        <w:rPr>
          <w:lang w:val="en-US"/>
        </w:rPr>
        <w:instrText>assessment</w:instrText>
      </w:r>
      <w:r w:rsidR="00A6794A" w:rsidRPr="00A6794A">
        <w:instrText xml:space="preserve"> </w:instrText>
      </w:r>
      <w:r w:rsidR="00A6794A">
        <w:rPr>
          <w:lang w:val="en-US"/>
        </w:rPr>
        <w:instrText>of</w:instrText>
      </w:r>
      <w:r w:rsidR="00A6794A" w:rsidRPr="00A6794A">
        <w:instrText xml:space="preserve"> </w:instrText>
      </w:r>
      <w:r w:rsidR="00A6794A">
        <w:rPr>
          <w:lang w:val="en-US"/>
        </w:rPr>
        <w:instrText>patients</w:instrText>
      </w:r>
      <w:r w:rsidR="00A6794A" w:rsidRPr="00A6794A">
        <w:instrText xml:space="preserve"> </w:instrText>
      </w:r>
      <w:r w:rsidR="00A6794A">
        <w:rPr>
          <w:lang w:val="en-US"/>
        </w:rPr>
        <w:instrText>with</w:instrText>
      </w:r>
      <w:r w:rsidR="00A6794A" w:rsidRPr="00A6794A">
        <w:instrText xml:space="preserve"> </w:instrText>
      </w:r>
      <w:r w:rsidR="00A6794A">
        <w:rPr>
          <w:lang w:val="en-US"/>
        </w:rPr>
        <w:instrText>Hodgkin</w:instrText>
      </w:r>
      <w:r w:rsidR="00A6794A" w:rsidRPr="00A6794A">
        <w:instrText xml:space="preserve"> </w:instrText>
      </w:r>
      <w:r w:rsidR="00A6794A">
        <w:rPr>
          <w:lang w:val="en-US"/>
        </w:rPr>
        <w:instrText>lymphoma</w:instrText>
      </w:r>
      <w:r w:rsidR="00A6794A" w:rsidRPr="00A6794A">
        <w:instrText xml:space="preserve"> (</w:instrText>
      </w:r>
      <w:r w:rsidR="00A6794A">
        <w:rPr>
          <w:lang w:val="en-US"/>
        </w:rPr>
        <w:instrText>HL</w:instrText>
      </w:r>
      <w:r w:rsidR="00A6794A" w:rsidRPr="00A6794A">
        <w:instrText xml:space="preserve">) </w:instrText>
      </w:r>
      <w:r w:rsidR="00A6794A">
        <w:rPr>
          <w:lang w:val="en-US"/>
        </w:rPr>
        <w:instrText>and</w:instrText>
      </w:r>
      <w:r w:rsidR="00A6794A" w:rsidRPr="00A6794A">
        <w:instrText xml:space="preserve"> </w:instrText>
      </w:r>
      <w:r w:rsidR="00A6794A">
        <w:rPr>
          <w:lang w:val="en-US"/>
        </w:rPr>
        <w:instrText>non</w:instrText>
      </w:r>
      <w:r w:rsidR="00A6794A" w:rsidRPr="00A6794A">
        <w:instrText>-</w:instrText>
      </w:r>
      <w:r w:rsidR="00A6794A">
        <w:rPr>
          <w:lang w:val="en-US"/>
        </w:rPr>
        <w:instrText>Hodgkin</w:instrText>
      </w:r>
      <w:r w:rsidR="00A6794A" w:rsidRPr="00A6794A">
        <w:instrText xml:space="preserve"> </w:instrText>
      </w:r>
      <w:r w:rsidR="00A6794A">
        <w:rPr>
          <w:lang w:val="en-US"/>
        </w:rPr>
        <w:instrText>lymphoma</w:instrText>
      </w:r>
      <w:r w:rsidR="00A6794A" w:rsidRPr="00A6794A">
        <w:instrText xml:space="preserve"> (</w:instrText>
      </w:r>
      <w:r w:rsidR="00A6794A">
        <w:rPr>
          <w:lang w:val="en-US"/>
        </w:rPr>
        <w:instrText>NHL</w:instrText>
      </w:r>
      <w:r w:rsidR="00A6794A" w:rsidRPr="00A6794A">
        <w:instrText xml:space="preserve">). </w:instrText>
      </w:r>
      <w:r w:rsidR="00A6794A">
        <w:rPr>
          <w:lang w:val="en-US"/>
        </w:rPr>
        <w:instrText>A</w:instrText>
      </w:r>
      <w:r w:rsidR="00A6794A" w:rsidRPr="00A6794A">
        <w:instrText xml:space="preserve"> </w:instrText>
      </w:r>
      <w:r w:rsidR="00A6794A">
        <w:rPr>
          <w:lang w:val="en-US"/>
        </w:rPr>
        <w:instrText>workshop</w:instrText>
      </w:r>
      <w:r w:rsidR="00A6794A" w:rsidRPr="00A6794A">
        <w:instrText xml:space="preserve"> </w:instrText>
      </w:r>
      <w:r w:rsidR="00A6794A">
        <w:rPr>
          <w:lang w:val="en-US"/>
        </w:rPr>
        <w:instrText>was</w:instrText>
      </w:r>
      <w:r w:rsidR="00A6794A" w:rsidRPr="00A6794A">
        <w:instrText xml:space="preserve"> </w:instrText>
      </w:r>
      <w:r w:rsidR="00A6794A">
        <w:rPr>
          <w:lang w:val="en-US"/>
        </w:rPr>
        <w:instrText>held</w:instrText>
      </w:r>
      <w:r w:rsidR="00A6794A" w:rsidRPr="00A6794A">
        <w:instrText xml:space="preserve"> </w:instrText>
      </w:r>
      <w:r w:rsidR="00A6794A">
        <w:rPr>
          <w:lang w:val="en-US"/>
        </w:rPr>
        <w:instrText>at</w:instrText>
      </w:r>
      <w:r w:rsidR="00A6794A" w:rsidRPr="00A6794A">
        <w:instrText xml:space="preserve"> </w:instrText>
      </w:r>
      <w:r w:rsidR="00A6794A">
        <w:rPr>
          <w:lang w:val="en-US"/>
        </w:rPr>
        <w:instrText>the</w:instrText>
      </w:r>
      <w:r w:rsidR="00A6794A" w:rsidRPr="00A6794A">
        <w:instrText xml:space="preserve"> 11</w:instrText>
      </w:r>
      <w:r w:rsidR="00A6794A">
        <w:rPr>
          <w:lang w:val="en-US"/>
        </w:rPr>
        <w:instrText>th</w:instrText>
      </w:r>
      <w:r w:rsidR="00A6794A" w:rsidRPr="00A6794A">
        <w:instrText xml:space="preserve"> </w:instrText>
      </w:r>
      <w:r w:rsidR="00A6794A">
        <w:rPr>
          <w:lang w:val="en-US"/>
        </w:rPr>
        <w:instrText>International</w:instrText>
      </w:r>
      <w:r w:rsidR="00A6794A" w:rsidRPr="00A6794A">
        <w:instrText xml:space="preserve"> </w:instrText>
      </w:r>
      <w:r w:rsidR="00A6794A">
        <w:rPr>
          <w:lang w:val="en-US"/>
        </w:rPr>
        <w:instrText>Conference</w:instrText>
      </w:r>
      <w:r w:rsidR="00A6794A" w:rsidRPr="00A6794A">
        <w:instrText xml:space="preserve"> </w:instrText>
      </w:r>
      <w:r w:rsidR="00A6794A">
        <w:rPr>
          <w:lang w:val="en-US"/>
        </w:rPr>
        <w:instrText>on</w:instrText>
      </w:r>
      <w:r w:rsidR="00A6794A" w:rsidRPr="00A6794A">
        <w:instrText xml:space="preserve"> </w:instrText>
      </w:r>
      <w:r w:rsidR="00A6794A">
        <w:rPr>
          <w:lang w:val="en-US"/>
        </w:rPr>
        <w:instrText>Malignant</w:instrText>
      </w:r>
      <w:r w:rsidR="00A6794A" w:rsidRPr="00A6794A">
        <w:instrText xml:space="preserve"> </w:instrText>
      </w:r>
      <w:r w:rsidR="00A6794A">
        <w:rPr>
          <w:lang w:val="en-US"/>
        </w:rPr>
        <w:instrText>Lymphoma</w:instrText>
      </w:r>
      <w:r w:rsidR="00A6794A" w:rsidRPr="00A6794A">
        <w:instrText xml:space="preserve"> </w:instrText>
      </w:r>
      <w:r w:rsidR="00A6794A">
        <w:rPr>
          <w:lang w:val="en-US"/>
        </w:rPr>
        <w:instrText>in</w:instrText>
      </w:r>
      <w:r w:rsidR="00A6794A" w:rsidRPr="00A6794A">
        <w:instrText xml:space="preserve"> </w:instrText>
      </w:r>
      <w:r w:rsidR="00A6794A">
        <w:rPr>
          <w:lang w:val="en-US"/>
        </w:rPr>
        <w:instrText>Lugano</w:instrText>
      </w:r>
      <w:r w:rsidR="00A6794A" w:rsidRPr="00A6794A">
        <w:instrText xml:space="preserve">, </w:instrText>
      </w:r>
      <w:r w:rsidR="00A6794A">
        <w:rPr>
          <w:lang w:val="en-US"/>
        </w:rPr>
        <w:instrText>Switzerland</w:instrText>
      </w:r>
      <w:r w:rsidR="00A6794A" w:rsidRPr="00A6794A">
        <w:instrText xml:space="preserve">, </w:instrText>
      </w:r>
      <w:r w:rsidR="00A6794A">
        <w:rPr>
          <w:lang w:val="en-US"/>
        </w:rPr>
        <w:instrText>in</w:instrText>
      </w:r>
      <w:r w:rsidR="00A6794A" w:rsidRPr="00A6794A">
        <w:instrText xml:space="preserve"> </w:instrText>
      </w:r>
      <w:r w:rsidR="00A6794A">
        <w:rPr>
          <w:lang w:val="en-US"/>
        </w:rPr>
        <w:instrText>June</w:instrText>
      </w:r>
      <w:r w:rsidR="00A6794A" w:rsidRPr="00A6794A">
        <w:instrText xml:space="preserve"> 2011, </w:instrText>
      </w:r>
      <w:r w:rsidR="00A6794A">
        <w:rPr>
          <w:lang w:val="en-US"/>
        </w:rPr>
        <w:instrText>that</w:instrText>
      </w:r>
      <w:r w:rsidR="00A6794A" w:rsidRPr="00A6794A">
        <w:instrText xml:space="preserve"> </w:instrText>
      </w:r>
      <w:r w:rsidR="00A6794A">
        <w:rPr>
          <w:lang w:val="en-US"/>
        </w:rPr>
        <w:instrText>included</w:instrText>
      </w:r>
      <w:r w:rsidR="00A6794A" w:rsidRPr="00A6794A">
        <w:instrText xml:space="preserve"> </w:instrText>
      </w:r>
      <w:r w:rsidR="00A6794A">
        <w:rPr>
          <w:lang w:val="en-US"/>
        </w:rPr>
        <w:instrText>leading</w:instrText>
      </w:r>
      <w:r w:rsidR="00A6794A" w:rsidRPr="00A6794A">
        <w:instrText xml:space="preserve"> </w:instrText>
      </w:r>
      <w:r w:rsidR="00A6794A">
        <w:rPr>
          <w:lang w:val="en-US"/>
        </w:rPr>
        <w:instrText>hematologists</w:instrText>
      </w:r>
      <w:r w:rsidR="00A6794A" w:rsidRPr="00A6794A">
        <w:instrText xml:space="preserve">, </w:instrText>
      </w:r>
      <w:r w:rsidR="00A6794A">
        <w:rPr>
          <w:lang w:val="en-US"/>
        </w:rPr>
        <w:instrText>oncologists</w:instrText>
      </w:r>
      <w:r w:rsidR="00A6794A" w:rsidRPr="00A6794A">
        <w:instrText xml:space="preserve">, </w:instrText>
      </w:r>
      <w:r w:rsidR="00A6794A">
        <w:rPr>
          <w:lang w:val="en-US"/>
        </w:rPr>
        <w:instrText>radiation</w:instrText>
      </w:r>
      <w:r w:rsidR="00A6794A" w:rsidRPr="00A6794A">
        <w:instrText xml:space="preserve"> </w:instrText>
      </w:r>
      <w:r w:rsidR="00A6794A">
        <w:rPr>
          <w:lang w:val="en-US"/>
        </w:rPr>
        <w:instrText>oncologists</w:instrText>
      </w:r>
      <w:r w:rsidR="00A6794A" w:rsidRPr="00A6794A">
        <w:instrText xml:space="preserve">, </w:instrText>
      </w:r>
      <w:r w:rsidR="00A6794A">
        <w:rPr>
          <w:lang w:val="en-US"/>
        </w:rPr>
        <w:instrText>pathologists</w:instrText>
      </w:r>
      <w:r w:rsidR="00A6794A" w:rsidRPr="00A6794A">
        <w:instrText xml:space="preserve">, </w:instrText>
      </w:r>
      <w:r w:rsidR="00A6794A">
        <w:rPr>
          <w:lang w:val="en-US"/>
        </w:rPr>
        <w:instrText>radiologists</w:instrText>
      </w:r>
      <w:r w:rsidR="00A6794A" w:rsidRPr="00A6794A">
        <w:instrText xml:space="preserve">, </w:instrText>
      </w:r>
      <w:r w:rsidR="00A6794A">
        <w:rPr>
          <w:lang w:val="en-US"/>
        </w:rPr>
        <w:instrText>and</w:instrText>
      </w:r>
      <w:r w:rsidR="00A6794A" w:rsidRPr="00A6794A">
        <w:instrText xml:space="preserve"> </w:instrText>
      </w:r>
      <w:r w:rsidR="00A6794A">
        <w:rPr>
          <w:lang w:val="en-US"/>
        </w:rPr>
        <w:instrText>nuclear</w:instrText>
      </w:r>
      <w:r w:rsidR="00A6794A" w:rsidRPr="00A6794A">
        <w:instrText xml:space="preserve"> </w:instrText>
      </w:r>
      <w:r w:rsidR="00A6794A">
        <w:rPr>
          <w:lang w:val="en-US"/>
        </w:rPr>
        <w:instrText>medicine</w:instrText>
      </w:r>
      <w:r w:rsidR="00A6794A" w:rsidRPr="00A6794A">
        <w:instrText xml:space="preserve"> </w:instrText>
      </w:r>
      <w:r w:rsidR="00A6794A">
        <w:rPr>
          <w:lang w:val="en-US"/>
        </w:rPr>
        <w:instrText>physicians</w:instrText>
      </w:r>
      <w:r w:rsidR="00A6794A" w:rsidRPr="00A6794A">
        <w:instrText xml:space="preserve">, </w:instrText>
      </w:r>
      <w:r w:rsidR="00A6794A">
        <w:rPr>
          <w:lang w:val="en-US"/>
        </w:rPr>
        <w:instrText>representing</w:instrText>
      </w:r>
      <w:r w:rsidR="00A6794A" w:rsidRPr="00A6794A">
        <w:instrText xml:space="preserve"> </w:instrText>
      </w:r>
      <w:r w:rsidR="00A6794A">
        <w:rPr>
          <w:lang w:val="en-US"/>
        </w:rPr>
        <w:instrText>major</w:instrText>
      </w:r>
      <w:r w:rsidR="00A6794A" w:rsidRPr="00A6794A">
        <w:instrText xml:space="preserve"> </w:instrText>
      </w:r>
      <w:r w:rsidR="00A6794A">
        <w:rPr>
          <w:lang w:val="en-US"/>
        </w:rPr>
        <w:instrText>international</w:instrText>
      </w:r>
      <w:r w:rsidR="00A6794A" w:rsidRPr="00A6794A">
        <w:instrText xml:space="preserve"> </w:instrText>
      </w:r>
      <w:r w:rsidR="00A6794A">
        <w:rPr>
          <w:lang w:val="en-US"/>
        </w:rPr>
        <w:instrText>lymphoma</w:instrText>
      </w:r>
      <w:r w:rsidR="00A6794A" w:rsidRPr="00A6794A">
        <w:instrText xml:space="preserve"> </w:instrText>
      </w:r>
      <w:r w:rsidR="00A6794A">
        <w:rPr>
          <w:lang w:val="en-US"/>
        </w:rPr>
        <w:instrText>clinical</w:instrText>
      </w:r>
      <w:r w:rsidR="00A6794A" w:rsidRPr="00A6794A">
        <w:instrText xml:space="preserve"> </w:instrText>
      </w:r>
      <w:r w:rsidR="00A6794A">
        <w:rPr>
          <w:lang w:val="en-US"/>
        </w:rPr>
        <w:instrText>trials</w:instrText>
      </w:r>
      <w:r w:rsidR="00A6794A" w:rsidRPr="00A6794A">
        <w:instrText xml:space="preserve"> </w:instrText>
      </w:r>
      <w:r w:rsidR="00A6794A">
        <w:rPr>
          <w:lang w:val="en-US"/>
        </w:rPr>
        <w:instrText>groups</w:instrText>
      </w:r>
      <w:r w:rsidR="00A6794A" w:rsidRPr="00A6794A">
        <w:instrText xml:space="preserve"> </w:instrText>
      </w:r>
      <w:r w:rsidR="00A6794A">
        <w:rPr>
          <w:lang w:val="en-US"/>
        </w:rPr>
        <w:instrText>and</w:instrText>
      </w:r>
      <w:r w:rsidR="00A6794A" w:rsidRPr="00A6794A">
        <w:instrText xml:space="preserve"> </w:instrText>
      </w:r>
      <w:r w:rsidR="00A6794A">
        <w:rPr>
          <w:lang w:val="en-US"/>
        </w:rPr>
        <w:instrText>cancer</w:instrText>
      </w:r>
      <w:r w:rsidR="00A6794A" w:rsidRPr="00A6794A">
        <w:instrText xml:space="preserve"> </w:instrText>
      </w:r>
      <w:r w:rsidR="00A6794A">
        <w:rPr>
          <w:lang w:val="en-US"/>
        </w:rPr>
        <w:instrText>centers</w:instrText>
      </w:r>
      <w:r w:rsidR="00A6794A" w:rsidRPr="00A6794A">
        <w:instrText xml:space="preserve">. </w:instrText>
      </w:r>
      <w:r w:rsidR="00A6794A">
        <w:rPr>
          <w:lang w:val="en-US"/>
        </w:rPr>
        <w:instrText>Clinical</w:instrText>
      </w:r>
      <w:r w:rsidR="00A6794A" w:rsidRPr="00A6794A">
        <w:instrText xml:space="preserve"> </w:instrText>
      </w:r>
      <w:r w:rsidR="00A6794A">
        <w:rPr>
          <w:lang w:val="en-US"/>
        </w:rPr>
        <w:instrText>and</w:instrText>
      </w:r>
      <w:r w:rsidR="00A6794A" w:rsidRPr="00A6794A">
        <w:instrText xml:space="preserve"> </w:instrText>
      </w:r>
      <w:r w:rsidR="00A6794A">
        <w:rPr>
          <w:lang w:val="en-US"/>
        </w:rPr>
        <w:instrText>imaging</w:instrText>
      </w:r>
      <w:r w:rsidR="00A6794A" w:rsidRPr="00A6794A">
        <w:instrText xml:space="preserve"> </w:instrText>
      </w:r>
      <w:r w:rsidR="00A6794A">
        <w:rPr>
          <w:lang w:val="en-US"/>
        </w:rPr>
        <w:instrText>subcommittees</w:instrText>
      </w:r>
      <w:r w:rsidR="00A6794A" w:rsidRPr="00A6794A">
        <w:instrText xml:space="preserve"> </w:instrText>
      </w:r>
      <w:r w:rsidR="00A6794A">
        <w:rPr>
          <w:lang w:val="en-US"/>
        </w:rPr>
        <w:instrText>presented</w:instrText>
      </w:r>
      <w:r w:rsidR="00A6794A" w:rsidRPr="00A6794A">
        <w:instrText xml:space="preserve"> </w:instrText>
      </w:r>
      <w:r w:rsidR="00A6794A">
        <w:rPr>
          <w:lang w:val="en-US"/>
        </w:rPr>
        <w:instrText>their</w:instrText>
      </w:r>
      <w:r w:rsidR="00A6794A" w:rsidRPr="00A6794A">
        <w:instrText xml:space="preserve"> </w:instrText>
      </w:r>
      <w:r w:rsidR="00A6794A">
        <w:rPr>
          <w:lang w:val="en-US"/>
        </w:rPr>
        <w:instrText>conclusions</w:instrText>
      </w:r>
      <w:r w:rsidR="00A6794A" w:rsidRPr="00A6794A">
        <w:instrText xml:space="preserve"> </w:instrText>
      </w:r>
      <w:r w:rsidR="00A6794A">
        <w:rPr>
          <w:lang w:val="en-US"/>
        </w:rPr>
        <w:instrText>at</w:instrText>
      </w:r>
      <w:r w:rsidR="00A6794A" w:rsidRPr="00A6794A">
        <w:instrText xml:space="preserve"> </w:instrText>
      </w:r>
      <w:r w:rsidR="00A6794A">
        <w:rPr>
          <w:lang w:val="en-US"/>
        </w:rPr>
        <w:instrText>a</w:instrText>
      </w:r>
      <w:r w:rsidR="00A6794A" w:rsidRPr="00A6794A">
        <w:instrText xml:space="preserve"> </w:instrText>
      </w:r>
      <w:r w:rsidR="00A6794A">
        <w:rPr>
          <w:lang w:val="en-US"/>
        </w:rPr>
        <w:instrText>subsequent</w:instrText>
      </w:r>
      <w:r w:rsidR="00A6794A" w:rsidRPr="00A6794A">
        <w:instrText xml:space="preserve"> </w:instrText>
      </w:r>
      <w:r w:rsidR="00A6794A">
        <w:rPr>
          <w:lang w:val="en-US"/>
        </w:rPr>
        <w:instrText>workshop</w:instrText>
      </w:r>
      <w:r w:rsidR="00A6794A" w:rsidRPr="00A6794A">
        <w:instrText xml:space="preserve"> </w:instrText>
      </w:r>
      <w:r w:rsidR="00A6794A">
        <w:rPr>
          <w:lang w:val="en-US"/>
        </w:rPr>
        <w:instrText>at</w:instrText>
      </w:r>
      <w:r w:rsidR="00A6794A" w:rsidRPr="00A6794A">
        <w:instrText xml:space="preserve"> </w:instrText>
      </w:r>
      <w:r w:rsidR="00A6794A">
        <w:rPr>
          <w:lang w:val="en-US"/>
        </w:rPr>
        <w:instrText>the</w:instrText>
      </w:r>
      <w:r w:rsidR="00A6794A" w:rsidRPr="00A6794A">
        <w:instrText xml:space="preserve"> 12</w:instrText>
      </w:r>
      <w:r w:rsidR="00A6794A">
        <w:rPr>
          <w:lang w:val="en-US"/>
        </w:rPr>
        <w:instrText>th</w:instrText>
      </w:r>
      <w:r w:rsidR="00A6794A" w:rsidRPr="00A6794A">
        <w:instrText xml:space="preserve"> </w:instrText>
      </w:r>
      <w:r w:rsidR="00A6794A">
        <w:rPr>
          <w:lang w:val="en-US"/>
        </w:rPr>
        <w:instrText>International</w:instrText>
      </w:r>
      <w:r w:rsidR="00A6794A" w:rsidRPr="00A6794A">
        <w:instrText xml:space="preserve"> </w:instrText>
      </w:r>
      <w:r w:rsidR="00A6794A">
        <w:rPr>
          <w:lang w:val="en-US"/>
        </w:rPr>
        <w:instrText>Conference</w:instrText>
      </w:r>
      <w:r w:rsidR="00A6794A" w:rsidRPr="00A6794A">
        <w:instrText xml:space="preserve"> </w:instrText>
      </w:r>
      <w:r w:rsidR="00A6794A">
        <w:rPr>
          <w:lang w:val="en-US"/>
        </w:rPr>
        <w:instrText>on</w:instrText>
      </w:r>
      <w:r w:rsidR="00A6794A" w:rsidRPr="00A6794A">
        <w:instrText xml:space="preserve"> </w:instrText>
      </w:r>
      <w:r w:rsidR="00A6794A">
        <w:rPr>
          <w:lang w:val="en-US"/>
        </w:rPr>
        <w:instrText>Malignant</w:instrText>
      </w:r>
      <w:r w:rsidR="00A6794A" w:rsidRPr="00A6794A">
        <w:instrText xml:space="preserve"> </w:instrText>
      </w:r>
      <w:r w:rsidR="00A6794A">
        <w:rPr>
          <w:lang w:val="en-US"/>
        </w:rPr>
        <w:instrText>Lymphoma</w:instrText>
      </w:r>
      <w:r w:rsidR="00A6794A" w:rsidRPr="00A6794A">
        <w:instrText xml:space="preserve">, </w:instrText>
      </w:r>
      <w:r w:rsidR="00A6794A">
        <w:rPr>
          <w:lang w:val="en-US"/>
        </w:rPr>
        <w:instrText>leading</w:instrText>
      </w:r>
      <w:r w:rsidR="00A6794A" w:rsidRPr="00A6794A">
        <w:instrText xml:space="preserve"> </w:instrText>
      </w:r>
      <w:r w:rsidR="00A6794A">
        <w:rPr>
          <w:lang w:val="en-US"/>
        </w:rPr>
        <w:instrText>to</w:instrText>
      </w:r>
      <w:r w:rsidR="00A6794A" w:rsidRPr="00A6794A">
        <w:instrText xml:space="preserve"> </w:instrText>
      </w:r>
      <w:r w:rsidR="00A6794A">
        <w:rPr>
          <w:lang w:val="en-US"/>
        </w:rPr>
        <w:instrText>revised</w:instrText>
      </w:r>
      <w:r w:rsidR="00A6794A" w:rsidRPr="00A6794A">
        <w:instrText xml:space="preserve"> </w:instrText>
      </w:r>
      <w:r w:rsidR="00A6794A">
        <w:rPr>
          <w:lang w:val="en-US"/>
        </w:rPr>
        <w:instrText>criteria</w:instrText>
      </w:r>
      <w:r w:rsidR="00A6794A" w:rsidRPr="00A6794A">
        <w:instrText xml:space="preserve"> </w:instrText>
      </w:r>
      <w:r w:rsidR="00A6794A">
        <w:rPr>
          <w:lang w:val="en-US"/>
        </w:rPr>
        <w:instrText>for</w:instrText>
      </w:r>
      <w:r w:rsidR="00A6794A" w:rsidRPr="00A6794A">
        <w:instrText xml:space="preserve"> </w:instrText>
      </w:r>
      <w:r w:rsidR="00A6794A">
        <w:rPr>
          <w:lang w:val="en-US"/>
        </w:rPr>
        <w:instrText>staging</w:instrText>
      </w:r>
      <w:r w:rsidR="00A6794A" w:rsidRPr="00A6794A">
        <w:instrText xml:space="preserve"> </w:instrText>
      </w:r>
      <w:r w:rsidR="00A6794A">
        <w:rPr>
          <w:lang w:val="en-US"/>
        </w:rPr>
        <w:instrText>and</w:instrText>
      </w:r>
      <w:r w:rsidR="00A6794A" w:rsidRPr="00A6794A">
        <w:instrText xml:space="preserve"> </w:instrText>
      </w:r>
      <w:r w:rsidR="00A6794A">
        <w:rPr>
          <w:lang w:val="en-US"/>
        </w:rPr>
        <w:instrText>of</w:instrText>
      </w:r>
      <w:r w:rsidR="00A6794A" w:rsidRPr="00A6794A">
        <w:instrText xml:space="preserve"> </w:instrText>
      </w:r>
      <w:r w:rsidR="00A6794A">
        <w:rPr>
          <w:lang w:val="en-US"/>
        </w:rPr>
        <w:instrText>the</w:instrText>
      </w:r>
      <w:r w:rsidR="00A6794A" w:rsidRPr="00A6794A">
        <w:instrText xml:space="preserve"> </w:instrText>
      </w:r>
      <w:r w:rsidR="00A6794A">
        <w:rPr>
          <w:lang w:val="en-US"/>
        </w:rPr>
        <w:instrText>International</w:instrText>
      </w:r>
      <w:r w:rsidR="00A6794A" w:rsidRPr="00A6794A">
        <w:instrText xml:space="preserve"> </w:instrText>
      </w:r>
      <w:r w:rsidR="00A6794A">
        <w:rPr>
          <w:lang w:val="en-US"/>
        </w:rPr>
        <w:instrText>Working</w:instrText>
      </w:r>
      <w:r w:rsidR="00A6794A" w:rsidRPr="00A6794A">
        <w:instrText xml:space="preserve"> </w:instrText>
      </w:r>
      <w:r w:rsidR="00A6794A">
        <w:rPr>
          <w:lang w:val="en-US"/>
        </w:rPr>
        <w:instrText>Group</w:instrText>
      </w:r>
      <w:r w:rsidR="00A6794A" w:rsidRPr="00A6794A">
        <w:instrText xml:space="preserve"> </w:instrText>
      </w:r>
      <w:r w:rsidR="00A6794A">
        <w:rPr>
          <w:lang w:val="en-US"/>
        </w:rPr>
        <w:instrText>Guidelines</w:instrText>
      </w:r>
      <w:r w:rsidR="00A6794A" w:rsidRPr="00A6794A">
        <w:instrText xml:space="preserve"> </w:instrText>
      </w:r>
      <w:r w:rsidR="00A6794A">
        <w:rPr>
          <w:lang w:val="en-US"/>
        </w:rPr>
        <w:instrText>of</w:instrText>
      </w:r>
      <w:r w:rsidR="00A6794A" w:rsidRPr="00A6794A">
        <w:instrText xml:space="preserve"> 2007 </w:instrText>
      </w:r>
      <w:r w:rsidR="00A6794A">
        <w:rPr>
          <w:lang w:val="en-US"/>
        </w:rPr>
        <w:instrText>for</w:instrText>
      </w:r>
      <w:r w:rsidR="00A6794A" w:rsidRPr="00A6794A">
        <w:instrText xml:space="preserve"> </w:instrText>
      </w:r>
      <w:r w:rsidR="00A6794A">
        <w:rPr>
          <w:lang w:val="en-US"/>
        </w:rPr>
        <w:instrText>response</w:instrText>
      </w:r>
      <w:r w:rsidR="00A6794A" w:rsidRPr="00A6794A">
        <w:instrText xml:space="preserve">. </w:instrText>
      </w:r>
      <w:r w:rsidR="00A6794A">
        <w:rPr>
          <w:lang w:val="en-US"/>
        </w:rPr>
        <w:instrText>As</w:instrText>
      </w:r>
      <w:r w:rsidR="00A6794A" w:rsidRPr="00A6794A">
        <w:instrText xml:space="preserve"> </w:instrText>
      </w:r>
      <w:r w:rsidR="00A6794A">
        <w:rPr>
          <w:lang w:val="en-US"/>
        </w:rPr>
        <w:instrText>a</w:instrText>
      </w:r>
      <w:r w:rsidR="00A6794A" w:rsidRPr="00A6794A">
        <w:instrText xml:space="preserve"> </w:instrText>
      </w:r>
      <w:r w:rsidR="00A6794A">
        <w:rPr>
          <w:lang w:val="en-US"/>
        </w:rPr>
        <w:instrText>result</w:instrText>
      </w:r>
      <w:r w:rsidR="00A6794A" w:rsidRPr="00A6794A">
        <w:instrText xml:space="preserve">, </w:instrText>
      </w:r>
      <w:r w:rsidR="00A6794A">
        <w:rPr>
          <w:lang w:val="en-US"/>
        </w:rPr>
        <w:instrText>fluorodeoxyglucose</w:instrText>
      </w:r>
      <w:r w:rsidR="00A6794A" w:rsidRPr="00A6794A">
        <w:instrText xml:space="preserve"> (</w:instrText>
      </w:r>
      <w:r w:rsidR="00A6794A">
        <w:rPr>
          <w:lang w:val="en-US"/>
        </w:rPr>
        <w:instrText>FDG</w:instrText>
      </w:r>
      <w:r w:rsidR="00A6794A" w:rsidRPr="00A6794A">
        <w:instrText xml:space="preserve">) </w:instrText>
      </w:r>
      <w:r w:rsidR="00A6794A">
        <w:rPr>
          <w:lang w:val="en-US"/>
        </w:rPr>
        <w:instrText>positron</w:instrText>
      </w:r>
      <w:r w:rsidR="00A6794A" w:rsidRPr="00A6794A">
        <w:instrText xml:space="preserve"> </w:instrText>
      </w:r>
      <w:r w:rsidR="00A6794A">
        <w:rPr>
          <w:lang w:val="en-US"/>
        </w:rPr>
        <w:instrText>emission</w:instrText>
      </w:r>
      <w:r w:rsidR="00A6794A" w:rsidRPr="00A6794A">
        <w:instrText xml:space="preserve"> </w:instrText>
      </w:r>
      <w:r w:rsidR="00A6794A">
        <w:rPr>
          <w:lang w:val="en-US"/>
        </w:rPr>
        <w:instrText>tomography</w:instrText>
      </w:r>
      <w:r w:rsidR="00A6794A" w:rsidRPr="00A6794A">
        <w:instrText xml:space="preserve"> (</w:instrText>
      </w:r>
      <w:r w:rsidR="00A6794A">
        <w:rPr>
          <w:lang w:val="en-US"/>
        </w:rPr>
        <w:instrText>PET</w:instrText>
      </w:r>
      <w:r w:rsidR="00A6794A" w:rsidRPr="00A6794A">
        <w:instrText>)-</w:instrText>
      </w:r>
      <w:r w:rsidR="00A6794A">
        <w:rPr>
          <w:lang w:val="en-US"/>
        </w:rPr>
        <w:instrText>computed</w:instrText>
      </w:r>
      <w:r w:rsidR="00A6794A" w:rsidRPr="00A6794A">
        <w:instrText xml:space="preserve"> </w:instrText>
      </w:r>
      <w:r w:rsidR="00A6794A">
        <w:rPr>
          <w:lang w:val="en-US"/>
        </w:rPr>
        <w:instrText>tomography</w:instrText>
      </w:r>
      <w:r w:rsidR="00A6794A" w:rsidRPr="00A6794A">
        <w:instrText xml:space="preserve"> (</w:instrText>
      </w:r>
      <w:r w:rsidR="00A6794A">
        <w:rPr>
          <w:lang w:val="en-US"/>
        </w:rPr>
        <w:instrText>CT</w:instrText>
      </w:r>
      <w:r w:rsidR="00A6794A" w:rsidRPr="00A6794A">
        <w:instrText xml:space="preserve">) </w:instrText>
      </w:r>
      <w:r w:rsidR="00A6794A">
        <w:rPr>
          <w:lang w:val="en-US"/>
        </w:rPr>
        <w:instrText>was</w:instrText>
      </w:r>
      <w:r w:rsidR="00A6794A" w:rsidRPr="00A6794A">
        <w:instrText xml:space="preserve"> </w:instrText>
      </w:r>
      <w:r w:rsidR="00A6794A">
        <w:rPr>
          <w:lang w:val="en-US"/>
        </w:rPr>
        <w:instrText>formally</w:instrText>
      </w:r>
      <w:r w:rsidR="00A6794A" w:rsidRPr="00A6794A">
        <w:instrText xml:space="preserve"> </w:instrText>
      </w:r>
      <w:r w:rsidR="00A6794A">
        <w:rPr>
          <w:lang w:val="en-US"/>
        </w:rPr>
        <w:instrText>incorporated</w:instrText>
      </w:r>
      <w:r w:rsidR="00A6794A" w:rsidRPr="00A6794A">
        <w:instrText xml:space="preserve"> </w:instrText>
      </w:r>
      <w:r w:rsidR="00A6794A">
        <w:rPr>
          <w:lang w:val="en-US"/>
        </w:rPr>
        <w:instrText>into</w:instrText>
      </w:r>
      <w:r w:rsidR="00A6794A" w:rsidRPr="00A6794A">
        <w:instrText xml:space="preserve"> </w:instrText>
      </w:r>
      <w:r w:rsidR="00A6794A">
        <w:rPr>
          <w:lang w:val="en-US"/>
        </w:rPr>
        <w:instrText>standard</w:instrText>
      </w:r>
      <w:r w:rsidR="00A6794A" w:rsidRPr="00A6794A">
        <w:instrText xml:space="preserve"> </w:instrText>
      </w:r>
      <w:r w:rsidR="00A6794A">
        <w:rPr>
          <w:lang w:val="en-US"/>
        </w:rPr>
        <w:instrText>staging</w:instrText>
      </w:r>
      <w:r w:rsidR="00A6794A" w:rsidRPr="00A6794A">
        <w:instrText xml:space="preserve"> </w:instrText>
      </w:r>
      <w:r w:rsidR="00A6794A">
        <w:rPr>
          <w:lang w:val="en-US"/>
        </w:rPr>
        <w:instrText>for</w:instrText>
      </w:r>
      <w:r w:rsidR="00A6794A" w:rsidRPr="00A6794A">
        <w:instrText xml:space="preserve"> </w:instrText>
      </w:r>
      <w:r w:rsidR="00A6794A">
        <w:rPr>
          <w:lang w:val="en-US"/>
        </w:rPr>
        <w:instrText>FDG</w:instrText>
      </w:r>
      <w:r w:rsidR="00A6794A" w:rsidRPr="00A6794A">
        <w:instrText>-</w:instrText>
      </w:r>
      <w:r w:rsidR="00A6794A">
        <w:rPr>
          <w:lang w:val="en-US"/>
        </w:rPr>
        <w:instrText>avid</w:instrText>
      </w:r>
      <w:r w:rsidR="00A6794A" w:rsidRPr="00A6794A">
        <w:instrText xml:space="preserve"> </w:instrText>
      </w:r>
      <w:r w:rsidR="00A6794A">
        <w:rPr>
          <w:lang w:val="en-US"/>
        </w:rPr>
        <w:instrText>lymphomas</w:instrText>
      </w:r>
      <w:r w:rsidR="00A6794A" w:rsidRPr="00A6794A">
        <w:instrText xml:space="preserve">. </w:instrText>
      </w:r>
      <w:r w:rsidR="00A6794A">
        <w:rPr>
          <w:lang w:val="en-US"/>
        </w:rPr>
        <w:instrText>A</w:instrText>
      </w:r>
      <w:r w:rsidR="00A6794A" w:rsidRPr="00A6794A">
        <w:instrText xml:space="preserve"> </w:instrText>
      </w:r>
      <w:r w:rsidR="00A6794A">
        <w:rPr>
          <w:lang w:val="en-US"/>
        </w:rPr>
        <w:instrText>modification</w:instrText>
      </w:r>
      <w:r w:rsidR="00A6794A" w:rsidRPr="00A6794A">
        <w:instrText xml:space="preserve"> </w:instrText>
      </w:r>
      <w:r w:rsidR="00A6794A">
        <w:rPr>
          <w:lang w:val="en-US"/>
        </w:rPr>
        <w:instrText>of</w:instrText>
      </w:r>
      <w:r w:rsidR="00A6794A" w:rsidRPr="00A6794A">
        <w:instrText xml:space="preserve"> </w:instrText>
      </w:r>
      <w:r w:rsidR="00A6794A">
        <w:rPr>
          <w:lang w:val="en-US"/>
        </w:rPr>
        <w:instrText>the</w:instrText>
      </w:r>
      <w:r w:rsidR="00A6794A" w:rsidRPr="00A6794A">
        <w:instrText xml:space="preserve"> </w:instrText>
      </w:r>
      <w:r w:rsidR="00A6794A">
        <w:rPr>
          <w:lang w:val="en-US"/>
        </w:rPr>
        <w:instrText>Ann</w:instrText>
      </w:r>
      <w:r w:rsidR="00A6794A" w:rsidRPr="00A6794A">
        <w:instrText xml:space="preserve"> </w:instrText>
      </w:r>
      <w:r w:rsidR="00A6794A">
        <w:rPr>
          <w:lang w:val="en-US"/>
        </w:rPr>
        <w:instrText>Arbor</w:instrText>
      </w:r>
      <w:r w:rsidR="00A6794A" w:rsidRPr="00A6794A">
        <w:instrText xml:space="preserve"> </w:instrText>
      </w:r>
      <w:r w:rsidR="00A6794A">
        <w:rPr>
          <w:lang w:val="en-US"/>
        </w:rPr>
        <w:instrText>descriptive</w:instrText>
      </w:r>
      <w:r w:rsidR="00A6794A" w:rsidRPr="00A6794A">
        <w:instrText xml:space="preserve"> </w:instrText>
      </w:r>
      <w:r w:rsidR="00A6794A">
        <w:rPr>
          <w:lang w:val="en-US"/>
        </w:rPr>
        <w:instrText>terminology</w:instrText>
      </w:r>
      <w:r w:rsidR="00A6794A" w:rsidRPr="00A6794A">
        <w:instrText xml:space="preserve"> </w:instrText>
      </w:r>
      <w:r w:rsidR="00A6794A">
        <w:rPr>
          <w:lang w:val="en-US"/>
        </w:rPr>
        <w:instrText>will</w:instrText>
      </w:r>
      <w:r w:rsidR="00A6794A" w:rsidRPr="00A6794A">
        <w:instrText xml:space="preserve"> </w:instrText>
      </w:r>
      <w:r w:rsidR="00A6794A">
        <w:rPr>
          <w:lang w:val="en-US"/>
        </w:rPr>
        <w:instrText>be</w:instrText>
      </w:r>
      <w:r w:rsidR="00A6794A" w:rsidRPr="00A6794A">
        <w:instrText xml:space="preserve"> </w:instrText>
      </w:r>
      <w:r w:rsidR="00A6794A">
        <w:rPr>
          <w:lang w:val="en-US"/>
        </w:rPr>
        <w:instrText>used</w:instrText>
      </w:r>
      <w:r w:rsidR="00A6794A" w:rsidRPr="00A6794A">
        <w:instrText xml:space="preserve"> </w:instrText>
      </w:r>
      <w:r w:rsidR="00A6794A">
        <w:rPr>
          <w:lang w:val="en-US"/>
        </w:rPr>
        <w:instrText>for</w:instrText>
      </w:r>
      <w:r w:rsidR="00A6794A" w:rsidRPr="00A6794A">
        <w:instrText xml:space="preserve"> </w:instrText>
      </w:r>
      <w:r w:rsidR="00A6794A">
        <w:rPr>
          <w:lang w:val="en-US"/>
        </w:rPr>
        <w:instrText>anatomic</w:instrText>
      </w:r>
      <w:r w:rsidR="00A6794A" w:rsidRPr="00A6794A">
        <w:instrText xml:space="preserve"> </w:instrText>
      </w:r>
      <w:r w:rsidR="00A6794A">
        <w:rPr>
          <w:lang w:val="en-US"/>
        </w:rPr>
        <w:instrText>distribution</w:instrText>
      </w:r>
      <w:r w:rsidR="00A6794A" w:rsidRPr="00A6794A">
        <w:instrText xml:space="preserve"> </w:instrText>
      </w:r>
      <w:r w:rsidR="00A6794A">
        <w:rPr>
          <w:lang w:val="en-US"/>
        </w:rPr>
        <w:instrText>of</w:instrText>
      </w:r>
      <w:r w:rsidR="00A6794A" w:rsidRPr="00A6794A">
        <w:instrText xml:space="preserve"> </w:instrText>
      </w:r>
      <w:r w:rsidR="00A6794A">
        <w:rPr>
          <w:lang w:val="en-US"/>
        </w:rPr>
        <w:instrText>disease</w:instrText>
      </w:r>
      <w:r w:rsidR="00A6794A" w:rsidRPr="00A6794A">
        <w:instrText xml:space="preserve"> </w:instrText>
      </w:r>
      <w:r w:rsidR="00A6794A">
        <w:rPr>
          <w:lang w:val="en-US"/>
        </w:rPr>
        <w:instrText>extent</w:instrText>
      </w:r>
      <w:r w:rsidR="00A6794A" w:rsidRPr="00A6794A">
        <w:instrText xml:space="preserve">, </w:instrText>
      </w:r>
      <w:r w:rsidR="00A6794A">
        <w:rPr>
          <w:lang w:val="en-US"/>
        </w:rPr>
        <w:instrText>but</w:instrText>
      </w:r>
      <w:r w:rsidR="00A6794A" w:rsidRPr="00A6794A">
        <w:instrText xml:space="preserve"> </w:instrText>
      </w:r>
      <w:r w:rsidR="00A6794A">
        <w:rPr>
          <w:lang w:val="en-US"/>
        </w:rPr>
        <w:instrText>the</w:instrText>
      </w:r>
      <w:r w:rsidR="00A6794A" w:rsidRPr="00A6794A">
        <w:instrText xml:space="preserve"> </w:instrText>
      </w:r>
      <w:r w:rsidR="00A6794A">
        <w:rPr>
          <w:lang w:val="en-US"/>
        </w:rPr>
        <w:instrText>suffixes</w:instrText>
      </w:r>
      <w:r w:rsidR="00A6794A" w:rsidRPr="00A6794A">
        <w:instrText xml:space="preserve"> </w:instrText>
      </w:r>
      <w:r w:rsidR="00A6794A">
        <w:rPr>
          <w:lang w:val="en-US"/>
        </w:rPr>
        <w:instrText>A</w:instrText>
      </w:r>
      <w:r w:rsidR="00A6794A" w:rsidRPr="00A6794A">
        <w:instrText xml:space="preserve"> </w:instrText>
      </w:r>
      <w:r w:rsidR="00A6794A">
        <w:rPr>
          <w:lang w:val="en-US"/>
        </w:rPr>
        <w:instrText>or</w:instrText>
      </w:r>
      <w:r w:rsidR="00A6794A" w:rsidRPr="00A6794A">
        <w:instrText xml:space="preserve"> </w:instrText>
      </w:r>
      <w:r w:rsidR="00A6794A">
        <w:rPr>
          <w:lang w:val="en-US"/>
        </w:rPr>
        <w:instrText>B</w:instrText>
      </w:r>
      <w:r w:rsidR="00A6794A" w:rsidRPr="00A6794A">
        <w:instrText xml:space="preserve"> </w:instrText>
      </w:r>
      <w:r w:rsidR="00A6794A">
        <w:rPr>
          <w:lang w:val="en-US"/>
        </w:rPr>
        <w:instrText>for</w:instrText>
      </w:r>
      <w:r w:rsidR="00A6794A" w:rsidRPr="00A6794A">
        <w:instrText xml:space="preserve"> </w:instrText>
      </w:r>
      <w:r w:rsidR="00A6794A">
        <w:rPr>
          <w:lang w:val="en-US"/>
        </w:rPr>
        <w:instrText>symptoms</w:instrText>
      </w:r>
      <w:r w:rsidR="00A6794A" w:rsidRPr="00A6794A">
        <w:instrText xml:space="preserve"> </w:instrText>
      </w:r>
      <w:r w:rsidR="00A6794A">
        <w:rPr>
          <w:lang w:val="en-US"/>
        </w:rPr>
        <w:instrText>will</w:instrText>
      </w:r>
      <w:r w:rsidR="00A6794A" w:rsidRPr="00A6794A">
        <w:instrText xml:space="preserve"> </w:instrText>
      </w:r>
      <w:r w:rsidR="00A6794A">
        <w:rPr>
          <w:lang w:val="en-US"/>
        </w:rPr>
        <w:instrText>only</w:instrText>
      </w:r>
      <w:r w:rsidR="00A6794A" w:rsidRPr="00A6794A">
        <w:instrText xml:space="preserve"> </w:instrText>
      </w:r>
      <w:r w:rsidR="00A6794A">
        <w:rPr>
          <w:lang w:val="en-US"/>
        </w:rPr>
        <w:instrText>be</w:instrText>
      </w:r>
      <w:r w:rsidR="00A6794A" w:rsidRPr="00A6794A">
        <w:instrText xml:space="preserve"> </w:instrText>
      </w:r>
      <w:r w:rsidR="00A6794A">
        <w:rPr>
          <w:lang w:val="en-US"/>
        </w:rPr>
        <w:instrText>included</w:instrText>
      </w:r>
      <w:r w:rsidR="00A6794A" w:rsidRPr="00A6794A">
        <w:instrText xml:space="preserve"> </w:instrText>
      </w:r>
      <w:r w:rsidR="00A6794A">
        <w:rPr>
          <w:lang w:val="en-US"/>
        </w:rPr>
        <w:instrText>for</w:instrText>
      </w:r>
      <w:r w:rsidR="00A6794A" w:rsidRPr="00A6794A">
        <w:instrText xml:space="preserve"> </w:instrText>
      </w:r>
      <w:r w:rsidR="00A6794A">
        <w:rPr>
          <w:lang w:val="en-US"/>
        </w:rPr>
        <w:instrText>HL</w:instrText>
      </w:r>
      <w:r w:rsidR="00A6794A" w:rsidRPr="00A6794A">
        <w:instrText xml:space="preserve">. </w:instrText>
      </w:r>
      <w:r w:rsidR="00A6794A">
        <w:rPr>
          <w:lang w:val="en-US"/>
        </w:rPr>
        <w:instrText>A</w:instrText>
      </w:r>
      <w:r w:rsidR="00A6794A" w:rsidRPr="00A6794A">
        <w:instrText xml:space="preserve"> </w:instrText>
      </w:r>
      <w:r w:rsidR="00A6794A">
        <w:rPr>
          <w:lang w:val="en-US"/>
        </w:rPr>
        <w:instrText>bone</w:instrText>
      </w:r>
      <w:r w:rsidR="00A6794A" w:rsidRPr="00A6794A">
        <w:instrText xml:space="preserve"> </w:instrText>
      </w:r>
      <w:r w:rsidR="00A6794A">
        <w:rPr>
          <w:lang w:val="en-US"/>
        </w:rPr>
        <w:instrText>marrow</w:instrText>
      </w:r>
      <w:r w:rsidR="00A6794A" w:rsidRPr="00A6794A">
        <w:instrText xml:space="preserve"> </w:instrText>
      </w:r>
      <w:r w:rsidR="00A6794A">
        <w:rPr>
          <w:lang w:val="en-US"/>
        </w:rPr>
        <w:instrText>biopsy</w:instrText>
      </w:r>
      <w:r w:rsidR="00A6794A" w:rsidRPr="00A6794A">
        <w:instrText xml:space="preserve"> </w:instrText>
      </w:r>
      <w:r w:rsidR="00A6794A">
        <w:rPr>
          <w:lang w:val="en-US"/>
        </w:rPr>
        <w:instrText>is</w:instrText>
      </w:r>
      <w:r w:rsidR="00A6794A" w:rsidRPr="00A6794A">
        <w:instrText xml:space="preserve"> </w:instrText>
      </w:r>
      <w:r w:rsidR="00A6794A">
        <w:rPr>
          <w:lang w:val="en-US"/>
        </w:rPr>
        <w:instrText>no</w:instrText>
      </w:r>
      <w:r w:rsidR="00A6794A" w:rsidRPr="00A6794A">
        <w:instrText xml:space="preserve"> </w:instrText>
      </w:r>
      <w:r w:rsidR="00A6794A">
        <w:rPr>
          <w:lang w:val="en-US"/>
        </w:rPr>
        <w:instrText>longer</w:instrText>
      </w:r>
      <w:r w:rsidR="00A6794A" w:rsidRPr="00A6794A">
        <w:instrText xml:space="preserve"> </w:instrText>
      </w:r>
      <w:r w:rsidR="00A6794A">
        <w:rPr>
          <w:lang w:val="en-US"/>
        </w:rPr>
        <w:instrText>indicated</w:instrText>
      </w:r>
      <w:r w:rsidR="00A6794A" w:rsidRPr="00A6794A">
        <w:instrText xml:space="preserve"> </w:instrText>
      </w:r>
      <w:r w:rsidR="00A6794A">
        <w:rPr>
          <w:lang w:val="en-US"/>
        </w:rPr>
        <w:instrText>for</w:instrText>
      </w:r>
      <w:r w:rsidR="00A6794A" w:rsidRPr="00A6794A">
        <w:instrText xml:space="preserve"> </w:instrText>
      </w:r>
      <w:r w:rsidR="00A6794A">
        <w:rPr>
          <w:lang w:val="en-US"/>
        </w:rPr>
        <w:instrText>the</w:instrText>
      </w:r>
      <w:r w:rsidR="00A6794A" w:rsidRPr="00A6794A">
        <w:instrText xml:space="preserve"> </w:instrText>
      </w:r>
      <w:r w:rsidR="00A6794A">
        <w:rPr>
          <w:lang w:val="en-US"/>
        </w:rPr>
        <w:instrText>routine</w:instrText>
      </w:r>
      <w:r w:rsidR="00A6794A" w:rsidRPr="00A6794A">
        <w:instrText xml:space="preserve"> </w:instrText>
      </w:r>
      <w:r w:rsidR="00A6794A">
        <w:rPr>
          <w:lang w:val="en-US"/>
        </w:rPr>
        <w:instrText>staging</w:instrText>
      </w:r>
      <w:r w:rsidR="00A6794A" w:rsidRPr="00A6794A">
        <w:instrText xml:space="preserve"> </w:instrText>
      </w:r>
      <w:r w:rsidR="00A6794A">
        <w:rPr>
          <w:lang w:val="en-US"/>
        </w:rPr>
        <w:instrText>of</w:instrText>
      </w:r>
      <w:r w:rsidR="00A6794A" w:rsidRPr="00A6794A">
        <w:instrText xml:space="preserve"> </w:instrText>
      </w:r>
      <w:r w:rsidR="00A6794A">
        <w:rPr>
          <w:lang w:val="en-US"/>
        </w:rPr>
        <w:instrText>HL</w:instrText>
      </w:r>
      <w:r w:rsidR="00A6794A" w:rsidRPr="00A6794A">
        <w:instrText xml:space="preserve"> </w:instrText>
      </w:r>
      <w:r w:rsidR="00A6794A">
        <w:rPr>
          <w:lang w:val="en-US"/>
        </w:rPr>
        <w:instrText>and</w:instrText>
      </w:r>
      <w:r w:rsidR="00A6794A" w:rsidRPr="00A6794A">
        <w:instrText xml:space="preserve"> </w:instrText>
      </w:r>
      <w:r w:rsidR="00A6794A">
        <w:rPr>
          <w:lang w:val="en-US"/>
        </w:rPr>
        <w:instrText>most</w:instrText>
      </w:r>
      <w:r w:rsidR="00A6794A" w:rsidRPr="00A6794A">
        <w:instrText xml:space="preserve"> </w:instrText>
      </w:r>
      <w:r w:rsidR="00A6794A">
        <w:rPr>
          <w:lang w:val="en-US"/>
        </w:rPr>
        <w:instrText>diffuse</w:instrText>
      </w:r>
      <w:r w:rsidR="00A6794A" w:rsidRPr="00A6794A">
        <w:instrText xml:space="preserve"> </w:instrText>
      </w:r>
      <w:r w:rsidR="00A6794A">
        <w:rPr>
          <w:lang w:val="en-US"/>
        </w:rPr>
        <w:instrText>large</w:instrText>
      </w:r>
      <w:r w:rsidR="00A6794A" w:rsidRPr="00A6794A">
        <w:instrText xml:space="preserve"> </w:instrText>
      </w:r>
      <w:r w:rsidR="00A6794A">
        <w:rPr>
          <w:lang w:val="en-US"/>
        </w:rPr>
        <w:instrText>B</w:instrText>
      </w:r>
      <w:r w:rsidR="00A6794A" w:rsidRPr="00A6794A">
        <w:instrText>-</w:instrText>
      </w:r>
      <w:r w:rsidR="00A6794A">
        <w:rPr>
          <w:lang w:val="en-US"/>
        </w:rPr>
        <w:instrText>cell</w:instrText>
      </w:r>
      <w:r w:rsidR="00A6794A" w:rsidRPr="00A6794A">
        <w:instrText xml:space="preserve"> </w:instrText>
      </w:r>
      <w:r w:rsidR="00A6794A">
        <w:rPr>
          <w:lang w:val="en-US"/>
        </w:rPr>
        <w:instrText>lymphomas</w:instrText>
      </w:r>
      <w:r w:rsidR="00A6794A" w:rsidRPr="00A6794A">
        <w:instrText xml:space="preserve">. </w:instrText>
      </w:r>
      <w:r w:rsidR="00A6794A">
        <w:rPr>
          <w:lang w:val="en-US"/>
        </w:rPr>
        <w:instrText>However</w:instrText>
      </w:r>
      <w:r w:rsidR="00A6794A" w:rsidRPr="00A6794A">
        <w:instrText xml:space="preserve">, </w:instrText>
      </w:r>
      <w:r w:rsidR="00A6794A">
        <w:rPr>
          <w:lang w:val="en-US"/>
        </w:rPr>
        <w:instrText>regardless</w:instrText>
      </w:r>
      <w:r w:rsidR="00A6794A" w:rsidRPr="00A6794A">
        <w:instrText xml:space="preserve"> </w:instrText>
      </w:r>
      <w:r w:rsidR="00A6794A">
        <w:rPr>
          <w:lang w:val="en-US"/>
        </w:rPr>
        <w:instrText>of</w:instrText>
      </w:r>
      <w:r w:rsidR="00A6794A" w:rsidRPr="00A6794A">
        <w:instrText xml:space="preserve"> </w:instrText>
      </w:r>
      <w:r w:rsidR="00A6794A">
        <w:rPr>
          <w:lang w:val="en-US"/>
        </w:rPr>
        <w:instrText>stage</w:instrText>
      </w:r>
      <w:r w:rsidR="00A6794A" w:rsidRPr="00A6794A">
        <w:instrText xml:space="preserve">, </w:instrText>
      </w:r>
      <w:r w:rsidR="00A6794A">
        <w:rPr>
          <w:lang w:val="en-US"/>
        </w:rPr>
        <w:instrText>general</w:instrText>
      </w:r>
      <w:r w:rsidR="00A6794A" w:rsidRPr="00A6794A">
        <w:instrText xml:space="preserve"> </w:instrText>
      </w:r>
      <w:r w:rsidR="00A6794A">
        <w:rPr>
          <w:lang w:val="en-US"/>
        </w:rPr>
        <w:instrText>practice</w:instrText>
      </w:r>
      <w:r w:rsidR="00A6794A" w:rsidRPr="00A6794A">
        <w:instrText xml:space="preserve"> </w:instrText>
      </w:r>
      <w:r w:rsidR="00A6794A">
        <w:rPr>
          <w:lang w:val="en-US"/>
        </w:rPr>
        <w:instrText>is</w:instrText>
      </w:r>
      <w:r w:rsidR="00A6794A" w:rsidRPr="00A6794A">
        <w:instrText xml:space="preserve"> </w:instrText>
      </w:r>
      <w:r w:rsidR="00A6794A">
        <w:rPr>
          <w:lang w:val="en-US"/>
        </w:rPr>
        <w:instrText>to</w:instrText>
      </w:r>
      <w:r w:rsidR="00A6794A" w:rsidRPr="00A6794A">
        <w:instrText xml:space="preserve"> </w:instrText>
      </w:r>
      <w:r w:rsidR="00A6794A">
        <w:rPr>
          <w:lang w:val="en-US"/>
        </w:rPr>
        <w:instrText>treat</w:instrText>
      </w:r>
      <w:r w:rsidR="00A6794A" w:rsidRPr="00A6794A">
        <w:instrText xml:space="preserve"> </w:instrText>
      </w:r>
      <w:r w:rsidR="00A6794A">
        <w:rPr>
          <w:lang w:val="en-US"/>
        </w:rPr>
        <w:instrText>patients</w:instrText>
      </w:r>
      <w:r w:rsidR="00A6794A" w:rsidRPr="00A6794A">
        <w:instrText xml:space="preserve"> </w:instrText>
      </w:r>
      <w:r w:rsidR="00A6794A">
        <w:rPr>
          <w:lang w:val="en-US"/>
        </w:rPr>
        <w:instrText>based</w:instrText>
      </w:r>
      <w:r w:rsidR="00A6794A" w:rsidRPr="00A6794A">
        <w:instrText xml:space="preserve"> </w:instrText>
      </w:r>
      <w:r w:rsidR="00A6794A">
        <w:rPr>
          <w:lang w:val="en-US"/>
        </w:rPr>
        <w:instrText>on</w:instrText>
      </w:r>
      <w:r w:rsidR="00A6794A" w:rsidRPr="00A6794A">
        <w:instrText xml:space="preserve"> </w:instrText>
      </w:r>
      <w:r w:rsidR="00A6794A">
        <w:rPr>
          <w:lang w:val="en-US"/>
        </w:rPr>
        <w:instrText>limited</w:instrText>
      </w:r>
      <w:r w:rsidR="00A6794A" w:rsidRPr="00A6794A">
        <w:instrText xml:space="preserve"> (</w:instrText>
      </w:r>
      <w:r w:rsidR="00A6794A">
        <w:rPr>
          <w:lang w:val="en-US"/>
        </w:rPr>
        <w:instrText>stages</w:instrText>
      </w:r>
      <w:r w:rsidR="00A6794A" w:rsidRPr="00A6794A">
        <w:instrText xml:space="preserve"> </w:instrText>
      </w:r>
      <w:r w:rsidR="00A6794A">
        <w:rPr>
          <w:lang w:val="en-US"/>
        </w:rPr>
        <w:instrText>I</w:instrText>
      </w:r>
      <w:r w:rsidR="00A6794A" w:rsidRPr="00A6794A">
        <w:instrText xml:space="preserve"> </w:instrText>
      </w:r>
      <w:r w:rsidR="00A6794A">
        <w:rPr>
          <w:lang w:val="en-US"/>
        </w:rPr>
        <w:instrText>and</w:instrText>
      </w:r>
      <w:r w:rsidR="00A6794A" w:rsidRPr="00A6794A">
        <w:instrText xml:space="preserve"> </w:instrText>
      </w:r>
      <w:r w:rsidR="00A6794A">
        <w:rPr>
          <w:lang w:val="en-US"/>
        </w:rPr>
        <w:instrText>II</w:instrText>
      </w:r>
      <w:r w:rsidR="00A6794A" w:rsidRPr="00A6794A">
        <w:instrText xml:space="preserve">, </w:instrText>
      </w:r>
      <w:r w:rsidR="00A6794A">
        <w:rPr>
          <w:lang w:val="en-US"/>
        </w:rPr>
        <w:instrText>nonbulky</w:instrText>
      </w:r>
      <w:r w:rsidR="00A6794A" w:rsidRPr="00A6794A">
        <w:instrText xml:space="preserve">) </w:instrText>
      </w:r>
      <w:r w:rsidR="00A6794A">
        <w:rPr>
          <w:lang w:val="en-US"/>
        </w:rPr>
        <w:instrText>or</w:instrText>
      </w:r>
      <w:r w:rsidR="00A6794A" w:rsidRPr="00A6794A">
        <w:instrText xml:space="preserve"> </w:instrText>
      </w:r>
      <w:r w:rsidR="00A6794A">
        <w:rPr>
          <w:lang w:val="en-US"/>
        </w:rPr>
        <w:instrText>advanced</w:instrText>
      </w:r>
      <w:r w:rsidR="00A6794A" w:rsidRPr="00A6794A">
        <w:instrText xml:space="preserve"> (</w:instrText>
      </w:r>
      <w:r w:rsidR="00A6794A">
        <w:rPr>
          <w:lang w:val="en-US"/>
        </w:rPr>
        <w:instrText>stage</w:instrText>
      </w:r>
      <w:r w:rsidR="00A6794A" w:rsidRPr="00A6794A">
        <w:instrText xml:space="preserve"> </w:instrText>
      </w:r>
      <w:r w:rsidR="00A6794A">
        <w:rPr>
          <w:lang w:val="en-US"/>
        </w:rPr>
        <w:instrText>III</w:instrText>
      </w:r>
      <w:r w:rsidR="00A6794A" w:rsidRPr="00A6794A">
        <w:instrText xml:space="preserve"> </w:instrText>
      </w:r>
      <w:r w:rsidR="00A6794A">
        <w:rPr>
          <w:lang w:val="en-US"/>
        </w:rPr>
        <w:instrText>or</w:instrText>
      </w:r>
      <w:r w:rsidR="00A6794A" w:rsidRPr="00A6794A">
        <w:instrText xml:space="preserve"> </w:instrText>
      </w:r>
      <w:r w:rsidR="00A6794A">
        <w:rPr>
          <w:lang w:val="en-US"/>
        </w:rPr>
        <w:instrText>IV</w:instrText>
      </w:r>
      <w:r w:rsidR="00A6794A" w:rsidRPr="00A6794A">
        <w:instrText xml:space="preserve">) </w:instrText>
      </w:r>
      <w:r w:rsidR="00A6794A">
        <w:rPr>
          <w:lang w:val="en-US"/>
        </w:rPr>
        <w:instrText>disease</w:instrText>
      </w:r>
      <w:r w:rsidR="00A6794A" w:rsidRPr="00A6794A">
        <w:instrText xml:space="preserve">, </w:instrText>
      </w:r>
      <w:r w:rsidR="00A6794A">
        <w:rPr>
          <w:lang w:val="en-US"/>
        </w:rPr>
        <w:instrText>with</w:instrText>
      </w:r>
      <w:r w:rsidR="00A6794A" w:rsidRPr="00A6794A">
        <w:instrText xml:space="preserve"> </w:instrText>
      </w:r>
      <w:r w:rsidR="00A6794A">
        <w:rPr>
          <w:lang w:val="en-US"/>
        </w:rPr>
        <w:instrText>stage</w:instrText>
      </w:r>
      <w:r w:rsidR="00A6794A" w:rsidRPr="00A6794A">
        <w:instrText xml:space="preserve"> </w:instrText>
      </w:r>
      <w:r w:rsidR="00A6794A">
        <w:rPr>
          <w:lang w:val="en-US"/>
        </w:rPr>
        <w:instrText>II</w:instrText>
      </w:r>
      <w:r w:rsidR="00A6794A" w:rsidRPr="00A6794A">
        <w:instrText xml:space="preserve"> </w:instrText>
      </w:r>
      <w:r w:rsidR="00A6794A">
        <w:rPr>
          <w:lang w:val="en-US"/>
        </w:rPr>
        <w:instrText>bulky</w:instrText>
      </w:r>
      <w:r w:rsidR="00A6794A" w:rsidRPr="00A6794A">
        <w:instrText xml:space="preserve"> </w:instrText>
      </w:r>
      <w:r w:rsidR="00A6794A">
        <w:rPr>
          <w:lang w:val="en-US"/>
        </w:rPr>
        <w:instrText>disease</w:instrText>
      </w:r>
      <w:r w:rsidR="00A6794A" w:rsidRPr="00A6794A">
        <w:instrText xml:space="preserve"> </w:instrText>
      </w:r>
      <w:r w:rsidR="00A6794A">
        <w:rPr>
          <w:lang w:val="en-US"/>
        </w:rPr>
        <w:instrText>considered</w:instrText>
      </w:r>
      <w:r w:rsidR="00A6794A" w:rsidRPr="00A6794A">
        <w:instrText xml:space="preserve"> </w:instrText>
      </w:r>
      <w:r w:rsidR="00A6794A">
        <w:rPr>
          <w:lang w:val="en-US"/>
        </w:rPr>
        <w:instrText>as</w:instrText>
      </w:r>
      <w:r w:rsidR="00A6794A" w:rsidRPr="00A6794A">
        <w:instrText xml:space="preserve"> </w:instrText>
      </w:r>
      <w:r w:rsidR="00A6794A">
        <w:rPr>
          <w:lang w:val="en-US"/>
        </w:rPr>
        <w:instrText>limited</w:instrText>
      </w:r>
      <w:r w:rsidR="00A6794A" w:rsidRPr="00A6794A">
        <w:instrText xml:space="preserve"> </w:instrText>
      </w:r>
      <w:r w:rsidR="00A6794A">
        <w:rPr>
          <w:lang w:val="en-US"/>
        </w:rPr>
        <w:instrText>or</w:instrText>
      </w:r>
      <w:r w:rsidR="00A6794A" w:rsidRPr="00A6794A">
        <w:instrText xml:space="preserve"> </w:instrText>
      </w:r>
      <w:r w:rsidR="00A6794A">
        <w:rPr>
          <w:lang w:val="en-US"/>
        </w:rPr>
        <w:instrText>advanced</w:instrText>
      </w:r>
      <w:r w:rsidR="00A6794A" w:rsidRPr="00A6794A">
        <w:instrText xml:space="preserve"> </w:instrText>
      </w:r>
      <w:r w:rsidR="00A6794A">
        <w:rPr>
          <w:lang w:val="en-US"/>
        </w:rPr>
        <w:instrText>disease</w:instrText>
      </w:r>
      <w:r w:rsidR="00A6794A" w:rsidRPr="00A6794A">
        <w:instrText xml:space="preserve"> </w:instrText>
      </w:r>
      <w:r w:rsidR="00A6794A">
        <w:rPr>
          <w:lang w:val="en-US"/>
        </w:rPr>
        <w:instrText>based</w:instrText>
      </w:r>
      <w:r w:rsidR="00A6794A" w:rsidRPr="00A6794A">
        <w:instrText xml:space="preserve"> </w:instrText>
      </w:r>
      <w:r w:rsidR="00A6794A">
        <w:rPr>
          <w:lang w:val="en-US"/>
        </w:rPr>
        <w:instrText>on</w:instrText>
      </w:r>
      <w:r w:rsidR="00A6794A" w:rsidRPr="00A6794A">
        <w:instrText xml:space="preserve"> </w:instrText>
      </w:r>
      <w:r w:rsidR="00A6794A">
        <w:rPr>
          <w:lang w:val="en-US"/>
        </w:rPr>
        <w:instrText>histology</w:instrText>
      </w:r>
      <w:r w:rsidR="00A6794A" w:rsidRPr="00A6794A">
        <w:instrText xml:space="preserve"> </w:instrText>
      </w:r>
      <w:r w:rsidR="00A6794A">
        <w:rPr>
          <w:lang w:val="en-US"/>
        </w:rPr>
        <w:instrText>and</w:instrText>
      </w:r>
      <w:r w:rsidR="00A6794A" w:rsidRPr="00A6794A">
        <w:instrText xml:space="preserve"> </w:instrText>
      </w:r>
      <w:r w:rsidR="00A6794A">
        <w:rPr>
          <w:lang w:val="en-US"/>
        </w:rPr>
        <w:instrText>a</w:instrText>
      </w:r>
      <w:r w:rsidR="00A6794A" w:rsidRPr="00A6794A">
        <w:instrText xml:space="preserve"> </w:instrText>
      </w:r>
      <w:r w:rsidR="00A6794A">
        <w:rPr>
          <w:lang w:val="en-US"/>
        </w:rPr>
        <w:instrText>number</w:instrText>
      </w:r>
      <w:r w:rsidR="00A6794A" w:rsidRPr="00A6794A">
        <w:instrText xml:space="preserve"> </w:instrText>
      </w:r>
      <w:r w:rsidR="00A6794A">
        <w:rPr>
          <w:lang w:val="en-US"/>
        </w:rPr>
        <w:instrText>of</w:instrText>
      </w:r>
      <w:r w:rsidR="00A6794A" w:rsidRPr="00A6794A">
        <w:instrText xml:space="preserve"> </w:instrText>
      </w:r>
      <w:r w:rsidR="00A6794A">
        <w:rPr>
          <w:lang w:val="en-US"/>
        </w:rPr>
        <w:instrText>prognostic</w:instrText>
      </w:r>
      <w:r w:rsidR="00A6794A" w:rsidRPr="00A6794A">
        <w:instrText xml:space="preserve"> </w:instrText>
      </w:r>
      <w:r w:rsidR="00A6794A">
        <w:rPr>
          <w:lang w:val="en-US"/>
        </w:rPr>
        <w:instrText>factors</w:instrText>
      </w:r>
      <w:r w:rsidR="00A6794A" w:rsidRPr="00A6794A">
        <w:instrText xml:space="preserve">. </w:instrText>
      </w:r>
      <w:r w:rsidR="00A6794A">
        <w:rPr>
          <w:lang w:val="en-US"/>
        </w:rPr>
        <w:instrText>PET</w:instrText>
      </w:r>
      <w:r w:rsidR="00A6794A" w:rsidRPr="00A6794A">
        <w:instrText>-</w:instrText>
      </w:r>
      <w:r w:rsidR="00A6794A">
        <w:rPr>
          <w:lang w:val="en-US"/>
        </w:rPr>
        <w:instrText>CT</w:instrText>
      </w:r>
      <w:r w:rsidR="00A6794A" w:rsidRPr="00A6794A">
        <w:instrText xml:space="preserve"> </w:instrText>
      </w:r>
      <w:r w:rsidR="00A6794A">
        <w:rPr>
          <w:lang w:val="en-US"/>
        </w:rPr>
        <w:instrText>will</w:instrText>
      </w:r>
      <w:r w:rsidR="00A6794A" w:rsidRPr="00A6794A">
        <w:instrText xml:space="preserve"> </w:instrText>
      </w:r>
      <w:r w:rsidR="00A6794A">
        <w:rPr>
          <w:lang w:val="en-US"/>
        </w:rPr>
        <w:instrText>be</w:instrText>
      </w:r>
      <w:r w:rsidR="00A6794A" w:rsidRPr="00A6794A">
        <w:instrText xml:space="preserve"> </w:instrText>
      </w:r>
      <w:r w:rsidR="00A6794A">
        <w:rPr>
          <w:lang w:val="en-US"/>
        </w:rPr>
        <w:instrText>used</w:instrText>
      </w:r>
      <w:r w:rsidR="00A6794A" w:rsidRPr="00A6794A">
        <w:instrText xml:space="preserve"> </w:instrText>
      </w:r>
      <w:r w:rsidR="00A6794A">
        <w:rPr>
          <w:lang w:val="en-US"/>
        </w:rPr>
        <w:instrText>to</w:instrText>
      </w:r>
      <w:r w:rsidR="00A6794A" w:rsidRPr="00A6794A">
        <w:instrText xml:space="preserve"> </w:instrText>
      </w:r>
      <w:r w:rsidR="00A6794A">
        <w:rPr>
          <w:lang w:val="en-US"/>
        </w:rPr>
        <w:instrText>assess</w:instrText>
      </w:r>
      <w:r w:rsidR="00A6794A" w:rsidRPr="00A6794A">
        <w:instrText xml:space="preserve"> </w:instrText>
      </w:r>
      <w:r w:rsidR="00A6794A">
        <w:rPr>
          <w:lang w:val="en-US"/>
        </w:rPr>
        <w:instrText>response</w:instrText>
      </w:r>
      <w:r w:rsidR="00A6794A" w:rsidRPr="00A6794A">
        <w:instrText xml:space="preserve"> </w:instrText>
      </w:r>
      <w:r w:rsidR="00A6794A">
        <w:rPr>
          <w:lang w:val="en-US"/>
        </w:rPr>
        <w:instrText>in</w:instrText>
      </w:r>
      <w:r w:rsidR="00A6794A" w:rsidRPr="00A6794A">
        <w:instrText xml:space="preserve"> </w:instrText>
      </w:r>
      <w:r w:rsidR="00A6794A">
        <w:rPr>
          <w:lang w:val="en-US"/>
        </w:rPr>
        <w:instrText>FDG</w:instrText>
      </w:r>
      <w:r w:rsidR="00A6794A" w:rsidRPr="00A6794A">
        <w:instrText>-</w:instrText>
      </w:r>
      <w:r w:rsidR="00A6794A">
        <w:rPr>
          <w:lang w:val="en-US"/>
        </w:rPr>
        <w:instrText>avid</w:instrText>
      </w:r>
      <w:r w:rsidR="00A6794A" w:rsidRPr="00A6794A">
        <w:instrText xml:space="preserve"> </w:instrText>
      </w:r>
      <w:r w:rsidR="00A6794A">
        <w:rPr>
          <w:lang w:val="en-US"/>
        </w:rPr>
        <w:instrText>histologies</w:instrText>
      </w:r>
      <w:r w:rsidR="00A6794A" w:rsidRPr="00A6794A">
        <w:instrText xml:space="preserve"> </w:instrText>
      </w:r>
      <w:r w:rsidR="00A6794A">
        <w:rPr>
          <w:lang w:val="en-US"/>
        </w:rPr>
        <w:instrText>using</w:instrText>
      </w:r>
      <w:r w:rsidR="00A6794A" w:rsidRPr="00A6794A">
        <w:instrText xml:space="preserve"> </w:instrText>
      </w:r>
      <w:r w:rsidR="00A6794A">
        <w:rPr>
          <w:lang w:val="en-US"/>
        </w:rPr>
        <w:instrText>the</w:instrText>
      </w:r>
      <w:r w:rsidR="00A6794A" w:rsidRPr="00A6794A">
        <w:instrText xml:space="preserve"> 5-</w:instrText>
      </w:r>
      <w:r w:rsidR="00A6794A">
        <w:rPr>
          <w:lang w:val="en-US"/>
        </w:rPr>
        <w:instrText>point</w:instrText>
      </w:r>
      <w:r w:rsidR="00A6794A" w:rsidRPr="00A6794A">
        <w:instrText xml:space="preserve"> </w:instrText>
      </w:r>
      <w:r w:rsidR="00A6794A">
        <w:rPr>
          <w:lang w:val="en-US"/>
        </w:rPr>
        <w:instrText>scale</w:instrText>
      </w:r>
      <w:r w:rsidR="00A6794A" w:rsidRPr="00A6794A">
        <w:instrText xml:space="preserve">. </w:instrText>
      </w:r>
      <w:r w:rsidR="00A6794A">
        <w:rPr>
          <w:lang w:val="en-US"/>
        </w:rPr>
        <w:instrText>The</w:instrText>
      </w:r>
      <w:r w:rsidR="00A6794A" w:rsidRPr="00A6794A">
        <w:instrText xml:space="preserve"> </w:instrText>
      </w:r>
      <w:r w:rsidR="00A6794A">
        <w:rPr>
          <w:lang w:val="en-US"/>
        </w:rPr>
        <w:instrText>product</w:instrText>
      </w:r>
      <w:r w:rsidR="00A6794A" w:rsidRPr="00A6794A">
        <w:instrText xml:space="preserve"> </w:instrText>
      </w:r>
      <w:r w:rsidR="00A6794A">
        <w:rPr>
          <w:lang w:val="en-US"/>
        </w:rPr>
        <w:instrText>of</w:instrText>
      </w:r>
      <w:r w:rsidR="00A6794A" w:rsidRPr="00A6794A">
        <w:instrText xml:space="preserve"> </w:instrText>
      </w:r>
      <w:r w:rsidR="00A6794A">
        <w:rPr>
          <w:lang w:val="en-US"/>
        </w:rPr>
        <w:instrText>the</w:instrText>
      </w:r>
      <w:r w:rsidR="00A6794A" w:rsidRPr="00A6794A">
        <w:instrText xml:space="preserve"> </w:instrText>
      </w:r>
      <w:r w:rsidR="00A6794A">
        <w:rPr>
          <w:lang w:val="en-US"/>
        </w:rPr>
        <w:instrText>perpendicular</w:instrText>
      </w:r>
      <w:r w:rsidR="00A6794A" w:rsidRPr="00A6794A">
        <w:instrText xml:space="preserve"> </w:instrText>
      </w:r>
      <w:r w:rsidR="00A6794A">
        <w:rPr>
          <w:lang w:val="en-US"/>
        </w:rPr>
        <w:instrText>diameters</w:instrText>
      </w:r>
      <w:r w:rsidR="00A6794A" w:rsidRPr="00A6794A">
        <w:instrText xml:space="preserve"> </w:instrText>
      </w:r>
      <w:r w:rsidR="00A6794A">
        <w:rPr>
          <w:lang w:val="en-US"/>
        </w:rPr>
        <w:instrText>of</w:instrText>
      </w:r>
      <w:r w:rsidR="00A6794A" w:rsidRPr="00A6794A">
        <w:instrText xml:space="preserve"> </w:instrText>
      </w:r>
      <w:r w:rsidR="00A6794A">
        <w:rPr>
          <w:lang w:val="en-US"/>
        </w:rPr>
        <w:instrText>a</w:instrText>
      </w:r>
      <w:r w:rsidR="00A6794A" w:rsidRPr="00A6794A">
        <w:instrText xml:space="preserve"> </w:instrText>
      </w:r>
      <w:r w:rsidR="00A6794A">
        <w:rPr>
          <w:lang w:val="en-US"/>
        </w:rPr>
        <w:instrText>single</w:instrText>
      </w:r>
      <w:r w:rsidR="00A6794A" w:rsidRPr="00A6794A">
        <w:instrText xml:space="preserve"> </w:instrText>
      </w:r>
      <w:r w:rsidR="00A6794A">
        <w:rPr>
          <w:lang w:val="en-US"/>
        </w:rPr>
        <w:instrText>node</w:instrText>
      </w:r>
      <w:r w:rsidR="00A6794A" w:rsidRPr="00A6794A">
        <w:instrText xml:space="preserve"> </w:instrText>
      </w:r>
      <w:r w:rsidR="00A6794A">
        <w:rPr>
          <w:lang w:val="en-US"/>
        </w:rPr>
        <w:instrText>can</w:instrText>
      </w:r>
      <w:r w:rsidR="00A6794A" w:rsidRPr="00A6794A">
        <w:instrText xml:space="preserve"> </w:instrText>
      </w:r>
      <w:r w:rsidR="00A6794A">
        <w:rPr>
          <w:lang w:val="en-US"/>
        </w:rPr>
        <w:instrText>be</w:instrText>
      </w:r>
      <w:r w:rsidR="00A6794A" w:rsidRPr="00A6794A">
        <w:instrText xml:space="preserve"> </w:instrText>
      </w:r>
      <w:r w:rsidR="00A6794A">
        <w:rPr>
          <w:lang w:val="en-US"/>
        </w:rPr>
        <w:instrText>used</w:instrText>
      </w:r>
      <w:r w:rsidR="00A6794A" w:rsidRPr="00A6794A">
        <w:instrText xml:space="preserve"> </w:instrText>
      </w:r>
      <w:r w:rsidR="00A6794A">
        <w:rPr>
          <w:lang w:val="en-US"/>
        </w:rPr>
        <w:instrText>to</w:instrText>
      </w:r>
      <w:r w:rsidR="00A6794A" w:rsidRPr="00A6794A">
        <w:instrText xml:space="preserve"> </w:instrText>
      </w:r>
      <w:r w:rsidR="00A6794A">
        <w:rPr>
          <w:lang w:val="en-US"/>
        </w:rPr>
        <w:instrText>identify</w:instrText>
      </w:r>
      <w:r w:rsidR="00A6794A" w:rsidRPr="00A6794A">
        <w:instrText xml:space="preserve"> </w:instrText>
      </w:r>
      <w:r w:rsidR="00A6794A">
        <w:rPr>
          <w:lang w:val="en-US"/>
        </w:rPr>
        <w:instrText>progressive</w:instrText>
      </w:r>
      <w:r w:rsidR="00A6794A" w:rsidRPr="00A6794A">
        <w:instrText xml:space="preserve"> </w:instrText>
      </w:r>
      <w:r w:rsidR="00A6794A">
        <w:rPr>
          <w:lang w:val="en-US"/>
        </w:rPr>
        <w:instrText>disease</w:instrText>
      </w:r>
      <w:r w:rsidR="00A6794A" w:rsidRPr="00A6794A">
        <w:instrText xml:space="preserve">. </w:instrText>
      </w:r>
      <w:r w:rsidR="00A6794A">
        <w:rPr>
          <w:lang w:val="en-US"/>
        </w:rPr>
        <w:instrText>Routine</w:instrText>
      </w:r>
      <w:r w:rsidR="00A6794A" w:rsidRPr="00A6794A">
        <w:instrText xml:space="preserve"> </w:instrText>
      </w:r>
      <w:r w:rsidR="00A6794A">
        <w:rPr>
          <w:lang w:val="en-US"/>
        </w:rPr>
        <w:instrText>surveillance</w:instrText>
      </w:r>
      <w:r w:rsidR="00A6794A" w:rsidRPr="00A6794A">
        <w:instrText xml:space="preserve"> </w:instrText>
      </w:r>
      <w:r w:rsidR="00A6794A">
        <w:rPr>
          <w:lang w:val="en-US"/>
        </w:rPr>
        <w:instrText>scans</w:instrText>
      </w:r>
      <w:r w:rsidR="00A6794A" w:rsidRPr="00A6794A">
        <w:instrText xml:space="preserve"> </w:instrText>
      </w:r>
      <w:r w:rsidR="00A6794A">
        <w:rPr>
          <w:lang w:val="en-US"/>
        </w:rPr>
        <w:instrText>are</w:instrText>
      </w:r>
      <w:r w:rsidR="00A6794A" w:rsidRPr="00A6794A">
        <w:instrText xml:space="preserve"> </w:instrText>
      </w:r>
      <w:r w:rsidR="00A6794A">
        <w:rPr>
          <w:lang w:val="en-US"/>
        </w:rPr>
        <w:instrText>discouraged</w:instrText>
      </w:r>
      <w:r w:rsidR="00A6794A" w:rsidRPr="00A6794A">
        <w:instrText xml:space="preserve">. </w:instrText>
      </w:r>
      <w:r w:rsidR="00A6794A">
        <w:rPr>
          <w:lang w:val="en-US"/>
        </w:rPr>
        <w:instrText>These</w:instrText>
      </w:r>
      <w:r w:rsidR="00A6794A" w:rsidRPr="00A6794A">
        <w:instrText xml:space="preserve"> </w:instrText>
      </w:r>
      <w:r w:rsidR="00A6794A">
        <w:rPr>
          <w:lang w:val="en-US"/>
        </w:rPr>
        <w:instrText>recommendations</w:instrText>
      </w:r>
      <w:r w:rsidR="00A6794A" w:rsidRPr="00A6794A">
        <w:instrText xml:space="preserve"> </w:instrText>
      </w:r>
      <w:r w:rsidR="00A6794A">
        <w:rPr>
          <w:lang w:val="en-US"/>
        </w:rPr>
        <w:instrText>should</w:instrText>
      </w:r>
      <w:r w:rsidR="00A6794A" w:rsidRPr="00A6794A">
        <w:instrText xml:space="preserve"> </w:instrText>
      </w:r>
      <w:r w:rsidR="00A6794A">
        <w:rPr>
          <w:lang w:val="en-US"/>
        </w:rPr>
        <w:instrText>improve</w:instrText>
      </w:r>
      <w:r w:rsidR="00A6794A" w:rsidRPr="00A6794A">
        <w:instrText xml:space="preserve"> </w:instrText>
      </w:r>
      <w:r w:rsidR="00A6794A">
        <w:rPr>
          <w:lang w:val="en-US"/>
        </w:rPr>
        <w:instrText>evaluation</w:instrText>
      </w:r>
      <w:r w:rsidR="00A6794A" w:rsidRPr="00A6794A">
        <w:instrText xml:space="preserve"> </w:instrText>
      </w:r>
      <w:r w:rsidR="00A6794A">
        <w:rPr>
          <w:lang w:val="en-US"/>
        </w:rPr>
        <w:instrText>of</w:instrText>
      </w:r>
      <w:r w:rsidR="00A6794A" w:rsidRPr="00A6794A">
        <w:instrText xml:space="preserve"> </w:instrText>
      </w:r>
      <w:r w:rsidR="00A6794A">
        <w:rPr>
          <w:lang w:val="en-US"/>
        </w:rPr>
        <w:instrText>patients</w:instrText>
      </w:r>
      <w:r w:rsidR="00A6794A" w:rsidRPr="00A6794A">
        <w:instrText xml:space="preserve"> </w:instrText>
      </w:r>
      <w:r w:rsidR="00A6794A">
        <w:rPr>
          <w:lang w:val="en-US"/>
        </w:rPr>
        <w:instrText>with</w:instrText>
      </w:r>
      <w:r w:rsidR="00A6794A" w:rsidRPr="00A6794A">
        <w:instrText xml:space="preserve"> </w:instrText>
      </w:r>
      <w:r w:rsidR="00A6794A">
        <w:rPr>
          <w:lang w:val="en-US"/>
        </w:rPr>
        <w:instrText>lymphoma</w:instrText>
      </w:r>
      <w:r w:rsidR="00A6794A" w:rsidRPr="00A6794A">
        <w:instrText xml:space="preserve"> </w:instrText>
      </w:r>
      <w:r w:rsidR="00A6794A">
        <w:rPr>
          <w:lang w:val="en-US"/>
        </w:rPr>
        <w:instrText>and</w:instrText>
      </w:r>
      <w:r w:rsidR="00A6794A" w:rsidRPr="00A6794A">
        <w:instrText xml:space="preserve"> </w:instrText>
      </w:r>
      <w:r w:rsidR="00A6794A">
        <w:rPr>
          <w:lang w:val="en-US"/>
        </w:rPr>
        <w:instrText>enhance</w:instrText>
      </w:r>
      <w:r w:rsidR="00A6794A" w:rsidRPr="00A6794A">
        <w:instrText xml:space="preserve"> </w:instrText>
      </w:r>
      <w:r w:rsidR="00A6794A">
        <w:rPr>
          <w:lang w:val="en-US"/>
        </w:rPr>
        <w:instrText>the</w:instrText>
      </w:r>
      <w:r w:rsidR="00A6794A" w:rsidRPr="00A6794A">
        <w:instrText xml:space="preserve"> </w:instrText>
      </w:r>
      <w:r w:rsidR="00A6794A">
        <w:rPr>
          <w:lang w:val="en-US"/>
        </w:rPr>
        <w:instrText>ability</w:instrText>
      </w:r>
      <w:r w:rsidR="00A6794A" w:rsidRPr="00A6794A">
        <w:instrText xml:space="preserve"> </w:instrText>
      </w:r>
      <w:r w:rsidR="00A6794A">
        <w:rPr>
          <w:lang w:val="en-US"/>
        </w:rPr>
        <w:instrText>to</w:instrText>
      </w:r>
      <w:r w:rsidR="00A6794A" w:rsidRPr="00A6794A">
        <w:instrText xml:space="preserve"> </w:instrText>
      </w:r>
      <w:r w:rsidR="00A6794A">
        <w:rPr>
          <w:lang w:val="en-US"/>
        </w:rPr>
        <w:instrText>compare</w:instrText>
      </w:r>
      <w:r w:rsidR="00A6794A" w:rsidRPr="00A6794A">
        <w:instrText xml:space="preserve"> </w:instrText>
      </w:r>
      <w:r w:rsidR="00A6794A">
        <w:rPr>
          <w:lang w:val="en-US"/>
        </w:rPr>
        <w:instrText>outcomes</w:instrText>
      </w:r>
      <w:r w:rsidR="00A6794A" w:rsidRPr="00A6794A">
        <w:instrText xml:space="preserve"> </w:instrText>
      </w:r>
      <w:r w:rsidR="00A6794A">
        <w:rPr>
          <w:lang w:val="en-US"/>
        </w:rPr>
        <w:instrText>of</w:instrText>
      </w:r>
      <w:r w:rsidR="00A6794A" w:rsidRPr="00A6794A">
        <w:instrText xml:space="preserve"> </w:instrText>
      </w:r>
      <w:r w:rsidR="00A6794A">
        <w:rPr>
          <w:lang w:val="en-US"/>
        </w:rPr>
        <w:instrText>clinical</w:instrText>
      </w:r>
      <w:r w:rsidR="00A6794A" w:rsidRPr="00A6794A">
        <w:instrText xml:space="preserve"> </w:instrText>
      </w:r>
      <w:r w:rsidR="00A6794A">
        <w:rPr>
          <w:lang w:val="en-US"/>
        </w:rPr>
        <w:instrText>trials</w:instrText>
      </w:r>
      <w:r w:rsidR="00A6794A" w:rsidRPr="00A6794A">
        <w:instrText>.","</w:instrText>
      </w:r>
      <w:r w:rsidR="00A6794A">
        <w:rPr>
          <w:lang w:val="en-US"/>
        </w:rPr>
        <w:instrText>author</w:instrText>
      </w:r>
      <w:r w:rsidR="00A6794A" w:rsidRPr="00A6794A">
        <w:instrText>":[{"</w:instrText>
      </w:r>
      <w:r w:rsidR="00A6794A">
        <w:rPr>
          <w:lang w:val="en-US"/>
        </w:rPr>
        <w:instrText>dropping</w:instrText>
      </w:r>
      <w:r w:rsidR="00A6794A" w:rsidRPr="00A6794A">
        <w:instrText>-</w:instrText>
      </w:r>
      <w:r w:rsidR="00A6794A">
        <w:rPr>
          <w:lang w:val="en-US"/>
        </w:rPr>
        <w:instrText>particle</w:instrText>
      </w:r>
      <w:r w:rsidR="00A6794A" w:rsidRPr="00A6794A">
        <w:instrText>":"","</w:instrText>
      </w:r>
      <w:r w:rsidR="00A6794A">
        <w:rPr>
          <w:lang w:val="en-US"/>
        </w:rPr>
        <w:instrText>family</w:instrText>
      </w:r>
      <w:r w:rsidR="00A6794A" w:rsidRPr="00A6794A">
        <w:instrText>":"</w:instrText>
      </w:r>
      <w:r w:rsidR="00A6794A">
        <w:rPr>
          <w:lang w:val="en-US"/>
        </w:rPr>
        <w:instrText>Cheson</w:instrText>
      </w:r>
      <w:r w:rsidR="00A6794A" w:rsidRPr="00A6794A">
        <w:instrText>","</w:instrText>
      </w:r>
      <w:r w:rsidR="00A6794A">
        <w:rPr>
          <w:lang w:val="en-US"/>
        </w:rPr>
        <w:instrText>given</w:instrText>
      </w:r>
      <w:r w:rsidR="00A6794A" w:rsidRPr="00A6794A">
        <w:instrText>":"</w:instrText>
      </w:r>
      <w:r w:rsidR="00A6794A">
        <w:rPr>
          <w:lang w:val="en-US"/>
        </w:rPr>
        <w:instrText>Bruce</w:instrText>
      </w:r>
      <w:r w:rsidR="00A6794A" w:rsidRPr="00A6794A">
        <w:instrText xml:space="preserve"> </w:instrText>
      </w:r>
      <w:r w:rsidR="00A6794A">
        <w:rPr>
          <w:lang w:val="en-US"/>
        </w:rPr>
        <w:instrText>D</w:instrText>
      </w:r>
      <w:r w:rsidR="00A6794A" w:rsidRPr="00A6794A">
        <w:instrText>.","</w:instrText>
      </w:r>
      <w:r w:rsidR="00A6794A">
        <w:rPr>
          <w:lang w:val="en-US"/>
        </w:rPr>
        <w:instrText>non</w:instrText>
      </w:r>
      <w:r w:rsidR="00A6794A" w:rsidRPr="00A6794A">
        <w:instrText>-</w:instrText>
      </w:r>
      <w:r w:rsidR="00A6794A">
        <w:rPr>
          <w:lang w:val="en-US"/>
        </w:rPr>
        <w:instrText>dropping</w:instrText>
      </w:r>
      <w:r w:rsidR="00A6794A" w:rsidRPr="00A6794A">
        <w:instrText>-</w:instrText>
      </w:r>
      <w:r w:rsidR="00A6794A">
        <w:rPr>
          <w:lang w:val="en-US"/>
        </w:rPr>
        <w:instrText>particle</w:instrText>
      </w:r>
      <w:r w:rsidR="00A6794A" w:rsidRPr="00A6794A">
        <w:instrText>":"","</w:instrText>
      </w:r>
      <w:r w:rsidR="00A6794A">
        <w:rPr>
          <w:lang w:val="en-US"/>
        </w:rPr>
        <w:instrText>parse</w:instrText>
      </w:r>
      <w:r w:rsidR="00A6794A" w:rsidRPr="00A6794A">
        <w:instrText>-</w:instrText>
      </w:r>
      <w:r w:rsidR="00A6794A">
        <w:rPr>
          <w:lang w:val="en-US"/>
        </w:rPr>
        <w:instrText>names</w:instrText>
      </w:r>
      <w:r w:rsidR="00A6794A" w:rsidRPr="00A6794A">
        <w:instrText>":</w:instrText>
      </w:r>
      <w:r w:rsidR="00A6794A">
        <w:rPr>
          <w:lang w:val="en-US"/>
        </w:rPr>
        <w:instrText>false</w:instrText>
      </w:r>
      <w:r w:rsidR="00A6794A" w:rsidRPr="00A6794A">
        <w:instrText>,"</w:instrText>
      </w:r>
      <w:r w:rsidR="00A6794A">
        <w:rPr>
          <w:lang w:val="en-US"/>
        </w:rPr>
        <w:instrText>suffix</w:instrText>
      </w:r>
      <w:r w:rsidR="00A6794A" w:rsidRPr="00A6794A">
        <w:instrText>":""},{"</w:instrText>
      </w:r>
      <w:r w:rsidR="00A6794A">
        <w:rPr>
          <w:lang w:val="en-US"/>
        </w:rPr>
        <w:instrText>dropping</w:instrText>
      </w:r>
      <w:r w:rsidR="00A6794A" w:rsidRPr="00A6794A">
        <w:instrText>-</w:instrText>
      </w:r>
      <w:r w:rsidR="00A6794A">
        <w:rPr>
          <w:lang w:val="en-US"/>
        </w:rPr>
        <w:instrText>particle</w:instrText>
      </w:r>
      <w:r w:rsidR="00A6794A" w:rsidRPr="00A6794A">
        <w:instrText>":"","</w:instrText>
      </w:r>
      <w:r w:rsidR="00A6794A">
        <w:rPr>
          <w:lang w:val="en-US"/>
        </w:rPr>
        <w:instrText>family</w:instrText>
      </w:r>
      <w:r w:rsidR="00A6794A" w:rsidRPr="00A6794A">
        <w:instrText>":"</w:instrText>
      </w:r>
      <w:r w:rsidR="00A6794A">
        <w:rPr>
          <w:lang w:val="en-US"/>
        </w:rPr>
        <w:instrText>Fisher</w:instrText>
      </w:r>
      <w:r w:rsidR="00A6794A" w:rsidRPr="00A6794A">
        <w:instrText>","</w:instrText>
      </w:r>
      <w:r w:rsidR="00A6794A">
        <w:rPr>
          <w:lang w:val="en-US"/>
        </w:rPr>
        <w:instrText>given</w:instrText>
      </w:r>
      <w:r w:rsidR="00A6794A" w:rsidRPr="00A6794A">
        <w:instrText>":"</w:instrText>
      </w:r>
      <w:r w:rsidR="00A6794A">
        <w:rPr>
          <w:lang w:val="en-US"/>
        </w:rPr>
        <w:instrText>Richard</w:instrText>
      </w:r>
      <w:r w:rsidR="00A6794A" w:rsidRPr="00A6794A">
        <w:instrText xml:space="preserve"> </w:instrText>
      </w:r>
      <w:r w:rsidR="00A6794A">
        <w:rPr>
          <w:lang w:val="en-US"/>
        </w:rPr>
        <w:instrText>I</w:instrText>
      </w:r>
      <w:r w:rsidR="00A6794A" w:rsidRPr="00A6794A">
        <w:instrText>.","</w:instrText>
      </w:r>
      <w:r w:rsidR="00A6794A">
        <w:rPr>
          <w:lang w:val="en-US"/>
        </w:rPr>
        <w:instrText>non</w:instrText>
      </w:r>
      <w:r w:rsidR="00A6794A" w:rsidRPr="00A6794A">
        <w:instrText>-</w:instrText>
      </w:r>
      <w:r w:rsidR="00A6794A">
        <w:rPr>
          <w:lang w:val="en-US"/>
        </w:rPr>
        <w:instrText>dropping</w:instrText>
      </w:r>
      <w:r w:rsidR="00A6794A" w:rsidRPr="00A6794A">
        <w:instrText>-</w:instrText>
      </w:r>
      <w:r w:rsidR="00A6794A">
        <w:rPr>
          <w:lang w:val="en-US"/>
        </w:rPr>
        <w:instrText>particle</w:instrText>
      </w:r>
      <w:r w:rsidR="00A6794A" w:rsidRPr="00A6794A">
        <w:instrText>":"","</w:instrText>
      </w:r>
      <w:r w:rsidR="00A6794A">
        <w:rPr>
          <w:lang w:val="en-US"/>
        </w:rPr>
        <w:instrText>parse</w:instrText>
      </w:r>
      <w:r w:rsidR="00A6794A" w:rsidRPr="00A6794A">
        <w:instrText>-</w:instrText>
      </w:r>
      <w:r w:rsidR="00A6794A">
        <w:rPr>
          <w:lang w:val="en-US"/>
        </w:rPr>
        <w:instrText>names</w:instrText>
      </w:r>
      <w:r w:rsidR="00A6794A" w:rsidRPr="00A6794A">
        <w:instrText>":</w:instrText>
      </w:r>
      <w:r w:rsidR="00A6794A">
        <w:rPr>
          <w:lang w:val="en-US"/>
        </w:rPr>
        <w:instrText>false</w:instrText>
      </w:r>
      <w:r w:rsidR="00A6794A" w:rsidRPr="00A6794A">
        <w:instrText>,"</w:instrText>
      </w:r>
      <w:r w:rsidR="00A6794A">
        <w:rPr>
          <w:lang w:val="en-US"/>
        </w:rPr>
        <w:instrText>suffix</w:instrText>
      </w:r>
      <w:r w:rsidR="00A6794A" w:rsidRPr="00A6794A">
        <w:instrText>":""},{"</w:instrText>
      </w:r>
      <w:r w:rsidR="00A6794A">
        <w:rPr>
          <w:lang w:val="en-US"/>
        </w:rPr>
        <w:instrText>dropping</w:instrText>
      </w:r>
      <w:r w:rsidR="00A6794A" w:rsidRPr="00A6794A">
        <w:instrText>-</w:instrText>
      </w:r>
      <w:r w:rsidR="00A6794A">
        <w:rPr>
          <w:lang w:val="en-US"/>
        </w:rPr>
        <w:instrText>particle</w:instrText>
      </w:r>
      <w:r w:rsidR="00A6794A" w:rsidRPr="00A6794A">
        <w:instrText>":"","</w:instrText>
      </w:r>
      <w:r w:rsidR="00A6794A">
        <w:rPr>
          <w:lang w:val="en-US"/>
        </w:rPr>
        <w:instrText>family</w:instrText>
      </w:r>
      <w:r w:rsidR="00A6794A" w:rsidRPr="00A6794A">
        <w:instrText>":"</w:instrText>
      </w:r>
      <w:r w:rsidR="00A6794A">
        <w:rPr>
          <w:lang w:val="en-US"/>
        </w:rPr>
        <w:instrText>Barrington</w:instrText>
      </w:r>
      <w:r w:rsidR="00A6794A" w:rsidRPr="00A6794A">
        <w:instrText>","</w:instrText>
      </w:r>
      <w:r w:rsidR="00A6794A">
        <w:rPr>
          <w:lang w:val="en-US"/>
        </w:rPr>
        <w:instrText>given</w:instrText>
      </w:r>
      <w:r w:rsidR="00A6794A" w:rsidRPr="00A6794A">
        <w:instrText>":"</w:instrText>
      </w:r>
      <w:r w:rsidR="00A6794A">
        <w:rPr>
          <w:lang w:val="en-US"/>
        </w:rPr>
        <w:instrText>Sally</w:instrText>
      </w:r>
      <w:r w:rsidR="00A6794A" w:rsidRPr="00A6794A">
        <w:instrText xml:space="preserve"> </w:instrText>
      </w:r>
      <w:r w:rsidR="00A6794A">
        <w:rPr>
          <w:lang w:val="en-US"/>
        </w:rPr>
        <w:instrText>F</w:instrText>
      </w:r>
      <w:r w:rsidR="00A6794A" w:rsidRPr="00A6794A">
        <w:instrText>.","</w:instrText>
      </w:r>
      <w:r w:rsidR="00A6794A">
        <w:rPr>
          <w:lang w:val="en-US"/>
        </w:rPr>
        <w:instrText>non</w:instrText>
      </w:r>
      <w:r w:rsidR="00A6794A" w:rsidRPr="00A6794A">
        <w:instrText>-</w:instrText>
      </w:r>
      <w:r w:rsidR="00A6794A">
        <w:rPr>
          <w:lang w:val="en-US"/>
        </w:rPr>
        <w:instrText>dropping</w:instrText>
      </w:r>
      <w:r w:rsidR="00A6794A" w:rsidRPr="00A6794A">
        <w:instrText>-</w:instrText>
      </w:r>
      <w:r w:rsidR="00A6794A">
        <w:rPr>
          <w:lang w:val="en-US"/>
        </w:rPr>
        <w:instrText>particle</w:instrText>
      </w:r>
      <w:r w:rsidR="00A6794A" w:rsidRPr="00A6794A">
        <w:instrText>":"","</w:instrText>
      </w:r>
      <w:r w:rsidR="00A6794A">
        <w:rPr>
          <w:lang w:val="en-US"/>
        </w:rPr>
        <w:instrText>parse</w:instrText>
      </w:r>
      <w:r w:rsidR="00A6794A" w:rsidRPr="00A6794A">
        <w:instrText>-</w:instrText>
      </w:r>
      <w:r w:rsidR="00A6794A">
        <w:rPr>
          <w:lang w:val="en-US"/>
        </w:rPr>
        <w:instrText>names</w:instrText>
      </w:r>
      <w:r w:rsidR="00A6794A" w:rsidRPr="00A6794A">
        <w:instrText>":</w:instrText>
      </w:r>
      <w:r w:rsidR="00A6794A">
        <w:rPr>
          <w:lang w:val="en-US"/>
        </w:rPr>
        <w:instrText>false</w:instrText>
      </w:r>
      <w:r w:rsidR="00A6794A" w:rsidRPr="00A6794A">
        <w:instrText>,"</w:instrText>
      </w:r>
      <w:r w:rsidR="00A6794A">
        <w:rPr>
          <w:lang w:val="en-US"/>
        </w:rPr>
        <w:instrText>suffix</w:instrText>
      </w:r>
      <w:r w:rsidR="00A6794A" w:rsidRPr="00A6794A">
        <w:instrText>":""},{"</w:instrText>
      </w:r>
      <w:r w:rsidR="00A6794A">
        <w:rPr>
          <w:lang w:val="en-US"/>
        </w:rPr>
        <w:instrText>dropping</w:instrText>
      </w:r>
      <w:r w:rsidR="00A6794A" w:rsidRPr="00A6794A">
        <w:instrText>-</w:instrText>
      </w:r>
      <w:r w:rsidR="00A6794A">
        <w:rPr>
          <w:lang w:val="en-US"/>
        </w:rPr>
        <w:instrText>particle</w:instrText>
      </w:r>
      <w:r w:rsidR="00A6794A" w:rsidRPr="00A6794A">
        <w:instrText>":"","</w:instrText>
      </w:r>
      <w:r w:rsidR="00A6794A">
        <w:rPr>
          <w:lang w:val="en-US"/>
        </w:rPr>
        <w:instrText>family</w:instrText>
      </w:r>
      <w:r w:rsidR="00A6794A" w:rsidRPr="00A6794A">
        <w:instrText>":"</w:instrText>
      </w:r>
      <w:r w:rsidR="00A6794A">
        <w:rPr>
          <w:lang w:val="en-US"/>
        </w:rPr>
        <w:instrText>Cavalli</w:instrText>
      </w:r>
      <w:r w:rsidR="00A6794A" w:rsidRPr="00A6794A">
        <w:instrText>","</w:instrText>
      </w:r>
      <w:r w:rsidR="00A6794A">
        <w:rPr>
          <w:lang w:val="en-US"/>
        </w:rPr>
        <w:instrText>given</w:instrText>
      </w:r>
      <w:r w:rsidR="00A6794A" w:rsidRPr="00A6794A">
        <w:instrText>":"</w:instrText>
      </w:r>
      <w:r w:rsidR="00A6794A">
        <w:rPr>
          <w:lang w:val="en-US"/>
        </w:rPr>
        <w:instrText>Franco</w:instrText>
      </w:r>
      <w:r w:rsidR="00A6794A" w:rsidRPr="00A6794A">
        <w:instrText>","</w:instrText>
      </w:r>
      <w:r w:rsidR="00A6794A">
        <w:rPr>
          <w:lang w:val="en-US"/>
        </w:rPr>
        <w:instrText>non</w:instrText>
      </w:r>
      <w:r w:rsidR="00A6794A" w:rsidRPr="00A6794A">
        <w:instrText>-</w:instrText>
      </w:r>
      <w:r w:rsidR="00A6794A">
        <w:rPr>
          <w:lang w:val="en-US"/>
        </w:rPr>
        <w:instrText>dropping</w:instrText>
      </w:r>
      <w:r w:rsidR="00A6794A" w:rsidRPr="00A6794A">
        <w:instrText>-</w:instrText>
      </w:r>
      <w:r w:rsidR="00A6794A">
        <w:rPr>
          <w:lang w:val="en-US"/>
        </w:rPr>
        <w:instrText>particle</w:instrText>
      </w:r>
      <w:r w:rsidR="00A6794A" w:rsidRPr="00A6794A">
        <w:instrText>":"","</w:instrText>
      </w:r>
      <w:r w:rsidR="00A6794A">
        <w:rPr>
          <w:lang w:val="en-US"/>
        </w:rPr>
        <w:instrText>parse</w:instrText>
      </w:r>
      <w:r w:rsidR="00A6794A" w:rsidRPr="00A6794A">
        <w:instrText>-</w:instrText>
      </w:r>
      <w:r w:rsidR="00A6794A">
        <w:rPr>
          <w:lang w:val="en-US"/>
        </w:rPr>
        <w:instrText>names</w:instrText>
      </w:r>
      <w:r w:rsidR="00A6794A" w:rsidRPr="00A6794A">
        <w:instrText>":</w:instrText>
      </w:r>
      <w:r w:rsidR="00A6794A">
        <w:rPr>
          <w:lang w:val="en-US"/>
        </w:rPr>
        <w:instrText>false</w:instrText>
      </w:r>
      <w:r w:rsidR="00A6794A" w:rsidRPr="00A6794A">
        <w:instrText>,"</w:instrText>
      </w:r>
      <w:r w:rsidR="00A6794A">
        <w:rPr>
          <w:lang w:val="en-US"/>
        </w:rPr>
        <w:instrText>suffix</w:instrText>
      </w:r>
      <w:r w:rsidR="00A6794A" w:rsidRPr="00A6794A">
        <w:instrText>":""},{"</w:instrText>
      </w:r>
      <w:r w:rsidR="00A6794A">
        <w:rPr>
          <w:lang w:val="en-US"/>
        </w:rPr>
        <w:instrText>dropping</w:instrText>
      </w:r>
      <w:r w:rsidR="00A6794A" w:rsidRPr="00A6794A">
        <w:instrText>-</w:instrText>
      </w:r>
      <w:r w:rsidR="00A6794A">
        <w:rPr>
          <w:lang w:val="en-US"/>
        </w:rPr>
        <w:instrText>particle</w:instrText>
      </w:r>
      <w:r w:rsidR="00A6794A" w:rsidRPr="00A6794A">
        <w:instrText>":"","</w:instrText>
      </w:r>
      <w:r w:rsidR="00A6794A">
        <w:rPr>
          <w:lang w:val="en-US"/>
        </w:rPr>
        <w:instrText>family</w:instrText>
      </w:r>
      <w:r w:rsidR="00A6794A" w:rsidRPr="00A6794A">
        <w:instrText>":"</w:instrText>
      </w:r>
      <w:r w:rsidR="00A6794A">
        <w:rPr>
          <w:lang w:val="en-US"/>
        </w:rPr>
        <w:instrText>Schwartz</w:instrText>
      </w:r>
      <w:r w:rsidR="00A6794A" w:rsidRPr="00A6794A">
        <w:instrText>","</w:instrText>
      </w:r>
      <w:r w:rsidR="00A6794A">
        <w:rPr>
          <w:lang w:val="en-US"/>
        </w:rPr>
        <w:instrText>given</w:instrText>
      </w:r>
      <w:r w:rsidR="00A6794A" w:rsidRPr="00A6794A">
        <w:instrText>":"</w:instrText>
      </w:r>
      <w:r w:rsidR="00A6794A">
        <w:rPr>
          <w:lang w:val="en-US"/>
        </w:rPr>
        <w:instrText>Lawrence</w:instrText>
      </w:r>
      <w:r w:rsidR="00A6794A" w:rsidRPr="00A6794A">
        <w:instrText xml:space="preserve"> </w:instrText>
      </w:r>
      <w:r w:rsidR="00A6794A">
        <w:rPr>
          <w:lang w:val="en-US"/>
        </w:rPr>
        <w:instrText>H</w:instrText>
      </w:r>
      <w:r w:rsidR="00A6794A" w:rsidRPr="00A6794A">
        <w:instrText>.","</w:instrText>
      </w:r>
      <w:r w:rsidR="00A6794A">
        <w:rPr>
          <w:lang w:val="en-US"/>
        </w:rPr>
        <w:instrText>non</w:instrText>
      </w:r>
      <w:r w:rsidR="00A6794A" w:rsidRPr="00A6794A">
        <w:instrText>-</w:instrText>
      </w:r>
      <w:r w:rsidR="00A6794A">
        <w:rPr>
          <w:lang w:val="en-US"/>
        </w:rPr>
        <w:instrText>dropping</w:instrText>
      </w:r>
      <w:r w:rsidR="00A6794A" w:rsidRPr="00A6794A">
        <w:instrText>-</w:instrText>
      </w:r>
      <w:r w:rsidR="00A6794A">
        <w:rPr>
          <w:lang w:val="en-US"/>
        </w:rPr>
        <w:instrText>particle</w:instrText>
      </w:r>
      <w:r w:rsidR="00A6794A" w:rsidRPr="00A6794A">
        <w:instrText>":"","</w:instrText>
      </w:r>
      <w:r w:rsidR="00A6794A">
        <w:rPr>
          <w:lang w:val="en-US"/>
        </w:rPr>
        <w:instrText>parse</w:instrText>
      </w:r>
      <w:r w:rsidR="00A6794A" w:rsidRPr="00A6794A">
        <w:instrText>-</w:instrText>
      </w:r>
      <w:r w:rsidR="00A6794A">
        <w:rPr>
          <w:lang w:val="en-US"/>
        </w:rPr>
        <w:instrText>names</w:instrText>
      </w:r>
      <w:r w:rsidR="00A6794A" w:rsidRPr="00A6794A">
        <w:instrText>":</w:instrText>
      </w:r>
      <w:r w:rsidR="00A6794A">
        <w:rPr>
          <w:lang w:val="en-US"/>
        </w:rPr>
        <w:instrText>false</w:instrText>
      </w:r>
      <w:r w:rsidR="00A6794A" w:rsidRPr="00A6794A">
        <w:instrText>,"</w:instrText>
      </w:r>
      <w:r w:rsidR="00A6794A">
        <w:rPr>
          <w:lang w:val="en-US"/>
        </w:rPr>
        <w:instrText>suffix</w:instrText>
      </w:r>
      <w:r w:rsidR="00A6794A" w:rsidRPr="00A6794A">
        <w:instrText>":""},{"</w:instrText>
      </w:r>
      <w:r w:rsidR="00A6794A">
        <w:rPr>
          <w:lang w:val="en-US"/>
        </w:rPr>
        <w:instrText>dropping</w:instrText>
      </w:r>
      <w:r w:rsidR="00A6794A" w:rsidRPr="00A6794A">
        <w:instrText>-</w:instrText>
      </w:r>
      <w:r w:rsidR="00A6794A">
        <w:rPr>
          <w:lang w:val="en-US"/>
        </w:rPr>
        <w:instrText>particle</w:instrText>
      </w:r>
      <w:r w:rsidR="00A6794A" w:rsidRPr="00A6794A">
        <w:instrText>":"","</w:instrText>
      </w:r>
      <w:r w:rsidR="00A6794A">
        <w:rPr>
          <w:lang w:val="en-US"/>
        </w:rPr>
        <w:instrText>family</w:instrText>
      </w:r>
      <w:r w:rsidR="00A6794A" w:rsidRPr="00A6794A">
        <w:instrText>":"</w:instrText>
      </w:r>
      <w:r w:rsidR="00A6794A">
        <w:rPr>
          <w:lang w:val="en-US"/>
        </w:rPr>
        <w:instrText>Zucca</w:instrText>
      </w:r>
      <w:r w:rsidR="00A6794A" w:rsidRPr="00A6794A">
        <w:instrText>","</w:instrText>
      </w:r>
      <w:r w:rsidR="00A6794A">
        <w:rPr>
          <w:lang w:val="en-US"/>
        </w:rPr>
        <w:instrText>given</w:instrText>
      </w:r>
      <w:r w:rsidR="00A6794A" w:rsidRPr="00A6794A">
        <w:instrText>":"</w:instrText>
      </w:r>
      <w:r w:rsidR="00A6794A">
        <w:rPr>
          <w:lang w:val="en-US"/>
        </w:rPr>
        <w:instrText>Emanuele</w:instrText>
      </w:r>
      <w:r w:rsidR="00A6794A" w:rsidRPr="00A6794A">
        <w:instrText>","</w:instrText>
      </w:r>
      <w:r w:rsidR="00A6794A">
        <w:rPr>
          <w:lang w:val="en-US"/>
        </w:rPr>
        <w:instrText>non</w:instrText>
      </w:r>
      <w:r w:rsidR="00A6794A" w:rsidRPr="00A6794A">
        <w:instrText>-</w:instrText>
      </w:r>
      <w:r w:rsidR="00A6794A">
        <w:rPr>
          <w:lang w:val="en-US"/>
        </w:rPr>
        <w:instrText>dropping</w:instrText>
      </w:r>
      <w:r w:rsidR="00A6794A" w:rsidRPr="00A6794A">
        <w:instrText>-</w:instrText>
      </w:r>
      <w:r w:rsidR="00A6794A">
        <w:rPr>
          <w:lang w:val="en-US"/>
        </w:rPr>
        <w:instrText>particle</w:instrText>
      </w:r>
      <w:r w:rsidR="00A6794A" w:rsidRPr="00A6794A">
        <w:instrText>":"","</w:instrText>
      </w:r>
      <w:r w:rsidR="00A6794A">
        <w:rPr>
          <w:lang w:val="en-US"/>
        </w:rPr>
        <w:instrText>parse</w:instrText>
      </w:r>
      <w:r w:rsidR="00A6794A" w:rsidRPr="00A6794A">
        <w:instrText>-</w:instrText>
      </w:r>
      <w:r w:rsidR="00A6794A">
        <w:rPr>
          <w:lang w:val="en-US"/>
        </w:rPr>
        <w:instrText>names</w:instrText>
      </w:r>
      <w:r w:rsidR="00A6794A" w:rsidRPr="00A6794A">
        <w:instrText>":</w:instrText>
      </w:r>
      <w:r w:rsidR="00A6794A">
        <w:rPr>
          <w:lang w:val="en-US"/>
        </w:rPr>
        <w:instrText>false</w:instrText>
      </w:r>
      <w:r w:rsidR="00A6794A" w:rsidRPr="00A6794A">
        <w:instrText>,"</w:instrText>
      </w:r>
      <w:r w:rsidR="00A6794A">
        <w:rPr>
          <w:lang w:val="en-US"/>
        </w:rPr>
        <w:instrText>suffix</w:instrText>
      </w:r>
      <w:r w:rsidR="00A6794A" w:rsidRPr="00A6794A">
        <w:instrText>":""},{"</w:instrText>
      </w:r>
      <w:r w:rsidR="00A6794A">
        <w:rPr>
          <w:lang w:val="en-US"/>
        </w:rPr>
        <w:instrText>dropping</w:instrText>
      </w:r>
      <w:r w:rsidR="00A6794A" w:rsidRPr="00A6794A">
        <w:instrText>-</w:instrText>
      </w:r>
      <w:r w:rsidR="00A6794A">
        <w:rPr>
          <w:lang w:val="en-US"/>
        </w:rPr>
        <w:instrText>particle</w:instrText>
      </w:r>
      <w:r w:rsidR="00A6794A" w:rsidRPr="00A6794A">
        <w:instrText>":"","</w:instrText>
      </w:r>
      <w:r w:rsidR="00A6794A">
        <w:rPr>
          <w:lang w:val="en-US"/>
        </w:rPr>
        <w:instrText>family</w:instrText>
      </w:r>
      <w:r w:rsidR="00A6794A" w:rsidRPr="00A6794A">
        <w:instrText>":"</w:instrText>
      </w:r>
      <w:r w:rsidR="00A6794A">
        <w:rPr>
          <w:lang w:val="en-US"/>
        </w:rPr>
        <w:instrText>Lister</w:instrText>
      </w:r>
      <w:r w:rsidR="00A6794A" w:rsidRPr="00A6794A">
        <w:instrText>","</w:instrText>
      </w:r>
      <w:r w:rsidR="00A6794A">
        <w:rPr>
          <w:lang w:val="en-US"/>
        </w:rPr>
        <w:instrText>given</w:instrText>
      </w:r>
      <w:r w:rsidR="00A6794A" w:rsidRPr="00A6794A">
        <w:instrText>":"</w:instrText>
      </w:r>
      <w:r w:rsidR="00A6794A">
        <w:rPr>
          <w:lang w:val="en-US"/>
        </w:rPr>
        <w:instrText>T</w:instrText>
      </w:r>
      <w:r w:rsidR="00A6794A" w:rsidRPr="00A6794A">
        <w:instrText xml:space="preserve">. </w:instrText>
      </w:r>
      <w:r w:rsidR="00A6794A">
        <w:rPr>
          <w:lang w:val="en-US"/>
        </w:rPr>
        <w:instrText>Andrew</w:instrText>
      </w:r>
      <w:r w:rsidR="00A6794A" w:rsidRPr="00A6794A">
        <w:instrText>","</w:instrText>
      </w:r>
      <w:r w:rsidR="00A6794A">
        <w:rPr>
          <w:lang w:val="en-US"/>
        </w:rPr>
        <w:instrText>non</w:instrText>
      </w:r>
      <w:r w:rsidR="00A6794A" w:rsidRPr="00A6794A">
        <w:instrText>-</w:instrText>
      </w:r>
      <w:r w:rsidR="00A6794A">
        <w:rPr>
          <w:lang w:val="en-US"/>
        </w:rPr>
        <w:instrText>dropping</w:instrText>
      </w:r>
      <w:r w:rsidR="00A6794A" w:rsidRPr="00A6794A">
        <w:instrText>-</w:instrText>
      </w:r>
      <w:r w:rsidR="00A6794A">
        <w:rPr>
          <w:lang w:val="en-US"/>
        </w:rPr>
        <w:instrText>particle</w:instrText>
      </w:r>
      <w:r w:rsidR="00A6794A" w:rsidRPr="00A6794A">
        <w:instrText>":"","</w:instrText>
      </w:r>
      <w:r w:rsidR="00A6794A">
        <w:rPr>
          <w:lang w:val="en-US"/>
        </w:rPr>
        <w:instrText>parse</w:instrText>
      </w:r>
      <w:r w:rsidR="00A6794A" w:rsidRPr="00A6794A">
        <w:instrText>-</w:instrText>
      </w:r>
      <w:r w:rsidR="00A6794A">
        <w:rPr>
          <w:lang w:val="en-US"/>
        </w:rPr>
        <w:instrText>names</w:instrText>
      </w:r>
      <w:r w:rsidR="00A6794A" w:rsidRPr="00A6794A">
        <w:instrText>":</w:instrText>
      </w:r>
      <w:r w:rsidR="00A6794A">
        <w:rPr>
          <w:lang w:val="en-US"/>
        </w:rPr>
        <w:instrText>false</w:instrText>
      </w:r>
      <w:r w:rsidR="00A6794A" w:rsidRPr="00A6794A">
        <w:instrText>,"</w:instrText>
      </w:r>
      <w:r w:rsidR="00A6794A">
        <w:rPr>
          <w:lang w:val="en-US"/>
        </w:rPr>
        <w:instrText>suffix</w:instrText>
      </w:r>
      <w:r w:rsidR="00A6794A" w:rsidRPr="00A6794A">
        <w:instrText>":""}],"</w:instrText>
      </w:r>
      <w:r w:rsidR="00A6794A">
        <w:rPr>
          <w:lang w:val="en-US"/>
        </w:rPr>
        <w:instrText>container</w:instrText>
      </w:r>
      <w:r w:rsidR="00A6794A" w:rsidRPr="00A6794A">
        <w:instrText>-</w:instrText>
      </w:r>
      <w:r w:rsidR="00A6794A">
        <w:rPr>
          <w:lang w:val="en-US"/>
        </w:rPr>
        <w:instrText>title</w:instrText>
      </w:r>
      <w:r w:rsidR="00A6794A" w:rsidRPr="00A6794A">
        <w:instrText>":"</w:instrText>
      </w:r>
      <w:r w:rsidR="00A6794A">
        <w:rPr>
          <w:lang w:val="en-US"/>
        </w:rPr>
        <w:instrText>Journal</w:instrText>
      </w:r>
      <w:r w:rsidR="00A6794A" w:rsidRPr="00A6794A">
        <w:instrText xml:space="preserve"> </w:instrText>
      </w:r>
      <w:r w:rsidR="00A6794A">
        <w:rPr>
          <w:lang w:val="en-US"/>
        </w:rPr>
        <w:instrText>of</w:instrText>
      </w:r>
      <w:r w:rsidR="00A6794A" w:rsidRPr="00A6794A">
        <w:instrText xml:space="preserve"> </w:instrText>
      </w:r>
      <w:r w:rsidR="00A6794A">
        <w:rPr>
          <w:lang w:val="en-US"/>
        </w:rPr>
        <w:instrText>Clinical</w:instrText>
      </w:r>
      <w:r w:rsidR="00A6794A" w:rsidRPr="00A6794A">
        <w:instrText xml:space="preserve"> </w:instrText>
      </w:r>
      <w:r w:rsidR="00A6794A">
        <w:rPr>
          <w:lang w:val="en-US"/>
        </w:rPr>
        <w:instrText>Oncology</w:instrText>
      </w:r>
      <w:r w:rsidR="00A6794A" w:rsidRPr="00A6794A">
        <w:instrText>","</w:instrText>
      </w:r>
      <w:r w:rsidR="00A6794A">
        <w:rPr>
          <w:lang w:val="en-US"/>
        </w:rPr>
        <w:instrText>id</w:instrText>
      </w:r>
      <w:r w:rsidR="00A6794A" w:rsidRPr="00A6794A">
        <w:instrText>":"</w:instrText>
      </w:r>
      <w:r w:rsidR="00A6794A">
        <w:rPr>
          <w:lang w:val="en-US"/>
        </w:rPr>
        <w:instrText>ITEM</w:instrText>
      </w:r>
      <w:r w:rsidR="00A6794A" w:rsidRPr="00A6794A">
        <w:instrText>-1","</w:instrText>
      </w:r>
      <w:r w:rsidR="00A6794A">
        <w:rPr>
          <w:lang w:val="en-US"/>
        </w:rPr>
        <w:instrText>issue</w:instrText>
      </w:r>
      <w:r w:rsidR="00A6794A" w:rsidRPr="00A6794A">
        <w:instrText>":"27","</w:instrText>
      </w:r>
      <w:r w:rsidR="00A6794A">
        <w:rPr>
          <w:lang w:val="en-US"/>
        </w:rPr>
        <w:instrText>issued</w:instrText>
      </w:r>
      <w:r w:rsidR="00A6794A" w:rsidRPr="00A6794A">
        <w:instrText>":{"</w:instrText>
      </w:r>
      <w:r w:rsidR="00A6794A">
        <w:rPr>
          <w:lang w:val="en-US"/>
        </w:rPr>
        <w:instrText>date</w:instrText>
      </w:r>
      <w:r w:rsidR="00A6794A" w:rsidRPr="00A6794A">
        <w:instrText>-</w:instrText>
      </w:r>
      <w:r w:rsidR="00A6794A">
        <w:rPr>
          <w:lang w:val="en-US"/>
        </w:rPr>
        <w:instrText>parts</w:instrText>
      </w:r>
      <w:r w:rsidR="00A6794A" w:rsidRPr="00A6794A">
        <w:instrText>":[["2014","9","20"]]},"</w:instrText>
      </w:r>
      <w:r w:rsidR="00A6794A">
        <w:rPr>
          <w:lang w:val="en-US"/>
        </w:rPr>
        <w:instrText>page</w:instrText>
      </w:r>
      <w:r w:rsidR="00A6794A" w:rsidRPr="00A6794A">
        <w:instrText>":"3059-3067","</w:instrText>
      </w:r>
      <w:r w:rsidR="00A6794A">
        <w:rPr>
          <w:lang w:val="en-US"/>
        </w:rPr>
        <w:instrText>publisher</w:instrText>
      </w:r>
      <w:r w:rsidR="00A6794A" w:rsidRPr="00A6794A">
        <w:instrText>":"</w:instrText>
      </w:r>
      <w:r w:rsidR="00A6794A">
        <w:rPr>
          <w:lang w:val="en-US"/>
        </w:rPr>
        <w:instrText>American</w:instrText>
      </w:r>
      <w:r w:rsidR="00A6794A" w:rsidRPr="00A6794A">
        <w:instrText xml:space="preserve"> </w:instrText>
      </w:r>
      <w:r w:rsidR="00A6794A">
        <w:rPr>
          <w:lang w:val="en-US"/>
        </w:rPr>
        <w:instrText>Society</w:instrText>
      </w:r>
      <w:r w:rsidR="00A6794A" w:rsidRPr="00A6794A">
        <w:instrText xml:space="preserve"> </w:instrText>
      </w:r>
      <w:r w:rsidR="00A6794A">
        <w:rPr>
          <w:lang w:val="en-US"/>
        </w:rPr>
        <w:instrText>of</w:instrText>
      </w:r>
      <w:r w:rsidR="00A6794A" w:rsidRPr="00A6794A">
        <w:instrText xml:space="preserve"> </w:instrText>
      </w:r>
      <w:r w:rsidR="00A6794A">
        <w:rPr>
          <w:lang w:val="en-US"/>
        </w:rPr>
        <w:instrText>Clinical</w:instrText>
      </w:r>
      <w:r w:rsidR="00A6794A" w:rsidRPr="00A6794A">
        <w:instrText xml:space="preserve"> </w:instrText>
      </w:r>
      <w:r w:rsidR="00A6794A">
        <w:rPr>
          <w:lang w:val="en-US"/>
        </w:rPr>
        <w:instrText>Oncology</w:instrText>
      </w:r>
      <w:r w:rsidR="00A6794A" w:rsidRPr="00A6794A">
        <w:instrText>","</w:instrText>
      </w:r>
      <w:r w:rsidR="00A6794A">
        <w:rPr>
          <w:lang w:val="en-US"/>
        </w:rPr>
        <w:instrText>title</w:instrText>
      </w:r>
      <w:r w:rsidR="00A6794A" w:rsidRPr="00A6794A">
        <w:instrText>":"</w:instrText>
      </w:r>
      <w:r w:rsidR="00A6794A">
        <w:rPr>
          <w:lang w:val="en-US"/>
        </w:rPr>
        <w:instrText>Recommendations</w:instrText>
      </w:r>
      <w:r w:rsidR="00A6794A" w:rsidRPr="00A6794A">
        <w:instrText xml:space="preserve"> </w:instrText>
      </w:r>
      <w:r w:rsidR="00A6794A">
        <w:rPr>
          <w:lang w:val="en-US"/>
        </w:rPr>
        <w:instrText>for</w:instrText>
      </w:r>
      <w:r w:rsidR="00A6794A" w:rsidRPr="00A6794A">
        <w:instrText xml:space="preserve"> </w:instrText>
      </w:r>
      <w:r w:rsidR="00A6794A">
        <w:rPr>
          <w:lang w:val="en-US"/>
        </w:rPr>
        <w:instrText>initial</w:instrText>
      </w:r>
      <w:r w:rsidR="00A6794A" w:rsidRPr="00A6794A">
        <w:instrText xml:space="preserve"> </w:instrText>
      </w:r>
      <w:r w:rsidR="00A6794A">
        <w:rPr>
          <w:lang w:val="en-US"/>
        </w:rPr>
        <w:instrText>evaluation</w:instrText>
      </w:r>
      <w:r w:rsidR="00A6794A" w:rsidRPr="00A6794A">
        <w:instrText xml:space="preserve">, </w:instrText>
      </w:r>
      <w:r w:rsidR="00A6794A">
        <w:rPr>
          <w:lang w:val="en-US"/>
        </w:rPr>
        <w:instrText>staging</w:instrText>
      </w:r>
      <w:r w:rsidR="00A6794A" w:rsidRPr="00A6794A">
        <w:instrText xml:space="preserve">, </w:instrText>
      </w:r>
      <w:r w:rsidR="00A6794A">
        <w:rPr>
          <w:lang w:val="en-US"/>
        </w:rPr>
        <w:instrText>and</w:instrText>
      </w:r>
      <w:r w:rsidR="00A6794A" w:rsidRPr="00A6794A">
        <w:instrText xml:space="preserve"> </w:instrText>
      </w:r>
      <w:r w:rsidR="00A6794A">
        <w:rPr>
          <w:lang w:val="en-US"/>
        </w:rPr>
        <w:instrText>response</w:instrText>
      </w:r>
      <w:r w:rsidR="00A6794A" w:rsidRPr="00A6794A">
        <w:instrText xml:space="preserve"> </w:instrText>
      </w:r>
      <w:r w:rsidR="00A6794A">
        <w:rPr>
          <w:lang w:val="en-US"/>
        </w:rPr>
        <w:instrText>assessment</w:instrText>
      </w:r>
      <w:r w:rsidR="00A6794A" w:rsidRPr="00A6794A">
        <w:instrText xml:space="preserve"> </w:instrText>
      </w:r>
      <w:r w:rsidR="00A6794A">
        <w:rPr>
          <w:lang w:val="en-US"/>
        </w:rPr>
        <w:instrText>of</w:instrText>
      </w:r>
      <w:r w:rsidR="00A6794A" w:rsidRPr="00A6794A">
        <w:instrText xml:space="preserve"> </w:instrText>
      </w:r>
      <w:r w:rsidR="00A6794A">
        <w:rPr>
          <w:lang w:val="en-US"/>
        </w:rPr>
        <w:instrText>hodgkin</w:instrText>
      </w:r>
      <w:r w:rsidR="00A6794A" w:rsidRPr="00A6794A">
        <w:instrText xml:space="preserve"> </w:instrText>
      </w:r>
      <w:r w:rsidR="00A6794A">
        <w:rPr>
          <w:lang w:val="en-US"/>
        </w:rPr>
        <w:instrText>and</w:instrText>
      </w:r>
      <w:r w:rsidR="00A6794A" w:rsidRPr="00A6794A">
        <w:instrText xml:space="preserve"> </w:instrText>
      </w:r>
      <w:r w:rsidR="00A6794A">
        <w:rPr>
          <w:lang w:val="en-US"/>
        </w:rPr>
        <w:instrText>non</w:instrText>
      </w:r>
      <w:r w:rsidR="00A6794A" w:rsidRPr="00A6794A">
        <w:instrText>-</w:instrText>
      </w:r>
      <w:r w:rsidR="00A6794A">
        <w:rPr>
          <w:lang w:val="en-US"/>
        </w:rPr>
        <w:instrText>hodgkin</w:instrText>
      </w:r>
      <w:r w:rsidR="00A6794A" w:rsidRPr="00A6794A">
        <w:instrText xml:space="preserve"> </w:instrText>
      </w:r>
      <w:r w:rsidR="00A6794A">
        <w:rPr>
          <w:lang w:val="en-US"/>
        </w:rPr>
        <w:instrText>lymphoma</w:instrText>
      </w:r>
      <w:r w:rsidR="00A6794A" w:rsidRPr="00A6794A">
        <w:instrText xml:space="preserve">: </w:instrText>
      </w:r>
      <w:r w:rsidR="00A6794A">
        <w:rPr>
          <w:lang w:val="en-US"/>
        </w:rPr>
        <w:instrText>The</w:instrText>
      </w:r>
      <w:r w:rsidR="00A6794A" w:rsidRPr="00A6794A">
        <w:instrText xml:space="preserve"> </w:instrText>
      </w:r>
      <w:r w:rsidR="00A6794A">
        <w:rPr>
          <w:lang w:val="en-US"/>
        </w:rPr>
        <w:instrText>lugano</w:instrText>
      </w:r>
      <w:r w:rsidR="00A6794A" w:rsidRPr="00A6794A">
        <w:instrText xml:space="preserve"> </w:instrText>
      </w:r>
      <w:r w:rsidR="00A6794A">
        <w:rPr>
          <w:lang w:val="en-US"/>
        </w:rPr>
        <w:instrText>classification</w:instrText>
      </w:r>
      <w:r w:rsidR="00A6794A" w:rsidRPr="00A6794A">
        <w:instrText>","</w:instrText>
      </w:r>
      <w:r w:rsidR="00A6794A">
        <w:rPr>
          <w:lang w:val="en-US"/>
        </w:rPr>
        <w:instrText>type</w:instrText>
      </w:r>
      <w:r w:rsidR="00A6794A" w:rsidRPr="00A6794A">
        <w:instrText>":"</w:instrText>
      </w:r>
      <w:r w:rsidR="00A6794A">
        <w:rPr>
          <w:lang w:val="en-US"/>
        </w:rPr>
        <w:instrText>article</w:instrText>
      </w:r>
      <w:r w:rsidR="00A6794A" w:rsidRPr="00A6794A">
        <w:instrText>","</w:instrText>
      </w:r>
      <w:r w:rsidR="00A6794A">
        <w:rPr>
          <w:lang w:val="en-US"/>
        </w:rPr>
        <w:instrText>volume</w:instrText>
      </w:r>
      <w:r w:rsidR="00A6794A" w:rsidRPr="00A6794A">
        <w:instrText>":"32"},"</w:instrText>
      </w:r>
      <w:r w:rsidR="00A6794A">
        <w:rPr>
          <w:lang w:val="en-US"/>
        </w:rPr>
        <w:instrText>uris</w:instrText>
      </w:r>
      <w:r w:rsidR="00A6794A" w:rsidRPr="00A6794A">
        <w:instrText>":["</w:instrText>
      </w:r>
      <w:r w:rsidR="00A6794A">
        <w:rPr>
          <w:lang w:val="en-US"/>
        </w:rPr>
        <w:instrText>http</w:instrText>
      </w:r>
      <w:r w:rsidR="00A6794A" w:rsidRPr="00A6794A">
        <w:instrText>://</w:instrText>
      </w:r>
      <w:r w:rsidR="00A6794A">
        <w:rPr>
          <w:lang w:val="en-US"/>
        </w:rPr>
        <w:instrText>www</w:instrText>
      </w:r>
      <w:r w:rsidR="00A6794A" w:rsidRPr="00A6794A">
        <w:instrText>.</w:instrText>
      </w:r>
      <w:r w:rsidR="00A6794A">
        <w:rPr>
          <w:lang w:val="en-US"/>
        </w:rPr>
        <w:instrText>mendeley</w:instrText>
      </w:r>
      <w:r w:rsidR="00A6794A" w:rsidRPr="00A6794A">
        <w:instrText>.</w:instrText>
      </w:r>
      <w:r w:rsidR="00A6794A">
        <w:rPr>
          <w:lang w:val="en-US"/>
        </w:rPr>
        <w:instrText>com</w:instrText>
      </w:r>
      <w:r w:rsidR="00A6794A" w:rsidRPr="00A6794A">
        <w:instrText>/</w:instrText>
      </w:r>
      <w:r w:rsidR="00A6794A">
        <w:rPr>
          <w:lang w:val="en-US"/>
        </w:rPr>
        <w:instrText>documents</w:instrText>
      </w:r>
      <w:r w:rsidR="00A6794A" w:rsidRPr="00A6794A">
        <w:instrText>/?</w:instrText>
      </w:r>
      <w:r w:rsidR="00A6794A">
        <w:rPr>
          <w:lang w:val="en-US"/>
        </w:rPr>
        <w:instrText>uuid</w:instrText>
      </w:r>
      <w:r w:rsidR="00A6794A" w:rsidRPr="00A6794A">
        <w:instrText>=3853</w:instrText>
      </w:r>
      <w:r w:rsidR="00A6794A">
        <w:rPr>
          <w:lang w:val="en-US"/>
        </w:rPr>
        <w:instrText>ddf</w:instrText>
      </w:r>
      <w:r w:rsidR="00A6794A" w:rsidRPr="00A6794A">
        <w:instrText>5-</w:instrText>
      </w:r>
      <w:r w:rsidR="00A6794A">
        <w:rPr>
          <w:lang w:val="en-US"/>
        </w:rPr>
        <w:instrText>ac</w:instrText>
      </w:r>
      <w:r w:rsidR="00A6794A" w:rsidRPr="00A6794A">
        <w:instrText>32-35</w:instrText>
      </w:r>
      <w:r w:rsidR="00A6794A">
        <w:rPr>
          <w:lang w:val="en-US"/>
        </w:rPr>
        <w:instrText>e</w:instrText>
      </w:r>
      <w:r w:rsidR="00A6794A" w:rsidRPr="00A6794A">
        <w:instrText>2-</w:instrText>
      </w:r>
      <w:r w:rsidR="00A6794A">
        <w:rPr>
          <w:lang w:val="en-US"/>
        </w:rPr>
        <w:instrText>bd</w:instrText>
      </w:r>
      <w:r w:rsidR="00A6794A" w:rsidRPr="00A6794A">
        <w:instrText>1</w:instrText>
      </w:r>
      <w:r w:rsidR="00A6794A">
        <w:rPr>
          <w:lang w:val="en-US"/>
        </w:rPr>
        <w:instrText>b</w:instrText>
      </w:r>
      <w:r w:rsidR="00A6794A" w:rsidRPr="00A6794A">
        <w:instrText>-3</w:instrText>
      </w:r>
      <w:r w:rsidR="00A6794A">
        <w:rPr>
          <w:lang w:val="en-US"/>
        </w:rPr>
        <w:instrText>ee</w:instrText>
      </w:r>
      <w:r w:rsidR="00A6794A" w:rsidRPr="00A6794A">
        <w:instrText>48</w:instrText>
      </w:r>
      <w:r w:rsidR="00A6794A">
        <w:rPr>
          <w:lang w:val="en-US"/>
        </w:rPr>
        <w:instrText>b</w:instrText>
      </w:r>
      <w:r w:rsidR="00A6794A" w:rsidRPr="00A6794A">
        <w:instrText>5</w:instrText>
      </w:r>
      <w:r w:rsidR="00A6794A">
        <w:rPr>
          <w:lang w:val="en-US"/>
        </w:rPr>
        <w:instrText>dd</w:instrText>
      </w:r>
      <w:r w:rsidR="00A6794A" w:rsidRPr="00A6794A">
        <w:instrText>16</w:instrText>
      </w:r>
      <w:r w:rsidR="00A6794A">
        <w:rPr>
          <w:lang w:val="en-US"/>
        </w:rPr>
        <w:instrText>a</w:instrText>
      </w:r>
      <w:r w:rsidR="00A6794A" w:rsidRPr="00A6794A">
        <w:instrText>"]}],"</w:instrText>
      </w:r>
      <w:r w:rsidR="00A6794A">
        <w:rPr>
          <w:lang w:val="en-US"/>
        </w:rPr>
        <w:instrText>mendeley</w:instrText>
      </w:r>
      <w:r w:rsidR="00A6794A" w:rsidRPr="00A6794A">
        <w:instrText>":{"</w:instrText>
      </w:r>
      <w:r w:rsidR="00A6794A">
        <w:rPr>
          <w:lang w:val="en-US"/>
        </w:rPr>
        <w:instrText>formattedCitation</w:instrText>
      </w:r>
      <w:r w:rsidR="00A6794A" w:rsidRPr="00A6794A">
        <w:instrText>":"[165]","</w:instrText>
      </w:r>
      <w:r w:rsidR="00A6794A">
        <w:rPr>
          <w:lang w:val="en-US"/>
        </w:rPr>
        <w:instrText>plainTextFormattedCitation</w:instrText>
      </w:r>
      <w:r w:rsidR="00A6794A" w:rsidRPr="00A6794A">
        <w:instrText>":"[165]","</w:instrText>
      </w:r>
      <w:r w:rsidR="00A6794A">
        <w:rPr>
          <w:lang w:val="en-US"/>
        </w:rPr>
        <w:instrText>previouslyFormattedCitation</w:instrText>
      </w:r>
      <w:r w:rsidR="00A6794A" w:rsidRPr="00A6794A">
        <w:instrText>":"[165]"},"</w:instrText>
      </w:r>
      <w:r w:rsidR="00A6794A">
        <w:rPr>
          <w:lang w:val="en-US"/>
        </w:rPr>
        <w:instrText>properties</w:instrText>
      </w:r>
      <w:r w:rsidR="00A6794A" w:rsidRPr="00A6794A">
        <w:instrText>":{"</w:instrText>
      </w:r>
      <w:r w:rsidR="00A6794A">
        <w:rPr>
          <w:lang w:val="en-US"/>
        </w:rPr>
        <w:instrText>noteIndex</w:instrText>
      </w:r>
      <w:r w:rsidR="00A6794A" w:rsidRPr="00A6794A">
        <w:instrText>":0},"</w:instrText>
      </w:r>
      <w:r w:rsidR="00A6794A">
        <w:rPr>
          <w:lang w:val="en-US"/>
        </w:rPr>
        <w:instrText>schema</w:instrText>
      </w:r>
      <w:r w:rsidR="00A6794A" w:rsidRPr="00A6794A">
        <w:instrText>":"</w:instrText>
      </w:r>
      <w:r w:rsidR="00A6794A">
        <w:rPr>
          <w:lang w:val="en-US"/>
        </w:rPr>
        <w:instrText>https</w:instrText>
      </w:r>
      <w:r w:rsidR="00A6794A" w:rsidRPr="00A6794A">
        <w:instrText>://</w:instrText>
      </w:r>
      <w:r w:rsidR="00A6794A">
        <w:rPr>
          <w:lang w:val="en-US"/>
        </w:rPr>
        <w:instrText>github</w:instrText>
      </w:r>
      <w:r w:rsidR="00A6794A" w:rsidRPr="00A6794A">
        <w:instrText>.</w:instrText>
      </w:r>
      <w:r w:rsidR="00A6794A">
        <w:rPr>
          <w:lang w:val="en-US"/>
        </w:rPr>
        <w:instrText>com</w:instrText>
      </w:r>
      <w:r w:rsidR="00A6794A" w:rsidRPr="00A6794A">
        <w:instrText>/</w:instrText>
      </w:r>
      <w:r w:rsidR="00A6794A">
        <w:rPr>
          <w:lang w:val="en-US"/>
        </w:rPr>
        <w:instrText>citation</w:instrText>
      </w:r>
      <w:r w:rsidR="00A6794A" w:rsidRPr="00A6794A">
        <w:instrText>-</w:instrText>
      </w:r>
      <w:r w:rsidR="00A6794A">
        <w:rPr>
          <w:lang w:val="en-US"/>
        </w:rPr>
        <w:instrText>style</w:instrText>
      </w:r>
      <w:r w:rsidR="00A6794A" w:rsidRPr="00A6794A">
        <w:instrText>-</w:instrText>
      </w:r>
      <w:r w:rsidR="00A6794A">
        <w:rPr>
          <w:lang w:val="en-US"/>
        </w:rPr>
        <w:instrText>language</w:instrText>
      </w:r>
      <w:r w:rsidR="00A6794A" w:rsidRPr="00A6794A">
        <w:instrText>/</w:instrText>
      </w:r>
      <w:r w:rsidR="00A6794A">
        <w:rPr>
          <w:lang w:val="en-US"/>
        </w:rPr>
        <w:instrText>schema</w:instrText>
      </w:r>
      <w:r w:rsidR="00A6794A" w:rsidRPr="00A6794A">
        <w:instrText>/</w:instrText>
      </w:r>
      <w:r w:rsidR="00A6794A">
        <w:rPr>
          <w:lang w:val="en-US"/>
        </w:rPr>
        <w:instrText>raw</w:instrText>
      </w:r>
      <w:r w:rsidR="00A6794A" w:rsidRPr="00A6794A">
        <w:instrText>/</w:instrText>
      </w:r>
      <w:r w:rsidR="00A6794A">
        <w:rPr>
          <w:lang w:val="en-US"/>
        </w:rPr>
        <w:instrText>master</w:instrText>
      </w:r>
      <w:r w:rsidR="00A6794A" w:rsidRPr="00A6794A">
        <w:instrText>/</w:instrText>
      </w:r>
      <w:r w:rsidR="00A6794A">
        <w:rPr>
          <w:lang w:val="en-US"/>
        </w:rPr>
        <w:instrText>csl</w:instrText>
      </w:r>
      <w:r w:rsidR="00A6794A" w:rsidRPr="00A6794A">
        <w:instrText>-</w:instrText>
      </w:r>
      <w:r w:rsidR="00A6794A">
        <w:rPr>
          <w:lang w:val="en-US"/>
        </w:rPr>
        <w:instrText>citation</w:instrText>
      </w:r>
      <w:r w:rsidR="00A6794A" w:rsidRPr="00A6794A">
        <w:instrText>.</w:instrText>
      </w:r>
      <w:r w:rsidR="00A6794A">
        <w:rPr>
          <w:lang w:val="en-US"/>
        </w:rPr>
        <w:instrText>json</w:instrText>
      </w:r>
      <w:r w:rsidR="00A6794A" w:rsidRPr="00A6794A">
        <w:instrText>"}</w:instrText>
      </w:r>
      <w:r w:rsidR="00BB7996" w:rsidRPr="000322E4">
        <w:rPr>
          <w:lang w:val="en-US"/>
        </w:rPr>
        <w:fldChar w:fldCharType="separate"/>
      </w:r>
      <w:r w:rsidR="006E1902" w:rsidRPr="006E1902">
        <w:rPr>
          <w:noProof/>
        </w:rPr>
        <w:t>[165]</w:t>
      </w:r>
      <w:r w:rsidR="00BB7996" w:rsidRPr="000322E4">
        <w:rPr>
          <w:lang w:val="en-US"/>
        </w:rPr>
        <w:fldChar w:fldCharType="end"/>
      </w:r>
      <w:r w:rsidR="00BB7996" w:rsidRPr="00293AC8">
        <w:t>:</w:t>
      </w:r>
    </w:p>
    <w:tbl>
      <w:tblPr>
        <w:tblW w:w="93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1555"/>
        <w:gridCol w:w="3892"/>
        <w:gridCol w:w="3892"/>
      </w:tblGrid>
      <w:tr w:rsidR="00224547" w:rsidRPr="00293AC8" w14:paraId="537414E1" w14:textId="77777777" w:rsidTr="00BB7996">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A054C3" w14:textId="77777777" w:rsidR="00224547" w:rsidRPr="00293AC8" w:rsidRDefault="00224547" w:rsidP="00F414BF">
            <w:pPr>
              <w:spacing w:line="360" w:lineRule="auto"/>
              <w:jc w:val="both"/>
              <w:rPr>
                <w:b/>
              </w:rPr>
            </w:pPr>
            <w:r w:rsidRPr="000322E4">
              <w:rPr>
                <w:b/>
              </w:rPr>
              <w:t>Стадия</w:t>
            </w:r>
          </w:p>
        </w:tc>
        <w:tc>
          <w:tcPr>
            <w:tcW w:w="3892" w:type="dxa"/>
            <w:tcBorders>
              <w:top w:val="single" w:sz="4" w:space="0" w:color="000000"/>
              <w:left w:val="single" w:sz="4" w:space="0" w:color="000000"/>
              <w:right w:val="single" w:sz="4" w:space="0" w:color="000000"/>
            </w:tcBorders>
            <w:shd w:val="clear" w:color="auto" w:fill="auto"/>
          </w:tcPr>
          <w:p w14:paraId="0CE0B541" w14:textId="77777777" w:rsidR="00224547" w:rsidRPr="00293AC8" w:rsidRDefault="00224547" w:rsidP="00F414BF">
            <w:pPr>
              <w:spacing w:line="360" w:lineRule="auto"/>
              <w:jc w:val="both"/>
              <w:rPr>
                <w:b/>
              </w:rPr>
            </w:pPr>
            <w:r w:rsidRPr="000322E4">
              <w:rPr>
                <w:b/>
              </w:rPr>
              <w:t>Поражение</w:t>
            </w:r>
            <w:r w:rsidRPr="00293AC8">
              <w:rPr>
                <w:b/>
              </w:rPr>
              <w:t xml:space="preserve"> </w:t>
            </w:r>
            <w:r w:rsidRPr="000322E4">
              <w:rPr>
                <w:b/>
              </w:rPr>
              <w:t>лимфоузлов</w:t>
            </w:r>
          </w:p>
        </w:tc>
        <w:tc>
          <w:tcPr>
            <w:tcW w:w="3892" w:type="dxa"/>
            <w:tcBorders>
              <w:top w:val="single" w:sz="4" w:space="0" w:color="000000"/>
              <w:left w:val="single" w:sz="4" w:space="0" w:color="000000"/>
              <w:right w:val="single" w:sz="4" w:space="0" w:color="000000"/>
            </w:tcBorders>
            <w:shd w:val="clear" w:color="auto" w:fill="auto"/>
          </w:tcPr>
          <w:p w14:paraId="23962E1F" w14:textId="77777777" w:rsidR="00224547" w:rsidRPr="00293AC8" w:rsidRDefault="00224547" w:rsidP="00F414BF">
            <w:pPr>
              <w:spacing w:line="360" w:lineRule="auto"/>
              <w:jc w:val="both"/>
              <w:rPr>
                <w:b/>
              </w:rPr>
            </w:pPr>
            <w:r w:rsidRPr="000322E4">
              <w:rPr>
                <w:b/>
              </w:rPr>
              <w:t>Экстранодальное</w:t>
            </w:r>
            <w:r w:rsidRPr="00293AC8">
              <w:rPr>
                <w:b/>
              </w:rPr>
              <w:t xml:space="preserve"> </w:t>
            </w:r>
            <w:r w:rsidRPr="000322E4">
              <w:rPr>
                <w:b/>
              </w:rPr>
              <w:t>поражение</w:t>
            </w:r>
          </w:p>
        </w:tc>
      </w:tr>
      <w:tr w:rsidR="00224547" w:rsidRPr="00293AC8" w14:paraId="01A75E43" w14:textId="77777777" w:rsidTr="00BB7996">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51EFBB" w14:textId="77777777" w:rsidR="00224547" w:rsidRPr="00293AC8" w:rsidRDefault="00224547" w:rsidP="00F414BF">
            <w:pPr>
              <w:spacing w:line="360" w:lineRule="auto"/>
              <w:jc w:val="both"/>
              <w:rPr>
                <w:b/>
              </w:rPr>
            </w:pPr>
            <w:r w:rsidRPr="000322E4">
              <w:rPr>
                <w:b/>
              </w:rPr>
              <w:lastRenderedPageBreak/>
              <w:t>Стадия</w:t>
            </w:r>
            <w:r w:rsidRPr="00293AC8">
              <w:rPr>
                <w:b/>
              </w:rPr>
              <w:t xml:space="preserve"> </w:t>
            </w:r>
            <w:r w:rsidRPr="0053335B">
              <w:rPr>
                <w:b/>
                <w:lang w:val="en-US"/>
              </w:rPr>
              <w:t>I</w:t>
            </w:r>
          </w:p>
        </w:tc>
        <w:tc>
          <w:tcPr>
            <w:tcW w:w="3892" w:type="dxa"/>
            <w:tcBorders>
              <w:top w:val="single" w:sz="4" w:space="0" w:color="000000"/>
              <w:left w:val="single" w:sz="4" w:space="0" w:color="000000"/>
              <w:right w:val="single" w:sz="4" w:space="0" w:color="000000"/>
            </w:tcBorders>
            <w:shd w:val="clear" w:color="auto" w:fill="auto"/>
          </w:tcPr>
          <w:p w14:paraId="0D66934E" w14:textId="77777777" w:rsidR="00224547" w:rsidRPr="00293AC8" w:rsidRDefault="00224547" w:rsidP="00F414BF">
            <w:pPr>
              <w:spacing w:line="360" w:lineRule="auto"/>
              <w:jc w:val="both"/>
            </w:pPr>
            <w:r w:rsidRPr="000322E4">
              <w:t>Вовлечение</w:t>
            </w:r>
            <w:r w:rsidRPr="00293AC8">
              <w:t xml:space="preserve"> </w:t>
            </w:r>
            <w:r w:rsidRPr="000322E4">
              <w:t>одного</w:t>
            </w:r>
            <w:r w:rsidRPr="00293AC8">
              <w:t xml:space="preserve"> </w:t>
            </w:r>
            <w:r w:rsidRPr="000322E4">
              <w:t>ЛУ</w:t>
            </w:r>
            <w:r w:rsidRPr="00293AC8">
              <w:t xml:space="preserve"> </w:t>
            </w:r>
            <w:r w:rsidRPr="000322E4">
              <w:t>или</w:t>
            </w:r>
            <w:r w:rsidRPr="00293AC8">
              <w:t xml:space="preserve"> </w:t>
            </w:r>
            <w:r w:rsidRPr="000322E4">
              <w:t>одной</w:t>
            </w:r>
            <w:r w:rsidRPr="00293AC8">
              <w:t xml:space="preserve"> </w:t>
            </w:r>
            <w:r w:rsidRPr="000322E4">
              <w:t>группы</w:t>
            </w:r>
            <w:r w:rsidRPr="00293AC8">
              <w:t xml:space="preserve"> </w:t>
            </w:r>
            <w:r w:rsidRPr="000322E4">
              <w:t>ЛУ</w:t>
            </w:r>
            <w:r w:rsidRPr="00293AC8">
              <w:t xml:space="preserve"> </w:t>
            </w:r>
          </w:p>
        </w:tc>
        <w:tc>
          <w:tcPr>
            <w:tcW w:w="3892" w:type="dxa"/>
            <w:tcBorders>
              <w:top w:val="single" w:sz="4" w:space="0" w:color="000000"/>
              <w:left w:val="single" w:sz="4" w:space="0" w:color="000000"/>
              <w:right w:val="single" w:sz="4" w:space="0" w:color="000000"/>
            </w:tcBorders>
            <w:shd w:val="clear" w:color="auto" w:fill="auto"/>
          </w:tcPr>
          <w:p w14:paraId="332DDDEB" w14:textId="77777777" w:rsidR="00224547" w:rsidRPr="00293AC8" w:rsidRDefault="00224547" w:rsidP="00F414BF">
            <w:pPr>
              <w:spacing w:line="360" w:lineRule="auto"/>
              <w:jc w:val="both"/>
            </w:pPr>
            <w:r w:rsidRPr="000322E4">
              <w:t>Локализованное</w:t>
            </w:r>
            <w:r w:rsidRPr="00293AC8">
              <w:t xml:space="preserve"> </w:t>
            </w:r>
            <w:r w:rsidRPr="000322E4">
              <w:t>поражение</w:t>
            </w:r>
            <w:r w:rsidRPr="00293AC8">
              <w:t xml:space="preserve"> </w:t>
            </w:r>
            <w:r w:rsidRPr="000322E4">
              <w:t>одного</w:t>
            </w:r>
            <w:r w:rsidRPr="00293AC8">
              <w:t xml:space="preserve"> </w:t>
            </w:r>
            <w:r w:rsidRPr="000322E4">
              <w:t>экстралимфатического</w:t>
            </w:r>
            <w:r w:rsidRPr="00293AC8">
              <w:t xml:space="preserve"> </w:t>
            </w:r>
            <w:r w:rsidRPr="000322E4">
              <w:t>органа</w:t>
            </w:r>
            <w:r w:rsidRPr="00293AC8">
              <w:t xml:space="preserve"> </w:t>
            </w:r>
            <w:r w:rsidRPr="000322E4">
              <w:t>или</w:t>
            </w:r>
            <w:r w:rsidRPr="00293AC8">
              <w:t xml:space="preserve"> </w:t>
            </w:r>
            <w:r w:rsidRPr="000322E4">
              <w:t>ткани</w:t>
            </w:r>
            <w:r w:rsidRPr="00293AC8">
              <w:t xml:space="preserve"> </w:t>
            </w:r>
            <w:r w:rsidRPr="000322E4">
              <w:t>без</w:t>
            </w:r>
            <w:r w:rsidRPr="00293AC8">
              <w:t xml:space="preserve"> </w:t>
            </w:r>
            <w:r w:rsidRPr="000322E4">
              <w:t>поражения</w:t>
            </w:r>
            <w:r w:rsidRPr="00293AC8">
              <w:t xml:space="preserve"> </w:t>
            </w:r>
            <w:r w:rsidRPr="000322E4">
              <w:t>ЛУ</w:t>
            </w:r>
          </w:p>
        </w:tc>
      </w:tr>
      <w:tr w:rsidR="00224547" w:rsidRPr="00293AC8" w14:paraId="37074C3A" w14:textId="77777777" w:rsidTr="00BB7996">
        <w:trPr>
          <w:trHeight w:val="1284"/>
        </w:trPr>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D7D44F" w14:textId="77777777" w:rsidR="00224547" w:rsidRPr="00293AC8" w:rsidRDefault="00224547" w:rsidP="00F414BF">
            <w:pPr>
              <w:spacing w:line="360" w:lineRule="auto"/>
              <w:jc w:val="both"/>
              <w:rPr>
                <w:b/>
              </w:rPr>
            </w:pPr>
            <w:r w:rsidRPr="000322E4">
              <w:rPr>
                <w:b/>
              </w:rPr>
              <w:t>Стадия</w:t>
            </w:r>
            <w:r w:rsidRPr="00293AC8">
              <w:rPr>
                <w:b/>
              </w:rPr>
              <w:t xml:space="preserve"> </w:t>
            </w:r>
            <w:r w:rsidRPr="0053335B">
              <w:rPr>
                <w:b/>
                <w:lang w:val="en-US"/>
              </w:rPr>
              <w:t>II</w:t>
            </w:r>
          </w:p>
        </w:tc>
        <w:tc>
          <w:tcPr>
            <w:tcW w:w="3892" w:type="dxa"/>
            <w:tcBorders>
              <w:left w:val="single" w:sz="4" w:space="0" w:color="000000"/>
              <w:right w:val="single" w:sz="4" w:space="0" w:color="000000"/>
            </w:tcBorders>
            <w:shd w:val="clear" w:color="auto" w:fill="auto"/>
          </w:tcPr>
          <w:p w14:paraId="4EF8955E" w14:textId="77777777" w:rsidR="00224547" w:rsidRPr="00293AC8" w:rsidRDefault="00224547" w:rsidP="00F414BF">
            <w:pPr>
              <w:spacing w:line="360" w:lineRule="auto"/>
              <w:jc w:val="both"/>
            </w:pPr>
            <w:r w:rsidRPr="000322E4">
              <w:t>Вовлечение</w:t>
            </w:r>
            <w:r w:rsidRPr="00293AC8">
              <w:t xml:space="preserve"> ≥ 2 </w:t>
            </w:r>
            <w:r w:rsidRPr="000322E4">
              <w:t>групп</w:t>
            </w:r>
            <w:r w:rsidRPr="00293AC8">
              <w:t xml:space="preserve"> </w:t>
            </w:r>
            <w:r w:rsidRPr="000322E4">
              <w:t>ЛУ</w:t>
            </w:r>
            <w:r w:rsidRPr="00293AC8">
              <w:t xml:space="preserve"> </w:t>
            </w:r>
            <w:r w:rsidRPr="000322E4">
              <w:t>по</w:t>
            </w:r>
            <w:r w:rsidRPr="00293AC8">
              <w:t xml:space="preserve"> </w:t>
            </w:r>
            <w:r w:rsidRPr="000322E4">
              <w:t>одну</w:t>
            </w:r>
            <w:r w:rsidRPr="00293AC8">
              <w:t xml:space="preserve"> </w:t>
            </w:r>
            <w:r w:rsidRPr="000322E4">
              <w:t>сторону</w:t>
            </w:r>
            <w:r w:rsidRPr="00293AC8">
              <w:t xml:space="preserve"> </w:t>
            </w:r>
            <w:r w:rsidRPr="000322E4">
              <w:t>диафрагмы</w:t>
            </w:r>
          </w:p>
          <w:p w14:paraId="3187251B" w14:textId="77777777" w:rsidR="00224547" w:rsidRPr="00293AC8" w:rsidRDefault="00224547" w:rsidP="00F414BF">
            <w:pPr>
              <w:spacing w:line="360" w:lineRule="auto"/>
              <w:jc w:val="both"/>
            </w:pPr>
            <w:r w:rsidRPr="000322E4">
              <w:rPr>
                <w:b/>
              </w:rPr>
              <w:t>Стадия</w:t>
            </w:r>
            <w:r w:rsidRPr="00293AC8">
              <w:rPr>
                <w:b/>
              </w:rPr>
              <w:t xml:space="preserve"> </w:t>
            </w:r>
            <w:r w:rsidRPr="000322E4">
              <w:rPr>
                <w:b/>
                <w:lang w:val="en-US"/>
              </w:rPr>
              <w:t>II</w:t>
            </w:r>
            <w:r w:rsidRPr="00293AC8">
              <w:rPr>
                <w:b/>
              </w:rPr>
              <w:t xml:space="preserve"> </w:t>
            </w:r>
            <w:r w:rsidRPr="000322E4">
              <w:rPr>
                <w:b/>
                <w:lang w:val="en-US"/>
              </w:rPr>
              <w:t>bulky</w:t>
            </w:r>
            <w:r w:rsidRPr="00293AC8">
              <w:rPr>
                <w:b/>
              </w:rPr>
              <w:t xml:space="preserve"> – </w:t>
            </w:r>
            <w:r w:rsidRPr="000322E4">
              <w:rPr>
                <w:bCs/>
              </w:rPr>
              <w:t>стадия</w:t>
            </w:r>
            <w:r w:rsidRPr="00293AC8">
              <w:rPr>
                <w:b/>
              </w:rPr>
              <w:t xml:space="preserve"> </w:t>
            </w:r>
            <w:r w:rsidRPr="000322E4">
              <w:rPr>
                <w:bCs/>
                <w:lang w:val="en-US"/>
              </w:rPr>
              <w:t>II</w:t>
            </w:r>
            <w:r w:rsidRPr="00293AC8">
              <w:rPr>
                <w:b/>
              </w:rPr>
              <w:t xml:space="preserve"> </w:t>
            </w:r>
            <w:r w:rsidRPr="000322E4">
              <w:rPr>
                <w:lang w:val="en-US"/>
              </w:rPr>
              <w:t>c</w:t>
            </w:r>
            <w:r w:rsidRPr="00293AC8">
              <w:t xml:space="preserve"> </w:t>
            </w:r>
            <w:r w:rsidRPr="000322E4">
              <w:t>массивным</w:t>
            </w:r>
            <w:r w:rsidRPr="00293AC8">
              <w:t xml:space="preserve"> </w:t>
            </w:r>
            <w:r w:rsidRPr="000322E4">
              <w:t>поражением</w:t>
            </w:r>
            <w:r w:rsidRPr="00293AC8">
              <w:t xml:space="preserve"> </w:t>
            </w:r>
            <w:r w:rsidRPr="000322E4">
              <w:t>ЛУ</w:t>
            </w:r>
          </w:p>
        </w:tc>
        <w:tc>
          <w:tcPr>
            <w:tcW w:w="3892" w:type="dxa"/>
            <w:tcBorders>
              <w:left w:val="single" w:sz="4" w:space="0" w:color="000000"/>
              <w:right w:val="single" w:sz="4" w:space="0" w:color="000000"/>
            </w:tcBorders>
            <w:shd w:val="clear" w:color="auto" w:fill="auto"/>
          </w:tcPr>
          <w:p w14:paraId="28A758D3" w14:textId="77777777" w:rsidR="00224547" w:rsidRPr="00293AC8" w:rsidRDefault="00BB7996" w:rsidP="00F414BF">
            <w:pPr>
              <w:spacing w:line="360" w:lineRule="auto"/>
              <w:jc w:val="both"/>
            </w:pPr>
            <w:r w:rsidRPr="000322E4">
              <w:t>Локализованное</w:t>
            </w:r>
            <w:r w:rsidRPr="00293AC8">
              <w:t xml:space="preserve"> </w:t>
            </w:r>
            <w:r w:rsidRPr="000322E4">
              <w:t>поражение</w:t>
            </w:r>
            <w:r w:rsidRPr="00293AC8">
              <w:t xml:space="preserve"> </w:t>
            </w:r>
            <w:r w:rsidRPr="000322E4">
              <w:t>экстралимфатического</w:t>
            </w:r>
            <w:r w:rsidRPr="00293AC8">
              <w:t xml:space="preserve"> </w:t>
            </w:r>
            <w:r w:rsidRPr="000322E4">
              <w:t>органа</w:t>
            </w:r>
            <w:r w:rsidRPr="00293AC8">
              <w:t xml:space="preserve"> </w:t>
            </w:r>
            <w:r w:rsidRPr="000322E4">
              <w:t>или</w:t>
            </w:r>
            <w:r w:rsidRPr="00293AC8">
              <w:t xml:space="preserve"> </w:t>
            </w:r>
            <w:r w:rsidRPr="000322E4">
              <w:t>ткани</w:t>
            </w:r>
            <w:r w:rsidRPr="00293AC8">
              <w:t xml:space="preserve"> + </w:t>
            </w:r>
            <w:r w:rsidRPr="000322E4">
              <w:t>поражение</w:t>
            </w:r>
            <w:r w:rsidRPr="00293AC8">
              <w:t xml:space="preserve"> </w:t>
            </w:r>
            <w:r w:rsidRPr="000322E4">
              <w:t>регионарных</w:t>
            </w:r>
            <w:r w:rsidRPr="00293AC8">
              <w:t xml:space="preserve"> </w:t>
            </w:r>
            <w:r w:rsidRPr="000322E4">
              <w:t>ЛУ</w:t>
            </w:r>
            <w:r w:rsidRPr="00293AC8">
              <w:t xml:space="preserve"> </w:t>
            </w:r>
            <w:r w:rsidRPr="000322E4">
              <w:t>по</w:t>
            </w:r>
            <w:r w:rsidRPr="00293AC8">
              <w:t xml:space="preserve"> </w:t>
            </w:r>
            <w:r w:rsidRPr="000322E4">
              <w:t>одну</w:t>
            </w:r>
            <w:r w:rsidRPr="00293AC8">
              <w:t xml:space="preserve"> </w:t>
            </w:r>
            <w:r w:rsidRPr="000322E4">
              <w:t>сторону</w:t>
            </w:r>
            <w:r w:rsidRPr="00293AC8">
              <w:t xml:space="preserve"> </w:t>
            </w:r>
            <w:r w:rsidRPr="000322E4">
              <w:t>диафрагмы</w:t>
            </w:r>
            <w:r w:rsidR="00224547" w:rsidRPr="00293AC8">
              <w:t xml:space="preserve"> </w:t>
            </w:r>
          </w:p>
        </w:tc>
      </w:tr>
      <w:tr w:rsidR="00224547" w:rsidRPr="00293AC8" w14:paraId="1CC73BED" w14:textId="77777777" w:rsidTr="00BB7996">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04220A" w14:textId="77777777" w:rsidR="00224547" w:rsidRPr="00293AC8" w:rsidRDefault="00224547" w:rsidP="00F414BF">
            <w:pPr>
              <w:spacing w:line="360" w:lineRule="auto"/>
              <w:jc w:val="both"/>
              <w:rPr>
                <w:b/>
              </w:rPr>
            </w:pPr>
            <w:r w:rsidRPr="000322E4">
              <w:rPr>
                <w:b/>
              </w:rPr>
              <w:t>Стадия</w:t>
            </w:r>
            <w:r w:rsidRPr="00293AC8">
              <w:rPr>
                <w:b/>
              </w:rPr>
              <w:t xml:space="preserve"> </w:t>
            </w:r>
            <w:r w:rsidRPr="0053335B">
              <w:rPr>
                <w:b/>
                <w:lang w:val="en-US"/>
              </w:rPr>
              <w:t>III</w:t>
            </w:r>
          </w:p>
        </w:tc>
        <w:tc>
          <w:tcPr>
            <w:tcW w:w="7784" w:type="dxa"/>
            <w:gridSpan w:val="2"/>
            <w:tcBorders>
              <w:left w:val="single" w:sz="4" w:space="0" w:color="000000"/>
              <w:right w:val="single" w:sz="4" w:space="0" w:color="000000"/>
            </w:tcBorders>
            <w:shd w:val="clear" w:color="auto" w:fill="auto"/>
          </w:tcPr>
          <w:p w14:paraId="6F9AB2B8" w14:textId="77777777" w:rsidR="00224547" w:rsidRPr="00293AC8" w:rsidRDefault="00224547" w:rsidP="00F414BF">
            <w:pPr>
              <w:spacing w:line="360" w:lineRule="auto"/>
              <w:jc w:val="both"/>
            </w:pPr>
            <w:r w:rsidRPr="000322E4">
              <w:t>Вовлечение</w:t>
            </w:r>
            <w:r w:rsidRPr="00293AC8">
              <w:t xml:space="preserve"> </w:t>
            </w:r>
            <w:r w:rsidRPr="000322E4">
              <w:t>ЛУ</w:t>
            </w:r>
            <w:r w:rsidRPr="00293AC8">
              <w:t xml:space="preserve"> </w:t>
            </w:r>
            <w:r w:rsidRPr="000322E4">
              <w:t>по</w:t>
            </w:r>
            <w:r w:rsidRPr="00293AC8">
              <w:t xml:space="preserve"> </w:t>
            </w:r>
            <w:r w:rsidRPr="000322E4">
              <w:t>обе</w:t>
            </w:r>
            <w:r w:rsidRPr="00293AC8">
              <w:t xml:space="preserve"> </w:t>
            </w:r>
            <w:r w:rsidRPr="000322E4">
              <w:t>стороны</w:t>
            </w:r>
            <w:r w:rsidRPr="00293AC8">
              <w:t xml:space="preserve"> </w:t>
            </w:r>
            <w:r w:rsidRPr="000322E4">
              <w:t>диафрагмы</w:t>
            </w:r>
            <w:r w:rsidRPr="00293AC8">
              <w:t xml:space="preserve"> </w:t>
            </w:r>
            <w:r w:rsidRPr="000322E4">
              <w:t>или</w:t>
            </w:r>
            <w:r w:rsidRPr="00293AC8">
              <w:t xml:space="preserve"> </w:t>
            </w:r>
            <w:r w:rsidRPr="000322E4">
              <w:t>вовлечение</w:t>
            </w:r>
            <w:r w:rsidRPr="00293AC8">
              <w:t xml:space="preserve"> </w:t>
            </w:r>
            <w:r w:rsidRPr="000322E4">
              <w:t>ЛУ</w:t>
            </w:r>
            <w:r w:rsidRPr="00293AC8">
              <w:t xml:space="preserve"> </w:t>
            </w:r>
            <w:r w:rsidRPr="000322E4">
              <w:t>выше</w:t>
            </w:r>
            <w:r w:rsidRPr="00293AC8">
              <w:t xml:space="preserve"> </w:t>
            </w:r>
            <w:r w:rsidRPr="000322E4">
              <w:t>диафрагмы</w:t>
            </w:r>
            <w:r w:rsidRPr="00293AC8">
              <w:t xml:space="preserve"> </w:t>
            </w:r>
            <w:r w:rsidRPr="000322E4">
              <w:t>с</w:t>
            </w:r>
            <w:r w:rsidRPr="00293AC8">
              <w:t xml:space="preserve"> </w:t>
            </w:r>
            <w:r w:rsidRPr="000322E4">
              <w:t>поражением</w:t>
            </w:r>
            <w:r w:rsidRPr="00293AC8">
              <w:t xml:space="preserve"> </w:t>
            </w:r>
            <w:r w:rsidRPr="000322E4">
              <w:t>селезенки</w:t>
            </w:r>
          </w:p>
        </w:tc>
      </w:tr>
      <w:tr w:rsidR="00224547" w:rsidRPr="00293AC8" w14:paraId="3D2E19CB" w14:textId="77777777" w:rsidTr="00BB7996">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52A8F9" w14:textId="77777777" w:rsidR="00224547" w:rsidRPr="00293AC8" w:rsidRDefault="00224547" w:rsidP="00F414BF">
            <w:pPr>
              <w:spacing w:line="360" w:lineRule="auto"/>
              <w:jc w:val="both"/>
              <w:rPr>
                <w:b/>
              </w:rPr>
            </w:pPr>
            <w:r w:rsidRPr="000322E4">
              <w:rPr>
                <w:b/>
              </w:rPr>
              <w:t>Стадия</w:t>
            </w:r>
            <w:r w:rsidRPr="00293AC8">
              <w:rPr>
                <w:b/>
              </w:rPr>
              <w:t xml:space="preserve"> </w:t>
            </w:r>
            <w:r w:rsidRPr="0053335B">
              <w:rPr>
                <w:b/>
                <w:lang w:val="en-US"/>
              </w:rPr>
              <w:t>IV</w:t>
            </w:r>
          </w:p>
        </w:tc>
        <w:tc>
          <w:tcPr>
            <w:tcW w:w="7784" w:type="dxa"/>
            <w:gridSpan w:val="2"/>
            <w:tcBorders>
              <w:left w:val="single" w:sz="4" w:space="0" w:color="000000"/>
              <w:bottom w:val="single" w:sz="4" w:space="0" w:color="000000"/>
              <w:right w:val="single" w:sz="4" w:space="0" w:color="000000"/>
            </w:tcBorders>
            <w:shd w:val="clear" w:color="auto" w:fill="auto"/>
          </w:tcPr>
          <w:p w14:paraId="582922EF" w14:textId="77777777" w:rsidR="00224547" w:rsidRPr="00293AC8" w:rsidRDefault="00224547" w:rsidP="00F414BF">
            <w:pPr>
              <w:spacing w:line="360" w:lineRule="auto"/>
              <w:jc w:val="both"/>
            </w:pPr>
            <w:r w:rsidRPr="000322E4">
              <w:t>Диффузное</w:t>
            </w:r>
            <w:r w:rsidRPr="00293AC8">
              <w:t xml:space="preserve"> </w:t>
            </w:r>
            <w:r w:rsidRPr="000322E4">
              <w:t>или</w:t>
            </w:r>
            <w:r w:rsidRPr="00293AC8">
              <w:t xml:space="preserve"> </w:t>
            </w:r>
            <w:r w:rsidRPr="000322E4">
              <w:t>диссеминированное</w:t>
            </w:r>
            <w:r w:rsidRPr="00293AC8">
              <w:t xml:space="preserve"> </w:t>
            </w:r>
            <w:r w:rsidRPr="000322E4">
              <w:t>поражение</w:t>
            </w:r>
            <w:r w:rsidRPr="00293AC8">
              <w:t xml:space="preserve"> </w:t>
            </w:r>
            <w:r w:rsidRPr="000322E4">
              <w:t>экстралимфатического</w:t>
            </w:r>
            <w:r w:rsidRPr="00293AC8">
              <w:t xml:space="preserve"> </w:t>
            </w:r>
            <w:r w:rsidRPr="000322E4">
              <w:t>органа</w:t>
            </w:r>
            <w:r w:rsidRPr="00293AC8">
              <w:t xml:space="preserve"> </w:t>
            </w:r>
            <w:r w:rsidRPr="000322E4">
              <w:t>или</w:t>
            </w:r>
            <w:r w:rsidRPr="00293AC8">
              <w:t xml:space="preserve"> </w:t>
            </w:r>
            <w:r w:rsidRPr="000322E4">
              <w:t>ткани</w:t>
            </w:r>
            <w:r w:rsidRPr="00293AC8">
              <w:t xml:space="preserve"> </w:t>
            </w:r>
            <w:r w:rsidRPr="000322E4">
              <w:t>с</w:t>
            </w:r>
            <w:r w:rsidRPr="00293AC8">
              <w:t>/</w:t>
            </w:r>
            <w:r w:rsidRPr="000322E4">
              <w:t>без</w:t>
            </w:r>
            <w:r w:rsidRPr="00293AC8">
              <w:t xml:space="preserve"> </w:t>
            </w:r>
            <w:r w:rsidRPr="000322E4">
              <w:t>вовлечения</w:t>
            </w:r>
            <w:r w:rsidRPr="00293AC8">
              <w:t xml:space="preserve"> </w:t>
            </w:r>
            <w:r w:rsidRPr="000322E4">
              <w:t>ЛУ</w:t>
            </w:r>
            <w:r w:rsidRPr="00293AC8">
              <w:t xml:space="preserve"> </w:t>
            </w:r>
            <w:r w:rsidRPr="000322E4">
              <w:t>либо</w:t>
            </w:r>
            <w:r w:rsidRPr="00293AC8">
              <w:t xml:space="preserve"> </w:t>
            </w:r>
            <w:r w:rsidRPr="000322E4">
              <w:t>поражение</w:t>
            </w:r>
            <w:r w:rsidRPr="00293AC8">
              <w:t xml:space="preserve"> </w:t>
            </w:r>
            <w:r w:rsidRPr="000322E4">
              <w:t>экстранодальн</w:t>
            </w:r>
            <w:r w:rsidR="00BB7996" w:rsidRPr="000322E4">
              <w:t>ого</w:t>
            </w:r>
            <w:r w:rsidR="00BB7996" w:rsidRPr="00293AC8">
              <w:t xml:space="preserve"> </w:t>
            </w:r>
            <w:r w:rsidR="00BB7996" w:rsidRPr="000322E4">
              <w:t>органа</w:t>
            </w:r>
            <w:r w:rsidR="00BB7996" w:rsidRPr="00293AC8">
              <w:t xml:space="preserve"> </w:t>
            </w:r>
            <w:r w:rsidR="00BB7996" w:rsidRPr="000322E4">
              <w:t>или</w:t>
            </w:r>
            <w:r w:rsidR="00BB7996" w:rsidRPr="00293AC8">
              <w:t xml:space="preserve"> </w:t>
            </w:r>
            <w:r w:rsidR="00BB7996" w:rsidRPr="000322E4">
              <w:t>ткани</w:t>
            </w:r>
            <w:r w:rsidR="00BB7996" w:rsidRPr="00293AC8">
              <w:t xml:space="preserve"> + </w:t>
            </w:r>
            <w:r w:rsidR="00BB7996" w:rsidRPr="000322E4">
              <w:t>поражение</w:t>
            </w:r>
            <w:r w:rsidR="00BB7996" w:rsidRPr="00293AC8">
              <w:t xml:space="preserve"> </w:t>
            </w:r>
            <w:r w:rsidR="00BB7996" w:rsidRPr="000322E4">
              <w:t>нерегионарных</w:t>
            </w:r>
            <w:r w:rsidR="00BB7996" w:rsidRPr="00293AC8">
              <w:t xml:space="preserve"> </w:t>
            </w:r>
            <w:r w:rsidR="00BB7996" w:rsidRPr="000322E4">
              <w:t>ЛУ</w:t>
            </w:r>
          </w:p>
        </w:tc>
      </w:tr>
    </w:tbl>
    <w:p w14:paraId="2CA05AF6" w14:textId="77777777" w:rsidR="009B70C4" w:rsidRPr="00293AC8" w:rsidRDefault="009B70C4" w:rsidP="00CA442F">
      <w:pPr>
        <w:pStyle w:val="afd"/>
      </w:pPr>
    </w:p>
    <w:p w14:paraId="1ECE5D85" w14:textId="77777777" w:rsidR="009B70C4" w:rsidRPr="00293AC8" w:rsidRDefault="009B70C4" w:rsidP="00CA442F">
      <w:pPr>
        <w:pStyle w:val="afd"/>
      </w:pPr>
      <w:r w:rsidRPr="000322E4">
        <w:t>Для</w:t>
      </w:r>
      <w:r w:rsidRPr="00293AC8">
        <w:t xml:space="preserve"> </w:t>
      </w:r>
      <w:r w:rsidRPr="000322E4">
        <w:t>определения</w:t>
      </w:r>
      <w:r w:rsidRPr="00293AC8">
        <w:t xml:space="preserve"> </w:t>
      </w:r>
      <w:r w:rsidRPr="000322E4">
        <w:t>распространенности</w:t>
      </w:r>
      <w:r w:rsidRPr="00293AC8">
        <w:t xml:space="preserve"> </w:t>
      </w:r>
      <w:r w:rsidRPr="000322E4">
        <w:t>опухолевого</w:t>
      </w:r>
      <w:r w:rsidRPr="00293AC8">
        <w:t xml:space="preserve"> </w:t>
      </w:r>
      <w:r w:rsidRPr="000322E4">
        <w:t>процесса</w:t>
      </w:r>
      <w:r w:rsidRPr="00293AC8">
        <w:t xml:space="preserve"> </w:t>
      </w:r>
      <w:r w:rsidRPr="000322E4">
        <w:t>используется</w:t>
      </w:r>
      <w:r w:rsidRPr="00293AC8">
        <w:t xml:space="preserve"> </w:t>
      </w:r>
      <w:r w:rsidRPr="000322E4">
        <w:t>стадирование</w:t>
      </w:r>
      <w:r w:rsidRPr="00293AC8">
        <w:t xml:space="preserve"> </w:t>
      </w:r>
      <w:r w:rsidRPr="000322E4">
        <w:t>по</w:t>
      </w:r>
      <w:r w:rsidRPr="00293AC8">
        <w:t xml:space="preserve"> </w:t>
      </w:r>
      <w:r w:rsidRPr="0053335B">
        <w:rPr>
          <w:lang w:val="en-US"/>
        </w:rPr>
        <w:t>S</w:t>
      </w:r>
      <w:r w:rsidRPr="00293AC8">
        <w:t>.</w:t>
      </w:r>
      <w:r w:rsidRPr="0053335B">
        <w:rPr>
          <w:lang w:val="en-US"/>
        </w:rPr>
        <w:t>B</w:t>
      </w:r>
      <w:r w:rsidRPr="00293AC8">
        <w:t xml:space="preserve">. </w:t>
      </w:r>
      <w:r w:rsidRPr="0053335B">
        <w:rPr>
          <w:lang w:val="en-US"/>
        </w:rPr>
        <w:t>Murphy</w:t>
      </w:r>
      <w:r w:rsidRPr="00293AC8">
        <w:t xml:space="preserve"> (</w:t>
      </w:r>
      <w:r w:rsidRPr="000322E4">
        <w:t>аналогично</w:t>
      </w:r>
      <w:r w:rsidRPr="00293AC8">
        <w:t xml:space="preserve"> – </w:t>
      </w:r>
      <w:r w:rsidRPr="0053335B">
        <w:rPr>
          <w:lang w:val="en-US"/>
        </w:rPr>
        <w:t>St</w:t>
      </w:r>
      <w:r w:rsidRPr="00293AC8">
        <w:t xml:space="preserve">. </w:t>
      </w:r>
      <w:r w:rsidRPr="0053335B">
        <w:rPr>
          <w:lang w:val="en-US"/>
        </w:rPr>
        <w:t>Jude</w:t>
      </w:r>
      <w:r w:rsidRPr="00293AC8">
        <w:t>)</w:t>
      </w:r>
    </w:p>
    <w:p w14:paraId="6DE67C19" w14:textId="77777777" w:rsidR="009B70C4" w:rsidRPr="00293AC8" w:rsidRDefault="009B70C4" w:rsidP="008A40EA">
      <w:pPr>
        <w:pStyle w:val="afd"/>
        <w:rPr>
          <w:b/>
          <w:bCs/>
        </w:rPr>
      </w:pPr>
      <w:r w:rsidRPr="0053335B">
        <w:rPr>
          <w:b/>
          <w:bCs/>
          <w:lang w:val="en-US"/>
        </w:rPr>
        <w:t>I</w:t>
      </w:r>
      <w:r w:rsidRPr="00293AC8">
        <w:rPr>
          <w:b/>
          <w:bCs/>
        </w:rPr>
        <w:t xml:space="preserve"> </w:t>
      </w:r>
      <w:r w:rsidRPr="000322E4">
        <w:rPr>
          <w:b/>
          <w:bCs/>
        </w:rPr>
        <w:t>стадия</w:t>
      </w:r>
      <w:r w:rsidRPr="00293AC8">
        <w:rPr>
          <w:b/>
          <w:bCs/>
        </w:rPr>
        <w:t>:</w:t>
      </w:r>
    </w:p>
    <w:p w14:paraId="3E33C18B" w14:textId="77777777" w:rsidR="009B70C4" w:rsidRPr="00293AC8" w:rsidRDefault="009B70C4" w:rsidP="008A40EA">
      <w:pPr>
        <w:pStyle w:val="afd"/>
      </w:pPr>
      <w:r w:rsidRPr="00293AC8">
        <w:t>•</w:t>
      </w:r>
      <w:r w:rsidRPr="00293AC8">
        <w:tab/>
      </w:r>
      <w:r w:rsidRPr="000322E4">
        <w:t>одна</w:t>
      </w:r>
      <w:r w:rsidRPr="00293AC8">
        <w:t xml:space="preserve"> </w:t>
      </w:r>
      <w:r w:rsidRPr="000322E4">
        <w:t>локальная</w:t>
      </w:r>
      <w:r w:rsidRPr="00293AC8">
        <w:t xml:space="preserve"> </w:t>
      </w:r>
      <w:r w:rsidRPr="000322E4">
        <w:t>экстранодальная</w:t>
      </w:r>
      <w:r w:rsidRPr="00293AC8">
        <w:t xml:space="preserve"> </w:t>
      </w:r>
      <w:r w:rsidRPr="000322E4">
        <w:t>или</w:t>
      </w:r>
      <w:r w:rsidRPr="00293AC8">
        <w:t xml:space="preserve"> </w:t>
      </w:r>
      <w:r w:rsidRPr="000322E4">
        <w:t>нодальная</w:t>
      </w:r>
      <w:r w:rsidRPr="00293AC8">
        <w:t xml:space="preserve">, </w:t>
      </w:r>
      <w:r w:rsidRPr="000322E4">
        <w:t>за</w:t>
      </w:r>
      <w:r w:rsidRPr="00293AC8">
        <w:t xml:space="preserve"> </w:t>
      </w:r>
      <w:r w:rsidRPr="000322E4">
        <w:t>исключением</w:t>
      </w:r>
      <w:r w:rsidRPr="00293AC8">
        <w:t xml:space="preserve"> </w:t>
      </w:r>
      <w:r w:rsidRPr="000322E4">
        <w:t>медиастинальной</w:t>
      </w:r>
      <w:r w:rsidRPr="00293AC8">
        <w:t xml:space="preserve">, </w:t>
      </w:r>
      <w:r w:rsidRPr="000322E4">
        <w:t>абдоминальной</w:t>
      </w:r>
      <w:r w:rsidRPr="00293AC8">
        <w:t xml:space="preserve"> </w:t>
      </w:r>
      <w:r w:rsidRPr="000322E4">
        <w:t>или</w:t>
      </w:r>
      <w:r w:rsidRPr="00293AC8">
        <w:t xml:space="preserve"> </w:t>
      </w:r>
      <w:r w:rsidRPr="000322E4">
        <w:t>эпидуральной</w:t>
      </w:r>
      <w:r w:rsidRPr="00293AC8">
        <w:t xml:space="preserve"> </w:t>
      </w:r>
      <w:r w:rsidRPr="000322E4">
        <w:t>локализации</w:t>
      </w:r>
    </w:p>
    <w:p w14:paraId="6294D214" w14:textId="77777777" w:rsidR="009B70C4" w:rsidRPr="00293AC8" w:rsidRDefault="009B70C4" w:rsidP="00B85809">
      <w:pPr>
        <w:pStyle w:val="afd"/>
        <w:rPr>
          <w:b/>
          <w:bCs/>
        </w:rPr>
      </w:pPr>
      <w:r w:rsidRPr="0053335B">
        <w:rPr>
          <w:b/>
          <w:bCs/>
          <w:lang w:val="en-US"/>
        </w:rPr>
        <w:t>II</w:t>
      </w:r>
      <w:r w:rsidRPr="00293AC8">
        <w:rPr>
          <w:b/>
          <w:bCs/>
        </w:rPr>
        <w:t xml:space="preserve"> </w:t>
      </w:r>
      <w:r w:rsidRPr="000322E4">
        <w:rPr>
          <w:b/>
          <w:bCs/>
        </w:rPr>
        <w:t>стадия</w:t>
      </w:r>
      <w:r w:rsidRPr="00293AC8">
        <w:rPr>
          <w:b/>
          <w:bCs/>
        </w:rPr>
        <w:t>:</w:t>
      </w:r>
    </w:p>
    <w:p w14:paraId="024C2847" w14:textId="77777777" w:rsidR="009B70C4" w:rsidRPr="00C2696C" w:rsidRDefault="009B70C4" w:rsidP="00B85809">
      <w:pPr>
        <w:pStyle w:val="afd"/>
      </w:pPr>
      <w:r w:rsidRPr="00C2696C">
        <w:t>•</w:t>
      </w:r>
      <w:r w:rsidRPr="00C2696C">
        <w:tab/>
      </w:r>
      <w:r w:rsidRPr="000322E4">
        <w:t>одна</w:t>
      </w:r>
      <w:r w:rsidRPr="00C2696C">
        <w:t xml:space="preserve"> </w:t>
      </w:r>
      <w:r w:rsidRPr="000322E4">
        <w:t>экстранодальная</w:t>
      </w:r>
      <w:r w:rsidRPr="00C2696C">
        <w:t xml:space="preserve"> </w:t>
      </w:r>
      <w:r w:rsidRPr="000322E4">
        <w:t>опухоль</w:t>
      </w:r>
      <w:r w:rsidRPr="00C2696C">
        <w:t xml:space="preserve"> </w:t>
      </w:r>
      <w:r w:rsidRPr="000322E4">
        <w:t>с</w:t>
      </w:r>
      <w:r w:rsidRPr="00C2696C">
        <w:t xml:space="preserve"> </w:t>
      </w:r>
      <w:r w:rsidRPr="000322E4">
        <w:t>поражением</w:t>
      </w:r>
      <w:r w:rsidRPr="00C2696C">
        <w:t xml:space="preserve"> </w:t>
      </w:r>
      <w:r w:rsidRPr="000322E4">
        <w:t>региональных</w:t>
      </w:r>
      <w:r w:rsidRPr="00C2696C">
        <w:t xml:space="preserve"> </w:t>
      </w:r>
      <w:r w:rsidRPr="000322E4">
        <w:t>лимфоузлов</w:t>
      </w:r>
    </w:p>
    <w:p w14:paraId="3EB1EB8F" w14:textId="77777777" w:rsidR="009B70C4" w:rsidRPr="000322E4" w:rsidRDefault="009B70C4" w:rsidP="005B7DE0">
      <w:pPr>
        <w:pStyle w:val="afd"/>
      </w:pPr>
      <w:r w:rsidRPr="0053335B">
        <w:t>•</w:t>
      </w:r>
      <w:r w:rsidRPr="0053335B">
        <w:tab/>
      </w:r>
      <w:r w:rsidRPr="000322E4">
        <w:t>две</w:t>
      </w:r>
      <w:r w:rsidRPr="0053335B">
        <w:t xml:space="preserve"> </w:t>
      </w:r>
      <w:r w:rsidRPr="000322E4">
        <w:t>и</w:t>
      </w:r>
      <w:r w:rsidRPr="0053335B">
        <w:t xml:space="preserve"> </w:t>
      </w:r>
      <w:r w:rsidRPr="000322E4">
        <w:t>более</w:t>
      </w:r>
      <w:r w:rsidRPr="0053335B">
        <w:t xml:space="preserve"> </w:t>
      </w:r>
      <w:r w:rsidRPr="000322E4">
        <w:t>групп</w:t>
      </w:r>
      <w:r w:rsidRPr="0053335B">
        <w:t xml:space="preserve"> </w:t>
      </w:r>
      <w:r w:rsidRPr="000322E4">
        <w:t>лимфоузлов</w:t>
      </w:r>
      <w:r w:rsidRPr="0053335B">
        <w:t xml:space="preserve"> </w:t>
      </w:r>
      <w:r w:rsidRPr="000322E4">
        <w:t>по</w:t>
      </w:r>
      <w:r w:rsidRPr="0053335B">
        <w:t xml:space="preserve"> </w:t>
      </w:r>
      <w:r w:rsidRPr="000322E4">
        <w:t>одну</w:t>
      </w:r>
      <w:r w:rsidRPr="0053335B">
        <w:t xml:space="preserve"> </w:t>
      </w:r>
      <w:r w:rsidRPr="000322E4">
        <w:t>сторону</w:t>
      </w:r>
      <w:r w:rsidRPr="0053335B">
        <w:t xml:space="preserve"> </w:t>
      </w:r>
      <w:r w:rsidRPr="000322E4">
        <w:t>диафрагмы</w:t>
      </w:r>
    </w:p>
    <w:p w14:paraId="4AA69688" w14:textId="77777777" w:rsidR="009B70C4" w:rsidRPr="000322E4" w:rsidRDefault="009B70C4" w:rsidP="00357C19">
      <w:pPr>
        <w:pStyle w:val="afd"/>
      </w:pPr>
      <w:r w:rsidRPr="000322E4">
        <w:t>•</w:t>
      </w:r>
      <w:r w:rsidRPr="000322E4">
        <w:tab/>
        <w:t>две одиночные экстранодальные опухоли с/без поражения региональных лимфоузлов по одну сторону диафрагмы</w:t>
      </w:r>
    </w:p>
    <w:p w14:paraId="73E9B81E" w14:textId="77777777" w:rsidR="009B70C4" w:rsidRPr="000322E4" w:rsidRDefault="009B70C4" w:rsidP="00357C19">
      <w:pPr>
        <w:pStyle w:val="afd"/>
      </w:pPr>
      <w:r w:rsidRPr="000322E4">
        <w:t>•</w:t>
      </w:r>
      <w:r w:rsidRPr="000322E4">
        <w:tab/>
        <w:t>первичная опухоль желудочно-кишечного тракта, локализованная в илеоцекальной области с/без поражения мезентериальных лимфоузлов</w:t>
      </w:r>
    </w:p>
    <w:p w14:paraId="6849597F" w14:textId="77777777" w:rsidR="009B70C4" w:rsidRPr="000322E4" w:rsidRDefault="009B70C4" w:rsidP="00357C19">
      <w:pPr>
        <w:pStyle w:val="afd"/>
      </w:pPr>
      <w:r w:rsidRPr="000322E4">
        <w:t>•</w:t>
      </w:r>
      <w:r w:rsidRPr="000322E4">
        <w:tab/>
        <w:t>исключаются медиастинальные, абдоминальные и эпидуральные опухоли</w:t>
      </w:r>
    </w:p>
    <w:p w14:paraId="60FB4E0D" w14:textId="77777777" w:rsidR="009B70C4" w:rsidRPr="000322E4" w:rsidRDefault="009B70C4" w:rsidP="00357C19">
      <w:pPr>
        <w:pStyle w:val="afd"/>
      </w:pPr>
      <w:r w:rsidRPr="000322E4">
        <w:t>IIR – резецированная опухоль (макроскопически полностью удалена)</w:t>
      </w:r>
    </w:p>
    <w:p w14:paraId="23EE3EA9" w14:textId="77777777" w:rsidR="009B70C4" w:rsidRPr="000322E4" w:rsidRDefault="009B70C4" w:rsidP="00357C19">
      <w:pPr>
        <w:pStyle w:val="afd"/>
      </w:pPr>
      <w:r w:rsidRPr="000322E4">
        <w:t>IINR – не резецированная опухоль (макроскопически не полностью удалена)</w:t>
      </w:r>
    </w:p>
    <w:p w14:paraId="05E6AF7E" w14:textId="77777777" w:rsidR="009B70C4" w:rsidRPr="000322E4" w:rsidRDefault="009B70C4" w:rsidP="00357C19">
      <w:pPr>
        <w:pStyle w:val="afd"/>
        <w:rPr>
          <w:b/>
          <w:bCs/>
        </w:rPr>
      </w:pPr>
      <w:r w:rsidRPr="000322E4">
        <w:rPr>
          <w:b/>
          <w:bCs/>
        </w:rPr>
        <w:t xml:space="preserve">III стадия:  </w:t>
      </w:r>
    </w:p>
    <w:p w14:paraId="7DE71CEE" w14:textId="77777777" w:rsidR="009B70C4" w:rsidRPr="000322E4" w:rsidRDefault="009B70C4" w:rsidP="00357C19">
      <w:pPr>
        <w:pStyle w:val="afd"/>
      </w:pPr>
      <w:r w:rsidRPr="000322E4">
        <w:t>•</w:t>
      </w:r>
      <w:r w:rsidRPr="000322E4">
        <w:tab/>
        <w:t>две одиночные экстранодальные опухоли по обе стороны диафрагмы</w:t>
      </w:r>
    </w:p>
    <w:p w14:paraId="264DE474" w14:textId="77777777" w:rsidR="009B70C4" w:rsidRPr="000322E4" w:rsidRDefault="009B70C4" w:rsidP="00357C19">
      <w:pPr>
        <w:pStyle w:val="afd"/>
      </w:pPr>
      <w:r w:rsidRPr="000322E4">
        <w:t>•</w:t>
      </w:r>
      <w:r w:rsidRPr="000322E4">
        <w:tab/>
        <w:t>две и более областей лимфоузлов по обе стороны диафрагмы</w:t>
      </w:r>
    </w:p>
    <w:p w14:paraId="1541F1B6" w14:textId="77777777" w:rsidR="009B70C4" w:rsidRPr="000322E4" w:rsidRDefault="009B70C4" w:rsidP="00357C19">
      <w:pPr>
        <w:pStyle w:val="afd"/>
      </w:pPr>
      <w:r w:rsidRPr="000322E4">
        <w:t>•</w:t>
      </w:r>
      <w:r w:rsidRPr="000322E4">
        <w:tab/>
        <w:t>все первичные внутригрудные опухоли (медиастинальные, плевральные)</w:t>
      </w:r>
    </w:p>
    <w:p w14:paraId="1DE2961B" w14:textId="77777777" w:rsidR="009B70C4" w:rsidRPr="000322E4" w:rsidRDefault="009B70C4" w:rsidP="00357C19">
      <w:pPr>
        <w:pStyle w:val="afd"/>
      </w:pPr>
      <w:r w:rsidRPr="000322E4">
        <w:t>•</w:t>
      </w:r>
      <w:r w:rsidRPr="000322E4">
        <w:tab/>
        <w:t>все обширные внутрибрюшные опухоли (нерезектабельные)</w:t>
      </w:r>
    </w:p>
    <w:p w14:paraId="18A54C1F" w14:textId="77777777" w:rsidR="009B70C4" w:rsidRPr="000322E4" w:rsidRDefault="009B70C4" w:rsidP="00357C19">
      <w:pPr>
        <w:pStyle w:val="afd"/>
      </w:pPr>
      <w:r w:rsidRPr="000322E4">
        <w:lastRenderedPageBreak/>
        <w:t>•</w:t>
      </w:r>
      <w:r w:rsidRPr="000322E4">
        <w:tab/>
        <w:t>все параспинальные и эпидуральные опухоли вне зависимости от других мест поражения</w:t>
      </w:r>
    </w:p>
    <w:p w14:paraId="18661196" w14:textId="77777777" w:rsidR="009B70C4" w:rsidRPr="000322E4" w:rsidRDefault="009B70C4" w:rsidP="00357C19">
      <w:pPr>
        <w:pStyle w:val="afd"/>
        <w:rPr>
          <w:b/>
          <w:bCs/>
        </w:rPr>
      </w:pPr>
      <w:r w:rsidRPr="000322E4">
        <w:rPr>
          <w:b/>
          <w:bCs/>
        </w:rPr>
        <w:t>IV стадия:</w:t>
      </w:r>
    </w:p>
    <w:p w14:paraId="1EBD768B" w14:textId="77777777" w:rsidR="009B70C4" w:rsidRPr="000322E4" w:rsidRDefault="009B70C4" w:rsidP="00357C19">
      <w:pPr>
        <w:pStyle w:val="afd"/>
      </w:pPr>
      <w:r w:rsidRPr="000322E4">
        <w:t>•</w:t>
      </w:r>
      <w:r w:rsidRPr="000322E4">
        <w:tab/>
        <w:t>любая из перечисленных выше локализаций опухоли с инициальным поражением центральной нервной системы и/или костного мозга (бласты &lt;25%) и/или мультифокальным поражением скелета</w:t>
      </w:r>
    </w:p>
    <w:p w14:paraId="65797E2C" w14:textId="77777777" w:rsidR="009B70C4" w:rsidRPr="000322E4" w:rsidRDefault="009B70C4" w:rsidP="00357C19">
      <w:pPr>
        <w:pStyle w:val="afd"/>
        <w:rPr>
          <w:b/>
          <w:bCs/>
        </w:rPr>
      </w:pPr>
      <w:r w:rsidRPr="000322E4">
        <w:rPr>
          <w:b/>
          <w:bCs/>
        </w:rPr>
        <w:t>Лимфома/лейкоз Беркитта (Стадия IV-ОЛЛ по типу L3):</w:t>
      </w:r>
    </w:p>
    <w:p w14:paraId="00EA495C" w14:textId="77777777" w:rsidR="009B70C4" w:rsidRPr="000322E4" w:rsidRDefault="009B70C4" w:rsidP="00357C19">
      <w:pPr>
        <w:pStyle w:val="afd"/>
      </w:pPr>
      <w:r w:rsidRPr="000322E4">
        <w:t>•</w:t>
      </w:r>
      <w:r w:rsidRPr="000322E4">
        <w:tab/>
        <w:t>в костном мозге &gt;25% опухолевых клеток</w:t>
      </w:r>
    </w:p>
    <w:p w14:paraId="370D0D10" w14:textId="77777777" w:rsidR="009B70C4" w:rsidRPr="000322E4" w:rsidRDefault="009B70C4" w:rsidP="00357C19">
      <w:pPr>
        <w:pStyle w:val="afd"/>
      </w:pPr>
    </w:p>
    <w:p w14:paraId="0ABAF2F6" w14:textId="25DE2C70" w:rsidR="00BB7996" w:rsidRPr="00471424" w:rsidRDefault="00BB7996" w:rsidP="00F414BF">
      <w:pPr>
        <w:pStyle w:val="2"/>
        <w:spacing w:before="0"/>
        <w:rPr>
          <w:color w:val="000000" w:themeColor="text1"/>
        </w:rPr>
      </w:pPr>
      <w:bookmarkStart w:id="58" w:name="_Toc96601257"/>
      <w:r w:rsidRPr="00471424">
        <w:rPr>
          <w:color w:val="000000" w:themeColor="text1"/>
        </w:rPr>
        <w:t>7.</w:t>
      </w:r>
      <w:r w:rsidR="00B356F3" w:rsidRPr="00471424">
        <w:rPr>
          <w:color w:val="000000" w:themeColor="text1"/>
        </w:rPr>
        <w:t>4</w:t>
      </w:r>
      <w:r w:rsidRPr="00471424">
        <w:rPr>
          <w:color w:val="000000" w:themeColor="text1"/>
        </w:rPr>
        <w:t xml:space="preserve"> Определение групп риска </w:t>
      </w:r>
      <w:r w:rsidR="00F47A24" w:rsidRPr="00471424">
        <w:rPr>
          <w:color w:val="000000" w:themeColor="text1"/>
        </w:rPr>
        <w:t xml:space="preserve">ДВКЛ, ПМВКЛ, ЛБ </w:t>
      </w:r>
      <w:r w:rsidR="00AE61A0" w:rsidRPr="00471424">
        <w:rPr>
          <w:color w:val="000000" w:themeColor="text1"/>
        </w:rPr>
        <w:t>у взрослых пациентов</w:t>
      </w:r>
      <w:bookmarkEnd w:id="58"/>
    </w:p>
    <w:p w14:paraId="410785A2" w14:textId="1BB7DF50" w:rsidR="005A2396" w:rsidRPr="000322E4" w:rsidRDefault="005A2396" w:rsidP="00F414BF">
      <w:pPr>
        <w:spacing w:line="360" w:lineRule="auto"/>
        <w:contextualSpacing/>
        <w:jc w:val="both"/>
      </w:pPr>
      <w:r w:rsidRPr="000322E4">
        <w:t xml:space="preserve">Для анализа индивидуального риска раннего прогрессирования используются международный прогностический индекс IPI (для всей популяции </w:t>
      </w:r>
      <w:r w:rsidR="00103620" w:rsidRPr="000322E4">
        <w:t xml:space="preserve">пациентов </w:t>
      </w:r>
      <w:r w:rsidRPr="000322E4">
        <w:t xml:space="preserve">– табл. 7.4.1 </w:t>
      </w:r>
      <w:r w:rsidRPr="000322E4">
        <w:fldChar w:fldCharType="begin" w:fldLock="1"/>
      </w:r>
      <w:r w:rsidR="00A6794A">
        <w:instrText>ADDIN CSL_CITATION {"citationItems":[{"id":"ITEM-1","itemData":{"DOI":"10.1056/NEJM199309303291402","ISSN":"15334406","abstract":"Although many patients with intermediate-grade or high-grade (aggressive) non-Hodgkin's lymphoma are cured by combination chemotherapy, the remainder are not cured and ultimately die of their disease. The Ann Arbor classification, used to determine the stage of this disease, does not consistently distinguish between patients with different long-term prognoses. This project was undertaken to develop a model for predicting outcome in patients with aggressive non-Hodgkin's lymphoma on the basis of the patients' clinical characteristics before treatment. Adults with aggressive non-Hodgkin's lymphoma from 16 institutions and cooperative groups in the United States, Europe, and Canada who were treated between 1982 and 1987 with combination-chemotherapy regimens containing doxorubicin were evaluated for clinical features predictive of overall survival and relapse-free survival. Features that remained independently significant in step-down regression analyses of survival were incorporated into models that identified groups of patients of all ages and groups of patients no more than 60 years old with different risks of death. In 2031 patients of all ages, our model, based on age, tumor stage, serum lactate dehydrogenase concentration, performance status, and number of extranodal disease sites, identified four risk groups with predicted five-year survival rates of 73 percent, 51 percent, 43 percent, and 26 percent. In 1274 patients 60 or younger, an age-adjusted model based on tumor stage, lactate dehydrogenase level, and performance status identified four risk groups with predicted five-year survival rates of 83 percent, 69 percent, 46 percent, and 32 percent. In both models, the increased risk of death was due to both a lower rate of complete responses and a higher rate of relapse from complete response. These two indexes, called the international index and the age-adjusted international index, were significantly more accurate than the Ann Arbor classification in predicting long-term survival. The international index and the age-adjusted international index should be used in the design of future therapeutic trials in patients with aggressive non-Hodgkin's lymphoma and in the selection of appropriate therapeutic approaches for individual patients., Combination chemotherapy has transformed aggressive non-Hodgkin's lymphoma from a fatal disease into one that is often curable. However, many patients still die of their disease, underscoring the need for more accurat…","container-title":"New England Journal of Medicine","id":"ITEM-1","issue":"14","issued":{"date-parts":[["1993","9","30"]]},"page":"987-994","title":"A Predictive Model for Aggressive Non-Hodgkin's Lymphoma","type":"article-journal","volume":"329"},"uris":["http://www.mendeley.com/documents/?uuid=b5cb2e4b-c485-42d1-8c35-7c30e0aa4e10"]}],"mendeley":{"formattedCitation":"[166]","plainTextFormattedCitation":"[166]","previouslyFormattedCitation":"[166]"},"properties":{"noteIndex":0},"schema":"https://github.com/citation-style-language/schema/raw/master/csl-citation.json"}</w:instrText>
      </w:r>
      <w:r w:rsidRPr="000322E4">
        <w:fldChar w:fldCharType="separate"/>
      </w:r>
      <w:r w:rsidR="006E1902" w:rsidRPr="006E1902">
        <w:rPr>
          <w:noProof/>
        </w:rPr>
        <w:t>[166]</w:t>
      </w:r>
      <w:r w:rsidRPr="000322E4">
        <w:fldChar w:fldCharType="end"/>
      </w:r>
      <w:r w:rsidRPr="000322E4">
        <w:t xml:space="preserve">, и скорректированный по возрасту aаIPI (для </w:t>
      </w:r>
      <w:r w:rsidR="00103620" w:rsidRPr="000322E4">
        <w:t xml:space="preserve">пациентов </w:t>
      </w:r>
      <w:r w:rsidRPr="000322E4">
        <w:t xml:space="preserve">моложе 60 лет – табл. 7.4.2 </w:t>
      </w:r>
      <w:r w:rsidRPr="000322E4">
        <w:fldChar w:fldCharType="begin" w:fldLock="1"/>
      </w:r>
      <w:r w:rsidR="00A6794A">
        <w:instrText>ADDIN CSL_CITATION {"citationItems":[{"id":"ITEM-1","itemData":{"DOI":"10.1016/j.jnci.2011.07.003","ISSN":"11100362","abstract":"Background: Diffuse large B-cell lymphoma (DLBCL) is the most common subtype of NHL in Egypt. It represents about 49% of NHL presenting to the National Cancer Institute (NCI), Cairo University. CHOP regimen is the standard treatment used for NHL since the 1970s with only 30-40% overall survival. Recently, integration of Rituximab became a standard of care for patients with DLBCL. However, its widespread use in developing countries is still limited by the lack of financial coverage. Clinical prognostic factors, as well as the pathological markers, are mandatory to individualize treatment. Aim: The aim of the study was to evaluate the clinical risk stratification models including the age adjusted International prognostic index (aaIPI), patients profile and dose intensity (DI) of Cyclophosphamide and Doxorubicin as effective tools for predicting the outcome and prognosis of our DLBCL patients treated with first line CHOP regimen. Patients and methods: This retrospective study included 224 patients with diffuse large B cell lymphoma who were treated with 3-8 cycles of CHOP regimen at the Medical Oncology Department, NCI, Cairo University during the time period from 1999 to 2006. Results: One hundred and seventy-eight patients (79.5%) achieved CR after the CHOP regimen with an observation period of 51months. The median survival time was 12months. The OS and DFS at 2years were 82% and 68.8%, respectively. The univariate analysis of predictive factors for response to treatment showed that the CR rate was significantly affected by aa-IPI and its elements (performance status, stage &amp; LDH), extranodal lesions and DI of Cyclophosphamide and Doxorubicin. The CR rate was 96.9%, 91.2%, 73.9% and 55.6% in cases with aa-IPI 0, 1, 2 and 3, respectively (p&lt;0.001) and it was 82.4%, 81.9% versus 50% in cases with no extranodal site, one extranodal site and two extranodal sites, respectively (p=0.01). As regard DI of Cyclophosphamide, with DI below or equal to the median (249mg/m2/week) the CR rate was 69%, while with DI above the median the CR rate was 87.7% (p=0.001). For Doxorubicin, the CR rate was 72.3% with DI below or equal to the median (16.5mg/m2/week), however, it was 86.6% with DI above the median (p=0.008). The OS rate was significantly affected by aa-IPI as it was 89.8% in cases of aa-IPI 0+1 versus 75.8% in those of aa-IPI 2+3 (p=0.03). DI of Cyclophosphamide and Doxorubicin significantly influenced the OS. The OS rate was 74% with DI of Doxorubicin below or e…","author":[{"dropping-particle":"","family":"Abdelhamid","given":"Thoraya","non-dropping-particle":"","parse-names":false,"suffix":""},{"dropping-particle":"","family":"Samra","given":"Mohamed","non-dropping-particle":"","parse-names":false,"suffix":""},{"dropping-particle":"","family":"Ramadan","given":"Hanan","non-dropping-particle":"","parse-names":false,"suffix":""},{"dropping-particle":"","family":"Mehessin","given":"Marowa","non-dropping-particle":"","parse-names":false,"suffix":""},{"dropping-particle":"","family":"Mokhtar","given":"Nadia","non-dropping-particle":"","parse-names":false,"suffix":""}],"container-title":"Journal of the Egyptian National Cancer Institute","id":"ITEM-1","issue":"1","issued":{"date-parts":[["2011","3"]]},"page":"17-24","title":"Clinical prognostic factors of diffuse large B cell non-Hodgkin lymphoma: A retrospective study","type":"article-journal","volume":"23"},"uris":["http://www.mendeley.com/documents/?uuid=36e15a65-f52d-3a3a-8525-34376ee288ce"]}],"mendeley":{"formattedCitation":"[167]","plainTextFormattedCitation":"[167]","previouslyFormattedCitation":"[167]"},"properties":{"noteIndex":0},"schema":"https://github.com/citation-style-language/schema/raw/master/csl-citation.json"}</w:instrText>
      </w:r>
      <w:r w:rsidRPr="000322E4">
        <w:fldChar w:fldCharType="separate"/>
      </w:r>
      <w:r w:rsidR="006E1902" w:rsidRPr="006E1902">
        <w:rPr>
          <w:noProof/>
        </w:rPr>
        <w:t>[167]</w:t>
      </w:r>
      <w:r w:rsidRPr="000322E4">
        <w:fldChar w:fldCharType="end"/>
      </w:r>
      <w:r w:rsidRPr="000322E4">
        <w:t xml:space="preserve">, которые не потеряли своего значения в условиях современных программ лечения. </w:t>
      </w:r>
    </w:p>
    <w:p w14:paraId="589E6F84" w14:textId="77777777" w:rsidR="005A2396" w:rsidRPr="000322E4" w:rsidRDefault="005A2396" w:rsidP="00F414BF">
      <w:pPr>
        <w:spacing w:line="360" w:lineRule="auto"/>
        <w:contextualSpacing/>
        <w:jc w:val="both"/>
      </w:pPr>
    </w:p>
    <w:p w14:paraId="512908B9" w14:textId="77777777" w:rsidR="005A2396" w:rsidRPr="000322E4" w:rsidRDefault="005A2396" w:rsidP="00F414BF">
      <w:pPr>
        <w:spacing w:line="360" w:lineRule="auto"/>
        <w:contextualSpacing/>
        <w:jc w:val="both"/>
      </w:pPr>
      <w:r w:rsidRPr="000322E4">
        <w:rPr>
          <w:b/>
        </w:rPr>
        <w:t>Таблица 7.4.1. Международный прогностический индекс (</w:t>
      </w:r>
      <w:r w:rsidRPr="000322E4">
        <w:rPr>
          <w:b/>
          <w:lang w:val="en-US"/>
        </w:rPr>
        <w:t>IPI</w:t>
      </w:r>
      <w:r w:rsidRPr="000322E4">
        <w:rPr>
          <w:b/>
        </w:rPr>
        <w:t xml:space="preserve">)   </w:t>
      </w:r>
    </w:p>
    <w:tbl>
      <w:tblPr>
        <w:tblW w:w="0" w:type="auto"/>
        <w:tblInd w:w="-25" w:type="dxa"/>
        <w:tblLayout w:type="fixed"/>
        <w:tblLook w:val="0000" w:firstRow="0" w:lastRow="0" w:firstColumn="0" w:lastColumn="0" w:noHBand="0" w:noVBand="0"/>
      </w:tblPr>
      <w:tblGrid>
        <w:gridCol w:w="3020"/>
        <w:gridCol w:w="3021"/>
        <w:gridCol w:w="3071"/>
      </w:tblGrid>
      <w:tr w:rsidR="005A2396" w:rsidRPr="000322E4" w14:paraId="47419DBB" w14:textId="77777777" w:rsidTr="005A2396">
        <w:tc>
          <w:tcPr>
            <w:tcW w:w="3020" w:type="dxa"/>
            <w:tcBorders>
              <w:top w:val="single" w:sz="4" w:space="0" w:color="000000"/>
              <w:left w:val="single" w:sz="4" w:space="0" w:color="000000"/>
              <w:bottom w:val="single" w:sz="4" w:space="0" w:color="000000"/>
            </w:tcBorders>
            <w:shd w:val="clear" w:color="auto" w:fill="auto"/>
          </w:tcPr>
          <w:p w14:paraId="2E407F05" w14:textId="77777777" w:rsidR="005A2396" w:rsidRPr="000322E4" w:rsidRDefault="005A2396" w:rsidP="00F414BF">
            <w:pPr>
              <w:spacing w:line="360" w:lineRule="auto"/>
              <w:jc w:val="both"/>
            </w:pPr>
            <w:r w:rsidRPr="000322E4">
              <w:rPr>
                <w:b/>
                <w:i/>
              </w:rPr>
              <w:t>Категория риска</w:t>
            </w:r>
          </w:p>
        </w:tc>
        <w:tc>
          <w:tcPr>
            <w:tcW w:w="3021" w:type="dxa"/>
            <w:tcBorders>
              <w:top w:val="single" w:sz="4" w:space="0" w:color="000000"/>
              <w:left w:val="single" w:sz="4" w:space="0" w:color="000000"/>
              <w:bottom w:val="single" w:sz="4" w:space="0" w:color="000000"/>
            </w:tcBorders>
            <w:shd w:val="clear" w:color="auto" w:fill="auto"/>
          </w:tcPr>
          <w:p w14:paraId="7B55A62C" w14:textId="77777777" w:rsidR="005A2396" w:rsidRPr="000322E4" w:rsidRDefault="005A2396" w:rsidP="00F414BF">
            <w:pPr>
              <w:spacing w:line="360" w:lineRule="auto"/>
              <w:jc w:val="both"/>
            </w:pPr>
            <w:r w:rsidRPr="000322E4">
              <w:rPr>
                <w:b/>
                <w:i/>
              </w:rPr>
              <w:t>Кол-во факторов риска*</w:t>
            </w:r>
          </w:p>
        </w:tc>
        <w:tc>
          <w:tcPr>
            <w:tcW w:w="3071" w:type="dxa"/>
            <w:tcBorders>
              <w:top w:val="single" w:sz="4" w:space="0" w:color="000000"/>
              <w:left w:val="single" w:sz="4" w:space="0" w:color="000000"/>
              <w:bottom w:val="single" w:sz="4" w:space="0" w:color="000000"/>
              <w:right w:val="single" w:sz="4" w:space="0" w:color="000000"/>
            </w:tcBorders>
            <w:shd w:val="clear" w:color="auto" w:fill="auto"/>
          </w:tcPr>
          <w:p w14:paraId="1FD4F181" w14:textId="77777777" w:rsidR="005A2396" w:rsidRPr="000322E4" w:rsidRDefault="005A2396" w:rsidP="00F414BF">
            <w:pPr>
              <w:spacing w:line="360" w:lineRule="auto"/>
              <w:jc w:val="both"/>
            </w:pPr>
            <w:r w:rsidRPr="000322E4">
              <w:rPr>
                <w:b/>
                <w:i/>
              </w:rPr>
              <w:t>Ожидаемая 3-летняя общая выживаемость, %</w:t>
            </w:r>
          </w:p>
        </w:tc>
      </w:tr>
      <w:tr w:rsidR="005A2396" w:rsidRPr="000322E4" w14:paraId="14B3750E" w14:textId="77777777" w:rsidTr="005A2396">
        <w:tc>
          <w:tcPr>
            <w:tcW w:w="3020" w:type="dxa"/>
            <w:tcBorders>
              <w:top w:val="single" w:sz="4" w:space="0" w:color="000000"/>
              <w:left w:val="single" w:sz="4" w:space="0" w:color="000000"/>
              <w:bottom w:val="single" w:sz="4" w:space="0" w:color="000000"/>
            </w:tcBorders>
            <w:shd w:val="clear" w:color="auto" w:fill="auto"/>
          </w:tcPr>
          <w:p w14:paraId="3B4CEDCB" w14:textId="77777777" w:rsidR="005A2396" w:rsidRPr="000322E4" w:rsidRDefault="005A2396" w:rsidP="00F414BF">
            <w:pPr>
              <w:spacing w:line="360" w:lineRule="auto"/>
              <w:jc w:val="both"/>
            </w:pPr>
            <w:r w:rsidRPr="000322E4">
              <w:t>Низкий</w:t>
            </w:r>
          </w:p>
        </w:tc>
        <w:tc>
          <w:tcPr>
            <w:tcW w:w="3021" w:type="dxa"/>
            <w:tcBorders>
              <w:top w:val="single" w:sz="4" w:space="0" w:color="000000"/>
              <w:left w:val="single" w:sz="4" w:space="0" w:color="000000"/>
              <w:bottom w:val="single" w:sz="4" w:space="0" w:color="000000"/>
            </w:tcBorders>
            <w:shd w:val="clear" w:color="auto" w:fill="auto"/>
          </w:tcPr>
          <w:p w14:paraId="114B5CF1" w14:textId="77777777" w:rsidR="005A2396" w:rsidRPr="000322E4" w:rsidRDefault="005A2396" w:rsidP="00F414BF">
            <w:pPr>
              <w:spacing w:line="360" w:lineRule="auto"/>
              <w:jc w:val="both"/>
            </w:pPr>
            <w:r w:rsidRPr="000322E4">
              <w:t>0-1</w:t>
            </w:r>
          </w:p>
        </w:tc>
        <w:tc>
          <w:tcPr>
            <w:tcW w:w="3071" w:type="dxa"/>
            <w:tcBorders>
              <w:top w:val="single" w:sz="4" w:space="0" w:color="000000"/>
              <w:left w:val="single" w:sz="4" w:space="0" w:color="000000"/>
              <w:bottom w:val="single" w:sz="4" w:space="0" w:color="000000"/>
              <w:right w:val="single" w:sz="4" w:space="0" w:color="000000"/>
            </w:tcBorders>
            <w:shd w:val="clear" w:color="auto" w:fill="auto"/>
          </w:tcPr>
          <w:p w14:paraId="13393503" w14:textId="77777777" w:rsidR="005A2396" w:rsidRPr="000322E4" w:rsidRDefault="005A2396" w:rsidP="00F414BF">
            <w:pPr>
              <w:spacing w:line="360" w:lineRule="auto"/>
              <w:jc w:val="both"/>
            </w:pPr>
            <w:r w:rsidRPr="000322E4">
              <w:t>91 (89-94)</w:t>
            </w:r>
            <w:r w:rsidRPr="000322E4">
              <w:rPr>
                <w:vertAlign w:val="superscript"/>
              </w:rPr>
              <w:t>1</w:t>
            </w:r>
          </w:p>
        </w:tc>
      </w:tr>
      <w:tr w:rsidR="005A2396" w:rsidRPr="000322E4" w14:paraId="312EA17F" w14:textId="77777777" w:rsidTr="005A2396">
        <w:tc>
          <w:tcPr>
            <w:tcW w:w="3020" w:type="dxa"/>
            <w:tcBorders>
              <w:top w:val="single" w:sz="4" w:space="0" w:color="000000"/>
              <w:left w:val="single" w:sz="4" w:space="0" w:color="000000"/>
              <w:bottom w:val="single" w:sz="4" w:space="0" w:color="000000"/>
            </w:tcBorders>
            <w:shd w:val="clear" w:color="auto" w:fill="auto"/>
          </w:tcPr>
          <w:p w14:paraId="439E6012" w14:textId="77777777" w:rsidR="005A2396" w:rsidRPr="000322E4" w:rsidRDefault="005A2396" w:rsidP="00F414BF">
            <w:pPr>
              <w:spacing w:line="360" w:lineRule="auto"/>
              <w:jc w:val="both"/>
            </w:pPr>
            <w:r w:rsidRPr="000322E4">
              <w:t>Низкий промежуточный</w:t>
            </w:r>
          </w:p>
        </w:tc>
        <w:tc>
          <w:tcPr>
            <w:tcW w:w="3021" w:type="dxa"/>
            <w:tcBorders>
              <w:top w:val="single" w:sz="4" w:space="0" w:color="000000"/>
              <w:left w:val="single" w:sz="4" w:space="0" w:color="000000"/>
              <w:bottom w:val="single" w:sz="4" w:space="0" w:color="000000"/>
            </w:tcBorders>
            <w:shd w:val="clear" w:color="auto" w:fill="auto"/>
          </w:tcPr>
          <w:p w14:paraId="2DD85F0B" w14:textId="77777777" w:rsidR="005A2396" w:rsidRPr="000322E4" w:rsidRDefault="005A2396" w:rsidP="00F414BF">
            <w:pPr>
              <w:spacing w:line="360" w:lineRule="auto"/>
              <w:jc w:val="both"/>
            </w:pPr>
            <w:r w:rsidRPr="000322E4">
              <w:t>2</w:t>
            </w:r>
          </w:p>
        </w:tc>
        <w:tc>
          <w:tcPr>
            <w:tcW w:w="3071" w:type="dxa"/>
            <w:tcBorders>
              <w:top w:val="single" w:sz="4" w:space="0" w:color="000000"/>
              <w:left w:val="single" w:sz="4" w:space="0" w:color="000000"/>
              <w:bottom w:val="single" w:sz="4" w:space="0" w:color="000000"/>
              <w:right w:val="single" w:sz="4" w:space="0" w:color="000000"/>
            </w:tcBorders>
            <w:shd w:val="clear" w:color="auto" w:fill="auto"/>
          </w:tcPr>
          <w:p w14:paraId="60C2EDEE" w14:textId="77777777" w:rsidR="005A2396" w:rsidRPr="000322E4" w:rsidRDefault="005A2396" w:rsidP="00F414BF">
            <w:pPr>
              <w:spacing w:line="360" w:lineRule="auto"/>
              <w:jc w:val="both"/>
            </w:pPr>
            <w:r w:rsidRPr="000322E4">
              <w:t>81 (73–86)</w:t>
            </w:r>
          </w:p>
        </w:tc>
      </w:tr>
      <w:tr w:rsidR="005A2396" w:rsidRPr="000322E4" w14:paraId="03FBD23B" w14:textId="77777777" w:rsidTr="005A2396">
        <w:tc>
          <w:tcPr>
            <w:tcW w:w="3020" w:type="dxa"/>
            <w:tcBorders>
              <w:top w:val="single" w:sz="4" w:space="0" w:color="000000"/>
              <w:left w:val="single" w:sz="4" w:space="0" w:color="000000"/>
              <w:bottom w:val="single" w:sz="4" w:space="0" w:color="000000"/>
            </w:tcBorders>
            <w:shd w:val="clear" w:color="auto" w:fill="auto"/>
          </w:tcPr>
          <w:p w14:paraId="64F65D66" w14:textId="77777777" w:rsidR="005A2396" w:rsidRPr="000322E4" w:rsidRDefault="005A2396" w:rsidP="00F414BF">
            <w:pPr>
              <w:spacing w:line="360" w:lineRule="auto"/>
              <w:jc w:val="both"/>
            </w:pPr>
            <w:r w:rsidRPr="000322E4">
              <w:t>Высокий промежуточный</w:t>
            </w:r>
          </w:p>
        </w:tc>
        <w:tc>
          <w:tcPr>
            <w:tcW w:w="3021" w:type="dxa"/>
            <w:tcBorders>
              <w:top w:val="single" w:sz="4" w:space="0" w:color="000000"/>
              <w:left w:val="single" w:sz="4" w:space="0" w:color="000000"/>
              <w:bottom w:val="single" w:sz="4" w:space="0" w:color="000000"/>
            </w:tcBorders>
            <w:shd w:val="clear" w:color="auto" w:fill="auto"/>
          </w:tcPr>
          <w:p w14:paraId="5A6A1135" w14:textId="77777777" w:rsidR="005A2396" w:rsidRPr="000322E4" w:rsidRDefault="005A2396" w:rsidP="00F414BF">
            <w:pPr>
              <w:spacing w:line="360" w:lineRule="auto"/>
              <w:jc w:val="both"/>
            </w:pPr>
            <w:r w:rsidRPr="000322E4">
              <w:t>3</w:t>
            </w:r>
          </w:p>
        </w:tc>
        <w:tc>
          <w:tcPr>
            <w:tcW w:w="3071" w:type="dxa"/>
            <w:tcBorders>
              <w:top w:val="single" w:sz="4" w:space="0" w:color="000000"/>
              <w:left w:val="single" w:sz="4" w:space="0" w:color="000000"/>
              <w:bottom w:val="single" w:sz="4" w:space="0" w:color="000000"/>
              <w:right w:val="single" w:sz="4" w:space="0" w:color="000000"/>
            </w:tcBorders>
            <w:shd w:val="clear" w:color="auto" w:fill="auto"/>
          </w:tcPr>
          <w:p w14:paraId="32230176" w14:textId="77777777" w:rsidR="005A2396" w:rsidRPr="000322E4" w:rsidRDefault="005A2396" w:rsidP="00F414BF">
            <w:pPr>
              <w:spacing w:line="360" w:lineRule="auto"/>
              <w:jc w:val="both"/>
            </w:pPr>
            <w:r w:rsidRPr="000322E4">
              <w:t>65 (58–73)</w:t>
            </w:r>
          </w:p>
        </w:tc>
      </w:tr>
      <w:tr w:rsidR="005A2396" w:rsidRPr="000322E4" w14:paraId="082ECE67" w14:textId="77777777" w:rsidTr="005A2396">
        <w:tc>
          <w:tcPr>
            <w:tcW w:w="3020" w:type="dxa"/>
            <w:tcBorders>
              <w:top w:val="single" w:sz="4" w:space="0" w:color="000000"/>
              <w:left w:val="single" w:sz="4" w:space="0" w:color="000000"/>
              <w:bottom w:val="single" w:sz="4" w:space="0" w:color="000000"/>
            </w:tcBorders>
            <w:shd w:val="clear" w:color="auto" w:fill="auto"/>
          </w:tcPr>
          <w:p w14:paraId="6EBCC40C" w14:textId="77777777" w:rsidR="005A2396" w:rsidRPr="000322E4" w:rsidRDefault="005A2396" w:rsidP="00F414BF">
            <w:pPr>
              <w:spacing w:line="360" w:lineRule="auto"/>
              <w:jc w:val="both"/>
            </w:pPr>
            <w:r w:rsidRPr="000322E4">
              <w:t>Высокий</w:t>
            </w:r>
          </w:p>
        </w:tc>
        <w:tc>
          <w:tcPr>
            <w:tcW w:w="3021" w:type="dxa"/>
            <w:tcBorders>
              <w:top w:val="single" w:sz="4" w:space="0" w:color="000000"/>
              <w:left w:val="single" w:sz="4" w:space="0" w:color="000000"/>
              <w:bottom w:val="single" w:sz="4" w:space="0" w:color="000000"/>
            </w:tcBorders>
            <w:shd w:val="clear" w:color="auto" w:fill="auto"/>
          </w:tcPr>
          <w:p w14:paraId="5AB9FD6A" w14:textId="77777777" w:rsidR="005A2396" w:rsidRPr="000322E4" w:rsidRDefault="005A2396" w:rsidP="00F414BF">
            <w:pPr>
              <w:spacing w:line="360" w:lineRule="auto"/>
              <w:jc w:val="both"/>
            </w:pPr>
            <w:r w:rsidRPr="000322E4">
              <w:t>4-5</w:t>
            </w:r>
          </w:p>
        </w:tc>
        <w:tc>
          <w:tcPr>
            <w:tcW w:w="3071" w:type="dxa"/>
            <w:tcBorders>
              <w:top w:val="single" w:sz="4" w:space="0" w:color="000000"/>
              <w:left w:val="single" w:sz="4" w:space="0" w:color="000000"/>
              <w:bottom w:val="single" w:sz="4" w:space="0" w:color="000000"/>
              <w:right w:val="single" w:sz="4" w:space="0" w:color="000000"/>
            </w:tcBorders>
            <w:shd w:val="clear" w:color="auto" w:fill="auto"/>
          </w:tcPr>
          <w:p w14:paraId="2C3BAB7E" w14:textId="77777777" w:rsidR="005A2396" w:rsidRPr="000322E4" w:rsidRDefault="005A2396" w:rsidP="00F414BF">
            <w:pPr>
              <w:spacing w:line="360" w:lineRule="auto"/>
              <w:jc w:val="both"/>
            </w:pPr>
            <w:r w:rsidRPr="000322E4">
              <w:t>59 (49–69)</w:t>
            </w:r>
          </w:p>
        </w:tc>
      </w:tr>
      <w:tr w:rsidR="005A2396" w:rsidRPr="000322E4" w14:paraId="23C374D2" w14:textId="77777777" w:rsidTr="005A2396">
        <w:tc>
          <w:tcPr>
            <w:tcW w:w="9112" w:type="dxa"/>
            <w:gridSpan w:val="3"/>
            <w:tcBorders>
              <w:top w:val="single" w:sz="4" w:space="0" w:color="000000"/>
              <w:left w:val="single" w:sz="4" w:space="0" w:color="000000"/>
              <w:bottom w:val="single" w:sz="4" w:space="0" w:color="000000"/>
              <w:right w:val="single" w:sz="4" w:space="0" w:color="000000"/>
            </w:tcBorders>
            <w:shd w:val="clear" w:color="auto" w:fill="auto"/>
          </w:tcPr>
          <w:p w14:paraId="06B0FFCA" w14:textId="77777777" w:rsidR="005A2396" w:rsidRPr="000322E4" w:rsidRDefault="005A2396" w:rsidP="00F414BF">
            <w:pPr>
              <w:spacing w:line="360" w:lineRule="auto"/>
              <w:jc w:val="both"/>
            </w:pPr>
            <w:r w:rsidRPr="000322E4">
              <w:rPr>
                <w:b/>
                <w:i/>
              </w:rPr>
              <w:t>*Факторы риска:</w:t>
            </w:r>
          </w:p>
          <w:p w14:paraId="4F51AEF7" w14:textId="77777777" w:rsidR="005A2396" w:rsidRPr="000322E4" w:rsidRDefault="005A2396" w:rsidP="00F414BF">
            <w:pPr>
              <w:pStyle w:val="afe"/>
              <w:numPr>
                <w:ilvl w:val="0"/>
                <w:numId w:val="36"/>
              </w:numPr>
              <w:suppressAutoHyphens/>
            </w:pPr>
            <w:r w:rsidRPr="000322E4">
              <w:rPr>
                <w:i/>
                <w:iCs/>
              </w:rPr>
              <w:t>Возраст старше 60 лет</w:t>
            </w:r>
            <w:r w:rsidRPr="000322E4">
              <w:rPr>
                <w:i/>
                <w:iCs/>
              </w:rPr>
              <w:tab/>
            </w:r>
            <w:r w:rsidRPr="000322E4">
              <w:rPr>
                <w:i/>
                <w:iCs/>
              </w:rPr>
              <w:tab/>
            </w:r>
            <w:r w:rsidRPr="000322E4">
              <w:rPr>
                <w:i/>
                <w:iCs/>
              </w:rPr>
              <w:tab/>
            </w:r>
            <w:r w:rsidRPr="000322E4">
              <w:rPr>
                <w:i/>
                <w:iCs/>
              </w:rPr>
              <w:tab/>
            </w:r>
          </w:p>
          <w:p w14:paraId="0BB2179E" w14:textId="77777777" w:rsidR="005A2396" w:rsidRPr="000322E4" w:rsidRDefault="005A2396" w:rsidP="00F414BF">
            <w:pPr>
              <w:pStyle w:val="afe"/>
              <w:numPr>
                <w:ilvl w:val="0"/>
                <w:numId w:val="36"/>
              </w:numPr>
              <w:suppressAutoHyphens/>
            </w:pPr>
            <w:r w:rsidRPr="000322E4">
              <w:rPr>
                <w:i/>
                <w:iCs/>
              </w:rPr>
              <w:t>ECOG ≥2</w:t>
            </w:r>
            <w:r w:rsidRPr="000322E4">
              <w:rPr>
                <w:i/>
                <w:iCs/>
              </w:rPr>
              <w:tab/>
            </w:r>
            <w:r w:rsidRPr="000322E4">
              <w:rPr>
                <w:i/>
                <w:iCs/>
              </w:rPr>
              <w:tab/>
            </w:r>
            <w:r w:rsidRPr="000322E4">
              <w:rPr>
                <w:i/>
                <w:iCs/>
              </w:rPr>
              <w:tab/>
            </w:r>
            <w:r w:rsidRPr="000322E4">
              <w:rPr>
                <w:i/>
                <w:iCs/>
              </w:rPr>
              <w:tab/>
            </w:r>
            <w:r w:rsidRPr="000322E4">
              <w:rPr>
                <w:i/>
                <w:iCs/>
              </w:rPr>
              <w:tab/>
            </w:r>
            <w:r w:rsidRPr="000322E4">
              <w:rPr>
                <w:i/>
                <w:iCs/>
              </w:rPr>
              <w:tab/>
            </w:r>
          </w:p>
          <w:p w14:paraId="4A40D2BA" w14:textId="77777777" w:rsidR="005A2396" w:rsidRPr="000322E4" w:rsidRDefault="005A2396" w:rsidP="00F414BF">
            <w:pPr>
              <w:pStyle w:val="afe"/>
              <w:numPr>
                <w:ilvl w:val="0"/>
                <w:numId w:val="36"/>
              </w:numPr>
              <w:suppressAutoHyphens/>
            </w:pPr>
            <w:r w:rsidRPr="000322E4">
              <w:rPr>
                <w:i/>
                <w:iCs/>
              </w:rPr>
              <w:t>Повышение ЛДГ</w:t>
            </w:r>
            <w:r w:rsidRPr="000322E4">
              <w:rPr>
                <w:i/>
                <w:iCs/>
              </w:rPr>
              <w:tab/>
            </w:r>
            <w:r w:rsidRPr="000322E4">
              <w:rPr>
                <w:i/>
                <w:iCs/>
              </w:rPr>
              <w:tab/>
            </w:r>
            <w:r w:rsidRPr="000322E4">
              <w:rPr>
                <w:i/>
                <w:iCs/>
              </w:rPr>
              <w:tab/>
            </w:r>
            <w:r w:rsidRPr="000322E4">
              <w:rPr>
                <w:i/>
                <w:iCs/>
              </w:rPr>
              <w:tab/>
            </w:r>
            <w:r w:rsidRPr="000322E4">
              <w:rPr>
                <w:i/>
                <w:iCs/>
              </w:rPr>
              <w:tab/>
            </w:r>
          </w:p>
          <w:p w14:paraId="33E10A9A" w14:textId="77777777" w:rsidR="005A2396" w:rsidRPr="000322E4" w:rsidRDefault="005A2396" w:rsidP="00F414BF">
            <w:pPr>
              <w:pStyle w:val="afe"/>
              <w:numPr>
                <w:ilvl w:val="0"/>
                <w:numId w:val="36"/>
              </w:numPr>
              <w:suppressAutoHyphens/>
            </w:pPr>
            <w:r w:rsidRPr="000322E4">
              <w:rPr>
                <w:i/>
                <w:iCs/>
              </w:rPr>
              <w:t>Стадия III-IV</w:t>
            </w:r>
          </w:p>
          <w:p w14:paraId="5B609866" w14:textId="77777777" w:rsidR="005A2396" w:rsidRPr="000322E4" w:rsidRDefault="005A2396" w:rsidP="00F414BF">
            <w:pPr>
              <w:pStyle w:val="afe"/>
              <w:numPr>
                <w:ilvl w:val="0"/>
                <w:numId w:val="36"/>
              </w:numPr>
              <w:suppressAutoHyphens/>
            </w:pPr>
            <w:r w:rsidRPr="000322E4">
              <w:rPr>
                <w:i/>
                <w:iCs/>
              </w:rPr>
              <w:t>&gt;1 экстранодальной зоны поражения</w:t>
            </w:r>
          </w:p>
        </w:tc>
      </w:tr>
    </w:tbl>
    <w:p w14:paraId="1C65681E" w14:textId="77777777" w:rsidR="005A2396" w:rsidRPr="000322E4" w:rsidRDefault="005A2396" w:rsidP="00F414BF">
      <w:pPr>
        <w:spacing w:line="360" w:lineRule="auto"/>
        <w:contextualSpacing/>
        <w:jc w:val="both"/>
      </w:pPr>
      <w:r w:rsidRPr="000322E4">
        <w:t>____________________________________________</w:t>
      </w:r>
    </w:p>
    <w:p w14:paraId="795819D7" w14:textId="77777777" w:rsidR="005A2396" w:rsidRPr="000322E4" w:rsidRDefault="005A2396" w:rsidP="00F414BF">
      <w:pPr>
        <w:spacing w:line="360" w:lineRule="auto"/>
        <w:contextualSpacing/>
        <w:jc w:val="both"/>
      </w:pPr>
      <w:r w:rsidRPr="000322E4">
        <w:rPr>
          <w:vertAlign w:val="superscript"/>
        </w:rPr>
        <w:t>1</w:t>
      </w:r>
      <w:r w:rsidRPr="000322E4">
        <w:t>По данным различных клинических исследований.</w:t>
      </w:r>
    </w:p>
    <w:p w14:paraId="43E4503B" w14:textId="77777777" w:rsidR="005A2396" w:rsidRPr="000322E4" w:rsidRDefault="005A2396" w:rsidP="00F414BF">
      <w:pPr>
        <w:spacing w:line="360" w:lineRule="auto"/>
        <w:contextualSpacing/>
        <w:jc w:val="both"/>
        <w:rPr>
          <w:rFonts w:ascii="Arial" w:hAnsi="Arial" w:cs="Arial"/>
          <w:color w:val="222222"/>
          <w:sz w:val="21"/>
          <w:szCs w:val="21"/>
        </w:rPr>
      </w:pPr>
    </w:p>
    <w:p w14:paraId="28E6BC7B" w14:textId="77777777" w:rsidR="005A2396" w:rsidRPr="000322E4" w:rsidRDefault="005A2396" w:rsidP="00F414BF">
      <w:pPr>
        <w:spacing w:line="360" w:lineRule="auto"/>
        <w:ind w:left="-1" w:firstLine="708"/>
        <w:contextualSpacing/>
        <w:jc w:val="both"/>
      </w:pPr>
      <w:r w:rsidRPr="000322E4">
        <w:rPr>
          <w:b/>
        </w:rPr>
        <w:t xml:space="preserve">Таблица 7.4.2 Международный прогностический индекс, скорректированный по возрасту для </w:t>
      </w:r>
      <w:r w:rsidR="00103620" w:rsidRPr="000322E4">
        <w:rPr>
          <w:b/>
        </w:rPr>
        <w:t xml:space="preserve">пациентов </w:t>
      </w:r>
      <w:r w:rsidRPr="000322E4">
        <w:rPr>
          <w:b/>
        </w:rPr>
        <w:t xml:space="preserve">моложе 60 лет (ааIPI) </w:t>
      </w:r>
    </w:p>
    <w:tbl>
      <w:tblPr>
        <w:tblW w:w="0" w:type="auto"/>
        <w:tblInd w:w="-25" w:type="dxa"/>
        <w:tblLayout w:type="fixed"/>
        <w:tblLook w:val="0000" w:firstRow="0" w:lastRow="0" w:firstColumn="0" w:lastColumn="0" w:noHBand="0" w:noVBand="0"/>
      </w:tblPr>
      <w:tblGrid>
        <w:gridCol w:w="3020"/>
        <w:gridCol w:w="3021"/>
        <w:gridCol w:w="3071"/>
      </w:tblGrid>
      <w:tr w:rsidR="005A2396" w:rsidRPr="000322E4" w14:paraId="10056B3C" w14:textId="77777777" w:rsidTr="005A2396">
        <w:tc>
          <w:tcPr>
            <w:tcW w:w="3020" w:type="dxa"/>
            <w:tcBorders>
              <w:top w:val="single" w:sz="4" w:space="0" w:color="000000"/>
              <w:left w:val="single" w:sz="4" w:space="0" w:color="000000"/>
              <w:bottom w:val="single" w:sz="4" w:space="0" w:color="000000"/>
            </w:tcBorders>
            <w:shd w:val="clear" w:color="auto" w:fill="auto"/>
          </w:tcPr>
          <w:p w14:paraId="36D97461" w14:textId="77777777" w:rsidR="005A2396" w:rsidRPr="000322E4" w:rsidRDefault="005A2396" w:rsidP="00F414BF">
            <w:pPr>
              <w:spacing w:line="360" w:lineRule="auto"/>
              <w:jc w:val="both"/>
            </w:pPr>
            <w:r w:rsidRPr="000322E4">
              <w:rPr>
                <w:b/>
                <w:i/>
              </w:rPr>
              <w:lastRenderedPageBreak/>
              <w:t>Категория риска</w:t>
            </w:r>
          </w:p>
        </w:tc>
        <w:tc>
          <w:tcPr>
            <w:tcW w:w="3021" w:type="dxa"/>
            <w:tcBorders>
              <w:top w:val="single" w:sz="4" w:space="0" w:color="000000"/>
              <w:left w:val="single" w:sz="4" w:space="0" w:color="000000"/>
              <w:bottom w:val="single" w:sz="4" w:space="0" w:color="000000"/>
            </w:tcBorders>
            <w:shd w:val="clear" w:color="auto" w:fill="auto"/>
          </w:tcPr>
          <w:p w14:paraId="4F5281D5" w14:textId="77777777" w:rsidR="005A2396" w:rsidRPr="000322E4" w:rsidRDefault="005A2396" w:rsidP="00F414BF">
            <w:pPr>
              <w:spacing w:line="360" w:lineRule="auto"/>
              <w:jc w:val="both"/>
            </w:pPr>
            <w:r w:rsidRPr="000322E4">
              <w:rPr>
                <w:b/>
                <w:i/>
              </w:rPr>
              <w:t>Кол-во факторов риска*</w:t>
            </w:r>
          </w:p>
        </w:tc>
        <w:tc>
          <w:tcPr>
            <w:tcW w:w="3071" w:type="dxa"/>
            <w:tcBorders>
              <w:top w:val="single" w:sz="4" w:space="0" w:color="000000"/>
              <w:left w:val="single" w:sz="4" w:space="0" w:color="000000"/>
              <w:bottom w:val="single" w:sz="4" w:space="0" w:color="000000"/>
              <w:right w:val="single" w:sz="4" w:space="0" w:color="000000"/>
            </w:tcBorders>
            <w:shd w:val="clear" w:color="auto" w:fill="auto"/>
          </w:tcPr>
          <w:p w14:paraId="2B4BA4FE" w14:textId="77777777" w:rsidR="005A2396" w:rsidRPr="000322E4" w:rsidRDefault="005A2396" w:rsidP="00F414BF">
            <w:pPr>
              <w:spacing w:line="360" w:lineRule="auto"/>
              <w:jc w:val="both"/>
            </w:pPr>
            <w:r w:rsidRPr="000322E4">
              <w:rPr>
                <w:b/>
                <w:i/>
              </w:rPr>
              <w:t>Ожидаемая 3-летняя общая выживаемость, %</w:t>
            </w:r>
          </w:p>
        </w:tc>
      </w:tr>
      <w:tr w:rsidR="005A2396" w:rsidRPr="000322E4" w14:paraId="6E59EE62" w14:textId="77777777" w:rsidTr="005A2396">
        <w:tc>
          <w:tcPr>
            <w:tcW w:w="3020" w:type="dxa"/>
            <w:tcBorders>
              <w:top w:val="single" w:sz="4" w:space="0" w:color="000000"/>
              <w:left w:val="single" w:sz="4" w:space="0" w:color="000000"/>
              <w:bottom w:val="single" w:sz="4" w:space="0" w:color="000000"/>
            </w:tcBorders>
            <w:shd w:val="clear" w:color="auto" w:fill="auto"/>
          </w:tcPr>
          <w:p w14:paraId="3AEF90CC" w14:textId="77777777" w:rsidR="005A2396" w:rsidRPr="000322E4" w:rsidRDefault="005A2396" w:rsidP="00F414BF">
            <w:pPr>
              <w:spacing w:line="360" w:lineRule="auto"/>
              <w:jc w:val="both"/>
            </w:pPr>
            <w:r w:rsidRPr="000322E4">
              <w:t>Низкий</w:t>
            </w:r>
          </w:p>
        </w:tc>
        <w:tc>
          <w:tcPr>
            <w:tcW w:w="3021" w:type="dxa"/>
            <w:tcBorders>
              <w:top w:val="single" w:sz="4" w:space="0" w:color="000000"/>
              <w:left w:val="single" w:sz="4" w:space="0" w:color="000000"/>
              <w:bottom w:val="single" w:sz="4" w:space="0" w:color="000000"/>
            </w:tcBorders>
            <w:shd w:val="clear" w:color="auto" w:fill="auto"/>
          </w:tcPr>
          <w:p w14:paraId="1392BE33" w14:textId="77777777" w:rsidR="005A2396" w:rsidRPr="000322E4" w:rsidRDefault="005A2396" w:rsidP="00F414BF">
            <w:pPr>
              <w:spacing w:line="360" w:lineRule="auto"/>
              <w:jc w:val="both"/>
            </w:pPr>
            <w:r w:rsidRPr="000322E4">
              <w:t>0</w:t>
            </w:r>
          </w:p>
        </w:tc>
        <w:tc>
          <w:tcPr>
            <w:tcW w:w="3071" w:type="dxa"/>
            <w:tcBorders>
              <w:top w:val="single" w:sz="4" w:space="0" w:color="000000"/>
              <w:left w:val="single" w:sz="4" w:space="0" w:color="000000"/>
              <w:bottom w:val="single" w:sz="4" w:space="0" w:color="000000"/>
              <w:right w:val="single" w:sz="4" w:space="0" w:color="000000"/>
            </w:tcBorders>
            <w:shd w:val="clear" w:color="auto" w:fill="auto"/>
          </w:tcPr>
          <w:p w14:paraId="7F976711" w14:textId="77777777" w:rsidR="005A2396" w:rsidRPr="000322E4" w:rsidRDefault="005A2396" w:rsidP="00F414BF">
            <w:pPr>
              <w:spacing w:line="360" w:lineRule="auto"/>
              <w:jc w:val="both"/>
            </w:pPr>
            <w:r w:rsidRPr="000322E4">
              <w:t>98 (96–100)</w:t>
            </w:r>
          </w:p>
        </w:tc>
      </w:tr>
      <w:tr w:rsidR="005A2396" w:rsidRPr="000322E4" w14:paraId="751D11B3" w14:textId="77777777" w:rsidTr="005A2396">
        <w:tc>
          <w:tcPr>
            <w:tcW w:w="3020" w:type="dxa"/>
            <w:tcBorders>
              <w:top w:val="single" w:sz="4" w:space="0" w:color="000000"/>
              <w:left w:val="single" w:sz="4" w:space="0" w:color="000000"/>
              <w:bottom w:val="single" w:sz="4" w:space="0" w:color="000000"/>
            </w:tcBorders>
            <w:shd w:val="clear" w:color="auto" w:fill="auto"/>
          </w:tcPr>
          <w:p w14:paraId="0B1B2582" w14:textId="77777777" w:rsidR="005A2396" w:rsidRPr="000322E4" w:rsidRDefault="005A2396" w:rsidP="00F414BF">
            <w:pPr>
              <w:spacing w:line="360" w:lineRule="auto"/>
              <w:jc w:val="both"/>
            </w:pPr>
            <w:r w:rsidRPr="000322E4">
              <w:t>Низкий промежуточный</w:t>
            </w:r>
          </w:p>
        </w:tc>
        <w:tc>
          <w:tcPr>
            <w:tcW w:w="3021" w:type="dxa"/>
            <w:tcBorders>
              <w:top w:val="single" w:sz="4" w:space="0" w:color="000000"/>
              <w:left w:val="single" w:sz="4" w:space="0" w:color="000000"/>
              <w:bottom w:val="single" w:sz="4" w:space="0" w:color="000000"/>
            </w:tcBorders>
            <w:shd w:val="clear" w:color="auto" w:fill="auto"/>
          </w:tcPr>
          <w:p w14:paraId="2B7AA21A" w14:textId="77777777" w:rsidR="005A2396" w:rsidRPr="000322E4" w:rsidRDefault="005A2396" w:rsidP="00F414BF">
            <w:pPr>
              <w:spacing w:line="360" w:lineRule="auto"/>
              <w:jc w:val="both"/>
            </w:pPr>
            <w:r w:rsidRPr="000322E4">
              <w:t>1</w:t>
            </w:r>
          </w:p>
        </w:tc>
        <w:tc>
          <w:tcPr>
            <w:tcW w:w="3071" w:type="dxa"/>
            <w:tcBorders>
              <w:top w:val="single" w:sz="4" w:space="0" w:color="000000"/>
              <w:left w:val="single" w:sz="4" w:space="0" w:color="000000"/>
              <w:bottom w:val="single" w:sz="4" w:space="0" w:color="000000"/>
              <w:right w:val="single" w:sz="4" w:space="0" w:color="000000"/>
            </w:tcBorders>
            <w:shd w:val="clear" w:color="auto" w:fill="auto"/>
          </w:tcPr>
          <w:p w14:paraId="1AA989ED" w14:textId="77777777" w:rsidR="005A2396" w:rsidRPr="000322E4" w:rsidRDefault="005A2396" w:rsidP="00F414BF">
            <w:pPr>
              <w:spacing w:line="360" w:lineRule="auto"/>
              <w:jc w:val="both"/>
            </w:pPr>
            <w:r w:rsidRPr="000322E4">
              <w:t>92 (87–95)</w:t>
            </w:r>
          </w:p>
        </w:tc>
      </w:tr>
      <w:tr w:rsidR="005A2396" w:rsidRPr="000322E4" w14:paraId="57ADC5B6" w14:textId="77777777" w:rsidTr="005A2396">
        <w:tc>
          <w:tcPr>
            <w:tcW w:w="3020" w:type="dxa"/>
            <w:tcBorders>
              <w:top w:val="single" w:sz="4" w:space="0" w:color="000000"/>
              <w:left w:val="single" w:sz="4" w:space="0" w:color="000000"/>
              <w:bottom w:val="single" w:sz="4" w:space="0" w:color="000000"/>
            </w:tcBorders>
            <w:shd w:val="clear" w:color="auto" w:fill="auto"/>
          </w:tcPr>
          <w:p w14:paraId="773D009A" w14:textId="77777777" w:rsidR="005A2396" w:rsidRPr="000322E4" w:rsidRDefault="005A2396" w:rsidP="00F414BF">
            <w:pPr>
              <w:spacing w:line="360" w:lineRule="auto"/>
              <w:jc w:val="both"/>
            </w:pPr>
            <w:r w:rsidRPr="000322E4">
              <w:t>Высокий промежуточный</w:t>
            </w:r>
          </w:p>
        </w:tc>
        <w:tc>
          <w:tcPr>
            <w:tcW w:w="3021" w:type="dxa"/>
            <w:tcBorders>
              <w:top w:val="single" w:sz="4" w:space="0" w:color="000000"/>
              <w:left w:val="single" w:sz="4" w:space="0" w:color="000000"/>
              <w:bottom w:val="single" w:sz="4" w:space="0" w:color="000000"/>
            </w:tcBorders>
            <w:shd w:val="clear" w:color="auto" w:fill="auto"/>
          </w:tcPr>
          <w:p w14:paraId="7A4D0875" w14:textId="77777777" w:rsidR="005A2396" w:rsidRPr="000322E4" w:rsidRDefault="005A2396" w:rsidP="00F414BF">
            <w:pPr>
              <w:spacing w:line="360" w:lineRule="auto"/>
              <w:jc w:val="both"/>
            </w:pPr>
            <w:r w:rsidRPr="000322E4">
              <w:t>2</w:t>
            </w:r>
          </w:p>
        </w:tc>
        <w:tc>
          <w:tcPr>
            <w:tcW w:w="307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84A5BB9" w14:textId="77777777" w:rsidR="005A2396" w:rsidRPr="000322E4" w:rsidRDefault="005A2396" w:rsidP="00F414BF">
            <w:pPr>
              <w:spacing w:line="360" w:lineRule="auto"/>
              <w:jc w:val="both"/>
            </w:pPr>
            <w:r w:rsidRPr="000322E4">
              <w:t>75(66–82)</w:t>
            </w:r>
          </w:p>
        </w:tc>
      </w:tr>
      <w:tr w:rsidR="005A2396" w:rsidRPr="000322E4" w14:paraId="4F253257" w14:textId="77777777" w:rsidTr="005A2396">
        <w:tc>
          <w:tcPr>
            <w:tcW w:w="3020" w:type="dxa"/>
            <w:tcBorders>
              <w:top w:val="single" w:sz="4" w:space="0" w:color="000000"/>
              <w:left w:val="single" w:sz="4" w:space="0" w:color="000000"/>
              <w:bottom w:val="single" w:sz="4" w:space="0" w:color="000000"/>
            </w:tcBorders>
            <w:shd w:val="clear" w:color="auto" w:fill="auto"/>
          </w:tcPr>
          <w:p w14:paraId="4086BA8C" w14:textId="77777777" w:rsidR="005A2396" w:rsidRPr="000322E4" w:rsidRDefault="005A2396" w:rsidP="00F414BF">
            <w:pPr>
              <w:spacing w:line="360" w:lineRule="auto"/>
              <w:jc w:val="both"/>
            </w:pPr>
            <w:r w:rsidRPr="000322E4">
              <w:t>Высокий</w:t>
            </w:r>
          </w:p>
        </w:tc>
        <w:tc>
          <w:tcPr>
            <w:tcW w:w="3021" w:type="dxa"/>
            <w:tcBorders>
              <w:top w:val="single" w:sz="4" w:space="0" w:color="000000"/>
              <w:left w:val="single" w:sz="4" w:space="0" w:color="000000"/>
              <w:bottom w:val="single" w:sz="4" w:space="0" w:color="000000"/>
            </w:tcBorders>
            <w:shd w:val="clear" w:color="auto" w:fill="auto"/>
          </w:tcPr>
          <w:p w14:paraId="0BAF6820" w14:textId="77777777" w:rsidR="005A2396" w:rsidRPr="000322E4" w:rsidRDefault="005A2396" w:rsidP="00F414BF">
            <w:pPr>
              <w:spacing w:line="360" w:lineRule="auto"/>
              <w:jc w:val="both"/>
            </w:pPr>
            <w:r w:rsidRPr="000322E4">
              <w:t>3</w:t>
            </w:r>
          </w:p>
        </w:tc>
        <w:tc>
          <w:tcPr>
            <w:tcW w:w="3071" w:type="dxa"/>
            <w:vMerge/>
            <w:tcBorders>
              <w:top w:val="single" w:sz="4" w:space="0" w:color="000000"/>
              <w:left w:val="single" w:sz="4" w:space="0" w:color="000000"/>
              <w:bottom w:val="single" w:sz="4" w:space="0" w:color="000000"/>
              <w:right w:val="single" w:sz="4" w:space="0" w:color="000000"/>
            </w:tcBorders>
            <w:shd w:val="clear" w:color="auto" w:fill="auto"/>
          </w:tcPr>
          <w:p w14:paraId="633A503D" w14:textId="77777777" w:rsidR="005A2396" w:rsidRPr="000322E4" w:rsidRDefault="005A2396" w:rsidP="00F414BF">
            <w:pPr>
              <w:snapToGrid w:val="0"/>
              <w:spacing w:line="360" w:lineRule="auto"/>
              <w:jc w:val="both"/>
              <w:rPr>
                <w:sz w:val="22"/>
              </w:rPr>
            </w:pPr>
          </w:p>
        </w:tc>
      </w:tr>
      <w:tr w:rsidR="005A2396" w:rsidRPr="000322E4" w14:paraId="06AEACA2" w14:textId="77777777" w:rsidTr="005A2396">
        <w:tc>
          <w:tcPr>
            <w:tcW w:w="9112" w:type="dxa"/>
            <w:gridSpan w:val="3"/>
            <w:tcBorders>
              <w:top w:val="single" w:sz="4" w:space="0" w:color="000000"/>
              <w:left w:val="single" w:sz="4" w:space="0" w:color="000000"/>
              <w:bottom w:val="single" w:sz="4" w:space="0" w:color="000000"/>
              <w:right w:val="single" w:sz="4" w:space="0" w:color="000000"/>
            </w:tcBorders>
            <w:shd w:val="clear" w:color="auto" w:fill="auto"/>
          </w:tcPr>
          <w:p w14:paraId="610908F2" w14:textId="77777777" w:rsidR="005A2396" w:rsidRPr="000322E4" w:rsidRDefault="005A2396" w:rsidP="00F414BF">
            <w:pPr>
              <w:spacing w:line="360" w:lineRule="auto"/>
              <w:jc w:val="both"/>
            </w:pPr>
            <w:r w:rsidRPr="000322E4">
              <w:rPr>
                <w:b/>
                <w:i/>
              </w:rPr>
              <w:t>*Факторы риска:</w:t>
            </w:r>
            <w:r w:rsidRPr="000322E4">
              <w:rPr>
                <w:sz w:val="26"/>
              </w:rPr>
              <w:tab/>
            </w:r>
            <w:r w:rsidRPr="000322E4">
              <w:rPr>
                <w:sz w:val="26"/>
              </w:rPr>
              <w:tab/>
            </w:r>
          </w:p>
          <w:p w14:paraId="32A927D9" w14:textId="77777777" w:rsidR="005A2396" w:rsidRPr="000322E4" w:rsidRDefault="005A2396" w:rsidP="00F414BF">
            <w:pPr>
              <w:pStyle w:val="afe"/>
              <w:numPr>
                <w:ilvl w:val="0"/>
                <w:numId w:val="36"/>
              </w:numPr>
              <w:suppressAutoHyphens/>
            </w:pPr>
            <w:r w:rsidRPr="000322E4">
              <w:rPr>
                <w:i/>
                <w:iCs/>
              </w:rPr>
              <w:t>ECOG ≥2</w:t>
            </w:r>
            <w:r w:rsidRPr="000322E4">
              <w:rPr>
                <w:i/>
                <w:iCs/>
              </w:rPr>
              <w:tab/>
            </w:r>
            <w:r w:rsidRPr="000322E4">
              <w:rPr>
                <w:i/>
                <w:iCs/>
              </w:rPr>
              <w:tab/>
            </w:r>
            <w:r w:rsidRPr="000322E4">
              <w:rPr>
                <w:i/>
                <w:iCs/>
              </w:rPr>
              <w:tab/>
            </w:r>
            <w:r w:rsidRPr="000322E4">
              <w:rPr>
                <w:i/>
                <w:iCs/>
              </w:rPr>
              <w:tab/>
            </w:r>
            <w:r w:rsidRPr="000322E4">
              <w:rPr>
                <w:i/>
                <w:iCs/>
              </w:rPr>
              <w:tab/>
            </w:r>
            <w:r w:rsidRPr="000322E4">
              <w:rPr>
                <w:i/>
                <w:iCs/>
              </w:rPr>
              <w:tab/>
            </w:r>
          </w:p>
          <w:p w14:paraId="1E6A73F2" w14:textId="77777777" w:rsidR="005A2396" w:rsidRPr="000322E4" w:rsidRDefault="005A2396" w:rsidP="00F414BF">
            <w:pPr>
              <w:pStyle w:val="afe"/>
              <w:numPr>
                <w:ilvl w:val="0"/>
                <w:numId w:val="36"/>
              </w:numPr>
              <w:suppressAutoHyphens/>
            </w:pPr>
            <w:r w:rsidRPr="000322E4">
              <w:rPr>
                <w:i/>
                <w:iCs/>
              </w:rPr>
              <w:t>Повышение ЛДГ</w:t>
            </w:r>
            <w:r w:rsidRPr="000322E4">
              <w:rPr>
                <w:i/>
                <w:iCs/>
              </w:rPr>
              <w:tab/>
            </w:r>
            <w:r w:rsidRPr="000322E4">
              <w:rPr>
                <w:i/>
                <w:iCs/>
              </w:rPr>
              <w:tab/>
            </w:r>
            <w:r w:rsidRPr="000322E4">
              <w:rPr>
                <w:i/>
                <w:iCs/>
              </w:rPr>
              <w:tab/>
            </w:r>
            <w:r w:rsidRPr="000322E4">
              <w:rPr>
                <w:i/>
                <w:iCs/>
              </w:rPr>
              <w:tab/>
            </w:r>
            <w:r w:rsidRPr="000322E4">
              <w:rPr>
                <w:i/>
                <w:iCs/>
              </w:rPr>
              <w:tab/>
            </w:r>
          </w:p>
          <w:p w14:paraId="74EEC2A8" w14:textId="77777777" w:rsidR="005A2396" w:rsidRPr="000322E4" w:rsidRDefault="005A2396" w:rsidP="00F414BF">
            <w:pPr>
              <w:pStyle w:val="afe"/>
              <w:numPr>
                <w:ilvl w:val="0"/>
                <w:numId w:val="36"/>
              </w:numPr>
              <w:suppressAutoHyphens/>
            </w:pPr>
            <w:r w:rsidRPr="000322E4">
              <w:rPr>
                <w:i/>
                <w:iCs/>
              </w:rPr>
              <w:t>Стадия III-IV</w:t>
            </w:r>
          </w:p>
        </w:tc>
      </w:tr>
    </w:tbl>
    <w:p w14:paraId="7621713B" w14:textId="77777777" w:rsidR="005A2396" w:rsidRPr="000322E4" w:rsidRDefault="005A2396" w:rsidP="00F414BF">
      <w:pPr>
        <w:spacing w:line="360" w:lineRule="auto"/>
        <w:contextualSpacing/>
        <w:jc w:val="both"/>
        <w:rPr>
          <w:b/>
        </w:rPr>
      </w:pPr>
    </w:p>
    <w:p w14:paraId="7C01CEFA" w14:textId="77777777" w:rsidR="005A2396" w:rsidRPr="000322E4" w:rsidRDefault="005A2396" w:rsidP="00F414BF">
      <w:pPr>
        <w:spacing w:line="360" w:lineRule="auto"/>
        <w:ind w:left="-1"/>
        <w:contextualSpacing/>
        <w:jc w:val="both"/>
        <w:rPr>
          <w:iCs/>
        </w:rPr>
      </w:pPr>
      <w:r w:rsidRPr="000322E4">
        <w:rPr>
          <w:iCs/>
        </w:rPr>
        <w:t xml:space="preserve">Прогностические модели типа R-IPI (пересмотренный в эру ритуксимаба) или Е-IPI (шкала для пожилых) тестированы на меньшем числе </w:t>
      </w:r>
      <w:r w:rsidR="00103620" w:rsidRPr="000322E4">
        <w:rPr>
          <w:iCs/>
        </w:rPr>
        <w:t>пациентов</w:t>
      </w:r>
      <w:r w:rsidRPr="000322E4">
        <w:rPr>
          <w:iCs/>
        </w:rPr>
        <w:t xml:space="preserve"> и могут рассматриваться в качестве дополнительных прогностических конструкций.</w:t>
      </w:r>
    </w:p>
    <w:p w14:paraId="6C6E5869" w14:textId="77777777" w:rsidR="005A2396" w:rsidRPr="000322E4" w:rsidRDefault="005A2396" w:rsidP="00F414BF">
      <w:pPr>
        <w:spacing w:line="360" w:lineRule="auto"/>
        <w:contextualSpacing/>
        <w:jc w:val="both"/>
        <w:rPr>
          <w:i/>
        </w:rPr>
      </w:pPr>
    </w:p>
    <w:p w14:paraId="60429D44" w14:textId="77777777" w:rsidR="005A2396" w:rsidRPr="000322E4" w:rsidRDefault="005A2396" w:rsidP="00F414BF">
      <w:pPr>
        <w:spacing w:line="360" w:lineRule="auto"/>
        <w:ind w:left="-1"/>
        <w:contextualSpacing/>
        <w:jc w:val="both"/>
      </w:pPr>
      <w:r w:rsidRPr="000322E4">
        <w:t>Также существует шкала</w:t>
      </w:r>
      <w:r w:rsidRPr="000322E4">
        <w:rPr>
          <w:i/>
        </w:rPr>
        <w:t xml:space="preserve"> </w:t>
      </w:r>
      <w:r w:rsidRPr="000322E4">
        <w:rPr>
          <w:b/>
          <w:bCs/>
          <w:i/>
          <w:lang w:val="en-US"/>
        </w:rPr>
        <w:t>CNS</w:t>
      </w:r>
      <w:r w:rsidRPr="000322E4">
        <w:rPr>
          <w:b/>
          <w:bCs/>
          <w:i/>
        </w:rPr>
        <w:t>-</w:t>
      </w:r>
      <w:r w:rsidRPr="000322E4">
        <w:rPr>
          <w:b/>
          <w:bCs/>
          <w:i/>
          <w:lang w:val="en-US"/>
        </w:rPr>
        <w:t>IPI</w:t>
      </w:r>
      <w:r w:rsidRPr="000322E4">
        <w:rPr>
          <w:b/>
          <w:bCs/>
          <w:i/>
        </w:rPr>
        <w:t xml:space="preserve"> </w:t>
      </w:r>
      <w:r w:rsidRPr="000322E4">
        <w:t>для пациентов с ДВКЛ, отражающая риск развития рецидива/прогрессирования с поражением ЦНС</w:t>
      </w:r>
    </w:p>
    <w:tbl>
      <w:tblPr>
        <w:tblW w:w="0" w:type="auto"/>
        <w:tblInd w:w="-25" w:type="dxa"/>
        <w:tblLayout w:type="fixed"/>
        <w:tblLook w:val="0000" w:firstRow="0" w:lastRow="0" w:firstColumn="0" w:lastColumn="0" w:noHBand="0" w:noVBand="0"/>
      </w:tblPr>
      <w:tblGrid>
        <w:gridCol w:w="3020"/>
        <w:gridCol w:w="2880"/>
        <w:gridCol w:w="3212"/>
      </w:tblGrid>
      <w:tr w:rsidR="005A2396" w:rsidRPr="000322E4" w14:paraId="26C84CA7" w14:textId="77777777" w:rsidTr="005A2396">
        <w:tc>
          <w:tcPr>
            <w:tcW w:w="3020" w:type="dxa"/>
            <w:tcBorders>
              <w:top w:val="single" w:sz="4" w:space="0" w:color="000000"/>
              <w:left w:val="single" w:sz="4" w:space="0" w:color="000000"/>
              <w:bottom w:val="single" w:sz="4" w:space="0" w:color="000000"/>
            </w:tcBorders>
            <w:shd w:val="clear" w:color="auto" w:fill="auto"/>
          </w:tcPr>
          <w:p w14:paraId="769833E8" w14:textId="77777777" w:rsidR="005A2396" w:rsidRPr="000322E4" w:rsidRDefault="005A2396" w:rsidP="00F414BF">
            <w:pPr>
              <w:spacing w:line="360" w:lineRule="auto"/>
              <w:jc w:val="both"/>
            </w:pPr>
            <w:r w:rsidRPr="000322E4">
              <w:rPr>
                <w:b/>
                <w:i/>
              </w:rPr>
              <w:t>Категория риска</w:t>
            </w:r>
          </w:p>
        </w:tc>
        <w:tc>
          <w:tcPr>
            <w:tcW w:w="2880" w:type="dxa"/>
            <w:tcBorders>
              <w:top w:val="single" w:sz="4" w:space="0" w:color="000000"/>
              <w:left w:val="single" w:sz="4" w:space="0" w:color="000000"/>
              <w:bottom w:val="single" w:sz="4" w:space="0" w:color="000000"/>
            </w:tcBorders>
            <w:shd w:val="clear" w:color="auto" w:fill="auto"/>
          </w:tcPr>
          <w:p w14:paraId="480C554D" w14:textId="77777777" w:rsidR="005A2396" w:rsidRPr="000322E4" w:rsidRDefault="005A2396" w:rsidP="00F414BF">
            <w:pPr>
              <w:spacing w:line="360" w:lineRule="auto"/>
              <w:jc w:val="both"/>
            </w:pPr>
            <w:r w:rsidRPr="000322E4">
              <w:rPr>
                <w:b/>
                <w:i/>
              </w:rPr>
              <w:t>Кол-во факторов риска*</w:t>
            </w:r>
          </w:p>
        </w:tc>
        <w:tc>
          <w:tcPr>
            <w:tcW w:w="3212" w:type="dxa"/>
            <w:tcBorders>
              <w:top w:val="single" w:sz="4" w:space="0" w:color="000000"/>
              <w:left w:val="single" w:sz="4" w:space="0" w:color="000000"/>
              <w:bottom w:val="single" w:sz="4" w:space="0" w:color="000000"/>
              <w:right w:val="single" w:sz="4" w:space="0" w:color="000000"/>
            </w:tcBorders>
            <w:shd w:val="clear" w:color="auto" w:fill="auto"/>
          </w:tcPr>
          <w:p w14:paraId="1C3134EE" w14:textId="77777777" w:rsidR="005A2396" w:rsidRPr="000322E4" w:rsidRDefault="005A2396" w:rsidP="00F414BF">
            <w:pPr>
              <w:spacing w:line="360" w:lineRule="auto"/>
              <w:jc w:val="both"/>
            </w:pPr>
            <w:r w:rsidRPr="000322E4">
              <w:rPr>
                <w:b/>
                <w:i/>
              </w:rPr>
              <w:t xml:space="preserve">Риск вовлечения ЦНС в рецидиве/прогрессировании  в течение 2 лет  </w:t>
            </w:r>
          </w:p>
        </w:tc>
      </w:tr>
      <w:tr w:rsidR="005A2396" w:rsidRPr="000322E4" w14:paraId="46320167" w14:textId="77777777" w:rsidTr="005A2396">
        <w:tc>
          <w:tcPr>
            <w:tcW w:w="3020" w:type="dxa"/>
            <w:tcBorders>
              <w:top w:val="single" w:sz="4" w:space="0" w:color="000000"/>
              <w:left w:val="single" w:sz="4" w:space="0" w:color="000000"/>
              <w:bottom w:val="single" w:sz="4" w:space="0" w:color="000000"/>
            </w:tcBorders>
            <w:shd w:val="clear" w:color="auto" w:fill="auto"/>
          </w:tcPr>
          <w:p w14:paraId="6D31735D" w14:textId="77777777" w:rsidR="005A2396" w:rsidRPr="000322E4" w:rsidRDefault="005A2396" w:rsidP="00F414BF">
            <w:pPr>
              <w:spacing w:line="360" w:lineRule="auto"/>
              <w:jc w:val="both"/>
            </w:pPr>
            <w:r w:rsidRPr="000322E4">
              <w:t>Низкий</w:t>
            </w:r>
          </w:p>
        </w:tc>
        <w:tc>
          <w:tcPr>
            <w:tcW w:w="2880" w:type="dxa"/>
            <w:tcBorders>
              <w:top w:val="single" w:sz="4" w:space="0" w:color="000000"/>
              <w:left w:val="single" w:sz="4" w:space="0" w:color="000000"/>
              <w:bottom w:val="single" w:sz="4" w:space="0" w:color="000000"/>
            </w:tcBorders>
            <w:shd w:val="clear" w:color="auto" w:fill="auto"/>
          </w:tcPr>
          <w:p w14:paraId="1D23A8AE" w14:textId="77777777" w:rsidR="005A2396" w:rsidRPr="000322E4" w:rsidRDefault="005A2396" w:rsidP="00F414BF">
            <w:pPr>
              <w:spacing w:line="360" w:lineRule="auto"/>
              <w:jc w:val="both"/>
            </w:pPr>
            <w:r w:rsidRPr="000322E4">
              <w:t>0-1</w:t>
            </w:r>
          </w:p>
        </w:tc>
        <w:tc>
          <w:tcPr>
            <w:tcW w:w="3212" w:type="dxa"/>
            <w:tcBorders>
              <w:top w:val="single" w:sz="4" w:space="0" w:color="000000"/>
              <w:left w:val="single" w:sz="4" w:space="0" w:color="000000"/>
              <w:bottom w:val="single" w:sz="4" w:space="0" w:color="000000"/>
              <w:right w:val="single" w:sz="4" w:space="0" w:color="000000"/>
            </w:tcBorders>
            <w:shd w:val="clear" w:color="auto" w:fill="auto"/>
          </w:tcPr>
          <w:p w14:paraId="7C0AD248" w14:textId="77777777" w:rsidR="005A2396" w:rsidRPr="000322E4" w:rsidRDefault="005A2396" w:rsidP="00F414BF">
            <w:pPr>
              <w:spacing w:line="360" w:lineRule="auto"/>
              <w:jc w:val="both"/>
            </w:pPr>
            <w:r w:rsidRPr="000322E4">
              <w:t>Менее  5 %</w:t>
            </w:r>
          </w:p>
        </w:tc>
      </w:tr>
      <w:tr w:rsidR="005A2396" w:rsidRPr="000322E4" w14:paraId="688BB9EE" w14:textId="77777777" w:rsidTr="005A2396">
        <w:tc>
          <w:tcPr>
            <w:tcW w:w="3020" w:type="dxa"/>
            <w:tcBorders>
              <w:top w:val="single" w:sz="4" w:space="0" w:color="000000"/>
              <w:left w:val="single" w:sz="4" w:space="0" w:color="000000"/>
              <w:bottom w:val="single" w:sz="4" w:space="0" w:color="000000"/>
            </w:tcBorders>
            <w:shd w:val="clear" w:color="auto" w:fill="auto"/>
          </w:tcPr>
          <w:p w14:paraId="076C9FF7" w14:textId="77777777" w:rsidR="005A2396" w:rsidRPr="000322E4" w:rsidRDefault="005A2396" w:rsidP="00F414BF">
            <w:pPr>
              <w:spacing w:line="360" w:lineRule="auto"/>
              <w:jc w:val="both"/>
            </w:pPr>
            <w:r w:rsidRPr="000322E4">
              <w:t>промежуточный</w:t>
            </w:r>
          </w:p>
        </w:tc>
        <w:tc>
          <w:tcPr>
            <w:tcW w:w="2880" w:type="dxa"/>
            <w:tcBorders>
              <w:top w:val="single" w:sz="4" w:space="0" w:color="000000"/>
              <w:left w:val="single" w:sz="4" w:space="0" w:color="000000"/>
              <w:bottom w:val="single" w:sz="4" w:space="0" w:color="000000"/>
            </w:tcBorders>
            <w:shd w:val="clear" w:color="auto" w:fill="auto"/>
          </w:tcPr>
          <w:p w14:paraId="6D418E82" w14:textId="77777777" w:rsidR="005A2396" w:rsidRPr="000322E4" w:rsidRDefault="005A2396" w:rsidP="00F414BF">
            <w:pPr>
              <w:spacing w:line="360" w:lineRule="auto"/>
              <w:jc w:val="both"/>
            </w:pPr>
            <w:r w:rsidRPr="000322E4">
              <w:t>2-3</w:t>
            </w:r>
          </w:p>
        </w:tc>
        <w:tc>
          <w:tcPr>
            <w:tcW w:w="3212" w:type="dxa"/>
            <w:tcBorders>
              <w:top w:val="single" w:sz="4" w:space="0" w:color="000000"/>
              <w:left w:val="single" w:sz="4" w:space="0" w:color="000000"/>
              <w:bottom w:val="single" w:sz="4" w:space="0" w:color="000000"/>
              <w:right w:val="single" w:sz="4" w:space="0" w:color="000000"/>
            </w:tcBorders>
            <w:shd w:val="clear" w:color="auto" w:fill="auto"/>
          </w:tcPr>
          <w:p w14:paraId="070511E2" w14:textId="77777777" w:rsidR="005A2396" w:rsidRPr="000322E4" w:rsidRDefault="005A2396" w:rsidP="00F414BF">
            <w:pPr>
              <w:spacing w:line="360" w:lineRule="auto"/>
              <w:jc w:val="both"/>
            </w:pPr>
            <w:r w:rsidRPr="000322E4">
              <w:t>Менее  5%</w:t>
            </w:r>
          </w:p>
        </w:tc>
      </w:tr>
      <w:tr w:rsidR="005A2396" w:rsidRPr="000322E4" w14:paraId="15A448CD" w14:textId="77777777" w:rsidTr="005A2396">
        <w:tc>
          <w:tcPr>
            <w:tcW w:w="3020" w:type="dxa"/>
            <w:tcBorders>
              <w:top w:val="single" w:sz="4" w:space="0" w:color="000000"/>
              <w:left w:val="single" w:sz="4" w:space="0" w:color="000000"/>
              <w:bottom w:val="single" w:sz="4" w:space="0" w:color="000000"/>
            </w:tcBorders>
            <w:shd w:val="clear" w:color="auto" w:fill="auto"/>
          </w:tcPr>
          <w:p w14:paraId="5368CD74" w14:textId="77777777" w:rsidR="005A2396" w:rsidRPr="000322E4" w:rsidRDefault="005A2396" w:rsidP="00F414BF">
            <w:pPr>
              <w:spacing w:line="360" w:lineRule="auto"/>
              <w:jc w:val="both"/>
            </w:pPr>
            <w:r w:rsidRPr="000322E4">
              <w:t>Высокий</w:t>
            </w:r>
          </w:p>
        </w:tc>
        <w:tc>
          <w:tcPr>
            <w:tcW w:w="2880" w:type="dxa"/>
            <w:tcBorders>
              <w:top w:val="single" w:sz="4" w:space="0" w:color="000000"/>
              <w:left w:val="single" w:sz="4" w:space="0" w:color="000000"/>
              <w:bottom w:val="single" w:sz="4" w:space="0" w:color="000000"/>
            </w:tcBorders>
            <w:shd w:val="clear" w:color="auto" w:fill="auto"/>
          </w:tcPr>
          <w:p w14:paraId="769ECDDA" w14:textId="77777777" w:rsidR="005A2396" w:rsidRPr="000322E4" w:rsidRDefault="005A2396" w:rsidP="00F414BF">
            <w:pPr>
              <w:spacing w:line="360" w:lineRule="auto"/>
              <w:jc w:val="both"/>
            </w:pPr>
            <w:r w:rsidRPr="000322E4">
              <w:t>4-6</w:t>
            </w:r>
          </w:p>
        </w:tc>
        <w:tc>
          <w:tcPr>
            <w:tcW w:w="3212" w:type="dxa"/>
            <w:tcBorders>
              <w:top w:val="single" w:sz="4" w:space="0" w:color="000000"/>
              <w:left w:val="single" w:sz="4" w:space="0" w:color="000000"/>
              <w:bottom w:val="single" w:sz="4" w:space="0" w:color="000000"/>
              <w:right w:val="single" w:sz="4" w:space="0" w:color="000000"/>
            </w:tcBorders>
            <w:shd w:val="clear" w:color="auto" w:fill="auto"/>
          </w:tcPr>
          <w:p w14:paraId="454C27EB" w14:textId="77777777" w:rsidR="005A2396" w:rsidRPr="000322E4" w:rsidRDefault="005A2396" w:rsidP="00F414BF">
            <w:pPr>
              <w:spacing w:line="360" w:lineRule="auto"/>
              <w:jc w:val="both"/>
            </w:pPr>
            <w:r w:rsidRPr="000322E4">
              <w:rPr>
                <w:sz w:val="22"/>
              </w:rPr>
              <w:t xml:space="preserve">Более 10% </w:t>
            </w:r>
          </w:p>
        </w:tc>
      </w:tr>
      <w:tr w:rsidR="005A2396" w:rsidRPr="000322E4" w14:paraId="6F6BD433" w14:textId="77777777" w:rsidTr="005A2396">
        <w:tc>
          <w:tcPr>
            <w:tcW w:w="9112" w:type="dxa"/>
            <w:gridSpan w:val="3"/>
            <w:tcBorders>
              <w:top w:val="single" w:sz="4" w:space="0" w:color="000000"/>
              <w:left w:val="single" w:sz="4" w:space="0" w:color="000000"/>
              <w:bottom w:val="single" w:sz="4" w:space="0" w:color="000000"/>
              <w:right w:val="single" w:sz="4" w:space="0" w:color="000000"/>
            </w:tcBorders>
            <w:shd w:val="clear" w:color="auto" w:fill="auto"/>
          </w:tcPr>
          <w:p w14:paraId="5A899F90" w14:textId="77777777" w:rsidR="005A2396" w:rsidRPr="000322E4" w:rsidRDefault="005A2396" w:rsidP="00F414BF">
            <w:pPr>
              <w:spacing w:line="360" w:lineRule="auto"/>
              <w:jc w:val="both"/>
            </w:pPr>
            <w:r w:rsidRPr="000322E4">
              <w:rPr>
                <w:b/>
                <w:i/>
              </w:rPr>
              <w:t>*Факторы риска:</w:t>
            </w:r>
            <w:r w:rsidRPr="000322E4">
              <w:rPr>
                <w:sz w:val="26"/>
              </w:rPr>
              <w:tab/>
            </w:r>
            <w:r w:rsidRPr="000322E4">
              <w:rPr>
                <w:sz w:val="26"/>
              </w:rPr>
              <w:tab/>
            </w:r>
          </w:p>
          <w:p w14:paraId="6CBB2EE7" w14:textId="77777777" w:rsidR="005A2396" w:rsidRPr="000322E4" w:rsidRDefault="005A2396" w:rsidP="00F414BF">
            <w:pPr>
              <w:pStyle w:val="afe"/>
              <w:numPr>
                <w:ilvl w:val="0"/>
                <w:numId w:val="37"/>
              </w:numPr>
              <w:suppressAutoHyphens/>
            </w:pPr>
            <w:r w:rsidRPr="000322E4">
              <w:rPr>
                <w:i/>
              </w:rPr>
              <w:t>Возраст более 60 лет</w:t>
            </w:r>
          </w:p>
          <w:p w14:paraId="64033AB8" w14:textId="77777777" w:rsidR="005A2396" w:rsidRPr="000322E4" w:rsidRDefault="005A2396" w:rsidP="00F414BF">
            <w:pPr>
              <w:pStyle w:val="afe"/>
              <w:numPr>
                <w:ilvl w:val="0"/>
                <w:numId w:val="37"/>
              </w:numPr>
              <w:suppressAutoHyphens/>
            </w:pPr>
            <w:r w:rsidRPr="000322E4">
              <w:rPr>
                <w:i/>
              </w:rPr>
              <w:t xml:space="preserve">Повышенный </w:t>
            </w:r>
            <w:r w:rsidR="00791E66" w:rsidRPr="000322E4">
              <w:rPr>
                <w:i/>
              </w:rPr>
              <w:t>уровень лактадгедигрогеназы в крови</w:t>
            </w:r>
          </w:p>
          <w:p w14:paraId="6AF086C6" w14:textId="77777777" w:rsidR="005A2396" w:rsidRPr="000322E4" w:rsidRDefault="005A2396" w:rsidP="00F414BF">
            <w:pPr>
              <w:pStyle w:val="afe"/>
              <w:numPr>
                <w:ilvl w:val="0"/>
                <w:numId w:val="37"/>
              </w:numPr>
              <w:suppressAutoHyphens/>
            </w:pPr>
            <w:r w:rsidRPr="000322E4">
              <w:rPr>
                <w:i/>
                <w:lang w:val="en-US"/>
              </w:rPr>
              <w:t>ECOG</w:t>
            </w:r>
            <w:r w:rsidRPr="000322E4">
              <w:rPr>
                <w:i/>
              </w:rPr>
              <w:t xml:space="preserve"> статус выше 1</w:t>
            </w:r>
          </w:p>
          <w:p w14:paraId="286F4348" w14:textId="77777777" w:rsidR="005A2396" w:rsidRPr="000322E4" w:rsidRDefault="005A2396" w:rsidP="00F414BF">
            <w:pPr>
              <w:pStyle w:val="afe"/>
              <w:numPr>
                <w:ilvl w:val="0"/>
                <w:numId w:val="37"/>
              </w:numPr>
              <w:suppressAutoHyphens/>
            </w:pPr>
            <w:r w:rsidRPr="000322E4">
              <w:rPr>
                <w:i/>
              </w:rPr>
              <w:t>Распространенные стадии (</w:t>
            </w:r>
            <w:r w:rsidRPr="000322E4">
              <w:rPr>
                <w:i/>
                <w:lang w:val="en-US"/>
              </w:rPr>
              <w:t>III</w:t>
            </w:r>
            <w:r w:rsidRPr="000322E4">
              <w:rPr>
                <w:i/>
              </w:rPr>
              <w:t xml:space="preserve"> или </w:t>
            </w:r>
            <w:r w:rsidRPr="000322E4">
              <w:rPr>
                <w:i/>
                <w:lang w:val="en-US"/>
              </w:rPr>
              <w:t>IV</w:t>
            </w:r>
            <w:r w:rsidRPr="000322E4">
              <w:rPr>
                <w:i/>
              </w:rPr>
              <w:t>)</w:t>
            </w:r>
          </w:p>
          <w:p w14:paraId="4F74E39E" w14:textId="77777777" w:rsidR="005A2396" w:rsidRPr="000322E4" w:rsidRDefault="005A2396" w:rsidP="00F414BF">
            <w:pPr>
              <w:pStyle w:val="afe"/>
              <w:numPr>
                <w:ilvl w:val="0"/>
                <w:numId w:val="37"/>
              </w:numPr>
              <w:suppressAutoHyphens/>
            </w:pPr>
            <w:r w:rsidRPr="000322E4">
              <w:rPr>
                <w:i/>
              </w:rPr>
              <w:t>Более чем один очаг экстранодального поражения</w:t>
            </w:r>
          </w:p>
          <w:p w14:paraId="524D02A8" w14:textId="77777777" w:rsidR="005A2396" w:rsidRPr="000322E4" w:rsidRDefault="005A2396" w:rsidP="00F414BF">
            <w:pPr>
              <w:pStyle w:val="afe"/>
              <w:numPr>
                <w:ilvl w:val="0"/>
                <w:numId w:val="37"/>
              </w:numPr>
              <w:suppressAutoHyphens/>
            </w:pPr>
            <w:r w:rsidRPr="000322E4">
              <w:rPr>
                <w:i/>
              </w:rPr>
              <w:t>Вовлечение почек и/или надпочечников</w:t>
            </w:r>
          </w:p>
        </w:tc>
      </w:tr>
    </w:tbl>
    <w:p w14:paraId="16B89B52" w14:textId="77777777" w:rsidR="005A2396" w:rsidRPr="000322E4" w:rsidRDefault="005A2396" w:rsidP="00F414BF">
      <w:pPr>
        <w:spacing w:line="360" w:lineRule="auto"/>
        <w:jc w:val="both"/>
        <w:rPr>
          <w:b/>
        </w:rPr>
      </w:pPr>
    </w:p>
    <w:p w14:paraId="432B56C1" w14:textId="08786266" w:rsidR="005A2396" w:rsidRDefault="005A2396" w:rsidP="00F414BF">
      <w:pPr>
        <w:pStyle w:val="afd"/>
      </w:pPr>
      <w:r w:rsidRPr="000322E4">
        <w:t xml:space="preserve">В соответствии с </w:t>
      </w:r>
      <w:r w:rsidRPr="00471424">
        <w:t xml:space="preserve">приведенной прогностической моделью высокий риск </w:t>
      </w:r>
      <w:r w:rsidRPr="00471424">
        <w:rPr>
          <w:color w:val="000000" w:themeColor="text1"/>
        </w:rPr>
        <w:t>поражения ЦНС в рецидиве ДВКЛ</w:t>
      </w:r>
      <w:r w:rsidR="001F280A" w:rsidRPr="00471424">
        <w:rPr>
          <w:color w:val="000000" w:themeColor="text1"/>
        </w:rPr>
        <w:t>, ПМВКЛ, ЛБ</w:t>
      </w:r>
      <w:r w:rsidRPr="00471424">
        <w:rPr>
          <w:color w:val="000000" w:themeColor="text1"/>
        </w:rPr>
        <w:t xml:space="preserve"> имеют пациенты с 4-6 прогностическими факторами, а также </w:t>
      </w:r>
      <w:r w:rsidR="00103620" w:rsidRPr="00471424">
        <w:rPr>
          <w:color w:val="000000" w:themeColor="text1"/>
        </w:rPr>
        <w:t xml:space="preserve">пациенты </w:t>
      </w:r>
      <w:r w:rsidRPr="00471424">
        <w:rPr>
          <w:color w:val="000000" w:themeColor="text1"/>
        </w:rPr>
        <w:t xml:space="preserve">с ВИЧ- ассоциированной лимфомой, </w:t>
      </w:r>
      <w:r w:rsidRPr="00471424">
        <w:rPr>
          <w:color w:val="000000" w:themeColor="text1"/>
        </w:rPr>
        <w:lastRenderedPageBreak/>
        <w:t xml:space="preserve">лимфомой яичка, лимфомой высокой степени злокачественности с транслокацией </w:t>
      </w:r>
      <w:r w:rsidRPr="00471424">
        <w:rPr>
          <w:color w:val="000000" w:themeColor="text1"/>
          <w:lang w:val="en-US"/>
        </w:rPr>
        <w:t>MYC</w:t>
      </w:r>
      <w:r w:rsidRPr="00471424">
        <w:rPr>
          <w:color w:val="000000" w:themeColor="text1"/>
        </w:rPr>
        <w:t xml:space="preserve">, </w:t>
      </w:r>
      <w:r w:rsidRPr="00471424">
        <w:rPr>
          <w:color w:val="000000" w:themeColor="text1"/>
          <w:lang w:val="en-US"/>
        </w:rPr>
        <w:t>BCL</w:t>
      </w:r>
      <w:r w:rsidRPr="00471424">
        <w:rPr>
          <w:color w:val="000000" w:themeColor="text1"/>
        </w:rPr>
        <w:t xml:space="preserve">-2 и/или </w:t>
      </w:r>
      <w:r w:rsidRPr="00471424">
        <w:rPr>
          <w:color w:val="000000" w:themeColor="text1"/>
          <w:lang w:val="en-US"/>
        </w:rPr>
        <w:t>BCL</w:t>
      </w:r>
      <w:r w:rsidRPr="00471424">
        <w:rPr>
          <w:color w:val="000000" w:themeColor="text1"/>
        </w:rPr>
        <w:t xml:space="preserve">-6, лимфомой высокой степени злокачественности, неклассифицируемой, или ДВКЛ с вовлечением почек или надпочечников. Недавно получены данные о том, что стадия </w:t>
      </w:r>
      <w:r w:rsidRPr="00471424">
        <w:rPr>
          <w:color w:val="000000" w:themeColor="text1"/>
          <w:lang w:val="en-US"/>
        </w:rPr>
        <w:t>I</w:t>
      </w:r>
      <w:r w:rsidRPr="00471424">
        <w:rPr>
          <w:color w:val="000000" w:themeColor="text1"/>
        </w:rPr>
        <w:t xml:space="preserve">Е ДВКЛ с поражением </w:t>
      </w:r>
      <w:r w:rsidRPr="000322E4">
        <w:t xml:space="preserve">молочных желез является потенциальным фактором риска для вовлечения ЦНС. </w:t>
      </w:r>
    </w:p>
    <w:p w14:paraId="0D63A359" w14:textId="77777777" w:rsidR="00471424" w:rsidRPr="000322E4" w:rsidRDefault="00471424" w:rsidP="00F414BF">
      <w:pPr>
        <w:pStyle w:val="afd"/>
      </w:pPr>
    </w:p>
    <w:p w14:paraId="70AC0C44" w14:textId="4D734053" w:rsidR="00AE61A0" w:rsidRPr="00471424" w:rsidRDefault="00AE61A0" w:rsidP="00F414BF">
      <w:pPr>
        <w:pStyle w:val="2"/>
        <w:spacing w:before="0"/>
        <w:rPr>
          <w:color w:val="000000" w:themeColor="text1"/>
        </w:rPr>
      </w:pPr>
      <w:bookmarkStart w:id="59" w:name="_Toc96601258"/>
      <w:r w:rsidRPr="00471424">
        <w:rPr>
          <w:color w:val="000000" w:themeColor="text1"/>
        </w:rPr>
        <w:t xml:space="preserve">7.5 Определение групп риска </w:t>
      </w:r>
      <w:r w:rsidR="00F47A24" w:rsidRPr="00471424">
        <w:rPr>
          <w:color w:val="000000" w:themeColor="text1"/>
        </w:rPr>
        <w:t xml:space="preserve">ДВКЛ, ПМВКЛ, ЛБ </w:t>
      </w:r>
      <w:r w:rsidRPr="00471424">
        <w:rPr>
          <w:color w:val="000000" w:themeColor="text1"/>
        </w:rPr>
        <w:t>у пациентов моложе 18 лет</w:t>
      </w:r>
      <w:bookmarkEnd w:id="59"/>
    </w:p>
    <w:p w14:paraId="135F8AF6" w14:textId="77777777" w:rsidR="00AE61A0" w:rsidRPr="000322E4" w:rsidRDefault="00AE61A0" w:rsidP="00471424">
      <w:pPr>
        <w:spacing w:line="360" w:lineRule="auto"/>
        <w:ind w:firstLine="709"/>
        <w:contextualSpacing/>
        <w:jc w:val="both"/>
        <w:rPr>
          <w:bCs/>
          <w:iCs/>
        </w:rPr>
      </w:pPr>
      <w:r w:rsidRPr="000322E4">
        <w:rPr>
          <w:bCs/>
          <w:iCs/>
        </w:rPr>
        <w:t xml:space="preserve">При лечении пациентов моложе 18 лет с ДВКЛ выбор рукава протокола группы </w:t>
      </w:r>
      <w:r w:rsidRPr="000322E4">
        <w:rPr>
          <w:bCs/>
          <w:iCs/>
          <w:lang w:val="en-US"/>
        </w:rPr>
        <w:t>BFM</w:t>
      </w:r>
      <w:r w:rsidRPr="000322E4">
        <w:rPr>
          <w:bCs/>
          <w:iCs/>
        </w:rPr>
        <w:t xml:space="preserve"> основывается на определении группы риска пациента:</w:t>
      </w:r>
    </w:p>
    <w:p w14:paraId="5362B564" w14:textId="77777777" w:rsidR="00AE61A0" w:rsidRPr="000322E4" w:rsidRDefault="00AE61A0" w:rsidP="00471424">
      <w:pPr>
        <w:spacing w:line="360" w:lineRule="auto"/>
        <w:ind w:firstLine="709"/>
        <w:contextualSpacing/>
        <w:jc w:val="both"/>
      </w:pPr>
      <w:r w:rsidRPr="000322E4">
        <w:rPr>
          <w:bCs/>
        </w:rPr>
        <w:t>R</w:t>
      </w:r>
      <w:r w:rsidR="009C533D" w:rsidRPr="000322E4">
        <w:rPr>
          <w:bCs/>
          <w:lang w:val="en-US"/>
        </w:rPr>
        <w:t>G</w:t>
      </w:r>
      <w:r w:rsidRPr="000322E4">
        <w:rPr>
          <w:bCs/>
        </w:rPr>
        <w:t xml:space="preserve">1 </w:t>
      </w:r>
      <w:r w:rsidRPr="000322E4">
        <w:t>- стадия I-II R; первичная опухоль макроскопически полностью удалена.</w:t>
      </w:r>
    </w:p>
    <w:p w14:paraId="0CD595BF" w14:textId="77777777" w:rsidR="00AE61A0" w:rsidRPr="000322E4" w:rsidRDefault="00AE61A0" w:rsidP="00471424">
      <w:pPr>
        <w:spacing w:line="360" w:lineRule="auto"/>
        <w:ind w:firstLine="709"/>
        <w:contextualSpacing/>
        <w:jc w:val="both"/>
      </w:pPr>
      <w:r w:rsidRPr="000322E4">
        <w:rPr>
          <w:bCs/>
        </w:rPr>
        <w:t>R</w:t>
      </w:r>
      <w:r w:rsidR="009C533D" w:rsidRPr="000322E4">
        <w:rPr>
          <w:bCs/>
          <w:lang w:val="en-US"/>
        </w:rPr>
        <w:t>G</w:t>
      </w:r>
      <w:r w:rsidRPr="000322E4">
        <w:rPr>
          <w:bCs/>
        </w:rPr>
        <w:t>2</w:t>
      </w:r>
      <w:r w:rsidRPr="000322E4">
        <w:t xml:space="preserve"> - стадия II NR-III; первичная опухоль не удалена или удалена не полностью:</w:t>
      </w:r>
    </w:p>
    <w:p w14:paraId="78DE80BF" w14:textId="19DBC1C9" w:rsidR="00AE61A0" w:rsidRPr="000322E4" w:rsidRDefault="00AE61A0" w:rsidP="005C4D46">
      <w:pPr>
        <w:pStyle w:val="afe"/>
        <w:numPr>
          <w:ilvl w:val="0"/>
          <w:numId w:val="125"/>
        </w:numPr>
      </w:pPr>
      <w:r w:rsidRPr="000322E4">
        <w:t>только экстраабдоминальное поражение;</w:t>
      </w:r>
    </w:p>
    <w:p w14:paraId="0AFE20B7" w14:textId="76055323" w:rsidR="00AE61A0" w:rsidRPr="000322E4" w:rsidRDefault="00AE61A0" w:rsidP="005C4D46">
      <w:pPr>
        <w:pStyle w:val="afe"/>
        <w:numPr>
          <w:ilvl w:val="0"/>
          <w:numId w:val="125"/>
        </w:numPr>
      </w:pPr>
      <w:r w:rsidRPr="000322E4">
        <w:t>интраабдоминальная локализация</w:t>
      </w:r>
      <w:r w:rsidR="002215D8" w:rsidRPr="000322E4">
        <w:t>,</w:t>
      </w:r>
      <w:r w:rsidRPr="000322E4">
        <w:t xml:space="preserve"> если показатель ЛДГ до начала ПХТ после инициальной операции не превышает удвоенных нормальных значений.</w:t>
      </w:r>
    </w:p>
    <w:p w14:paraId="5239D3BD" w14:textId="77777777" w:rsidR="00AE61A0" w:rsidRPr="000322E4" w:rsidRDefault="00AE61A0" w:rsidP="00471424">
      <w:pPr>
        <w:spacing w:line="360" w:lineRule="auto"/>
        <w:ind w:firstLine="709"/>
        <w:contextualSpacing/>
        <w:jc w:val="both"/>
      </w:pPr>
      <w:r w:rsidRPr="000322E4">
        <w:rPr>
          <w:bCs/>
        </w:rPr>
        <w:t>R</w:t>
      </w:r>
      <w:r w:rsidR="009C533D" w:rsidRPr="000322E4">
        <w:rPr>
          <w:bCs/>
          <w:lang w:val="en-US"/>
        </w:rPr>
        <w:t>G</w:t>
      </w:r>
      <w:r w:rsidRPr="000322E4">
        <w:rPr>
          <w:bCs/>
        </w:rPr>
        <w:t>3</w:t>
      </w:r>
      <w:r w:rsidR="009C533D" w:rsidRPr="000322E4">
        <w:rPr>
          <w:bCs/>
        </w:rPr>
        <w:t>,4</w:t>
      </w:r>
      <w:r w:rsidRPr="000322E4">
        <w:t xml:space="preserve"> - стадия II NR, III, IV; первичная опухоль не удалена или удалена не полностью, и имеет место хотя бы один из нижеперечисленных признаков:</w:t>
      </w:r>
    </w:p>
    <w:p w14:paraId="0F7CC989" w14:textId="60E84A22" w:rsidR="00AE61A0" w:rsidRPr="000322E4" w:rsidRDefault="00AE61A0" w:rsidP="005C4D46">
      <w:pPr>
        <w:pStyle w:val="afe"/>
        <w:numPr>
          <w:ilvl w:val="0"/>
          <w:numId w:val="126"/>
        </w:numPr>
      </w:pPr>
      <w:r w:rsidRPr="000322E4">
        <w:t>при абдоминальном поражении увеличение ЛДГ более, чем в 2 раза от возрастной нормы перед началом ПХТ после оперативного вмешательства (биопсия или удаление опухоли);</w:t>
      </w:r>
    </w:p>
    <w:p w14:paraId="414C585F" w14:textId="3674797D" w:rsidR="00AE61A0" w:rsidRPr="000322E4" w:rsidRDefault="00AE61A0" w:rsidP="005C4D46">
      <w:pPr>
        <w:pStyle w:val="afe"/>
        <w:numPr>
          <w:ilvl w:val="0"/>
          <w:numId w:val="126"/>
        </w:numPr>
      </w:pPr>
      <w:r w:rsidRPr="000322E4">
        <w:t>поражение ЦНС;</w:t>
      </w:r>
    </w:p>
    <w:p w14:paraId="28E718EB" w14:textId="2A88D5B2" w:rsidR="00AE61A0" w:rsidRPr="000322E4" w:rsidRDefault="00AE61A0" w:rsidP="005C4D46">
      <w:pPr>
        <w:pStyle w:val="afe"/>
        <w:numPr>
          <w:ilvl w:val="0"/>
          <w:numId w:val="126"/>
        </w:numPr>
      </w:pPr>
      <w:r w:rsidRPr="000322E4">
        <w:t>поражение костного мозга;</w:t>
      </w:r>
    </w:p>
    <w:p w14:paraId="44B3B222" w14:textId="74526FFD" w:rsidR="00AE61A0" w:rsidRPr="000322E4" w:rsidRDefault="00AE61A0" w:rsidP="005C4D46">
      <w:pPr>
        <w:pStyle w:val="afe"/>
        <w:numPr>
          <w:ilvl w:val="0"/>
          <w:numId w:val="126"/>
        </w:numPr>
      </w:pPr>
      <w:r w:rsidRPr="000322E4">
        <w:t>мультифокальное поражение костей;</w:t>
      </w:r>
    </w:p>
    <w:p w14:paraId="3CC5961F" w14:textId="5672922E" w:rsidR="00AE61A0" w:rsidRDefault="00AE61A0" w:rsidP="005C4D46">
      <w:pPr>
        <w:pStyle w:val="afe"/>
        <w:numPr>
          <w:ilvl w:val="0"/>
          <w:numId w:val="126"/>
        </w:numPr>
      </w:pPr>
      <w:r w:rsidRPr="000322E4">
        <w:t>B-ОЛ (&gt; 25% бластов в костном мозге).</w:t>
      </w:r>
    </w:p>
    <w:p w14:paraId="045EE301" w14:textId="77777777" w:rsidR="00471424" w:rsidRPr="000322E4" w:rsidRDefault="00471424" w:rsidP="00471424">
      <w:pPr>
        <w:pStyle w:val="afe"/>
        <w:ind w:left="1069" w:firstLine="0"/>
      </w:pPr>
    </w:p>
    <w:p w14:paraId="031CFFF4" w14:textId="77777777" w:rsidR="00546683" w:rsidRPr="000322E4" w:rsidRDefault="00546683" w:rsidP="00F414BF">
      <w:pPr>
        <w:pStyle w:val="2"/>
        <w:spacing w:before="0"/>
      </w:pPr>
      <w:bookmarkStart w:id="60" w:name="_Toc96601259"/>
      <w:r w:rsidRPr="000322E4">
        <w:t>7.</w:t>
      </w:r>
      <w:r w:rsidR="00AE61A0" w:rsidRPr="000322E4">
        <w:t>6</w:t>
      </w:r>
      <w:r w:rsidRPr="000322E4">
        <w:t xml:space="preserve"> Оценка ответа на лечение при лимфомах</w:t>
      </w:r>
      <w:bookmarkEnd w:id="60"/>
    </w:p>
    <w:p w14:paraId="0A93DB35" w14:textId="02893673" w:rsidR="00546683" w:rsidRPr="00F47A24" w:rsidRDefault="00546683" w:rsidP="00471424">
      <w:pPr>
        <w:spacing w:line="360" w:lineRule="auto"/>
        <w:ind w:firstLine="709"/>
        <w:jc w:val="both"/>
        <w:rPr>
          <w:color w:val="FF0000"/>
        </w:rPr>
      </w:pPr>
      <w:r w:rsidRPr="000322E4">
        <w:t xml:space="preserve">Оценка ответа на лечение проводится в соответствии с обновленными критериями, предложенными Международной рабочей группой по </w:t>
      </w:r>
      <w:r w:rsidRPr="00471424">
        <w:t>лимфомам в 2007 го</w:t>
      </w:r>
      <w:r w:rsidRPr="000322E4">
        <w:t xml:space="preserve">ду </w:t>
      </w:r>
      <w:r w:rsidRPr="000322E4">
        <w:fldChar w:fldCharType="begin" w:fldLock="1"/>
      </w:r>
      <w:r w:rsidR="006A2B13">
        <w:instrText>ADDIN CSL_CITATION {"citationItems":[{"id":"ITEM-1","itemData":{"DOI":"10.1200/JCO.2006.09.2403","ISSN":"0732183X","abstract":"PURPOSE Standardized response criteria are needed to interpret and compare clinical trials and for approval of new therapeutic agents by regulatory agencies. METHODS The International Working Group response criteria (Cheson et al, J Clin Oncol 17:1244, 1999) were widely adopted, but required reassessment because of identified limitations and the increased use of [18F]fluorodeoxyglucose-positron emission tomography (PET), immunohistochemistry (IHC), and flow cytometry. The International Harmonization Project was convened to provide updated recommendations. RESULTS New guidelines are presented incorporating PET, IHC, and flow cytometry for definitions of response in non-Hodgkin's and Hodgkin's lymphoma. Standardized definitions of end points are provided. CONCLUSION We hope that these guidelines will be adopted widely by study groups, pharmaceutical and biotechnology companies, and regulatory agencies to facilitate the development of new and more effective therapies to improve the outcome of patients with lymphoma.","author":[{"dropping-particle":"","family":"Cheson","given":"Bruce D.","non-dropping-particle":"","parse-names":false,"suffix":""},{"dropping-particle":"","family":"Pfistner","given":"Beate","non-dropping-particle":"","parse-names":false,"suffix":""},{"dropping-particle":"","family":"Juweid","given":"Malik E.","non-dropping-particle":"","parse-names":false,"suffix":""},{"dropping-particle":"","family":"Gascoyne","given":"Randy D.","non-dropping-particle":"","parse-names":false,"suffix":""},{"dropping-particle":"","family":"Specht","given":"Lena","non-dropping-particle":"","parse-names":false,"suffix":""},{"dropping-particle":"","family":"Horning","given":"Sandra J.","non-dropping-particle":"","parse-names":false,"suffix":""},{"dropping-particle":"","family":"Coiffier","given":"Bertrand","non-dropping-particle":"","parse-names":false,"suffix":""},{"dropping-particle":"","family":"Fisher","given":"Richard I.","non-dropping-particle":"","parse-names":false,"suffix":""},{"dropping-particle":"","family":"Hagenbeek","given":"Anton","non-dropping-particle":"","parse-names":false,"suffix":""},{"dropping-particle":"","family":"Zucca","given":"Emanuele","non-dropping-particle":"","parse-names":false,"suffix":""},{"dropping-particle":"","family":"Rosen","given":"Steven T.","non-dropping-particle":"","parse-names":false,"suffix":""},{"dropping-particle":"","family":"Stroobants","given":"Sigrid","non-dropping-particle":"","parse-names":false,"suffix":""},{"dropping-particle":"","family":"Lister","given":"T. Andrew","non-dropping-particle":"","parse-names":false,"suffix":""},{"dropping-particle":"","family":"Hoppe","given":"Richard T.","non-dropping-particle":"","parse-names":false,"suffix":""},{"dropping-particle":"","family":"Dreyling","given":"Martin","non-dropping-particle":"","parse-names":false,"suffix":""},{"dropping-particle":"","family":"Tobinai","given":"Kensei","non-dropping-particle":"","parse-names":false,"suffix":""},{"dropping-particle":"","family":"Vose","given":"Julie M.","non-dropping-particle":"","parse-names":false,"suffix":""},{"dropping-particle":"","family":"Connors","given":"Joseph M.","non-dropping-particle":"","parse-names":false,"suffix":""},{"dropping-particle":"","family":"Federico","given":"Massimo","non-dropping-particle":"","parse-names":false,"suffix":""},{"dropping-particle":"","family":"Diehl","given":"Volker","non-dropping-particle":"","parse-names":false,"suffix":""}],"container-title":"Journal of Clinical Oncology","id":"ITEM-1","issue":"5","issued":{"date-parts":[["2007"]]},"page":"579-586","title":"Revised response criteria for malignant lymphoma","type":"article","volume":"25"},"uris":["http://www.mendeley.com/documents/?uuid=54621e2a-fa6c-3787-a396-2fbb20883fe7"]}],"mendeley":{"formattedCitation":"[140]","plainTextFormattedCitation":"[140]","previouslyFormattedCitation":"[140]"},"properties":{"noteIndex":0},"schema":"https://github.com/citation-style-language/schema/raw/master/csl-citation.json"}</w:instrText>
      </w:r>
      <w:r w:rsidRPr="000322E4">
        <w:fldChar w:fldCharType="separate"/>
      </w:r>
      <w:r w:rsidR="00A6794A" w:rsidRPr="00A6794A">
        <w:rPr>
          <w:noProof/>
        </w:rPr>
        <w:t>[140]</w:t>
      </w:r>
      <w:r w:rsidRPr="000322E4">
        <w:fldChar w:fldCharType="end"/>
      </w:r>
      <w:r w:rsidRPr="000322E4">
        <w:t>.</w:t>
      </w:r>
      <w:r w:rsidR="00F47A24">
        <w:t xml:space="preserve"> </w:t>
      </w:r>
    </w:p>
    <w:p w14:paraId="654D3022" w14:textId="77777777" w:rsidR="00546683" w:rsidRPr="000322E4" w:rsidRDefault="00546683" w:rsidP="00F414BF">
      <w:pPr>
        <w:spacing w:line="360" w:lineRule="auto"/>
        <w:jc w:val="both"/>
        <w:rPr>
          <w:rFonts w:eastAsia="Calibri"/>
          <w:i/>
          <w:u w:val="single"/>
        </w:rPr>
      </w:pPr>
      <w:r w:rsidRPr="000322E4">
        <w:rPr>
          <w:rFonts w:eastAsia="Calibri"/>
          <w:i/>
          <w:u w:val="single"/>
        </w:rPr>
        <w:t>Полная ремиссия</w:t>
      </w:r>
      <w:r w:rsidRPr="001F280A">
        <w:rPr>
          <w:rFonts w:eastAsia="Calibri"/>
          <w:i/>
          <w:u w:val="single"/>
        </w:rPr>
        <w:t xml:space="preserve"> (</w:t>
      </w:r>
      <w:r w:rsidRPr="000322E4">
        <w:rPr>
          <w:rFonts w:eastAsia="Calibri"/>
          <w:i/>
          <w:u w:val="single"/>
        </w:rPr>
        <w:t>ПР</w:t>
      </w:r>
      <w:r w:rsidRPr="001F280A">
        <w:rPr>
          <w:rFonts w:eastAsia="Calibri"/>
          <w:i/>
          <w:u w:val="single"/>
        </w:rPr>
        <w:t>)</w:t>
      </w:r>
      <w:r w:rsidRPr="000322E4">
        <w:rPr>
          <w:rFonts w:eastAsia="Calibri"/>
          <w:i/>
          <w:u w:val="single"/>
        </w:rPr>
        <w:t>:</w:t>
      </w:r>
    </w:p>
    <w:p w14:paraId="5D3C7BCE" w14:textId="77777777" w:rsidR="00546683" w:rsidRPr="000322E4" w:rsidRDefault="00546683" w:rsidP="00F414BF">
      <w:pPr>
        <w:numPr>
          <w:ilvl w:val="0"/>
          <w:numId w:val="20"/>
        </w:numPr>
        <w:spacing w:line="360" w:lineRule="auto"/>
        <w:contextualSpacing/>
        <w:jc w:val="both"/>
        <w:rPr>
          <w:rFonts w:eastAsia="Calibri"/>
        </w:rPr>
      </w:pPr>
      <w:r w:rsidRPr="000322E4">
        <w:rPr>
          <w:rFonts w:eastAsia="Calibri"/>
        </w:rPr>
        <w:t>Полное исчезновение всех проявлений заболевания, в том числе выявляемых при помощи лабораторных и лучевых методов диагностики, а также клинических симптомов, если они имели место до начала лечения.</w:t>
      </w:r>
    </w:p>
    <w:p w14:paraId="74667B3A" w14:textId="77777777" w:rsidR="00546683" w:rsidRPr="000322E4" w:rsidRDefault="00546683" w:rsidP="00F414BF">
      <w:pPr>
        <w:numPr>
          <w:ilvl w:val="0"/>
          <w:numId w:val="20"/>
        </w:numPr>
        <w:spacing w:line="360" w:lineRule="auto"/>
        <w:contextualSpacing/>
        <w:jc w:val="both"/>
        <w:rPr>
          <w:rFonts w:eastAsia="Calibri"/>
        </w:rPr>
      </w:pPr>
      <w:r w:rsidRPr="000322E4">
        <w:rPr>
          <w:rFonts w:eastAsia="Calibri"/>
        </w:rPr>
        <w:lastRenderedPageBreak/>
        <w:t>Размеры лимфатических узлов:</w:t>
      </w:r>
    </w:p>
    <w:p w14:paraId="1A9267C5" w14:textId="77777777" w:rsidR="00546683" w:rsidRPr="000322E4" w:rsidRDefault="00546683" w:rsidP="00F414BF">
      <w:pPr>
        <w:numPr>
          <w:ilvl w:val="1"/>
          <w:numId w:val="20"/>
        </w:numPr>
        <w:spacing w:line="360" w:lineRule="auto"/>
        <w:contextualSpacing/>
        <w:jc w:val="both"/>
        <w:rPr>
          <w:rFonts w:eastAsia="Calibri"/>
        </w:rPr>
      </w:pPr>
      <w:r w:rsidRPr="000322E4">
        <w:rPr>
          <w:rFonts w:eastAsia="Calibri"/>
        </w:rPr>
        <w:t>≤ 1,5см по наибольшему диаметру, если до начала лечения размеры лимфатических узлов были больше 1,5 см</w:t>
      </w:r>
    </w:p>
    <w:p w14:paraId="7DA3A23E" w14:textId="77777777" w:rsidR="00546683" w:rsidRPr="000322E4" w:rsidRDefault="00546683" w:rsidP="00F414BF">
      <w:pPr>
        <w:numPr>
          <w:ilvl w:val="1"/>
          <w:numId w:val="20"/>
        </w:numPr>
        <w:spacing w:line="360" w:lineRule="auto"/>
        <w:contextualSpacing/>
        <w:jc w:val="both"/>
        <w:rPr>
          <w:rFonts w:eastAsia="Calibri"/>
        </w:rPr>
      </w:pPr>
      <w:r w:rsidRPr="000322E4">
        <w:rPr>
          <w:rFonts w:eastAsia="Calibri"/>
        </w:rPr>
        <w:t>≤ 1,0см по наибольшему диаметру, если до начала лечения размеры лимфатических узлов были 1,5 – 1,1см</w:t>
      </w:r>
    </w:p>
    <w:p w14:paraId="09940EC7" w14:textId="77777777" w:rsidR="00546683" w:rsidRPr="000322E4" w:rsidRDefault="00546683" w:rsidP="00F414BF">
      <w:pPr>
        <w:numPr>
          <w:ilvl w:val="0"/>
          <w:numId w:val="20"/>
        </w:numPr>
        <w:spacing w:line="360" w:lineRule="auto"/>
        <w:contextualSpacing/>
        <w:jc w:val="both"/>
        <w:rPr>
          <w:rFonts w:eastAsia="Calibri"/>
        </w:rPr>
      </w:pPr>
      <w:r w:rsidRPr="000322E4">
        <w:rPr>
          <w:rFonts w:eastAsia="Calibri"/>
        </w:rPr>
        <w:t>Печень, селезенка, если были увеличены до начала лечения, не пальпируются, по данным лучевых методов объемные образования в них не выявляются.</w:t>
      </w:r>
    </w:p>
    <w:p w14:paraId="10078B4A" w14:textId="77777777" w:rsidR="00546683" w:rsidRPr="000322E4" w:rsidRDefault="00546683" w:rsidP="00F414BF">
      <w:pPr>
        <w:numPr>
          <w:ilvl w:val="0"/>
          <w:numId w:val="20"/>
        </w:numPr>
        <w:spacing w:line="360" w:lineRule="auto"/>
        <w:contextualSpacing/>
        <w:jc w:val="both"/>
        <w:rPr>
          <w:rFonts w:eastAsia="Calibri"/>
        </w:rPr>
      </w:pPr>
      <w:r w:rsidRPr="000322E4">
        <w:rPr>
          <w:rFonts w:eastAsia="Calibri"/>
        </w:rPr>
        <w:t xml:space="preserve">Костный мозг без признаков опухолевого поражения. Если результат морфологического исследования костного мозга неоднозначный, наличие или отсутствие поражения должно определяться иммуногистохимически. </w:t>
      </w:r>
    </w:p>
    <w:p w14:paraId="0C7742B2" w14:textId="77777777" w:rsidR="000A6EAB" w:rsidRPr="000322E4" w:rsidRDefault="000A6EAB" w:rsidP="00471424">
      <w:pPr>
        <w:spacing w:line="360" w:lineRule="auto"/>
        <w:ind w:firstLine="709"/>
        <w:jc w:val="both"/>
        <w:rPr>
          <w:rFonts w:eastAsia="Calibri"/>
        </w:rPr>
      </w:pPr>
      <w:bookmarkStart w:id="61" w:name="_Hlk508045558"/>
      <w:r w:rsidRPr="000322E4">
        <w:rPr>
          <w:rFonts w:eastAsia="Calibri"/>
        </w:rPr>
        <w:t xml:space="preserve">Для </w:t>
      </w:r>
      <w:r w:rsidR="000718D1" w:rsidRPr="000322E4">
        <w:rPr>
          <w:rFonts w:eastAsia="Calibri"/>
        </w:rPr>
        <w:t>ДВКЛ</w:t>
      </w:r>
      <w:r w:rsidRPr="000322E4">
        <w:rPr>
          <w:rFonts w:eastAsia="Calibri"/>
        </w:rPr>
        <w:t xml:space="preserve"> ПР считается подтвержденной, если достигнутый эффект сохраняется не менее 3 месяцев или констатируется дальнейшее улучшение</w:t>
      </w:r>
      <w:bookmarkEnd w:id="61"/>
      <w:r w:rsidRPr="000322E4">
        <w:rPr>
          <w:rFonts w:eastAsia="Calibri"/>
        </w:rPr>
        <w:t xml:space="preserve">. </w:t>
      </w:r>
    </w:p>
    <w:p w14:paraId="56464B9A" w14:textId="77777777" w:rsidR="00546683" w:rsidRPr="000322E4" w:rsidRDefault="00546683" w:rsidP="00471424">
      <w:pPr>
        <w:spacing w:line="360" w:lineRule="auto"/>
        <w:jc w:val="both"/>
        <w:rPr>
          <w:rFonts w:eastAsia="Calibri"/>
          <w:i/>
          <w:u w:val="single"/>
        </w:rPr>
      </w:pPr>
      <w:r w:rsidRPr="000322E4">
        <w:rPr>
          <w:rFonts w:eastAsia="Calibri"/>
          <w:i/>
          <w:u w:val="single"/>
        </w:rPr>
        <w:t xml:space="preserve">Неуверенная полная ремиссия (ПРн) констатируется только у </w:t>
      </w:r>
      <w:r w:rsidR="00103620" w:rsidRPr="000322E4">
        <w:rPr>
          <w:rFonts w:eastAsia="Calibri"/>
          <w:i/>
          <w:u w:val="single"/>
        </w:rPr>
        <w:t>пациентов</w:t>
      </w:r>
      <w:r w:rsidRPr="000322E4">
        <w:rPr>
          <w:rFonts w:eastAsia="Calibri"/>
          <w:i/>
          <w:u w:val="single"/>
        </w:rPr>
        <w:t>, которым не выполнялась ПЭТ-КТ для оценки эффекта:</w:t>
      </w:r>
    </w:p>
    <w:p w14:paraId="61CF41D6" w14:textId="77777777" w:rsidR="00546683" w:rsidRPr="000322E4" w:rsidRDefault="00546683" w:rsidP="00F414BF">
      <w:pPr>
        <w:numPr>
          <w:ilvl w:val="0"/>
          <w:numId w:val="21"/>
        </w:numPr>
        <w:spacing w:line="360" w:lineRule="auto"/>
        <w:contextualSpacing/>
        <w:jc w:val="both"/>
        <w:rPr>
          <w:rFonts w:eastAsia="Calibri"/>
        </w:rPr>
      </w:pPr>
      <w:r w:rsidRPr="000322E4">
        <w:rPr>
          <w:rFonts w:eastAsia="Calibri"/>
        </w:rPr>
        <w:t>Остаточные изменения, выявляемые только при помощи лучевых методов исследования (особенно это касается остаточных объемных образований в месте массивного опухолевого поражения, чаще всего в средостении), в случае сокращения опухоли более чем на 75% от исходных размеров по сумме двух наибольших её диаметров. Эти остаточные изменения не должны увеличиваться в течение более чем 3 месяцев.</w:t>
      </w:r>
    </w:p>
    <w:p w14:paraId="671DA859" w14:textId="77777777" w:rsidR="00546683" w:rsidRPr="000322E4" w:rsidRDefault="00546683" w:rsidP="00F414BF">
      <w:pPr>
        <w:numPr>
          <w:ilvl w:val="0"/>
          <w:numId w:val="21"/>
        </w:numPr>
        <w:spacing w:line="360" w:lineRule="auto"/>
        <w:contextualSpacing/>
        <w:jc w:val="both"/>
        <w:rPr>
          <w:rFonts w:eastAsia="Calibri"/>
        </w:rPr>
      </w:pPr>
      <w:r w:rsidRPr="000322E4">
        <w:rPr>
          <w:rFonts w:eastAsia="Calibri"/>
        </w:rPr>
        <w:t>По другим показателям – соответствие критериям полной ремиссии.</w:t>
      </w:r>
    </w:p>
    <w:p w14:paraId="77D056F7" w14:textId="77777777" w:rsidR="00546683" w:rsidRPr="000322E4" w:rsidRDefault="00546683" w:rsidP="00F414BF">
      <w:pPr>
        <w:spacing w:line="360" w:lineRule="auto"/>
        <w:jc w:val="both"/>
        <w:rPr>
          <w:rFonts w:eastAsia="Calibri"/>
          <w:i/>
          <w:u w:val="single"/>
        </w:rPr>
      </w:pPr>
      <w:r w:rsidRPr="000322E4">
        <w:rPr>
          <w:rFonts w:eastAsia="Calibri"/>
          <w:i/>
          <w:u w:val="single"/>
        </w:rPr>
        <w:t>Частичная ремиссия (ЧР):</w:t>
      </w:r>
    </w:p>
    <w:p w14:paraId="0EA52C82" w14:textId="77777777" w:rsidR="00546683" w:rsidRPr="000322E4" w:rsidRDefault="00546683" w:rsidP="00F414BF">
      <w:pPr>
        <w:numPr>
          <w:ilvl w:val="0"/>
          <w:numId w:val="22"/>
        </w:numPr>
        <w:spacing w:line="360" w:lineRule="auto"/>
        <w:contextualSpacing/>
        <w:jc w:val="both"/>
        <w:rPr>
          <w:rFonts w:eastAsia="Calibri"/>
        </w:rPr>
      </w:pPr>
      <w:r w:rsidRPr="000322E4">
        <w:rPr>
          <w:rFonts w:eastAsia="Calibri"/>
        </w:rPr>
        <w:t>Уменьшение суммы диаметров всех измеряемых очагов (лимфоузлов и/или очагов экстранодального поражения) не менее чем на 50%. Если размеры пораженных очагов менее 3см по наибольшему диаметру, то 2 наибольших очага должны уменьшиться не менее, чем на 50% по наибольшему диаметру. При наличии более чем 6 очагов поражения более 3 см, достаточна оценка 6 наибольших очагов, доступных четкому измерению в двух перпендикулярных направлениях. При наличии медиастинальных и/или ретроперитонеальных очагов поражения, они обязательно должны учитываться при измерении.</w:t>
      </w:r>
    </w:p>
    <w:p w14:paraId="71A9248E" w14:textId="77777777" w:rsidR="00546683" w:rsidRPr="000322E4" w:rsidRDefault="00546683" w:rsidP="00F414BF">
      <w:pPr>
        <w:numPr>
          <w:ilvl w:val="0"/>
          <w:numId w:val="22"/>
        </w:numPr>
        <w:spacing w:line="360" w:lineRule="auto"/>
        <w:ind w:left="714" w:hanging="357"/>
        <w:contextualSpacing/>
        <w:jc w:val="both"/>
        <w:rPr>
          <w:rFonts w:eastAsia="Calibri"/>
        </w:rPr>
      </w:pPr>
      <w:r w:rsidRPr="000322E4">
        <w:rPr>
          <w:rFonts w:eastAsia="Calibri"/>
        </w:rPr>
        <w:t>Отсутствие новых очагов поражения, отсутствие признаков увеличени</w:t>
      </w:r>
      <w:r w:rsidR="000A6EAB" w:rsidRPr="000322E4">
        <w:rPr>
          <w:rFonts w:eastAsia="Calibri"/>
        </w:rPr>
        <w:t>я</w:t>
      </w:r>
      <w:r w:rsidRPr="000322E4">
        <w:rPr>
          <w:rFonts w:eastAsia="Calibri"/>
        </w:rPr>
        <w:t xml:space="preserve"> какого-либо из ранее диагностированных очагов поражения.</w:t>
      </w:r>
    </w:p>
    <w:p w14:paraId="00EC57AC" w14:textId="77777777" w:rsidR="00546683" w:rsidRPr="000322E4" w:rsidRDefault="00546683" w:rsidP="00F414BF">
      <w:pPr>
        <w:numPr>
          <w:ilvl w:val="0"/>
          <w:numId w:val="22"/>
        </w:numPr>
        <w:spacing w:line="360" w:lineRule="auto"/>
        <w:contextualSpacing/>
        <w:jc w:val="both"/>
        <w:rPr>
          <w:rFonts w:eastAsia="Calibri"/>
        </w:rPr>
      </w:pPr>
      <w:r w:rsidRPr="000322E4">
        <w:rPr>
          <w:rFonts w:eastAsia="Calibri"/>
        </w:rPr>
        <w:t xml:space="preserve">В случае исходного поражения костного мозга, статус костного мозга для определения ЧР не значим. Однако при сохранении поражения костного мозга в процессе и/или после завершения лечения, обязательно уточнение </w:t>
      </w:r>
      <w:r w:rsidRPr="000322E4">
        <w:rPr>
          <w:rFonts w:eastAsia="Calibri"/>
        </w:rPr>
        <w:lastRenderedPageBreak/>
        <w:t xml:space="preserve">характеристики опухолевых клеток. </w:t>
      </w:r>
      <w:r w:rsidR="00103620" w:rsidRPr="000322E4">
        <w:rPr>
          <w:rFonts w:eastAsia="Calibri"/>
        </w:rPr>
        <w:t xml:space="preserve">Пациенты </w:t>
      </w:r>
      <w:r w:rsidRPr="000322E4">
        <w:rPr>
          <w:rFonts w:eastAsia="Calibri"/>
        </w:rPr>
        <w:t>с исходным поражением костного мозга, у которых после завершения лечения клинически диагностируется ПР, но при этом сохраняется поражение костного мозга или костный мозг не может быть оценен, относятся к ЧР.</w:t>
      </w:r>
    </w:p>
    <w:p w14:paraId="05EC0D2C" w14:textId="77777777" w:rsidR="00546683" w:rsidRPr="000322E4" w:rsidRDefault="00546683" w:rsidP="00F414BF">
      <w:pPr>
        <w:spacing w:line="360" w:lineRule="auto"/>
        <w:jc w:val="both"/>
        <w:rPr>
          <w:rFonts w:eastAsia="Calibri"/>
          <w:i/>
          <w:u w:val="single"/>
        </w:rPr>
      </w:pPr>
      <w:r w:rsidRPr="000322E4">
        <w:rPr>
          <w:rFonts w:eastAsia="Calibri"/>
          <w:i/>
          <w:u w:val="single"/>
        </w:rPr>
        <w:t>Стабилизация</w:t>
      </w:r>
    </w:p>
    <w:p w14:paraId="4BC2007D" w14:textId="77777777" w:rsidR="00546683" w:rsidRPr="000322E4" w:rsidRDefault="00546683" w:rsidP="00471424">
      <w:pPr>
        <w:spacing w:line="360" w:lineRule="auto"/>
        <w:ind w:firstLine="709"/>
        <w:jc w:val="both"/>
        <w:rPr>
          <w:rFonts w:eastAsia="Calibri"/>
        </w:rPr>
      </w:pPr>
      <w:r w:rsidRPr="000322E4">
        <w:rPr>
          <w:rFonts w:eastAsia="Calibri"/>
        </w:rPr>
        <w:t>Показатели опухоли не соответствуют ни критериям ПР или ЧР, ни критериям прогрессирования.</w:t>
      </w:r>
    </w:p>
    <w:p w14:paraId="6C99A6E3" w14:textId="77777777" w:rsidR="00546683" w:rsidRPr="000322E4" w:rsidRDefault="00546683" w:rsidP="00F414BF">
      <w:pPr>
        <w:spacing w:line="360" w:lineRule="auto"/>
        <w:jc w:val="both"/>
        <w:rPr>
          <w:rFonts w:eastAsia="Calibri"/>
          <w:i/>
          <w:u w:val="single"/>
        </w:rPr>
      </w:pPr>
      <w:r w:rsidRPr="000322E4">
        <w:rPr>
          <w:rFonts w:eastAsia="Calibri"/>
          <w:i/>
          <w:u w:val="single"/>
        </w:rPr>
        <w:t>Рецидив (после ПР) или прогрессирование (после ЧР или стабилизации)</w:t>
      </w:r>
    </w:p>
    <w:p w14:paraId="5DA44D7F" w14:textId="77777777" w:rsidR="00546683" w:rsidRPr="000322E4" w:rsidRDefault="00546683" w:rsidP="00F414BF">
      <w:pPr>
        <w:numPr>
          <w:ilvl w:val="0"/>
          <w:numId w:val="23"/>
        </w:numPr>
        <w:spacing w:line="360" w:lineRule="auto"/>
        <w:contextualSpacing/>
        <w:jc w:val="both"/>
        <w:rPr>
          <w:rFonts w:eastAsia="Calibri"/>
          <w:u w:val="single"/>
        </w:rPr>
      </w:pPr>
      <w:r w:rsidRPr="000322E4">
        <w:rPr>
          <w:rFonts w:eastAsia="Calibri"/>
        </w:rPr>
        <w:t>Появление новых очагов (увеличение лимфатических узлов или объемных образований экстранодальных локализаций) более 1,5 см в наибольшем измерении в процессе или после завершения лечения, вне зависимости от изменения размеров других очагов поражения.</w:t>
      </w:r>
    </w:p>
    <w:p w14:paraId="033DE4DF" w14:textId="77777777" w:rsidR="00204469" w:rsidRPr="000322E4" w:rsidRDefault="00546683" w:rsidP="00F414BF">
      <w:pPr>
        <w:numPr>
          <w:ilvl w:val="0"/>
          <w:numId w:val="23"/>
        </w:numPr>
        <w:spacing w:line="360" w:lineRule="auto"/>
        <w:contextualSpacing/>
        <w:jc w:val="both"/>
        <w:rPr>
          <w:rFonts w:eastAsia="Calibri"/>
          <w:u w:val="single"/>
        </w:rPr>
      </w:pPr>
      <w:r w:rsidRPr="000322E4">
        <w:rPr>
          <w:rFonts w:eastAsia="Calibri"/>
        </w:rPr>
        <w:t>Увеличение как минимум одного уже известного очага более чем на 25% от минимального. Для очагов менее 1 см в наибольшем измерении – увеличение до 1,5 см и более.</w:t>
      </w:r>
    </w:p>
    <w:p w14:paraId="7881E96B" w14:textId="6EEA4F6A" w:rsidR="00204469" w:rsidRPr="000322E4" w:rsidRDefault="00204469" w:rsidP="00471424">
      <w:pPr>
        <w:spacing w:line="360" w:lineRule="auto"/>
        <w:ind w:firstLine="709"/>
        <w:contextualSpacing/>
        <w:jc w:val="both"/>
        <w:rPr>
          <w:rFonts w:eastAsia="Calibri"/>
        </w:rPr>
      </w:pPr>
      <w:r w:rsidRPr="000322E4">
        <w:rPr>
          <w:rFonts w:eastAsia="Calibri"/>
        </w:rPr>
        <w:t>Ответ на лечение при ПЛЦНС должен оцениваться в соответствии с Международными рекомендациями 2005 г.</w:t>
      </w:r>
      <w:r w:rsidR="006B29A4" w:rsidRPr="000322E4">
        <w:rPr>
          <w:rFonts w:eastAsia="Calibri"/>
        </w:rPr>
        <w:t xml:space="preserve"> </w:t>
      </w:r>
      <w:r w:rsidR="006B29A4" w:rsidRPr="000322E4">
        <w:rPr>
          <w:rFonts w:eastAsia="Calibri"/>
        </w:rPr>
        <w:fldChar w:fldCharType="begin" w:fldLock="1"/>
      </w:r>
      <w:r w:rsidR="00A6794A">
        <w:rPr>
          <w:rFonts w:eastAsia="Calibri"/>
        </w:rPr>
        <w:instrText>ADDIN CSL_CITATION {"citationItems":[{"id":"ITEM-1","itemData":{"DOI":"10.1200/JCO.2005.13.524","ISSN":"0732183X","PMID":"15955902","abstract":"Standardized guidelines for the baseline evaluation and response assessment of primary CNS lymphoma (PCNSL) are critical to ensure comparability among clinical trials for newly diagnosed patients. The relative rarity of this tumor precludes rapid completion of large-scale phase III trials and, therefore, our reliance on the results of well-designed phase II trials is critical. To formulate this recommendation, an international group of experts representing hematologic oncology, medical oncology, neuro-oncology, neurology, radiation oncology, neurosurgery, and ophthalmology met to review current standards of reporting and to formulate a consensus opinion regarding minimum baseline evaluation and common standards for assessing response to therapy. The response guidelines were based on the results of neuroimaging, corticosteroid use, ophthalmologic examination, and CSF cytology. A critical issue that requires additional study is the optimal method to assess the neurocognitive impact of therapy and address the quality of life of PCNSL survivors. We hope that these guidelines will improve communication among investigators and comparability among clinical trials in a way that will allow us to develop better therapies for patients. © 2005 by American Society of Clinical Oncology.","author":[{"dropping-particle":"","family":"Abrey","given":"Lauren E.","non-dropping-particle":"","parse-names":false,"suffix":""},{"dropping-particle":"","family":"Batchelor","given":"Tracy T.","non-dropping-particle":"","parse-names":false,"suffix":""},{"dropping-particle":"","family":"Ferreri","given":"Andrés J.M.","non-dropping-particle":"","parse-names":false,"suffix":""},{"dropping-particle":"","family":"Gospodarowicz","given":"Mary","non-dropping-particle":"","parse-names":false,"suffix":""},{"dropping-particle":"","family":"Pulczynski","given":"Elisa J.","non-dropping-particle":"","parse-names":false,"suffix":""},{"dropping-particle":"","family":"Zucca","given":"Emanuele","non-dropping-particle":"","parse-names":false,"suffix":""},{"dropping-particle":"","family":"Smith","given":"Justine R.","non-dropping-particle":"","parse-names":false,"suffix":""},{"dropping-particle":"","family":"Korfel","given":"Agnieszka","non-dropping-particle":"","parse-names":false,"suffix":""},{"dropping-particle":"","family":"Soussain","given":"Carole","non-dropping-particle":"","parse-names":false,"suffix":""},{"dropping-particle":"","family":"DeAngelis","given":"Lisa M.","non-dropping-particle":"","parse-names":false,"suffix":""},{"dropping-particle":"","family":"Neuwelt","given":"Edward A.","non-dropping-particle":"","parse-names":false,"suffix":""},{"dropping-particle":"","family":"O'Neill","given":"Brian Patrick","non-dropping-particle":"","parse-names":false,"suffix":""},{"dropping-particle":"","family":"Thiel","given":"Eckhard","non-dropping-particle":"","parse-names":false,"suffix":""},{"dropping-particle":"","family":"Shenkier","given":"Tamara","non-dropping-particle":"","parse-names":false,"suffix":""},{"dropping-particle":"","family":"Graus","given":"Fransesc","non-dropping-particle":"","parse-names":false,"suffix":""},{"dropping-particle":"","family":"Bent","given":"Martin","non-dropping-particle":"van den","parse-names":false,"suffix":""},{"dropping-particle":"","family":"Seymour","given":"John F.","non-dropping-particle":"","parse-names":false,"suffix":""},{"dropping-particle":"","family":"Poortmans","given":"Philip","non-dropping-particle":"","parse-names":false,"suffix":""},{"dropping-particle":"","family":"Armitage","given":"James O.","non-dropping-particle":"","parse-names":false,"suffix":""},{"dropping-particle":"","family":"Cavalli","given":"Franco","non-dropping-particle":"","parse-names":false,"suffix":""}],"container-title":"Journal of Clinical Oncology","id":"ITEM-1","issue":"22","issued":{"date-parts":[["2005"]]},"page":"5034-5043","title":"Report of an international workshop to standardize baseline evaluation and response criteria for primary CNS lymphoma","type":"article","volume":"23"},"uris":["http://www.mendeley.com/documents/?uuid=6aa22810-768e-39cd-8f01-27426aabcb58"]}],"mendeley":{"formattedCitation":"[168]","plainTextFormattedCitation":"[168]","previouslyFormattedCitation":"[168]"},"properties":{"noteIndex":0},"schema":"https://github.com/citation-style-language/schema/raw/master/csl-citation.json"}</w:instrText>
      </w:r>
      <w:r w:rsidR="006B29A4" w:rsidRPr="000322E4">
        <w:rPr>
          <w:rFonts w:eastAsia="Calibri"/>
        </w:rPr>
        <w:fldChar w:fldCharType="separate"/>
      </w:r>
      <w:r w:rsidR="006E1902" w:rsidRPr="006E1902">
        <w:rPr>
          <w:rFonts w:eastAsia="Calibri"/>
          <w:noProof/>
        </w:rPr>
        <w:t>[168]</w:t>
      </w:r>
      <w:r w:rsidR="006B29A4" w:rsidRPr="000322E4">
        <w:rPr>
          <w:rFonts w:eastAsia="Calibri"/>
        </w:rPr>
        <w:fldChar w:fldCharType="end"/>
      </w:r>
    </w:p>
    <w:p w14:paraId="2AE4A6BC" w14:textId="77777777" w:rsidR="00204469" w:rsidRPr="000322E4" w:rsidRDefault="00204469" w:rsidP="00F414BF">
      <w:pPr>
        <w:spacing w:line="360" w:lineRule="auto"/>
        <w:ind w:left="720"/>
        <w:contextualSpacing/>
        <w:jc w:val="both"/>
        <w:rPr>
          <w:rFonts w:eastAsia="Calibri"/>
        </w:rPr>
      </w:pPr>
    </w:p>
    <w:p w14:paraId="20DD4441" w14:textId="77777777" w:rsidR="00204469" w:rsidRPr="000322E4" w:rsidRDefault="00204469" w:rsidP="00F414BF">
      <w:pPr>
        <w:spacing w:line="360" w:lineRule="auto"/>
        <w:jc w:val="both"/>
        <w:rPr>
          <w:bCs/>
          <w:sz w:val="17"/>
        </w:rPr>
      </w:pPr>
      <w:r w:rsidRPr="000322E4">
        <w:rPr>
          <w:bCs/>
        </w:rPr>
        <w:t xml:space="preserve">Таблица </w:t>
      </w:r>
      <w:r w:rsidR="006B29A4" w:rsidRPr="000322E4">
        <w:rPr>
          <w:bCs/>
        </w:rPr>
        <w:t>7.</w:t>
      </w:r>
      <w:r w:rsidRPr="000322E4">
        <w:rPr>
          <w:bCs/>
        </w:rPr>
        <w:t>6.</w:t>
      </w:r>
      <w:r w:rsidR="006B29A4" w:rsidRPr="000322E4">
        <w:rPr>
          <w:bCs/>
        </w:rPr>
        <w:t>1</w:t>
      </w:r>
      <w:r w:rsidRPr="000322E4">
        <w:rPr>
          <w:bCs/>
        </w:rPr>
        <w:t xml:space="preserve"> </w:t>
      </w:r>
      <w:r w:rsidR="006B29A4" w:rsidRPr="000322E4">
        <w:rPr>
          <w:bCs/>
        </w:rPr>
        <w:t xml:space="preserve">Международные критерии </w:t>
      </w:r>
      <w:r w:rsidRPr="000322E4">
        <w:rPr>
          <w:bCs/>
        </w:rPr>
        <w:t xml:space="preserve">ответа на терапию </w:t>
      </w:r>
      <w:r w:rsidR="006B29A4" w:rsidRPr="000322E4">
        <w:rPr>
          <w:bCs/>
        </w:rPr>
        <w:t xml:space="preserve">ПЛЦНС. </w:t>
      </w:r>
    </w:p>
    <w:tbl>
      <w:tblPr>
        <w:tblW w:w="9797" w:type="dxa"/>
        <w:tblInd w:w="-289" w:type="dxa"/>
        <w:tblLayout w:type="fixed"/>
        <w:tblCellMar>
          <w:left w:w="0" w:type="dxa"/>
          <w:right w:w="0" w:type="dxa"/>
        </w:tblCellMar>
        <w:tblLook w:val="0000" w:firstRow="0" w:lastRow="0" w:firstColumn="0" w:lastColumn="0" w:noHBand="0" w:noVBand="0"/>
      </w:tblPr>
      <w:tblGrid>
        <w:gridCol w:w="1988"/>
        <w:gridCol w:w="1983"/>
        <w:gridCol w:w="1844"/>
        <w:gridCol w:w="2324"/>
        <w:gridCol w:w="1658"/>
      </w:tblGrid>
      <w:tr w:rsidR="00204469" w:rsidRPr="000322E4" w14:paraId="5C93ADA7" w14:textId="77777777" w:rsidTr="006B29A4">
        <w:trPr>
          <w:trHeight w:val="897"/>
        </w:trPr>
        <w:tc>
          <w:tcPr>
            <w:tcW w:w="1988" w:type="dxa"/>
            <w:tcBorders>
              <w:top w:val="single" w:sz="4" w:space="0" w:color="000000"/>
              <w:left w:val="single" w:sz="4" w:space="0" w:color="000000"/>
              <w:bottom w:val="single" w:sz="4" w:space="0" w:color="000000"/>
            </w:tcBorders>
            <w:shd w:val="clear" w:color="auto" w:fill="auto"/>
          </w:tcPr>
          <w:p w14:paraId="63902FCD" w14:textId="77777777" w:rsidR="00204469" w:rsidRPr="000322E4" w:rsidRDefault="00204469" w:rsidP="00F414BF">
            <w:pPr>
              <w:pStyle w:val="TableParagraph"/>
              <w:autoSpaceDE w:val="0"/>
              <w:spacing w:line="360" w:lineRule="auto"/>
              <w:ind w:left="485" w:right="434" w:hanging="20"/>
              <w:jc w:val="both"/>
              <w:rPr>
                <w:rFonts w:ascii="Times New Roman" w:hAnsi="Times New Roman" w:cs="Times New Roman"/>
                <w:sz w:val="24"/>
                <w:szCs w:val="24"/>
                <w:lang w:val="ru-RU"/>
              </w:rPr>
            </w:pPr>
            <w:r w:rsidRPr="000322E4">
              <w:rPr>
                <w:rFonts w:ascii="Times New Roman" w:hAnsi="Times New Roman" w:cs="Times New Roman"/>
                <w:b/>
                <w:sz w:val="24"/>
                <w:szCs w:val="24"/>
                <w:lang w:val="ru-RU"/>
              </w:rPr>
              <w:t>Ответ на терапию</w:t>
            </w:r>
          </w:p>
        </w:tc>
        <w:tc>
          <w:tcPr>
            <w:tcW w:w="1983" w:type="dxa"/>
            <w:tcBorders>
              <w:top w:val="single" w:sz="4" w:space="0" w:color="000000"/>
              <w:left w:val="single" w:sz="4" w:space="0" w:color="000000"/>
              <w:bottom w:val="single" w:sz="4" w:space="0" w:color="000000"/>
            </w:tcBorders>
            <w:shd w:val="clear" w:color="auto" w:fill="auto"/>
          </w:tcPr>
          <w:p w14:paraId="2D86C289" w14:textId="77777777" w:rsidR="00204469" w:rsidRPr="000322E4" w:rsidRDefault="00204469" w:rsidP="00F414BF">
            <w:pPr>
              <w:pStyle w:val="TableParagraph"/>
              <w:autoSpaceDE w:val="0"/>
              <w:spacing w:line="360" w:lineRule="auto"/>
              <w:ind w:left="91" w:firstLine="72"/>
              <w:jc w:val="both"/>
              <w:rPr>
                <w:rFonts w:ascii="Times New Roman" w:hAnsi="Times New Roman" w:cs="Times New Roman"/>
                <w:sz w:val="24"/>
                <w:szCs w:val="24"/>
                <w:lang w:val="ru-RU"/>
              </w:rPr>
            </w:pPr>
            <w:r w:rsidRPr="000322E4">
              <w:rPr>
                <w:rFonts w:ascii="Times New Roman" w:hAnsi="Times New Roman" w:cs="Times New Roman"/>
                <w:b/>
                <w:sz w:val="24"/>
                <w:szCs w:val="24"/>
                <w:lang w:val="ru-RU"/>
              </w:rPr>
              <w:t>Визуализация структур мозга</w:t>
            </w:r>
          </w:p>
        </w:tc>
        <w:tc>
          <w:tcPr>
            <w:tcW w:w="1844" w:type="dxa"/>
            <w:tcBorders>
              <w:top w:val="single" w:sz="4" w:space="0" w:color="000000"/>
              <w:left w:val="single" w:sz="4" w:space="0" w:color="000000"/>
              <w:bottom w:val="single" w:sz="4" w:space="0" w:color="000000"/>
            </w:tcBorders>
            <w:shd w:val="clear" w:color="auto" w:fill="auto"/>
          </w:tcPr>
          <w:p w14:paraId="25E1CD4D" w14:textId="77777777" w:rsidR="00204469" w:rsidRPr="000322E4" w:rsidRDefault="00204469" w:rsidP="005C347F">
            <w:pPr>
              <w:pStyle w:val="TableParagraph"/>
              <w:autoSpaceDE w:val="0"/>
              <w:spacing w:line="360" w:lineRule="auto"/>
              <w:ind w:left="38" w:right="32" w:firstLine="9"/>
              <w:jc w:val="both"/>
              <w:rPr>
                <w:rFonts w:ascii="Times New Roman" w:hAnsi="Times New Roman" w:cs="Times New Roman"/>
                <w:sz w:val="24"/>
                <w:szCs w:val="24"/>
                <w:lang w:val="ru-RU"/>
              </w:rPr>
            </w:pPr>
            <w:r w:rsidRPr="000322E4">
              <w:rPr>
                <w:rFonts w:ascii="Times New Roman" w:hAnsi="Times New Roman" w:cs="Times New Roman"/>
                <w:b/>
                <w:sz w:val="24"/>
                <w:szCs w:val="24"/>
                <w:lang w:val="ru-RU"/>
              </w:rPr>
              <w:t xml:space="preserve">Прием </w:t>
            </w:r>
            <w:r w:rsidR="005C347F">
              <w:rPr>
                <w:rFonts w:ascii="Times New Roman" w:hAnsi="Times New Roman" w:cs="Times New Roman"/>
                <w:b/>
                <w:w w:val="95"/>
                <w:sz w:val="24"/>
                <w:szCs w:val="24"/>
                <w:lang w:val="ru-RU"/>
              </w:rPr>
              <w:t>глюкокортикоидов</w:t>
            </w:r>
          </w:p>
        </w:tc>
        <w:tc>
          <w:tcPr>
            <w:tcW w:w="2324" w:type="dxa"/>
            <w:tcBorders>
              <w:top w:val="single" w:sz="4" w:space="0" w:color="000000"/>
              <w:left w:val="single" w:sz="4" w:space="0" w:color="000000"/>
              <w:bottom w:val="single" w:sz="4" w:space="0" w:color="000000"/>
            </w:tcBorders>
            <w:shd w:val="clear" w:color="auto" w:fill="auto"/>
          </w:tcPr>
          <w:p w14:paraId="628DBA0B" w14:textId="77777777" w:rsidR="00204469" w:rsidRPr="000322E4" w:rsidRDefault="00204469" w:rsidP="00F414BF">
            <w:pPr>
              <w:pStyle w:val="TableParagraph"/>
              <w:autoSpaceDE w:val="0"/>
              <w:spacing w:line="360" w:lineRule="auto"/>
              <w:ind w:left="167" w:firstLine="307"/>
              <w:jc w:val="both"/>
              <w:rPr>
                <w:rFonts w:ascii="Times New Roman" w:hAnsi="Times New Roman" w:cs="Times New Roman"/>
                <w:sz w:val="24"/>
                <w:szCs w:val="24"/>
                <w:lang w:val="ru-RU"/>
              </w:rPr>
            </w:pPr>
            <w:r w:rsidRPr="000322E4">
              <w:rPr>
                <w:rFonts w:ascii="Times New Roman" w:hAnsi="Times New Roman" w:cs="Times New Roman"/>
                <w:b/>
                <w:sz w:val="24"/>
                <w:szCs w:val="24"/>
                <w:lang w:val="ru-RU"/>
              </w:rPr>
              <w:t>Результаты проверки зрения</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7227253D" w14:textId="77777777" w:rsidR="00204469" w:rsidRPr="000322E4" w:rsidRDefault="00204469" w:rsidP="00F414BF">
            <w:pPr>
              <w:pStyle w:val="TableParagraph"/>
              <w:autoSpaceDE w:val="0"/>
              <w:spacing w:line="360" w:lineRule="auto"/>
              <w:ind w:left="177" w:firstLine="38"/>
              <w:jc w:val="both"/>
              <w:rPr>
                <w:rFonts w:ascii="Times New Roman" w:hAnsi="Times New Roman" w:cs="Times New Roman"/>
                <w:sz w:val="24"/>
                <w:szCs w:val="24"/>
                <w:lang w:val="ru-RU"/>
              </w:rPr>
            </w:pPr>
            <w:r w:rsidRPr="000322E4">
              <w:rPr>
                <w:rFonts w:ascii="Times New Roman" w:hAnsi="Times New Roman" w:cs="Times New Roman"/>
                <w:b/>
                <w:sz w:val="24"/>
                <w:szCs w:val="24"/>
                <w:lang w:val="ru-RU"/>
              </w:rPr>
              <w:t xml:space="preserve">Результат </w:t>
            </w:r>
            <w:r w:rsidRPr="000322E4">
              <w:rPr>
                <w:rFonts w:ascii="Times New Roman" w:hAnsi="Times New Roman" w:cs="Times New Roman"/>
                <w:b/>
                <w:w w:val="95"/>
                <w:sz w:val="24"/>
                <w:szCs w:val="24"/>
                <w:lang w:val="ru-RU"/>
              </w:rPr>
              <w:t>цитологии</w:t>
            </w:r>
          </w:p>
          <w:p w14:paraId="62CC8EEB" w14:textId="77777777" w:rsidR="00204469" w:rsidRPr="000322E4" w:rsidRDefault="00204469" w:rsidP="00F414BF">
            <w:pPr>
              <w:pStyle w:val="TableParagraph"/>
              <w:autoSpaceDE w:val="0"/>
              <w:spacing w:line="360" w:lineRule="auto"/>
              <w:ind w:left="312"/>
              <w:jc w:val="both"/>
              <w:rPr>
                <w:rFonts w:ascii="Times New Roman" w:hAnsi="Times New Roman" w:cs="Times New Roman"/>
                <w:sz w:val="24"/>
                <w:szCs w:val="24"/>
                <w:lang w:val="ru-RU"/>
              </w:rPr>
            </w:pPr>
            <w:r w:rsidRPr="000322E4">
              <w:rPr>
                <w:rFonts w:ascii="Times New Roman" w:hAnsi="Times New Roman" w:cs="Times New Roman"/>
                <w:b/>
                <w:sz w:val="24"/>
                <w:szCs w:val="24"/>
                <w:lang w:val="ru-RU"/>
              </w:rPr>
              <w:t>ликвора</w:t>
            </w:r>
          </w:p>
        </w:tc>
      </w:tr>
      <w:tr w:rsidR="00204469" w:rsidRPr="000322E4" w14:paraId="6931101C" w14:textId="77777777" w:rsidTr="006B29A4">
        <w:trPr>
          <w:trHeight w:val="897"/>
        </w:trPr>
        <w:tc>
          <w:tcPr>
            <w:tcW w:w="1988" w:type="dxa"/>
            <w:tcBorders>
              <w:top w:val="single" w:sz="4" w:space="0" w:color="000000"/>
              <w:left w:val="single" w:sz="4" w:space="0" w:color="000000"/>
              <w:bottom w:val="single" w:sz="4" w:space="0" w:color="000000"/>
            </w:tcBorders>
            <w:shd w:val="clear" w:color="auto" w:fill="auto"/>
          </w:tcPr>
          <w:p w14:paraId="2879C92B" w14:textId="77777777" w:rsidR="00204469" w:rsidRPr="000322E4" w:rsidRDefault="00204469" w:rsidP="00F414BF">
            <w:pPr>
              <w:pStyle w:val="TableParagraph"/>
              <w:autoSpaceDE w:val="0"/>
              <w:spacing w:line="360" w:lineRule="auto"/>
              <w:jc w:val="both"/>
              <w:rPr>
                <w:rFonts w:ascii="Times New Roman" w:hAnsi="Times New Roman" w:cs="Times New Roman"/>
                <w:sz w:val="24"/>
                <w:szCs w:val="24"/>
                <w:lang w:val="ru-RU"/>
              </w:rPr>
            </w:pPr>
            <w:r w:rsidRPr="000322E4">
              <w:rPr>
                <w:rFonts w:ascii="Times New Roman" w:hAnsi="Times New Roman" w:cs="Times New Roman"/>
                <w:sz w:val="24"/>
                <w:szCs w:val="24"/>
                <w:lang w:val="ru-RU"/>
              </w:rPr>
              <w:t>Полный ответ</w:t>
            </w:r>
          </w:p>
        </w:tc>
        <w:tc>
          <w:tcPr>
            <w:tcW w:w="1983" w:type="dxa"/>
            <w:tcBorders>
              <w:top w:val="single" w:sz="4" w:space="0" w:color="000000"/>
              <w:left w:val="single" w:sz="4" w:space="0" w:color="000000"/>
              <w:bottom w:val="single" w:sz="4" w:space="0" w:color="000000"/>
            </w:tcBorders>
            <w:shd w:val="clear" w:color="auto" w:fill="auto"/>
          </w:tcPr>
          <w:p w14:paraId="632746DE" w14:textId="77777777" w:rsidR="00204469" w:rsidRPr="000322E4" w:rsidRDefault="00204469" w:rsidP="00F414BF">
            <w:pPr>
              <w:pStyle w:val="TableParagraph"/>
              <w:autoSpaceDE w:val="0"/>
              <w:spacing w:line="360" w:lineRule="auto"/>
              <w:ind w:left="105" w:right="416"/>
              <w:jc w:val="both"/>
              <w:rPr>
                <w:rFonts w:ascii="Times New Roman" w:hAnsi="Times New Roman" w:cs="Times New Roman"/>
                <w:sz w:val="24"/>
                <w:szCs w:val="24"/>
                <w:lang w:val="ru-RU"/>
              </w:rPr>
            </w:pPr>
            <w:r w:rsidRPr="000322E4">
              <w:rPr>
                <w:rFonts w:ascii="Times New Roman" w:hAnsi="Times New Roman" w:cs="Times New Roman"/>
                <w:sz w:val="24"/>
                <w:szCs w:val="24"/>
                <w:lang w:val="ru-RU"/>
              </w:rPr>
              <w:t>Нет накопления</w:t>
            </w:r>
          </w:p>
          <w:p w14:paraId="74D6A117" w14:textId="77777777" w:rsidR="00204469" w:rsidRPr="000322E4" w:rsidRDefault="00204469" w:rsidP="00F414BF">
            <w:pPr>
              <w:pStyle w:val="TableParagraph"/>
              <w:autoSpaceDE w:val="0"/>
              <w:spacing w:line="360" w:lineRule="auto"/>
              <w:ind w:left="105"/>
              <w:jc w:val="both"/>
              <w:rPr>
                <w:rFonts w:ascii="Times New Roman" w:hAnsi="Times New Roman" w:cs="Times New Roman"/>
                <w:sz w:val="24"/>
                <w:szCs w:val="24"/>
                <w:lang w:val="ru-RU"/>
              </w:rPr>
            </w:pPr>
            <w:r w:rsidRPr="000322E4">
              <w:rPr>
                <w:rFonts w:ascii="Times New Roman" w:hAnsi="Times New Roman" w:cs="Times New Roman"/>
                <w:sz w:val="24"/>
                <w:szCs w:val="24"/>
                <w:lang w:val="ru-RU"/>
              </w:rPr>
              <w:t>контраста</w:t>
            </w:r>
          </w:p>
        </w:tc>
        <w:tc>
          <w:tcPr>
            <w:tcW w:w="1844" w:type="dxa"/>
            <w:tcBorders>
              <w:top w:val="single" w:sz="4" w:space="0" w:color="000000"/>
              <w:left w:val="single" w:sz="4" w:space="0" w:color="000000"/>
              <w:bottom w:val="single" w:sz="4" w:space="0" w:color="000000"/>
            </w:tcBorders>
            <w:shd w:val="clear" w:color="auto" w:fill="auto"/>
          </w:tcPr>
          <w:p w14:paraId="68EEE584" w14:textId="77777777" w:rsidR="00204469" w:rsidRPr="000322E4" w:rsidRDefault="00204469" w:rsidP="00F414BF">
            <w:pPr>
              <w:pStyle w:val="TableParagraph"/>
              <w:autoSpaceDE w:val="0"/>
              <w:spacing w:line="360" w:lineRule="auto"/>
              <w:jc w:val="both"/>
              <w:rPr>
                <w:rFonts w:ascii="Times New Roman" w:hAnsi="Times New Roman" w:cs="Times New Roman"/>
                <w:sz w:val="24"/>
                <w:szCs w:val="24"/>
                <w:lang w:val="ru-RU"/>
              </w:rPr>
            </w:pPr>
            <w:r w:rsidRPr="000322E4">
              <w:rPr>
                <w:rFonts w:ascii="Times New Roman" w:hAnsi="Times New Roman" w:cs="Times New Roman"/>
                <w:sz w:val="24"/>
                <w:szCs w:val="24"/>
                <w:lang w:val="ru-RU"/>
              </w:rPr>
              <w:t>Нет</w:t>
            </w:r>
          </w:p>
        </w:tc>
        <w:tc>
          <w:tcPr>
            <w:tcW w:w="2324" w:type="dxa"/>
            <w:tcBorders>
              <w:top w:val="single" w:sz="4" w:space="0" w:color="000000"/>
              <w:left w:val="single" w:sz="4" w:space="0" w:color="000000"/>
              <w:bottom w:val="single" w:sz="4" w:space="0" w:color="000000"/>
            </w:tcBorders>
            <w:shd w:val="clear" w:color="auto" w:fill="auto"/>
          </w:tcPr>
          <w:p w14:paraId="2FE7E407" w14:textId="77777777" w:rsidR="00204469" w:rsidRPr="000322E4" w:rsidRDefault="00204469" w:rsidP="00F414BF">
            <w:pPr>
              <w:pStyle w:val="TableParagraph"/>
              <w:autoSpaceDE w:val="0"/>
              <w:spacing w:line="360" w:lineRule="auto"/>
              <w:jc w:val="both"/>
              <w:rPr>
                <w:rFonts w:ascii="Times New Roman" w:hAnsi="Times New Roman" w:cs="Times New Roman"/>
                <w:sz w:val="24"/>
                <w:szCs w:val="24"/>
                <w:lang w:val="ru-RU"/>
              </w:rPr>
            </w:pPr>
            <w:r w:rsidRPr="000322E4">
              <w:rPr>
                <w:rFonts w:ascii="Times New Roman" w:hAnsi="Times New Roman" w:cs="Times New Roman"/>
                <w:sz w:val="24"/>
                <w:szCs w:val="24"/>
                <w:lang w:val="ru-RU"/>
              </w:rPr>
              <w:t>Норма</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6E23A9AC" w14:textId="77777777" w:rsidR="00204469" w:rsidRPr="000322E4" w:rsidRDefault="00204469" w:rsidP="00F414BF">
            <w:pPr>
              <w:pStyle w:val="TableParagraph"/>
              <w:autoSpaceDE w:val="0"/>
              <w:spacing w:line="360" w:lineRule="auto"/>
              <w:ind w:left="91" w:right="113"/>
              <w:jc w:val="both"/>
              <w:rPr>
                <w:rFonts w:ascii="Times New Roman" w:hAnsi="Times New Roman" w:cs="Times New Roman"/>
                <w:sz w:val="24"/>
                <w:szCs w:val="24"/>
                <w:lang w:val="ru-RU"/>
              </w:rPr>
            </w:pPr>
            <w:r w:rsidRPr="000322E4">
              <w:rPr>
                <w:rFonts w:ascii="Times New Roman" w:hAnsi="Times New Roman" w:cs="Times New Roman"/>
                <w:sz w:val="24"/>
                <w:szCs w:val="24"/>
                <w:lang w:val="ru-RU"/>
              </w:rPr>
              <w:t>Негативный</w:t>
            </w:r>
          </w:p>
        </w:tc>
      </w:tr>
      <w:tr w:rsidR="00204469" w:rsidRPr="000322E4" w14:paraId="44003F4C" w14:textId="77777777" w:rsidTr="006B29A4">
        <w:trPr>
          <w:trHeight w:val="897"/>
        </w:trPr>
        <w:tc>
          <w:tcPr>
            <w:tcW w:w="1988" w:type="dxa"/>
            <w:vMerge w:val="restart"/>
            <w:tcBorders>
              <w:top w:val="single" w:sz="4" w:space="0" w:color="000000"/>
              <w:left w:val="single" w:sz="4" w:space="0" w:color="000000"/>
              <w:bottom w:val="single" w:sz="4" w:space="0" w:color="000000"/>
            </w:tcBorders>
            <w:shd w:val="clear" w:color="auto" w:fill="auto"/>
          </w:tcPr>
          <w:p w14:paraId="1A440047" w14:textId="77777777" w:rsidR="00204469" w:rsidRPr="000322E4" w:rsidRDefault="00204469" w:rsidP="00F414BF">
            <w:pPr>
              <w:pStyle w:val="TableParagraph"/>
              <w:autoSpaceDE w:val="0"/>
              <w:spacing w:line="360" w:lineRule="auto"/>
              <w:jc w:val="both"/>
              <w:rPr>
                <w:rFonts w:ascii="Times New Roman" w:hAnsi="Times New Roman" w:cs="Times New Roman"/>
                <w:sz w:val="24"/>
                <w:szCs w:val="24"/>
                <w:lang w:val="ru-RU"/>
              </w:rPr>
            </w:pPr>
            <w:r w:rsidRPr="000322E4">
              <w:rPr>
                <w:rFonts w:ascii="Times New Roman" w:hAnsi="Times New Roman" w:cs="Times New Roman"/>
                <w:sz w:val="24"/>
                <w:szCs w:val="24"/>
                <w:lang w:val="ru-RU"/>
              </w:rPr>
              <w:t>Неподтвержден ный полный ответ</w:t>
            </w:r>
          </w:p>
        </w:tc>
        <w:tc>
          <w:tcPr>
            <w:tcW w:w="1983" w:type="dxa"/>
            <w:tcBorders>
              <w:top w:val="single" w:sz="4" w:space="0" w:color="000000"/>
              <w:left w:val="single" w:sz="4" w:space="0" w:color="000000"/>
              <w:bottom w:val="single" w:sz="4" w:space="0" w:color="000000"/>
            </w:tcBorders>
            <w:shd w:val="clear" w:color="auto" w:fill="auto"/>
          </w:tcPr>
          <w:p w14:paraId="3DCB722B" w14:textId="77777777" w:rsidR="00204469" w:rsidRPr="000322E4" w:rsidRDefault="00204469" w:rsidP="00F414BF">
            <w:pPr>
              <w:pStyle w:val="TableParagraph"/>
              <w:autoSpaceDE w:val="0"/>
              <w:spacing w:line="360" w:lineRule="auto"/>
              <w:ind w:left="105" w:right="416"/>
              <w:jc w:val="both"/>
              <w:rPr>
                <w:rFonts w:ascii="Times New Roman" w:hAnsi="Times New Roman" w:cs="Times New Roman"/>
                <w:sz w:val="24"/>
                <w:szCs w:val="24"/>
                <w:lang w:val="ru-RU"/>
              </w:rPr>
            </w:pPr>
            <w:r w:rsidRPr="000322E4">
              <w:rPr>
                <w:rFonts w:ascii="Times New Roman" w:hAnsi="Times New Roman" w:cs="Times New Roman"/>
                <w:sz w:val="24"/>
                <w:szCs w:val="24"/>
                <w:lang w:val="ru-RU"/>
              </w:rPr>
              <w:t>Нет накопления</w:t>
            </w:r>
          </w:p>
          <w:p w14:paraId="40E7B54F" w14:textId="77777777" w:rsidR="00204469" w:rsidRPr="000322E4" w:rsidRDefault="00204469" w:rsidP="00F414BF">
            <w:pPr>
              <w:pStyle w:val="TableParagraph"/>
              <w:autoSpaceDE w:val="0"/>
              <w:spacing w:line="360" w:lineRule="auto"/>
              <w:ind w:left="105"/>
              <w:jc w:val="both"/>
              <w:rPr>
                <w:rFonts w:ascii="Times New Roman" w:hAnsi="Times New Roman" w:cs="Times New Roman"/>
                <w:sz w:val="24"/>
                <w:szCs w:val="24"/>
                <w:lang w:val="ru-RU"/>
              </w:rPr>
            </w:pPr>
            <w:r w:rsidRPr="000322E4">
              <w:rPr>
                <w:rFonts w:ascii="Times New Roman" w:hAnsi="Times New Roman" w:cs="Times New Roman"/>
                <w:sz w:val="24"/>
                <w:szCs w:val="24"/>
                <w:lang w:val="ru-RU"/>
              </w:rPr>
              <w:t>контраста</w:t>
            </w:r>
          </w:p>
        </w:tc>
        <w:tc>
          <w:tcPr>
            <w:tcW w:w="1844" w:type="dxa"/>
            <w:tcBorders>
              <w:top w:val="single" w:sz="4" w:space="0" w:color="000000"/>
              <w:left w:val="single" w:sz="4" w:space="0" w:color="000000"/>
              <w:bottom w:val="single" w:sz="4" w:space="0" w:color="000000"/>
            </w:tcBorders>
            <w:shd w:val="clear" w:color="auto" w:fill="auto"/>
          </w:tcPr>
          <w:p w14:paraId="142381CD" w14:textId="77777777" w:rsidR="00204469" w:rsidRPr="000322E4" w:rsidRDefault="00204469" w:rsidP="00F414BF">
            <w:pPr>
              <w:pStyle w:val="TableParagraph"/>
              <w:autoSpaceDE w:val="0"/>
              <w:spacing w:line="360" w:lineRule="auto"/>
              <w:jc w:val="both"/>
              <w:rPr>
                <w:rFonts w:ascii="Times New Roman" w:hAnsi="Times New Roman" w:cs="Times New Roman"/>
                <w:sz w:val="24"/>
                <w:szCs w:val="24"/>
                <w:lang w:val="ru-RU"/>
              </w:rPr>
            </w:pPr>
            <w:r w:rsidRPr="000322E4">
              <w:rPr>
                <w:rFonts w:ascii="Times New Roman" w:hAnsi="Times New Roman" w:cs="Times New Roman"/>
                <w:sz w:val="24"/>
                <w:szCs w:val="24"/>
                <w:lang w:val="ru-RU"/>
              </w:rPr>
              <w:t>Любая</w:t>
            </w:r>
          </w:p>
        </w:tc>
        <w:tc>
          <w:tcPr>
            <w:tcW w:w="2324" w:type="dxa"/>
            <w:tcBorders>
              <w:top w:val="single" w:sz="4" w:space="0" w:color="000000"/>
              <w:left w:val="single" w:sz="4" w:space="0" w:color="000000"/>
              <w:bottom w:val="single" w:sz="4" w:space="0" w:color="000000"/>
            </w:tcBorders>
            <w:shd w:val="clear" w:color="auto" w:fill="auto"/>
          </w:tcPr>
          <w:p w14:paraId="313750BE" w14:textId="77777777" w:rsidR="00204469" w:rsidRPr="000322E4" w:rsidRDefault="00204469" w:rsidP="00F414BF">
            <w:pPr>
              <w:pStyle w:val="TableParagraph"/>
              <w:autoSpaceDE w:val="0"/>
              <w:spacing w:line="360" w:lineRule="auto"/>
              <w:jc w:val="both"/>
              <w:rPr>
                <w:rFonts w:ascii="Times New Roman" w:hAnsi="Times New Roman" w:cs="Times New Roman"/>
                <w:sz w:val="24"/>
                <w:szCs w:val="24"/>
                <w:lang w:val="ru-RU"/>
              </w:rPr>
            </w:pPr>
            <w:r w:rsidRPr="000322E4">
              <w:rPr>
                <w:rFonts w:ascii="Times New Roman" w:hAnsi="Times New Roman" w:cs="Times New Roman"/>
                <w:sz w:val="24"/>
                <w:szCs w:val="24"/>
                <w:lang w:val="ru-RU"/>
              </w:rPr>
              <w:t>Норма</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32215680" w14:textId="77777777" w:rsidR="00204469" w:rsidRPr="000322E4" w:rsidRDefault="00204469" w:rsidP="00F414BF">
            <w:pPr>
              <w:pStyle w:val="TableParagraph"/>
              <w:autoSpaceDE w:val="0"/>
              <w:spacing w:line="360" w:lineRule="auto"/>
              <w:ind w:left="91" w:right="113"/>
              <w:jc w:val="both"/>
              <w:rPr>
                <w:rFonts w:ascii="Times New Roman" w:hAnsi="Times New Roman" w:cs="Times New Roman"/>
                <w:sz w:val="24"/>
                <w:szCs w:val="24"/>
                <w:lang w:val="ru-RU"/>
              </w:rPr>
            </w:pPr>
            <w:r w:rsidRPr="000322E4">
              <w:rPr>
                <w:rFonts w:ascii="Times New Roman" w:hAnsi="Times New Roman" w:cs="Times New Roman"/>
                <w:sz w:val="24"/>
                <w:szCs w:val="24"/>
                <w:lang w:val="ru-RU"/>
              </w:rPr>
              <w:t>Негативный</w:t>
            </w:r>
          </w:p>
        </w:tc>
      </w:tr>
      <w:tr w:rsidR="00204469" w:rsidRPr="000322E4" w14:paraId="0E694CC6" w14:textId="77777777" w:rsidTr="006B29A4">
        <w:trPr>
          <w:trHeight w:val="1195"/>
        </w:trPr>
        <w:tc>
          <w:tcPr>
            <w:tcW w:w="1988" w:type="dxa"/>
            <w:vMerge/>
            <w:tcBorders>
              <w:top w:val="single" w:sz="4" w:space="0" w:color="000000"/>
              <w:left w:val="single" w:sz="4" w:space="0" w:color="000000"/>
              <w:bottom w:val="single" w:sz="4" w:space="0" w:color="000000"/>
            </w:tcBorders>
            <w:shd w:val="clear" w:color="auto" w:fill="auto"/>
          </w:tcPr>
          <w:p w14:paraId="5889156F" w14:textId="77777777" w:rsidR="00204469" w:rsidRPr="000322E4" w:rsidRDefault="00204469" w:rsidP="00F414BF">
            <w:pPr>
              <w:widowControl w:val="0"/>
              <w:autoSpaceDE w:val="0"/>
              <w:snapToGrid w:val="0"/>
              <w:spacing w:line="360" w:lineRule="auto"/>
              <w:jc w:val="both"/>
            </w:pPr>
          </w:p>
        </w:tc>
        <w:tc>
          <w:tcPr>
            <w:tcW w:w="1983" w:type="dxa"/>
            <w:tcBorders>
              <w:top w:val="single" w:sz="4" w:space="0" w:color="000000"/>
              <w:left w:val="single" w:sz="4" w:space="0" w:color="000000"/>
              <w:bottom w:val="single" w:sz="4" w:space="0" w:color="000000"/>
            </w:tcBorders>
            <w:shd w:val="clear" w:color="auto" w:fill="auto"/>
          </w:tcPr>
          <w:p w14:paraId="1E082076" w14:textId="77777777" w:rsidR="00204469" w:rsidRPr="000322E4" w:rsidRDefault="00204469" w:rsidP="00CA442F">
            <w:pPr>
              <w:pStyle w:val="TableParagraph"/>
              <w:autoSpaceDE w:val="0"/>
              <w:spacing w:line="360" w:lineRule="auto"/>
              <w:ind w:left="105" w:right="279"/>
              <w:jc w:val="both"/>
              <w:rPr>
                <w:rFonts w:ascii="Times New Roman" w:hAnsi="Times New Roman" w:cs="Times New Roman"/>
                <w:sz w:val="24"/>
                <w:szCs w:val="24"/>
                <w:lang w:val="ru-RU"/>
              </w:rPr>
            </w:pPr>
            <w:r w:rsidRPr="000322E4">
              <w:rPr>
                <w:rFonts w:ascii="Times New Roman" w:hAnsi="Times New Roman" w:cs="Times New Roman"/>
                <w:sz w:val="24"/>
                <w:szCs w:val="24"/>
                <w:lang w:val="ru-RU"/>
              </w:rPr>
              <w:t>Минимальное отклонение от нормы</w:t>
            </w:r>
          </w:p>
        </w:tc>
        <w:tc>
          <w:tcPr>
            <w:tcW w:w="1844" w:type="dxa"/>
            <w:tcBorders>
              <w:top w:val="single" w:sz="4" w:space="0" w:color="000000"/>
              <w:left w:val="single" w:sz="4" w:space="0" w:color="000000"/>
              <w:bottom w:val="single" w:sz="4" w:space="0" w:color="000000"/>
            </w:tcBorders>
            <w:shd w:val="clear" w:color="auto" w:fill="auto"/>
          </w:tcPr>
          <w:p w14:paraId="38D2203D" w14:textId="77777777" w:rsidR="00204469" w:rsidRPr="000322E4" w:rsidRDefault="00204469" w:rsidP="00F414BF">
            <w:pPr>
              <w:pStyle w:val="TableParagraph"/>
              <w:autoSpaceDE w:val="0"/>
              <w:spacing w:line="360" w:lineRule="auto"/>
              <w:jc w:val="both"/>
              <w:rPr>
                <w:rFonts w:ascii="Times New Roman" w:hAnsi="Times New Roman" w:cs="Times New Roman"/>
                <w:sz w:val="24"/>
                <w:szCs w:val="24"/>
                <w:lang w:val="ru-RU"/>
              </w:rPr>
            </w:pPr>
            <w:r w:rsidRPr="000322E4">
              <w:rPr>
                <w:rFonts w:ascii="Times New Roman" w:hAnsi="Times New Roman" w:cs="Times New Roman"/>
                <w:sz w:val="24"/>
                <w:szCs w:val="24"/>
                <w:lang w:val="ru-RU"/>
              </w:rPr>
              <w:t>Любая</w:t>
            </w:r>
          </w:p>
        </w:tc>
        <w:tc>
          <w:tcPr>
            <w:tcW w:w="2324" w:type="dxa"/>
            <w:tcBorders>
              <w:top w:val="single" w:sz="4" w:space="0" w:color="000000"/>
              <w:left w:val="single" w:sz="4" w:space="0" w:color="000000"/>
              <w:bottom w:val="single" w:sz="4" w:space="0" w:color="000000"/>
            </w:tcBorders>
            <w:shd w:val="clear" w:color="auto" w:fill="auto"/>
          </w:tcPr>
          <w:p w14:paraId="702BA809" w14:textId="77777777" w:rsidR="00204469" w:rsidRPr="000322E4" w:rsidRDefault="00204469" w:rsidP="00F414BF">
            <w:pPr>
              <w:pStyle w:val="TableParagraph"/>
              <w:autoSpaceDE w:val="0"/>
              <w:spacing w:line="360" w:lineRule="auto"/>
              <w:ind w:right="768"/>
              <w:jc w:val="both"/>
              <w:rPr>
                <w:rFonts w:ascii="Times New Roman" w:hAnsi="Times New Roman" w:cs="Times New Roman"/>
                <w:sz w:val="24"/>
                <w:szCs w:val="24"/>
                <w:lang w:val="ru-RU"/>
              </w:rPr>
            </w:pPr>
            <w:r w:rsidRPr="000322E4">
              <w:rPr>
                <w:rFonts w:ascii="Times New Roman" w:hAnsi="Times New Roman" w:cs="Times New Roman"/>
                <w:sz w:val="24"/>
                <w:szCs w:val="24"/>
                <w:lang w:val="ru-RU"/>
              </w:rPr>
              <w:t>Небольшие нарушения в пигментном</w:t>
            </w:r>
          </w:p>
          <w:p w14:paraId="55DA6657" w14:textId="77777777" w:rsidR="00204469" w:rsidRPr="000322E4" w:rsidRDefault="00204469" w:rsidP="00F414BF">
            <w:pPr>
              <w:pStyle w:val="TableParagraph"/>
              <w:autoSpaceDE w:val="0"/>
              <w:spacing w:line="360" w:lineRule="auto"/>
              <w:jc w:val="both"/>
              <w:rPr>
                <w:rFonts w:ascii="Times New Roman" w:hAnsi="Times New Roman" w:cs="Times New Roman"/>
                <w:sz w:val="24"/>
                <w:szCs w:val="24"/>
                <w:lang w:val="ru-RU"/>
              </w:rPr>
            </w:pPr>
            <w:r w:rsidRPr="000322E4">
              <w:rPr>
                <w:rFonts w:ascii="Times New Roman" w:hAnsi="Times New Roman" w:cs="Times New Roman"/>
                <w:sz w:val="24"/>
                <w:szCs w:val="24"/>
                <w:lang w:val="ru-RU"/>
              </w:rPr>
              <w:t>эпителии сетчатки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36950839" w14:textId="77777777" w:rsidR="00204469" w:rsidRPr="000322E4" w:rsidRDefault="00204469" w:rsidP="00F414BF">
            <w:pPr>
              <w:pStyle w:val="TableParagraph"/>
              <w:autoSpaceDE w:val="0"/>
              <w:spacing w:line="360" w:lineRule="auto"/>
              <w:ind w:left="91" w:right="113"/>
              <w:jc w:val="both"/>
              <w:rPr>
                <w:rFonts w:ascii="Times New Roman" w:hAnsi="Times New Roman" w:cs="Times New Roman"/>
                <w:sz w:val="24"/>
                <w:szCs w:val="24"/>
                <w:lang w:val="ru-RU"/>
              </w:rPr>
            </w:pPr>
            <w:r w:rsidRPr="000322E4">
              <w:rPr>
                <w:rFonts w:ascii="Times New Roman" w:hAnsi="Times New Roman" w:cs="Times New Roman"/>
                <w:sz w:val="24"/>
                <w:szCs w:val="24"/>
                <w:lang w:val="ru-RU"/>
              </w:rPr>
              <w:t>Негативный</w:t>
            </w:r>
          </w:p>
        </w:tc>
      </w:tr>
      <w:tr w:rsidR="00204469" w:rsidRPr="000322E4" w14:paraId="1A61AFAA" w14:textId="77777777" w:rsidTr="006B29A4">
        <w:trPr>
          <w:trHeight w:val="1497"/>
        </w:trPr>
        <w:tc>
          <w:tcPr>
            <w:tcW w:w="1988" w:type="dxa"/>
            <w:vMerge w:val="restart"/>
            <w:tcBorders>
              <w:top w:val="single" w:sz="4" w:space="0" w:color="000000"/>
              <w:left w:val="single" w:sz="4" w:space="0" w:color="000000"/>
              <w:bottom w:val="single" w:sz="4" w:space="0" w:color="000000"/>
            </w:tcBorders>
            <w:shd w:val="clear" w:color="auto" w:fill="auto"/>
          </w:tcPr>
          <w:p w14:paraId="78B30824" w14:textId="77777777" w:rsidR="00204469" w:rsidRPr="000322E4" w:rsidRDefault="00204469" w:rsidP="00F414BF">
            <w:pPr>
              <w:pStyle w:val="TableParagraph"/>
              <w:autoSpaceDE w:val="0"/>
              <w:spacing w:line="360" w:lineRule="auto"/>
              <w:ind w:right="434"/>
              <w:jc w:val="both"/>
              <w:rPr>
                <w:rFonts w:ascii="Times New Roman" w:hAnsi="Times New Roman" w:cs="Times New Roman"/>
                <w:sz w:val="24"/>
                <w:szCs w:val="24"/>
                <w:lang w:val="ru-RU"/>
              </w:rPr>
            </w:pPr>
            <w:r w:rsidRPr="000322E4">
              <w:rPr>
                <w:rFonts w:ascii="Times New Roman" w:hAnsi="Times New Roman" w:cs="Times New Roman"/>
                <w:w w:val="95"/>
                <w:sz w:val="24"/>
                <w:szCs w:val="24"/>
                <w:lang w:val="ru-RU"/>
              </w:rPr>
              <w:lastRenderedPageBreak/>
              <w:t xml:space="preserve">Частичный </w:t>
            </w:r>
            <w:r w:rsidRPr="000322E4">
              <w:rPr>
                <w:rFonts w:ascii="Times New Roman" w:hAnsi="Times New Roman" w:cs="Times New Roman"/>
                <w:sz w:val="24"/>
                <w:szCs w:val="24"/>
                <w:lang w:val="ru-RU"/>
              </w:rPr>
              <w:t>ответ</w:t>
            </w:r>
          </w:p>
        </w:tc>
        <w:tc>
          <w:tcPr>
            <w:tcW w:w="1983" w:type="dxa"/>
            <w:tcBorders>
              <w:top w:val="single" w:sz="4" w:space="0" w:color="000000"/>
              <w:left w:val="single" w:sz="4" w:space="0" w:color="000000"/>
              <w:bottom w:val="single" w:sz="4" w:space="0" w:color="000000"/>
            </w:tcBorders>
            <w:shd w:val="clear" w:color="auto" w:fill="auto"/>
          </w:tcPr>
          <w:p w14:paraId="074C4079" w14:textId="77777777" w:rsidR="00204469" w:rsidRPr="000322E4" w:rsidRDefault="00204469" w:rsidP="00F414BF">
            <w:pPr>
              <w:pStyle w:val="TableParagraph"/>
              <w:autoSpaceDE w:val="0"/>
              <w:spacing w:line="360" w:lineRule="auto"/>
              <w:ind w:left="105" w:right="416"/>
              <w:jc w:val="both"/>
              <w:rPr>
                <w:rFonts w:ascii="Times New Roman" w:hAnsi="Times New Roman" w:cs="Times New Roman"/>
                <w:sz w:val="24"/>
                <w:szCs w:val="24"/>
                <w:lang w:val="ru-RU"/>
              </w:rPr>
            </w:pPr>
            <w:r w:rsidRPr="000322E4">
              <w:rPr>
                <w:rFonts w:ascii="Times New Roman" w:hAnsi="Times New Roman" w:cs="Times New Roman"/>
                <w:sz w:val="24"/>
                <w:szCs w:val="24"/>
                <w:lang w:val="ru-RU"/>
              </w:rPr>
              <w:t>Уменьшение</w:t>
            </w:r>
            <w:r w:rsidRPr="000322E4">
              <w:rPr>
                <w:rFonts w:ascii="Times New Roman" w:hAnsi="Times New Roman" w:cs="Times New Roman"/>
                <w:w w:val="99"/>
                <w:sz w:val="24"/>
                <w:szCs w:val="24"/>
                <w:lang w:val="ru-RU"/>
              </w:rPr>
              <w:t xml:space="preserve"> </w:t>
            </w:r>
            <w:r w:rsidRPr="000322E4">
              <w:rPr>
                <w:rFonts w:ascii="Times New Roman" w:hAnsi="Times New Roman" w:cs="Times New Roman"/>
                <w:sz w:val="24"/>
                <w:szCs w:val="24"/>
                <w:lang w:val="ru-RU"/>
              </w:rPr>
              <w:t>размеров опухоли на 50%</w:t>
            </w:r>
          </w:p>
        </w:tc>
        <w:tc>
          <w:tcPr>
            <w:tcW w:w="1844" w:type="dxa"/>
            <w:tcBorders>
              <w:top w:val="single" w:sz="4" w:space="0" w:color="000000"/>
              <w:left w:val="single" w:sz="4" w:space="0" w:color="000000"/>
              <w:bottom w:val="single" w:sz="4" w:space="0" w:color="000000"/>
            </w:tcBorders>
            <w:shd w:val="clear" w:color="auto" w:fill="auto"/>
          </w:tcPr>
          <w:p w14:paraId="13520AF2" w14:textId="77777777" w:rsidR="00204469" w:rsidRPr="000322E4" w:rsidRDefault="00204469" w:rsidP="00F414BF">
            <w:pPr>
              <w:pStyle w:val="TableParagraph"/>
              <w:autoSpaceDE w:val="0"/>
              <w:spacing w:line="360" w:lineRule="auto"/>
              <w:ind w:right="687"/>
              <w:jc w:val="both"/>
              <w:rPr>
                <w:rFonts w:ascii="Times New Roman" w:hAnsi="Times New Roman" w:cs="Times New Roman"/>
                <w:sz w:val="24"/>
                <w:szCs w:val="24"/>
                <w:lang w:val="ru-RU"/>
              </w:rPr>
            </w:pPr>
            <w:r w:rsidRPr="000322E4">
              <w:rPr>
                <w:rFonts w:ascii="Times New Roman" w:hAnsi="Times New Roman" w:cs="Times New Roman"/>
                <w:sz w:val="24"/>
                <w:szCs w:val="24"/>
                <w:lang w:val="ru-RU"/>
              </w:rPr>
              <w:t>Не имеет значения</w:t>
            </w:r>
          </w:p>
        </w:tc>
        <w:tc>
          <w:tcPr>
            <w:tcW w:w="2324" w:type="dxa"/>
            <w:tcBorders>
              <w:top w:val="single" w:sz="4" w:space="0" w:color="000000"/>
              <w:left w:val="single" w:sz="4" w:space="0" w:color="000000"/>
              <w:bottom w:val="single" w:sz="4" w:space="0" w:color="000000"/>
            </w:tcBorders>
            <w:shd w:val="clear" w:color="auto" w:fill="auto"/>
          </w:tcPr>
          <w:p w14:paraId="4D7AA71A" w14:textId="77777777" w:rsidR="00204469" w:rsidRPr="000322E4" w:rsidRDefault="00204469" w:rsidP="00F414BF">
            <w:pPr>
              <w:pStyle w:val="TableParagraph"/>
              <w:autoSpaceDE w:val="0"/>
              <w:spacing w:line="360" w:lineRule="auto"/>
              <w:ind w:right="768"/>
              <w:jc w:val="both"/>
              <w:rPr>
                <w:rFonts w:ascii="Times New Roman" w:hAnsi="Times New Roman" w:cs="Times New Roman"/>
                <w:sz w:val="24"/>
                <w:szCs w:val="24"/>
                <w:lang w:val="ru-RU"/>
              </w:rPr>
            </w:pPr>
            <w:r w:rsidRPr="000322E4">
              <w:rPr>
                <w:rFonts w:ascii="Times New Roman" w:hAnsi="Times New Roman" w:cs="Times New Roman"/>
                <w:sz w:val="24"/>
                <w:szCs w:val="24"/>
                <w:lang w:val="ru-RU"/>
              </w:rPr>
              <w:t>Небольшие нарушения в пигментном</w:t>
            </w:r>
          </w:p>
          <w:p w14:paraId="75696B55" w14:textId="77777777" w:rsidR="00204469" w:rsidRPr="000322E4" w:rsidRDefault="00204469" w:rsidP="00F414BF">
            <w:pPr>
              <w:pStyle w:val="TableParagraph"/>
              <w:autoSpaceDE w:val="0"/>
              <w:spacing w:line="360" w:lineRule="auto"/>
              <w:ind w:right="122"/>
              <w:jc w:val="both"/>
              <w:rPr>
                <w:rFonts w:ascii="Times New Roman" w:hAnsi="Times New Roman" w:cs="Times New Roman"/>
                <w:sz w:val="24"/>
                <w:szCs w:val="24"/>
                <w:lang w:val="ru-RU"/>
              </w:rPr>
            </w:pPr>
            <w:r w:rsidRPr="000322E4">
              <w:rPr>
                <w:rFonts w:ascii="Times New Roman" w:hAnsi="Times New Roman" w:cs="Times New Roman"/>
                <w:sz w:val="24"/>
                <w:szCs w:val="24"/>
                <w:lang w:val="ru-RU"/>
              </w:rPr>
              <w:t>эпителии сетчатки или норма</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68478261" w14:textId="77777777" w:rsidR="00204469" w:rsidRPr="000322E4" w:rsidRDefault="00204469" w:rsidP="00F414BF">
            <w:pPr>
              <w:pStyle w:val="TableParagraph"/>
              <w:autoSpaceDE w:val="0"/>
              <w:spacing w:line="360" w:lineRule="auto"/>
              <w:ind w:left="91" w:right="113"/>
              <w:jc w:val="both"/>
              <w:rPr>
                <w:rFonts w:ascii="Times New Roman" w:hAnsi="Times New Roman" w:cs="Times New Roman"/>
                <w:sz w:val="24"/>
                <w:szCs w:val="24"/>
                <w:lang w:val="ru-RU"/>
              </w:rPr>
            </w:pPr>
            <w:r w:rsidRPr="000322E4">
              <w:rPr>
                <w:rFonts w:ascii="Times New Roman" w:hAnsi="Times New Roman" w:cs="Times New Roman"/>
                <w:sz w:val="24"/>
                <w:szCs w:val="24"/>
                <w:lang w:val="ru-RU"/>
              </w:rPr>
              <w:t>Негативный</w:t>
            </w:r>
          </w:p>
        </w:tc>
      </w:tr>
      <w:tr w:rsidR="00204469" w:rsidRPr="000322E4" w14:paraId="03ECEBBD" w14:textId="77777777" w:rsidTr="006B29A4">
        <w:trPr>
          <w:trHeight w:val="1790"/>
        </w:trPr>
        <w:tc>
          <w:tcPr>
            <w:tcW w:w="1988" w:type="dxa"/>
            <w:vMerge/>
            <w:tcBorders>
              <w:top w:val="single" w:sz="4" w:space="0" w:color="000000"/>
              <w:left w:val="single" w:sz="4" w:space="0" w:color="000000"/>
              <w:bottom w:val="single" w:sz="4" w:space="0" w:color="000000"/>
            </w:tcBorders>
            <w:shd w:val="clear" w:color="auto" w:fill="auto"/>
          </w:tcPr>
          <w:p w14:paraId="309CB9DE" w14:textId="77777777" w:rsidR="00204469" w:rsidRPr="000322E4" w:rsidRDefault="00204469" w:rsidP="00F414BF">
            <w:pPr>
              <w:widowControl w:val="0"/>
              <w:autoSpaceDE w:val="0"/>
              <w:snapToGrid w:val="0"/>
              <w:spacing w:line="360" w:lineRule="auto"/>
              <w:jc w:val="both"/>
            </w:pPr>
          </w:p>
        </w:tc>
        <w:tc>
          <w:tcPr>
            <w:tcW w:w="1983" w:type="dxa"/>
            <w:tcBorders>
              <w:top w:val="single" w:sz="4" w:space="0" w:color="000000"/>
              <w:left w:val="single" w:sz="4" w:space="0" w:color="000000"/>
              <w:bottom w:val="single" w:sz="4" w:space="0" w:color="000000"/>
            </w:tcBorders>
            <w:shd w:val="clear" w:color="auto" w:fill="auto"/>
          </w:tcPr>
          <w:p w14:paraId="07933A77" w14:textId="77777777" w:rsidR="00204469" w:rsidRPr="000322E4" w:rsidRDefault="00204469" w:rsidP="00F414BF">
            <w:pPr>
              <w:pStyle w:val="TableParagraph"/>
              <w:autoSpaceDE w:val="0"/>
              <w:spacing w:line="360" w:lineRule="auto"/>
              <w:ind w:left="105" w:right="416"/>
              <w:jc w:val="both"/>
              <w:rPr>
                <w:rFonts w:ascii="Times New Roman" w:hAnsi="Times New Roman" w:cs="Times New Roman"/>
                <w:sz w:val="24"/>
                <w:szCs w:val="24"/>
                <w:lang w:val="ru-RU"/>
              </w:rPr>
            </w:pPr>
            <w:r w:rsidRPr="000322E4">
              <w:rPr>
                <w:rFonts w:ascii="Times New Roman" w:hAnsi="Times New Roman" w:cs="Times New Roman"/>
                <w:sz w:val="24"/>
                <w:szCs w:val="24"/>
                <w:lang w:val="ru-RU"/>
              </w:rPr>
              <w:t>Нет накопления контраста</w:t>
            </w:r>
          </w:p>
        </w:tc>
        <w:tc>
          <w:tcPr>
            <w:tcW w:w="1844" w:type="dxa"/>
            <w:tcBorders>
              <w:top w:val="single" w:sz="4" w:space="0" w:color="000000"/>
              <w:left w:val="single" w:sz="4" w:space="0" w:color="000000"/>
              <w:bottom w:val="single" w:sz="4" w:space="0" w:color="000000"/>
            </w:tcBorders>
            <w:shd w:val="clear" w:color="auto" w:fill="auto"/>
          </w:tcPr>
          <w:p w14:paraId="36369F47" w14:textId="77777777" w:rsidR="00204469" w:rsidRPr="000322E4" w:rsidRDefault="00204469" w:rsidP="00F414BF">
            <w:pPr>
              <w:pStyle w:val="TableParagraph"/>
              <w:autoSpaceDE w:val="0"/>
              <w:spacing w:line="360" w:lineRule="auto"/>
              <w:ind w:right="687"/>
              <w:jc w:val="both"/>
              <w:rPr>
                <w:rFonts w:ascii="Times New Roman" w:hAnsi="Times New Roman" w:cs="Times New Roman"/>
                <w:sz w:val="24"/>
                <w:szCs w:val="24"/>
                <w:lang w:val="ru-RU"/>
              </w:rPr>
            </w:pPr>
            <w:r w:rsidRPr="000322E4">
              <w:rPr>
                <w:rFonts w:ascii="Times New Roman" w:hAnsi="Times New Roman" w:cs="Times New Roman"/>
                <w:sz w:val="24"/>
                <w:szCs w:val="24"/>
                <w:lang w:val="ru-RU"/>
              </w:rPr>
              <w:t>Не имеет значения</w:t>
            </w:r>
          </w:p>
        </w:tc>
        <w:tc>
          <w:tcPr>
            <w:tcW w:w="2324" w:type="dxa"/>
            <w:tcBorders>
              <w:top w:val="single" w:sz="4" w:space="0" w:color="000000"/>
              <w:left w:val="single" w:sz="4" w:space="0" w:color="000000"/>
              <w:bottom w:val="single" w:sz="4" w:space="0" w:color="000000"/>
            </w:tcBorders>
            <w:shd w:val="clear" w:color="auto" w:fill="auto"/>
          </w:tcPr>
          <w:p w14:paraId="68893B89" w14:textId="77777777" w:rsidR="00204469" w:rsidRPr="000322E4" w:rsidRDefault="00204469" w:rsidP="00F414BF">
            <w:pPr>
              <w:pStyle w:val="TableParagraph"/>
              <w:autoSpaceDE w:val="0"/>
              <w:spacing w:line="360" w:lineRule="auto"/>
              <w:ind w:right="752"/>
              <w:jc w:val="both"/>
              <w:rPr>
                <w:rFonts w:ascii="Times New Roman" w:hAnsi="Times New Roman" w:cs="Times New Roman"/>
                <w:sz w:val="24"/>
                <w:szCs w:val="24"/>
                <w:lang w:val="ru-RU"/>
              </w:rPr>
            </w:pPr>
            <w:r w:rsidRPr="000322E4">
              <w:rPr>
                <w:rFonts w:ascii="Times New Roman" w:hAnsi="Times New Roman" w:cs="Times New Roman"/>
                <w:sz w:val="24"/>
                <w:szCs w:val="24"/>
                <w:lang w:val="ru-RU"/>
              </w:rPr>
              <w:t>Уменьшение</w:t>
            </w:r>
            <w:r w:rsidRPr="000322E4">
              <w:rPr>
                <w:rFonts w:ascii="Times New Roman" w:hAnsi="Times New Roman" w:cs="Times New Roman"/>
                <w:w w:val="99"/>
                <w:sz w:val="24"/>
                <w:szCs w:val="24"/>
                <w:lang w:val="ru-RU"/>
              </w:rPr>
              <w:t xml:space="preserve"> </w:t>
            </w:r>
            <w:r w:rsidRPr="000322E4">
              <w:rPr>
                <w:rFonts w:ascii="Times New Roman" w:hAnsi="Times New Roman" w:cs="Times New Roman"/>
                <w:sz w:val="24"/>
                <w:szCs w:val="24"/>
                <w:lang w:val="ru-RU"/>
              </w:rPr>
              <w:t>клеток</w:t>
            </w:r>
            <w:r w:rsidRPr="000322E4">
              <w:rPr>
                <w:rFonts w:ascii="Times New Roman" w:hAnsi="Times New Roman" w:cs="Times New Roman"/>
                <w:spacing w:val="-1"/>
                <w:sz w:val="24"/>
                <w:szCs w:val="24"/>
                <w:lang w:val="ru-RU"/>
              </w:rPr>
              <w:t xml:space="preserve"> </w:t>
            </w:r>
            <w:r w:rsidRPr="000322E4">
              <w:rPr>
                <w:rFonts w:ascii="Times New Roman" w:hAnsi="Times New Roman" w:cs="Times New Roman"/>
                <w:sz w:val="24"/>
                <w:szCs w:val="24"/>
                <w:lang w:val="ru-RU"/>
              </w:rPr>
              <w:t>в</w:t>
            </w:r>
          </w:p>
          <w:p w14:paraId="73BDE151" w14:textId="77777777" w:rsidR="00204469" w:rsidRPr="000322E4" w:rsidRDefault="00204469" w:rsidP="00CA442F">
            <w:pPr>
              <w:pStyle w:val="TableParagraph"/>
              <w:autoSpaceDE w:val="0"/>
              <w:spacing w:line="360" w:lineRule="auto"/>
              <w:ind w:right="105"/>
              <w:jc w:val="both"/>
              <w:rPr>
                <w:rFonts w:ascii="Times New Roman" w:hAnsi="Times New Roman" w:cs="Times New Roman"/>
                <w:sz w:val="24"/>
                <w:szCs w:val="24"/>
                <w:lang w:val="ru-RU"/>
              </w:rPr>
            </w:pPr>
            <w:r w:rsidRPr="000322E4">
              <w:rPr>
                <w:rFonts w:ascii="Times New Roman" w:hAnsi="Times New Roman" w:cs="Times New Roman"/>
                <w:sz w:val="24"/>
                <w:szCs w:val="24"/>
                <w:lang w:val="ru-RU"/>
              </w:rPr>
              <w:t>стекловидном</w:t>
            </w:r>
            <w:r w:rsidRPr="000322E4">
              <w:rPr>
                <w:rFonts w:ascii="Times New Roman" w:hAnsi="Times New Roman" w:cs="Times New Roman"/>
                <w:spacing w:val="-7"/>
                <w:sz w:val="24"/>
                <w:szCs w:val="24"/>
                <w:lang w:val="ru-RU"/>
              </w:rPr>
              <w:t xml:space="preserve"> </w:t>
            </w:r>
            <w:r w:rsidRPr="000322E4">
              <w:rPr>
                <w:rFonts w:ascii="Times New Roman" w:hAnsi="Times New Roman" w:cs="Times New Roman"/>
                <w:sz w:val="24"/>
                <w:szCs w:val="24"/>
                <w:lang w:val="ru-RU"/>
              </w:rPr>
              <w:t>теле или инфильтрации сетчатки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5679C581" w14:textId="77777777" w:rsidR="00204469" w:rsidRPr="000322E4" w:rsidRDefault="00204469" w:rsidP="00F414BF">
            <w:pPr>
              <w:pStyle w:val="TableParagraph"/>
              <w:autoSpaceDE w:val="0"/>
              <w:spacing w:line="360" w:lineRule="auto"/>
              <w:ind w:right="160"/>
              <w:jc w:val="both"/>
              <w:rPr>
                <w:rFonts w:ascii="Times New Roman" w:hAnsi="Times New Roman" w:cs="Times New Roman"/>
                <w:sz w:val="24"/>
                <w:szCs w:val="24"/>
                <w:lang w:val="ru-RU"/>
              </w:rPr>
            </w:pPr>
            <w:r w:rsidRPr="000322E4">
              <w:rPr>
                <w:rFonts w:ascii="Times New Roman" w:hAnsi="Times New Roman" w:cs="Times New Roman"/>
                <w:sz w:val="24"/>
                <w:szCs w:val="24"/>
                <w:lang w:val="ru-RU"/>
              </w:rPr>
              <w:t>Сохраняется патология или подозрение на</w:t>
            </w:r>
          </w:p>
          <w:p w14:paraId="189AC10E" w14:textId="77777777" w:rsidR="00204469" w:rsidRPr="000322E4" w:rsidRDefault="00204469" w:rsidP="00F414BF">
            <w:pPr>
              <w:pStyle w:val="TableParagraph"/>
              <w:autoSpaceDE w:val="0"/>
              <w:spacing w:line="360" w:lineRule="auto"/>
              <w:jc w:val="both"/>
              <w:rPr>
                <w:rFonts w:ascii="Times New Roman" w:hAnsi="Times New Roman" w:cs="Times New Roman"/>
                <w:sz w:val="24"/>
                <w:szCs w:val="24"/>
                <w:lang w:val="ru-RU"/>
              </w:rPr>
            </w:pPr>
            <w:r w:rsidRPr="000322E4">
              <w:rPr>
                <w:rFonts w:ascii="Times New Roman" w:hAnsi="Times New Roman" w:cs="Times New Roman"/>
                <w:sz w:val="24"/>
                <w:szCs w:val="24"/>
                <w:lang w:val="ru-RU"/>
              </w:rPr>
              <w:t>патологию</w:t>
            </w:r>
          </w:p>
        </w:tc>
      </w:tr>
      <w:tr w:rsidR="00204469" w:rsidRPr="000322E4" w14:paraId="751CDD8E" w14:textId="77777777" w:rsidTr="006B29A4">
        <w:trPr>
          <w:trHeight w:val="1199"/>
        </w:trPr>
        <w:tc>
          <w:tcPr>
            <w:tcW w:w="1988" w:type="dxa"/>
            <w:tcBorders>
              <w:top w:val="single" w:sz="4" w:space="0" w:color="000000"/>
              <w:left w:val="single" w:sz="4" w:space="0" w:color="000000"/>
              <w:bottom w:val="single" w:sz="4" w:space="0" w:color="000000"/>
            </w:tcBorders>
            <w:shd w:val="clear" w:color="auto" w:fill="auto"/>
          </w:tcPr>
          <w:p w14:paraId="331C673C" w14:textId="77777777" w:rsidR="00204469" w:rsidRPr="000322E4" w:rsidRDefault="00204469" w:rsidP="00F414BF">
            <w:pPr>
              <w:pStyle w:val="TableParagraph"/>
              <w:autoSpaceDE w:val="0"/>
              <w:spacing w:line="360" w:lineRule="auto"/>
              <w:jc w:val="both"/>
              <w:rPr>
                <w:rFonts w:ascii="Times New Roman" w:hAnsi="Times New Roman" w:cs="Times New Roman"/>
                <w:sz w:val="24"/>
                <w:szCs w:val="24"/>
                <w:lang w:val="ru-RU"/>
              </w:rPr>
            </w:pPr>
            <w:r w:rsidRPr="000322E4">
              <w:rPr>
                <w:rFonts w:ascii="Times New Roman" w:hAnsi="Times New Roman" w:cs="Times New Roman"/>
                <w:sz w:val="24"/>
                <w:szCs w:val="24"/>
                <w:lang w:val="ru-RU"/>
              </w:rPr>
              <w:t>Прогрессирова ние</w:t>
            </w:r>
          </w:p>
          <w:p w14:paraId="63B13DC4" w14:textId="77777777" w:rsidR="00204469" w:rsidRPr="000322E4" w:rsidRDefault="00204469" w:rsidP="00F414BF">
            <w:pPr>
              <w:pStyle w:val="TableParagraph"/>
              <w:autoSpaceDE w:val="0"/>
              <w:spacing w:line="360" w:lineRule="auto"/>
              <w:jc w:val="both"/>
              <w:rPr>
                <w:rFonts w:ascii="Times New Roman" w:hAnsi="Times New Roman" w:cs="Times New Roman"/>
                <w:sz w:val="24"/>
                <w:szCs w:val="24"/>
                <w:lang w:val="ru-RU"/>
              </w:rPr>
            </w:pPr>
            <w:r w:rsidRPr="000322E4">
              <w:rPr>
                <w:rFonts w:ascii="Times New Roman" w:hAnsi="Times New Roman" w:cs="Times New Roman"/>
                <w:sz w:val="24"/>
                <w:szCs w:val="24"/>
                <w:lang w:val="ru-RU"/>
              </w:rPr>
              <w:t>заболевания</w:t>
            </w:r>
          </w:p>
        </w:tc>
        <w:tc>
          <w:tcPr>
            <w:tcW w:w="1983" w:type="dxa"/>
            <w:tcBorders>
              <w:top w:val="single" w:sz="4" w:space="0" w:color="000000"/>
              <w:left w:val="single" w:sz="4" w:space="0" w:color="000000"/>
              <w:bottom w:val="single" w:sz="4" w:space="0" w:color="000000"/>
            </w:tcBorders>
            <w:shd w:val="clear" w:color="auto" w:fill="auto"/>
          </w:tcPr>
          <w:p w14:paraId="219B614C" w14:textId="77777777" w:rsidR="00204469" w:rsidRPr="000322E4" w:rsidRDefault="006B29A4" w:rsidP="00F414BF">
            <w:pPr>
              <w:pStyle w:val="TableParagraph"/>
              <w:autoSpaceDE w:val="0"/>
              <w:spacing w:line="360" w:lineRule="auto"/>
              <w:ind w:right="416"/>
              <w:jc w:val="both"/>
              <w:rPr>
                <w:rFonts w:ascii="Times New Roman" w:hAnsi="Times New Roman" w:cs="Times New Roman"/>
                <w:sz w:val="24"/>
                <w:szCs w:val="24"/>
                <w:lang w:val="ru-RU"/>
              </w:rPr>
            </w:pPr>
            <w:r w:rsidRPr="000322E4">
              <w:rPr>
                <w:rFonts w:ascii="Times New Roman" w:hAnsi="Times New Roman" w:cs="Times New Roman"/>
                <w:sz w:val="24"/>
                <w:szCs w:val="24"/>
                <w:lang w:val="ru-RU"/>
              </w:rPr>
              <w:t>Увеличение р</w:t>
            </w:r>
            <w:r w:rsidR="00204469" w:rsidRPr="000322E4">
              <w:rPr>
                <w:rFonts w:ascii="Times New Roman" w:hAnsi="Times New Roman" w:cs="Times New Roman"/>
                <w:sz w:val="24"/>
                <w:szCs w:val="24"/>
                <w:lang w:val="ru-RU"/>
              </w:rPr>
              <w:t>азмеров опухоли на 25%</w:t>
            </w:r>
          </w:p>
          <w:p w14:paraId="60F052F6" w14:textId="77777777" w:rsidR="00204469" w:rsidRPr="000322E4" w:rsidRDefault="00204469" w:rsidP="00F414BF">
            <w:pPr>
              <w:pStyle w:val="TableParagraph"/>
              <w:autoSpaceDE w:val="0"/>
              <w:spacing w:line="360" w:lineRule="auto"/>
              <w:ind w:left="105" w:right="416"/>
              <w:jc w:val="both"/>
              <w:rPr>
                <w:rFonts w:ascii="Times New Roman" w:hAnsi="Times New Roman" w:cs="Times New Roman"/>
                <w:sz w:val="24"/>
                <w:szCs w:val="24"/>
                <w:lang w:val="ru-RU"/>
              </w:rPr>
            </w:pPr>
            <w:r w:rsidRPr="000322E4">
              <w:rPr>
                <w:rFonts w:ascii="Times New Roman" w:hAnsi="Times New Roman" w:cs="Times New Roman"/>
                <w:sz w:val="24"/>
                <w:szCs w:val="24"/>
                <w:lang w:val="ru-RU"/>
              </w:rPr>
              <w:t>Новые очаги заболевания (ЦНС или другие лок.)</w:t>
            </w:r>
          </w:p>
        </w:tc>
        <w:tc>
          <w:tcPr>
            <w:tcW w:w="1844" w:type="dxa"/>
            <w:tcBorders>
              <w:top w:val="single" w:sz="4" w:space="0" w:color="000000"/>
              <w:left w:val="single" w:sz="4" w:space="0" w:color="000000"/>
              <w:bottom w:val="single" w:sz="4" w:space="0" w:color="000000"/>
            </w:tcBorders>
            <w:shd w:val="clear" w:color="auto" w:fill="auto"/>
          </w:tcPr>
          <w:p w14:paraId="7EAB839A" w14:textId="77777777" w:rsidR="00204469" w:rsidRPr="000322E4" w:rsidRDefault="00204469" w:rsidP="00F414BF">
            <w:pPr>
              <w:pStyle w:val="TableParagraph"/>
              <w:autoSpaceDE w:val="0"/>
              <w:spacing w:line="360" w:lineRule="auto"/>
              <w:ind w:right="687"/>
              <w:jc w:val="both"/>
              <w:rPr>
                <w:rFonts w:ascii="Times New Roman" w:hAnsi="Times New Roman" w:cs="Times New Roman"/>
                <w:sz w:val="24"/>
                <w:szCs w:val="24"/>
                <w:lang w:val="ru-RU"/>
              </w:rPr>
            </w:pPr>
            <w:r w:rsidRPr="000322E4">
              <w:rPr>
                <w:rFonts w:ascii="Times New Roman" w:hAnsi="Times New Roman" w:cs="Times New Roman"/>
                <w:sz w:val="24"/>
                <w:szCs w:val="24"/>
                <w:lang w:val="ru-RU"/>
              </w:rPr>
              <w:t>Не имеет значения</w:t>
            </w:r>
          </w:p>
        </w:tc>
        <w:tc>
          <w:tcPr>
            <w:tcW w:w="2324" w:type="dxa"/>
            <w:tcBorders>
              <w:top w:val="single" w:sz="4" w:space="0" w:color="000000"/>
              <w:left w:val="single" w:sz="4" w:space="0" w:color="000000"/>
              <w:bottom w:val="single" w:sz="4" w:space="0" w:color="000000"/>
            </w:tcBorders>
            <w:shd w:val="clear" w:color="auto" w:fill="auto"/>
          </w:tcPr>
          <w:p w14:paraId="14E49BCA" w14:textId="77777777" w:rsidR="00204469" w:rsidRPr="000322E4" w:rsidRDefault="00204469" w:rsidP="00F414BF">
            <w:pPr>
              <w:pStyle w:val="TableParagraph"/>
              <w:autoSpaceDE w:val="0"/>
              <w:spacing w:line="360" w:lineRule="auto"/>
              <w:ind w:right="76"/>
              <w:jc w:val="both"/>
              <w:rPr>
                <w:rFonts w:ascii="Times New Roman" w:hAnsi="Times New Roman" w:cs="Times New Roman"/>
                <w:sz w:val="24"/>
                <w:szCs w:val="24"/>
                <w:lang w:val="ru-RU"/>
              </w:rPr>
            </w:pPr>
            <w:r w:rsidRPr="000322E4">
              <w:rPr>
                <w:rFonts w:ascii="Times New Roman" w:hAnsi="Times New Roman" w:cs="Times New Roman"/>
                <w:sz w:val="24"/>
                <w:szCs w:val="24"/>
                <w:lang w:val="ru-RU"/>
              </w:rPr>
              <w:t>Рецидив или новое поражение глаз</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21395D24" w14:textId="77777777" w:rsidR="00204469" w:rsidRPr="000322E4" w:rsidRDefault="00204469" w:rsidP="00F414BF">
            <w:pPr>
              <w:pStyle w:val="TableParagraph"/>
              <w:autoSpaceDE w:val="0"/>
              <w:spacing w:line="360" w:lineRule="auto"/>
              <w:ind w:right="167"/>
              <w:jc w:val="both"/>
              <w:rPr>
                <w:rFonts w:ascii="Times New Roman" w:hAnsi="Times New Roman" w:cs="Times New Roman"/>
                <w:w w:val="95"/>
                <w:sz w:val="24"/>
                <w:szCs w:val="24"/>
                <w:lang w:val="ru-RU"/>
              </w:rPr>
            </w:pPr>
            <w:r w:rsidRPr="000322E4">
              <w:rPr>
                <w:rFonts w:ascii="Times New Roman" w:hAnsi="Times New Roman" w:cs="Times New Roman"/>
                <w:sz w:val="24"/>
                <w:szCs w:val="24"/>
                <w:lang w:val="ru-RU"/>
              </w:rPr>
              <w:t>Рецидив или появление принаков</w:t>
            </w:r>
            <w:r w:rsidR="006B29A4" w:rsidRPr="000322E4">
              <w:rPr>
                <w:rFonts w:ascii="Times New Roman" w:hAnsi="Times New Roman" w:cs="Times New Roman"/>
                <w:sz w:val="24"/>
                <w:szCs w:val="24"/>
                <w:lang w:val="ru-RU"/>
              </w:rPr>
              <w:t xml:space="preserve"> поражения</w:t>
            </w:r>
          </w:p>
          <w:p w14:paraId="30B6EFDE" w14:textId="77777777" w:rsidR="00204469" w:rsidRPr="000322E4" w:rsidRDefault="00204469" w:rsidP="00F414BF">
            <w:pPr>
              <w:pStyle w:val="TableParagraph"/>
              <w:autoSpaceDE w:val="0"/>
              <w:spacing w:line="360" w:lineRule="auto"/>
              <w:ind w:right="167"/>
              <w:jc w:val="both"/>
              <w:rPr>
                <w:rFonts w:ascii="Times New Roman" w:hAnsi="Times New Roman" w:cs="Times New Roman"/>
                <w:sz w:val="24"/>
                <w:szCs w:val="24"/>
                <w:lang w:val="ru-RU"/>
              </w:rPr>
            </w:pPr>
          </w:p>
        </w:tc>
      </w:tr>
    </w:tbl>
    <w:p w14:paraId="6F6C7C7B" w14:textId="46C35EA0" w:rsidR="00204469" w:rsidRDefault="00204469" w:rsidP="00F414BF">
      <w:pPr>
        <w:pStyle w:val="a3"/>
        <w:spacing w:after="0" w:line="360" w:lineRule="auto"/>
        <w:rPr>
          <w:iCs/>
          <w:szCs w:val="24"/>
        </w:rPr>
      </w:pPr>
      <w:r w:rsidRPr="000322E4">
        <w:rPr>
          <w:iCs/>
          <w:szCs w:val="24"/>
        </w:rPr>
        <w:t>Следует отметить, что на момент установления полного ответа пациент не должен принимать какие-либо</w:t>
      </w:r>
      <w:r w:rsidR="005C347F">
        <w:rPr>
          <w:iCs/>
          <w:szCs w:val="24"/>
        </w:rPr>
        <w:t xml:space="preserve"> кортикостероиды для системного применения</w:t>
      </w:r>
      <w:r w:rsidRPr="000322E4">
        <w:rPr>
          <w:iCs/>
          <w:szCs w:val="24"/>
        </w:rPr>
        <w:t xml:space="preserve"> в течение двух недель. Редкие исключения возможны в случае</w:t>
      </w:r>
      <w:r w:rsidR="006B29A4" w:rsidRPr="000322E4">
        <w:rPr>
          <w:iCs/>
          <w:szCs w:val="24"/>
        </w:rPr>
        <w:t>,</w:t>
      </w:r>
      <w:r w:rsidRPr="000322E4">
        <w:rPr>
          <w:iCs/>
          <w:szCs w:val="24"/>
        </w:rPr>
        <w:t xml:space="preserve"> если пациент получает</w:t>
      </w:r>
      <w:r w:rsidR="005C347F">
        <w:rPr>
          <w:iCs/>
          <w:szCs w:val="24"/>
        </w:rPr>
        <w:t xml:space="preserve"> кортикостероиды для системного применения</w:t>
      </w:r>
      <w:r w:rsidRPr="000322E4">
        <w:rPr>
          <w:iCs/>
          <w:szCs w:val="24"/>
        </w:rPr>
        <w:t xml:space="preserve"> в связи с другим заболеванием (например, пангипопитуитаризм). Повторное офтальмологическое обследование не требуется у пациентов без признаков окулярной лимфомы исходно или без развития окулярных симптомов в последующий период. Пациентам без значительных патологических изменений состава цереброспинальной жидкости в исходном периоде не требуется проведение анализа цереброспинальной жидкости повторно при условии отсутствия отсроченных симптомов лептоменингиальной</w:t>
      </w:r>
      <w:r w:rsidRPr="000322E4">
        <w:rPr>
          <w:iCs/>
          <w:spacing w:val="-13"/>
          <w:szCs w:val="24"/>
        </w:rPr>
        <w:t xml:space="preserve"> </w:t>
      </w:r>
      <w:r w:rsidRPr="000322E4">
        <w:rPr>
          <w:iCs/>
          <w:szCs w:val="24"/>
        </w:rPr>
        <w:t>диссеминации.</w:t>
      </w:r>
    </w:p>
    <w:p w14:paraId="5011FC5C" w14:textId="77777777" w:rsidR="000009BA" w:rsidRPr="000322E4" w:rsidRDefault="000009BA" w:rsidP="00F414BF">
      <w:pPr>
        <w:pStyle w:val="a3"/>
        <w:spacing w:after="0" w:line="360" w:lineRule="auto"/>
        <w:rPr>
          <w:iCs/>
          <w:szCs w:val="24"/>
        </w:rPr>
      </w:pPr>
    </w:p>
    <w:p w14:paraId="2FF06A1A" w14:textId="77777777" w:rsidR="005E0767" w:rsidRPr="000322E4" w:rsidRDefault="005E0767" w:rsidP="00F414BF">
      <w:pPr>
        <w:pStyle w:val="2"/>
        <w:spacing w:before="0"/>
      </w:pPr>
      <w:bookmarkStart w:id="62" w:name="_Toc96601260"/>
      <w:r w:rsidRPr="000322E4">
        <w:t xml:space="preserve">7.7 Лучевая терапия при </w:t>
      </w:r>
      <w:r w:rsidR="00D41707" w:rsidRPr="000322E4">
        <w:t>ДВКЛ</w:t>
      </w:r>
      <w:bookmarkEnd w:id="62"/>
    </w:p>
    <w:p w14:paraId="3523452E" w14:textId="77777777" w:rsidR="00D41707" w:rsidRPr="000322E4" w:rsidRDefault="00D41707" w:rsidP="00471424">
      <w:pPr>
        <w:spacing w:line="360" w:lineRule="auto"/>
        <w:ind w:firstLine="709"/>
        <w:jc w:val="both"/>
        <w:rPr>
          <w:iCs/>
        </w:rPr>
      </w:pPr>
      <w:r w:rsidRPr="000322E4">
        <w:rPr>
          <w:iCs/>
        </w:rPr>
        <w:t xml:space="preserve">Лучевая терапия у первичных </w:t>
      </w:r>
      <w:r w:rsidR="00103620" w:rsidRPr="000322E4">
        <w:rPr>
          <w:iCs/>
        </w:rPr>
        <w:t xml:space="preserve">пациентов с </w:t>
      </w:r>
      <w:r w:rsidRPr="000322E4">
        <w:rPr>
          <w:iCs/>
        </w:rPr>
        <w:t xml:space="preserve">ДВККЛ является, как правило, компонентом комбинированного иммуно-химиолучевого лечения, используется с целью консолидации ремиссии, достигнутой в результате проведения лекарственной терапии. Параметры лучевой терапии определяются в зависимости от первичной </w:t>
      </w:r>
      <w:r w:rsidRPr="000322E4">
        <w:rPr>
          <w:iCs/>
        </w:rPr>
        <w:lastRenderedPageBreak/>
        <w:t>распространенности процесса – поражения лимфатических узлов, вовлечения и локализации экстранодальных очагов, объема остаточной опухоли.  Объем облучения ограничен чаще всего исходно визуализируемыми лимфатическими узлами и экстранодальными очагами (</w:t>
      </w:r>
      <w:r w:rsidRPr="000322E4">
        <w:rPr>
          <w:b/>
          <w:iCs/>
          <w:lang w:val="en-US"/>
        </w:rPr>
        <w:t>involved</w:t>
      </w:r>
      <w:r w:rsidRPr="000322E4">
        <w:rPr>
          <w:b/>
          <w:iCs/>
        </w:rPr>
        <w:t xml:space="preserve"> </w:t>
      </w:r>
      <w:r w:rsidRPr="000322E4">
        <w:rPr>
          <w:b/>
          <w:iCs/>
          <w:lang w:val="en-US"/>
        </w:rPr>
        <w:t>sites</w:t>
      </w:r>
      <w:r w:rsidRPr="000322E4">
        <w:rPr>
          <w:iCs/>
        </w:rPr>
        <w:t>). Определение исходных очагов поражения должно осуществляться с использованием контрастируемой компьютерной томографии, позитронно-эмиссионной томографии. Данные исследования должны проводиться и после завершения медикаментозного лечения для определения объема и СОД предстоящего облучения. Используемая в настоящее время технология планирования (3Д, 4Д) позволяет более точно определять границы опухоли и, соответственно, уменьшать размеры полей облучения.</w:t>
      </w:r>
    </w:p>
    <w:p w14:paraId="2521D878" w14:textId="77777777" w:rsidR="00D41707" w:rsidRPr="000322E4" w:rsidRDefault="00D41707" w:rsidP="00471424">
      <w:pPr>
        <w:spacing w:line="360" w:lineRule="auto"/>
        <w:ind w:firstLine="709"/>
        <w:jc w:val="both"/>
        <w:rPr>
          <w:iCs/>
        </w:rPr>
      </w:pPr>
      <w:r w:rsidRPr="000322E4">
        <w:rPr>
          <w:iCs/>
        </w:rPr>
        <w:t xml:space="preserve">При ДВКЛ </w:t>
      </w:r>
      <w:r w:rsidRPr="000322E4">
        <w:rPr>
          <w:iCs/>
          <w:lang w:val="en-US"/>
        </w:rPr>
        <w:t>I</w:t>
      </w:r>
      <w:r w:rsidRPr="000322E4">
        <w:rPr>
          <w:iCs/>
        </w:rPr>
        <w:t xml:space="preserve">, </w:t>
      </w:r>
      <w:r w:rsidRPr="000322E4">
        <w:rPr>
          <w:iCs/>
          <w:lang w:val="en-US"/>
        </w:rPr>
        <w:t>II</w:t>
      </w:r>
      <w:r w:rsidRPr="000322E4">
        <w:rPr>
          <w:iCs/>
        </w:rPr>
        <w:t xml:space="preserve">, </w:t>
      </w:r>
      <w:r w:rsidRPr="000322E4">
        <w:rPr>
          <w:iCs/>
          <w:lang w:val="en-US"/>
        </w:rPr>
        <w:t>III</w:t>
      </w:r>
      <w:r w:rsidRPr="000322E4">
        <w:rPr>
          <w:iCs/>
        </w:rPr>
        <w:t xml:space="preserve"> </w:t>
      </w:r>
      <w:r w:rsidRPr="000322E4">
        <w:rPr>
          <w:iCs/>
          <w:lang w:val="en-US"/>
        </w:rPr>
        <w:t>c</w:t>
      </w:r>
      <w:r w:rsidRPr="000322E4">
        <w:rPr>
          <w:iCs/>
        </w:rPr>
        <w:t>тадий, когда поражение ограничено лимфатическими узлами, а лучевая терапия используется для консолидации ремиссии, целесообразно применение объема облучения вовлеченных мест (</w:t>
      </w:r>
      <w:r w:rsidRPr="000322E4">
        <w:rPr>
          <w:b/>
          <w:iCs/>
          <w:lang w:val="en-US"/>
        </w:rPr>
        <w:t>ISRT</w:t>
      </w:r>
      <w:r w:rsidRPr="000322E4">
        <w:rPr>
          <w:iCs/>
        </w:rPr>
        <w:t xml:space="preserve">). При отсутствии полной регрессии опухоли может быть использовано дополнительно локальное облучение (“буст”). При планировании облучения медицинским физиком должны быть рассчитаны </w:t>
      </w:r>
      <w:r w:rsidRPr="000322E4">
        <w:rPr>
          <w:b/>
          <w:iCs/>
        </w:rPr>
        <w:t xml:space="preserve">гистограмма "доза-объем" </w:t>
      </w:r>
      <w:r w:rsidRPr="000322E4">
        <w:rPr>
          <w:iCs/>
        </w:rPr>
        <w:t>и вероятность осложнений со стороны нормальных тканей, которые должны быть учтены радиотерапевтом при принятии окончательного плана облучения.</w:t>
      </w:r>
    </w:p>
    <w:p w14:paraId="1E7A3682" w14:textId="77777777" w:rsidR="00D41707" w:rsidRPr="000322E4" w:rsidRDefault="00D41707" w:rsidP="00471424">
      <w:pPr>
        <w:spacing w:line="360" w:lineRule="auto"/>
        <w:ind w:firstLine="709"/>
        <w:jc w:val="both"/>
      </w:pPr>
      <w:r w:rsidRPr="000322E4">
        <w:rPr>
          <w:iCs/>
        </w:rPr>
        <w:t xml:space="preserve">Дистанционную лучевую терапию целесообразно осуществлять на линейном ускорителе электронов. </w:t>
      </w:r>
      <w:r w:rsidRPr="000322E4">
        <w:rPr>
          <w:b/>
          <w:iCs/>
        </w:rPr>
        <w:t>Режим облучения</w:t>
      </w:r>
      <w:r w:rsidRPr="000322E4">
        <w:rPr>
          <w:iCs/>
        </w:rPr>
        <w:t xml:space="preserve"> - традиционный, один раз в день, 5 раз в неделю. Разовая очаговая доза – 1,8-2,0 Гр. Суммарная очаговая доза, как правило, 30 Гр.</w:t>
      </w:r>
    </w:p>
    <w:p w14:paraId="5189D492" w14:textId="5D0B4643" w:rsidR="00D41707" w:rsidRDefault="00D41707" w:rsidP="00471424">
      <w:pPr>
        <w:pStyle w:val="afd"/>
        <w:rPr>
          <w:rFonts w:eastAsiaTheme="minorHAnsi" w:cstheme="minorBidi"/>
          <w:iCs/>
          <w:lang w:eastAsia="en-US"/>
        </w:rPr>
      </w:pPr>
      <w:r w:rsidRPr="000322E4">
        <w:rPr>
          <w:rFonts w:eastAsiaTheme="minorHAnsi" w:cstheme="minorBidi"/>
          <w:iCs/>
          <w:lang w:eastAsia="en-US"/>
        </w:rPr>
        <w:t>Лучевую терапию следует начинать через 2-4 недели после завершения иммунохимио- или химиотерапии.</w:t>
      </w:r>
    </w:p>
    <w:p w14:paraId="461622AA" w14:textId="335AA75C" w:rsidR="000009BA" w:rsidRPr="000009BA" w:rsidRDefault="000009BA" w:rsidP="000009BA">
      <w:pPr>
        <w:pStyle w:val="2"/>
      </w:pPr>
      <w:bookmarkStart w:id="63" w:name="_Toc96601261"/>
      <w:bookmarkStart w:id="64" w:name="_Toc85649739"/>
      <w:r w:rsidRPr="000009BA">
        <w:t>7.</w:t>
      </w:r>
      <w:r>
        <w:t>8</w:t>
      </w:r>
      <w:r w:rsidRPr="000009BA">
        <w:t xml:space="preserve">. Инфузионная терапия у пациентов </w:t>
      </w:r>
      <w:r w:rsidR="00CE6A32">
        <w:t>с агрессивными лимфомами</w:t>
      </w:r>
      <w:bookmarkEnd w:id="63"/>
      <w:r w:rsidRPr="000009BA">
        <w:t xml:space="preserve"> </w:t>
      </w:r>
      <w:bookmarkEnd w:id="64"/>
    </w:p>
    <w:p w14:paraId="18A2BD6F" w14:textId="77777777" w:rsidR="000009BA" w:rsidRPr="000009BA" w:rsidRDefault="000009BA" w:rsidP="000009BA">
      <w:pPr>
        <w:pStyle w:val="afd"/>
        <w:rPr>
          <w:b/>
          <w:bCs/>
        </w:rPr>
      </w:pPr>
      <w:r w:rsidRPr="000009BA">
        <w:rPr>
          <w:b/>
          <w:bCs/>
        </w:rPr>
        <w:t>Виды инфузионных растворов</w:t>
      </w:r>
    </w:p>
    <w:p w14:paraId="364A1115" w14:textId="77777777" w:rsidR="000009BA" w:rsidRPr="000009BA" w:rsidRDefault="000009BA" w:rsidP="000009BA">
      <w:pPr>
        <w:pStyle w:val="afd"/>
      </w:pPr>
      <w:r w:rsidRPr="000009BA">
        <w:t xml:space="preserve">Кристаллоиды и коллоиды – два основных типа растворов, которые используются для ИТ в медицине. Кристаллоиды (АТХ B05BB – растворы, влияющие на водно-электролитный баланс) – это растворы солей и глюкозы, которые могут легко премещаться за пределы сосудистого русла посредством диффузии в отличие от коллоидов, представляющие собой растворы крупных молекул (гидроксиэтилкрахмала** (ГЭК), альбумина человека**), благодаря которым после инфузии преимущественно остаются в русле и увеличивают коллоидно-осмотическое давление, тем самым удерживая жидкость в просвете сосуда. Однако коллоидные </w:t>
      </w:r>
      <w:r w:rsidRPr="000009BA">
        <w:lastRenderedPageBreak/>
        <w:t>растворы (АТХ В05АА – кровезаменители и препараты плазмы крови, в частности растворы ГЭК** первого и второго поколения) обладают более широким спектром побочных эффектов: нефротоксичность, способность вызывать гипокоагуляцию. Поэтому высокая способность удерживать жидкость в сосудистом русле в сочетании с потенциальной опасностью у коллоидов против низкой коллоидно-осмотической способности и относительной безопасности кристаллоидов являются предметом спора в выборе наилучшего типа раствора для инфузии. Но коллоиды и кристаллоиды не являются взаимоисключающими растворами, а используются в различных клинических ситуациях. Преимущественно для поддерживающей ИТ и при коррекции дегидратации в результате потери жидкости с перспирацией, лихорадкой, диареей, когда обезвоживаются все жидкостные пространства организма (сосудистое русло, интерстиций, внутриклеточная жидкость) используют сбалансированные кристаллоидные растворы. В экстренных ситуациях, например при массивном кровотечении (гиповолемия), когда требуется быстрое восполнение объема циркулирующей крови для поддержания гемодинамики и, соответственно, доставки кислорода тканям, используют комбинацию коллоидных и кристаллоидных растворов.</w:t>
      </w:r>
    </w:p>
    <w:p w14:paraId="527E3097" w14:textId="092B770B" w:rsidR="000009BA" w:rsidRPr="000009BA" w:rsidRDefault="000009BA" w:rsidP="000009BA">
      <w:pPr>
        <w:pStyle w:val="afd"/>
      </w:pPr>
      <w:r w:rsidRPr="000009BA">
        <w:t xml:space="preserve">Изотонический 0,9% раствор натрия хлорида** (0,9% NaCl), который исторически принято было называть физиологическим, таковым не является. Это связано с его высокой концентрацией ионов натрия 154 ммоль/л и хлорида 154 ммоль/л, что выше, чем в плазме здорового человека (см. таб. 1), и с отсутствием буфера. Поэтому инфузия изотонического раствора хлорида натрия может привести к гиперхлоремическому метаболическому ацидозу с развитием хлорид-индуцированного спазма почечных капилляров с последующей острой почечной недостаточностью </w:t>
      </w:r>
      <w:r w:rsidRPr="000009BA">
        <w:fldChar w:fldCharType="begin" w:fldLock="1"/>
      </w:r>
      <w:r w:rsidR="00A6794A">
        <w:instrText>ADDIN CSL_CITATION {"citationItems":[{"id":"ITEM-1","itemData":{"DOI":"10.1001/jama.2017.21907","ISSN":"15383598","PMID":"29466596","abstract":"IMPORTANCE Acute respiratory distress syndrome (ARDS) is a life-Threatening form of respiratory failure that affects approximately 200 000 patients each year in the United States, resulting in nearly 75 000 deaths annually. Globally, ARDS accounts for 10% of intensive care unit admissions, representing more than 3 million patients with ARDS annually. OBJECTIVE To review advances in diagnosis and treatment of ARDS over the last 5 years. EVIDENCE REVIEW We searched MEDLINE, EMBASE, and the Cochrane Database of Systematic Reviews from 2012 to 2017 focusing on randomized clinical trials, meta-Analyses, systematic reviews, and clinical practice guidelines. Articles were identified for full text review with manual review of bibliographies generating additional references. FINDINGS After screening 1662 citations, 31 articles detailing major advances in the diagnosis or treatment of ARDS were selected. The Berlin definition proposed 3 categories of ARDS based on the severity of hypoxemia: mild (200mmHg&lt;PaO2/FIO2≤300mmHg), moderate (100mmHg&lt;PaO2/FIO2≤200mmHg), and severe (PaO2/FIO2≤100mmHg), along with explicit criteria related to timing of the syndrome's onset, origin of edema, and the chest radiograph findings. The Berlin definition has significantly greater predictive validity for mortality than the prior American-European Consensus Conference definition. Clinician interpretation of the origin of edema and chest radiograph criteria may be less reliable in making a diagnosis of ARDS. The cornerstone of management remains mechanical ventilation, with a goal to minimize ventilator-induced lung injury (VILI). Aspirin was not effective in preventing ARDS in patients at high-risk for the syndrome. Adjunctive interventions to further minimize VILI, such as prone positioning in patients with a PaO2/FIO2 ratio less than 150mmHg, were associated with a significant mortality benefit whereas others (eg, extracorporeal carbon dioxide removal) remain experimental. Pharmacologic therapies such as β2 agonists, statins, and keratinocyte growth factor, which targeted pathophysiologic alterations in ARDS, were not beneficial and demonstrated possible harm. Recent guidelines on mechanical ventilation in ARDS provide evidence-based recommendations related to 6 interventions, including low tidal volume and inspiratory pressure ventilation, prone positioning, high-frequency oscillatory ventilation, higher vs lower positive end-expiratory pressure, lung recruitment maneuvers, and ex…","author":[{"dropping-particle":"","family":"Fan","given":"Eddy","non-dropping-particle":"","parse-names":false,"suffix":""},{"dropping-particle":"","family":"Brodie","given":"Daniel","non-dropping-particle":"","parse-names":false,"suffix":""},{"dropping-particle":"","family":"Slutsky","given":"Arthur S.","non-dropping-particle":"","parse-names":false,"suffix":""}],"container-title":"JAMA - Journal of the American Medical Association","id":"ITEM-1","issue":"7","issued":{"date-parts":[["2018","2","20"]]},"page":"698-710","publisher":"American Medical Association","title":"Acute respiratory distress syndrome advances in diagnosis and treatment","type":"article","volume":"319"},"uris":["http://www.mendeley.com/documents/?uuid=c3c92f44-5bc7-32ea-a9a5-e5f8c7f0dda2"]},{"id":"ITEM-2","itemData":{"DOI":"10.1001/jama.2015.12334","ISSN":"15383598","abstract":"IMPORTANCE: Saline (0.9% sodium chloride) is the most commonly administered intravenous fluid; however, its use may be associated with acute kidney injury (AKI) and increased mortality. OBJECTIVE: To determine the effect of a buffered crystalloid compared with saline on renal complications in patients admitted to the intensive care unit (ICU). DESIGN AND SETTING: Double-blind, cluster randomized, double-crossover trial conducted in 4 ICUs in New Zealand from April 2014 through October 2014. Three ICUs were general medical and surgical ICUs; 1ICU had a predominance of cardiothoracic and vascular surgical patients. PARTICIPANTS: All patients admitted to the ICU requiring crystalloid fluid therapy were eligible for inclusion. Patients with established AKI requiring renal replacement therapy (RRT) were excluded. All 2278 eligible patients were enrolled; 1152 of 1162 patients (99.1%) receiving buffered crystalloid and 1110 of 1116 patients (99.5%) receiving saline were analyzed. INTERVENTIONS: Participating ICUs were assigned a masked study fluid, either saline or a buffered crystalloid, for alternating 7-week treatment blocks. Two ICUs commenced using 1 fluid and the other 2 commenced using the alternative fluid. Two crossovers occurred so that each ICU used each fluid twice over the 28 weeks of the study. The treating clinician determined the rate and frequency of fluid administration. MAIN OUTCOMES AND MEASURES: The primary outcome was proportion of patients with AKI (defined as a rise in serum creatinine level of at least 2-fold or a serum creatinine level of ≥3.96 mg/dL with an increase of ≥0.5 mg/dL); main secondary outcomes were incidence of RRT use and in-hospital mortality. RESULTS: In the buffered crystalloid group, 102 of 1067 patients (9.6%) developed AKI within 90 days after enrollment compared with 94 of 1025 patients (9.2%) in the saline group (absolute difference, 0.4% [95% CI, -2.1% to 2.9%]; relative risk [RR], 1.04 [95% CI, 0.80 to 1.36]; P =.77). In the buffered crystalloid group, RRT was used in 38 of 1152 patients (3.3%) compared with 38 of 1110 patients (3.4%) in the saline group (absolute difference, -0.1% [95% CI, -1.6% to 1.4%]; RR, 0.96 [95% CI, 0.62 to 1.50]; P =.91). Overall, 87 of 1152 patients (7.6%) in the buffered crystalloid group and 95 of 1110 patients (8.6%) in the saline group died in the hospital (absolute difference, -1.0% [95% CI, -3.3% to 1.2%]; RR, 0.88 [95% CI, 0.67 to 1.17]; P=.40). CONCLUSIONS AND RELEVANCE: Amon…","author":[{"dropping-particle":"","family":"Young","given":"Paul","non-dropping-particle":"","parse-names":false,"suffix":""},{"dropping-particle":"","family":"Bailey","given":"Michael","non-dropping-particle":"","parse-names":false,"suffix":""},{"dropping-particle":"","family":"Beasley","given":"Richard","non-dropping-particle":"","parse-names":false,"suffix":""},{"dropping-particle":"","family":"Henderson","given":"Seton","non-dropping-particle":"","parse-names":false,"suffix":""},{"dropping-particle":"","family":"Mackle","given":"Diane","non-dropping-particle":"","parse-names":false,"suffix":""},{"dropping-particle":"","family":"McArthur","given":"Colin","non-dropping-particle":"","parse-names":false,"suffix":""},{"dropping-particle":"","family":"McGuinness","given":"Shay","non-dropping-particle":"","parse-names":false,"suffix":""},{"dropping-particle":"","family":"Mehrtens","given":"Jan","non-dropping-particle":"","parse-names":false,"suffix":""},{"dropping-particle":"","family":"Myburgh","given":"John","non-dropping-particle":"","parse-names":false,"suffix":""},{"dropping-particle":"","family":"Psirides","given":"Alex","non-dropping-particle":"","parse-names":false,"suffix":""},{"dropping-particle":"","family":"Reddy","given":"Sumeet","non-dropping-particle":"","parse-names":false,"suffix":""},{"dropping-particle":"","family":"Bellomo","given":"Rinaldo","non-dropping-particle":"","parse-names":false,"suffix":""},{"dropping-particle":"","family":"Hunt","given":"Anna","non-dropping-particle":"","parse-names":false,"suffix":""},{"dropping-particle":"","family":"Hurford","given":"Sally","non-dropping-particle":"","parse-names":false,"suffix":""},{"dropping-particle":"","family":"Navarra","given":"Leanlove","non-dropping-particle":"","parse-names":false,"suffix":""},{"dropping-particle":"","family":"Jason-Smith","given":"Adelaide","non-dropping-particle":"","parse-names":false,"suffix":""},{"dropping-particle":"","family":"Andrews","given":"Lynn","non-dropping-particle":"","parse-names":false,"suffix":""},{"dropping-particle":"","family":"Hitchings","given":"Louise","non-dropping-particle":"","parse-names":false,"suffix":""},{"dropping-particle":"","family":"Closey","given":"David","non-dropping-particle":"","parse-names":false,"suffix":""},{"dropping-particle":"","family":"Parker","given":"Kim","non-dropping-particle":"","parse-names":false,"suffix":""},{"dropping-particle":"","family":"Minto","given":"Emmeline","non-dropping-particle":"","parse-names":false,"suffix":""},{"dropping-particle":"","family":"Morris","given":"Anna","non-dropping-particle":"","parse-names":false,"suffix":""},{"dropping-particle":"","family":"McConnochie","given":"Rachael","non-dropping-particle":"","parse-names":false,"suffix":""},{"dropping-particle":"","family":"Chen","given":"Yan","non-dropping-particle":"","parse-names":false,"suffix":""},{"dropping-particle":"","family":"Newby","given":"Lynette","non-dropping-particle":"","parse-names":false,"suffix":""},{"dropping-particle":"","family":"Parke","given":"Rachael","non-dropping-particle":"","parse-names":false,"suffix":""},{"dropping-particle":"","family":"McCarthy","given":"Lianne","non-dropping-particle":"","parse-names":false,"suffix":""},{"dropping-particle":"","family":"Gilder","given":"Eileen","non-dropping-particle":"","parse-names":false,"suffix":""},{"dropping-particle":"","family":"Lammert","given":"Andrea","non-dropping-particle":"","parse-names":false,"suffix":""},{"dropping-particle":"","family":"Long","given":"Stephanie","non-dropping-particle":"","parse-names":false,"suffix":""},{"dropping-particle":"","family":"Cowdrey","given":"Keri Anne","non-dropping-particle":"","parse-names":false,"suffix":""},{"dropping-particle":"","family":"Perner","given":"Anders","non-dropping-particle":"","parse-names":false,"suffix":""},{"dropping-particle":"","family":"Morgan","given":"John","non-dropping-particle":"","parse-names":false,"suffix":""},{"dropping-particle":"","family":"Forbes","given":"Andrew","non-dropping-particle":"","parse-names":false,"suffix":""}],"container-title":"JAMA - Journal of the American Medical Association","id":"ITEM-2","issue":"16","issued":{"date-parts":[["2015","10"]]},"page":"1701-1710","publisher":"American Medical Association","title":"Effect of a buffered crystalloid solution vs saline on acute kidney injury among patients in the intensive care unit: The SPLIT randomized clinical trial","type":"article-journal","volume":"314"},"uris":["http://www.mendeley.com/documents/?uuid=14481e58-7f37-4980-972f-c16576e0318f"]}],"mendeley":{"formattedCitation":"[169,170]","plainTextFormattedCitation":"[169,170]","previouslyFormattedCitation":"[169,170]"},"properties":{"noteIndex":0},"schema":"https://github.com/citation-style-language/schema/raw/master/csl-citation.json"}</w:instrText>
      </w:r>
      <w:r w:rsidRPr="000009BA">
        <w:fldChar w:fldCharType="separate"/>
      </w:r>
      <w:r w:rsidR="006E1902" w:rsidRPr="006E1902">
        <w:rPr>
          <w:noProof/>
        </w:rPr>
        <w:t>[169,170]</w:t>
      </w:r>
      <w:r w:rsidRPr="000009BA">
        <w:fldChar w:fldCharType="end"/>
      </w:r>
      <w:r w:rsidRPr="000009BA">
        <w:t xml:space="preserve">. </w:t>
      </w:r>
    </w:p>
    <w:p w14:paraId="4E1AE227" w14:textId="77777777" w:rsidR="000009BA" w:rsidRPr="000009BA" w:rsidRDefault="000009BA" w:rsidP="000009BA">
      <w:pPr>
        <w:pStyle w:val="afd"/>
      </w:pPr>
      <w:r w:rsidRPr="000009BA">
        <w:t xml:space="preserve">Введение 1000 мл 0,9% натрия хлорида** увеличивает объем плазмы на 275 мл, а интерстициальной жидкости на 875 мл,  суммарно 1100 мл  (на 100 мл больше за счет диффузии воды из внутриклеточного пространства в интерстиций под действием концентрационного градиента, который создается ионами Na).   Принимая во внимание побочные эффекты, следует избегать использования 0,9% NaCl для ИТ и применять его в качестве растворителя для фармакологических препаратов. </w:t>
      </w:r>
    </w:p>
    <w:p w14:paraId="7862CF13" w14:textId="77777777" w:rsidR="000009BA" w:rsidRPr="000009BA" w:rsidRDefault="000009BA" w:rsidP="000009BA">
      <w:pPr>
        <w:pStyle w:val="afd"/>
      </w:pPr>
      <w:r w:rsidRPr="000009BA">
        <w:t xml:space="preserve">Сбалансированные кристаллоидные растворы  (АТХ B05BB – Растворы, влияющие на водно-электролитный баланс (таб.1)) обладают меньшим количеством побочных эффектов за счет снижения концентрации ионов натрия и добавления буфера в раствор, что частично решает проблемы периферических отеков: низкая </w:t>
      </w:r>
      <w:r w:rsidRPr="000009BA">
        <w:lastRenderedPageBreak/>
        <w:t xml:space="preserve">концентрация ионов натрия в растворе не создает градиент для диффузии воды из внутриклеточного пространства, как это происходит при использовании 0,9% натрия хлорида, а находящийся в растворе  буфер предотвращает развитие ацидоза. Однако натрия лактата раствор сложный [Калия хлорид+Кальция хлорид+Натрия хлорид+Натрия лактат] является гипоосмолярным – 256 ммоль/л, что делает его непригодным для использования у пациентов с отеком головного мозга. В настоящее время натрия лактата раствор сложный [Калия хлорид+Кальция хлорид+Натрия хлорид+Натрия лактат] успешно применяется для коррекции гипернатриемии, инфузионной терапии во время лечения сепсиса, панкреатита и др. </w:t>
      </w:r>
    </w:p>
    <w:p w14:paraId="01AF151A" w14:textId="77777777" w:rsidR="000009BA" w:rsidRPr="000009BA" w:rsidRDefault="000009BA" w:rsidP="000009BA">
      <w:pPr>
        <w:pStyle w:val="afd"/>
      </w:pPr>
      <w:r w:rsidRPr="000009BA">
        <w:t xml:space="preserve">Следует помнить, что у пациентов с циркуляторным шоком (тканевой гипоксией) и с заболеваниями печени лактат из раствора не будет метаболизироваться в анаэробных условиях до бикарбоната, что может приводить к гиперлактатаемии. Следует ограничивать проведение ИТ натрия лактата раствором сложным [Калия хлорид+Кальция хлорид+Натрия хлорид+Натрия лактат] у пациентов с циркуляторным шоком. Необходимо с осторожностью использовать натрия лактата раствор сложный [Калия хлорид+Кальция хлорид+Натрия хлорид+Натрия лактат] для разведения эритроцитарной массы, так как находящийся в растворе кальций может связать цитрат (антикоагулянт для компонентов крови) и вызвать образование сгустков крови в пакете с компонентами крови.  </w:t>
      </w:r>
    </w:p>
    <w:p w14:paraId="34C92A0A" w14:textId="77777777" w:rsidR="000009BA" w:rsidRPr="000009BA" w:rsidRDefault="000009BA" w:rsidP="000009BA">
      <w:pPr>
        <w:pStyle w:val="afd"/>
      </w:pPr>
      <w:r w:rsidRPr="000009BA">
        <w:t xml:space="preserve">Современные растворы содержат в себе меньшую концентрацию кальция за счет добавления ионов магния, а в качестве буфера – ацетат. Таким образом, у этих растворов также имеется ряд преимуществ перед изотоническим раствором натрия и натрия лактата раствором сложным [Калия хлорид+Кальция хлорид+Натрия хлорид+Натрия лактат]: более низкая концентрация хлорида уменьшает риск развития гиперхлоремического ацидоза, а применение ацетата в качестве буфера дает возможность применять эти растворы у больных с печеночной недостаточностью и циркуляторным шоком без риска ятрогенной гиперлактатемии. Эти растворы также подходят для проведения регидратации при снижении объема жидкости при диарее, рвоте, лихорадке. </w:t>
      </w:r>
    </w:p>
    <w:p w14:paraId="245E7FD4" w14:textId="77777777" w:rsidR="000009BA" w:rsidRPr="000009BA" w:rsidRDefault="000009BA" w:rsidP="000009BA">
      <w:pPr>
        <w:pStyle w:val="afd"/>
      </w:pPr>
      <w:r w:rsidRPr="000009BA">
        <w:t xml:space="preserve">Не рекомендуется использование изотонического раствора натрия хлорида** у пациентов с гиперкалиемией и почечной недостаточностью (например, при синдроме лизиса опухоли) вместо сбалансированных кристаллоидных растворов, несмотря на наличие в составе последних ионов калия, так как ацидоз, возникающий при использовании 0,9% раствора натрия хлорида, может усугубить гиперкалиемию за счет трансклеточного сдвига калия, который происходит для поддержания </w:t>
      </w:r>
      <w:r w:rsidRPr="000009BA">
        <w:lastRenderedPageBreak/>
        <w:t xml:space="preserve">электронейтральности плазмы во время ацидоза. Введение же сбалансированного кристаллоидного инфузионного раствора с концентрацией калия 4 ммоль/л больному с гиперкалиемией будет уменьшать концентрацию калия в сторону значения концентрации калия в вводимом растворе.     </w:t>
      </w:r>
    </w:p>
    <w:p w14:paraId="585AA95A" w14:textId="77777777" w:rsidR="000009BA" w:rsidRPr="000009BA" w:rsidRDefault="000009BA" w:rsidP="000009BA">
      <w:pPr>
        <w:pStyle w:val="afd"/>
      </w:pPr>
      <w:r w:rsidRPr="000009BA">
        <w:t xml:space="preserve">Растворы декстрозы** в настоящее время для инфузионной терапии практически не применяются. Это связано как с побочными эффектами – гипергликемия  и повышение концентрации лактата крови, так и с низкой волемической активностью 5% раствора декстрозы**: при инфузии 1000 мл 5% раствора глюкозы только 100 мл остается в сосудистом русле, объем жидкости в интерстициальном пространстве увеличивается на 250 мл, 650 мл раствора перемещается во внутриклеточное пространство. </w:t>
      </w:r>
    </w:p>
    <w:p w14:paraId="291FCA86" w14:textId="77777777" w:rsidR="000009BA" w:rsidRPr="000009BA" w:rsidRDefault="000009BA" w:rsidP="000009BA">
      <w:pPr>
        <w:pStyle w:val="afd"/>
      </w:pPr>
    </w:p>
    <w:p w14:paraId="43A92E94" w14:textId="55DAF3AA" w:rsidR="000009BA" w:rsidRPr="000009BA" w:rsidRDefault="000009BA" w:rsidP="000009BA">
      <w:pPr>
        <w:pStyle w:val="afd"/>
      </w:pPr>
      <w:r w:rsidRPr="000009BA">
        <w:t xml:space="preserve">Таблица </w:t>
      </w:r>
      <w:r w:rsidR="00434E3B">
        <w:t>7.8.</w:t>
      </w:r>
      <w:r w:rsidRPr="000009BA">
        <w:t>1. Кристаллоидные растворы (АТХ B05BB – Растворы, влияющие на водно-электролитный баланс)</w:t>
      </w:r>
    </w:p>
    <w:tbl>
      <w:tblPr>
        <w:tblStyle w:val="aff9"/>
        <w:tblW w:w="0" w:type="auto"/>
        <w:tblLook w:val="04A0" w:firstRow="1" w:lastRow="0" w:firstColumn="1" w:lastColumn="0" w:noHBand="0" w:noVBand="1"/>
      </w:tblPr>
      <w:tblGrid>
        <w:gridCol w:w="1810"/>
        <w:gridCol w:w="1479"/>
        <w:gridCol w:w="1476"/>
        <w:gridCol w:w="1945"/>
        <w:gridCol w:w="2069"/>
      </w:tblGrid>
      <w:tr w:rsidR="000009BA" w:rsidRPr="000009BA" w14:paraId="4C6F5928" w14:textId="77777777" w:rsidTr="003D0E86">
        <w:tc>
          <w:tcPr>
            <w:tcW w:w="1914" w:type="dxa"/>
          </w:tcPr>
          <w:p w14:paraId="4C6CAA93" w14:textId="77777777" w:rsidR="000009BA" w:rsidRPr="000009BA" w:rsidRDefault="000009BA" w:rsidP="000009BA">
            <w:r w:rsidRPr="000009BA">
              <w:t>Компоненты</w:t>
            </w:r>
          </w:p>
        </w:tc>
        <w:tc>
          <w:tcPr>
            <w:tcW w:w="1914" w:type="dxa"/>
          </w:tcPr>
          <w:p w14:paraId="7FD895D3" w14:textId="77777777" w:rsidR="000009BA" w:rsidRPr="000009BA" w:rsidRDefault="000009BA" w:rsidP="000009BA">
            <w:r w:rsidRPr="000009BA">
              <w:t>Плазма</w:t>
            </w:r>
          </w:p>
        </w:tc>
        <w:tc>
          <w:tcPr>
            <w:tcW w:w="1914" w:type="dxa"/>
          </w:tcPr>
          <w:p w14:paraId="32F8CA59" w14:textId="77777777" w:rsidR="000009BA" w:rsidRPr="000009BA" w:rsidRDefault="000009BA" w:rsidP="000009BA">
            <w:r w:rsidRPr="000009BA">
              <w:t>0,9% NaCl**</w:t>
            </w:r>
          </w:p>
        </w:tc>
        <w:tc>
          <w:tcPr>
            <w:tcW w:w="1914" w:type="dxa"/>
          </w:tcPr>
          <w:p w14:paraId="0D777434" w14:textId="77777777" w:rsidR="000009BA" w:rsidRPr="000009BA" w:rsidRDefault="000009BA" w:rsidP="000009BA">
            <w:r w:rsidRPr="000009BA">
              <w:t>Натрия лактата раствор сложный [Калия хлорид+Кальция хлорид+Натрия хлорид+Натрия лактат]</w:t>
            </w:r>
          </w:p>
        </w:tc>
        <w:tc>
          <w:tcPr>
            <w:tcW w:w="1915" w:type="dxa"/>
          </w:tcPr>
          <w:p w14:paraId="3AB1A763" w14:textId="70B2F24E" w:rsidR="000009BA" w:rsidRPr="000009BA" w:rsidRDefault="00B8726F" w:rsidP="000009BA">
            <w:r w:rsidRPr="00B8726F">
              <w:t>Калия хлорид+Магния хлорид+Натрия ацетат+Натрия глюконат+Натрия хлорид</w:t>
            </w:r>
          </w:p>
        </w:tc>
      </w:tr>
      <w:tr w:rsidR="000009BA" w:rsidRPr="000009BA" w14:paraId="5DB7C2F7" w14:textId="77777777" w:rsidTr="003D0E86">
        <w:tc>
          <w:tcPr>
            <w:tcW w:w="1914" w:type="dxa"/>
          </w:tcPr>
          <w:p w14:paraId="66BC255A" w14:textId="77777777" w:rsidR="000009BA" w:rsidRPr="000009BA" w:rsidRDefault="000009BA" w:rsidP="000009BA">
            <w:r w:rsidRPr="000009BA">
              <w:t>Натрий (ммоль/л)</w:t>
            </w:r>
          </w:p>
        </w:tc>
        <w:tc>
          <w:tcPr>
            <w:tcW w:w="1914" w:type="dxa"/>
          </w:tcPr>
          <w:p w14:paraId="5AF1D505" w14:textId="77777777" w:rsidR="000009BA" w:rsidRPr="000009BA" w:rsidRDefault="000009BA" w:rsidP="000009BA">
            <w:r w:rsidRPr="000009BA">
              <w:t>135-145</w:t>
            </w:r>
          </w:p>
        </w:tc>
        <w:tc>
          <w:tcPr>
            <w:tcW w:w="1914" w:type="dxa"/>
          </w:tcPr>
          <w:p w14:paraId="0A860D2B" w14:textId="77777777" w:rsidR="000009BA" w:rsidRPr="000009BA" w:rsidRDefault="000009BA" w:rsidP="000009BA">
            <w:r w:rsidRPr="000009BA">
              <w:t>154</w:t>
            </w:r>
          </w:p>
        </w:tc>
        <w:tc>
          <w:tcPr>
            <w:tcW w:w="1914" w:type="dxa"/>
          </w:tcPr>
          <w:p w14:paraId="53B3D0C2" w14:textId="77777777" w:rsidR="000009BA" w:rsidRPr="000009BA" w:rsidRDefault="000009BA" w:rsidP="000009BA">
            <w:r w:rsidRPr="000009BA">
              <w:t>130</w:t>
            </w:r>
          </w:p>
        </w:tc>
        <w:tc>
          <w:tcPr>
            <w:tcW w:w="1915" w:type="dxa"/>
          </w:tcPr>
          <w:p w14:paraId="345C8DC6" w14:textId="77777777" w:rsidR="000009BA" w:rsidRPr="000009BA" w:rsidRDefault="000009BA" w:rsidP="000009BA">
            <w:r w:rsidRPr="000009BA">
              <w:t>140</w:t>
            </w:r>
          </w:p>
        </w:tc>
      </w:tr>
      <w:tr w:rsidR="000009BA" w:rsidRPr="000009BA" w14:paraId="25F41257" w14:textId="77777777" w:rsidTr="003D0E86">
        <w:tc>
          <w:tcPr>
            <w:tcW w:w="1914" w:type="dxa"/>
          </w:tcPr>
          <w:p w14:paraId="6DBF55FE" w14:textId="77777777" w:rsidR="000009BA" w:rsidRPr="000009BA" w:rsidRDefault="000009BA" w:rsidP="000009BA">
            <w:r w:rsidRPr="000009BA">
              <w:t>Хлорид (ммоль/л)</w:t>
            </w:r>
          </w:p>
        </w:tc>
        <w:tc>
          <w:tcPr>
            <w:tcW w:w="1914" w:type="dxa"/>
          </w:tcPr>
          <w:p w14:paraId="6052F06D" w14:textId="77777777" w:rsidR="000009BA" w:rsidRPr="000009BA" w:rsidRDefault="000009BA" w:rsidP="000009BA">
            <w:r w:rsidRPr="000009BA">
              <w:t>98-106</w:t>
            </w:r>
          </w:p>
        </w:tc>
        <w:tc>
          <w:tcPr>
            <w:tcW w:w="1914" w:type="dxa"/>
          </w:tcPr>
          <w:p w14:paraId="68DE68E0" w14:textId="77777777" w:rsidR="000009BA" w:rsidRPr="000009BA" w:rsidRDefault="000009BA" w:rsidP="000009BA">
            <w:r w:rsidRPr="000009BA">
              <w:t>154</w:t>
            </w:r>
          </w:p>
        </w:tc>
        <w:tc>
          <w:tcPr>
            <w:tcW w:w="1914" w:type="dxa"/>
          </w:tcPr>
          <w:p w14:paraId="376A4D11" w14:textId="77777777" w:rsidR="000009BA" w:rsidRPr="000009BA" w:rsidRDefault="000009BA" w:rsidP="000009BA">
            <w:r w:rsidRPr="000009BA">
              <w:t>109</w:t>
            </w:r>
          </w:p>
        </w:tc>
        <w:tc>
          <w:tcPr>
            <w:tcW w:w="1915" w:type="dxa"/>
          </w:tcPr>
          <w:p w14:paraId="041B4A0A" w14:textId="77777777" w:rsidR="000009BA" w:rsidRPr="000009BA" w:rsidRDefault="000009BA" w:rsidP="000009BA">
            <w:r w:rsidRPr="000009BA">
              <w:t>98</w:t>
            </w:r>
          </w:p>
        </w:tc>
      </w:tr>
      <w:tr w:rsidR="000009BA" w:rsidRPr="000009BA" w14:paraId="2F5C1DC5" w14:textId="77777777" w:rsidTr="003D0E86">
        <w:tc>
          <w:tcPr>
            <w:tcW w:w="1914" w:type="dxa"/>
          </w:tcPr>
          <w:p w14:paraId="1F7049A2" w14:textId="77777777" w:rsidR="000009BA" w:rsidRPr="000009BA" w:rsidRDefault="000009BA" w:rsidP="000009BA">
            <w:r w:rsidRPr="000009BA">
              <w:t>Калий (ммоль/л)</w:t>
            </w:r>
          </w:p>
        </w:tc>
        <w:tc>
          <w:tcPr>
            <w:tcW w:w="1914" w:type="dxa"/>
          </w:tcPr>
          <w:p w14:paraId="31C57DE8" w14:textId="77777777" w:rsidR="000009BA" w:rsidRPr="000009BA" w:rsidRDefault="000009BA" w:rsidP="000009BA">
            <w:r w:rsidRPr="000009BA">
              <w:t>3,5-5,0</w:t>
            </w:r>
          </w:p>
        </w:tc>
        <w:tc>
          <w:tcPr>
            <w:tcW w:w="1914" w:type="dxa"/>
          </w:tcPr>
          <w:p w14:paraId="007BEDA6" w14:textId="77777777" w:rsidR="000009BA" w:rsidRPr="000009BA" w:rsidRDefault="000009BA" w:rsidP="000009BA">
            <w:r w:rsidRPr="000009BA">
              <w:t>-</w:t>
            </w:r>
          </w:p>
        </w:tc>
        <w:tc>
          <w:tcPr>
            <w:tcW w:w="1914" w:type="dxa"/>
          </w:tcPr>
          <w:p w14:paraId="2D58ADE8" w14:textId="77777777" w:rsidR="000009BA" w:rsidRPr="000009BA" w:rsidRDefault="000009BA" w:rsidP="000009BA">
            <w:r w:rsidRPr="000009BA">
              <w:t>4</w:t>
            </w:r>
          </w:p>
        </w:tc>
        <w:tc>
          <w:tcPr>
            <w:tcW w:w="1915" w:type="dxa"/>
          </w:tcPr>
          <w:p w14:paraId="3E146464" w14:textId="77777777" w:rsidR="000009BA" w:rsidRPr="000009BA" w:rsidRDefault="000009BA" w:rsidP="000009BA">
            <w:r w:rsidRPr="000009BA">
              <w:t>5</w:t>
            </w:r>
          </w:p>
        </w:tc>
      </w:tr>
      <w:tr w:rsidR="000009BA" w:rsidRPr="000009BA" w14:paraId="279C0BA2" w14:textId="77777777" w:rsidTr="003D0E86">
        <w:tc>
          <w:tcPr>
            <w:tcW w:w="1914" w:type="dxa"/>
          </w:tcPr>
          <w:p w14:paraId="7BEECAA8" w14:textId="77777777" w:rsidR="000009BA" w:rsidRPr="000009BA" w:rsidRDefault="000009BA" w:rsidP="000009BA">
            <w:r w:rsidRPr="000009BA">
              <w:t>Кальций (мг/дл)</w:t>
            </w:r>
          </w:p>
        </w:tc>
        <w:tc>
          <w:tcPr>
            <w:tcW w:w="1914" w:type="dxa"/>
          </w:tcPr>
          <w:p w14:paraId="12E182CC" w14:textId="77777777" w:rsidR="000009BA" w:rsidRPr="000009BA" w:rsidRDefault="000009BA" w:rsidP="000009BA">
            <w:r w:rsidRPr="000009BA">
              <w:t>3,0-4,5</w:t>
            </w:r>
          </w:p>
        </w:tc>
        <w:tc>
          <w:tcPr>
            <w:tcW w:w="1914" w:type="dxa"/>
          </w:tcPr>
          <w:p w14:paraId="70639802" w14:textId="77777777" w:rsidR="000009BA" w:rsidRPr="000009BA" w:rsidRDefault="000009BA" w:rsidP="000009BA">
            <w:r w:rsidRPr="000009BA">
              <w:t>-</w:t>
            </w:r>
          </w:p>
        </w:tc>
        <w:tc>
          <w:tcPr>
            <w:tcW w:w="1914" w:type="dxa"/>
          </w:tcPr>
          <w:p w14:paraId="37CB8501" w14:textId="77777777" w:rsidR="000009BA" w:rsidRPr="000009BA" w:rsidRDefault="000009BA" w:rsidP="000009BA">
            <w:r w:rsidRPr="000009BA">
              <w:t>4</w:t>
            </w:r>
          </w:p>
        </w:tc>
        <w:tc>
          <w:tcPr>
            <w:tcW w:w="1915" w:type="dxa"/>
          </w:tcPr>
          <w:p w14:paraId="15BA5002" w14:textId="77777777" w:rsidR="000009BA" w:rsidRPr="000009BA" w:rsidRDefault="000009BA" w:rsidP="000009BA">
            <w:r w:rsidRPr="000009BA">
              <w:t>-</w:t>
            </w:r>
          </w:p>
        </w:tc>
      </w:tr>
      <w:tr w:rsidR="000009BA" w:rsidRPr="000009BA" w14:paraId="4C937DCB" w14:textId="77777777" w:rsidTr="003D0E86">
        <w:tc>
          <w:tcPr>
            <w:tcW w:w="1914" w:type="dxa"/>
          </w:tcPr>
          <w:p w14:paraId="28771474" w14:textId="77777777" w:rsidR="000009BA" w:rsidRPr="000009BA" w:rsidRDefault="000009BA" w:rsidP="000009BA">
            <w:r w:rsidRPr="000009BA">
              <w:t>Магний (ммоль/л)</w:t>
            </w:r>
          </w:p>
        </w:tc>
        <w:tc>
          <w:tcPr>
            <w:tcW w:w="1914" w:type="dxa"/>
          </w:tcPr>
          <w:p w14:paraId="7B586E5E" w14:textId="77777777" w:rsidR="000009BA" w:rsidRPr="000009BA" w:rsidRDefault="000009BA" w:rsidP="000009BA">
            <w:r w:rsidRPr="000009BA">
              <w:t>0,7-1,2</w:t>
            </w:r>
          </w:p>
        </w:tc>
        <w:tc>
          <w:tcPr>
            <w:tcW w:w="1914" w:type="dxa"/>
          </w:tcPr>
          <w:p w14:paraId="0A8F1040" w14:textId="77777777" w:rsidR="000009BA" w:rsidRPr="000009BA" w:rsidRDefault="000009BA" w:rsidP="000009BA">
            <w:r w:rsidRPr="000009BA">
              <w:t>-</w:t>
            </w:r>
          </w:p>
        </w:tc>
        <w:tc>
          <w:tcPr>
            <w:tcW w:w="1914" w:type="dxa"/>
          </w:tcPr>
          <w:p w14:paraId="2D6F23B8" w14:textId="77777777" w:rsidR="000009BA" w:rsidRPr="000009BA" w:rsidRDefault="000009BA" w:rsidP="000009BA">
            <w:r w:rsidRPr="000009BA">
              <w:t>-</w:t>
            </w:r>
          </w:p>
        </w:tc>
        <w:tc>
          <w:tcPr>
            <w:tcW w:w="1915" w:type="dxa"/>
          </w:tcPr>
          <w:p w14:paraId="1BBA13BA" w14:textId="77777777" w:rsidR="000009BA" w:rsidRPr="000009BA" w:rsidRDefault="000009BA" w:rsidP="000009BA">
            <w:r w:rsidRPr="000009BA">
              <w:t>3</w:t>
            </w:r>
          </w:p>
        </w:tc>
      </w:tr>
      <w:tr w:rsidR="000009BA" w:rsidRPr="000009BA" w14:paraId="2A158804" w14:textId="77777777" w:rsidTr="003D0E86">
        <w:tc>
          <w:tcPr>
            <w:tcW w:w="1914" w:type="dxa"/>
          </w:tcPr>
          <w:p w14:paraId="514DA990" w14:textId="77777777" w:rsidR="000009BA" w:rsidRPr="000009BA" w:rsidRDefault="000009BA" w:rsidP="000009BA">
            <w:r w:rsidRPr="000009BA">
              <w:t>Буфер (ммоль/л)</w:t>
            </w:r>
          </w:p>
        </w:tc>
        <w:tc>
          <w:tcPr>
            <w:tcW w:w="1914" w:type="dxa"/>
          </w:tcPr>
          <w:p w14:paraId="2B6EEAD5" w14:textId="77777777" w:rsidR="000009BA" w:rsidRPr="000009BA" w:rsidRDefault="000009BA" w:rsidP="000009BA">
            <w:r w:rsidRPr="000009BA">
              <w:t>HCO-3</w:t>
            </w:r>
          </w:p>
          <w:p w14:paraId="5933A7F9" w14:textId="77777777" w:rsidR="000009BA" w:rsidRPr="000009BA" w:rsidRDefault="000009BA" w:rsidP="000009BA">
            <w:r w:rsidRPr="000009BA">
              <w:t>(22-28)</w:t>
            </w:r>
          </w:p>
        </w:tc>
        <w:tc>
          <w:tcPr>
            <w:tcW w:w="1914" w:type="dxa"/>
          </w:tcPr>
          <w:p w14:paraId="2DBFD6F2" w14:textId="77777777" w:rsidR="000009BA" w:rsidRPr="000009BA" w:rsidRDefault="000009BA" w:rsidP="000009BA">
            <w:r w:rsidRPr="000009BA">
              <w:t>-</w:t>
            </w:r>
          </w:p>
        </w:tc>
        <w:tc>
          <w:tcPr>
            <w:tcW w:w="1914" w:type="dxa"/>
          </w:tcPr>
          <w:p w14:paraId="33A5D370" w14:textId="77777777" w:rsidR="000009BA" w:rsidRPr="000009BA" w:rsidRDefault="000009BA" w:rsidP="000009BA">
            <w:r w:rsidRPr="000009BA">
              <w:t>Лактат (28)</w:t>
            </w:r>
          </w:p>
        </w:tc>
        <w:tc>
          <w:tcPr>
            <w:tcW w:w="1915" w:type="dxa"/>
          </w:tcPr>
          <w:p w14:paraId="7BAD3B23" w14:textId="77777777" w:rsidR="000009BA" w:rsidRPr="000009BA" w:rsidRDefault="000009BA" w:rsidP="000009BA">
            <w:r w:rsidRPr="000009BA">
              <w:t>Ацетат (27)</w:t>
            </w:r>
          </w:p>
          <w:p w14:paraId="3FC2AA8C" w14:textId="66A6702C" w:rsidR="000009BA" w:rsidRPr="000009BA" w:rsidRDefault="000009BA" w:rsidP="000009BA">
            <w:r w:rsidRPr="000009BA">
              <w:t>Глюк</w:t>
            </w:r>
            <w:r w:rsidR="0049053C">
              <w:t>о</w:t>
            </w:r>
            <w:r w:rsidRPr="000009BA">
              <w:t>нат (23)</w:t>
            </w:r>
          </w:p>
        </w:tc>
      </w:tr>
      <w:tr w:rsidR="000009BA" w:rsidRPr="000009BA" w14:paraId="057C1175" w14:textId="77777777" w:rsidTr="003D0E86">
        <w:tc>
          <w:tcPr>
            <w:tcW w:w="1914" w:type="dxa"/>
          </w:tcPr>
          <w:p w14:paraId="170FBC0D" w14:textId="77777777" w:rsidR="000009BA" w:rsidRPr="000009BA" w:rsidRDefault="000009BA" w:rsidP="000009BA">
            <w:r w:rsidRPr="000009BA">
              <w:t>Осмолярность  (мОсм/л)</w:t>
            </w:r>
          </w:p>
        </w:tc>
        <w:tc>
          <w:tcPr>
            <w:tcW w:w="1914" w:type="dxa"/>
          </w:tcPr>
          <w:p w14:paraId="51ADF3D9" w14:textId="77777777" w:rsidR="000009BA" w:rsidRPr="000009BA" w:rsidRDefault="000009BA" w:rsidP="000009BA">
            <w:r w:rsidRPr="000009BA">
              <w:t>290</w:t>
            </w:r>
          </w:p>
        </w:tc>
        <w:tc>
          <w:tcPr>
            <w:tcW w:w="1914" w:type="dxa"/>
          </w:tcPr>
          <w:p w14:paraId="19709D5B" w14:textId="77777777" w:rsidR="000009BA" w:rsidRPr="000009BA" w:rsidRDefault="000009BA" w:rsidP="000009BA">
            <w:r w:rsidRPr="000009BA">
              <w:t>308</w:t>
            </w:r>
          </w:p>
        </w:tc>
        <w:tc>
          <w:tcPr>
            <w:tcW w:w="1914" w:type="dxa"/>
          </w:tcPr>
          <w:p w14:paraId="10517784" w14:textId="77777777" w:rsidR="000009BA" w:rsidRPr="000009BA" w:rsidRDefault="000009BA" w:rsidP="000009BA">
            <w:r w:rsidRPr="000009BA">
              <w:t>273</w:t>
            </w:r>
          </w:p>
        </w:tc>
        <w:tc>
          <w:tcPr>
            <w:tcW w:w="1915" w:type="dxa"/>
          </w:tcPr>
          <w:p w14:paraId="2062B30F" w14:textId="77777777" w:rsidR="000009BA" w:rsidRPr="000009BA" w:rsidRDefault="000009BA" w:rsidP="000009BA">
            <w:r w:rsidRPr="000009BA">
              <w:t>295</w:t>
            </w:r>
          </w:p>
        </w:tc>
      </w:tr>
    </w:tbl>
    <w:p w14:paraId="03B6622A" w14:textId="77777777" w:rsidR="000009BA" w:rsidRPr="000009BA" w:rsidRDefault="000009BA" w:rsidP="000009BA"/>
    <w:p w14:paraId="06E0A2A1" w14:textId="77777777" w:rsidR="000009BA" w:rsidRPr="00434E3B" w:rsidRDefault="000009BA" w:rsidP="000009BA">
      <w:pPr>
        <w:pStyle w:val="afd"/>
        <w:rPr>
          <w:b/>
          <w:bCs/>
        </w:rPr>
      </w:pPr>
      <w:r w:rsidRPr="00434E3B">
        <w:rPr>
          <w:b/>
          <w:bCs/>
        </w:rPr>
        <w:t>Показания к проведению инфузионной терапии</w:t>
      </w:r>
    </w:p>
    <w:p w14:paraId="72CBA4E5" w14:textId="77BAD763" w:rsidR="000009BA" w:rsidRPr="000009BA" w:rsidRDefault="000009BA" w:rsidP="000009BA">
      <w:pPr>
        <w:pStyle w:val="afd"/>
      </w:pPr>
      <w:r w:rsidRPr="000009BA">
        <w:t xml:space="preserve">Основные показания для инфузионной терапии у пациентов с </w:t>
      </w:r>
      <w:r w:rsidR="00434E3B">
        <w:t>агрессивными лимфомами</w:t>
      </w:r>
      <w:r w:rsidRPr="000009BA">
        <w:t>:</w:t>
      </w:r>
    </w:p>
    <w:p w14:paraId="0981DE0E" w14:textId="77777777" w:rsidR="000009BA" w:rsidRPr="000009BA" w:rsidRDefault="000009BA" w:rsidP="00A265AD">
      <w:pPr>
        <w:pStyle w:val="afd"/>
        <w:numPr>
          <w:ilvl w:val="0"/>
          <w:numId w:val="57"/>
        </w:numPr>
      </w:pPr>
      <w:r w:rsidRPr="000009BA">
        <w:t>Дегидратация, причинами которой могут быть диарея, перспирация (вследствие лихорадки), рвота, алиментарная недостаточность.</w:t>
      </w:r>
    </w:p>
    <w:p w14:paraId="5630721C" w14:textId="77777777" w:rsidR="000009BA" w:rsidRPr="000009BA" w:rsidRDefault="000009BA" w:rsidP="00A265AD">
      <w:pPr>
        <w:pStyle w:val="afd"/>
        <w:numPr>
          <w:ilvl w:val="0"/>
          <w:numId w:val="57"/>
        </w:numPr>
      </w:pPr>
      <w:r w:rsidRPr="000009BA">
        <w:lastRenderedPageBreak/>
        <w:t>Гиповолемия или дефицит объема циркулирующей крови (например, при кровотечении у гематологических пациентов).</w:t>
      </w:r>
    </w:p>
    <w:p w14:paraId="1B9690C3" w14:textId="77777777" w:rsidR="000009BA" w:rsidRPr="000009BA" w:rsidRDefault="000009BA" w:rsidP="00A265AD">
      <w:pPr>
        <w:pStyle w:val="afd"/>
        <w:numPr>
          <w:ilvl w:val="0"/>
          <w:numId w:val="57"/>
        </w:numPr>
      </w:pPr>
      <w:r w:rsidRPr="000009BA">
        <w:t xml:space="preserve">Проведение форсированного диуреза для профилактики синдрома лизиса опухоли. </w:t>
      </w:r>
    </w:p>
    <w:p w14:paraId="7A3C5497" w14:textId="77777777" w:rsidR="000009BA" w:rsidRPr="000009BA" w:rsidRDefault="000009BA" w:rsidP="00A265AD">
      <w:pPr>
        <w:pStyle w:val="afd"/>
        <w:numPr>
          <w:ilvl w:val="0"/>
          <w:numId w:val="57"/>
        </w:numPr>
      </w:pPr>
      <w:r w:rsidRPr="000009BA">
        <w:t xml:space="preserve">Проведение терапевтической гемоделюции (для лечения ишемических и тромботических осложнений). </w:t>
      </w:r>
    </w:p>
    <w:p w14:paraId="77861731" w14:textId="77777777" w:rsidR="000009BA" w:rsidRPr="000009BA" w:rsidRDefault="000009BA" w:rsidP="00A265AD">
      <w:pPr>
        <w:pStyle w:val="afd"/>
        <w:numPr>
          <w:ilvl w:val="0"/>
          <w:numId w:val="57"/>
        </w:numPr>
      </w:pPr>
      <w:r w:rsidRPr="000009BA">
        <w:t xml:space="preserve">Коррекция электролитных нарушений. </w:t>
      </w:r>
    </w:p>
    <w:p w14:paraId="6E34BA32" w14:textId="77777777" w:rsidR="000009BA" w:rsidRPr="000009BA" w:rsidRDefault="000009BA" w:rsidP="00A265AD">
      <w:pPr>
        <w:pStyle w:val="afd"/>
        <w:numPr>
          <w:ilvl w:val="0"/>
          <w:numId w:val="57"/>
        </w:numPr>
      </w:pPr>
      <w:r w:rsidRPr="000009BA">
        <w:t xml:space="preserve">Дезинтоксикационная терапия. </w:t>
      </w:r>
    </w:p>
    <w:p w14:paraId="77D7F2B1" w14:textId="77777777" w:rsidR="000009BA" w:rsidRPr="000009BA" w:rsidRDefault="000009BA" w:rsidP="000009BA">
      <w:pPr>
        <w:pStyle w:val="afd"/>
      </w:pPr>
    </w:p>
    <w:p w14:paraId="32866B1C" w14:textId="4CF9D23F" w:rsidR="000009BA" w:rsidRPr="00434E3B" w:rsidRDefault="000009BA" w:rsidP="000009BA">
      <w:pPr>
        <w:pStyle w:val="afd"/>
        <w:rPr>
          <w:b/>
          <w:bCs/>
        </w:rPr>
      </w:pPr>
      <w:r w:rsidRPr="00434E3B">
        <w:rPr>
          <w:b/>
          <w:bCs/>
        </w:rPr>
        <w:t xml:space="preserve">Выбор инфузионных растворов </w:t>
      </w:r>
      <w:r w:rsidRPr="00434E3B">
        <w:rPr>
          <w:b/>
          <w:bCs/>
        </w:rPr>
        <w:fldChar w:fldCharType="begin" w:fldLock="1"/>
      </w:r>
      <w:r w:rsidR="00A6794A">
        <w:rPr>
          <w:b/>
          <w:bCs/>
        </w:rPr>
        <w:instrText>ADDIN CSL_CITATION {"citationItems":[{"id":"ITEM-1","itemData":{"DOI":"10.1007/s40620-016-0363-9","ISSN":"17246059","PMID":"27900717","abstract":"The topic of intravenous (IV) fluids may be regarded as “reverse nephrology”, because nephrologists usually treat to remove fluids rather than to infuse them. However, because nephrology is deeply rooted in fluid, electrolyte, and acid-base balance, IV fluids belong in the realm of our specialty. The field of IV fluid therapy is in motion due to the increasing use of balanced crystalloids, partly fueled by the advent of new solutions. This review aims to capture these recent developments by critically evaluating the current evidence base. It will review both indications and complications of IV fluid therapy, including the characteristics of the currently available solutions. It will also cover the use of IV fluids in specific settings such as kidney transplantation and pediatrics. Finally, this review will address the pathogenesis of saline-induced hyperchloremic acidosis, its potential effect on outcomes, and the question if this should lead to a definitive switch to balanced solutions.","author":[{"dropping-particle":"","family":"Hoorn","given":"Ewout J.","non-dropping-particle":"","parse-names":false,"suffix":""}],"container-title":"Journal of Nephrology","id":"ITEM-1","issue":"4","issued":{"date-parts":[["2017","8","1"]]},"page":"485-492","publisher":"Springer New York LLC","title":"Intravenous fluids: balancing solutions","type":"article","volume":"30"},"uris":["http://www.mendeley.com/documents/?uuid=5b8712a4-69fa-3f35-a7d0-5673405bd845"]}],"mendeley":{"formattedCitation":"[171]","plainTextFormattedCitation":"[171]","previouslyFormattedCitation":"[171]"},"properties":{"noteIndex":0},"schema":"https://github.com/citation-style-language/schema/raw/master/csl-citation.json"}</w:instrText>
      </w:r>
      <w:r w:rsidRPr="00434E3B">
        <w:rPr>
          <w:b/>
          <w:bCs/>
        </w:rPr>
        <w:fldChar w:fldCharType="separate"/>
      </w:r>
      <w:r w:rsidR="006E1902" w:rsidRPr="006E1902">
        <w:rPr>
          <w:bCs/>
          <w:noProof/>
        </w:rPr>
        <w:t>[171]</w:t>
      </w:r>
      <w:r w:rsidRPr="00434E3B">
        <w:rPr>
          <w:b/>
          <w:bCs/>
        </w:rPr>
        <w:fldChar w:fldCharType="end"/>
      </w:r>
    </w:p>
    <w:p w14:paraId="69C7DFEB" w14:textId="77777777" w:rsidR="000009BA" w:rsidRPr="000009BA" w:rsidRDefault="000009BA" w:rsidP="000009BA">
      <w:pPr>
        <w:pStyle w:val="afd"/>
      </w:pPr>
      <w:r w:rsidRPr="000009BA">
        <w:t>Сбалансированные полиэлектролитные растворы применяются для коррекции дегидратации, форсированного диуреза, терапевтической гемоделюции.</w:t>
      </w:r>
    </w:p>
    <w:p w14:paraId="33E636E7" w14:textId="77777777" w:rsidR="000009BA" w:rsidRPr="000009BA" w:rsidRDefault="000009BA" w:rsidP="000009BA">
      <w:pPr>
        <w:pStyle w:val="afd"/>
      </w:pPr>
      <w:r w:rsidRPr="000009BA">
        <w:t>Коллоидные растворы (АТХ B05AA – кровезаменители и препараты плазмы крови), используются в сочетании с кристаллоидными для коррекции гиповолемии. Допустимо использовать только кристаллоидные растворы для коррекции гиповолемии легкой степени.</w:t>
      </w:r>
    </w:p>
    <w:p w14:paraId="21D5116A" w14:textId="77777777" w:rsidR="000009BA" w:rsidRPr="000009BA" w:rsidRDefault="000009BA" w:rsidP="000009BA">
      <w:pPr>
        <w:pStyle w:val="afd"/>
      </w:pPr>
      <w:r w:rsidRPr="000009BA">
        <w:t>Для разведения лекарственных препаратов используется 0,9% раствор натрия хлорида**, что исключает выпадения солей кальция в приготовленном растворе.</w:t>
      </w:r>
    </w:p>
    <w:p w14:paraId="0609CCA7" w14:textId="77777777" w:rsidR="000009BA" w:rsidRPr="000009BA" w:rsidRDefault="000009BA" w:rsidP="000009BA">
      <w:pPr>
        <w:pStyle w:val="afd"/>
      </w:pPr>
      <w:r w:rsidRPr="000009BA">
        <w:t xml:space="preserve">Объем инфузионной терапии определяется клиническими показаниями. </w:t>
      </w:r>
    </w:p>
    <w:p w14:paraId="40FCDE89" w14:textId="77777777" w:rsidR="000009BA" w:rsidRPr="000009BA" w:rsidRDefault="000009BA" w:rsidP="000009BA">
      <w:pPr>
        <w:pStyle w:val="afd"/>
      </w:pPr>
    </w:p>
    <w:p w14:paraId="3FF20CA1" w14:textId="77777777" w:rsidR="000009BA" w:rsidRPr="00434E3B" w:rsidRDefault="000009BA" w:rsidP="000009BA">
      <w:pPr>
        <w:pStyle w:val="afd"/>
        <w:rPr>
          <w:b/>
          <w:bCs/>
        </w:rPr>
      </w:pPr>
      <w:r w:rsidRPr="00434E3B">
        <w:rPr>
          <w:b/>
          <w:bCs/>
        </w:rPr>
        <w:t>Алгоритм действия врача</w:t>
      </w:r>
    </w:p>
    <w:p w14:paraId="43DB54AE" w14:textId="77777777" w:rsidR="000009BA" w:rsidRPr="000009BA" w:rsidRDefault="000009BA" w:rsidP="00A265AD">
      <w:pPr>
        <w:pStyle w:val="afd"/>
        <w:numPr>
          <w:ilvl w:val="0"/>
          <w:numId w:val="58"/>
        </w:numPr>
      </w:pPr>
      <w:r w:rsidRPr="000009BA">
        <w:t>Определение показаний для инфузионная терапии.</w:t>
      </w:r>
    </w:p>
    <w:p w14:paraId="504C6908" w14:textId="77777777" w:rsidR="000009BA" w:rsidRPr="000009BA" w:rsidRDefault="000009BA" w:rsidP="00A265AD">
      <w:pPr>
        <w:pStyle w:val="afd"/>
        <w:numPr>
          <w:ilvl w:val="0"/>
          <w:numId w:val="58"/>
        </w:numPr>
      </w:pPr>
      <w:r w:rsidRPr="000009BA">
        <w:t>Выбор инфузионного раствора в зависимости от показаний.</w:t>
      </w:r>
    </w:p>
    <w:p w14:paraId="1E663F3C" w14:textId="77777777" w:rsidR="000009BA" w:rsidRPr="000009BA" w:rsidRDefault="000009BA" w:rsidP="00A265AD">
      <w:pPr>
        <w:pStyle w:val="afd"/>
        <w:numPr>
          <w:ilvl w:val="0"/>
          <w:numId w:val="58"/>
        </w:numPr>
      </w:pPr>
      <w:r w:rsidRPr="000009BA">
        <w:t>Оценка волемического статуса пациента (оценка частоты сердечных сокращений, артериального давления, тургора кожи, влажности слизистых, темпа диуреза и др.). Центральное венозное давление (ЦВД) не является единственным показателем волемического статуса больного и часто может не отражать истинное состояние. Так, у больного с легочной гипертензией и гиповолемией ЦВД может превышать нормальные значения.</w:t>
      </w:r>
    </w:p>
    <w:p w14:paraId="5394A6C7" w14:textId="77777777" w:rsidR="000009BA" w:rsidRPr="000009BA" w:rsidRDefault="000009BA" w:rsidP="00A265AD">
      <w:pPr>
        <w:pStyle w:val="afd"/>
        <w:numPr>
          <w:ilvl w:val="0"/>
          <w:numId w:val="58"/>
        </w:numPr>
      </w:pPr>
      <w:r w:rsidRPr="000009BA">
        <w:t>Обеспечение сосудистого доступа. Проведение инфузионной терапии и оценка ее эффекта (частота сердечных сокращений, артериальное давление, тургор кожи, влажность слизистых, темп диуреза и др.).</w:t>
      </w:r>
    </w:p>
    <w:p w14:paraId="08CF1329" w14:textId="77777777" w:rsidR="000009BA" w:rsidRPr="000009BA" w:rsidRDefault="000009BA" w:rsidP="000009BA">
      <w:pPr>
        <w:pStyle w:val="afd"/>
      </w:pPr>
    </w:p>
    <w:p w14:paraId="67E2C392" w14:textId="093027E8" w:rsidR="000009BA" w:rsidRPr="000009BA" w:rsidRDefault="000009BA" w:rsidP="00CE2761">
      <w:pPr>
        <w:pStyle w:val="2"/>
      </w:pPr>
      <w:bookmarkStart w:id="65" w:name="_Toc85649741"/>
      <w:bookmarkStart w:id="66" w:name="_Toc96601262"/>
      <w:r w:rsidRPr="000009BA">
        <w:lastRenderedPageBreak/>
        <w:t>7.</w:t>
      </w:r>
      <w:r w:rsidR="00CE2761">
        <w:t>9</w:t>
      </w:r>
      <w:r w:rsidRPr="000009BA">
        <w:t xml:space="preserve">. </w:t>
      </w:r>
      <w:bookmarkStart w:id="67" w:name="_Toc64477951"/>
      <w:r w:rsidRPr="000009BA">
        <w:t>Применение компонентов донорской крови у гематологических пациентов</w:t>
      </w:r>
      <w:bookmarkEnd w:id="65"/>
      <w:bookmarkEnd w:id="66"/>
      <w:bookmarkEnd w:id="67"/>
    </w:p>
    <w:p w14:paraId="6F4C2A03" w14:textId="09A9F626" w:rsidR="00BE7AD6" w:rsidRPr="00BE7AD6" w:rsidRDefault="00BE7AD6" w:rsidP="00BE7AD6">
      <w:pPr>
        <w:pStyle w:val="afd"/>
      </w:pPr>
      <w:r w:rsidRPr="00BE7AD6">
        <w:t xml:space="preserve">Основным медицинским показанием к трансфузии эритроцитов у гематологических пациентов является неадекватная оксигенация органов и тканей и связанный с этим риск осложнений. Переливание донорских тромбоцитов гематологическим пациентам проводят c целью профилактики спонтанных геморрагических осложнений на фоне глубокой тромбоцитопении, индуцированной проведением интенсивной химиотерапии, или с лечебной целью пациентам с уже имеющимися геморрагическими осложнениями. При необходимости восполнения дефицита факторов свертывания универсальным препаратом на сегодняшний день является свежезамороженная плазма (СЗП). Показаниями для ее применения при острой кровопотере являются удлинение хронометрических показателей коагулограммы более чем в 1,8 раз; изолированное снижение уровня одного из факторов свертывания на 20% и более или комплекса факторов на 40% и более. Кроме СЗП для коррекции нарушений гемостаза при острой кровопотере применяются криопреципитат, факторы свертывания крови (B02BD по АТХ классификации), ингибиторы протеаз, ингибиторы фибринолиза (B02A по АТХ классификации). Трансфузии СЗП показаны также для возмещения объема при проведении процедур плазмафереза при гиперлейкоцитозе, Выбор конкретного вида компонента крови для гемотрансфузии (тип эритроцитосодержащего компонента крови, тип концентрата тромбоцитов, тип препарата плазмы) осуществляется лечащим врачом или врачом-трансфузиологом в соответствии с клинической ситуаций и на основании Приказа Минздрава России от 28.10.2020 N 1170н </w:t>
      </w:r>
      <w:r>
        <w:t>«</w:t>
      </w:r>
      <w:r w:rsidRPr="00BE7AD6">
        <w:t>Об утверждении порядка оказания медицинской помощи населению по профилю "трансфузиология"</w:t>
      </w:r>
      <w:r>
        <w:t>»</w:t>
      </w:r>
      <w:r w:rsidRPr="00BE7AD6">
        <w:t>, Приказа Минздрава России от 20.10.2020 N 1134н «О порядке медицинского обследования реципиента, проведения проб на индивидуальную совместимость, включая биологическую пробу, при трансфузии донорской крови и (или) ее компонентов», рекомендациями «Клиническое использование эритроцитсодержащих компонентов крови»  (2018 г.), Постановления от 22.06.2019 г. N 797 «Об утверждении правил заготовки, хранения, транспортировки и клинического использования донорской крови и ее компонентов и о признании утратившими силу некоторых актов Правительства Российской Федерации»,  другими нормативными актами.</w:t>
      </w:r>
    </w:p>
    <w:p w14:paraId="57F49CB7" w14:textId="77777777" w:rsidR="00BE7AD6" w:rsidRPr="00BE7AD6" w:rsidRDefault="00BE7AD6" w:rsidP="00BE7AD6"/>
    <w:p w14:paraId="5E2CFA69" w14:textId="77777777" w:rsidR="00BE7AD6" w:rsidRPr="00334941" w:rsidRDefault="00BE7AD6" w:rsidP="00BE7AD6">
      <w:pPr>
        <w:pStyle w:val="afd"/>
        <w:rPr>
          <w:b/>
          <w:bCs/>
        </w:rPr>
      </w:pPr>
      <w:r w:rsidRPr="00334941">
        <w:rPr>
          <w:b/>
          <w:bCs/>
        </w:rPr>
        <w:t>Трансфузии эритроцитосодержащих компонентов крови (ЭСК)</w:t>
      </w:r>
    </w:p>
    <w:p w14:paraId="7E8F777D" w14:textId="77777777" w:rsidR="00BE7AD6" w:rsidRPr="00334941" w:rsidRDefault="00BE7AD6" w:rsidP="00BE7AD6">
      <w:pPr>
        <w:pStyle w:val="afd"/>
        <w:rPr>
          <w:i/>
          <w:iCs/>
        </w:rPr>
      </w:pPr>
      <w:r w:rsidRPr="00334941">
        <w:rPr>
          <w:i/>
          <w:iCs/>
        </w:rPr>
        <w:t>Необходимые исследования до трансфузии</w:t>
      </w:r>
    </w:p>
    <w:p w14:paraId="60E80572" w14:textId="77777777" w:rsidR="00BE7AD6" w:rsidRPr="00BE7AD6" w:rsidRDefault="00BE7AD6" w:rsidP="00BE7AD6">
      <w:pPr>
        <w:pStyle w:val="afd"/>
      </w:pPr>
      <w:r w:rsidRPr="00BE7AD6">
        <w:lastRenderedPageBreak/>
        <w:t xml:space="preserve">Всем гематологическим пациентам при поступлении в медицинскую организацию необходимо осуществить первичное определение группы крови в клиническом отделении по системе AB0 и резус-принадлежности с внесением результатов определения в медицинскую документацию. После первичного определения группы крови образец крови больного направляется в клинико-диагностическую лабораторию организации, осуществляющей клиническое использование донорской крови и ее компонентов, где проводят следующие подтверждающие исследования, c внесением в медицинскую документацию: </w:t>
      </w:r>
    </w:p>
    <w:p w14:paraId="4025DD2D" w14:textId="77777777" w:rsidR="00BE7AD6" w:rsidRPr="00BE7AD6" w:rsidRDefault="00BE7AD6" w:rsidP="00A265AD">
      <w:pPr>
        <w:pStyle w:val="afd"/>
        <w:numPr>
          <w:ilvl w:val="0"/>
          <w:numId w:val="59"/>
        </w:numPr>
      </w:pPr>
      <w:r w:rsidRPr="00BE7AD6">
        <w:t xml:space="preserve">определение основных групп крови по системе AB0, определение антигена D системы Резус (резус-фактор); </w:t>
      </w:r>
    </w:p>
    <w:p w14:paraId="07A2DD5E" w14:textId="77777777" w:rsidR="00BE7AD6" w:rsidRPr="00BE7AD6" w:rsidRDefault="00BE7AD6" w:rsidP="00A265AD">
      <w:pPr>
        <w:pStyle w:val="afd"/>
        <w:numPr>
          <w:ilvl w:val="0"/>
          <w:numId w:val="59"/>
        </w:numPr>
      </w:pPr>
      <w:r w:rsidRPr="00BE7AD6">
        <w:t xml:space="preserve">определение подгруппы и других групп крови меньшего значения A-1, A-2, D, Cc, E, Kell, Duffy; </w:t>
      </w:r>
    </w:p>
    <w:p w14:paraId="0E1326B5" w14:textId="77777777" w:rsidR="00BE7AD6" w:rsidRPr="00BE7AD6" w:rsidRDefault="00BE7AD6" w:rsidP="00A265AD">
      <w:pPr>
        <w:pStyle w:val="afd"/>
        <w:numPr>
          <w:ilvl w:val="0"/>
          <w:numId w:val="59"/>
        </w:numPr>
      </w:pPr>
      <w:r w:rsidRPr="00BE7AD6">
        <w:t>определение содержания аллоиммунных антител к антигенам гранулоцитов с использованием не менее 3 образцов тест-эритроцитов.</w:t>
      </w:r>
    </w:p>
    <w:p w14:paraId="0FC0B324" w14:textId="77777777" w:rsidR="00BE7AD6" w:rsidRPr="00BE7AD6" w:rsidRDefault="00BE7AD6" w:rsidP="00BE7AD6">
      <w:pPr>
        <w:pStyle w:val="afd"/>
      </w:pPr>
      <w:r w:rsidRPr="00BE7AD6">
        <w:t>При совпадении результатов определения антигенов эритроцитов Cc, E, Kell, проведенных дважды в организации, осуществляющей клиническое использование донорской крови и ее компонентов, антигены эритроцитов Cc, E, Kell считаются установленными и в дальнейшем не определяются.</w:t>
      </w:r>
    </w:p>
    <w:p w14:paraId="6EA52732" w14:textId="77777777" w:rsidR="00BE7AD6" w:rsidRPr="00BE7AD6" w:rsidRDefault="00BE7AD6" w:rsidP="00BE7AD6">
      <w:pPr>
        <w:pStyle w:val="afd"/>
      </w:pPr>
      <w:r w:rsidRPr="00BE7AD6">
        <w:t>Не допускается внесение в медицинскую документацию результатов указанных выше исследований на основании данных медицинской документации, оформленной иными медицинскими организациями, в которых больному ранее была оказана медицинская помощь или проводилось медицинское обследование.</w:t>
      </w:r>
    </w:p>
    <w:p w14:paraId="50DD8F11" w14:textId="77777777" w:rsidR="00BE7AD6" w:rsidRPr="00BE7AD6" w:rsidRDefault="00BE7AD6" w:rsidP="00BE7AD6">
      <w:pPr>
        <w:pStyle w:val="afd"/>
      </w:pPr>
      <w:r w:rsidRPr="00BE7AD6">
        <w:t>В целях профилактики реакций и осложнений в связи с трансфузией используются ЭСК, идентичные или совместимые по системе AB0, резус-принадлежности и K. При плановых трансфузиях ЭСК дополнительно учитывают совместимость донора и реципиента по антигенам эритроцитов C, c, E, e, СW.</w:t>
      </w:r>
    </w:p>
    <w:p w14:paraId="5EC65A36" w14:textId="77777777" w:rsidR="00BE7AD6" w:rsidRPr="00BE7AD6" w:rsidRDefault="00BE7AD6" w:rsidP="00BE7AD6">
      <w:pPr>
        <w:pStyle w:val="afd"/>
      </w:pPr>
      <w:r w:rsidRPr="00BE7AD6">
        <w:t xml:space="preserve">Индивидуальный подбор компонентов крови осуществляется реципиентам, имеющим: </w:t>
      </w:r>
    </w:p>
    <w:p w14:paraId="7A7FBE0D" w14:textId="77777777" w:rsidR="00BE7AD6" w:rsidRPr="00BE7AD6" w:rsidRDefault="00BE7AD6" w:rsidP="00A265AD">
      <w:pPr>
        <w:pStyle w:val="afd"/>
        <w:numPr>
          <w:ilvl w:val="0"/>
          <w:numId w:val="60"/>
        </w:numPr>
      </w:pPr>
      <w:r w:rsidRPr="00BE7AD6">
        <w:t>посттрансфузионные осложнения в анамнезе</w:t>
      </w:r>
    </w:p>
    <w:p w14:paraId="11AB0345" w14:textId="77777777" w:rsidR="00BE7AD6" w:rsidRPr="00BE7AD6" w:rsidRDefault="00BE7AD6" w:rsidP="00A265AD">
      <w:pPr>
        <w:pStyle w:val="afd"/>
        <w:numPr>
          <w:ilvl w:val="0"/>
          <w:numId w:val="60"/>
        </w:numPr>
      </w:pPr>
      <w:r w:rsidRPr="00BE7AD6">
        <w:t>беременность</w:t>
      </w:r>
    </w:p>
    <w:p w14:paraId="68A91BFF" w14:textId="77777777" w:rsidR="00BE7AD6" w:rsidRPr="00BE7AD6" w:rsidRDefault="00BE7AD6" w:rsidP="00A265AD">
      <w:pPr>
        <w:pStyle w:val="afd"/>
        <w:numPr>
          <w:ilvl w:val="0"/>
          <w:numId w:val="60"/>
        </w:numPr>
      </w:pPr>
      <w:r w:rsidRPr="00BE7AD6">
        <w:t>рождение детей с гемолитической болезнью новорожденного в анамнезе</w:t>
      </w:r>
    </w:p>
    <w:p w14:paraId="3AA3ECBD" w14:textId="77777777" w:rsidR="00BE7AD6" w:rsidRPr="00BE7AD6" w:rsidRDefault="00BE7AD6" w:rsidP="00A265AD">
      <w:pPr>
        <w:pStyle w:val="afd"/>
        <w:numPr>
          <w:ilvl w:val="0"/>
          <w:numId w:val="60"/>
        </w:numPr>
      </w:pPr>
      <w:r w:rsidRPr="00BE7AD6">
        <w:t xml:space="preserve">аллоиммунные антитела. </w:t>
      </w:r>
    </w:p>
    <w:p w14:paraId="3DBDE61A" w14:textId="77777777" w:rsidR="00BE7AD6" w:rsidRPr="00BE7AD6" w:rsidRDefault="00BE7AD6" w:rsidP="00BE7AD6">
      <w:pPr>
        <w:pStyle w:val="afd"/>
      </w:pPr>
      <w:r w:rsidRPr="00BE7AD6">
        <w:lastRenderedPageBreak/>
        <w:t>Индивидуальный подбор не отменяет постановку пробы на совместимость на плоскости при комнатной температуре и биологическую пробу врачом, проводящим трансфузию.</w:t>
      </w:r>
    </w:p>
    <w:p w14:paraId="39314C50" w14:textId="77777777" w:rsidR="00BE7AD6" w:rsidRPr="00BE7AD6" w:rsidRDefault="00BE7AD6" w:rsidP="00BE7AD6">
      <w:pPr>
        <w:pStyle w:val="afd"/>
      </w:pPr>
      <w:r w:rsidRPr="00BE7AD6">
        <w:t>При определении показаний к трансфузиям компонентов донорской крови обязательно проводятся следующие лабораторные исследования:</w:t>
      </w:r>
    </w:p>
    <w:p w14:paraId="33495CE0" w14:textId="77777777" w:rsidR="00BE7AD6" w:rsidRPr="00BE7AD6" w:rsidRDefault="00BE7AD6" w:rsidP="00BE7AD6">
      <w:pPr>
        <w:pStyle w:val="afd"/>
      </w:pPr>
      <w:r w:rsidRPr="00BE7AD6">
        <w:t>Перед трансфузией клеточных компонентов донорской крови (эритроцитная взвесь, концентрат тромбоцитов) - общий (клинический) анализ крови</w:t>
      </w:r>
    </w:p>
    <w:p w14:paraId="207CBF9D" w14:textId="77777777" w:rsidR="00BE7AD6" w:rsidRPr="00BE7AD6" w:rsidRDefault="00BE7AD6" w:rsidP="00BE7AD6">
      <w:pPr>
        <w:pStyle w:val="afd"/>
      </w:pPr>
      <w:r w:rsidRPr="00BE7AD6">
        <w:t>Перед трансфузией СЗП, криопреципитата и криосупернатантной плазмы - коагулограмма (ориентировочное исследования системы гемостаза).</w:t>
      </w:r>
    </w:p>
    <w:p w14:paraId="136BD9D3" w14:textId="77777777" w:rsidR="00334941" w:rsidRDefault="00334941" w:rsidP="00BE7AD6">
      <w:pPr>
        <w:pStyle w:val="afd"/>
      </w:pPr>
    </w:p>
    <w:p w14:paraId="7721D67F" w14:textId="469313CF" w:rsidR="00BE7AD6" w:rsidRPr="00334941" w:rsidRDefault="00BE7AD6" w:rsidP="00BE7AD6">
      <w:pPr>
        <w:pStyle w:val="afd"/>
        <w:rPr>
          <w:i/>
          <w:iCs/>
        </w:rPr>
      </w:pPr>
      <w:r w:rsidRPr="00334941">
        <w:rPr>
          <w:i/>
          <w:iCs/>
        </w:rPr>
        <w:t>Показания к переливанию ЭСК</w:t>
      </w:r>
    </w:p>
    <w:p w14:paraId="682EB7F3" w14:textId="77777777" w:rsidR="00BE7AD6" w:rsidRPr="00BE7AD6" w:rsidRDefault="00BE7AD6" w:rsidP="00BE7AD6">
      <w:pPr>
        <w:pStyle w:val="afd"/>
      </w:pPr>
      <w:r w:rsidRPr="00BE7AD6">
        <w:t>Пациентам с хронической анемией переливание показано при уровне гемоглобина &lt; 60 г/л. В данном случае переливание донорских эритроцитов проводится только для коррекции важнейших симптомов, обусловленных анемией и не поддающихся основной патогенетической терапии.</w:t>
      </w:r>
    </w:p>
    <w:p w14:paraId="6353E22E" w14:textId="77777777" w:rsidR="00BE7AD6" w:rsidRPr="00BE7AD6" w:rsidRDefault="00BE7AD6" w:rsidP="00BE7AD6">
      <w:pPr>
        <w:pStyle w:val="afd"/>
      </w:pPr>
      <w:r w:rsidRPr="00BE7AD6">
        <w:t>Пациентам с сепсисом, ишемической болезнью сердца (в том числе, инфарктом миокарда, стенокардией напряжения), миокардитом и другими кардиопатиями трансфузии эритроцитов рекомендованы при уровне гемоглобина &lt; 100 г/л.</w:t>
      </w:r>
    </w:p>
    <w:p w14:paraId="2418F70C" w14:textId="77777777" w:rsidR="00BE7AD6" w:rsidRPr="00BE7AD6" w:rsidRDefault="00BE7AD6" w:rsidP="00BE7AD6">
      <w:pPr>
        <w:pStyle w:val="afd"/>
      </w:pPr>
      <w:r w:rsidRPr="00BE7AD6">
        <w:t>Пациентам старше 60 лет трансфузии эритроцитов показаны при уровне гемоглобина &lt; 100 г/л.</w:t>
      </w:r>
    </w:p>
    <w:p w14:paraId="6CCA5642" w14:textId="77777777" w:rsidR="00BE7AD6" w:rsidRPr="00BE7AD6" w:rsidRDefault="00BE7AD6" w:rsidP="00BE7AD6">
      <w:pPr>
        <w:pStyle w:val="afd"/>
      </w:pPr>
      <w:r w:rsidRPr="00BE7AD6">
        <w:t>Беременным пациенткам с заболеваниями системы крови рекомендовано обеспечивать уровень гемоглобина в крови не менее 80 г/л.</w:t>
      </w:r>
    </w:p>
    <w:p w14:paraId="4A6220E1" w14:textId="77777777" w:rsidR="00BE7AD6" w:rsidRPr="00BE7AD6" w:rsidRDefault="00BE7AD6" w:rsidP="00BE7AD6">
      <w:pPr>
        <w:pStyle w:val="afd"/>
      </w:pPr>
      <w:r w:rsidRPr="00BE7AD6">
        <w:t>Кровопотеря, составляющая 15—30% от объема циркулирующей крови при наличии предшествующей анемии или сопутствующих кардиологических или пульмонологических заболеваниях.</w:t>
      </w:r>
    </w:p>
    <w:p w14:paraId="31943BFE" w14:textId="77777777" w:rsidR="00BE7AD6" w:rsidRPr="00BE7AD6" w:rsidRDefault="00BE7AD6" w:rsidP="00BE7AD6">
      <w:pPr>
        <w:pStyle w:val="afd"/>
      </w:pPr>
      <w:r w:rsidRPr="00BE7AD6">
        <w:t>Уровень гемоглобина ниже 70—90 г/л при активном кровотечении.</w:t>
      </w:r>
    </w:p>
    <w:p w14:paraId="1ECE5A77" w14:textId="72DD5940" w:rsidR="00BE7AD6" w:rsidRPr="00BE7AD6" w:rsidRDefault="00BE7AD6" w:rsidP="00BE7AD6">
      <w:pPr>
        <w:pStyle w:val="afd"/>
      </w:pPr>
      <w:r w:rsidRPr="00BE7AD6">
        <w:t>Уровень гемоглобина &lt; 100 г/л у пациентов с черепно-мозговой травмой, субарахноидальным кровоизлиянием, хронической дыхательной недостаточностью, ишемической болезнью сердца, кардиохирургических пациентов, пожилых пациентов</w:t>
      </w:r>
      <w:r w:rsidR="00732ADF">
        <w:t>.</w:t>
      </w:r>
    </w:p>
    <w:p w14:paraId="6D713CE0" w14:textId="77777777" w:rsidR="00BE7AD6" w:rsidRPr="00BE7AD6" w:rsidRDefault="00BE7AD6" w:rsidP="00BE7AD6">
      <w:pPr>
        <w:pStyle w:val="afd"/>
      </w:pPr>
      <w:r w:rsidRPr="00BE7AD6">
        <w:t>Рекомендуется соблюдение формулы 1:1:1, обозначающей должное соотношение эритроцитов, СЗП и тромбоцитов.</w:t>
      </w:r>
    </w:p>
    <w:p w14:paraId="2C395FAD" w14:textId="77777777" w:rsidR="00BE7AD6" w:rsidRPr="00BE7AD6" w:rsidRDefault="00BE7AD6" w:rsidP="00BE7AD6">
      <w:pPr>
        <w:pStyle w:val="afd"/>
      </w:pPr>
    </w:p>
    <w:p w14:paraId="301844E4" w14:textId="77777777" w:rsidR="00BE7AD6" w:rsidRPr="00732ADF" w:rsidRDefault="00BE7AD6" w:rsidP="00BE7AD6">
      <w:pPr>
        <w:pStyle w:val="afd"/>
        <w:rPr>
          <w:b/>
          <w:bCs/>
        </w:rPr>
      </w:pPr>
      <w:r w:rsidRPr="00732ADF">
        <w:rPr>
          <w:b/>
          <w:bCs/>
        </w:rPr>
        <w:t>Трансфузии концентрата тромбоцитов</w:t>
      </w:r>
    </w:p>
    <w:p w14:paraId="2E17BEE3" w14:textId="6987A22D" w:rsidR="00BE7AD6" w:rsidRPr="00BE7AD6" w:rsidRDefault="00BE7AD6" w:rsidP="00BE7AD6">
      <w:pPr>
        <w:pStyle w:val="afd"/>
      </w:pPr>
      <w:r w:rsidRPr="00BE7AD6">
        <w:lastRenderedPageBreak/>
        <w:t>Считается, что пороговый уровень тромбоцитов у пациентов в стационаре, при котором проводятся профилактические трансфузии концентрата тромбоцитов, составляет 10х10</w:t>
      </w:r>
      <w:r w:rsidRPr="00732ADF">
        <w:rPr>
          <w:vertAlign w:val="superscript"/>
        </w:rPr>
        <w:t>9</w:t>
      </w:r>
      <w:r w:rsidRPr="00BE7AD6">
        <w:t>/л при условии отсутствия факторов риска кровотечения. Для амбулаторных пациентов это значение может быть увеличено. Медицинские манипуляции, например</w:t>
      </w:r>
      <w:r w:rsidR="00732ADF">
        <w:t xml:space="preserve"> </w:t>
      </w:r>
      <w:r w:rsidRPr="00BE7AD6">
        <w:t>установка центрального венозного катетера (ЦВК), являются условием к проведению профилактических трансфузий концентрата тромбоцитов при количестве тромбоцитов в периферической крови 20-30х10</w:t>
      </w:r>
      <w:r w:rsidRPr="00732ADF">
        <w:rPr>
          <w:vertAlign w:val="superscript"/>
        </w:rPr>
        <w:t>9</w:t>
      </w:r>
      <w:r w:rsidRPr="00BE7AD6">
        <w:t>/л и ниже, а перед люмбальной пункцией или объемной операцией пороговый уровень тромбоцитов повышается до 50х10</w:t>
      </w:r>
      <w:r w:rsidRPr="00732ADF">
        <w:rPr>
          <w:vertAlign w:val="superscript"/>
        </w:rPr>
        <w:t>9</w:t>
      </w:r>
      <w:r w:rsidRPr="00BE7AD6">
        <w:t xml:space="preserve">/л. </w:t>
      </w:r>
    </w:p>
    <w:p w14:paraId="6002DF0F" w14:textId="7F88E582" w:rsidR="00BE7AD6" w:rsidRPr="00BE7AD6" w:rsidRDefault="00BE7AD6" w:rsidP="00BE7AD6">
      <w:pPr>
        <w:pStyle w:val="afd"/>
      </w:pPr>
      <w:r w:rsidRPr="00BE7AD6">
        <w:t xml:space="preserve">При некоторых гематологических заболеваниях, ассоциированных с повышенным риском геморрагических осложнений, пороговый уровень тромбоцитов должен быть увеличен. </w:t>
      </w:r>
      <w:r w:rsidR="00732ADF">
        <w:t>У</w:t>
      </w:r>
      <w:r w:rsidRPr="00BE7AD6">
        <w:t xml:space="preserve"> беременных пациенток с опухолевыми гематологическими заболеваниями пороговый уровень тромбоцитов составляет 30х10</w:t>
      </w:r>
      <w:r w:rsidRPr="00732ADF">
        <w:rPr>
          <w:vertAlign w:val="superscript"/>
        </w:rPr>
        <w:t>9</w:t>
      </w:r>
      <w:r w:rsidRPr="00BE7AD6">
        <w:t>/л.</w:t>
      </w:r>
    </w:p>
    <w:p w14:paraId="69341F0F" w14:textId="77777777" w:rsidR="00BE7AD6" w:rsidRPr="00BE7AD6" w:rsidRDefault="00BE7AD6" w:rsidP="00BE7AD6">
      <w:pPr>
        <w:pStyle w:val="afd"/>
      </w:pPr>
      <w:r w:rsidRPr="00BE7AD6">
        <w:t>Переливание тромбоцитов не показано при тромбоцитопении иммунного генеза, за исключением случаев, когда оно необходимо по жизненным показаниям при развившемся кровотечении. При тромбоцитопатиях трансфузия тромбоцитов также рутинно не показана, и осуществляется только в неотложных ситуациях: при массивных кровотечениях, операциях, родах.</w:t>
      </w:r>
    </w:p>
    <w:p w14:paraId="0F986FC6" w14:textId="63304208" w:rsidR="00BE7AD6" w:rsidRPr="00BE7AD6" w:rsidRDefault="00BE7AD6" w:rsidP="00BE7AD6">
      <w:pPr>
        <w:pStyle w:val="afd"/>
      </w:pPr>
      <w:r w:rsidRPr="00BE7AD6">
        <w:t>Показания к переливанию концентрата тромбоцитов с профилактической целью приведены в табл. </w:t>
      </w:r>
      <w:r w:rsidR="00732ADF">
        <w:t>7.9.</w:t>
      </w:r>
      <w:r w:rsidRPr="00BE7AD6">
        <w:t>1.</w:t>
      </w:r>
    </w:p>
    <w:p w14:paraId="6604B2EE" w14:textId="77777777" w:rsidR="00BE7AD6" w:rsidRPr="00BE7AD6" w:rsidRDefault="00BE7AD6" w:rsidP="00BE7AD6">
      <w:pPr>
        <w:pStyle w:val="afd"/>
      </w:pPr>
    </w:p>
    <w:p w14:paraId="5D51308C" w14:textId="1F2A879A" w:rsidR="00BE7AD6" w:rsidRPr="00BE7AD6" w:rsidRDefault="00BE7AD6" w:rsidP="00BE7AD6">
      <w:pPr>
        <w:pStyle w:val="afd"/>
      </w:pPr>
      <w:r w:rsidRPr="00BE7AD6">
        <w:t xml:space="preserve">Таблица </w:t>
      </w:r>
      <w:r w:rsidR="00732ADF">
        <w:t>7.9.</w:t>
      </w:r>
      <w:r w:rsidRPr="00BE7AD6">
        <w:t>1. Показания к переливанию концентрата тромбоцитов</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07"/>
        <w:gridCol w:w="2663"/>
        <w:gridCol w:w="3690"/>
      </w:tblGrid>
      <w:tr w:rsidR="00BE7AD6" w:rsidRPr="00BE7AD6" w14:paraId="683553A2" w14:textId="77777777" w:rsidTr="003D0E86">
        <w:tc>
          <w:tcPr>
            <w:tcW w:w="3007" w:type="dxa"/>
            <w:vAlign w:val="center"/>
          </w:tcPr>
          <w:p w14:paraId="0EC04DC5" w14:textId="77777777" w:rsidR="00BE7AD6" w:rsidRPr="00BE7AD6" w:rsidRDefault="00BE7AD6" w:rsidP="00732ADF">
            <w:pPr>
              <w:spacing w:line="360" w:lineRule="auto"/>
            </w:pPr>
            <w:r w:rsidRPr="00BE7AD6">
              <w:t>Показание</w:t>
            </w:r>
          </w:p>
        </w:tc>
        <w:tc>
          <w:tcPr>
            <w:tcW w:w="2663" w:type="dxa"/>
            <w:vAlign w:val="center"/>
          </w:tcPr>
          <w:p w14:paraId="0274290E" w14:textId="77777777" w:rsidR="00BE7AD6" w:rsidRPr="00BE7AD6" w:rsidRDefault="00BE7AD6" w:rsidP="00732ADF">
            <w:pPr>
              <w:spacing w:line="360" w:lineRule="auto"/>
            </w:pPr>
            <w:r w:rsidRPr="00BE7AD6">
              <w:t>Количество тромбоцитов в периферической крови</w:t>
            </w:r>
          </w:p>
        </w:tc>
        <w:tc>
          <w:tcPr>
            <w:tcW w:w="3690" w:type="dxa"/>
            <w:vAlign w:val="center"/>
          </w:tcPr>
          <w:p w14:paraId="3D57B130" w14:textId="77777777" w:rsidR="00BE7AD6" w:rsidRPr="00BE7AD6" w:rsidRDefault="00BE7AD6" w:rsidP="00732ADF">
            <w:pPr>
              <w:spacing w:line="360" w:lineRule="auto"/>
            </w:pPr>
            <w:r w:rsidRPr="00BE7AD6">
              <w:t>Примечания</w:t>
            </w:r>
          </w:p>
        </w:tc>
      </w:tr>
      <w:tr w:rsidR="00BE7AD6" w:rsidRPr="00BE7AD6" w14:paraId="5855F708" w14:textId="77777777" w:rsidTr="003D0E86">
        <w:tc>
          <w:tcPr>
            <w:tcW w:w="3007" w:type="dxa"/>
          </w:tcPr>
          <w:p w14:paraId="60D64C7C" w14:textId="77777777" w:rsidR="00BE7AD6" w:rsidRPr="00BE7AD6" w:rsidRDefault="00BE7AD6" w:rsidP="00732ADF">
            <w:pPr>
              <w:spacing w:line="360" w:lineRule="auto"/>
            </w:pPr>
            <w:r w:rsidRPr="00BE7AD6">
              <w:t>Во время или после химиотерапии, в период миелотоксического агранулоцитоза</w:t>
            </w:r>
          </w:p>
        </w:tc>
        <w:tc>
          <w:tcPr>
            <w:tcW w:w="2663" w:type="dxa"/>
            <w:vAlign w:val="center"/>
          </w:tcPr>
          <w:p w14:paraId="18411AB3" w14:textId="6C6F135B" w:rsidR="00BE7AD6" w:rsidRPr="00BE7AD6" w:rsidRDefault="00BE7AD6" w:rsidP="00732ADF">
            <w:pPr>
              <w:spacing w:line="360" w:lineRule="auto"/>
            </w:pPr>
            <w:r w:rsidRPr="00BE7AD6">
              <w:t>Менее 20 </w:t>
            </w:r>
            <w:r w:rsidR="00732ADF">
              <w:t xml:space="preserve">х </w:t>
            </w:r>
            <w:r w:rsidRPr="00BE7AD6">
              <w:t>10</w:t>
            </w:r>
            <w:r w:rsidRPr="00732ADF">
              <w:rPr>
                <w:vertAlign w:val="superscript"/>
              </w:rPr>
              <w:t>9</w:t>
            </w:r>
            <w:r w:rsidRPr="00BE7AD6">
              <w:t>/л</w:t>
            </w:r>
          </w:p>
        </w:tc>
        <w:tc>
          <w:tcPr>
            <w:tcW w:w="3690" w:type="dxa"/>
          </w:tcPr>
          <w:p w14:paraId="14A9FCDA" w14:textId="77777777" w:rsidR="00BE7AD6" w:rsidRPr="00BE7AD6" w:rsidRDefault="00BE7AD6" w:rsidP="00732ADF">
            <w:pPr>
              <w:spacing w:line="360" w:lineRule="auto"/>
            </w:pPr>
            <w:r w:rsidRPr="00BE7AD6">
              <w:t>При синдроме повышенного потребления тромбоцитов* данный порог необходимо повысить</w:t>
            </w:r>
          </w:p>
        </w:tc>
      </w:tr>
      <w:tr w:rsidR="00BE7AD6" w:rsidRPr="00BE7AD6" w14:paraId="6114A8BE" w14:textId="77777777" w:rsidTr="003D0E86">
        <w:tc>
          <w:tcPr>
            <w:tcW w:w="3007" w:type="dxa"/>
          </w:tcPr>
          <w:p w14:paraId="74F2E4D1" w14:textId="77777777" w:rsidR="00BE7AD6" w:rsidRPr="00BE7AD6" w:rsidRDefault="00BE7AD6" w:rsidP="00732ADF">
            <w:pPr>
              <w:spacing w:line="360" w:lineRule="auto"/>
            </w:pPr>
            <w:r w:rsidRPr="00BE7AD6">
              <w:t>Установка ЦВК</w:t>
            </w:r>
          </w:p>
        </w:tc>
        <w:tc>
          <w:tcPr>
            <w:tcW w:w="2663" w:type="dxa"/>
            <w:vAlign w:val="center"/>
          </w:tcPr>
          <w:p w14:paraId="254109E2" w14:textId="78846032" w:rsidR="00BE7AD6" w:rsidRPr="00BE7AD6" w:rsidRDefault="00BE7AD6" w:rsidP="00732ADF">
            <w:pPr>
              <w:spacing w:line="360" w:lineRule="auto"/>
            </w:pPr>
            <w:r w:rsidRPr="00BE7AD6">
              <w:t>Менее 30 </w:t>
            </w:r>
            <w:r w:rsidR="00732ADF">
              <w:t xml:space="preserve">х </w:t>
            </w:r>
            <w:r w:rsidRPr="00BE7AD6">
              <w:t>10</w:t>
            </w:r>
            <w:r w:rsidRPr="00732ADF">
              <w:rPr>
                <w:vertAlign w:val="superscript"/>
              </w:rPr>
              <w:t>9</w:t>
            </w:r>
            <w:r w:rsidRPr="00BE7AD6">
              <w:t>/л</w:t>
            </w:r>
          </w:p>
        </w:tc>
        <w:tc>
          <w:tcPr>
            <w:tcW w:w="3690" w:type="dxa"/>
          </w:tcPr>
          <w:p w14:paraId="4B24E291" w14:textId="77777777" w:rsidR="00BE7AD6" w:rsidRPr="00BE7AD6" w:rsidRDefault="00BE7AD6" w:rsidP="00732ADF">
            <w:pPr>
              <w:spacing w:line="360" w:lineRule="auto"/>
            </w:pPr>
            <w:r w:rsidRPr="00BE7AD6">
              <w:t>-</w:t>
            </w:r>
          </w:p>
        </w:tc>
      </w:tr>
      <w:tr w:rsidR="00BE7AD6" w:rsidRPr="00BE7AD6" w14:paraId="288D1D21" w14:textId="77777777" w:rsidTr="003D0E86">
        <w:tc>
          <w:tcPr>
            <w:tcW w:w="3007" w:type="dxa"/>
          </w:tcPr>
          <w:p w14:paraId="709A7995" w14:textId="77777777" w:rsidR="00BE7AD6" w:rsidRPr="00BE7AD6" w:rsidRDefault="00BE7AD6" w:rsidP="00732ADF">
            <w:pPr>
              <w:spacing w:line="360" w:lineRule="auto"/>
            </w:pPr>
            <w:r w:rsidRPr="00BE7AD6">
              <w:t>Люмбальная пункция</w:t>
            </w:r>
          </w:p>
        </w:tc>
        <w:tc>
          <w:tcPr>
            <w:tcW w:w="2663" w:type="dxa"/>
            <w:vAlign w:val="center"/>
          </w:tcPr>
          <w:p w14:paraId="71372CEE" w14:textId="4EDB14AF" w:rsidR="00BE7AD6" w:rsidRPr="00BE7AD6" w:rsidRDefault="00BE7AD6" w:rsidP="00732ADF">
            <w:pPr>
              <w:spacing w:line="360" w:lineRule="auto"/>
            </w:pPr>
            <w:r w:rsidRPr="00BE7AD6">
              <w:t>Менее 50 </w:t>
            </w:r>
            <w:r w:rsidR="00732ADF">
              <w:t xml:space="preserve">х </w:t>
            </w:r>
            <w:r w:rsidRPr="00BE7AD6">
              <w:t>10</w:t>
            </w:r>
            <w:r w:rsidRPr="00732ADF">
              <w:rPr>
                <w:vertAlign w:val="superscript"/>
              </w:rPr>
              <w:t>9</w:t>
            </w:r>
            <w:r w:rsidRPr="00BE7AD6">
              <w:t>/л</w:t>
            </w:r>
          </w:p>
        </w:tc>
        <w:tc>
          <w:tcPr>
            <w:tcW w:w="3690" w:type="dxa"/>
          </w:tcPr>
          <w:p w14:paraId="6CC3A490" w14:textId="77777777" w:rsidR="00BE7AD6" w:rsidRPr="00BE7AD6" w:rsidRDefault="00BE7AD6" w:rsidP="00732ADF">
            <w:pPr>
              <w:spacing w:line="360" w:lineRule="auto"/>
            </w:pPr>
            <w:r w:rsidRPr="00BE7AD6">
              <w:t>-</w:t>
            </w:r>
          </w:p>
        </w:tc>
      </w:tr>
      <w:tr w:rsidR="00BE7AD6" w:rsidRPr="00BE7AD6" w14:paraId="4D2BEE94" w14:textId="77777777" w:rsidTr="003D0E86">
        <w:tc>
          <w:tcPr>
            <w:tcW w:w="3007" w:type="dxa"/>
          </w:tcPr>
          <w:p w14:paraId="48A3355B" w14:textId="77777777" w:rsidR="00BE7AD6" w:rsidRPr="00BE7AD6" w:rsidRDefault="00BE7AD6" w:rsidP="00732ADF">
            <w:pPr>
              <w:spacing w:line="360" w:lineRule="auto"/>
            </w:pPr>
            <w:r w:rsidRPr="00BE7AD6">
              <w:t>Объемные операции и малообъемные инвазивные вмешательства</w:t>
            </w:r>
          </w:p>
        </w:tc>
        <w:tc>
          <w:tcPr>
            <w:tcW w:w="2663" w:type="dxa"/>
            <w:vAlign w:val="center"/>
          </w:tcPr>
          <w:p w14:paraId="3842D101" w14:textId="5740C231" w:rsidR="00BE7AD6" w:rsidRPr="00BE7AD6" w:rsidRDefault="00BE7AD6" w:rsidP="00732ADF">
            <w:pPr>
              <w:spacing w:line="360" w:lineRule="auto"/>
            </w:pPr>
            <w:r w:rsidRPr="00BE7AD6">
              <w:t>Менее 50 </w:t>
            </w:r>
            <w:r w:rsidR="00732ADF">
              <w:t>х</w:t>
            </w:r>
            <w:r w:rsidRPr="00BE7AD6">
              <w:t xml:space="preserve"> 10</w:t>
            </w:r>
            <w:r w:rsidRPr="00732ADF">
              <w:rPr>
                <w:vertAlign w:val="superscript"/>
              </w:rPr>
              <w:t>9</w:t>
            </w:r>
            <w:r w:rsidRPr="00BE7AD6">
              <w:t>/л</w:t>
            </w:r>
          </w:p>
        </w:tc>
        <w:tc>
          <w:tcPr>
            <w:tcW w:w="3690" w:type="dxa"/>
          </w:tcPr>
          <w:p w14:paraId="7658F13F" w14:textId="77777777" w:rsidR="00BE7AD6" w:rsidRPr="00BE7AD6" w:rsidRDefault="00BE7AD6" w:rsidP="00732ADF">
            <w:pPr>
              <w:spacing w:line="360" w:lineRule="auto"/>
            </w:pPr>
            <w:r w:rsidRPr="00BE7AD6">
              <w:t xml:space="preserve">Помимо профилактической трансфузии, необходимо резервирование концентрата </w:t>
            </w:r>
            <w:r w:rsidRPr="00BE7AD6">
              <w:lastRenderedPageBreak/>
              <w:t>тромбоцитов для проведения операции. Доза определяется массой тела пациента, а количество трансфузий — объемом операции</w:t>
            </w:r>
          </w:p>
        </w:tc>
      </w:tr>
      <w:tr w:rsidR="00BE7AD6" w:rsidRPr="00BE7AD6" w14:paraId="6ECBDB17" w14:textId="77777777" w:rsidTr="003D0E86">
        <w:tc>
          <w:tcPr>
            <w:tcW w:w="3007" w:type="dxa"/>
          </w:tcPr>
          <w:p w14:paraId="296C84CD" w14:textId="77777777" w:rsidR="00BE7AD6" w:rsidRPr="00BE7AD6" w:rsidRDefault="00BE7AD6" w:rsidP="00732ADF">
            <w:pPr>
              <w:spacing w:line="360" w:lineRule="auto"/>
            </w:pPr>
            <w:r w:rsidRPr="00BE7AD6">
              <w:lastRenderedPageBreak/>
              <w:t>Беременные</w:t>
            </w:r>
          </w:p>
        </w:tc>
        <w:tc>
          <w:tcPr>
            <w:tcW w:w="2663" w:type="dxa"/>
          </w:tcPr>
          <w:p w14:paraId="432F6891" w14:textId="7E8EB2DC" w:rsidR="00BE7AD6" w:rsidRPr="00BE7AD6" w:rsidRDefault="00BE7AD6" w:rsidP="00732ADF">
            <w:pPr>
              <w:spacing w:line="360" w:lineRule="auto"/>
            </w:pPr>
            <w:r w:rsidRPr="00BE7AD6">
              <w:t>Менее 30 </w:t>
            </w:r>
            <w:r w:rsidR="00732ADF">
              <w:t>х</w:t>
            </w:r>
            <w:r w:rsidRPr="00BE7AD6">
              <w:t xml:space="preserve"> 10</w:t>
            </w:r>
            <w:r w:rsidRPr="00732ADF">
              <w:rPr>
                <w:vertAlign w:val="superscript"/>
              </w:rPr>
              <w:t>9</w:t>
            </w:r>
            <w:r w:rsidRPr="00BE7AD6">
              <w:t>/л</w:t>
            </w:r>
          </w:p>
        </w:tc>
        <w:tc>
          <w:tcPr>
            <w:tcW w:w="3690" w:type="dxa"/>
          </w:tcPr>
          <w:p w14:paraId="0CCB5015" w14:textId="77777777" w:rsidR="00BE7AD6" w:rsidRPr="00BE7AD6" w:rsidRDefault="00BE7AD6" w:rsidP="00732ADF">
            <w:pPr>
              <w:spacing w:line="360" w:lineRule="auto"/>
            </w:pPr>
            <w:r w:rsidRPr="00BE7AD6">
              <w:t>-</w:t>
            </w:r>
          </w:p>
        </w:tc>
      </w:tr>
      <w:tr w:rsidR="00BE7AD6" w:rsidRPr="00BE7AD6" w14:paraId="6F4092A0" w14:textId="77777777" w:rsidTr="003D0E86">
        <w:tc>
          <w:tcPr>
            <w:tcW w:w="3007" w:type="dxa"/>
          </w:tcPr>
          <w:p w14:paraId="1DA0FAAB" w14:textId="77777777" w:rsidR="00BE7AD6" w:rsidRPr="00BE7AD6" w:rsidRDefault="00BE7AD6" w:rsidP="00732ADF">
            <w:pPr>
              <w:spacing w:line="360" w:lineRule="auto"/>
            </w:pPr>
            <w:r w:rsidRPr="00BE7AD6">
              <w:t>Пациенты с ОПЛ</w:t>
            </w:r>
          </w:p>
        </w:tc>
        <w:tc>
          <w:tcPr>
            <w:tcW w:w="2663" w:type="dxa"/>
          </w:tcPr>
          <w:p w14:paraId="43BD2898" w14:textId="53C34EE4" w:rsidR="00BE7AD6" w:rsidRPr="00BE7AD6" w:rsidRDefault="00BE7AD6" w:rsidP="00732ADF">
            <w:pPr>
              <w:spacing w:line="360" w:lineRule="auto"/>
            </w:pPr>
            <w:r w:rsidRPr="00BE7AD6">
              <w:t>Менее 50 </w:t>
            </w:r>
            <w:r w:rsidR="00732ADF">
              <w:t>х</w:t>
            </w:r>
            <w:r w:rsidRPr="00BE7AD6">
              <w:t xml:space="preserve"> 10</w:t>
            </w:r>
            <w:r w:rsidRPr="00732ADF">
              <w:rPr>
                <w:vertAlign w:val="superscript"/>
              </w:rPr>
              <w:t>9</w:t>
            </w:r>
            <w:r w:rsidRPr="00BE7AD6">
              <w:t>/л</w:t>
            </w:r>
          </w:p>
        </w:tc>
        <w:tc>
          <w:tcPr>
            <w:tcW w:w="3690" w:type="dxa"/>
          </w:tcPr>
          <w:p w14:paraId="4ACB2B15" w14:textId="77777777" w:rsidR="00BE7AD6" w:rsidRPr="00BE7AD6" w:rsidRDefault="00BE7AD6" w:rsidP="00732ADF">
            <w:pPr>
              <w:spacing w:line="360" w:lineRule="auto"/>
            </w:pPr>
            <w:r w:rsidRPr="00BE7AD6">
              <w:t>-</w:t>
            </w:r>
          </w:p>
        </w:tc>
      </w:tr>
      <w:tr w:rsidR="00BE7AD6" w:rsidRPr="00BE7AD6" w14:paraId="27930A5E" w14:textId="77777777" w:rsidTr="003D0E86">
        <w:tc>
          <w:tcPr>
            <w:tcW w:w="3007" w:type="dxa"/>
          </w:tcPr>
          <w:p w14:paraId="1B4607B4" w14:textId="77777777" w:rsidR="00BE7AD6" w:rsidRPr="00BE7AD6" w:rsidRDefault="00BE7AD6" w:rsidP="00732ADF">
            <w:pPr>
              <w:spacing w:line="360" w:lineRule="auto"/>
            </w:pPr>
            <w:r w:rsidRPr="00BE7AD6">
              <w:t>ДВС-синдром</w:t>
            </w:r>
          </w:p>
        </w:tc>
        <w:tc>
          <w:tcPr>
            <w:tcW w:w="2663" w:type="dxa"/>
          </w:tcPr>
          <w:p w14:paraId="68A2365E" w14:textId="1CC9C368" w:rsidR="00BE7AD6" w:rsidRPr="00BE7AD6" w:rsidRDefault="00BE7AD6" w:rsidP="00732ADF">
            <w:pPr>
              <w:spacing w:line="360" w:lineRule="auto"/>
            </w:pPr>
            <w:r w:rsidRPr="00BE7AD6">
              <w:t>Менее 50 </w:t>
            </w:r>
            <w:r w:rsidR="00732ADF">
              <w:t>х</w:t>
            </w:r>
            <w:r w:rsidRPr="00BE7AD6">
              <w:t xml:space="preserve"> 10</w:t>
            </w:r>
            <w:r w:rsidRPr="00732ADF">
              <w:rPr>
                <w:vertAlign w:val="superscript"/>
              </w:rPr>
              <w:t>9</w:t>
            </w:r>
            <w:r w:rsidRPr="00BE7AD6">
              <w:t>/л</w:t>
            </w:r>
          </w:p>
        </w:tc>
        <w:tc>
          <w:tcPr>
            <w:tcW w:w="3690" w:type="dxa"/>
          </w:tcPr>
          <w:p w14:paraId="320C93E8" w14:textId="77777777" w:rsidR="00BE7AD6" w:rsidRPr="00BE7AD6" w:rsidRDefault="00BE7AD6" w:rsidP="00732ADF">
            <w:pPr>
              <w:spacing w:line="360" w:lineRule="auto"/>
            </w:pPr>
            <w:r w:rsidRPr="00BE7AD6">
              <w:t>Как часть основной терапии ДВС- синдрома</w:t>
            </w:r>
          </w:p>
        </w:tc>
      </w:tr>
    </w:tbl>
    <w:p w14:paraId="4F017EE1" w14:textId="77777777" w:rsidR="00BE7AD6" w:rsidRPr="00BE7AD6" w:rsidRDefault="00BE7AD6" w:rsidP="00BE7AD6">
      <w:r w:rsidRPr="00BE7AD6">
        <w:t>* Сепсис, пульмонологические заболевания, лихорадка.</w:t>
      </w:r>
    </w:p>
    <w:p w14:paraId="076D6990" w14:textId="77777777" w:rsidR="00BE7AD6" w:rsidRPr="00BE7AD6" w:rsidRDefault="00BE7AD6" w:rsidP="00BE7AD6"/>
    <w:p w14:paraId="01C5D9D7" w14:textId="76E8D413" w:rsidR="00BE7AD6" w:rsidRPr="00BE7AD6" w:rsidRDefault="00BE7AD6" w:rsidP="00732ADF">
      <w:pPr>
        <w:pStyle w:val="afd"/>
      </w:pPr>
      <w:r w:rsidRPr="00BE7AD6">
        <w:t>Наличие у пациента геморрагического синдрома — прямое показание к переливанию концентрата тромбоцитов независимо от лабораторных показателей. Оценка тяжести геморрагического синдрома проводится по шкале ВОЗ (табл. </w:t>
      </w:r>
      <w:r w:rsidR="00732ADF">
        <w:t>7.9.</w:t>
      </w:r>
      <w:r w:rsidRPr="00BE7AD6">
        <w:t>2).</w:t>
      </w:r>
    </w:p>
    <w:p w14:paraId="1E42C228" w14:textId="77777777" w:rsidR="00BE7AD6" w:rsidRPr="00BE7AD6" w:rsidRDefault="00BE7AD6" w:rsidP="00732ADF">
      <w:pPr>
        <w:pStyle w:val="afd"/>
      </w:pPr>
    </w:p>
    <w:p w14:paraId="021F4317" w14:textId="6DCCF892" w:rsidR="00BE7AD6" w:rsidRPr="00BE7AD6" w:rsidRDefault="00BE7AD6" w:rsidP="00732ADF">
      <w:pPr>
        <w:pStyle w:val="afd"/>
      </w:pPr>
      <w:r w:rsidRPr="00BE7AD6">
        <w:t xml:space="preserve">Таблица </w:t>
      </w:r>
      <w:r w:rsidR="00732ADF">
        <w:t>7.9.</w:t>
      </w:r>
      <w:r w:rsidRPr="00BE7AD6">
        <w:t>2. Шкала кровотечений по ВОЗ</w:t>
      </w:r>
    </w:p>
    <w:tbl>
      <w:tblPr>
        <w:tblW w:w="0" w:type="auto"/>
        <w:tblInd w:w="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29"/>
      </w:tblGrid>
      <w:tr w:rsidR="00BE7AD6" w:rsidRPr="00BE7AD6" w14:paraId="13737312" w14:textId="77777777" w:rsidTr="003D0E86">
        <w:tc>
          <w:tcPr>
            <w:tcW w:w="9121" w:type="dxa"/>
            <w:shd w:val="clear" w:color="auto" w:fill="auto"/>
          </w:tcPr>
          <w:p w14:paraId="045D8993" w14:textId="77777777" w:rsidR="00BE7AD6" w:rsidRPr="00BE7AD6" w:rsidRDefault="00BE7AD6" w:rsidP="00732ADF">
            <w:pPr>
              <w:spacing w:line="360" w:lineRule="auto"/>
            </w:pPr>
            <w:r w:rsidRPr="00BE7AD6">
              <w:t>1 степень (не требует трансфузии)</w:t>
            </w:r>
          </w:p>
        </w:tc>
      </w:tr>
      <w:tr w:rsidR="00BE7AD6" w:rsidRPr="00BE7AD6" w14:paraId="1E3E54FE" w14:textId="77777777" w:rsidTr="003D0E86">
        <w:tc>
          <w:tcPr>
            <w:tcW w:w="9121" w:type="dxa"/>
            <w:shd w:val="clear" w:color="auto" w:fill="auto"/>
          </w:tcPr>
          <w:p w14:paraId="4F123985" w14:textId="77777777" w:rsidR="00BE7AD6" w:rsidRPr="00BE7AD6" w:rsidRDefault="00BE7AD6" w:rsidP="00732ADF">
            <w:pPr>
              <w:spacing w:line="360" w:lineRule="auto"/>
            </w:pPr>
            <w:r w:rsidRPr="00BE7AD6">
              <w:t>Кровоточивость кожи и слизистых, включая полость рта</w:t>
            </w:r>
          </w:p>
          <w:p w14:paraId="0935728F" w14:textId="77777777" w:rsidR="00BE7AD6" w:rsidRPr="00BE7AD6" w:rsidRDefault="00BE7AD6" w:rsidP="00732ADF">
            <w:pPr>
              <w:spacing w:line="360" w:lineRule="auto"/>
            </w:pPr>
            <w:r w:rsidRPr="00BE7AD6">
              <w:t>Петехии менее 2 мм</w:t>
            </w:r>
          </w:p>
          <w:p w14:paraId="62787B77" w14:textId="77777777" w:rsidR="00BE7AD6" w:rsidRPr="00BE7AD6" w:rsidRDefault="00BE7AD6" w:rsidP="00732ADF">
            <w:pPr>
              <w:spacing w:line="360" w:lineRule="auto"/>
            </w:pPr>
            <w:r w:rsidRPr="00BE7AD6">
              <w:t>Пурпура менее 2,54 см в диаметре</w:t>
            </w:r>
          </w:p>
          <w:p w14:paraId="432561D1" w14:textId="77777777" w:rsidR="00BE7AD6" w:rsidRPr="00BE7AD6" w:rsidRDefault="00BE7AD6" w:rsidP="00732ADF">
            <w:pPr>
              <w:spacing w:line="360" w:lineRule="auto"/>
            </w:pPr>
            <w:r w:rsidRPr="00BE7AD6">
              <w:t>Экхимозы (очаги менее 10 см в диаметре)</w:t>
            </w:r>
          </w:p>
          <w:p w14:paraId="0C2663C0" w14:textId="77777777" w:rsidR="00BE7AD6" w:rsidRPr="00BE7AD6" w:rsidRDefault="00BE7AD6" w:rsidP="00732ADF">
            <w:pPr>
              <w:spacing w:line="360" w:lineRule="auto"/>
            </w:pPr>
            <w:r w:rsidRPr="00BE7AD6">
              <w:t>Ротоглоточные кровотечения</w:t>
            </w:r>
          </w:p>
          <w:p w14:paraId="37CD618A" w14:textId="77777777" w:rsidR="00BE7AD6" w:rsidRPr="00BE7AD6" w:rsidRDefault="00BE7AD6" w:rsidP="00732ADF">
            <w:pPr>
              <w:spacing w:line="360" w:lineRule="auto"/>
            </w:pPr>
            <w:r w:rsidRPr="00BE7AD6">
              <w:t>Кровоизлияния в конъюнктиву</w:t>
            </w:r>
          </w:p>
          <w:p w14:paraId="5D23CC17" w14:textId="77777777" w:rsidR="00BE7AD6" w:rsidRPr="00BE7AD6" w:rsidRDefault="00BE7AD6" w:rsidP="00732ADF">
            <w:pPr>
              <w:spacing w:line="360" w:lineRule="auto"/>
            </w:pPr>
            <w:r w:rsidRPr="00BE7AD6">
              <w:t>Носовые кровотечения продолжительностью менее 1 часа, не требующие вмешательства</w:t>
            </w:r>
          </w:p>
          <w:p w14:paraId="415969D8" w14:textId="77777777" w:rsidR="00BE7AD6" w:rsidRPr="00BE7AD6" w:rsidRDefault="00BE7AD6" w:rsidP="00732ADF">
            <w:pPr>
              <w:spacing w:line="360" w:lineRule="auto"/>
            </w:pPr>
            <w:r w:rsidRPr="00BE7AD6">
              <w:t>Аномальные ациклические маточные кровотечения (менее двух прокладок в сутки)</w:t>
            </w:r>
          </w:p>
        </w:tc>
      </w:tr>
      <w:tr w:rsidR="00BE7AD6" w:rsidRPr="00BE7AD6" w14:paraId="78183909" w14:textId="77777777" w:rsidTr="003D0E86">
        <w:tc>
          <w:tcPr>
            <w:tcW w:w="9121" w:type="dxa"/>
            <w:shd w:val="clear" w:color="auto" w:fill="auto"/>
          </w:tcPr>
          <w:p w14:paraId="584F5FBA" w14:textId="77777777" w:rsidR="00BE7AD6" w:rsidRPr="00BE7AD6" w:rsidRDefault="00BE7AD6" w:rsidP="00732ADF">
            <w:pPr>
              <w:spacing w:line="360" w:lineRule="auto"/>
            </w:pPr>
            <w:r w:rsidRPr="00BE7AD6">
              <w:t>2 степень (в основном не требуют трансфузии)</w:t>
            </w:r>
          </w:p>
        </w:tc>
      </w:tr>
      <w:tr w:rsidR="00BE7AD6" w:rsidRPr="00BE7AD6" w14:paraId="5282B5B6" w14:textId="77777777" w:rsidTr="003D0E86">
        <w:tc>
          <w:tcPr>
            <w:tcW w:w="9121" w:type="dxa"/>
            <w:shd w:val="clear" w:color="auto" w:fill="auto"/>
          </w:tcPr>
          <w:p w14:paraId="5450FFA3" w14:textId="77777777" w:rsidR="00BE7AD6" w:rsidRPr="00BE7AD6" w:rsidRDefault="00BE7AD6" w:rsidP="00732ADF">
            <w:pPr>
              <w:spacing w:line="360" w:lineRule="auto"/>
            </w:pPr>
            <w:r w:rsidRPr="00BE7AD6">
              <w:t>Экхимозы (более 10 см в диаметре)</w:t>
            </w:r>
          </w:p>
          <w:p w14:paraId="426BE34F" w14:textId="77777777" w:rsidR="00BE7AD6" w:rsidRPr="00BE7AD6" w:rsidRDefault="00BE7AD6" w:rsidP="00732ADF">
            <w:pPr>
              <w:spacing w:line="360" w:lineRule="auto"/>
            </w:pPr>
            <w:r w:rsidRPr="00BE7AD6">
              <w:t>Гематомы</w:t>
            </w:r>
          </w:p>
          <w:p w14:paraId="3FFC3866" w14:textId="77777777" w:rsidR="00BE7AD6" w:rsidRPr="00BE7AD6" w:rsidRDefault="00BE7AD6" w:rsidP="00732ADF">
            <w:pPr>
              <w:spacing w:line="360" w:lineRule="auto"/>
            </w:pPr>
            <w:r w:rsidRPr="00BE7AD6">
              <w:t>Носовые кровотечения продолжительностью более 1 часа или требующие тампонады</w:t>
            </w:r>
          </w:p>
          <w:p w14:paraId="4A0C6DB5" w14:textId="77777777" w:rsidR="00BE7AD6" w:rsidRPr="00BE7AD6" w:rsidRDefault="00BE7AD6" w:rsidP="00732ADF">
            <w:pPr>
              <w:spacing w:line="360" w:lineRule="auto"/>
            </w:pPr>
            <w:r w:rsidRPr="00BE7AD6">
              <w:t>Кровоизлияния в сетчатку без ухудшения зрения</w:t>
            </w:r>
          </w:p>
          <w:p w14:paraId="59D98BA0" w14:textId="77777777" w:rsidR="00BE7AD6" w:rsidRPr="00BE7AD6" w:rsidRDefault="00BE7AD6" w:rsidP="00732ADF">
            <w:pPr>
              <w:spacing w:line="360" w:lineRule="auto"/>
            </w:pPr>
            <w:r w:rsidRPr="00BE7AD6">
              <w:t>Аномальные ациклические маточные кровотечения (более двух прокладок в сутки)</w:t>
            </w:r>
          </w:p>
          <w:p w14:paraId="09CE4EEC" w14:textId="77777777" w:rsidR="00BE7AD6" w:rsidRPr="00BE7AD6" w:rsidRDefault="00BE7AD6" w:rsidP="00732ADF">
            <w:pPr>
              <w:spacing w:line="360" w:lineRule="auto"/>
            </w:pPr>
            <w:r w:rsidRPr="00BE7AD6">
              <w:lastRenderedPageBreak/>
              <w:t>Мелена, рвота с кровью, кровохарканье, гематурия, стул с кровью</w:t>
            </w:r>
          </w:p>
          <w:p w14:paraId="4AB66663" w14:textId="77777777" w:rsidR="00BE7AD6" w:rsidRPr="00BE7AD6" w:rsidRDefault="00BE7AD6" w:rsidP="00732ADF">
            <w:pPr>
              <w:spacing w:line="360" w:lineRule="auto"/>
            </w:pPr>
            <w:r w:rsidRPr="00BE7AD6">
              <w:t>Кровотечения после инвазивных вмешательств, мышечно-суставные кровоизлияния</w:t>
            </w:r>
          </w:p>
        </w:tc>
      </w:tr>
      <w:tr w:rsidR="00BE7AD6" w:rsidRPr="00BE7AD6" w14:paraId="4199FD6D" w14:textId="77777777" w:rsidTr="003D0E86">
        <w:tc>
          <w:tcPr>
            <w:tcW w:w="9121" w:type="dxa"/>
            <w:shd w:val="clear" w:color="auto" w:fill="auto"/>
          </w:tcPr>
          <w:p w14:paraId="7B81E779" w14:textId="77777777" w:rsidR="00BE7AD6" w:rsidRPr="00BE7AD6" w:rsidRDefault="00BE7AD6" w:rsidP="00732ADF">
            <w:pPr>
              <w:spacing w:line="360" w:lineRule="auto"/>
            </w:pPr>
            <w:r w:rsidRPr="00BE7AD6">
              <w:lastRenderedPageBreak/>
              <w:t>3 степень (требуют трансфузии)</w:t>
            </w:r>
          </w:p>
        </w:tc>
      </w:tr>
      <w:tr w:rsidR="00BE7AD6" w:rsidRPr="00BE7AD6" w14:paraId="2B31EAA7" w14:textId="77777777" w:rsidTr="003D0E86">
        <w:tc>
          <w:tcPr>
            <w:tcW w:w="9121" w:type="dxa"/>
            <w:shd w:val="clear" w:color="auto" w:fill="auto"/>
          </w:tcPr>
          <w:p w14:paraId="4B9C0ACD" w14:textId="77777777" w:rsidR="00BE7AD6" w:rsidRPr="00BE7AD6" w:rsidRDefault="00BE7AD6" w:rsidP="00732ADF">
            <w:pPr>
              <w:spacing w:line="360" w:lineRule="auto"/>
            </w:pPr>
            <w:r w:rsidRPr="00BE7AD6">
              <w:t>Мелена</w:t>
            </w:r>
          </w:p>
          <w:p w14:paraId="3C5729E6" w14:textId="77777777" w:rsidR="00BE7AD6" w:rsidRPr="00BE7AD6" w:rsidRDefault="00BE7AD6" w:rsidP="00732ADF">
            <w:pPr>
              <w:spacing w:line="360" w:lineRule="auto"/>
            </w:pPr>
            <w:r w:rsidRPr="00BE7AD6">
              <w:t>Рвота с кровью</w:t>
            </w:r>
          </w:p>
          <w:p w14:paraId="76EF24B5" w14:textId="77777777" w:rsidR="00BE7AD6" w:rsidRPr="00BE7AD6" w:rsidRDefault="00BE7AD6" w:rsidP="00732ADF">
            <w:pPr>
              <w:spacing w:line="360" w:lineRule="auto"/>
            </w:pPr>
            <w:r w:rsidRPr="00BE7AD6">
              <w:t>Кровохарканье</w:t>
            </w:r>
          </w:p>
          <w:p w14:paraId="4F6030E2" w14:textId="77777777" w:rsidR="00BE7AD6" w:rsidRPr="00BE7AD6" w:rsidRDefault="00BE7AD6" w:rsidP="00732ADF">
            <w:pPr>
              <w:spacing w:line="360" w:lineRule="auto"/>
            </w:pPr>
            <w:r w:rsidRPr="00BE7AD6">
              <w:t xml:space="preserve">Гематурия, включая непрекращающееся кровотечение без свертывания </w:t>
            </w:r>
          </w:p>
          <w:p w14:paraId="38403521" w14:textId="77777777" w:rsidR="00BE7AD6" w:rsidRPr="00BE7AD6" w:rsidRDefault="00BE7AD6" w:rsidP="00732ADF">
            <w:pPr>
              <w:spacing w:line="360" w:lineRule="auto"/>
            </w:pPr>
            <w:r w:rsidRPr="00BE7AD6">
              <w:t>Аномальные маточные кровотечения</w:t>
            </w:r>
          </w:p>
          <w:p w14:paraId="12430377" w14:textId="77777777" w:rsidR="00BE7AD6" w:rsidRPr="00BE7AD6" w:rsidRDefault="00BE7AD6" w:rsidP="00732ADF">
            <w:pPr>
              <w:spacing w:line="360" w:lineRule="auto"/>
            </w:pPr>
            <w:r w:rsidRPr="00BE7AD6">
              <w:t>Стул с кровью</w:t>
            </w:r>
          </w:p>
          <w:p w14:paraId="2FE8A2DB" w14:textId="77777777" w:rsidR="00BE7AD6" w:rsidRPr="00BE7AD6" w:rsidRDefault="00BE7AD6" w:rsidP="00732ADF">
            <w:pPr>
              <w:spacing w:line="360" w:lineRule="auto"/>
            </w:pPr>
            <w:r w:rsidRPr="00BE7AD6">
              <w:t xml:space="preserve">Носовое кровотечение </w:t>
            </w:r>
          </w:p>
          <w:p w14:paraId="0ABC6EFF" w14:textId="77777777" w:rsidR="00BE7AD6" w:rsidRPr="00BE7AD6" w:rsidRDefault="00BE7AD6" w:rsidP="00732ADF">
            <w:pPr>
              <w:spacing w:line="360" w:lineRule="auto"/>
            </w:pPr>
            <w:r w:rsidRPr="00BE7AD6">
              <w:t>Ротоглоточное кровотечение</w:t>
            </w:r>
          </w:p>
          <w:p w14:paraId="79FAF264" w14:textId="77777777" w:rsidR="00BE7AD6" w:rsidRPr="00BE7AD6" w:rsidRDefault="00BE7AD6" w:rsidP="00732ADF">
            <w:pPr>
              <w:spacing w:line="360" w:lineRule="auto"/>
            </w:pPr>
            <w:r w:rsidRPr="00BE7AD6">
              <w:t>Кровотечения после инвазивных вмешательств, мышечно-суставные кровоизлияния или кровоизлияния в мягкие ткани</w:t>
            </w:r>
          </w:p>
        </w:tc>
      </w:tr>
      <w:tr w:rsidR="00BE7AD6" w:rsidRPr="00BE7AD6" w14:paraId="6FD37561" w14:textId="77777777" w:rsidTr="003D0E86">
        <w:tc>
          <w:tcPr>
            <w:tcW w:w="9121" w:type="dxa"/>
            <w:shd w:val="clear" w:color="auto" w:fill="auto"/>
          </w:tcPr>
          <w:p w14:paraId="3503DA1E" w14:textId="77777777" w:rsidR="00BE7AD6" w:rsidRPr="00BE7AD6" w:rsidRDefault="00BE7AD6" w:rsidP="00732ADF">
            <w:pPr>
              <w:spacing w:line="360" w:lineRule="auto"/>
            </w:pPr>
            <w:r w:rsidRPr="00BE7AD6">
              <w:t>4 степень (требуют трансфузии)</w:t>
            </w:r>
          </w:p>
        </w:tc>
      </w:tr>
      <w:tr w:rsidR="00BE7AD6" w:rsidRPr="00BE7AD6" w14:paraId="043143BB" w14:textId="77777777" w:rsidTr="003D0E86">
        <w:tc>
          <w:tcPr>
            <w:tcW w:w="9121" w:type="dxa"/>
            <w:shd w:val="clear" w:color="auto" w:fill="auto"/>
          </w:tcPr>
          <w:p w14:paraId="1E4B0B31" w14:textId="77777777" w:rsidR="00BE7AD6" w:rsidRPr="00BE7AD6" w:rsidRDefault="00BE7AD6" w:rsidP="00732ADF">
            <w:pPr>
              <w:spacing w:line="360" w:lineRule="auto"/>
            </w:pPr>
            <w:r w:rsidRPr="00BE7AD6">
              <w:t>Кровоизлияния в сетчатку с нарушением зрения</w:t>
            </w:r>
          </w:p>
          <w:p w14:paraId="3FF92181" w14:textId="77777777" w:rsidR="00BE7AD6" w:rsidRPr="00BE7AD6" w:rsidRDefault="00BE7AD6" w:rsidP="00732ADF">
            <w:pPr>
              <w:spacing w:line="360" w:lineRule="auto"/>
            </w:pPr>
            <w:r w:rsidRPr="00BE7AD6">
              <w:t>Нефатальные кровоизлияния в ЦНС с неврологической симптоматикой</w:t>
            </w:r>
          </w:p>
          <w:p w14:paraId="53872F5F" w14:textId="77777777" w:rsidR="00BE7AD6" w:rsidRPr="00BE7AD6" w:rsidRDefault="00BE7AD6" w:rsidP="00732ADF">
            <w:pPr>
              <w:spacing w:line="360" w:lineRule="auto"/>
            </w:pPr>
            <w:r w:rsidRPr="00BE7AD6">
              <w:t>Фатальные кровотечения вне зависимости от источника</w:t>
            </w:r>
          </w:p>
        </w:tc>
      </w:tr>
    </w:tbl>
    <w:p w14:paraId="710005D7" w14:textId="77777777" w:rsidR="00BE7AD6" w:rsidRPr="00BE7AD6" w:rsidRDefault="00BE7AD6" w:rsidP="00BE7AD6"/>
    <w:p w14:paraId="28ED100E" w14:textId="77777777" w:rsidR="00BE7AD6" w:rsidRPr="00732ADF" w:rsidRDefault="00BE7AD6" w:rsidP="00732ADF">
      <w:pPr>
        <w:pStyle w:val="afd"/>
        <w:rPr>
          <w:i/>
          <w:iCs/>
        </w:rPr>
      </w:pPr>
      <w:r w:rsidRPr="00732ADF">
        <w:rPr>
          <w:i/>
          <w:iCs/>
        </w:rPr>
        <w:t>Расчет дозы концентрата тромбоцитов для трансфузий</w:t>
      </w:r>
    </w:p>
    <w:p w14:paraId="298DA1CF" w14:textId="59A68F1C" w:rsidR="00BE7AD6" w:rsidRPr="00BE7AD6" w:rsidRDefault="00BE7AD6" w:rsidP="00732ADF">
      <w:pPr>
        <w:pStyle w:val="afd"/>
      </w:pPr>
      <w:r w:rsidRPr="00BE7AD6">
        <w:t>Количество концентрата тромбоцитов для трансфузии необходимо использовать из расчета 50-70</w:t>
      </w:r>
      <w:r w:rsidR="00732ADF">
        <w:t> </w:t>
      </w:r>
      <w:r w:rsidRPr="00BE7AD6">
        <w:t>х</w:t>
      </w:r>
      <w:r w:rsidR="00732ADF">
        <w:t> </w:t>
      </w:r>
      <w:r w:rsidRPr="00BE7AD6">
        <w:t>10</w:t>
      </w:r>
      <w:r w:rsidRPr="00732ADF">
        <w:rPr>
          <w:vertAlign w:val="superscript"/>
        </w:rPr>
        <w:t>9</w:t>
      </w:r>
      <w:r w:rsidRPr="00BE7AD6">
        <w:t xml:space="preserve"> тромбоцитов на 10 кг массы тела реципиента или 200-250</w:t>
      </w:r>
      <w:r w:rsidR="00732ADF">
        <w:t> </w:t>
      </w:r>
      <w:r w:rsidRPr="00BE7AD6">
        <w:t>х</w:t>
      </w:r>
      <w:r w:rsidR="00732ADF">
        <w:t> </w:t>
      </w:r>
      <w:r w:rsidRPr="00BE7AD6">
        <w:t>10</w:t>
      </w:r>
      <w:r w:rsidRPr="00732ADF">
        <w:rPr>
          <w:vertAlign w:val="superscript"/>
        </w:rPr>
        <w:t>9</w:t>
      </w:r>
      <w:r w:rsidRPr="00BE7AD6">
        <w:t xml:space="preserve"> тромбоцитов на 1</w:t>
      </w:r>
      <w:r w:rsidR="00732ADF">
        <w:t> </w:t>
      </w:r>
      <w:r w:rsidRPr="00BE7AD6">
        <w:t>м</w:t>
      </w:r>
      <w:r w:rsidRPr="00732ADF">
        <w:rPr>
          <w:vertAlign w:val="superscript"/>
        </w:rPr>
        <w:t>2</w:t>
      </w:r>
      <w:r w:rsidRPr="00BE7AD6">
        <w:t xml:space="preserve"> поверхности тела реципиента.</w:t>
      </w:r>
    </w:p>
    <w:p w14:paraId="398548EF" w14:textId="77777777" w:rsidR="00BE7AD6" w:rsidRPr="00BE7AD6" w:rsidRDefault="00BE7AD6" w:rsidP="00732ADF">
      <w:pPr>
        <w:pStyle w:val="afd"/>
      </w:pPr>
      <w:r w:rsidRPr="00BE7AD6">
        <w:t xml:space="preserve">Оптимальная доза для лечебных трансфузий — спорный вопрос; на основании общего консенсуса, терапевтические трансфузии должны увеличить количество тромбоцитов до уровня, обеспечивающего адекватный гемостаз. </w:t>
      </w:r>
    </w:p>
    <w:p w14:paraId="494BBE48" w14:textId="77777777" w:rsidR="00BE7AD6" w:rsidRPr="00BE7AD6" w:rsidRDefault="00BE7AD6" w:rsidP="00732ADF">
      <w:pPr>
        <w:pStyle w:val="afd"/>
      </w:pPr>
    </w:p>
    <w:p w14:paraId="79CFB89A" w14:textId="77777777" w:rsidR="00BE7AD6" w:rsidRPr="00732ADF" w:rsidRDefault="00BE7AD6" w:rsidP="00732ADF">
      <w:pPr>
        <w:pStyle w:val="afd"/>
        <w:rPr>
          <w:i/>
          <w:iCs/>
        </w:rPr>
      </w:pPr>
      <w:r w:rsidRPr="00732ADF">
        <w:rPr>
          <w:i/>
          <w:iCs/>
        </w:rPr>
        <w:t>Критерии эффективности трансфузий концентрата тромбоцитов</w:t>
      </w:r>
    </w:p>
    <w:p w14:paraId="30E9F417" w14:textId="77777777" w:rsidR="00BE7AD6" w:rsidRPr="00BE7AD6" w:rsidRDefault="00BE7AD6" w:rsidP="00732ADF">
      <w:pPr>
        <w:pStyle w:val="afd"/>
      </w:pPr>
      <w:r w:rsidRPr="00BE7AD6">
        <w:t>Клиническими критериями эффективности трансфузии концентрата тромбоцитов являются прекращение или уменьшение выраженности спонтанной кровоточивости, отсутствие свежих геморрагий на коже и видимых слизистых.</w:t>
      </w:r>
    </w:p>
    <w:p w14:paraId="1A45F1D8" w14:textId="06541143" w:rsidR="00BE7AD6" w:rsidRPr="00BE7AD6" w:rsidRDefault="00BE7AD6" w:rsidP="00732ADF">
      <w:pPr>
        <w:pStyle w:val="afd"/>
      </w:pPr>
      <w:r w:rsidRPr="00BE7AD6">
        <w:t xml:space="preserve">Лабораторными критериями эффективности переливания тромбоцитов являются увеличение количества циркулирующих тромбоцитов — абсолютный прирост тромбоцитов (АПТ) или скорректированный прирост тромбоцитов (СПТ) </w:t>
      </w:r>
      <w:r w:rsidRPr="00BE7AD6">
        <w:lastRenderedPageBreak/>
        <w:t>через 1 час и 18</w:t>
      </w:r>
      <w:r w:rsidR="00732ADF">
        <w:t>-</w:t>
      </w:r>
      <w:r w:rsidRPr="00BE7AD6">
        <w:t>24 ч после окончания трансфузии, а также показатели максимальной амплитуды на тромбоэластограмме.</w:t>
      </w:r>
    </w:p>
    <w:p w14:paraId="426E27BA" w14:textId="627D175A" w:rsidR="00BE7AD6" w:rsidRPr="00732ADF" w:rsidRDefault="00BE7AD6" w:rsidP="00732ADF">
      <w:pPr>
        <w:pStyle w:val="afd"/>
      </w:pPr>
      <w:r w:rsidRPr="00BE7AD6">
        <w:t>Трансфузию считают эффективной, если абсолютный прирост тромбоцитов через 1 час составил 10х10</w:t>
      </w:r>
      <w:r w:rsidRPr="00732ADF">
        <w:rPr>
          <w:vertAlign w:val="superscript"/>
        </w:rPr>
        <w:t>9</w:t>
      </w:r>
      <w:r w:rsidRPr="00BE7AD6">
        <w:t>/л от исходного уровня. Для стандартизации оценки эффективности трансфузий скорректированный прирост тромбоцитов рассчитывается по формуле и выражается в расчетных единицах (РЕ):</w:t>
      </w:r>
      <w:r w:rsidR="00732ADF">
        <w:t xml:space="preserve"> </w:t>
      </w:r>
      <w:r w:rsidRPr="00BE7AD6">
        <w:t>СПТ = (АПТ х площадь поверхности тела, м</w:t>
      </w:r>
      <w:r w:rsidRPr="00732ADF">
        <w:rPr>
          <w:vertAlign w:val="superscript"/>
        </w:rPr>
        <w:t>2</w:t>
      </w:r>
      <w:r w:rsidRPr="00BE7AD6">
        <w:t>) / количество перелитых тромбоцитов х 10</w:t>
      </w:r>
      <w:r w:rsidRPr="00732ADF">
        <w:rPr>
          <w:vertAlign w:val="superscript"/>
        </w:rPr>
        <w:t>11</w:t>
      </w:r>
      <w:r w:rsidR="00732ADF">
        <w:t>.</w:t>
      </w:r>
    </w:p>
    <w:p w14:paraId="16F6E10A" w14:textId="73F5B880" w:rsidR="00BE7AD6" w:rsidRPr="00BE7AD6" w:rsidRDefault="00BE7AD6" w:rsidP="00732ADF">
      <w:pPr>
        <w:pStyle w:val="afd"/>
      </w:pPr>
      <w:r w:rsidRPr="00BE7AD6">
        <w:t>Трансфузию считают эффективной, если СПТ через 1 час составил &gt; 7,5 РЕ, а СПТ через 24 ч &gt; 4,5 РЕ. В случае неэффективности трансфузий необходимо определить возможные причины. При возникновении рефрактерности к трансфузиям или наличия в анамнезе посттрансфузионных реакций и осложнений показан индивидуальный подбор тромбоцитов донора, применение плазмафереза.</w:t>
      </w:r>
    </w:p>
    <w:p w14:paraId="182407A4" w14:textId="77777777" w:rsidR="00BE7AD6" w:rsidRPr="00BE7AD6" w:rsidRDefault="00BE7AD6" w:rsidP="00732ADF">
      <w:pPr>
        <w:pStyle w:val="afd"/>
      </w:pPr>
    </w:p>
    <w:p w14:paraId="3945CB3C" w14:textId="77777777" w:rsidR="00BE7AD6" w:rsidRPr="00732ADF" w:rsidRDefault="00BE7AD6" w:rsidP="00732ADF">
      <w:pPr>
        <w:pStyle w:val="afd"/>
        <w:rPr>
          <w:b/>
          <w:bCs/>
        </w:rPr>
      </w:pPr>
      <w:r w:rsidRPr="00732ADF">
        <w:rPr>
          <w:b/>
          <w:bCs/>
        </w:rPr>
        <w:t>Трансфузии СЗП</w:t>
      </w:r>
    </w:p>
    <w:p w14:paraId="4592A087" w14:textId="77777777" w:rsidR="00BE7AD6" w:rsidRPr="00732ADF" w:rsidRDefault="00BE7AD6" w:rsidP="00732ADF">
      <w:pPr>
        <w:pStyle w:val="afd"/>
        <w:rPr>
          <w:i/>
          <w:iCs/>
        </w:rPr>
      </w:pPr>
      <w:r w:rsidRPr="00732ADF">
        <w:rPr>
          <w:i/>
          <w:iCs/>
        </w:rPr>
        <w:t>Показания к переливанию СЗП:</w:t>
      </w:r>
    </w:p>
    <w:p w14:paraId="25252BD1" w14:textId="509426AC" w:rsidR="00BE7AD6" w:rsidRPr="00BE7AD6" w:rsidRDefault="00BE7AD6" w:rsidP="00A265AD">
      <w:pPr>
        <w:pStyle w:val="afd"/>
        <w:numPr>
          <w:ilvl w:val="0"/>
          <w:numId w:val="61"/>
        </w:numPr>
      </w:pPr>
      <w:r w:rsidRPr="00BE7AD6">
        <w:t>Экстренная реверсия действия антагонистов витамина К (группа В01АА по АТХ классификации); переливают СЗП из расчета 5</w:t>
      </w:r>
      <w:r w:rsidR="00051772">
        <w:t>-</w:t>
      </w:r>
      <w:r w:rsidRPr="00BE7AD6">
        <w:t>8 мл/кг.</w:t>
      </w:r>
    </w:p>
    <w:p w14:paraId="1E0EC36D" w14:textId="77777777" w:rsidR="00BE7AD6" w:rsidRPr="00BE7AD6" w:rsidRDefault="00BE7AD6" w:rsidP="00A265AD">
      <w:pPr>
        <w:pStyle w:val="afd"/>
        <w:numPr>
          <w:ilvl w:val="0"/>
          <w:numId w:val="61"/>
        </w:numPr>
      </w:pPr>
      <w:r w:rsidRPr="00BE7AD6">
        <w:t>Коррекция геморрагического синдрома при увеличении (&gt; 1,5 раз по сравнению с нормой) протромбинового времени или АЧТВ.</w:t>
      </w:r>
    </w:p>
    <w:p w14:paraId="376BDF8D" w14:textId="77777777" w:rsidR="00BE7AD6" w:rsidRPr="00BE7AD6" w:rsidRDefault="00BE7AD6" w:rsidP="00A265AD">
      <w:pPr>
        <w:pStyle w:val="afd"/>
        <w:numPr>
          <w:ilvl w:val="0"/>
          <w:numId w:val="61"/>
        </w:numPr>
      </w:pPr>
      <w:r w:rsidRPr="00BE7AD6">
        <w:t>Возмещение объема при проведении плазмафереза.</w:t>
      </w:r>
    </w:p>
    <w:p w14:paraId="406BEB7B" w14:textId="77777777" w:rsidR="00BE7AD6" w:rsidRPr="00BE7AD6" w:rsidRDefault="00BE7AD6" w:rsidP="00A265AD">
      <w:pPr>
        <w:pStyle w:val="afd"/>
        <w:numPr>
          <w:ilvl w:val="0"/>
          <w:numId w:val="61"/>
        </w:numPr>
      </w:pPr>
      <w:r w:rsidRPr="00BE7AD6">
        <w:t>Показания к переливанию криопреципитата</w:t>
      </w:r>
    </w:p>
    <w:p w14:paraId="07359D90" w14:textId="77777777" w:rsidR="00BE7AD6" w:rsidRPr="00BE7AD6" w:rsidRDefault="00BE7AD6" w:rsidP="00A265AD">
      <w:pPr>
        <w:pStyle w:val="afd"/>
        <w:numPr>
          <w:ilvl w:val="0"/>
          <w:numId w:val="61"/>
        </w:numPr>
      </w:pPr>
      <w:r w:rsidRPr="00BE7AD6">
        <w:t>Гипофибриногенемия (&lt; 1 г/л).</w:t>
      </w:r>
    </w:p>
    <w:p w14:paraId="2EEA428E" w14:textId="77777777" w:rsidR="00BE7AD6" w:rsidRPr="00BE7AD6" w:rsidRDefault="00BE7AD6" w:rsidP="00A265AD">
      <w:pPr>
        <w:pStyle w:val="afd"/>
        <w:numPr>
          <w:ilvl w:val="0"/>
          <w:numId w:val="61"/>
        </w:numPr>
      </w:pPr>
      <w:r w:rsidRPr="00BE7AD6">
        <w:t>Периоперационный период или массивные кровотечения при уровне фибриногена &lt; 1,5 г/л.</w:t>
      </w:r>
    </w:p>
    <w:p w14:paraId="6C07FFA0" w14:textId="77777777" w:rsidR="00BE7AD6" w:rsidRPr="00BE7AD6" w:rsidRDefault="00BE7AD6" w:rsidP="00732ADF">
      <w:pPr>
        <w:pStyle w:val="afd"/>
      </w:pPr>
      <w:r w:rsidRPr="00BE7AD6">
        <w:t>Расчетная доза криопреципитата составляет 1 ед на 5 кг массы тела пациента или 15—20 ед при массе тела 70 кг. В 1 единице содержится: фибриногена не менее 140 мг, FVIII — не менее 70 МЕ.</w:t>
      </w:r>
    </w:p>
    <w:p w14:paraId="09E68641" w14:textId="77777777" w:rsidR="00BE7AD6" w:rsidRPr="00BE7AD6" w:rsidRDefault="00BE7AD6" w:rsidP="00732ADF">
      <w:pPr>
        <w:pStyle w:val="afd"/>
      </w:pPr>
    </w:p>
    <w:p w14:paraId="6BB91918" w14:textId="77777777" w:rsidR="00BE7AD6" w:rsidRPr="00051772" w:rsidRDefault="00BE7AD6" w:rsidP="00732ADF">
      <w:pPr>
        <w:pStyle w:val="afd"/>
        <w:rPr>
          <w:b/>
          <w:bCs/>
        </w:rPr>
      </w:pPr>
      <w:r w:rsidRPr="00051772">
        <w:rPr>
          <w:b/>
          <w:bCs/>
        </w:rPr>
        <w:t xml:space="preserve">Качество компонентов крови, применяемых при сопроводительной терапии гематологических пациентов </w:t>
      </w:r>
    </w:p>
    <w:p w14:paraId="37049160" w14:textId="77777777" w:rsidR="00BE7AD6" w:rsidRPr="00BE7AD6" w:rsidRDefault="00BE7AD6" w:rsidP="00732ADF">
      <w:pPr>
        <w:pStyle w:val="afd"/>
      </w:pPr>
      <w:r w:rsidRPr="00BE7AD6">
        <w:t xml:space="preserve">При гематологических заболеваниях с известными показаниями к неоднократным трансфузиям компонентов крови (лейкозы, лимфомы, миелодиспластические синдромы, апластическая анемия и др), с целью профилактики </w:t>
      </w:r>
      <w:r w:rsidRPr="00BE7AD6">
        <w:lastRenderedPageBreak/>
        <w:t>нежелательных реакций и осложнений, связанных с трансфузиями, рекомендуется использование компонентов крови со следующими характеристиками:</w:t>
      </w:r>
    </w:p>
    <w:p w14:paraId="4549D9D4" w14:textId="5CAC7A47" w:rsidR="00BE7AD6" w:rsidRPr="00051772" w:rsidRDefault="00051772" w:rsidP="00A265AD">
      <w:pPr>
        <w:pStyle w:val="afd"/>
        <w:numPr>
          <w:ilvl w:val="0"/>
          <w:numId w:val="62"/>
        </w:numPr>
      </w:pPr>
      <w:r w:rsidRPr="00051772">
        <w:t>лейкоредуцированные </w:t>
      </w:r>
      <w:r w:rsidR="00BE7AD6" w:rsidRPr="00051772">
        <w:t>— содержание лейкоцитов в дозе переливаемой среды снижено до 1 х 10</w:t>
      </w:r>
      <w:r w:rsidR="00BE7AD6" w:rsidRPr="00051772">
        <w:rPr>
          <w:vertAlign w:val="superscript"/>
        </w:rPr>
        <w:t>6</w:t>
      </w:r>
      <w:r w:rsidR="00BE7AD6" w:rsidRPr="00051772">
        <w:t> клеток</w:t>
      </w:r>
      <w:r>
        <w:t>;</w:t>
      </w:r>
    </w:p>
    <w:p w14:paraId="3D367E92" w14:textId="00AF825E" w:rsidR="00BE7AD6" w:rsidRPr="00051772" w:rsidRDefault="00051772" w:rsidP="00A265AD">
      <w:pPr>
        <w:pStyle w:val="afd"/>
        <w:numPr>
          <w:ilvl w:val="0"/>
          <w:numId w:val="62"/>
        </w:numPr>
      </w:pPr>
      <w:r w:rsidRPr="00051772">
        <w:t xml:space="preserve">облученные </w:t>
      </w:r>
      <w:r w:rsidR="00BE7AD6" w:rsidRPr="00051772">
        <w:t>эритроциты и тромбоциты (гамма-излучение или рентегновское излучение в дозе 25</w:t>
      </w:r>
      <w:r>
        <w:t>-</w:t>
      </w:r>
      <w:r w:rsidR="00BE7AD6" w:rsidRPr="00051772">
        <w:t>50 Гр)</w:t>
      </w:r>
      <w:r>
        <w:t>;</w:t>
      </w:r>
    </w:p>
    <w:p w14:paraId="6EA277BC" w14:textId="7499B3C2" w:rsidR="00BE7AD6" w:rsidRPr="00051772" w:rsidRDefault="00051772" w:rsidP="00A265AD">
      <w:pPr>
        <w:pStyle w:val="afd"/>
        <w:numPr>
          <w:ilvl w:val="0"/>
          <w:numId w:val="62"/>
        </w:numPr>
      </w:pPr>
      <w:r w:rsidRPr="00051772">
        <w:t xml:space="preserve">ограничение </w:t>
      </w:r>
      <w:r w:rsidR="00BE7AD6" w:rsidRPr="00051772">
        <w:t>использования донорской плазмы путем использования взвешивающих растворов для эритроцитов</w:t>
      </w:r>
      <w:r>
        <w:t>;</w:t>
      </w:r>
    </w:p>
    <w:p w14:paraId="69D85930" w14:textId="4F1FB164" w:rsidR="00BE7AD6" w:rsidRPr="00051772" w:rsidRDefault="00051772" w:rsidP="00A265AD">
      <w:pPr>
        <w:pStyle w:val="afd"/>
        <w:numPr>
          <w:ilvl w:val="0"/>
          <w:numId w:val="62"/>
        </w:numPr>
      </w:pPr>
      <w:r w:rsidRPr="00051772">
        <w:t xml:space="preserve">после </w:t>
      </w:r>
      <w:r w:rsidR="00BE7AD6" w:rsidRPr="00051772">
        <w:t>исследования донорской крови на маркеры вирусных инфекций посредством молекулярно-биологических методов.</w:t>
      </w:r>
    </w:p>
    <w:p w14:paraId="2BE263E0" w14:textId="77777777" w:rsidR="00BE7AD6" w:rsidRPr="00BE7AD6" w:rsidRDefault="00BE7AD6" w:rsidP="00732ADF">
      <w:pPr>
        <w:pStyle w:val="afd"/>
      </w:pPr>
      <w:r w:rsidRPr="00BE7AD6">
        <w:t>С целью повышения безопасности трансфузий дополнительно могут применяться следующие технологии:</w:t>
      </w:r>
    </w:p>
    <w:p w14:paraId="271E4F42" w14:textId="61F5ED14" w:rsidR="00BE7AD6" w:rsidRPr="00BE7AD6" w:rsidRDefault="00051772" w:rsidP="00A265AD">
      <w:pPr>
        <w:pStyle w:val="afd"/>
        <w:numPr>
          <w:ilvl w:val="0"/>
          <w:numId w:val="63"/>
        </w:numPr>
      </w:pPr>
      <w:r w:rsidRPr="00BE7AD6">
        <w:t xml:space="preserve">инактивация </w:t>
      </w:r>
      <w:r w:rsidR="00BE7AD6" w:rsidRPr="00BE7AD6">
        <w:t>патогенов в концентрате тромбоцитов</w:t>
      </w:r>
      <w:r>
        <w:t>;</w:t>
      </w:r>
    </w:p>
    <w:p w14:paraId="50D36A5F" w14:textId="73BD3330" w:rsidR="00BE7AD6" w:rsidRPr="00BE7AD6" w:rsidRDefault="00051772" w:rsidP="00A265AD">
      <w:pPr>
        <w:pStyle w:val="afd"/>
        <w:numPr>
          <w:ilvl w:val="0"/>
          <w:numId w:val="63"/>
        </w:numPr>
      </w:pPr>
      <w:r w:rsidRPr="00BE7AD6">
        <w:t xml:space="preserve">применение </w:t>
      </w:r>
      <w:r w:rsidR="00BE7AD6" w:rsidRPr="00BE7AD6">
        <w:t>добавочных растворов для замещения донорской плазмы в концентрате тромбоцитов</w:t>
      </w:r>
      <w:r>
        <w:t>;</w:t>
      </w:r>
    </w:p>
    <w:p w14:paraId="59A49EB8" w14:textId="486DDBC1" w:rsidR="00BE7AD6" w:rsidRPr="00BE7AD6" w:rsidRDefault="00051772" w:rsidP="00A265AD">
      <w:pPr>
        <w:pStyle w:val="afd"/>
        <w:numPr>
          <w:ilvl w:val="0"/>
          <w:numId w:val="63"/>
        </w:numPr>
      </w:pPr>
      <w:r w:rsidRPr="00BE7AD6">
        <w:t xml:space="preserve">расширение </w:t>
      </w:r>
      <w:r w:rsidR="00BE7AD6" w:rsidRPr="00BE7AD6">
        <w:t>спектра тестируемых маркеров вирусных инфекций (цитомегаловирус, вирус гепатита B, T-лимфотропный вирус человека и другие).</w:t>
      </w:r>
    </w:p>
    <w:p w14:paraId="1B69DB61" w14:textId="56320528" w:rsidR="00BE7AD6" w:rsidRPr="00BE7AD6" w:rsidRDefault="00BE7AD6" w:rsidP="00732ADF">
      <w:pPr>
        <w:pStyle w:val="afd"/>
      </w:pPr>
      <w:r w:rsidRPr="00BE7AD6">
        <w:t>Основные реакции и осложнения, связанные с трансфузией приведены в табл. </w:t>
      </w:r>
      <w:r w:rsidR="00051772">
        <w:t>7.9.</w:t>
      </w:r>
      <w:r w:rsidRPr="00BE7AD6">
        <w:t>3.</w:t>
      </w:r>
    </w:p>
    <w:p w14:paraId="4711C63F" w14:textId="77777777" w:rsidR="00BE7AD6" w:rsidRPr="00BE7AD6" w:rsidRDefault="00BE7AD6" w:rsidP="00732ADF">
      <w:pPr>
        <w:pStyle w:val="afd"/>
      </w:pPr>
    </w:p>
    <w:p w14:paraId="0FEF2699" w14:textId="69BAC830" w:rsidR="00BE7AD6" w:rsidRPr="00BE7AD6" w:rsidRDefault="00BE7AD6" w:rsidP="00732ADF">
      <w:pPr>
        <w:pStyle w:val="afd"/>
      </w:pPr>
      <w:r w:rsidRPr="00BE7AD6">
        <w:t xml:space="preserve">Таблица </w:t>
      </w:r>
      <w:r w:rsidR="00051772">
        <w:t>7.9.</w:t>
      </w:r>
      <w:r w:rsidRPr="00BE7AD6">
        <w:t>3. Основные реакции и осложнения, связанные с трансфузией (переливанием) компонентов донорской крови</w:t>
      </w:r>
    </w:p>
    <w:tbl>
      <w:tblPr>
        <w:tblW w:w="92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10"/>
        <w:gridCol w:w="2340"/>
        <w:gridCol w:w="2520"/>
        <w:gridCol w:w="2284"/>
      </w:tblGrid>
      <w:tr w:rsidR="00BE7AD6" w:rsidRPr="00BE7AD6" w14:paraId="233CD1D8" w14:textId="77777777" w:rsidTr="003D0E86">
        <w:trPr>
          <w:jc w:val="center"/>
        </w:trPr>
        <w:tc>
          <w:tcPr>
            <w:tcW w:w="2110" w:type="dxa"/>
          </w:tcPr>
          <w:p w14:paraId="64A86889" w14:textId="77777777" w:rsidR="00BE7AD6" w:rsidRPr="00BE7AD6" w:rsidRDefault="00BE7AD6" w:rsidP="00051772">
            <w:pPr>
              <w:spacing w:line="360" w:lineRule="auto"/>
            </w:pPr>
            <w:r w:rsidRPr="00BE7AD6">
              <w:t>Реакция (осложнение)</w:t>
            </w:r>
          </w:p>
        </w:tc>
        <w:tc>
          <w:tcPr>
            <w:tcW w:w="2340" w:type="dxa"/>
          </w:tcPr>
          <w:p w14:paraId="2BBF4F60" w14:textId="77777777" w:rsidR="00BE7AD6" w:rsidRPr="00BE7AD6" w:rsidRDefault="00BE7AD6" w:rsidP="00051772">
            <w:pPr>
              <w:spacing w:line="360" w:lineRule="auto"/>
            </w:pPr>
            <w:r w:rsidRPr="00BE7AD6">
              <w:t>Причина</w:t>
            </w:r>
          </w:p>
        </w:tc>
        <w:tc>
          <w:tcPr>
            <w:tcW w:w="2520" w:type="dxa"/>
          </w:tcPr>
          <w:p w14:paraId="6554D629" w14:textId="77777777" w:rsidR="00BE7AD6" w:rsidRPr="00BE7AD6" w:rsidRDefault="00BE7AD6" w:rsidP="00051772">
            <w:pPr>
              <w:spacing w:line="360" w:lineRule="auto"/>
            </w:pPr>
            <w:r w:rsidRPr="00BE7AD6">
              <w:t>Лечение</w:t>
            </w:r>
          </w:p>
        </w:tc>
        <w:tc>
          <w:tcPr>
            <w:tcW w:w="2284" w:type="dxa"/>
          </w:tcPr>
          <w:p w14:paraId="02A8DD42" w14:textId="77777777" w:rsidR="00BE7AD6" w:rsidRPr="00BE7AD6" w:rsidRDefault="00BE7AD6" w:rsidP="00051772">
            <w:pPr>
              <w:spacing w:line="360" w:lineRule="auto"/>
            </w:pPr>
            <w:r w:rsidRPr="00BE7AD6">
              <w:t>Обязательные и дополнительные лабораторные и инструментальные исследования*</w:t>
            </w:r>
          </w:p>
        </w:tc>
      </w:tr>
      <w:tr w:rsidR="00BE7AD6" w:rsidRPr="00BE7AD6" w14:paraId="714A91C7" w14:textId="77777777" w:rsidTr="003D0E86">
        <w:trPr>
          <w:jc w:val="center"/>
        </w:trPr>
        <w:tc>
          <w:tcPr>
            <w:tcW w:w="2110" w:type="dxa"/>
            <w:vAlign w:val="center"/>
          </w:tcPr>
          <w:p w14:paraId="6F4B0D08" w14:textId="77777777" w:rsidR="00BE7AD6" w:rsidRPr="00BE7AD6" w:rsidRDefault="00BE7AD6" w:rsidP="00051772">
            <w:pPr>
              <w:spacing w:line="360" w:lineRule="auto"/>
            </w:pPr>
            <w:r w:rsidRPr="00BE7AD6">
              <w:t xml:space="preserve">Острая сердечно-сосудистая недостаточность, отек легких (синдром TACO, </w:t>
            </w:r>
            <w:r w:rsidRPr="00BE7AD6">
              <w:lastRenderedPageBreak/>
              <w:t>от transfusion associated circulatory overload)</w:t>
            </w:r>
          </w:p>
        </w:tc>
        <w:tc>
          <w:tcPr>
            <w:tcW w:w="2340" w:type="dxa"/>
          </w:tcPr>
          <w:p w14:paraId="2D3FDA47" w14:textId="77777777" w:rsidR="00BE7AD6" w:rsidRPr="00BE7AD6" w:rsidRDefault="00BE7AD6" w:rsidP="00051772">
            <w:pPr>
              <w:spacing w:line="360" w:lineRule="auto"/>
            </w:pPr>
            <w:r w:rsidRPr="00BE7AD6">
              <w:lastRenderedPageBreak/>
              <w:t>Перегрузка объемом</w:t>
            </w:r>
          </w:p>
        </w:tc>
        <w:tc>
          <w:tcPr>
            <w:tcW w:w="2520" w:type="dxa"/>
          </w:tcPr>
          <w:p w14:paraId="05A59EB4" w14:textId="77777777" w:rsidR="00BE7AD6" w:rsidRPr="00BE7AD6" w:rsidRDefault="00BE7AD6" w:rsidP="00051772">
            <w:pPr>
              <w:spacing w:line="360" w:lineRule="auto"/>
            </w:pPr>
            <w:r w:rsidRPr="00BE7AD6">
              <w:t xml:space="preserve">Симптоматическая терапия отека легких </w:t>
            </w:r>
          </w:p>
        </w:tc>
        <w:tc>
          <w:tcPr>
            <w:tcW w:w="2284" w:type="dxa"/>
          </w:tcPr>
          <w:p w14:paraId="3DC608C0" w14:textId="77777777" w:rsidR="00BE7AD6" w:rsidRPr="00BE7AD6" w:rsidRDefault="00BE7AD6" w:rsidP="00051772">
            <w:pPr>
              <w:spacing w:line="360" w:lineRule="auto"/>
            </w:pPr>
          </w:p>
        </w:tc>
      </w:tr>
      <w:tr w:rsidR="00BE7AD6" w:rsidRPr="00BE7AD6" w14:paraId="01B785F4" w14:textId="77777777" w:rsidTr="003D0E86">
        <w:trPr>
          <w:jc w:val="center"/>
        </w:trPr>
        <w:tc>
          <w:tcPr>
            <w:tcW w:w="2110" w:type="dxa"/>
          </w:tcPr>
          <w:p w14:paraId="54C76BF0" w14:textId="77777777" w:rsidR="00BE7AD6" w:rsidRPr="00BE7AD6" w:rsidRDefault="00BE7AD6" w:rsidP="00051772">
            <w:pPr>
              <w:spacing w:line="360" w:lineRule="auto"/>
            </w:pPr>
            <w:r w:rsidRPr="00BE7AD6">
              <w:t>Острое обусловленное трансфузией повреждение легких (синдром TRALI, от transfusion-related acute lung injury)</w:t>
            </w:r>
          </w:p>
        </w:tc>
        <w:tc>
          <w:tcPr>
            <w:tcW w:w="2340" w:type="dxa"/>
          </w:tcPr>
          <w:p w14:paraId="0184BEB7" w14:textId="77777777" w:rsidR="00BE7AD6" w:rsidRPr="00BE7AD6" w:rsidRDefault="00BE7AD6" w:rsidP="00051772">
            <w:pPr>
              <w:spacing w:line="360" w:lineRule="auto"/>
            </w:pPr>
            <w:r w:rsidRPr="00BE7AD6">
              <w:t>Наличие донорских антилейкоцитарных антител в крови реципиента</w:t>
            </w:r>
          </w:p>
        </w:tc>
        <w:tc>
          <w:tcPr>
            <w:tcW w:w="2520" w:type="dxa"/>
          </w:tcPr>
          <w:p w14:paraId="5C9534DE" w14:textId="77777777" w:rsidR="00BE7AD6" w:rsidRPr="00BE7AD6" w:rsidRDefault="00BE7AD6" w:rsidP="00051772">
            <w:pPr>
              <w:spacing w:line="360" w:lineRule="auto"/>
            </w:pPr>
            <w:r w:rsidRPr="00BE7AD6">
              <w:t>Глюкокортикоиды Симптоматическая терапия отека легких</w:t>
            </w:r>
          </w:p>
        </w:tc>
        <w:tc>
          <w:tcPr>
            <w:tcW w:w="2284" w:type="dxa"/>
          </w:tcPr>
          <w:p w14:paraId="6319FFF0" w14:textId="77777777" w:rsidR="00BE7AD6" w:rsidRPr="00BE7AD6" w:rsidRDefault="00BE7AD6" w:rsidP="00051772">
            <w:pPr>
              <w:spacing w:line="360" w:lineRule="auto"/>
            </w:pPr>
            <w:r w:rsidRPr="00BE7AD6">
              <w:t>Обязательные: прицельная рентгенография органов грудной клетки</w:t>
            </w:r>
          </w:p>
          <w:p w14:paraId="777C96F1" w14:textId="77777777" w:rsidR="00BE7AD6" w:rsidRPr="00BE7AD6" w:rsidRDefault="00BE7AD6" w:rsidP="00051772">
            <w:pPr>
              <w:spacing w:line="360" w:lineRule="auto"/>
            </w:pPr>
            <w:r w:rsidRPr="00BE7AD6">
              <w:t xml:space="preserve">Дополнительные: определение содержания антилейкоцитарных антител, определение содержания антител к цитоплазме нейтрофилов в крови </w:t>
            </w:r>
          </w:p>
        </w:tc>
      </w:tr>
      <w:tr w:rsidR="00BE7AD6" w:rsidRPr="00BE7AD6" w14:paraId="09603B3C" w14:textId="77777777" w:rsidTr="003D0E86">
        <w:trPr>
          <w:jc w:val="center"/>
        </w:trPr>
        <w:tc>
          <w:tcPr>
            <w:tcW w:w="2110" w:type="dxa"/>
          </w:tcPr>
          <w:p w14:paraId="789A926A" w14:textId="77777777" w:rsidR="00BE7AD6" w:rsidRPr="00BE7AD6" w:rsidRDefault="00BE7AD6" w:rsidP="00051772">
            <w:pPr>
              <w:spacing w:line="360" w:lineRule="auto"/>
            </w:pPr>
            <w:r w:rsidRPr="00BE7AD6">
              <w:t>Одышка, связанная с трансфузией (синдром TAD, от transfusion-associated dyspnea)</w:t>
            </w:r>
          </w:p>
        </w:tc>
        <w:tc>
          <w:tcPr>
            <w:tcW w:w="2340" w:type="dxa"/>
          </w:tcPr>
          <w:p w14:paraId="5CEFF63A" w14:textId="77777777" w:rsidR="00BE7AD6" w:rsidRPr="00BE7AD6" w:rsidRDefault="00BE7AD6" w:rsidP="00051772">
            <w:pPr>
              <w:spacing w:line="360" w:lineRule="auto"/>
            </w:pPr>
            <w:r w:rsidRPr="00BE7AD6">
              <w:t>Острый респираторный дистресс-синдром, развивающийся в течение 24 часов после трансфузии</w:t>
            </w:r>
          </w:p>
        </w:tc>
        <w:tc>
          <w:tcPr>
            <w:tcW w:w="2520" w:type="dxa"/>
          </w:tcPr>
          <w:p w14:paraId="7CC5FA70" w14:textId="77777777" w:rsidR="00BE7AD6" w:rsidRPr="00BE7AD6" w:rsidRDefault="00BE7AD6" w:rsidP="00051772">
            <w:pPr>
              <w:spacing w:line="360" w:lineRule="auto"/>
            </w:pPr>
            <w:r w:rsidRPr="00BE7AD6">
              <w:t>Симптоматическая терапия</w:t>
            </w:r>
          </w:p>
        </w:tc>
        <w:tc>
          <w:tcPr>
            <w:tcW w:w="2284" w:type="dxa"/>
          </w:tcPr>
          <w:p w14:paraId="5225A60E" w14:textId="77777777" w:rsidR="00BE7AD6" w:rsidRPr="00BE7AD6" w:rsidRDefault="00BE7AD6" w:rsidP="00051772">
            <w:pPr>
              <w:spacing w:line="360" w:lineRule="auto"/>
            </w:pPr>
          </w:p>
        </w:tc>
      </w:tr>
      <w:tr w:rsidR="00BE7AD6" w:rsidRPr="00BE7AD6" w14:paraId="0AE03F87" w14:textId="77777777" w:rsidTr="003D0E86">
        <w:trPr>
          <w:jc w:val="center"/>
        </w:trPr>
        <w:tc>
          <w:tcPr>
            <w:tcW w:w="2110" w:type="dxa"/>
            <w:vMerge w:val="restart"/>
          </w:tcPr>
          <w:p w14:paraId="4BCD1F99" w14:textId="77777777" w:rsidR="00BE7AD6" w:rsidRPr="00BE7AD6" w:rsidRDefault="00BE7AD6" w:rsidP="00051772">
            <w:pPr>
              <w:spacing w:line="360" w:lineRule="auto"/>
            </w:pPr>
            <w:r w:rsidRPr="00BE7AD6">
              <w:t>Аллергические реакции (крапивница, анафилактический шок и др.)</w:t>
            </w:r>
          </w:p>
        </w:tc>
        <w:tc>
          <w:tcPr>
            <w:tcW w:w="2340" w:type="dxa"/>
          </w:tcPr>
          <w:p w14:paraId="17421045" w14:textId="77777777" w:rsidR="00BE7AD6" w:rsidRPr="00BE7AD6" w:rsidRDefault="00BE7AD6" w:rsidP="00051772">
            <w:pPr>
              <w:spacing w:line="360" w:lineRule="auto"/>
            </w:pPr>
            <w:r w:rsidRPr="00BE7AD6">
              <w:t>Крапивница: наличие антител к белкам плазмы</w:t>
            </w:r>
          </w:p>
        </w:tc>
        <w:tc>
          <w:tcPr>
            <w:tcW w:w="2520" w:type="dxa"/>
          </w:tcPr>
          <w:p w14:paraId="5C76D8D1" w14:textId="77777777" w:rsidR="00BE7AD6" w:rsidRPr="00BE7AD6" w:rsidRDefault="00BE7AD6" w:rsidP="00051772">
            <w:pPr>
              <w:spacing w:line="360" w:lineRule="auto"/>
            </w:pPr>
            <w:r w:rsidRPr="00BE7AD6">
              <w:t>Антигистаминные средства системного действия (клемастин, 2%, 2 мг, или другой препарат с аналогичным действием)</w:t>
            </w:r>
          </w:p>
        </w:tc>
        <w:tc>
          <w:tcPr>
            <w:tcW w:w="2284" w:type="dxa"/>
          </w:tcPr>
          <w:p w14:paraId="5668BB24" w14:textId="77777777" w:rsidR="00BE7AD6" w:rsidRPr="00BE7AD6" w:rsidRDefault="00BE7AD6" w:rsidP="00051772">
            <w:pPr>
              <w:spacing w:line="360" w:lineRule="auto"/>
            </w:pPr>
          </w:p>
        </w:tc>
      </w:tr>
      <w:tr w:rsidR="00BE7AD6" w:rsidRPr="00BE7AD6" w14:paraId="673B5672" w14:textId="77777777" w:rsidTr="003D0E86">
        <w:trPr>
          <w:jc w:val="center"/>
        </w:trPr>
        <w:tc>
          <w:tcPr>
            <w:tcW w:w="2110" w:type="dxa"/>
            <w:vMerge/>
            <w:vAlign w:val="center"/>
          </w:tcPr>
          <w:p w14:paraId="57F1E3A6" w14:textId="77777777" w:rsidR="00BE7AD6" w:rsidRPr="00BE7AD6" w:rsidRDefault="00BE7AD6" w:rsidP="00051772">
            <w:pPr>
              <w:spacing w:line="360" w:lineRule="auto"/>
            </w:pPr>
          </w:p>
        </w:tc>
        <w:tc>
          <w:tcPr>
            <w:tcW w:w="2340" w:type="dxa"/>
          </w:tcPr>
          <w:p w14:paraId="75B74DB0" w14:textId="77777777" w:rsidR="00BE7AD6" w:rsidRPr="00BE7AD6" w:rsidRDefault="00BE7AD6" w:rsidP="00051772">
            <w:pPr>
              <w:spacing w:line="360" w:lineRule="auto"/>
            </w:pPr>
            <w:r w:rsidRPr="00BE7AD6">
              <w:t>Анафилактический шок: первичный иммунодефицит IgA у реципиента</w:t>
            </w:r>
          </w:p>
        </w:tc>
        <w:tc>
          <w:tcPr>
            <w:tcW w:w="2520" w:type="dxa"/>
          </w:tcPr>
          <w:p w14:paraId="142C58D8" w14:textId="77777777" w:rsidR="00BE7AD6" w:rsidRPr="00BE7AD6" w:rsidRDefault="00BE7AD6" w:rsidP="00051772">
            <w:pPr>
              <w:spacing w:line="360" w:lineRule="auto"/>
            </w:pPr>
            <w:r w:rsidRPr="00BE7AD6">
              <w:t>Противошоковая терапия</w:t>
            </w:r>
          </w:p>
        </w:tc>
        <w:tc>
          <w:tcPr>
            <w:tcW w:w="2284" w:type="dxa"/>
          </w:tcPr>
          <w:p w14:paraId="04590C59" w14:textId="77777777" w:rsidR="00BE7AD6" w:rsidRPr="00BE7AD6" w:rsidRDefault="00BE7AD6" w:rsidP="00051772">
            <w:pPr>
              <w:spacing w:line="360" w:lineRule="auto"/>
            </w:pPr>
            <w:r w:rsidRPr="00BE7AD6">
              <w:t>Дополнительные: оценка уровня сывороточного IgA у реципиента</w:t>
            </w:r>
          </w:p>
        </w:tc>
      </w:tr>
      <w:tr w:rsidR="00BE7AD6" w:rsidRPr="00BE7AD6" w14:paraId="55EE85B1" w14:textId="77777777" w:rsidTr="003D0E86">
        <w:trPr>
          <w:jc w:val="center"/>
        </w:trPr>
        <w:tc>
          <w:tcPr>
            <w:tcW w:w="2110" w:type="dxa"/>
          </w:tcPr>
          <w:p w14:paraId="6A704261" w14:textId="77777777" w:rsidR="00BE7AD6" w:rsidRPr="00BE7AD6" w:rsidRDefault="00BE7AD6" w:rsidP="00051772">
            <w:pPr>
              <w:spacing w:line="360" w:lineRule="auto"/>
            </w:pPr>
            <w:r w:rsidRPr="00BE7AD6">
              <w:t>Пострансфузионная артериальная гипотония (HTR, от post-transfusion hypotension)</w:t>
            </w:r>
          </w:p>
        </w:tc>
        <w:tc>
          <w:tcPr>
            <w:tcW w:w="2340" w:type="dxa"/>
          </w:tcPr>
          <w:p w14:paraId="6FAF83D0" w14:textId="77777777" w:rsidR="00BE7AD6" w:rsidRPr="00BE7AD6" w:rsidRDefault="00BE7AD6" w:rsidP="00051772">
            <w:pPr>
              <w:spacing w:line="360" w:lineRule="auto"/>
            </w:pPr>
            <w:r w:rsidRPr="00BE7AD6">
              <w:t>Сосудистая реакция, обусловленная выбросом брадикинина</w:t>
            </w:r>
          </w:p>
        </w:tc>
        <w:tc>
          <w:tcPr>
            <w:tcW w:w="2520" w:type="dxa"/>
          </w:tcPr>
          <w:p w14:paraId="3B60B714" w14:textId="77777777" w:rsidR="00BE7AD6" w:rsidRPr="00BE7AD6" w:rsidRDefault="00BE7AD6" w:rsidP="00051772">
            <w:pPr>
              <w:spacing w:line="360" w:lineRule="auto"/>
            </w:pPr>
            <w:r w:rsidRPr="00BE7AD6">
              <w:t>Симптоматическая терапия, в тяжелых случаях — применение кардиотонических препаратов (исключая сердечные гликозиды)</w:t>
            </w:r>
          </w:p>
        </w:tc>
        <w:tc>
          <w:tcPr>
            <w:tcW w:w="2284" w:type="dxa"/>
          </w:tcPr>
          <w:p w14:paraId="085C3F21" w14:textId="77777777" w:rsidR="00BE7AD6" w:rsidRPr="00BE7AD6" w:rsidRDefault="00BE7AD6" w:rsidP="00051772">
            <w:pPr>
              <w:spacing w:line="360" w:lineRule="auto"/>
            </w:pPr>
          </w:p>
        </w:tc>
      </w:tr>
      <w:tr w:rsidR="00BE7AD6" w:rsidRPr="00BE7AD6" w14:paraId="17BD6927" w14:textId="77777777" w:rsidTr="003D0E86">
        <w:trPr>
          <w:jc w:val="center"/>
        </w:trPr>
        <w:tc>
          <w:tcPr>
            <w:tcW w:w="2110" w:type="dxa"/>
          </w:tcPr>
          <w:p w14:paraId="3A8BB3B0" w14:textId="77777777" w:rsidR="00BE7AD6" w:rsidRPr="00BE7AD6" w:rsidRDefault="00BE7AD6" w:rsidP="00051772">
            <w:pPr>
              <w:spacing w:line="360" w:lineRule="auto"/>
            </w:pPr>
            <w:r w:rsidRPr="00BE7AD6">
              <w:t>Гипертермическая (фебрильная) негемолитическая реакция (FNHTR, от febrile non-hemolytic transfusion reaction)</w:t>
            </w:r>
          </w:p>
        </w:tc>
        <w:tc>
          <w:tcPr>
            <w:tcW w:w="2340" w:type="dxa"/>
          </w:tcPr>
          <w:p w14:paraId="1C793F5B" w14:textId="77777777" w:rsidR="00BE7AD6" w:rsidRPr="00BE7AD6" w:rsidRDefault="00BE7AD6" w:rsidP="00051772">
            <w:pPr>
              <w:spacing w:line="360" w:lineRule="auto"/>
            </w:pPr>
            <w:r w:rsidRPr="00BE7AD6">
              <w:t>Секреция цитокинов иммунокомпетентными клетками, сопровождающаяся повышением температуры тела реципиента выше 38</w:t>
            </w:r>
            <w:r w:rsidRPr="00BE7AD6">
              <w:t>С</w:t>
            </w:r>
          </w:p>
        </w:tc>
        <w:tc>
          <w:tcPr>
            <w:tcW w:w="2520" w:type="dxa"/>
          </w:tcPr>
          <w:p w14:paraId="7280466B" w14:textId="77777777" w:rsidR="00BE7AD6" w:rsidRPr="00BE7AD6" w:rsidRDefault="00BE7AD6" w:rsidP="00051772">
            <w:pPr>
              <w:spacing w:line="360" w:lineRule="auto"/>
            </w:pPr>
            <w:r w:rsidRPr="00BE7AD6">
              <w:t>Антигистаминные средства системного действия (клемастин 2%, 2 мг, или другой препарат с аналогичным действием)</w:t>
            </w:r>
          </w:p>
          <w:p w14:paraId="3E1A7833" w14:textId="77777777" w:rsidR="00BE7AD6" w:rsidRPr="00BE7AD6" w:rsidRDefault="00BE7AD6" w:rsidP="00051772">
            <w:pPr>
              <w:spacing w:line="360" w:lineRule="auto"/>
            </w:pPr>
            <w:r w:rsidRPr="00BE7AD6">
              <w:t xml:space="preserve">Наркотические анальгетики </w:t>
            </w:r>
          </w:p>
          <w:p w14:paraId="188203C9" w14:textId="77777777" w:rsidR="00BE7AD6" w:rsidRPr="00BE7AD6" w:rsidRDefault="00BE7AD6" w:rsidP="00051772">
            <w:pPr>
              <w:spacing w:line="360" w:lineRule="auto"/>
            </w:pPr>
            <w:r w:rsidRPr="00BE7AD6">
              <w:t xml:space="preserve">Глюкокортикоиды </w:t>
            </w:r>
          </w:p>
        </w:tc>
        <w:tc>
          <w:tcPr>
            <w:tcW w:w="2284" w:type="dxa"/>
          </w:tcPr>
          <w:p w14:paraId="4ED805E4" w14:textId="77777777" w:rsidR="00BE7AD6" w:rsidRPr="00BE7AD6" w:rsidRDefault="00BE7AD6" w:rsidP="00051772">
            <w:pPr>
              <w:spacing w:line="360" w:lineRule="auto"/>
            </w:pPr>
            <w:r w:rsidRPr="00BE7AD6">
              <w:t xml:space="preserve">Обязательные: микробиологическое (культуральное) исследование крови на стерильность; </w:t>
            </w:r>
          </w:p>
          <w:p w14:paraId="5066EDCB" w14:textId="77777777" w:rsidR="00BE7AD6" w:rsidRPr="00BE7AD6" w:rsidRDefault="00BE7AD6" w:rsidP="00051772">
            <w:pPr>
              <w:spacing w:line="360" w:lineRule="auto"/>
            </w:pPr>
            <w:r w:rsidRPr="00BE7AD6">
              <w:t>Дополнительные: определение содержания антилейкоцитарных антител, определение содержания антитромбоцитарных антител, определение содержания антител к цитоплазме нейтрофилов в крови</w:t>
            </w:r>
          </w:p>
        </w:tc>
      </w:tr>
      <w:tr w:rsidR="00BE7AD6" w:rsidRPr="00BE7AD6" w14:paraId="5CC032F3" w14:textId="77777777" w:rsidTr="003D0E86">
        <w:trPr>
          <w:jc w:val="center"/>
        </w:trPr>
        <w:tc>
          <w:tcPr>
            <w:tcW w:w="2110" w:type="dxa"/>
            <w:vMerge w:val="restart"/>
          </w:tcPr>
          <w:p w14:paraId="5877BFEE" w14:textId="77777777" w:rsidR="00BE7AD6" w:rsidRPr="00BE7AD6" w:rsidRDefault="00BE7AD6" w:rsidP="00051772">
            <w:pPr>
              <w:spacing w:line="360" w:lineRule="auto"/>
              <w:rPr>
                <w:lang w:val="en-US"/>
              </w:rPr>
            </w:pPr>
            <w:r w:rsidRPr="00BE7AD6">
              <w:t>Острый</w:t>
            </w:r>
            <w:r w:rsidRPr="00BE7AD6">
              <w:rPr>
                <w:lang w:val="en-US"/>
              </w:rPr>
              <w:t xml:space="preserve"> </w:t>
            </w:r>
            <w:r w:rsidRPr="00BE7AD6">
              <w:t>гемолиз</w:t>
            </w:r>
            <w:r w:rsidRPr="00BE7AD6">
              <w:rPr>
                <w:lang w:val="en-US"/>
              </w:rPr>
              <w:t xml:space="preserve"> (AHTR, </w:t>
            </w:r>
            <w:r w:rsidRPr="00BE7AD6">
              <w:t>от</w:t>
            </w:r>
            <w:r w:rsidRPr="00BE7AD6">
              <w:rPr>
                <w:lang w:val="en-US"/>
              </w:rPr>
              <w:t xml:space="preserve"> acute </w:t>
            </w:r>
            <w:r w:rsidRPr="00BE7AD6">
              <w:rPr>
                <w:lang w:val="en-US"/>
              </w:rPr>
              <w:lastRenderedPageBreak/>
              <w:t>hemolytic transfusion reaction)</w:t>
            </w:r>
          </w:p>
        </w:tc>
        <w:tc>
          <w:tcPr>
            <w:tcW w:w="2340" w:type="dxa"/>
          </w:tcPr>
          <w:p w14:paraId="050AE13C" w14:textId="77777777" w:rsidR="00BE7AD6" w:rsidRPr="00BE7AD6" w:rsidRDefault="00BE7AD6" w:rsidP="00051772">
            <w:pPr>
              <w:spacing w:line="360" w:lineRule="auto"/>
            </w:pPr>
            <w:r w:rsidRPr="00BE7AD6">
              <w:lastRenderedPageBreak/>
              <w:t xml:space="preserve">Иммунная реакция: наличие у </w:t>
            </w:r>
            <w:r w:rsidRPr="00BE7AD6">
              <w:lastRenderedPageBreak/>
              <w:t xml:space="preserve">реципиента антител к аллоантигенам эритроцитов донора (ABO, резус-фактор и другая несовместимость) </w:t>
            </w:r>
          </w:p>
        </w:tc>
        <w:tc>
          <w:tcPr>
            <w:tcW w:w="2520" w:type="dxa"/>
            <w:vMerge w:val="restart"/>
          </w:tcPr>
          <w:p w14:paraId="0D6F7120" w14:textId="77777777" w:rsidR="00BE7AD6" w:rsidRPr="00BE7AD6" w:rsidRDefault="00BE7AD6" w:rsidP="00051772">
            <w:pPr>
              <w:spacing w:line="360" w:lineRule="auto"/>
            </w:pPr>
            <w:r w:rsidRPr="00BE7AD6">
              <w:lastRenderedPageBreak/>
              <w:t xml:space="preserve">Глюкокортикоиды </w:t>
            </w:r>
          </w:p>
          <w:p w14:paraId="07538031" w14:textId="77777777" w:rsidR="00BE7AD6" w:rsidRPr="00BE7AD6" w:rsidRDefault="00BE7AD6" w:rsidP="00051772">
            <w:pPr>
              <w:spacing w:line="360" w:lineRule="auto"/>
            </w:pPr>
            <w:r w:rsidRPr="00BE7AD6">
              <w:lastRenderedPageBreak/>
              <w:t>Форсированный диурез  проводится до купирования клинических проявлений гемолиза</w:t>
            </w:r>
          </w:p>
          <w:p w14:paraId="296987AF" w14:textId="77777777" w:rsidR="00BE7AD6" w:rsidRPr="00BE7AD6" w:rsidRDefault="00BE7AD6" w:rsidP="00051772">
            <w:pPr>
              <w:spacing w:line="360" w:lineRule="auto"/>
            </w:pPr>
            <w:r w:rsidRPr="00BE7AD6">
              <w:t>Контроль АД, ЦВД, объема и цвет мочи</w:t>
            </w:r>
          </w:p>
          <w:p w14:paraId="5086FAAC" w14:textId="77777777" w:rsidR="00BE7AD6" w:rsidRPr="00BE7AD6" w:rsidRDefault="00BE7AD6" w:rsidP="00051772">
            <w:pPr>
              <w:spacing w:line="360" w:lineRule="auto"/>
            </w:pPr>
            <w:r w:rsidRPr="00BE7AD6">
              <w:t>При неэффективности консервативной терапии или анурии —плазмаферез и гемодиализ</w:t>
            </w:r>
          </w:p>
        </w:tc>
        <w:tc>
          <w:tcPr>
            <w:tcW w:w="2284" w:type="dxa"/>
          </w:tcPr>
          <w:p w14:paraId="654B77DE" w14:textId="77777777" w:rsidR="00BE7AD6" w:rsidRPr="00BE7AD6" w:rsidRDefault="00BE7AD6" w:rsidP="00051772">
            <w:pPr>
              <w:spacing w:line="360" w:lineRule="auto"/>
            </w:pPr>
            <w:r w:rsidRPr="00BE7AD6">
              <w:lastRenderedPageBreak/>
              <w:t xml:space="preserve">Обязательные: исследование </w:t>
            </w:r>
            <w:r w:rsidRPr="00BE7AD6">
              <w:lastRenderedPageBreak/>
              <w:t>уровня свободного гемоглобина в плазме крови, исследование уровня свободного и связанного билирубина в крови, обнаружение гемоглобина в моче, определение гемосидерина в моче</w:t>
            </w:r>
            <w:r w:rsidRPr="00BE7AD6" w:rsidDel="00C2748A">
              <w:t xml:space="preserve"> </w:t>
            </w:r>
          </w:p>
          <w:p w14:paraId="1B426242" w14:textId="77777777" w:rsidR="00BE7AD6" w:rsidRPr="00BE7AD6" w:rsidRDefault="00BE7AD6" w:rsidP="00051772">
            <w:pPr>
              <w:spacing w:line="360" w:lineRule="auto"/>
            </w:pPr>
            <w:r w:rsidRPr="00BE7AD6">
              <w:t xml:space="preserve">Дополнительные: прямой антиглобулиновый тест (прямая проба Кумбса) </w:t>
            </w:r>
          </w:p>
        </w:tc>
      </w:tr>
      <w:tr w:rsidR="00BE7AD6" w:rsidRPr="00BE7AD6" w14:paraId="18702787" w14:textId="77777777" w:rsidTr="003D0E86">
        <w:trPr>
          <w:jc w:val="center"/>
        </w:trPr>
        <w:tc>
          <w:tcPr>
            <w:tcW w:w="2110" w:type="dxa"/>
            <w:vMerge/>
          </w:tcPr>
          <w:p w14:paraId="546F7E3A" w14:textId="77777777" w:rsidR="00BE7AD6" w:rsidRPr="00BE7AD6" w:rsidRDefault="00BE7AD6" w:rsidP="00051772">
            <w:pPr>
              <w:spacing w:line="360" w:lineRule="auto"/>
            </w:pPr>
          </w:p>
        </w:tc>
        <w:tc>
          <w:tcPr>
            <w:tcW w:w="2340" w:type="dxa"/>
          </w:tcPr>
          <w:p w14:paraId="544A4AC4" w14:textId="77777777" w:rsidR="00BE7AD6" w:rsidRPr="00BE7AD6" w:rsidRDefault="00BE7AD6" w:rsidP="00051772">
            <w:pPr>
              <w:spacing w:line="360" w:lineRule="auto"/>
            </w:pPr>
            <w:r w:rsidRPr="00BE7AD6">
              <w:t>Неиммунная реакция: разрушение эритроцитов донора вследствие нарушения температурного режима или сроков хранения, несоблюдения правил подготовки к переливанию, смешивания с гипотоническим или гипертоническим растворами</w:t>
            </w:r>
          </w:p>
        </w:tc>
        <w:tc>
          <w:tcPr>
            <w:tcW w:w="2520" w:type="dxa"/>
            <w:vMerge/>
          </w:tcPr>
          <w:p w14:paraId="412316EC" w14:textId="77777777" w:rsidR="00BE7AD6" w:rsidRPr="00BE7AD6" w:rsidRDefault="00BE7AD6" w:rsidP="00051772">
            <w:pPr>
              <w:spacing w:line="360" w:lineRule="auto"/>
            </w:pPr>
          </w:p>
        </w:tc>
        <w:tc>
          <w:tcPr>
            <w:tcW w:w="2284" w:type="dxa"/>
          </w:tcPr>
          <w:p w14:paraId="7A332DC7" w14:textId="77777777" w:rsidR="00BE7AD6" w:rsidRPr="00BE7AD6" w:rsidRDefault="00BE7AD6" w:rsidP="00051772">
            <w:pPr>
              <w:spacing w:line="360" w:lineRule="auto"/>
            </w:pPr>
            <w:r w:rsidRPr="00BE7AD6">
              <w:t xml:space="preserve">Обязательные: исследование уровня свободного гемоглобина в плазме крови, исследование уровня свободного и связанного билирубина в крови, обнаружение гемоглобина в моче, определение гемосидерина в моче </w:t>
            </w:r>
          </w:p>
        </w:tc>
      </w:tr>
      <w:tr w:rsidR="00BE7AD6" w:rsidRPr="00BE7AD6" w14:paraId="6FFB2D5A" w14:textId="77777777" w:rsidTr="003D0E86">
        <w:trPr>
          <w:jc w:val="center"/>
        </w:trPr>
        <w:tc>
          <w:tcPr>
            <w:tcW w:w="2110" w:type="dxa"/>
          </w:tcPr>
          <w:p w14:paraId="21A91FD1" w14:textId="77777777" w:rsidR="00BE7AD6" w:rsidRPr="00BE7AD6" w:rsidRDefault="00BE7AD6" w:rsidP="00051772">
            <w:pPr>
              <w:spacing w:line="360" w:lineRule="auto"/>
              <w:rPr>
                <w:lang w:val="en-US"/>
              </w:rPr>
            </w:pPr>
            <w:r w:rsidRPr="00BE7AD6">
              <w:t>Отсроченный</w:t>
            </w:r>
            <w:r w:rsidRPr="00BE7AD6">
              <w:rPr>
                <w:lang w:val="en-US"/>
              </w:rPr>
              <w:t xml:space="preserve"> </w:t>
            </w:r>
            <w:r w:rsidRPr="00BE7AD6">
              <w:t>гемолиз</w:t>
            </w:r>
            <w:r w:rsidRPr="00BE7AD6">
              <w:rPr>
                <w:lang w:val="en-US"/>
              </w:rPr>
              <w:t xml:space="preserve"> (DHTR, </w:t>
            </w:r>
            <w:r w:rsidRPr="00BE7AD6">
              <w:t>от</w:t>
            </w:r>
            <w:r w:rsidRPr="00BE7AD6">
              <w:rPr>
                <w:lang w:val="en-US"/>
              </w:rPr>
              <w:t xml:space="preserve"> </w:t>
            </w:r>
            <w:r w:rsidRPr="00BE7AD6">
              <w:rPr>
                <w:lang w:val="en-US"/>
              </w:rPr>
              <w:lastRenderedPageBreak/>
              <w:t>delayed hemolytic transfusion reaction)</w:t>
            </w:r>
          </w:p>
        </w:tc>
        <w:tc>
          <w:tcPr>
            <w:tcW w:w="2340" w:type="dxa"/>
          </w:tcPr>
          <w:p w14:paraId="70364A1F" w14:textId="77777777" w:rsidR="00BE7AD6" w:rsidRPr="00BE7AD6" w:rsidRDefault="00BE7AD6" w:rsidP="00051772">
            <w:pPr>
              <w:spacing w:line="360" w:lineRule="auto"/>
            </w:pPr>
            <w:r w:rsidRPr="00BE7AD6">
              <w:lastRenderedPageBreak/>
              <w:t xml:space="preserve">Внутриклеточный (тканевый) гемолиз в </w:t>
            </w:r>
            <w:r w:rsidRPr="00BE7AD6">
              <w:lastRenderedPageBreak/>
              <w:t>результате трансфузии несовместимых по аллоантигенам эритроцитов донора</w:t>
            </w:r>
          </w:p>
          <w:p w14:paraId="6DC6861D" w14:textId="77777777" w:rsidR="00BE7AD6" w:rsidRPr="00BE7AD6" w:rsidRDefault="00BE7AD6" w:rsidP="00051772">
            <w:pPr>
              <w:spacing w:line="360" w:lineRule="auto"/>
            </w:pPr>
            <w:r w:rsidRPr="00BE7AD6">
              <w:t>Аллоиммунизация отмечается в период от 24 часов до 28 дней после трансфузии</w:t>
            </w:r>
          </w:p>
        </w:tc>
        <w:tc>
          <w:tcPr>
            <w:tcW w:w="2520" w:type="dxa"/>
          </w:tcPr>
          <w:p w14:paraId="7413F44D" w14:textId="77777777" w:rsidR="00BE7AD6" w:rsidRPr="00BE7AD6" w:rsidRDefault="00BE7AD6" w:rsidP="00051772">
            <w:pPr>
              <w:spacing w:line="360" w:lineRule="auto"/>
            </w:pPr>
            <w:r w:rsidRPr="00BE7AD6">
              <w:lastRenderedPageBreak/>
              <w:t xml:space="preserve"> Глюкокортикоиды </w:t>
            </w:r>
          </w:p>
          <w:p w14:paraId="3C903239" w14:textId="77777777" w:rsidR="00BE7AD6" w:rsidRPr="00BE7AD6" w:rsidRDefault="00BE7AD6" w:rsidP="00051772">
            <w:pPr>
              <w:spacing w:line="360" w:lineRule="auto"/>
            </w:pPr>
            <w:r w:rsidRPr="00BE7AD6">
              <w:lastRenderedPageBreak/>
              <w:t>Форсированный диурез; проводится до купирования клинических проявлений гемолиза</w:t>
            </w:r>
          </w:p>
          <w:p w14:paraId="02E37F1D" w14:textId="77777777" w:rsidR="00BE7AD6" w:rsidRPr="00BE7AD6" w:rsidRDefault="00BE7AD6" w:rsidP="00051772">
            <w:pPr>
              <w:spacing w:line="360" w:lineRule="auto"/>
            </w:pPr>
            <w:r w:rsidRPr="00BE7AD6">
              <w:t>Контроль АД, ЦВД, объема и цвет мочи</w:t>
            </w:r>
          </w:p>
          <w:p w14:paraId="6C903D2C" w14:textId="77777777" w:rsidR="00BE7AD6" w:rsidRPr="00BE7AD6" w:rsidRDefault="00BE7AD6" w:rsidP="00051772">
            <w:pPr>
              <w:spacing w:line="360" w:lineRule="auto"/>
            </w:pPr>
            <w:r w:rsidRPr="00BE7AD6">
              <w:t>При неэффективности консервативной терапии или анурии —плазмаферез и гемодиализ</w:t>
            </w:r>
          </w:p>
        </w:tc>
        <w:tc>
          <w:tcPr>
            <w:tcW w:w="2284" w:type="dxa"/>
          </w:tcPr>
          <w:p w14:paraId="74879F52" w14:textId="77777777" w:rsidR="00BE7AD6" w:rsidRPr="00BE7AD6" w:rsidRDefault="00BE7AD6" w:rsidP="00051772">
            <w:pPr>
              <w:spacing w:line="360" w:lineRule="auto"/>
            </w:pPr>
            <w:r w:rsidRPr="00BE7AD6">
              <w:lastRenderedPageBreak/>
              <w:t xml:space="preserve">Обязательные: исследование </w:t>
            </w:r>
            <w:r w:rsidRPr="00BE7AD6">
              <w:lastRenderedPageBreak/>
              <w:t>уровня свободного гемоглобина в плазме крови, исследование уровня свободного и связанного билирубина в крови, обнаружение гемоглобина в моче, определение гемосидерина в моче; прямой антиглобулиновый тест (прямая проба Кумбса)</w:t>
            </w:r>
          </w:p>
          <w:p w14:paraId="11F7F192" w14:textId="77777777" w:rsidR="00BE7AD6" w:rsidRPr="00BE7AD6" w:rsidRDefault="00BE7AD6" w:rsidP="00051772">
            <w:pPr>
              <w:spacing w:line="360" w:lineRule="auto"/>
            </w:pPr>
          </w:p>
        </w:tc>
      </w:tr>
      <w:tr w:rsidR="00BE7AD6" w:rsidRPr="00BE7AD6" w14:paraId="704C376C" w14:textId="77777777" w:rsidTr="003D0E86">
        <w:trPr>
          <w:jc w:val="center"/>
        </w:trPr>
        <w:tc>
          <w:tcPr>
            <w:tcW w:w="2110" w:type="dxa"/>
          </w:tcPr>
          <w:p w14:paraId="1207C232" w14:textId="77777777" w:rsidR="00BE7AD6" w:rsidRPr="00BE7AD6" w:rsidRDefault="00BE7AD6" w:rsidP="00051772">
            <w:pPr>
              <w:spacing w:line="360" w:lineRule="auto"/>
            </w:pPr>
            <w:r w:rsidRPr="00BE7AD6">
              <w:lastRenderedPageBreak/>
              <w:t>Отсроченная серологическая трансфузионная реакция (DSTR, от delayed serologic transfusion reaction)</w:t>
            </w:r>
          </w:p>
        </w:tc>
        <w:tc>
          <w:tcPr>
            <w:tcW w:w="2340" w:type="dxa"/>
          </w:tcPr>
          <w:p w14:paraId="4EB1AC3D" w14:textId="77777777" w:rsidR="00BE7AD6" w:rsidRPr="00BE7AD6" w:rsidRDefault="00BE7AD6" w:rsidP="00051772">
            <w:pPr>
              <w:spacing w:line="360" w:lineRule="auto"/>
            </w:pPr>
            <w:r w:rsidRPr="00BE7AD6">
              <w:t>Непосредственно после трансфузии признаки гемолиза отсутствуют; в срок от 24 ч до 28 дней после трансфузии у реципиента выявляются новые антиэритроцитарные аллоантитела</w:t>
            </w:r>
          </w:p>
        </w:tc>
        <w:tc>
          <w:tcPr>
            <w:tcW w:w="2520" w:type="dxa"/>
          </w:tcPr>
          <w:p w14:paraId="11298338" w14:textId="77777777" w:rsidR="00BE7AD6" w:rsidRPr="00BE7AD6" w:rsidRDefault="00BE7AD6" w:rsidP="00051772">
            <w:pPr>
              <w:spacing w:line="360" w:lineRule="auto"/>
            </w:pPr>
          </w:p>
        </w:tc>
        <w:tc>
          <w:tcPr>
            <w:tcW w:w="2284" w:type="dxa"/>
          </w:tcPr>
          <w:p w14:paraId="009BB3C5" w14:textId="77777777" w:rsidR="00BE7AD6" w:rsidRPr="00BE7AD6" w:rsidRDefault="00BE7AD6" w:rsidP="00051772">
            <w:pPr>
              <w:spacing w:line="360" w:lineRule="auto"/>
            </w:pPr>
            <w:r w:rsidRPr="00BE7AD6">
              <w:t>Обязательные: прямой антиглобулиновый тест (прямая проба Кумбса)</w:t>
            </w:r>
          </w:p>
        </w:tc>
      </w:tr>
      <w:tr w:rsidR="00BE7AD6" w:rsidRPr="00BE7AD6" w14:paraId="13FCC0BD" w14:textId="77777777" w:rsidTr="003D0E86">
        <w:trPr>
          <w:jc w:val="center"/>
        </w:trPr>
        <w:tc>
          <w:tcPr>
            <w:tcW w:w="2110" w:type="dxa"/>
          </w:tcPr>
          <w:p w14:paraId="36F7268B" w14:textId="77777777" w:rsidR="00BE7AD6" w:rsidRPr="00BE7AD6" w:rsidRDefault="00BE7AD6" w:rsidP="00051772">
            <w:pPr>
              <w:spacing w:line="360" w:lineRule="auto"/>
            </w:pPr>
            <w:r w:rsidRPr="00BE7AD6">
              <w:t>Посттрансфузионная реакция «трансплантат против хозяина» (TA-GVHD, от transfusion-</w:t>
            </w:r>
            <w:r w:rsidRPr="00BE7AD6">
              <w:lastRenderedPageBreak/>
              <w:t>associated graft-versus-host-disease)</w:t>
            </w:r>
          </w:p>
        </w:tc>
        <w:tc>
          <w:tcPr>
            <w:tcW w:w="2340" w:type="dxa"/>
          </w:tcPr>
          <w:p w14:paraId="428E6EB3" w14:textId="77777777" w:rsidR="00BE7AD6" w:rsidRPr="00BE7AD6" w:rsidRDefault="00BE7AD6" w:rsidP="00051772">
            <w:pPr>
              <w:spacing w:line="360" w:lineRule="auto"/>
            </w:pPr>
            <w:r w:rsidRPr="00BE7AD6">
              <w:lastRenderedPageBreak/>
              <w:t xml:space="preserve">Введение иммунокомпетентных клеток донора (T-лимфоцитов) иммунокомпрометированному реципиенту </w:t>
            </w:r>
            <w:r w:rsidRPr="00BE7AD6">
              <w:lastRenderedPageBreak/>
              <w:t>приводит к их пролиферации и дифференцировке в организме реципиента, что вызывает повреждение клеток реципиента, экспрессирующих HLA-антигены I и II классов (кожа, ЖКТ, печень, селезенка, костный мозг)</w:t>
            </w:r>
          </w:p>
          <w:p w14:paraId="6D399873" w14:textId="77777777" w:rsidR="00BE7AD6" w:rsidRPr="00BE7AD6" w:rsidRDefault="00BE7AD6" w:rsidP="00051772">
            <w:pPr>
              <w:spacing w:line="360" w:lineRule="auto"/>
            </w:pPr>
            <w:r w:rsidRPr="00BE7AD6">
              <w:t>Характерны кожная эритема, диарея, поражение печени с гепатомегалией</w:t>
            </w:r>
          </w:p>
          <w:p w14:paraId="559A624C" w14:textId="77777777" w:rsidR="00BE7AD6" w:rsidRPr="00BE7AD6" w:rsidRDefault="00BE7AD6" w:rsidP="00051772">
            <w:pPr>
              <w:spacing w:line="360" w:lineRule="auto"/>
            </w:pPr>
            <w:r w:rsidRPr="00BE7AD6">
              <w:t>Синдром может развиваться в сроки от 2 дней до 6 недель после трансфузии</w:t>
            </w:r>
          </w:p>
        </w:tc>
        <w:tc>
          <w:tcPr>
            <w:tcW w:w="2520" w:type="dxa"/>
          </w:tcPr>
          <w:p w14:paraId="1EB9D474" w14:textId="77777777" w:rsidR="00BE7AD6" w:rsidRPr="00BE7AD6" w:rsidRDefault="00BE7AD6" w:rsidP="00051772">
            <w:pPr>
              <w:spacing w:line="360" w:lineRule="auto"/>
            </w:pPr>
            <w:r w:rsidRPr="00BE7AD6">
              <w:lastRenderedPageBreak/>
              <w:t>Глюкокортикоиды</w:t>
            </w:r>
          </w:p>
        </w:tc>
        <w:tc>
          <w:tcPr>
            <w:tcW w:w="2284" w:type="dxa"/>
          </w:tcPr>
          <w:p w14:paraId="5A182D9F" w14:textId="77777777" w:rsidR="00BE7AD6" w:rsidRPr="00BE7AD6" w:rsidRDefault="00BE7AD6" w:rsidP="00051772">
            <w:pPr>
              <w:spacing w:line="360" w:lineRule="auto"/>
            </w:pPr>
            <w:r w:rsidRPr="00BE7AD6">
              <w:t>Обязательные: общий (клинический) анализ крови, анализ крови биохимический общетерапевтически</w:t>
            </w:r>
            <w:r w:rsidRPr="00BE7AD6">
              <w:lastRenderedPageBreak/>
              <w:t>й (АЛТ, АСТ, щелочная фосфатаза,  свободный и связанный билирубин), коагулограмма (ориентировочное исследование системы гемостаза), патолого-анатомическое исследование биопсийного (операционного) материала кожи</w:t>
            </w:r>
            <w:r w:rsidRPr="00BE7AD6" w:rsidDel="006465DF">
              <w:t xml:space="preserve"> </w:t>
            </w:r>
            <w:r w:rsidRPr="00BE7AD6">
              <w:t>(при наличии кожной эритемы)</w:t>
            </w:r>
          </w:p>
          <w:p w14:paraId="6C9B118A" w14:textId="77777777" w:rsidR="00BE7AD6" w:rsidRPr="00BE7AD6" w:rsidRDefault="00BE7AD6" w:rsidP="00051772">
            <w:pPr>
              <w:spacing w:line="360" w:lineRule="auto"/>
            </w:pPr>
            <w:r w:rsidRPr="00BE7AD6">
              <w:t xml:space="preserve">Дополнительные: молекулярно-генетическое исследование химеризма кроветворения после неродственной трансплантации костного мозга, ультразвуковое исследование органов брюшной полости (комплексное) </w:t>
            </w:r>
          </w:p>
        </w:tc>
      </w:tr>
      <w:tr w:rsidR="00BE7AD6" w:rsidRPr="00BE7AD6" w14:paraId="5FA1F3D0" w14:textId="77777777" w:rsidTr="003D0E86">
        <w:trPr>
          <w:jc w:val="center"/>
        </w:trPr>
        <w:tc>
          <w:tcPr>
            <w:tcW w:w="2110" w:type="dxa"/>
          </w:tcPr>
          <w:p w14:paraId="627AD1D3" w14:textId="77777777" w:rsidR="00BE7AD6" w:rsidRPr="00BE7AD6" w:rsidRDefault="00BE7AD6" w:rsidP="00051772">
            <w:pPr>
              <w:spacing w:line="360" w:lineRule="auto"/>
            </w:pPr>
            <w:r w:rsidRPr="00BE7AD6">
              <w:lastRenderedPageBreak/>
              <w:t>Пострансфузионная пурпура (PTP, от post-transfusion purpura)</w:t>
            </w:r>
          </w:p>
        </w:tc>
        <w:tc>
          <w:tcPr>
            <w:tcW w:w="2340" w:type="dxa"/>
          </w:tcPr>
          <w:p w14:paraId="1CD06A37" w14:textId="77777777" w:rsidR="00BE7AD6" w:rsidRPr="00BE7AD6" w:rsidRDefault="00BE7AD6" w:rsidP="00051772">
            <w:pPr>
              <w:spacing w:line="360" w:lineRule="auto"/>
            </w:pPr>
            <w:r w:rsidRPr="00BE7AD6">
              <w:t>Образование антител к тромбоцитам или лейкоцитам (анти-HLA, анти-HPA) через 5—12 дней после трансфузии, проявляющееся выраженной тромбоцитопенией и геморрагическим синдромом</w:t>
            </w:r>
          </w:p>
        </w:tc>
        <w:tc>
          <w:tcPr>
            <w:tcW w:w="2520" w:type="dxa"/>
          </w:tcPr>
          <w:p w14:paraId="02877C4D" w14:textId="77777777" w:rsidR="00BE7AD6" w:rsidRPr="00BE7AD6" w:rsidRDefault="00BE7AD6" w:rsidP="00051772">
            <w:pPr>
              <w:spacing w:line="360" w:lineRule="auto"/>
            </w:pPr>
            <w:r w:rsidRPr="00BE7AD6">
              <w:t xml:space="preserve">Глюкокортикоиды </w:t>
            </w:r>
          </w:p>
        </w:tc>
        <w:tc>
          <w:tcPr>
            <w:tcW w:w="2284" w:type="dxa"/>
          </w:tcPr>
          <w:p w14:paraId="22B851EB" w14:textId="77777777" w:rsidR="00BE7AD6" w:rsidRPr="00BE7AD6" w:rsidRDefault="00BE7AD6" w:rsidP="00051772">
            <w:pPr>
              <w:spacing w:line="360" w:lineRule="auto"/>
            </w:pPr>
            <w:r w:rsidRPr="00BE7AD6">
              <w:t xml:space="preserve">Обязательные: общий (клинический) анализ крови, определение содержания антилейкоцитарных антител </w:t>
            </w:r>
          </w:p>
          <w:p w14:paraId="142B63D7" w14:textId="77777777" w:rsidR="00BE7AD6" w:rsidRPr="00BE7AD6" w:rsidRDefault="00BE7AD6" w:rsidP="00051772">
            <w:pPr>
              <w:spacing w:line="360" w:lineRule="auto"/>
            </w:pPr>
            <w:r w:rsidRPr="00BE7AD6">
              <w:t>Дополнительные: определение содержания антитромбоцитарных антител</w:t>
            </w:r>
          </w:p>
        </w:tc>
      </w:tr>
      <w:tr w:rsidR="00BE7AD6" w:rsidRPr="00BE7AD6" w14:paraId="2ACC012C" w14:textId="77777777" w:rsidTr="003D0E86">
        <w:trPr>
          <w:jc w:val="center"/>
        </w:trPr>
        <w:tc>
          <w:tcPr>
            <w:tcW w:w="2110" w:type="dxa"/>
            <w:vMerge w:val="restart"/>
          </w:tcPr>
          <w:p w14:paraId="6313620E" w14:textId="77777777" w:rsidR="00BE7AD6" w:rsidRPr="00BE7AD6" w:rsidRDefault="00BE7AD6" w:rsidP="00051772">
            <w:pPr>
              <w:spacing w:line="360" w:lineRule="auto"/>
            </w:pPr>
            <w:r w:rsidRPr="00BE7AD6">
              <w:t>Другие</w:t>
            </w:r>
          </w:p>
        </w:tc>
        <w:tc>
          <w:tcPr>
            <w:tcW w:w="2340" w:type="dxa"/>
          </w:tcPr>
          <w:p w14:paraId="79A597B6" w14:textId="77777777" w:rsidR="00BE7AD6" w:rsidRPr="00BE7AD6" w:rsidRDefault="00BE7AD6" w:rsidP="00051772">
            <w:pPr>
              <w:spacing w:line="360" w:lineRule="auto"/>
            </w:pPr>
            <w:r w:rsidRPr="00BE7AD6">
              <w:t>Септический шок при переливании инфицированного компонента крови</w:t>
            </w:r>
          </w:p>
        </w:tc>
        <w:tc>
          <w:tcPr>
            <w:tcW w:w="2520" w:type="dxa"/>
          </w:tcPr>
          <w:p w14:paraId="60BA1F25" w14:textId="77777777" w:rsidR="00BE7AD6" w:rsidRPr="00BE7AD6" w:rsidRDefault="00BE7AD6" w:rsidP="00051772">
            <w:pPr>
              <w:spacing w:line="360" w:lineRule="auto"/>
            </w:pPr>
            <w:r w:rsidRPr="00BE7AD6">
              <w:t>Антибактериальная терапия широкого спектра действия, противошоковая терапия</w:t>
            </w:r>
          </w:p>
        </w:tc>
        <w:tc>
          <w:tcPr>
            <w:tcW w:w="2284" w:type="dxa"/>
          </w:tcPr>
          <w:p w14:paraId="5F49BC5C" w14:textId="77777777" w:rsidR="00BE7AD6" w:rsidRPr="00BE7AD6" w:rsidRDefault="00BE7AD6" w:rsidP="00051772">
            <w:pPr>
              <w:spacing w:line="360" w:lineRule="auto"/>
            </w:pPr>
            <w:r w:rsidRPr="00BE7AD6">
              <w:t xml:space="preserve">Обязательные: Микробиологическое (культуральное) исследование крови на стерильность </w:t>
            </w:r>
          </w:p>
        </w:tc>
      </w:tr>
      <w:tr w:rsidR="00BE7AD6" w:rsidRPr="00BE7AD6" w14:paraId="79E020D1" w14:textId="77777777" w:rsidTr="003D0E86">
        <w:trPr>
          <w:jc w:val="center"/>
        </w:trPr>
        <w:tc>
          <w:tcPr>
            <w:tcW w:w="2110" w:type="dxa"/>
            <w:vMerge/>
          </w:tcPr>
          <w:p w14:paraId="6F55B01A" w14:textId="77777777" w:rsidR="00BE7AD6" w:rsidRPr="00BE7AD6" w:rsidRDefault="00BE7AD6" w:rsidP="00051772">
            <w:pPr>
              <w:spacing w:line="360" w:lineRule="auto"/>
            </w:pPr>
          </w:p>
        </w:tc>
        <w:tc>
          <w:tcPr>
            <w:tcW w:w="2340" w:type="dxa"/>
          </w:tcPr>
          <w:p w14:paraId="4551BB59" w14:textId="77777777" w:rsidR="00BE7AD6" w:rsidRPr="00BE7AD6" w:rsidRDefault="00BE7AD6" w:rsidP="00051772">
            <w:pPr>
              <w:spacing w:line="360" w:lineRule="auto"/>
            </w:pPr>
            <w:r w:rsidRPr="00BE7AD6">
              <w:t>Перегрузка железом (гемосидероз) органов в результате множественных переливаний эритроцитов</w:t>
            </w:r>
          </w:p>
        </w:tc>
        <w:tc>
          <w:tcPr>
            <w:tcW w:w="2520" w:type="dxa"/>
          </w:tcPr>
          <w:p w14:paraId="6B8D205E" w14:textId="77777777" w:rsidR="00BE7AD6" w:rsidRPr="00BE7AD6" w:rsidRDefault="00BE7AD6" w:rsidP="00051772">
            <w:pPr>
              <w:spacing w:line="360" w:lineRule="auto"/>
            </w:pPr>
            <w:r w:rsidRPr="00BE7AD6">
              <w:t>Железосвязывающие препараты (деферазирокс**, 15—20 мг/кг или другой препарат с аналогичным действием)</w:t>
            </w:r>
          </w:p>
        </w:tc>
        <w:tc>
          <w:tcPr>
            <w:tcW w:w="2284" w:type="dxa"/>
          </w:tcPr>
          <w:p w14:paraId="201FAA97" w14:textId="77777777" w:rsidR="00BE7AD6" w:rsidRPr="00BE7AD6" w:rsidRDefault="00BE7AD6" w:rsidP="00051772">
            <w:pPr>
              <w:spacing w:line="360" w:lineRule="auto"/>
            </w:pPr>
            <w:r w:rsidRPr="00BE7AD6">
              <w:t>Обязательные: исследование уровня ферритина в крови определение уровня ферритина в сыворотке (не должен превышать 1000 мкг/л)</w:t>
            </w:r>
          </w:p>
        </w:tc>
      </w:tr>
    </w:tbl>
    <w:p w14:paraId="2657FA72" w14:textId="77777777" w:rsidR="00BE7AD6" w:rsidRPr="00BE7AD6" w:rsidRDefault="00BE7AD6" w:rsidP="00051772">
      <w:pPr>
        <w:pStyle w:val="afd"/>
      </w:pPr>
      <w:r w:rsidRPr="00BE7AD6">
        <w:t>* Контейнер с компонентом крови, при трансфузии которого возникла реакция или осложнение, передается в установленном порядке для оценки параметров качества и безопасности.</w:t>
      </w:r>
    </w:p>
    <w:p w14:paraId="182FBF75" w14:textId="77777777" w:rsidR="00BE7AD6" w:rsidRPr="00BE7AD6" w:rsidRDefault="00BE7AD6" w:rsidP="00051772">
      <w:pPr>
        <w:pStyle w:val="afd"/>
      </w:pPr>
    </w:p>
    <w:p w14:paraId="7AD0AF63" w14:textId="6C64D828" w:rsidR="00BE7AD6" w:rsidRPr="00BE7AD6" w:rsidRDefault="00BE7AD6" w:rsidP="00051772">
      <w:pPr>
        <w:pStyle w:val="afd"/>
      </w:pPr>
      <w:r w:rsidRPr="00BE7AD6">
        <w:t>Степень тяжести посттрансфузионных реакции и осложнений можно определить по шкале, приведенной в табл. </w:t>
      </w:r>
      <w:r w:rsidR="00051772">
        <w:t>7.9.</w:t>
      </w:r>
      <w:r w:rsidRPr="00BE7AD6">
        <w:t>4.</w:t>
      </w:r>
    </w:p>
    <w:p w14:paraId="32E55889" w14:textId="77777777" w:rsidR="00BE7AD6" w:rsidRPr="00BE7AD6" w:rsidRDefault="00BE7AD6" w:rsidP="00051772">
      <w:pPr>
        <w:pStyle w:val="afd"/>
      </w:pPr>
    </w:p>
    <w:p w14:paraId="23824515" w14:textId="28C7905F" w:rsidR="00BE7AD6" w:rsidRPr="00BE7AD6" w:rsidRDefault="00BE7AD6" w:rsidP="00051772">
      <w:pPr>
        <w:pStyle w:val="afd"/>
      </w:pPr>
      <w:r w:rsidRPr="00BE7AD6">
        <w:lastRenderedPageBreak/>
        <w:t xml:space="preserve">Таблица </w:t>
      </w:r>
      <w:r w:rsidR="00051772">
        <w:t>7.9.</w:t>
      </w:r>
      <w:r w:rsidRPr="00BE7AD6">
        <w:t>4. Шкала степени тяжести реакции или осложнения</w:t>
      </w:r>
    </w:p>
    <w:tbl>
      <w:tblPr>
        <w:tblW w:w="91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0"/>
        <w:gridCol w:w="7380"/>
      </w:tblGrid>
      <w:tr w:rsidR="00BE7AD6" w:rsidRPr="00BE7AD6" w14:paraId="01A10418" w14:textId="77777777" w:rsidTr="003D0E86">
        <w:tc>
          <w:tcPr>
            <w:tcW w:w="1800" w:type="dxa"/>
          </w:tcPr>
          <w:p w14:paraId="57A0EAC7" w14:textId="77777777" w:rsidR="00BE7AD6" w:rsidRPr="00BE7AD6" w:rsidRDefault="00BE7AD6" w:rsidP="00051772">
            <w:pPr>
              <w:spacing w:line="360" w:lineRule="auto"/>
            </w:pPr>
            <w:r w:rsidRPr="00BE7AD6">
              <w:t>Категория</w:t>
            </w:r>
          </w:p>
        </w:tc>
        <w:tc>
          <w:tcPr>
            <w:tcW w:w="7380" w:type="dxa"/>
          </w:tcPr>
          <w:p w14:paraId="535BBE51" w14:textId="77777777" w:rsidR="00BE7AD6" w:rsidRPr="00BE7AD6" w:rsidRDefault="00BE7AD6" w:rsidP="00051772">
            <w:pPr>
              <w:spacing w:line="360" w:lineRule="auto"/>
            </w:pPr>
            <w:r w:rsidRPr="00BE7AD6">
              <w:t>Определение</w:t>
            </w:r>
          </w:p>
        </w:tc>
      </w:tr>
      <w:tr w:rsidR="00BE7AD6" w:rsidRPr="00BE7AD6" w14:paraId="2E32E9A9" w14:textId="77777777" w:rsidTr="003D0E86">
        <w:tc>
          <w:tcPr>
            <w:tcW w:w="1800" w:type="dxa"/>
          </w:tcPr>
          <w:p w14:paraId="1926B7F4" w14:textId="77777777" w:rsidR="00BE7AD6" w:rsidRPr="00BE7AD6" w:rsidRDefault="00BE7AD6" w:rsidP="00051772">
            <w:pPr>
              <w:spacing w:line="360" w:lineRule="auto"/>
            </w:pPr>
            <w:r w:rsidRPr="00BE7AD6">
              <w:t>0</w:t>
            </w:r>
          </w:p>
        </w:tc>
        <w:tc>
          <w:tcPr>
            <w:tcW w:w="7380" w:type="dxa"/>
          </w:tcPr>
          <w:p w14:paraId="7D6BDE0F" w14:textId="77777777" w:rsidR="00BE7AD6" w:rsidRPr="00BE7AD6" w:rsidRDefault="00BE7AD6" w:rsidP="00051772">
            <w:pPr>
              <w:spacing w:line="360" w:lineRule="auto"/>
            </w:pPr>
            <w:r w:rsidRPr="00BE7AD6">
              <w:t>Реакции и осложнений нет</w:t>
            </w:r>
          </w:p>
        </w:tc>
      </w:tr>
      <w:tr w:rsidR="00BE7AD6" w:rsidRPr="00BE7AD6" w14:paraId="331791B2" w14:textId="77777777" w:rsidTr="003D0E86">
        <w:tc>
          <w:tcPr>
            <w:tcW w:w="1800" w:type="dxa"/>
          </w:tcPr>
          <w:p w14:paraId="723AD288" w14:textId="77777777" w:rsidR="00BE7AD6" w:rsidRPr="00BE7AD6" w:rsidRDefault="00BE7AD6" w:rsidP="00051772">
            <w:pPr>
              <w:spacing w:line="360" w:lineRule="auto"/>
            </w:pPr>
            <w:r w:rsidRPr="00BE7AD6">
              <w:t>1</w:t>
            </w:r>
          </w:p>
        </w:tc>
        <w:tc>
          <w:tcPr>
            <w:tcW w:w="7380" w:type="dxa"/>
          </w:tcPr>
          <w:p w14:paraId="55AB98F3" w14:textId="77777777" w:rsidR="00BE7AD6" w:rsidRPr="00BE7AD6" w:rsidRDefault="00BE7AD6" w:rsidP="00051772">
            <w:pPr>
              <w:spacing w:line="360" w:lineRule="auto"/>
            </w:pPr>
            <w:r w:rsidRPr="00BE7AD6">
              <w:t>Легкой степени: температура &lt; 38</w:t>
            </w:r>
            <w:r w:rsidRPr="00BE7AD6">
              <w:t>C, другие незначительные симптомы, без долгосрочных патологических последствий. Не требует терапевтического вмешательства</w:t>
            </w:r>
          </w:p>
        </w:tc>
      </w:tr>
      <w:tr w:rsidR="00BE7AD6" w:rsidRPr="00BE7AD6" w14:paraId="192E5296" w14:textId="77777777" w:rsidTr="003D0E86">
        <w:tc>
          <w:tcPr>
            <w:tcW w:w="1800" w:type="dxa"/>
          </w:tcPr>
          <w:p w14:paraId="2A3D3753" w14:textId="77777777" w:rsidR="00BE7AD6" w:rsidRPr="00BE7AD6" w:rsidRDefault="00BE7AD6" w:rsidP="00051772">
            <w:pPr>
              <w:spacing w:line="360" w:lineRule="auto"/>
            </w:pPr>
            <w:r w:rsidRPr="00BE7AD6">
              <w:t>2</w:t>
            </w:r>
          </w:p>
        </w:tc>
        <w:tc>
          <w:tcPr>
            <w:tcW w:w="7380" w:type="dxa"/>
          </w:tcPr>
          <w:p w14:paraId="098046F1" w14:textId="77777777" w:rsidR="00BE7AD6" w:rsidRPr="00BE7AD6" w:rsidRDefault="00BE7AD6" w:rsidP="00051772">
            <w:pPr>
              <w:spacing w:line="360" w:lineRule="auto"/>
            </w:pPr>
            <w:r w:rsidRPr="00BE7AD6">
              <w:t>Средней степени: симптомы, требующие терапевтического вмешательства, стабильные гемодинамические и вентиляционные показатели, возможны долгосрочные последствия (например, аллосенсибилизация в качестве причины рефрактерности к трансфузиям)</w:t>
            </w:r>
          </w:p>
        </w:tc>
      </w:tr>
      <w:tr w:rsidR="00BE7AD6" w:rsidRPr="00BE7AD6" w14:paraId="18E4B3A9" w14:textId="77777777" w:rsidTr="003D0E86">
        <w:tc>
          <w:tcPr>
            <w:tcW w:w="1800" w:type="dxa"/>
          </w:tcPr>
          <w:p w14:paraId="2122FF77" w14:textId="77777777" w:rsidR="00BE7AD6" w:rsidRPr="00BE7AD6" w:rsidRDefault="00BE7AD6" w:rsidP="00051772">
            <w:pPr>
              <w:spacing w:line="360" w:lineRule="auto"/>
            </w:pPr>
            <w:r w:rsidRPr="00BE7AD6">
              <w:t>3</w:t>
            </w:r>
          </w:p>
        </w:tc>
        <w:tc>
          <w:tcPr>
            <w:tcW w:w="7380" w:type="dxa"/>
          </w:tcPr>
          <w:p w14:paraId="56AF29D5" w14:textId="77777777" w:rsidR="00BE7AD6" w:rsidRPr="00BE7AD6" w:rsidRDefault="00BE7AD6" w:rsidP="00051772">
            <w:pPr>
              <w:spacing w:line="360" w:lineRule="auto"/>
            </w:pPr>
            <w:r w:rsidRPr="00BE7AD6">
              <w:t>Тяжелой степени (непосредственная угроза жизни реципиента): нестабильные гемодинамические и вентиляционные показатели</w:t>
            </w:r>
          </w:p>
        </w:tc>
      </w:tr>
      <w:tr w:rsidR="00BE7AD6" w:rsidRPr="00BE7AD6" w14:paraId="0357C83F" w14:textId="77777777" w:rsidTr="003D0E86">
        <w:tc>
          <w:tcPr>
            <w:tcW w:w="1800" w:type="dxa"/>
          </w:tcPr>
          <w:p w14:paraId="18CD27B9" w14:textId="77777777" w:rsidR="00BE7AD6" w:rsidRPr="00BE7AD6" w:rsidRDefault="00BE7AD6" w:rsidP="00051772">
            <w:pPr>
              <w:spacing w:line="360" w:lineRule="auto"/>
            </w:pPr>
            <w:r w:rsidRPr="00BE7AD6">
              <w:t>4</w:t>
            </w:r>
          </w:p>
        </w:tc>
        <w:tc>
          <w:tcPr>
            <w:tcW w:w="7380" w:type="dxa"/>
          </w:tcPr>
          <w:p w14:paraId="1179A912" w14:textId="77777777" w:rsidR="00BE7AD6" w:rsidRPr="00BE7AD6" w:rsidRDefault="00BE7AD6" w:rsidP="00051772">
            <w:pPr>
              <w:spacing w:line="360" w:lineRule="auto"/>
            </w:pPr>
            <w:r w:rsidRPr="00BE7AD6">
              <w:t>Смерть от осложнения, выявленного в первые 24 часов после трансфузии</w:t>
            </w:r>
          </w:p>
        </w:tc>
      </w:tr>
    </w:tbl>
    <w:p w14:paraId="59A9CEE9" w14:textId="77777777" w:rsidR="00BE7AD6" w:rsidRPr="00BE7AD6" w:rsidRDefault="00BE7AD6" w:rsidP="00BE7AD6"/>
    <w:p w14:paraId="6273990F" w14:textId="77777777" w:rsidR="00BE7AD6" w:rsidRPr="00BE7AD6" w:rsidRDefault="00BE7AD6" w:rsidP="002A535B">
      <w:pPr>
        <w:spacing w:line="360" w:lineRule="auto"/>
        <w:ind w:firstLine="709"/>
      </w:pPr>
      <w:r w:rsidRPr="00BE7AD6">
        <w:t>Премедикация перед проведением трансфузии компонентов донорской крови</w:t>
      </w:r>
    </w:p>
    <w:p w14:paraId="07C3BB2E" w14:textId="2F8772BD" w:rsidR="00BE7AD6" w:rsidRPr="00BE7AD6" w:rsidRDefault="00BE7AD6" w:rsidP="002A535B">
      <w:pPr>
        <w:spacing w:line="360" w:lineRule="auto"/>
        <w:ind w:firstLine="709"/>
      </w:pPr>
      <w:r w:rsidRPr="00BE7AD6">
        <w:t>Для профилактики нежелательных реакций на трансфузию при неоднократном проведении трансфузий компонентов крови может потребоваться премедикация. Алгоритм выбора премедикации перед проведением трансфузии компонентов донорской крови приведен в табл.</w:t>
      </w:r>
      <w:r w:rsidR="00051772">
        <w:t xml:space="preserve"> 7.9.</w:t>
      </w:r>
      <w:r w:rsidRPr="00BE7AD6">
        <w:t>5.</w:t>
      </w:r>
    </w:p>
    <w:p w14:paraId="7AF0884F" w14:textId="77777777" w:rsidR="00BE7AD6" w:rsidRPr="00BE7AD6" w:rsidRDefault="00BE7AD6" w:rsidP="00051772">
      <w:pPr>
        <w:spacing w:line="360" w:lineRule="auto"/>
      </w:pPr>
    </w:p>
    <w:p w14:paraId="78AA2C2B" w14:textId="74CA171F" w:rsidR="00BE7AD6" w:rsidRPr="00BE7AD6" w:rsidRDefault="00BE7AD6" w:rsidP="00051772">
      <w:pPr>
        <w:spacing w:line="360" w:lineRule="auto"/>
      </w:pPr>
      <w:r w:rsidRPr="00BE7AD6">
        <w:t xml:space="preserve">Таблица </w:t>
      </w:r>
      <w:r w:rsidR="00051772">
        <w:t>7.9.</w:t>
      </w:r>
      <w:r w:rsidRPr="00BE7AD6">
        <w:t>5. Выбор премедикации перед проведением трансфузии компонентов донорской крови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8"/>
        <w:gridCol w:w="2421"/>
        <w:gridCol w:w="4200"/>
      </w:tblGrid>
      <w:tr w:rsidR="00BE7AD6" w:rsidRPr="00BE7AD6" w14:paraId="13810223" w14:textId="77777777" w:rsidTr="003D0E86">
        <w:tc>
          <w:tcPr>
            <w:tcW w:w="3208" w:type="dxa"/>
            <w:shd w:val="clear" w:color="auto" w:fill="auto"/>
          </w:tcPr>
          <w:p w14:paraId="336D55FF" w14:textId="77777777" w:rsidR="00BE7AD6" w:rsidRPr="00BE7AD6" w:rsidRDefault="00BE7AD6" w:rsidP="00051772">
            <w:pPr>
              <w:spacing w:line="360" w:lineRule="auto"/>
            </w:pPr>
            <w:r w:rsidRPr="00BE7AD6">
              <w:t>Вид реакции или осложнения, связанный с переливанием донорской крови и/или её компонентов, зафиксированных при предыдущих трансфузиях</w:t>
            </w:r>
          </w:p>
        </w:tc>
        <w:tc>
          <w:tcPr>
            <w:tcW w:w="3082" w:type="dxa"/>
            <w:shd w:val="clear" w:color="auto" w:fill="auto"/>
          </w:tcPr>
          <w:p w14:paraId="0488F287" w14:textId="77777777" w:rsidR="00BE7AD6" w:rsidRPr="00BE7AD6" w:rsidRDefault="00BE7AD6" w:rsidP="00051772">
            <w:pPr>
              <w:spacing w:line="360" w:lineRule="auto"/>
            </w:pPr>
            <w:r w:rsidRPr="00BE7AD6">
              <w:t>Наименование компонента донорской крови, показанного для предстоящей трансфузии</w:t>
            </w:r>
          </w:p>
        </w:tc>
        <w:tc>
          <w:tcPr>
            <w:tcW w:w="8270" w:type="dxa"/>
            <w:shd w:val="clear" w:color="auto" w:fill="auto"/>
          </w:tcPr>
          <w:p w14:paraId="14CCE52F" w14:textId="77777777" w:rsidR="00BE7AD6" w:rsidRPr="00BE7AD6" w:rsidRDefault="00BE7AD6" w:rsidP="00051772">
            <w:pPr>
              <w:spacing w:line="360" w:lineRule="auto"/>
            </w:pPr>
            <w:r w:rsidRPr="00BE7AD6">
              <w:t>Премедикация перед предстоящей трансфузией</w:t>
            </w:r>
          </w:p>
        </w:tc>
      </w:tr>
      <w:tr w:rsidR="00BE7AD6" w:rsidRPr="00BE7AD6" w14:paraId="26555078" w14:textId="77777777" w:rsidTr="003D0E86">
        <w:tc>
          <w:tcPr>
            <w:tcW w:w="14560" w:type="dxa"/>
            <w:gridSpan w:val="3"/>
            <w:shd w:val="clear" w:color="auto" w:fill="auto"/>
          </w:tcPr>
          <w:p w14:paraId="573BA5D2" w14:textId="77777777" w:rsidR="00BE7AD6" w:rsidRPr="00BE7AD6" w:rsidRDefault="00BE7AD6" w:rsidP="00051772">
            <w:pPr>
              <w:spacing w:line="360" w:lineRule="auto"/>
            </w:pPr>
            <w:r w:rsidRPr="00BE7AD6">
              <w:lastRenderedPageBreak/>
              <w:t>А. Пациент без трансфузий донорской крови и/или её компонентов в анамнезе</w:t>
            </w:r>
          </w:p>
        </w:tc>
      </w:tr>
      <w:tr w:rsidR="00BE7AD6" w:rsidRPr="00BE7AD6" w14:paraId="62682352" w14:textId="77777777" w:rsidTr="003D0E86">
        <w:tc>
          <w:tcPr>
            <w:tcW w:w="3208" w:type="dxa"/>
            <w:shd w:val="clear" w:color="auto" w:fill="auto"/>
          </w:tcPr>
          <w:p w14:paraId="31FCC3A4" w14:textId="77777777" w:rsidR="00BE7AD6" w:rsidRPr="00BE7AD6" w:rsidRDefault="00BE7AD6" w:rsidP="00051772">
            <w:pPr>
              <w:spacing w:line="360" w:lineRule="auto"/>
            </w:pPr>
            <w:r w:rsidRPr="00BE7AD6">
              <w:t>-</w:t>
            </w:r>
          </w:p>
        </w:tc>
        <w:tc>
          <w:tcPr>
            <w:tcW w:w="3082" w:type="dxa"/>
            <w:shd w:val="clear" w:color="auto" w:fill="auto"/>
          </w:tcPr>
          <w:p w14:paraId="48EA3F52" w14:textId="77777777" w:rsidR="00BE7AD6" w:rsidRPr="00BE7AD6" w:rsidRDefault="00BE7AD6" w:rsidP="00051772">
            <w:pPr>
              <w:spacing w:line="360" w:lineRule="auto"/>
            </w:pPr>
            <w:r w:rsidRPr="00BE7AD6">
              <w:t>Любой компонент донорской крови</w:t>
            </w:r>
          </w:p>
        </w:tc>
        <w:tc>
          <w:tcPr>
            <w:tcW w:w="8270" w:type="dxa"/>
            <w:shd w:val="clear" w:color="auto" w:fill="auto"/>
          </w:tcPr>
          <w:p w14:paraId="5D8C1756" w14:textId="120D34E6" w:rsidR="00BE7AD6" w:rsidRPr="00BE7AD6" w:rsidRDefault="00BE7AD6" w:rsidP="00051772">
            <w:pPr>
              <w:spacing w:line="360" w:lineRule="auto"/>
            </w:pPr>
            <w:r w:rsidRPr="00BE7AD6">
              <w:t xml:space="preserve">10 мл 10% #кальция глюконата** в 100 мл 0,9% раствора NaCl** в/в капельно </w:t>
            </w:r>
            <w:r w:rsidRPr="00BE7AD6">
              <w:fldChar w:fldCharType="begin" w:fldLock="1"/>
            </w:r>
            <w:r w:rsidR="00A6794A">
              <w:instrText>ADDIN CSL_CITATION {"citationItems":[{"id":"ITEM-1","itemData":{"author":[{"dropping-particle":"","family":"Шихмирзаев","given":"Т. А.","non-dropping-particle":"","parse-names":false,"suffix":""},{"dropping-particle":"","family":"Чемоданов","given":"И. Г.","non-dropping-particle":"","parse-names":false,"suffix":""},{"dropping-particle":"","family":"Шестаков","given":"Е. А.","non-dropping-particle":"","parse-names":false,"suffix":""},{"dropping-particle":"","family":"Мадзаев","given":"С. Р.","non-dropping-particle":"","parse-names":false,"suffix":""},{"dropping-particle":"","family":"Цеев","given":"Ю. К.","non-dropping-particle":"","parse-names":false,"suffix":""},{"dropping-particle":"","family":"Жибурт","given":"Е. Б.","non-dropping-particle":"","parse-names":false,"suffix":""}],"container-title":"Вестник Национального медико-хирургического Центра им. Н. И. Пирогова","id":"ITEM-1","issue":"2","issued":{"date-parts":[["2018"]]},"page":"95-99","title":"Фармакопрофилактика трансфузионных реакций","type":"article-journal","volume":"13"},"uris":["http://www.mendeley.com/documents/?uuid=d07e9eaf-bec5-423a-b339-33b4d6ae7435"]}],"mendeley":{"formattedCitation":"[172]","plainTextFormattedCitation":"[172]","previouslyFormattedCitation":"[172]"},"properties":{"noteIndex":0},"schema":"https://github.com/citation-style-language/schema/raw/master/csl-citation.json"}</w:instrText>
            </w:r>
            <w:r w:rsidRPr="00BE7AD6">
              <w:fldChar w:fldCharType="separate"/>
            </w:r>
            <w:r w:rsidR="006E1902" w:rsidRPr="006E1902">
              <w:rPr>
                <w:noProof/>
              </w:rPr>
              <w:t>[172]</w:t>
            </w:r>
            <w:r w:rsidRPr="00BE7AD6">
              <w:fldChar w:fldCharType="end"/>
            </w:r>
          </w:p>
        </w:tc>
      </w:tr>
      <w:tr w:rsidR="00BE7AD6" w:rsidRPr="00BE7AD6" w14:paraId="714401F5" w14:textId="77777777" w:rsidTr="003D0E86">
        <w:tc>
          <w:tcPr>
            <w:tcW w:w="14560" w:type="dxa"/>
            <w:gridSpan w:val="3"/>
            <w:shd w:val="clear" w:color="auto" w:fill="auto"/>
          </w:tcPr>
          <w:p w14:paraId="501FDBE7" w14:textId="77777777" w:rsidR="00BE7AD6" w:rsidRPr="00BE7AD6" w:rsidRDefault="00BE7AD6" w:rsidP="00051772">
            <w:pPr>
              <w:spacing w:line="360" w:lineRule="auto"/>
            </w:pPr>
            <w:r w:rsidRPr="00BE7AD6">
              <w:t>Б. Пациент с трансфузией донорской крови и/или её компонентов без реакций или осложнений в анамнезе*</w:t>
            </w:r>
          </w:p>
        </w:tc>
      </w:tr>
      <w:tr w:rsidR="00BE7AD6" w:rsidRPr="00BE7AD6" w14:paraId="152CDD40" w14:textId="77777777" w:rsidTr="003D0E86">
        <w:tc>
          <w:tcPr>
            <w:tcW w:w="3208" w:type="dxa"/>
            <w:shd w:val="clear" w:color="auto" w:fill="auto"/>
          </w:tcPr>
          <w:p w14:paraId="590C1A6D" w14:textId="77777777" w:rsidR="00BE7AD6" w:rsidRPr="00BE7AD6" w:rsidRDefault="00BE7AD6" w:rsidP="00051772">
            <w:pPr>
              <w:spacing w:line="360" w:lineRule="auto"/>
            </w:pPr>
            <w:r w:rsidRPr="00BE7AD6">
              <w:t>-</w:t>
            </w:r>
          </w:p>
        </w:tc>
        <w:tc>
          <w:tcPr>
            <w:tcW w:w="3082" w:type="dxa"/>
            <w:shd w:val="clear" w:color="auto" w:fill="auto"/>
          </w:tcPr>
          <w:p w14:paraId="405E9C58" w14:textId="77777777" w:rsidR="00BE7AD6" w:rsidRPr="00BE7AD6" w:rsidRDefault="00BE7AD6" w:rsidP="00051772">
            <w:pPr>
              <w:spacing w:line="360" w:lineRule="auto"/>
            </w:pPr>
            <w:r w:rsidRPr="00BE7AD6">
              <w:t>Любой компонент донорской крови</w:t>
            </w:r>
          </w:p>
        </w:tc>
        <w:tc>
          <w:tcPr>
            <w:tcW w:w="8270" w:type="dxa"/>
            <w:shd w:val="clear" w:color="auto" w:fill="auto"/>
          </w:tcPr>
          <w:p w14:paraId="08A0A028" w14:textId="30F02E07" w:rsidR="00BE7AD6" w:rsidRPr="00BE7AD6" w:rsidRDefault="00BE7AD6" w:rsidP="00051772">
            <w:pPr>
              <w:spacing w:line="360" w:lineRule="auto"/>
            </w:pPr>
            <w:r w:rsidRPr="00BE7AD6">
              <w:t xml:space="preserve">10 мл 10% #кальция глюконата** в 100 мл 0,9% раствора NaCl** в/в капельно </w:t>
            </w:r>
            <w:r w:rsidRPr="00BE7AD6">
              <w:fldChar w:fldCharType="begin" w:fldLock="1"/>
            </w:r>
            <w:r w:rsidR="00A6794A">
              <w:instrText>ADDIN CSL_CITATION {"citationItems":[{"id":"ITEM-1","itemData":{"author":[{"dropping-particle":"","family":"Шихмирзаев","given":"Т. А.","non-dropping-particle":"","parse-names":false,"suffix":""},{"dropping-particle":"","family":"Чемоданов","given":"И. Г.","non-dropping-particle":"","parse-names":false,"suffix":""},{"dropping-particle":"","family":"Шестаков","given":"Е. А.","non-dropping-particle":"","parse-names":false,"suffix":""},{"dropping-particle":"","family":"Мадзаев","given":"С. Р.","non-dropping-particle":"","parse-names":false,"suffix":""},{"dropping-particle":"","family":"Цеев","given":"Ю. К.","non-dropping-particle":"","parse-names":false,"suffix":""},{"dropping-particle":"","family":"Жибурт","given":"Е. Б.","non-dropping-particle":"","parse-names":false,"suffix":""}],"container-title":"Вестник Национального медико-хирургического Центра им. Н. И. Пирогова","id":"ITEM-1","issue":"2","issued":{"date-parts":[["2018"]]},"page":"95-99","title":"Фармакопрофилактика трансфузионных реакций","type":"article-journal","volume":"13"},"uris":["http://www.mendeley.com/documents/?uuid=d07e9eaf-bec5-423a-b339-33b4d6ae7435"]}],"mendeley":{"formattedCitation":"[172]","plainTextFormattedCitation":"[172]","previouslyFormattedCitation":"[172]"},"properties":{"noteIndex":0},"schema":"https://github.com/citation-style-language/schema/raw/master/csl-citation.json"}</w:instrText>
            </w:r>
            <w:r w:rsidRPr="00BE7AD6">
              <w:fldChar w:fldCharType="separate"/>
            </w:r>
            <w:r w:rsidR="006E1902" w:rsidRPr="006E1902">
              <w:rPr>
                <w:noProof/>
              </w:rPr>
              <w:t>[172]</w:t>
            </w:r>
            <w:r w:rsidRPr="00BE7AD6">
              <w:fldChar w:fldCharType="end"/>
            </w:r>
          </w:p>
        </w:tc>
      </w:tr>
      <w:tr w:rsidR="00BE7AD6" w:rsidRPr="00BE7AD6" w14:paraId="63D0F60B" w14:textId="77777777" w:rsidTr="003D0E86">
        <w:tc>
          <w:tcPr>
            <w:tcW w:w="14560" w:type="dxa"/>
            <w:gridSpan w:val="3"/>
            <w:shd w:val="clear" w:color="auto" w:fill="auto"/>
          </w:tcPr>
          <w:p w14:paraId="753094FF" w14:textId="77777777" w:rsidR="00BE7AD6" w:rsidRPr="00BE7AD6" w:rsidRDefault="00BE7AD6" w:rsidP="00051772">
            <w:pPr>
              <w:spacing w:line="360" w:lineRule="auto"/>
            </w:pPr>
            <w:r w:rsidRPr="00BE7AD6">
              <w:t>В. Пациент с трансфузией донорской крови и/или её компонентов с реакциями или осложнениями на в анамнезе</w:t>
            </w:r>
          </w:p>
        </w:tc>
      </w:tr>
      <w:tr w:rsidR="00BE7AD6" w:rsidRPr="00BE7AD6" w14:paraId="45EBA18D" w14:textId="77777777" w:rsidTr="003D0E86">
        <w:tc>
          <w:tcPr>
            <w:tcW w:w="14560" w:type="dxa"/>
            <w:gridSpan w:val="3"/>
            <w:shd w:val="clear" w:color="auto" w:fill="auto"/>
          </w:tcPr>
          <w:p w14:paraId="627BE421" w14:textId="77777777" w:rsidR="00BE7AD6" w:rsidRPr="00BE7AD6" w:rsidRDefault="00BE7AD6" w:rsidP="00051772">
            <w:pPr>
              <w:spacing w:line="360" w:lineRule="auto"/>
            </w:pPr>
            <w:r w:rsidRPr="00BE7AD6">
              <w:t>Аллергические реакции (крапивница, бронхоспазм, отек Квинке, анафилактический шок и др.) в зависимости от степени тяжести</w:t>
            </w:r>
          </w:p>
        </w:tc>
      </w:tr>
      <w:tr w:rsidR="00BE7AD6" w:rsidRPr="00BE7AD6" w14:paraId="19297EFE" w14:textId="77777777" w:rsidTr="003D0E86">
        <w:tc>
          <w:tcPr>
            <w:tcW w:w="3208" w:type="dxa"/>
            <w:shd w:val="clear" w:color="auto" w:fill="auto"/>
          </w:tcPr>
          <w:p w14:paraId="7BA176B6" w14:textId="77777777" w:rsidR="00BE7AD6" w:rsidRPr="00BE7AD6" w:rsidRDefault="00BE7AD6" w:rsidP="00051772">
            <w:pPr>
              <w:spacing w:line="360" w:lineRule="auto"/>
            </w:pPr>
            <w:r w:rsidRPr="00BE7AD6">
              <w:t>Аллергические реакции легкой степени</w:t>
            </w:r>
          </w:p>
          <w:p w14:paraId="7C5411CF" w14:textId="77777777" w:rsidR="00BE7AD6" w:rsidRPr="00BE7AD6" w:rsidRDefault="00BE7AD6" w:rsidP="00051772">
            <w:pPr>
              <w:spacing w:line="360" w:lineRule="auto"/>
            </w:pPr>
          </w:p>
        </w:tc>
        <w:tc>
          <w:tcPr>
            <w:tcW w:w="3082" w:type="dxa"/>
            <w:shd w:val="clear" w:color="auto" w:fill="auto"/>
          </w:tcPr>
          <w:p w14:paraId="403C2F68" w14:textId="77777777" w:rsidR="00BE7AD6" w:rsidRPr="00BE7AD6" w:rsidRDefault="00BE7AD6" w:rsidP="00051772">
            <w:pPr>
              <w:spacing w:line="360" w:lineRule="auto"/>
            </w:pPr>
            <w:r w:rsidRPr="00BE7AD6">
              <w:t>Любой компонент донорской крови</w:t>
            </w:r>
          </w:p>
        </w:tc>
        <w:tc>
          <w:tcPr>
            <w:tcW w:w="8270" w:type="dxa"/>
            <w:shd w:val="clear" w:color="auto" w:fill="auto"/>
          </w:tcPr>
          <w:p w14:paraId="5FF37056" w14:textId="77777777" w:rsidR="00BE7AD6" w:rsidRPr="00BE7AD6" w:rsidRDefault="00BE7AD6" w:rsidP="00051772">
            <w:pPr>
              <w:spacing w:line="360" w:lineRule="auto"/>
            </w:pPr>
            <w:r w:rsidRPr="00BE7AD6">
              <w:t>10 мл 10% кальция глюконата** в 100 мл 0,9% раствора NaCl** в/в капельно</w:t>
            </w:r>
          </w:p>
        </w:tc>
      </w:tr>
      <w:tr w:rsidR="00BE7AD6" w:rsidRPr="00BE7AD6" w14:paraId="2B52E11C" w14:textId="77777777" w:rsidTr="003D0E86">
        <w:tc>
          <w:tcPr>
            <w:tcW w:w="3208" w:type="dxa"/>
            <w:vMerge w:val="restart"/>
            <w:shd w:val="clear" w:color="auto" w:fill="auto"/>
          </w:tcPr>
          <w:p w14:paraId="67F99164" w14:textId="77777777" w:rsidR="00BE7AD6" w:rsidRPr="00BE7AD6" w:rsidRDefault="00BE7AD6" w:rsidP="00051772">
            <w:pPr>
              <w:spacing w:line="360" w:lineRule="auto"/>
            </w:pPr>
            <w:r w:rsidRPr="00BE7AD6">
              <w:t>Аллергические реакции средней тяжести (протекающие без нарушений гемодинамических и вентиляционных показателей)</w:t>
            </w:r>
          </w:p>
        </w:tc>
        <w:tc>
          <w:tcPr>
            <w:tcW w:w="3082" w:type="dxa"/>
            <w:shd w:val="clear" w:color="auto" w:fill="auto"/>
          </w:tcPr>
          <w:p w14:paraId="6C4B8F3A" w14:textId="77777777" w:rsidR="00BE7AD6" w:rsidRPr="00BE7AD6" w:rsidRDefault="00BE7AD6" w:rsidP="00051772">
            <w:pPr>
              <w:spacing w:line="360" w:lineRule="auto"/>
            </w:pPr>
            <w:r w:rsidRPr="00BE7AD6">
              <w:t>Компонент донорской крови, вызвавший реакцию ранее</w:t>
            </w:r>
          </w:p>
        </w:tc>
        <w:tc>
          <w:tcPr>
            <w:tcW w:w="8270" w:type="dxa"/>
            <w:shd w:val="clear" w:color="auto" w:fill="auto"/>
          </w:tcPr>
          <w:p w14:paraId="29C2A579" w14:textId="77777777" w:rsidR="00BE7AD6" w:rsidRPr="00BE7AD6" w:rsidRDefault="00BE7AD6" w:rsidP="00051772">
            <w:pPr>
              <w:spacing w:line="360" w:lineRule="auto"/>
            </w:pPr>
            <w:r w:rsidRPr="00BE7AD6">
              <w:t>10 мл 10% кальция глюконата** и 2 мл клемастина 1 мг/мл (либо 1 мл дифенгидрамина** 10 мг/мл, либо 1 мл хлоропирамина** 20 мг/мл) в 100 мл 0,9% раствора NaCl** в/в капельно</w:t>
            </w:r>
          </w:p>
        </w:tc>
      </w:tr>
      <w:tr w:rsidR="00BE7AD6" w:rsidRPr="00BE7AD6" w14:paraId="71CA77AE" w14:textId="77777777" w:rsidTr="003D0E86">
        <w:tc>
          <w:tcPr>
            <w:tcW w:w="3208" w:type="dxa"/>
            <w:vMerge/>
            <w:shd w:val="clear" w:color="auto" w:fill="auto"/>
          </w:tcPr>
          <w:p w14:paraId="2592B3F5" w14:textId="77777777" w:rsidR="00BE7AD6" w:rsidRPr="00BE7AD6" w:rsidRDefault="00BE7AD6" w:rsidP="00051772">
            <w:pPr>
              <w:spacing w:line="360" w:lineRule="auto"/>
            </w:pPr>
          </w:p>
        </w:tc>
        <w:tc>
          <w:tcPr>
            <w:tcW w:w="3082" w:type="dxa"/>
            <w:shd w:val="clear" w:color="auto" w:fill="auto"/>
          </w:tcPr>
          <w:p w14:paraId="080E8E1B" w14:textId="77777777" w:rsidR="00BE7AD6" w:rsidRPr="00BE7AD6" w:rsidRDefault="00BE7AD6" w:rsidP="00051772">
            <w:pPr>
              <w:spacing w:line="360" w:lineRule="auto"/>
            </w:pPr>
            <w:r w:rsidRPr="00BE7AD6">
              <w:t>Другие компоненты донорской крови (не вызывавшие реакции ранее)</w:t>
            </w:r>
          </w:p>
        </w:tc>
        <w:tc>
          <w:tcPr>
            <w:tcW w:w="8270" w:type="dxa"/>
            <w:shd w:val="clear" w:color="auto" w:fill="auto"/>
          </w:tcPr>
          <w:p w14:paraId="316E5BF4" w14:textId="77777777" w:rsidR="00BE7AD6" w:rsidRPr="00BE7AD6" w:rsidRDefault="00BE7AD6" w:rsidP="00051772">
            <w:pPr>
              <w:spacing w:line="360" w:lineRule="auto"/>
            </w:pPr>
            <w:r w:rsidRPr="00BE7AD6">
              <w:t>10 мл 10% кальция глюконата** в 100 мл 0,9% раствора NaCl** в/в капельно</w:t>
            </w:r>
          </w:p>
        </w:tc>
      </w:tr>
      <w:tr w:rsidR="00BE7AD6" w:rsidRPr="00BE7AD6" w14:paraId="72CFD07D" w14:textId="77777777" w:rsidTr="003D0E86">
        <w:tc>
          <w:tcPr>
            <w:tcW w:w="3208" w:type="dxa"/>
            <w:shd w:val="clear" w:color="auto" w:fill="auto"/>
          </w:tcPr>
          <w:p w14:paraId="7F5E3875" w14:textId="77777777" w:rsidR="00BE7AD6" w:rsidRPr="00BE7AD6" w:rsidRDefault="00BE7AD6" w:rsidP="00051772">
            <w:pPr>
              <w:spacing w:line="360" w:lineRule="auto"/>
            </w:pPr>
            <w:r w:rsidRPr="00BE7AD6">
              <w:t>Тяжелые аллергические реакции (протекающие с нарушением гемодинамических и вентиляционных показателей)</w:t>
            </w:r>
          </w:p>
        </w:tc>
        <w:tc>
          <w:tcPr>
            <w:tcW w:w="3082" w:type="dxa"/>
            <w:shd w:val="clear" w:color="auto" w:fill="auto"/>
          </w:tcPr>
          <w:p w14:paraId="5CA8D038" w14:textId="77777777" w:rsidR="00BE7AD6" w:rsidRPr="00BE7AD6" w:rsidRDefault="00BE7AD6" w:rsidP="00051772">
            <w:pPr>
              <w:spacing w:line="360" w:lineRule="auto"/>
            </w:pPr>
            <w:r w:rsidRPr="00BE7AD6">
              <w:t>Любой компонент донорской крови</w:t>
            </w:r>
          </w:p>
        </w:tc>
        <w:tc>
          <w:tcPr>
            <w:tcW w:w="8270" w:type="dxa"/>
            <w:shd w:val="clear" w:color="auto" w:fill="auto"/>
          </w:tcPr>
          <w:p w14:paraId="5348EDF4" w14:textId="77777777" w:rsidR="00BE7AD6" w:rsidRPr="00BE7AD6" w:rsidRDefault="00BE7AD6" w:rsidP="00051772">
            <w:pPr>
              <w:spacing w:line="360" w:lineRule="auto"/>
            </w:pPr>
            <w:r w:rsidRPr="00BE7AD6">
              <w:t>10 мл 10% кальция глюконата** и 2 мл клемастина 1 мг/мл (либо 1 мл дифенгидрамина** 10 мг/мл, либо 1 мл хлоропирамина** 20 мг/мл) в 100 мл 0,9% раствора NaCl в/в капельно.</w:t>
            </w:r>
          </w:p>
          <w:p w14:paraId="2FDD7BEA" w14:textId="77777777" w:rsidR="00BE7AD6" w:rsidRPr="00BE7AD6" w:rsidRDefault="00BE7AD6" w:rsidP="00051772">
            <w:pPr>
              <w:spacing w:line="360" w:lineRule="auto"/>
            </w:pPr>
            <w:r w:rsidRPr="00BE7AD6">
              <w:t xml:space="preserve">Возможно разовое применение глюкокортикоидов </w:t>
            </w:r>
            <w:r w:rsidRPr="00BE7AD6">
              <w:lastRenderedPageBreak/>
              <w:t>следует соотнести потенциальные риски и ожидаемую пользу).</w:t>
            </w:r>
          </w:p>
          <w:p w14:paraId="5EE7846A" w14:textId="77777777" w:rsidR="00BE7AD6" w:rsidRPr="00BE7AD6" w:rsidRDefault="00BE7AD6" w:rsidP="00051772">
            <w:pPr>
              <w:spacing w:line="360" w:lineRule="auto"/>
            </w:pPr>
            <w:r w:rsidRPr="00BE7AD6">
              <w:t>Уменьшение скорости трансфузии.</w:t>
            </w:r>
          </w:p>
        </w:tc>
      </w:tr>
      <w:tr w:rsidR="00BE7AD6" w:rsidRPr="00BE7AD6" w14:paraId="6B7E2AEB" w14:textId="77777777" w:rsidTr="003D0E86">
        <w:tc>
          <w:tcPr>
            <w:tcW w:w="14560" w:type="dxa"/>
            <w:gridSpan w:val="3"/>
            <w:shd w:val="clear" w:color="auto" w:fill="auto"/>
          </w:tcPr>
          <w:p w14:paraId="297E4086" w14:textId="77777777" w:rsidR="00BE7AD6" w:rsidRPr="00BE7AD6" w:rsidRDefault="00BE7AD6" w:rsidP="00051772">
            <w:pPr>
              <w:spacing w:line="360" w:lineRule="auto"/>
            </w:pPr>
            <w:r w:rsidRPr="00BE7AD6">
              <w:lastRenderedPageBreak/>
              <w:t>Однократная гипертермическая фебрильная негемолитическая реакция (ФНР) в анамнезе</w:t>
            </w:r>
          </w:p>
        </w:tc>
      </w:tr>
      <w:tr w:rsidR="00BE7AD6" w:rsidRPr="00BE7AD6" w14:paraId="50943E59" w14:textId="77777777" w:rsidTr="003D0E86">
        <w:tc>
          <w:tcPr>
            <w:tcW w:w="3208" w:type="dxa"/>
            <w:shd w:val="clear" w:color="auto" w:fill="auto"/>
          </w:tcPr>
          <w:p w14:paraId="62417C32" w14:textId="77777777" w:rsidR="00BE7AD6" w:rsidRPr="00BE7AD6" w:rsidRDefault="00BE7AD6" w:rsidP="00051772">
            <w:pPr>
              <w:spacing w:line="360" w:lineRule="auto"/>
            </w:pPr>
            <w:r w:rsidRPr="00BE7AD6">
              <w:t>Однократная ФНР в анамнезе</w:t>
            </w:r>
          </w:p>
        </w:tc>
        <w:tc>
          <w:tcPr>
            <w:tcW w:w="3082" w:type="dxa"/>
            <w:shd w:val="clear" w:color="auto" w:fill="auto"/>
          </w:tcPr>
          <w:p w14:paraId="054669B4" w14:textId="77777777" w:rsidR="00BE7AD6" w:rsidRPr="00BE7AD6" w:rsidRDefault="00BE7AD6" w:rsidP="00051772">
            <w:pPr>
              <w:spacing w:line="360" w:lineRule="auto"/>
            </w:pPr>
            <w:r w:rsidRPr="00BE7AD6">
              <w:t>Любой компонент донорской крови</w:t>
            </w:r>
          </w:p>
        </w:tc>
        <w:tc>
          <w:tcPr>
            <w:tcW w:w="8270" w:type="dxa"/>
            <w:shd w:val="clear" w:color="auto" w:fill="auto"/>
          </w:tcPr>
          <w:p w14:paraId="7951C234" w14:textId="0A3D0D8A" w:rsidR="00BE7AD6" w:rsidRPr="00BE7AD6" w:rsidRDefault="00BE7AD6" w:rsidP="00051772">
            <w:pPr>
              <w:spacing w:line="360" w:lineRule="auto"/>
            </w:pPr>
            <w:r w:rsidRPr="00BE7AD6">
              <w:t xml:space="preserve">10 мл 10% #кальция глюконата** в 100 мл 0,9% раствора NaCl** в/в капельно </w:t>
            </w:r>
            <w:r w:rsidRPr="00BE7AD6">
              <w:fldChar w:fldCharType="begin" w:fldLock="1"/>
            </w:r>
            <w:r w:rsidR="00A6794A">
              <w:instrText>ADDIN CSL_CITATION {"citationItems":[{"id":"ITEM-1","itemData":{"DOI":"10.25837/HAT.2019.62.39.006","author":[{"dropping-particle":"","family":"Аксельрод","given":"Б.А.","non-dropping-particle":"","parse-names":false,"suffix":""},{"dropping-particle":"","family":"Балашова","given":"Е.Н.","non-dropping-particle":"","parse-names":false,"suffix":""},{"dropping-particle":"","family":"Баутин","given":"А.Е.","non-dropping-particle":"","parse-names":false,"suffix":""},{"dropping-particle":"","family":"Баховадинов","given":"Б.Б.","non-dropping-particle":"","parse-names":false,"suffix":""},{"dropping-particle":"","family":"Бирюкова","given":"Л.С.","non-dropping-particle":"","parse-names":false,"suffix":""},{"dropping-particle":"","family":"Буланов","given":"А.Ю.","non-dropping-particle":"","parse-names":false,"suffix":""}],"container-title":"Гематология и трансфузиология","id":"ITEM-1","issue":"4","issued":{"date-parts":[["2018"]]},"page":"372-435","title":"Клиническое использование эритроцитсодержащих компонентов донорской крови","type":"article-journal","volume":"63"},"uris":["http://www.mendeley.com/documents/?uuid=cd542ca9-33b9-45f5-acca-a02e2a721c67"]}],"mendeley":{"formattedCitation":"[173]","plainTextFormattedCitation":"[173]","previouslyFormattedCitation":"[173]"},"properties":{"noteIndex":0},"schema":"https://github.com/citation-style-language/schema/raw/master/csl-citation.json"}</w:instrText>
            </w:r>
            <w:r w:rsidRPr="00BE7AD6">
              <w:fldChar w:fldCharType="separate"/>
            </w:r>
            <w:r w:rsidR="006E1902" w:rsidRPr="006E1902">
              <w:rPr>
                <w:noProof/>
              </w:rPr>
              <w:t>[173]</w:t>
            </w:r>
            <w:r w:rsidRPr="00BE7AD6">
              <w:fldChar w:fldCharType="end"/>
            </w:r>
          </w:p>
        </w:tc>
      </w:tr>
      <w:tr w:rsidR="00BE7AD6" w:rsidRPr="00BE7AD6" w14:paraId="516B2A6E" w14:textId="77777777" w:rsidTr="003D0E86">
        <w:tc>
          <w:tcPr>
            <w:tcW w:w="14560" w:type="dxa"/>
            <w:gridSpan w:val="3"/>
            <w:shd w:val="clear" w:color="auto" w:fill="auto"/>
          </w:tcPr>
          <w:p w14:paraId="6228C71A" w14:textId="77777777" w:rsidR="00BE7AD6" w:rsidRPr="00BE7AD6" w:rsidRDefault="00BE7AD6" w:rsidP="00051772">
            <w:pPr>
              <w:spacing w:line="360" w:lineRule="auto"/>
            </w:pPr>
            <w:r w:rsidRPr="00BE7AD6">
              <w:t>Многократные (≥2) гипертермические фебрильные негемолитические реакции (ФНР) в анамнезе</w:t>
            </w:r>
          </w:p>
        </w:tc>
      </w:tr>
      <w:tr w:rsidR="00BE7AD6" w:rsidRPr="00BE7AD6" w14:paraId="32FE3573" w14:textId="77777777" w:rsidTr="003D0E86">
        <w:tc>
          <w:tcPr>
            <w:tcW w:w="3208" w:type="dxa"/>
            <w:vMerge w:val="restart"/>
            <w:shd w:val="clear" w:color="auto" w:fill="auto"/>
          </w:tcPr>
          <w:p w14:paraId="17478CB7" w14:textId="77777777" w:rsidR="00BE7AD6" w:rsidRPr="00BE7AD6" w:rsidRDefault="00BE7AD6" w:rsidP="00051772">
            <w:pPr>
              <w:spacing w:line="360" w:lineRule="auto"/>
            </w:pPr>
            <w:r w:rsidRPr="00BE7AD6">
              <w:t>Протекающие без потрясающего озноба</w:t>
            </w:r>
          </w:p>
        </w:tc>
        <w:tc>
          <w:tcPr>
            <w:tcW w:w="3082" w:type="dxa"/>
            <w:shd w:val="clear" w:color="auto" w:fill="auto"/>
          </w:tcPr>
          <w:p w14:paraId="2EEDF849" w14:textId="77777777" w:rsidR="00BE7AD6" w:rsidRPr="00BE7AD6" w:rsidRDefault="00BE7AD6" w:rsidP="00051772">
            <w:pPr>
              <w:spacing w:line="360" w:lineRule="auto"/>
            </w:pPr>
            <w:r w:rsidRPr="00BE7AD6">
              <w:t>Компонент донорской крови, вызвавший реакцию ранее</w:t>
            </w:r>
          </w:p>
        </w:tc>
        <w:tc>
          <w:tcPr>
            <w:tcW w:w="8270" w:type="dxa"/>
            <w:shd w:val="clear" w:color="auto" w:fill="auto"/>
          </w:tcPr>
          <w:p w14:paraId="7A5ADE02" w14:textId="38B450CD" w:rsidR="00BE7AD6" w:rsidRPr="00BE7AD6" w:rsidRDefault="00BE7AD6" w:rsidP="00051772">
            <w:pPr>
              <w:spacing w:line="360" w:lineRule="auto"/>
            </w:pPr>
            <w:r w:rsidRPr="00BE7AD6">
              <w:t xml:space="preserve">10 мл 10% #кальция глюконата** и 2 мл #клемастина 1 мг/мл (либо 1 мл #дифенгидрамина** 10 мг/мл, либо 1 мл #хлоропирамина** 20 мг/мл) в 100 мл 0,9% раствора NaCl** в/в капельно </w:t>
            </w:r>
            <w:r w:rsidRPr="00BE7AD6">
              <w:fldChar w:fldCharType="begin" w:fldLock="1"/>
            </w:r>
            <w:r w:rsidR="00A6794A">
              <w:instrText>ADDIN CSL_CITATION {"citationItems":[{"id":"ITEM-1","itemData":{"DOI":"10.25837/HAT.2019.62.39.006","author":[{"dropping-particle":"","family":"Аксельрод","given":"Б.А.","non-dropping-particle":"","parse-names":false,"suffix":""},{"dropping-particle":"","family":"Балашова","given":"Е.Н.","non-dropping-particle":"","parse-names":false,"suffix":""},{"dropping-particle":"","family":"Баутин","given":"А.Е.","non-dropping-particle":"","parse-names":false,"suffix":""},{"dropping-particle":"","family":"Баховадинов","given":"Б.Б.","non-dropping-particle":"","parse-names":false,"suffix":""},{"dropping-particle":"","family":"Бирюкова","given":"Л.С.","non-dropping-particle":"","parse-names":false,"suffix":""},{"dropping-particle":"","family":"Буланов","given":"А.Ю.","non-dropping-particle":"","parse-names":false,"suffix":""}],"container-title":"Гематология и трансфузиология","id":"ITEM-1","issue":"4","issued":{"date-parts":[["2018"]]},"page":"372-435","title":"Клиническое использование эритроцитсодержащих компонентов донорской крови","type":"article-journal","volume":"63"},"uris":["http://www.mendeley.com/documents/?uuid=cd542ca9-33b9-45f5-acca-a02e2a721c67"]}],"mendeley":{"formattedCitation":"[173]","plainTextFormattedCitation":"[173]","previouslyFormattedCitation":"[173]"},"properties":{"noteIndex":0},"schema":"https://github.com/citation-style-language/schema/raw/master/csl-citation.json"}</w:instrText>
            </w:r>
            <w:r w:rsidRPr="00BE7AD6">
              <w:fldChar w:fldCharType="separate"/>
            </w:r>
            <w:r w:rsidR="006E1902" w:rsidRPr="006E1902">
              <w:rPr>
                <w:noProof/>
              </w:rPr>
              <w:t>[173]</w:t>
            </w:r>
            <w:r w:rsidRPr="00BE7AD6">
              <w:fldChar w:fldCharType="end"/>
            </w:r>
            <w:r w:rsidRPr="00BE7AD6">
              <w:t>.</w:t>
            </w:r>
          </w:p>
          <w:p w14:paraId="0B03FC99" w14:textId="670A4C7A" w:rsidR="00BE7AD6" w:rsidRPr="00BE7AD6" w:rsidRDefault="00BE7AD6" w:rsidP="00051772">
            <w:pPr>
              <w:spacing w:line="360" w:lineRule="auto"/>
            </w:pPr>
            <w:r w:rsidRPr="00BE7AD6">
              <w:t xml:space="preserve">При сохраняющихся ФНР, несмотря на добавление антигистаминных средств системного действия препаратов, дополнительно за 60 минут до трансфузии ввести 250-650 мг #парацетамола в 250 мл 0,9% раствора NaCl** в/в капельно </w:t>
            </w:r>
            <w:r w:rsidRPr="00BE7AD6">
              <w:fldChar w:fldCharType="begin" w:fldLock="1"/>
            </w:r>
            <w:r w:rsidR="00A6794A">
              <w:instrText>ADDIN CSL_CITATION {"citationItems":[{"id":"ITEM-1","itemData":{"DOI":"10.25837/HAT.2019.62.39.006","author":[{"dropping-particle":"","family":"Аксельрод","given":"Б.А.","non-dropping-particle":"","parse-names":false,"suffix":""},{"dropping-particle":"","family":"Балашова","given":"Е.Н.","non-dropping-particle":"","parse-names":false,"suffix":""},{"dropping-particle":"","family":"Баутин","given":"А.Е.","non-dropping-particle":"","parse-names":false,"suffix":""},{"dropping-particle":"","family":"Баховадинов","given":"Б.Б.","non-dropping-particle":"","parse-names":false,"suffix":""},{"dropping-particle":"","family":"Бирюкова","given":"Л.С.","non-dropping-particle":"","parse-names":false,"suffix":""},{"dropping-particle":"","family":"Буланов","given":"А.Ю.","non-dropping-particle":"","parse-names":false,"suffix":""}],"container-title":"Гематология и трансфузиология","id":"ITEM-1","issue":"4","issued":{"date-parts":[["2018"]]},"page":"372-435","title":"Клиническое использование эритроцитсодержащих компонентов донорской крови","type":"article-journal","volume":"63"},"uris":["http://www.mendeley.com/documents/?uuid=cd542ca9-33b9-45f5-acca-a02e2a721c67"]}],"mendeley":{"formattedCitation":"[173]","plainTextFormattedCitation":"[173]","previouslyFormattedCitation":"[173]"},"properties":{"noteIndex":0},"schema":"https://github.com/citation-style-language/schema/raw/master/csl-citation.json"}</w:instrText>
            </w:r>
            <w:r w:rsidRPr="00BE7AD6">
              <w:fldChar w:fldCharType="separate"/>
            </w:r>
            <w:r w:rsidR="006E1902" w:rsidRPr="006E1902">
              <w:rPr>
                <w:noProof/>
              </w:rPr>
              <w:t>[173]</w:t>
            </w:r>
            <w:r w:rsidRPr="00BE7AD6">
              <w:fldChar w:fldCharType="end"/>
            </w:r>
            <w:r w:rsidRPr="00BE7AD6">
              <w:t xml:space="preserve"> (не рекомендовано у пациентов с нейтропенией, глубокой тромбоцитопенией).</w:t>
            </w:r>
          </w:p>
        </w:tc>
      </w:tr>
      <w:tr w:rsidR="00BE7AD6" w:rsidRPr="00BE7AD6" w14:paraId="7DB65A45" w14:textId="77777777" w:rsidTr="003D0E86">
        <w:tc>
          <w:tcPr>
            <w:tcW w:w="3208" w:type="dxa"/>
            <w:vMerge/>
            <w:shd w:val="clear" w:color="auto" w:fill="auto"/>
          </w:tcPr>
          <w:p w14:paraId="5D555BA3" w14:textId="77777777" w:rsidR="00BE7AD6" w:rsidRPr="00BE7AD6" w:rsidRDefault="00BE7AD6" w:rsidP="00051772">
            <w:pPr>
              <w:spacing w:line="360" w:lineRule="auto"/>
            </w:pPr>
          </w:p>
        </w:tc>
        <w:tc>
          <w:tcPr>
            <w:tcW w:w="3082" w:type="dxa"/>
            <w:shd w:val="clear" w:color="auto" w:fill="auto"/>
          </w:tcPr>
          <w:p w14:paraId="2EA95468" w14:textId="77777777" w:rsidR="00BE7AD6" w:rsidRPr="00BE7AD6" w:rsidRDefault="00BE7AD6" w:rsidP="00051772">
            <w:pPr>
              <w:spacing w:line="360" w:lineRule="auto"/>
            </w:pPr>
            <w:r w:rsidRPr="00BE7AD6">
              <w:t>Другие компоненты донорской крови (не вызывавшие реакции ранее)</w:t>
            </w:r>
          </w:p>
        </w:tc>
        <w:tc>
          <w:tcPr>
            <w:tcW w:w="8270" w:type="dxa"/>
            <w:shd w:val="clear" w:color="auto" w:fill="auto"/>
          </w:tcPr>
          <w:p w14:paraId="3117EB9B" w14:textId="6C197086" w:rsidR="00BE7AD6" w:rsidRPr="00BE7AD6" w:rsidRDefault="00BE7AD6" w:rsidP="00051772">
            <w:pPr>
              <w:spacing w:line="360" w:lineRule="auto"/>
            </w:pPr>
            <w:r w:rsidRPr="00BE7AD6">
              <w:t xml:space="preserve">10 мл 10% #кальция глюконата** в 100 мл 0,9% раствора NaCl** в/в капельно </w:t>
            </w:r>
            <w:r w:rsidRPr="00BE7AD6">
              <w:fldChar w:fldCharType="begin" w:fldLock="1"/>
            </w:r>
            <w:r w:rsidR="00A6794A">
              <w:instrText>ADDIN CSL_CITATION {"citationItems":[{"id":"ITEM-1","itemData":{"DOI":"10.25837/HAT.2019.62.39.006","author":[{"dropping-particle":"","family":"Аксельрод","given":"Б.А.","non-dropping-particle":"","parse-names":false,"suffix":""},{"dropping-particle":"","family":"Балашова","given":"Е.Н.","non-dropping-particle":"","parse-names":false,"suffix":""},{"dropping-particle":"","family":"Баутин","given":"А.Е.","non-dropping-particle":"","parse-names":false,"suffix":""},{"dropping-particle":"","family":"Баховадинов","given":"Б.Б.","non-dropping-particle":"","parse-names":false,"suffix":""},{"dropping-particle":"","family":"Бирюкова","given":"Л.С.","non-dropping-particle":"","parse-names":false,"suffix":""},{"dropping-particle":"","family":"Буланов","given":"А.Ю.","non-dropping-particle":"","parse-names":false,"suffix":""}],"container-title":"Гематология и трансфузиология","id":"ITEM-1","issue":"4","issued":{"date-parts":[["2018"]]},"page":"372-435","title":"Клиническое использование эритроцитсодержащих компонентов донорской крови","type":"article-journal","volume":"63"},"uris":["http://www.mendeley.com/documents/?uuid=cd542ca9-33b9-45f5-acca-a02e2a721c67"]}],"mendeley":{"formattedCitation":"[173]","plainTextFormattedCitation":"[173]","previouslyFormattedCitation":"[173]"},"properties":{"noteIndex":0},"schema":"https://github.com/citation-style-language/schema/raw/master/csl-citation.json"}</w:instrText>
            </w:r>
            <w:r w:rsidRPr="00BE7AD6">
              <w:fldChar w:fldCharType="separate"/>
            </w:r>
            <w:r w:rsidR="006E1902" w:rsidRPr="006E1902">
              <w:rPr>
                <w:noProof/>
              </w:rPr>
              <w:t>[173]</w:t>
            </w:r>
            <w:r w:rsidRPr="00BE7AD6">
              <w:fldChar w:fldCharType="end"/>
            </w:r>
          </w:p>
        </w:tc>
      </w:tr>
      <w:tr w:rsidR="00BE7AD6" w:rsidRPr="00BE7AD6" w14:paraId="3949A26A" w14:textId="77777777" w:rsidTr="003D0E86">
        <w:tc>
          <w:tcPr>
            <w:tcW w:w="3208" w:type="dxa"/>
            <w:vMerge w:val="restart"/>
            <w:shd w:val="clear" w:color="auto" w:fill="auto"/>
          </w:tcPr>
          <w:p w14:paraId="57B1F569" w14:textId="77777777" w:rsidR="00BE7AD6" w:rsidRPr="00BE7AD6" w:rsidRDefault="00BE7AD6" w:rsidP="00051772">
            <w:pPr>
              <w:spacing w:line="360" w:lineRule="auto"/>
            </w:pPr>
            <w:r w:rsidRPr="00BE7AD6">
              <w:t>Протекающие с потрясающим ознобом</w:t>
            </w:r>
          </w:p>
        </w:tc>
        <w:tc>
          <w:tcPr>
            <w:tcW w:w="3082" w:type="dxa"/>
            <w:shd w:val="clear" w:color="auto" w:fill="auto"/>
          </w:tcPr>
          <w:p w14:paraId="6120B028" w14:textId="77777777" w:rsidR="00BE7AD6" w:rsidRPr="00BE7AD6" w:rsidRDefault="00BE7AD6" w:rsidP="00051772">
            <w:pPr>
              <w:spacing w:line="360" w:lineRule="auto"/>
            </w:pPr>
            <w:r w:rsidRPr="00BE7AD6">
              <w:t>Компонент донорской крови, вызвавший реакцию ранее</w:t>
            </w:r>
          </w:p>
        </w:tc>
        <w:tc>
          <w:tcPr>
            <w:tcW w:w="8270" w:type="dxa"/>
            <w:shd w:val="clear" w:color="auto" w:fill="auto"/>
          </w:tcPr>
          <w:p w14:paraId="3E12E7C4" w14:textId="69752713" w:rsidR="00BE7AD6" w:rsidRPr="00BE7AD6" w:rsidRDefault="00BE7AD6" w:rsidP="00051772">
            <w:pPr>
              <w:spacing w:line="360" w:lineRule="auto"/>
            </w:pPr>
            <w:r w:rsidRPr="00BE7AD6">
              <w:t xml:space="preserve">10 мл 10% #кальция глюконата** и 2 мл #клемастина 1 мг/мл (либо 1 мл #дифенгидрамина** 10 мг/мл, либо 1 мл #хлоропирамина** 20 мг/мл) в 100 </w:t>
            </w:r>
            <w:r w:rsidRPr="00BE7AD6">
              <w:lastRenderedPageBreak/>
              <w:t xml:space="preserve">мл 0,9% раствора NaCl** в/в капельно </w:t>
            </w:r>
            <w:r w:rsidRPr="00BE7AD6">
              <w:fldChar w:fldCharType="begin" w:fldLock="1"/>
            </w:r>
            <w:r w:rsidR="00A6794A">
              <w:instrText>ADDIN CSL_CITATION {"citationItems":[{"id":"ITEM-1","itemData":{"DOI":"10.25837/HAT.2019.62.39.006","author":[{"dropping-particle":"","family":"Аксельрод","given":"Б.А.","non-dropping-particle":"","parse-names":false,"suffix":""},{"dropping-particle":"","family":"Балашова","given":"Е.Н.","non-dropping-particle":"","parse-names":false,"suffix":""},{"dropping-particle":"","family":"Баутин","given":"А.Е.","non-dropping-particle":"","parse-names":false,"suffix":""},{"dropping-particle":"","family":"Баховадинов","given":"Б.Б.","non-dropping-particle":"","parse-names":false,"suffix":""},{"dropping-particle":"","family":"Бирюкова","given":"Л.С.","non-dropping-particle":"","parse-names":false,"suffix":""},{"dropping-particle":"","family":"Буланов","given":"А.Ю.","non-dropping-particle":"","parse-names":false,"suffix":""}],"container-title":"Гематология и трансфузиология","id":"ITEM-1","issue":"4","issued":{"date-parts":[["2018"]]},"page":"372-435","title":"Клиническое использование эритроцитсодержащих компонентов донорской крови","type":"article-journal","volume":"63"},"uris":["http://www.mendeley.com/documents/?uuid=cd542ca9-33b9-45f5-acca-a02e2a721c67"]}],"mendeley":{"formattedCitation":"[173]","plainTextFormattedCitation":"[173]","previouslyFormattedCitation":"[173]"},"properties":{"noteIndex":0},"schema":"https://github.com/citation-style-language/schema/raw/master/csl-citation.json"}</w:instrText>
            </w:r>
            <w:r w:rsidRPr="00BE7AD6">
              <w:fldChar w:fldCharType="separate"/>
            </w:r>
            <w:r w:rsidR="006E1902" w:rsidRPr="006E1902">
              <w:rPr>
                <w:noProof/>
              </w:rPr>
              <w:t>[173]</w:t>
            </w:r>
            <w:r w:rsidRPr="00BE7AD6">
              <w:fldChar w:fldCharType="end"/>
            </w:r>
            <w:r w:rsidRPr="00BE7AD6">
              <w:t>. В случае сохранения тяжелых реакций возможно дополнительное введение 0,5-1 мл 2% тримеперидина** в 100 мл 0,9% раствора NaCl в/в капельно (до или параллельно с трансфузией).</w:t>
            </w:r>
          </w:p>
          <w:p w14:paraId="76521FFE" w14:textId="77777777" w:rsidR="00BE7AD6" w:rsidRPr="00BE7AD6" w:rsidRDefault="00BE7AD6" w:rsidP="00051772">
            <w:pPr>
              <w:spacing w:line="360" w:lineRule="auto"/>
            </w:pPr>
            <w:r w:rsidRPr="00BE7AD6">
              <w:t>Возможно разовое применение глюкокортикоидов** (следует соотнести потенциальные риски и ожидаемую пользу).</w:t>
            </w:r>
          </w:p>
          <w:p w14:paraId="47A252A7" w14:textId="77777777" w:rsidR="00BE7AD6" w:rsidRPr="00BE7AD6" w:rsidRDefault="00BE7AD6" w:rsidP="00051772">
            <w:pPr>
              <w:spacing w:line="360" w:lineRule="auto"/>
            </w:pPr>
            <w:r w:rsidRPr="00BE7AD6">
              <w:t>Уменьшение скорости трансфузии.</w:t>
            </w:r>
          </w:p>
        </w:tc>
      </w:tr>
      <w:tr w:rsidR="00BE7AD6" w:rsidRPr="00BE7AD6" w14:paraId="7E77F4FA" w14:textId="77777777" w:rsidTr="003D0E86">
        <w:tc>
          <w:tcPr>
            <w:tcW w:w="3208" w:type="dxa"/>
            <w:vMerge/>
            <w:shd w:val="clear" w:color="auto" w:fill="auto"/>
          </w:tcPr>
          <w:p w14:paraId="58E89CDD" w14:textId="77777777" w:rsidR="00BE7AD6" w:rsidRPr="00BE7AD6" w:rsidRDefault="00BE7AD6" w:rsidP="00051772">
            <w:pPr>
              <w:spacing w:line="360" w:lineRule="auto"/>
            </w:pPr>
          </w:p>
        </w:tc>
        <w:tc>
          <w:tcPr>
            <w:tcW w:w="3082" w:type="dxa"/>
            <w:shd w:val="clear" w:color="auto" w:fill="auto"/>
          </w:tcPr>
          <w:p w14:paraId="6ED6BAC0" w14:textId="77777777" w:rsidR="00BE7AD6" w:rsidRPr="00BE7AD6" w:rsidRDefault="00BE7AD6" w:rsidP="00051772">
            <w:pPr>
              <w:spacing w:line="360" w:lineRule="auto"/>
            </w:pPr>
            <w:r w:rsidRPr="00BE7AD6">
              <w:t>Другие компоненты донорской крови (не вызывавшие реакции ранее)</w:t>
            </w:r>
          </w:p>
        </w:tc>
        <w:tc>
          <w:tcPr>
            <w:tcW w:w="8270" w:type="dxa"/>
            <w:shd w:val="clear" w:color="auto" w:fill="auto"/>
          </w:tcPr>
          <w:p w14:paraId="3EC74A3E" w14:textId="2EA3AF9F" w:rsidR="00BE7AD6" w:rsidRPr="00BE7AD6" w:rsidRDefault="00BE7AD6" w:rsidP="00051772">
            <w:pPr>
              <w:spacing w:line="360" w:lineRule="auto"/>
            </w:pPr>
            <w:r w:rsidRPr="00BE7AD6">
              <w:t xml:space="preserve">10 мл 10% #кальция глюконата** и 2 мл #клемастина 1 мг/мл (либо 1 мл #дифенгидрамина** 10 мг/мл, либо 1 мл #хлоропирамина 20 мг/мл) в 100 мл 0,9% раствора NaCl** в/в капельно </w:t>
            </w:r>
            <w:r w:rsidRPr="00BE7AD6">
              <w:fldChar w:fldCharType="begin" w:fldLock="1"/>
            </w:r>
            <w:r w:rsidR="00A6794A">
              <w:instrText>ADDIN CSL_CITATION {"citationItems":[{"id":"ITEM-1","itemData":{"DOI":"10.25837/HAT.2019.62.39.006","author":[{"dropping-particle":"","family":"Аксельрод","given":"Б.А.","non-dropping-particle":"","parse-names":false,"suffix":""},{"dropping-particle":"","family":"Балашова","given":"Е.Н.","non-dropping-particle":"","parse-names":false,"suffix":""},{"dropping-particle":"","family":"Баутин","given":"А.Е.","non-dropping-particle":"","parse-names":false,"suffix":""},{"dropping-particle":"","family":"Баховадинов","given":"Б.Б.","non-dropping-particle":"","parse-names":false,"suffix":""},{"dropping-particle":"","family":"Бирюкова","given":"Л.С.","non-dropping-particle":"","parse-names":false,"suffix":""},{"dropping-particle":"","family":"Буланов","given":"А.Ю.","non-dropping-particle":"","parse-names":false,"suffix":""}],"container-title":"Гематология и трансфузиология","id":"ITEM-1","issue":"4","issued":{"date-parts":[["2018"]]},"page":"372-435","title":"Клиническое использование эритроцитсодержащих компонентов донорской крови","type":"article-journal","volume":"63"},"uris":["http://www.mendeley.com/documents/?uuid=cd542ca9-33b9-45f5-acca-a02e2a721c67"]}],"mendeley":{"formattedCitation":"[173]","plainTextFormattedCitation":"[173]","previouslyFormattedCitation":"[173]"},"properties":{"noteIndex":0},"schema":"https://github.com/citation-style-language/schema/raw/master/csl-citation.json"}</w:instrText>
            </w:r>
            <w:r w:rsidRPr="00BE7AD6">
              <w:fldChar w:fldCharType="separate"/>
            </w:r>
            <w:r w:rsidR="006E1902" w:rsidRPr="006E1902">
              <w:rPr>
                <w:noProof/>
              </w:rPr>
              <w:t>[173]</w:t>
            </w:r>
            <w:r w:rsidRPr="00BE7AD6">
              <w:fldChar w:fldCharType="end"/>
            </w:r>
          </w:p>
        </w:tc>
      </w:tr>
      <w:tr w:rsidR="00BE7AD6" w:rsidRPr="00BE7AD6" w14:paraId="3102141E" w14:textId="77777777" w:rsidTr="003D0E86">
        <w:tc>
          <w:tcPr>
            <w:tcW w:w="14560" w:type="dxa"/>
            <w:gridSpan w:val="3"/>
            <w:shd w:val="clear" w:color="auto" w:fill="auto"/>
          </w:tcPr>
          <w:p w14:paraId="5AFE0D76" w14:textId="77777777" w:rsidR="00BE7AD6" w:rsidRPr="00BE7AD6" w:rsidRDefault="00BE7AD6" w:rsidP="00051772">
            <w:pPr>
              <w:spacing w:line="360" w:lineRule="auto"/>
            </w:pPr>
            <w:r w:rsidRPr="00BE7AD6">
              <w:t>Отсроченная серологическая трансфузионная реакция:</w:t>
            </w:r>
          </w:p>
          <w:p w14:paraId="5F573E68" w14:textId="77777777" w:rsidR="00BE7AD6" w:rsidRPr="00BE7AD6" w:rsidRDefault="00BE7AD6" w:rsidP="00051772">
            <w:pPr>
              <w:spacing w:line="360" w:lineRule="auto"/>
            </w:pPr>
            <w:r w:rsidRPr="00BE7AD6">
              <w:t>установленное наличие антиэритроцитарных антител: положительная непрямая проба Кумбса при определении индивидуальной совместимости крови донора и реципиента в лаборатории иммуногематологии или если таковая не проводилась, ЛИБО предполагаемое - при эритроцитарном химеризме</w:t>
            </w:r>
          </w:p>
        </w:tc>
      </w:tr>
      <w:tr w:rsidR="00BE7AD6" w:rsidRPr="00BE7AD6" w14:paraId="61D735C3" w14:textId="77777777" w:rsidTr="003D0E86">
        <w:tc>
          <w:tcPr>
            <w:tcW w:w="3208" w:type="dxa"/>
            <w:shd w:val="clear" w:color="auto" w:fill="auto"/>
          </w:tcPr>
          <w:p w14:paraId="37CA91CC" w14:textId="77777777" w:rsidR="00BE7AD6" w:rsidRPr="00BE7AD6" w:rsidRDefault="00BE7AD6" w:rsidP="00051772">
            <w:pPr>
              <w:spacing w:line="360" w:lineRule="auto"/>
            </w:pPr>
            <w:r w:rsidRPr="00BE7AD6">
              <w:t xml:space="preserve">Отсроченная серологическая трансфузионная реакция </w:t>
            </w:r>
          </w:p>
        </w:tc>
        <w:tc>
          <w:tcPr>
            <w:tcW w:w="3082" w:type="dxa"/>
            <w:shd w:val="clear" w:color="auto" w:fill="auto"/>
          </w:tcPr>
          <w:p w14:paraId="71482336" w14:textId="77777777" w:rsidR="00BE7AD6" w:rsidRPr="00BE7AD6" w:rsidRDefault="00BE7AD6" w:rsidP="00051772">
            <w:pPr>
              <w:spacing w:line="360" w:lineRule="auto"/>
            </w:pPr>
            <w:r w:rsidRPr="00BE7AD6">
              <w:t>Любой компонент донорской крови</w:t>
            </w:r>
          </w:p>
        </w:tc>
        <w:tc>
          <w:tcPr>
            <w:tcW w:w="8270" w:type="dxa"/>
            <w:shd w:val="clear" w:color="auto" w:fill="auto"/>
          </w:tcPr>
          <w:p w14:paraId="777BC23A" w14:textId="274880C3" w:rsidR="00BE7AD6" w:rsidRPr="00BE7AD6" w:rsidRDefault="00BE7AD6" w:rsidP="00051772">
            <w:pPr>
              <w:spacing w:line="360" w:lineRule="auto"/>
            </w:pPr>
            <w:r w:rsidRPr="00BE7AD6">
              <w:t xml:space="preserve">10 мл 10% #кальция глюконата** в 100 мл 0,9% раствора NaCl** в/в капельно </w:t>
            </w:r>
            <w:r w:rsidRPr="00BE7AD6">
              <w:fldChar w:fldCharType="begin" w:fldLock="1"/>
            </w:r>
            <w:r w:rsidR="00A6794A">
              <w:instrText>ADDIN CSL_CITATION {"citationItems":[{"id":"ITEM-1","itemData":{"DOI":"10.25837/HAT.2019.62.39.006","author":[{"dropping-particle":"","family":"Аксельрод","given":"Б.А.","non-dropping-particle":"","parse-names":false,"suffix":""},{"dropping-particle":"","family":"Балашова","given":"Е.Н.","non-dropping-particle":"","parse-names":false,"suffix":""},{"dropping-particle":"","family":"Баутин","given":"А.Е.","non-dropping-particle":"","parse-names":false,"suffix":""},{"dropping-particle":"","family":"Баховадинов","given":"Б.Б.","non-dropping-particle":"","parse-names":false,"suffix":""},{"dropping-particle":"","family":"Бирюкова","given":"Л.С.","non-dropping-particle":"","parse-names":false,"suffix":""},{"dropping-particle":"","family":"Буланов","given":"А.Ю.","non-dropping-particle":"","parse-names":false,"suffix":""}],"container-title":"Гематология и трансфузиология","id":"ITEM-1","issue":"4","issued":{"date-parts":[["2018"]]},"page":"372-435","title":"Клиническое использование эритроцитсодержащих компонентов донорской крови","type":"article-journal","volume":"63"},"uris":["http://www.mendeley.com/documents/?uuid=cd542ca9-33b9-45f5-acca-a02e2a721c67"]}],"mendeley":{"formattedCitation":"[173]","plainTextFormattedCitation":"[173]","previouslyFormattedCitation":"[173]"},"properties":{"noteIndex":0},"schema":"https://github.com/citation-style-language/schema/raw/master/csl-citation.json"}</w:instrText>
            </w:r>
            <w:r w:rsidRPr="00BE7AD6">
              <w:fldChar w:fldCharType="separate"/>
            </w:r>
            <w:r w:rsidR="006E1902" w:rsidRPr="006E1902">
              <w:rPr>
                <w:noProof/>
              </w:rPr>
              <w:t>[173]</w:t>
            </w:r>
            <w:r w:rsidRPr="00BE7AD6">
              <w:fldChar w:fldCharType="end"/>
            </w:r>
            <w:r w:rsidRPr="00BE7AD6">
              <w:t>.</w:t>
            </w:r>
          </w:p>
        </w:tc>
      </w:tr>
      <w:tr w:rsidR="00BE7AD6" w:rsidRPr="00BE7AD6" w14:paraId="7876FD65" w14:textId="77777777" w:rsidTr="003D0E86">
        <w:tc>
          <w:tcPr>
            <w:tcW w:w="14560" w:type="dxa"/>
            <w:gridSpan w:val="3"/>
            <w:shd w:val="clear" w:color="auto" w:fill="auto"/>
          </w:tcPr>
          <w:p w14:paraId="18365C13" w14:textId="77777777" w:rsidR="00BE7AD6" w:rsidRPr="00BE7AD6" w:rsidRDefault="00BE7AD6" w:rsidP="00051772">
            <w:pPr>
              <w:spacing w:line="360" w:lineRule="auto"/>
            </w:pPr>
            <w:r w:rsidRPr="00BE7AD6">
              <w:t>Острый или отсроченный иммунный гемолиз</w:t>
            </w:r>
          </w:p>
        </w:tc>
      </w:tr>
      <w:tr w:rsidR="00BE7AD6" w:rsidRPr="00BE7AD6" w14:paraId="5662E480" w14:textId="77777777" w:rsidTr="003D0E86">
        <w:tc>
          <w:tcPr>
            <w:tcW w:w="3208" w:type="dxa"/>
            <w:shd w:val="clear" w:color="auto" w:fill="auto"/>
          </w:tcPr>
          <w:p w14:paraId="07E40A40" w14:textId="77777777" w:rsidR="00BE7AD6" w:rsidRPr="00BE7AD6" w:rsidRDefault="00BE7AD6" w:rsidP="00051772">
            <w:pPr>
              <w:spacing w:line="360" w:lineRule="auto"/>
            </w:pPr>
            <w:r w:rsidRPr="00BE7AD6">
              <w:t xml:space="preserve">Гемолиз в анамнезе (клинических признаков гемолиза в </w:t>
            </w:r>
            <w:r w:rsidRPr="00BE7AD6">
              <w:lastRenderedPageBreak/>
              <w:t>настоящее время нет)</w:t>
            </w:r>
          </w:p>
        </w:tc>
        <w:tc>
          <w:tcPr>
            <w:tcW w:w="3082" w:type="dxa"/>
            <w:shd w:val="clear" w:color="auto" w:fill="auto"/>
          </w:tcPr>
          <w:p w14:paraId="5269E4C8" w14:textId="77777777" w:rsidR="00BE7AD6" w:rsidRPr="00BE7AD6" w:rsidRDefault="00BE7AD6" w:rsidP="00051772">
            <w:pPr>
              <w:spacing w:line="360" w:lineRule="auto"/>
            </w:pPr>
            <w:r w:rsidRPr="00BE7AD6">
              <w:lastRenderedPageBreak/>
              <w:t>Любой компонент донорской крови</w:t>
            </w:r>
          </w:p>
        </w:tc>
        <w:tc>
          <w:tcPr>
            <w:tcW w:w="8270" w:type="dxa"/>
            <w:shd w:val="clear" w:color="auto" w:fill="auto"/>
          </w:tcPr>
          <w:p w14:paraId="437ABAF3" w14:textId="1E17B1F9" w:rsidR="00BE7AD6" w:rsidRPr="00BE7AD6" w:rsidRDefault="00BE7AD6" w:rsidP="00051772">
            <w:pPr>
              <w:spacing w:line="360" w:lineRule="auto"/>
            </w:pPr>
            <w:r w:rsidRPr="00BE7AD6">
              <w:t xml:space="preserve">10 мл 10% #кальция глюконата** в 100 мл 0,9% раствора NaCl** в/в капельно </w:t>
            </w:r>
            <w:r w:rsidRPr="00BE7AD6">
              <w:fldChar w:fldCharType="begin" w:fldLock="1"/>
            </w:r>
            <w:r w:rsidR="00A6794A">
              <w:instrText>ADDIN CSL_CITATION {"citationItems":[{"id":"ITEM-1","itemData":{"DOI":"10.25837/HAT.2019.62.39.006","author":[{"dropping-particle":"","family":"Аксельрод","given":"Б.А.","non-dropping-particle":"","parse-names":false,"suffix":""},{"dropping-particle":"","family":"Балашова","given":"Е.Н.","non-dropping-particle":"","parse-names":false,"suffix":""},{"dropping-particle":"","family":"Баутин","given":"А.Е.","non-dropping-particle":"","parse-names":false,"suffix":""},{"dropping-particle":"","family":"Баховадинов","given":"Б.Б.","non-dropping-particle":"","parse-names":false,"suffix":""},{"dropping-particle":"","family":"Бирюкова","given":"Л.С.","non-dropping-particle":"","parse-names":false,"suffix":""},{"dropping-particle":"","family":"Буланов","given":"А.Ю.","non-dropping-particle":"","parse-names":false,"suffix":""}],"container-title":"Гематология и трансфузиология","id":"ITEM-1","issue":"4","issued":{"date-parts":[["2018"]]},"page":"372-435","title":"Клиническое использование эритроцитсодержащих компонентов донорской крови","type":"article-journal","volume":"63"},"uris":["http://www.mendeley.com/documents/?uuid=cd542ca9-33b9-45f5-acca-a02e2a721c67"]}],"mendeley":{"formattedCitation":"[173]","plainTextFormattedCitation":"[173]","previouslyFormattedCitation":"[173]"},"properties":{"noteIndex":0},"schema":"https://github.com/citation-style-language/schema/raw/master/csl-citation.json"}</w:instrText>
            </w:r>
            <w:r w:rsidRPr="00BE7AD6">
              <w:fldChar w:fldCharType="separate"/>
            </w:r>
            <w:r w:rsidR="006E1902" w:rsidRPr="006E1902">
              <w:rPr>
                <w:noProof/>
              </w:rPr>
              <w:t>[173]</w:t>
            </w:r>
            <w:r w:rsidRPr="00BE7AD6">
              <w:fldChar w:fldCharType="end"/>
            </w:r>
          </w:p>
        </w:tc>
      </w:tr>
      <w:tr w:rsidR="00BE7AD6" w:rsidRPr="00BE7AD6" w14:paraId="5F3064D0" w14:textId="77777777" w:rsidTr="003D0E86">
        <w:tc>
          <w:tcPr>
            <w:tcW w:w="3208" w:type="dxa"/>
            <w:vMerge w:val="restart"/>
            <w:shd w:val="clear" w:color="auto" w:fill="auto"/>
          </w:tcPr>
          <w:p w14:paraId="2AE4F5BE" w14:textId="77777777" w:rsidR="00BE7AD6" w:rsidRPr="00BE7AD6" w:rsidRDefault="00BE7AD6" w:rsidP="00051772">
            <w:pPr>
              <w:spacing w:line="360" w:lineRule="auto"/>
            </w:pPr>
            <w:r w:rsidRPr="00BE7AD6">
              <w:t>Активный гемолиз (признаки гемолиза сохраняются)</w:t>
            </w:r>
          </w:p>
        </w:tc>
        <w:tc>
          <w:tcPr>
            <w:tcW w:w="3082" w:type="dxa"/>
            <w:shd w:val="clear" w:color="auto" w:fill="auto"/>
          </w:tcPr>
          <w:p w14:paraId="2CB43B70" w14:textId="77777777" w:rsidR="00BE7AD6" w:rsidRPr="00BE7AD6" w:rsidRDefault="00BE7AD6" w:rsidP="00051772">
            <w:pPr>
              <w:spacing w:line="360" w:lineRule="auto"/>
            </w:pPr>
            <w:r w:rsidRPr="00BE7AD6">
              <w:t>Эритроцитсодержащие компоненты донорской крови</w:t>
            </w:r>
          </w:p>
        </w:tc>
        <w:tc>
          <w:tcPr>
            <w:tcW w:w="8270" w:type="dxa"/>
            <w:shd w:val="clear" w:color="auto" w:fill="auto"/>
          </w:tcPr>
          <w:p w14:paraId="1959011F" w14:textId="4EF8CB76" w:rsidR="00BE7AD6" w:rsidRPr="00BE7AD6" w:rsidRDefault="00BE7AD6" w:rsidP="00051772">
            <w:pPr>
              <w:spacing w:line="360" w:lineRule="auto"/>
            </w:pPr>
            <w:r w:rsidRPr="00BE7AD6">
              <w:t xml:space="preserve">10 мл 10% #кальция глюконата** в 250-500 мл 0,9% раствора NaCl** в/в капельно </w:t>
            </w:r>
            <w:r w:rsidRPr="00BE7AD6">
              <w:fldChar w:fldCharType="begin" w:fldLock="1"/>
            </w:r>
            <w:r w:rsidR="00A6794A">
              <w:instrText>ADDIN CSL_CITATION {"citationItems":[{"id":"ITEM-1","itemData":{"DOI":"10.25837/HAT.2019.62.39.006","author":[{"dropping-particle":"","family":"Аксельрод","given":"Б.А.","non-dropping-particle":"","parse-names":false,"suffix":""},{"dropping-particle":"","family":"Балашова","given":"Е.Н.","non-dropping-particle":"","parse-names":false,"suffix":""},{"dropping-particle":"","family":"Баутин","given":"А.Е.","non-dropping-particle":"","parse-names":false,"suffix":""},{"dropping-particle":"","family":"Баховадинов","given":"Б.Б.","non-dropping-particle":"","parse-names":false,"suffix":""},{"dropping-particle":"","family":"Бирюкова","given":"Л.С.","non-dropping-particle":"","parse-names":false,"suffix":""},{"dropping-particle":"","family":"Буланов","given":"А.Ю.","non-dropping-particle":"","parse-names":false,"suffix":""}],"container-title":"Гематология и трансфузиология","id":"ITEM-1","issue":"4","issued":{"date-parts":[["2018"]]},"page":"372-435","title":"Клиническое использование эритроцитсодержащих компонентов донорской крови","type":"article-journal","volume":"63"},"uris":["http://www.mendeley.com/documents/?uuid=cd542ca9-33b9-45f5-acca-a02e2a721c67"]}],"mendeley":{"formattedCitation":"[173]","plainTextFormattedCitation":"[173]","previouslyFormattedCitation":"[173]"},"properties":{"noteIndex":0},"schema":"https://github.com/citation-style-language/schema/raw/master/csl-citation.json"}</w:instrText>
            </w:r>
            <w:r w:rsidRPr="00BE7AD6">
              <w:fldChar w:fldCharType="separate"/>
            </w:r>
            <w:r w:rsidR="006E1902" w:rsidRPr="006E1902">
              <w:rPr>
                <w:noProof/>
              </w:rPr>
              <w:t>[173]</w:t>
            </w:r>
            <w:r w:rsidRPr="00BE7AD6">
              <w:fldChar w:fldCharType="end"/>
            </w:r>
            <w:r w:rsidRPr="00BE7AD6">
              <w:t>.</w:t>
            </w:r>
          </w:p>
          <w:p w14:paraId="068CB60A" w14:textId="77777777" w:rsidR="00BE7AD6" w:rsidRPr="00BE7AD6" w:rsidRDefault="00BE7AD6" w:rsidP="00051772">
            <w:pPr>
              <w:spacing w:line="360" w:lineRule="auto"/>
            </w:pPr>
            <w:r w:rsidRPr="00BE7AD6">
              <w:t>При высоком риске дальнейшего усиления иммунного гемолиза следует индивидуально рассмотреть возможность введения глюкокортикоидов.</w:t>
            </w:r>
          </w:p>
        </w:tc>
      </w:tr>
      <w:tr w:rsidR="00BE7AD6" w:rsidRPr="00BE7AD6" w14:paraId="68260C9A" w14:textId="77777777" w:rsidTr="003D0E86">
        <w:tc>
          <w:tcPr>
            <w:tcW w:w="3208" w:type="dxa"/>
            <w:vMerge/>
            <w:shd w:val="clear" w:color="auto" w:fill="auto"/>
          </w:tcPr>
          <w:p w14:paraId="5E986ED4" w14:textId="77777777" w:rsidR="00BE7AD6" w:rsidRPr="00BE7AD6" w:rsidRDefault="00BE7AD6" w:rsidP="00051772">
            <w:pPr>
              <w:spacing w:line="360" w:lineRule="auto"/>
            </w:pPr>
          </w:p>
        </w:tc>
        <w:tc>
          <w:tcPr>
            <w:tcW w:w="3082" w:type="dxa"/>
            <w:shd w:val="clear" w:color="auto" w:fill="auto"/>
          </w:tcPr>
          <w:p w14:paraId="18E0B11B" w14:textId="77777777" w:rsidR="00BE7AD6" w:rsidRPr="00BE7AD6" w:rsidRDefault="00BE7AD6" w:rsidP="00051772">
            <w:pPr>
              <w:spacing w:line="360" w:lineRule="auto"/>
            </w:pPr>
            <w:r w:rsidRPr="00BE7AD6">
              <w:t>Концентрат тромбоцитов, свежезамороженная плазма, криопреципитат, криосупернатант</w:t>
            </w:r>
          </w:p>
        </w:tc>
        <w:tc>
          <w:tcPr>
            <w:tcW w:w="8270" w:type="dxa"/>
            <w:shd w:val="clear" w:color="auto" w:fill="auto"/>
          </w:tcPr>
          <w:p w14:paraId="7EF71679" w14:textId="5AD47355" w:rsidR="00BE7AD6" w:rsidRPr="00BE7AD6" w:rsidRDefault="00BE7AD6" w:rsidP="00051772">
            <w:pPr>
              <w:spacing w:line="360" w:lineRule="auto"/>
            </w:pPr>
            <w:r w:rsidRPr="00BE7AD6">
              <w:t xml:space="preserve">10 мл 10% #кальция глюконата** в 500 мл 0,9% раствора NaCl** в/в капельно </w:t>
            </w:r>
            <w:r w:rsidRPr="00BE7AD6">
              <w:fldChar w:fldCharType="begin" w:fldLock="1"/>
            </w:r>
            <w:r w:rsidR="00A6794A">
              <w:instrText>ADDIN CSL_CITATION {"citationItems":[{"id":"ITEM-1","itemData":{"DOI":"10.25837/HAT.2019.62.39.006","author":[{"dropping-particle":"","family":"Аксельрод","given":"Б.А.","non-dropping-particle":"","parse-names":false,"suffix":""},{"dropping-particle":"","family":"Балашова","given":"Е.Н.","non-dropping-particle":"","parse-names":false,"suffix":""},{"dropping-particle":"","family":"Баутин","given":"А.Е.","non-dropping-particle":"","parse-names":false,"suffix":""},{"dropping-particle":"","family":"Баховадинов","given":"Б.Б.","non-dropping-particle":"","parse-names":false,"suffix":""},{"dropping-particle":"","family":"Бирюкова","given":"Л.С.","non-dropping-particle":"","parse-names":false,"suffix":""},{"dropping-particle":"","family":"Буланов","given":"А.Ю.","non-dropping-particle":"","parse-names":false,"suffix":""}],"container-title":"Гематология и трансфузиология","id":"ITEM-1","issue":"4","issued":{"date-parts":[["2018"]]},"page":"372-435","title":"Клиническое использование эритроцитсодержащих компонентов донорской крови","type":"article-journal","volume":"63"},"uris":["http://www.mendeley.com/documents/?uuid=cd542ca9-33b9-45f5-acca-a02e2a721c67"]}],"mendeley":{"formattedCitation":"[173]","plainTextFormattedCitation":"[173]","previouslyFormattedCitation":"[173]"},"properties":{"noteIndex":0},"schema":"https://github.com/citation-style-language/schema/raw/master/csl-citation.json"}</w:instrText>
            </w:r>
            <w:r w:rsidRPr="00BE7AD6">
              <w:fldChar w:fldCharType="separate"/>
            </w:r>
            <w:r w:rsidR="006E1902" w:rsidRPr="006E1902">
              <w:rPr>
                <w:noProof/>
              </w:rPr>
              <w:t>[173]</w:t>
            </w:r>
            <w:r w:rsidRPr="00BE7AD6">
              <w:fldChar w:fldCharType="end"/>
            </w:r>
          </w:p>
        </w:tc>
      </w:tr>
      <w:tr w:rsidR="00BE7AD6" w:rsidRPr="00BE7AD6" w14:paraId="1F54DC59" w14:textId="77777777" w:rsidTr="003D0E86">
        <w:tc>
          <w:tcPr>
            <w:tcW w:w="14560" w:type="dxa"/>
            <w:gridSpan w:val="3"/>
            <w:shd w:val="clear" w:color="auto" w:fill="auto"/>
          </w:tcPr>
          <w:p w14:paraId="16BE5879" w14:textId="77777777" w:rsidR="00BE7AD6" w:rsidRPr="00BE7AD6" w:rsidRDefault="00BE7AD6" w:rsidP="00051772">
            <w:pPr>
              <w:spacing w:line="360" w:lineRule="auto"/>
            </w:pPr>
            <w:r w:rsidRPr="00BE7AD6">
              <w:t>Посттрансфузионная болезнь «трансплантат против хозяина»</w:t>
            </w:r>
          </w:p>
        </w:tc>
      </w:tr>
      <w:tr w:rsidR="00BE7AD6" w:rsidRPr="00BE7AD6" w14:paraId="479F19C0" w14:textId="77777777" w:rsidTr="003D0E86">
        <w:tc>
          <w:tcPr>
            <w:tcW w:w="3208" w:type="dxa"/>
            <w:shd w:val="clear" w:color="auto" w:fill="auto"/>
          </w:tcPr>
          <w:p w14:paraId="1595F343" w14:textId="77777777" w:rsidR="00BE7AD6" w:rsidRPr="00BE7AD6" w:rsidRDefault="00BE7AD6" w:rsidP="00051772">
            <w:pPr>
              <w:spacing w:line="360" w:lineRule="auto"/>
            </w:pPr>
            <w:r w:rsidRPr="00BE7AD6">
              <w:t>Посттрансфузионная болезнь «трансплантат против хозяина»</w:t>
            </w:r>
          </w:p>
        </w:tc>
        <w:tc>
          <w:tcPr>
            <w:tcW w:w="3082" w:type="dxa"/>
            <w:shd w:val="clear" w:color="auto" w:fill="auto"/>
          </w:tcPr>
          <w:p w14:paraId="34A21C45" w14:textId="77777777" w:rsidR="00BE7AD6" w:rsidRPr="00BE7AD6" w:rsidRDefault="00BE7AD6" w:rsidP="00051772">
            <w:pPr>
              <w:spacing w:line="360" w:lineRule="auto"/>
            </w:pPr>
            <w:r w:rsidRPr="00BE7AD6">
              <w:t>Любой компонент донорской крови</w:t>
            </w:r>
          </w:p>
        </w:tc>
        <w:tc>
          <w:tcPr>
            <w:tcW w:w="8270" w:type="dxa"/>
            <w:shd w:val="clear" w:color="auto" w:fill="auto"/>
          </w:tcPr>
          <w:p w14:paraId="4A234F1E" w14:textId="5BDACCDE" w:rsidR="00BE7AD6" w:rsidRPr="00BE7AD6" w:rsidRDefault="00BE7AD6" w:rsidP="00051772">
            <w:pPr>
              <w:spacing w:line="360" w:lineRule="auto"/>
            </w:pPr>
            <w:r w:rsidRPr="00BE7AD6">
              <w:t xml:space="preserve">10 мл 10% #кальция глюконата** в 100 мл 0,9% раствора NaCl** в/в капельно </w:t>
            </w:r>
            <w:r w:rsidRPr="00BE7AD6">
              <w:fldChar w:fldCharType="begin" w:fldLock="1"/>
            </w:r>
            <w:r w:rsidR="00A6794A">
              <w:instrText>ADDIN CSL_CITATION {"citationItems":[{"id":"ITEM-1","itemData":{"DOI":"10.25837/HAT.2019.62.39.006","author":[{"dropping-particle":"","family":"Аксельрод","given":"Б.А.","non-dropping-particle":"","parse-names":false,"suffix":""},{"dropping-particle":"","family":"Балашова","given":"Е.Н.","non-dropping-particle":"","parse-names":false,"suffix":""},{"dropping-particle":"","family":"Баутин","given":"А.Е.","non-dropping-particle":"","parse-names":false,"suffix":""},{"dropping-particle":"","family":"Баховадинов","given":"Б.Б.","non-dropping-particle":"","parse-names":false,"suffix":""},{"dropping-particle":"","family":"Бирюкова","given":"Л.С.","non-dropping-particle":"","parse-names":false,"suffix":""},{"dropping-particle":"","family":"Буланов","given":"А.Ю.","non-dropping-particle":"","parse-names":false,"suffix":""}],"container-title":"Гематология и трансфузиология","id":"ITEM-1","issue":"4","issued":{"date-parts":[["2018"]]},"page":"372-435","title":"Клиническое использование эритроцитсодержащих компонентов донорской крови","type":"article-journal","volume":"63"},"uris":["http://www.mendeley.com/documents/?uuid=cd542ca9-33b9-45f5-acca-a02e2a721c67"]}],"mendeley":{"formattedCitation":"[173]","plainTextFormattedCitation":"[173]","previouslyFormattedCitation":"[173]"},"properties":{"noteIndex":0},"schema":"https://github.com/citation-style-language/schema/raw/master/csl-citation.json"}</w:instrText>
            </w:r>
            <w:r w:rsidRPr="00BE7AD6">
              <w:fldChar w:fldCharType="separate"/>
            </w:r>
            <w:r w:rsidR="006E1902" w:rsidRPr="006E1902">
              <w:rPr>
                <w:noProof/>
              </w:rPr>
              <w:t>[173]</w:t>
            </w:r>
            <w:r w:rsidRPr="00BE7AD6">
              <w:fldChar w:fldCharType="end"/>
            </w:r>
          </w:p>
        </w:tc>
      </w:tr>
      <w:tr w:rsidR="00BE7AD6" w:rsidRPr="00BE7AD6" w14:paraId="6EF9B435" w14:textId="77777777" w:rsidTr="003D0E86">
        <w:tc>
          <w:tcPr>
            <w:tcW w:w="14560" w:type="dxa"/>
            <w:gridSpan w:val="3"/>
            <w:shd w:val="clear" w:color="auto" w:fill="auto"/>
          </w:tcPr>
          <w:p w14:paraId="3DABAB26" w14:textId="77777777" w:rsidR="00BE7AD6" w:rsidRPr="00BE7AD6" w:rsidRDefault="00BE7AD6" w:rsidP="00051772">
            <w:pPr>
              <w:spacing w:line="360" w:lineRule="auto"/>
            </w:pPr>
            <w:r w:rsidRPr="00BE7AD6">
              <w:t xml:space="preserve">Посттрансфузионная пурпура: </w:t>
            </w:r>
          </w:p>
          <w:p w14:paraId="7DD1A6D2" w14:textId="77777777" w:rsidR="00BE7AD6" w:rsidRPr="00BE7AD6" w:rsidRDefault="00BE7AD6" w:rsidP="00051772">
            <w:pPr>
              <w:spacing w:line="360" w:lineRule="auto"/>
            </w:pPr>
            <w:r w:rsidRPr="00BE7AD6">
              <w:t>наличие антилейкоцитарных и (или) специфических антитромбоцитарных антител, рефрактерность к трансфузиям тромбоцитсодержащих сред</w:t>
            </w:r>
          </w:p>
        </w:tc>
      </w:tr>
      <w:tr w:rsidR="00BE7AD6" w:rsidRPr="00BE7AD6" w14:paraId="3824617F" w14:textId="77777777" w:rsidTr="003D0E86">
        <w:tc>
          <w:tcPr>
            <w:tcW w:w="3208" w:type="dxa"/>
            <w:vMerge w:val="restart"/>
            <w:shd w:val="clear" w:color="auto" w:fill="auto"/>
          </w:tcPr>
          <w:p w14:paraId="7C834113" w14:textId="77777777" w:rsidR="00BE7AD6" w:rsidRPr="00BE7AD6" w:rsidRDefault="00BE7AD6" w:rsidP="00051772">
            <w:pPr>
              <w:spacing w:line="360" w:lineRule="auto"/>
            </w:pPr>
            <w:r w:rsidRPr="00BE7AD6">
              <w:t xml:space="preserve">Посттрансфузионная пурпура </w:t>
            </w:r>
          </w:p>
        </w:tc>
        <w:tc>
          <w:tcPr>
            <w:tcW w:w="3082" w:type="dxa"/>
            <w:shd w:val="clear" w:color="auto" w:fill="auto"/>
          </w:tcPr>
          <w:p w14:paraId="52645E6D" w14:textId="77777777" w:rsidR="00BE7AD6" w:rsidRPr="00BE7AD6" w:rsidRDefault="00BE7AD6" w:rsidP="00051772">
            <w:pPr>
              <w:spacing w:line="360" w:lineRule="auto"/>
            </w:pPr>
            <w:r w:rsidRPr="00BE7AD6">
              <w:t>Индивидуально подобранный концентрат тромбоцитов методом адгезии на твердой фазе / в лимфоцитотоксическом тесте</w:t>
            </w:r>
          </w:p>
        </w:tc>
        <w:tc>
          <w:tcPr>
            <w:tcW w:w="8270" w:type="dxa"/>
            <w:shd w:val="clear" w:color="auto" w:fill="auto"/>
          </w:tcPr>
          <w:p w14:paraId="6F87646B" w14:textId="099508D7" w:rsidR="00BE7AD6" w:rsidRPr="00BE7AD6" w:rsidRDefault="00BE7AD6" w:rsidP="00051772">
            <w:pPr>
              <w:spacing w:line="360" w:lineRule="auto"/>
            </w:pPr>
            <w:r w:rsidRPr="00BE7AD6">
              <w:t xml:space="preserve">10 мл 10% #кальция глюконата** и 2 мл #клемастина 1 мг/мл (либо 1 мл #дифенгидрамина** 10 мг/мл, либо 1 мл #хлоропирамина** 20 мг/мл) в 100 мл 0,9% раствора NaCl** в/в капельно </w:t>
            </w:r>
            <w:r w:rsidRPr="00BE7AD6">
              <w:fldChar w:fldCharType="begin" w:fldLock="1"/>
            </w:r>
            <w:r w:rsidR="00A6794A">
              <w:instrText>ADDIN CSL_CITATION {"citationItems":[{"id":"ITEM-1","itemData":{"DOI":"10.25837/HAT.2019.62.39.006","author":[{"dropping-particle":"","family":"Аксельрод","given":"Б.А.","non-dropping-particle":"","parse-names":false,"suffix":""},{"dropping-particle":"","family":"Балашова","given":"Е.Н.","non-dropping-particle":"","parse-names":false,"suffix":""},{"dropping-particle":"","family":"Баутин","given":"А.Е.","non-dropping-particle":"","parse-names":false,"suffix":""},{"dropping-particle":"","family":"Баховадинов","given":"Б.Б.","non-dropping-particle":"","parse-names":false,"suffix":""},{"dropping-particle":"","family":"Бирюкова","given":"Л.С.","non-dropping-particle":"","parse-names":false,"suffix":""},{"dropping-particle":"","family":"Буланов","given":"А.Ю.","non-dropping-particle":"","parse-names":false,"suffix":""}],"container-title":"Гематология и трансфузиология","id":"ITEM-1","issue":"4","issued":{"date-parts":[["2018"]]},"page":"372-435","title":"Клиническое использование эритроцитсодержащих компонентов донорской крови","type":"article-journal","volume":"63"},"uris":["http://www.mendeley.com/documents/?uuid=cd542ca9-33b9-45f5-acca-a02e2a721c67"]}],"mendeley":{"formattedCitation":"[173]","plainTextFormattedCitation":"[173]","previouslyFormattedCitation":"[173]"},"properties":{"noteIndex":0},"schema":"https://github.com/citation-style-language/schema/raw/master/csl-citation.json"}</w:instrText>
            </w:r>
            <w:r w:rsidRPr="00BE7AD6">
              <w:fldChar w:fldCharType="separate"/>
            </w:r>
            <w:r w:rsidR="006E1902" w:rsidRPr="006E1902">
              <w:rPr>
                <w:noProof/>
              </w:rPr>
              <w:t>[173]</w:t>
            </w:r>
            <w:r w:rsidRPr="00BE7AD6">
              <w:fldChar w:fldCharType="end"/>
            </w:r>
          </w:p>
        </w:tc>
      </w:tr>
      <w:tr w:rsidR="00BE7AD6" w:rsidRPr="00BE7AD6" w14:paraId="5E200DAE" w14:textId="77777777" w:rsidTr="003D0E86">
        <w:tc>
          <w:tcPr>
            <w:tcW w:w="3208" w:type="dxa"/>
            <w:vMerge/>
            <w:shd w:val="clear" w:color="auto" w:fill="auto"/>
          </w:tcPr>
          <w:p w14:paraId="66BD0C17" w14:textId="77777777" w:rsidR="00BE7AD6" w:rsidRPr="00BE7AD6" w:rsidRDefault="00BE7AD6" w:rsidP="00051772">
            <w:pPr>
              <w:spacing w:line="360" w:lineRule="auto"/>
            </w:pPr>
          </w:p>
        </w:tc>
        <w:tc>
          <w:tcPr>
            <w:tcW w:w="3082" w:type="dxa"/>
            <w:shd w:val="clear" w:color="auto" w:fill="auto"/>
          </w:tcPr>
          <w:p w14:paraId="7D85CF14" w14:textId="77777777" w:rsidR="00BE7AD6" w:rsidRPr="00BE7AD6" w:rsidRDefault="00BE7AD6" w:rsidP="00051772">
            <w:pPr>
              <w:spacing w:line="360" w:lineRule="auto"/>
            </w:pPr>
            <w:r w:rsidRPr="00BE7AD6">
              <w:t xml:space="preserve">Концентрат тромбоцитов с </w:t>
            </w:r>
            <w:r w:rsidRPr="00BE7AD6">
              <w:lastRenderedPageBreak/>
              <w:t>невозможностью проведения индивидуального подбора</w:t>
            </w:r>
          </w:p>
        </w:tc>
        <w:tc>
          <w:tcPr>
            <w:tcW w:w="8270" w:type="dxa"/>
            <w:shd w:val="clear" w:color="auto" w:fill="auto"/>
          </w:tcPr>
          <w:p w14:paraId="116634B8" w14:textId="1CF6DED6" w:rsidR="00BE7AD6" w:rsidRPr="00BE7AD6" w:rsidRDefault="00BE7AD6" w:rsidP="00051772">
            <w:pPr>
              <w:spacing w:line="360" w:lineRule="auto"/>
            </w:pPr>
            <w:r w:rsidRPr="00BE7AD6">
              <w:lastRenderedPageBreak/>
              <w:t xml:space="preserve">10 мл 10% #кальция глюконата** и 2 мл #клемастина 1 мг/мл (либо 1 мл </w:t>
            </w:r>
            <w:r w:rsidRPr="00BE7AD6">
              <w:lastRenderedPageBreak/>
              <w:t xml:space="preserve">#дифенгидрамина** 10 мг/мл, либо 1 мл #хлоропирамина** 20 мг/мл) в 100 мл 0,9% раствора NaCl** в/в капельно </w:t>
            </w:r>
            <w:r w:rsidRPr="00BE7AD6">
              <w:fldChar w:fldCharType="begin" w:fldLock="1"/>
            </w:r>
            <w:r w:rsidR="00A6794A">
              <w:instrText>ADDIN CSL_CITATION {"citationItems":[{"id":"ITEM-1","itemData":{"DOI":"10.25837/HAT.2019.62.39.006","author":[{"dropping-particle":"","family":"Аксельрод","given":"Б.А.","non-dropping-particle":"","parse-names":false,"suffix":""},{"dropping-particle":"","family":"Балашова","given":"Е.Н.","non-dropping-particle":"","parse-names":false,"suffix":""},{"dropping-particle":"","family":"Баутин","given":"А.Е.","non-dropping-particle":"","parse-names":false,"suffix":""},{"dropping-particle":"","family":"Баховадинов","given":"Б.Б.","non-dropping-particle":"","parse-names":false,"suffix":""},{"dropping-particle":"","family":"Бирюкова","given":"Л.С.","non-dropping-particle":"","parse-names":false,"suffix":""},{"dropping-particle":"","family":"Буланов","given":"А.Ю.","non-dropping-particle":"","parse-names":false,"suffix":""}],"container-title":"Гематология и трансфузиология","id":"ITEM-1","issue":"4","issued":{"date-parts":[["2018"]]},"page":"372-435","title":"Клиническое использование эритроцитсодержащих компонентов донорской крови","type":"article-journal","volume":"63"},"uris":["http://www.mendeley.com/documents/?uuid=cd542ca9-33b9-45f5-acca-a02e2a721c67"]}],"mendeley":{"formattedCitation":"[173]","plainTextFormattedCitation":"[173]","previouslyFormattedCitation":"[173]"},"properties":{"noteIndex":0},"schema":"https://github.com/citation-style-language/schema/raw/master/csl-citation.json"}</w:instrText>
            </w:r>
            <w:r w:rsidRPr="00BE7AD6">
              <w:fldChar w:fldCharType="separate"/>
            </w:r>
            <w:r w:rsidR="006E1902" w:rsidRPr="006E1902">
              <w:rPr>
                <w:noProof/>
              </w:rPr>
              <w:t>[173]</w:t>
            </w:r>
            <w:r w:rsidRPr="00BE7AD6">
              <w:fldChar w:fldCharType="end"/>
            </w:r>
            <w:r w:rsidRPr="00BE7AD6">
              <w:t>.</w:t>
            </w:r>
          </w:p>
          <w:p w14:paraId="19013377" w14:textId="77777777" w:rsidR="00BE7AD6" w:rsidRPr="00BE7AD6" w:rsidRDefault="00BE7AD6" w:rsidP="00051772">
            <w:pPr>
              <w:spacing w:line="360" w:lineRule="auto"/>
            </w:pPr>
            <w:r w:rsidRPr="00BE7AD6">
              <w:t>Индивидуально рассмотреть возможность разового введения глюкокортикоидов с целью снижения дальнейшей аллоиммунизации и уменьшения выраженности возможной посттрансфузионной реакции или осложнений на данную трансфузию (следует соотнести потенциальные риски и ожидаемую пользу).</w:t>
            </w:r>
          </w:p>
        </w:tc>
      </w:tr>
      <w:tr w:rsidR="00BE7AD6" w:rsidRPr="00BE7AD6" w14:paraId="74FC3D80" w14:textId="77777777" w:rsidTr="003D0E86">
        <w:tc>
          <w:tcPr>
            <w:tcW w:w="3208" w:type="dxa"/>
            <w:vMerge/>
            <w:shd w:val="clear" w:color="auto" w:fill="auto"/>
          </w:tcPr>
          <w:p w14:paraId="0EB9C7EC" w14:textId="77777777" w:rsidR="00BE7AD6" w:rsidRPr="00BE7AD6" w:rsidRDefault="00BE7AD6" w:rsidP="00051772">
            <w:pPr>
              <w:spacing w:line="360" w:lineRule="auto"/>
            </w:pPr>
          </w:p>
        </w:tc>
        <w:tc>
          <w:tcPr>
            <w:tcW w:w="3082" w:type="dxa"/>
            <w:shd w:val="clear" w:color="auto" w:fill="auto"/>
          </w:tcPr>
          <w:p w14:paraId="083757F1" w14:textId="77777777" w:rsidR="00BE7AD6" w:rsidRPr="00BE7AD6" w:rsidRDefault="00BE7AD6" w:rsidP="00051772">
            <w:pPr>
              <w:spacing w:line="360" w:lineRule="auto"/>
            </w:pPr>
            <w:r w:rsidRPr="00BE7AD6">
              <w:t>Другие компоненты донорской крови</w:t>
            </w:r>
          </w:p>
        </w:tc>
        <w:tc>
          <w:tcPr>
            <w:tcW w:w="8270" w:type="dxa"/>
            <w:shd w:val="clear" w:color="auto" w:fill="auto"/>
          </w:tcPr>
          <w:p w14:paraId="4E357CA9" w14:textId="3709EE0C" w:rsidR="00BE7AD6" w:rsidRPr="00BE7AD6" w:rsidRDefault="00BE7AD6" w:rsidP="00051772">
            <w:pPr>
              <w:spacing w:line="360" w:lineRule="auto"/>
            </w:pPr>
            <w:r w:rsidRPr="00BE7AD6">
              <w:t xml:space="preserve">10 мл 10% #кальция глюконата** в 100 мл 0,9% раствора NaCl** в/в капельно </w:t>
            </w:r>
            <w:r w:rsidRPr="00BE7AD6">
              <w:fldChar w:fldCharType="begin" w:fldLock="1"/>
            </w:r>
            <w:r w:rsidR="00A6794A">
              <w:instrText>ADDIN CSL_CITATION {"citationItems":[{"id":"ITEM-1","itemData":{"DOI":"10.25837/HAT.2019.62.39.006","author":[{"dropping-particle":"","family":"Аксельрод","given":"Б.А.","non-dropping-particle":"","parse-names":false,"suffix":""},{"dropping-particle":"","family":"Балашова","given":"Е.Н.","non-dropping-particle":"","parse-names":false,"suffix":""},{"dropping-particle":"","family":"Баутин","given":"А.Е.","non-dropping-particle":"","parse-names":false,"suffix":""},{"dropping-particle":"","family":"Баховадинов","given":"Б.Б.","non-dropping-particle":"","parse-names":false,"suffix":""},{"dropping-particle":"","family":"Бирюкова","given":"Л.С.","non-dropping-particle":"","parse-names":false,"suffix":""},{"dropping-particle":"","family":"Буланов","given":"А.Ю.","non-dropping-particle":"","parse-names":false,"suffix":""}],"container-title":"Гематология и трансфузиология","id":"ITEM-1","issue":"4","issued":{"date-parts":[["2018"]]},"page":"372-435","title":"Клиническое использование эритроцитсодержащих компонентов донорской крови","type":"article-journal","volume":"63"},"uris":["http://www.mendeley.com/documents/?uuid=cd542ca9-33b9-45f5-acca-a02e2a721c67"]}],"mendeley":{"formattedCitation":"[173]","plainTextFormattedCitation":"[173]","previouslyFormattedCitation":"[173]"},"properties":{"noteIndex":0},"schema":"https://github.com/citation-style-language/schema/raw/master/csl-citation.json"}</w:instrText>
            </w:r>
            <w:r w:rsidRPr="00BE7AD6">
              <w:fldChar w:fldCharType="separate"/>
            </w:r>
            <w:r w:rsidR="006E1902" w:rsidRPr="006E1902">
              <w:rPr>
                <w:noProof/>
              </w:rPr>
              <w:t>[173]</w:t>
            </w:r>
            <w:r w:rsidRPr="00BE7AD6">
              <w:fldChar w:fldCharType="end"/>
            </w:r>
          </w:p>
        </w:tc>
      </w:tr>
    </w:tbl>
    <w:p w14:paraId="0BD05D1A" w14:textId="77777777" w:rsidR="00BE7AD6" w:rsidRPr="00BE7AD6" w:rsidRDefault="00BE7AD6" w:rsidP="00051772">
      <w:pPr>
        <w:pStyle w:val="afd"/>
      </w:pPr>
      <w:r w:rsidRPr="00BE7AD6">
        <w:t>* Предшествующие реакции и осложнения, связанные с трансфузией донорской крови и (или) ее компонентов, не влияющие на объем последующей премедикации при проведении трансфузионной терапии:</w:t>
      </w:r>
    </w:p>
    <w:p w14:paraId="53905CD3" w14:textId="7CFBCAEE" w:rsidR="00BE7AD6" w:rsidRPr="00BE7AD6" w:rsidRDefault="00DE4EC5" w:rsidP="00A265AD">
      <w:pPr>
        <w:pStyle w:val="afd"/>
        <w:numPr>
          <w:ilvl w:val="0"/>
          <w:numId w:val="64"/>
        </w:numPr>
      </w:pPr>
      <w:r w:rsidRPr="00BE7AD6">
        <w:t>иммунные</w:t>
      </w:r>
      <w:r w:rsidR="00BE7AD6" w:rsidRPr="00BE7AD6">
        <w:t>:</w:t>
      </w:r>
    </w:p>
    <w:p w14:paraId="6445F533" w14:textId="2225AE79" w:rsidR="00BE7AD6" w:rsidRPr="00BE7AD6" w:rsidRDefault="00DE4EC5" w:rsidP="00A265AD">
      <w:pPr>
        <w:pStyle w:val="afd"/>
        <w:numPr>
          <w:ilvl w:val="1"/>
          <w:numId w:val="64"/>
        </w:numPr>
      </w:pPr>
      <w:r w:rsidRPr="00BE7AD6">
        <w:t xml:space="preserve">обусловленное </w:t>
      </w:r>
      <w:r w:rsidR="00BE7AD6" w:rsidRPr="00BE7AD6">
        <w:t>трансфузией острое повреждение легких</w:t>
      </w:r>
    </w:p>
    <w:p w14:paraId="6ADC8A9A" w14:textId="15C37EB5" w:rsidR="00BE7AD6" w:rsidRPr="00BE7AD6" w:rsidRDefault="00DE4EC5" w:rsidP="00A265AD">
      <w:pPr>
        <w:pStyle w:val="afd"/>
        <w:numPr>
          <w:ilvl w:val="1"/>
          <w:numId w:val="64"/>
        </w:numPr>
      </w:pPr>
      <w:r w:rsidRPr="00BE7AD6">
        <w:t xml:space="preserve">обусловленная </w:t>
      </w:r>
      <w:r w:rsidR="00BE7AD6" w:rsidRPr="00BE7AD6">
        <w:t>трансфузией одышка</w:t>
      </w:r>
    </w:p>
    <w:p w14:paraId="29BE376C" w14:textId="6F868F64" w:rsidR="00BE7AD6" w:rsidRPr="00BE7AD6" w:rsidRDefault="00DE4EC5" w:rsidP="00A265AD">
      <w:pPr>
        <w:pStyle w:val="afd"/>
        <w:numPr>
          <w:ilvl w:val="0"/>
          <w:numId w:val="64"/>
        </w:numPr>
      </w:pPr>
      <w:r w:rsidRPr="00BE7AD6">
        <w:t>неиммунные</w:t>
      </w:r>
      <w:r w:rsidR="00BE7AD6" w:rsidRPr="00BE7AD6">
        <w:t>:</w:t>
      </w:r>
    </w:p>
    <w:p w14:paraId="0160FF48" w14:textId="41F6EABF" w:rsidR="00BE7AD6" w:rsidRPr="00BE7AD6" w:rsidRDefault="00DE4EC5" w:rsidP="00A265AD">
      <w:pPr>
        <w:pStyle w:val="afd"/>
        <w:numPr>
          <w:ilvl w:val="1"/>
          <w:numId w:val="64"/>
        </w:numPr>
      </w:pPr>
      <w:r w:rsidRPr="00BE7AD6">
        <w:t>обусловленная трансфузией циркуляторная перегрузка</w:t>
      </w:r>
    </w:p>
    <w:p w14:paraId="012E26DB" w14:textId="4BA55E49" w:rsidR="00BE7AD6" w:rsidRPr="00BE7AD6" w:rsidRDefault="00DE4EC5" w:rsidP="00A265AD">
      <w:pPr>
        <w:pStyle w:val="afd"/>
        <w:numPr>
          <w:ilvl w:val="1"/>
          <w:numId w:val="64"/>
        </w:numPr>
      </w:pPr>
      <w:r w:rsidRPr="00BE7AD6">
        <w:t>посттрансфузионная гипертензия</w:t>
      </w:r>
    </w:p>
    <w:p w14:paraId="62954DCA" w14:textId="1A509011" w:rsidR="00BE7AD6" w:rsidRPr="00BE7AD6" w:rsidRDefault="00DE4EC5" w:rsidP="00A265AD">
      <w:pPr>
        <w:pStyle w:val="afd"/>
        <w:numPr>
          <w:ilvl w:val="1"/>
          <w:numId w:val="64"/>
        </w:numPr>
      </w:pPr>
      <w:r w:rsidRPr="00BE7AD6">
        <w:t>острый неиммунный гемолиз</w:t>
      </w:r>
    </w:p>
    <w:p w14:paraId="14D6267F" w14:textId="49B147C6" w:rsidR="00BE7AD6" w:rsidRPr="00BE7AD6" w:rsidRDefault="00DE4EC5" w:rsidP="00A265AD">
      <w:pPr>
        <w:pStyle w:val="afd"/>
        <w:numPr>
          <w:ilvl w:val="1"/>
          <w:numId w:val="64"/>
        </w:numPr>
      </w:pPr>
      <w:r w:rsidRPr="00BE7AD6">
        <w:t>септический шок</w:t>
      </w:r>
    </w:p>
    <w:p w14:paraId="768F94C6" w14:textId="0288A9A0" w:rsidR="00BE7AD6" w:rsidRPr="00BE7AD6" w:rsidRDefault="00DE4EC5" w:rsidP="00A265AD">
      <w:pPr>
        <w:pStyle w:val="afd"/>
        <w:numPr>
          <w:ilvl w:val="1"/>
          <w:numId w:val="64"/>
        </w:numPr>
      </w:pPr>
      <w:r w:rsidRPr="00BE7AD6">
        <w:t>хроническая перегрузка железом</w:t>
      </w:r>
    </w:p>
    <w:p w14:paraId="7D4B6A6F" w14:textId="77777777" w:rsidR="00BE7AD6" w:rsidRPr="00BE7AD6" w:rsidRDefault="00BE7AD6" w:rsidP="00051772">
      <w:pPr>
        <w:pStyle w:val="afd"/>
      </w:pPr>
      <w:r w:rsidRPr="00BE7AD6">
        <w:t xml:space="preserve">Решение вопроса о введении глюкокортикоидов и выбор дозы зависит от выраженности посттрансфузионной реакции или осложнения в анамнезе, степени тяжести сопутствующей патологии – инфекционные осложнения (особенно в период глубокой нейтропении), сахарный диабет, артериальная гипертензия и другие. Глюкокортикоиды в эквивалентных дозировках, применяемые в качестве премедикации перед трансфузией: 10-50 мг преднизолона**, либо 2-6 мг </w:t>
      </w:r>
      <w:r w:rsidRPr="00BE7AD6">
        <w:lastRenderedPageBreak/>
        <w:t xml:space="preserve">дексаметазона**, либо 25-100 мг гидрокортизона**, либо 62,5-250 мг метилпреднизолона**. </w:t>
      </w:r>
    </w:p>
    <w:p w14:paraId="513F23ED" w14:textId="77777777" w:rsidR="00BE7AD6" w:rsidRPr="00BE7AD6" w:rsidRDefault="00BE7AD6" w:rsidP="00051772">
      <w:pPr>
        <w:pStyle w:val="afd"/>
      </w:pPr>
    </w:p>
    <w:p w14:paraId="7E5221D2" w14:textId="77777777" w:rsidR="00BE7AD6" w:rsidRPr="00DE4EC5" w:rsidRDefault="00BE7AD6" w:rsidP="00051772">
      <w:pPr>
        <w:pStyle w:val="afd"/>
        <w:rPr>
          <w:b/>
          <w:bCs/>
        </w:rPr>
      </w:pPr>
      <w:r w:rsidRPr="00DE4EC5">
        <w:rPr>
          <w:b/>
          <w:bCs/>
        </w:rPr>
        <w:t xml:space="preserve">Лечебный плазмаферез в терапии рефрактерности к трансфузиям тромбоцитов </w:t>
      </w:r>
    </w:p>
    <w:p w14:paraId="2FE8769E" w14:textId="7377DB49" w:rsidR="00BE7AD6" w:rsidRPr="00BE7AD6" w:rsidRDefault="00BE7AD6" w:rsidP="00051772">
      <w:pPr>
        <w:pStyle w:val="afd"/>
      </w:pPr>
      <w:r w:rsidRPr="00BE7AD6">
        <w:t>Если с помощью индивидуального подбора донорских тромбоцитов не удаётся получить достаточный прирост тромбоцитов и клинический эффект от трансфузий концентрата тромбоцитов, то для улучшения эффективности индивидуального подбора пары «донор-реципиент» к терапии добавляют процедуры плазмафереза</w:t>
      </w:r>
      <w:r w:rsidR="00DE4EC5">
        <w:t xml:space="preserve"> (ПА)</w:t>
      </w:r>
      <w:r w:rsidRPr="00BE7AD6">
        <w:t>. В основе развивающейся рефрактерности к трансфузиям концентрата тромбоцитов лежит аллосенсибилизация реципиента лейкоцитарными и тромбоцитарными антигенами донорских клеток крови. В этом случае целью проведения ПА является уменьшение концентрации циркулирующих аллоантител и иммунных комплексов.</w:t>
      </w:r>
    </w:p>
    <w:p w14:paraId="041B52A9" w14:textId="77777777" w:rsidR="00BE7AD6" w:rsidRPr="00BE7AD6" w:rsidRDefault="00BE7AD6" w:rsidP="00051772">
      <w:pPr>
        <w:pStyle w:val="afd"/>
      </w:pPr>
      <w:r w:rsidRPr="00BE7AD6">
        <w:t xml:space="preserve">Для преодоления рефрактерности к трансфузиям концентрата тромбоцитов в большинстве случаев достаточно провести 5-6 процедур (от 2 до 15 процедур) ПА в сочетании с индивидуальным подбором тромбоцитов. </w:t>
      </w:r>
    </w:p>
    <w:p w14:paraId="273EC6E8" w14:textId="77777777" w:rsidR="00BE7AD6" w:rsidRPr="00BE7AD6" w:rsidRDefault="00BE7AD6" w:rsidP="00051772">
      <w:pPr>
        <w:pStyle w:val="afd"/>
      </w:pPr>
      <w:r w:rsidRPr="00BE7AD6">
        <w:t xml:space="preserve">ПА проводятся 2-3 раза в неделю с интервалом 2-3 дня. </w:t>
      </w:r>
    </w:p>
    <w:p w14:paraId="2E617DE3" w14:textId="614B7876" w:rsidR="00BE7AD6" w:rsidRPr="00BE7AD6" w:rsidRDefault="00BE7AD6" w:rsidP="00051772">
      <w:pPr>
        <w:pStyle w:val="afd"/>
      </w:pPr>
      <w:r w:rsidRPr="00BE7AD6">
        <w:t>Объём удаляемой плазмы: за одну процедуру удаляется 0,5 ОЦП, в среднем 1500 мл (1000</w:t>
      </w:r>
      <w:r w:rsidR="00DE4EC5">
        <w:t>-</w:t>
      </w:r>
      <w:r w:rsidRPr="00BE7AD6">
        <w:t>2000 мл).</w:t>
      </w:r>
    </w:p>
    <w:p w14:paraId="6D272B81" w14:textId="77777777" w:rsidR="00BE7AD6" w:rsidRPr="00BE7AD6" w:rsidRDefault="00BE7AD6" w:rsidP="00051772">
      <w:pPr>
        <w:pStyle w:val="afd"/>
      </w:pPr>
      <w:r w:rsidRPr="00BE7AD6">
        <w:t>С целью предупреждения дополнительной аллоиммунизации антигенами донорских клеток крови и белками донорской плазмы замещение объёма удалённой плазмы проводится 5%, 10%, 20% раствором альбумина человека** и раствором натрия хлорида** 0,9%.</w:t>
      </w:r>
    </w:p>
    <w:p w14:paraId="12BCDCFE" w14:textId="77777777" w:rsidR="00BE7AD6" w:rsidRPr="00BE7AD6" w:rsidRDefault="00BE7AD6" w:rsidP="00051772">
      <w:pPr>
        <w:pStyle w:val="afd"/>
      </w:pPr>
      <w:r w:rsidRPr="00BE7AD6">
        <w:t xml:space="preserve">Соотношение раствора 5% альбумина человека** и раствора натрия хлорида** 0,9% 1:1 при уровне общего белка ≥ 65г/л: </w:t>
      </w:r>
    </w:p>
    <w:p w14:paraId="7276A9C1" w14:textId="61482549" w:rsidR="00BE7AD6" w:rsidRPr="00BE7AD6" w:rsidRDefault="00DE4EC5" w:rsidP="00A265AD">
      <w:pPr>
        <w:pStyle w:val="afd"/>
        <w:numPr>
          <w:ilvl w:val="0"/>
          <w:numId w:val="65"/>
        </w:numPr>
      </w:pPr>
      <w:r w:rsidRPr="00BE7AD6">
        <w:t xml:space="preserve">альбумин </w:t>
      </w:r>
      <w:r w:rsidR="00BE7AD6" w:rsidRPr="00BE7AD6">
        <w:t xml:space="preserve">человека** 5% </w:t>
      </w:r>
      <w:r>
        <w:t>–</w:t>
      </w:r>
      <w:r w:rsidR="00BE7AD6" w:rsidRPr="00BE7AD6">
        <w:t xml:space="preserve"> (500мл</w:t>
      </w:r>
      <w:r>
        <w:t>-</w:t>
      </w:r>
      <w:r w:rsidR="00BE7AD6" w:rsidRPr="00BE7AD6">
        <w:t xml:space="preserve">1000мл) в среднем 800 мл; </w:t>
      </w:r>
    </w:p>
    <w:p w14:paraId="4D5B34C4" w14:textId="0FB07AB9" w:rsidR="00BE7AD6" w:rsidRPr="00BE7AD6" w:rsidRDefault="00DE4EC5" w:rsidP="00A265AD">
      <w:pPr>
        <w:pStyle w:val="afd"/>
        <w:numPr>
          <w:ilvl w:val="0"/>
          <w:numId w:val="65"/>
        </w:numPr>
      </w:pPr>
      <w:r w:rsidRPr="00BE7AD6">
        <w:t xml:space="preserve">раствор </w:t>
      </w:r>
      <w:r w:rsidR="00BE7AD6" w:rsidRPr="00BE7AD6">
        <w:t>натрия хлорида** 0,9% в среднем 800 мл (500</w:t>
      </w:r>
      <w:r>
        <w:t>-</w:t>
      </w:r>
      <w:r w:rsidR="00BE7AD6" w:rsidRPr="00BE7AD6">
        <w:t>1000 мл).</w:t>
      </w:r>
    </w:p>
    <w:p w14:paraId="3F043385" w14:textId="77777777" w:rsidR="00BE7AD6" w:rsidRPr="00BE7AD6" w:rsidRDefault="00BE7AD6" w:rsidP="00051772">
      <w:pPr>
        <w:pStyle w:val="afd"/>
      </w:pPr>
    </w:p>
    <w:p w14:paraId="1F3959DF" w14:textId="77777777" w:rsidR="00BE7AD6" w:rsidRPr="00DE4EC5" w:rsidRDefault="00BE7AD6" w:rsidP="00051772">
      <w:pPr>
        <w:pStyle w:val="afd"/>
        <w:rPr>
          <w:i/>
          <w:iCs/>
        </w:rPr>
      </w:pPr>
      <w:r w:rsidRPr="00DE4EC5">
        <w:rPr>
          <w:i/>
          <w:iCs/>
        </w:rPr>
        <w:t xml:space="preserve">Методические аспекты проведения ПА при тромбоцитопении, рефрактерной к трансфузиям концентрата тромбоцитов: </w:t>
      </w:r>
    </w:p>
    <w:p w14:paraId="763990B5" w14:textId="34AA483E" w:rsidR="00BE7AD6" w:rsidRPr="00BE7AD6" w:rsidRDefault="00BE7AD6" w:rsidP="00051772">
      <w:pPr>
        <w:pStyle w:val="afd"/>
      </w:pPr>
      <w:r w:rsidRPr="00BE7AD6">
        <w:t>При наличии глубокой тромбоцитопении (≤ 20х10</w:t>
      </w:r>
      <w:r w:rsidRPr="00DE4EC5">
        <w:rPr>
          <w:vertAlign w:val="superscript"/>
        </w:rPr>
        <w:t>9</w:t>
      </w:r>
      <w:r w:rsidRPr="00BE7AD6">
        <w:t>/л) перед началом проведения процедуры ПА необходимо провести трансфузию 4</w:t>
      </w:r>
      <w:r w:rsidR="00DE4EC5">
        <w:t>-</w:t>
      </w:r>
      <w:r w:rsidRPr="00BE7AD6">
        <w:t>6 доз тромбоцитов, заказать концентрат тромбоцитов для трансфузии после окончания процедуры ПА.</w:t>
      </w:r>
    </w:p>
    <w:p w14:paraId="197161A6" w14:textId="03A25176" w:rsidR="00BE7AD6" w:rsidRPr="00BE7AD6" w:rsidRDefault="00BE7AD6" w:rsidP="00051772">
      <w:pPr>
        <w:pStyle w:val="afd"/>
      </w:pPr>
      <w:r w:rsidRPr="00BE7AD6">
        <w:lastRenderedPageBreak/>
        <w:t>После проведённой процедуры ПА уровень общего белка плазмы должен быть ≥ 50</w:t>
      </w:r>
      <w:r w:rsidR="00DE4EC5">
        <w:t> </w:t>
      </w:r>
      <w:r w:rsidRPr="00BE7AD6">
        <w:t>г/л; если уровень общего белка плазмы будет меньше, то требуется дополнительное введение альбумина.</w:t>
      </w:r>
    </w:p>
    <w:p w14:paraId="2DBBD461" w14:textId="21DA8EBA" w:rsidR="00BE7AD6" w:rsidRPr="00BE7AD6" w:rsidRDefault="00BE7AD6" w:rsidP="00051772">
      <w:pPr>
        <w:pStyle w:val="afd"/>
      </w:pPr>
      <w:r w:rsidRPr="00BE7AD6">
        <w:t>После каждых 2</w:t>
      </w:r>
      <w:r w:rsidR="00DE4EC5">
        <w:t>-</w:t>
      </w:r>
      <w:r w:rsidRPr="00BE7AD6">
        <w:t>3 процедур ПА необходим контроль уровня сывороточного белка и коагулограммы для исключения дефицита факторов свёртывания крови и развития геморрагического синдрома. При сохранении дефицита факторов свёртывания крови замещение объёма удалённой плазмы надо проводить СЗП + р</w:t>
      </w:r>
      <w:r w:rsidR="00DE4EC5">
        <w:t>аствором</w:t>
      </w:r>
      <w:r w:rsidRPr="00BE7AD6">
        <w:t xml:space="preserve"> 5% альбумина человека** и раствором натрия хлорида</w:t>
      </w:r>
      <w:r w:rsidR="00DE4EC5">
        <w:t>**</w:t>
      </w:r>
      <w:r w:rsidRPr="00BE7AD6">
        <w:t xml:space="preserve"> 0,9%. </w:t>
      </w:r>
    </w:p>
    <w:p w14:paraId="19CF5420" w14:textId="6C7A9E28" w:rsidR="00BE7AD6" w:rsidRPr="00BE7AD6" w:rsidRDefault="00BE7AD6" w:rsidP="00051772">
      <w:pPr>
        <w:pStyle w:val="afd"/>
      </w:pPr>
      <w:r w:rsidRPr="00BE7AD6">
        <w:t>Соотношение СЗП + раствора 5% альбумина человека** и раствора натрия хлорида** 0,9% 1:1 при уровне общего белка ≥ 65</w:t>
      </w:r>
      <w:r w:rsidR="00DE4EC5">
        <w:t> </w:t>
      </w:r>
      <w:r w:rsidRPr="00BE7AD6">
        <w:t>г/л</w:t>
      </w:r>
      <w:r w:rsidR="00DE4EC5">
        <w:t>:</w:t>
      </w:r>
    </w:p>
    <w:p w14:paraId="41DAFCA8" w14:textId="29ACFB24" w:rsidR="00BE7AD6" w:rsidRPr="00BE7AD6" w:rsidRDefault="00BE7AD6" w:rsidP="00A265AD">
      <w:pPr>
        <w:pStyle w:val="afd"/>
        <w:numPr>
          <w:ilvl w:val="0"/>
          <w:numId w:val="66"/>
        </w:numPr>
      </w:pPr>
      <w:r w:rsidRPr="00BE7AD6">
        <w:t>СЗП – в среднем 500 мл (500</w:t>
      </w:r>
      <w:r w:rsidR="00DE4EC5">
        <w:t>-</w:t>
      </w:r>
      <w:r w:rsidRPr="00BE7AD6">
        <w:t>1000 мл);</w:t>
      </w:r>
    </w:p>
    <w:p w14:paraId="091B993E" w14:textId="22BDE664" w:rsidR="00BE7AD6" w:rsidRPr="00BE7AD6" w:rsidRDefault="00BE7AD6" w:rsidP="00A265AD">
      <w:pPr>
        <w:pStyle w:val="afd"/>
        <w:numPr>
          <w:ilvl w:val="0"/>
          <w:numId w:val="66"/>
        </w:numPr>
      </w:pPr>
      <w:r w:rsidRPr="00BE7AD6">
        <w:t>Альбумин человека** 5% 200</w:t>
      </w:r>
      <w:r w:rsidR="00DE4EC5">
        <w:t>-</w:t>
      </w:r>
      <w:r w:rsidRPr="00BE7AD6">
        <w:t>300мл (10</w:t>
      </w:r>
      <w:r w:rsidR="00DE4EC5">
        <w:t>-</w:t>
      </w:r>
      <w:r w:rsidRPr="00BE7AD6">
        <w:t>15</w:t>
      </w:r>
      <w:r w:rsidR="00DE4EC5">
        <w:t> </w:t>
      </w:r>
      <w:r w:rsidRPr="00BE7AD6">
        <w:t>г);</w:t>
      </w:r>
    </w:p>
    <w:p w14:paraId="02D29BB2" w14:textId="227E3512" w:rsidR="00BE7AD6" w:rsidRPr="00BE7AD6" w:rsidRDefault="00BE7AD6" w:rsidP="00A265AD">
      <w:pPr>
        <w:pStyle w:val="afd"/>
        <w:numPr>
          <w:ilvl w:val="0"/>
          <w:numId w:val="66"/>
        </w:numPr>
      </w:pPr>
      <w:r w:rsidRPr="00BE7AD6">
        <w:t>Раствор натрия хлорида 0,9% в среднем 800 мл (500</w:t>
      </w:r>
      <w:r w:rsidR="00DE4EC5">
        <w:t>-</w:t>
      </w:r>
      <w:r w:rsidRPr="00BE7AD6">
        <w:t xml:space="preserve">1000 мл). </w:t>
      </w:r>
    </w:p>
    <w:p w14:paraId="64ABA9AB" w14:textId="77777777" w:rsidR="00BE7AD6" w:rsidRPr="00BE7AD6" w:rsidRDefault="00BE7AD6" w:rsidP="00051772">
      <w:pPr>
        <w:pStyle w:val="afd"/>
      </w:pPr>
      <w:r w:rsidRPr="00BE7AD6">
        <w:t>Соотношение СЗП + раствора 5% альбумина и раствора натрия хлорида** 0,9% составляет 2:1 при уровне общего белка  ≤ 55г/л:</w:t>
      </w:r>
    </w:p>
    <w:p w14:paraId="2898F332" w14:textId="21B38CE0" w:rsidR="00BE7AD6" w:rsidRPr="00BE7AD6" w:rsidRDefault="00BE7AD6" w:rsidP="00A265AD">
      <w:pPr>
        <w:pStyle w:val="afd"/>
        <w:numPr>
          <w:ilvl w:val="0"/>
          <w:numId w:val="67"/>
        </w:numPr>
      </w:pPr>
      <w:r w:rsidRPr="00BE7AD6">
        <w:t>СЗП – в среднем 800 мл (500</w:t>
      </w:r>
      <w:r w:rsidR="00DE4EC5">
        <w:t>-</w:t>
      </w:r>
      <w:r w:rsidRPr="00BE7AD6">
        <w:t xml:space="preserve">1000 мл); </w:t>
      </w:r>
    </w:p>
    <w:p w14:paraId="0EB68921" w14:textId="1A0F73BD" w:rsidR="00BE7AD6" w:rsidRPr="00BE7AD6" w:rsidRDefault="00BE7AD6" w:rsidP="00A265AD">
      <w:pPr>
        <w:pStyle w:val="afd"/>
        <w:numPr>
          <w:ilvl w:val="0"/>
          <w:numId w:val="67"/>
        </w:numPr>
      </w:pPr>
      <w:r w:rsidRPr="00BE7AD6">
        <w:t>Альбумин человека** 5% 200</w:t>
      </w:r>
      <w:r w:rsidR="00DE4EC5">
        <w:t>-</w:t>
      </w:r>
      <w:r w:rsidRPr="00BE7AD6">
        <w:t>300 мл (10-15 г);</w:t>
      </w:r>
    </w:p>
    <w:p w14:paraId="5895EA09" w14:textId="19EFFF85" w:rsidR="000009BA" w:rsidRPr="000009BA" w:rsidRDefault="00BE7AD6" w:rsidP="00A265AD">
      <w:pPr>
        <w:pStyle w:val="afd"/>
        <w:numPr>
          <w:ilvl w:val="0"/>
          <w:numId w:val="67"/>
        </w:numPr>
      </w:pPr>
      <w:r w:rsidRPr="00BE7AD6">
        <w:t>Раствор натрия хлорида** 0,9% – в среднем 500мл (500</w:t>
      </w:r>
      <w:r w:rsidR="00DE4EC5">
        <w:t>-</w:t>
      </w:r>
      <w:r w:rsidRPr="00BE7AD6">
        <w:t>1000мл).</w:t>
      </w:r>
    </w:p>
    <w:p w14:paraId="0A4048E5" w14:textId="77777777" w:rsidR="000009BA" w:rsidRPr="000009BA" w:rsidRDefault="000009BA" w:rsidP="000009BA"/>
    <w:p w14:paraId="5F3922B3" w14:textId="43E1B9A6" w:rsidR="000009BA" w:rsidRPr="000009BA" w:rsidRDefault="000009BA" w:rsidP="005E26A0">
      <w:pPr>
        <w:pStyle w:val="2"/>
      </w:pPr>
      <w:bookmarkStart w:id="68" w:name="_Toc85649742"/>
      <w:bookmarkStart w:id="69" w:name="_Toc96601263"/>
      <w:r w:rsidRPr="005E26A0">
        <w:t>7.</w:t>
      </w:r>
      <w:r w:rsidR="00DE4EC5" w:rsidRPr="005E26A0">
        <w:t>10</w:t>
      </w:r>
      <w:r w:rsidRPr="005E26A0">
        <w:t xml:space="preserve">. </w:t>
      </w:r>
      <w:bookmarkStart w:id="70" w:name="_Toc64477555"/>
      <w:r w:rsidRPr="005E26A0">
        <w:t>Протоколы выполнения аспирационного и биопсийного исследования костного мозга</w:t>
      </w:r>
      <w:bookmarkEnd w:id="68"/>
      <w:bookmarkEnd w:id="69"/>
      <w:bookmarkEnd w:id="70"/>
    </w:p>
    <w:p w14:paraId="2DF51EFF" w14:textId="77777777" w:rsidR="000009BA" w:rsidRPr="000009BA" w:rsidRDefault="000009BA" w:rsidP="005E26A0">
      <w:pPr>
        <w:pStyle w:val="afd"/>
      </w:pPr>
      <w:r w:rsidRPr="000009BA">
        <w:t>Пункционное (стернальная пункция, аспирация костного мозга) и биопсийное (трепанобиопсия, биопсия костного мозга) исследования костного мозга — это диагностические методы, позволяющие получить образец тканей костного мозга из грудины или костей таза, путем аспирации и чрескожной трепанобиопсии.</w:t>
      </w:r>
    </w:p>
    <w:p w14:paraId="2FB2DAAE" w14:textId="77777777" w:rsidR="000009BA" w:rsidRPr="000009BA" w:rsidRDefault="000009BA" w:rsidP="005E26A0">
      <w:pPr>
        <w:pStyle w:val="afd"/>
      </w:pPr>
      <w:r w:rsidRPr="000009BA">
        <w:t xml:space="preserve">С помощью аспирационной биопсии (пункции) получают образцы костного мозга для морфологической оценки клеточного состава и, при необходимости, дополнительных исследований – иммунофенотипический анализ методом проточной цитометрии, цитогенетические, молекулярные и другие исследования. Биопсия костного мозга (трепанобиопсия) дополнительно позволяет получить при гистологическом исследовании более подробную информацию о клеточности костного мозга, его морфологическом составе, особенностях стромы, детально охарактеризовать клеточные популяции, в том числе, с помощью иммуногистохимического исследования. </w:t>
      </w:r>
    </w:p>
    <w:p w14:paraId="7B7C07F8" w14:textId="77777777" w:rsidR="000009BA" w:rsidRPr="000009BA" w:rsidRDefault="000009BA" w:rsidP="005E26A0">
      <w:pPr>
        <w:pStyle w:val="afd"/>
      </w:pPr>
      <w:r w:rsidRPr="000009BA">
        <w:lastRenderedPageBreak/>
        <w:t xml:space="preserve">Процедуры аспирационного и биопсийного исследования костного мозга являются рутинными и проводятся в амбулаторных и стационарных условиях. Для выполнения пункции костного мозга применяются одноразовые или многоразовые стерилизуемые иглы. Трепанобиопсия костного мозга выполняется одноразовой или многоразовой стерелизуемой иглой Jamshidi или иглой сходной с ней конструкции. </w:t>
      </w:r>
    </w:p>
    <w:p w14:paraId="604AAF3A" w14:textId="0E7773B0" w:rsidR="000009BA" w:rsidRPr="000009BA" w:rsidRDefault="000009BA" w:rsidP="005E26A0">
      <w:pPr>
        <w:pStyle w:val="afd"/>
      </w:pPr>
      <w:r w:rsidRPr="000009BA">
        <w:t>При выполнении процедур взятия костного мозга для исследований редко возможны осложнения. Так, частота возникновения осложнений биопсии костного мозга по данным Британского общества гематологов за период 7 лет (1995</w:t>
      </w:r>
      <w:r w:rsidR="005E26A0" w:rsidRPr="005E26A0">
        <w:t>-</w:t>
      </w:r>
      <w:r w:rsidRPr="000009BA">
        <w:t xml:space="preserve">2001 гг.) составила 0,05% (26 / 54890, в том числе, 2 фатальных – сепсис, массивное кровотечение). В спектре осложнений наиболее частыми были: кровотечения (в том числе развитие массивных ретроперитонеальных гематом), поломка инструмента, инфекционные осложнения. Факторами риска развития кровотечения являлись проводимая больному терапия антикоагулянтами и антиагрегантами, миелопролиферативный или миелодиспластический синдромы, сопровождающиеся дисфункцией тромбоцитов, коагулологические нарушения, тромбоцитопения.  </w:t>
      </w:r>
    </w:p>
    <w:p w14:paraId="2C3120E8" w14:textId="77777777" w:rsidR="000009BA" w:rsidRPr="000009BA" w:rsidRDefault="000009BA" w:rsidP="005E26A0">
      <w:pPr>
        <w:pStyle w:val="afd"/>
      </w:pPr>
    </w:p>
    <w:p w14:paraId="73C84024" w14:textId="73A48F62" w:rsidR="000009BA" w:rsidRPr="005E26A0" w:rsidRDefault="000009BA" w:rsidP="005E26A0">
      <w:pPr>
        <w:pStyle w:val="afd"/>
        <w:rPr>
          <w:b/>
          <w:bCs/>
        </w:rPr>
      </w:pPr>
      <w:r w:rsidRPr="005E26A0">
        <w:rPr>
          <w:b/>
          <w:bCs/>
        </w:rPr>
        <w:t xml:space="preserve">Показания к выполнению пункционного (аспирационного) исследования костного мозга </w:t>
      </w:r>
      <w:r w:rsidRPr="005E26A0">
        <w:rPr>
          <w:b/>
          <w:bCs/>
        </w:rPr>
        <w:fldChar w:fldCharType="begin" w:fldLock="1"/>
      </w:r>
      <w:r w:rsidR="00A6794A">
        <w:rPr>
          <w:b/>
          <w:bCs/>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[174]","plainTextFormattedCitation":"[174]","previouslyFormattedCitation":"[174]"},"properties":{"noteIndex":0},"schema":"https://github.com/citation-style-language/schema/raw/master/csl-citation.json"}</w:instrText>
      </w:r>
      <w:r w:rsidRPr="005E26A0">
        <w:rPr>
          <w:b/>
          <w:bCs/>
        </w:rPr>
        <w:fldChar w:fldCharType="separate"/>
      </w:r>
      <w:r w:rsidR="006E1902" w:rsidRPr="006E1902">
        <w:rPr>
          <w:bCs/>
          <w:noProof/>
        </w:rPr>
        <w:t>[174]</w:t>
      </w:r>
      <w:r w:rsidRPr="005E26A0">
        <w:rPr>
          <w:b/>
          <w:bCs/>
        </w:rPr>
        <w:fldChar w:fldCharType="end"/>
      </w:r>
      <w:r w:rsidR="005E26A0" w:rsidRPr="005E26A0">
        <w:rPr>
          <w:b/>
          <w:bCs/>
        </w:rPr>
        <w:t>:</w:t>
      </w:r>
    </w:p>
    <w:p w14:paraId="64519971" w14:textId="7979C816" w:rsidR="000009BA" w:rsidRPr="000009BA" w:rsidRDefault="00D5502C" w:rsidP="002A535B">
      <w:pPr>
        <w:pStyle w:val="afd"/>
        <w:numPr>
          <w:ilvl w:val="0"/>
          <w:numId w:val="68"/>
        </w:numPr>
        <w:ind w:left="1276"/>
      </w:pPr>
      <w:r w:rsidRPr="000009BA">
        <w:t xml:space="preserve">дифференциальная </w:t>
      </w:r>
      <w:r w:rsidR="000009BA" w:rsidRPr="000009BA">
        <w:t>диагностика</w:t>
      </w:r>
      <w:r>
        <w:t xml:space="preserve"> онко</w:t>
      </w:r>
      <w:r w:rsidR="000009BA" w:rsidRPr="000009BA">
        <w:t>гематологических заболеваний</w:t>
      </w:r>
    </w:p>
    <w:p w14:paraId="29786157" w14:textId="5EA4BC90" w:rsidR="000009BA" w:rsidRPr="000009BA" w:rsidRDefault="00D5502C" w:rsidP="002A535B">
      <w:pPr>
        <w:pStyle w:val="afd"/>
        <w:numPr>
          <w:ilvl w:val="0"/>
          <w:numId w:val="68"/>
        </w:numPr>
        <w:ind w:left="1276"/>
      </w:pPr>
      <w:r w:rsidRPr="000009BA">
        <w:t xml:space="preserve">оценка </w:t>
      </w:r>
      <w:r w:rsidR="000009BA" w:rsidRPr="000009BA">
        <w:t>состояния миелопоэза при цитопении (одно-, двухростковой или панцитопении) невыясненной этиологии</w:t>
      </w:r>
    </w:p>
    <w:p w14:paraId="0A3AFF8E" w14:textId="104BB273" w:rsidR="000009BA" w:rsidRPr="000009BA" w:rsidRDefault="00D5502C" w:rsidP="002A535B">
      <w:pPr>
        <w:pStyle w:val="afd"/>
        <w:numPr>
          <w:ilvl w:val="0"/>
          <w:numId w:val="68"/>
        </w:numPr>
        <w:ind w:left="1276"/>
      </w:pPr>
      <w:r w:rsidRPr="000009BA">
        <w:t xml:space="preserve">оценка </w:t>
      </w:r>
      <w:r w:rsidR="000009BA" w:rsidRPr="000009BA">
        <w:t>состояния миелопоэза при наличии незрелых клеток в периферической крови, особенно бластов;</w:t>
      </w:r>
    </w:p>
    <w:p w14:paraId="59839A61" w14:textId="3F46CBAC" w:rsidR="000009BA" w:rsidRPr="000009BA" w:rsidRDefault="00D5502C" w:rsidP="002A535B">
      <w:pPr>
        <w:pStyle w:val="afd"/>
        <w:numPr>
          <w:ilvl w:val="0"/>
          <w:numId w:val="68"/>
        </w:numPr>
        <w:ind w:left="1276"/>
      </w:pPr>
      <w:r w:rsidRPr="000009BA">
        <w:t xml:space="preserve">дифференциальная </w:t>
      </w:r>
      <w:r w:rsidR="000009BA" w:rsidRPr="000009BA">
        <w:t>диагностика при лихорадке неясного генеза в сочетании с увеличением размеров селезенки и/или лимфоузлов или без их увеличения</w:t>
      </w:r>
      <w:r>
        <w:t>;</w:t>
      </w:r>
    </w:p>
    <w:p w14:paraId="28C664D0" w14:textId="2C5B9F32" w:rsidR="000009BA" w:rsidRPr="000009BA" w:rsidRDefault="00D5502C" w:rsidP="002A535B">
      <w:pPr>
        <w:pStyle w:val="afd"/>
        <w:numPr>
          <w:ilvl w:val="0"/>
          <w:numId w:val="68"/>
        </w:numPr>
        <w:ind w:left="1276"/>
      </w:pPr>
      <w:r w:rsidRPr="000009BA">
        <w:t xml:space="preserve">мониторинг </w:t>
      </w:r>
      <w:r w:rsidR="000009BA" w:rsidRPr="000009BA">
        <w:t>эффективности лечения заболеваний системы крови</w:t>
      </w:r>
      <w:r>
        <w:t>;</w:t>
      </w:r>
    </w:p>
    <w:p w14:paraId="5E1656C7" w14:textId="16754663" w:rsidR="000009BA" w:rsidRPr="000009BA" w:rsidRDefault="00D5502C" w:rsidP="002A535B">
      <w:pPr>
        <w:pStyle w:val="afd"/>
        <w:numPr>
          <w:ilvl w:val="0"/>
          <w:numId w:val="68"/>
        </w:numPr>
        <w:ind w:left="1276"/>
      </w:pPr>
      <w:r w:rsidRPr="000009BA">
        <w:t xml:space="preserve">оценка </w:t>
      </w:r>
      <w:r w:rsidR="000009BA" w:rsidRPr="000009BA">
        <w:t>восстановления гемопоэза после трансплантации гемопоэтический стволовых клеток (ТГСК)</w:t>
      </w:r>
      <w:r>
        <w:t>;</w:t>
      </w:r>
    </w:p>
    <w:p w14:paraId="66BB37A2" w14:textId="77777777" w:rsidR="000009BA" w:rsidRPr="00D5502C" w:rsidRDefault="000009BA" w:rsidP="00D5502C">
      <w:pPr>
        <w:pStyle w:val="afd"/>
      </w:pPr>
      <w:r w:rsidRPr="00D5502C">
        <w:t>При невозможности получить при пункции костного мозга адекватный диагностический материал («сухой» аспират), после повторной попытки показано выполнение трепанобиопсии костного мозга с приготовление отпечатков трепанобиоптата.</w:t>
      </w:r>
    </w:p>
    <w:p w14:paraId="37522DE6" w14:textId="77777777" w:rsidR="000009BA" w:rsidRPr="000009BA" w:rsidRDefault="000009BA" w:rsidP="005E26A0">
      <w:pPr>
        <w:pStyle w:val="afd"/>
        <w:rPr>
          <w:rFonts w:eastAsia="Arial Unicode MS"/>
        </w:rPr>
      </w:pPr>
    </w:p>
    <w:p w14:paraId="66B7A78B" w14:textId="5A861516" w:rsidR="000009BA" w:rsidRPr="00D5502C" w:rsidRDefault="000009BA" w:rsidP="005E26A0">
      <w:pPr>
        <w:pStyle w:val="afd"/>
        <w:rPr>
          <w:b/>
          <w:bCs/>
        </w:rPr>
      </w:pPr>
      <w:r w:rsidRPr="00D5502C">
        <w:rPr>
          <w:b/>
          <w:bCs/>
        </w:rPr>
        <w:lastRenderedPageBreak/>
        <w:t xml:space="preserve">Показания к выполнению биопсийного исследования костного мозга (трепанобиопсии) </w:t>
      </w:r>
      <w:r w:rsidRPr="00D5502C">
        <w:rPr>
          <w:b/>
          <w:bCs/>
        </w:rPr>
        <w:fldChar w:fldCharType="begin" w:fldLock="1"/>
      </w:r>
      <w:r w:rsidR="00A6794A">
        <w:rPr>
          <w:b/>
          <w:bCs/>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[174]","plainTextFormattedCitation":"[174]","previouslyFormattedCitation":"[174]"},"properties":{"noteIndex":0},"schema":"https://github.com/citation-style-language/schema/raw/master/csl-citation.json"}</w:instrText>
      </w:r>
      <w:r w:rsidRPr="00D5502C">
        <w:rPr>
          <w:b/>
          <w:bCs/>
        </w:rPr>
        <w:fldChar w:fldCharType="separate"/>
      </w:r>
      <w:r w:rsidR="006E1902" w:rsidRPr="006E1902">
        <w:rPr>
          <w:bCs/>
          <w:noProof/>
        </w:rPr>
        <w:t>[174]</w:t>
      </w:r>
      <w:r w:rsidRPr="00D5502C">
        <w:rPr>
          <w:b/>
          <w:bCs/>
        </w:rPr>
        <w:fldChar w:fldCharType="end"/>
      </w:r>
      <w:r w:rsidR="00D5502C">
        <w:rPr>
          <w:b/>
          <w:bCs/>
        </w:rPr>
        <w:t>:</w:t>
      </w:r>
    </w:p>
    <w:p w14:paraId="2EA37B47" w14:textId="234B6307" w:rsidR="000009BA" w:rsidRPr="000009BA" w:rsidRDefault="00D5502C" w:rsidP="00FE0193">
      <w:pPr>
        <w:pStyle w:val="afd"/>
        <w:numPr>
          <w:ilvl w:val="0"/>
          <w:numId w:val="69"/>
        </w:numPr>
      </w:pPr>
      <w:r w:rsidRPr="000009BA">
        <w:t xml:space="preserve">диагностика </w:t>
      </w:r>
      <w:r w:rsidR="000009BA" w:rsidRPr="000009BA">
        <w:t>и определение распространенности (стадии) при первичной диагностике и/или при рецидиве заболевания, а также оценка эффективности терапии при  различных онкогематологических заболеваниях</w:t>
      </w:r>
      <w:r>
        <w:t>;</w:t>
      </w:r>
    </w:p>
    <w:p w14:paraId="5D151622" w14:textId="141DECD4" w:rsidR="000009BA" w:rsidRPr="000009BA" w:rsidRDefault="00D5502C" w:rsidP="00FE0193">
      <w:pPr>
        <w:pStyle w:val="afd"/>
        <w:numPr>
          <w:ilvl w:val="0"/>
          <w:numId w:val="69"/>
        </w:numPr>
      </w:pPr>
      <w:r w:rsidRPr="000009BA">
        <w:t xml:space="preserve">мониторинг </w:t>
      </w:r>
      <w:r w:rsidR="000009BA" w:rsidRPr="000009BA">
        <w:t>эффективности лечения или оценки прогрессирования заболеваний системы крови</w:t>
      </w:r>
      <w:r>
        <w:t>;</w:t>
      </w:r>
    </w:p>
    <w:p w14:paraId="0CFEF211" w14:textId="1339DF6E" w:rsidR="000009BA" w:rsidRPr="000009BA" w:rsidRDefault="00D5502C" w:rsidP="00FE0193">
      <w:pPr>
        <w:pStyle w:val="afd"/>
        <w:numPr>
          <w:ilvl w:val="0"/>
          <w:numId w:val="69"/>
        </w:numPr>
      </w:pPr>
      <w:r w:rsidRPr="000009BA">
        <w:t xml:space="preserve">оценка </w:t>
      </w:r>
      <w:r w:rsidR="000009BA" w:rsidRPr="000009BA">
        <w:t>миелопоэза до и после выполнения трансплантации костного мозга / гемопоэтических стволовых клеток (ТКМ / ТГСК)</w:t>
      </w:r>
      <w:r>
        <w:t>;</w:t>
      </w:r>
    </w:p>
    <w:p w14:paraId="2FC2A79D" w14:textId="4EC2E84D" w:rsidR="000009BA" w:rsidRPr="000009BA" w:rsidRDefault="000009BA" w:rsidP="00FE0193">
      <w:pPr>
        <w:pStyle w:val="afd"/>
        <w:numPr>
          <w:ilvl w:val="0"/>
          <w:numId w:val="69"/>
        </w:numPr>
      </w:pPr>
      <w:r w:rsidRPr="000009BA">
        <w:t>Оценка состояния миелопоэза при цитопении, тромбоцитозе, лейкоцитозе, анемии, изменениях состава лейкоцитов (лейкоцитарная формула), и для диагностики перегрузки железом</w:t>
      </w:r>
      <w:r w:rsidR="00D5502C">
        <w:t>.</w:t>
      </w:r>
    </w:p>
    <w:p w14:paraId="620ED707" w14:textId="77777777" w:rsidR="000009BA" w:rsidRPr="000009BA" w:rsidRDefault="000009BA" w:rsidP="005E26A0">
      <w:pPr>
        <w:pStyle w:val="afd"/>
        <w:rPr>
          <w:rFonts w:eastAsia="Arial Unicode MS"/>
        </w:rPr>
      </w:pPr>
    </w:p>
    <w:p w14:paraId="6E5C10E4" w14:textId="3BB9D931" w:rsidR="000009BA" w:rsidRPr="00D5502C" w:rsidRDefault="000009BA" w:rsidP="005E26A0">
      <w:pPr>
        <w:pStyle w:val="afd"/>
        <w:rPr>
          <w:b/>
          <w:bCs/>
        </w:rPr>
      </w:pPr>
      <w:r w:rsidRPr="00D5502C">
        <w:rPr>
          <w:b/>
          <w:bCs/>
        </w:rPr>
        <w:t xml:space="preserve">Противопоказания для выполнения биопсийного исследования костного мозга </w:t>
      </w:r>
      <w:r w:rsidRPr="00D5502C">
        <w:rPr>
          <w:b/>
          <w:bCs/>
        </w:rPr>
        <w:fldChar w:fldCharType="begin" w:fldLock="1"/>
      </w:r>
      <w:r w:rsidR="00A6794A">
        <w:rPr>
          <w:b/>
          <w:bCs/>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[174]","plainTextFormattedCitation":"[174]","previouslyFormattedCitation":"[174]"},"properties":{"noteIndex":0},"schema":"https://github.com/citation-style-language/schema/raw/master/csl-citation.json"}</w:instrText>
      </w:r>
      <w:r w:rsidRPr="00D5502C">
        <w:rPr>
          <w:b/>
          <w:bCs/>
        </w:rPr>
        <w:fldChar w:fldCharType="separate"/>
      </w:r>
      <w:r w:rsidR="006E1902" w:rsidRPr="006E1902">
        <w:rPr>
          <w:bCs/>
          <w:noProof/>
        </w:rPr>
        <w:t>[174]</w:t>
      </w:r>
      <w:r w:rsidRPr="00D5502C">
        <w:rPr>
          <w:b/>
          <w:bCs/>
        </w:rPr>
        <w:fldChar w:fldCharType="end"/>
      </w:r>
    </w:p>
    <w:p w14:paraId="5D00E380" w14:textId="77777777" w:rsidR="000009BA" w:rsidRPr="000009BA" w:rsidRDefault="000009BA" w:rsidP="005E26A0">
      <w:pPr>
        <w:pStyle w:val="afd"/>
      </w:pPr>
      <w:r w:rsidRPr="000009BA">
        <w:t>Аспирация костного мозга и биопсия не имеют абсолютных противопоказаний, но могут быть относительные противопоказания, связанные с общим состоянием пациента:</w:t>
      </w:r>
    </w:p>
    <w:p w14:paraId="06249C44" w14:textId="77777777" w:rsidR="000009BA" w:rsidRPr="000009BA" w:rsidRDefault="000009BA" w:rsidP="00FE0193">
      <w:pPr>
        <w:pStyle w:val="afd"/>
        <w:numPr>
          <w:ilvl w:val="0"/>
          <w:numId w:val="70"/>
        </w:numPr>
      </w:pPr>
      <w:r w:rsidRPr="000009BA">
        <w:t>Раневая поверхность кожи и подлежащих тканей с признаками воспаления в месте проведения процедуры.</w:t>
      </w:r>
    </w:p>
    <w:p w14:paraId="458B8C5C" w14:textId="77777777" w:rsidR="000009BA" w:rsidRPr="000009BA" w:rsidRDefault="000009BA" w:rsidP="00FE0193">
      <w:pPr>
        <w:pStyle w:val="afd"/>
        <w:numPr>
          <w:ilvl w:val="0"/>
          <w:numId w:val="70"/>
        </w:numPr>
      </w:pPr>
      <w:r w:rsidRPr="000009BA">
        <w:t>Тромбоцитопения и другие коагулопатии, геморрагический синдром (выполнение процедуры возможно после купирования нарушений гемостаза и коррекции тромбоцитопении).</w:t>
      </w:r>
    </w:p>
    <w:p w14:paraId="15946CFB" w14:textId="77777777" w:rsidR="000009BA" w:rsidRPr="000009BA" w:rsidRDefault="000009BA" w:rsidP="00FE0193">
      <w:pPr>
        <w:pStyle w:val="afd"/>
        <w:numPr>
          <w:ilvl w:val="0"/>
          <w:numId w:val="70"/>
        </w:numPr>
      </w:pPr>
      <w:r w:rsidRPr="000009BA">
        <w:t xml:space="preserve">При терапии антикоагулянтами и антиагрегантами, перед выполнением процедуры должны учитываться показатели коагулологических тестов. </w:t>
      </w:r>
    </w:p>
    <w:p w14:paraId="7A259E90" w14:textId="77777777" w:rsidR="000009BA" w:rsidRPr="000009BA" w:rsidRDefault="000009BA" w:rsidP="00FE0193">
      <w:pPr>
        <w:pStyle w:val="afd"/>
        <w:numPr>
          <w:ilvl w:val="0"/>
          <w:numId w:val="70"/>
        </w:numPr>
      </w:pPr>
      <w:r w:rsidRPr="000009BA">
        <w:t>Наличие признаков резорбции кости в месте проведения процедуры.</w:t>
      </w:r>
    </w:p>
    <w:p w14:paraId="10410229" w14:textId="77777777" w:rsidR="000009BA" w:rsidRPr="000009BA" w:rsidRDefault="000009BA" w:rsidP="005E26A0">
      <w:pPr>
        <w:pStyle w:val="afd"/>
      </w:pPr>
      <w:r w:rsidRPr="000009BA">
        <w:t>При соматически тяжелом состоянии пациента и повышенном риске развития осложнений при амбулаторном проведении процедуры, трепанобиопсию возможно выполнить в условиях стационара.</w:t>
      </w:r>
    </w:p>
    <w:p w14:paraId="28FC9E83" w14:textId="77777777" w:rsidR="000009BA" w:rsidRPr="000009BA" w:rsidRDefault="000009BA" w:rsidP="005E26A0">
      <w:pPr>
        <w:pStyle w:val="afd"/>
        <w:rPr>
          <w:rFonts w:eastAsia="Arial Unicode MS"/>
        </w:rPr>
      </w:pPr>
    </w:p>
    <w:p w14:paraId="7E59C33B" w14:textId="4EBB60D8" w:rsidR="000009BA" w:rsidRPr="00D5502C" w:rsidRDefault="000009BA" w:rsidP="005E26A0">
      <w:pPr>
        <w:pStyle w:val="afd"/>
        <w:rPr>
          <w:b/>
          <w:bCs/>
        </w:rPr>
      </w:pPr>
      <w:r w:rsidRPr="00D5502C">
        <w:rPr>
          <w:b/>
          <w:bCs/>
        </w:rPr>
        <w:t xml:space="preserve">Возможные технические трудности выполнения пункционного и биопсийного исследований костного мозга </w:t>
      </w:r>
      <w:r w:rsidRPr="00D5502C">
        <w:rPr>
          <w:b/>
          <w:bCs/>
        </w:rPr>
        <w:fldChar w:fldCharType="begin" w:fldLock="1"/>
      </w:r>
      <w:r w:rsidR="00A6794A">
        <w:rPr>
          <w:b/>
          <w:bCs/>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[174]","plainTextFormattedCitation":"[174]","previouslyFormattedCitation":"[174]"},"properties":{"noteIndex":0},"schema":"https://github.com/citation-style-language/schema/raw/master/csl-citation.json"}</w:instrText>
      </w:r>
      <w:r w:rsidRPr="00D5502C">
        <w:rPr>
          <w:b/>
          <w:bCs/>
        </w:rPr>
        <w:fldChar w:fldCharType="separate"/>
      </w:r>
      <w:r w:rsidR="006E1902" w:rsidRPr="006E1902">
        <w:rPr>
          <w:bCs/>
          <w:noProof/>
        </w:rPr>
        <w:t>[174]</w:t>
      </w:r>
      <w:r w:rsidRPr="00D5502C">
        <w:rPr>
          <w:b/>
          <w:bCs/>
        </w:rPr>
        <w:fldChar w:fldCharType="end"/>
      </w:r>
    </w:p>
    <w:p w14:paraId="54A39EC0" w14:textId="77777777" w:rsidR="000009BA" w:rsidRPr="000009BA" w:rsidRDefault="000009BA" w:rsidP="00FE0193">
      <w:pPr>
        <w:pStyle w:val="afd"/>
        <w:numPr>
          <w:ilvl w:val="0"/>
          <w:numId w:val="71"/>
        </w:numPr>
      </w:pPr>
      <w:r w:rsidRPr="000009BA">
        <w:t>Плохое качество инструментария.</w:t>
      </w:r>
    </w:p>
    <w:p w14:paraId="240E1061" w14:textId="77777777" w:rsidR="000009BA" w:rsidRPr="000009BA" w:rsidRDefault="000009BA" w:rsidP="00FE0193">
      <w:pPr>
        <w:pStyle w:val="afd"/>
        <w:numPr>
          <w:ilvl w:val="0"/>
          <w:numId w:val="71"/>
        </w:numPr>
      </w:pPr>
      <w:r w:rsidRPr="000009BA">
        <w:lastRenderedPageBreak/>
        <w:t>Избыточный вес больного или большая толщина подкожно-жировой клетчатки и анатомические особенности строения грудной клетки и костей таза.</w:t>
      </w:r>
    </w:p>
    <w:p w14:paraId="4A9730E7" w14:textId="77777777" w:rsidR="000009BA" w:rsidRPr="000009BA" w:rsidRDefault="000009BA" w:rsidP="00FE0193">
      <w:pPr>
        <w:pStyle w:val="afd"/>
        <w:numPr>
          <w:ilvl w:val="0"/>
          <w:numId w:val="71"/>
        </w:numPr>
      </w:pPr>
      <w:r w:rsidRPr="000009BA">
        <w:t>Остеопороз.</w:t>
      </w:r>
    </w:p>
    <w:p w14:paraId="253BFBB1" w14:textId="77777777" w:rsidR="000009BA" w:rsidRPr="000009BA" w:rsidRDefault="000009BA" w:rsidP="00FE0193">
      <w:pPr>
        <w:pStyle w:val="afd"/>
        <w:numPr>
          <w:ilvl w:val="0"/>
          <w:numId w:val="71"/>
        </w:numPr>
      </w:pPr>
      <w:r w:rsidRPr="000009BA">
        <w:t>Фиброз стромы.</w:t>
      </w:r>
    </w:p>
    <w:p w14:paraId="09336CC0" w14:textId="77777777" w:rsidR="000009BA" w:rsidRPr="000009BA" w:rsidRDefault="000009BA" w:rsidP="005E26A0">
      <w:pPr>
        <w:pStyle w:val="afd"/>
        <w:rPr>
          <w:rFonts w:eastAsia="Arial Unicode MS"/>
        </w:rPr>
      </w:pPr>
    </w:p>
    <w:p w14:paraId="14DFC51D" w14:textId="5090F4B5" w:rsidR="000009BA" w:rsidRPr="00D5502C" w:rsidRDefault="000009BA" w:rsidP="005E26A0">
      <w:pPr>
        <w:pStyle w:val="afd"/>
        <w:rPr>
          <w:b/>
          <w:bCs/>
        </w:rPr>
      </w:pPr>
      <w:r w:rsidRPr="00D5502C">
        <w:rPr>
          <w:b/>
          <w:bCs/>
        </w:rPr>
        <w:t xml:space="preserve">Возможные осложнения пункционного и биопсийного исследований костного мозга и способы их профилактики </w:t>
      </w:r>
      <w:r w:rsidRPr="00D5502C">
        <w:rPr>
          <w:b/>
          <w:bCs/>
        </w:rPr>
        <w:fldChar w:fldCharType="begin" w:fldLock="1"/>
      </w:r>
      <w:r w:rsidR="00A6794A">
        <w:rPr>
          <w:b/>
          <w:bCs/>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[174]","plainTextFormattedCitation":"[174]","previouslyFormattedCitation":"[174]"},"properties":{"noteIndex":0},"schema":"https://github.com/citation-style-language/schema/raw/master/csl-citation.json"}</w:instrText>
      </w:r>
      <w:r w:rsidRPr="00D5502C">
        <w:rPr>
          <w:b/>
          <w:bCs/>
        </w:rPr>
        <w:fldChar w:fldCharType="separate"/>
      </w:r>
      <w:r w:rsidR="006E1902" w:rsidRPr="006E1902">
        <w:rPr>
          <w:bCs/>
          <w:noProof/>
        </w:rPr>
        <w:t>[174]</w:t>
      </w:r>
      <w:r w:rsidRPr="00D5502C">
        <w:rPr>
          <w:b/>
          <w:bCs/>
        </w:rPr>
        <w:fldChar w:fldCharType="end"/>
      </w:r>
    </w:p>
    <w:p w14:paraId="6799A853" w14:textId="77777777" w:rsidR="000009BA" w:rsidRPr="000009BA" w:rsidRDefault="000009BA" w:rsidP="00FE0193">
      <w:pPr>
        <w:pStyle w:val="afd"/>
        <w:numPr>
          <w:ilvl w:val="0"/>
          <w:numId w:val="72"/>
        </w:numPr>
      </w:pPr>
      <w:r w:rsidRPr="000009BA">
        <w:t>Кровотечение (раннее и/или отсроченное), особенно при тромбоцитопении и/или наличии нарушений свертывания крови.</w:t>
      </w:r>
    </w:p>
    <w:p w14:paraId="0CDB5A3D" w14:textId="77777777" w:rsidR="000009BA" w:rsidRPr="000009BA" w:rsidRDefault="000009BA" w:rsidP="00FE0193">
      <w:pPr>
        <w:pStyle w:val="afd"/>
        <w:numPr>
          <w:ilvl w:val="0"/>
          <w:numId w:val="72"/>
        </w:numPr>
      </w:pPr>
      <w:r w:rsidRPr="000009BA">
        <w:t>Инфекция, особенно в условиях иммунодефицита и нейтропении.</w:t>
      </w:r>
    </w:p>
    <w:p w14:paraId="562180B8" w14:textId="77777777" w:rsidR="000009BA" w:rsidRPr="000009BA" w:rsidRDefault="000009BA" w:rsidP="00FE0193">
      <w:pPr>
        <w:pStyle w:val="afd"/>
        <w:numPr>
          <w:ilvl w:val="0"/>
          <w:numId w:val="72"/>
        </w:numPr>
      </w:pPr>
      <w:r w:rsidRPr="000009BA">
        <w:t>Длительный болевой синдром и дискомфорт в месте биопсии.</w:t>
      </w:r>
    </w:p>
    <w:p w14:paraId="5E53F346" w14:textId="77777777" w:rsidR="000009BA" w:rsidRPr="000009BA" w:rsidRDefault="000009BA" w:rsidP="00FE0193">
      <w:pPr>
        <w:pStyle w:val="afd"/>
        <w:numPr>
          <w:ilvl w:val="0"/>
          <w:numId w:val="72"/>
        </w:numPr>
      </w:pPr>
      <w:r w:rsidRPr="000009BA">
        <w:t>Переломы кости.</w:t>
      </w:r>
    </w:p>
    <w:p w14:paraId="55A8BBDD" w14:textId="77777777" w:rsidR="000009BA" w:rsidRPr="000009BA" w:rsidRDefault="000009BA" w:rsidP="00FE0193">
      <w:pPr>
        <w:pStyle w:val="afd"/>
        <w:numPr>
          <w:ilvl w:val="0"/>
          <w:numId w:val="72"/>
        </w:numPr>
      </w:pPr>
      <w:r w:rsidRPr="000009BA">
        <w:t>Поломка инструмента.</w:t>
      </w:r>
    </w:p>
    <w:p w14:paraId="453BFBA8" w14:textId="77777777" w:rsidR="000009BA" w:rsidRPr="000009BA" w:rsidRDefault="000009BA" w:rsidP="00FE0193">
      <w:pPr>
        <w:pStyle w:val="afd"/>
        <w:numPr>
          <w:ilvl w:val="0"/>
          <w:numId w:val="72"/>
        </w:numPr>
      </w:pPr>
      <w:r w:rsidRPr="000009BA">
        <w:t>Сквозное ранение органов средостения при выполнение стернальной пункции.</w:t>
      </w:r>
    </w:p>
    <w:p w14:paraId="293224DD" w14:textId="77777777" w:rsidR="000009BA" w:rsidRPr="000009BA" w:rsidRDefault="000009BA" w:rsidP="00FE0193">
      <w:pPr>
        <w:pStyle w:val="afd"/>
        <w:numPr>
          <w:ilvl w:val="0"/>
          <w:numId w:val="72"/>
        </w:numPr>
      </w:pPr>
      <w:r w:rsidRPr="000009BA">
        <w:t>Анафилактические реакции (на анестетики).</w:t>
      </w:r>
    </w:p>
    <w:p w14:paraId="03BCFB0B" w14:textId="77777777" w:rsidR="000009BA" w:rsidRPr="000009BA" w:rsidRDefault="000009BA" w:rsidP="005E26A0">
      <w:pPr>
        <w:pStyle w:val="afd"/>
      </w:pPr>
    </w:p>
    <w:p w14:paraId="03F796CA" w14:textId="77777777" w:rsidR="000009BA" w:rsidRPr="000009BA" w:rsidRDefault="000009BA" w:rsidP="005E26A0">
      <w:pPr>
        <w:pStyle w:val="afd"/>
      </w:pPr>
      <w:r w:rsidRPr="000009BA">
        <w:t>При выполнении стернальной пункции, из-за тонкой структуры кости грудины в области пункции (толщина ~ 1 см у взрослых), возможно сквозное проникновение в средостение с возможным повреждением органов средостения и развитием медиастинита, пневмоторакса, травмы и тампонады сердца. Для профилактики данного осложнения необходимо использовать стернальные иглы с ограничителем.</w:t>
      </w:r>
    </w:p>
    <w:p w14:paraId="4C6062ED" w14:textId="77777777" w:rsidR="000009BA" w:rsidRPr="000009BA" w:rsidRDefault="000009BA" w:rsidP="005E26A0">
      <w:pPr>
        <w:pStyle w:val="afd"/>
      </w:pPr>
      <w:r w:rsidRPr="000009BA">
        <w:t xml:space="preserve">Ряд осложнений может быть обусловлен некоторыми анатомическими особенностями больного. Так у больных с ожирением выше вероятность развития осложнений, также осложнять проведение процедуры могут сопутствующие заболевания, влияющие на плотность костной ткани (например, остеопороз и резорбция кости). Для минимизации риска развития локальных и генерализованных инфекций необходимо использовать только стерильный инструмент и строго соблюдать все правила асептики и антисептики. Основными способами профилактики геморрагических осложнений является коррекция тромбоцитопении и коагулологических нарушений перед выполнением процедуры и контроль параметров гемостаза и состояния больного в раннем периоде после биопсии. При своевременном </w:t>
      </w:r>
      <w:r w:rsidRPr="000009BA">
        <w:lastRenderedPageBreak/>
        <w:t>грамотном вмешательстве осложнения процедур исследования костного мозга (пункция, биопсия) курабельны.</w:t>
      </w:r>
    </w:p>
    <w:p w14:paraId="28C009FF" w14:textId="77777777" w:rsidR="000009BA" w:rsidRPr="000009BA" w:rsidRDefault="000009BA" w:rsidP="005E26A0">
      <w:pPr>
        <w:pStyle w:val="afd"/>
      </w:pPr>
      <w:r w:rsidRPr="000009BA">
        <w:t xml:space="preserve">При развитии осложнений биопсийного исследования необходимо связаться с врачом, выполнившим процедуру, тактика терапии осложнения должна быть согласована с врачом-гематологом. </w:t>
      </w:r>
    </w:p>
    <w:p w14:paraId="6A4C44B1" w14:textId="77777777" w:rsidR="000009BA" w:rsidRPr="000009BA" w:rsidRDefault="000009BA" w:rsidP="005E26A0">
      <w:pPr>
        <w:pStyle w:val="afd"/>
        <w:rPr>
          <w:rFonts w:eastAsia="Arial Unicode MS"/>
        </w:rPr>
      </w:pPr>
    </w:p>
    <w:p w14:paraId="0AF417F7" w14:textId="77777777" w:rsidR="000009BA" w:rsidRPr="00D5502C" w:rsidRDefault="000009BA" w:rsidP="005E26A0">
      <w:pPr>
        <w:pStyle w:val="afd"/>
        <w:rPr>
          <w:b/>
          <w:bCs/>
        </w:rPr>
      </w:pPr>
      <w:r w:rsidRPr="00D5502C">
        <w:rPr>
          <w:b/>
          <w:bCs/>
        </w:rPr>
        <w:t>Односторонняя и двусторонняя биопсия подвздошной кости</w:t>
      </w:r>
    </w:p>
    <w:p w14:paraId="51481427" w14:textId="31FDA78D" w:rsidR="000009BA" w:rsidRPr="000009BA" w:rsidRDefault="000009BA" w:rsidP="005E26A0">
      <w:pPr>
        <w:pStyle w:val="afd"/>
      </w:pPr>
      <w:r w:rsidRPr="000009BA">
        <w:t xml:space="preserve">Выполнение двусторонней биопсии подвздошной кости увеличивает вероятность выявления очаговых поражений костного мозга при подозрении на метастатическое поражение при солидных опухолях, лимфопролиферативных заболеваниях, которые при односторонней биопсии могут быть не выявлены. Выполнение билатерального биопсийного исследования костного мозга также показано для более детальной оценки клеточности и наличия фиброза стромы при диагностике апластической анемии и миелодиспластических синдромов </w:t>
      </w:r>
      <w:r w:rsidRPr="000009BA">
        <w:fldChar w:fldCharType="begin" w:fldLock="1"/>
      </w:r>
      <w:r w:rsidR="00A6794A">
        <w:instrText>ADDIN CSL_CITATION {"citationItems":[{"id":"ITEM-1","itemData":{"DOI":"10.1002/cncr.10364","ISSN":"0008543X","PMID":"11920510","abstract":"BACKGROUND. To retrospectively evaluate the significance of morphologic examination and ancillary studies performed on bilateral bone marrow biopsy specimens, 1864 bone marrow samples were studied. METHODS. Bilateral bone marrow biopsy specimens included 883 specimens that were evaluated for involvement by non-Hodgkin lymphoma (NHL); 381 specimens that were evaluated for involvement by carcinoma (CA); 362 specimens that were evaluated for involvement by Hodgkin disease (HD); 94 specimens that were evaluated for involvement by sarcoma (SA); 56 specimens that were evaluated for involvement by multiple myeloma (MM); 53 specimens that were evaluated for involvement by acute and chronic leukemia, myelodysplasia, and/or myeloproliferative disorders (LEUK); and 35 specimens that were evaluated for other reasons. RESULTS. Of all 1864 specimens, 410 samples (22.0%) were positive for disease, including 77% of MM samples, 58% of LEUK samples, 29.6% of NHL samples, 14% of SA samples, 9.9% of HD samples, and 6.8% of CA samples. A discrepancy between the left and right sides was identified in 48 specimens (11.7% of positive samples). The discrepancy rate was 39% for HD samples, 29% for SA samples, 23% for CA samples, and 9.2% for NHL samples. No morphologic discrepancies between bilateral samples were found in MM samples or LEUK samples. Bilateral flow cytometric studies (n = 113 samples) were positive in 11 samples (9.7%; all morphologically positive), with two discrepancies detected between bilateral samples. Bilateral cytogenetic studies (n = 74 samples) were positive in 5 samples (7%), and there were no discrepancies. Bilateral molecular studies (n = 16 samples)were positive in 7 samples (44%), and there were 3 discrepancies. CONCLUSIONS. Bilateral morphologic evaluation is useful in the evaluation of patients with NHL, HD, CA, and SA and is not indicated for patients with acute or chronic leukemia, myelodysplasia, MM, and other diseases. Bilateral flow cytomettic or cytogenetic studies of bone marrow did not provide additional information in this population to justify bilateral samples. The role of bilateral molecular analysis needs to be defined further, but pooled samples for molecular studies may be adequate. © 2002 American Cancer Society.","author":[{"dropping-particle":"","family":"Wang","given":"Jun","non-dropping-particle":"","parse-names":false,"suffix":""},{"dropping-particle":"","family":"Weiss","given":"Lawrence M.","non-dropping-particle":"","parse-names":false,"suffix":""},{"dropping-particle":"","family":"Chang","given":"Karen L.","non-dropping-particle":"","parse-names":false,"suffix":""},{"dropping-particle":"","family":"Slovak","given":"Marilyn L.","non-dropping-particle":"","parse-names":false,"suffix":""},{"dropping-particle":"","family":"Gaal","given":"Karl","non-dropping-particle":"","parse-names":false,"suffix":""},{"dropping-particle":"","family":"Forman","given":"Stephen J.","non-dropping-particle":"","parse-names":false,"suffix":""},{"dropping-particle":"","family":"Arber","given":"Daniel A.","non-dropping-particle":"","parse-names":false,"suffix":""}],"container-title":"Cancer","id":"ITEM-1","issue":"5","issued":{"date-parts":[["2002","3","1"]]},"page":"1522-1531","publisher":"Cancer","title":"Diagnostic utility of bilateral bone marrow examination: Significance of morphologic and ancillary technique study in malignancy","type":"article-journal","volume":"94"},"uris":["http://www.mendeley.com/documents/?uuid=a4dddfa3-ad50-3935-9640-ea89d6a1fc11"]}],"mendeley":{"formattedCitation":"[175]","plainTextFormattedCitation":"[175]","previouslyFormattedCitation":"[175]"},"properties":{"noteIndex":0},"schema":"https://github.com/citation-style-language/schema/raw/master/csl-citation.json"}</w:instrText>
      </w:r>
      <w:r w:rsidRPr="000009BA">
        <w:fldChar w:fldCharType="separate"/>
      </w:r>
      <w:r w:rsidR="006E1902" w:rsidRPr="006E1902">
        <w:rPr>
          <w:noProof/>
        </w:rPr>
        <w:t>[175]</w:t>
      </w:r>
      <w:r w:rsidRPr="000009BA">
        <w:fldChar w:fldCharType="end"/>
      </w:r>
      <w:r w:rsidRPr="000009BA">
        <w:t xml:space="preserve">. </w:t>
      </w:r>
    </w:p>
    <w:p w14:paraId="553A0990" w14:textId="77777777" w:rsidR="000009BA" w:rsidRPr="000009BA" w:rsidRDefault="000009BA" w:rsidP="005E26A0">
      <w:pPr>
        <w:pStyle w:val="afd"/>
      </w:pPr>
      <w:r w:rsidRPr="000009BA">
        <w:t>Выполнение одностороннего биопсийного исследования подвздошной кости считался достаточным в большинстве случаев при множественной миеломе и хронических миелопролиферативных заболеваниях.</w:t>
      </w:r>
    </w:p>
    <w:p w14:paraId="2E8DBAA5" w14:textId="2CFC5E5F" w:rsidR="000009BA" w:rsidRPr="000009BA" w:rsidRDefault="000009BA" w:rsidP="005E26A0">
      <w:pPr>
        <w:pStyle w:val="afd"/>
      </w:pPr>
      <w:r w:rsidRPr="000009BA">
        <w:t xml:space="preserve">В настоящее время, с учетом применения в диагностике и стадировании лимфом ПЭТ, с возможностью оценки ПЭТ-позитивного вовлечения костной ткани, указывающего на наличие поражения костного мозга, билатеральная биопсия при лимфомах, возможно, будет выполняться реже. </w:t>
      </w:r>
    </w:p>
    <w:p w14:paraId="0E3E23E9" w14:textId="77777777" w:rsidR="000009BA" w:rsidRPr="000009BA" w:rsidRDefault="000009BA" w:rsidP="005E26A0">
      <w:pPr>
        <w:pStyle w:val="afd"/>
        <w:rPr>
          <w:rFonts w:eastAsia="Arial Unicode MS"/>
        </w:rPr>
      </w:pPr>
    </w:p>
    <w:p w14:paraId="00F45E91" w14:textId="77777777" w:rsidR="000009BA" w:rsidRPr="00D5502C" w:rsidRDefault="000009BA" w:rsidP="005E26A0">
      <w:pPr>
        <w:pStyle w:val="afd"/>
        <w:rPr>
          <w:b/>
          <w:bCs/>
        </w:rPr>
      </w:pPr>
      <w:r w:rsidRPr="00D5502C">
        <w:rPr>
          <w:b/>
          <w:bCs/>
        </w:rPr>
        <w:t>Необходимая документация</w:t>
      </w:r>
    </w:p>
    <w:p w14:paraId="39DC87A4" w14:textId="77777777" w:rsidR="000009BA" w:rsidRPr="000009BA" w:rsidRDefault="000009BA" w:rsidP="005E26A0">
      <w:pPr>
        <w:pStyle w:val="afd"/>
      </w:pPr>
      <w:r w:rsidRPr="000009BA">
        <w:t>Перед началом выполнения процедуры пациенту (доверенному лицу или опекуну) врач объясняет показания для ее выполнения, ожидаемые результаты и возможные осложнения и риски (включая риск инфицирования, кровотечения, болевого синдрома, образования рубцов и вероятность получения неинформативного материала), отвечает на возникающие у больного вопросы. После этого пациент (доверенное лицо или опекун) подписывает информированное согласие, которое прилагается к медицинской документации и протоколу выполнения процедуры. Факт выполнения процедуры фиксируется в процедурном журнале за подписью врача, выполнявшего процедуру с указанием даты, времени, вида и локуса биопсийного исследования и возникших осложнений процедуры.</w:t>
      </w:r>
    </w:p>
    <w:p w14:paraId="5C4C6370" w14:textId="77777777" w:rsidR="000009BA" w:rsidRPr="000009BA" w:rsidRDefault="000009BA" w:rsidP="005E26A0">
      <w:pPr>
        <w:pStyle w:val="afd"/>
        <w:rPr>
          <w:rFonts w:eastAsia="Arial Unicode MS"/>
        </w:rPr>
      </w:pPr>
    </w:p>
    <w:p w14:paraId="798FA237" w14:textId="37D6D806" w:rsidR="000009BA" w:rsidRPr="00D5502C" w:rsidRDefault="000009BA" w:rsidP="005E26A0">
      <w:pPr>
        <w:pStyle w:val="afd"/>
        <w:rPr>
          <w:b/>
          <w:bCs/>
        </w:rPr>
      </w:pPr>
      <w:r w:rsidRPr="00D5502C">
        <w:rPr>
          <w:b/>
          <w:bCs/>
        </w:rPr>
        <w:lastRenderedPageBreak/>
        <w:t xml:space="preserve">Техника выполнения пункции (аспирации) костного мозга из грудины (стернальной пункции) </w:t>
      </w:r>
      <w:r w:rsidRPr="00D5502C">
        <w:rPr>
          <w:b/>
          <w:bCs/>
        </w:rPr>
        <w:fldChar w:fldCharType="begin" w:fldLock="1"/>
      </w:r>
      <w:r w:rsidR="00A6794A">
        <w:rPr>
          <w:b/>
          <w:bCs/>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[174]","plainTextFormattedCitation":"[174]","previouslyFormattedCitation":"[174]"},"properties":{"noteIndex":0},"schema":"https://github.com/citation-style-language/schema/raw/master/csl-citation.json"}</w:instrText>
      </w:r>
      <w:r w:rsidRPr="00D5502C">
        <w:rPr>
          <w:b/>
          <w:bCs/>
        </w:rPr>
        <w:fldChar w:fldCharType="separate"/>
      </w:r>
      <w:r w:rsidR="006E1902" w:rsidRPr="006E1902">
        <w:rPr>
          <w:bCs/>
          <w:noProof/>
        </w:rPr>
        <w:t>[174]</w:t>
      </w:r>
      <w:r w:rsidRPr="00D5502C">
        <w:rPr>
          <w:b/>
          <w:bCs/>
        </w:rPr>
        <w:fldChar w:fldCharType="end"/>
      </w:r>
    </w:p>
    <w:p w14:paraId="164F12B7" w14:textId="77777777" w:rsidR="000009BA" w:rsidRPr="000009BA" w:rsidRDefault="000009BA" w:rsidP="005E26A0">
      <w:pPr>
        <w:pStyle w:val="afd"/>
      </w:pPr>
      <w:r w:rsidRPr="000009BA">
        <w:t xml:space="preserve">Врач перед началом выполнения процедуры обязательно выясняет наличие и вид аллергических реакций на лекарственные средства, включая анестетики, перечень принимаемых больным препаратов (антикоагулянты и антиагреганты), наличие сопутствующих заболеваний, остеопороза. При невозможности выполнения местной анестезии пункция может быть выполнена как без анестезии, так и под общей анестезией. </w:t>
      </w:r>
    </w:p>
    <w:p w14:paraId="728DBE55" w14:textId="77777777" w:rsidR="000009BA" w:rsidRPr="000009BA" w:rsidRDefault="000009BA" w:rsidP="005E26A0">
      <w:pPr>
        <w:pStyle w:val="afd"/>
      </w:pPr>
      <w:r w:rsidRPr="000009BA">
        <w:t xml:space="preserve">Тромбоцитопения не является противопоказанием для проведения пункции костного мозга, однако при наличии развернутого геморрагического синдрома желательно предварительно выполнить заместительные трансфузии тромбоконцентратов и, при необходимости, свежезамороженной плазмы и/или криопреципитата. </w:t>
      </w:r>
    </w:p>
    <w:p w14:paraId="42CBCA80" w14:textId="77777777" w:rsidR="000009BA" w:rsidRPr="000009BA" w:rsidRDefault="000009BA" w:rsidP="005E26A0">
      <w:pPr>
        <w:pStyle w:val="afd"/>
      </w:pPr>
      <w:r w:rsidRPr="000009BA">
        <w:t xml:space="preserve">Аспирация костного мозга может выполняться из области рукоятки грудины или тела грудины на уровне III—IV ребра, избегая область сочленения рукоятки и тела грудины (по методу Аринкина), или из гребня подвздошной кости. </w:t>
      </w:r>
    </w:p>
    <w:p w14:paraId="1F2461A6" w14:textId="77777777" w:rsidR="000009BA" w:rsidRPr="000009BA" w:rsidRDefault="000009BA" w:rsidP="005E26A0">
      <w:pPr>
        <w:pStyle w:val="afd"/>
      </w:pPr>
      <w:r w:rsidRPr="000009BA">
        <w:t>При выполнении стернальной пункции (по методу Аринкина) больного укладывают на манипуляционный стол на спину. Для облегчения выполнения процедуры можно приподнять грудную клетку, поместив под лопатки больного валик.</w:t>
      </w:r>
    </w:p>
    <w:p w14:paraId="51C2EC47" w14:textId="77777777" w:rsidR="000009BA" w:rsidRPr="000009BA" w:rsidRDefault="000009BA" w:rsidP="005E26A0">
      <w:pPr>
        <w:pStyle w:val="afd"/>
      </w:pPr>
      <w:r w:rsidRPr="000009BA">
        <w:t xml:space="preserve">При применении инфильтрационной анестезии выполняется обезболивание кожи («лимонная корочка») с дальнейшей послойной инфильтративной анестезией вплоть до надкостницы и под надкостницу — 2,0% раствором лидокаина** или 0,25—0,5% раствором прокаина** (анестетик выбирается с учетом аллергологического анамнеза) 1,0—2,0 мл. Использование 10% лидокаина** недопустимо для местной анестезии ввиду возможности некротизирования тканей. </w:t>
      </w:r>
    </w:p>
    <w:p w14:paraId="3DEF4ADE" w14:textId="77777777" w:rsidR="000009BA" w:rsidRPr="000009BA" w:rsidRDefault="000009BA" w:rsidP="005E26A0">
      <w:pPr>
        <w:pStyle w:val="afd"/>
      </w:pPr>
      <w:r w:rsidRPr="000009BA">
        <w:t xml:space="preserve">Пункция костного мозга выполняется иглой Кассирского или иглой сходной с ней конструкции. </w:t>
      </w:r>
    </w:p>
    <w:p w14:paraId="2017EFC8" w14:textId="77777777" w:rsidR="000009BA" w:rsidRPr="000009BA" w:rsidRDefault="000009BA" w:rsidP="005E26A0">
      <w:pPr>
        <w:pStyle w:val="afd"/>
      </w:pPr>
      <w:r w:rsidRPr="000009BA">
        <w:t xml:space="preserve">Ограничитель устанавливается с учетом возраста, выраженности подкожно-жировой клетчатки пациента из расчета, чтобы игла, пройдя мягкие ткани, продвинулась на 5 мм. При этом конец иглы, проколов наружную пластинку грудины, окажется в полости грудины. </w:t>
      </w:r>
    </w:p>
    <w:p w14:paraId="515689EC" w14:textId="77777777" w:rsidR="000009BA" w:rsidRPr="000009BA" w:rsidRDefault="000009BA" w:rsidP="005E26A0">
      <w:pPr>
        <w:pStyle w:val="afd"/>
      </w:pPr>
      <w:r w:rsidRPr="000009BA">
        <w:t>Игла направляется перпендикулярно поверхности кости и вкалывается быстрым и четким движением на уровне одного из межреберий (I—III). Это момент ощущается врачом как «провал».</w:t>
      </w:r>
    </w:p>
    <w:p w14:paraId="7FF5FA66" w14:textId="77777777" w:rsidR="000009BA" w:rsidRPr="000009BA" w:rsidRDefault="000009BA" w:rsidP="005E26A0">
      <w:pPr>
        <w:pStyle w:val="afd"/>
      </w:pPr>
      <w:r w:rsidRPr="000009BA">
        <w:lastRenderedPageBreak/>
        <w:t xml:space="preserve">Игла должна быть неподвижно фиксирована в грудине. </w:t>
      </w:r>
    </w:p>
    <w:p w14:paraId="1A9408D4" w14:textId="77777777" w:rsidR="000009BA" w:rsidRPr="000009BA" w:rsidRDefault="000009BA" w:rsidP="005E26A0">
      <w:pPr>
        <w:pStyle w:val="afd"/>
      </w:pPr>
      <w:r w:rsidRPr="000009BA">
        <w:t xml:space="preserve">После извлечения мандрена к игле присоединяют шприц и производят аспирацию костного мозга. </w:t>
      </w:r>
    </w:p>
    <w:p w14:paraId="3C23648A" w14:textId="77777777" w:rsidR="000009BA" w:rsidRPr="000009BA" w:rsidRDefault="000009BA" w:rsidP="005E26A0">
      <w:pPr>
        <w:pStyle w:val="afd"/>
      </w:pPr>
      <w:r w:rsidRPr="000009BA">
        <w:t>Из полученного пунктата готовят мазки и направляют материал на различные исследования.</w:t>
      </w:r>
    </w:p>
    <w:p w14:paraId="34D4CC76" w14:textId="77777777" w:rsidR="000009BA" w:rsidRPr="000009BA" w:rsidRDefault="000009BA" w:rsidP="005E26A0">
      <w:pPr>
        <w:pStyle w:val="afd"/>
      </w:pPr>
      <w:r w:rsidRPr="000009BA">
        <w:t>Первые 0,5 мл костномозговой взвеси используют для приготовления мазков, которые направляются на:</w:t>
      </w:r>
    </w:p>
    <w:p w14:paraId="62B4ABE6" w14:textId="77777777" w:rsidR="000009BA" w:rsidRPr="000009BA" w:rsidRDefault="000009BA" w:rsidP="00FE0193">
      <w:pPr>
        <w:pStyle w:val="afd"/>
        <w:numPr>
          <w:ilvl w:val="0"/>
          <w:numId w:val="73"/>
        </w:numPr>
      </w:pPr>
      <w:r w:rsidRPr="000009BA">
        <w:t>цитологическое исследование;</w:t>
      </w:r>
    </w:p>
    <w:p w14:paraId="48337903" w14:textId="77777777" w:rsidR="000009BA" w:rsidRPr="000009BA" w:rsidRDefault="000009BA" w:rsidP="00FE0193">
      <w:pPr>
        <w:pStyle w:val="afd"/>
        <w:numPr>
          <w:ilvl w:val="0"/>
          <w:numId w:val="73"/>
        </w:numPr>
      </w:pPr>
      <w:r w:rsidRPr="000009BA">
        <w:t>цитохимическое исследование.</w:t>
      </w:r>
    </w:p>
    <w:p w14:paraId="79B6357D" w14:textId="77777777" w:rsidR="000009BA" w:rsidRPr="000009BA" w:rsidRDefault="000009BA" w:rsidP="005E26A0">
      <w:pPr>
        <w:pStyle w:val="afd"/>
      </w:pPr>
      <w:r w:rsidRPr="000009BA">
        <w:t xml:space="preserve">При необходимости остальную костномозговую взвесь помещают: </w:t>
      </w:r>
    </w:p>
    <w:p w14:paraId="5E2EEE99" w14:textId="77777777" w:rsidR="000009BA" w:rsidRPr="000009BA" w:rsidRDefault="000009BA" w:rsidP="00FE0193">
      <w:pPr>
        <w:pStyle w:val="afd"/>
        <w:numPr>
          <w:ilvl w:val="0"/>
          <w:numId w:val="74"/>
        </w:numPr>
      </w:pPr>
      <w:r w:rsidRPr="000009BA">
        <w:t>в пробирки с консервантом ЭДТА для проведения исследований:</w:t>
      </w:r>
    </w:p>
    <w:p w14:paraId="49845CE4" w14:textId="77777777" w:rsidR="000009BA" w:rsidRPr="000009BA" w:rsidRDefault="000009BA" w:rsidP="00FE0193">
      <w:pPr>
        <w:pStyle w:val="afd"/>
        <w:numPr>
          <w:ilvl w:val="1"/>
          <w:numId w:val="74"/>
        </w:numPr>
      </w:pPr>
      <w:r w:rsidRPr="000009BA">
        <w:t>иммунофенотипическое исследование;</w:t>
      </w:r>
    </w:p>
    <w:p w14:paraId="75EC7396" w14:textId="77777777" w:rsidR="000009BA" w:rsidRPr="000009BA" w:rsidRDefault="000009BA" w:rsidP="00FE0193">
      <w:pPr>
        <w:pStyle w:val="afd"/>
        <w:numPr>
          <w:ilvl w:val="1"/>
          <w:numId w:val="74"/>
        </w:numPr>
      </w:pPr>
      <w:r w:rsidRPr="000009BA">
        <w:t>молекулярное исследование (методом ПЦР).</w:t>
      </w:r>
    </w:p>
    <w:p w14:paraId="0B1B3CC1" w14:textId="77777777" w:rsidR="000009BA" w:rsidRPr="000009BA" w:rsidRDefault="000009BA" w:rsidP="00FE0193">
      <w:pPr>
        <w:pStyle w:val="afd"/>
        <w:numPr>
          <w:ilvl w:val="0"/>
          <w:numId w:val="74"/>
        </w:numPr>
      </w:pPr>
      <w:r w:rsidRPr="000009BA">
        <w:t>в пробирки с литиевой солью гепарина для цитогенетического (кариологического) исследования.</w:t>
      </w:r>
    </w:p>
    <w:p w14:paraId="2EF663F3" w14:textId="77777777" w:rsidR="000009BA" w:rsidRPr="000009BA" w:rsidRDefault="000009BA" w:rsidP="005E26A0">
      <w:pPr>
        <w:pStyle w:val="afd"/>
      </w:pPr>
      <w:r w:rsidRPr="000009BA">
        <w:t>После окончания процедуры аспирации иглу извлекают из грудины и на место пункции накладывают асептическую повязку.</w:t>
      </w:r>
    </w:p>
    <w:p w14:paraId="3D651EB8" w14:textId="77777777" w:rsidR="000009BA" w:rsidRPr="000009BA" w:rsidRDefault="000009BA" w:rsidP="005E26A0">
      <w:pPr>
        <w:pStyle w:val="afd"/>
      </w:pPr>
      <w:r w:rsidRPr="000009BA">
        <w:t xml:space="preserve">Возможно приготовление гистологического препарата из аспирата костного мозга («крошка») – это так называемый clot (сверток, сгусток) аспирата, содержащий частицы костного мозга. Сформировавшийся сгусток помещают в 10% раствор формалина и направляют на гистологическое исследование, которое может быть выполнено в более короткие сроки, чем исследование трепанобиоптата, поскольку не требует выполнения декальцинации кости. </w:t>
      </w:r>
    </w:p>
    <w:p w14:paraId="6B585095" w14:textId="77777777" w:rsidR="000009BA" w:rsidRPr="000009BA" w:rsidRDefault="000009BA" w:rsidP="005E26A0">
      <w:pPr>
        <w:pStyle w:val="afd"/>
        <w:rPr>
          <w:rFonts w:eastAsia="Arial Unicode MS"/>
        </w:rPr>
      </w:pPr>
    </w:p>
    <w:p w14:paraId="361858DE" w14:textId="10755E4E" w:rsidR="000009BA" w:rsidRPr="00F14825" w:rsidRDefault="000009BA" w:rsidP="005E26A0">
      <w:pPr>
        <w:pStyle w:val="afd"/>
        <w:rPr>
          <w:b/>
          <w:bCs/>
        </w:rPr>
      </w:pPr>
      <w:r w:rsidRPr="00F14825">
        <w:rPr>
          <w:b/>
          <w:bCs/>
        </w:rPr>
        <w:t xml:space="preserve">Техника выполнения процедуры трепанобиопсии костного мозга </w:t>
      </w:r>
      <w:r w:rsidRPr="00F14825">
        <w:rPr>
          <w:b/>
          <w:bCs/>
        </w:rPr>
        <w:fldChar w:fldCharType="begin" w:fldLock="1"/>
      </w:r>
      <w:r w:rsidR="00A6794A">
        <w:rPr>
          <w:b/>
          <w:bCs/>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[174]","plainTextFormattedCitation":"[174]","previouslyFormattedCitation":"[174]"},"properties":{"noteIndex":0},"schema":"https://github.com/citation-style-language/schema/raw/master/csl-citation.json"}</w:instrText>
      </w:r>
      <w:r w:rsidRPr="00F14825">
        <w:rPr>
          <w:b/>
          <w:bCs/>
        </w:rPr>
        <w:fldChar w:fldCharType="separate"/>
      </w:r>
      <w:r w:rsidR="006E1902" w:rsidRPr="006E1902">
        <w:rPr>
          <w:bCs/>
          <w:noProof/>
        </w:rPr>
        <w:t>[174]</w:t>
      </w:r>
      <w:r w:rsidRPr="00F14825">
        <w:rPr>
          <w:b/>
          <w:bCs/>
        </w:rPr>
        <w:fldChar w:fldCharType="end"/>
      </w:r>
    </w:p>
    <w:p w14:paraId="5F16167C" w14:textId="77777777" w:rsidR="000009BA" w:rsidRPr="000009BA" w:rsidRDefault="000009BA" w:rsidP="005E26A0">
      <w:pPr>
        <w:pStyle w:val="afd"/>
      </w:pPr>
      <w:r w:rsidRPr="000009BA">
        <w:t xml:space="preserve">Во время проведения процедуры врач должен комментировать все свои действия и предупреждать пациента обо всех ощущениях, которые могут ее сопровождать. </w:t>
      </w:r>
    </w:p>
    <w:p w14:paraId="6D698B14" w14:textId="77777777" w:rsidR="000009BA" w:rsidRPr="000009BA" w:rsidRDefault="000009BA" w:rsidP="005E26A0">
      <w:pPr>
        <w:pStyle w:val="afd"/>
      </w:pPr>
      <w:r w:rsidRPr="000009BA">
        <w:t>Врач перед началом выполнения процедуры обязательно выясняет наличие и вид аллергических реакций на лекарственные средства, включая анестетики, перечень принимаемых препаратов (антитромботические средства и ангиагреганты, кроме гепарина), наличие сопутствующих заболеваний, остеопороза. При невозможности выполнения местной анестезии трепанобиопсия может быть выполнена под общей анестезией.</w:t>
      </w:r>
    </w:p>
    <w:p w14:paraId="05097E06" w14:textId="77777777" w:rsidR="000009BA" w:rsidRPr="000009BA" w:rsidRDefault="000009BA" w:rsidP="005E26A0">
      <w:pPr>
        <w:pStyle w:val="afd"/>
      </w:pPr>
      <w:r w:rsidRPr="000009BA">
        <w:lastRenderedPageBreak/>
        <w:t xml:space="preserve">При наличии тромбоцитопении, коагулологических нарушений и геморрагического синдрома перед началом процедуры необходимо выполнить трансфузии тромбоконцентратов и скорректировать коагулологические нарушения трансфузиями СЗП и/или криопреципитата. </w:t>
      </w:r>
    </w:p>
    <w:p w14:paraId="5834541E" w14:textId="77777777" w:rsidR="000009BA" w:rsidRPr="000009BA" w:rsidRDefault="000009BA" w:rsidP="005E26A0">
      <w:pPr>
        <w:pStyle w:val="afd"/>
      </w:pPr>
      <w:r w:rsidRPr="000009BA">
        <w:t xml:space="preserve">Трепанобиопсия костного мозга выполняется иглой Jamshidi — цилиндрической иглой длиной не более 15 см, дистальная часть которой имеет коническое сужение наружного контура и внутренней полости. Игла заканчивается остро заточенным срезом. Внутрь иглы помещается стилет-обтуратор, имеющий срез, плоскость которого совпадает со срезом иглы Jamshidi. </w:t>
      </w:r>
    </w:p>
    <w:p w14:paraId="6A8BD59E" w14:textId="77777777" w:rsidR="000009BA" w:rsidRPr="000009BA" w:rsidRDefault="000009BA" w:rsidP="005E26A0">
      <w:pPr>
        <w:pStyle w:val="afd"/>
      </w:pPr>
      <w:r w:rsidRPr="000009BA">
        <w:t>Трепанобиопсию проводят в области задней верхней ости правой и/или левой подвздошных костей (spina iliaca posterior superior). В особых случаях (см. ниже) — в области передней верхней ости правой и/или левой подвздошных костей.</w:t>
      </w:r>
    </w:p>
    <w:p w14:paraId="118EFC9F" w14:textId="77777777" w:rsidR="000009BA" w:rsidRPr="000009BA" w:rsidRDefault="000009BA" w:rsidP="005E26A0">
      <w:pPr>
        <w:pStyle w:val="afd"/>
      </w:pPr>
      <w:r w:rsidRPr="000009BA">
        <w:t xml:space="preserve">Пациента располагают в одном из положений: </w:t>
      </w:r>
    </w:p>
    <w:p w14:paraId="357E1AA8" w14:textId="77777777" w:rsidR="000009BA" w:rsidRPr="000009BA" w:rsidRDefault="000009BA" w:rsidP="00FE0193">
      <w:pPr>
        <w:pStyle w:val="afd"/>
        <w:numPr>
          <w:ilvl w:val="0"/>
          <w:numId w:val="75"/>
        </w:numPr>
      </w:pPr>
      <w:r w:rsidRPr="000009BA">
        <w:t xml:space="preserve">лежа на животе; </w:t>
      </w:r>
    </w:p>
    <w:p w14:paraId="41D17007" w14:textId="77777777" w:rsidR="000009BA" w:rsidRPr="000009BA" w:rsidRDefault="000009BA" w:rsidP="00FE0193">
      <w:pPr>
        <w:pStyle w:val="afd"/>
        <w:numPr>
          <w:ilvl w:val="0"/>
          <w:numId w:val="75"/>
        </w:numPr>
      </w:pPr>
      <w:r w:rsidRPr="000009BA">
        <w:t xml:space="preserve">сидя спиной к врачу, туловище несколько приведено к бедрам, для упора на колени можно положить подушку, ноги пациента стоят на скамейке; </w:t>
      </w:r>
    </w:p>
    <w:p w14:paraId="1AC3A3F2" w14:textId="77777777" w:rsidR="000009BA" w:rsidRPr="000009BA" w:rsidRDefault="000009BA" w:rsidP="00FE0193">
      <w:pPr>
        <w:pStyle w:val="afd"/>
        <w:numPr>
          <w:ilvl w:val="0"/>
          <w:numId w:val="75"/>
        </w:numPr>
      </w:pPr>
      <w:r w:rsidRPr="000009BA">
        <w:t>лежа на боку, ноги согнуты в коленях и приведены к груди, спина несколько согнута;</w:t>
      </w:r>
    </w:p>
    <w:p w14:paraId="5E7547DD" w14:textId="77777777" w:rsidR="000009BA" w:rsidRPr="000009BA" w:rsidRDefault="000009BA" w:rsidP="00FE0193">
      <w:pPr>
        <w:pStyle w:val="afd"/>
        <w:numPr>
          <w:ilvl w:val="0"/>
          <w:numId w:val="75"/>
        </w:numPr>
      </w:pPr>
      <w:r w:rsidRPr="000009BA">
        <w:t xml:space="preserve">в исключительных случаях (крайне тяжелое состояние пациента, искусственная вентиляция легких, поздние сроки беременности, ожирение и др.), когда ни одно из этих положений невозможно, манипуляцию выполняют в положении лежа на спине и трепанобиопсию проводят в переднюю верхнюю ость подвздошной кости. </w:t>
      </w:r>
    </w:p>
    <w:p w14:paraId="5452D807" w14:textId="77777777" w:rsidR="000009BA" w:rsidRPr="000009BA" w:rsidRDefault="000009BA" w:rsidP="005E26A0">
      <w:pPr>
        <w:pStyle w:val="afd"/>
      </w:pPr>
      <w:r w:rsidRPr="000009BA">
        <w:t xml:space="preserve">Чаще всего при выполнении трепанобиопсии пациент находится в сознании. При невозможности выполнения местной анестезии пункция может быть выполнена под общей анестезией. В педиатрической практике манипуляцию проводят под наркозом. </w:t>
      </w:r>
    </w:p>
    <w:p w14:paraId="09367038" w14:textId="77777777" w:rsidR="000009BA" w:rsidRPr="000009BA" w:rsidRDefault="000009BA" w:rsidP="005E26A0">
      <w:pPr>
        <w:pStyle w:val="afd"/>
      </w:pPr>
      <w:r w:rsidRPr="000009BA">
        <w:t xml:space="preserve">Пальпацией гребня задней верхней ости подвздошной кости и крестцово-подвздошного сочленения выполняется выбор места трепанобиопсии. </w:t>
      </w:r>
    </w:p>
    <w:p w14:paraId="087BC87F" w14:textId="77777777" w:rsidR="000009BA" w:rsidRPr="000009BA" w:rsidRDefault="000009BA" w:rsidP="005E26A0">
      <w:pPr>
        <w:pStyle w:val="afd"/>
      </w:pPr>
      <w:r w:rsidRPr="000009BA">
        <w:t xml:space="preserve">Обработка кожи растворами антисептиков, как для оперативного вмешательства. </w:t>
      </w:r>
    </w:p>
    <w:p w14:paraId="0FC773CD" w14:textId="77777777" w:rsidR="000009BA" w:rsidRPr="000009BA" w:rsidRDefault="000009BA" w:rsidP="005E26A0">
      <w:pPr>
        <w:pStyle w:val="afd"/>
      </w:pPr>
      <w:r w:rsidRPr="000009BA">
        <w:t xml:space="preserve">Обезболивание кожи («лимонная корочка») и далее послойная анестезия тканей вплоть до надкостницы и поднадкостнично — 2% раствор лидокаина** или </w:t>
      </w:r>
      <w:r w:rsidRPr="000009BA">
        <w:lastRenderedPageBreak/>
        <w:t xml:space="preserve">0,25—0,5% раствор прокаина** (выбранным с учетом аллергологического анамнеза) 4,0—6,0 мл. Использование 10% лидокаина** недопустимо для местной анестезии ввиду возможности некротизирования тканей. </w:t>
      </w:r>
    </w:p>
    <w:p w14:paraId="71B233C5" w14:textId="77777777" w:rsidR="000009BA" w:rsidRPr="000009BA" w:rsidRDefault="000009BA" w:rsidP="005E26A0">
      <w:pPr>
        <w:pStyle w:val="afd"/>
      </w:pPr>
      <w:r w:rsidRPr="000009BA">
        <w:t xml:space="preserve">Анестезия наступает не ранее через 1 мин после инфильтрации надкостницы раствором анестетика. </w:t>
      </w:r>
    </w:p>
    <w:p w14:paraId="5C790486" w14:textId="77777777" w:rsidR="000009BA" w:rsidRPr="000009BA" w:rsidRDefault="000009BA" w:rsidP="005E26A0">
      <w:pPr>
        <w:pStyle w:val="afd"/>
      </w:pPr>
      <w:r w:rsidRPr="000009BA">
        <w:t xml:space="preserve">Выполняют разрез кожи длиной около 3 мм скальпелем с узким лезвием, однако возможно прохождение кожи и тканей до надкостницы иглой для трепанобиопсии с вставленным стилетом-обтуратором без выполнения кожного разреза. </w:t>
      </w:r>
    </w:p>
    <w:p w14:paraId="29AF818A" w14:textId="77777777" w:rsidR="000009BA" w:rsidRPr="000009BA" w:rsidRDefault="000009BA" w:rsidP="005E26A0">
      <w:pPr>
        <w:pStyle w:val="afd"/>
      </w:pPr>
      <w:r w:rsidRPr="000009BA">
        <w:t>Через кожный разрез / прокол вводят иглу Jamshidi со стилетом-обтуратором, зафиксированным внутри иглы, и продвигают сквозь мягкие ткани до надкостницы. Игла вращательно-поступательными движениями с некоторым усилием должна быть направлена с небольшим отклонением латерально и кзади. Одноразовые иглы исключительно острые и не требуют прикладывания усилий. Вращательные движения вокруг оси иглы должны совершаться попеременно по и против часовой стрелки не более чем на 120</w:t>
      </w:r>
      <w:r w:rsidRPr="000009BA">
        <w:sym w:font="Symbol" w:char="F0B0"/>
      </w:r>
      <w:r w:rsidRPr="000009BA">
        <w:t xml:space="preserve"> в ту и другую сторону. Проникновение через кортикальную пластинку воспринимается врачом как ощущение «провала» в ткань меньшей плотности. </w:t>
      </w:r>
    </w:p>
    <w:p w14:paraId="4D096472" w14:textId="77777777" w:rsidR="000009BA" w:rsidRPr="000009BA" w:rsidRDefault="000009BA" w:rsidP="005E26A0">
      <w:pPr>
        <w:pStyle w:val="afd"/>
      </w:pPr>
      <w:r w:rsidRPr="000009BA">
        <w:t xml:space="preserve">После того как кортикальная пластинка пройдена, вынимается из иглы Jamshidi стилет-обтуратор и вращательно-поступательным движением углубляется в кость на 3—4 см. Продвижение иглы Jamshidi в толще губчатой кости может сопровождаться для больного неприятными ощущениями с иррадиацией в бедро, о чем необходимо предупредить пациента. </w:t>
      </w:r>
    </w:p>
    <w:p w14:paraId="7C5F5708" w14:textId="77777777" w:rsidR="000009BA" w:rsidRPr="000009BA" w:rsidRDefault="000009BA" w:rsidP="005E26A0">
      <w:pPr>
        <w:pStyle w:val="afd"/>
      </w:pPr>
      <w:r w:rsidRPr="000009BA">
        <w:t xml:space="preserve">Для отделения от костного массива столбика, вырезанного иглой и находящегося в ее просвете, его основание необходимо «подрезать». Чтобы это сделать, нужно несколько раз повернуть иглу в одном и другом направлении вокруг оси. Далее иглу медленно извлекают вращательно-поступательными движениями. </w:t>
      </w:r>
    </w:p>
    <w:p w14:paraId="709AC424" w14:textId="77777777" w:rsidR="000009BA" w:rsidRPr="000009BA" w:rsidRDefault="000009BA" w:rsidP="005E26A0">
      <w:pPr>
        <w:pStyle w:val="afd"/>
      </w:pPr>
      <w:r w:rsidRPr="000009BA">
        <w:t xml:space="preserve">После извлечения иглы стержнем-толкателем трепанобиоптат длиной 3—4 см (из передней верхней ости подвздошной кости) и более, иногда до 5–6 см (из задней верхней ости подвздошной кости)  выталкивается в обратном направлении от острия к рукоятке, то есть через отверстие рукоятки инструмента. </w:t>
      </w:r>
    </w:p>
    <w:p w14:paraId="7C638B31" w14:textId="77777777" w:rsidR="000009BA" w:rsidRPr="000009BA" w:rsidRDefault="000009BA" w:rsidP="005E26A0">
      <w:pPr>
        <w:pStyle w:val="afd"/>
      </w:pPr>
      <w:r w:rsidRPr="000009BA">
        <w:t xml:space="preserve">После выполнения трепанобиопсии через этот же кожный разрез можно получить аспират костного мозга, пропунктировав заднюю верхнюю ость подвздошной кости в стороне от трепанационного отверстия. Практически все иглы для трепанобиопсии костного мозга имеют со стороны рукоятки коническую втулку, </w:t>
      </w:r>
      <w:r w:rsidRPr="000009BA">
        <w:lastRenderedPageBreak/>
        <w:t xml:space="preserve">которая позволяет присоединить шприц для создания разрежения в просвете иглы и аспирации костного мозга. Пользоваться иглой Jamshidi для аспирации не очень удобно, лучше применять специальные, более тонкие и короткие иглы. Для этого необходимо через уже существующий разрез кожи пройти аспирационной иглой до кости и, сместив иглу вместе с мягкими тканями, снова выполнить пункцию кортикальной пластинки на некотором удалении (1,5 см) от первого сделанного отверстия, после чего аспирировать костный мозг для исследований, как указано выше. </w:t>
      </w:r>
    </w:p>
    <w:p w14:paraId="11DFC938" w14:textId="77777777" w:rsidR="000009BA" w:rsidRPr="000009BA" w:rsidRDefault="000009BA" w:rsidP="005E26A0">
      <w:pPr>
        <w:pStyle w:val="afd"/>
      </w:pPr>
      <w:r w:rsidRPr="000009BA">
        <w:t xml:space="preserve">В случае невозможности получения аспирата костного мозга выполняют отпечатки трепанобиоптата методом «прокатывания» столбика между двумя предметными стеклами. </w:t>
      </w:r>
    </w:p>
    <w:p w14:paraId="51372AE8" w14:textId="77777777" w:rsidR="000009BA" w:rsidRPr="000009BA" w:rsidRDefault="000009BA" w:rsidP="005E26A0">
      <w:pPr>
        <w:pStyle w:val="afd"/>
      </w:pPr>
      <w:r w:rsidRPr="000009BA">
        <w:t>Столбик трепанобиоптата помещают в емкость с физиологическим раствором или 10% раствором формалина и направляют в лабораторию на гистологическое и, при необходимости, иммуногистохимическое исследования.</w:t>
      </w:r>
    </w:p>
    <w:p w14:paraId="4C75DDA6" w14:textId="77777777" w:rsidR="000009BA" w:rsidRPr="000009BA" w:rsidRDefault="000009BA" w:rsidP="005E26A0">
      <w:pPr>
        <w:pStyle w:val="afd"/>
      </w:pPr>
      <w:r w:rsidRPr="000009BA">
        <w:t xml:space="preserve">По окончании манипуляции на кожу накладывают асептическую повязку (наклейку), рекомендуется приложить хладоэлемент на 10-15мин во избежание образования гематомы. </w:t>
      </w:r>
    </w:p>
    <w:p w14:paraId="60C4FB33" w14:textId="77777777" w:rsidR="000009BA" w:rsidRPr="000009BA" w:rsidRDefault="000009BA" w:rsidP="005E26A0">
      <w:pPr>
        <w:pStyle w:val="afd"/>
      </w:pPr>
      <w:r w:rsidRPr="000009BA">
        <w:t xml:space="preserve">Пациент должен провести под наблюдением медицинского персонала 2—3 часа после процедуры. </w:t>
      </w:r>
    </w:p>
    <w:p w14:paraId="7FE5C1D1" w14:textId="77777777" w:rsidR="000009BA" w:rsidRPr="000009BA" w:rsidRDefault="000009BA" w:rsidP="005E26A0">
      <w:pPr>
        <w:pStyle w:val="afd"/>
      </w:pPr>
      <w:r w:rsidRPr="000009BA">
        <w:t>В первые сутки после выполнения трепанобиопсии больному необходимо избегать физических нагрузок и выполнения работ, связанных с повышенным вниманием (в том числе управление автотранспортным средством). Повязку необходимо сохранять в течение 1-2 суток, при необходимости осуществляется замена повязки с обработкой кожи вокруг места биопсии антисептиками. При гигиенических процедурах пациент должен избегать намокания повязки.</w:t>
      </w:r>
    </w:p>
    <w:p w14:paraId="2C497D84" w14:textId="77777777" w:rsidR="000009BA" w:rsidRPr="000009BA" w:rsidRDefault="000009BA" w:rsidP="005E26A0">
      <w:pPr>
        <w:pStyle w:val="afd"/>
      </w:pPr>
      <w:r w:rsidRPr="000009BA">
        <w:t xml:space="preserve">На следующий день после выполнения манипуляции медицинскому персоналу необходимо проконтролировать состояние пациента (при выполнении манипуляции в амбулаторных условиях - возможно по телефону). </w:t>
      </w:r>
    </w:p>
    <w:p w14:paraId="1A60FDE8" w14:textId="77777777" w:rsidR="000009BA" w:rsidRPr="000009BA" w:rsidRDefault="000009BA" w:rsidP="000009BA"/>
    <w:p w14:paraId="15F975AA" w14:textId="6A77BBA4" w:rsidR="000009BA" w:rsidRPr="000009BA" w:rsidRDefault="000009BA" w:rsidP="00F87A85">
      <w:pPr>
        <w:pStyle w:val="2"/>
      </w:pPr>
      <w:bookmarkStart w:id="71" w:name="_Toc85649743"/>
      <w:bookmarkStart w:id="72" w:name="_Toc96601264"/>
      <w:r w:rsidRPr="000009BA">
        <w:t>7.</w:t>
      </w:r>
      <w:r w:rsidR="00F87A85">
        <w:t>11</w:t>
      </w:r>
      <w:r w:rsidRPr="000009BA">
        <w:t xml:space="preserve">. </w:t>
      </w:r>
      <w:bookmarkStart w:id="73" w:name="OLE_LINK5"/>
      <w:bookmarkStart w:id="74" w:name="OLE_LINK6"/>
      <w:r w:rsidRPr="000009BA">
        <w:t>Обеспечение сосудистого доступа</w:t>
      </w:r>
      <w:bookmarkEnd w:id="71"/>
      <w:bookmarkEnd w:id="72"/>
    </w:p>
    <w:p w14:paraId="1E23C012" w14:textId="77777777" w:rsidR="000009BA" w:rsidRPr="000009BA" w:rsidRDefault="000009BA" w:rsidP="00F87A85">
      <w:pPr>
        <w:pStyle w:val="afd"/>
      </w:pPr>
      <w:r w:rsidRPr="000009BA">
        <w:t xml:space="preserve">Обеспечение сосудистого доступа является неотъемлемой составляющей частью современной химиотерапии онкогематологических больных. Через центральный венозный катетер (ЦВК) вводятся химиотерапевтические препараты, </w:t>
      </w:r>
      <w:r w:rsidRPr="000009BA">
        <w:lastRenderedPageBreak/>
        <w:t xml:space="preserve">корригируются электролитные нарушения, проводится парентеральное питание, осуществляется взятие образцов крови для исследования и т. д. </w:t>
      </w:r>
    </w:p>
    <w:p w14:paraId="5C8C26B0" w14:textId="05F1A1E4" w:rsidR="000009BA" w:rsidRPr="000009BA" w:rsidRDefault="000009BA" w:rsidP="00F87A85">
      <w:pPr>
        <w:pStyle w:val="afd"/>
      </w:pPr>
      <w:r w:rsidRPr="000009BA">
        <w:t xml:space="preserve">Выделяют следующие особенности сосудистого доступа в гематологии: необходимость только внутривенного введения многих лекарственных препаратов, массивность инфузионных программ сдавление крупных венозных сосудов увеличенными лимфатическими узлами и/или опухолевой массой, как с внутригрудным, так и с внутрибрюшным поражением, что значительно затрудняет задачу обеспечения сосудистого доступа </w:t>
      </w:r>
      <w:r w:rsidRPr="000009BA">
        <w:fldChar w:fldCharType="begin" w:fldLock="1"/>
      </w:r>
      <w:r w:rsidR="00A6794A">
        <w:instrText>ADDIN CSL_CITATION {"citationItems":[{"id":"ITEM-1","itemData":{"abstract":"NTRODUCTION. SVCS results from compression of the superior vena cava. Lymphoma - one of the most frequent causes of the malignant SVCS.\r\nThe aim of the study was to identify the incidence of SVCS in lymphoma pts and features of the central venous access in lymphoma pts\r\nwith SVCS. METHODS. Materials and methods. 686 lymphoma pts (311 male,\r\n375 female) were included in the prospective study. The pts suffered\r\nfrom Hodgkin's lymphoma (HL) (69 pts) and non-Hodgkin's lymphoma (NHL) (617 pts). In all pts SVCS was diagnosed clinically and was\r\nconfirmed by CT scan or MRI. In pts with confirmed SVCS the central\r\nvenous access was provided by non-tunneled central venous catheters (non-tCVCs) (Certofix DUO 7Fr, BBraun) and totally implantable\r\ncentral venous port system (PowerPort, Bard Access System). The indwelling time, the number of the replaced CVCs and the incidence of complications were analyzed. Statistic: SPSS ver.23 (IBM, Chicago, II., USA). Pearson's chi-squared test and Fisher's exact test were used.\r\nRESULTS. . SVCS was revealed in 70 (10.2%) of 686 lymphoma pts (9 pts with HL and 61 pts with NHL). Among lymphoma pts the frequency of SVCS was highest in pts with primary mediastinal large Bcell lymphoma (PMBCL). SVCS was revealed in 49 (51.6%) of 95 PMBCL pts. In SVCS pts venous access was provided by non-tCVC\r\ninserted in femoral vein (50 pts) and TIVAPS (20 pts) implanted into v. cava inferior through the femoral vein. TIVAPS reservoirs were implanted on the thigh. During lymphoma treatment most pts with non-tCVCs needed repeated catheterizations: median 3 (1-14) CVCs. Among pts with TIVAPS only in 3 pts TIVAPS needed repeated catheterizations; their TIVAPS were removed due to complications. The median indwelling times were 6 (1-129) catheter days for CVCs and\r\n164 (1-280) catheter days for TIVAPS (p&lt;0.05). Incidences of CVC related bloodstream infections (CRBSI) were 2.1/1000 catheter days for\r\nCVCs and 0.1/1000 catheter days for TIVAPS. Incidence of CVC associated thrombosis (CAT) were 4.1/1000 catheter days for CVCs and 0.5/\r\n1000 catheter days for TIVAPS. One patient had infection of the subcutaneous pocket (0.3/1000 catheter days). The reasons for nontCVCs removal were the treatment completion (82.8%) and complications: CRBSI (7.1%), CAT (8.5%), malfunction (1.6%). The reasons for the TIVAPS removal were the treatment completion (85%), CRBSI (5%), infection of the subcutaneous pocket (5%) and CAT (5%). CONCLUSION. SVCS was revealed in 10.2% l…","author":[{"dropping-particle":"","family":"SPIRIN","given":"M.","non-dropping-particle":"","parse-names":false,"suffix":""},{"dropping-particle":"","family":"GALSTYAN","given":"G.","non-dropping-particle":"","parse-names":false,"suffix":""},{"dropping-particle":"","family":"DROKOV","given":"M.","non-dropping-particle":"","parse-names":false,"suffix":""}],"container-title":"INTENSIVE CARE MEDICINE EXPERIMENTAL","id":"ITEM-1","issue":"Suppl. 3:001341","issued":{"date-parts":[["2019"]]},"page":"388-389","title":"Central venous access in lymphoma patients (pts) with superior vena cava syndrome (SVCS)","type":"article-journal","volume":"7"},"uris":["http://www.mendeley.com/documents/?uuid=d4b66f57-5a46-3b0e-bb39-8451d9534a0c","http://www.mendeley.com/documents/?uuid=c29428ae-471c-4ca0-bb6e-1085dbeae434","http://www.mendeley.com/documents/?uuid=34ed67cd-3386-4746-82ca-e1d8edc0179d"]}],"mendeley":{"formattedCitation":"[152]","plainTextFormattedCitation":"[152]","previouslyFormattedCitation":"[152]"},"properties":{"noteIndex":0},"schema":"https://github.com/citation-style-language/schema/raw/master/csl-citation.json"}</w:instrText>
      </w:r>
      <w:r w:rsidRPr="000009BA">
        <w:fldChar w:fldCharType="separate"/>
      </w:r>
      <w:r w:rsidR="006E1902" w:rsidRPr="006E1902">
        <w:rPr>
          <w:noProof/>
        </w:rPr>
        <w:t>[152]</w:t>
      </w:r>
      <w:r w:rsidRPr="000009BA">
        <w:fldChar w:fldCharType="end"/>
      </w:r>
      <w:r w:rsidRPr="000009BA">
        <w:t xml:space="preserve">, высокий риск геморрагического синдрома (врожденные и приобретенные коагулопатии, тромбоцитопения), тромбоза, большая продолжительность лечения. В общей сложности, в надежном сосудистом доступе онкогематологические пациенты нуждаются от нескольких месяцев до года, как в стационарных, так и амбулаторных условиях. Использование с этой целью периферического венозного доступа неприемлемо, поскольку большинство вводимых растворов обладает раздражающим действием (везиканты, ирританты, эксфолианты) и экстравазация таких препаратов в подкожную клетчатку может привести к ее некрозу </w:t>
      </w:r>
      <w:r w:rsidRPr="000009BA">
        <w:fldChar w:fldCharType="begin" w:fldLock="1"/>
      </w:r>
      <w:r w:rsidR="00A6794A">
        <w:instrText>ADDIN CSL_CITATION {"citationItems":[{"id":"ITEM-1","itemData":{"DOI":"10.1007/s12254-016-0304-2","ISSN":"1865-5041","PMID":"28058065","abstract":"In cancer treatment, extravasation is defined as an inadvertent instillation or leakage of cytotoxic drugs into the perivascular space during infusion. As a dreaded complication of chemotherapy, extravasation has gained increasing attention in recent years. Classified according to their subcutaneous toxicity, three types of cytotoxins have been established: vesicants, irritants and nonvesicant drugs. Vesicant cytotoxic drugs may induce tissue damage, ulceration and tissue necrosis. Although we have established measures to manage extravasation emergencies, prevention is of paramount importance. This may be achieved within hospitals through regular training and education, which is best provided by a specialised and experienced task force including all disciplines involved in cancer therapy. Moreover, clinical and translational studies contribute to a better management of chemotherapy-induced extravasation as shown by our group in recent years. We were able to demonstrate that the evaluation of blood flow by indocyanine green angiography in the extravasation area predicts the extent of damage and the need of future surgical intervention. When a Port-a-Cath® extravasation is detected early, a subcutaneous wash-out procedure was found to be beneficial, corroborated by the analytical evaluation of the removed cytotoxic compound epirubicin. In another study, the tissue distribution of platinum was quantified at the anatomic level in cryosections of various tissues. This novel knowledge complements and supports our current efforts to handle extravasations better. On the other hand, a number of new drugs (chemotherapy, monoclonal antibodies, checkpoint inhibitors etc.) with many open issues to reliably classify their tissue toxicity still require our attention.","author":[{"dropping-particle":"","family":"Pluschnig","given":"Ursula","non-dropping-particle":"","parse-names":false,"suffix":""},{"dropping-particle":"","family":"Haslik","given":"Werner","non-dropping-particle":"","parse-names":false,"suffix":""},{"dropping-particle":"","family":"Bartsch","given":"Rupert","non-dropping-particle":"","parse-names":false,"suffix":""},{"dropping-particle":"","family":"Mader","given":"Robert M","non-dropping-particle":"","parse-names":false,"suffix":""}],"container-title":"Memo","id":"ITEM-1","issue":"4","issued":{"date-parts":[["2016"]]},"page":"226-230","publisher":"Springer","title":"Extravasation emergencies: state-of-the-art management and progress in clinical research.","type":"article-journal","volume":"9"},"uris":["http://www.mendeley.com/documents/?uuid=587be6ac-ed25-3be6-bca1-30c719328058","http://www.mendeley.com/documents/?uuid=aed12f5b-d478-4cce-aae2-def10fec8352"]}],"mendeley":{"formattedCitation":"[176]","plainTextFormattedCitation":"[176]","previouslyFormattedCitation":"[176]"},"properties":{"noteIndex":0},"schema":"https://github.com/citation-style-language/schema/raw/master/csl-citation.json"}</w:instrText>
      </w:r>
      <w:r w:rsidRPr="000009BA">
        <w:fldChar w:fldCharType="separate"/>
      </w:r>
      <w:r w:rsidR="006E1902" w:rsidRPr="006E1902">
        <w:rPr>
          <w:noProof/>
        </w:rPr>
        <w:t>[176]</w:t>
      </w:r>
      <w:r w:rsidRPr="000009BA">
        <w:fldChar w:fldCharType="end"/>
      </w:r>
      <w:r w:rsidRPr="000009BA">
        <w:t>. Помимо этого, у многих больных вследствие проводимой ранее химиотерапии нередко отсутствуют доступные периферические вены.</w:t>
      </w:r>
    </w:p>
    <w:p w14:paraId="07B517F7" w14:textId="77777777" w:rsidR="000009BA" w:rsidRPr="000009BA" w:rsidRDefault="000009BA" w:rsidP="00F87A85">
      <w:pPr>
        <w:pStyle w:val="afd"/>
      </w:pPr>
    </w:p>
    <w:p w14:paraId="49651308" w14:textId="77777777" w:rsidR="000009BA" w:rsidRPr="000009BA" w:rsidRDefault="000009BA" w:rsidP="00F87A85">
      <w:pPr>
        <w:pStyle w:val="afd"/>
      </w:pPr>
      <w:r w:rsidRPr="000009BA">
        <w:t>Показания к катетеризации центральных вен.</w:t>
      </w:r>
    </w:p>
    <w:p w14:paraId="4597EB81" w14:textId="77777777" w:rsidR="000009BA" w:rsidRPr="000009BA" w:rsidRDefault="000009BA" w:rsidP="00FE0193">
      <w:pPr>
        <w:pStyle w:val="afd"/>
        <w:numPr>
          <w:ilvl w:val="0"/>
          <w:numId w:val="76"/>
        </w:numPr>
      </w:pPr>
      <w:r w:rsidRPr="000009BA">
        <w:t>ограниченный доступ к периферическим венам,</w:t>
      </w:r>
    </w:p>
    <w:p w14:paraId="70328648" w14:textId="77777777" w:rsidR="000009BA" w:rsidRPr="000009BA" w:rsidRDefault="000009BA" w:rsidP="00FE0193">
      <w:pPr>
        <w:pStyle w:val="afd"/>
        <w:numPr>
          <w:ilvl w:val="0"/>
          <w:numId w:val="76"/>
        </w:numPr>
      </w:pPr>
      <w:r w:rsidRPr="000009BA">
        <w:t>необходимость проведения химиотерапии или парентерального питания, массивная инфузионная терапия,</w:t>
      </w:r>
    </w:p>
    <w:p w14:paraId="5D5670DD" w14:textId="77777777" w:rsidR="000009BA" w:rsidRPr="000009BA" w:rsidRDefault="000009BA" w:rsidP="00FE0193">
      <w:pPr>
        <w:pStyle w:val="afd"/>
        <w:numPr>
          <w:ilvl w:val="0"/>
          <w:numId w:val="76"/>
        </w:numPr>
      </w:pPr>
      <w:r w:rsidRPr="000009BA">
        <w:t>необходимость мониторинга гемодинамики (центральное венозное давление),</w:t>
      </w:r>
    </w:p>
    <w:p w14:paraId="5834C01A" w14:textId="77777777" w:rsidR="000009BA" w:rsidRPr="000009BA" w:rsidRDefault="000009BA" w:rsidP="00FE0193">
      <w:pPr>
        <w:pStyle w:val="afd"/>
        <w:numPr>
          <w:ilvl w:val="0"/>
          <w:numId w:val="76"/>
        </w:numPr>
      </w:pPr>
      <w:r w:rsidRPr="000009BA">
        <w:t>необходимость мониторинга давления в легочной артерии,</w:t>
      </w:r>
    </w:p>
    <w:p w14:paraId="7ABA7BE9" w14:textId="77777777" w:rsidR="000009BA" w:rsidRPr="000009BA" w:rsidRDefault="000009BA" w:rsidP="00FE0193">
      <w:pPr>
        <w:pStyle w:val="afd"/>
        <w:numPr>
          <w:ilvl w:val="0"/>
          <w:numId w:val="76"/>
        </w:numPr>
      </w:pPr>
      <w:r w:rsidRPr="000009BA">
        <w:t>установка кардиостимулятора,</w:t>
      </w:r>
    </w:p>
    <w:p w14:paraId="5F308B02" w14:textId="77777777" w:rsidR="000009BA" w:rsidRPr="000009BA" w:rsidRDefault="000009BA" w:rsidP="00FE0193">
      <w:pPr>
        <w:pStyle w:val="afd"/>
        <w:numPr>
          <w:ilvl w:val="0"/>
          <w:numId w:val="76"/>
        </w:numPr>
      </w:pPr>
      <w:r w:rsidRPr="000009BA">
        <w:t>необходимость проведения заместительной почечной терапии.</w:t>
      </w:r>
    </w:p>
    <w:p w14:paraId="6451C52F" w14:textId="77777777" w:rsidR="000009BA" w:rsidRPr="000009BA" w:rsidRDefault="000009BA" w:rsidP="00F87A85">
      <w:pPr>
        <w:pStyle w:val="afd"/>
      </w:pPr>
    </w:p>
    <w:p w14:paraId="300686C6" w14:textId="77777777" w:rsidR="000009BA" w:rsidRPr="000009BA" w:rsidRDefault="000009BA" w:rsidP="00F87A85">
      <w:pPr>
        <w:pStyle w:val="afd"/>
      </w:pPr>
      <w:r w:rsidRPr="000009BA">
        <w:t>Противопоказания к катетеризации центральных вен</w:t>
      </w:r>
    </w:p>
    <w:p w14:paraId="056D2696" w14:textId="77777777" w:rsidR="000009BA" w:rsidRPr="000009BA" w:rsidRDefault="000009BA" w:rsidP="00FE0193">
      <w:pPr>
        <w:pStyle w:val="afd"/>
        <w:numPr>
          <w:ilvl w:val="0"/>
          <w:numId w:val="77"/>
        </w:numPr>
      </w:pPr>
      <w:r w:rsidRPr="000009BA">
        <w:t>Абсолютные:</w:t>
      </w:r>
    </w:p>
    <w:p w14:paraId="476DF500" w14:textId="77777777" w:rsidR="000009BA" w:rsidRPr="000009BA" w:rsidRDefault="000009BA" w:rsidP="00FE0193">
      <w:pPr>
        <w:pStyle w:val="afd"/>
        <w:numPr>
          <w:ilvl w:val="1"/>
          <w:numId w:val="77"/>
        </w:numPr>
      </w:pPr>
      <w:r w:rsidRPr="000009BA">
        <w:t>воспаление в планируемом месте доступа</w:t>
      </w:r>
    </w:p>
    <w:p w14:paraId="605CD6CB" w14:textId="77777777" w:rsidR="000009BA" w:rsidRPr="000009BA" w:rsidRDefault="000009BA" w:rsidP="00FE0193">
      <w:pPr>
        <w:pStyle w:val="afd"/>
        <w:numPr>
          <w:ilvl w:val="1"/>
          <w:numId w:val="77"/>
        </w:numPr>
      </w:pPr>
      <w:r w:rsidRPr="000009BA">
        <w:t>недавно проведенное оперативное вмешательство в месте доступа</w:t>
      </w:r>
    </w:p>
    <w:p w14:paraId="64A902C2" w14:textId="77777777" w:rsidR="000009BA" w:rsidRPr="000009BA" w:rsidRDefault="000009BA" w:rsidP="00FE0193">
      <w:pPr>
        <w:pStyle w:val="afd"/>
        <w:numPr>
          <w:ilvl w:val="0"/>
          <w:numId w:val="77"/>
        </w:numPr>
      </w:pPr>
      <w:r w:rsidRPr="000009BA">
        <w:t>Относительные</w:t>
      </w:r>
    </w:p>
    <w:p w14:paraId="42DBC496" w14:textId="77777777" w:rsidR="000009BA" w:rsidRPr="000009BA" w:rsidRDefault="000009BA" w:rsidP="00FE0193">
      <w:pPr>
        <w:pStyle w:val="afd"/>
        <w:numPr>
          <w:ilvl w:val="1"/>
          <w:numId w:val="77"/>
        </w:numPr>
      </w:pPr>
      <w:r w:rsidRPr="000009BA">
        <w:lastRenderedPageBreak/>
        <w:t>выраженный геморрагический синдром (вследствие тромбоцитопении, гипофибриногенемии, наследственных или приобретенных коагулопатий).</w:t>
      </w:r>
    </w:p>
    <w:p w14:paraId="04118EDB" w14:textId="77777777" w:rsidR="000009BA" w:rsidRPr="000009BA" w:rsidRDefault="000009BA" w:rsidP="00F87A85">
      <w:pPr>
        <w:pStyle w:val="afd"/>
      </w:pPr>
    </w:p>
    <w:p w14:paraId="30A20B4D" w14:textId="77777777" w:rsidR="000009BA" w:rsidRPr="000009BA" w:rsidRDefault="000009BA" w:rsidP="00F87A85">
      <w:pPr>
        <w:pStyle w:val="afd"/>
      </w:pPr>
      <w:r w:rsidRPr="000009BA">
        <w:t>Тромбоцитопения – одна из самых частых причин геморрагического синдрома. Хотя безопасным уровнем для катетеризации мы считаем количество тромбоцитов крови более 20 х 10</w:t>
      </w:r>
      <w:r w:rsidRPr="00F87A85">
        <w:rPr>
          <w:vertAlign w:val="superscript"/>
        </w:rPr>
        <w:t>9</w:t>
      </w:r>
      <w:r w:rsidRPr="000009BA">
        <w:t>/л, у ряда пациентов достичь этого порогового уровня не удается вследствие различных причин, например, рефрактерность к трансфузиям. В этих случаях катетеризация центральной вены под контролем ультразвука без использования дилататора, может быть безопасной даже при количестве тромбоцитов менее 20 х 10</w:t>
      </w:r>
      <w:r w:rsidRPr="00F87A85">
        <w:rPr>
          <w:vertAlign w:val="superscript"/>
        </w:rPr>
        <w:t>9</w:t>
      </w:r>
      <w:r w:rsidRPr="000009BA">
        <w:t>/л.</w:t>
      </w:r>
    </w:p>
    <w:p w14:paraId="53985519" w14:textId="7703C48F" w:rsidR="000009BA" w:rsidRPr="000009BA" w:rsidRDefault="000009BA" w:rsidP="00F87A85">
      <w:pPr>
        <w:pStyle w:val="afd"/>
      </w:pPr>
      <w:r w:rsidRPr="000009BA">
        <w:t xml:space="preserve">Плазменная концентрация фибриногена ассоциируется с геморрагическими осложнениями при установке ЦВК: она значимо ниже у больных с геморрагическими осложнениями, чем без осложнений </w:t>
      </w:r>
      <w:r w:rsidRPr="000009BA">
        <w:fldChar w:fldCharType="begin" w:fldLock="1"/>
      </w:r>
      <w:r w:rsidR="00A6794A">
        <w:instrText>ADDIN CSL_CITATION {"citationItems":[{"id":"ITEM-1","itemData":{"DOI":"10.1111/j.1537-2995.2011.03147.x","ISSN":"1537-2995","PMID":"21517892","abstract":"BACKGROUND Patients with severe thrombocytopenia are at risk for bleeding during insertion of central venous catheters (CVCs). Although most guidelines recommend preprocedural platelet (PLT) transfusions at a threshold of less than 50 × 10(9) /L, there is only weak evidence supporting such recommendations. STUDY DESIGN AND METHODS The current study aimed to establish a safe PLT transfusion trigger in patients with CVC placements. We performed a retrospective single-center analysis of 604 CVC insertions in 193 patients with acute leukemia receiving intensive chemotherapy or stem cell transplantation. RESULTS A total of 48% of the patients had a bleeding risk during CVC insertions, mostly due to thrombocytopenia. The bleeding incidence was 32% with 96% Grade 1 and 4% Grade 2 bleedings requiring prolonged local compression. There were no Grade 3 to 4 bleedings. Hemoglobin levels were similar before and 24 and 48 hours after the CVC insertion in the bleeding and nonbleeding group and there was no difference in the red blood cell (p = 0.72) and PLT transfusion requirements (p = 0.057) after CVC insertion. In multivariate analysis, only patients with PLT counts of less than 20 × 10(9) /L were at higher risk for bleeding before (p = 0.015) and after preprocedural PLT transfusions (p =0.006) compared to patients with PLT counts of 100 × 10(9) /L or more. CONCLUSION CVC placements can safely be performed in patients with PLT counts of 20 × 10(9) /L or more without preprocedural PLT transfusions.","author":[{"dropping-particle":"","family":"Zeidler","given":"Kristin","non-dropping-particle":"","parse-names":false,"suffix":""},{"dropping-particle":"","family":"Arn","given":"Kornelius","non-dropping-particle":"","parse-names":false,"suffix":""},{"dropping-particle":"","family":"Senn","given":"Oliver","non-dropping-particle":"","parse-names":false,"suffix":""},{"dropping-particle":"","family":"Schanz","given":"Urs","non-dropping-particle":"","parse-names":false,"suffix":""},{"dropping-particle":"","family":"Stussi","given":"Georg","non-dropping-particle":"","parse-names":false,"suffix":""}],"container-title":"Transfusion","id":"ITEM-1","issue":"11","issued":{"date-parts":[["2011","11"]]},"page":"2269-76","title":"Optimal preprocedural platelet transfusion threshold for central venous catheter insertions in patients with thrombocytopenia.","type":"article-journal","volume":"51"},"uris":["http://www.mendeley.com/documents/?uuid=11f6a6da-e80c-4c12-b31e-ce8ac19b442b"]}],"mendeley":{"formattedCitation":"[177]","plainTextFormattedCitation":"[177]","previouslyFormattedCitation":"[177]"},"properties":{"noteIndex":0},"schema":"https://github.com/citation-style-language/schema/raw/master/csl-citation.json"}</w:instrText>
      </w:r>
      <w:r w:rsidRPr="000009BA">
        <w:fldChar w:fldCharType="separate"/>
      </w:r>
      <w:r w:rsidR="006E1902" w:rsidRPr="006E1902">
        <w:rPr>
          <w:noProof/>
        </w:rPr>
        <w:t>[177]</w:t>
      </w:r>
      <w:r w:rsidRPr="000009BA">
        <w:fldChar w:fldCharType="end"/>
      </w:r>
      <w:r w:rsidRPr="000009BA">
        <w:t>.</w:t>
      </w:r>
    </w:p>
    <w:p w14:paraId="16058EE7" w14:textId="77777777" w:rsidR="000009BA" w:rsidRPr="000009BA" w:rsidRDefault="000009BA" w:rsidP="00F87A85">
      <w:pPr>
        <w:pStyle w:val="afd"/>
      </w:pPr>
    </w:p>
    <w:p w14:paraId="6E480031" w14:textId="77777777" w:rsidR="000009BA" w:rsidRPr="00F87A85" w:rsidRDefault="000009BA" w:rsidP="00F87A85">
      <w:pPr>
        <w:pStyle w:val="afd"/>
        <w:rPr>
          <w:b/>
          <w:bCs/>
        </w:rPr>
      </w:pPr>
      <w:r w:rsidRPr="00F87A85">
        <w:rPr>
          <w:b/>
          <w:bCs/>
        </w:rPr>
        <w:t>Типы катетеров</w:t>
      </w:r>
    </w:p>
    <w:p w14:paraId="5B3C548E" w14:textId="77777777" w:rsidR="000009BA" w:rsidRPr="000009BA" w:rsidRDefault="000009BA" w:rsidP="00F87A85">
      <w:pPr>
        <w:pStyle w:val="afd"/>
      </w:pPr>
      <w:r w:rsidRPr="000009BA">
        <w:t xml:space="preserve">ЦВК – это полая трубка, устанавливаемая в одну из центральных вен. ЦВК изготавливаются из различных материалов, имеют разный диаметр. ЦВК могут быть оснащены клапанами на разных концах, или камерой на проксимальном конце, а также иметь один или несколько просветов, для возможности проведения одновременных инфузий несовместимых между собой растворов. </w:t>
      </w:r>
    </w:p>
    <w:p w14:paraId="3484B60F" w14:textId="77777777" w:rsidR="000009BA" w:rsidRPr="00F87A85" w:rsidRDefault="000009BA" w:rsidP="00F87A85">
      <w:pPr>
        <w:pStyle w:val="afd"/>
        <w:rPr>
          <w:i/>
          <w:iCs/>
        </w:rPr>
      </w:pPr>
      <w:r w:rsidRPr="00F87A85">
        <w:rPr>
          <w:i/>
          <w:iCs/>
        </w:rPr>
        <w:t>Нетуннелируемые катетеры</w:t>
      </w:r>
    </w:p>
    <w:p w14:paraId="62493B8F" w14:textId="27F65A84" w:rsidR="000009BA" w:rsidRPr="000009BA" w:rsidRDefault="000009BA" w:rsidP="00F87A85">
      <w:pPr>
        <w:pStyle w:val="afd"/>
      </w:pPr>
      <w:r w:rsidRPr="000009BA">
        <w:t xml:space="preserve">Это полиуретановые устройства длиной от 20 до 30 см и с внешним диаметром до 8 Fr, а в случае с катетером для проведения гемодиализа 12 Fr, которые имплантируются путем чрескожной пункции вены (внутренней ярёмной, подключичной, подмышечной или бедренной вены), с позиционированием дистального конца катетера у кава-атриального соединения. Использование в амбулаторных условиях не рекомендуется, так как риск инфицирования или случайного повреждения/удаления у них выше, по сравнению с другими типами катетеров, вследствие того, что они не туннелированы и удерживаются на месте фиксирующим швом или при помощи устройства бесшовной фиксации на коже у места пункции </w:t>
      </w:r>
      <w:r w:rsidRPr="000009BA">
        <w:fldChar w:fldCharType="begin" w:fldLock="1"/>
      </w:r>
      <w:r w:rsidR="00A6794A">
        <w:instrText>ADDIN CSL_CITATION {"citationItems":[{"id":"ITEM-1","itemData":{"DOI":"10.1590/1677-5449.008216","author":[{"dropping-particle":"","family":"Zerati","given":"A.E.","non-dropping-particle":"","parse-names":false,"suffix":""},{"dropping-particle":"","family":"Wolosker","given":"N","non-dropping-particle":"","parse-names":false,"suffix":""},{"dropping-particle":"","family":"Luccia","given":"N","non-dropping-particle":"de","parse-names":false,"suffix":""},{"dropping-particle":"","family":"Puech-Leão","given":"P.","non-dropping-particle":"","parse-names":false,"suffix":""}],"container-title":"J Vasc Bras.","id":"ITEM-1","issue":"2","issued":{"date-parts":[["2017"]]},"page":"128-139","title":"Totally implantable venous catheters : history , implantation technique and complications.","type":"article-journal","volume":"16"},"uris":["http://www.mendeley.com/documents/?uuid=d029e3cf-7ed7-47d9-8f50-87f7004ddbed","http://www.mendeley.com/documents/?uuid=5353e640-d658-416d-8033-f443a1c37557"]}],"mendeley":{"formattedCitation":"[178]","plainTextFormattedCitation":"[178]","previouslyFormattedCitation":"[178]"},"properties":{"noteIndex":0},"schema":"https://github.com/citation-style-language/schema/raw/master/csl-citation.json"}</w:instrText>
      </w:r>
      <w:r w:rsidRPr="000009BA">
        <w:fldChar w:fldCharType="separate"/>
      </w:r>
      <w:r w:rsidR="006E1902" w:rsidRPr="006E1902">
        <w:rPr>
          <w:noProof/>
        </w:rPr>
        <w:t>[178]</w:t>
      </w:r>
      <w:r w:rsidRPr="000009BA">
        <w:fldChar w:fldCharType="end"/>
      </w:r>
      <w:r w:rsidRPr="000009BA">
        <w:t xml:space="preserve">. Существуют версии катетеров с антимикробными или антисептическими покрытиями. Применение катетеров с покрытием требует дальнейшего изучения, так как не раскрыты вопросы антибиотикорезистентности. </w:t>
      </w:r>
    </w:p>
    <w:p w14:paraId="2E7EBC2F" w14:textId="77777777" w:rsidR="000009BA" w:rsidRPr="00F87A85" w:rsidRDefault="000009BA" w:rsidP="00F87A85">
      <w:pPr>
        <w:pStyle w:val="afd"/>
        <w:rPr>
          <w:i/>
          <w:iCs/>
        </w:rPr>
      </w:pPr>
      <w:r w:rsidRPr="00F87A85">
        <w:rPr>
          <w:i/>
          <w:iCs/>
        </w:rPr>
        <w:t xml:space="preserve">Туннелируемые катетеры </w:t>
      </w:r>
    </w:p>
    <w:p w14:paraId="4F062BBE" w14:textId="6EC3D431" w:rsidR="000009BA" w:rsidRPr="000009BA" w:rsidRDefault="000009BA" w:rsidP="00F87A85">
      <w:pPr>
        <w:pStyle w:val="afd"/>
      </w:pPr>
      <w:r w:rsidRPr="000009BA">
        <w:lastRenderedPageBreak/>
        <w:t xml:space="preserve">Туннелируемые катетеры – это имплантируемые катетеры, у которых при помощи подкожного туннеля разнесены места пункции вены и выхода на кожу. Внутри туннеля катетер имеет манжету, которая, врастая в окружающие ткани, фиксирует катетер в туннеле и препятствует распространению инфекции </w:t>
      </w:r>
      <w:r w:rsidRPr="000009BA">
        <w:fldChar w:fldCharType="begin" w:fldLock="1"/>
      </w:r>
      <w:r w:rsidR="00A6794A">
        <w:instrText>ADDIN CSL_CITATION {"citationItems":[{"id":"ITEM-1","itemData":{"DOI":"10.1016/j.amjsurg.2017.03.021","ISSN":"18791883","PMID":"28364951","abstract":"Background Tunneled central venous catheters (CVC) were developed five decades ago. Since then, several clinician-inventors have created a variety of catheters with different functions. Indeed, many catheters have been named after their inventor. Many have wondered who the inventors were of each catheter, and what specifically inspired their inventions. Many of these compelling stories have yet to be told. Data source A literature review of common catheters and personal communication with inventors. Only first person accounts from inventors or those close to the invention were used. Conclusions CVCs are now essential devices that have saved countless lives. Though the inventors have earned the honor of naming their catheters, it may be reasonable to consider more consistent terminology to describe these catheters to avoid confusion.","author":[{"dropping-particle":"","family":"Gow","given":"Kenneth W.","non-dropping-particle":"","parse-names":false,"suffix":""},{"dropping-particle":"","family":"Tapper","given":"David","non-dropping-particle":"","parse-names":false,"suffix":""},{"dropping-particle":"","family":"Hickman","given":"Robert O.","non-dropping-particle":"","parse-names":false,"suffix":""}],"container-title":"American Journal of Surgery","id":"ITEM-1","issue":"5","issued":{"date-parts":[["2017"]]},"page":"837-848","publisher":"Elsevier Ltd","title":"Between the lines: The 50th anniversary of long-term central venous catheters","type":"article-journal","volume":"213"},"uris":["http://www.mendeley.com/documents/?uuid=161c3217-d679-4fd1-9554-18030d03e6fc","http://www.mendeley.com/documents/?uuid=fd0b87b9-b50a-4553-a221-0efbeb55e54e"]}],"mendeley":{"formattedCitation":"[179]","plainTextFormattedCitation":"[179]","previouslyFormattedCitation":"[179]"},"properties":{"noteIndex":0},"schema":"https://github.com/citation-style-language/schema/raw/master/csl-citation.json"}</w:instrText>
      </w:r>
      <w:r w:rsidRPr="000009BA">
        <w:fldChar w:fldCharType="separate"/>
      </w:r>
      <w:r w:rsidR="006E1902" w:rsidRPr="006E1902">
        <w:rPr>
          <w:noProof/>
        </w:rPr>
        <w:t>[179]</w:t>
      </w:r>
      <w:r w:rsidRPr="000009BA">
        <w:fldChar w:fldCharType="end"/>
      </w:r>
      <w:r w:rsidRPr="000009BA">
        <w:t xml:space="preserve">. </w:t>
      </w:r>
    </w:p>
    <w:p w14:paraId="3AC8FB9B" w14:textId="45CFA14E" w:rsidR="000009BA" w:rsidRPr="000009BA" w:rsidRDefault="000009BA" w:rsidP="00F87A85">
      <w:pPr>
        <w:pStyle w:val="afd"/>
      </w:pPr>
      <w:r w:rsidRPr="000009BA">
        <w:t xml:space="preserve">Туннелируемый тип катетера предпочтительнее нетуннелируемого, особенно при необходимости проведения массивной инфузионной терапии в течение более 3 недель, особенно у онкогематологических пациентов </w:t>
      </w:r>
      <w:r w:rsidRPr="000009BA">
        <w:fldChar w:fldCharType="begin" w:fldLock="1"/>
      </w:r>
      <w:r w:rsidR="00A6794A">
        <w:instrText>ADDIN CSL_CITATION {"citationItems":[{"id":"ITEM-1","itemData":{"DOI":"10.4274/tjh.2013.0278","ISSN":"1300-7777","PMID":"25805675","abstract":"OBJECTIVE Haematopoietic stem cell recipients need central venous catheters (CVCs) for easy administration of intravenous fluid, medications, apheresis, or dialysis procedures. However, CVCs may lead to infectious or non-infectious complications such as thrombosis. The effect of these complications on transplantation outcome is not clear. This manuscript presents the complication rates of double-lumen tunnelled CVCs and their effect on transplantation outcome. MATERIALS AND METHODS Data from 111 consecutive patients, of whom 75 received autologous and 36 received allogeneic peripheral blood stem cell transplantations, were collected retrospectively. The data were validated by the Record Inspection Group of the related JACIE-accredited transplantation centre. RESULTS Thrombosis developed in 2.7% of recipients (0.9 per 1000 catheter days). Catheter-related infection was identified in 14 (12.6%) patients (3.6 per 1000 catheter days). Coagulase-negative Staphylococcus was the most common causative agent. Engraftment time, rate of 100-day mortality, and development of grade II-IV graft-versus-host disease were not found to be associated with catheter-related complications. CONCLUSION These results indicate that adverse events related with tunnelled CVCs are manageable and have no negative effects on transplant outcome. Amaç: Hematopoetik kök hücre nakli alıcıları damar içi mayi, ilaç, aferez ve diyaliz işlemleri için santral venöz kateterlere (SVK) ihtiyaç duyarlar. Ancak SVK’ların enfeksiyöz ve tromboz gibi enfeksiyöz olmayan komplikasyonları vardır. Bu komplikasyonların nakil sürecine etkisi net değildir. Bu çalışma ile çift lümen tünelli santral kateter komplikasyonlarının sıklığı ve nakil sürecine etkisi araştırılmıştır. Gereç ve Yöntemler: Geriye dönük olarak 75 otolog ve 39 allojeneik periferik kök hücre nakli uygulanan toplam 111 hastanın verileri toparlandı. Verilerin doğruluğu JACIE akredite merkezimizin kayıt denetleme grubu tarafından kontrol edildi. Bulgular: Olguların %2,7’sinde tromboz gelişti (1000 kateter gününde 0,9). Hastaların 14’ünde (%12,6) kateter ilişkili enfeksiyon tesbit edildi (1000 kateter gününde 3,6). Koagulaz negatif Stafilokoklar en sık etken idi. Kateter ilişkili komplikasyonlar ile engrafman zamanı, evre II-IV graft versus host hastalığı ve 100 günlük mortalite arasında bir ilişki saptanmadı. Sonuç: Sonuçlarımız nakil hastalarında tünelli SVK komplikasyonlarının yönetilebilir olduğunu ve bu komplikasyonların nakil üzerine olu…","author":[{"dropping-particle":"","family":"Yeral","given":"Mahmut","non-dropping-particle":"","parse-names":false,"suffix":""},{"dropping-particle":"","family":"Boğa","given":"Can","non-dropping-particle":"","parse-names":false,"suffix":""},{"dropping-particle":"","family":"Oğuzkurt","given":"Levent","non-dropping-particle":"","parse-names":false,"suffix":""},{"dropping-particle":"","family":"Alışkan","given":"Hikmet Eda","non-dropping-particle":"","parse-names":false,"suffix":""},{"dropping-particle":"","family":"Özdoğu","given":"Hakan","non-dropping-particle":"","parse-names":false,"suffix":""},{"dropping-particle":"","family":"Demiroğlu","given":"Yusuf Ziya","non-dropping-particle":"","parse-names":false,"suffix":""}],"container-title":"Turkish journal of haematology : official journal of Turkish Society of Haematology","id":"ITEM-1","issue":"1","issued":{"date-parts":[["2015","3"]]},"page":"51-7","publisher":"Galenos Yayinevi","title":"Tunnelled central venous catheter-related problems in the early phase of haematopoietic stem cell transplantation and effects on transplant outcome.","type":"article-journal","volume":"32"},"uris":["http://www.mendeley.com/documents/?uuid=2bc92935-3e96-3617-9553-d5dd4c0694cf","http://www.mendeley.com/documents/?uuid=af150765-c543-48ae-8459-7ae0c47be16e"]}],"mendeley":{"formattedCitation":"[180]","plainTextFormattedCitation":"[180]","previouslyFormattedCitation":"[180]"},"properties":{"noteIndex":0},"schema":"https://github.com/citation-style-language/schema/raw/master/csl-citation.json"}</w:instrText>
      </w:r>
      <w:r w:rsidRPr="000009BA">
        <w:fldChar w:fldCharType="separate"/>
      </w:r>
      <w:r w:rsidR="006E1902" w:rsidRPr="006E1902">
        <w:rPr>
          <w:noProof/>
        </w:rPr>
        <w:t>[180]</w:t>
      </w:r>
      <w:r w:rsidRPr="000009BA">
        <w:fldChar w:fldCharType="end"/>
      </w:r>
      <w:r w:rsidRPr="000009BA">
        <w:t xml:space="preserve">. </w:t>
      </w:r>
    </w:p>
    <w:p w14:paraId="4B692C25" w14:textId="77777777" w:rsidR="000009BA" w:rsidRPr="00F87A85" w:rsidRDefault="000009BA" w:rsidP="00F87A85">
      <w:pPr>
        <w:pStyle w:val="afd"/>
        <w:rPr>
          <w:i/>
          <w:iCs/>
        </w:rPr>
      </w:pPr>
      <w:r w:rsidRPr="00F87A85">
        <w:rPr>
          <w:i/>
          <w:iCs/>
        </w:rPr>
        <w:t xml:space="preserve">Порт-системы </w:t>
      </w:r>
    </w:p>
    <w:p w14:paraId="1CCF622F" w14:textId="1510A973" w:rsidR="000009BA" w:rsidRPr="000009BA" w:rsidRDefault="000009BA" w:rsidP="00F87A85">
      <w:pPr>
        <w:pStyle w:val="afd"/>
      </w:pPr>
      <w:r w:rsidRPr="000009BA">
        <w:t xml:space="preserve">Полностью имплантируемые венозные устройства доступа используются для обеспечения долгосрочного центрального венозного доступа при проведении химиотерапии, парентерального питания, обеспечения возможности профилактического введения фактора свёртывания при наследственных коагулопатиях, например, гемофилии. Порт-системы полностью скрыты от внешней среды под кожей, их наличие никак не влияет на физическую активность пациентов и считается, что порт-система – это наименее подверженный инфицированию тип ЦВК </w:t>
      </w:r>
      <w:r w:rsidRPr="000009BA">
        <w:fldChar w:fldCharType="begin" w:fldLock="1"/>
      </w:r>
      <w:r w:rsidR="00A6794A">
        <w:instrText>ADDIN CSL_CITATION {"citationItems":[{"id":"ITEM-1","itemData":{"DOI":"10.4065/81.9.1159","ISSN":"00256196","abstract":"&lt;h3&gt;OBJECTIVE&lt;/h3&gt;&lt;p&gt;To better understand the absolute and relative risks of bloodstream infection (BSI) associated with the various types of intravascular devices (IVDs), we analyzed 200 published studies of adults in which every device in the study population was prospectively evaluated for evidence of associated infection and microbiologically based criteria were used to define IVD-related BSI.&lt;/p&gt;&lt;h3&gt;METHODS&lt;/h3&gt;&lt;p&gt;English-language reports of prospective studies of adults published between January 1, 1966, and July 1, 2005, were identified by MEDLINE search using the following general search strategy: bacteremia [Medical Subject Heading, MeSH] OR septicemia [MeSH] OR bloodstream infection AND the specific type of intravascular device (eg, central venous port). Mean rates of IVD-related BSI were calculated from pooled data for each type of device and expressed as BSIs per 100 IVDs (%) and per 1000 IVD days.&lt;/p&gt;&lt;h3&gt;RESULTS&lt;/h3&gt;&lt;p&gt;Point incidence rates of IVD-related BSI were lowest with peripheral intravenous catheters (0.1%, 0.5 per 1000 IVD-days) and midline catheters (0.4%, 0.2 per 1000 catheter-days). Far higher rates were seen with short-term noncuffed and nonmedicated central venous catheters (CVCs) (4.4%, 2.7 per 1000 catheter-days). Arterial catheters used for hemodynamic monitoring (0.8%, 1.7 per 1000 catheter-days) and peripherally inserted central catheters used in hospitalized patients (2.4%, 2.1 per 1000 catheter-days) posed risks approaching those seen with short-term conventional CVCs used in the intensive care unit. Surgically implanted long-term central venous devices—cuffed and tunneled catheters (22.5%, 1.6 per 1000 IVD-days) and central venous ports (3.6%, 0.1 per 1000 IVD-days)—appear to have high rates of infection when risk is expressed as BSIs per 100 IVDs but actually pose much lower risk when rates are expressed per 1000 IVD-days. The use of cuffed and tunneled dual lumen CVCs rather than noncuffed, nontunneled catheters for temporary hemodialysis and novel preventive technologies, such as CVCs with anti-infective surfaces, was associated with considerably lower rates of catheter-related BSI.&lt;/p&gt;&lt;h3&gt;CONCLUSIONS&lt;/h3&gt;&lt;p&gt;Expressing risk of IVD-related BSI per 1000 IVD-days rather than BSIs per 100 IVDs allows for more meaningful estimates of risk. These data, based on prospective studies in which every IVD in the study cohort was analyzed for evidence of infection by microbiologically based criteria, show that &lt;i&gt;all&lt;/i&gt; types o…","author":[{"dropping-particle":"","family":"Maki","given":"Dennis G.","non-dropping-particle":"","parse-names":false,"suffix":""},{"dropping-particle":"","family":"Kluger","given":"Daniel M.","non-dropping-particle":"","parse-names":false,"suffix":""},{"dropping-particle":"","family":"Crnich","given":"Christopher J.","non-dropping-particle":"","parse-names":false,"suffix":""}],"container-title":"Mayo Clinic Proceedings","id":"ITEM-1","issue":"9","issued":{"date-parts":[["2006","9"]]},"page":"1159-1171","publisher":"Elsevier","title":"The Risk of Bloodstream Infection in Adults With Different Intravascular Devices: A Systematic Review of 200 Published Prospective Studies","type":"article-journal","volume":"81"},"uris":["http://www.mendeley.com/documents/?uuid=f5c4baf8-7e14-301a-815e-3dfe468d40e4","http://www.mendeley.com/documents/?uuid=3cd9be52-e3e0-46b8-abdf-c9f0acf4135d"]}],"mendeley":{"formattedCitation":"[181]","plainTextFormattedCitation":"[181]","previouslyFormattedCitation":"[181]"},"properties":{"noteIndex":0},"schema":"https://github.com/citation-style-language/schema/raw/master/csl-citation.json"}</w:instrText>
      </w:r>
      <w:r w:rsidRPr="000009BA">
        <w:fldChar w:fldCharType="separate"/>
      </w:r>
      <w:r w:rsidR="006E1902" w:rsidRPr="006E1902">
        <w:rPr>
          <w:noProof/>
        </w:rPr>
        <w:t>[181]</w:t>
      </w:r>
      <w:r w:rsidRPr="000009BA">
        <w:fldChar w:fldCharType="end"/>
      </w:r>
      <w:r w:rsidRPr="000009BA">
        <w:t xml:space="preserve">. </w:t>
      </w:r>
    </w:p>
    <w:p w14:paraId="5AF65746" w14:textId="77777777" w:rsidR="000009BA" w:rsidRPr="000009BA" w:rsidRDefault="000009BA" w:rsidP="00F87A85">
      <w:pPr>
        <w:pStyle w:val="afd"/>
      </w:pPr>
      <w:r w:rsidRPr="000009BA">
        <w:t xml:space="preserve">В настоящее время существует множество модификаций порт-систем, в т.ч. МРТ совместимые модификации и изделия, обладающие высокой пропускной способностью, позволяющие проводить введение контрастных веществ с использованием автоматических устройств. </w:t>
      </w:r>
    </w:p>
    <w:p w14:paraId="377F0D18" w14:textId="77777777" w:rsidR="000009BA" w:rsidRPr="00F87A85" w:rsidRDefault="000009BA" w:rsidP="00F87A85">
      <w:pPr>
        <w:pStyle w:val="afd"/>
        <w:rPr>
          <w:i/>
          <w:iCs/>
        </w:rPr>
      </w:pPr>
      <w:r w:rsidRPr="00F87A85">
        <w:rPr>
          <w:i/>
          <w:iCs/>
        </w:rPr>
        <w:t>Периферически имплантируемые центральные венозные катетеры.</w:t>
      </w:r>
    </w:p>
    <w:p w14:paraId="20262471" w14:textId="74ACB2A8" w:rsidR="000009BA" w:rsidRPr="000009BA" w:rsidRDefault="000009BA" w:rsidP="00F87A85">
      <w:pPr>
        <w:pStyle w:val="afd"/>
      </w:pPr>
      <w:r w:rsidRPr="000009BA">
        <w:t xml:space="preserve">Периферически имплантируемые центральные венозные катетеры (ПИЦВК) – это катетеры для долговременного центрального венозного доступа, которые устанавливают через одну из периферических вен руки в центральную вену. ПИЦВК изготавливаются из силикона или полиуретана, они могут быть одно-, двух- и трехпросветными, их диаметр различный, от 3 Fr до 7 Fr. ПИЦВК используют для проведения терапии (химиотерапия, гемостатическая терапия и т.д.), в среднем, от 6 мес. до 1 года и рассматривают как вариант центрального венозного доступа, который может использоваться как в стационарных, так и в амбулаторных условиях, как ежедневно, так и периодически, обеспечивая пациенту безопасность и комфорт </w:t>
      </w:r>
      <w:r w:rsidRPr="000009BA">
        <w:fldChar w:fldCharType="begin" w:fldLock="1"/>
      </w:r>
      <w:r w:rsidR="00A6794A">
        <w:instrText>ADDIN CSL_CITATION {"citationItems":[{"id":"ITEM-1","itemData":{"DOI":"10.1002/9780470750186","ISBN":"9780470750186","author":[{"dropping-particle":"","family":"Hamilton","given":"Helen","non-dropping-particle":"","parse-names":false,"suffix":""}],"editor":[{"dropping-particle":"","family":"Bodenham","given":"Andrew R.","non-dropping-particle":"","parse-names":false,"suffix":""}],"id":"ITEM-1","issued":{"date-parts":[["2009","2"]]},"publisher":"Wiley-Blackwell","publisher-place":"Oxford, UK","title":"Central Venous Catheters","type":"book"},"uris":["http://www.mendeley.com/documents/?uuid=e2be4192-4b13-32c7-ac3a-c1ee92dec830","http://www.mendeley.com/documents/?uuid=e9419574-fa82-44c8-8d1a-190e223d334b"]},{"id":"ITEM-2","itemData":{"DOI":"10.1007/978-88-470-5665-7_1","author":[{"dropping-particle":"","family":"Biffi","given":"Roberto","non-dropping-particle":"","parse-names":false,"suffix":""}],"container-title":"Peripherally Inserted Central Venous Catheters","id":"ITEM-2","issued":{"date-parts":[["2014"]]},"page":"1-6","publisher":"Springer Milan","publisher-place":"Milano","title":"Introduction and Overview of PICC History","type":"chapter"},"uris":["http://www.mendeley.com/documents/?uuid=7dba9d59-13c1-354f-9c32-ced4c0b75a01","http://www.mendeley.com/documents/?uuid=575e509f-3cbc-47da-b3dc-996cea404095"]}],"mendeley":{"formattedCitation":"[182,183]","plainTextFormattedCitation":"[182,183]","previouslyFormattedCitation":"[182,183]"},"properties":{"noteIndex":0},"schema":"https://github.com/citation-style-language/schema/raw/master/csl-citation.json"}</w:instrText>
      </w:r>
      <w:r w:rsidRPr="000009BA">
        <w:fldChar w:fldCharType="separate"/>
      </w:r>
      <w:r w:rsidR="006E1902" w:rsidRPr="006E1902">
        <w:rPr>
          <w:noProof/>
        </w:rPr>
        <w:t>[182,183]</w:t>
      </w:r>
      <w:r w:rsidRPr="000009BA">
        <w:fldChar w:fldCharType="end"/>
      </w:r>
      <w:r w:rsidRPr="000009BA">
        <w:t>. ПИЦВК имеют ряд преимуществ перед обычными ЦВК. При их установке исключен риск пневмоторакса и гемоторакса, пациенты отмечают больший комфорт, иногда предпочитают по косметическим причинам. Важным преимуществом ПИЦВК является и меньшее количество инфекционных осложнений. ПИЦВК практически незаменимы при наличии выраженного геморрагического синдрома.</w:t>
      </w:r>
    </w:p>
    <w:p w14:paraId="7250CAE7" w14:textId="77777777" w:rsidR="000009BA" w:rsidRPr="00F87A85" w:rsidRDefault="000009BA" w:rsidP="00F87A85">
      <w:pPr>
        <w:pStyle w:val="afd"/>
        <w:rPr>
          <w:i/>
          <w:iCs/>
        </w:rPr>
      </w:pPr>
      <w:r w:rsidRPr="00F87A85">
        <w:rPr>
          <w:i/>
          <w:iCs/>
        </w:rPr>
        <w:lastRenderedPageBreak/>
        <w:t>Диализные катетеры.</w:t>
      </w:r>
    </w:p>
    <w:p w14:paraId="2085078A" w14:textId="77777777" w:rsidR="000009BA" w:rsidRPr="000009BA" w:rsidRDefault="000009BA" w:rsidP="00F87A85">
      <w:pPr>
        <w:pStyle w:val="afd"/>
      </w:pPr>
      <w:r w:rsidRPr="000009BA">
        <w:t>Отдельное место занимают так называемые диализные катетеры, то есть катетеры, которые используются для проведения заместительной почечной терапии, а также процедур плазмафереза и лейкоцитафереза, сбора гемопоэтических стволовых клеток. Связано это с большим диаметром катетера, а также особенностями строения дистального конца катетера. Они устанавливаются на время формирования (“созревания”) фистулы или протеза у больных с хронической почечной недостаточностью, нуждающихся в программном гемодиализе или в качестве единственного сосудистого доступа при наличии тяжелой сердечной недостаточности.</w:t>
      </w:r>
    </w:p>
    <w:p w14:paraId="0F01F2BA" w14:textId="77777777" w:rsidR="00F87A85" w:rsidRDefault="00F87A85" w:rsidP="00F87A85">
      <w:pPr>
        <w:pStyle w:val="afd"/>
      </w:pPr>
    </w:p>
    <w:p w14:paraId="2A7F0A48" w14:textId="62C73325" w:rsidR="000009BA" w:rsidRPr="00F87A85" w:rsidRDefault="000009BA" w:rsidP="00F87A85">
      <w:pPr>
        <w:pStyle w:val="afd"/>
        <w:rPr>
          <w:b/>
          <w:bCs/>
        </w:rPr>
      </w:pPr>
      <w:r w:rsidRPr="00F87A85">
        <w:rPr>
          <w:b/>
          <w:bCs/>
        </w:rPr>
        <w:t>Осложнения катетеризации центральных вен</w:t>
      </w:r>
    </w:p>
    <w:p w14:paraId="66BA3B21" w14:textId="77777777" w:rsidR="000009BA" w:rsidRPr="000009BA" w:rsidRDefault="000009BA" w:rsidP="00F87A85">
      <w:pPr>
        <w:pStyle w:val="afd"/>
      </w:pPr>
      <w:r w:rsidRPr="000009BA">
        <w:t>К ранним осложнениям относят возникшие во время проведения манипуляции:</w:t>
      </w:r>
    </w:p>
    <w:p w14:paraId="117B4C10" w14:textId="77777777" w:rsidR="000009BA" w:rsidRPr="000009BA" w:rsidRDefault="000009BA" w:rsidP="00FE0193">
      <w:pPr>
        <w:pStyle w:val="afd"/>
        <w:numPr>
          <w:ilvl w:val="0"/>
          <w:numId w:val="78"/>
        </w:numPr>
      </w:pPr>
      <w:r w:rsidRPr="000009BA">
        <w:t xml:space="preserve">ранение магистральных артерий, </w:t>
      </w:r>
    </w:p>
    <w:p w14:paraId="4221CAF1" w14:textId="77777777" w:rsidR="000009BA" w:rsidRPr="000009BA" w:rsidRDefault="000009BA" w:rsidP="00FE0193">
      <w:pPr>
        <w:pStyle w:val="afd"/>
        <w:numPr>
          <w:ilvl w:val="0"/>
          <w:numId w:val="78"/>
        </w:numPr>
      </w:pPr>
      <w:r w:rsidRPr="000009BA">
        <w:t>развитие гематомы в месте пункции сосуда</w:t>
      </w:r>
    </w:p>
    <w:p w14:paraId="2573642E" w14:textId="77777777" w:rsidR="000009BA" w:rsidRPr="000009BA" w:rsidRDefault="000009BA" w:rsidP="00FE0193">
      <w:pPr>
        <w:pStyle w:val="afd"/>
        <w:numPr>
          <w:ilvl w:val="0"/>
          <w:numId w:val="78"/>
        </w:numPr>
      </w:pPr>
      <w:r w:rsidRPr="000009BA">
        <w:t xml:space="preserve">развитие пневмоторакса, гемоторакса, </w:t>
      </w:r>
    </w:p>
    <w:p w14:paraId="56D71060" w14:textId="77777777" w:rsidR="000009BA" w:rsidRPr="000009BA" w:rsidRDefault="000009BA" w:rsidP="00FE0193">
      <w:pPr>
        <w:pStyle w:val="afd"/>
        <w:numPr>
          <w:ilvl w:val="0"/>
          <w:numId w:val="78"/>
        </w:numPr>
      </w:pPr>
      <w:r w:rsidRPr="000009BA">
        <w:t xml:space="preserve">ранение грудного лимфатического протока, </w:t>
      </w:r>
    </w:p>
    <w:p w14:paraId="139C20A6" w14:textId="77777777" w:rsidR="000009BA" w:rsidRPr="000009BA" w:rsidRDefault="000009BA" w:rsidP="00FE0193">
      <w:pPr>
        <w:pStyle w:val="afd"/>
        <w:numPr>
          <w:ilvl w:val="0"/>
          <w:numId w:val="78"/>
        </w:numPr>
      </w:pPr>
      <w:r w:rsidRPr="000009BA">
        <w:t xml:space="preserve">повреждение нервных сплетений, </w:t>
      </w:r>
    </w:p>
    <w:p w14:paraId="679D37C0" w14:textId="77777777" w:rsidR="000009BA" w:rsidRPr="000009BA" w:rsidRDefault="000009BA" w:rsidP="00FE0193">
      <w:pPr>
        <w:pStyle w:val="afd"/>
        <w:numPr>
          <w:ilvl w:val="0"/>
          <w:numId w:val="78"/>
        </w:numPr>
      </w:pPr>
      <w:r w:rsidRPr="000009BA">
        <w:t>неправильная установка катетера</w:t>
      </w:r>
    </w:p>
    <w:p w14:paraId="1570AA7A" w14:textId="77777777" w:rsidR="000009BA" w:rsidRPr="000009BA" w:rsidRDefault="000009BA" w:rsidP="00F87A85">
      <w:pPr>
        <w:pStyle w:val="afd"/>
      </w:pPr>
      <w:r w:rsidRPr="000009BA">
        <w:t>Поздние осложнения, возникающие во время или после эксплуатации катетера, бывают тромботическими, стенотическими и инфекционными.</w:t>
      </w:r>
    </w:p>
    <w:p w14:paraId="1E48C91D" w14:textId="77777777" w:rsidR="000009BA" w:rsidRPr="000009BA" w:rsidRDefault="000009BA" w:rsidP="00F87A85">
      <w:pPr>
        <w:pStyle w:val="afd"/>
      </w:pPr>
      <w:r w:rsidRPr="000009BA">
        <w:t xml:space="preserve">Под катетер-ассоциированным тромбозом (КАТ) понимают сочетание клинических и инструментальных признаков тромбоза. </w:t>
      </w:r>
    </w:p>
    <w:p w14:paraId="69581940" w14:textId="77777777" w:rsidR="000009BA" w:rsidRPr="000009BA" w:rsidRDefault="000009BA" w:rsidP="00F87A85">
      <w:pPr>
        <w:pStyle w:val="afd"/>
      </w:pPr>
      <w:r w:rsidRPr="000009BA">
        <w:t xml:space="preserve">Клинические признаки: гиперемия кожи, отек подкожной клетчатки и боль, усиление подкожного сосудистого рисунка на стороне установки катетера, нарушение проходимости катетера, истечение жидкости по каналу катетера при проведении инфузии. </w:t>
      </w:r>
    </w:p>
    <w:p w14:paraId="73CDA388" w14:textId="77777777" w:rsidR="000009BA" w:rsidRPr="000009BA" w:rsidRDefault="000009BA" w:rsidP="00F87A85">
      <w:pPr>
        <w:pStyle w:val="afd"/>
      </w:pPr>
      <w:r w:rsidRPr="000009BA">
        <w:t>Инструментальные признаки: выявление при УЗИ гиперэхогенного образования в месте установки катетера, полностью или частично перекрывающего просвет сосуда, препятствующее смыканию стенок вен при компрессии датчиком, полное или частичное отсутствие кровотока при УЗИ в допплеровском режиме, появление турбулентного тока крови; дефекты контрастирования сосудов при КТ-ангиографии или прямой ангиографии.</w:t>
      </w:r>
    </w:p>
    <w:p w14:paraId="33079F34" w14:textId="77777777" w:rsidR="000009BA" w:rsidRPr="000009BA" w:rsidRDefault="000009BA" w:rsidP="00F87A85">
      <w:pPr>
        <w:pStyle w:val="afd"/>
      </w:pPr>
      <w:r w:rsidRPr="000009BA">
        <w:lastRenderedPageBreak/>
        <w:t xml:space="preserve">Тромботические осложнения, ассоциированные с ЦВК, можно разделить на три вида: </w:t>
      </w:r>
    </w:p>
    <w:p w14:paraId="46735F0A" w14:textId="77777777" w:rsidR="000009BA" w:rsidRPr="000009BA" w:rsidRDefault="000009BA" w:rsidP="00FE0193">
      <w:pPr>
        <w:pStyle w:val="afd"/>
        <w:numPr>
          <w:ilvl w:val="0"/>
          <w:numId w:val="79"/>
        </w:numPr>
      </w:pPr>
      <w:r w:rsidRPr="000009BA">
        <w:t xml:space="preserve">«фибриновый чехол», </w:t>
      </w:r>
    </w:p>
    <w:p w14:paraId="5311D19B" w14:textId="77777777" w:rsidR="000009BA" w:rsidRPr="000009BA" w:rsidRDefault="000009BA" w:rsidP="00FE0193">
      <w:pPr>
        <w:pStyle w:val="afd"/>
        <w:numPr>
          <w:ilvl w:val="0"/>
          <w:numId w:val="79"/>
        </w:numPr>
      </w:pPr>
      <w:r w:rsidRPr="000009BA">
        <w:t>обструкция катетера</w:t>
      </w:r>
    </w:p>
    <w:p w14:paraId="6DA31261" w14:textId="77777777" w:rsidR="000009BA" w:rsidRPr="000009BA" w:rsidRDefault="000009BA" w:rsidP="00FE0193">
      <w:pPr>
        <w:pStyle w:val="afd"/>
        <w:numPr>
          <w:ilvl w:val="0"/>
          <w:numId w:val="79"/>
        </w:numPr>
      </w:pPr>
      <w:r w:rsidRPr="000009BA">
        <w:t>пристеночный или обтурирующий внутрисосудистый тромбоз.</w:t>
      </w:r>
    </w:p>
    <w:p w14:paraId="240502BC" w14:textId="1056CDAC" w:rsidR="000009BA" w:rsidRPr="000009BA" w:rsidRDefault="000009BA" w:rsidP="00F87A85">
      <w:pPr>
        <w:pStyle w:val="afd"/>
      </w:pPr>
      <w:r w:rsidRPr="000009BA">
        <w:t xml:space="preserve">Бессимптомные КАТ более распространены, но их клиническое значение не ясно. Частота выявления КАТ колеблется, по разным данным, от 5% до 12-14% </w:t>
      </w:r>
      <w:r w:rsidRPr="000009BA">
        <w:fldChar w:fldCharType="begin" w:fldLock="1"/>
      </w:r>
      <w:r w:rsidR="00A6794A">
        <w:instrText>ADDIN CSL_CITATION {"citationItems":[{"id":"ITEM-1","itemData":{"ISSN":"1540-1405","PMID":"17020667","abstract":"Symptomatic thromboembolic complications of central venous catheters (CVCs) occur in 5% or less of general oncology patients. Asymptomatic CVC-related thrombi are more common, but their clinical significance is unclear. Thrombotic risk may be increased by primary thrombophilic disorders, especially the factor V G1691A (Leiden) mutation, thrombogenic catheter material, larger catheter diameter and greater number of lumens, catheter tip malposition, left-sided placement, percutaneous or multiple insertion attempts, a previous CVC or preexisting venous obstruction, prothrombotic therapeutic agents, catheter-associated infections, and fibrinous catheter lumen occlusion. Three recent randomized, prospective, placebo-controlled trials observed no benefit of routine low-dose warfarin or low-molecular-weight heparin in preventing catheter-associated thrombosis. Nevertheless, thromboprophylaxis may be appropriate and safe for selected high-risk patients. Duplex ultrasound can accurately detect CVC-related thrombi involving the jugular, axillary, distal subclavian, and arm veins. Contrast venographic imaging is required for indeterminate duplex findings and to evaluate the deep central veins and pulmonary arteries. Therapeutic anticoagulation, with or without catheter removal, is indicated for patients with acute deep vein thrombosis (DVT) or pulmonary embolism who have no contraindications. Catheter removal alone, with close follow-up, may be sufficient when bleeding risk precludes safe anticoagulation. Approaches to managing catheter-associated thrombosis, including the use of thrombolytic agents, are guided by limited published experience and extrapolation from practices used for lower-extremity DVT. Prospective, randomized, controlled trials are needed to identify the safest and most effective anticoagulant agents, treatment durations, and alternative venous access strategies for cancer patients who develop catheter-associated thrombosis.","author":[{"dropping-particle":"","family":"Linenberger","given":"Michael L","non-dropping-particle":"","parse-names":false,"suffix":""}],"container-title":"Journal of the National Comprehensive Cancer Network : JNCCN","id":"ITEM-1","issue":"9","issued":{"date-parts":[["2006","10"]]},"page":"889-901","title":"Catheter-related thrombosis: risks, diagnosis, and management.","type":"article-journal","volume":"4"},"uris":["http://www.mendeley.com/documents/?uuid=fd996227-febf-46f9-8b4a-37c976acd280"]},{"id":"ITEM-2","itemData":{"DOI":"10.1111/j.1538-7836.2012.04817.x","abstract":"Central venous catheters are extensively used in patients with cancer to secure delivery of chemotherapy and facilitate phlebotomy. Unfortunately, considerable morbidity can result from early complications or late sequelae, ranging from arterial puncture, pneumothorax and bloodstream infections to catheter-related thrombosis (CRT). Contempo-rary studies have shown that the incidence of symptomatic CRT is 5%, whereas the incidence of asymptomatic CRT is higher, at 14–18%. The significance and mechanisms of catheter design, material, insertion location and technique, position of the catheter tip and other risk factors in contributing to the development of CRT are not well understood. Efforts to reduce thrombotic complications, involving flushing the catheter with heparinized solutions, the use of heparin-bonded catheters, and systemic anticoag-ulant prophylaxis, have been largely ineffective. More studies are needed to understand the pathophysiology of thrombotic complications, to help identify effective interventions to reduce this adverse outcome.","author":[{"dropping-particle":"","family":"Lee","given":"A.Y.Y.","non-dropping-particle":"","parse-names":false,"suffix":""},{"dropping-particle":"","family":"Kamphuisen","given":"P.W.","non-dropping-particle":"","parse-names":false,"suffix":""}],"container-title":"Journal of Thrombosis and Haemostasis","id":"ITEM-2","issue":"10","issued":{"date-parts":[["2012"]]},"page":"1491-1499","title":"Epidemiology and prevention of catheter-related thrombosis in patients with cancer","type":"article-journal"},"uris":["http://www.mendeley.com/documents/?uuid=2f9bf3d1-5851-4e76-89ac-5c3d038d67a9"]}],"mendeley":{"formattedCitation":"[184,185]","plainTextFormattedCitation":"[184,185]","previouslyFormattedCitation":"[184,185]"},"properties":{"noteIndex":0},"schema":"https://github.com/citation-style-language/schema/raw/master/csl-citation.json"}</w:instrText>
      </w:r>
      <w:r w:rsidRPr="000009BA">
        <w:fldChar w:fldCharType="separate"/>
      </w:r>
      <w:r w:rsidR="006E1902" w:rsidRPr="006E1902">
        <w:rPr>
          <w:noProof/>
        </w:rPr>
        <w:t>[184,185]</w:t>
      </w:r>
      <w:r w:rsidRPr="000009BA">
        <w:fldChar w:fldCharType="end"/>
      </w:r>
      <w:r w:rsidRPr="000009BA">
        <w:t xml:space="preserve">. Факторы, предрасполагающие к развитию КАТ, разделяют на три группы: </w:t>
      </w:r>
    </w:p>
    <w:p w14:paraId="6F46A48F" w14:textId="77777777" w:rsidR="000009BA" w:rsidRPr="000009BA" w:rsidRDefault="000009BA" w:rsidP="00FE0193">
      <w:pPr>
        <w:pStyle w:val="afd"/>
        <w:numPr>
          <w:ilvl w:val="0"/>
          <w:numId w:val="80"/>
        </w:numPr>
      </w:pPr>
      <w:r w:rsidRPr="000009BA">
        <w:t xml:space="preserve">связанные с пациентом (пол, возраст, наличие опухолевого заболевания, тромбофилии); </w:t>
      </w:r>
    </w:p>
    <w:p w14:paraId="0423FFFC" w14:textId="77777777" w:rsidR="000009BA" w:rsidRPr="000009BA" w:rsidRDefault="000009BA" w:rsidP="00FE0193">
      <w:pPr>
        <w:pStyle w:val="afd"/>
        <w:numPr>
          <w:ilvl w:val="0"/>
          <w:numId w:val="80"/>
        </w:numPr>
      </w:pPr>
      <w:r w:rsidRPr="000009BA">
        <w:t xml:space="preserve">связанные с катетером (большой диаметр, материал катетера, т.е. «жесткий» катетер); </w:t>
      </w:r>
    </w:p>
    <w:p w14:paraId="742007BD" w14:textId="77777777" w:rsidR="000009BA" w:rsidRPr="000009BA" w:rsidRDefault="000009BA" w:rsidP="00FE0193">
      <w:pPr>
        <w:pStyle w:val="afd"/>
        <w:numPr>
          <w:ilvl w:val="0"/>
          <w:numId w:val="80"/>
        </w:numPr>
      </w:pPr>
      <w:r w:rsidRPr="000009BA">
        <w:t xml:space="preserve">связанные с лечением (химиотерапия, парентеральное питание и введение других раздражающих веществ). </w:t>
      </w:r>
    </w:p>
    <w:p w14:paraId="0BD5C969" w14:textId="77777777" w:rsidR="000009BA" w:rsidRPr="000009BA" w:rsidRDefault="000009BA" w:rsidP="00F87A85">
      <w:pPr>
        <w:pStyle w:val="afd"/>
      </w:pPr>
      <w:r w:rsidRPr="000009BA">
        <w:t>Наличие опухолевого заболевания увеличивает риск тромбоза.</w:t>
      </w:r>
    </w:p>
    <w:p w14:paraId="239C7C6A" w14:textId="7FE4333C" w:rsidR="000009BA" w:rsidRPr="000009BA" w:rsidRDefault="000009BA" w:rsidP="00F87A85">
      <w:pPr>
        <w:pStyle w:val="afd"/>
      </w:pPr>
      <w:r w:rsidRPr="000009BA">
        <w:t xml:space="preserve">Важную роль в формировании КАТ имеет соотношение диаметра катетера к диаметру вены, которое не должно превышать 1/3, иначе происходит дополнительная травма эндотелия </w:t>
      </w:r>
      <w:r w:rsidRPr="000009BA">
        <w:fldChar w:fldCharType="begin" w:fldLock="1"/>
      </w:r>
      <w:r w:rsidR="00A6794A">
        <w:instrText>ADDIN CSL_CITATION {"citationItems":[{"id":"ITEM-1","itemData":{"author":[{"dropping-particle":"","family":"Цепенщинков","given":"Л.В","non-dropping-particle":"","parse-names":false,"suffix":""},{"dropping-particle":"","family":"Лядов","given":"В.К.","non-dropping-particle":"","parse-names":false,"suffix":""}],"container-title":"Клиническая онкогематология","id":"ITEM-1","issue":"2","issued":{"date-parts":[["2014"]]},"page":"220-228","title":"Периферически имплантируемый центральный венозный катетер: обзор литераутры.","type":"article-journal","volume":"7"},"uris":["http://www.mendeley.com/documents/?uuid=88221962-7bef-43f1-95ef-c82831c18b7b","http://www.mendeley.com/documents/?uuid=6bf891a9-cc26-48dd-8e38-76815056737b"]}],"mendeley":{"formattedCitation":"[186]","plainTextFormattedCitation":"[186]","previouslyFormattedCitation":"[186]"},"properties":{"noteIndex":0},"schema":"https://github.com/citation-style-language/schema/raw/master/csl-citation.json"}</w:instrText>
      </w:r>
      <w:r w:rsidRPr="000009BA">
        <w:fldChar w:fldCharType="separate"/>
      </w:r>
      <w:r w:rsidR="006E1902" w:rsidRPr="006E1902">
        <w:rPr>
          <w:noProof/>
        </w:rPr>
        <w:t>[186]</w:t>
      </w:r>
      <w:r w:rsidRPr="000009BA">
        <w:fldChar w:fldCharType="end"/>
      </w:r>
      <w:r w:rsidRPr="000009BA">
        <w:t xml:space="preserve">. При сравнении силиконовых и полиуретановых катетеров, установленных в вены плеча, значимой разницы в частоте развития КАТ не выявили, но отмечен факт повреждения эндотелия, способствующего развитию тромбоза </w:t>
      </w:r>
      <w:r w:rsidRPr="000009BA">
        <w:fldChar w:fldCharType="begin" w:fldLock="1"/>
      </w:r>
      <w:r w:rsidR="00A6794A">
        <w:instrText>ADDIN CSL_CITATION {"citationItems":[{"id":"ITEM-1","itemData":{"DOI":"10.1177/0148607184008004399","ISSN":"0148-6071","PMID":"6431130","abstract":"In order to compare two types of long, soft central venous catheters with the same stiffness, 39 silicone elastomer (SE) and 36 polyurethane (PU) catheters were inserted in 75 patients via basilic or cephalic veins punctured at the cubital fossa. Mean duration of catheterization was 10.5 days. Scanning electron microscopy revealed that the SE catheters to have a more uniform, but somewhat rougher surface topography than the PU catheters. The platelet adhesion in vitro to the SE catheters was four times higher than to the PU catheters. The incidence of clinical thrombophlebitis in the arm veins was 36% with the SE catheters, and 5.5% with the PU catheters (p less than 0.01). No significant differences were found between the SE and PU catheters regarding the number and size of radiologic thrombi in the peripheral and central veins, catheter occlusion rate, and platelet adhesion to the inner side of the catheter tip at withdrawal. Platelet adhesion in vivo correlated with the duration of catheterization in both groups of catheters. Mechanical trauma to the vein endothelium seems to be of vital importance in thrombus formation, but not in the induction of clinical thrombophlebitis.","author":[{"dropping-particle":"","family":"Linder","given":"L E","non-dropping-particle":"","parse-names":false,"suffix":""},{"dropping-particle":"","family":"Curelaru","given":"I","non-dropping-particle":"","parse-names":false,"suffix":""},{"dropping-particle":"","family":"Gustavsson","given":"B","non-dropping-particle":"","parse-names":false,"suffix":""},{"dropping-particle":"","family":"Hansson","given":"H A","non-dropping-particle":"","parse-names":false,"suffix":""},{"dropping-particle":"","family":"Stenqvist","given":"O","non-dropping-particle":"","parse-names":false,"suffix":""},{"dropping-particle":"","family":"Wojciechowski","given":"J","non-dropping-particle":"","parse-names":false,"suffix":""}],"container-title":"JPEN. Journal of parenteral and enteral nutrition","id":"ITEM-1","issue":"4","issued":{"date-parts":[["1984"]]},"page":"399-406","title":"Material thrombogenicity in central venous catheterization: a comparison between soft, antebrachial catheters of silicone elastomer and polyurethane.","type":"article-journal","volume":"8"},"uris":["http://www.mendeley.com/documents/?uuid=50c99be9-4388-35af-aba0-01eefc84f6b5","http://www.mendeley.com/documents/?uuid=52fd94cb-1dbb-4a1b-a63a-91cf9a99438a"]}],"mendeley":{"formattedCitation":"[187]","plainTextFormattedCitation":"[187]","previouslyFormattedCitation":"[187]"},"properties":{"noteIndex":0},"schema":"https://github.com/citation-style-language/schema/raw/master/csl-citation.json"}</w:instrText>
      </w:r>
      <w:r w:rsidRPr="000009BA">
        <w:fldChar w:fldCharType="separate"/>
      </w:r>
      <w:r w:rsidR="006E1902" w:rsidRPr="006E1902">
        <w:rPr>
          <w:noProof/>
        </w:rPr>
        <w:t>[187]</w:t>
      </w:r>
      <w:r w:rsidRPr="000009BA">
        <w:fldChar w:fldCharType="end"/>
      </w:r>
      <w:r w:rsidRPr="000009BA">
        <w:t xml:space="preserve">. Также в патогенезе развития КАТ значимы такие факторы, как травматичность установки катетера, неправильное расположение дистального конца катетера, левостороннее размещение катетера, множественные попытки пункции вены, наличие предшествующих катетеризаций и их количество, а также эпизоды КАИК в анамнезе. Установка ЦВК сопровождается локальным повреждением стенки вены и эндотелия и образованием тромба, с дальнейшим формированием «фибринового» чехла. Одним из факторов развития венозных тромбозов является наличие венозных клапанов, создающих турбулентный поток. </w:t>
      </w:r>
      <w:r w:rsidRPr="000009BA">
        <w:rPr>
          <w:rFonts w:eastAsia="Arial Unicode MS"/>
        </w:rPr>
        <w:t xml:space="preserve">Фактором, способствующим возникновению КАТ, является позиционирование ЦВК, поскольку миграция катетера, окклюзия дистального конца катетера венозной стенкой, травма венозной стенки дистальным концом катетера, присасывание к стенке конца катетера во время аспирации образцов крови, а введение раздражающих растворов способствуют травме венозной стенке </w:t>
      </w:r>
      <w:r w:rsidRPr="000009BA">
        <w:rPr>
          <w:rFonts w:eastAsia="Arial Unicode MS"/>
        </w:rPr>
        <w:fldChar w:fldCharType="begin" w:fldLock="1"/>
      </w:r>
      <w:r w:rsidR="00A6794A">
        <w:rPr>
          <w:rFonts w:eastAsia="Arial Unicode MS"/>
        </w:rPr>
        <w:instrText>ADDIN CSL_CITATION {"citationItems":[{"id":"ITEM-1","itemData":{"abstract":"Objective This study evaluated the accuracy of placing right atrial catheters using an electrocardiographic (ECG) technique. Summary Background Data Placement of right atrial catheters for vascular access is a common operative procedure. Accurate placement is essential for proper function. Previous placement techniques have used fluoroscopy, which is both time consuming and hazardous. Methods The accuracy of placement of 1236 right atrial catheters using an ECG technique was compared to placement of 586 catheters using fluoroscopy between March 1991 and November 1995. In the ECG technique, the catheter was flushed with sodium bicarbonate. A sterile left-leg ECG lead was attached to the catheter with the other ECG leads applied normally. On advancing the catheter through the superior vena cava, the P-wave amplitude (lead 11) increased in negative deflection until greater than the QRS complex. Passing the sinoatrial node, the P-wave developed an initial positive then negative deflection. The catheter was positioned so the P-wave was biphasic, representing a position midway between the sinoatrial and atrioventricular nodes. For the fluoroscopic technique, catheters were positioned under direct observation just within the atrium estimated from cardiac contour. Use of contrast was optional if atrial anatomy was unclear. Results Postoperative portable chest x-rays showed the ECG method to position the catheter tip within the right atrium just as accurately (average, 1.9 ± 1.3 cm) as with the use of fluoroscopy (average, 1.1 ± 1.6 cm). The ECG method eliminated an average of 20 seconds of radiation exposure, an average of 3.0 minutes operating room time (p &lt; 0.04), avoided all risks of contrast dye, and saved $279.10 per case.","author":[{"dropping-particle":"","family":"Watters","given":"Virginia A","non-dropping-particle":"","parse-names":false,"suffix":""},{"dropping-particle":"","family":"Grant","given":"John P","non-dropping-particle":"","parse-names":false,"suffix":""}],"container-title":"ANNALS OF SURGERY","id":"ITEM-1","issue":"2","issued":{"date-parts":[["0"]]},"page":"165-171","title":"Use of Electrocardiogram to Position Right Atrial Catheters During Surgery","type":"article-journal","volume":"225"},"uris":["http://www.mendeley.com/documents/?uuid=634418a9-1b6a-3971-a74a-26cac4fcbb73","http://www.mendeley.com/documents/?uuid=216df258-45c1-414a-b26e-b5eb61d53634"]}],"mendeley":{"formattedCitation":"[188]","plainTextFormattedCitation":"[188]","previouslyFormattedCitation":"[188]"},"properties":{"noteIndex":0},"schema":"https://github.com/citation-style-language/schema/raw/master/csl-citation.json"}</w:instrText>
      </w:r>
      <w:r w:rsidRPr="000009BA">
        <w:rPr>
          <w:rFonts w:eastAsia="Arial Unicode MS"/>
        </w:rPr>
        <w:fldChar w:fldCharType="separate"/>
      </w:r>
      <w:r w:rsidR="006E1902" w:rsidRPr="006E1902">
        <w:rPr>
          <w:rFonts w:eastAsia="Arial Unicode MS"/>
          <w:noProof/>
        </w:rPr>
        <w:t>[188]</w:t>
      </w:r>
      <w:r w:rsidRPr="000009BA">
        <w:rPr>
          <w:rFonts w:eastAsia="Arial Unicode MS"/>
        </w:rPr>
        <w:fldChar w:fldCharType="end"/>
      </w:r>
      <w:r w:rsidRPr="000009BA">
        <w:rPr>
          <w:rFonts w:eastAsia="Arial Unicode MS"/>
        </w:rPr>
        <w:t xml:space="preserve">. </w:t>
      </w:r>
      <w:r w:rsidRPr="000009BA">
        <w:t xml:space="preserve">ЦВК находятся в непосредственном контакте с внутренней стенкой вен, в результате постоянного движения катетеров, связанного с дыханием, сокращениями </w:t>
      </w:r>
      <w:r w:rsidRPr="000009BA">
        <w:lastRenderedPageBreak/>
        <w:t xml:space="preserve">сердца, поворотами головы, происходит еще большее повреждение эндотелия. Травма эндотелия усугубляется, если траектория катетера в вене характеризуется одним или несколькими изгибами </w:t>
      </w:r>
      <w:r w:rsidRPr="000009BA">
        <w:fldChar w:fldCharType="begin" w:fldLock="1"/>
      </w:r>
      <w:r w:rsidR="00A6794A">
        <w:instrText>ADDIN CSL_CITATION {"citationItems":[{"id":"ITEM-1","itemData":{"DOI":"10.1093/ndt/gfh216","ISSN":"0931-0509","author":[{"dropping-particle":"","family":"Taal","given":"M. W.","non-dropping-particle":"","parse-names":false,"suffix":""},{"dropping-particle":"","family":"Chesterton","given":"L. J.","non-dropping-particle":"","parse-names":false,"suffix":""},{"dropping-particle":"","family":"McIntyre","given":"C. W.","non-dropping-particle":"","parse-names":false,"suffix":""}],"container-title":"Nephrology Dialysis Transplantation","id":"ITEM-1","issue":"6","issued":{"date-parts":[["2004","6"]]},"page":"1542-1545","publisher":"Oxford University Press","title":"Venography at insertion of tunnelled internal jugular vein dialysis catheters reveals significant occult stenosis","type":"article-journal","volume":"19"},"uris":["http://www.mendeley.com/documents/?uuid=27bd8603-4b5c-3170-8bd9-40145339d105","http://www.mendeley.com/documents/?uuid=f32593e8-087e-487f-af57-700299c86f69"]}],"mendeley":{"formattedCitation":"[189]","plainTextFormattedCitation":"[189]","previouslyFormattedCitation":"[189]"},"properties":{"noteIndex":0},"schema":"https://github.com/citation-style-language/schema/raw/master/csl-citation.json"}</w:instrText>
      </w:r>
      <w:r w:rsidRPr="000009BA">
        <w:fldChar w:fldCharType="separate"/>
      </w:r>
      <w:r w:rsidR="006E1902" w:rsidRPr="006E1902">
        <w:rPr>
          <w:noProof/>
        </w:rPr>
        <w:t>[189]</w:t>
      </w:r>
      <w:r w:rsidRPr="000009BA">
        <w:fldChar w:fldCharType="end"/>
      </w:r>
      <w:r w:rsidRPr="000009BA">
        <w:t xml:space="preserve">. В дополнение к травме происходит воспаление интимы как ответ на повреждение, которое приводит к гиперплазии интимы или развитию тромбоза. Пункция левой внутренней яремной вены по сравнению с пункцией правой яремной вены более сложная, так как у 34% пациентов внутренняя яремной вены слева меньше чем правая </w:t>
      </w:r>
      <w:r w:rsidRPr="000009BA">
        <w:fldChar w:fldCharType="begin" w:fldLock="1"/>
      </w:r>
      <w:r w:rsidR="00A6794A">
        <w:instrText>ADDIN CSL_CITATION {"citationItems":[{"id":"ITEM-1","itemData":{"ISSN":"1053-0770","PMID":"10230944","abstract":"OBJECTIVE To compare the cross-sectional area (CSA) of the right internal jugular vein (RIJV) with the left internal jugular vein (LIJV) using two-dimensional ultrasound and to measure the response to the Valsalva maneuver in both the supine and Trendelenburg positions. DESIGN Prospective and randomized. SETTING University-affiliated hospital. PARTICIPANTS Fifty healthy adult volunteers. INTERVENTIONS The CSA of both the RIJV and LIJV was measured with a 5-MHz, two-dimensional surface transducer before and during a 10-second Valsalva maneuver with the subjects in the supine position, and then with the subjects in a 10 degree Trendelenburg tilt. MEASUREMENTS AND MAIN RESULTS After the baseline measurements were performed, the subjects were divided into two groups based on the CSA of the RIJV and LIJV. Group 1 had an LIJV CSA equal to or greater than that of the RIJV (n = 10) and group 2 had an LIJV CSA less than that of the RIJV (n = 40). Of the latter 40 patients, 17 (34%) had an LIJV CSA less than 50% of that of the RIJV. In both groups, the CSA of both veins increased significantly with the Valsalva maneuver, Trendelenburg tilt, and both maneuvers combined. CONCLUSION The findings suggest that in one third of adults (34%), the LIJV is significantly smaller compared with the RIJV and, combined with operator inexperience, may influence the success rate and risk for complications. Thus, the use of ultrasound and maneuvers that increase CSA is suggested during LIJV cannulation.","author":[{"dropping-particle":"","family":"Lobato","given":"E B","non-dropping-particle":"","parse-names":false,"suffix":""},{"dropping-particle":"","family":"Sulek","given":"C A","non-dropping-particle":"","parse-names":false,"suffix":""},{"dropping-particle":"","family":"Moody","given":"R L","non-dropping-particle":"","parse-names":false,"suffix":""},{"dropping-particle":"","family":"Morey","given":"T E","non-dropping-particle":"","parse-names":false,"suffix":""}],"container-title":"Journal of cardiothoracic and vascular anesthesia","id":"ITEM-1","issue":"2","issued":{"date-parts":[["1999","4"]]},"page":"136-8","title":"Cross-sectional area of the right and left internal jugular veins.","type":"article-journal","volume":"13"},"uris":["http://www.mendeley.com/documents/?uuid=946e04e1-436d-33e9-8d74-b2b7aa6566b2","http://www.mendeley.com/documents/?uuid=3c8cfbcb-4e79-4dbf-88c6-7197a21370b9"]}],"mendeley":{"formattedCitation":"[190]","plainTextFormattedCitation":"[190]","previouslyFormattedCitation":"[190]"},"properties":{"noteIndex":0},"schema":"https://github.com/citation-style-language/schema/raw/master/csl-citation.json"}</w:instrText>
      </w:r>
      <w:r w:rsidRPr="000009BA">
        <w:fldChar w:fldCharType="separate"/>
      </w:r>
      <w:r w:rsidR="006E1902" w:rsidRPr="006E1902">
        <w:rPr>
          <w:noProof/>
        </w:rPr>
        <w:t>[190]</w:t>
      </w:r>
      <w:r w:rsidRPr="000009BA">
        <w:fldChar w:fldCharType="end"/>
      </w:r>
      <w:r w:rsidRPr="000009BA">
        <w:t xml:space="preserve">, что особенно важно при диагностике катетерассоциированного стеноза (КАC). </w:t>
      </w:r>
    </w:p>
    <w:p w14:paraId="455DBBFC" w14:textId="74735456" w:rsidR="000009BA" w:rsidRPr="000009BA" w:rsidRDefault="000009BA" w:rsidP="00F87A85">
      <w:pPr>
        <w:pStyle w:val="afd"/>
      </w:pPr>
      <w:r w:rsidRPr="000009BA">
        <w:t xml:space="preserve">Катетер-ассоциированый стеноз (КАС) – стойкое сужение просвета сосуда, вплоть до полной облитерации, выявляемое при УЗИ в покое и при выполнении функциональных проб, возникшее после катетеризации, связанное или не связанное с КАТ. У онкогематологических пациентов, наряду с вышеуказанными причинами, значительное место в формировании КАТ и КАС занимает проведение химиотерапии </w:t>
      </w:r>
      <w:r w:rsidRPr="000009BA">
        <w:fldChar w:fldCharType="begin" w:fldLock="1"/>
      </w:r>
      <w:r w:rsidR="00A6794A">
        <w:instrText>ADDIN CSL_CITATION {"citationItems":[{"id":"ITEM-1","itemData":{"author":[{"dropping-particle":"","family":"Червонцева","given":"Алевтина Михайловна","non-dropping-particle":"","parse-names":false,"suffix":""}],"id":"ITEM-1","issued":{"date-parts":[["2008"]]},"title":"Повреждение сосудистого эндотелия в процессе лечения острых миелоидных лейкозов","type":"article"},"uris":["http://www.mendeley.com/documents/?uuid=9afd28b5-41fc-3e5e-bfac-710d3bccc2cd","http://www.mendeley.com/documents/?uuid=b0c847b8-b368-40a1-9c35-cebd6d9d96b6"]}],"mendeley":{"formattedCitation":"[191]","plainTextFormattedCitation":"[191]","previouslyFormattedCitation":"[191]"},"properties":{"noteIndex":0},"schema":"https://github.com/citation-style-language/schema/raw/master/csl-citation.json"}</w:instrText>
      </w:r>
      <w:r w:rsidRPr="000009BA">
        <w:fldChar w:fldCharType="separate"/>
      </w:r>
      <w:r w:rsidR="006E1902" w:rsidRPr="006E1902">
        <w:rPr>
          <w:noProof/>
        </w:rPr>
        <w:t>[191]</w:t>
      </w:r>
      <w:r w:rsidRPr="000009BA">
        <w:fldChar w:fldCharType="end"/>
      </w:r>
      <w:r w:rsidRPr="000009BA">
        <w:t>.</w:t>
      </w:r>
    </w:p>
    <w:p w14:paraId="38018558" w14:textId="02F0B21B" w:rsidR="000009BA" w:rsidRPr="000009BA" w:rsidRDefault="000009BA" w:rsidP="00F87A85">
      <w:pPr>
        <w:pStyle w:val="afd"/>
      </w:pPr>
      <w:r w:rsidRPr="000009BA">
        <w:t xml:space="preserve">Катетер-ассоциированная инфекция кровотока (КАИК) – выявление положительной гемокультуры в образце крови взятой из катетера на 2 и более часа ранее, чем в образце крови, взятом из периферической вены, рост микроорганизмов при микробиологическом исследовании дистального конца катетера </w:t>
      </w:r>
      <w:r w:rsidRPr="000009BA">
        <w:fldChar w:fldCharType="begin" w:fldLock="1"/>
      </w:r>
      <w:r w:rsidR="00A6794A">
        <w:instrText>ADDIN CSL_CITATION {"citationItems":[{"id":"ITEM-1","itemData":{"author":[{"dropping-particle":"","family":"Багирова","given":"Н.С.","non-dropping-particle":"","parse-names":false,"suffix":""}],"container-title":"Злокачественные опухоли","id":"ITEM-1","issue":"3","issued":{"date-parts":[["2014"]]},"page":"164-171","title":"Инфекции, связанные с внутрисосудистыми устройствами: терминология, диагностика, профилактика и терапия","type":"article-journal"},"uris":["http://www.mendeley.com/documents/?uuid=fee4a9db-618b-4f34-9352-2ad7841cc05f","http://www.mendeley.com/documents/?uuid=973153ce-d078-4e08-a598-f09e2ab23f94"]}],"mendeley":{"formattedCitation":"[192]","plainTextFormattedCitation":"[192]","previouslyFormattedCitation":"[192]"},"properties":{"noteIndex":0},"schema":"https://github.com/citation-style-language/schema/raw/master/csl-citation.json"}</w:instrText>
      </w:r>
      <w:r w:rsidRPr="000009BA">
        <w:fldChar w:fldCharType="separate"/>
      </w:r>
      <w:r w:rsidR="006E1902" w:rsidRPr="006E1902">
        <w:rPr>
          <w:noProof/>
        </w:rPr>
        <w:t>[192]</w:t>
      </w:r>
      <w:r w:rsidRPr="000009BA">
        <w:fldChar w:fldCharType="end"/>
      </w:r>
      <w:r w:rsidRPr="000009BA">
        <w:t>.</w:t>
      </w:r>
    </w:p>
    <w:p w14:paraId="2D654FCB" w14:textId="77777777" w:rsidR="000009BA" w:rsidRPr="000009BA" w:rsidRDefault="000009BA" w:rsidP="00F87A85">
      <w:pPr>
        <w:pStyle w:val="afd"/>
      </w:pPr>
      <w:r w:rsidRPr="000009BA">
        <w:t>При применении туннелируемых катетеров могут возникать следующие виды инфицирования:</w:t>
      </w:r>
    </w:p>
    <w:p w14:paraId="22B2FBE2" w14:textId="77777777" w:rsidR="000009BA" w:rsidRPr="000009BA" w:rsidRDefault="000009BA" w:rsidP="00FE0193">
      <w:pPr>
        <w:pStyle w:val="afd"/>
        <w:numPr>
          <w:ilvl w:val="0"/>
          <w:numId w:val="81"/>
        </w:numPr>
      </w:pPr>
      <w:r w:rsidRPr="000009BA">
        <w:t>Туннельная инфекция – местное воспаление по ходу сформированного туннеля от места выходного отверстия катетера до манжеты или с локализацией только в области фиксации манжеты.</w:t>
      </w:r>
    </w:p>
    <w:p w14:paraId="4775DE79" w14:textId="77777777" w:rsidR="000009BA" w:rsidRPr="000009BA" w:rsidRDefault="000009BA" w:rsidP="00FE0193">
      <w:pPr>
        <w:pStyle w:val="afd"/>
        <w:numPr>
          <w:ilvl w:val="0"/>
          <w:numId w:val="81"/>
        </w:numPr>
      </w:pPr>
      <w:r w:rsidRPr="000009BA">
        <w:t>Инфекция выходного отверстия – местное воспаление, с локализацией только в месте выхода катетера на поверхность кожи.</w:t>
      </w:r>
    </w:p>
    <w:p w14:paraId="0FE4ABD7" w14:textId="77777777" w:rsidR="000009BA" w:rsidRPr="000009BA" w:rsidRDefault="000009BA" w:rsidP="00FE0193">
      <w:pPr>
        <w:pStyle w:val="afd"/>
        <w:numPr>
          <w:ilvl w:val="0"/>
          <w:numId w:val="81"/>
        </w:numPr>
      </w:pPr>
      <w:r w:rsidRPr="000009BA">
        <w:t xml:space="preserve">Инфекция подкожного кармана – местное воспаление, локализующееся в месте установки камеры порт-системы. </w:t>
      </w:r>
    </w:p>
    <w:p w14:paraId="52A10F73" w14:textId="77777777" w:rsidR="000009BA" w:rsidRPr="000009BA" w:rsidRDefault="000009BA" w:rsidP="00F87A85">
      <w:pPr>
        <w:pStyle w:val="afd"/>
        <w:rPr>
          <w:rFonts w:eastAsia="Arial Unicode MS"/>
        </w:rPr>
      </w:pPr>
    </w:p>
    <w:p w14:paraId="07DA9F66" w14:textId="77777777" w:rsidR="000009BA" w:rsidRPr="00F87A85" w:rsidRDefault="000009BA" w:rsidP="00F87A85">
      <w:pPr>
        <w:pStyle w:val="afd"/>
        <w:rPr>
          <w:rFonts w:eastAsia="Arial Unicode MS"/>
          <w:b/>
          <w:bCs/>
        </w:rPr>
      </w:pPr>
      <w:r w:rsidRPr="00F87A85">
        <w:rPr>
          <w:rFonts w:eastAsia="Arial Unicode MS"/>
          <w:b/>
          <w:bCs/>
        </w:rPr>
        <w:t>Способы контроля дистального конца ЦВК</w:t>
      </w:r>
    </w:p>
    <w:p w14:paraId="6921BFC1" w14:textId="77777777" w:rsidR="000009BA" w:rsidRPr="00F87A85" w:rsidRDefault="000009BA" w:rsidP="00F87A85">
      <w:pPr>
        <w:pStyle w:val="afd"/>
        <w:rPr>
          <w:rFonts w:eastAsia="Arial Unicode MS"/>
          <w:i/>
          <w:iCs/>
        </w:rPr>
      </w:pPr>
      <w:r w:rsidRPr="00F87A85">
        <w:rPr>
          <w:rFonts w:eastAsia="Arial Unicode MS"/>
          <w:i/>
          <w:iCs/>
        </w:rPr>
        <w:t>Электрокардиографический метод</w:t>
      </w:r>
    </w:p>
    <w:p w14:paraId="4EC635B1" w14:textId="77777777" w:rsidR="000009BA" w:rsidRPr="000009BA" w:rsidRDefault="000009BA" w:rsidP="00F87A85">
      <w:pPr>
        <w:pStyle w:val="afd"/>
        <w:rPr>
          <w:rFonts w:eastAsia="Arial Unicode MS"/>
        </w:rPr>
      </w:pPr>
      <w:r w:rsidRPr="000009BA">
        <w:rPr>
          <w:rFonts w:eastAsia="Arial Unicode MS"/>
        </w:rPr>
        <w:t xml:space="preserve">Для контроля положения ЦВК, снабженных штатным электродом, используют эндовенозную </w:t>
      </w:r>
      <w:r w:rsidRPr="000009BA">
        <w:t>электрокардиографию (</w:t>
      </w:r>
      <w:r w:rsidRPr="000009BA">
        <w:rPr>
          <w:rFonts w:eastAsia="Arial Unicode MS"/>
        </w:rPr>
        <w:t xml:space="preserve">ЭКГ). Она позволяет позиционировать дистальный конец ЦВК, не увеличивая время установки, по изменениям Р-зубца ЭКГ. </w:t>
      </w:r>
    </w:p>
    <w:p w14:paraId="087529DE" w14:textId="77777777" w:rsidR="000009BA" w:rsidRPr="00F87A85" w:rsidRDefault="000009BA" w:rsidP="00F87A85">
      <w:pPr>
        <w:pStyle w:val="afd"/>
        <w:rPr>
          <w:rFonts w:eastAsia="ＭＳ 明朝 (Основной текст темы (ази"/>
          <w:i/>
          <w:iCs/>
        </w:rPr>
      </w:pPr>
      <w:r w:rsidRPr="00F87A85">
        <w:rPr>
          <w:rFonts w:eastAsia="ＭＳ 明朝 (Основной текст темы (ази"/>
          <w:i/>
          <w:iCs/>
        </w:rPr>
        <w:t xml:space="preserve">Рентгенологический метод </w:t>
      </w:r>
    </w:p>
    <w:p w14:paraId="11D3EAD7" w14:textId="77777777" w:rsidR="000009BA" w:rsidRPr="000009BA" w:rsidRDefault="000009BA" w:rsidP="00F87A85">
      <w:pPr>
        <w:pStyle w:val="afd"/>
      </w:pPr>
      <w:r w:rsidRPr="000009BA">
        <w:rPr>
          <w:rFonts w:eastAsia="ＭＳ 明朝 (Основной текст темы (ази"/>
        </w:rPr>
        <w:lastRenderedPageBreak/>
        <w:t xml:space="preserve">При установке туннелируемых ЦВК, ПИЦВК, порт-систем, а также в </w:t>
      </w:r>
      <w:r w:rsidRPr="000009BA">
        <w:t xml:space="preserve">случаях мерцательной аритмии или ритма, навязанного кардиостимулятором, положение дистального конца ЦВК подтверждают рентгенологически: </w:t>
      </w:r>
    </w:p>
    <w:p w14:paraId="09E4EEA2" w14:textId="21E5DD73" w:rsidR="000009BA" w:rsidRPr="000009BA" w:rsidRDefault="000009BA" w:rsidP="00FE0193">
      <w:pPr>
        <w:pStyle w:val="afd"/>
        <w:numPr>
          <w:ilvl w:val="0"/>
          <w:numId w:val="82"/>
        </w:numPr>
      </w:pPr>
      <w:r w:rsidRPr="000009BA">
        <w:t>на рентгенограмме грудной клетки дистальный конец ЦВК должен был находиться между V и VI грудными позвонками</w:t>
      </w:r>
      <w:r w:rsidR="00F87A85">
        <w:t>;</w:t>
      </w:r>
    </w:p>
    <w:p w14:paraId="6F4AFC98" w14:textId="1B0E278C" w:rsidR="00F87A85" w:rsidRDefault="000009BA" w:rsidP="00FE0193">
      <w:pPr>
        <w:pStyle w:val="afd"/>
        <w:numPr>
          <w:ilvl w:val="0"/>
          <w:numId w:val="82"/>
        </w:numPr>
      </w:pPr>
      <w:r w:rsidRPr="000009BA">
        <w:t>также ориентиром для позиционирования дистального конца ЦВК является правый трахебронхиальный угол, который соответствует верхней границе верхней полой вены. Каваатриальное соединение находится на 3 см ниже этого угла</w:t>
      </w:r>
      <w:r w:rsidR="00F87A85">
        <w:t>;</w:t>
      </w:r>
    </w:p>
    <w:p w14:paraId="50FEE255" w14:textId="25595628" w:rsidR="000009BA" w:rsidRPr="000009BA" w:rsidRDefault="000009BA" w:rsidP="00FE0193">
      <w:pPr>
        <w:pStyle w:val="afd"/>
        <w:numPr>
          <w:ilvl w:val="0"/>
          <w:numId w:val="82"/>
        </w:numPr>
      </w:pPr>
      <w:r w:rsidRPr="000009BA">
        <w:t>рентгенологическим ориентиром впадения верхней полой вены в правое предсердие также является пересечение дуги правой границы сердца и линии, идущей вдоль правой границы средостения.</w:t>
      </w:r>
    </w:p>
    <w:p w14:paraId="5D3DAA59" w14:textId="77777777" w:rsidR="000009BA" w:rsidRPr="000009BA" w:rsidRDefault="000009BA" w:rsidP="00F87A85">
      <w:pPr>
        <w:pStyle w:val="afd"/>
      </w:pPr>
    </w:p>
    <w:p w14:paraId="21BCFF83" w14:textId="77777777" w:rsidR="000009BA" w:rsidRPr="009218FC" w:rsidRDefault="000009BA" w:rsidP="00F87A85">
      <w:pPr>
        <w:pStyle w:val="afd"/>
        <w:rPr>
          <w:b/>
          <w:bCs/>
        </w:rPr>
      </w:pPr>
      <w:r w:rsidRPr="009218FC">
        <w:rPr>
          <w:b/>
          <w:bCs/>
        </w:rPr>
        <w:t>Обследование пациента, подготовка к манипуляции</w:t>
      </w:r>
    </w:p>
    <w:p w14:paraId="6AA2FCA2" w14:textId="77777777" w:rsidR="000009BA" w:rsidRPr="000009BA" w:rsidRDefault="000009BA" w:rsidP="00F87A85">
      <w:pPr>
        <w:pStyle w:val="afd"/>
      </w:pPr>
      <w:r w:rsidRPr="000009BA">
        <w:t xml:space="preserve">Для обеспечения сосудистого доступа необходима консультация врачом-анестезиологом-реаниматологом. </w:t>
      </w:r>
    </w:p>
    <w:p w14:paraId="09C2CDF6" w14:textId="77777777" w:rsidR="000009BA" w:rsidRPr="000009BA" w:rsidRDefault="000009BA" w:rsidP="00F87A85">
      <w:pPr>
        <w:pStyle w:val="afd"/>
      </w:pPr>
      <w:r w:rsidRPr="000009BA">
        <w:t>Физикальный осмотр проводится перед катетеризацией на наличие воспалительных и послеоперационных изменений кожи в местах возможной пункции вен, наличие увеличенных и изменённых лимфоузлов, препятствующих катетеризации, наличие усиленного подкожного рисунка вен, наличие клинических проявлений синдрома сдавления верхней полой вены (осиплость голоса, одышка, кашель, невозможность принятия горизонтального положения и т. д.) Уточняются анамнестические данные – количество предшествующих катетеризаций, имели ли место осложнения катетеризации; интенсивность и сроки планируемого лечения, возможные осложнения (неблагоприятные реакции) терапии, возможность применения других методов лечения, например, лучевой терапии.</w:t>
      </w:r>
    </w:p>
    <w:p w14:paraId="11641A8E" w14:textId="77777777" w:rsidR="000009BA" w:rsidRPr="000009BA" w:rsidRDefault="000009BA" w:rsidP="00F87A85">
      <w:pPr>
        <w:pStyle w:val="afd"/>
      </w:pPr>
    </w:p>
    <w:p w14:paraId="485B784D" w14:textId="77777777" w:rsidR="000009BA" w:rsidRPr="009218FC" w:rsidRDefault="000009BA" w:rsidP="00F87A85">
      <w:pPr>
        <w:pStyle w:val="afd"/>
        <w:rPr>
          <w:i/>
          <w:iCs/>
        </w:rPr>
      </w:pPr>
      <w:r w:rsidRPr="009218FC">
        <w:rPr>
          <w:i/>
          <w:iCs/>
        </w:rPr>
        <w:t>Лабораторная диагностика.</w:t>
      </w:r>
    </w:p>
    <w:p w14:paraId="7822FD15" w14:textId="77777777" w:rsidR="000009BA" w:rsidRPr="000009BA" w:rsidRDefault="000009BA" w:rsidP="00F87A85">
      <w:pPr>
        <w:pStyle w:val="afd"/>
      </w:pPr>
      <w:r w:rsidRPr="000009BA">
        <w:t>Перед установкой ЦВК необходимо выполнить:</w:t>
      </w:r>
    </w:p>
    <w:p w14:paraId="71540A08" w14:textId="77777777" w:rsidR="000009BA" w:rsidRPr="000009BA" w:rsidRDefault="000009BA" w:rsidP="00FE0193">
      <w:pPr>
        <w:pStyle w:val="afd"/>
        <w:numPr>
          <w:ilvl w:val="0"/>
          <w:numId w:val="83"/>
        </w:numPr>
      </w:pPr>
      <w:r w:rsidRPr="000009BA">
        <w:t>общий (клинический) анализ крови развернутый</w:t>
      </w:r>
    </w:p>
    <w:p w14:paraId="4011DB67" w14:textId="77777777" w:rsidR="000009BA" w:rsidRPr="000009BA" w:rsidRDefault="000009BA" w:rsidP="00FE0193">
      <w:pPr>
        <w:pStyle w:val="afd"/>
        <w:numPr>
          <w:ilvl w:val="0"/>
          <w:numId w:val="83"/>
        </w:numPr>
      </w:pPr>
      <w:r w:rsidRPr="000009BA">
        <w:t>коагулограмма (ориентировочное исследование системы гемостаза), при необходимости – исследование агрегации тромбоцитов</w:t>
      </w:r>
    </w:p>
    <w:p w14:paraId="081ADA0F" w14:textId="77777777" w:rsidR="000009BA" w:rsidRPr="000009BA" w:rsidRDefault="000009BA" w:rsidP="00FE0193">
      <w:pPr>
        <w:pStyle w:val="afd"/>
        <w:numPr>
          <w:ilvl w:val="0"/>
          <w:numId w:val="83"/>
        </w:numPr>
      </w:pPr>
      <w:r w:rsidRPr="000009BA">
        <w:t>определение активности факторов VIII, IX в сыворотке крови – по показаниям</w:t>
      </w:r>
    </w:p>
    <w:p w14:paraId="092C2A8C" w14:textId="5BA2316C" w:rsidR="000009BA" w:rsidRPr="000009BA" w:rsidRDefault="000009BA" w:rsidP="00FE0193">
      <w:pPr>
        <w:pStyle w:val="afd"/>
        <w:numPr>
          <w:ilvl w:val="0"/>
          <w:numId w:val="83"/>
        </w:numPr>
      </w:pPr>
      <w:r w:rsidRPr="000009BA">
        <w:lastRenderedPageBreak/>
        <w:t>определение основных групп по системе AB0, определение подгруппы и других групп крови меньшего значения A-1, A-2, D, Cc, E, Kell, Duffy, определение антигена D системы Резус (резус-фактор)</w:t>
      </w:r>
      <w:r w:rsidR="009218FC">
        <w:t xml:space="preserve"> – если не выполнялось ранее</w:t>
      </w:r>
    </w:p>
    <w:p w14:paraId="7E690011" w14:textId="77777777" w:rsidR="000009BA" w:rsidRPr="000009BA" w:rsidRDefault="000009BA" w:rsidP="00F87A85">
      <w:pPr>
        <w:pStyle w:val="afd"/>
      </w:pPr>
    </w:p>
    <w:p w14:paraId="1D3489C2" w14:textId="77777777" w:rsidR="000009BA" w:rsidRPr="009218FC" w:rsidRDefault="000009BA" w:rsidP="00F87A85">
      <w:pPr>
        <w:pStyle w:val="afd"/>
        <w:rPr>
          <w:i/>
          <w:iCs/>
        </w:rPr>
      </w:pPr>
      <w:r w:rsidRPr="009218FC">
        <w:rPr>
          <w:i/>
          <w:iCs/>
        </w:rPr>
        <w:t>Инструментальная диагностика</w:t>
      </w:r>
    </w:p>
    <w:p w14:paraId="03959B71" w14:textId="77777777" w:rsidR="000009BA" w:rsidRPr="000009BA" w:rsidRDefault="000009BA" w:rsidP="00F87A85">
      <w:pPr>
        <w:pStyle w:val="afd"/>
      </w:pPr>
      <w:r w:rsidRPr="000009BA">
        <w:t>Перед выполнением катетеризации необходимо выполнить:</w:t>
      </w:r>
    </w:p>
    <w:p w14:paraId="1D78E7DD" w14:textId="77777777" w:rsidR="000009BA" w:rsidRPr="000009BA" w:rsidRDefault="000009BA" w:rsidP="00FE0193">
      <w:pPr>
        <w:pStyle w:val="afd"/>
        <w:numPr>
          <w:ilvl w:val="0"/>
          <w:numId w:val="84"/>
        </w:numPr>
      </w:pPr>
      <w:r w:rsidRPr="000009BA">
        <w:t>прицельная рентгенография органов грудной клетки или – предпочтительно – компьютерная томография органов грудной полости (КТ), с внутривенным болюсным контрастированиям (по показаниям)</w:t>
      </w:r>
    </w:p>
    <w:p w14:paraId="4263CA66" w14:textId="77777777" w:rsidR="000009BA" w:rsidRPr="000009BA" w:rsidRDefault="000009BA" w:rsidP="00FE0193">
      <w:pPr>
        <w:pStyle w:val="afd"/>
        <w:numPr>
          <w:ilvl w:val="0"/>
          <w:numId w:val="84"/>
        </w:numPr>
      </w:pPr>
      <w:r w:rsidRPr="000009BA">
        <w:t xml:space="preserve">ультразвуковая допплерография сосудов </w:t>
      </w:r>
    </w:p>
    <w:p w14:paraId="09587EFA" w14:textId="77777777" w:rsidR="000009BA" w:rsidRPr="000009BA" w:rsidRDefault="000009BA" w:rsidP="00FE0193">
      <w:pPr>
        <w:pStyle w:val="afd"/>
        <w:numPr>
          <w:ilvl w:val="0"/>
          <w:numId w:val="84"/>
        </w:numPr>
      </w:pPr>
      <w:r w:rsidRPr="000009BA">
        <w:t>ЭКГ</w:t>
      </w:r>
    </w:p>
    <w:p w14:paraId="230C0115" w14:textId="66E699F1" w:rsidR="000009BA" w:rsidRPr="000009BA" w:rsidRDefault="000009BA" w:rsidP="00F87A85">
      <w:pPr>
        <w:pStyle w:val="afd"/>
      </w:pPr>
      <w:r w:rsidRPr="000009BA">
        <w:t xml:space="preserve">Ультразвуковое сопровождение в реальном времени обеспечивает возможность выбора направления иглы при пункции внутренней яремной, аксиллярной, подмышечной или бедренной вены, позволяя тем самым избежать случайного ранение артерии </w:t>
      </w:r>
      <w:r w:rsidRPr="000009BA">
        <w:fldChar w:fldCharType="begin" w:fldLock="1"/>
      </w:r>
      <w:r w:rsidR="00A6794A">
        <w:instrText>ADDIN CSL_CITATION {"citationItems":[{"id":"ITEM-1","itemData":{"DOI":"10.2147/RMHP.S10383","ISSN":"1179-1594","PMID":"22312225","abstract":"Central venous cannulation is a commonly performed procedure which facilitates resuscitation, nutritional support, and long-term vascular access. Mechanical complications most often occur during insertion and are intimately related to the anatomic relationship of the central veins. Working knowledge of surface and deep anatomy minimizes complications. Use of surface anatomic landmarks to orient the deep course of cannulating needle tracts appropriately comprises the crux of complication avoidance. The authors describe use of surface landmarks to facilitate safe placement of internal jugular, subclavian, and femoral venous catheters. The role of real-time sonography as a safety-enhancing adjunct is reviewed.","author":[{"dropping-particle":"","family":"Bannon","given":"Michael P","non-dropping-particle":"","parse-names":false,"suffix":""},{"dropping-particle":"","family":"Heller","given":"Stephanie F","non-dropping-particle":"","parse-names":false,"suffix":""},{"dropping-particle":"","family":"Rivera","given":"Mariela","non-dropping-particle":"","parse-names":false,"suffix":""}],"container-title":"Risk management and healthcare policy","id":"ITEM-1","issued":{"date-parts":[["2011"]]},"page":"27-39","publisher":"Dove Press","title":"Anatomic considerations for central venous cannulation.","type":"article-journal","volume":"4"},"uris":["http://www.mendeley.com/documents/?uuid=f27d2d96-8c0e-37ae-a769-16d58b15a227","http://www.mendeley.com/documents/?uuid=f0df5ed8-bde5-4ae2-bb07-d53d990cfba6"]}],"mendeley":{"formattedCitation":"[193]","plainTextFormattedCitation":"[193]","previouslyFormattedCitation":"[193]"},"properties":{"noteIndex":0},"schema":"https://github.com/citation-style-language/schema/raw/master/csl-citation.json"}</w:instrText>
      </w:r>
      <w:r w:rsidRPr="000009BA">
        <w:fldChar w:fldCharType="separate"/>
      </w:r>
      <w:r w:rsidR="006E1902" w:rsidRPr="006E1902">
        <w:rPr>
          <w:noProof/>
        </w:rPr>
        <w:t>[193]</w:t>
      </w:r>
      <w:r w:rsidRPr="000009BA">
        <w:fldChar w:fldCharType="end"/>
      </w:r>
      <w:r w:rsidRPr="000009BA">
        <w:t>.</w:t>
      </w:r>
    </w:p>
    <w:p w14:paraId="1E924851" w14:textId="77777777" w:rsidR="000009BA" w:rsidRPr="000009BA" w:rsidRDefault="000009BA" w:rsidP="00F87A85">
      <w:pPr>
        <w:pStyle w:val="afd"/>
      </w:pPr>
      <w:r w:rsidRPr="000009BA">
        <w:t>Использование ультразвукового сопровождения даже при установке ЦВК при тромбоцитопении менее 20х10</w:t>
      </w:r>
      <w:r w:rsidRPr="009218FC">
        <w:rPr>
          <w:vertAlign w:val="superscript"/>
        </w:rPr>
        <w:t>9</w:t>
      </w:r>
      <w:r w:rsidRPr="000009BA">
        <w:t>/л позволяет избежать серьезных геморрагических осложнений.</w:t>
      </w:r>
    </w:p>
    <w:p w14:paraId="6CECFC0D" w14:textId="0679D011" w:rsidR="000009BA" w:rsidRPr="000009BA" w:rsidRDefault="000009BA" w:rsidP="00F87A85">
      <w:pPr>
        <w:pStyle w:val="afd"/>
      </w:pPr>
      <w:r w:rsidRPr="000009BA">
        <w:t>В настоящее время УЗИ считается «золотым стандартом» при установке центрального венозного катетера с использованием яремного доступа, так как</w:t>
      </w:r>
      <w:r w:rsidR="009218FC">
        <w:t xml:space="preserve"> верхняя яремная вена</w:t>
      </w:r>
      <w:r w:rsidRPr="000009BA">
        <w:t xml:space="preserve"> близко прилежит к поверхности кожи, нет мышц, которые бы могли затруднить визуализацию </w:t>
      </w:r>
      <w:r w:rsidRPr="000009BA">
        <w:fldChar w:fldCharType="begin" w:fldLock="1"/>
      </w:r>
      <w:r w:rsidR="00A6794A">
        <w:instrText>ADDIN CSL_CITATION {"citationItems":[{"id":"ITEM-1","itemData":{"DOI":"10.1097/01.CCM.0000171533.92856.E5","ISSN":"0090-3493","author":[{"dropping-particle":"","family":"Milling","given":"Truman J.","non-dropping-particle":"","parse-names":false,"suffix":""},{"dropping-particle":"","family":"Rose","given":"John","non-dropping-particle":"","parse-names":false,"suffix":""},{"dropping-particle":"","family":"Briggs","given":"William M.","non-dropping-particle":"","parse-names":false,"suffix":""},{"dropping-particle":"","family":"Birkhahn","given":"Robert","non-dropping-particle":"","parse-names":false,"suffix":""},{"dropping-particle":"","family":"Gaeta","given":"Theodore J.","non-dropping-particle":"","parse-names":false,"suffix":""},{"dropping-particle":"","family":"Bove","given":"Joseph J.","non-dropping-particle":"","parse-names":false,"suffix":""},{"dropping-particle":"","family":"Melniker","given":"Lawrence A.","non-dropping-particle":"","parse-names":false,"suffix":""}],"container-title":"Critical Care Medicine","id":"ITEM-1","issue":"8","issued":{"date-parts":[["2005","8"]]},"page":"1764-1769","title":"Randomized, controlled clinical trial of point-of-care limited ultrasonography assistance of central venous cannulation: The Third Sonography Outcomes Assessment Program (SOAP-3) Trial*","type":"article-journal","volume":"33"},"uris":["http://www.mendeley.com/documents/?uuid=054ddacc-452c-3e56-9229-17632ae9ca05","http://www.mendeley.com/documents/?uuid=d52028d6-19cc-49b2-bfeb-b898ed00d7fe"]}],"mendeley":{"formattedCitation":"[194]","plainTextFormattedCitation":"[194]","previouslyFormattedCitation":"[194]"},"properties":{"noteIndex":0},"schema":"https://github.com/citation-style-language/schema/raw/master/csl-citation.json"}</w:instrText>
      </w:r>
      <w:r w:rsidRPr="000009BA">
        <w:fldChar w:fldCharType="separate"/>
      </w:r>
      <w:r w:rsidR="006E1902" w:rsidRPr="006E1902">
        <w:rPr>
          <w:noProof/>
        </w:rPr>
        <w:t>[194]</w:t>
      </w:r>
      <w:r w:rsidRPr="000009BA">
        <w:fldChar w:fldCharType="end"/>
      </w:r>
      <w:r w:rsidRPr="000009BA">
        <w:t>. Помимо этого, правая</w:t>
      </w:r>
      <w:r w:rsidR="009218FC">
        <w:t xml:space="preserve"> верхняя яремная вена</w:t>
      </w:r>
      <w:r w:rsidRPr="000009BA">
        <w:t xml:space="preserve"> образует практически прямую линию, что уменьшает травму сосуда и риск возникновения</w:t>
      </w:r>
      <w:r w:rsidR="009218FC">
        <w:t xml:space="preserve"> катетер-ассоциированного тромбоза</w:t>
      </w:r>
      <w:r w:rsidRPr="000009BA">
        <w:t xml:space="preserve"> при использовании катетера.</w:t>
      </w:r>
    </w:p>
    <w:p w14:paraId="5A8E7A81" w14:textId="77777777" w:rsidR="000009BA" w:rsidRPr="000009BA" w:rsidRDefault="000009BA" w:rsidP="00F87A85">
      <w:pPr>
        <w:pStyle w:val="afd"/>
      </w:pPr>
      <w:r w:rsidRPr="000009BA">
        <w:t xml:space="preserve">Ультразвуковое сопровождение катетеризации центральных вен не исключает знания анатомии и поверхностных анатомических ориентиров, которые остаются необходимыми для ориентации как иглы, так и самого ультразвукового датчика. Ультразвуковое сопровождение катетеризации позволяет визуализировать не только вену, но и располагающиеся вблизи анатомические структуры. </w:t>
      </w:r>
    </w:p>
    <w:p w14:paraId="26FE8367" w14:textId="77777777" w:rsidR="000009BA" w:rsidRPr="000009BA" w:rsidRDefault="000009BA" w:rsidP="00F87A85">
      <w:pPr>
        <w:pStyle w:val="afd"/>
      </w:pPr>
      <w:r w:rsidRPr="000009BA">
        <w:t>В случае выявления поражения средостения по данным рентгенологического исследования, а также при клинической картине синдрома сдавления верхней полой вены, перед катетеризацией необходимо выполнение КТ органов грудной клетки с болюсным контрастным усилением для оценки проходимости крупных венозных сосудов, диагностики тромботических осложнений.</w:t>
      </w:r>
    </w:p>
    <w:p w14:paraId="0D03C669" w14:textId="77777777" w:rsidR="000009BA" w:rsidRPr="000009BA" w:rsidRDefault="000009BA" w:rsidP="00F87A85">
      <w:pPr>
        <w:pStyle w:val="afd"/>
      </w:pPr>
    </w:p>
    <w:p w14:paraId="64DF6244" w14:textId="77777777" w:rsidR="000009BA" w:rsidRPr="009218FC" w:rsidRDefault="000009BA" w:rsidP="00F87A85">
      <w:pPr>
        <w:pStyle w:val="afd"/>
        <w:rPr>
          <w:b/>
          <w:bCs/>
        </w:rPr>
      </w:pPr>
      <w:r w:rsidRPr="009218FC">
        <w:rPr>
          <w:b/>
          <w:bCs/>
        </w:rPr>
        <w:t>Профилактика осложнений</w:t>
      </w:r>
    </w:p>
    <w:p w14:paraId="68C9A66A" w14:textId="77777777" w:rsidR="000009BA" w:rsidRPr="009218FC" w:rsidRDefault="000009BA" w:rsidP="00F87A85">
      <w:pPr>
        <w:pStyle w:val="afd"/>
        <w:rPr>
          <w:i/>
          <w:iCs/>
        </w:rPr>
      </w:pPr>
      <w:r w:rsidRPr="009218FC">
        <w:rPr>
          <w:i/>
          <w:iCs/>
        </w:rPr>
        <w:t>Методы профилактики ранних осложнений</w:t>
      </w:r>
    </w:p>
    <w:p w14:paraId="3A36B447" w14:textId="7A052FD7" w:rsidR="000009BA" w:rsidRPr="000009BA" w:rsidRDefault="000009BA" w:rsidP="00FE0193">
      <w:pPr>
        <w:pStyle w:val="afd"/>
        <w:numPr>
          <w:ilvl w:val="0"/>
          <w:numId w:val="85"/>
        </w:numPr>
      </w:pPr>
      <w:r w:rsidRPr="000009BA">
        <w:t>Ультразвуковое сопровождение катетеризации центральных вен</w:t>
      </w:r>
      <w:r w:rsidR="009218FC">
        <w:t xml:space="preserve"> с</w:t>
      </w:r>
      <w:r w:rsidRPr="000009BA">
        <w:t xml:space="preserve"> использованием линейного датчика 10 МГц, который обеспечивает поверхность сканирования 20-50 мм и глубину до 80 мм или в допплеровском режиме.</w:t>
      </w:r>
    </w:p>
    <w:p w14:paraId="5FAEDF62" w14:textId="77777777" w:rsidR="000009BA" w:rsidRPr="000009BA" w:rsidRDefault="000009BA" w:rsidP="00FE0193">
      <w:pPr>
        <w:pStyle w:val="afd"/>
        <w:numPr>
          <w:ilvl w:val="0"/>
          <w:numId w:val="85"/>
        </w:numPr>
      </w:pPr>
      <w:r w:rsidRPr="000009BA">
        <w:t>Пункцию вены осуществляют в режиме постоянной визуализации острия иглы.</w:t>
      </w:r>
    </w:p>
    <w:p w14:paraId="52BC9967" w14:textId="77777777" w:rsidR="000009BA" w:rsidRPr="000009BA" w:rsidRDefault="000009BA" w:rsidP="00FE0193">
      <w:pPr>
        <w:pStyle w:val="afd"/>
        <w:numPr>
          <w:ilvl w:val="0"/>
          <w:numId w:val="85"/>
        </w:numPr>
      </w:pPr>
      <w:r w:rsidRPr="000009BA">
        <w:t xml:space="preserve">Нарушения гемостаза компенсируются с помощью заместительной терапии компонентами крови. </w:t>
      </w:r>
    </w:p>
    <w:p w14:paraId="2855E65A" w14:textId="77777777" w:rsidR="000009BA" w:rsidRPr="000009BA" w:rsidRDefault="000009BA" w:rsidP="00FE0193">
      <w:pPr>
        <w:pStyle w:val="afd"/>
        <w:numPr>
          <w:ilvl w:val="0"/>
          <w:numId w:val="85"/>
        </w:numPr>
        <w:rPr>
          <w:rFonts w:eastAsia="ＭＳ 明朝 (Основной текст темы (ази"/>
        </w:rPr>
      </w:pPr>
      <w:r w:rsidRPr="000009BA">
        <w:t>Трансфузию концентратов тромбоцитов выполняют при снижении их концентрации в периферической крови ниже 20х10</w:t>
      </w:r>
      <w:r w:rsidRPr="009218FC">
        <w:rPr>
          <w:vertAlign w:val="superscript"/>
        </w:rPr>
        <w:t>9</w:t>
      </w:r>
      <w:r w:rsidRPr="000009BA">
        <w:t xml:space="preserve">/л </w:t>
      </w:r>
      <w:r w:rsidRPr="000009BA">
        <w:rPr>
          <w:rFonts w:eastAsia="ＭＳ 明朝 (Основной текст темы (ази"/>
        </w:rPr>
        <w:t>из расчета 1 ед. или 0,6х10</w:t>
      </w:r>
      <w:r w:rsidRPr="009218FC">
        <w:rPr>
          <w:rFonts w:eastAsia="ＭＳ 明朝 (Основной текст темы (ази"/>
          <w:vertAlign w:val="superscript"/>
        </w:rPr>
        <w:t>11</w:t>
      </w:r>
      <w:r w:rsidRPr="000009BA">
        <w:rPr>
          <w:rFonts w:eastAsia="ＭＳ 明朝 (Основной текст темы (ази"/>
        </w:rPr>
        <w:t xml:space="preserve"> клеток на 10 кг массы тела либо 1 терапевтическая доза (2х10</w:t>
      </w:r>
      <w:r w:rsidRPr="009218FC">
        <w:rPr>
          <w:rFonts w:eastAsia="ＭＳ 明朝 (Основной текст темы (ази"/>
          <w:vertAlign w:val="superscript"/>
        </w:rPr>
        <w:t>11</w:t>
      </w:r>
      <w:r w:rsidRPr="000009BA">
        <w:rPr>
          <w:rFonts w:eastAsia="ＭＳ 明朝 (Основной текст темы (ази"/>
        </w:rPr>
        <w:t xml:space="preserve"> клеток) на 1 м</w:t>
      </w:r>
      <w:r w:rsidRPr="009218FC">
        <w:rPr>
          <w:rFonts w:eastAsia="ＭＳ 明朝 (Основной текст темы (ази"/>
          <w:vertAlign w:val="superscript"/>
        </w:rPr>
        <w:t>2</w:t>
      </w:r>
      <w:r w:rsidRPr="000009BA">
        <w:rPr>
          <w:rFonts w:eastAsia="ＭＳ 明朝 (Основной текст темы (ази"/>
        </w:rPr>
        <w:t xml:space="preserve"> поверхности тела.</w:t>
      </w:r>
    </w:p>
    <w:p w14:paraId="0272CDAF" w14:textId="77777777" w:rsidR="000009BA" w:rsidRPr="000009BA" w:rsidRDefault="000009BA" w:rsidP="00FE0193">
      <w:pPr>
        <w:pStyle w:val="afd"/>
        <w:numPr>
          <w:ilvl w:val="0"/>
          <w:numId w:val="85"/>
        </w:numPr>
      </w:pPr>
      <w:r w:rsidRPr="000009BA">
        <w:rPr>
          <w:rFonts w:eastAsia="ＭＳ 明朝 (Основной текст темы (ази"/>
        </w:rPr>
        <w:t>Трансфузии</w:t>
      </w:r>
      <w:r w:rsidRPr="000009BA">
        <w:t xml:space="preserve"> криопреципитата выполняют при снижении концентрации фибриногена плазмы &lt;1,5 г/л из расчета 1 доза на 5 кг массы тела больного.</w:t>
      </w:r>
    </w:p>
    <w:p w14:paraId="094974E4" w14:textId="77777777" w:rsidR="000009BA" w:rsidRPr="000009BA" w:rsidRDefault="000009BA" w:rsidP="00FE0193">
      <w:pPr>
        <w:pStyle w:val="afd"/>
        <w:numPr>
          <w:ilvl w:val="0"/>
          <w:numId w:val="85"/>
        </w:numPr>
        <w:rPr>
          <w:rFonts w:eastAsia="ＭＳ 明朝 (Основной текст темы (ази"/>
        </w:rPr>
      </w:pPr>
      <w:r w:rsidRPr="000009BA">
        <w:t>Трансфузии свежезамороженной плазмы проводят для коррекции дефицита факторов свертывания в дозе 10-15 мл/кг для обеспечения концентрации факторов свёртывания на уровне 30%.</w:t>
      </w:r>
    </w:p>
    <w:p w14:paraId="5D09B8FD" w14:textId="590AB347" w:rsidR="009218FC" w:rsidRDefault="000009BA" w:rsidP="009218FC">
      <w:pPr>
        <w:pStyle w:val="afd"/>
      </w:pPr>
      <w:r w:rsidRPr="000009BA">
        <w:t>Хотя безопасным уровнем для катетеризации мы считаем количество тромбоцитов крови более 20 х 10</w:t>
      </w:r>
      <w:r w:rsidRPr="009218FC">
        <w:rPr>
          <w:vertAlign w:val="superscript"/>
        </w:rPr>
        <w:t>9</w:t>
      </w:r>
      <w:r w:rsidRPr="000009BA">
        <w:t>/л, у ряда пациентов достичь этого порогового уровня не удается вследствие различных причин, например, рефрактерность к трансфузиям. В этих случаях катетеризация центральной вены проводится только под контролем ультразвука.</w:t>
      </w:r>
    </w:p>
    <w:p w14:paraId="6EA807B6" w14:textId="0058783F" w:rsidR="000009BA" w:rsidRPr="009218FC" w:rsidRDefault="000009BA" w:rsidP="00F87A85">
      <w:pPr>
        <w:pStyle w:val="afd"/>
        <w:rPr>
          <w:i/>
          <w:iCs/>
        </w:rPr>
      </w:pPr>
      <w:r w:rsidRPr="009218FC">
        <w:rPr>
          <w:i/>
          <w:iCs/>
        </w:rPr>
        <w:t>Методы профилактики поздних осложнений</w:t>
      </w:r>
    </w:p>
    <w:p w14:paraId="3F3CB825" w14:textId="77777777" w:rsidR="000009BA" w:rsidRPr="000009BA" w:rsidRDefault="000009BA" w:rsidP="00F87A85">
      <w:pPr>
        <w:pStyle w:val="afd"/>
      </w:pPr>
      <w:r w:rsidRPr="000009BA">
        <w:t xml:space="preserve">После окончания использования все катетеры должны быть промыты соответствующим объемом 0,9% раствора NaCl** (табл. 1), а затем закрыты с помощью раствора, создающего «катетерный замок» также в соответствии с объемом катетера. На короткий срок (1-2 сут.) может быть использован «гепариновый замок» (гепарин натрия** в 0,9% растворе NaCl** в концентрации 100 Ед/мл), при закрытии катетера на длительный срок. </w:t>
      </w:r>
    </w:p>
    <w:p w14:paraId="177133FE" w14:textId="77777777" w:rsidR="000009BA" w:rsidRPr="000009BA" w:rsidRDefault="000009BA" w:rsidP="00F87A85">
      <w:pPr>
        <w:pStyle w:val="afd"/>
        <w:rPr>
          <w:rFonts w:eastAsia="ＭＳ 明朝 (Основной текст темы (ази"/>
        </w:rPr>
      </w:pPr>
      <w:r w:rsidRPr="000009BA">
        <w:rPr>
          <w:rFonts w:eastAsia="ＭＳ 明朝 (Основной текст темы (ази"/>
        </w:rPr>
        <w:lastRenderedPageBreak/>
        <w:t>В случае перерывов в лечении катетер необходимо промывать 1 раз в 24 часа для нетуннелируемых ЦВК, 1 раз в 7 (10) дней для ПИЦВК и туннелируемых катетеров, 1 раз в 30 дней для порт-систем.</w:t>
      </w:r>
    </w:p>
    <w:p w14:paraId="6CE454DD" w14:textId="2B50FC67" w:rsidR="000009BA" w:rsidRDefault="000009BA" w:rsidP="00F87A85">
      <w:pPr>
        <w:pStyle w:val="afd"/>
        <w:rPr>
          <w:rFonts w:eastAsia="ＭＳ 明朝 (Основной текст темы (ази"/>
        </w:rPr>
      </w:pPr>
      <w:r w:rsidRPr="000009BA">
        <w:rPr>
          <w:rFonts w:eastAsia="ＭＳ 明朝 (Основной текст темы (ази"/>
        </w:rPr>
        <w:t>Асептическая повязка накладывается на место выхода катетера на кожу. Частота замены повязки с обязательной обработкой места выхода катетера, в соответствии с общими принципами хирургической обработки, 2 раза в неделю при использовании нетуннелируемых катетеров, 1 раз в неделю для туннелируемых катетеров и ПИЦВК, и при необходимости (таб.1). Предпочтительно использовать прозрачные повязки для возможности ежедневной оценки кожи в месте установки катетера на наличие воспалительных изменений.</w:t>
      </w:r>
    </w:p>
    <w:p w14:paraId="5CEFD58E" w14:textId="77777777" w:rsidR="009218FC" w:rsidRPr="000009BA" w:rsidRDefault="009218FC" w:rsidP="00F87A85">
      <w:pPr>
        <w:pStyle w:val="afd"/>
      </w:pPr>
    </w:p>
    <w:p w14:paraId="0E9887F7" w14:textId="791EBD4C" w:rsidR="000009BA" w:rsidRPr="000009BA" w:rsidRDefault="000009BA" w:rsidP="00F87A85">
      <w:pPr>
        <w:pStyle w:val="afd"/>
      </w:pPr>
      <w:r w:rsidRPr="000009BA">
        <w:t xml:space="preserve">Таблица </w:t>
      </w:r>
      <w:r w:rsidR="009218FC">
        <w:t>7.11.</w:t>
      </w:r>
      <w:r w:rsidRPr="000009BA">
        <w:t>1. Режимы промывания и закрытия катетеров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1987"/>
        <w:gridCol w:w="6156"/>
      </w:tblGrid>
      <w:tr w:rsidR="000009BA" w:rsidRPr="000009BA" w14:paraId="1353C154" w14:textId="77777777" w:rsidTr="003D0E86">
        <w:trPr>
          <w:cantSplit/>
          <w:trHeight w:val="2220"/>
        </w:trPr>
        <w:tc>
          <w:tcPr>
            <w:tcW w:w="534" w:type="dxa"/>
            <w:vMerge w:val="restart"/>
            <w:textDirection w:val="btLr"/>
          </w:tcPr>
          <w:p w14:paraId="0CA4D4F1" w14:textId="77777777" w:rsidR="000009BA" w:rsidRPr="000009BA" w:rsidRDefault="000009BA" w:rsidP="009218FC">
            <w:pPr>
              <w:spacing w:line="360" w:lineRule="auto"/>
              <w:rPr>
                <w:rFonts w:eastAsia="ＭＳ 明朝 (Основной текст темы (ази"/>
              </w:rPr>
            </w:pPr>
            <w:r w:rsidRPr="000009BA">
              <w:rPr>
                <w:rFonts w:eastAsia="ＭＳ 明朝 (Основной текст темы (ази"/>
              </w:rPr>
              <w:t>Промывание катетера</w:t>
            </w:r>
          </w:p>
        </w:tc>
        <w:tc>
          <w:tcPr>
            <w:tcW w:w="2011" w:type="dxa"/>
            <w:shd w:val="clear" w:color="auto" w:fill="auto"/>
          </w:tcPr>
          <w:p w14:paraId="2A89DC99" w14:textId="77777777" w:rsidR="000009BA" w:rsidRPr="000009BA" w:rsidRDefault="000009BA" w:rsidP="009218FC">
            <w:pPr>
              <w:spacing w:line="360" w:lineRule="auto"/>
              <w:rPr>
                <w:rFonts w:eastAsia="ＭＳ 明朝 (Основной текст темы (ази"/>
              </w:rPr>
            </w:pPr>
            <w:r w:rsidRPr="000009BA">
              <w:rPr>
                <w:rFonts w:eastAsia="ＭＳ 明朝 (Основной текст темы (ази"/>
              </w:rPr>
              <w:t>Введение препаратов</w:t>
            </w:r>
          </w:p>
        </w:tc>
        <w:tc>
          <w:tcPr>
            <w:tcW w:w="7026" w:type="dxa"/>
            <w:shd w:val="clear" w:color="auto" w:fill="auto"/>
          </w:tcPr>
          <w:p w14:paraId="05E09228" w14:textId="77777777" w:rsidR="000009BA" w:rsidRPr="000009BA" w:rsidRDefault="000009BA" w:rsidP="009218FC">
            <w:pPr>
              <w:spacing w:line="360" w:lineRule="auto"/>
              <w:rPr>
                <w:rFonts w:eastAsia="ＭＳ 明朝 (Основной текст темы (ази"/>
              </w:rPr>
            </w:pPr>
            <w:r w:rsidRPr="000009BA">
              <w:rPr>
                <w:rFonts w:eastAsia="ＭＳ 明朝 (Основной текст темы (ази"/>
              </w:rPr>
              <w:t xml:space="preserve">Промывать катетеры необходимо до и после введения лекарственных препаратов и компонентов крови. Использовать болюсное (импульсный режим) промывание 10 мл </w:t>
            </w:r>
            <w:r w:rsidRPr="000009BA">
              <w:t>0,9% раствора NaCl**</w:t>
            </w:r>
            <w:r w:rsidRPr="000009BA">
              <w:rPr>
                <w:rFonts w:eastAsia="ＭＳ 明朝 (Основной текст темы (ази"/>
              </w:rPr>
              <w:t xml:space="preserve"> для всех внутривенных катетеров (за исключением периферических катетеров, где достаточно 5 мл). </w:t>
            </w:r>
          </w:p>
        </w:tc>
      </w:tr>
      <w:tr w:rsidR="000009BA" w:rsidRPr="000009BA" w14:paraId="20315588" w14:textId="77777777" w:rsidTr="003D0E86">
        <w:trPr>
          <w:cantSplit/>
          <w:trHeight w:val="1920"/>
        </w:trPr>
        <w:tc>
          <w:tcPr>
            <w:tcW w:w="534" w:type="dxa"/>
            <w:vMerge/>
            <w:textDirection w:val="btLr"/>
          </w:tcPr>
          <w:p w14:paraId="0F2C8138" w14:textId="77777777" w:rsidR="000009BA" w:rsidRPr="000009BA" w:rsidRDefault="000009BA" w:rsidP="009218FC">
            <w:pPr>
              <w:spacing w:line="360" w:lineRule="auto"/>
              <w:rPr>
                <w:rFonts w:eastAsia="ＭＳ 明朝 (Основной текст темы (ази"/>
              </w:rPr>
            </w:pPr>
          </w:p>
        </w:tc>
        <w:tc>
          <w:tcPr>
            <w:tcW w:w="2011" w:type="dxa"/>
            <w:shd w:val="clear" w:color="auto" w:fill="auto"/>
          </w:tcPr>
          <w:p w14:paraId="396602AF" w14:textId="77777777" w:rsidR="000009BA" w:rsidRPr="000009BA" w:rsidRDefault="000009BA" w:rsidP="009218FC">
            <w:pPr>
              <w:spacing w:line="360" w:lineRule="auto"/>
              <w:rPr>
                <w:rFonts w:eastAsia="ＭＳ 明朝 (Основной текст темы (ази"/>
              </w:rPr>
            </w:pPr>
            <w:r w:rsidRPr="000009BA">
              <w:rPr>
                <w:rFonts w:eastAsia="ＭＳ 明朝 (Основной текст темы (ази"/>
              </w:rPr>
              <w:t>Парентеральное питание, компоненты крови</w:t>
            </w:r>
          </w:p>
        </w:tc>
        <w:tc>
          <w:tcPr>
            <w:tcW w:w="7026" w:type="dxa"/>
            <w:shd w:val="clear" w:color="auto" w:fill="auto"/>
          </w:tcPr>
          <w:p w14:paraId="1981B60A" w14:textId="77777777" w:rsidR="000009BA" w:rsidRPr="000009BA" w:rsidRDefault="000009BA" w:rsidP="009218FC">
            <w:pPr>
              <w:spacing w:line="360" w:lineRule="auto"/>
              <w:rPr>
                <w:rFonts w:eastAsia="ＭＳ 明朝 (Основной текст темы (ази"/>
              </w:rPr>
            </w:pPr>
            <w:r w:rsidRPr="000009BA">
              <w:rPr>
                <w:rFonts w:eastAsia="ＭＳ 明朝 (Основной текст темы (ази"/>
              </w:rPr>
              <w:t>После введения в катетер компонентов крови или парентерально питания использовать 20 мл (10 мл х 2) для промывания катетера. Промывать необходимо чередуя импульсный режим и струйное болюсное введение.</w:t>
            </w:r>
          </w:p>
        </w:tc>
      </w:tr>
      <w:tr w:rsidR="000009BA" w:rsidRPr="000009BA" w14:paraId="222846DB" w14:textId="77777777" w:rsidTr="003D0E86">
        <w:trPr>
          <w:cantSplit/>
          <w:trHeight w:val="1134"/>
        </w:trPr>
        <w:tc>
          <w:tcPr>
            <w:tcW w:w="534" w:type="dxa"/>
            <w:vMerge w:val="restart"/>
            <w:textDirection w:val="btLr"/>
          </w:tcPr>
          <w:p w14:paraId="1FAB0937" w14:textId="77777777" w:rsidR="000009BA" w:rsidRPr="000009BA" w:rsidRDefault="000009BA" w:rsidP="009218FC">
            <w:pPr>
              <w:spacing w:line="360" w:lineRule="auto"/>
              <w:rPr>
                <w:rFonts w:eastAsia="ＭＳ 明朝 (Основной текст темы (ази"/>
              </w:rPr>
            </w:pPr>
            <w:r w:rsidRPr="000009BA">
              <w:rPr>
                <w:rFonts w:eastAsia="ＭＳ 明朝 (Основной текст темы (ази"/>
              </w:rPr>
              <w:t>Закрытие катетера</w:t>
            </w:r>
          </w:p>
        </w:tc>
        <w:tc>
          <w:tcPr>
            <w:tcW w:w="2011" w:type="dxa"/>
            <w:shd w:val="clear" w:color="auto" w:fill="auto"/>
          </w:tcPr>
          <w:p w14:paraId="7F8D4F67" w14:textId="77777777" w:rsidR="000009BA" w:rsidRPr="000009BA" w:rsidRDefault="000009BA" w:rsidP="009218FC">
            <w:pPr>
              <w:spacing w:line="360" w:lineRule="auto"/>
              <w:rPr>
                <w:rFonts w:eastAsia="ＭＳ 明朝 (Основной текст темы (ази"/>
              </w:rPr>
            </w:pPr>
            <w:r w:rsidRPr="000009BA">
              <w:rPr>
                <w:rFonts w:eastAsia="ＭＳ 明朝 (Основной текст темы (ази"/>
              </w:rPr>
              <w:t xml:space="preserve">Объем </w:t>
            </w:r>
          </w:p>
        </w:tc>
        <w:tc>
          <w:tcPr>
            <w:tcW w:w="7026" w:type="dxa"/>
            <w:shd w:val="clear" w:color="auto" w:fill="auto"/>
          </w:tcPr>
          <w:p w14:paraId="6B2C2D1C" w14:textId="77777777" w:rsidR="000009BA" w:rsidRPr="000009BA" w:rsidRDefault="000009BA" w:rsidP="009218FC">
            <w:pPr>
              <w:spacing w:line="360" w:lineRule="auto"/>
              <w:rPr>
                <w:rFonts w:eastAsia="ＭＳ 明朝 (Основной текст темы (ази"/>
              </w:rPr>
            </w:pPr>
            <w:r w:rsidRPr="000009BA">
              <w:rPr>
                <w:rFonts w:eastAsia="ＭＳ 明朝 (Основной текст темы (ази"/>
              </w:rPr>
              <w:t>1 мл для периферических катетеров</w:t>
            </w:r>
          </w:p>
          <w:p w14:paraId="18CB6D68" w14:textId="77777777" w:rsidR="000009BA" w:rsidRPr="000009BA" w:rsidRDefault="000009BA" w:rsidP="009218FC">
            <w:pPr>
              <w:spacing w:line="360" w:lineRule="auto"/>
              <w:rPr>
                <w:rFonts w:eastAsia="ＭＳ 明朝 (Основной текст темы (ази"/>
              </w:rPr>
            </w:pPr>
            <w:r w:rsidRPr="000009BA">
              <w:rPr>
                <w:rFonts w:eastAsia="ＭＳ 明朝 (Основной текст темы (ази"/>
              </w:rPr>
              <w:t>1,5 мл для катетеров типа MidLine, ПИЦВК, нетуннелируемых ЦВК и туннелируемых ЦВК с небольшим (</w:t>
            </w:r>
            <w:r w:rsidRPr="000009BA">
              <w:rPr>
                <w:rFonts w:eastAsia="MS Gothic"/>
              </w:rPr>
              <w:t>≤1 мм)</w:t>
            </w:r>
            <w:r w:rsidRPr="000009BA">
              <w:rPr>
                <w:rFonts w:eastAsia="ＭＳ 明朝 (Основной текст темы (ази"/>
              </w:rPr>
              <w:t xml:space="preserve"> внутренним диаметром </w:t>
            </w:r>
          </w:p>
          <w:p w14:paraId="4F30E75A" w14:textId="77777777" w:rsidR="000009BA" w:rsidRPr="000009BA" w:rsidRDefault="000009BA" w:rsidP="009218FC">
            <w:pPr>
              <w:spacing w:line="360" w:lineRule="auto"/>
              <w:rPr>
                <w:rFonts w:eastAsia="ＭＳ 明朝 (Основной текст темы (ази"/>
              </w:rPr>
            </w:pPr>
            <w:r w:rsidRPr="000009BA">
              <w:rPr>
                <w:rFonts w:eastAsia="ＭＳ 明朝 (Основной текст темы (ази"/>
              </w:rPr>
              <w:t>2,0-2,5 мл для туннелируемых ЦВК с большим (≥</w:t>
            </w:r>
            <w:r w:rsidRPr="000009BA">
              <w:rPr>
                <w:rFonts w:eastAsia="MS Gothic"/>
              </w:rPr>
              <w:t>1 мм)</w:t>
            </w:r>
            <w:r w:rsidRPr="000009BA">
              <w:rPr>
                <w:rFonts w:eastAsia="ＭＳ 明朝 (Основной текст темы (ази"/>
              </w:rPr>
              <w:t xml:space="preserve"> внутренним диаметром (в каждый ход), порт систем</w:t>
            </w:r>
          </w:p>
        </w:tc>
      </w:tr>
      <w:tr w:rsidR="000009BA" w:rsidRPr="000009BA" w14:paraId="11EF0998" w14:textId="77777777" w:rsidTr="003D0E86">
        <w:trPr>
          <w:cantSplit/>
          <w:trHeight w:val="1134"/>
        </w:trPr>
        <w:tc>
          <w:tcPr>
            <w:tcW w:w="534" w:type="dxa"/>
            <w:vMerge/>
            <w:textDirection w:val="btLr"/>
          </w:tcPr>
          <w:p w14:paraId="7E330D41" w14:textId="77777777" w:rsidR="000009BA" w:rsidRPr="000009BA" w:rsidRDefault="000009BA" w:rsidP="009218FC">
            <w:pPr>
              <w:spacing w:line="360" w:lineRule="auto"/>
              <w:rPr>
                <w:rFonts w:eastAsia="ＭＳ 明朝 (Основной текст темы (ази"/>
              </w:rPr>
            </w:pPr>
          </w:p>
        </w:tc>
        <w:tc>
          <w:tcPr>
            <w:tcW w:w="2011" w:type="dxa"/>
            <w:shd w:val="clear" w:color="auto" w:fill="auto"/>
          </w:tcPr>
          <w:p w14:paraId="079084AE" w14:textId="77777777" w:rsidR="000009BA" w:rsidRPr="000009BA" w:rsidRDefault="000009BA" w:rsidP="009218FC">
            <w:pPr>
              <w:spacing w:line="360" w:lineRule="auto"/>
              <w:rPr>
                <w:rFonts w:eastAsia="ＭＳ 明朝 (Основной текст темы (ази"/>
              </w:rPr>
            </w:pPr>
            <w:r w:rsidRPr="000009BA">
              <w:rPr>
                <w:rFonts w:eastAsia="ＭＳ 明朝 (Основной текст темы (ази"/>
              </w:rPr>
              <w:t>Режимы</w:t>
            </w:r>
          </w:p>
        </w:tc>
        <w:tc>
          <w:tcPr>
            <w:tcW w:w="7026" w:type="dxa"/>
            <w:shd w:val="clear" w:color="auto" w:fill="auto"/>
          </w:tcPr>
          <w:p w14:paraId="4E3EC9AC" w14:textId="77777777" w:rsidR="000009BA" w:rsidRPr="000009BA" w:rsidRDefault="000009BA" w:rsidP="009218FC">
            <w:pPr>
              <w:spacing w:line="360" w:lineRule="auto"/>
              <w:rPr>
                <w:rFonts w:eastAsia="ＭＳ 明朝 (Основной текст темы (ази"/>
              </w:rPr>
            </w:pPr>
            <w:r w:rsidRPr="000009BA">
              <w:rPr>
                <w:rFonts w:eastAsia="ＭＳ 明朝 (Основной текст темы (ази"/>
              </w:rPr>
              <w:t>Каждые 8-24 ч для кратковременных ЦВК</w:t>
            </w:r>
          </w:p>
          <w:p w14:paraId="59CBA9BE" w14:textId="77777777" w:rsidR="000009BA" w:rsidRPr="000009BA" w:rsidRDefault="000009BA" w:rsidP="009218FC">
            <w:pPr>
              <w:spacing w:line="360" w:lineRule="auto"/>
              <w:rPr>
                <w:rFonts w:eastAsia="ＭＳ 明朝 (Основной текст темы (ази"/>
              </w:rPr>
            </w:pPr>
            <w:r w:rsidRPr="000009BA">
              <w:rPr>
                <w:rFonts w:eastAsia="ＭＳ 明朝 (Основной текст темы (ази"/>
              </w:rPr>
              <w:t>Еженедельно – для туннелируемых ЦВК и ПИЦВК</w:t>
            </w:r>
          </w:p>
          <w:p w14:paraId="753BCB31" w14:textId="77777777" w:rsidR="000009BA" w:rsidRPr="000009BA" w:rsidRDefault="000009BA" w:rsidP="009218FC">
            <w:pPr>
              <w:spacing w:line="360" w:lineRule="auto"/>
              <w:rPr>
                <w:rFonts w:eastAsia="ＭＳ 明朝 (Основной текст темы (ази"/>
              </w:rPr>
            </w:pPr>
            <w:r w:rsidRPr="000009BA">
              <w:rPr>
                <w:rFonts w:eastAsia="ＭＳ 明朝 (Основной текст темы (ази"/>
              </w:rPr>
              <w:t>Каждые 6-8 недель для порт-систем</w:t>
            </w:r>
          </w:p>
        </w:tc>
      </w:tr>
    </w:tbl>
    <w:p w14:paraId="1A4FCA30" w14:textId="77777777" w:rsidR="000009BA" w:rsidRPr="000009BA" w:rsidRDefault="000009BA" w:rsidP="000009BA"/>
    <w:p w14:paraId="020C4F3C" w14:textId="77777777" w:rsidR="000009BA" w:rsidRPr="000009BA" w:rsidRDefault="000009BA" w:rsidP="009218FC">
      <w:pPr>
        <w:pStyle w:val="afd"/>
      </w:pPr>
      <w:r w:rsidRPr="000009BA">
        <w:t>Алгоритм действий врача</w:t>
      </w:r>
    </w:p>
    <w:p w14:paraId="2D486253" w14:textId="4CBF3091" w:rsidR="000009BA" w:rsidRPr="000009BA" w:rsidRDefault="000009BA" w:rsidP="009218FC">
      <w:pPr>
        <w:pStyle w:val="afd"/>
      </w:pPr>
      <w:r w:rsidRPr="000009BA">
        <w:lastRenderedPageBreak/>
        <w:t>Манипуляция проводится только при наличии информированного согласия на проведение катетеризации.</w:t>
      </w:r>
    </w:p>
    <w:p w14:paraId="4CF0E677" w14:textId="77777777" w:rsidR="000009BA" w:rsidRPr="000009BA" w:rsidRDefault="000009BA" w:rsidP="00FE0193">
      <w:pPr>
        <w:pStyle w:val="afd"/>
        <w:numPr>
          <w:ilvl w:val="0"/>
          <w:numId w:val="86"/>
        </w:numPr>
      </w:pPr>
      <w:r w:rsidRPr="000009BA">
        <w:t>Физикальный осмотр</w:t>
      </w:r>
    </w:p>
    <w:p w14:paraId="50C64BAE" w14:textId="77777777" w:rsidR="000009BA" w:rsidRPr="000009BA" w:rsidRDefault="000009BA" w:rsidP="00FE0193">
      <w:pPr>
        <w:pStyle w:val="afd"/>
        <w:numPr>
          <w:ilvl w:val="0"/>
          <w:numId w:val="86"/>
        </w:numPr>
      </w:pPr>
      <w:r w:rsidRPr="000009BA">
        <w:t xml:space="preserve">Выбор типа ЦВК после физикального осмотра, сбора анамнеза, ознакомления с результатами лабораторных и инструментальных методов исследования. </w:t>
      </w:r>
    </w:p>
    <w:p w14:paraId="625233FE" w14:textId="77777777" w:rsidR="000009BA" w:rsidRPr="000009BA" w:rsidRDefault="000009BA" w:rsidP="00FE0193">
      <w:pPr>
        <w:pStyle w:val="afd"/>
        <w:numPr>
          <w:ilvl w:val="0"/>
          <w:numId w:val="86"/>
        </w:numPr>
      </w:pPr>
      <w:r w:rsidRPr="000009BA">
        <w:t>Дуплексное сканирование вен в месте планируемой установки ЦВК (определяется диаметр вены, наличие сдавления вен в месте пункции и по ходу установленного ЦВК, тромба в просвете вен, наличие клапанного аппарата и его состоятельность. Устанавливать ЦВК в вену, диаметр которой не превышает 50% диаметра катетера и/или выявлен тромбоз недопустимо).</w:t>
      </w:r>
    </w:p>
    <w:p w14:paraId="06A172B1" w14:textId="77777777" w:rsidR="000009BA" w:rsidRPr="000009BA" w:rsidRDefault="000009BA" w:rsidP="00FE0193">
      <w:pPr>
        <w:pStyle w:val="afd"/>
        <w:numPr>
          <w:ilvl w:val="0"/>
          <w:numId w:val="86"/>
        </w:numPr>
      </w:pPr>
      <w:r w:rsidRPr="000009BA">
        <w:t>Имплантация ЦВК с обязательным позиционированием дистального конца у кава-атриального соединения в случае катетеризации верхней полой вены и кава-атриального соединения или ниже устья почечных вен при катетеризации нижней половй вены.</w:t>
      </w:r>
    </w:p>
    <w:p w14:paraId="7AB9947D" w14:textId="77777777" w:rsidR="000009BA" w:rsidRPr="000009BA" w:rsidRDefault="000009BA" w:rsidP="00FE0193">
      <w:pPr>
        <w:pStyle w:val="afd"/>
        <w:numPr>
          <w:ilvl w:val="0"/>
          <w:numId w:val="86"/>
        </w:numPr>
      </w:pPr>
      <w:r w:rsidRPr="000009BA">
        <w:t>Закрепление катетера на коже больного у места выхода с использованием шовных материалов или устройств бесшовной фиксации.</w:t>
      </w:r>
    </w:p>
    <w:p w14:paraId="3C827559" w14:textId="77777777" w:rsidR="000009BA" w:rsidRPr="000009BA" w:rsidRDefault="000009BA" w:rsidP="00FE0193">
      <w:pPr>
        <w:pStyle w:val="afd"/>
        <w:numPr>
          <w:ilvl w:val="0"/>
          <w:numId w:val="86"/>
        </w:numPr>
      </w:pPr>
      <w:r w:rsidRPr="000009BA">
        <w:t>Наложение асептической повязки.</w:t>
      </w:r>
    </w:p>
    <w:p w14:paraId="73DCAD92" w14:textId="77777777" w:rsidR="000009BA" w:rsidRPr="000009BA" w:rsidRDefault="000009BA" w:rsidP="00FE0193">
      <w:pPr>
        <w:pStyle w:val="afd"/>
        <w:numPr>
          <w:ilvl w:val="0"/>
          <w:numId w:val="86"/>
        </w:numPr>
      </w:pPr>
      <w:r w:rsidRPr="000009BA">
        <w:t>Заполнение протокола катетеризации с обязательным указанием ранних осложнений, количества попыток катетеризации, типа установленного ЦВК.</w:t>
      </w:r>
    </w:p>
    <w:p w14:paraId="73FBBCDC" w14:textId="77777777" w:rsidR="000009BA" w:rsidRPr="000009BA" w:rsidRDefault="000009BA" w:rsidP="009218FC">
      <w:pPr>
        <w:pStyle w:val="afd"/>
      </w:pPr>
    </w:p>
    <w:p w14:paraId="1B8949D2" w14:textId="1AF77CEB" w:rsidR="000009BA" w:rsidRPr="009218FC" w:rsidRDefault="000009BA" w:rsidP="009218FC">
      <w:pPr>
        <w:pStyle w:val="afd"/>
        <w:rPr>
          <w:b/>
          <w:bCs/>
        </w:rPr>
      </w:pPr>
      <w:r w:rsidRPr="009218FC">
        <w:rPr>
          <w:b/>
          <w:bCs/>
        </w:rPr>
        <w:t>Дополнительные сведения об особенностях выполнения обработки катетера (смена повязки)</w:t>
      </w:r>
    </w:p>
    <w:p w14:paraId="7CE1C78A" w14:textId="77777777" w:rsidR="000009BA" w:rsidRPr="000009BA" w:rsidRDefault="000009BA" w:rsidP="009218FC">
      <w:pPr>
        <w:pStyle w:val="afd"/>
      </w:pPr>
      <w:r w:rsidRPr="000009BA">
        <w:t>При проведении процедуры обработки (перевязки) с ЦВК пациент может сидеть или лежать на спине, рука, на стороне которой в вене находится катетер, расположена вдоль туловища. При применении дополнительных зажимов не катетере снятие заглушки не связано с фазой дыхания. При проведении процедуры с катетером, находящимся в бедренной вене, ножной конец кровати опущен на 25°. Снятие заглушки не связано с фазой дыхания.</w:t>
      </w:r>
    </w:p>
    <w:p w14:paraId="7CB0F98E" w14:textId="77777777" w:rsidR="000009BA" w:rsidRPr="000009BA" w:rsidRDefault="000009BA" w:rsidP="009218FC">
      <w:pPr>
        <w:pStyle w:val="afd"/>
      </w:pPr>
      <w:r w:rsidRPr="000009BA">
        <w:t>При смене повязки у пациентов с чувствительной кожей рекомендуется нанести стерильное барьерное средство для защиты кожи вокруг места установки сосудистого катетера и дождаться полного его высыхания.</w:t>
      </w:r>
    </w:p>
    <w:p w14:paraId="2C62C9AD" w14:textId="77777777" w:rsidR="000009BA" w:rsidRPr="000009BA" w:rsidRDefault="000009BA" w:rsidP="009218FC">
      <w:pPr>
        <w:pStyle w:val="afd"/>
      </w:pPr>
      <w:r w:rsidRPr="000009BA">
        <w:lastRenderedPageBreak/>
        <w:t>Если наблюдается кровоточивость вокруг места входа катетера в первые сутки после его введения, допустимо использование нетканой повязки с впитывающей подушечкой, которая подлежит замене на прозрачную через 24ч.</w:t>
      </w:r>
    </w:p>
    <w:p w14:paraId="64DFCCE2" w14:textId="77777777" w:rsidR="000009BA" w:rsidRPr="000009BA" w:rsidRDefault="000009BA" w:rsidP="009218FC">
      <w:pPr>
        <w:pStyle w:val="afd"/>
      </w:pPr>
      <w:r w:rsidRPr="000009BA">
        <w:t>Замена прозрачных полиуретановых повязок на ЦВК производится каждые 5-7 сут (при условии, что фиксация не нарушена, нет выделений, сохранен обзор).</w:t>
      </w:r>
    </w:p>
    <w:p w14:paraId="78C3EE89" w14:textId="77777777" w:rsidR="000009BA" w:rsidRPr="000009BA" w:rsidRDefault="000009BA" w:rsidP="009218FC">
      <w:pPr>
        <w:pStyle w:val="afd"/>
      </w:pPr>
      <w:r w:rsidRPr="000009BA">
        <w:t>Визуальный осмотр места установки сосудистого катетера проводить не реже 1 раза в сутки</w:t>
      </w:r>
    </w:p>
    <w:bookmarkEnd w:id="73"/>
    <w:bookmarkEnd w:id="74"/>
    <w:p w14:paraId="0FA30851" w14:textId="77777777" w:rsidR="000009BA" w:rsidRPr="000009BA" w:rsidRDefault="000009BA" w:rsidP="000009BA"/>
    <w:p w14:paraId="51EF5A8E" w14:textId="51329EF5" w:rsidR="000009BA" w:rsidRPr="000009BA" w:rsidRDefault="000009BA" w:rsidP="003B7977">
      <w:pPr>
        <w:pStyle w:val="2"/>
      </w:pPr>
      <w:bookmarkStart w:id="75" w:name="_Toc85649745"/>
      <w:bookmarkStart w:id="76" w:name="_Toc96601265"/>
      <w:r w:rsidRPr="000009BA">
        <w:t>7.</w:t>
      </w:r>
      <w:r w:rsidR="003B7977">
        <w:t>12</w:t>
      </w:r>
      <w:r w:rsidRPr="000009BA">
        <w:t>. Лечение гематологического пациента в отделении реанимации и интенсивной терапии</w:t>
      </w:r>
      <w:bookmarkEnd w:id="75"/>
      <w:bookmarkEnd w:id="76"/>
    </w:p>
    <w:p w14:paraId="6671CCAE" w14:textId="77777777" w:rsidR="000009BA" w:rsidRPr="000009BA" w:rsidRDefault="000009BA" w:rsidP="003B7977">
      <w:pPr>
        <w:pStyle w:val="afd"/>
      </w:pPr>
      <w:r w:rsidRPr="000009BA">
        <w:t xml:space="preserve">У пациентов с гематологическими заболеваниями на этапах диагностики, лечения, наблюдения могут развиваться различные критические состояния вследствие разнообразных причин. Одна из наиболее частых причин, приводящих к этому – цитопения, которая возникает в результате опухолевой инфильтрации костного мозга или по причине проводимой химиотерапии, и может осложниться тяжелой инфекцией (пневмония, сепсис и др.) или жизнеугрожающими кровотечениями. Также при лечении впервые диагностированного онкогематологического заболевания может развиться синдром массивного лизиса опухоли, сопровождающейся острой почечной недостаточностью (ОПН), метаболическими нарушениями, острой дыхательной недостаточностью (ОДН). Для лечения этих критических состояний и поддержания жизнеобеспечения требуется перевод пациентов в отделение реанимации и интенсивной терапии (ОРИТ). </w:t>
      </w:r>
    </w:p>
    <w:p w14:paraId="36C619E9" w14:textId="77777777" w:rsidR="000009BA" w:rsidRPr="000009BA" w:rsidRDefault="000009BA" w:rsidP="003B7977">
      <w:pPr>
        <w:pStyle w:val="afd"/>
      </w:pPr>
      <w:r w:rsidRPr="000009BA">
        <w:t xml:space="preserve">Интенсивная терапия критических состояний, возникших у пациентов с онкогематологическими заболеваниями во время химиотерапии (ХТ), – это нередко единственный путь к их излечению, в ней нуждается почти четверть больных с гемобластозами, без нее невозможно полноценно реализовать индукционную химиотерапию у больных с жизнеугрожающими состояниями. </w:t>
      </w:r>
    </w:p>
    <w:p w14:paraId="68DCCC4B" w14:textId="77777777" w:rsidR="000009BA" w:rsidRPr="000009BA" w:rsidRDefault="000009BA" w:rsidP="003B7977">
      <w:pPr>
        <w:pStyle w:val="afd"/>
      </w:pPr>
      <w:r w:rsidRPr="000009BA">
        <w:t xml:space="preserve">Необходимость создания специализированных ОРИТ для гематологических пациентов обусловлена как высокой частотой развития критических осложнений во время индукционных курсов ХТ, так и успешным лечением этих осложнений и последующей благоприятной долгосрочной перспективой при достижении ремиссии заболевания. От 15% до 47% больных онкогематологическими заболеваниями нуждаются в переводе в ОРИТ во время лечения. Наличие критических синдромов и жизнеугрожающих состояний не является противопоказанием для проведения ХТ. </w:t>
      </w:r>
    </w:p>
    <w:p w14:paraId="7996527A" w14:textId="77777777" w:rsidR="000009BA" w:rsidRPr="000009BA" w:rsidRDefault="000009BA" w:rsidP="003B7977">
      <w:pPr>
        <w:pStyle w:val="afd"/>
      </w:pPr>
    </w:p>
    <w:p w14:paraId="16E70E7B" w14:textId="7A849BE5" w:rsidR="000009BA" w:rsidRPr="000009BA" w:rsidRDefault="000009BA" w:rsidP="003B7977">
      <w:pPr>
        <w:pStyle w:val="afd"/>
      </w:pPr>
      <w:r w:rsidRPr="000009BA">
        <w:t xml:space="preserve">В ряде исследований (табл. </w:t>
      </w:r>
      <w:r w:rsidR="003B7977">
        <w:t>7.12.</w:t>
      </w:r>
      <w:r w:rsidRPr="000009BA">
        <w:t>1) определены основные жизнеугрожающие синдромы, при которых требуется перевод больных АА в ОРИТ: ОДН в 30</w:t>
      </w:r>
      <w:r w:rsidR="00F50D40">
        <w:t>-</w:t>
      </w:r>
      <w:r w:rsidRPr="000009BA">
        <w:t>51% случаев, сепсис и СШ в 8</w:t>
      </w:r>
      <w:r w:rsidR="00F50D40">
        <w:t>-</w:t>
      </w:r>
      <w:r w:rsidRPr="000009BA">
        <w:t>42%, острая патология ЦНС - в 7</w:t>
      </w:r>
      <w:r w:rsidR="00F50D40">
        <w:t>-</w:t>
      </w:r>
      <w:r w:rsidRPr="000009BA">
        <w:t>17%, кровотечения - в 1</w:t>
      </w:r>
      <w:r w:rsidR="00F50D40">
        <w:t>-</w:t>
      </w:r>
      <w:r w:rsidRPr="000009BA">
        <w:t xml:space="preserve">22%, ОПН </w:t>
      </w:r>
      <w:r w:rsidR="00F50D40">
        <w:softHyphen/>
        <w:t>–</w:t>
      </w:r>
      <w:r w:rsidRPr="000009BA">
        <w:t xml:space="preserve"> в 3,2</w:t>
      </w:r>
      <w:r w:rsidR="00F50D40">
        <w:t>-</w:t>
      </w:r>
      <w:r w:rsidRPr="000009BA">
        <w:t xml:space="preserve">5%. Медиана пребывания в ОРИТ обычно составляет от 3 до 13 суток (0-97). Жизнеугрожающие состояния у этих больных развиваются преимущественно в начале лечения, а стоимость лечения от 2 до 20 раз выше по сравнению со стоимостью лечения пациентов в ОРИТ без онкогематологических заболеваний. </w:t>
      </w:r>
    </w:p>
    <w:p w14:paraId="39233769" w14:textId="77777777" w:rsidR="000009BA" w:rsidRPr="000009BA" w:rsidRDefault="000009BA" w:rsidP="003B7977">
      <w:pPr>
        <w:pStyle w:val="afd"/>
      </w:pPr>
    </w:p>
    <w:p w14:paraId="17118FDD" w14:textId="06B655FF" w:rsidR="000009BA" w:rsidRPr="000009BA" w:rsidRDefault="000009BA" w:rsidP="003B7977">
      <w:pPr>
        <w:pStyle w:val="afd"/>
      </w:pPr>
      <w:r w:rsidRPr="000009BA">
        <w:t xml:space="preserve">Таблица </w:t>
      </w:r>
      <w:r w:rsidR="003B7977">
        <w:t>7.12.</w:t>
      </w:r>
      <w:r w:rsidRPr="000009BA">
        <w:t>1. Причины перевода в ОРИТ пациентов с гемобластозами</w:t>
      </w:r>
    </w:p>
    <w:tbl>
      <w:tblPr>
        <w:tblStyle w:val="aff9"/>
        <w:tblW w:w="5000" w:type="pct"/>
        <w:tblLayout w:type="fixed"/>
        <w:tblLook w:val="04A0" w:firstRow="1" w:lastRow="0" w:firstColumn="1" w:lastColumn="0" w:noHBand="0" w:noVBand="1"/>
      </w:tblPr>
      <w:tblGrid>
        <w:gridCol w:w="2247"/>
        <w:gridCol w:w="746"/>
        <w:gridCol w:w="860"/>
        <w:gridCol w:w="1069"/>
        <w:gridCol w:w="1206"/>
        <w:gridCol w:w="801"/>
        <w:gridCol w:w="904"/>
        <w:gridCol w:w="946"/>
      </w:tblGrid>
      <w:tr w:rsidR="000009BA" w:rsidRPr="000009BA" w14:paraId="21053D7C" w14:textId="77777777" w:rsidTr="003D0E86">
        <w:trPr>
          <w:trHeight w:val="401"/>
        </w:trPr>
        <w:tc>
          <w:tcPr>
            <w:tcW w:w="1279" w:type="pct"/>
            <w:vMerge w:val="restart"/>
          </w:tcPr>
          <w:p w14:paraId="17C8C729" w14:textId="77777777" w:rsidR="000009BA" w:rsidRPr="000009BA" w:rsidRDefault="000009BA" w:rsidP="000009BA">
            <w:r w:rsidRPr="000009BA">
              <w:t>Источник</w:t>
            </w:r>
          </w:p>
        </w:tc>
        <w:tc>
          <w:tcPr>
            <w:tcW w:w="3721" w:type="pct"/>
            <w:gridSpan w:val="7"/>
          </w:tcPr>
          <w:p w14:paraId="0C8D3A60" w14:textId="77777777" w:rsidR="000009BA" w:rsidRPr="000009BA" w:rsidRDefault="000009BA" w:rsidP="000009BA">
            <w:r w:rsidRPr="000009BA">
              <w:t>Причины перевода в ОРИТ</w:t>
            </w:r>
          </w:p>
        </w:tc>
      </w:tr>
      <w:tr w:rsidR="000009BA" w:rsidRPr="000009BA" w14:paraId="799F33B7" w14:textId="77777777" w:rsidTr="003D0E86">
        <w:trPr>
          <w:cantSplit/>
          <w:trHeight w:val="2544"/>
        </w:trPr>
        <w:tc>
          <w:tcPr>
            <w:tcW w:w="1279" w:type="pct"/>
            <w:vMerge/>
          </w:tcPr>
          <w:p w14:paraId="611471E5" w14:textId="77777777" w:rsidR="000009BA" w:rsidRPr="000009BA" w:rsidRDefault="000009BA" w:rsidP="000009BA"/>
        </w:tc>
        <w:tc>
          <w:tcPr>
            <w:tcW w:w="425" w:type="pct"/>
            <w:textDirection w:val="btLr"/>
          </w:tcPr>
          <w:p w14:paraId="686252B4" w14:textId="77777777" w:rsidR="000009BA" w:rsidRPr="000009BA" w:rsidRDefault="000009BA" w:rsidP="000009BA">
            <w:r w:rsidRPr="000009BA">
              <w:t>ОДН, %</w:t>
            </w:r>
          </w:p>
        </w:tc>
        <w:tc>
          <w:tcPr>
            <w:tcW w:w="490" w:type="pct"/>
            <w:textDirection w:val="btLr"/>
          </w:tcPr>
          <w:p w14:paraId="1F0BAE8A" w14:textId="77777777" w:rsidR="000009BA" w:rsidRPr="000009BA" w:rsidRDefault="000009BA" w:rsidP="000009BA">
            <w:r w:rsidRPr="000009BA">
              <w:t>Сепсис, СШ, %</w:t>
            </w:r>
          </w:p>
        </w:tc>
        <w:tc>
          <w:tcPr>
            <w:tcW w:w="609" w:type="pct"/>
            <w:textDirection w:val="btLr"/>
          </w:tcPr>
          <w:p w14:paraId="1E33B43C" w14:textId="77777777" w:rsidR="000009BA" w:rsidRPr="000009BA" w:rsidRDefault="000009BA" w:rsidP="000009BA">
            <w:r w:rsidRPr="000009BA">
              <w:t>Острая патология</w:t>
            </w:r>
          </w:p>
          <w:p w14:paraId="40961BF1" w14:textId="77777777" w:rsidR="000009BA" w:rsidRPr="000009BA" w:rsidRDefault="000009BA" w:rsidP="000009BA">
            <w:r w:rsidRPr="000009BA">
              <w:t>ЦНС, %</w:t>
            </w:r>
          </w:p>
        </w:tc>
        <w:tc>
          <w:tcPr>
            <w:tcW w:w="687" w:type="pct"/>
            <w:textDirection w:val="btLr"/>
          </w:tcPr>
          <w:p w14:paraId="59BAC497" w14:textId="77777777" w:rsidR="000009BA" w:rsidRPr="000009BA" w:rsidRDefault="000009BA" w:rsidP="000009BA">
            <w:r w:rsidRPr="000009BA">
              <w:t>Нарушение ритма сердца, %</w:t>
            </w:r>
          </w:p>
        </w:tc>
        <w:tc>
          <w:tcPr>
            <w:tcW w:w="456" w:type="pct"/>
            <w:textDirection w:val="btLr"/>
          </w:tcPr>
          <w:p w14:paraId="6D14BF1A" w14:textId="77777777" w:rsidR="000009BA" w:rsidRPr="000009BA" w:rsidRDefault="000009BA" w:rsidP="000009BA">
            <w:r w:rsidRPr="000009BA">
              <w:t>ОПН, %</w:t>
            </w:r>
          </w:p>
        </w:tc>
        <w:tc>
          <w:tcPr>
            <w:tcW w:w="515" w:type="pct"/>
            <w:textDirection w:val="btLr"/>
          </w:tcPr>
          <w:p w14:paraId="4FF43803" w14:textId="77777777" w:rsidR="000009BA" w:rsidRPr="000009BA" w:rsidRDefault="000009BA" w:rsidP="000009BA">
            <w:r w:rsidRPr="000009BA">
              <w:t>Кровотечения, %</w:t>
            </w:r>
          </w:p>
        </w:tc>
        <w:tc>
          <w:tcPr>
            <w:tcW w:w="536" w:type="pct"/>
            <w:textDirection w:val="btLr"/>
          </w:tcPr>
          <w:p w14:paraId="6715B6C2" w14:textId="77777777" w:rsidR="000009BA" w:rsidRPr="000009BA" w:rsidRDefault="000009BA" w:rsidP="000009BA">
            <w:r w:rsidRPr="000009BA">
              <w:t>Прочее,</w:t>
            </w:r>
          </w:p>
          <w:p w14:paraId="4711315A" w14:textId="77777777" w:rsidR="000009BA" w:rsidRPr="000009BA" w:rsidRDefault="000009BA" w:rsidP="000009BA">
            <w:r w:rsidRPr="000009BA">
              <w:t>%</w:t>
            </w:r>
          </w:p>
        </w:tc>
      </w:tr>
      <w:tr w:rsidR="000009BA" w:rsidRPr="000009BA" w14:paraId="1283F777" w14:textId="77777777" w:rsidTr="003D0E86">
        <w:trPr>
          <w:trHeight w:val="802"/>
        </w:trPr>
        <w:tc>
          <w:tcPr>
            <w:tcW w:w="1279" w:type="pct"/>
          </w:tcPr>
          <w:p w14:paraId="6B8FF481" w14:textId="1EE8FBDF" w:rsidR="000009BA" w:rsidRPr="000009BA" w:rsidRDefault="000009BA" w:rsidP="000009BA">
            <w:r w:rsidRPr="000009BA">
              <w:t xml:space="preserve">Воробьев А.И. и соавт., 1993 </w:t>
            </w:r>
            <w:r w:rsidRPr="000009BA">
              <w:fldChar w:fldCharType="begin" w:fldLock="1"/>
            </w:r>
            <w:r w:rsidR="00A6794A">
              <w:instrText>ADDIN CSL_CITATION {"citationItems":[{"id":"ITEM-1","itemData":{"author":[{"dropping-particle":"","family":"Воробьев","given":"А.И.","non-dropping-particle":"","parse-names":false,"suffix":""},{"dropping-particle":"","family":"Горелов","given":"В.Г.","non-dropping-particle":"","parse-names":false,"suffix":""},{"dropping-particle":"","family":"Городецкий","given":"В.М.","non-dropping-particle":"","parse-names":false,"suffix":""},{"dropping-particle":"","family":"Шулутко","given":"Е.М.","non-dropping-particle":"","parse-names":false,"suffix":""}],"container-title":"Терапевтический архив","id":"ITEM-1","issue":"7","issued":{"date-parts":[["1993"]]},"page":"3-6","title":"Критические состояния при гемобластозах (типичные формы и выживаемость в условиях отделения реанимации).","type":"article-journal","volume":"65"},"uris":["http://www.mendeley.com/documents/?uuid=c4b05bf5-f5dc-4551-a590-5854faa101d0"]}],"mendeley":{"formattedCitation":"[195]","plainTextFormattedCitation":"[195]","previouslyFormattedCitation":"[195]"},"properties":{"noteIndex":0},"schema":"https://github.com/citation-style-language/schema/raw/master/csl-citation.json"}</w:instrText>
            </w:r>
            <w:r w:rsidRPr="000009BA">
              <w:fldChar w:fldCharType="separate"/>
            </w:r>
            <w:r w:rsidR="006E1902" w:rsidRPr="006E1902">
              <w:rPr>
                <w:noProof/>
              </w:rPr>
              <w:t>[195]</w:t>
            </w:r>
            <w:r w:rsidRPr="000009BA">
              <w:fldChar w:fldCharType="end"/>
            </w:r>
          </w:p>
        </w:tc>
        <w:tc>
          <w:tcPr>
            <w:tcW w:w="425" w:type="pct"/>
          </w:tcPr>
          <w:p w14:paraId="0CA3F0FA" w14:textId="77777777" w:rsidR="000009BA" w:rsidRPr="000009BA" w:rsidRDefault="000009BA" w:rsidP="000009BA">
            <w:r w:rsidRPr="000009BA">
              <w:t>43</w:t>
            </w:r>
          </w:p>
        </w:tc>
        <w:tc>
          <w:tcPr>
            <w:tcW w:w="490" w:type="pct"/>
          </w:tcPr>
          <w:p w14:paraId="086060E5" w14:textId="77777777" w:rsidR="000009BA" w:rsidRPr="000009BA" w:rsidRDefault="000009BA" w:rsidP="000009BA">
            <w:r w:rsidRPr="000009BA">
              <w:t>16</w:t>
            </w:r>
          </w:p>
        </w:tc>
        <w:tc>
          <w:tcPr>
            <w:tcW w:w="609" w:type="pct"/>
          </w:tcPr>
          <w:p w14:paraId="7471DBE6" w14:textId="77777777" w:rsidR="000009BA" w:rsidRPr="000009BA" w:rsidRDefault="000009BA" w:rsidP="000009BA">
            <w:r w:rsidRPr="000009BA">
              <w:t>н/д*</w:t>
            </w:r>
          </w:p>
        </w:tc>
        <w:tc>
          <w:tcPr>
            <w:tcW w:w="687" w:type="pct"/>
          </w:tcPr>
          <w:p w14:paraId="4F0DF4EC" w14:textId="77777777" w:rsidR="000009BA" w:rsidRPr="000009BA" w:rsidRDefault="000009BA" w:rsidP="000009BA">
            <w:r w:rsidRPr="000009BA">
              <w:t>н/д</w:t>
            </w:r>
          </w:p>
        </w:tc>
        <w:tc>
          <w:tcPr>
            <w:tcW w:w="456" w:type="pct"/>
          </w:tcPr>
          <w:p w14:paraId="6579F100" w14:textId="77777777" w:rsidR="000009BA" w:rsidRPr="000009BA" w:rsidRDefault="000009BA" w:rsidP="000009BA">
            <w:r w:rsidRPr="000009BA">
              <w:t>5</w:t>
            </w:r>
          </w:p>
        </w:tc>
        <w:tc>
          <w:tcPr>
            <w:tcW w:w="515" w:type="pct"/>
          </w:tcPr>
          <w:p w14:paraId="121F8317" w14:textId="77777777" w:rsidR="000009BA" w:rsidRPr="000009BA" w:rsidRDefault="000009BA" w:rsidP="000009BA">
            <w:r w:rsidRPr="000009BA">
              <w:t>16</w:t>
            </w:r>
          </w:p>
        </w:tc>
        <w:tc>
          <w:tcPr>
            <w:tcW w:w="536" w:type="pct"/>
          </w:tcPr>
          <w:p w14:paraId="5DF4C705" w14:textId="77777777" w:rsidR="000009BA" w:rsidRPr="000009BA" w:rsidRDefault="000009BA" w:rsidP="000009BA">
            <w:r w:rsidRPr="000009BA">
              <w:t>20</w:t>
            </w:r>
          </w:p>
        </w:tc>
      </w:tr>
      <w:tr w:rsidR="000009BA" w:rsidRPr="000009BA" w14:paraId="5B97CFFF" w14:textId="77777777" w:rsidTr="003D0E86">
        <w:trPr>
          <w:trHeight w:val="822"/>
        </w:trPr>
        <w:tc>
          <w:tcPr>
            <w:tcW w:w="1279" w:type="pct"/>
          </w:tcPr>
          <w:p w14:paraId="6BB9523D" w14:textId="561BC185" w:rsidR="000009BA" w:rsidRPr="000009BA" w:rsidRDefault="000009BA" w:rsidP="000009BA">
            <w:r w:rsidRPr="000009BA">
              <w:t xml:space="preserve">Галстян Г.М. и соавт., 2011 </w:t>
            </w:r>
            <w:r w:rsidRPr="000009BA">
              <w:fldChar w:fldCharType="begin" w:fldLock="1"/>
            </w:r>
            <w:r w:rsidR="00A6794A">
              <w:instrText>ADDIN CSL_CITATION {"citationItems":[{"id":"ITEM-1","itemData":{"author":[{"dropping-particle":"","family":"Галстян","given":"Г.М.","non-dropping-particle":"","parse-names":false,"suffix":""},{"dropping-particle":"","family":"Городецкий","given":"В.М.","non-dropping-particle":"","parse-names":false,"suffix":""}],"container-title":"Клиническая онкогематология","id":"ITEM-1","issue":"1","issued":{"date-parts":[["2011"]]},"page":"75-78","title":"Опыт работы отделения реанимации и интенсивной терапии ФГБУ ГНЦ МЗиСР РФ","type":"article-journal","volume":"4"},"uris":["http://www.mendeley.com/documents/?uuid=7a2aad90-732f-4da0-a3ce-4939d049189b"]}],"mendeley":{"formattedCitation":"[196]","plainTextFormattedCitation":"[196]","previouslyFormattedCitation":"[196]"},"properties":{"noteIndex":0},"schema":"https://github.com/citation-style-language/schema/raw/master/csl-citation.json"}</w:instrText>
            </w:r>
            <w:r w:rsidRPr="000009BA">
              <w:fldChar w:fldCharType="separate"/>
            </w:r>
            <w:r w:rsidR="006E1902" w:rsidRPr="006E1902">
              <w:rPr>
                <w:noProof/>
              </w:rPr>
              <w:t>[196]</w:t>
            </w:r>
            <w:r w:rsidRPr="000009BA">
              <w:fldChar w:fldCharType="end"/>
            </w:r>
          </w:p>
        </w:tc>
        <w:tc>
          <w:tcPr>
            <w:tcW w:w="425" w:type="pct"/>
          </w:tcPr>
          <w:p w14:paraId="3F94EF56" w14:textId="77777777" w:rsidR="000009BA" w:rsidRPr="000009BA" w:rsidRDefault="000009BA" w:rsidP="000009BA">
            <w:r w:rsidRPr="000009BA">
              <w:t>30</w:t>
            </w:r>
          </w:p>
        </w:tc>
        <w:tc>
          <w:tcPr>
            <w:tcW w:w="490" w:type="pct"/>
          </w:tcPr>
          <w:p w14:paraId="4FAE95C6" w14:textId="77777777" w:rsidR="000009BA" w:rsidRPr="000009BA" w:rsidRDefault="000009BA" w:rsidP="000009BA">
            <w:r w:rsidRPr="000009BA">
              <w:t>22</w:t>
            </w:r>
          </w:p>
        </w:tc>
        <w:tc>
          <w:tcPr>
            <w:tcW w:w="609" w:type="pct"/>
          </w:tcPr>
          <w:p w14:paraId="77B4BD78" w14:textId="77777777" w:rsidR="000009BA" w:rsidRPr="000009BA" w:rsidRDefault="000009BA" w:rsidP="000009BA">
            <w:r w:rsidRPr="000009BA">
              <w:t>7</w:t>
            </w:r>
          </w:p>
        </w:tc>
        <w:tc>
          <w:tcPr>
            <w:tcW w:w="687" w:type="pct"/>
          </w:tcPr>
          <w:p w14:paraId="6BD59E0D" w14:textId="77777777" w:rsidR="000009BA" w:rsidRPr="000009BA" w:rsidRDefault="000009BA" w:rsidP="000009BA">
            <w:r w:rsidRPr="000009BA">
              <w:t>11</w:t>
            </w:r>
          </w:p>
        </w:tc>
        <w:tc>
          <w:tcPr>
            <w:tcW w:w="456" w:type="pct"/>
          </w:tcPr>
          <w:p w14:paraId="7D1D437E" w14:textId="77777777" w:rsidR="000009BA" w:rsidRPr="000009BA" w:rsidRDefault="000009BA" w:rsidP="000009BA">
            <w:r w:rsidRPr="000009BA">
              <w:t>н/д</w:t>
            </w:r>
          </w:p>
        </w:tc>
        <w:tc>
          <w:tcPr>
            <w:tcW w:w="515" w:type="pct"/>
          </w:tcPr>
          <w:p w14:paraId="66B332D4" w14:textId="77777777" w:rsidR="000009BA" w:rsidRPr="000009BA" w:rsidRDefault="000009BA" w:rsidP="000009BA">
            <w:r w:rsidRPr="000009BA">
              <w:t>н/д</w:t>
            </w:r>
          </w:p>
        </w:tc>
        <w:tc>
          <w:tcPr>
            <w:tcW w:w="536" w:type="pct"/>
          </w:tcPr>
          <w:p w14:paraId="03B1EB2D" w14:textId="77777777" w:rsidR="000009BA" w:rsidRPr="000009BA" w:rsidRDefault="000009BA" w:rsidP="000009BA">
            <w:r w:rsidRPr="000009BA">
              <w:t>30</w:t>
            </w:r>
          </w:p>
        </w:tc>
      </w:tr>
      <w:tr w:rsidR="000009BA" w:rsidRPr="000009BA" w14:paraId="16681AAE" w14:textId="77777777" w:rsidTr="003D0E86">
        <w:trPr>
          <w:trHeight w:val="822"/>
        </w:trPr>
        <w:tc>
          <w:tcPr>
            <w:tcW w:w="1279" w:type="pct"/>
          </w:tcPr>
          <w:p w14:paraId="6A1361BF" w14:textId="76776BC1" w:rsidR="000009BA" w:rsidRPr="000009BA" w:rsidRDefault="000009BA" w:rsidP="000009BA">
            <w:r w:rsidRPr="000009BA">
              <w:t xml:space="preserve">Lamia E. и соавт., 2006 </w:t>
            </w:r>
            <w:r w:rsidRPr="000009BA">
              <w:fldChar w:fldCharType="begin" w:fldLock="1"/>
            </w:r>
            <w:r w:rsidR="00A6794A">
              <w:instrText>ADDIN CSL_CITATION {"citationItems":[{"id":"ITEM-1","itemData":{"DOI":"10.1007/s00134-006-0286-3","ISSN":"03424642","PMID":"16896863","abstract":"Objective: To determine whether severity and organ failure scores over the first 3 days in an ICU predict in-hospital mortality in onco-hematological malignancy patients. Design and setting: Retrospective study in a 22-bed medical ICU. Patients: 92 consecutive patients with onco-hematological malignancies including 20 hematopoietic stem cell transplantation (HSCT) patients (11 with allogenic HSCT). Measurements: Simplified Acute Physiology Score (SAPS) II, Organ Dysfunction and/or Infection (ODIN) score, Logistic Organ Dysfunction System (LODS), and Sequential Organ Failure Assessment (SOFA) score were recorded on admission. The change in each score (Δ score) during the first 3 days in the ICU was calculated as follows: severity or organ failure score on day 3 minus severity or organ failure score on day 1, divided by severity or organ failure score on day 1. Results: In-hospital mortality was 58%. Using multivariate analysis in-hospital mortality was predicted by all scores on day 1 and all Δ scores. Areas under the receiver operating characteristics curves were similar for SAPS II (0.78), ODIN (0.78), LODS (0.83), and SOFA (0.78) scores at day 1. They were also similar for ΔSAPS II, ΔODIN, ΔLODS, and ΔSOFA. Similar results were observed when excluding patients with allogenic HSCT. Conclusion: Severity and three organ failure scores on day 1 and Δ scores perform similarly in predicting in-hospital mortality in ICU onco-hematological malignancy patients but do not predict individual outcome. Decision to admit such patients to the ICU or to forgo life-sustaining therapies should not be based on these scores. © 2006 Springer-Verlag.","author":[{"dropping-particle":"","family":"Lamia","given":"B.","non-dropping-particle":"","parse-names":false,"suffix":""},{"dropping-particle":"","family":"Hellot","given":"M. F.","non-dropping-particle":"","parse-names":false,"suffix":""},{"dropping-particle":"","family":"Girault","given":"C.","non-dropping-particle":"","parse-names":false,"suffix":""},{"dropping-particle":"","family":"Tamion","given":"F.","non-dropping-particle":"","parse-names":false,"suffix":""},{"dropping-particle":"","family":"Dachraoui","given":"F.","non-dropping-particle":"","parse-names":false,"suffix":""},{"dropping-particle":"","family":"Lenain","given":"P.","non-dropping-particle":"","parse-names":false,"suffix":""},{"dropping-particle":"","family":"Bonmarchand","given":"G.","non-dropping-particle":"","parse-names":false,"suffix":""}],"container-title":"Intensive Care Medicine","id":"ITEM-1","issue":"10","issued":{"date-parts":[["2006","10"]]},"page":"1560-1568","publisher":"Intensive Care Med","title":"Changes in severity and organ failure scores as prognostic factors in onco-hematological malignancy patients admitted to the ICU","type":"article-journal","volume":"32"},"uris":["http://www.mendeley.com/documents/?uuid=60d1cf7f-4ed6-3d0a-991e-cc8b33d27c7f"]}],"mendeley":{"formattedCitation":"[197]","plainTextFormattedCitation":"[197]","previouslyFormattedCitation":"[197]"},"properties":{"noteIndex":0},"schema":"https://github.com/citation-style-language/schema/raw/master/csl-citation.json"}</w:instrText>
            </w:r>
            <w:r w:rsidRPr="000009BA">
              <w:fldChar w:fldCharType="separate"/>
            </w:r>
            <w:r w:rsidR="006E1902" w:rsidRPr="006E1902">
              <w:rPr>
                <w:noProof/>
              </w:rPr>
              <w:t>[197]</w:t>
            </w:r>
            <w:r w:rsidRPr="000009BA">
              <w:fldChar w:fldCharType="end"/>
            </w:r>
          </w:p>
        </w:tc>
        <w:tc>
          <w:tcPr>
            <w:tcW w:w="425" w:type="pct"/>
          </w:tcPr>
          <w:p w14:paraId="0499BCC0" w14:textId="77777777" w:rsidR="000009BA" w:rsidRPr="000009BA" w:rsidRDefault="000009BA" w:rsidP="000009BA">
            <w:r w:rsidRPr="000009BA">
              <w:t>51</w:t>
            </w:r>
          </w:p>
        </w:tc>
        <w:tc>
          <w:tcPr>
            <w:tcW w:w="490" w:type="pct"/>
          </w:tcPr>
          <w:p w14:paraId="18EAB57E" w14:textId="77777777" w:rsidR="000009BA" w:rsidRPr="000009BA" w:rsidRDefault="000009BA" w:rsidP="000009BA">
            <w:r w:rsidRPr="000009BA">
              <w:t>36</w:t>
            </w:r>
          </w:p>
        </w:tc>
        <w:tc>
          <w:tcPr>
            <w:tcW w:w="609" w:type="pct"/>
          </w:tcPr>
          <w:p w14:paraId="7F416EE6" w14:textId="77777777" w:rsidR="000009BA" w:rsidRPr="000009BA" w:rsidRDefault="000009BA" w:rsidP="000009BA">
            <w:r w:rsidRPr="000009BA">
              <w:t>13</w:t>
            </w:r>
          </w:p>
        </w:tc>
        <w:tc>
          <w:tcPr>
            <w:tcW w:w="687" w:type="pct"/>
          </w:tcPr>
          <w:p w14:paraId="0C485C61" w14:textId="77777777" w:rsidR="000009BA" w:rsidRPr="000009BA" w:rsidRDefault="000009BA" w:rsidP="000009BA">
            <w:r w:rsidRPr="000009BA">
              <w:t>н/д</w:t>
            </w:r>
          </w:p>
        </w:tc>
        <w:tc>
          <w:tcPr>
            <w:tcW w:w="456" w:type="pct"/>
          </w:tcPr>
          <w:p w14:paraId="4F0C9B3A" w14:textId="77777777" w:rsidR="000009BA" w:rsidRPr="000009BA" w:rsidRDefault="000009BA" w:rsidP="000009BA">
            <w:r w:rsidRPr="000009BA">
              <w:t>н/д</w:t>
            </w:r>
          </w:p>
        </w:tc>
        <w:tc>
          <w:tcPr>
            <w:tcW w:w="515" w:type="pct"/>
          </w:tcPr>
          <w:p w14:paraId="31ABDD6F" w14:textId="77777777" w:rsidR="000009BA" w:rsidRPr="000009BA" w:rsidRDefault="000009BA" w:rsidP="000009BA">
            <w:r w:rsidRPr="000009BA">
              <w:t>н/д</w:t>
            </w:r>
          </w:p>
        </w:tc>
        <w:tc>
          <w:tcPr>
            <w:tcW w:w="536" w:type="pct"/>
          </w:tcPr>
          <w:p w14:paraId="295AAB3D" w14:textId="77777777" w:rsidR="000009BA" w:rsidRPr="000009BA" w:rsidRDefault="000009BA" w:rsidP="000009BA">
            <w:r w:rsidRPr="000009BA">
              <w:t>н/д</w:t>
            </w:r>
          </w:p>
        </w:tc>
      </w:tr>
      <w:tr w:rsidR="000009BA" w:rsidRPr="000009BA" w14:paraId="1B01333D" w14:textId="77777777" w:rsidTr="003D0E86">
        <w:trPr>
          <w:trHeight w:val="822"/>
        </w:trPr>
        <w:tc>
          <w:tcPr>
            <w:tcW w:w="1279" w:type="pct"/>
          </w:tcPr>
          <w:p w14:paraId="32D43EAF" w14:textId="356A0878" w:rsidR="000009BA" w:rsidRPr="000009BA" w:rsidRDefault="000009BA" w:rsidP="000009BA">
            <w:r w:rsidRPr="000009BA">
              <w:t xml:space="preserve">Evison K. и соавт., 2001 </w:t>
            </w:r>
            <w:r w:rsidRPr="000009BA">
              <w:fldChar w:fldCharType="begin" w:fldLock="1"/>
            </w:r>
            <w:r w:rsidR="00A6794A">
              <w:instrText>ADDIN CSL_CITATION {"citationItems":[{"id":"ITEM-1","itemData":{"author":[{"dropping-particle":"","family":"Evison","given":"J M","non-dropping-particle":"","parse-names":false,"suffix":""},{"dropping-particle":"","family":"Rickenbacher","given":"P","non-dropping-particle":"","parse-names":false,"suffix":""},{"dropping-particle":"","family":"Ritz","given":"R","non-dropping-particle":"","parse-names":false,"suffix":""},{"dropping-particle":"","family":"Gratwohl","given":"A","non-dropping-particle":"","parse-names":false,"suffix":""},{"dropping-particle":"","family":"Haberthür","given":"Ch","non-dropping-particle":"","parse-names":false,"suffix":""},{"dropping-particle":"","family":"Elsasser","given":"S","non-dropping-particle":"","parse-names":false,"suffix":""},{"dropping-particle":"","family":"Passweg","given":"J R","non-dropping-particle":"","parse-names":false,"suffix":""}],"id":"ITEM-1","issued":{"date-parts":[["2001"]]},"title":"Intensive care unit admission in patients with haematological disease: incidence, outcome and prognostic factors","type":"report"},"uris":["http://www.mendeley.com/documents/?uuid=8277399e-d82b-32b3-af97-33e3d2b5e10b"]}],"mendeley":{"formattedCitation":"[198]","plainTextFormattedCitation":"[198]","previouslyFormattedCitation":"[198]"},"properties":{"noteIndex":0},"schema":"https://github.com/citation-style-language/schema/raw/master/csl-citation.json"}</w:instrText>
            </w:r>
            <w:r w:rsidRPr="000009BA">
              <w:fldChar w:fldCharType="separate"/>
            </w:r>
            <w:r w:rsidR="006E1902" w:rsidRPr="006E1902">
              <w:rPr>
                <w:noProof/>
              </w:rPr>
              <w:t>[198]</w:t>
            </w:r>
            <w:r w:rsidRPr="000009BA">
              <w:fldChar w:fldCharType="end"/>
            </w:r>
            <w:r w:rsidRPr="000009BA">
              <w:t xml:space="preserve"> </w:t>
            </w:r>
          </w:p>
        </w:tc>
        <w:tc>
          <w:tcPr>
            <w:tcW w:w="425" w:type="pct"/>
          </w:tcPr>
          <w:p w14:paraId="13757F44" w14:textId="77777777" w:rsidR="000009BA" w:rsidRPr="000009BA" w:rsidRDefault="000009BA" w:rsidP="000009BA">
            <w:r w:rsidRPr="000009BA">
              <w:t>31</w:t>
            </w:r>
          </w:p>
        </w:tc>
        <w:tc>
          <w:tcPr>
            <w:tcW w:w="490" w:type="pct"/>
          </w:tcPr>
          <w:p w14:paraId="1DA01651" w14:textId="77777777" w:rsidR="000009BA" w:rsidRPr="000009BA" w:rsidRDefault="000009BA" w:rsidP="000009BA">
            <w:r w:rsidRPr="000009BA">
              <w:t>19</w:t>
            </w:r>
          </w:p>
        </w:tc>
        <w:tc>
          <w:tcPr>
            <w:tcW w:w="609" w:type="pct"/>
          </w:tcPr>
          <w:p w14:paraId="2184E743" w14:textId="77777777" w:rsidR="000009BA" w:rsidRPr="000009BA" w:rsidRDefault="000009BA" w:rsidP="000009BA">
            <w:r w:rsidRPr="000009BA">
              <w:t>8</w:t>
            </w:r>
          </w:p>
        </w:tc>
        <w:tc>
          <w:tcPr>
            <w:tcW w:w="687" w:type="pct"/>
          </w:tcPr>
          <w:p w14:paraId="02A8B3E9" w14:textId="77777777" w:rsidR="000009BA" w:rsidRPr="000009BA" w:rsidRDefault="000009BA" w:rsidP="000009BA">
            <w:r w:rsidRPr="000009BA">
              <w:t>10</w:t>
            </w:r>
          </w:p>
        </w:tc>
        <w:tc>
          <w:tcPr>
            <w:tcW w:w="456" w:type="pct"/>
          </w:tcPr>
          <w:p w14:paraId="1D0A9876" w14:textId="77777777" w:rsidR="000009BA" w:rsidRPr="000009BA" w:rsidRDefault="000009BA" w:rsidP="000009BA">
            <w:r w:rsidRPr="000009BA">
              <w:t>н/д</w:t>
            </w:r>
          </w:p>
        </w:tc>
        <w:tc>
          <w:tcPr>
            <w:tcW w:w="515" w:type="pct"/>
          </w:tcPr>
          <w:p w14:paraId="3A879DCB" w14:textId="77777777" w:rsidR="000009BA" w:rsidRPr="000009BA" w:rsidRDefault="000009BA" w:rsidP="000009BA">
            <w:r w:rsidRPr="000009BA">
              <w:t>1</w:t>
            </w:r>
          </w:p>
        </w:tc>
        <w:tc>
          <w:tcPr>
            <w:tcW w:w="536" w:type="pct"/>
          </w:tcPr>
          <w:p w14:paraId="7FBD44B1" w14:textId="77777777" w:rsidR="000009BA" w:rsidRPr="000009BA" w:rsidRDefault="000009BA" w:rsidP="000009BA">
            <w:r w:rsidRPr="000009BA">
              <w:t>31</w:t>
            </w:r>
          </w:p>
        </w:tc>
      </w:tr>
      <w:tr w:rsidR="000009BA" w:rsidRPr="000009BA" w14:paraId="5033AF04" w14:textId="77777777" w:rsidTr="003D0E86">
        <w:trPr>
          <w:trHeight w:val="822"/>
        </w:trPr>
        <w:tc>
          <w:tcPr>
            <w:tcW w:w="1279" w:type="pct"/>
          </w:tcPr>
          <w:p w14:paraId="1817653B" w14:textId="685E05D1" w:rsidR="000009BA" w:rsidRPr="000009BA" w:rsidRDefault="000009BA" w:rsidP="000009BA">
            <w:r w:rsidRPr="000009BA">
              <w:t xml:space="preserve">Silfvast D. и соавт., 2003 </w:t>
            </w:r>
            <w:r w:rsidRPr="000009BA">
              <w:fldChar w:fldCharType="begin" w:fldLock="1"/>
            </w:r>
            <w:r w:rsidR="00A6794A">
              <w:instrText>ADDIN CSL_CITATION {"citationItems":[{"id":"ITEM-1","itemData":{"DOI":"10.1034/j.1399-6576.2003.00058.x","ISSN":"00015172","PMID":"12648196","abstract":"Background: The number of failing organs systems in ICU patients with haematological malignancy is associated with outcome. The objective of this study was to assess short and long-term survival in these patients with special reference to multiple organ failure reflected by the SOFA (Sequential Organ Failure Assessment) score. Methods: Retrospective chart review of haematological patients admitted to the 10-bed intensive care unit (ICU) of a tertiary level academic teaching hospital from 1994 to 1998. Of 31 admitted patients with the diagnosis of haematological malignancy, the charts of 30 were available for analysis. Results: Univariate logistic regression analysis of factors previously shown to influence survival revealed that only admission SOFA score and untreated status of haematological disease were significantly associated with survival (P &lt; 0.05). ICU, 3-month and one-year survival rates were 57% (17/30), 23% (7/30) and 20% (6/30), respectively. If maximal SOFA score during the ICU stay was included in a multivariate model comprising treatment status and effect, admission day SOFA and APACHE II scores, mechanical ventilation, renal replacement therapy and neutropenia, the maximal SOFA score became the only independent variable. All patients with an admission SOFA score exceeding 11 died in hospital. Leave-one-out method revealed that admission SOFA scores and the status of haematological disease (untreated or not) correctly classified 83% (25 of 30) of patients to survivors or non-survivors. Conclusions: Multiple organ failure assessed as SOFA score on admission and status of disease were associated with outcome in critically ill patients with haematological malignancy. © Acta Anaesthesiologica Scandinavica.","author":[{"dropping-particle":"","family":"Silfvast","given":"Tom","non-dropping-particle":"","parse-names":false,"suffix":""},{"dropping-particle":"","family":"Pettilä","given":"V.","non-dropping-particle":"","parse-names":false,"suffix":""},{"dropping-particle":"","family":"Ihalainen","given":"A.","non-dropping-particle":"","parse-names":false,"suffix":""},{"dropping-particle":"","family":"Elonen","given":"E.","non-dropping-particle":"","parse-names":false,"suffix":""}],"container-title":"Acta Anaesthesiologica Scandinavica","id":"ITEM-1","issue":"3","issued":{"date-parts":[["2003","3"]]},"page":"301-306","publisher":"Acta Anaesthesiol Scand","title":"Multiple organ failure and outcome of critically ill patients with haematological malignancy","type":"article-journal","volume":"47"},"uris":["http://www.mendeley.com/documents/?uuid=5fc24cc0-6c9a-3083-a5f5-1a250846badc"]}],"mendeley":{"formattedCitation":"[199]","plainTextFormattedCitation":"[199]","previouslyFormattedCitation":"[199]"},"properties":{"noteIndex":0},"schema":"https://github.com/citation-style-language/schema/raw/master/csl-citation.json"}</w:instrText>
            </w:r>
            <w:r w:rsidRPr="000009BA">
              <w:fldChar w:fldCharType="separate"/>
            </w:r>
            <w:r w:rsidR="006E1902" w:rsidRPr="006E1902">
              <w:rPr>
                <w:noProof/>
              </w:rPr>
              <w:t>[199]</w:t>
            </w:r>
            <w:r w:rsidRPr="000009BA">
              <w:fldChar w:fldCharType="end"/>
            </w:r>
            <w:r w:rsidRPr="000009BA">
              <w:t xml:space="preserve"> </w:t>
            </w:r>
          </w:p>
        </w:tc>
        <w:tc>
          <w:tcPr>
            <w:tcW w:w="425" w:type="pct"/>
          </w:tcPr>
          <w:p w14:paraId="54935981" w14:textId="77777777" w:rsidR="000009BA" w:rsidRPr="000009BA" w:rsidRDefault="000009BA" w:rsidP="000009BA">
            <w:r w:rsidRPr="000009BA">
              <w:t>50</w:t>
            </w:r>
          </w:p>
        </w:tc>
        <w:tc>
          <w:tcPr>
            <w:tcW w:w="490" w:type="pct"/>
          </w:tcPr>
          <w:p w14:paraId="33DD983C" w14:textId="77777777" w:rsidR="000009BA" w:rsidRPr="000009BA" w:rsidRDefault="000009BA" w:rsidP="000009BA">
            <w:r w:rsidRPr="000009BA">
              <w:t>23</w:t>
            </w:r>
          </w:p>
        </w:tc>
        <w:tc>
          <w:tcPr>
            <w:tcW w:w="609" w:type="pct"/>
          </w:tcPr>
          <w:p w14:paraId="5725FEA0" w14:textId="77777777" w:rsidR="000009BA" w:rsidRPr="000009BA" w:rsidRDefault="000009BA" w:rsidP="000009BA">
            <w:r w:rsidRPr="000009BA">
              <w:t>10</w:t>
            </w:r>
          </w:p>
        </w:tc>
        <w:tc>
          <w:tcPr>
            <w:tcW w:w="687" w:type="pct"/>
          </w:tcPr>
          <w:p w14:paraId="67A62F3E" w14:textId="77777777" w:rsidR="000009BA" w:rsidRPr="000009BA" w:rsidRDefault="000009BA" w:rsidP="000009BA">
            <w:r w:rsidRPr="000009BA">
              <w:t>10</w:t>
            </w:r>
          </w:p>
        </w:tc>
        <w:tc>
          <w:tcPr>
            <w:tcW w:w="456" w:type="pct"/>
          </w:tcPr>
          <w:p w14:paraId="6D6F45AC" w14:textId="77777777" w:rsidR="000009BA" w:rsidRPr="000009BA" w:rsidRDefault="000009BA" w:rsidP="000009BA">
            <w:r w:rsidRPr="000009BA">
              <w:t>н/д</w:t>
            </w:r>
          </w:p>
        </w:tc>
        <w:tc>
          <w:tcPr>
            <w:tcW w:w="515" w:type="pct"/>
          </w:tcPr>
          <w:p w14:paraId="60D0C3C1" w14:textId="77777777" w:rsidR="000009BA" w:rsidRPr="000009BA" w:rsidRDefault="000009BA" w:rsidP="000009BA">
            <w:r w:rsidRPr="000009BA">
              <w:t>н/д</w:t>
            </w:r>
          </w:p>
        </w:tc>
        <w:tc>
          <w:tcPr>
            <w:tcW w:w="536" w:type="pct"/>
          </w:tcPr>
          <w:p w14:paraId="43F2AF16" w14:textId="77777777" w:rsidR="000009BA" w:rsidRPr="000009BA" w:rsidRDefault="000009BA" w:rsidP="000009BA">
            <w:r w:rsidRPr="000009BA">
              <w:t>7</w:t>
            </w:r>
          </w:p>
        </w:tc>
      </w:tr>
      <w:tr w:rsidR="000009BA" w:rsidRPr="000009BA" w14:paraId="6FFC66D6" w14:textId="77777777" w:rsidTr="003D0E86">
        <w:trPr>
          <w:trHeight w:val="802"/>
        </w:trPr>
        <w:tc>
          <w:tcPr>
            <w:tcW w:w="1279" w:type="pct"/>
          </w:tcPr>
          <w:p w14:paraId="69CE05FD" w14:textId="0DFC0AC5" w:rsidR="000009BA" w:rsidRPr="000009BA" w:rsidRDefault="000009BA" w:rsidP="000009BA">
            <w:r w:rsidRPr="000009BA">
              <w:t xml:space="preserve">Benoit F. и соавт., 2003 </w:t>
            </w:r>
            <w:r w:rsidRPr="000009BA">
              <w:fldChar w:fldCharType="begin" w:fldLock="1"/>
            </w:r>
            <w:r w:rsidR="00A6794A">
              <w:instrText>ADDIN CSL_CITATION {"citationItems":[{"id":"ITEM-1","itemData":{"DOI":"10.1097/00003246-200301000-00017","ISSN":"00903493","PMID":"12545002","abstract":"Objectives: To assess the outcome and to identify early prognostic indicators in a global population of patients with hematologic malignancy admitted to the intensive care unit for a life-threatening complication. Design: Retrospective observational study. Setting: Medical intensive care unit at a tertiary university hospital. Patients: A total of 124 consecutive critically ill patients with a hematologic malignancy admitted to the intensive care unit during a 3.5-yr period. Measurements: We collected variables at admission and during admission and identified predictors of in-hospital mortality by stepwise logistic regression analysis. Main Results: Mean Acute Physiology and Chronic Health Evaluation II score was 26 ± 7.7. Sixty-one percent had a high-grade malignancy, and 27% had active disease. Thirty-five percent were leukopenic (leukocyte count, &lt;1.0 × 109/L) at admission. Respiratory failure (48%), sepsis (18.5%), and neurologic impairment (17%) were the major reasons for admission at the intensive care unit. Seventy-one percent of the patients required ventilatory support for a median duration of 6 (3-17) days, 46% received vasopressors at admission, and 26.6% needed renal replacement therapy during their intensive care unit stay. A recent bacteremia precipitating intensive care unit admission was found in 21.8% of the patients. Crude intensive care unit, in-hospital, and 6-month mortality rates were 42%, 54%, and 66%, respectively. Four variables were independently associated with outcome in a multivariate logistic regression analysis: leukopenia (odds ratio, 2.9; 95% confidence interval, 1.1-7.7), vasopressors (odds ratio, 3.74; 95% confidence interval, 1.4-9.8), and urea of &gt;0.75 g/L (&gt;12 mmol/L) (odds ratio, 9.4; 95% confidence interval, 4.2-26) at admission were associated with poor outcome, whereas recent bacteremia (odds ratio, 0.17; 95% confidence interval, 0.05-0.58) was associated with better prognosis. Using these variables, we arbitrarily categorized our population into three groups for survival analysis: a low-risk group (low urea with or without either leukopenia or vasopressors, n = 60), an intermediate-risk group (high urea or a combination of leukopenia and vasopressors, n = 34), and a high-risk group (high urea in combination with leukopenia or vasopressors, n = 27). Patients with a bacteremia prompting intensive care unit admission were allocated to a one-step-lower risk group. Survival probabilities at 30 days and 6 months were…","author":[{"dropping-particle":"","family":"Benoit","given":"Dominique D.","non-dropping-particle":"","parse-names":false,"suffix":""},{"dropping-particle":"","family":"Vandewoude","given":"Koenraad H.","non-dropping-particle":"","parse-names":false,"suffix":""},{"dropping-particle":"","family":"Decruyenaere","given":"Johan M.","non-dropping-particle":"","parse-names":false,"suffix":""},{"dropping-particle":"","family":"Hoste","given":"Eric A.","non-dropping-particle":"","parse-names":false,"suffix":""},{"dropping-particle":"","family":"Colardyn","given":"Francis A.","non-dropping-particle":"","parse-names":false,"suffix":""}],"container-title":"Critical Care Medicine","id":"ITEM-1","issue":"1","issued":{"date-parts":[["2003","1","1"]]},"page":"104-112","publisher":"Crit Care Med","title":"Outcome and early prognostic indicators in patients with a hematologic malignancy admitted to the intensive care unit for a life-threatening complication","type":"article-journal","volume":"31"},"uris":["http://www.mendeley.com/documents/?uuid=77f24265-1122-3e43-a99f-99e5c497051b"]}],"mendeley":{"formattedCitation":"[200]","plainTextFormattedCitation":"[200]","previouslyFormattedCitation":"[200]"},"properties":{"noteIndex":0},"schema":"https://github.com/citation-style-language/schema/raw/master/csl-citation.json"}</w:instrText>
            </w:r>
            <w:r w:rsidRPr="000009BA">
              <w:fldChar w:fldCharType="separate"/>
            </w:r>
            <w:r w:rsidR="006E1902" w:rsidRPr="006E1902">
              <w:rPr>
                <w:noProof/>
              </w:rPr>
              <w:t>[200]</w:t>
            </w:r>
            <w:r w:rsidRPr="000009BA">
              <w:fldChar w:fldCharType="end"/>
            </w:r>
            <w:r w:rsidRPr="000009BA">
              <w:t xml:space="preserve"> </w:t>
            </w:r>
          </w:p>
        </w:tc>
        <w:tc>
          <w:tcPr>
            <w:tcW w:w="425" w:type="pct"/>
          </w:tcPr>
          <w:p w14:paraId="1FC8BD70" w14:textId="77777777" w:rsidR="000009BA" w:rsidRPr="000009BA" w:rsidRDefault="000009BA" w:rsidP="000009BA">
            <w:r w:rsidRPr="000009BA">
              <w:t>39,5</w:t>
            </w:r>
          </w:p>
        </w:tc>
        <w:tc>
          <w:tcPr>
            <w:tcW w:w="490" w:type="pct"/>
          </w:tcPr>
          <w:p w14:paraId="73183532" w14:textId="77777777" w:rsidR="000009BA" w:rsidRPr="000009BA" w:rsidRDefault="000009BA" w:rsidP="000009BA">
            <w:r w:rsidRPr="000009BA">
              <w:t>18,5</w:t>
            </w:r>
          </w:p>
        </w:tc>
        <w:tc>
          <w:tcPr>
            <w:tcW w:w="609" w:type="pct"/>
          </w:tcPr>
          <w:p w14:paraId="02BDB242" w14:textId="77777777" w:rsidR="000009BA" w:rsidRPr="000009BA" w:rsidRDefault="000009BA" w:rsidP="000009BA">
            <w:r w:rsidRPr="000009BA">
              <w:t>17</w:t>
            </w:r>
          </w:p>
        </w:tc>
        <w:tc>
          <w:tcPr>
            <w:tcW w:w="687" w:type="pct"/>
          </w:tcPr>
          <w:p w14:paraId="426C4174" w14:textId="77777777" w:rsidR="000009BA" w:rsidRPr="000009BA" w:rsidRDefault="000009BA" w:rsidP="000009BA">
            <w:r w:rsidRPr="000009BA">
              <w:t>13</w:t>
            </w:r>
          </w:p>
        </w:tc>
        <w:tc>
          <w:tcPr>
            <w:tcW w:w="456" w:type="pct"/>
          </w:tcPr>
          <w:p w14:paraId="4E17D0D0" w14:textId="77777777" w:rsidR="000009BA" w:rsidRPr="000009BA" w:rsidRDefault="000009BA" w:rsidP="000009BA">
            <w:r w:rsidRPr="000009BA">
              <w:t>н/д</w:t>
            </w:r>
          </w:p>
        </w:tc>
        <w:tc>
          <w:tcPr>
            <w:tcW w:w="515" w:type="pct"/>
          </w:tcPr>
          <w:p w14:paraId="02B2ABF6" w14:textId="77777777" w:rsidR="000009BA" w:rsidRPr="000009BA" w:rsidRDefault="000009BA" w:rsidP="000009BA">
            <w:r w:rsidRPr="000009BA">
              <w:t>2</w:t>
            </w:r>
          </w:p>
        </w:tc>
        <w:tc>
          <w:tcPr>
            <w:tcW w:w="536" w:type="pct"/>
          </w:tcPr>
          <w:p w14:paraId="1B7B9B2A" w14:textId="77777777" w:rsidR="000009BA" w:rsidRPr="000009BA" w:rsidRDefault="000009BA" w:rsidP="000009BA">
            <w:r w:rsidRPr="000009BA">
              <w:t>10</w:t>
            </w:r>
          </w:p>
        </w:tc>
      </w:tr>
      <w:tr w:rsidR="000009BA" w:rsidRPr="000009BA" w14:paraId="4E9410AB" w14:textId="77777777" w:rsidTr="003D0E86">
        <w:trPr>
          <w:trHeight w:val="822"/>
        </w:trPr>
        <w:tc>
          <w:tcPr>
            <w:tcW w:w="1279" w:type="pct"/>
          </w:tcPr>
          <w:p w14:paraId="410202A6" w14:textId="27A50AC2" w:rsidR="000009BA" w:rsidRPr="000009BA" w:rsidRDefault="000009BA" w:rsidP="000009BA">
            <w:r w:rsidRPr="000009BA">
              <w:t xml:space="preserve"> Schellongowski P. и соавт., 2011 </w:t>
            </w:r>
            <w:r w:rsidRPr="000009BA">
              <w:fldChar w:fldCharType="begin" w:fldLock="1"/>
            </w:r>
            <w:r w:rsidR="00A6794A">
              <w:instrText>ADDIN CSL_CITATION {"citationItems":[{"id":"ITEM-1","itemData":{"DOI":"10.3324/haematol.2010.031583","ISBN":"1592-8721","ISSN":"03906078","PMID":"21071501","abstract":"Acute myeloid leukemia is a life-threatening disease associated with high mortality rates. A substantial number of patients require intensive care. This investigation analyzes risk factors predicting admission to the intensive care unit in patients with acute myeloid leukemia eligible for induction chemotherapy, the outcome of these patients, and prognostic factors predicting their survival.","author":[{"dropping-particle":"","family":"Schellongowski","given":"Peter","non-dropping-particle":"","parse-names":false,"suffix":""},{"dropping-particle":"","family":"Staudinger","given":"Thomas","non-dropping-particle":"","parse-names":false,"suffix":""},{"dropping-particle":"","family":"Kundi","given":"Michael","non-dropping-particle":"","parse-names":false,"suffix":""},{"dropping-particle":"","family":"Laczika","given":"Klaus","non-dropping-particle":"","parse-names":false,"suffix":""},{"dropping-particle":"","family":"Locker","given":"Gottfried J.","non-dropping-particle":"","parse-names":false,"suffix":""},{"dropping-particle":"","family":"Bojic","given":"Andja","non-dropping-particle":"","parse-names":false,"suffix":""},{"dropping-particle":"","family":"Robak","given":"Oliver","non-dropping-particle":"","parse-names":false,"suffix":""},{"dropping-particle":"","family":"Fuhrmann","given":"Valentin","non-dropping-particle":"","parse-names":false,"suffix":""},{"dropping-particle":"","family":"Jäger","given":"Ulrich","non-dropping-particle":"","parse-names":false,"suffix":""},{"dropping-particle":"","family":"Valent","given":"Peter","non-dropping-particle":"","parse-names":false,"suffix":""},{"dropping-particle":"","family":"Sperr","given":"Wolfgang R.","non-dropping-particle":"","parse-names":false,"suffix":""}],"container-title":"Haematologica","id":"ITEM-1","issue":"2","issued":{"date-parts":[["2011","2"]]},"page":"231-237","title":"Prognostic factors for intensive care unit admission, intensive care outcome, and post-intensive care survival in patients with de novo acute myeloid leukemia: a single center experience","type":"article-journal","volume":"96"},"uris":["http://www.mendeley.com/documents/?uuid=7251567b-1fba-40bf-b96a-3bcd8583314e"]}],"mendeley":{"formattedCitation":"[201]","plainTextFormattedCitation":"[201]","previouslyFormattedCitation":"[201]"},"properties":{"noteIndex":0},"schema":"https://github.com/citation-style-language/schema/raw/master/csl-citation.json"}</w:instrText>
            </w:r>
            <w:r w:rsidRPr="000009BA">
              <w:fldChar w:fldCharType="separate"/>
            </w:r>
            <w:r w:rsidR="006E1902" w:rsidRPr="006E1902">
              <w:rPr>
                <w:noProof/>
              </w:rPr>
              <w:t>[201]</w:t>
            </w:r>
            <w:r w:rsidRPr="000009BA">
              <w:fldChar w:fldCharType="end"/>
            </w:r>
            <w:r w:rsidRPr="000009BA">
              <w:t xml:space="preserve"> </w:t>
            </w:r>
          </w:p>
        </w:tc>
        <w:tc>
          <w:tcPr>
            <w:tcW w:w="425" w:type="pct"/>
          </w:tcPr>
          <w:p w14:paraId="052C6B28" w14:textId="77777777" w:rsidR="000009BA" w:rsidRPr="000009BA" w:rsidRDefault="000009BA" w:rsidP="000009BA">
            <w:r w:rsidRPr="000009BA">
              <w:t>50</w:t>
            </w:r>
          </w:p>
        </w:tc>
        <w:tc>
          <w:tcPr>
            <w:tcW w:w="490" w:type="pct"/>
          </w:tcPr>
          <w:p w14:paraId="141790A3" w14:textId="77777777" w:rsidR="000009BA" w:rsidRPr="000009BA" w:rsidRDefault="000009BA" w:rsidP="000009BA">
            <w:r w:rsidRPr="000009BA">
              <w:t>8</w:t>
            </w:r>
          </w:p>
        </w:tc>
        <w:tc>
          <w:tcPr>
            <w:tcW w:w="609" w:type="pct"/>
          </w:tcPr>
          <w:p w14:paraId="67146C0B" w14:textId="77777777" w:rsidR="000009BA" w:rsidRPr="000009BA" w:rsidRDefault="000009BA" w:rsidP="000009BA">
            <w:r w:rsidRPr="000009BA">
              <w:t>н/д</w:t>
            </w:r>
          </w:p>
        </w:tc>
        <w:tc>
          <w:tcPr>
            <w:tcW w:w="687" w:type="pct"/>
          </w:tcPr>
          <w:p w14:paraId="1581CFFE" w14:textId="77777777" w:rsidR="000009BA" w:rsidRPr="000009BA" w:rsidRDefault="000009BA" w:rsidP="000009BA">
            <w:r w:rsidRPr="000009BA">
              <w:t>3,2</w:t>
            </w:r>
          </w:p>
        </w:tc>
        <w:tc>
          <w:tcPr>
            <w:tcW w:w="456" w:type="pct"/>
          </w:tcPr>
          <w:p w14:paraId="30150FA0" w14:textId="77777777" w:rsidR="000009BA" w:rsidRPr="000009BA" w:rsidRDefault="000009BA" w:rsidP="000009BA">
            <w:r w:rsidRPr="000009BA">
              <w:t>3,2</w:t>
            </w:r>
          </w:p>
        </w:tc>
        <w:tc>
          <w:tcPr>
            <w:tcW w:w="515" w:type="pct"/>
          </w:tcPr>
          <w:p w14:paraId="33054A7D" w14:textId="77777777" w:rsidR="000009BA" w:rsidRPr="000009BA" w:rsidRDefault="000009BA" w:rsidP="000009BA">
            <w:r w:rsidRPr="000009BA">
              <w:t>22</w:t>
            </w:r>
          </w:p>
        </w:tc>
        <w:tc>
          <w:tcPr>
            <w:tcW w:w="536" w:type="pct"/>
          </w:tcPr>
          <w:p w14:paraId="6D075D52" w14:textId="77777777" w:rsidR="000009BA" w:rsidRPr="000009BA" w:rsidRDefault="000009BA" w:rsidP="000009BA">
            <w:r w:rsidRPr="000009BA">
              <w:t>н/д</w:t>
            </w:r>
          </w:p>
        </w:tc>
      </w:tr>
      <w:tr w:rsidR="000009BA" w:rsidRPr="000009BA" w14:paraId="1A0B7BBF" w14:textId="77777777" w:rsidTr="003D0E86">
        <w:trPr>
          <w:trHeight w:val="822"/>
        </w:trPr>
        <w:tc>
          <w:tcPr>
            <w:tcW w:w="1279" w:type="pct"/>
          </w:tcPr>
          <w:p w14:paraId="21504FF5" w14:textId="38B034AD" w:rsidR="000009BA" w:rsidRPr="000009BA" w:rsidRDefault="000009BA" w:rsidP="000009BA">
            <w:r w:rsidRPr="000009BA">
              <w:t xml:space="preserve">Grgić M. и соавт., 2014 </w:t>
            </w:r>
            <w:r w:rsidRPr="000009BA">
              <w:fldChar w:fldCharType="begin" w:fldLock="1"/>
            </w:r>
            <w:r w:rsidR="00A6794A">
              <w:instrText>ADDIN CSL_CITATION {"citationItems":[{"id":"ITEM-1","itemData":{"DOI":"10.1179/1607845414Y.0000000206","ISSN":"16078454","PMID":"25310461","abstract":"Objectives: To analyze clinical characteristics, treatment, outcomes of critically ill patients with hematologic malignancies (HM) admitted to the medical intensive care unit (ICU) and to identify predictors of adverse outcome. Methods:We analyzed prospectively 170 patients. Data included: demographic characteristics, hematologic diagnosis, reasons for ICU admission, transplant status, the presence of neutropenia, acute physiology and chronic health evaluation-II and sequential organ failure assessment scores, and level of organ support. Predictors of ICU mortality were evaluated using univariate and multivariate analysis. Results: In total, 73% of patients had high-grade malignancy, 47.6% received intensive chemotherapy before admission, and 30% underwent hematologic stem cell transplantation procedure. In total, 116 (68.2%) of patients were mechanically ventilated; 88 (51.8%) required invasive mechanical ventilation (MV). Noninvasive ventilation started in 28 (16.5%) patients and was successful in 11 (6.5%). The ICU mortality rate was 53.5%, and the mortality of MV patients was 75.9%. Need for vasopressors at admission and MV were identified as independent predictors of fatal outcome. Conclusion: The ICU mortality of critically ill patients with HM is high, particularly in the group of MV. Need for vasopressors at admission and MV were independent predictors of ICU mortality. Majority of patients required invasive MV due to severe respiratory failure and non-invasive MV was sufficient only in small number of cases with favorable outcome.","author":[{"dropping-particle":"","family":"Medić","given":"Marijana Grgić","non-dropping-particle":"","parse-names":false,"suffix":""},{"dropping-particle":"","family":"Gornik","given":"Ivan","non-dropping-particle":"","parse-names":false,"suffix":""},{"dropping-particle":"","family":"Gornik","given":"Ivan","non-dropping-particle":"","parse-names":false,"suffix":""},{"dropping-particle":"","family":"Gašparović","given":"Vladimir","non-dropping-particle":"","parse-names":false,"suffix":""},{"dropping-particle":"","family":"Gašparović","given":"Vladimir","non-dropping-particle":"","parse-names":false,"suffix":""}],"container-title":"Hematology","id":"ITEM-1","issue":"5","issued":{"date-parts":[["2015"]]},"page":"247-253","publisher":"Maney Publishing","title":"Hematologic malignancies in the medical intensive care unit – Outcomes and prognostic factors","type":"article-journal","volume":"20"},"uris":["http://www.mendeley.com/documents/?uuid=fb502aa6-e4e8-3f2b-9965-ccaad23e1eee"]}],"mendeley":{"formattedCitation":"[202]","plainTextFormattedCitation":"[202]","previouslyFormattedCitation":"[202]"},"properties":{"noteIndex":0},"schema":"https://github.com/citation-style-language/schema/raw/master/csl-citation.json"}</w:instrText>
            </w:r>
            <w:r w:rsidRPr="000009BA">
              <w:fldChar w:fldCharType="separate"/>
            </w:r>
            <w:r w:rsidR="006E1902" w:rsidRPr="006E1902">
              <w:rPr>
                <w:noProof/>
              </w:rPr>
              <w:t>[202]</w:t>
            </w:r>
            <w:r w:rsidRPr="000009BA">
              <w:fldChar w:fldCharType="end"/>
            </w:r>
            <w:r w:rsidRPr="000009BA">
              <w:t xml:space="preserve"> </w:t>
            </w:r>
          </w:p>
        </w:tc>
        <w:tc>
          <w:tcPr>
            <w:tcW w:w="425" w:type="pct"/>
          </w:tcPr>
          <w:p w14:paraId="211829B2" w14:textId="77777777" w:rsidR="000009BA" w:rsidRPr="000009BA" w:rsidRDefault="000009BA" w:rsidP="000009BA">
            <w:r w:rsidRPr="000009BA">
              <w:t>45</w:t>
            </w:r>
          </w:p>
        </w:tc>
        <w:tc>
          <w:tcPr>
            <w:tcW w:w="490" w:type="pct"/>
          </w:tcPr>
          <w:p w14:paraId="37045447" w14:textId="77777777" w:rsidR="000009BA" w:rsidRPr="000009BA" w:rsidRDefault="000009BA" w:rsidP="000009BA">
            <w:r w:rsidRPr="000009BA">
              <w:t>37</w:t>
            </w:r>
          </w:p>
        </w:tc>
        <w:tc>
          <w:tcPr>
            <w:tcW w:w="609" w:type="pct"/>
          </w:tcPr>
          <w:p w14:paraId="3C21EDA0" w14:textId="77777777" w:rsidR="000009BA" w:rsidRPr="000009BA" w:rsidRDefault="000009BA" w:rsidP="000009BA">
            <w:r w:rsidRPr="000009BA">
              <w:t>5</w:t>
            </w:r>
          </w:p>
        </w:tc>
        <w:tc>
          <w:tcPr>
            <w:tcW w:w="687" w:type="pct"/>
          </w:tcPr>
          <w:p w14:paraId="7CA5F80D" w14:textId="77777777" w:rsidR="000009BA" w:rsidRPr="000009BA" w:rsidRDefault="000009BA" w:rsidP="000009BA">
            <w:r w:rsidRPr="000009BA">
              <w:t>н/д</w:t>
            </w:r>
          </w:p>
        </w:tc>
        <w:tc>
          <w:tcPr>
            <w:tcW w:w="456" w:type="pct"/>
          </w:tcPr>
          <w:p w14:paraId="0629FE44" w14:textId="77777777" w:rsidR="000009BA" w:rsidRPr="000009BA" w:rsidRDefault="000009BA" w:rsidP="000009BA">
            <w:r w:rsidRPr="000009BA">
              <w:t>н/д</w:t>
            </w:r>
          </w:p>
        </w:tc>
        <w:tc>
          <w:tcPr>
            <w:tcW w:w="515" w:type="pct"/>
          </w:tcPr>
          <w:p w14:paraId="140C2DC7" w14:textId="77777777" w:rsidR="000009BA" w:rsidRPr="000009BA" w:rsidRDefault="000009BA" w:rsidP="000009BA">
            <w:r w:rsidRPr="000009BA">
              <w:t>н/д</w:t>
            </w:r>
          </w:p>
        </w:tc>
        <w:tc>
          <w:tcPr>
            <w:tcW w:w="536" w:type="pct"/>
          </w:tcPr>
          <w:p w14:paraId="3244F22D" w14:textId="77777777" w:rsidR="000009BA" w:rsidRPr="000009BA" w:rsidRDefault="000009BA" w:rsidP="000009BA">
            <w:r w:rsidRPr="000009BA">
              <w:t>13</w:t>
            </w:r>
          </w:p>
        </w:tc>
      </w:tr>
      <w:tr w:rsidR="000009BA" w:rsidRPr="000009BA" w14:paraId="1B42B53B" w14:textId="77777777" w:rsidTr="003D0E86">
        <w:trPr>
          <w:trHeight w:val="401"/>
        </w:trPr>
        <w:tc>
          <w:tcPr>
            <w:tcW w:w="1279" w:type="pct"/>
          </w:tcPr>
          <w:p w14:paraId="4597083B" w14:textId="0BED6C77" w:rsidR="000009BA" w:rsidRPr="000009BA" w:rsidRDefault="000009BA" w:rsidP="000009BA">
            <w:r w:rsidRPr="000009BA">
              <w:lastRenderedPageBreak/>
              <w:t xml:space="preserve">Jackson K. и соавт., 2014 </w:t>
            </w:r>
            <w:r w:rsidRPr="000009BA">
              <w:fldChar w:fldCharType="begin" w:fldLock="1"/>
            </w:r>
            <w:r w:rsidR="00A6794A">
              <w:instrText>ADDIN CSL_CITATION {"citationItems":[{"id":"ITEM-1","itemData":{"DOI":"10.3109/10428194.2013.796045","ISBN":"6173176211","ISSN":"1029-2403","PMID":"23597137","abstract":"Patients receiving treatment for acute myeloid leukemia (AML) commonly experience life-threatening complications requiring intensive care unit (ICU) support. This is a retrospective study of 505 patients with newly diagnosed AML who were treated with intensive chemotherapy between January 1999 and December 2010. Eighty-three patients (16.4%) were identified who had required 92 ICU admissions. The indication for ICU admission was hemodynamic instability in 47.0% of patients and respiratory impairment in 42.2%. The underlying pathology was most commonly infection (77.1%). Vasopressors were required in 67.5% of admissions, mechanical ventilation in 60.2% and hemodialysis in 15.7%. Rates of survival to hospital discharge and 12 months were 59.0% and 41.3%, respectively. Mechanical ventilation use and higher fibrinogen were independently associated with mortality prior to hospital discharge, and mechanical ventilation use and AML cytogenetic risk group were predictive of mortality within 12 months of ICU admission. By providing a more accurate estimation of a patient's chance of recovery, such prognostic factors may contribute to decision-making about the appropriateness of admission to the ICU or continuation of intensive life-sustaining measures.","author":[{"dropping-particle":"","family":"Jackson","given":"Kathryn","non-dropping-particle":"","parse-names":false,"suffix":""},{"dropping-particle":"","family":"Mollee","given":"Peter","non-dropping-particle":"","parse-names":false,"suffix":""},{"dropping-particle":"","family":"Morris","given":"Kirk","non-dropping-particle":"","parse-names":false,"suffix":""},{"dropping-particle":"","family":"Butler","given":"Jason","non-dropping-particle":"","parse-names":false,"suffix":""},{"dropping-particle":"","family":"Jackson","given":"Dwane","non-dropping-particle":"","parse-names":false,"suffix":""},{"dropping-particle":"","family":"Kruger","given":"Peter","non-dropping-particle":"","parse-names":false,"suffix":""},{"dropping-particle":"","family":"Klein","given":"Kerenaftali","non-dropping-particle":"","parse-names":false,"suffix":""},{"dropping-particle":"","family":"Kennedy","given":"Glen","non-dropping-particle":"","parse-names":false,"suffix":""}],"container-title":"Leukemia &amp; lymphoma","id":"ITEM-1","issue":"April","issued":{"date-parts":[["2013","1"]]},"page":"1-8","publisher":"Leuk Lymphoma","title":"Outcomes and prognostic factors for patients with acute myeloid leukemia admitted to the intensive care unit","type":"article-journal","volume":"55"},"uris":["http://www.mendeley.com/documents/?uuid=af5715ea-f420-4629-9acb-36739876454f"]}],"mendeley":{"formattedCitation":"[203]","plainTextFormattedCitation":"[203]","previouslyFormattedCitation":"[203]"},"properties":{"noteIndex":0},"schema":"https://github.com/citation-style-language/schema/raw/master/csl-citation.json"}</w:instrText>
            </w:r>
            <w:r w:rsidRPr="000009BA">
              <w:fldChar w:fldCharType="separate"/>
            </w:r>
            <w:r w:rsidR="006E1902" w:rsidRPr="006E1902">
              <w:rPr>
                <w:noProof/>
              </w:rPr>
              <w:t>[203]</w:t>
            </w:r>
            <w:r w:rsidRPr="000009BA">
              <w:fldChar w:fldCharType="end"/>
            </w:r>
            <w:r w:rsidRPr="000009BA">
              <w:t xml:space="preserve"> </w:t>
            </w:r>
          </w:p>
        </w:tc>
        <w:tc>
          <w:tcPr>
            <w:tcW w:w="425" w:type="pct"/>
          </w:tcPr>
          <w:p w14:paraId="4E23A1F7" w14:textId="77777777" w:rsidR="000009BA" w:rsidRPr="000009BA" w:rsidRDefault="000009BA" w:rsidP="000009BA">
            <w:r w:rsidRPr="000009BA">
              <w:t>47</w:t>
            </w:r>
          </w:p>
        </w:tc>
        <w:tc>
          <w:tcPr>
            <w:tcW w:w="490" w:type="pct"/>
          </w:tcPr>
          <w:p w14:paraId="48095519" w14:textId="77777777" w:rsidR="000009BA" w:rsidRPr="000009BA" w:rsidRDefault="000009BA" w:rsidP="000009BA">
            <w:r w:rsidRPr="000009BA">
              <w:t>42</w:t>
            </w:r>
          </w:p>
        </w:tc>
        <w:tc>
          <w:tcPr>
            <w:tcW w:w="609" w:type="pct"/>
          </w:tcPr>
          <w:p w14:paraId="29128E27" w14:textId="77777777" w:rsidR="000009BA" w:rsidRPr="000009BA" w:rsidRDefault="000009BA" w:rsidP="000009BA">
            <w:r w:rsidRPr="000009BA">
              <w:t>н/д</w:t>
            </w:r>
          </w:p>
        </w:tc>
        <w:tc>
          <w:tcPr>
            <w:tcW w:w="687" w:type="pct"/>
          </w:tcPr>
          <w:p w14:paraId="47E4417D" w14:textId="77777777" w:rsidR="000009BA" w:rsidRPr="000009BA" w:rsidRDefault="000009BA" w:rsidP="000009BA">
            <w:r w:rsidRPr="000009BA">
              <w:t>н/д</w:t>
            </w:r>
          </w:p>
        </w:tc>
        <w:tc>
          <w:tcPr>
            <w:tcW w:w="456" w:type="pct"/>
          </w:tcPr>
          <w:p w14:paraId="1AB131A7" w14:textId="77777777" w:rsidR="000009BA" w:rsidRPr="000009BA" w:rsidRDefault="000009BA" w:rsidP="000009BA">
            <w:r w:rsidRPr="000009BA">
              <w:t>н/д</w:t>
            </w:r>
          </w:p>
        </w:tc>
        <w:tc>
          <w:tcPr>
            <w:tcW w:w="515" w:type="pct"/>
          </w:tcPr>
          <w:p w14:paraId="1ACA93F6" w14:textId="77777777" w:rsidR="000009BA" w:rsidRPr="000009BA" w:rsidRDefault="000009BA" w:rsidP="000009BA">
            <w:r w:rsidRPr="000009BA">
              <w:t>7,2</w:t>
            </w:r>
          </w:p>
        </w:tc>
        <w:tc>
          <w:tcPr>
            <w:tcW w:w="536" w:type="pct"/>
          </w:tcPr>
          <w:p w14:paraId="689AF1FF" w14:textId="77777777" w:rsidR="000009BA" w:rsidRPr="000009BA" w:rsidRDefault="000009BA" w:rsidP="000009BA">
            <w:r w:rsidRPr="000009BA">
              <w:t>н/д</w:t>
            </w:r>
          </w:p>
        </w:tc>
      </w:tr>
      <w:tr w:rsidR="000009BA" w:rsidRPr="000009BA" w14:paraId="70940A33" w14:textId="77777777" w:rsidTr="003D0E86">
        <w:trPr>
          <w:trHeight w:val="401"/>
        </w:trPr>
        <w:tc>
          <w:tcPr>
            <w:tcW w:w="1279" w:type="pct"/>
          </w:tcPr>
          <w:p w14:paraId="692F59FE" w14:textId="25151505" w:rsidR="000009BA" w:rsidRPr="000009BA" w:rsidRDefault="000009BA" w:rsidP="000009BA">
            <w:r w:rsidRPr="000009BA">
              <w:t xml:space="preserve">Ahmed T. и соавт., 2017 </w:t>
            </w:r>
            <w:r w:rsidRPr="000009BA">
              <w:fldChar w:fldCharType="begin" w:fldLock="1"/>
            </w:r>
            <w:r w:rsidR="00A6794A">
              <w:instrText>ADDIN CSL_CITATION {"citationItems":[{"id":"ITEM-1","itemData":{"DOI":"10.1016/j.leukres.2017.09.017","ISSN":"18735835","PMID":"28985622","abstract":"Patients with Acute Myeloid Leukemia (AML) have compromised marrow function and chemotherapy causes further suppression. As a result complications are frequent, and patients may require admission to the intensive care unit (ICU). How codes status changes when these events occur and how those changes influence outcome are largely unknown. Outcomes for adult patients with AML, undergoing induction chemotherapy, and transferred to the ICU between January 2000 and December 2013 were analyzed. 94 patients were included. Median survival was 1.3 months. At 3 and 6 months overall survival (OS) was 27% and 18% respectively. Respiratory failure was the most common reason for transfer to ICU (88%), with 63% requiring mechanical ventilation at transfer. Other reasons included: cardiac arrest (18%), septic shock (17%), hypotension (9%), and acute renal failure (9%). The most frequent interventions were mechanical ventilation in 85%, vasopressors in 62%, and hemodialysis in 30%. Following transfer 55 patients (58%) had a change in code status. Overall, 46 patients (49%) changed from Full Code (FC) to Comfort Care (CC), 7 (7%) from FC to Do Not Resuscitate (DNR), and 2 (2%) from DNR to CC. For the entire cohort, ICU mortality (IM) was 61% and hospital mortality (HM) was 71%. For FC or DNR patients, IM was 30% and HM was 41%. For CC patients, IM was 90% and HM was 100%. Overall, 27 patients (29%) survived to discharge. Of those discharged, 22 (81%) were alive at 3 months and 17 (63%) were alive at 6 months. In conclusion, patients that required ICU admission during induction chemotherapy have a poor prognosis. Code status changed during the ICU stay for the majority of patients and always to a less aggressive status.","author":[{"dropping-particle":"","family":"Ahmed","given":"Tamjeed","non-dropping-particle":"","parse-names":false,"suffix":""},{"dropping-particle":"","family":"Koch","given":"Abby L.","non-dropping-particle":"","parse-names":false,"suffix":""},{"dropping-particle":"","family":"Isom","given":"Scott","non-dropping-particle":"","parse-names":false,"suffix":""},{"dropping-particle":"","family":"Klepin","given":"Heidi D.","non-dropping-particle":"","parse-names":false,"suffix":""},{"dropping-particle":"","family":"Bishop","given":"Jonathan M.","non-dropping-particle":"","parse-names":false,"suffix":""},{"dropping-particle":"","family":"Ellis","given":"Leslie R.","non-dropping-particle":"","parse-names":false,"suffix":""},{"dropping-particle":"","family":"Berenzon","given":"Dmitriy","non-dropping-particle":"","parse-names":false,"suffix":""},{"dropping-particle":"","family":"Howard","given":"Dianna","non-dropping-particle":"","parse-names":false,"suffix":""},{"dropping-particle":"","family":"Lyerly","given":"Susan","non-dropping-particle":"","parse-names":false,"suffix":""},{"dropping-particle":"","family":"Powell","given":"Bayard L.","non-dropping-particle":"","parse-names":false,"suffix":""},{"dropping-particle":"","family":"Pardee","given":"Timothy S.","non-dropping-particle":"","parse-names":false,"suffix":""}],"container-title":"Leukemia Research","id":"ITEM-1","issued":{"date-parts":[["2017","11","1"]]},"page":"51-55","publisher":"Elsevier Ltd","title":"Outcomes and changes in code status of patients with acute myeloid leukemia undergoing induction chemotherapy who were transferred to the intensive care unit","type":"article-journal","volume":"62"},"uris":["http://www.mendeley.com/documents/?uuid=06d1336d-0ad4-3138-ba61-9709dde152aa"]}],"mendeley":{"formattedCitation":"[204]","plainTextFormattedCitation":"[204]","previouslyFormattedCitation":"[204]"},"properties":{"noteIndex":0},"schema":"https://github.com/citation-style-language/schema/raw/master/csl-citation.json"}</w:instrText>
            </w:r>
            <w:r w:rsidRPr="000009BA">
              <w:fldChar w:fldCharType="separate"/>
            </w:r>
            <w:r w:rsidR="006E1902" w:rsidRPr="006E1902">
              <w:rPr>
                <w:noProof/>
              </w:rPr>
              <w:t>[204]</w:t>
            </w:r>
            <w:r w:rsidRPr="000009BA">
              <w:fldChar w:fldCharType="end"/>
            </w:r>
          </w:p>
        </w:tc>
        <w:tc>
          <w:tcPr>
            <w:tcW w:w="425" w:type="pct"/>
          </w:tcPr>
          <w:p w14:paraId="589C6300" w14:textId="77777777" w:rsidR="000009BA" w:rsidRPr="000009BA" w:rsidRDefault="000009BA" w:rsidP="000009BA">
            <w:r w:rsidRPr="000009BA">
              <w:t>88</w:t>
            </w:r>
          </w:p>
        </w:tc>
        <w:tc>
          <w:tcPr>
            <w:tcW w:w="490" w:type="pct"/>
          </w:tcPr>
          <w:p w14:paraId="028EEF44" w14:textId="77777777" w:rsidR="000009BA" w:rsidRPr="000009BA" w:rsidRDefault="000009BA" w:rsidP="000009BA">
            <w:r w:rsidRPr="000009BA">
              <w:t>17</w:t>
            </w:r>
          </w:p>
        </w:tc>
        <w:tc>
          <w:tcPr>
            <w:tcW w:w="609" w:type="pct"/>
          </w:tcPr>
          <w:p w14:paraId="407DA545" w14:textId="77777777" w:rsidR="000009BA" w:rsidRPr="000009BA" w:rsidRDefault="000009BA" w:rsidP="000009BA">
            <w:r w:rsidRPr="000009BA">
              <w:t>н/д</w:t>
            </w:r>
          </w:p>
        </w:tc>
        <w:tc>
          <w:tcPr>
            <w:tcW w:w="687" w:type="pct"/>
          </w:tcPr>
          <w:p w14:paraId="2F3A304C" w14:textId="77777777" w:rsidR="000009BA" w:rsidRPr="000009BA" w:rsidRDefault="000009BA" w:rsidP="000009BA">
            <w:r w:rsidRPr="000009BA">
              <w:t>18</w:t>
            </w:r>
          </w:p>
        </w:tc>
        <w:tc>
          <w:tcPr>
            <w:tcW w:w="456" w:type="pct"/>
          </w:tcPr>
          <w:p w14:paraId="665B9120" w14:textId="77777777" w:rsidR="000009BA" w:rsidRPr="000009BA" w:rsidRDefault="000009BA" w:rsidP="000009BA">
            <w:r w:rsidRPr="000009BA">
              <w:t>8,5</w:t>
            </w:r>
          </w:p>
        </w:tc>
        <w:tc>
          <w:tcPr>
            <w:tcW w:w="515" w:type="pct"/>
          </w:tcPr>
          <w:p w14:paraId="61DB5755" w14:textId="77777777" w:rsidR="000009BA" w:rsidRPr="000009BA" w:rsidRDefault="000009BA" w:rsidP="000009BA">
            <w:r w:rsidRPr="000009BA">
              <w:t>2,1</w:t>
            </w:r>
          </w:p>
        </w:tc>
        <w:tc>
          <w:tcPr>
            <w:tcW w:w="536" w:type="pct"/>
          </w:tcPr>
          <w:p w14:paraId="36B2487F" w14:textId="77777777" w:rsidR="000009BA" w:rsidRPr="000009BA" w:rsidRDefault="000009BA" w:rsidP="000009BA">
            <w:r w:rsidRPr="000009BA">
              <w:t>н/д</w:t>
            </w:r>
          </w:p>
        </w:tc>
      </w:tr>
    </w:tbl>
    <w:p w14:paraId="7A582D1A" w14:textId="77777777" w:rsidR="000009BA" w:rsidRPr="000009BA" w:rsidRDefault="000009BA" w:rsidP="000009BA">
      <w:r w:rsidRPr="000009BA">
        <w:t>* н/д – нет данных.</w:t>
      </w:r>
    </w:p>
    <w:p w14:paraId="23C731E9" w14:textId="77777777" w:rsidR="000009BA" w:rsidRPr="000009BA" w:rsidRDefault="000009BA" w:rsidP="000009BA"/>
    <w:p w14:paraId="2BD28E0A" w14:textId="77777777" w:rsidR="000009BA" w:rsidRPr="000009BA" w:rsidRDefault="000009BA" w:rsidP="00F50D40">
      <w:pPr>
        <w:pStyle w:val="afd"/>
      </w:pPr>
      <w:r w:rsidRPr="000009BA">
        <w:t xml:space="preserve">Нередки иные причины перевода в ОРИТ гематологических пациентов – внезапно резвившиеся судороги в результате острой надпочечниковой недостаточности и гипонатриемии, отек головного мозга, судорожный синдром в результате инфекции центральной нервной системы (ЦНС), удлинение электрической систолы сердца и развитие желудочковой тахикардии по типу «torsades-de-puantes» и др. </w:t>
      </w:r>
    </w:p>
    <w:p w14:paraId="479FD9AB" w14:textId="1F4ADB51" w:rsidR="000009BA" w:rsidRPr="000009BA" w:rsidRDefault="000009BA" w:rsidP="00F50D40">
      <w:pPr>
        <w:pStyle w:val="afd"/>
      </w:pPr>
      <w:r w:rsidRPr="000009BA">
        <w:t>Для лечения жизнеугрожающих осложнений у гематологических пациентов в ОРИТ чаще всего используют следующие методы поддержания жизнеобеспечения: ИВЛ у 50</w:t>
      </w:r>
      <w:r w:rsidR="00F50D40">
        <w:t>-</w:t>
      </w:r>
      <w:r w:rsidRPr="000009BA">
        <w:t>66% больных; вазопрессорная терапия у 8</w:t>
      </w:r>
      <w:r w:rsidR="00F50D40">
        <w:t>-</w:t>
      </w:r>
      <w:r w:rsidRPr="000009BA">
        <w:t>75,6% больных, заместительная почечная терапия у 3,2</w:t>
      </w:r>
      <w:r w:rsidR="00F50D40">
        <w:t>-</w:t>
      </w:r>
      <w:r w:rsidRPr="000009BA">
        <w:t xml:space="preserve">61% больных. </w:t>
      </w:r>
    </w:p>
    <w:p w14:paraId="5A6E4C43" w14:textId="77777777" w:rsidR="000009BA" w:rsidRPr="000009BA" w:rsidRDefault="000009BA" w:rsidP="00F50D40">
      <w:pPr>
        <w:pStyle w:val="afd"/>
      </w:pPr>
      <w:r w:rsidRPr="000009BA">
        <w:t>В то же время, именно проведение интенсивной терапии в сочетании с программным лечением (в том числе, химиотерапией), несмотря на критические синдромы, в дальнейшем дает возможность достичь ремиссии гематологического заболевания, а не просто пережить критическое состояние.</w:t>
      </w:r>
    </w:p>
    <w:p w14:paraId="547089B2" w14:textId="77777777" w:rsidR="000009BA" w:rsidRPr="000009BA" w:rsidRDefault="000009BA" w:rsidP="00F50D40">
      <w:pPr>
        <w:pStyle w:val="afd"/>
      </w:pPr>
    </w:p>
    <w:p w14:paraId="7C5F45F4" w14:textId="1AAB5B55" w:rsidR="000009BA" w:rsidRPr="00F50D40" w:rsidRDefault="000009BA" w:rsidP="00F50D40">
      <w:pPr>
        <w:pStyle w:val="afd"/>
        <w:rPr>
          <w:b/>
          <w:bCs/>
        </w:rPr>
      </w:pPr>
      <w:r w:rsidRPr="00F50D40">
        <w:rPr>
          <w:b/>
          <w:bCs/>
        </w:rPr>
        <w:t xml:space="preserve">Показания к переводу в ОРИТ у гематологических пациентов </w:t>
      </w:r>
      <w:r w:rsidRPr="00F50D40">
        <w:rPr>
          <w:b/>
          <w:bCs/>
        </w:rPr>
        <w:fldChar w:fldCharType="begin" w:fldLock="1"/>
      </w:r>
      <w:r w:rsidR="00A6794A">
        <w:rPr>
          <w:b/>
          <w:bCs/>
        </w:rPr>
        <w:instrText>ADDIN CSL_CITATION {"citationItems":[{"id":"ITEM-1","itemData":{"author":[{"dropping-particle":"","family":"Воробьев","given":"А.И.","non-dropping-particle":"","parse-names":false,"suffix":""},{"dropping-particle":"","family":"Горелов","given":"В.Г.","non-dropping-particle":"","parse-names":false,"suffix":""},{"dropping-particle":"","family":"Городецкий","given":"В.М.","non-dropping-particle":"","parse-names":false,"suffix":""},{"dropping-particle":"","family":"Шулутко","given":"Е.М.","non-dropping-particle":"","parse-names":false,"suffix":""}],"container-title":"Терапевтический архив","id":"ITEM-1","issue":"7","issued":{"date-parts":[["1993"]]},"page":"3-6","title":"Критические состояния при гемобластозах (типичные формы и выживаемость в условиях отделения реанимации).","type":"article-journal","volume":"65"},"uris":["http://www.mendeley.com/documents/?uuid=c4b05bf5-f5dc-4551-a590-5854faa101d0"]},{"id":"ITEM-2","itemData":{"author":[{"dropping-particle":"","family":"Галстян","given":"Г.М.","non-dropping-particle":"","parse-names":false,"suffix":""},{"dropping-particle":"","family":"Городецкий","given":"В.М.","non-dropping-particle":"","parse-names":false,"suffix":""}],"container-title":"Клиническая онкогематология","id":"ITEM-2","issue":"1","issued":{"date-parts":[["2011"]]},"page":"75-78","title":"Опыт работы отделения реанимации и интенсивной терапии ФГБУ ГНЦ МЗиСР РФ","type":"article-journal","volume":"4"},"uris":["http://www.mendeley.com/documents/?uuid=7a2aad90-732f-4da0-a3ce-4939d049189b"]}],"mendeley":{"formattedCitation":"[195,196]","plainTextFormattedCitation":"[195,196]","previouslyFormattedCitation":"[195,196]"},"properties":{"noteIndex":0},"schema":"https://github.com/citation-style-language/schema/raw/master/csl-citation.json"}</w:instrText>
      </w:r>
      <w:r w:rsidRPr="00F50D40">
        <w:rPr>
          <w:b/>
          <w:bCs/>
        </w:rPr>
        <w:fldChar w:fldCharType="separate"/>
      </w:r>
      <w:r w:rsidR="006E1902" w:rsidRPr="006E1902">
        <w:rPr>
          <w:bCs/>
          <w:noProof/>
        </w:rPr>
        <w:t>[195,196]</w:t>
      </w:r>
      <w:r w:rsidRPr="00F50D40">
        <w:rPr>
          <w:b/>
          <w:bCs/>
        </w:rPr>
        <w:fldChar w:fldCharType="end"/>
      </w:r>
    </w:p>
    <w:p w14:paraId="6E0BAF1A" w14:textId="77777777" w:rsidR="000009BA" w:rsidRPr="000009BA" w:rsidRDefault="000009BA" w:rsidP="00F50D40">
      <w:pPr>
        <w:pStyle w:val="afd"/>
      </w:pPr>
      <w:r w:rsidRPr="000009BA">
        <w:t>Критическими синдромами, требующими перевода в ОРИТ являются: сепсис, септический шок (СШ), ОДН, ОПН, острое нарушение мозгового кровообращения (ОНМК) по ишемическому или геморрагическому типу, синдром массивного лизиса опухоли, жизнеугрожающее нарушение сердечного ритма, массивное желудочно-кишечное кровотечение.</w:t>
      </w:r>
    </w:p>
    <w:p w14:paraId="4E6522BD" w14:textId="77777777" w:rsidR="00B8726F" w:rsidRDefault="00B8726F" w:rsidP="00F50D40">
      <w:pPr>
        <w:pStyle w:val="afd"/>
        <w:rPr>
          <w:b/>
          <w:bCs/>
        </w:rPr>
      </w:pPr>
    </w:p>
    <w:p w14:paraId="51497640" w14:textId="5B225008" w:rsidR="000009BA" w:rsidRPr="00B8726F" w:rsidRDefault="000009BA" w:rsidP="00F50D40">
      <w:pPr>
        <w:pStyle w:val="afd"/>
        <w:rPr>
          <w:b/>
          <w:bCs/>
        </w:rPr>
      </w:pPr>
      <w:r w:rsidRPr="00B8726F">
        <w:rPr>
          <w:b/>
          <w:bCs/>
        </w:rPr>
        <w:t>Задачи врача – реаниматолога</w:t>
      </w:r>
    </w:p>
    <w:p w14:paraId="0A4A4E32" w14:textId="77777777" w:rsidR="000009BA" w:rsidRPr="000009BA" w:rsidRDefault="000009BA" w:rsidP="00F50D40">
      <w:pPr>
        <w:pStyle w:val="afd"/>
      </w:pPr>
      <w:r w:rsidRPr="000009BA">
        <w:t>При поступлении в ОРИТ гематологического пациента врач-анестезиолог– реаниматолог решает несколько задач:</w:t>
      </w:r>
    </w:p>
    <w:p w14:paraId="5FA67894" w14:textId="77777777" w:rsidR="000009BA" w:rsidRPr="000009BA" w:rsidRDefault="000009BA" w:rsidP="00FE0193">
      <w:pPr>
        <w:pStyle w:val="afd"/>
        <w:numPr>
          <w:ilvl w:val="0"/>
          <w:numId w:val="87"/>
        </w:numPr>
      </w:pPr>
      <w:r w:rsidRPr="000009BA">
        <w:t>диагностика и установление этиологической причины развития жизнеугрожающего состояния (осмотр, опрос, анамнез, клинико-лабораторные и инструментальные методы);</w:t>
      </w:r>
    </w:p>
    <w:p w14:paraId="106CAA3F" w14:textId="77777777" w:rsidR="000009BA" w:rsidRPr="000009BA" w:rsidRDefault="000009BA" w:rsidP="00FE0193">
      <w:pPr>
        <w:pStyle w:val="afd"/>
        <w:numPr>
          <w:ilvl w:val="0"/>
          <w:numId w:val="87"/>
        </w:numPr>
      </w:pPr>
      <w:r w:rsidRPr="000009BA">
        <w:t xml:space="preserve">манипуляции, направленные на обеспечение сосудистого доступа (установка центрального венозного катетера, периферических венозных доступов), поддержание проходимости дыхательных путей (установка </w:t>
      </w:r>
      <w:r w:rsidRPr="000009BA">
        <w:lastRenderedPageBreak/>
        <w:t>воздуховода, интубация трахеи), инвазивного мониторинга показателей гемодинамики (установка артериального катетера), декомпрессия желудка, катетеризация мочевого пузыря;</w:t>
      </w:r>
    </w:p>
    <w:p w14:paraId="33CBFC9E" w14:textId="77777777" w:rsidR="000009BA" w:rsidRPr="000009BA" w:rsidRDefault="000009BA" w:rsidP="00FE0193">
      <w:pPr>
        <w:pStyle w:val="afd"/>
        <w:numPr>
          <w:ilvl w:val="0"/>
          <w:numId w:val="87"/>
        </w:numPr>
      </w:pPr>
      <w:r w:rsidRPr="000009BA">
        <w:t>стабилизация состояния пациента с применением методик протезирования жизненно-важных органов (ИВЛ, вазопрессорная поддержка, заместительная почечная терапия);</w:t>
      </w:r>
    </w:p>
    <w:p w14:paraId="33A7090C" w14:textId="77777777" w:rsidR="000009BA" w:rsidRPr="000009BA" w:rsidRDefault="000009BA" w:rsidP="00FE0193">
      <w:pPr>
        <w:pStyle w:val="afd"/>
        <w:numPr>
          <w:ilvl w:val="0"/>
          <w:numId w:val="87"/>
        </w:numPr>
      </w:pPr>
      <w:r w:rsidRPr="000009BA">
        <w:t>проведение сопроводительной терапии, которая включает в себя антибиотическую (как противогрибковую, так и противовирусную) терапию, инфузионную, гемостатическую терапию, нутритивную поддержку и др.</w:t>
      </w:r>
    </w:p>
    <w:p w14:paraId="2A12EE6C" w14:textId="77777777" w:rsidR="000009BA" w:rsidRPr="000009BA" w:rsidRDefault="000009BA" w:rsidP="00FE0193">
      <w:pPr>
        <w:pStyle w:val="afd"/>
        <w:numPr>
          <w:ilvl w:val="0"/>
          <w:numId w:val="87"/>
        </w:numPr>
      </w:pPr>
      <w:r w:rsidRPr="000009BA">
        <w:t>контроль лабораторных и витальных показателей пациента;</w:t>
      </w:r>
    </w:p>
    <w:p w14:paraId="33516FA4" w14:textId="77777777" w:rsidR="000009BA" w:rsidRPr="000009BA" w:rsidRDefault="000009BA" w:rsidP="00FE0193">
      <w:pPr>
        <w:pStyle w:val="afd"/>
        <w:numPr>
          <w:ilvl w:val="0"/>
          <w:numId w:val="87"/>
        </w:numPr>
      </w:pPr>
      <w:r w:rsidRPr="000009BA">
        <w:t>организация консультаций специалистов при необходимости;</w:t>
      </w:r>
    </w:p>
    <w:p w14:paraId="5634A837" w14:textId="77777777" w:rsidR="000009BA" w:rsidRPr="000009BA" w:rsidRDefault="000009BA" w:rsidP="00FE0193">
      <w:pPr>
        <w:pStyle w:val="afd"/>
        <w:numPr>
          <w:ilvl w:val="0"/>
          <w:numId w:val="87"/>
        </w:numPr>
      </w:pPr>
      <w:r w:rsidRPr="000009BA">
        <w:t>выполнение диагностических и лечебных манипуляций и исследований (проведение спиннномозговой/люмбальной пункции, наложение дилятационной трахеостомы и/или гастростомы).</w:t>
      </w:r>
    </w:p>
    <w:p w14:paraId="414FD463" w14:textId="77777777" w:rsidR="000009BA" w:rsidRPr="000322E4" w:rsidRDefault="000009BA" w:rsidP="00CA442F">
      <w:pPr>
        <w:pStyle w:val="afd"/>
        <w:rPr>
          <w:rFonts w:eastAsiaTheme="minorHAnsi" w:cstheme="minorBidi"/>
          <w:iCs/>
          <w:lang w:eastAsia="en-US"/>
        </w:rPr>
      </w:pPr>
    </w:p>
    <w:p w14:paraId="2FACB97C" w14:textId="4786E3F3" w:rsidR="000414F6" w:rsidRPr="000322E4" w:rsidRDefault="00CB71DA" w:rsidP="00F414BF">
      <w:pPr>
        <w:pStyle w:val="afff2"/>
      </w:pPr>
      <w:bookmarkStart w:id="77" w:name="_Toc96601266"/>
      <w:r w:rsidRPr="000322E4">
        <w:t>Критерии оценки качества медицинской помощи</w:t>
      </w:r>
      <w:bookmarkEnd w:id="55"/>
      <w:bookmarkEnd w:id="77"/>
    </w:p>
    <w:p w14:paraId="105498BA" w14:textId="77777777" w:rsidR="0025228A" w:rsidRPr="000322E4" w:rsidRDefault="0025228A" w:rsidP="00CA442F">
      <w:pPr>
        <w:pStyle w:val="afffb"/>
      </w:pPr>
    </w:p>
    <w:tbl>
      <w:tblPr>
        <w:tblW w:w="5004"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2"/>
        <w:gridCol w:w="4895"/>
        <w:gridCol w:w="23"/>
        <w:gridCol w:w="1711"/>
        <w:gridCol w:w="7"/>
        <w:gridCol w:w="1752"/>
      </w:tblGrid>
      <w:tr w:rsidR="00A4325F" w:rsidRPr="000322E4" w14:paraId="6F1AA266" w14:textId="77777777" w:rsidTr="00210FA0">
        <w:trPr>
          <w:tblHeader/>
        </w:trPr>
        <w:tc>
          <w:tcPr>
            <w:tcW w:w="224" w:type="pct"/>
            <w:tcBorders>
              <w:top w:val="single" w:sz="6" w:space="0" w:color="000000"/>
              <w:left w:val="single" w:sz="6" w:space="0" w:color="000000"/>
              <w:bottom w:val="single" w:sz="6" w:space="0" w:color="000000"/>
              <w:right w:val="single" w:sz="6" w:space="0" w:color="000000"/>
            </w:tcBorders>
            <w:vAlign w:val="center"/>
            <w:hideMark/>
          </w:tcPr>
          <w:p w14:paraId="1873C069" w14:textId="77777777" w:rsidR="00A4325F" w:rsidRPr="000322E4" w:rsidRDefault="00A4325F" w:rsidP="00F414BF">
            <w:pPr>
              <w:pStyle w:val="afd"/>
              <w:ind w:firstLine="0"/>
            </w:pPr>
            <w:bookmarkStart w:id="78" w:name="__RefHeading___doc_bible"/>
            <w:r w:rsidRPr="000322E4">
              <w:rPr>
                <w:rStyle w:val="affb"/>
              </w:rPr>
              <w:t>№</w:t>
            </w:r>
          </w:p>
          <w:p w14:paraId="2BA92F66" w14:textId="77777777" w:rsidR="00A4325F" w:rsidRPr="000322E4" w:rsidRDefault="00A4325F" w:rsidP="00F414BF">
            <w:pPr>
              <w:pStyle w:val="afd"/>
              <w:ind w:firstLine="0"/>
            </w:pPr>
          </w:p>
        </w:tc>
        <w:tc>
          <w:tcPr>
            <w:tcW w:w="2788" w:type="pct"/>
            <w:tcBorders>
              <w:top w:val="single" w:sz="6" w:space="0" w:color="000000"/>
              <w:left w:val="single" w:sz="6" w:space="0" w:color="000000"/>
              <w:bottom w:val="single" w:sz="6" w:space="0" w:color="000000"/>
              <w:right w:val="single" w:sz="6" w:space="0" w:color="000000"/>
            </w:tcBorders>
            <w:vAlign w:val="center"/>
            <w:hideMark/>
          </w:tcPr>
          <w:p w14:paraId="148C18D3" w14:textId="77777777" w:rsidR="00A4325F" w:rsidRPr="000322E4" w:rsidRDefault="00A4325F" w:rsidP="00F414BF">
            <w:pPr>
              <w:pStyle w:val="afd"/>
              <w:ind w:firstLine="0"/>
            </w:pPr>
            <w:r w:rsidRPr="000322E4">
              <w:rPr>
                <w:rStyle w:val="affb"/>
              </w:rPr>
              <w:t>Критерии качества</w:t>
            </w:r>
          </w:p>
        </w:tc>
        <w:tc>
          <w:tcPr>
            <w:tcW w:w="986" w:type="pct"/>
            <w:gridSpan w:val="2"/>
            <w:tcBorders>
              <w:top w:val="single" w:sz="6" w:space="0" w:color="000000"/>
              <w:left w:val="single" w:sz="6" w:space="0" w:color="000000"/>
              <w:bottom w:val="single" w:sz="6" w:space="0" w:color="000000"/>
              <w:right w:val="single" w:sz="6" w:space="0" w:color="000000"/>
            </w:tcBorders>
            <w:vAlign w:val="center"/>
            <w:hideMark/>
          </w:tcPr>
          <w:p w14:paraId="5DA1160A" w14:textId="77777777" w:rsidR="00A4325F" w:rsidRPr="000322E4" w:rsidRDefault="00A4325F" w:rsidP="00F414BF">
            <w:pPr>
              <w:pStyle w:val="afd"/>
              <w:ind w:firstLine="0"/>
            </w:pPr>
            <w:r w:rsidRPr="000322E4">
              <w:rPr>
                <w:rStyle w:val="affb"/>
              </w:rPr>
              <w:t xml:space="preserve">Уровень убедительности рекомендаций </w:t>
            </w:r>
          </w:p>
        </w:tc>
        <w:tc>
          <w:tcPr>
            <w:tcW w:w="1002" w:type="pct"/>
            <w:gridSpan w:val="2"/>
            <w:tcBorders>
              <w:top w:val="single" w:sz="6" w:space="0" w:color="000000"/>
              <w:left w:val="single" w:sz="6" w:space="0" w:color="000000"/>
              <w:bottom w:val="single" w:sz="6" w:space="0" w:color="000000"/>
              <w:right w:val="single" w:sz="6" w:space="0" w:color="000000"/>
            </w:tcBorders>
            <w:vAlign w:val="center"/>
            <w:hideMark/>
          </w:tcPr>
          <w:p w14:paraId="07D7711A" w14:textId="77777777" w:rsidR="00A4325F" w:rsidRPr="000322E4" w:rsidRDefault="00A4325F" w:rsidP="00F414BF">
            <w:pPr>
              <w:pStyle w:val="afd"/>
              <w:ind w:firstLine="0"/>
            </w:pPr>
            <w:r w:rsidRPr="000322E4">
              <w:rPr>
                <w:rStyle w:val="affb"/>
              </w:rPr>
              <w:t>Уровень достоверности доказательств</w:t>
            </w:r>
          </w:p>
        </w:tc>
      </w:tr>
      <w:tr w:rsidR="00A4325F" w:rsidRPr="000322E4" w14:paraId="241551FB" w14:textId="77777777" w:rsidTr="00210FA0">
        <w:tc>
          <w:tcPr>
            <w:tcW w:w="224" w:type="pct"/>
            <w:tcBorders>
              <w:top w:val="single" w:sz="6" w:space="0" w:color="000000"/>
              <w:left w:val="single" w:sz="6" w:space="0" w:color="000000"/>
              <w:bottom w:val="single" w:sz="6" w:space="0" w:color="000000"/>
              <w:right w:val="single" w:sz="6" w:space="0" w:color="000000"/>
            </w:tcBorders>
            <w:hideMark/>
          </w:tcPr>
          <w:p w14:paraId="6BD5067B" w14:textId="77777777" w:rsidR="00A4325F" w:rsidRPr="000322E4" w:rsidRDefault="00A4325F" w:rsidP="00F414BF">
            <w:pPr>
              <w:pStyle w:val="afd"/>
              <w:numPr>
                <w:ilvl w:val="0"/>
                <w:numId w:val="4"/>
              </w:numPr>
            </w:pPr>
          </w:p>
        </w:tc>
        <w:tc>
          <w:tcPr>
            <w:tcW w:w="2799" w:type="pct"/>
            <w:gridSpan w:val="2"/>
            <w:tcBorders>
              <w:top w:val="single" w:sz="6" w:space="0" w:color="000000"/>
              <w:left w:val="single" w:sz="6" w:space="0" w:color="000000"/>
              <w:bottom w:val="single" w:sz="6" w:space="0" w:color="000000"/>
              <w:right w:val="single" w:sz="6" w:space="0" w:color="000000"/>
            </w:tcBorders>
            <w:vAlign w:val="center"/>
          </w:tcPr>
          <w:p w14:paraId="66669E62" w14:textId="77777777" w:rsidR="00A4325F" w:rsidRPr="000322E4" w:rsidRDefault="00A4325F" w:rsidP="00F414BF">
            <w:pPr>
              <w:pStyle w:val="afd"/>
              <w:ind w:firstLine="0"/>
            </w:pPr>
            <w:r w:rsidRPr="000322E4">
              <w:t xml:space="preserve">Пациенту с подозрением на </w:t>
            </w:r>
            <w:r w:rsidR="00210FA0" w:rsidRPr="000322E4">
              <w:t>ДВКЛ</w:t>
            </w:r>
            <w:r w:rsidR="009B70C4" w:rsidRPr="000322E4">
              <w:t>, ПМВКЛ или ЛБ</w:t>
            </w:r>
            <w:r w:rsidRPr="000322E4">
              <w:t xml:space="preserve"> или с выявленной </w:t>
            </w:r>
            <w:r w:rsidR="00210FA0" w:rsidRPr="000322E4">
              <w:t>ДВКЛ</w:t>
            </w:r>
            <w:r w:rsidR="009B70C4" w:rsidRPr="000322E4">
              <w:t>, ПМВКЛ или ЛБ</w:t>
            </w:r>
            <w:r w:rsidRPr="000322E4">
              <w:t xml:space="preserve"> при первичном или повторном приеме, после завершения каждого цикла терапии и перед началом каждого нового цикла терапии, при оценке ремиссии после завершения терапии, при контрольных обследованиях, или при подозрении на рецидив заболевания выполнен развернутый клинический анализ крови с определением гемоглобина, эритроцитов, тромбоцитов, лейкоцитов, подсчетом лейкоцитарной формулы с оценкой абсолютного содержания лейкоцитов и </w:t>
            </w:r>
            <w:r w:rsidRPr="000322E4">
              <w:lastRenderedPageBreak/>
              <w:t>количества ретикулоцитов, оценкой скорости оседания эритроцитов</w:t>
            </w:r>
          </w:p>
        </w:tc>
        <w:tc>
          <w:tcPr>
            <w:tcW w:w="979" w:type="pct"/>
            <w:gridSpan w:val="2"/>
            <w:tcBorders>
              <w:top w:val="single" w:sz="6" w:space="0" w:color="000000"/>
              <w:left w:val="single" w:sz="6" w:space="0" w:color="000000"/>
              <w:bottom w:val="single" w:sz="6" w:space="0" w:color="000000"/>
              <w:right w:val="single" w:sz="6" w:space="0" w:color="000000"/>
            </w:tcBorders>
          </w:tcPr>
          <w:p w14:paraId="09D6FFA1" w14:textId="77777777" w:rsidR="00A4325F" w:rsidRPr="000322E4" w:rsidRDefault="00A4325F" w:rsidP="00F414BF">
            <w:pPr>
              <w:pStyle w:val="afd"/>
              <w:ind w:firstLine="0"/>
            </w:pPr>
            <w:r w:rsidRPr="000322E4">
              <w:lastRenderedPageBreak/>
              <w:t>С</w:t>
            </w:r>
          </w:p>
        </w:tc>
        <w:tc>
          <w:tcPr>
            <w:tcW w:w="997" w:type="pct"/>
            <w:tcBorders>
              <w:top w:val="single" w:sz="6" w:space="0" w:color="000000"/>
              <w:left w:val="single" w:sz="6" w:space="0" w:color="000000"/>
              <w:bottom w:val="single" w:sz="6" w:space="0" w:color="000000"/>
              <w:right w:val="single" w:sz="6" w:space="0" w:color="000000"/>
            </w:tcBorders>
          </w:tcPr>
          <w:p w14:paraId="181977CA" w14:textId="77777777" w:rsidR="00A4325F" w:rsidRPr="000322E4" w:rsidRDefault="00A4325F" w:rsidP="00F414BF">
            <w:pPr>
              <w:pStyle w:val="afd"/>
              <w:ind w:firstLine="0"/>
            </w:pPr>
            <w:r w:rsidRPr="000322E4">
              <w:t>5</w:t>
            </w:r>
          </w:p>
        </w:tc>
      </w:tr>
      <w:tr w:rsidR="00A4325F" w:rsidRPr="000322E4" w14:paraId="233557CF" w14:textId="77777777" w:rsidTr="00210FA0">
        <w:tc>
          <w:tcPr>
            <w:tcW w:w="224" w:type="pct"/>
            <w:tcBorders>
              <w:top w:val="single" w:sz="6" w:space="0" w:color="000000"/>
              <w:left w:val="single" w:sz="6" w:space="0" w:color="000000"/>
              <w:bottom w:val="single" w:sz="6" w:space="0" w:color="000000"/>
              <w:right w:val="single" w:sz="6" w:space="0" w:color="000000"/>
            </w:tcBorders>
            <w:hideMark/>
          </w:tcPr>
          <w:p w14:paraId="60F6DC9A" w14:textId="77777777" w:rsidR="00A4325F" w:rsidRPr="000322E4" w:rsidRDefault="00A4325F" w:rsidP="00F414BF">
            <w:pPr>
              <w:pStyle w:val="afd"/>
              <w:numPr>
                <w:ilvl w:val="0"/>
                <w:numId w:val="4"/>
              </w:numPr>
            </w:pPr>
          </w:p>
        </w:tc>
        <w:tc>
          <w:tcPr>
            <w:tcW w:w="2799" w:type="pct"/>
            <w:gridSpan w:val="2"/>
            <w:tcBorders>
              <w:top w:val="single" w:sz="6" w:space="0" w:color="000000"/>
              <w:left w:val="single" w:sz="6" w:space="0" w:color="000000"/>
              <w:bottom w:val="single" w:sz="6" w:space="0" w:color="000000"/>
              <w:right w:val="single" w:sz="6" w:space="0" w:color="000000"/>
            </w:tcBorders>
            <w:vAlign w:val="center"/>
          </w:tcPr>
          <w:p w14:paraId="7979F8A7" w14:textId="77777777" w:rsidR="00A4325F" w:rsidRPr="000322E4" w:rsidRDefault="00A4325F" w:rsidP="00F414BF">
            <w:pPr>
              <w:pStyle w:val="afd"/>
              <w:ind w:firstLine="0"/>
            </w:pPr>
            <w:r w:rsidRPr="000322E4">
              <w:t xml:space="preserve">Пациенту с подозрением на </w:t>
            </w:r>
            <w:r w:rsidR="00210FA0" w:rsidRPr="000322E4">
              <w:t>ДВКЛ</w:t>
            </w:r>
            <w:r w:rsidR="009B70C4" w:rsidRPr="000322E4">
              <w:t>, ПМВКЛ или ЛБ</w:t>
            </w:r>
            <w:r w:rsidRPr="000322E4">
              <w:t xml:space="preserve"> или с выявленной </w:t>
            </w:r>
            <w:r w:rsidR="00210FA0" w:rsidRPr="000322E4">
              <w:t>ДВКЛ</w:t>
            </w:r>
            <w:r w:rsidR="009B70C4" w:rsidRPr="000322E4">
              <w:t>, ПМВКЛ или ЛБ</w:t>
            </w:r>
            <w:r w:rsidRPr="000322E4">
              <w:t xml:space="preserve"> при первичном или повторном приеме, после завершения каждого цикла терапии и перед началом каждого нового цикла терапии, при оценке ремиссии после завершения терапии, при контрольных обследованиях, или при подозрении на рецидив заболевания выполнен анализ крови биохимический общетерапевтический с </w:t>
            </w:r>
            <w:r w:rsidRPr="000322E4">
              <w:rPr>
                <w:iCs/>
              </w:rPr>
              <w:t>включением следующих параметров: ЛДГ, мочевина, креатинин, общий белок, альбумин, билирубин, АСТ, АЛТ, щелочная фосфатаза, калий, натрий, хлор, кальций</w:t>
            </w:r>
          </w:p>
        </w:tc>
        <w:tc>
          <w:tcPr>
            <w:tcW w:w="979" w:type="pct"/>
            <w:gridSpan w:val="2"/>
            <w:tcBorders>
              <w:top w:val="single" w:sz="6" w:space="0" w:color="000000"/>
              <w:left w:val="single" w:sz="6" w:space="0" w:color="000000"/>
              <w:bottom w:val="single" w:sz="6" w:space="0" w:color="000000"/>
              <w:right w:val="single" w:sz="6" w:space="0" w:color="000000"/>
            </w:tcBorders>
          </w:tcPr>
          <w:p w14:paraId="57451068" w14:textId="77777777" w:rsidR="00A4325F" w:rsidRPr="000322E4" w:rsidRDefault="00A4325F" w:rsidP="00F414BF">
            <w:pPr>
              <w:pStyle w:val="afd"/>
              <w:ind w:firstLine="0"/>
            </w:pPr>
            <w:r w:rsidRPr="000322E4">
              <w:t>С</w:t>
            </w:r>
          </w:p>
        </w:tc>
        <w:tc>
          <w:tcPr>
            <w:tcW w:w="997" w:type="pct"/>
            <w:tcBorders>
              <w:top w:val="single" w:sz="6" w:space="0" w:color="000000"/>
              <w:left w:val="single" w:sz="6" w:space="0" w:color="000000"/>
              <w:bottom w:val="single" w:sz="6" w:space="0" w:color="000000"/>
              <w:right w:val="single" w:sz="6" w:space="0" w:color="000000"/>
            </w:tcBorders>
          </w:tcPr>
          <w:p w14:paraId="0F935BCC" w14:textId="77777777" w:rsidR="00A4325F" w:rsidRPr="000322E4" w:rsidRDefault="00A4325F" w:rsidP="00F414BF">
            <w:pPr>
              <w:pStyle w:val="afd"/>
              <w:ind w:firstLine="0"/>
            </w:pPr>
            <w:r w:rsidRPr="000322E4">
              <w:t>5</w:t>
            </w:r>
          </w:p>
        </w:tc>
      </w:tr>
      <w:tr w:rsidR="00A4325F" w:rsidRPr="000322E4" w14:paraId="5CFAA8FF" w14:textId="77777777" w:rsidTr="00210FA0">
        <w:tc>
          <w:tcPr>
            <w:tcW w:w="224" w:type="pct"/>
            <w:tcBorders>
              <w:top w:val="single" w:sz="6" w:space="0" w:color="000000"/>
              <w:left w:val="single" w:sz="6" w:space="0" w:color="000000"/>
              <w:bottom w:val="single" w:sz="6" w:space="0" w:color="000000"/>
              <w:right w:val="single" w:sz="6" w:space="0" w:color="000000"/>
            </w:tcBorders>
            <w:hideMark/>
          </w:tcPr>
          <w:p w14:paraId="50766A9A" w14:textId="77777777" w:rsidR="00A4325F" w:rsidRPr="000322E4" w:rsidRDefault="00A4325F" w:rsidP="00F414BF">
            <w:pPr>
              <w:pStyle w:val="afd"/>
              <w:numPr>
                <w:ilvl w:val="0"/>
                <w:numId w:val="4"/>
              </w:numPr>
            </w:pPr>
          </w:p>
        </w:tc>
        <w:tc>
          <w:tcPr>
            <w:tcW w:w="2799" w:type="pct"/>
            <w:gridSpan w:val="2"/>
            <w:tcBorders>
              <w:top w:val="single" w:sz="6" w:space="0" w:color="000000"/>
              <w:left w:val="single" w:sz="6" w:space="0" w:color="000000"/>
              <w:bottom w:val="single" w:sz="6" w:space="0" w:color="000000"/>
              <w:right w:val="single" w:sz="6" w:space="0" w:color="000000"/>
            </w:tcBorders>
            <w:vAlign w:val="center"/>
          </w:tcPr>
          <w:p w14:paraId="69E47DF2" w14:textId="77777777" w:rsidR="00A4325F" w:rsidRPr="000322E4" w:rsidRDefault="00A4325F" w:rsidP="00F414BF">
            <w:pPr>
              <w:pStyle w:val="afd"/>
              <w:ind w:firstLine="0"/>
            </w:pPr>
            <w:r w:rsidRPr="000322E4">
              <w:t xml:space="preserve">Пациенту с подозрением на </w:t>
            </w:r>
            <w:r w:rsidR="00210FA0" w:rsidRPr="000322E4">
              <w:t>ДВКЛ</w:t>
            </w:r>
            <w:r w:rsidR="009B70C4" w:rsidRPr="000322E4">
              <w:t>, ПМВКЛ или ЛБ</w:t>
            </w:r>
            <w:r w:rsidRPr="000322E4">
              <w:t xml:space="preserve"> или с выявленной </w:t>
            </w:r>
            <w:r w:rsidR="00210FA0" w:rsidRPr="000322E4">
              <w:t>ДВКЛ</w:t>
            </w:r>
            <w:r w:rsidR="009B70C4" w:rsidRPr="000322E4">
              <w:t>, ПМВКЛ или ЛБ</w:t>
            </w:r>
            <w:r w:rsidRPr="000322E4">
              <w:t xml:space="preserve"> при первичном или повторном приеме, после завершения каждого цикла терапии и перед началом каждого нового цикла терапии, при оценке ремиссии после завершения терапии, при контрольных обследованиях, или при подозрении на рецидив заболевания выполнено исследование свертывающей системы крови (коагулограмма) с </w:t>
            </w:r>
            <w:r w:rsidRPr="000322E4">
              <w:rPr>
                <w:iCs/>
              </w:rPr>
              <w:t xml:space="preserve">включением следующих параметров: протромбин, МНО, АЧТВ, фибриноген, тромбиновое время, антитромбин </w:t>
            </w:r>
            <w:r w:rsidRPr="000322E4">
              <w:rPr>
                <w:iCs/>
                <w:lang w:val="en-US"/>
              </w:rPr>
              <w:t>III</w:t>
            </w:r>
            <w:r w:rsidRPr="000322E4">
              <w:rPr>
                <w:iCs/>
              </w:rPr>
              <w:t xml:space="preserve">, плазминоген, </w:t>
            </w:r>
            <w:r w:rsidRPr="000322E4">
              <w:rPr>
                <w:iCs/>
                <w:lang w:val="en-US"/>
              </w:rPr>
              <w:t>D</w:t>
            </w:r>
            <w:r w:rsidRPr="000322E4">
              <w:rPr>
                <w:iCs/>
              </w:rPr>
              <w:t>-димер</w:t>
            </w:r>
          </w:p>
        </w:tc>
        <w:tc>
          <w:tcPr>
            <w:tcW w:w="979" w:type="pct"/>
            <w:gridSpan w:val="2"/>
            <w:tcBorders>
              <w:top w:val="single" w:sz="6" w:space="0" w:color="000000"/>
              <w:left w:val="single" w:sz="6" w:space="0" w:color="000000"/>
              <w:bottom w:val="single" w:sz="6" w:space="0" w:color="000000"/>
              <w:right w:val="single" w:sz="6" w:space="0" w:color="000000"/>
            </w:tcBorders>
          </w:tcPr>
          <w:p w14:paraId="7DC08B3F" w14:textId="77777777" w:rsidR="00A4325F" w:rsidRPr="000322E4" w:rsidRDefault="00A4325F" w:rsidP="00F414BF">
            <w:pPr>
              <w:pStyle w:val="afd"/>
              <w:ind w:firstLine="0"/>
            </w:pPr>
            <w:r w:rsidRPr="000322E4">
              <w:t>С</w:t>
            </w:r>
          </w:p>
        </w:tc>
        <w:tc>
          <w:tcPr>
            <w:tcW w:w="997" w:type="pct"/>
            <w:tcBorders>
              <w:top w:val="single" w:sz="6" w:space="0" w:color="000000"/>
              <w:left w:val="single" w:sz="6" w:space="0" w:color="000000"/>
              <w:bottom w:val="single" w:sz="6" w:space="0" w:color="000000"/>
              <w:right w:val="single" w:sz="6" w:space="0" w:color="000000"/>
            </w:tcBorders>
          </w:tcPr>
          <w:p w14:paraId="5EAAE406" w14:textId="77777777" w:rsidR="00A4325F" w:rsidRPr="000322E4" w:rsidRDefault="00A4325F" w:rsidP="00F414BF">
            <w:pPr>
              <w:pStyle w:val="afd"/>
              <w:ind w:firstLine="0"/>
            </w:pPr>
            <w:r w:rsidRPr="000322E4">
              <w:t>5</w:t>
            </w:r>
          </w:p>
        </w:tc>
      </w:tr>
      <w:tr w:rsidR="00A4325F" w:rsidRPr="000322E4" w14:paraId="0649D771" w14:textId="77777777" w:rsidTr="00210FA0">
        <w:tc>
          <w:tcPr>
            <w:tcW w:w="224" w:type="pct"/>
            <w:tcBorders>
              <w:top w:val="single" w:sz="6" w:space="0" w:color="000000"/>
              <w:left w:val="single" w:sz="6" w:space="0" w:color="000000"/>
              <w:bottom w:val="single" w:sz="6" w:space="0" w:color="000000"/>
              <w:right w:val="single" w:sz="6" w:space="0" w:color="000000"/>
            </w:tcBorders>
            <w:hideMark/>
          </w:tcPr>
          <w:p w14:paraId="17323148" w14:textId="77777777" w:rsidR="00A4325F" w:rsidRPr="000322E4" w:rsidRDefault="00A4325F" w:rsidP="00F414BF">
            <w:pPr>
              <w:pStyle w:val="afd"/>
              <w:numPr>
                <w:ilvl w:val="0"/>
                <w:numId w:val="4"/>
              </w:numPr>
            </w:pPr>
          </w:p>
        </w:tc>
        <w:tc>
          <w:tcPr>
            <w:tcW w:w="2799" w:type="pct"/>
            <w:gridSpan w:val="2"/>
            <w:tcBorders>
              <w:top w:val="single" w:sz="6" w:space="0" w:color="000000"/>
              <w:left w:val="single" w:sz="6" w:space="0" w:color="000000"/>
              <w:bottom w:val="single" w:sz="6" w:space="0" w:color="000000"/>
              <w:right w:val="single" w:sz="6" w:space="0" w:color="000000"/>
            </w:tcBorders>
            <w:vAlign w:val="center"/>
          </w:tcPr>
          <w:p w14:paraId="7B99472F" w14:textId="77777777" w:rsidR="00A4325F" w:rsidRPr="000322E4" w:rsidRDefault="00A4325F" w:rsidP="00F414BF">
            <w:pPr>
              <w:pStyle w:val="afd"/>
              <w:ind w:firstLine="0"/>
            </w:pPr>
            <w:r w:rsidRPr="000322E4">
              <w:t xml:space="preserve">Пациенту при установлении диагноза </w:t>
            </w:r>
            <w:r w:rsidR="00210FA0" w:rsidRPr="000322E4">
              <w:t>ДВКЛ</w:t>
            </w:r>
            <w:r w:rsidR="009B70C4" w:rsidRPr="000322E4">
              <w:t>, ПМВКЛ или ЛБ</w:t>
            </w:r>
            <w:r w:rsidRPr="000322E4">
              <w:t xml:space="preserve">, при оценке ответа на лечение, </w:t>
            </w:r>
            <w:r w:rsidRPr="000322E4">
              <w:lastRenderedPageBreak/>
              <w:t xml:space="preserve">а </w:t>
            </w:r>
            <w:r w:rsidRPr="000322E4">
              <w:rPr>
                <w:color w:val="000000" w:themeColor="text1"/>
              </w:rPr>
              <w:t>также при подозрении на рецидив заболевания выполнено</w:t>
            </w:r>
            <w:r w:rsidR="009B70C4" w:rsidRPr="000322E4">
              <w:rPr>
                <w:color w:val="000000" w:themeColor="text1"/>
              </w:rPr>
              <w:t xml:space="preserve"> ПЭТ/КТ или ПЭТ всего тела, либо, при невозможности выполнить эти исследования,</w:t>
            </w:r>
            <w:r w:rsidRPr="000322E4">
              <w:rPr>
                <w:color w:val="000000" w:themeColor="text1"/>
              </w:rPr>
              <w:t xml:space="preserve"> КТ шеи, </w:t>
            </w:r>
            <w:r w:rsidRPr="000322E4">
              <w:t>грудной клетки, органов брюшной полости и малого таза (с контрастированием)</w:t>
            </w:r>
            <w:r w:rsidR="009B70C4" w:rsidRPr="000322E4">
              <w:t>,</w:t>
            </w:r>
            <w:r w:rsidRPr="000322E4">
              <w:t xml:space="preserve"> либо (при противопоказаниях против КТ или невозможности его выполнения) выполнены рентгенография органов грудной клетки в двух проекциях и ультразвуковое исследование лимфатческих узлов и внутренних органов.</w:t>
            </w:r>
          </w:p>
        </w:tc>
        <w:tc>
          <w:tcPr>
            <w:tcW w:w="979" w:type="pct"/>
            <w:gridSpan w:val="2"/>
            <w:tcBorders>
              <w:top w:val="single" w:sz="6" w:space="0" w:color="000000"/>
              <w:left w:val="single" w:sz="6" w:space="0" w:color="000000"/>
              <w:bottom w:val="single" w:sz="6" w:space="0" w:color="000000"/>
              <w:right w:val="single" w:sz="6" w:space="0" w:color="000000"/>
            </w:tcBorders>
          </w:tcPr>
          <w:p w14:paraId="424CC079" w14:textId="77777777" w:rsidR="00A4325F" w:rsidRPr="000322E4" w:rsidRDefault="00A4325F" w:rsidP="00F414BF">
            <w:pPr>
              <w:pStyle w:val="afd"/>
              <w:ind w:firstLine="0"/>
            </w:pPr>
            <w:r w:rsidRPr="000322E4">
              <w:lastRenderedPageBreak/>
              <w:t>С</w:t>
            </w:r>
          </w:p>
        </w:tc>
        <w:tc>
          <w:tcPr>
            <w:tcW w:w="997" w:type="pct"/>
            <w:tcBorders>
              <w:top w:val="single" w:sz="6" w:space="0" w:color="000000"/>
              <w:left w:val="single" w:sz="6" w:space="0" w:color="000000"/>
              <w:bottom w:val="single" w:sz="6" w:space="0" w:color="000000"/>
              <w:right w:val="single" w:sz="6" w:space="0" w:color="000000"/>
            </w:tcBorders>
          </w:tcPr>
          <w:p w14:paraId="1580B91A" w14:textId="77777777" w:rsidR="00A4325F" w:rsidRPr="000322E4" w:rsidRDefault="00A4325F" w:rsidP="00F414BF">
            <w:pPr>
              <w:pStyle w:val="afd"/>
              <w:ind w:firstLine="0"/>
            </w:pPr>
            <w:r w:rsidRPr="000322E4">
              <w:t>5</w:t>
            </w:r>
          </w:p>
        </w:tc>
      </w:tr>
      <w:tr w:rsidR="00A4325F" w:rsidRPr="000322E4" w14:paraId="300C199C" w14:textId="77777777" w:rsidTr="00210FA0">
        <w:tc>
          <w:tcPr>
            <w:tcW w:w="224" w:type="pct"/>
            <w:tcBorders>
              <w:top w:val="single" w:sz="6" w:space="0" w:color="000000"/>
              <w:left w:val="single" w:sz="6" w:space="0" w:color="000000"/>
              <w:bottom w:val="single" w:sz="6" w:space="0" w:color="000000"/>
              <w:right w:val="single" w:sz="6" w:space="0" w:color="000000"/>
            </w:tcBorders>
          </w:tcPr>
          <w:p w14:paraId="59DAB7FB" w14:textId="77777777" w:rsidR="00A4325F" w:rsidRPr="000322E4" w:rsidRDefault="00A4325F" w:rsidP="00F414BF">
            <w:pPr>
              <w:pStyle w:val="afd"/>
              <w:numPr>
                <w:ilvl w:val="0"/>
                <w:numId w:val="4"/>
              </w:numPr>
            </w:pPr>
          </w:p>
        </w:tc>
        <w:tc>
          <w:tcPr>
            <w:tcW w:w="2799" w:type="pct"/>
            <w:gridSpan w:val="2"/>
            <w:tcBorders>
              <w:top w:val="single" w:sz="6" w:space="0" w:color="000000"/>
              <w:left w:val="single" w:sz="6" w:space="0" w:color="000000"/>
              <w:bottom w:val="single" w:sz="6" w:space="0" w:color="000000"/>
              <w:right w:val="single" w:sz="6" w:space="0" w:color="000000"/>
            </w:tcBorders>
            <w:vAlign w:val="center"/>
          </w:tcPr>
          <w:p w14:paraId="36D0FF49" w14:textId="77777777" w:rsidR="00A4325F" w:rsidRPr="000322E4" w:rsidRDefault="00A4325F" w:rsidP="00F414BF">
            <w:pPr>
              <w:pStyle w:val="afd"/>
              <w:ind w:firstLine="0"/>
            </w:pPr>
            <w:r w:rsidRPr="000322E4">
              <w:t xml:space="preserve">Пациенту с подозрением на </w:t>
            </w:r>
            <w:r w:rsidR="00210FA0" w:rsidRPr="000322E4">
              <w:t>ДВКЛ</w:t>
            </w:r>
            <w:r w:rsidR="009B70C4" w:rsidRPr="000322E4">
              <w:t>, ПМВКЛ или ЛБ</w:t>
            </w:r>
            <w:r w:rsidRPr="000322E4">
              <w:t xml:space="preserve">, с подозрением на рецидив </w:t>
            </w:r>
            <w:r w:rsidR="002215D8" w:rsidRPr="000322E4">
              <w:t>ДВКЛ</w:t>
            </w:r>
            <w:r w:rsidR="009B70C4" w:rsidRPr="000322E4">
              <w:t>, ПМВКЛ или ЛБ</w:t>
            </w:r>
            <w:r w:rsidRPr="000322E4">
              <w:t>, а также при неоднозначности трактовки противоопухолевого ответа после завершения лечения выполнена биопсия (взятие биопсийного материала) лимфатического узла либо другого очага поражения, патолого-анатомическое исследование биопсийного (операционного) материала с применением иммуногистохимических методов для верификации диагноза</w:t>
            </w:r>
          </w:p>
        </w:tc>
        <w:tc>
          <w:tcPr>
            <w:tcW w:w="979" w:type="pct"/>
            <w:gridSpan w:val="2"/>
            <w:tcBorders>
              <w:top w:val="single" w:sz="6" w:space="0" w:color="000000"/>
              <w:left w:val="single" w:sz="6" w:space="0" w:color="000000"/>
              <w:bottom w:val="single" w:sz="6" w:space="0" w:color="000000"/>
              <w:right w:val="single" w:sz="6" w:space="0" w:color="000000"/>
            </w:tcBorders>
          </w:tcPr>
          <w:p w14:paraId="0ADE6AF7" w14:textId="77777777" w:rsidR="00A4325F" w:rsidRPr="000322E4" w:rsidRDefault="00A4325F" w:rsidP="00F414BF">
            <w:pPr>
              <w:pStyle w:val="afd"/>
              <w:ind w:firstLine="0"/>
            </w:pPr>
            <w:r w:rsidRPr="000322E4">
              <w:t>С</w:t>
            </w:r>
          </w:p>
        </w:tc>
        <w:tc>
          <w:tcPr>
            <w:tcW w:w="997" w:type="pct"/>
            <w:tcBorders>
              <w:top w:val="single" w:sz="6" w:space="0" w:color="000000"/>
              <w:left w:val="single" w:sz="6" w:space="0" w:color="000000"/>
              <w:bottom w:val="single" w:sz="6" w:space="0" w:color="000000"/>
              <w:right w:val="single" w:sz="6" w:space="0" w:color="000000"/>
            </w:tcBorders>
          </w:tcPr>
          <w:p w14:paraId="11BA383C" w14:textId="77777777" w:rsidR="00A4325F" w:rsidRPr="000322E4" w:rsidRDefault="00A4325F" w:rsidP="00F414BF">
            <w:pPr>
              <w:pStyle w:val="afd"/>
              <w:ind w:firstLine="0"/>
            </w:pPr>
            <w:r w:rsidRPr="000322E4">
              <w:t>5</w:t>
            </w:r>
          </w:p>
        </w:tc>
      </w:tr>
      <w:tr w:rsidR="00A4325F" w:rsidRPr="000322E4" w14:paraId="69F8EC69" w14:textId="77777777" w:rsidTr="00210FA0">
        <w:tc>
          <w:tcPr>
            <w:tcW w:w="224" w:type="pct"/>
            <w:tcBorders>
              <w:top w:val="single" w:sz="6" w:space="0" w:color="000000"/>
              <w:left w:val="single" w:sz="6" w:space="0" w:color="000000"/>
              <w:bottom w:val="single" w:sz="6" w:space="0" w:color="000000"/>
              <w:right w:val="single" w:sz="6" w:space="0" w:color="000000"/>
            </w:tcBorders>
          </w:tcPr>
          <w:p w14:paraId="5B3F37E8" w14:textId="77777777" w:rsidR="00A4325F" w:rsidRPr="000322E4" w:rsidRDefault="00A4325F" w:rsidP="00F414BF">
            <w:pPr>
              <w:pStyle w:val="afd"/>
              <w:numPr>
                <w:ilvl w:val="0"/>
                <w:numId w:val="4"/>
              </w:numPr>
            </w:pPr>
          </w:p>
        </w:tc>
        <w:tc>
          <w:tcPr>
            <w:tcW w:w="2799" w:type="pct"/>
            <w:gridSpan w:val="2"/>
            <w:tcBorders>
              <w:top w:val="single" w:sz="6" w:space="0" w:color="000000"/>
              <w:left w:val="single" w:sz="6" w:space="0" w:color="000000"/>
              <w:bottom w:val="single" w:sz="6" w:space="0" w:color="000000"/>
              <w:right w:val="single" w:sz="6" w:space="0" w:color="000000"/>
            </w:tcBorders>
            <w:vAlign w:val="center"/>
          </w:tcPr>
          <w:p w14:paraId="2350AF00" w14:textId="77777777" w:rsidR="00A4325F" w:rsidRPr="000322E4" w:rsidRDefault="00A4325F" w:rsidP="00F414BF">
            <w:pPr>
              <w:spacing w:line="360" w:lineRule="auto"/>
              <w:jc w:val="both"/>
            </w:pPr>
            <w:r w:rsidRPr="000322E4">
              <w:rPr>
                <w:color w:val="000000" w:themeColor="text1"/>
              </w:rPr>
              <w:t xml:space="preserve">Пациенту при подозрении или наличии подтвержденного диагноза </w:t>
            </w:r>
            <w:r w:rsidR="00210FA0" w:rsidRPr="000322E4">
              <w:rPr>
                <w:color w:val="000000" w:themeColor="text1"/>
              </w:rPr>
              <w:t>ДВКЛ</w:t>
            </w:r>
            <w:r w:rsidR="009B70C4" w:rsidRPr="000322E4">
              <w:t>, ПМВКЛ или ЛБ</w:t>
            </w:r>
            <w:r w:rsidRPr="000322E4">
              <w:rPr>
                <w:color w:val="000000" w:themeColor="text1"/>
              </w:rPr>
              <w:t xml:space="preserve"> первично, после завершения терапии, при подозрении на рецидив заболевания выполнены </w:t>
            </w:r>
            <w:r w:rsidRPr="000322E4">
              <w:t>получение цитологического препарата костного мозга путем пункции</w:t>
            </w:r>
            <w:r w:rsidRPr="000322E4">
              <w:rPr>
                <w:color w:val="000000" w:themeColor="text1"/>
              </w:rPr>
              <w:t>, цитологическое исследование мазка костного мозга (миелограмма), а также</w:t>
            </w:r>
            <w:r w:rsidR="009B70C4" w:rsidRPr="000322E4">
              <w:rPr>
                <w:color w:val="000000" w:themeColor="text1"/>
              </w:rPr>
              <w:t xml:space="preserve"> </w:t>
            </w:r>
            <w:r w:rsidRPr="000322E4">
              <w:rPr>
                <w:color w:val="000000" w:themeColor="text1"/>
              </w:rPr>
              <w:t xml:space="preserve">получение гистологического препарата костного мозга </w:t>
            </w:r>
            <w:r w:rsidRPr="000322E4">
              <w:rPr>
                <w:color w:val="000000" w:themeColor="text1"/>
              </w:rPr>
              <w:lastRenderedPageBreak/>
              <w:t>(трепанобиопсия), патолого-анатомическое исследование биопсийного (операционного) материала костного мозга с применением иммуногистохимических методов.</w:t>
            </w:r>
          </w:p>
        </w:tc>
        <w:tc>
          <w:tcPr>
            <w:tcW w:w="979" w:type="pct"/>
            <w:gridSpan w:val="2"/>
            <w:tcBorders>
              <w:top w:val="single" w:sz="6" w:space="0" w:color="000000"/>
              <w:left w:val="single" w:sz="6" w:space="0" w:color="000000"/>
              <w:bottom w:val="single" w:sz="6" w:space="0" w:color="000000"/>
              <w:right w:val="single" w:sz="6" w:space="0" w:color="000000"/>
            </w:tcBorders>
          </w:tcPr>
          <w:p w14:paraId="6956662B" w14:textId="77777777" w:rsidR="00A4325F" w:rsidRPr="000322E4" w:rsidRDefault="00A4325F" w:rsidP="00F414BF">
            <w:pPr>
              <w:pStyle w:val="afd"/>
              <w:ind w:firstLine="0"/>
            </w:pPr>
            <w:r w:rsidRPr="000322E4">
              <w:lastRenderedPageBreak/>
              <w:t>В</w:t>
            </w:r>
          </w:p>
        </w:tc>
        <w:tc>
          <w:tcPr>
            <w:tcW w:w="997" w:type="pct"/>
            <w:tcBorders>
              <w:top w:val="single" w:sz="6" w:space="0" w:color="000000"/>
              <w:left w:val="single" w:sz="6" w:space="0" w:color="000000"/>
              <w:bottom w:val="single" w:sz="6" w:space="0" w:color="000000"/>
              <w:right w:val="single" w:sz="6" w:space="0" w:color="000000"/>
            </w:tcBorders>
          </w:tcPr>
          <w:p w14:paraId="329A714A" w14:textId="77777777" w:rsidR="00A4325F" w:rsidRPr="000322E4" w:rsidRDefault="00A4325F" w:rsidP="00F414BF">
            <w:pPr>
              <w:pStyle w:val="afd"/>
              <w:ind w:firstLine="0"/>
            </w:pPr>
            <w:r w:rsidRPr="000322E4">
              <w:t>3</w:t>
            </w:r>
          </w:p>
        </w:tc>
      </w:tr>
    </w:tbl>
    <w:p w14:paraId="0D9271C2" w14:textId="77777777" w:rsidR="00AF3168" w:rsidRPr="000322E4" w:rsidRDefault="00AF3168" w:rsidP="00F414BF">
      <w:pPr>
        <w:spacing w:line="360" w:lineRule="auto"/>
        <w:jc w:val="both"/>
        <w:rPr>
          <w:b/>
          <w:sz w:val="28"/>
          <w:szCs w:val="28"/>
        </w:rPr>
      </w:pPr>
      <w:r w:rsidRPr="000322E4">
        <w:rPr>
          <w:b/>
          <w:sz w:val="28"/>
          <w:szCs w:val="28"/>
        </w:rPr>
        <w:br w:type="page"/>
      </w:r>
    </w:p>
    <w:p w14:paraId="4622CB62" w14:textId="77777777" w:rsidR="000414F6" w:rsidRPr="000322E4" w:rsidRDefault="00CB71DA" w:rsidP="00F414BF">
      <w:pPr>
        <w:pStyle w:val="afff2"/>
      </w:pPr>
      <w:bookmarkStart w:id="79" w:name="_Toc96601267"/>
      <w:bookmarkStart w:id="80" w:name="_Hlk36738282"/>
      <w:r w:rsidRPr="000322E4">
        <w:lastRenderedPageBreak/>
        <w:t>Список литературы</w:t>
      </w:r>
      <w:bookmarkEnd w:id="78"/>
      <w:bookmarkEnd w:id="79"/>
    </w:p>
    <w:p w14:paraId="7D7B21BB" w14:textId="2C2B8473" w:rsidR="006A2B13" w:rsidRPr="00AA43FB" w:rsidRDefault="008762E9" w:rsidP="006A2B13">
      <w:pPr>
        <w:widowControl w:val="0"/>
        <w:autoSpaceDE w:val="0"/>
        <w:autoSpaceDN w:val="0"/>
        <w:adjustRightInd w:val="0"/>
        <w:spacing w:line="360" w:lineRule="auto"/>
        <w:ind w:left="640" w:hanging="640"/>
        <w:rPr>
          <w:noProof/>
          <w:lang w:val="en-US"/>
        </w:rPr>
      </w:pPr>
      <w:r w:rsidRPr="000322E4">
        <w:fldChar w:fldCharType="begin" w:fldLock="1"/>
      </w:r>
      <w:r w:rsidRPr="000322E4">
        <w:rPr>
          <w:lang w:val="en-US"/>
        </w:rPr>
        <w:instrText xml:space="preserve">ADDIN Mendeley Bibliography CSL_BIBLIOGRAPHY </w:instrText>
      </w:r>
      <w:r w:rsidRPr="000322E4">
        <w:fldChar w:fldCharType="separate"/>
      </w:r>
      <w:r w:rsidR="006A2B13" w:rsidRPr="00AA43FB">
        <w:rPr>
          <w:noProof/>
          <w:lang w:val="en-US"/>
        </w:rPr>
        <w:t>1.</w:t>
      </w:r>
      <w:r w:rsidR="006A2B13" w:rsidRPr="00AA43FB">
        <w:rPr>
          <w:noProof/>
          <w:lang w:val="en-US"/>
        </w:rPr>
        <w:tab/>
        <w:t>Swerdlow S.H. et al. WHO classification of tumours of haematopoietic and lymphoid tissues. Revised 4th ed. Lyon, France: International Agency for Research in Cancer (IARC) / ed. Swerdlow SH, Campo E, Harris NL, Jaffe ES, Pileri SA, Stein H T.J. 2017. 585 p.</w:t>
      </w:r>
    </w:p>
    <w:p w14:paraId="77C9FE7D" w14:textId="77777777" w:rsidR="006A2B13" w:rsidRPr="00AA43FB" w:rsidRDefault="006A2B13" w:rsidP="006A2B13">
      <w:pPr>
        <w:widowControl w:val="0"/>
        <w:autoSpaceDE w:val="0"/>
        <w:autoSpaceDN w:val="0"/>
        <w:adjustRightInd w:val="0"/>
        <w:spacing w:line="360" w:lineRule="auto"/>
        <w:ind w:left="640" w:hanging="640"/>
        <w:rPr>
          <w:noProof/>
          <w:lang w:val="en-US"/>
        </w:rPr>
      </w:pPr>
      <w:r w:rsidRPr="00AA43FB">
        <w:rPr>
          <w:noProof/>
          <w:lang w:val="en-US"/>
        </w:rPr>
        <w:t>2.</w:t>
      </w:r>
      <w:r w:rsidRPr="00AA43FB">
        <w:rPr>
          <w:noProof/>
          <w:lang w:val="en-US"/>
        </w:rPr>
        <w:tab/>
        <w:t>Lichtenstein A.K. et al. Primary mediastinal lymphoma in adults // Am. J. Med. Am J Med, 1980. Vol. 68, № 4. P. 509–514.</w:t>
      </w:r>
    </w:p>
    <w:p w14:paraId="1B34EF7B" w14:textId="77777777" w:rsidR="006A2B13" w:rsidRPr="006A2B13" w:rsidRDefault="006A2B13" w:rsidP="006A2B13">
      <w:pPr>
        <w:widowControl w:val="0"/>
        <w:autoSpaceDE w:val="0"/>
        <w:autoSpaceDN w:val="0"/>
        <w:adjustRightInd w:val="0"/>
        <w:spacing w:line="360" w:lineRule="auto"/>
        <w:ind w:left="640" w:hanging="640"/>
        <w:rPr>
          <w:noProof/>
        </w:rPr>
      </w:pPr>
      <w:r w:rsidRPr="00AA43FB">
        <w:rPr>
          <w:noProof/>
          <w:lang w:val="en-US"/>
        </w:rPr>
        <w:t>3.</w:t>
      </w:r>
      <w:r w:rsidRPr="00AA43FB">
        <w:rPr>
          <w:noProof/>
          <w:lang w:val="en-US"/>
        </w:rPr>
        <w:tab/>
        <w:t xml:space="preserve">Cazals-Hatem D. et al. Primary mediastinal large B-cell lymphoma. A clinicopathologic study of 141 cases compared with 916 nonmediastinal large B-cell lymphomas, a GELA (“Groupe d’Etude des Lymphomes de l’Adulte”) study // Am. J. Surg. </w:t>
      </w:r>
      <w:r w:rsidRPr="006A2B13">
        <w:rPr>
          <w:noProof/>
        </w:rPr>
        <w:t>Pathol. Am J Surg Pathol, 1996. Vol. 20, № 7. P. 877–888.</w:t>
      </w:r>
    </w:p>
    <w:p w14:paraId="58D41514"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4.</w:t>
      </w:r>
      <w:r w:rsidRPr="006A2B13">
        <w:rPr>
          <w:noProof/>
        </w:rPr>
        <w:tab/>
        <w:t>Барях Е.А. Лимфома Беркитта // Российские клинические рекомендации по диагностике и лечению злокачественных лимфопролиферативных заболеваний; под ред. И.В. Поддубной, В.Г. Савченко. 2018. P. 80–87.</w:t>
      </w:r>
    </w:p>
    <w:p w14:paraId="5B398079" w14:textId="77777777" w:rsidR="006A2B13" w:rsidRPr="00AA43FB" w:rsidRDefault="006A2B13" w:rsidP="006A2B13">
      <w:pPr>
        <w:widowControl w:val="0"/>
        <w:autoSpaceDE w:val="0"/>
        <w:autoSpaceDN w:val="0"/>
        <w:adjustRightInd w:val="0"/>
        <w:spacing w:line="360" w:lineRule="auto"/>
        <w:ind w:left="640" w:hanging="640"/>
        <w:rPr>
          <w:noProof/>
          <w:lang w:val="en-US"/>
        </w:rPr>
      </w:pPr>
      <w:r w:rsidRPr="006A2B13">
        <w:rPr>
          <w:noProof/>
        </w:rPr>
        <w:t>5.</w:t>
      </w:r>
      <w:r w:rsidRPr="006A2B13">
        <w:rPr>
          <w:noProof/>
        </w:rPr>
        <w:tab/>
        <w:t xml:space="preserve">Müller A.M. et al. </w:t>
      </w:r>
      <w:r w:rsidRPr="00AA43FB">
        <w:rPr>
          <w:noProof/>
          <w:lang w:val="en-US"/>
        </w:rPr>
        <w:t>Development of hematopoietic stem cell activity in the mouse embryo // Immunity. 1994. Vol. 1, № 4. P. 291–301.</w:t>
      </w:r>
    </w:p>
    <w:p w14:paraId="4802847D" w14:textId="77777777" w:rsidR="006A2B13" w:rsidRPr="00AA43FB" w:rsidRDefault="006A2B13" w:rsidP="006A2B13">
      <w:pPr>
        <w:widowControl w:val="0"/>
        <w:autoSpaceDE w:val="0"/>
        <w:autoSpaceDN w:val="0"/>
        <w:adjustRightInd w:val="0"/>
        <w:spacing w:line="360" w:lineRule="auto"/>
        <w:ind w:left="640" w:hanging="640"/>
        <w:rPr>
          <w:noProof/>
          <w:lang w:val="en-US"/>
        </w:rPr>
      </w:pPr>
      <w:r w:rsidRPr="00AA43FB">
        <w:rPr>
          <w:noProof/>
          <w:lang w:val="en-US"/>
        </w:rPr>
        <w:t>6.</w:t>
      </w:r>
      <w:r w:rsidRPr="00AA43FB">
        <w:rPr>
          <w:noProof/>
          <w:lang w:val="en-US"/>
        </w:rPr>
        <w:tab/>
        <w:t>Melchers F. The pre-B-cell receptor: Selector of fitting immunoglobulin heavy chains for the B-cell repertoire // Nature Reviews Immunology. 2005. Vol. 5, № 7. P. 578–584.</w:t>
      </w:r>
    </w:p>
    <w:p w14:paraId="23A183C8" w14:textId="77777777" w:rsidR="006A2B13" w:rsidRPr="00AA43FB" w:rsidRDefault="006A2B13" w:rsidP="006A2B13">
      <w:pPr>
        <w:widowControl w:val="0"/>
        <w:autoSpaceDE w:val="0"/>
        <w:autoSpaceDN w:val="0"/>
        <w:adjustRightInd w:val="0"/>
        <w:spacing w:line="360" w:lineRule="auto"/>
        <w:ind w:left="640" w:hanging="640"/>
        <w:rPr>
          <w:noProof/>
          <w:lang w:val="en-US"/>
        </w:rPr>
      </w:pPr>
      <w:r w:rsidRPr="00AA43FB">
        <w:rPr>
          <w:noProof/>
          <w:lang w:val="en-US"/>
        </w:rPr>
        <w:t>7.</w:t>
      </w:r>
      <w:r w:rsidRPr="00AA43FB">
        <w:rPr>
          <w:noProof/>
          <w:lang w:val="en-US"/>
        </w:rPr>
        <w:tab/>
        <w:t>Van Zelm M.C. et al. Replication history of B lymphocytes reveals homeostatic proliferation and extensive antigen-induced B cell expansion // J. Exp. Med. 2007. Vol. 204, № 3. P. 645–655.</w:t>
      </w:r>
    </w:p>
    <w:p w14:paraId="0649575E" w14:textId="77777777" w:rsidR="006A2B13" w:rsidRPr="00AA43FB" w:rsidRDefault="006A2B13" w:rsidP="006A2B13">
      <w:pPr>
        <w:widowControl w:val="0"/>
        <w:autoSpaceDE w:val="0"/>
        <w:autoSpaceDN w:val="0"/>
        <w:adjustRightInd w:val="0"/>
        <w:spacing w:line="360" w:lineRule="auto"/>
        <w:ind w:left="640" w:hanging="640"/>
        <w:rPr>
          <w:noProof/>
          <w:lang w:val="en-US"/>
        </w:rPr>
      </w:pPr>
      <w:r w:rsidRPr="00AA43FB">
        <w:rPr>
          <w:noProof/>
          <w:lang w:val="en-US"/>
        </w:rPr>
        <w:t>8.</w:t>
      </w:r>
      <w:r w:rsidRPr="00AA43FB">
        <w:rPr>
          <w:noProof/>
          <w:lang w:val="en-US"/>
        </w:rPr>
        <w:tab/>
        <w:t>Chen J. et al. Immunoglobulin gene rearrangement in B cell deficient mice generated by targeted deletion of the JH locus // Int. Immunol. 1993. Vol. 5, № 6. P. 647–656.</w:t>
      </w:r>
    </w:p>
    <w:p w14:paraId="46A95E1B" w14:textId="77777777" w:rsidR="006A2B13" w:rsidRPr="00AA43FB" w:rsidRDefault="006A2B13" w:rsidP="006A2B13">
      <w:pPr>
        <w:widowControl w:val="0"/>
        <w:autoSpaceDE w:val="0"/>
        <w:autoSpaceDN w:val="0"/>
        <w:adjustRightInd w:val="0"/>
        <w:spacing w:line="360" w:lineRule="auto"/>
        <w:ind w:left="640" w:hanging="640"/>
        <w:rPr>
          <w:noProof/>
          <w:lang w:val="en-US"/>
        </w:rPr>
      </w:pPr>
      <w:r w:rsidRPr="00AA43FB">
        <w:rPr>
          <w:noProof/>
          <w:lang w:val="en-US"/>
        </w:rPr>
        <w:t>9.</w:t>
      </w:r>
      <w:r w:rsidRPr="00AA43FB">
        <w:rPr>
          <w:noProof/>
          <w:lang w:val="en-US"/>
        </w:rPr>
        <w:tab/>
        <w:t>Teng G., Papavasiliou F.N. Immunoglobulin Somatic Hypermutation // Annu. Rev. Genet. Annual Reviews, 2007. Vol. 41, № 1. P. 107–120.</w:t>
      </w:r>
    </w:p>
    <w:p w14:paraId="6A8C0B0C" w14:textId="77777777" w:rsidR="006A2B13" w:rsidRPr="00AA43FB" w:rsidRDefault="006A2B13" w:rsidP="006A2B13">
      <w:pPr>
        <w:widowControl w:val="0"/>
        <w:autoSpaceDE w:val="0"/>
        <w:autoSpaceDN w:val="0"/>
        <w:adjustRightInd w:val="0"/>
        <w:spacing w:line="360" w:lineRule="auto"/>
        <w:ind w:left="640" w:hanging="640"/>
        <w:rPr>
          <w:noProof/>
          <w:lang w:val="en-US"/>
        </w:rPr>
      </w:pPr>
      <w:r w:rsidRPr="00AA43FB">
        <w:rPr>
          <w:noProof/>
          <w:lang w:val="en-US"/>
        </w:rPr>
        <w:t>10.</w:t>
      </w:r>
      <w:r w:rsidRPr="00AA43FB">
        <w:rPr>
          <w:noProof/>
          <w:lang w:val="en-US"/>
        </w:rPr>
        <w:tab/>
        <w:t>Yuan D. Regulation of IgM and IgD synthesis in B lymphocytes. II. Translational and post-translational events. // J. Immunol. 1984. Vol. 132, № 3. P. 1566–1570.</w:t>
      </w:r>
    </w:p>
    <w:p w14:paraId="1990B204" w14:textId="77777777" w:rsidR="006A2B13" w:rsidRPr="00AA43FB" w:rsidRDefault="006A2B13" w:rsidP="006A2B13">
      <w:pPr>
        <w:widowControl w:val="0"/>
        <w:autoSpaceDE w:val="0"/>
        <w:autoSpaceDN w:val="0"/>
        <w:adjustRightInd w:val="0"/>
        <w:spacing w:line="360" w:lineRule="auto"/>
        <w:ind w:left="640" w:hanging="640"/>
        <w:rPr>
          <w:noProof/>
          <w:lang w:val="en-US"/>
        </w:rPr>
      </w:pPr>
      <w:r w:rsidRPr="00AA43FB">
        <w:rPr>
          <w:noProof/>
          <w:lang w:val="en-US"/>
        </w:rPr>
        <w:t>11.</w:t>
      </w:r>
      <w:r w:rsidRPr="00AA43FB">
        <w:rPr>
          <w:noProof/>
          <w:lang w:val="en-US"/>
        </w:rPr>
        <w:tab/>
        <w:t>Natkunam Y. The biology of the germinal center. // Hematology / the Education Program of the American Society of Hematology. American Society of Hematology. Education Program. 2007. P. 210–215.</w:t>
      </w:r>
    </w:p>
    <w:p w14:paraId="5F09F115" w14:textId="77777777" w:rsidR="006A2B13" w:rsidRPr="00AA43FB" w:rsidRDefault="006A2B13" w:rsidP="006A2B13">
      <w:pPr>
        <w:widowControl w:val="0"/>
        <w:autoSpaceDE w:val="0"/>
        <w:autoSpaceDN w:val="0"/>
        <w:adjustRightInd w:val="0"/>
        <w:spacing w:line="360" w:lineRule="auto"/>
        <w:ind w:left="640" w:hanging="640"/>
        <w:rPr>
          <w:noProof/>
          <w:lang w:val="en-US"/>
        </w:rPr>
      </w:pPr>
      <w:r w:rsidRPr="00AA43FB">
        <w:rPr>
          <w:noProof/>
          <w:lang w:val="en-US"/>
        </w:rPr>
        <w:t>12.</w:t>
      </w:r>
      <w:r w:rsidRPr="00AA43FB">
        <w:rPr>
          <w:noProof/>
          <w:lang w:val="en-US"/>
        </w:rPr>
        <w:tab/>
        <w:t xml:space="preserve">Raghavan S.C., Hsieh C.-L., Lieber M.R. Both V(D)J Coding Ends but Neither Signal End Can Recombine at the bcl-2 Major Breakpoint Region, and the Rejoining Is Ligase IV Dependent // Mol. Cell. Biol. American Society for </w:t>
      </w:r>
      <w:r w:rsidRPr="00AA43FB">
        <w:rPr>
          <w:noProof/>
          <w:lang w:val="en-US"/>
        </w:rPr>
        <w:lastRenderedPageBreak/>
        <w:t>Microbiology, 2005. Vol. 25, № 15. P. 6475–6484.</w:t>
      </w:r>
    </w:p>
    <w:p w14:paraId="1B72A439" w14:textId="77777777" w:rsidR="006A2B13" w:rsidRPr="00AA43FB" w:rsidRDefault="006A2B13" w:rsidP="006A2B13">
      <w:pPr>
        <w:widowControl w:val="0"/>
        <w:autoSpaceDE w:val="0"/>
        <w:autoSpaceDN w:val="0"/>
        <w:adjustRightInd w:val="0"/>
        <w:spacing w:line="360" w:lineRule="auto"/>
        <w:ind w:left="640" w:hanging="640"/>
        <w:rPr>
          <w:noProof/>
          <w:lang w:val="en-US"/>
        </w:rPr>
      </w:pPr>
      <w:r w:rsidRPr="00AA43FB">
        <w:rPr>
          <w:noProof/>
          <w:lang w:val="en-US"/>
        </w:rPr>
        <w:t>13.</w:t>
      </w:r>
      <w:r w:rsidRPr="00AA43FB">
        <w:rPr>
          <w:noProof/>
          <w:lang w:val="en-US"/>
        </w:rPr>
        <w:tab/>
        <w:t>Steidl C., Gascoyne R.D. The molecular pathogenesis of primary mediastinal large B-cell lymphoma // Blood. Blood, 2011. Vol. 118, № 10. P. 2659–2669.</w:t>
      </w:r>
    </w:p>
    <w:p w14:paraId="1812E046" w14:textId="77777777" w:rsidR="006A2B13" w:rsidRPr="00AA43FB" w:rsidRDefault="006A2B13" w:rsidP="006A2B13">
      <w:pPr>
        <w:widowControl w:val="0"/>
        <w:autoSpaceDE w:val="0"/>
        <w:autoSpaceDN w:val="0"/>
        <w:adjustRightInd w:val="0"/>
        <w:spacing w:line="360" w:lineRule="auto"/>
        <w:ind w:left="640" w:hanging="640"/>
        <w:rPr>
          <w:noProof/>
          <w:lang w:val="en-US"/>
        </w:rPr>
      </w:pPr>
      <w:r w:rsidRPr="00AA43FB">
        <w:rPr>
          <w:noProof/>
          <w:lang w:val="en-US"/>
        </w:rPr>
        <w:t>14.</w:t>
      </w:r>
      <w:r w:rsidRPr="00AA43FB">
        <w:rPr>
          <w:noProof/>
          <w:lang w:val="en-US"/>
        </w:rPr>
        <w:tab/>
        <w:t>Masternak K. et al. CIITA is a transcriptional coactivator that is recruited to MHC class II promoters by multiple synergistic interactions with an enhanceosome complex. Cold Spring Harbor Laboratory Press, 2000. Vol. 14, № 9.</w:t>
      </w:r>
    </w:p>
    <w:p w14:paraId="27328E6F" w14:textId="77777777" w:rsidR="006A2B13" w:rsidRPr="00AA43FB" w:rsidRDefault="006A2B13" w:rsidP="006A2B13">
      <w:pPr>
        <w:widowControl w:val="0"/>
        <w:autoSpaceDE w:val="0"/>
        <w:autoSpaceDN w:val="0"/>
        <w:adjustRightInd w:val="0"/>
        <w:spacing w:line="360" w:lineRule="auto"/>
        <w:ind w:left="640" w:hanging="640"/>
        <w:rPr>
          <w:noProof/>
          <w:lang w:val="en-US"/>
        </w:rPr>
      </w:pPr>
      <w:r w:rsidRPr="00AA43FB">
        <w:rPr>
          <w:noProof/>
          <w:lang w:val="en-US"/>
        </w:rPr>
        <w:t>15.</w:t>
      </w:r>
      <w:r w:rsidRPr="00AA43FB">
        <w:rPr>
          <w:noProof/>
          <w:lang w:val="en-US"/>
        </w:rPr>
        <w:tab/>
        <w:t>Scholl T., Mahanta S.K., Strominger J.L. Specific complex formation between the type II bare lymphocyte syndrome-associated transactivators CIITA and RFX5 // Proc. Natl. Acad. Sci. U. S. A. Proc Natl Acad Sci U S A, 1997. Vol. 94, № 12. P. 6330–6334.</w:t>
      </w:r>
    </w:p>
    <w:p w14:paraId="598F0A38" w14:textId="77777777" w:rsidR="006A2B13" w:rsidRPr="00AA43FB" w:rsidRDefault="006A2B13" w:rsidP="006A2B13">
      <w:pPr>
        <w:widowControl w:val="0"/>
        <w:autoSpaceDE w:val="0"/>
        <w:autoSpaceDN w:val="0"/>
        <w:adjustRightInd w:val="0"/>
        <w:spacing w:line="360" w:lineRule="auto"/>
        <w:ind w:left="640" w:hanging="640"/>
        <w:rPr>
          <w:noProof/>
          <w:lang w:val="en-US"/>
        </w:rPr>
      </w:pPr>
      <w:r w:rsidRPr="00AA43FB">
        <w:rPr>
          <w:noProof/>
          <w:lang w:val="en-US"/>
        </w:rPr>
        <w:t>16.</w:t>
      </w:r>
      <w:r w:rsidRPr="00AA43FB">
        <w:rPr>
          <w:noProof/>
          <w:lang w:val="en-US"/>
        </w:rPr>
        <w:tab/>
        <w:t>Blank C., Gajewski T.F., Mackensen A. Interaction of PD-L1 on tumor cells with PD-1 on tumor-specific T cells as a mechanism of immune evasion: Implications for tumor immunotherapy // Cancer Immunol. Immunother. 2005. Vol. 54, № 4. P. 307–314.</w:t>
      </w:r>
    </w:p>
    <w:p w14:paraId="5F87F4A3" w14:textId="77777777" w:rsidR="006A2B13" w:rsidRPr="00AA43FB" w:rsidRDefault="006A2B13" w:rsidP="006A2B13">
      <w:pPr>
        <w:widowControl w:val="0"/>
        <w:autoSpaceDE w:val="0"/>
        <w:autoSpaceDN w:val="0"/>
        <w:adjustRightInd w:val="0"/>
        <w:spacing w:line="360" w:lineRule="auto"/>
        <w:ind w:left="640" w:hanging="640"/>
        <w:rPr>
          <w:noProof/>
          <w:lang w:val="en-US"/>
        </w:rPr>
      </w:pPr>
      <w:r w:rsidRPr="00AA43FB">
        <w:rPr>
          <w:noProof/>
          <w:lang w:val="en-US"/>
        </w:rPr>
        <w:t>17.</w:t>
      </w:r>
      <w:r w:rsidRPr="00AA43FB">
        <w:rPr>
          <w:noProof/>
          <w:lang w:val="en-US"/>
        </w:rPr>
        <w:tab/>
        <w:t>Steidl C. et al. MHC class II transactivator CIITA is a recurrent gene fusion partner in lymphoid cancers // Nature. Nature, 2011. Vol. 471, № 7338. P. 377–383.</w:t>
      </w:r>
    </w:p>
    <w:p w14:paraId="7DC0F970" w14:textId="77777777" w:rsidR="006A2B13" w:rsidRPr="00AA43FB" w:rsidRDefault="006A2B13" w:rsidP="006A2B13">
      <w:pPr>
        <w:widowControl w:val="0"/>
        <w:autoSpaceDE w:val="0"/>
        <w:autoSpaceDN w:val="0"/>
        <w:adjustRightInd w:val="0"/>
        <w:spacing w:line="360" w:lineRule="auto"/>
        <w:ind w:left="640" w:hanging="640"/>
        <w:rPr>
          <w:noProof/>
          <w:lang w:val="en-US"/>
        </w:rPr>
      </w:pPr>
      <w:r w:rsidRPr="00AA43FB">
        <w:rPr>
          <w:noProof/>
          <w:lang w:val="en-US"/>
        </w:rPr>
        <w:t>18.</w:t>
      </w:r>
      <w:r w:rsidRPr="00AA43FB">
        <w:rPr>
          <w:noProof/>
          <w:lang w:val="en-US"/>
        </w:rPr>
        <w:tab/>
        <w:t>Rimsza L.M. et al. Loss of MHC class II gene and protein expression in diffuse large B-cell lymphoma is related to decreased tumor immunosurveillance and poor patient survival regardless of other prognostic factors: a follow-up study from the Leukemia and Lymphoma Molecular Profiling Project // Blood. Blood, 2004. Vol. 103, № 11. P. 4251–4258.</w:t>
      </w:r>
    </w:p>
    <w:p w14:paraId="6F2E30ED" w14:textId="77777777" w:rsidR="006A2B13" w:rsidRPr="00AA43FB" w:rsidRDefault="006A2B13" w:rsidP="006A2B13">
      <w:pPr>
        <w:widowControl w:val="0"/>
        <w:autoSpaceDE w:val="0"/>
        <w:autoSpaceDN w:val="0"/>
        <w:adjustRightInd w:val="0"/>
        <w:spacing w:line="360" w:lineRule="auto"/>
        <w:ind w:left="640" w:hanging="640"/>
        <w:rPr>
          <w:noProof/>
          <w:lang w:val="en-US"/>
        </w:rPr>
      </w:pPr>
      <w:r w:rsidRPr="00AA43FB">
        <w:rPr>
          <w:noProof/>
          <w:lang w:val="en-US"/>
        </w:rPr>
        <w:t>19.</w:t>
      </w:r>
      <w:r w:rsidRPr="00AA43FB">
        <w:rPr>
          <w:noProof/>
          <w:lang w:val="en-US"/>
        </w:rPr>
        <w:tab/>
        <w:t>Twa D.D.W. et al. Genomic rearrangements involving programmed death ligands are recurrent in primary mediastinal large B-cell lymphoma // Blood. American Society of Hematology, 2014. Vol. 123, № 13. P. 2062–2065.</w:t>
      </w:r>
    </w:p>
    <w:p w14:paraId="5A17DC06" w14:textId="77777777" w:rsidR="006A2B13" w:rsidRPr="006A2B13" w:rsidRDefault="006A2B13" w:rsidP="006A2B13">
      <w:pPr>
        <w:widowControl w:val="0"/>
        <w:autoSpaceDE w:val="0"/>
        <w:autoSpaceDN w:val="0"/>
        <w:adjustRightInd w:val="0"/>
        <w:spacing w:line="360" w:lineRule="auto"/>
        <w:ind w:left="640" w:hanging="640"/>
        <w:rPr>
          <w:noProof/>
        </w:rPr>
      </w:pPr>
      <w:r w:rsidRPr="00AA43FB">
        <w:rPr>
          <w:noProof/>
          <w:lang w:val="en-US"/>
        </w:rPr>
        <w:t>20.</w:t>
      </w:r>
      <w:r w:rsidRPr="00AA43FB">
        <w:rPr>
          <w:noProof/>
          <w:lang w:val="en-US"/>
        </w:rPr>
        <w:tab/>
      </w:r>
      <w:r w:rsidRPr="006A2B13">
        <w:rPr>
          <w:noProof/>
        </w:rPr>
        <w:t>Тумян</w:t>
      </w:r>
      <w:r w:rsidRPr="00AA43FB">
        <w:rPr>
          <w:noProof/>
          <w:lang w:val="en-US"/>
        </w:rPr>
        <w:t xml:space="preserve"> </w:t>
      </w:r>
      <w:r w:rsidRPr="006A2B13">
        <w:rPr>
          <w:noProof/>
        </w:rPr>
        <w:t>Г</w:t>
      </w:r>
      <w:r w:rsidRPr="00AA43FB">
        <w:rPr>
          <w:noProof/>
          <w:lang w:val="en-US"/>
        </w:rPr>
        <w:t>.</w:t>
      </w:r>
      <w:r w:rsidRPr="006A2B13">
        <w:rPr>
          <w:noProof/>
        </w:rPr>
        <w:t>С</w:t>
      </w:r>
      <w:r w:rsidRPr="00AA43FB">
        <w:rPr>
          <w:noProof/>
          <w:lang w:val="en-US"/>
        </w:rPr>
        <w:t xml:space="preserve">. et al. </w:t>
      </w:r>
      <w:r w:rsidRPr="006A2B13">
        <w:rPr>
          <w:noProof/>
        </w:rPr>
        <w:t>Диффузная В-клеточная крупноклеточная лимфома // Российские клинические рекомендации по диагностике и лечению злокачественных лимфопролиферативных заболеваний; под ред. И.В. Поддубной, В.Г. Савченко. 2018. P. 58–68.</w:t>
      </w:r>
    </w:p>
    <w:p w14:paraId="6060A99F"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21.</w:t>
      </w:r>
      <w:r w:rsidRPr="006A2B13">
        <w:rPr>
          <w:noProof/>
        </w:rPr>
        <w:tab/>
        <w:t>Программное лечение заболеваний системы крови: Сборник алгоритмов диагностики и протоколов лечения заболеваний системы крови. Под ред. В.Г. Савченко. 2012. 1056 p.</w:t>
      </w:r>
    </w:p>
    <w:p w14:paraId="775811A0" w14:textId="77777777" w:rsidR="006A2B13" w:rsidRPr="00AA43FB" w:rsidRDefault="006A2B13" w:rsidP="006A2B13">
      <w:pPr>
        <w:widowControl w:val="0"/>
        <w:autoSpaceDE w:val="0"/>
        <w:autoSpaceDN w:val="0"/>
        <w:adjustRightInd w:val="0"/>
        <w:spacing w:line="360" w:lineRule="auto"/>
        <w:ind w:left="640" w:hanging="640"/>
        <w:rPr>
          <w:noProof/>
          <w:lang w:val="en-US"/>
        </w:rPr>
      </w:pPr>
      <w:r w:rsidRPr="006A2B13">
        <w:rPr>
          <w:noProof/>
        </w:rPr>
        <w:t>22.</w:t>
      </w:r>
      <w:r w:rsidRPr="006A2B13">
        <w:rPr>
          <w:noProof/>
        </w:rPr>
        <w:tab/>
        <w:t xml:space="preserve">Савченко В.Г., Паровичникова Е.Н. Острые лейкозы // Клиническая онкогематология: руководство для врачей. Под ред. Волковой М.А.. 2-е изд., перераб. и доп. 2007. </w:t>
      </w:r>
      <w:r w:rsidRPr="00AA43FB">
        <w:rPr>
          <w:noProof/>
          <w:lang w:val="en-US"/>
        </w:rPr>
        <w:t>P. 409–502.</w:t>
      </w:r>
    </w:p>
    <w:p w14:paraId="08A9114D" w14:textId="77777777" w:rsidR="006A2B13" w:rsidRPr="00AA43FB" w:rsidRDefault="006A2B13" w:rsidP="006A2B13">
      <w:pPr>
        <w:widowControl w:val="0"/>
        <w:autoSpaceDE w:val="0"/>
        <w:autoSpaceDN w:val="0"/>
        <w:adjustRightInd w:val="0"/>
        <w:spacing w:line="360" w:lineRule="auto"/>
        <w:ind w:left="640" w:hanging="640"/>
        <w:rPr>
          <w:noProof/>
          <w:lang w:val="en-US"/>
        </w:rPr>
      </w:pPr>
      <w:r w:rsidRPr="00AA43FB">
        <w:rPr>
          <w:noProof/>
          <w:lang w:val="en-US"/>
        </w:rPr>
        <w:t>23.</w:t>
      </w:r>
      <w:r w:rsidRPr="00AA43FB">
        <w:rPr>
          <w:noProof/>
          <w:lang w:val="en-US"/>
        </w:rPr>
        <w:tab/>
        <w:t xml:space="preserve">Burkitt D.P. The discovery of Burkitt’s lymphoma. // Cancer. 1983. Vol. 51, № 10. </w:t>
      </w:r>
      <w:r w:rsidRPr="00AA43FB">
        <w:rPr>
          <w:noProof/>
          <w:lang w:val="en-US"/>
        </w:rPr>
        <w:lastRenderedPageBreak/>
        <w:t>P. 1777–1786.</w:t>
      </w:r>
    </w:p>
    <w:p w14:paraId="59097948" w14:textId="77777777" w:rsidR="006A2B13" w:rsidRPr="00AA43FB" w:rsidRDefault="006A2B13" w:rsidP="006A2B13">
      <w:pPr>
        <w:widowControl w:val="0"/>
        <w:autoSpaceDE w:val="0"/>
        <w:autoSpaceDN w:val="0"/>
        <w:adjustRightInd w:val="0"/>
        <w:spacing w:line="360" w:lineRule="auto"/>
        <w:ind w:left="640" w:hanging="640"/>
        <w:rPr>
          <w:noProof/>
          <w:lang w:val="en-US"/>
        </w:rPr>
      </w:pPr>
      <w:r w:rsidRPr="00AA43FB">
        <w:rPr>
          <w:noProof/>
          <w:lang w:val="en-US"/>
        </w:rPr>
        <w:t>24.</w:t>
      </w:r>
      <w:r w:rsidRPr="00AA43FB">
        <w:rPr>
          <w:noProof/>
          <w:lang w:val="en-US"/>
        </w:rPr>
        <w:tab/>
        <w:t>Bentz M. et al. Gain of chromosome arm 9p is characteristic of primary mediastinal b-cell lymphoma (MBL): Comprehensive molecular cytogenetic analysis and presentation of a novel MBL cell line // Genes Chromosom. Cancer. 2001. Vol. 30, № 4. P. 393–401.</w:t>
      </w:r>
    </w:p>
    <w:p w14:paraId="5B7EB5D7" w14:textId="77777777" w:rsidR="006A2B13" w:rsidRPr="00AA43FB" w:rsidRDefault="006A2B13" w:rsidP="006A2B13">
      <w:pPr>
        <w:widowControl w:val="0"/>
        <w:autoSpaceDE w:val="0"/>
        <w:autoSpaceDN w:val="0"/>
        <w:adjustRightInd w:val="0"/>
        <w:spacing w:line="360" w:lineRule="auto"/>
        <w:ind w:left="640" w:hanging="640"/>
        <w:rPr>
          <w:noProof/>
          <w:lang w:val="en-US"/>
        </w:rPr>
      </w:pPr>
      <w:r w:rsidRPr="00AA43FB">
        <w:rPr>
          <w:noProof/>
          <w:lang w:val="en-US"/>
        </w:rPr>
        <w:t>25.</w:t>
      </w:r>
      <w:r w:rsidRPr="00AA43FB">
        <w:rPr>
          <w:noProof/>
          <w:lang w:val="en-US"/>
        </w:rPr>
        <w:tab/>
        <w:t>Zelenetz A.D. et al. B-cell lymphomas. NCCN Clinical Practice Guidelines in Oncology. Version 5.2019.</w:t>
      </w:r>
    </w:p>
    <w:p w14:paraId="2712EE85" w14:textId="77777777" w:rsidR="006A2B13" w:rsidRPr="00AA43FB" w:rsidRDefault="006A2B13" w:rsidP="006A2B13">
      <w:pPr>
        <w:widowControl w:val="0"/>
        <w:autoSpaceDE w:val="0"/>
        <w:autoSpaceDN w:val="0"/>
        <w:adjustRightInd w:val="0"/>
        <w:spacing w:line="360" w:lineRule="auto"/>
        <w:ind w:left="640" w:hanging="640"/>
        <w:rPr>
          <w:noProof/>
          <w:lang w:val="en-US"/>
        </w:rPr>
      </w:pPr>
      <w:r w:rsidRPr="00AA43FB">
        <w:rPr>
          <w:noProof/>
          <w:lang w:val="en-US"/>
        </w:rPr>
        <w:t>26.</w:t>
      </w:r>
      <w:r w:rsidRPr="00AA43FB">
        <w:rPr>
          <w:noProof/>
          <w:lang w:val="en-US"/>
        </w:rPr>
        <w:tab/>
        <w:t>Grommes C., DeAngelis L.M. Primary CNS lymphoma // Journal of Clinical Oncology. American Society of Clinical Oncology, 2017. Vol. 35, № 21. P. 2410–2418.</w:t>
      </w:r>
    </w:p>
    <w:p w14:paraId="1C552FFF" w14:textId="77777777" w:rsidR="006A2B13" w:rsidRPr="006A2B13" w:rsidRDefault="006A2B13" w:rsidP="006A2B13">
      <w:pPr>
        <w:widowControl w:val="0"/>
        <w:autoSpaceDE w:val="0"/>
        <w:autoSpaceDN w:val="0"/>
        <w:adjustRightInd w:val="0"/>
        <w:spacing w:line="360" w:lineRule="auto"/>
        <w:ind w:left="640" w:hanging="640"/>
        <w:rPr>
          <w:noProof/>
        </w:rPr>
      </w:pPr>
      <w:r w:rsidRPr="00AA43FB">
        <w:rPr>
          <w:noProof/>
          <w:lang w:val="en-US"/>
        </w:rPr>
        <w:t>27.</w:t>
      </w:r>
      <w:r w:rsidRPr="00AA43FB">
        <w:rPr>
          <w:noProof/>
          <w:lang w:val="en-US"/>
        </w:rPr>
        <w:tab/>
      </w:r>
      <w:r w:rsidRPr="006A2B13">
        <w:rPr>
          <w:noProof/>
        </w:rPr>
        <w:t>Демина</w:t>
      </w:r>
      <w:r w:rsidRPr="00AA43FB">
        <w:rPr>
          <w:noProof/>
          <w:lang w:val="en-US"/>
        </w:rPr>
        <w:t xml:space="preserve"> </w:t>
      </w:r>
      <w:r w:rsidRPr="006A2B13">
        <w:rPr>
          <w:noProof/>
        </w:rPr>
        <w:t>Е</w:t>
      </w:r>
      <w:r w:rsidRPr="00AA43FB">
        <w:rPr>
          <w:noProof/>
          <w:lang w:val="en-US"/>
        </w:rPr>
        <w:t>.</w:t>
      </w:r>
      <w:r w:rsidRPr="006A2B13">
        <w:rPr>
          <w:noProof/>
        </w:rPr>
        <w:t>А</w:t>
      </w:r>
      <w:r w:rsidRPr="00AA43FB">
        <w:rPr>
          <w:noProof/>
          <w:lang w:val="en-US"/>
        </w:rPr>
        <w:t xml:space="preserve">. et al. </w:t>
      </w:r>
      <w:r w:rsidRPr="006A2B13">
        <w:rPr>
          <w:noProof/>
        </w:rPr>
        <w:t>Общие принципы диагностики лимфом // Российские клинические рекомендации по диагностике и лечению злокачественных лимфопролиферативных заболеваний; под ред. И.В. Поддубной, В.Г. Савченко. 2018. P. 9–27.</w:t>
      </w:r>
    </w:p>
    <w:p w14:paraId="0B1F0EA6" w14:textId="77777777" w:rsidR="006A2B13" w:rsidRPr="00AA43FB" w:rsidRDefault="006A2B13" w:rsidP="006A2B13">
      <w:pPr>
        <w:widowControl w:val="0"/>
        <w:autoSpaceDE w:val="0"/>
        <w:autoSpaceDN w:val="0"/>
        <w:adjustRightInd w:val="0"/>
        <w:spacing w:line="360" w:lineRule="auto"/>
        <w:ind w:left="640" w:hanging="640"/>
        <w:rPr>
          <w:noProof/>
          <w:lang w:val="en-US"/>
        </w:rPr>
      </w:pPr>
      <w:r w:rsidRPr="006A2B13">
        <w:rPr>
          <w:noProof/>
        </w:rPr>
        <w:t>28.</w:t>
      </w:r>
      <w:r w:rsidRPr="006A2B13">
        <w:rPr>
          <w:noProof/>
        </w:rPr>
        <w:tab/>
        <w:t xml:space="preserve">Tilly H. et al. </w:t>
      </w:r>
      <w:r w:rsidRPr="00AA43FB">
        <w:rPr>
          <w:noProof/>
          <w:lang w:val="en-US"/>
        </w:rPr>
        <w:t>Diffuse large B-cell lymphoma (DLBCL): ESMO Clinical Practice Guidelines for diagnosis, treatment and follow-up. // Ann. Oncol.  Off. J. Eur. Soc. Med. Oncol. 2015. Vol. 26 Suppl 5. P. v116-25.</w:t>
      </w:r>
    </w:p>
    <w:p w14:paraId="4181B4F2" w14:textId="77777777" w:rsidR="006A2B13" w:rsidRPr="00AA43FB" w:rsidRDefault="006A2B13" w:rsidP="006A2B13">
      <w:pPr>
        <w:widowControl w:val="0"/>
        <w:autoSpaceDE w:val="0"/>
        <w:autoSpaceDN w:val="0"/>
        <w:adjustRightInd w:val="0"/>
        <w:spacing w:line="360" w:lineRule="auto"/>
        <w:ind w:left="640" w:hanging="640"/>
        <w:rPr>
          <w:noProof/>
          <w:lang w:val="en-US"/>
        </w:rPr>
      </w:pPr>
      <w:r w:rsidRPr="00AA43FB">
        <w:rPr>
          <w:noProof/>
          <w:lang w:val="en-US"/>
        </w:rPr>
        <w:t>29.</w:t>
      </w:r>
      <w:r w:rsidRPr="00AA43FB">
        <w:rPr>
          <w:noProof/>
          <w:lang w:val="en-US"/>
        </w:rPr>
        <w:tab/>
        <w:t>Kuderer N.M. et al. A Validated Risk Score for Venous Thromboembolism Is Predictive of Cancer Progression and Mortality // Oncologist. Alphamed Press, 2016. Vol. 21, № 7. P. 861–867.</w:t>
      </w:r>
    </w:p>
    <w:p w14:paraId="28077C0F" w14:textId="77777777" w:rsidR="006A2B13" w:rsidRPr="00AA43FB" w:rsidRDefault="006A2B13" w:rsidP="006A2B13">
      <w:pPr>
        <w:widowControl w:val="0"/>
        <w:autoSpaceDE w:val="0"/>
        <w:autoSpaceDN w:val="0"/>
        <w:adjustRightInd w:val="0"/>
        <w:spacing w:line="360" w:lineRule="auto"/>
        <w:ind w:left="640" w:hanging="640"/>
        <w:rPr>
          <w:noProof/>
          <w:lang w:val="en-US"/>
        </w:rPr>
      </w:pPr>
      <w:r w:rsidRPr="00AA43FB">
        <w:rPr>
          <w:noProof/>
          <w:lang w:val="en-US"/>
        </w:rPr>
        <w:t>30.</w:t>
      </w:r>
      <w:r w:rsidRPr="00AA43FB">
        <w:rPr>
          <w:noProof/>
          <w:lang w:val="en-US"/>
        </w:rPr>
        <w:tab/>
        <w:t>Santi R.M. et al. PO-03 - Khorana score and histotype predict the incidence of early venous thromboembolism (VTE) in Non Hodgkin Lymphoma (NHL). A pooled data analysis of twelve clinical trials of Fondazione Italiana Linfomi (FIL) // Thromb. Res. Elsevier BV, 2016. Vol. 140. P. S177.</w:t>
      </w:r>
    </w:p>
    <w:p w14:paraId="422F249D" w14:textId="77777777" w:rsidR="006A2B13" w:rsidRPr="00AA43FB" w:rsidRDefault="006A2B13" w:rsidP="006A2B13">
      <w:pPr>
        <w:widowControl w:val="0"/>
        <w:autoSpaceDE w:val="0"/>
        <w:autoSpaceDN w:val="0"/>
        <w:adjustRightInd w:val="0"/>
        <w:spacing w:line="360" w:lineRule="auto"/>
        <w:ind w:left="640" w:hanging="640"/>
        <w:rPr>
          <w:noProof/>
          <w:lang w:val="en-US"/>
        </w:rPr>
      </w:pPr>
      <w:r w:rsidRPr="00AA43FB">
        <w:rPr>
          <w:noProof/>
          <w:lang w:val="en-US"/>
        </w:rPr>
        <w:t>31.</w:t>
      </w:r>
      <w:r w:rsidRPr="00AA43FB">
        <w:rPr>
          <w:noProof/>
          <w:lang w:val="en-US"/>
        </w:rPr>
        <w:tab/>
        <w:t>Zhuang Y. et al. [Autoimmune hemolytic anemia associated with B-cell chronic lymphoproliferative disorders]. // Zhongguo Shi Yan Xue Ye Xue Za Zhi. 2013. Vol. 21, № 3. P. 633–636.</w:t>
      </w:r>
    </w:p>
    <w:p w14:paraId="259C7AB8" w14:textId="77777777" w:rsidR="006A2B13" w:rsidRPr="00AA43FB" w:rsidRDefault="006A2B13" w:rsidP="006A2B13">
      <w:pPr>
        <w:widowControl w:val="0"/>
        <w:autoSpaceDE w:val="0"/>
        <w:autoSpaceDN w:val="0"/>
        <w:adjustRightInd w:val="0"/>
        <w:spacing w:line="360" w:lineRule="auto"/>
        <w:ind w:left="640" w:hanging="640"/>
        <w:rPr>
          <w:noProof/>
          <w:lang w:val="en-US"/>
        </w:rPr>
      </w:pPr>
      <w:r w:rsidRPr="00AA43FB">
        <w:rPr>
          <w:noProof/>
          <w:lang w:val="en-US"/>
        </w:rPr>
        <w:t>32.</w:t>
      </w:r>
      <w:r w:rsidRPr="00AA43FB">
        <w:rPr>
          <w:noProof/>
          <w:lang w:val="en-US"/>
        </w:rPr>
        <w:tab/>
        <w:t>Sumi M. et al. [Primary diffuse large B-cell lymphoma of the bone marrow complicated with autoimmune hemolytic anemia and erythroid hypoplasia]. // Rinsho. Ketsueki. 2007. Vol. 48, № 7. P. 571–575.</w:t>
      </w:r>
    </w:p>
    <w:p w14:paraId="7F1CBCF5" w14:textId="77777777" w:rsidR="006A2B13" w:rsidRPr="00AA43FB" w:rsidRDefault="006A2B13" w:rsidP="006A2B13">
      <w:pPr>
        <w:widowControl w:val="0"/>
        <w:autoSpaceDE w:val="0"/>
        <w:autoSpaceDN w:val="0"/>
        <w:adjustRightInd w:val="0"/>
        <w:spacing w:line="360" w:lineRule="auto"/>
        <w:ind w:left="640" w:hanging="640"/>
        <w:rPr>
          <w:noProof/>
          <w:lang w:val="en-US"/>
        </w:rPr>
      </w:pPr>
      <w:r w:rsidRPr="00AA43FB">
        <w:rPr>
          <w:noProof/>
          <w:lang w:val="en-US"/>
        </w:rPr>
        <w:t>33.</w:t>
      </w:r>
      <w:r w:rsidRPr="00AA43FB">
        <w:rPr>
          <w:noProof/>
          <w:lang w:val="en-US"/>
        </w:rPr>
        <w:tab/>
        <w:t>Wan S.-G. et al. Incipient Coombs’ test negative autoimmune hemolytic anemia precedes non-Hodgkin’s lymphoma. // Zhongguo shi yan xue ye xue za zhi. 2012. Vol. 20, № 1. P. 97–99.</w:t>
      </w:r>
    </w:p>
    <w:p w14:paraId="0C89F439" w14:textId="77777777" w:rsidR="006A2B13" w:rsidRPr="00AA43FB" w:rsidRDefault="006A2B13" w:rsidP="006A2B13">
      <w:pPr>
        <w:widowControl w:val="0"/>
        <w:autoSpaceDE w:val="0"/>
        <w:autoSpaceDN w:val="0"/>
        <w:adjustRightInd w:val="0"/>
        <w:spacing w:line="360" w:lineRule="auto"/>
        <w:ind w:left="640" w:hanging="640"/>
        <w:rPr>
          <w:noProof/>
          <w:lang w:val="en-US"/>
        </w:rPr>
      </w:pPr>
      <w:r w:rsidRPr="00AA43FB">
        <w:rPr>
          <w:noProof/>
          <w:lang w:val="en-US"/>
        </w:rPr>
        <w:t>34.</w:t>
      </w:r>
      <w:r w:rsidRPr="00AA43FB">
        <w:rPr>
          <w:noProof/>
          <w:lang w:val="en-US"/>
        </w:rPr>
        <w:tab/>
        <w:t xml:space="preserve">Köksal Y. et al. Autoimmune hemolytic anemia as presenting manifestation of primary splenic anaplastic large cell lymphoma. // Turk. J. Pediatr. Vol. 48, № 4. P. </w:t>
      </w:r>
      <w:r w:rsidRPr="00AA43FB">
        <w:rPr>
          <w:noProof/>
          <w:lang w:val="en-US"/>
        </w:rPr>
        <w:lastRenderedPageBreak/>
        <w:t>354–356.</w:t>
      </w:r>
    </w:p>
    <w:p w14:paraId="236AF3DE" w14:textId="77777777" w:rsidR="006A2B13" w:rsidRPr="00AA43FB" w:rsidRDefault="006A2B13" w:rsidP="006A2B13">
      <w:pPr>
        <w:widowControl w:val="0"/>
        <w:autoSpaceDE w:val="0"/>
        <w:autoSpaceDN w:val="0"/>
        <w:adjustRightInd w:val="0"/>
        <w:spacing w:line="360" w:lineRule="auto"/>
        <w:ind w:left="640" w:hanging="640"/>
        <w:rPr>
          <w:noProof/>
          <w:lang w:val="en-US"/>
        </w:rPr>
      </w:pPr>
      <w:r w:rsidRPr="00AA43FB">
        <w:rPr>
          <w:noProof/>
          <w:lang w:val="en-US"/>
        </w:rPr>
        <w:t>35.</w:t>
      </w:r>
      <w:r w:rsidRPr="00AA43FB">
        <w:rPr>
          <w:noProof/>
          <w:lang w:val="en-US"/>
        </w:rPr>
        <w:tab/>
        <w:t>Perez I.E. et al. Cancer Therapy-Related Cardiac Dysfunction: An Overview for the Clinician. // Clin. Med. Insights. Cardiol. SAGE PublicationsSage UK: London, England, 2019. Vol. 13. P. 1179546819866445.</w:t>
      </w:r>
    </w:p>
    <w:p w14:paraId="591A5839" w14:textId="77777777" w:rsidR="006A2B13" w:rsidRPr="006A2B13" w:rsidRDefault="006A2B13" w:rsidP="006A2B13">
      <w:pPr>
        <w:widowControl w:val="0"/>
        <w:autoSpaceDE w:val="0"/>
        <w:autoSpaceDN w:val="0"/>
        <w:adjustRightInd w:val="0"/>
        <w:spacing w:line="360" w:lineRule="auto"/>
        <w:ind w:left="640" w:hanging="640"/>
        <w:rPr>
          <w:noProof/>
        </w:rPr>
      </w:pPr>
      <w:r w:rsidRPr="00AA43FB">
        <w:rPr>
          <w:noProof/>
          <w:lang w:val="en-US"/>
        </w:rPr>
        <w:t>36.</w:t>
      </w:r>
      <w:r w:rsidRPr="00AA43FB">
        <w:rPr>
          <w:noProof/>
          <w:lang w:val="en-US"/>
        </w:rPr>
        <w:tab/>
        <w:t xml:space="preserve">Srivastava S., Wood P. Secondary antibody deficiency-causes and approach to diagnosis // Clin. Med. J. R. Coll. </w:t>
      </w:r>
      <w:r w:rsidRPr="006A2B13">
        <w:rPr>
          <w:noProof/>
        </w:rPr>
        <w:t>Physicians London. 2016.</w:t>
      </w:r>
    </w:p>
    <w:p w14:paraId="62B774F9"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37.</w:t>
      </w:r>
      <w:r w:rsidRPr="006A2B13">
        <w:rPr>
          <w:noProof/>
        </w:rPr>
        <w:tab/>
        <w:t>Мухортова О.В. Использование ПЭТ/КТ при лимфопролиферативных заболеваниях // Российские клинические рекомендации по диагностике и лечению злокачественных лимфопролиферативных заболеваний; под ред. И.В. Поддубной, В.Г. Савченко. 2018. P. 168–179.</w:t>
      </w:r>
    </w:p>
    <w:p w14:paraId="330F4E5F" w14:textId="77777777" w:rsidR="006A2B13" w:rsidRPr="00AA43FB" w:rsidRDefault="006A2B13" w:rsidP="006A2B13">
      <w:pPr>
        <w:widowControl w:val="0"/>
        <w:autoSpaceDE w:val="0"/>
        <w:autoSpaceDN w:val="0"/>
        <w:adjustRightInd w:val="0"/>
        <w:spacing w:line="360" w:lineRule="auto"/>
        <w:ind w:left="640" w:hanging="640"/>
        <w:rPr>
          <w:noProof/>
          <w:lang w:val="en-US"/>
        </w:rPr>
      </w:pPr>
      <w:r w:rsidRPr="006A2B13">
        <w:rPr>
          <w:noProof/>
        </w:rPr>
        <w:t>38.</w:t>
      </w:r>
      <w:r w:rsidRPr="006A2B13">
        <w:rPr>
          <w:noProof/>
        </w:rPr>
        <w:tab/>
        <w:t xml:space="preserve">Pelosi E. et al. </w:t>
      </w:r>
      <w:r w:rsidRPr="00AA43FB">
        <w:rPr>
          <w:noProof/>
          <w:lang w:val="en-US"/>
        </w:rPr>
        <w:t>Bone marrow disease detection with FDG-PET/CT and bone marrow biopsy during the staging of malignant lymphoma: results from a large multicentre study. // Q. J. Nucl. Med. Mol. Imaging. 2011. Vol. 55, № 4. P. 469–475.</w:t>
      </w:r>
    </w:p>
    <w:p w14:paraId="6D3E6B26" w14:textId="77777777" w:rsidR="006A2B13" w:rsidRPr="00AA43FB" w:rsidRDefault="006A2B13" w:rsidP="006A2B13">
      <w:pPr>
        <w:widowControl w:val="0"/>
        <w:autoSpaceDE w:val="0"/>
        <w:autoSpaceDN w:val="0"/>
        <w:adjustRightInd w:val="0"/>
        <w:spacing w:line="360" w:lineRule="auto"/>
        <w:ind w:left="640" w:hanging="640"/>
        <w:rPr>
          <w:noProof/>
          <w:lang w:val="en-US"/>
        </w:rPr>
      </w:pPr>
      <w:r w:rsidRPr="00AA43FB">
        <w:rPr>
          <w:noProof/>
          <w:lang w:val="en-US"/>
        </w:rPr>
        <w:t>39.</w:t>
      </w:r>
      <w:r w:rsidRPr="00AA43FB">
        <w:rPr>
          <w:noProof/>
          <w:lang w:val="en-US"/>
        </w:rPr>
        <w:tab/>
        <w:t>Khan A.B. et al. PET-CT staging of DLBCL accurately identifies and provides new insight into the clinical significance of bone marrow involvement // Blood. 2013. Vol. 122, № 1. P. 61–67.</w:t>
      </w:r>
    </w:p>
    <w:p w14:paraId="0EA18C71" w14:textId="77777777" w:rsidR="006A2B13" w:rsidRPr="00AA43FB" w:rsidRDefault="006A2B13" w:rsidP="006A2B13">
      <w:pPr>
        <w:widowControl w:val="0"/>
        <w:autoSpaceDE w:val="0"/>
        <w:autoSpaceDN w:val="0"/>
        <w:adjustRightInd w:val="0"/>
        <w:spacing w:line="360" w:lineRule="auto"/>
        <w:ind w:left="640" w:hanging="640"/>
        <w:rPr>
          <w:noProof/>
          <w:lang w:val="en-US"/>
        </w:rPr>
      </w:pPr>
      <w:r w:rsidRPr="00AA43FB">
        <w:rPr>
          <w:noProof/>
          <w:lang w:val="en-US"/>
        </w:rPr>
        <w:t>40.</w:t>
      </w:r>
      <w:r w:rsidRPr="00AA43FB">
        <w:rPr>
          <w:noProof/>
          <w:lang w:val="en-US"/>
        </w:rPr>
        <w:tab/>
        <w:t>Zanotti-Fregonara P., Stabin M.G. New Fetal Radiation Doses for 18F-FDG Based on Human Data // J. Nucl. Med. Society of Nuclear Medicine, 2017. Vol. 58, № 11. P. 1865–1866.</w:t>
      </w:r>
    </w:p>
    <w:p w14:paraId="6695736F" w14:textId="77777777" w:rsidR="006A2B13" w:rsidRPr="00AA43FB" w:rsidRDefault="006A2B13" w:rsidP="006A2B13">
      <w:pPr>
        <w:widowControl w:val="0"/>
        <w:autoSpaceDE w:val="0"/>
        <w:autoSpaceDN w:val="0"/>
        <w:adjustRightInd w:val="0"/>
        <w:spacing w:line="360" w:lineRule="auto"/>
        <w:ind w:left="640" w:hanging="640"/>
        <w:rPr>
          <w:noProof/>
          <w:lang w:val="en-US"/>
        </w:rPr>
      </w:pPr>
      <w:r w:rsidRPr="00AA43FB">
        <w:rPr>
          <w:noProof/>
          <w:lang w:val="en-US"/>
        </w:rPr>
        <w:t>41.</w:t>
      </w:r>
      <w:r w:rsidRPr="00AA43FB">
        <w:rPr>
          <w:noProof/>
          <w:lang w:val="en-US"/>
        </w:rPr>
        <w:tab/>
        <w:t>Goldberg-Stein S. et al. Body CT during pregnancy: utilization trends, examination indications, and fetal radiation doses // AJR. Am. J. Roentgenol. AJR Am J Roentgenol, 2011. Vol. 196, № 1. P. 146–151.</w:t>
      </w:r>
    </w:p>
    <w:p w14:paraId="0E7A65DC" w14:textId="77777777" w:rsidR="006A2B13" w:rsidRPr="00AA43FB" w:rsidRDefault="006A2B13" w:rsidP="006A2B13">
      <w:pPr>
        <w:widowControl w:val="0"/>
        <w:autoSpaceDE w:val="0"/>
        <w:autoSpaceDN w:val="0"/>
        <w:adjustRightInd w:val="0"/>
        <w:spacing w:line="360" w:lineRule="auto"/>
        <w:ind w:left="640" w:hanging="640"/>
        <w:rPr>
          <w:noProof/>
          <w:lang w:val="en-US"/>
        </w:rPr>
      </w:pPr>
      <w:r w:rsidRPr="00AA43FB">
        <w:rPr>
          <w:noProof/>
          <w:lang w:val="en-US"/>
        </w:rPr>
        <w:t>42.</w:t>
      </w:r>
      <w:r w:rsidRPr="00AA43FB">
        <w:rPr>
          <w:noProof/>
          <w:lang w:val="en-US"/>
        </w:rPr>
        <w:tab/>
        <w:t>Lowe S. Diagnostic imaging in pregnancy: Making informed decisions // Obstet. Med. Obstet Med, 2019. Vol. 12, № 3. P. 116–122.</w:t>
      </w:r>
    </w:p>
    <w:p w14:paraId="08A2580E" w14:textId="77777777" w:rsidR="006A2B13" w:rsidRPr="00AA43FB" w:rsidRDefault="006A2B13" w:rsidP="006A2B13">
      <w:pPr>
        <w:widowControl w:val="0"/>
        <w:autoSpaceDE w:val="0"/>
        <w:autoSpaceDN w:val="0"/>
        <w:adjustRightInd w:val="0"/>
        <w:spacing w:line="360" w:lineRule="auto"/>
        <w:ind w:left="640" w:hanging="640"/>
        <w:rPr>
          <w:noProof/>
          <w:lang w:val="en-US"/>
        </w:rPr>
      </w:pPr>
      <w:r w:rsidRPr="00AA43FB">
        <w:rPr>
          <w:noProof/>
          <w:lang w:val="en-US"/>
        </w:rPr>
        <w:t>43.</w:t>
      </w:r>
      <w:r w:rsidRPr="00AA43FB">
        <w:rPr>
          <w:noProof/>
          <w:lang w:val="en-US"/>
        </w:rPr>
        <w:tab/>
      </w:r>
      <w:r w:rsidRPr="006A2B13">
        <w:rPr>
          <w:noProof/>
        </w:rPr>
        <w:t>Кузьмин</w:t>
      </w:r>
      <w:r w:rsidRPr="00AA43FB">
        <w:rPr>
          <w:noProof/>
          <w:lang w:val="en-US"/>
        </w:rPr>
        <w:t xml:space="preserve"> </w:t>
      </w:r>
      <w:r w:rsidRPr="006A2B13">
        <w:rPr>
          <w:noProof/>
        </w:rPr>
        <w:t>А</w:t>
      </w:r>
      <w:r w:rsidRPr="00AA43FB">
        <w:rPr>
          <w:noProof/>
          <w:lang w:val="en-US"/>
        </w:rPr>
        <w:t>.</w:t>
      </w:r>
      <w:r w:rsidRPr="006A2B13">
        <w:rPr>
          <w:noProof/>
        </w:rPr>
        <w:t>А</w:t>
      </w:r>
      <w:r w:rsidRPr="00AA43FB">
        <w:rPr>
          <w:noProof/>
          <w:lang w:val="en-US"/>
        </w:rPr>
        <w:t xml:space="preserve">. et al. </w:t>
      </w:r>
      <w:r w:rsidRPr="006A2B13">
        <w:rPr>
          <w:noProof/>
        </w:rPr>
        <w:t>Первичная лимфома центральной нервной системы // Российские клинические рекомендации по диагностике и лечению злокачественных лимфопролиферативных заболеваний; под ред. И</w:t>
      </w:r>
      <w:r w:rsidRPr="00AA43FB">
        <w:rPr>
          <w:noProof/>
          <w:lang w:val="en-US"/>
        </w:rPr>
        <w:t>.</w:t>
      </w:r>
      <w:r w:rsidRPr="006A2B13">
        <w:rPr>
          <w:noProof/>
        </w:rPr>
        <w:t>В</w:t>
      </w:r>
      <w:r w:rsidRPr="00AA43FB">
        <w:rPr>
          <w:noProof/>
          <w:lang w:val="en-US"/>
        </w:rPr>
        <w:t xml:space="preserve">. </w:t>
      </w:r>
      <w:r w:rsidRPr="006A2B13">
        <w:rPr>
          <w:noProof/>
        </w:rPr>
        <w:t>Поддубной</w:t>
      </w:r>
      <w:r w:rsidRPr="00AA43FB">
        <w:rPr>
          <w:noProof/>
          <w:lang w:val="en-US"/>
        </w:rPr>
        <w:t xml:space="preserve">, </w:t>
      </w:r>
      <w:r w:rsidRPr="006A2B13">
        <w:rPr>
          <w:noProof/>
        </w:rPr>
        <w:t>В</w:t>
      </w:r>
      <w:r w:rsidRPr="00AA43FB">
        <w:rPr>
          <w:noProof/>
          <w:lang w:val="en-US"/>
        </w:rPr>
        <w:t>.</w:t>
      </w:r>
      <w:r w:rsidRPr="006A2B13">
        <w:rPr>
          <w:noProof/>
        </w:rPr>
        <w:t>Г</w:t>
      </w:r>
      <w:r w:rsidRPr="00AA43FB">
        <w:rPr>
          <w:noProof/>
          <w:lang w:val="en-US"/>
        </w:rPr>
        <w:t xml:space="preserve">. </w:t>
      </w:r>
      <w:r w:rsidRPr="006A2B13">
        <w:rPr>
          <w:noProof/>
        </w:rPr>
        <w:t>Савченко</w:t>
      </w:r>
      <w:r w:rsidRPr="00AA43FB">
        <w:rPr>
          <w:noProof/>
          <w:lang w:val="en-US"/>
        </w:rPr>
        <w:t>. 2018. P. 87–93.</w:t>
      </w:r>
    </w:p>
    <w:p w14:paraId="5718CE3A" w14:textId="77777777" w:rsidR="006A2B13" w:rsidRPr="00AA43FB" w:rsidRDefault="006A2B13" w:rsidP="006A2B13">
      <w:pPr>
        <w:widowControl w:val="0"/>
        <w:autoSpaceDE w:val="0"/>
        <w:autoSpaceDN w:val="0"/>
        <w:adjustRightInd w:val="0"/>
        <w:spacing w:line="360" w:lineRule="auto"/>
        <w:ind w:left="640" w:hanging="640"/>
        <w:rPr>
          <w:noProof/>
          <w:lang w:val="en-US"/>
        </w:rPr>
      </w:pPr>
      <w:r w:rsidRPr="00AA43FB">
        <w:rPr>
          <w:noProof/>
          <w:lang w:val="en-US"/>
        </w:rPr>
        <w:t>44.</w:t>
      </w:r>
      <w:r w:rsidRPr="00AA43FB">
        <w:rPr>
          <w:noProof/>
          <w:lang w:val="en-US"/>
        </w:rPr>
        <w:tab/>
        <w:t>Fekri M.S., Zade M.K., Fatehi S. The association of deep vein thrombosis with cancer treatment modality: Chemotherapy or surgery? // Iran. Red Crescent Med. J. Kowsar Medical Publishing Company, 2014. Vol. 16, № 9.</w:t>
      </w:r>
    </w:p>
    <w:p w14:paraId="6DAC694D" w14:textId="77777777" w:rsidR="006A2B13" w:rsidRPr="006A2B13" w:rsidRDefault="006A2B13" w:rsidP="006A2B13">
      <w:pPr>
        <w:widowControl w:val="0"/>
        <w:autoSpaceDE w:val="0"/>
        <w:autoSpaceDN w:val="0"/>
        <w:adjustRightInd w:val="0"/>
        <w:spacing w:line="360" w:lineRule="auto"/>
        <w:ind w:left="640" w:hanging="640"/>
        <w:rPr>
          <w:noProof/>
        </w:rPr>
      </w:pPr>
      <w:r w:rsidRPr="00AA43FB">
        <w:rPr>
          <w:noProof/>
          <w:lang w:val="en-US"/>
        </w:rPr>
        <w:t>45.</w:t>
      </w:r>
      <w:r w:rsidRPr="00AA43FB">
        <w:rPr>
          <w:noProof/>
          <w:lang w:val="en-US"/>
        </w:rPr>
        <w:tab/>
      </w:r>
      <w:r w:rsidRPr="006A2B13">
        <w:rPr>
          <w:noProof/>
        </w:rPr>
        <w:t>Мангасарова</w:t>
      </w:r>
      <w:r w:rsidRPr="00AA43FB">
        <w:rPr>
          <w:noProof/>
          <w:lang w:val="en-US"/>
        </w:rPr>
        <w:t xml:space="preserve"> </w:t>
      </w:r>
      <w:r w:rsidRPr="006A2B13">
        <w:rPr>
          <w:noProof/>
        </w:rPr>
        <w:t>Я</w:t>
      </w:r>
      <w:r w:rsidRPr="00AA43FB">
        <w:rPr>
          <w:noProof/>
          <w:lang w:val="en-US"/>
        </w:rPr>
        <w:t>.</w:t>
      </w:r>
      <w:r w:rsidRPr="006A2B13">
        <w:rPr>
          <w:noProof/>
        </w:rPr>
        <w:t>К</w:t>
      </w:r>
      <w:r w:rsidRPr="00AA43FB">
        <w:rPr>
          <w:noProof/>
          <w:lang w:val="en-US"/>
        </w:rPr>
        <w:t xml:space="preserve">. et al. </w:t>
      </w:r>
      <w:r w:rsidRPr="006A2B13">
        <w:rPr>
          <w:noProof/>
        </w:rPr>
        <w:t>Терапия агрессивных неходжкинских лимфом у беременных // Клиническая онкогематология. 2020. Vol. 13, № 3. P. 316–321.</w:t>
      </w:r>
    </w:p>
    <w:p w14:paraId="0A508DD6"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46.</w:t>
      </w:r>
      <w:r w:rsidRPr="006A2B13">
        <w:rPr>
          <w:noProof/>
        </w:rPr>
        <w:tab/>
        <w:t>Криволапов Ю.А., Леенман Е.Е. Морфологическая диагностика лимфом. КОСТА, Санкт-Петербург, 2006.</w:t>
      </w:r>
    </w:p>
    <w:p w14:paraId="4F5DFCB8"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lastRenderedPageBreak/>
        <w:t>47.</w:t>
      </w:r>
      <w:r w:rsidRPr="006A2B13">
        <w:rPr>
          <w:noProof/>
        </w:rPr>
        <w:tab/>
        <w:t>Бокерия Л.А., Затевахин И.И., Кириенко А.И. Российские клинические рекомендации по диагностике, лечению и профилактике венозных тромбоэмболических осложнений (ВТЭО). // Флебология. 2015. Vol. 4, № 2. P. 3–52.</w:t>
      </w:r>
    </w:p>
    <w:p w14:paraId="63B4FE9A"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48.</w:t>
      </w:r>
      <w:r w:rsidRPr="006A2B13">
        <w:rPr>
          <w:noProof/>
        </w:rPr>
        <w:tab/>
        <w:t>Кириенко А.И., Галстян Г.М., Савченко В.Г. Профилактика венозных тромбоэмболических осложнений при лимфопролиферативных заболеваниях // Российские клинические рекомендации по диагностике и лечению злокачественных лимфопролиферативных заболеваний; под ред. И.В. Поддубной, В.Г. Савченко. 2018. P. 268–278.</w:t>
      </w:r>
    </w:p>
    <w:p w14:paraId="31983908"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49.</w:t>
      </w:r>
      <w:r w:rsidRPr="006A2B13">
        <w:rPr>
          <w:noProof/>
        </w:rPr>
        <w:tab/>
        <w:t xml:space="preserve">Santi R.M. et al. </w:t>
      </w:r>
      <w:r w:rsidRPr="00AA43FB">
        <w:rPr>
          <w:noProof/>
          <w:lang w:val="en-US"/>
        </w:rPr>
        <w:t xml:space="preserve">Khorana score and histotype predicts incidence of early venous thromboembolism in Non-Hodgkin lymphomas: A Pooled-Data analysis of 12 clinical trials of fondazione italiana linfomi (FIL) // Thromb. </w:t>
      </w:r>
      <w:r w:rsidRPr="006A2B13">
        <w:rPr>
          <w:noProof/>
        </w:rPr>
        <w:t>Haemost. Schattauer GmbH, 2017. Vol. 117, № 8. P. 1615–1621.</w:t>
      </w:r>
    </w:p>
    <w:p w14:paraId="37D0AEA4"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50.</w:t>
      </w:r>
      <w:r w:rsidRPr="006A2B13">
        <w:rPr>
          <w:noProof/>
        </w:rPr>
        <w:tab/>
        <w:t>Шмаков Р.Г., Демина Е.А. Лимфомы и беременность // Российские клинические рекомендации по диагностике и лечению злокачественных лимфопролиферативных заболеваний; под ред. И.В. Поддубной, В.Г. Савченко. 2018. P. 143–150.</w:t>
      </w:r>
    </w:p>
    <w:p w14:paraId="5BC88F09" w14:textId="77777777" w:rsidR="006A2B13" w:rsidRPr="00AA43FB" w:rsidRDefault="006A2B13" w:rsidP="006A2B13">
      <w:pPr>
        <w:widowControl w:val="0"/>
        <w:autoSpaceDE w:val="0"/>
        <w:autoSpaceDN w:val="0"/>
        <w:adjustRightInd w:val="0"/>
        <w:spacing w:line="360" w:lineRule="auto"/>
        <w:ind w:left="640" w:hanging="640"/>
        <w:rPr>
          <w:noProof/>
          <w:lang w:val="en-US"/>
        </w:rPr>
      </w:pPr>
      <w:r w:rsidRPr="006A2B13">
        <w:rPr>
          <w:noProof/>
        </w:rPr>
        <w:t>51.</w:t>
      </w:r>
      <w:r w:rsidRPr="006A2B13">
        <w:rPr>
          <w:noProof/>
        </w:rPr>
        <w:tab/>
        <w:t xml:space="preserve">Coiffier B. et al. </w:t>
      </w:r>
      <w:r w:rsidRPr="00AA43FB">
        <w:rPr>
          <w:noProof/>
          <w:lang w:val="en-US"/>
        </w:rPr>
        <w:t>Long-term outcome of patients in the LNH-98.5 trial, the first randomized study comparing rituximab-CHOP to standard CHOP chemotherapy in DLBCL patients: A study by the Groupe d’Etudes des Lymphomes de l’Adulte // Blood. American Society of Hematology, 2010. Vol. 116, № 12. P. 2040–2045.</w:t>
      </w:r>
    </w:p>
    <w:p w14:paraId="382434B8" w14:textId="77777777" w:rsidR="006A2B13" w:rsidRPr="00AA43FB" w:rsidRDefault="006A2B13" w:rsidP="006A2B13">
      <w:pPr>
        <w:widowControl w:val="0"/>
        <w:autoSpaceDE w:val="0"/>
        <w:autoSpaceDN w:val="0"/>
        <w:adjustRightInd w:val="0"/>
        <w:spacing w:line="360" w:lineRule="auto"/>
        <w:ind w:left="640" w:hanging="640"/>
        <w:rPr>
          <w:noProof/>
          <w:lang w:val="en-US"/>
        </w:rPr>
      </w:pPr>
      <w:r w:rsidRPr="00AA43FB">
        <w:rPr>
          <w:noProof/>
          <w:lang w:val="en-US"/>
        </w:rPr>
        <w:t>52.</w:t>
      </w:r>
      <w:r w:rsidRPr="00AA43FB">
        <w:rPr>
          <w:noProof/>
          <w:lang w:val="en-US"/>
        </w:rPr>
        <w:tab/>
        <w:t>Feugier P. et al. Long-term results of the R-CHOP study in the treatment of elderly patients with diffuse large B-cell lymphoma: A study by the groupe d’etude des lymphomes de l’adulte // J. Clin. Oncol. 2005. Vol. 23, № 18. P. 4117–4126.</w:t>
      </w:r>
    </w:p>
    <w:p w14:paraId="600758A0" w14:textId="77777777" w:rsidR="006A2B13" w:rsidRPr="00AA43FB" w:rsidRDefault="006A2B13" w:rsidP="006A2B13">
      <w:pPr>
        <w:widowControl w:val="0"/>
        <w:autoSpaceDE w:val="0"/>
        <w:autoSpaceDN w:val="0"/>
        <w:adjustRightInd w:val="0"/>
        <w:spacing w:line="360" w:lineRule="auto"/>
        <w:ind w:left="640" w:hanging="640"/>
        <w:rPr>
          <w:noProof/>
          <w:lang w:val="en-US"/>
        </w:rPr>
      </w:pPr>
      <w:r w:rsidRPr="00AA43FB">
        <w:rPr>
          <w:noProof/>
          <w:lang w:val="en-US"/>
        </w:rPr>
        <w:t>53.</w:t>
      </w:r>
      <w:r w:rsidRPr="00AA43FB">
        <w:rPr>
          <w:noProof/>
          <w:lang w:val="en-US"/>
        </w:rPr>
        <w:tab/>
        <w:t>Pfreundschuh M. et al. CHOP-like chemotherapy plus rituximab versus CHOP-like chemotherapy alone in young patients with good-prognosis diffuse large-B-cell lymphoma: a randomised controlled trial by the MabThera International Trial (MInT) Group // Lancet Oncol. 2006. Vol. 7, № 5. P. 379–391.</w:t>
      </w:r>
    </w:p>
    <w:p w14:paraId="14DFCD8A" w14:textId="77777777" w:rsidR="006A2B13" w:rsidRPr="00AA43FB" w:rsidRDefault="006A2B13" w:rsidP="006A2B13">
      <w:pPr>
        <w:widowControl w:val="0"/>
        <w:autoSpaceDE w:val="0"/>
        <w:autoSpaceDN w:val="0"/>
        <w:adjustRightInd w:val="0"/>
        <w:spacing w:line="360" w:lineRule="auto"/>
        <w:ind w:left="640" w:hanging="640"/>
        <w:rPr>
          <w:noProof/>
          <w:lang w:val="en-US"/>
        </w:rPr>
      </w:pPr>
      <w:r w:rsidRPr="00AA43FB">
        <w:rPr>
          <w:noProof/>
          <w:lang w:val="en-US"/>
        </w:rPr>
        <w:t>54.</w:t>
      </w:r>
      <w:r w:rsidRPr="00AA43FB">
        <w:rPr>
          <w:noProof/>
          <w:lang w:val="en-US"/>
        </w:rPr>
        <w:tab/>
        <w:t>Miller T.P. et al. Chemotherapy alone compared with chemotherapy plus radiotherapy for localized intermediate- and high-grade non-Hodgkin’s lymphoma // N. Engl. J. Med. 1998. Vol. 339, № 1. P. 21–26.</w:t>
      </w:r>
    </w:p>
    <w:p w14:paraId="68DCF1AF" w14:textId="77777777" w:rsidR="006A2B13" w:rsidRPr="00AA43FB" w:rsidRDefault="006A2B13" w:rsidP="006A2B13">
      <w:pPr>
        <w:widowControl w:val="0"/>
        <w:autoSpaceDE w:val="0"/>
        <w:autoSpaceDN w:val="0"/>
        <w:adjustRightInd w:val="0"/>
        <w:spacing w:line="360" w:lineRule="auto"/>
        <w:ind w:left="640" w:hanging="640"/>
        <w:rPr>
          <w:noProof/>
          <w:lang w:val="en-US"/>
        </w:rPr>
      </w:pPr>
      <w:r w:rsidRPr="00AA43FB">
        <w:rPr>
          <w:noProof/>
          <w:lang w:val="en-US"/>
        </w:rPr>
        <w:t>55.</w:t>
      </w:r>
      <w:r w:rsidRPr="00AA43FB">
        <w:rPr>
          <w:noProof/>
          <w:lang w:val="en-US"/>
        </w:rPr>
        <w:tab/>
        <w:t>Horning S.J. et al. Chemotherapy with or without radiotherapy in limited-stage diffuse aggressive non-Hodgkin’s lymphoma: Eastern Cooperative Oncology Group Study 1484 // J. Clin. Oncol. 2004. Vol. 22, № 15. P. 3032–3038.</w:t>
      </w:r>
    </w:p>
    <w:p w14:paraId="7F30BC82" w14:textId="77777777" w:rsidR="006A2B13" w:rsidRPr="00AA43FB" w:rsidRDefault="006A2B13" w:rsidP="006A2B13">
      <w:pPr>
        <w:widowControl w:val="0"/>
        <w:autoSpaceDE w:val="0"/>
        <w:autoSpaceDN w:val="0"/>
        <w:adjustRightInd w:val="0"/>
        <w:spacing w:line="360" w:lineRule="auto"/>
        <w:ind w:left="640" w:hanging="640"/>
        <w:rPr>
          <w:noProof/>
          <w:lang w:val="en-US"/>
        </w:rPr>
      </w:pPr>
      <w:r w:rsidRPr="00AA43FB">
        <w:rPr>
          <w:noProof/>
          <w:lang w:val="en-US"/>
        </w:rPr>
        <w:t>56.</w:t>
      </w:r>
      <w:r w:rsidRPr="00AA43FB">
        <w:rPr>
          <w:noProof/>
          <w:lang w:val="en-US"/>
        </w:rPr>
        <w:tab/>
        <w:t xml:space="preserve">Persky D.O. et al. Phase II study of rituximab plus three cycles of CHOP and </w:t>
      </w:r>
      <w:r w:rsidRPr="00AA43FB">
        <w:rPr>
          <w:noProof/>
          <w:lang w:val="en-US"/>
        </w:rPr>
        <w:lastRenderedPageBreak/>
        <w:t>involved-field radiotherapy for patients with limited-stage aggressive B-cell lymphoma: Southwest Oncology Group Study 0014 // J. Clin. Oncol. 2008. Vol. 26, № 14. P. 2258–2263.</w:t>
      </w:r>
    </w:p>
    <w:p w14:paraId="0BBCC3B0" w14:textId="77777777" w:rsidR="006A2B13" w:rsidRPr="00AA43FB" w:rsidRDefault="006A2B13" w:rsidP="006A2B13">
      <w:pPr>
        <w:widowControl w:val="0"/>
        <w:autoSpaceDE w:val="0"/>
        <w:autoSpaceDN w:val="0"/>
        <w:adjustRightInd w:val="0"/>
        <w:spacing w:line="360" w:lineRule="auto"/>
        <w:ind w:left="640" w:hanging="640"/>
        <w:rPr>
          <w:noProof/>
          <w:lang w:val="en-US"/>
        </w:rPr>
      </w:pPr>
      <w:r w:rsidRPr="00AA43FB">
        <w:rPr>
          <w:noProof/>
          <w:lang w:val="en-US"/>
        </w:rPr>
        <w:t>57.</w:t>
      </w:r>
      <w:r w:rsidRPr="00AA43FB">
        <w:rPr>
          <w:noProof/>
          <w:lang w:val="en-US"/>
        </w:rPr>
        <w:tab/>
        <w:t>Wästerlid T. et al. Six cycles of R-CHOP-21 are not inferior to eight cycles for treatment of diffuse large B-cell lymphoma: a Nordic Lymphoma Group Population-based Study. // Ann. Oncol.  Off. J. Eur. Soc. Med. Oncol. 2018. Vol. 29, № 8. P. 1882–1883.</w:t>
      </w:r>
    </w:p>
    <w:p w14:paraId="63ABDF2C" w14:textId="77777777" w:rsidR="006A2B13" w:rsidRPr="00AA43FB" w:rsidRDefault="006A2B13" w:rsidP="006A2B13">
      <w:pPr>
        <w:widowControl w:val="0"/>
        <w:autoSpaceDE w:val="0"/>
        <w:autoSpaceDN w:val="0"/>
        <w:adjustRightInd w:val="0"/>
        <w:spacing w:line="360" w:lineRule="auto"/>
        <w:ind w:left="640" w:hanging="640"/>
        <w:rPr>
          <w:noProof/>
          <w:lang w:val="en-US"/>
        </w:rPr>
      </w:pPr>
      <w:r w:rsidRPr="00AA43FB">
        <w:rPr>
          <w:noProof/>
          <w:lang w:val="en-US"/>
        </w:rPr>
        <w:t>58.</w:t>
      </w:r>
      <w:r w:rsidRPr="00AA43FB">
        <w:rPr>
          <w:noProof/>
          <w:lang w:val="en-US"/>
        </w:rPr>
        <w:tab/>
        <w:t>Cunningham D. et al. Rituximab plus cyclophosphamide, doxorubicin, vincristine, and prednisolone in patients with newly diagnosed diffuse large B-cell non-Hodgkin lymphoma: A phase 3 comparison of dose intensification with 14-day versus 21-day cycles // Lancet. Lancet Publishing Group, 2013. Vol. 381, № 9880. P. 1817–1826.</w:t>
      </w:r>
    </w:p>
    <w:p w14:paraId="539D8994" w14:textId="77777777" w:rsidR="006A2B13" w:rsidRPr="00AA43FB" w:rsidRDefault="006A2B13" w:rsidP="006A2B13">
      <w:pPr>
        <w:widowControl w:val="0"/>
        <w:autoSpaceDE w:val="0"/>
        <w:autoSpaceDN w:val="0"/>
        <w:adjustRightInd w:val="0"/>
        <w:spacing w:line="360" w:lineRule="auto"/>
        <w:ind w:left="640" w:hanging="640"/>
        <w:rPr>
          <w:noProof/>
          <w:lang w:val="en-US"/>
        </w:rPr>
      </w:pPr>
      <w:r w:rsidRPr="00AA43FB">
        <w:rPr>
          <w:noProof/>
          <w:lang w:val="en-US"/>
        </w:rPr>
        <w:t>59.</w:t>
      </w:r>
      <w:r w:rsidRPr="00AA43FB">
        <w:rPr>
          <w:noProof/>
          <w:lang w:val="en-US"/>
        </w:rPr>
        <w:tab/>
        <w:t>Kwon J. et al. Additional survival benefit of involved-lesion radiation therapy after r-chop chemotherapy in limited stage diffuse large b-cell lymphoma // Int. J. Radiat. Oncol. Biol. Phys. Elsevier Inc., 2015. Vol. 92, № 1. P. 91–98.</w:t>
      </w:r>
    </w:p>
    <w:p w14:paraId="5DB3D080" w14:textId="77777777" w:rsidR="006A2B13" w:rsidRPr="00AA43FB" w:rsidRDefault="006A2B13" w:rsidP="006A2B13">
      <w:pPr>
        <w:widowControl w:val="0"/>
        <w:autoSpaceDE w:val="0"/>
        <w:autoSpaceDN w:val="0"/>
        <w:adjustRightInd w:val="0"/>
        <w:spacing w:line="360" w:lineRule="auto"/>
        <w:ind w:left="640" w:hanging="640"/>
        <w:rPr>
          <w:noProof/>
          <w:lang w:val="en-US"/>
        </w:rPr>
      </w:pPr>
      <w:r w:rsidRPr="00AA43FB">
        <w:rPr>
          <w:noProof/>
          <w:lang w:val="en-US"/>
        </w:rPr>
        <w:t>60.</w:t>
      </w:r>
      <w:r w:rsidRPr="00AA43FB">
        <w:rPr>
          <w:noProof/>
          <w:lang w:val="en-US"/>
        </w:rPr>
        <w:tab/>
        <w:t>Illidge T. et al. Modern radiation therapy for nodal non-hodgkin lymphoma - Target definition and dose guidelines from the international lymphoma radiation oncology group // International Journal of Radiation Oncology Biology Physics. Elsevier Inc., 2014. Vol. 89, № 1. P. 49–58.</w:t>
      </w:r>
    </w:p>
    <w:p w14:paraId="5652A141" w14:textId="77777777" w:rsidR="006A2B13" w:rsidRPr="00AA43FB" w:rsidRDefault="006A2B13" w:rsidP="006A2B13">
      <w:pPr>
        <w:widowControl w:val="0"/>
        <w:autoSpaceDE w:val="0"/>
        <w:autoSpaceDN w:val="0"/>
        <w:adjustRightInd w:val="0"/>
        <w:spacing w:line="360" w:lineRule="auto"/>
        <w:ind w:left="640" w:hanging="640"/>
        <w:rPr>
          <w:noProof/>
          <w:lang w:val="en-US"/>
        </w:rPr>
      </w:pPr>
      <w:r w:rsidRPr="00AA43FB">
        <w:rPr>
          <w:noProof/>
          <w:lang w:val="en-US"/>
        </w:rPr>
        <w:t>61.</w:t>
      </w:r>
      <w:r w:rsidRPr="00AA43FB">
        <w:rPr>
          <w:noProof/>
          <w:lang w:val="en-US"/>
        </w:rPr>
        <w:tab/>
        <w:t>Held G. et al. Role of radiotherapy to bulky disease in elderly patients with aggressive b-cell lymphoma // J. Clin. Oncol. American Society of Clinical Oncology, 2014. Vol. 32, № 11. P. 1112–1118.</w:t>
      </w:r>
    </w:p>
    <w:p w14:paraId="3B0123E3" w14:textId="77777777" w:rsidR="006A2B13" w:rsidRPr="00AA43FB" w:rsidRDefault="006A2B13" w:rsidP="006A2B13">
      <w:pPr>
        <w:widowControl w:val="0"/>
        <w:autoSpaceDE w:val="0"/>
        <w:autoSpaceDN w:val="0"/>
        <w:adjustRightInd w:val="0"/>
        <w:spacing w:line="360" w:lineRule="auto"/>
        <w:ind w:left="640" w:hanging="640"/>
        <w:rPr>
          <w:noProof/>
          <w:lang w:val="en-US"/>
        </w:rPr>
      </w:pPr>
      <w:r w:rsidRPr="00AA43FB">
        <w:rPr>
          <w:noProof/>
          <w:lang w:val="en-US"/>
        </w:rPr>
        <w:t>62.</w:t>
      </w:r>
      <w:r w:rsidRPr="00AA43FB">
        <w:rPr>
          <w:noProof/>
          <w:lang w:val="en-US"/>
        </w:rPr>
        <w:tab/>
        <w:t>Shi Z. et al. Renewed interest in the role of consolidative radiotherapy in advanced stage diffuse large B-cell lymphoma // Leukemia and Lymphoma. 2013. Vol. 54, № 10. P. 2122–2130.</w:t>
      </w:r>
    </w:p>
    <w:p w14:paraId="35CA9D2C" w14:textId="77777777" w:rsidR="006A2B13" w:rsidRPr="00AA43FB" w:rsidRDefault="006A2B13" w:rsidP="006A2B13">
      <w:pPr>
        <w:widowControl w:val="0"/>
        <w:autoSpaceDE w:val="0"/>
        <w:autoSpaceDN w:val="0"/>
        <w:adjustRightInd w:val="0"/>
        <w:spacing w:line="360" w:lineRule="auto"/>
        <w:ind w:left="640" w:hanging="640"/>
        <w:rPr>
          <w:noProof/>
          <w:lang w:val="en-US"/>
        </w:rPr>
      </w:pPr>
      <w:r w:rsidRPr="00AA43FB">
        <w:rPr>
          <w:noProof/>
          <w:lang w:val="en-US"/>
        </w:rPr>
        <w:t>63.</w:t>
      </w:r>
      <w:r w:rsidRPr="00AA43FB">
        <w:rPr>
          <w:noProof/>
          <w:lang w:val="en-US"/>
        </w:rPr>
        <w:tab/>
        <w:t>Boyle J. et al. Improving outcomes in advanced DLBCL: systemic approaches and radiotherapy. // Oncology (Williston Park). 2014. Vol. 28, № 12. P. 1074–1081, 1084.</w:t>
      </w:r>
    </w:p>
    <w:p w14:paraId="38FC756E" w14:textId="77777777" w:rsidR="006A2B13" w:rsidRPr="00AA43FB" w:rsidRDefault="006A2B13" w:rsidP="006A2B13">
      <w:pPr>
        <w:widowControl w:val="0"/>
        <w:autoSpaceDE w:val="0"/>
        <w:autoSpaceDN w:val="0"/>
        <w:adjustRightInd w:val="0"/>
        <w:spacing w:line="360" w:lineRule="auto"/>
        <w:ind w:left="640" w:hanging="640"/>
        <w:rPr>
          <w:noProof/>
          <w:lang w:val="en-US"/>
        </w:rPr>
      </w:pPr>
      <w:r w:rsidRPr="00AA43FB">
        <w:rPr>
          <w:noProof/>
          <w:lang w:val="en-US"/>
        </w:rPr>
        <w:t>64.</w:t>
      </w:r>
      <w:r w:rsidRPr="00AA43FB">
        <w:rPr>
          <w:noProof/>
          <w:lang w:val="en-US"/>
        </w:rPr>
        <w:tab/>
        <w:t>Dabaja B.S. et al. Radiation for diffuse large B-cell lymphoma in the rituximab era: Analysis of the National Comprehensive Cancer Network lymphoma outcomes project // Cancer. John Wiley and Sons Inc., 2015. Vol. 121, № 7. P. 1032–1039.</w:t>
      </w:r>
    </w:p>
    <w:p w14:paraId="4831CBA3" w14:textId="77777777" w:rsidR="006A2B13" w:rsidRPr="00AA43FB" w:rsidRDefault="006A2B13" w:rsidP="006A2B13">
      <w:pPr>
        <w:widowControl w:val="0"/>
        <w:autoSpaceDE w:val="0"/>
        <w:autoSpaceDN w:val="0"/>
        <w:adjustRightInd w:val="0"/>
        <w:spacing w:line="360" w:lineRule="auto"/>
        <w:ind w:left="640" w:hanging="640"/>
        <w:rPr>
          <w:noProof/>
          <w:lang w:val="en-US"/>
        </w:rPr>
      </w:pPr>
      <w:r w:rsidRPr="00AA43FB">
        <w:rPr>
          <w:noProof/>
          <w:lang w:val="en-US"/>
        </w:rPr>
        <w:t>65.</w:t>
      </w:r>
      <w:r w:rsidRPr="00AA43FB">
        <w:rPr>
          <w:noProof/>
          <w:lang w:val="en-US"/>
        </w:rPr>
        <w:tab/>
        <w:t>Tilly H. et al. Polatuzumab Vedotin in Previously Untreated Diffuse Large B-Cell Lymphoma // N. Engl. J. Med. N Engl J Med, 2022. Vol. 386, № 4. P. 351–363.</w:t>
      </w:r>
    </w:p>
    <w:p w14:paraId="395DFB6A" w14:textId="77777777" w:rsidR="006A2B13" w:rsidRPr="00AA43FB" w:rsidRDefault="006A2B13" w:rsidP="006A2B13">
      <w:pPr>
        <w:widowControl w:val="0"/>
        <w:autoSpaceDE w:val="0"/>
        <w:autoSpaceDN w:val="0"/>
        <w:adjustRightInd w:val="0"/>
        <w:spacing w:line="360" w:lineRule="auto"/>
        <w:ind w:left="640" w:hanging="640"/>
        <w:rPr>
          <w:noProof/>
          <w:lang w:val="en-US"/>
        </w:rPr>
      </w:pPr>
      <w:r w:rsidRPr="00AA43FB">
        <w:rPr>
          <w:noProof/>
          <w:lang w:val="en-US"/>
        </w:rPr>
        <w:t>66.</w:t>
      </w:r>
      <w:r w:rsidRPr="00AA43FB">
        <w:rPr>
          <w:noProof/>
          <w:lang w:val="en-US"/>
        </w:rPr>
        <w:tab/>
        <w:t xml:space="preserve">Martino R. et al. Cyclophosphamide, pegylated liposomal doxorubicin (Caelyx), vincristine and prednisone (CCOP) in elderly patients with diffuse large B-cell lymphoma: results from a prospective phase II study. // Haematologica. </w:t>
      </w:r>
      <w:r w:rsidRPr="00AA43FB">
        <w:rPr>
          <w:noProof/>
          <w:lang w:val="en-US"/>
        </w:rPr>
        <w:lastRenderedPageBreak/>
        <w:t>Haematologica, 2002. Vol. 87, № 8. P. 822–827.</w:t>
      </w:r>
    </w:p>
    <w:p w14:paraId="6582EB1F" w14:textId="77777777" w:rsidR="006A2B13" w:rsidRPr="00AA43FB" w:rsidRDefault="006A2B13" w:rsidP="006A2B13">
      <w:pPr>
        <w:widowControl w:val="0"/>
        <w:autoSpaceDE w:val="0"/>
        <w:autoSpaceDN w:val="0"/>
        <w:adjustRightInd w:val="0"/>
        <w:spacing w:line="360" w:lineRule="auto"/>
        <w:ind w:left="640" w:hanging="640"/>
        <w:rPr>
          <w:noProof/>
          <w:lang w:val="en-US"/>
        </w:rPr>
      </w:pPr>
      <w:r w:rsidRPr="00AA43FB">
        <w:rPr>
          <w:noProof/>
          <w:lang w:val="en-US"/>
        </w:rPr>
        <w:t>67.</w:t>
      </w:r>
      <w:r w:rsidRPr="00AA43FB">
        <w:rPr>
          <w:noProof/>
          <w:lang w:val="en-US"/>
        </w:rPr>
        <w:tab/>
        <w:t>Zaja F. et al. CHOP-rituximab with pegylated liposomal doxorubicin for the treatment of elderly patients with diffuse large B-cell lymphoma // Leuk. Lymphoma. 2006. Vol. 47, № 10. P. 2174–2180.</w:t>
      </w:r>
    </w:p>
    <w:p w14:paraId="6A82E764" w14:textId="77777777" w:rsidR="006A2B13" w:rsidRPr="00AA43FB" w:rsidRDefault="006A2B13" w:rsidP="006A2B13">
      <w:pPr>
        <w:widowControl w:val="0"/>
        <w:autoSpaceDE w:val="0"/>
        <w:autoSpaceDN w:val="0"/>
        <w:adjustRightInd w:val="0"/>
        <w:spacing w:line="360" w:lineRule="auto"/>
        <w:ind w:left="640" w:hanging="640"/>
        <w:rPr>
          <w:noProof/>
          <w:lang w:val="en-US"/>
        </w:rPr>
      </w:pPr>
      <w:r w:rsidRPr="00AA43FB">
        <w:rPr>
          <w:noProof/>
          <w:lang w:val="en-US"/>
        </w:rPr>
        <w:t>68.</w:t>
      </w:r>
      <w:r w:rsidRPr="00AA43FB">
        <w:rPr>
          <w:noProof/>
          <w:lang w:val="en-US"/>
        </w:rPr>
        <w:tab/>
        <w:t>Moccia A.A. et al. R-CHOP with Etoposide Substituted for Doxorubicin (R-CEOP): Excellent Outcome in Diffuse Large B Cell Lymphoma for Patients with a Contraindication to Anthracyclines. // Blood. American Society of Hematology, 2009. Vol. 114, № 22. P. 408–408.</w:t>
      </w:r>
    </w:p>
    <w:p w14:paraId="3AF3CD15" w14:textId="77777777" w:rsidR="006A2B13" w:rsidRPr="00AA43FB" w:rsidRDefault="006A2B13" w:rsidP="006A2B13">
      <w:pPr>
        <w:widowControl w:val="0"/>
        <w:autoSpaceDE w:val="0"/>
        <w:autoSpaceDN w:val="0"/>
        <w:adjustRightInd w:val="0"/>
        <w:spacing w:line="360" w:lineRule="auto"/>
        <w:ind w:left="640" w:hanging="640"/>
        <w:rPr>
          <w:noProof/>
          <w:lang w:val="en-US"/>
        </w:rPr>
      </w:pPr>
      <w:r w:rsidRPr="00AA43FB">
        <w:rPr>
          <w:noProof/>
          <w:lang w:val="en-US"/>
        </w:rPr>
        <w:t>69.</w:t>
      </w:r>
      <w:r w:rsidRPr="00AA43FB">
        <w:rPr>
          <w:noProof/>
          <w:lang w:val="en-US"/>
        </w:rPr>
        <w:tab/>
        <w:t>Fields P.A. et al. De novo treatment of diffuse large B-cell lymphoma with rituximab, cyclophosphamide, vincristine, gemcitabine, and prednisolone in patients with cardiac comorbidity: A United Kingdom National Cancer Research Institute trial // J. Clin. Oncol. American Society of Clinical Oncology, 2014. Vol. 32, № 4. P. 282–287.</w:t>
      </w:r>
    </w:p>
    <w:p w14:paraId="360F6BBB" w14:textId="77777777" w:rsidR="006A2B13" w:rsidRPr="00AA43FB" w:rsidRDefault="006A2B13" w:rsidP="006A2B13">
      <w:pPr>
        <w:widowControl w:val="0"/>
        <w:autoSpaceDE w:val="0"/>
        <w:autoSpaceDN w:val="0"/>
        <w:adjustRightInd w:val="0"/>
        <w:spacing w:line="360" w:lineRule="auto"/>
        <w:ind w:left="640" w:hanging="640"/>
        <w:rPr>
          <w:noProof/>
          <w:lang w:val="en-US"/>
        </w:rPr>
      </w:pPr>
      <w:r w:rsidRPr="00AA43FB">
        <w:rPr>
          <w:noProof/>
          <w:lang w:val="en-US"/>
        </w:rPr>
        <w:t>70.</w:t>
      </w:r>
      <w:r w:rsidRPr="00AA43FB">
        <w:rPr>
          <w:noProof/>
          <w:lang w:val="en-US"/>
        </w:rPr>
        <w:tab/>
        <w:t>Han S.M. et al. Primary splenic lymphoma associated with hemophagocytic lymphohistiocytosis complicated with splenic rupture // J. Chinese Med. Assoc. Elsevier (Singapore) Pte Ltd, 2008. Vol. 71, № 4. P. 210–213.</w:t>
      </w:r>
    </w:p>
    <w:p w14:paraId="08A4BB41" w14:textId="77777777" w:rsidR="006A2B13" w:rsidRPr="00AA43FB" w:rsidRDefault="006A2B13" w:rsidP="006A2B13">
      <w:pPr>
        <w:widowControl w:val="0"/>
        <w:autoSpaceDE w:val="0"/>
        <w:autoSpaceDN w:val="0"/>
        <w:adjustRightInd w:val="0"/>
        <w:spacing w:line="360" w:lineRule="auto"/>
        <w:ind w:left="640" w:hanging="640"/>
        <w:rPr>
          <w:noProof/>
          <w:lang w:val="en-US"/>
        </w:rPr>
      </w:pPr>
      <w:r w:rsidRPr="00AA43FB">
        <w:rPr>
          <w:noProof/>
          <w:lang w:val="en-US"/>
        </w:rPr>
        <w:t>71.</w:t>
      </w:r>
      <w:r w:rsidRPr="00AA43FB">
        <w:rPr>
          <w:noProof/>
          <w:lang w:val="en-US"/>
        </w:rPr>
        <w:tab/>
        <w:t>Salles G. et al. Rituximab in B-Cell Hematologic Malignancies: A Review of 20 Years of Clinical Experience // Advances in Therapy. 2017. Vol. 34, № 10. P. 2232–2273.</w:t>
      </w:r>
    </w:p>
    <w:p w14:paraId="32B069AE" w14:textId="77777777" w:rsidR="006A2B13" w:rsidRPr="00AA43FB" w:rsidRDefault="006A2B13" w:rsidP="006A2B13">
      <w:pPr>
        <w:widowControl w:val="0"/>
        <w:autoSpaceDE w:val="0"/>
        <w:autoSpaceDN w:val="0"/>
        <w:adjustRightInd w:val="0"/>
        <w:spacing w:line="360" w:lineRule="auto"/>
        <w:ind w:left="640" w:hanging="640"/>
        <w:rPr>
          <w:noProof/>
          <w:lang w:val="en-US"/>
        </w:rPr>
      </w:pPr>
      <w:r w:rsidRPr="00AA43FB">
        <w:rPr>
          <w:noProof/>
          <w:lang w:val="en-US"/>
        </w:rPr>
        <w:t>72.</w:t>
      </w:r>
      <w:r w:rsidRPr="00AA43FB">
        <w:rPr>
          <w:noProof/>
          <w:lang w:val="en-US"/>
        </w:rPr>
        <w:tab/>
        <w:t>Raefsky E.L. et al. Brief duration rituximab(R)/chemotherapy (CNOP or CVP) followed by maintenance rituximab in elderly/poor performance status patients (pts) with diffuse large B-cell lymphoma (DLBCL): A phase II trial of the Minnie Pearl Cancer Research Network // J. Clin. Oncol. American Society of Clinical Oncology, 2006. Vol. 24, № 18_suppl. P. 7577–7577.</w:t>
      </w:r>
    </w:p>
    <w:p w14:paraId="34D31379" w14:textId="77777777" w:rsidR="006A2B13" w:rsidRPr="00AA43FB" w:rsidRDefault="006A2B13" w:rsidP="006A2B13">
      <w:pPr>
        <w:widowControl w:val="0"/>
        <w:autoSpaceDE w:val="0"/>
        <w:autoSpaceDN w:val="0"/>
        <w:adjustRightInd w:val="0"/>
        <w:spacing w:line="360" w:lineRule="auto"/>
        <w:ind w:left="640" w:hanging="640"/>
        <w:rPr>
          <w:noProof/>
          <w:lang w:val="en-US"/>
        </w:rPr>
      </w:pPr>
      <w:r w:rsidRPr="00AA43FB">
        <w:rPr>
          <w:noProof/>
          <w:lang w:val="en-US"/>
        </w:rPr>
        <w:t>73.</w:t>
      </w:r>
      <w:r w:rsidRPr="00AA43FB">
        <w:rPr>
          <w:noProof/>
          <w:lang w:val="en-US"/>
        </w:rPr>
        <w:tab/>
        <w:t>Olmos-Jiménez R. et al. Practical aspects of the use of intrathecal chemotherapy Aspectos prácticos de la utilización de quimioterapia intratecal // Farm Hosp. 2017. Vol. 41, № 1. P. 105–129.</w:t>
      </w:r>
    </w:p>
    <w:p w14:paraId="209EEBF1" w14:textId="77777777" w:rsidR="006A2B13" w:rsidRPr="006A2B13" w:rsidRDefault="006A2B13" w:rsidP="006A2B13">
      <w:pPr>
        <w:widowControl w:val="0"/>
        <w:autoSpaceDE w:val="0"/>
        <w:autoSpaceDN w:val="0"/>
        <w:adjustRightInd w:val="0"/>
        <w:spacing w:line="360" w:lineRule="auto"/>
        <w:ind w:left="640" w:hanging="640"/>
        <w:rPr>
          <w:noProof/>
        </w:rPr>
      </w:pPr>
      <w:r w:rsidRPr="00AA43FB">
        <w:rPr>
          <w:noProof/>
          <w:lang w:val="en-US"/>
        </w:rPr>
        <w:t>74.</w:t>
      </w:r>
      <w:r w:rsidRPr="00AA43FB">
        <w:rPr>
          <w:noProof/>
          <w:lang w:val="en-US"/>
        </w:rPr>
        <w:tab/>
        <w:t xml:space="preserve">Martín M.C. et al. Methotrexate embryopathy after exposure to low weekly doses in early pregnancy // Reprod. </w:t>
      </w:r>
      <w:r w:rsidRPr="006A2B13">
        <w:rPr>
          <w:noProof/>
        </w:rPr>
        <w:t>Toxicol. 2014. Vol. 43. P. 26–29.</w:t>
      </w:r>
    </w:p>
    <w:p w14:paraId="0BCE2E02" w14:textId="77777777" w:rsidR="006A2B13" w:rsidRPr="00AA43FB" w:rsidRDefault="006A2B13" w:rsidP="006A2B13">
      <w:pPr>
        <w:widowControl w:val="0"/>
        <w:autoSpaceDE w:val="0"/>
        <w:autoSpaceDN w:val="0"/>
        <w:adjustRightInd w:val="0"/>
        <w:spacing w:line="360" w:lineRule="auto"/>
        <w:ind w:left="640" w:hanging="640"/>
        <w:rPr>
          <w:noProof/>
          <w:lang w:val="en-US"/>
        </w:rPr>
      </w:pPr>
      <w:r w:rsidRPr="006A2B13">
        <w:rPr>
          <w:noProof/>
        </w:rPr>
        <w:t>75.</w:t>
      </w:r>
      <w:r w:rsidRPr="006A2B13">
        <w:rPr>
          <w:noProof/>
        </w:rPr>
        <w:tab/>
        <w:t xml:space="preserve">Бобкова М.М. et al. Эффективность применения интенсивной полихимиотерапии в лечении молодых больных с диффузной В-крупноклеточной лимфомой из клеток герминального центра // Онкогематология. </w:t>
      </w:r>
      <w:r w:rsidRPr="00AA43FB">
        <w:rPr>
          <w:noProof/>
          <w:lang w:val="en-US"/>
        </w:rPr>
        <w:t>2009. Vol. 4. P. 4–11.</w:t>
      </w:r>
    </w:p>
    <w:p w14:paraId="7FC7B1B4" w14:textId="77777777" w:rsidR="006A2B13" w:rsidRPr="00AA43FB" w:rsidRDefault="006A2B13" w:rsidP="006A2B13">
      <w:pPr>
        <w:widowControl w:val="0"/>
        <w:autoSpaceDE w:val="0"/>
        <w:autoSpaceDN w:val="0"/>
        <w:adjustRightInd w:val="0"/>
        <w:spacing w:line="360" w:lineRule="auto"/>
        <w:ind w:left="640" w:hanging="640"/>
        <w:rPr>
          <w:noProof/>
          <w:lang w:val="en-US"/>
        </w:rPr>
      </w:pPr>
      <w:r w:rsidRPr="00AA43FB">
        <w:rPr>
          <w:noProof/>
          <w:lang w:val="en-US"/>
        </w:rPr>
        <w:t>76.</w:t>
      </w:r>
      <w:r w:rsidRPr="00AA43FB">
        <w:rPr>
          <w:noProof/>
          <w:lang w:val="en-US"/>
        </w:rPr>
        <w:tab/>
        <w:t xml:space="preserve">Sonnevi K. et al. Excellent survival after R-Hyper-CVAD in hospitalized patients with high-risk large B-cell lymphoma: The Karolinska experience // eJHaem. John </w:t>
      </w:r>
      <w:r w:rsidRPr="00AA43FB">
        <w:rPr>
          <w:noProof/>
          <w:lang w:val="en-US"/>
        </w:rPr>
        <w:lastRenderedPageBreak/>
        <w:t>Wiley &amp; Sons, Ltd, 2021. Vol. 2, № 4. P. 774–784.</w:t>
      </w:r>
    </w:p>
    <w:p w14:paraId="2AF94253" w14:textId="77777777" w:rsidR="006A2B13" w:rsidRPr="006A2B13" w:rsidRDefault="006A2B13" w:rsidP="006A2B13">
      <w:pPr>
        <w:widowControl w:val="0"/>
        <w:autoSpaceDE w:val="0"/>
        <w:autoSpaceDN w:val="0"/>
        <w:adjustRightInd w:val="0"/>
        <w:spacing w:line="360" w:lineRule="auto"/>
        <w:ind w:left="640" w:hanging="640"/>
        <w:rPr>
          <w:noProof/>
        </w:rPr>
      </w:pPr>
      <w:r w:rsidRPr="00AA43FB">
        <w:rPr>
          <w:noProof/>
          <w:lang w:val="en-US"/>
        </w:rPr>
        <w:t>77.</w:t>
      </w:r>
      <w:r w:rsidRPr="00AA43FB">
        <w:rPr>
          <w:noProof/>
          <w:lang w:val="en-US"/>
        </w:rPr>
        <w:tab/>
        <w:t xml:space="preserve">McMillan A.K. et al. Favourable outcomes for high-risk diffuse large B-cell lymphoma (IPI 3-5) treated with front-line R-CODOX-M/R-IVAC chemotherapy: results of a phase 2 UK NCRI trial // Ann. Oncol.  Off. J. Eur. Soc. Med. Oncol. Ann Oncol, 2020. Vol. 31, № 9. </w:t>
      </w:r>
      <w:r w:rsidRPr="006A2B13">
        <w:rPr>
          <w:noProof/>
        </w:rPr>
        <w:t>P. 1251–1259.</w:t>
      </w:r>
    </w:p>
    <w:p w14:paraId="37722E6A" w14:textId="77777777" w:rsidR="006A2B13" w:rsidRPr="00AA43FB" w:rsidRDefault="006A2B13" w:rsidP="006A2B13">
      <w:pPr>
        <w:widowControl w:val="0"/>
        <w:autoSpaceDE w:val="0"/>
        <w:autoSpaceDN w:val="0"/>
        <w:adjustRightInd w:val="0"/>
        <w:spacing w:line="360" w:lineRule="auto"/>
        <w:ind w:left="640" w:hanging="640"/>
        <w:rPr>
          <w:noProof/>
          <w:lang w:val="en-US"/>
        </w:rPr>
      </w:pPr>
      <w:r w:rsidRPr="006A2B13">
        <w:rPr>
          <w:noProof/>
        </w:rPr>
        <w:t>78.</w:t>
      </w:r>
      <w:r w:rsidRPr="006A2B13">
        <w:rPr>
          <w:noProof/>
        </w:rPr>
        <w:tab/>
        <w:t xml:space="preserve">Магомедова А.У. et al. Промежуточные результаты многоцентрового, рандомизированного, контролируемого (сравнительного) открытого, проспективного исследования по оценке эффективности программ R-DA-EPOCH-21, R-MNHL-BFM-90 и трансплантации аутологичных стволовых кроветворных клеток // Гематология и трансфузиология. </w:t>
      </w:r>
      <w:r w:rsidRPr="00AA43FB">
        <w:rPr>
          <w:noProof/>
          <w:lang w:val="en-US"/>
        </w:rPr>
        <w:t>2020. Vol. 65, № S1. P. 35.</w:t>
      </w:r>
    </w:p>
    <w:p w14:paraId="326B5E31" w14:textId="77777777" w:rsidR="006A2B13" w:rsidRPr="00AA43FB" w:rsidRDefault="006A2B13" w:rsidP="006A2B13">
      <w:pPr>
        <w:widowControl w:val="0"/>
        <w:autoSpaceDE w:val="0"/>
        <w:autoSpaceDN w:val="0"/>
        <w:adjustRightInd w:val="0"/>
        <w:spacing w:line="360" w:lineRule="auto"/>
        <w:ind w:left="640" w:hanging="640"/>
        <w:rPr>
          <w:noProof/>
          <w:lang w:val="en-US"/>
        </w:rPr>
      </w:pPr>
      <w:r w:rsidRPr="00AA43FB">
        <w:rPr>
          <w:noProof/>
          <w:lang w:val="en-US"/>
        </w:rPr>
        <w:t>79.</w:t>
      </w:r>
      <w:r w:rsidRPr="00AA43FB">
        <w:rPr>
          <w:noProof/>
          <w:lang w:val="en-US"/>
        </w:rPr>
        <w:tab/>
        <w:t>Perry C. et al. Characteristics, management and outcome of DLBCL patients, presenting with simultaneous systemic and CNS disease at diagnosis: A retrospective multicenter study // Am. J. Hematol. Wiley-Liss Inc., 2019. Vol. 94, № 9. P. 992–1001.</w:t>
      </w:r>
    </w:p>
    <w:p w14:paraId="5C0954CB" w14:textId="77777777" w:rsidR="006A2B13" w:rsidRPr="00AA43FB" w:rsidRDefault="006A2B13" w:rsidP="006A2B13">
      <w:pPr>
        <w:widowControl w:val="0"/>
        <w:autoSpaceDE w:val="0"/>
        <w:autoSpaceDN w:val="0"/>
        <w:adjustRightInd w:val="0"/>
        <w:spacing w:line="360" w:lineRule="auto"/>
        <w:ind w:left="640" w:hanging="640"/>
        <w:rPr>
          <w:noProof/>
          <w:lang w:val="en-US"/>
        </w:rPr>
      </w:pPr>
      <w:r w:rsidRPr="00AA43FB">
        <w:rPr>
          <w:noProof/>
          <w:lang w:val="en-US"/>
        </w:rPr>
        <w:t>80.</w:t>
      </w:r>
      <w:r w:rsidRPr="00AA43FB">
        <w:rPr>
          <w:noProof/>
          <w:lang w:val="en-US"/>
        </w:rPr>
        <w:tab/>
        <w:t>Peyrade F. et al. Attenuated immunochemotherapy regimen (R-miniCHOP) in elderly patients older than 80 years with diffuse large B-cell lymphoma: A multicentre, single-arm, phase 2 trial // Lancet Oncol. 2011. Vol. 12, № 5. P. 460–468.</w:t>
      </w:r>
    </w:p>
    <w:p w14:paraId="6D06C529" w14:textId="77777777" w:rsidR="006A2B13" w:rsidRPr="00AA43FB" w:rsidRDefault="006A2B13" w:rsidP="006A2B13">
      <w:pPr>
        <w:widowControl w:val="0"/>
        <w:autoSpaceDE w:val="0"/>
        <w:autoSpaceDN w:val="0"/>
        <w:adjustRightInd w:val="0"/>
        <w:spacing w:line="360" w:lineRule="auto"/>
        <w:ind w:left="640" w:hanging="640"/>
        <w:rPr>
          <w:noProof/>
          <w:lang w:val="en-US"/>
        </w:rPr>
      </w:pPr>
      <w:r w:rsidRPr="00AA43FB">
        <w:rPr>
          <w:noProof/>
          <w:lang w:val="en-US"/>
        </w:rPr>
        <w:t>81.</w:t>
      </w:r>
      <w:r w:rsidRPr="00AA43FB">
        <w:rPr>
          <w:noProof/>
          <w:lang w:val="en-US"/>
        </w:rPr>
        <w:tab/>
        <w:t>Peyrade F. et al. Long-term follow-up of the GELA LNH 03-7B study: A prospective phase II study of 150 patients over 80 years with diffuse large B-cell lymphoma (DLBCL) treated with RminiCHOP. // J. Clin. Oncol. American Society of Clinical Oncology, 2013. Vol. 31, № 15_suppl. P. 8536.</w:t>
      </w:r>
    </w:p>
    <w:p w14:paraId="37C6B8CC" w14:textId="77777777" w:rsidR="006A2B13" w:rsidRPr="00AA43FB" w:rsidRDefault="006A2B13" w:rsidP="006A2B13">
      <w:pPr>
        <w:widowControl w:val="0"/>
        <w:autoSpaceDE w:val="0"/>
        <w:autoSpaceDN w:val="0"/>
        <w:adjustRightInd w:val="0"/>
        <w:spacing w:line="360" w:lineRule="auto"/>
        <w:ind w:left="640" w:hanging="640"/>
        <w:rPr>
          <w:noProof/>
          <w:lang w:val="en-US"/>
        </w:rPr>
      </w:pPr>
      <w:r w:rsidRPr="00AA43FB">
        <w:rPr>
          <w:noProof/>
          <w:lang w:val="en-US"/>
        </w:rPr>
        <w:t>82.</w:t>
      </w:r>
      <w:r w:rsidRPr="00AA43FB">
        <w:rPr>
          <w:noProof/>
          <w:lang w:val="en-US"/>
        </w:rPr>
        <w:tab/>
        <w:t>Laribi K. et al. R-CVP regimen is active in frail elderly patients aged 80 or over with diffuse large B cell lymphoma // Ann. Hematol. Springer Verlag, 2016. Vol. 95, № 10. P. 1705–1714.</w:t>
      </w:r>
    </w:p>
    <w:p w14:paraId="5DAC2A2C" w14:textId="77777777" w:rsidR="006A2B13" w:rsidRPr="00AA43FB" w:rsidRDefault="006A2B13" w:rsidP="006A2B13">
      <w:pPr>
        <w:widowControl w:val="0"/>
        <w:autoSpaceDE w:val="0"/>
        <w:autoSpaceDN w:val="0"/>
        <w:adjustRightInd w:val="0"/>
        <w:spacing w:line="360" w:lineRule="auto"/>
        <w:ind w:left="640" w:hanging="640"/>
        <w:rPr>
          <w:noProof/>
          <w:lang w:val="en-US"/>
        </w:rPr>
      </w:pPr>
      <w:r w:rsidRPr="00AA43FB">
        <w:rPr>
          <w:noProof/>
          <w:lang w:val="en-US"/>
        </w:rPr>
        <w:t>83.</w:t>
      </w:r>
      <w:r w:rsidRPr="00AA43FB">
        <w:rPr>
          <w:noProof/>
          <w:lang w:val="en-US"/>
        </w:rPr>
        <w:tab/>
        <w:t>Arakaki H. et al. Comparison of R-CVP with R-CHOP for very elderly patients aged 80 or over with diffuse large B cell lymphoma // Annals of Hematology. Springer Verlag, 2017. Vol. 96, № 7. P. 1225–1226.</w:t>
      </w:r>
    </w:p>
    <w:p w14:paraId="30DABF70" w14:textId="77777777" w:rsidR="006A2B13" w:rsidRPr="00AA43FB" w:rsidRDefault="006A2B13" w:rsidP="006A2B13">
      <w:pPr>
        <w:widowControl w:val="0"/>
        <w:autoSpaceDE w:val="0"/>
        <w:autoSpaceDN w:val="0"/>
        <w:adjustRightInd w:val="0"/>
        <w:spacing w:line="360" w:lineRule="auto"/>
        <w:ind w:left="640" w:hanging="640"/>
        <w:rPr>
          <w:noProof/>
          <w:lang w:val="en-US"/>
        </w:rPr>
      </w:pPr>
      <w:r w:rsidRPr="00AA43FB">
        <w:rPr>
          <w:noProof/>
          <w:lang w:val="en-US"/>
        </w:rPr>
        <w:t>84.</w:t>
      </w:r>
      <w:r w:rsidRPr="00AA43FB">
        <w:rPr>
          <w:noProof/>
          <w:lang w:val="en-US"/>
        </w:rPr>
        <w:tab/>
        <w:t>Zeremski V. et al. Is bendamustine-rituximab a reasonable treatment in selected older patients with diffuse large B cell lymphoma? Results from a multicentre, retrospective study // Ann. Hematol. Springer, 2019. Vol. 98, № 12. P. 2729–2737.</w:t>
      </w:r>
    </w:p>
    <w:p w14:paraId="52EF0347" w14:textId="77777777" w:rsidR="006A2B13" w:rsidRPr="00AA43FB" w:rsidRDefault="006A2B13" w:rsidP="006A2B13">
      <w:pPr>
        <w:widowControl w:val="0"/>
        <w:autoSpaceDE w:val="0"/>
        <w:autoSpaceDN w:val="0"/>
        <w:adjustRightInd w:val="0"/>
        <w:spacing w:line="360" w:lineRule="auto"/>
        <w:ind w:left="640" w:hanging="640"/>
        <w:rPr>
          <w:noProof/>
          <w:lang w:val="en-US"/>
        </w:rPr>
      </w:pPr>
      <w:r w:rsidRPr="00AA43FB">
        <w:rPr>
          <w:noProof/>
          <w:lang w:val="en-US"/>
        </w:rPr>
        <w:t>85.</w:t>
      </w:r>
      <w:r w:rsidRPr="00AA43FB">
        <w:rPr>
          <w:noProof/>
          <w:lang w:val="en-US"/>
        </w:rPr>
        <w:tab/>
        <w:t xml:space="preserve">Storti S. et al. Rituximab plus bendamustine as front-line treatment in frail elderly (&gt;70 years) patients with diffuse large b-cell non-hodgkin lymphoma: A phase ii multicenter study of the fondazione italiana linfomi // Haematologica. Ferrata Storti </w:t>
      </w:r>
      <w:r w:rsidRPr="00AA43FB">
        <w:rPr>
          <w:noProof/>
          <w:lang w:val="en-US"/>
        </w:rPr>
        <w:lastRenderedPageBreak/>
        <w:t>Foundation, 2018. Vol. 103, № 8. P. 1345–1350.</w:t>
      </w:r>
    </w:p>
    <w:p w14:paraId="365DA198" w14:textId="77777777" w:rsidR="006A2B13" w:rsidRPr="00AA43FB" w:rsidRDefault="006A2B13" w:rsidP="006A2B13">
      <w:pPr>
        <w:widowControl w:val="0"/>
        <w:autoSpaceDE w:val="0"/>
        <w:autoSpaceDN w:val="0"/>
        <w:adjustRightInd w:val="0"/>
        <w:spacing w:line="360" w:lineRule="auto"/>
        <w:ind w:left="640" w:hanging="640"/>
        <w:rPr>
          <w:noProof/>
          <w:lang w:val="en-US"/>
        </w:rPr>
      </w:pPr>
      <w:r w:rsidRPr="00AA43FB">
        <w:rPr>
          <w:noProof/>
          <w:lang w:val="en-US"/>
        </w:rPr>
        <w:t>86.</w:t>
      </w:r>
      <w:r w:rsidRPr="00AA43FB">
        <w:rPr>
          <w:noProof/>
          <w:lang w:val="en-US"/>
        </w:rPr>
        <w:tab/>
        <w:t>Zinzani P.L. et al. Rituximab combined with MACOP-B or VACOP-B and radiation therapy in primary mediastinal large B-cell lymphoma: A retrospective study // Clin. Lymphoma Myeloma. Cancer Information Group, LP, 2009. Vol. 9, № 5. P. 381–385.</w:t>
      </w:r>
    </w:p>
    <w:p w14:paraId="410D2626" w14:textId="77777777" w:rsidR="006A2B13" w:rsidRPr="006A2B13" w:rsidRDefault="006A2B13" w:rsidP="006A2B13">
      <w:pPr>
        <w:widowControl w:val="0"/>
        <w:autoSpaceDE w:val="0"/>
        <w:autoSpaceDN w:val="0"/>
        <w:adjustRightInd w:val="0"/>
        <w:spacing w:line="360" w:lineRule="auto"/>
        <w:ind w:left="640" w:hanging="640"/>
        <w:rPr>
          <w:noProof/>
        </w:rPr>
      </w:pPr>
      <w:r w:rsidRPr="00AA43FB">
        <w:rPr>
          <w:noProof/>
          <w:lang w:val="en-US"/>
        </w:rPr>
        <w:t>87.</w:t>
      </w:r>
      <w:r w:rsidRPr="00AA43FB">
        <w:rPr>
          <w:noProof/>
          <w:lang w:val="en-US"/>
        </w:rPr>
        <w:tab/>
      </w:r>
      <w:r w:rsidRPr="006A2B13">
        <w:rPr>
          <w:noProof/>
        </w:rPr>
        <w:t>Вернюк</w:t>
      </w:r>
      <w:r w:rsidRPr="00AA43FB">
        <w:rPr>
          <w:noProof/>
          <w:lang w:val="en-US"/>
        </w:rPr>
        <w:t xml:space="preserve"> </w:t>
      </w:r>
      <w:r w:rsidRPr="006A2B13">
        <w:rPr>
          <w:noProof/>
        </w:rPr>
        <w:t>М</w:t>
      </w:r>
      <w:r w:rsidRPr="00AA43FB">
        <w:rPr>
          <w:noProof/>
          <w:lang w:val="en-US"/>
        </w:rPr>
        <w:t>.</w:t>
      </w:r>
      <w:r w:rsidRPr="006A2B13">
        <w:rPr>
          <w:noProof/>
        </w:rPr>
        <w:t>А</w:t>
      </w:r>
      <w:r w:rsidRPr="00AA43FB">
        <w:rPr>
          <w:noProof/>
          <w:lang w:val="en-US"/>
        </w:rPr>
        <w:t xml:space="preserve">. et al. </w:t>
      </w:r>
      <w:r w:rsidRPr="006A2B13">
        <w:rPr>
          <w:noProof/>
        </w:rPr>
        <w:t>Опыт лечения первичной медиастинальной В-крупноклеточной лимфомы // Онкогематология. 2013. Vol. 4. P. 18–23.</w:t>
      </w:r>
    </w:p>
    <w:p w14:paraId="307D6928" w14:textId="77777777" w:rsidR="006A2B13" w:rsidRPr="00AA43FB" w:rsidRDefault="006A2B13" w:rsidP="006A2B13">
      <w:pPr>
        <w:widowControl w:val="0"/>
        <w:autoSpaceDE w:val="0"/>
        <w:autoSpaceDN w:val="0"/>
        <w:adjustRightInd w:val="0"/>
        <w:spacing w:line="360" w:lineRule="auto"/>
        <w:ind w:left="640" w:hanging="640"/>
        <w:rPr>
          <w:noProof/>
          <w:lang w:val="en-US"/>
        </w:rPr>
      </w:pPr>
      <w:r w:rsidRPr="006A2B13">
        <w:rPr>
          <w:noProof/>
        </w:rPr>
        <w:t>88.</w:t>
      </w:r>
      <w:r w:rsidRPr="006A2B13">
        <w:rPr>
          <w:noProof/>
        </w:rPr>
        <w:tab/>
        <w:t xml:space="preserve">Тумян Г.С. Первичная медиастинальная В-крупноклеточная лимфома: диагностика, клиническая картина и лечение // Современная онкология. </w:t>
      </w:r>
      <w:r w:rsidRPr="00AA43FB">
        <w:rPr>
          <w:noProof/>
          <w:lang w:val="en-US"/>
        </w:rPr>
        <w:t>2008. Vol. 10, № 3. P. 66–68.</w:t>
      </w:r>
    </w:p>
    <w:p w14:paraId="5637E5D7" w14:textId="77777777" w:rsidR="006A2B13" w:rsidRPr="00AA43FB" w:rsidRDefault="006A2B13" w:rsidP="006A2B13">
      <w:pPr>
        <w:widowControl w:val="0"/>
        <w:autoSpaceDE w:val="0"/>
        <w:autoSpaceDN w:val="0"/>
        <w:adjustRightInd w:val="0"/>
        <w:spacing w:line="360" w:lineRule="auto"/>
        <w:ind w:left="640" w:hanging="640"/>
        <w:rPr>
          <w:noProof/>
          <w:lang w:val="en-US"/>
        </w:rPr>
      </w:pPr>
      <w:r w:rsidRPr="00AA43FB">
        <w:rPr>
          <w:noProof/>
          <w:lang w:val="en-US"/>
        </w:rPr>
        <w:t>89.</w:t>
      </w:r>
      <w:r w:rsidRPr="00AA43FB">
        <w:rPr>
          <w:noProof/>
          <w:lang w:val="en-US"/>
        </w:rPr>
        <w:tab/>
        <w:t>Dunleavy K. et al. Dose-adjusted EPOCH-rituximab therapy in primary mediastinal B-cell lymphoma // N. Engl. J. Med. Massachussetts Medical Society, 2013. Vol. 368, № 15. P. 1408–1416.</w:t>
      </w:r>
    </w:p>
    <w:p w14:paraId="39795FCB" w14:textId="77777777" w:rsidR="006A2B13" w:rsidRPr="00AA43FB" w:rsidRDefault="006A2B13" w:rsidP="006A2B13">
      <w:pPr>
        <w:widowControl w:val="0"/>
        <w:autoSpaceDE w:val="0"/>
        <w:autoSpaceDN w:val="0"/>
        <w:adjustRightInd w:val="0"/>
        <w:spacing w:line="360" w:lineRule="auto"/>
        <w:ind w:left="640" w:hanging="640"/>
        <w:rPr>
          <w:noProof/>
          <w:lang w:val="en-US"/>
        </w:rPr>
      </w:pPr>
      <w:r w:rsidRPr="00AA43FB">
        <w:rPr>
          <w:noProof/>
          <w:lang w:val="en-US"/>
        </w:rPr>
        <w:t>90.</w:t>
      </w:r>
      <w:r w:rsidRPr="00AA43FB">
        <w:rPr>
          <w:noProof/>
          <w:lang w:val="en-US"/>
        </w:rPr>
        <w:tab/>
        <w:t>Chan E.H.L. et al. Real world experience of R-CHOP with or without consolidative radiotherapy vs DA-EPOCH-R in the first-line treatment of primary mediastinal B-cell lymphoma // Cancer Med. Blackwell Publishing Ltd, 2019. Vol. 8, № 10. P. 4626–4632.</w:t>
      </w:r>
    </w:p>
    <w:p w14:paraId="005CBDCD" w14:textId="77777777" w:rsidR="006A2B13" w:rsidRPr="00AA43FB" w:rsidRDefault="006A2B13" w:rsidP="006A2B13">
      <w:pPr>
        <w:widowControl w:val="0"/>
        <w:autoSpaceDE w:val="0"/>
        <w:autoSpaceDN w:val="0"/>
        <w:adjustRightInd w:val="0"/>
        <w:spacing w:line="360" w:lineRule="auto"/>
        <w:ind w:left="640" w:hanging="640"/>
        <w:rPr>
          <w:noProof/>
          <w:lang w:val="en-US"/>
        </w:rPr>
      </w:pPr>
      <w:r w:rsidRPr="00AA43FB">
        <w:rPr>
          <w:noProof/>
          <w:lang w:val="en-US"/>
        </w:rPr>
        <w:t>91.</w:t>
      </w:r>
      <w:r w:rsidRPr="00AA43FB">
        <w:rPr>
          <w:noProof/>
          <w:lang w:val="en-US"/>
        </w:rPr>
        <w:tab/>
      </w:r>
      <w:r w:rsidRPr="006A2B13">
        <w:rPr>
          <w:noProof/>
        </w:rPr>
        <w:t>Мангасарова</w:t>
      </w:r>
      <w:r w:rsidRPr="00AA43FB">
        <w:rPr>
          <w:noProof/>
          <w:lang w:val="en-US"/>
        </w:rPr>
        <w:t xml:space="preserve"> </w:t>
      </w:r>
      <w:r w:rsidRPr="006A2B13">
        <w:rPr>
          <w:noProof/>
        </w:rPr>
        <w:t>Я</w:t>
      </w:r>
      <w:r w:rsidRPr="00AA43FB">
        <w:rPr>
          <w:noProof/>
          <w:lang w:val="en-US"/>
        </w:rPr>
        <w:t>.</w:t>
      </w:r>
      <w:r w:rsidRPr="006A2B13">
        <w:rPr>
          <w:noProof/>
        </w:rPr>
        <w:t>К</w:t>
      </w:r>
      <w:r w:rsidRPr="00AA43FB">
        <w:rPr>
          <w:noProof/>
          <w:lang w:val="en-US"/>
        </w:rPr>
        <w:t xml:space="preserve">. et al. </w:t>
      </w:r>
      <w:r w:rsidRPr="006A2B13">
        <w:rPr>
          <w:noProof/>
        </w:rPr>
        <w:t xml:space="preserve">Первичная медиастинальная (тимическая) В-крупноклеточная лимфома: диагностика отдаленных экстрамедиастинальных поражений и возможности лечения // Клиническая онкогематология. </w:t>
      </w:r>
      <w:r w:rsidRPr="00AA43FB">
        <w:rPr>
          <w:noProof/>
          <w:lang w:val="en-US"/>
        </w:rPr>
        <w:t>2018. Vol. 11, № 3. P. 220–226.</w:t>
      </w:r>
    </w:p>
    <w:p w14:paraId="00EA06CB" w14:textId="77777777" w:rsidR="006A2B13" w:rsidRPr="00AA43FB" w:rsidRDefault="006A2B13" w:rsidP="006A2B13">
      <w:pPr>
        <w:widowControl w:val="0"/>
        <w:autoSpaceDE w:val="0"/>
        <w:autoSpaceDN w:val="0"/>
        <w:adjustRightInd w:val="0"/>
        <w:spacing w:line="360" w:lineRule="auto"/>
        <w:ind w:left="640" w:hanging="640"/>
        <w:rPr>
          <w:noProof/>
          <w:lang w:val="en-US"/>
        </w:rPr>
      </w:pPr>
      <w:r w:rsidRPr="00AA43FB">
        <w:rPr>
          <w:noProof/>
          <w:lang w:val="en-US"/>
        </w:rPr>
        <w:t>92.</w:t>
      </w:r>
      <w:r w:rsidRPr="00AA43FB">
        <w:rPr>
          <w:noProof/>
          <w:lang w:val="en-US"/>
        </w:rPr>
        <w:tab/>
        <w:t>Derenzini E. et al. Cyclophosphamide, doxorubicin, vincristine, methotrexate, bleomicin and prednisone plus rituximab in untreated young patients with low-risk (age-adjusted international prognostic index 01) diffuse large B-cell lymphoma // Leuk. Lymphoma. Taylor &amp; Francis, 2009. Vol. 50, № 11. P. 1824–1829.</w:t>
      </w:r>
    </w:p>
    <w:p w14:paraId="2D133865" w14:textId="77777777" w:rsidR="006A2B13" w:rsidRPr="00AA43FB" w:rsidRDefault="006A2B13" w:rsidP="006A2B13">
      <w:pPr>
        <w:widowControl w:val="0"/>
        <w:autoSpaceDE w:val="0"/>
        <w:autoSpaceDN w:val="0"/>
        <w:adjustRightInd w:val="0"/>
        <w:spacing w:line="360" w:lineRule="auto"/>
        <w:ind w:left="640" w:hanging="640"/>
        <w:rPr>
          <w:noProof/>
          <w:lang w:val="en-US"/>
        </w:rPr>
      </w:pPr>
      <w:r w:rsidRPr="00AA43FB">
        <w:rPr>
          <w:noProof/>
          <w:lang w:val="en-US"/>
        </w:rPr>
        <w:t>93.</w:t>
      </w:r>
      <w:r w:rsidRPr="00AA43FB">
        <w:rPr>
          <w:noProof/>
          <w:lang w:val="en-US"/>
        </w:rPr>
        <w:tab/>
        <w:t>Thiel E. et al. High-dose methotrexate with or without whole brain radiotherapy for primary CNS lymphoma (G-PCNSL-SG-1): a phase 3, randomised, non-inferiority trial // Lancet Oncol. 2010. Vol. 11, № 11. P. 1036–1047.</w:t>
      </w:r>
    </w:p>
    <w:p w14:paraId="556747B4" w14:textId="77777777" w:rsidR="006A2B13" w:rsidRPr="00AA43FB" w:rsidRDefault="006A2B13" w:rsidP="006A2B13">
      <w:pPr>
        <w:widowControl w:val="0"/>
        <w:autoSpaceDE w:val="0"/>
        <w:autoSpaceDN w:val="0"/>
        <w:adjustRightInd w:val="0"/>
        <w:spacing w:line="360" w:lineRule="auto"/>
        <w:ind w:left="640" w:hanging="640"/>
        <w:rPr>
          <w:noProof/>
          <w:lang w:val="en-US"/>
        </w:rPr>
      </w:pPr>
      <w:r w:rsidRPr="00AA43FB">
        <w:rPr>
          <w:noProof/>
          <w:lang w:val="en-US"/>
        </w:rPr>
        <w:t>94.</w:t>
      </w:r>
      <w:r w:rsidRPr="00AA43FB">
        <w:rPr>
          <w:noProof/>
          <w:lang w:val="en-US"/>
        </w:rPr>
        <w:tab/>
        <w:t>Ferreri A.J. et al. High-dose cytarabine plus high-dose methotrexate versus high-dose methotrexate alone in patients with primary CNS lymphoma: a randomised phase 2 trial // Lancet. 2009. Vol. 374, № 9700. P. 1512–1520.</w:t>
      </w:r>
    </w:p>
    <w:p w14:paraId="7636AEB6" w14:textId="77777777" w:rsidR="006A2B13" w:rsidRPr="00AA43FB" w:rsidRDefault="006A2B13" w:rsidP="006A2B13">
      <w:pPr>
        <w:widowControl w:val="0"/>
        <w:autoSpaceDE w:val="0"/>
        <w:autoSpaceDN w:val="0"/>
        <w:adjustRightInd w:val="0"/>
        <w:spacing w:line="360" w:lineRule="auto"/>
        <w:ind w:left="640" w:hanging="640"/>
        <w:rPr>
          <w:noProof/>
          <w:lang w:val="en-US"/>
        </w:rPr>
      </w:pPr>
      <w:r w:rsidRPr="00AA43FB">
        <w:rPr>
          <w:noProof/>
          <w:lang w:val="en-US"/>
        </w:rPr>
        <w:t>95.</w:t>
      </w:r>
      <w:r w:rsidRPr="00AA43FB">
        <w:rPr>
          <w:noProof/>
          <w:lang w:val="en-US"/>
        </w:rPr>
        <w:tab/>
        <w:t>Rubenstein J.L. et al. Intensive chemotherapy and immunotherapy in patients with newly diagnosed primary CNS lymphoma: CALGB 50202 (Alliance 50202) // J. Clin. Oncol. 2013. Vol. 31, № 25. P. 3061–3068.</w:t>
      </w:r>
    </w:p>
    <w:p w14:paraId="2AD972A8" w14:textId="77777777" w:rsidR="006A2B13" w:rsidRPr="00AA43FB" w:rsidRDefault="006A2B13" w:rsidP="006A2B13">
      <w:pPr>
        <w:widowControl w:val="0"/>
        <w:autoSpaceDE w:val="0"/>
        <w:autoSpaceDN w:val="0"/>
        <w:adjustRightInd w:val="0"/>
        <w:spacing w:line="360" w:lineRule="auto"/>
        <w:ind w:left="640" w:hanging="640"/>
        <w:rPr>
          <w:noProof/>
          <w:lang w:val="en-US"/>
        </w:rPr>
      </w:pPr>
      <w:r w:rsidRPr="00AA43FB">
        <w:rPr>
          <w:noProof/>
          <w:lang w:val="en-US"/>
        </w:rPr>
        <w:t>96.</w:t>
      </w:r>
      <w:r w:rsidRPr="00AA43FB">
        <w:rPr>
          <w:noProof/>
          <w:lang w:val="en-US"/>
        </w:rPr>
        <w:tab/>
        <w:t xml:space="preserve">Chamberlain M.C., Johnston S.K. High-dose methotrexate and rituximab with </w:t>
      </w:r>
      <w:r w:rsidRPr="00AA43FB">
        <w:rPr>
          <w:noProof/>
          <w:lang w:val="en-US"/>
        </w:rPr>
        <w:lastRenderedPageBreak/>
        <w:t>deferred radiotherapy for newly diagnosed primary B-cell CNS lymphoma. // Neuro. Oncol. 2010. Vol. 12, № 7. P. 736–744.</w:t>
      </w:r>
    </w:p>
    <w:p w14:paraId="7310584A" w14:textId="77777777" w:rsidR="006A2B13" w:rsidRPr="00AA43FB" w:rsidRDefault="006A2B13" w:rsidP="006A2B13">
      <w:pPr>
        <w:widowControl w:val="0"/>
        <w:autoSpaceDE w:val="0"/>
        <w:autoSpaceDN w:val="0"/>
        <w:adjustRightInd w:val="0"/>
        <w:spacing w:line="360" w:lineRule="auto"/>
        <w:ind w:left="640" w:hanging="640"/>
        <w:rPr>
          <w:noProof/>
          <w:lang w:val="en-US"/>
        </w:rPr>
      </w:pPr>
      <w:r w:rsidRPr="00AA43FB">
        <w:rPr>
          <w:noProof/>
          <w:lang w:val="en-US"/>
        </w:rPr>
        <w:t>97.</w:t>
      </w:r>
      <w:r w:rsidRPr="00AA43FB">
        <w:rPr>
          <w:noProof/>
          <w:lang w:val="en-US"/>
        </w:rPr>
        <w:tab/>
        <w:t>Holdhoff M. et al. High-dose methotrexate with or without rituximab in newly diagnosed primary CNS lymphoma // Neurology. Lippincott Williams and Wilkins, 2014. Vol. 83, № 3. P. 235–239.</w:t>
      </w:r>
    </w:p>
    <w:p w14:paraId="5518171A" w14:textId="77777777" w:rsidR="006A2B13" w:rsidRPr="00AA43FB" w:rsidRDefault="006A2B13" w:rsidP="006A2B13">
      <w:pPr>
        <w:widowControl w:val="0"/>
        <w:autoSpaceDE w:val="0"/>
        <w:autoSpaceDN w:val="0"/>
        <w:adjustRightInd w:val="0"/>
        <w:spacing w:line="360" w:lineRule="auto"/>
        <w:ind w:left="640" w:hanging="640"/>
        <w:rPr>
          <w:noProof/>
          <w:lang w:val="en-US"/>
        </w:rPr>
      </w:pPr>
      <w:r w:rsidRPr="00AA43FB">
        <w:rPr>
          <w:noProof/>
          <w:lang w:val="en-US"/>
        </w:rPr>
        <w:t>98.</w:t>
      </w:r>
      <w:r w:rsidRPr="00AA43FB">
        <w:rPr>
          <w:noProof/>
          <w:lang w:val="en-US"/>
        </w:rPr>
        <w:tab/>
        <w:t>Omuro A. et al. Methotrexate and temozolomide versus methotrexate, procarbazine, vincristine, and cytarabine for primary CNS lymphoma in an elderly population: An intergroup ANOCEF-GOELAMS randomised phase 2 trial // Lancet Haematol. Elsevier Ltd, 2015. Vol. 2, № 6. P. e251–e259.</w:t>
      </w:r>
    </w:p>
    <w:p w14:paraId="183B22FB" w14:textId="77777777" w:rsidR="006A2B13" w:rsidRPr="00AA43FB" w:rsidRDefault="006A2B13" w:rsidP="006A2B13">
      <w:pPr>
        <w:widowControl w:val="0"/>
        <w:autoSpaceDE w:val="0"/>
        <w:autoSpaceDN w:val="0"/>
        <w:adjustRightInd w:val="0"/>
        <w:spacing w:line="360" w:lineRule="auto"/>
        <w:ind w:left="640" w:hanging="640"/>
        <w:rPr>
          <w:noProof/>
          <w:lang w:val="en-US"/>
        </w:rPr>
      </w:pPr>
      <w:r w:rsidRPr="00AA43FB">
        <w:rPr>
          <w:noProof/>
          <w:lang w:val="en-US"/>
        </w:rPr>
        <w:t>99.</w:t>
      </w:r>
      <w:r w:rsidRPr="00AA43FB">
        <w:rPr>
          <w:noProof/>
          <w:lang w:val="en-US"/>
        </w:rPr>
        <w:tab/>
        <w:t>Morris P.G. et al. Rituximab, methotrexate, procarbazine, and vincristine followed by consolidation reduced-dose whole-brain radiotherapy and cytarabine in newly diagnosed primary CNS lymphoma: Final results and long-term outcome // J. Clin. Oncol. American Society of Clinical Oncology, 2013. Vol. 31, № 31. P. 3971–3979.</w:t>
      </w:r>
    </w:p>
    <w:p w14:paraId="2FB9A531" w14:textId="77777777" w:rsidR="006A2B13" w:rsidRPr="00AA43FB" w:rsidRDefault="006A2B13" w:rsidP="006A2B13">
      <w:pPr>
        <w:widowControl w:val="0"/>
        <w:autoSpaceDE w:val="0"/>
        <w:autoSpaceDN w:val="0"/>
        <w:adjustRightInd w:val="0"/>
        <w:spacing w:line="360" w:lineRule="auto"/>
        <w:ind w:left="640" w:hanging="640"/>
        <w:rPr>
          <w:noProof/>
          <w:lang w:val="en-US"/>
        </w:rPr>
      </w:pPr>
      <w:r w:rsidRPr="00AA43FB">
        <w:rPr>
          <w:noProof/>
          <w:lang w:val="en-US"/>
        </w:rPr>
        <w:t>100.</w:t>
      </w:r>
      <w:r w:rsidRPr="00AA43FB">
        <w:rPr>
          <w:noProof/>
          <w:lang w:val="en-US"/>
        </w:rPr>
        <w:tab/>
        <w:t>Fritsch K. et al. Immunochemotherapy with rituximab, methotrexate, procarbazine, and lomustine for primary CNS lymphoma (PCNSL) in the elderly. // Ann. Oncol.  Off. J. Eur. Soc. Med. Oncol. 2011. Vol. 22, № 9. P. 2080–2085.</w:t>
      </w:r>
    </w:p>
    <w:p w14:paraId="00031083" w14:textId="77777777" w:rsidR="006A2B13" w:rsidRPr="00AA43FB" w:rsidRDefault="006A2B13" w:rsidP="006A2B13">
      <w:pPr>
        <w:widowControl w:val="0"/>
        <w:autoSpaceDE w:val="0"/>
        <w:autoSpaceDN w:val="0"/>
        <w:adjustRightInd w:val="0"/>
        <w:spacing w:line="360" w:lineRule="auto"/>
        <w:ind w:left="640" w:hanging="640"/>
        <w:rPr>
          <w:noProof/>
          <w:lang w:val="en-US"/>
        </w:rPr>
      </w:pPr>
      <w:r w:rsidRPr="00AA43FB">
        <w:rPr>
          <w:noProof/>
          <w:lang w:val="en-US"/>
        </w:rPr>
        <w:t>101.</w:t>
      </w:r>
      <w:r w:rsidRPr="00AA43FB">
        <w:rPr>
          <w:noProof/>
          <w:lang w:val="en-US"/>
        </w:rPr>
        <w:tab/>
        <w:t>Wong E.T. et al. Immunochemotherapy with rituximab and temozolomide for central nervous system lymphomas // Cancer. 2004. Vol. 101, № 1. P. 139–145.</w:t>
      </w:r>
    </w:p>
    <w:p w14:paraId="109D1E8D" w14:textId="77777777" w:rsidR="006A2B13" w:rsidRPr="006A2B13" w:rsidRDefault="006A2B13" w:rsidP="006A2B13">
      <w:pPr>
        <w:widowControl w:val="0"/>
        <w:autoSpaceDE w:val="0"/>
        <w:autoSpaceDN w:val="0"/>
        <w:adjustRightInd w:val="0"/>
        <w:spacing w:line="360" w:lineRule="auto"/>
        <w:ind w:left="640" w:hanging="640"/>
        <w:rPr>
          <w:noProof/>
        </w:rPr>
      </w:pPr>
      <w:r w:rsidRPr="00AA43FB">
        <w:rPr>
          <w:noProof/>
          <w:lang w:val="en-US"/>
        </w:rPr>
        <w:t>102.</w:t>
      </w:r>
      <w:r w:rsidRPr="00AA43FB">
        <w:rPr>
          <w:noProof/>
          <w:lang w:val="en-US"/>
        </w:rPr>
        <w:tab/>
        <w:t xml:space="preserve">Illerhaus G. et al. High-dose chemotherapy with autologous stem-cell transplantation and hyperfractionated radiotherapy as first-line treatment of primary CNS lymphoma // J. Clin. </w:t>
      </w:r>
      <w:r w:rsidRPr="006A2B13">
        <w:rPr>
          <w:noProof/>
        </w:rPr>
        <w:t>Oncol. 2006. Vol. 24, № 24. P. 3865–3870.</w:t>
      </w:r>
    </w:p>
    <w:p w14:paraId="76A9BA19"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103.</w:t>
      </w:r>
      <w:r w:rsidRPr="006A2B13">
        <w:rPr>
          <w:noProof/>
        </w:rPr>
        <w:tab/>
        <w:t>Houillier C. et al. Radiotherapy or Autologous Stem-Cell Transplantation for Primary CNS Lymphoma in Patients 60 Years of Age and Younger: Results of the Intergroup ANOCEF-GOELAMS Randomized Phase II PRECIS Study. // J. Clin. Oncol. American Society of Clinical Oncology, 2019. Vol. 37, № 10. P. 823–833.</w:t>
      </w:r>
    </w:p>
    <w:p w14:paraId="6855458E"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104.</w:t>
      </w:r>
      <w:r w:rsidRPr="006A2B13">
        <w:rPr>
          <w:noProof/>
        </w:rPr>
        <w:tab/>
        <w:t>Ferreri A.J.M. et al. Chemoimmunotherapy with methotrexate, cytarabine, thiotepa, and rituximab (MATRix regimen) in patients with primary CNS lymphoma: Results of the first randomisation of the International Extranodal Lymphoma Study Group-32 (IELSG32) phase 2 trial // Lancet Haematol. Elsevier Ltd, 2016. Vol. 3, № 5. P. e217–e227.</w:t>
      </w:r>
    </w:p>
    <w:p w14:paraId="2A5A538B"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105.</w:t>
      </w:r>
      <w:r w:rsidRPr="006A2B13">
        <w:rPr>
          <w:noProof/>
        </w:rPr>
        <w:tab/>
        <w:t>Maschan A. et al. Rituximab and reduced-intensity chemotherapy in children and adolescents with mature B-cell lymphoma: interim results for 231 patients enrolled in the second Russian-Belorussian multicentre study B-NHL-2010M // Br. J. Haematol. Blackwell Publishing Ltd, 2019. Vol. 186, № 3. P. 477–483.</w:t>
      </w:r>
    </w:p>
    <w:p w14:paraId="6643D81B"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106.</w:t>
      </w:r>
      <w:r w:rsidRPr="006A2B13">
        <w:rPr>
          <w:noProof/>
        </w:rPr>
        <w:tab/>
        <w:t xml:space="preserve">Kane E. et al. Emergency admission and survival from aggressive non-Hodgkin </w:t>
      </w:r>
      <w:r w:rsidRPr="006A2B13">
        <w:rPr>
          <w:noProof/>
        </w:rPr>
        <w:lastRenderedPageBreak/>
        <w:t>lymphoma: A report from the UK’s population-based Haematological Malignancy Research Network // Eur. J. Cancer. Elsevier Ltd, 2017. Vol. 78. P. 53–60.</w:t>
      </w:r>
    </w:p>
    <w:p w14:paraId="53C67121"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107.</w:t>
      </w:r>
      <w:r w:rsidRPr="006A2B13">
        <w:rPr>
          <w:noProof/>
        </w:rPr>
        <w:tab/>
        <w:t>Senbanjo I.O. Tumor lysis and acute renal failure in Burkitt′s lymphoma: A review on pathophysiology and management // Indian Journal of Nephrology. 2009. Vol. 19, № 3. P. 83–86.</w:t>
      </w:r>
    </w:p>
    <w:p w14:paraId="7EEED959"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108.</w:t>
      </w:r>
      <w:r w:rsidRPr="006A2B13">
        <w:rPr>
          <w:noProof/>
        </w:rPr>
        <w:tab/>
        <w:t>Oosten L.E.M. et al. Treatment of sporadic Burkitt lymphoma in adults, a retrospective comparison of four treatment regimens. // Ann. Hematol. 2018. Vol. 97, № 2. P. 255–266.</w:t>
      </w:r>
    </w:p>
    <w:p w14:paraId="2C152DC9"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109.</w:t>
      </w:r>
      <w:r w:rsidRPr="006A2B13">
        <w:rPr>
          <w:noProof/>
        </w:rPr>
        <w:tab/>
        <w:t>Dunleavy K. Approach to the Diagnosis and Treatment of Adult Burkitt’s Lymphoma // J. Oncol. Pract. American Society of Clinical Oncology (ASCO), 2018. Vol. 14, № 11. P. 665–671.</w:t>
      </w:r>
    </w:p>
    <w:p w14:paraId="438A34A3"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110.</w:t>
      </w:r>
      <w:r w:rsidRPr="006A2B13">
        <w:rPr>
          <w:noProof/>
        </w:rPr>
        <w:tab/>
        <w:t>Doocey R.T. et al. Allogeneic haematopoietic stem-cell transplantation for relapsed and refractory aggressive histology non-Hodgkin lymphoma. // Br. J. Haematol. 2005. Vol. 131, № 2. P. 223–230.</w:t>
      </w:r>
    </w:p>
    <w:p w14:paraId="28122908"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111.</w:t>
      </w:r>
      <w:r w:rsidRPr="006A2B13">
        <w:rPr>
          <w:noProof/>
        </w:rPr>
        <w:tab/>
        <w:t>Guidelines for the management of non-­-Hodgkin’s and Hodgkin’s lymphoma in adults. 2015.</w:t>
      </w:r>
    </w:p>
    <w:p w14:paraId="5BBCED40"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112.</w:t>
      </w:r>
      <w:r w:rsidRPr="006A2B13">
        <w:rPr>
          <w:noProof/>
        </w:rPr>
        <w:tab/>
        <w:t>Velasquez W.S. et al. ESHAP - An effective chemotherapy regimen in refractory and relapsing lymphoma: A 4-year follow-up study // J. Clin. Oncol. American Society of Clinical Oncology, 1994. Vol. 12, № 6. P. 1169–1176.</w:t>
      </w:r>
    </w:p>
    <w:p w14:paraId="79E685D1"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113.</w:t>
      </w:r>
      <w:r w:rsidRPr="006A2B13">
        <w:rPr>
          <w:noProof/>
        </w:rPr>
        <w:tab/>
        <w:t>Zelenetz A.D. et al. Ifosfamide, carboplatin, etoposide (ICE)-based second-line chemotherapy for the management of relapsed and refractory aggressive non-Hodgkin’s lymphoma // Ann. Oncol. 2003. Vol. 14, № SUPPL. 1.</w:t>
      </w:r>
    </w:p>
    <w:p w14:paraId="1BA88D67"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114.</w:t>
      </w:r>
      <w:r w:rsidRPr="006A2B13">
        <w:rPr>
          <w:noProof/>
        </w:rPr>
        <w:tab/>
        <w:t>Crump M. et al. Gemcitabine, dexamethasone, and cisplatin in patients with recurrent or refractory aggressive histology B-cell non-Hodgkin lymphoma: A phase II study by the National Cancer Institute of Canada Clinical Trials Group (NCIC-CTG) // Cancer. 2004. Vol. 101, № 8. P. 1835–1842.</w:t>
      </w:r>
    </w:p>
    <w:p w14:paraId="2C45603E"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115.</w:t>
      </w:r>
      <w:r w:rsidRPr="006A2B13">
        <w:rPr>
          <w:noProof/>
        </w:rPr>
        <w:tab/>
        <w:t>Corazzelli G. et al. Long-term results of gemcitabine plus oxaliplatin with and without rituximab as salvage treatment for transplant-ineligible patients with refractory/relapsing B-cell lymphoma. // Cancer Chemother. Pharmacol. 2009. Vol. 64, № 5. P. 907–916.</w:t>
      </w:r>
    </w:p>
    <w:p w14:paraId="7C89EA5C"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116.</w:t>
      </w:r>
      <w:r w:rsidRPr="006A2B13">
        <w:rPr>
          <w:noProof/>
        </w:rPr>
        <w:tab/>
        <w:t>Chau I. et al. An oxaliplatin-based chemotherapy in patients with relapsed or refractory intermediate and high-grade non-Hodgkin’s lymphoma // Br. J. Haematol. 2001. Vol. 115, № 4. P. 786–792.</w:t>
      </w:r>
    </w:p>
    <w:p w14:paraId="51F0C255"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117.</w:t>
      </w:r>
      <w:r w:rsidRPr="006A2B13">
        <w:rPr>
          <w:noProof/>
        </w:rPr>
        <w:tab/>
        <w:t xml:space="preserve">Amorim S. et al. Consolidation therapy with mitoxantrone, ifosfamide and etoposide with or without rituximab before stem cell transplantation in relapsed diffuse large </w:t>
      </w:r>
      <w:r w:rsidRPr="006A2B13">
        <w:rPr>
          <w:noProof/>
        </w:rPr>
        <w:lastRenderedPageBreak/>
        <w:t>B-cell lymphoma patients failing second-line treatment // Leukemia and Lymphoma. Taylor and Francis Ltd, 2016. Vol. 57, № 10. P. 2425–2428.</w:t>
      </w:r>
    </w:p>
    <w:p w14:paraId="1C5C1AE9"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118.</w:t>
      </w:r>
      <w:r w:rsidRPr="006A2B13">
        <w:rPr>
          <w:noProof/>
        </w:rPr>
        <w:tab/>
        <w:t>Philip T. et al. Autologous bone marrow transplantation as compared with salvage chemotherapy in relapses of chemotherapy-sensitive non-hodgkin’s lymphoma // N. Engl. J. Med. 1995. Vol. 333, № 23. P. 1540–1545.</w:t>
      </w:r>
    </w:p>
    <w:p w14:paraId="148122EE"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119.</w:t>
      </w:r>
      <w:r w:rsidRPr="006A2B13">
        <w:rPr>
          <w:noProof/>
        </w:rPr>
        <w:tab/>
        <w:t>Sweetenham J.W. et al. Adult Burkitt’s and Burkitt-like non-Hodgkin’s lymphoma - Outcome for patients treated with high-dose therapy and autologous stem-cell transplantation in first remission or at relapse: Results from the European group for blood and marrow transplantation // J. Clin. Oncol. American Society of Clinical Oncology, 1996. Vol. 14, № 9. P. 2465–2472.</w:t>
      </w:r>
    </w:p>
    <w:p w14:paraId="3925C679"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120.</w:t>
      </w:r>
      <w:r w:rsidRPr="006A2B13">
        <w:rPr>
          <w:noProof/>
        </w:rPr>
        <w:tab/>
        <w:t>Mounier N. et al. Rituximab plus gemcitabine and oxaliplatin in patients with refractory/relapsed diffuse large B-cell lymphoma who are not candidates for high-dose therapy. A phase II lymphoma study Association trial // Haematologica. 2013. Vol. 98, № 11. P. 1726–1731.</w:t>
      </w:r>
    </w:p>
    <w:p w14:paraId="793BEAC4"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121.</w:t>
      </w:r>
      <w:r w:rsidRPr="006A2B13">
        <w:rPr>
          <w:noProof/>
        </w:rPr>
        <w:tab/>
        <w:t>Vacirca J.L. et al. Bendamustine combined with rituximab for patients with relapsed or refractory diffuse large B cell lymphoma // Ann. Hematol. 2014. Vol. 93, № 3. P. 403–409.</w:t>
      </w:r>
    </w:p>
    <w:p w14:paraId="0AAA671B"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122.</w:t>
      </w:r>
      <w:r w:rsidRPr="006A2B13">
        <w:rPr>
          <w:noProof/>
        </w:rPr>
        <w:tab/>
        <w:t>Ohmachi K. et al. Multicenter phase II study of bendamustine plus rituximab in patients with relapsed or refractory diffuse large B-cell lymphoma // Journal of Clinical Oncology. American Society of Clinical Oncology, 2013. Vol. 31, № 17. P. 2103–2109.</w:t>
      </w:r>
    </w:p>
    <w:p w14:paraId="46421AB3"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123.</w:t>
      </w:r>
      <w:r w:rsidRPr="006A2B13">
        <w:rPr>
          <w:noProof/>
        </w:rPr>
        <w:tab/>
        <w:t>Chao N.J., Rosenberg S.A., Horning S.J. CEPP(B): An effective and well-tolerated regimen in poor-risk, aggressive non-Hodgkin’s lymphoma // Blood. 1990. Vol. 76, № 7. P. 1293–1298.</w:t>
      </w:r>
    </w:p>
    <w:p w14:paraId="71071F17"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124.</w:t>
      </w:r>
      <w:r w:rsidRPr="006A2B13">
        <w:rPr>
          <w:noProof/>
        </w:rPr>
        <w:tab/>
        <w:t>Gopal A.K. et al. Efficacy and safety of gemcitabine, carboplatin, dexamethasone, and rituximab in patients with relapsed/refractory lymphoma: A prospective multi-center phase II study by the Puget Sound Oncology Consortium // Leuk. Lymphoma. 2010. Vol. 51, № 8. P. 1523–1529.</w:t>
      </w:r>
    </w:p>
    <w:p w14:paraId="39409BEF"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125.</w:t>
      </w:r>
      <w:r w:rsidRPr="006A2B13">
        <w:rPr>
          <w:noProof/>
        </w:rPr>
        <w:tab/>
        <w:t>Papageorgiou E.S. et al. Combination chemotherapy with gemcitabine and vinorelbine in the treatment of relapsed or refractory diffuse large B-cell lymphoma: A phase-II trial by the Hellenic Cooperative Oncology Group // Eur. J. Haematol. 2005. Vol. 75, № 2. P. 124–129.</w:t>
      </w:r>
    </w:p>
    <w:p w14:paraId="7EAAECEC"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126.</w:t>
      </w:r>
      <w:r w:rsidRPr="006A2B13">
        <w:rPr>
          <w:noProof/>
        </w:rPr>
        <w:tab/>
        <w:t>Sehn L.H. et al. Polatuzumab Vedotin in Relapsed or Refractory Diffuse Large B-Cell Lymphoma // J. Clin. Oncol. J Clin Oncol, 2020. Vol. 38, № 2. P. 155–165.</w:t>
      </w:r>
    </w:p>
    <w:p w14:paraId="7E501669"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127.</w:t>
      </w:r>
      <w:r w:rsidRPr="006A2B13">
        <w:rPr>
          <w:noProof/>
        </w:rPr>
        <w:tab/>
        <w:t xml:space="preserve">Goy A. et al. Ibrutinib plus lenalidomide and rituximab has promising activity in </w:t>
      </w:r>
      <w:r w:rsidRPr="006A2B13">
        <w:rPr>
          <w:noProof/>
        </w:rPr>
        <w:lastRenderedPageBreak/>
        <w:t>relapsed/refractory non-germinal center B-cell-like DLBCL // Blood. Blood, 2019. Vol. 134, № 13. P. 1024–1036.</w:t>
      </w:r>
    </w:p>
    <w:p w14:paraId="6178C3F0"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128.</w:t>
      </w:r>
      <w:r w:rsidRPr="006A2B13">
        <w:rPr>
          <w:noProof/>
        </w:rPr>
        <w:tab/>
        <w:t>Armand P. et al. Pembrolizumab in relapsed or refractory primary mediastinal large b-cell lymphoma // J. Clin. Oncol. American Society of Clinical Oncology, 2019. Vol. 37, № 34. P. 3291–3299.</w:t>
      </w:r>
    </w:p>
    <w:p w14:paraId="7101A986"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129.</w:t>
      </w:r>
      <w:r w:rsidRPr="006A2B13">
        <w:rPr>
          <w:noProof/>
        </w:rPr>
        <w:tab/>
        <w:t>McLaughlin P. et al. Chemotherapy with dexamethasone, high-dose cytarabine, and cisplatin for parenchymal brain lymphoma. // J. Natl. Cancer Inst. 1988. Vol. 80, № 17. P. 1408–1412.</w:t>
      </w:r>
    </w:p>
    <w:p w14:paraId="67D163A0"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130.</w:t>
      </w:r>
      <w:r w:rsidRPr="006A2B13">
        <w:rPr>
          <w:noProof/>
        </w:rPr>
        <w:tab/>
        <w:t>Welch M.R. et al. Autologous stem cell transplant in recurrent or refractory primary or secondary central nervous system lymphoma using thiotepa, busulfan and cyclophosphamide // Leuk. Lymphoma. Informa Healthcare, 2015. Vol. 56, № 2. P. 361–367.</w:t>
      </w:r>
    </w:p>
    <w:p w14:paraId="66E7EB55"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131.</w:t>
      </w:r>
      <w:r w:rsidRPr="006A2B13">
        <w:rPr>
          <w:noProof/>
        </w:rPr>
        <w:tab/>
        <w:t>Nguyen P.L. et al. Results of whole-brain radiation as salvage of methotrexate failure for immunocompetent patients with primary CNS lymphoma // J. Clin. Oncol. 2005. Vol. 23, № 7. P. 1507–1513.</w:t>
      </w:r>
    </w:p>
    <w:p w14:paraId="6A3BFF88"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132.</w:t>
      </w:r>
      <w:r w:rsidRPr="006A2B13">
        <w:rPr>
          <w:noProof/>
        </w:rPr>
        <w:tab/>
        <w:t>Котомина Т.С. et al. Лимфома Беркитта и беременность. Возможности современной медицины // РМЖ. Мать и дитя. 2020. Vol. 3. P. 211–216.</w:t>
      </w:r>
    </w:p>
    <w:p w14:paraId="1AC6F494"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133.</w:t>
      </w:r>
      <w:r w:rsidRPr="006A2B13">
        <w:rPr>
          <w:noProof/>
        </w:rPr>
        <w:tab/>
        <w:t>Dunleavy K., McLintock C. How I treat lymphoma in pregnancy // Blood. American Society of Hematology, 2020. Vol. 136, № 19. P. 2118–2124.</w:t>
      </w:r>
    </w:p>
    <w:p w14:paraId="5DA18205"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134.</w:t>
      </w:r>
      <w:r w:rsidRPr="006A2B13">
        <w:rPr>
          <w:noProof/>
        </w:rPr>
        <w:tab/>
        <w:t>Evens A.M. et al. Lymphoma occurring during pregnancy: antenatal therapy, complications, and maternal survival in a multicenter analysis // J. Clin. Oncol. J Clin Oncol, 2013. Vol. 31, № 32. P. 4132–4139.</w:t>
      </w:r>
    </w:p>
    <w:p w14:paraId="1805D2C2"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135.</w:t>
      </w:r>
      <w:r w:rsidRPr="006A2B13">
        <w:rPr>
          <w:noProof/>
        </w:rPr>
        <w:tab/>
        <w:t>Mazonakis M. et al. Radiotherapy of Hodgkin’s disease in early pregnancy: embryo dose measurements // Radiother. Oncol. Radiother Oncol, 2003. Vol. 66, № 3. P. 333–339.</w:t>
      </w:r>
    </w:p>
    <w:p w14:paraId="32732742"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136.</w:t>
      </w:r>
      <w:r w:rsidRPr="006A2B13">
        <w:rPr>
          <w:noProof/>
        </w:rPr>
        <w:tab/>
        <w:t>Manuck T.A. et al. Preterm neonatal morbidity and mortality by gestational age: a contemporary cohort // Am. J. Obstet. Gynecol. Am J Obstet Gynecol, 2016. Vol. 215, № 1. P. 103.e1-103.e14.</w:t>
      </w:r>
    </w:p>
    <w:p w14:paraId="06B5CD19"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137.</w:t>
      </w:r>
      <w:r w:rsidRPr="006A2B13">
        <w:rPr>
          <w:noProof/>
        </w:rPr>
        <w:tab/>
        <w:t>Pinnix C.C. et al. The Management of Lymphoma in the Setting of Pregnancy // Curr. Hematol. Malig. Rep. Curr Hematol Malig Rep, 2017. Vol. 12, № 3. P. 251–256.</w:t>
      </w:r>
    </w:p>
    <w:p w14:paraId="0789DB74"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138.</w:t>
      </w:r>
      <w:r w:rsidRPr="006A2B13">
        <w:rPr>
          <w:noProof/>
        </w:rPr>
        <w:tab/>
        <w:t>Amant F. et al. Pediatric Outcome after Maternal Cancer Diagnosed during Pregnancy // N. Engl. J. Med. N Engl J Med, 2015. Vol. 373, № 19. P. 1824–1834.</w:t>
      </w:r>
    </w:p>
    <w:p w14:paraId="4EB49A6D"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139.</w:t>
      </w:r>
      <w:r w:rsidRPr="006A2B13">
        <w:rPr>
          <w:noProof/>
        </w:rPr>
        <w:tab/>
        <w:t xml:space="preserve">Дудина Г.А., Пивник А.В. Неходжкинские лимфомы у больных ВИЧ-инфекцией // Российские клинические рекомендации по диагностике и </w:t>
      </w:r>
      <w:r w:rsidRPr="006A2B13">
        <w:rPr>
          <w:noProof/>
        </w:rPr>
        <w:lastRenderedPageBreak/>
        <w:t>лечению злокачественных лимфопролиферативных заболеваний; под ред. И.В. Поддубной, В.Г. Савченко. 2018. P. 126–137.</w:t>
      </w:r>
    </w:p>
    <w:p w14:paraId="019524AA"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140.</w:t>
      </w:r>
      <w:r w:rsidRPr="006A2B13">
        <w:rPr>
          <w:noProof/>
        </w:rPr>
        <w:tab/>
        <w:t>Cheson B.D. et al. Revised response criteria for malignant lymphoma // Journal of Clinical Oncology. 2007. Vol. 25, № 5. P. 579–586.</w:t>
      </w:r>
    </w:p>
    <w:p w14:paraId="51AC31CC"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141.</w:t>
      </w:r>
      <w:r w:rsidRPr="006A2B13">
        <w:rPr>
          <w:noProof/>
        </w:rPr>
        <w:tab/>
        <w:t>Барях Е.А., Мякова Н.В., Поддубная И.В. Профилактика и лечение синдрома лизиса опухоли // Российские клинические рекомендации по диагностике и лечению злокачественных лимфопролиферативных заболеваний; под ред. И.В. Поддубной, В.Г. Савченко. 2018. P. 251–253.</w:t>
      </w:r>
    </w:p>
    <w:p w14:paraId="55FF471C"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142.</w:t>
      </w:r>
      <w:r w:rsidRPr="006A2B13">
        <w:rPr>
          <w:noProof/>
        </w:rPr>
        <w:tab/>
        <w:t>Барях Е.А. et al. Лейкоз/лимфома Беркитта: клинические особенности, диагностические критерии, терапевтическая тактика // Клиническая онкогематология. Фундаментальные исследования и клиническая практика. 2010. Vol. 3, № 2. P. 138–143.</w:t>
      </w:r>
    </w:p>
    <w:p w14:paraId="3D57E6F9"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143.</w:t>
      </w:r>
      <w:r w:rsidRPr="006A2B13">
        <w:rPr>
          <w:noProof/>
        </w:rPr>
        <w:tab/>
        <w:t>Narum S., Westergren T., Klemp M. Corticosteroids and risk of gastrointestinal bleeding: A systematic review and meta-analysis // BMJ Open. 2014. Vol. 4, № 5. P. e004587.</w:t>
      </w:r>
    </w:p>
    <w:p w14:paraId="7044A436"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144.</w:t>
      </w:r>
      <w:r w:rsidRPr="006A2B13">
        <w:rPr>
          <w:noProof/>
        </w:rPr>
        <w:tab/>
        <w:t>Burget D.W., Chiverton S.G., Hunt R.H. Is there an optimal degree of acid suppression for healing of duodenal ulcers? A model of the relationship between ulcer healing and acid suppression // Gastroenterology. Gastroenterology, 1990. Vol. 99, № 2. P. 345–351.</w:t>
      </w:r>
    </w:p>
    <w:p w14:paraId="145CAFF2"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145.</w:t>
      </w:r>
      <w:r w:rsidRPr="006A2B13">
        <w:rPr>
          <w:noProof/>
        </w:rPr>
        <w:tab/>
        <w:t>Ивашкин В.Т. et al. Диагностика и лечение язвенной болезни у взрослых (Клинические рекомендации Российской гастроэнтерологической ассоциации, Российского общества колоректальных хирургов и Российского эндоскопического общества). // Российский журнал гастроэнтерологии, гепатологии, колопроктологии. 2020. Vol. 30, № 1. P. 49–70.</w:t>
      </w:r>
    </w:p>
    <w:p w14:paraId="42D681FF"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146.</w:t>
      </w:r>
      <w:r w:rsidRPr="006A2B13">
        <w:rPr>
          <w:noProof/>
        </w:rPr>
        <w:tab/>
        <w:t>Scally B. et al. Effects of gastroprotectant drugs for the prevention and treatment of peptic ulcer disease and its complications: a meta-analysis of randomised trials // Lancet Gastroenterol. Hepatol. Elsevier Ltd, 2018. Vol. 3, № 4. P. 231–241.</w:t>
      </w:r>
    </w:p>
    <w:p w14:paraId="3A45FE7C"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147.</w:t>
      </w:r>
      <w:r w:rsidRPr="006A2B13">
        <w:rPr>
          <w:noProof/>
        </w:rPr>
        <w:tab/>
        <w:t>Владимирова Л.Ю. et al. Практические рекомендации по профилактике и лечению тошноты и рвоты у онкологических больных // 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 2018. P. 502–511.</w:t>
      </w:r>
    </w:p>
    <w:p w14:paraId="2A40B5A3"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148.</w:t>
      </w:r>
      <w:r w:rsidRPr="006A2B13">
        <w:rPr>
          <w:noProof/>
        </w:rPr>
        <w:tab/>
        <w:t>Navari R.M., Gray S.E., Kerr A.C. Olanzapine versus aprepitant for the prevention of chemotherapy-induced nausea and vomiting: a randomized phase III trial // J. Support. Oncol. J Support Oncol, 2011. Vol. 9, № 5. P. 188–195.</w:t>
      </w:r>
    </w:p>
    <w:p w14:paraId="0F84F8D9"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lastRenderedPageBreak/>
        <w:t>149.</w:t>
      </w:r>
      <w:r w:rsidRPr="006A2B13">
        <w:rPr>
          <w:noProof/>
        </w:rPr>
        <w:tab/>
        <w:t>Navari R.M., Aapro M. Antiemetic Prophylaxis for Chemotherapy-Induced Nausea and Vomiting // N. Engl. J. Med. New England Journal of Medicine (NEJM/MMS), 2016. Vol. 374, № 14. P. 1356–1367.</w:t>
      </w:r>
    </w:p>
    <w:p w14:paraId="7B4B4D02"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150.</w:t>
      </w:r>
      <w:r w:rsidRPr="006A2B13">
        <w:rPr>
          <w:noProof/>
        </w:rPr>
        <w:tab/>
        <w:t>Roy V. et al. Hematopoietic Growth Factors. NCCN Guidelines. Ver 1.2022. 2022.</w:t>
      </w:r>
    </w:p>
    <w:p w14:paraId="12D63E11"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151.</w:t>
      </w:r>
      <w:r w:rsidRPr="006A2B13">
        <w:rPr>
          <w:noProof/>
        </w:rPr>
        <w:tab/>
        <w:t>Neumann S. et al. Primary prophylaxis of bacterial infections and Pneumocystis jirovecii pneumonia in patients with hematological malignancies and solid tumors: Guidelines of the Infectious Diseases Working Party (AGIHO) of the German Society of Hematology and Oncology (DG // Annals of Hematology. Ann Hematol, 2013. Vol. 92, № 4. P. 433–442.</w:t>
      </w:r>
    </w:p>
    <w:p w14:paraId="4017BADD"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152.</w:t>
      </w:r>
      <w:r w:rsidRPr="006A2B13">
        <w:rPr>
          <w:noProof/>
        </w:rPr>
        <w:tab/>
        <w:t>SPIRIN M., GALSTYAN G., DROKOV M. Central venous access in lymphoma patients (pts) with superior vena cava syndrome (SVCS) // INTENSIVE CARE Med. Exp. 2019. Vol. 7, № Suppl. 3:001341. P. 388–389.</w:t>
      </w:r>
    </w:p>
    <w:p w14:paraId="69687BF6"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153.</w:t>
      </w:r>
      <w:r w:rsidRPr="006A2B13">
        <w:rPr>
          <w:noProof/>
        </w:rPr>
        <w:tab/>
        <w:t>Константинова Т.С., Клясова Г.А., Капланов К.Д. Лечение и профилактика инфекционных осложнений у пациентов с лимфопролиферативными заболеваниями. // Российские клинические рекомендации по диагностике и лечению злокачественных лимфопролиферативных заболеваний; под ред. И.В. Поддубной, В.Г. Савченко. 2018. P. 289–311.</w:t>
      </w:r>
    </w:p>
    <w:p w14:paraId="686877BD"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154.</w:t>
      </w:r>
      <w:r w:rsidRPr="006A2B13">
        <w:rPr>
          <w:noProof/>
        </w:rPr>
        <w:tab/>
        <w:t>Сомонова О.В. et al. Практические рекомендации по профилактике и лечению тромбоэмболических осложнений у онкологических больных // Злокачественные опухоли: Практические рекомендации RUSSCO. 2021. Vol. 11, № 3S2. P. 47.</w:t>
      </w:r>
    </w:p>
    <w:p w14:paraId="0AC672AB"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155.</w:t>
      </w:r>
      <w:r w:rsidRPr="006A2B13">
        <w:rPr>
          <w:noProof/>
        </w:rPr>
        <w:tab/>
        <w:t>Lyman G.H. et al. American Society of Hematology 2021 guidelines for management of venous thromboembolism: prevention and treatment in patients with cancer // Blood Adv. Blood Adv, 2021. Vol. 5, № 4. P. 927–974.</w:t>
      </w:r>
    </w:p>
    <w:p w14:paraId="7A29B7E6"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156.</w:t>
      </w:r>
      <w:r w:rsidRPr="006A2B13">
        <w:rPr>
          <w:noProof/>
        </w:rPr>
        <w:tab/>
        <w:t>Семиглазова Т.Ю. et al. Практические рекомендации по лечению и профилактике мукозитов // Злокачественные опухоли: Практические рекомендации RUSSCO. 2021. Vol. 11, № 3s2. P. 51.</w:t>
      </w:r>
    </w:p>
    <w:p w14:paraId="2D80F216"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157.</w:t>
      </w:r>
      <w:r w:rsidRPr="006A2B13">
        <w:rPr>
          <w:noProof/>
        </w:rPr>
        <w:tab/>
        <w:t>Peterson D.E., Bensadoun R.J., Roila F. Management of oral and gastrointestinal mucositis: ESMO Clinical Practice Guidelines // Ann. Oncol.  Off. J. Eur. Soc. Med. Oncol. Ann Oncol, 2011. Vol. 22 Suppl 6, № Suppl 6.</w:t>
      </w:r>
    </w:p>
    <w:p w14:paraId="46D3EF76"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158.</w:t>
      </w:r>
      <w:r w:rsidRPr="006A2B13">
        <w:rPr>
          <w:noProof/>
        </w:rPr>
        <w:tab/>
        <w:t>Сытов А.В., Лейдерман И.Н., Ломидзе С.В., Нехаев И.В. Х.А.Ж.. Практические рекомендации по нутритивной поддержке онкологических больных // RUSSCO. 2017. P. 524–532.</w:t>
      </w:r>
    </w:p>
    <w:p w14:paraId="4B9667EB"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159.</w:t>
      </w:r>
      <w:r w:rsidRPr="006A2B13">
        <w:rPr>
          <w:noProof/>
        </w:rPr>
        <w:tab/>
        <w:t xml:space="preserve">de van der Schueren M.A.E. et al. Systematic review and meta-analysis of the evidence for oral nutritional intervention on nutritional and clinical outcomes during </w:t>
      </w:r>
      <w:r w:rsidRPr="006A2B13">
        <w:rPr>
          <w:noProof/>
        </w:rPr>
        <w:lastRenderedPageBreak/>
        <w:t>chemo(radio)therapy: current evidence and guidance for design of future trials // Ann. Oncol.  Off. J. Eur. Soc. Med. Oncol. Ann Oncol, 2018. Vol. 29, № 5. P. 1141–1153.</w:t>
      </w:r>
    </w:p>
    <w:p w14:paraId="641D8B58"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160.</w:t>
      </w:r>
      <w:r w:rsidRPr="006A2B13">
        <w:rPr>
          <w:noProof/>
        </w:rPr>
        <w:tab/>
        <w:t>Oktay K. et al. Fertility Preservation in Patients With Cancer: ASCO Clinical Practice Guideline Update // J. Clin. Oncol. J Clin Oncol, 2018. Vol. 36, № 19. P. 1994–2001.</w:t>
      </w:r>
    </w:p>
    <w:p w14:paraId="5C779B2A"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161.</w:t>
      </w:r>
      <w:r w:rsidRPr="006A2B13">
        <w:rPr>
          <w:noProof/>
        </w:rPr>
        <w:tab/>
        <w:t>Meirow D., Nugent D. The effects of radiotherapy and chemotherapy on female reproduction // Hum. Reprod. Update. 2001. Vol. 7, № 6. P. 535–543.</w:t>
      </w:r>
    </w:p>
    <w:p w14:paraId="73887F2F"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162.</w:t>
      </w:r>
      <w:r w:rsidRPr="006A2B13">
        <w:rPr>
          <w:noProof/>
        </w:rPr>
        <w:tab/>
        <w:t>Paul K.L. Rehabilitation and exercise considerations in hematologic malignancies. // Am. J. Phys. Med. Rehabil. 2011. Vol. 90, № 5 Suppl 1. P. S88-94.</w:t>
      </w:r>
    </w:p>
    <w:p w14:paraId="5684219D"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163.</w:t>
      </w:r>
      <w:r w:rsidRPr="006A2B13">
        <w:rPr>
          <w:noProof/>
        </w:rPr>
        <w:tab/>
        <w:t>Rozental A. et al. The role of maintenance therapy in patients with diffuse large B cell lymphoma: A systematic review and meta-analysis // Hematol. Oncol. John Wiley and Sons Ltd, 2019. Vol. 37, № 1. P. 27–34.</w:t>
      </w:r>
    </w:p>
    <w:p w14:paraId="260A6179"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164.</w:t>
      </w:r>
      <w:r w:rsidRPr="006A2B13">
        <w:rPr>
          <w:noProof/>
        </w:rPr>
        <w:tab/>
        <w:t>Румянцев А.Г., Самочатова Е.В. Практическое руководство по детским болезням. Гематология/онкология детского возраста. Медпрактика-М, Москва, 2004.</w:t>
      </w:r>
    </w:p>
    <w:p w14:paraId="774A25D6"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165.</w:t>
      </w:r>
      <w:r w:rsidRPr="006A2B13">
        <w:rPr>
          <w:noProof/>
        </w:rPr>
        <w:tab/>
        <w:t>Cheson B.D. et al. Recommendations for initial evaluation, staging, and response assessment of hodgkin and non-hodgkin lymphoma: The lugano classification // Journal of Clinical Oncology. American Society of Clinical Oncology, 2014. Vol. 32, № 27. P. 3059–3067.</w:t>
      </w:r>
    </w:p>
    <w:p w14:paraId="729A7C7F"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166.</w:t>
      </w:r>
      <w:r w:rsidRPr="006A2B13">
        <w:rPr>
          <w:noProof/>
        </w:rPr>
        <w:tab/>
        <w:t>A Predictive Model for Aggressive Non-Hodgkin’s Lymphoma // N. Engl. J. Med. 1993. Vol. 329, № 14. P. 987–994.</w:t>
      </w:r>
    </w:p>
    <w:p w14:paraId="2BA71AC9"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167.</w:t>
      </w:r>
      <w:r w:rsidRPr="006A2B13">
        <w:rPr>
          <w:noProof/>
        </w:rPr>
        <w:tab/>
        <w:t>Abdelhamid T. et al. Clinical prognostic factors of diffuse large B cell non-Hodgkin lymphoma: A retrospective study // J. Egypt. Natl. Canc. Inst. 2011. Vol. 23, № 1. P. 17–24.</w:t>
      </w:r>
    </w:p>
    <w:p w14:paraId="44BB543B"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168.</w:t>
      </w:r>
      <w:r w:rsidRPr="006A2B13">
        <w:rPr>
          <w:noProof/>
        </w:rPr>
        <w:tab/>
        <w:t>Abrey L.E. et al. Report of an international workshop to standardize baseline evaluation and response criteria for primary CNS lymphoma // Journal of Clinical Oncology. 2005. Vol. 23, № 22. P. 5034–5043.</w:t>
      </w:r>
    </w:p>
    <w:p w14:paraId="619B32A6"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169.</w:t>
      </w:r>
      <w:r w:rsidRPr="006A2B13">
        <w:rPr>
          <w:noProof/>
        </w:rPr>
        <w:tab/>
        <w:t>Fan E., Brodie D., Slutsky A.S. Acute respiratory distress syndrome advances in diagnosis and treatment // JAMA - Journal of the American Medical Association. American Medical Association, 2018. Vol. 319, № 7. P. 698–710.</w:t>
      </w:r>
    </w:p>
    <w:p w14:paraId="19F2F4A1"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170.</w:t>
      </w:r>
      <w:r w:rsidRPr="006A2B13">
        <w:rPr>
          <w:noProof/>
        </w:rPr>
        <w:tab/>
        <w:t>Young P. et al. Effect of a buffered crystalloid solution vs saline on acute kidney injury among patients in the intensive care unit: The SPLIT randomized clinical trial // JAMA - J. Am. Med. Assoc. American Medical Association, 2015. Vol. 314, № 16. P. 1701–1710.</w:t>
      </w:r>
    </w:p>
    <w:p w14:paraId="189F94AA"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lastRenderedPageBreak/>
        <w:t>171.</w:t>
      </w:r>
      <w:r w:rsidRPr="006A2B13">
        <w:rPr>
          <w:noProof/>
        </w:rPr>
        <w:tab/>
        <w:t>Hoorn E.J. Intravenous fluids: balancing solutions // Journal of Nephrology. Springer New York LLC, 2017. Vol. 30, № 4. P. 485–492.</w:t>
      </w:r>
    </w:p>
    <w:p w14:paraId="3D16FEDF"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172.</w:t>
      </w:r>
      <w:r w:rsidRPr="006A2B13">
        <w:rPr>
          <w:noProof/>
        </w:rPr>
        <w:tab/>
        <w:t>Шихмирзаев Т.А. et al. Фармакопрофилактика трансфузионных реакций // Вестник Национального медико-хирургического Центра им. Н. И. Пирогова. 2018. Vol. 13, № 2. P. 95–99.</w:t>
      </w:r>
    </w:p>
    <w:p w14:paraId="363C84EF"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173.</w:t>
      </w:r>
      <w:r w:rsidRPr="006A2B13">
        <w:rPr>
          <w:noProof/>
        </w:rPr>
        <w:tab/>
        <w:t>Аксельрод Б.А. et al. Клиническое использование эритроцитсодержащих компонентов донорской крови // Гематология и трансфузиология. 2018. Vol. 63, № 4. P. 372–435.</w:t>
      </w:r>
    </w:p>
    <w:p w14:paraId="4AC48915"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174.</w:t>
      </w:r>
      <w:r w:rsidRPr="006A2B13">
        <w:rPr>
          <w:noProof/>
        </w:rPr>
        <w:tab/>
        <w:t>Криволапов Ю.А. Технические аспекты выполнения трепанобиопсий костного мозга. Клиническая онкогематология 2014; 7:290—295 // Клиническая онкогематология. 2014. Vol. 7. P. 290–295.</w:t>
      </w:r>
    </w:p>
    <w:p w14:paraId="70CBD6AC"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175.</w:t>
      </w:r>
      <w:r w:rsidRPr="006A2B13">
        <w:rPr>
          <w:noProof/>
        </w:rPr>
        <w:tab/>
        <w:t>Wang J. et al. Diagnostic utility of bilateral bone marrow examination: Significance of morphologic and ancillary technique study in malignancy // Cancer. Cancer, 2002. Vol. 94, № 5. P. 1522–1531.</w:t>
      </w:r>
    </w:p>
    <w:p w14:paraId="56F781D7"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176.</w:t>
      </w:r>
      <w:r w:rsidRPr="006A2B13">
        <w:rPr>
          <w:noProof/>
        </w:rPr>
        <w:tab/>
        <w:t>Pluschnig U. et al. Extravasation emergencies: state-of-the-art management and progress in clinical research. // Memo. Springer, 2016. Vol. 9, № 4. P. 226–230.</w:t>
      </w:r>
    </w:p>
    <w:p w14:paraId="703CEA99"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177.</w:t>
      </w:r>
      <w:r w:rsidRPr="006A2B13">
        <w:rPr>
          <w:noProof/>
        </w:rPr>
        <w:tab/>
        <w:t>Zeidler K. et al. Optimal preprocedural platelet transfusion threshold for central venous catheter insertions in patients with thrombocytopenia. // Transfusion. 2011. Vol. 51, № 11. P. 2269–2276.</w:t>
      </w:r>
    </w:p>
    <w:p w14:paraId="6C00D316"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178.</w:t>
      </w:r>
      <w:r w:rsidRPr="006A2B13">
        <w:rPr>
          <w:noProof/>
        </w:rPr>
        <w:tab/>
        <w:t>Zerati A.E. et al. Totally implantable venous catheters : history , implantation technique and complications. // J Vasc Bras. 2017. Vol. 16, № 2. P. 128–139.</w:t>
      </w:r>
    </w:p>
    <w:p w14:paraId="76AED538"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179.</w:t>
      </w:r>
      <w:r w:rsidRPr="006A2B13">
        <w:rPr>
          <w:noProof/>
        </w:rPr>
        <w:tab/>
        <w:t>Gow K.W., Tapper D., Hickman R.O. Between the lines: The 50th anniversary of long-term central venous catheters // Am. J. Surg. Elsevier Ltd, 2017. Vol. 213, № 5. P. 837–848.</w:t>
      </w:r>
    </w:p>
    <w:p w14:paraId="2C36CAA5"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180.</w:t>
      </w:r>
      <w:r w:rsidRPr="006A2B13">
        <w:rPr>
          <w:noProof/>
        </w:rPr>
        <w:tab/>
        <w:t>Yeral M. et al. Tunnelled central venous catheter-related problems in the early phase of haematopoietic stem cell transplantation and effects on transplant outcome. // Turkish J. Haematol.  Off. J. Turkish Soc. Haematol. Galenos Yayinevi, 2015. Vol. 32, № 1. P. 51–57.</w:t>
      </w:r>
    </w:p>
    <w:p w14:paraId="4D08D4D0"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181.</w:t>
      </w:r>
      <w:r w:rsidRPr="006A2B13">
        <w:rPr>
          <w:noProof/>
        </w:rPr>
        <w:tab/>
        <w:t>Maki D.G., Kluger D.M., Crnich C.J. The Risk of Bloodstream Infection in Adults With Different Intravascular Devices: A Systematic Review of 200 Published Prospective Studies // Mayo Clin. Proc. Elsevier, 2006. Vol. 81, № 9. P. 1159–1171.</w:t>
      </w:r>
    </w:p>
    <w:p w14:paraId="66D9043B"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182.</w:t>
      </w:r>
      <w:r w:rsidRPr="006A2B13">
        <w:rPr>
          <w:noProof/>
        </w:rPr>
        <w:tab/>
        <w:t>Hamilton H. Central Venous Catheters / ed. Bodenham A.R. Oxford, UK: Wiley-Blackwell, 2009.</w:t>
      </w:r>
    </w:p>
    <w:p w14:paraId="2E842F04"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183.</w:t>
      </w:r>
      <w:r w:rsidRPr="006A2B13">
        <w:rPr>
          <w:noProof/>
        </w:rPr>
        <w:tab/>
        <w:t>Biffi R. Introduction and Overview of PICC History // Peripherally Inserted Central Venous Catheters. Milano: Springer Milan, 2014. P. 1–6.</w:t>
      </w:r>
    </w:p>
    <w:p w14:paraId="200C6F4B"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lastRenderedPageBreak/>
        <w:t>184.</w:t>
      </w:r>
      <w:r w:rsidRPr="006A2B13">
        <w:rPr>
          <w:noProof/>
        </w:rPr>
        <w:tab/>
        <w:t>Linenberger M.L. Catheter-related thrombosis: risks, diagnosis, and management. // J. Natl. Compr. Canc. Netw. 2006. Vol. 4, № 9. P. 889–901.</w:t>
      </w:r>
    </w:p>
    <w:p w14:paraId="181644A0"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185.</w:t>
      </w:r>
      <w:r w:rsidRPr="006A2B13">
        <w:rPr>
          <w:noProof/>
        </w:rPr>
        <w:tab/>
        <w:t>Lee A.Y.Y., Kamphuisen P.W. Epidemiology and prevention of catheter-related thrombosis in patients with cancer // J. Thromb. Haemost. 2012. № 10. P. 1491–1499.</w:t>
      </w:r>
    </w:p>
    <w:p w14:paraId="29536054"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186.</w:t>
      </w:r>
      <w:r w:rsidRPr="006A2B13">
        <w:rPr>
          <w:noProof/>
        </w:rPr>
        <w:tab/>
        <w:t>Цепенщинков Л.., Лядов В.К. Периферически имплантируемый центральный венозный катетер: обзор литераутры. // Клиническая онкогематология. 2014. Vol. 7, № 2. P. 220–228.</w:t>
      </w:r>
    </w:p>
    <w:p w14:paraId="7EA344D0"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187.</w:t>
      </w:r>
      <w:r w:rsidRPr="006A2B13">
        <w:rPr>
          <w:noProof/>
        </w:rPr>
        <w:tab/>
        <w:t>Linder L.E. et al. Material thrombogenicity in central venous catheterization: a comparison between soft, antebrachial catheters of silicone elastomer and polyurethane. // JPEN. J. Parenter. Enteral Nutr. 1984. Vol. 8, № 4. P. 399–406.</w:t>
      </w:r>
    </w:p>
    <w:p w14:paraId="5893D8A5"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188.</w:t>
      </w:r>
      <w:r w:rsidRPr="006A2B13">
        <w:rPr>
          <w:noProof/>
        </w:rPr>
        <w:tab/>
        <w:t>Watters V.A., Grant J.P. Use of Electrocardiogram to Position Right Atrial Catheters During Surgery // Ann. Surg. Vol. 225, № 2. P. 165–171.</w:t>
      </w:r>
    </w:p>
    <w:p w14:paraId="3AEB2029"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189.</w:t>
      </w:r>
      <w:r w:rsidRPr="006A2B13">
        <w:rPr>
          <w:noProof/>
        </w:rPr>
        <w:tab/>
        <w:t>Taal M.W., Chesterton L.J., McIntyre C.W. Venography at insertion of tunnelled internal jugular vein dialysis catheters reveals significant occult stenosis // Nephrol. Dial. Transplant. Oxford University Press, 2004. Vol. 19, № 6. P. 1542–1545.</w:t>
      </w:r>
    </w:p>
    <w:p w14:paraId="693DA626"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190.</w:t>
      </w:r>
      <w:r w:rsidRPr="006A2B13">
        <w:rPr>
          <w:noProof/>
        </w:rPr>
        <w:tab/>
        <w:t>Lobato E.B. et al. Cross-sectional area of the right and left internal jugular veins. // J. Cardiothorac. Vasc. Anesth. 1999. Vol. 13, № 2. P. 136–138.</w:t>
      </w:r>
    </w:p>
    <w:p w14:paraId="7D1BF729"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191.</w:t>
      </w:r>
      <w:r w:rsidRPr="006A2B13">
        <w:rPr>
          <w:noProof/>
        </w:rPr>
        <w:tab/>
        <w:t>Червонцева А.М. Повреждение сосудистого эндотелия в процессе лечения острых миелоидных лейкозов. 2008.</w:t>
      </w:r>
    </w:p>
    <w:p w14:paraId="34E5EDA9"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192.</w:t>
      </w:r>
      <w:r w:rsidRPr="006A2B13">
        <w:rPr>
          <w:noProof/>
        </w:rPr>
        <w:tab/>
        <w:t>Багирова Н.С. Инфекции, связанные с внутрисосудистыми устройствами: терминология, диагностика, профилактика и терапия // Злокачественные опухоли. 2014. № 3. P. 164–171.</w:t>
      </w:r>
    </w:p>
    <w:p w14:paraId="73DB3958"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193.</w:t>
      </w:r>
      <w:r w:rsidRPr="006A2B13">
        <w:rPr>
          <w:noProof/>
        </w:rPr>
        <w:tab/>
        <w:t>Bannon M.P., Heller S.F., Rivera M. Anatomic considerations for central venous cannulation. // Risk Manag. Healthc. Policy. Dove Press, 2011. Vol. 4. P. 27–39.</w:t>
      </w:r>
    </w:p>
    <w:p w14:paraId="3C33D3B7"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194.</w:t>
      </w:r>
      <w:r w:rsidRPr="006A2B13">
        <w:rPr>
          <w:noProof/>
        </w:rPr>
        <w:tab/>
        <w:t>Milling T.J. et al. Randomized, controlled clinical trial of point-of-care limited ultrasonography assistance of central venous cannulation: The Third Sonography Outcomes Assessment Program (SOAP-3) Trial* // Crit. Care Med. 2005. Vol. 33, № 8. P. 1764–1769.</w:t>
      </w:r>
    </w:p>
    <w:p w14:paraId="2B4DD8F1"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195.</w:t>
      </w:r>
      <w:r w:rsidRPr="006A2B13">
        <w:rPr>
          <w:noProof/>
        </w:rPr>
        <w:tab/>
        <w:t>Воробьев А.И. et al. Критические состояния при гемобластозах (типичные формы и выживаемость в условиях отделения реанимации). // Терапевтический архив. 1993. Vol. 65, № 7. P. 3–6.</w:t>
      </w:r>
    </w:p>
    <w:p w14:paraId="648857A3"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196.</w:t>
      </w:r>
      <w:r w:rsidRPr="006A2B13">
        <w:rPr>
          <w:noProof/>
        </w:rPr>
        <w:tab/>
        <w:t>Галстян Г.М., Городецкий В.М. Опыт работы отделения реанимации и интенсивной терапии ФГБУ ГНЦ МЗиСР РФ // Клиническая онкогематология. 2011. Vol. 4, № 1. P. 75–78.</w:t>
      </w:r>
    </w:p>
    <w:p w14:paraId="5D96E9FF"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lastRenderedPageBreak/>
        <w:t>197.</w:t>
      </w:r>
      <w:r w:rsidRPr="006A2B13">
        <w:rPr>
          <w:noProof/>
        </w:rPr>
        <w:tab/>
        <w:t>Lamia B. et al. Changes in severity and organ failure scores as prognostic factors in onco-hematological malignancy patients admitted to the ICU // Intensive Care Med. Intensive Care Med, 2006. Vol. 32, № 10. P. 1560–1568.</w:t>
      </w:r>
    </w:p>
    <w:p w14:paraId="019BB70E"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198.</w:t>
      </w:r>
      <w:r w:rsidRPr="006A2B13">
        <w:rPr>
          <w:noProof/>
        </w:rPr>
        <w:tab/>
        <w:t>Evison J.M. et al. Intensive care unit admission in patients with haematological disease: incidence, outcome and prognostic factors. 2001.</w:t>
      </w:r>
    </w:p>
    <w:p w14:paraId="4DCA3847"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199.</w:t>
      </w:r>
      <w:r w:rsidRPr="006A2B13">
        <w:rPr>
          <w:noProof/>
        </w:rPr>
        <w:tab/>
        <w:t>Silfvast T. et al. Multiple organ failure and outcome of critically ill patients with haematological malignancy // Acta Anaesthesiol. Scand. Acta Anaesthesiol Scand, 2003. Vol. 47, № 3. P. 301–306.</w:t>
      </w:r>
    </w:p>
    <w:p w14:paraId="61DDCB5E"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200.</w:t>
      </w:r>
      <w:r w:rsidRPr="006A2B13">
        <w:rPr>
          <w:noProof/>
        </w:rPr>
        <w:tab/>
        <w:t>Benoit D.D. et al. Outcome and early prognostic indicators in patients with a hematologic malignancy admitted to the intensive care unit for a life-threatening complication // Crit. Care Med. Crit Care Med, 2003. Vol. 31, № 1. P. 104–112.</w:t>
      </w:r>
    </w:p>
    <w:p w14:paraId="14CFB6B5"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201.</w:t>
      </w:r>
      <w:r w:rsidRPr="006A2B13">
        <w:rPr>
          <w:noProof/>
        </w:rPr>
        <w:tab/>
        <w:t>Schellongowski P. et al. Prognostic factors for intensive care unit admission, intensive care outcome, and post-intensive care survival in patients with de novo acute myeloid leukemia: a single center experience // Haematologica. 2011. Vol. 96, № 2. P. 231–237.</w:t>
      </w:r>
    </w:p>
    <w:p w14:paraId="7FA10442"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202.</w:t>
      </w:r>
      <w:r w:rsidRPr="006A2B13">
        <w:rPr>
          <w:noProof/>
        </w:rPr>
        <w:tab/>
        <w:t>Medić M.G. et al. Hematologic malignancies in the medical intensive care unit – Outcomes and prognostic factors // Hematology. Maney Publishing, 2015. Vol. 20, № 5. P. 247–253.</w:t>
      </w:r>
    </w:p>
    <w:p w14:paraId="5F2D5541"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203.</w:t>
      </w:r>
      <w:r w:rsidRPr="006A2B13">
        <w:rPr>
          <w:noProof/>
        </w:rPr>
        <w:tab/>
        <w:t>Jackson K. et al. Outcomes and prognostic factors for patients with acute myeloid leukemia admitted to the intensive care unit // Leuk. Lymphoma. Leuk Lymphoma, 2013. Vol. 55, № April. P. 1–8.</w:t>
      </w:r>
    </w:p>
    <w:p w14:paraId="692C936D"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204.</w:t>
      </w:r>
      <w:r w:rsidRPr="006A2B13">
        <w:rPr>
          <w:noProof/>
        </w:rPr>
        <w:tab/>
        <w:t>Ahmed T. et al. Outcomes and changes in code status of patients with acute myeloid leukemia undergoing induction chemotherapy who were transferred to the intensive care unit // Leuk. Res. Elsevier Ltd, 2017. Vol. 62. P. 51–55.</w:t>
      </w:r>
    </w:p>
    <w:p w14:paraId="6E209D41"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205.</w:t>
      </w:r>
      <w:r w:rsidRPr="006A2B13">
        <w:rPr>
          <w:noProof/>
        </w:rPr>
        <w:tab/>
        <w:t>Yelvington B.J. Subcutaneous Rituximab in Follicular Lymphoma, Chronic Lymphocytic Leukemia, and Diffuse Large B-Cell Lymphoma. // J. Adv. Pract. Oncol. Harborside Press, 2018. Vol. 9, № 5. P. 530–534.</w:t>
      </w:r>
    </w:p>
    <w:p w14:paraId="743DAC96"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206.</w:t>
      </w:r>
      <w:r w:rsidRPr="006A2B13">
        <w:rPr>
          <w:noProof/>
        </w:rPr>
        <w:tab/>
        <w:t>Davies A. et al. Subcutaneous Rituximab for the Treatment of B-Cell Hematologic Malignancies: A Review of the Scientific Rationale and Clinical Development // Advances in Therapy. Springer Healthcare, 2017. Vol. 34, № 10. P. 2210–2231.</w:t>
      </w:r>
    </w:p>
    <w:p w14:paraId="7D12FEEF"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207.</w:t>
      </w:r>
      <w:r w:rsidRPr="006A2B13">
        <w:rPr>
          <w:noProof/>
        </w:rPr>
        <w:tab/>
        <w:t>García‐Muñoz R. et al. Safety of switching from intravenous to subcutaneous rituximab during first‐line treatment of patients with non‐Hodgkin lymphoma: the Spanish population of the MabRella study // Br. J. Haematol. Blackwell Publishing Ltd, 2020. Vol. 188, № 5. P. 661–673.</w:t>
      </w:r>
    </w:p>
    <w:p w14:paraId="5CCB0E2F"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208.</w:t>
      </w:r>
      <w:r w:rsidRPr="006A2B13">
        <w:rPr>
          <w:noProof/>
        </w:rPr>
        <w:tab/>
        <w:t xml:space="preserve">Macdonald D. et al. A canadian perspective on the subcutaneous administration of </w:t>
      </w:r>
      <w:r w:rsidRPr="006A2B13">
        <w:rPr>
          <w:noProof/>
        </w:rPr>
        <w:lastRenderedPageBreak/>
        <w:t>rituximab in non-Hodgkin lymphoma // Current Oncology. Multimed Inc., 2017. Vol. 24, № 1. P. 33–39.</w:t>
      </w:r>
    </w:p>
    <w:p w14:paraId="74EC088C"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209.</w:t>
      </w:r>
      <w:r w:rsidRPr="006A2B13">
        <w:rPr>
          <w:noProof/>
        </w:rPr>
        <w:tab/>
        <w:t>Gang A.O. et al. R-CHOEP-14 improves overall survival in young high-risk patients with diffuse large B-cell lymphoma compared with R-CHOP-14. A population-based investigation from the Danish Lymphoma Group. // Ann. Oncol.  Off. J. Eur. Soc. Med. Oncol. 2012. Vol. 23, № 1. P. 147–153.</w:t>
      </w:r>
    </w:p>
    <w:p w14:paraId="1E10DD25"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210.</w:t>
      </w:r>
      <w:r w:rsidRPr="006A2B13">
        <w:rPr>
          <w:noProof/>
        </w:rPr>
        <w:tab/>
        <w:t>Thomas D.A. et al. Chemoimmunotherapy with hyper-CVAD plus rituximab for the treatment of adult Burkitt and Burkitt-type lymphoma or acute lymphoblastic leukemia // Cancer. 2006. Vol. 106, № 7. P. 1569–1580.</w:t>
      </w:r>
    </w:p>
    <w:p w14:paraId="080098B4"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211.</w:t>
      </w:r>
      <w:r w:rsidRPr="006A2B13">
        <w:rPr>
          <w:noProof/>
        </w:rPr>
        <w:tab/>
        <w:t>Batchelor T. et al. Treatment of Primary CNS Lymphoma With Methotrexate and Deferred Radiotherapy: A Report of NABTT 96–07 // J. Clin. Oncol. American Society of Clinical Oncology, 2003. Vol. 21, № 6. P. 1044–1049.</w:t>
      </w:r>
    </w:p>
    <w:p w14:paraId="19EEF714"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212.</w:t>
      </w:r>
      <w:r w:rsidRPr="006A2B13">
        <w:rPr>
          <w:noProof/>
        </w:rPr>
        <w:tab/>
        <w:t>Zhu J.-J. et al. High-dose methotrexate for elderly patients with primary CNS lymphoma // Neuro. Oncol. Oxford University Press (OUP), 2009. Vol. 11, № 2. P. 211–215.</w:t>
      </w:r>
    </w:p>
    <w:p w14:paraId="7F896AE4"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213.</w:t>
      </w:r>
      <w:r w:rsidRPr="006A2B13">
        <w:rPr>
          <w:noProof/>
        </w:rPr>
        <w:tab/>
        <w:t>Samochatova E. V. et al. Therapy of advanced-stage mature b-cell lymphoma and leukemia in children and adolescents with rituximab and reduced intensity induction chemotherapy (B-NHL 2004M protocol): The results of a multicenter study // J. Pediatr. Hematol. Oncol. Lippincott Williams and Wilkins, 2014. Vol. 36, № 5. P. 395–401.</w:t>
      </w:r>
    </w:p>
    <w:p w14:paraId="55D6A89C"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214.</w:t>
      </w:r>
      <w:r w:rsidRPr="006A2B13">
        <w:rPr>
          <w:noProof/>
        </w:rPr>
        <w:tab/>
        <w:t>Welte K. et al. Purification and biochemical characterization of human pluripotent hematopoietic colony-stimulating factor // Proc. Natl. Acad. Sci. U. S. A. Proc Natl Acad Sci U S A, 1985. Vol. 82, № 5. P. 1526–1530.</w:t>
      </w:r>
    </w:p>
    <w:p w14:paraId="270F4536"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215.</w:t>
      </w:r>
      <w:r w:rsidRPr="006A2B13">
        <w:rPr>
          <w:noProof/>
        </w:rPr>
        <w:tab/>
        <w:t>Krause D.S. et al. CD34: Structure, biology, and clinical utility // Blood. American Society of Hematology, 1996. Vol. 87, № 1. P. 1–13.</w:t>
      </w:r>
    </w:p>
    <w:p w14:paraId="0FDEE89C"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216.</w:t>
      </w:r>
      <w:r w:rsidRPr="006A2B13">
        <w:rPr>
          <w:noProof/>
        </w:rPr>
        <w:tab/>
        <w:t>Giralt S. et al. Optimizing autologous stem cell mobilization strategies to improve patient outcomes: Consensus guidelines and recommendations // Biology of Blood and Marrow Transplantation. Elsevier, 2014. Vol. 20, № 3. P. 295–308.</w:t>
      </w:r>
    </w:p>
    <w:p w14:paraId="758E60CA"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217.</w:t>
      </w:r>
      <w:r w:rsidRPr="006A2B13">
        <w:rPr>
          <w:noProof/>
        </w:rPr>
        <w:tab/>
        <w:t>Stiff P.J. et al. Transplanted CD34 + Cell Dose Is Associated with Long-Term Platelet Count Recovery following Autologous Peripheral Blood Stem Cell Transplant in Patients with Non-Hodgkin Lymphoma or Multiple Myeloma // Biol. Blood Marrow Transplant. Biol Blood Marrow Transplant, 2011. Vol. 17, № 8. P. 1146–1153.</w:t>
      </w:r>
    </w:p>
    <w:p w14:paraId="72242775"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218.</w:t>
      </w:r>
      <w:r w:rsidRPr="006A2B13">
        <w:rPr>
          <w:noProof/>
        </w:rPr>
        <w:tab/>
        <w:t xml:space="preserve">Passos-Coelho J.L. et al. Predictive factors for peripheral-blood progenitor-cell collections using a single large-volume leukapheresis after cyclophosphamide and </w:t>
      </w:r>
      <w:r w:rsidRPr="006A2B13">
        <w:rPr>
          <w:noProof/>
        </w:rPr>
        <w:lastRenderedPageBreak/>
        <w:t>granulocyte- macrophage colony-stimulating factor mobilization // J. Clin. Oncol. American Society of Clinical Oncology, 1995. Vol. 13, № 3. P. 705–714.</w:t>
      </w:r>
    </w:p>
    <w:p w14:paraId="700A99EE"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219.</w:t>
      </w:r>
      <w:r w:rsidRPr="006A2B13">
        <w:rPr>
          <w:noProof/>
        </w:rPr>
        <w:tab/>
        <w:t>Hohaus S. et al. Successful autografting following myeloablative conditioning therapy with blood stem cells mobilized by chemotherapy plus rhG-CSF. // Exp. Hematol. 1993. Vol. 21, № 4. P. 508–514.</w:t>
      </w:r>
    </w:p>
    <w:p w14:paraId="61C024FD"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220.</w:t>
      </w:r>
      <w:r w:rsidRPr="006A2B13">
        <w:rPr>
          <w:noProof/>
        </w:rPr>
        <w:tab/>
        <w:t>Покровская О.С., Менделеева Л.П., Гальцева И.В., Варламова Е.Ю., Капланская И.Б., Воробьев И.А., Грецов Е.М., Калинин Н.Н., Варламова С.В., Клясова Г.А., Тихонова Л.Ю. С.В.Г. Мобилизация гемопоэтических клеток крови у больных миеломной болезнью // Проблемы гематологии и переливания. 2003. P. 55–56.</w:t>
      </w:r>
    </w:p>
    <w:p w14:paraId="2357DC8C"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221.</w:t>
      </w:r>
      <w:r w:rsidRPr="006A2B13">
        <w:rPr>
          <w:noProof/>
        </w:rPr>
        <w:tab/>
        <w:t>Olivieri A. et al. Proposed definition of “poor mobilizer” in lymphoma and multiple myeloma: An analytic hierarchy process by ad hoc working group Gruppo ItalianoTrapianto di Midollo Osseo // Bone Marrow Transplant. Bone Marrow Transplant, 2012. Vol. 47, № 3. P. 342–351.</w:t>
      </w:r>
    </w:p>
    <w:p w14:paraId="7CB4AA24"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222.</w:t>
      </w:r>
      <w:r w:rsidRPr="006A2B13">
        <w:rPr>
          <w:noProof/>
        </w:rPr>
        <w:tab/>
        <w:t>Yang B.B., Kido A. Pharmacokinetics and pharmacodynamics of pegfilgrastim // Clinical Pharmacokinetics. Clin Pharmacokinet, 2011. Vol. 50, № 5. P. 295–306.</w:t>
      </w:r>
    </w:p>
    <w:p w14:paraId="39F02BA1"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223.</w:t>
      </w:r>
      <w:r w:rsidRPr="006A2B13">
        <w:rPr>
          <w:noProof/>
        </w:rPr>
        <w:tab/>
        <w:t>Costa L.J. et al. Pegfilgrastim-versus filgrastim-based autologous hematopoietic stem cell mobilization in the setting of preemptive use of plerixafor: Efficacy and cost analysis // Transfusion. Transfusion, 2012. Vol. 52, № 11. P. 2375–2381.</w:t>
      </w:r>
    </w:p>
    <w:p w14:paraId="4DC67F67"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224.</w:t>
      </w:r>
      <w:r w:rsidRPr="006A2B13">
        <w:rPr>
          <w:noProof/>
        </w:rPr>
        <w:tab/>
        <w:t>Dale D.C. et al. A systematic literature review of the efficacy, effectiveness, and safety of filgrastim // Supportive Care in Cancer. Springer Verlag, 2018. Vol. 26, № 1. P. 7–20.</w:t>
      </w:r>
    </w:p>
    <w:p w14:paraId="531269EF"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225.</w:t>
      </w:r>
      <w:r w:rsidRPr="006A2B13">
        <w:rPr>
          <w:noProof/>
        </w:rPr>
        <w:tab/>
        <w:t>Smith T.J. et al. Recommendations for the use of WBC growth factors: American society of clinical oncology clinical practice guideline update // J. Clin. Oncol. American Society of Clinical Oncology, 2015. Vol. 33, № 28. P. 3199–3212.</w:t>
      </w:r>
    </w:p>
    <w:p w14:paraId="0476D5A9"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226.</w:t>
      </w:r>
      <w:r w:rsidRPr="006A2B13">
        <w:rPr>
          <w:noProof/>
        </w:rPr>
        <w:tab/>
        <w:t>Bilgin Y.M., De Greef G.E. Plerixafor for stem cell mobilization: The current status // Current Opinion in Hematology. Lippincott Williams and Wilkins, 2016. Vol. 23, № 1. P. 67–71.</w:t>
      </w:r>
    </w:p>
    <w:p w14:paraId="5DEF7415"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227.</w:t>
      </w:r>
      <w:r w:rsidRPr="006A2B13">
        <w:rPr>
          <w:noProof/>
        </w:rPr>
        <w:tab/>
        <w:t>Покровская О.С. Кроветворная ткань и стромальное микроокружение в процессе интенсивной терапии и мобилизации гемопоэтических стволовых клеток у больных множественной миеломой: Автореф. дис.канд.мед.наук. 2011. Vol. 153. 29 p.</w:t>
      </w:r>
    </w:p>
    <w:p w14:paraId="4645329A"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228.</w:t>
      </w:r>
      <w:r w:rsidRPr="006A2B13">
        <w:rPr>
          <w:noProof/>
        </w:rPr>
        <w:tab/>
        <w:t>Афанасьева О.И., Воинов В.А. Г.Ю.С. Экстракорпоральная гемокоррекция: терминология, языковые соответствия. СПб, 2016. P. 7–15.</w:t>
      </w:r>
    </w:p>
    <w:p w14:paraId="67B32A24"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229.</w:t>
      </w:r>
      <w:r w:rsidRPr="006A2B13">
        <w:rPr>
          <w:noProof/>
        </w:rPr>
        <w:tab/>
        <w:t xml:space="preserve">Ikeda K. et al. Adverse Events Associated With Infusion of Hematopoietic Stem </w:t>
      </w:r>
      <w:r w:rsidRPr="006A2B13">
        <w:rPr>
          <w:noProof/>
        </w:rPr>
        <w:lastRenderedPageBreak/>
        <w:t>Cell Products: A Prospective and Multicenter Surveillance Study // Transfusion Medicine Reviews. W.B. Saunders, 2018. Vol. 32, № 3. P. 186–194.</w:t>
      </w:r>
    </w:p>
    <w:p w14:paraId="5F648C01"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230.</w:t>
      </w:r>
      <w:r w:rsidRPr="006A2B13">
        <w:rPr>
          <w:noProof/>
        </w:rPr>
        <w:tab/>
        <w:t>Sutherland D.R. et al. The ISHAGE guidelines for CD34+ cell determination by flow cytometry // Journal of Hematotherapy and Stem Cell Research. J Hematother, 1996. Vol. 5, № 3. P. 213–226.</w:t>
      </w:r>
    </w:p>
    <w:p w14:paraId="2F5BF5E7"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231.</w:t>
      </w:r>
      <w:r w:rsidRPr="006A2B13">
        <w:rPr>
          <w:noProof/>
        </w:rPr>
        <w:tab/>
        <w:t>Enric Carreras D.C., Mohty Mohamad K.N. Hematopoietic Stem Cell Transplantation and Cellular Therapies. 2019. 702 p.</w:t>
      </w:r>
    </w:p>
    <w:p w14:paraId="75F57C33"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232.</w:t>
      </w:r>
      <w:r w:rsidRPr="006A2B13">
        <w:rPr>
          <w:noProof/>
        </w:rPr>
        <w:tab/>
        <w:t>Frankiewicz A. et al. Comparable safety profile of BeEAM (bendamustine, etoposide, cytarabine, melphalan) and BEAM (carmustine, etoposide, cytarabine, melphalan) as conditioning before autologous haematopoietic cell transplantation. // Contemp. Oncol. (Poznan, Poland). Termedia Publishing, 2018. Vol. 22, № 2. P. 113–117.</w:t>
      </w:r>
    </w:p>
    <w:p w14:paraId="65AAB633"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233.</w:t>
      </w:r>
      <w:r w:rsidRPr="006A2B13">
        <w:rPr>
          <w:noProof/>
        </w:rPr>
        <w:tab/>
        <w:t>Caballero M.D. et al. BEAM chemotherapy followed by autologous stem cell support in lymphoma patients: analysis of efficacy, toxicity and prognostic factors // Bone Marrow Transplant. Bone Marrow Transplant, 1997. Vol. 20, № 6.</w:t>
      </w:r>
    </w:p>
    <w:p w14:paraId="611C9E2A"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234.</w:t>
      </w:r>
      <w:r w:rsidRPr="006A2B13">
        <w:rPr>
          <w:noProof/>
        </w:rPr>
        <w:tab/>
        <w:t>Mills W. et al. BEAM chemotherapy and autologous bone marrow transplantation for patients with relapsed or refractory non-Hodgkin’s lymphoma. // J. Clin. Oncol. J Clin Oncol, 1995. Vol. 13, № 3. P. 588–595.</w:t>
      </w:r>
    </w:p>
    <w:p w14:paraId="21EC90B8"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235.</w:t>
      </w:r>
      <w:r w:rsidRPr="006A2B13">
        <w:rPr>
          <w:noProof/>
        </w:rPr>
        <w:tab/>
        <w:t>Colita A. et al. LEAM vs. BEAM vs. CLV Conditioning Regimen for Autologous Stem Cell Transplantation in Malignant Lymphomas. Retrospective Comparison of Toxicity and Efficacy on 222 Patients in the First 100 Days After Transplant, On Behalf of the Romanian Society for Bon // Front. Oncol. Front Oncol, 2019. Vol. 9. P. 892.</w:t>
      </w:r>
    </w:p>
    <w:p w14:paraId="0B78A60F"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236.</w:t>
      </w:r>
      <w:r w:rsidRPr="006A2B13">
        <w:rPr>
          <w:noProof/>
        </w:rPr>
        <w:tab/>
        <w:t>Sharma A. et al. Comparison of BEAM vs. LEAM regimen in autologous transplant for lymphoma at AIIMS. // Springerplus. Springerplus, 2013. Vol. 2. P. 489.</w:t>
      </w:r>
    </w:p>
    <w:p w14:paraId="2E873E4E"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237.</w:t>
      </w:r>
      <w:r w:rsidRPr="006A2B13">
        <w:rPr>
          <w:noProof/>
        </w:rPr>
        <w:tab/>
        <w:t>Perz J.B. et al. LACE-conditioned autologous stem cell transplantation for relapsed or refractory Hodgkin’s lymphoma: treatment outcome and risk factor analysis in 67 patients from a single centre. // Bone Marrow Transplant. Bone Marrow Transplant, 2007. Vol. 39, № 1. P. 41–47.</w:t>
      </w:r>
    </w:p>
    <w:p w14:paraId="156DFA4C"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238.</w:t>
      </w:r>
      <w:r w:rsidRPr="006A2B13">
        <w:rPr>
          <w:noProof/>
        </w:rPr>
        <w:tab/>
        <w:t>Ramzi M. et al. Autologous noncryopreserved hematopoietic stem cell transplant with CEAM as a modified conditioning regimen in patients with Hodgkin lymphoma: a single-center experience with a new protocol. // Exp. Clin. Transplant. Exp Clin Transplant, 2012. Vol. 10, № 2. P. 163–167.</w:t>
      </w:r>
    </w:p>
    <w:p w14:paraId="372805C9"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239.</w:t>
      </w:r>
      <w:r w:rsidRPr="006A2B13">
        <w:rPr>
          <w:noProof/>
        </w:rPr>
        <w:tab/>
        <w:t xml:space="preserve">Visani G. et al. XRCC1 399GG genotype predicts significantly longer overall survival in resistant lymphoma patients treated with Benda-EAM and ASCT // Bone </w:t>
      </w:r>
      <w:r w:rsidRPr="006A2B13">
        <w:rPr>
          <w:noProof/>
        </w:rPr>
        <w:lastRenderedPageBreak/>
        <w:t>Marrow Transplant. Nature Publishing Group, 2020. Vol. 55, № 4. P. 818–820.</w:t>
      </w:r>
    </w:p>
    <w:p w14:paraId="1572B123"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240.</w:t>
      </w:r>
      <w:r w:rsidRPr="006A2B13">
        <w:rPr>
          <w:noProof/>
        </w:rPr>
        <w:tab/>
        <w:t>Visani G. et al. BeEAM (bendamustine, etoposide, cytarabine, melphalan) before autologous stem cell transplantation is safe and effective for resistant/relapsed lymphoma patients. // Blood. 2011. Vol. 118, № 12. P. 3419–3425.</w:t>
      </w:r>
    </w:p>
    <w:p w14:paraId="6C023945"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241.</w:t>
      </w:r>
      <w:r w:rsidRPr="006A2B13">
        <w:rPr>
          <w:noProof/>
        </w:rPr>
        <w:tab/>
        <w:t>Omuro A. et al. R-MPV followed by high-dose chemotherapy with TBC and autologous stem-cell transplant for newly diagnosed primary CNS lymphoma. // Blood. Blood, 2015. Vol. 125, № 9. P. 1403–1410.</w:t>
      </w:r>
    </w:p>
    <w:p w14:paraId="2C5BF6B1"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242.</w:t>
      </w:r>
      <w:r w:rsidRPr="006A2B13">
        <w:rPr>
          <w:noProof/>
        </w:rPr>
        <w:tab/>
        <w:t>DeFilipp Z. et al. High-dose chemotherapy with thiotepa, busulfan, and cyclophosphamide and autologous stem cell transplantation for patients with primary central nervous system lymphoma in first complete remission. // Cancer. Cancer, 2017. Vol. 123, № 16. P. 3073–3079.</w:t>
      </w:r>
    </w:p>
    <w:p w14:paraId="5F13AA0F"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243.</w:t>
      </w:r>
      <w:r w:rsidRPr="006A2B13">
        <w:rPr>
          <w:noProof/>
        </w:rPr>
        <w:tab/>
        <w:t>Conn H.O., Poynard T. Corticosteroids and peptic ulcer: meta-analysis of adverse events during steroid therapy. // J. Intern. Med. J Intern Med, 1994. Vol. 236, № 6. P. 619–632.</w:t>
      </w:r>
    </w:p>
    <w:p w14:paraId="106FDF6A"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244.</w:t>
      </w:r>
      <w:r w:rsidRPr="006A2B13">
        <w:rPr>
          <w:noProof/>
        </w:rPr>
        <w:tab/>
        <w:t>Hu Z.-H. et al. Efficacy of proton pump inhibitors for patients with duodenal ulcers: A pairwise and network meta-analysis of randomized controlled trials // Saudi J. Gastroenterol. Medknow Publications, 2017. Vol. 23, № 1. P. 11.</w:t>
      </w:r>
    </w:p>
    <w:p w14:paraId="2EDA9071"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245.</w:t>
      </w:r>
      <w:r w:rsidRPr="006A2B13">
        <w:rPr>
          <w:noProof/>
        </w:rPr>
        <w:tab/>
        <w:t>Lanas A., Chan F.K.L. Peptic ulcer disease. // Lancet (London, England). Lancet, 2017. Vol. 390, № 10094. P. 613–624.</w:t>
      </w:r>
    </w:p>
    <w:p w14:paraId="11E41BF7"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246.</w:t>
      </w:r>
      <w:r w:rsidRPr="006A2B13">
        <w:rPr>
          <w:noProof/>
        </w:rPr>
        <w:tab/>
        <w:t>Auner H.W. et al. Infectious complications after autologous hematopoietic stem cell transplantation: Comparison of patients with acute myeloid leukemia, malignant lymphoma, and multiple myeloma // Ann. Hematol. Ann Hematol, 2002. Vol. 81, № 7. P. 374–377.</w:t>
      </w:r>
    </w:p>
    <w:p w14:paraId="77118F32"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247.</w:t>
      </w:r>
      <w:r w:rsidRPr="006A2B13">
        <w:rPr>
          <w:noProof/>
        </w:rPr>
        <w:tab/>
        <w:t>Gil L., Styczynski J., Komarnicki M. Infectious complication in 314 patients after high-dose therapy and autologous hematopoietic stem cell transplantation: Risk factors analysis and outcome // Infection. Infection, 2007. Vol. 35, № 6. P. 421–427.</w:t>
      </w:r>
    </w:p>
    <w:p w14:paraId="77AF6167"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248.</w:t>
      </w:r>
      <w:r w:rsidRPr="006A2B13">
        <w:rPr>
          <w:noProof/>
        </w:rPr>
        <w:tab/>
        <w:t>Eleutherakis-Papaiakovou E. et al. Prophylactic antibiotics for the prevention of neutropenic fever in patients undergoing autologous stem-cell transplantation: Results of a single institution, randomized phase 2 trial // Am. J. Hematol. Am J Hematol, 2010. Vol. 85, № 11. P. 863–867.</w:t>
      </w:r>
    </w:p>
    <w:p w14:paraId="1E38B085"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249.</w:t>
      </w:r>
      <w:r w:rsidRPr="006A2B13">
        <w:rPr>
          <w:noProof/>
        </w:rPr>
        <w:tab/>
        <w:t>Moghnieh R. et al. Bacteraemia post-autologous haematopoietic stem cell transplantation in the absence of antibacterial prophylaxis: a decade’s experience from Lebanon // Infection. Urban und Vogel GmbH, 2018. Vol. 46, № 6.</w:t>
      </w:r>
    </w:p>
    <w:p w14:paraId="7FD89AC8"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250.</w:t>
      </w:r>
      <w:r w:rsidRPr="006A2B13">
        <w:rPr>
          <w:noProof/>
        </w:rPr>
        <w:tab/>
        <w:t xml:space="preserve">Клясова Г.А. et al. Эмпирическая антимикробная терапия у больных острыми лейкозами: итоги многоцентрового исследования // Терапевтический архив. </w:t>
      </w:r>
      <w:r w:rsidRPr="006A2B13">
        <w:rPr>
          <w:noProof/>
        </w:rPr>
        <w:lastRenderedPageBreak/>
        <w:t>1998. Vol. 70, № 7. P. 15–21.</w:t>
      </w:r>
    </w:p>
    <w:p w14:paraId="33B6DAE6"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251.</w:t>
      </w:r>
      <w:r w:rsidRPr="006A2B13">
        <w:rPr>
          <w:noProof/>
        </w:rPr>
        <w:tab/>
        <w:t>Савченко В.Г. и др. Алгоритмы диагностики и протоколы лечения заболеваний системы крови. Москва: Практика, 2018. 1008 p.</w:t>
      </w:r>
    </w:p>
    <w:p w14:paraId="08F8874B"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252.</w:t>
      </w:r>
      <w:r w:rsidRPr="006A2B13">
        <w:rPr>
          <w:noProof/>
        </w:rPr>
        <w:tab/>
        <w:t>Terpos E. et al. European myeloma network guidelines for the management of multiple myeloma-related complications // Haematologica. Ferrata Storti Foundation, 2015. Vol. 100, № 10. P. 1254–1266.</w:t>
      </w:r>
    </w:p>
    <w:p w14:paraId="416B04A3"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253.</w:t>
      </w:r>
      <w:r w:rsidRPr="006A2B13">
        <w:rPr>
          <w:noProof/>
        </w:rPr>
        <w:tab/>
        <w:t>Maertens J. et al. ECIL guidelines for preventing Pneumocystis jirovecii pneumonia in patients with haematological malignancies and stem cell transplant recipients // Journal of Antimicrobial Chemotherapy. Oxford University Press, 2016. Vol. 71, № 9. P. 1–8.</w:t>
      </w:r>
    </w:p>
    <w:p w14:paraId="419DCA7D"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254.</w:t>
      </w:r>
      <w:r w:rsidRPr="006A2B13">
        <w:rPr>
          <w:noProof/>
        </w:rPr>
        <w:tab/>
        <w:t>Virizuela J.A. et al. Nutritional support and parenteral nutrition in cancer patients: an expert consensus report // Clin. Transl. Oncol. Springer-Verlag Italia s.r.l., 2018. Vol. 20, № 5. P. 619–629.</w:t>
      </w:r>
    </w:p>
    <w:p w14:paraId="5D6DFF1D"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255.</w:t>
      </w:r>
      <w:r w:rsidRPr="006A2B13">
        <w:rPr>
          <w:noProof/>
        </w:rPr>
        <w:tab/>
        <w:t>Бесова Н.С., Борисова Т.Н., Ларионова В.Б., Лейдерман И.Н., Обухова О.А., Попова Т.С., Салтанов А.И., Сельчук В.Ю., Снеговой А.В., Ткачев С.И., Тюляндин С.А. Ш.А.И. Клинические рекомендации по нутритивной поддержке при химиотерапии и/или лучевой терапии. 2014.</w:t>
      </w:r>
    </w:p>
    <w:p w14:paraId="5FE0F657"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256.</w:t>
      </w:r>
      <w:r w:rsidRPr="006A2B13">
        <w:rPr>
          <w:noProof/>
        </w:rPr>
        <w:tab/>
        <w:t>Arends J. et al. ESPEN guidelines on nutrition in cancer patients // Clin. Nutr. Churchill Livingstone, 2017. Vol. 36, № 1. P. 11–48.</w:t>
      </w:r>
    </w:p>
    <w:p w14:paraId="54575CA4"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257.</w:t>
      </w:r>
      <w:r w:rsidRPr="006A2B13">
        <w:rPr>
          <w:noProof/>
        </w:rPr>
        <w:tab/>
        <w:t>Camblor-Álvarez M. et al. Soporte nutricional y nutrición parenteral en el paciente oncológico: informe de consenso de un grupo de expertos // Nutr. Hosp. ARAN Ediciones, 2018. Vol. 35, № 1.</w:t>
      </w:r>
    </w:p>
    <w:p w14:paraId="3689F524"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258.</w:t>
      </w:r>
      <w:r w:rsidRPr="006A2B13">
        <w:rPr>
          <w:noProof/>
        </w:rPr>
        <w:tab/>
        <w:t>Baiu I., Spain D.A. Parenteral Nutrition // JAMA - Journal of the American Medical Association. American Medical Association, 2019. Vol. 321, № 21. P. 2142.</w:t>
      </w:r>
    </w:p>
    <w:p w14:paraId="658E3FB1"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259.</w:t>
      </w:r>
      <w:r w:rsidRPr="006A2B13">
        <w:rPr>
          <w:noProof/>
        </w:rPr>
        <w:tab/>
        <w:t>Oken M.M. et al. Toxicity and response criteria of the Eastern Cooperative Oncology Group // Am. J. Clin. Oncol. 1982. Vol. 5, № 6. P. 649–655.</w:t>
      </w:r>
    </w:p>
    <w:p w14:paraId="1D2E4C6F"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260.</w:t>
      </w:r>
      <w:r w:rsidRPr="006A2B13">
        <w:rPr>
          <w:noProof/>
        </w:rPr>
        <w:tab/>
        <w:t>Meignan M., Gallamini A., Haioun C. Report on the First International Workshop on interim-PET scan in lymphoma // Leukemia and Lymphoma. 2009. Vol. 50, № 8. P. 1257–1260.</w:t>
      </w:r>
    </w:p>
    <w:p w14:paraId="1436FDB7" w14:textId="77777777" w:rsidR="006A2B13" w:rsidRPr="006A2B13" w:rsidRDefault="006A2B13" w:rsidP="006A2B13">
      <w:pPr>
        <w:widowControl w:val="0"/>
        <w:autoSpaceDE w:val="0"/>
        <w:autoSpaceDN w:val="0"/>
        <w:adjustRightInd w:val="0"/>
        <w:spacing w:line="360" w:lineRule="auto"/>
        <w:ind w:left="640" w:hanging="640"/>
        <w:rPr>
          <w:noProof/>
        </w:rPr>
      </w:pPr>
      <w:r w:rsidRPr="006A2B13">
        <w:rPr>
          <w:noProof/>
        </w:rPr>
        <w:t>261.</w:t>
      </w:r>
      <w:r w:rsidRPr="006A2B13">
        <w:rPr>
          <w:noProof/>
        </w:rPr>
        <w:tab/>
        <w:t>Khorana A. et al. Development and validation of a predictive model for chemotherapy- associated thrombosis // Blood. 2008. Vol. 111, № 10. P. 4902–4907.</w:t>
      </w:r>
    </w:p>
    <w:p w14:paraId="3BF3D12B" w14:textId="1CB02296" w:rsidR="0025228A" w:rsidRPr="000322E4" w:rsidRDefault="008762E9" w:rsidP="006A2B13">
      <w:pPr>
        <w:widowControl w:val="0"/>
        <w:autoSpaceDE w:val="0"/>
        <w:autoSpaceDN w:val="0"/>
        <w:adjustRightInd w:val="0"/>
        <w:spacing w:line="360" w:lineRule="auto"/>
        <w:ind w:left="640" w:hanging="640"/>
      </w:pPr>
      <w:r w:rsidRPr="000322E4">
        <w:fldChar w:fldCharType="end"/>
      </w:r>
    </w:p>
    <w:p w14:paraId="13AC232F" w14:textId="77777777" w:rsidR="00F42D54" w:rsidRPr="000322E4" w:rsidRDefault="00F42D54" w:rsidP="00F414BF">
      <w:pPr>
        <w:pStyle w:val="afff2"/>
      </w:pPr>
      <w:bookmarkStart w:id="81" w:name="_Toc96601268"/>
      <w:bookmarkStart w:id="82" w:name="__RefHeading___doc_a2"/>
      <w:bookmarkEnd w:id="80"/>
      <w:r w:rsidRPr="000322E4">
        <w:lastRenderedPageBreak/>
        <w:t>Приложение А1. Состав рабочей группы по разработке и пересмотру клинических рекомендаций</w:t>
      </w:r>
      <w:bookmarkEnd w:id="81"/>
    </w:p>
    <w:p w14:paraId="4DCE7D44" w14:textId="77777777" w:rsidR="00F42D54" w:rsidRPr="000322E4" w:rsidRDefault="00F42D54" w:rsidP="00F414BF">
      <w:pPr>
        <w:pStyle w:val="afe"/>
        <w:numPr>
          <w:ilvl w:val="0"/>
          <w:numId w:val="24"/>
        </w:numPr>
      </w:pPr>
      <w:r w:rsidRPr="000322E4">
        <w:rPr>
          <w:b/>
          <w:bCs/>
        </w:rPr>
        <w:t xml:space="preserve">Тумян Гаяне Сергеевна </w:t>
      </w:r>
      <w:r w:rsidRPr="000322E4">
        <w:t>– д.м.н., профессор, профессор кафедры онкологии и паллиативной медицины Российской медицинской академии непрерывного профессионального образования Минздрава России, ведущий научный сотрудник отделения химиотерапии гемобластозов «НМИЦ онкологии им. Н.Н. Блохина» Минздрава России, член правления Российского общества онкогематологов.</w:t>
      </w:r>
    </w:p>
    <w:p w14:paraId="05A88694" w14:textId="77777777" w:rsidR="00F42D54" w:rsidRPr="000322E4" w:rsidRDefault="00F42D54" w:rsidP="00F414BF">
      <w:pPr>
        <w:pStyle w:val="afe"/>
        <w:numPr>
          <w:ilvl w:val="0"/>
          <w:numId w:val="24"/>
        </w:numPr>
      </w:pPr>
      <w:r w:rsidRPr="000322E4">
        <w:rPr>
          <w:b/>
        </w:rPr>
        <w:t xml:space="preserve">Османов Евгений Александрович </w:t>
      </w:r>
      <w:r w:rsidRPr="000322E4">
        <w:t>–</w:t>
      </w:r>
      <w:r w:rsidRPr="000322E4">
        <w:rPr>
          <w:b/>
        </w:rPr>
        <w:t xml:space="preserve"> </w:t>
      </w:r>
      <w:r w:rsidRPr="000322E4">
        <w:rPr>
          <w:bCs/>
        </w:rPr>
        <w:t xml:space="preserve">д.м.н., профессор, зав. отделом гематологии и трансплантации костного мозга ФГБУ «НМИЦ онкологии им. Н.Н. Блохина» Минздрава России, профессор кафедры онкологии ФГАОУ ВО Первый МГМУ имени И.М. Сеченова Минздрава России, </w:t>
      </w:r>
      <w:r w:rsidRPr="000322E4">
        <w:t>член правления Российского общества онкогематологов.</w:t>
      </w:r>
    </w:p>
    <w:p w14:paraId="2D3F8C52" w14:textId="77777777" w:rsidR="00F42D54" w:rsidRPr="002A535B" w:rsidRDefault="00F42D54" w:rsidP="00F414BF">
      <w:pPr>
        <w:pStyle w:val="afe"/>
        <w:numPr>
          <w:ilvl w:val="0"/>
          <w:numId w:val="24"/>
        </w:numPr>
        <w:rPr>
          <w:color w:val="000000" w:themeColor="text1"/>
        </w:rPr>
      </w:pPr>
      <w:r w:rsidRPr="000322E4">
        <w:rPr>
          <w:b/>
          <w:bCs/>
        </w:rPr>
        <w:t>Кравченко Сергей Кириллович</w:t>
      </w:r>
      <w:r w:rsidRPr="000322E4">
        <w:t xml:space="preserve"> – к.м.н., доцент, зав. отделением интенсивной высокодозной химиотерапии с круглосуточным и дневным стационаром ФГБУ «</w:t>
      </w:r>
      <w:r w:rsidRPr="002A535B">
        <w:rPr>
          <w:color w:val="000000" w:themeColor="text1"/>
        </w:rPr>
        <w:t>НМИЦ гематологии» Минздрава России, член Национального гематологического общества</w:t>
      </w:r>
    </w:p>
    <w:p w14:paraId="07F38627" w14:textId="64DA0CE0" w:rsidR="00E008AD" w:rsidRPr="002A535B" w:rsidRDefault="00E008AD" w:rsidP="00163AA0">
      <w:pPr>
        <w:pStyle w:val="afe"/>
        <w:numPr>
          <w:ilvl w:val="0"/>
          <w:numId w:val="24"/>
        </w:numPr>
        <w:rPr>
          <w:color w:val="000000" w:themeColor="text1"/>
        </w:rPr>
      </w:pPr>
      <w:r w:rsidRPr="002A535B">
        <w:rPr>
          <w:b/>
          <w:bCs/>
          <w:color w:val="000000" w:themeColor="text1"/>
        </w:rPr>
        <w:t>Магомедова</w:t>
      </w:r>
      <w:r w:rsidR="004B346B" w:rsidRPr="002A535B">
        <w:rPr>
          <w:b/>
          <w:bCs/>
          <w:color w:val="000000" w:themeColor="text1"/>
        </w:rPr>
        <w:t xml:space="preserve"> Аминат Умарасхабовна </w:t>
      </w:r>
      <w:r w:rsidR="00E00D75" w:rsidRPr="002A535B">
        <w:rPr>
          <w:color w:val="000000" w:themeColor="text1"/>
        </w:rPr>
        <w:t>– д.м.н.,</w:t>
      </w:r>
      <w:r w:rsidR="00163AA0" w:rsidRPr="002A535B">
        <w:rPr>
          <w:color w:val="000000" w:themeColor="text1"/>
        </w:rPr>
        <w:t xml:space="preserve"> ведущий научный сотрудник отделения интенсивной высокодозной химиотерапии с круглосуточным и дневным стационаром ФГБУ «НМИЦ гематологии» Минздрава России, член Национального гематологического общества</w:t>
      </w:r>
    </w:p>
    <w:p w14:paraId="34CE534B" w14:textId="260395A9" w:rsidR="00E008AD" w:rsidRPr="002A535B" w:rsidRDefault="00E008AD" w:rsidP="00163AA0">
      <w:pPr>
        <w:pStyle w:val="afe"/>
        <w:numPr>
          <w:ilvl w:val="0"/>
          <w:numId w:val="24"/>
        </w:numPr>
        <w:rPr>
          <w:color w:val="000000" w:themeColor="text1"/>
          <w:szCs w:val="24"/>
        </w:rPr>
      </w:pPr>
      <w:r w:rsidRPr="002A535B">
        <w:rPr>
          <w:b/>
          <w:bCs/>
          <w:color w:val="000000" w:themeColor="text1"/>
        </w:rPr>
        <w:t>Звонков</w:t>
      </w:r>
      <w:r w:rsidR="004B346B" w:rsidRPr="002A535B">
        <w:rPr>
          <w:b/>
          <w:bCs/>
          <w:color w:val="000000" w:themeColor="text1"/>
        </w:rPr>
        <w:t xml:space="preserve"> Евгений Евгеньевич </w:t>
      </w:r>
      <w:r w:rsidR="00E00D75" w:rsidRPr="002A535B">
        <w:rPr>
          <w:color w:val="000000" w:themeColor="text1"/>
        </w:rPr>
        <w:t>– д.м.н.,</w:t>
      </w:r>
      <w:r w:rsidR="00163AA0" w:rsidRPr="002A535B">
        <w:rPr>
          <w:color w:val="000000" w:themeColor="text1"/>
        </w:rPr>
        <w:t xml:space="preserve"> </w:t>
      </w:r>
      <w:r w:rsidR="00163AA0" w:rsidRPr="002A535B">
        <w:rPr>
          <w:color w:val="000000" w:themeColor="text1"/>
          <w:szCs w:val="24"/>
        </w:rPr>
        <w:t xml:space="preserve">заведующий отделением высокодозной химиотерапии лимфом ФГБУ «НМИЦ гематологии» Минздрава России, </w:t>
      </w:r>
      <w:r w:rsidR="00163AA0" w:rsidRPr="002A535B">
        <w:rPr>
          <w:color w:val="000000" w:themeColor="text1"/>
        </w:rPr>
        <w:t>член Национального гематологического общества</w:t>
      </w:r>
    </w:p>
    <w:p w14:paraId="61596869" w14:textId="16BFB687" w:rsidR="00E008AD" w:rsidRPr="002A535B" w:rsidRDefault="00E008AD" w:rsidP="00F414BF">
      <w:pPr>
        <w:pStyle w:val="afe"/>
        <w:numPr>
          <w:ilvl w:val="0"/>
          <w:numId w:val="24"/>
        </w:numPr>
        <w:rPr>
          <w:color w:val="000000" w:themeColor="text1"/>
        </w:rPr>
      </w:pPr>
      <w:r w:rsidRPr="002A535B">
        <w:rPr>
          <w:b/>
          <w:bCs/>
          <w:color w:val="000000" w:themeColor="text1"/>
        </w:rPr>
        <w:t>Мангасарова</w:t>
      </w:r>
      <w:r w:rsidR="004B346B" w:rsidRPr="002A535B">
        <w:rPr>
          <w:b/>
          <w:bCs/>
          <w:color w:val="000000" w:themeColor="text1"/>
        </w:rPr>
        <w:t xml:space="preserve"> Яна Константиновна </w:t>
      </w:r>
      <w:r w:rsidR="00E00D75" w:rsidRPr="002A535B">
        <w:rPr>
          <w:b/>
          <w:bCs/>
          <w:color w:val="000000" w:themeColor="text1"/>
        </w:rPr>
        <w:t xml:space="preserve">– </w:t>
      </w:r>
      <w:r w:rsidR="00E00D75" w:rsidRPr="002A535B">
        <w:rPr>
          <w:bCs/>
          <w:color w:val="000000" w:themeColor="text1"/>
        </w:rPr>
        <w:t>к.м.н.,</w:t>
      </w:r>
      <w:r w:rsidR="00163AA0" w:rsidRPr="002A535B">
        <w:rPr>
          <w:bCs/>
          <w:color w:val="000000" w:themeColor="text1"/>
        </w:rPr>
        <w:t xml:space="preserve"> заведующая дневным стационаром </w:t>
      </w:r>
      <w:r w:rsidR="00163AA0" w:rsidRPr="002A535B">
        <w:rPr>
          <w:color w:val="000000" w:themeColor="text1"/>
        </w:rPr>
        <w:t>отделения интенсивной высокодозной химиотерапии с круглосуточным и дневным стационаром ФГБУ «НМИЦ гематологии» Минздрава России, член Национального гематологического общества</w:t>
      </w:r>
    </w:p>
    <w:p w14:paraId="56E60A27" w14:textId="728FFA59" w:rsidR="002B055B" w:rsidRPr="002A535B" w:rsidRDefault="00E008AD" w:rsidP="002B055B">
      <w:pPr>
        <w:pStyle w:val="afe"/>
        <w:numPr>
          <w:ilvl w:val="0"/>
          <w:numId w:val="24"/>
        </w:numPr>
        <w:rPr>
          <w:color w:val="000000" w:themeColor="text1"/>
        </w:rPr>
      </w:pPr>
      <w:r w:rsidRPr="002A535B">
        <w:rPr>
          <w:b/>
          <w:bCs/>
          <w:color w:val="000000" w:themeColor="text1"/>
        </w:rPr>
        <w:t>Шмаков Роман Георгиевич</w:t>
      </w:r>
      <w:r w:rsidR="004B346B" w:rsidRPr="002A535B">
        <w:rPr>
          <w:b/>
          <w:bCs/>
          <w:color w:val="000000" w:themeColor="text1"/>
        </w:rPr>
        <w:t xml:space="preserve"> </w:t>
      </w:r>
      <w:r w:rsidR="00E00D75" w:rsidRPr="002A535B">
        <w:rPr>
          <w:color w:val="000000" w:themeColor="text1"/>
        </w:rPr>
        <w:t>– д.м.н.,</w:t>
      </w:r>
      <w:r w:rsidR="002B055B" w:rsidRPr="002A535B">
        <w:rPr>
          <w:color w:val="000000" w:themeColor="text1"/>
        </w:rPr>
        <w:t xml:space="preserve"> профессор, директор института акушерства </w:t>
      </w:r>
      <w:r w:rsidR="002B055B" w:rsidRPr="002A535B">
        <w:rPr>
          <w:rFonts w:cs="Times New Roman"/>
          <w:color w:val="000000" w:themeColor="text1"/>
          <w:szCs w:val="24"/>
          <w:shd w:val="clear" w:color="auto" w:fill="FFFFFF"/>
        </w:rPr>
        <w:t>ФГБУ «НМИЦ акушерства, гинекологии и перинатологии им. академика В.И.Кулакова» Минздрава России</w:t>
      </w:r>
      <w:r w:rsidR="00982F80" w:rsidRPr="002A535B">
        <w:rPr>
          <w:rFonts w:cs="Times New Roman"/>
          <w:color w:val="000000" w:themeColor="text1"/>
          <w:szCs w:val="24"/>
          <w:shd w:val="clear" w:color="auto" w:fill="FFFFFF"/>
        </w:rPr>
        <w:t xml:space="preserve">, </w:t>
      </w:r>
      <w:r w:rsidR="00982F80" w:rsidRPr="002A535B">
        <w:rPr>
          <w:color w:val="000000" w:themeColor="text1"/>
          <w:szCs w:val="24"/>
        </w:rPr>
        <w:t>главный внештатный специалист по акушерству Минздрава России</w:t>
      </w:r>
    </w:p>
    <w:p w14:paraId="2B703DBE" w14:textId="1C81F614" w:rsidR="00E008AD" w:rsidRPr="002A535B" w:rsidRDefault="00E008AD" w:rsidP="00F414BF">
      <w:pPr>
        <w:pStyle w:val="afe"/>
        <w:numPr>
          <w:ilvl w:val="0"/>
          <w:numId w:val="24"/>
        </w:numPr>
        <w:rPr>
          <w:color w:val="000000" w:themeColor="text1"/>
        </w:rPr>
      </w:pPr>
      <w:r w:rsidRPr="002A535B">
        <w:rPr>
          <w:b/>
          <w:bCs/>
          <w:color w:val="000000" w:themeColor="text1"/>
        </w:rPr>
        <w:t>Полушкина Евгения Сергеевна</w:t>
      </w:r>
      <w:r w:rsidR="004B346B" w:rsidRPr="002A535B">
        <w:rPr>
          <w:b/>
          <w:bCs/>
          <w:color w:val="000000" w:themeColor="text1"/>
        </w:rPr>
        <w:t xml:space="preserve"> </w:t>
      </w:r>
      <w:r w:rsidR="00E00D75" w:rsidRPr="002A535B">
        <w:rPr>
          <w:b/>
          <w:bCs/>
          <w:color w:val="000000" w:themeColor="text1"/>
        </w:rPr>
        <w:t xml:space="preserve">– </w:t>
      </w:r>
      <w:r w:rsidR="00E00D75" w:rsidRPr="002A535B">
        <w:rPr>
          <w:bCs/>
          <w:color w:val="000000" w:themeColor="text1"/>
        </w:rPr>
        <w:t>к.м.н.,</w:t>
      </w:r>
      <w:r w:rsidR="002B055B" w:rsidRPr="002A535B">
        <w:rPr>
          <w:rFonts w:ascii="Arial" w:hAnsi="Arial" w:cs="Arial"/>
          <w:color w:val="000000" w:themeColor="text1"/>
          <w:sz w:val="26"/>
          <w:szCs w:val="26"/>
          <w:shd w:val="clear" w:color="auto" w:fill="FFFFFF"/>
        </w:rPr>
        <w:t xml:space="preserve"> </w:t>
      </w:r>
      <w:r w:rsidR="002B055B" w:rsidRPr="002A535B">
        <w:rPr>
          <w:rFonts w:cs="Times New Roman"/>
          <w:color w:val="000000" w:themeColor="text1"/>
          <w:szCs w:val="24"/>
          <w:shd w:val="clear" w:color="auto" w:fill="FFFFFF"/>
        </w:rPr>
        <w:t>старший научный сотрудник ФГБУ «НМИЦ акушерства, гинекологии и перинатологии им. академика В.И.Кулакова» Минздрава России</w:t>
      </w:r>
    </w:p>
    <w:p w14:paraId="79F6F43C" w14:textId="77777777" w:rsidR="00F42D54" w:rsidRPr="000322E4" w:rsidRDefault="00F42D54" w:rsidP="00F414BF">
      <w:pPr>
        <w:pStyle w:val="afe"/>
        <w:numPr>
          <w:ilvl w:val="0"/>
          <w:numId w:val="24"/>
        </w:numPr>
      </w:pPr>
      <w:r w:rsidRPr="000322E4">
        <w:rPr>
          <w:b/>
        </w:rPr>
        <w:lastRenderedPageBreak/>
        <w:t xml:space="preserve">Фалалеева Наталья Александровна </w:t>
      </w:r>
      <w:r w:rsidRPr="000322E4">
        <w:t>– д.м.н., зав. отделением противоопухолевого лекарственного лечения МРНЦ им. А.Ф. Цыба – филиал ФГБУ «НМИЦ радиологии» Минздрава России, член Ассоциации онкологов России и Российской Ассоциации терапевтических радиационных онкологов.</w:t>
      </w:r>
    </w:p>
    <w:p w14:paraId="1204A8D2" w14:textId="77777777" w:rsidR="00F42D54" w:rsidRPr="000322E4" w:rsidRDefault="00F42D54" w:rsidP="00F414BF">
      <w:pPr>
        <w:pStyle w:val="afe"/>
        <w:numPr>
          <w:ilvl w:val="0"/>
          <w:numId w:val="24"/>
        </w:numPr>
      </w:pPr>
      <w:r w:rsidRPr="000322E4">
        <w:rPr>
          <w:b/>
        </w:rPr>
        <w:t>Барях Елена Александровна</w:t>
      </w:r>
      <w:r w:rsidRPr="000322E4">
        <w:rPr>
          <w:bCs/>
        </w:rPr>
        <w:t xml:space="preserve"> – к.м.н., зав. отделением гематологии и химиотерапии ГБК №52 г. Москвы, доцент кафедры общей терапии ФДПО РНИМУ им Н.И.Пирогова, </w:t>
      </w:r>
      <w:r w:rsidRPr="000322E4">
        <w:t>член Российского общества онкогематологов, Европейской гематологической ассоциации</w:t>
      </w:r>
    </w:p>
    <w:p w14:paraId="57CD400D" w14:textId="77777777" w:rsidR="00F42D54" w:rsidRPr="000322E4" w:rsidRDefault="00F42D54" w:rsidP="00F414BF">
      <w:pPr>
        <w:pStyle w:val="afe"/>
        <w:numPr>
          <w:ilvl w:val="0"/>
          <w:numId w:val="24"/>
        </w:numPr>
      </w:pPr>
      <w:r w:rsidRPr="000322E4">
        <w:rPr>
          <w:b/>
        </w:rPr>
        <w:t xml:space="preserve">Стефанов Дмитрий Николаевич </w:t>
      </w:r>
      <w:r w:rsidRPr="000322E4">
        <w:t>– научный сотрудник, зав. научно-организационным отделом, ФГБУ «НМИЦ ДГОИ им. Дмитрия Рогачева» Минздрава России, член Российского общества онкогематологов, Европейской гематологической ассоциации</w:t>
      </w:r>
    </w:p>
    <w:p w14:paraId="781F22AA" w14:textId="77777777" w:rsidR="00F42D54" w:rsidRPr="000322E4" w:rsidRDefault="00F42D54" w:rsidP="00F414BF">
      <w:pPr>
        <w:pStyle w:val="afe"/>
        <w:numPr>
          <w:ilvl w:val="0"/>
          <w:numId w:val="24"/>
        </w:numPr>
      </w:pPr>
      <w:r w:rsidRPr="000322E4">
        <w:rPr>
          <w:b/>
        </w:rPr>
        <w:t xml:space="preserve">Поддубная Ирина Владимировна </w:t>
      </w:r>
      <w:r w:rsidRPr="000322E4">
        <w:t>– академик РАН, заслуженный деятель образования РФ, д.м.н., профессор, зав. кафедрой онкологии и паллиативной медицины, проректор по лечебной работе и международному сотрудничеству ГБОУ ДПО РМАНПО Минздрава России, председатель Российского общества онкогематологов.</w:t>
      </w:r>
    </w:p>
    <w:p w14:paraId="5D81BBD5" w14:textId="77777777" w:rsidR="00F42D54" w:rsidRPr="000322E4" w:rsidRDefault="00F42D54" w:rsidP="00F414BF">
      <w:pPr>
        <w:pStyle w:val="afe"/>
        <w:numPr>
          <w:ilvl w:val="0"/>
          <w:numId w:val="24"/>
        </w:numPr>
      </w:pPr>
      <w:r w:rsidRPr="000322E4">
        <w:rPr>
          <w:b/>
          <w:bCs/>
        </w:rPr>
        <w:t xml:space="preserve">Михайлова Наталья Борисовна </w:t>
      </w:r>
      <w:r w:rsidRPr="000322E4">
        <w:t>– д.м.н., руководитель отдела клинической онкологии (химиотерапии) НИИ детской онкологии, гематологии и трансплантологии им. Р.М. Горбачевой, член Российского общества онкогематологов.</w:t>
      </w:r>
    </w:p>
    <w:p w14:paraId="550FBFC2" w14:textId="77777777" w:rsidR="00F42D54" w:rsidRPr="000322E4" w:rsidRDefault="00F42D54" w:rsidP="00F414BF">
      <w:pPr>
        <w:pStyle w:val="afe"/>
        <w:numPr>
          <w:ilvl w:val="0"/>
          <w:numId w:val="24"/>
        </w:numPr>
      </w:pPr>
      <w:r w:rsidRPr="000322E4">
        <w:rPr>
          <w:b/>
          <w:bCs/>
        </w:rPr>
        <w:t xml:space="preserve">Мякова Наталья Валерьевна </w:t>
      </w:r>
      <w:r w:rsidRPr="000322E4">
        <w:t>– д.м.н., профессор, Заместитель главного врача по лечебной работе, зав. отделением онкогематологии ФГБУ «НМИЦ ДГОИ им. Дмитрия Рогачева» Минздрава России, член Национального общества детских гематологов и онкологов</w:t>
      </w:r>
    </w:p>
    <w:p w14:paraId="583C4619" w14:textId="77777777" w:rsidR="00F42D54" w:rsidRPr="000322E4" w:rsidRDefault="00F42D54" w:rsidP="00F414BF">
      <w:pPr>
        <w:pStyle w:val="afe"/>
        <w:numPr>
          <w:ilvl w:val="0"/>
          <w:numId w:val="24"/>
        </w:numPr>
        <w:rPr>
          <w:rFonts w:cs="Arial"/>
          <w:lang w:eastAsia="x-none"/>
        </w:rPr>
      </w:pPr>
      <w:r w:rsidRPr="000322E4">
        <w:rPr>
          <w:rFonts w:cs="Arial"/>
          <w:b/>
          <w:bCs/>
          <w:lang w:eastAsia="x-none"/>
        </w:rPr>
        <w:t>Румянцев Александр Григорьевич</w:t>
      </w:r>
      <w:r w:rsidRPr="000322E4">
        <w:rPr>
          <w:rFonts w:cs="Arial"/>
          <w:lang w:eastAsia="x-none"/>
        </w:rPr>
        <w:t xml:space="preserve"> – академин РАН, д.м.н., профессор, генеральный директор </w:t>
      </w:r>
      <w:r w:rsidRPr="000322E4">
        <w:t>ФГБУ «НМИЦ ДГОИ им. Дмитрия Рогачева» Минздрава России, президент Национального общества детских гематологов и онкологов</w:t>
      </w:r>
    </w:p>
    <w:p w14:paraId="1B5A1802" w14:textId="77777777" w:rsidR="00F42D54" w:rsidRPr="000322E4" w:rsidRDefault="00F42D54" w:rsidP="00F414BF">
      <w:pPr>
        <w:pStyle w:val="afe"/>
        <w:numPr>
          <w:ilvl w:val="0"/>
          <w:numId w:val="24"/>
        </w:numPr>
        <w:rPr>
          <w:rFonts w:cs="Arial"/>
          <w:lang w:eastAsia="x-none"/>
        </w:rPr>
      </w:pPr>
      <w:r w:rsidRPr="000322E4">
        <w:rPr>
          <w:rFonts w:cs="Arial"/>
          <w:b/>
          <w:bCs/>
          <w:lang w:eastAsia="x-none"/>
        </w:rPr>
        <w:t>Масчан Алексей Александрович</w:t>
      </w:r>
      <w:r w:rsidRPr="000322E4">
        <w:rPr>
          <w:rFonts w:cs="Arial"/>
          <w:lang w:eastAsia="x-none"/>
        </w:rPr>
        <w:t xml:space="preserve"> – член-корр. РАН, д.м.н., профессор, зам. генерального директора </w:t>
      </w:r>
      <w:r w:rsidRPr="000322E4">
        <w:t>ФГБУ «НМИЦ ДГОИ им. Дмитрия Рогачева» Минздрава России, член правления Национального общества детских гематологов и онкологов</w:t>
      </w:r>
    </w:p>
    <w:p w14:paraId="6A57BFEB" w14:textId="77777777" w:rsidR="00F42D54" w:rsidRPr="00A567F4" w:rsidRDefault="00F42D54" w:rsidP="00F414BF">
      <w:pPr>
        <w:pStyle w:val="afe"/>
        <w:numPr>
          <w:ilvl w:val="0"/>
          <w:numId w:val="24"/>
        </w:numPr>
        <w:rPr>
          <w:color w:val="000000" w:themeColor="text1"/>
        </w:rPr>
      </w:pPr>
      <w:r w:rsidRPr="000322E4">
        <w:rPr>
          <w:b/>
          <w:bCs/>
        </w:rPr>
        <w:t xml:space="preserve">Птушкин Вадим Вадимович </w:t>
      </w:r>
      <w:r w:rsidRPr="000322E4">
        <w:rPr>
          <w:bCs/>
        </w:rPr>
        <w:t>–</w:t>
      </w:r>
      <w:r w:rsidRPr="000322E4">
        <w:rPr>
          <w:b/>
          <w:bCs/>
        </w:rPr>
        <w:t xml:space="preserve"> </w:t>
      </w:r>
      <w:r w:rsidRPr="000322E4">
        <w:t>д.м.н., профессор, заместитель главного врача по гематологии ГБУЗ «ГКБ им. С.П. Боткина», главный внештатный специалист-</w:t>
      </w:r>
      <w:r w:rsidRPr="00A567F4">
        <w:rPr>
          <w:color w:val="000000" w:themeColor="text1"/>
        </w:rPr>
        <w:lastRenderedPageBreak/>
        <w:t>гематолог Департамента здравоохранения города Москвы, член Национального гематологического общества и Российского общества онкогематологов.</w:t>
      </w:r>
    </w:p>
    <w:p w14:paraId="436A873E" w14:textId="474F98EC" w:rsidR="00F42D54" w:rsidRPr="00A567F4" w:rsidRDefault="00F42D54" w:rsidP="00F414BF">
      <w:pPr>
        <w:pStyle w:val="afe"/>
        <w:widowControl w:val="0"/>
        <w:numPr>
          <w:ilvl w:val="0"/>
          <w:numId w:val="24"/>
        </w:numPr>
        <w:autoSpaceDE w:val="0"/>
        <w:autoSpaceDN w:val="0"/>
        <w:adjustRightInd w:val="0"/>
        <w:rPr>
          <w:color w:val="000000" w:themeColor="text1"/>
          <w:szCs w:val="24"/>
        </w:rPr>
      </w:pPr>
      <w:r w:rsidRPr="00A567F4">
        <w:rPr>
          <w:b/>
          <w:color w:val="000000" w:themeColor="text1"/>
          <w:szCs w:val="24"/>
          <w:bdr w:val="single" w:sz="4" w:space="0" w:color="auto"/>
        </w:rPr>
        <w:t>Савченко В</w:t>
      </w:r>
      <w:r w:rsidR="00A567F4">
        <w:rPr>
          <w:b/>
          <w:color w:val="000000" w:themeColor="text1"/>
          <w:szCs w:val="24"/>
          <w:bdr w:val="single" w:sz="4" w:space="0" w:color="auto"/>
        </w:rPr>
        <w:t xml:space="preserve">алерий </w:t>
      </w:r>
      <w:r w:rsidRPr="00A567F4">
        <w:rPr>
          <w:b/>
          <w:color w:val="000000" w:themeColor="text1"/>
          <w:szCs w:val="24"/>
          <w:bdr w:val="single" w:sz="4" w:space="0" w:color="auto"/>
        </w:rPr>
        <w:t>Г</w:t>
      </w:r>
      <w:r w:rsidR="00A567F4">
        <w:rPr>
          <w:b/>
          <w:color w:val="000000" w:themeColor="text1"/>
          <w:szCs w:val="24"/>
          <w:bdr w:val="single" w:sz="4" w:space="0" w:color="auto"/>
        </w:rPr>
        <w:t>ригорьевич</w:t>
      </w:r>
      <w:r w:rsidR="00E00D75" w:rsidRPr="00A567F4">
        <w:rPr>
          <w:color w:val="000000" w:themeColor="text1"/>
          <w:szCs w:val="24"/>
        </w:rPr>
        <w:t xml:space="preserve"> </w:t>
      </w:r>
      <w:r w:rsidR="00A567F4">
        <w:rPr>
          <w:color w:val="000000" w:themeColor="text1"/>
          <w:szCs w:val="24"/>
        </w:rPr>
        <w:t xml:space="preserve">– </w:t>
      </w:r>
      <w:r w:rsidRPr="00A567F4">
        <w:rPr>
          <w:color w:val="000000" w:themeColor="text1"/>
        </w:rPr>
        <w:t>академик, д.м.н.</w:t>
      </w:r>
    </w:p>
    <w:p w14:paraId="5D316531" w14:textId="76AB4036" w:rsidR="00E00D75" w:rsidRPr="00A567F4" w:rsidRDefault="00F42D54" w:rsidP="00E00D75">
      <w:pPr>
        <w:pStyle w:val="afe"/>
        <w:widowControl w:val="0"/>
        <w:numPr>
          <w:ilvl w:val="0"/>
          <w:numId w:val="24"/>
        </w:numPr>
        <w:autoSpaceDE w:val="0"/>
        <w:autoSpaceDN w:val="0"/>
        <w:adjustRightInd w:val="0"/>
        <w:rPr>
          <w:color w:val="000000" w:themeColor="text1"/>
          <w:szCs w:val="24"/>
        </w:rPr>
      </w:pPr>
      <w:r w:rsidRPr="00A567F4">
        <w:rPr>
          <w:b/>
          <w:color w:val="000000" w:themeColor="text1"/>
          <w:szCs w:val="24"/>
        </w:rPr>
        <w:t>Паровичникова Е</w:t>
      </w:r>
      <w:r w:rsidR="00A567F4">
        <w:rPr>
          <w:b/>
          <w:color w:val="000000" w:themeColor="text1"/>
          <w:szCs w:val="24"/>
        </w:rPr>
        <w:t xml:space="preserve">лена </w:t>
      </w:r>
      <w:r w:rsidRPr="00A567F4">
        <w:rPr>
          <w:b/>
          <w:color w:val="000000" w:themeColor="text1"/>
          <w:szCs w:val="24"/>
        </w:rPr>
        <w:t>Н</w:t>
      </w:r>
      <w:r w:rsidR="00A567F4">
        <w:rPr>
          <w:b/>
          <w:color w:val="000000" w:themeColor="text1"/>
          <w:szCs w:val="24"/>
        </w:rPr>
        <w:t>иколаевна</w:t>
      </w:r>
      <w:r w:rsidR="00E00D75" w:rsidRPr="00A567F4">
        <w:rPr>
          <w:b/>
          <w:color w:val="000000" w:themeColor="text1"/>
          <w:szCs w:val="24"/>
        </w:rPr>
        <w:t xml:space="preserve"> – </w:t>
      </w:r>
      <w:r w:rsidRPr="00A567F4">
        <w:rPr>
          <w:color w:val="000000" w:themeColor="text1"/>
        </w:rPr>
        <w:t xml:space="preserve">д.м.н., </w:t>
      </w:r>
      <w:r w:rsidR="00E00D75" w:rsidRPr="00A567F4">
        <w:rPr>
          <w:color w:val="000000" w:themeColor="text1"/>
        </w:rPr>
        <w:t>генеральный директор ФГБУ «НМИЦ гематологии» Минздрава России, председатель Национального гематологического общества</w:t>
      </w:r>
      <w:r w:rsidR="00982F80" w:rsidRPr="00A567F4">
        <w:rPr>
          <w:color w:val="000000" w:themeColor="text1"/>
        </w:rPr>
        <w:t>, главный внештатный специалист гематолог Минздрава России</w:t>
      </w:r>
    </w:p>
    <w:p w14:paraId="2EE60674" w14:textId="794EE1D8" w:rsidR="00E00D75" w:rsidRPr="00A567F4" w:rsidRDefault="004B346B" w:rsidP="00E00D75">
      <w:pPr>
        <w:pStyle w:val="afe"/>
        <w:widowControl w:val="0"/>
        <w:numPr>
          <w:ilvl w:val="0"/>
          <w:numId w:val="24"/>
        </w:numPr>
        <w:autoSpaceDE w:val="0"/>
        <w:autoSpaceDN w:val="0"/>
        <w:adjustRightInd w:val="0"/>
        <w:rPr>
          <w:color w:val="000000" w:themeColor="text1"/>
          <w:szCs w:val="24"/>
        </w:rPr>
      </w:pPr>
      <w:r w:rsidRPr="00A567F4">
        <w:rPr>
          <w:b/>
          <w:color w:val="000000" w:themeColor="text1"/>
          <w:szCs w:val="24"/>
        </w:rPr>
        <w:t>Аль-Ради Любовь Саттаровна</w:t>
      </w:r>
      <w:r w:rsidR="00E00D75" w:rsidRPr="00A567F4">
        <w:rPr>
          <w:b/>
          <w:color w:val="000000" w:themeColor="text1"/>
          <w:szCs w:val="24"/>
        </w:rPr>
        <w:t xml:space="preserve"> </w:t>
      </w:r>
      <w:r w:rsidR="00E00D75" w:rsidRPr="00A567F4">
        <w:rPr>
          <w:color w:val="000000" w:themeColor="text1"/>
          <w:szCs w:val="24"/>
        </w:rPr>
        <w:t xml:space="preserve">– к.м.н., старший научный сотрудник </w:t>
      </w:r>
      <w:r w:rsidR="00163AA0" w:rsidRPr="00A567F4">
        <w:rPr>
          <w:rFonts w:cs="Times New Roman"/>
          <w:color w:val="000000" w:themeColor="text1"/>
          <w:szCs w:val="24"/>
        </w:rPr>
        <w:t xml:space="preserve">консультативного гематологического отделения с дневным стационаром по проведению химиотерапии </w:t>
      </w:r>
      <w:r w:rsidR="00E00D75" w:rsidRPr="00A567F4">
        <w:rPr>
          <w:color w:val="000000" w:themeColor="text1"/>
          <w:szCs w:val="24"/>
        </w:rPr>
        <w:t>ФГБУ «НМИЦ гематологии» Минздрава России, член Национального гематологического общества</w:t>
      </w:r>
    </w:p>
    <w:p w14:paraId="7615F260" w14:textId="48F20EEB" w:rsidR="00F42D54" w:rsidRPr="00A567F4" w:rsidRDefault="00F42D54" w:rsidP="00F414BF">
      <w:pPr>
        <w:pStyle w:val="afe"/>
        <w:numPr>
          <w:ilvl w:val="0"/>
          <w:numId w:val="24"/>
        </w:numPr>
        <w:rPr>
          <w:bCs/>
          <w:szCs w:val="24"/>
        </w:rPr>
      </w:pPr>
      <w:r w:rsidRPr="00A567F4">
        <w:rPr>
          <w:b/>
          <w:color w:val="000000" w:themeColor="text1"/>
          <w:szCs w:val="24"/>
        </w:rPr>
        <w:t>Бондаренко С</w:t>
      </w:r>
      <w:r w:rsidR="00A567F4">
        <w:rPr>
          <w:b/>
          <w:color w:val="000000" w:themeColor="text1"/>
          <w:szCs w:val="24"/>
        </w:rPr>
        <w:t xml:space="preserve">ергей </w:t>
      </w:r>
      <w:r w:rsidRPr="00A567F4">
        <w:rPr>
          <w:b/>
          <w:color w:val="000000" w:themeColor="text1"/>
          <w:szCs w:val="24"/>
        </w:rPr>
        <w:t>Н</w:t>
      </w:r>
      <w:r w:rsidR="00A567F4">
        <w:rPr>
          <w:b/>
          <w:color w:val="000000" w:themeColor="text1"/>
          <w:szCs w:val="24"/>
        </w:rPr>
        <w:t>иколаевич</w:t>
      </w:r>
      <w:r w:rsidRPr="00A567F4">
        <w:rPr>
          <w:bCs/>
          <w:color w:val="000000" w:themeColor="text1"/>
          <w:szCs w:val="24"/>
        </w:rPr>
        <w:t xml:space="preserve"> </w:t>
      </w:r>
      <w:r w:rsidR="00A567F4">
        <w:rPr>
          <w:bCs/>
          <w:color w:val="000000" w:themeColor="text1"/>
          <w:szCs w:val="24"/>
        </w:rPr>
        <w:softHyphen/>
        <w:t xml:space="preserve">– </w:t>
      </w:r>
      <w:r w:rsidRPr="00A567F4">
        <w:rPr>
          <w:bCs/>
          <w:color w:val="000000" w:themeColor="text1"/>
        </w:rPr>
        <w:t xml:space="preserve">к.м.н., НИИ детской гематологии и трансплантологии им. Р.М. </w:t>
      </w:r>
      <w:r w:rsidRPr="00A567F4">
        <w:rPr>
          <w:bCs/>
        </w:rPr>
        <w:t>Горбачевой, Санкт-Петербургский государственный медицинский университет</w:t>
      </w:r>
    </w:p>
    <w:p w14:paraId="43004AE8" w14:textId="023878DD" w:rsidR="00F42D54" w:rsidRPr="000322E4" w:rsidRDefault="00F42D54" w:rsidP="00F414BF">
      <w:pPr>
        <w:pStyle w:val="afe"/>
        <w:numPr>
          <w:ilvl w:val="0"/>
          <w:numId w:val="24"/>
        </w:numPr>
        <w:rPr>
          <w:szCs w:val="24"/>
        </w:rPr>
      </w:pPr>
      <w:r w:rsidRPr="000322E4">
        <w:rPr>
          <w:b/>
          <w:szCs w:val="24"/>
        </w:rPr>
        <w:t>Баранова О</w:t>
      </w:r>
      <w:r w:rsidR="00A567F4">
        <w:rPr>
          <w:b/>
          <w:szCs w:val="24"/>
        </w:rPr>
        <w:t xml:space="preserve">льга </w:t>
      </w:r>
      <w:r w:rsidRPr="000322E4">
        <w:rPr>
          <w:b/>
          <w:szCs w:val="24"/>
        </w:rPr>
        <w:t>Ю</w:t>
      </w:r>
      <w:r w:rsidR="00A567F4">
        <w:rPr>
          <w:b/>
          <w:szCs w:val="24"/>
        </w:rPr>
        <w:t>рьевна</w:t>
      </w:r>
      <w:r w:rsidRPr="000322E4">
        <w:rPr>
          <w:szCs w:val="24"/>
        </w:rPr>
        <w:t xml:space="preserve"> </w:t>
      </w:r>
      <w:r w:rsidR="00A567F4">
        <w:rPr>
          <w:szCs w:val="24"/>
        </w:rPr>
        <w:t xml:space="preserve">– </w:t>
      </w:r>
      <w:r w:rsidRPr="000322E4">
        <w:t>к.м.н., старший научный сотрудник отделения гематологии ФГБУ «НМИЦ им. Н.Н. Блохина», член Национального гематологического общества</w:t>
      </w:r>
    </w:p>
    <w:p w14:paraId="7D466DD6" w14:textId="62AB4ED5" w:rsidR="00F42D54" w:rsidRPr="000322E4" w:rsidRDefault="00F42D54" w:rsidP="00F414BF">
      <w:pPr>
        <w:pStyle w:val="afe"/>
        <w:numPr>
          <w:ilvl w:val="0"/>
          <w:numId w:val="24"/>
        </w:numPr>
        <w:rPr>
          <w:b/>
          <w:szCs w:val="24"/>
        </w:rPr>
      </w:pPr>
      <w:r w:rsidRPr="000322E4">
        <w:rPr>
          <w:b/>
          <w:szCs w:val="24"/>
        </w:rPr>
        <w:t>Константинова Т</w:t>
      </w:r>
      <w:r w:rsidR="00A567F4">
        <w:rPr>
          <w:b/>
          <w:szCs w:val="24"/>
        </w:rPr>
        <w:t xml:space="preserve">атьяна </w:t>
      </w:r>
      <w:r w:rsidRPr="000322E4">
        <w:rPr>
          <w:b/>
          <w:szCs w:val="24"/>
        </w:rPr>
        <w:t>С</w:t>
      </w:r>
      <w:r w:rsidR="00A567F4">
        <w:rPr>
          <w:b/>
          <w:szCs w:val="24"/>
        </w:rPr>
        <w:t>еменовна</w:t>
      </w:r>
      <w:r w:rsidRPr="000322E4">
        <w:t xml:space="preserve"> </w:t>
      </w:r>
      <w:r w:rsidR="00A567F4">
        <w:t xml:space="preserve">– </w:t>
      </w:r>
      <w:r w:rsidRPr="000322E4">
        <w:t>ГБУЗ СО «Областной гематологический центр Свердловской областной клинической больницы № 1», член Национального гематологического общества и Российского общества онкогематологов</w:t>
      </w:r>
    </w:p>
    <w:p w14:paraId="11F0967E" w14:textId="1A33A341" w:rsidR="00F42D54" w:rsidRPr="000322E4" w:rsidRDefault="00F42D54" w:rsidP="00F414BF">
      <w:pPr>
        <w:pStyle w:val="afe"/>
        <w:widowControl w:val="0"/>
        <w:numPr>
          <w:ilvl w:val="0"/>
          <w:numId w:val="24"/>
        </w:numPr>
        <w:autoSpaceDE w:val="0"/>
        <w:autoSpaceDN w:val="0"/>
        <w:adjustRightInd w:val="0"/>
        <w:rPr>
          <w:szCs w:val="24"/>
        </w:rPr>
      </w:pPr>
      <w:r w:rsidRPr="000322E4">
        <w:rPr>
          <w:b/>
          <w:szCs w:val="24"/>
        </w:rPr>
        <w:t>Самойлова О</w:t>
      </w:r>
      <w:r w:rsidR="00A567F4">
        <w:rPr>
          <w:b/>
          <w:szCs w:val="24"/>
        </w:rPr>
        <w:t xml:space="preserve">льга </w:t>
      </w:r>
      <w:r w:rsidRPr="000322E4">
        <w:rPr>
          <w:b/>
          <w:szCs w:val="24"/>
        </w:rPr>
        <w:t>С</w:t>
      </w:r>
      <w:r w:rsidR="00A567F4">
        <w:rPr>
          <w:b/>
          <w:szCs w:val="24"/>
        </w:rPr>
        <w:t>ергеевна</w:t>
      </w:r>
      <w:r w:rsidRPr="000322E4">
        <w:rPr>
          <w:szCs w:val="24"/>
        </w:rPr>
        <w:t xml:space="preserve"> </w:t>
      </w:r>
      <w:r w:rsidR="00A567F4">
        <w:rPr>
          <w:szCs w:val="24"/>
        </w:rPr>
        <w:t xml:space="preserve">– </w:t>
      </w:r>
      <w:r w:rsidRPr="000322E4">
        <w:t>к.м.н., заведующая отделением гематологии ГБУЗ НО «Нижегородская областная клиническая больница им. Н.А. Семашко», член Национального гематологического общества и Российского общества онкогематологов</w:t>
      </w:r>
    </w:p>
    <w:p w14:paraId="55CA1B0A" w14:textId="639541EB" w:rsidR="00F42D54" w:rsidRPr="000322E4" w:rsidRDefault="00F42D54" w:rsidP="00F414BF">
      <w:pPr>
        <w:pStyle w:val="afe"/>
        <w:numPr>
          <w:ilvl w:val="0"/>
          <w:numId w:val="24"/>
        </w:numPr>
        <w:rPr>
          <w:b/>
          <w:szCs w:val="24"/>
        </w:rPr>
      </w:pPr>
      <w:r w:rsidRPr="000322E4">
        <w:rPr>
          <w:b/>
          <w:szCs w:val="24"/>
        </w:rPr>
        <w:t>Капорская Т</w:t>
      </w:r>
      <w:r w:rsidR="00A567F4">
        <w:rPr>
          <w:b/>
          <w:szCs w:val="24"/>
        </w:rPr>
        <w:t xml:space="preserve">атьяна </w:t>
      </w:r>
      <w:r w:rsidRPr="000322E4">
        <w:rPr>
          <w:b/>
          <w:szCs w:val="24"/>
        </w:rPr>
        <w:t>С</w:t>
      </w:r>
      <w:r w:rsidR="00A567F4">
        <w:rPr>
          <w:b/>
          <w:szCs w:val="24"/>
        </w:rPr>
        <w:t>еменовна</w:t>
      </w:r>
      <w:r w:rsidRPr="000322E4">
        <w:rPr>
          <w:szCs w:val="24"/>
        </w:rPr>
        <w:t xml:space="preserve"> </w:t>
      </w:r>
      <w:r w:rsidR="00A567F4">
        <w:rPr>
          <w:szCs w:val="24"/>
        </w:rPr>
        <w:t xml:space="preserve">– </w:t>
      </w:r>
      <w:r w:rsidRPr="000322E4">
        <w:t>к.м.н., заведующая отделением гематологии, ГБУЗ «Иркутская ордена «Знак Почета» областная клиническая больница», член Национального гематологического общества</w:t>
      </w:r>
    </w:p>
    <w:p w14:paraId="457C4279" w14:textId="4D41C439" w:rsidR="00F42D54" w:rsidRPr="000322E4" w:rsidRDefault="00F42D54" w:rsidP="00F414BF">
      <w:pPr>
        <w:pStyle w:val="afe"/>
        <w:numPr>
          <w:ilvl w:val="0"/>
          <w:numId w:val="24"/>
        </w:numPr>
        <w:rPr>
          <w:szCs w:val="24"/>
        </w:rPr>
      </w:pPr>
      <w:r w:rsidRPr="000322E4">
        <w:rPr>
          <w:b/>
          <w:szCs w:val="24"/>
        </w:rPr>
        <w:t>Лапин В</w:t>
      </w:r>
      <w:r w:rsidR="00A567F4">
        <w:rPr>
          <w:b/>
          <w:szCs w:val="24"/>
        </w:rPr>
        <w:t xml:space="preserve">алерий </w:t>
      </w:r>
      <w:r w:rsidRPr="000322E4">
        <w:rPr>
          <w:b/>
          <w:szCs w:val="24"/>
        </w:rPr>
        <w:t>А</w:t>
      </w:r>
      <w:r w:rsidR="00A567F4">
        <w:rPr>
          <w:b/>
          <w:szCs w:val="24"/>
        </w:rPr>
        <w:t>льбертович</w:t>
      </w:r>
      <w:r w:rsidRPr="000322E4">
        <w:rPr>
          <w:szCs w:val="24"/>
        </w:rPr>
        <w:t xml:space="preserve"> </w:t>
      </w:r>
      <w:r w:rsidR="006A2B13">
        <w:rPr>
          <w:szCs w:val="24"/>
        </w:rPr>
        <w:t xml:space="preserve">– </w:t>
      </w:r>
      <w:r w:rsidRPr="000322E4">
        <w:t>к.м.н., заведующий отделением гематологии ГБУЗ ЯО «Областная клиническая больница»</w:t>
      </w:r>
    </w:p>
    <w:p w14:paraId="4B0EEEC1" w14:textId="06B4513C" w:rsidR="00F42D54" w:rsidRPr="000322E4" w:rsidRDefault="00F42D54" w:rsidP="00F414BF">
      <w:pPr>
        <w:pStyle w:val="afe"/>
        <w:numPr>
          <w:ilvl w:val="0"/>
          <w:numId w:val="24"/>
        </w:numPr>
      </w:pPr>
      <w:r w:rsidRPr="000322E4">
        <w:rPr>
          <w:b/>
          <w:szCs w:val="24"/>
        </w:rPr>
        <w:t>Капланов К</w:t>
      </w:r>
      <w:r w:rsidR="00A567F4">
        <w:rPr>
          <w:b/>
          <w:szCs w:val="24"/>
        </w:rPr>
        <w:t xml:space="preserve">амиль </w:t>
      </w:r>
      <w:r w:rsidRPr="000322E4">
        <w:rPr>
          <w:b/>
          <w:szCs w:val="24"/>
        </w:rPr>
        <w:t>Д</w:t>
      </w:r>
      <w:r w:rsidR="00A567F4">
        <w:rPr>
          <w:b/>
          <w:szCs w:val="24"/>
        </w:rPr>
        <w:t>аниялович</w:t>
      </w:r>
      <w:r w:rsidRPr="000322E4">
        <w:rPr>
          <w:szCs w:val="24"/>
        </w:rPr>
        <w:t xml:space="preserve"> </w:t>
      </w:r>
      <w:r w:rsidR="006A2B13">
        <w:rPr>
          <w:szCs w:val="24"/>
        </w:rPr>
        <w:softHyphen/>
        <w:t xml:space="preserve">– </w:t>
      </w:r>
      <w:r w:rsidRPr="000322E4">
        <w:t xml:space="preserve">к.м.н., заведующий отделением гематологии ГБУЗ «Волгоградский </w:t>
      </w:r>
      <w:r w:rsidRPr="000322E4">
        <w:rPr>
          <w:szCs w:val="24"/>
        </w:rPr>
        <w:t xml:space="preserve">областной онкологический диспансер», </w:t>
      </w:r>
      <w:r w:rsidRPr="000322E4">
        <w:t>член Национального гематологического общества и Российского общества онкогематологов</w:t>
      </w:r>
    </w:p>
    <w:p w14:paraId="16EA30F1" w14:textId="77777777" w:rsidR="00F42D54" w:rsidRPr="000322E4" w:rsidRDefault="00F42D54" w:rsidP="00F414BF">
      <w:pPr>
        <w:pStyle w:val="afe"/>
        <w:numPr>
          <w:ilvl w:val="0"/>
          <w:numId w:val="24"/>
        </w:numPr>
      </w:pPr>
      <w:r w:rsidRPr="000322E4">
        <w:rPr>
          <w:b/>
          <w:bCs/>
        </w:rPr>
        <w:t>Байков Вадим Валентинович</w:t>
      </w:r>
      <w:r w:rsidRPr="000322E4">
        <w:t xml:space="preserve"> – д.м.н., профессор кафедры патологической анатомии, заведующий лабораторией патоморфологии НИИ детской онкологии, </w:t>
      </w:r>
      <w:r w:rsidRPr="000322E4">
        <w:lastRenderedPageBreak/>
        <w:t>гематологии и трансплантологии им. Р.М. Горбачевой Первого Санкт-Петербургского государственного медицинского университета им. акад. И.П. Павлова Минздрава России, член президиума Российского общества патологоанатомов, член правления Российского общества онкогематологов.</w:t>
      </w:r>
    </w:p>
    <w:p w14:paraId="31644453" w14:textId="77777777" w:rsidR="00F42D54" w:rsidRPr="000322E4" w:rsidRDefault="00F42D54" w:rsidP="00F414BF">
      <w:pPr>
        <w:pStyle w:val="afe"/>
        <w:numPr>
          <w:ilvl w:val="0"/>
          <w:numId w:val="24"/>
        </w:numPr>
      </w:pPr>
      <w:r w:rsidRPr="000322E4">
        <w:rPr>
          <w:b/>
          <w:bCs/>
        </w:rPr>
        <w:t xml:space="preserve">Ковригина Алла Михайловна </w:t>
      </w:r>
      <w:r w:rsidRPr="000322E4">
        <w:t>– д.б.н., профессор кафедры патологической анатомии, цитологии и молекулярной патологии Института повышения квалификации ФМБА РФ, заведующая патологоанатомическим отделением «НМИЦ гематологии» Минздрава России, член президиума Российского общества патологоанатомов, член правления Российского общества онкогематологов.</w:t>
      </w:r>
    </w:p>
    <w:p w14:paraId="6E9DF586" w14:textId="77777777" w:rsidR="00F42D54" w:rsidRPr="000322E4" w:rsidRDefault="00F42D54" w:rsidP="00F414BF">
      <w:pPr>
        <w:pStyle w:val="afe"/>
        <w:numPr>
          <w:ilvl w:val="0"/>
          <w:numId w:val="24"/>
        </w:numPr>
      </w:pPr>
      <w:r w:rsidRPr="000322E4">
        <w:rPr>
          <w:b/>
          <w:bCs/>
        </w:rPr>
        <w:t>Криволапов Юрий Александрович</w:t>
      </w:r>
      <w:r w:rsidRPr="000322E4">
        <w:t xml:space="preserve"> – д.м.н., профессор, зав. патологоанатомическим отделением клинической молекулярной морфологии клиники им. Э.Э. Эйхвальда ФГБОУ СЗГМУ им. И.И. Мечникова Минздрава России, член панели патологов Европейской сети исследования лимфом, член Европейской рабочей группы исследования костного мозга, член президиума Российского общества патологоанатомов</w:t>
      </w:r>
    </w:p>
    <w:p w14:paraId="3CE0F98F" w14:textId="77777777" w:rsidR="00F42D54" w:rsidRPr="000322E4" w:rsidRDefault="00F42D54" w:rsidP="00F414BF">
      <w:pPr>
        <w:pStyle w:val="afe"/>
        <w:numPr>
          <w:ilvl w:val="0"/>
          <w:numId w:val="24"/>
        </w:numPr>
      </w:pPr>
      <w:r w:rsidRPr="000322E4">
        <w:rPr>
          <w:b/>
          <w:bCs/>
        </w:rPr>
        <w:t xml:space="preserve">Коновалов Дмитрий Михайлович </w:t>
      </w:r>
      <w:r w:rsidRPr="000322E4">
        <w:t>– к.м.н., зав. патологанатомическим отделением ФГБУ «НМИЦ ДГОИ им. Дмитрия Рогачева» Минздрава России, член президиума Российского общества патологоанатомов</w:t>
      </w:r>
    </w:p>
    <w:p w14:paraId="1DD2C1BC" w14:textId="77777777" w:rsidR="00F42D54" w:rsidRPr="000322E4" w:rsidRDefault="00F42D54" w:rsidP="00F414BF">
      <w:pPr>
        <w:pStyle w:val="afe"/>
        <w:numPr>
          <w:ilvl w:val="0"/>
          <w:numId w:val="24"/>
        </w:numPr>
      </w:pPr>
      <w:r w:rsidRPr="000322E4">
        <w:rPr>
          <w:b/>
          <w:bCs/>
        </w:rPr>
        <w:t>Трофимова Оксана Петровна</w:t>
      </w:r>
      <w:r w:rsidRPr="000322E4">
        <w:t xml:space="preserve"> – д.м.н., ведущий научный сотрудник радиологического отделения ФГБУ «НМИЦ им. Н.Н. Блохина» Минздрава России, доцент кафедры онкологии ГБОУ ДПО РМАНПО Минздрава России, член Российской Ассоциации терапевтических радиационных онкологов.</w:t>
      </w:r>
    </w:p>
    <w:p w14:paraId="395F1A85" w14:textId="77777777" w:rsidR="00F42D54" w:rsidRPr="000322E4" w:rsidRDefault="00F42D54" w:rsidP="00F414BF">
      <w:pPr>
        <w:pStyle w:val="afe"/>
        <w:numPr>
          <w:ilvl w:val="0"/>
          <w:numId w:val="24"/>
        </w:numPr>
      </w:pPr>
      <w:r w:rsidRPr="000322E4">
        <w:rPr>
          <w:b/>
          <w:bCs/>
        </w:rPr>
        <w:t xml:space="preserve">Сотников Владимир Михайлович </w:t>
      </w:r>
      <w:r w:rsidRPr="000322E4">
        <w:t>– д.м.н., руководитель лаборатории лучевой терапии ФГБУ «РНЦРР» Минздрава России.</w:t>
      </w:r>
    </w:p>
    <w:p w14:paraId="10893643" w14:textId="77777777" w:rsidR="00F42D54" w:rsidRPr="000322E4" w:rsidRDefault="00F42D54" w:rsidP="00F414BF">
      <w:pPr>
        <w:pStyle w:val="afe"/>
        <w:numPr>
          <w:ilvl w:val="0"/>
          <w:numId w:val="24"/>
        </w:numPr>
      </w:pPr>
      <w:r w:rsidRPr="000322E4">
        <w:rPr>
          <w:b/>
          <w:bCs/>
        </w:rPr>
        <w:t xml:space="preserve">Ильин Николай Васильевич </w:t>
      </w:r>
      <w:r w:rsidRPr="000322E4">
        <w:t>– д.м.н., профессор, профессор кафедры радиологии, хирургии и онкологии, главный научный сотрудник отдела лучевых и комбинированных методов лечения ФГБУ «Российский научный центр радиологии и хирургических технологий имени академика А.М. Гранова» Минздрава России.</w:t>
      </w:r>
    </w:p>
    <w:p w14:paraId="7AF368ED" w14:textId="77777777" w:rsidR="00F42D54" w:rsidRPr="000322E4" w:rsidRDefault="00F42D54" w:rsidP="00F414BF">
      <w:pPr>
        <w:pStyle w:val="afe"/>
        <w:numPr>
          <w:ilvl w:val="0"/>
          <w:numId w:val="24"/>
        </w:numPr>
      </w:pPr>
      <w:r w:rsidRPr="000322E4">
        <w:rPr>
          <w:b/>
          <w:bCs/>
        </w:rPr>
        <w:t xml:space="preserve">Виноградова Юлия Николаевна </w:t>
      </w:r>
      <w:r w:rsidRPr="000322E4">
        <w:t>– д.м.н., руководитель отдела лучевых и комбинированных методов лечения, главный научный сотрудник отдела лучевых и комбинированных методов лечения ФГБУ «Российский научный центр радиологии и хирургических технологий имени академика А.М. Гранова» Минздрава России.</w:t>
      </w:r>
    </w:p>
    <w:p w14:paraId="62579553" w14:textId="77777777" w:rsidR="00F42D54" w:rsidRPr="000322E4" w:rsidRDefault="00F42D54" w:rsidP="00F414BF">
      <w:pPr>
        <w:spacing w:line="360" w:lineRule="auto"/>
        <w:jc w:val="both"/>
      </w:pPr>
    </w:p>
    <w:p w14:paraId="55087A5A" w14:textId="77777777" w:rsidR="00F42D54" w:rsidRPr="000322E4" w:rsidRDefault="00F42D54" w:rsidP="00F414BF">
      <w:pPr>
        <w:spacing w:line="360" w:lineRule="auto"/>
        <w:jc w:val="both"/>
        <w:rPr>
          <w:b/>
        </w:rPr>
      </w:pPr>
      <w:r w:rsidRPr="000322E4">
        <w:rPr>
          <w:b/>
        </w:rPr>
        <w:lastRenderedPageBreak/>
        <w:t>Конфликт интересов отсутствует.</w:t>
      </w:r>
    </w:p>
    <w:p w14:paraId="414AA96F" w14:textId="77777777" w:rsidR="00F42D54" w:rsidRPr="000322E4" w:rsidRDefault="00F42D54" w:rsidP="00F414BF">
      <w:pPr>
        <w:spacing w:line="360" w:lineRule="auto"/>
        <w:jc w:val="both"/>
      </w:pPr>
    </w:p>
    <w:p w14:paraId="6852DFE3" w14:textId="1D3A0395" w:rsidR="000414F6" w:rsidRPr="000322E4" w:rsidRDefault="00F42D54" w:rsidP="00F414BF">
      <w:pPr>
        <w:pStyle w:val="afff2"/>
        <w:spacing w:before="0"/>
        <w:jc w:val="both"/>
      </w:pPr>
      <w:r w:rsidRPr="000322E4">
        <w:br w:type="page"/>
      </w:r>
      <w:bookmarkStart w:id="83" w:name="_Toc96601269"/>
      <w:r w:rsidR="00CB71DA" w:rsidRPr="000322E4">
        <w:lastRenderedPageBreak/>
        <w:t>Приложение А2. Методология разработки клинических рекомендаций</w:t>
      </w:r>
      <w:bookmarkEnd w:id="82"/>
      <w:bookmarkEnd w:id="83"/>
    </w:p>
    <w:p w14:paraId="4E63FC21" w14:textId="77777777" w:rsidR="009F5D92" w:rsidRPr="000322E4" w:rsidRDefault="009F5D92" w:rsidP="00CA442F">
      <w:pPr>
        <w:pStyle w:val="aff8"/>
        <w:rPr>
          <w:rStyle w:val="affb"/>
          <w:u w:val="single"/>
        </w:rPr>
      </w:pPr>
      <w:r w:rsidRPr="000322E4">
        <w:rPr>
          <w:rStyle w:val="affb"/>
          <w:u w:val="single"/>
        </w:rPr>
        <w:t>Целевая аудитория данных клинических рекомендаций:</w:t>
      </w:r>
    </w:p>
    <w:p w14:paraId="6CCC50B5" w14:textId="77777777" w:rsidR="009F5D92" w:rsidRPr="000322E4" w:rsidRDefault="009F5D92" w:rsidP="00F414BF">
      <w:pPr>
        <w:spacing w:line="360" w:lineRule="auto"/>
        <w:jc w:val="both"/>
      </w:pPr>
      <w:r w:rsidRPr="000322E4">
        <w:t>1. Врачи-гематологи.</w:t>
      </w:r>
    </w:p>
    <w:p w14:paraId="75411DF8" w14:textId="77777777" w:rsidR="009F5D92" w:rsidRPr="000322E4" w:rsidRDefault="009F5D92" w:rsidP="00F414BF">
      <w:pPr>
        <w:spacing w:line="360" w:lineRule="auto"/>
        <w:jc w:val="both"/>
      </w:pPr>
      <w:r w:rsidRPr="000322E4">
        <w:t>2. Врачи-онкологи.</w:t>
      </w:r>
    </w:p>
    <w:p w14:paraId="5E27BACA" w14:textId="77777777" w:rsidR="008762E9" w:rsidRPr="000322E4" w:rsidRDefault="008762E9" w:rsidP="00F414BF">
      <w:pPr>
        <w:spacing w:line="360" w:lineRule="auto"/>
        <w:jc w:val="both"/>
      </w:pPr>
      <w:r w:rsidRPr="000322E4">
        <w:t xml:space="preserve">3. </w:t>
      </w:r>
      <w:r w:rsidR="004957AB" w:rsidRPr="000322E4">
        <w:t xml:space="preserve">Врачи-детские </w:t>
      </w:r>
      <w:r w:rsidRPr="000322E4">
        <w:t>онкологи.</w:t>
      </w:r>
    </w:p>
    <w:p w14:paraId="3535AF6D" w14:textId="77777777" w:rsidR="008762E9" w:rsidRPr="000322E4" w:rsidRDefault="008762E9" w:rsidP="00F414BF">
      <w:pPr>
        <w:spacing w:line="360" w:lineRule="auto"/>
        <w:jc w:val="both"/>
      </w:pPr>
      <w:r w:rsidRPr="000322E4">
        <w:t xml:space="preserve">4. </w:t>
      </w:r>
      <w:r w:rsidR="001A3F5A" w:rsidRPr="000322E4">
        <w:t>Врачи-радиологи</w:t>
      </w:r>
      <w:r w:rsidRPr="000322E4">
        <w:t>.</w:t>
      </w:r>
    </w:p>
    <w:p w14:paraId="6797AC7B" w14:textId="77777777" w:rsidR="009F5D92" w:rsidRPr="000322E4" w:rsidRDefault="008762E9" w:rsidP="00F414BF">
      <w:pPr>
        <w:spacing w:line="360" w:lineRule="auto"/>
        <w:jc w:val="both"/>
      </w:pPr>
      <w:r w:rsidRPr="000322E4">
        <w:t>5</w:t>
      </w:r>
      <w:r w:rsidR="009F5D92" w:rsidRPr="000322E4">
        <w:t>. Студенты медицинских вузов.</w:t>
      </w:r>
    </w:p>
    <w:p w14:paraId="40C0DA41" w14:textId="77777777" w:rsidR="009F5D92" w:rsidRPr="000322E4" w:rsidRDefault="009F5D92" w:rsidP="00CA442F">
      <w:pPr>
        <w:pStyle w:val="afd"/>
      </w:pPr>
      <w:r w:rsidRPr="000322E4">
        <w:rPr>
          <w:rStyle w:val="affb"/>
          <w:u w:val="single"/>
        </w:rPr>
        <w:t>Методология сбора доказательств</w:t>
      </w:r>
    </w:p>
    <w:p w14:paraId="4181B4D9" w14:textId="77777777" w:rsidR="009F5D92" w:rsidRPr="000322E4" w:rsidRDefault="009F5D92" w:rsidP="00CA442F">
      <w:pPr>
        <w:pStyle w:val="afd"/>
      </w:pPr>
      <w:r w:rsidRPr="000322E4">
        <w:rPr>
          <w:rStyle w:val="affb"/>
        </w:rPr>
        <w:t>Методы, использованные для сбора / селекции доказательств:</w:t>
      </w:r>
    </w:p>
    <w:p w14:paraId="2803BC61" w14:textId="77777777" w:rsidR="009F5D92" w:rsidRPr="000322E4" w:rsidRDefault="009F5D92" w:rsidP="00F414BF">
      <w:pPr>
        <w:pStyle w:val="afd"/>
        <w:numPr>
          <w:ilvl w:val="0"/>
          <w:numId w:val="10"/>
        </w:numPr>
        <w:ind w:left="0" w:firstLine="851"/>
      </w:pPr>
      <w:r w:rsidRPr="000322E4">
        <w:t>поиск в электронных базах данных.</w:t>
      </w:r>
    </w:p>
    <w:p w14:paraId="325E9D05" w14:textId="77777777" w:rsidR="009F5D92" w:rsidRPr="000322E4" w:rsidRDefault="009F5D92" w:rsidP="00CA442F">
      <w:pPr>
        <w:pStyle w:val="afd"/>
        <w:rPr>
          <w:b/>
        </w:rPr>
      </w:pPr>
      <w:r w:rsidRPr="000322E4">
        <w:rPr>
          <w:rStyle w:val="affb"/>
        </w:rPr>
        <w:t xml:space="preserve">Базы данных, использованных для сбора/селекции доказательств. </w:t>
      </w:r>
      <w:r w:rsidRPr="000322E4">
        <w:t>Доказательной базой для рекомендаций являются публикации, вошедшие в Кохрайновскую библиотеку, базы данных PUBMED и MEDLINE. Глубина поиска составляла 30 лет.</w:t>
      </w:r>
    </w:p>
    <w:p w14:paraId="72BAA31A" w14:textId="77777777" w:rsidR="009F5D92" w:rsidRPr="000322E4" w:rsidRDefault="009F5D92" w:rsidP="00CA442F">
      <w:pPr>
        <w:pStyle w:val="afd"/>
      </w:pPr>
      <w:r w:rsidRPr="000322E4">
        <w:rPr>
          <w:rStyle w:val="affb"/>
        </w:rPr>
        <w:t>Методы, использованные для анализа доказательств:</w:t>
      </w:r>
    </w:p>
    <w:p w14:paraId="7D1017EC" w14:textId="77777777" w:rsidR="009F5D92" w:rsidRPr="000322E4" w:rsidRDefault="009F5D92" w:rsidP="00F414BF">
      <w:pPr>
        <w:pStyle w:val="afd"/>
        <w:numPr>
          <w:ilvl w:val="0"/>
          <w:numId w:val="17"/>
        </w:numPr>
        <w:ind w:left="0" w:firstLine="851"/>
      </w:pPr>
      <w:r w:rsidRPr="000322E4">
        <w:t>обзоры опубликованных мета-анализов;</w:t>
      </w:r>
    </w:p>
    <w:p w14:paraId="6D72C61F" w14:textId="77777777" w:rsidR="009F5D92" w:rsidRPr="000322E4" w:rsidRDefault="009F5D92" w:rsidP="00F414BF">
      <w:pPr>
        <w:pStyle w:val="afd"/>
        <w:numPr>
          <w:ilvl w:val="0"/>
          <w:numId w:val="17"/>
        </w:numPr>
        <w:tabs>
          <w:tab w:val="clear" w:pos="720"/>
          <w:tab w:val="num" w:pos="0"/>
        </w:tabs>
        <w:ind w:left="0" w:firstLine="851"/>
      </w:pPr>
      <w:r w:rsidRPr="000322E4">
        <w:t>систематические обзоры с таблицами доказательств.</w:t>
      </w:r>
    </w:p>
    <w:p w14:paraId="67278A2C" w14:textId="77777777" w:rsidR="009F5D92" w:rsidRPr="000322E4" w:rsidRDefault="009F5D92" w:rsidP="00CA442F">
      <w:pPr>
        <w:pStyle w:val="afd"/>
      </w:pPr>
      <w:r w:rsidRPr="000322E4">
        <w:rPr>
          <w:rStyle w:val="affb"/>
        </w:rPr>
        <w:t>Методы, использованные для качества и силы доказательств:</w:t>
      </w:r>
    </w:p>
    <w:p w14:paraId="72EC9E03" w14:textId="77777777" w:rsidR="009F5D92" w:rsidRPr="000322E4" w:rsidRDefault="009F5D92" w:rsidP="00F414BF">
      <w:pPr>
        <w:pStyle w:val="afd"/>
        <w:numPr>
          <w:ilvl w:val="0"/>
          <w:numId w:val="18"/>
        </w:numPr>
        <w:ind w:left="0" w:firstLine="851"/>
      </w:pPr>
      <w:r w:rsidRPr="000322E4">
        <w:t>консенсус экспертов;</w:t>
      </w:r>
    </w:p>
    <w:p w14:paraId="7A76C5BC" w14:textId="77777777" w:rsidR="009F5D92" w:rsidRPr="000322E4" w:rsidRDefault="009F5D92" w:rsidP="00F414BF">
      <w:pPr>
        <w:pStyle w:val="afd"/>
        <w:numPr>
          <w:ilvl w:val="0"/>
          <w:numId w:val="18"/>
        </w:numPr>
        <w:ind w:left="0" w:firstLine="851"/>
      </w:pPr>
      <w:r w:rsidRPr="000322E4">
        <w:t>оценка значимости доказательств в соответствии с рейтинговой схемой доказательств (табл. 4, 5).</w:t>
      </w:r>
    </w:p>
    <w:p w14:paraId="398CA5D3" w14:textId="77777777" w:rsidR="009F5D92" w:rsidRPr="000322E4" w:rsidRDefault="009F5D92" w:rsidP="00F414BF">
      <w:pPr>
        <w:spacing w:line="360" w:lineRule="auto"/>
        <w:jc w:val="both"/>
      </w:pPr>
    </w:p>
    <w:p w14:paraId="63C2521D" w14:textId="77777777" w:rsidR="009F5D92" w:rsidRPr="000322E4" w:rsidRDefault="009F5D92" w:rsidP="00F414BF">
      <w:pPr>
        <w:spacing w:line="360" w:lineRule="auto"/>
        <w:jc w:val="both"/>
      </w:pPr>
      <w:r w:rsidRPr="000322E4">
        <w:rPr>
          <w:b/>
          <w:bCs/>
        </w:rPr>
        <w:t>Таблица</w:t>
      </w:r>
      <w:r w:rsidR="00C6417C" w:rsidRPr="000322E4">
        <w:rPr>
          <w:b/>
          <w:bCs/>
        </w:rPr>
        <w:t xml:space="preserve"> А2.</w:t>
      </w:r>
      <w:r w:rsidRPr="000322E4">
        <w:rPr>
          <w:b/>
          <w:bCs/>
        </w:rPr>
        <w:fldChar w:fldCharType="begin"/>
      </w:r>
      <w:r w:rsidRPr="000322E4">
        <w:rPr>
          <w:b/>
          <w:bCs/>
        </w:rPr>
        <w:instrText xml:space="preserve"> SEQ Таблица \* ARABIC </w:instrText>
      </w:r>
      <w:r w:rsidRPr="000322E4">
        <w:rPr>
          <w:b/>
          <w:bCs/>
        </w:rPr>
        <w:fldChar w:fldCharType="separate"/>
      </w:r>
      <w:r w:rsidR="00D433D9">
        <w:rPr>
          <w:b/>
          <w:bCs/>
          <w:noProof/>
        </w:rPr>
        <w:t>1</w:t>
      </w:r>
      <w:r w:rsidRPr="000322E4">
        <w:rPr>
          <w:b/>
          <w:bCs/>
        </w:rPr>
        <w:fldChar w:fldCharType="end"/>
      </w:r>
      <w:r w:rsidRPr="000322E4">
        <w:rPr>
          <w:b/>
          <w:bCs/>
        </w:rPr>
        <w:t>.</w:t>
      </w:r>
      <w:r w:rsidRPr="000322E4">
        <w:rPr>
          <w:b/>
        </w:rPr>
        <w:t xml:space="preserve"> </w:t>
      </w:r>
      <w:r w:rsidRPr="000322E4">
        <w:t>Шкала оценки уровней достоверности доказательств (УДД) для методов диагностики (диагностических вмешательств)</w:t>
      </w:r>
    </w:p>
    <w:tbl>
      <w:tblPr>
        <w:tblW w:w="494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1"/>
        <w:gridCol w:w="7660"/>
      </w:tblGrid>
      <w:tr w:rsidR="009F5D92" w:rsidRPr="000322E4" w14:paraId="013BFBCD" w14:textId="77777777" w:rsidTr="00665C29">
        <w:trPr>
          <w:trHeight w:val="58"/>
          <w:tblHeader/>
        </w:trPr>
        <w:tc>
          <w:tcPr>
            <w:tcW w:w="588" w:type="pct"/>
            <w:tcBorders>
              <w:top w:val="single" w:sz="4" w:space="0" w:color="auto"/>
              <w:left w:val="single" w:sz="4" w:space="0" w:color="auto"/>
              <w:bottom w:val="single" w:sz="4" w:space="0" w:color="auto"/>
              <w:right w:val="single" w:sz="4" w:space="0" w:color="auto"/>
            </w:tcBorders>
          </w:tcPr>
          <w:p w14:paraId="30D500CC" w14:textId="77777777" w:rsidR="009F5D92" w:rsidRPr="000322E4" w:rsidRDefault="009F5D92" w:rsidP="00F414BF">
            <w:pPr>
              <w:spacing w:line="360" w:lineRule="auto"/>
              <w:jc w:val="both"/>
              <w:rPr>
                <w:b/>
                <w:color w:val="000000"/>
              </w:rPr>
            </w:pPr>
            <w:r w:rsidRPr="000322E4">
              <w:rPr>
                <w:b/>
                <w:color w:val="000000"/>
              </w:rPr>
              <w:t>УДД</w:t>
            </w:r>
          </w:p>
        </w:tc>
        <w:tc>
          <w:tcPr>
            <w:tcW w:w="4412" w:type="pct"/>
            <w:tcBorders>
              <w:top w:val="single" w:sz="4" w:space="0" w:color="auto"/>
              <w:left w:val="single" w:sz="4" w:space="0" w:color="auto"/>
              <w:bottom w:val="single" w:sz="4" w:space="0" w:color="auto"/>
              <w:right w:val="single" w:sz="4" w:space="0" w:color="auto"/>
            </w:tcBorders>
          </w:tcPr>
          <w:p w14:paraId="768C58EA" w14:textId="77777777" w:rsidR="009F5D92" w:rsidRPr="000322E4" w:rsidRDefault="009F5D92" w:rsidP="00F414BF">
            <w:pPr>
              <w:spacing w:line="360" w:lineRule="auto"/>
              <w:jc w:val="both"/>
              <w:rPr>
                <w:b/>
                <w:color w:val="000000"/>
              </w:rPr>
            </w:pPr>
            <w:r w:rsidRPr="000322E4">
              <w:rPr>
                <w:b/>
                <w:color w:val="000000"/>
              </w:rPr>
              <w:t>Расшифровка</w:t>
            </w:r>
          </w:p>
        </w:tc>
      </w:tr>
      <w:tr w:rsidR="009F5D92" w:rsidRPr="000322E4" w14:paraId="14B190E7" w14:textId="77777777" w:rsidTr="00665C29">
        <w:tc>
          <w:tcPr>
            <w:tcW w:w="588" w:type="pct"/>
            <w:tcBorders>
              <w:top w:val="single" w:sz="4" w:space="0" w:color="auto"/>
              <w:left w:val="single" w:sz="4" w:space="0" w:color="auto"/>
              <w:bottom w:val="single" w:sz="4" w:space="0" w:color="auto"/>
              <w:right w:val="single" w:sz="4" w:space="0" w:color="auto"/>
            </w:tcBorders>
          </w:tcPr>
          <w:p w14:paraId="7537A56F" w14:textId="77777777" w:rsidR="009F5D92" w:rsidRPr="000322E4" w:rsidRDefault="009F5D92" w:rsidP="00F414BF">
            <w:pPr>
              <w:spacing w:line="360" w:lineRule="auto"/>
              <w:jc w:val="both"/>
              <w:rPr>
                <w:color w:val="000000"/>
              </w:rPr>
            </w:pPr>
            <w:r w:rsidRPr="000322E4">
              <w:rPr>
                <w:color w:val="000000"/>
                <w:lang w:val="en-US"/>
              </w:rPr>
              <w:t>1</w:t>
            </w:r>
          </w:p>
        </w:tc>
        <w:tc>
          <w:tcPr>
            <w:tcW w:w="4412" w:type="pct"/>
            <w:tcBorders>
              <w:top w:val="single" w:sz="4" w:space="0" w:color="auto"/>
              <w:left w:val="single" w:sz="4" w:space="0" w:color="auto"/>
              <w:bottom w:val="single" w:sz="4" w:space="0" w:color="auto"/>
              <w:right w:val="single" w:sz="4" w:space="0" w:color="auto"/>
            </w:tcBorders>
          </w:tcPr>
          <w:p w14:paraId="72D29BD8" w14:textId="77777777" w:rsidR="009F5D92" w:rsidRPr="000322E4" w:rsidRDefault="009F5D92" w:rsidP="00F414BF">
            <w:pPr>
              <w:spacing w:line="360" w:lineRule="auto"/>
              <w:jc w:val="both"/>
              <w:rPr>
                <w:color w:val="000000"/>
              </w:rPr>
            </w:pPr>
            <w:r w:rsidRPr="000322E4">
              <w:rPr>
                <w:color w:val="000000"/>
              </w:rPr>
              <w:t>Систематические обзоры исследований с контролем референсным методом</w:t>
            </w:r>
            <w:r w:rsidRPr="000322E4">
              <w:t xml:space="preserve"> или систематический обзор рандомизированных клинических исследований с применением метаанализа.</w:t>
            </w:r>
          </w:p>
        </w:tc>
      </w:tr>
      <w:tr w:rsidR="009F5D92" w:rsidRPr="000322E4" w14:paraId="3DE61C23" w14:textId="77777777" w:rsidTr="00665C29">
        <w:tc>
          <w:tcPr>
            <w:tcW w:w="588" w:type="pct"/>
            <w:tcBorders>
              <w:top w:val="single" w:sz="4" w:space="0" w:color="auto"/>
              <w:left w:val="single" w:sz="4" w:space="0" w:color="auto"/>
              <w:bottom w:val="single" w:sz="4" w:space="0" w:color="auto"/>
              <w:right w:val="single" w:sz="4" w:space="0" w:color="auto"/>
            </w:tcBorders>
          </w:tcPr>
          <w:p w14:paraId="7B10A2E4" w14:textId="77777777" w:rsidR="009F5D92" w:rsidRPr="000322E4" w:rsidRDefault="009F5D92" w:rsidP="00F414BF">
            <w:pPr>
              <w:spacing w:line="360" w:lineRule="auto"/>
              <w:jc w:val="both"/>
              <w:rPr>
                <w:color w:val="000000"/>
              </w:rPr>
            </w:pPr>
            <w:r w:rsidRPr="000322E4">
              <w:rPr>
                <w:color w:val="000000"/>
                <w:lang w:val="en-US"/>
              </w:rPr>
              <w:t>2</w:t>
            </w:r>
          </w:p>
        </w:tc>
        <w:tc>
          <w:tcPr>
            <w:tcW w:w="4412" w:type="pct"/>
            <w:tcBorders>
              <w:top w:val="single" w:sz="4" w:space="0" w:color="auto"/>
              <w:left w:val="single" w:sz="4" w:space="0" w:color="auto"/>
              <w:bottom w:val="single" w:sz="4" w:space="0" w:color="auto"/>
              <w:right w:val="single" w:sz="4" w:space="0" w:color="auto"/>
            </w:tcBorders>
          </w:tcPr>
          <w:p w14:paraId="4845EEC7" w14:textId="77777777" w:rsidR="009F5D92" w:rsidRPr="000322E4" w:rsidRDefault="009F5D92" w:rsidP="00F414BF">
            <w:pPr>
              <w:spacing w:line="360" w:lineRule="auto"/>
              <w:jc w:val="both"/>
              <w:rPr>
                <w:color w:val="000000"/>
              </w:rPr>
            </w:pPr>
            <w:r w:rsidRPr="000322E4">
              <w:rPr>
                <w:color w:val="000000"/>
              </w:rPr>
              <w:t>Отдельные исследования с контролем референсным методом или отдельные рандомизированные клинические исследования и систематические обзоры исследований любого дизайна, за исключением рандомизированных клинических исследований с применением метаанализа</w:t>
            </w:r>
          </w:p>
        </w:tc>
      </w:tr>
      <w:tr w:rsidR="009F5D92" w:rsidRPr="000322E4" w14:paraId="0883660C" w14:textId="77777777" w:rsidTr="00665C29">
        <w:tc>
          <w:tcPr>
            <w:tcW w:w="588" w:type="pct"/>
            <w:tcBorders>
              <w:top w:val="single" w:sz="4" w:space="0" w:color="auto"/>
              <w:left w:val="single" w:sz="4" w:space="0" w:color="auto"/>
              <w:bottom w:val="single" w:sz="4" w:space="0" w:color="auto"/>
              <w:right w:val="single" w:sz="4" w:space="0" w:color="auto"/>
            </w:tcBorders>
          </w:tcPr>
          <w:p w14:paraId="3FD24E5F" w14:textId="77777777" w:rsidR="009F5D92" w:rsidRPr="000322E4" w:rsidRDefault="009F5D92" w:rsidP="00F414BF">
            <w:pPr>
              <w:spacing w:line="360" w:lineRule="auto"/>
              <w:jc w:val="both"/>
              <w:rPr>
                <w:color w:val="000000"/>
              </w:rPr>
            </w:pPr>
            <w:r w:rsidRPr="000322E4">
              <w:rPr>
                <w:color w:val="000000"/>
                <w:lang w:val="en-US"/>
              </w:rPr>
              <w:lastRenderedPageBreak/>
              <w:t>3</w:t>
            </w:r>
          </w:p>
        </w:tc>
        <w:tc>
          <w:tcPr>
            <w:tcW w:w="4412" w:type="pct"/>
            <w:tcBorders>
              <w:top w:val="single" w:sz="4" w:space="0" w:color="auto"/>
              <w:left w:val="single" w:sz="4" w:space="0" w:color="auto"/>
              <w:bottom w:val="single" w:sz="4" w:space="0" w:color="auto"/>
              <w:right w:val="single" w:sz="4" w:space="0" w:color="auto"/>
            </w:tcBorders>
          </w:tcPr>
          <w:p w14:paraId="02155C52" w14:textId="77777777" w:rsidR="009F5D92" w:rsidRPr="000322E4" w:rsidRDefault="009F5D92" w:rsidP="00F414BF">
            <w:pPr>
              <w:spacing w:line="360" w:lineRule="auto"/>
              <w:jc w:val="both"/>
              <w:rPr>
                <w:color w:val="000000"/>
              </w:rPr>
            </w:pPr>
            <w:r w:rsidRPr="000322E4">
              <w:rPr>
                <w:color w:val="000000"/>
              </w:rPr>
              <w:t>Исследования без последовательного контроля референсным методом или исследования с референсным методом, не являющимся независимым от исследуемого метода или нерандомизированные сравнительные исследования, в том числе когортные исследования.</w:t>
            </w:r>
          </w:p>
        </w:tc>
      </w:tr>
      <w:tr w:rsidR="009F5D92" w:rsidRPr="000322E4" w14:paraId="13A80D89" w14:textId="77777777" w:rsidTr="00665C29">
        <w:tc>
          <w:tcPr>
            <w:tcW w:w="588" w:type="pct"/>
            <w:tcBorders>
              <w:top w:val="single" w:sz="4" w:space="0" w:color="auto"/>
              <w:left w:val="single" w:sz="4" w:space="0" w:color="auto"/>
              <w:bottom w:val="single" w:sz="4" w:space="0" w:color="auto"/>
              <w:right w:val="single" w:sz="4" w:space="0" w:color="auto"/>
            </w:tcBorders>
          </w:tcPr>
          <w:p w14:paraId="33EE8CF0" w14:textId="77777777" w:rsidR="009F5D92" w:rsidRPr="000322E4" w:rsidRDefault="009F5D92" w:rsidP="00F414BF">
            <w:pPr>
              <w:spacing w:line="360" w:lineRule="auto"/>
              <w:jc w:val="both"/>
              <w:rPr>
                <w:color w:val="000000"/>
              </w:rPr>
            </w:pPr>
            <w:r w:rsidRPr="000322E4">
              <w:rPr>
                <w:color w:val="000000"/>
                <w:lang w:val="en-US"/>
              </w:rPr>
              <w:t>4</w:t>
            </w:r>
          </w:p>
        </w:tc>
        <w:tc>
          <w:tcPr>
            <w:tcW w:w="4412" w:type="pct"/>
            <w:tcBorders>
              <w:top w:val="single" w:sz="4" w:space="0" w:color="auto"/>
              <w:left w:val="single" w:sz="4" w:space="0" w:color="auto"/>
              <w:bottom w:val="single" w:sz="4" w:space="0" w:color="auto"/>
              <w:right w:val="single" w:sz="4" w:space="0" w:color="auto"/>
            </w:tcBorders>
          </w:tcPr>
          <w:p w14:paraId="61A1B4F5" w14:textId="77777777" w:rsidR="009F5D92" w:rsidRPr="000322E4" w:rsidRDefault="009F5D92" w:rsidP="00F414BF">
            <w:pPr>
              <w:spacing w:line="360" w:lineRule="auto"/>
              <w:jc w:val="both"/>
              <w:rPr>
                <w:color w:val="000000"/>
              </w:rPr>
            </w:pPr>
            <w:r w:rsidRPr="000322E4">
              <w:rPr>
                <w:color w:val="000000"/>
              </w:rPr>
              <w:t>Несравнительные исследования, описание клинического случая.</w:t>
            </w:r>
          </w:p>
        </w:tc>
      </w:tr>
      <w:tr w:rsidR="009F5D92" w:rsidRPr="000322E4" w14:paraId="13A23394" w14:textId="77777777" w:rsidTr="00665C29">
        <w:tc>
          <w:tcPr>
            <w:tcW w:w="588" w:type="pct"/>
            <w:tcBorders>
              <w:top w:val="single" w:sz="4" w:space="0" w:color="auto"/>
              <w:left w:val="single" w:sz="4" w:space="0" w:color="auto"/>
              <w:bottom w:val="single" w:sz="4" w:space="0" w:color="auto"/>
              <w:right w:val="single" w:sz="4" w:space="0" w:color="auto"/>
            </w:tcBorders>
          </w:tcPr>
          <w:p w14:paraId="311BF991" w14:textId="77777777" w:rsidR="009F5D92" w:rsidRPr="000322E4" w:rsidRDefault="009F5D92" w:rsidP="00F414BF">
            <w:pPr>
              <w:spacing w:line="360" w:lineRule="auto"/>
              <w:jc w:val="both"/>
              <w:rPr>
                <w:color w:val="000000"/>
              </w:rPr>
            </w:pPr>
            <w:r w:rsidRPr="000322E4">
              <w:rPr>
                <w:color w:val="000000"/>
                <w:lang w:val="en-US"/>
              </w:rPr>
              <w:t>5</w:t>
            </w:r>
          </w:p>
        </w:tc>
        <w:tc>
          <w:tcPr>
            <w:tcW w:w="4412" w:type="pct"/>
            <w:tcBorders>
              <w:top w:val="single" w:sz="4" w:space="0" w:color="auto"/>
              <w:left w:val="single" w:sz="4" w:space="0" w:color="auto"/>
              <w:bottom w:val="single" w:sz="4" w:space="0" w:color="auto"/>
              <w:right w:val="single" w:sz="4" w:space="0" w:color="auto"/>
            </w:tcBorders>
          </w:tcPr>
          <w:p w14:paraId="1941FD61" w14:textId="77777777" w:rsidR="009F5D92" w:rsidRPr="000322E4" w:rsidRDefault="009F5D92" w:rsidP="00F414BF">
            <w:pPr>
              <w:spacing w:line="360" w:lineRule="auto"/>
              <w:jc w:val="both"/>
              <w:rPr>
                <w:color w:val="000000"/>
              </w:rPr>
            </w:pPr>
            <w:r w:rsidRPr="000322E4">
              <w:rPr>
                <w:color w:val="000000"/>
              </w:rPr>
              <w:t>Имеется лишь обоснование механизма действия или мнение экспертов.</w:t>
            </w:r>
          </w:p>
        </w:tc>
      </w:tr>
    </w:tbl>
    <w:p w14:paraId="50A1773A" w14:textId="77777777" w:rsidR="009F5D92" w:rsidRPr="000322E4" w:rsidRDefault="009F5D92" w:rsidP="00F414BF">
      <w:pPr>
        <w:spacing w:line="360" w:lineRule="auto"/>
        <w:jc w:val="both"/>
        <w:rPr>
          <w:b/>
        </w:rPr>
      </w:pPr>
      <w:bookmarkStart w:id="84" w:name="_Ref515967623"/>
    </w:p>
    <w:p w14:paraId="5D67CA54" w14:textId="77777777" w:rsidR="009F5D92" w:rsidRPr="000322E4" w:rsidRDefault="009F5D92" w:rsidP="00F414BF">
      <w:pPr>
        <w:spacing w:line="360" w:lineRule="auto"/>
        <w:jc w:val="both"/>
      </w:pPr>
      <w:r w:rsidRPr="000322E4">
        <w:rPr>
          <w:b/>
          <w:bCs/>
        </w:rPr>
        <w:t xml:space="preserve">Таблица </w:t>
      </w:r>
      <w:r w:rsidR="00C6417C" w:rsidRPr="000322E4">
        <w:rPr>
          <w:b/>
          <w:bCs/>
        </w:rPr>
        <w:t>А2.</w:t>
      </w:r>
      <w:r w:rsidRPr="000322E4">
        <w:rPr>
          <w:b/>
          <w:bCs/>
        </w:rPr>
        <w:fldChar w:fldCharType="begin"/>
      </w:r>
      <w:r w:rsidRPr="000322E4">
        <w:rPr>
          <w:b/>
          <w:bCs/>
        </w:rPr>
        <w:instrText xml:space="preserve"> SEQ Таблица \* ARABIC </w:instrText>
      </w:r>
      <w:r w:rsidRPr="000322E4">
        <w:rPr>
          <w:b/>
          <w:bCs/>
        </w:rPr>
        <w:fldChar w:fldCharType="separate"/>
      </w:r>
      <w:r w:rsidR="00D433D9">
        <w:rPr>
          <w:b/>
          <w:bCs/>
          <w:noProof/>
        </w:rPr>
        <w:t>2</w:t>
      </w:r>
      <w:r w:rsidRPr="000322E4">
        <w:rPr>
          <w:b/>
          <w:bCs/>
        </w:rPr>
        <w:fldChar w:fldCharType="end"/>
      </w:r>
      <w:bookmarkEnd w:id="84"/>
      <w:r w:rsidRPr="000322E4">
        <w:rPr>
          <w:b/>
          <w:bCs/>
        </w:rPr>
        <w:t>.</w:t>
      </w:r>
      <w:r w:rsidRPr="000322E4">
        <w:rPr>
          <w:b/>
        </w:rPr>
        <w:t xml:space="preserve"> </w:t>
      </w:r>
      <w:r w:rsidRPr="000322E4">
        <w:t>Шкала оценки уровней достоверности доказательств для методов профилактики, лечения и реабилитации (профилактических, лечебных, реабилитационных вмешательств)</w:t>
      </w:r>
    </w:p>
    <w:tbl>
      <w:tblPr>
        <w:tblW w:w="501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3"/>
        <w:gridCol w:w="7016"/>
      </w:tblGrid>
      <w:tr w:rsidR="009F5D92" w:rsidRPr="000322E4" w14:paraId="09739D1E" w14:textId="77777777" w:rsidTr="004F0134">
        <w:tc>
          <w:tcPr>
            <w:tcW w:w="320" w:type="pct"/>
            <w:tcBorders>
              <w:top w:val="single" w:sz="4" w:space="0" w:color="auto"/>
              <w:left w:val="single" w:sz="4" w:space="0" w:color="auto"/>
              <w:bottom w:val="single" w:sz="4" w:space="0" w:color="auto"/>
              <w:right w:val="single" w:sz="4" w:space="0" w:color="auto"/>
            </w:tcBorders>
          </w:tcPr>
          <w:p w14:paraId="71C9E5AF" w14:textId="77777777" w:rsidR="009F5D92" w:rsidRPr="000322E4" w:rsidRDefault="009F5D92" w:rsidP="00F414BF">
            <w:pPr>
              <w:spacing w:line="360" w:lineRule="auto"/>
              <w:jc w:val="both"/>
              <w:rPr>
                <w:b/>
                <w:bCs/>
                <w:color w:val="000000"/>
              </w:rPr>
            </w:pPr>
            <w:r w:rsidRPr="000322E4">
              <w:rPr>
                <w:b/>
                <w:bCs/>
              </w:rPr>
              <w:t>Уровень достоверности доказательств</w:t>
            </w:r>
          </w:p>
        </w:tc>
        <w:tc>
          <w:tcPr>
            <w:tcW w:w="4680" w:type="pct"/>
            <w:tcBorders>
              <w:top w:val="single" w:sz="4" w:space="0" w:color="auto"/>
              <w:left w:val="single" w:sz="4" w:space="0" w:color="auto"/>
              <w:bottom w:val="single" w:sz="4" w:space="0" w:color="auto"/>
              <w:right w:val="single" w:sz="4" w:space="0" w:color="auto"/>
            </w:tcBorders>
          </w:tcPr>
          <w:p w14:paraId="697D5D5D" w14:textId="77777777" w:rsidR="009F5D92" w:rsidRPr="000322E4" w:rsidRDefault="009F5D92" w:rsidP="00F414BF">
            <w:pPr>
              <w:spacing w:line="360" w:lineRule="auto"/>
              <w:jc w:val="both"/>
              <w:rPr>
                <w:b/>
                <w:color w:val="000000"/>
              </w:rPr>
            </w:pPr>
            <w:r w:rsidRPr="000322E4">
              <w:rPr>
                <w:b/>
                <w:color w:val="000000"/>
              </w:rPr>
              <w:t xml:space="preserve">Расшифровка </w:t>
            </w:r>
          </w:p>
        </w:tc>
      </w:tr>
      <w:tr w:rsidR="009F5D92" w:rsidRPr="000322E4" w14:paraId="7797F51C" w14:textId="77777777" w:rsidTr="004F0134">
        <w:tc>
          <w:tcPr>
            <w:tcW w:w="320" w:type="pct"/>
            <w:tcBorders>
              <w:top w:val="single" w:sz="4" w:space="0" w:color="auto"/>
              <w:left w:val="single" w:sz="4" w:space="0" w:color="auto"/>
              <w:bottom w:val="single" w:sz="4" w:space="0" w:color="auto"/>
              <w:right w:val="single" w:sz="4" w:space="0" w:color="auto"/>
            </w:tcBorders>
          </w:tcPr>
          <w:p w14:paraId="335F43B1" w14:textId="77777777" w:rsidR="009F5D92" w:rsidRPr="000322E4" w:rsidRDefault="009F5D92" w:rsidP="00F414BF">
            <w:pPr>
              <w:spacing w:line="360" w:lineRule="auto"/>
              <w:jc w:val="both"/>
              <w:rPr>
                <w:color w:val="000000"/>
              </w:rPr>
            </w:pPr>
            <w:r w:rsidRPr="000322E4">
              <w:rPr>
                <w:color w:val="000000"/>
                <w:lang w:val="en-US"/>
              </w:rPr>
              <w:t>1</w:t>
            </w:r>
          </w:p>
        </w:tc>
        <w:tc>
          <w:tcPr>
            <w:tcW w:w="4680" w:type="pct"/>
            <w:tcBorders>
              <w:top w:val="single" w:sz="4" w:space="0" w:color="auto"/>
              <w:left w:val="single" w:sz="4" w:space="0" w:color="auto"/>
              <w:bottom w:val="single" w:sz="4" w:space="0" w:color="auto"/>
              <w:right w:val="single" w:sz="4" w:space="0" w:color="auto"/>
            </w:tcBorders>
          </w:tcPr>
          <w:p w14:paraId="68B4B531" w14:textId="77777777" w:rsidR="009F5D92" w:rsidRPr="000322E4" w:rsidRDefault="009F5D92" w:rsidP="00F414BF">
            <w:pPr>
              <w:spacing w:line="360" w:lineRule="auto"/>
              <w:jc w:val="both"/>
              <w:rPr>
                <w:color w:val="000000"/>
              </w:rPr>
            </w:pPr>
            <w:r w:rsidRPr="000322E4">
              <w:rPr>
                <w:color w:val="000000"/>
              </w:rPr>
              <w:t>Систематический обзор РКИ с применением метаанализа.</w:t>
            </w:r>
          </w:p>
        </w:tc>
      </w:tr>
      <w:tr w:rsidR="009F5D92" w:rsidRPr="000322E4" w14:paraId="7BBA4F5D" w14:textId="77777777" w:rsidTr="004F0134">
        <w:tc>
          <w:tcPr>
            <w:tcW w:w="320" w:type="pct"/>
            <w:tcBorders>
              <w:top w:val="single" w:sz="4" w:space="0" w:color="auto"/>
              <w:left w:val="single" w:sz="4" w:space="0" w:color="auto"/>
              <w:bottom w:val="single" w:sz="4" w:space="0" w:color="auto"/>
              <w:right w:val="single" w:sz="4" w:space="0" w:color="auto"/>
            </w:tcBorders>
          </w:tcPr>
          <w:p w14:paraId="1BA32AFC" w14:textId="77777777" w:rsidR="009F5D92" w:rsidRPr="000322E4" w:rsidRDefault="009F5D92" w:rsidP="00F414BF">
            <w:pPr>
              <w:spacing w:line="360" w:lineRule="auto"/>
              <w:jc w:val="both"/>
              <w:rPr>
                <w:color w:val="000000"/>
                <w:lang w:val="en-US"/>
              </w:rPr>
            </w:pPr>
            <w:r w:rsidRPr="000322E4">
              <w:rPr>
                <w:color w:val="000000"/>
              </w:rPr>
              <w:t>2</w:t>
            </w:r>
          </w:p>
        </w:tc>
        <w:tc>
          <w:tcPr>
            <w:tcW w:w="4680" w:type="pct"/>
            <w:tcBorders>
              <w:top w:val="single" w:sz="4" w:space="0" w:color="auto"/>
              <w:left w:val="single" w:sz="4" w:space="0" w:color="auto"/>
              <w:bottom w:val="single" w:sz="4" w:space="0" w:color="auto"/>
              <w:right w:val="single" w:sz="4" w:space="0" w:color="auto"/>
            </w:tcBorders>
          </w:tcPr>
          <w:p w14:paraId="5DB4CA1B" w14:textId="77777777" w:rsidR="009F5D92" w:rsidRPr="000322E4" w:rsidRDefault="009F5D92" w:rsidP="00F414BF">
            <w:pPr>
              <w:spacing w:line="360" w:lineRule="auto"/>
              <w:jc w:val="both"/>
              <w:rPr>
                <w:color w:val="000000"/>
              </w:rPr>
            </w:pPr>
            <w:r w:rsidRPr="000322E4">
              <w:rPr>
                <w:color w:val="000000"/>
              </w:rPr>
              <w:t>Отдельные РКИ и систематические обзоры исследований любого дизайна, за исключением РКИ, с применением метаанализа.</w:t>
            </w:r>
          </w:p>
        </w:tc>
      </w:tr>
      <w:tr w:rsidR="009F5D92" w:rsidRPr="000322E4" w14:paraId="72537698" w14:textId="77777777" w:rsidTr="004F0134">
        <w:tc>
          <w:tcPr>
            <w:tcW w:w="320" w:type="pct"/>
            <w:tcBorders>
              <w:top w:val="single" w:sz="4" w:space="0" w:color="auto"/>
              <w:left w:val="single" w:sz="4" w:space="0" w:color="auto"/>
              <w:bottom w:val="single" w:sz="4" w:space="0" w:color="auto"/>
              <w:right w:val="single" w:sz="4" w:space="0" w:color="auto"/>
            </w:tcBorders>
          </w:tcPr>
          <w:p w14:paraId="35838FA8" w14:textId="77777777" w:rsidR="009F5D92" w:rsidRPr="000322E4" w:rsidRDefault="009F5D92" w:rsidP="00F414BF">
            <w:pPr>
              <w:spacing w:line="360" w:lineRule="auto"/>
              <w:jc w:val="both"/>
              <w:rPr>
                <w:color w:val="000000"/>
              </w:rPr>
            </w:pPr>
            <w:r w:rsidRPr="000322E4">
              <w:rPr>
                <w:color w:val="000000"/>
                <w:lang w:val="en-US"/>
              </w:rPr>
              <w:t>3</w:t>
            </w:r>
          </w:p>
        </w:tc>
        <w:tc>
          <w:tcPr>
            <w:tcW w:w="4680" w:type="pct"/>
            <w:tcBorders>
              <w:top w:val="single" w:sz="4" w:space="0" w:color="auto"/>
              <w:left w:val="single" w:sz="4" w:space="0" w:color="auto"/>
              <w:bottom w:val="single" w:sz="4" w:space="0" w:color="auto"/>
              <w:right w:val="single" w:sz="4" w:space="0" w:color="auto"/>
            </w:tcBorders>
          </w:tcPr>
          <w:p w14:paraId="132AF707" w14:textId="77777777" w:rsidR="009F5D92" w:rsidRPr="000322E4" w:rsidRDefault="009F5D92" w:rsidP="00F414BF">
            <w:pPr>
              <w:spacing w:line="360" w:lineRule="auto"/>
              <w:jc w:val="both"/>
              <w:rPr>
                <w:color w:val="000000"/>
              </w:rPr>
            </w:pPr>
            <w:r w:rsidRPr="000322E4">
              <w:rPr>
                <w:color w:val="000000"/>
              </w:rPr>
              <w:t>Нерандомизированные сравнительные исследования, в т.ч. когортные исследования.</w:t>
            </w:r>
          </w:p>
        </w:tc>
      </w:tr>
      <w:tr w:rsidR="009F5D92" w:rsidRPr="000322E4" w14:paraId="2875EE9B" w14:textId="77777777" w:rsidTr="004F0134">
        <w:tc>
          <w:tcPr>
            <w:tcW w:w="320" w:type="pct"/>
            <w:tcBorders>
              <w:top w:val="single" w:sz="4" w:space="0" w:color="auto"/>
              <w:left w:val="single" w:sz="4" w:space="0" w:color="auto"/>
              <w:bottom w:val="single" w:sz="4" w:space="0" w:color="auto"/>
              <w:right w:val="single" w:sz="4" w:space="0" w:color="auto"/>
            </w:tcBorders>
          </w:tcPr>
          <w:p w14:paraId="06F9A81F" w14:textId="77777777" w:rsidR="009F5D92" w:rsidRPr="000322E4" w:rsidRDefault="009F5D92" w:rsidP="00F414BF">
            <w:pPr>
              <w:spacing w:line="360" w:lineRule="auto"/>
              <w:jc w:val="both"/>
              <w:rPr>
                <w:color w:val="000000"/>
              </w:rPr>
            </w:pPr>
            <w:r w:rsidRPr="000322E4">
              <w:rPr>
                <w:color w:val="000000"/>
                <w:lang w:val="en-US"/>
              </w:rPr>
              <w:t>4</w:t>
            </w:r>
          </w:p>
        </w:tc>
        <w:tc>
          <w:tcPr>
            <w:tcW w:w="4680" w:type="pct"/>
            <w:tcBorders>
              <w:top w:val="single" w:sz="4" w:space="0" w:color="auto"/>
              <w:left w:val="single" w:sz="4" w:space="0" w:color="auto"/>
              <w:bottom w:val="single" w:sz="4" w:space="0" w:color="auto"/>
              <w:right w:val="single" w:sz="4" w:space="0" w:color="auto"/>
            </w:tcBorders>
          </w:tcPr>
          <w:p w14:paraId="32B36D54" w14:textId="77777777" w:rsidR="009F5D92" w:rsidRPr="000322E4" w:rsidRDefault="009F5D92" w:rsidP="00F414BF">
            <w:pPr>
              <w:spacing w:line="360" w:lineRule="auto"/>
              <w:jc w:val="both"/>
              <w:rPr>
                <w:color w:val="000000"/>
              </w:rPr>
            </w:pPr>
            <w:r w:rsidRPr="000322E4">
              <w:rPr>
                <w:color w:val="000000"/>
              </w:rPr>
              <w:t>Несравнительные исследования, описание клинического случая или серии случаев, исследования «случай-контроль».</w:t>
            </w:r>
          </w:p>
        </w:tc>
      </w:tr>
      <w:tr w:rsidR="009F5D92" w:rsidRPr="000322E4" w14:paraId="385FA9FE" w14:textId="77777777" w:rsidTr="004F0134">
        <w:tc>
          <w:tcPr>
            <w:tcW w:w="320" w:type="pct"/>
            <w:tcBorders>
              <w:top w:val="single" w:sz="4" w:space="0" w:color="auto"/>
              <w:left w:val="single" w:sz="4" w:space="0" w:color="auto"/>
              <w:bottom w:val="single" w:sz="4" w:space="0" w:color="auto"/>
              <w:right w:val="single" w:sz="4" w:space="0" w:color="auto"/>
            </w:tcBorders>
          </w:tcPr>
          <w:p w14:paraId="4F4F87E6" w14:textId="77777777" w:rsidR="009F5D92" w:rsidRPr="000322E4" w:rsidRDefault="009F5D92" w:rsidP="00F414BF">
            <w:pPr>
              <w:spacing w:line="360" w:lineRule="auto"/>
              <w:jc w:val="both"/>
              <w:rPr>
                <w:color w:val="000000"/>
              </w:rPr>
            </w:pPr>
            <w:r w:rsidRPr="000322E4">
              <w:rPr>
                <w:color w:val="000000"/>
                <w:lang w:val="en-US"/>
              </w:rPr>
              <w:t>5</w:t>
            </w:r>
          </w:p>
        </w:tc>
        <w:tc>
          <w:tcPr>
            <w:tcW w:w="4680" w:type="pct"/>
            <w:tcBorders>
              <w:top w:val="single" w:sz="4" w:space="0" w:color="auto"/>
              <w:left w:val="single" w:sz="4" w:space="0" w:color="auto"/>
              <w:bottom w:val="single" w:sz="4" w:space="0" w:color="auto"/>
              <w:right w:val="single" w:sz="4" w:space="0" w:color="auto"/>
            </w:tcBorders>
          </w:tcPr>
          <w:p w14:paraId="391D695B" w14:textId="77777777" w:rsidR="009F5D92" w:rsidRPr="000322E4" w:rsidRDefault="009F5D92" w:rsidP="00F414BF">
            <w:pPr>
              <w:spacing w:line="360" w:lineRule="auto"/>
              <w:jc w:val="both"/>
              <w:rPr>
                <w:color w:val="000000"/>
              </w:rPr>
            </w:pPr>
            <w:r w:rsidRPr="000322E4">
              <w:rPr>
                <w:color w:val="000000"/>
              </w:rPr>
              <w:t>Имеется лишь обоснование механизма действия вмешательства (доклинические исследования) или мнение экспертов.</w:t>
            </w:r>
          </w:p>
        </w:tc>
      </w:tr>
    </w:tbl>
    <w:p w14:paraId="49093842" w14:textId="77777777" w:rsidR="009F5D92" w:rsidRPr="000322E4" w:rsidRDefault="009F5D92" w:rsidP="00CA442F">
      <w:pPr>
        <w:pStyle w:val="aff8"/>
        <w:rPr>
          <w:rStyle w:val="affb"/>
        </w:rPr>
      </w:pPr>
    </w:p>
    <w:p w14:paraId="01C024A8" w14:textId="77777777" w:rsidR="009F5D92" w:rsidRPr="000322E4" w:rsidRDefault="009F5D92" w:rsidP="00F414BF">
      <w:pPr>
        <w:spacing w:line="360" w:lineRule="auto"/>
        <w:jc w:val="both"/>
      </w:pPr>
      <w:bookmarkStart w:id="85" w:name="_Ref515967732"/>
      <w:r w:rsidRPr="000322E4">
        <w:rPr>
          <w:b/>
          <w:bCs/>
        </w:rPr>
        <w:t xml:space="preserve">Таблица </w:t>
      </w:r>
      <w:bookmarkEnd w:id="85"/>
      <w:r w:rsidR="00C6417C" w:rsidRPr="000322E4">
        <w:rPr>
          <w:b/>
          <w:bCs/>
        </w:rPr>
        <w:t>А2.</w:t>
      </w:r>
      <w:r w:rsidRPr="000322E4">
        <w:rPr>
          <w:b/>
          <w:bCs/>
        </w:rPr>
        <w:t>3.</w:t>
      </w:r>
      <w:r w:rsidRPr="000322E4">
        <w:rPr>
          <w:b/>
        </w:rPr>
        <w:t xml:space="preserve"> </w:t>
      </w:r>
      <w:r w:rsidRPr="000322E4">
        <w:t>Шкала оценки уровней убедительности рекомендаций для методов профилактики, диагностики, лечения и реабилитации (профилактических, диагностических, лечебных, реабилитационных вмешательств)</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0"/>
        <w:gridCol w:w="6849"/>
      </w:tblGrid>
      <w:tr w:rsidR="009F5D92" w:rsidRPr="000322E4" w14:paraId="44420FD5" w14:textId="77777777" w:rsidTr="004F0134">
        <w:trPr>
          <w:tblHeader/>
        </w:trPr>
        <w:tc>
          <w:tcPr>
            <w:tcW w:w="1035" w:type="pct"/>
            <w:tcBorders>
              <w:top w:val="single" w:sz="4" w:space="0" w:color="auto"/>
              <w:left w:val="single" w:sz="4" w:space="0" w:color="auto"/>
              <w:bottom w:val="single" w:sz="4" w:space="0" w:color="auto"/>
              <w:right w:val="single" w:sz="4" w:space="0" w:color="auto"/>
            </w:tcBorders>
          </w:tcPr>
          <w:p w14:paraId="434AEAFE" w14:textId="77777777" w:rsidR="009F5D92" w:rsidRPr="000322E4" w:rsidRDefault="009F5D92" w:rsidP="00F414BF">
            <w:pPr>
              <w:spacing w:line="360" w:lineRule="auto"/>
              <w:jc w:val="both"/>
              <w:rPr>
                <w:b/>
                <w:bCs/>
                <w:color w:val="000000"/>
              </w:rPr>
            </w:pPr>
            <w:r w:rsidRPr="000322E4">
              <w:rPr>
                <w:b/>
                <w:bCs/>
              </w:rPr>
              <w:t>Уровень убедительности рекомендаций</w:t>
            </w:r>
          </w:p>
        </w:tc>
        <w:tc>
          <w:tcPr>
            <w:tcW w:w="3965" w:type="pct"/>
            <w:tcBorders>
              <w:top w:val="single" w:sz="4" w:space="0" w:color="auto"/>
              <w:left w:val="single" w:sz="4" w:space="0" w:color="auto"/>
              <w:bottom w:val="single" w:sz="4" w:space="0" w:color="auto"/>
              <w:right w:val="single" w:sz="4" w:space="0" w:color="auto"/>
            </w:tcBorders>
          </w:tcPr>
          <w:p w14:paraId="2C25E154" w14:textId="77777777" w:rsidR="009F5D92" w:rsidRPr="000322E4" w:rsidRDefault="009F5D92" w:rsidP="00F414BF">
            <w:pPr>
              <w:spacing w:line="360" w:lineRule="auto"/>
              <w:jc w:val="both"/>
              <w:rPr>
                <w:b/>
                <w:color w:val="000000"/>
              </w:rPr>
            </w:pPr>
            <w:r w:rsidRPr="000322E4">
              <w:rPr>
                <w:b/>
                <w:color w:val="000000"/>
              </w:rPr>
              <w:t>Расшифровка</w:t>
            </w:r>
          </w:p>
        </w:tc>
      </w:tr>
      <w:tr w:rsidR="009F5D92" w:rsidRPr="000322E4" w14:paraId="7174C67C" w14:textId="77777777" w:rsidTr="004F0134">
        <w:trPr>
          <w:trHeight w:val="1060"/>
        </w:trPr>
        <w:tc>
          <w:tcPr>
            <w:tcW w:w="1035" w:type="pct"/>
            <w:tcBorders>
              <w:top w:val="single" w:sz="4" w:space="0" w:color="auto"/>
              <w:left w:val="single" w:sz="4" w:space="0" w:color="auto"/>
              <w:bottom w:val="single" w:sz="4" w:space="0" w:color="auto"/>
              <w:right w:val="single" w:sz="4" w:space="0" w:color="auto"/>
            </w:tcBorders>
          </w:tcPr>
          <w:p w14:paraId="356640B0" w14:textId="77777777" w:rsidR="009F5D92" w:rsidRPr="000322E4" w:rsidRDefault="009F5D92" w:rsidP="00F414BF">
            <w:pPr>
              <w:spacing w:line="360" w:lineRule="auto"/>
              <w:jc w:val="both"/>
              <w:rPr>
                <w:color w:val="000000"/>
              </w:rPr>
            </w:pPr>
            <w:r w:rsidRPr="000322E4">
              <w:rPr>
                <w:color w:val="000000"/>
                <w:lang w:val="en-US"/>
              </w:rPr>
              <w:t>A</w:t>
            </w:r>
          </w:p>
        </w:tc>
        <w:tc>
          <w:tcPr>
            <w:tcW w:w="3965" w:type="pct"/>
            <w:tcBorders>
              <w:top w:val="single" w:sz="4" w:space="0" w:color="auto"/>
              <w:left w:val="single" w:sz="4" w:space="0" w:color="auto"/>
              <w:bottom w:val="single" w:sz="4" w:space="0" w:color="auto"/>
              <w:right w:val="single" w:sz="4" w:space="0" w:color="auto"/>
            </w:tcBorders>
          </w:tcPr>
          <w:p w14:paraId="2ECC5F67" w14:textId="77777777" w:rsidR="009F5D92" w:rsidRPr="000322E4" w:rsidRDefault="009F5D92" w:rsidP="00F414BF">
            <w:pPr>
              <w:spacing w:line="360" w:lineRule="auto"/>
              <w:jc w:val="both"/>
              <w:rPr>
                <w:color w:val="000000"/>
              </w:rPr>
            </w:pPr>
            <w:r w:rsidRPr="000322E4">
              <w:rPr>
                <w:color w:val="000000"/>
              </w:rPr>
              <w:t xml:space="preserve">Сильная рекомендация (все рассматриваемые критерии эффективности (исходы) являются важными, все исследования имеют высокое или удовлетворительное методологическое </w:t>
            </w:r>
            <w:r w:rsidRPr="000322E4">
              <w:rPr>
                <w:color w:val="000000"/>
              </w:rPr>
              <w:lastRenderedPageBreak/>
              <w:t xml:space="preserve">качество, их выводы по интересующим исходам являются согласованными). </w:t>
            </w:r>
          </w:p>
        </w:tc>
      </w:tr>
      <w:tr w:rsidR="009F5D92" w:rsidRPr="000322E4" w14:paraId="417D8926" w14:textId="77777777" w:rsidTr="004F0134">
        <w:trPr>
          <w:trHeight w:val="558"/>
        </w:trPr>
        <w:tc>
          <w:tcPr>
            <w:tcW w:w="1035" w:type="pct"/>
            <w:tcBorders>
              <w:top w:val="single" w:sz="4" w:space="0" w:color="auto"/>
              <w:left w:val="single" w:sz="4" w:space="0" w:color="auto"/>
              <w:bottom w:val="single" w:sz="4" w:space="0" w:color="auto"/>
              <w:right w:val="single" w:sz="4" w:space="0" w:color="auto"/>
            </w:tcBorders>
          </w:tcPr>
          <w:p w14:paraId="27EF7B9C" w14:textId="77777777" w:rsidR="009F5D92" w:rsidRPr="000322E4" w:rsidRDefault="009F5D92" w:rsidP="00F414BF">
            <w:pPr>
              <w:spacing w:line="360" w:lineRule="auto"/>
              <w:jc w:val="both"/>
              <w:rPr>
                <w:color w:val="000000"/>
              </w:rPr>
            </w:pPr>
            <w:r w:rsidRPr="000322E4">
              <w:rPr>
                <w:color w:val="000000"/>
              </w:rPr>
              <w:lastRenderedPageBreak/>
              <w:t>B</w:t>
            </w:r>
          </w:p>
        </w:tc>
        <w:tc>
          <w:tcPr>
            <w:tcW w:w="3965" w:type="pct"/>
            <w:tcBorders>
              <w:top w:val="single" w:sz="4" w:space="0" w:color="auto"/>
              <w:left w:val="single" w:sz="4" w:space="0" w:color="auto"/>
              <w:bottom w:val="single" w:sz="4" w:space="0" w:color="auto"/>
              <w:right w:val="single" w:sz="4" w:space="0" w:color="auto"/>
            </w:tcBorders>
          </w:tcPr>
          <w:p w14:paraId="2965CD31" w14:textId="77777777" w:rsidR="009F5D92" w:rsidRPr="000322E4" w:rsidRDefault="009F5D92" w:rsidP="00F414BF">
            <w:pPr>
              <w:spacing w:line="360" w:lineRule="auto"/>
              <w:jc w:val="both"/>
              <w:rPr>
                <w:color w:val="000000"/>
              </w:rPr>
            </w:pPr>
            <w:r w:rsidRPr="000322E4">
              <w:rPr>
                <w:color w:val="000000"/>
              </w:rPr>
              <w:t xml:space="preserve">Условная рекомендация (не все рассматриваемые критерии эффективности (исходы) являются важными, не все исследования имеют высокое или удовлетворительное методологическое качество и/или их выводы по интересующим исходам не являются согласованными). </w:t>
            </w:r>
          </w:p>
        </w:tc>
      </w:tr>
      <w:tr w:rsidR="009F5D92" w:rsidRPr="000322E4" w14:paraId="5DDDA62A" w14:textId="77777777" w:rsidTr="004F0134">
        <w:trPr>
          <w:trHeight w:val="798"/>
        </w:trPr>
        <w:tc>
          <w:tcPr>
            <w:tcW w:w="1035" w:type="pct"/>
            <w:tcBorders>
              <w:top w:val="single" w:sz="4" w:space="0" w:color="auto"/>
              <w:left w:val="single" w:sz="4" w:space="0" w:color="auto"/>
              <w:bottom w:val="single" w:sz="4" w:space="0" w:color="auto"/>
              <w:right w:val="single" w:sz="4" w:space="0" w:color="auto"/>
            </w:tcBorders>
          </w:tcPr>
          <w:p w14:paraId="08034110" w14:textId="77777777" w:rsidR="009F5D92" w:rsidRPr="000322E4" w:rsidRDefault="009F5D92" w:rsidP="00F414BF">
            <w:pPr>
              <w:spacing w:line="360" w:lineRule="auto"/>
              <w:jc w:val="both"/>
              <w:rPr>
                <w:color w:val="000000"/>
              </w:rPr>
            </w:pPr>
            <w:r w:rsidRPr="000322E4">
              <w:rPr>
                <w:color w:val="000000"/>
              </w:rPr>
              <w:t>C</w:t>
            </w:r>
          </w:p>
        </w:tc>
        <w:tc>
          <w:tcPr>
            <w:tcW w:w="3965" w:type="pct"/>
            <w:tcBorders>
              <w:top w:val="single" w:sz="4" w:space="0" w:color="auto"/>
              <w:left w:val="single" w:sz="4" w:space="0" w:color="auto"/>
              <w:bottom w:val="single" w:sz="4" w:space="0" w:color="auto"/>
              <w:right w:val="single" w:sz="4" w:space="0" w:color="auto"/>
            </w:tcBorders>
          </w:tcPr>
          <w:p w14:paraId="7FE3B682" w14:textId="77777777" w:rsidR="009F5D92" w:rsidRPr="000322E4" w:rsidRDefault="009F5D92" w:rsidP="00F414BF">
            <w:pPr>
              <w:spacing w:line="360" w:lineRule="auto"/>
              <w:jc w:val="both"/>
              <w:rPr>
                <w:color w:val="000000"/>
              </w:rPr>
            </w:pPr>
            <w:r w:rsidRPr="000322E4">
              <w:rPr>
                <w:color w:val="000000"/>
              </w:rPr>
              <w:t xml:space="preserve">Слабая рекомендация (отсутствие доказательств надлежащего качества, все рассматриваемые критерии эффективности (исходы) являются неважными, все исследования имеют низкое методологическое качество и их выводы по интересующим исходам не являются согласованными). </w:t>
            </w:r>
          </w:p>
        </w:tc>
      </w:tr>
    </w:tbl>
    <w:p w14:paraId="1B3C8CBA" w14:textId="77777777" w:rsidR="009F5D92" w:rsidRPr="000322E4" w:rsidRDefault="009F5D92" w:rsidP="00F414BF">
      <w:pPr>
        <w:spacing w:line="360" w:lineRule="auto"/>
        <w:jc w:val="both"/>
        <w:rPr>
          <w:b/>
        </w:rPr>
      </w:pPr>
    </w:p>
    <w:p w14:paraId="7CEF6B85" w14:textId="77777777" w:rsidR="009F5D92" w:rsidRPr="000322E4" w:rsidRDefault="009F5D92" w:rsidP="00F414BF">
      <w:pPr>
        <w:spacing w:line="360" w:lineRule="auto"/>
        <w:ind w:firstLine="708"/>
        <w:jc w:val="both"/>
        <w:rPr>
          <w:b/>
          <w:u w:val="single"/>
        </w:rPr>
      </w:pPr>
      <w:r w:rsidRPr="000322E4">
        <w:rPr>
          <w:b/>
          <w:u w:val="single"/>
        </w:rPr>
        <w:t>Методология валидизации рекомендаций</w:t>
      </w:r>
    </w:p>
    <w:p w14:paraId="07FCD71D" w14:textId="77777777" w:rsidR="009F5D92" w:rsidRPr="000322E4" w:rsidRDefault="009F5D92" w:rsidP="00F414BF">
      <w:pPr>
        <w:spacing w:line="360" w:lineRule="auto"/>
        <w:jc w:val="both"/>
        <w:rPr>
          <w:b/>
        </w:rPr>
      </w:pPr>
      <w:r w:rsidRPr="000322E4">
        <w:rPr>
          <w:b/>
        </w:rPr>
        <w:t>Методы валидизации рекомендаций:</w:t>
      </w:r>
    </w:p>
    <w:p w14:paraId="09D52883" w14:textId="77777777" w:rsidR="009F5D92" w:rsidRPr="000322E4" w:rsidRDefault="009F5D92" w:rsidP="00F414BF">
      <w:pPr>
        <w:numPr>
          <w:ilvl w:val="0"/>
          <w:numId w:val="19"/>
        </w:numPr>
        <w:spacing w:line="360" w:lineRule="auto"/>
        <w:ind w:left="0" w:firstLine="851"/>
        <w:jc w:val="both"/>
      </w:pPr>
      <w:r w:rsidRPr="000322E4">
        <w:t>внешняя экспертная оценка;</w:t>
      </w:r>
    </w:p>
    <w:p w14:paraId="517FED2D" w14:textId="77777777" w:rsidR="009F5D92" w:rsidRPr="000322E4" w:rsidRDefault="009F5D92" w:rsidP="00F414BF">
      <w:pPr>
        <w:numPr>
          <w:ilvl w:val="0"/>
          <w:numId w:val="19"/>
        </w:numPr>
        <w:spacing w:line="360" w:lineRule="auto"/>
        <w:ind w:left="0" w:firstLine="851"/>
        <w:jc w:val="both"/>
      </w:pPr>
      <w:r w:rsidRPr="000322E4">
        <w:t>внутренняя экспертная оценка.</w:t>
      </w:r>
    </w:p>
    <w:p w14:paraId="33BAAB0B" w14:textId="77777777" w:rsidR="009F5D92" w:rsidRPr="000322E4" w:rsidRDefault="009F5D92" w:rsidP="00F414BF">
      <w:pPr>
        <w:spacing w:line="360" w:lineRule="auto"/>
        <w:jc w:val="both"/>
      </w:pPr>
      <w:r w:rsidRPr="000322E4">
        <w:rPr>
          <w:b/>
        </w:rPr>
        <w:t xml:space="preserve">Описание методики валидизации рекомендаций. </w:t>
      </w:r>
      <w:r w:rsidRPr="000322E4">
        <w:t>Настоящие рекомендации в предварительной версии были рецензированы независимыми экспертами, которых попросили прокомментировать, насколько качественно интерпретированы доказательства и разработаны рекомендации. Также была проведена экспертная оценка изложения рекомендаций и их доступности для понимания.</w:t>
      </w:r>
    </w:p>
    <w:p w14:paraId="1B409AB7" w14:textId="77777777" w:rsidR="009F5D92" w:rsidRPr="000322E4" w:rsidRDefault="009F5D92" w:rsidP="00F414BF">
      <w:pPr>
        <w:spacing w:line="360" w:lineRule="auto"/>
        <w:jc w:val="both"/>
      </w:pPr>
      <w:r w:rsidRPr="000322E4">
        <w:t xml:space="preserve">Рекомендации обсуждены и одобрены ведущими специалистами профильных федеральных центров РФ и практическими врачами. </w:t>
      </w:r>
    </w:p>
    <w:p w14:paraId="187C3088" w14:textId="77777777" w:rsidR="009F5D92" w:rsidRPr="000322E4" w:rsidRDefault="009F5D92" w:rsidP="00F414BF">
      <w:pPr>
        <w:spacing w:line="360" w:lineRule="auto"/>
        <w:jc w:val="both"/>
      </w:pPr>
      <w:r w:rsidRPr="000322E4">
        <w:rPr>
          <w:rStyle w:val="affb"/>
        </w:rPr>
        <w:t xml:space="preserve">Окончательная редакция. </w:t>
      </w:r>
      <w:r w:rsidRPr="000322E4">
        <w:t>Для окончательной редакции и контроля качества рекомендации были повторно проанализированы членами авторского коллектива, которые пришли к заключению, что все существенные замечания и комментарии экспертов приняты во внимание, риск систематических ошибок при разработке сведен к минимуму.</w:t>
      </w:r>
    </w:p>
    <w:p w14:paraId="6F5E80E9" w14:textId="77777777" w:rsidR="004436C7" w:rsidRPr="000322E4" w:rsidRDefault="004436C7" w:rsidP="00F414BF">
      <w:pPr>
        <w:spacing w:line="360" w:lineRule="auto"/>
        <w:jc w:val="both"/>
      </w:pPr>
    </w:p>
    <w:p w14:paraId="17844AA1" w14:textId="77777777" w:rsidR="000414F6" w:rsidRPr="000322E4" w:rsidRDefault="00CB71DA" w:rsidP="00F414BF">
      <w:pPr>
        <w:pStyle w:val="afff2"/>
        <w:spacing w:before="0"/>
        <w:jc w:val="both"/>
      </w:pPr>
      <w:r w:rsidRPr="000322E4">
        <w:br w:type="page"/>
      </w:r>
      <w:bookmarkStart w:id="86" w:name="__RefHeading___doc_a3"/>
      <w:bookmarkStart w:id="87" w:name="_Toc96601270"/>
      <w:r w:rsidRPr="000322E4">
        <w:lastRenderedPageBreak/>
        <w:t xml:space="preserve">Приложение А3. </w:t>
      </w:r>
      <w:bookmarkEnd w:id="86"/>
      <w:r w:rsidR="009C0364" w:rsidRPr="000322E4">
        <w:t>Справочные материалы, включая соответствие показаний к применению и противопоказаний, способов применения и доз лекарственных препаратов</w:t>
      </w:r>
      <w:r w:rsidR="00427B0E" w:rsidRPr="000322E4">
        <w:t>,</w:t>
      </w:r>
      <w:r w:rsidR="009C0364" w:rsidRPr="000322E4">
        <w:t xml:space="preserve"> инструкции по прим</w:t>
      </w:r>
      <w:r w:rsidR="003527A8" w:rsidRPr="000322E4">
        <w:t>енению лекарственного препарата</w:t>
      </w:r>
      <w:bookmarkEnd w:id="87"/>
    </w:p>
    <w:p w14:paraId="492FD030" w14:textId="77777777" w:rsidR="00666D68" w:rsidRPr="000322E4" w:rsidRDefault="00666D68" w:rsidP="00F414BF">
      <w:pPr>
        <w:pStyle w:val="2"/>
        <w:spacing w:before="0"/>
      </w:pPr>
      <w:bookmarkStart w:id="88" w:name="_Toc96601271"/>
      <w:bookmarkStart w:id="89" w:name="_Hlk36127819"/>
      <w:bookmarkStart w:id="90" w:name="_Hlk36738223"/>
      <w:bookmarkStart w:id="91" w:name="_Toc14773438"/>
      <w:bookmarkStart w:id="92" w:name="__RefHeading___doc_b"/>
      <w:r w:rsidRPr="000322E4">
        <w:t>Приложение А3.1. Режимы лекарственного лечения ДВКЛ</w:t>
      </w:r>
      <w:bookmarkEnd w:id="88"/>
    </w:p>
    <w:p w14:paraId="4A52A923" w14:textId="77777777" w:rsidR="00666D68" w:rsidRPr="000322E4" w:rsidRDefault="00666D68" w:rsidP="00F414BF">
      <w:pPr>
        <w:pStyle w:val="afd"/>
        <w:rPr>
          <w:i/>
          <w:iCs/>
        </w:rPr>
      </w:pPr>
      <w:r w:rsidRPr="000322E4">
        <w:rPr>
          <w:i/>
          <w:iCs/>
        </w:rPr>
        <w:t>При проведении химиотерапии рекомендуется контролировать вес пациента и производить пересчет доз химиопрепаратов при изменении веса.</w:t>
      </w:r>
    </w:p>
    <w:p w14:paraId="602F8C8A" w14:textId="77777777" w:rsidR="00666D68" w:rsidRPr="000322E4" w:rsidRDefault="00666D68" w:rsidP="00F414BF">
      <w:pPr>
        <w:pStyle w:val="afd"/>
        <w:ind w:firstLine="0"/>
        <w:rPr>
          <w:b/>
          <w:bCs/>
          <w:u w:val="single"/>
        </w:rPr>
      </w:pPr>
      <w:r w:rsidRPr="000322E4">
        <w:rPr>
          <w:b/>
          <w:bCs/>
          <w:u w:val="single"/>
          <w:lang w:val="en-US"/>
        </w:rPr>
        <w:t>A</w:t>
      </w:r>
      <w:r w:rsidRPr="000322E4">
        <w:rPr>
          <w:b/>
          <w:bCs/>
          <w:u w:val="single"/>
        </w:rPr>
        <w:t xml:space="preserve">3.1.1 Схемы терапии ДВКЛ и ПМВКЛ </w:t>
      </w:r>
    </w:p>
    <w:p w14:paraId="1B2F6865" w14:textId="77777777" w:rsidR="00666D68" w:rsidRPr="000322E4" w:rsidRDefault="00666D68" w:rsidP="00F414BF">
      <w:pPr>
        <w:spacing w:line="360" w:lineRule="auto"/>
        <w:jc w:val="both"/>
      </w:pPr>
      <w:r w:rsidRPr="000322E4">
        <w:rPr>
          <w:b/>
          <w:bCs/>
          <w:lang w:val="en-US"/>
        </w:rPr>
        <w:t>R</w:t>
      </w:r>
      <w:r w:rsidRPr="000322E4">
        <w:rPr>
          <w:b/>
          <w:bCs/>
        </w:rPr>
        <w:t>-</w:t>
      </w:r>
      <w:r w:rsidRPr="000322E4">
        <w:rPr>
          <w:b/>
          <w:bCs/>
          <w:lang w:val="en-US"/>
        </w:rPr>
        <w:t>CHOP</w:t>
      </w:r>
    </w:p>
    <w:p w14:paraId="04C4B181" w14:textId="77777777" w:rsidR="00666D68" w:rsidRPr="000322E4" w:rsidRDefault="00666D68" w:rsidP="00F414BF">
      <w:pPr>
        <w:numPr>
          <w:ilvl w:val="0"/>
          <w:numId w:val="39"/>
        </w:numPr>
        <w:spacing w:line="360" w:lineRule="auto"/>
        <w:jc w:val="both"/>
      </w:pPr>
      <w:r w:rsidRPr="000322E4">
        <w:t>Ритуксимаб</w:t>
      </w:r>
      <w:r w:rsidRPr="000322E4">
        <w:rPr>
          <w:bCs/>
        </w:rPr>
        <w:t>**</w:t>
      </w:r>
      <w:r w:rsidRPr="000322E4">
        <w:t xml:space="preserve"> </w:t>
      </w:r>
    </w:p>
    <w:p w14:paraId="08DA47EE" w14:textId="77777777" w:rsidR="00666D68" w:rsidRPr="000322E4" w:rsidRDefault="00666D68" w:rsidP="00F414BF">
      <w:pPr>
        <w:numPr>
          <w:ilvl w:val="1"/>
          <w:numId w:val="39"/>
        </w:numPr>
        <w:spacing w:line="360" w:lineRule="auto"/>
        <w:jc w:val="both"/>
      </w:pPr>
      <w:r w:rsidRPr="000322E4">
        <w:t>375 мг/м</w:t>
      </w:r>
      <w:r w:rsidRPr="000322E4">
        <w:rPr>
          <w:vertAlign w:val="superscript"/>
        </w:rPr>
        <w:t>2</w:t>
      </w:r>
      <w:r w:rsidRPr="000322E4">
        <w:t xml:space="preserve"> в/в кап., день 0 или 1 все циклы курса</w:t>
      </w:r>
    </w:p>
    <w:p w14:paraId="3906336D" w14:textId="77777777" w:rsidR="00666D68" w:rsidRPr="000322E4" w:rsidRDefault="00666D68" w:rsidP="00F414BF">
      <w:pPr>
        <w:spacing w:line="360" w:lineRule="auto"/>
        <w:ind w:left="1080" w:firstLine="336"/>
        <w:jc w:val="both"/>
      </w:pPr>
      <w:r w:rsidRPr="000322E4">
        <w:t>или</w:t>
      </w:r>
    </w:p>
    <w:p w14:paraId="3DEFBEC1" w14:textId="7F576655" w:rsidR="00666D68" w:rsidRPr="004F2D3F" w:rsidRDefault="00666D68" w:rsidP="00F414BF">
      <w:pPr>
        <w:pStyle w:val="afe"/>
        <w:numPr>
          <w:ilvl w:val="1"/>
          <w:numId w:val="39"/>
        </w:numPr>
        <w:contextualSpacing w:val="0"/>
        <w:rPr>
          <w:lang w:eastAsia="ru-RU"/>
        </w:rPr>
      </w:pPr>
      <w:r w:rsidRPr="000322E4">
        <w:rPr>
          <w:lang w:eastAsia="ru-RU"/>
        </w:rPr>
        <w:t>375 мг/м</w:t>
      </w:r>
      <w:r w:rsidRPr="000322E4">
        <w:rPr>
          <w:vertAlign w:val="superscript"/>
          <w:lang w:eastAsia="ru-RU"/>
        </w:rPr>
        <w:t>2</w:t>
      </w:r>
      <w:r w:rsidRPr="000322E4">
        <w:rPr>
          <w:lang w:eastAsia="ru-RU"/>
        </w:rPr>
        <w:t xml:space="preserve"> в/в кап. 1 цикл,</w:t>
      </w:r>
      <w:r w:rsidRPr="000322E4">
        <w:t xml:space="preserve"> далее ритуксимаб 1400 мг п/к,</w:t>
      </w:r>
      <w:r w:rsidRPr="000322E4">
        <w:rPr>
          <w:lang w:eastAsia="ru-RU"/>
        </w:rPr>
        <w:t xml:space="preserve"> день 0 или 1 </w:t>
      </w:r>
      <w:r w:rsidRPr="000322E4">
        <w:rPr>
          <w:lang w:val="en-US" w:eastAsia="ru-RU"/>
        </w:rPr>
        <w:fldChar w:fldCharType="begin" w:fldLock="1"/>
      </w:r>
      <w:r w:rsidR="00A6794A">
        <w:rPr>
          <w:lang w:val="en-US" w:eastAsia="ru-RU"/>
        </w:rPr>
        <w:instrText>ADDIN</w:instrText>
      </w:r>
      <w:r w:rsidR="00A6794A" w:rsidRPr="00D3550C">
        <w:rPr>
          <w:lang w:eastAsia="ru-RU"/>
        </w:rPr>
        <w:instrText xml:space="preserve"> </w:instrText>
      </w:r>
      <w:r w:rsidR="00A6794A">
        <w:rPr>
          <w:lang w:val="en-US" w:eastAsia="ru-RU"/>
        </w:rPr>
        <w:instrText>CSL</w:instrText>
      </w:r>
      <w:r w:rsidR="00A6794A" w:rsidRPr="00D3550C">
        <w:rPr>
          <w:lang w:eastAsia="ru-RU"/>
        </w:rPr>
        <w:instrText>_</w:instrText>
      </w:r>
      <w:r w:rsidR="00A6794A">
        <w:rPr>
          <w:lang w:val="en-US" w:eastAsia="ru-RU"/>
        </w:rPr>
        <w:instrText>CITATION</w:instrText>
      </w:r>
      <w:r w:rsidR="00A6794A" w:rsidRPr="00D3550C">
        <w:rPr>
          <w:lang w:eastAsia="ru-RU"/>
        </w:rPr>
        <w:instrText xml:space="preserve"> {"</w:instrText>
      </w:r>
      <w:r w:rsidR="00A6794A">
        <w:rPr>
          <w:lang w:val="en-US" w:eastAsia="ru-RU"/>
        </w:rPr>
        <w:instrText>citationItems</w:instrText>
      </w:r>
      <w:r w:rsidR="00A6794A" w:rsidRPr="00D3550C">
        <w:rPr>
          <w:lang w:eastAsia="ru-RU"/>
        </w:rPr>
        <w:instrText>":[{"</w:instrText>
      </w:r>
      <w:r w:rsidR="00A6794A">
        <w:rPr>
          <w:lang w:val="en-US" w:eastAsia="ru-RU"/>
        </w:rPr>
        <w:instrText>id</w:instrText>
      </w:r>
      <w:r w:rsidR="00A6794A" w:rsidRPr="00D3550C">
        <w:rPr>
          <w:lang w:eastAsia="ru-RU"/>
        </w:rPr>
        <w:instrText>":"</w:instrText>
      </w:r>
      <w:r w:rsidR="00A6794A">
        <w:rPr>
          <w:lang w:val="en-US" w:eastAsia="ru-RU"/>
        </w:rPr>
        <w:instrText>ITEM</w:instrText>
      </w:r>
      <w:r w:rsidR="00A6794A" w:rsidRPr="00D3550C">
        <w:rPr>
          <w:lang w:eastAsia="ru-RU"/>
        </w:rPr>
        <w:instrText>-1","</w:instrText>
      </w:r>
      <w:r w:rsidR="00A6794A">
        <w:rPr>
          <w:lang w:val="en-US" w:eastAsia="ru-RU"/>
        </w:rPr>
        <w:instrText>itemData</w:instrText>
      </w:r>
      <w:r w:rsidR="00A6794A" w:rsidRPr="00D3550C">
        <w:rPr>
          <w:lang w:eastAsia="ru-RU"/>
        </w:rPr>
        <w:instrText>":{"</w:instrText>
      </w:r>
      <w:r w:rsidR="00A6794A">
        <w:rPr>
          <w:lang w:val="en-US" w:eastAsia="ru-RU"/>
        </w:rPr>
        <w:instrText>ISSN</w:instrText>
      </w:r>
      <w:r w:rsidR="00A6794A" w:rsidRPr="00D3550C">
        <w:rPr>
          <w:lang w:eastAsia="ru-RU"/>
        </w:rPr>
        <w:instrText>":"2150-0878","</w:instrText>
      </w:r>
      <w:r w:rsidR="00A6794A">
        <w:rPr>
          <w:lang w:val="en-US" w:eastAsia="ru-RU"/>
        </w:rPr>
        <w:instrText>PMID</w:instrText>
      </w:r>
      <w:r w:rsidR="00A6794A" w:rsidRPr="00D3550C">
        <w:rPr>
          <w:lang w:eastAsia="ru-RU"/>
        </w:rPr>
        <w:instrText>":"31086689","</w:instrText>
      </w:r>
      <w:r w:rsidR="00A6794A">
        <w:rPr>
          <w:lang w:val="en-US" w:eastAsia="ru-RU"/>
        </w:rPr>
        <w:instrText>abstract</w:instrText>
      </w:r>
      <w:r w:rsidR="00A6794A" w:rsidRPr="00D3550C">
        <w:rPr>
          <w:lang w:eastAsia="ru-RU"/>
        </w:rPr>
        <w:instrText>":"</w:instrText>
      </w:r>
      <w:r w:rsidR="00A6794A">
        <w:rPr>
          <w:lang w:val="en-US" w:eastAsia="ru-RU"/>
        </w:rPr>
        <w:instrText>Rituximab</w:instrText>
      </w:r>
      <w:r w:rsidR="00A6794A" w:rsidRPr="00D3550C">
        <w:rPr>
          <w:lang w:eastAsia="ru-RU"/>
        </w:rPr>
        <w:instrText xml:space="preserve"> </w:instrText>
      </w:r>
      <w:r w:rsidR="00A6794A">
        <w:rPr>
          <w:lang w:val="en-US" w:eastAsia="ru-RU"/>
        </w:rPr>
        <w:instrText>and</w:instrText>
      </w:r>
      <w:r w:rsidR="00A6794A" w:rsidRPr="00D3550C">
        <w:rPr>
          <w:lang w:eastAsia="ru-RU"/>
        </w:rPr>
        <w:instrText xml:space="preserve"> </w:instrText>
      </w:r>
      <w:r w:rsidR="00A6794A">
        <w:rPr>
          <w:lang w:val="en-US" w:eastAsia="ru-RU"/>
        </w:rPr>
        <w:instrText>hyaluronidase</w:instrText>
      </w:r>
      <w:r w:rsidR="00A6794A" w:rsidRPr="00D3550C">
        <w:rPr>
          <w:lang w:eastAsia="ru-RU"/>
        </w:rPr>
        <w:instrText xml:space="preserve"> </w:instrText>
      </w:r>
      <w:r w:rsidR="00A6794A">
        <w:rPr>
          <w:lang w:val="en-US" w:eastAsia="ru-RU"/>
        </w:rPr>
        <w:instrText>human</w:instrText>
      </w:r>
      <w:r w:rsidR="00A6794A" w:rsidRPr="00D3550C">
        <w:rPr>
          <w:lang w:eastAsia="ru-RU"/>
        </w:rPr>
        <w:instrText xml:space="preserve"> </w:instrText>
      </w:r>
      <w:r w:rsidR="00A6794A">
        <w:rPr>
          <w:lang w:val="en-US" w:eastAsia="ru-RU"/>
        </w:rPr>
        <w:instrText>is</w:instrText>
      </w:r>
      <w:r w:rsidR="00A6794A" w:rsidRPr="00D3550C">
        <w:rPr>
          <w:lang w:eastAsia="ru-RU"/>
        </w:rPr>
        <w:instrText xml:space="preserve"> </w:instrText>
      </w:r>
      <w:r w:rsidR="00A6794A">
        <w:rPr>
          <w:lang w:val="en-US" w:eastAsia="ru-RU"/>
        </w:rPr>
        <w:instrText>a</w:instrText>
      </w:r>
      <w:r w:rsidR="00A6794A" w:rsidRPr="00D3550C">
        <w:rPr>
          <w:lang w:eastAsia="ru-RU"/>
        </w:rPr>
        <w:instrText xml:space="preserve"> </w:instrText>
      </w:r>
      <w:r w:rsidR="00A6794A">
        <w:rPr>
          <w:lang w:val="en-US" w:eastAsia="ru-RU"/>
        </w:rPr>
        <w:instrText>new</w:instrText>
      </w:r>
      <w:r w:rsidR="00A6794A" w:rsidRPr="00D3550C">
        <w:rPr>
          <w:lang w:eastAsia="ru-RU"/>
        </w:rPr>
        <w:instrText xml:space="preserve"> </w:instrText>
      </w:r>
      <w:r w:rsidR="00A6794A">
        <w:rPr>
          <w:lang w:val="en-US" w:eastAsia="ru-RU"/>
        </w:rPr>
        <w:instrText>subcutaneous</w:instrText>
      </w:r>
      <w:r w:rsidR="00A6794A" w:rsidRPr="00D3550C">
        <w:rPr>
          <w:lang w:eastAsia="ru-RU"/>
        </w:rPr>
        <w:instrText xml:space="preserve"> </w:instrText>
      </w:r>
      <w:r w:rsidR="00A6794A">
        <w:rPr>
          <w:lang w:val="en-US" w:eastAsia="ru-RU"/>
        </w:rPr>
        <w:instrText>formulation</w:instrText>
      </w:r>
      <w:r w:rsidR="00A6794A" w:rsidRPr="00D3550C">
        <w:rPr>
          <w:lang w:eastAsia="ru-RU"/>
        </w:rPr>
        <w:instrText xml:space="preserve"> </w:instrText>
      </w:r>
      <w:r w:rsidR="00A6794A">
        <w:rPr>
          <w:lang w:val="en-US" w:eastAsia="ru-RU"/>
        </w:rPr>
        <w:instrText>of</w:instrText>
      </w:r>
      <w:r w:rsidR="00A6794A" w:rsidRPr="00D3550C">
        <w:rPr>
          <w:lang w:eastAsia="ru-RU"/>
        </w:rPr>
        <w:instrText xml:space="preserve"> </w:instrText>
      </w:r>
      <w:r w:rsidR="00A6794A">
        <w:rPr>
          <w:lang w:val="en-US" w:eastAsia="ru-RU"/>
        </w:rPr>
        <w:instrText>rituximab</w:instrText>
      </w:r>
      <w:r w:rsidR="00A6794A" w:rsidRPr="00D3550C">
        <w:rPr>
          <w:lang w:eastAsia="ru-RU"/>
        </w:rPr>
        <w:instrText xml:space="preserve"> </w:instrText>
      </w:r>
      <w:r w:rsidR="00A6794A">
        <w:rPr>
          <w:lang w:val="en-US" w:eastAsia="ru-RU"/>
        </w:rPr>
        <w:instrText>that</w:instrText>
      </w:r>
      <w:r w:rsidR="00A6794A" w:rsidRPr="00D3550C">
        <w:rPr>
          <w:lang w:eastAsia="ru-RU"/>
        </w:rPr>
        <w:instrText xml:space="preserve"> </w:instrText>
      </w:r>
      <w:r w:rsidR="00A6794A">
        <w:rPr>
          <w:lang w:val="en-US" w:eastAsia="ru-RU"/>
        </w:rPr>
        <w:instrText>was</w:instrText>
      </w:r>
      <w:r w:rsidR="00A6794A" w:rsidRPr="00D3550C">
        <w:rPr>
          <w:lang w:eastAsia="ru-RU"/>
        </w:rPr>
        <w:instrText xml:space="preserve"> </w:instrText>
      </w:r>
      <w:r w:rsidR="00A6794A">
        <w:rPr>
          <w:lang w:val="en-US" w:eastAsia="ru-RU"/>
        </w:rPr>
        <w:instrText>recently</w:instrText>
      </w:r>
      <w:r w:rsidR="00A6794A" w:rsidRPr="00D3550C">
        <w:rPr>
          <w:lang w:eastAsia="ru-RU"/>
        </w:rPr>
        <w:instrText xml:space="preserve"> </w:instrText>
      </w:r>
      <w:r w:rsidR="00A6794A">
        <w:rPr>
          <w:lang w:val="en-US" w:eastAsia="ru-RU"/>
        </w:rPr>
        <w:instrText>approved</w:instrText>
      </w:r>
      <w:r w:rsidR="00A6794A" w:rsidRPr="00D3550C">
        <w:rPr>
          <w:lang w:eastAsia="ru-RU"/>
        </w:rPr>
        <w:instrText xml:space="preserve"> </w:instrText>
      </w:r>
      <w:r w:rsidR="00A6794A">
        <w:rPr>
          <w:lang w:val="en-US" w:eastAsia="ru-RU"/>
        </w:rPr>
        <w:instrText>by</w:instrText>
      </w:r>
      <w:r w:rsidR="00A6794A" w:rsidRPr="00D3550C">
        <w:rPr>
          <w:lang w:eastAsia="ru-RU"/>
        </w:rPr>
        <w:instrText xml:space="preserve"> </w:instrText>
      </w:r>
      <w:r w:rsidR="00A6794A">
        <w:rPr>
          <w:lang w:val="en-US" w:eastAsia="ru-RU"/>
        </w:rPr>
        <w:instrText>the</w:instrText>
      </w:r>
      <w:r w:rsidR="00A6794A" w:rsidRPr="00D3550C">
        <w:rPr>
          <w:lang w:eastAsia="ru-RU"/>
        </w:rPr>
        <w:instrText xml:space="preserve"> </w:instrText>
      </w:r>
      <w:r w:rsidR="00A6794A">
        <w:rPr>
          <w:lang w:val="en-US" w:eastAsia="ru-RU"/>
        </w:rPr>
        <w:instrText>US</w:instrText>
      </w:r>
      <w:r w:rsidR="00A6794A" w:rsidRPr="00D3550C">
        <w:rPr>
          <w:lang w:eastAsia="ru-RU"/>
        </w:rPr>
        <w:instrText xml:space="preserve"> </w:instrText>
      </w:r>
      <w:r w:rsidR="00A6794A">
        <w:rPr>
          <w:lang w:val="en-US" w:eastAsia="ru-RU"/>
        </w:rPr>
        <w:instrText>Food</w:instrText>
      </w:r>
      <w:r w:rsidR="00A6794A" w:rsidRPr="00D3550C">
        <w:rPr>
          <w:lang w:eastAsia="ru-RU"/>
        </w:rPr>
        <w:instrText xml:space="preserve"> </w:instrText>
      </w:r>
      <w:r w:rsidR="00A6794A">
        <w:rPr>
          <w:lang w:val="en-US" w:eastAsia="ru-RU"/>
        </w:rPr>
        <w:instrText>and</w:instrText>
      </w:r>
      <w:r w:rsidR="00A6794A" w:rsidRPr="00D3550C">
        <w:rPr>
          <w:lang w:eastAsia="ru-RU"/>
        </w:rPr>
        <w:instrText xml:space="preserve"> </w:instrText>
      </w:r>
      <w:r w:rsidR="00A6794A">
        <w:rPr>
          <w:lang w:val="en-US" w:eastAsia="ru-RU"/>
        </w:rPr>
        <w:instrText>Drug</w:instrText>
      </w:r>
      <w:r w:rsidR="00A6794A" w:rsidRPr="00D3550C">
        <w:rPr>
          <w:lang w:eastAsia="ru-RU"/>
        </w:rPr>
        <w:instrText xml:space="preserve"> </w:instrText>
      </w:r>
      <w:r w:rsidR="00A6794A">
        <w:rPr>
          <w:lang w:val="en-US" w:eastAsia="ru-RU"/>
        </w:rPr>
        <w:instrText>Administration</w:instrText>
      </w:r>
      <w:r w:rsidR="00A6794A" w:rsidRPr="00D3550C">
        <w:rPr>
          <w:lang w:eastAsia="ru-RU"/>
        </w:rPr>
        <w:instrText xml:space="preserve"> </w:instrText>
      </w:r>
      <w:r w:rsidR="00A6794A">
        <w:rPr>
          <w:lang w:val="en-US" w:eastAsia="ru-RU"/>
        </w:rPr>
        <w:instrText>for</w:instrText>
      </w:r>
      <w:r w:rsidR="00A6794A" w:rsidRPr="00D3550C">
        <w:rPr>
          <w:lang w:eastAsia="ru-RU"/>
        </w:rPr>
        <w:instrText xml:space="preserve"> </w:instrText>
      </w:r>
      <w:r w:rsidR="00A6794A">
        <w:rPr>
          <w:lang w:val="en-US" w:eastAsia="ru-RU"/>
        </w:rPr>
        <w:instrText>the</w:instrText>
      </w:r>
      <w:r w:rsidR="00A6794A" w:rsidRPr="00D3550C">
        <w:rPr>
          <w:lang w:eastAsia="ru-RU"/>
        </w:rPr>
        <w:instrText xml:space="preserve"> </w:instrText>
      </w:r>
      <w:r w:rsidR="00A6794A">
        <w:rPr>
          <w:lang w:val="en-US" w:eastAsia="ru-RU"/>
        </w:rPr>
        <w:instrText>treatment</w:instrText>
      </w:r>
      <w:r w:rsidR="00A6794A" w:rsidRPr="00D3550C">
        <w:rPr>
          <w:lang w:eastAsia="ru-RU"/>
        </w:rPr>
        <w:instrText xml:space="preserve"> </w:instrText>
      </w:r>
      <w:r w:rsidR="00A6794A">
        <w:rPr>
          <w:lang w:val="en-US" w:eastAsia="ru-RU"/>
        </w:rPr>
        <w:instrText>of</w:instrText>
      </w:r>
      <w:r w:rsidR="00A6794A" w:rsidRPr="00D3550C">
        <w:rPr>
          <w:lang w:eastAsia="ru-RU"/>
        </w:rPr>
        <w:instrText xml:space="preserve"> </w:instrText>
      </w:r>
      <w:r w:rsidR="00A6794A">
        <w:rPr>
          <w:lang w:val="en-US" w:eastAsia="ru-RU"/>
        </w:rPr>
        <w:instrText>adults</w:instrText>
      </w:r>
      <w:r w:rsidR="00A6794A" w:rsidRPr="00D3550C">
        <w:rPr>
          <w:lang w:eastAsia="ru-RU"/>
        </w:rPr>
        <w:instrText xml:space="preserve"> </w:instrText>
      </w:r>
      <w:r w:rsidR="00A6794A">
        <w:rPr>
          <w:lang w:val="en-US" w:eastAsia="ru-RU"/>
        </w:rPr>
        <w:instrText>with</w:instrText>
      </w:r>
      <w:r w:rsidR="00A6794A" w:rsidRPr="00D3550C">
        <w:rPr>
          <w:lang w:eastAsia="ru-RU"/>
        </w:rPr>
        <w:instrText xml:space="preserve"> </w:instrText>
      </w:r>
      <w:r w:rsidR="00A6794A">
        <w:rPr>
          <w:lang w:val="en-US" w:eastAsia="ru-RU"/>
        </w:rPr>
        <w:instrText>follicular</w:instrText>
      </w:r>
      <w:r w:rsidR="00A6794A" w:rsidRPr="00D3550C">
        <w:rPr>
          <w:lang w:eastAsia="ru-RU"/>
        </w:rPr>
        <w:instrText xml:space="preserve"> </w:instrText>
      </w:r>
      <w:r w:rsidR="00A6794A">
        <w:rPr>
          <w:lang w:val="en-US" w:eastAsia="ru-RU"/>
        </w:rPr>
        <w:instrText>lymphoma</w:instrText>
      </w:r>
      <w:r w:rsidR="00A6794A" w:rsidRPr="00D3550C">
        <w:rPr>
          <w:lang w:eastAsia="ru-RU"/>
        </w:rPr>
        <w:instrText xml:space="preserve">, </w:instrText>
      </w:r>
      <w:r w:rsidR="00A6794A">
        <w:rPr>
          <w:lang w:val="en-US" w:eastAsia="ru-RU"/>
        </w:rPr>
        <w:instrText>diffuse</w:instrText>
      </w:r>
      <w:r w:rsidR="00A6794A" w:rsidRPr="00D3550C">
        <w:rPr>
          <w:lang w:eastAsia="ru-RU"/>
        </w:rPr>
        <w:instrText xml:space="preserve"> </w:instrText>
      </w:r>
      <w:r w:rsidR="00A6794A">
        <w:rPr>
          <w:lang w:val="en-US" w:eastAsia="ru-RU"/>
        </w:rPr>
        <w:instrText>large</w:instrText>
      </w:r>
      <w:r w:rsidR="00A6794A" w:rsidRPr="00D3550C">
        <w:rPr>
          <w:lang w:eastAsia="ru-RU"/>
        </w:rPr>
        <w:instrText xml:space="preserve"> </w:instrText>
      </w:r>
      <w:r w:rsidR="00A6794A">
        <w:rPr>
          <w:lang w:val="en-US" w:eastAsia="ru-RU"/>
        </w:rPr>
        <w:instrText>B</w:instrText>
      </w:r>
      <w:r w:rsidR="00A6794A" w:rsidRPr="00D3550C">
        <w:rPr>
          <w:lang w:eastAsia="ru-RU"/>
        </w:rPr>
        <w:instrText>-</w:instrText>
      </w:r>
      <w:r w:rsidR="00A6794A">
        <w:rPr>
          <w:lang w:val="en-US" w:eastAsia="ru-RU"/>
        </w:rPr>
        <w:instrText>cell</w:instrText>
      </w:r>
      <w:r w:rsidR="00A6794A" w:rsidRPr="00D3550C">
        <w:rPr>
          <w:lang w:eastAsia="ru-RU"/>
        </w:rPr>
        <w:instrText xml:space="preserve"> </w:instrText>
      </w:r>
      <w:r w:rsidR="00A6794A">
        <w:rPr>
          <w:lang w:val="en-US" w:eastAsia="ru-RU"/>
        </w:rPr>
        <w:instrText>lymphoma</w:instrText>
      </w:r>
      <w:r w:rsidR="00A6794A" w:rsidRPr="00D3550C">
        <w:rPr>
          <w:lang w:eastAsia="ru-RU"/>
        </w:rPr>
        <w:instrText xml:space="preserve">, </w:instrText>
      </w:r>
      <w:r w:rsidR="00A6794A">
        <w:rPr>
          <w:lang w:val="en-US" w:eastAsia="ru-RU"/>
        </w:rPr>
        <w:instrText>and</w:instrText>
      </w:r>
      <w:r w:rsidR="00A6794A" w:rsidRPr="00D3550C">
        <w:rPr>
          <w:lang w:eastAsia="ru-RU"/>
        </w:rPr>
        <w:instrText xml:space="preserve"> </w:instrText>
      </w:r>
      <w:r w:rsidR="00A6794A">
        <w:rPr>
          <w:lang w:val="en-US" w:eastAsia="ru-RU"/>
        </w:rPr>
        <w:instrText>chronic</w:instrText>
      </w:r>
      <w:r w:rsidR="00A6794A" w:rsidRPr="00D3550C">
        <w:rPr>
          <w:lang w:eastAsia="ru-RU"/>
        </w:rPr>
        <w:instrText xml:space="preserve"> </w:instrText>
      </w:r>
      <w:r w:rsidR="00A6794A">
        <w:rPr>
          <w:lang w:val="en-US" w:eastAsia="ru-RU"/>
        </w:rPr>
        <w:instrText>lymphocytic</w:instrText>
      </w:r>
      <w:r w:rsidR="00A6794A" w:rsidRPr="00D3550C">
        <w:rPr>
          <w:lang w:eastAsia="ru-RU"/>
        </w:rPr>
        <w:instrText xml:space="preserve"> </w:instrText>
      </w:r>
      <w:r w:rsidR="00A6794A">
        <w:rPr>
          <w:lang w:val="en-US" w:eastAsia="ru-RU"/>
        </w:rPr>
        <w:instrText>leukemia</w:instrText>
      </w:r>
      <w:r w:rsidR="00A6794A" w:rsidRPr="00D3550C">
        <w:rPr>
          <w:lang w:eastAsia="ru-RU"/>
        </w:rPr>
        <w:instrText xml:space="preserve">. </w:instrText>
      </w:r>
      <w:r w:rsidR="00A6794A">
        <w:rPr>
          <w:lang w:val="en-US" w:eastAsia="ru-RU"/>
        </w:rPr>
        <w:instrText>With</w:instrText>
      </w:r>
      <w:r w:rsidR="00A6794A" w:rsidRPr="00D3550C">
        <w:rPr>
          <w:lang w:eastAsia="ru-RU"/>
        </w:rPr>
        <w:instrText xml:space="preserve"> </w:instrText>
      </w:r>
      <w:r w:rsidR="00A6794A">
        <w:rPr>
          <w:lang w:val="en-US" w:eastAsia="ru-RU"/>
        </w:rPr>
        <w:instrText>data</w:instrText>
      </w:r>
      <w:r w:rsidR="00A6794A" w:rsidRPr="00D3550C">
        <w:rPr>
          <w:lang w:eastAsia="ru-RU"/>
        </w:rPr>
        <w:instrText xml:space="preserve"> </w:instrText>
      </w:r>
      <w:r w:rsidR="00A6794A">
        <w:rPr>
          <w:lang w:val="en-US" w:eastAsia="ru-RU"/>
        </w:rPr>
        <w:instrText>to</w:instrText>
      </w:r>
      <w:r w:rsidR="00A6794A" w:rsidRPr="00D3550C">
        <w:rPr>
          <w:lang w:eastAsia="ru-RU"/>
        </w:rPr>
        <w:instrText xml:space="preserve"> </w:instrText>
      </w:r>
      <w:r w:rsidR="00A6794A">
        <w:rPr>
          <w:lang w:val="en-US" w:eastAsia="ru-RU"/>
        </w:rPr>
        <w:instrText>support</w:instrText>
      </w:r>
      <w:r w:rsidR="00A6794A" w:rsidRPr="00D3550C">
        <w:rPr>
          <w:lang w:eastAsia="ru-RU"/>
        </w:rPr>
        <w:instrText xml:space="preserve"> </w:instrText>
      </w:r>
      <w:r w:rsidR="00A6794A">
        <w:rPr>
          <w:lang w:val="en-US" w:eastAsia="ru-RU"/>
        </w:rPr>
        <w:instrText>noninferior</w:instrText>
      </w:r>
      <w:r w:rsidR="00A6794A" w:rsidRPr="00D3550C">
        <w:rPr>
          <w:lang w:eastAsia="ru-RU"/>
        </w:rPr>
        <w:instrText xml:space="preserve"> </w:instrText>
      </w:r>
      <w:r w:rsidR="00A6794A">
        <w:rPr>
          <w:lang w:val="en-US" w:eastAsia="ru-RU"/>
        </w:rPr>
        <w:instrText>pharmacokinetics</w:instrText>
      </w:r>
      <w:r w:rsidR="00A6794A" w:rsidRPr="00D3550C">
        <w:rPr>
          <w:lang w:eastAsia="ru-RU"/>
        </w:rPr>
        <w:instrText xml:space="preserve">, </w:instrText>
      </w:r>
      <w:r w:rsidR="00A6794A">
        <w:rPr>
          <w:lang w:val="en-US" w:eastAsia="ru-RU"/>
        </w:rPr>
        <w:instrText>similar</w:instrText>
      </w:r>
      <w:r w:rsidR="00A6794A" w:rsidRPr="00D3550C">
        <w:rPr>
          <w:lang w:eastAsia="ru-RU"/>
        </w:rPr>
        <w:instrText xml:space="preserve"> </w:instrText>
      </w:r>
      <w:r w:rsidR="00A6794A">
        <w:rPr>
          <w:lang w:val="en-US" w:eastAsia="ru-RU"/>
        </w:rPr>
        <w:instrText>outcomes</w:instrText>
      </w:r>
      <w:r w:rsidR="00A6794A" w:rsidRPr="00D3550C">
        <w:rPr>
          <w:lang w:eastAsia="ru-RU"/>
        </w:rPr>
        <w:instrText xml:space="preserve">, </w:instrText>
      </w:r>
      <w:r w:rsidR="00A6794A">
        <w:rPr>
          <w:lang w:val="en-US" w:eastAsia="ru-RU"/>
        </w:rPr>
        <w:instrText>and</w:instrText>
      </w:r>
      <w:r w:rsidR="00A6794A" w:rsidRPr="00D3550C">
        <w:rPr>
          <w:lang w:eastAsia="ru-RU"/>
        </w:rPr>
        <w:instrText xml:space="preserve"> </w:instrText>
      </w:r>
      <w:r w:rsidR="00A6794A">
        <w:rPr>
          <w:lang w:val="en-US" w:eastAsia="ru-RU"/>
        </w:rPr>
        <w:instrText>comparable</w:instrText>
      </w:r>
      <w:r w:rsidR="00A6794A" w:rsidRPr="00D3550C">
        <w:rPr>
          <w:lang w:eastAsia="ru-RU"/>
        </w:rPr>
        <w:instrText xml:space="preserve"> </w:instrText>
      </w:r>
      <w:r w:rsidR="00A6794A">
        <w:rPr>
          <w:lang w:val="en-US" w:eastAsia="ru-RU"/>
        </w:rPr>
        <w:instrText>adverse</w:instrText>
      </w:r>
      <w:r w:rsidR="00A6794A" w:rsidRPr="00D3550C">
        <w:rPr>
          <w:lang w:eastAsia="ru-RU"/>
        </w:rPr>
        <w:instrText xml:space="preserve"> </w:instrText>
      </w:r>
      <w:r w:rsidR="00A6794A">
        <w:rPr>
          <w:lang w:val="en-US" w:eastAsia="ru-RU"/>
        </w:rPr>
        <w:instrText>events</w:instrText>
      </w:r>
      <w:r w:rsidR="00A6794A" w:rsidRPr="00D3550C">
        <w:rPr>
          <w:lang w:eastAsia="ru-RU"/>
        </w:rPr>
        <w:instrText xml:space="preserve">, </w:instrText>
      </w:r>
      <w:r w:rsidR="00A6794A">
        <w:rPr>
          <w:lang w:val="en-US" w:eastAsia="ru-RU"/>
        </w:rPr>
        <w:instrText>rituximab</w:instrText>
      </w:r>
      <w:r w:rsidR="00A6794A" w:rsidRPr="00D3550C">
        <w:rPr>
          <w:lang w:eastAsia="ru-RU"/>
        </w:rPr>
        <w:instrText xml:space="preserve"> </w:instrText>
      </w:r>
      <w:r w:rsidR="00A6794A">
        <w:rPr>
          <w:lang w:val="en-US" w:eastAsia="ru-RU"/>
        </w:rPr>
        <w:instrText>and</w:instrText>
      </w:r>
      <w:r w:rsidR="00A6794A" w:rsidRPr="00D3550C">
        <w:rPr>
          <w:lang w:eastAsia="ru-RU"/>
        </w:rPr>
        <w:instrText xml:space="preserve"> </w:instrText>
      </w:r>
      <w:r w:rsidR="00A6794A">
        <w:rPr>
          <w:lang w:val="en-US" w:eastAsia="ru-RU"/>
        </w:rPr>
        <w:instrText>hyaluronidase</w:instrText>
      </w:r>
      <w:r w:rsidR="00A6794A" w:rsidRPr="00D3550C">
        <w:rPr>
          <w:lang w:eastAsia="ru-RU"/>
        </w:rPr>
        <w:instrText xml:space="preserve"> </w:instrText>
      </w:r>
      <w:r w:rsidR="00A6794A">
        <w:rPr>
          <w:lang w:val="en-US" w:eastAsia="ru-RU"/>
        </w:rPr>
        <w:instrText>human</w:instrText>
      </w:r>
      <w:r w:rsidR="00A6794A" w:rsidRPr="00D3550C">
        <w:rPr>
          <w:lang w:eastAsia="ru-RU"/>
        </w:rPr>
        <w:instrText xml:space="preserve"> </w:instrText>
      </w:r>
      <w:r w:rsidR="00A6794A">
        <w:rPr>
          <w:lang w:val="en-US" w:eastAsia="ru-RU"/>
        </w:rPr>
        <w:instrText>may</w:instrText>
      </w:r>
      <w:r w:rsidR="00A6794A" w:rsidRPr="00D3550C">
        <w:rPr>
          <w:lang w:eastAsia="ru-RU"/>
        </w:rPr>
        <w:instrText xml:space="preserve"> </w:instrText>
      </w:r>
      <w:r w:rsidR="00A6794A">
        <w:rPr>
          <w:lang w:val="en-US" w:eastAsia="ru-RU"/>
        </w:rPr>
        <w:instrText>offer</w:instrText>
      </w:r>
      <w:r w:rsidR="00A6794A" w:rsidRPr="00D3550C">
        <w:rPr>
          <w:lang w:eastAsia="ru-RU"/>
        </w:rPr>
        <w:instrText xml:space="preserve"> </w:instrText>
      </w:r>
      <w:r w:rsidR="00A6794A">
        <w:rPr>
          <w:lang w:val="en-US" w:eastAsia="ru-RU"/>
        </w:rPr>
        <w:instrText>a</w:instrText>
      </w:r>
      <w:r w:rsidR="00A6794A" w:rsidRPr="00D3550C">
        <w:rPr>
          <w:lang w:eastAsia="ru-RU"/>
        </w:rPr>
        <w:instrText xml:space="preserve"> </w:instrText>
      </w:r>
      <w:r w:rsidR="00A6794A">
        <w:rPr>
          <w:lang w:val="en-US" w:eastAsia="ru-RU"/>
        </w:rPr>
        <w:instrText>suitable</w:instrText>
      </w:r>
      <w:r w:rsidR="00A6794A" w:rsidRPr="00D3550C">
        <w:rPr>
          <w:lang w:eastAsia="ru-RU"/>
        </w:rPr>
        <w:instrText xml:space="preserve"> </w:instrText>
      </w:r>
      <w:r w:rsidR="00A6794A">
        <w:rPr>
          <w:lang w:val="en-US" w:eastAsia="ru-RU"/>
        </w:rPr>
        <w:instrText>alternative</w:instrText>
      </w:r>
      <w:r w:rsidR="00A6794A" w:rsidRPr="00D3550C">
        <w:rPr>
          <w:lang w:eastAsia="ru-RU"/>
        </w:rPr>
        <w:instrText xml:space="preserve"> </w:instrText>
      </w:r>
      <w:r w:rsidR="00A6794A">
        <w:rPr>
          <w:lang w:val="en-US" w:eastAsia="ru-RU"/>
        </w:rPr>
        <w:instrText>to</w:instrText>
      </w:r>
      <w:r w:rsidR="00A6794A" w:rsidRPr="00D3550C">
        <w:rPr>
          <w:lang w:eastAsia="ru-RU"/>
        </w:rPr>
        <w:instrText xml:space="preserve"> </w:instrText>
      </w:r>
      <w:r w:rsidR="00A6794A">
        <w:rPr>
          <w:lang w:val="en-US" w:eastAsia="ru-RU"/>
        </w:rPr>
        <w:instrText>intravenous</w:instrText>
      </w:r>
      <w:r w:rsidR="00A6794A" w:rsidRPr="00D3550C">
        <w:rPr>
          <w:lang w:eastAsia="ru-RU"/>
        </w:rPr>
        <w:instrText xml:space="preserve"> </w:instrText>
      </w:r>
      <w:r w:rsidR="00A6794A">
        <w:rPr>
          <w:lang w:val="en-US" w:eastAsia="ru-RU"/>
        </w:rPr>
        <w:instrText>rituximab</w:instrText>
      </w:r>
      <w:r w:rsidR="00A6794A" w:rsidRPr="00D3550C">
        <w:rPr>
          <w:lang w:eastAsia="ru-RU"/>
        </w:rPr>
        <w:instrText xml:space="preserve"> </w:instrText>
      </w:r>
      <w:r w:rsidR="00A6794A">
        <w:rPr>
          <w:lang w:val="en-US" w:eastAsia="ru-RU"/>
        </w:rPr>
        <w:instrText>that</w:instrText>
      </w:r>
      <w:r w:rsidR="00A6794A" w:rsidRPr="00D3550C">
        <w:rPr>
          <w:lang w:eastAsia="ru-RU"/>
        </w:rPr>
        <w:instrText xml:space="preserve"> </w:instrText>
      </w:r>
      <w:r w:rsidR="00A6794A">
        <w:rPr>
          <w:lang w:val="en-US" w:eastAsia="ru-RU"/>
        </w:rPr>
        <w:instrText>could</w:instrText>
      </w:r>
      <w:r w:rsidR="00A6794A" w:rsidRPr="00D3550C">
        <w:rPr>
          <w:lang w:eastAsia="ru-RU"/>
        </w:rPr>
        <w:instrText xml:space="preserve"> </w:instrText>
      </w:r>
      <w:r w:rsidR="00A6794A">
        <w:rPr>
          <w:lang w:val="en-US" w:eastAsia="ru-RU"/>
        </w:rPr>
        <w:instrText>improve</w:instrText>
      </w:r>
      <w:r w:rsidR="00A6794A" w:rsidRPr="00D3550C">
        <w:rPr>
          <w:lang w:eastAsia="ru-RU"/>
        </w:rPr>
        <w:instrText xml:space="preserve"> </w:instrText>
      </w:r>
      <w:r w:rsidR="00A6794A">
        <w:rPr>
          <w:lang w:val="en-US" w:eastAsia="ru-RU"/>
        </w:rPr>
        <w:instrText>convenience</w:instrText>
      </w:r>
      <w:r w:rsidR="00A6794A" w:rsidRPr="00D3550C">
        <w:rPr>
          <w:lang w:eastAsia="ru-RU"/>
        </w:rPr>
        <w:instrText xml:space="preserve"> </w:instrText>
      </w:r>
      <w:r w:rsidR="00A6794A">
        <w:rPr>
          <w:lang w:val="en-US" w:eastAsia="ru-RU"/>
        </w:rPr>
        <w:instrText>for</w:instrText>
      </w:r>
      <w:r w:rsidR="00A6794A" w:rsidRPr="00D3550C">
        <w:rPr>
          <w:lang w:eastAsia="ru-RU"/>
        </w:rPr>
        <w:instrText xml:space="preserve"> </w:instrText>
      </w:r>
      <w:r w:rsidR="00A6794A">
        <w:rPr>
          <w:lang w:val="en-US" w:eastAsia="ru-RU"/>
        </w:rPr>
        <w:instrText>patients</w:instrText>
      </w:r>
      <w:r w:rsidR="00A6794A" w:rsidRPr="00D3550C">
        <w:rPr>
          <w:lang w:eastAsia="ru-RU"/>
        </w:rPr>
        <w:instrText xml:space="preserve"> </w:instrText>
      </w:r>
      <w:r w:rsidR="00A6794A">
        <w:rPr>
          <w:lang w:val="en-US" w:eastAsia="ru-RU"/>
        </w:rPr>
        <w:instrText>and</w:instrText>
      </w:r>
      <w:r w:rsidR="00A6794A" w:rsidRPr="00D3550C">
        <w:rPr>
          <w:lang w:eastAsia="ru-RU"/>
        </w:rPr>
        <w:instrText xml:space="preserve"> </w:instrText>
      </w:r>
      <w:r w:rsidR="00A6794A">
        <w:rPr>
          <w:lang w:val="en-US" w:eastAsia="ru-RU"/>
        </w:rPr>
        <w:instrText>better</w:instrText>
      </w:r>
      <w:r w:rsidR="00A6794A" w:rsidRPr="00D3550C">
        <w:rPr>
          <w:lang w:eastAsia="ru-RU"/>
        </w:rPr>
        <w:instrText xml:space="preserve"> </w:instrText>
      </w:r>
      <w:r w:rsidR="00A6794A">
        <w:rPr>
          <w:lang w:val="en-US" w:eastAsia="ru-RU"/>
        </w:rPr>
        <w:instrText>utilize</w:instrText>
      </w:r>
      <w:r w:rsidR="00A6794A" w:rsidRPr="00D3550C">
        <w:rPr>
          <w:lang w:eastAsia="ru-RU"/>
        </w:rPr>
        <w:instrText xml:space="preserve"> </w:instrText>
      </w:r>
      <w:r w:rsidR="00A6794A">
        <w:rPr>
          <w:lang w:val="en-US" w:eastAsia="ru-RU"/>
        </w:rPr>
        <w:instrText>health</w:instrText>
      </w:r>
      <w:r w:rsidR="00A6794A" w:rsidRPr="00D3550C">
        <w:rPr>
          <w:lang w:eastAsia="ru-RU"/>
        </w:rPr>
        <w:instrText>-</w:instrText>
      </w:r>
      <w:r w:rsidR="00A6794A">
        <w:rPr>
          <w:lang w:val="en-US" w:eastAsia="ru-RU"/>
        </w:rPr>
        <w:instrText>care</w:instrText>
      </w:r>
      <w:r w:rsidR="00A6794A" w:rsidRPr="00D3550C">
        <w:rPr>
          <w:lang w:eastAsia="ru-RU"/>
        </w:rPr>
        <w:instrText xml:space="preserve"> </w:instrText>
      </w:r>
      <w:r w:rsidR="00A6794A">
        <w:rPr>
          <w:lang w:val="en-US" w:eastAsia="ru-RU"/>
        </w:rPr>
        <w:instrText>resources</w:instrText>
      </w:r>
      <w:r w:rsidR="00A6794A" w:rsidRPr="00D3550C">
        <w:rPr>
          <w:lang w:eastAsia="ru-RU"/>
        </w:rPr>
        <w:instrText>.","</w:instrText>
      </w:r>
      <w:r w:rsidR="00A6794A">
        <w:rPr>
          <w:lang w:val="en-US" w:eastAsia="ru-RU"/>
        </w:rPr>
        <w:instrText>author</w:instrText>
      </w:r>
      <w:r w:rsidR="00A6794A" w:rsidRPr="00D3550C">
        <w:rPr>
          <w:lang w:eastAsia="ru-RU"/>
        </w:rPr>
        <w:instrText>":[{"</w:instrText>
      </w:r>
      <w:r w:rsidR="00A6794A">
        <w:rPr>
          <w:lang w:val="en-US" w:eastAsia="ru-RU"/>
        </w:rPr>
        <w:instrText>dropping</w:instrText>
      </w:r>
      <w:r w:rsidR="00A6794A" w:rsidRPr="00D3550C">
        <w:rPr>
          <w:lang w:eastAsia="ru-RU"/>
        </w:rPr>
        <w:instrText>-</w:instrText>
      </w:r>
      <w:r w:rsidR="00A6794A">
        <w:rPr>
          <w:lang w:val="en-US" w:eastAsia="ru-RU"/>
        </w:rPr>
        <w:instrText>particle</w:instrText>
      </w:r>
      <w:r w:rsidR="00A6794A" w:rsidRPr="00D3550C">
        <w:rPr>
          <w:lang w:eastAsia="ru-RU"/>
        </w:rPr>
        <w:instrText>":"","</w:instrText>
      </w:r>
      <w:r w:rsidR="00A6794A">
        <w:rPr>
          <w:lang w:val="en-US" w:eastAsia="ru-RU"/>
        </w:rPr>
        <w:instrText>family</w:instrText>
      </w:r>
      <w:r w:rsidR="00A6794A" w:rsidRPr="00D3550C">
        <w:rPr>
          <w:lang w:eastAsia="ru-RU"/>
        </w:rPr>
        <w:instrText>":"</w:instrText>
      </w:r>
      <w:r w:rsidR="00A6794A">
        <w:rPr>
          <w:lang w:val="en-US" w:eastAsia="ru-RU"/>
        </w:rPr>
        <w:instrText>Yelvington</w:instrText>
      </w:r>
      <w:r w:rsidR="00A6794A" w:rsidRPr="00D3550C">
        <w:rPr>
          <w:lang w:eastAsia="ru-RU"/>
        </w:rPr>
        <w:instrText>","</w:instrText>
      </w:r>
      <w:r w:rsidR="00A6794A">
        <w:rPr>
          <w:lang w:val="en-US" w:eastAsia="ru-RU"/>
        </w:rPr>
        <w:instrText>given</w:instrText>
      </w:r>
      <w:r w:rsidR="00A6794A" w:rsidRPr="00D3550C">
        <w:rPr>
          <w:lang w:eastAsia="ru-RU"/>
        </w:rPr>
        <w:instrText>":"</w:instrText>
      </w:r>
      <w:r w:rsidR="00A6794A">
        <w:rPr>
          <w:lang w:val="en-US" w:eastAsia="ru-RU"/>
        </w:rPr>
        <w:instrText>Bradley</w:instrText>
      </w:r>
      <w:r w:rsidR="00A6794A" w:rsidRPr="00D3550C">
        <w:rPr>
          <w:lang w:eastAsia="ru-RU"/>
        </w:rPr>
        <w:instrText xml:space="preserve"> </w:instrText>
      </w:r>
      <w:r w:rsidR="00A6794A">
        <w:rPr>
          <w:lang w:val="en-US" w:eastAsia="ru-RU"/>
        </w:rPr>
        <w:instrText>J</w:instrText>
      </w:r>
      <w:r w:rsidR="00A6794A" w:rsidRPr="00D3550C">
        <w:rPr>
          <w:lang w:eastAsia="ru-RU"/>
        </w:rPr>
        <w:instrText>","</w:instrText>
      </w:r>
      <w:r w:rsidR="00A6794A">
        <w:rPr>
          <w:lang w:val="en-US" w:eastAsia="ru-RU"/>
        </w:rPr>
        <w:instrText>non</w:instrText>
      </w:r>
      <w:r w:rsidR="00A6794A" w:rsidRPr="00D3550C">
        <w:rPr>
          <w:lang w:eastAsia="ru-RU"/>
        </w:rPr>
        <w:instrText>-</w:instrText>
      </w:r>
      <w:r w:rsidR="00A6794A">
        <w:rPr>
          <w:lang w:val="en-US" w:eastAsia="ru-RU"/>
        </w:rPr>
        <w:instrText>dropping</w:instrText>
      </w:r>
      <w:r w:rsidR="00A6794A" w:rsidRPr="00D3550C">
        <w:rPr>
          <w:lang w:eastAsia="ru-RU"/>
        </w:rPr>
        <w:instrText>-</w:instrText>
      </w:r>
      <w:r w:rsidR="00A6794A">
        <w:rPr>
          <w:lang w:val="en-US" w:eastAsia="ru-RU"/>
        </w:rPr>
        <w:instrText>particle</w:instrText>
      </w:r>
      <w:r w:rsidR="00A6794A" w:rsidRPr="00D3550C">
        <w:rPr>
          <w:lang w:eastAsia="ru-RU"/>
        </w:rPr>
        <w:instrText>":"","</w:instrText>
      </w:r>
      <w:r w:rsidR="00A6794A">
        <w:rPr>
          <w:lang w:val="en-US" w:eastAsia="ru-RU"/>
        </w:rPr>
        <w:instrText>parse</w:instrText>
      </w:r>
      <w:r w:rsidR="00A6794A" w:rsidRPr="00D3550C">
        <w:rPr>
          <w:lang w:eastAsia="ru-RU"/>
        </w:rPr>
        <w:instrText>-</w:instrText>
      </w:r>
      <w:r w:rsidR="00A6794A">
        <w:rPr>
          <w:lang w:val="en-US" w:eastAsia="ru-RU"/>
        </w:rPr>
        <w:instrText>names</w:instrText>
      </w:r>
      <w:r w:rsidR="00A6794A" w:rsidRPr="00D3550C">
        <w:rPr>
          <w:lang w:eastAsia="ru-RU"/>
        </w:rPr>
        <w:instrText>":</w:instrText>
      </w:r>
      <w:r w:rsidR="00A6794A">
        <w:rPr>
          <w:lang w:val="en-US" w:eastAsia="ru-RU"/>
        </w:rPr>
        <w:instrText>false</w:instrText>
      </w:r>
      <w:r w:rsidR="00A6794A" w:rsidRPr="00D3550C">
        <w:rPr>
          <w:lang w:eastAsia="ru-RU"/>
        </w:rPr>
        <w:instrText>,"</w:instrText>
      </w:r>
      <w:r w:rsidR="00A6794A">
        <w:rPr>
          <w:lang w:val="en-US" w:eastAsia="ru-RU"/>
        </w:rPr>
        <w:instrText>suffix</w:instrText>
      </w:r>
      <w:r w:rsidR="00A6794A" w:rsidRPr="00D3550C">
        <w:rPr>
          <w:lang w:eastAsia="ru-RU"/>
        </w:rPr>
        <w:instrText>":""}],"</w:instrText>
      </w:r>
      <w:r w:rsidR="00A6794A">
        <w:rPr>
          <w:lang w:val="en-US" w:eastAsia="ru-RU"/>
        </w:rPr>
        <w:instrText>container</w:instrText>
      </w:r>
      <w:r w:rsidR="00A6794A" w:rsidRPr="00D3550C">
        <w:rPr>
          <w:lang w:eastAsia="ru-RU"/>
        </w:rPr>
        <w:instrText>-</w:instrText>
      </w:r>
      <w:r w:rsidR="00A6794A">
        <w:rPr>
          <w:lang w:val="en-US" w:eastAsia="ru-RU"/>
        </w:rPr>
        <w:instrText>title</w:instrText>
      </w:r>
      <w:r w:rsidR="00A6794A" w:rsidRPr="00D3550C">
        <w:rPr>
          <w:lang w:eastAsia="ru-RU"/>
        </w:rPr>
        <w:instrText>":"</w:instrText>
      </w:r>
      <w:r w:rsidR="00A6794A">
        <w:rPr>
          <w:lang w:val="en-US" w:eastAsia="ru-RU"/>
        </w:rPr>
        <w:instrText>Journal</w:instrText>
      </w:r>
      <w:r w:rsidR="00A6794A" w:rsidRPr="00D3550C">
        <w:rPr>
          <w:lang w:eastAsia="ru-RU"/>
        </w:rPr>
        <w:instrText xml:space="preserve"> </w:instrText>
      </w:r>
      <w:r w:rsidR="00A6794A">
        <w:rPr>
          <w:lang w:val="en-US" w:eastAsia="ru-RU"/>
        </w:rPr>
        <w:instrText>of</w:instrText>
      </w:r>
      <w:r w:rsidR="00A6794A" w:rsidRPr="00D3550C">
        <w:rPr>
          <w:lang w:eastAsia="ru-RU"/>
        </w:rPr>
        <w:instrText xml:space="preserve"> </w:instrText>
      </w:r>
      <w:r w:rsidR="00A6794A">
        <w:rPr>
          <w:lang w:val="en-US" w:eastAsia="ru-RU"/>
        </w:rPr>
        <w:instrText>the</w:instrText>
      </w:r>
      <w:r w:rsidR="00A6794A" w:rsidRPr="00D3550C">
        <w:rPr>
          <w:lang w:eastAsia="ru-RU"/>
        </w:rPr>
        <w:instrText xml:space="preserve"> </w:instrText>
      </w:r>
      <w:r w:rsidR="00A6794A">
        <w:rPr>
          <w:lang w:val="en-US" w:eastAsia="ru-RU"/>
        </w:rPr>
        <w:instrText>advanced</w:instrText>
      </w:r>
      <w:r w:rsidR="00A6794A" w:rsidRPr="00D3550C">
        <w:rPr>
          <w:lang w:eastAsia="ru-RU"/>
        </w:rPr>
        <w:instrText xml:space="preserve"> </w:instrText>
      </w:r>
      <w:r w:rsidR="00A6794A">
        <w:rPr>
          <w:lang w:val="en-US" w:eastAsia="ru-RU"/>
        </w:rPr>
        <w:instrText>practitioner</w:instrText>
      </w:r>
      <w:r w:rsidR="00A6794A" w:rsidRPr="00D3550C">
        <w:rPr>
          <w:lang w:eastAsia="ru-RU"/>
        </w:rPr>
        <w:instrText xml:space="preserve"> </w:instrText>
      </w:r>
      <w:r w:rsidR="00A6794A">
        <w:rPr>
          <w:lang w:val="en-US" w:eastAsia="ru-RU"/>
        </w:rPr>
        <w:instrText>in</w:instrText>
      </w:r>
      <w:r w:rsidR="00A6794A" w:rsidRPr="00D3550C">
        <w:rPr>
          <w:lang w:eastAsia="ru-RU"/>
        </w:rPr>
        <w:instrText xml:space="preserve"> </w:instrText>
      </w:r>
      <w:r w:rsidR="00A6794A">
        <w:rPr>
          <w:lang w:val="en-US" w:eastAsia="ru-RU"/>
        </w:rPr>
        <w:instrText>oncology</w:instrText>
      </w:r>
      <w:r w:rsidR="00A6794A" w:rsidRPr="00D3550C">
        <w:rPr>
          <w:lang w:eastAsia="ru-RU"/>
        </w:rPr>
        <w:instrText>","</w:instrText>
      </w:r>
      <w:r w:rsidR="00A6794A">
        <w:rPr>
          <w:lang w:val="en-US" w:eastAsia="ru-RU"/>
        </w:rPr>
        <w:instrText>id</w:instrText>
      </w:r>
      <w:r w:rsidR="00A6794A" w:rsidRPr="00D3550C">
        <w:rPr>
          <w:lang w:eastAsia="ru-RU"/>
        </w:rPr>
        <w:instrText>":"</w:instrText>
      </w:r>
      <w:r w:rsidR="00A6794A">
        <w:rPr>
          <w:lang w:val="en-US" w:eastAsia="ru-RU"/>
        </w:rPr>
        <w:instrText>ITEM</w:instrText>
      </w:r>
      <w:r w:rsidR="00A6794A" w:rsidRPr="00D3550C">
        <w:rPr>
          <w:lang w:eastAsia="ru-RU"/>
        </w:rPr>
        <w:instrText>-1","</w:instrText>
      </w:r>
      <w:r w:rsidR="00A6794A">
        <w:rPr>
          <w:lang w:val="en-US" w:eastAsia="ru-RU"/>
        </w:rPr>
        <w:instrText>issue</w:instrText>
      </w:r>
      <w:r w:rsidR="00A6794A" w:rsidRPr="00D3550C">
        <w:rPr>
          <w:lang w:eastAsia="ru-RU"/>
        </w:rPr>
        <w:instrText>":"5","</w:instrText>
      </w:r>
      <w:r w:rsidR="00A6794A">
        <w:rPr>
          <w:lang w:val="en-US" w:eastAsia="ru-RU"/>
        </w:rPr>
        <w:instrText>issued</w:instrText>
      </w:r>
      <w:r w:rsidR="00A6794A" w:rsidRPr="00D3550C">
        <w:rPr>
          <w:lang w:eastAsia="ru-RU"/>
        </w:rPr>
        <w:instrText>":{"</w:instrText>
      </w:r>
      <w:r w:rsidR="00A6794A">
        <w:rPr>
          <w:lang w:val="en-US" w:eastAsia="ru-RU"/>
        </w:rPr>
        <w:instrText>date</w:instrText>
      </w:r>
      <w:r w:rsidR="00A6794A" w:rsidRPr="00D3550C">
        <w:rPr>
          <w:lang w:eastAsia="ru-RU"/>
        </w:rPr>
        <w:instrText>-</w:instrText>
      </w:r>
      <w:r w:rsidR="00A6794A">
        <w:rPr>
          <w:lang w:val="en-US" w:eastAsia="ru-RU"/>
        </w:rPr>
        <w:instrText>parts</w:instrText>
      </w:r>
      <w:r w:rsidR="00A6794A" w:rsidRPr="00D3550C">
        <w:rPr>
          <w:lang w:eastAsia="ru-RU"/>
        </w:rPr>
        <w:instrText>":[["2018"]]},"</w:instrText>
      </w:r>
      <w:r w:rsidR="00A6794A">
        <w:rPr>
          <w:lang w:val="en-US" w:eastAsia="ru-RU"/>
        </w:rPr>
        <w:instrText>page</w:instrText>
      </w:r>
      <w:r w:rsidR="00A6794A" w:rsidRPr="00D3550C">
        <w:rPr>
          <w:lang w:eastAsia="ru-RU"/>
        </w:rPr>
        <w:instrText>":"530-534","</w:instrText>
      </w:r>
      <w:r w:rsidR="00A6794A">
        <w:rPr>
          <w:lang w:val="en-US" w:eastAsia="ru-RU"/>
        </w:rPr>
        <w:instrText>publisher</w:instrText>
      </w:r>
      <w:r w:rsidR="00A6794A" w:rsidRPr="00D3550C">
        <w:rPr>
          <w:lang w:eastAsia="ru-RU"/>
        </w:rPr>
        <w:instrText>":"</w:instrText>
      </w:r>
      <w:r w:rsidR="00A6794A">
        <w:rPr>
          <w:lang w:val="en-US" w:eastAsia="ru-RU"/>
        </w:rPr>
        <w:instrText>Harborside</w:instrText>
      </w:r>
      <w:r w:rsidR="00A6794A" w:rsidRPr="00D3550C">
        <w:rPr>
          <w:lang w:eastAsia="ru-RU"/>
        </w:rPr>
        <w:instrText xml:space="preserve"> </w:instrText>
      </w:r>
      <w:r w:rsidR="00A6794A">
        <w:rPr>
          <w:lang w:val="en-US" w:eastAsia="ru-RU"/>
        </w:rPr>
        <w:instrText>Press</w:instrText>
      </w:r>
      <w:r w:rsidR="00A6794A" w:rsidRPr="00D3550C">
        <w:rPr>
          <w:lang w:eastAsia="ru-RU"/>
        </w:rPr>
        <w:instrText>","</w:instrText>
      </w:r>
      <w:r w:rsidR="00A6794A">
        <w:rPr>
          <w:lang w:val="en-US" w:eastAsia="ru-RU"/>
        </w:rPr>
        <w:instrText>title</w:instrText>
      </w:r>
      <w:r w:rsidR="00A6794A" w:rsidRPr="00D3550C">
        <w:rPr>
          <w:lang w:eastAsia="ru-RU"/>
        </w:rPr>
        <w:instrText>":"</w:instrText>
      </w:r>
      <w:r w:rsidR="00A6794A">
        <w:rPr>
          <w:lang w:val="en-US" w:eastAsia="ru-RU"/>
        </w:rPr>
        <w:instrText>Subcutaneous</w:instrText>
      </w:r>
      <w:r w:rsidR="00A6794A" w:rsidRPr="00D3550C">
        <w:rPr>
          <w:lang w:eastAsia="ru-RU"/>
        </w:rPr>
        <w:instrText xml:space="preserve"> </w:instrText>
      </w:r>
      <w:r w:rsidR="00A6794A">
        <w:rPr>
          <w:lang w:val="en-US" w:eastAsia="ru-RU"/>
        </w:rPr>
        <w:instrText>Rituximab</w:instrText>
      </w:r>
      <w:r w:rsidR="00A6794A" w:rsidRPr="00D3550C">
        <w:rPr>
          <w:lang w:eastAsia="ru-RU"/>
        </w:rPr>
        <w:instrText xml:space="preserve"> </w:instrText>
      </w:r>
      <w:r w:rsidR="00A6794A">
        <w:rPr>
          <w:lang w:val="en-US" w:eastAsia="ru-RU"/>
        </w:rPr>
        <w:instrText>in</w:instrText>
      </w:r>
      <w:r w:rsidR="00A6794A" w:rsidRPr="00D3550C">
        <w:rPr>
          <w:lang w:eastAsia="ru-RU"/>
        </w:rPr>
        <w:instrText xml:space="preserve"> </w:instrText>
      </w:r>
      <w:r w:rsidR="00A6794A">
        <w:rPr>
          <w:lang w:val="en-US" w:eastAsia="ru-RU"/>
        </w:rPr>
        <w:instrText>Follicular</w:instrText>
      </w:r>
      <w:r w:rsidR="00A6794A" w:rsidRPr="00D3550C">
        <w:rPr>
          <w:lang w:eastAsia="ru-RU"/>
        </w:rPr>
        <w:instrText xml:space="preserve"> </w:instrText>
      </w:r>
      <w:r w:rsidR="00A6794A">
        <w:rPr>
          <w:lang w:val="en-US" w:eastAsia="ru-RU"/>
        </w:rPr>
        <w:instrText>Lymphoma</w:instrText>
      </w:r>
      <w:r w:rsidR="00A6794A" w:rsidRPr="00D3550C">
        <w:rPr>
          <w:lang w:eastAsia="ru-RU"/>
        </w:rPr>
        <w:instrText xml:space="preserve">, </w:instrText>
      </w:r>
      <w:r w:rsidR="00A6794A">
        <w:rPr>
          <w:lang w:val="en-US" w:eastAsia="ru-RU"/>
        </w:rPr>
        <w:instrText>Chronic</w:instrText>
      </w:r>
      <w:r w:rsidR="00A6794A" w:rsidRPr="00D3550C">
        <w:rPr>
          <w:lang w:eastAsia="ru-RU"/>
        </w:rPr>
        <w:instrText xml:space="preserve"> </w:instrText>
      </w:r>
      <w:r w:rsidR="00A6794A">
        <w:rPr>
          <w:lang w:val="en-US" w:eastAsia="ru-RU"/>
        </w:rPr>
        <w:instrText>Lymphocytic</w:instrText>
      </w:r>
      <w:r w:rsidR="00A6794A" w:rsidRPr="00D3550C">
        <w:rPr>
          <w:lang w:eastAsia="ru-RU"/>
        </w:rPr>
        <w:instrText xml:space="preserve"> </w:instrText>
      </w:r>
      <w:r w:rsidR="00A6794A">
        <w:rPr>
          <w:lang w:val="en-US" w:eastAsia="ru-RU"/>
        </w:rPr>
        <w:instrText>Leukemia</w:instrText>
      </w:r>
      <w:r w:rsidR="00A6794A" w:rsidRPr="00D3550C">
        <w:rPr>
          <w:lang w:eastAsia="ru-RU"/>
        </w:rPr>
        <w:instrText xml:space="preserve">, </w:instrText>
      </w:r>
      <w:r w:rsidR="00A6794A">
        <w:rPr>
          <w:lang w:val="en-US" w:eastAsia="ru-RU"/>
        </w:rPr>
        <w:instrText>and</w:instrText>
      </w:r>
      <w:r w:rsidR="00A6794A" w:rsidRPr="00D3550C">
        <w:rPr>
          <w:lang w:eastAsia="ru-RU"/>
        </w:rPr>
        <w:instrText xml:space="preserve"> </w:instrText>
      </w:r>
      <w:r w:rsidR="00A6794A">
        <w:rPr>
          <w:lang w:val="en-US" w:eastAsia="ru-RU"/>
        </w:rPr>
        <w:instrText>Diffuse</w:instrText>
      </w:r>
      <w:r w:rsidR="00A6794A" w:rsidRPr="00D3550C">
        <w:rPr>
          <w:lang w:eastAsia="ru-RU"/>
        </w:rPr>
        <w:instrText xml:space="preserve"> </w:instrText>
      </w:r>
      <w:r w:rsidR="00A6794A">
        <w:rPr>
          <w:lang w:val="en-US" w:eastAsia="ru-RU"/>
        </w:rPr>
        <w:instrText>Large</w:instrText>
      </w:r>
      <w:r w:rsidR="00A6794A" w:rsidRPr="00D3550C">
        <w:rPr>
          <w:lang w:eastAsia="ru-RU"/>
        </w:rPr>
        <w:instrText xml:space="preserve"> </w:instrText>
      </w:r>
      <w:r w:rsidR="00A6794A">
        <w:rPr>
          <w:lang w:val="en-US" w:eastAsia="ru-RU"/>
        </w:rPr>
        <w:instrText>B</w:instrText>
      </w:r>
      <w:r w:rsidR="00A6794A" w:rsidRPr="00D3550C">
        <w:rPr>
          <w:lang w:eastAsia="ru-RU"/>
        </w:rPr>
        <w:instrText>-</w:instrText>
      </w:r>
      <w:r w:rsidR="00A6794A">
        <w:rPr>
          <w:lang w:val="en-US" w:eastAsia="ru-RU"/>
        </w:rPr>
        <w:instrText>Cell</w:instrText>
      </w:r>
      <w:r w:rsidR="00A6794A" w:rsidRPr="00D3550C">
        <w:rPr>
          <w:lang w:eastAsia="ru-RU"/>
        </w:rPr>
        <w:instrText xml:space="preserve"> </w:instrText>
      </w:r>
      <w:r w:rsidR="00A6794A">
        <w:rPr>
          <w:lang w:val="en-US" w:eastAsia="ru-RU"/>
        </w:rPr>
        <w:instrText>Lymphoma</w:instrText>
      </w:r>
      <w:r w:rsidR="00A6794A" w:rsidRPr="00D3550C">
        <w:rPr>
          <w:lang w:eastAsia="ru-RU"/>
        </w:rPr>
        <w:instrText>.","</w:instrText>
      </w:r>
      <w:r w:rsidR="00A6794A">
        <w:rPr>
          <w:lang w:val="en-US" w:eastAsia="ru-RU"/>
        </w:rPr>
        <w:instrText>type</w:instrText>
      </w:r>
      <w:r w:rsidR="00A6794A" w:rsidRPr="00D3550C">
        <w:rPr>
          <w:lang w:eastAsia="ru-RU"/>
        </w:rPr>
        <w:instrText>":"</w:instrText>
      </w:r>
      <w:r w:rsidR="00A6794A">
        <w:rPr>
          <w:lang w:val="en-US" w:eastAsia="ru-RU"/>
        </w:rPr>
        <w:instrText>article</w:instrText>
      </w:r>
      <w:r w:rsidR="00A6794A" w:rsidRPr="00D3550C">
        <w:rPr>
          <w:lang w:eastAsia="ru-RU"/>
        </w:rPr>
        <w:instrText>-</w:instrText>
      </w:r>
      <w:r w:rsidR="00A6794A">
        <w:rPr>
          <w:lang w:val="en-US" w:eastAsia="ru-RU"/>
        </w:rPr>
        <w:instrText>journal</w:instrText>
      </w:r>
      <w:r w:rsidR="00A6794A" w:rsidRPr="00D3550C">
        <w:rPr>
          <w:lang w:eastAsia="ru-RU"/>
        </w:rPr>
        <w:instrText>","</w:instrText>
      </w:r>
      <w:r w:rsidR="00A6794A">
        <w:rPr>
          <w:lang w:val="en-US" w:eastAsia="ru-RU"/>
        </w:rPr>
        <w:instrText>volume</w:instrText>
      </w:r>
      <w:r w:rsidR="00A6794A" w:rsidRPr="00D3550C">
        <w:rPr>
          <w:lang w:eastAsia="ru-RU"/>
        </w:rPr>
        <w:instrText>":"9"},"</w:instrText>
      </w:r>
      <w:r w:rsidR="00A6794A">
        <w:rPr>
          <w:lang w:val="en-US" w:eastAsia="ru-RU"/>
        </w:rPr>
        <w:instrText>uris</w:instrText>
      </w:r>
      <w:r w:rsidR="00A6794A" w:rsidRPr="00D3550C">
        <w:rPr>
          <w:lang w:eastAsia="ru-RU"/>
        </w:rPr>
        <w:instrText>":["</w:instrText>
      </w:r>
      <w:r w:rsidR="00A6794A">
        <w:rPr>
          <w:lang w:val="en-US" w:eastAsia="ru-RU"/>
        </w:rPr>
        <w:instrText>http</w:instrText>
      </w:r>
      <w:r w:rsidR="00A6794A" w:rsidRPr="00D3550C">
        <w:rPr>
          <w:lang w:eastAsia="ru-RU"/>
        </w:rPr>
        <w:instrText>://</w:instrText>
      </w:r>
      <w:r w:rsidR="00A6794A">
        <w:rPr>
          <w:lang w:val="en-US" w:eastAsia="ru-RU"/>
        </w:rPr>
        <w:instrText>www</w:instrText>
      </w:r>
      <w:r w:rsidR="00A6794A" w:rsidRPr="00D3550C">
        <w:rPr>
          <w:lang w:eastAsia="ru-RU"/>
        </w:rPr>
        <w:instrText>.</w:instrText>
      </w:r>
      <w:r w:rsidR="00A6794A">
        <w:rPr>
          <w:lang w:val="en-US" w:eastAsia="ru-RU"/>
        </w:rPr>
        <w:instrText>mendeley</w:instrText>
      </w:r>
      <w:r w:rsidR="00A6794A" w:rsidRPr="00D3550C">
        <w:rPr>
          <w:lang w:eastAsia="ru-RU"/>
        </w:rPr>
        <w:instrText>.</w:instrText>
      </w:r>
      <w:r w:rsidR="00A6794A">
        <w:rPr>
          <w:lang w:val="en-US" w:eastAsia="ru-RU"/>
        </w:rPr>
        <w:instrText>com</w:instrText>
      </w:r>
      <w:r w:rsidR="00A6794A" w:rsidRPr="00D3550C">
        <w:rPr>
          <w:lang w:eastAsia="ru-RU"/>
        </w:rPr>
        <w:instrText>/</w:instrText>
      </w:r>
      <w:r w:rsidR="00A6794A">
        <w:rPr>
          <w:lang w:val="en-US" w:eastAsia="ru-RU"/>
        </w:rPr>
        <w:instrText>documents</w:instrText>
      </w:r>
      <w:r w:rsidR="00A6794A" w:rsidRPr="00D3550C">
        <w:rPr>
          <w:lang w:eastAsia="ru-RU"/>
        </w:rPr>
        <w:instrText>/?</w:instrText>
      </w:r>
      <w:r w:rsidR="00A6794A">
        <w:rPr>
          <w:lang w:val="en-US" w:eastAsia="ru-RU"/>
        </w:rPr>
        <w:instrText>uuid</w:instrText>
      </w:r>
      <w:r w:rsidR="00A6794A" w:rsidRPr="00D3550C">
        <w:rPr>
          <w:lang w:eastAsia="ru-RU"/>
        </w:rPr>
        <w:instrText>=</w:instrText>
      </w:r>
      <w:r w:rsidR="00A6794A">
        <w:rPr>
          <w:lang w:val="en-US" w:eastAsia="ru-RU"/>
        </w:rPr>
        <w:instrText>fbb</w:instrText>
      </w:r>
      <w:r w:rsidR="00A6794A" w:rsidRPr="00D3550C">
        <w:rPr>
          <w:lang w:eastAsia="ru-RU"/>
        </w:rPr>
        <w:instrText>0</w:instrText>
      </w:r>
      <w:r w:rsidR="00A6794A">
        <w:rPr>
          <w:lang w:val="en-US" w:eastAsia="ru-RU"/>
        </w:rPr>
        <w:instrText>b</w:instrText>
      </w:r>
      <w:r w:rsidR="00A6794A" w:rsidRPr="00D3550C">
        <w:rPr>
          <w:lang w:eastAsia="ru-RU"/>
        </w:rPr>
        <w:instrText>8</w:instrText>
      </w:r>
      <w:r w:rsidR="00A6794A">
        <w:rPr>
          <w:lang w:val="en-US" w:eastAsia="ru-RU"/>
        </w:rPr>
        <w:instrText>f</w:instrText>
      </w:r>
      <w:r w:rsidR="00A6794A" w:rsidRPr="00D3550C">
        <w:rPr>
          <w:lang w:eastAsia="ru-RU"/>
        </w:rPr>
        <w:instrText>4-6</w:instrText>
      </w:r>
      <w:r w:rsidR="00A6794A">
        <w:rPr>
          <w:lang w:val="en-US" w:eastAsia="ru-RU"/>
        </w:rPr>
        <w:instrText>b</w:instrText>
      </w:r>
      <w:r w:rsidR="00A6794A" w:rsidRPr="00D3550C">
        <w:rPr>
          <w:lang w:eastAsia="ru-RU"/>
        </w:rPr>
        <w:instrText>58-3</w:instrText>
      </w:r>
      <w:r w:rsidR="00A6794A">
        <w:rPr>
          <w:lang w:val="en-US" w:eastAsia="ru-RU"/>
        </w:rPr>
        <w:instrText>a</w:instrText>
      </w:r>
      <w:r w:rsidR="00A6794A" w:rsidRPr="00D3550C">
        <w:rPr>
          <w:lang w:eastAsia="ru-RU"/>
        </w:rPr>
        <w:instrText>10-</w:instrText>
      </w:r>
      <w:r w:rsidR="00A6794A">
        <w:rPr>
          <w:lang w:val="en-US" w:eastAsia="ru-RU"/>
        </w:rPr>
        <w:instrText>b</w:instrText>
      </w:r>
      <w:r w:rsidR="00A6794A" w:rsidRPr="00D3550C">
        <w:rPr>
          <w:lang w:eastAsia="ru-RU"/>
        </w:rPr>
        <w:instrText>7</w:instrText>
      </w:r>
      <w:r w:rsidR="00A6794A">
        <w:rPr>
          <w:lang w:val="en-US" w:eastAsia="ru-RU"/>
        </w:rPr>
        <w:instrText>d</w:instrText>
      </w:r>
      <w:r w:rsidR="00A6794A" w:rsidRPr="00D3550C">
        <w:rPr>
          <w:lang w:eastAsia="ru-RU"/>
        </w:rPr>
        <w:instrText>6-</w:instrText>
      </w:r>
      <w:r w:rsidR="00A6794A">
        <w:rPr>
          <w:lang w:val="en-US" w:eastAsia="ru-RU"/>
        </w:rPr>
        <w:instrText>af</w:instrText>
      </w:r>
      <w:r w:rsidR="00A6794A" w:rsidRPr="00D3550C">
        <w:rPr>
          <w:lang w:eastAsia="ru-RU"/>
        </w:rPr>
        <w:instrText>3854030</w:instrText>
      </w:r>
      <w:r w:rsidR="00A6794A">
        <w:rPr>
          <w:lang w:val="en-US" w:eastAsia="ru-RU"/>
        </w:rPr>
        <w:instrText>be</w:instrText>
      </w:r>
      <w:r w:rsidR="00A6794A" w:rsidRPr="00D3550C">
        <w:rPr>
          <w:lang w:eastAsia="ru-RU"/>
        </w:rPr>
        <w:instrText>8"]},{"</w:instrText>
      </w:r>
      <w:r w:rsidR="00A6794A">
        <w:rPr>
          <w:lang w:val="en-US" w:eastAsia="ru-RU"/>
        </w:rPr>
        <w:instrText>id</w:instrText>
      </w:r>
      <w:r w:rsidR="00A6794A" w:rsidRPr="00D3550C">
        <w:rPr>
          <w:lang w:eastAsia="ru-RU"/>
        </w:rPr>
        <w:instrText>":"</w:instrText>
      </w:r>
      <w:r w:rsidR="00A6794A">
        <w:rPr>
          <w:lang w:val="en-US" w:eastAsia="ru-RU"/>
        </w:rPr>
        <w:instrText>ITEM</w:instrText>
      </w:r>
      <w:r w:rsidR="00A6794A" w:rsidRPr="00D3550C">
        <w:rPr>
          <w:lang w:eastAsia="ru-RU"/>
        </w:rPr>
        <w:instrText>-2","</w:instrText>
      </w:r>
      <w:r w:rsidR="00A6794A">
        <w:rPr>
          <w:lang w:val="en-US" w:eastAsia="ru-RU"/>
        </w:rPr>
        <w:instrText>itemData</w:instrText>
      </w:r>
      <w:r w:rsidR="00A6794A" w:rsidRPr="00D3550C">
        <w:rPr>
          <w:lang w:eastAsia="ru-RU"/>
        </w:rPr>
        <w:instrText>":{"</w:instrText>
      </w:r>
      <w:r w:rsidR="00A6794A">
        <w:rPr>
          <w:lang w:val="en-US" w:eastAsia="ru-RU"/>
        </w:rPr>
        <w:instrText>DOI</w:instrText>
      </w:r>
      <w:r w:rsidR="00A6794A" w:rsidRPr="00D3550C">
        <w:rPr>
          <w:lang w:eastAsia="ru-RU"/>
        </w:rPr>
        <w:instrText>":"10.1007/</w:instrText>
      </w:r>
      <w:r w:rsidR="00A6794A">
        <w:rPr>
          <w:lang w:val="en-US" w:eastAsia="ru-RU"/>
        </w:rPr>
        <w:instrText>s</w:instrText>
      </w:r>
      <w:r w:rsidR="00A6794A" w:rsidRPr="00D3550C">
        <w:rPr>
          <w:lang w:eastAsia="ru-RU"/>
        </w:rPr>
        <w:instrText>12325-017-0610-</w:instrText>
      </w:r>
      <w:r w:rsidR="00A6794A">
        <w:rPr>
          <w:lang w:val="en-US" w:eastAsia="ru-RU"/>
        </w:rPr>
        <w:instrText>z</w:instrText>
      </w:r>
      <w:r w:rsidR="00A6794A" w:rsidRPr="00D3550C">
        <w:rPr>
          <w:lang w:eastAsia="ru-RU"/>
        </w:rPr>
        <w:instrText>","</w:instrText>
      </w:r>
      <w:r w:rsidR="00A6794A">
        <w:rPr>
          <w:lang w:val="en-US" w:eastAsia="ru-RU"/>
        </w:rPr>
        <w:instrText>ISSN</w:instrText>
      </w:r>
      <w:r w:rsidR="00A6794A" w:rsidRPr="00D3550C">
        <w:rPr>
          <w:lang w:eastAsia="ru-RU"/>
        </w:rPr>
        <w:instrText>":"18658652","</w:instrText>
      </w:r>
      <w:r w:rsidR="00A6794A">
        <w:rPr>
          <w:lang w:val="en-US" w:eastAsia="ru-RU"/>
        </w:rPr>
        <w:instrText>abstract</w:instrText>
      </w:r>
      <w:r w:rsidR="00A6794A" w:rsidRPr="00D3550C">
        <w:rPr>
          <w:lang w:eastAsia="ru-RU"/>
        </w:rPr>
        <w:instrText>":"</w:instrText>
      </w:r>
      <w:r w:rsidR="00A6794A">
        <w:rPr>
          <w:lang w:val="en-US" w:eastAsia="ru-RU"/>
        </w:rPr>
        <w:instrText>Abstract</w:instrText>
      </w:r>
      <w:r w:rsidR="00A6794A" w:rsidRPr="00D3550C">
        <w:rPr>
          <w:lang w:eastAsia="ru-RU"/>
        </w:rPr>
        <w:instrText xml:space="preserve">: </w:instrText>
      </w:r>
      <w:r w:rsidR="00A6794A">
        <w:rPr>
          <w:lang w:val="en-US" w:eastAsia="ru-RU"/>
        </w:rPr>
        <w:instrText>Rituximab</w:instrText>
      </w:r>
      <w:r w:rsidR="00A6794A" w:rsidRPr="00D3550C">
        <w:rPr>
          <w:lang w:eastAsia="ru-RU"/>
        </w:rPr>
        <w:instrText xml:space="preserve"> (</w:instrText>
      </w:r>
      <w:r w:rsidR="00A6794A">
        <w:rPr>
          <w:lang w:val="en-US" w:eastAsia="ru-RU"/>
        </w:rPr>
        <w:instrText>MabThera</w:instrText>
      </w:r>
      <w:r w:rsidR="00A6794A" w:rsidRPr="00D3550C">
        <w:rPr>
          <w:lang w:eastAsia="ru-RU"/>
        </w:rPr>
        <w:instrText>®/</w:instrText>
      </w:r>
      <w:r w:rsidR="00A6794A">
        <w:rPr>
          <w:lang w:val="en-US" w:eastAsia="ru-RU"/>
        </w:rPr>
        <w:instrText>Rituxan</w:instrText>
      </w:r>
      <w:r w:rsidR="00A6794A" w:rsidRPr="00D3550C">
        <w:rPr>
          <w:lang w:eastAsia="ru-RU"/>
        </w:rPr>
        <w:instrText xml:space="preserve">®), </w:instrText>
      </w:r>
      <w:r w:rsidR="00A6794A">
        <w:rPr>
          <w:lang w:val="en-US" w:eastAsia="ru-RU"/>
        </w:rPr>
        <w:instrText>a</w:instrText>
      </w:r>
      <w:r w:rsidR="00A6794A" w:rsidRPr="00D3550C">
        <w:rPr>
          <w:lang w:eastAsia="ru-RU"/>
        </w:rPr>
        <w:instrText xml:space="preserve"> </w:instrText>
      </w:r>
      <w:r w:rsidR="00A6794A">
        <w:rPr>
          <w:lang w:val="en-US" w:eastAsia="ru-RU"/>
        </w:rPr>
        <w:instrText>chimeric</w:instrText>
      </w:r>
      <w:r w:rsidR="00A6794A" w:rsidRPr="00D3550C">
        <w:rPr>
          <w:lang w:eastAsia="ru-RU"/>
        </w:rPr>
        <w:instrText xml:space="preserve"> </w:instrText>
      </w:r>
      <w:r w:rsidR="00A6794A">
        <w:rPr>
          <w:lang w:val="en-US" w:eastAsia="ru-RU"/>
        </w:rPr>
        <w:instrText>murine</w:instrText>
      </w:r>
      <w:r w:rsidR="00A6794A" w:rsidRPr="00D3550C">
        <w:rPr>
          <w:lang w:eastAsia="ru-RU"/>
        </w:rPr>
        <w:instrText>/</w:instrText>
      </w:r>
      <w:r w:rsidR="00A6794A">
        <w:rPr>
          <w:lang w:val="en-US" w:eastAsia="ru-RU"/>
        </w:rPr>
        <w:instrText>human</w:instrText>
      </w:r>
      <w:r w:rsidR="00A6794A" w:rsidRPr="00D3550C">
        <w:rPr>
          <w:lang w:eastAsia="ru-RU"/>
        </w:rPr>
        <w:instrText xml:space="preserve"> </w:instrText>
      </w:r>
      <w:r w:rsidR="00A6794A">
        <w:rPr>
          <w:lang w:val="en-US" w:eastAsia="ru-RU"/>
        </w:rPr>
        <w:instrText>monoclonal</w:instrText>
      </w:r>
      <w:r w:rsidR="00A6794A" w:rsidRPr="00D3550C">
        <w:rPr>
          <w:lang w:eastAsia="ru-RU"/>
        </w:rPr>
        <w:instrText xml:space="preserve"> </w:instrText>
      </w:r>
      <w:r w:rsidR="00A6794A">
        <w:rPr>
          <w:lang w:val="en-US" w:eastAsia="ru-RU"/>
        </w:rPr>
        <w:instrText>antibody</w:instrText>
      </w:r>
      <w:r w:rsidR="00A6794A" w:rsidRPr="00D3550C">
        <w:rPr>
          <w:lang w:eastAsia="ru-RU"/>
        </w:rPr>
        <w:instrText xml:space="preserve"> </w:instrText>
      </w:r>
      <w:r w:rsidR="00A6794A">
        <w:rPr>
          <w:lang w:val="en-US" w:eastAsia="ru-RU"/>
        </w:rPr>
        <w:instrText>that</w:instrText>
      </w:r>
      <w:r w:rsidR="00A6794A" w:rsidRPr="00D3550C">
        <w:rPr>
          <w:lang w:eastAsia="ru-RU"/>
        </w:rPr>
        <w:instrText xml:space="preserve"> </w:instrText>
      </w:r>
      <w:r w:rsidR="00A6794A">
        <w:rPr>
          <w:lang w:val="en-US" w:eastAsia="ru-RU"/>
        </w:rPr>
        <w:instrText>binds</w:instrText>
      </w:r>
      <w:r w:rsidR="00A6794A" w:rsidRPr="00D3550C">
        <w:rPr>
          <w:lang w:eastAsia="ru-RU"/>
        </w:rPr>
        <w:instrText xml:space="preserve"> </w:instrText>
      </w:r>
      <w:r w:rsidR="00A6794A">
        <w:rPr>
          <w:lang w:val="en-US" w:eastAsia="ru-RU"/>
        </w:rPr>
        <w:instrText>specifically</w:instrText>
      </w:r>
      <w:r w:rsidR="00A6794A" w:rsidRPr="00D3550C">
        <w:rPr>
          <w:lang w:eastAsia="ru-RU"/>
        </w:rPr>
        <w:instrText xml:space="preserve"> </w:instrText>
      </w:r>
      <w:r w:rsidR="00A6794A">
        <w:rPr>
          <w:lang w:val="en-US" w:eastAsia="ru-RU"/>
        </w:rPr>
        <w:instrText>to</w:instrText>
      </w:r>
      <w:r w:rsidR="00A6794A" w:rsidRPr="00D3550C">
        <w:rPr>
          <w:lang w:eastAsia="ru-RU"/>
        </w:rPr>
        <w:instrText xml:space="preserve"> </w:instrText>
      </w:r>
      <w:r w:rsidR="00A6794A">
        <w:rPr>
          <w:lang w:val="en-US" w:eastAsia="ru-RU"/>
        </w:rPr>
        <w:instrText>the</w:instrText>
      </w:r>
      <w:r w:rsidR="00A6794A" w:rsidRPr="00D3550C">
        <w:rPr>
          <w:lang w:eastAsia="ru-RU"/>
        </w:rPr>
        <w:instrText xml:space="preserve"> </w:instrText>
      </w:r>
      <w:r w:rsidR="00A6794A">
        <w:rPr>
          <w:lang w:val="en-US" w:eastAsia="ru-RU"/>
        </w:rPr>
        <w:instrText>transmembrane</w:instrText>
      </w:r>
      <w:r w:rsidR="00A6794A" w:rsidRPr="00D3550C">
        <w:rPr>
          <w:lang w:eastAsia="ru-RU"/>
        </w:rPr>
        <w:instrText xml:space="preserve"> </w:instrText>
      </w:r>
      <w:r w:rsidR="00A6794A">
        <w:rPr>
          <w:lang w:val="en-US" w:eastAsia="ru-RU"/>
        </w:rPr>
        <w:instrText>antigen</w:instrText>
      </w:r>
      <w:r w:rsidR="00A6794A" w:rsidRPr="00D3550C">
        <w:rPr>
          <w:lang w:eastAsia="ru-RU"/>
        </w:rPr>
        <w:instrText xml:space="preserve"> </w:instrText>
      </w:r>
      <w:r w:rsidR="00A6794A">
        <w:rPr>
          <w:lang w:val="en-US" w:eastAsia="ru-RU"/>
        </w:rPr>
        <w:instrText>CD</w:instrText>
      </w:r>
      <w:r w:rsidR="00A6794A" w:rsidRPr="00D3550C">
        <w:rPr>
          <w:lang w:eastAsia="ru-RU"/>
        </w:rPr>
        <w:instrText xml:space="preserve">20, </w:instrText>
      </w:r>
      <w:r w:rsidR="00A6794A">
        <w:rPr>
          <w:lang w:val="en-US" w:eastAsia="ru-RU"/>
        </w:rPr>
        <w:instrText>was</w:instrText>
      </w:r>
      <w:r w:rsidR="00A6794A" w:rsidRPr="00D3550C">
        <w:rPr>
          <w:lang w:eastAsia="ru-RU"/>
        </w:rPr>
        <w:instrText xml:space="preserve"> </w:instrText>
      </w:r>
      <w:r w:rsidR="00A6794A">
        <w:rPr>
          <w:lang w:val="en-US" w:eastAsia="ru-RU"/>
        </w:rPr>
        <w:instrText>the</w:instrText>
      </w:r>
      <w:r w:rsidR="00A6794A" w:rsidRPr="00D3550C">
        <w:rPr>
          <w:lang w:eastAsia="ru-RU"/>
        </w:rPr>
        <w:instrText xml:space="preserve"> </w:instrText>
      </w:r>
      <w:r w:rsidR="00A6794A">
        <w:rPr>
          <w:lang w:val="en-US" w:eastAsia="ru-RU"/>
        </w:rPr>
        <w:instrText>first</w:instrText>
      </w:r>
      <w:r w:rsidR="00A6794A" w:rsidRPr="00D3550C">
        <w:rPr>
          <w:lang w:eastAsia="ru-RU"/>
        </w:rPr>
        <w:instrText xml:space="preserve"> </w:instrText>
      </w:r>
      <w:r w:rsidR="00A6794A">
        <w:rPr>
          <w:lang w:val="en-US" w:eastAsia="ru-RU"/>
        </w:rPr>
        <w:instrText>therapeutic</w:instrText>
      </w:r>
      <w:r w:rsidR="00A6794A" w:rsidRPr="00D3550C">
        <w:rPr>
          <w:lang w:eastAsia="ru-RU"/>
        </w:rPr>
        <w:instrText xml:space="preserve"> </w:instrText>
      </w:r>
      <w:r w:rsidR="00A6794A">
        <w:rPr>
          <w:lang w:val="en-US" w:eastAsia="ru-RU"/>
        </w:rPr>
        <w:instrText>antibody</w:instrText>
      </w:r>
      <w:r w:rsidR="00A6794A" w:rsidRPr="00D3550C">
        <w:rPr>
          <w:lang w:eastAsia="ru-RU"/>
        </w:rPr>
        <w:instrText xml:space="preserve"> </w:instrText>
      </w:r>
      <w:r w:rsidR="00A6794A">
        <w:rPr>
          <w:lang w:val="en-US" w:eastAsia="ru-RU"/>
        </w:rPr>
        <w:instrText>to</w:instrText>
      </w:r>
      <w:r w:rsidR="00A6794A" w:rsidRPr="00D3550C">
        <w:rPr>
          <w:lang w:eastAsia="ru-RU"/>
        </w:rPr>
        <w:instrText xml:space="preserve"> </w:instrText>
      </w:r>
      <w:r w:rsidR="00A6794A">
        <w:rPr>
          <w:lang w:val="en-US" w:eastAsia="ru-RU"/>
        </w:rPr>
        <w:instrText>enter</w:instrText>
      </w:r>
      <w:r w:rsidR="00A6794A" w:rsidRPr="00D3550C">
        <w:rPr>
          <w:lang w:eastAsia="ru-RU"/>
        </w:rPr>
        <w:instrText xml:space="preserve"> </w:instrText>
      </w:r>
      <w:r w:rsidR="00A6794A">
        <w:rPr>
          <w:lang w:val="en-US" w:eastAsia="ru-RU"/>
        </w:rPr>
        <w:instrText>clinical</w:instrText>
      </w:r>
      <w:r w:rsidR="00A6794A" w:rsidRPr="00D3550C">
        <w:rPr>
          <w:lang w:eastAsia="ru-RU"/>
        </w:rPr>
        <w:instrText xml:space="preserve"> </w:instrText>
      </w:r>
      <w:r w:rsidR="00A6794A">
        <w:rPr>
          <w:lang w:val="en-US" w:eastAsia="ru-RU"/>
        </w:rPr>
        <w:instrText>practice</w:instrText>
      </w:r>
      <w:r w:rsidR="00A6794A" w:rsidRPr="00D3550C">
        <w:rPr>
          <w:lang w:eastAsia="ru-RU"/>
        </w:rPr>
        <w:instrText xml:space="preserve"> </w:instrText>
      </w:r>
      <w:r w:rsidR="00A6794A">
        <w:rPr>
          <w:lang w:val="en-US" w:eastAsia="ru-RU"/>
        </w:rPr>
        <w:instrText>for</w:instrText>
      </w:r>
      <w:r w:rsidR="00A6794A" w:rsidRPr="00D3550C">
        <w:rPr>
          <w:lang w:eastAsia="ru-RU"/>
        </w:rPr>
        <w:instrText xml:space="preserve"> </w:instrText>
      </w:r>
      <w:r w:rsidR="00A6794A">
        <w:rPr>
          <w:lang w:val="en-US" w:eastAsia="ru-RU"/>
        </w:rPr>
        <w:instrText>the</w:instrText>
      </w:r>
      <w:r w:rsidR="00A6794A" w:rsidRPr="00D3550C">
        <w:rPr>
          <w:lang w:eastAsia="ru-RU"/>
        </w:rPr>
        <w:instrText xml:space="preserve"> </w:instrText>
      </w:r>
      <w:r w:rsidR="00A6794A">
        <w:rPr>
          <w:lang w:val="en-US" w:eastAsia="ru-RU"/>
        </w:rPr>
        <w:instrText>treatment</w:instrText>
      </w:r>
      <w:r w:rsidR="00A6794A" w:rsidRPr="00D3550C">
        <w:rPr>
          <w:lang w:eastAsia="ru-RU"/>
        </w:rPr>
        <w:instrText xml:space="preserve"> </w:instrText>
      </w:r>
      <w:r w:rsidR="00A6794A">
        <w:rPr>
          <w:lang w:val="en-US" w:eastAsia="ru-RU"/>
        </w:rPr>
        <w:instrText>of</w:instrText>
      </w:r>
      <w:r w:rsidR="00A6794A" w:rsidRPr="00D3550C">
        <w:rPr>
          <w:lang w:eastAsia="ru-RU"/>
        </w:rPr>
        <w:instrText xml:space="preserve"> </w:instrText>
      </w:r>
      <w:r w:rsidR="00A6794A">
        <w:rPr>
          <w:lang w:val="en-US" w:eastAsia="ru-RU"/>
        </w:rPr>
        <w:instrText>cancer</w:instrText>
      </w:r>
      <w:r w:rsidR="00A6794A" w:rsidRPr="00D3550C">
        <w:rPr>
          <w:lang w:eastAsia="ru-RU"/>
        </w:rPr>
        <w:instrText xml:space="preserve">. </w:instrText>
      </w:r>
      <w:r w:rsidR="00A6794A">
        <w:rPr>
          <w:lang w:val="en-US" w:eastAsia="ru-RU"/>
        </w:rPr>
        <w:instrText>As</w:instrText>
      </w:r>
      <w:r w:rsidR="00A6794A" w:rsidRPr="00D3550C">
        <w:rPr>
          <w:lang w:eastAsia="ru-RU"/>
        </w:rPr>
        <w:instrText xml:space="preserve"> </w:instrText>
      </w:r>
      <w:r w:rsidR="00A6794A">
        <w:rPr>
          <w:lang w:val="en-US" w:eastAsia="ru-RU"/>
        </w:rPr>
        <w:instrText>monotherapy</w:instrText>
      </w:r>
      <w:r w:rsidR="00A6794A" w:rsidRPr="00D3550C">
        <w:rPr>
          <w:lang w:eastAsia="ru-RU"/>
        </w:rPr>
        <w:instrText xml:space="preserve"> </w:instrText>
      </w:r>
      <w:r w:rsidR="00A6794A">
        <w:rPr>
          <w:lang w:val="en-US" w:eastAsia="ru-RU"/>
        </w:rPr>
        <w:instrText>and</w:instrText>
      </w:r>
      <w:r w:rsidR="00A6794A" w:rsidRPr="00D3550C">
        <w:rPr>
          <w:lang w:eastAsia="ru-RU"/>
        </w:rPr>
        <w:instrText xml:space="preserve"> </w:instrText>
      </w:r>
      <w:r w:rsidR="00A6794A">
        <w:rPr>
          <w:lang w:val="en-US" w:eastAsia="ru-RU"/>
        </w:rPr>
        <w:instrText>in</w:instrText>
      </w:r>
      <w:r w:rsidR="00A6794A" w:rsidRPr="00D3550C">
        <w:rPr>
          <w:lang w:eastAsia="ru-RU"/>
        </w:rPr>
        <w:instrText xml:space="preserve"> </w:instrText>
      </w:r>
      <w:r w:rsidR="00A6794A">
        <w:rPr>
          <w:lang w:val="en-US" w:eastAsia="ru-RU"/>
        </w:rPr>
        <w:instrText>combination</w:instrText>
      </w:r>
      <w:r w:rsidR="00A6794A" w:rsidRPr="00D3550C">
        <w:rPr>
          <w:lang w:eastAsia="ru-RU"/>
        </w:rPr>
        <w:instrText xml:space="preserve"> </w:instrText>
      </w:r>
      <w:r w:rsidR="00A6794A">
        <w:rPr>
          <w:lang w:val="en-US" w:eastAsia="ru-RU"/>
        </w:rPr>
        <w:instrText>with</w:instrText>
      </w:r>
      <w:r w:rsidR="00A6794A" w:rsidRPr="00D3550C">
        <w:rPr>
          <w:lang w:eastAsia="ru-RU"/>
        </w:rPr>
        <w:instrText xml:space="preserve"> </w:instrText>
      </w:r>
      <w:r w:rsidR="00A6794A">
        <w:rPr>
          <w:lang w:val="en-US" w:eastAsia="ru-RU"/>
        </w:rPr>
        <w:instrText>chemotherapy</w:instrText>
      </w:r>
      <w:r w:rsidR="00A6794A" w:rsidRPr="00D3550C">
        <w:rPr>
          <w:lang w:eastAsia="ru-RU"/>
        </w:rPr>
        <w:instrText xml:space="preserve">, </w:instrText>
      </w:r>
      <w:r w:rsidR="00A6794A">
        <w:rPr>
          <w:lang w:val="en-US" w:eastAsia="ru-RU"/>
        </w:rPr>
        <w:instrText>rituximab</w:instrText>
      </w:r>
      <w:r w:rsidR="00A6794A" w:rsidRPr="00D3550C">
        <w:rPr>
          <w:lang w:eastAsia="ru-RU"/>
        </w:rPr>
        <w:instrText xml:space="preserve"> </w:instrText>
      </w:r>
      <w:r w:rsidR="00A6794A">
        <w:rPr>
          <w:lang w:val="en-US" w:eastAsia="ru-RU"/>
        </w:rPr>
        <w:instrText>has</w:instrText>
      </w:r>
      <w:r w:rsidR="00A6794A" w:rsidRPr="00D3550C">
        <w:rPr>
          <w:lang w:eastAsia="ru-RU"/>
        </w:rPr>
        <w:instrText xml:space="preserve"> </w:instrText>
      </w:r>
      <w:r w:rsidR="00A6794A">
        <w:rPr>
          <w:lang w:val="en-US" w:eastAsia="ru-RU"/>
        </w:rPr>
        <w:instrText>been</w:instrText>
      </w:r>
      <w:r w:rsidR="00A6794A" w:rsidRPr="00D3550C">
        <w:rPr>
          <w:lang w:eastAsia="ru-RU"/>
        </w:rPr>
        <w:instrText xml:space="preserve"> </w:instrText>
      </w:r>
      <w:r w:rsidR="00A6794A">
        <w:rPr>
          <w:lang w:val="en-US" w:eastAsia="ru-RU"/>
        </w:rPr>
        <w:instrText>shown</w:instrText>
      </w:r>
      <w:r w:rsidR="00A6794A" w:rsidRPr="00D3550C">
        <w:rPr>
          <w:lang w:eastAsia="ru-RU"/>
        </w:rPr>
        <w:instrText xml:space="preserve"> </w:instrText>
      </w:r>
      <w:r w:rsidR="00A6794A">
        <w:rPr>
          <w:lang w:val="en-US" w:eastAsia="ru-RU"/>
        </w:rPr>
        <w:instrText>to</w:instrText>
      </w:r>
      <w:r w:rsidR="00A6794A" w:rsidRPr="00D3550C">
        <w:rPr>
          <w:lang w:eastAsia="ru-RU"/>
        </w:rPr>
        <w:instrText xml:space="preserve"> </w:instrText>
      </w:r>
      <w:r w:rsidR="00A6794A">
        <w:rPr>
          <w:lang w:val="en-US" w:eastAsia="ru-RU"/>
        </w:rPr>
        <w:instrText>prolong</w:instrText>
      </w:r>
      <w:r w:rsidR="00A6794A" w:rsidRPr="00D3550C">
        <w:rPr>
          <w:lang w:eastAsia="ru-RU"/>
        </w:rPr>
        <w:instrText xml:space="preserve"> </w:instrText>
      </w:r>
      <w:r w:rsidR="00A6794A">
        <w:rPr>
          <w:lang w:val="en-US" w:eastAsia="ru-RU"/>
        </w:rPr>
        <w:instrText>progression</w:instrText>
      </w:r>
      <w:r w:rsidR="00A6794A" w:rsidRPr="00D3550C">
        <w:rPr>
          <w:lang w:eastAsia="ru-RU"/>
        </w:rPr>
        <w:instrText>-</w:instrText>
      </w:r>
      <w:r w:rsidR="00A6794A">
        <w:rPr>
          <w:lang w:val="en-US" w:eastAsia="ru-RU"/>
        </w:rPr>
        <w:instrText>free</w:instrText>
      </w:r>
      <w:r w:rsidR="00A6794A" w:rsidRPr="00D3550C">
        <w:rPr>
          <w:lang w:eastAsia="ru-RU"/>
        </w:rPr>
        <w:instrText xml:space="preserve"> </w:instrText>
      </w:r>
      <w:r w:rsidR="00A6794A">
        <w:rPr>
          <w:lang w:val="en-US" w:eastAsia="ru-RU"/>
        </w:rPr>
        <w:instrText>survival</w:instrText>
      </w:r>
      <w:r w:rsidR="00A6794A" w:rsidRPr="00D3550C">
        <w:rPr>
          <w:lang w:eastAsia="ru-RU"/>
        </w:rPr>
        <w:instrText xml:space="preserve"> </w:instrText>
      </w:r>
      <w:r w:rsidR="00A6794A">
        <w:rPr>
          <w:lang w:val="en-US" w:eastAsia="ru-RU"/>
        </w:rPr>
        <w:instrText>and</w:instrText>
      </w:r>
      <w:r w:rsidR="00A6794A" w:rsidRPr="00D3550C">
        <w:rPr>
          <w:lang w:eastAsia="ru-RU"/>
        </w:rPr>
        <w:instrText xml:space="preserve">, </w:instrText>
      </w:r>
      <w:r w:rsidR="00A6794A">
        <w:rPr>
          <w:lang w:val="en-US" w:eastAsia="ru-RU"/>
        </w:rPr>
        <w:instrText>in</w:instrText>
      </w:r>
      <w:r w:rsidR="00A6794A" w:rsidRPr="00D3550C">
        <w:rPr>
          <w:lang w:eastAsia="ru-RU"/>
        </w:rPr>
        <w:instrText xml:space="preserve"> </w:instrText>
      </w:r>
      <w:r w:rsidR="00A6794A">
        <w:rPr>
          <w:lang w:val="en-US" w:eastAsia="ru-RU"/>
        </w:rPr>
        <w:instrText>some</w:instrText>
      </w:r>
      <w:r w:rsidR="00A6794A" w:rsidRPr="00D3550C">
        <w:rPr>
          <w:lang w:eastAsia="ru-RU"/>
        </w:rPr>
        <w:instrText xml:space="preserve"> </w:instrText>
      </w:r>
      <w:r w:rsidR="00A6794A">
        <w:rPr>
          <w:lang w:val="en-US" w:eastAsia="ru-RU"/>
        </w:rPr>
        <w:instrText>indications</w:instrText>
      </w:r>
      <w:r w:rsidR="00A6794A" w:rsidRPr="00D3550C">
        <w:rPr>
          <w:lang w:eastAsia="ru-RU"/>
        </w:rPr>
        <w:instrText xml:space="preserve"> </w:instrText>
      </w:r>
      <w:r w:rsidR="00A6794A">
        <w:rPr>
          <w:lang w:val="en-US" w:eastAsia="ru-RU"/>
        </w:rPr>
        <w:instrText>overall</w:instrText>
      </w:r>
      <w:r w:rsidR="00A6794A" w:rsidRPr="00D3550C">
        <w:rPr>
          <w:lang w:eastAsia="ru-RU"/>
        </w:rPr>
        <w:instrText xml:space="preserve"> </w:instrText>
      </w:r>
      <w:r w:rsidR="00A6794A">
        <w:rPr>
          <w:lang w:val="en-US" w:eastAsia="ru-RU"/>
        </w:rPr>
        <w:instrText>survival</w:instrText>
      </w:r>
      <w:r w:rsidR="00A6794A" w:rsidRPr="00D3550C">
        <w:rPr>
          <w:lang w:eastAsia="ru-RU"/>
        </w:rPr>
        <w:instrText xml:space="preserve">, </w:instrText>
      </w:r>
      <w:r w:rsidR="00A6794A">
        <w:rPr>
          <w:lang w:val="en-US" w:eastAsia="ru-RU"/>
        </w:rPr>
        <w:instrText>in</w:instrText>
      </w:r>
      <w:r w:rsidR="00A6794A" w:rsidRPr="00D3550C">
        <w:rPr>
          <w:lang w:eastAsia="ru-RU"/>
        </w:rPr>
        <w:instrText xml:space="preserve"> </w:instrText>
      </w:r>
      <w:r w:rsidR="00A6794A">
        <w:rPr>
          <w:lang w:val="en-US" w:eastAsia="ru-RU"/>
        </w:rPr>
        <w:instrText>patients</w:instrText>
      </w:r>
      <w:r w:rsidR="00A6794A" w:rsidRPr="00D3550C">
        <w:rPr>
          <w:lang w:eastAsia="ru-RU"/>
        </w:rPr>
        <w:instrText xml:space="preserve"> </w:instrText>
      </w:r>
      <w:r w:rsidR="00A6794A">
        <w:rPr>
          <w:lang w:val="en-US" w:eastAsia="ru-RU"/>
        </w:rPr>
        <w:instrText>with</w:instrText>
      </w:r>
      <w:r w:rsidR="00A6794A" w:rsidRPr="00D3550C">
        <w:rPr>
          <w:lang w:eastAsia="ru-RU"/>
        </w:rPr>
        <w:instrText xml:space="preserve"> </w:instrText>
      </w:r>
      <w:r w:rsidR="00A6794A">
        <w:rPr>
          <w:lang w:val="en-US" w:eastAsia="ru-RU"/>
        </w:rPr>
        <w:instrText>various</w:instrText>
      </w:r>
      <w:r w:rsidR="00A6794A" w:rsidRPr="00D3550C">
        <w:rPr>
          <w:lang w:eastAsia="ru-RU"/>
        </w:rPr>
        <w:instrText xml:space="preserve"> </w:instrText>
      </w:r>
      <w:r w:rsidR="00A6794A">
        <w:rPr>
          <w:lang w:val="en-US" w:eastAsia="ru-RU"/>
        </w:rPr>
        <w:instrText>B</w:instrText>
      </w:r>
      <w:r w:rsidR="00A6794A" w:rsidRPr="00D3550C">
        <w:rPr>
          <w:lang w:eastAsia="ru-RU"/>
        </w:rPr>
        <w:instrText>-</w:instrText>
      </w:r>
      <w:r w:rsidR="00A6794A">
        <w:rPr>
          <w:lang w:val="en-US" w:eastAsia="ru-RU"/>
        </w:rPr>
        <w:instrText>cell</w:instrText>
      </w:r>
      <w:r w:rsidR="00A6794A" w:rsidRPr="00D3550C">
        <w:rPr>
          <w:lang w:eastAsia="ru-RU"/>
        </w:rPr>
        <w:instrText xml:space="preserve"> </w:instrText>
      </w:r>
      <w:r w:rsidR="00A6794A">
        <w:rPr>
          <w:lang w:val="en-US" w:eastAsia="ru-RU"/>
        </w:rPr>
        <w:instrText>malignancies</w:instrText>
      </w:r>
      <w:r w:rsidR="00A6794A" w:rsidRPr="00D3550C">
        <w:rPr>
          <w:lang w:eastAsia="ru-RU"/>
        </w:rPr>
        <w:instrText xml:space="preserve">, </w:instrText>
      </w:r>
      <w:r w:rsidR="00A6794A">
        <w:rPr>
          <w:lang w:val="en-US" w:eastAsia="ru-RU"/>
        </w:rPr>
        <w:instrText>while</w:instrText>
      </w:r>
      <w:r w:rsidR="00A6794A" w:rsidRPr="00D3550C">
        <w:rPr>
          <w:lang w:eastAsia="ru-RU"/>
        </w:rPr>
        <w:instrText xml:space="preserve"> </w:instrText>
      </w:r>
      <w:r w:rsidR="00A6794A">
        <w:rPr>
          <w:lang w:val="en-US" w:eastAsia="ru-RU"/>
        </w:rPr>
        <w:instrText>having</w:instrText>
      </w:r>
      <w:r w:rsidR="00A6794A" w:rsidRPr="00D3550C">
        <w:rPr>
          <w:lang w:eastAsia="ru-RU"/>
        </w:rPr>
        <w:instrText xml:space="preserve"> </w:instrText>
      </w:r>
      <w:r w:rsidR="00A6794A">
        <w:rPr>
          <w:lang w:val="en-US" w:eastAsia="ru-RU"/>
        </w:rPr>
        <w:instrText>a</w:instrText>
      </w:r>
      <w:r w:rsidR="00A6794A" w:rsidRPr="00D3550C">
        <w:rPr>
          <w:lang w:eastAsia="ru-RU"/>
        </w:rPr>
        <w:instrText xml:space="preserve"> </w:instrText>
      </w:r>
      <w:r w:rsidR="00A6794A">
        <w:rPr>
          <w:lang w:val="en-US" w:eastAsia="ru-RU"/>
        </w:rPr>
        <w:instrText>well</w:instrText>
      </w:r>
      <w:r w:rsidR="00A6794A" w:rsidRPr="00D3550C">
        <w:rPr>
          <w:lang w:eastAsia="ru-RU"/>
        </w:rPr>
        <w:instrText>-</w:instrText>
      </w:r>
      <w:r w:rsidR="00A6794A">
        <w:rPr>
          <w:lang w:val="en-US" w:eastAsia="ru-RU"/>
        </w:rPr>
        <w:instrText>established</w:instrText>
      </w:r>
      <w:r w:rsidR="00A6794A" w:rsidRPr="00D3550C">
        <w:rPr>
          <w:lang w:eastAsia="ru-RU"/>
        </w:rPr>
        <w:instrText xml:space="preserve"> </w:instrText>
      </w:r>
      <w:r w:rsidR="00A6794A">
        <w:rPr>
          <w:lang w:val="en-US" w:eastAsia="ru-RU"/>
        </w:rPr>
        <w:instrText>and</w:instrText>
      </w:r>
      <w:r w:rsidR="00A6794A" w:rsidRPr="00D3550C">
        <w:rPr>
          <w:lang w:eastAsia="ru-RU"/>
        </w:rPr>
        <w:instrText xml:space="preserve"> </w:instrText>
      </w:r>
      <w:r w:rsidR="00A6794A">
        <w:rPr>
          <w:lang w:val="en-US" w:eastAsia="ru-RU"/>
        </w:rPr>
        <w:instrText>manageable</w:instrText>
      </w:r>
      <w:r w:rsidR="00A6794A" w:rsidRPr="00D3550C">
        <w:rPr>
          <w:lang w:eastAsia="ru-RU"/>
        </w:rPr>
        <w:instrText xml:space="preserve"> </w:instrText>
      </w:r>
      <w:r w:rsidR="00A6794A">
        <w:rPr>
          <w:lang w:val="en-US" w:eastAsia="ru-RU"/>
        </w:rPr>
        <w:instrText>safety</w:instrText>
      </w:r>
      <w:r w:rsidR="00A6794A" w:rsidRPr="00D3550C">
        <w:rPr>
          <w:lang w:eastAsia="ru-RU"/>
        </w:rPr>
        <w:instrText xml:space="preserve"> </w:instrText>
      </w:r>
      <w:r w:rsidR="00A6794A">
        <w:rPr>
          <w:lang w:val="en-US" w:eastAsia="ru-RU"/>
        </w:rPr>
        <w:instrText>profile</w:instrText>
      </w:r>
      <w:r w:rsidR="00A6794A" w:rsidRPr="00D3550C">
        <w:rPr>
          <w:lang w:eastAsia="ru-RU"/>
        </w:rPr>
        <w:instrText xml:space="preserve"> </w:instrText>
      </w:r>
      <w:r w:rsidR="00A6794A">
        <w:rPr>
          <w:lang w:val="en-US" w:eastAsia="ru-RU"/>
        </w:rPr>
        <w:instrText>and</w:instrText>
      </w:r>
      <w:r w:rsidR="00A6794A" w:rsidRPr="00D3550C">
        <w:rPr>
          <w:lang w:eastAsia="ru-RU"/>
        </w:rPr>
        <w:instrText xml:space="preserve"> </w:instrText>
      </w:r>
      <w:r w:rsidR="00A6794A">
        <w:rPr>
          <w:lang w:val="en-US" w:eastAsia="ru-RU"/>
        </w:rPr>
        <w:instrText>a</w:instrText>
      </w:r>
      <w:r w:rsidR="00A6794A" w:rsidRPr="00D3550C">
        <w:rPr>
          <w:lang w:eastAsia="ru-RU"/>
        </w:rPr>
        <w:instrText xml:space="preserve"> </w:instrText>
      </w:r>
      <w:r w:rsidR="00A6794A">
        <w:rPr>
          <w:lang w:val="en-US" w:eastAsia="ru-RU"/>
        </w:rPr>
        <w:instrText>wide</w:instrText>
      </w:r>
      <w:r w:rsidR="00A6794A" w:rsidRPr="00D3550C">
        <w:rPr>
          <w:lang w:eastAsia="ru-RU"/>
        </w:rPr>
        <w:instrText xml:space="preserve"> </w:instrText>
      </w:r>
      <w:r w:rsidR="00A6794A">
        <w:rPr>
          <w:lang w:val="en-US" w:eastAsia="ru-RU"/>
        </w:rPr>
        <w:instrText>therapeutic</w:instrText>
      </w:r>
      <w:r w:rsidR="00A6794A" w:rsidRPr="00D3550C">
        <w:rPr>
          <w:lang w:eastAsia="ru-RU"/>
        </w:rPr>
        <w:instrText xml:space="preserve"> </w:instrText>
      </w:r>
      <w:r w:rsidR="00A6794A">
        <w:rPr>
          <w:lang w:val="en-US" w:eastAsia="ru-RU"/>
        </w:rPr>
        <w:instrText>window</w:instrText>
      </w:r>
      <w:r w:rsidR="00A6794A" w:rsidRPr="00D3550C">
        <w:rPr>
          <w:lang w:eastAsia="ru-RU"/>
        </w:rPr>
        <w:instrText xml:space="preserve">. </w:instrText>
      </w:r>
      <w:r w:rsidR="00A6794A">
        <w:rPr>
          <w:lang w:val="en-US" w:eastAsia="ru-RU"/>
        </w:rPr>
        <w:instrText>As</w:instrText>
      </w:r>
      <w:r w:rsidR="00A6794A" w:rsidRPr="00D3550C">
        <w:rPr>
          <w:lang w:eastAsia="ru-RU"/>
        </w:rPr>
        <w:instrText xml:space="preserve"> </w:instrText>
      </w:r>
      <w:r w:rsidR="00A6794A">
        <w:rPr>
          <w:lang w:val="en-US" w:eastAsia="ru-RU"/>
        </w:rPr>
        <w:instrText>a</w:instrText>
      </w:r>
      <w:r w:rsidR="00A6794A" w:rsidRPr="00D3550C">
        <w:rPr>
          <w:lang w:eastAsia="ru-RU"/>
        </w:rPr>
        <w:instrText xml:space="preserve"> </w:instrText>
      </w:r>
      <w:r w:rsidR="00A6794A">
        <w:rPr>
          <w:lang w:val="en-US" w:eastAsia="ru-RU"/>
        </w:rPr>
        <w:instrText>result</w:instrText>
      </w:r>
      <w:r w:rsidR="00A6794A" w:rsidRPr="00D3550C">
        <w:rPr>
          <w:lang w:eastAsia="ru-RU"/>
        </w:rPr>
        <w:instrText xml:space="preserve">, </w:instrText>
      </w:r>
      <w:r w:rsidR="00A6794A">
        <w:rPr>
          <w:lang w:val="en-US" w:eastAsia="ru-RU"/>
        </w:rPr>
        <w:instrText>rituximab</w:instrText>
      </w:r>
      <w:r w:rsidR="00A6794A" w:rsidRPr="00D3550C">
        <w:rPr>
          <w:lang w:eastAsia="ru-RU"/>
        </w:rPr>
        <w:instrText xml:space="preserve"> </w:instrText>
      </w:r>
      <w:r w:rsidR="00A6794A">
        <w:rPr>
          <w:lang w:val="en-US" w:eastAsia="ru-RU"/>
        </w:rPr>
        <w:instrText>is</w:instrText>
      </w:r>
      <w:r w:rsidR="00A6794A" w:rsidRPr="00D3550C">
        <w:rPr>
          <w:lang w:eastAsia="ru-RU"/>
        </w:rPr>
        <w:instrText xml:space="preserve"> </w:instrText>
      </w:r>
      <w:r w:rsidR="00A6794A">
        <w:rPr>
          <w:lang w:val="en-US" w:eastAsia="ru-RU"/>
        </w:rPr>
        <w:instrText>considered</w:instrText>
      </w:r>
      <w:r w:rsidR="00A6794A" w:rsidRPr="00D3550C">
        <w:rPr>
          <w:lang w:eastAsia="ru-RU"/>
        </w:rPr>
        <w:instrText xml:space="preserve"> </w:instrText>
      </w:r>
      <w:r w:rsidR="00A6794A">
        <w:rPr>
          <w:lang w:val="en-US" w:eastAsia="ru-RU"/>
        </w:rPr>
        <w:instrText>to</w:instrText>
      </w:r>
      <w:r w:rsidR="00A6794A" w:rsidRPr="00D3550C">
        <w:rPr>
          <w:lang w:eastAsia="ru-RU"/>
        </w:rPr>
        <w:instrText xml:space="preserve"> </w:instrText>
      </w:r>
      <w:r w:rsidR="00A6794A">
        <w:rPr>
          <w:lang w:val="en-US" w:eastAsia="ru-RU"/>
        </w:rPr>
        <w:instrText>have</w:instrText>
      </w:r>
      <w:r w:rsidR="00A6794A" w:rsidRPr="00D3550C">
        <w:rPr>
          <w:lang w:eastAsia="ru-RU"/>
        </w:rPr>
        <w:instrText xml:space="preserve"> </w:instrText>
      </w:r>
      <w:r w:rsidR="00A6794A">
        <w:rPr>
          <w:lang w:val="en-US" w:eastAsia="ru-RU"/>
        </w:rPr>
        <w:instrText>revolutionized</w:instrText>
      </w:r>
      <w:r w:rsidR="00A6794A" w:rsidRPr="00D3550C">
        <w:rPr>
          <w:lang w:eastAsia="ru-RU"/>
        </w:rPr>
        <w:instrText xml:space="preserve"> </w:instrText>
      </w:r>
      <w:r w:rsidR="00A6794A">
        <w:rPr>
          <w:lang w:val="en-US" w:eastAsia="ru-RU"/>
        </w:rPr>
        <w:instrText>treatment</w:instrText>
      </w:r>
      <w:r w:rsidR="00A6794A" w:rsidRPr="00D3550C">
        <w:rPr>
          <w:lang w:eastAsia="ru-RU"/>
        </w:rPr>
        <w:instrText xml:space="preserve"> </w:instrText>
      </w:r>
      <w:r w:rsidR="00A6794A">
        <w:rPr>
          <w:lang w:val="en-US" w:eastAsia="ru-RU"/>
        </w:rPr>
        <w:instrText>practices</w:instrText>
      </w:r>
      <w:r w:rsidR="00A6794A" w:rsidRPr="00D3550C">
        <w:rPr>
          <w:lang w:eastAsia="ru-RU"/>
        </w:rPr>
        <w:instrText xml:space="preserve"> </w:instrText>
      </w:r>
      <w:r w:rsidR="00A6794A">
        <w:rPr>
          <w:lang w:val="en-US" w:eastAsia="ru-RU"/>
        </w:rPr>
        <w:instrText>for</w:instrText>
      </w:r>
      <w:r w:rsidR="00A6794A" w:rsidRPr="00D3550C">
        <w:rPr>
          <w:lang w:eastAsia="ru-RU"/>
        </w:rPr>
        <w:instrText xml:space="preserve"> </w:instrText>
      </w:r>
      <w:r w:rsidR="00A6794A">
        <w:rPr>
          <w:lang w:val="en-US" w:eastAsia="ru-RU"/>
        </w:rPr>
        <w:instrText>patients</w:instrText>
      </w:r>
      <w:r w:rsidR="00A6794A" w:rsidRPr="00D3550C">
        <w:rPr>
          <w:lang w:eastAsia="ru-RU"/>
        </w:rPr>
        <w:instrText xml:space="preserve"> </w:instrText>
      </w:r>
      <w:r w:rsidR="00A6794A">
        <w:rPr>
          <w:lang w:val="en-US" w:eastAsia="ru-RU"/>
        </w:rPr>
        <w:instrText>with</w:instrText>
      </w:r>
      <w:r w:rsidR="00A6794A" w:rsidRPr="00D3550C">
        <w:rPr>
          <w:lang w:eastAsia="ru-RU"/>
        </w:rPr>
        <w:instrText xml:space="preserve"> </w:instrText>
      </w:r>
      <w:r w:rsidR="00A6794A">
        <w:rPr>
          <w:lang w:val="en-US" w:eastAsia="ru-RU"/>
        </w:rPr>
        <w:instrText>B</w:instrText>
      </w:r>
      <w:r w:rsidR="00A6794A" w:rsidRPr="00D3550C">
        <w:rPr>
          <w:lang w:eastAsia="ru-RU"/>
        </w:rPr>
        <w:instrText>-</w:instrText>
      </w:r>
      <w:r w:rsidR="00A6794A">
        <w:rPr>
          <w:lang w:val="en-US" w:eastAsia="ru-RU"/>
        </w:rPr>
        <w:instrText>cell</w:instrText>
      </w:r>
      <w:r w:rsidR="00A6794A" w:rsidRPr="00D3550C">
        <w:rPr>
          <w:lang w:eastAsia="ru-RU"/>
        </w:rPr>
        <w:instrText xml:space="preserve"> </w:instrText>
      </w:r>
      <w:r w:rsidR="00A6794A">
        <w:rPr>
          <w:lang w:val="en-US" w:eastAsia="ru-RU"/>
        </w:rPr>
        <w:instrText>malignancies</w:instrText>
      </w:r>
      <w:r w:rsidR="00A6794A" w:rsidRPr="00D3550C">
        <w:rPr>
          <w:lang w:eastAsia="ru-RU"/>
        </w:rPr>
        <w:instrText xml:space="preserve">. </w:instrText>
      </w:r>
      <w:r w:rsidR="00A6794A">
        <w:rPr>
          <w:lang w:val="en-US" w:eastAsia="ru-RU"/>
        </w:rPr>
        <w:instrText>A</w:instrText>
      </w:r>
      <w:r w:rsidR="00A6794A" w:rsidRPr="00D3550C">
        <w:rPr>
          <w:lang w:eastAsia="ru-RU"/>
        </w:rPr>
        <w:instrText xml:space="preserve"> </w:instrText>
      </w:r>
      <w:r w:rsidR="00A6794A">
        <w:rPr>
          <w:lang w:val="en-US" w:eastAsia="ru-RU"/>
        </w:rPr>
        <w:instrText>subcutaneous</w:instrText>
      </w:r>
      <w:r w:rsidR="00A6794A" w:rsidRPr="00D3550C">
        <w:rPr>
          <w:lang w:eastAsia="ru-RU"/>
        </w:rPr>
        <w:instrText xml:space="preserve"> (</w:instrText>
      </w:r>
      <w:r w:rsidR="00A6794A">
        <w:rPr>
          <w:lang w:val="en-US" w:eastAsia="ru-RU"/>
        </w:rPr>
        <w:instrText>SC</w:instrText>
      </w:r>
      <w:r w:rsidR="00A6794A" w:rsidRPr="00D3550C">
        <w:rPr>
          <w:lang w:eastAsia="ru-RU"/>
        </w:rPr>
        <w:instrText xml:space="preserve">) </w:instrText>
      </w:r>
      <w:r w:rsidR="00A6794A">
        <w:rPr>
          <w:lang w:val="en-US" w:eastAsia="ru-RU"/>
        </w:rPr>
        <w:instrText>formulation</w:instrText>
      </w:r>
      <w:r w:rsidR="00A6794A" w:rsidRPr="00D3550C">
        <w:rPr>
          <w:lang w:eastAsia="ru-RU"/>
        </w:rPr>
        <w:instrText xml:space="preserve"> </w:instrText>
      </w:r>
      <w:r w:rsidR="00A6794A">
        <w:rPr>
          <w:lang w:val="en-US" w:eastAsia="ru-RU"/>
        </w:rPr>
        <w:instrText>of</w:instrText>
      </w:r>
      <w:r w:rsidR="00A6794A" w:rsidRPr="00D3550C">
        <w:rPr>
          <w:lang w:eastAsia="ru-RU"/>
        </w:rPr>
        <w:instrText xml:space="preserve"> </w:instrText>
      </w:r>
      <w:r w:rsidR="00A6794A">
        <w:rPr>
          <w:lang w:val="en-US" w:eastAsia="ru-RU"/>
        </w:rPr>
        <w:instrText>rituximab</w:instrText>
      </w:r>
      <w:r w:rsidR="00A6794A" w:rsidRPr="00D3550C">
        <w:rPr>
          <w:lang w:eastAsia="ru-RU"/>
        </w:rPr>
        <w:instrText xml:space="preserve"> </w:instrText>
      </w:r>
      <w:r w:rsidR="00A6794A">
        <w:rPr>
          <w:lang w:val="en-US" w:eastAsia="ru-RU"/>
        </w:rPr>
        <w:instrText>has</w:instrText>
      </w:r>
      <w:r w:rsidR="00A6794A" w:rsidRPr="00D3550C">
        <w:rPr>
          <w:lang w:eastAsia="ru-RU"/>
        </w:rPr>
        <w:instrText xml:space="preserve"> </w:instrText>
      </w:r>
      <w:r w:rsidR="00A6794A">
        <w:rPr>
          <w:lang w:val="en-US" w:eastAsia="ru-RU"/>
        </w:rPr>
        <w:instrText>been</w:instrText>
      </w:r>
      <w:r w:rsidR="00A6794A" w:rsidRPr="00D3550C">
        <w:rPr>
          <w:lang w:eastAsia="ru-RU"/>
        </w:rPr>
        <w:instrText xml:space="preserve"> </w:instrText>
      </w:r>
      <w:r w:rsidR="00A6794A">
        <w:rPr>
          <w:lang w:val="en-US" w:eastAsia="ru-RU"/>
        </w:rPr>
        <w:instrText>developed</w:instrText>
      </w:r>
      <w:r w:rsidR="00A6794A" w:rsidRPr="00D3550C">
        <w:rPr>
          <w:lang w:eastAsia="ru-RU"/>
        </w:rPr>
        <w:instrText xml:space="preserve">, </w:instrText>
      </w:r>
      <w:r w:rsidR="00A6794A">
        <w:rPr>
          <w:lang w:val="en-US" w:eastAsia="ru-RU"/>
        </w:rPr>
        <w:instrText>comprising</w:instrText>
      </w:r>
      <w:r w:rsidR="00A6794A" w:rsidRPr="00D3550C">
        <w:rPr>
          <w:lang w:eastAsia="ru-RU"/>
        </w:rPr>
        <w:instrText xml:space="preserve"> </w:instrText>
      </w:r>
      <w:r w:rsidR="00A6794A">
        <w:rPr>
          <w:lang w:val="en-US" w:eastAsia="ru-RU"/>
        </w:rPr>
        <w:instrText>the</w:instrText>
      </w:r>
      <w:r w:rsidR="00A6794A" w:rsidRPr="00D3550C">
        <w:rPr>
          <w:lang w:eastAsia="ru-RU"/>
        </w:rPr>
        <w:instrText xml:space="preserve"> </w:instrText>
      </w:r>
      <w:r w:rsidR="00A6794A">
        <w:rPr>
          <w:lang w:val="en-US" w:eastAsia="ru-RU"/>
        </w:rPr>
        <w:instrText>same</w:instrText>
      </w:r>
      <w:r w:rsidR="00A6794A" w:rsidRPr="00D3550C">
        <w:rPr>
          <w:lang w:eastAsia="ru-RU"/>
        </w:rPr>
        <w:instrText xml:space="preserve"> </w:instrText>
      </w:r>
      <w:r w:rsidR="00A6794A">
        <w:rPr>
          <w:lang w:val="en-US" w:eastAsia="ru-RU"/>
        </w:rPr>
        <w:instrText>monoclonal</w:instrText>
      </w:r>
      <w:r w:rsidR="00A6794A" w:rsidRPr="00D3550C">
        <w:rPr>
          <w:lang w:eastAsia="ru-RU"/>
        </w:rPr>
        <w:instrText xml:space="preserve"> </w:instrText>
      </w:r>
      <w:r w:rsidR="00A6794A">
        <w:rPr>
          <w:lang w:val="en-US" w:eastAsia="ru-RU"/>
        </w:rPr>
        <w:instrText>antibody</w:instrText>
      </w:r>
      <w:r w:rsidR="00A6794A" w:rsidRPr="00D3550C">
        <w:rPr>
          <w:lang w:eastAsia="ru-RU"/>
        </w:rPr>
        <w:instrText xml:space="preserve"> </w:instrText>
      </w:r>
      <w:r w:rsidR="00A6794A">
        <w:rPr>
          <w:lang w:val="en-US" w:eastAsia="ru-RU"/>
        </w:rPr>
        <w:instrText>as</w:instrText>
      </w:r>
      <w:r w:rsidR="00A6794A" w:rsidRPr="00D3550C">
        <w:rPr>
          <w:lang w:eastAsia="ru-RU"/>
        </w:rPr>
        <w:instrText xml:space="preserve"> </w:instrText>
      </w:r>
      <w:r w:rsidR="00A6794A">
        <w:rPr>
          <w:lang w:val="en-US" w:eastAsia="ru-RU"/>
        </w:rPr>
        <w:instrText>the</w:instrText>
      </w:r>
      <w:r w:rsidR="00A6794A" w:rsidRPr="00D3550C">
        <w:rPr>
          <w:lang w:eastAsia="ru-RU"/>
        </w:rPr>
        <w:instrText xml:space="preserve"> </w:instrText>
      </w:r>
      <w:r w:rsidR="00A6794A">
        <w:rPr>
          <w:lang w:val="en-US" w:eastAsia="ru-RU"/>
        </w:rPr>
        <w:instrText>originally</w:instrText>
      </w:r>
      <w:r w:rsidR="00A6794A" w:rsidRPr="00D3550C">
        <w:rPr>
          <w:lang w:eastAsia="ru-RU"/>
        </w:rPr>
        <w:instrText xml:space="preserve"> </w:instrText>
      </w:r>
      <w:r w:rsidR="00A6794A">
        <w:rPr>
          <w:lang w:val="en-US" w:eastAsia="ru-RU"/>
        </w:rPr>
        <w:instrText>marketed</w:instrText>
      </w:r>
      <w:r w:rsidR="00A6794A" w:rsidRPr="00D3550C">
        <w:rPr>
          <w:lang w:eastAsia="ru-RU"/>
        </w:rPr>
        <w:instrText xml:space="preserve"> </w:instrText>
      </w:r>
      <w:r w:rsidR="00A6794A">
        <w:rPr>
          <w:lang w:val="en-US" w:eastAsia="ru-RU"/>
        </w:rPr>
        <w:instrText>formulation</w:instrText>
      </w:r>
      <w:r w:rsidR="00A6794A" w:rsidRPr="00D3550C">
        <w:rPr>
          <w:lang w:eastAsia="ru-RU"/>
        </w:rPr>
        <w:instrText xml:space="preserve"> [</w:instrText>
      </w:r>
      <w:r w:rsidR="00A6794A">
        <w:rPr>
          <w:lang w:val="en-US" w:eastAsia="ru-RU"/>
        </w:rPr>
        <w:instrText>rituximab</w:instrText>
      </w:r>
      <w:r w:rsidR="00A6794A" w:rsidRPr="00D3550C">
        <w:rPr>
          <w:lang w:eastAsia="ru-RU"/>
        </w:rPr>
        <w:instrText xml:space="preserve"> </w:instrText>
      </w:r>
      <w:r w:rsidR="00A6794A">
        <w:rPr>
          <w:lang w:val="en-US" w:eastAsia="ru-RU"/>
        </w:rPr>
        <w:instrText>concentrate</w:instrText>
      </w:r>
      <w:r w:rsidR="00A6794A" w:rsidRPr="00D3550C">
        <w:rPr>
          <w:lang w:eastAsia="ru-RU"/>
        </w:rPr>
        <w:instrText xml:space="preserve"> </w:instrText>
      </w:r>
      <w:r w:rsidR="00A6794A">
        <w:rPr>
          <w:lang w:val="en-US" w:eastAsia="ru-RU"/>
        </w:rPr>
        <w:instrText>for</w:instrText>
      </w:r>
      <w:r w:rsidR="00A6794A" w:rsidRPr="00D3550C">
        <w:rPr>
          <w:lang w:eastAsia="ru-RU"/>
        </w:rPr>
        <w:instrText xml:space="preserve"> </w:instrText>
      </w:r>
      <w:r w:rsidR="00A6794A">
        <w:rPr>
          <w:lang w:val="en-US" w:eastAsia="ru-RU"/>
        </w:rPr>
        <w:instrText>solution</w:instrText>
      </w:r>
      <w:r w:rsidR="00A6794A" w:rsidRPr="00D3550C">
        <w:rPr>
          <w:lang w:eastAsia="ru-RU"/>
        </w:rPr>
        <w:instrText xml:space="preserve"> </w:instrText>
      </w:r>
      <w:r w:rsidR="00A6794A">
        <w:rPr>
          <w:lang w:val="en-US" w:eastAsia="ru-RU"/>
        </w:rPr>
        <w:instrText>for</w:instrText>
      </w:r>
      <w:r w:rsidR="00A6794A" w:rsidRPr="00D3550C">
        <w:rPr>
          <w:lang w:eastAsia="ru-RU"/>
        </w:rPr>
        <w:instrText xml:space="preserve"> </w:instrText>
      </w:r>
      <w:r w:rsidR="00A6794A">
        <w:rPr>
          <w:lang w:val="en-US" w:eastAsia="ru-RU"/>
        </w:rPr>
        <w:instrText>intravenous</w:instrText>
      </w:r>
      <w:r w:rsidR="00A6794A" w:rsidRPr="00D3550C">
        <w:rPr>
          <w:lang w:eastAsia="ru-RU"/>
        </w:rPr>
        <w:instrText xml:space="preserve"> (</w:instrText>
      </w:r>
      <w:r w:rsidR="00A6794A">
        <w:rPr>
          <w:lang w:val="en-US" w:eastAsia="ru-RU"/>
        </w:rPr>
        <w:instrText>IV</w:instrText>
      </w:r>
      <w:r w:rsidR="00A6794A" w:rsidRPr="00D3550C">
        <w:rPr>
          <w:lang w:eastAsia="ru-RU"/>
        </w:rPr>
        <w:instrText xml:space="preserve">) </w:instrText>
      </w:r>
      <w:r w:rsidR="00A6794A">
        <w:rPr>
          <w:lang w:val="en-US" w:eastAsia="ru-RU"/>
        </w:rPr>
        <w:instrText>infusion</w:instrText>
      </w:r>
      <w:r w:rsidR="00A6794A" w:rsidRPr="00D3550C">
        <w:rPr>
          <w:lang w:eastAsia="ru-RU"/>
        </w:rPr>
        <w:instrText xml:space="preserve">], </w:instrText>
      </w:r>
      <w:r w:rsidR="00A6794A">
        <w:rPr>
          <w:lang w:val="en-US" w:eastAsia="ru-RU"/>
        </w:rPr>
        <w:instrText>and</w:instrText>
      </w:r>
      <w:r w:rsidR="00A6794A" w:rsidRPr="00D3550C">
        <w:rPr>
          <w:lang w:eastAsia="ru-RU"/>
        </w:rPr>
        <w:instrText xml:space="preserve"> </w:instrText>
      </w:r>
      <w:r w:rsidR="00A6794A">
        <w:rPr>
          <w:lang w:val="en-US" w:eastAsia="ru-RU"/>
        </w:rPr>
        <w:instrText>has</w:instrText>
      </w:r>
      <w:r w:rsidR="00A6794A" w:rsidRPr="00D3550C">
        <w:rPr>
          <w:lang w:eastAsia="ru-RU"/>
        </w:rPr>
        <w:instrText xml:space="preserve"> </w:instrText>
      </w:r>
      <w:r w:rsidR="00A6794A">
        <w:rPr>
          <w:lang w:val="en-US" w:eastAsia="ru-RU"/>
        </w:rPr>
        <w:instrText>undergone</w:instrText>
      </w:r>
      <w:r w:rsidR="00A6794A" w:rsidRPr="00D3550C">
        <w:rPr>
          <w:lang w:eastAsia="ru-RU"/>
        </w:rPr>
        <w:instrText xml:space="preserve"> </w:instrText>
      </w:r>
      <w:r w:rsidR="00A6794A">
        <w:rPr>
          <w:lang w:val="en-US" w:eastAsia="ru-RU"/>
        </w:rPr>
        <w:instrText>a</w:instrText>
      </w:r>
      <w:r w:rsidR="00A6794A" w:rsidRPr="00D3550C">
        <w:rPr>
          <w:lang w:eastAsia="ru-RU"/>
        </w:rPr>
        <w:instrText xml:space="preserve"> </w:instrText>
      </w:r>
      <w:r w:rsidR="00A6794A">
        <w:rPr>
          <w:lang w:val="en-US" w:eastAsia="ru-RU"/>
        </w:rPr>
        <w:instrText>detailed</w:instrText>
      </w:r>
      <w:r w:rsidR="00A6794A" w:rsidRPr="00D3550C">
        <w:rPr>
          <w:lang w:eastAsia="ru-RU"/>
        </w:rPr>
        <w:instrText xml:space="preserve">, </w:instrText>
      </w:r>
      <w:r w:rsidR="00A6794A">
        <w:rPr>
          <w:lang w:val="en-US" w:eastAsia="ru-RU"/>
        </w:rPr>
        <w:instrText>sequential</w:instrText>
      </w:r>
      <w:r w:rsidR="00A6794A" w:rsidRPr="00D3550C">
        <w:rPr>
          <w:lang w:eastAsia="ru-RU"/>
        </w:rPr>
        <w:instrText xml:space="preserve"> </w:instrText>
      </w:r>
      <w:r w:rsidR="00A6794A">
        <w:rPr>
          <w:lang w:val="en-US" w:eastAsia="ru-RU"/>
        </w:rPr>
        <w:instrText>clinical</w:instrText>
      </w:r>
      <w:r w:rsidR="00A6794A" w:rsidRPr="00D3550C">
        <w:rPr>
          <w:lang w:eastAsia="ru-RU"/>
        </w:rPr>
        <w:instrText xml:space="preserve"> </w:instrText>
      </w:r>
      <w:r w:rsidR="00A6794A">
        <w:rPr>
          <w:lang w:val="en-US" w:eastAsia="ru-RU"/>
        </w:rPr>
        <w:instrText>development</w:instrText>
      </w:r>
      <w:r w:rsidR="00A6794A" w:rsidRPr="00D3550C">
        <w:rPr>
          <w:lang w:eastAsia="ru-RU"/>
        </w:rPr>
        <w:instrText xml:space="preserve"> </w:instrText>
      </w:r>
      <w:r w:rsidR="00A6794A">
        <w:rPr>
          <w:lang w:val="en-US" w:eastAsia="ru-RU"/>
        </w:rPr>
        <w:instrText>program</w:instrText>
      </w:r>
      <w:r w:rsidR="00A6794A" w:rsidRPr="00D3550C">
        <w:rPr>
          <w:lang w:eastAsia="ru-RU"/>
        </w:rPr>
        <w:instrText xml:space="preserve">. </w:instrText>
      </w:r>
      <w:r w:rsidR="00A6794A">
        <w:rPr>
          <w:lang w:val="en-US" w:eastAsia="ru-RU"/>
        </w:rPr>
        <w:instrText>This</w:instrText>
      </w:r>
      <w:r w:rsidR="00A6794A" w:rsidRPr="00D3550C">
        <w:rPr>
          <w:lang w:eastAsia="ru-RU"/>
        </w:rPr>
        <w:instrText xml:space="preserve"> </w:instrText>
      </w:r>
      <w:r w:rsidR="00A6794A">
        <w:rPr>
          <w:lang w:val="en-US" w:eastAsia="ru-RU"/>
        </w:rPr>
        <w:instrText>program</w:instrText>
      </w:r>
      <w:r w:rsidR="00A6794A" w:rsidRPr="00D3550C">
        <w:rPr>
          <w:lang w:eastAsia="ru-RU"/>
        </w:rPr>
        <w:instrText xml:space="preserve"> </w:instrText>
      </w:r>
      <w:r w:rsidR="00A6794A">
        <w:rPr>
          <w:lang w:val="en-US" w:eastAsia="ru-RU"/>
        </w:rPr>
        <w:instrText>demonstrated</w:instrText>
      </w:r>
      <w:r w:rsidR="00A6794A" w:rsidRPr="00D3550C">
        <w:rPr>
          <w:lang w:eastAsia="ru-RU"/>
        </w:rPr>
        <w:instrText xml:space="preserve"> </w:instrText>
      </w:r>
      <w:r w:rsidR="00A6794A">
        <w:rPr>
          <w:lang w:val="en-US" w:eastAsia="ru-RU"/>
        </w:rPr>
        <w:instrText>that</w:instrText>
      </w:r>
      <w:r w:rsidR="00A6794A" w:rsidRPr="00D3550C">
        <w:rPr>
          <w:lang w:eastAsia="ru-RU"/>
        </w:rPr>
        <w:instrText xml:space="preserve">, </w:instrText>
      </w:r>
      <w:r w:rsidR="00A6794A">
        <w:rPr>
          <w:lang w:val="en-US" w:eastAsia="ru-RU"/>
        </w:rPr>
        <w:instrText>at</w:instrText>
      </w:r>
      <w:r w:rsidR="00A6794A" w:rsidRPr="00D3550C">
        <w:rPr>
          <w:lang w:eastAsia="ru-RU"/>
        </w:rPr>
        <w:instrText xml:space="preserve"> </w:instrText>
      </w:r>
      <w:r w:rsidR="00A6794A">
        <w:rPr>
          <w:lang w:val="en-US" w:eastAsia="ru-RU"/>
        </w:rPr>
        <w:instrText>fixed</w:instrText>
      </w:r>
      <w:r w:rsidR="00A6794A" w:rsidRPr="00D3550C">
        <w:rPr>
          <w:lang w:eastAsia="ru-RU"/>
        </w:rPr>
        <w:instrText xml:space="preserve"> </w:instrText>
      </w:r>
      <w:r w:rsidR="00A6794A">
        <w:rPr>
          <w:lang w:val="en-US" w:eastAsia="ru-RU"/>
        </w:rPr>
        <w:instrText>doses</w:instrText>
      </w:r>
      <w:r w:rsidR="00A6794A" w:rsidRPr="00D3550C">
        <w:rPr>
          <w:lang w:eastAsia="ru-RU"/>
        </w:rPr>
        <w:instrText xml:space="preserve">, </w:instrText>
      </w:r>
      <w:r w:rsidR="00A6794A">
        <w:rPr>
          <w:lang w:val="en-US" w:eastAsia="ru-RU"/>
        </w:rPr>
        <w:instrText>rituximab</w:instrText>
      </w:r>
      <w:r w:rsidR="00A6794A" w:rsidRPr="00D3550C">
        <w:rPr>
          <w:lang w:eastAsia="ru-RU"/>
        </w:rPr>
        <w:instrText xml:space="preserve"> </w:instrText>
      </w:r>
      <w:r w:rsidR="00A6794A">
        <w:rPr>
          <w:lang w:val="en-US" w:eastAsia="ru-RU"/>
        </w:rPr>
        <w:instrText>SC</w:instrText>
      </w:r>
      <w:r w:rsidR="00A6794A" w:rsidRPr="00D3550C">
        <w:rPr>
          <w:lang w:eastAsia="ru-RU"/>
        </w:rPr>
        <w:instrText xml:space="preserve"> </w:instrText>
      </w:r>
      <w:r w:rsidR="00A6794A">
        <w:rPr>
          <w:lang w:val="en-US" w:eastAsia="ru-RU"/>
        </w:rPr>
        <w:instrText>achieves</w:instrText>
      </w:r>
      <w:r w:rsidR="00A6794A" w:rsidRPr="00D3550C">
        <w:rPr>
          <w:lang w:eastAsia="ru-RU"/>
        </w:rPr>
        <w:instrText xml:space="preserve"> </w:instrText>
      </w:r>
      <w:r w:rsidR="00A6794A">
        <w:rPr>
          <w:lang w:val="en-US" w:eastAsia="ru-RU"/>
        </w:rPr>
        <w:instrText>non</w:instrText>
      </w:r>
      <w:r w:rsidR="00A6794A" w:rsidRPr="00D3550C">
        <w:rPr>
          <w:lang w:eastAsia="ru-RU"/>
        </w:rPr>
        <w:instrText>-</w:instrText>
      </w:r>
      <w:r w:rsidR="00A6794A">
        <w:rPr>
          <w:lang w:val="en-US" w:eastAsia="ru-RU"/>
        </w:rPr>
        <w:instrText>inferior</w:instrText>
      </w:r>
      <w:r w:rsidR="00A6794A" w:rsidRPr="00D3550C">
        <w:rPr>
          <w:lang w:eastAsia="ru-RU"/>
        </w:rPr>
        <w:instrText xml:space="preserve"> </w:instrText>
      </w:r>
      <w:r w:rsidR="00A6794A">
        <w:rPr>
          <w:lang w:val="en-US" w:eastAsia="ru-RU"/>
        </w:rPr>
        <w:instrText>serum</w:instrText>
      </w:r>
      <w:r w:rsidR="00A6794A" w:rsidRPr="00D3550C">
        <w:rPr>
          <w:lang w:eastAsia="ru-RU"/>
        </w:rPr>
        <w:instrText xml:space="preserve"> </w:instrText>
      </w:r>
      <w:r w:rsidR="00A6794A">
        <w:rPr>
          <w:lang w:val="en-US" w:eastAsia="ru-RU"/>
        </w:rPr>
        <w:instrText>trough</w:instrText>
      </w:r>
      <w:r w:rsidR="00A6794A" w:rsidRPr="00D3550C">
        <w:rPr>
          <w:lang w:eastAsia="ru-RU"/>
        </w:rPr>
        <w:instrText xml:space="preserve"> </w:instrText>
      </w:r>
      <w:r w:rsidR="00A6794A">
        <w:rPr>
          <w:lang w:val="en-US" w:eastAsia="ru-RU"/>
        </w:rPr>
        <w:instrText>concentrations</w:instrText>
      </w:r>
      <w:r w:rsidR="00A6794A" w:rsidRPr="00D3550C">
        <w:rPr>
          <w:lang w:eastAsia="ru-RU"/>
        </w:rPr>
        <w:instrText xml:space="preserve"> </w:instrText>
      </w:r>
      <w:r w:rsidR="00A6794A">
        <w:rPr>
          <w:lang w:val="en-US" w:eastAsia="ru-RU"/>
        </w:rPr>
        <w:instrText>in</w:instrText>
      </w:r>
      <w:r w:rsidR="00A6794A" w:rsidRPr="00D3550C">
        <w:rPr>
          <w:lang w:eastAsia="ru-RU"/>
        </w:rPr>
        <w:instrText xml:space="preserve"> </w:instrText>
      </w:r>
      <w:r w:rsidR="00A6794A">
        <w:rPr>
          <w:lang w:val="en-US" w:eastAsia="ru-RU"/>
        </w:rPr>
        <w:instrText>patients</w:instrText>
      </w:r>
      <w:r w:rsidR="00A6794A" w:rsidRPr="00D3550C">
        <w:rPr>
          <w:lang w:eastAsia="ru-RU"/>
        </w:rPr>
        <w:instrText xml:space="preserve"> </w:instrText>
      </w:r>
      <w:r w:rsidR="00A6794A">
        <w:rPr>
          <w:lang w:val="en-US" w:eastAsia="ru-RU"/>
        </w:rPr>
        <w:instrText>with</w:instrText>
      </w:r>
      <w:r w:rsidR="00A6794A" w:rsidRPr="00D3550C">
        <w:rPr>
          <w:lang w:eastAsia="ru-RU"/>
        </w:rPr>
        <w:instrText xml:space="preserve"> </w:instrText>
      </w:r>
      <w:r w:rsidR="00A6794A">
        <w:rPr>
          <w:lang w:val="en-US" w:eastAsia="ru-RU"/>
        </w:rPr>
        <w:instrText>non</w:instrText>
      </w:r>
      <w:r w:rsidR="00A6794A" w:rsidRPr="00D3550C">
        <w:rPr>
          <w:lang w:eastAsia="ru-RU"/>
        </w:rPr>
        <w:instrText>-</w:instrText>
      </w:r>
      <w:r w:rsidR="00A6794A">
        <w:rPr>
          <w:lang w:val="en-US" w:eastAsia="ru-RU"/>
        </w:rPr>
        <w:instrText>Hodgkin</w:instrText>
      </w:r>
      <w:r w:rsidR="00A6794A" w:rsidRPr="00D3550C">
        <w:rPr>
          <w:lang w:eastAsia="ru-RU"/>
        </w:rPr>
        <w:instrText xml:space="preserve"> </w:instrText>
      </w:r>
      <w:r w:rsidR="00A6794A">
        <w:rPr>
          <w:lang w:val="en-US" w:eastAsia="ru-RU"/>
        </w:rPr>
        <w:instrText>lymphoma</w:instrText>
      </w:r>
      <w:r w:rsidR="00A6794A" w:rsidRPr="00D3550C">
        <w:rPr>
          <w:lang w:eastAsia="ru-RU"/>
        </w:rPr>
        <w:instrText xml:space="preserve"> </w:instrText>
      </w:r>
      <w:r w:rsidR="00A6794A">
        <w:rPr>
          <w:lang w:val="en-US" w:eastAsia="ru-RU"/>
        </w:rPr>
        <w:instrText>and</w:instrText>
      </w:r>
      <w:r w:rsidR="00A6794A" w:rsidRPr="00D3550C">
        <w:rPr>
          <w:lang w:eastAsia="ru-RU"/>
        </w:rPr>
        <w:instrText xml:space="preserve"> </w:instrText>
      </w:r>
      <w:r w:rsidR="00A6794A">
        <w:rPr>
          <w:lang w:val="en-US" w:eastAsia="ru-RU"/>
        </w:rPr>
        <w:instrText>chronic</w:instrText>
      </w:r>
      <w:r w:rsidR="00A6794A" w:rsidRPr="00D3550C">
        <w:rPr>
          <w:lang w:eastAsia="ru-RU"/>
        </w:rPr>
        <w:instrText xml:space="preserve"> </w:instrText>
      </w:r>
      <w:r w:rsidR="00A6794A">
        <w:rPr>
          <w:lang w:val="en-US" w:eastAsia="ru-RU"/>
        </w:rPr>
        <w:instrText>lymphocytic</w:instrText>
      </w:r>
      <w:r w:rsidR="00A6794A" w:rsidRPr="00D3550C">
        <w:rPr>
          <w:lang w:eastAsia="ru-RU"/>
        </w:rPr>
        <w:instrText xml:space="preserve"> </w:instrText>
      </w:r>
      <w:r w:rsidR="00A6794A">
        <w:rPr>
          <w:lang w:val="en-US" w:eastAsia="ru-RU"/>
        </w:rPr>
        <w:instrText>leukemia</w:instrText>
      </w:r>
      <w:r w:rsidR="00A6794A" w:rsidRPr="00D3550C">
        <w:rPr>
          <w:lang w:eastAsia="ru-RU"/>
        </w:rPr>
        <w:instrText xml:space="preserve">, </w:instrText>
      </w:r>
      <w:r w:rsidR="00A6794A">
        <w:rPr>
          <w:lang w:val="en-US" w:eastAsia="ru-RU"/>
        </w:rPr>
        <w:instrText>with</w:instrText>
      </w:r>
      <w:r w:rsidR="00A6794A" w:rsidRPr="00D3550C">
        <w:rPr>
          <w:lang w:eastAsia="ru-RU"/>
        </w:rPr>
        <w:instrText xml:space="preserve"> </w:instrText>
      </w:r>
      <w:r w:rsidR="00A6794A">
        <w:rPr>
          <w:lang w:val="en-US" w:eastAsia="ru-RU"/>
        </w:rPr>
        <w:instrText>comparable</w:instrText>
      </w:r>
      <w:r w:rsidR="00A6794A" w:rsidRPr="00D3550C">
        <w:rPr>
          <w:lang w:eastAsia="ru-RU"/>
        </w:rPr>
        <w:instrText xml:space="preserve"> </w:instrText>
      </w:r>
      <w:r w:rsidR="00A6794A">
        <w:rPr>
          <w:lang w:val="en-US" w:eastAsia="ru-RU"/>
        </w:rPr>
        <w:instrText>efficacy</w:instrText>
      </w:r>
      <w:r w:rsidR="00A6794A" w:rsidRPr="00D3550C">
        <w:rPr>
          <w:lang w:eastAsia="ru-RU"/>
        </w:rPr>
        <w:instrText xml:space="preserve"> </w:instrText>
      </w:r>
      <w:r w:rsidR="00A6794A">
        <w:rPr>
          <w:lang w:val="en-US" w:eastAsia="ru-RU"/>
        </w:rPr>
        <w:instrText>and</w:instrText>
      </w:r>
      <w:r w:rsidR="00A6794A" w:rsidRPr="00D3550C">
        <w:rPr>
          <w:lang w:eastAsia="ru-RU"/>
        </w:rPr>
        <w:instrText xml:space="preserve"> </w:instrText>
      </w:r>
      <w:r w:rsidR="00A6794A">
        <w:rPr>
          <w:lang w:val="en-US" w:eastAsia="ru-RU"/>
        </w:rPr>
        <w:instrText>safety</w:instrText>
      </w:r>
      <w:r w:rsidR="00A6794A" w:rsidRPr="00D3550C">
        <w:rPr>
          <w:lang w:eastAsia="ru-RU"/>
        </w:rPr>
        <w:instrText xml:space="preserve"> </w:instrText>
      </w:r>
      <w:r w:rsidR="00A6794A">
        <w:rPr>
          <w:lang w:val="en-US" w:eastAsia="ru-RU"/>
        </w:rPr>
        <w:instrText>relative</w:instrText>
      </w:r>
      <w:r w:rsidR="00A6794A" w:rsidRPr="00D3550C">
        <w:rPr>
          <w:lang w:eastAsia="ru-RU"/>
        </w:rPr>
        <w:instrText xml:space="preserve"> </w:instrText>
      </w:r>
      <w:r w:rsidR="00A6794A">
        <w:rPr>
          <w:lang w:val="en-US" w:eastAsia="ru-RU"/>
        </w:rPr>
        <w:instrText>to</w:instrText>
      </w:r>
      <w:r w:rsidR="00A6794A" w:rsidRPr="00D3550C">
        <w:rPr>
          <w:lang w:eastAsia="ru-RU"/>
        </w:rPr>
        <w:instrText xml:space="preserve"> </w:instrText>
      </w:r>
      <w:r w:rsidR="00A6794A">
        <w:rPr>
          <w:lang w:val="en-US" w:eastAsia="ru-RU"/>
        </w:rPr>
        <w:instrText>the</w:instrText>
      </w:r>
      <w:r w:rsidR="00A6794A" w:rsidRPr="00D3550C">
        <w:rPr>
          <w:lang w:eastAsia="ru-RU"/>
        </w:rPr>
        <w:instrText xml:space="preserve"> </w:instrText>
      </w:r>
      <w:r w:rsidR="00A6794A">
        <w:rPr>
          <w:lang w:val="en-US" w:eastAsia="ru-RU"/>
        </w:rPr>
        <w:instrText>IV</w:instrText>
      </w:r>
      <w:r w:rsidR="00A6794A" w:rsidRPr="00D3550C">
        <w:rPr>
          <w:lang w:eastAsia="ru-RU"/>
        </w:rPr>
        <w:instrText xml:space="preserve"> </w:instrText>
      </w:r>
      <w:r w:rsidR="00A6794A">
        <w:rPr>
          <w:lang w:val="en-US" w:eastAsia="ru-RU"/>
        </w:rPr>
        <w:instrText>formulation</w:instrText>
      </w:r>
      <w:r w:rsidR="00A6794A" w:rsidRPr="00D3550C">
        <w:rPr>
          <w:lang w:eastAsia="ru-RU"/>
        </w:rPr>
        <w:instrText xml:space="preserve">. </w:instrText>
      </w:r>
      <w:r w:rsidR="00A6794A">
        <w:rPr>
          <w:lang w:val="en-US" w:eastAsia="ru-RU"/>
        </w:rPr>
        <w:instrText>The</w:instrText>
      </w:r>
      <w:r w:rsidR="00A6794A" w:rsidRPr="00D3550C">
        <w:rPr>
          <w:lang w:eastAsia="ru-RU"/>
        </w:rPr>
        <w:instrText xml:space="preserve"> </w:instrText>
      </w:r>
      <w:r w:rsidR="00A6794A">
        <w:rPr>
          <w:lang w:val="en-US" w:eastAsia="ru-RU"/>
        </w:rPr>
        <w:instrText>added</w:instrText>
      </w:r>
      <w:r w:rsidR="00A6794A" w:rsidRPr="00D3550C">
        <w:rPr>
          <w:lang w:eastAsia="ru-RU"/>
        </w:rPr>
        <w:instrText xml:space="preserve"> </w:instrText>
      </w:r>
      <w:r w:rsidR="00A6794A">
        <w:rPr>
          <w:lang w:val="en-US" w:eastAsia="ru-RU"/>
        </w:rPr>
        <w:instrText>benefit</w:instrText>
      </w:r>
      <w:r w:rsidR="00A6794A" w:rsidRPr="00D3550C">
        <w:rPr>
          <w:lang w:eastAsia="ru-RU"/>
        </w:rPr>
        <w:instrText xml:space="preserve"> </w:instrText>
      </w:r>
      <w:r w:rsidR="00A6794A">
        <w:rPr>
          <w:lang w:val="en-US" w:eastAsia="ru-RU"/>
        </w:rPr>
        <w:instrText>of</w:instrText>
      </w:r>
      <w:r w:rsidR="00A6794A" w:rsidRPr="00D3550C">
        <w:rPr>
          <w:lang w:eastAsia="ru-RU"/>
        </w:rPr>
        <w:instrText xml:space="preserve"> </w:instrText>
      </w:r>
      <w:r w:rsidR="00A6794A">
        <w:rPr>
          <w:lang w:val="en-US" w:eastAsia="ru-RU"/>
        </w:rPr>
        <w:instrText>rituximab</w:instrText>
      </w:r>
      <w:r w:rsidR="00A6794A" w:rsidRPr="00D3550C">
        <w:rPr>
          <w:lang w:eastAsia="ru-RU"/>
        </w:rPr>
        <w:instrText xml:space="preserve"> </w:instrText>
      </w:r>
      <w:r w:rsidR="00A6794A">
        <w:rPr>
          <w:lang w:val="en-US" w:eastAsia="ru-RU"/>
        </w:rPr>
        <w:instrText>SC</w:instrText>
      </w:r>
      <w:r w:rsidR="00A6794A" w:rsidRPr="00D3550C">
        <w:rPr>
          <w:lang w:eastAsia="ru-RU"/>
        </w:rPr>
        <w:instrText xml:space="preserve"> </w:instrText>
      </w:r>
      <w:r w:rsidR="00A6794A">
        <w:rPr>
          <w:lang w:val="en-US" w:eastAsia="ru-RU"/>
        </w:rPr>
        <w:instrText>was</w:instrText>
      </w:r>
      <w:r w:rsidR="00A6794A" w:rsidRPr="00D3550C">
        <w:rPr>
          <w:lang w:eastAsia="ru-RU"/>
        </w:rPr>
        <w:instrText xml:space="preserve"> </w:instrText>
      </w:r>
      <w:r w:rsidR="00A6794A">
        <w:rPr>
          <w:lang w:val="en-US" w:eastAsia="ru-RU"/>
        </w:rPr>
        <w:instrText>demonstrated</w:instrText>
      </w:r>
      <w:r w:rsidR="00A6794A" w:rsidRPr="00D3550C">
        <w:rPr>
          <w:lang w:eastAsia="ru-RU"/>
        </w:rPr>
        <w:instrText xml:space="preserve"> </w:instrText>
      </w:r>
      <w:r w:rsidR="00A6794A">
        <w:rPr>
          <w:lang w:val="en-US" w:eastAsia="ru-RU"/>
        </w:rPr>
        <w:instrText>in</w:instrText>
      </w:r>
      <w:r w:rsidR="00A6794A" w:rsidRPr="00D3550C">
        <w:rPr>
          <w:lang w:eastAsia="ru-RU"/>
        </w:rPr>
        <w:instrText xml:space="preserve"> </w:instrText>
      </w:r>
      <w:r w:rsidR="00A6794A">
        <w:rPr>
          <w:lang w:val="en-US" w:eastAsia="ru-RU"/>
        </w:rPr>
        <w:instrText>dedicated</w:instrText>
      </w:r>
      <w:r w:rsidR="00A6794A" w:rsidRPr="00D3550C">
        <w:rPr>
          <w:lang w:eastAsia="ru-RU"/>
        </w:rPr>
        <w:instrText xml:space="preserve"> </w:instrText>
      </w:r>
      <w:r w:rsidR="00A6794A">
        <w:rPr>
          <w:lang w:val="en-US" w:eastAsia="ru-RU"/>
        </w:rPr>
        <w:instrText>studies</w:instrText>
      </w:r>
      <w:r w:rsidR="00A6794A" w:rsidRPr="00D3550C">
        <w:rPr>
          <w:lang w:eastAsia="ru-RU"/>
        </w:rPr>
        <w:instrText xml:space="preserve"> </w:instrText>
      </w:r>
      <w:r w:rsidR="00A6794A">
        <w:rPr>
          <w:lang w:val="en-US" w:eastAsia="ru-RU"/>
        </w:rPr>
        <w:instrText>showing</w:instrText>
      </w:r>
      <w:r w:rsidR="00A6794A" w:rsidRPr="00D3550C">
        <w:rPr>
          <w:lang w:eastAsia="ru-RU"/>
        </w:rPr>
        <w:instrText xml:space="preserve"> </w:instrText>
      </w:r>
      <w:r w:rsidR="00A6794A">
        <w:rPr>
          <w:lang w:val="en-US" w:eastAsia="ru-RU"/>
        </w:rPr>
        <w:instrText>that</w:instrText>
      </w:r>
      <w:r w:rsidR="00A6794A" w:rsidRPr="00D3550C">
        <w:rPr>
          <w:lang w:eastAsia="ru-RU"/>
        </w:rPr>
        <w:instrText xml:space="preserve"> </w:instrText>
      </w:r>
      <w:r w:rsidR="00A6794A">
        <w:rPr>
          <w:lang w:val="en-US" w:eastAsia="ru-RU"/>
        </w:rPr>
        <w:instrText>rituximab</w:instrText>
      </w:r>
      <w:r w:rsidR="00A6794A" w:rsidRPr="00D3550C">
        <w:rPr>
          <w:lang w:eastAsia="ru-RU"/>
        </w:rPr>
        <w:instrText xml:space="preserve"> </w:instrText>
      </w:r>
      <w:r w:rsidR="00A6794A">
        <w:rPr>
          <w:lang w:val="en-US" w:eastAsia="ru-RU"/>
        </w:rPr>
        <w:instrText>SC</w:instrText>
      </w:r>
      <w:r w:rsidR="00A6794A" w:rsidRPr="00D3550C">
        <w:rPr>
          <w:lang w:eastAsia="ru-RU"/>
        </w:rPr>
        <w:instrText xml:space="preserve"> </w:instrText>
      </w:r>
      <w:r w:rsidR="00A6794A">
        <w:rPr>
          <w:lang w:val="en-US" w:eastAsia="ru-RU"/>
        </w:rPr>
        <w:instrText>allows</w:instrText>
      </w:r>
      <w:r w:rsidR="00A6794A" w:rsidRPr="00D3550C">
        <w:rPr>
          <w:lang w:eastAsia="ru-RU"/>
        </w:rPr>
        <w:instrText xml:space="preserve"> </w:instrText>
      </w:r>
      <w:r w:rsidR="00A6794A">
        <w:rPr>
          <w:lang w:val="en-US" w:eastAsia="ru-RU"/>
        </w:rPr>
        <w:instrText>for</w:instrText>
      </w:r>
      <w:r w:rsidR="00A6794A" w:rsidRPr="00D3550C">
        <w:rPr>
          <w:lang w:eastAsia="ru-RU"/>
        </w:rPr>
        <w:instrText xml:space="preserve"> </w:instrText>
      </w:r>
      <w:r w:rsidR="00A6794A">
        <w:rPr>
          <w:lang w:val="en-US" w:eastAsia="ru-RU"/>
        </w:rPr>
        <w:instrText>simplified</w:instrText>
      </w:r>
      <w:r w:rsidR="00A6794A" w:rsidRPr="00D3550C">
        <w:rPr>
          <w:lang w:eastAsia="ru-RU"/>
        </w:rPr>
        <w:instrText xml:space="preserve"> </w:instrText>
      </w:r>
      <w:r w:rsidR="00A6794A">
        <w:rPr>
          <w:lang w:val="en-US" w:eastAsia="ru-RU"/>
        </w:rPr>
        <w:instrText>and</w:instrText>
      </w:r>
      <w:r w:rsidR="00A6794A" w:rsidRPr="00D3550C">
        <w:rPr>
          <w:lang w:eastAsia="ru-RU"/>
        </w:rPr>
        <w:instrText xml:space="preserve"> </w:instrText>
      </w:r>
      <w:r w:rsidR="00A6794A">
        <w:rPr>
          <w:lang w:val="en-US" w:eastAsia="ru-RU"/>
        </w:rPr>
        <w:instrText>shortened</w:instrText>
      </w:r>
      <w:r w:rsidR="00A6794A" w:rsidRPr="00D3550C">
        <w:rPr>
          <w:lang w:eastAsia="ru-RU"/>
        </w:rPr>
        <w:instrText xml:space="preserve"> </w:instrText>
      </w:r>
      <w:r w:rsidR="00A6794A">
        <w:rPr>
          <w:lang w:val="en-US" w:eastAsia="ru-RU"/>
        </w:rPr>
        <w:instrText>drug</w:instrText>
      </w:r>
      <w:r w:rsidR="00A6794A" w:rsidRPr="00D3550C">
        <w:rPr>
          <w:lang w:eastAsia="ru-RU"/>
        </w:rPr>
        <w:instrText xml:space="preserve"> </w:instrText>
      </w:r>
      <w:r w:rsidR="00A6794A">
        <w:rPr>
          <w:lang w:val="en-US" w:eastAsia="ru-RU"/>
        </w:rPr>
        <w:instrText>preparation</w:instrText>
      </w:r>
      <w:r w:rsidR="00A6794A" w:rsidRPr="00D3550C">
        <w:rPr>
          <w:lang w:eastAsia="ru-RU"/>
        </w:rPr>
        <w:instrText xml:space="preserve"> </w:instrText>
      </w:r>
      <w:r w:rsidR="00A6794A">
        <w:rPr>
          <w:lang w:val="en-US" w:eastAsia="ru-RU"/>
        </w:rPr>
        <w:instrText>and</w:instrText>
      </w:r>
      <w:r w:rsidR="00A6794A" w:rsidRPr="00D3550C">
        <w:rPr>
          <w:lang w:eastAsia="ru-RU"/>
        </w:rPr>
        <w:instrText xml:space="preserve"> </w:instrText>
      </w:r>
      <w:r w:rsidR="00A6794A">
        <w:rPr>
          <w:lang w:val="en-US" w:eastAsia="ru-RU"/>
        </w:rPr>
        <w:instrText>administration</w:instrText>
      </w:r>
      <w:r w:rsidR="00A6794A" w:rsidRPr="00D3550C">
        <w:rPr>
          <w:lang w:eastAsia="ru-RU"/>
        </w:rPr>
        <w:instrText xml:space="preserve"> </w:instrText>
      </w:r>
      <w:r w:rsidR="00A6794A">
        <w:rPr>
          <w:lang w:val="en-US" w:eastAsia="ru-RU"/>
        </w:rPr>
        <w:instrText>times</w:instrText>
      </w:r>
      <w:r w:rsidR="00A6794A" w:rsidRPr="00D3550C">
        <w:rPr>
          <w:lang w:eastAsia="ru-RU"/>
        </w:rPr>
        <w:instrText xml:space="preserve"> </w:instrText>
      </w:r>
      <w:r w:rsidR="00A6794A">
        <w:rPr>
          <w:lang w:val="en-US" w:eastAsia="ru-RU"/>
        </w:rPr>
        <w:instrText>resulting</w:instrText>
      </w:r>
      <w:r w:rsidR="00A6794A" w:rsidRPr="00D3550C">
        <w:rPr>
          <w:lang w:eastAsia="ru-RU"/>
        </w:rPr>
        <w:instrText xml:space="preserve"> </w:instrText>
      </w:r>
      <w:r w:rsidR="00A6794A">
        <w:rPr>
          <w:lang w:val="en-US" w:eastAsia="ru-RU"/>
        </w:rPr>
        <w:instrText>in</w:instrText>
      </w:r>
      <w:r w:rsidR="00A6794A" w:rsidRPr="00D3550C">
        <w:rPr>
          <w:lang w:eastAsia="ru-RU"/>
        </w:rPr>
        <w:instrText xml:space="preserve"> </w:instrText>
      </w:r>
      <w:r w:rsidR="00A6794A">
        <w:rPr>
          <w:lang w:val="en-US" w:eastAsia="ru-RU"/>
        </w:rPr>
        <w:instrText>a</w:instrText>
      </w:r>
      <w:r w:rsidR="00A6794A" w:rsidRPr="00D3550C">
        <w:rPr>
          <w:lang w:eastAsia="ru-RU"/>
        </w:rPr>
        <w:instrText xml:space="preserve"> </w:instrText>
      </w:r>
      <w:r w:rsidR="00A6794A">
        <w:rPr>
          <w:lang w:val="en-US" w:eastAsia="ru-RU"/>
        </w:rPr>
        <w:instrText>reduced</w:instrText>
      </w:r>
      <w:r w:rsidR="00A6794A" w:rsidRPr="00D3550C">
        <w:rPr>
          <w:lang w:eastAsia="ru-RU"/>
        </w:rPr>
        <w:instrText xml:space="preserve"> </w:instrText>
      </w:r>
      <w:r w:rsidR="00A6794A">
        <w:rPr>
          <w:lang w:val="en-US" w:eastAsia="ru-RU"/>
        </w:rPr>
        <w:instrText>treatment</w:instrText>
      </w:r>
      <w:r w:rsidR="00A6794A" w:rsidRPr="00D3550C">
        <w:rPr>
          <w:lang w:eastAsia="ru-RU"/>
        </w:rPr>
        <w:instrText xml:space="preserve"> </w:instrText>
      </w:r>
      <w:r w:rsidR="00A6794A">
        <w:rPr>
          <w:lang w:val="en-US" w:eastAsia="ru-RU"/>
        </w:rPr>
        <w:instrText>burden</w:instrText>
      </w:r>
      <w:r w:rsidR="00A6794A" w:rsidRPr="00D3550C">
        <w:rPr>
          <w:lang w:eastAsia="ru-RU"/>
        </w:rPr>
        <w:instrText xml:space="preserve"> </w:instrText>
      </w:r>
      <w:r w:rsidR="00A6794A">
        <w:rPr>
          <w:lang w:val="en-US" w:eastAsia="ru-RU"/>
        </w:rPr>
        <w:instrText>for</w:instrText>
      </w:r>
      <w:r w:rsidR="00A6794A" w:rsidRPr="00D3550C">
        <w:rPr>
          <w:lang w:eastAsia="ru-RU"/>
        </w:rPr>
        <w:instrText xml:space="preserve"> </w:instrText>
      </w:r>
      <w:r w:rsidR="00A6794A">
        <w:rPr>
          <w:lang w:val="en-US" w:eastAsia="ru-RU"/>
        </w:rPr>
        <w:instrText>patients</w:instrText>
      </w:r>
      <w:r w:rsidR="00A6794A" w:rsidRPr="00D3550C">
        <w:rPr>
          <w:lang w:eastAsia="ru-RU"/>
        </w:rPr>
        <w:instrText xml:space="preserve"> </w:instrText>
      </w:r>
      <w:r w:rsidR="00A6794A">
        <w:rPr>
          <w:lang w:val="en-US" w:eastAsia="ru-RU"/>
        </w:rPr>
        <w:instrText>as</w:instrText>
      </w:r>
      <w:r w:rsidR="00A6794A" w:rsidRPr="00D3550C">
        <w:rPr>
          <w:lang w:eastAsia="ru-RU"/>
        </w:rPr>
        <w:instrText xml:space="preserve"> </w:instrText>
      </w:r>
      <w:r w:rsidR="00A6794A">
        <w:rPr>
          <w:lang w:val="en-US" w:eastAsia="ru-RU"/>
        </w:rPr>
        <w:instrText>well</w:instrText>
      </w:r>
      <w:r w:rsidR="00A6794A" w:rsidRPr="00D3550C">
        <w:rPr>
          <w:lang w:eastAsia="ru-RU"/>
        </w:rPr>
        <w:instrText xml:space="preserve"> </w:instrText>
      </w:r>
      <w:r w:rsidR="00A6794A">
        <w:rPr>
          <w:lang w:val="en-US" w:eastAsia="ru-RU"/>
        </w:rPr>
        <w:instrText>as</w:instrText>
      </w:r>
      <w:r w:rsidR="00A6794A" w:rsidRPr="00D3550C">
        <w:rPr>
          <w:lang w:eastAsia="ru-RU"/>
        </w:rPr>
        <w:instrText xml:space="preserve"> </w:instrText>
      </w:r>
      <w:r w:rsidR="00A6794A">
        <w:rPr>
          <w:lang w:val="en-US" w:eastAsia="ru-RU"/>
        </w:rPr>
        <w:instrText>improved</w:instrText>
      </w:r>
      <w:r w:rsidR="00A6794A" w:rsidRPr="00D3550C">
        <w:rPr>
          <w:lang w:eastAsia="ru-RU"/>
        </w:rPr>
        <w:instrText xml:space="preserve"> </w:instrText>
      </w:r>
      <w:r w:rsidR="00A6794A">
        <w:rPr>
          <w:lang w:val="en-US" w:eastAsia="ru-RU"/>
        </w:rPr>
        <w:instrText>resource</w:instrText>
      </w:r>
      <w:r w:rsidR="00A6794A" w:rsidRPr="00D3550C">
        <w:rPr>
          <w:lang w:eastAsia="ru-RU"/>
        </w:rPr>
        <w:instrText xml:space="preserve"> </w:instrText>
      </w:r>
      <w:r w:rsidR="00A6794A">
        <w:rPr>
          <w:lang w:val="en-US" w:eastAsia="ru-RU"/>
        </w:rPr>
        <w:instrText>utilization</w:instrText>
      </w:r>
      <w:r w:rsidR="00A6794A" w:rsidRPr="00D3550C">
        <w:rPr>
          <w:lang w:eastAsia="ru-RU"/>
        </w:rPr>
        <w:instrText xml:space="preserve"> (</w:instrText>
      </w:r>
      <w:r w:rsidR="00A6794A">
        <w:rPr>
          <w:lang w:val="en-US" w:eastAsia="ru-RU"/>
        </w:rPr>
        <w:instrText>efficiency</w:instrText>
      </w:r>
      <w:r w:rsidR="00A6794A" w:rsidRPr="00D3550C">
        <w:rPr>
          <w:lang w:eastAsia="ru-RU"/>
        </w:rPr>
        <w:instrText xml:space="preserve">) </w:instrText>
      </w:r>
      <w:r w:rsidR="00A6794A">
        <w:rPr>
          <w:lang w:val="en-US" w:eastAsia="ru-RU"/>
        </w:rPr>
        <w:instrText>at</w:instrText>
      </w:r>
      <w:r w:rsidR="00A6794A" w:rsidRPr="00D3550C">
        <w:rPr>
          <w:lang w:eastAsia="ru-RU"/>
        </w:rPr>
        <w:instrText xml:space="preserve"> </w:instrText>
      </w:r>
      <w:r w:rsidR="00A6794A">
        <w:rPr>
          <w:lang w:val="en-US" w:eastAsia="ru-RU"/>
        </w:rPr>
        <w:instrText>the</w:instrText>
      </w:r>
      <w:r w:rsidR="00A6794A" w:rsidRPr="00D3550C">
        <w:rPr>
          <w:lang w:eastAsia="ru-RU"/>
        </w:rPr>
        <w:instrText xml:space="preserve"> </w:instrText>
      </w:r>
      <w:r w:rsidR="00A6794A">
        <w:rPr>
          <w:lang w:val="en-US" w:eastAsia="ru-RU"/>
        </w:rPr>
        <w:instrText>treatment</w:instrText>
      </w:r>
      <w:r w:rsidR="00A6794A" w:rsidRPr="00D3550C">
        <w:rPr>
          <w:lang w:eastAsia="ru-RU"/>
        </w:rPr>
        <w:instrText xml:space="preserve"> </w:instrText>
      </w:r>
      <w:r w:rsidR="00A6794A">
        <w:rPr>
          <w:lang w:val="en-US" w:eastAsia="ru-RU"/>
        </w:rPr>
        <w:instrText>facility</w:instrText>
      </w:r>
      <w:r w:rsidR="00A6794A" w:rsidRPr="00D3550C">
        <w:rPr>
          <w:lang w:eastAsia="ru-RU"/>
        </w:rPr>
        <w:instrText xml:space="preserve">. </w:instrText>
      </w:r>
      <w:r w:rsidR="00A6794A">
        <w:rPr>
          <w:lang w:val="en-US" w:eastAsia="ru-RU"/>
        </w:rPr>
        <w:instrText>The</w:instrText>
      </w:r>
      <w:r w:rsidR="00A6794A" w:rsidRPr="00D3550C">
        <w:rPr>
          <w:lang w:eastAsia="ru-RU"/>
        </w:rPr>
        <w:instrText xml:space="preserve"> </w:instrText>
      </w:r>
      <w:r w:rsidR="00A6794A">
        <w:rPr>
          <w:lang w:val="en-US" w:eastAsia="ru-RU"/>
        </w:rPr>
        <w:instrText>improved</w:instrText>
      </w:r>
      <w:r w:rsidR="00A6794A" w:rsidRPr="00D3550C">
        <w:rPr>
          <w:lang w:eastAsia="ru-RU"/>
        </w:rPr>
        <w:instrText xml:space="preserve"> </w:instrText>
      </w:r>
      <w:r w:rsidR="00A6794A">
        <w:rPr>
          <w:lang w:val="en-US" w:eastAsia="ru-RU"/>
        </w:rPr>
        <w:instrText>efficiency</w:instrText>
      </w:r>
      <w:r w:rsidR="00A6794A" w:rsidRPr="00D3550C">
        <w:rPr>
          <w:lang w:eastAsia="ru-RU"/>
        </w:rPr>
        <w:instrText xml:space="preserve"> </w:instrText>
      </w:r>
      <w:r w:rsidR="00A6794A">
        <w:rPr>
          <w:lang w:val="en-US" w:eastAsia="ru-RU"/>
        </w:rPr>
        <w:instrText>of</w:instrText>
      </w:r>
      <w:r w:rsidR="00A6794A" w:rsidRPr="00D3550C">
        <w:rPr>
          <w:lang w:eastAsia="ru-RU"/>
        </w:rPr>
        <w:instrText xml:space="preserve"> </w:instrText>
      </w:r>
      <w:r w:rsidR="00A6794A">
        <w:rPr>
          <w:lang w:val="en-US" w:eastAsia="ru-RU"/>
        </w:rPr>
        <w:instrText>delivering</w:instrText>
      </w:r>
      <w:r w:rsidR="00A6794A" w:rsidRPr="00D3550C">
        <w:rPr>
          <w:lang w:eastAsia="ru-RU"/>
        </w:rPr>
        <w:instrText xml:space="preserve"> </w:instrText>
      </w:r>
      <w:r w:rsidR="00A6794A">
        <w:rPr>
          <w:lang w:val="en-US" w:eastAsia="ru-RU"/>
        </w:rPr>
        <w:instrText>rituximab</w:instrText>
      </w:r>
      <w:r w:rsidR="00A6794A" w:rsidRPr="00D3550C">
        <w:rPr>
          <w:lang w:eastAsia="ru-RU"/>
        </w:rPr>
        <w:instrText>’</w:instrText>
      </w:r>
      <w:r w:rsidR="00A6794A">
        <w:rPr>
          <w:lang w:val="en-US" w:eastAsia="ru-RU"/>
        </w:rPr>
        <w:instrText>s</w:instrText>
      </w:r>
      <w:r w:rsidR="00A6794A" w:rsidRPr="00D3550C">
        <w:rPr>
          <w:lang w:eastAsia="ru-RU"/>
        </w:rPr>
        <w:instrText xml:space="preserve"> </w:instrText>
      </w:r>
      <w:r w:rsidR="00A6794A">
        <w:rPr>
          <w:lang w:val="en-US" w:eastAsia="ru-RU"/>
        </w:rPr>
        <w:instrText>benefit</w:instrText>
      </w:r>
      <w:r w:rsidR="00A6794A" w:rsidRPr="00D3550C">
        <w:rPr>
          <w:lang w:eastAsia="ru-RU"/>
        </w:rPr>
        <w:instrText xml:space="preserve"> </w:instrText>
      </w:r>
      <w:r w:rsidR="00A6794A">
        <w:rPr>
          <w:lang w:val="en-US" w:eastAsia="ru-RU"/>
        </w:rPr>
        <w:instrText>to</w:instrText>
      </w:r>
      <w:r w:rsidR="00A6794A" w:rsidRPr="00D3550C">
        <w:rPr>
          <w:lang w:eastAsia="ru-RU"/>
        </w:rPr>
        <w:instrText xml:space="preserve"> </w:instrText>
      </w:r>
      <w:r w:rsidR="00A6794A">
        <w:rPr>
          <w:lang w:val="en-US" w:eastAsia="ru-RU"/>
        </w:rPr>
        <w:instrText>patients</w:instrText>
      </w:r>
      <w:r w:rsidR="00A6794A" w:rsidRPr="00D3550C">
        <w:rPr>
          <w:lang w:eastAsia="ru-RU"/>
        </w:rPr>
        <w:instrText xml:space="preserve"> </w:instrText>
      </w:r>
      <w:r w:rsidR="00A6794A">
        <w:rPr>
          <w:lang w:val="en-US" w:eastAsia="ru-RU"/>
        </w:rPr>
        <w:instrText>may</w:instrText>
      </w:r>
      <w:r w:rsidR="00A6794A" w:rsidRPr="00D3550C">
        <w:rPr>
          <w:lang w:eastAsia="ru-RU"/>
        </w:rPr>
        <w:instrText xml:space="preserve"> </w:instrText>
      </w:r>
      <w:r w:rsidR="00A6794A">
        <w:rPr>
          <w:lang w:val="en-US" w:eastAsia="ru-RU"/>
        </w:rPr>
        <w:instrText>broaden</w:instrText>
      </w:r>
      <w:r w:rsidR="00A6794A" w:rsidRPr="00D3550C">
        <w:rPr>
          <w:lang w:eastAsia="ru-RU"/>
        </w:rPr>
        <w:instrText xml:space="preserve"> </w:instrText>
      </w:r>
      <w:r w:rsidR="00A6794A">
        <w:rPr>
          <w:lang w:val="en-US" w:eastAsia="ru-RU"/>
        </w:rPr>
        <w:instrText>patient</w:instrText>
      </w:r>
      <w:r w:rsidR="00A6794A" w:rsidRPr="00D3550C">
        <w:rPr>
          <w:lang w:eastAsia="ru-RU"/>
        </w:rPr>
        <w:instrText xml:space="preserve"> </w:instrText>
      </w:r>
      <w:r w:rsidR="00A6794A">
        <w:rPr>
          <w:lang w:val="en-US" w:eastAsia="ru-RU"/>
        </w:rPr>
        <w:instrText>access</w:instrText>
      </w:r>
      <w:r w:rsidR="00A6794A" w:rsidRPr="00D3550C">
        <w:rPr>
          <w:lang w:eastAsia="ru-RU"/>
        </w:rPr>
        <w:instrText xml:space="preserve"> </w:instrText>
      </w:r>
      <w:r w:rsidR="00A6794A">
        <w:rPr>
          <w:lang w:val="en-US" w:eastAsia="ru-RU"/>
        </w:rPr>
        <w:instrText>to</w:instrText>
      </w:r>
      <w:r w:rsidR="00A6794A" w:rsidRPr="00D3550C">
        <w:rPr>
          <w:lang w:eastAsia="ru-RU"/>
        </w:rPr>
        <w:instrText xml:space="preserve"> </w:instrText>
      </w:r>
      <w:r w:rsidR="00A6794A">
        <w:rPr>
          <w:lang w:val="en-US" w:eastAsia="ru-RU"/>
        </w:rPr>
        <w:instrText>rituximab</w:instrText>
      </w:r>
      <w:r w:rsidR="00A6794A" w:rsidRPr="00D3550C">
        <w:rPr>
          <w:lang w:eastAsia="ru-RU"/>
        </w:rPr>
        <w:instrText xml:space="preserve"> </w:instrText>
      </w:r>
      <w:r w:rsidR="00A6794A">
        <w:rPr>
          <w:lang w:val="en-US" w:eastAsia="ru-RU"/>
        </w:rPr>
        <w:instrText>therapy</w:instrText>
      </w:r>
      <w:r w:rsidR="00A6794A" w:rsidRPr="00D3550C">
        <w:rPr>
          <w:lang w:eastAsia="ru-RU"/>
        </w:rPr>
        <w:instrText xml:space="preserve"> </w:instrText>
      </w:r>
      <w:r w:rsidR="00A6794A">
        <w:rPr>
          <w:lang w:val="en-US" w:eastAsia="ru-RU"/>
        </w:rPr>
        <w:instrText>in areas with low levels of healthcare resources, including IV-chair capacity constraints. This article is a companion paper to G. Salles, et al., which is also published in this issue. Funding: F. Hoffmann-La Roche Ltd.","author":[{"dropping-particle":"","family":"Davies","given":"Andrew","non-dropping-particle":"","parse-names":false,"suffix":""},{"dropping-particle":"","family":"Berge","given":"Claude","non-dropping-particle":"","parse-names":false,"suffix":""},{"dropping-particle":"","family":"Boehnke","given":"Axel","non-dropping-particle":"","parse-names":false,"suffix":""},{"dropping-particle":"","family":"Dadabhoy","given":"Anjum","non-dropping-particle":"","parse-names":false,"suffix":""},{"dropping-particle":"","family":"Lugtenburg","given":"Pieternella","non-dropping-particle":"","parse-names":false,"suffix":""},{"dropping-particle":"","family":"Rule","given":"Simon","non-dropping-particle":"","parse-names":false,"suffix":""},{"dropping-particle":"","family":"Rummel","given":"Mathias","non-dropping-particle":"","parse-names":false,"suffix":""},{"dropping-particle":"","family":"McIntyre","given":"Christine","non-dropping-particle":"","parse-names":false,"suffix":""},{"dropping-particle":"","family":"Smith","given":"Rodney","non-dropping-particle":"","parse-names":false,"suffix":""},{"dropping-particle":"","family":"Badoux","given":"Xavier","non-dropping-particle":"","parse-names":false,"suffix":""}],"container-title":"Advances in Therapy","id":"ITEM-2","issue":"10","issued":{"date-parts":[["2017","10","1"]]},"page":"2210-2231","publisher":"Springer Healthcare","title":"Subcutaneous Rituximab for the Treatment of B-Cell Hematologic Malignancies: A Review of the Scientific Rationale and Clinical Development","type":"article","volume":"34"},"uris":["http://www.mendeley.com/documents/?uuid=c91e99c4-7e72-3803-909e-84f3e662a6e0"]},{"id":"ITEM-3","itemData":{"DOI":"10.1111/bjh.16227","ISSN":"0007-1048","abstract":"Rituximab is a standard treatment for non-Hodgkin diffuse large B-cell (DLBCL) and follicular (FL) lymphomas. A subcutaneous formulation was developed to improve the resource use of intravenous rituximab, with comparable efficacy and safety profiles except for increased administration-related reactions (ARRs). MabRella was a phase IIIb trial to assess the safety of switching from intravenous to subcutaneous administration of rituximab during first-line induction/maintenance for DLBCL or FL, focusing on ARRs. Efficacy, satisfaction and quality of life were also assessed. Patients received subcutaneous rituximab plus standard induction chemotherapy for DLBCL or FL for 4–7 cycles, and/or every 2 months maintenance monotherapy for FL for 6–12 cycles. The study included 140 patients: DLBCL, n = 29; FL, n = 111. Ninety-five percent of patients experienced adverse events, reaching grade ≥3 in 38·6% and were serious in 30·0%. AARs occurred in 48·6%, mostly (84·9%) at the injection site, with only 2·1% of patients reaching grade 3. The end-of-induction complete/unconfirmed complete response rate was 69·6%. After a median follow-up of 33·5 months, median disease-/event-/progression-free and overall survivals were not attained. The Rituximab Administration Satisfaction Questionnaire showed improvements in overall satisfaction and the EuroQoL-5D a good quality-of-life perception at induction/maintenance end. Therefore, switching to subcutaneous rituximab showed no new safety issues and maintained efficacy with improved satisfaction and quality of life.","author":[{"dropping-particle":"","family":"García‐Muñoz","given":"Ricardo","non-dropping-particle":"","parse-names":false,"suffix":""},{"dropping-particle":"","family":"Quero","given":"Cristina","non-dropping-particle":"","parse-names":false,"suffix":""},{"dropping-particle":"","family":"Pérez‐Persona","given":"Ernesto","non-dropping-particle":"","parse-names":false,"suffix":""},{"dropping-particle":"","family":"Domingo‐García","given":"Abel","non-dropping-particle":"","parse-names":false,"suffix":""},{"dropping-particle":"","family":"Pérez‐López","given":"Cristina","non-dropping-particle":"","parse-names":false,"suffix":""},{"dropping-particle":"","family":"Villaescusa‐de‐la‐Rosa","given":"Teresa","non-dropping-particle":"","parse-names":false,"suffix":""},{"dropping-particle":"","family":"Martínez‐Castro","given":"Ana M.","non-dropping-particle":"","parse-names":false,"suffix":""},{"dropping-particle":"","family":"Arguiñano‐Pérez","given":"José M.","non-dropping-particle":"","parse-names":false,"suffix":""},{"dropping-particle":"","family":"Parra‐Cuadrado","given":"Juan F.","non-dropping-particle":"","parse-names":false,"suffix":""},{"dropping-particle":"","family":"Panizo","given":"Carlos","non-dropping-particle":"","parse-names":false,"suffix":""}],"container-title":"British Journal of Haematology","id":"ITEM-3","issue":"5","issued":{"date-parts":[["2020","3","1"]]},"page":"661-673","publisher":"Blackwell Publishing Ltd","title":"Safety of switching from intravenous to subcutaneous rituximab during first‐line treatment of patients with non‐Hodgkin lymphoma: the Spanish population of the MabRella study","type":"article-journal","volume":"188"},"uris":["http://www.mendeley.com/documents/?uuid=89ca4d25-771e-3d22-9da5-61e99fb5ec3e"]},{"id":"ITEM-4","itemData":{"DOI":"10.3747/co.24.3470","ISSN":"17187729","abstract":"Rituximab is widely used for the treatment of non-Hodgkin lymphoma, being a key component in most therapeutic regimens. Administration of the intravenous (IV) formulation is lengthy and places a significant burden on health care resources and patient quality of life. A subcutaneous (sc) formulation that provides a fixed dose of rituximab is being examined in a number of studies. Results indicate that the pharmacokinetics are noninferior and response rates are comparable to those obtained with the IV formulation. Moreover, the sc formulation is preferred by patients and health care providers and reduces administration and chair time. Additional advantages include a lesser potential for dosing errors, shorter preparation time, reduced drug wastage, and fewer infusion-related reactions. Despite the success of the sc formulation</w:instrText>
      </w:r>
      <w:r w:rsidR="00A6794A" w:rsidRPr="00D3550C">
        <w:rPr>
          <w:lang w:eastAsia="ru-RU"/>
        </w:rPr>
        <w:instrText xml:space="preserve">, </w:instrText>
      </w:r>
      <w:r w:rsidR="00A6794A">
        <w:rPr>
          <w:lang w:val="en-US" w:eastAsia="ru-RU"/>
        </w:rPr>
        <w:instrText>correct</w:instrText>
      </w:r>
      <w:r w:rsidR="00A6794A" w:rsidRPr="00D3550C">
        <w:rPr>
          <w:lang w:eastAsia="ru-RU"/>
        </w:rPr>
        <w:instrText xml:space="preserve"> </w:instrText>
      </w:r>
      <w:r w:rsidR="00A6794A">
        <w:rPr>
          <w:lang w:val="en-US" w:eastAsia="ru-RU"/>
        </w:rPr>
        <w:instrText>administration</w:instrText>
      </w:r>
      <w:r w:rsidR="00A6794A" w:rsidRPr="00D3550C">
        <w:rPr>
          <w:lang w:eastAsia="ru-RU"/>
        </w:rPr>
        <w:instrText xml:space="preserve"> </w:instrText>
      </w:r>
      <w:r w:rsidR="00A6794A">
        <w:rPr>
          <w:lang w:val="en-US" w:eastAsia="ru-RU"/>
        </w:rPr>
        <w:instrText>is</w:instrText>
      </w:r>
      <w:r w:rsidR="00A6794A" w:rsidRPr="00D3550C">
        <w:rPr>
          <w:lang w:eastAsia="ru-RU"/>
        </w:rPr>
        <w:instrText xml:space="preserve"> </w:instrText>
      </w:r>
      <w:r w:rsidR="00A6794A">
        <w:rPr>
          <w:lang w:val="en-US" w:eastAsia="ru-RU"/>
        </w:rPr>
        <w:instrText>needed</w:instrText>
      </w:r>
      <w:r w:rsidR="00A6794A" w:rsidRPr="00D3550C">
        <w:rPr>
          <w:lang w:eastAsia="ru-RU"/>
        </w:rPr>
        <w:instrText xml:space="preserve"> </w:instrText>
      </w:r>
      <w:r w:rsidR="00A6794A">
        <w:rPr>
          <w:lang w:val="en-US" w:eastAsia="ru-RU"/>
        </w:rPr>
        <w:instrText>to</w:instrText>
      </w:r>
      <w:r w:rsidR="00A6794A" w:rsidRPr="00D3550C">
        <w:rPr>
          <w:lang w:eastAsia="ru-RU"/>
        </w:rPr>
        <w:instrText xml:space="preserve"> </w:instrText>
      </w:r>
      <w:r w:rsidR="00A6794A">
        <w:rPr>
          <w:lang w:val="en-US" w:eastAsia="ru-RU"/>
        </w:rPr>
        <w:instrText>reduce</w:instrText>
      </w:r>
      <w:r w:rsidR="00A6794A" w:rsidRPr="00D3550C">
        <w:rPr>
          <w:lang w:eastAsia="ru-RU"/>
        </w:rPr>
        <w:instrText xml:space="preserve"> </w:instrText>
      </w:r>
      <w:r w:rsidR="00A6794A">
        <w:rPr>
          <w:lang w:val="en-US" w:eastAsia="ru-RU"/>
        </w:rPr>
        <w:instrText>administration</w:instrText>
      </w:r>
      <w:r w:rsidR="00A6794A" w:rsidRPr="00D3550C">
        <w:rPr>
          <w:lang w:eastAsia="ru-RU"/>
        </w:rPr>
        <w:instrText>-</w:instrText>
      </w:r>
      <w:r w:rsidR="00A6794A">
        <w:rPr>
          <w:lang w:val="en-US" w:eastAsia="ru-RU"/>
        </w:rPr>
        <w:instrText>related</w:instrText>
      </w:r>
      <w:r w:rsidR="00A6794A" w:rsidRPr="00D3550C">
        <w:rPr>
          <w:lang w:eastAsia="ru-RU"/>
        </w:rPr>
        <w:instrText xml:space="preserve"> </w:instrText>
      </w:r>
      <w:r w:rsidR="00A6794A">
        <w:rPr>
          <w:lang w:val="en-US" w:eastAsia="ru-RU"/>
        </w:rPr>
        <w:instrText>reactions</w:instrText>
      </w:r>
      <w:r w:rsidR="00A6794A" w:rsidRPr="00D3550C">
        <w:rPr>
          <w:lang w:eastAsia="ru-RU"/>
        </w:rPr>
        <w:instrText xml:space="preserve">. </w:instrText>
      </w:r>
      <w:r w:rsidR="00A6794A">
        <w:rPr>
          <w:lang w:val="en-US" w:eastAsia="ru-RU"/>
        </w:rPr>
        <w:instrText>By</w:instrText>
      </w:r>
      <w:r w:rsidR="00A6794A" w:rsidRPr="00D3550C">
        <w:rPr>
          <w:lang w:eastAsia="ru-RU"/>
        </w:rPr>
        <w:instrText xml:space="preserve"> </w:instrText>
      </w:r>
      <w:r w:rsidR="00A6794A">
        <w:rPr>
          <w:lang w:val="en-US" w:eastAsia="ru-RU"/>
        </w:rPr>
        <w:instrText>using</w:instrText>
      </w:r>
      <w:r w:rsidR="00A6794A" w:rsidRPr="00D3550C">
        <w:rPr>
          <w:lang w:eastAsia="ru-RU"/>
        </w:rPr>
        <w:instrText xml:space="preserve"> </w:instrText>
      </w:r>
      <w:r w:rsidR="00A6794A">
        <w:rPr>
          <w:lang w:val="en-US" w:eastAsia="ru-RU"/>
        </w:rPr>
        <w:instrText>a</w:instrText>
      </w:r>
      <w:r w:rsidR="00A6794A" w:rsidRPr="00D3550C">
        <w:rPr>
          <w:lang w:eastAsia="ru-RU"/>
        </w:rPr>
        <w:instrText xml:space="preserve"> </w:instrText>
      </w:r>
      <w:r w:rsidR="00A6794A">
        <w:rPr>
          <w:lang w:val="en-US" w:eastAsia="ru-RU"/>
        </w:rPr>
        <w:instrText>careful</w:instrText>
      </w:r>
      <w:r w:rsidR="00A6794A" w:rsidRPr="00D3550C">
        <w:rPr>
          <w:lang w:eastAsia="ru-RU"/>
        </w:rPr>
        <w:instrText xml:space="preserve"> </w:instrText>
      </w:r>
      <w:r w:rsidR="00A6794A">
        <w:rPr>
          <w:lang w:val="en-US" w:eastAsia="ru-RU"/>
        </w:rPr>
        <w:instrText>procedure</w:instrText>
      </w:r>
      <w:r w:rsidR="00A6794A" w:rsidRPr="00D3550C">
        <w:rPr>
          <w:lang w:eastAsia="ru-RU"/>
        </w:rPr>
        <w:instrText xml:space="preserve">, </w:instrText>
      </w:r>
      <w:r w:rsidR="00A6794A">
        <w:rPr>
          <w:lang w:val="en-US" w:eastAsia="ru-RU"/>
        </w:rPr>
        <w:instrText>the</w:instrText>
      </w:r>
      <w:r w:rsidR="00A6794A" w:rsidRPr="00D3550C">
        <w:rPr>
          <w:lang w:eastAsia="ru-RU"/>
        </w:rPr>
        <w:instrText xml:space="preserve"> </w:instrText>
      </w:r>
      <w:r w:rsidR="00A6794A">
        <w:rPr>
          <w:lang w:val="en-US" w:eastAsia="ru-RU"/>
        </w:rPr>
        <w:instrText>sc</w:instrText>
      </w:r>
      <w:r w:rsidR="00A6794A" w:rsidRPr="00D3550C">
        <w:rPr>
          <w:lang w:eastAsia="ru-RU"/>
        </w:rPr>
        <w:instrText xml:space="preserve"> </w:instrText>
      </w:r>
      <w:r w:rsidR="00A6794A">
        <w:rPr>
          <w:lang w:val="en-US" w:eastAsia="ru-RU"/>
        </w:rPr>
        <w:instrText>formulation</w:instrText>
      </w:r>
      <w:r w:rsidR="00A6794A" w:rsidRPr="00D3550C">
        <w:rPr>
          <w:lang w:eastAsia="ru-RU"/>
        </w:rPr>
        <w:instrText xml:space="preserve"> </w:instrText>
      </w:r>
      <w:r w:rsidR="00A6794A">
        <w:rPr>
          <w:lang w:val="en-US" w:eastAsia="ru-RU"/>
        </w:rPr>
        <w:instrText>can</w:instrText>
      </w:r>
      <w:r w:rsidR="00A6794A" w:rsidRPr="00D3550C">
        <w:rPr>
          <w:lang w:eastAsia="ru-RU"/>
        </w:rPr>
        <w:instrText xml:space="preserve"> </w:instrText>
      </w:r>
      <w:r w:rsidR="00A6794A">
        <w:rPr>
          <w:lang w:val="en-US" w:eastAsia="ru-RU"/>
        </w:rPr>
        <w:instrText>be</w:instrText>
      </w:r>
      <w:r w:rsidR="00A6794A" w:rsidRPr="00D3550C">
        <w:rPr>
          <w:lang w:eastAsia="ru-RU"/>
        </w:rPr>
        <w:instrText xml:space="preserve"> </w:instrText>
      </w:r>
      <w:r w:rsidR="00A6794A">
        <w:rPr>
          <w:lang w:val="en-US" w:eastAsia="ru-RU"/>
        </w:rPr>
        <w:instrText>given</w:instrText>
      </w:r>
      <w:r w:rsidR="00A6794A" w:rsidRPr="00D3550C">
        <w:rPr>
          <w:lang w:eastAsia="ru-RU"/>
        </w:rPr>
        <w:instrText xml:space="preserve"> </w:instrText>
      </w:r>
      <w:r w:rsidR="00A6794A">
        <w:rPr>
          <w:lang w:val="en-US" w:eastAsia="ru-RU"/>
        </w:rPr>
        <w:instrText>safely</w:instrText>
      </w:r>
      <w:r w:rsidR="00A6794A" w:rsidRPr="00D3550C">
        <w:rPr>
          <w:lang w:eastAsia="ru-RU"/>
        </w:rPr>
        <w:instrText xml:space="preserve"> </w:instrText>
      </w:r>
      <w:r w:rsidR="00A6794A">
        <w:rPr>
          <w:lang w:val="en-US" w:eastAsia="ru-RU"/>
        </w:rPr>
        <w:instrText>and</w:instrText>
      </w:r>
      <w:r w:rsidR="00A6794A" w:rsidRPr="00D3550C">
        <w:rPr>
          <w:lang w:eastAsia="ru-RU"/>
        </w:rPr>
        <w:instrText xml:space="preserve"> </w:instrText>
      </w:r>
      <w:r w:rsidR="00A6794A">
        <w:rPr>
          <w:lang w:val="en-US" w:eastAsia="ru-RU"/>
        </w:rPr>
        <w:instrText>effectively</w:instrText>
      </w:r>
      <w:r w:rsidR="00A6794A" w:rsidRPr="00D3550C">
        <w:rPr>
          <w:lang w:eastAsia="ru-RU"/>
        </w:rPr>
        <w:instrText xml:space="preserve">, </w:instrText>
      </w:r>
      <w:r w:rsidR="00A6794A">
        <w:rPr>
          <w:lang w:val="en-US" w:eastAsia="ru-RU"/>
        </w:rPr>
        <w:instrText>potentially</w:instrText>
      </w:r>
      <w:r w:rsidR="00A6794A" w:rsidRPr="00D3550C">
        <w:rPr>
          <w:lang w:eastAsia="ru-RU"/>
        </w:rPr>
        <w:instrText xml:space="preserve"> </w:instrText>
      </w:r>
      <w:r w:rsidR="00A6794A">
        <w:rPr>
          <w:lang w:val="en-US" w:eastAsia="ru-RU"/>
        </w:rPr>
        <w:instrText>reducing</w:instrText>
      </w:r>
      <w:r w:rsidR="00A6794A" w:rsidRPr="00D3550C">
        <w:rPr>
          <w:lang w:eastAsia="ru-RU"/>
        </w:rPr>
        <w:instrText xml:space="preserve"> </w:instrText>
      </w:r>
      <w:r w:rsidR="00A6794A">
        <w:rPr>
          <w:lang w:val="en-US" w:eastAsia="ru-RU"/>
        </w:rPr>
        <w:instrText>the</w:instrText>
      </w:r>
      <w:r w:rsidR="00A6794A" w:rsidRPr="00D3550C">
        <w:rPr>
          <w:lang w:eastAsia="ru-RU"/>
        </w:rPr>
        <w:instrText xml:space="preserve"> </w:instrText>
      </w:r>
      <w:r w:rsidR="00A6794A">
        <w:rPr>
          <w:lang w:val="en-US" w:eastAsia="ru-RU"/>
        </w:rPr>
        <w:instrText>burden</w:instrText>
      </w:r>
      <w:r w:rsidR="00A6794A" w:rsidRPr="00D3550C">
        <w:rPr>
          <w:lang w:eastAsia="ru-RU"/>
        </w:rPr>
        <w:instrText xml:space="preserve"> </w:instrText>
      </w:r>
      <w:r w:rsidR="00A6794A">
        <w:rPr>
          <w:lang w:val="en-US" w:eastAsia="ru-RU"/>
        </w:rPr>
        <w:instrText>on</w:instrText>
      </w:r>
      <w:r w:rsidR="00A6794A" w:rsidRPr="00D3550C">
        <w:rPr>
          <w:lang w:eastAsia="ru-RU"/>
        </w:rPr>
        <w:instrText xml:space="preserve"> </w:instrText>
      </w:r>
      <w:r w:rsidR="00A6794A">
        <w:rPr>
          <w:lang w:val="en-US" w:eastAsia="ru-RU"/>
        </w:rPr>
        <w:instrText>health</w:instrText>
      </w:r>
      <w:r w:rsidR="00A6794A" w:rsidRPr="00D3550C">
        <w:rPr>
          <w:lang w:eastAsia="ru-RU"/>
        </w:rPr>
        <w:instrText xml:space="preserve"> </w:instrText>
      </w:r>
      <w:r w:rsidR="00A6794A">
        <w:rPr>
          <w:lang w:val="en-US" w:eastAsia="ru-RU"/>
        </w:rPr>
        <w:instrText>care</w:instrText>
      </w:r>
      <w:r w:rsidR="00A6794A" w:rsidRPr="00D3550C">
        <w:rPr>
          <w:lang w:eastAsia="ru-RU"/>
        </w:rPr>
        <w:instrText xml:space="preserve"> </w:instrText>
      </w:r>
      <w:r w:rsidR="00A6794A">
        <w:rPr>
          <w:lang w:val="en-US" w:eastAsia="ru-RU"/>
        </w:rPr>
        <w:instrText>resources</w:instrText>
      </w:r>
      <w:r w:rsidR="00A6794A" w:rsidRPr="00D3550C">
        <w:rPr>
          <w:lang w:eastAsia="ru-RU"/>
        </w:rPr>
        <w:instrText xml:space="preserve"> </w:instrText>
      </w:r>
      <w:r w:rsidR="00A6794A">
        <w:rPr>
          <w:lang w:val="en-US" w:eastAsia="ru-RU"/>
        </w:rPr>
        <w:instrText>and</w:instrText>
      </w:r>
      <w:r w:rsidR="00A6794A" w:rsidRPr="00D3550C">
        <w:rPr>
          <w:lang w:eastAsia="ru-RU"/>
        </w:rPr>
        <w:instrText xml:space="preserve"> </w:instrText>
      </w:r>
      <w:r w:rsidR="00A6794A">
        <w:rPr>
          <w:lang w:val="en-US" w:eastAsia="ru-RU"/>
        </w:rPr>
        <w:instrText>improving</w:instrText>
      </w:r>
      <w:r w:rsidR="00A6794A" w:rsidRPr="00D3550C">
        <w:rPr>
          <w:lang w:eastAsia="ru-RU"/>
        </w:rPr>
        <w:instrText xml:space="preserve"> </w:instrText>
      </w:r>
      <w:r w:rsidR="00A6794A">
        <w:rPr>
          <w:lang w:val="en-US" w:eastAsia="ru-RU"/>
        </w:rPr>
        <w:instrText>quality</w:instrText>
      </w:r>
      <w:r w:rsidR="00A6794A" w:rsidRPr="00D3550C">
        <w:rPr>
          <w:lang w:eastAsia="ru-RU"/>
        </w:rPr>
        <w:instrText xml:space="preserve"> </w:instrText>
      </w:r>
      <w:r w:rsidR="00A6794A">
        <w:rPr>
          <w:lang w:val="en-US" w:eastAsia="ru-RU"/>
        </w:rPr>
        <w:instrText>of</w:instrText>
      </w:r>
      <w:r w:rsidR="00A6794A" w:rsidRPr="00D3550C">
        <w:rPr>
          <w:lang w:eastAsia="ru-RU"/>
        </w:rPr>
        <w:instrText xml:space="preserve"> </w:instrText>
      </w:r>
      <w:r w:rsidR="00A6794A">
        <w:rPr>
          <w:lang w:val="en-US" w:eastAsia="ru-RU"/>
        </w:rPr>
        <w:instrText>life</w:instrText>
      </w:r>
      <w:r w:rsidR="00A6794A" w:rsidRPr="00D3550C">
        <w:rPr>
          <w:lang w:eastAsia="ru-RU"/>
        </w:rPr>
        <w:instrText xml:space="preserve"> </w:instrText>
      </w:r>
      <w:r w:rsidR="00A6794A">
        <w:rPr>
          <w:lang w:val="en-US" w:eastAsia="ru-RU"/>
        </w:rPr>
        <w:instrText>for</w:instrText>
      </w:r>
      <w:r w:rsidR="00A6794A" w:rsidRPr="00D3550C">
        <w:rPr>
          <w:lang w:eastAsia="ru-RU"/>
        </w:rPr>
        <w:instrText xml:space="preserve"> </w:instrText>
      </w:r>
      <w:r w:rsidR="00A6794A">
        <w:rPr>
          <w:lang w:val="en-US" w:eastAsia="ru-RU"/>
        </w:rPr>
        <w:instrText>patients</w:instrText>
      </w:r>
      <w:r w:rsidR="00A6794A" w:rsidRPr="00D3550C">
        <w:rPr>
          <w:lang w:eastAsia="ru-RU"/>
        </w:rPr>
        <w:instrText>.","</w:instrText>
      </w:r>
      <w:r w:rsidR="00A6794A">
        <w:rPr>
          <w:lang w:val="en-US" w:eastAsia="ru-RU"/>
        </w:rPr>
        <w:instrText>author</w:instrText>
      </w:r>
      <w:r w:rsidR="00A6794A" w:rsidRPr="00D3550C">
        <w:rPr>
          <w:lang w:eastAsia="ru-RU"/>
        </w:rPr>
        <w:instrText>":[{"</w:instrText>
      </w:r>
      <w:r w:rsidR="00A6794A">
        <w:rPr>
          <w:lang w:val="en-US" w:eastAsia="ru-RU"/>
        </w:rPr>
        <w:instrText>dropping</w:instrText>
      </w:r>
      <w:r w:rsidR="00A6794A" w:rsidRPr="00D3550C">
        <w:rPr>
          <w:lang w:eastAsia="ru-RU"/>
        </w:rPr>
        <w:instrText>-</w:instrText>
      </w:r>
      <w:r w:rsidR="00A6794A">
        <w:rPr>
          <w:lang w:val="en-US" w:eastAsia="ru-RU"/>
        </w:rPr>
        <w:instrText>particle</w:instrText>
      </w:r>
      <w:r w:rsidR="00A6794A" w:rsidRPr="00D3550C">
        <w:rPr>
          <w:lang w:eastAsia="ru-RU"/>
        </w:rPr>
        <w:instrText>":"","</w:instrText>
      </w:r>
      <w:r w:rsidR="00A6794A">
        <w:rPr>
          <w:lang w:val="en-US" w:eastAsia="ru-RU"/>
        </w:rPr>
        <w:instrText>family</w:instrText>
      </w:r>
      <w:r w:rsidR="00A6794A" w:rsidRPr="00D3550C">
        <w:rPr>
          <w:lang w:eastAsia="ru-RU"/>
        </w:rPr>
        <w:instrText>":"</w:instrText>
      </w:r>
      <w:r w:rsidR="00A6794A">
        <w:rPr>
          <w:lang w:val="en-US" w:eastAsia="ru-RU"/>
        </w:rPr>
        <w:instrText>Macdonald</w:instrText>
      </w:r>
      <w:r w:rsidR="00A6794A" w:rsidRPr="00D3550C">
        <w:rPr>
          <w:lang w:eastAsia="ru-RU"/>
        </w:rPr>
        <w:instrText>","</w:instrText>
      </w:r>
      <w:r w:rsidR="00A6794A">
        <w:rPr>
          <w:lang w:val="en-US" w:eastAsia="ru-RU"/>
        </w:rPr>
        <w:instrText>given</w:instrText>
      </w:r>
      <w:r w:rsidR="00A6794A" w:rsidRPr="00D3550C">
        <w:rPr>
          <w:lang w:eastAsia="ru-RU"/>
        </w:rPr>
        <w:instrText>":"</w:instrText>
      </w:r>
      <w:r w:rsidR="00A6794A">
        <w:rPr>
          <w:lang w:val="en-US" w:eastAsia="ru-RU"/>
        </w:rPr>
        <w:instrText>David</w:instrText>
      </w:r>
      <w:r w:rsidR="00A6794A" w:rsidRPr="00D3550C">
        <w:rPr>
          <w:lang w:eastAsia="ru-RU"/>
        </w:rPr>
        <w:instrText>","</w:instrText>
      </w:r>
      <w:r w:rsidR="00A6794A">
        <w:rPr>
          <w:lang w:val="en-US" w:eastAsia="ru-RU"/>
        </w:rPr>
        <w:instrText>non</w:instrText>
      </w:r>
      <w:r w:rsidR="00A6794A" w:rsidRPr="00D3550C">
        <w:rPr>
          <w:lang w:eastAsia="ru-RU"/>
        </w:rPr>
        <w:instrText>-</w:instrText>
      </w:r>
      <w:r w:rsidR="00A6794A">
        <w:rPr>
          <w:lang w:val="en-US" w:eastAsia="ru-RU"/>
        </w:rPr>
        <w:instrText>dropping</w:instrText>
      </w:r>
      <w:r w:rsidR="00A6794A" w:rsidRPr="00D3550C">
        <w:rPr>
          <w:lang w:eastAsia="ru-RU"/>
        </w:rPr>
        <w:instrText>-</w:instrText>
      </w:r>
      <w:r w:rsidR="00A6794A">
        <w:rPr>
          <w:lang w:val="en-US" w:eastAsia="ru-RU"/>
        </w:rPr>
        <w:instrText>particle</w:instrText>
      </w:r>
      <w:r w:rsidR="00A6794A" w:rsidRPr="00D3550C">
        <w:rPr>
          <w:lang w:eastAsia="ru-RU"/>
        </w:rPr>
        <w:instrText>":"","</w:instrText>
      </w:r>
      <w:r w:rsidR="00A6794A">
        <w:rPr>
          <w:lang w:val="en-US" w:eastAsia="ru-RU"/>
        </w:rPr>
        <w:instrText>parse</w:instrText>
      </w:r>
      <w:r w:rsidR="00A6794A" w:rsidRPr="00D3550C">
        <w:rPr>
          <w:lang w:eastAsia="ru-RU"/>
        </w:rPr>
        <w:instrText>-</w:instrText>
      </w:r>
      <w:r w:rsidR="00A6794A">
        <w:rPr>
          <w:lang w:val="en-US" w:eastAsia="ru-RU"/>
        </w:rPr>
        <w:instrText>names</w:instrText>
      </w:r>
      <w:r w:rsidR="00A6794A" w:rsidRPr="00D3550C">
        <w:rPr>
          <w:lang w:eastAsia="ru-RU"/>
        </w:rPr>
        <w:instrText>":</w:instrText>
      </w:r>
      <w:r w:rsidR="00A6794A">
        <w:rPr>
          <w:lang w:val="en-US" w:eastAsia="ru-RU"/>
        </w:rPr>
        <w:instrText>false</w:instrText>
      </w:r>
      <w:r w:rsidR="00A6794A" w:rsidRPr="00D3550C">
        <w:rPr>
          <w:lang w:eastAsia="ru-RU"/>
        </w:rPr>
        <w:instrText>,"</w:instrText>
      </w:r>
      <w:r w:rsidR="00A6794A">
        <w:rPr>
          <w:lang w:val="en-US" w:eastAsia="ru-RU"/>
        </w:rPr>
        <w:instrText>suffix</w:instrText>
      </w:r>
      <w:r w:rsidR="00A6794A" w:rsidRPr="00D3550C">
        <w:rPr>
          <w:lang w:eastAsia="ru-RU"/>
        </w:rPr>
        <w:instrText>":""},{"</w:instrText>
      </w:r>
      <w:r w:rsidR="00A6794A">
        <w:rPr>
          <w:lang w:val="en-US" w:eastAsia="ru-RU"/>
        </w:rPr>
        <w:instrText>dropping</w:instrText>
      </w:r>
      <w:r w:rsidR="00A6794A" w:rsidRPr="00D3550C">
        <w:rPr>
          <w:lang w:eastAsia="ru-RU"/>
        </w:rPr>
        <w:instrText>-</w:instrText>
      </w:r>
      <w:r w:rsidR="00A6794A">
        <w:rPr>
          <w:lang w:val="en-US" w:eastAsia="ru-RU"/>
        </w:rPr>
        <w:instrText>particle</w:instrText>
      </w:r>
      <w:r w:rsidR="00A6794A" w:rsidRPr="00D3550C">
        <w:rPr>
          <w:lang w:eastAsia="ru-RU"/>
        </w:rPr>
        <w:instrText>":"","</w:instrText>
      </w:r>
      <w:r w:rsidR="00A6794A">
        <w:rPr>
          <w:lang w:val="en-US" w:eastAsia="ru-RU"/>
        </w:rPr>
        <w:instrText>family</w:instrText>
      </w:r>
      <w:r w:rsidR="00A6794A" w:rsidRPr="00D3550C">
        <w:rPr>
          <w:lang w:eastAsia="ru-RU"/>
        </w:rPr>
        <w:instrText>":"</w:instrText>
      </w:r>
      <w:r w:rsidR="00A6794A">
        <w:rPr>
          <w:lang w:val="en-US" w:eastAsia="ru-RU"/>
        </w:rPr>
        <w:instrText>Crosbie</w:instrText>
      </w:r>
      <w:r w:rsidR="00A6794A" w:rsidRPr="00D3550C">
        <w:rPr>
          <w:lang w:eastAsia="ru-RU"/>
        </w:rPr>
        <w:instrText>","</w:instrText>
      </w:r>
      <w:r w:rsidR="00A6794A">
        <w:rPr>
          <w:lang w:val="en-US" w:eastAsia="ru-RU"/>
        </w:rPr>
        <w:instrText>given</w:instrText>
      </w:r>
      <w:r w:rsidR="00A6794A" w:rsidRPr="00D3550C">
        <w:rPr>
          <w:lang w:eastAsia="ru-RU"/>
        </w:rPr>
        <w:instrText>":"</w:instrText>
      </w:r>
      <w:r w:rsidR="00A6794A">
        <w:rPr>
          <w:lang w:val="en-US" w:eastAsia="ru-RU"/>
        </w:rPr>
        <w:instrText>T</w:instrText>
      </w:r>
      <w:r w:rsidR="00A6794A" w:rsidRPr="00D3550C">
        <w:rPr>
          <w:lang w:eastAsia="ru-RU"/>
        </w:rPr>
        <w:instrText>.","</w:instrText>
      </w:r>
      <w:r w:rsidR="00A6794A">
        <w:rPr>
          <w:lang w:val="en-US" w:eastAsia="ru-RU"/>
        </w:rPr>
        <w:instrText>non</w:instrText>
      </w:r>
      <w:r w:rsidR="00A6794A" w:rsidRPr="00D3550C">
        <w:rPr>
          <w:lang w:eastAsia="ru-RU"/>
        </w:rPr>
        <w:instrText>-</w:instrText>
      </w:r>
      <w:r w:rsidR="00A6794A">
        <w:rPr>
          <w:lang w:val="en-US" w:eastAsia="ru-RU"/>
        </w:rPr>
        <w:instrText>dropping</w:instrText>
      </w:r>
      <w:r w:rsidR="00A6794A" w:rsidRPr="00D3550C">
        <w:rPr>
          <w:lang w:eastAsia="ru-RU"/>
        </w:rPr>
        <w:instrText>-</w:instrText>
      </w:r>
      <w:r w:rsidR="00A6794A">
        <w:rPr>
          <w:lang w:val="en-US" w:eastAsia="ru-RU"/>
        </w:rPr>
        <w:instrText>particle</w:instrText>
      </w:r>
      <w:r w:rsidR="00A6794A" w:rsidRPr="00D3550C">
        <w:rPr>
          <w:lang w:eastAsia="ru-RU"/>
        </w:rPr>
        <w:instrText>":"","</w:instrText>
      </w:r>
      <w:r w:rsidR="00A6794A">
        <w:rPr>
          <w:lang w:val="en-US" w:eastAsia="ru-RU"/>
        </w:rPr>
        <w:instrText>parse</w:instrText>
      </w:r>
      <w:r w:rsidR="00A6794A" w:rsidRPr="00D3550C">
        <w:rPr>
          <w:lang w:eastAsia="ru-RU"/>
        </w:rPr>
        <w:instrText>-</w:instrText>
      </w:r>
      <w:r w:rsidR="00A6794A">
        <w:rPr>
          <w:lang w:val="en-US" w:eastAsia="ru-RU"/>
        </w:rPr>
        <w:instrText>names</w:instrText>
      </w:r>
      <w:r w:rsidR="00A6794A" w:rsidRPr="00D3550C">
        <w:rPr>
          <w:lang w:eastAsia="ru-RU"/>
        </w:rPr>
        <w:instrText>":</w:instrText>
      </w:r>
      <w:r w:rsidR="00A6794A">
        <w:rPr>
          <w:lang w:val="en-US" w:eastAsia="ru-RU"/>
        </w:rPr>
        <w:instrText>false</w:instrText>
      </w:r>
      <w:r w:rsidR="00A6794A" w:rsidRPr="00D3550C">
        <w:rPr>
          <w:lang w:eastAsia="ru-RU"/>
        </w:rPr>
        <w:instrText>,"</w:instrText>
      </w:r>
      <w:r w:rsidR="00A6794A">
        <w:rPr>
          <w:lang w:val="en-US" w:eastAsia="ru-RU"/>
        </w:rPr>
        <w:instrText>suffix</w:instrText>
      </w:r>
      <w:r w:rsidR="00A6794A" w:rsidRPr="00D3550C">
        <w:rPr>
          <w:lang w:eastAsia="ru-RU"/>
        </w:rPr>
        <w:instrText>":""},{"</w:instrText>
      </w:r>
      <w:r w:rsidR="00A6794A">
        <w:rPr>
          <w:lang w:val="en-US" w:eastAsia="ru-RU"/>
        </w:rPr>
        <w:instrText>dropping</w:instrText>
      </w:r>
      <w:r w:rsidR="00A6794A" w:rsidRPr="00D3550C">
        <w:rPr>
          <w:lang w:eastAsia="ru-RU"/>
        </w:rPr>
        <w:instrText>-</w:instrText>
      </w:r>
      <w:r w:rsidR="00A6794A">
        <w:rPr>
          <w:lang w:val="en-US" w:eastAsia="ru-RU"/>
        </w:rPr>
        <w:instrText>particle</w:instrText>
      </w:r>
      <w:r w:rsidR="00A6794A" w:rsidRPr="00D3550C">
        <w:rPr>
          <w:lang w:eastAsia="ru-RU"/>
        </w:rPr>
        <w:instrText>":"","</w:instrText>
      </w:r>
      <w:r w:rsidR="00A6794A">
        <w:rPr>
          <w:lang w:val="en-US" w:eastAsia="ru-RU"/>
        </w:rPr>
        <w:instrText>family</w:instrText>
      </w:r>
      <w:r w:rsidR="00A6794A" w:rsidRPr="00D3550C">
        <w:rPr>
          <w:lang w:eastAsia="ru-RU"/>
        </w:rPr>
        <w:instrText>":"</w:instrText>
      </w:r>
      <w:r w:rsidR="00A6794A">
        <w:rPr>
          <w:lang w:val="en-US" w:eastAsia="ru-RU"/>
        </w:rPr>
        <w:instrText>Christofides</w:instrText>
      </w:r>
      <w:r w:rsidR="00A6794A" w:rsidRPr="00D3550C">
        <w:rPr>
          <w:lang w:eastAsia="ru-RU"/>
        </w:rPr>
        <w:instrText>","</w:instrText>
      </w:r>
      <w:r w:rsidR="00A6794A">
        <w:rPr>
          <w:lang w:val="en-US" w:eastAsia="ru-RU"/>
        </w:rPr>
        <w:instrText>given</w:instrText>
      </w:r>
      <w:r w:rsidR="00A6794A" w:rsidRPr="00D3550C">
        <w:rPr>
          <w:lang w:eastAsia="ru-RU"/>
        </w:rPr>
        <w:instrText>":"</w:instrText>
      </w:r>
      <w:r w:rsidR="00A6794A">
        <w:rPr>
          <w:lang w:val="en-US" w:eastAsia="ru-RU"/>
        </w:rPr>
        <w:instrText>A</w:instrText>
      </w:r>
      <w:r w:rsidR="00A6794A" w:rsidRPr="00D3550C">
        <w:rPr>
          <w:lang w:eastAsia="ru-RU"/>
        </w:rPr>
        <w:instrText>.","</w:instrText>
      </w:r>
      <w:r w:rsidR="00A6794A">
        <w:rPr>
          <w:lang w:val="en-US" w:eastAsia="ru-RU"/>
        </w:rPr>
        <w:instrText>non</w:instrText>
      </w:r>
      <w:r w:rsidR="00A6794A" w:rsidRPr="00D3550C">
        <w:rPr>
          <w:lang w:eastAsia="ru-RU"/>
        </w:rPr>
        <w:instrText>-</w:instrText>
      </w:r>
      <w:r w:rsidR="00A6794A">
        <w:rPr>
          <w:lang w:val="en-US" w:eastAsia="ru-RU"/>
        </w:rPr>
        <w:instrText>dropping</w:instrText>
      </w:r>
      <w:r w:rsidR="00A6794A" w:rsidRPr="00D3550C">
        <w:rPr>
          <w:lang w:eastAsia="ru-RU"/>
        </w:rPr>
        <w:instrText>-</w:instrText>
      </w:r>
      <w:r w:rsidR="00A6794A">
        <w:rPr>
          <w:lang w:val="en-US" w:eastAsia="ru-RU"/>
        </w:rPr>
        <w:instrText>particle</w:instrText>
      </w:r>
      <w:r w:rsidR="00A6794A" w:rsidRPr="00D3550C">
        <w:rPr>
          <w:lang w:eastAsia="ru-RU"/>
        </w:rPr>
        <w:instrText>":"","</w:instrText>
      </w:r>
      <w:r w:rsidR="00A6794A">
        <w:rPr>
          <w:lang w:val="en-US" w:eastAsia="ru-RU"/>
        </w:rPr>
        <w:instrText>parse</w:instrText>
      </w:r>
      <w:r w:rsidR="00A6794A" w:rsidRPr="00D3550C">
        <w:rPr>
          <w:lang w:eastAsia="ru-RU"/>
        </w:rPr>
        <w:instrText>-</w:instrText>
      </w:r>
      <w:r w:rsidR="00A6794A">
        <w:rPr>
          <w:lang w:val="en-US" w:eastAsia="ru-RU"/>
        </w:rPr>
        <w:instrText>names</w:instrText>
      </w:r>
      <w:r w:rsidR="00A6794A" w:rsidRPr="00D3550C">
        <w:rPr>
          <w:lang w:eastAsia="ru-RU"/>
        </w:rPr>
        <w:instrText>":</w:instrText>
      </w:r>
      <w:r w:rsidR="00A6794A">
        <w:rPr>
          <w:lang w:val="en-US" w:eastAsia="ru-RU"/>
        </w:rPr>
        <w:instrText>false</w:instrText>
      </w:r>
      <w:r w:rsidR="00A6794A" w:rsidRPr="00D3550C">
        <w:rPr>
          <w:lang w:eastAsia="ru-RU"/>
        </w:rPr>
        <w:instrText>,"</w:instrText>
      </w:r>
      <w:r w:rsidR="00A6794A">
        <w:rPr>
          <w:lang w:val="en-US" w:eastAsia="ru-RU"/>
        </w:rPr>
        <w:instrText>suffix</w:instrText>
      </w:r>
      <w:r w:rsidR="00A6794A" w:rsidRPr="00D3550C">
        <w:rPr>
          <w:lang w:eastAsia="ru-RU"/>
        </w:rPr>
        <w:instrText>":""},{"</w:instrText>
      </w:r>
      <w:r w:rsidR="00A6794A">
        <w:rPr>
          <w:lang w:val="en-US" w:eastAsia="ru-RU"/>
        </w:rPr>
        <w:instrText>dropping</w:instrText>
      </w:r>
      <w:r w:rsidR="00A6794A" w:rsidRPr="00D3550C">
        <w:rPr>
          <w:lang w:eastAsia="ru-RU"/>
        </w:rPr>
        <w:instrText>-</w:instrText>
      </w:r>
      <w:r w:rsidR="00A6794A">
        <w:rPr>
          <w:lang w:val="en-US" w:eastAsia="ru-RU"/>
        </w:rPr>
        <w:instrText>particle</w:instrText>
      </w:r>
      <w:r w:rsidR="00A6794A" w:rsidRPr="00D3550C">
        <w:rPr>
          <w:lang w:eastAsia="ru-RU"/>
        </w:rPr>
        <w:instrText>":"","</w:instrText>
      </w:r>
      <w:r w:rsidR="00A6794A">
        <w:rPr>
          <w:lang w:val="en-US" w:eastAsia="ru-RU"/>
        </w:rPr>
        <w:instrText>family</w:instrText>
      </w:r>
      <w:r w:rsidR="00A6794A" w:rsidRPr="00D3550C">
        <w:rPr>
          <w:lang w:eastAsia="ru-RU"/>
        </w:rPr>
        <w:instrText>":"</w:instrText>
      </w:r>
      <w:r w:rsidR="00A6794A">
        <w:rPr>
          <w:lang w:val="en-US" w:eastAsia="ru-RU"/>
        </w:rPr>
        <w:instrText>Assaily</w:instrText>
      </w:r>
      <w:r w:rsidR="00A6794A" w:rsidRPr="00D3550C">
        <w:rPr>
          <w:lang w:eastAsia="ru-RU"/>
        </w:rPr>
        <w:instrText>","</w:instrText>
      </w:r>
      <w:r w:rsidR="00A6794A">
        <w:rPr>
          <w:lang w:val="en-US" w:eastAsia="ru-RU"/>
        </w:rPr>
        <w:instrText>given</w:instrText>
      </w:r>
      <w:r w:rsidR="00A6794A" w:rsidRPr="00D3550C">
        <w:rPr>
          <w:lang w:eastAsia="ru-RU"/>
        </w:rPr>
        <w:instrText>":"</w:instrText>
      </w:r>
      <w:r w:rsidR="00A6794A">
        <w:rPr>
          <w:lang w:val="en-US" w:eastAsia="ru-RU"/>
        </w:rPr>
        <w:instrText>W</w:instrText>
      </w:r>
      <w:r w:rsidR="00A6794A" w:rsidRPr="00D3550C">
        <w:rPr>
          <w:lang w:eastAsia="ru-RU"/>
        </w:rPr>
        <w:instrText>.","</w:instrText>
      </w:r>
      <w:r w:rsidR="00A6794A">
        <w:rPr>
          <w:lang w:val="en-US" w:eastAsia="ru-RU"/>
        </w:rPr>
        <w:instrText>non</w:instrText>
      </w:r>
      <w:r w:rsidR="00A6794A" w:rsidRPr="00D3550C">
        <w:rPr>
          <w:lang w:eastAsia="ru-RU"/>
        </w:rPr>
        <w:instrText>-</w:instrText>
      </w:r>
      <w:r w:rsidR="00A6794A">
        <w:rPr>
          <w:lang w:val="en-US" w:eastAsia="ru-RU"/>
        </w:rPr>
        <w:instrText>dropping</w:instrText>
      </w:r>
      <w:r w:rsidR="00A6794A" w:rsidRPr="00D3550C">
        <w:rPr>
          <w:lang w:eastAsia="ru-RU"/>
        </w:rPr>
        <w:instrText>-</w:instrText>
      </w:r>
      <w:r w:rsidR="00A6794A">
        <w:rPr>
          <w:lang w:val="en-US" w:eastAsia="ru-RU"/>
        </w:rPr>
        <w:instrText>particle</w:instrText>
      </w:r>
      <w:r w:rsidR="00A6794A" w:rsidRPr="00D3550C">
        <w:rPr>
          <w:lang w:eastAsia="ru-RU"/>
        </w:rPr>
        <w:instrText>":"","</w:instrText>
      </w:r>
      <w:r w:rsidR="00A6794A">
        <w:rPr>
          <w:lang w:val="en-US" w:eastAsia="ru-RU"/>
        </w:rPr>
        <w:instrText>parse</w:instrText>
      </w:r>
      <w:r w:rsidR="00A6794A" w:rsidRPr="00D3550C">
        <w:rPr>
          <w:lang w:eastAsia="ru-RU"/>
        </w:rPr>
        <w:instrText>-</w:instrText>
      </w:r>
      <w:r w:rsidR="00A6794A">
        <w:rPr>
          <w:lang w:val="en-US" w:eastAsia="ru-RU"/>
        </w:rPr>
        <w:instrText>names</w:instrText>
      </w:r>
      <w:r w:rsidR="00A6794A" w:rsidRPr="00D3550C">
        <w:rPr>
          <w:lang w:eastAsia="ru-RU"/>
        </w:rPr>
        <w:instrText>":</w:instrText>
      </w:r>
      <w:r w:rsidR="00A6794A">
        <w:rPr>
          <w:lang w:val="en-US" w:eastAsia="ru-RU"/>
        </w:rPr>
        <w:instrText>false</w:instrText>
      </w:r>
      <w:r w:rsidR="00A6794A" w:rsidRPr="00D3550C">
        <w:rPr>
          <w:lang w:eastAsia="ru-RU"/>
        </w:rPr>
        <w:instrText>,"</w:instrText>
      </w:r>
      <w:r w:rsidR="00A6794A">
        <w:rPr>
          <w:lang w:val="en-US" w:eastAsia="ru-RU"/>
        </w:rPr>
        <w:instrText>suffix</w:instrText>
      </w:r>
      <w:r w:rsidR="00A6794A" w:rsidRPr="00D3550C">
        <w:rPr>
          <w:lang w:eastAsia="ru-RU"/>
        </w:rPr>
        <w:instrText>":""},{"</w:instrText>
      </w:r>
      <w:r w:rsidR="00A6794A">
        <w:rPr>
          <w:lang w:val="en-US" w:eastAsia="ru-RU"/>
        </w:rPr>
        <w:instrText>dropping</w:instrText>
      </w:r>
      <w:r w:rsidR="00A6794A" w:rsidRPr="00D3550C">
        <w:rPr>
          <w:lang w:eastAsia="ru-RU"/>
        </w:rPr>
        <w:instrText>-</w:instrText>
      </w:r>
      <w:r w:rsidR="00A6794A">
        <w:rPr>
          <w:lang w:val="en-US" w:eastAsia="ru-RU"/>
        </w:rPr>
        <w:instrText>particle</w:instrText>
      </w:r>
      <w:r w:rsidR="00A6794A" w:rsidRPr="00D3550C">
        <w:rPr>
          <w:lang w:eastAsia="ru-RU"/>
        </w:rPr>
        <w:instrText>":"","</w:instrText>
      </w:r>
      <w:r w:rsidR="00A6794A">
        <w:rPr>
          <w:lang w:val="en-US" w:eastAsia="ru-RU"/>
        </w:rPr>
        <w:instrText>family</w:instrText>
      </w:r>
      <w:r w:rsidR="00A6794A" w:rsidRPr="00D3550C">
        <w:rPr>
          <w:lang w:eastAsia="ru-RU"/>
        </w:rPr>
        <w:instrText>":"</w:instrText>
      </w:r>
      <w:r w:rsidR="00A6794A">
        <w:rPr>
          <w:lang w:val="en-US" w:eastAsia="ru-RU"/>
        </w:rPr>
        <w:instrText>Wiernikowski</w:instrText>
      </w:r>
      <w:r w:rsidR="00A6794A" w:rsidRPr="00D3550C">
        <w:rPr>
          <w:lang w:eastAsia="ru-RU"/>
        </w:rPr>
        <w:instrText>","</w:instrText>
      </w:r>
      <w:r w:rsidR="00A6794A">
        <w:rPr>
          <w:lang w:val="en-US" w:eastAsia="ru-RU"/>
        </w:rPr>
        <w:instrText>given</w:instrText>
      </w:r>
      <w:r w:rsidR="00A6794A" w:rsidRPr="00D3550C">
        <w:rPr>
          <w:lang w:eastAsia="ru-RU"/>
        </w:rPr>
        <w:instrText>":"</w:instrText>
      </w:r>
      <w:r w:rsidR="00A6794A">
        <w:rPr>
          <w:lang w:val="en-US" w:eastAsia="ru-RU"/>
        </w:rPr>
        <w:instrText>J</w:instrText>
      </w:r>
      <w:r w:rsidR="00A6794A" w:rsidRPr="00D3550C">
        <w:rPr>
          <w:lang w:eastAsia="ru-RU"/>
        </w:rPr>
        <w:instrText>.","</w:instrText>
      </w:r>
      <w:r w:rsidR="00A6794A">
        <w:rPr>
          <w:lang w:val="en-US" w:eastAsia="ru-RU"/>
        </w:rPr>
        <w:instrText>non</w:instrText>
      </w:r>
      <w:r w:rsidR="00A6794A" w:rsidRPr="00D3550C">
        <w:rPr>
          <w:lang w:eastAsia="ru-RU"/>
        </w:rPr>
        <w:instrText>-</w:instrText>
      </w:r>
      <w:r w:rsidR="00A6794A">
        <w:rPr>
          <w:lang w:val="en-US" w:eastAsia="ru-RU"/>
        </w:rPr>
        <w:instrText>dropping</w:instrText>
      </w:r>
      <w:r w:rsidR="00A6794A" w:rsidRPr="00D3550C">
        <w:rPr>
          <w:lang w:eastAsia="ru-RU"/>
        </w:rPr>
        <w:instrText>-</w:instrText>
      </w:r>
      <w:r w:rsidR="00A6794A">
        <w:rPr>
          <w:lang w:val="en-US" w:eastAsia="ru-RU"/>
        </w:rPr>
        <w:instrText>particle</w:instrText>
      </w:r>
      <w:r w:rsidR="00A6794A" w:rsidRPr="00D3550C">
        <w:rPr>
          <w:lang w:eastAsia="ru-RU"/>
        </w:rPr>
        <w:instrText>":"","</w:instrText>
      </w:r>
      <w:r w:rsidR="00A6794A">
        <w:rPr>
          <w:lang w:val="en-US" w:eastAsia="ru-RU"/>
        </w:rPr>
        <w:instrText>parse</w:instrText>
      </w:r>
      <w:r w:rsidR="00A6794A" w:rsidRPr="00D3550C">
        <w:rPr>
          <w:lang w:eastAsia="ru-RU"/>
        </w:rPr>
        <w:instrText>-</w:instrText>
      </w:r>
      <w:r w:rsidR="00A6794A">
        <w:rPr>
          <w:lang w:val="en-US" w:eastAsia="ru-RU"/>
        </w:rPr>
        <w:instrText>names</w:instrText>
      </w:r>
      <w:r w:rsidR="00A6794A" w:rsidRPr="00D3550C">
        <w:rPr>
          <w:lang w:eastAsia="ru-RU"/>
        </w:rPr>
        <w:instrText>":</w:instrText>
      </w:r>
      <w:r w:rsidR="00A6794A">
        <w:rPr>
          <w:lang w:val="en-US" w:eastAsia="ru-RU"/>
        </w:rPr>
        <w:instrText>false</w:instrText>
      </w:r>
      <w:r w:rsidR="00A6794A" w:rsidRPr="00D3550C">
        <w:rPr>
          <w:lang w:eastAsia="ru-RU"/>
        </w:rPr>
        <w:instrText>,"</w:instrText>
      </w:r>
      <w:r w:rsidR="00A6794A">
        <w:rPr>
          <w:lang w:val="en-US" w:eastAsia="ru-RU"/>
        </w:rPr>
        <w:instrText>suffix</w:instrText>
      </w:r>
      <w:r w:rsidR="00A6794A" w:rsidRPr="00D3550C">
        <w:rPr>
          <w:lang w:eastAsia="ru-RU"/>
        </w:rPr>
        <w:instrText>":""}],"</w:instrText>
      </w:r>
      <w:r w:rsidR="00A6794A">
        <w:rPr>
          <w:lang w:val="en-US" w:eastAsia="ru-RU"/>
        </w:rPr>
        <w:instrText>container</w:instrText>
      </w:r>
      <w:r w:rsidR="00A6794A" w:rsidRPr="00D3550C">
        <w:rPr>
          <w:lang w:eastAsia="ru-RU"/>
        </w:rPr>
        <w:instrText>-</w:instrText>
      </w:r>
      <w:r w:rsidR="00A6794A">
        <w:rPr>
          <w:lang w:val="en-US" w:eastAsia="ru-RU"/>
        </w:rPr>
        <w:instrText>title</w:instrText>
      </w:r>
      <w:r w:rsidR="00A6794A" w:rsidRPr="00D3550C">
        <w:rPr>
          <w:lang w:eastAsia="ru-RU"/>
        </w:rPr>
        <w:instrText>":"</w:instrText>
      </w:r>
      <w:r w:rsidR="00A6794A">
        <w:rPr>
          <w:lang w:val="en-US" w:eastAsia="ru-RU"/>
        </w:rPr>
        <w:instrText>Current</w:instrText>
      </w:r>
      <w:r w:rsidR="00A6794A" w:rsidRPr="00D3550C">
        <w:rPr>
          <w:lang w:eastAsia="ru-RU"/>
        </w:rPr>
        <w:instrText xml:space="preserve"> </w:instrText>
      </w:r>
      <w:r w:rsidR="00A6794A">
        <w:rPr>
          <w:lang w:val="en-US" w:eastAsia="ru-RU"/>
        </w:rPr>
        <w:instrText>Oncology</w:instrText>
      </w:r>
      <w:r w:rsidR="00A6794A" w:rsidRPr="00D3550C">
        <w:rPr>
          <w:lang w:eastAsia="ru-RU"/>
        </w:rPr>
        <w:instrText>","</w:instrText>
      </w:r>
      <w:r w:rsidR="00A6794A">
        <w:rPr>
          <w:lang w:val="en-US" w:eastAsia="ru-RU"/>
        </w:rPr>
        <w:instrText>id</w:instrText>
      </w:r>
      <w:r w:rsidR="00A6794A" w:rsidRPr="00D3550C">
        <w:rPr>
          <w:lang w:eastAsia="ru-RU"/>
        </w:rPr>
        <w:instrText>":"</w:instrText>
      </w:r>
      <w:r w:rsidR="00A6794A">
        <w:rPr>
          <w:lang w:val="en-US" w:eastAsia="ru-RU"/>
        </w:rPr>
        <w:instrText>ITEM</w:instrText>
      </w:r>
      <w:r w:rsidR="00A6794A" w:rsidRPr="00D3550C">
        <w:rPr>
          <w:lang w:eastAsia="ru-RU"/>
        </w:rPr>
        <w:instrText>-4","</w:instrText>
      </w:r>
      <w:r w:rsidR="00A6794A">
        <w:rPr>
          <w:lang w:val="en-US" w:eastAsia="ru-RU"/>
        </w:rPr>
        <w:instrText>issue</w:instrText>
      </w:r>
      <w:r w:rsidR="00A6794A" w:rsidRPr="00D3550C">
        <w:rPr>
          <w:lang w:eastAsia="ru-RU"/>
        </w:rPr>
        <w:instrText>":"1","</w:instrText>
      </w:r>
      <w:r w:rsidR="00A6794A">
        <w:rPr>
          <w:lang w:val="en-US" w:eastAsia="ru-RU"/>
        </w:rPr>
        <w:instrText>issued</w:instrText>
      </w:r>
      <w:r w:rsidR="00A6794A" w:rsidRPr="00D3550C">
        <w:rPr>
          <w:lang w:eastAsia="ru-RU"/>
        </w:rPr>
        <w:instrText>":{"</w:instrText>
      </w:r>
      <w:r w:rsidR="00A6794A">
        <w:rPr>
          <w:lang w:val="en-US" w:eastAsia="ru-RU"/>
        </w:rPr>
        <w:instrText>date</w:instrText>
      </w:r>
      <w:r w:rsidR="00A6794A" w:rsidRPr="00D3550C">
        <w:rPr>
          <w:lang w:eastAsia="ru-RU"/>
        </w:rPr>
        <w:instrText>-</w:instrText>
      </w:r>
      <w:r w:rsidR="00A6794A">
        <w:rPr>
          <w:lang w:val="en-US" w:eastAsia="ru-RU"/>
        </w:rPr>
        <w:instrText>parts</w:instrText>
      </w:r>
      <w:r w:rsidR="00A6794A" w:rsidRPr="00D3550C">
        <w:rPr>
          <w:lang w:eastAsia="ru-RU"/>
        </w:rPr>
        <w:instrText>":[["2017"]]},"</w:instrText>
      </w:r>
      <w:r w:rsidR="00A6794A">
        <w:rPr>
          <w:lang w:val="en-US" w:eastAsia="ru-RU"/>
        </w:rPr>
        <w:instrText>page</w:instrText>
      </w:r>
      <w:r w:rsidR="00A6794A" w:rsidRPr="00D3550C">
        <w:rPr>
          <w:lang w:eastAsia="ru-RU"/>
        </w:rPr>
        <w:instrText>":"33-39","</w:instrText>
      </w:r>
      <w:r w:rsidR="00A6794A">
        <w:rPr>
          <w:lang w:val="en-US" w:eastAsia="ru-RU"/>
        </w:rPr>
        <w:instrText>publisher</w:instrText>
      </w:r>
      <w:r w:rsidR="00A6794A" w:rsidRPr="00D3550C">
        <w:rPr>
          <w:lang w:eastAsia="ru-RU"/>
        </w:rPr>
        <w:instrText>":"</w:instrText>
      </w:r>
      <w:r w:rsidR="00A6794A">
        <w:rPr>
          <w:lang w:val="en-US" w:eastAsia="ru-RU"/>
        </w:rPr>
        <w:instrText>Multimed</w:instrText>
      </w:r>
      <w:r w:rsidR="00A6794A" w:rsidRPr="00D3550C">
        <w:rPr>
          <w:lang w:eastAsia="ru-RU"/>
        </w:rPr>
        <w:instrText xml:space="preserve"> </w:instrText>
      </w:r>
      <w:r w:rsidR="00A6794A">
        <w:rPr>
          <w:lang w:val="en-US" w:eastAsia="ru-RU"/>
        </w:rPr>
        <w:instrText>Inc</w:instrText>
      </w:r>
      <w:r w:rsidR="00A6794A" w:rsidRPr="00D3550C">
        <w:rPr>
          <w:lang w:eastAsia="ru-RU"/>
        </w:rPr>
        <w:instrText>.","</w:instrText>
      </w:r>
      <w:r w:rsidR="00A6794A">
        <w:rPr>
          <w:lang w:val="en-US" w:eastAsia="ru-RU"/>
        </w:rPr>
        <w:instrText>title</w:instrText>
      </w:r>
      <w:r w:rsidR="00A6794A" w:rsidRPr="00D3550C">
        <w:rPr>
          <w:lang w:eastAsia="ru-RU"/>
        </w:rPr>
        <w:instrText>":"</w:instrText>
      </w:r>
      <w:r w:rsidR="00A6794A">
        <w:rPr>
          <w:lang w:val="en-US" w:eastAsia="ru-RU"/>
        </w:rPr>
        <w:instrText>A</w:instrText>
      </w:r>
      <w:r w:rsidR="00A6794A" w:rsidRPr="00D3550C">
        <w:rPr>
          <w:lang w:eastAsia="ru-RU"/>
        </w:rPr>
        <w:instrText xml:space="preserve"> </w:instrText>
      </w:r>
      <w:r w:rsidR="00A6794A">
        <w:rPr>
          <w:lang w:val="en-US" w:eastAsia="ru-RU"/>
        </w:rPr>
        <w:instrText>canadian</w:instrText>
      </w:r>
      <w:r w:rsidR="00A6794A" w:rsidRPr="00D3550C">
        <w:rPr>
          <w:lang w:eastAsia="ru-RU"/>
        </w:rPr>
        <w:instrText xml:space="preserve"> </w:instrText>
      </w:r>
      <w:r w:rsidR="00A6794A">
        <w:rPr>
          <w:lang w:val="en-US" w:eastAsia="ru-RU"/>
        </w:rPr>
        <w:instrText>perspective</w:instrText>
      </w:r>
      <w:r w:rsidR="00A6794A" w:rsidRPr="00D3550C">
        <w:rPr>
          <w:lang w:eastAsia="ru-RU"/>
        </w:rPr>
        <w:instrText xml:space="preserve"> </w:instrText>
      </w:r>
      <w:r w:rsidR="00A6794A">
        <w:rPr>
          <w:lang w:val="en-US" w:eastAsia="ru-RU"/>
        </w:rPr>
        <w:instrText>on</w:instrText>
      </w:r>
      <w:r w:rsidR="00A6794A" w:rsidRPr="00D3550C">
        <w:rPr>
          <w:lang w:eastAsia="ru-RU"/>
        </w:rPr>
        <w:instrText xml:space="preserve"> </w:instrText>
      </w:r>
      <w:r w:rsidR="00A6794A">
        <w:rPr>
          <w:lang w:val="en-US" w:eastAsia="ru-RU"/>
        </w:rPr>
        <w:instrText>the</w:instrText>
      </w:r>
      <w:r w:rsidR="00A6794A" w:rsidRPr="00D3550C">
        <w:rPr>
          <w:lang w:eastAsia="ru-RU"/>
        </w:rPr>
        <w:instrText xml:space="preserve"> </w:instrText>
      </w:r>
      <w:r w:rsidR="00A6794A">
        <w:rPr>
          <w:lang w:val="en-US" w:eastAsia="ru-RU"/>
        </w:rPr>
        <w:instrText>subcutaneous</w:instrText>
      </w:r>
      <w:r w:rsidR="00A6794A" w:rsidRPr="00D3550C">
        <w:rPr>
          <w:lang w:eastAsia="ru-RU"/>
        </w:rPr>
        <w:instrText xml:space="preserve"> </w:instrText>
      </w:r>
      <w:r w:rsidR="00A6794A">
        <w:rPr>
          <w:lang w:val="en-US" w:eastAsia="ru-RU"/>
        </w:rPr>
        <w:instrText>administration</w:instrText>
      </w:r>
      <w:r w:rsidR="00A6794A" w:rsidRPr="00D3550C">
        <w:rPr>
          <w:lang w:eastAsia="ru-RU"/>
        </w:rPr>
        <w:instrText xml:space="preserve"> </w:instrText>
      </w:r>
      <w:r w:rsidR="00A6794A">
        <w:rPr>
          <w:lang w:val="en-US" w:eastAsia="ru-RU"/>
        </w:rPr>
        <w:instrText>of</w:instrText>
      </w:r>
      <w:r w:rsidR="00A6794A" w:rsidRPr="00D3550C">
        <w:rPr>
          <w:lang w:eastAsia="ru-RU"/>
        </w:rPr>
        <w:instrText xml:space="preserve"> </w:instrText>
      </w:r>
      <w:r w:rsidR="00A6794A">
        <w:rPr>
          <w:lang w:val="en-US" w:eastAsia="ru-RU"/>
        </w:rPr>
        <w:instrText>rituximab</w:instrText>
      </w:r>
      <w:r w:rsidR="00A6794A" w:rsidRPr="00D3550C">
        <w:rPr>
          <w:lang w:eastAsia="ru-RU"/>
        </w:rPr>
        <w:instrText xml:space="preserve"> </w:instrText>
      </w:r>
      <w:r w:rsidR="00A6794A">
        <w:rPr>
          <w:lang w:val="en-US" w:eastAsia="ru-RU"/>
        </w:rPr>
        <w:instrText>in</w:instrText>
      </w:r>
      <w:r w:rsidR="00A6794A" w:rsidRPr="00D3550C">
        <w:rPr>
          <w:lang w:eastAsia="ru-RU"/>
        </w:rPr>
        <w:instrText xml:space="preserve"> </w:instrText>
      </w:r>
      <w:r w:rsidR="00A6794A">
        <w:rPr>
          <w:lang w:val="en-US" w:eastAsia="ru-RU"/>
        </w:rPr>
        <w:instrText>non</w:instrText>
      </w:r>
      <w:r w:rsidR="00A6794A" w:rsidRPr="00D3550C">
        <w:rPr>
          <w:lang w:eastAsia="ru-RU"/>
        </w:rPr>
        <w:instrText>-</w:instrText>
      </w:r>
      <w:r w:rsidR="00A6794A">
        <w:rPr>
          <w:lang w:val="en-US" w:eastAsia="ru-RU"/>
        </w:rPr>
        <w:instrText>Hodgkin</w:instrText>
      </w:r>
      <w:r w:rsidR="00A6794A" w:rsidRPr="00D3550C">
        <w:rPr>
          <w:lang w:eastAsia="ru-RU"/>
        </w:rPr>
        <w:instrText xml:space="preserve"> </w:instrText>
      </w:r>
      <w:r w:rsidR="00A6794A">
        <w:rPr>
          <w:lang w:val="en-US" w:eastAsia="ru-RU"/>
        </w:rPr>
        <w:instrText>lymphoma</w:instrText>
      </w:r>
      <w:r w:rsidR="00A6794A" w:rsidRPr="00D3550C">
        <w:rPr>
          <w:lang w:eastAsia="ru-RU"/>
        </w:rPr>
        <w:instrText>","</w:instrText>
      </w:r>
      <w:r w:rsidR="00A6794A">
        <w:rPr>
          <w:lang w:val="en-US" w:eastAsia="ru-RU"/>
        </w:rPr>
        <w:instrText>type</w:instrText>
      </w:r>
      <w:r w:rsidR="00A6794A" w:rsidRPr="00D3550C">
        <w:rPr>
          <w:lang w:eastAsia="ru-RU"/>
        </w:rPr>
        <w:instrText>":"</w:instrText>
      </w:r>
      <w:r w:rsidR="00A6794A">
        <w:rPr>
          <w:lang w:val="en-US" w:eastAsia="ru-RU"/>
        </w:rPr>
        <w:instrText>article</w:instrText>
      </w:r>
      <w:r w:rsidR="00A6794A" w:rsidRPr="00D3550C">
        <w:rPr>
          <w:lang w:eastAsia="ru-RU"/>
        </w:rPr>
        <w:instrText>","</w:instrText>
      </w:r>
      <w:r w:rsidR="00A6794A">
        <w:rPr>
          <w:lang w:val="en-US" w:eastAsia="ru-RU"/>
        </w:rPr>
        <w:instrText>volume</w:instrText>
      </w:r>
      <w:r w:rsidR="00A6794A" w:rsidRPr="00D3550C">
        <w:rPr>
          <w:lang w:eastAsia="ru-RU"/>
        </w:rPr>
        <w:instrText>":"24"},"</w:instrText>
      </w:r>
      <w:r w:rsidR="00A6794A">
        <w:rPr>
          <w:lang w:val="en-US" w:eastAsia="ru-RU"/>
        </w:rPr>
        <w:instrText>uris</w:instrText>
      </w:r>
      <w:r w:rsidR="00A6794A" w:rsidRPr="00D3550C">
        <w:rPr>
          <w:lang w:eastAsia="ru-RU"/>
        </w:rPr>
        <w:instrText>":["</w:instrText>
      </w:r>
      <w:r w:rsidR="00A6794A">
        <w:rPr>
          <w:lang w:val="en-US" w:eastAsia="ru-RU"/>
        </w:rPr>
        <w:instrText>http</w:instrText>
      </w:r>
      <w:r w:rsidR="00A6794A" w:rsidRPr="00D3550C">
        <w:rPr>
          <w:lang w:eastAsia="ru-RU"/>
        </w:rPr>
        <w:instrText>://</w:instrText>
      </w:r>
      <w:r w:rsidR="00A6794A">
        <w:rPr>
          <w:lang w:val="en-US" w:eastAsia="ru-RU"/>
        </w:rPr>
        <w:instrText>www</w:instrText>
      </w:r>
      <w:r w:rsidR="00A6794A" w:rsidRPr="00D3550C">
        <w:rPr>
          <w:lang w:eastAsia="ru-RU"/>
        </w:rPr>
        <w:instrText>.</w:instrText>
      </w:r>
      <w:r w:rsidR="00A6794A">
        <w:rPr>
          <w:lang w:val="en-US" w:eastAsia="ru-RU"/>
        </w:rPr>
        <w:instrText>mendeley</w:instrText>
      </w:r>
      <w:r w:rsidR="00A6794A" w:rsidRPr="00D3550C">
        <w:rPr>
          <w:lang w:eastAsia="ru-RU"/>
        </w:rPr>
        <w:instrText>.</w:instrText>
      </w:r>
      <w:r w:rsidR="00A6794A">
        <w:rPr>
          <w:lang w:val="en-US" w:eastAsia="ru-RU"/>
        </w:rPr>
        <w:instrText>com</w:instrText>
      </w:r>
      <w:r w:rsidR="00A6794A" w:rsidRPr="00D3550C">
        <w:rPr>
          <w:lang w:eastAsia="ru-RU"/>
        </w:rPr>
        <w:instrText>/</w:instrText>
      </w:r>
      <w:r w:rsidR="00A6794A">
        <w:rPr>
          <w:lang w:val="en-US" w:eastAsia="ru-RU"/>
        </w:rPr>
        <w:instrText>documents</w:instrText>
      </w:r>
      <w:r w:rsidR="00A6794A" w:rsidRPr="00D3550C">
        <w:rPr>
          <w:lang w:eastAsia="ru-RU"/>
        </w:rPr>
        <w:instrText>/?</w:instrText>
      </w:r>
      <w:r w:rsidR="00A6794A">
        <w:rPr>
          <w:lang w:val="en-US" w:eastAsia="ru-RU"/>
        </w:rPr>
        <w:instrText>uuid</w:instrText>
      </w:r>
      <w:r w:rsidR="00A6794A" w:rsidRPr="00D3550C">
        <w:rPr>
          <w:lang w:eastAsia="ru-RU"/>
        </w:rPr>
        <w:instrText>=0</w:instrText>
      </w:r>
      <w:r w:rsidR="00A6794A">
        <w:rPr>
          <w:lang w:val="en-US" w:eastAsia="ru-RU"/>
        </w:rPr>
        <w:instrText>dec</w:instrText>
      </w:r>
      <w:r w:rsidR="00A6794A" w:rsidRPr="00D3550C">
        <w:rPr>
          <w:lang w:eastAsia="ru-RU"/>
        </w:rPr>
        <w:instrText>225</w:instrText>
      </w:r>
      <w:r w:rsidR="00A6794A">
        <w:rPr>
          <w:lang w:val="en-US" w:eastAsia="ru-RU"/>
        </w:rPr>
        <w:instrText>e</w:instrText>
      </w:r>
      <w:r w:rsidR="00A6794A" w:rsidRPr="00D3550C">
        <w:rPr>
          <w:lang w:eastAsia="ru-RU"/>
        </w:rPr>
        <w:instrText>-8</w:instrText>
      </w:r>
      <w:r w:rsidR="00A6794A">
        <w:rPr>
          <w:lang w:val="en-US" w:eastAsia="ru-RU"/>
        </w:rPr>
        <w:instrText>a</w:instrText>
      </w:r>
      <w:r w:rsidR="00A6794A" w:rsidRPr="00D3550C">
        <w:rPr>
          <w:lang w:eastAsia="ru-RU"/>
        </w:rPr>
        <w:instrText>47-3680-</w:instrText>
      </w:r>
      <w:r w:rsidR="00A6794A">
        <w:rPr>
          <w:lang w:val="en-US" w:eastAsia="ru-RU"/>
        </w:rPr>
        <w:instrText>ba</w:instrText>
      </w:r>
      <w:r w:rsidR="00A6794A" w:rsidRPr="00D3550C">
        <w:rPr>
          <w:lang w:eastAsia="ru-RU"/>
        </w:rPr>
        <w:instrText>4</w:instrText>
      </w:r>
      <w:r w:rsidR="00A6794A">
        <w:rPr>
          <w:lang w:val="en-US" w:eastAsia="ru-RU"/>
        </w:rPr>
        <w:instrText>d</w:instrText>
      </w:r>
      <w:r w:rsidR="00A6794A" w:rsidRPr="00D3550C">
        <w:rPr>
          <w:lang w:eastAsia="ru-RU"/>
        </w:rPr>
        <w:instrText>-891955</w:instrText>
      </w:r>
      <w:r w:rsidR="00A6794A">
        <w:rPr>
          <w:lang w:val="en-US" w:eastAsia="ru-RU"/>
        </w:rPr>
        <w:instrText>a</w:instrText>
      </w:r>
      <w:r w:rsidR="00A6794A" w:rsidRPr="00D3550C">
        <w:rPr>
          <w:lang w:eastAsia="ru-RU"/>
        </w:rPr>
        <w:instrText>938</w:instrText>
      </w:r>
      <w:r w:rsidR="00A6794A">
        <w:rPr>
          <w:lang w:val="en-US" w:eastAsia="ru-RU"/>
        </w:rPr>
        <w:instrText>a</w:instrText>
      </w:r>
      <w:r w:rsidR="00A6794A" w:rsidRPr="00D3550C">
        <w:rPr>
          <w:lang w:eastAsia="ru-RU"/>
        </w:rPr>
        <w:instrText>1"]}],"</w:instrText>
      </w:r>
      <w:r w:rsidR="00A6794A">
        <w:rPr>
          <w:lang w:val="en-US" w:eastAsia="ru-RU"/>
        </w:rPr>
        <w:instrText>mendeley</w:instrText>
      </w:r>
      <w:r w:rsidR="00A6794A" w:rsidRPr="00D3550C">
        <w:rPr>
          <w:lang w:eastAsia="ru-RU"/>
        </w:rPr>
        <w:instrText>":{"</w:instrText>
      </w:r>
      <w:r w:rsidR="00A6794A">
        <w:rPr>
          <w:lang w:val="en-US" w:eastAsia="ru-RU"/>
        </w:rPr>
        <w:instrText>formattedCitation</w:instrText>
      </w:r>
      <w:r w:rsidR="00A6794A" w:rsidRPr="00D3550C">
        <w:rPr>
          <w:lang w:eastAsia="ru-RU"/>
        </w:rPr>
        <w:instrText>":"[205–208]","</w:instrText>
      </w:r>
      <w:r w:rsidR="00A6794A">
        <w:rPr>
          <w:lang w:val="en-US" w:eastAsia="ru-RU"/>
        </w:rPr>
        <w:instrText>plainTextFormattedCitation</w:instrText>
      </w:r>
      <w:r w:rsidR="00A6794A" w:rsidRPr="00D3550C">
        <w:rPr>
          <w:lang w:eastAsia="ru-RU"/>
        </w:rPr>
        <w:instrText>":"[205–208]","</w:instrText>
      </w:r>
      <w:r w:rsidR="00A6794A">
        <w:rPr>
          <w:lang w:val="en-US" w:eastAsia="ru-RU"/>
        </w:rPr>
        <w:instrText>previouslyFormattedCitation</w:instrText>
      </w:r>
      <w:r w:rsidR="00A6794A" w:rsidRPr="00D3550C">
        <w:rPr>
          <w:lang w:eastAsia="ru-RU"/>
        </w:rPr>
        <w:instrText>":"[205–208]"},"</w:instrText>
      </w:r>
      <w:r w:rsidR="00A6794A">
        <w:rPr>
          <w:lang w:val="en-US" w:eastAsia="ru-RU"/>
        </w:rPr>
        <w:instrText>properties</w:instrText>
      </w:r>
      <w:r w:rsidR="00A6794A" w:rsidRPr="00D3550C">
        <w:rPr>
          <w:lang w:eastAsia="ru-RU"/>
        </w:rPr>
        <w:instrText>":{"</w:instrText>
      </w:r>
      <w:r w:rsidR="00A6794A">
        <w:rPr>
          <w:lang w:val="en-US" w:eastAsia="ru-RU"/>
        </w:rPr>
        <w:instrText>noteIndex</w:instrText>
      </w:r>
      <w:r w:rsidR="00A6794A" w:rsidRPr="00D3550C">
        <w:rPr>
          <w:lang w:eastAsia="ru-RU"/>
        </w:rPr>
        <w:instrText>":0},"</w:instrText>
      </w:r>
      <w:r w:rsidR="00A6794A">
        <w:rPr>
          <w:lang w:val="en-US" w:eastAsia="ru-RU"/>
        </w:rPr>
        <w:instrText>schema</w:instrText>
      </w:r>
      <w:r w:rsidR="00A6794A" w:rsidRPr="00D3550C">
        <w:rPr>
          <w:lang w:eastAsia="ru-RU"/>
        </w:rPr>
        <w:instrText>":"</w:instrText>
      </w:r>
      <w:r w:rsidR="00A6794A">
        <w:rPr>
          <w:lang w:val="en-US" w:eastAsia="ru-RU"/>
        </w:rPr>
        <w:instrText>https</w:instrText>
      </w:r>
      <w:r w:rsidR="00A6794A" w:rsidRPr="00D3550C">
        <w:rPr>
          <w:lang w:eastAsia="ru-RU"/>
        </w:rPr>
        <w:instrText>://</w:instrText>
      </w:r>
      <w:r w:rsidR="00A6794A">
        <w:rPr>
          <w:lang w:val="en-US" w:eastAsia="ru-RU"/>
        </w:rPr>
        <w:instrText>github</w:instrText>
      </w:r>
      <w:r w:rsidR="00A6794A" w:rsidRPr="00D3550C">
        <w:rPr>
          <w:lang w:eastAsia="ru-RU"/>
        </w:rPr>
        <w:instrText>.</w:instrText>
      </w:r>
      <w:r w:rsidR="00A6794A">
        <w:rPr>
          <w:lang w:val="en-US" w:eastAsia="ru-RU"/>
        </w:rPr>
        <w:instrText>com</w:instrText>
      </w:r>
      <w:r w:rsidR="00A6794A" w:rsidRPr="00D3550C">
        <w:rPr>
          <w:lang w:eastAsia="ru-RU"/>
        </w:rPr>
        <w:instrText>/</w:instrText>
      </w:r>
      <w:r w:rsidR="00A6794A">
        <w:rPr>
          <w:lang w:val="en-US" w:eastAsia="ru-RU"/>
        </w:rPr>
        <w:instrText>citation</w:instrText>
      </w:r>
      <w:r w:rsidR="00A6794A" w:rsidRPr="00D3550C">
        <w:rPr>
          <w:lang w:eastAsia="ru-RU"/>
        </w:rPr>
        <w:instrText>-</w:instrText>
      </w:r>
      <w:r w:rsidR="00A6794A">
        <w:rPr>
          <w:lang w:val="en-US" w:eastAsia="ru-RU"/>
        </w:rPr>
        <w:instrText>style</w:instrText>
      </w:r>
      <w:r w:rsidR="00A6794A" w:rsidRPr="00D3550C">
        <w:rPr>
          <w:lang w:eastAsia="ru-RU"/>
        </w:rPr>
        <w:instrText>-</w:instrText>
      </w:r>
      <w:r w:rsidR="00A6794A">
        <w:rPr>
          <w:lang w:val="en-US" w:eastAsia="ru-RU"/>
        </w:rPr>
        <w:instrText>language</w:instrText>
      </w:r>
      <w:r w:rsidR="00A6794A" w:rsidRPr="00D3550C">
        <w:rPr>
          <w:lang w:eastAsia="ru-RU"/>
        </w:rPr>
        <w:instrText>/</w:instrText>
      </w:r>
      <w:r w:rsidR="00A6794A">
        <w:rPr>
          <w:lang w:val="en-US" w:eastAsia="ru-RU"/>
        </w:rPr>
        <w:instrText>schema</w:instrText>
      </w:r>
      <w:r w:rsidR="00A6794A" w:rsidRPr="00D3550C">
        <w:rPr>
          <w:lang w:eastAsia="ru-RU"/>
        </w:rPr>
        <w:instrText>/</w:instrText>
      </w:r>
      <w:r w:rsidR="00A6794A">
        <w:rPr>
          <w:lang w:val="en-US" w:eastAsia="ru-RU"/>
        </w:rPr>
        <w:instrText>raw</w:instrText>
      </w:r>
      <w:r w:rsidR="00A6794A" w:rsidRPr="00D3550C">
        <w:rPr>
          <w:lang w:eastAsia="ru-RU"/>
        </w:rPr>
        <w:instrText>/</w:instrText>
      </w:r>
      <w:r w:rsidR="00A6794A">
        <w:rPr>
          <w:lang w:val="en-US" w:eastAsia="ru-RU"/>
        </w:rPr>
        <w:instrText>master</w:instrText>
      </w:r>
      <w:r w:rsidR="00A6794A" w:rsidRPr="00D3550C">
        <w:rPr>
          <w:lang w:eastAsia="ru-RU"/>
        </w:rPr>
        <w:instrText>/</w:instrText>
      </w:r>
      <w:r w:rsidR="00A6794A">
        <w:rPr>
          <w:lang w:val="en-US" w:eastAsia="ru-RU"/>
        </w:rPr>
        <w:instrText>csl</w:instrText>
      </w:r>
      <w:r w:rsidR="00A6794A" w:rsidRPr="00D3550C">
        <w:rPr>
          <w:lang w:eastAsia="ru-RU"/>
        </w:rPr>
        <w:instrText>-</w:instrText>
      </w:r>
      <w:r w:rsidR="00A6794A">
        <w:rPr>
          <w:lang w:val="en-US" w:eastAsia="ru-RU"/>
        </w:rPr>
        <w:instrText>citation</w:instrText>
      </w:r>
      <w:r w:rsidR="00A6794A" w:rsidRPr="00D3550C">
        <w:rPr>
          <w:lang w:eastAsia="ru-RU"/>
        </w:rPr>
        <w:instrText>.</w:instrText>
      </w:r>
      <w:r w:rsidR="00A6794A">
        <w:rPr>
          <w:lang w:val="en-US" w:eastAsia="ru-RU"/>
        </w:rPr>
        <w:instrText>json</w:instrText>
      </w:r>
      <w:r w:rsidR="00A6794A" w:rsidRPr="00D3550C">
        <w:rPr>
          <w:lang w:eastAsia="ru-RU"/>
        </w:rPr>
        <w:instrText>"}</w:instrText>
      </w:r>
      <w:r w:rsidRPr="000322E4">
        <w:rPr>
          <w:lang w:val="en-US" w:eastAsia="ru-RU"/>
        </w:rPr>
        <w:fldChar w:fldCharType="separate"/>
      </w:r>
      <w:r w:rsidR="006E1902" w:rsidRPr="006E1902">
        <w:rPr>
          <w:noProof/>
          <w:lang w:eastAsia="ru-RU"/>
        </w:rPr>
        <w:t>[205–208]</w:t>
      </w:r>
      <w:r w:rsidRPr="000322E4">
        <w:rPr>
          <w:lang w:val="en-US" w:eastAsia="ru-RU"/>
        </w:rPr>
        <w:fldChar w:fldCharType="end"/>
      </w:r>
    </w:p>
    <w:p w14:paraId="3175CA01" w14:textId="77777777" w:rsidR="00666D68" w:rsidRPr="004F2D3F" w:rsidRDefault="00666D68" w:rsidP="00F414BF">
      <w:pPr>
        <w:numPr>
          <w:ilvl w:val="0"/>
          <w:numId w:val="39"/>
        </w:numPr>
        <w:spacing w:line="360" w:lineRule="auto"/>
        <w:jc w:val="both"/>
      </w:pPr>
      <w:r w:rsidRPr="000322E4">
        <w:t>Доксорубицин</w:t>
      </w:r>
      <w:r w:rsidRPr="004F2D3F">
        <w:rPr>
          <w:bCs/>
        </w:rPr>
        <w:t>**</w:t>
      </w:r>
      <w:r w:rsidRPr="004F2D3F">
        <w:t xml:space="preserve"> 50 </w:t>
      </w:r>
      <w:r w:rsidRPr="000322E4">
        <w:t>мг</w:t>
      </w:r>
      <w:r w:rsidRPr="004F2D3F">
        <w:t>/</w:t>
      </w:r>
      <w:r w:rsidRPr="000322E4">
        <w:t>м</w:t>
      </w:r>
      <w:r w:rsidRPr="004F2D3F">
        <w:rPr>
          <w:vertAlign w:val="superscript"/>
        </w:rPr>
        <w:t>2</w:t>
      </w:r>
      <w:r w:rsidRPr="004F2D3F">
        <w:t xml:space="preserve"> </w:t>
      </w:r>
      <w:r w:rsidRPr="000322E4">
        <w:t>в</w:t>
      </w:r>
      <w:r w:rsidRPr="004F2D3F">
        <w:t>/</w:t>
      </w:r>
      <w:r w:rsidRPr="000322E4">
        <w:t>в</w:t>
      </w:r>
      <w:r w:rsidRPr="004F2D3F">
        <w:t xml:space="preserve"> </w:t>
      </w:r>
      <w:r w:rsidRPr="000322E4">
        <w:t>кап</w:t>
      </w:r>
      <w:r w:rsidRPr="004F2D3F">
        <w:t xml:space="preserve">., </w:t>
      </w:r>
      <w:r w:rsidRPr="000322E4">
        <w:t>день</w:t>
      </w:r>
      <w:r w:rsidRPr="004F2D3F">
        <w:t xml:space="preserve"> 1</w:t>
      </w:r>
    </w:p>
    <w:p w14:paraId="0ED364AE" w14:textId="77777777" w:rsidR="00666D68" w:rsidRPr="004F2D3F" w:rsidRDefault="00666D68" w:rsidP="00F414BF">
      <w:pPr>
        <w:numPr>
          <w:ilvl w:val="0"/>
          <w:numId w:val="39"/>
        </w:numPr>
        <w:spacing w:line="360" w:lineRule="auto"/>
        <w:jc w:val="both"/>
      </w:pPr>
      <w:r w:rsidRPr="000322E4">
        <w:t>Циклофосфамид</w:t>
      </w:r>
      <w:r w:rsidRPr="004F2D3F">
        <w:rPr>
          <w:bCs/>
        </w:rPr>
        <w:t>**</w:t>
      </w:r>
      <w:r w:rsidRPr="004F2D3F">
        <w:t xml:space="preserve"> 750 </w:t>
      </w:r>
      <w:r w:rsidRPr="000322E4">
        <w:t>мг</w:t>
      </w:r>
      <w:r w:rsidRPr="004F2D3F">
        <w:t>/</w:t>
      </w:r>
      <w:r w:rsidRPr="000322E4">
        <w:t>м</w:t>
      </w:r>
      <w:r w:rsidRPr="004F2D3F">
        <w:rPr>
          <w:vertAlign w:val="superscript"/>
        </w:rPr>
        <w:t>2</w:t>
      </w:r>
      <w:r w:rsidRPr="004F2D3F">
        <w:t xml:space="preserve"> </w:t>
      </w:r>
      <w:r w:rsidRPr="000322E4">
        <w:t>в</w:t>
      </w:r>
      <w:r w:rsidRPr="004F2D3F">
        <w:t>/</w:t>
      </w:r>
      <w:r w:rsidRPr="000322E4">
        <w:t>в</w:t>
      </w:r>
      <w:r w:rsidRPr="004F2D3F">
        <w:t xml:space="preserve"> </w:t>
      </w:r>
      <w:r w:rsidRPr="000322E4">
        <w:t>кап</w:t>
      </w:r>
      <w:r w:rsidRPr="004F2D3F">
        <w:t xml:space="preserve">., </w:t>
      </w:r>
      <w:r w:rsidRPr="000322E4">
        <w:t>день</w:t>
      </w:r>
      <w:r w:rsidRPr="004F2D3F">
        <w:t xml:space="preserve"> 1</w:t>
      </w:r>
    </w:p>
    <w:p w14:paraId="5ECA124B" w14:textId="77777777" w:rsidR="00666D68" w:rsidRPr="004F2D3F" w:rsidRDefault="000322E4" w:rsidP="00F414BF">
      <w:pPr>
        <w:numPr>
          <w:ilvl w:val="0"/>
          <w:numId w:val="39"/>
        </w:numPr>
        <w:spacing w:line="360" w:lineRule="auto"/>
        <w:jc w:val="both"/>
      </w:pPr>
      <w:r w:rsidRPr="004F2D3F">
        <w:t>#</w:t>
      </w:r>
      <w:r w:rsidR="00666D68" w:rsidRPr="000322E4">
        <w:t>Винкристин</w:t>
      </w:r>
      <w:r w:rsidR="00666D68" w:rsidRPr="004F2D3F">
        <w:rPr>
          <w:bCs/>
        </w:rPr>
        <w:t>**</w:t>
      </w:r>
      <w:r w:rsidR="00666D68" w:rsidRPr="004F2D3F">
        <w:t xml:space="preserve"> 1,4 </w:t>
      </w:r>
      <w:r w:rsidR="00666D68" w:rsidRPr="000322E4">
        <w:t>мг</w:t>
      </w:r>
      <w:r w:rsidR="00666D68" w:rsidRPr="004F2D3F">
        <w:t>/</w:t>
      </w:r>
      <w:r w:rsidR="00666D68" w:rsidRPr="000322E4">
        <w:t>м</w:t>
      </w:r>
      <w:r w:rsidR="00666D68" w:rsidRPr="004F2D3F">
        <w:rPr>
          <w:vertAlign w:val="superscript"/>
        </w:rPr>
        <w:t>2</w:t>
      </w:r>
      <w:r w:rsidR="00666D68" w:rsidRPr="004F2D3F">
        <w:t xml:space="preserve"> (</w:t>
      </w:r>
      <w:r w:rsidR="00666D68" w:rsidRPr="000322E4">
        <w:t>суммарно</w:t>
      </w:r>
      <w:r w:rsidR="00666D68" w:rsidRPr="004F2D3F">
        <w:t xml:space="preserve"> </w:t>
      </w:r>
      <w:r w:rsidR="00666D68" w:rsidRPr="000322E4">
        <w:t>не</w:t>
      </w:r>
      <w:r w:rsidR="00666D68" w:rsidRPr="004F2D3F">
        <w:t xml:space="preserve"> </w:t>
      </w:r>
      <w:r w:rsidR="00666D68" w:rsidRPr="000322E4">
        <w:t>более</w:t>
      </w:r>
      <w:r w:rsidR="00666D68" w:rsidRPr="004F2D3F">
        <w:t xml:space="preserve"> 2 </w:t>
      </w:r>
      <w:r w:rsidR="00666D68" w:rsidRPr="000322E4">
        <w:t>мг</w:t>
      </w:r>
      <w:r w:rsidR="00666D68" w:rsidRPr="004F2D3F">
        <w:t xml:space="preserve">) </w:t>
      </w:r>
      <w:r w:rsidR="00666D68" w:rsidRPr="000322E4">
        <w:t>в</w:t>
      </w:r>
      <w:r w:rsidR="00666D68" w:rsidRPr="004F2D3F">
        <w:t>/</w:t>
      </w:r>
      <w:r w:rsidR="00666D68" w:rsidRPr="000322E4">
        <w:t>в</w:t>
      </w:r>
      <w:r w:rsidR="00666D68" w:rsidRPr="004F2D3F">
        <w:t xml:space="preserve">, </w:t>
      </w:r>
      <w:r w:rsidR="00666D68" w:rsidRPr="000322E4">
        <w:t>день</w:t>
      </w:r>
      <w:r w:rsidR="00666D68" w:rsidRPr="004F2D3F">
        <w:t xml:space="preserve"> 1</w:t>
      </w:r>
    </w:p>
    <w:p w14:paraId="092CB219" w14:textId="77777777" w:rsidR="00666D68" w:rsidRPr="004F2D3F" w:rsidRDefault="00666D68" w:rsidP="00F414BF">
      <w:pPr>
        <w:numPr>
          <w:ilvl w:val="0"/>
          <w:numId w:val="39"/>
        </w:numPr>
        <w:spacing w:line="360" w:lineRule="auto"/>
        <w:jc w:val="both"/>
      </w:pPr>
      <w:r w:rsidRPr="000322E4">
        <w:t>Преднизолон</w:t>
      </w:r>
      <w:r w:rsidRPr="004F2D3F">
        <w:rPr>
          <w:bCs/>
        </w:rPr>
        <w:t>**</w:t>
      </w:r>
      <w:r w:rsidRPr="004F2D3F">
        <w:t xml:space="preserve"> 100 </w:t>
      </w:r>
      <w:r w:rsidRPr="000322E4">
        <w:t>мг</w:t>
      </w:r>
      <w:r w:rsidRPr="004F2D3F">
        <w:t xml:space="preserve"> </w:t>
      </w:r>
      <w:r w:rsidRPr="000322E4">
        <w:t>внутрь</w:t>
      </w:r>
      <w:r w:rsidRPr="004F2D3F">
        <w:t xml:space="preserve">, </w:t>
      </w:r>
      <w:r w:rsidRPr="000322E4">
        <w:t>дни</w:t>
      </w:r>
      <w:r w:rsidRPr="004F2D3F">
        <w:t xml:space="preserve"> 1-5</w:t>
      </w:r>
    </w:p>
    <w:p w14:paraId="12B91D4F" w14:textId="77777777" w:rsidR="00666D68" w:rsidRPr="004F2D3F" w:rsidRDefault="00666D68" w:rsidP="00F414BF">
      <w:pPr>
        <w:spacing w:line="360" w:lineRule="auto"/>
        <w:ind w:left="360"/>
        <w:jc w:val="both"/>
      </w:pPr>
      <w:r w:rsidRPr="000322E4">
        <w:t>Лечение</w:t>
      </w:r>
      <w:r w:rsidRPr="004F2D3F">
        <w:t xml:space="preserve"> </w:t>
      </w:r>
      <w:r w:rsidRPr="000322E4">
        <w:t>возобновляется</w:t>
      </w:r>
      <w:r w:rsidRPr="004F2D3F">
        <w:t xml:space="preserve"> </w:t>
      </w:r>
      <w:r w:rsidRPr="000322E4">
        <w:t>на</w:t>
      </w:r>
      <w:r w:rsidRPr="004F2D3F">
        <w:t xml:space="preserve"> 22 </w:t>
      </w:r>
      <w:r w:rsidRPr="000322E4">
        <w:t>день</w:t>
      </w:r>
    </w:p>
    <w:p w14:paraId="72577D60" w14:textId="3966F02E" w:rsidR="00EB3D5F" w:rsidRDefault="00EB3D5F" w:rsidP="00F414BF">
      <w:pPr>
        <w:spacing w:line="360" w:lineRule="auto"/>
        <w:ind w:left="360"/>
        <w:jc w:val="both"/>
      </w:pPr>
      <w:r>
        <w:t>Ф</w:t>
      </w:r>
      <w:r w:rsidRPr="00EB3D5F">
        <w:t>илграстим</w:t>
      </w:r>
      <w:r w:rsidRPr="005F2C4B">
        <w:t xml:space="preserve"> 5 </w:t>
      </w:r>
      <w:r w:rsidRPr="00EB3D5F">
        <w:t>мкг</w:t>
      </w:r>
      <w:r w:rsidRPr="005F2C4B">
        <w:t>/</w:t>
      </w:r>
      <w:r w:rsidRPr="00EB3D5F">
        <w:t>кг</w:t>
      </w:r>
      <w:r w:rsidRPr="005F2C4B">
        <w:t xml:space="preserve"> </w:t>
      </w:r>
      <w:r w:rsidRPr="00EB3D5F">
        <w:t>подкожно</w:t>
      </w:r>
      <w:r w:rsidRPr="005F2C4B">
        <w:t xml:space="preserve"> (</w:t>
      </w:r>
      <w:r w:rsidRPr="00EB3D5F">
        <w:t>п</w:t>
      </w:r>
      <w:r w:rsidRPr="005F2C4B">
        <w:t>/</w:t>
      </w:r>
      <w:r w:rsidRPr="00EB3D5F">
        <w:t>к</w:t>
      </w:r>
      <w:r w:rsidRPr="005F2C4B">
        <w:t xml:space="preserve">) </w:t>
      </w:r>
      <w:r w:rsidRPr="00EB3D5F">
        <w:t>через</w:t>
      </w:r>
      <w:r w:rsidRPr="005F2C4B">
        <w:t xml:space="preserve"> 24-72 </w:t>
      </w:r>
      <w:r w:rsidRPr="00EB3D5F">
        <w:t>часа</w:t>
      </w:r>
      <w:r w:rsidRPr="005F2C4B">
        <w:t xml:space="preserve"> </w:t>
      </w:r>
      <w:r w:rsidRPr="00EB3D5F">
        <w:t>после</w:t>
      </w:r>
      <w:r w:rsidRPr="005F2C4B">
        <w:t xml:space="preserve"> </w:t>
      </w:r>
      <w:r w:rsidRPr="00EB3D5F">
        <w:t>окончания</w:t>
      </w:r>
      <w:r w:rsidRPr="005F2C4B">
        <w:t xml:space="preserve"> </w:t>
      </w:r>
      <w:r w:rsidRPr="00EB3D5F">
        <w:t>введения</w:t>
      </w:r>
      <w:r w:rsidRPr="005F2C4B">
        <w:t xml:space="preserve"> </w:t>
      </w:r>
      <w:r w:rsidRPr="00EB3D5F">
        <w:t>химиопрепаратов</w:t>
      </w:r>
      <w:r w:rsidRPr="005F2C4B">
        <w:t xml:space="preserve"> </w:t>
      </w:r>
      <w:r w:rsidRPr="00EB3D5F">
        <w:t>и</w:t>
      </w:r>
      <w:r w:rsidRPr="005F2C4B">
        <w:t xml:space="preserve"> </w:t>
      </w:r>
      <w:r w:rsidRPr="00EB3D5F">
        <w:t>до</w:t>
      </w:r>
      <w:r w:rsidRPr="005F2C4B">
        <w:t xml:space="preserve"> </w:t>
      </w:r>
      <w:r w:rsidRPr="00EB3D5F">
        <w:t>восстановления</w:t>
      </w:r>
      <w:r w:rsidRPr="005F2C4B">
        <w:t xml:space="preserve"> </w:t>
      </w:r>
      <w:r w:rsidRPr="00EB3D5F">
        <w:t>нормального</w:t>
      </w:r>
      <w:r w:rsidRPr="005F2C4B">
        <w:t xml:space="preserve"> </w:t>
      </w:r>
      <w:r w:rsidRPr="00EB3D5F">
        <w:t>числа</w:t>
      </w:r>
      <w:r w:rsidRPr="005F2C4B">
        <w:t xml:space="preserve"> </w:t>
      </w:r>
      <w:r w:rsidRPr="00EB3D5F">
        <w:t>нейтрофилов</w:t>
      </w:r>
      <w:r w:rsidRPr="005F2C4B">
        <w:t xml:space="preserve"> </w:t>
      </w:r>
      <w:r w:rsidRPr="00EB3D5F">
        <w:t>после</w:t>
      </w:r>
      <w:r w:rsidRPr="005F2C4B">
        <w:t xml:space="preserve"> </w:t>
      </w:r>
      <w:r w:rsidRPr="00EB3D5F">
        <w:t>надира</w:t>
      </w:r>
      <w:r w:rsidRPr="005F2C4B">
        <w:t xml:space="preserve"> </w:t>
      </w:r>
      <w:r w:rsidRPr="00EB3D5F">
        <w:t>или</w:t>
      </w:r>
      <w:r w:rsidRPr="005F2C4B">
        <w:t xml:space="preserve"> </w:t>
      </w:r>
      <w:r w:rsidRPr="00EB3D5F">
        <w:t>пэгфилграстим</w:t>
      </w:r>
      <w:r w:rsidRPr="005F2C4B">
        <w:t xml:space="preserve"> 6 </w:t>
      </w:r>
      <w:r w:rsidRPr="00EB3D5F">
        <w:t>мг</w:t>
      </w:r>
      <w:r w:rsidRPr="005F2C4B">
        <w:t xml:space="preserve"> </w:t>
      </w:r>
      <w:r w:rsidRPr="00EB3D5F">
        <w:t>или</w:t>
      </w:r>
      <w:r w:rsidRPr="005F2C4B">
        <w:t xml:space="preserve"> </w:t>
      </w:r>
      <w:r w:rsidRPr="00EB3D5F">
        <w:t>эмпэгфилграстим</w:t>
      </w:r>
      <w:r w:rsidRPr="005F2C4B">
        <w:t xml:space="preserve"> 7,5 </w:t>
      </w:r>
      <w:r w:rsidRPr="00EB3D5F">
        <w:t>мг</w:t>
      </w:r>
      <w:r w:rsidRPr="005F2C4B">
        <w:t xml:space="preserve"> </w:t>
      </w:r>
      <w:r w:rsidRPr="00EB3D5F">
        <w:t>подкожно</w:t>
      </w:r>
      <w:r w:rsidRPr="005F2C4B">
        <w:t xml:space="preserve">, </w:t>
      </w:r>
      <w:r w:rsidRPr="00EB3D5F">
        <w:t>однократно</w:t>
      </w:r>
      <w:r w:rsidRPr="005F2C4B">
        <w:t xml:space="preserve">, </w:t>
      </w:r>
      <w:r w:rsidRPr="00EB3D5F">
        <w:t>не</w:t>
      </w:r>
      <w:r w:rsidRPr="005F2C4B">
        <w:t xml:space="preserve"> </w:t>
      </w:r>
      <w:r w:rsidRPr="00EB3D5F">
        <w:t>менее</w:t>
      </w:r>
      <w:r w:rsidRPr="005F2C4B">
        <w:t xml:space="preserve"> </w:t>
      </w:r>
      <w:r w:rsidRPr="00EB3D5F">
        <w:t>чем через 24 часа после окончания введения химиопрепаратов.</w:t>
      </w:r>
    </w:p>
    <w:p w14:paraId="62A62A53" w14:textId="7F5B4D00" w:rsidR="00666D68" w:rsidRPr="00EB3D5F" w:rsidRDefault="00666D68" w:rsidP="00F414BF">
      <w:pPr>
        <w:spacing w:line="360" w:lineRule="auto"/>
        <w:ind w:left="360"/>
        <w:jc w:val="both"/>
      </w:pPr>
      <w:r w:rsidRPr="000322E4">
        <w:t>У</w:t>
      </w:r>
      <w:r w:rsidRPr="00D714AB">
        <w:t xml:space="preserve"> </w:t>
      </w:r>
      <w:r w:rsidRPr="000322E4">
        <w:t>пациентов</w:t>
      </w:r>
      <w:r w:rsidRPr="00D714AB">
        <w:t xml:space="preserve"> </w:t>
      </w:r>
      <w:r w:rsidRPr="000322E4">
        <w:t>пожилого</w:t>
      </w:r>
      <w:r w:rsidRPr="00D714AB">
        <w:t xml:space="preserve"> </w:t>
      </w:r>
      <w:r w:rsidRPr="000322E4">
        <w:t>возраста</w:t>
      </w:r>
      <w:r w:rsidRPr="00D714AB">
        <w:t xml:space="preserve"> </w:t>
      </w:r>
      <w:r w:rsidRPr="000322E4">
        <w:t>с</w:t>
      </w:r>
      <w:r w:rsidRPr="00D714AB">
        <w:t xml:space="preserve"> </w:t>
      </w:r>
      <w:r w:rsidRPr="000322E4">
        <w:t>сердечно</w:t>
      </w:r>
      <w:r w:rsidRPr="00D714AB">
        <w:t>-</w:t>
      </w:r>
      <w:r w:rsidRPr="000322E4">
        <w:t>сосудистой</w:t>
      </w:r>
      <w:r w:rsidRPr="00D714AB">
        <w:t xml:space="preserve"> </w:t>
      </w:r>
      <w:r w:rsidRPr="000322E4">
        <w:t>патологией</w:t>
      </w:r>
      <w:r w:rsidRPr="00D714AB">
        <w:t xml:space="preserve"> </w:t>
      </w:r>
      <w:r w:rsidRPr="000322E4">
        <w:t>возможно</w:t>
      </w:r>
      <w:r w:rsidRPr="00D714AB">
        <w:t xml:space="preserve"> </w:t>
      </w:r>
      <w:r w:rsidRPr="000322E4">
        <w:t>примение</w:t>
      </w:r>
      <w:r w:rsidRPr="00D714AB">
        <w:t xml:space="preserve"> </w:t>
      </w:r>
      <w:r w:rsidRPr="000322E4">
        <w:t>пегилированного</w:t>
      </w:r>
      <w:r w:rsidRPr="00D714AB">
        <w:t xml:space="preserve"> </w:t>
      </w:r>
      <w:r w:rsidRPr="000322E4">
        <w:t>липосомального</w:t>
      </w:r>
      <w:r w:rsidRPr="00D714AB">
        <w:t xml:space="preserve"> </w:t>
      </w:r>
      <w:r w:rsidRPr="000322E4">
        <w:t>доксорубицина</w:t>
      </w:r>
      <w:r w:rsidRPr="00D714AB">
        <w:rPr>
          <w:bCs/>
        </w:rPr>
        <w:t>**</w:t>
      </w:r>
      <w:r w:rsidRPr="00D714AB">
        <w:t xml:space="preserve"> 30 </w:t>
      </w:r>
      <w:r w:rsidRPr="000322E4">
        <w:t>мг</w:t>
      </w:r>
      <w:r w:rsidRPr="00D714AB">
        <w:t>/</w:t>
      </w:r>
      <w:r w:rsidRPr="000322E4">
        <w:t>м</w:t>
      </w:r>
      <w:r w:rsidRPr="00D714AB">
        <w:rPr>
          <w:vertAlign w:val="superscript"/>
        </w:rPr>
        <w:t>2</w:t>
      </w:r>
      <w:r w:rsidRPr="00D714AB">
        <w:t xml:space="preserve"> </w:t>
      </w:r>
      <w:r w:rsidRPr="000322E4">
        <w:t>в</w:t>
      </w:r>
      <w:r w:rsidRPr="00D714AB">
        <w:t>/</w:t>
      </w:r>
      <w:r w:rsidRPr="000322E4">
        <w:t>в</w:t>
      </w:r>
      <w:r w:rsidRPr="00D714AB">
        <w:t xml:space="preserve"> </w:t>
      </w:r>
      <w:r w:rsidRPr="000322E4">
        <w:t>кап</w:t>
      </w:r>
      <w:r w:rsidRPr="00D714AB">
        <w:t xml:space="preserve">., </w:t>
      </w:r>
      <w:r w:rsidRPr="000322E4">
        <w:t>день</w:t>
      </w:r>
      <w:r w:rsidRPr="00D714AB">
        <w:t xml:space="preserve"> 1 </w:t>
      </w:r>
      <w:r w:rsidRPr="000322E4">
        <w:fldChar w:fldCharType="begin" w:fldLock="1"/>
      </w:r>
      <w:r w:rsidR="009D170B">
        <w:rPr>
          <w:lang w:val="en-US"/>
        </w:rPr>
        <w:instrText>ADDIN</w:instrText>
      </w:r>
      <w:r w:rsidR="009D170B" w:rsidRPr="00320416">
        <w:instrText xml:space="preserve"> </w:instrText>
      </w:r>
      <w:r w:rsidR="009D170B">
        <w:rPr>
          <w:lang w:val="en-US"/>
        </w:rPr>
        <w:instrText>CSL</w:instrText>
      </w:r>
      <w:r w:rsidR="009D170B" w:rsidRPr="00320416">
        <w:instrText>_</w:instrText>
      </w:r>
      <w:r w:rsidR="009D170B">
        <w:rPr>
          <w:lang w:val="en-US"/>
        </w:rPr>
        <w:instrText>CITATION</w:instrText>
      </w:r>
      <w:r w:rsidR="009D170B" w:rsidRPr="00320416">
        <w:instrText xml:space="preserve"> {"</w:instrText>
      </w:r>
      <w:r w:rsidR="009D170B">
        <w:rPr>
          <w:lang w:val="en-US"/>
        </w:rPr>
        <w:instrText>citationItems</w:instrText>
      </w:r>
      <w:r w:rsidR="009D170B" w:rsidRPr="00320416">
        <w:instrText>":[{"</w:instrText>
      </w:r>
      <w:r w:rsidR="009D170B">
        <w:rPr>
          <w:lang w:val="en-US"/>
        </w:rPr>
        <w:instrText>id</w:instrText>
      </w:r>
      <w:r w:rsidR="009D170B" w:rsidRPr="00320416">
        <w:instrText>":"</w:instrText>
      </w:r>
      <w:r w:rsidR="009D170B">
        <w:rPr>
          <w:lang w:val="en-US"/>
        </w:rPr>
        <w:instrText>ITEM</w:instrText>
      </w:r>
      <w:r w:rsidR="009D170B" w:rsidRPr="00320416">
        <w:instrText>-1","</w:instrText>
      </w:r>
      <w:r w:rsidR="009D170B">
        <w:rPr>
          <w:lang w:val="en-US"/>
        </w:rPr>
        <w:instrText>itemData</w:instrText>
      </w:r>
      <w:r w:rsidR="009D170B" w:rsidRPr="00320416">
        <w:instrText>":{"</w:instrText>
      </w:r>
      <w:r w:rsidR="009D170B">
        <w:rPr>
          <w:lang w:val="en-US"/>
        </w:rPr>
        <w:instrText>DOI</w:instrText>
      </w:r>
      <w:r w:rsidR="009D170B" w:rsidRPr="00320416">
        <w:instrText>":"10.1080/10428190600799946","</w:instrText>
      </w:r>
      <w:r w:rsidR="009D170B">
        <w:rPr>
          <w:lang w:val="en-US"/>
        </w:rPr>
        <w:instrText>ISSN</w:instrText>
      </w:r>
      <w:r w:rsidR="009D170B" w:rsidRPr="00320416">
        <w:instrText>":"10428194","</w:instrText>
      </w:r>
      <w:r w:rsidR="009D170B">
        <w:rPr>
          <w:lang w:val="en-US"/>
        </w:rPr>
        <w:instrText>abstract</w:instrText>
      </w:r>
      <w:r w:rsidR="009D170B" w:rsidRPr="00320416">
        <w:instrText>":"</w:instrText>
      </w:r>
      <w:r w:rsidR="009D170B">
        <w:rPr>
          <w:lang w:val="en-US"/>
        </w:rPr>
        <w:instrText>Thirty</w:instrText>
      </w:r>
      <w:r w:rsidR="009D170B" w:rsidRPr="00320416">
        <w:instrText xml:space="preserve"> </w:instrText>
      </w:r>
      <w:r w:rsidR="009D170B">
        <w:rPr>
          <w:lang w:val="en-US"/>
        </w:rPr>
        <w:instrText>untreated</w:instrText>
      </w:r>
      <w:r w:rsidR="009D170B" w:rsidRPr="00320416">
        <w:instrText xml:space="preserve"> </w:instrText>
      </w:r>
      <w:r w:rsidR="009D170B">
        <w:rPr>
          <w:lang w:val="en-US"/>
        </w:rPr>
        <w:instrText>patients</w:instrText>
      </w:r>
      <w:r w:rsidR="009D170B" w:rsidRPr="00320416">
        <w:instrText xml:space="preserve">, </w:instrText>
      </w:r>
      <w:r w:rsidR="009D170B">
        <w:rPr>
          <w:lang w:val="en-US"/>
        </w:rPr>
        <w:instrText>median</w:instrText>
      </w:r>
      <w:r w:rsidR="009D170B" w:rsidRPr="00320416">
        <w:instrText xml:space="preserve"> </w:instrText>
      </w:r>
      <w:r w:rsidR="009D170B">
        <w:rPr>
          <w:lang w:val="en-US"/>
        </w:rPr>
        <w:instrText>age</w:instrText>
      </w:r>
      <w:r w:rsidR="009D170B" w:rsidRPr="00320416">
        <w:instrText xml:space="preserve"> 69 </w:instrText>
      </w:r>
      <w:r w:rsidR="009D170B">
        <w:rPr>
          <w:lang w:val="en-US"/>
        </w:rPr>
        <w:instrText>years</w:instrText>
      </w:r>
      <w:r w:rsidR="009D170B" w:rsidRPr="00320416">
        <w:instrText xml:space="preserve"> (</w:instrText>
      </w:r>
      <w:r w:rsidR="009D170B">
        <w:rPr>
          <w:lang w:val="en-US"/>
        </w:rPr>
        <w:instrText>range</w:instrText>
      </w:r>
      <w:r w:rsidR="009D170B" w:rsidRPr="00320416">
        <w:instrText xml:space="preserve"> 60-75 </w:instrText>
      </w:r>
      <w:r w:rsidR="009D170B">
        <w:rPr>
          <w:lang w:val="en-US"/>
        </w:rPr>
        <w:instrText>years</w:instrText>
      </w:r>
      <w:r w:rsidR="009D170B" w:rsidRPr="00320416">
        <w:instrText xml:space="preserve">), </w:instrText>
      </w:r>
      <w:r w:rsidR="009D170B">
        <w:rPr>
          <w:lang w:val="en-US"/>
        </w:rPr>
        <w:instrText>with</w:instrText>
      </w:r>
      <w:r w:rsidR="009D170B" w:rsidRPr="00320416">
        <w:instrText xml:space="preserve"> </w:instrText>
      </w:r>
      <w:r w:rsidR="009D170B">
        <w:rPr>
          <w:lang w:val="en-US"/>
        </w:rPr>
        <w:instrText>diffuse</w:instrText>
      </w:r>
      <w:r w:rsidR="009D170B" w:rsidRPr="00320416">
        <w:instrText xml:space="preserve"> </w:instrText>
      </w:r>
      <w:r w:rsidR="009D170B">
        <w:rPr>
          <w:lang w:val="en-US"/>
        </w:rPr>
        <w:instrText>large</w:instrText>
      </w:r>
      <w:r w:rsidR="009D170B" w:rsidRPr="00320416">
        <w:instrText xml:space="preserve"> </w:instrText>
      </w:r>
      <w:r w:rsidR="009D170B">
        <w:rPr>
          <w:lang w:val="en-US"/>
        </w:rPr>
        <w:instrText>B</w:instrText>
      </w:r>
      <w:r w:rsidR="009D170B" w:rsidRPr="00320416">
        <w:instrText>-</w:instrText>
      </w:r>
      <w:r w:rsidR="009D170B">
        <w:rPr>
          <w:lang w:val="en-US"/>
        </w:rPr>
        <w:instrText>cell</w:instrText>
      </w:r>
      <w:r w:rsidR="009D170B" w:rsidRPr="00320416">
        <w:instrText xml:space="preserve"> </w:instrText>
      </w:r>
      <w:r w:rsidR="009D170B">
        <w:rPr>
          <w:lang w:val="en-US"/>
        </w:rPr>
        <w:instrText>lymphoma</w:instrText>
      </w:r>
      <w:r w:rsidR="009D170B" w:rsidRPr="00320416">
        <w:instrText xml:space="preserve"> (</w:instrText>
      </w:r>
      <w:r w:rsidR="009D170B">
        <w:rPr>
          <w:lang w:val="en-US"/>
        </w:rPr>
        <w:instrText>B</w:instrText>
      </w:r>
      <w:r w:rsidR="009D170B" w:rsidRPr="00320416">
        <w:instrText>-</w:instrText>
      </w:r>
      <w:r w:rsidR="009D170B">
        <w:rPr>
          <w:lang w:val="en-US"/>
        </w:rPr>
        <w:instrText>DLCL</w:instrText>
      </w:r>
      <w:r w:rsidR="009D170B" w:rsidRPr="00320416">
        <w:instrText xml:space="preserve">) </w:instrText>
      </w:r>
      <w:r w:rsidR="009D170B">
        <w:rPr>
          <w:lang w:val="en-US"/>
        </w:rPr>
        <w:instrText>were</w:instrText>
      </w:r>
      <w:r w:rsidR="009D170B" w:rsidRPr="00320416">
        <w:instrText xml:space="preserve"> </w:instrText>
      </w:r>
      <w:r w:rsidR="009D170B">
        <w:rPr>
          <w:lang w:val="en-US"/>
        </w:rPr>
        <w:instrText>treated</w:instrText>
      </w:r>
      <w:r w:rsidR="009D170B" w:rsidRPr="00320416">
        <w:instrText xml:space="preserve"> </w:instrText>
      </w:r>
      <w:r w:rsidR="009D170B">
        <w:rPr>
          <w:lang w:val="en-US"/>
        </w:rPr>
        <w:instrText>with</w:instrText>
      </w:r>
      <w:r w:rsidR="009D170B" w:rsidRPr="00320416">
        <w:instrText xml:space="preserve"> </w:instrText>
      </w:r>
      <w:r w:rsidR="009D170B">
        <w:rPr>
          <w:lang w:val="en-US"/>
        </w:rPr>
        <w:instrText>a</w:instrText>
      </w:r>
      <w:r w:rsidR="009D170B" w:rsidRPr="00320416">
        <w:instrText xml:space="preserve"> </w:instrText>
      </w:r>
      <w:r w:rsidR="009D170B">
        <w:rPr>
          <w:lang w:val="en-US"/>
        </w:rPr>
        <w:instrText>pegylated</w:instrText>
      </w:r>
      <w:r w:rsidR="009D170B" w:rsidRPr="00320416">
        <w:instrText xml:space="preserve"> </w:instrText>
      </w:r>
      <w:r w:rsidR="009D170B">
        <w:rPr>
          <w:lang w:val="en-US"/>
        </w:rPr>
        <w:instrText>liposomal</w:instrText>
      </w:r>
      <w:r w:rsidR="009D170B" w:rsidRPr="00320416">
        <w:instrText xml:space="preserve"> </w:instrText>
      </w:r>
      <w:r w:rsidR="009D170B">
        <w:rPr>
          <w:lang w:val="en-US"/>
        </w:rPr>
        <w:instrText>doxorubicin</w:instrText>
      </w:r>
      <w:r w:rsidR="009D170B" w:rsidRPr="00320416">
        <w:instrText xml:space="preserve"> (</w:instrText>
      </w:r>
      <w:r w:rsidR="009D170B">
        <w:rPr>
          <w:lang w:val="en-US"/>
        </w:rPr>
        <w:instrText>PL</w:instrText>
      </w:r>
      <w:r w:rsidR="009D170B" w:rsidRPr="00320416">
        <w:instrText>-</w:instrText>
      </w:r>
      <w:r w:rsidR="009D170B">
        <w:rPr>
          <w:lang w:val="en-US"/>
        </w:rPr>
        <w:instrText>doxorubicin</w:instrText>
      </w:r>
      <w:r w:rsidR="009D170B" w:rsidRPr="00320416">
        <w:instrText xml:space="preserve">) </w:instrText>
      </w:r>
      <w:r w:rsidR="009D170B">
        <w:rPr>
          <w:lang w:val="en-US"/>
        </w:rPr>
        <w:instrText>modified</w:instrText>
      </w:r>
      <w:r w:rsidR="009D170B" w:rsidRPr="00320416">
        <w:instrText xml:space="preserve"> </w:instrText>
      </w:r>
      <w:r w:rsidR="009D170B">
        <w:rPr>
          <w:lang w:val="en-US"/>
        </w:rPr>
        <w:instrText>CHOP</w:instrText>
      </w:r>
      <w:r w:rsidR="009D170B" w:rsidRPr="00320416">
        <w:instrText>-</w:instrText>
      </w:r>
      <w:r w:rsidR="009D170B">
        <w:rPr>
          <w:lang w:val="en-US"/>
        </w:rPr>
        <w:instrText>rituximab</w:instrText>
      </w:r>
      <w:r w:rsidR="009D170B" w:rsidRPr="00320416">
        <w:instrText xml:space="preserve"> </w:instrText>
      </w:r>
      <w:r w:rsidR="009D170B">
        <w:rPr>
          <w:lang w:val="en-US"/>
        </w:rPr>
        <w:instrText>regimen</w:instrText>
      </w:r>
      <w:r w:rsidR="009D170B" w:rsidRPr="00320416">
        <w:instrText xml:space="preserve">. </w:instrText>
      </w:r>
      <w:r w:rsidR="009D170B">
        <w:rPr>
          <w:lang w:val="en-US"/>
        </w:rPr>
        <w:instrText>PL</w:instrText>
      </w:r>
      <w:r w:rsidR="009D170B" w:rsidRPr="00320416">
        <w:instrText>-</w:instrText>
      </w:r>
      <w:r w:rsidR="009D170B">
        <w:rPr>
          <w:lang w:val="en-US"/>
        </w:rPr>
        <w:instrText>doxorubicin</w:instrText>
      </w:r>
      <w:r w:rsidR="009D170B" w:rsidRPr="00320416">
        <w:instrText xml:space="preserve"> 30 </w:instrText>
      </w:r>
      <w:r w:rsidR="009D170B">
        <w:rPr>
          <w:lang w:val="en-US"/>
        </w:rPr>
        <w:instrText>mg</w:instrText>
      </w:r>
      <w:r w:rsidR="009D170B" w:rsidRPr="00320416">
        <w:instrText>/</w:instrText>
      </w:r>
      <w:r w:rsidR="009D170B">
        <w:rPr>
          <w:lang w:val="en-US"/>
        </w:rPr>
        <w:instrText>m</w:instrText>
      </w:r>
      <w:r w:rsidR="009D170B" w:rsidRPr="00320416">
        <w:instrText xml:space="preserve">2, </w:instrText>
      </w:r>
      <w:r w:rsidR="009D170B">
        <w:rPr>
          <w:lang w:val="en-US"/>
        </w:rPr>
        <w:instrText>was</w:instrText>
      </w:r>
      <w:r w:rsidR="009D170B" w:rsidRPr="00320416">
        <w:instrText xml:space="preserve"> </w:instrText>
      </w:r>
      <w:r w:rsidR="009D170B">
        <w:rPr>
          <w:lang w:val="en-US"/>
        </w:rPr>
        <w:instrText>given</w:instrText>
      </w:r>
      <w:r w:rsidR="009D170B" w:rsidRPr="00320416">
        <w:instrText xml:space="preserve"> </w:instrText>
      </w:r>
      <w:r w:rsidR="009D170B">
        <w:rPr>
          <w:lang w:val="en-US"/>
        </w:rPr>
        <w:instrText>in</w:instrText>
      </w:r>
      <w:r w:rsidR="009D170B" w:rsidRPr="00320416">
        <w:instrText xml:space="preserve"> </w:instrText>
      </w:r>
      <w:r w:rsidR="009D170B">
        <w:rPr>
          <w:lang w:val="en-US"/>
        </w:rPr>
        <w:instrText>combination</w:instrText>
      </w:r>
      <w:r w:rsidR="009D170B" w:rsidRPr="00320416">
        <w:instrText xml:space="preserve"> </w:instrText>
      </w:r>
      <w:r w:rsidR="009D170B">
        <w:rPr>
          <w:lang w:val="en-US"/>
        </w:rPr>
        <w:instrText>with</w:instrText>
      </w:r>
      <w:r w:rsidR="009D170B" w:rsidRPr="00320416">
        <w:instrText xml:space="preserve"> </w:instrText>
      </w:r>
      <w:r w:rsidR="009D170B">
        <w:rPr>
          <w:lang w:val="en-US"/>
        </w:rPr>
        <w:instrText>standard</w:instrText>
      </w:r>
      <w:r w:rsidR="009D170B" w:rsidRPr="00320416">
        <w:instrText xml:space="preserve"> </w:instrText>
      </w:r>
      <w:r w:rsidR="009D170B">
        <w:rPr>
          <w:lang w:val="en-US"/>
        </w:rPr>
        <w:instrText>dosage</w:instrText>
      </w:r>
      <w:r w:rsidR="009D170B" w:rsidRPr="00320416">
        <w:instrText xml:space="preserve"> </w:instrText>
      </w:r>
      <w:r w:rsidR="009D170B">
        <w:rPr>
          <w:lang w:val="en-US"/>
        </w:rPr>
        <w:instrText>of</w:instrText>
      </w:r>
      <w:r w:rsidR="009D170B" w:rsidRPr="00320416">
        <w:instrText xml:space="preserve"> </w:instrText>
      </w:r>
      <w:r w:rsidR="009D170B">
        <w:rPr>
          <w:lang w:val="en-US"/>
        </w:rPr>
        <w:instrText>prednisone</w:instrText>
      </w:r>
      <w:r w:rsidR="009D170B" w:rsidRPr="00320416">
        <w:instrText xml:space="preserve">, </w:instrText>
      </w:r>
      <w:r w:rsidR="009D170B">
        <w:rPr>
          <w:lang w:val="en-US"/>
        </w:rPr>
        <w:instrText>vincristine</w:instrText>
      </w:r>
      <w:r w:rsidR="009D170B" w:rsidRPr="00320416">
        <w:instrText xml:space="preserve">, </w:instrText>
      </w:r>
      <w:r w:rsidR="009D170B">
        <w:rPr>
          <w:lang w:val="en-US"/>
        </w:rPr>
        <w:instrText>cyclophosphamide</w:instrText>
      </w:r>
      <w:r w:rsidR="009D170B" w:rsidRPr="00320416">
        <w:instrText xml:space="preserve">, </w:instrText>
      </w:r>
      <w:r w:rsidR="009D170B">
        <w:rPr>
          <w:lang w:val="en-US"/>
        </w:rPr>
        <w:instrText>rituximab</w:instrText>
      </w:r>
      <w:r w:rsidR="009D170B" w:rsidRPr="00320416">
        <w:instrText xml:space="preserve"> (</w:instrText>
      </w:r>
      <w:r w:rsidR="009D170B">
        <w:rPr>
          <w:lang w:val="en-US"/>
        </w:rPr>
        <w:instrText>according</w:instrText>
      </w:r>
      <w:r w:rsidR="009D170B" w:rsidRPr="00320416">
        <w:instrText xml:space="preserve"> </w:instrText>
      </w:r>
      <w:r w:rsidR="009D170B">
        <w:rPr>
          <w:lang w:val="en-US"/>
        </w:rPr>
        <w:instrText>to</w:instrText>
      </w:r>
      <w:r w:rsidR="009D170B" w:rsidRPr="00320416">
        <w:instrText xml:space="preserve"> </w:instrText>
      </w:r>
      <w:r w:rsidR="009D170B">
        <w:rPr>
          <w:lang w:val="en-US"/>
        </w:rPr>
        <w:instrText>CHOP</w:instrText>
      </w:r>
      <w:r w:rsidR="009D170B" w:rsidRPr="00320416">
        <w:instrText>-</w:instrText>
      </w:r>
      <w:r w:rsidR="009D170B">
        <w:rPr>
          <w:lang w:val="en-US"/>
        </w:rPr>
        <w:instrText>R</w:instrText>
      </w:r>
      <w:r w:rsidR="009D170B" w:rsidRPr="00320416">
        <w:instrText xml:space="preserve"> </w:instrText>
      </w:r>
      <w:r w:rsidR="009D170B">
        <w:rPr>
          <w:lang w:val="en-US"/>
        </w:rPr>
        <w:instrText>regimen</w:instrText>
      </w:r>
      <w:r w:rsidR="009D170B" w:rsidRPr="00320416">
        <w:instrText xml:space="preserve">) </w:instrText>
      </w:r>
      <w:r w:rsidR="009D170B">
        <w:rPr>
          <w:lang w:val="en-US"/>
        </w:rPr>
        <w:instrText>every</w:instrText>
      </w:r>
      <w:r w:rsidR="009D170B" w:rsidRPr="00320416">
        <w:instrText xml:space="preserve"> 21 </w:instrText>
      </w:r>
      <w:r w:rsidR="009D170B">
        <w:rPr>
          <w:lang w:val="en-US"/>
        </w:rPr>
        <w:instrText>days</w:instrText>
      </w:r>
      <w:r w:rsidR="009D170B" w:rsidRPr="00320416">
        <w:instrText xml:space="preserve"> </w:instrText>
      </w:r>
      <w:r w:rsidR="009D170B">
        <w:rPr>
          <w:lang w:val="en-US"/>
        </w:rPr>
        <w:instrText>for</w:instrText>
      </w:r>
      <w:r w:rsidR="009D170B" w:rsidRPr="00320416">
        <w:instrText xml:space="preserve"> </w:instrText>
      </w:r>
      <w:r w:rsidR="009D170B">
        <w:rPr>
          <w:lang w:val="en-US"/>
        </w:rPr>
        <w:instrText>six</w:instrText>
      </w:r>
      <w:r w:rsidR="009D170B" w:rsidRPr="00320416">
        <w:instrText xml:space="preserve"> </w:instrText>
      </w:r>
      <w:r w:rsidR="009D170B">
        <w:rPr>
          <w:lang w:val="en-US"/>
        </w:rPr>
        <w:instrText>courses</w:instrText>
      </w:r>
      <w:r w:rsidR="009D170B" w:rsidRPr="00320416">
        <w:instrText xml:space="preserve">. </w:instrText>
      </w:r>
      <w:r w:rsidR="009D170B">
        <w:rPr>
          <w:lang w:val="en-US"/>
        </w:rPr>
        <w:instrText>Cardiac</w:instrText>
      </w:r>
      <w:r w:rsidR="009D170B" w:rsidRPr="00320416">
        <w:instrText xml:space="preserve"> </w:instrText>
      </w:r>
      <w:r w:rsidR="009D170B">
        <w:rPr>
          <w:lang w:val="en-US"/>
        </w:rPr>
        <w:instrText>toxicity</w:instrText>
      </w:r>
      <w:r w:rsidR="009D170B" w:rsidRPr="00320416">
        <w:instrText xml:space="preserve"> </w:instrText>
      </w:r>
      <w:r w:rsidR="009D170B">
        <w:rPr>
          <w:lang w:val="en-US"/>
        </w:rPr>
        <w:instrText>was</w:instrText>
      </w:r>
      <w:r w:rsidR="009D170B" w:rsidRPr="00320416">
        <w:instrText xml:space="preserve"> </w:instrText>
      </w:r>
      <w:r w:rsidR="009D170B">
        <w:rPr>
          <w:lang w:val="en-US"/>
        </w:rPr>
        <w:instrText>evaluated</w:instrText>
      </w:r>
      <w:r w:rsidR="009D170B" w:rsidRPr="00320416">
        <w:instrText xml:space="preserve"> </w:instrText>
      </w:r>
      <w:r w:rsidR="009D170B">
        <w:rPr>
          <w:lang w:val="en-US"/>
        </w:rPr>
        <w:instrText>by</w:instrText>
      </w:r>
      <w:r w:rsidR="009D170B" w:rsidRPr="00320416">
        <w:instrText xml:space="preserve"> </w:instrText>
      </w:r>
      <w:r w:rsidR="009D170B">
        <w:rPr>
          <w:lang w:val="en-US"/>
        </w:rPr>
        <w:instrText>mean</w:instrText>
      </w:r>
      <w:r w:rsidR="009D170B" w:rsidRPr="00320416">
        <w:instrText xml:space="preserve"> </w:instrText>
      </w:r>
      <w:r w:rsidR="009D170B">
        <w:rPr>
          <w:lang w:val="en-US"/>
        </w:rPr>
        <w:instrText>of</w:instrText>
      </w:r>
      <w:r w:rsidR="009D170B" w:rsidRPr="00320416">
        <w:instrText xml:space="preserve"> </w:instrText>
      </w:r>
      <w:r w:rsidR="009D170B">
        <w:rPr>
          <w:lang w:val="en-US"/>
        </w:rPr>
        <w:instrText>echocardiography</w:instrText>
      </w:r>
      <w:r w:rsidR="009D170B" w:rsidRPr="00320416">
        <w:instrText xml:space="preserve"> </w:instrText>
      </w:r>
      <w:r w:rsidR="009D170B">
        <w:rPr>
          <w:lang w:val="en-US"/>
        </w:rPr>
        <w:instrText>for</w:instrText>
      </w:r>
      <w:r w:rsidR="009D170B" w:rsidRPr="00320416">
        <w:instrText xml:space="preserve"> </w:instrText>
      </w:r>
      <w:r w:rsidR="009D170B">
        <w:rPr>
          <w:lang w:val="en-US"/>
        </w:rPr>
        <w:instrText>left</w:instrText>
      </w:r>
      <w:r w:rsidR="009D170B" w:rsidRPr="00320416">
        <w:instrText xml:space="preserve"> </w:instrText>
      </w:r>
      <w:r w:rsidR="009D170B">
        <w:rPr>
          <w:lang w:val="en-US"/>
        </w:rPr>
        <w:instrText>ventricular</w:instrText>
      </w:r>
      <w:r w:rsidR="009D170B" w:rsidRPr="00320416">
        <w:instrText xml:space="preserve"> </w:instrText>
      </w:r>
      <w:r w:rsidR="009D170B">
        <w:rPr>
          <w:lang w:val="en-US"/>
        </w:rPr>
        <w:instrText>ejection</w:instrText>
      </w:r>
      <w:r w:rsidR="009D170B" w:rsidRPr="00320416">
        <w:instrText xml:space="preserve"> </w:instrText>
      </w:r>
      <w:r w:rsidR="009D170B">
        <w:rPr>
          <w:lang w:val="en-US"/>
        </w:rPr>
        <w:instrText>fraction</w:instrText>
      </w:r>
      <w:r w:rsidR="009D170B" w:rsidRPr="00320416">
        <w:instrText xml:space="preserve"> (</w:instrText>
      </w:r>
      <w:r w:rsidR="009D170B">
        <w:rPr>
          <w:lang w:val="en-US"/>
        </w:rPr>
        <w:instrText>LVEF</w:instrText>
      </w:r>
      <w:r w:rsidR="009D170B" w:rsidRPr="00320416">
        <w:instrText xml:space="preserve">) </w:instrText>
      </w:r>
      <w:r w:rsidR="009D170B">
        <w:rPr>
          <w:lang w:val="en-US"/>
        </w:rPr>
        <w:instrText>evaluations</w:instrText>
      </w:r>
      <w:r w:rsidR="009D170B" w:rsidRPr="00320416">
        <w:instrText xml:space="preserve"> </w:instrText>
      </w:r>
      <w:r w:rsidR="009D170B">
        <w:rPr>
          <w:lang w:val="en-US"/>
        </w:rPr>
        <w:instrText>and</w:instrText>
      </w:r>
      <w:r w:rsidR="009D170B" w:rsidRPr="00320416">
        <w:instrText xml:space="preserve"> </w:instrText>
      </w:r>
      <w:r w:rsidR="009D170B">
        <w:rPr>
          <w:lang w:val="en-US"/>
        </w:rPr>
        <w:instrText>serum</w:instrText>
      </w:r>
      <w:r w:rsidR="009D170B" w:rsidRPr="00320416">
        <w:instrText xml:space="preserve"> </w:instrText>
      </w:r>
      <w:r w:rsidR="009D170B">
        <w:rPr>
          <w:lang w:val="en-US"/>
        </w:rPr>
        <w:instrText>troponin</w:instrText>
      </w:r>
      <w:r w:rsidR="009D170B" w:rsidRPr="00320416">
        <w:instrText>-</w:instrText>
      </w:r>
      <w:r w:rsidR="009D170B">
        <w:rPr>
          <w:lang w:val="en-US"/>
        </w:rPr>
        <w:instrText>I</w:instrText>
      </w:r>
      <w:r w:rsidR="009D170B" w:rsidRPr="00320416">
        <w:instrText xml:space="preserve"> </w:instrText>
      </w:r>
      <w:r w:rsidR="009D170B">
        <w:rPr>
          <w:lang w:val="en-US"/>
        </w:rPr>
        <w:instrText>levels</w:instrText>
      </w:r>
      <w:r w:rsidR="009D170B" w:rsidRPr="00320416">
        <w:instrText xml:space="preserve">. </w:instrText>
      </w:r>
      <w:r w:rsidR="009D170B">
        <w:rPr>
          <w:lang w:val="en-US"/>
        </w:rPr>
        <w:instrText>Overall</w:instrText>
      </w:r>
      <w:r w:rsidR="009D170B" w:rsidRPr="00320416">
        <w:instrText xml:space="preserve"> </w:instrText>
      </w:r>
      <w:r w:rsidR="009D170B">
        <w:rPr>
          <w:lang w:val="en-US"/>
        </w:rPr>
        <w:instrText>response</w:instrText>
      </w:r>
      <w:r w:rsidR="009D170B" w:rsidRPr="00320416">
        <w:instrText xml:space="preserve"> </w:instrText>
      </w:r>
      <w:r w:rsidR="009D170B">
        <w:rPr>
          <w:lang w:val="en-US"/>
        </w:rPr>
        <w:instrText>and</w:instrText>
      </w:r>
      <w:r w:rsidR="009D170B" w:rsidRPr="00320416">
        <w:instrText xml:space="preserve"> </w:instrText>
      </w:r>
      <w:r w:rsidR="009D170B">
        <w:rPr>
          <w:lang w:val="en-US"/>
        </w:rPr>
        <w:instrText>complete</w:instrText>
      </w:r>
      <w:r w:rsidR="009D170B" w:rsidRPr="00320416">
        <w:instrText xml:space="preserve"> </w:instrText>
      </w:r>
      <w:r w:rsidR="009D170B">
        <w:rPr>
          <w:lang w:val="en-US"/>
        </w:rPr>
        <w:instrText>response</w:instrText>
      </w:r>
      <w:r w:rsidR="009D170B" w:rsidRPr="00320416">
        <w:instrText xml:space="preserve"> </w:instrText>
      </w:r>
      <w:r w:rsidR="009D170B">
        <w:rPr>
          <w:lang w:val="en-US"/>
        </w:rPr>
        <w:instrText>rates</w:instrText>
      </w:r>
      <w:r w:rsidR="009D170B" w:rsidRPr="00320416">
        <w:instrText xml:space="preserve"> </w:instrText>
      </w:r>
      <w:r w:rsidR="009D170B">
        <w:rPr>
          <w:lang w:val="en-US"/>
        </w:rPr>
        <w:instrText>were</w:instrText>
      </w:r>
      <w:r w:rsidR="009D170B" w:rsidRPr="00320416">
        <w:instrText xml:space="preserve"> 76% </w:instrText>
      </w:r>
      <w:r w:rsidR="009D170B">
        <w:rPr>
          <w:lang w:val="en-US"/>
        </w:rPr>
        <w:instrText>and</w:instrText>
      </w:r>
      <w:r w:rsidR="009D170B" w:rsidRPr="00320416">
        <w:instrText xml:space="preserve"> 59%. </w:instrText>
      </w:r>
      <w:r w:rsidR="009D170B">
        <w:rPr>
          <w:lang w:val="en-US"/>
        </w:rPr>
        <w:instrText>Projected</w:instrText>
      </w:r>
      <w:r w:rsidR="009D170B" w:rsidRPr="00320416">
        <w:instrText xml:space="preserve"> </w:instrText>
      </w:r>
      <w:r w:rsidR="009D170B">
        <w:rPr>
          <w:lang w:val="en-US"/>
        </w:rPr>
        <w:instrText>two</w:instrText>
      </w:r>
      <w:r w:rsidR="009D170B" w:rsidRPr="00320416">
        <w:instrText xml:space="preserve"> </w:instrText>
      </w:r>
      <w:r w:rsidR="009D170B">
        <w:rPr>
          <w:lang w:val="en-US"/>
        </w:rPr>
        <w:instrText>year</w:instrText>
      </w:r>
      <w:r w:rsidR="009D170B" w:rsidRPr="00320416">
        <w:instrText xml:space="preserve"> </w:instrText>
      </w:r>
      <w:r w:rsidR="009D170B">
        <w:rPr>
          <w:lang w:val="en-US"/>
        </w:rPr>
        <w:instrText>event</w:instrText>
      </w:r>
      <w:r w:rsidR="009D170B" w:rsidRPr="00320416">
        <w:instrText xml:space="preserve"> </w:instrText>
      </w:r>
      <w:r w:rsidR="009D170B">
        <w:rPr>
          <w:lang w:val="en-US"/>
        </w:rPr>
        <w:instrText>free</w:instrText>
      </w:r>
      <w:r w:rsidR="009D170B" w:rsidRPr="00320416">
        <w:instrText xml:space="preserve"> </w:instrText>
      </w:r>
      <w:r w:rsidR="009D170B">
        <w:rPr>
          <w:lang w:val="en-US"/>
        </w:rPr>
        <w:instrText>survival</w:instrText>
      </w:r>
      <w:r w:rsidR="009D170B" w:rsidRPr="00320416">
        <w:instrText xml:space="preserve"> </w:instrText>
      </w:r>
      <w:r w:rsidR="009D170B">
        <w:rPr>
          <w:lang w:val="en-US"/>
        </w:rPr>
        <w:instrText>and</w:instrText>
      </w:r>
      <w:r w:rsidR="009D170B" w:rsidRPr="00320416">
        <w:instrText xml:space="preserve"> </w:instrText>
      </w:r>
      <w:r w:rsidR="009D170B">
        <w:rPr>
          <w:lang w:val="en-US"/>
        </w:rPr>
        <w:instrText>overall</w:instrText>
      </w:r>
      <w:r w:rsidR="009D170B" w:rsidRPr="00320416">
        <w:instrText xml:space="preserve"> </w:instrText>
      </w:r>
      <w:r w:rsidR="009D170B">
        <w:rPr>
          <w:lang w:val="en-US"/>
        </w:rPr>
        <w:instrText>survival</w:instrText>
      </w:r>
      <w:r w:rsidR="009D170B" w:rsidRPr="00320416">
        <w:instrText xml:space="preserve"> </w:instrText>
      </w:r>
      <w:r w:rsidR="009D170B">
        <w:rPr>
          <w:lang w:val="en-US"/>
        </w:rPr>
        <w:instrText>are</w:instrText>
      </w:r>
      <w:r w:rsidR="009D170B" w:rsidRPr="00320416">
        <w:instrText xml:space="preserve"> 65.5% </w:instrText>
      </w:r>
      <w:r w:rsidR="009D170B">
        <w:rPr>
          <w:lang w:val="en-US"/>
        </w:rPr>
        <w:instrText>and</w:instrText>
      </w:r>
      <w:r w:rsidR="009D170B" w:rsidRPr="00320416">
        <w:instrText xml:space="preserve"> 68.5%. </w:instrText>
      </w:r>
      <w:r w:rsidR="009D170B">
        <w:rPr>
          <w:lang w:val="en-US"/>
        </w:rPr>
        <w:instrText>No</w:instrText>
      </w:r>
      <w:r w:rsidR="009D170B" w:rsidRPr="00AA43FB">
        <w:instrText xml:space="preserve"> </w:instrText>
      </w:r>
      <w:r w:rsidR="009D170B">
        <w:rPr>
          <w:lang w:val="en-US"/>
        </w:rPr>
        <w:instrText>treatment</w:instrText>
      </w:r>
      <w:r w:rsidR="009D170B" w:rsidRPr="00AA43FB">
        <w:instrText>-</w:instrText>
      </w:r>
      <w:r w:rsidR="009D170B">
        <w:rPr>
          <w:lang w:val="en-US"/>
        </w:rPr>
        <w:instrText>related</w:instrText>
      </w:r>
      <w:r w:rsidR="009D170B" w:rsidRPr="00AA43FB">
        <w:instrText xml:space="preserve"> </w:instrText>
      </w:r>
      <w:r w:rsidR="009D170B">
        <w:rPr>
          <w:lang w:val="en-US"/>
        </w:rPr>
        <w:instrText>mortality</w:instrText>
      </w:r>
      <w:r w:rsidR="009D170B" w:rsidRPr="00AA43FB">
        <w:instrText xml:space="preserve"> </w:instrText>
      </w:r>
      <w:r w:rsidR="009D170B">
        <w:rPr>
          <w:lang w:val="en-US"/>
        </w:rPr>
        <w:instrText>was</w:instrText>
      </w:r>
      <w:r w:rsidR="009D170B" w:rsidRPr="00AA43FB">
        <w:instrText xml:space="preserve"> </w:instrText>
      </w:r>
      <w:r w:rsidR="009D170B">
        <w:rPr>
          <w:lang w:val="en-US"/>
        </w:rPr>
        <w:instrText>documented</w:instrText>
      </w:r>
      <w:r w:rsidR="009D170B" w:rsidRPr="00AA43FB">
        <w:instrText xml:space="preserve">. </w:instrText>
      </w:r>
      <w:r w:rsidR="009D170B">
        <w:rPr>
          <w:lang w:val="en-US"/>
        </w:rPr>
        <w:instrText>WHO</w:instrText>
      </w:r>
      <w:r w:rsidR="009D170B" w:rsidRPr="00AA43FB">
        <w:instrText xml:space="preserve"> </w:instrText>
      </w:r>
      <w:r w:rsidR="009D170B">
        <w:rPr>
          <w:lang w:val="en-US"/>
        </w:rPr>
        <w:instrText>grade</w:instrText>
      </w:r>
      <w:r w:rsidR="009D170B" w:rsidRPr="00AA43FB">
        <w:instrText xml:space="preserve"> </w:instrText>
      </w:r>
      <w:r w:rsidR="009D170B">
        <w:rPr>
          <w:lang w:val="en-US"/>
        </w:rPr>
        <w:instrText>III</w:instrText>
      </w:r>
      <w:r w:rsidR="009D170B" w:rsidRPr="00AA43FB">
        <w:instrText>-</w:instrText>
      </w:r>
      <w:r w:rsidR="009D170B">
        <w:rPr>
          <w:lang w:val="en-US"/>
        </w:rPr>
        <w:instrText>IV</w:instrText>
      </w:r>
      <w:r w:rsidR="009D170B" w:rsidRPr="00AA43FB">
        <w:instrText xml:space="preserve"> </w:instrText>
      </w:r>
      <w:r w:rsidR="009D170B">
        <w:rPr>
          <w:lang w:val="en-US"/>
        </w:rPr>
        <w:instrText>neutropenia</w:instrText>
      </w:r>
      <w:r w:rsidR="009D170B" w:rsidRPr="00AA43FB">
        <w:instrText xml:space="preserve"> </w:instrText>
      </w:r>
      <w:r w:rsidR="009D170B">
        <w:rPr>
          <w:lang w:val="en-US"/>
        </w:rPr>
        <w:instrText>and</w:instrText>
      </w:r>
      <w:r w:rsidR="009D170B" w:rsidRPr="00AA43FB">
        <w:instrText xml:space="preserve"> </w:instrText>
      </w:r>
      <w:r w:rsidR="009D170B">
        <w:rPr>
          <w:lang w:val="en-US"/>
        </w:rPr>
        <w:instrText>thrombocytopenia</w:instrText>
      </w:r>
      <w:r w:rsidR="009D170B" w:rsidRPr="00AA43FB">
        <w:instrText xml:space="preserve"> </w:instrText>
      </w:r>
      <w:r w:rsidR="009D170B">
        <w:rPr>
          <w:lang w:val="en-US"/>
        </w:rPr>
        <w:instrText>were</w:instrText>
      </w:r>
      <w:r w:rsidR="009D170B" w:rsidRPr="00AA43FB">
        <w:instrText xml:space="preserve"> 86% </w:instrText>
      </w:r>
      <w:r w:rsidR="009D170B">
        <w:rPr>
          <w:lang w:val="en-US"/>
        </w:rPr>
        <w:instrText>and</w:instrText>
      </w:r>
      <w:r w:rsidR="009D170B" w:rsidRPr="00AA43FB">
        <w:instrText xml:space="preserve"> 3%. </w:instrText>
      </w:r>
      <w:r w:rsidR="009D170B">
        <w:rPr>
          <w:lang w:val="en-US"/>
        </w:rPr>
        <w:instrText>Extra</w:instrText>
      </w:r>
      <w:r w:rsidR="009D170B" w:rsidRPr="00AA43FB">
        <w:instrText>-</w:instrText>
      </w:r>
      <w:r w:rsidR="009D170B">
        <w:rPr>
          <w:lang w:val="en-US"/>
        </w:rPr>
        <w:instrText>hematological</w:instrText>
      </w:r>
      <w:r w:rsidR="009D170B" w:rsidRPr="00AA43FB">
        <w:instrText xml:space="preserve"> </w:instrText>
      </w:r>
      <w:r w:rsidR="009D170B">
        <w:rPr>
          <w:lang w:val="en-US"/>
        </w:rPr>
        <w:instrText>III</w:instrText>
      </w:r>
      <w:r w:rsidR="009D170B" w:rsidRPr="00AA43FB">
        <w:instrText>-</w:instrText>
      </w:r>
      <w:r w:rsidR="009D170B">
        <w:rPr>
          <w:lang w:val="en-US"/>
        </w:rPr>
        <w:instrText>IV</w:instrText>
      </w:r>
      <w:r w:rsidR="009D170B" w:rsidRPr="00AA43FB">
        <w:instrText xml:space="preserve"> </w:instrText>
      </w:r>
      <w:r w:rsidR="009D170B">
        <w:rPr>
          <w:lang w:val="en-US"/>
        </w:rPr>
        <w:instrText>toxicity</w:instrText>
      </w:r>
      <w:r w:rsidR="009D170B" w:rsidRPr="00AA43FB">
        <w:instrText xml:space="preserve"> </w:instrText>
      </w:r>
      <w:r w:rsidR="009D170B">
        <w:rPr>
          <w:lang w:val="en-US"/>
        </w:rPr>
        <w:instrText>was</w:instrText>
      </w:r>
      <w:r w:rsidR="009D170B" w:rsidRPr="00AA43FB">
        <w:instrText xml:space="preserve"> </w:instrText>
      </w:r>
      <w:r w:rsidR="009D170B">
        <w:rPr>
          <w:lang w:val="en-US"/>
        </w:rPr>
        <w:instrText>represented</w:instrText>
      </w:r>
      <w:r w:rsidR="009D170B" w:rsidRPr="00AA43FB">
        <w:instrText xml:space="preserve">, </w:instrText>
      </w:r>
      <w:r w:rsidR="009D170B">
        <w:rPr>
          <w:lang w:val="en-US"/>
        </w:rPr>
        <w:instrText>respectively</w:instrText>
      </w:r>
      <w:r w:rsidR="009D170B" w:rsidRPr="00AA43FB">
        <w:instrText xml:space="preserve">, </w:instrText>
      </w:r>
      <w:r w:rsidR="009D170B">
        <w:rPr>
          <w:lang w:val="en-US"/>
        </w:rPr>
        <w:instrText>by</w:instrText>
      </w:r>
      <w:r w:rsidR="009D170B" w:rsidRPr="00AA43FB">
        <w:instrText xml:space="preserve"> </w:instrText>
      </w:r>
      <w:r w:rsidR="009D170B">
        <w:rPr>
          <w:lang w:val="en-US"/>
        </w:rPr>
        <w:instrText>a</w:instrText>
      </w:r>
      <w:r w:rsidR="009D170B" w:rsidRPr="00AA43FB">
        <w:instrText xml:space="preserve"> </w:instrText>
      </w:r>
      <w:r w:rsidR="009D170B">
        <w:rPr>
          <w:lang w:val="en-US"/>
        </w:rPr>
        <w:instrText>single</w:instrText>
      </w:r>
      <w:r w:rsidR="009D170B" w:rsidRPr="00AA43FB">
        <w:instrText xml:space="preserve"> </w:instrText>
      </w:r>
      <w:r w:rsidR="009D170B">
        <w:rPr>
          <w:lang w:val="en-US"/>
        </w:rPr>
        <w:instrText>case</w:instrText>
      </w:r>
      <w:r w:rsidR="009D170B" w:rsidRPr="00AA43FB">
        <w:instrText xml:space="preserve"> </w:instrText>
      </w:r>
      <w:r w:rsidR="009D170B">
        <w:rPr>
          <w:lang w:val="en-US"/>
        </w:rPr>
        <w:instrText>of</w:instrText>
      </w:r>
      <w:r w:rsidR="009D170B" w:rsidRPr="00AA43FB">
        <w:instrText xml:space="preserve"> </w:instrText>
      </w:r>
      <w:r w:rsidR="009D170B">
        <w:rPr>
          <w:lang w:val="en-US"/>
        </w:rPr>
        <w:instrText>infection</w:instrText>
      </w:r>
      <w:r w:rsidR="009D170B" w:rsidRPr="00AA43FB">
        <w:instrText xml:space="preserve">, </w:instrText>
      </w:r>
      <w:r w:rsidR="009D170B">
        <w:rPr>
          <w:lang w:val="en-US"/>
        </w:rPr>
        <w:instrText>mucositis</w:instrText>
      </w:r>
      <w:r w:rsidR="009D170B" w:rsidRPr="00AA43FB">
        <w:instrText xml:space="preserve">, </w:instrText>
      </w:r>
      <w:r w:rsidR="009D170B">
        <w:rPr>
          <w:lang w:val="en-US"/>
        </w:rPr>
        <w:instrText>and</w:instrText>
      </w:r>
      <w:r w:rsidR="009D170B" w:rsidRPr="00AA43FB">
        <w:instrText xml:space="preserve"> </w:instrText>
      </w:r>
      <w:r w:rsidR="009D170B">
        <w:rPr>
          <w:lang w:val="en-US"/>
        </w:rPr>
        <w:instrText>bleeding</w:instrText>
      </w:r>
      <w:r w:rsidR="009D170B" w:rsidRPr="00AA43FB">
        <w:instrText xml:space="preserve">. </w:instrText>
      </w:r>
      <w:r w:rsidR="009D170B">
        <w:rPr>
          <w:lang w:val="en-US"/>
        </w:rPr>
        <w:instrText>LVEF</w:instrText>
      </w:r>
      <w:r w:rsidR="009D170B" w:rsidRPr="00AA43FB">
        <w:instrText xml:space="preserve"> </w:instrText>
      </w:r>
      <w:r w:rsidR="009D170B">
        <w:rPr>
          <w:lang w:val="en-US"/>
        </w:rPr>
        <w:instrText>evaluations</w:instrText>
      </w:r>
      <w:r w:rsidR="009D170B" w:rsidRPr="00AA43FB">
        <w:instrText xml:space="preserve"> </w:instrText>
      </w:r>
      <w:r w:rsidR="009D170B">
        <w:rPr>
          <w:lang w:val="en-US"/>
        </w:rPr>
        <w:instrText>and</w:instrText>
      </w:r>
      <w:r w:rsidR="009D170B" w:rsidRPr="00AA43FB">
        <w:instrText xml:space="preserve"> </w:instrText>
      </w:r>
      <w:r w:rsidR="009D170B">
        <w:rPr>
          <w:lang w:val="en-US"/>
        </w:rPr>
        <w:instrText>the</w:instrText>
      </w:r>
      <w:r w:rsidR="009D170B" w:rsidRPr="00AA43FB">
        <w:instrText xml:space="preserve"> </w:instrText>
      </w:r>
      <w:r w:rsidR="009D170B">
        <w:rPr>
          <w:lang w:val="en-US"/>
        </w:rPr>
        <w:instrText>troponin</w:instrText>
      </w:r>
      <w:r w:rsidR="009D170B" w:rsidRPr="00AA43FB">
        <w:instrText xml:space="preserve"> </w:instrText>
      </w:r>
      <w:r w:rsidR="009D170B">
        <w:rPr>
          <w:lang w:val="en-US"/>
        </w:rPr>
        <w:instrText>levels</w:instrText>
      </w:r>
      <w:r w:rsidR="009D170B" w:rsidRPr="00AA43FB">
        <w:instrText xml:space="preserve"> </w:instrText>
      </w:r>
      <w:r w:rsidR="009D170B">
        <w:rPr>
          <w:lang w:val="en-US"/>
        </w:rPr>
        <w:instrText>did</w:instrText>
      </w:r>
      <w:r w:rsidR="009D170B" w:rsidRPr="00AA43FB">
        <w:instrText xml:space="preserve"> </w:instrText>
      </w:r>
      <w:r w:rsidR="009D170B">
        <w:rPr>
          <w:lang w:val="en-US"/>
        </w:rPr>
        <w:instrText>not</w:instrText>
      </w:r>
      <w:r w:rsidR="009D170B" w:rsidRPr="00AA43FB">
        <w:instrText xml:space="preserve"> </w:instrText>
      </w:r>
      <w:r w:rsidR="009D170B">
        <w:rPr>
          <w:lang w:val="en-US"/>
        </w:rPr>
        <w:instrText>show</w:instrText>
      </w:r>
      <w:r w:rsidR="009D170B" w:rsidRPr="00AA43FB">
        <w:instrText xml:space="preserve"> </w:instrText>
      </w:r>
      <w:r w:rsidR="009D170B">
        <w:rPr>
          <w:lang w:val="en-US"/>
        </w:rPr>
        <w:instrText>significant</w:instrText>
      </w:r>
      <w:r w:rsidR="009D170B" w:rsidRPr="00AA43FB">
        <w:instrText xml:space="preserve"> </w:instrText>
      </w:r>
      <w:r w:rsidR="009D170B">
        <w:rPr>
          <w:lang w:val="en-US"/>
        </w:rPr>
        <w:instrText>changes</w:instrText>
      </w:r>
      <w:r w:rsidR="009D170B" w:rsidRPr="00AA43FB">
        <w:instrText xml:space="preserve"> </w:instrText>
      </w:r>
      <w:r w:rsidR="009D170B">
        <w:rPr>
          <w:lang w:val="en-US"/>
        </w:rPr>
        <w:instrText>over</w:instrText>
      </w:r>
      <w:r w:rsidR="009D170B" w:rsidRPr="00AA43FB">
        <w:instrText xml:space="preserve"> </w:instrText>
      </w:r>
      <w:r w:rsidR="009D170B">
        <w:rPr>
          <w:lang w:val="en-US"/>
        </w:rPr>
        <w:instrText>the</w:instrText>
      </w:r>
      <w:r w:rsidR="009D170B" w:rsidRPr="00AA43FB">
        <w:instrText xml:space="preserve"> </w:instrText>
      </w:r>
      <w:r w:rsidR="009D170B">
        <w:rPr>
          <w:lang w:val="en-US"/>
        </w:rPr>
        <w:instrText>course</w:instrText>
      </w:r>
      <w:r w:rsidR="009D170B" w:rsidRPr="00AA43FB">
        <w:instrText xml:space="preserve"> </w:instrText>
      </w:r>
      <w:r w:rsidR="009D170B">
        <w:rPr>
          <w:lang w:val="en-US"/>
        </w:rPr>
        <w:instrText>of</w:instrText>
      </w:r>
      <w:r w:rsidR="009D170B" w:rsidRPr="00AA43FB">
        <w:instrText xml:space="preserve"> </w:instrText>
      </w:r>
      <w:r w:rsidR="009D170B">
        <w:rPr>
          <w:lang w:val="en-US"/>
        </w:rPr>
        <w:instrText>the</w:instrText>
      </w:r>
      <w:r w:rsidR="009D170B" w:rsidRPr="00AA43FB">
        <w:instrText xml:space="preserve"> </w:instrText>
      </w:r>
      <w:r w:rsidR="009D170B">
        <w:rPr>
          <w:lang w:val="en-US"/>
        </w:rPr>
        <w:instrText>treatment</w:instrText>
      </w:r>
      <w:r w:rsidR="009D170B" w:rsidRPr="00AA43FB">
        <w:instrText xml:space="preserve">. </w:instrText>
      </w:r>
      <w:r w:rsidR="009D170B">
        <w:rPr>
          <w:lang w:val="en-US"/>
        </w:rPr>
        <w:instrText>One</w:instrText>
      </w:r>
      <w:r w:rsidR="009D170B" w:rsidRPr="00AA43FB">
        <w:instrText xml:space="preserve"> </w:instrText>
      </w:r>
      <w:r w:rsidR="009D170B">
        <w:rPr>
          <w:lang w:val="en-US"/>
        </w:rPr>
        <w:instrText>patient</w:instrText>
      </w:r>
      <w:r w:rsidR="009D170B" w:rsidRPr="00AA43FB">
        <w:instrText xml:space="preserve"> </w:instrText>
      </w:r>
      <w:r w:rsidR="009D170B">
        <w:rPr>
          <w:lang w:val="en-US"/>
        </w:rPr>
        <w:instrText>with</w:instrText>
      </w:r>
      <w:r w:rsidR="009D170B" w:rsidRPr="00AA43FB">
        <w:instrText xml:space="preserve"> </w:instrText>
      </w:r>
      <w:r w:rsidR="009D170B">
        <w:rPr>
          <w:lang w:val="en-US"/>
        </w:rPr>
        <w:instrText>a</w:instrText>
      </w:r>
      <w:r w:rsidR="009D170B" w:rsidRPr="00AA43FB">
        <w:instrText xml:space="preserve"> </w:instrText>
      </w:r>
      <w:r w:rsidR="009D170B">
        <w:rPr>
          <w:lang w:val="en-US"/>
        </w:rPr>
        <w:instrText>previous</w:instrText>
      </w:r>
      <w:r w:rsidR="009D170B" w:rsidRPr="00AA43FB">
        <w:instrText xml:space="preserve"> </w:instrText>
      </w:r>
      <w:r w:rsidR="009D170B">
        <w:rPr>
          <w:lang w:val="en-US"/>
        </w:rPr>
        <w:instrText>history</w:instrText>
      </w:r>
      <w:r w:rsidR="009D170B" w:rsidRPr="00AA43FB">
        <w:instrText xml:space="preserve"> </w:instrText>
      </w:r>
      <w:r w:rsidR="009D170B">
        <w:rPr>
          <w:lang w:val="en-US"/>
        </w:rPr>
        <w:instrText>of</w:instrText>
      </w:r>
      <w:r w:rsidR="009D170B" w:rsidRPr="00AA43FB">
        <w:instrText xml:space="preserve"> </w:instrText>
      </w:r>
      <w:r w:rsidR="009D170B">
        <w:rPr>
          <w:lang w:val="en-US"/>
        </w:rPr>
        <w:instrText>atrial</w:instrText>
      </w:r>
      <w:r w:rsidR="009D170B" w:rsidRPr="00AA43FB">
        <w:instrText xml:space="preserve"> </w:instrText>
      </w:r>
      <w:r w:rsidR="009D170B">
        <w:rPr>
          <w:lang w:val="en-US"/>
        </w:rPr>
        <w:instrText>fibrillation</w:instrText>
      </w:r>
      <w:r w:rsidR="009D170B" w:rsidRPr="00AA43FB">
        <w:instrText xml:space="preserve"> </w:instrText>
      </w:r>
      <w:r w:rsidR="009D170B">
        <w:rPr>
          <w:lang w:val="en-US"/>
        </w:rPr>
        <w:instrText>experienced</w:instrText>
      </w:r>
      <w:r w:rsidR="009D170B" w:rsidRPr="00AA43FB">
        <w:instrText xml:space="preserve"> </w:instrText>
      </w:r>
      <w:r w:rsidR="009D170B">
        <w:rPr>
          <w:lang w:val="en-US"/>
        </w:rPr>
        <w:instrText>a</w:instrText>
      </w:r>
      <w:r w:rsidR="009D170B" w:rsidRPr="00AA43FB">
        <w:instrText xml:space="preserve"> </w:instrText>
      </w:r>
      <w:r w:rsidR="009D170B">
        <w:rPr>
          <w:lang w:val="en-US"/>
        </w:rPr>
        <w:instrText>single</w:instrText>
      </w:r>
      <w:r w:rsidR="009D170B" w:rsidRPr="00AA43FB">
        <w:instrText xml:space="preserve"> </w:instrText>
      </w:r>
      <w:r w:rsidR="009D170B">
        <w:rPr>
          <w:lang w:val="en-US"/>
        </w:rPr>
        <w:instrText>episode</w:instrText>
      </w:r>
      <w:r w:rsidR="009D170B" w:rsidRPr="00AA43FB">
        <w:instrText xml:space="preserve"> </w:instrText>
      </w:r>
      <w:r w:rsidR="009D170B">
        <w:rPr>
          <w:lang w:val="en-US"/>
        </w:rPr>
        <w:instrText>of</w:instrText>
      </w:r>
      <w:r w:rsidR="009D170B" w:rsidRPr="00AA43FB">
        <w:instrText xml:space="preserve"> </w:instrText>
      </w:r>
      <w:r w:rsidR="009D170B">
        <w:rPr>
          <w:lang w:val="en-US"/>
        </w:rPr>
        <w:instrText>arrhythmia</w:instrText>
      </w:r>
      <w:r w:rsidR="009D170B" w:rsidRPr="00AA43FB">
        <w:instrText xml:space="preserve">. </w:instrText>
      </w:r>
      <w:r w:rsidR="009D170B">
        <w:rPr>
          <w:lang w:val="en-US"/>
        </w:rPr>
        <w:instrText>None</w:instrText>
      </w:r>
      <w:r w:rsidR="009D170B" w:rsidRPr="00AA43FB">
        <w:instrText xml:space="preserve"> </w:instrText>
      </w:r>
      <w:r w:rsidR="009D170B">
        <w:rPr>
          <w:lang w:val="en-US"/>
        </w:rPr>
        <w:instrText>of</w:instrText>
      </w:r>
      <w:r w:rsidR="009D170B" w:rsidRPr="00AA43FB">
        <w:instrText xml:space="preserve"> </w:instrText>
      </w:r>
      <w:r w:rsidR="009D170B">
        <w:rPr>
          <w:lang w:val="en-US"/>
        </w:rPr>
        <w:instrText>the</w:instrText>
      </w:r>
      <w:r w:rsidR="009D170B" w:rsidRPr="00AA43FB">
        <w:instrText xml:space="preserve"> </w:instrText>
      </w:r>
      <w:r w:rsidR="009D170B">
        <w:rPr>
          <w:lang w:val="en-US"/>
        </w:rPr>
        <w:instrText>patients</w:instrText>
      </w:r>
      <w:r w:rsidR="009D170B" w:rsidRPr="00AA43FB">
        <w:instrText xml:space="preserve"> </w:instrText>
      </w:r>
      <w:r w:rsidR="009D170B">
        <w:rPr>
          <w:lang w:val="en-US"/>
        </w:rPr>
        <w:instrText>developed</w:instrText>
      </w:r>
      <w:r w:rsidR="009D170B" w:rsidRPr="00AA43FB">
        <w:instrText xml:space="preserve"> </w:instrText>
      </w:r>
      <w:r w:rsidR="009D170B">
        <w:rPr>
          <w:lang w:val="en-US"/>
        </w:rPr>
        <w:instrText>palmar</w:instrText>
      </w:r>
      <w:r w:rsidR="009D170B" w:rsidRPr="00AA43FB">
        <w:instrText>-</w:instrText>
      </w:r>
      <w:r w:rsidR="009D170B">
        <w:rPr>
          <w:lang w:val="en-US"/>
        </w:rPr>
        <w:instrText>plantar</w:instrText>
      </w:r>
      <w:r w:rsidR="009D170B" w:rsidRPr="00AA43FB">
        <w:instrText xml:space="preserve"> </w:instrText>
      </w:r>
      <w:r w:rsidR="009D170B">
        <w:rPr>
          <w:lang w:val="en-US"/>
        </w:rPr>
        <w:instrText>erythrodysesthesia</w:instrText>
      </w:r>
      <w:r w:rsidR="009D170B" w:rsidRPr="00AA43FB">
        <w:instrText xml:space="preserve">. </w:instrText>
      </w:r>
      <w:r w:rsidR="009D170B">
        <w:rPr>
          <w:lang w:val="en-US"/>
        </w:rPr>
        <w:instrText>This</w:instrText>
      </w:r>
      <w:r w:rsidR="009D170B" w:rsidRPr="00AA43FB">
        <w:instrText xml:space="preserve"> </w:instrText>
      </w:r>
      <w:r w:rsidR="009D170B">
        <w:rPr>
          <w:lang w:val="en-US"/>
        </w:rPr>
        <w:instrText>regimen</w:instrText>
      </w:r>
      <w:r w:rsidR="009D170B" w:rsidRPr="00AA43FB">
        <w:instrText xml:space="preserve"> </w:instrText>
      </w:r>
      <w:r w:rsidR="009D170B">
        <w:rPr>
          <w:lang w:val="en-US"/>
        </w:rPr>
        <w:instrText>appears</w:instrText>
      </w:r>
      <w:r w:rsidR="009D170B" w:rsidRPr="00AA43FB">
        <w:instrText xml:space="preserve"> </w:instrText>
      </w:r>
      <w:r w:rsidR="009D170B">
        <w:rPr>
          <w:lang w:val="en-US"/>
        </w:rPr>
        <w:instrText>an</w:instrText>
      </w:r>
      <w:r w:rsidR="009D170B" w:rsidRPr="00AA43FB">
        <w:instrText xml:space="preserve"> </w:instrText>
      </w:r>
      <w:r w:rsidR="009D170B">
        <w:rPr>
          <w:lang w:val="en-US"/>
        </w:rPr>
        <w:instrText>active</w:instrText>
      </w:r>
      <w:r w:rsidR="009D170B" w:rsidRPr="00AA43FB">
        <w:instrText xml:space="preserve"> </w:instrText>
      </w:r>
      <w:r w:rsidR="009D170B">
        <w:rPr>
          <w:lang w:val="en-US"/>
        </w:rPr>
        <w:instrText>regimen</w:instrText>
      </w:r>
      <w:r w:rsidR="009D170B" w:rsidRPr="00AA43FB">
        <w:instrText xml:space="preserve"> </w:instrText>
      </w:r>
      <w:r w:rsidR="009D170B">
        <w:rPr>
          <w:lang w:val="en-US"/>
        </w:rPr>
        <w:instrText>for</w:instrText>
      </w:r>
      <w:r w:rsidR="009D170B" w:rsidRPr="00AA43FB">
        <w:instrText xml:space="preserve"> </w:instrText>
      </w:r>
      <w:r w:rsidR="009D170B">
        <w:rPr>
          <w:lang w:val="en-US"/>
        </w:rPr>
        <w:instrText>the</w:instrText>
      </w:r>
      <w:r w:rsidR="009D170B" w:rsidRPr="00AA43FB">
        <w:instrText xml:space="preserve"> </w:instrText>
      </w:r>
      <w:r w:rsidR="009D170B">
        <w:rPr>
          <w:lang w:val="en-US"/>
        </w:rPr>
        <w:instrText>treatment</w:instrText>
      </w:r>
      <w:r w:rsidR="009D170B" w:rsidRPr="00AA43FB">
        <w:instrText xml:space="preserve"> </w:instrText>
      </w:r>
      <w:r w:rsidR="009D170B">
        <w:rPr>
          <w:lang w:val="en-US"/>
        </w:rPr>
        <w:instrText>of</w:instrText>
      </w:r>
      <w:r w:rsidR="009D170B" w:rsidRPr="00AA43FB">
        <w:instrText xml:space="preserve"> </w:instrText>
      </w:r>
      <w:r w:rsidR="009D170B">
        <w:rPr>
          <w:lang w:val="en-US"/>
        </w:rPr>
        <w:instrText>elderly</w:instrText>
      </w:r>
      <w:r w:rsidR="009D170B" w:rsidRPr="00AA43FB">
        <w:instrText xml:space="preserve"> </w:instrText>
      </w:r>
      <w:r w:rsidR="009D170B">
        <w:rPr>
          <w:lang w:val="en-US"/>
        </w:rPr>
        <w:instrText>patients</w:instrText>
      </w:r>
      <w:r w:rsidR="009D170B" w:rsidRPr="00AA43FB">
        <w:instrText xml:space="preserve"> </w:instrText>
      </w:r>
      <w:r w:rsidR="009D170B">
        <w:rPr>
          <w:lang w:val="en-US"/>
        </w:rPr>
        <w:instrText>with</w:instrText>
      </w:r>
      <w:r w:rsidR="009D170B" w:rsidRPr="00AA43FB">
        <w:instrText xml:space="preserve"> </w:instrText>
      </w:r>
      <w:r w:rsidR="009D170B">
        <w:rPr>
          <w:lang w:val="en-US"/>
        </w:rPr>
        <w:instrText>B</w:instrText>
      </w:r>
      <w:r w:rsidR="009D170B" w:rsidRPr="00AA43FB">
        <w:instrText>-</w:instrText>
      </w:r>
      <w:r w:rsidR="009D170B">
        <w:rPr>
          <w:lang w:val="en-US"/>
        </w:rPr>
        <w:instrText>DLCL</w:instrText>
      </w:r>
      <w:r w:rsidR="009D170B" w:rsidRPr="00AA43FB">
        <w:instrText xml:space="preserve">. </w:instrText>
      </w:r>
      <w:r w:rsidR="009D170B">
        <w:rPr>
          <w:lang w:val="en-US"/>
        </w:rPr>
        <w:instrText>The</w:instrText>
      </w:r>
      <w:r w:rsidR="009D170B" w:rsidRPr="00AA43FB">
        <w:instrText xml:space="preserve"> </w:instrText>
      </w:r>
      <w:r w:rsidR="009D170B">
        <w:rPr>
          <w:lang w:val="en-US"/>
        </w:rPr>
        <w:instrText>replacement</w:instrText>
      </w:r>
      <w:r w:rsidR="009D170B" w:rsidRPr="00AA43FB">
        <w:instrText xml:space="preserve"> </w:instrText>
      </w:r>
      <w:r w:rsidR="009D170B">
        <w:rPr>
          <w:lang w:val="en-US"/>
        </w:rPr>
        <w:instrText>of</w:instrText>
      </w:r>
      <w:r w:rsidR="009D170B" w:rsidRPr="00AA43FB">
        <w:instrText xml:space="preserve"> </w:instrText>
      </w:r>
      <w:r w:rsidR="009D170B">
        <w:rPr>
          <w:lang w:val="en-US"/>
        </w:rPr>
        <w:instrText>conventional</w:instrText>
      </w:r>
      <w:r w:rsidR="009D170B" w:rsidRPr="00AA43FB">
        <w:instrText xml:space="preserve"> </w:instrText>
      </w:r>
      <w:r w:rsidR="009D170B">
        <w:rPr>
          <w:lang w:val="en-US"/>
        </w:rPr>
        <w:instrText>doxorubicin</w:instrText>
      </w:r>
      <w:r w:rsidR="009D170B" w:rsidRPr="00AA43FB">
        <w:instrText xml:space="preserve"> </w:instrText>
      </w:r>
      <w:r w:rsidR="009D170B">
        <w:rPr>
          <w:lang w:val="en-US"/>
        </w:rPr>
        <w:instrText>with</w:instrText>
      </w:r>
      <w:r w:rsidR="009D170B" w:rsidRPr="00AA43FB">
        <w:instrText xml:space="preserve"> </w:instrText>
      </w:r>
      <w:r w:rsidR="009D170B">
        <w:rPr>
          <w:lang w:val="en-US"/>
        </w:rPr>
        <w:instrText>PL</w:instrText>
      </w:r>
      <w:r w:rsidR="009D170B" w:rsidRPr="00AA43FB">
        <w:instrText>-</w:instrText>
      </w:r>
      <w:r w:rsidR="009D170B">
        <w:rPr>
          <w:lang w:val="en-US"/>
        </w:rPr>
        <w:instrText>doxorubicin</w:instrText>
      </w:r>
      <w:r w:rsidR="009D170B" w:rsidRPr="00AA43FB">
        <w:instrText xml:space="preserve"> </w:instrText>
      </w:r>
      <w:r w:rsidR="009D170B">
        <w:rPr>
          <w:lang w:val="en-US"/>
        </w:rPr>
        <w:instrText>seems</w:instrText>
      </w:r>
      <w:r w:rsidR="009D170B" w:rsidRPr="00AA43FB">
        <w:instrText xml:space="preserve"> </w:instrText>
      </w:r>
      <w:r w:rsidR="009D170B">
        <w:rPr>
          <w:lang w:val="en-US"/>
        </w:rPr>
        <w:instrText>to</w:instrText>
      </w:r>
      <w:r w:rsidR="009D170B" w:rsidRPr="00AA43FB">
        <w:instrText xml:space="preserve"> </w:instrText>
      </w:r>
      <w:r w:rsidR="009D170B">
        <w:rPr>
          <w:lang w:val="en-US"/>
        </w:rPr>
        <w:instrText>be</w:instrText>
      </w:r>
      <w:r w:rsidR="009D170B" w:rsidRPr="00AA43FB">
        <w:instrText xml:space="preserve"> </w:instrText>
      </w:r>
      <w:r w:rsidR="009D170B">
        <w:rPr>
          <w:lang w:val="en-US"/>
        </w:rPr>
        <w:instrText>associated</w:instrText>
      </w:r>
      <w:r w:rsidR="009D170B" w:rsidRPr="00AA43FB">
        <w:instrText xml:space="preserve"> </w:instrText>
      </w:r>
      <w:r w:rsidR="009D170B">
        <w:rPr>
          <w:lang w:val="en-US"/>
        </w:rPr>
        <w:instrText>with</w:instrText>
      </w:r>
      <w:r w:rsidR="009D170B" w:rsidRPr="00AA43FB">
        <w:instrText xml:space="preserve"> </w:instrText>
      </w:r>
      <w:r w:rsidR="009D170B">
        <w:rPr>
          <w:lang w:val="en-US"/>
        </w:rPr>
        <w:instrText>a</w:instrText>
      </w:r>
      <w:r w:rsidR="009D170B" w:rsidRPr="00AA43FB">
        <w:instrText xml:space="preserve"> </w:instrText>
      </w:r>
      <w:r w:rsidR="009D170B">
        <w:rPr>
          <w:lang w:val="en-US"/>
        </w:rPr>
        <w:instrText>negligible</w:instrText>
      </w:r>
      <w:r w:rsidR="009D170B" w:rsidRPr="00AA43FB">
        <w:instrText xml:space="preserve"> </w:instrText>
      </w:r>
      <w:r w:rsidR="009D170B">
        <w:rPr>
          <w:lang w:val="en-US"/>
        </w:rPr>
        <w:instrText>incidence</w:instrText>
      </w:r>
      <w:r w:rsidR="009D170B" w:rsidRPr="00AA43FB">
        <w:instrText xml:space="preserve"> </w:instrText>
      </w:r>
      <w:r w:rsidR="009D170B">
        <w:rPr>
          <w:lang w:val="en-US"/>
        </w:rPr>
        <w:instrText>of</w:instrText>
      </w:r>
      <w:r w:rsidR="009D170B" w:rsidRPr="00AA43FB">
        <w:instrText xml:space="preserve"> </w:instrText>
      </w:r>
      <w:r w:rsidR="009D170B">
        <w:rPr>
          <w:lang w:val="en-US"/>
        </w:rPr>
        <w:instrText>extra</w:instrText>
      </w:r>
      <w:r w:rsidR="009D170B" w:rsidRPr="00AA43FB">
        <w:instrText>-</w:instrText>
      </w:r>
      <w:r w:rsidR="009D170B">
        <w:rPr>
          <w:lang w:val="en-US"/>
        </w:rPr>
        <w:instrText>hematological</w:instrText>
      </w:r>
      <w:r w:rsidR="009D170B" w:rsidRPr="00AA43FB">
        <w:instrText xml:space="preserve"> </w:instrText>
      </w:r>
      <w:r w:rsidR="009D170B">
        <w:rPr>
          <w:lang w:val="en-US"/>
        </w:rPr>
        <w:instrText>toxicity</w:instrText>
      </w:r>
      <w:r w:rsidR="009D170B" w:rsidRPr="00AA43FB">
        <w:instrText xml:space="preserve">, </w:instrText>
      </w:r>
      <w:r w:rsidR="009D170B">
        <w:rPr>
          <w:lang w:val="en-US"/>
        </w:rPr>
        <w:instrText>in</w:instrText>
      </w:r>
      <w:r w:rsidR="009D170B" w:rsidRPr="00AA43FB">
        <w:instrText xml:space="preserve"> </w:instrText>
      </w:r>
      <w:r w:rsidR="009D170B">
        <w:rPr>
          <w:lang w:val="en-US"/>
        </w:rPr>
        <w:instrText>particular</w:instrText>
      </w:r>
      <w:r w:rsidR="009D170B" w:rsidRPr="00AA43FB">
        <w:instrText xml:space="preserve"> </w:instrText>
      </w:r>
      <w:r w:rsidR="009D170B">
        <w:rPr>
          <w:lang w:val="en-US"/>
        </w:rPr>
        <w:instrText>cardiac</w:instrText>
      </w:r>
      <w:r w:rsidR="009D170B" w:rsidRPr="00AA43FB">
        <w:instrText xml:space="preserve"> </w:instrText>
      </w:r>
      <w:r w:rsidR="009D170B">
        <w:rPr>
          <w:lang w:val="en-US"/>
        </w:rPr>
        <w:instrText>and</w:instrText>
      </w:r>
      <w:r w:rsidR="009D170B" w:rsidRPr="00AA43FB">
        <w:instrText xml:space="preserve"> </w:instrText>
      </w:r>
      <w:r w:rsidR="009D170B">
        <w:rPr>
          <w:lang w:val="en-US"/>
        </w:rPr>
        <w:instrText>infectious</w:instrText>
      </w:r>
      <w:r w:rsidR="009D170B" w:rsidRPr="00AA43FB">
        <w:instrText xml:space="preserve"> </w:instrText>
      </w:r>
      <w:r w:rsidR="009D170B">
        <w:rPr>
          <w:lang w:val="en-US"/>
        </w:rPr>
        <w:instrText>complications</w:instrText>
      </w:r>
      <w:r w:rsidR="009D170B" w:rsidRPr="00AA43FB">
        <w:instrText>.","</w:instrText>
      </w:r>
      <w:r w:rsidR="009D170B">
        <w:rPr>
          <w:lang w:val="en-US"/>
        </w:rPr>
        <w:instrText>author</w:instrText>
      </w:r>
      <w:r w:rsidR="009D170B" w:rsidRPr="00AA43FB">
        <w:instrText>":[{"</w:instrText>
      </w:r>
      <w:r w:rsidR="009D170B">
        <w:rPr>
          <w:lang w:val="en-US"/>
        </w:rPr>
        <w:instrText>dropping</w:instrText>
      </w:r>
      <w:r w:rsidR="009D170B" w:rsidRPr="00AA43FB">
        <w:instrText>-</w:instrText>
      </w:r>
      <w:r w:rsidR="009D170B">
        <w:rPr>
          <w:lang w:val="en-US"/>
        </w:rPr>
        <w:instrText>particle</w:instrText>
      </w:r>
      <w:r w:rsidR="009D170B" w:rsidRPr="00AA43FB">
        <w:instrText>":"","</w:instrText>
      </w:r>
      <w:r w:rsidR="009D170B">
        <w:rPr>
          <w:lang w:val="en-US"/>
        </w:rPr>
        <w:instrText>family</w:instrText>
      </w:r>
      <w:r w:rsidR="009D170B" w:rsidRPr="00AA43FB">
        <w:instrText>":"</w:instrText>
      </w:r>
      <w:r w:rsidR="009D170B">
        <w:rPr>
          <w:lang w:val="en-US"/>
        </w:rPr>
        <w:instrText>Zaja</w:instrText>
      </w:r>
      <w:r w:rsidR="009D170B" w:rsidRPr="00AA43FB">
        <w:instrText>","</w:instrText>
      </w:r>
      <w:r w:rsidR="009D170B">
        <w:rPr>
          <w:lang w:val="en-US"/>
        </w:rPr>
        <w:instrText>given</w:instrText>
      </w:r>
      <w:r w:rsidR="009D170B" w:rsidRPr="00AA43FB">
        <w:instrText>":"</w:instrText>
      </w:r>
      <w:r w:rsidR="009D170B">
        <w:rPr>
          <w:lang w:val="en-US"/>
        </w:rPr>
        <w:instrText>F</w:instrText>
      </w:r>
      <w:r w:rsidR="009D170B" w:rsidRPr="00AA43FB">
        <w:instrText>.","</w:instrText>
      </w:r>
      <w:r w:rsidR="009D170B">
        <w:rPr>
          <w:lang w:val="en-US"/>
        </w:rPr>
        <w:instrText>non</w:instrText>
      </w:r>
      <w:r w:rsidR="009D170B" w:rsidRPr="00AA43FB">
        <w:instrText>-</w:instrText>
      </w:r>
      <w:r w:rsidR="009D170B">
        <w:rPr>
          <w:lang w:val="en-US"/>
        </w:rPr>
        <w:instrText>dropping</w:instrText>
      </w:r>
      <w:r w:rsidR="009D170B" w:rsidRPr="00AA43FB">
        <w:instrText>-</w:instrText>
      </w:r>
      <w:r w:rsidR="009D170B">
        <w:rPr>
          <w:lang w:val="en-US"/>
        </w:rPr>
        <w:instrText>particle</w:instrText>
      </w:r>
      <w:r w:rsidR="009D170B" w:rsidRPr="00AA43FB">
        <w:instrText>":"","</w:instrText>
      </w:r>
      <w:r w:rsidR="009D170B">
        <w:rPr>
          <w:lang w:val="en-US"/>
        </w:rPr>
        <w:instrText>parse</w:instrText>
      </w:r>
      <w:r w:rsidR="009D170B" w:rsidRPr="00AA43FB">
        <w:instrText>-</w:instrText>
      </w:r>
      <w:r w:rsidR="009D170B">
        <w:rPr>
          <w:lang w:val="en-US"/>
        </w:rPr>
        <w:instrText>names</w:instrText>
      </w:r>
      <w:r w:rsidR="009D170B" w:rsidRPr="00AA43FB">
        <w:instrText>":</w:instrText>
      </w:r>
      <w:r w:rsidR="009D170B">
        <w:rPr>
          <w:lang w:val="en-US"/>
        </w:rPr>
        <w:instrText>false</w:instrText>
      </w:r>
      <w:r w:rsidR="009D170B" w:rsidRPr="00AA43FB">
        <w:instrText>,"</w:instrText>
      </w:r>
      <w:r w:rsidR="009D170B">
        <w:rPr>
          <w:lang w:val="en-US"/>
        </w:rPr>
        <w:instrText>suffix</w:instrText>
      </w:r>
      <w:r w:rsidR="009D170B" w:rsidRPr="00AA43FB">
        <w:instrText>":""},{"</w:instrText>
      </w:r>
      <w:r w:rsidR="009D170B">
        <w:rPr>
          <w:lang w:val="en-US"/>
        </w:rPr>
        <w:instrText>dropping</w:instrText>
      </w:r>
      <w:r w:rsidR="009D170B" w:rsidRPr="00AA43FB">
        <w:instrText>-</w:instrText>
      </w:r>
      <w:r w:rsidR="009D170B">
        <w:rPr>
          <w:lang w:val="en-US"/>
        </w:rPr>
        <w:instrText>particle</w:instrText>
      </w:r>
      <w:r w:rsidR="009D170B" w:rsidRPr="00AA43FB">
        <w:instrText>":"","</w:instrText>
      </w:r>
      <w:r w:rsidR="009D170B">
        <w:rPr>
          <w:lang w:val="en-US"/>
        </w:rPr>
        <w:instrText>family</w:instrText>
      </w:r>
      <w:r w:rsidR="009D170B" w:rsidRPr="00AA43FB">
        <w:instrText>":"</w:instrText>
      </w:r>
      <w:r w:rsidR="009D170B">
        <w:rPr>
          <w:lang w:val="en-US"/>
        </w:rPr>
        <w:instrText>Tomadini</w:instrText>
      </w:r>
      <w:r w:rsidR="009D170B" w:rsidRPr="00AA43FB">
        <w:instrText>","</w:instrText>
      </w:r>
      <w:r w:rsidR="009D170B">
        <w:rPr>
          <w:lang w:val="en-US"/>
        </w:rPr>
        <w:instrText>given</w:instrText>
      </w:r>
      <w:r w:rsidR="009D170B" w:rsidRPr="00AA43FB">
        <w:instrText>":"</w:instrText>
      </w:r>
      <w:r w:rsidR="009D170B">
        <w:rPr>
          <w:lang w:val="en-US"/>
        </w:rPr>
        <w:instrText>V</w:instrText>
      </w:r>
      <w:r w:rsidR="009D170B" w:rsidRPr="00AA43FB">
        <w:instrText>.","</w:instrText>
      </w:r>
      <w:r w:rsidR="009D170B">
        <w:rPr>
          <w:lang w:val="en-US"/>
        </w:rPr>
        <w:instrText>non</w:instrText>
      </w:r>
      <w:r w:rsidR="009D170B" w:rsidRPr="00AA43FB">
        <w:instrText>-</w:instrText>
      </w:r>
      <w:r w:rsidR="009D170B">
        <w:rPr>
          <w:lang w:val="en-US"/>
        </w:rPr>
        <w:instrText>dropping</w:instrText>
      </w:r>
      <w:r w:rsidR="009D170B" w:rsidRPr="00AA43FB">
        <w:instrText>-</w:instrText>
      </w:r>
      <w:r w:rsidR="009D170B">
        <w:rPr>
          <w:lang w:val="en-US"/>
        </w:rPr>
        <w:instrText>particle</w:instrText>
      </w:r>
      <w:r w:rsidR="009D170B" w:rsidRPr="00AA43FB">
        <w:instrText>":"","</w:instrText>
      </w:r>
      <w:r w:rsidR="009D170B">
        <w:rPr>
          <w:lang w:val="en-US"/>
        </w:rPr>
        <w:instrText>parse</w:instrText>
      </w:r>
      <w:r w:rsidR="009D170B" w:rsidRPr="00AA43FB">
        <w:instrText>-</w:instrText>
      </w:r>
      <w:r w:rsidR="009D170B">
        <w:rPr>
          <w:lang w:val="en-US"/>
        </w:rPr>
        <w:instrText>names</w:instrText>
      </w:r>
      <w:r w:rsidR="009D170B" w:rsidRPr="00AA43FB">
        <w:instrText>":</w:instrText>
      </w:r>
      <w:r w:rsidR="009D170B">
        <w:rPr>
          <w:lang w:val="en-US"/>
        </w:rPr>
        <w:instrText>false</w:instrText>
      </w:r>
      <w:r w:rsidR="009D170B" w:rsidRPr="00AA43FB">
        <w:instrText>,"</w:instrText>
      </w:r>
      <w:r w:rsidR="009D170B">
        <w:rPr>
          <w:lang w:val="en-US"/>
        </w:rPr>
        <w:instrText>suffix</w:instrText>
      </w:r>
      <w:r w:rsidR="009D170B" w:rsidRPr="00AA43FB">
        <w:instrText>":""},{"</w:instrText>
      </w:r>
      <w:r w:rsidR="009D170B">
        <w:rPr>
          <w:lang w:val="en-US"/>
        </w:rPr>
        <w:instrText>dropping</w:instrText>
      </w:r>
      <w:r w:rsidR="009D170B" w:rsidRPr="00AA43FB">
        <w:instrText>-</w:instrText>
      </w:r>
      <w:r w:rsidR="009D170B">
        <w:rPr>
          <w:lang w:val="en-US"/>
        </w:rPr>
        <w:instrText>particle</w:instrText>
      </w:r>
      <w:r w:rsidR="009D170B" w:rsidRPr="00AA43FB">
        <w:instrText>":"","</w:instrText>
      </w:r>
      <w:r w:rsidR="009D170B">
        <w:rPr>
          <w:lang w:val="en-US"/>
        </w:rPr>
        <w:instrText>family</w:instrText>
      </w:r>
      <w:r w:rsidR="009D170B" w:rsidRPr="00AA43FB">
        <w:instrText>":"</w:instrText>
      </w:r>
      <w:r w:rsidR="009D170B">
        <w:rPr>
          <w:lang w:val="en-US"/>
        </w:rPr>
        <w:instrText>Zaccaria</w:instrText>
      </w:r>
      <w:r w:rsidR="009D170B" w:rsidRPr="00AA43FB">
        <w:instrText>","</w:instrText>
      </w:r>
      <w:r w:rsidR="009D170B">
        <w:rPr>
          <w:lang w:val="en-US"/>
        </w:rPr>
        <w:instrText>given</w:instrText>
      </w:r>
      <w:r w:rsidR="009D170B" w:rsidRPr="00AA43FB">
        <w:instrText>":"</w:instrText>
      </w:r>
      <w:r w:rsidR="009D170B">
        <w:rPr>
          <w:lang w:val="en-US"/>
        </w:rPr>
        <w:instrText>A</w:instrText>
      </w:r>
      <w:r w:rsidR="009D170B" w:rsidRPr="00AA43FB">
        <w:instrText>.","</w:instrText>
      </w:r>
      <w:r w:rsidR="009D170B">
        <w:rPr>
          <w:lang w:val="en-US"/>
        </w:rPr>
        <w:instrText>non</w:instrText>
      </w:r>
      <w:r w:rsidR="009D170B" w:rsidRPr="00AA43FB">
        <w:instrText>-</w:instrText>
      </w:r>
      <w:r w:rsidR="009D170B">
        <w:rPr>
          <w:lang w:val="en-US"/>
        </w:rPr>
        <w:instrText>dropping</w:instrText>
      </w:r>
      <w:r w:rsidR="009D170B" w:rsidRPr="00AA43FB">
        <w:instrText>-</w:instrText>
      </w:r>
      <w:r w:rsidR="009D170B">
        <w:rPr>
          <w:lang w:val="en-US"/>
        </w:rPr>
        <w:instrText>particle</w:instrText>
      </w:r>
      <w:r w:rsidR="009D170B" w:rsidRPr="00AA43FB">
        <w:instrText>":"","</w:instrText>
      </w:r>
      <w:r w:rsidR="009D170B">
        <w:rPr>
          <w:lang w:val="en-US"/>
        </w:rPr>
        <w:instrText>parse</w:instrText>
      </w:r>
      <w:r w:rsidR="009D170B" w:rsidRPr="00AA43FB">
        <w:instrText>-</w:instrText>
      </w:r>
      <w:r w:rsidR="009D170B">
        <w:rPr>
          <w:lang w:val="en-US"/>
        </w:rPr>
        <w:instrText>names</w:instrText>
      </w:r>
      <w:r w:rsidR="009D170B" w:rsidRPr="00AA43FB">
        <w:instrText>":</w:instrText>
      </w:r>
      <w:r w:rsidR="009D170B">
        <w:rPr>
          <w:lang w:val="en-US"/>
        </w:rPr>
        <w:instrText>false</w:instrText>
      </w:r>
      <w:r w:rsidR="009D170B" w:rsidRPr="00AA43FB">
        <w:instrText>,"</w:instrText>
      </w:r>
      <w:r w:rsidR="009D170B">
        <w:rPr>
          <w:lang w:val="en-US"/>
        </w:rPr>
        <w:instrText>suffix</w:instrText>
      </w:r>
      <w:r w:rsidR="009D170B" w:rsidRPr="00AA43FB">
        <w:instrText>":""},{"</w:instrText>
      </w:r>
      <w:r w:rsidR="009D170B">
        <w:rPr>
          <w:lang w:val="en-US"/>
        </w:rPr>
        <w:instrText>dropping</w:instrText>
      </w:r>
      <w:r w:rsidR="009D170B" w:rsidRPr="00AA43FB">
        <w:instrText>-</w:instrText>
      </w:r>
      <w:r w:rsidR="009D170B">
        <w:rPr>
          <w:lang w:val="en-US"/>
        </w:rPr>
        <w:instrText>particle</w:instrText>
      </w:r>
      <w:r w:rsidR="009D170B" w:rsidRPr="00AA43FB">
        <w:instrText>":"","</w:instrText>
      </w:r>
      <w:r w:rsidR="009D170B">
        <w:rPr>
          <w:lang w:val="en-US"/>
        </w:rPr>
        <w:instrText>family</w:instrText>
      </w:r>
      <w:r w:rsidR="009D170B" w:rsidRPr="00AA43FB">
        <w:instrText>":"</w:instrText>
      </w:r>
      <w:r w:rsidR="009D170B">
        <w:rPr>
          <w:lang w:val="en-US"/>
        </w:rPr>
        <w:instrText>Lenoci</w:instrText>
      </w:r>
      <w:r w:rsidR="009D170B" w:rsidRPr="00AA43FB">
        <w:instrText>","</w:instrText>
      </w:r>
      <w:r w:rsidR="009D170B">
        <w:rPr>
          <w:lang w:val="en-US"/>
        </w:rPr>
        <w:instrText>given</w:instrText>
      </w:r>
      <w:r w:rsidR="009D170B" w:rsidRPr="00AA43FB">
        <w:instrText>":"</w:instrText>
      </w:r>
      <w:r w:rsidR="009D170B">
        <w:rPr>
          <w:lang w:val="en-US"/>
        </w:rPr>
        <w:instrText>M</w:instrText>
      </w:r>
      <w:r w:rsidR="009D170B" w:rsidRPr="00AA43FB">
        <w:instrText>.","</w:instrText>
      </w:r>
      <w:r w:rsidR="009D170B">
        <w:rPr>
          <w:lang w:val="en-US"/>
        </w:rPr>
        <w:instrText>non</w:instrText>
      </w:r>
      <w:r w:rsidR="009D170B" w:rsidRPr="00AA43FB">
        <w:instrText>-</w:instrText>
      </w:r>
      <w:r w:rsidR="009D170B">
        <w:rPr>
          <w:lang w:val="en-US"/>
        </w:rPr>
        <w:instrText>dropping</w:instrText>
      </w:r>
      <w:r w:rsidR="009D170B" w:rsidRPr="00AA43FB">
        <w:instrText>-</w:instrText>
      </w:r>
      <w:r w:rsidR="009D170B">
        <w:rPr>
          <w:lang w:val="en-US"/>
        </w:rPr>
        <w:instrText>particle</w:instrText>
      </w:r>
      <w:r w:rsidR="009D170B" w:rsidRPr="00AA43FB">
        <w:instrText>":"","</w:instrText>
      </w:r>
      <w:r w:rsidR="009D170B">
        <w:rPr>
          <w:lang w:val="en-US"/>
        </w:rPr>
        <w:instrText>parse</w:instrText>
      </w:r>
      <w:r w:rsidR="009D170B" w:rsidRPr="00AA43FB">
        <w:instrText>-</w:instrText>
      </w:r>
      <w:r w:rsidR="009D170B">
        <w:rPr>
          <w:lang w:val="en-US"/>
        </w:rPr>
        <w:instrText>names</w:instrText>
      </w:r>
      <w:r w:rsidR="009D170B" w:rsidRPr="00AA43FB">
        <w:instrText>":</w:instrText>
      </w:r>
      <w:r w:rsidR="009D170B">
        <w:rPr>
          <w:lang w:val="en-US"/>
        </w:rPr>
        <w:instrText>false</w:instrText>
      </w:r>
      <w:r w:rsidR="009D170B" w:rsidRPr="00AA43FB">
        <w:instrText>,"</w:instrText>
      </w:r>
      <w:r w:rsidR="009D170B">
        <w:rPr>
          <w:lang w:val="en-US"/>
        </w:rPr>
        <w:instrText>suffix</w:instrText>
      </w:r>
      <w:r w:rsidR="009D170B" w:rsidRPr="00AA43FB">
        <w:instrText>":""},{"</w:instrText>
      </w:r>
      <w:r w:rsidR="009D170B">
        <w:rPr>
          <w:lang w:val="en-US"/>
        </w:rPr>
        <w:instrText>dropping</w:instrText>
      </w:r>
      <w:r w:rsidR="009D170B" w:rsidRPr="00AA43FB">
        <w:instrText>-</w:instrText>
      </w:r>
      <w:r w:rsidR="009D170B">
        <w:rPr>
          <w:lang w:val="en-US"/>
        </w:rPr>
        <w:instrText>particle</w:instrText>
      </w:r>
      <w:r w:rsidR="009D170B" w:rsidRPr="00AA43FB">
        <w:instrText>":"","</w:instrText>
      </w:r>
      <w:r w:rsidR="009D170B">
        <w:rPr>
          <w:lang w:val="en-US"/>
        </w:rPr>
        <w:instrText>family</w:instrText>
      </w:r>
      <w:r w:rsidR="009D170B" w:rsidRPr="00AA43FB">
        <w:instrText>":"</w:instrText>
      </w:r>
      <w:r w:rsidR="009D170B">
        <w:rPr>
          <w:lang w:val="en-US"/>
        </w:rPr>
        <w:instrText>Battista</w:instrText>
      </w:r>
      <w:r w:rsidR="009D170B" w:rsidRPr="00AA43FB">
        <w:instrText>","</w:instrText>
      </w:r>
      <w:r w:rsidR="009D170B">
        <w:rPr>
          <w:lang w:val="en-US"/>
        </w:rPr>
        <w:instrText>given</w:instrText>
      </w:r>
      <w:r w:rsidR="009D170B" w:rsidRPr="00AA43FB">
        <w:instrText>":"</w:instrText>
      </w:r>
      <w:r w:rsidR="009D170B">
        <w:rPr>
          <w:lang w:val="en-US"/>
        </w:rPr>
        <w:instrText>M</w:instrText>
      </w:r>
      <w:r w:rsidR="009D170B" w:rsidRPr="00AA43FB">
        <w:instrText>.","</w:instrText>
      </w:r>
      <w:r w:rsidR="009D170B">
        <w:rPr>
          <w:lang w:val="en-US"/>
        </w:rPr>
        <w:instrText>non</w:instrText>
      </w:r>
      <w:r w:rsidR="009D170B" w:rsidRPr="00AA43FB">
        <w:instrText>-</w:instrText>
      </w:r>
      <w:r w:rsidR="009D170B">
        <w:rPr>
          <w:lang w:val="en-US"/>
        </w:rPr>
        <w:instrText>dropping</w:instrText>
      </w:r>
      <w:r w:rsidR="009D170B" w:rsidRPr="00AA43FB">
        <w:instrText>-</w:instrText>
      </w:r>
      <w:r w:rsidR="009D170B">
        <w:rPr>
          <w:lang w:val="en-US"/>
        </w:rPr>
        <w:instrText>particle</w:instrText>
      </w:r>
      <w:r w:rsidR="009D170B" w:rsidRPr="00AA43FB">
        <w:instrText>":"","</w:instrText>
      </w:r>
      <w:r w:rsidR="009D170B">
        <w:rPr>
          <w:lang w:val="en-US"/>
        </w:rPr>
        <w:instrText>parse</w:instrText>
      </w:r>
      <w:r w:rsidR="009D170B" w:rsidRPr="00AA43FB">
        <w:instrText>-</w:instrText>
      </w:r>
      <w:r w:rsidR="009D170B">
        <w:rPr>
          <w:lang w:val="en-US"/>
        </w:rPr>
        <w:instrText>names</w:instrText>
      </w:r>
      <w:r w:rsidR="009D170B" w:rsidRPr="00AA43FB">
        <w:instrText>":</w:instrText>
      </w:r>
      <w:r w:rsidR="009D170B">
        <w:rPr>
          <w:lang w:val="en-US"/>
        </w:rPr>
        <w:instrText>false</w:instrText>
      </w:r>
      <w:r w:rsidR="009D170B" w:rsidRPr="00AA43FB">
        <w:instrText>,"</w:instrText>
      </w:r>
      <w:r w:rsidR="009D170B">
        <w:rPr>
          <w:lang w:val="en-US"/>
        </w:rPr>
        <w:instrText>suffix</w:instrText>
      </w:r>
      <w:r w:rsidR="009D170B" w:rsidRPr="00AA43FB">
        <w:instrText>":""},{"</w:instrText>
      </w:r>
      <w:r w:rsidR="009D170B">
        <w:rPr>
          <w:lang w:val="en-US"/>
        </w:rPr>
        <w:instrText>dropping</w:instrText>
      </w:r>
      <w:r w:rsidR="009D170B" w:rsidRPr="00AA43FB">
        <w:instrText>-</w:instrText>
      </w:r>
      <w:r w:rsidR="009D170B">
        <w:rPr>
          <w:lang w:val="en-US"/>
        </w:rPr>
        <w:instrText>particle</w:instrText>
      </w:r>
      <w:r w:rsidR="009D170B" w:rsidRPr="00AA43FB">
        <w:instrText>":"","</w:instrText>
      </w:r>
      <w:r w:rsidR="009D170B">
        <w:rPr>
          <w:lang w:val="en-US"/>
        </w:rPr>
        <w:instrText>family</w:instrText>
      </w:r>
      <w:r w:rsidR="009D170B" w:rsidRPr="00AA43FB">
        <w:instrText>":"</w:instrText>
      </w:r>
      <w:r w:rsidR="009D170B">
        <w:rPr>
          <w:lang w:val="en-US"/>
        </w:rPr>
        <w:instrText>Molinari</w:instrText>
      </w:r>
      <w:r w:rsidR="009D170B" w:rsidRPr="00AA43FB">
        <w:instrText>","</w:instrText>
      </w:r>
      <w:r w:rsidR="009D170B">
        <w:rPr>
          <w:lang w:val="en-US"/>
        </w:rPr>
        <w:instrText>given</w:instrText>
      </w:r>
      <w:r w:rsidR="009D170B" w:rsidRPr="00AA43FB">
        <w:instrText>":"</w:instrText>
      </w:r>
      <w:r w:rsidR="009D170B">
        <w:rPr>
          <w:lang w:val="en-US"/>
        </w:rPr>
        <w:instrText>A</w:instrText>
      </w:r>
      <w:r w:rsidR="009D170B" w:rsidRPr="00AA43FB">
        <w:instrText xml:space="preserve">. </w:instrText>
      </w:r>
      <w:r w:rsidR="009D170B">
        <w:rPr>
          <w:lang w:val="en-US"/>
        </w:rPr>
        <w:instrText>L</w:instrText>
      </w:r>
      <w:r w:rsidR="009D170B" w:rsidRPr="00AA43FB">
        <w:instrText>.","</w:instrText>
      </w:r>
      <w:r w:rsidR="009D170B">
        <w:rPr>
          <w:lang w:val="en-US"/>
        </w:rPr>
        <w:instrText>non</w:instrText>
      </w:r>
      <w:r w:rsidR="009D170B" w:rsidRPr="00AA43FB">
        <w:instrText>-</w:instrText>
      </w:r>
      <w:r w:rsidR="009D170B">
        <w:rPr>
          <w:lang w:val="en-US"/>
        </w:rPr>
        <w:instrText>dropping</w:instrText>
      </w:r>
      <w:r w:rsidR="009D170B" w:rsidRPr="00AA43FB">
        <w:instrText>-</w:instrText>
      </w:r>
      <w:r w:rsidR="009D170B">
        <w:rPr>
          <w:lang w:val="en-US"/>
        </w:rPr>
        <w:instrText>particle</w:instrText>
      </w:r>
      <w:r w:rsidR="009D170B" w:rsidRPr="00AA43FB">
        <w:instrText>":"","</w:instrText>
      </w:r>
      <w:r w:rsidR="009D170B">
        <w:rPr>
          <w:lang w:val="en-US"/>
        </w:rPr>
        <w:instrText>parse</w:instrText>
      </w:r>
      <w:r w:rsidR="009D170B" w:rsidRPr="00AA43FB">
        <w:instrText>-</w:instrText>
      </w:r>
      <w:r w:rsidR="009D170B">
        <w:rPr>
          <w:lang w:val="en-US"/>
        </w:rPr>
        <w:instrText>names</w:instrText>
      </w:r>
      <w:r w:rsidR="009D170B" w:rsidRPr="00AA43FB">
        <w:instrText>":</w:instrText>
      </w:r>
      <w:r w:rsidR="009D170B">
        <w:rPr>
          <w:lang w:val="en-US"/>
        </w:rPr>
        <w:instrText>false</w:instrText>
      </w:r>
      <w:r w:rsidR="009D170B" w:rsidRPr="00AA43FB">
        <w:instrText>,"</w:instrText>
      </w:r>
      <w:r w:rsidR="009D170B">
        <w:rPr>
          <w:lang w:val="en-US"/>
        </w:rPr>
        <w:instrText>suffix</w:instrText>
      </w:r>
      <w:r w:rsidR="009D170B" w:rsidRPr="00AA43FB">
        <w:instrText>":""},{"</w:instrText>
      </w:r>
      <w:r w:rsidR="009D170B">
        <w:rPr>
          <w:lang w:val="en-US"/>
        </w:rPr>
        <w:instrText>dropping</w:instrText>
      </w:r>
      <w:r w:rsidR="009D170B" w:rsidRPr="00AA43FB">
        <w:instrText>-</w:instrText>
      </w:r>
      <w:r w:rsidR="009D170B">
        <w:rPr>
          <w:lang w:val="en-US"/>
        </w:rPr>
        <w:instrText>particle</w:instrText>
      </w:r>
      <w:r w:rsidR="009D170B" w:rsidRPr="00AA43FB">
        <w:instrText>":"","</w:instrText>
      </w:r>
      <w:r w:rsidR="009D170B">
        <w:rPr>
          <w:lang w:val="en-US"/>
        </w:rPr>
        <w:instrText>family</w:instrText>
      </w:r>
      <w:r w:rsidR="009D170B" w:rsidRPr="00AA43FB">
        <w:instrText>":"</w:instrText>
      </w:r>
      <w:r w:rsidR="009D170B">
        <w:rPr>
          <w:lang w:val="en-US"/>
        </w:rPr>
        <w:instrText>Fabbri</w:instrText>
      </w:r>
      <w:r w:rsidR="009D170B" w:rsidRPr="00AA43FB">
        <w:instrText>","</w:instrText>
      </w:r>
      <w:r w:rsidR="009D170B">
        <w:rPr>
          <w:lang w:val="en-US"/>
        </w:rPr>
        <w:instrText>given</w:instrText>
      </w:r>
      <w:r w:rsidR="009D170B" w:rsidRPr="00AA43FB">
        <w:instrText>":"</w:instrText>
      </w:r>
      <w:r w:rsidR="009D170B">
        <w:rPr>
          <w:lang w:val="en-US"/>
        </w:rPr>
        <w:instrText>A</w:instrText>
      </w:r>
      <w:r w:rsidR="009D170B" w:rsidRPr="00AA43FB">
        <w:instrText>.","</w:instrText>
      </w:r>
      <w:r w:rsidR="009D170B">
        <w:rPr>
          <w:lang w:val="en-US"/>
        </w:rPr>
        <w:instrText>non</w:instrText>
      </w:r>
      <w:r w:rsidR="009D170B" w:rsidRPr="00AA43FB">
        <w:instrText>-</w:instrText>
      </w:r>
      <w:r w:rsidR="009D170B">
        <w:rPr>
          <w:lang w:val="en-US"/>
        </w:rPr>
        <w:instrText>dropping</w:instrText>
      </w:r>
      <w:r w:rsidR="009D170B" w:rsidRPr="00AA43FB">
        <w:instrText>-</w:instrText>
      </w:r>
      <w:r w:rsidR="009D170B">
        <w:rPr>
          <w:lang w:val="en-US"/>
        </w:rPr>
        <w:instrText>particle</w:instrText>
      </w:r>
      <w:r w:rsidR="009D170B" w:rsidRPr="00AA43FB">
        <w:instrText>":"","</w:instrText>
      </w:r>
      <w:r w:rsidR="009D170B">
        <w:rPr>
          <w:lang w:val="en-US"/>
        </w:rPr>
        <w:instrText>parse</w:instrText>
      </w:r>
      <w:r w:rsidR="009D170B" w:rsidRPr="00AA43FB">
        <w:instrText>-</w:instrText>
      </w:r>
      <w:r w:rsidR="009D170B">
        <w:rPr>
          <w:lang w:val="en-US"/>
        </w:rPr>
        <w:instrText>names</w:instrText>
      </w:r>
      <w:r w:rsidR="009D170B" w:rsidRPr="00AA43FB">
        <w:instrText>":</w:instrText>
      </w:r>
      <w:r w:rsidR="009D170B">
        <w:rPr>
          <w:lang w:val="en-US"/>
        </w:rPr>
        <w:instrText>false</w:instrText>
      </w:r>
      <w:r w:rsidR="009D170B" w:rsidRPr="00AA43FB">
        <w:instrText>,"</w:instrText>
      </w:r>
      <w:r w:rsidR="009D170B">
        <w:rPr>
          <w:lang w:val="en-US"/>
        </w:rPr>
        <w:instrText>suffix</w:instrText>
      </w:r>
      <w:r w:rsidR="009D170B" w:rsidRPr="00AA43FB">
        <w:instrText>":""},{"</w:instrText>
      </w:r>
      <w:r w:rsidR="009D170B">
        <w:rPr>
          <w:lang w:val="en-US"/>
        </w:rPr>
        <w:instrText>dropping</w:instrText>
      </w:r>
      <w:r w:rsidR="009D170B" w:rsidRPr="00AA43FB">
        <w:instrText>-</w:instrText>
      </w:r>
      <w:r w:rsidR="009D170B">
        <w:rPr>
          <w:lang w:val="en-US"/>
        </w:rPr>
        <w:instrText>particle</w:instrText>
      </w:r>
      <w:r w:rsidR="009D170B" w:rsidRPr="00AA43FB">
        <w:instrText>":"","</w:instrText>
      </w:r>
      <w:r w:rsidR="009D170B">
        <w:rPr>
          <w:lang w:val="en-US"/>
        </w:rPr>
        <w:instrText>family</w:instrText>
      </w:r>
      <w:r w:rsidR="009D170B" w:rsidRPr="00AA43FB">
        <w:instrText>":"</w:instrText>
      </w:r>
      <w:r w:rsidR="009D170B">
        <w:rPr>
          <w:lang w:val="en-US"/>
        </w:rPr>
        <w:instrText>Battista</w:instrText>
      </w:r>
      <w:r w:rsidR="009D170B" w:rsidRPr="00AA43FB">
        <w:instrText>","</w:instrText>
      </w:r>
      <w:r w:rsidR="009D170B">
        <w:rPr>
          <w:lang w:val="en-US"/>
        </w:rPr>
        <w:instrText>given</w:instrText>
      </w:r>
      <w:r w:rsidR="009D170B" w:rsidRPr="00AA43FB">
        <w:instrText>":"</w:instrText>
      </w:r>
      <w:r w:rsidR="009D170B">
        <w:rPr>
          <w:lang w:val="en-US"/>
        </w:rPr>
        <w:instrText>R</w:instrText>
      </w:r>
      <w:r w:rsidR="009D170B" w:rsidRPr="00AA43FB">
        <w:instrText>.","</w:instrText>
      </w:r>
      <w:r w:rsidR="009D170B">
        <w:rPr>
          <w:lang w:val="en-US"/>
        </w:rPr>
        <w:instrText>non</w:instrText>
      </w:r>
      <w:r w:rsidR="009D170B" w:rsidRPr="00AA43FB">
        <w:instrText>-</w:instrText>
      </w:r>
      <w:r w:rsidR="009D170B">
        <w:rPr>
          <w:lang w:val="en-US"/>
        </w:rPr>
        <w:instrText>dropping</w:instrText>
      </w:r>
      <w:r w:rsidR="009D170B" w:rsidRPr="00AA43FB">
        <w:instrText>-</w:instrText>
      </w:r>
      <w:r w:rsidR="009D170B">
        <w:rPr>
          <w:lang w:val="en-US"/>
        </w:rPr>
        <w:instrText>particle</w:instrText>
      </w:r>
      <w:r w:rsidR="009D170B" w:rsidRPr="00AA43FB">
        <w:instrText>":"","</w:instrText>
      </w:r>
      <w:r w:rsidR="009D170B">
        <w:rPr>
          <w:lang w:val="en-US"/>
        </w:rPr>
        <w:instrText>parse</w:instrText>
      </w:r>
      <w:r w:rsidR="009D170B" w:rsidRPr="00AA43FB">
        <w:instrText>-</w:instrText>
      </w:r>
      <w:r w:rsidR="009D170B">
        <w:rPr>
          <w:lang w:val="en-US"/>
        </w:rPr>
        <w:instrText>names</w:instrText>
      </w:r>
      <w:r w:rsidR="009D170B" w:rsidRPr="00AA43FB">
        <w:instrText>":</w:instrText>
      </w:r>
      <w:r w:rsidR="009D170B">
        <w:rPr>
          <w:lang w:val="en-US"/>
        </w:rPr>
        <w:instrText>false</w:instrText>
      </w:r>
      <w:r w:rsidR="009D170B" w:rsidRPr="00AA43FB">
        <w:instrText>,"</w:instrText>
      </w:r>
      <w:r w:rsidR="009D170B">
        <w:rPr>
          <w:lang w:val="en-US"/>
        </w:rPr>
        <w:instrText>suffix</w:instrText>
      </w:r>
      <w:r w:rsidR="009D170B" w:rsidRPr="00AA43FB">
        <w:instrText>":""},{"</w:instrText>
      </w:r>
      <w:r w:rsidR="009D170B">
        <w:rPr>
          <w:lang w:val="en-US"/>
        </w:rPr>
        <w:instrText>dropping</w:instrText>
      </w:r>
      <w:r w:rsidR="009D170B" w:rsidRPr="00AA43FB">
        <w:instrText>-</w:instrText>
      </w:r>
      <w:r w:rsidR="009D170B">
        <w:rPr>
          <w:lang w:val="en-US"/>
        </w:rPr>
        <w:instrText>particle</w:instrText>
      </w:r>
      <w:r w:rsidR="009D170B" w:rsidRPr="00AA43FB">
        <w:instrText>":"","</w:instrText>
      </w:r>
      <w:r w:rsidR="009D170B">
        <w:rPr>
          <w:lang w:val="en-US"/>
        </w:rPr>
        <w:instrText>family</w:instrText>
      </w:r>
      <w:r w:rsidR="009D170B" w:rsidRPr="00AA43FB">
        <w:instrText>":"</w:instrText>
      </w:r>
      <w:r w:rsidR="009D170B">
        <w:rPr>
          <w:lang w:val="en-US"/>
        </w:rPr>
        <w:instrText>Cabras</w:instrText>
      </w:r>
      <w:r w:rsidR="009D170B" w:rsidRPr="00AA43FB">
        <w:instrText>","</w:instrText>
      </w:r>
      <w:r w:rsidR="009D170B">
        <w:rPr>
          <w:lang w:val="en-US"/>
        </w:rPr>
        <w:instrText>given</w:instrText>
      </w:r>
      <w:r w:rsidR="009D170B" w:rsidRPr="00AA43FB">
        <w:instrText>":"</w:instrText>
      </w:r>
      <w:r w:rsidR="009D170B">
        <w:rPr>
          <w:lang w:val="en-US"/>
        </w:rPr>
        <w:instrText>M</w:instrText>
      </w:r>
      <w:r w:rsidR="009D170B" w:rsidRPr="00AA43FB">
        <w:instrText xml:space="preserve">. </w:instrText>
      </w:r>
      <w:r w:rsidR="009D170B">
        <w:rPr>
          <w:lang w:val="en-US"/>
        </w:rPr>
        <w:instrText>G</w:instrText>
      </w:r>
      <w:r w:rsidR="009D170B" w:rsidRPr="00AA43FB">
        <w:instrText>.","</w:instrText>
      </w:r>
      <w:r w:rsidR="009D170B">
        <w:rPr>
          <w:lang w:val="en-US"/>
        </w:rPr>
        <w:instrText>non</w:instrText>
      </w:r>
      <w:r w:rsidR="009D170B" w:rsidRPr="00AA43FB">
        <w:instrText>-</w:instrText>
      </w:r>
      <w:r w:rsidR="009D170B">
        <w:rPr>
          <w:lang w:val="en-US"/>
        </w:rPr>
        <w:instrText>dropping</w:instrText>
      </w:r>
      <w:r w:rsidR="009D170B" w:rsidRPr="00AA43FB">
        <w:instrText>-</w:instrText>
      </w:r>
      <w:r w:rsidR="009D170B">
        <w:rPr>
          <w:lang w:val="en-US"/>
        </w:rPr>
        <w:instrText>particle</w:instrText>
      </w:r>
      <w:r w:rsidR="009D170B" w:rsidRPr="00AA43FB">
        <w:instrText>":"","</w:instrText>
      </w:r>
      <w:r w:rsidR="009D170B">
        <w:rPr>
          <w:lang w:val="en-US"/>
        </w:rPr>
        <w:instrText>parse</w:instrText>
      </w:r>
      <w:r w:rsidR="009D170B" w:rsidRPr="00AA43FB">
        <w:instrText>-</w:instrText>
      </w:r>
      <w:r w:rsidR="009D170B">
        <w:rPr>
          <w:lang w:val="en-US"/>
        </w:rPr>
        <w:instrText>names</w:instrText>
      </w:r>
      <w:r w:rsidR="009D170B" w:rsidRPr="00AA43FB">
        <w:instrText>":</w:instrText>
      </w:r>
      <w:r w:rsidR="009D170B">
        <w:rPr>
          <w:lang w:val="en-US"/>
        </w:rPr>
        <w:instrText>false</w:instrText>
      </w:r>
      <w:r w:rsidR="009D170B" w:rsidRPr="00AA43FB">
        <w:instrText>,"</w:instrText>
      </w:r>
      <w:r w:rsidR="009D170B">
        <w:rPr>
          <w:lang w:val="en-US"/>
        </w:rPr>
        <w:instrText>suffix</w:instrText>
      </w:r>
      <w:r w:rsidR="009D170B" w:rsidRPr="00AA43FB">
        <w:instrText>":""},{"</w:instrText>
      </w:r>
      <w:r w:rsidR="009D170B">
        <w:rPr>
          <w:lang w:val="en-US"/>
        </w:rPr>
        <w:instrText>dropping</w:instrText>
      </w:r>
      <w:r w:rsidR="009D170B" w:rsidRPr="00AA43FB">
        <w:instrText>-</w:instrText>
      </w:r>
      <w:r w:rsidR="009D170B">
        <w:rPr>
          <w:lang w:val="en-US"/>
        </w:rPr>
        <w:instrText>particle</w:instrText>
      </w:r>
      <w:r w:rsidR="009D170B" w:rsidRPr="00AA43FB">
        <w:instrText>":"","</w:instrText>
      </w:r>
      <w:r w:rsidR="009D170B">
        <w:rPr>
          <w:lang w:val="en-US"/>
        </w:rPr>
        <w:instrText>family</w:instrText>
      </w:r>
      <w:r w:rsidR="009D170B" w:rsidRPr="00AA43FB">
        <w:instrText>":"</w:instrText>
      </w:r>
      <w:r w:rsidR="009D170B">
        <w:rPr>
          <w:lang w:val="en-US"/>
        </w:rPr>
        <w:instrText>Gallamini</w:instrText>
      </w:r>
      <w:r w:rsidR="009D170B" w:rsidRPr="00AA43FB">
        <w:instrText>","</w:instrText>
      </w:r>
      <w:r w:rsidR="009D170B">
        <w:rPr>
          <w:lang w:val="en-US"/>
        </w:rPr>
        <w:instrText>given</w:instrText>
      </w:r>
      <w:r w:rsidR="009D170B" w:rsidRPr="00AA43FB">
        <w:instrText>":"</w:instrText>
      </w:r>
      <w:r w:rsidR="009D170B">
        <w:rPr>
          <w:lang w:val="en-US"/>
        </w:rPr>
        <w:instrText>A</w:instrText>
      </w:r>
      <w:r w:rsidR="009D170B" w:rsidRPr="00AA43FB">
        <w:instrText>.","</w:instrText>
      </w:r>
      <w:r w:rsidR="009D170B">
        <w:rPr>
          <w:lang w:val="en-US"/>
        </w:rPr>
        <w:instrText>non</w:instrText>
      </w:r>
      <w:r w:rsidR="009D170B" w:rsidRPr="00AA43FB">
        <w:instrText>-</w:instrText>
      </w:r>
      <w:r w:rsidR="009D170B">
        <w:rPr>
          <w:lang w:val="en-US"/>
        </w:rPr>
        <w:instrText>dropping</w:instrText>
      </w:r>
      <w:r w:rsidR="009D170B" w:rsidRPr="00AA43FB">
        <w:instrText>-</w:instrText>
      </w:r>
      <w:r w:rsidR="009D170B">
        <w:rPr>
          <w:lang w:val="en-US"/>
        </w:rPr>
        <w:instrText>particle</w:instrText>
      </w:r>
      <w:r w:rsidR="009D170B" w:rsidRPr="00AA43FB">
        <w:instrText>":"","</w:instrText>
      </w:r>
      <w:r w:rsidR="009D170B">
        <w:rPr>
          <w:lang w:val="en-US"/>
        </w:rPr>
        <w:instrText>parse</w:instrText>
      </w:r>
      <w:r w:rsidR="009D170B" w:rsidRPr="00AA43FB">
        <w:instrText>-</w:instrText>
      </w:r>
      <w:r w:rsidR="009D170B">
        <w:rPr>
          <w:lang w:val="en-US"/>
        </w:rPr>
        <w:instrText>names</w:instrText>
      </w:r>
      <w:r w:rsidR="009D170B" w:rsidRPr="00AA43FB">
        <w:instrText>":</w:instrText>
      </w:r>
      <w:r w:rsidR="009D170B">
        <w:rPr>
          <w:lang w:val="en-US"/>
        </w:rPr>
        <w:instrText>false</w:instrText>
      </w:r>
      <w:r w:rsidR="009D170B" w:rsidRPr="00AA43FB">
        <w:instrText>,"</w:instrText>
      </w:r>
      <w:r w:rsidR="009D170B">
        <w:rPr>
          <w:lang w:val="en-US"/>
        </w:rPr>
        <w:instrText>suffix</w:instrText>
      </w:r>
      <w:r w:rsidR="009D170B" w:rsidRPr="00AA43FB">
        <w:instrText>":""},{"</w:instrText>
      </w:r>
      <w:r w:rsidR="009D170B">
        <w:rPr>
          <w:lang w:val="en-US"/>
        </w:rPr>
        <w:instrText>dropping</w:instrText>
      </w:r>
      <w:r w:rsidR="009D170B" w:rsidRPr="00AA43FB">
        <w:instrText>-</w:instrText>
      </w:r>
      <w:r w:rsidR="009D170B">
        <w:rPr>
          <w:lang w:val="en-US"/>
        </w:rPr>
        <w:instrText>particle</w:instrText>
      </w:r>
      <w:r w:rsidR="009D170B" w:rsidRPr="00AA43FB">
        <w:instrText>":"","</w:instrText>
      </w:r>
      <w:r w:rsidR="009D170B">
        <w:rPr>
          <w:lang w:val="en-US"/>
        </w:rPr>
        <w:instrText>family</w:instrText>
      </w:r>
      <w:r w:rsidR="009D170B" w:rsidRPr="00AA43FB">
        <w:instrText>":"</w:instrText>
      </w:r>
      <w:r w:rsidR="009D170B">
        <w:rPr>
          <w:lang w:val="en-US"/>
        </w:rPr>
        <w:instrText>Fanin</w:instrText>
      </w:r>
      <w:r w:rsidR="009D170B" w:rsidRPr="00AA43FB">
        <w:instrText>","</w:instrText>
      </w:r>
      <w:r w:rsidR="009D170B">
        <w:rPr>
          <w:lang w:val="en-US"/>
        </w:rPr>
        <w:instrText>given":"R.","non-dropping-particle":"","parse-names":false,"suffix":""}],"container-title":"Leukemia and Lymphoma","id":"ITEM-1","issue":"10","issued":{"date-parts":[["2006","10"]]},"page":"2174-2180","title":"CHOP-rituximab with pegylated liposomal doxorubicin for the treatment of elderly patients with diffuse large B-cell lymphoma","type":"article-journal","volume":"47"},"uris":["http://www.mendeley.com/documents/?uuid=f43fc2fc-c6d0-394a-ab16-c200c65f161a"]}],"mendeley":{"formattedCitation":"[67]","plainTextFormattedCitation":"[67]","previouslyFormattedCitation":"[67]"},"properties":{"noteIndex":0},"schema":"https://github.com/citation-style-language/schema/raw/master/csl-citation.json"}</w:instrText>
      </w:r>
      <w:r w:rsidRPr="000322E4">
        <w:fldChar w:fldCharType="separate"/>
      </w:r>
      <w:r w:rsidR="00095D58" w:rsidRPr="00095D58">
        <w:rPr>
          <w:noProof/>
        </w:rPr>
        <w:t>[67]</w:t>
      </w:r>
      <w:r w:rsidRPr="000322E4">
        <w:fldChar w:fldCharType="end"/>
      </w:r>
    </w:p>
    <w:p w14:paraId="1BB2AF0F" w14:textId="77777777" w:rsidR="00666D68" w:rsidRPr="000322E4" w:rsidRDefault="00666D68" w:rsidP="00F414BF">
      <w:pPr>
        <w:spacing w:line="360" w:lineRule="auto"/>
        <w:ind w:left="360"/>
        <w:jc w:val="both"/>
      </w:pPr>
    </w:p>
    <w:p w14:paraId="30F2A46C" w14:textId="2B4EA4D5" w:rsidR="00666D68" w:rsidRPr="00D714AB" w:rsidRDefault="00666D68" w:rsidP="00F414BF">
      <w:pPr>
        <w:spacing w:line="360" w:lineRule="auto"/>
        <w:jc w:val="both"/>
      </w:pPr>
      <w:r w:rsidRPr="000322E4">
        <w:rPr>
          <w:b/>
          <w:bCs/>
          <w:lang w:val="en-US"/>
        </w:rPr>
        <w:t>R</w:t>
      </w:r>
      <w:r w:rsidRPr="000322E4">
        <w:rPr>
          <w:b/>
          <w:bCs/>
        </w:rPr>
        <w:t>-</w:t>
      </w:r>
      <w:r w:rsidRPr="000322E4">
        <w:rPr>
          <w:b/>
          <w:bCs/>
          <w:lang w:val="en-US"/>
        </w:rPr>
        <w:t>CVP</w:t>
      </w:r>
      <w:r w:rsidRPr="000322E4">
        <w:rPr>
          <w:b/>
          <w:bCs/>
        </w:rPr>
        <w:t xml:space="preserve"> </w:t>
      </w:r>
      <w:r w:rsidRPr="000322E4">
        <w:rPr>
          <w:b/>
          <w:bCs/>
          <w:lang w:val="en-US"/>
        </w:rPr>
        <w:fldChar w:fldCharType="begin" w:fldLock="1"/>
      </w:r>
      <w:r w:rsidR="00021E2A">
        <w:rPr>
          <w:b/>
          <w:bCs/>
          <w:lang w:val="en-US"/>
        </w:rPr>
        <w:instrText>ADDIN CSL_CITATION {"citationItems":[{"id":"ITEM-1","itemData":{"DOI":"10.1007/s00277-016-2768-x","ISSN":"14320584","abstract":"Patients aged 80 or over with diffuse large B cell lymphoma (DLBCL) often have comorbidities that increase drug toxicity and prevent the use of otherwise optimal treatment. We performed a retrospective analysis of 43 patients aged 80 or over (median age: 83; range: 80–93) unable to receive treatment with anthracyclines, at diagnosis of DLBCL, treated with an R-CVP treatment (standard R-CHOP without doxorubicin). The patients had one or more comorbidities: 18 patients (41.9 %) had a performance status (PS) of 3; 23 patients (53.5 %) had low creatinine clearance; 12 patients (27.9 %) had low left ventricular ejection fraction; seven patients (16.3 %) had poor hepatic function; and 26 patients (60.5 %) had a Charlson index score ≥4. Thirty patients (70 %) had two or three adverse factors according to the age-adjusted International Prognostic Index. Twenty-five patients (58.1 %) received eight cycles of R-CVP, but the full eight cycles could not be given to 18 patients (41.9 %). The OR rate was 58.1 % (CR 37.2 %). There were 34 deaths (79 %) during treatment and follow-up. Ten patients (23.3 %) died early from toxicity before interim evaluation; all had PS 3. The median follow-up of surviving patients was 52.6 months. The overall 2-year survival rate was 31.9 % and the median OS was 12.6 months. The median OS for patients who completed the entire treatment was 26.4 months. The median PFS was 11.2 months. In multivariate analyses, OS was only affected by performance status ≥2 and Charlson index score ≥4. The R-CVP regimen can be active in elderly frail patients aged 80 or more with DLBCL, but systematic geriatric assessment is required so that those unsuitable for chemotherapy are excluded.","author":[{"dropping-particle":"","family":"Laribi","given":"Kamel","non-dropping-particle":"","parse-names":false,"suffix":""},{"dropping-particle":"","family":"Denizon","given":"Nathalie","non-dropping-particle":"","parse-names":false,"suffix":""},{"dropping-particle":"","family":"Bolle","given":"Delphine","non-dropping-particle":"","parse-names":false,"suffix":""},{"dropping-particle":"","family":"Truong","given":"Catherine","non-dropping-particle":"","parse-names":false,"suffix":""},{"dropping-particle":"","family":"Besançon","given":"Anne","non-dropping-particle":"","parse-names":false,"suffix":""},{"dropping-particle":"","family":"Sandrini","given":"Jeremy","non-dropping-particle":"","parse-names":false,"suffix":""},{"dropping-particle":"","family":"Anghel","given":"Andreaa","non-dropping-particle":"","parse-names":false,"suffix":""},{"dropping-particle":"","family":"Farhi","given":"Jonathan","non-dropping-particle":"","parse-names":false,"suffix":""},{"dropping-particle":"","family":"Ghnaya","given":"Habib","non-dropping-particle":"","parse-names":false,"suffix":""},{"dropping-particle":"","family":"Baugier de Materre","given":"Alix","non-dropping-particle":"","parse-names":false,"suffix":""}],"container-title":"Annals of Hematology","id":"ITEM-1","issue":"10","issued":{"date-parts":[["2016","10","1"]]},"page":"1705-1714","publisher":"Springer Verlag","title":"R-CVP regimen is active in frail elderly patients aged 80 or over with diffuse large B cell lymphoma","type":"article-journal","volume":"95"},"uris":["http://www.mendeley.com/documents</w:instrText>
      </w:r>
      <w:r w:rsidR="00021E2A" w:rsidRPr="00320416">
        <w:rPr>
          <w:b/>
          <w:bCs/>
        </w:rPr>
        <w:instrText>/?</w:instrText>
      </w:r>
      <w:r w:rsidR="00021E2A">
        <w:rPr>
          <w:b/>
          <w:bCs/>
          <w:lang w:val="en-US"/>
        </w:rPr>
        <w:instrText>uuid</w:instrText>
      </w:r>
      <w:r w:rsidR="00021E2A" w:rsidRPr="00320416">
        <w:rPr>
          <w:b/>
          <w:bCs/>
        </w:rPr>
        <w:instrText>=4</w:instrText>
      </w:r>
      <w:r w:rsidR="00021E2A">
        <w:rPr>
          <w:b/>
          <w:bCs/>
          <w:lang w:val="en-US"/>
        </w:rPr>
        <w:instrText>f</w:instrText>
      </w:r>
      <w:r w:rsidR="00021E2A" w:rsidRPr="00320416">
        <w:rPr>
          <w:b/>
          <w:bCs/>
        </w:rPr>
        <w:instrText>1</w:instrText>
      </w:r>
      <w:r w:rsidR="00021E2A">
        <w:rPr>
          <w:b/>
          <w:bCs/>
          <w:lang w:val="en-US"/>
        </w:rPr>
        <w:instrText>e</w:instrText>
      </w:r>
      <w:r w:rsidR="00021E2A" w:rsidRPr="00320416">
        <w:rPr>
          <w:b/>
          <w:bCs/>
        </w:rPr>
        <w:instrText>73</w:instrText>
      </w:r>
      <w:r w:rsidR="00021E2A">
        <w:rPr>
          <w:b/>
          <w:bCs/>
          <w:lang w:val="en-US"/>
        </w:rPr>
        <w:instrText>e</w:instrText>
      </w:r>
      <w:r w:rsidR="00021E2A" w:rsidRPr="00320416">
        <w:rPr>
          <w:b/>
          <w:bCs/>
        </w:rPr>
        <w:instrText>5-4563-30</w:instrText>
      </w:r>
      <w:r w:rsidR="00021E2A">
        <w:rPr>
          <w:b/>
          <w:bCs/>
          <w:lang w:val="en-US"/>
        </w:rPr>
        <w:instrText>cd</w:instrText>
      </w:r>
      <w:r w:rsidR="00021E2A" w:rsidRPr="00320416">
        <w:rPr>
          <w:b/>
          <w:bCs/>
        </w:rPr>
        <w:instrText>-</w:instrText>
      </w:r>
      <w:r w:rsidR="00021E2A">
        <w:rPr>
          <w:b/>
          <w:bCs/>
          <w:lang w:val="en-US"/>
        </w:rPr>
        <w:instrText>a</w:instrText>
      </w:r>
      <w:r w:rsidR="00021E2A" w:rsidRPr="00320416">
        <w:rPr>
          <w:b/>
          <w:bCs/>
        </w:rPr>
        <w:instrText>068-12950</w:instrText>
      </w:r>
      <w:r w:rsidR="00021E2A">
        <w:rPr>
          <w:b/>
          <w:bCs/>
          <w:lang w:val="en-US"/>
        </w:rPr>
        <w:instrText>a</w:instrText>
      </w:r>
      <w:r w:rsidR="00021E2A" w:rsidRPr="00320416">
        <w:rPr>
          <w:b/>
          <w:bCs/>
        </w:rPr>
        <w:instrText>36</w:instrText>
      </w:r>
      <w:r w:rsidR="00021E2A">
        <w:rPr>
          <w:b/>
          <w:bCs/>
          <w:lang w:val="en-US"/>
        </w:rPr>
        <w:instrText>fd</w:instrText>
      </w:r>
      <w:r w:rsidR="00021E2A" w:rsidRPr="00320416">
        <w:rPr>
          <w:b/>
          <w:bCs/>
        </w:rPr>
        <w:instrText>3</w:instrText>
      </w:r>
      <w:r w:rsidR="00021E2A">
        <w:rPr>
          <w:b/>
          <w:bCs/>
          <w:lang w:val="en-US"/>
        </w:rPr>
        <w:instrText>d</w:instrText>
      </w:r>
      <w:r w:rsidR="00021E2A" w:rsidRPr="00320416">
        <w:rPr>
          <w:b/>
          <w:bCs/>
        </w:rPr>
        <w:instrText>"]},{"</w:instrText>
      </w:r>
      <w:r w:rsidR="00021E2A">
        <w:rPr>
          <w:b/>
          <w:bCs/>
          <w:lang w:val="en-US"/>
        </w:rPr>
        <w:instrText>id</w:instrText>
      </w:r>
      <w:r w:rsidR="00021E2A" w:rsidRPr="00320416">
        <w:rPr>
          <w:b/>
          <w:bCs/>
        </w:rPr>
        <w:instrText>":"</w:instrText>
      </w:r>
      <w:r w:rsidR="00021E2A">
        <w:rPr>
          <w:b/>
          <w:bCs/>
          <w:lang w:val="en-US"/>
        </w:rPr>
        <w:instrText>ITEM</w:instrText>
      </w:r>
      <w:r w:rsidR="00021E2A" w:rsidRPr="00320416">
        <w:rPr>
          <w:b/>
          <w:bCs/>
        </w:rPr>
        <w:instrText>-2","</w:instrText>
      </w:r>
      <w:r w:rsidR="00021E2A">
        <w:rPr>
          <w:b/>
          <w:bCs/>
          <w:lang w:val="en-US"/>
        </w:rPr>
        <w:instrText>itemData</w:instrText>
      </w:r>
      <w:r w:rsidR="00021E2A" w:rsidRPr="00320416">
        <w:rPr>
          <w:b/>
          <w:bCs/>
        </w:rPr>
        <w:instrText>":{"</w:instrText>
      </w:r>
      <w:r w:rsidR="00021E2A">
        <w:rPr>
          <w:b/>
          <w:bCs/>
          <w:lang w:val="en-US"/>
        </w:rPr>
        <w:instrText>DOI</w:instrText>
      </w:r>
      <w:r w:rsidR="00021E2A" w:rsidRPr="00320416">
        <w:rPr>
          <w:b/>
          <w:bCs/>
        </w:rPr>
        <w:instrText>":"10.1007/</w:instrText>
      </w:r>
      <w:r w:rsidR="00021E2A">
        <w:rPr>
          <w:b/>
          <w:bCs/>
          <w:lang w:val="en-US"/>
        </w:rPr>
        <w:instrText>s</w:instrText>
      </w:r>
      <w:r w:rsidR="00021E2A" w:rsidRPr="00320416">
        <w:rPr>
          <w:b/>
          <w:bCs/>
        </w:rPr>
        <w:instrText>00277-017-3017-7","</w:instrText>
      </w:r>
      <w:r w:rsidR="00021E2A">
        <w:rPr>
          <w:b/>
          <w:bCs/>
          <w:lang w:val="en-US"/>
        </w:rPr>
        <w:instrText>ISSN</w:instrText>
      </w:r>
      <w:r w:rsidR="00021E2A" w:rsidRPr="00320416">
        <w:rPr>
          <w:b/>
          <w:bCs/>
        </w:rPr>
        <w:instrText>":"14320584","</w:instrText>
      </w:r>
      <w:r w:rsidR="00021E2A">
        <w:rPr>
          <w:b/>
          <w:bCs/>
          <w:lang w:val="en-US"/>
        </w:rPr>
        <w:instrText>author</w:instrText>
      </w:r>
      <w:r w:rsidR="00021E2A" w:rsidRPr="00320416">
        <w:rPr>
          <w:b/>
          <w:bCs/>
        </w:rPr>
        <w:instrText>":[{"</w:instrText>
      </w:r>
      <w:r w:rsidR="00021E2A">
        <w:rPr>
          <w:b/>
          <w:bCs/>
          <w:lang w:val="en-US"/>
        </w:rPr>
        <w:instrText>dropping</w:instrText>
      </w:r>
      <w:r w:rsidR="00021E2A" w:rsidRPr="00320416">
        <w:rPr>
          <w:b/>
          <w:bCs/>
        </w:rPr>
        <w:instrText>-</w:instrText>
      </w:r>
      <w:r w:rsidR="00021E2A">
        <w:rPr>
          <w:b/>
          <w:bCs/>
          <w:lang w:val="en-US"/>
        </w:rPr>
        <w:instrText>particle</w:instrText>
      </w:r>
      <w:r w:rsidR="00021E2A" w:rsidRPr="00320416">
        <w:rPr>
          <w:b/>
          <w:bCs/>
        </w:rPr>
        <w:instrText>":"","</w:instrText>
      </w:r>
      <w:r w:rsidR="00021E2A">
        <w:rPr>
          <w:b/>
          <w:bCs/>
          <w:lang w:val="en-US"/>
        </w:rPr>
        <w:instrText>family</w:instrText>
      </w:r>
      <w:r w:rsidR="00021E2A" w:rsidRPr="00320416">
        <w:rPr>
          <w:b/>
          <w:bCs/>
        </w:rPr>
        <w:instrText>":"</w:instrText>
      </w:r>
      <w:r w:rsidR="00021E2A">
        <w:rPr>
          <w:b/>
          <w:bCs/>
          <w:lang w:val="en-US"/>
        </w:rPr>
        <w:instrText>Arakaki</w:instrText>
      </w:r>
      <w:r w:rsidR="00021E2A" w:rsidRPr="00320416">
        <w:rPr>
          <w:b/>
          <w:bCs/>
        </w:rPr>
        <w:instrText>","</w:instrText>
      </w:r>
      <w:r w:rsidR="00021E2A">
        <w:rPr>
          <w:b/>
          <w:bCs/>
          <w:lang w:val="en-US"/>
        </w:rPr>
        <w:instrText>given</w:instrText>
      </w:r>
      <w:r w:rsidR="00021E2A" w:rsidRPr="00320416">
        <w:rPr>
          <w:b/>
          <w:bCs/>
        </w:rPr>
        <w:instrText>":"</w:instrText>
      </w:r>
      <w:r w:rsidR="00021E2A">
        <w:rPr>
          <w:b/>
          <w:bCs/>
          <w:lang w:val="en-US"/>
        </w:rPr>
        <w:instrText>Hideki</w:instrText>
      </w:r>
      <w:r w:rsidR="00021E2A" w:rsidRPr="00320416">
        <w:rPr>
          <w:b/>
          <w:bCs/>
        </w:rPr>
        <w:instrText>","</w:instrText>
      </w:r>
      <w:r w:rsidR="00021E2A">
        <w:rPr>
          <w:b/>
          <w:bCs/>
          <w:lang w:val="en-US"/>
        </w:rPr>
        <w:instrText>non</w:instrText>
      </w:r>
      <w:r w:rsidR="00021E2A" w:rsidRPr="00320416">
        <w:rPr>
          <w:b/>
          <w:bCs/>
        </w:rPr>
        <w:instrText>-</w:instrText>
      </w:r>
      <w:r w:rsidR="00021E2A">
        <w:rPr>
          <w:b/>
          <w:bCs/>
          <w:lang w:val="en-US"/>
        </w:rPr>
        <w:instrText>dropping</w:instrText>
      </w:r>
      <w:r w:rsidR="00021E2A" w:rsidRPr="00320416">
        <w:rPr>
          <w:b/>
          <w:bCs/>
        </w:rPr>
        <w:instrText>-</w:instrText>
      </w:r>
      <w:r w:rsidR="00021E2A">
        <w:rPr>
          <w:b/>
          <w:bCs/>
          <w:lang w:val="en-US"/>
        </w:rPr>
        <w:instrText>particle</w:instrText>
      </w:r>
      <w:r w:rsidR="00021E2A" w:rsidRPr="00320416">
        <w:rPr>
          <w:b/>
          <w:bCs/>
        </w:rPr>
        <w:instrText>":"","</w:instrText>
      </w:r>
      <w:r w:rsidR="00021E2A">
        <w:rPr>
          <w:b/>
          <w:bCs/>
          <w:lang w:val="en-US"/>
        </w:rPr>
        <w:instrText>parse</w:instrText>
      </w:r>
      <w:r w:rsidR="00021E2A" w:rsidRPr="00320416">
        <w:rPr>
          <w:b/>
          <w:bCs/>
        </w:rPr>
        <w:instrText>-</w:instrText>
      </w:r>
      <w:r w:rsidR="00021E2A">
        <w:rPr>
          <w:b/>
          <w:bCs/>
          <w:lang w:val="en-US"/>
        </w:rPr>
        <w:instrText>names</w:instrText>
      </w:r>
      <w:r w:rsidR="00021E2A" w:rsidRPr="00320416">
        <w:rPr>
          <w:b/>
          <w:bCs/>
        </w:rPr>
        <w:instrText>":</w:instrText>
      </w:r>
      <w:r w:rsidR="00021E2A">
        <w:rPr>
          <w:b/>
          <w:bCs/>
          <w:lang w:val="en-US"/>
        </w:rPr>
        <w:instrText>false</w:instrText>
      </w:r>
      <w:r w:rsidR="00021E2A" w:rsidRPr="00320416">
        <w:rPr>
          <w:b/>
          <w:bCs/>
        </w:rPr>
        <w:instrText>,"</w:instrText>
      </w:r>
      <w:r w:rsidR="00021E2A">
        <w:rPr>
          <w:b/>
          <w:bCs/>
          <w:lang w:val="en-US"/>
        </w:rPr>
        <w:instrText>suffix</w:instrText>
      </w:r>
      <w:r w:rsidR="00021E2A" w:rsidRPr="00320416">
        <w:rPr>
          <w:b/>
          <w:bCs/>
        </w:rPr>
        <w:instrText>":""},{"</w:instrText>
      </w:r>
      <w:r w:rsidR="00021E2A">
        <w:rPr>
          <w:b/>
          <w:bCs/>
          <w:lang w:val="en-US"/>
        </w:rPr>
        <w:instrText>dropping</w:instrText>
      </w:r>
      <w:r w:rsidR="00021E2A" w:rsidRPr="00320416">
        <w:rPr>
          <w:b/>
          <w:bCs/>
        </w:rPr>
        <w:instrText>-</w:instrText>
      </w:r>
      <w:r w:rsidR="00021E2A">
        <w:rPr>
          <w:b/>
          <w:bCs/>
          <w:lang w:val="en-US"/>
        </w:rPr>
        <w:instrText>particle</w:instrText>
      </w:r>
      <w:r w:rsidR="00021E2A" w:rsidRPr="00320416">
        <w:rPr>
          <w:b/>
          <w:bCs/>
        </w:rPr>
        <w:instrText>":"","</w:instrText>
      </w:r>
      <w:r w:rsidR="00021E2A">
        <w:rPr>
          <w:b/>
          <w:bCs/>
          <w:lang w:val="en-US"/>
        </w:rPr>
        <w:instrText>family</w:instrText>
      </w:r>
      <w:r w:rsidR="00021E2A" w:rsidRPr="00320416">
        <w:rPr>
          <w:b/>
          <w:bCs/>
        </w:rPr>
        <w:instrText>":"</w:instrText>
      </w:r>
      <w:r w:rsidR="00021E2A">
        <w:rPr>
          <w:b/>
          <w:bCs/>
          <w:lang w:val="en-US"/>
        </w:rPr>
        <w:instrText>Nakazato</w:instrText>
      </w:r>
      <w:r w:rsidR="00021E2A" w:rsidRPr="00320416">
        <w:rPr>
          <w:b/>
          <w:bCs/>
        </w:rPr>
        <w:instrText>","</w:instrText>
      </w:r>
      <w:r w:rsidR="00021E2A">
        <w:rPr>
          <w:b/>
          <w:bCs/>
          <w:lang w:val="en-US"/>
        </w:rPr>
        <w:instrText>given</w:instrText>
      </w:r>
      <w:r w:rsidR="00021E2A" w:rsidRPr="00320416">
        <w:rPr>
          <w:b/>
          <w:bCs/>
        </w:rPr>
        <w:instrText>":"</w:instrText>
      </w:r>
      <w:r w:rsidR="00021E2A">
        <w:rPr>
          <w:b/>
          <w:bCs/>
          <w:lang w:val="en-US"/>
        </w:rPr>
        <w:instrText>Tomonori</w:instrText>
      </w:r>
      <w:r w:rsidR="00021E2A" w:rsidRPr="00320416">
        <w:rPr>
          <w:b/>
          <w:bCs/>
        </w:rPr>
        <w:instrText>","</w:instrText>
      </w:r>
      <w:r w:rsidR="00021E2A">
        <w:rPr>
          <w:b/>
          <w:bCs/>
          <w:lang w:val="en-US"/>
        </w:rPr>
        <w:instrText>non</w:instrText>
      </w:r>
      <w:r w:rsidR="00021E2A" w:rsidRPr="00320416">
        <w:rPr>
          <w:b/>
          <w:bCs/>
        </w:rPr>
        <w:instrText>-</w:instrText>
      </w:r>
      <w:r w:rsidR="00021E2A">
        <w:rPr>
          <w:b/>
          <w:bCs/>
          <w:lang w:val="en-US"/>
        </w:rPr>
        <w:instrText>dropping</w:instrText>
      </w:r>
      <w:r w:rsidR="00021E2A" w:rsidRPr="00320416">
        <w:rPr>
          <w:b/>
          <w:bCs/>
        </w:rPr>
        <w:instrText>-</w:instrText>
      </w:r>
      <w:r w:rsidR="00021E2A">
        <w:rPr>
          <w:b/>
          <w:bCs/>
          <w:lang w:val="en-US"/>
        </w:rPr>
        <w:instrText>particle</w:instrText>
      </w:r>
      <w:r w:rsidR="00021E2A" w:rsidRPr="00320416">
        <w:rPr>
          <w:b/>
          <w:bCs/>
        </w:rPr>
        <w:instrText>":"","</w:instrText>
      </w:r>
      <w:r w:rsidR="00021E2A">
        <w:rPr>
          <w:b/>
          <w:bCs/>
          <w:lang w:val="en-US"/>
        </w:rPr>
        <w:instrText>parse</w:instrText>
      </w:r>
      <w:r w:rsidR="00021E2A" w:rsidRPr="00320416">
        <w:rPr>
          <w:b/>
          <w:bCs/>
        </w:rPr>
        <w:instrText>-</w:instrText>
      </w:r>
      <w:r w:rsidR="00021E2A">
        <w:rPr>
          <w:b/>
          <w:bCs/>
          <w:lang w:val="en-US"/>
        </w:rPr>
        <w:instrText>names</w:instrText>
      </w:r>
      <w:r w:rsidR="00021E2A" w:rsidRPr="00320416">
        <w:rPr>
          <w:b/>
          <w:bCs/>
        </w:rPr>
        <w:instrText>":</w:instrText>
      </w:r>
      <w:r w:rsidR="00021E2A">
        <w:rPr>
          <w:b/>
          <w:bCs/>
          <w:lang w:val="en-US"/>
        </w:rPr>
        <w:instrText>false</w:instrText>
      </w:r>
      <w:r w:rsidR="00021E2A" w:rsidRPr="00320416">
        <w:rPr>
          <w:b/>
          <w:bCs/>
        </w:rPr>
        <w:instrText>,"</w:instrText>
      </w:r>
      <w:r w:rsidR="00021E2A">
        <w:rPr>
          <w:b/>
          <w:bCs/>
          <w:lang w:val="en-US"/>
        </w:rPr>
        <w:instrText>suffix</w:instrText>
      </w:r>
      <w:r w:rsidR="00021E2A" w:rsidRPr="00320416">
        <w:rPr>
          <w:b/>
          <w:bCs/>
        </w:rPr>
        <w:instrText>":""},{"</w:instrText>
      </w:r>
      <w:r w:rsidR="00021E2A">
        <w:rPr>
          <w:b/>
          <w:bCs/>
          <w:lang w:val="en-US"/>
        </w:rPr>
        <w:instrText>dropping</w:instrText>
      </w:r>
      <w:r w:rsidR="00021E2A" w:rsidRPr="00320416">
        <w:rPr>
          <w:b/>
          <w:bCs/>
        </w:rPr>
        <w:instrText>-</w:instrText>
      </w:r>
      <w:r w:rsidR="00021E2A">
        <w:rPr>
          <w:b/>
          <w:bCs/>
          <w:lang w:val="en-US"/>
        </w:rPr>
        <w:instrText>particle</w:instrText>
      </w:r>
      <w:r w:rsidR="00021E2A" w:rsidRPr="00320416">
        <w:rPr>
          <w:b/>
          <w:bCs/>
        </w:rPr>
        <w:instrText>":"","</w:instrText>
      </w:r>
      <w:r w:rsidR="00021E2A">
        <w:rPr>
          <w:b/>
          <w:bCs/>
          <w:lang w:val="en-US"/>
        </w:rPr>
        <w:instrText>family</w:instrText>
      </w:r>
      <w:r w:rsidR="00021E2A" w:rsidRPr="00320416">
        <w:rPr>
          <w:b/>
          <w:bCs/>
        </w:rPr>
        <w:instrText>":"</w:instrText>
      </w:r>
      <w:r w:rsidR="00021E2A">
        <w:rPr>
          <w:b/>
          <w:bCs/>
          <w:lang w:val="en-US"/>
        </w:rPr>
        <w:instrText>Osada</w:instrText>
      </w:r>
      <w:r w:rsidR="00021E2A" w:rsidRPr="00320416">
        <w:rPr>
          <w:b/>
          <w:bCs/>
        </w:rPr>
        <w:instrText>","</w:instrText>
      </w:r>
      <w:r w:rsidR="00021E2A">
        <w:rPr>
          <w:b/>
          <w:bCs/>
          <w:lang w:val="en-US"/>
        </w:rPr>
        <w:instrText>given</w:instrText>
      </w:r>
      <w:r w:rsidR="00021E2A" w:rsidRPr="00320416">
        <w:rPr>
          <w:b/>
          <w:bCs/>
        </w:rPr>
        <w:instrText>":"</w:instrText>
      </w:r>
      <w:r w:rsidR="00021E2A">
        <w:rPr>
          <w:b/>
          <w:bCs/>
          <w:lang w:val="en-US"/>
        </w:rPr>
        <w:instrText>Yuki</w:instrText>
      </w:r>
      <w:r w:rsidR="00021E2A" w:rsidRPr="00320416">
        <w:rPr>
          <w:b/>
          <w:bCs/>
        </w:rPr>
        <w:instrText>","</w:instrText>
      </w:r>
      <w:r w:rsidR="00021E2A">
        <w:rPr>
          <w:b/>
          <w:bCs/>
          <w:lang w:val="en-US"/>
        </w:rPr>
        <w:instrText>non</w:instrText>
      </w:r>
      <w:r w:rsidR="00021E2A" w:rsidRPr="00320416">
        <w:rPr>
          <w:b/>
          <w:bCs/>
        </w:rPr>
        <w:instrText>-</w:instrText>
      </w:r>
      <w:r w:rsidR="00021E2A">
        <w:rPr>
          <w:b/>
          <w:bCs/>
          <w:lang w:val="en-US"/>
        </w:rPr>
        <w:instrText>dropping</w:instrText>
      </w:r>
      <w:r w:rsidR="00021E2A" w:rsidRPr="00320416">
        <w:rPr>
          <w:b/>
          <w:bCs/>
        </w:rPr>
        <w:instrText>-</w:instrText>
      </w:r>
      <w:r w:rsidR="00021E2A">
        <w:rPr>
          <w:b/>
          <w:bCs/>
          <w:lang w:val="en-US"/>
        </w:rPr>
        <w:instrText>particle</w:instrText>
      </w:r>
      <w:r w:rsidR="00021E2A" w:rsidRPr="00320416">
        <w:rPr>
          <w:b/>
          <w:bCs/>
        </w:rPr>
        <w:instrText>":"","</w:instrText>
      </w:r>
      <w:r w:rsidR="00021E2A">
        <w:rPr>
          <w:b/>
          <w:bCs/>
          <w:lang w:val="en-US"/>
        </w:rPr>
        <w:instrText>parse</w:instrText>
      </w:r>
      <w:r w:rsidR="00021E2A" w:rsidRPr="00320416">
        <w:rPr>
          <w:b/>
          <w:bCs/>
        </w:rPr>
        <w:instrText>-</w:instrText>
      </w:r>
      <w:r w:rsidR="00021E2A">
        <w:rPr>
          <w:b/>
          <w:bCs/>
          <w:lang w:val="en-US"/>
        </w:rPr>
        <w:instrText>names</w:instrText>
      </w:r>
      <w:r w:rsidR="00021E2A" w:rsidRPr="00320416">
        <w:rPr>
          <w:b/>
          <w:bCs/>
        </w:rPr>
        <w:instrText>":</w:instrText>
      </w:r>
      <w:r w:rsidR="00021E2A">
        <w:rPr>
          <w:b/>
          <w:bCs/>
          <w:lang w:val="en-US"/>
        </w:rPr>
        <w:instrText>false</w:instrText>
      </w:r>
      <w:r w:rsidR="00021E2A" w:rsidRPr="00320416">
        <w:rPr>
          <w:b/>
          <w:bCs/>
        </w:rPr>
        <w:instrText>,"</w:instrText>
      </w:r>
      <w:r w:rsidR="00021E2A">
        <w:rPr>
          <w:b/>
          <w:bCs/>
          <w:lang w:val="en-US"/>
        </w:rPr>
        <w:instrText>suffix</w:instrText>
      </w:r>
      <w:r w:rsidR="00021E2A" w:rsidRPr="00320416">
        <w:rPr>
          <w:b/>
          <w:bCs/>
        </w:rPr>
        <w:instrText>":""},{"</w:instrText>
      </w:r>
      <w:r w:rsidR="00021E2A">
        <w:rPr>
          <w:b/>
          <w:bCs/>
          <w:lang w:val="en-US"/>
        </w:rPr>
        <w:instrText>dropping</w:instrText>
      </w:r>
      <w:r w:rsidR="00021E2A" w:rsidRPr="00320416">
        <w:rPr>
          <w:b/>
          <w:bCs/>
        </w:rPr>
        <w:instrText>-</w:instrText>
      </w:r>
      <w:r w:rsidR="00021E2A">
        <w:rPr>
          <w:b/>
          <w:bCs/>
          <w:lang w:val="en-US"/>
        </w:rPr>
        <w:instrText>particle</w:instrText>
      </w:r>
      <w:r w:rsidR="00021E2A" w:rsidRPr="00320416">
        <w:rPr>
          <w:b/>
          <w:bCs/>
        </w:rPr>
        <w:instrText>":"","</w:instrText>
      </w:r>
      <w:r w:rsidR="00021E2A">
        <w:rPr>
          <w:b/>
          <w:bCs/>
          <w:lang w:val="en-US"/>
        </w:rPr>
        <w:instrText>family</w:instrText>
      </w:r>
      <w:r w:rsidR="00021E2A" w:rsidRPr="00320416">
        <w:rPr>
          <w:b/>
          <w:bCs/>
        </w:rPr>
        <w:instrText>":"</w:instrText>
      </w:r>
      <w:r w:rsidR="00021E2A">
        <w:rPr>
          <w:b/>
          <w:bCs/>
          <w:lang w:val="en-US"/>
        </w:rPr>
        <w:instrText>Ito</w:instrText>
      </w:r>
      <w:r w:rsidR="00021E2A" w:rsidRPr="00320416">
        <w:rPr>
          <w:b/>
          <w:bCs/>
        </w:rPr>
        <w:instrText>","</w:instrText>
      </w:r>
      <w:r w:rsidR="00021E2A">
        <w:rPr>
          <w:b/>
          <w:bCs/>
          <w:lang w:val="en-US"/>
        </w:rPr>
        <w:instrText>given</w:instrText>
      </w:r>
      <w:r w:rsidR="00021E2A" w:rsidRPr="00320416">
        <w:rPr>
          <w:b/>
          <w:bCs/>
        </w:rPr>
        <w:instrText>":"</w:instrText>
      </w:r>
      <w:r w:rsidR="00021E2A">
        <w:rPr>
          <w:b/>
          <w:bCs/>
          <w:lang w:val="en-US"/>
        </w:rPr>
        <w:instrText>Chisako</w:instrText>
      </w:r>
      <w:r w:rsidR="00021E2A" w:rsidRPr="00320416">
        <w:rPr>
          <w:b/>
          <w:bCs/>
        </w:rPr>
        <w:instrText>","</w:instrText>
      </w:r>
      <w:r w:rsidR="00021E2A">
        <w:rPr>
          <w:b/>
          <w:bCs/>
          <w:lang w:val="en-US"/>
        </w:rPr>
        <w:instrText>non</w:instrText>
      </w:r>
      <w:r w:rsidR="00021E2A" w:rsidRPr="00320416">
        <w:rPr>
          <w:b/>
          <w:bCs/>
        </w:rPr>
        <w:instrText>-</w:instrText>
      </w:r>
      <w:r w:rsidR="00021E2A">
        <w:rPr>
          <w:b/>
          <w:bCs/>
          <w:lang w:val="en-US"/>
        </w:rPr>
        <w:instrText>dropping</w:instrText>
      </w:r>
      <w:r w:rsidR="00021E2A" w:rsidRPr="00320416">
        <w:rPr>
          <w:b/>
          <w:bCs/>
        </w:rPr>
        <w:instrText>-</w:instrText>
      </w:r>
      <w:r w:rsidR="00021E2A">
        <w:rPr>
          <w:b/>
          <w:bCs/>
          <w:lang w:val="en-US"/>
        </w:rPr>
        <w:instrText>particle</w:instrText>
      </w:r>
      <w:r w:rsidR="00021E2A" w:rsidRPr="00320416">
        <w:rPr>
          <w:b/>
          <w:bCs/>
        </w:rPr>
        <w:instrText>":"","</w:instrText>
      </w:r>
      <w:r w:rsidR="00021E2A">
        <w:rPr>
          <w:b/>
          <w:bCs/>
          <w:lang w:val="en-US"/>
        </w:rPr>
        <w:instrText>parse</w:instrText>
      </w:r>
      <w:r w:rsidR="00021E2A" w:rsidRPr="00320416">
        <w:rPr>
          <w:b/>
          <w:bCs/>
        </w:rPr>
        <w:instrText>-</w:instrText>
      </w:r>
      <w:r w:rsidR="00021E2A">
        <w:rPr>
          <w:b/>
          <w:bCs/>
          <w:lang w:val="en-US"/>
        </w:rPr>
        <w:instrText>names</w:instrText>
      </w:r>
      <w:r w:rsidR="00021E2A" w:rsidRPr="00320416">
        <w:rPr>
          <w:b/>
          <w:bCs/>
        </w:rPr>
        <w:instrText>":</w:instrText>
      </w:r>
      <w:r w:rsidR="00021E2A">
        <w:rPr>
          <w:b/>
          <w:bCs/>
          <w:lang w:val="en-US"/>
        </w:rPr>
        <w:instrText>false</w:instrText>
      </w:r>
      <w:r w:rsidR="00021E2A" w:rsidRPr="00320416">
        <w:rPr>
          <w:b/>
          <w:bCs/>
        </w:rPr>
        <w:instrText>,"</w:instrText>
      </w:r>
      <w:r w:rsidR="00021E2A">
        <w:rPr>
          <w:b/>
          <w:bCs/>
          <w:lang w:val="en-US"/>
        </w:rPr>
        <w:instrText>suffix</w:instrText>
      </w:r>
      <w:r w:rsidR="00021E2A" w:rsidRPr="00320416">
        <w:rPr>
          <w:b/>
          <w:bCs/>
        </w:rPr>
        <w:instrText>":""},{"</w:instrText>
      </w:r>
      <w:r w:rsidR="00021E2A">
        <w:rPr>
          <w:b/>
          <w:bCs/>
          <w:lang w:val="en-US"/>
        </w:rPr>
        <w:instrText>dropping</w:instrText>
      </w:r>
      <w:r w:rsidR="00021E2A" w:rsidRPr="00320416">
        <w:rPr>
          <w:b/>
          <w:bCs/>
        </w:rPr>
        <w:instrText>-</w:instrText>
      </w:r>
      <w:r w:rsidR="00021E2A">
        <w:rPr>
          <w:b/>
          <w:bCs/>
          <w:lang w:val="en-US"/>
        </w:rPr>
        <w:instrText>particle</w:instrText>
      </w:r>
      <w:r w:rsidR="00021E2A" w:rsidRPr="00320416">
        <w:rPr>
          <w:b/>
          <w:bCs/>
        </w:rPr>
        <w:instrText>":"","</w:instrText>
      </w:r>
      <w:r w:rsidR="00021E2A">
        <w:rPr>
          <w:b/>
          <w:bCs/>
          <w:lang w:val="en-US"/>
        </w:rPr>
        <w:instrText>family</w:instrText>
      </w:r>
      <w:r w:rsidR="00021E2A" w:rsidRPr="00320416">
        <w:rPr>
          <w:b/>
          <w:bCs/>
        </w:rPr>
        <w:instrText>":"</w:instrText>
      </w:r>
      <w:r w:rsidR="00021E2A">
        <w:rPr>
          <w:b/>
          <w:bCs/>
          <w:lang w:val="en-US"/>
        </w:rPr>
        <w:instrText>Aisa</w:instrText>
      </w:r>
      <w:r w:rsidR="00021E2A" w:rsidRPr="00320416">
        <w:rPr>
          <w:b/>
          <w:bCs/>
        </w:rPr>
        <w:instrText>","</w:instrText>
      </w:r>
      <w:r w:rsidR="00021E2A">
        <w:rPr>
          <w:b/>
          <w:bCs/>
          <w:lang w:val="en-US"/>
        </w:rPr>
        <w:instrText>given</w:instrText>
      </w:r>
      <w:r w:rsidR="00021E2A" w:rsidRPr="00320416">
        <w:rPr>
          <w:b/>
          <w:bCs/>
        </w:rPr>
        <w:instrText>":"</w:instrText>
      </w:r>
      <w:r w:rsidR="00021E2A">
        <w:rPr>
          <w:b/>
          <w:bCs/>
          <w:lang w:val="en-US"/>
        </w:rPr>
        <w:instrText>Yoshinobu</w:instrText>
      </w:r>
      <w:r w:rsidR="00021E2A" w:rsidRPr="00320416">
        <w:rPr>
          <w:b/>
          <w:bCs/>
        </w:rPr>
        <w:instrText>","</w:instrText>
      </w:r>
      <w:r w:rsidR="00021E2A">
        <w:rPr>
          <w:b/>
          <w:bCs/>
          <w:lang w:val="en-US"/>
        </w:rPr>
        <w:instrText>non</w:instrText>
      </w:r>
      <w:r w:rsidR="00021E2A" w:rsidRPr="00320416">
        <w:rPr>
          <w:b/>
          <w:bCs/>
        </w:rPr>
        <w:instrText>-</w:instrText>
      </w:r>
      <w:r w:rsidR="00021E2A">
        <w:rPr>
          <w:b/>
          <w:bCs/>
          <w:lang w:val="en-US"/>
        </w:rPr>
        <w:instrText>dropping</w:instrText>
      </w:r>
      <w:r w:rsidR="00021E2A" w:rsidRPr="00320416">
        <w:rPr>
          <w:b/>
          <w:bCs/>
        </w:rPr>
        <w:instrText>-</w:instrText>
      </w:r>
      <w:r w:rsidR="00021E2A">
        <w:rPr>
          <w:b/>
          <w:bCs/>
          <w:lang w:val="en-US"/>
        </w:rPr>
        <w:instrText>particle</w:instrText>
      </w:r>
      <w:r w:rsidR="00021E2A" w:rsidRPr="00320416">
        <w:rPr>
          <w:b/>
          <w:bCs/>
        </w:rPr>
        <w:instrText>":"","</w:instrText>
      </w:r>
      <w:r w:rsidR="00021E2A">
        <w:rPr>
          <w:b/>
          <w:bCs/>
          <w:lang w:val="en-US"/>
        </w:rPr>
        <w:instrText>parse</w:instrText>
      </w:r>
      <w:r w:rsidR="00021E2A" w:rsidRPr="00320416">
        <w:rPr>
          <w:b/>
          <w:bCs/>
        </w:rPr>
        <w:instrText>-</w:instrText>
      </w:r>
      <w:r w:rsidR="00021E2A">
        <w:rPr>
          <w:b/>
          <w:bCs/>
          <w:lang w:val="en-US"/>
        </w:rPr>
        <w:instrText>names</w:instrText>
      </w:r>
      <w:r w:rsidR="00021E2A" w:rsidRPr="00320416">
        <w:rPr>
          <w:b/>
          <w:bCs/>
        </w:rPr>
        <w:instrText>":</w:instrText>
      </w:r>
      <w:r w:rsidR="00021E2A">
        <w:rPr>
          <w:b/>
          <w:bCs/>
          <w:lang w:val="en-US"/>
        </w:rPr>
        <w:instrText>false</w:instrText>
      </w:r>
      <w:r w:rsidR="00021E2A" w:rsidRPr="00320416">
        <w:rPr>
          <w:b/>
          <w:bCs/>
        </w:rPr>
        <w:instrText>,"</w:instrText>
      </w:r>
      <w:r w:rsidR="00021E2A">
        <w:rPr>
          <w:b/>
          <w:bCs/>
          <w:lang w:val="en-US"/>
        </w:rPr>
        <w:instrText>suffix</w:instrText>
      </w:r>
      <w:r w:rsidR="00021E2A" w:rsidRPr="00320416">
        <w:rPr>
          <w:b/>
          <w:bCs/>
        </w:rPr>
        <w:instrText>":""},{"</w:instrText>
      </w:r>
      <w:r w:rsidR="00021E2A">
        <w:rPr>
          <w:b/>
          <w:bCs/>
          <w:lang w:val="en-US"/>
        </w:rPr>
        <w:instrText>dropping</w:instrText>
      </w:r>
      <w:r w:rsidR="00021E2A" w:rsidRPr="00320416">
        <w:rPr>
          <w:b/>
          <w:bCs/>
        </w:rPr>
        <w:instrText>-</w:instrText>
      </w:r>
      <w:r w:rsidR="00021E2A">
        <w:rPr>
          <w:b/>
          <w:bCs/>
          <w:lang w:val="en-US"/>
        </w:rPr>
        <w:instrText>particle</w:instrText>
      </w:r>
      <w:r w:rsidR="00021E2A" w:rsidRPr="00320416">
        <w:rPr>
          <w:b/>
          <w:bCs/>
        </w:rPr>
        <w:instrText>":"","</w:instrText>
      </w:r>
      <w:r w:rsidR="00021E2A">
        <w:rPr>
          <w:b/>
          <w:bCs/>
          <w:lang w:val="en-US"/>
        </w:rPr>
        <w:instrText>family</w:instrText>
      </w:r>
      <w:r w:rsidR="00021E2A" w:rsidRPr="00320416">
        <w:rPr>
          <w:b/>
          <w:bCs/>
        </w:rPr>
        <w:instrText>":"</w:instrText>
      </w:r>
      <w:r w:rsidR="00021E2A">
        <w:rPr>
          <w:b/>
          <w:bCs/>
          <w:lang w:val="en-US"/>
        </w:rPr>
        <w:instrText>Mori</w:instrText>
      </w:r>
      <w:r w:rsidR="00021E2A" w:rsidRPr="00320416">
        <w:rPr>
          <w:b/>
          <w:bCs/>
        </w:rPr>
        <w:instrText>","</w:instrText>
      </w:r>
      <w:r w:rsidR="00021E2A">
        <w:rPr>
          <w:b/>
          <w:bCs/>
          <w:lang w:val="en-US"/>
        </w:rPr>
        <w:instrText>given</w:instrText>
      </w:r>
      <w:r w:rsidR="00021E2A" w:rsidRPr="00320416">
        <w:rPr>
          <w:b/>
          <w:bCs/>
        </w:rPr>
        <w:instrText>":"</w:instrText>
      </w:r>
      <w:r w:rsidR="00021E2A">
        <w:rPr>
          <w:b/>
          <w:bCs/>
          <w:lang w:val="en-US"/>
        </w:rPr>
        <w:instrText>Takehiko</w:instrText>
      </w:r>
      <w:r w:rsidR="00021E2A" w:rsidRPr="00320416">
        <w:rPr>
          <w:b/>
          <w:bCs/>
        </w:rPr>
        <w:instrText>","</w:instrText>
      </w:r>
      <w:r w:rsidR="00021E2A">
        <w:rPr>
          <w:b/>
          <w:bCs/>
          <w:lang w:val="en-US"/>
        </w:rPr>
        <w:instrText>non</w:instrText>
      </w:r>
      <w:r w:rsidR="00021E2A" w:rsidRPr="00320416">
        <w:rPr>
          <w:b/>
          <w:bCs/>
        </w:rPr>
        <w:instrText>-</w:instrText>
      </w:r>
      <w:r w:rsidR="00021E2A">
        <w:rPr>
          <w:b/>
          <w:bCs/>
          <w:lang w:val="en-US"/>
        </w:rPr>
        <w:instrText>dropping</w:instrText>
      </w:r>
      <w:r w:rsidR="00021E2A" w:rsidRPr="00320416">
        <w:rPr>
          <w:b/>
          <w:bCs/>
        </w:rPr>
        <w:instrText>-</w:instrText>
      </w:r>
      <w:r w:rsidR="00021E2A">
        <w:rPr>
          <w:b/>
          <w:bCs/>
          <w:lang w:val="en-US"/>
        </w:rPr>
        <w:instrText>particle</w:instrText>
      </w:r>
      <w:r w:rsidR="00021E2A" w:rsidRPr="00320416">
        <w:rPr>
          <w:b/>
          <w:bCs/>
        </w:rPr>
        <w:instrText>":"","</w:instrText>
      </w:r>
      <w:r w:rsidR="00021E2A">
        <w:rPr>
          <w:b/>
          <w:bCs/>
          <w:lang w:val="en-US"/>
        </w:rPr>
        <w:instrText>parse</w:instrText>
      </w:r>
      <w:r w:rsidR="00021E2A" w:rsidRPr="00320416">
        <w:rPr>
          <w:b/>
          <w:bCs/>
        </w:rPr>
        <w:instrText>-</w:instrText>
      </w:r>
      <w:r w:rsidR="00021E2A">
        <w:rPr>
          <w:b/>
          <w:bCs/>
          <w:lang w:val="en-US"/>
        </w:rPr>
        <w:instrText>names</w:instrText>
      </w:r>
      <w:r w:rsidR="00021E2A" w:rsidRPr="00320416">
        <w:rPr>
          <w:b/>
          <w:bCs/>
        </w:rPr>
        <w:instrText>":</w:instrText>
      </w:r>
      <w:r w:rsidR="00021E2A">
        <w:rPr>
          <w:b/>
          <w:bCs/>
          <w:lang w:val="en-US"/>
        </w:rPr>
        <w:instrText>false</w:instrText>
      </w:r>
      <w:r w:rsidR="00021E2A" w:rsidRPr="00320416">
        <w:rPr>
          <w:b/>
          <w:bCs/>
        </w:rPr>
        <w:instrText>,"</w:instrText>
      </w:r>
      <w:r w:rsidR="00021E2A">
        <w:rPr>
          <w:b/>
          <w:bCs/>
          <w:lang w:val="en-US"/>
        </w:rPr>
        <w:instrText>suffix</w:instrText>
      </w:r>
      <w:r w:rsidR="00021E2A" w:rsidRPr="00320416">
        <w:rPr>
          <w:b/>
          <w:bCs/>
        </w:rPr>
        <w:instrText>":""}],"</w:instrText>
      </w:r>
      <w:r w:rsidR="00021E2A">
        <w:rPr>
          <w:b/>
          <w:bCs/>
          <w:lang w:val="en-US"/>
        </w:rPr>
        <w:instrText>container</w:instrText>
      </w:r>
      <w:r w:rsidR="00021E2A" w:rsidRPr="00320416">
        <w:rPr>
          <w:b/>
          <w:bCs/>
        </w:rPr>
        <w:instrText>-</w:instrText>
      </w:r>
      <w:r w:rsidR="00021E2A">
        <w:rPr>
          <w:b/>
          <w:bCs/>
          <w:lang w:val="en-US"/>
        </w:rPr>
        <w:instrText>title</w:instrText>
      </w:r>
      <w:r w:rsidR="00021E2A" w:rsidRPr="00320416">
        <w:rPr>
          <w:b/>
          <w:bCs/>
        </w:rPr>
        <w:instrText>":"</w:instrText>
      </w:r>
      <w:r w:rsidR="00021E2A">
        <w:rPr>
          <w:b/>
          <w:bCs/>
          <w:lang w:val="en-US"/>
        </w:rPr>
        <w:instrText>Annals</w:instrText>
      </w:r>
      <w:r w:rsidR="00021E2A" w:rsidRPr="00320416">
        <w:rPr>
          <w:b/>
          <w:bCs/>
        </w:rPr>
        <w:instrText xml:space="preserve"> </w:instrText>
      </w:r>
      <w:r w:rsidR="00021E2A">
        <w:rPr>
          <w:b/>
          <w:bCs/>
          <w:lang w:val="en-US"/>
        </w:rPr>
        <w:instrText>of</w:instrText>
      </w:r>
      <w:r w:rsidR="00021E2A" w:rsidRPr="00320416">
        <w:rPr>
          <w:b/>
          <w:bCs/>
        </w:rPr>
        <w:instrText xml:space="preserve"> </w:instrText>
      </w:r>
      <w:r w:rsidR="00021E2A">
        <w:rPr>
          <w:b/>
          <w:bCs/>
          <w:lang w:val="en-US"/>
        </w:rPr>
        <w:instrText>Hematology</w:instrText>
      </w:r>
      <w:r w:rsidR="00021E2A" w:rsidRPr="00320416">
        <w:rPr>
          <w:b/>
          <w:bCs/>
        </w:rPr>
        <w:instrText>","</w:instrText>
      </w:r>
      <w:r w:rsidR="00021E2A">
        <w:rPr>
          <w:b/>
          <w:bCs/>
          <w:lang w:val="en-US"/>
        </w:rPr>
        <w:instrText>id</w:instrText>
      </w:r>
      <w:r w:rsidR="00021E2A" w:rsidRPr="00320416">
        <w:rPr>
          <w:b/>
          <w:bCs/>
        </w:rPr>
        <w:instrText>":"</w:instrText>
      </w:r>
      <w:r w:rsidR="00021E2A">
        <w:rPr>
          <w:b/>
          <w:bCs/>
          <w:lang w:val="en-US"/>
        </w:rPr>
        <w:instrText>ITEM</w:instrText>
      </w:r>
      <w:r w:rsidR="00021E2A" w:rsidRPr="00320416">
        <w:rPr>
          <w:b/>
          <w:bCs/>
        </w:rPr>
        <w:instrText>-2","</w:instrText>
      </w:r>
      <w:r w:rsidR="00021E2A">
        <w:rPr>
          <w:b/>
          <w:bCs/>
          <w:lang w:val="en-US"/>
        </w:rPr>
        <w:instrText>issue</w:instrText>
      </w:r>
      <w:r w:rsidR="00021E2A" w:rsidRPr="00320416">
        <w:rPr>
          <w:b/>
          <w:bCs/>
        </w:rPr>
        <w:instrText>":"7","</w:instrText>
      </w:r>
      <w:r w:rsidR="00021E2A">
        <w:rPr>
          <w:b/>
          <w:bCs/>
          <w:lang w:val="en-US"/>
        </w:rPr>
        <w:instrText>issued</w:instrText>
      </w:r>
      <w:r w:rsidR="00021E2A" w:rsidRPr="00320416">
        <w:rPr>
          <w:b/>
          <w:bCs/>
        </w:rPr>
        <w:instrText>":{"</w:instrText>
      </w:r>
      <w:r w:rsidR="00021E2A">
        <w:rPr>
          <w:b/>
          <w:bCs/>
          <w:lang w:val="en-US"/>
        </w:rPr>
        <w:instrText>date</w:instrText>
      </w:r>
      <w:r w:rsidR="00021E2A" w:rsidRPr="00320416">
        <w:rPr>
          <w:b/>
          <w:bCs/>
        </w:rPr>
        <w:instrText>-</w:instrText>
      </w:r>
      <w:r w:rsidR="00021E2A">
        <w:rPr>
          <w:b/>
          <w:bCs/>
          <w:lang w:val="en-US"/>
        </w:rPr>
        <w:instrText>parts</w:instrText>
      </w:r>
      <w:r w:rsidR="00021E2A" w:rsidRPr="00320416">
        <w:rPr>
          <w:b/>
          <w:bCs/>
        </w:rPr>
        <w:instrText>":[["2017","7","1"]]},"</w:instrText>
      </w:r>
      <w:r w:rsidR="00021E2A">
        <w:rPr>
          <w:b/>
          <w:bCs/>
          <w:lang w:val="en-US"/>
        </w:rPr>
        <w:instrText>page</w:instrText>
      </w:r>
      <w:r w:rsidR="00021E2A" w:rsidRPr="00320416">
        <w:rPr>
          <w:b/>
          <w:bCs/>
        </w:rPr>
        <w:instrText>":"1225-1226","</w:instrText>
      </w:r>
      <w:r w:rsidR="00021E2A">
        <w:rPr>
          <w:b/>
          <w:bCs/>
          <w:lang w:val="en-US"/>
        </w:rPr>
        <w:instrText>publisher</w:instrText>
      </w:r>
      <w:r w:rsidR="00021E2A" w:rsidRPr="00320416">
        <w:rPr>
          <w:b/>
          <w:bCs/>
        </w:rPr>
        <w:instrText>":"</w:instrText>
      </w:r>
      <w:r w:rsidR="00021E2A">
        <w:rPr>
          <w:b/>
          <w:bCs/>
          <w:lang w:val="en-US"/>
        </w:rPr>
        <w:instrText>Springer</w:instrText>
      </w:r>
      <w:r w:rsidR="00021E2A" w:rsidRPr="00320416">
        <w:rPr>
          <w:b/>
          <w:bCs/>
        </w:rPr>
        <w:instrText xml:space="preserve"> </w:instrText>
      </w:r>
      <w:r w:rsidR="00021E2A">
        <w:rPr>
          <w:b/>
          <w:bCs/>
          <w:lang w:val="en-US"/>
        </w:rPr>
        <w:instrText>Verlag</w:instrText>
      </w:r>
      <w:r w:rsidR="00021E2A" w:rsidRPr="00320416">
        <w:rPr>
          <w:b/>
          <w:bCs/>
        </w:rPr>
        <w:instrText>","</w:instrText>
      </w:r>
      <w:r w:rsidR="00021E2A">
        <w:rPr>
          <w:b/>
          <w:bCs/>
          <w:lang w:val="en-US"/>
        </w:rPr>
        <w:instrText>title</w:instrText>
      </w:r>
      <w:r w:rsidR="00021E2A" w:rsidRPr="00320416">
        <w:rPr>
          <w:b/>
          <w:bCs/>
        </w:rPr>
        <w:instrText>":"</w:instrText>
      </w:r>
      <w:r w:rsidR="00021E2A">
        <w:rPr>
          <w:b/>
          <w:bCs/>
          <w:lang w:val="en-US"/>
        </w:rPr>
        <w:instrText>Comparison</w:instrText>
      </w:r>
      <w:r w:rsidR="00021E2A" w:rsidRPr="00320416">
        <w:rPr>
          <w:b/>
          <w:bCs/>
        </w:rPr>
        <w:instrText xml:space="preserve"> </w:instrText>
      </w:r>
      <w:r w:rsidR="00021E2A">
        <w:rPr>
          <w:b/>
          <w:bCs/>
          <w:lang w:val="en-US"/>
        </w:rPr>
        <w:instrText>of</w:instrText>
      </w:r>
      <w:r w:rsidR="00021E2A" w:rsidRPr="00320416">
        <w:rPr>
          <w:b/>
          <w:bCs/>
        </w:rPr>
        <w:instrText xml:space="preserve"> </w:instrText>
      </w:r>
      <w:r w:rsidR="00021E2A">
        <w:rPr>
          <w:b/>
          <w:bCs/>
          <w:lang w:val="en-US"/>
        </w:rPr>
        <w:instrText>R</w:instrText>
      </w:r>
      <w:r w:rsidR="00021E2A" w:rsidRPr="00320416">
        <w:rPr>
          <w:b/>
          <w:bCs/>
        </w:rPr>
        <w:instrText>-</w:instrText>
      </w:r>
      <w:r w:rsidR="00021E2A">
        <w:rPr>
          <w:b/>
          <w:bCs/>
          <w:lang w:val="en-US"/>
        </w:rPr>
        <w:instrText>CVP</w:instrText>
      </w:r>
      <w:r w:rsidR="00021E2A" w:rsidRPr="00320416">
        <w:rPr>
          <w:b/>
          <w:bCs/>
        </w:rPr>
        <w:instrText xml:space="preserve"> </w:instrText>
      </w:r>
      <w:r w:rsidR="00021E2A">
        <w:rPr>
          <w:b/>
          <w:bCs/>
          <w:lang w:val="en-US"/>
        </w:rPr>
        <w:instrText>with</w:instrText>
      </w:r>
      <w:r w:rsidR="00021E2A" w:rsidRPr="00320416">
        <w:rPr>
          <w:b/>
          <w:bCs/>
        </w:rPr>
        <w:instrText xml:space="preserve"> </w:instrText>
      </w:r>
      <w:r w:rsidR="00021E2A">
        <w:rPr>
          <w:b/>
          <w:bCs/>
          <w:lang w:val="en-US"/>
        </w:rPr>
        <w:instrText>R</w:instrText>
      </w:r>
      <w:r w:rsidR="00021E2A" w:rsidRPr="00320416">
        <w:rPr>
          <w:b/>
          <w:bCs/>
        </w:rPr>
        <w:instrText>-</w:instrText>
      </w:r>
      <w:r w:rsidR="00021E2A">
        <w:rPr>
          <w:b/>
          <w:bCs/>
          <w:lang w:val="en-US"/>
        </w:rPr>
        <w:instrText>CHOP</w:instrText>
      </w:r>
      <w:r w:rsidR="00021E2A" w:rsidRPr="00320416">
        <w:rPr>
          <w:b/>
          <w:bCs/>
        </w:rPr>
        <w:instrText xml:space="preserve"> </w:instrText>
      </w:r>
      <w:r w:rsidR="00021E2A">
        <w:rPr>
          <w:b/>
          <w:bCs/>
          <w:lang w:val="en-US"/>
        </w:rPr>
        <w:instrText>for</w:instrText>
      </w:r>
      <w:r w:rsidR="00021E2A" w:rsidRPr="00320416">
        <w:rPr>
          <w:b/>
          <w:bCs/>
        </w:rPr>
        <w:instrText xml:space="preserve"> </w:instrText>
      </w:r>
      <w:r w:rsidR="00021E2A">
        <w:rPr>
          <w:b/>
          <w:bCs/>
          <w:lang w:val="en-US"/>
        </w:rPr>
        <w:instrText>very</w:instrText>
      </w:r>
      <w:r w:rsidR="00021E2A" w:rsidRPr="00320416">
        <w:rPr>
          <w:b/>
          <w:bCs/>
        </w:rPr>
        <w:instrText xml:space="preserve"> </w:instrText>
      </w:r>
      <w:r w:rsidR="00021E2A">
        <w:rPr>
          <w:b/>
          <w:bCs/>
          <w:lang w:val="en-US"/>
        </w:rPr>
        <w:instrText>elderly</w:instrText>
      </w:r>
      <w:r w:rsidR="00021E2A" w:rsidRPr="00320416">
        <w:rPr>
          <w:b/>
          <w:bCs/>
        </w:rPr>
        <w:instrText xml:space="preserve"> </w:instrText>
      </w:r>
      <w:r w:rsidR="00021E2A">
        <w:rPr>
          <w:b/>
          <w:bCs/>
          <w:lang w:val="en-US"/>
        </w:rPr>
        <w:instrText>patients</w:instrText>
      </w:r>
      <w:r w:rsidR="00021E2A" w:rsidRPr="00320416">
        <w:rPr>
          <w:b/>
          <w:bCs/>
        </w:rPr>
        <w:instrText xml:space="preserve"> </w:instrText>
      </w:r>
      <w:r w:rsidR="00021E2A">
        <w:rPr>
          <w:b/>
          <w:bCs/>
          <w:lang w:val="en-US"/>
        </w:rPr>
        <w:instrText>aged</w:instrText>
      </w:r>
      <w:r w:rsidR="00021E2A" w:rsidRPr="00320416">
        <w:rPr>
          <w:b/>
          <w:bCs/>
        </w:rPr>
        <w:instrText xml:space="preserve"> 80 </w:instrText>
      </w:r>
      <w:r w:rsidR="00021E2A">
        <w:rPr>
          <w:b/>
          <w:bCs/>
          <w:lang w:val="en-US"/>
        </w:rPr>
        <w:instrText>or</w:instrText>
      </w:r>
      <w:r w:rsidR="00021E2A" w:rsidRPr="00320416">
        <w:rPr>
          <w:b/>
          <w:bCs/>
        </w:rPr>
        <w:instrText xml:space="preserve"> </w:instrText>
      </w:r>
      <w:r w:rsidR="00021E2A">
        <w:rPr>
          <w:b/>
          <w:bCs/>
          <w:lang w:val="en-US"/>
        </w:rPr>
        <w:instrText>over</w:instrText>
      </w:r>
      <w:r w:rsidR="00021E2A" w:rsidRPr="00320416">
        <w:rPr>
          <w:b/>
          <w:bCs/>
        </w:rPr>
        <w:instrText xml:space="preserve"> </w:instrText>
      </w:r>
      <w:r w:rsidR="00021E2A">
        <w:rPr>
          <w:b/>
          <w:bCs/>
          <w:lang w:val="en-US"/>
        </w:rPr>
        <w:instrText>with</w:instrText>
      </w:r>
      <w:r w:rsidR="00021E2A" w:rsidRPr="00320416">
        <w:rPr>
          <w:b/>
          <w:bCs/>
        </w:rPr>
        <w:instrText xml:space="preserve"> </w:instrText>
      </w:r>
      <w:r w:rsidR="00021E2A">
        <w:rPr>
          <w:b/>
          <w:bCs/>
          <w:lang w:val="en-US"/>
        </w:rPr>
        <w:instrText>diffuse</w:instrText>
      </w:r>
      <w:r w:rsidR="00021E2A" w:rsidRPr="00320416">
        <w:rPr>
          <w:b/>
          <w:bCs/>
        </w:rPr>
        <w:instrText xml:space="preserve"> </w:instrText>
      </w:r>
      <w:r w:rsidR="00021E2A">
        <w:rPr>
          <w:b/>
          <w:bCs/>
          <w:lang w:val="en-US"/>
        </w:rPr>
        <w:instrText>large</w:instrText>
      </w:r>
      <w:r w:rsidR="00021E2A" w:rsidRPr="00320416">
        <w:rPr>
          <w:b/>
          <w:bCs/>
        </w:rPr>
        <w:instrText xml:space="preserve"> </w:instrText>
      </w:r>
      <w:r w:rsidR="00021E2A">
        <w:rPr>
          <w:b/>
          <w:bCs/>
          <w:lang w:val="en-US"/>
        </w:rPr>
        <w:instrText>B</w:instrText>
      </w:r>
      <w:r w:rsidR="00021E2A" w:rsidRPr="00320416">
        <w:rPr>
          <w:b/>
          <w:bCs/>
        </w:rPr>
        <w:instrText xml:space="preserve"> </w:instrText>
      </w:r>
      <w:r w:rsidR="00021E2A">
        <w:rPr>
          <w:b/>
          <w:bCs/>
          <w:lang w:val="en-US"/>
        </w:rPr>
        <w:instrText>cell</w:instrText>
      </w:r>
      <w:r w:rsidR="00021E2A" w:rsidRPr="00320416">
        <w:rPr>
          <w:b/>
          <w:bCs/>
        </w:rPr>
        <w:instrText xml:space="preserve"> </w:instrText>
      </w:r>
      <w:r w:rsidR="00021E2A">
        <w:rPr>
          <w:b/>
          <w:bCs/>
          <w:lang w:val="en-US"/>
        </w:rPr>
        <w:instrText>lymphoma</w:instrText>
      </w:r>
      <w:r w:rsidR="00021E2A" w:rsidRPr="00320416">
        <w:rPr>
          <w:b/>
          <w:bCs/>
        </w:rPr>
        <w:instrText>","</w:instrText>
      </w:r>
      <w:r w:rsidR="00021E2A">
        <w:rPr>
          <w:b/>
          <w:bCs/>
          <w:lang w:val="en-US"/>
        </w:rPr>
        <w:instrText>type</w:instrText>
      </w:r>
      <w:r w:rsidR="00021E2A" w:rsidRPr="00320416">
        <w:rPr>
          <w:b/>
          <w:bCs/>
        </w:rPr>
        <w:instrText>":"</w:instrText>
      </w:r>
      <w:r w:rsidR="00021E2A">
        <w:rPr>
          <w:b/>
          <w:bCs/>
          <w:lang w:val="en-US"/>
        </w:rPr>
        <w:instrText>article</w:instrText>
      </w:r>
      <w:r w:rsidR="00021E2A" w:rsidRPr="00320416">
        <w:rPr>
          <w:b/>
          <w:bCs/>
        </w:rPr>
        <w:instrText>","</w:instrText>
      </w:r>
      <w:r w:rsidR="00021E2A">
        <w:rPr>
          <w:b/>
          <w:bCs/>
          <w:lang w:val="en-US"/>
        </w:rPr>
        <w:instrText>volume</w:instrText>
      </w:r>
      <w:r w:rsidR="00021E2A" w:rsidRPr="00320416">
        <w:rPr>
          <w:b/>
          <w:bCs/>
        </w:rPr>
        <w:instrText>":"96"},"</w:instrText>
      </w:r>
      <w:r w:rsidR="00021E2A">
        <w:rPr>
          <w:b/>
          <w:bCs/>
          <w:lang w:val="en-US"/>
        </w:rPr>
        <w:instrText>uris</w:instrText>
      </w:r>
      <w:r w:rsidR="00021E2A" w:rsidRPr="00320416">
        <w:rPr>
          <w:b/>
          <w:bCs/>
        </w:rPr>
        <w:instrText>":["</w:instrText>
      </w:r>
      <w:r w:rsidR="00021E2A">
        <w:rPr>
          <w:b/>
          <w:bCs/>
          <w:lang w:val="en-US"/>
        </w:rPr>
        <w:instrText>http</w:instrText>
      </w:r>
      <w:r w:rsidR="00021E2A" w:rsidRPr="00320416">
        <w:rPr>
          <w:b/>
          <w:bCs/>
        </w:rPr>
        <w:instrText>://</w:instrText>
      </w:r>
      <w:r w:rsidR="00021E2A">
        <w:rPr>
          <w:b/>
          <w:bCs/>
          <w:lang w:val="en-US"/>
        </w:rPr>
        <w:instrText>www</w:instrText>
      </w:r>
      <w:r w:rsidR="00021E2A" w:rsidRPr="00320416">
        <w:rPr>
          <w:b/>
          <w:bCs/>
        </w:rPr>
        <w:instrText>.</w:instrText>
      </w:r>
      <w:r w:rsidR="00021E2A">
        <w:rPr>
          <w:b/>
          <w:bCs/>
          <w:lang w:val="en-US"/>
        </w:rPr>
        <w:instrText>mendeley</w:instrText>
      </w:r>
      <w:r w:rsidR="00021E2A" w:rsidRPr="00320416">
        <w:rPr>
          <w:b/>
          <w:bCs/>
        </w:rPr>
        <w:instrText>.</w:instrText>
      </w:r>
      <w:r w:rsidR="00021E2A">
        <w:rPr>
          <w:b/>
          <w:bCs/>
          <w:lang w:val="en-US"/>
        </w:rPr>
        <w:instrText>com</w:instrText>
      </w:r>
      <w:r w:rsidR="00021E2A" w:rsidRPr="00320416">
        <w:rPr>
          <w:b/>
          <w:bCs/>
        </w:rPr>
        <w:instrText>/</w:instrText>
      </w:r>
      <w:r w:rsidR="00021E2A">
        <w:rPr>
          <w:b/>
          <w:bCs/>
          <w:lang w:val="en-US"/>
        </w:rPr>
        <w:instrText>documents</w:instrText>
      </w:r>
      <w:r w:rsidR="00021E2A" w:rsidRPr="00320416">
        <w:rPr>
          <w:b/>
          <w:bCs/>
        </w:rPr>
        <w:instrText>/?</w:instrText>
      </w:r>
      <w:r w:rsidR="00021E2A">
        <w:rPr>
          <w:b/>
          <w:bCs/>
          <w:lang w:val="en-US"/>
        </w:rPr>
        <w:instrText>uuid</w:instrText>
      </w:r>
      <w:r w:rsidR="00021E2A" w:rsidRPr="00320416">
        <w:rPr>
          <w:b/>
          <w:bCs/>
        </w:rPr>
        <w:instrText>=0</w:instrText>
      </w:r>
      <w:r w:rsidR="00021E2A">
        <w:rPr>
          <w:b/>
          <w:bCs/>
          <w:lang w:val="en-US"/>
        </w:rPr>
        <w:instrText>fbde</w:instrText>
      </w:r>
      <w:r w:rsidR="00021E2A" w:rsidRPr="00320416">
        <w:rPr>
          <w:b/>
          <w:bCs/>
        </w:rPr>
        <w:instrText>1</w:instrText>
      </w:r>
      <w:r w:rsidR="00021E2A">
        <w:rPr>
          <w:b/>
          <w:bCs/>
          <w:lang w:val="en-US"/>
        </w:rPr>
        <w:instrText>d</w:instrText>
      </w:r>
      <w:r w:rsidR="00021E2A" w:rsidRPr="00320416">
        <w:rPr>
          <w:b/>
          <w:bCs/>
        </w:rPr>
        <w:instrText>9-7549-3</w:instrText>
      </w:r>
      <w:r w:rsidR="00021E2A">
        <w:rPr>
          <w:b/>
          <w:bCs/>
          <w:lang w:val="en-US"/>
        </w:rPr>
        <w:instrText>c</w:instrText>
      </w:r>
      <w:r w:rsidR="00021E2A" w:rsidRPr="00320416">
        <w:rPr>
          <w:b/>
          <w:bCs/>
        </w:rPr>
        <w:instrText>37-8916-2698</w:instrText>
      </w:r>
      <w:r w:rsidR="00021E2A">
        <w:rPr>
          <w:b/>
          <w:bCs/>
          <w:lang w:val="en-US"/>
        </w:rPr>
        <w:instrText>e</w:instrText>
      </w:r>
      <w:r w:rsidR="00021E2A" w:rsidRPr="00320416">
        <w:rPr>
          <w:b/>
          <w:bCs/>
        </w:rPr>
        <w:instrText>4818096"]}],"</w:instrText>
      </w:r>
      <w:r w:rsidR="00021E2A">
        <w:rPr>
          <w:b/>
          <w:bCs/>
          <w:lang w:val="en-US"/>
        </w:rPr>
        <w:instrText>mendeley</w:instrText>
      </w:r>
      <w:r w:rsidR="00021E2A" w:rsidRPr="00320416">
        <w:rPr>
          <w:b/>
          <w:bCs/>
        </w:rPr>
        <w:instrText>":{"</w:instrText>
      </w:r>
      <w:r w:rsidR="00021E2A">
        <w:rPr>
          <w:b/>
          <w:bCs/>
          <w:lang w:val="en-US"/>
        </w:rPr>
        <w:instrText>formattedCitation</w:instrText>
      </w:r>
      <w:r w:rsidR="00021E2A" w:rsidRPr="00320416">
        <w:rPr>
          <w:b/>
          <w:bCs/>
        </w:rPr>
        <w:instrText>":"[82,83]","</w:instrText>
      </w:r>
      <w:r w:rsidR="00021E2A">
        <w:rPr>
          <w:b/>
          <w:bCs/>
          <w:lang w:val="en-US"/>
        </w:rPr>
        <w:instrText>plainTextFormattedCitation</w:instrText>
      </w:r>
      <w:r w:rsidR="00021E2A" w:rsidRPr="00320416">
        <w:rPr>
          <w:b/>
          <w:bCs/>
        </w:rPr>
        <w:instrText>":"[82,83]","</w:instrText>
      </w:r>
      <w:r w:rsidR="00021E2A">
        <w:rPr>
          <w:b/>
          <w:bCs/>
          <w:lang w:val="en-US"/>
        </w:rPr>
        <w:instrText>previouslyFormattedCitation</w:instrText>
      </w:r>
      <w:r w:rsidR="00021E2A" w:rsidRPr="00320416">
        <w:rPr>
          <w:b/>
          <w:bCs/>
        </w:rPr>
        <w:instrText>":"[82,83]"},"</w:instrText>
      </w:r>
      <w:r w:rsidR="00021E2A">
        <w:rPr>
          <w:b/>
          <w:bCs/>
          <w:lang w:val="en-US"/>
        </w:rPr>
        <w:instrText>properties</w:instrText>
      </w:r>
      <w:r w:rsidR="00021E2A" w:rsidRPr="00320416">
        <w:rPr>
          <w:b/>
          <w:bCs/>
        </w:rPr>
        <w:instrText>":{"</w:instrText>
      </w:r>
      <w:r w:rsidR="00021E2A">
        <w:rPr>
          <w:b/>
          <w:bCs/>
          <w:lang w:val="en-US"/>
        </w:rPr>
        <w:instrText>noteIndex</w:instrText>
      </w:r>
      <w:r w:rsidR="00021E2A" w:rsidRPr="00320416">
        <w:rPr>
          <w:b/>
          <w:bCs/>
        </w:rPr>
        <w:instrText>":0},"</w:instrText>
      </w:r>
      <w:r w:rsidR="00021E2A">
        <w:rPr>
          <w:b/>
          <w:bCs/>
          <w:lang w:val="en-US"/>
        </w:rPr>
        <w:instrText>schema</w:instrText>
      </w:r>
      <w:r w:rsidR="00021E2A" w:rsidRPr="00320416">
        <w:rPr>
          <w:b/>
          <w:bCs/>
        </w:rPr>
        <w:instrText>":"</w:instrText>
      </w:r>
      <w:r w:rsidR="00021E2A">
        <w:rPr>
          <w:b/>
          <w:bCs/>
          <w:lang w:val="en-US"/>
        </w:rPr>
        <w:instrText>https</w:instrText>
      </w:r>
      <w:r w:rsidR="00021E2A" w:rsidRPr="00320416">
        <w:rPr>
          <w:b/>
          <w:bCs/>
        </w:rPr>
        <w:instrText>://</w:instrText>
      </w:r>
      <w:r w:rsidR="00021E2A">
        <w:rPr>
          <w:b/>
          <w:bCs/>
          <w:lang w:val="en-US"/>
        </w:rPr>
        <w:instrText>github</w:instrText>
      </w:r>
      <w:r w:rsidR="00021E2A" w:rsidRPr="00320416">
        <w:rPr>
          <w:b/>
          <w:bCs/>
        </w:rPr>
        <w:instrText>.</w:instrText>
      </w:r>
      <w:r w:rsidR="00021E2A">
        <w:rPr>
          <w:b/>
          <w:bCs/>
          <w:lang w:val="en-US"/>
        </w:rPr>
        <w:instrText>com</w:instrText>
      </w:r>
      <w:r w:rsidR="00021E2A" w:rsidRPr="00320416">
        <w:rPr>
          <w:b/>
          <w:bCs/>
        </w:rPr>
        <w:instrText>/</w:instrText>
      </w:r>
      <w:r w:rsidR="00021E2A">
        <w:rPr>
          <w:b/>
          <w:bCs/>
          <w:lang w:val="en-US"/>
        </w:rPr>
        <w:instrText>citation</w:instrText>
      </w:r>
      <w:r w:rsidR="00021E2A" w:rsidRPr="00320416">
        <w:rPr>
          <w:b/>
          <w:bCs/>
        </w:rPr>
        <w:instrText>-</w:instrText>
      </w:r>
      <w:r w:rsidR="00021E2A">
        <w:rPr>
          <w:b/>
          <w:bCs/>
          <w:lang w:val="en-US"/>
        </w:rPr>
        <w:instrText>style</w:instrText>
      </w:r>
      <w:r w:rsidR="00021E2A" w:rsidRPr="00320416">
        <w:rPr>
          <w:b/>
          <w:bCs/>
        </w:rPr>
        <w:instrText>-</w:instrText>
      </w:r>
      <w:r w:rsidR="00021E2A">
        <w:rPr>
          <w:b/>
          <w:bCs/>
          <w:lang w:val="en-US"/>
        </w:rPr>
        <w:instrText>language</w:instrText>
      </w:r>
      <w:r w:rsidR="00021E2A" w:rsidRPr="00320416">
        <w:rPr>
          <w:b/>
          <w:bCs/>
        </w:rPr>
        <w:instrText>/</w:instrText>
      </w:r>
      <w:r w:rsidR="00021E2A">
        <w:rPr>
          <w:b/>
          <w:bCs/>
          <w:lang w:val="en-US"/>
        </w:rPr>
        <w:instrText>schema</w:instrText>
      </w:r>
      <w:r w:rsidR="00021E2A" w:rsidRPr="00320416">
        <w:rPr>
          <w:b/>
          <w:bCs/>
        </w:rPr>
        <w:instrText>/</w:instrText>
      </w:r>
      <w:r w:rsidR="00021E2A">
        <w:rPr>
          <w:b/>
          <w:bCs/>
          <w:lang w:val="en-US"/>
        </w:rPr>
        <w:instrText>raw</w:instrText>
      </w:r>
      <w:r w:rsidR="00021E2A" w:rsidRPr="00320416">
        <w:rPr>
          <w:b/>
          <w:bCs/>
        </w:rPr>
        <w:instrText>/</w:instrText>
      </w:r>
      <w:r w:rsidR="00021E2A">
        <w:rPr>
          <w:b/>
          <w:bCs/>
          <w:lang w:val="en-US"/>
        </w:rPr>
        <w:instrText>master</w:instrText>
      </w:r>
      <w:r w:rsidR="00021E2A" w:rsidRPr="00320416">
        <w:rPr>
          <w:b/>
          <w:bCs/>
        </w:rPr>
        <w:instrText>/</w:instrText>
      </w:r>
      <w:r w:rsidR="00021E2A">
        <w:rPr>
          <w:b/>
          <w:bCs/>
          <w:lang w:val="en-US"/>
        </w:rPr>
        <w:instrText>csl</w:instrText>
      </w:r>
      <w:r w:rsidR="00021E2A" w:rsidRPr="00320416">
        <w:rPr>
          <w:b/>
          <w:bCs/>
        </w:rPr>
        <w:instrText>-</w:instrText>
      </w:r>
      <w:r w:rsidR="00021E2A">
        <w:rPr>
          <w:b/>
          <w:bCs/>
          <w:lang w:val="en-US"/>
        </w:rPr>
        <w:instrText>citation</w:instrText>
      </w:r>
      <w:r w:rsidR="00021E2A" w:rsidRPr="00320416">
        <w:rPr>
          <w:b/>
          <w:bCs/>
        </w:rPr>
        <w:instrText>.</w:instrText>
      </w:r>
      <w:r w:rsidR="00021E2A">
        <w:rPr>
          <w:b/>
          <w:bCs/>
          <w:lang w:val="en-US"/>
        </w:rPr>
        <w:instrText>json</w:instrText>
      </w:r>
      <w:r w:rsidR="00021E2A" w:rsidRPr="00320416">
        <w:rPr>
          <w:b/>
          <w:bCs/>
        </w:rPr>
        <w:instrText>"}</w:instrText>
      </w:r>
      <w:r w:rsidRPr="000322E4">
        <w:rPr>
          <w:b/>
          <w:bCs/>
          <w:lang w:val="en-US"/>
        </w:rPr>
        <w:fldChar w:fldCharType="separate"/>
      </w:r>
      <w:r w:rsidR="009D170B" w:rsidRPr="009D170B">
        <w:rPr>
          <w:bCs/>
          <w:noProof/>
        </w:rPr>
        <w:t>[82,83]</w:t>
      </w:r>
      <w:r w:rsidRPr="000322E4">
        <w:rPr>
          <w:b/>
          <w:bCs/>
          <w:lang w:val="en-US"/>
        </w:rPr>
        <w:fldChar w:fldCharType="end"/>
      </w:r>
    </w:p>
    <w:p w14:paraId="679A9222" w14:textId="77777777" w:rsidR="00666D68" w:rsidRPr="00D714AB" w:rsidRDefault="00666D68" w:rsidP="00F414BF">
      <w:pPr>
        <w:numPr>
          <w:ilvl w:val="0"/>
          <w:numId w:val="39"/>
        </w:numPr>
        <w:spacing w:line="360" w:lineRule="auto"/>
        <w:jc w:val="both"/>
      </w:pPr>
      <w:r w:rsidRPr="000322E4">
        <w:t>Ритуксимаб</w:t>
      </w:r>
      <w:r w:rsidRPr="00D714AB">
        <w:rPr>
          <w:bCs/>
        </w:rPr>
        <w:t>**</w:t>
      </w:r>
      <w:r w:rsidRPr="00D714AB">
        <w:t xml:space="preserve"> </w:t>
      </w:r>
    </w:p>
    <w:p w14:paraId="2FE50675" w14:textId="77777777" w:rsidR="00666D68" w:rsidRPr="00D714AB" w:rsidRDefault="00666D68" w:rsidP="00F414BF">
      <w:pPr>
        <w:numPr>
          <w:ilvl w:val="1"/>
          <w:numId w:val="39"/>
        </w:numPr>
        <w:spacing w:line="360" w:lineRule="auto"/>
        <w:jc w:val="both"/>
      </w:pPr>
      <w:r w:rsidRPr="00D714AB">
        <w:t xml:space="preserve">375 </w:t>
      </w:r>
      <w:r w:rsidRPr="000322E4">
        <w:t>мг</w:t>
      </w:r>
      <w:r w:rsidRPr="00D714AB">
        <w:t>/</w:t>
      </w:r>
      <w:r w:rsidRPr="000322E4">
        <w:t>м</w:t>
      </w:r>
      <w:r w:rsidRPr="00D714AB">
        <w:rPr>
          <w:vertAlign w:val="superscript"/>
        </w:rPr>
        <w:t>2</w:t>
      </w:r>
      <w:r w:rsidRPr="00D714AB">
        <w:t xml:space="preserve"> </w:t>
      </w:r>
      <w:r w:rsidRPr="000322E4">
        <w:t>в</w:t>
      </w:r>
      <w:r w:rsidRPr="00D714AB">
        <w:t>/</w:t>
      </w:r>
      <w:r w:rsidRPr="000322E4">
        <w:t>в</w:t>
      </w:r>
      <w:r w:rsidRPr="00D714AB">
        <w:t xml:space="preserve"> </w:t>
      </w:r>
      <w:r w:rsidRPr="000322E4">
        <w:t>кап</w:t>
      </w:r>
      <w:r w:rsidRPr="00D714AB">
        <w:t xml:space="preserve">., </w:t>
      </w:r>
      <w:r w:rsidRPr="000322E4">
        <w:t>день</w:t>
      </w:r>
      <w:r w:rsidRPr="00D714AB">
        <w:t xml:space="preserve"> 0 </w:t>
      </w:r>
      <w:r w:rsidRPr="000322E4">
        <w:t>или</w:t>
      </w:r>
      <w:r w:rsidRPr="00D714AB">
        <w:t xml:space="preserve"> 1 </w:t>
      </w:r>
      <w:r w:rsidRPr="000322E4">
        <w:t>все</w:t>
      </w:r>
      <w:r w:rsidRPr="00D714AB">
        <w:t xml:space="preserve"> </w:t>
      </w:r>
      <w:r w:rsidRPr="000322E4">
        <w:t>циклы</w:t>
      </w:r>
      <w:r w:rsidRPr="00D714AB">
        <w:t xml:space="preserve"> </w:t>
      </w:r>
      <w:r w:rsidRPr="000322E4">
        <w:t>курса</w:t>
      </w:r>
    </w:p>
    <w:p w14:paraId="003583C2" w14:textId="77777777" w:rsidR="00666D68" w:rsidRPr="00D714AB" w:rsidRDefault="00666D68" w:rsidP="00F414BF">
      <w:pPr>
        <w:spacing w:line="360" w:lineRule="auto"/>
        <w:ind w:left="1080" w:firstLine="336"/>
        <w:jc w:val="both"/>
      </w:pPr>
      <w:r w:rsidRPr="000322E4">
        <w:t>или</w:t>
      </w:r>
    </w:p>
    <w:p w14:paraId="200C675F" w14:textId="4A1E0F81" w:rsidR="00666D68" w:rsidRPr="00293AC8" w:rsidRDefault="00666D68" w:rsidP="00F414BF">
      <w:pPr>
        <w:pStyle w:val="afe"/>
        <w:numPr>
          <w:ilvl w:val="1"/>
          <w:numId w:val="39"/>
        </w:numPr>
        <w:contextualSpacing w:val="0"/>
        <w:rPr>
          <w:lang w:eastAsia="ru-RU"/>
        </w:rPr>
      </w:pPr>
      <w:r w:rsidRPr="00D714AB">
        <w:rPr>
          <w:lang w:eastAsia="ru-RU"/>
        </w:rPr>
        <w:t xml:space="preserve">375 </w:t>
      </w:r>
      <w:r w:rsidRPr="000322E4">
        <w:rPr>
          <w:lang w:eastAsia="ru-RU"/>
        </w:rPr>
        <w:t>мг</w:t>
      </w:r>
      <w:r w:rsidRPr="00D714AB">
        <w:rPr>
          <w:lang w:eastAsia="ru-RU"/>
        </w:rPr>
        <w:t>/</w:t>
      </w:r>
      <w:r w:rsidRPr="000322E4">
        <w:rPr>
          <w:lang w:eastAsia="ru-RU"/>
        </w:rPr>
        <w:t>м</w:t>
      </w:r>
      <w:r w:rsidRPr="00D714AB">
        <w:rPr>
          <w:vertAlign w:val="superscript"/>
          <w:lang w:eastAsia="ru-RU"/>
        </w:rPr>
        <w:t>2</w:t>
      </w:r>
      <w:r w:rsidRPr="00D714AB">
        <w:rPr>
          <w:lang w:eastAsia="ru-RU"/>
        </w:rPr>
        <w:t xml:space="preserve"> </w:t>
      </w:r>
      <w:r w:rsidRPr="000322E4">
        <w:rPr>
          <w:lang w:eastAsia="ru-RU"/>
        </w:rPr>
        <w:t>в</w:t>
      </w:r>
      <w:r w:rsidRPr="00D714AB">
        <w:rPr>
          <w:lang w:eastAsia="ru-RU"/>
        </w:rPr>
        <w:t>/</w:t>
      </w:r>
      <w:r w:rsidRPr="000322E4">
        <w:rPr>
          <w:lang w:eastAsia="ru-RU"/>
        </w:rPr>
        <w:t>в</w:t>
      </w:r>
      <w:r w:rsidRPr="00D714AB">
        <w:rPr>
          <w:lang w:eastAsia="ru-RU"/>
        </w:rPr>
        <w:t xml:space="preserve"> </w:t>
      </w:r>
      <w:r w:rsidRPr="000322E4">
        <w:rPr>
          <w:lang w:eastAsia="ru-RU"/>
        </w:rPr>
        <w:t>кап</w:t>
      </w:r>
      <w:r w:rsidRPr="00D714AB">
        <w:rPr>
          <w:lang w:eastAsia="ru-RU"/>
        </w:rPr>
        <w:t xml:space="preserve">. 1 </w:t>
      </w:r>
      <w:r w:rsidRPr="000322E4">
        <w:rPr>
          <w:lang w:eastAsia="ru-RU"/>
        </w:rPr>
        <w:t>цикл</w:t>
      </w:r>
      <w:r w:rsidRPr="00D714AB">
        <w:rPr>
          <w:lang w:eastAsia="ru-RU"/>
        </w:rPr>
        <w:t>,</w:t>
      </w:r>
      <w:r w:rsidRPr="00D714AB">
        <w:t xml:space="preserve"> </w:t>
      </w:r>
      <w:r w:rsidRPr="000322E4">
        <w:t>далее</w:t>
      </w:r>
      <w:r w:rsidRPr="00D714AB">
        <w:t xml:space="preserve"> </w:t>
      </w:r>
      <w:r w:rsidRPr="000322E4">
        <w:t>ритуксимаб</w:t>
      </w:r>
      <w:r w:rsidRPr="00D714AB">
        <w:t xml:space="preserve"> 1400 </w:t>
      </w:r>
      <w:r w:rsidRPr="000322E4">
        <w:t>мг</w:t>
      </w:r>
      <w:r w:rsidRPr="00D714AB">
        <w:t xml:space="preserve"> </w:t>
      </w:r>
      <w:r w:rsidRPr="000322E4">
        <w:t>п</w:t>
      </w:r>
      <w:r w:rsidRPr="00D714AB">
        <w:t>/</w:t>
      </w:r>
      <w:r w:rsidRPr="000322E4">
        <w:t>к</w:t>
      </w:r>
      <w:r w:rsidRPr="00D714AB">
        <w:t>,</w:t>
      </w:r>
      <w:r w:rsidRPr="00D714AB">
        <w:rPr>
          <w:lang w:eastAsia="ru-RU"/>
        </w:rPr>
        <w:t xml:space="preserve"> </w:t>
      </w:r>
      <w:r w:rsidRPr="000322E4">
        <w:rPr>
          <w:lang w:eastAsia="ru-RU"/>
        </w:rPr>
        <w:t>день</w:t>
      </w:r>
      <w:r w:rsidRPr="00D714AB">
        <w:rPr>
          <w:lang w:eastAsia="ru-RU"/>
        </w:rPr>
        <w:t xml:space="preserve"> 0 </w:t>
      </w:r>
      <w:r w:rsidRPr="000322E4">
        <w:rPr>
          <w:lang w:eastAsia="ru-RU"/>
        </w:rPr>
        <w:t>или</w:t>
      </w:r>
      <w:r w:rsidRPr="00D714AB">
        <w:rPr>
          <w:lang w:eastAsia="ru-RU"/>
        </w:rPr>
        <w:t xml:space="preserve"> 1 </w:t>
      </w:r>
      <w:r w:rsidRPr="000322E4">
        <w:rPr>
          <w:lang w:val="en-US" w:eastAsia="ru-RU"/>
        </w:rPr>
        <w:fldChar w:fldCharType="begin" w:fldLock="1"/>
      </w:r>
      <w:r w:rsidR="00A6794A">
        <w:rPr>
          <w:lang w:val="en-US" w:eastAsia="ru-RU"/>
        </w:rPr>
        <w:instrText>ADDIN</w:instrText>
      </w:r>
      <w:r w:rsidR="00A6794A" w:rsidRPr="00D3550C">
        <w:rPr>
          <w:lang w:eastAsia="ru-RU"/>
        </w:rPr>
        <w:instrText xml:space="preserve"> </w:instrText>
      </w:r>
      <w:r w:rsidR="00A6794A">
        <w:rPr>
          <w:lang w:val="en-US" w:eastAsia="ru-RU"/>
        </w:rPr>
        <w:instrText>CSL</w:instrText>
      </w:r>
      <w:r w:rsidR="00A6794A" w:rsidRPr="00D3550C">
        <w:rPr>
          <w:lang w:eastAsia="ru-RU"/>
        </w:rPr>
        <w:instrText>_</w:instrText>
      </w:r>
      <w:r w:rsidR="00A6794A">
        <w:rPr>
          <w:lang w:val="en-US" w:eastAsia="ru-RU"/>
        </w:rPr>
        <w:instrText>CITATION</w:instrText>
      </w:r>
      <w:r w:rsidR="00A6794A" w:rsidRPr="00D3550C">
        <w:rPr>
          <w:lang w:eastAsia="ru-RU"/>
        </w:rPr>
        <w:instrText xml:space="preserve"> {"</w:instrText>
      </w:r>
      <w:r w:rsidR="00A6794A">
        <w:rPr>
          <w:lang w:val="en-US" w:eastAsia="ru-RU"/>
        </w:rPr>
        <w:instrText>citationItems</w:instrText>
      </w:r>
      <w:r w:rsidR="00A6794A" w:rsidRPr="00D3550C">
        <w:rPr>
          <w:lang w:eastAsia="ru-RU"/>
        </w:rPr>
        <w:instrText>":[{"</w:instrText>
      </w:r>
      <w:r w:rsidR="00A6794A">
        <w:rPr>
          <w:lang w:val="en-US" w:eastAsia="ru-RU"/>
        </w:rPr>
        <w:instrText>id</w:instrText>
      </w:r>
      <w:r w:rsidR="00A6794A" w:rsidRPr="00D3550C">
        <w:rPr>
          <w:lang w:eastAsia="ru-RU"/>
        </w:rPr>
        <w:instrText>":"</w:instrText>
      </w:r>
      <w:r w:rsidR="00A6794A">
        <w:rPr>
          <w:lang w:val="en-US" w:eastAsia="ru-RU"/>
        </w:rPr>
        <w:instrText>ITEM</w:instrText>
      </w:r>
      <w:r w:rsidR="00A6794A" w:rsidRPr="00D3550C">
        <w:rPr>
          <w:lang w:eastAsia="ru-RU"/>
        </w:rPr>
        <w:instrText>-1","</w:instrText>
      </w:r>
      <w:r w:rsidR="00A6794A">
        <w:rPr>
          <w:lang w:val="en-US" w:eastAsia="ru-RU"/>
        </w:rPr>
        <w:instrText>itemData</w:instrText>
      </w:r>
      <w:r w:rsidR="00A6794A" w:rsidRPr="00D3550C">
        <w:rPr>
          <w:lang w:eastAsia="ru-RU"/>
        </w:rPr>
        <w:instrText>":{"</w:instrText>
      </w:r>
      <w:r w:rsidR="00A6794A">
        <w:rPr>
          <w:lang w:val="en-US" w:eastAsia="ru-RU"/>
        </w:rPr>
        <w:instrText>ISSN</w:instrText>
      </w:r>
      <w:r w:rsidR="00A6794A" w:rsidRPr="00D3550C">
        <w:rPr>
          <w:lang w:eastAsia="ru-RU"/>
        </w:rPr>
        <w:instrText>":"2150-0878","</w:instrText>
      </w:r>
      <w:r w:rsidR="00A6794A">
        <w:rPr>
          <w:lang w:val="en-US" w:eastAsia="ru-RU"/>
        </w:rPr>
        <w:instrText>PMID</w:instrText>
      </w:r>
      <w:r w:rsidR="00A6794A" w:rsidRPr="00D3550C">
        <w:rPr>
          <w:lang w:eastAsia="ru-RU"/>
        </w:rPr>
        <w:instrText>":"31086689","</w:instrText>
      </w:r>
      <w:r w:rsidR="00A6794A">
        <w:rPr>
          <w:lang w:val="en-US" w:eastAsia="ru-RU"/>
        </w:rPr>
        <w:instrText>abstract</w:instrText>
      </w:r>
      <w:r w:rsidR="00A6794A" w:rsidRPr="00D3550C">
        <w:rPr>
          <w:lang w:eastAsia="ru-RU"/>
        </w:rPr>
        <w:instrText>":"</w:instrText>
      </w:r>
      <w:r w:rsidR="00A6794A">
        <w:rPr>
          <w:lang w:val="en-US" w:eastAsia="ru-RU"/>
        </w:rPr>
        <w:instrText>Rituximab</w:instrText>
      </w:r>
      <w:r w:rsidR="00A6794A" w:rsidRPr="00D3550C">
        <w:rPr>
          <w:lang w:eastAsia="ru-RU"/>
        </w:rPr>
        <w:instrText xml:space="preserve"> </w:instrText>
      </w:r>
      <w:r w:rsidR="00A6794A">
        <w:rPr>
          <w:lang w:val="en-US" w:eastAsia="ru-RU"/>
        </w:rPr>
        <w:instrText>and</w:instrText>
      </w:r>
      <w:r w:rsidR="00A6794A" w:rsidRPr="00D3550C">
        <w:rPr>
          <w:lang w:eastAsia="ru-RU"/>
        </w:rPr>
        <w:instrText xml:space="preserve"> </w:instrText>
      </w:r>
      <w:r w:rsidR="00A6794A">
        <w:rPr>
          <w:lang w:val="en-US" w:eastAsia="ru-RU"/>
        </w:rPr>
        <w:instrText>hyaluronidase</w:instrText>
      </w:r>
      <w:r w:rsidR="00A6794A" w:rsidRPr="00D3550C">
        <w:rPr>
          <w:lang w:eastAsia="ru-RU"/>
        </w:rPr>
        <w:instrText xml:space="preserve"> </w:instrText>
      </w:r>
      <w:r w:rsidR="00A6794A">
        <w:rPr>
          <w:lang w:val="en-US" w:eastAsia="ru-RU"/>
        </w:rPr>
        <w:instrText>human</w:instrText>
      </w:r>
      <w:r w:rsidR="00A6794A" w:rsidRPr="00D3550C">
        <w:rPr>
          <w:lang w:eastAsia="ru-RU"/>
        </w:rPr>
        <w:instrText xml:space="preserve"> </w:instrText>
      </w:r>
      <w:r w:rsidR="00A6794A">
        <w:rPr>
          <w:lang w:val="en-US" w:eastAsia="ru-RU"/>
        </w:rPr>
        <w:instrText>is</w:instrText>
      </w:r>
      <w:r w:rsidR="00A6794A" w:rsidRPr="00D3550C">
        <w:rPr>
          <w:lang w:eastAsia="ru-RU"/>
        </w:rPr>
        <w:instrText xml:space="preserve"> </w:instrText>
      </w:r>
      <w:r w:rsidR="00A6794A">
        <w:rPr>
          <w:lang w:val="en-US" w:eastAsia="ru-RU"/>
        </w:rPr>
        <w:instrText>a</w:instrText>
      </w:r>
      <w:r w:rsidR="00A6794A" w:rsidRPr="00D3550C">
        <w:rPr>
          <w:lang w:eastAsia="ru-RU"/>
        </w:rPr>
        <w:instrText xml:space="preserve"> </w:instrText>
      </w:r>
      <w:r w:rsidR="00A6794A">
        <w:rPr>
          <w:lang w:val="en-US" w:eastAsia="ru-RU"/>
        </w:rPr>
        <w:instrText>new</w:instrText>
      </w:r>
      <w:r w:rsidR="00A6794A" w:rsidRPr="00D3550C">
        <w:rPr>
          <w:lang w:eastAsia="ru-RU"/>
        </w:rPr>
        <w:instrText xml:space="preserve"> </w:instrText>
      </w:r>
      <w:r w:rsidR="00A6794A">
        <w:rPr>
          <w:lang w:val="en-US" w:eastAsia="ru-RU"/>
        </w:rPr>
        <w:instrText>subcutaneous</w:instrText>
      </w:r>
      <w:r w:rsidR="00A6794A" w:rsidRPr="00D3550C">
        <w:rPr>
          <w:lang w:eastAsia="ru-RU"/>
        </w:rPr>
        <w:instrText xml:space="preserve"> </w:instrText>
      </w:r>
      <w:r w:rsidR="00A6794A">
        <w:rPr>
          <w:lang w:val="en-US" w:eastAsia="ru-RU"/>
        </w:rPr>
        <w:instrText>formulation</w:instrText>
      </w:r>
      <w:r w:rsidR="00A6794A" w:rsidRPr="00D3550C">
        <w:rPr>
          <w:lang w:eastAsia="ru-RU"/>
        </w:rPr>
        <w:instrText xml:space="preserve"> </w:instrText>
      </w:r>
      <w:r w:rsidR="00A6794A">
        <w:rPr>
          <w:lang w:val="en-US" w:eastAsia="ru-RU"/>
        </w:rPr>
        <w:instrText>of</w:instrText>
      </w:r>
      <w:r w:rsidR="00A6794A" w:rsidRPr="00D3550C">
        <w:rPr>
          <w:lang w:eastAsia="ru-RU"/>
        </w:rPr>
        <w:instrText xml:space="preserve"> </w:instrText>
      </w:r>
      <w:r w:rsidR="00A6794A">
        <w:rPr>
          <w:lang w:val="en-US" w:eastAsia="ru-RU"/>
        </w:rPr>
        <w:instrText>rituximab</w:instrText>
      </w:r>
      <w:r w:rsidR="00A6794A" w:rsidRPr="00D3550C">
        <w:rPr>
          <w:lang w:eastAsia="ru-RU"/>
        </w:rPr>
        <w:instrText xml:space="preserve"> </w:instrText>
      </w:r>
      <w:r w:rsidR="00A6794A">
        <w:rPr>
          <w:lang w:val="en-US" w:eastAsia="ru-RU"/>
        </w:rPr>
        <w:instrText>that</w:instrText>
      </w:r>
      <w:r w:rsidR="00A6794A" w:rsidRPr="00D3550C">
        <w:rPr>
          <w:lang w:eastAsia="ru-RU"/>
        </w:rPr>
        <w:instrText xml:space="preserve"> </w:instrText>
      </w:r>
      <w:r w:rsidR="00A6794A">
        <w:rPr>
          <w:lang w:val="en-US" w:eastAsia="ru-RU"/>
        </w:rPr>
        <w:instrText>was</w:instrText>
      </w:r>
      <w:r w:rsidR="00A6794A" w:rsidRPr="00D3550C">
        <w:rPr>
          <w:lang w:eastAsia="ru-RU"/>
        </w:rPr>
        <w:instrText xml:space="preserve"> </w:instrText>
      </w:r>
      <w:r w:rsidR="00A6794A">
        <w:rPr>
          <w:lang w:val="en-US" w:eastAsia="ru-RU"/>
        </w:rPr>
        <w:instrText>recently</w:instrText>
      </w:r>
      <w:r w:rsidR="00A6794A" w:rsidRPr="00D3550C">
        <w:rPr>
          <w:lang w:eastAsia="ru-RU"/>
        </w:rPr>
        <w:instrText xml:space="preserve"> </w:instrText>
      </w:r>
      <w:r w:rsidR="00A6794A">
        <w:rPr>
          <w:lang w:val="en-US" w:eastAsia="ru-RU"/>
        </w:rPr>
        <w:instrText>approved</w:instrText>
      </w:r>
      <w:r w:rsidR="00A6794A" w:rsidRPr="00D3550C">
        <w:rPr>
          <w:lang w:eastAsia="ru-RU"/>
        </w:rPr>
        <w:instrText xml:space="preserve"> </w:instrText>
      </w:r>
      <w:r w:rsidR="00A6794A">
        <w:rPr>
          <w:lang w:val="en-US" w:eastAsia="ru-RU"/>
        </w:rPr>
        <w:instrText>by</w:instrText>
      </w:r>
      <w:r w:rsidR="00A6794A" w:rsidRPr="00D3550C">
        <w:rPr>
          <w:lang w:eastAsia="ru-RU"/>
        </w:rPr>
        <w:instrText xml:space="preserve"> </w:instrText>
      </w:r>
      <w:r w:rsidR="00A6794A">
        <w:rPr>
          <w:lang w:val="en-US" w:eastAsia="ru-RU"/>
        </w:rPr>
        <w:instrText>the</w:instrText>
      </w:r>
      <w:r w:rsidR="00A6794A" w:rsidRPr="00D3550C">
        <w:rPr>
          <w:lang w:eastAsia="ru-RU"/>
        </w:rPr>
        <w:instrText xml:space="preserve"> </w:instrText>
      </w:r>
      <w:r w:rsidR="00A6794A">
        <w:rPr>
          <w:lang w:val="en-US" w:eastAsia="ru-RU"/>
        </w:rPr>
        <w:instrText>US</w:instrText>
      </w:r>
      <w:r w:rsidR="00A6794A" w:rsidRPr="00D3550C">
        <w:rPr>
          <w:lang w:eastAsia="ru-RU"/>
        </w:rPr>
        <w:instrText xml:space="preserve"> </w:instrText>
      </w:r>
      <w:r w:rsidR="00A6794A">
        <w:rPr>
          <w:lang w:val="en-US" w:eastAsia="ru-RU"/>
        </w:rPr>
        <w:instrText>Food</w:instrText>
      </w:r>
      <w:r w:rsidR="00A6794A" w:rsidRPr="00D3550C">
        <w:rPr>
          <w:lang w:eastAsia="ru-RU"/>
        </w:rPr>
        <w:instrText xml:space="preserve"> </w:instrText>
      </w:r>
      <w:r w:rsidR="00A6794A">
        <w:rPr>
          <w:lang w:val="en-US" w:eastAsia="ru-RU"/>
        </w:rPr>
        <w:instrText>and</w:instrText>
      </w:r>
      <w:r w:rsidR="00A6794A" w:rsidRPr="00D3550C">
        <w:rPr>
          <w:lang w:eastAsia="ru-RU"/>
        </w:rPr>
        <w:instrText xml:space="preserve"> </w:instrText>
      </w:r>
      <w:r w:rsidR="00A6794A">
        <w:rPr>
          <w:lang w:val="en-US" w:eastAsia="ru-RU"/>
        </w:rPr>
        <w:instrText>Drug</w:instrText>
      </w:r>
      <w:r w:rsidR="00A6794A" w:rsidRPr="00D3550C">
        <w:rPr>
          <w:lang w:eastAsia="ru-RU"/>
        </w:rPr>
        <w:instrText xml:space="preserve"> </w:instrText>
      </w:r>
      <w:r w:rsidR="00A6794A">
        <w:rPr>
          <w:lang w:val="en-US" w:eastAsia="ru-RU"/>
        </w:rPr>
        <w:instrText>Administration</w:instrText>
      </w:r>
      <w:r w:rsidR="00A6794A" w:rsidRPr="00D3550C">
        <w:rPr>
          <w:lang w:eastAsia="ru-RU"/>
        </w:rPr>
        <w:instrText xml:space="preserve"> </w:instrText>
      </w:r>
      <w:r w:rsidR="00A6794A">
        <w:rPr>
          <w:lang w:val="en-US" w:eastAsia="ru-RU"/>
        </w:rPr>
        <w:instrText>for</w:instrText>
      </w:r>
      <w:r w:rsidR="00A6794A" w:rsidRPr="00D3550C">
        <w:rPr>
          <w:lang w:eastAsia="ru-RU"/>
        </w:rPr>
        <w:instrText xml:space="preserve"> </w:instrText>
      </w:r>
      <w:r w:rsidR="00A6794A">
        <w:rPr>
          <w:lang w:val="en-US" w:eastAsia="ru-RU"/>
        </w:rPr>
        <w:instrText>the</w:instrText>
      </w:r>
      <w:r w:rsidR="00A6794A" w:rsidRPr="00D3550C">
        <w:rPr>
          <w:lang w:eastAsia="ru-RU"/>
        </w:rPr>
        <w:instrText xml:space="preserve"> </w:instrText>
      </w:r>
      <w:r w:rsidR="00A6794A">
        <w:rPr>
          <w:lang w:val="en-US" w:eastAsia="ru-RU"/>
        </w:rPr>
        <w:instrText>treatment</w:instrText>
      </w:r>
      <w:r w:rsidR="00A6794A" w:rsidRPr="00D3550C">
        <w:rPr>
          <w:lang w:eastAsia="ru-RU"/>
        </w:rPr>
        <w:instrText xml:space="preserve"> </w:instrText>
      </w:r>
      <w:r w:rsidR="00A6794A">
        <w:rPr>
          <w:lang w:val="en-US" w:eastAsia="ru-RU"/>
        </w:rPr>
        <w:instrText>of</w:instrText>
      </w:r>
      <w:r w:rsidR="00A6794A" w:rsidRPr="00D3550C">
        <w:rPr>
          <w:lang w:eastAsia="ru-RU"/>
        </w:rPr>
        <w:instrText xml:space="preserve"> </w:instrText>
      </w:r>
      <w:r w:rsidR="00A6794A">
        <w:rPr>
          <w:lang w:val="en-US" w:eastAsia="ru-RU"/>
        </w:rPr>
        <w:instrText>adults</w:instrText>
      </w:r>
      <w:r w:rsidR="00A6794A" w:rsidRPr="00D3550C">
        <w:rPr>
          <w:lang w:eastAsia="ru-RU"/>
        </w:rPr>
        <w:instrText xml:space="preserve"> </w:instrText>
      </w:r>
      <w:r w:rsidR="00A6794A">
        <w:rPr>
          <w:lang w:val="en-US" w:eastAsia="ru-RU"/>
        </w:rPr>
        <w:instrText>with</w:instrText>
      </w:r>
      <w:r w:rsidR="00A6794A" w:rsidRPr="00D3550C">
        <w:rPr>
          <w:lang w:eastAsia="ru-RU"/>
        </w:rPr>
        <w:instrText xml:space="preserve"> </w:instrText>
      </w:r>
      <w:r w:rsidR="00A6794A">
        <w:rPr>
          <w:lang w:val="en-US" w:eastAsia="ru-RU"/>
        </w:rPr>
        <w:instrText>follicular</w:instrText>
      </w:r>
      <w:r w:rsidR="00A6794A" w:rsidRPr="00D3550C">
        <w:rPr>
          <w:lang w:eastAsia="ru-RU"/>
        </w:rPr>
        <w:instrText xml:space="preserve"> </w:instrText>
      </w:r>
      <w:r w:rsidR="00A6794A">
        <w:rPr>
          <w:lang w:val="en-US" w:eastAsia="ru-RU"/>
        </w:rPr>
        <w:instrText>lymphoma</w:instrText>
      </w:r>
      <w:r w:rsidR="00A6794A" w:rsidRPr="00D3550C">
        <w:rPr>
          <w:lang w:eastAsia="ru-RU"/>
        </w:rPr>
        <w:instrText xml:space="preserve">, </w:instrText>
      </w:r>
      <w:r w:rsidR="00A6794A">
        <w:rPr>
          <w:lang w:val="en-US" w:eastAsia="ru-RU"/>
        </w:rPr>
        <w:instrText>diffuse</w:instrText>
      </w:r>
      <w:r w:rsidR="00A6794A" w:rsidRPr="00D3550C">
        <w:rPr>
          <w:lang w:eastAsia="ru-RU"/>
        </w:rPr>
        <w:instrText xml:space="preserve"> </w:instrText>
      </w:r>
      <w:r w:rsidR="00A6794A">
        <w:rPr>
          <w:lang w:val="en-US" w:eastAsia="ru-RU"/>
        </w:rPr>
        <w:instrText>large</w:instrText>
      </w:r>
      <w:r w:rsidR="00A6794A" w:rsidRPr="00D3550C">
        <w:rPr>
          <w:lang w:eastAsia="ru-RU"/>
        </w:rPr>
        <w:instrText xml:space="preserve"> </w:instrText>
      </w:r>
      <w:r w:rsidR="00A6794A">
        <w:rPr>
          <w:lang w:val="en-US" w:eastAsia="ru-RU"/>
        </w:rPr>
        <w:instrText>B</w:instrText>
      </w:r>
      <w:r w:rsidR="00A6794A" w:rsidRPr="00D3550C">
        <w:rPr>
          <w:lang w:eastAsia="ru-RU"/>
        </w:rPr>
        <w:instrText>-</w:instrText>
      </w:r>
      <w:r w:rsidR="00A6794A">
        <w:rPr>
          <w:lang w:val="en-US" w:eastAsia="ru-RU"/>
        </w:rPr>
        <w:instrText>cell</w:instrText>
      </w:r>
      <w:r w:rsidR="00A6794A" w:rsidRPr="00D3550C">
        <w:rPr>
          <w:lang w:eastAsia="ru-RU"/>
        </w:rPr>
        <w:instrText xml:space="preserve"> </w:instrText>
      </w:r>
      <w:r w:rsidR="00A6794A">
        <w:rPr>
          <w:lang w:val="en-US" w:eastAsia="ru-RU"/>
        </w:rPr>
        <w:instrText>lymphoma</w:instrText>
      </w:r>
      <w:r w:rsidR="00A6794A" w:rsidRPr="00D3550C">
        <w:rPr>
          <w:lang w:eastAsia="ru-RU"/>
        </w:rPr>
        <w:instrText xml:space="preserve">, </w:instrText>
      </w:r>
      <w:r w:rsidR="00A6794A">
        <w:rPr>
          <w:lang w:val="en-US" w:eastAsia="ru-RU"/>
        </w:rPr>
        <w:instrText>and</w:instrText>
      </w:r>
      <w:r w:rsidR="00A6794A" w:rsidRPr="00D3550C">
        <w:rPr>
          <w:lang w:eastAsia="ru-RU"/>
        </w:rPr>
        <w:instrText xml:space="preserve"> </w:instrText>
      </w:r>
      <w:r w:rsidR="00A6794A">
        <w:rPr>
          <w:lang w:val="en-US" w:eastAsia="ru-RU"/>
        </w:rPr>
        <w:instrText>chronic</w:instrText>
      </w:r>
      <w:r w:rsidR="00A6794A" w:rsidRPr="00D3550C">
        <w:rPr>
          <w:lang w:eastAsia="ru-RU"/>
        </w:rPr>
        <w:instrText xml:space="preserve"> </w:instrText>
      </w:r>
      <w:r w:rsidR="00A6794A">
        <w:rPr>
          <w:lang w:val="en-US" w:eastAsia="ru-RU"/>
        </w:rPr>
        <w:instrText>lymphocytic</w:instrText>
      </w:r>
      <w:r w:rsidR="00A6794A" w:rsidRPr="00D3550C">
        <w:rPr>
          <w:lang w:eastAsia="ru-RU"/>
        </w:rPr>
        <w:instrText xml:space="preserve"> </w:instrText>
      </w:r>
      <w:r w:rsidR="00A6794A">
        <w:rPr>
          <w:lang w:val="en-US" w:eastAsia="ru-RU"/>
        </w:rPr>
        <w:instrText>leukemia</w:instrText>
      </w:r>
      <w:r w:rsidR="00A6794A" w:rsidRPr="00D3550C">
        <w:rPr>
          <w:lang w:eastAsia="ru-RU"/>
        </w:rPr>
        <w:instrText xml:space="preserve">. </w:instrText>
      </w:r>
      <w:r w:rsidR="00A6794A">
        <w:rPr>
          <w:lang w:val="en-US" w:eastAsia="ru-RU"/>
        </w:rPr>
        <w:instrText>With</w:instrText>
      </w:r>
      <w:r w:rsidR="00A6794A" w:rsidRPr="00D3550C">
        <w:rPr>
          <w:lang w:eastAsia="ru-RU"/>
        </w:rPr>
        <w:instrText xml:space="preserve"> </w:instrText>
      </w:r>
      <w:r w:rsidR="00A6794A">
        <w:rPr>
          <w:lang w:val="en-US" w:eastAsia="ru-RU"/>
        </w:rPr>
        <w:instrText>data</w:instrText>
      </w:r>
      <w:r w:rsidR="00A6794A" w:rsidRPr="00D3550C">
        <w:rPr>
          <w:lang w:eastAsia="ru-RU"/>
        </w:rPr>
        <w:instrText xml:space="preserve"> </w:instrText>
      </w:r>
      <w:r w:rsidR="00A6794A">
        <w:rPr>
          <w:lang w:val="en-US" w:eastAsia="ru-RU"/>
        </w:rPr>
        <w:instrText>to</w:instrText>
      </w:r>
      <w:r w:rsidR="00A6794A" w:rsidRPr="00D3550C">
        <w:rPr>
          <w:lang w:eastAsia="ru-RU"/>
        </w:rPr>
        <w:instrText xml:space="preserve"> </w:instrText>
      </w:r>
      <w:r w:rsidR="00A6794A">
        <w:rPr>
          <w:lang w:val="en-US" w:eastAsia="ru-RU"/>
        </w:rPr>
        <w:instrText>support</w:instrText>
      </w:r>
      <w:r w:rsidR="00A6794A" w:rsidRPr="00D3550C">
        <w:rPr>
          <w:lang w:eastAsia="ru-RU"/>
        </w:rPr>
        <w:instrText xml:space="preserve"> </w:instrText>
      </w:r>
      <w:r w:rsidR="00A6794A">
        <w:rPr>
          <w:lang w:val="en-US" w:eastAsia="ru-RU"/>
        </w:rPr>
        <w:instrText>noninferior</w:instrText>
      </w:r>
      <w:r w:rsidR="00A6794A" w:rsidRPr="00D3550C">
        <w:rPr>
          <w:lang w:eastAsia="ru-RU"/>
        </w:rPr>
        <w:instrText xml:space="preserve"> </w:instrText>
      </w:r>
      <w:r w:rsidR="00A6794A">
        <w:rPr>
          <w:lang w:val="en-US" w:eastAsia="ru-RU"/>
        </w:rPr>
        <w:instrText>pharmacokinetics</w:instrText>
      </w:r>
      <w:r w:rsidR="00A6794A" w:rsidRPr="00D3550C">
        <w:rPr>
          <w:lang w:eastAsia="ru-RU"/>
        </w:rPr>
        <w:instrText xml:space="preserve">, </w:instrText>
      </w:r>
      <w:r w:rsidR="00A6794A">
        <w:rPr>
          <w:lang w:val="en-US" w:eastAsia="ru-RU"/>
        </w:rPr>
        <w:instrText>similar</w:instrText>
      </w:r>
      <w:r w:rsidR="00A6794A" w:rsidRPr="00D3550C">
        <w:rPr>
          <w:lang w:eastAsia="ru-RU"/>
        </w:rPr>
        <w:instrText xml:space="preserve"> </w:instrText>
      </w:r>
      <w:r w:rsidR="00A6794A">
        <w:rPr>
          <w:lang w:val="en-US" w:eastAsia="ru-RU"/>
        </w:rPr>
        <w:instrText>outcomes</w:instrText>
      </w:r>
      <w:r w:rsidR="00A6794A" w:rsidRPr="00D3550C">
        <w:rPr>
          <w:lang w:eastAsia="ru-RU"/>
        </w:rPr>
        <w:instrText xml:space="preserve">, </w:instrText>
      </w:r>
      <w:r w:rsidR="00A6794A">
        <w:rPr>
          <w:lang w:val="en-US" w:eastAsia="ru-RU"/>
        </w:rPr>
        <w:instrText>and</w:instrText>
      </w:r>
      <w:r w:rsidR="00A6794A" w:rsidRPr="00D3550C">
        <w:rPr>
          <w:lang w:eastAsia="ru-RU"/>
        </w:rPr>
        <w:instrText xml:space="preserve"> </w:instrText>
      </w:r>
      <w:r w:rsidR="00A6794A">
        <w:rPr>
          <w:lang w:val="en-US" w:eastAsia="ru-RU"/>
        </w:rPr>
        <w:instrText>comparable</w:instrText>
      </w:r>
      <w:r w:rsidR="00A6794A" w:rsidRPr="00D3550C">
        <w:rPr>
          <w:lang w:eastAsia="ru-RU"/>
        </w:rPr>
        <w:instrText xml:space="preserve"> </w:instrText>
      </w:r>
      <w:r w:rsidR="00A6794A">
        <w:rPr>
          <w:lang w:val="en-US" w:eastAsia="ru-RU"/>
        </w:rPr>
        <w:instrText>adverse</w:instrText>
      </w:r>
      <w:r w:rsidR="00A6794A" w:rsidRPr="00D3550C">
        <w:rPr>
          <w:lang w:eastAsia="ru-RU"/>
        </w:rPr>
        <w:instrText xml:space="preserve"> </w:instrText>
      </w:r>
      <w:r w:rsidR="00A6794A">
        <w:rPr>
          <w:lang w:val="en-US" w:eastAsia="ru-RU"/>
        </w:rPr>
        <w:instrText>events</w:instrText>
      </w:r>
      <w:r w:rsidR="00A6794A" w:rsidRPr="00D3550C">
        <w:rPr>
          <w:lang w:eastAsia="ru-RU"/>
        </w:rPr>
        <w:instrText xml:space="preserve">, </w:instrText>
      </w:r>
      <w:r w:rsidR="00A6794A">
        <w:rPr>
          <w:lang w:val="en-US" w:eastAsia="ru-RU"/>
        </w:rPr>
        <w:instrText>rituximab</w:instrText>
      </w:r>
      <w:r w:rsidR="00A6794A" w:rsidRPr="00D3550C">
        <w:rPr>
          <w:lang w:eastAsia="ru-RU"/>
        </w:rPr>
        <w:instrText xml:space="preserve"> </w:instrText>
      </w:r>
      <w:r w:rsidR="00A6794A">
        <w:rPr>
          <w:lang w:val="en-US" w:eastAsia="ru-RU"/>
        </w:rPr>
        <w:instrText>and</w:instrText>
      </w:r>
      <w:r w:rsidR="00A6794A" w:rsidRPr="00D3550C">
        <w:rPr>
          <w:lang w:eastAsia="ru-RU"/>
        </w:rPr>
        <w:instrText xml:space="preserve"> </w:instrText>
      </w:r>
      <w:r w:rsidR="00A6794A">
        <w:rPr>
          <w:lang w:val="en-US" w:eastAsia="ru-RU"/>
        </w:rPr>
        <w:instrText>hyaluronidase</w:instrText>
      </w:r>
      <w:r w:rsidR="00A6794A" w:rsidRPr="00D3550C">
        <w:rPr>
          <w:lang w:eastAsia="ru-RU"/>
        </w:rPr>
        <w:instrText xml:space="preserve"> </w:instrText>
      </w:r>
      <w:r w:rsidR="00A6794A">
        <w:rPr>
          <w:lang w:val="en-US" w:eastAsia="ru-RU"/>
        </w:rPr>
        <w:instrText>human</w:instrText>
      </w:r>
      <w:r w:rsidR="00A6794A" w:rsidRPr="00D3550C">
        <w:rPr>
          <w:lang w:eastAsia="ru-RU"/>
        </w:rPr>
        <w:instrText xml:space="preserve"> </w:instrText>
      </w:r>
      <w:r w:rsidR="00A6794A">
        <w:rPr>
          <w:lang w:val="en-US" w:eastAsia="ru-RU"/>
        </w:rPr>
        <w:instrText>may</w:instrText>
      </w:r>
      <w:r w:rsidR="00A6794A" w:rsidRPr="00D3550C">
        <w:rPr>
          <w:lang w:eastAsia="ru-RU"/>
        </w:rPr>
        <w:instrText xml:space="preserve"> </w:instrText>
      </w:r>
      <w:r w:rsidR="00A6794A">
        <w:rPr>
          <w:lang w:val="en-US" w:eastAsia="ru-RU"/>
        </w:rPr>
        <w:instrText>offer</w:instrText>
      </w:r>
      <w:r w:rsidR="00A6794A" w:rsidRPr="00D3550C">
        <w:rPr>
          <w:lang w:eastAsia="ru-RU"/>
        </w:rPr>
        <w:instrText xml:space="preserve"> </w:instrText>
      </w:r>
      <w:r w:rsidR="00A6794A">
        <w:rPr>
          <w:lang w:val="en-US" w:eastAsia="ru-RU"/>
        </w:rPr>
        <w:instrText>a</w:instrText>
      </w:r>
      <w:r w:rsidR="00A6794A" w:rsidRPr="00D3550C">
        <w:rPr>
          <w:lang w:eastAsia="ru-RU"/>
        </w:rPr>
        <w:instrText xml:space="preserve"> </w:instrText>
      </w:r>
      <w:r w:rsidR="00A6794A">
        <w:rPr>
          <w:lang w:val="en-US" w:eastAsia="ru-RU"/>
        </w:rPr>
        <w:instrText>suitable</w:instrText>
      </w:r>
      <w:r w:rsidR="00A6794A" w:rsidRPr="00D3550C">
        <w:rPr>
          <w:lang w:eastAsia="ru-RU"/>
        </w:rPr>
        <w:instrText xml:space="preserve"> </w:instrText>
      </w:r>
      <w:r w:rsidR="00A6794A">
        <w:rPr>
          <w:lang w:val="en-US" w:eastAsia="ru-RU"/>
        </w:rPr>
        <w:instrText>alternative</w:instrText>
      </w:r>
      <w:r w:rsidR="00A6794A" w:rsidRPr="00D3550C">
        <w:rPr>
          <w:lang w:eastAsia="ru-RU"/>
        </w:rPr>
        <w:instrText xml:space="preserve"> </w:instrText>
      </w:r>
      <w:r w:rsidR="00A6794A">
        <w:rPr>
          <w:lang w:val="en-US" w:eastAsia="ru-RU"/>
        </w:rPr>
        <w:instrText>to</w:instrText>
      </w:r>
      <w:r w:rsidR="00A6794A" w:rsidRPr="00D3550C">
        <w:rPr>
          <w:lang w:eastAsia="ru-RU"/>
        </w:rPr>
        <w:instrText xml:space="preserve"> </w:instrText>
      </w:r>
      <w:r w:rsidR="00A6794A">
        <w:rPr>
          <w:lang w:val="en-US" w:eastAsia="ru-RU"/>
        </w:rPr>
        <w:instrText>intravenous</w:instrText>
      </w:r>
      <w:r w:rsidR="00A6794A" w:rsidRPr="00D3550C">
        <w:rPr>
          <w:lang w:eastAsia="ru-RU"/>
        </w:rPr>
        <w:instrText xml:space="preserve"> </w:instrText>
      </w:r>
      <w:r w:rsidR="00A6794A">
        <w:rPr>
          <w:lang w:val="en-US" w:eastAsia="ru-RU"/>
        </w:rPr>
        <w:instrText>rituximab</w:instrText>
      </w:r>
      <w:r w:rsidR="00A6794A" w:rsidRPr="00D3550C">
        <w:rPr>
          <w:lang w:eastAsia="ru-RU"/>
        </w:rPr>
        <w:instrText xml:space="preserve"> </w:instrText>
      </w:r>
      <w:r w:rsidR="00A6794A">
        <w:rPr>
          <w:lang w:val="en-US" w:eastAsia="ru-RU"/>
        </w:rPr>
        <w:instrText>that</w:instrText>
      </w:r>
      <w:r w:rsidR="00A6794A" w:rsidRPr="00D3550C">
        <w:rPr>
          <w:lang w:eastAsia="ru-RU"/>
        </w:rPr>
        <w:instrText xml:space="preserve"> </w:instrText>
      </w:r>
      <w:r w:rsidR="00A6794A">
        <w:rPr>
          <w:lang w:val="en-US" w:eastAsia="ru-RU"/>
        </w:rPr>
        <w:instrText>could</w:instrText>
      </w:r>
      <w:r w:rsidR="00A6794A" w:rsidRPr="00D3550C">
        <w:rPr>
          <w:lang w:eastAsia="ru-RU"/>
        </w:rPr>
        <w:instrText xml:space="preserve"> </w:instrText>
      </w:r>
      <w:r w:rsidR="00A6794A">
        <w:rPr>
          <w:lang w:val="en-US" w:eastAsia="ru-RU"/>
        </w:rPr>
        <w:instrText>improve</w:instrText>
      </w:r>
      <w:r w:rsidR="00A6794A" w:rsidRPr="00D3550C">
        <w:rPr>
          <w:lang w:eastAsia="ru-RU"/>
        </w:rPr>
        <w:instrText xml:space="preserve"> </w:instrText>
      </w:r>
      <w:r w:rsidR="00A6794A">
        <w:rPr>
          <w:lang w:val="en-US" w:eastAsia="ru-RU"/>
        </w:rPr>
        <w:instrText>convenience</w:instrText>
      </w:r>
      <w:r w:rsidR="00A6794A" w:rsidRPr="00D3550C">
        <w:rPr>
          <w:lang w:eastAsia="ru-RU"/>
        </w:rPr>
        <w:instrText xml:space="preserve"> </w:instrText>
      </w:r>
      <w:r w:rsidR="00A6794A">
        <w:rPr>
          <w:lang w:val="en-US" w:eastAsia="ru-RU"/>
        </w:rPr>
        <w:instrText>for</w:instrText>
      </w:r>
      <w:r w:rsidR="00A6794A" w:rsidRPr="00D3550C">
        <w:rPr>
          <w:lang w:eastAsia="ru-RU"/>
        </w:rPr>
        <w:instrText xml:space="preserve"> </w:instrText>
      </w:r>
      <w:r w:rsidR="00A6794A">
        <w:rPr>
          <w:lang w:val="en-US" w:eastAsia="ru-RU"/>
        </w:rPr>
        <w:instrText>patients</w:instrText>
      </w:r>
      <w:r w:rsidR="00A6794A" w:rsidRPr="00D3550C">
        <w:rPr>
          <w:lang w:eastAsia="ru-RU"/>
        </w:rPr>
        <w:instrText xml:space="preserve"> </w:instrText>
      </w:r>
      <w:r w:rsidR="00A6794A">
        <w:rPr>
          <w:lang w:val="en-US" w:eastAsia="ru-RU"/>
        </w:rPr>
        <w:instrText>and</w:instrText>
      </w:r>
      <w:r w:rsidR="00A6794A" w:rsidRPr="00D3550C">
        <w:rPr>
          <w:lang w:eastAsia="ru-RU"/>
        </w:rPr>
        <w:instrText xml:space="preserve"> </w:instrText>
      </w:r>
      <w:r w:rsidR="00A6794A">
        <w:rPr>
          <w:lang w:val="en-US" w:eastAsia="ru-RU"/>
        </w:rPr>
        <w:instrText>better</w:instrText>
      </w:r>
      <w:r w:rsidR="00A6794A" w:rsidRPr="00D3550C">
        <w:rPr>
          <w:lang w:eastAsia="ru-RU"/>
        </w:rPr>
        <w:instrText xml:space="preserve"> </w:instrText>
      </w:r>
      <w:r w:rsidR="00A6794A">
        <w:rPr>
          <w:lang w:val="en-US" w:eastAsia="ru-RU"/>
        </w:rPr>
        <w:instrText>utilize</w:instrText>
      </w:r>
      <w:r w:rsidR="00A6794A" w:rsidRPr="00D3550C">
        <w:rPr>
          <w:lang w:eastAsia="ru-RU"/>
        </w:rPr>
        <w:instrText xml:space="preserve"> </w:instrText>
      </w:r>
      <w:r w:rsidR="00A6794A">
        <w:rPr>
          <w:lang w:val="en-US" w:eastAsia="ru-RU"/>
        </w:rPr>
        <w:instrText>health</w:instrText>
      </w:r>
      <w:r w:rsidR="00A6794A" w:rsidRPr="00D3550C">
        <w:rPr>
          <w:lang w:eastAsia="ru-RU"/>
        </w:rPr>
        <w:instrText>-</w:instrText>
      </w:r>
      <w:r w:rsidR="00A6794A">
        <w:rPr>
          <w:lang w:val="en-US" w:eastAsia="ru-RU"/>
        </w:rPr>
        <w:instrText>care</w:instrText>
      </w:r>
      <w:r w:rsidR="00A6794A" w:rsidRPr="00D3550C">
        <w:rPr>
          <w:lang w:eastAsia="ru-RU"/>
        </w:rPr>
        <w:instrText xml:space="preserve"> </w:instrText>
      </w:r>
      <w:r w:rsidR="00A6794A">
        <w:rPr>
          <w:lang w:val="en-US" w:eastAsia="ru-RU"/>
        </w:rPr>
        <w:instrText>resources</w:instrText>
      </w:r>
      <w:r w:rsidR="00A6794A" w:rsidRPr="00D3550C">
        <w:rPr>
          <w:lang w:eastAsia="ru-RU"/>
        </w:rPr>
        <w:instrText>.","</w:instrText>
      </w:r>
      <w:r w:rsidR="00A6794A">
        <w:rPr>
          <w:lang w:val="en-US" w:eastAsia="ru-RU"/>
        </w:rPr>
        <w:instrText>author</w:instrText>
      </w:r>
      <w:r w:rsidR="00A6794A" w:rsidRPr="00D3550C">
        <w:rPr>
          <w:lang w:eastAsia="ru-RU"/>
        </w:rPr>
        <w:instrText>":[{"</w:instrText>
      </w:r>
      <w:r w:rsidR="00A6794A">
        <w:rPr>
          <w:lang w:val="en-US" w:eastAsia="ru-RU"/>
        </w:rPr>
        <w:instrText>dropping</w:instrText>
      </w:r>
      <w:r w:rsidR="00A6794A" w:rsidRPr="00D3550C">
        <w:rPr>
          <w:lang w:eastAsia="ru-RU"/>
        </w:rPr>
        <w:instrText>-</w:instrText>
      </w:r>
      <w:r w:rsidR="00A6794A">
        <w:rPr>
          <w:lang w:val="en-US" w:eastAsia="ru-RU"/>
        </w:rPr>
        <w:instrText>particle</w:instrText>
      </w:r>
      <w:r w:rsidR="00A6794A" w:rsidRPr="00D3550C">
        <w:rPr>
          <w:lang w:eastAsia="ru-RU"/>
        </w:rPr>
        <w:instrText>":"","</w:instrText>
      </w:r>
      <w:r w:rsidR="00A6794A">
        <w:rPr>
          <w:lang w:val="en-US" w:eastAsia="ru-RU"/>
        </w:rPr>
        <w:instrText>family</w:instrText>
      </w:r>
      <w:r w:rsidR="00A6794A" w:rsidRPr="00D3550C">
        <w:rPr>
          <w:lang w:eastAsia="ru-RU"/>
        </w:rPr>
        <w:instrText>":"</w:instrText>
      </w:r>
      <w:r w:rsidR="00A6794A">
        <w:rPr>
          <w:lang w:val="en-US" w:eastAsia="ru-RU"/>
        </w:rPr>
        <w:instrText>Yelvington</w:instrText>
      </w:r>
      <w:r w:rsidR="00A6794A" w:rsidRPr="00D3550C">
        <w:rPr>
          <w:lang w:eastAsia="ru-RU"/>
        </w:rPr>
        <w:instrText>","</w:instrText>
      </w:r>
      <w:r w:rsidR="00A6794A">
        <w:rPr>
          <w:lang w:val="en-US" w:eastAsia="ru-RU"/>
        </w:rPr>
        <w:instrText>given</w:instrText>
      </w:r>
      <w:r w:rsidR="00A6794A" w:rsidRPr="00D3550C">
        <w:rPr>
          <w:lang w:eastAsia="ru-RU"/>
        </w:rPr>
        <w:instrText>":"</w:instrText>
      </w:r>
      <w:r w:rsidR="00A6794A">
        <w:rPr>
          <w:lang w:val="en-US" w:eastAsia="ru-RU"/>
        </w:rPr>
        <w:instrText>Bradley</w:instrText>
      </w:r>
      <w:r w:rsidR="00A6794A" w:rsidRPr="00D3550C">
        <w:rPr>
          <w:lang w:eastAsia="ru-RU"/>
        </w:rPr>
        <w:instrText xml:space="preserve"> </w:instrText>
      </w:r>
      <w:r w:rsidR="00A6794A">
        <w:rPr>
          <w:lang w:val="en-US" w:eastAsia="ru-RU"/>
        </w:rPr>
        <w:instrText>J</w:instrText>
      </w:r>
      <w:r w:rsidR="00A6794A" w:rsidRPr="00D3550C">
        <w:rPr>
          <w:lang w:eastAsia="ru-RU"/>
        </w:rPr>
        <w:instrText>","</w:instrText>
      </w:r>
      <w:r w:rsidR="00A6794A">
        <w:rPr>
          <w:lang w:val="en-US" w:eastAsia="ru-RU"/>
        </w:rPr>
        <w:instrText>non</w:instrText>
      </w:r>
      <w:r w:rsidR="00A6794A" w:rsidRPr="00D3550C">
        <w:rPr>
          <w:lang w:eastAsia="ru-RU"/>
        </w:rPr>
        <w:instrText>-</w:instrText>
      </w:r>
      <w:r w:rsidR="00A6794A">
        <w:rPr>
          <w:lang w:val="en-US" w:eastAsia="ru-RU"/>
        </w:rPr>
        <w:instrText>dropping</w:instrText>
      </w:r>
      <w:r w:rsidR="00A6794A" w:rsidRPr="00D3550C">
        <w:rPr>
          <w:lang w:eastAsia="ru-RU"/>
        </w:rPr>
        <w:instrText>-</w:instrText>
      </w:r>
      <w:r w:rsidR="00A6794A">
        <w:rPr>
          <w:lang w:val="en-US" w:eastAsia="ru-RU"/>
        </w:rPr>
        <w:instrText>particle</w:instrText>
      </w:r>
      <w:r w:rsidR="00A6794A" w:rsidRPr="00D3550C">
        <w:rPr>
          <w:lang w:eastAsia="ru-RU"/>
        </w:rPr>
        <w:instrText>":"","</w:instrText>
      </w:r>
      <w:r w:rsidR="00A6794A">
        <w:rPr>
          <w:lang w:val="en-US" w:eastAsia="ru-RU"/>
        </w:rPr>
        <w:instrText>parse</w:instrText>
      </w:r>
      <w:r w:rsidR="00A6794A" w:rsidRPr="00D3550C">
        <w:rPr>
          <w:lang w:eastAsia="ru-RU"/>
        </w:rPr>
        <w:instrText>-</w:instrText>
      </w:r>
      <w:r w:rsidR="00A6794A">
        <w:rPr>
          <w:lang w:val="en-US" w:eastAsia="ru-RU"/>
        </w:rPr>
        <w:instrText>names</w:instrText>
      </w:r>
      <w:r w:rsidR="00A6794A" w:rsidRPr="00D3550C">
        <w:rPr>
          <w:lang w:eastAsia="ru-RU"/>
        </w:rPr>
        <w:instrText>":</w:instrText>
      </w:r>
      <w:r w:rsidR="00A6794A">
        <w:rPr>
          <w:lang w:val="en-US" w:eastAsia="ru-RU"/>
        </w:rPr>
        <w:instrText>false</w:instrText>
      </w:r>
      <w:r w:rsidR="00A6794A" w:rsidRPr="00D3550C">
        <w:rPr>
          <w:lang w:eastAsia="ru-RU"/>
        </w:rPr>
        <w:instrText>,"</w:instrText>
      </w:r>
      <w:r w:rsidR="00A6794A">
        <w:rPr>
          <w:lang w:val="en-US" w:eastAsia="ru-RU"/>
        </w:rPr>
        <w:instrText>suffix</w:instrText>
      </w:r>
      <w:r w:rsidR="00A6794A" w:rsidRPr="00D3550C">
        <w:rPr>
          <w:lang w:eastAsia="ru-RU"/>
        </w:rPr>
        <w:instrText>":""}],"</w:instrText>
      </w:r>
      <w:r w:rsidR="00A6794A">
        <w:rPr>
          <w:lang w:val="en-US" w:eastAsia="ru-RU"/>
        </w:rPr>
        <w:instrText>container</w:instrText>
      </w:r>
      <w:r w:rsidR="00A6794A" w:rsidRPr="00D3550C">
        <w:rPr>
          <w:lang w:eastAsia="ru-RU"/>
        </w:rPr>
        <w:instrText>-</w:instrText>
      </w:r>
      <w:r w:rsidR="00A6794A">
        <w:rPr>
          <w:lang w:val="en-US" w:eastAsia="ru-RU"/>
        </w:rPr>
        <w:instrText>title</w:instrText>
      </w:r>
      <w:r w:rsidR="00A6794A" w:rsidRPr="00D3550C">
        <w:rPr>
          <w:lang w:eastAsia="ru-RU"/>
        </w:rPr>
        <w:instrText>":"</w:instrText>
      </w:r>
      <w:r w:rsidR="00A6794A">
        <w:rPr>
          <w:lang w:val="en-US" w:eastAsia="ru-RU"/>
        </w:rPr>
        <w:instrText>Journal</w:instrText>
      </w:r>
      <w:r w:rsidR="00A6794A" w:rsidRPr="00D3550C">
        <w:rPr>
          <w:lang w:eastAsia="ru-RU"/>
        </w:rPr>
        <w:instrText xml:space="preserve"> </w:instrText>
      </w:r>
      <w:r w:rsidR="00A6794A">
        <w:rPr>
          <w:lang w:val="en-US" w:eastAsia="ru-RU"/>
        </w:rPr>
        <w:instrText>of</w:instrText>
      </w:r>
      <w:r w:rsidR="00A6794A" w:rsidRPr="00D3550C">
        <w:rPr>
          <w:lang w:eastAsia="ru-RU"/>
        </w:rPr>
        <w:instrText xml:space="preserve"> </w:instrText>
      </w:r>
      <w:r w:rsidR="00A6794A">
        <w:rPr>
          <w:lang w:val="en-US" w:eastAsia="ru-RU"/>
        </w:rPr>
        <w:instrText>the</w:instrText>
      </w:r>
      <w:r w:rsidR="00A6794A" w:rsidRPr="00D3550C">
        <w:rPr>
          <w:lang w:eastAsia="ru-RU"/>
        </w:rPr>
        <w:instrText xml:space="preserve"> </w:instrText>
      </w:r>
      <w:r w:rsidR="00A6794A">
        <w:rPr>
          <w:lang w:val="en-US" w:eastAsia="ru-RU"/>
        </w:rPr>
        <w:instrText>advanced</w:instrText>
      </w:r>
      <w:r w:rsidR="00A6794A" w:rsidRPr="00D3550C">
        <w:rPr>
          <w:lang w:eastAsia="ru-RU"/>
        </w:rPr>
        <w:instrText xml:space="preserve"> </w:instrText>
      </w:r>
      <w:r w:rsidR="00A6794A">
        <w:rPr>
          <w:lang w:val="en-US" w:eastAsia="ru-RU"/>
        </w:rPr>
        <w:instrText>practitioner</w:instrText>
      </w:r>
      <w:r w:rsidR="00A6794A" w:rsidRPr="00D3550C">
        <w:rPr>
          <w:lang w:eastAsia="ru-RU"/>
        </w:rPr>
        <w:instrText xml:space="preserve"> </w:instrText>
      </w:r>
      <w:r w:rsidR="00A6794A">
        <w:rPr>
          <w:lang w:val="en-US" w:eastAsia="ru-RU"/>
        </w:rPr>
        <w:instrText>in</w:instrText>
      </w:r>
      <w:r w:rsidR="00A6794A" w:rsidRPr="00D3550C">
        <w:rPr>
          <w:lang w:eastAsia="ru-RU"/>
        </w:rPr>
        <w:instrText xml:space="preserve"> </w:instrText>
      </w:r>
      <w:r w:rsidR="00A6794A">
        <w:rPr>
          <w:lang w:val="en-US" w:eastAsia="ru-RU"/>
        </w:rPr>
        <w:instrText>oncology</w:instrText>
      </w:r>
      <w:r w:rsidR="00A6794A" w:rsidRPr="00D3550C">
        <w:rPr>
          <w:lang w:eastAsia="ru-RU"/>
        </w:rPr>
        <w:instrText>","</w:instrText>
      </w:r>
      <w:r w:rsidR="00A6794A">
        <w:rPr>
          <w:lang w:val="en-US" w:eastAsia="ru-RU"/>
        </w:rPr>
        <w:instrText>id</w:instrText>
      </w:r>
      <w:r w:rsidR="00A6794A" w:rsidRPr="00D3550C">
        <w:rPr>
          <w:lang w:eastAsia="ru-RU"/>
        </w:rPr>
        <w:instrText>":"</w:instrText>
      </w:r>
      <w:r w:rsidR="00A6794A">
        <w:rPr>
          <w:lang w:val="en-US" w:eastAsia="ru-RU"/>
        </w:rPr>
        <w:instrText>ITEM</w:instrText>
      </w:r>
      <w:r w:rsidR="00A6794A" w:rsidRPr="00D3550C">
        <w:rPr>
          <w:lang w:eastAsia="ru-RU"/>
        </w:rPr>
        <w:instrText>-1","</w:instrText>
      </w:r>
      <w:r w:rsidR="00A6794A">
        <w:rPr>
          <w:lang w:val="en-US" w:eastAsia="ru-RU"/>
        </w:rPr>
        <w:instrText>issue</w:instrText>
      </w:r>
      <w:r w:rsidR="00A6794A" w:rsidRPr="00D3550C">
        <w:rPr>
          <w:lang w:eastAsia="ru-RU"/>
        </w:rPr>
        <w:instrText>":"5","</w:instrText>
      </w:r>
      <w:r w:rsidR="00A6794A">
        <w:rPr>
          <w:lang w:val="en-US" w:eastAsia="ru-RU"/>
        </w:rPr>
        <w:instrText>issued</w:instrText>
      </w:r>
      <w:r w:rsidR="00A6794A" w:rsidRPr="00D3550C">
        <w:rPr>
          <w:lang w:eastAsia="ru-RU"/>
        </w:rPr>
        <w:instrText>":{"</w:instrText>
      </w:r>
      <w:r w:rsidR="00A6794A">
        <w:rPr>
          <w:lang w:val="en-US" w:eastAsia="ru-RU"/>
        </w:rPr>
        <w:instrText>date</w:instrText>
      </w:r>
      <w:r w:rsidR="00A6794A" w:rsidRPr="00D3550C">
        <w:rPr>
          <w:lang w:eastAsia="ru-RU"/>
        </w:rPr>
        <w:instrText>-</w:instrText>
      </w:r>
      <w:r w:rsidR="00A6794A">
        <w:rPr>
          <w:lang w:val="en-US" w:eastAsia="ru-RU"/>
        </w:rPr>
        <w:instrText>parts</w:instrText>
      </w:r>
      <w:r w:rsidR="00A6794A" w:rsidRPr="00D3550C">
        <w:rPr>
          <w:lang w:eastAsia="ru-RU"/>
        </w:rPr>
        <w:instrText>":[["2018"]]},"</w:instrText>
      </w:r>
      <w:r w:rsidR="00A6794A">
        <w:rPr>
          <w:lang w:val="en-US" w:eastAsia="ru-RU"/>
        </w:rPr>
        <w:instrText>page</w:instrText>
      </w:r>
      <w:r w:rsidR="00A6794A" w:rsidRPr="00D3550C">
        <w:rPr>
          <w:lang w:eastAsia="ru-RU"/>
        </w:rPr>
        <w:instrText>":"530-534","</w:instrText>
      </w:r>
      <w:r w:rsidR="00A6794A">
        <w:rPr>
          <w:lang w:val="en-US" w:eastAsia="ru-RU"/>
        </w:rPr>
        <w:instrText>publisher</w:instrText>
      </w:r>
      <w:r w:rsidR="00A6794A" w:rsidRPr="00D3550C">
        <w:rPr>
          <w:lang w:eastAsia="ru-RU"/>
        </w:rPr>
        <w:instrText>":"</w:instrText>
      </w:r>
      <w:r w:rsidR="00A6794A">
        <w:rPr>
          <w:lang w:val="en-US" w:eastAsia="ru-RU"/>
        </w:rPr>
        <w:instrText>Harborside</w:instrText>
      </w:r>
      <w:r w:rsidR="00A6794A" w:rsidRPr="00D3550C">
        <w:rPr>
          <w:lang w:eastAsia="ru-RU"/>
        </w:rPr>
        <w:instrText xml:space="preserve"> </w:instrText>
      </w:r>
      <w:r w:rsidR="00A6794A">
        <w:rPr>
          <w:lang w:val="en-US" w:eastAsia="ru-RU"/>
        </w:rPr>
        <w:instrText>Press</w:instrText>
      </w:r>
      <w:r w:rsidR="00A6794A" w:rsidRPr="00D3550C">
        <w:rPr>
          <w:lang w:eastAsia="ru-RU"/>
        </w:rPr>
        <w:instrText>","</w:instrText>
      </w:r>
      <w:r w:rsidR="00A6794A">
        <w:rPr>
          <w:lang w:val="en-US" w:eastAsia="ru-RU"/>
        </w:rPr>
        <w:instrText>title</w:instrText>
      </w:r>
      <w:r w:rsidR="00A6794A" w:rsidRPr="00D3550C">
        <w:rPr>
          <w:lang w:eastAsia="ru-RU"/>
        </w:rPr>
        <w:instrText>":"</w:instrText>
      </w:r>
      <w:r w:rsidR="00A6794A">
        <w:rPr>
          <w:lang w:val="en-US" w:eastAsia="ru-RU"/>
        </w:rPr>
        <w:instrText>Subcutaneous</w:instrText>
      </w:r>
      <w:r w:rsidR="00A6794A" w:rsidRPr="00D3550C">
        <w:rPr>
          <w:lang w:eastAsia="ru-RU"/>
        </w:rPr>
        <w:instrText xml:space="preserve"> </w:instrText>
      </w:r>
      <w:r w:rsidR="00A6794A">
        <w:rPr>
          <w:lang w:val="en-US" w:eastAsia="ru-RU"/>
        </w:rPr>
        <w:instrText>Rituximab</w:instrText>
      </w:r>
      <w:r w:rsidR="00A6794A" w:rsidRPr="00D3550C">
        <w:rPr>
          <w:lang w:eastAsia="ru-RU"/>
        </w:rPr>
        <w:instrText xml:space="preserve"> </w:instrText>
      </w:r>
      <w:r w:rsidR="00A6794A">
        <w:rPr>
          <w:lang w:val="en-US" w:eastAsia="ru-RU"/>
        </w:rPr>
        <w:instrText>in</w:instrText>
      </w:r>
      <w:r w:rsidR="00A6794A" w:rsidRPr="00D3550C">
        <w:rPr>
          <w:lang w:eastAsia="ru-RU"/>
        </w:rPr>
        <w:instrText xml:space="preserve"> </w:instrText>
      </w:r>
      <w:r w:rsidR="00A6794A">
        <w:rPr>
          <w:lang w:val="en-US" w:eastAsia="ru-RU"/>
        </w:rPr>
        <w:instrText>Follicular</w:instrText>
      </w:r>
      <w:r w:rsidR="00A6794A" w:rsidRPr="00D3550C">
        <w:rPr>
          <w:lang w:eastAsia="ru-RU"/>
        </w:rPr>
        <w:instrText xml:space="preserve"> </w:instrText>
      </w:r>
      <w:r w:rsidR="00A6794A">
        <w:rPr>
          <w:lang w:val="en-US" w:eastAsia="ru-RU"/>
        </w:rPr>
        <w:instrText>Lymphoma</w:instrText>
      </w:r>
      <w:r w:rsidR="00A6794A" w:rsidRPr="00D3550C">
        <w:rPr>
          <w:lang w:eastAsia="ru-RU"/>
        </w:rPr>
        <w:instrText xml:space="preserve">, </w:instrText>
      </w:r>
      <w:r w:rsidR="00A6794A">
        <w:rPr>
          <w:lang w:val="en-US" w:eastAsia="ru-RU"/>
        </w:rPr>
        <w:instrText>Chronic</w:instrText>
      </w:r>
      <w:r w:rsidR="00A6794A" w:rsidRPr="00D3550C">
        <w:rPr>
          <w:lang w:eastAsia="ru-RU"/>
        </w:rPr>
        <w:instrText xml:space="preserve"> </w:instrText>
      </w:r>
      <w:r w:rsidR="00A6794A">
        <w:rPr>
          <w:lang w:val="en-US" w:eastAsia="ru-RU"/>
        </w:rPr>
        <w:instrText>Lymphocytic</w:instrText>
      </w:r>
      <w:r w:rsidR="00A6794A" w:rsidRPr="00D3550C">
        <w:rPr>
          <w:lang w:eastAsia="ru-RU"/>
        </w:rPr>
        <w:instrText xml:space="preserve"> </w:instrText>
      </w:r>
      <w:r w:rsidR="00A6794A">
        <w:rPr>
          <w:lang w:val="en-US" w:eastAsia="ru-RU"/>
        </w:rPr>
        <w:instrText>Leukemia</w:instrText>
      </w:r>
      <w:r w:rsidR="00A6794A" w:rsidRPr="00D3550C">
        <w:rPr>
          <w:lang w:eastAsia="ru-RU"/>
        </w:rPr>
        <w:instrText xml:space="preserve">, </w:instrText>
      </w:r>
      <w:r w:rsidR="00A6794A">
        <w:rPr>
          <w:lang w:val="en-US" w:eastAsia="ru-RU"/>
        </w:rPr>
        <w:instrText>and</w:instrText>
      </w:r>
      <w:r w:rsidR="00A6794A" w:rsidRPr="00D3550C">
        <w:rPr>
          <w:lang w:eastAsia="ru-RU"/>
        </w:rPr>
        <w:instrText xml:space="preserve"> </w:instrText>
      </w:r>
      <w:r w:rsidR="00A6794A">
        <w:rPr>
          <w:lang w:val="en-US" w:eastAsia="ru-RU"/>
        </w:rPr>
        <w:instrText>Diffuse</w:instrText>
      </w:r>
      <w:r w:rsidR="00A6794A" w:rsidRPr="00D3550C">
        <w:rPr>
          <w:lang w:eastAsia="ru-RU"/>
        </w:rPr>
        <w:instrText xml:space="preserve"> </w:instrText>
      </w:r>
      <w:r w:rsidR="00A6794A">
        <w:rPr>
          <w:lang w:val="en-US" w:eastAsia="ru-RU"/>
        </w:rPr>
        <w:instrText>Large</w:instrText>
      </w:r>
      <w:r w:rsidR="00A6794A" w:rsidRPr="00D3550C">
        <w:rPr>
          <w:lang w:eastAsia="ru-RU"/>
        </w:rPr>
        <w:instrText xml:space="preserve"> </w:instrText>
      </w:r>
      <w:r w:rsidR="00A6794A">
        <w:rPr>
          <w:lang w:val="en-US" w:eastAsia="ru-RU"/>
        </w:rPr>
        <w:instrText>B</w:instrText>
      </w:r>
      <w:r w:rsidR="00A6794A" w:rsidRPr="00D3550C">
        <w:rPr>
          <w:lang w:eastAsia="ru-RU"/>
        </w:rPr>
        <w:instrText>-</w:instrText>
      </w:r>
      <w:r w:rsidR="00A6794A">
        <w:rPr>
          <w:lang w:val="en-US" w:eastAsia="ru-RU"/>
        </w:rPr>
        <w:instrText>Cell</w:instrText>
      </w:r>
      <w:r w:rsidR="00A6794A" w:rsidRPr="00D3550C">
        <w:rPr>
          <w:lang w:eastAsia="ru-RU"/>
        </w:rPr>
        <w:instrText xml:space="preserve"> </w:instrText>
      </w:r>
      <w:r w:rsidR="00A6794A">
        <w:rPr>
          <w:lang w:val="en-US" w:eastAsia="ru-RU"/>
        </w:rPr>
        <w:instrText>Lymphoma</w:instrText>
      </w:r>
      <w:r w:rsidR="00A6794A" w:rsidRPr="00D3550C">
        <w:rPr>
          <w:lang w:eastAsia="ru-RU"/>
        </w:rPr>
        <w:instrText>.","</w:instrText>
      </w:r>
      <w:r w:rsidR="00A6794A">
        <w:rPr>
          <w:lang w:val="en-US" w:eastAsia="ru-RU"/>
        </w:rPr>
        <w:instrText>type</w:instrText>
      </w:r>
      <w:r w:rsidR="00A6794A" w:rsidRPr="00D3550C">
        <w:rPr>
          <w:lang w:eastAsia="ru-RU"/>
        </w:rPr>
        <w:instrText>":"</w:instrText>
      </w:r>
      <w:r w:rsidR="00A6794A">
        <w:rPr>
          <w:lang w:val="en-US" w:eastAsia="ru-RU"/>
        </w:rPr>
        <w:instrText>article</w:instrText>
      </w:r>
      <w:r w:rsidR="00A6794A" w:rsidRPr="00D3550C">
        <w:rPr>
          <w:lang w:eastAsia="ru-RU"/>
        </w:rPr>
        <w:instrText>-</w:instrText>
      </w:r>
      <w:r w:rsidR="00A6794A">
        <w:rPr>
          <w:lang w:val="en-US" w:eastAsia="ru-RU"/>
        </w:rPr>
        <w:instrText>journal</w:instrText>
      </w:r>
      <w:r w:rsidR="00A6794A" w:rsidRPr="00D3550C">
        <w:rPr>
          <w:lang w:eastAsia="ru-RU"/>
        </w:rPr>
        <w:instrText>","</w:instrText>
      </w:r>
      <w:r w:rsidR="00A6794A">
        <w:rPr>
          <w:lang w:val="en-US" w:eastAsia="ru-RU"/>
        </w:rPr>
        <w:instrText>volume</w:instrText>
      </w:r>
      <w:r w:rsidR="00A6794A" w:rsidRPr="00D3550C">
        <w:rPr>
          <w:lang w:eastAsia="ru-RU"/>
        </w:rPr>
        <w:instrText>":"9"},"</w:instrText>
      </w:r>
      <w:r w:rsidR="00A6794A">
        <w:rPr>
          <w:lang w:val="en-US" w:eastAsia="ru-RU"/>
        </w:rPr>
        <w:instrText>uris</w:instrText>
      </w:r>
      <w:r w:rsidR="00A6794A" w:rsidRPr="00D3550C">
        <w:rPr>
          <w:lang w:eastAsia="ru-RU"/>
        </w:rPr>
        <w:instrText>":["</w:instrText>
      </w:r>
      <w:r w:rsidR="00A6794A">
        <w:rPr>
          <w:lang w:val="en-US" w:eastAsia="ru-RU"/>
        </w:rPr>
        <w:instrText>http</w:instrText>
      </w:r>
      <w:r w:rsidR="00A6794A" w:rsidRPr="00D3550C">
        <w:rPr>
          <w:lang w:eastAsia="ru-RU"/>
        </w:rPr>
        <w:instrText>://</w:instrText>
      </w:r>
      <w:r w:rsidR="00A6794A">
        <w:rPr>
          <w:lang w:val="en-US" w:eastAsia="ru-RU"/>
        </w:rPr>
        <w:instrText>www</w:instrText>
      </w:r>
      <w:r w:rsidR="00A6794A" w:rsidRPr="00D3550C">
        <w:rPr>
          <w:lang w:eastAsia="ru-RU"/>
        </w:rPr>
        <w:instrText>.</w:instrText>
      </w:r>
      <w:r w:rsidR="00A6794A">
        <w:rPr>
          <w:lang w:val="en-US" w:eastAsia="ru-RU"/>
        </w:rPr>
        <w:instrText>mendeley</w:instrText>
      </w:r>
      <w:r w:rsidR="00A6794A" w:rsidRPr="00D3550C">
        <w:rPr>
          <w:lang w:eastAsia="ru-RU"/>
        </w:rPr>
        <w:instrText>.</w:instrText>
      </w:r>
      <w:r w:rsidR="00A6794A">
        <w:rPr>
          <w:lang w:val="en-US" w:eastAsia="ru-RU"/>
        </w:rPr>
        <w:instrText>com</w:instrText>
      </w:r>
      <w:r w:rsidR="00A6794A" w:rsidRPr="00D3550C">
        <w:rPr>
          <w:lang w:eastAsia="ru-RU"/>
        </w:rPr>
        <w:instrText>/</w:instrText>
      </w:r>
      <w:r w:rsidR="00A6794A">
        <w:rPr>
          <w:lang w:val="en-US" w:eastAsia="ru-RU"/>
        </w:rPr>
        <w:instrText>documents</w:instrText>
      </w:r>
      <w:r w:rsidR="00A6794A" w:rsidRPr="00D3550C">
        <w:rPr>
          <w:lang w:eastAsia="ru-RU"/>
        </w:rPr>
        <w:instrText>/?</w:instrText>
      </w:r>
      <w:r w:rsidR="00A6794A">
        <w:rPr>
          <w:lang w:val="en-US" w:eastAsia="ru-RU"/>
        </w:rPr>
        <w:instrText>uuid</w:instrText>
      </w:r>
      <w:r w:rsidR="00A6794A" w:rsidRPr="00D3550C">
        <w:rPr>
          <w:lang w:eastAsia="ru-RU"/>
        </w:rPr>
        <w:instrText>=</w:instrText>
      </w:r>
      <w:r w:rsidR="00A6794A">
        <w:rPr>
          <w:lang w:val="en-US" w:eastAsia="ru-RU"/>
        </w:rPr>
        <w:instrText>fbb</w:instrText>
      </w:r>
      <w:r w:rsidR="00A6794A" w:rsidRPr="00D3550C">
        <w:rPr>
          <w:lang w:eastAsia="ru-RU"/>
        </w:rPr>
        <w:instrText>0</w:instrText>
      </w:r>
      <w:r w:rsidR="00A6794A">
        <w:rPr>
          <w:lang w:val="en-US" w:eastAsia="ru-RU"/>
        </w:rPr>
        <w:instrText>b</w:instrText>
      </w:r>
      <w:r w:rsidR="00A6794A" w:rsidRPr="00D3550C">
        <w:rPr>
          <w:lang w:eastAsia="ru-RU"/>
        </w:rPr>
        <w:instrText>8</w:instrText>
      </w:r>
      <w:r w:rsidR="00A6794A">
        <w:rPr>
          <w:lang w:val="en-US" w:eastAsia="ru-RU"/>
        </w:rPr>
        <w:instrText>f</w:instrText>
      </w:r>
      <w:r w:rsidR="00A6794A" w:rsidRPr="00D3550C">
        <w:rPr>
          <w:lang w:eastAsia="ru-RU"/>
        </w:rPr>
        <w:instrText>4-6</w:instrText>
      </w:r>
      <w:r w:rsidR="00A6794A">
        <w:rPr>
          <w:lang w:val="en-US" w:eastAsia="ru-RU"/>
        </w:rPr>
        <w:instrText>b</w:instrText>
      </w:r>
      <w:r w:rsidR="00A6794A" w:rsidRPr="00D3550C">
        <w:rPr>
          <w:lang w:eastAsia="ru-RU"/>
        </w:rPr>
        <w:instrText>58-3</w:instrText>
      </w:r>
      <w:r w:rsidR="00A6794A">
        <w:rPr>
          <w:lang w:val="en-US" w:eastAsia="ru-RU"/>
        </w:rPr>
        <w:instrText>a</w:instrText>
      </w:r>
      <w:r w:rsidR="00A6794A" w:rsidRPr="00D3550C">
        <w:rPr>
          <w:lang w:eastAsia="ru-RU"/>
        </w:rPr>
        <w:instrText>10-</w:instrText>
      </w:r>
      <w:r w:rsidR="00A6794A">
        <w:rPr>
          <w:lang w:val="en-US" w:eastAsia="ru-RU"/>
        </w:rPr>
        <w:instrText>b</w:instrText>
      </w:r>
      <w:r w:rsidR="00A6794A" w:rsidRPr="00D3550C">
        <w:rPr>
          <w:lang w:eastAsia="ru-RU"/>
        </w:rPr>
        <w:instrText>7</w:instrText>
      </w:r>
      <w:r w:rsidR="00A6794A">
        <w:rPr>
          <w:lang w:val="en-US" w:eastAsia="ru-RU"/>
        </w:rPr>
        <w:instrText>d</w:instrText>
      </w:r>
      <w:r w:rsidR="00A6794A" w:rsidRPr="00D3550C">
        <w:rPr>
          <w:lang w:eastAsia="ru-RU"/>
        </w:rPr>
        <w:instrText>6-</w:instrText>
      </w:r>
      <w:r w:rsidR="00A6794A">
        <w:rPr>
          <w:lang w:val="en-US" w:eastAsia="ru-RU"/>
        </w:rPr>
        <w:instrText>af</w:instrText>
      </w:r>
      <w:r w:rsidR="00A6794A" w:rsidRPr="00D3550C">
        <w:rPr>
          <w:lang w:eastAsia="ru-RU"/>
        </w:rPr>
        <w:instrText>3854030</w:instrText>
      </w:r>
      <w:r w:rsidR="00A6794A">
        <w:rPr>
          <w:lang w:val="en-US" w:eastAsia="ru-RU"/>
        </w:rPr>
        <w:instrText>be</w:instrText>
      </w:r>
      <w:r w:rsidR="00A6794A" w:rsidRPr="00D3550C">
        <w:rPr>
          <w:lang w:eastAsia="ru-RU"/>
        </w:rPr>
        <w:instrText>8"]},{"</w:instrText>
      </w:r>
      <w:r w:rsidR="00A6794A">
        <w:rPr>
          <w:lang w:val="en-US" w:eastAsia="ru-RU"/>
        </w:rPr>
        <w:instrText>id</w:instrText>
      </w:r>
      <w:r w:rsidR="00A6794A" w:rsidRPr="00D3550C">
        <w:rPr>
          <w:lang w:eastAsia="ru-RU"/>
        </w:rPr>
        <w:instrText>":"</w:instrText>
      </w:r>
      <w:r w:rsidR="00A6794A">
        <w:rPr>
          <w:lang w:val="en-US" w:eastAsia="ru-RU"/>
        </w:rPr>
        <w:instrText>ITEM</w:instrText>
      </w:r>
      <w:r w:rsidR="00A6794A" w:rsidRPr="00D3550C">
        <w:rPr>
          <w:lang w:eastAsia="ru-RU"/>
        </w:rPr>
        <w:instrText>-2","</w:instrText>
      </w:r>
      <w:r w:rsidR="00A6794A">
        <w:rPr>
          <w:lang w:val="en-US" w:eastAsia="ru-RU"/>
        </w:rPr>
        <w:instrText>itemData</w:instrText>
      </w:r>
      <w:r w:rsidR="00A6794A" w:rsidRPr="00D3550C">
        <w:rPr>
          <w:lang w:eastAsia="ru-RU"/>
        </w:rPr>
        <w:instrText>":{"</w:instrText>
      </w:r>
      <w:r w:rsidR="00A6794A">
        <w:rPr>
          <w:lang w:val="en-US" w:eastAsia="ru-RU"/>
        </w:rPr>
        <w:instrText>DOI</w:instrText>
      </w:r>
      <w:r w:rsidR="00A6794A" w:rsidRPr="00D3550C">
        <w:rPr>
          <w:lang w:eastAsia="ru-RU"/>
        </w:rPr>
        <w:instrText>":"10.1007/</w:instrText>
      </w:r>
      <w:r w:rsidR="00A6794A">
        <w:rPr>
          <w:lang w:val="en-US" w:eastAsia="ru-RU"/>
        </w:rPr>
        <w:instrText>s</w:instrText>
      </w:r>
      <w:r w:rsidR="00A6794A" w:rsidRPr="00D3550C">
        <w:rPr>
          <w:lang w:eastAsia="ru-RU"/>
        </w:rPr>
        <w:instrText>12325-017-0610-</w:instrText>
      </w:r>
      <w:r w:rsidR="00A6794A">
        <w:rPr>
          <w:lang w:val="en-US" w:eastAsia="ru-RU"/>
        </w:rPr>
        <w:instrText>z</w:instrText>
      </w:r>
      <w:r w:rsidR="00A6794A" w:rsidRPr="00D3550C">
        <w:rPr>
          <w:lang w:eastAsia="ru-RU"/>
        </w:rPr>
        <w:instrText>","</w:instrText>
      </w:r>
      <w:r w:rsidR="00A6794A">
        <w:rPr>
          <w:lang w:val="en-US" w:eastAsia="ru-RU"/>
        </w:rPr>
        <w:instrText>ISSN</w:instrText>
      </w:r>
      <w:r w:rsidR="00A6794A" w:rsidRPr="00D3550C">
        <w:rPr>
          <w:lang w:eastAsia="ru-RU"/>
        </w:rPr>
        <w:instrText>":"18658652","</w:instrText>
      </w:r>
      <w:r w:rsidR="00A6794A">
        <w:rPr>
          <w:lang w:val="en-US" w:eastAsia="ru-RU"/>
        </w:rPr>
        <w:instrText>abstract</w:instrText>
      </w:r>
      <w:r w:rsidR="00A6794A" w:rsidRPr="00D3550C">
        <w:rPr>
          <w:lang w:eastAsia="ru-RU"/>
        </w:rPr>
        <w:instrText>":"</w:instrText>
      </w:r>
      <w:r w:rsidR="00A6794A">
        <w:rPr>
          <w:lang w:val="en-US" w:eastAsia="ru-RU"/>
        </w:rPr>
        <w:instrText>Abstract</w:instrText>
      </w:r>
      <w:r w:rsidR="00A6794A" w:rsidRPr="00D3550C">
        <w:rPr>
          <w:lang w:eastAsia="ru-RU"/>
        </w:rPr>
        <w:instrText xml:space="preserve">: </w:instrText>
      </w:r>
      <w:r w:rsidR="00A6794A">
        <w:rPr>
          <w:lang w:val="en-US" w:eastAsia="ru-RU"/>
        </w:rPr>
        <w:instrText>Rituximab</w:instrText>
      </w:r>
      <w:r w:rsidR="00A6794A" w:rsidRPr="00D3550C">
        <w:rPr>
          <w:lang w:eastAsia="ru-RU"/>
        </w:rPr>
        <w:instrText xml:space="preserve"> (</w:instrText>
      </w:r>
      <w:r w:rsidR="00A6794A">
        <w:rPr>
          <w:lang w:val="en-US" w:eastAsia="ru-RU"/>
        </w:rPr>
        <w:instrText>MabThera</w:instrText>
      </w:r>
      <w:r w:rsidR="00A6794A" w:rsidRPr="00D3550C">
        <w:rPr>
          <w:lang w:eastAsia="ru-RU"/>
        </w:rPr>
        <w:instrText>®/</w:instrText>
      </w:r>
      <w:r w:rsidR="00A6794A">
        <w:rPr>
          <w:lang w:val="en-US" w:eastAsia="ru-RU"/>
        </w:rPr>
        <w:instrText>Rituxan</w:instrText>
      </w:r>
      <w:r w:rsidR="00A6794A" w:rsidRPr="00D3550C">
        <w:rPr>
          <w:lang w:eastAsia="ru-RU"/>
        </w:rPr>
        <w:instrText>®</w:instrText>
      </w:r>
      <w:r w:rsidR="00A6794A" w:rsidRPr="00AA43FB">
        <w:rPr>
          <w:lang w:eastAsia="ru-RU"/>
        </w:rPr>
        <w:instrText xml:space="preserve">), </w:instrText>
      </w:r>
      <w:r w:rsidR="00A6794A">
        <w:rPr>
          <w:lang w:val="en-US" w:eastAsia="ru-RU"/>
        </w:rPr>
        <w:instrText>a</w:instrText>
      </w:r>
      <w:r w:rsidR="00A6794A" w:rsidRPr="00AA43FB">
        <w:rPr>
          <w:lang w:eastAsia="ru-RU"/>
        </w:rPr>
        <w:instrText xml:space="preserve"> </w:instrText>
      </w:r>
      <w:r w:rsidR="00A6794A">
        <w:rPr>
          <w:lang w:val="en-US" w:eastAsia="ru-RU"/>
        </w:rPr>
        <w:instrText>chimeric</w:instrText>
      </w:r>
      <w:r w:rsidR="00A6794A" w:rsidRPr="00AA43FB">
        <w:rPr>
          <w:lang w:eastAsia="ru-RU"/>
        </w:rPr>
        <w:instrText xml:space="preserve"> </w:instrText>
      </w:r>
      <w:r w:rsidR="00A6794A">
        <w:rPr>
          <w:lang w:val="en-US" w:eastAsia="ru-RU"/>
        </w:rPr>
        <w:instrText>murine</w:instrText>
      </w:r>
      <w:r w:rsidR="00A6794A" w:rsidRPr="00AA43FB">
        <w:rPr>
          <w:lang w:eastAsia="ru-RU"/>
        </w:rPr>
        <w:instrText>/</w:instrText>
      </w:r>
      <w:r w:rsidR="00A6794A">
        <w:rPr>
          <w:lang w:val="en-US" w:eastAsia="ru-RU"/>
        </w:rPr>
        <w:instrText>human</w:instrText>
      </w:r>
      <w:r w:rsidR="00A6794A" w:rsidRPr="00AA43FB">
        <w:rPr>
          <w:lang w:eastAsia="ru-RU"/>
        </w:rPr>
        <w:instrText xml:space="preserve"> </w:instrText>
      </w:r>
      <w:r w:rsidR="00A6794A">
        <w:rPr>
          <w:lang w:val="en-US" w:eastAsia="ru-RU"/>
        </w:rPr>
        <w:instrText>monoclonal</w:instrText>
      </w:r>
      <w:r w:rsidR="00A6794A" w:rsidRPr="00AA43FB">
        <w:rPr>
          <w:lang w:eastAsia="ru-RU"/>
        </w:rPr>
        <w:instrText xml:space="preserve"> </w:instrText>
      </w:r>
      <w:r w:rsidR="00A6794A">
        <w:rPr>
          <w:lang w:val="en-US" w:eastAsia="ru-RU"/>
        </w:rPr>
        <w:instrText>antibody</w:instrText>
      </w:r>
      <w:r w:rsidR="00A6794A" w:rsidRPr="00AA43FB">
        <w:rPr>
          <w:lang w:eastAsia="ru-RU"/>
        </w:rPr>
        <w:instrText xml:space="preserve"> </w:instrText>
      </w:r>
      <w:r w:rsidR="00A6794A">
        <w:rPr>
          <w:lang w:val="en-US" w:eastAsia="ru-RU"/>
        </w:rPr>
        <w:instrText>that</w:instrText>
      </w:r>
      <w:r w:rsidR="00A6794A" w:rsidRPr="00AA43FB">
        <w:rPr>
          <w:lang w:eastAsia="ru-RU"/>
        </w:rPr>
        <w:instrText xml:space="preserve"> </w:instrText>
      </w:r>
      <w:r w:rsidR="00A6794A">
        <w:rPr>
          <w:lang w:val="en-US" w:eastAsia="ru-RU"/>
        </w:rPr>
        <w:instrText>binds</w:instrText>
      </w:r>
      <w:r w:rsidR="00A6794A" w:rsidRPr="00AA43FB">
        <w:rPr>
          <w:lang w:eastAsia="ru-RU"/>
        </w:rPr>
        <w:instrText xml:space="preserve"> </w:instrText>
      </w:r>
      <w:r w:rsidR="00A6794A">
        <w:rPr>
          <w:lang w:val="en-US" w:eastAsia="ru-RU"/>
        </w:rPr>
        <w:instrText>specifically</w:instrText>
      </w:r>
      <w:r w:rsidR="00A6794A" w:rsidRPr="00AA43FB">
        <w:rPr>
          <w:lang w:eastAsia="ru-RU"/>
        </w:rPr>
        <w:instrText xml:space="preserve"> </w:instrText>
      </w:r>
      <w:r w:rsidR="00A6794A">
        <w:rPr>
          <w:lang w:val="en-US" w:eastAsia="ru-RU"/>
        </w:rPr>
        <w:instrText>to</w:instrText>
      </w:r>
      <w:r w:rsidR="00A6794A" w:rsidRPr="00AA43FB">
        <w:rPr>
          <w:lang w:eastAsia="ru-RU"/>
        </w:rPr>
        <w:instrText xml:space="preserve"> </w:instrText>
      </w:r>
      <w:r w:rsidR="00A6794A">
        <w:rPr>
          <w:lang w:val="en-US" w:eastAsia="ru-RU"/>
        </w:rPr>
        <w:instrText>the</w:instrText>
      </w:r>
      <w:r w:rsidR="00A6794A" w:rsidRPr="00AA43FB">
        <w:rPr>
          <w:lang w:eastAsia="ru-RU"/>
        </w:rPr>
        <w:instrText xml:space="preserve"> </w:instrText>
      </w:r>
      <w:r w:rsidR="00A6794A">
        <w:rPr>
          <w:lang w:val="en-US" w:eastAsia="ru-RU"/>
        </w:rPr>
        <w:instrText>transmembrane</w:instrText>
      </w:r>
      <w:r w:rsidR="00A6794A" w:rsidRPr="00AA43FB">
        <w:rPr>
          <w:lang w:eastAsia="ru-RU"/>
        </w:rPr>
        <w:instrText xml:space="preserve"> </w:instrText>
      </w:r>
      <w:r w:rsidR="00A6794A">
        <w:rPr>
          <w:lang w:val="en-US" w:eastAsia="ru-RU"/>
        </w:rPr>
        <w:instrText>antigen</w:instrText>
      </w:r>
      <w:r w:rsidR="00A6794A" w:rsidRPr="00AA43FB">
        <w:rPr>
          <w:lang w:eastAsia="ru-RU"/>
        </w:rPr>
        <w:instrText xml:space="preserve"> </w:instrText>
      </w:r>
      <w:r w:rsidR="00A6794A">
        <w:rPr>
          <w:lang w:val="en-US" w:eastAsia="ru-RU"/>
        </w:rPr>
        <w:instrText>CD</w:instrText>
      </w:r>
      <w:r w:rsidR="00A6794A" w:rsidRPr="00AA43FB">
        <w:rPr>
          <w:lang w:eastAsia="ru-RU"/>
        </w:rPr>
        <w:instrText xml:space="preserve">20, </w:instrText>
      </w:r>
      <w:r w:rsidR="00A6794A">
        <w:rPr>
          <w:lang w:val="en-US" w:eastAsia="ru-RU"/>
        </w:rPr>
        <w:instrText>was</w:instrText>
      </w:r>
      <w:r w:rsidR="00A6794A" w:rsidRPr="00AA43FB">
        <w:rPr>
          <w:lang w:eastAsia="ru-RU"/>
        </w:rPr>
        <w:instrText xml:space="preserve"> </w:instrText>
      </w:r>
      <w:r w:rsidR="00A6794A">
        <w:rPr>
          <w:lang w:val="en-US" w:eastAsia="ru-RU"/>
        </w:rPr>
        <w:instrText>the</w:instrText>
      </w:r>
      <w:r w:rsidR="00A6794A" w:rsidRPr="00AA43FB">
        <w:rPr>
          <w:lang w:eastAsia="ru-RU"/>
        </w:rPr>
        <w:instrText xml:space="preserve"> </w:instrText>
      </w:r>
      <w:r w:rsidR="00A6794A">
        <w:rPr>
          <w:lang w:val="en-US" w:eastAsia="ru-RU"/>
        </w:rPr>
        <w:instrText>first</w:instrText>
      </w:r>
      <w:r w:rsidR="00A6794A" w:rsidRPr="00AA43FB">
        <w:rPr>
          <w:lang w:eastAsia="ru-RU"/>
        </w:rPr>
        <w:instrText xml:space="preserve"> </w:instrText>
      </w:r>
      <w:r w:rsidR="00A6794A">
        <w:rPr>
          <w:lang w:val="en-US" w:eastAsia="ru-RU"/>
        </w:rPr>
        <w:instrText>therapeutic</w:instrText>
      </w:r>
      <w:r w:rsidR="00A6794A" w:rsidRPr="00AA43FB">
        <w:rPr>
          <w:lang w:eastAsia="ru-RU"/>
        </w:rPr>
        <w:instrText xml:space="preserve"> </w:instrText>
      </w:r>
      <w:r w:rsidR="00A6794A">
        <w:rPr>
          <w:lang w:val="en-US" w:eastAsia="ru-RU"/>
        </w:rPr>
        <w:instrText>antibody</w:instrText>
      </w:r>
      <w:r w:rsidR="00A6794A" w:rsidRPr="00AA43FB">
        <w:rPr>
          <w:lang w:eastAsia="ru-RU"/>
        </w:rPr>
        <w:instrText xml:space="preserve"> </w:instrText>
      </w:r>
      <w:r w:rsidR="00A6794A">
        <w:rPr>
          <w:lang w:val="en-US" w:eastAsia="ru-RU"/>
        </w:rPr>
        <w:instrText>to</w:instrText>
      </w:r>
      <w:r w:rsidR="00A6794A" w:rsidRPr="00AA43FB">
        <w:rPr>
          <w:lang w:eastAsia="ru-RU"/>
        </w:rPr>
        <w:instrText xml:space="preserve"> </w:instrText>
      </w:r>
      <w:r w:rsidR="00A6794A">
        <w:rPr>
          <w:lang w:val="en-US" w:eastAsia="ru-RU"/>
        </w:rPr>
        <w:instrText>enter</w:instrText>
      </w:r>
      <w:r w:rsidR="00A6794A" w:rsidRPr="00AA43FB">
        <w:rPr>
          <w:lang w:eastAsia="ru-RU"/>
        </w:rPr>
        <w:instrText xml:space="preserve"> </w:instrText>
      </w:r>
      <w:r w:rsidR="00A6794A">
        <w:rPr>
          <w:lang w:val="en-US" w:eastAsia="ru-RU"/>
        </w:rPr>
        <w:instrText>clinical</w:instrText>
      </w:r>
      <w:r w:rsidR="00A6794A" w:rsidRPr="00AA43FB">
        <w:rPr>
          <w:lang w:eastAsia="ru-RU"/>
        </w:rPr>
        <w:instrText xml:space="preserve"> </w:instrText>
      </w:r>
      <w:r w:rsidR="00A6794A">
        <w:rPr>
          <w:lang w:val="en-US" w:eastAsia="ru-RU"/>
        </w:rPr>
        <w:instrText>practice</w:instrText>
      </w:r>
      <w:r w:rsidR="00A6794A" w:rsidRPr="00AA43FB">
        <w:rPr>
          <w:lang w:eastAsia="ru-RU"/>
        </w:rPr>
        <w:instrText xml:space="preserve"> </w:instrText>
      </w:r>
      <w:r w:rsidR="00A6794A">
        <w:rPr>
          <w:lang w:val="en-US" w:eastAsia="ru-RU"/>
        </w:rPr>
        <w:instrText>for</w:instrText>
      </w:r>
      <w:r w:rsidR="00A6794A" w:rsidRPr="00AA43FB">
        <w:rPr>
          <w:lang w:eastAsia="ru-RU"/>
        </w:rPr>
        <w:instrText xml:space="preserve"> </w:instrText>
      </w:r>
      <w:r w:rsidR="00A6794A">
        <w:rPr>
          <w:lang w:val="en-US" w:eastAsia="ru-RU"/>
        </w:rPr>
        <w:instrText>the</w:instrText>
      </w:r>
      <w:r w:rsidR="00A6794A" w:rsidRPr="00AA43FB">
        <w:rPr>
          <w:lang w:eastAsia="ru-RU"/>
        </w:rPr>
        <w:instrText xml:space="preserve"> </w:instrText>
      </w:r>
      <w:r w:rsidR="00A6794A">
        <w:rPr>
          <w:lang w:val="en-US" w:eastAsia="ru-RU"/>
        </w:rPr>
        <w:instrText>treatment</w:instrText>
      </w:r>
      <w:r w:rsidR="00A6794A" w:rsidRPr="00AA43FB">
        <w:rPr>
          <w:lang w:eastAsia="ru-RU"/>
        </w:rPr>
        <w:instrText xml:space="preserve"> </w:instrText>
      </w:r>
      <w:r w:rsidR="00A6794A">
        <w:rPr>
          <w:lang w:val="en-US" w:eastAsia="ru-RU"/>
        </w:rPr>
        <w:instrText>of</w:instrText>
      </w:r>
      <w:r w:rsidR="00A6794A" w:rsidRPr="00AA43FB">
        <w:rPr>
          <w:lang w:eastAsia="ru-RU"/>
        </w:rPr>
        <w:instrText xml:space="preserve"> </w:instrText>
      </w:r>
      <w:r w:rsidR="00A6794A">
        <w:rPr>
          <w:lang w:val="en-US" w:eastAsia="ru-RU"/>
        </w:rPr>
        <w:instrText>cancer</w:instrText>
      </w:r>
      <w:r w:rsidR="00A6794A" w:rsidRPr="00AA43FB">
        <w:rPr>
          <w:lang w:eastAsia="ru-RU"/>
        </w:rPr>
        <w:instrText xml:space="preserve">. </w:instrText>
      </w:r>
      <w:r w:rsidR="00A6794A">
        <w:rPr>
          <w:lang w:val="en-US" w:eastAsia="ru-RU"/>
        </w:rPr>
        <w:instrText>As</w:instrText>
      </w:r>
      <w:r w:rsidR="00A6794A" w:rsidRPr="00AA43FB">
        <w:rPr>
          <w:lang w:eastAsia="ru-RU"/>
        </w:rPr>
        <w:instrText xml:space="preserve"> </w:instrText>
      </w:r>
      <w:r w:rsidR="00A6794A">
        <w:rPr>
          <w:lang w:val="en-US" w:eastAsia="ru-RU"/>
        </w:rPr>
        <w:instrText>monotherapy</w:instrText>
      </w:r>
      <w:r w:rsidR="00A6794A" w:rsidRPr="00AA43FB">
        <w:rPr>
          <w:lang w:eastAsia="ru-RU"/>
        </w:rPr>
        <w:instrText xml:space="preserve"> </w:instrText>
      </w:r>
      <w:r w:rsidR="00A6794A">
        <w:rPr>
          <w:lang w:val="en-US" w:eastAsia="ru-RU"/>
        </w:rPr>
        <w:instrText>and</w:instrText>
      </w:r>
      <w:r w:rsidR="00A6794A" w:rsidRPr="00AA43FB">
        <w:rPr>
          <w:lang w:eastAsia="ru-RU"/>
        </w:rPr>
        <w:instrText xml:space="preserve"> </w:instrText>
      </w:r>
      <w:r w:rsidR="00A6794A">
        <w:rPr>
          <w:lang w:val="en-US" w:eastAsia="ru-RU"/>
        </w:rPr>
        <w:instrText>in</w:instrText>
      </w:r>
      <w:r w:rsidR="00A6794A" w:rsidRPr="00AA43FB">
        <w:rPr>
          <w:lang w:eastAsia="ru-RU"/>
        </w:rPr>
        <w:instrText xml:space="preserve"> </w:instrText>
      </w:r>
      <w:r w:rsidR="00A6794A">
        <w:rPr>
          <w:lang w:val="en-US" w:eastAsia="ru-RU"/>
        </w:rPr>
        <w:instrText>combination</w:instrText>
      </w:r>
      <w:r w:rsidR="00A6794A" w:rsidRPr="00AA43FB">
        <w:rPr>
          <w:lang w:eastAsia="ru-RU"/>
        </w:rPr>
        <w:instrText xml:space="preserve"> </w:instrText>
      </w:r>
      <w:r w:rsidR="00A6794A">
        <w:rPr>
          <w:lang w:val="en-US" w:eastAsia="ru-RU"/>
        </w:rPr>
        <w:instrText>with</w:instrText>
      </w:r>
      <w:r w:rsidR="00A6794A" w:rsidRPr="00AA43FB">
        <w:rPr>
          <w:lang w:eastAsia="ru-RU"/>
        </w:rPr>
        <w:instrText xml:space="preserve"> </w:instrText>
      </w:r>
      <w:r w:rsidR="00A6794A">
        <w:rPr>
          <w:lang w:val="en-US" w:eastAsia="ru-RU"/>
        </w:rPr>
        <w:instrText>chemotherapy</w:instrText>
      </w:r>
      <w:r w:rsidR="00A6794A" w:rsidRPr="00AA43FB">
        <w:rPr>
          <w:lang w:eastAsia="ru-RU"/>
        </w:rPr>
        <w:instrText xml:space="preserve">, </w:instrText>
      </w:r>
      <w:r w:rsidR="00A6794A">
        <w:rPr>
          <w:lang w:val="en-US" w:eastAsia="ru-RU"/>
        </w:rPr>
        <w:instrText>rituximab</w:instrText>
      </w:r>
      <w:r w:rsidR="00A6794A" w:rsidRPr="00AA43FB">
        <w:rPr>
          <w:lang w:eastAsia="ru-RU"/>
        </w:rPr>
        <w:instrText xml:space="preserve"> </w:instrText>
      </w:r>
      <w:r w:rsidR="00A6794A">
        <w:rPr>
          <w:lang w:val="en-US" w:eastAsia="ru-RU"/>
        </w:rPr>
        <w:instrText>has</w:instrText>
      </w:r>
      <w:r w:rsidR="00A6794A" w:rsidRPr="00AA43FB">
        <w:rPr>
          <w:lang w:eastAsia="ru-RU"/>
        </w:rPr>
        <w:instrText xml:space="preserve"> </w:instrText>
      </w:r>
      <w:r w:rsidR="00A6794A">
        <w:rPr>
          <w:lang w:val="en-US" w:eastAsia="ru-RU"/>
        </w:rPr>
        <w:instrText>been</w:instrText>
      </w:r>
      <w:r w:rsidR="00A6794A" w:rsidRPr="00AA43FB">
        <w:rPr>
          <w:lang w:eastAsia="ru-RU"/>
        </w:rPr>
        <w:instrText xml:space="preserve"> </w:instrText>
      </w:r>
      <w:r w:rsidR="00A6794A">
        <w:rPr>
          <w:lang w:val="en-US" w:eastAsia="ru-RU"/>
        </w:rPr>
        <w:instrText>shown</w:instrText>
      </w:r>
      <w:r w:rsidR="00A6794A" w:rsidRPr="00AA43FB">
        <w:rPr>
          <w:lang w:eastAsia="ru-RU"/>
        </w:rPr>
        <w:instrText xml:space="preserve"> </w:instrText>
      </w:r>
      <w:r w:rsidR="00A6794A">
        <w:rPr>
          <w:lang w:val="en-US" w:eastAsia="ru-RU"/>
        </w:rPr>
        <w:instrText>to</w:instrText>
      </w:r>
      <w:r w:rsidR="00A6794A" w:rsidRPr="00AA43FB">
        <w:rPr>
          <w:lang w:eastAsia="ru-RU"/>
        </w:rPr>
        <w:instrText xml:space="preserve"> </w:instrText>
      </w:r>
      <w:r w:rsidR="00A6794A">
        <w:rPr>
          <w:lang w:val="en-US" w:eastAsia="ru-RU"/>
        </w:rPr>
        <w:instrText>prolong</w:instrText>
      </w:r>
      <w:r w:rsidR="00A6794A" w:rsidRPr="00AA43FB">
        <w:rPr>
          <w:lang w:eastAsia="ru-RU"/>
        </w:rPr>
        <w:instrText xml:space="preserve"> </w:instrText>
      </w:r>
      <w:r w:rsidR="00A6794A">
        <w:rPr>
          <w:lang w:val="en-US" w:eastAsia="ru-RU"/>
        </w:rPr>
        <w:instrText>progression</w:instrText>
      </w:r>
      <w:r w:rsidR="00A6794A" w:rsidRPr="00AA43FB">
        <w:rPr>
          <w:lang w:eastAsia="ru-RU"/>
        </w:rPr>
        <w:instrText>-</w:instrText>
      </w:r>
      <w:r w:rsidR="00A6794A">
        <w:rPr>
          <w:lang w:val="en-US" w:eastAsia="ru-RU"/>
        </w:rPr>
        <w:instrText>free</w:instrText>
      </w:r>
      <w:r w:rsidR="00A6794A" w:rsidRPr="00AA43FB">
        <w:rPr>
          <w:lang w:eastAsia="ru-RU"/>
        </w:rPr>
        <w:instrText xml:space="preserve"> </w:instrText>
      </w:r>
      <w:r w:rsidR="00A6794A">
        <w:rPr>
          <w:lang w:val="en-US" w:eastAsia="ru-RU"/>
        </w:rPr>
        <w:instrText>survival</w:instrText>
      </w:r>
      <w:r w:rsidR="00A6794A" w:rsidRPr="00AA43FB">
        <w:rPr>
          <w:lang w:eastAsia="ru-RU"/>
        </w:rPr>
        <w:instrText xml:space="preserve"> </w:instrText>
      </w:r>
      <w:r w:rsidR="00A6794A">
        <w:rPr>
          <w:lang w:val="en-US" w:eastAsia="ru-RU"/>
        </w:rPr>
        <w:instrText>and</w:instrText>
      </w:r>
      <w:r w:rsidR="00A6794A" w:rsidRPr="00AA43FB">
        <w:rPr>
          <w:lang w:eastAsia="ru-RU"/>
        </w:rPr>
        <w:instrText xml:space="preserve">, </w:instrText>
      </w:r>
      <w:r w:rsidR="00A6794A">
        <w:rPr>
          <w:lang w:val="en-US" w:eastAsia="ru-RU"/>
        </w:rPr>
        <w:instrText>in</w:instrText>
      </w:r>
      <w:r w:rsidR="00A6794A" w:rsidRPr="00AA43FB">
        <w:rPr>
          <w:lang w:eastAsia="ru-RU"/>
        </w:rPr>
        <w:instrText xml:space="preserve"> </w:instrText>
      </w:r>
      <w:r w:rsidR="00A6794A">
        <w:rPr>
          <w:lang w:val="en-US" w:eastAsia="ru-RU"/>
        </w:rPr>
        <w:instrText>some</w:instrText>
      </w:r>
      <w:r w:rsidR="00A6794A" w:rsidRPr="00AA43FB">
        <w:rPr>
          <w:lang w:eastAsia="ru-RU"/>
        </w:rPr>
        <w:instrText xml:space="preserve"> </w:instrText>
      </w:r>
      <w:r w:rsidR="00A6794A">
        <w:rPr>
          <w:lang w:val="en-US" w:eastAsia="ru-RU"/>
        </w:rPr>
        <w:instrText>indications</w:instrText>
      </w:r>
      <w:r w:rsidR="00A6794A" w:rsidRPr="00AA43FB">
        <w:rPr>
          <w:lang w:eastAsia="ru-RU"/>
        </w:rPr>
        <w:instrText xml:space="preserve"> </w:instrText>
      </w:r>
      <w:r w:rsidR="00A6794A">
        <w:rPr>
          <w:lang w:val="en-US" w:eastAsia="ru-RU"/>
        </w:rPr>
        <w:instrText>overall</w:instrText>
      </w:r>
      <w:r w:rsidR="00A6794A" w:rsidRPr="00AA43FB">
        <w:rPr>
          <w:lang w:eastAsia="ru-RU"/>
        </w:rPr>
        <w:instrText xml:space="preserve"> </w:instrText>
      </w:r>
      <w:r w:rsidR="00A6794A">
        <w:rPr>
          <w:lang w:val="en-US" w:eastAsia="ru-RU"/>
        </w:rPr>
        <w:instrText>survival</w:instrText>
      </w:r>
      <w:r w:rsidR="00A6794A" w:rsidRPr="00AA43FB">
        <w:rPr>
          <w:lang w:eastAsia="ru-RU"/>
        </w:rPr>
        <w:instrText xml:space="preserve">, </w:instrText>
      </w:r>
      <w:r w:rsidR="00A6794A">
        <w:rPr>
          <w:lang w:val="en-US" w:eastAsia="ru-RU"/>
        </w:rPr>
        <w:instrText>in</w:instrText>
      </w:r>
      <w:r w:rsidR="00A6794A" w:rsidRPr="00AA43FB">
        <w:rPr>
          <w:lang w:eastAsia="ru-RU"/>
        </w:rPr>
        <w:instrText xml:space="preserve"> </w:instrText>
      </w:r>
      <w:r w:rsidR="00A6794A">
        <w:rPr>
          <w:lang w:val="en-US" w:eastAsia="ru-RU"/>
        </w:rPr>
        <w:instrText>patients</w:instrText>
      </w:r>
      <w:r w:rsidR="00A6794A" w:rsidRPr="00AA43FB">
        <w:rPr>
          <w:lang w:eastAsia="ru-RU"/>
        </w:rPr>
        <w:instrText xml:space="preserve"> </w:instrText>
      </w:r>
      <w:r w:rsidR="00A6794A">
        <w:rPr>
          <w:lang w:val="en-US" w:eastAsia="ru-RU"/>
        </w:rPr>
        <w:instrText>with</w:instrText>
      </w:r>
      <w:r w:rsidR="00A6794A" w:rsidRPr="00AA43FB">
        <w:rPr>
          <w:lang w:eastAsia="ru-RU"/>
        </w:rPr>
        <w:instrText xml:space="preserve"> </w:instrText>
      </w:r>
      <w:r w:rsidR="00A6794A">
        <w:rPr>
          <w:lang w:val="en-US" w:eastAsia="ru-RU"/>
        </w:rPr>
        <w:instrText>various</w:instrText>
      </w:r>
      <w:r w:rsidR="00A6794A" w:rsidRPr="00AA43FB">
        <w:rPr>
          <w:lang w:eastAsia="ru-RU"/>
        </w:rPr>
        <w:instrText xml:space="preserve"> </w:instrText>
      </w:r>
      <w:r w:rsidR="00A6794A">
        <w:rPr>
          <w:lang w:val="en-US" w:eastAsia="ru-RU"/>
        </w:rPr>
        <w:instrText>B</w:instrText>
      </w:r>
      <w:r w:rsidR="00A6794A" w:rsidRPr="00AA43FB">
        <w:rPr>
          <w:lang w:eastAsia="ru-RU"/>
        </w:rPr>
        <w:instrText>-</w:instrText>
      </w:r>
      <w:r w:rsidR="00A6794A">
        <w:rPr>
          <w:lang w:val="en-US" w:eastAsia="ru-RU"/>
        </w:rPr>
        <w:instrText>cell</w:instrText>
      </w:r>
      <w:r w:rsidR="00A6794A" w:rsidRPr="00AA43FB">
        <w:rPr>
          <w:lang w:eastAsia="ru-RU"/>
        </w:rPr>
        <w:instrText xml:space="preserve"> </w:instrText>
      </w:r>
      <w:r w:rsidR="00A6794A">
        <w:rPr>
          <w:lang w:val="en-US" w:eastAsia="ru-RU"/>
        </w:rPr>
        <w:instrText>malignancies</w:instrText>
      </w:r>
      <w:r w:rsidR="00A6794A" w:rsidRPr="00AA43FB">
        <w:rPr>
          <w:lang w:eastAsia="ru-RU"/>
        </w:rPr>
        <w:instrText xml:space="preserve">, </w:instrText>
      </w:r>
      <w:r w:rsidR="00A6794A">
        <w:rPr>
          <w:lang w:val="en-US" w:eastAsia="ru-RU"/>
        </w:rPr>
        <w:instrText>while</w:instrText>
      </w:r>
      <w:r w:rsidR="00A6794A" w:rsidRPr="00AA43FB">
        <w:rPr>
          <w:lang w:eastAsia="ru-RU"/>
        </w:rPr>
        <w:instrText xml:space="preserve"> </w:instrText>
      </w:r>
      <w:r w:rsidR="00A6794A">
        <w:rPr>
          <w:lang w:val="en-US" w:eastAsia="ru-RU"/>
        </w:rPr>
        <w:instrText>having</w:instrText>
      </w:r>
      <w:r w:rsidR="00A6794A" w:rsidRPr="00AA43FB">
        <w:rPr>
          <w:lang w:eastAsia="ru-RU"/>
        </w:rPr>
        <w:instrText xml:space="preserve"> </w:instrText>
      </w:r>
      <w:r w:rsidR="00A6794A">
        <w:rPr>
          <w:lang w:val="en-US" w:eastAsia="ru-RU"/>
        </w:rPr>
        <w:instrText>a</w:instrText>
      </w:r>
      <w:r w:rsidR="00A6794A" w:rsidRPr="00AA43FB">
        <w:rPr>
          <w:lang w:eastAsia="ru-RU"/>
        </w:rPr>
        <w:instrText xml:space="preserve"> </w:instrText>
      </w:r>
      <w:r w:rsidR="00A6794A">
        <w:rPr>
          <w:lang w:val="en-US" w:eastAsia="ru-RU"/>
        </w:rPr>
        <w:instrText>well</w:instrText>
      </w:r>
      <w:r w:rsidR="00A6794A" w:rsidRPr="00AA43FB">
        <w:rPr>
          <w:lang w:eastAsia="ru-RU"/>
        </w:rPr>
        <w:instrText>-</w:instrText>
      </w:r>
      <w:r w:rsidR="00A6794A">
        <w:rPr>
          <w:lang w:val="en-US" w:eastAsia="ru-RU"/>
        </w:rPr>
        <w:instrText>established</w:instrText>
      </w:r>
      <w:r w:rsidR="00A6794A" w:rsidRPr="00AA43FB">
        <w:rPr>
          <w:lang w:eastAsia="ru-RU"/>
        </w:rPr>
        <w:instrText xml:space="preserve"> </w:instrText>
      </w:r>
      <w:r w:rsidR="00A6794A">
        <w:rPr>
          <w:lang w:val="en-US" w:eastAsia="ru-RU"/>
        </w:rPr>
        <w:instrText>and</w:instrText>
      </w:r>
      <w:r w:rsidR="00A6794A" w:rsidRPr="00AA43FB">
        <w:rPr>
          <w:lang w:eastAsia="ru-RU"/>
        </w:rPr>
        <w:instrText xml:space="preserve"> </w:instrText>
      </w:r>
      <w:r w:rsidR="00A6794A">
        <w:rPr>
          <w:lang w:val="en-US" w:eastAsia="ru-RU"/>
        </w:rPr>
        <w:instrText>manageable</w:instrText>
      </w:r>
      <w:r w:rsidR="00A6794A" w:rsidRPr="00AA43FB">
        <w:rPr>
          <w:lang w:eastAsia="ru-RU"/>
        </w:rPr>
        <w:instrText xml:space="preserve"> </w:instrText>
      </w:r>
      <w:r w:rsidR="00A6794A">
        <w:rPr>
          <w:lang w:val="en-US" w:eastAsia="ru-RU"/>
        </w:rPr>
        <w:instrText>safety</w:instrText>
      </w:r>
      <w:r w:rsidR="00A6794A" w:rsidRPr="00AA43FB">
        <w:rPr>
          <w:lang w:eastAsia="ru-RU"/>
        </w:rPr>
        <w:instrText xml:space="preserve"> </w:instrText>
      </w:r>
      <w:r w:rsidR="00A6794A">
        <w:rPr>
          <w:lang w:val="en-US" w:eastAsia="ru-RU"/>
        </w:rPr>
        <w:instrText>profile</w:instrText>
      </w:r>
      <w:r w:rsidR="00A6794A" w:rsidRPr="00AA43FB">
        <w:rPr>
          <w:lang w:eastAsia="ru-RU"/>
        </w:rPr>
        <w:instrText xml:space="preserve"> </w:instrText>
      </w:r>
      <w:r w:rsidR="00A6794A">
        <w:rPr>
          <w:lang w:val="en-US" w:eastAsia="ru-RU"/>
        </w:rPr>
        <w:instrText>and</w:instrText>
      </w:r>
      <w:r w:rsidR="00A6794A" w:rsidRPr="00AA43FB">
        <w:rPr>
          <w:lang w:eastAsia="ru-RU"/>
        </w:rPr>
        <w:instrText xml:space="preserve"> </w:instrText>
      </w:r>
      <w:r w:rsidR="00A6794A">
        <w:rPr>
          <w:lang w:val="en-US" w:eastAsia="ru-RU"/>
        </w:rPr>
        <w:instrText>a</w:instrText>
      </w:r>
      <w:r w:rsidR="00A6794A" w:rsidRPr="00AA43FB">
        <w:rPr>
          <w:lang w:eastAsia="ru-RU"/>
        </w:rPr>
        <w:instrText xml:space="preserve"> </w:instrText>
      </w:r>
      <w:r w:rsidR="00A6794A">
        <w:rPr>
          <w:lang w:val="en-US" w:eastAsia="ru-RU"/>
        </w:rPr>
        <w:instrText>wide</w:instrText>
      </w:r>
      <w:r w:rsidR="00A6794A" w:rsidRPr="00AA43FB">
        <w:rPr>
          <w:lang w:eastAsia="ru-RU"/>
        </w:rPr>
        <w:instrText xml:space="preserve"> </w:instrText>
      </w:r>
      <w:r w:rsidR="00A6794A">
        <w:rPr>
          <w:lang w:val="en-US" w:eastAsia="ru-RU"/>
        </w:rPr>
        <w:instrText>therapeutic</w:instrText>
      </w:r>
      <w:r w:rsidR="00A6794A" w:rsidRPr="00AA43FB">
        <w:rPr>
          <w:lang w:eastAsia="ru-RU"/>
        </w:rPr>
        <w:instrText xml:space="preserve"> </w:instrText>
      </w:r>
      <w:r w:rsidR="00A6794A">
        <w:rPr>
          <w:lang w:val="en-US" w:eastAsia="ru-RU"/>
        </w:rPr>
        <w:instrText>window</w:instrText>
      </w:r>
      <w:r w:rsidR="00A6794A" w:rsidRPr="00AA43FB">
        <w:rPr>
          <w:lang w:eastAsia="ru-RU"/>
        </w:rPr>
        <w:instrText xml:space="preserve">. </w:instrText>
      </w:r>
      <w:r w:rsidR="00A6794A">
        <w:rPr>
          <w:lang w:val="en-US" w:eastAsia="ru-RU"/>
        </w:rPr>
        <w:instrText>As</w:instrText>
      </w:r>
      <w:r w:rsidR="00A6794A" w:rsidRPr="00AA43FB">
        <w:rPr>
          <w:lang w:eastAsia="ru-RU"/>
        </w:rPr>
        <w:instrText xml:space="preserve"> </w:instrText>
      </w:r>
      <w:r w:rsidR="00A6794A">
        <w:rPr>
          <w:lang w:val="en-US" w:eastAsia="ru-RU"/>
        </w:rPr>
        <w:instrText>a</w:instrText>
      </w:r>
      <w:r w:rsidR="00A6794A" w:rsidRPr="00AA43FB">
        <w:rPr>
          <w:lang w:eastAsia="ru-RU"/>
        </w:rPr>
        <w:instrText xml:space="preserve"> </w:instrText>
      </w:r>
      <w:r w:rsidR="00A6794A">
        <w:rPr>
          <w:lang w:val="en-US" w:eastAsia="ru-RU"/>
        </w:rPr>
        <w:instrText>result</w:instrText>
      </w:r>
      <w:r w:rsidR="00A6794A" w:rsidRPr="00AA43FB">
        <w:rPr>
          <w:lang w:eastAsia="ru-RU"/>
        </w:rPr>
        <w:instrText xml:space="preserve">, </w:instrText>
      </w:r>
      <w:r w:rsidR="00A6794A">
        <w:rPr>
          <w:lang w:val="en-US" w:eastAsia="ru-RU"/>
        </w:rPr>
        <w:instrText>rituximab</w:instrText>
      </w:r>
      <w:r w:rsidR="00A6794A" w:rsidRPr="00AA43FB">
        <w:rPr>
          <w:lang w:eastAsia="ru-RU"/>
        </w:rPr>
        <w:instrText xml:space="preserve"> </w:instrText>
      </w:r>
      <w:r w:rsidR="00A6794A">
        <w:rPr>
          <w:lang w:val="en-US" w:eastAsia="ru-RU"/>
        </w:rPr>
        <w:instrText>is</w:instrText>
      </w:r>
      <w:r w:rsidR="00A6794A" w:rsidRPr="00AA43FB">
        <w:rPr>
          <w:lang w:eastAsia="ru-RU"/>
        </w:rPr>
        <w:instrText xml:space="preserve"> </w:instrText>
      </w:r>
      <w:r w:rsidR="00A6794A">
        <w:rPr>
          <w:lang w:val="en-US" w:eastAsia="ru-RU"/>
        </w:rPr>
        <w:instrText>considered</w:instrText>
      </w:r>
      <w:r w:rsidR="00A6794A" w:rsidRPr="00AA43FB">
        <w:rPr>
          <w:lang w:eastAsia="ru-RU"/>
        </w:rPr>
        <w:instrText xml:space="preserve"> </w:instrText>
      </w:r>
      <w:r w:rsidR="00A6794A">
        <w:rPr>
          <w:lang w:val="en-US" w:eastAsia="ru-RU"/>
        </w:rPr>
        <w:instrText>to</w:instrText>
      </w:r>
      <w:r w:rsidR="00A6794A" w:rsidRPr="00AA43FB">
        <w:rPr>
          <w:lang w:eastAsia="ru-RU"/>
        </w:rPr>
        <w:instrText xml:space="preserve"> </w:instrText>
      </w:r>
      <w:r w:rsidR="00A6794A">
        <w:rPr>
          <w:lang w:val="en-US" w:eastAsia="ru-RU"/>
        </w:rPr>
        <w:instrText>have</w:instrText>
      </w:r>
      <w:r w:rsidR="00A6794A" w:rsidRPr="00AA43FB">
        <w:rPr>
          <w:lang w:eastAsia="ru-RU"/>
        </w:rPr>
        <w:instrText xml:space="preserve"> </w:instrText>
      </w:r>
      <w:r w:rsidR="00A6794A">
        <w:rPr>
          <w:lang w:val="en-US" w:eastAsia="ru-RU"/>
        </w:rPr>
        <w:instrText>revolutionized</w:instrText>
      </w:r>
      <w:r w:rsidR="00A6794A" w:rsidRPr="00AA43FB">
        <w:rPr>
          <w:lang w:eastAsia="ru-RU"/>
        </w:rPr>
        <w:instrText xml:space="preserve"> </w:instrText>
      </w:r>
      <w:r w:rsidR="00A6794A">
        <w:rPr>
          <w:lang w:val="en-US" w:eastAsia="ru-RU"/>
        </w:rPr>
        <w:instrText>treatment</w:instrText>
      </w:r>
      <w:r w:rsidR="00A6794A" w:rsidRPr="00AA43FB">
        <w:rPr>
          <w:lang w:eastAsia="ru-RU"/>
        </w:rPr>
        <w:instrText xml:space="preserve"> </w:instrText>
      </w:r>
      <w:r w:rsidR="00A6794A">
        <w:rPr>
          <w:lang w:val="en-US" w:eastAsia="ru-RU"/>
        </w:rPr>
        <w:instrText>practices</w:instrText>
      </w:r>
      <w:r w:rsidR="00A6794A" w:rsidRPr="00AA43FB">
        <w:rPr>
          <w:lang w:eastAsia="ru-RU"/>
        </w:rPr>
        <w:instrText xml:space="preserve"> </w:instrText>
      </w:r>
      <w:r w:rsidR="00A6794A">
        <w:rPr>
          <w:lang w:val="en-US" w:eastAsia="ru-RU"/>
        </w:rPr>
        <w:instrText>for</w:instrText>
      </w:r>
      <w:r w:rsidR="00A6794A" w:rsidRPr="00AA43FB">
        <w:rPr>
          <w:lang w:eastAsia="ru-RU"/>
        </w:rPr>
        <w:instrText xml:space="preserve"> </w:instrText>
      </w:r>
      <w:r w:rsidR="00A6794A">
        <w:rPr>
          <w:lang w:val="en-US" w:eastAsia="ru-RU"/>
        </w:rPr>
        <w:instrText>patients</w:instrText>
      </w:r>
      <w:r w:rsidR="00A6794A" w:rsidRPr="00AA43FB">
        <w:rPr>
          <w:lang w:eastAsia="ru-RU"/>
        </w:rPr>
        <w:instrText xml:space="preserve"> </w:instrText>
      </w:r>
      <w:r w:rsidR="00A6794A">
        <w:rPr>
          <w:lang w:val="en-US" w:eastAsia="ru-RU"/>
        </w:rPr>
        <w:instrText>with</w:instrText>
      </w:r>
      <w:r w:rsidR="00A6794A" w:rsidRPr="00AA43FB">
        <w:rPr>
          <w:lang w:eastAsia="ru-RU"/>
        </w:rPr>
        <w:instrText xml:space="preserve"> </w:instrText>
      </w:r>
      <w:r w:rsidR="00A6794A">
        <w:rPr>
          <w:lang w:val="en-US" w:eastAsia="ru-RU"/>
        </w:rPr>
        <w:instrText>B</w:instrText>
      </w:r>
      <w:r w:rsidR="00A6794A" w:rsidRPr="00AA43FB">
        <w:rPr>
          <w:lang w:eastAsia="ru-RU"/>
        </w:rPr>
        <w:instrText>-</w:instrText>
      </w:r>
      <w:r w:rsidR="00A6794A">
        <w:rPr>
          <w:lang w:val="en-US" w:eastAsia="ru-RU"/>
        </w:rPr>
        <w:instrText>cell</w:instrText>
      </w:r>
      <w:r w:rsidR="00A6794A" w:rsidRPr="00AA43FB">
        <w:rPr>
          <w:lang w:eastAsia="ru-RU"/>
        </w:rPr>
        <w:instrText xml:space="preserve"> </w:instrText>
      </w:r>
      <w:r w:rsidR="00A6794A">
        <w:rPr>
          <w:lang w:val="en-US" w:eastAsia="ru-RU"/>
        </w:rPr>
        <w:instrText>malignancies</w:instrText>
      </w:r>
      <w:r w:rsidR="00A6794A" w:rsidRPr="00AA43FB">
        <w:rPr>
          <w:lang w:eastAsia="ru-RU"/>
        </w:rPr>
        <w:instrText xml:space="preserve">. </w:instrText>
      </w:r>
      <w:r w:rsidR="00A6794A">
        <w:rPr>
          <w:lang w:val="en-US" w:eastAsia="ru-RU"/>
        </w:rPr>
        <w:instrText>A</w:instrText>
      </w:r>
      <w:r w:rsidR="00A6794A" w:rsidRPr="00AA43FB">
        <w:rPr>
          <w:lang w:eastAsia="ru-RU"/>
        </w:rPr>
        <w:instrText xml:space="preserve"> </w:instrText>
      </w:r>
      <w:r w:rsidR="00A6794A">
        <w:rPr>
          <w:lang w:val="en-US" w:eastAsia="ru-RU"/>
        </w:rPr>
        <w:instrText>subcutaneous</w:instrText>
      </w:r>
      <w:r w:rsidR="00A6794A" w:rsidRPr="00AA43FB">
        <w:rPr>
          <w:lang w:eastAsia="ru-RU"/>
        </w:rPr>
        <w:instrText xml:space="preserve"> (</w:instrText>
      </w:r>
      <w:r w:rsidR="00A6794A">
        <w:rPr>
          <w:lang w:val="en-US" w:eastAsia="ru-RU"/>
        </w:rPr>
        <w:instrText>SC</w:instrText>
      </w:r>
      <w:r w:rsidR="00A6794A" w:rsidRPr="00AA43FB">
        <w:rPr>
          <w:lang w:eastAsia="ru-RU"/>
        </w:rPr>
        <w:instrText xml:space="preserve">) </w:instrText>
      </w:r>
      <w:r w:rsidR="00A6794A">
        <w:rPr>
          <w:lang w:val="en-US" w:eastAsia="ru-RU"/>
        </w:rPr>
        <w:instrText>formulation</w:instrText>
      </w:r>
      <w:r w:rsidR="00A6794A" w:rsidRPr="00AA43FB">
        <w:rPr>
          <w:lang w:eastAsia="ru-RU"/>
        </w:rPr>
        <w:instrText xml:space="preserve"> </w:instrText>
      </w:r>
      <w:r w:rsidR="00A6794A">
        <w:rPr>
          <w:lang w:val="en-US" w:eastAsia="ru-RU"/>
        </w:rPr>
        <w:instrText>of</w:instrText>
      </w:r>
      <w:r w:rsidR="00A6794A" w:rsidRPr="00AA43FB">
        <w:rPr>
          <w:lang w:eastAsia="ru-RU"/>
        </w:rPr>
        <w:instrText xml:space="preserve"> </w:instrText>
      </w:r>
      <w:r w:rsidR="00A6794A">
        <w:rPr>
          <w:lang w:val="en-US" w:eastAsia="ru-RU"/>
        </w:rPr>
        <w:instrText>rituximab</w:instrText>
      </w:r>
      <w:r w:rsidR="00A6794A" w:rsidRPr="00AA43FB">
        <w:rPr>
          <w:lang w:eastAsia="ru-RU"/>
        </w:rPr>
        <w:instrText xml:space="preserve"> </w:instrText>
      </w:r>
      <w:r w:rsidR="00A6794A">
        <w:rPr>
          <w:lang w:val="en-US" w:eastAsia="ru-RU"/>
        </w:rPr>
        <w:instrText>has</w:instrText>
      </w:r>
      <w:r w:rsidR="00A6794A" w:rsidRPr="00AA43FB">
        <w:rPr>
          <w:lang w:eastAsia="ru-RU"/>
        </w:rPr>
        <w:instrText xml:space="preserve"> </w:instrText>
      </w:r>
      <w:r w:rsidR="00A6794A">
        <w:rPr>
          <w:lang w:val="en-US" w:eastAsia="ru-RU"/>
        </w:rPr>
        <w:instrText>been</w:instrText>
      </w:r>
      <w:r w:rsidR="00A6794A" w:rsidRPr="00AA43FB">
        <w:rPr>
          <w:lang w:eastAsia="ru-RU"/>
        </w:rPr>
        <w:instrText xml:space="preserve"> </w:instrText>
      </w:r>
      <w:r w:rsidR="00A6794A">
        <w:rPr>
          <w:lang w:val="en-US" w:eastAsia="ru-RU"/>
        </w:rPr>
        <w:instrText>developed</w:instrText>
      </w:r>
      <w:r w:rsidR="00A6794A" w:rsidRPr="00AA43FB">
        <w:rPr>
          <w:lang w:eastAsia="ru-RU"/>
        </w:rPr>
        <w:instrText xml:space="preserve">, </w:instrText>
      </w:r>
      <w:r w:rsidR="00A6794A">
        <w:rPr>
          <w:lang w:val="en-US" w:eastAsia="ru-RU"/>
        </w:rPr>
        <w:instrText>comprising</w:instrText>
      </w:r>
      <w:r w:rsidR="00A6794A" w:rsidRPr="00AA43FB">
        <w:rPr>
          <w:lang w:eastAsia="ru-RU"/>
        </w:rPr>
        <w:instrText xml:space="preserve"> </w:instrText>
      </w:r>
      <w:r w:rsidR="00A6794A">
        <w:rPr>
          <w:lang w:val="en-US" w:eastAsia="ru-RU"/>
        </w:rPr>
        <w:instrText>the</w:instrText>
      </w:r>
      <w:r w:rsidR="00A6794A" w:rsidRPr="00AA43FB">
        <w:rPr>
          <w:lang w:eastAsia="ru-RU"/>
        </w:rPr>
        <w:instrText xml:space="preserve"> </w:instrText>
      </w:r>
      <w:r w:rsidR="00A6794A">
        <w:rPr>
          <w:lang w:val="en-US" w:eastAsia="ru-RU"/>
        </w:rPr>
        <w:instrText>same</w:instrText>
      </w:r>
      <w:r w:rsidR="00A6794A" w:rsidRPr="00AA43FB">
        <w:rPr>
          <w:lang w:eastAsia="ru-RU"/>
        </w:rPr>
        <w:instrText xml:space="preserve"> </w:instrText>
      </w:r>
      <w:r w:rsidR="00A6794A">
        <w:rPr>
          <w:lang w:val="en-US" w:eastAsia="ru-RU"/>
        </w:rPr>
        <w:instrText>monoclonal</w:instrText>
      </w:r>
      <w:r w:rsidR="00A6794A" w:rsidRPr="00AA43FB">
        <w:rPr>
          <w:lang w:eastAsia="ru-RU"/>
        </w:rPr>
        <w:instrText xml:space="preserve"> </w:instrText>
      </w:r>
      <w:r w:rsidR="00A6794A">
        <w:rPr>
          <w:lang w:val="en-US" w:eastAsia="ru-RU"/>
        </w:rPr>
        <w:instrText>antibody</w:instrText>
      </w:r>
      <w:r w:rsidR="00A6794A" w:rsidRPr="00AA43FB">
        <w:rPr>
          <w:lang w:eastAsia="ru-RU"/>
        </w:rPr>
        <w:instrText xml:space="preserve"> </w:instrText>
      </w:r>
      <w:r w:rsidR="00A6794A">
        <w:rPr>
          <w:lang w:val="en-US" w:eastAsia="ru-RU"/>
        </w:rPr>
        <w:instrText>as</w:instrText>
      </w:r>
      <w:r w:rsidR="00A6794A" w:rsidRPr="00AA43FB">
        <w:rPr>
          <w:lang w:eastAsia="ru-RU"/>
        </w:rPr>
        <w:instrText xml:space="preserve"> </w:instrText>
      </w:r>
      <w:r w:rsidR="00A6794A">
        <w:rPr>
          <w:lang w:val="en-US" w:eastAsia="ru-RU"/>
        </w:rPr>
        <w:instrText>the</w:instrText>
      </w:r>
      <w:r w:rsidR="00A6794A" w:rsidRPr="00AA43FB">
        <w:rPr>
          <w:lang w:eastAsia="ru-RU"/>
        </w:rPr>
        <w:instrText xml:space="preserve"> </w:instrText>
      </w:r>
      <w:r w:rsidR="00A6794A">
        <w:rPr>
          <w:lang w:val="en-US" w:eastAsia="ru-RU"/>
        </w:rPr>
        <w:instrText>originally</w:instrText>
      </w:r>
      <w:r w:rsidR="00A6794A" w:rsidRPr="00AA43FB">
        <w:rPr>
          <w:lang w:eastAsia="ru-RU"/>
        </w:rPr>
        <w:instrText xml:space="preserve"> </w:instrText>
      </w:r>
      <w:r w:rsidR="00A6794A">
        <w:rPr>
          <w:lang w:val="en-US" w:eastAsia="ru-RU"/>
        </w:rPr>
        <w:instrText>marketed</w:instrText>
      </w:r>
      <w:r w:rsidR="00A6794A" w:rsidRPr="00AA43FB">
        <w:rPr>
          <w:lang w:eastAsia="ru-RU"/>
        </w:rPr>
        <w:instrText xml:space="preserve"> </w:instrText>
      </w:r>
      <w:r w:rsidR="00A6794A">
        <w:rPr>
          <w:lang w:val="en-US" w:eastAsia="ru-RU"/>
        </w:rPr>
        <w:instrText>formulation</w:instrText>
      </w:r>
      <w:r w:rsidR="00A6794A" w:rsidRPr="00AA43FB">
        <w:rPr>
          <w:lang w:eastAsia="ru-RU"/>
        </w:rPr>
        <w:instrText xml:space="preserve"> [</w:instrText>
      </w:r>
      <w:r w:rsidR="00A6794A">
        <w:rPr>
          <w:lang w:val="en-US" w:eastAsia="ru-RU"/>
        </w:rPr>
        <w:instrText>rituximab</w:instrText>
      </w:r>
      <w:r w:rsidR="00A6794A" w:rsidRPr="00AA43FB">
        <w:rPr>
          <w:lang w:eastAsia="ru-RU"/>
        </w:rPr>
        <w:instrText xml:space="preserve"> </w:instrText>
      </w:r>
      <w:r w:rsidR="00A6794A">
        <w:rPr>
          <w:lang w:val="en-US" w:eastAsia="ru-RU"/>
        </w:rPr>
        <w:instrText>concentrate</w:instrText>
      </w:r>
      <w:r w:rsidR="00A6794A" w:rsidRPr="00AA43FB">
        <w:rPr>
          <w:lang w:eastAsia="ru-RU"/>
        </w:rPr>
        <w:instrText xml:space="preserve"> </w:instrText>
      </w:r>
      <w:r w:rsidR="00A6794A">
        <w:rPr>
          <w:lang w:val="en-US" w:eastAsia="ru-RU"/>
        </w:rPr>
        <w:instrText>for</w:instrText>
      </w:r>
      <w:r w:rsidR="00A6794A" w:rsidRPr="00AA43FB">
        <w:rPr>
          <w:lang w:eastAsia="ru-RU"/>
        </w:rPr>
        <w:instrText xml:space="preserve"> </w:instrText>
      </w:r>
      <w:r w:rsidR="00A6794A">
        <w:rPr>
          <w:lang w:val="en-US" w:eastAsia="ru-RU"/>
        </w:rPr>
        <w:instrText>solution</w:instrText>
      </w:r>
      <w:r w:rsidR="00A6794A" w:rsidRPr="00AA43FB">
        <w:rPr>
          <w:lang w:eastAsia="ru-RU"/>
        </w:rPr>
        <w:instrText xml:space="preserve"> </w:instrText>
      </w:r>
      <w:r w:rsidR="00A6794A">
        <w:rPr>
          <w:lang w:val="en-US" w:eastAsia="ru-RU"/>
        </w:rPr>
        <w:instrText>for</w:instrText>
      </w:r>
      <w:r w:rsidR="00A6794A" w:rsidRPr="00AA43FB">
        <w:rPr>
          <w:lang w:eastAsia="ru-RU"/>
        </w:rPr>
        <w:instrText xml:space="preserve"> </w:instrText>
      </w:r>
      <w:r w:rsidR="00A6794A">
        <w:rPr>
          <w:lang w:val="en-US" w:eastAsia="ru-RU"/>
        </w:rPr>
        <w:instrText>intravenous</w:instrText>
      </w:r>
      <w:r w:rsidR="00A6794A" w:rsidRPr="00AA43FB">
        <w:rPr>
          <w:lang w:eastAsia="ru-RU"/>
        </w:rPr>
        <w:instrText xml:space="preserve"> (</w:instrText>
      </w:r>
      <w:r w:rsidR="00A6794A">
        <w:rPr>
          <w:lang w:val="en-US" w:eastAsia="ru-RU"/>
        </w:rPr>
        <w:instrText>IV</w:instrText>
      </w:r>
      <w:r w:rsidR="00A6794A" w:rsidRPr="00AA43FB">
        <w:rPr>
          <w:lang w:eastAsia="ru-RU"/>
        </w:rPr>
        <w:instrText xml:space="preserve">) </w:instrText>
      </w:r>
      <w:r w:rsidR="00A6794A">
        <w:rPr>
          <w:lang w:val="en-US" w:eastAsia="ru-RU"/>
        </w:rPr>
        <w:instrText>infusion</w:instrText>
      </w:r>
      <w:r w:rsidR="00A6794A" w:rsidRPr="00AA43FB">
        <w:rPr>
          <w:lang w:eastAsia="ru-RU"/>
        </w:rPr>
        <w:instrText xml:space="preserve">], </w:instrText>
      </w:r>
      <w:r w:rsidR="00A6794A">
        <w:rPr>
          <w:lang w:val="en-US" w:eastAsia="ru-RU"/>
        </w:rPr>
        <w:instrText>and</w:instrText>
      </w:r>
      <w:r w:rsidR="00A6794A" w:rsidRPr="00AA43FB">
        <w:rPr>
          <w:lang w:eastAsia="ru-RU"/>
        </w:rPr>
        <w:instrText xml:space="preserve"> </w:instrText>
      </w:r>
      <w:r w:rsidR="00A6794A">
        <w:rPr>
          <w:lang w:val="en-US" w:eastAsia="ru-RU"/>
        </w:rPr>
        <w:instrText>has</w:instrText>
      </w:r>
      <w:r w:rsidR="00A6794A" w:rsidRPr="00AA43FB">
        <w:rPr>
          <w:lang w:eastAsia="ru-RU"/>
        </w:rPr>
        <w:instrText xml:space="preserve"> </w:instrText>
      </w:r>
      <w:r w:rsidR="00A6794A">
        <w:rPr>
          <w:lang w:val="en-US" w:eastAsia="ru-RU"/>
        </w:rPr>
        <w:instrText>undergone</w:instrText>
      </w:r>
      <w:r w:rsidR="00A6794A" w:rsidRPr="00AA43FB">
        <w:rPr>
          <w:lang w:eastAsia="ru-RU"/>
        </w:rPr>
        <w:instrText xml:space="preserve"> </w:instrText>
      </w:r>
      <w:r w:rsidR="00A6794A">
        <w:rPr>
          <w:lang w:val="en-US" w:eastAsia="ru-RU"/>
        </w:rPr>
        <w:instrText>a</w:instrText>
      </w:r>
      <w:r w:rsidR="00A6794A" w:rsidRPr="00AA43FB">
        <w:rPr>
          <w:lang w:eastAsia="ru-RU"/>
        </w:rPr>
        <w:instrText xml:space="preserve"> </w:instrText>
      </w:r>
      <w:r w:rsidR="00A6794A">
        <w:rPr>
          <w:lang w:val="en-US" w:eastAsia="ru-RU"/>
        </w:rPr>
        <w:instrText>detailed</w:instrText>
      </w:r>
      <w:r w:rsidR="00A6794A" w:rsidRPr="00AA43FB">
        <w:rPr>
          <w:lang w:eastAsia="ru-RU"/>
        </w:rPr>
        <w:instrText xml:space="preserve">, </w:instrText>
      </w:r>
      <w:r w:rsidR="00A6794A">
        <w:rPr>
          <w:lang w:val="en-US" w:eastAsia="ru-RU"/>
        </w:rPr>
        <w:instrText>sequential</w:instrText>
      </w:r>
      <w:r w:rsidR="00A6794A" w:rsidRPr="00AA43FB">
        <w:rPr>
          <w:lang w:eastAsia="ru-RU"/>
        </w:rPr>
        <w:instrText xml:space="preserve"> </w:instrText>
      </w:r>
      <w:r w:rsidR="00A6794A">
        <w:rPr>
          <w:lang w:val="en-US" w:eastAsia="ru-RU"/>
        </w:rPr>
        <w:instrText>clinical</w:instrText>
      </w:r>
      <w:r w:rsidR="00A6794A" w:rsidRPr="00AA43FB">
        <w:rPr>
          <w:lang w:eastAsia="ru-RU"/>
        </w:rPr>
        <w:instrText xml:space="preserve"> </w:instrText>
      </w:r>
      <w:r w:rsidR="00A6794A">
        <w:rPr>
          <w:lang w:val="en-US" w:eastAsia="ru-RU"/>
        </w:rPr>
        <w:instrText>development</w:instrText>
      </w:r>
      <w:r w:rsidR="00A6794A" w:rsidRPr="00AA43FB">
        <w:rPr>
          <w:lang w:eastAsia="ru-RU"/>
        </w:rPr>
        <w:instrText xml:space="preserve"> </w:instrText>
      </w:r>
      <w:r w:rsidR="00A6794A">
        <w:rPr>
          <w:lang w:val="en-US" w:eastAsia="ru-RU"/>
        </w:rPr>
        <w:instrText>program</w:instrText>
      </w:r>
      <w:r w:rsidR="00A6794A" w:rsidRPr="00AA43FB">
        <w:rPr>
          <w:lang w:eastAsia="ru-RU"/>
        </w:rPr>
        <w:instrText xml:space="preserve">. </w:instrText>
      </w:r>
      <w:r w:rsidR="00A6794A">
        <w:rPr>
          <w:lang w:val="en-US" w:eastAsia="ru-RU"/>
        </w:rPr>
        <w:instrText>This</w:instrText>
      </w:r>
      <w:r w:rsidR="00A6794A" w:rsidRPr="00AA43FB">
        <w:rPr>
          <w:lang w:eastAsia="ru-RU"/>
        </w:rPr>
        <w:instrText xml:space="preserve"> </w:instrText>
      </w:r>
      <w:r w:rsidR="00A6794A">
        <w:rPr>
          <w:lang w:val="en-US" w:eastAsia="ru-RU"/>
        </w:rPr>
        <w:instrText>program</w:instrText>
      </w:r>
      <w:r w:rsidR="00A6794A" w:rsidRPr="00AA43FB">
        <w:rPr>
          <w:lang w:eastAsia="ru-RU"/>
        </w:rPr>
        <w:instrText xml:space="preserve"> </w:instrText>
      </w:r>
      <w:r w:rsidR="00A6794A">
        <w:rPr>
          <w:lang w:val="en-US" w:eastAsia="ru-RU"/>
        </w:rPr>
        <w:instrText>demonstrated</w:instrText>
      </w:r>
      <w:r w:rsidR="00A6794A" w:rsidRPr="00AA43FB">
        <w:rPr>
          <w:lang w:eastAsia="ru-RU"/>
        </w:rPr>
        <w:instrText xml:space="preserve"> </w:instrText>
      </w:r>
      <w:r w:rsidR="00A6794A">
        <w:rPr>
          <w:lang w:val="en-US" w:eastAsia="ru-RU"/>
        </w:rPr>
        <w:instrText>that</w:instrText>
      </w:r>
      <w:r w:rsidR="00A6794A" w:rsidRPr="00AA43FB">
        <w:rPr>
          <w:lang w:eastAsia="ru-RU"/>
        </w:rPr>
        <w:instrText xml:space="preserve">, </w:instrText>
      </w:r>
      <w:r w:rsidR="00A6794A">
        <w:rPr>
          <w:lang w:val="en-US" w:eastAsia="ru-RU"/>
        </w:rPr>
        <w:instrText>at</w:instrText>
      </w:r>
      <w:r w:rsidR="00A6794A" w:rsidRPr="00AA43FB">
        <w:rPr>
          <w:lang w:eastAsia="ru-RU"/>
        </w:rPr>
        <w:instrText xml:space="preserve"> </w:instrText>
      </w:r>
      <w:r w:rsidR="00A6794A">
        <w:rPr>
          <w:lang w:val="en-US" w:eastAsia="ru-RU"/>
        </w:rPr>
        <w:instrText>fixed</w:instrText>
      </w:r>
      <w:r w:rsidR="00A6794A" w:rsidRPr="00AA43FB">
        <w:rPr>
          <w:lang w:eastAsia="ru-RU"/>
        </w:rPr>
        <w:instrText xml:space="preserve"> </w:instrText>
      </w:r>
      <w:r w:rsidR="00A6794A">
        <w:rPr>
          <w:lang w:val="en-US" w:eastAsia="ru-RU"/>
        </w:rPr>
        <w:instrText>doses</w:instrText>
      </w:r>
      <w:r w:rsidR="00A6794A" w:rsidRPr="00AA43FB">
        <w:rPr>
          <w:lang w:eastAsia="ru-RU"/>
        </w:rPr>
        <w:instrText xml:space="preserve">, </w:instrText>
      </w:r>
      <w:r w:rsidR="00A6794A">
        <w:rPr>
          <w:lang w:val="en-US" w:eastAsia="ru-RU"/>
        </w:rPr>
        <w:instrText>rituximab</w:instrText>
      </w:r>
      <w:r w:rsidR="00A6794A" w:rsidRPr="00AA43FB">
        <w:rPr>
          <w:lang w:eastAsia="ru-RU"/>
        </w:rPr>
        <w:instrText xml:space="preserve"> </w:instrText>
      </w:r>
      <w:r w:rsidR="00A6794A">
        <w:rPr>
          <w:lang w:val="en-US" w:eastAsia="ru-RU"/>
        </w:rPr>
        <w:instrText>SC</w:instrText>
      </w:r>
      <w:r w:rsidR="00A6794A" w:rsidRPr="00AA43FB">
        <w:rPr>
          <w:lang w:eastAsia="ru-RU"/>
        </w:rPr>
        <w:instrText xml:space="preserve"> </w:instrText>
      </w:r>
      <w:r w:rsidR="00A6794A">
        <w:rPr>
          <w:lang w:val="en-US" w:eastAsia="ru-RU"/>
        </w:rPr>
        <w:instrText>achieves</w:instrText>
      </w:r>
      <w:r w:rsidR="00A6794A" w:rsidRPr="00AA43FB">
        <w:rPr>
          <w:lang w:eastAsia="ru-RU"/>
        </w:rPr>
        <w:instrText xml:space="preserve"> </w:instrText>
      </w:r>
      <w:r w:rsidR="00A6794A">
        <w:rPr>
          <w:lang w:val="en-US" w:eastAsia="ru-RU"/>
        </w:rPr>
        <w:instrText>non</w:instrText>
      </w:r>
      <w:r w:rsidR="00A6794A" w:rsidRPr="00AA43FB">
        <w:rPr>
          <w:lang w:eastAsia="ru-RU"/>
        </w:rPr>
        <w:instrText>-</w:instrText>
      </w:r>
      <w:r w:rsidR="00A6794A">
        <w:rPr>
          <w:lang w:val="en-US" w:eastAsia="ru-RU"/>
        </w:rPr>
        <w:instrText>inferior</w:instrText>
      </w:r>
      <w:r w:rsidR="00A6794A" w:rsidRPr="00AA43FB">
        <w:rPr>
          <w:lang w:eastAsia="ru-RU"/>
        </w:rPr>
        <w:instrText xml:space="preserve"> </w:instrText>
      </w:r>
      <w:r w:rsidR="00A6794A">
        <w:rPr>
          <w:lang w:val="en-US" w:eastAsia="ru-RU"/>
        </w:rPr>
        <w:instrText>serum</w:instrText>
      </w:r>
      <w:r w:rsidR="00A6794A" w:rsidRPr="00AA43FB">
        <w:rPr>
          <w:lang w:eastAsia="ru-RU"/>
        </w:rPr>
        <w:instrText xml:space="preserve"> </w:instrText>
      </w:r>
      <w:r w:rsidR="00A6794A">
        <w:rPr>
          <w:lang w:val="en-US" w:eastAsia="ru-RU"/>
        </w:rPr>
        <w:instrText>trough</w:instrText>
      </w:r>
      <w:r w:rsidR="00A6794A" w:rsidRPr="00AA43FB">
        <w:rPr>
          <w:lang w:eastAsia="ru-RU"/>
        </w:rPr>
        <w:instrText xml:space="preserve"> </w:instrText>
      </w:r>
      <w:r w:rsidR="00A6794A">
        <w:rPr>
          <w:lang w:val="en-US" w:eastAsia="ru-RU"/>
        </w:rPr>
        <w:instrText>concentrations</w:instrText>
      </w:r>
      <w:r w:rsidR="00A6794A" w:rsidRPr="00AA43FB">
        <w:rPr>
          <w:lang w:eastAsia="ru-RU"/>
        </w:rPr>
        <w:instrText xml:space="preserve"> </w:instrText>
      </w:r>
      <w:r w:rsidR="00A6794A">
        <w:rPr>
          <w:lang w:val="en-US" w:eastAsia="ru-RU"/>
        </w:rPr>
        <w:instrText>in</w:instrText>
      </w:r>
      <w:r w:rsidR="00A6794A" w:rsidRPr="00AA43FB">
        <w:rPr>
          <w:lang w:eastAsia="ru-RU"/>
        </w:rPr>
        <w:instrText xml:space="preserve"> </w:instrText>
      </w:r>
      <w:r w:rsidR="00A6794A">
        <w:rPr>
          <w:lang w:val="en-US" w:eastAsia="ru-RU"/>
        </w:rPr>
        <w:instrText>patients</w:instrText>
      </w:r>
      <w:r w:rsidR="00A6794A" w:rsidRPr="00AA43FB">
        <w:rPr>
          <w:lang w:eastAsia="ru-RU"/>
        </w:rPr>
        <w:instrText xml:space="preserve"> </w:instrText>
      </w:r>
      <w:r w:rsidR="00A6794A">
        <w:rPr>
          <w:lang w:val="en-US" w:eastAsia="ru-RU"/>
        </w:rPr>
        <w:instrText>with</w:instrText>
      </w:r>
      <w:r w:rsidR="00A6794A" w:rsidRPr="00AA43FB">
        <w:rPr>
          <w:lang w:eastAsia="ru-RU"/>
        </w:rPr>
        <w:instrText xml:space="preserve"> </w:instrText>
      </w:r>
      <w:r w:rsidR="00A6794A">
        <w:rPr>
          <w:lang w:val="en-US" w:eastAsia="ru-RU"/>
        </w:rPr>
        <w:instrText>non</w:instrText>
      </w:r>
      <w:r w:rsidR="00A6794A" w:rsidRPr="00AA43FB">
        <w:rPr>
          <w:lang w:eastAsia="ru-RU"/>
        </w:rPr>
        <w:instrText>-</w:instrText>
      </w:r>
      <w:r w:rsidR="00A6794A">
        <w:rPr>
          <w:lang w:val="en-US" w:eastAsia="ru-RU"/>
        </w:rPr>
        <w:instrText>Hodgkin</w:instrText>
      </w:r>
      <w:r w:rsidR="00A6794A" w:rsidRPr="00AA43FB">
        <w:rPr>
          <w:lang w:eastAsia="ru-RU"/>
        </w:rPr>
        <w:instrText xml:space="preserve"> </w:instrText>
      </w:r>
      <w:r w:rsidR="00A6794A">
        <w:rPr>
          <w:lang w:val="en-US" w:eastAsia="ru-RU"/>
        </w:rPr>
        <w:instrText>lymphoma</w:instrText>
      </w:r>
      <w:r w:rsidR="00A6794A" w:rsidRPr="00AA43FB">
        <w:rPr>
          <w:lang w:eastAsia="ru-RU"/>
        </w:rPr>
        <w:instrText xml:space="preserve"> </w:instrText>
      </w:r>
      <w:r w:rsidR="00A6794A">
        <w:rPr>
          <w:lang w:val="en-US" w:eastAsia="ru-RU"/>
        </w:rPr>
        <w:instrText>and</w:instrText>
      </w:r>
      <w:r w:rsidR="00A6794A" w:rsidRPr="00AA43FB">
        <w:rPr>
          <w:lang w:eastAsia="ru-RU"/>
        </w:rPr>
        <w:instrText xml:space="preserve"> </w:instrText>
      </w:r>
      <w:r w:rsidR="00A6794A">
        <w:rPr>
          <w:lang w:val="en-US" w:eastAsia="ru-RU"/>
        </w:rPr>
        <w:instrText>chronic</w:instrText>
      </w:r>
      <w:r w:rsidR="00A6794A" w:rsidRPr="00AA43FB">
        <w:rPr>
          <w:lang w:eastAsia="ru-RU"/>
        </w:rPr>
        <w:instrText xml:space="preserve"> </w:instrText>
      </w:r>
      <w:r w:rsidR="00A6794A">
        <w:rPr>
          <w:lang w:val="en-US" w:eastAsia="ru-RU"/>
        </w:rPr>
        <w:instrText>lymphocytic</w:instrText>
      </w:r>
      <w:r w:rsidR="00A6794A" w:rsidRPr="00AA43FB">
        <w:rPr>
          <w:lang w:eastAsia="ru-RU"/>
        </w:rPr>
        <w:instrText xml:space="preserve"> </w:instrText>
      </w:r>
      <w:r w:rsidR="00A6794A">
        <w:rPr>
          <w:lang w:val="en-US" w:eastAsia="ru-RU"/>
        </w:rPr>
        <w:instrText>leukemia</w:instrText>
      </w:r>
      <w:r w:rsidR="00A6794A" w:rsidRPr="00AA43FB">
        <w:rPr>
          <w:lang w:eastAsia="ru-RU"/>
        </w:rPr>
        <w:instrText xml:space="preserve">, </w:instrText>
      </w:r>
      <w:r w:rsidR="00A6794A">
        <w:rPr>
          <w:lang w:val="en-US" w:eastAsia="ru-RU"/>
        </w:rPr>
        <w:instrText>with</w:instrText>
      </w:r>
      <w:r w:rsidR="00A6794A" w:rsidRPr="00AA43FB">
        <w:rPr>
          <w:lang w:eastAsia="ru-RU"/>
        </w:rPr>
        <w:instrText xml:space="preserve"> </w:instrText>
      </w:r>
      <w:r w:rsidR="00A6794A">
        <w:rPr>
          <w:lang w:val="en-US" w:eastAsia="ru-RU"/>
        </w:rPr>
        <w:instrText>comparable</w:instrText>
      </w:r>
      <w:r w:rsidR="00A6794A" w:rsidRPr="00AA43FB">
        <w:rPr>
          <w:lang w:eastAsia="ru-RU"/>
        </w:rPr>
        <w:instrText xml:space="preserve"> </w:instrText>
      </w:r>
      <w:r w:rsidR="00A6794A">
        <w:rPr>
          <w:lang w:val="en-US" w:eastAsia="ru-RU"/>
        </w:rPr>
        <w:instrText>efficacy</w:instrText>
      </w:r>
      <w:r w:rsidR="00A6794A" w:rsidRPr="00AA43FB">
        <w:rPr>
          <w:lang w:eastAsia="ru-RU"/>
        </w:rPr>
        <w:instrText xml:space="preserve"> </w:instrText>
      </w:r>
      <w:r w:rsidR="00A6794A">
        <w:rPr>
          <w:lang w:val="en-US" w:eastAsia="ru-RU"/>
        </w:rPr>
        <w:instrText>and</w:instrText>
      </w:r>
      <w:r w:rsidR="00A6794A" w:rsidRPr="00AA43FB">
        <w:rPr>
          <w:lang w:eastAsia="ru-RU"/>
        </w:rPr>
        <w:instrText xml:space="preserve"> </w:instrText>
      </w:r>
      <w:r w:rsidR="00A6794A">
        <w:rPr>
          <w:lang w:val="en-US" w:eastAsia="ru-RU"/>
        </w:rPr>
        <w:instrText>safety</w:instrText>
      </w:r>
      <w:r w:rsidR="00A6794A" w:rsidRPr="00AA43FB">
        <w:rPr>
          <w:lang w:eastAsia="ru-RU"/>
        </w:rPr>
        <w:instrText xml:space="preserve"> </w:instrText>
      </w:r>
      <w:r w:rsidR="00A6794A">
        <w:rPr>
          <w:lang w:val="en-US" w:eastAsia="ru-RU"/>
        </w:rPr>
        <w:instrText>relative</w:instrText>
      </w:r>
      <w:r w:rsidR="00A6794A" w:rsidRPr="00AA43FB">
        <w:rPr>
          <w:lang w:eastAsia="ru-RU"/>
        </w:rPr>
        <w:instrText xml:space="preserve"> </w:instrText>
      </w:r>
      <w:r w:rsidR="00A6794A">
        <w:rPr>
          <w:lang w:val="en-US" w:eastAsia="ru-RU"/>
        </w:rPr>
        <w:instrText>to</w:instrText>
      </w:r>
      <w:r w:rsidR="00A6794A" w:rsidRPr="00AA43FB">
        <w:rPr>
          <w:lang w:eastAsia="ru-RU"/>
        </w:rPr>
        <w:instrText xml:space="preserve"> </w:instrText>
      </w:r>
      <w:r w:rsidR="00A6794A">
        <w:rPr>
          <w:lang w:val="en-US" w:eastAsia="ru-RU"/>
        </w:rPr>
        <w:instrText>the</w:instrText>
      </w:r>
      <w:r w:rsidR="00A6794A" w:rsidRPr="00AA43FB">
        <w:rPr>
          <w:lang w:eastAsia="ru-RU"/>
        </w:rPr>
        <w:instrText xml:space="preserve"> </w:instrText>
      </w:r>
      <w:r w:rsidR="00A6794A">
        <w:rPr>
          <w:lang w:val="en-US" w:eastAsia="ru-RU"/>
        </w:rPr>
        <w:instrText>IV</w:instrText>
      </w:r>
      <w:r w:rsidR="00A6794A" w:rsidRPr="00AA43FB">
        <w:rPr>
          <w:lang w:eastAsia="ru-RU"/>
        </w:rPr>
        <w:instrText xml:space="preserve"> </w:instrText>
      </w:r>
      <w:r w:rsidR="00A6794A">
        <w:rPr>
          <w:lang w:val="en-US" w:eastAsia="ru-RU"/>
        </w:rPr>
        <w:instrText>formulation</w:instrText>
      </w:r>
      <w:r w:rsidR="00A6794A" w:rsidRPr="00AA43FB">
        <w:rPr>
          <w:lang w:eastAsia="ru-RU"/>
        </w:rPr>
        <w:instrText xml:space="preserve">. </w:instrText>
      </w:r>
      <w:r w:rsidR="00A6794A">
        <w:rPr>
          <w:lang w:val="en-US" w:eastAsia="ru-RU"/>
        </w:rPr>
        <w:instrText>The</w:instrText>
      </w:r>
      <w:r w:rsidR="00A6794A" w:rsidRPr="00AA43FB">
        <w:rPr>
          <w:lang w:eastAsia="ru-RU"/>
        </w:rPr>
        <w:instrText xml:space="preserve"> </w:instrText>
      </w:r>
      <w:r w:rsidR="00A6794A">
        <w:rPr>
          <w:lang w:val="en-US" w:eastAsia="ru-RU"/>
        </w:rPr>
        <w:instrText>added</w:instrText>
      </w:r>
      <w:r w:rsidR="00A6794A" w:rsidRPr="00AA43FB">
        <w:rPr>
          <w:lang w:eastAsia="ru-RU"/>
        </w:rPr>
        <w:instrText xml:space="preserve"> </w:instrText>
      </w:r>
      <w:r w:rsidR="00A6794A">
        <w:rPr>
          <w:lang w:val="en-US" w:eastAsia="ru-RU"/>
        </w:rPr>
        <w:instrText>benefit</w:instrText>
      </w:r>
      <w:r w:rsidR="00A6794A" w:rsidRPr="00AA43FB">
        <w:rPr>
          <w:lang w:eastAsia="ru-RU"/>
        </w:rPr>
        <w:instrText xml:space="preserve"> </w:instrText>
      </w:r>
      <w:r w:rsidR="00A6794A">
        <w:rPr>
          <w:lang w:val="en-US" w:eastAsia="ru-RU"/>
        </w:rPr>
        <w:instrText>of</w:instrText>
      </w:r>
      <w:r w:rsidR="00A6794A" w:rsidRPr="00AA43FB">
        <w:rPr>
          <w:lang w:eastAsia="ru-RU"/>
        </w:rPr>
        <w:instrText xml:space="preserve"> </w:instrText>
      </w:r>
      <w:r w:rsidR="00A6794A">
        <w:rPr>
          <w:lang w:val="en-US" w:eastAsia="ru-RU"/>
        </w:rPr>
        <w:instrText>rituximab</w:instrText>
      </w:r>
      <w:r w:rsidR="00A6794A" w:rsidRPr="00AA43FB">
        <w:rPr>
          <w:lang w:eastAsia="ru-RU"/>
        </w:rPr>
        <w:instrText xml:space="preserve"> </w:instrText>
      </w:r>
      <w:r w:rsidR="00A6794A">
        <w:rPr>
          <w:lang w:val="en-US" w:eastAsia="ru-RU"/>
        </w:rPr>
        <w:instrText>SC</w:instrText>
      </w:r>
      <w:r w:rsidR="00A6794A" w:rsidRPr="00AA43FB">
        <w:rPr>
          <w:lang w:eastAsia="ru-RU"/>
        </w:rPr>
        <w:instrText xml:space="preserve"> </w:instrText>
      </w:r>
      <w:r w:rsidR="00A6794A">
        <w:rPr>
          <w:lang w:val="en-US" w:eastAsia="ru-RU"/>
        </w:rPr>
        <w:instrText>was</w:instrText>
      </w:r>
      <w:r w:rsidR="00A6794A" w:rsidRPr="00AA43FB">
        <w:rPr>
          <w:lang w:eastAsia="ru-RU"/>
        </w:rPr>
        <w:instrText xml:space="preserve"> </w:instrText>
      </w:r>
      <w:r w:rsidR="00A6794A">
        <w:rPr>
          <w:lang w:val="en-US" w:eastAsia="ru-RU"/>
        </w:rPr>
        <w:instrText>demonstrated</w:instrText>
      </w:r>
      <w:r w:rsidR="00A6794A" w:rsidRPr="00AA43FB">
        <w:rPr>
          <w:lang w:eastAsia="ru-RU"/>
        </w:rPr>
        <w:instrText xml:space="preserve"> </w:instrText>
      </w:r>
      <w:r w:rsidR="00A6794A">
        <w:rPr>
          <w:lang w:val="en-US" w:eastAsia="ru-RU"/>
        </w:rPr>
        <w:instrText>in</w:instrText>
      </w:r>
      <w:r w:rsidR="00A6794A" w:rsidRPr="00AA43FB">
        <w:rPr>
          <w:lang w:eastAsia="ru-RU"/>
        </w:rPr>
        <w:instrText xml:space="preserve"> </w:instrText>
      </w:r>
      <w:r w:rsidR="00A6794A">
        <w:rPr>
          <w:lang w:val="en-US" w:eastAsia="ru-RU"/>
        </w:rPr>
        <w:instrText>dedicated</w:instrText>
      </w:r>
      <w:r w:rsidR="00A6794A" w:rsidRPr="00AA43FB">
        <w:rPr>
          <w:lang w:eastAsia="ru-RU"/>
        </w:rPr>
        <w:instrText xml:space="preserve"> </w:instrText>
      </w:r>
      <w:r w:rsidR="00A6794A">
        <w:rPr>
          <w:lang w:val="en-US" w:eastAsia="ru-RU"/>
        </w:rPr>
        <w:instrText>studies</w:instrText>
      </w:r>
      <w:r w:rsidR="00A6794A" w:rsidRPr="00AA43FB">
        <w:rPr>
          <w:lang w:eastAsia="ru-RU"/>
        </w:rPr>
        <w:instrText xml:space="preserve"> </w:instrText>
      </w:r>
      <w:r w:rsidR="00A6794A">
        <w:rPr>
          <w:lang w:val="en-US" w:eastAsia="ru-RU"/>
        </w:rPr>
        <w:instrText>showing</w:instrText>
      </w:r>
      <w:r w:rsidR="00A6794A" w:rsidRPr="00AA43FB">
        <w:rPr>
          <w:lang w:eastAsia="ru-RU"/>
        </w:rPr>
        <w:instrText xml:space="preserve"> </w:instrText>
      </w:r>
      <w:r w:rsidR="00A6794A">
        <w:rPr>
          <w:lang w:val="en-US" w:eastAsia="ru-RU"/>
        </w:rPr>
        <w:instrText>that</w:instrText>
      </w:r>
      <w:r w:rsidR="00A6794A" w:rsidRPr="00AA43FB">
        <w:rPr>
          <w:lang w:eastAsia="ru-RU"/>
        </w:rPr>
        <w:instrText xml:space="preserve"> </w:instrText>
      </w:r>
      <w:r w:rsidR="00A6794A">
        <w:rPr>
          <w:lang w:val="en-US" w:eastAsia="ru-RU"/>
        </w:rPr>
        <w:instrText>rituximab</w:instrText>
      </w:r>
      <w:r w:rsidR="00A6794A" w:rsidRPr="00AA43FB">
        <w:rPr>
          <w:lang w:eastAsia="ru-RU"/>
        </w:rPr>
        <w:instrText xml:space="preserve"> </w:instrText>
      </w:r>
      <w:r w:rsidR="00A6794A">
        <w:rPr>
          <w:lang w:val="en-US" w:eastAsia="ru-RU"/>
        </w:rPr>
        <w:instrText>SC</w:instrText>
      </w:r>
      <w:r w:rsidR="00A6794A" w:rsidRPr="00AA43FB">
        <w:rPr>
          <w:lang w:eastAsia="ru-RU"/>
        </w:rPr>
        <w:instrText xml:space="preserve"> </w:instrText>
      </w:r>
      <w:r w:rsidR="00A6794A">
        <w:rPr>
          <w:lang w:val="en-US" w:eastAsia="ru-RU"/>
        </w:rPr>
        <w:instrText>allows</w:instrText>
      </w:r>
      <w:r w:rsidR="00A6794A" w:rsidRPr="00AA43FB">
        <w:rPr>
          <w:lang w:eastAsia="ru-RU"/>
        </w:rPr>
        <w:instrText xml:space="preserve"> </w:instrText>
      </w:r>
      <w:r w:rsidR="00A6794A">
        <w:rPr>
          <w:lang w:val="en-US" w:eastAsia="ru-RU"/>
        </w:rPr>
        <w:instrText>for</w:instrText>
      </w:r>
      <w:r w:rsidR="00A6794A" w:rsidRPr="00AA43FB">
        <w:rPr>
          <w:lang w:eastAsia="ru-RU"/>
        </w:rPr>
        <w:instrText xml:space="preserve"> </w:instrText>
      </w:r>
      <w:r w:rsidR="00A6794A">
        <w:rPr>
          <w:lang w:val="en-US" w:eastAsia="ru-RU"/>
        </w:rPr>
        <w:instrText>simplified</w:instrText>
      </w:r>
      <w:r w:rsidR="00A6794A" w:rsidRPr="00AA43FB">
        <w:rPr>
          <w:lang w:eastAsia="ru-RU"/>
        </w:rPr>
        <w:instrText xml:space="preserve"> </w:instrText>
      </w:r>
      <w:r w:rsidR="00A6794A">
        <w:rPr>
          <w:lang w:val="en-US" w:eastAsia="ru-RU"/>
        </w:rPr>
        <w:instrText>and</w:instrText>
      </w:r>
      <w:r w:rsidR="00A6794A" w:rsidRPr="00AA43FB">
        <w:rPr>
          <w:lang w:eastAsia="ru-RU"/>
        </w:rPr>
        <w:instrText xml:space="preserve"> </w:instrText>
      </w:r>
      <w:r w:rsidR="00A6794A">
        <w:rPr>
          <w:lang w:val="en-US" w:eastAsia="ru-RU"/>
        </w:rPr>
        <w:instrText>shortened</w:instrText>
      </w:r>
      <w:r w:rsidR="00A6794A" w:rsidRPr="00AA43FB">
        <w:rPr>
          <w:lang w:eastAsia="ru-RU"/>
        </w:rPr>
        <w:instrText xml:space="preserve"> </w:instrText>
      </w:r>
      <w:r w:rsidR="00A6794A">
        <w:rPr>
          <w:lang w:val="en-US" w:eastAsia="ru-RU"/>
        </w:rPr>
        <w:instrText>drug</w:instrText>
      </w:r>
      <w:r w:rsidR="00A6794A" w:rsidRPr="00AA43FB">
        <w:rPr>
          <w:lang w:eastAsia="ru-RU"/>
        </w:rPr>
        <w:instrText xml:space="preserve"> </w:instrText>
      </w:r>
      <w:r w:rsidR="00A6794A">
        <w:rPr>
          <w:lang w:val="en-US" w:eastAsia="ru-RU"/>
        </w:rPr>
        <w:instrText>preparation</w:instrText>
      </w:r>
      <w:r w:rsidR="00A6794A" w:rsidRPr="00AA43FB">
        <w:rPr>
          <w:lang w:eastAsia="ru-RU"/>
        </w:rPr>
        <w:instrText xml:space="preserve"> </w:instrText>
      </w:r>
      <w:r w:rsidR="00A6794A">
        <w:rPr>
          <w:lang w:val="en-US" w:eastAsia="ru-RU"/>
        </w:rPr>
        <w:instrText>and</w:instrText>
      </w:r>
      <w:r w:rsidR="00A6794A" w:rsidRPr="00AA43FB">
        <w:rPr>
          <w:lang w:eastAsia="ru-RU"/>
        </w:rPr>
        <w:instrText xml:space="preserve"> </w:instrText>
      </w:r>
      <w:r w:rsidR="00A6794A">
        <w:rPr>
          <w:lang w:val="en-US" w:eastAsia="ru-RU"/>
        </w:rPr>
        <w:instrText>administration</w:instrText>
      </w:r>
      <w:r w:rsidR="00A6794A" w:rsidRPr="00AA43FB">
        <w:rPr>
          <w:lang w:eastAsia="ru-RU"/>
        </w:rPr>
        <w:instrText xml:space="preserve"> </w:instrText>
      </w:r>
      <w:r w:rsidR="00A6794A">
        <w:rPr>
          <w:lang w:val="en-US" w:eastAsia="ru-RU"/>
        </w:rPr>
        <w:instrText>times</w:instrText>
      </w:r>
      <w:r w:rsidR="00A6794A" w:rsidRPr="00AA43FB">
        <w:rPr>
          <w:lang w:eastAsia="ru-RU"/>
        </w:rPr>
        <w:instrText xml:space="preserve"> </w:instrText>
      </w:r>
      <w:r w:rsidR="00A6794A">
        <w:rPr>
          <w:lang w:val="en-US" w:eastAsia="ru-RU"/>
        </w:rPr>
        <w:instrText>resulting</w:instrText>
      </w:r>
      <w:r w:rsidR="00A6794A" w:rsidRPr="00AA43FB">
        <w:rPr>
          <w:lang w:eastAsia="ru-RU"/>
        </w:rPr>
        <w:instrText xml:space="preserve"> </w:instrText>
      </w:r>
      <w:r w:rsidR="00A6794A">
        <w:rPr>
          <w:lang w:val="en-US" w:eastAsia="ru-RU"/>
        </w:rPr>
        <w:instrText>in</w:instrText>
      </w:r>
      <w:r w:rsidR="00A6794A" w:rsidRPr="00AA43FB">
        <w:rPr>
          <w:lang w:eastAsia="ru-RU"/>
        </w:rPr>
        <w:instrText xml:space="preserve"> </w:instrText>
      </w:r>
      <w:r w:rsidR="00A6794A">
        <w:rPr>
          <w:lang w:val="en-US" w:eastAsia="ru-RU"/>
        </w:rPr>
        <w:instrText>a</w:instrText>
      </w:r>
      <w:r w:rsidR="00A6794A" w:rsidRPr="00AA43FB">
        <w:rPr>
          <w:lang w:eastAsia="ru-RU"/>
        </w:rPr>
        <w:instrText xml:space="preserve"> </w:instrText>
      </w:r>
      <w:r w:rsidR="00A6794A">
        <w:rPr>
          <w:lang w:val="en-US" w:eastAsia="ru-RU"/>
        </w:rPr>
        <w:instrText>reduced</w:instrText>
      </w:r>
      <w:r w:rsidR="00A6794A" w:rsidRPr="00AA43FB">
        <w:rPr>
          <w:lang w:eastAsia="ru-RU"/>
        </w:rPr>
        <w:instrText xml:space="preserve"> </w:instrText>
      </w:r>
      <w:r w:rsidR="00A6794A">
        <w:rPr>
          <w:lang w:val="en-US" w:eastAsia="ru-RU"/>
        </w:rPr>
        <w:instrText>treatment</w:instrText>
      </w:r>
      <w:r w:rsidR="00A6794A" w:rsidRPr="00AA43FB">
        <w:rPr>
          <w:lang w:eastAsia="ru-RU"/>
        </w:rPr>
        <w:instrText xml:space="preserve"> </w:instrText>
      </w:r>
      <w:r w:rsidR="00A6794A">
        <w:rPr>
          <w:lang w:val="en-US" w:eastAsia="ru-RU"/>
        </w:rPr>
        <w:instrText>burden</w:instrText>
      </w:r>
      <w:r w:rsidR="00A6794A" w:rsidRPr="00AA43FB">
        <w:rPr>
          <w:lang w:eastAsia="ru-RU"/>
        </w:rPr>
        <w:instrText xml:space="preserve"> </w:instrText>
      </w:r>
      <w:r w:rsidR="00A6794A">
        <w:rPr>
          <w:lang w:val="en-US" w:eastAsia="ru-RU"/>
        </w:rPr>
        <w:instrText>for</w:instrText>
      </w:r>
      <w:r w:rsidR="00A6794A" w:rsidRPr="00AA43FB">
        <w:rPr>
          <w:lang w:eastAsia="ru-RU"/>
        </w:rPr>
        <w:instrText xml:space="preserve"> </w:instrText>
      </w:r>
      <w:r w:rsidR="00A6794A">
        <w:rPr>
          <w:lang w:val="en-US" w:eastAsia="ru-RU"/>
        </w:rPr>
        <w:instrText>patients</w:instrText>
      </w:r>
      <w:r w:rsidR="00A6794A" w:rsidRPr="00AA43FB">
        <w:rPr>
          <w:lang w:eastAsia="ru-RU"/>
        </w:rPr>
        <w:instrText xml:space="preserve"> </w:instrText>
      </w:r>
      <w:r w:rsidR="00A6794A">
        <w:rPr>
          <w:lang w:val="en-US" w:eastAsia="ru-RU"/>
        </w:rPr>
        <w:instrText>as</w:instrText>
      </w:r>
      <w:r w:rsidR="00A6794A" w:rsidRPr="00AA43FB">
        <w:rPr>
          <w:lang w:eastAsia="ru-RU"/>
        </w:rPr>
        <w:instrText xml:space="preserve"> </w:instrText>
      </w:r>
      <w:r w:rsidR="00A6794A">
        <w:rPr>
          <w:lang w:val="en-US" w:eastAsia="ru-RU"/>
        </w:rPr>
        <w:instrText>well</w:instrText>
      </w:r>
      <w:r w:rsidR="00A6794A" w:rsidRPr="00AA43FB">
        <w:rPr>
          <w:lang w:eastAsia="ru-RU"/>
        </w:rPr>
        <w:instrText xml:space="preserve"> </w:instrText>
      </w:r>
      <w:r w:rsidR="00A6794A">
        <w:rPr>
          <w:lang w:val="en-US" w:eastAsia="ru-RU"/>
        </w:rPr>
        <w:instrText>as</w:instrText>
      </w:r>
      <w:r w:rsidR="00A6794A" w:rsidRPr="00AA43FB">
        <w:rPr>
          <w:lang w:eastAsia="ru-RU"/>
        </w:rPr>
        <w:instrText xml:space="preserve"> </w:instrText>
      </w:r>
      <w:r w:rsidR="00A6794A">
        <w:rPr>
          <w:lang w:val="en-US" w:eastAsia="ru-RU"/>
        </w:rPr>
        <w:instrText>improved</w:instrText>
      </w:r>
      <w:r w:rsidR="00A6794A" w:rsidRPr="00AA43FB">
        <w:rPr>
          <w:lang w:eastAsia="ru-RU"/>
        </w:rPr>
        <w:instrText xml:space="preserve"> </w:instrText>
      </w:r>
      <w:r w:rsidR="00A6794A">
        <w:rPr>
          <w:lang w:val="en-US" w:eastAsia="ru-RU"/>
        </w:rPr>
        <w:instrText>resource</w:instrText>
      </w:r>
      <w:r w:rsidR="00A6794A" w:rsidRPr="00AA43FB">
        <w:rPr>
          <w:lang w:eastAsia="ru-RU"/>
        </w:rPr>
        <w:instrText xml:space="preserve"> </w:instrText>
      </w:r>
      <w:r w:rsidR="00A6794A">
        <w:rPr>
          <w:lang w:val="en-US" w:eastAsia="ru-RU"/>
        </w:rPr>
        <w:instrText>utilization</w:instrText>
      </w:r>
      <w:r w:rsidR="00A6794A" w:rsidRPr="00AA43FB">
        <w:rPr>
          <w:lang w:eastAsia="ru-RU"/>
        </w:rPr>
        <w:instrText xml:space="preserve"> (</w:instrText>
      </w:r>
      <w:r w:rsidR="00A6794A">
        <w:rPr>
          <w:lang w:val="en-US" w:eastAsia="ru-RU"/>
        </w:rPr>
        <w:instrText>efficiency</w:instrText>
      </w:r>
      <w:r w:rsidR="00A6794A" w:rsidRPr="00AA43FB">
        <w:rPr>
          <w:lang w:eastAsia="ru-RU"/>
        </w:rPr>
        <w:instrText xml:space="preserve">) </w:instrText>
      </w:r>
      <w:r w:rsidR="00A6794A">
        <w:rPr>
          <w:lang w:val="en-US" w:eastAsia="ru-RU"/>
        </w:rPr>
        <w:instrText>at</w:instrText>
      </w:r>
      <w:r w:rsidR="00A6794A" w:rsidRPr="00AA43FB">
        <w:rPr>
          <w:lang w:eastAsia="ru-RU"/>
        </w:rPr>
        <w:instrText xml:space="preserve"> </w:instrText>
      </w:r>
      <w:r w:rsidR="00A6794A">
        <w:rPr>
          <w:lang w:val="en-US" w:eastAsia="ru-RU"/>
        </w:rPr>
        <w:instrText>the</w:instrText>
      </w:r>
      <w:r w:rsidR="00A6794A" w:rsidRPr="00AA43FB">
        <w:rPr>
          <w:lang w:eastAsia="ru-RU"/>
        </w:rPr>
        <w:instrText xml:space="preserve"> </w:instrText>
      </w:r>
      <w:r w:rsidR="00A6794A">
        <w:rPr>
          <w:lang w:val="en-US" w:eastAsia="ru-RU"/>
        </w:rPr>
        <w:instrText>treatment</w:instrText>
      </w:r>
      <w:r w:rsidR="00A6794A" w:rsidRPr="00AA43FB">
        <w:rPr>
          <w:lang w:eastAsia="ru-RU"/>
        </w:rPr>
        <w:instrText xml:space="preserve"> </w:instrText>
      </w:r>
      <w:r w:rsidR="00A6794A">
        <w:rPr>
          <w:lang w:val="en-US" w:eastAsia="ru-RU"/>
        </w:rPr>
        <w:instrText>facility</w:instrText>
      </w:r>
      <w:r w:rsidR="00A6794A" w:rsidRPr="00AA43FB">
        <w:rPr>
          <w:lang w:eastAsia="ru-RU"/>
        </w:rPr>
        <w:instrText xml:space="preserve">. </w:instrText>
      </w:r>
      <w:r w:rsidR="00A6794A">
        <w:rPr>
          <w:lang w:val="en-US" w:eastAsia="ru-RU"/>
        </w:rPr>
        <w:instrText>The</w:instrText>
      </w:r>
      <w:r w:rsidR="00A6794A" w:rsidRPr="00AA43FB">
        <w:rPr>
          <w:lang w:eastAsia="ru-RU"/>
        </w:rPr>
        <w:instrText xml:space="preserve"> </w:instrText>
      </w:r>
      <w:r w:rsidR="00A6794A">
        <w:rPr>
          <w:lang w:val="en-US" w:eastAsia="ru-RU"/>
        </w:rPr>
        <w:instrText>improved</w:instrText>
      </w:r>
      <w:r w:rsidR="00A6794A" w:rsidRPr="00AA43FB">
        <w:rPr>
          <w:lang w:eastAsia="ru-RU"/>
        </w:rPr>
        <w:instrText xml:space="preserve"> </w:instrText>
      </w:r>
      <w:r w:rsidR="00A6794A">
        <w:rPr>
          <w:lang w:val="en-US" w:eastAsia="ru-RU"/>
        </w:rPr>
        <w:instrText>efficiency</w:instrText>
      </w:r>
      <w:r w:rsidR="00A6794A" w:rsidRPr="00AA43FB">
        <w:rPr>
          <w:lang w:eastAsia="ru-RU"/>
        </w:rPr>
        <w:instrText xml:space="preserve"> </w:instrText>
      </w:r>
      <w:r w:rsidR="00A6794A">
        <w:rPr>
          <w:lang w:val="en-US" w:eastAsia="ru-RU"/>
        </w:rPr>
        <w:instrText>of</w:instrText>
      </w:r>
      <w:r w:rsidR="00A6794A" w:rsidRPr="00AA43FB">
        <w:rPr>
          <w:lang w:eastAsia="ru-RU"/>
        </w:rPr>
        <w:instrText xml:space="preserve"> </w:instrText>
      </w:r>
      <w:r w:rsidR="00A6794A">
        <w:rPr>
          <w:lang w:val="en-US" w:eastAsia="ru-RU"/>
        </w:rPr>
        <w:instrText>delivering</w:instrText>
      </w:r>
      <w:r w:rsidR="00A6794A" w:rsidRPr="00AA43FB">
        <w:rPr>
          <w:lang w:eastAsia="ru-RU"/>
        </w:rPr>
        <w:instrText xml:space="preserve"> </w:instrText>
      </w:r>
      <w:r w:rsidR="00A6794A">
        <w:rPr>
          <w:lang w:val="en-US" w:eastAsia="ru-RU"/>
        </w:rPr>
        <w:instrText>rituximab</w:instrText>
      </w:r>
      <w:r w:rsidR="00A6794A" w:rsidRPr="00AA43FB">
        <w:rPr>
          <w:lang w:eastAsia="ru-RU"/>
        </w:rPr>
        <w:instrText>’</w:instrText>
      </w:r>
      <w:r w:rsidR="00A6794A">
        <w:rPr>
          <w:lang w:val="en-US" w:eastAsia="ru-RU"/>
        </w:rPr>
        <w:instrText>s</w:instrText>
      </w:r>
      <w:r w:rsidR="00A6794A" w:rsidRPr="00AA43FB">
        <w:rPr>
          <w:lang w:eastAsia="ru-RU"/>
        </w:rPr>
        <w:instrText xml:space="preserve"> </w:instrText>
      </w:r>
      <w:r w:rsidR="00A6794A">
        <w:rPr>
          <w:lang w:val="en-US" w:eastAsia="ru-RU"/>
        </w:rPr>
        <w:instrText>benefit</w:instrText>
      </w:r>
      <w:r w:rsidR="00A6794A" w:rsidRPr="00AA43FB">
        <w:rPr>
          <w:lang w:eastAsia="ru-RU"/>
        </w:rPr>
        <w:instrText xml:space="preserve"> </w:instrText>
      </w:r>
      <w:r w:rsidR="00A6794A">
        <w:rPr>
          <w:lang w:val="en-US" w:eastAsia="ru-RU"/>
        </w:rPr>
        <w:instrText>to</w:instrText>
      </w:r>
      <w:r w:rsidR="00A6794A" w:rsidRPr="00AA43FB">
        <w:rPr>
          <w:lang w:eastAsia="ru-RU"/>
        </w:rPr>
        <w:instrText xml:space="preserve"> </w:instrText>
      </w:r>
      <w:r w:rsidR="00A6794A">
        <w:rPr>
          <w:lang w:val="en-US" w:eastAsia="ru-RU"/>
        </w:rPr>
        <w:instrText>patients</w:instrText>
      </w:r>
      <w:r w:rsidR="00A6794A" w:rsidRPr="00AA43FB">
        <w:rPr>
          <w:lang w:eastAsia="ru-RU"/>
        </w:rPr>
        <w:instrText xml:space="preserve"> </w:instrText>
      </w:r>
      <w:r w:rsidR="00A6794A">
        <w:rPr>
          <w:lang w:val="en-US" w:eastAsia="ru-RU"/>
        </w:rPr>
        <w:instrText>may</w:instrText>
      </w:r>
      <w:r w:rsidR="00A6794A" w:rsidRPr="00AA43FB">
        <w:rPr>
          <w:lang w:eastAsia="ru-RU"/>
        </w:rPr>
        <w:instrText xml:space="preserve"> </w:instrText>
      </w:r>
      <w:r w:rsidR="00A6794A">
        <w:rPr>
          <w:lang w:val="en-US" w:eastAsia="ru-RU"/>
        </w:rPr>
        <w:instrText>broaden</w:instrText>
      </w:r>
      <w:r w:rsidR="00A6794A" w:rsidRPr="00AA43FB">
        <w:rPr>
          <w:lang w:eastAsia="ru-RU"/>
        </w:rPr>
        <w:instrText xml:space="preserve"> </w:instrText>
      </w:r>
      <w:r w:rsidR="00A6794A">
        <w:rPr>
          <w:lang w:val="en-US" w:eastAsia="ru-RU"/>
        </w:rPr>
        <w:instrText>patient</w:instrText>
      </w:r>
      <w:r w:rsidR="00A6794A" w:rsidRPr="00AA43FB">
        <w:rPr>
          <w:lang w:eastAsia="ru-RU"/>
        </w:rPr>
        <w:instrText xml:space="preserve"> </w:instrText>
      </w:r>
      <w:r w:rsidR="00A6794A">
        <w:rPr>
          <w:lang w:val="en-US" w:eastAsia="ru-RU"/>
        </w:rPr>
        <w:instrText>access</w:instrText>
      </w:r>
      <w:r w:rsidR="00A6794A" w:rsidRPr="00AA43FB">
        <w:rPr>
          <w:lang w:eastAsia="ru-RU"/>
        </w:rPr>
        <w:instrText xml:space="preserve"> </w:instrText>
      </w:r>
      <w:r w:rsidR="00A6794A">
        <w:rPr>
          <w:lang w:val="en-US" w:eastAsia="ru-RU"/>
        </w:rPr>
        <w:instrText>to</w:instrText>
      </w:r>
      <w:r w:rsidR="00A6794A" w:rsidRPr="00AA43FB">
        <w:rPr>
          <w:lang w:eastAsia="ru-RU"/>
        </w:rPr>
        <w:instrText xml:space="preserve"> </w:instrText>
      </w:r>
      <w:r w:rsidR="00A6794A">
        <w:rPr>
          <w:lang w:val="en-US" w:eastAsia="ru-RU"/>
        </w:rPr>
        <w:instrText>rituximab</w:instrText>
      </w:r>
      <w:r w:rsidR="00A6794A" w:rsidRPr="00AA43FB">
        <w:rPr>
          <w:lang w:eastAsia="ru-RU"/>
        </w:rPr>
        <w:instrText xml:space="preserve"> </w:instrText>
      </w:r>
      <w:r w:rsidR="00A6794A">
        <w:rPr>
          <w:lang w:val="en-US" w:eastAsia="ru-RU"/>
        </w:rPr>
        <w:instrText>therapy</w:instrText>
      </w:r>
      <w:r w:rsidR="00A6794A" w:rsidRPr="00AA43FB">
        <w:rPr>
          <w:lang w:eastAsia="ru-RU"/>
        </w:rPr>
        <w:instrText xml:space="preserve"> </w:instrText>
      </w:r>
      <w:r w:rsidR="00A6794A">
        <w:rPr>
          <w:lang w:val="en-US" w:eastAsia="ru-RU"/>
        </w:rPr>
        <w:instrText>in areas with low levels of healthcare resources, including IV-chair capacity constraints. This article is a companion paper to G. Salles, et al., which is also published in this issue. Funding: F. Hoffmann-La Roche Ltd.","author":[{"dropping-particle":"","family":"Davies","given":"Andrew","non-dropping-particle":"","parse-names":false,"suffix":""},{"dropping-particle":"","family":"Berge","given":"Claude","non-dropping-particle":"","parse-names":false,"suffix":""},{"dropping-particle":"","family":"Boehnke","given":"Axel","non-dropping-particle":"","parse-names":false,"suffix":""},{"dropping-particle":"","family":"Dadabhoy","given":"Anjum","non-dropping-particle":"","parse-names":false,"suffix":""},{"dropping-particle":"","family":"Lugtenburg","given":"Pieternella","non-dropping-particle":"","parse-names":false,"suffix":""},{"dropping-particle":"","family":"Rule","given":"Simon","non-dropping-particle":"","parse-names":false,"suffix":""},{"dropping-particle":"","family":"Rummel","given":"Mathias","non-dropping-particle":"","parse-names":false,"suffix":""},{"dropping-particle":"","family":"McIntyre","given":"Christine","non-dropping-particle":"","parse-names":false,"suffix":""},{"dropping-particle":"","family":"Smith","given":"Rodney","non-dropping-particle":"","parse-names":false,"suffix":""},{"dropping-particle":"","family":"Badoux","given":"Xavier","non-dropping-particle":"","parse-names":false,"suffix":""}],"container-title":"Advances in Therapy","id":"ITEM-2","issue":"10","issued":{"date-parts":[["2017","10","1"]]},"page":"2210-2231","publisher":"Springer Healthcare","title":"Subcutaneous Rituximab for the Treatment of B-Cell Hematologic Malignancies: A Review of the Scientific Rationale and Clinical Development","type":"article","volume":"34"},"uris":["http://www.mendeley.com/documents/?uuid=c91e99c4-7e72-3803-909e-84f3e662a6e0"]},{"id":"ITEM-3","itemData":{"DOI":"10.1111/bjh.16227","ISSN":"0007-1048","abstract":"Rituximab is a standard treatment for non-Hodgkin diffuse large B-cell (DLBCL) and follicular (FL) lymphomas. A subcutaneous formulation was developed to improve the resource use of intravenous rituximab, with comparable efficacy and safety profiles except for increased administration-related reactions (ARRs). MabRella was a phase IIIb trial to assess the safety of switching from intravenous to subcutaneous administration of rituximab during first-line induction/maintenance for DLBCL or FL, focusing on ARRs. Efficacy, satisfaction and quality of life were also assessed. Patients received subcutaneous rituximab plus standard induction chemotherapy for DLBCL or FL for 4–7 cycles, and/or every 2 months maintenance monotherapy for FL for 6–12 cycles. The study included 140 patients: DLBCL, n = 29; FL, n = 111. Ninety-five percent of patients experienced adverse events, reaching grade ≥3 in 38·6% and were serious in 30·0%. AARs occurred in 48·6%, mostly (84·9%) at the injection site, with only 2·1% of patients reaching grade 3. The end-of-induction complete/unconfirmed complete response rate was 69·6%. After a median follow-up of 33·5 months, median disease-/event-/progression-free and overall survivals were not attained. The Rituximab Administration Satisfaction Questionnaire showed improvements in overall satisfaction and the EuroQoL-5D a good quality-of-life perception at induction/maintenance end. Therefore, switching to subcutaneous rituximab showed no new safety issues and maintained efficacy with improved satisfaction and quality of life.","author":[{"dropping-particle":"","family":"García‐Muñoz","given":"Ricardo","non-dropping-particle":"","parse-names":false,"suffix":""},{"dropping-particle":"","family":"Quero","given":"Cristina","non-dropping-particle":"","parse-names":false,"suffix":""},{"dropping-particle":"","family":"Pérez‐Persona","given":"Ernesto","non-dropping-particle":"","parse-names":false,"suffix":""},{"dropping-particle":"","family":"Domingo‐García","given":"Abel","non-dropping-particle":"","parse-names":false,"suffix":""},{"dropping-particle":"","family":"Pérez‐López","given":"Cristina","non-dropping-particle":"","parse-names":false,"suffix":""},{"dropping-particle":"","family":"Villaescusa‐de‐la‐Rosa","given":"Teresa","non-dropping-particle":"","parse-names":false,"suffix":""},{"dropping-particle":"","family":"Martínez‐Castro","given":"Ana M.","non-dropping-particle":"","parse-names":false,"suffix":""},{"dropping-particle":"","family":"Arguiñano‐Pérez","given":"José M.","non-dropping-particle":"","parse-names":false,"suffix":""},{"dropping-particle":"","family":"Parra‐Cuadrado","given":"Juan F.","non-dropping-particle":"","parse-names":false,"suffix":""},{"dropping-particle":"","family":"Panizo","given":"Carlos","non-dropping-particle":"","parse-names":false,"suffix":""}],"container-title":"British Journal of Haematology","id":"ITEM-3","issue":"5","issued":{"date-parts":[["2020","3","1"]]},"page":"661-673","publisher":"Blackwell Publishing Ltd","title":"Safety of switching from intravenous to subcutaneous rituximab during first‐line treatment of patients with non‐Hodgkin lymphoma: the Spanish population of the MabRella study","type":"article-journal","volume":"188"},"uris":["http://www.mendeley.com/documents/?uuid=89ca4d25-771e-3d22-9da5-61e99fb5ec3e"]},{"id":"ITEM-4","itemData":{"DOI":"10.3747/co.24.3470","ISSN":"17187729","abstract":"Rituximab is widely used for the treatment of non-Hodgkin lymphoma, being a key component in most therapeutic regimens. Administration of the intravenous (IV) formulation is lengthy and places a significant burden on health care resources and patient quality of life. A subcutaneous (sc) formulation that provides a fixed dose of rituximab is being examined in a number of studies. Results indicate that the pharmacokinetics are noninferior and response rates are comparable to those obtained with the IV formulation. Moreover, the sc formulation is preferred by patients and health care providers and reduces administration and chair time. Additional advantages include a lesser potential for dosing errors, shorter preparation time, reduced drug wastage, and fewer infusion-related reactions. Despite the success of the sc formulation</w:instrText>
      </w:r>
      <w:r w:rsidR="00A6794A" w:rsidRPr="00D3550C">
        <w:rPr>
          <w:lang w:eastAsia="ru-RU"/>
        </w:rPr>
        <w:instrText xml:space="preserve">, </w:instrText>
      </w:r>
      <w:r w:rsidR="00A6794A">
        <w:rPr>
          <w:lang w:val="en-US" w:eastAsia="ru-RU"/>
        </w:rPr>
        <w:instrText>correct</w:instrText>
      </w:r>
      <w:r w:rsidR="00A6794A" w:rsidRPr="00D3550C">
        <w:rPr>
          <w:lang w:eastAsia="ru-RU"/>
        </w:rPr>
        <w:instrText xml:space="preserve"> </w:instrText>
      </w:r>
      <w:r w:rsidR="00A6794A">
        <w:rPr>
          <w:lang w:val="en-US" w:eastAsia="ru-RU"/>
        </w:rPr>
        <w:instrText>administration</w:instrText>
      </w:r>
      <w:r w:rsidR="00A6794A" w:rsidRPr="00D3550C">
        <w:rPr>
          <w:lang w:eastAsia="ru-RU"/>
        </w:rPr>
        <w:instrText xml:space="preserve"> </w:instrText>
      </w:r>
      <w:r w:rsidR="00A6794A">
        <w:rPr>
          <w:lang w:val="en-US" w:eastAsia="ru-RU"/>
        </w:rPr>
        <w:instrText>is</w:instrText>
      </w:r>
      <w:r w:rsidR="00A6794A" w:rsidRPr="00D3550C">
        <w:rPr>
          <w:lang w:eastAsia="ru-RU"/>
        </w:rPr>
        <w:instrText xml:space="preserve"> </w:instrText>
      </w:r>
      <w:r w:rsidR="00A6794A">
        <w:rPr>
          <w:lang w:val="en-US" w:eastAsia="ru-RU"/>
        </w:rPr>
        <w:instrText>needed</w:instrText>
      </w:r>
      <w:r w:rsidR="00A6794A" w:rsidRPr="00D3550C">
        <w:rPr>
          <w:lang w:eastAsia="ru-RU"/>
        </w:rPr>
        <w:instrText xml:space="preserve"> </w:instrText>
      </w:r>
      <w:r w:rsidR="00A6794A">
        <w:rPr>
          <w:lang w:val="en-US" w:eastAsia="ru-RU"/>
        </w:rPr>
        <w:instrText>to</w:instrText>
      </w:r>
      <w:r w:rsidR="00A6794A" w:rsidRPr="00D3550C">
        <w:rPr>
          <w:lang w:eastAsia="ru-RU"/>
        </w:rPr>
        <w:instrText xml:space="preserve"> </w:instrText>
      </w:r>
      <w:r w:rsidR="00A6794A">
        <w:rPr>
          <w:lang w:val="en-US" w:eastAsia="ru-RU"/>
        </w:rPr>
        <w:instrText>reduce</w:instrText>
      </w:r>
      <w:r w:rsidR="00A6794A" w:rsidRPr="00D3550C">
        <w:rPr>
          <w:lang w:eastAsia="ru-RU"/>
        </w:rPr>
        <w:instrText xml:space="preserve"> </w:instrText>
      </w:r>
      <w:r w:rsidR="00A6794A">
        <w:rPr>
          <w:lang w:val="en-US" w:eastAsia="ru-RU"/>
        </w:rPr>
        <w:instrText>administration</w:instrText>
      </w:r>
      <w:r w:rsidR="00A6794A" w:rsidRPr="00D3550C">
        <w:rPr>
          <w:lang w:eastAsia="ru-RU"/>
        </w:rPr>
        <w:instrText>-</w:instrText>
      </w:r>
      <w:r w:rsidR="00A6794A">
        <w:rPr>
          <w:lang w:val="en-US" w:eastAsia="ru-RU"/>
        </w:rPr>
        <w:instrText>related</w:instrText>
      </w:r>
      <w:r w:rsidR="00A6794A" w:rsidRPr="00D3550C">
        <w:rPr>
          <w:lang w:eastAsia="ru-RU"/>
        </w:rPr>
        <w:instrText xml:space="preserve"> </w:instrText>
      </w:r>
      <w:r w:rsidR="00A6794A">
        <w:rPr>
          <w:lang w:val="en-US" w:eastAsia="ru-RU"/>
        </w:rPr>
        <w:instrText>reactions</w:instrText>
      </w:r>
      <w:r w:rsidR="00A6794A" w:rsidRPr="00D3550C">
        <w:rPr>
          <w:lang w:eastAsia="ru-RU"/>
        </w:rPr>
        <w:instrText xml:space="preserve">. </w:instrText>
      </w:r>
      <w:r w:rsidR="00A6794A">
        <w:rPr>
          <w:lang w:val="en-US" w:eastAsia="ru-RU"/>
        </w:rPr>
        <w:instrText>By</w:instrText>
      </w:r>
      <w:r w:rsidR="00A6794A" w:rsidRPr="00D3550C">
        <w:rPr>
          <w:lang w:eastAsia="ru-RU"/>
        </w:rPr>
        <w:instrText xml:space="preserve"> </w:instrText>
      </w:r>
      <w:r w:rsidR="00A6794A">
        <w:rPr>
          <w:lang w:val="en-US" w:eastAsia="ru-RU"/>
        </w:rPr>
        <w:instrText>using</w:instrText>
      </w:r>
      <w:r w:rsidR="00A6794A" w:rsidRPr="00D3550C">
        <w:rPr>
          <w:lang w:eastAsia="ru-RU"/>
        </w:rPr>
        <w:instrText xml:space="preserve"> </w:instrText>
      </w:r>
      <w:r w:rsidR="00A6794A">
        <w:rPr>
          <w:lang w:val="en-US" w:eastAsia="ru-RU"/>
        </w:rPr>
        <w:instrText>a</w:instrText>
      </w:r>
      <w:r w:rsidR="00A6794A" w:rsidRPr="00D3550C">
        <w:rPr>
          <w:lang w:eastAsia="ru-RU"/>
        </w:rPr>
        <w:instrText xml:space="preserve"> </w:instrText>
      </w:r>
      <w:r w:rsidR="00A6794A">
        <w:rPr>
          <w:lang w:val="en-US" w:eastAsia="ru-RU"/>
        </w:rPr>
        <w:instrText>careful</w:instrText>
      </w:r>
      <w:r w:rsidR="00A6794A" w:rsidRPr="00D3550C">
        <w:rPr>
          <w:lang w:eastAsia="ru-RU"/>
        </w:rPr>
        <w:instrText xml:space="preserve"> </w:instrText>
      </w:r>
      <w:r w:rsidR="00A6794A">
        <w:rPr>
          <w:lang w:val="en-US" w:eastAsia="ru-RU"/>
        </w:rPr>
        <w:instrText>procedure</w:instrText>
      </w:r>
      <w:r w:rsidR="00A6794A" w:rsidRPr="00D3550C">
        <w:rPr>
          <w:lang w:eastAsia="ru-RU"/>
        </w:rPr>
        <w:instrText xml:space="preserve">, </w:instrText>
      </w:r>
      <w:r w:rsidR="00A6794A">
        <w:rPr>
          <w:lang w:val="en-US" w:eastAsia="ru-RU"/>
        </w:rPr>
        <w:instrText>the</w:instrText>
      </w:r>
      <w:r w:rsidR="00A6794A" w:rsidRPr="00D3550C">
        <w:rPr>
          <w:lang w:eastAsia="ru-RU"/>
        </w:rPr>
        <w:instrText xml:space="preserve"> </w:instrText>
      </w:r>
      <w:r w:rsidR="00A6794A">
        <w:rPr>
          <w:lang w:val="en-US" w:eastAsia="ru-RU"/>
        </w:rPr>
        <w:instrText>sc</w:instrText>
      </w:r>
      <w:r w:rsidR="00A6794A" w:rsidRPr="00D3550C">
        <w:rPr>
          <w:lang w:eastAsia="ru-RU"/>
        </w:rPr>
        <w:instrText xml:space="preserve"> </w:instrText>
      </w:r>
      <w:r w:rsidR="00A6794A">
        <w:rPr>
          <w:lang w:val="en-US" w:eastAsia="ru-RU"/>
        </w:rPr>
        <w:instrText>formulation</w:instrText>
      </w:r>
      <w:r w:rsidR="00A6794A" w:rsidRPr="00D3550C">
        <w:rPr>
          <w:lang w:eastAsia="ru-RU"/>
        </w:rPr>
        <w:instrText xml:space="preserve"> </w:instrText>
      </w:r>
      <w:r w:rsidR="00A6794A">
        <w:rPr>
          <w:lang w:val="en-US" w:eastAsia="ru-RU"/>
        </w:rPr>
        <w:instrText>can</w:instrText>
      </w:r>
      <w:r w:rsidR="00A6794A" w:rsidRPr="00D3550C">
        <w:rPr>
          <w:lang w:eastAsia="ru-RU"/>
        </w:rPr>
        <w:instrText xml:space="preserve"> </w:instrText>
      </w:r>
      <w:r w:rsidR="00A6794A">
        <w:rPr>
          <w:lang w:val="en-US" w:eastAsia="ru-RU"/>
        </w:rPr>
        <w:instrText>be</w:instrText>
      </w:r>
      <w:r w:rsidR="00A6794A" w:rsidRPr="00D3550C">
        <w:rPr>
          <w:lang w:eastAsia="ru-RU"/>
        </w:rPr>
        <w:instrText xml:space="preserve"> </w:instrText>
      </w:r>
      <w:r w:rsidR="00A6794A">
        <w:rPr>
          <w:lang w:val="en-US" w:eastAsia="ru-RU"/>
        </w:rPr>
        <w:instrText>given</w:instrText>
      </w:r>
      <w:r w:rsidR="00A6794A" w:rsidRPr="00D3550C">
        <w:rPr>
          <w:lang w:eastAsia="ru-RU"/>
        </w:rPr>
        <w:instrText xml:space="preserve"> </w:instrText>
      </w:r>
      <w:r w:rsidR="00A6794A">
        <w:rPr>
          <w:lang w:val="en-US" w:eastAsia="ru-RU"/>
        </w:rPr>
        <w:instrText>safely</w:instrText>
      </w:r>
      <w:r w:rsidR="00A6794A" w:rsidRPr="00D3550C">
        <w:rPr>
          <w:lang w:eastAsia="ru-RU"/>
        </w:rPr>
        <w:instrText xml:space="preserve"> </w:instrText>
      </w:r>
      <w:r w:rsidR="00A6794A">
        <w:rPr>
          <w:lang w:val="en-US" w:eastAsia="ru-RU"/>
        </w:rPr>
        <w:instrText>and</w:instrText>
      </w:r>
      <w:r w:rsidR="00A6794A" w:rsidRPr="00D3550C">
        <w:rPr>
          <w:lang w:eastAsia="ru-RU"/>
        </w:rPr>
        <w:instrText xml:space="preserve"> </w:instrText>
      </w:r>
      <w:r w:rsidR="00A6794A">
        <w:rPr>
          <w:lang w:val="en-US" w:eastAsia="ru-RU"/>
        </w:rPr>
        <w:instrText>effectively</w:instrText>
      </w:r>
      <w:r w:rsidR="00A6794A" w:rsidRPr="00D3550C">
        <w:rPr>
          <w:lang w:eastAsia="ru-RU"/>
        </w:rPr>
        <w:instrText xml:space="preserve">, </w:instrText>
      </w:r>
      <w:r w:rsidR="00A6794A">
        <w:rPr>
          <w:lang w:val="en-US" w:eastAsia="ru-RU"/>
        </w:rPr>
        <w:instrText>potentially</w:instrText>
      </w:r>
      <w:r w:rsidR="00A6794A" w:rsidRPr="00D3550C">
        <w:rPr>
          <w:lang w:eastAsia="ru-RU"/>
        </w:rPr>
        <w:instrText xml:space="preserve"> </w:instrText>
      </w:r>
      <w:r w:rsidR="00A6794A">
        <w:rPr>
          <w:lang w:val="en-US" w:eastAsia="ru-RU"/>
        </w:rPr>
        <w:instrText>reducing</w:instrText>
      </w:r>
      <w:r w:rsidR="00A6794A" w:rsidRPr="00D3550C">
        <w:rPr>
          <w:lang w:eastAsia="ru-RU"/>
        </w:rPr>
        <w:instrText xml:space="preserve"> </w:instrText>
      </w:r>
      <w:r w:rsidR="00A6794A">
        <w:rPr>
          <w:lang w:val="en-US" w:eastAsia="ru-RU"/>
        </w:rPr>
        <w:instrText>the</w:instrText>
      </w:r>
      <w:r w:rsidR="00A6794A" w:rsidRPr="00D3550C">
        <w:rPr>
          <w:lang w:eastAsia="ru-RU"/>
        </w:rPr>
        <w:instrText xml:space="preserve"> </w:instrText>
      </w:r>
      <w:r w:rsidR="00A6794A">
        <w:rPr>
          <w:lang w:val="en-US" w:eastAsia="ru-RU"/>
        </w:rPr>
        <w:instrText>burden</w:instrText>
      </w:r>
      <w:r w:rsidR="00A6794A" w:rsidRPr="00D3550C">
        <w:rPr>
          <w:lang w:eastAsia="ru-RU"/>
        </w:rPr>
        <w:instrText xml:space="preserve"> </w:instrText>
      </w:r>
      <w:r w:rsidR="00A6794A">
        <w:rPr>
          <w:lang w:val="en-US" w:eastAsia="ru-RU"/>
        </w:rPr>
        <w:instrText>on</w:instrText>
      </w:r>
      <w:r w:rsidR="00A6794A" w:rsidRPr="00D3550C">
        <w:rPr>
          <w:lang w:eastAsia="ru-RU"/>
        </w:rPr>
        <w:instrText xml:space="preserve"> </w:instrText>
      </w:r>
      <w:r w:rsidR="00A6794A">
        <w:rPr>
          <w:lang w:val="en-US" w:eastAsia="ru-RU"/>
        </w:rPr>
        <w:instrText>health</w:instrText>
      </w:r>
      <w:r w:rsidR="00A6794A" w:rsidRPr="00D3550C">
        <w:rPr>
          <w:lang w:eastAsia="ru-RU"/>
        </w:rPr>
        <w:instrText xml:space="preserve"> </w:instrText>
      </w:r>
      <w:r w:rsidR="00A6794A">
        <w:rPr>
          <w:lang w:val="en-US" w:eastAsia="ru-RU"/>
        </w:rPr>
        <w:instrText>care</w:instrText>
      </w:r>
      <w:r w:rsidR="00A6794A" w:rsidRPr="00D3550C">
        <w:rPr>
          <w:lang w:eastAsia="ru-RU"/>
        </w:rPr>
        <w:instrText xml:space="preserve"> </w:instrText>
      </w:r>
      <w:r w:rsidR="00A6794A">
        <w:rPr>
          <w:lang w:val="en-US" w:eastAsia="ru-RU"/>
        </w:rPr>
        <w:instrText>resources</w:instrText>
      </w:r>
      <w:r w:rsidR="00A6794A" w:rsidRPr="00D3550C">
        <w:rPr>
          <w:lang w:eastAsia="ru-RU"/>
        </w:rPr>
        <w:instrText xml:space="preserve"> </w:instrText>
      </w:r>
      <w:r w:rsidR="00A6794A">
        <w:rPr>
          <w:lang w:val="en-US" w:eastAsia="ru-RU"/>
        </w:rPr>
        <w:instrText>and</w:instrText>
      </w:r>
      <w:r w:rsidR="00A6794A" w:rsidRPr="00D3550C">
        <w:rPr>
          <w:lang w:eastAsia="ru-RU"/>
        </w:rPr>
        <w:instrText xml:space="preserve"> </w:instrText>
      </w:r>
      <w:r w:rsidR="00A6794A">
        <w:rPr>
          <w:lang w:val="en-US" w:eastAsia="ru-RU"/>
        </w:rPr>
        <w:instrText>improving</w:instrText>
      </w:r>
      <w:r w:rsidR="00A6794A" w:rsidRPr="00D3550C">
        <w:rPr>
          <w:lang w:eastAsia="ru-RU"/>
        </w:rPr>
        <w:instrText xml:space="preserve"> </w:instrText>
      </w:r>
      <w:r w:rsidR="00A6794A">
        <w:rPr>
          <w:lang w:val="en-US" w:eastAsia="ru-RU"/>
        </w:rPr>
        <w:instrText>quality</w:instrText>
      </w:r>
      <w:r w:rsidR="00A6794A" w:rsidRPr="00D3550C">
        <w:rPr>
          <w:lang w:eastAsia="ru-RU"/>
        </w:rPr>
        <w:instrText xml:space="preserve"> </w:instrText>
      </w:r>
      <w:r w:rsidR="00A6794A">
        <w:rPr>
          <w:lang w:val="en-US" w:eastAsia="ru-RU"/>
        </w:rPr>
        <w:instrText>of</w:instrText>
      </w:r>
      <w:r w:rsidR="00A6794A" w:rsidRPr="00D3550C">
        <w:rPr>
          <w:lang w:eastAsia="ru-RU"/>
        </w:rPr>
        <w:instrText xml:space="preserve"> </w:instrText>
      </w:r>
      <w:r w:rsidR="00A6794A">
        <w:rPr>
          <w:lang w:val="en-US" w:eastAsia="ru-RU"/>
        </w:rPr>
        <w:instrText>life</w:instrText>
      </w:r>
      <w:r w:rsidR="00A6794A" w:rsidRPr="00D3550C">
        <w:rPr>
          <w:lang w:eastAsia="ru-RU"/>
        </w:rPr>
        <w:instrText xml:space="preserve"> </w:instrText>
      </w:r>
      <w:r w:rsidR="00A6794A">
        <w:rPr>
          <w:lang w:val="en-US" w:eastAsia="ru-RU"/>
        </w:rPr>
        <w:instrText>for</w:instrText>
      </w:r>
      <w:r w:rsidR="00A6794A" w:rsidRPr="00D3550C">
        <w:rPr>
          <w:lang w:eastAsia="ru-RU"/>
        </w:rPr>
        <w:instrText xml:space="preserve"> </w:instrText>
      </w:r>
      <w:r w:rsidR="00A6794A">
        <w:rPr>
          <w:lang w:val="en-US" w:eastAsia="ru-RU"/>
        </w:rPr>
        <w:instrText>patients</w:instrText>
      </w:r>
      <w:r w:rsidR="00A6794A" w:rsidRPr="00D3550C">
        <w:rPr>
          <w:lang w:eastAsia="ru-RU"/>
        </w:rPr>
        <w:instrText>.","</w:instrText>
      </w:r>
      <w:r w:rsidR="00A6794A">
        <w:rPr>
          <w:lang w:val="en-US" w:eastAsia="ru-RU"/>
        </w:rPr>
        <w:instrText>author</w:instrText>
      </w:r>
      <w:r w:rsidR="00A6794A" w:rsidRPr="00D3550C">
        <w:rPr>
          <w:lang w:eastAsia="ru-RU"/>
        </w:rPr>
        <w:instrText>":[{"</w:instrText>
      </w:r>
      <w:r w:rsidR="00A6794A">
        <w:rPr>
          <w:lang w:val="en-US" w:eastAsia="ru-RU"/>
        </w:rPr>
        <w:instrText>dropping</w:instrText>
      </w:r>
      <w:r w:rsidR="00A6794A" w:rsidRPr="00D3550C">
        <w:rPr>
          <w:lang w:eastAsia="ru-RU"/>
        </w:rPr>
        <w:instrText>-</w:instrText>
      </w:r>
      <w:r w:rsidR="00A6794A">
        <w:rPr>
          <w:lang w:val="en-US" w:eastAsia="ru-RU"/>
        </w:rPr>
        <w:instrText>particle</w:instrText>
      </w:r>
      <w:r w:rsidR="00A6794A" w:rsidRPr="00D3550C">
        <w:rPr>
          <w:lang w:eastAsia="ru-RU"/>
        </w:rPr>
        <w:instrText>":"","</w:instrText>
      </w:r>
      <w:r w:rsidR="00A6794A">
        <w:rPr>
          <w:lang w:val="en-US" w:eastAsia="ru-RU"/>
        </w:rPr>
        <w:instrText>family</w:instrText>
      </w:r>
      <w:r w:rsidR="00A6794A" w:rsidRPr="00D3550C">
        <w:rPr>
          <w:lang w:eastAsia="ru-RU"/>
        </w:rPr>
        <w:instrText>":"</w:instrText>
      </w:r>
      <w:r w:rsidR="00A6794A">
        <w:rPr>
          <w:lang w:val="en-US" w:eastAsia="ru-RU"/>
        </w:rPr>
        <w:instrText>Macdonald</w:instrText>
      </w:r>
      <w:r w:rsidR="00A6794A" w:rsidRPr="00D3550C">
        <w:rPr>
          <w:lang w:eastAsia="ru-RU"/>
        </w:rPr>
        <w:instrText>","</w:instrText>
      </w:r>
      <w:r w:rsidR="00A6794A">
        <w:rPr>
          <w:lang w:val="en-US" w:eastAsia="ru-RU"/>
        </w:rPr>
        <w:instrText>given</w:instrText>
      </w:r>
      <w:r w:rsidR="00A6794A" w:rsidRPr="00D3550C">
        <w:rPr>
          <w:lang w:eastAsia="ru-RU"/>
        </w:rPr>
        <w:instrText>":"</w:instrText>
      </w:r>
      <w:r w:rsidR="00A6794A">
        <w:rPr>
          <w:lang w:val="en-US" w:eastAsia="ru-RU"/>
        </w:rPr>
        <w:instrText>David</w:instrText>
      </w:r>
      <w:r w:rsidR="00A6794A" w:rsidRPr="00D3550C">
        <w:rPr>
          <w:lang w:eastAsia="ru-RU"/>
        </w:rPr>
        <w:instrText>","</w:instrText>
      </w:r>
      <w:r w:rsidR="00A6794A">
        <w:rPr>
          <w:lang w:val="en-US" w:eastAsia="ru-RU"/>
        </w:rPr>
        <w:instrText>non</w:instrText>
      </w:r>
      <w:r w:rsidR="00A6794A" w:rsidRPr="00D3550C">
        <w:rPr>
          <w:lang w:eastAsia="ru-RU"/>
        </w:rPr>
        <w:instrText>-</w:instrText>
      </w:r>
      <w:r w:rsidR="00A6794A">
        <w:rPr>
          <w:lang w:val="en-US" w:eastAsia="ru-RU"/>
        </w:rPr>
        <w:instrText>dropping</w:instrText>
      </w:r>
      <w:r w:rsidR="00A6794A" w:rsidRPr="00D3550C">
        <w:rPr>
          <w:lang w:eastAsia="ru-RU"/>
        </w:rPr>
        <w:instrText>-</w:instrText>
      </w:r>
      <w:r w:rsidR="00A6794A">
        <w:rPr>
          <w:lang w:val="en-US" w:eastAsia="ru-RU"/>
        </w:rPr>
        <w:instrText>particle</w:instrText>
      </w:r>
      <w:r w:rsidR="00A6794A" w:rsidRPr="00D3550C">
        <w:rPr>
          <w:lang w:eastAsia="ru-RU"/>
        </w:rPr>
        <w:instrText>":"","</w:instrText>
      </w:r>
      <w:r w:rsidR="00A6794A">
        <w:rPr>
          <w:lang w:val="en-US" w:eastAsia="ru-RU"/>
        </w:rPr>
        <w:instrText>parse</w:instrText>
      </w:r>
      <w:r w:rsidR="00A6794A" w:rsidRPr="00D3550C">
        <w:rPr>
          <w:lang w:eastAsia="ru-RU"/>
        </w:rPr>
        <w:instrText>-</w:instrText>
      </w:r>
      <w:r w:rsidR="00A6794A">
        <w:rPr>
          <w:lang w:val="en-US" w:eastAsia="ru-RU"/>
        </w:rPr>
        <w:instrText>names</w:instrText>
      </w:r>
      <w:r w:rsidR="00A6794A" w:rsidRPr="00D3550C">
        <w:rPr>
          <w:lang w:eastAsia="ru-RU"/>
        </w:rPr>
        <w:instrText>":</w:instrText>
      </w:r>
      <w:r w:rsidR="00A6794A">
        <w:rPr>
          <w:lang w:val="en-US" w:eastAsia="ru-RU"/>
        </w:rPr>
        <w:instrText>false</w:instrText>
      </w:r>
      <w:r w:rsidR="00A6794A" w:rsidRPr="00D3550C">
        <w:rPr>
          <w:lang w:eastAsia="ru-RU"/>
        </w:rPr>
        <w:instrText>,"</w:instrText>
      </w:r>
      <w:r w:rsidR="00A6794A">
        <w:rPr>
          <w:lang w:val="en-US" w:eastAsia="ru-RU"/>
        </w:rPr>
        <w:instrText>suffix</w:instrText>
      </w:r>
      <w:r w:rsidR="00A6794A" w:rsidRPr="00D3550C">
        <w:rPr>
          <w:lang w:eastAsia="ru-RU"/>
        </w:rPr>
        <w:instrText>":""},{"</w:instrText>
      </w:r>
      <w:r w:rsidR="00A6794A">
        <w:rPr>
          <w:lang w:val="en-US" w:eastAsia="ru-RU"/>
        </w:rPr>
        <w:instrText>dropping</w:instrText>
      </w:r>
      <w:r w:rsidR="00A6794A" w:rsidRPr="00D3550C">
        <w:rPr>
          <w:lang w:eastAsia="ru-RU"/>
        </w:rPr>
        <w:instrText>-</w:instrText>
      </w:r>
      <w:r w:rsidR="00A6794A">
        <w:rPr>
          <w:lang w:val="en-US" w:eastAsia="ru-RU"/>
        </w:rPr>
        <w:instrText>particle</w:instrText>
      </w:r>
      <w:r w:rsidR="00A6794A" w:rsidRPr="00D3550C">
        <w:rPr>
          <w:lang w:eastAsia="ru-RU"/>
        </w:rPr>
        <w:instrText>":"","</w:instrText>
      </w:r>
      <w:r w:rsidR="00A6794A">
        <w:rPr>
          <w:lang w:val="en-US" w:eastAsia="ru-RU"/>
        </w:rPr>
        <w:instrText>family</w:instrText>
      </w:r>
      <w:r w:rsidR="00A6794A" w:rsidRPr="00D3550C">
        <w:rPr>
          <w:lang w:eastAsia="ru-RU"/>
        </w:rPr>
        <w:instrText>":"</w:instrText>
      </w:r>
      <w:r w:rsidR="00A6794A">
        <w:rPr>
          <w:lang w:val="en-US" w:eastAsia="ru-RU"/>
        </w:rPr>
        <w:instrText>Crosbie</w:instrText>
      </w:r>
      <w:r w:rsidR="00A6794A" w:rsidRPr="00D3550C">
        <w:rPr>
          <w:lang w:eastAsia="ru-RU"/>
        </w:rPr>
        <w:instrText>","</w:instrText>
      </w:r>
      <w:r w:rsidR="00A6794A">
        <w:rPr>
          <w:lang w:val="en-US" w:eastAsia="ru-RU"/>
        </w:rPr>
        <w:instrText>given</w:instrText>
      </w:r>
      <w:r w:rsidR="00A6794A" w:rsidRPr="00D3550C">
        <w:rPr>
          <w:lang w:eastAsia="ru-RU"/>
        </w:rPr>
        <w:instrText>":"</w:instrText>
      </w:r>
      <w:r w:rsidR="00A6794A">
        <w:rPr>
          <w:lang w:val="en-US" w:eastAsia="ru-RU"/>
        </w:rPr>
        <w:instrText>T</w:instrText>
      </w:r>
      <w:r w:rsidR="00A6794A" w:rsidRPr="00D3550C">
        <w:rPr>
          <w:lang w:eastAsia="ru-RU"/>
        </w:rPr>
        <w:instrText>.","</w:instrText>
      </w:r>
      <w:r w:rsidR="00A6794A">
        <w:rPr>
          <w:lang w:val="en-US" w:eastAsia="ru-RU"/>
        </w:rPr>
        <w:instrText>non</w:instrText>
      </w:r>
      <w:r w:rsidR="00A6794A" w:rsidRPr="00D3550C">
        <w:rPr>
          <w:lang w:eastAsia="ru-RU"/>
        </w:rPr>
        <w:instrText>-</w:instrText>
      </w:r>
      <w:r w:rsidR="00A6794A">
        <w:rPr>
          <w:lang w:val="en-US" w:eastAsia="ru-RU"/>
        </w:rPr>
        <w:instrText>dropping</w:instrText>
      </w:r>
      <w:r w:rsidR="00A6794A" w:rsidRPr="00D3550C">
        <w:rPr>
          <w:lang w:eastAsia="ru-RU"/>
        </w:rPr>
        <w:instrText>-</w:instrText>
      </w:r>
      <w:r w:rsidR="00A6794A">
        <w:rPr>
          <w:lang w:val="en-US" w:eastAsia="ru-RU"/>
        </w:rPr>
        <w:instrText>particle</w:instrText>
      </w:r>
      <w:r w:rsidR="00A6794A" w:rsidRPr="00D3550C">
        <w:rPr>
          <w:lang w:eastAsia="ru-RU"/>
        </w:rPr>
        <w:instrText>":"","</w:instrText>
      </w:r>
      <w:r w:rsidR="00A6794A">
        <w:rPr>
          <w:lang w:val="en-US" w:eastAsia="ru-RU"/>
        </w:rPr>
        <w:instrText>parse</w:instrText>
      </w:r>
      <w:r w:rsidR="00A6794A" w:rsidRPr="00D3550C">
        <w:rPr>
          <w:lang w:eastAsia="ru-RU"/>
        </w:rPr>
        <w:instrText>-</w:instrText>
      </w:r>
      <w:r w:rsidR="00A6794A">
        <w:rPr>
          <w:lang w:val="en-US" w:eastAsia="ru-RU"/>
        </w:rPr>
        <w:instrText>names</w:instrText>
      </w:r>
      <w:r w:rsidR="00A6794A" w:rsidRPr="00D3550C">
        <w:rPr>
          <w:lang w:eastAsia="ru-RU"/>
        </w:rPr>
        <w:instrText>":</w:instrText>
      </w:r>
      <w:r w:rsidR="00A6794A">
        <w:rPr>
          <w:lang w:val="en-US" w:eastAsia="ru-RU"/>
        </w:rPr>
        <w:instrText>false</w:instrText>
      </w:r>
      <w:r w:rsidR="00A6794A" w:rsidRPr="00D3550C">
        <w:rPr>
          <w:lang w:eastAsia="ru-RU"/>
        </w:rPr>
        <w:instrText>,"</w:instrText>
      </w:r>
      <w:r w:rsidR="00A6794A">
        <w:rPr>
          <w:lang w:val="en-US" w:eastAsia="ru-RU"/>
        </w:rPr>
        <w:instrText>suffix</w:instrText>
      </w:r>
      <w:r w:rsidR="00A6794A" w:rsidRPr="00D3550C">
        <w:rPr>
          <w:lang w:eastAsia="ru-RU"/>
        </w:rPr>
        <w:instrText>":""},{"</w:instrText>
      </w:r>
      <w:r w:rsidR="00A6794A">
        <w:rPr>
          <w:lang w:val="en-US" w:eastAsia="ru-RU"/>
        </w:rPr>
        <w:instrText>dropping</w:instrText>
      </w:r>
      <w:r w:rsidR="00A6794A" w:rsidRPr="00D3550C">
        <w:rPr>
          <w:lang w:eastAsia="ru-RU"/>
        </w:rPr>
        <w:instrText>-</w:instrText>
      </w:r>
      <w:r w:rsidR="00A6794A">
        <w:rPr>
          <w:lang w:val="en-US" w:eastAsia="ru-RU"/>
        </w:rPr>
        <w:instrText>particle</w:instrText>
      </w:r>
      <w:r w:rsidR="00A6794A" w:rsidRPr="00D3550C">
        <w:rPr>
          <w:lang w:eastAsia="ru-RU"/>
        </w:rPr>
        <w:instrText>":"","</w:instrText>
      </w:r>
      <w:r w:rsidR="00A6794A">
        <w:rPr>
          <w:lang w:val="en-US" w:eastAsia="ru-RU"/>
        </w:rPr>
        <w:instrText>family</w:instrText>
      </w:r>
      <w:r w:rsidR="00A6794A" w:rsidRPr="00D3550C">
        <w:rPr>
          <w:lang w:eastAsia="ru-RU"/>
        </w:rPr>
        <w:instrText>":"</w:instrText>
      </w:r>
      <w:r w:rsidR="00A6794A">
        <w:rPr>
          <w:lang w:val="en-US" w:eastAsia="ru-RU"/>
        </w:rPr>
        <w:instrText>Christofides</w:instrText>
      </w:r>
      <w:r w:rsidR="00A6794A" w:rsidRPr="00D3550C">
        <w:rPr>
          <w:lang w:eastAsia="ru-RU"/>
        </w:rPr>
        <w:instrText>","</w:instrText>
      </w:r>
      <w:r w:rsidR="00A6794A">
        <w:rPr>
          <w:lang w:val="en-US" w:eastAsia="ru-RU"/>
        </w:rPr>
        <w:instrText>given</w:instrText>
      </w:r>
      <w:r w:rsidR="00A6794A" w:rsidRPr="00D3550C">
        <w:rPr>
          <w:lang w:eastAsia="ru-RU"/>
        </w:rPr>
        <w:instrText>":"</w:instrText>
      </w:r>
      <w:r w:rsidR="00A6794A">
        <w:rPr>
          <w:lang w:val="en-US" w:eastAsia="ru-RU"/>
        </w:rPr>
        <w:instrText>A</w:instrText>
      </w:r>
      <w:r w:rsidR="00A6794A" w:rsidRPr="00D3550C">
        <w:rPr>
          <w:lang w:eastAsia="ru-RU"/>
        </w:rPr>
        <w:instrText>.","</w:instrText>
      </w:r>
      <w:r w:rsidR="00A6794A">
        <w:rPr>
          <w:lang w:val="en-US" w:eastAsia="ru-RU"/>
        </w:rPr>
        <w:instrText>non</w:instrText>
      </w:r>
      <w:r w:rsidR="00A6794A" w:rsidRPr="00D3550C">
        <w:rPr>
          <w:lang w:eastAsia="ru-RU"/>
        </w:rPr>
        <w:instrText>-</w:instrText>
      </w:r>
      <w:r w:rsidR="00A6794A">
        <w:rPr>
          <w:lang w:val="en-US" w:eastAsia="ru-RU"/>
        </w:rPr>
        <w:instrText>dropping</w:instrText>
      </w:r>
      <w:r w:rsidR="00A6794A" w:rsidRPr="00D3550C">
        <w:rPr>
          <w:lang w:eastAsia="ru-RU"/>
        </w:rPr>
        <w:instrText>-</w:instrText>
      </w:r>
      <w:r w:rsidR="00A6794A">
        <w:rPr>
          <w:lang w:val="en-US" w:eastAsia="ru-RU"/>
        </w:rPr>
        <w:instrText>particle</w:instrText>
      </w:r>
      <w:r w:rsidR="00A6794A" w:rsidRPr="00D3550C">
        <w:rPr>
          <w:lang w:eastAsia="ru-RU"/>
        </w:rPr>
        <w:instrText>":"","</w:instrText>
      </w:r>
      <w:r w:rsidR="00A6794A">
        <w:rPr>
          <w:lang w:val="en-US" w:eastAsia="ru-RU"/>
        </w:rPr>
        <w:instrText>parse</w:instrText>
      </w:r>
      <w:r w:rsidR="00A6794A" w:rsidRPr="00D3550C">
        <w:rPr>
          <w:lang w:eastAsia="ru-RU"/>
        </w:rPr>
        <w:instrText>-</w:instrText>
      </w:r>
      <w:r w:rsidR="00A6794A">
        <w:rPr>
          <w:lang w:val="en-US" w:eastAsia="ru-RU"/>
        </w:rPr>
        <w:instrText>names</w:instrText>
      </w:r>
      <w:r w:rsidR="00A6794A" w:rsidRPr="00D3550C">
        <w:rPr>
          <w:lang w:eastAsia="ru-RU"/>
        </w:rPr>
        <w:instrText>":</w:instrText>
      </w:r>
      <w:r w:rsidR="00A6794A">
        <w:rPr>
          <w:lang w:val="en-US" w:eastAsia="ru-RU"/>
        </w:rPr>
        <w:instrText>false</w:instrText>
      </w:r>
      <w:r w:rsidR="00A6794A" w:rsidRPr="00D3550C">
        <w:rPr>
          <w:lang w:eastAsia="ru-RU"/>
        </w:rPr>
        <w:instrText>,"</w:instrText>
      </w:r>
      <w:r w:rsidR="00A6794A">
        <w:rPr>
          <w:lang w:val="en-US" w:eastAsia="ru-RU"/>
        </w:rPr>
        <w:instrText>suffix</w:instrText>
      </w:r>
      <w:r w:rsidR="00A6794A" w:rsidRPr="00D3550C">
        <w:rPr>
          <w:lang w:eastAsia="ru-RU"/>
        </w:rPr>
        <w:instrText>":""},{"</w:instrText>
      </w:r>
      <w:r w:rsidR="00A6794A">
        <w:rPr>
          <w:lang w:val="en-US" w:eastAsia="ru-RU"/>
        </w:rPr>
        <w:instrText>dropping</w:instrText>
      </w:r>
      <w:r w:rsidR="00A6794A" w:rsidRPr="00D3550C">
        <w:rPr>
          <w:lang w:eastAsia="ru-RU"/>
        </w:rPr>
        <w:instrText>-</w:instrText>
      </w:r>
      <w:r w:rsidR="00A6794A">
        <w:rPr>
          <w:lang w:val="en-US" w:eastAsia="ru-RU"/>
        </w:rPr>
        <w:instrText>particle</w:instrText>
      </w:r>
      <w:r w:rsidR="00A6794A" w:rsidRPr="00D3550C">
        <w:rPr>
          <w:lang w:eastAsia="ru-RU"/>
        </w:rPr>
        <w:instrText>":"","</w:instrText>
      </w:r>
      <w:r w:rsidR="00A6794A">
        <w:rPr>
          <w:lang w:val="en-US" w:eastAsia="ru-RU"/>
        </w:rPr>
        <w:instrText>family</w:instrText>
      </w:r>
      <w:r w:rsidR="00A6794A" w:rsidRPr="00D3550C">
        <w:rPr>
          <w:lang w:eastAsia="ru-RU"/>
        </w:rPr>
        <w:instrText>":"</w:instrText>
      </w:r>
      <w:r w:rsidR="00A6794A">
        <w:rPr>
          <w:lang w:val="en-US" w:eastAsia="ru-RU"/>
        </w:rPr>
        <w:instrText>Assaily</w:instrText>
      </w:r>
      <w:r w:rsidR="00A6794A" w:rsidRPr="00D3550C">
        <w:rPr>
          <w:lang w:eastAsia="ru-RU"/>
        </w:rPr>
        <w:instrText>","</w:instrText>
      </w:r>
      <w:r w:rsidR="00A6794A">
        <w:rPr>
          <w:lang w:val="en-US" w:eastAsia="ru-RU"/>
        </w:rPr>
        <w:instrText>given</w:instrText>
      </w:r>
      <w:r w:rsidR="00A6794A" w:rsidRPr="00D3550C">
        <w:rPr>
          <w:lang w:eastAsia="ru-RU"/>
        </w:rPr>
        <w:instrText>":"</w:instrText>
      </w:r>
      <w:r w:rsidR="00A6794A">
        <w:rPr>
          <w:lang w:val="en-US" w:eastAsia="ru-RU"/>
        </w:rPr>
        <w:instrText>W</w:instrText>
      </w:r>
      <w:r w:rsidR="00A6794A" w:rsidRPr="00D3550C">
        <w:rPr>
          <w:lang w:eastAsia="ru-RU"/>
        </w:rPr>
        <w:instrText>.","</w:instrText>
      </w:r>
      <w:r w:rsidR="00A6794A">
        <w:rPr>
          <w:lang w:val="en-US" w:eastAsia="ru-RU"/>
        </w:rPr>
        <w:instrText>non</w:instrText>
      </w:r>
      <w:r w:rsidR="00A6794A" w:rsidRPr="00D3550C">
        <w:rPr>
          <w:lang w:eastAsia="ru-RU"/>
        </w:rPr>
        <w:instrText>-</w:instrText>
      </w:r>
      <w:r w:rsidR="00A6794A">
        <w:rPr>
          <w:lang w:val="en-US" w:eastAsia="ru-RU"/>
        </w:rPr>
        <w:instrText>dropping</w:instrText>
      </w:r>
      <w:r w:rsidR="00A6794A" w:rsidRPr="00D3550C">
        <w:rPr>
          <w:lang w:eastAsia="ru-RU"/>
        </w:rPr>
        <w:instrText>-</w:instrText>
      </w:r>
      <w:r w:rsidR="00A6794A">
        <w:rPr>
          <w:lang w:val="en-US" w:eastAsia="ru-RU"/>
        </w:rPr>
        <w:instrText>particle</w:instrText>
      </w:r>
      <w:r w:rsidR="00A6794A" w:rsidRPr="00D3550C">
        <w:rPr>
          <w:lang w:eastAsia="ru-RU"/>
        </w:rPr>
        <w:instrText>":"","</w:instrText>
      </w:r>
      <w:r w:rsidR="00A6794A">
        <w:rPr>
          <w:lang w:val="en-US" w:eastAsia="ru-RU"/>
        </w:rPr>
        <w:instrText>parse</w:instrText>
      </w:r>
      <w:r w:rsidR="00A6794A" w:rsidRPr="00D3550C">
        <w:rPr>
          <w:lang w:eastAsia="ru-RU"/>
        </w:rPr>
        <w:instrText>-</w:instrText>
      </w:r>
      <w:r w:rsidR="00A6794A">
        <w:rPr>
          <w:lang w:val="en-US" w:eastAsia="ru-RU"/>
        </w:rPr>
        <w:instrText>names</w:instrText>
      </w:r>
      <w:r w:rsidR="00A6794A" w:rsidRPr="00D3550C">
        <w:rPr>
          <w:lang w:eastAsia="ru-RU"/>
        </w:rPr>
        <w:instrText>":</w:instrText>
      </w:r>
      <w:r w:rsidR="00A6794A">
        <w:rPr>
          <w:lang w:val="en-US" w:eastAsia="ru-RU"/>
        </w:rPr>
        <w:instrText>false</w:instrText>
      </w:r>
      <w:r w:rsidR="00A6794A" w:rsidRPr="00D3550C">
        <w:rPr>
          <w:lang w:eastAsia="ru-RU"/>
        </w:rPr>
        <w:instrText>,"</w:instrText>
      </w:r>
      <w:r w:rsidR="00A6794A">
        <w:rPr>
          <w:lang w:val="en-US" w:eastAsia="ru-RU"/>
        </w:rPr>
        <w:instrText>suffix</w:instrText>
      </w:r>
      <w:r w:rsidR="00A6794A" w:rsidRPr="00D3550C">
        <w:rPr>
          <w:lang w:eastAsia="ru-RU"/>
        </w:rPr>
        <w:instrText>":""},{"</w:instrText>
      </w:r>
      <w:r w:rsidR="00A6794A">
        <w:rPr>
          <w:lang w:val="en-US" w:eastAsia="ru-RU"/>
        </w:rPr>
        <w:instrText>dropping</w:instrText>
      </w:r>
      <w:r w:rsidR="00A6794A" w:rsidRPr="00D3550C">
        <w:rPr>
          <w:lang w:eastAsia="ru-RU"/>
        </w:rPr>
        <w:instrText>-</w:instrText>
      </w:r>
      <w:r w:rsidR="00A6794A">
        <w:rPr>
          <w:lang w:val="en-US" w:eastAsia="ru-RU"/>
        </w:rPr>
        <w:instrText>particle</w:instrText>
      </w:r>
      <w:r w:rsidR="00A6794A" w:rsidRPr="00D3550C">
        <w:rPr>
          <w:lang w:eastAsia="ru-RU"/>
        </w:rPr>
        <w:instrText>":"","</w:instrText>
      </w:r>
      <w:r w:rsidR="00A6794A">
        <w:rPr>
          <w:lang w:val="en-US" w:eastAsia="ru-RU"/>
        </w:rPr>
        <w:instrText>family</w:instrText>
      </w:r>
      <w:r w:rsidR="00A6794A" w:rsidRPr="00D3550C">
        <w:rPr>
          <w:lang w:eastAsia="ru-RU"/>
        </w:rPr>
        <w:instrText>":"</w:instrText>
      </w:r>
      <w:r w:rsidR="00A6794A">
        <w:rPr>
          <w:lang w:val="en-US" w:eastAsia="ru-RU"/>
        </w:rPr>
        <w:instrText>Wiernikowski</w:instrText>
      </w:r>
      <w:r w:rsidR="00A6794A" w:rsidRPr="00D3550C">
        <w:rPr>
          <w:lang w:eastAsia="ru-RU"/>
        </w:rPr>
        <w:instrText>","</w:instrText>
      </w:r>
      <w:r w:rsidR="00A6794A">
        <w:rPr>
          <w:lang w:val="en-US" w:eastAsia="ru-RU"/>
        </w:rPr>
        <w:instrText>given</w:instrText>
      </w:r>
      <w:r w:rsidR="00A6794A" w:rsidRPr="00D3550C">
        <w:rPr>
          <w:lang w:eastAsia="ru-RU"/>
        </w:rPr>
        <w:instrText>":"</w:instrText>
      </w:r>
      <w:r w:rsidR="00A6794A">
        <w:rPr>
          <w:lang w:val="en-US" w:eastAsia="ru-RU"/>
        </w:rPr>
        <w:instrText>J</w:instrText>
      </w:r>
      <w:r w:rsidR="00A6794A" w:rsidRPr="00D3550C">
        <w:rPr>
          <w:lang w:eastAsia="ru-RU"/>
        </w:rPr>
        <w:instrText>.","</w:instrText>
      </w:r>
      <w:r w:rsidR="00A6794A">
        <w:rPr>
          <w:lang w:val="en-US" w:eastAsia="ru-RU"/>
        </w:rPr>
        <w:instrText>non</w:instrText>
      </w:r>
      <w:r w:rsidR="00A6794A" w:rsidRPr="00D3550C">
        <w:rPr>
          <w:lang w:eastAsia="ru-RU"/>
        </w:rPr>
        <w:instrText>-</w:instrText>
      </w:r>
      <w:r w:rsidR="00A6794A">
        <w:rPr>
          <w:lang w:val="en-US" w:eastAsia="ru-RU"/>
        </w:rPr>
        <w:instrText>dropping</w:instrText>
      </w:r>
      <w:r w:rsidR="00A6794A" w:rsidRPr="00D3550C">
        <w:rPr>
          <w:lang w:eastAsia="ru-RU"/>
        </w:rPr>
        <w:instrText>-</w:instrText>
      </w:r>
      <w:r w:rsidR="00A6794A">
        <w:rPr>
          <w:lang w:val="en-US" w:eastAsia="ru-RU"/>
        </w:rPr>
        <w:instrText>particle</w:instrText>
      </w:r>
      <w:r w:rsidR="00A6794A" w:rsidRPr="00D3550C">
        <w:rPr>
          <w:lang w:eastAsia="ru-RU"/>
        </w:rPr>
        <w:instrText>":"","</w:instrText>
      </w:r>
      <w:r w:rsidR="00A6794A">
        <w:rPr>
          <w:lang w:val="en-US" w:eastAsia="ru-RU"/>
        </w:rPr>
        <w:instrText>parse</w:instrText>
      </w:r>
      <w:r w:rsidR="00A6794A" w:rsidRPr="00D3550C">
        <w:rPr>
          <w:lang w:eastAsia="ru-RU"/>
        </w:rPr>
        <w:instrText>-</w:instrText>
      </w:r>
      <w:r w:rsidR="00A6794A">
        <w:rPr>
          <w:lang w:val="en-US" w:eastAsia="ru-RU"/>
        </w:rPr>
        <w:instrText>names</w:instrText>
      </w:r>
      <w:r w:rsidR="00A6794A" w:rsidRPr="00D3550C">
        <w:rPr>
          <w:lang w:eastAsia="ru-RU"/>
        </w:rPr>
        <w:instrText>":</w:instrText>
      </w:r>
      <w:r w:rsidR="00A6794A">
        <w:rPr>
          <w:lang w:val="en-US" w:eastAsia="ru-RU"/>
        </w:rPr>
        <w:instrText>false</w:instrText>
      </w:r>
      <w:r w:rsidR="00A6794A" w:rsidRPr="00D3550C">
        <w:rPr>
          <w:lang w:eastAsia="ru-RU"/>
        </w:rPr>
        <w:instrText>,"</w:instrText>
      </w:r>
      <w:r w:rsidR="00A6794A">
        <w:rPr>
          <w:lang w:val="en-US" w:eastAsia="ru-RU"/>
        </w:rPr>
        <w:instrText>suffix</w:instrText>
      </w:r>
      <w:r w:rsidR="00A6794A" w:rsidRPr="00D3550C">
        <w:rPr>
          <w:lang w:eastAsia="ru-RU"/>
        </w:rPr>
        <w:instrText>":""}],"</w:instrText>
      </w:r>
      <w:r w:rsidR="00A6794A">
        <w:rPr>
          <w:lang w:val="en-US" w:eastAsia="ru-RU"/>
        </w:rPr>
        <w:instrText>container</w:instrText>
      </w:r>
      <w:r w:rsidR="00A6794A" w:rsidRPr="00D3550C">
        <w:rPr>
          <w:lang w:eastAsia="ru-RU"/>
        </w:rPr>
        <w:instrText>-</w:instrText>
      </w:r>
      <w:r w:rsidR="00A6794A">
        <w:rPr>
          <w:lang w:val="en-US" w:eastAsia="ru-RU"/>
        </w:rPr>
        <w:instrText>title</w:instrText>
      </w:r>
      <w:r w:rsidR="00A6794A" w:rsidRPr="00D3550C">
        <w:rPr>
          <w:lang w:eastAsia="ru-RU"/>
        </w:rPr>
        <w:instrText>":"</w:instrText>
      </w:r>
      <w:r w:rsidR="00A6794A">
        <w:rPr>
          <w:lang w:val="en-US" w:eastAsia="ru-RU"/>
        </w:rPr>
        <w:instrText>Current</w:instrText>
      </w:r>
      <w:r w:rsidR="00A6794A" w:rsidRPr="00D3550C">
        <w:rPr>
          <w:lang w:eastAsia="ru-RU"/>
        </w:rPr>
        <w:instrText xml:space="preserve"> </w:instrText>
      </w:r>
      <w:r w:rsidR="00A6794A">
        <w:rPr>
          <w:lang w:val="en-US" w:eastAsia="ru-RU"/>
        </w:rPr>
        <w:instrText>Oncology</w:instrText>
      </w:r>
      <w:r w:rsidR="00A6794A" w:rsidRPr="00D3550C">
        <w:rPr>
          <w:lang w:eastAsia="ru-RU"/>
        </w:rPr>
        <w:instrText>","</w:instrText>
      </w:r>
      <w:r w:rsidR="00A6794A">
        <w:rPr>
          <w:lang w:val="en-US" w:eastAsia="ru-RU"/>
        </w:rPr>
        <w:instrText>id</w:instrText>
      </w:r>
      <w:r w:rsidR="00A6794A" w:rsidRPr="00D3550C">
        <w:rPr>
          <w:lang w:eastAsia="ru-RU"/>
        </w:rPr>
        <w:instrText>":"</w:instrText>
      </w:r>
      <w:r w:rsidR="00A6794A">
        <w:rPr>
          <w:lang w:val="en-US" w:eastAsia="ru-RU"/>
        </w:rPr>
        <w:instrText>ITEM</w:instrText>
      </w:r>
      <w:r w:rsidR="00A6794A" w:rsidRPr="00D3550C">
        <w:rPr>
          <w:lang w:eastAsia="ru-RU"/>
        </w:rPr>
        <w:instrText>-4","</w:instrText>
      </w:r>
      <w:r w:rsidR="00A6794A">
        <w:rPr>
          <w:lang w:val="en-US" w:eastAsia="ru-RU"/>
        </w:rPr>
        <w:instrText>issue</w:instrText>
      </w:r>
      <w:r w:rsidR="00A6794A" w:rsidRPr="00D3550C">
        <w:rPr>
          <w:lang w:eastAsia="ru-RU"/>
        </w:rPr>
        <w:instrText>":"1","</w:instrText>
      </w:r>
      <w:r w:rsidR="00A6794A">
        <w:rPr>
          <w:lang w:val="en-US" w:eastAsia="ru-RU"/>
        </w:rPr>
        <w:instrText>issued</w:instrText>
      </w:r>
      <w:r w:rsidR="00A6794A" w:rsidRPr="00D3550C">
        <w:rPr>
          <w:lang w:eastAsia="ru-RU"/>
        </w:rPr>
        <w:instrText>":{"</w:instrText>
      </w:r>
      <w:r w:rsidR="00A6794A">
        <w:rPr>
          <w:lang w:val="en-US" w:eastAsia="ru-RU"/>
        </w:rPr>
        <w:instrText>date</w:instrText>
      </w:r>
      <w:r w:rsidR="00A6794A" w:rsidRPr="00D3550C">
        <w:rPr>
          <w:lang w:eastAsia="ru-RU"/>
        </w:rPr>
        <w:instrText>-</w:instrText>
      </w:r>
      <w:r w:rsidR="00A6794A">
        <w:rPr>
          <w:lang w:val="en-US" w:eastAsia="ru-RU"/>
        </w:rPr>
        <w:instrText>parts</w:instrText>
      </w:r>
      <w:r w:rsidR="00A6794A" w:rsidRPr="00D3550C">
        <w:rPr>
          <w:lang w:eastAsia="ru-RU"/>
        </w:rPr>
        <w:instrText>":[["2017"]]},"</w:instrText>
      </w:r>
      <w:r w:rsidR="00A6794A">
        <w:rPr>
          <w:lang w:val="en-US" w:eastAsia="ru-RU"/>
        </w:rPr>
        <w:instrText>page</w:instrText>
      </w:r>
      <w:r w:rsidR="00A6794A" w:rsidRPr="00D3550C">
        <w:rPr>
          <w:lang w:eastAsia="ru-RU"/>
        </w:rPr>
        <w:instrText>":"33-39","</w:instrText>
      </w:r>
      <w:r w:rsidR="00A6794A">
        <w:rPr>
          <w:lang w:val="en-US" w:eastAsia="ru-RU"/>
        </w:rPr>
        <w:instrText>publisher</w:instrText>
      </w:r>
      <w:r w:rsidR="00A6794A" w:rsidRPr="00D3550C">
        <w:rPr>
          <w:lang w:eastAsia="ru-RU"/>
        </w:rPr>
        <w:instrText>":"</w:instrText>
      </w:r>
      <w:r w:rsidR="00A6794A">
        <w:rPr>
          <w:lang w:val="en-US" w:eastAsia="ru-RU"/>
        </w:rPr>
        <w:instrText>Multimed</w:instrText>
      </w:r>
      <w:r w:rsidR="00A6794A" w:rsidRPr="00D3550C">
        <w:rPr>
          <w:lang w:eastAsia="ru-RU"/>
        </w:rPr>
        <w:instrText xml:space="preserve"> </w:instrText>
      </w:r>
      <w:r w:rsidR="00A6794A">
        <w:rPr>
          <w:lang w:val="en-US" w:eastAsia="ru-RU"/>
        </w:rPr>
        <w:instrText>Inc</w:instrText>
      </w:r>
      <w:r w:rsidR="00A6794A" w:rsidRPr="00D3550C">
        <w:rPr>
          <w:lang w:eastAsia="ru-RU"/>
        </w:rPr>
        <w:instrText>.","</w:instrText>
      </w:r>
      <w:r w:rsidR="00A6794A">
        <w:rPr>
          <w:lang w:val="en-US" w:eastAsia="ru-RU"/>
        </w:rPr>
        <w:instrText>title</w:instrText>
      </w:r>
      <w:r w:rsidR="00A6794A" w:rsidRPr="00D3550C">
        <w:rPr>
          <w:lang w:eastAsia="ru-RU"/>
        </w:rPr>
        <w:instrText>":"</w:instrText>
      </w:r>
      <w:r w:rsidR="00A6794A">
        <w:rPr>
          <w:lang w:val="en-US" w:eastAsia="ru-RU"/>
        </w:rPr>
        <w:instrText>A</w:instrText>
      </w:r>
      <w:r w:rsidR="00A6794A" w:rsidRPr="00D3550C">
        <w:rPr>
          <w:lang w:eastAsia="ru-RU"/>
        </w:rPr>
        <w:instrText xml:space="preserve"> </w:instrText>
      </w:r>
      <w:r w:rsidR="00A6794A">
        <w:rPr>
          <w:lang w:val="en-US" w:eastAsia="ru-RU"/>
        </w:rPr>
        <w:instrText>canadian</w:instrText>
      </w:r>
      <w:r w:rsidR="00A6794A" w:rsidRPr="00D3550C">
        <w:rPr>
          <w:lang w:eastAsia="ru-RU"/>
        </w:rPr>
        <w:instrText xml:space="preserve"> </w:instrText>
      </w:r>
      <w:r w:rsidR="00A6794A">
        <w:rPr>
          <w:lang w:val="en-US" w:eastAsia="ru-RU"/>
        </w:rPr>
        <w:instrText>perspective</w:instrText>
      </w:r>
      <w:r w:rsidR="00A6794A" w:rsidRPr="00D3550C">
        <w:rPr>
          <w:lang w:eastAsia="ru-RU"/>
        </w:rPr>
        <w:instrText xml:space="preserve"> </w:instrText>
      </w:r>
      <w:r w:rsidR="00A6794A">
        <w:rPr>
          <w:lang w:val="en-US" w:eastAsia="ru-RU"/>
        </w:rPr>
        <w:instrText>on</w:instrText>
      </w:r>
      <w:r w:rsidR="00A6794A" w:rsidRPr="00D3550C">
        <w:rPr>
          <w:lang w:eastAsia="ru-RU"/>
        </w:rPr>
        <w:instrText xml:space="preserve"> </w:instrText>
      </w:r>
      <w:r w:rsidR="00A6794A">
        <w:rPr>
          <w:lang w:val="en-US" w:eastAsia="ru-RU"/>
        </w:rPr>
        <w:instrText>the</w:instrText>
      </w:r>
      <w:r w:rsidR="00A6794A" w:rsidRPr="00D3550C">
        <w:rPr>
          <w:lang w:eastAsia="ru-RU"/>
        </w:rPr>
        <w:instrText xml:space="preserve"> </w:instrText>
      </w:r>
      <w:r w:rsidR="00A6794A">
        <w:rPr>
          <w:lang w:val="en-US" w:eastAsia="ru-RU"/>
        </w:rPr>
        <w:instrText>subcutaneous</w:instrText>
      </w:r>
      <w:r w:rsidR="00A6794A" w:rsidRPr="00D3550C">
        <w:rPr>
          <w:lang w:eastAsia="ru-RU"/>
        </w:rPr>
        <w:instrText xml:space="preserve"> </w:instrText>
      </w:r>
      <w:r w:rsidR="00A6794A">
        <w:rPr>
          <w:lang w:val="en-US" w:eastAsia="ru-RU"/>
        </w:rPr>
        <w:instrText>administration</w:instrText>
      </w:r>
      <w:r w:rsidR="00A6794A" w:rsidRPr="00D3550C">
        <w:rPr>
          <w:lang w:eastAsia="ru-RU"/>
        </w:rPr>
        <w:instrText xml:space="preserve"> </w:instrText>
      </w:r>
      <w:r w:rsidR="00A6794A">
        <w:rPr>
          <w:lang w:val="en-US" w:eastAsia="ru-RU"/>
        </w:rPr>
        <w:instrText>of</w:instrText>
      </w:r>
      <w:r w:rsidR="00A6794A" w:rsidRPr="00D3550C">
        <w:rPr>
          <w:lang w:eastAsia="ru-RU"/>
        </w:rPr>
        <w:instrText xml:space="preserve"> </w:instrText>
      </w:r>
      <w:r w:rsidR="00A6794A">
        <w:rPr>
          <w:lang w:val="en-US" w:eastAsia="ru-RU"/>
        </w:rPr>
        <w:instrText>rituximab</w:instrText>
      </w:r>
      <w:r w:rsidR="00A6794A" w:rsidRPr="00D3550C">
        <w:rPr>
          <w:lang w:eastAsia="ru-RU"/>
        </w:rPr>
        <w:instrText xml:space="preserve"> </w:instrText>
      </w:r>
      <w:r w:rsidR="00A6794A">
        <w:rPr>
          <w:lang w:val="en-US" w:eastAsia="ru-RU"/>
        </w:rPr>
        <w:instrText>in</w:instrText>
      </w:r>
      <w:r w:rsidR="00A6794A" w:rsidRPr="00D3550C">
        <w:rPr>
          <w:lang w:eastAsia="ru-RU"/>
        </w:rPr>
        <w:instrText xml:space="preserve"> </w:instrText>
      </w:r>
      <w:r w:rsidR="00A6794A">
        <w:rPr>
          <w:lang w:val="en-US" w:eastAsia="ru-RU"/>
        </w:rPr>
        <w:instrText>non</w:instrText>
      </w:r>
      <w:r w:rsidR="00A6794A" w:rsidRPr="00D3550C">
        <w:rPr>
          <w:lang w:eastAsia="ru-RU"/>
        </w:rPr>
        <w:instrText>-</w:instrText>
      </w:r>
      <w:r w:rsidR="00A6794A">
        <w:rPr>
          <w:lang w:val="en-US" w:eastAsia="ru-RU"/>
        </w:rPr>
        <w:instrText>Hodgkin</w:instrText>
      </w:r>
      <w:r w:rsidR="00A6794A" w:rsidRPr="00D3550C">
        <w:rPr>
          <w:lang w:eastAsia="ru-RU"/>
        </w:rPr>
        <w:instrText xml:space="preserve"> </w:instrText>
      </w:r>
      <w:r w:rsidR="00A6794A">
        <w:rPr>
          <w:lang w:val="en-US" w:eastAsia="ru-RU"/>
        </w:rPr>
        <w:instrText>lymphoma</w:instrText>
      </w:r>
      <w:r w:rsidR="00A6794A" w:rsidRPr="00D3550C">
        <w:rPr>
          <w:lang w:eastAsia="ru-RU"/>
        </w:rPr>
        <w:instrText>","</w:instrText>
      </w:r>
      <w:r w:rsidR="00A6794A">
        <w:rPr>
          <w:lang w:val="en-US" w:eastAsia="ru-RU"/>
        </w:rPr>
        <w:instrText>type</w:instrText>
      </w:r>
      <w:r w:rsidR="00A6794A" w:rsidRPr="00D3550C">
        <w:rPr>
          <w:lang w:eastAsia="ru-RU"/>
        </w:rPr>
        <w:instrText>":"</w:instrText>
      </w:r>
      <w:r w:rsidR="00A6794A">
        <w:rPr>
          <w:lang w:val="en-US" w:eastAsia="ru-RU"/>
        </w:rPr>
        <w:instrText>article</w:instrText>
      </w:r>
      <w:r w:rsidR="00A6794A" w:rsidRPr="00D3550C">
        <w:rPr>
          <w:lang w:eastAsia="ru-RU"/>
        </w:rPr>
        <w:instrText>","</w:instrText>
      </w:r>
      <w:r w:rsidR="00A6794A">
        <w:rPr>
          <w:lang w:val="en-US" w:eastAsia="ru-RU"/>
        </w:rPr>
        <w:instrText>volume</w:instrText>
      </w:r>
      <w:r w:rsidR="00A6794A" w:rsidRPr="00D3550C">
        <w:rPr>
          <w:lang w:eastAsia="ru-RU"/>
        </w:rPr>
        <w:instrText>":"24"},"</w:instrText>
      </w:r>
      <w:r w:rsidR="00A6794A">
        <w:rPr>
          <w:lang w:val="en-US" w:eastAsia="ru-RU"/>
        </w:rPr>
        <w:instrText>uris</w:instrText>
      </w:r>
      <w:r w:rsidR="00A6794A" w:rsidRPr="00D3550C">
        <w:rPr>
          <w:lang w:eastAsia="ru-RU"/>
        </w:rPr>
        <w:instrText>":["</w:instrText>
      </w:r>
      <w:r w:rsidR="00A6794A">
        <w:rPr>
          <w:lang w:val="en-US" w:eastAsia="ru-RU"/>
        </w:rPr>
        <w:instrText>http</w:instrText>
      </w:r>
      <w:r w:rsidR="00A6794A" w:rsidRPr="00D3550C">
        <w:rPr>
          <w:lang w:eastAsia="ru-RU"/>
        </w:rPr>
        <w:instrText>://</w:instrText>
      </w:r>
      <w:r w:rsidR="00A6794A">
        <w:rPr>
          <w:lang w:val="en-US" w:eastAsia="ru-RU"/>
        </w:rPr>
        <w:instrText>www</w:instrText>
      </w:r>
      <w:r w:rsidR="00A6794A" w:rsidRPr="00D3550C">
        <w:rPr>
          <w:lang w:eastAsia="ru-RU"/>
        </w:rPr>
        <w:instrText>.</w:instrText>
      </w:r>
      <w:r w:rsidR="00A6794A">
        <w:rPr>
          <w:lang w:val="en-US" w:eastAsia="ru-RU"/>
        </w:rPr>
        <w:instrText>mendeley</w:instrText>
      </w:r>
      <w:r w:rsidR="00A6794A" w:rsidRPr="00D3550C">
        <w:rPr>
          <w:lang w:eastAsia="ru-RU"/>
        </w:rPr>
        <w:instrText>.</w:instrText>
      </w:r>
      <w:r w:rsidR="00A6794A">
        <w:rPr>
          <w:lang w:val="en-US" w:eastAsia="ru-RU"/>
        </w:rPr>
        <w:instrText>com</w:instrText>
      </w:r>
      <w:r w:rsidR="00A6794A" w:rsidRPr="00D3550C">
        <w:rPr>
          <w:lang w:eastAsia="ru-RU"/>
        </w:rPr>
        <w:instrText>/</w:instrText>
      </w:r>
      <w:r w:rsidR="00A6794A">
        <w:rPr>
          <w:lang w:val="en-US" w:eastAsia="ru-RU"/>
        </w:rPr>
        <w:instrText>documents</w:instrText>
      </w:r>
      <w:r w:rsidR="00A6794A" w:rsidRPr="00D3550C">
        <w:rPr>
          <w:lang w:eastAsia="ru-RU"/>
        </w:rPr>
        <w:instrText>/?</w:instrText>
      </w:r>
      <w:r w:rsidR="00A6794A">
        <w:rPr>
          <w:lang w:val="en-US" w:eastAsia="ru-RU"/>
        </w:rPr>
        <w:instrText>uuid</w:instrText>
      </w:r>
      <w:r w:rsidR="00A6794A" w:rsidRPr="00D3550C">
        <w:rPr>
          <w:lang w:eastAsia="ru-RU"/>
        </w:rPr>
        <w:instrText>=0</w:instrText>
      </w:r>
      <w:r w:rsidR="00A6794A">
        <w:rPr>
          <w:lang w:val="en-US" w:eastAsia="ru-RU"/>
        </w:rPr>
        <w:instrText>dec</w:instrText>
      </w:r>
      <w:r w:rsidR="00A6794A" w:rsidRPr="00D3550C">
        <w:rPr>
          <w:lang w:eastAsia="ru-RU"/>
        </w:rPr>
        <w:instrText>225</w:instrText>
      </w:r>
      <w:r w:rsidR="00A6794A">
        <w:rPr>
          <w:lang w:val="en-US" w:eastAsia="ru-RU"/>
        </w:rPr>
        <w:instrText>e</w:instrText>
      </w:r>
      <w:r w:rsidR="00A6794A" w:rsidRPr="00D3550C">
        <w:rPr>
          <w:lang w:eastAsia="ru-RU"/>
        </w:rPr>
        <w:instrText>-8</w:instrText>
      </w:r>
      <w:r w:rsidR="00A6794A">
        <w:rPr>
          <w:lang w:val="en-US" w:eastAsia="ru-RU"/>
        </w:rPr>
        <w:instrText>a</w:instrText>
      </w:r>
      <w:r w:rsidR="00A6794A" w:rsidRPr="00D3550C">
        <w:rPr>
          <w:lang w:eastAsia="ru-RU"/>
        </w:rPr>
        <w:instrText>47-3680-</w:instrText>
      </w:r>
      <w:r w:rsidR="00A6794A">
        <w:rPr>
          <w:lang w:val="en-US" w:eastAsia="ru-RU"/>
        </w:rPr>
        <w:instrText>ba</w:instrText>
      </w:r>
      <w:r w:rsidR="00A6794A" w:rsidRPr="00D3550C">
        <w:rPr>
          <w:lang w:eastAsia="ru-RU"/>
        </w:rPr>
        <w:instrText>4</w:instrText>
      </w:r>
      <w:r w:rsidR="00A6794A">
        <w:rPr>
          <w:lang w:val="en-US" w:eastAsia="ru-RU"/>
        </w:rPr>
        <w:instrText>d</w:instrText>
      </w:r>
      <w:r w:rsidR="00A6794A" w:rsidRPr="00D3550C">
        <w:rPr>
          <w:lang w:eastAsia="ru-RU"/>
        </w:rPr>
        <w:instrText>-891955</w:instrText>
      </w:r>
      <w:r w:rsidR="00A6794A">
        <w:rPr>
          <w:lang w:val="en-US" w:eastAsia="ru-RU"/>
        </w:rPr>
        <w:instrText>a</w:instrText>
      </w:r>
      <w:r w:rsidR="00A6794A" w:rsidRPr="00D3550C">
        <w:rPr>
          <w:lang w:eastAsia="ru-RU"/>
        </w:rPr>
        <w:instrText>938</w:instrText>
      </w:r>
      <w:r w:rsidR="00A6794A">
        <w:rPr>
          <w:lang w:val="en-US" w:eastAsia="ru-RU"/>
        </w:rPr>
        <w:instrText>a</w:instrText>
      </w:r>
      <w:r w:rsidR="00A6794A" w:rsidRPr="00D3550C">
        <w:rPr>
          <w:lang w:eastAsia="ru-RU"/>
        </w:rPr>
        <w:instrText>1"]}],"</w:instrText>
      </w:r>
      <w:r w:rsidR="00A6794A">
        <w:rPr>
          <w:lang w:val="en-US" w:eastAsia="ru-RU"/>
        </w:rPr>
        <w:instrText>mendeley</w:instrText>
      </w:r>
      <w:r w:rsidR="00A6794A" w:rsidRPr="00D3550C">
        <w:rPr>
          <w:lang w:eastAsia="ru-RU"/>
        </w:rPr>
        <w:instrText>":{"</w:instrText>
      </w:r>
      <w:r w:rsidR="00A6794A">
        <w:rPr>
          <w:lang w:val="en-US" w:eastAsia="ru-RU"/>
        </w:rPr>
        <w:instrText>formattedCitation</w:instrText>
      </w:r>
      <w:r w:rsidR="00A6794A" w:rsidRPr="00D3550C">
        <w:rPr>
          <w:lang w:eastAsia="ru-RU"/>
        </w:rPr>
        <w:instrText>":"[205–208]","</w:instrText>
      </w:r>
      <w:r w:rsidR="00A6794A">
        <w:rPr>
          <w:lang w:val="en-US" w:eastAsia="ru-RU"/>
        </w:rPr>
        <w:instrText>plainTextFormattedCitation</w:instrText>
      </w:r>
      <w:r w:rsidR="00A6794A" w:rsidRPr="00D3550C">
        <w:rPr>
          <w:lang w:eastAsia="ru-RU"/>
        </w:rPr>
        <w:instrText>":"[205–208]","</w:instrText>
      </w:r>
      <w:r w:rsidR="00A6794A">
        <w:rPr>
          <w:lang w:val="en-US" w:eastAsia="ru-RU"/>
        </w:rPr>
        <w:instrText>previouslyFormattedCitation</w:instrText>
      </w:r>
      <w:r w:rsidR="00A6794A" w:rsidRPr="00D3550C">
        <w:rPr>
          <w:lang w:eastAsia="ru-RU"/>
        </w:rPr>
        <w:instrText>":"[205–208]"},"</w:instrText>
      </w:r>
      <w:r w:rsidR="00A6794A">
        <w:rPr>
          <w:lang w:val="en-US" w:eastAsia="ru-RU"/>
        </w:rPr>
        <w:instrText>properties</w:instrText>
      </w:r>
      <w:r w:rsidR="00A6794A" w:rsidRPr="00D3550C">
        <w:rPr>
          <w:lang w:eastAsia="ru-RU"/>
        </w:rPr>
        <w:instrText>":{"</w:instrText>
      </w:r>
      <w:r w:rsidR="00A6794A">
        <w:rPr>
          <w:lang w:val="en-US" w:eastAsia="ru-RU"/>
        </w:rPr>
        <w:instrText>noteIndex</w:instrText>
      </w:r>
      <w:r w:rsidR="00A6794A" w:rsidRPr="00D3550C">
        <w:rPr>
          <w:lang w:eastAsia="ru-RU"/>
        </w:rPr>
        <w:instrText>":0},"</w:instrText>
      </w:r>
      <w:r w:rsidR="00A6794A">
        <w:rPr>
          <w:lang w:val="en-US" w:eastAsia="ru-RU"/>
        </w:rPr>
        <w:instrText>schema</w:instrText>
      </w:r>
      <w:r w:rsidR="00A6794A" w:rsidRPr="00D3550C">
        <w:rPr>
          <w:lang w:eastAsia="ru-RU"/>
        </w:rPr>
        <w:instrText>":"</w:instrText>
      </w:r>
      <w:r w:rsidR="00A6794A">
        <w:rPr>
          <w:lang w:val="en-US" w:eastAsia="ru-RU"/>
        </w:rPr>
        <w:instrText>https</w:instrText>
      </w:r>
      <w:r w:rsidR="00A6794A" w:rsidRPr="00D3550C">
        <w:rPr>
          <w:lang w:eastAsia="ru-RU"/>
        </w:rPr>
        <w:instrText>://</w:instrText>
      </w:r>
      <w:r w:rsidR="00A6794A">
        <w:rPr>
          <w:lang w:val="en-US" w:eastAsia="ru-RU"/>
        </w:rPr>
        <w:instrText>github</w:instrText>
      </w:r>
      <w:r w:rsidR="00A6794A" w:rsidRPr="00D3550C">
        <w:rPr>
          <w:lang w:eastAsia="ru-RU"/>
        </w:rPr>
        <w:instrText>.</w:instrText>
      </w:r>
      <w:r w:rsidR="00A6794A">
        <w:rPr>
          <w:lang w:val="en-US" w:eastAsia="ru-RU"/>
        </w:rPr>
        <w:instrText>com</w:instrText>
      </w:r>
      <w:r w:rsidR="00A6794A" w:rsidRPr="00D3550C">
        <w:rPr>
          <w:lang w:eastAsia="ru-RU"/>
        </w:rPr>
        <w:instrText>/</w:instrText>
      </w:r>
      <w:r w:rsidR="00A6794A">
        <w:rPr>
          <w:lang w:val="en-US" w:eastAsia="ru-RU"/>
        </w:rPr>
        <w:instrText>citation</w:instrText>
      </w:r>
      <w:r w:rsidR="00A6794A" w:rsidRPr="00D3550C">
        <w:rPr>
          <w:lang w:eastAsia="ru-RU"/>
        </w:rPr>
        <w:instrText>-</w:instrText>
      </w:r>
      <w:r w:rsidR="00A6794A">
        <w:rPr>
          <w:lang w:val="en-US" w:eastAsia="ru-RU"/>
        </w:rPr>
        <w:instrText>style</w:instrText>
      </w:r>
      <w:r w:rsidR="00A6794A" w:rsidRPr="00D3550C">
        <w:rPr>
          <w:lang w:eastAsia="ru-RU"/>
        </w:rPr>
        <w:instrText>-</w:instrText>
      </w:r>
      <w:r w:rsidR="00A6794A">
        <w:rPr>
          <w:lang w:val="en-US" w:eastAsia="ru-RU"/>
        </w:rPr>
        <w:instrText>language</w:instrText>
      </w:r>
      <w:r w:rsidR="00A6794A" w:rsidRPr="00D3550C">
        <w:rPr>
          <w:lang w:eastAsia="ru-RU"/>
        </w:rPr>
        <w:instrText>/</w:instrText>
      </w:r>
      <w:r w:rsidR="00A6794A">
        <w:rPr>
          <w:lang w:val="en-US" w:eastAsia="ru-RU"/>
        </w:rPr>
        <w:instrText>schema</w:instrText>
      </w:r>
      <w:r w:rsidR="00A6794A" w:rsidRPr="00D3550C">
        <w:rPr>
          <w:lang w:eastAsia="ru-RU"/>
        </w:rPr>
        <w:instrText>/</w:instrText>
      </w:r>
      <w:r w:rsidR="00A6794A">
        <w:rPr>
          <w:lang w:val="en-US" w:eastAsia="ru-RU"/>
        </w:rPr>
        <w:instrText>raw</w:instrText>
      </w:r>
      <w:r w:rsidR="00A6794A" w:rsidRPr="00D3550C">
        <w:rPr>
          <w:lang w:eastAsia="ru-RU"/>
        </w:rPr>
        <w:instrText>/</w:instrText>
      </w:r>
      <w:r w:rsidR="00A6794A">
        <w:rPr>
          <w:lang w:val="en-US" w:eastAsia="ru-RU"/>
        </w:rPr>
        <w:instrText>master</w:instrText>
      </w:r>
      <w:r w:rsidR="00A6794A" w:rsidRPr="00D3550C">
        <w:rPr>
          <w:lang w:eastAsia="ru-RU"/>
        </w:rPr>
        <w:instrText>/</w:instrText>
      </w:r>
      <w:r w:rsidR="00A6794A">
        <w:rPr>
          <w:lang w:val="en-US" w:eastAsia="ru-RU"/>
        </w:rPr>
        <w:instrText>csl</w:instrText>
      </w:r>
      <w:r w:rsidR="00A6794A" w:rsidRPr="00D3550C">
        <w:rPr>
          <w:lang w:eastAsia="ru-RU"/>
        </w:rPr>
        <w:instrText>-</w:instrText>
      </w:r>
      <w:r w:rsidR="00A6794A">
        <w:rPr>
          <w:lang w:val="en-US" w:eastAsia="ru-RU"/>
        </w:rPr>
        <w:instrText>citation</w:instrText>
      </w:r>
      <w:r w:rsidR="00A6794A" w:rsidRPr="00D3550C">
        <w:rPr>
          <w:lang w:eastAsia="ru-RU"/>
        </w:rPr>
        <w:instrText>.</w:instrText>
      </w:r>
      <w:r w:rsidR="00A6794A">
        <w:rPr>
          <w:lang w:val="en-US" w:eastAsia="ru-RU"/>
        </w:rPr>
        <w:instrText>json</w:instrText>
      </w:r>
      <w:r w:rsidR="00A6794A" w:rsidRPr="00D3550C">
        <w:rPr>
          <w:lang w:eastAsia="ru-RU"/>
        </w:rPr>
        <w:instrText>"}</w:instrText>
      </w:r>
      <w:r w:rsidRPr="000322E4">
        <w:rPr>
          <w:lang w:val="en-US" w:eastAsia="ru-RU"/>
        </w:rPr>
        <w:fldChar w:fldCharType="separate"/>
      </w:r>
      <w:r w:rsidR="006E1902" w:rsidRPr="006E1902">
        <w:rPr>
          <w:noProof/>
          <w:lang w:eastAsia="ru-RU"/>
        </w:rPr>
        <w:t>[205–208]</w:t>
      </w:r>
      <w:r w:rsidRPr="000322E4">
        <w:rPr>
          <w:lang w:val="en-US" w:eastAsia="ru-RU"/>
        </w:rPr>
        <w:fldChar w:fldCharType="end"/>
      </w:r>
    </w:p>
    <w:p w14:paraId="16E65C57" w14:textId="77777777" w:rsidR="00666D68" w:rsidRPr="00293AC8" w:rsidRDefault="00666D68" w:rsidP="00F414BF">
      <w:pPr>
        <w:numPr>
          <w:ilvl w:val="0"/>
          <w:numId w:val="39"/>
        </w:numPr>
        <w:spacing w:line="360" w:lineRule="auto"/>
        <w:jc w:val="both"/>
      </w:pPr>
      <w:r w:rsidRPr="000322E4">
        <w:lastRenderedPageBreak/>
        <w:t>Циклофосфамид</w:t>
      </w:r>
      <w:r w:rsidRPr="00293AC8">
        <w:rPr>
          <w:bCs/>
        </w:rPr>
        <w:t>**</w:t>
      </w:r>
      <w:r w:rsidRPr="00293AC8">
        <w:t xml:space="preserve"> 750 </w:t>
      </w:r>
      <w:r w:rsidRPr="000322E4">
        <w:t>мг</w:t>
      </w:r>
      <w:r w:rsidRPr="00293AC8">
        <w:t>/</w:t>
      </w:r>
      <w:r w:rsidRPr="000322E4">
        <w:t>м</w:t>
      </w:r>
      <w:r w:rsidRPr="00293AC8">
        <w:rPr>
          <w:vertAlign w:val="superscript"/>
        </w:rPr>
        <w:t>2</w:t>
      </w:r>
      <w:r w:rsidRPr="00293AC8">
        <w:t xml:space="preserve"> </w:t>
      </w:r>
      <w:r w:rsidRPr="000322E4">
        <w:t>в</w:t>
      </w:r>
      <w:r w:rsidRPr="00293AC8">
        <w:t>/</w:t>
      </w:r>
      <w:r w:rsidRPr="000322E4">
        <w:t>в</w:t>
      </w:r>
      <w:r w:rsidRPr="00293AC8">
        <w:t xml:space="preserve"> </w:t>
      </w:r>
      <w:r w:rsidRPr="000322E4">
        <w:t>кап</w:t>
      </w:r>
      <w:r w:rsidRPr="00293AC8">
        <w:t xml:space="preserve">., </w:t>
      </w:r>
      <w:r w:rsidRPr="000322E4">
        <w:t>день</w:t>
      </w:r>
      <w:r w:rsidRPr="00293AC8">
        <w:t xml:space="preserve"> 1</w:t>
      </w:r>
    </w:p>
    <w:p w14:paraId="1E7139A5" w14:textId="77777777" w:rsidR="00666D68" w:rsidRPr="00293AC8" w:rsidRDefault="000322E4" w:rsidP="00F414BF">
      <w:pPr>
        <w:numPr>
          <w:ilvl w:val="0"/>
          <w:numId w:val="39"/>
        </w:numPr>
        <w:spacing w:line="360" w:lineRule="auto"/>
        <w:jc w:val="both"/>
      </w:pPr>
      <w:r w:rsidRPr="00293AC8">
        <w:t>#</w:t>
      </w:r>
      <w:r w:rsidR="00666D68" w:rsidRPr="000322E4">
        <w:t>Винкристин</w:t>
      </w:r>
      <w:r w:rsidR="00666D68" w:rsidRPr="00293AC8">
        <w:rPr>
          <w:bCs/>
        </w:rPr>
        <w:t>**</w:t>
      </w:r>
      <w:r w:rsidR="00666D68" w:rsidRPr="00293AC8">
        <w:t xml:space="preserve"> 1,4 </w:t>
      </w:r>
      <w:r w:rsidR="00666D68" w:rsidRPr="000322E4">
        <w:t>мг</w:t>
      </w:r>
      <w:r w:rsidR="00666D68" w:rsidRPr="00293AC8">
        <w:t>/</w:t>
      </w:r>
      <w:r w:rsidR="00666D68" w:rsidRPr="000322E4">
        <w:t>м</w:t>
      </w:r>
      <w:r w:rsidR="00666D68" w:rsidRPr="00293AC8">
        <w:rPr>
          <w:vertAlign w:val="superscript"/>
        </w:rPr>
        <w:t>2</w:t>
      </w:r>
      <w:r w:rsidR="00666D68" w:rsidRPr="00293AC8">
        <w:t xml:space="preserve"> (</w:t>
      </w:r>
      <w:r w:rsidR="00666D68" w:rsidRPr="000322E4">
        <w:t>суммарно</w:t>
      </w:r>
      <w:r w:rsidR="00666D68" w:rsidRPr="00293AC8">
        <w:t xml:space="preserve"> </w:t>
      </w:r>
      <w:r w:rsidR="00666D68" w:rsidRPr="000322E4">
        <w:t>не</w:t>
      </w:r>
      <w:r w:rsidR="00666D68" w:rsidRPr="00293AC8">
        <w:t xml:space="preserve"> </w:t>
      </w:r>
      <w:r w:rsidR="00666D68" w:rsidRPr="000322E4">
        <w:t>более</w:t>
      </w:r>
      <w:r w:rsidR="00666D68" w:rsidRPr="00293AC8">
        <w:t xml:space="preserve"> 2 </w:t>
      </w:r>
      <w:r w:rsidR="00666D68" w:rsidRPr="000322E4">
        <w:t>мг</w:t>
      </w:r>
      <w:r w:rsidR="00666D68" w:rsidRPr="00293AC8">
        <w:t xml:space="preserve">) </w:t>
      </w:r>
      <w:r w:rsidR="00666D68" w:rsidRPr="000322E4">
        <w:t>в</w:t>
      </w:r>
      <w:r w:rsidR="00666D68" w:rsidRPr="00293AC8">
        <w:t>/</w:t>
      </w:r>
      <w:r w:rsidR="00666D68" w:rsidRPr="000322E4">
        <w:t>в</w:t>
      </w:r>
      <w:r w:rsidR="00666D68" w:rsidRPr="00293AC8">
        <w:t xml:space="preserve">, </w:t>
      </w:r>
      <w:r w:rsidR="00666D68" w:rsidRPr="000322E4">
        <w:t>день</w:t>
      </w:r>
      <w:r w:rsidR="00666D68" w:rsidRPr="00293AC8">
        <w:t xml:space="preserve"> 1</w:t>
      </w:r>
    </w:p>
    <w:p w14:paraId="78BD1FB7" w14:textId="77777777" w:rsidR="00666D68" w:rsidRPr="00293AC8" w:rsidRDefault="00666D68" w:rsidP="00F414BF">
      <w:pPr>
        <w:numPr>
          <w:ilvl w:val="0"/>
          <w:numId w:val="39"/>
        </w:numPr>
        <w:spacing w:line="360" w:lineRule="auto"/>
        <w:jc w:val="both"/>
      </w:pPr>
      <w:r w:rsidRPr="000322E4">
        <w:t>Преднизолон</w:t>
      </w:r>
      <w:r w:rsidRPr="00293AC8">
        <w:rPr>
          <w:bCs/>
        </w:rPr>
        <w:t>**</w:t>
      </w:r>
      <w:r w:rsidRPr="00293AC8">
        <w:t xml:space="preserve"> 40 </w:t>
      </w:r>
      <w:r w:rsidRPr="000322E4">
        <w:t>мг</w:t>
      </w:r>
      <w:r w:rsidRPr="00293AC8">
        <w:t>/</w:t>
      </w:r>
      <w:r w:rsidRPr="000322E4">
        <w:t>м</w:t>
      </w:r>
      <w:r w:rsidRPr="00293AC8">
        <w:rPr>
          <w:vertAlign w:val="superscript"/>
        </w:rPr>
        <w:t>2</w:t>
      </w:r>
      <w:r w:rsidRPr="00293AC8">
        <w:t xml:space="preserve"> </w:t>
      </w:r>
      <w:r w:rsidRPr="000322E4">
        <w:t>внутрь</w:t>
      </w:r>
      <w:r w:rsidRPr="00293AC8">
        <w:t xml:space="preserve">, </w:t>
      </w:r>
      <w:r w:rsidRPr="000322E4">
        <w:t>дни</w:t>
      </w:r>
      <w:r w:rsidRPr="00293AC8">
        <w:t xml:space="preserve"> 1-5</w:t>
      </w:r>
    </w:p>
    <w:p w14:paraId="0A76B934" w14:textId="77777777" w:rsidR="00666D68" w:rsidRPr="00293AC8" w:rsidRDefault="00666D68" w:rsidP="00F414BF">
      <w:pPr>
        <w:spacing w:line="360" w:lineRule="auto"/>
        <w:ind w:left="360"/>
        <w:jc w:val="both"/>
      </w:pPr>
      <w:r w:rsidRPr="000322E4">
        <w:t>Лечение</w:t>
      </w:r>
      <w:r w:rsidRPr="00293AC8">
        <w:t xml:space="preserve"> </w:t>
      </w:r>
      <w:r w:rsidRPr="000322E4">
        <w:t>возобновляется</w:t>
      </w:r>
      <w:r w:rsidRPr="00293AC8">
        <w:t xml:space="preserve"> </w:t>
      </w:r>
      <w:r w:rsidRPr="000322E4">
        <w:t>на</w:t>
      </w:r>
      <w:r w:rsidRPr="00293AC8">
        <w:t xml:space="preserve"> 22 </w:t>
      </w:r>
      <w:r w:rsidRPr="000322E4">
        <w:t>день</w:t>
      </w:r>
    </w:p>
    <w:p w14:paraId="07ABADFA" w14:textId="77777777" w:rsidR="00666D68" w:rsidRPr="00293AC8" w:rsidRDefault="00666D68" w:rsidP="00F414BF">
      <w:pPr>
        <w:spacing w:line="360" w:lineRule="auto"/>
        <w:ind w:left="360"/>
        <w:jc w:val="both"/>
      </w:pPr>
    </w:p>
    <w:p w14:paraId="603DF821" w14:textId="55DC9BEB" w:rsidR="00666D68" w:rsidRPr="00293AC8" w:rsidRDefault="00666D68" w:rsidP="00F414BF">
      <w:pPr>
        <w:spacing w:line="360" w:lineRule="auto"/>
        <w:jc w:val="both"/>
        <w:rPr>
          <w:b/>
          <w:bCs/>
        </w:rPr>
      </w:pPr>
      <w:r w:rsidRPr="000322E4">
        <w:rPr>
          <w:b/>
          <w:bCs/>
          <w:lang w:val="en-US"/>
        </w:rPr>
        <w:t>BR</w:t>
      </w:r>
      <w:r w:rsidRPr="00293AC8">
        <w:rPr>
          <w:b/>
          <w:bCs/>
        </w:rPr>
        <w:t xml:space="preserve"> </w:t>
      </w:r>
      <w:r w:rsidRPr="000322E4">
        <w:rPr>
          <w:b/>
          <w:bCs/>
          <w:lang w:val="en-US"/>
        </w:rPr>
        <w:fldChar w:fldCharType="begin" w:fldLock="1"/>
      </w:r>
      <w:r w:rsidR="00021E2A">
        <w:rPr>
          <w:b/>
          <w:bCs/>
          <w:lang w:val="en-US"/>
        </w:rPr>
        <w:instrText>ADDIN</w:instrText>
      </w:r>
      <w:r w:rsidR="00021E2A" w:rsidRPr="00320416">
        <w:rPr>
          <w:b/>
          <w:bCs/>
        </w:rPr>
        <w:instrText xml:space="preserve"> </w:instrText>
      </w:r>
      <w:r w:rsidR="00021E2A">
        <w:rPr>
          <w:b/>
          <w:bCs/>
          <w:lang w:val="en-US"/>
        </w:rPr>
        <w:instrText>CSL</w:instrText>
      </w:r>
      <w:r w:rsidR="00021E2A" w:rsidRPr="00320416">
        <w:rPr>
          <w:b/>
          <w:bCs/>
        </w:rPr>
        <w:instrText>_</w:instrText>
      </w:r>
      <w:r w:rsidR="00021E2A">
        <w:rPr>
          <w:b/>
          <w:bCs/>
          <w:lang w:val="en-US"/>
        </w:rPr>
        <w:instrText>CITATION</w:instrText>
      </w:r>
      <w:r w:rsidR="00021E2A" w:rsidRPr="00320416">
        <w:rPr>
          <w:b/>
          <w:bCs/>
        </w:rPr>
        <w:instrText xml:space="preserve"> {"</w:instrText>
      </w:r>
      <w:r w:rsidR="00021E2A">
        <w:rPr>
          <w:b/>
          <w:bCs/>
          <w:lang w:val="en-US"/>
        </w:rPr>
        <w:instrText>citationItems</w:instrText>
      </w:r>
      <w:r w:rsidR="00021E2A" w:rsidRPr="00320416">
        <w:rPr>
          <w:b/>
          <w:bCs/>
        </w:rPr>
        <w:instrText>":[{"</w:instrText>
      </w:r>
      <w:r w:rsidR="00021E2A">
        <w:rPr>
          <w:b/>
          <w:bCs/>
          <w:lang w:val="en-US"/>
        </w:rPr>
        <w:instrText>id</w:instrText>
      </w:r>
      <w:r w:rsidR="00021E2A" w:rsidRPr="00320416">
        <w:rPr>
          <w:b/>
          <w:bCs/>
        </w:rPr>
        <w:instrText>":"</w:instrText>
      </w:r>
      <w:r w:rsidR="00021E2A">
        <w:rPr>
          <w:b/>
          <w:bCs/>
          <w:lang w:val="en-US"/>
        </w:rPr>
        <w:instrText>ITEM</w:instrText>
      </w:r>
      <w:r w:rsidR="00021E2A" w:rsidRPr="00320416">
        <w:rPr>
          <w:b/>
          <w:bCs/>
        </w:rPr>
        <w:instrText>-1","</w:instrText>
      </w:r>
      <w:r w:rsidR="00021E2A">
        <w:rPr>
          <w:b/>
          <w:bCs/>
          <w:lang w:val="en-US"/>
        </w:rPr>
        <w:instrText>itemData</w:instrText>
      </w:r>
      <w:r w:rsidR="00021E2A" w:rsidRPr="00320416">
        <w:rPr>
          <w:b/>
          <w:bCs/>
        </w:rPr>
        <w:instrText>":{"</w:instrText>
      </w:r>
      <w:r w:rsidR="00021E2A">
        <w:rPr>
          <w:b/>
          <w:bCs/>
          <w:lang w:val="en-US"/>
        </w:rPr>
        <w:instrText>DOI</w:instrText>
      </w:r>
      <w:r w:rsidR="00021E2A" w:rsidRPr="00320416">
        <w:rPr>
          <w:b/>
          <w:bCs/>
        </w:rPr>
        <w:instrText>":"10.1007/</w:instrText>
      </w:r>
      <w:r w:rsidR="00021E2A">
        <w:rPr>
          <w:b/>
          <w:bCs/>
          <w:lang w:val="en-US"/>
        </w:rPr>
        <w:instrText>s</w:instrText>
      </w:r>
      <w:r w:rsidR="00021E2A" w:rsidRPr="00320416">
        <w:rPr>
          <w:b/>
          <w:bCs/>
        </w:rPr>
        <w:instrText>00277-019-03819-3","</w:instrText>
      </w:r>
      <w:r w:rsidR="00021E2A">
        <w:rPr>
          <w:b/>
          <w:bCs/>
          <w:lang w:val="en-US"/>
        </w:rPr>
        <w:instrText>ISSN</w:instrText>
      </w:r>
      <w:r w:rsidR="00021E2A" w:rsidRPr="00320416">
        <w:rPr>
          <w:b/>
          <w:bCs/>
        </w:rPr>
        <w:instrText>":"14320584","</w:instrText>
      </w:r>
      <w:r w:rsidR="00021E2A">
        <w:rPr>
          <w:b/>
          <w:bCs/>
          <w:lang w:val="en-US"/>
        </w:rPr>
        <w:instrText>abstract</w:instrText>
      </w:r>
      <w:r w:rsidR="00021E2A" w:rsidRPr="00320416">
        <w:rPr>
          <w:b/>
          <w:bCs/>
        </w:rPr>
        <w:instrText>":"</w:instrText>
      </w:r>
      <w:r w:rsidR="00021E2A">
        <w:rPr>
          <w:b/>
          <w:bCs/>
          <w:lang w:val="en-US"/>
        </w:rPr>
        <w:instrText>Despite</w:instrText>
      </w:r>
      <w:r w:rsidR="00021E2A" w:rsidRPr="00320416">
        <w:rPr>
          <w:b/>
          <w:bCs/>
        </w:rPr>
        <w:instrText xml:space="preserve"> </w:instrText>
      </w:r>
      <w:r w:rsidR="00021E2A">
        <w:rPr>
          <w:b/>
          <w:bCs/>
          <w:lang w:val="en-US"/>
        </w:rPr>
        <w:instrText>bendamustine</w:instrText>
      </w:r>
      <w:r w:rsidR="00021E2A" w:rsidRPr="00320416">
        <w:rPr>
          <w:b/>
          <w:bCs/>
        </w:rPr>
        <w:instrText>-</w:instrText>
      </w:r>
      <w:r w:rsidR="00021E2A">
        <w:rPr>
          <w:b/>
          <w:bCs/>
          <w:lang w:val="en-US"/>
        </w:rPr>
        <w:instrText>rituximab</w:instrText>
      </w:r>
      <w:r w:rsidR="00021E2A" w:rsidRPr="00320416">
        <w:rPr>
          <w:b/>
          <w:bCs/>
        </w:rPr>
        <w:instrText xml:space="preserve"> (</w:instrText>
      </w:r>
      <w:r w:rsidR="00021E2A">
        <w:rPr>
          <w:b/>
          <w:bCs/>
          <w:lang w:val="en-US"/>
        </w:rPr>
        <w:instrText>BR</w:instrText>
      </w:r>
      <w:r w:rsidR="00021E2A" w:rsidRPr="00320416">
        <w:rPr>
          <w:b/>
          <w:bCs/>
        </w:rPr>
        <w:instrText xml:space="preserve">) </w:instrText>
      </w:r>
      <w:r w:rsidR="00021E2A">
        <w:rPr>
          <w:b/>
          <w:bCs/>
          <w:lang w:val="en-US"/>
        </w:rPr>
        <w:instrText>showed</w:instrText>
      </w:r>
      <w:r w:rsidR="00021E2A" w:rsidRPr="00320416">
        <w:rPr>
          <w:b/>
          <w:bCs/>
        </w:rPr>
        <w:instrText xml:space="preserve"> </w:instrText>
      </w:r>
      <w:r w:rsidR="00021E2A">
        <w:rPr>
          <w:b/>
          <w:bCs/>
          <w:lang w:val="en-US"/>
        </w:rPr>
        <w:instrText>disappointing</w:instrText>
      </w:r>
      <w:r w:rsidR="00021E2A" w:rsidRPr="00320416">
        <w:rPr>
          <w:b/>
          <w:bCs/>
        </w:rPr>
        <w:instrText xml:space="preserve"> </w:instrText>
      </w:r>
      <w:r w:rsidR="00021E2A">
        <w:rPr>
          <w:b/>
          <w:bCs/>
          <w:lang w:val="en-US"/>
        </w:rPr>
        <w:instrText>efficacy</w:instrText>
      </w:r>
      <w:r w:rsidR="00021E2A" w:rsidRPr="00320416">
        <w:rPr>
          <w:b/>
          <w:bCs/>
        </w:rPr>
        <w:instrText xml:space="preserve"> </w:instrText>
      </w:r>
      <w:r w:rsidR="00021E2A">
        <w:rPr>
          <w:b/>
          <w:bCs/>
          <w:lang w:val="en-US"/>
        </w:rPr>
        <w:instrText>in</w:instrText>
      </w:r>
      <w:r w:rsidR="00021E2A" w:rsidRPr="00320416">
        <w:rPr>
          <w:b/>
          <w:bCs/>
        </w:rPr>
        <w:instrText xml:space="preserve"> </w:instrText>
      </w:r>
      <w:r w:rsidR="00021E2A">
        <w:rPr>
          <w:b/>
          <w:bCs/>
          <w:lang w:val="en-US"/>
        </w:rPr>
        <w:instrText>diffuse</w:instrText>
      </w:r>
      <w:r w:rsidR="00021E2A" w:rsidRPr="00320416">
        <w:rPr>
          <w:b/>
          <w:bCs/>
        </w:rPr>
        <w:instrText xml:space="preserve"> </w:instrText>
      </w:r>
      <w:r w:rsidR="00021E2A">
        <w:rPr>
          <w:b/>
          <w:bCs/>
          <w:lang w:val="en-US"/>
        </w:rPr>
        <w:instrText>large</w:instrText>
      </w:r>
      <w:r w:rsidR="00021E2A" w:rsidRPr="00320416">
        <w:rPr>
          <w:b/>
          <w:bCs/>
        </w:rPr>
        <w:instrText xml:space="preserve"> </w:instrText>
      </w:r>
      <w:r w:rsidR="00021E2A">
        <w:rPr>
          <w:b/>
          <w:bCs/>
          <w:lang w:val="en-US"/>
        </w:rPr>
        <w:instrText>B</w:instrText>
      </w:r>
      <w:r w:rsidR="00021E2A" w:rsidRPr="00320416">
        <w:rPr>
          <w:b/>
          <w:bCs/>
        </w:rPr>
        <w:instrText xml:space="preserve"> </w:instrText>
      </w:r>
      <w:r w:rsidR="00021E2A">
        <w:rPr>
          <w:b/>
          <w:bCs/>
          <w:lang w:val="en-US"/>
        </w:rPr>
        <w:instrText>cell</w:instrText>
      </w:r>
      <w:r w:rsidR="00021E2A" w:rsidRPr="00320416">
        <w:rPr>
          <w:b/>
          <w:bCs/>
        </w:rPr>
        <w:instrText xml:space="preserve"> </w:instrText>
      </w:r>
      <w:r w:rsidR="00021E2A">
        <w:rPr>
          <w:b/>
          <w:bCs/>
          <w:lang w:val="en-US"/>
        </w:rPr>
        <w:instrText>lymphoma</w:instrText>
      </w:r>
      <w:r w:rsidR="00021E2A" w:rsidRPr="00320416">
        <w:rPr>
          <w:b/>
          <w:bCs/>
        </w:rPr>
        <w:instrText xml:space="preserve"> (</w:instrText>
      </w:r>
      <w:r w:rsidR="00021E2A">
        <w:rPr>
          <w:b/>
          <w:bCs/>
          <w:lang w:val="en-US"/>
        </w:rPr>
        <w:instrText>DLBCL</w:instrText>
      </w:r>
      <w:r w:rsidR="00021E2A" w:rsidRPr="00320416">
        <w:rPr>
          <w:b/>
          <w:bCs/>
        </w:rPr>
        <w:instrText xml:space="preserve">), </w:instrText>
      </w:r>
      <w:r w:rsidR="00021E2A">
        <w:rPr>
          <w:b/>
          <w:bCs/>
          <w:lang w:val="en-US"/>
        </w:rPr>
        <w:instrText>it</w:instrText>
      </w:r>
      <w:r w:rsidR="00021E2A" w:rsidRPr="00320416">
        <w:rPr>
          <w:b/>
          <w:bCs/>
        </w:rPr>
        <w:instrText xml:space="preserve"> </w:instrText>
      </w:r>
      <w:r w:rsidR="00021E2A">
        <w:rPr>
          <w:b/>
          <w:bCs/>
          <w:lang w:val="en-US"/>
        </w:rPr>
        <w:instrText>is</w:instrText>
      </w:r>
      <w:r w:rsidR="00021E2A" w:rsidRPr="00320416">
        <w:rPr>
          <w:b/>
          <w:bCs/>
        </w:rPr>
        <w:instrText xml:space="preserve"> </w:instrText>
      </w:r>
      <w:r w:rsidR="00021E2A">
        <w:rPr>
          <w:b/>
          <w:bCs/>
          <w:lang w:val="en-US"/>
        </w:rPr>
        <w:instrText>still</w:instrText>
      </w:r>
      <w:r w:rsidR="00021E2A" w:rsidRPr="00320416">
        <w:rPr>
          <w:b/>
          <w:bCs/>
        </w:rPr>
        <w:instrText xml:space="preserve"> </w:instrText>
      </w:r>
      <w:r w:rsidR="00021E2A">
        <w:rPr>
          <w:b/>
          <w:bCs/>
          <w:lang w:val="en-US"/>
        </w:rPr>
        <w:instrText>occasionally</w:instrText>
      </w:r>
      <w:r w:rsidR="00021E2A" w:rsidRPr="00320416">
        <w:rPr>
          <w:b/>
          <w:bCs/>
        </w:rPr>
        <w:instrText xml:space="preserve"> </w:instrText>
      </w:r>
      <w:r w:rsidR="00021E2A">
        <w:rPr>
          <w:b/>
          <w:bCs/>
          <w:lang w:val="en-US"/>
        </w:rPr>
        <w:instrText>used</w:instrText>
      </w:r>
      <w:r w:rsidR="00021E2A" w:rsidRPr="00320416">
        <w:rPr>
          <w:b/>
          <w:bCs/>
        </w:rPr>
        <w:instrText xml:space="preserve"> </w:instrText>
      </w:r>
      <w:r w:rsidR="00021E2A">
        <w:rPr>
          <w:b/>
          <w:bCs/>
          <w:lang w:val="en-US"/>
        </w:rPr>
        <w:instrText>as</w:instrText>
      </w:r>
      <w:r w:rsidR="00021E2A" w:rsidRPr="00320416">
        <w:rPr>
          <w:b/>
          <w:bCs/>
        </w:rPr>
        <w:instrText xml:space="preserve"> </w:instrText>
      </w:r>
      <w:r w:rsidR="00021E2A">
        <w:rPr>
          <w:b/>
          <w:bCs/>
          <w:lang w:val="en-US"/>
        </w:rPr>
        <w:instrText>first</w:instrText>
      </w:r>
      <w:r w:rsidR="00021E2A" w:rsidRPr="00320416">
        <w:rPr>
          <w:b/>
          <w:bCs/>
        </w:rPr>
        <w:instrText>-</w:instrText>
      </w:r>
      <w:r w:rsidR="00021E2A">
        <w:rPr>
          <w:b/>
          <w:bCs/>
          <w:lang w:val="en-US"/>
        </w:rPr>
        <w:instrText>line</w:instrText>
      </w:r>
      <w:r w:rsidR="00021E2A" w:rsidRPr="00320416">
        <w:rPr>
          <w:b/>
          <w:bCs/>
        </w:rPr>
        <w:instrText xml:space="preserve"> </w:instrText>
      </w:r>
      <w:r w:rsidR="00021E2A">
        <w:rPr>
          <w:b/>
          <w:bCs/>
          <w:lang w:val="en-US"/>
        </w:rPr>
        <w:instrText>treatment</w:instrText>
      </w:r>
      <w:r w:rsidR="00021E2A" w:rsidRPr="00320416">
        <w:rPr>
          <w:b/>
          <w:bCs/>
        </w:rPr>
        <w:instrText xml:space="preserve"> </w:instrText>
      </w:r>
      <w:r w:rsidR="00021E2A">
        <w:rPr>
          <w:b/>
          <w:bCs/>
          <w:lang w:val="en-US"/>
        </w:rPr>
        <w:instrText>in</w:instrText>
      </w:r>
      <w:r w:rsidR="00021E2A" w:rsidRPr="00320416">
        <w:rPr>
          <w:b/>
          <w:bCs/>
        </w:rPr>
        <w:instrText xml:space="preserve"> </w:instrText>
      </w:r>
      <w:r w:rsidR="00021E2A">
        <w:rPr>
          <w:b/>
          <w:bCs/>
          <w:lang w:val="en-US"/>
        </w:rPr>
        <w:instrText>older</w:instrText>
      </w:r>
      <w:r w:rsidR="00021E2A" w:rsidRPr="00320416">
        <w:rPr>
          <w:b/>
          <w:bCs/>
        </w:rPr>
        <w:instrText xml:space="preserve"> </w:instrText>
      </w:r>
      <w:r w:rsidR="00021E2A">
        <w:rPr>
          <w:b/>
          <w:bCs/>
          <w:lang w:val="en-US"/>
        </w:rPr>
        <w:instrText>DLBCL</w:instrText>
      </w:r>
      <w:r w:rsidR="00021E2A" w:rsidRPr="00320416">
        <w:rPr>
          <w:b/>
          <w:bCs/>
        </w:rPr>
        <w:instrText xml:space="preserve"> </w:instrText>
      </w:r>
      <w:r w:rsidR="00021E2A">
        <w:rPr>
          <w:b/>
          <w:bCs/>
          <w:lang w:val="en-US"/>
        </w:rPr>
        <w:instrText>patients</w:instrText>
      </w:r>
      <w:r w:rsidR="00021E2A" w:rsidRPr="00320416">
        <w:rPr>
          <w:b/>
          <w:bCs/>
        </w:rPr>
        <w:instrText xml:space="preserve"> </w:instrText>
      </w:r>
      <w:r w:rsidR="00021E2A">
        <w:rPr>
          <w:b/>
          <w:bCs/>
          <w:lang w:val="en-US"/>
        </w:rPr>
        <w:instrText>instead</w:instrText>
      </w:r>
      <w:r w:rsidR="00021E2A" w:rsidRPr="00320416">
        <w:rPr>
          <w:b/>
          <w:bCs/>
        </w:rPr>
        <w:instrText xml:space="preserve"> </w:instrText>
      </w:r>
      <w:r w:rsidR="00021E2A">
        <w:rPr>
          <w:b/>
          <w:bCs/>
          <w:lang w:val="en-US"/>
        </w:rPr>
        <w:instrText>of</w:instrText>
      </w:r>
      <w:r w:rsidR="00021E2A" w:rsidRPr="00320416">
        <w:rPr>
          <w:b/>
          <w:bCs/>
        </w:rPr>
        <w:instrText xml:space="preserve"> </w:instrText>
      </w:r>
      <w:r w:rsidR="00021E2A">
        <w:rPr>
          <w:b/>
          <w:bCs/>
          <w:lang w:val="en-US"/>
        </w:rPr>
        <w:instrText>recommended</w:instrText>
      </w:r>
      <w:r w:rsidR="00021E2A" w:rsidRPr="00320416">
        <w:rPr>
          <w:b/>
          <w:bCs/>
        </w:rPr>
        <w:instrText xml:space="preserve"> </w:instrText>
      </w:r>
      <w:r w:rsidR="00021E2A">
        <w:rPr>
          <w:b/>
          <w:bCs/>
          <w:lang w:val="en-US"/>
        </w:rPr>
        <w:instrText>R</w:instrText>
      </w:r>
      <w:r w:rsidR="00021E2A" w:rsidRPr="00320416">
        <w:rPr>
          <w:b/>
          <w:bCs/>
        </w:rPr>
        <w:instrText>-</w:instrText>
      </w:r>
      <w:r w:rsidR="00021E2A">
        <w:rPr>
          <w:b/>
          <w:bCs/>
          <w:lang w:val="en-US"/>
        </w:rPr>
        <w:instrText>CHOP</w:instrText>
      </w:r>
      <w:r w:rsidR="00021E2A" w:rsidRPr="00320416">
        <w:rPr>
          <w:b/>
          <w:bCs/>
        </w:rPr>
        <w:instrText xml:space="preserve">. </w:instrText>
      </w:r>
      <w:r w:rsidR="00021E2A">
        <w:rPr>
          <w:b/>
          <w:bCs/>
          <w:lang w:val="en-US"/>
        </w:rPr>
        <w:instrText>This</w:instrText>
      </w:r>
      <w:r w:rsidR="00021E2A" w:rsidRPr="00320416">
        <w:rPr>
          <w:b/>
          <w:bCs/>
        </w:rPr>
        <w:instrText xml:space="preserve"> </w:instrText>
      </w:r>
      <w:r w:rsidR="00021E2A">
        <w:rPr>
          <w:b/>
          <w:bCs/>
          <w:lang w:val="en-US"/>
        </w:rPr>
        <w:instrText>multicentre</w:instrText>
      </w:r>
      <w:r w:rsidR="00021E2A" w:rsidRPr="00320416">
        <w:rPr>
          <w:b/>
          <w:bCs/>
        </w:rPr>
        <w:instrText xml:space="preserve">, </w:instrText>
      </w:r>
      <w:r w:rsidR="00021E2A">
        <w:rPr>
          <w:b/>
          <w:bCs/>
          <w:lang w:val="en-US"/>
        </w:rPr>
        <w:instrText>retrospective</w:instrText>
      </w:r>
      <w:r w:rsidR="00021E2A" w:rsidRPr="00320416">
        <w:rPr>
          <w:b/>
          <w:bCs/>
        </w:rPr>
        <w:instrText xml:space="preserve"> </w:instrText>
      </w:r>
      <w:r w:rsidR="00021E2A">
        <w:rPr>
          <w:b/>
          <w:bCs/>
          <w:lang w:val="en-US"/>
        </w:rPr>
        <w:instrText>study</w:instrText>
      </w:r>
      <w:r w:rsidR="00021E2A" w:rsidRPr="00320416">
        <w:rPr>
          <w:b/>
          <w:bCs/>
        </w:rPr>
        <w:instrText xml:space="preserve"> </w:instrText>
      </w:r>
      <w:r w:rsidR="00021E2A">
        <w:rPr>
          <w:b/>
          <w:bCs/>
          <w:lang w:val="en-US"/>
        </w:rPr>
        <w:instrText>was</w:instrText>
      </w:r>
      <w:r w:rsidR="00021E2A" w:rsidRPr="00320416">
        <w:rPr>
          <w:b/>
          <w:bCs/>
        </w:rPr>
        <w:instrText xml:space="preserve"> </w:instrText>
      </w:r>
      <w:r w:rsidR="00021E2A">
        <w:rPr>
          <w:b/>
          <w:bCs/>
          <w:lang w:val="en-US"/>
        </w:rPr>
        <w:instrText>aimed</w:instrText>
      </w:r>
      <w:r w:rsidR="00021E2A" w:rsidRPr="00320416">
        <w:rPr>
          <w:b/>
          <w:bCs/>
        </w:rPr>
        <w:instrText xml:space="preserve"> </w:instrText>
      </w:r>
      <w:r w:rsidR="00021E2A">
        <w:rPr>
          <w:b/>
          <w:bCs/>
          <w:lang w:val="en-US"/>
        </w:rPr>
        <w:instrText>to</w:instrText>
      </w:r>
      <w:r w:rsidR="00021E2A" w:rsidRPr="00320416">
        <w:rPr>
          <w:b/>
          <w:bCs/>
        </w:rPr>
        <w:instrText xml:space="preserve"> </w:instrText>
      </w:r>
      <w:r w:rsidR="00021E2A">
        <w:rPr>
          <w:b/>
          <w:bCs/>
          <w:lang w:val="en-US"/>
        </w:rPr>
        <w:instrText>clarify</w:instrText>
      </w:r>
      <w:r w:rsidR="00021E2A" w:rsidRPr="00320416">
        <w:rPr>
          <w:b/>
          <w:bCs/>
        </w:rPr>
        <w:instrText xml:space="preserve"> </w:instrText>
      </w:r>
      <w:r w:rsidR="00021E2A">
        <w:rPr>
          <w:b/>
          <w:bCs/>
          <w:lang w:val="en-US"/>
        </w:rPr>
        <w:instrText>circumstances</w:instrText>
      </w:r>
      <w:r w:rsidR="00021E2A" w:rsidRPr="00320416">
        <w:rPr>
          <w:b/>
          <w:bCs/>
        </w:rPr>
        <w:instrText xml:space="preserve"> </w:instrText>
      </w:r>
      <w:r w:rsidR="00021E2A">
        <w:rPr>
          <w:b/>
          <w:bCs/>
          <w:lang w:val="en-US"/>
        </w:rPr>
        <w:instrText>in</w:instrText>
      </w:r>
      <w:r w:rsidR="00021E2A" w:rsidRPr="00320416">
        <w:rPr>
          <w:b/>
          <w:bCs/>
        </w:rPr>
        <w:instrText xml:space="preserve"> </w:instrText>
      </w:r>
      <w:r w:rsidR="00021E2A">
        <w:rPr>
          <w:b/>
          <w:bCs/>
          <w:lang w:val="en-US"/>
        </w:rPr>
        <w:instrText>which</w:instrText>
      </w:r>
      <w:r w:rsidR="00021E2A" w:rsidRPr="00320416">
        <w:rPr>
          <w:b/>
          <w:bCs/>
        </w:rPr>
        <w:instrText xml:space="preserve"> </w:instrText>
      </w:r>
      <w:r w:rsidR="00021E2A">
        <w:rPr>
          <w:b/>
          <w:bCs/>
          <w:lang w:val="en-US"/>
        </w:rPr>
        <w:instrText>BR</w:instrText>
      </w:r>
      <w:r w:rsidR="00021E2A" w:rsidRPr="00320416">
        <w:rPr>
          <w:b/>
          <w:bCs/>
        </w:rPr>
        <w:instrText xml:space="preserve"> </w:instrText>
      </w:r>
      <w:r w:rsidR="00021E2A">
        <w:rPr>
          <w:b/>
          <w:bCs/>
          <w:lang w:val="en-US"/>
        </w:rPr>
        <w:instrText>may</w:instrText>
      </w:r>
      <w:r w:rsidR="00021E2A" w:rsidRPr="00320416">
        <w:rPr>
          <w:b/>
          <w:bCs/>
        </w:rPr>
        <w:instrText xml:space="preserve"> </w:instrText>
      </w:r>
      <w:r w:rsidR="00021E2A">
        <w:rPr>
          <w:b/>
          <w:bCs/>
          <w:lang w:val="en-US"/>
        </w:rPr>
        <w:instrText>be</w:instrText>
      </w:r>
      <w:r w:rsidR="00021E2A" w:rsidRPr="00320416">
        <w:rPr>
          <w:b/>
          <w:bCs/>
        </w:rPr>
        <w:instrText xml:space="preserve"> </w:instrText>
      </w:r>
      <w:r w:rsidR="00021E2A">
        <w:rPr>
          <w:b/>
          <w:bCs/>
          <w:lang w:val="en-US"/>
        </w:rPr>
        <w:instrText>justified</w:instrText>
      </w:r>
      <w:r w:rsidR="00021E2A" w:rsidRPr="00320416">
        <w:rPr>
          <w:b/>
          <w:bCs/>
        </w:rPr>
        <w:instrText xml:space="preserve"> </w:instrText>
      </w:r>
      <w:r w:rsidR="00021E2A">
        <w:rPr>
          <w:b/>
          <w:bCs/>
          <w:lang w:val="en-US"/>
        </w:rPr>
        <w:instrText>in</w:instrText>
      </w:r>
      <w:r w:rsidR="00021E2A" w:rsidRPr="00320416">
        <w:rPr>
          <w:b/>
          <w:bCs/>
        </w:rPr>
        <w:instrText xml:space="preserve"> </w:instrText>
      </w:r>
      <w:r w:rsidR="00021E2A">
        <w:rPr>
          <w:b/>
          <w:bCs/>
          <w:lang w:val="en-US"/>
        </w:rPr>
        <w:instrText>this</w:instrText>
      </w:r>
      <w:r w:rsidR="00021E2A" w:rsidRPr="00320416">
        <w:rPr>
          <w:b/>
          <w:bCs/>
        </w:rPr>
        <w:instrText xml:space="preserve"> </w:instrText>
      </w:r>
      <w:r w:rsidR="00021E2A">
        <w:rPr>
          <w:b/>
          <w:bCs/>
          <w:lang w:val="en-US"/>
        </w:rPr>
        <w:instrText>setting</w:instrText>
      </w:r>
      <w:r w:rsidR="00021E2A" w:rsidRPr="00320416">
        <w:rPr>
          <w:b/>
          <w:bCs/>
        </w:rPr>
        <w:instrText xml:space="preserve">. </w:instrText>
      </w:r>
      <w:r w:rsidR="00021E2A">
        <w:rPr>
          <w:b/>
          <w:bCs/>
          <w:lang w:val="en-US"/>
        </w:rPr>
        <w:instrText>Patients</w:instrText>
      </w:r>
      <w:r w:rsidR="00021E2A" w:rsidRPr="00320416">
        <w:rPr>
          <w:b/>
          <w:bCs/>
        </w:rPr>
        <w:instrText xml:space="preserve"> ≥ 65 </w:instrText>
      </w:r>
      <w:r w:rsidR="00021E2A">
        <w:rPr>
          <w:b/>
          <w:bCs/>
          <w:lang w:val="en-US"/>
        </w:rPr>
        <w:instrText>years</w:instrText>
      </w:r>
      <w:r w:rsidR="00021E2A" w:rsidRPr="00320416">
        <w:rPr>
          <w:b/>
          <w:bCs/>
        </w:rPr>
        <w:instrText xml:space="preserve"> </w:instrText>
      </w:r>
      <w:r w:rsidR="00021E2A">
        <w:rPr>
          <w:b/>
          <w:bCs/>
          <w:lang w:val="en-US"/>
        </w:rPr>
        <w:instrText>with</w:instrText>
      </w:r>
      <w:r w:rsidR="00021E2A" w:rsidRPr="00320416">
        <w:rPr>
          <w:b/>
          <w:bCs/>
        </w:rPr>
        <w:instrText xml:space="preserve"> </w:instrText>
      </w:r>
      <w:r w:rsidR="00021E2A">
        <w:rPr>
          <w:b/>
          <w:bCs/>
          <w:lang w:val="en-US"/>
        </w:rPr>
        <w:instrText>ECOG</w:instrText>
      </w:r>
      <w:r w:rsidR="00021E2A" w:rsidRPr="00320416">
        <w:rPr>
          <w:b/>
          <w:bCs/>
        </w:rPr>
        <w:instrText xml:space="preserve"> </w:instrText>
      </w:r>
      <w:r w:rsidR="00021E2A">
        <w:rPr>
          <w:b/>
          <w:bCs/>
          <w:lang w:val="en-US"/>
        </w:rPr>
        <w:instrText>performance</w:instrText>
      </w:r>
      <w:r w:rsidR="00021E2A" w:rsidRPr="00320416">
        <w:rPr>
          <w:b/>
          <w:bCs/>
        </w:rPr>
        <w:instrText xml:space="preserve"> </w:instrText>
      </w:r>
      <w:r w:rsidR="00021E2A">
        <w:rPr>
          <w:b/>
          <w:bCs/>
          <w:lang w:val="en-US"/>
        </w:rPr>
        <w:instrText>status</w:instrText>
      </w:r>
      <w:r w:rsidR="00021E2A" w:rsidRPr="00320416">
        <w:rPr>
          <w:b/>
          <w:bCs/>
        </w:rPr>
        <w:instrText xml:space="preserve"> (</w:instrText>
      </w:r>
      <w:r w:rsidR="00021E2A">
        <w:rPr>
          <w:b/>
          <w:bCs/>
          <w:lang w:val="en-US"/>
        </w:rPr>
        <w:instrText>PS</w:instrText>
      </w:r>
      <w:r w:rsidR="00021E2A" w:rsidRPr="00320416">
        <w:rPr>
          <w:b/>
          <w:bCs/>
        </w:rPr>
        <w:instrText xml:space="preserve">) ≥ 2 </w:instrText>
      </w:r>
      <w:r w:rsidR="00021E2A">
        <w:rPr>
          <w:b/>
          <w:bCs/>
          <w:lang w:val="en-US"/>
        </w:rPr>
        <w:instrText>or</w:instrText>
      </w:r>
      <w:r w:rsidR="00021E2A" w:rsidRPr="00320416">
        <w:rPr>
          <w:b/>
          <w:bCs/>
        </w:rPr>
        <w:instrText xml:space="preserve"> ≥ 75 </w:instrText>
      </w:r>
      <w:r w:rsidR="00021E2A">
        <w:rPr>
          <w:b/>
          <w:bCs/>
          <w:lang w:val="en-US"/>
        </w:rPr>
        <w:instrText>years</w:instrText>
      </w:r>
      <w:r w:rsidR="00021E2A" w:rsidRPr="00320416">
        <w:rPr>
          <w:b/>
          <w:bCs/>
        </w:rPr>
        <w:instrText xml:space="preserve"> </w:instrText>
      </w:r>
      <w:r w:rsidR="00021E2A">
        <w:rPr>
          <w:b/>
          <w:bCs/>
          <w:lang w:val="en-US"/>
        </w:rPr>
        <w:instrText>regardless</w:instrText>
      </w:r>
      <w:r w:rsidR="00021E2A" w:rsidRPr="00320416">
        <w:rPr>
          <w:b/>
          <w:bCs/>
        </w:rPr>
        <w:instrText xml:space="preserve"> </w:instrText>
      </w:r>
      <w:r w:rsidR="00021E2A">
        <w:rPr>
          <w:b/>
          <w:bCs/>
          <w:lang w:val="en-US"/>
        </w:rPr>
        <w:instrText>of</w:instrText>
      </w:r>
      <w:r w:rsidR="00021E2A" w:rsidRPr="00320416">
        <w:rPr>
          <w:b/>
          <w:bCs/>
        </w:rPr>
        <w:instrText xml:space="preserve"> </w:instrText>
      </w:r>
      <w:r w:rsidR="00021E2A">
        <w:rPr>
          <w:b/>
          <w:bCs/>
          <w:lang w:val="en-US"/>
        </w:rPr>
        <w:instrText>PS</w:instrText>
      </w:r>
      <w:r w:rsidR="00021E2A" w:rsidRPr="00320416">
        <w:rPr>
          <w:b/>
          <w:bCs/>
        </w:rPr>
        <w:instrText xml:space="preserve"> </w:instrText>
      </w:r>
      <w:r w:rsidR="00021E2A">
        <w:rPr>
          <w:b/>
          <w:bCs/>
          <w:lang w:val="en-US"/>
        </w:rPr>
        <w:instrText>were</w:instrText>
      </w:r>
      <w:r w:rsidR="00021E2A" w:rsidRPr="00320416">
        <w:rPr>
          <w:b/>
          <w:bCs/>
        </w:rPr>
        <w:instrText xml:space="preserve"> </w:instrText>
      </w:r>
      <w:r w:rsidR="00021E2A">
        <w:rPr>
          <w:b/>
          <w:bCs/>
          <w:lang w:val="en-US"/>
        </w:rPr>
        <w:instrText>included</w:instrText>
      </w:r>
      <w:r w:rsidR="00021E2A" w:rsidRPr="00320416">
        <w:rPr>
          <w:b/>
          <w:bCs/>
        </w:rPr>
        <w:instrText xml:space="preserve">. </w:instrText>
      </w:r>
      <w:r w:rsidR="00021E2A">
        <w:rPr>
          <w:b/>
          <w:bCs/>
          <w:lang w:val="en-US"/>
        </w:rPr>
        <w:instrText>A</w:instrText>
      </w:r>
      <w:r w:rsidR="00021E2A" w:rsidRPr="00320416">
        <w:rPr>
          <w:b/>
          <w:bCs/>
        </w:rPr>
        <w:instrText xml:space="preserve"> </w:instrText>
      </w:r>
      <w:r w:rsidR="00021E2A">
        <w:rPr>
          <w:b/>
          <w:bCs/>
          <w:lang w:val="en-US"/>
        </w:rPr>
        <w:instrText>total</w:instrText>
      </w:r>
      <w:r w:rsidR="00021E2A" w:rsidRPr="00320416">
        <w:rPr>
          <w:b/>
          <w:bCs/>
        </w:rPr>
        <w:instrText xml:space="preserve"> </w:instrText>
      </w:r>
      <w:r w:rsidR="00021E2A">
        <w:rPr>
          <w:b/>
          <w:bCs/>
          <w:lang w:val="en-US"/>
        </w:rPr>
        <w:instrText>of</w:instrText>
      </w:r>
      <w:r w:rsidR="00021E2A" w:rsidRPr="00320416">
        <w:rPr>
          <w:b/>
          <w:bCs/>
        </w:rPr>
        <w:instrText xml:space="preserve"> 140 </w:instrText>
      </w:r>
      <w:r w:rsidR="00021E2A">
        <w:rPr>
          <w:b/>
          <w:bCs/>
          <w:lang w:val="en-US"/>
        </w:rPr>
        <w:instrText>patients</w:instrText>
      </w:r>
      <w:r w:rsidR="00021E2A" w:rsidRPr="00320416">
        <w:rPr>
          <w:b/>
          <w:bCs/>
        </w:rPr>
        <w:instrText xml:space="preserve"> </w:instrText>
      </w:r>
      <w:r w:rsidR="00021E2A">
        <w:rPr>
          <w:b/>
          <w:bCs/>
          <w:lang w:val="en-US"/>
        </w:rPr>
        <w:instrText>were</w:instrText>
      </w:r>
      <w:r w:rsidR="00021E2A" w:rsidRPr="00320416">
        <w:rPr>
          <w:b/>
          <w:bCs/>
        </w:rPr>
        <w:instrText xml:space="preserve"> </w:instrText>
      </w:r>
      <w:r w:rsidR="00021E2A">
        <w:rPr>
          <w:b/>
          <w:bCs/>
          <w:lang w:val="en-US"/>
        </w:rPr>
        <w:instrText>analysed</w:instrText>
      </w:r>
      <w:r w:rsidR="00021E2A" w:rsidRPr="00320416">
        <w:rPr>
          <w:b/>
          <w:bCs/>
        </w:rPr>
        <w:instrText xml:space="preserve"> (</w:instrText>
      </w:r>
      <w:r w:rsidR="00021E2A">
        <w:rPr>
          <w:b/>
          <w:bCs/>
          <w:lang w:val="en-US"/>
        </w:rPr>
        <w:instrText>BR</w:instrText>
      </w:r>
      <w:r w:rsidR="00021E2A" w:rsidRPr="00320416">
        <w:rPr>
          <w:b/>
          <w:bCs/>
        </w:rPr>
        <w:instrText xml:space="preserve">, 68; </w:instrText>
      </w:r>
      <w:r w:rsidR="00021E2A">
        <w:rPr>
          <w:b/>
          <w:bCs/>
          <w:lang w:val="en-US"/>
        </w:rPr>
        <w:instrText>R</w:instrText>
      </w:r>
      <w:r w:rsidR="00021E2A" w:rsidRPr="00320416">
        <w:rPr>
          <w:b/>
          <w:bCs/>
        </w:rPr>
        <w:instrText>-</w:instrText>
      </w:r>
      <w:r w:rsidR="00021E2A">
        <w:rPr>
          <w:b/>
          <w:bCs/>
          <w:lang w:val="en-US"/>
        </w:rPr>
        <w:instrText>CHOP</w:instrText>
      </w:r>
      <w:r w:rsidR="00021E2A" w:rsidRPr="00320416">
        <w:rPr>
          <w:b/>
          <w:bCs/>
        </w:rPr>
        <w:instrText xml:space="preserve">, 72). </w:instrText>
      </w:r>
      <w:r w:rsidR="00021E2A">
        <w:rPr>
          <w:b/>
          <w:bCs/>
          <w:lang w:val="en-US"/>
        </w:rPr>
        <w:instrText>BR</w:instrText>
      </w:r>
      <w:r w:rsidR="00021E2A" w:rsidRPr="00320416">
        <w:rPr>
          <w:b/>
          <w:bCs/>
        </w:rPr>
        <w:instrText xml:space="preserve"> </w:instrText>
      </w:r>
      <w:r w:rsidR="00021E2A">
        <w:rPr>
          <w:b/>
          <w:bCs/>
          <w:lang w:val="en-US"/>
        </w:rPr>
        <w:instrText>patients</w:instrText>
      </w:r>
      <w:r w:rsidR="00021E2A" w:rsidRPr="00320416">
        <w:rPr>
          <w:b/>
          <w:bCs/>
        </w:rPr>
        <w:instrText xml:space="preserve"> </w:instrText>
      </w:r>
      <w:r w:rsidR="00021E2A">
        <w:rPr>
          <w:b/>
          <w:bCs/>
          <w:lang w:val="en-US"/>
        </w:rPr>
        <w:instrText>were</w:instrText>
      </w:r>
      <w:r w:rsidR="00021E2A" w:rsidRPr="00320416">
        <w:rPr>
          <w:b/>
          <w:bCs/>
        </w:rPr>
        <w:instrText xml:space="preserve"> </w:instrText>
      </w:r>
      <w:r w:rsidR="00021E2A">
        <w:rPr>
          <w:b/>
          <w:bCs/>
          <w:lang w:val="en-US"/>
        </w:rPr>
        <w:instrText>older</w:instrText>
      </w:r>
      <w:r w:rsidR="00021E2A" w:rsidRPr="00320416">
        <w:rPr>
          <w:b/>
          <w:bCs/>
        </w:rPr>
        <w:instrText xml:space="preserve"> (</w:instrText>
      </w:r>
      <w:r w:rsidR="00021E2A">
        <w:rPr>
          <w:b/>
          <w:bCs/>
          <w:lang w:val="en-US"/>
        </w:rPr>
        <w:instrText>p</w:instrText>
      </w:r>
      <w:r w:rsidR="00021E2A" w:rsidRPr="00320416">
        <w:rPr>
          <w:b/>
          <w:bCs/>
        </w:rPr>
        <w:instrText xml:space="preserve"> &lt; 0.001) </w:instrText>
      </w:r>
      <w:r w:rsidR="00021E2A">
        <w:rPr>
          <w:b/>
          <w:bCs/>
          <w:lang w:val="en-US"/>
        </w:rPr>
        <w:instrText>and</w:instrText>
      </w:r>
      <w:r w:rsidR="00021E2A" w:rsidRPr="00320416">
        <w:rPr>
          <w:b/>
          <w:bCs/>
        </w:rPr>
        <w:instrText xml:space="preserve"> </w:instrText>
      </w:r>
      <w:r w:rsidR="00021E2A">
        <w:rPr>
          <w:b/>
          <w:bCs/>
          <w:lang w:val="en-US"/>
        </w:rPr>
        <w:instrText>were</w:instrText>
      </w:r>
      <w:r w:rsidR="00021E2A" w:rsidRPr="00320416">
        <w:rPr>
          <w:b/>
          <w:bCs/>
        </w:rPr>
        <w:instrText xml:space="preserve"> </w:instrText>
      </w:r>
      <w:r w:rsidR="00021E2A">
        <w:rPr>
          <w:b/>
          <w:bCs/>
          <w:lang w:val="en-US"/>
        </w:rPr>
        <w:instrText>diagnosed</w:instrText>
      </w:r>
      <w:r w:rsidR="00021E2A" w:rsidRPr="00320416">
        <w:rPr>
          <w:b/>
          <w:bCs/>
        </w:rPr>
        <w:instrText xml:space="preserve"> </w:instrText>
      </w:r>
      <w:r w:rsidR="00021E2A">
        <w:rPr>
          <w:b/>
          <w:bCs/>
          <w:lang w:val="en-US"/>
        </w:rPr>
        <w:instrText>more</w:instrText>
      </w:r>
      <w:r w:rsidR="00021E2A" w:rsidRPr="00320416">
        <w:rPr>
          <w:b/>
          <w:bCs/>
        </w:rPr>
        <w:instrText xml:space="preserve"> </w:instrText>
      </w:r>
      <w:r w:rsidR="00021E2A">
        <w:rPr>
          <w:b/>
          <w:bCs/>
          <w:lang w:val="en-US"/>
        </w:rPr>
        <w:instrText>often</w:instrText>
      </w:r>
      <w:r w:rsidR="00021E2A" w:rsidRPr="00320416">
        <w:rPr>
          <w:b/>
          <w:bCs/>
        </w:rPr>
        <w:instrText xml:space="preserve"> </w:instrText>
      </w:r>
      <w:r w:rsidR="00021E2A">
        <w:rPr>
          <w:b/>
          <w:bCs/>
          <w:lang w:val="en-US"/>
        </w:rPr>
        <w:instrText>with</w:instrText>
      </w:r>
      <w:r w:rsidR="00021E2A" w:rsidRPr="00320416">
        <w:rPr>
          <w:b/>
          <w:bCs/>
        </w:rPr>
        <w:instrText xml:space="preserve"> </w:instrText>
      </w:r>
      <w:r w:rsidR="00021E2A">
        <w:rPr>
          <w:b/>
          <w:bCs/>
          <w:lang w:val="en-US"/>
        </w:rPr>
        <w:instrText>high</w:instrText>
      </w:r>
      <w:r w:rsidR="00021E2A" w:rsidRPr="00320416">
        <w:rPr>
          <w:b/>
          <w:bCs/>
        </w:rPr>
        <w:instrText>-</w:instrText>
      </w:r>
      <w:r w:rsidR="00021E2A">
        <w:rPr>
          <w:b/>
          <w:bCs/>
          <w:lang w:val="en-US"/>
        </w:rPr>
        <w:instrText>risk</w:instrText>
      </w:r>
      <w:r w:rsidR="00021E2A" w:rsidRPr="00320416">
        <w:rPr>
          <w:b/>
          <w:bCs/>
        </w:rPr>
        <w:instrText xml:space="preserve"> </w:instrText>
      </w:r>
      <w:r w:rsidR="00021E2A">
        <w:rPr>
          <w:b/>
          <w:bCs/>
          <w:lang w:val="en-US"/>
        </w:rPr>
        <w:instrText>disease</w:instrText>
      </w:r>
      <w:r w:rsidR="00021E2A" w:rsidRPr="00320416">
        <w:rPr>
          <w:b/>
          <w:bCs/>
        </w:rPr>
        <w:instrText xml:space="preserve"> (</w:instrText>
      </w:r>
      <w:r w:rsidR="00021E2A">
        <w:rPr>
          <w:b/>
          <w:bCs/>
          <w:lang w:val="en-US"/>
        </w:rPr>
        <w:instrText>p</w:instrText>
      </w:r>
      <w:r w:rsidR="00021E2A" w:rsidRPr="00320416">
        <w:rPr>
          <w:b/>
          <w:bCs/>
        </w:rPr>
        <w:instrText xml:space="preserve"> = 0.03); </w:instrText>
      </w:r>
      <w:r w:rsidR="00021E2A">
        <w:rPr>
          <w:b/>
          <w:bCs/>
          <w:lang w:val="en-US"/>
        </w:rPr>
        <w:instrText>no</w:instrText>
      </w:r>
      <w:r w:rsidR="00021E2A" w:rsidRPr="00320416">
        <w:rPr>
          <w:b/>
          <w:bCs/>
        </w:rPr>
        <w:instrText xml:space="preserve"> </w:instrText>
      </w:r>
      <w:r w:rsidR="00021E2A">
        <w:rPr>
          <w:b/>
          <w:bCs/>
          <w:lang w:val="en-US"/>
        </w:rPr>
        <w:instrText>difference</w:instrText>
      </w:r>
      <w:r w:rsidR="00021E2A" w:rsidRPr="00320416">
        <w:rPr>
          <w:b/>
          <w:bCs/>
        </w:rPr>
        <w:instrText xml:space="preserve"> </w:instrText>
      </w:r>
      <w:r w:rsidR="00021E2A">
        <w:rPr>
          <w:b/>
          <w:bCs/>
          <w:lang w:val="en-US"/>
        </w:rPr>
        <w:instrText>regarding</w:instrText>
      </w:r>
      <w:r w:rsidR="00021E2A" w:rsidRPr="00320416">
        <w:rPr>
          <w:b/>
          <w:bCs/>
        </w:rPr>
        <w:instrText xml:space="preserve"> </w:instrText>
      </w:r>
      <w:r w:rsidR="00021E2A">
        <w:rPr>
          <w:b/>
          <w:bCs/>
          <w:lang w:val="en-US"/>
        </w:rPr>
        <w:instrText>comorbidities</w:instrText>
      </w:r>
      <w:r w:rsidR="00021E2A" w:rsidRPr="00320416">
        <w:rPr>
          <w:b/>
          <w:bCs/>
        </w:rPr>
        <w:instrText xml:space="preserve"> </w:instrText>
      </w:r>
      <w:r w:rsidR="00021E2A">
        <w:rPr>
          <w:b/>
          <w:bCs/>
          <w:lang w:val="en-US"/>
        </w:rPr>
        <w:instrText>or</w:instrText>
      </w:r>
      <w:r w:rsidR="00021E2A" w:rsidRPr="00320416">
        <w:rPr>
          <w:b/>
          <w:bCs/>
        </w:rPr>
        <w:instrText xml:space="preserve"> </w:instrText>
      </w:r>
      <w:r w:rsidR="00021E2A">
        <w:rPr>
          <w:b/>
          <w:bCs/>
          <w:lang w:val="en-US"/>
        </w:rPr>
        <w:instrText>PS</w:instrText>
      </w:r>
      <w:r w:rsidR="00021E2A" w:rsidRPr="00320416">
        <w:rPr>
          <w:b/>
          <w:bCs/>
        </w:rPr>
        <w:instrText xml:space="preserve"> </w:instrText>
      </w:r>
      <w:r w:rsidR="00021E2A">
        <w:rPr>
          <w:b/>
          <w:bCs/>
          <w:lang w:val="en-US"/>
        </w:rPr>
        <w:instrText>was</w:instrText>
      </w:r>
      <w:r w:rsidR="00021E2A" w:rsidRPr="00320416">
        <w:rPr>
          <w:b/>
          <w:bCs/>
        </w:rPr>
        <w:instrText xml:space="preserve"> </w:instrText>
      </w:r>
      <w:r w:rsidR="00021E2A">
        <w:rPr>
          <w:b/>
          <w:bCs/>
          <w:lang w:val="en-US"/>
        </w:rPr>
        <w:instrText>seen</w:instrText>
      </w:r>
      <w:r w:rsidR="00021E2A" w:rsidRPr="00320416">
        <w:rPr>
          <w:b/>
          <w:bCs/>
        </w:rPr>
        <w:instrText xml:space="preserve">. </w:instrText>
      </w:r>
      <w:r w:rsidR="00021E2A">
        <w:rPr>
          <w:b/>
          <w:bCs/>
          <w:lang w:val="en-US"/>
        </w:rPr>
        <w:instrText>Compared</w:instrText>
      </w:r>
      <w:r w:rsidR="00021E2A" w:rsidRPr="00320416">
        <w:rPr>
          <w:b/>
          <w:bCs/>
        </w:rPr>
        <w:instrText xml:space="preserve"> </w:instrText>
      </w:r>
      <w:r w:rsidR="00021E2A">
        <w:rPr>
          <w:b/>
          <w:bCs/>
          <w:lang w:val="en-US"/>
        </w:rPr>
        <w:instrText>with</w:instrText>
      </w:r>
      <w:r w:rsidR="00021E2A" w:rsidRPr="00320416">
        <w:rPr>
          <w:b/>
          <w:bCs/>
        </w:rPr>
        <w:instrText xml:space="preserve"> </w:instrText>
      </w:r>
      <w:r w:rsidR="00021E2A">
        <w:rPr>
          <w:b/>
          <w:bCs/>
          <w:lang w:val="en-US"/>
        </w:rPr>
        <w:instrText>R</w:instrText>
      </w:r>
      <w:r w:rsidR="00021E2A" w:rsidRPr="00320416">
        <w:rPr>
          <w:b/>
          <w:bCs/>
        </w:rPr>
        <w:instrText>-</w:instrText>
      </w:r>
      <w:r w:rsidR="00021E2A">
        <w:rPr>
          <w:b/>
          <w:bCs/>
          <w:lang w:val="en-US"/>
        </w:rPr>
        <w:instrText>CHOP</w:instrText>
      </w:r>
      <w:r w:rsidR="00021E2A" w:rsidRPr="00320416">
        <w:rPr>
          <w:b/>
          <w:bCs/>
        </w:rPr>
        <w:instrText xml:space="preserve">, </w:instrText>
      </w:r>
      <w:r w:rsidR="00021E2A">
        <w:rPr>
          <w:b/>
          <w:bCs/>
          <w:lang w:val="en-US"/>
        </w:rPr>
        <w:instrText>BR</w:instrText>
      </w:r>
      <w:r w:rsidR="00021E2A" w:rsidRPr="00320416">
        <w:rPr>
          <w:b/>
          <w:bCs/>
        </w:rPr>
        <w:instrText xml:space="preserve"> </w:instrText>
      </w:r>
      <w:r w:rsidR="00021E2A">
        <w:rPr>
          <w:b/>
          <w:bCs/>
          <w:lang w:val="en-US"/>
        </w:rPr>
        <w:instrText>was</w:instrText>
      </w:r>
      <w:r w:rsidR="00021E2A" w:rsidRPr="00320416">
        <w:rPr>
          <w:b/>
          <w:bCs/>
        </w:rPr>
        <w:instrText xml:space="preserve"> </w:instrText>
      </w:r>
      <w:r w:rsidR="00021E2A">
        <w:rPr>
          <w:b/>
          <w:bCs/>
          <w:lang w:val="en-US"/>
        </w:rPr>
        <w:instrText>associated</w:instrText>
      </w:r>
      <w:r w:rsidR="00021E2A" w:rsidRPr="00320416">
        <w:rPr>
          <w:b/>
          <w:bCs/>
        </w:rPr>
        <w:instrText xml:space="preserve"> </w:instrText>
      </w:r>
      <w:r w:rsidR="00021E2A">
        <w:rPr>
          <w:b/>
          <w:bCs/>
          <w:lang w:val="en-US"/>
        </w:rPr>
        <w:instrText>with</w:instrText>
      </w:r>
      <w:r w:rsidR="00021E2A" w:rsidRPr="00320416">
        <w:rPr>
          <w:b/>
          <w:bCs/>
        </w:rPr>
        <w:instrText xml:space="preserve"> </w:instrText>
      </w:r>
      <w:r w:rsidR="00021E2A">
        <w:rPr>
          <w:b/>
          <w:bCs/>
          <w:lang w:val="en-US"/>
        </w:rPr>
        <w:instrText>marked</w:instrText>
      </w:r>
      <w:r w:rsidR="00021E2A" w:rsidRPr="00320416">
        <w:rPr>
          <w:b/>
          <w:bCs/>
        </w:rPr>
        <w:instrText xml:space="preserve"> </w:instrText>
      </w:r>
      <w:r w:rsidR="00021E2A">
        <w:rPr>
          <w:b/>
          <w:bCs/>
          <w:lang w:val="en-US"/>
        </w:rPr>
        <w:instrText>inferior</w:instrText>
      </w:r>
      <w:r w:rsidR="00021E2A" w:rsidRPr="00320416">
        <w:rPr>
          <w:b/>
          <w:bCs/>
        </w:rPr>
        <w:instrText xml:space="preserve"> </w:instrText>
      </w:r>
      <w:r w:rsidR="00021E2A">
        <w:rPr>
          <w:b/>
          <w:bCs/>
          <w:lang w:val="en-US"/>
        </w:rPr>
        <w:instrText>overall</w:instrText>
      </w:r>
      <w:r w:rsidR="00021E2A" w:rsidRPr="00320416">
        <w:rPr>
          <w:b/>
          <w:bCs/>
        </w:rPr>
        <w:instrText xml:space="preserve"> </w:instrText>
      </w:r>
      <w:r w:rsidR="00021E2A">
        <w:rPr>
          <w:b/>
          <w:bCs/>
          <w:lang w:val="en-US"/>
        </w:rPr>
        <w:instrText>survival</w:instrText>
      </w:r>
      <w:r w:rsidR="00021E2A" w:rsidRPr="00320416">
        <w:rPr>
          <w:b/>
          <w:bCs/>
        </w:rPr>
        <w:instrText xml:space="preserve"> (</w:instrText>
      </w:r>
      <w:r w:rsidR="00021E2A">
        <w:rPr>
          <w:b/>
          <w:bCs/>
          <w:lang w:val="en-US"/>
        </w:rPr>
        <w:instrText>OS</w:instrText>
      </w:r>
      <w:r w:rsidR="00021E2A" w:rsidRPr="00320416">
        <w:rPr>
          <w:b/>
          <w:bCs/>
        </w:rPr>
        <w:instrText xml:space="preserve">) (16.3 </w:instrText>
      </w:r>
      <w:r w:rsidR="00021E2A">
        <w:rPr>
          <w:b/>
          <w:bCs/>
          <w:lang w:val="en-US"/>
        </w:rPr>
        <w:instrText>vs</w:instrText>
      </w:r>
      <w:r w:rsidR="00021E2A" w:rsidRPr="00320416">
        <w:rPr>
          <w:b/>
          <w:bCs/>
        </w:rPr>
        <w:instrText xml:space="preserve">. 75.4 </w:instrText>
      </w:r>
      <w:r w:rsidR="00021E2A">
        <w:rPr>
          <w:b/>
          <w:bCs/>
          <w:lang w:val="en-US"/>
        </w:rPr>
        <w:instrText>months</w:instrText>
      </w:r>
      <w:r w:rsidR="00021E2A" w:rsidRPr="00320416">
        <w:rPr>
          <w:b/>
          <w:bCs/>
        </w:rPr>
        <w:instrText xml:space="preserve">; </w:instrText>
      </w:r>
      <w:r w:rsidR="00021E2A">
        <w:rPr>
          <w:b/>
          <w:bCs/>
          <w:lang w:val="en-US"/>
        </w:rPr>
        <w:instrText>p</w:instrText>
      </w:r>
      <w:r w:rsidR="00021E2A" w:rsidRPr="00320416">
        <w:rPr>
          <w:b/>
          <w:bCs/>
        </w:rPr>
        <w:instrText xml:space="preserve"> = 0.006) </w:instrText>
      </w:r>
      <w:r w:rsidR="00021E2A">
        <w:rPr>
          <w:b/>
          <w:bCs/>
          <w:lang w:val="en-US"/>
        </w:rPr>
        <w:instrText>and</w:instrText>
      </w:r>
      <w:r w:rsidR="00021E2A" w:rsidRPr="00320416">
        <w:rPr>
          <w:b/>
          <w:bCs/>
        </w:rPr>
        <w:instrText xml:space="preserve"> </w:instrText>
      </w:r>
      <w:r w:rsidR="00021E2A">
        <w:rPr>
          <w:b/>
          <w:bCs/>
          <w:lang w:val="en-US"/>
        </w:rPr>
        <w:instrText>progression</w:instrText>
      </w:r>
      <w:r w:rsidR="00021E2A" w:rsidRPr="00320416">
        <w:rPr>
          <w:b/>
          <w:bCs/>
        </w:rPr>
        <w:instrText>-</w:instrText>
      </w:r>
      <w:r w:rsidR="00021E2A">
        <w:rPr>
          <w:b/>
          <w:bCs/>
          <w:lang w:val="en-US"/>
        </w:rPr>
        <w:instrText>free</w:instrText>
      </w:r>
      <w:r w:rsidR="00021E2A" w:rsidRPr="00320416">
        <w:rPr>
          <w:b/>
          <w:bCs/>
        </w:rPr>
        <w:instrText xml:space="preserve"> </w:instrText>
      </w:r>
      <w:r w:rsidR="00021E2A">
        <w:rPr>
          <w:b/>
          <w:bCs/>
          <w:lang w:val="en-US"/>
        </w:rPr>
        <w:instrText>survival</w:instrText>
      </w:r>
      <w:r w:rsidR="00021E2A" w:rsidRPr="00320416">
        <w:rPr>
          <w:b/>
          <w:bCs/>
        </w:rPr>
        <w:instrText xml:space="preserve"> (</w:instrText>
      </w:r>
      <w:r w:rsidR="00021E2A">
        <w:rPr>
          <w:b/>
          <w:bCs/>
          <w:lang w:val="en-US"/>
        </w:rPr>
        <w:instrText>PFS</w:instrText>
      </w:r>
      <w:r w:rsidR="00021E2A" w:rsidRPr="00320416">
        <w:rPr>
          <w:b/>
          <w:bCs/>
        </w:rPr>
        <w:instrText xml:space="preserve">) (11.0 </w:instrText>
      </w:r>
      <w:r w:rsidR="00021E2A">
        <w:rPr>
          <w:b/>
          <w:bCs/>
          <w:lang w:val="en-US"/>
        </w:rPr>
        <w:instrText>vs</w:instrText>
      </w:r>
      <w:r w:rsidR="00021E2A" w:rsidRPr="00320416">
        <w:rPr>
          <w:b/>
          <w:bCs/>
        </w:rPr>
        <w:instrText xml:space="preserve">. 62.3 </w:instrText>
      </w:r>
      <w:r w:rsidR="00021E2A">
        <w:rPr>
          <w:b/>
          <w:bCs/>
          <w:lang w:val="en-US"/>
        </w:rPr>
        <w:instrText>months</w:instrText>
      </w:r>
      <w:r w:rsidR="00021E2A" w:rsidRPr="00320416">
        <w:rPr>
          <w:b/>
          <w:bCs/>
        </w:rPr>
        <w:instrText xml:space="preserve">; </w:instrText>
      </w:r>
      <w:r w:rsidR="00021E2A">
        <w:rPr>
          <w:b/>
          <w:bCs/>
          <w:lang w:val="en-US"/>
        </w:rPr>
        <w:instrText>p</w:instrText>
      </w:r>
      <w:r w:rsidR="00021E2A" w:rsidRPr="00320416">
        <w:rPr>
          <w:b/>
          <w:bCs/>
        </w:rPr>
        <w:instrText xml:space="preserve"> &lt; 0.001). </w:instrText>
      </w:r>
      <w:r w:rsidR="00021E2A">
        <w:rPr>
          <w:b/>
          <w:bCs/>
          <w:lang w:val="en-US"/>
        </w:rPr>
        <w:instrText>In</w:instrText>
      </w:r>
      <w:r w:rsidR="00021E2A" w:rsidRPr="00320416">
        <w:rPr>
          <w:b/>
          <w:bCs/>
        </w:rPr>
        <w:instrText xml:space="preserve"> </w:instrText>
      </w:r>
      <w:r w:rsidR="00021E2A">
        <w:rPr>
          <w:b/>
          <w:bCs/>
          <w:lang w:val="en-US"/>
        </w:rPr>
        <w:instrText>multivariate</w:instrText>
      </w:r>
      <w:r w:rsidR="00021E2A" w:rsidRPr="00320416">
        <w:rPr>
          <w:b/>
          <w:bCs/>
        </w:rPr>
        <w:instrText xml:space="preserve"> </w:instrText>
      </w:r>
      <w:r w:rsidR="00021E2A">
        <w:rPr>
          <w:b/>
          <w:bCs/>
          <w:lang w:val="en-US"/>
        </w:rPr>
        <w:instrText>analysis</w:instrText>
      </w:r>
      <w:r w:rsidR="00021E2A" w:rsidRPr="00320416">
        <w:rPr>
          <w:b/>
          <w:bCs/>
        </w:rPr>
        <w:instrText xml:space="preserve">, </w:instrText>
      </w:r>
      <w:r w:rsidR="00021E2A">
        <w:rPr>
          <w:b/>
          <w:bCs/>
          <w:lang w:val="en-US"/>
        </w:rPr>
        <w:instrText>only</w:instrText>
      </w:r>
      <w:r w:rsidR="00021E2A" w:rsidRPr="00320416">
        <w:rPr>
          <w:b/>
          <w:bCs/>
        </w:rPr>
        <w:instrText xml:space="preserve"> </w:instrText>
      </w:r>
      <w:r w:rsidR="00021E2A">
        <w:rPr>
          <w:b/>
          <w:bCs/>
          <w:lang w:val="en-US"/>
        </w:rPr>
        <w:instrText>high</w:instrText>
      </w:r>
      <w:r w:rsidR="00021E2A" w:rsidRPr="00320416">
        <w:rPr>
          <w:b/>
          <w:bCs/>
        </w:rPr>
        <w:instrText xml:space="preserve"> </w:instrText>
      </w:r>
      <w:r w:rsidR="00021E2A">
        <w:rPr>
          <w:b/>
          <w:bCs/>
          <w:lang w:val="en-US"/>
        </w:rPr>
        <w:instrText>age</w:instrText>
      </w:r>
      <w:r w:rsidR="00021E2A" w:rsidRPr="00320416">
        <w:rPr>
          <w:b/>
          <w:bCs/>
        </w:rPr>
        <w:instrText>-</w:instrText>
      </w:r>
      <w:r w:rsidR="00021E2A">
        <w:rPr>
          <w:b/>
          <w:bCs/>
          <w:lang w:val="en-US"/>
        </w:rPr>
        <w:instrText>adjusted</w:instrText>
      </w:r>
      <w:r w:rsidR="00021E2A" w:rsidRPr="00320416">
        <w:rPr>
          <w:b/>
          <w:bCs/>
        </w:rPr>
        <w:instrText xml:space="preserve"> </w:instrText>
      </w:r>
      <w:r w:rsidR="00021E2A">
        <w:rPr>
          <w:b/>
          <w:bCs/>
          <w:lang w:val="en-US"/>
        </w:rPr>
        <w:instrText>Charlson</w:instrText>
      </w:r>
      <w:r w:rsidR="00021E2A" w:rsidRPr="00320416">
        <w:rPr>
          <w:b/>
          <w:bCs/>
        </w:rPr>
        <w:instrText xml:space="preserve"> </w:instrText>
      </w:r>
      <w:r w:rsidR="00021E2A">
        <w:rPr>
          <w:b/>
          <w:bCs/>
          <w:lang w:val="en-US"/>
        </w:rPr>
        <w:instrText>Comorbidity</w:instrText>
      </w:r>
      <w:r w:rsidR="00021E2A" w:rsidRPr="00320416">
        <w:rPr>
          <w:b/>
          <w:bCs/>
        </w:rPr>
        <w:instrText xml:space="preserve"> </w:instrText>
      </w:r>
      <w:r w:rsidR="00021E2A">
        <w:rPr>
          <w:b/>
          <w:bCs/>
          <w:lang w:val="en-US"/>
        </w:rPr>
        <w:instrText>Index</w:instrText>
      </w:r>
      <w:r w:rsidR="00021E2A" w:rsidRPr="00320416">
        <w:rPr>
          <w:b/>
          <w:bCs/>
        </w:rPr>
        <w:instrText xml:space="preserve"> (</w:instrText>
      </w:r>
      <w:r w:rsidR="00021E2A">
        <w:rPr>
          <w:b/>
          <w:bCs/>
          <w:lang w:val="en-US"/>
        </w:rPr>
        <w:instrText>aaCCI</w:instrText>
      </w:r>
      <w:r w:rsidR="00021E2A" w:rsidRPr="00320416">
        <w:rPr>
          <w:b/>
          <w:bCs/>
        </w:rPr>
        <w:instrText xml:space="preserve">) </w:instrText>
      </w:r>
      <w:r w:rsidR="00021E2A">
        <w:rPr>
          <w:b/>
          <w:bCs/>
          <w:lang w:val="en-US"/>
        </w:rPr>
        <w:instrText>was</w:instrText>
      </w:r>
      <w:r w:rsidR="00021E2A" w:rsidRPr="00320416">
        <w:rPr>
          <w:b/>
          <w:bCs/>
        </w:rPr>
        <w:instrText xml:space="preserve"> </w:instrText>
      </w:r>
      <w:r w:rsidR="00021E2A">
        <w:rPr>
          <w:b/>
          <w:bCs/>
          <w:lang w:val="en-US"/>
        </w:rPr>
        <w:instrText>associated</w:instrText>
      </w:r>
      <w:r w:rsidR="00021E2A" w:rsidRPr="00320416">
        <w:rPr>
          <w:b/>
          <w:bCs/>
        </w:rPr>
        <w:instrText xml:space="preserve"> </w:instrText>
      </w:r>
      <w:r w:rsidR="00021E2A">
        <w:rPr>
          <w:b/>
          <w:bCs/>
          <w:lang w:val="en-US"/>
        </w:rPr>
        <w:instrText>with</w:instrText>
      </w:r>
      <w:r w:rsidR="00021E2A" w:rsidRPr="00320416">
        <w:rPr>
          <w:b/>
          <w:bCs/>
        </w:rPr>
        <w:instrText xml:space="preserve"> </w:instrText>
      </w:r>
      <w:r w:rsidR="00021E2A">
        <w:rPr>
          <w:b/>
          <w:bCs/>
          <w:lang w:val="en-US"/>
        </w:rPr>
        <w:instrText>inferior</w:instrText>
      </w:r>
      <w:r w:rsidR="00021E2A" w:rsidRPr="00320416">
        <w:rPr>
          <w:b/>
          <w:bCs/>
        </w:rPr>
        <w:instrText xml:space="preserve"> </w:instrText>
      </w:r>
      <w:r w:rsidR="00021E2A">
        <w:rPr>
          <w:b/>
          <w:bCs/>
          <w:lang w:val="en-US"/>
        </w:rPr>
        <w:instrText>PFS</w:instrText>
      </w:r>
      <w:r w:rsidR="00021E2A" w:rsidRPr="00320416">
        <w:rPr>
          <w:b/>
          <w:bCs/>
        </w:rPr>
        <w:instrText xml:space="preserve"> </w:instrText>
      </w:r>
      <w:r w:rsidR="00021E2A">
        <w:rPr>
          <w:b/>
          <w:bCs/>
          <w:lang w:val="en-US"/>
        </w:rPr>
        <w:instrText>in</w:instrText>
      </w:r>
      <w:r w:rsidR="00021E2A" w:rsidRPr="00320416">
        <w:rPr>
          <w:b/>
          <w:bCs/>
        </w:rPr>
        <w:instrText xml:space="preserve"> </w:instrText>
      </w:r>
      <w:r w:rsidR="00021E2A">
        <w:rPr>
          <w:b/>
          <w:bCs/>
          <w:lang w:val="en-US"/>
        </w:rPr>
        <w:instrText>R</w:instrText>
      </w:r>
      <w:r w:rsidR="00021E2A" w:rsidRPr="00320416">
        <w:rPr>
          <w:b/>
          <w:bCs/>
        </w:rPr>
        <w:instrText>-</w:instrText>
      </w:r>
      <w:r w:rsidR="00021E2A">
        <w:rPr>
          <w:b/>
          <w:bCs/>
          <w:lang w:val="en-US"/>
        </w:rPr>
        <w:instrText>CHOP</w:instrText>
      </w:r>
      <w:r w:rsidR="00021E2A" w:rsidRPr="00320416">
        <w:rPr>
          <w:b/>
          <w:bCs/>
        </w:rPr>
        <w:instrText xml:space="preserve"> </w:instrText>
      </w:r>
      <w:r w:rsidR="00021E2A">
        <w:rPr>
          <w:b/>
          <w:bCs/>
          <w:lang w:val="en-US"/>
        </w:rPr>
        <w:instrText>patients</w:instrText>
      </w:r>
      <w:r w:rsidR="00021E2A" w:rsidRPr="00320416">
        <w:rPr>
          <w:b/>
          <w:bCs/>
        </w:rPr>
        <w:instrText xml:space="preserve"> (</w:instrText>
      </w:r>
      <w:r w:rsidR="00021E2A">
        <w:rPr>
          <w:b/>
          <w:bCs/>
          <w:lang w:val="en-US"/>
        </w:rPr>
        <w:instrText>hazard</w:instrText>
      </w:r>
      <w:r w:rsidR="00021E2A" w:rsidRPr="00320416">
        <w:rPr>
          <w:b/>
          <w:bCs/>
        </w:rPr>
        <w:instrText xml:space="preserve"> </w:instrText>
      </w:r>
      <w:r w:rsidR="00021E2A">
        <w:rPr>
          <w:b/>
          <w:bCs/>
          <w:lang w:val="en-US"/>
        </w:rPr>
        <w:instrText>ratio</w:instrText>
      </w:r>
      <w:r w:rsidR="00021E2A" w:rsidRPr="00320416">
        <w:rPr>
          <w:b/>
          <w:bCs/>
        </w:rPr>
        <w:instrText xml:space="preserve"> 2.67; </w:instrText>
      </w:r>
      <w:r w:rsidR="00021E2A">
        <w:rPr>
          <w:b/>
          <w:bCs/>
          <w:lang w:val="en-US"/>
        </w:rPr>
        <w:instrText>p</w:instrText>
      </w:r>
      <w:r w:rsidR="00021E2A" w:rsidRPr="00320416">
        <w:rPr>
          <w:b/>
          <w:bCs/>
        </w:rPr>
        <w:instrText xml:space="preserve"> = 0.012). </w:instrText>
      </w:r>
      <w:r w:rsidR="00021E2A">
        <w:rPr>
          <w:b/>
          <w:bCs/>
          <w:lang w:val="en-US"/>
        </w:rPr>
        <w:instrText>Comparing</w:instrText>
      </w:r>
      <w:r w:rsidR="00021E2A" w:rsidRPr="00320416">
        <w:rPr>
          <w:b/>
          <w:bCs/>
        </w:rPr>
        <w:instrText xml:space="preserve"> </w:instrText>
      </w:r>
      <w:r w:rsidR="00021E2A">
        <w:rPr>
          <w:b/>
          <w:bCs/>
          <w:lang w:val="en-US"/>
        </w:rPr>
        <w:instrText>the</w:instrText>
      </w:r>
      <w:r w:rsidR="00021E2A" w:rsidRPr="00320416">
        <w:rPr>
          <w:b/>
          <w:bCs/>
        </w:rPr>
        <w:instrText xml:space="preserve"> </w:instrText>
      </w:r>
      <w:r w:rsidR="00021E2A">
        <w:rPr>
          <w:b/>
          <w:bCs/>
          <w:lang w:val="en-US"/>
        </w:rPr>
        <w:instrText>subgroup</w:instrText>
      </w:r>
      <w:r w:rsidR="00021E2A" w:rsidRPr="00320416">
        <w:rPr>
          <w:b/>
          <w:bCs/>
        </w:rPr>
        <w:instrText xml:space="preserve"> </w:instrText>
      </w:r>
      <w:r w:rsidR="00021E2A">
        <w:rPr>
          <w:b/>
          <w:bCs/>
          <w:lang w:val="en-US"/>
        </w:rPr>
        <w:instrText>of</w:instrText>
      </w:r>
      <w:r w:rsidR="00021E2A" w:rsidRPr="00320416">
        <w:rPr>
          <w:b/>
          <w:bCs/>
        </w:rPr>
        <w:instrText xml:space="preserve"> </w:instrText>
      </w:r>
      <w:r w:rsidR="00021E2A">
        <w:rPr>
          <w:b/>
          <w:bCs/>
          <w:lang w:val="en-US"/>
        </w:rPr>
        <w:instrText>BR</w:instrText>
      </w:r>
      <w:r w:rsidR="00021E2A" w:rsidRPr="00320416">
        <w:rPr>
          <w:b/>
          <w:bCs/>
        </w:rPr>
        <w:instrText xml:space="preserve"> </w:instrText>
      </w:r>
      <w:r w:rsidR="00021E2A">
        <w:rPr>
          <w:b/>
          <w:bCs/>
          <w:lang w:val="en-US"/>
        </w:rPr>
        <w:instrText>and</w:instrText>
      </w:r>
      <w:r w:rsidR="00021E2A" w:rsidRPr="00320416">
        <w:rPr>
          <w:b/>
          <w:bCs/>
        </w:rPr>
        <w:instrText xml:space="preserve"> </w:instrText>
      </w:r>
      <w:r w:rsidR="00021E2A">
        <w:rPr>
          <w:b/>
          <w:bCs/>
          <w:lang w:val="en-US"/>
        </w:rPr>
        <w:instrText>R</w:instrText>
      </w:r>
      <w:r w:rsidR="00021E2A" w:rsidRPr="00320416">
        <w:rPr>
          <w:b/>
          <w:bCs/>
        </w:rPr>
        <w:instrText>-</w:instrText>
      </w:r>
      <w:r w:rsidR="00021E2A">
        <w:rPr>
          <w:b/>
          <w:bCs/>
          <w:lang w:val="en-US"/>
        </w:rPr>
        <w:instrText>CHOP</w:instrText>
      </w:r>
      <w:r w:rsidR="00021E2A" w:rsidRPr="00320416">
        <w:rPr>
          <w:b/>
          <w:bCs/>
        </w:rPr>
        <w:instrText xml:space="preserve"> </w:instrText>
      </w:r>
      <w:r w:rsidR="00021E2A">
        <w:rPr>
          <w:b/>
          <w:bCs/>
          <w:lang w:val="en-US"/>
        </w:rPr>
        <w:instrText>patients</w:instrText>
      </w:r>
      <w:r w:rsidR="00021E2A" w:rsidRPr="00320416">
        <w:rPr>
          <w:b/>
          <w:bCs/>
        </w:rPr>
        <w:instrText xml:space="preserve"> </w:instrText>
      </w:r>
      <w:r w:rsidR="00021E2A">
        <w:rPr>
          <w:b/>
          <w:bCs/>
          <w:lang w:val="en-US"/>
        </w:rPr>
        <w:instrText>with</w:instrText>
      </w:r>
      <w:r w:rsidR="00021E2A" w:rsidRPr="00320416">
        <w:rPr>
          <w:b/>
          <w:bCs/>
        </w:rPr>
        <w:instrText xml:space="preserve"> </w:instrText>
      </w:r>
      <w:r w:rsidR="00021E2A">
        <w:rPr>
          <w:b/>
          <w:bCs/>
          <w:lang w:val="en-US"/>
        </w:rPr>
        <w:instrText>high</w:instrText>
      </w:r>
      <w:r w:rsidR="00021E2A" w:rsidRPr="00320416">
        <w:rPr>
          <w:b/>
          <w:bCs/>
        </w:rPr>
        <w:instrText xml:space="preserve"> </w:instrText>
      </w:r>
      <w:r w:rsidR="00021E2A">
        <w:rPr>
          <w:b/>
          <w:bCs/>
          <w:lang w:val="en-US"/>
        </w:rPr>
        <w:instrText>aaCCI</w:instrText>
      </w:r>
      <w:r w:rsidR="00021E2A" w:rsidRPr="00320416">
        <w:rPr>
          <w:b/>
          <w:bCs/>
        </w:rPr>
        <w:instrText xml:space="preserve">, </w:instrText>
      </w:r>
      <w:r w:rsidR="00021E2A">
        <w:rPr>
          <w:b/>
          <w:bCs/>
          <w:lang w:val="en-US"/>
        </w:rPr>
        <w:instrText>there</w:instrText>
      </w:r>
      <w:r w:rsidR="00021E2A" w:rsidRPr="00320416">
        <w:rPr>
          <w:b/>
          <w:bCs/>
        </w:rPr>
        <w:instrText xml:space="preserve"> </w:instrText>
      </w:r>
      <w:r w:rsidR="00021E2A">
        <w:rPr>
          <w:b/>
          <w:bCs/>
          <w:lang w:val="en-US"/>
        </w:rPr>
        <w:instrText>was</w:instrText>
      </w:r>
      <w:r w:rsidR="00021E2A" w:rsidRPr="00320416">
        <w:rPr>
          <w:b/>
          <w:bCs/>
        </w:rPr>
        <w:instrText xml:space="preserve"> </w:instrText>
      </w:r>
      <w:r w:rsidR="00021E2A">
        <w:rPr>
          <w:b/>
          <w:bCs/>
          <w:lang w:val="en-US"/>
        </w:rPr>
        <w:instrText>no</w:instrText>
      </w:r>
      <w:r w:rsidR="00021E2A" w:rsidRPr="00320416">
        <w:rPr>
          <w:b/>
          <w:bCs/>
        </w:rPr>
        <w:instrText xml:space="preserve"> </w:instrText>
      </w:r>
      <w:r w:rsidR="00021E2A">
        <w:rPr>
          <w:b/>
          <w:bCs/>
          <w:lang w:val="en-US"/>
        </w:rPr>
        <w:instrText>difference</w:instrText>
      </w:r>
      <w:r w:rsidR="00021E2A" w:rsidRPr="00320416">
        <w:rPr>
          <w:b/>
          <w:bCs/>
        </w:rPr>
        <w:instrText xml:space="preserve"> </w:instrText>
      </w:r>
      <w:r w:rsidR="00021E2A">
        <w:rPr>
          <w:b/>
          <w:bCs/>
          <w:lang w:val="en-US"/>
        </w:rPr>
        <w:instrText>in</w:instrText>
      </w:r>
      <w:r w:rsidR="00021E2A" w:rsidRPr="00320416">
        <w:rPr>
          <w:b/>
          <w:bCs/>
        </w:rPr>
        <w:instrText xml:space="preserve"> </w:instrText>
      </w:r>
      <w:r w:rsidR="00021E2A">
        <w:rPr>
          <w:b/>
          <w:bCs/>
          <w:lang w:val="en-US"/>
        </w:rPr>
        <w:instrText>OS</w:instrText>
      </w:r>
      <w:r w:rsidR="00021E2A" w:rsidRPr="00320416">
        <w:rPr>
          <w:b/>
          <w:bCs/>
        </w:rPr>
        <w:instrText xml:space="preserve"> (</w:instrText>
      </w:r>
      <w:r w:rsidR="00021E2A">
        <w:rPr>
          <w:b/>
          <w:bCs/>
          <w:lang w:val="en-US"/>
        </w:rPr>
        <w:instrText>p</w:instrText>
      </w:r>
      <w:r w:rsidR="00021E2A" w:rsidRPr="00320416">
        <w:rPr>
          <w:b/>
          <w:bCs/>
        </w:rPr>
        <w:instrText xml:space="preserve"> = 0.73) </w:instrText>
      </w:r>
      <w:r w:rsidR="00021E2A">
        <w:rPr>
          <w:b/>
          <w:bCs/>
          <w:lang w:val="en-US"/>
        </w:rPr>
        <w:instrText>or</w:instrText>
      </w:r>
      <w:r w:rsidR="00021E2A" w:rsidRPr="00320416">
        <w:rPr>
          <w:b/>
          <w:bCs/>
        </w:rPr>
        <w:instrText xml:space="preserve"> </w:instrText>
      </w:r>
      <w:r w:rsidR="00021E2A">
        <w:rPr>
          <w:b/>
          <w:bCs/>
          <w:lang w:val="en-US"/>
        </w:rPr>
        <w:instrText>PFS</w:instrText>
      </w:r>
      <w:r w:rsidR="00021E2A" w:rsidRPr="00320416">
        <w:rPr>
          <w:b/>
          <w:bCs/>
        </w:rPr>
        <w:instrText xml:space="preserve"> (</w:instrText>
      </w:r>
      <w:r w:rsidR="00021E2A">
        <w:rPr>
          <w:b/>
          <w:bCs/>
          <w:lang w:val="en-US"/>
        </w:rPr>
        <w:instrText>p</w:instrText>
      </w:r>
      <w:r w:rsidR="00021E2A" w:rsidRPr="00320416">
        <w:rPr>
          <w:b/>
          <w:bCs/>
        </w:rPr>
        <w:instrText xml:space="preserve"> = 0.75). </w:instrText>
      </w:r>
      <w:r w:rsidR="00021E2A">
        <w:rPr>
          <w:b/>
          <w:bCs/>
          <w:lang w:val="en-US"/>
        </w:rPr>
        <w:instrText>Due</w:instrText>
      </w:r>
      <w:r w:rsidR="00021E2A" w:rsidRPr="00320416">
        <w:rPr>
          <w:b/>
          <w:bCs/>
        </w:rPr>
        <w:instrText xml:space="preserve"> </w:instrText>
      </w:r>
      <w:r w:rsidR="00021E2A">
        <w:rPr>
          <w:b/>
          <w:bCs/>
          <w:lang w:val="en-US"/>
        </w:rPr>
        <w:instrText>to</w:instrText>
      </w:r>
      <w:r w:rsidR="00021E2A" w:rsidRPr="00320416">
        <w:rPr>
          <w:b/>
          <w:bCs/>
        </w:rPr>
        <w:instrText xml:space="preserve"> </w:instrText>
      </w:r>
      <w:r w:rsidR="00021E2A">
        <w:rPr>
          <w:b/>
          <w:bCs/>
          <w:lang w:val="en-US"/>
        </w:rPr>
        <w:instrText>the</w:instrText>
      </w:r>
      <w:r w:rsidR="00021E2A" w:rsidRPr="00320416">
        <w:rPr>
          <w:b/>
          <w:bCs/>
        </w:rPr>
        <w:instrText xml:space="preserve"> </w:instrText>
      </w:r>
      <w:r w:rsidR="00021E2A">
        <w:rPr>
          <w:b/>
          <w:bCs/>
          <w:lang w:val="en-US"/>
        </w:rPr>
        <w:instrText>observed</w:instrText>
      </w:r>
      <w:r w:rsidR="00021E2A" w:rsidRPr="00320416">
        <w:rPr>
          <w:b/>
          <w:bCs/>
        </w:rPr>
        <w:instrText xml:space="preserve"> </w:instrText>
      </w:r>
      <w:r w:rsidR="00021E2A">
        <w:rPr>
          <w:b/>
          <w:bCs/>
          <w:lang w:val="en-US"/>
        </w:rPr>
        <w:instrText>non</w:instrText>
      </w:r>
      <w:r w:rsidR="00021E2A" w:rsidRPr="00320416">
        <w:rPr>
          <w:b/>
          <w:bCs/>
        </w:rPr>
        <w:instrText>-</w:instrText>
      </w:r>
      <w:r w:rsidR="00021E2A">
        <w:rPr>
          <w:b/>
          <w:bCs/>
          <w:lang w:val="en-US"/>
        </w:rPr>
        <w:instrText>superiority</w:instrText>
      </w:r>
      <w:r w:rsidR="00021E2A" w:rsidRPr="00320416">
        <w:rPr>
          <w:b/>
          <w:bCs/>
        </w:rPr>
        <w:instrText xml:space="preserve"> </w:instrText>
      </w:r>
      <w:r w:rsidR="00021E2A">
        <w:rPr>
          <w:b/>
          <w:bCs/>
          <w:lang w:val="en-US"/>
        </w:rPr>
        <w:instrText>of</w:instrText>
      </w:r>
      <w:r w:rsidR="00021E2A" w:rsidRPr="00320416">
        <w:rPr>
          <w:b/>
          <w:bCs/>
        </w:rPr>
        <w:instrText xml:space="preserve"> </w:instrText>
      </w:r>
      <w:r w:rsidR="00021E2A">
        <w:rPr>
          <w:b/>
          <w:bCs/>
          <w:lang w:val="en-US"/>
        </w:rPr>
        <w:instrText>R</w:instrText>
      </w:r>
      <w:r w:rsidR="00021E2A" w:rsidRPr="00320416">
        <w:rPr>
          <w:b/>
          <w:bCs/>
        </w:rPr>
        <w:instrText>-</w:instrText>
      </w:r>
      <w:r w:rsidR="00021E2A">
        <w:rPr>
          <w:b/>
          <w:bCs/>
          <w:lang w:val="en-US"/>
        </w:rPr>
        <w:instrText>CHOP</w:instrText>
      </w:r>
      <w:r w:rsidR="00021E2A" w:rsidRPr="00AA43FB">
        <w:rPr>
          <w:b/>
          <w:bCs/>
        </w:rPr>
        <w:instrText xml:space="preserve"> </w:instrText>
      </w:r>
      <w:r w:rsidR="00021E2A">
        <w:rPr>
          <w:b/>
          <w:bCs/>
          <w:lang w:val="en-US"/>
        </w:rPr>
        <w:instrText>in</w:instrText>
      </w:r>
      <w:r w:rsidR="00021E2A" w:rsidRPr="00AA43FB">
        <w:rPr>
          <w:b/>
          <w:bCs/>
        </w:rPr>
        <w:instrText xml:space="preserve"> </w:instrText>
      </w:r>
      <w:r w:rsidR="00021E2A">
        <w:rPr>
          <w:b/>
          <w:bCs/>
          <w:lang w:val="en-US"/>
        </w:rPr>
        <w:instrText>older</w:instrText>
      </w:r>
      <w:r w:rsidR="00021E2A" w:rsidRPr="00AA43FB">
        <w:rPr>
          <w:b/>
          <w:bCs/>
        </w:rPr>
        <w:instrText xml:space="preserve"> </w:instrText>
      </w:r>
      <w:r w:rsidR="00021E2A">
        <w:rPr>
          <w:b/>
          <w:bCs/>
          <w:lang w:val="en-US"/>
        </w:rPr>
        <w:instrText>DLBCL</w:instrText>
      </w:r>
      <w:r w:rsidR="00021E2A" w:rsidRPr="00AA43FB">
        <w:rPr>
          <w:b/>
          <w:bCs/>
        </w:rPr>
        <w:instrText xml:space="preserve"> </w:instrText>
      </w:r>
      <w:r w:rsidR="00021E2A">
        <w:rPr>
          <w:b/>
          <w:bCs/>
          <w:lang w:val="en-US"/>
        </w:rPr>
        <w:instrText>patients</w:instrText>
      </w:r>
      <w:r w:rsidR="00021E2A" w:rsidRPr="00AA43FB">
        <w:rPr>
          <w:b/>
          <w:bCs/>
        </w:rPr>
        <w:instrText xml:space="preserve"> </w:instrText>
      </w:r>
      <w:r w:rsidR="00021E2A">
        <w:rPr>
          <w:b/>
          <w:bCs/>
          <w:lang w:val="en-US"/>
        </w:rPr>
        <w:instrText>with</w:instrText>
      </w:r>
      <w:r w:rsidR="00021E2A" w:rsidRPr="00AA43FB">
        <w:rPr>
          <w:b/>
          <w:bCs/>
        </w:rPr>
        <w:instrText xml:space="preserve"> </w:instrText>
      </w:r>
      <w:r w:rsidR="00021E2A">
        <w:rPr>
          <w:b/>
          <w:bCs/>
          <w:lang w:val="en-US"/>
        </w:rPr>
        <w:instrText>comorbidities</w:instrText>
      </w:r>
      <w:r w:rsidR="00021E2A" w:rsidRPr="00AA43FB">
        <w:rPr>
          <w:b/>
          <w:bCs/>
        </w:rPr>
        <w:instrText xml:space="preserve">, </w:instrText>
      </w:r>
      <w:r w:rsidR="00021E2A">
        <w:rPr>
          <w:b/>
          <w:bCs/>
          <w:lang w:val="en-US"/>
        </w:rPr>
        <w:instrText>we</w:instrText>
      </w:r>
      <w:r w:rsidR="00021E2A" w:rsidRPr="00AA43FB">
        <w:rPr>
          <w:b/>
          <w:bCs/>
        </w:rPr>
        <w:instrText xml:space="preserve"> </w:instrText>
      </w:r>
      <w:r w:rsidR="00021E2A">
        <w:rPr>
          <w:b/>
          <w:bCs/>
          <w:lang w:val="en-US"/>
        </w:rPr>
        <w:instrText>propose</w:instrText>
      </w:r>
      <w:r w:rsidR="00021E2A" w:rsidRPr="00AA43FB">
        <w:rPr>
          <w:b/>
          <w:bCs/>
        </w:rPr>
        <w:instrText xml:space="preserve"> </w:instrText>
      </w:r>
      <w:r w:rsidR="00021E2A">
        <w:rPr>
          <w:b/>
          <w:bCs/>
          <w:lang w:val="en-US"/>
        </w:rPr>
        <w:instrText>that</w:instrText>
      </w:r>
      <w:r w:rsidR="00021E2A" w:rsidRPr="00AA43FB">
        <w:rPr>
          <w:b/>
          <w:bCs/>
        </w:rPr>
        <w:instrText xml:space="preserve"> </w:instrText>
      </w:r>
      <w:r w:rsidR="00021E2A">
        <w:rPr>
          <w:b/>
          <w:bCs/>
          <w:lang w:val="en-US"/>
        </w:rPr>
        <w:instrText>this</w:instrText>
      </w:r>
      <w:r w:rsidR="00021E2A" w:rsidRPr="00AA43FB">
        <w:rPr>
          <w:b/>
          <w:bCs/>
        </w:rPr>
        <w:instrText xml:space="preserve"> </w:instrText>
      </w:r>
      <w:r w:rsidR="00021E2A">
        <w:rPr>
          <w:b/>
          <w:bCs/>
          <w:lang w:val="en-US"/>
        </w:rPr>
        <w:instrText>subgroup</w:instrText>
      </w:r>
      <w:r w:rsidR="00021E2A" w:rsidRPr="00AA43FB">
        <w:rPr>
          <w:b/>
          <w:bCs/>
        </w:rPr>
        <w:instrText xml:space="preserve"> </w:instrText>
      </w:r>
      <w:r w:rsidR="00021E2A">
        <w:rPr>
          <w:b/>
          <w:bCs/>
          <w:lang w:val="en-US"/>
        </w:rPr>
        <w:instrText>may</w:instrText>
      </w:r>
      <w:r w:rsidR="00021E2A" w:rsidRPr="00AA43FB">
        <w:rPr>
          <w:b/>
          <w:bCs/>
        </w:rPr>
        <w:instrText xml:space="preserve"> </w:instrText>
      </w:r>
      <w:r w:rsidR="00021E2A">
        <w:rPr>
          <w:b/>
          <w:bCs/>
          <w:lang w:val="en-US"/>
        </w:rPr>
        <w:instrText>be</w:instrText>
      </w:r>
      <w:r w:rsidR="00021E2A" w:rsidRPr="00AA43FB">
        <w:rPr>
          <w:b/>
          <w:bCs/>
        </w:rPr>
        <w:instrText xml:space="preserve"> </w:instrText>
      </w:r>
      <w:r w:rsidR="00021E2A">
        <w:rPr>
          <w:b/>
          <w:bCs/>
          <w:lang w:val="en-US"/>
        </w:rPr>
        <w:instrText>treated</w:instrText>
      </w:r>
      <w:r w:rsidR="00021E2A" w:rsidRPr="00AA43FB">
        <w:rPr>
          <w:b/>
          <w:bCs/>
        </w:rPr>
        <w:instrText xml:space="preserve"> </w:instrText>
      </w:r>
      <w:r w:rsidR="00021E2A">
        <w:rPr>
          <w:b/>
          <w:bCs/>
          <w:lang w:val="en-US"/>
        </w:rPr>
        <w:instrText>alternatively</w:instrText>
      </w:r>
      <w:r w:rsidR="00021E2A" w:rsidRPr="00AA43FB">
        <w:rPr>
          <w:b/>
          <w:bCs/>
        </w:rPr>
        <w:instrText xml:space="preserve"> </w:instrText>
      </w:r>
      <w:r w:rsidR="00021E2A">
        <w:rPr>
          <w:b/>
          <w:bCs/>
          <w:lang w:val="en-US"/>
        </w:rPr>
        <w:instrText>with</w:instrText>
      </w:r>
      <w:r w:rsidR="00021E2A" w:rsidRPr="00AA43FB">
        <w:rPr>
          <w:b/>
          <w:bCs/>
        </w:rPr>
        <w:instrText xml:space="preserve"> </w:instrText>
      </w:r>
      <w:r w:rsidR="00021E2A">
        <w:rPr>
          <w:b/>
          <w:bCs/>
          <w:lang w:val="en-US"/>
        </w:rPr>
        <w:instrText>BR</w:instrText>
      </w:r>
      <w:r w:rsidR="00021E2A" w:rsidRPr="00AA43FB">
        <w:rPr>
          <w:b/>
          <w:bCs/>
        </w:rPr>
        <w:instrText xml:space="preserve">, </w:instrText>
      </w:r>
      <w:r w:rsidR="00021E2A">
        <w:rPr>
          <w:b/>
          <w:bCs/>
          <w:lang w:val="en-US"/>
        </w:rPr>
        <w:instrText>whereas</w:instrText>
      </w:r>
      <w:r w:rsidR="00021E2A" w:rsidRPr="00AA43FB">
        <w:rPr>
          <w:b/>
          <w:bCs/>
        </w:rPr>
        <w:instrText xml:space="preserve"> </w:instrText>
      </w:r>
      <w:r w:rsidR="00021E2A">
        <w:rPr>
          <w:b/>
          <w:bCs/>
          <w:lang w:val="en-US"/>
        </w:rPr>
        <w:instrText>all</w:instrText>
      </w:r>
      <w:r w:rsidR="00021E2A" w:rsidRPr="00AA43FB">
        <w:rPr>
          <w:b/>
          <w:bCs/>
        </w:rPr>
        <w:instrText xml:space="preserve"> </w:instrText>
      </w:r>
      <w:r w:rsidR="00021E2A">
        <w:rPr>
          <w:b/>
          <w:bCs/>
          <w:lang w:val="en-US"/>
        </w:rPr>
        <w:instrText>other</w:instrText>
      </w:r>
      <w:r w:rsidR="00021E2A" w:rsidRPr="00AA43FB">
        <w:rPr>
          <w:b/>
          <w:bCs/>
        </w:rPr>
        <w:instrText xml:space="preserve"> </w:instrText>
      </w:r>
      <w:r w:rsidR="00021E2A">
        <w:rPr>
          <w:b/>
          <w:bCs/>
          <w:lang w:val="en-US"/>
        </w:rPr>
        <w:instrText>older</w:instrText>
      </w:r>
      <w:r w:rsidR="00021E2A" w:rsidRPr="00AA43FB">
        <w:rPr>
          <w:b/>
          <w:bCs/>
        </w:rPr>
        <w:instrText xml:space="preserve"> </w:instrText>
      </w:r>
      <w:r w:rsidR="00021E2A">
        <w:rPr>
          <w:b/>
          <w:bCs/>
          <w:lang w:val="en-US"/>
        </w:rPr>
        <w:instrText>patients</w:instrText>
      </w:r>
      <w:r w:rsidR="00021E2A" w:rsidRPr="00AA43FB">
        <w:rPr>
          <w:b/>
          <w:bCs/>
        </w:rPr>
        <w:instrText xml:space="preserve"> </w:instrText>
      </w:r>
      <w:r w:rsidR="00021E2A">
        <w:rPr>
          <w:b/>
          <w:bCs/>
          <w:lang w:val="en-US"/>
        </w:rPr>
        <w:instrText>are</w:instrText>
      </w:r>
      <w:r w:rsidR="00021E2A" w:rsidRPr="00AA43FB">
        <w:rPr>
          <w:b/>
          <w:bCs/>
        </w:rPr>
        <w:instrText xml:space="preserve"> </w:instrText>
      </w:r>
      <w:r w:rsidR="00021E2A">
        <w:rPr>
          <w:b/>
          <w:bCs/>
          <w:lang w:val="en-US"/>
        </w:rPr>
        <w:instrText>clearly</w:instrText>
      </w:r>
      <w:r w:rsidR="00021E2A" w:rsidRPr="00AA43FB">
        <w:rPr>
          <w:b/>
          <w:bCs/>
        </w:rPr>
        <w:instrText xml:space="preserve"> </w:instrText>
      </w:r>
      <w:r w:rsidR="00021E2A">
        <w:rPr>
          <w:b/>
          <w:bCs/>
          <w:lang w:val="en-US"/>
        </w:rPr>
        <w:instrText>R</w:instrText>
      </w:r>
      <w:r w:rsidR="00021E2A" w:rsidRPr="00AA43FB">
        <w:rPr>
          <w:b/>
          <w:bCs/>
        </w:rPr>
        <w:instrText>-</w:instrText>
      </w:r>
      <w:r w:rsidR="00021E2A">
        <w:rPr>
          <w:b/>
          <w:bCs/>
          <w:lang w:val="en-US"/>
        </w:rPr>
        <w:instrText>CHOP</w:instrText>
      </w:r>
      <w:r w:rsidR="00021E2A" w:rsidRPr="00AA43FB">
        <w:rPr>
          <w:b/>
          <w:bCs/>
        </w:rPr>
        <w:instrText xml:space="preserve"> </w:instrText>
      </w:r>
      <w:r w:rsidR="00021E2A">
        <w:rPr>
          <w:b/>
          <w:bCs/>
          <w:lang w:val="en-US"/>
        </w:rPr>
        <w:instrText>candidates</w:instrText>
      </w:r>
      <w:r w:rsidR="00021E2A" w:rsidRPr="00AA43FB">
        <w:rPr>
          <w:b/>
          <w:bCs/>
        </w:rPr>
        <w:instrText>.","</w:instrText>
      </w:r>
      <w:r w:rsidR="00021E2A">
        <w:rPr>
          <w:b/>
          <w:bCs/>
          <w:lang w:val="en-US"/>
        </w:rPr>
        <w:instrText>author</w:instrText>
      </w:r>
      <w:r w:rsidR="00021E2A" w:rsidRPr="00AA43FB">
        <w:rPr>
          <w:b/>
          <w:bCs/>
        </w:rPr>
        <w:instrText>":[{"</w:instrText>
      </w:r>
      <w:r w:rsidR="00021E2A">
        <w:rPr>
          <w:b/>
          <w:bCs/>
          <w:lang w:val="en-US"/>
        </w:rPr>
        <w:instrText>dropping</w:instrText>
      </w:r>
      <w:r w:rsidR="00021E2A" w:rsidRPr="00AA43FB">
        <w:rPr>
          <w:b/>
          <w:bCs/>
        </w:rPr>
        <w:instrText>-</w:instrText>
      </w:r>
      <w:r w:rsidR="00021E2A">
        <w:rPr>
          <w:b/>
          <w:bCs/>
          <w:lang w:val="en-US"/>
        </w:rPr>
        <w:instrText>particle</w:instrText>
      </w:r>
      <w:r w:rsidR="00021E2A" w:rsidRPr="00AA43FB">
        <w:rPr>
          <w:b/>
          <w:bCs/>
        </w:rPr>
        <w:instrText>":"","</w:instrText>
      </w:r>
      <w:r w:rsidR="00021E2A">
        <w:rPr>
          <w:b/>
          <w:bCs/>
          <w:lang w:val="en-US"/>
        </w:rPr>
        <w:instrText>family</w:instrText>
      </w:r>
      <w:r w:rsidR="00021E2A" w:rsidRPr="00AA43FB">
        <w:rPr>
          <w:b/>
          <w:bCs/>
        </w:rPr>
        <w:instrText>":"</w:instrText>
      </w:r>
      <w:r w:rsidR="00021E2A">
        <w:rPr>
          <w:b/>
          <w:bCs/>
          <w:lang w:val="en-US"/>
        </w:rPr>
        <w:instrText>Zeremski</w:instrText>
      </w:r>
      <w:r w:rsidR="00021E2A" w:rsidRPr="00AA43FB">
        <w:rPr>
          <w:b/>
          <w:bCs/>
        </w:rPr>
        <w:instrText>","</w:instrText>
      </w:r>
      <w:r w:rsidR="00021E2A">
        <w:rPr>
          <w:b/>
          <w:bCs/>
          <w:lang w:val="en-US"/>
        </w:rPr>
        <w:instrText>given</w:instrText>
      </w:r>
      <w:r w:rsidR="00021E2A" w:rsidRPr="00AA43FB">
        <w:rPr>
          <w:b/>
          <w:bCs/>
        </w:rPr>
        <w:instrText>":"</w:instrText>
      </w:r>
      <w:r w:rsidR="00021E2A">
        <w:rPr>
          <w:b/>
          <w:bCs/>
          <w:lang w:val="en-US"/>
        </w:rPr>
        <w:instrText>Vanja</w:instrText>
      </w:r>
      <w:r w:rsidR="00021E2A" w:rsidRPr="00AA43FB">
        <w:rPr>
          <w:b/>
          <w:bCs/>
        </w:rPr>
        <w:instrText>","</w:instrText>
      </w:r>
      <w:r w:rsidR="00021E2A">
        <w:rPr>
          <w:b/>
          <w:bCs/>
          <w:lang w:val="en-US"/>
        </w:rPr>
        <w:instrText>non</w:instrText>
      </w:r>
      <w:r w:rsidR="00021E2A" w:rsidRPr="00AA43FB">
        <w:rPr>
          <w:b/>
          <w:bCs/>
        </w:rPr>
        <w:instrText>-</w:instrText>
      </w:r>
      <w:r w:rsidR="00021E2A">
        <w:rPr>
          <w:b/>
          <w:bCs/>
          <w:lang w:val="en-US"/>
        </w:rPr>
        <w:instrText>dropping</w:instrText>
      </w:r>
      <w:r w:rsidR="00021E2A" w:rsidRPr="00AA43FB">
        <w:rPr>
          <w:b/>
          <w:bCs/>
        </w:rPr>
        <w:instrText>-</w:instrText>
      </w:r>
      <w:r w:rsidR="00021E2A">
        <w:rPr>
          <w:b/>
          <w:bCs/>
          <w:lang w:val="en-US"/>
        </w:rPr>
        <w:instrText>particle</w:instrText>
      </w:r>
      <w:r w:rsidR="00021E2A" w:rsidRPr="00AA43FB">
        <w:rPr>
          <w:b/>
          <w:bCs/>
        </w:rPr>
        <w:instrText>":"","</w:instrText>
      </w:r>
      <w:r w:rsidR="00021E2A">
        <w:rPr>
          <w:b/>
          <w:bCs/>
          <w:lang w:val="en-US"/>
        </w:rPr>
        <w:instrText>parse</w:instrText>
      </w:r>
      <w:r w:rsidR="00021E2A" w:rsidRPr="00AA43FB">
        <w:rPr>
          <w:b/>
          <w:bCs/>
        </w:rPr>
        <w:instrText>-</w:instrText>
      </w:r>
      <w:r w:rsidR="00021E2A">
        <w:rPr>
          <w:b/>
          <w:bCs/>
          <w:lang w:val="en-US"/>
        </w:rPr>
        <w:instrText>names</w:instrText>
      </w:r>
      <w:r w:rsidR="00021E2A" w:rsidRPr="00AA43FB">
        <w:rPr>
          <w:b/>
          <w:bCs/>
        </w:rPr>
        <w:instrText>":</w:instrText>
      </w:r>
      <w:r w:rsidR="00021E2A">
        <w:rPr>
          <w:b/>
          <w:bCs/>
          <w:lang w:val="en-US"/>
        </w:rPr>
        <w:instrText>false</w:instrText>
      </w:r>
      <w:r w:rsidR="00021E2A" w:rsidRPr="00AA43FB">
        <w:rPr>
          <w:b/>
          <w:bCs/>
        </w:rPr>
        <w:instrText>,"</w:instrText>
      </w:r>
      <w:r w:rsidR="00021E2A">
        <w:rPr>
          <w:b/>
          <w:bCs/>
          <w:lang w:val="en-US"/>
        </w:rPr>
        <w:instrText>suffix</w:instrText>
      </w:r>
      <w:r w:rsidR="00021E2A" w:rsidRPr="00AA43FB">
        <w:rPr>
          <w:b/>
          <w:bCs/>
        </w:rPr>
        <w:instrText>":""},{"</w:instrText>
      </w:r>
      <w:r w:rsidR="00021E2A">
        <w:rPr>
          <w:b/>
          <w:bCs/>
          <w:lang w:val="en-US"/>
        </w:rPr>
        <w:instrText>dropping</w:instrText>
      </w:r>
      <w:r w:rsidR="00021E2A" w:rsidRPr="00AA43FB">
        <w:rPr>
          <w:b/>
          <w:bCs/>
        </w:rPr>
        <w:instrText>-</w:instrText>
      </w:r>
      <w:r w:rsidR="00021E2A">
        <w:rPr>
          <w:b/>
          <w:bCs/>
          <w:lang w:val="en-US"/>
        </w:rPr>
        <w:instrText>particle</w:instrText>
      </w:r>
      <w:r w:rsidR="00021E2A" w:rsidRPr="00AA43FB">
        <w:rPr>
          <w:b/>
          <w:bCs/>
        </w:rPr>
        <w:instrText>":"","</w:instrText>
      </w:r>
      <w:r w:rsidR="00021E2A">
        <w:rPr>
          <w:b/>
          <w:bCs/>
          <w:lang w:val="en-US"/>
        </w:rPr>
        <w:instrText>family</w:instrText>
      </w:r>
      <w:r w:rsidR="00021E2A" w:rsidRPr="00AA43FB">
        <w:rPr>
          <w:b/>
          <w:bCs/>
        </w:rPr>
        <w:instrText>":"</w:instrText>
      </w:r>
      <w:r w:rsidR="00021E2A">
        <w:rPr>
          <w:b/>
          <w:bCs/>
          <w:lang w:val="en-US"/>
        </w:rPr>
        <w:instrText>Jentsch</w:instrText>
      </w:r>
      <w:r w:rsidR="00021E2A" w:rsidRPr="00AA43FB">
        <w:rPr>
          <w:b/>
          <w:bCs/>
        </w:rPr>
        <w:instrText>-</w:instrText>
      </w:r>
      <w:r w:rsidR="00021E2A">
        <w:rPr>
          <w:b/>
          <w:bCs/>
          <w:lang w:val="en-US"/>
        </w:rPr>
        <w:instrText>Ullrich</w:instrText>
      </w:r>
      <w:r w:rsidR="00021E2A" w:rsidRPr="00AA43FB">
        <w:rPr>
          <w:b/>
          <w:bCs/>
        </w:rPr>
        <w:instrText>","</w:instrText>
      </w:r>
      <w:r w:rsidR="00021E2A">
        <w:rPr>
          <w:b/>
          <w:bCs/>
          <w:lang w:val="en-US"/>
        </w:rPr>
        <w:instrText>given</w:instrText>
      </w:r>
      <w:r w:rsidR="00021E2A" w:rsidRPr="00AA43FB">
        <w:rPr>
          <w:b/>
          <w:bCs/>
        </w:rPr>
        <w:instrText>":"</w:instrText>
      </w:r>
      <w:r w:rsidR="00021E2A">
        <w:rPr>
          <w:b/>
          <w:bCs/>
          <w:lang w:val="en-US"/>
        </w:rPr>
        <w:instrText>Kathleen</w:instrText>
      </w:r>
      <w:r w:rsidR="00021E2A" w:rsidRPr="00AA43FB">
        <w:rPr>
          <w:b/>
          <w:bCs/>
        </w:rPr>
        <w:instrText>","</w:instrText>
      </w:r>
      <w:r w:rsidR="00021E2A">
        <w:rPr>
          <w:b/>
          <w:bCs/>
          <w:lang w:val="en-US"/>
        </w:rPr>
        <w:instrText>non</w:instrText>
      </w:r>
      <w:r w:rsidR="00021E2A" w:rsidRPr="00AA43FB">
        <w:rPr>
          <w:b/>
          <w:bCs/>
        </w:rPr>
        <w:instrText>-</w:instrText>
      </w:r>
      <w:r w:rsidR="00021E2A">
        <w:rPr>
          <w:b/>
          <w:bCs/>
          <w:lang w:val="en-US"/>
        </w:rPr>
        <w:instrText>dropping</w:instrText>
      </w:r>
      <w:r w:rsidR="00021E2A" w:rsidRPr="00AA43FB">
        <w:rPr>
          <w:b/>
          <w:bCs/>
        </w:rPr>
        <w:instrText>-</w:instrText>
      </w:r>
      <w:r w:rsidR="00021E2A">
        <w:rPr>
          <w:b/>
          <w:bCs/>
          <w:lang w:val="en-US"/>
        </w:rPr>
        <w:instrText>particle</w:instrText>
      </w:r>
      <w:r w:rsidR="00021E2A" w:rsidRPr="00AA43FB">
        <w:rPr>
          <w:b/>
          <w:bCs/>
        </w:rPr>
        <w:instrText>":"","</w:instrText>
      </w:r>
      <w:r w:rsidR="00021E2A">
        <w:rPr>
          <w:b/>
          <w:bCs/>
          <w:lang w:val="en-US"/>
        </w:rPr>
        <w:instrText>parse</w:instrText>
      </w:r>
      <w:r w:rsidR="00021E2A" w:rsidRPr="00AA43FB">
        <w:rPr>
          <w:b/>
          <w:bCs/>
        </w:rPr>
        <w:instrText>-</w:instrText>
      </w:r>
      <w:r w:rsidR="00021E2A">
        <w:rPr>
          <w:b/>
          <w:bCs/>
          <w:lang w:val="en-US"/>
        </w:rPr>
        <w:instrText>names</w:instrText>
      </w:r>
      <w:r w:rsidR="00021E2A" w:rsidRPr="00AA43FB">
        <w:rPr>
          <w:b/>
          <w:bCs/>
        </w:rPr>
        <w:instrText>":</w:instrText>
      </w:r>
      <w:r w:rsidR="00021E2A">
        <w:rPr>
          <w:b/>
          <w:bCs/>
          <w:lang w:val="en-US"/>
        </w:rPr>
        <w:instrText>false</w:instrText>
      </w:r>
      <w:r w:rsidR="00021E2A" w:rsidRPr="00AA43FB">
        <w:rPr>
          <w:b/>
          <w:bCs/>
        </w:rPr>
        <w:instrText>,"</w:instrText>
      </w:r>
      <w:r w:rsidR="00021E2A">
        <w:rPr>
          <w:b/>
          <w:bCs/>
          <w:lang w:val="en-US"/>
        </w:rPr>
        <w:instrText>suffix</w:instrText>
      </w:r>
      <w:r w:rsidR="00021E2A" w:rsidRPr="00AA43FB">
        <w:rPr>
          <w:b/>
          <w:bCs/>
        </w:rPr>
        <w:instrText>":""},{"</w:instrText>
      </w:r>
      <w:r w:rsidR="00021E2A">
        <w:rPr>
          <w:b/>
          <w:bCs/>
          <w:lang w:val="en-US"/>
        </w:rPr>
        <w:instrText>dropping</w:instrText>
      </w:r>
      <w:r w:rsidR="00021E2A" w:rsidRPr="00AA43FB">
        <w:rPr>
          <w:b/>
          <w:bCs/>
        </w:rPr>
        <w:instrText>-</w:instrText>
      </w:r>
      <w:r w:rsidR="00021E2A">
        <w:rPr>
          <w:b/>
          <w:bCs/>
          <w:lang w:val="en-US"/>
        </w:rPr>
        <w:instrText>particle</w:instrText>
      </w:r>
      <w:r w:rsidR="00021E2A" w:rsidRPr="00AA43FB">
        <w:rPr>
          <w:b/>
          <w:bCs/>
        </w:rPr>
        <w:instrText>":"","</w:instrText>
      </w:r>
      <w:r w:rsidR="00021E2A">
        <w:rPr>
          <w:b/>
          <w:bCs/>
          <w:lang w:val="en-US"/>
        </w:rPr>
        <w:instrText>family</w:instrText>
      </w:r>
      <w:r w:rsidR="00021E2A" w:rsidRPr="00AA43FB">
        <w:rPr>
          <w:b/>
          <w:bCs/>
        </w:rPr>
        <w:instrText>":"</w:instrText>
      </w:r>
      <w:r w:rsidR="00021E2A">
        <w:rPr>
          <w:b/>
          <w:bCs/>
          <w:lang w:val="en-US"/>
        </w:rPr>
        <w:instrText>Kahl</w:instrText>
      </w:r>
      <w:r w:rsidR="00021E2A" w:rsidRPr="00AA43FB">
        <w:rPr>
          <w:b/>
          <w:bCs/>
        </w:rPr>
        <w:instrText>","</w:instrText>
      </w:r>
      <w:r w:rsidR="00021E2A">
        <w:rPr>
          <w:b/>
          <w:bCs/>
          <w:lang w:val="en-US"/>
        </w:rPr>
        <w:instrText>given</w:instrText>
      </w:r>
      <w:r w:rsidR="00021E2A" w:rsidRPr="00AA43FB">
        <w:rPr>
          <w:b/>
          <w:bCs/>
        </w:rPr>
        <w:instrText>":"</w:instrText>
      </w:r>
      <w:r w:rsidR="00021E2A">
        <w:rPr>
          <w:b/>
          <w:bCs/>
          <w:lang w:val="en-US"/>
        </w:rPr>
        <w:instrText>Christoph</w:instrText>
      </w:r>
      <w:r w:rsidR="00021E2A" w:rsidRPr="00AA43FB">
        <w:rPr>
          <w:b/>
          <w:bCs/>
        </w:rPr>
        <w:instrText>","</w:instrText>
      </w:r>
      <w:r w:rsidR="00021E2A">
        <w:rPr>
          <w:b/>
          <w:bCs/>
          <w:lang w:val="en-US"/>
        </w:rPr>
        <w:instrText>non</w:instrText>
      </w:r>
      <w:r w:rsidR="00021E2A" w:rsidRPr="00AA43FB">
        <w:rPr>
          <w:b/>
          <w:bCs/>
        </w:rPr>
        <w:instrText>-</w:instrText>
      </w:r>
      <w:r w:rsidR="00021E2A">
        <w:rPr>
          <w:b/>
          <w:bCs/>
          <w:lang w:val="en-US"/>
        </w:rPr>
        <w:instrText>dropping</w:instrText>
      </w:r>
      <w:r w:rsidR="00021E2A" w:rsidRPr="00AA43FB">
        <w:rPr>
          <w:b/>
          <w:bCs/>
        </w:rPr>
        <w:instrText>-</w:instrText>
      </w:r>
      <w:r w:rsidR="00021E2A">
        <w:rPr>
          <w:b/>
          <w:bCs/>
          <w:lang w:val="en-US"/>
        </w:rPr>
        <w:instrText>particle</w:instrText>
      </w:r>
      <w:r w:rsidR="00021E2A" w:rsidRPr="00AA43FB">
        <w:rPr>
          <w:b/>
          <w:bCs/>
        </w:rPr>
        <w:instrText>":"","</w:instrText>
      </w:r>
      <w:r w:rsidR="00021E2A">
        <w:rPr>
          <w:b/>
          <w:bCs/>
          <w:lang w:val="en-US"/>
        </w:rPr>
        <w:instrText>parse</w:instrText>
      </w:r>
      <w:r w:rsidR="00021E2A" w:rsidRPr="00AA43FB">
        <w:rPr>
          <w:b/>
          <w:bCs/>
        </w:rPr>
        <w:instrText>-</w:instrText>
      </w:r>
      <w:r w:rsidR="00021E2A">
        <w:rPr>
          <w:b/>
          <w:bCs/>
          <w:lang w:val="en-US"/>
        </w:rPr>
        <w:instrText>names</w:instrText>
      </w:r>
      <w:r w:rsidR="00021E2A" w:rsidRPr="00AA43FB">
        <w:rPr>
          <w:b/>
          <w:bCs/>
        </w:rPr>
        <w:instrText>":</w:instrText>
      </w:r>
      <w:r w:rsidR="00021E2A">
        <w:rPr>
          <w:b/>
          <w:bCs/>
          <w:lang w:val="en-US"/>
        </w:rPr>
        <w:instrText>false</w:instrText>
      </w:r>
      <w:r w:rsidR="00021E2A" w:rsidRPr="00AA43FB">
        <w:rPr>
          <w:b/>
          <w:bCs/>
        </w:rPr>
        <w:instrText>,"</w:instrText>
      </w:r>
      <w:r w:rsidR="00021E2A">
        <w:rPr>
          <w:b/>
          <w:bCs/>
          <w:lang w:val="en-US"/>
        </w:rPr>
        <w:instrText>suffix</w:instrText>
      </w:r>
      <w:r w:rsidR="00021E2A" w:rsidRPr="00AA43FB">
        <w:rPr>
          <w:b/>
          <w:bCs/>
        </w:rPr>
        <w:instrText>":""},{"</w:instrText>
      </w:r>
      <w:r w:rsidR="00021E2A">
        <w:rPr>
          <w:b/>
          <w:bCs/>
          <w:lang w:val="en-US"/>
        </w:rPr>
        <w:instrText>dropping</w:instrText>
      </w:r>
      <w:r w:rsidR="00021E2A" w:rsidRPr="00AA43FB">
        <w:rPr>
          <w:b/>
          <w:bCs/>
        </w:rPr>
        <w:instrText>-</w:instrText>
      </w:r>
      <w:r w:rsidR="00021E2A">
        <w:rPr>
          <w:b/>
          <w:bCs/>
          <w:lang w:val="en-US"/>
        </w:rPr>
        <w:instrText>particle</w:instrText>
      </w:r>
      <w:r w:rsidR="00021E2A" w:rsidRPr="00AA43FB">
        <w:rPr>
          <w:b/>
          <w:bCs/>
        </w:rPr>
        <w:instrText>":"","</w:instrText>
      </w:r>
      <w:r w:rsidR="00021E2A">
        <w:rPr>
          <w:b/>
          <w:bCs/>
          <w:lang w:val="en-US"/>
        </w:rPr>
        <w:instrText>family</w:instrText>
      </w:r>
      <w:r w:rsidR="00021E2A" w:rsidRPr="00AA43FB">
        <w:rPr>
          <w:b/>
          <w:bCs/>
        </w:rPr>
        <w:instrText>":"</w:instrText>
      </w:r>
      <w:r w:rsidR="00021E2A">
        <w:rPr>
          <w:b/>
          <w:bCs/>
          <w:lang w:val="en-US"/>
        </w:rPr>
        <w:instrText>Mohren</w:instrText>
      </w:r>
      <w:r w:rsidR="00021E2A" w:rsidRPr="00AA43FB">
        <w:rPr>
          <w:b/>
          <w:bCs/>
        </w:rPr>
        <w:instrText>","</w:instrText>
      </w:r>
      <w:r w:rsidR="00021E2A">
        <w:rPr>
          <w:b/>
          <w:bCs/>
          <w:lang w:val="en-US"/>
        </w:rPr>
        <w:instrText>given</w:instrText>
      </w:r>
      <w:r w:rsidR="00021E2A" w:rsidRPr="00AA43FB">
        <w:rPr>
          <w:b/>
          <w:bCs/>
        </w:rPr>
        <w:instrText>":"</w:instrText>
      </w:r>
      <w:r w:rsidR="00021E2A">
        <w:rPr>
          <w:b/>
          <w:bCs/>
          <w:lang w:val="en-US"/>
        </w:rPr>
        <w:instrText>Martin</w:instrText>
      </w:r>
      <w:r w:rsidR="00021E2A" w:rsidRPr="00AA43FB">
        <w:rPr>
          <w:b/>
          <w:bCs/>
        </w:rPr>
        <w:instrText>","</w:instrText>
      </w:r>
      <w:r w:rsidR="00021E2A">
        <w:rPr>
          <w:b/>
          <w:bCs/>
          <w:lang w:val="en-US"/>
        </w:rPr>
        <w:instrText>non</w:instrText>
      </w:r>
      <w:r w:rsidR="00021E2A" w:rsidRPr="00AA43FB">
        <w:rPr>
          <w:b/>
          <w:bCs/>
        </w:rPr>
        <w:instrText>-</w:instrText>
      </w:r>
      <w:r w:rsidR="00021E2A">
        <w:rPr>
          <w:b/>
          <w:bCs/>
          <w:lang w:val="en-US"/>
        </w:rPr>
        <w:instrText>dropping</w:instrText>
      </w:r>
      <w:r w:rsidR="00021E2A" w:rsidRPr="00AA43FB">
        <w:rPr>
          <w:b/>
          <w:bCs/>
        </w:rPr>
        <w:instrText>-</w:instrText>
      </w:r>
      <w:r w:rsidR="00021E2A">
        <w:rPr>
          <w:b/>
          <w:bCs/>
          <w:lang w:val="en-US"/>
        </w:rPr>
        <w:instrText>particle</w:instrText>
      </w:r>
      <w:r w:rsidR="00021E2A" w:rsidRPr="00AA43FB">
        <w:rPr>
          <w:b/>
          <w:bCs/>
        </w:rPr>
        <w:instrText>":"","</w:instrText>
      </w:r>
      <w:r w:rsidR="00021E2A">
        <w:rPr>
          <w:b/>
          <w:bCs/>
          <w:lang w:val="en-US"/>
        </w:rPr>
        <w:instrText>parse</w:instrText>
      </w:r>
      <w:r w:rsidR="00021E2A" w:rsidRPr="00AA43FB">
        <w:rPr>
          <w:b/>
          <w:bCs/>
        </w:rPr>
        <w:instrText>-</w:instrText>
      </w:r>
      <w:r w:rsidR="00021E2A">
        <w:rPr>
          <w:b/>
          <w:bCs/>
          <w:lang w:val="en-US"/>
        </w:rPr>
        <w:instrText>names</w:instrText>
      </w:r>
      <w:r w:rsidR="00021E2A" w:rsidRPr="00AA43FB">
        <w:rPr>
          <w:b/>
          <w:bCs/>
        </w:rPr>
        <w:instrText>":</w:instrText>
      </w:r>
      <w:r w:rsidR="00021E2A">
        <w:rPr>
          <w:b/>
          <w:bCs/>
          <w:lang w:val="en-US"/>
        </w:rPr>
        <w:instrText>false</w:instrText>
      </w:r>
      <w:r w:rsidR="00021E2A" w:rsidRPr="00AA43FB">
        <w:rPr>
          <w:b/>
          <w:bCs/>
        </w:rPr>
        <w:instrText>,"</w:instrText>
      </w:r>
      <w:r w:rsidR="00021E2A">
        <w:rPr>
          <w:b/>
          <w:bCs/>
          <w:lang w:val="en-US"/>
        </w:rPr>
        <w:instrText>suffix</w:instrText>
      </w:r>
      <w:r w:rsidR="00021E2A" w:rsidRPr="00AA43FB">
        <w:rPr>
          <w:b/>
          <w:bCs/>
        </w:rPr>
        <w:instrText>":""},{"</w:instrText>
      </w:r>
      <w:r w:rsidR="00021E2A">
        <w:rPr>
          <w:b/>
          <w:bCs/>
          <w:lang w:val="en-US"/>
        </w:rPr>
        <w:instrText>dropping</w:instrText>
      </w:r>
      <w:r w:rsidR="00021E2A" w:rsidRPr="00AA43FB">
        <w:rPr>
          <w:b/>
          <w:bCs/>
        </w:rPr>
        <w:instrText>-</w:instrText>
      </w:r>
      <w:r w:rsidR="00021E2A">
        <w:rPr>
          <w:b/>
          <w:bCs/>
          <w:lang w:val="en-US"/>
        </w:rPr>
        <w:instrText>particle</w:instrText>
      </w:r>
      <w:r w:rsidR="00021E2A" w:rsidRPr="00AA43FB">
        <w:rPr>
          <w:b/>
          <w:bCs/>
        </w:rPr>
        <w:instrText>":"","</w:instrText>
      </w:r>
      <w:r w:rsidR="00021E2A">
        <w:rPr>
          <w:b/>
          <w:bCs/>
          <w:lang w:val="en-US"/>
        </w:rPr>
        <w:instrText>family</w:instrText>
      </w:r>
      <w:r w:rsidR="00021E2A" w:rsidRPr="00AA43FB">
        <w:rPr>
          <w:b/>
          <w:bCs/>
        </w:rPr>
        <w:instrText>":"</w:instrText>
      </w:r>
      <w:r w:rsidR="00021E2A">
        <w:rPr>
          <w:b/>
          <w:bCs/>
          <w:lang w:val="en-US"/>
        </w:rPr>
        <w:instrText>Eberhardt</w:instrText>
      </w:r>
      <w:r w:rsidR="00021E2A" w:rsidRPr="00AA43FB">
        <w:rPr>
          <w:b/>
          <w:bCs/>
        </w:rPr>
        <w:instrText>","</w:instrText>
      </w:r>
      <w:r w:rsidR="00021E2A">
        <w:rPr>
          <w:b/>
          <w:bCs/>
          <w:lang w:val="en-US"/>
        </w:rPr>
        <w:instrText>given</w:instrText>
      </w:r>
      <w:r w:rsidR="00021E2A" w:rsidRPr="00AA43FB">
        <w:rPr>
          <w:b/>
          <w:bCs/>
        </w:rPr>
        <w:instrText>":"</w:instrText>
      </w:r>
      <w:r w:rsidR="00021E2A">
        <w:rPr>
          <w:b/>
          <w:bCs/>
          <w:lang w:val="en-US"/>
        </w:rPr>
        <w:instrText>Judith</w:instrText>
      </w:r>
      <w:r w:rsidR="00021E2A" w:rsidRPr="00AA43FB">
        <w:rPr>
          <w:b/>
          <w:bCs/>
        </w:rPr>
        <w:instrText>","</w:instrText>
      </w:r>
      <w:r w:rsidR="00021E2A">
        <w:rPr>
          <w:b/>
          <w:bCs/>
          <w:lang w:val="en-US"/>
        </w:rPr>
        <w:instrText>non</w:instrText>
      </w:r>
      <w:r w:rsidR="00021E2A" w:rsidRPr="00AA43FB">
        <w:rPr>
          <w:b/>
          <w:bCs/>
        </w:rPr>
        <w:instrText>-</w:instrText>
      </w:r>
      <w:r w:rsidR="00021E2A">
        <w:rPr>
          <w:b/>
          <w:bCs/>
          <w:lang w:val="en-US"/>
        </w:rPr>
        <w:instrText>dropping</w:instrText>
      </w:r>
      <w:r w:rsidR="00021E2A" w:rsidRPr="00AA43FB">
        <w:rPr>
          <w:b/>
          <w:bCs/>
        </w:rPr>
        <w:instrText>-</w:instrText>
      </w:r>
      <w:r w:rsidR="00021E2A">
        <w:rPr>
          <w:b/>
          <w:bCs/>
          <w:lang w:val="en-US"/>
        </w:rPr>
        <w:instrText>particle</w:instrText>
      </w:r>
      <w:r w:rsidR="00021E2A" w:rsidRPr="00AA43FB">
        <w:rPr>
          <w:b/>
          <w:bCs/>
        </w:rPr>
        <w:instrText>":"","</w:instrText>
      </w:r>
      <w:r w:rsidR="00021E2A">
        <w:rPr>
          <w:b/>
          <w:bCs/>
          <w:lang w:val="en-US"/>
        </w:rPr>
        <w:instrText>parse</w:instrText>
      </w:r>
      <w:r w:rsidR="00021E2A" w:rsidRPr="00AA43FB">
        <w:rPr>
          <w:b/>
          <w:bCs/>
        </w:rPr>
        <w:instrText>-</w:instrText>
      </w:r>
      <w:r w:rsidR="00021E2A">
        <w:rPr>
          <w:b/>
          <w:bCs/>
          <w:lang w:val="en-US"/>
        </w:rPr>
        <w:instrText>names</w:instrText>
      </w:r>
      <w:r w:rsidR="00021E2A" w:rsidRPr="00AA43FB">
        <w:rPr>
          <w:b/>
          <w:bCs/>
        </w:rPr>
        <w:instrText>":</w:instrText>
      </w:r>
      <w:r w:rsidR="00021E2A">
        <w:rPr>
          <w:b/>
          <w:bCs/>
          <w:lang w:val="en-US"/>
        </w:rPr>
        <w:instrText>false</w:instrText>
      </w:r>
      <w:r w:rsidR="00021E2A" w:rsidRPr="00AA43FB">
        <w:rPr>
          <w:b/>
          <w:bCs/>
        </w:rPr>
        <w:instrText>,"</w:instrText>
      </w:r>
      <w:r w:rsidR="00021E2A">
        <w:rPr>
          <w:b/>
          <w:bCs/>
          <w:lang w:val="en-US"/>
        </w:rPr>
        <w:instrText>suffix</w:instrText>
      </w:r>
      <w:r w:rsidR="00021E2A" w:rsidRPr="00AA43FB">
        <w:rPr>
          <w:b/>
          <w:bCs/>
        </w:rPr>
        <w:instrText>":""},{"</w:instrText>
      </w:r>
      <w:r w:rsidR="00021E2A">
        <w:rPr>
          <w:b/>
          <w:bCs/>
          <w:lang w:val="en-US"/>
        </w:rPr>
        <w:instrText>dropping</w:instrText>
      </w:r>
      <w:r w:rsidR="00021E2A" w:rsidRPr="00AA43FB">
        <w:rPr>
          <w:b/>
          <w:bCs/>
        </w:rPr>
        <w:instrText>-</w:instrText>
      </w:r>
      <w:r w:rsidR="00021E2A">
        <w:rPr>
          <w:b/>
          <w:bCs/>
          <w:lang w:val="en-US"/>
        </w:rPr>
        <w:instrText>particle</w:instrText>
      </w:r>
      <w:r w:rsidR="00021E2A" w:rsidRPr="00AA43FB">
        <w:rPr>
          <w:b/>
          <w:bCs/>
        </w:rPr>
        <w:instrText>":"","</w:instrText>
      </w:r>
      <w:r w:rsidR="00021E2A">
        <w:rPr>
          <w:b/>
          <w:bCs/>
          <w:lang w:val="en-US"/>
        </w:rPr>
        <w:instrText>family</w:instrText>
      </w:r>
      <w:r w:rsidR="00021E2A" w:rsidRPr="00AA43FB">
        <w:rPr>
          <w:b/>
          <w:bCs/>
        </w:rPr>
        <w:instrText>":"</w:instrText>
      </w:r>
      <w:r w:rsidR="00021E2A">
        <w:rPr>
          <w:b/>
          <w:bCs/>
          <w:lang w:val="en-US"/>
        </w:rPr>
        <w:instrText>Fischer</w:instrText>
      </w:r>
      <w:r w:rsidR="00021E2A" w:rsidRPr="00AA43FB">
        <w:rPr>
          <w:b/>
          <w:bCs/>
        </w:rPr>
        <w:instrText>","</w:instrText>
      </w:r>
      <w:r w:rsidR="00021E2A">
        <w:rPr>
          <w:b/>
          <w:bCs/>
          <w:lang w:val="en-US"/>
        </w:rPr>
        <w:instrText>given</w:instrText>
      </w:r>
      <w:r w:rsidR="00021E2A" w:rsidRPr="00AA43FB">
        <w:rPr>
          <w:b/>
          <w:bCs/>
        </w:rPr>
        <w:instrText>":"</w:instrText>
      </w:r>
      <w:r w:rsidR="00021E2A">
        <w:rPr>
          <w:b/>
          <w:bCs/>
          <w:lang w:val="en-US"/>
        </w:rPr>
        <w:instrText>Thomas</w:instrText>
      </w:r>
      <w:r w:rsidR="00021E2A" w:rsidRPr="00AA43FB">
        <w:rPr>
          <w:b/>
          <w:bCs/>
        </w:rPr>
        <w:instrText>","</w:instrText>
      </w:r>
      <w:r w:rsidR="00021E2A">
        <w:rPr>
          <w:b/>
          <w:bCs/>
          <w:lang w:val="en-US"/>
        </w:rPr>
        <w:instrText>non</w:instrText>
      </w:r>
      <w:r w:rsidR="00021E2A" w:rsidRPr="00AA43FB">
        <w:rPr>
          <w:b/>
          <w:bCs/>
        </w:rPr>
        <w:instrText>-</w:instrText>
      </w:r>
      <w:r w:rsidR="00021E2A">
        <w:rPr>
          <w:b/>
          <w:bCs/>
          <w:lang w:val="en-US"/>
        </w:rPr>
        <w:instrText>dropping</w:instrText>
      </w:r>
      <w:r w:rsidR="00021E2A" w:rsidRPr="00AA43FB">
        <w:rPr>
          <w:b/>
          <w:bCs/>
        </w:rPr>
        <w:instrText>-</w:instrText>
      </w:r>
      <w:r w:rsidR="00021E2A">
        <w:rPr>
          <w:b/>
          <w:bCs/>
          <w:lang w:val="en-US"/>
        </w:rPr>
        <w:instrText>particle</w:instrText>
      </w:r>
      <w:r w:rsidR="00021E2A" w:rsidRPr="00AA43FB">
        <w:rPr>
          <w:b/>
          <w:bCs/>
        </w:rPr>
        <w:instrText>":"","</w:instrText>
      </w:r>
      <w:r w:rsidR="00021E2A">
        <w:rPr>
          <w:b/>
          <w:bCs/>
          <w:lang w:val="en-US"/>
        </w:rPr>
        <w:instrText>parse</w:instrText>
      </w:r>
      <w:r w:rsidR="00021E2A" w:rsidRPr="00AA43FB">
        <w:rPr>
          <w:b/>
          <w:bCs/>
        </w:rPr>
        <w:instrText>-</w:instrText>
      </w:r>
      <w:r w:rsidR="00021E2A">
        <w:rPr>
          <w:b/>
          <w:bCs/>
          <w:lang w:val="en-US"/>
        </w:rPr>
        <w:instrText>names</w:instrText>
      </w:r>
      <w:r w:rsidR="00021E2A" w:rsidRPr="00AA43FB">
        <w:rPr>
          <w:b/>
          <w:bCs/>
        </w:rPr>
        <w:instrText>":</w:instrText>
      </w:r>
      <w:r w:rsidR="00021E2A">
        <w:rPr>
          <w:b/>
          <w:bCs/>
          <w:lang w:val="en-US"/>
        </w:rPr>
        <w:instrText>false</w:instrText>
      </w:r>
      <w:r w:rsidR="00021E2A" w:rsidRPr="00AA43FB">
        <w:rPr>
          <w:b/>
          <w:bCs/>
        </w:rPr>
        <w:instrText>,"</w:instrText>
      </w:r>
      <w:r w:rsidR="00021E2A">
        <w:rPr>
          <w:b/>
          <w:bCs/>
          <w:lang w:val="en-US"/>
        </w:rPr>
        <w:instrText>suffix</w:instrText>
      </w:r>
      <w:r w:rsidR="00021E2A" w:rsidRPr="00AA43FB">
        <w:rPr>
          <w:b/>
          <w:bCs/>
        </w:rPr>
        <w:instrText>":""},{"</w:instrText>
      </w:r>
      <w:r w:rsidR="00021E2A">
        <w:rPr>
          <w:b/>
          <w:bCs/>
          <w:lang w:val="en-US"/>
        </w:rPr>
        <w:instrText>dropping</w:instrText>
      </w:r>
      <w:r w:rsidR="00021E2A" w:rsidRPr="00AA43FB">
        <w:rPr>
          <w:b/>
          <w:bCs/>
        </w:rPr>
        <w:instrText>-</w:instrText>
      </w:r>
      <w:r w:rsidR="00021E2A">
        <w:rPr>
          <w:b/>
          <w:bCs/>
          <w:lang w:val="en-US"/>
        </w:rPr>
        <w:instrText>particle</w:instrText>
      </w:r>
      <w:r w:rsidR="00021E2A" w:rsidRPr="00AA43FB">
        <w:rPr>
          <w:b/>
          <w:bCs/>
        </w:rPr>
        <w:instrText>":"","</w:instrText>
      </w:r>
      <w:r w:rsidR="00021E2A">
        <w:rPr>
          <w:b/>
          <w:bCs/>
          <w:lang w:val="en-US"/>
        </w:rPr>
        <w:instrText>family</w:instrText>
      </w:r>
      <w:r w:rsidR="00021E2A" w:rsidRPr="00AA43FB">
        <w:rPr>
          <w:b/>
          <w:bCs/>
        </w:rPr>
        <w:instrText>":"</w:instrText>
      </w:r>
      <w:r w:rsidR="00021E2A">
        <w:rPr>
          <w:b/>
          <w:bCs/>
          <w:lang w:val="en-US"/>
        </w:rPr>
        <w:instrText>Schalk</w:instrText>
      </w:r>
      <w:r w:rsidR="00021E2A" w:rsidRPr="00AA43FB">
        <w:rPr>
          <w:b/>
          <w:bCs/>
        </w:rPr>
        <w:instrText>","</w:instrText>
      </w:r>
      <w:r w:rsidR="00021E2A">
        <w:rPr>
          <w:b/>
          <w:bCs/>
          <w:lang w:val="en-US"/>
        </w:rPr>
        <w:instrText>given</w:instrText>
      </w:r>
      <w:r w:rsidR="00021E2A" w:rsidRPr="00AA43FB">
        <w:rPr>
          <w:b/>
          <w:bCs/>
        </w:rPr>
        <w:instrText>":"</w:instrText>
      </w:r>
      <w:r w:rsidR="00021E2A">
        <w:rPr>
          <w:b/>
          <w:bCs/>
          <w:lang w:val="en-US"/>
        </w:rPr>
        <w:instrText>Enrico</w:instrText>
      </w:r>
      <w:r w:rsidR="00021E2A" w:rsidRPr="00AA43FB">
        <w:rPr>
          <w:b/>
          <w:bCs/>
        </w:rPr>
        <w:instrText>","</w:instrText>
      </w:r>
      <w:r w:rsidR="00021E2A">
        <w:rPr>
          <w:b/>
          <w:bCs/>
          <w:lang w:val="en-US"/>
        </w:rPr>
        <w:instrText>non</w:instrText>
      </w:r>
      <w:r w:rsidR="00021E2A" w:rsidRPr="00AA43FB">
        <w:rPr>
          <w:b/>
          <w:bCs/>
        </w:rPr>
        <w:instrText>-</w:instrText>
      </w:r>
      <w:r w:rsidR="00021E2A">
        <w:rPr>
          <w:b/>
          <w:bCs/>
          <w:lang w:val="en-US"/>
        </w:rPr>
        <w:instrText>dropping</w:instrText>
      </w:r>
      <w:r w:rsidR="00021E2A" w:rsidRPr="00AA43FB">
        <w:rPr>
          <w:b/>
          <w:bCs/>
        </w:rPr>
        <w:instrText>-</w:instrText>
      </w:r>
      <w:r w:rsidR="00021E2A">
        <w:rPr>
          <w:b/>
          <w:bCs/>
          <w:lang w:val="en-US"/>
        </w:rPr>
        <w:instrText>particle</w:instrText>
      </w:r>
      <w:r w:rsidR="00021E2A" w:rsidRPr="00AA43FB">
        <w:rPr>
          <w:b/>
          <w:bCs/>
        </w:rPr>
        <w:instrText>":"","</w:instrText>
      </w:r>
      <w:r w:rsidR="00021E2A">
        <w:rPr>
          <w:b/>
          <w:bCs/>
          <w:lang w:val="en-US"/>
        </w:rPr>
        <w:instrText>parse</w:instrText>
      </w:r>
      <w:r w:rsidR="00021E2A" w:rsidRPr="00AA43FB">
        <w:rPr>
          <w:b/>
          <w:bCs/>
        </w:rPr>
        <w:instrText>-</w:instrText>
      </w:r>
      <w:r w:rsidR="00021E2A">
        <w:rPr>
          <w:b/>
          <w:bCs/>
          <w:lang w:val="en-US"/>
        </w:rPr>
        <w:instrText>names</w:instrText>
      </w:r>
      <w:r w:rsidR="00021E2A" w:rsidRPr="00AA43FB">
        <w:rPr>
          <w:b/>
          <w:bCs/>
        </w:rPr>
        <w:instrText>":</w:instrText>
      </w:r>
      <w:r w:rsidR="00021E2A">
        <w:rPr>
          <w:b/>
          <w:bCs/>
          <w:lang w:val="en-US"/>
        </w:rPr>
        <w:instrText>false</w:instrText>
      </w:r>
      <w:r w:rsidR="00021E2A" w:rsidRPr="00AA43FB">
        <w:rPr>
          <w:b/>
          <w:bCs/>
        </w:rPr>
        <w:instrText>,"</w:instrText>
      </w:r>
      <w:r w:rsidR="00021E2A">
        <w:rPr>
          <w:b/>
          <w:bCs/>
          <w:lang w:val="en-US"/>
        </w:rPr>
        <w:instrText>suffix</w:instrText>
      </w:r>
      <w:r w:rsidR="00021E2A" w:rsidRPr="00AA43FB">
        <w:rPr>
          <w:b/>
          <w:bCs/>
        </w:rPr>
        <w:instrText>":""}],"</w:instrText>
      </w:r>
      <w:r w:rsidR="00021E2A">
        <w:rPr>
          <w:b/>
          <w:bCs/>
          <w:lang w:val="en-US"/>
        </w:rPr>
        <w:instrText>container</w:instrText>
      </w:r>
      <w:r w:rsidR="00021E2A" w:rsidRPr="00AA43FB">
        <w:rPr>
          <w:b/>
          <w:bCs/>
        </w:rPr>
        <w:instrText>-</w:instrText>
      </w:r>
      <w:r w:rsidR="00021E2A">
        <w:rPr>
          <w:b/>
          <w:bCs/>
          <w:lang w:val="en-US"/>
        </w:rPr>
        <w:instrText>title</w:instrText>
      </w:r>
      <w:r w:rsidR="00021E2A" w:rsidRPr="00AA43FB">
        <w:rPr>
          <w:b/>
          <w:bCs/>
        </w:rPr>
        <w:instrText>":"</w:instrText>
      </w:r>
      <w:r w:rsidR="00021E2A">
        <w:rPr>
          <w:b/>
          <w:bCs/>
          <w:lang w:val="en-US"/>
        </w:rPr>
        <w:instrText>Annals</w:instrText>
      </w:r>
      <w:r w:rsidR="00021E2A" w:rsidRPr="00AA43FB">
        <w:rPr>
          <w:b/>
          <w:bCs/>
        </w:rPr>
        <w:instrText xml:space="preserve"> </w:instrText>
      </w:r>
      <w:r w:rsidR="00021E2A">
        <w:rPr>
          <w:b/>
          <w:bCs/>
          <w:lang w:val="en-US"/>
        </w:rPr>
        <w:instrText>of</w:instrText>
      </w:r>
      <w:r w:rsidR="00021E2A" w:rsidRPr="00AA43FB">
        <w:rPr>
          <w:b/>
          <w:bCs/>
        </w:rPr>
        <w:instrText xml:space="preserve"> </w:instrText>
      </w:r>
      <w:r w:rsidR="00021E2A">
        <w:rPr>
          <w:b/>
          <w:bCs/>
          <w:lang w:val="en-US"/>
        </w:rPr>
        <w:instrText>Hematology</w:instrText>
      </w:r>
      <w:r w:rsidR="00021E2A" w:rsidRPr="00AA43FB">
        <w:rPr>
          <w:b/>
          <w:bCs/>
        </w:rPr>
        <w:instrText>","</w:instrText>
      </w:r>
      <w:r w:rsidR="00021E2A">
        <w:rPr>
          <w:b/>
          <w:bCs/>
          <w:lang w:val="en-US"/>
        </w:rPr>
        <w:instrText>id</w:instrText>
      </w:r>
      <w:r w:rsidR="00021E2A" w:rsidRPr="00AA43FB">
        <w:rPr>
          <w:b/>
          <w:bCs/>
        </w:rPr>
        <w:instrText>":"</w:instrText>
      </w:r>
      <w:r w:rsidR="00021E2A">
        <w:rPr>
          <w:b/>
          <w:bCs/>
          <w:lang w:val="en-US"/>
        </w:rPr>
        <w:instrText>ITEM</w:instrText>
      </w:r>
      <w:r w:rsidR="00021E2A" w:rsidRPr="00AA43FB">
        <w:rPr>
          <w:b/>
          <w:bCs/>
        </w:rPr>
        <w:instrText>-1","</w:instrText>
      </w:r>
      <w:r w:rsidR="00021E2A">
        <w:rPr>
          <w:b/>
          <w:bCs/>
          <w:lang w:val="en-US"/>
        </w:rPr>
        <w:instrText>issue</w:instrText>
      </w:r>
      <w:r w:rsidR="00021E2A" w:rsidRPr="00AA43FB">
        <w:rPr>
          <w:b/>
          <w:bCs/>
        </w:rPr>
        <w:instrText>":"12","</w:instrText>
      </w:r>
      <w:r w:rsidR="00021E2A">
        <w:rPr>
          <w:b/>
          <w:bCs/>
          <w:lang w:val="en-US"/>
        </w:rPr>
        <w:instrText>issued</w:instrText>
      </w:r>
      <w:r w:rsidR="00021E2A" w:rsidRPr="00AA43FB">
        <w:rPr>
          <w:b/>
          <w:bCs/>
        </w:rPr>
        <w:instrText>":{"</w:instrText>
      </w:r>
      <w:r w:rsidR="00021E2A">
        <w:rPr>
          <w:b/>
          <w:bCs/>
          <w:lang w:val="en-US"/>
        </w:rPr>
        <w:instrText>date</w:instrText>
      </w:r>
      <w:r w:rsidR="00021E2A" w:rsidRPr="00AA43FB">
        <w:rPr>
          <w:b/>
          <w:bCs/>
        </w:rPr>
        <w:instrText>-</w:instrText>
      </w:r>
      <w:r w:rsidR="00021E2A">
        <w:rPr>
          <w:b/>
          <w:bCs/>
          <w:lang w:val="en-US"/>
        </w:rPr>
        <w:instrText>parts</w:instrText>
      </w:r>
      <w:r w:rsidR="00021E2A" w:rsidRPr="00AA43FB">
        <w:rPr>
          <w:b/>
          <w:bCs/>
        </w:rPr>
        <w:instrText>":[["2019","12","1"]]},"</w:instrText>
      </w:r>
      <w:r w:rsidR="00021E2A">
        <w:rPr>
          <w:b/>
          <w:bCs/>
          <w:lang w:val="en-US"/>
        </w:rPr>
        <w:instrText>page</w:instrText>
      </w:r>
      <w:r w:rsidR="00021E2A" w:rsidRPr="00AA43FB">
        <w:rPr>
          <w:b/>
          <w:bCs/>
        </w:rPr>
        <w:instrText>":"2729-2737","</w:instrText>
      </w:r>
      <w:r w:rsidR="00021E2A">
        <w:rPr>
          <w:b/>
          <w:bCs/>
          <w:lang w:val="en-US"/>
        </w:rPr>
        <w:instrText>publisher</w:instrText>
      </w:r>
      <w:r w:rsidR="00021E2A" w:rsidRPr="00AA43FB">
        <w:rPr>
          <w:b/>
          <w:bCs/>
        </w:rPr>
        <w:instrText>":"</w:instrText>
      </w:r>
      <w:r w:rsidR="00021E2A">
        <w:rPr>
          <w:b/>
          <w:bCs/>
          <w:lang w:val="en-US"/>
        </w:rPr>
        <w:instrText>Springer</w:instrText>
      </w:r>
      <w:r w:rsidR="00021E2A" w:rsidRPr="00AA43FB">
        <w:rPr>
          <w:b/>
          <w:bCs/>
        </w:rPr>
        <w:instrText>","</w:instrText>
      </w:r>
      <w:r w:rsidR="00021E2A">
        <w:rPr>
          <w:b/>
          <w:bCs/>
          <w:lang w:val="en-US"/>
        </w:rPr>
        <w:instrText>title</w:instrText>
      </w:r>
      <w:r w:rsidR="00021E2A" w:rsidRPr="00AA43FB">
        <w:rPr>
          <w:b/>
          <w:bCs/>
        </w:rPr>
        <w:instrText>":"</w:instrText>
      </w:r>
      <w:r w:rsidR="00021E2A">
        <w:rPr>
          <w:b/>
          <w:bCs/>
          <w:lang w:val="en-US"/>
        </w:rPr>
        <w:instrText>Is</w:instrText>
      </w:r>
      <w:r w:rsidR="00021E2A" w:rsidRPr="00AA43FB">
        <w:rPr>
          <w:b/>
          <w:bCs/>
        </w:rPr>
        <w:instrText xml:space="preserve"> </w:instrText>
      </w:r>
      <w:r w:rsidR="00021E2A">
        <w:rPr>
          <w:b/>
          <w:bCs/>
          <w:lang w:val="en-US"/>
        </w:rPr>
        <w:instrText>bendamustine</w:instrText>
      </w:r>
      <w:r w:rsidR="00021E2A" w:rsidRPr="00AA43FB">
        <w:rPr>
          <w:b/>
          <w:bCs/>
        </w:rPr>
        <w:instrText>-</w:instrText>
      </w:r>
      <w:r w:rsidR="00021E2A">
        <w:rPr>
          <w:b/>
          <w:bCs/>
          <w:lang w:val="en-US"/>
        </w:rPr>
        <w:instrText>rituximab</w:instrText>
      </w:r>
      <w:r w:rsidR="00021E2A" w:rsidRPr="00AA43FB">
        <w:rPr>
          <w:b/>
          <w:bCs/>
        </w:rPr>
        <w:instrText xml:space="preserve"> </w:instrText>
      </w:r>
      <w:r w:rsidR="00021E2A">
        <w:rPr>
          <w:b/>
          <w:bCs/>
          <w:lang w:val="en-US"/>
        </w:rPr>
        <w:instrText>a</w:instrText>
      </w:r>
      <w:r w:rsidR="00021E2A" w:rsidRPr="00AA43FB">
        <w:rPr>
          <w:b/>
          <w:bCs/>
        </w:rPr>
        <w:instrText xml:space="preserve"> </w:instrText>
      </w:r>
      <w:r w:rsidR="00021E2A">
        <w:rPr>
          <w:b/>
          <w:bCs/>
          <w:lang w:val="en-US"/>
        </w:rPr>
        <w:instrText>reasonable</w:instrText>
      </w:r>
      <w:r w:rsidR="00021E2A" w:rsidRPr="00AA43FB">
        <w:rPr>
          <w:b/>
          <w:bCs/>
        </w:rPr>
        <w:instrText xml:space="preserve"> </w:instrText>
      </w:r>
      <w:r w:rsidR="00021E2A">
        <w:rPr>
          <w:b/>
          <w:bCs/>
          <w:lang w:val="en-US"/>
        </w:rPr>
        <w:instrText>treatment</w:instrText>
      </w:r>
      <w:r w:rsidR="00021E2A" w:rsidRPr="00AA43FB">
        <w:rPr>
          <w:b/>
          <w:bCs/>
        </w:rPr>
        <w:instrText xml:space="preserve"> </w:instrText>
      </w:r>
      <w:r w:rsidR="00021E2A">
        <w:rPr>
          <w:b/>
          <w:bCs/>
          <w:lang w:val="en-US"/>
        </w:rPr>
        <w:instrText>in</w:instrText>
      </w:r>
      <w:r w:rsidR="00021E2A" w:rsidRPr="00AA43FB">
        <w:rPr>
          <w:b/>
          <w:bCs/>
        </w:rPr>
        <w:instrText xml:space="preserve"> </w:instrText>
      </w:r>
      <w:r w:rsidR="00021E2A">
        <w:rPr>
          <w:b/>
          <w:bCs/>
          <w:lang w:val="en-US"/>
        </w:rPr>
        <w:instrText>selected</w:instrText>
      </w:r>
      <w:r w:rsidR="00021E2A" w:rsidRPr="00AA43FB">
        <w:rPr>
          <w:b/>
          <w:bCs/>
        </w:rPr>
        <w:instrText xml:space="preserve"> </w:instrText>
      </w:r>
      <w:r w:rsidR="00021E2A">
        <w:rPr>
          <w:b/>
          <w:bCs/>
          <w:lang w:val="en-US"/>
        </w:rPr>
        <w:instrText>older</w:instrText>
      </w:r>
      <w:r w:rsidR="00021E2A" w:rsidRPr="00AA43FB">
        <w:rPr>
          <w:b/>
          <w:bCs/>
        </w:rPr>
        <w:instrText xml:space="preserve"> </w:instrText>
      </w:r>
      <w:r w:rsidR="00021E2A">
        <w:rPr>
          <w:b/>
          <w:bCs/>
          <w:lang w:val="en-US"/>
        </w:rPr>
        <w:instrText>patients</w:instrText>
      </w:r>
      <w:r w:rsidR="00021E2A" w:rsidRPr="00AA43FB">
        <w:rPr>
          <w:b/>
          <w:bCs/>
        </w:rPr>
        <w:instrText xml:space="preserve"> </w:instrText>
      </w:r>
      <w:r w:rsidR="00021E2A">
        <w:rPr>
          <w:b/>
          <w:bCs/>
          <w:lang w:val="en-US"/>
        </w:rPr>
        <w:instrText>with</w:instrText>
      </w:r>
      <w:r w:rsidR="00021E2A" w:rsidRPr="00AA43FB">
        <w:rPr>
          <w:b/>
          <w:bCs/>
        </w:rPr>
        <w:instrText xml:space="preserve"> </w:instrText>
      </w:r>
      <w:r w:rsidR="00021E2A">
        <w:rPr>
          <w:b/>
          <w:bCs/>
          <w:lang w:val="en-US"/>
        </w:rPr>
        <w:instrText>diffuse</w:instrText>
      </w:r>
      <w:r w:rsidR="00021E2A" w:rsidRPr="00AA43FB">
        <w:rPr>
          <w:b/>
          <w:bCs/>
        </w:rPr>
        <w:instrText xml:space="preserve"> </w:instrText>
      </w:r>
      <w:r w:rsidR="00021E2A">
        <w:rPr>
          <w:b/>
          <w:bCs/>
          <w:lang w:val="en-US"/>
        </w:rPr>
        <w:instrText>large</w:instrText>
      </w:r>
      <w:r w:rsidR="00021E2A" w:rsidRPr="00AA43FB">
        <w:rPr>
          <w:b/>
          <w:bCs/>
        </w:rPr>
        <w:instrText xml:space="preserve"> </w:instrText>
      </w:r>
      <w:r w:rsidR="00021E2A">
        <w:rPr>
          <w:b/>
          <w:bCs/>
          <w:lang w:val="en-US"/>
        </w:rPr>
        <w:instrText>B</w:instrText>
      </w:r>
      <w:r w:rsidR="00021E2A" w:rsidRPr="00AA43FB">
        <w:rPr>
          <w:b/>
          <w:bCs/>
        </w:rPr>
        <w:instrText xml:space="preserve"> </w:instrText>
      </w:r>
      <w:r w:rsidR="00021E2A">
        <w:rPr>
          <w:b/>
          <w:bCs/>
          <w:lang w:val="en-US"/>
        </w:rPr>
        <w:instrText>cell</w:instrText>
      </w:r>
      <w:r w:rsidR="00021E2A" w:rsidRPr="00AA43FB">
        <w:rPr>
          <w:b/>
          <w:bCs/>
        </w:rPr>
        <w:instrText xml:space="preserve"> </w:instrText>
      </w:r>
      <w:r w:rsidR="00021E2A">
        <w:rPr>
          <w:b/>
          <w:bCs/>
          <w:lang w:val="en-US"/>
        </w:rPr>
        <w:instrText>lymphoma</w:instrText>
      </w:r>
      <w:r w:rsidR="00021E2A" w:rsidRPr="00AA43FB">
        <w:rPr>
          <w:b/>
          <w:bCs/>
        </w:rPr>
        <w:instrText xml:space="preserve">? </w:instrText>
      </w:r>
      <w:r w:rsidR="00021E2A">
        <w:rPr>
          <w:b/>
          <w:bCs/>
          <w:lang w:val="en-US"/>
        </w:rPr>
        <w:instrText>Results</w:instrText>
      </w:r>
      <w:r w:rsidR="00021E2A" w:rsidRPr="00AA43FB">
        <w:rPr>
          <w:b/>
          <w:bCs/>
        </w:rPr>
        <w:instrText xml:space="preserve"> </w:instrText>
      </w:r>
      <w:r w:rsidR="00021E2A">
        <w:rPr>
          <w:b/>
          <w:bCs/>
          <w:lang w:val="en-US"/>
        </w:rPr>
        <w:instrText>from</w:instrText>
      </w:r>
      <w:r w:rsidR="00021E2A" w:rsidRPr="00AA43FB">
        <w:rPr>
          <w:b/>
          <w:bCs/>
        </w:rPr>
        <w:instrText xml:space="preserve"> </w:instrText>
      </w:r>
      <w:r w:rsidR="00021E2A">
        <w:rPr>
          <w:b/>
          <w:bCs/>
          <w:lang w:val="en-US"/>
        </w:rPr>
        <w:instrText>a</w:instrText>
      </w:r>
      <w:r w:rsidR="00021E2A" w:rsidRPr="00AA43FB">
        <w:rPr>
          <w:b/>
          <w:bCs/>
        </w:rPr>
        <w:instrText xml:space="preserve"> </w:instrText>
      </w:r>
      <w:r w:rsidR="00021E2A">
        <w:rPr>
          <w:b/>
          <w:bCs/>
          <w:lang w:val="en-US"/>
        </w:rPr>
        <w:instrText>multicentre</w:instrText>
      </w:r>
      <w:r w:rsidR="00021E2A" w:rsidRPr="00AA43FB">
        <w:rPr>
          <w:b/>
          <w:bCs/>
        </w:rPr>
        <w:instrText xml:space="preserve">, </w:instrText>
      </w:r>
      <w:r w:rsidR="00021E2A">
        <w:rPr>
          <w:b/>
          <w:bCs/>
          <w:lang w:val="en-US"/>
        </w:rPr>
        <w:instrText>retrospective</w:instrText>
      </w:r>
      <w:r w:rsidR="00021E2A" w:rsidRPr="00AA43FB">
        <w:rPr>
          <w:b/>
          <w:bCs/>
        </w:rPr>
        <w:instrText xml:space="preserve"> </w:instrText>
      </w:r>
      <w:r w:rsidR="00021E2A">
        <w:rPr>
          <w:b/>
          <w:bCs/>
          <w:lang w:val="en-US"/>
        </w:rPr>
        <w:instrText>study</w:instrText>
      </w:r>
      <w:r w:rsidR="00021E2A" w:rsidRPr="00AA43FB">
        <w:rPr>
          <w:b/>
          <w:bCs/>
        </w:rPr>
        <w:instrText>","</w:instrText>
      </w:r>
      <w:r w:rsidR="00021E2A">
        <w:rPr>
          <w:b/>
          <w:bCs/>
          <w:lang w:val="en-US"/>
        </w:rPr>
        <w:instrText>type</w:instrText>
      </w:r>
      <w:r w:rsidR="00021E2A" w:rsidRPr="00AA43FB">
        <w:rPr>
          <w:b/>
          <w:bCs/>
        </w:rPr>
        <w:instrText>":"</w:instrText>
      </w:r>
      <w:r w:rsidR="00021E2A">
        <w:rPr>
          <w:b/>
          <w:bCs/>
          <w:lang w:val="en-US"/>
        </w:rPr>
        <w:instrText>article</w:instrText>
      </w:r>
      <w:r w:rsidR="00021E2A" w:rsidRPr="00AA43FB">
        <w:rPr>
          <w:b/>
          <w:bCs/>
        </w:rPr>
        <w:instrText>-</w:instrText>
      </w:r>
      <w:r w:rsidR="00021E2A">
        <w:rPr>
          <w:b/>
          <w:bCs/>
          <w:lang w:val="en-US"/>
        </w:rPr>
        <w:instrText>journal</w:instrText>
      </w:r>
      <w:r w:rsidR="00021E2A" w:rsidRPr="00AA43FB">
        <w:rPr>
          <w:b/>
          <w:bCs/>
        </w:rPr>
        <w:instrText>","</w:instrText>
      </w:r>
      <w:r w:rsidR="00021E2A">
        <w:rPr>
          <w:b/>
          <w:bCs/>
          <w:lang w:val="en-US"/>
        </w:rPr>
        <w:instrText>volume</w:instrText>
      </w:r>
      <w:r w:rsidR="00021E2A" w:rsidRPr="00AA43FB">
        <w:rPr>
          <w:b/>
          <w:bCs/>
        </w:rPr>
        <w:instrText>":"98"},"</w:instrText>
      </w:r>
      <w:r w:rsidR="00021E2A">
        <w:rPr>
          <w:b/>
          <w:bCs/>
          <w:lang w:val="en-US"/>
        </w:rPr>
        <w:instrText>uris</w:instrText>
      </w:r>
      <w:r w:rsidR="00021E2A" w:rsidRPr="00AA43FB">
        <w:rPr>
          <w:b/>
          <w:bCs/>
        </w:rPr>
        <w:instrText>":["</w:instrText>
      </w:r>
      <w:r w:rsidR="00021E2A">
        <w:rPr>
          <w:b/>
          <w:bCs/>
          <w:lang w:val="en-US"/>
        </w:rPr>
        <w:instrText>http</w:instrText>
      </w:r>
      <w:r w:rsidR="00021E2A" w:rsidRPr="00AA43FB">
        <w:rPr>
          <w:b/>
          <w:bCs/>
        </w:rPr>
        <w:instrText>://</w:instrText>
      </w:r>
      <w:r w:rsidR="00021E2A">
        <w:rPr>
          <w:b/>
          <w:bCs/>
          <w:lang w:val="en-US"/>
        </w:rPr>
        <w:instrText>www</w:instrText>
      </w:r>
      <w:r w:rsidR="00021E2A" w:rsidRPr="00AA43FB">
        <w:rPr>
          <w:b/>
          <w:bCs/>
        </w:rPr>
        <w:instrText>.</w:instrText>
      </w:r>
      <w:r w:rsidR="00021E2A">
        <w:rPr>
          <w:b/>
          <w:bCs/>
          <w:lang w:val="en-US"/>
        </w:rPr>
        <w:instrText>mendeley</w:instrText>
      </w:r>
      <w:r w:rsidR="00021E2A" w:rsidRPr="00AA43FB">
        <w:rPr>
          <w:b/>
          <w:bCs/>
        </w:rPr>
        <w:instrText>.</w:instrText>
      </w:r>
      <w:r w:rsidR="00021E2A">
        <w:rPr>
          <w:b/>
          <w:bCs/>
          <w:lang w:val="en-US"/>
        </w:rPr>
        <w:instrText>com</w:instrText>
      </w:r>
      <w:r w:rsidR="00021E2A" w:rsidRPr="00AA43FB">
        <w:rPr>
          <w:b/>
          <w:bCs/>
        </w:rPr>
        <w:instrText>/</w:instrText>
      </w:r>
      <w:r w:rsidR="00021E2A">
        <w:rPr>
          <w:b/>
          <w:bCs/>
          <w:lang w:val="en-US"/>
        </w:rPr>
        <w:instrText>documents</w:instrText>
      </w:r>
      <w:r w:rsidR="00021E2A" w:rsidRPr="00AA43FB">
        <w:rPr>
          <w:b/>
          <w:bCs/>
        </w:rPr>
        <w:instrText>/?</w:instrText>
      </w:r>
      <w:r w:rsidR="00021E2A">
        <w:rPr>
          <w:b/>
          <w:bCs/>
          <w:lang w:val="en-US"/>
        </w:rPr>
        <w:instrText>uuid</w:instrText>
      </w:r>
      <w:r w:rsidR="00021E2A" w:rsidRPr="00AA43FB">
        <w:rPr>
          <w:b/>
          <w:bCs/>
        </w:rPr>
        <w:instrText>=920882</w:instrText>
      </w:r>
      <w:r w:rsidR="00021E2A">
        <w:rPr>
          <w:b/>
          <w:bCs/>
          <w:lang w:val="en-US"/>
        </w:rPr>
        <w:instrText>d</w:instrText>
      </w:r>
      <w:r w:rsidR="00021E2A" w:rsidRPr="00AA43FB">
        <w:rPr>
          <w:b/>
          <w:bCs/>
        </w:rPr>
        <w:instrText>1-175</w:instrText>
      </w:r>
      <w:r w:rsidR="00021E2A">
        <w:rPr>
          <w:b/>
          <w:bCs/>
          <w:lang w:val="en-US"/>
        </w:rPr>
        <w:instrText>a</w:instrText>
      </w:r>
      <w:r w:rsidR="00021E2A" w:rsidRPr="00AA43FB">
        <w:rPr>
          <w:b/>
          <w:bCs/>
        </w:rPr>
        <w:instrText>-3334-86</w:instrText>
      </w:r>
      <w:r w:rsidR="00021E2A">
        <w:rPr>
          <w:b/>
          <w:bCs/>
          <w:lang w:val="en-US"/>
        </w:rPr>
        <w:instrText>bd</w:instrText>
      </w:r>
      <w:r w:rsidR="00021E2A" w:rsidRPr="00AA43FB">
        <w:rPr>
          <w:b/>
          <w:bCs/>
        </w:rPr>
        <w:instrText>-</w:instrText>
      </w:r>
      <w:r w:rsidR="00021E2A">
        <w:rPr>
          <w:b/>
          <w:bCs/>
          <w:lang w:val="en-US"/>
        </w:rPr>
        <w:instrText>c</w:instrText>
      </w:r>
      <w:r w:rsidR="00021E2A" w:rsidRPr="00AA43FB">
        <w:rPr>
          <w:b/>
          <w:bCs/>
        </w:rPr>
        <w:instrText>7</w:instrText>
      </w:r>
      <w:r w:rsidR="00021E2A">
        <w:rPr>
          <w:b/>
          <w:bCs/>
          <w:lang w:val="en-US"/>
        </w:rPr>
        <w:instrText>ba</w:instrText>
      </w:r>
      <w:r w:rsidR="00021E2A" w:rsidRPr="00AA43FB">
        <w:rPr>
          <w:b/>
          <w:bCs/>
        </w:rPr>
        <w:instrText>5</w:instrText>
      </w:r>
      <w:r w:rsidR="00021E2A">
        <w:rPr>
          <w:b/>
          <w:bCs/>
          <w:lang w:val="en-US"/>
        </w:rPr>
        <w:instrText>af</w:instrText>
      </w:r>
      <w:r w:rsidR="00021E2A" w:rsidRPr="00AA43FB">
        <w:rPr>
          <w:b/>
          <w:bCs/>
        </w:rPr>
        <w:instrText>21976"]},{"</w:instrText>
      </w:r>
      <w:r w:rsidR="00021E2A">
        <w:rPr>
          <w:b/>
          <w:bCs/>
          <w:lang w:val="en-US"/>
        </w:rPr>
        <w:instrText>id</w:instrText>
      </w:r>
      <w:r w:rsidR="00021E2A" w:rsidRPr="00AA43FB">
        <w:rPr>
          <w:b/>
          <w:bCs/>
        </w:rPr>
        <w:instrText>":"</w:instrText>
      </w:r>
      <w:r w:rsidR="00021E2A">
        <w:rPr>
          <w:b/>
          <w:bCs/>
          <w:lang w:val="en-US"/>
        </w:rPr>
        <w:instrText>ITEM</w:instrText>
      </w:r>
      <w:r w:rsidR="00021E2A" w:rsidRPr="00AA43FB">
        <w:rPr>
          <w:b/>
          <w:bCs/>
        </w:rPr>
        <w:instrText>-2","</w:instrText>
      </w:r>
      <w:r w:rsidR="00021E2A">
        <w:rPr>
          <w:b/>
          <w:bCs/>
          <w:lang w:val="en-US"/>
        </w:rPr>
        <w:instrText>itemData</w:instrText>
      </w:r>
      <w:r w:rsidR="00021E2A" w:rsidRPr="00AA43FB">
        <w:rPr>
          <w:b/>
          <w:bCs/>
        </w:rPr>
        <w:instrText>":{"</w:instrText>
      </w:r>
      <w:r w:rsidR="00021E2A">
        <w:rPr>
          <w:b/>
          <w:bCs/>
          <w:lang w:val="en-US"/>
        </w:rPr>
        <w:instrText>DOI</w:instrText>
      </w:r>
      <w:r w:rsidR="00021E2A" w:rsidRPr="00AA43FB">
        <w:rPr>
          <w:b/>
          <w:bCs/>
        </w:rPr>
        <w:instrText>":"10.3324/</w:instrText>
      </w:r>
      <w:r w:rsidR="00021E2A">
        <w:rPr>
          <w:b/>
          <w:bCs/>
          <w:lang w:val="en-US"/>
        </w:rPr>
        <w:instrText>haematol</w:instrText>
      </w:r>
      <w:r w:rsidR="00021E2A" w:rsidRPr="00AA43FB">
        <w:rPr>
          <w:b/>
          <w:bCs/>
        </w:rPr>
        <w:instrText>.2017.186569","</w:instrText>
      </w:r>
      <w:r w:rsidR="00021E2A">
        <w:rPr>
          <w:b/>
          <w:bCs/>
          <w:lang w:val="en-US"/>
        </w:rPr>
        <w:instrText>ISSN</w:instrText>
      </w:r>
      <w:r w:rsidR="00021E2A" w:rsidRPr="00AA43FB">
        <w:rPr>
          <w:b/>
          <w:bCs/>
        </w:rPr>
        <w:instrText>":"15928721","</w:instrText>
      </w:r>
      <w:r w:rsidR="00021E2A">
        <w:rPr>
          <w:b/>
          <w:bCs/>
          <w:lang w:val="en-US"/>
        </w:rPr>
        <w:instrText>abstract</w:instrText>
      </w:r>
      <w:r w:rsidR="00021E2A" w:rsidRPr="00AA43FB">
        <w:rPr>
          <w:b/>
          <w:bCs/>
        </w:rPr>
        <w:instrText>":"</w:instrText>
      </w:r>
      <w:r w:rsidR="00021E2A">
        <w:rPr>
          <w:b/>
          <w:bCs/>
          <w:lang w:val="en-US"/>
        </w:rPr>
        <w:instrText>We</w:instrText>
      </w:r>
      <w:r w:rsidR="00021E2A" w:rsidRPr="00AA43FB">
        <w:rPr>
          <w:b/>
          <w:bCs/>
        </w:rPr>
        <w:instrText xml:space="preserve"> </w:instrText>
      </w:r>
      <w:r w:rsidR="00021E2A">
        <w:rPr>
          <w:b/>
          <w:bCs/>
          <w:lang w:val="en-US"/>
        </w:rPr>
        <w:instrText>conducted</w:instrText>
      </w:r>
      <w:r w:rsidR="00021E2A" w:rsidRPr="00AA43FB">
        <w:rPr>
          <w:b/>
          <w:bCs/>
        </w:rPr>
        <w:instrText xml:space="preserve"> </w:instrText>
      </w:r>
      <w:r w:rsidR="00021E2A">
        <w:rPr>
          <w:b/>
          <w:bCs/>
          <w:lang w:val="en-US"/>
        </w:rPr>
        <w:instrText>a</w:instrText>
      </w:r>
      <w:r w:rsidR="00021E2A" w:rsidRPr="00AA43FB">
        <w:rPr>
          <w:b/>
          <w:bCs/>
        </w:rPr>
        <w:instrText xml:space="preserve"> </w:instrText>
      </w:r>
      <w:r w:rsidR="00021E2A">
        <w:rPr>
          <w:b/>
          <w:bCs/>
          <w:lang w:val="en-US"/>
        </w:rPr>
        <w:instrText>phase</w:instrText>
      </w:r>
      <w:r w:rsidR="00021E2A" w:rsidRPr="00AA43FB">
        <w:rPr>
          <w:b/>
          <w:bCs/>
        </w:rPr>
        <w:instrText xml:space="preserve"> </w:instrText>
      </w:r>
      <w:r w:rsidR="00021E2A">
        <w:rPr>
          <w:b/>
          <w:bCs/>
          <w:lang w:val="en-US"/>
        </w:rPr>
        <w:instrText>II</w:instrText>
      </w:r>
      <w:r w:rsidR="00021E2A" w:rsidRPr="00AA43FB">
        <w:rPr>
          <w:b/>
          <w:bCs/>
        </w:rPr>
        <w:instrText xml:space="preserve"> </w:instrText>
      </w:r>
      <w:r w:rsidR="00021E2A">
        <w:rPr>
          <w:b/>
          <w:bCs/>
          <w:lang w:val="en-US"/>
        </w:rPr>
        <w:instrText>study</w:instrText>
      </w:r>
      <w:r w:rsidR="00021E2A" w:rsidRPr="00AA43FB">
        <w:rPr>
          <w:b/>
          <w:bCs/>
        </w:rPr>
        <w:instrText xml:space="preserve"> </w:instrText>
      </w:r>
      <w:r w:rsidR="00021E2A">
        <w:rPr>
          <w:b/>
          <w:bCs/>
          <w:lang w:val="en-US"/>
        </w:rPr>
        <w:instrText>to</w:instrText>
      </w:r>
      <w:r w:rsidR="00021E2A" w:rsidRPr="00AA43FB">
        <w:rPr>
          <w:b/>
          <w:bCs/>
        </w:rPr>
        <w:instrText xml:space="preserve"> </w:instrText>
      </w:r>
      <w:r w:rsidR="00021E2A">
        <w:rPr>
          <w:b/>
          <w:bCs/>
          <w:lang w:val="en-US"/>
        </w:rPr>
        <w:instrText>assess</w:instrText>
      </w:r>
      <w:r w:rsidR="00021E2A" w:rsidRPr="00AA43FB">
        <w:rPr>
          <w:b/>
          <w:bCs/>
        </w:rPr>
        <w:instrText xml:space="preserve"> </w:instrText>
      </w:r>
      <w:r w:rsidR="00021E2A">
        <w:rPr>
          <w:b/>
          <w:bCs/>
          <w:lang w:val="en-US"/>
        </w:rPr>
        <w:instrText>activity</w:instrText>
      </w:r>
      <w:r w:rsidR="00021E2A" w:rsidRPr="00AA43FB">
        <w:rPr>
          <w:b/>
          <w:bCs/>
        </w:rPr>
        <w:instrText xml:space="preserve"> </w:instrText>
      </w:r>
      <w:r w:rsidR="00021E2A">
        <w:rPr>
          <w:b/>
          <w:bCs/>
          <w:lang w:val="en-US"/>
        </w:rPr>
        <w:instrText>and</w:instrText>
      </w:r>
      <w:r w:rsidR="00021E2A" w:rsidRPr="00AA43FB">
        <w:rPr>
          <w:b/>
          <w:bCs/>
        </w:rPr>
        <w:instrText xml:space="preserve"> </w:instrText>
      </w:r>
      <w:r w:rsidR="00021E2A">
        <w:rPr>
          <w:b/>
          <w:bCs/>
          <w:lang w:val="en-US"/>
        </w:rPr>
        <w:instrText>safety</w:instrText>
      </w:r>
      <w:r w:rsidR="00021E2A" w:rsidRPr="00AA43FB">
        <w:rPr>
          <w:b/>
          <w:bCs/>
        </w:rPr>
        <w:instrText xml:space="preserve"> </w:instrText>
      </w:r>
      <w:r w:rsidR="00021E2A">
        <w:rPr>
          <w:b/>
          <w:bCs/>
          <w:lang w:val="en-US"/>
        </w:rPr>
        <w:instrText>profile</w:instrText>
      </w:r>
      <w:r w:rsidR="00021E2A" w:rsidRPr="00AA43FB">
        <w:rPr>
          <w:b/>
          <w:bCs/>
        </w:rPr>
        <w:instrText xml:space="preserve"> </w:instrText>
      </w:r>
      <w:r w:rsidR="00021E2A">
        <w:rPr>
          <w:b/>
          <w:bCs/>
          <w:lang w:val="en-US"/>
        </w:rPr>
        <w:instrText>of</w:instrText>
      </w:r>
      <w:r w:rsidR="00021E2A" w:rsidRPr="00AA43FB">
        <w:rPr>
          <w:b/>
          <w:bCs/>
        </w:rPr>
        <w:instrText xml:space="preserve"> </w:instrText>
      </w:r>
      <w:r w:rsidR="00021E2A">
        <w:rPr>
          <w:b/>
          <w:bCs/>
          <w:lang w:val="en-US"/>
        </w:rPr>
        <w:instrText>bendamustine</w:instrText>
      </w:r>
      <w:r w:rsidR="00021E2A" w:rsidRPr="00AA43FB">
        <w:rPr>
          <w:b/>
          <w:bCs/>
        </w:rPr>
        <w:instrText xml:space="preserve"> </w:instrText>
      </w:r>
      <w:r w:rsidR="00021E2A">
        <w:rPr>
          <w:b/>
          <w:bCs/>
          <w:lang w:val="en-US"/>
        </w:rPr>
        <w:instrText>and</w:instrText>
      </w:r>
      <w:r w:rsidR="00021E2A" w:rsidRPr="00AA43FB">
        <w:rPr>
          <w:b/>
          <w:bCs/>
        </w:rPr>
        <w:instrText xml:space="preserve"> </w:instrText>
      </w:r>
      <w:r w:rsidR="00021E2A">
        <w:rPr>
          <w:b/>
          <w:bCs/>
          <w:lang w:val="en-US"/>
        </w:rPr>
        <w:instrText>rituximab</w:instrText>
      </w:r>
      <w:r w:rsidR="00021E2A" w:rsidRPr="00AA43FB">
        <w:rPr>
          <w:b/>
          <w:bCs/>
        </w:rPr>
        <w:instrText xml:space="preserve"> </w:instrText>
      </w:r>
      <w:r w:rsidR="00021E2A">
        <w:rPr>
          <w:b/>
          <w:bCs/>
          <w:lang w:val="en-US"/>
        </w:rPr>
        <w:instrText>in elderly patients with untreated diffuse large B-cell lymphoma (DLBCL) who were prospectively defined as frail using a simplified version of the Comprehensive Geriatric Assessment (CGA). Patients had to be over 70 years of age, with histologically confirmed DLBCL. Frail patients were those younger than 80 years with a frail profile at CGA or older than 80 years with an unfit profile. Treatment consisted of 4-6 courses of bendamustine [90 mg/m 2 days (d)1-2] and rituximab (375 mg/m 2 d1) administered every 28 days. Other main study end points were complete remission rate and the rate of extra-hematologic adverse events. Forty-nine patients were enrolled of whom 45 were confirmed eligible. Overall, 24 patients achieved a complete remission (53%; 95%CI: 38-68%) and the overall response rate was 62% (95%CI: 47-76%). The most frequent grade 3-4 adverse event was neutropenia (37.8%). Grade 3-4 extra-hematologic adverse events were observed in 7 patients (15.6%; 95%CI: 6.5-29.5%); the most frequent was grade 3 infection in 2 patients. With a median follow up of 33 months (range 1-52), the median progression-free survival was ten months (95%CI: 7-25). The study shows promising activity and manageable toxicity profile of BR combination as first-line therapy for patients with DLBCL who are prospectively defined as frail according to a simplified CGA, as adopted in this trial (clinicaltrials.gov identifier: 01990144).","author":[{"dropping-particle":"","family":"Storti","given":"Sergio","non-dropping-particle":"","parse-names":false,"suffix":""},{"dropping-particle":"","family":"Spina","given":"Michele","non-dropping-particle":"","parse-names":false,"suffix":""},{"dropping-particle":"","family":"Pesce","given":"Emanuela Anna","non-dropping-particle":"","parse-names":false,"suffix":""},{"dropping-particle":"","family":"Salvi","given":"Flavia","non-dropping-particle":"","parse-names":false,"suffix":""},{"dropping-particle":"","family":"Merli","given":"Michele","non-dropping-particle":"","parse-names":false,"suffix":""},{"dropping-particle":"","family":"Ruffini","given":"Alessia","non-dropping-particle":"","parse-names":false,"suffix":""},{"dropping-particle":"","family":"Cabras","given":"Giuseppina","non-dropping-particle":"","parse-names":false,"suffix":""},{"dropping-particle":"","family":"Chiappella","given":"Annalisa","non-dropping-particle":"","parse-names":false,"suffix":""},{"dropping-particle":"","family":"Angelucci","given":"Emanuele","non-dropping-particle":"","parse-names":false,"suffix":""},{"dropping-particle":"","family":"Fabbri","given":"Alberto","non-dropping-particle":"","parse-names":false,"suffix":""},{"dropping-particle":"","family":"Liberati","given":"Anna Marina","non-dropping-particle":"","parse-names":false,"suffix":""},{"dropping-particle":"","family":"Tani","given":"Monica","non-dropping-particle":"","parse-names":false,"suffix":""},{"dropping-particle":"","family":"Musuraca","given":"Gerardo","non-dropping-particle":"","parse-names":false,"suffix":""},{"dropping-particle":"","family":"Molinari","given":"Annalia","non-dropping-particle":"","parse-names":false,"suffix":""},{"dropping-particle":"","family":"Petrilli","given":"Maria Pia","non-dropping-particle":"","parse-names":false,"suffix":""},{"dropping-particle":"","family":"Palladino","given":"Carmela","non-dropping-particle":"","parse-names":false,"suffix":""},{"dropping-particle":"","family":"Ciancia","given":"Rosanna","non-dropping-particle":"","parse-names":false,"suffix":""},{"dropping-particle":"","family":"Ferrario","given":"Andrea","non-dropping-particle":"","parse-names":false,</w:instrText>
      </w:r>
      <w:r w:rsidR="00021E2A" w:rsidRPr="00320416">
        <w:rPr>
          <w:b/>
          <w:bCs/>
        </w:rPr>
        <w:instrText>"</w:instrText>
      </w:r>
      <w:r w:rsidR="00021E2A">
        <w:rPr>
          <w:b/>
          <w:bCs/>
          <w:lang w:val="en-US"/>
        </w:rPr>
        <w:instrText>suffix</w:instrText>
      </w:r>
      <w:r w:rsidR="00021E2A" w:rsidRPr="00320416">
        <w:rPr>
          <w:b/>
          <w:bCs/>
        </w:rPr>
        <w:instrText>":""},{"</w:instrText>
      </w:r>
      <w:r w:rsidR="00021E2A">
        <w:rPr>
          <w:b/>
          <w:bCs/>
          <w:lang w:val="en-US"/>
        </w:rPr>
        <w:instrText>dropping</w:instrText>
      </w:r>
      <w:r w:rsidR="00021E2A" w:rsidRPr="00320416">
        <w:rPr>
          <w:b/>
          <w:bCs/>
        </w:rPr>
        <w:instrText>-</w:instrText>
      </w:r>
      <w:r w:rsidR="00021E2A">
        <w:rPr>
          <w:b/>
          <w:bCs/>
          <w:lang w:val="en-US"/>
        </w:rPr>
        <w:instrText>particle</w:instrText>
      </w:r>
      <w:r w:rsidR="00021E2A" w:rsidRPr="00320416">
        <w:rPr>
          <w:b/>
          <w:bCs/>
        </w:rPr>
        <w:instrText>":"","</w:instrText>
      </w:r>
      <w:r w:rsidR="00021E2A">
        <w:rPr>
          <w:b/>
          <w:bCs/>
          <w:lang w:val="en-US"/>
        </w:rPr>
        <w:instrText>family</w:instrText>
      </w:r>
      <w:r w:rsidR="00021E2A" w:rsidRPr="00320416">
        <w:rPr>
          <w:b/>
          <w:bCs/>
        </w:rPr>
        <w:instrText>":"</w:instrText>
      </w:r>
      <w:r w:rsidR="00021E2A">
        <w:rPr>
          <w:b/>
          <w:bCs/>
          <w:lang w:val="en-US"/>
        </w:rPr>
        <w:instrText>Gasbarrino</w:instrText>
      </w:r>
      <w:r w:rsidR="00021E2A" w:rsidRPr="00320416">
        <w:rPr>
          <w:b/>
          <w:bCs/>
        </w:rPr>
        <w:instrText>","</w:instrText>
      </w:r>
      <w:r w:rsidR="00021E2A">
        <w:rPr>
          <w:b/>
          <w:bCs/>
          <w:lang w:val="en-US"/>
        </w:rPr>
        <w:instrText>given</w:instrText>
      </w:r>
      <w:r w:rsidR="00021E2A" w:rsidRPr="00320416">
        <w:rPr>
          <w:b/>
          <w:bCs/>
        </w:rPr>
        <w:instrText>":"</w:instrText>
      </w:r>
      <w:r w:rsidR="00021E2A">
        <w:rPr>
          <w:b/>
          <w:bCs/>
          <w:lang w:val="en-US"/>
        </w:rPr>
        <w:instrText>Cristiana</w:instrText>
      </w:r>
      <w:r w:rsidR="00021E2A" w:rsidRPr="00320416">
        <w:rPr>
          <w:b/>
          <w:bCs/>
        </w:rPr>
        <w:instrText>","</w:instrText>
      </w:r>
      <w:r w:rsidR="00021E2A">
        <w:rPr>
          <w:b/>
          <w:bCs/>
          <w:lang w:val="en-US"/>
        </w:rPr>
        <w:instrText>non</w:instrText>
      </w:r>
      <w:r w:rsidR="00021E2A" w:rsidRPr="00320416">
        <w:rPr>
          <w:b/>
          <w:bCs/>
        </w:rPr>
        <w:instrText>-</w:instrText>
      </w:r>
      <w:r w:rsidR="00021E2A">
        <w:rPr>
          <w:b/>
          <w:bCs/>
          <w:lang w:val="en-US"/>
        </w:rPr>
        <w:instrText>dropping</w:instrText>
      </w:r>
      <w:r w:rsidR="00021E2A" w:rsidRPr="00320416">
        <w:rPr>
          <w:b/>
          <w:bCs/>
        </w:rPr>
        <w:instrText>-</w:instrText>
      </w:r>
      <w:r w:rsidR="00021E2A">
        <w:rPr>
          <w:b/>
          <w:bCs/>
          <w:lang w:val="en-US"/>
        </w:rPr>
        <w:instrText>particle</w:instrText>
      </w:r>
      <w:r w:rsidR="00021E2A" w:rsidRPr="00320416">
        <w:rPr>
          <w:b/>
          <w:bCs/>
        </w:rPr>
        <w:instrText>":"","</w:instrText>
      </w:r>
      <w:r w:rsidR="00021E2A">
        <w:rPr>
          <w:b/>
          <w:bCs/>
          <w:lang w:val="en-US"/>
        </w:rPr>
        <w:instrText>parse</w:instrText>
      </w:r>
      <w:r w:rsidR="00021E2A" w:rsidRPr="00320416">
        <w:rPr>
          <w:b/>
          <w:bCs/>
        </w:rPr>
        <w:instrText>-</w:instrText>
      </w:r>
      <w:r w:rsidR="00021E2A">
        <w:rPr>
          <w:b/>
          <w:bCs/>
          <w:lang w:val="en-US"/>
        </w:rPr>
        <w:instrText>names</w:instrText>
      </w:r>
      <w:r w:rsidR="00021E2A" w:rsidRPr="00320416">
        <w:rPr>
          <w:b/>
          <w:bCs/>
        </w:rPr>
        <w:instrText>":</w:instrText>
      </w:r>
      <w:r w:rsidR="00021E2A">
        <w:rPr>
          <w:b/>
          <w:bCs/>
          <w:lang w:val="en-US"/>
        </w:rPr>
        <w:instrText>false</w:instrText>
      </w:r>
      <w:r w:rsidR="00021E2A" w:rsidRPr="00320416">
        <w:rPr>
          <w:b/>
          <w:bCs/>
        </w:rPr>
        <w:instrText>,"</w:instrText>
      </w:r>
      <w:r w:rsidR="00021E2A">
        <w:rPr>
          <w:b/>
          <w:bCs/>
          <w:lang w:val="en-US"/>
        </w:rPr>
        <w:instrText>suffix</w:instrText>
      </w:r>
      <w:r w:rsidR="00021E2A" w:rsidRPr="00320416">
        <w:rPr>
          <w:b/>
          <w:bCs/>
        </w:rPr>
        <w:instrText>":""},{"</w:instrText>
      </w:r>
      <w:r w:rsidR="00021E2A">
        <w:rPr>
          <w:b/>
          <w:bCs/>
          <w:lang w:val="en-US"/>
        </w:rPr>
        <w:instrText>dropping</w:instrText>
      </w:r>
      <w:r w:rsidR="00021E2A" w:rsidRPr="00320416">
        <w:rPr>
          <w:b/>
          <w:bCs/>
        </w:rPr>
        <w:instrText>-</w:instrText>
      </w:r>
      <w:r w:rsidR="00021E2A">
        <w:rPr>
          <w:b/>
          <w:bCs/>
          <w:lang w:val="en-US"/>
        </w:rPr>
        <w:instrText>particle</w:instrText>
      </w:r>
      <w:r w:rsidR="00021E2A" w:rsidRPr="00320416">
        <w:rPr>
          <w:b/>
          <w:bCs/>
        </w:rPr>
        <w:instrText>":"","</w:instrText>
      </w:r>
      <w:r w:rsidR="00021E2A">
        <w:rPr>
          <w:b/>
          <w:bCs/>
          <w:lang w:val="en-US"/>
        </w:rPr>
        <w:instrText>family</w:instrText>
      </w:r>
      <w:r w:rsidR="00021E2A" w:rsidRPr="00320416">
        <w:rPr>
          <w:b/>
          <w:bCs/>
        </w:rPr>
        <w:instrText>":"</w:instrText>
      </w:r>
      <w:r w:rsidR="00021E2A">
        <w:rPr>
          <w:b/>
          <w:bCs/>
          <w:lang w:val="en-US"/>
        </w:rPr>
        <w:instrText>Monaco</w:instrText>
      </w:r>
      <w:r w:rsidR="00021E2A" w:rsidRPr="00320416">
        <w:rPr>
          <w:b/>
          <w:bCs/>
        </w:rPr>
        <w:instrText>","</w:instrText>
      </w:r>
      <w:r w:rsidR="00021E2A">
        <w:rPr>
          <w:b/>
          <w:bCs/>
          <w:lang w:val="en-US"/>
        </w:rPr>
        <w:instrText>given</w:instrText>
      </w:r>
      <w:r w:rsidR="00021E2A" w:rsidRPr="00320416">
        <w:rPr>
          <w:b/>
          <w:bCs/>
        </w:rPr>
        <w:instrText>":"</w:instrText>
      </w:r>
      <w:r w:rsidR="00021E2A">
        <w:rPr>
          <w:b/>
          <w:bCs/>
          <w:lang w:val="en-US"/>
        </w:rPr>
        <w:instrText>Federico</w:instrText>
      </w:r>
      <w:r w:rsidR="00021E2A" w:rsidRPr="00320416">
        <w:rPr>
          <w:b/>
          <w:bCs/>
        </w:rPr>
        <w:instrText>","</w:instrText>
      </w:r>
      <w:r w:rsidR="00021E2A">
        <w:rPr>
          <w:b/>
          <w:bCs/>
          <w:lang w:val="en-US"/>
        </w:rPr>
        <w:instrText>non</w:instrText>
      </w:r>
      <w:r w:rsidR="00021E2A" w:rsidRPr="00320416">
        <w:rPr>
          <w:b/>
          <w:bCs/>
        </w:rPr>
        <w:instrText>-</w:instrText>
      </w:r>
      <w:r w:rsidR="00021E2A">
        <w:rPr>
          <w:b/>
          <w:bCs/>
          <w:lang w:val="en-US"/>
        </w:rPr>
        <w:instrText>dropping</w:instrText>
      </w:r>
      <w:r w:rsidR="00021E2A" w:rsidRPr="00320416">
        <w:rPr>
          <w:b/>
          <w:bCs/>
        </w:rPr>
        <w:instrText>-</w:instrText>
      </w:r>
      <w:r w:rsidR="00021E2A">
        <w:rPr>
          <w:b/>
          <w:bCs/>
          <w:lang w:val="en-US"/>
        </w:rPr>
        <w:instrText>particle</w:instrText>
      </w:r>
      <w:r w:rsidR="00021E2A" w:rsidRPr="00320416">
        <w:rPr>
          <w:b/>
          <w:bCs/>
        </w:rPr>
        <w:instrText>":"","</w:instrText>
      </w:r>
      <w:r w:rsidR="00021E2A">
        <w:rPr>
          <w:b/>
          <w:bCs/>
          <w:lang w:val="en-US"/>
        </w:rPr>
        <w:instrText>parse</w:instrText>
      </w:r>
      <w:r w:rsidR="00021E2A" w:rsidRPr="00320416">
        <w:rPr>
          <w:b/>
          <w:bCs/>
        </w:rPr>
        <w:instrText>-</w:instrText>
      </w:r>
      <w:r w:rsidR="00021E2A">
        <w:rPr>
          <w:b/>
          <w:bCs/>
          <w:lang w:val="en-US"/>
        </w:rPr>
        <w:instrText>names</w:instrText>
      </w:r>
      <w:r w:rsidR="00021E2A" w:rsidRPr="00320416">
        <w:rPr>
          <w:b/>
          <w:bCs/>
        </w:rPr>
        <w:instrText>":</w:instrText>
      </w:r>
      <w:r w:rsidR="00021E2A">
        <w:rPr>
          <w:b/>
          <w:bCs/>
          <w:lang w:val="en-US"/>
        </w:rPr>
        <w:instrText>false</w:instrText>
      </w:r>
      <w:r w:rsidR="00021E2A" w:rsidRPr="00320416">
        <w:rPr>
          <w:b/>
          <w:bCs/>
        </w:rPr>
        <w:instrText>,"</w:instrText>
      </w:r>
      <w:r w:rsidR="00021E2A">
        <w:rPr>
          <w:b/>
          <w:bCs/>
          <w:lang w:val="en-US"/>
        </w:rPr>
        <w:instrText>suffix</w:instrText>
      </w:r>
      <w:r w:rsidR="00021E2A" w:rsidRPr="00320416">
        <w:rPr>
          <w:b/>
          <w:bCs/>
        </w:rPr>
        <w:instrText>":""},{"</w:instrText>
      </w:r>
      <w:r w:rsidR="00021E2A">
        <w:rPr>
          <w:b/>
          <w:bCs/>
          <w:lang w:val="en-US"/>
        </w:rPr>
        <w:instrText>dropping</w:instrText>
      </w:r>
      <w:r w:rsidR="00021E2A" w:rsidRPr="00320416">
        <w:rPr>
          <w:b/>
          <w:bCs/>
        </w:rPr>
        <w:instrText>-</w:instrText>
      </w:r>
      <w:r w:rsidR="00021E2A">
        <w:rPr>
          <w:b/>
          <w:bCs/>
          <w:lang w:val="en-US"/>
        </w:rPr>
        <w:instrText>particle</w:instrText>
      </w:r>
      <w:r w:rsidR="00021E2A" w:rsidRPr="00320416">
        <w:rPr>
          <w:b/>
          <w:bCs/>
        </w:rPr>
        <w:instrText>":"","</w:instrText>
      </w:r>
      <w:r w:rsidR="00021E2A">
        <w:rPr>
          <w:b/>
          <w:bCs/>
          <w:lang w:val="en-US"/>
        </w:rPr>
        <w:instrText>family</w:instrText>
      </w:r>
      <w:r w:rsidR="00021E2A" w:rsidRPr="00320416">
        <w:rPr>
          <w:b/>
          <w:bCs/>
        </w:rPr>
        <w:instrText>":"</w:instrText>
      </w:r>
      <w:r w:rsidR="00021E2A">
        <w:rPr>
          <w:b/>
          <w:bCs/>
          <w:lang w:val="en-US"/>
        </w:rPr>
        <w:instrText>Fraticelli</w:instrText>
      </w:r>
      <w:r w:rsidR="00021E2A" w:rsidRPr="00320416">
        <w:rPr>
          <w:b/>
          <w:bCs/>
        </w:rPr>
        <w:instrText>","</w:instrText>
      </w:r>
      <w:r w:rsidR="00021E2A">
        <w:rPr>
          <w:b/>
          <w:bCs/>
          <w:lang w:val="en-US"/>
        </w:rPr>
        <w:instrText>given</w:instrText>
      </w:r>
      <w:r w:rsidR="00021E2A" w:rsidRPr="00320416">
        <w:rPr>
          <w:b/>
          <w:bCs/>
        </w:rPr>
        <w:instrText>":"</w:instrText>
      </w:r>
      <w:r w:rsidR="00021E2A">
        <w:rPr>
          <w:b/>
          <w:bCs/>
          <w:lang w:val="en-US"/>
        </w:rPr>
        <w:instrText>Vincenzo</w:instrText>
      </w:r>
      <w:r w:rsidR="00021E2A" w:rsidRPr="00320416">
        <w:rPr>
          <w:b/>
          <w:bCs/>
        </w:rPr>
        <w:instrText>","</w:instrText>
      </w:r>
      <w:r w:rsidR="00021E2A">
        <w:rPr>
          <w:b/>
          <w:bCs/>
          <w:lang w:val="en-US"/>
        </w:rPr>
        <w:instrText>non</w:instrText>
      </w:r>
      <w:r w:rsidR="00021E2A" w:rsidRPr="00320416">
        <w:rPr>
          <w:b/>
          <w:bCs/>
        </w:rPr>
        <w:instrText>-</w:instrText>
      </w:r>
      <w:r w:rsidR="00021E2A">
        <w:rPr>
          <w:b/>
          <w:bCs/>
          <w:lang w:val="en-US"/>
        </w:rPr>
        <w:instrText>dropping</w:instrText>
      </w:r>
      <w:r w:rsidR="00021E2A" w:rsidRPr="00320416">
        <w:rPr>
          <w:b/>
          <w:bCs/>
        </w:rPr>
        <w:instrText>-</w:instrText>
      </w:r>
      <w:r w:rsidR="00021E2A">
        <w:rPr>
          <w:b/>
          <w:bCs/>
          <w:lang w:val="en-US"/>
        </w:rPr>
        <w:instrText>particle</w:instrText>
      </w:r>
      <w:r w:rsidR="00021E2A" w:rsidRPr="00320416">
        <w:rPr>
          <w:b/>
          <w:bCs/>
        </w:rPr>
        <w:instrText>":"","</w:instrText>
      </w:r>
      <w:r w:rsidR="00021E2A">
        <w:rPr>
          <w:b/>
          <w:bCs/>
          <w:lang w:val="en-US"/>
        </w:rPr>
        <w:instrText>parse</w:instrText>
      </w:r>
      <w:r w:rsidR="00021E2A" w:rsidRPr="00320416">
        <w:rPr>
          <w:b/>
          <w:bCs/>
        </w:rPr>
        <w:instrText>-</w:instrText>
      </w:r>
      <w:r w:rsidR="00021E2A">
        <w:rPr>
          <w:b/>
          <w:bCs/>
          <w:lang w:val="en-US"/>
        </w:rPr>
        <w:instrText>names</w:instrText>
      </w:r>
      <w:r w:rsidR="00021E2A" w:rsidRPr="00320416">
        <w:rPr>
          <w:b/>
          <w:bCs/>
        </w:rPr>
        <w:instrText>":</w:instrText>
      </w:r>
      <w:r w:rsidR="00021E2A">
        <w:rPr>
          <w:b/>
          <w:bCs/>
          <w:lang w:val="en-US"/>
        </w:rPr>
        <w:instrText>false</w:instrText>
      </w:r>
      <w:r w:rsidR="00021E2A" w:rsidRPr="00320416">
        <w:rPr>
          <w:b/>
          <w:bCs/>
        </w:rPr>
        <w:instrText>,"</w:instrText>
      </w:r>
      <w:r w:rsidR="00021E2A">
        <w:rPr>
          <w:b/>
          <w:bCs/>
          <w:lang w:val="en-US"/>
        </w:rPr>
        <w:instrText>suffix</w:instrText>
      </w:r>
      <w:r w:rsidR="00021E2A" w:rsidRPr="00320416">
        <w:rPr>
          <w:b/>
          <w:bCs/>
        </w:rPr>
        <w:instrText>":""},{"</w:instrText>
      </w:r>
      <w:r w:rsidR="00021E2A">
        <w:rPr>
          <w:b/>
          <w:bCs/>
          <w:lang w:val="en-US"/>
        </w:rPr>
        <w:instrText>dropping</w:instrText>
      </w:r>
      <w:r w:rsidR="00021E2A" w:rsidRPr="00320416">
        <w:rPr>
          <w:b/>
          <w:bCs/>
        </w:rPr>
        <w:instrText>-</w:instrText>
      </w:r>
      <w:r w:rsidR="00021E2A">
        <w:rPr>
          <w:b/>
          <w:bCs/>
          <w:lang w:val="en-US"/>
        </w:rPr>
        <w:instrText>particle</w:instrText>
      </w:r>
      <w:r w:rsidR="00021E2A" w:rsidRPr="00320416">
        <w:rPr>
          <w:b/>
          <w:bCs/>
        </w:rPr>
        <w:instrText>":"","</w:instrText>
      </w:r>
      <w:r w:rsidR="00021E2A">
        <w:rPr>
          <w:b/>
          <w:bCs/>
          <w:lang w:val="en-US"/>
        </w:rPr>
        <w:instrText>family</w:instrText>
      </w:r>
      <w:r w:rsidR="00021E2A" w:rsidRPr="00320416">
        <w:rPr>
          <w:b/>
          <w:bCs/>
        </w:rPr>
        <w:instrText>":"</w:instrText>
      </w:r>
      <w:r w:rsidR="00021E2A">
        <w:rPr>
          <w:b/>
          <w:bCs/>
          <w:lang w:val="en-US"/>
        </w:rPr>
        <w:instrText>Vellis</w:instrText>
      </w:r>
      <w:r w:rsidR="00021E2A" w:rsidRPr="00320416">
        <w:rPr>
          <w:b/>
          <w:bCs/>
        </w:rPr>
        <w:instrText>","</w:instrText>
      </w:r>
      <w:r w:rsidR="00021E2A">
        <w:rPr>
          <w:b/>
          <w:bCs/>
          <w:lang w:val="en-US"/>
        </w:rPr>
        <w:instrText>given</w:instrText>
      </w:r>
      <w:r w:rsidR="00021E2A" w:rsidRPr="00320416">
        <w:rPr>
          <w:b/>
          <w:bCs/>
        </w:rPr>
        <w:instrText>":"</w:instrText>
      </w:r>
      <w:r w:rsidR="00021E2A">
        <w:rPr>
          <w:b/>
          <w:bCs/>
          <w:lang w:val="en-US"/>
        </w:rPr>
        <w:instrText>Annalisa</w:instrText>
      </w:r>
      <w:r w:rsidR="00021E2A" w:rsidRPr="00320416">
        <w:rPr>
          <w:b/>
          <w:bCs/>
        </w:rPr>
        <w:instrText>","</w:instrText>
      </w:r>
      <w:r w:rsidR="00021E2A">
        <w:rPr>
          <w:b/>
          <w:bCs/>
          <w:lang w:val="en-US"/>
        </w:rPr>
        <w:instrText>non</w:instrText>
      </w:r>
      <w:r w:rsidR="00021E2A" w:rsidRPr="00320416">
        <w:rPr>
          <w:b/>
          <w:bCs/>
        </w:rPr>
        <w:instrText>-</w:instrText>
      </w:r>
      <w:r w:rsidR="00021E2A">
        <w:rPr>
          <w:b/>
          <w:bCs/>
          <w:lang w:val="en-US"/>
        </w:rPr>
        <w:instrText>dropping</w:instrText>
      </w:r>
      <w:r w:rsidR="00021E2A" w:rsidRPr="00320416">
        <w:rPr>
          <w:b/>
          <w:bCs/>
        </w:rPr>
        <w:instrText>-</w:instrText>
      </w:r>
      <w:r w:rsidR="00021E2A">
        <w:rPr>
          <w:b/>
          <w:bCs/>
          <w:lang w:val="en-US"/>
        </w:rPr>
        <w:instrText>particle</w:instrText>
      </w:r>
      <w:r w:rsidR="00021E2A" w:rsidRPr="00320416">
        <w:rPr>
          <w:b/>
          <w:bCs/>
        </w:rPr>
        <w:instrText>":"</w:instrText>
      </w:r>
      <w:r w:rsidR="00021E2A">
        <w:rPr>
          <w:b/>
          <w:bCs/>
          <w:lang w:val="en-US"/>
        </w:rPr>
        <w:instrText>De</w:instrText>
      </w:r>
      <w:r w:rsidR="00021E2A" w:rsidRPr="00320416">
        <w:rPr>
          <w:b/>
          <w:bCs/>
        </w:rPr>
        <w:instrText>","</w:instrText>
      </w:r>
      <w:r w:rsidR="00021E2A">
        <w:rPr>
          <w:b/>
          <w:bCs/>
          <w:lang w:val="en-US"/>
        </w:rPr>
        <w:instrText>parse</w:instrText>
      </w:r>
      <w:r w:rsidR="00021E2A" w:rsidRPr="00320416">
        <w:rPr>
          <w:b/>
          <w:bCs/>
        </w:rPr>
        <w:instrText>-</w:instrText>
      </w:r>
      <w:r w:rsidR="00021E2A">
        <w:rPr>
          <w:b/>
          <w:bCs/>
          <w:lang w:val="en-US"/>
        </w:rPr>
        <w:instrText>names</w:instrText>
      </w:r>
      <w:r w:rsidR="00021E2A" w:rsidRPr="00320416">
        <w:rPr>
          <w:b/>
          <w:bCs/>
        </w:rPr>
        <w:instrText>":</w:instrText>
      </w:r>
      <w:r w:rsidR="00021E2A">
        <w:rPr>
          <w:b/>
          <w:bCs/>
          <w:lang w:val="en-US"/>
        </w:rPr>
        <w:instrText>false</w:instrText>
      </w:r>
      <w:r w:rsidR="00021E2A" w:rsidRPr="00320416">
        <w:rPr>
          <w:b/>
          <w:bCs/>
        </w:rPr>
        <w:instrText>,"</w:instrText>
      </w:r>
      <w:r w:rsidR="00021E2A">
        <w:rPr>
          <w:b/>
          <w:bCs/>
          <w:lang w:val="en-US"/>
        </w:rPr>
        <w:instrText>suffix</w:instrText>
      </w:r>
      <w:r w:rsidR="00021E2A" w:rsidRPr="00320416">
        <w:rPr>
          <w:b/>
          <w:bCs/>
        </w:rPr>
        <w:instrText>":""},{"</w:instrText>
      </w:r>
      <w:r w:rsidR="00021E2A">
        <w:rPr>
          <w:b/>
          <w:bCs/>
          <w:lang w:val="en-US"/>
        </w:rPr>
        <w:instrText>dropping</w:instrText>
      </w:r>
      <w:r w:rsidR="00021E2A" w:rsidRPr="00320416">
        <w:rPr>
          <w:b/>
          <w:bCs/>
        </w:rPr>
        <w:instrText>-</w:instrText>
      </w:r>
      <w:r w:rsidR="00021E2A">
        <w:rPr>
          <w:b/>
          <w:bCs/>
          <w:lang w:val="en-US"/>
        </w:rPr>
        <w:instrText>particle</w:instrText>
      </w:r>
      <w:r w:rsidR="00021E2A" w:rsidRPr="00320416">
        <w:rPr>
          <w:b/>
          <w:bCs/>
        </w:rPr>
        <w:instrText>":"","</w:instrText>
      </w:r>
      <w:r w:rsidR="00021E2A">
        <w:rPr>
          <w:b/>
          <w:bCs/>
          <w:lang w:val="en-US"/>
        </w:rPr>
        <w:instrText>family</w:instrText>
      </w:r>
      <w:r w:rsidR="00021E2A" w:rsidRPr="00320416">
        <w:rPr>
          <w:b/>
          <w:bCs/>
        </w:rPr>
        <w:instrText>":"</w:instrText>
      </w:r>
      <w:r w:rsidR="00021E2A">
        <w:rPr>
          <w:b/>
          <w:bCs/>
          <w:lang w:val="en-US"/>
        </w:rPr>
        <w:instrText>Merli</w:instrText>
      </w:r>
      <w:r w:rsidR="00021E2A" w:rsidRPr="00320416">
        <w:rPr>
          <w:b/>
          <w:bCs/>
        </w:rPr>
        <w:instrText>","</w:instrText>
      </w:r>
      <w:r w:rsidR="00021E2A">
        <w:rPr>
          <w:b/>
          <w:bCs/>
          <w:lang w:val="en-US"/>
        </w:rPr>
        <w:instrText>given</w:instrText>
      </w:r>
      <w:r w:rsidR="00021E2A" w:rsidRPr="00320416">
        <w:rPr>
          <w:b/>
          <w:bCs/>
        </w:rPr>
        <w:instrText>":"</w:instrText>
      </w:r>
      <w:r w:rsidR="00021E2A">
        <w:rPr>
          <w:b/>
          <w:bCs/>
          <w:lang w:val="en-US"/>
        </w:rPr>
        <w:instrText>Francesco</w:instrText>
      </w:r>
      <w:r w:rsidR="00021E2A" w:rsidRPr="00320416">
        <w:rPr>
          <w:b/>
          <w:bCs/>
        </w:rPr>
        <w:instrText>","</w:instrText>
      </w:r>
      <w:r w:rsidR="00021E2A">
        <w:rPr>
          <w:b/>
          <w:bCs/>
          <w:lang w:val="en-US"/>
        </w:rPr>
        <w:instrText>non</w:instrText>
      </w:r>
      <w:r w:rsidR="00021E2A" w:rsidRPr="00320416">
        <w:rPr>
          <w:b/>
          <w:bCs/>
        </w:rPr>
        <w:instrText>-</w:instrText>
      </w:r>
      <w:r w:rsidR="00021E2A">
        <w:rPr>
          <w:b/>
          <w:bCs/>
          <w:lang w:val="en-US"/>
        </w:rPr>
        <w:instrText>dropping</w:instrText>
      </w:r>
      <w:r w:rsidR="00021E2A" w:rsidRPr="00320416">
        <w:rPr>
          <w:b/>
          <w:bCs/>
        </w:rPr>
        <w:instrText>-</w:instrText>
      </w:r>
      <w:r w:rsidR="00021E2A">
        <w:rPr>
          <w:b/>
          <w:bCs/>
          <w:lang w:val="en-US"/>
        </w:rPr>
        <w:instrText>particle</w:instrText>
      </w:r>
      <w:r w:rsidR="00021E2A" w:rsidRPr="00320416">
        <w:rPr>
          <w:b/>
          <w:bCs/>
        </w:rPr>
        <w:instrText>":"","</w:instrText>
      </w:r>
      <w:r w:rsidR="00021E2A">
        <w:rPr>
          <w:b/>
          <w:bCs/>
          <w:lang w:val="en-US"/>
        </w:rPr>
        <w:instrText>parse</w:instrText>
      </w:r>
      <w:r w:rsidR="00021E2A" w:rsidRPr="00320416">
        <w:rPr>
          <w:b/>
          <w:bCs/>
        </w:rPr>
        <w:instrText>-</w:instrText>
      </w:r>
      <w:r w:rsidR="00021E2A">
        <w:rPr>
          <w:b/>
          <w:bCs/>
          <w:lang w:val="en-US"/>
        </w:rPr>
        <w:instrText>names</w:instrText>
      </w:r>
      <w:r w:rsidR="00021E2A" w:rsidRPr="00320416">
        <w:rPr>
          <w:b/>
          <w:bCs/>
        </w:rPr>
        <w:instrText>":</w:instrText>
      </w:r>
      <w:r w:rsidR="00021E2A">
        <w:rPr>
          <w:b/>
          <w:bCs/>
          <w:lang w:val="en-US"/>
        </w:rPr>
        <w:instrText>false</w:instrText>
      </w:r>
      <w:r w:rsidR="00021E2A" w:rsidRPr="00320416">
        <w:rPr>
          <w:b/>
          <w:bCs/>
        </w:rPr>
        <w:instrText>,"</w:instrText>
      </w:r>
      <w:r w:rsidR="00021E2A">
        <w:rPr>
          <w:b/>
          <w:bCs/>
          <w:lang w:val="en-US"/>
        </w:rPr>
        <w:instrText>suffix</w:instrText>
      </w:r>
      <w:r w:rsidR="00021E2A" w:rsidRPr="00320416">
        <w:rPr>
          <w:b/>
          <w:bCs/>
        </w:rPr>
        <w:instrText>":""},{"</w:instrText>
      </w:r>
      <w:r w:rsidR="00021E2A">
        <w:rPr>
          <w:b/>
          <w:bCs/>
          <w:lang w:val="en-US"/>
        </w:rPr>
        <w:instrText>dropping</w:instrText>
      </w:r>
      <w:r w:rsidR="00021E2A" w:rsidRPr="00320416">
        <w:rPr>
          <w:b/>
          <w:bCs/>
        </w:rPr>
        <w:instrText>-</w:instrText>
      </w:r>
      <w:r w:rsidR="00021E2A">
        <w:rPr>
          <w:b/>
          <w:bCs/>
          <w:lang w:val="en-US"/>
        </w:rPr>
        <w:instrText>particle</w:instrText>
      </w:r>
      <w:r w:rsidR="00021E2A" w:rsidRPr="00320416">
        <w:rPr>
          <w:b/>
          <w:bCs/>
        </w:rPr>
        <w:instrText>":"","</w:instrText>
      </w:r>
      <w:r w:rsidR="00021E2A">
        <w:rPr>
          <w:b/>
          <w:bCs/>
          <w:lang w:val="en-US"/>
        </w:rPr>
        <w:instrText>family</w:instrText>
      </w:r>
      <w:r w:rsidR="00021E2A" w:rsidRPr="00320416">
        <w:rPr>
          <w:b/>
          <w:bCs/>
        </w:rPr>
        <w:instrText>":"</w:instrText>
      </w:r>
      <w:r w:rsidR="00021E2A">
        <w:rPr>
          <w:b/>
          <w:bCs/>
          <w:lang w:val="en-US"/>
        </w:rPr>
        <w:instrText>Luminari</w:instrText>
      </w:r>
      <w:r w:rsidR="00021E2A" w:rsidRPr="00320416">
        <w:rPr>
          <w:b/>
          <w:bCs/>
        </w:rPr>
        <w:instrText>","</w:instrText>
      </w:r>
      <w:r w:rsidR="00021E2A">
        <w:rPr>
          <w:b/>
          <w:bCs/>
          <w:lang w:val="en-US"/>
        </w:rPr>
        <w:instrText>given</w:instrText>
      </w:r>
      <w:r w:rsidR="00021E2A" w:rsidRPr="00320416">
        <w:rPr>
          <w:b/>
          <w:bCs/>
        </w:rPr>
        <w:instrText>":"</w:instrText>
      </w:r>
      <w:r w:rsidR="00021E2A">
        <w:rPr>
          <w:b/>
          <w:bCs/>
          <w:lang w:val="en-US"/>
        </w:rPr>
        <w:instrText>Stefano</w:instrText>
      </w:r>
      <w:r w:rsidR="00021E2A" w:rsidRPr="00320416">
        <w:rPr>
          <w:b/>
          <w:bCs/>
        </w:rPr>
        <w:instrText>","</w:instrText>
      </w:r>
      <w:r w:rsidR="00021E2A">
        <w:rPr>
          <w:b/>
          <w:bCs/>
          <w:lang w:val="en-US"/>
        </w:rPr>
        <w:instrText>non</w:instrText>
      </w:r>
      <w:r w:rsidR="00021E2A" w:rsidRPr="00320416">
        <w:rPr>
          <w:b/>
          <w:bCs/>
        </w:rPr>
        <w:instrText>-</w:instrText>
      </w:r>
      <w:r w:rsidR="00021E2A">
        <w:rPr>
          <w:b/>
          <w:bCs/>
          <w:lang w:val="en-US"/>
        </w:rPr>
        <w:instrText>dropping</w:instrText>
      </w:r>
      <w:r w:rsidR="00021E2A" w:rsidRPr="00320416">
        <w:rPr>
          <w:b/>
          <w:bCs/>
        </w:rPr>
        <w:instrText>-</w:instrText>
      </w:r>
      <w:r w:rsidR="00021E2A">
        <w:rPr>
          <w:b/>
          <w:bCs/>
          <w:lang w:val="en-US"/>
        </w:rPr>
        <w:instrText>particle</w:instrText>
      </w:r>
      <w:r w:rsidR="00021E2A" w:rsidRPr="00320416">
        <w:rPr>
          <w:b/>
          <w:bCs/>
        </w:rPr>
        <w:instrText>":"","</w:instrText>
      </w:r>
      <w:r w:rsidR="00021E2A">
        <w:rPr>
          <w:b/>
          <w:bCs/>
          <w:lang w:val="en-US"/>
        </w:rPr>
        <w:instrText>parse</w:instrText>
      </w:r>
      <w:r w:rsidR="00021E2A" w:rsidRPr="00320416">
        <w:rPr>
          <w:b/>
          <w:bCs/>
        </w:rPr>
        <w:instrText>-</w:instrText>
      </w:r>
      <w:r w:rsidR="00021E2A">
        <w:rPr>
          <w:b/>
          <w:bCs/>
          <w:lang w:val="en-US"/>
        </w:rPr>
        <w:instrText>names</w:instrText>
      </w:r>
      <w:r w:rsidR="00021E2A" w:rsidRPr="00320416">
        <w:rPr>
          <w:b/>
          <w:bCs/>
        </w:rPr>
        <w:instrText>":</w:instrText>
      </w:r>
      <w:r w:rsidR="00021E2A">
        <w:rPr>
          <w:b/>
          <w:bCs/>
          <w:lang w:val="en-US"/>
        </w:rPr>
        <w:instrText>false</w:instrText>
      </w:r>
      <w:r w:rsidR="00021E2A" w:rsidRPr="00320416">
        <w:rPr>
          <w:b/>
          <w:bCs/>
        </w:rPr>
        <w:instrText>,"</w:instrText>
      </w:r>
      <w:r w:rsidR="00021E2A">
        <w:rPr>
          <w:b/>
          <w:bCs/>
          <w:lang w:val="en-US"/>
        </w:rPr>
        <w:instrText>suffix</w:instrText>
      </w:r>
      <w:r w:rsidR="00021E2A" w:rsidRPr="00320416">
        <w:rPr>
          <w:b/>
          <w:bCs/>
        </w:rPr>
        <w:instrText>":""}],"</w:instrText>
      </w:r>
      <w:r w:rsidR="00021E2A">
        <w:rPr>
          <w:b/>
          <w:bCs/>
          <w:lang w:val="en-US"/>
        </w:rPr>
        <w:instrText>container</w:instrText>
      </w:r>
      <w:r w:rsidR="00021E2A" w:rsidRPr="00320416">
        <w:rPr>
          <w:b/>
          <w:bCs/>
        </w:rPr>
        <w:instrText>-</w:instrText>
      </w:r>
      <w:r w:rsidR="00021E2A">
        <w:rPr>
          <w:b/>
          <w:bCs/>
          <w:lang w:val="en-US"/>
        </w:rPr>
        <w:instrText>title</w:instrText>
      </w:r>
      <w:r w:rsidR="00021E2A" w:rsidRPr="00320416">
        <w:rPr>
          <w:b/>
          <w:bCs/>
        </w:rPr>
        <w:instrText>":"</w:instrText>
      </w:r>
      <w:r w:rsidR="00021E2A">
        <w:rPr>
          <w:b/>
          <w:bCs/>
          <w:lang w:val="en-US"/>
        </w:rPr>
        <w:instrText>Haematologica</w:instrText>
      </w:r>
      <w:r w:rsidR="00021E2A" w:rsidRPr="00320416">
        <w:rPr>
          <w:b/>
          <w:bCs/>
        </w:rPr>
        <w:instrText>","</w:instrText>
      </w:r>
      <w:r w:rsidR="00021E2A">
        <w:rPr>
          <w:b/>
          <w:bCs/>
          <w:lang w:val="en-US"/>
        </w:rPr>
        <w:instrText>id</w:instrText>
      </w:r>
      <w:r w:rsidR="00021E2A" w:rsidRPr="00320416">
        <w:rPr>
          <w:b/>
          <w:bCs/>
        </w:rPr>
        <w:instrText>":"</w:instrText>
      </w:r>
      <w:r w:rsidR="00021E2A">
        <w:rPr>
          <w:b/>
          <w:bCs/>
          <w:lang w:val="en-US"/>
        </w:rPr>
        <w:instrText>ITEM</w:instrText>
      </w:r>
      <w:r w:rsidR="00021E2A" w:rsidRPr="00320416">
        <w:rPr>
          <w:b/>
          <w:bCs/>
        </w:rPr>
        <w:instrText>-2","</w:instrText>
      </w:r>
      <w:r w:rsidR="00021E2A">
        <w:rPr>
          <w:b/>
          <w:bCs/>
          <w:lang w:val="en-US"/>
        </w:rPr>
        <w:instrText>issue</w:instrText>
      </w:r>
      <w:r w:rsidR="00021E2A" w:rsidRPr="00320416">
        <w:rPr>
          <w:b/>
          <w:bCs/>
        </w:rPr>
        <w:instrText>":"8","</w:instrText>
      </w:r>
      <w:r w:rsidR="00021E2A">
        <w:rPr>
          <w:b/>
          <w:bCs/>
          <w:lang w:val="en-US"/>
        </w:rPr>
        <w:instrText>issued</w:instrText>
      </w:r>
      <w:r w:rsidR="00021E2A" w:rsidRPr="00320416">
        <w:rPr>
          <w:b/>
          <w:bCs/>
        </w:rPr>
        <w:instrText>":{"</w:instrText>
      </w:r>
      <w:r w:rsidR="00021E2A">
        <w:rPr>
          <w:b/>
          <w:bCs/>
          <w:lang w:val="en-US"/>
        </w:rPr>
        <w:instrText>date</w:instrText>
      </w:r>
      <w:r w:rsidR="00021E2A" w:rsidRPr="00320416">
        <w:rPr>
          <w:b/>
          <w:bCs/>
        </w:rPr>
        <w:instrText>-</w:instrText>
      </w:r>
      <w:r w:rsidR="00021E2A">
        <w:rPr>
          <w:b/>
          <w:bCs/>
          <w:lang w:val="en-US"/>
        </w:rPr>
        <w:instrText>parts</w:instrText>
      </w:r>
      <w:r w:rsidR="00021E2A" w:rsidRPr="00320416">
        <w:rPr>
          <w:b/>
          <w:bCs/>
        </w:rPr>
        <w:instrText>":[["2018","7","31"]]},"</w:instrText>
      </w:r>
      <w:r w:rsidR="00021E2A">
        <w:rPr>
          <w:b/>
          <w:bCs/>
          <w:lang w:val="en-US"/>
        </w:rPr>
        <w:instrText>page</w:instrText>
      </w:r>
      <w:r w:rsidR="00021E2A" w:rsidRPr="00320416">
        <w:rPr>
          <w:b/>
          <w:bCs/>
        </w:rPr>
        <w:instrText>":"1345-1350","</w:instrText>
      </w:r>
      <w:r w:rsidR="00021E2A">
        <w:rPr>
          <w:b/>
          <w:bCs/>
          <w:lang w:val="en-US"/>
        </w:rPr>
        <w:instrText>publisher</w:instrText>
      </w:r>
      <w:r w:rsidR="00021E2A" w:rsidRPr="00320416">
        <w:rPr>
          <w:b/>
          <w:bCs/>
        </w:rPr>
        <w:instrText>":"</w:instrText>
      </w:r>
      <w:r w:rsidR="00021E2A">
        <w:rPr>
          <w:b/>
          <w:bCs/>
          <w:lang w:val="en-US"/>
        </w:rPr>
        <w:instrText>Ferrata</w:instrText>
      </w:r>
      <w:r w:rsidR="00021E2A" w:rsidRPr="00320416">
        <w:rPr>
          <w:b/>
          <w:bCs/>
        </w:rPr>
        <w:instrText xml:space="preserve"> </w:instrText>
      </w:r>
      <w:r w:rsidR="00021E2A">
        <w:rPr>
          <w:b/>
          <w:bCs/>
          <w:lang w:val="en-US"/>
        </w:rPr>
        <w:instrText>Storti</w:instrText>
      </w:r>
      <w:r w:rsidR="00021E2A" w:rsidRPr="00320416">
        <w:rPr>
          <w:b/>
          <w:bCs/>
        </w:rPr>
        <w:instrText xml:space="preserve"> </w:instrText>
      </w:r>
      <w:r w:rsidR="00021E2A">
        <w:rPr>
          <w:b/>
          <w:bCs/>
          <w:lang w:val="en-US"/>
        </w:rPr>
        <w:instrText>Foundation</w:instrText>
      </w:r>
      <w:r w:rsidR="00021E2A" w:rsidRPr="00320416">
        <w:rPr>
          <w:b/>
          <w:bCs/>
        </w:rPr>
        <w:instrText>","</w:instrText>
      </w:r>
      <w:r w:rsidR="00021E2A">
        <w:rPr>
          <w:b/>
          <w:bCs/>
          <w:lang w:val="en-US"/>
        </w:rPr>
        <w:instrText>title</w:instrText>
      </w:r>
      <w:r w:rsidR="00021E2A" w:rsidRPr="00320416">
        <w:rPr>
          <w:b/>
          <w:bCs/>
        </w:rPr>
        <w:instrText>":"</w:instrText>
      </w:r>
      <w:r w:rsidR="00021E2A">
        <w:rPr>
          <w:b/>
          <w:bCs/>
          <w:lang w:val="en-US"/>
        </w:rPr>
        <w:instrText>Rituximab</w:instrText>
      </w:r>
      <w:r w:rsidR="00021E2A" w:rsidRPr="00320416">
        <w:rPr>
          <w:b/>
          <w:bCs/>
        </w:rPr>
        <w:instrText xml:space="preserve"> </w:instrText>
      </w:r>
      <w:r w:rsidR="00021E2A">
        <w:rPr>
          <w:b/>
          <w:bCs/>
          <w:lang w:val="en-US"/>
        </w:rPr>
        <w:instrText>plus</w:instrText>
      </w:r>
      <w:r w:rsidR="00021E2A" w:rsidRPr="00320416">
        <w:rPr>
          <w:b/>
          <w:bCs/>
        </w:rPr>
        <w:instrText xml:space="preserve"> </w:instrText>
      </w:r>
      <w:r w:rsidR="00021E2A">
        <w:rPr>
          <w:b/>
          <w:bCs/>
          <w:lang w:val="en-US"/>
        </w:rPr>
        <w:instrText>bendamustine</w:instrText>
      </w:r>
      <w:r w:rsidR="00021E2A" w:rsidRPr="00320416">
        <w:rPr>
          <w:b/>
          <w:bCs/>
        </w:rPr>
        <w:instrText xml:space="preserve"> </w:instrText>
      </w:r>
      <w:r w:rsidR="00021E2A">
        <w:rPr>
          <w:b/>
          <w:bCs/>
          <w:lang w:val="en-US"/>
        </w:rPr>
        <w:instrText>as</w:instrText>
      </w:r>
      <w:r w:rsidR="00021E2A" w:rsidRPr="00320416">
        <w:rPr>
          <w:b/>
          <w:bCs/>
        </w:rPr>
        <w:instrText xml:space="preserve"> </w:instrText>
      </w:r>
      <w:r w:rsidR="00021E2A">
        <w:rPr>
          <w:b/>
          <w:bCs/>
          <w:lang w:val="en-US"/>
        </w:rPr>
        <w:instrText>front</w:instrText>
      </w:r>
      <w:r w:rsidR="00021E2A" w:rsidRPr="00320416">
        <w:rPr>
          <w:b/>
          <w:bCs/>
        </w:rPr>
        <w:instrText>-</w:instrText>
      </w:r>
      <w:r w:rsidR="00021E2A">
        <w:rPr>
          <w:b/>
          <w:bCs/>
          <w:lang w:val="en-US"/>
        </w:rPr>
        <w:instrText>line</w:instrText>
      </w:r>
      <w:r w:rsidR="00021E2A" w:rsidRPr="00320416">
        <w:rPr>
          <w:b/>
          <w:bCs/>
        </w:rPr>
        <w:instrText xml:space="preserve"> </w:instrText>
      </w:r>
      <w:r w:rsidR="00021E2A">
        <w:rPr>
          <w:b/>
          <w:bCs/>
          <w:lang w:val="en-US"/>
        </w:rPr>
        <w:instrText>treatment</w:instrText>
      </w:r>
      <w:r w:rsidR="00021E2A" w:rsidRPr="00320416">
        <w:rPr>
          <w:b/>
          <w:bCs/>
        </w:rPr>
        <w:instrText xml:space="preserve"> </w:instrText>
      </w:r>
      <w:r w:rsidR="00021E2A">
        <w:rPr>
          <w:b/>
          <w:bCs/>
          <w:lang w:val="en-US"/>
        </w:rPr>
        <w:instrText>in</w:instrText>
      </w:r>
      <w:r w:rsidR="00021E2A" w:rsidRPr="00320416">
        <w:rPr>
          <w:b/>
          <w:bCs/>
        </w:rPr>
        <w:instrText xml:space="preserve"> </w:instrText>
      </w:r>
      <w:r w:rsidR="00021E2A">
        <w:rPr>
          <w:b/>
          <w:bCs/>
          <w:lang w:val="en-US"/>
        </w:rPr>
        <w:instrText>frail</w:instrText>
      </w:r>
      <w:r w:rsidR="00021E2A" w:rsidRPr="00320416">
        <w:rPr>
          <w:b/>
          <w:bCs/>
        </w:rPr>
        <w:instrText xml:space="preserve"> </w:instrText>
      </w:r>
      <w:r w:rsidR="00021E2A">
        <w:rPr>
          <w:b/>
          <w:bCs/>
          <w:lang w:val="en-US"/>
        </w:rPr>
        <w:instrText>elderly</w:instrText>
      </w:r>
      <w:r w:rsidR="00021E2A" w:rsidRPr="00320416">
        <w:rPr>
          <w:b/>
          <w:bCs/>
        </w:rPr>
        <w:instrText xml:space="preserve"> (&gt;70 </w:instrText>
      </w:r>
      <w:r w:rsidR="00021E2A">
        <w:rPr>
          <w:b/>
          <w:bCs/>
          <w:lang w:val="en-US"/>
        </w:rPr>
        <w:instrText>years</w:instrText>
      </w:r>
      <w:r w:rsidR="00021E2A" w:rsidRPr="00320416">
        <w:rPr>
          <w:b/>
          <w:bCs/>
        </w:rPr>
        <w:instrText xml:space="preserve">) </w:instrText>
      </w:r>
      <w:r w:rsidR="00021E2A">
        <w:rPr>
          <w:b/>
          <w:bCs/>
          <w:lang w:val="en-US"/>
        </w:rPr>
        <w:instrText>patients</w:instrText>
      </w:r>
      <w:r w:rsidR="00021E2A" w:rsidRPr="00320416">
        <w:rPr>
          <w:b/>
          <w:bCs/>
        </w:rPr>
        <w:instrText xml:space="preserve"> </w:instrText>
      </w:r>
      <w:r w:rsidR="00021E2A">
        <w:rPr>
          <w:b/>
          <w:bCs/>
          <w:lang w:val="en-US"/>
        </w:rPr>
        <w:instrText>with</w:instrText>
      </w:r>
      <w:r w:rsidR="00021E2A" w:rsidRPr="00320416">
        <w:rPr>
          <w:b/>
          <w:bCs/>
        </w:rPr>
        <w:instrText xml:space="preserve"> </w:instrText>
      </w:r>
      <w:r w:rsidR="00021E2A">
        <w:rPr>
          <w:b/>
          <w:bCs/>
          <w:lang w:val="en-US"/>
        </w:rPr>
        <w:instrText>diffuse</w:instrText>
      </w:r>
      <w:r w:rsidR="00021E2A" w:rsidRPr="00320416">
        <w:rPr>
          <w:b/>
          <w:bCs/>
        </w:rPr>
        <w:instrText xml:space="preserve"> </w:instrText>
      </w:r>
      <w:r w:rsidR="00021E2A">
        <w:rPr>
          <w:b/>
          <w:bCs/>
          <w:lang w:val="en-US"/>
        </w:rPr>
        <w:instrText>large</w:instrText>
      </w:r>
      <w:r w:rsidR="00021E2A" w:rsidRPr="00320416">
        <w:rPr>
          <w:b/>
          <w:bCs/>
        </w:rPr>
        <w:instrText xml:space="preserve"> </w:instrText>
      </w:r>
      <w:r w:rsidR="00021E2A">
        <w:rPr>
          <w:b/>
          <w:bCs/>
          <w:lang w:val="en-US"/>
        </w:rPr>
        <w:instrText>b</w:instrText>
      </w:r>
      <w:r w:rsidR="00021E2A" w:rsidRPr="00320416">
        <w:rPr>
          <w:b/>
          <w:bCs/>
        </w:rPr>
        <w:instrText>-</w:instrText>
      </w:r>
      <w:r w:rsidR="00021E2A">
        <w:rPr>
          <w:b/>
          <w:bCs/>
          <w:lang w:val="en-US"/>
        </w:rPr>
        <w:instrText>cell</w:instrText>
      </w:r>
      <w:r w:rsidR="00021E2A" w:rsidRPr="00320416">
        <w:rPr>
          <w:b/>
          <w:bCs/>
        </w:rPr>
        <w:instrText xml:space="preserve"> </w:instrText>
      </w:r>
      <w:r w:rsidR="00021E2A">
        <w:rPr>
          <w:b/>
          <w:bCs/>
          <w:lang w:val="en-US"/>
        </w:rPr>
        <w:instrText>non</w:instrText>
      </w:r>
      <w:r w:rsidR="00021E2A" w:rsidRPr="00320416">
        <w:rPr>
          <w:b/>
          <w:bCs/>
        </w:rPr>
        <w:instrText>-</w:instrText>
      </w:r>
      <w:r w:rsidR="00021E2A">
        <w:rPr>
          <w:b/>
          <w:bCs/>
          <w:lang w:val="en-US"/>
        </w:rPr>
        <w:instrText>hodgkin</w:instrText>
      </w:r>
      <w:r w:rsidR="00021E2A" w:rsidRPr="00320416">
        <w:rPr>
          <w:b/>
          <w:bCs/>
        </w:rPr>
        <w:instrText xml:space="preserve"> </w:instrText>
      </w:r>
      <w:r w:rsidR="00021E2A">
        <w:rPr>
          <w:b/>
          <w:bCs/>
          <w:lang w:val="en-US"/>
        </w:rPr>
        <w:instrText>lymphoma</w:instrText>
      </w:r>
      <w:r w:rsidR="00021E2A" w:rsidRPr="00320416">
        <w:rPr>
          <w:b/>
          <w:bCs/>
        </w:rPr>
        <w:instrText xml:space="preserve">: </w:instrText>
      </w:r>
      <w:r w:rsidR="00021E2A">
        <w:rPr>
          <w:b/>
          <w:bCs/>
          <w:lang w:val="en-US"/>
        </w:rPr>
        <w:instrText>A</w:instrText>
      </w:r>
      <w:r w:rsidR="00021E2A" w:rsidRPr="00320416">
        <w:rPr>
          <w:b/>
          <w:bCs/>
        </w:rPr>
        <w:instrText xml:space="preserve"> </w:instrText>
      </w:r>
      <w:r w:rsidR="00021E2A">
        <w:rPr>
          <w:b/>
          <w:bCs/>
          <w:lang w:val="en-US"/>
        </w:rPr>
        <w:instrText>phase</w:instrText>
      </w:r>
      <w:r w:rsidR="00021E2A" w:rsidRPr="00320416">
        <w:rPr>
          <w:b/>
          <w:bCs/>
        </w:rPr>
        <w:instrText xml:space="preserve"> </w:instrText>
      </w:r>
      <w:r w:rsidR="00021E2A">
        <w:rPr>
          <w:b/>
          <w:bCs/>
          <w:lang w:val="en-US"/>
        </w:rPr>
        <w:instrText>ii</w:instrText>
      </w:r>
      <w:r w:rsidR="00021E2A" w:rsidRPr="00320416">
        <w:rPr>
          <w:b/>
          <w:bCs/>
        </w:rPr>
        <w:instrText xml:space="preserve"> </w:instrText>
      </w:r>
      <w:r w:rsidR="00021E2A">
        <w:rPr>
          <w:b/>
          <w:bCs/>
          <w:lang w:val="en-US"/>
        </w:rPr>
        <w:instrText>multicenter</w:instrText>
      </w:r>
      <w:r w:rsidR="00021E2A" w:rsidRPr="00320416">
        <w:rPr>
          <w:b/>
          <w:bCs/>
        </w:rPr>
        <w:instrText xml:space="preserve"> </w:instrText>
      </w:r>
      <w:r w:rsidR="00021E2A">
        <w:rPr>
          <w:b/>
          <w:bCs/>
          <w:lang w:val="en-US"/>
        </w:rPr>
        <w:instrText>study</w:instrText>
      </w:r>
      <w:r w:rsidR="00021E2A" w:rsidRPr="00320416">
        <w:rPr>
          <w:b/>
          <w:bCs/>
        </w:rPr>
        <w:instrText xml:space="preserve"> </w:instrText>
      </w:r>
      <w:r w:rsidR="00021E2A">
        <w:rPr>
          <w:b/>
          <w:bCs/>
          <w:lang w:val="en-US"/>
        </w:rPr>
        <w:instrText>of</w:instrText>
      </w:r>
      <w:r w:rsidR="00021E2A" w:rsidRPr="00320416">
        <w:rPr>
          <w:b/>
          <w:bCs/>
        </w:rPr>
        <w:instrText xml:space="preserve"> </w:instrText>
      </w:r>
      <w:r w:rsidR="00021E2A">
        <w:rPr>
          <w:b/>
          <w:bCs/>
          <w:lang w:val="en-US"/>
        </w:rPr>
        <w:instrText>the</w:instrText>
      </w:r>
      <w:r w:rsidR="00021E2A" w:rsidRPr="00320416">
        <w:rPr>
          <w:b/>
          <w:bCs/>
        </w:rPr>
        <w:instrText xml:space="preserve"> </w:instrText>
      </w:r>
      <w:r w:rsidR="00021E2A">
        <w:rPr>
          <w:b/>
          <w:bCs/>
          <w:lang w:val="en-US"/>
        </w:rPr>
        <w:instrText>fondazione</w:instrText>
      </w:r>
      <w:r w:rsidR="00021E2A" w:rsidRPr="00320416">
        <w:rPr>
          <w:b/>
          <w:bCs/>
        </w:rPr>
        <w:instrText xml:space="preserve"> </w:instrText>
      </w:r>
      <w:r w:rsidR="00021E2A">
        <w:rPr>
          <w:b/>
          <w:bCs/>
          <w:lang w:val="en-US"/>
        </w:rPr>
        <w:instrText>italiana</w:instrText>
      </w:r>
      <w:r w:rsidR="00021E2A" w:rsidRPr="00320416">
        <w:rPr>
          <w:b/>
          <w:bCs/>
        </w:rPr>
        <w:instrText xml:space="preserve"> </w:instrText>
      </w:r>
      <w:r w:rsidR="00021E2A">
        <w:rPr>
          <w:b/>
          <w:bCs/>
          <w:lang w:val="en-US"/>
        </w:rPr>
        <w:instrText>linfomi</w:instrText>
      </w:r>
      <w:r w:rsidR="00021E2A" w:rsidRPr="00320416">
        <w:rPr>
          <w:b/>
          <w:bCs/>
        </w:rPr>
        <w:instrText>","</w:instrText>
      </w:r>
      <w:r w:rsidR="00021E2A">
        <w:rPr>
          <w:b/>
          <w:bCs/>
          <w:lang w:val="en-US"/>
        </w:rPr>
        <w:instrText>type</w:instrText>
      </w:r>
      <w:r w:rsidR="00021E2A" w:rsidRPr="00320416">
        <w:rPr>
          <w:b/>
          <w:bCs/>
        </w:rPr>
        <w:instrText>":"</w:instrText>
      </w:r>
      <w:r w:rsidR="00021E2A">
        <w:rPr>
          <w:b/>
          <w:bCs/>
          <w:lang w:val="en-US"/>
        </w:rPr>
        <w:instrText>article</w:instrText>
      </w:r>
      <w:r w:rsidR="00021E2A" w:rsidRPr="00320416">
        <w:rPr>
          <w:b/>
          <w:bCs/>
        </w:rPr>
        <w:instrText>-</w:instrText>
      </w:r>
      <w:r w:rsidR="00021E2A">
        <w:rPr>
          <w:b/>
          <w:bCs/>
          <w:lang w:val="en-US"/>
        </w:rPr>
        <w:instrText>journal</w:instrText>
      </w:r>
      <w:r w:rsidR="00021E2A" w:rsidRPr="00320416">
        <w:rPr>
          <w:b/>
          <w:bCs/>
        </w:rPr>
        <w:instrText>","</w:instrText>
      </w:r>
      <w:r w:rsidR="00021E2A">
        <w:rPr>
          <w:b/>
          <w:bCs/>
          <w:lang w:val="en-US"/>
        </w:rPr>
        <w:instrText>volume</w:instrText>
      </w:r>
      <w:r w:rsidR="00021E2A" w:rsidRPr="00320416">
        <w:rPr>
          <w:b/>
          <w:bCs/>
        </w:rPr>
        <w:instrText>":"103"},"</w:instrText>
      </w:r>
      <w:r w:rsidR="00021E2A">
        <w:rPr>
          <w:b/>
          <w:bCs/>
          <w:lang w:val="en-US"/>
        </w:rPr>
        <w:instrText>uris</w:instrText>
      </w:r>
      <w:r w:rsidR="00021E2A" w:rsidRPr="00320416">
        <w:rPr>
          <w:b/>
          <w:bCs/>
        </w:rPr>
        <w:instrText>":["</w:instrText>
      </w:r>
      <w:r w:rsidR="00021E2A">
        <w:rPr>
          <w:b/>
          <w:bCs/>
          <w:lang w:val="en-US"/>
        </w:rPr>
        <w:instrText>http</w:instrText>
      </w:r>
      <w:r w:rsidR="00021E2A" w:rsidRPr="00320416">
        <w:rPr>
          <w:b/>
          <w:bCs/>
        </w:rPr>
        <w:instrText>://</w:instrText>
      </w:r>
      <w:r w:rsidR="00021E2A">
        <w:rPr>
          <w:b/>
          <w:bCs/>
          <w:lang w:val="en-US"/>
        </w:rPr>
        <w:instrText>www</w:instrText>
      </w:r>
      <w:r w:rsidR="00021E2A" w:rsidRPr="00320416">
        <w:rPr>
          <w:b/>
          <w:bCs/>
        </w:rPr>
        <w:instrText>.</w:instrText>
      </w:r>
      <w:r w:rsidR="00021E2A">
        <w:rPr>
          <w:b/>
          <w:bCs/>
          <w:lang w:val="en-US"/>
        </w:rPr>
        <w:instrText>mendeley</w:instrText>
      </w:r>
      <w:r w:rsidR="00021E2A" w:rsidRPr="00320416">
        <w:rPr>
          <w:b/>
          <w:bCs/>
        </w:rPr>
        <w:instrText>.</w:instrText>
      </w:r>
      <w:r w:rsidR="00021E2A">
        <w:rPr>
          <w:b/>
          <w:bCs/>
          <w:lang w:val="en-US"/>
        </w:rPr>
        <w:instrText>com</w:instrText>
      </w:r>
      <w:r w:rsidR="00021E2A" w:rsidRPr="00320416">
        <w:rPr>
          <w:b/>
          <w:bCs/>
        </w:rPr>
        <w:instrText>/</w:instrText>
      </w:r>
      <w:r w:rsidR="00021E2A">
        <w:rPr>
          <w:b/>
          <w:bCs/>
          <w:lang w:val="en-US"/>
        </w:rPr>
        <w:instrText>documents</w:instrText>
      </w:r>
      <w:r w:rsidR="00021E2A" w:rsidRPr="00320416">
        <w:rPr>
          <w:b/>
          <w:bCs/>
        </w:rPr>
        <w:instrText>/?</w:instrText>
      </w:r>
      <w:r w:rsidR="00021E2A">
        <w:rPr>
          <w:b/>
          <w:bCs/>
          <w:lang w:val="en-US"/>
        </w:rPr>
        <w:instrText>uuid</w:instrText>
      </w:r>
      <w:r w:rsidR="00021E2A" w:rsidRPr="00320416">
        <w:rPr>
          <w:b/>
          <w:bCs/>
        </w:rPr>
        <w:instrText>=42955152-80</w:instrText>
      </w:r>
      <w:r w:rsidR="00021E2A">
        <w:rPr>
          <w:b/>
          <w:bCs/>
          <w:lang w:val="en-US"/>
        </w:rPr>
        <w:instrText>e</w:instrText>
      </w:r>
      <w:r w:rsidR="00021E2A" w:rsidRPr="00320416">
        <w:rPr>
          <w:b/>
          <w:bCs/>
        </w:rPr>
        <w:instrText>8-3</w:instrText>
      </w:r>
      <w:r w:rsidR="00021E2A">
        <w:rPr>
          <w:b/>
          <w:bCs/>
          <w:lang w:val="en-US"/>
        </w:rPr>
        <w:instrText>fa</w:instrText>
      </w:r>
      <w:r w:rsidR="00021E2A" w:rsidRPr="00320416">
        <w:rPr>
          <w:b/>
          <w:bCs/>
        </w:rPr>
        <w:instrText>0-</w:instrText>
      </w:r>
      <w:r w:rsidR="00021E2A">
        <w:rPr>
          <w:b/>
          <w:bCs/>
          <w:lang w:val="en-US"/>
        </w:rPr>
        <w:instrText>bcc</w:instrText>
      </w:r>
      <w:r w:rsidR="00021E2A" w:rsidRPr="00320416">
        <w:rPr>
          <w:b/>
          <w:bCs/>
        </w:rPr>
        <w:instrText>8-9</w:instrText>
      </w:r>
      <w:r w:rsidR="00021E2A">
        <w:rPr>
          <w:b/>
          <w:bCs/>
          <w:lang w:val="en-US"/>
        </w:rPr>
        <w:instrText>fbe</w:instrText>
      </w:r>
      <w:r w:rsidR="00021E2A" w:rsidRPr="00320416">
        <w:rPr>
          <w:b/>
          <w:bCs/>
        </w:rPr>
        <w:instrText>611003</w:instrText>
      </w:r>
      <w:r w:rsidR="00021E2A">
        <w:rPr>
          <w:b/>
          <w:bCs/>
          <w:lang w:val="en-US"/>
        </w:rPr>
        <w:instrText>f</w:instrText>
      </w:r>
      <w:r w:rsidR="00021E2A" w:rsidRPr="00320416">
        <w:rPr>
          <w:b/>
          <w:bCs/>
        </w:rPr>
        <w:instrText>6"]}],"</w:instrText>
      </w:r>
      <w:r w:rsidR="00021E2A">
        <w:rPr>
          <w:b/>
          <w:bCs/>
          <w:lang w:val="en-US"/>
        </w:rPr>
        <w:instrText>mendeley</w:instrText>
      </w:r>
      <w:r w:rsidR="00021E2A" w:rsidRPr="00320416">
        <w:rPr>
          <w:b/>
          <w:bCs/>
        </w:rPr>
        <w:instrText>":{"</w:instrText>
      </w:r>
      <w:r w:rsidR="00021E2A">
        <w:rPr>
          <w:b/>
          <w:bCs/>
          <w:lang w:val="en-US"/>
        </w:rPr>
        <w:instrText>formattedCitation</w:instrText>
      </w:r>
      <w:r w:rsidR="00021E2A" w:rsidRPr="00320416">
        <w:rPr>
          <w:b/>
          <w:bCs/>
        </w:rPr>
        <w:instrText>":"[84,85]","</w:instrText>
      </w:r>
      <w:r w:rsidR="00021E2A">
        <w:rPr>
          <w:b/>
          <w:bCs/>
          <w:lang w:val="en-US"/>
        </w:rPr>
        <w:instrText>plainTextFormattedCitation</w:instrText>
      </w:r>
      <w:r w:rsidR="00021E2A" w:rsidRPr="00320416">
        <w:rPr>
          <w:b/>
          <w:bCs/>
        </w:rPr>
        <w:instrText>":"[84,85]","</w:instrText>
      </w:r>
      <w:r w:rsidR="00021E2A">
        <w:rPr>
          <w:b/>
          <w:bCs/>
          <w:lang w:val="en-US"/>
        </w:rPr>
        <w:instrText>previouslyFormattedCitation</w:instrText>
      </w:r>
      <w:r w:rsidR="00021E2A" w:rsidRPr="00320416">
        <w:rPr>
          <w:b/>
          <w:bCs/>
        </w:rPr>
        <w:instrText>":"[84,85]"},"</w:instrText>
      </w:r>
      <w:r w:rsidR="00021E2A">
        <w:rPr>
          <w:b/>
          <w:bCs/>
          <w:lang w:val="en-US"/>
        </w:rPr>
        <w:instrText>properties</w:instrText>
      </w:r>
      <w:r w:rsidR="00021E2A" w:rsidRPr="00320416">
        <w:rPr>
          <w:b/>
          <w:bCs/>
        </w:rPr>
        <w:instrText>":{"</w:instrText>
      </w:r>
      <w:r w:rsidR="00021E2A">
        <w:rPr>
          <w:b/>
          <w:bCs/>
          <w:lang w:val="en-US"/>
        </w:rPr>
        <w:instrText>noteIndex</w:instrText>
      </w:r>
      <w:r w:rsidR="00021E2A" w:rsidRPr="00320416">
        <w:rPr>
          <w:b/>
          <w:bCs/>
        </w:rPr>
        <w:instrText>":0},"</w:instrText>
      </w:r>
      <w:r w:rsidR="00021E2A">
        <w:rPr>
          <w:b/>
          <w:bCs/>
          <w:lang w:val="en-US"/>
        </w:rPr>
        <w:instrText>schema</w:instrText>
      </w:r>
      <w:r w:rsidR="00021E2A" w:rsidRPr="00320416">
        <w:rPr>
          <w:b/>
          <w:bCs/>
        </w:rPr>
        <w:instrText>":"</w:instrText>
      </w:r>
      <w:r w:rsidR="00021E2A">
        <w:rPr>
          <w:b/>
          <w:bCs/>
          <w:lang w:val="en-US"/>
        </w:rPr>
        <w:instrText>https</w:instrText>
      </w:r>
      <w:r w:rsidR="00021E2A" w:rsidRPr="00320416">
        <w:rPr>
          <w:b/>
          <w:bCs/>
        </w:rPr>
        <w:instrText>://</w:instrText>
      </w:r>
      <w:r w:rsidR="00021E2A">
        <w:rPr>
          <w:b/>
          <w:bCs/>
          <w:lang w:val="en-US"/>
        </w:rPr>
        <w:instrText>github</w:instrText>
      </w:r>
      <w:r w:rsidR="00021E2A" w:rsidRPr="00320416">
        <w:rPr>
          <w:b/>
          <w:bCs/>
        </w:rPr>
        <w:instrText>.</w:instrText>
      </w:r>
      <w:r w:rsidR="00021E2A">
        <w:rPr>
          <w:b/>
          <w:bCs/>
          <w:lang w:val="en-US"/>
        </w:rPr>
        <w:instrText>com</w:instrText>
      </w:r>
      <w:r w:rsidR="00021E2A" w:rsidRPr="00320416">
        <w:rPr>
          <w:b/>
          <w:bCs/>
        </w:rPr>
        <w:instrText>/</w:instrText>
      </w:r>
      <w:r w:rsidR="00021E2A">
        <w:rPr>
          <w:b/>
          <w:bCs/>
          <w:lang w:val="en-US"/>
        </w:rPr>
        <w:instrText>citation</w:instrText>
      </w:r>
      <w:r w:rsidR="00021E2A" w:rsidRPr="00320416">
        <w:rPr>
          <w:b/>
          <w:bCs/>
        </w:rPr>
        <w:instrText>-</w:instrText>
      </w:r>
      <w:r w:rsidR="00021E2A">
        <w:rPr>
          <w:b/>
          <w:bCs/>
          <w:lang w:val="en-US"/>
        </w:rPr>
        <w:instrText>style</w:instrText>
      </w:r>
      <w:r w:rsidR="00021E2A" w:rsidRPr="00320416">
        <w:rPr>
          <w:b/>
          <w:bCs/>
        </w:rPr>
        <w:instrText>-</w:instrText>
      </w:r>
      <w:r w:rsidR="00021E2A">
        <w:rPr>
          <w:b/>
          <w:bCs/>
          <w:lang w:val="en-US"/>
        </w:rPr>
        <w:instrText>language</w:instrText>
      </w:r>
      <w:r w:rsidR="00021E2A" w:rsidRPr="00320416">
        <w:rPr>
          <w:b/>
          <w:bCs/>
        </w:rPr>
        <w:instrText>/</w:instrText>
      </w:r>
      <w:r w:rsidR="00021E2A">
        <w:rPr>
          <w:b/>
          <w:bCs/>
          <w:lang w:val="en-US"/>
        </w:rPr>
        <w:instrText>schema</w:instrText>
      </w:r>
      <w:r w:rsidR="00021E2A" w:rsidRPr="00320416">
        <w:rPr>
          <w:b/>
          <w:bCs/>
        </w:rPr>
        <w:instrText>/</w:instrText>
      </w:r>
      <w:r w:rsidR="00021E2A">
        <w:rPr>
          <w:b/>
          <w:bCs/>
          <w:lang w:val="en-US"/>
        </w:rPr>
        <w:instrText>raw</w:instrText>
      </w:r>
      <w:r w:rsidR="00021E2A" w:rsidRPr="00320416">
        <w:rPr>
          <w:b/>
          <w:bCs/>
        </w:rPr>
        <w:instrText>/</w:instrText>
      </w:r>
      <w:r w:rsidR="00021E2A">
        <w:rPr>
          <w:b/>
          <w:bCs/>
          <w:lang w:val="en-US"/>
        </w:rPr>
        <w:instrText>master</w:instrText>
      </w:r>
      <w:r w:rsidR="00021E2A" w:rsidRPr="00320416">
        <w:rPr>
          <w:b/>
          <w:bCs/>
        </w:rPr>
        <w:instrText>/</w:instrText>
      </w:r>
      <w:r w:rsidR="00021E2A">
        <w:rPr>
          <w:b/>
          <w:bCs/>
          <w:lang w:val="en-US"/>
        </w:rPr>
        <w:instrText>csl</w:instrText>
      </w:r>
      <w:r w:rsidR="00021E2A" w:rsidRPr="00320416">
        <w:rPr>
          <w:b/>
          <w:bCs/>
        </w:rPr>
        <w:instrText>-</w:instrText>
      </w:r>
      <w:r w:rsidR="00021E2A">
        <w:rPr>
          <w:b/>
          <w:bCs/>
          <w:lang w:val="en-US"/>
        </w:rPr>
        <w:instrText>citation</w:instrText>
      </w:r>
      <w:r w:rsidR="00021E2A" w:rsidRPr="00320416">
        <w:rPr>
          <w:b/>
          <w:bCs/>
        </w:rPr>
        <w:instrText>.</w:instrText>
      </w:r>
      <w:r w:rsidR="00021E2A">
        <w:rPr>
          <w:b/>
          <w:bCs/>
          <w:lang w:val="en-US"/>
        </w:rPr>
        <w:instrText>json</w:instrText>
      </w:r>
      <w:r w:rsidR="00021E2A" w:rsidRPr="00320416">
        <w:rPr>
          <w:b/>
          <w:bCs/>
        </w:rPr>
        <w:instrText>"}</w:instrText>
      </w:r>
      <w:r w:rsidRPr="000322E4">
        <w:rPr>
          <w:b/>
          <w:bCs/>
          <w:lang w:val="en-US"/>
        </w:rPr>
        <w:fldChar w:fldCharType="separate"/>
      </w:r>
      <w:r w:rsidR="009D170B" w:rsidRPr="009D170B">
        <w:rPr>
          <w:bCs/>
          <w:noProof/>
        </w:rPr>
        <w:t>[84,85]</w:t>
      </w:r>
      <w:r w:rsidRPr="000322E4">
        <w:rPr>
          <w:b/>
          <w:bCs/>
          <w:lang w:val="en-US"/>
        </w:rPr>
        <w:fldChar w:fldCharType="end"/>
      </w:r>
    </w:p>
    <w:p w14:paraId="4464FF8D" w14:textId="77777777" w:rsidR="00666D68" w:rsidRPr="00293AC8" w:rsidRDefault="00666D68" w:rsidP="00F414BF">
      <w:pPr>
        <w:numPr>
          <w:ilvl w:val="0"/>
          <w:numId w:val="40"/>
        </w:numPr>
        <w:spacing w:line="360" w:lineRule="auto"/>
        <w:jc w:val="both"/>
      </w:pPr>
      <w:r w:rsidRPr="000322E4">
        <w:t>Ритуксимаб</w:t>
      </w:r>
      <w:r w:rsidRPr="00293AC8">
        <w:rPr>
          <w:bCs/>
        </w:rPr>
        <w:t>**</w:t>
      </w:r>
      <w:r w:rsidRPr="00293AC8">
        <w:t xml:space="preserve"> </w:t>
      </w:r>
    </w:p>
    <w:p w14:paraId="71AC9DD6" w14:textId="77777777" w:rsidR="00666D68" w:rsidRPr="00293AC8" w:rsidRDefault="00666D68" w:rsidP="00F414BF">
      <w:pPr>
        <w:numPr>
          <w:ilvl w:val="1"/>
          <w:numId w:val="40"/>
        </w:numPr>
        <w:spacing w:line="360" w:lineRule="auto"/>
        <w:jc w:val="both"/>
      </w:pPr>
      <w:r w:rsidRPr="00293AC8">
        <w:t xml:space="preserve">375 </w:t>
      </w:r>
      <w:r w:rsidRPr="000322E4">
        <w:t>мг</w:t>
      </w:r>
      <w:r w:rsidRPr="00293AC8">
        <w:t>/</w:t>
      </w:r>
      <w:r w:rsidRPr="000322E4">
        <w:t>м</w:t>
      </w:r>
      <w:r w:rsidRPr="00293AC8">
        <w:rPr>
          <w:vertAlign w:val="superscript"/>
        </w:rPr>
        <w:t>2</w:t>
      </w:r>
      <w:r w:rsidRPr="00293AC8">
        <w:t xml:space="preserve"> </w:t>
      </w:r>
      <w:r w:rsidRPr="000322E4">
        <w:t>в</w:t>
      </w:r>
      <w:r w:rsidRPr="00293AC8">
        <w:t>/</w:t>
      </w:r>
      <w:r w:rsidRPr="000322E4">
        <w:t>в</w:t>
      </w:r>
      <w:r w:rsidRPr="00293AC8">
        <w:t xml:space="preserve"> </w:t>
      </w:r>
      <w:r w:rsidRPr="000322E4">
        <w:t>кап</w:t>
      </w:r>
      <w:r w:rsidRPr="00293AC8">
        <w:t xml:space="preserve">., </w:t>
      </w:r>
      <w:r w:rsidRPr="000322E4">
        <w:t>день</w:t>
      </w:r>
      <w:r w:rsidRPr="00293AC8">
        <w:t xml:space="preserve"> 0 </w:t>
      </w:r>
      <w:r w:rsidRPr="000322E4">
        <w:t>или</w:t>
      </w:r>
      <w:r w:rsidRPr="00293AC8">
        <w:t xml:space="preserve"> 1 </w:t>
      </w:r>
      <w:r w:rsidRPr="000322E4">
        <w:t>все</w:t>
      </w:r>
      <w:r w:rsidRPr="00293AC8">
        <w:t xml:space="preserve"> </w:t>
      </w:r>
      <w:r w:rsidRPr="000322E4">
        <w:t>циклы</w:t>
      </w:r>
      <w:r w:rsidRPr="00293AC8">
        <w:t xml:space="preserve"> </w:t>
      </w:r>
      <w:r w:rsidRPr="000322E4">
        <w:t>курса</w:t>
      </w:r>
    </w:p>
    <w:p w14:paraId="062FFDE0" w14:textId="77777777" w:rsidR="00666D68" w:rsidRPr="00293AC8" w:rsidRDefault="00666D68" w:rsidP="00F414BF">
      <w:pPr>
        <w:spacing w:line="360" w:lineRule="auto"/>
        <w:ind w:left="1080" w:firstLine="336"/>
        <w:jc w:val="both"/>
      </w:pPr>
      <w:r w:rsidRPr="000322E4">
        <w:t>или</w:t>
      </w:r>
    </w:p>
    <w:p w14:paraId="7A2B39D6" w14:textId="016804EC" w:rsidR="00666D68" w:rsidRPr="005E26A0" w:rsidRDefault="00666D68" w:rsidP="00F414BF">
      <w:pPr>
        <w:numPr>
          <w:ilvl w:val="1"/>
          <w:numId w:val="40"/>
        </w:numPr>
        <w:spacing w:line="360" w:lineRule="auto"/>
        <w:jc w:val="both"/>
      </w:pPr>
      <w:r w:rsidRPr="00293AC8">
        <w:t xml:space="preserve">375 </w:t>
      </w:r>
      <w:r w:rsidRPr="000322E4">
        <w:t>мг</w:t>
      </w:r>
      <w:r w:rsidRPr="00293AC8">
        <w:t>/</w:t>
      </w:r>
      <w:r w:rsidRPr="000322E4">
        <w:t>м</w:t>
      </w:r>
      <w:r w:rsidRPr="00293AC8">
        <w:rPr>
          <w:vertAlign w:val="superscript"/>
        </w:rPr>
        <w:t>2</w:t>
      </w:r>
      <w:r w:rsidRPr="00293AC8">
        <w:t xml:space="preserve"> </w:t>
      </w:r>
      <w:r w:rsidRPr="000322E4">
        <w:t>в</w:t>
      </w:r>
      <w:r w:rsidRPr="00293AC8">
        <w:t>/</w:t>
      </w:r>
      <w:r w:rsidRPr="000322E4">
        <w:t>в</w:t>
      </w:r>
      <w:r w:rsidRPr="00293AC8">
        <w:t xml:space="preserve"> </w:t>
      </w:r>
      <w:r w:rsidRPr="000322E4">
        <w:t>кап</w:t>
      </w:r>
      <w:r w:rsidRPr="00293AC8">
        <w:t xml:space="preserve">. 1 </w:t>
      </w:r>
      <w:r w:rsidRPr="000322E4">
        <w:t>цикл</w:t>
      </w:r>
      <w:r w:rsidRPr="00293AC8">
        <w:t xml:space="preserve">, </w:t>
      </w:r>
      <w:r w:rsidRPr="000322E4">
        <w:t>далее</w:t>
      </w:r>
      <w:r w:rsidRPr="00293AC8">
        <w:t xml:space="preserve"> </w:t>
      </w:r>
      <w:r w:rsidRPr="000322E4">
        <w:t>ритуксимаб</w:t>
      </w:r>
      <w:r w:rsidRPr="00293AC8">
        <w:t xml:space="preserve"> 1400 </w:t>
      </w:r>
      <w:r w:rsidRPr="000322E4">
        <w:t>мг</w:t>
      </w:r>
      <w:r w:rsidRPr="00293AC8">
        <w:t xml:space="preserve"> </w:t>
      </w:r>
      <w:r w:rsidRPr="000322E4">
        <w:t>п</w:t>
      </w:r>
      <w:r w:rsidRPr="00293AC8">
        <w:t>/</w:t>
      </w:r>
      <w:r w:rsidRPr="000322E4">
        <w:t>к</w:t>
      </w:r>
      <w:r w:rsidRPr="00293AC8">
        <w:t xml:space="preserve">, </w:t>
      </w:r>
      <w:r w:rsidRPr="000322E4">
        <w:t>день</w:t>
      </w:r>
      <w:r w:rsidRPr="00293AC8">
        <w:t xml:space="preserve"> 0 </w:t>
      </w:r>
      <w:r w:rsidRPr="000322E4">
        <w:t>или</w:t>
      </w:r>
      <w:r w:rsidRPr="00293AC8">
        <w:t xml:space="preserve"> 1 </w:t>
      </w:r>
      <w:r w:rsidRPr="000322E4">
        <w:rPr>
          <w:lang w:val="en-US"/>
        </w:rPr>
        <w:fldChar w:fldCharType="begin" w:fldLock="1"/>
      </w:r>
      <w:r w:rsidR="00A6794A">
        <w:rPr>
          <w:lang w:val="en-US"/>
        </w:rPr>
        <w:instrText>ADDIN</w:instrText>
      </w:r>
      <w:r w:rsidR="00A6794A" w:rsidRPr="00D3550C">
        <w:instrText xml:space="preserve"> </w:instrText>
      </w:r>
      <w:r w:rsidR="00A6794A">
        <w:rPr>
          <w:lang w:val="en-US"/>
        </w:rPr>
        <w:instrText>CSL</w:instrText>
      </w:r>
      <w:r w:rsidR="00A6794A" w:rsidRPr="00D3550C">
        <w:instrText>_</w:instrText>
      </w:r>
      <w:r w:rsidR="00A6794A">
        <w:rPr>
          <w:lang w:val="en-US"/>
        </w:rPr>
        <w:instrText>CITATION</w:instrText>
      </w:r>
      <w:r w:rsidR="00A6794A" w:rsidRPr="00D3550C">
        <w:instrText xml:space="preserve"> {"</w:instrText>
      </w:r>
      <w:r w:rsidR="00A6794A">
        <w:rPr>
          <w:lang w:val="en-US"/>
        </w:rPr>
        <w:instrText>citationItems</w:instrText>
      </w:r>
      <w:r w:rsidR="00A6794A" w:rsidRPr="00D3550C">
        <w:instrText>":[{"</w:instrText>
      </w:r>
      <w:r w:rsidR="00A6794A">
        <w:rPr>
          <w:lang w:val="en-US"/>
        </w:rPr>
        <w:instrText>id</w:instrText>
      </w:r>
      <w:r w:rsidR="00A6794A" w:rsidRPr="00D3550C">
        <w:instrText>":"</w:instrText>
      </w:r>
      <w:r w:rsidR="00A6794A">
        <w:rPr>
          <w:lang w:val="en-US"/>
        </w:rPr>
        <w:instrText>ITEM</w:instrText>
      </w:r>
      <w:r w:rsidR="00A6794A" w:rsidRPr="00D3550C">
        <w:instrText>-1","</w:instrText>
      </w:r>
      <w:r w:rsidR="00A6794A">
        <w:rPr>
          <w:lang w:val="en-US"/>
        </w:rPr>
        <w:instrText>itemData</w:instrText>
      </w:r>
      <w:r w:rsidR="00A6794A" w:rsidRPr="00D3550C">
        <w:instrText>":{"</w:instrText>
      </w:r>
      <w:r w:rsidR="00A6794A">
        <w:rPr>
          <w:lang w:val="en-US"/>
        </w:rPr>
        <w:instrText>ISSN</w:instrText>
      </w:r>
      <w:r w:rsidR="00A6794A" w:rsidRPr="00D3550C">
        <w:instrText>":"2150-0878","</w:instrText>
      </w:r>
      <w:r w:rsidR="00A6794A">
        <w:rPr>
          <w:lang w:val="en-US"/>
        </w:rPr>
        <w:instrText>PMID</w:instrText>
      </w:r>
      <w:r w:rsidR="00A6794A" w:rsidRPr="00D3550C">
        <w:instrText>":"31086689","</w:instrText>
      </w:r>
      <w:r w:rsidR="00A6794A">
        <w:rPr>
          <w:lang w:val="en-US"/>
        </w:rPr>
        <w:instrText>abstract</w:instrText>
      </w:r>
      <w:r w:rsidR="00A6794A" w:rsidRPr="00D3550C">
        <w:instrText>":"</w:instrText>
      </w:r>
      <w:r w:rsidR="00A6794A">
        <w:rPr>
          <w:lang w:val="en-US"/>
        </w:rPr>
        <w:instrText>Rituximab</w:instrText>
      </w:r>
      <w:r w:rsidR="00A6794A" w:rsidRPr="00D3550C">
        <w:instrText xml:space="preserve"> </w:instrText>
      </w:r>
      <w:r w:rsidR="00A6794A">
        <w:rPr>
          <w:lang w:val="en-US"/>
        </w:rPr>
        <w:instrText>and</w:instrText>
      </w:r>
      <w:r w:rsidR="00A6794A" w:rsidRPr="00D3550C">
        <w:instrText xml:space="preserve"> </w:instrText>
      </w:r>
      <w:r w:rsidR="00A6794A">
        <w:rPr>
          <w:lang w:val="en-US"/>
        </w:rPr>
        <w:instrText>hyaluronidase</w:instrText>
      </w:r>
      <w:r w:rsidR="00A6794A" w:rsidRPr="00D3550C">
        <w:instrText xml:space="preserve"> </w:instrText>
      </w:r>
      <w:r w:rsidR="00A6794A">
        <w:rPr>
          <w:lang w:val="en-US"/>
        </w:rPr>
        <w:instrText>human</w:instrText>
      </w:r>
      <w:r w:rsidR="00A6794A" w:rsidRPr="00D3550C">
        <w:instrText xml:space="preserve"> </w:instrText>
      </w:r>
      <w:r w:rsidR="00A6794A">
        <w:rPr>
          <w:lang w:val="en-US"/>
        </w:rPr>
        <w:instrText>is</w:instrText>
      </w:r>
      <w:r w:rsidR="00A6794A" w:rsidRPr="00D3550C">
        <w:instrText xml:space="preserve"> </w:instrText>
      </w:r>
      <w:r w:rsidR="00A6794A">
        <w:rPr>
          <w:lang w:val="en-US"/>
        </w:rPr>
        <w:instrText>a</w:instrText>
      </w:r>
      <w:r w:rsidR="00A6794A" w:rsidRPr="00D3550C">
        <w:instrText xml:space="preserve"> </w:instrText>
      </w:r>
      <w:r w:rsidR="00A6794A">
        <w:rPr>
          <w:lang w:val="en-US"/>
        </w:rPr>
        <w:instrText>new</w:instrText>
      </w:r>
      <w:r w:rsidR="00A6794A" w:rsidRPr="00D3550C">
        <w:instrText xml:space="preserve"> </w:instrText>
      </w:r>
      <w:r w:rsidR="00A6794A">
        <w:rPr>
          <w:lang w:val="en-US"/>
        </w:rPr>
        <w:instrText>subcutaneous</w:instrText>
      </w:r>
      <w:r w:rsidR="00A6794A" w:rsidRPr="00D3550C">
        <w:instrText xml:space="preserve"> </w:instrText>
      </w:r>
      <w:r w:rsidR="00A6794A">
        <w:rPr>
          <w:lang w:val="en-US"/>
        </w:rPr>
        <w:instrText>formulation</w:instrText>
      </w:r>
      <w:r w:rsidR="00A6794A" w:rsidRPr="00D3550C">
        <w:instrText xml:space="preserve"> </w:instrText>
      </w:r>
      <w:r w:rsidR="00A6794A">
        <w:rPr>
          <w:lang w:val="en-US"/>
        </w:rPr>
        <w:instrText>of</w:instrText>
      </w:r>
      <w:r w:rsidR="00A6794A" w:rsidRPr="00D3550C">
        <w:instrText xml:space="preserve"> </w:instrText>
      </w:r>
      <w:r w:rsidR="00A6794A">
        <w:rPr>
          <w:lang w:val="en-US"/>
        </w:rPr>
        <w:instrText>rituximab</w:instrText>
      </w:r>
      <w:r w:rsidR="00A6794A" w:rsidRPr="00D3550C">
        <w:instrText xml:space="preserve"> </w:instrText>
      </w:r>
      <w:r w:rsidR="00A6794A">
        <w:rPr>
          <w:lang w:val="en-US"/>
        </w:rPr>
        <w:instrText>that</w:instrText>
      </w:r>
      <w:r w:rsidR="00A6794A" w:rsidRPr="00D3550C">
        <w:instrText xml:space="preserve"> </w:instrText>
      </w:r>
      <w:r w:rsidR="00A6794A">
        <w:rPr>
          <w:lang w:val="en-US"/>
        </w:rPr>
        <w:instrText>was</w:instrText>
      </w:r>
      <w:r w:rsidR="00A6794A" w:rsidRPr="00D3550C">
        <w:instrText xml:space="preserve"> </w:instrText>
      </w:r>
      <w:r w:rsidR="00A6794A">
        <w:rPr>
          <w:lang w:val="en-US"/>
        </w:rPr>
        <w:instrText>recently</w:instrText>
      </w:r>
      <w:r w:rsidR="00A6794A" w:rsidRPr="00D3550C">
        <w:instrText xml:space="preserve"> </w:instrText>
      </w:r>
      <w:r w:rsidR="00A6794A">
        <w:rPr>
          <w:lang w:val="en-US"/>
        </w:rPr>
        <w:instrText>approved</w:instrText>
      </w:r>
      <w:r w:rsidR="00A6794A" w:rsidRPr="00D3550C">
        <w:instrText xml:space="preserve"> </w:instrText>
      </w:r>
      <w:r w:rsidR="00A6794A">
        <w:rPr>
          <w:lang w:val="en-US"/>
        </w:rPr>
        <w:instrText>by</w:instrText>
      </w:r>
      <w:r w:rsidR="00A6794A" w:rsidRPr="00D3550C">
        <w:instrText xml:space="preserve"> </w:instrText>
      </w:r>
      <w:r w:rsidR="00A6794A">
        <w:rPr>
          <w:lang w:val="en-US"/>
        </w:rPr>
        <w:instrText>the</w:instrText>
      </w:r>
      <w:r w:rsidR="00A6794A" w:rsidRPr="00D3550C">
        <w:instrText xml:space="preserve"> </w:instrText>
      </w:r>
      <w:r w:rsidR="00A6794A">
        <w:rPr>
          <w:lang w:val="en-US"/>
        </w:rPr>
        <w:instrText>US</w:instrText>
      </w:r>
      <w:r w:rsidR="00A6794A" w:rsidRPr="00D3550C">
        <w:instrText xml:space="preserve"> </w:instrText>
      </w:r>
      <w:r w:rsidR="00A6794A">
        <w:rPr>
          <w:lang w:val="en-US"/>
        </w:rPr>
        <w:instrText>Food</w:instrText>
      </w:r>
      <w:r w:rsidR="00A6794A" w:rsidRPr="00D3550C">
        <w:instrText xml:space="preserve"> </w:instrText>
      </w:r>
      <w:r w:rsidR="00A6794A">
        <w:rPr>
          <w:lang w:val="en-US"/>
        </w:rPr>
        <w:instrText>and</w:instrText>
      </w:r>
      <w:r w:rsidR="00A6794A" w:rsidRPr="00D3550C">
        <w:instrText xml:space="preserve"> </w:instrText>
      </w:r>
      <w:r w:rsidR="00A6794A">
        <w:rPr>
          <w:lang w:val="en-US"/>
        </w:rPr>
        <w:instrText>Drug</w:instrText>
      </w:r>
      <w:r w:rsidR="00A6794A" w:rsidRPr="00D3550C">
        <w:instrText xml:space="preserve"> </w:instrText>
      </w:r>
      <w:r w:rsidR="00A6794A">
        <w:rPr>
          <w:lang w:val="en-US"/>
        </w:rPr>
        <w:instrText>Administration</w:instrText>
      </w:r>
      <w:r w:rsidR="00A6794A" w:rsidRPr="00D3550C">
        <w:instrText xml:space="preserve"> </w:instrText>
      </w:r>
      <w:r w:rsidR="00A6794A">
        <w:rPr>
          <w:lang w:val="en-US"/>
        </w:rPr>
        <w:instrText>for</w:instrText>
      </w:r>
      <w:r w:rsidR="00A6794A" w:rsidRPr="00D3550C">
        <w:instrText xml:space="preserve"> </w:instrText>
      </w:r>
      <w:r w:rsidR="00A6794A">
        <w:rPr>
          <w:lang w:val="en-US"/>
        </w:rPr>
        <w:instrText>the</w:instrText>
      </w:r>
      <w:r w:rsidR="00A6794A" w:rsidRPr="00D3550C">
        <w:instrText xml:space="preserve"> </w:instrText>
      </w:r>
      <w:r w:rsidR="00A6794A">
        <w:rPr>
          <w:lang w:val="en-US"/>
        </w:rPr>
        <w:instrText>treatment</w:instrText>
      </w:r>
      <w:r w:rsidR="00A6794A" w:rsidRPr="00D3550C">
        <w:instrText xml:space="preserve"> </w:instrText>
      </w:r>
      <w:r w:rsidR="00A6794A">
        <w:rPr>
          <w:lang w:val="en-US"/>
        </w:rPr>
        <w:instrText>of</w:instrText>
      </w:r>
      <w:r w:rsidR="00A6794A" w:rsidRPr="00D3550C">
        <w:instrText xml:space="preserve"> </w:instrText>
      </w:r>
      <w:r w:rsidR="00A6794A">
        <w:rPr>
          <w:lang w:val="en-US"/>
        </w:rPr>
        <w:instrText>adults</w:instrText>
      </w:r>
      <w:r w:rsidR="00A6794A" w:rsidRPr="00D3550C">
        <w:instrText xml:space="preserve"> </w:instrText>
      </w:r>
      <w:r w:rsidR="00A6794A">
        <w:rPr>
          <w:lang w:val="en-US"/>
        </w:rPr>
        <w:instrText>with</w:instrText>
      </w:r>
      <w:r w:rsidR="00A6794A" w:rsidRPr="00D3550C">
        <w:instrText xml:space="preserve"> </w:instrText>
      </w:r>
      <w:r w:rsidR="00A6794A">
        <w:rPr>
          <w:lang w:val="en-US"/>
        </w:rPr>
        <w:instrText>follicular</w:instrText>
      </w:r>
      <w:r w:rsidR="00A6794A" w:rsidRPr="00D3550C">
        <w:instrText xml:space="preserve"> </w:instrText>
      </w:r>
      <w:r w:rsidR="00A6794A">
        <w:rPr>
          <w:lang w:val="en-US"/>
        </w:rPr>
        <w:instrText>lymphoma</w:instrText>
      </w:r>
      <w:r w:rsidR="00A6794A" w:rsidRPr="00D3550C">
        <w:instrText xml:space="preserve">, </w:instrText>
      </w:r>
      <w:r w:rsidR="00A6794A">
        <w:rPr>
          <w:lang w:val="en-US"/>
        </w:rPr>
        <w:instrText>diffuse</w:instrText>
      </w:r>
      <w:r w:rsidR="00A6794A" w:rsidRPr="00D3550C">
        <w:instrText xml:space="preserve"> </w:instrText>
      </w:r>
      <w:r w:rsidR="00A6794A">
        <w:rPr>
          <w:lang w:val="en-US"/>
        </w:rPr>
        <w:instrText>large</w:instrText>
      </w:r>
      <w:r w:rsidR="00A6794A" w:rsidRPr="00D3550C">
        <w:instrText xml:space="preserve"> </w:instrText>
      </w:r>
      <w:r w:rsidR="00A6794A">
        <w:rPr>
          <w:lang w:val="en-US"/>
        </w:rPr>
        <w:instrText>B</w:instrText>
      </w:r>
      <w:r w:rsidR="00A6794A" w:rsidRPr="00D3550C">
        <w:instrText>-</w:instrText>
      </w:r>
      <w:r w:rsidR="00A6794A">
        <w:rPr>
          <w:lang w:val="en-US"/>
        </w:rPr>
        <w:instrText>cell</w:instrText>
      </w:r>
      <w:r w:rsidR="00A6794A" w:rsidRPr="00D3550C">
        <w:instrText xml:space="preserve"> </w:instrText>
      </w:r>
      <w:r w:rsidR="00A6794A">
        <w:rPr>
          <w:lang w:val="en-US"/>
        </w:rPr>
        <w:instrText>lymphoma</w:instrText>
      </w:r>
      <w:r w:rsidR="00A6794A" w:rsidRPr="00D3550C">
        <w:instrText xml:space="preserve">, </w:instrText>
      </w:r>
      <w:r w:rsidR="00A6794A">
        <w:rPr>
          <w:lang w:val="en-US"/>
        </w:rPr>
        <w:instrText>and</w:instrText>
      </w:r>
      <w:r w:rsidR="00A6794A" w:rsidRPr="00D3550C">
        <w:instrText xml:space="preserve"> </w:instrText>
      </w:r>
      <w:r w:rsidR="00A6794A">
        <w:rPr>
          <w:lang w:val="en-US"/>
        </w:rPr>
        <w:instrText>chronic</w:instrText>
      </w:r>
      <w:r w:rsidR="00A6794A" w:rsidRPr="00D3550C">
        <w:instrText xml:space="preserve"> </w:instrText>
      </w:r>
      <w:r w:rsidR="00A6794A">
        <w:rPr>
          <w:lang w:val="en-US"/>
        </w:rPr>
        <w:instrText>lymphocytic</w:instrText>
      </w:r>
      <w:r w:rsidR="00A6794A" w:rsidRPr="00D3550C">
        <w:instrText xml:space="preserve"> </w:instrText>
      </w:r>
      <w:r w:rsidR="00A6794A">
        <w:rPr>
          <w:lang w:val="en-US"/>
        </w:rPr>
        <w:instrText>leukemia</w:instrText>
      </w:r>
      <w:r w:rsidR="00A6794A" w:rsidRPr="00D3550C">
        <w:instrText xml:space="preserve">. </w:instrText>
      </w:r>
      <w:r w:rsidR="00A6794A">
        <w:rPr>
          <w:lang w:val="en-US"/>
        </w:rPr>
        <w:instrText>With</w:instrText>
      </w:r>
      <w:r w:rsidR="00A6794A" w:rsidRPr="00D3550C">
        <w:instrText xml:space="preserve"> </w:instrText>
      </w:r>
      <w:r w:rsidR="00A6794A">
        <w:rPr>
          <w:lang w:val="en-US"/>
        </w:rPr>
        <w:instrText>data</w:instrText>
      </w:r>
      <w:r w:rsidR="00A6794A" w:rsidRPr="00D3550C">
        <w:instrText xml:space="preserve"> </w:instrText>
      </w:r>
      <w:r w:rsidR="00A6794A">
        <w:rPr>
          <w:lang w:val="en-US"/>
        </w:rPr>
        <w:instrText>to</w:instrText>
      </w:r>
      <w:r w:rsidR="00A6794A" w:rsidRPr="00D3550C">
        <w:instrText xml:space="preserve"> </w:instrText>
      </w:r>
      <w:r w:rsidR="00A6794A">
        <w:rPr>
          <w:lang w:val="en-US"/>
        </w:rPr>
        <w:instrText>support</w:instrText>
      </w:r>
      <w:r w:rsidR="00A6794A" w:rsidRPr="00D3550C">
        <w:instrText xml:space="preserve"> </w:instrText>
      </w:r>
      <w:r w:rsidR="00A6794A">
        <w:rPr>
          <w:lang w:val="en-US"/>
        </w:rPr>
        <w:instrText>noninferior</w:instrText>
      </w:r>
      <w:r w:rsidR="00A6794A" w:rsidRPr="00D3550C">
        <w:instrText xml:space="preserve"> </w:instrText>
      </w:r>
      <w:r w:rsidR="00A6794A">
        <w:rPr>
          <w:lang w:val="en-US"/>
        </w:rPr>
        <w:instrText>pharmacokinetics</w:instrText>
      </w:r>
      <w:r w:rsidR="00A6794A" w:rsidRPr="00D3550C">
        <w:instrText xml:space="preserve">, </w:instrText>
      </w:r>
      <w:r w:rsidR="00A6794A">
        <w:rPr>
          <w:lang w:val="en-US"/>
        </w:rPr>
        <w:instrText>similar</w:instrText>
      </w:r>
      <w:r w:rsidR="00A6794A" w:rsidRPr="00D3550C">
        <w:instrText xml:space="preserve"> </w:instrText>
      </w:r>
      <w:r w:rsidR="00A6794A">
        <w:rPr>
          <w:lang w:val="en-US"/>
        </w:rPr>
        <w:instrText>outcomes</w:instrText>
      </w:r>
      <w:r w:rsidR="00A6794A" w:rsidRPr="00D3550C">
        <w:instrText xml:space="preserve">, </w:instrText>
      </w:r>
      <w:r w:rsidR="00A6794A">
        <w:rPr>
          <w:lang w:val="en-US"/>
        </w:rPr>
        <w:instrText>and</w:instrText>
      </w:r>
      <w:r w:rsidR="00A6794A" w:rsidRPr="00D3550C">
        <w:instrText xml:space="preserve"> </w:instrText>
      </w:r>
      <w:r w:rsidR="00A6794A">
        <w:rPr>
          <w:lang w:val="en-US"/>
        </w:rPr>
        <w:instrText>comparable</w:instrText>
      </w:r>
      <w:r w:rsidR="00A6794A" w:rsidRPr="00D3550C">
        <w:instrText xml:space="preserve"> </w:instrText>
      </w:r>
      <w:r w:rsidR="00A6794A">
        <w:rPr>
          <w:lang w:val="en-US"/>
        </w:rPr>
        <w:instrText>adverse</w:instrText>
      </w:r>
      <w:r w:rsidR="00A6794A" w:rsidRPr="00D3550C">
        <w:instrText xml:space="preserve"> </w:instrText>
      </w:r>
      <w:r w:rsidR="00A6794A">
        <w:rPr>
          <w:lang w:val="en-US"/>
        </w:rPr>
        <w:instrText>events</w:instrText>
      </w:r>
      <w:r w:rsidR="00A6794A" w:rsidRPr="00D3550C">
        <w:instrText xml:space="preserve">, </w:instrText>
      </w:r>
      <w:r w:rsidR="00A6794A">
        <w:rPr>
          <w:lang w:val="en-US"/>
        </w:rPr>
        <w:instrText>rituximab</w:instrText>
      </w:r>
      <w:r w:rsidR="00A6794A" w:rsidRPr="00D3550C">
        <w:instrText xml:space="preserve"> </w:instrText>
      </w:r>
      <w:r w:rsidR="00A6794A">
        <w:rPr>
          <w:lang w:val="en-US"/>
        </w:rPr>
        <w:instrText>and</w:instrText>
      </w:r>
      <w:r w:rsidR="00A6794A" w:rsidRPr="00D3550C">
        <w:instrText xml:space="preserve"> </w:instrText>
      </w:r>
      <w:r w:rsidR="00A6794A">
        <w:rPr>
          <w:lang w:val="en-US"/>
        </w:rPr>
        <w:instrText>hyaluronidase</w:instrText>
      </w:r>
      <w:r w:rsidR="00A6794A" w:rsidRPr="00D3550C">
        <w:instrText xml:space="preserve"> </w:instrText>
      </w:r>
      <w:r w:rsidR="00A6794A">
        <w:rPr>
          <w:lang w:val="en-US"/>
        </w:rPr>
        <w:instrText>human</w:instrText>
      </w:r>
      <w:r w:rsidR="00A6794A" w:rsidRPr="00D3550C">
        <w:instrText xml:space="preserve"> </w:instrText>
      </w:r>
      <w:r w:rsidR="00A6794A">
        <w:rPr>
          <w:lang w:val="en-US"/>
        </w:rPr>
        <w:instrText>may</w:instrText>
      </w:r>
      <w:r w:rsidR="00A6794A" w:rsidRPr="00D3550C">
        <w:instrText xml:space="preserve"> </w:instrText>
      </w:r>
      <w:r w:rsidR="00A6794A">
        <w:rPr>
          <w:lang w:val="en-US"/>
        </w:rPr>
        <w:instrText>offer</w:instrText>
      </w:r>
      <w:r w:rsidR="00A6794A" w:rsidRPr="00D3550C">
        <w:instrText xml:space="preserve"> </w:instrText>
      </w:r>
      <w:r w:rsidR="00A6794A">
        <w:rPr>
          <w:lang w:val="en-US"/>
        </w:rPr>
        <w:instrText>a</w:instrText>
      </w:r>
      <w:r w:rsidR="00A6794A" w:rsidRPr="00D3550C">
        <w:instrText xml:space="preserve"> </w:instrText>
      </w:r>
      <w:r w:rsidR="00A6794A">
        <w:rPr>
          <w:lang w:val="en-US"/>
        </w:rPr>
        <w:instrText>suitable</w:instrText>
      </w:r>
      <w:r w:rsidR="00A6794A" w:rsidRPr="00D3550C">
        <w:instrText xml:space="preserve"> </w:instrText>
      </w:r>
      <w:r w:rsidR="00A6794A">
        <w:rPr>
          <w:lang w:val="en-US"/>
        </w:rPr>
        <w:instrText>alternative</w:instrText>
      </w:r>
      <w:r w:rsidR="00A6794A" w:rsidRPr="00D3550C">
        <w:instrText xml:space="preserve"> </w:instrText>
      </w:r>
      <w:r w:rsidR="00A6794A">
        <w:rPr>
          <w:lang w:val="en-US"/>
        </w:rPr>
        <w:instrText>to</w:instrText>
      </w:r>
      <w:r w:rsidR="00A6794A" w:rsidRPr="00D3550C">
        <w:instrText xml:space="preserve"> </w:instrText>
      </w:r>
      <w:r w:rsidR="00A6794A">
        <w:rPr>
          <w:lang w:val="en-US"/>
        </w:rPr>
        <w:instrText>intravenous</w:instrText>
      </w:r>
      <w:r w:rsidR="00A6794A" w:rsidRPr="00D3550C">
        <w:instrText xml:space="preserve"> </w:instrText>
      </w:r>
      <w:r w:rsidR="00A6794A">
        <w:rPr>
          <w:lang w:val="en-US"/>
        </w:rPr>
        <w:instrText>rituximab</w:instrText>
      </w:r>
      <w:r w:rsidR="00A6794A" w:rsidRPr="00D3550C">
        <w:instrText xml:space="preserve"> </w:instrText>
      </w:r>
      <w:r w:rsidR="00A6794A">
        <w:rPr>
          <w:lang w:val="en-US"/>
        </w:rPr>
        <w:instrText>that</w:instrText>
      </w:r>
      <w:r w:rsidR="00A6794A" w:rsidRPr="00D3550C">
        <w:instrText xml:space="preserve"> </w:instrText>
      </w:r>
      <w:r w:rsidR="00A6794A">
        <w:rPr>
          <w:lang w:val="en-US"/>
        </w:rPr>
        <w:instrText>could</w:instrText>
      </w:r>
      <w:r w:rsidR="00A6794A" w:rsidRPr="00D3550C">
        <w:instrText xml:space="preserve"> </w:instrText>
      </w:r>
      <w:r w:rsidR="00A6794A">
        <w:rPr>
          <w:lang w:val="en-US"/>
        </w:rPr>
        <w:instrText>improve</w:instrText>
      </w:r>
      <w:r w:rsidR="00A6794A" w:rsidRPr="00D3550C">
        <w:instrText xml:space="preserve"> </w:instrText>
      </w:r>
      <w:r w:rsidR="00A6794A">
        <w:rPr>
          <w:lang w:val="en-US"/>
        </w:rPr>
        <w:instrText>convenience</w:instrText>
      </w:r>
      <w:r w:rsidR="00A6794A" w:rsidRPr="00D3550C">
        <w:instrText xml:space="preserve"> </w:instrText>
      </w:r>
      <w:r w:rsidR="00A6794A">
        <w:rPr>
          <w:lang w:val="en-US"/>
        </w:rPr>
        <w:instrText>for</w:instrText>
      </w:r>
      <w:r w:rsidR="00A6794A" w:rsidRPr="00D3550C">
        <w:instrText xml:space="preserve"> </w:instrText>
      </w:r>
      <w:r w:rsidR="00A6794A">
        <w:rPr>
          <w:lang w:val="en-US"/>
        </w:rPr>
        <w:instrText>patients</w:instrText>
      </w:r>
      <w:r w:rsidR="00A6794A" w:rsidRPr="00D3550C">
        <w:instrText xml:space="preserve"> </w:instrText>
      </w:r>
      <w:r w:rsidR="00A6794A">
        <w:rPr>
          <w:lang w:val="en-US"/>
        </w:rPr>
        <w:instrText>and</w:instrText>
      </w:r>
      <w:r w:rsidR="00A6794A" w:rsidRPr="00D3550C">
        <w:instrText xml:space="preserve"> </w:instrText>
      </w:r>
      <w:r w:rsidR="00A6794A">
        <w:rPr>
          <w:lang w:val="en-US"/>
        </w:rPr>
        <w:instrText>better</w:instrText>
      </w:r>
      <w:r w:rsidR="00A6794A" w:rsidRPr="00D3550C">
        <w:instrText xml:space="preserve"> </w:instrText>
      </w:r>
      <w:r w:rsidR="00A6794A">
        <w:rPr>
          <w:lang w:val="en-US"/>
        </w:rPr>
        <w:instrText>utilize</w:instrText>
      </w:r>
      <w:r w:rsidR="00A6794A" w:rsidRPr="00D3550C">
        <w:instrText xml:space="preserve"> </w:instrText>
      </w:r>
      <w:r w:rsidR="00A6794A">
        <w:rPr>
          <w:lang w:val="en-US"/>
        </w:rPr>
        <w:instrText>health</w:instrText>
      </w:r>
      <w:r w:rsidR="00A6794A" w:rsidRPr="00D3550C">
        <w:instrText>-</w:instrText>
      </w:r>
      <w:r w:rsidR="00A6794A">
        <w:rPr>
          <w:lang w:val="en-US"/>
        </w:rPr>
        <w:instrText>care</w:instrText>
      </w:r>
      <w:r w:rsidR="00A6794A" w:rsidRPr="00D3550C">
        <w:instrText xml:space="preserve"> </w:instrText>
      </w:r>
      <w:r w:rsidR="00A6794A">
        <w:rPr>
          <w:lang w:val="en-US"/>
        </w:rPr>
        <w:instrText>resources</w:instrText>
      </w:r>
      <w:r w:rsidR="00A6794A" w:rsidRPr="00D3550C">
        <w:instrText>.","</w:instrText>
      </w:r>
      <w:r w:rsidR="00A6794A">
        <w:rPr>
          <w:lang w:val="en-US"/>
        </w:rPr>
        <w:instrText>author</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family</w:instrText>
      </w:r>
      <w:r w:rsidR="00A6794A" w:rsidRPr="00D3550C">
        <w:instrText>":"</w:instrText>
      </w:r>
      <w:r w:rsidR="00A6794A">
        <w:rPr>
          <w:lang w:val="en-US"/>
        </w:rPr>
        <w:instrText>Yelvington</w:instrText>
      </w:r>
      <w:r w:rsidR="00A6794A" w:rsidRPr="00D3550C">
        <w:instrText>","</w:instrText>
      </w:r>
      <w:r w:rsidR="00A6794A">
        <w:rPr>
          <w:lang w:val="en-US"/>
        </w:rPr>
        <w:instrText>given</w:instrText>
      </w:r>
      <w:r w:rsidR="00A6794A" w:rsidRPr="00D3550C">
        <w:instrText>":"</w:instrText>
      </w:r>
      <w:r w:rsidR="00A6794A">
        <w:rPr>
          <w:lang w:val="en-US"/>
        </w:rPr>
        <w:instrText>Bradley</w:instrText>
      </w:r>
      <w:r w:rsidR="00A6794A" w:rsidRPr="00D3550C">
        <w:instrText xml:space="preserve"> </w:instrText>
      </w:r>
      <w:r w:rsidR="00A6794A">
        <w:rPr>
          <w:lang w:val="en-US"/>
        </w:rPr>
        <w:instrText>J</w:instrText>
      </w:r>
      <w:r w:rsidR="00A6794A" w:rsidRPr="00D3550C">
        <w:instrText>","</w:instrText>
      </w:r>
      <w:r w:rsidR="00A6794A">
        <w:rPr>
          <w:lang w:val="en-US"/>
        </w:rPr>
        <w:instrText>non</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parse</w:instrText>
      </w:r>
      <w:r w:rsidR="00A6794A" w:rsidRPr="00D3550C">
        <w:instrText>-</w:instrText>
      </w:r>
      <w:r w:rsidR="00A6794A">
        <w:rPr>
          <w:lang w:val="en-US"/>
        </w:rPr>
        <w:instrText>names</w:instrText>
      </w:r>
      <w:r w:rsidR="00A6794A" w:rsidRPr="00D3550C">
        <w:instrText>":</w:instrText>
      </w:r>
      <w:r w:rsidR="00A6794A">
        <w:rPr>
          <w:lang w:val="en-US"/>
        </w:rPr>
        <w:instrText>false</w:instrText>
      </w:r>
      <w:r w:rsidR="00A6794A" w:rsidRPr="00D3550C">
        <w:instrText>,"</w:instrText>
      </w:r>
      <w:r w:rsidR="00A6794A">
        <w:rPr>
          <w:lang w:val="en-US"/>
        </w:rPr>
        <w:instrText>suffix</w:instrText>
      </w:r>
      <w:r w:rsidR="00A6794A" w:rsidRPr="00D3550C">
        <w:instrText>":""}],"</w:instrText>
      </w:r>
      <w:r w:rsidR="00A6794A">
        <w:rPr>
          <w:lang w:val="en-US"/>
        </w:rPr>
        <w:instrText>container</w:instrText>
      </w:r>
      <w:r w:rsidR="00A6794A" w:rsidRPr="00D3550C">
        <w:instrText>-</w:instrText>
      </w:r>
      <w:r w:rsidR="00A6794A">
        <w:rPr>
          <w:lang w:val="en-US"/>
        </w:rPr>
        <w:instrText>title</w:instrText>
      </w:r>
      <w:r w:rsidR="00A6794A" w:rsidRPr="00D3550C">
        <w:instrText>":"</w:instrText>
      </w:r>
      <w:r w:rsidR="00A6794A">
        <w:rPr>
          <w:lang w:val="en-US"/>
        </w:rPr>
        <w:instrText>Journal</w:instrText>
      </w:r>
      <w:r w:rsidR="00A6794A" w:rsidRPr="00D3550C">
        <w:instrText xml:space="preserve"> </w:instrText>
      </w:r>
      <w:r w:rsidR="00A6794A">
        <w:rPr>
          <w:lang w:val="en-US"/>
        </w:rPr>
        <w:instrText>of</w:instrText>
      </w:r>
      <w:r w:rsidR="00A6794A" w:rsidRPr="00D3550C">
        <w:instrText xml:space="preserve"> </w:instrText>
      </w:r>
      <w:r w:rsidR="00A6794A">
        <w:rPr>
          <w:lang w:val="en-US"/>
        </w:rPr>
        <w:instrText>the</w:instrText>
      </w:r>
      <w:r w:rsidR="00A6794A" w:rsidRPr="00D3550C">
        <w:instrText xml:space="preserve"> </w:instrText>
      </w:r>
      <w:r w:rsidR="00A6794A">
        <w:rPr>
          <w:lang w:val="en-US"/>
        </w:rPr>
        <w:instrText>advanced</w:instrText>
      </w:r>
      <w:r w:rsidR="00A6794A" w:rsidRPr="00D3550C">
        <w:instrText xml:space="preserve"> </w:instrText>
      </w:r>
      <w:r w:rsidR="00A6794A">
        <w:rPr>
          <w:lang w:val="en-US"/>
        </w:rPr>
        <w:instrText>practitioner</w:instrText>
      </w:r>
      <w:r w:rsidR="00A6794A" w:rsidRPr="00D3550C">
        <w:instrText xml:space="preserve"> </w:instrText>
      </w:r>
      <w:r w:rsidR="00A6794A">
        <w:rPr>
          <w:lang w:val="en-US"/>
        </w:rPr>
        <w:instrText>in</w:instrText>
      </w:r>
      <w:r w:rsidR="00A6794A" w:rsidRPr="00D3550C">
        <w:instrText xml:space="preserve"> </w:instrText>
      </w:r>
      <w:r w:rsidR="00A6794A">
        <w:rPr>
          <w:lang w:val="en-US"/>
        </w:rPr>
        <w:instrText>oncology</w:instrText>
      </w:r>
      <w:r w:rsidR="00A6794A" w:rsidRPr="00D3550C">
        <w:instrText>","</w:instrText>
      </w:r>
      <w:r w:rsidR="00A6794A">
        <w:rPr>
          <w:lang w:val="en-US"/>
        </w:rPr>
        <w:instrText>id</w:instrText>
      </w:r>
      <w:r w:rsidR="00A6794A" w:rsidRPr="00D3550C">
        <w:instrText>":"</w:instrText>
      </w:r>
      <w:r w:rsidR="00A6794A">
        <w:rPr>
          <w:lang w:val="en-US"/>
        </w:rPr>
        <w:instrText>ITEM</w:instrText>
      </w:r>
      <w:r w:rsidR="00A6794A" w:rsidRPr="00D3550C">
        <w:instrText>-1","</w:instrText>
      </w:r>
      <w:r w:rsidR="00A6794A">
        <w:rPr>
          <w:lang w:val="en-US"/>
        </w:rPr>
        <w:instrText>issue</w:instrText>
      </w:r>
      <w:r w:rsidR="00A6794A" w:rsidRPr="00D3550C">
        <w:instrText>":"5","</w:instrText>
      </w:r>
      <w:r w:rsidR="00A6794A">
        <w:rPr>
          <w:lang w:val="en-US"/>
        </w:rPr>
        <w:instrText>issued</w:instrText>
      </w:r>
      <w:r w:rsidR="00A6794A" w:rsidRPr="00D3550C">
        <w:instrText>":{"</w:instrText>
      </w:r>
      <w:r w:rsidR="00A6794A">
        <w:rPr>
          <w:lang w:val="en-US"/>
        </w:rPr>
        <w:instrText>date</w:instrText>
      </w:r>
      <w:r w:rsidR="00A6794A" w:rsidRPr="00D3550C">
        <w:instrText>-</w:instrText>
      </w:r>
      <w:r w:rsidR="00A6794A">
        <w:rPr>
          <w:lang w:val="en-US"/>
        </w:rPr>
        <w:instrText>parts</w:instrText>
      </w:r>
      <w:r w:rsidR="00A6794A" w:rsidRPr="00D3550C">
        <w:instrText>":[["2018"]]},"</w:instrText>
      </w:r>
      <w:r w:rsidR="00A6794A">
        <w:rPr>
          <w:lang w:val="en-US"/>
        </w:rPr>
        <w:instrText>page</w:instrText>
      </w:r>
      <w:r w:rsidR="00A6794A" w:rsidRPr="00D3550C">
        <w:instrText>":"530-534","</w:instrText>
      </w:r>
      <w:r w:rsidR="00A6794A">
        <w:rPr>
          <w:lang w:val="en-US"/>
        </w:rPr>
        <w:instrText>publisher</w:instrText>
      </w:r>
      <w:r w:rsidR="00A6794A" w:rsidRPr="00D3550C">
        <w:instrText>":"</w:instrText>
      </w:r>
      <w:r w:rsidR="00A6794A">
        <w:rPr>
          <w:lang w:val="en-US"/>
        </w:rPr>
        <w:instrText>Harborside</w:instrText>
      </w:r>
      <w:r w:rsidR="00A6794A" w:rsidRPr="00D3550C">
        <w:instrText xml:space="preserve"> </w:instrText>
      </w:r>
      <w:r w:rsidR="00A6794A">
        <w:rPr>
          <w:lang w:val="en-US"/>
        </w:rPr>
        <w:instrText>Press</w:instrText>
      </w:r>
      <w:r w:rsidR="00A6794A" w:rsidRPr="00D3550C">
        <w:instrText>","</w:instrText>
      </w:r>
      <w:r w:rsidR="00A6794A">
        <w:rPr>
          <w:lang w:val="en-US"/>
        </w:rPr>
        <w:instrText>title</w:instrText>
      </w:r>
      <w:r w:rsidR="00A6794A" w:rsidRPr="00D3550C">
        <w:instrText>":"</w:instrText>
      </w:r>
      <w:r w:rsidR="00A6794A">
        <w:rPr>
          <w:lang w:val="en-US"/>
        </w:rPr>
        <w:instrText>Subcutaneous</w:instrText>
      </w:r>
      <w:r w:rsidR="00A6794A" w:rsidRPr="00D3550C">
        <w:instrText xml:space="preserve"> </w:instrText>
      </w:r>
      <w:r w:rsidR="00A6794A">
        <w:rPr>
          <w:lang w:val="en-US"/>
        </w:rPr>
        <w:instrText>Rituximab</w:instrText>
      </w:r>
      <w:r w:rsidR="00A6794A" w:rsidRPr="00D3550C">
        <w:instrText xml:space="preserve"> </w:instrText>
      </w:r>
      <w:r w:rsidR="00A6794A">
        <w:rPr>
          <w:lang w:val="en-US"/>
        </w:rPr>
        <w:instrText>in</w:instrText>
      </w:r>
      <w:r w:rsidR="00A6794A" w:rsidRPr="00D3550C">
        <w:instrText xml:space="preserve"> </w:instrText>
      </w:r>
      <w:r w:rsidR="00A6794A">
        <w:rPr>
          <w:lang w:val="en-US"/>
        </w:rPr>
        <w:instrText>Follicular</w:instrText>
      </w:r>
      <w:r w:rsidR="00A6794A" w:rsidRPr="00D3550C">
        <w:instrText xml:space="preserve"> </w:instrText>
      </w:r>
      <w:r w:rsidR="00A6794A">
        <w:rPr>
          <w:lang w:val="en-US"/>
        </w:rPr>
        <w:instrText>Lymphoma</w:instrText>
      </w:r>
      <w:r w:rsidR="00A6794A" w:rsidRPr="00D3550C">
        <w:instrText xml:space="preserve">, </w:instrText>
      </w:r>
      <w:r w:rsidR="00A6794A">
        <w:rPr>
          <w:lang w:val="en-US"/>
        </w:rPr>
        <w:instrText>Chronic</w:instrText>
      </w:r>
      <w:r w:rsidR="00A6794A" w:rsidRPr="00D3550C">
        <w:instrText xml:space="preserve"> </w:instrText>
      </w:r>
      <w:r w:rsidR="00A6794A">
        <w:rPr>
          <w:lang w:val="en-US"/>
        </w:rPr>
        <w:instrText>Lymphocytic</w:instrText>
      </w:r>
      <w:r w:rsidR="00A6794A" w:rsidRPr="00D3550C">
        <w:instrText xml:space="preserve"> </w:instrText>
      </w:r>
      <w:r w:rsidR="00A6794A">
        <w:rPr>
          <w:lang w:val="en-US"/>
        </w:rPr>
        <w:instrText>Leukemia</w:instrText>
      </w:r>
      <w:r w:rsidR="00A6794A" w:rsidRPr="00D3550C">
        <w:instrText xml:space="preserve">, </w:instrText>
      </w:r>
      <w:r w:rsidR="00A6794A">
        <w:rPr>
          <w:lang w:val="en-US"/>
        </w:rPr>
        <w:instrText>and</w:instrText>
      </w:r>
      <w:r w:rsidR="00A6794A" w:rsidRPr="00D3550C">
        <w:instrText xml:space="preserve"> </w:instrText>
      </w:r>
      <w:r w:rsidR="00A6794A">
        <w:rPr>
          <w:lang w:val="en-US"/>
        </w:rPr>
        <w:instrText>Diffuse</w:instrText>
      </w:r>
      <w:r w:rsidR="00A6794A" w:rsidRPr="00D3550C">
        <w:instrText xml:space="preserve"> </w:instrText>
      </w:r>
      <w:r w:rsidR="00A6794A">
        <w:rPr>
          <w:lang w:val="en-US"/>
        </w:rPr>
        <w:instrText>Large</w:instrText>
      </w:r>
      <w:r w:rsidR="00A6794A" w:rsidRPr="00D3550C">
        <w:instrText xml:space="preserve"> </w:instrText>
      </w:r>
      <w:r w:rsidR="00A6794A">
        <w:rPr>
          <w:lang w:val="en-US"/>
        </w:rPr>
        <w:instrText>B</w:instrText>
      </w:r>
      <w:r w:rsidR="00A6794A" w:rsidRPr="00D3550C">
        <w:instrText>-</w:instrText>
      </w:r>
      <w:r w:rsidR="00A6794A">
        <w:rPr>
          <w:lang w:val="en-US"/>
        </w:rPr>
        <w:instrText>Cell</w:instrText>
      </w:r>
      <w:r w:rsidR="00A6794A" w:rsidRPr="00D3550C">
        <w:instrText xml:space="preserve"> </w:instrText>
      </w:r>
      <w:r w:rsidR="00A6794A">
        <w:rPr>
          <w:lang w:val="en-US"/>
        </w:rPr>
        <w:instrText>Lymphoma</w:instrText>
      </w:r>
      <w:r w:rsidR="00A6794A" w:rsidRPr="00D3550C">
        <w:instrText>.","</w:instrText>
      </w:r>
      <w:r w:rsidR="00A6794A">
        <w:rPr>
          <w:lang w:val="en-US"/>
        </w:rPr>
        <w:instrText>type</w:instrText>
      </w:r>
      <w:r w:rsidR="00A6794A" w:rsidRPr="00D3550C">
        <w:instrText>":"</w:instrText>
      </w:r>
      <w:r w:rsidR="00A6794A">
        <w:rPr>
          <w:lang w:val="en-US"/>
        </w:rPr>
        <w:instrText>article</w:instrText>
      </w:r>
      <w:r w:rsidR="00A6794A" w:rsidRPr="00D3550C">
        <w:instrText>-</w:instrText>
      </w:r>
      <w:r w:rsidR="00A6794A">
        <w:rPr>
          <w:lang w:val="en-US"/>
        </w:rPr>
        <w:instrText>journal</w:instrText>
      </w:r>
      <w:r w:rsidR="00A6794A" w:rsidRPr="00D3550C">
        <w:instrText>","</w:instrText>
      </w:r>
      <w:r w:rsidR="00A6794A">
        <w:rPr>
          <w:lang w:val="en-US"/>
        </w:rPr>
        <w:instrText>volume</w:instrText>
      </w:r>
      <w:r w:rsidR="00A6794A" w:rsidRPr="00D3550C">
        <w:instrText>":"9"},"</w:instrText>
      </w:r>
      <w:r w:rsidR="00A6794A">
        <w:rPr>
          <w:lang w:val="en-US"/>
        </w:rPr>
        <w:instrText>uris</w:instrText>
      </w:r>
      <w:r w:rsidR="00A6794A" w:rsidRPr="00D3550C">
        <w:instrText>":["</w:instrText>
      </w:r>
      <w:r w:rsidR="00A6794A">
        <w:rPr>
          <w:lang w:val="en-US"/>
        </w:rPr>
        <w:instrText>http</w:instrText>
      </w:r>
      <w:r w:rsidR="00A6794A" w:rsidRPr="00D3550C">
        <w:instrText>://</w:instrText>
      </w:r>
      <w:r w:rsidR="00A6794A">
        <w:rPr>
          <w:lang w:val="en-US"/>
        </w:rPr>
        <w:instrText>www</w:instrText>
      </w:r>
      <w:r w:rsidR="00A6794A" w:rsidRPr="00D3550C">
        <w:instrText>.</w:instrText>
      </w:r>
      <w:r w:rsidR="00A6794A">
        <w:rPr>
          <w:lang w:val="en-US"/>
        </w:rPr>
        <w:instrText>mendeley</w:instrText>
      </w:r>
      <w:r w:rsidR="00A6794A" w:rsidRPr="00D3550C">
        <w:instrText>.</w:instrText>
      </w:r>
      <w:r w:rsidR="00A6794A">
        <w:rPr>
          <w:lang w:val="en-US"/>
        </w:rPr>
        <w:instrText>com</w:instrText>
      </w:r>
      <w:r w:rsidR="00A6794A" w:rsidRPr="00D3550C">
        <w:instrText>/</w:instrText>
      </w:r>
      <w:r w:rsidR="00A6794A">
        <w:rPr>
          <w:lang w:val="en-US"/>
        </w:rPr>
        <w:instrText>documents</w:instrText>
      </w:r>
      <w:r w:rsidR="00A6794A" w:rsidRPr="00D3550C">
        <w:instrText>/?</w:instrText>
      </w:r>
      <w:r w:rsidR="00A6794A">
        <w:rPr>
          <w:lang w:val="en-US"/>
        </w:rPr>
        <w:instrText>uuid</w:instrText>
      </w:r>
      <w:r w:rsidR="00A6794A" w:rsidRPr="00D3550C">
        <w:instrText>=</w:instrText>
      </w:r>
      <w:r w:rsidR="00A6794A">
        <w:rPr>
          <w:lang w:val="en-US"/>
        </w:rPr>
        <w:instrText>fbb</w:instrText>
      </w:r>
      <w:r w:rsidR="00A6794A" w:rsidRPr="00D3550C">
        <w:instrText>0</w:instrText>
      </w:r>
      <w:r w:rsidR="00A6794A">
        <w:rPr>
          <w:lang w:val="en-US"/>
        </w:rPr>
        <w:instrText>b</w:instrText>
      </w:r>
      <w:r w:rsidR="00A6794A" w:rsidRPr="00D3550C">
        <w:instrText>8</w:instrText>
      </w:r>
      <w:r w:rsidR="00A6794A">
        <w:rPr>
          <w:lang w:val="en-US"/>
        </w:rPr>
        <w:instrText>f</w:instrText>
      </w:r>
      <w:r w:rsidR="00A6794A" w:rsidRPr="00D3550C">
        <w:instrText>4-6</w:instrText>
      </w:r>
      <w:r w:rsidR="00A6794A">
        <w:rPr>
          <w:lang w:val="en-US"/>
        </w:rPr>
        <w:instrText>b</w:instrText>
      </w:r>
      <w:r w:rsidR="00A6794A" w:rsidRPr="00D3550C">
        <w:instrText>58-3</w:instrText>
      </w:r>
      <w:r w:rsidR="00A6794A">
        <w:rPr>
          <w:lang w:val="en-US"/>
        </w:rPr>
        <w:instrText>a</w:instrText>
      </w:r>
      <w:r w:rsidR="00A6794A" w:rsidRPr="00D3550C">
        <w:instrText>10-</w:instrText>
      </w:r>
      <w:r w:rsidR="00A6794A">
        <w:rPr>
          <w:lang w:val="en-US"/>
        </w:rPr>
        <w:instrText>b</w:instrText>
      </w:r>
      <w:r w:rsidR="00A6794A" w:rsidRPr="00D3550C">
        <w:instrText>7</w:instrText>
      </w:r>
      <w:r w:rsidR="00A6794A">
        <w:rPr>
          <w:lang w:val="en-US"/>
        </w:rPr>
        <w:instrText>d</w:instrText>
      </w:r>
      <w:r w:rsidR="00A6794A" w:rsidRPr="00D3550C">
        <w:instrText>6-</w:instrText>
      </w:r>
      <w:r w:rsidR="00A6794A">
        <w:rPr>
          <w:lang w:val="en-US"/>
        </w:rPr>
        <w:instrText>af</w:instrText>
      </w:r>
      <w:r w:rsidR="00A6794A" w:rsidRPr="00D3550C">
        <w:instrText>3854030</w:instrText>
      </w:r>
      <w:r w:rsidR="00A6794A">
        <w:rPr>
          <w:lang w:val="en-US"/>
        </w:rPr>
        <w:instrText>be</w:instrText>
      </w:r>
      <w:r w:rsidR="00A6794A" w:rsidRPr="00D3550C">
        <w:instrText>8"]},{"</w:instrText>
      </w:r>
      <w:r w:rsidR="00A6794A">
        <w:rPr>
          <w:lang w:val="en-US"/>
        </w:rPr>
        <w:instrText>id</w:instrText>
      </w:r>
      <w:r w:rsidR="00A6794A" w:rsidRPr="00D3550C">
        <w:instrText>":"</w:instrText>
      </w:r>
      <w:r w:rsidR="00A6794A">
        <w:rPr>
          <w:lang w:val="en-US"/>
        </w:rPr>
        <w:instrText>ITEM</w:instrText>
      </w:r>
      <w:r w:rsidR="00A6794A" w:rsidRPr="00D3550C">
        <w:instrText>-2","</w:instrText>
      </w:r>
      <w:r w:rsidR="00A6794A">
        <w:rPr>
          <w:lang w:val="en-US"/>
        </w:rPr>
        <w:instrText>itemData</w:instrText>
      </w:r>
      <w:r w:rsidR="00A6794A" w:rsidRPr="00D3550C">
        <w:instrText>":{"</w:instrText>
      </w:r>
      <w:r w:rsidR="00A6794A">
        <w:rPr>
          <w:lang w:val="en-US"/>
        </w:rPr>
        <w:instrText>DOI</w:instrText>
      </w:r>
      <w:r w:rsidR="00A6794A" w:rsidRPr="00D3550C">
        <w:instrText>":"10.1007/</w:instrText>
      </w:r>
      <w:r w:rsidR="00A6794A">
        <w:rPr>
          <w:lang w:val="en-US"/>
        </w:rPr>
        <w:instrText>s</w:instrText>
      </w:r>
      <w:r w:rsidR="00A6794A" w:rsidRPr="00D3550C">
        <w:instrText>12325-017-0610-</w:instrText>
      </w:r>
      <w:r w:rsidR="00A6794A">
        <w:rPr>
          <w:lang w:val="en-US"/>
        </w:rPr>
        <w:instrText>z</w:instrText>
      </w:r>
      <w:r w:rsidR="00A6794A" w:rsidRPr="00D3550C">
        <w:instrText>","</w:instrText>
      </w:r>
      <w:r w:rsidR="00A6794A">
        <w:rPr>
          <w:lang w:val="en-US"/>
        </w:rPr>
        <w:instrText>ISSN</w:instrText>
      </w:r>
      <w:r w:rsidR="00A6794A" w:rsidRPr="00D3550C">
        <w:instrText>":"18658652","</w:instrText>
      </w:r>
      <w:r w:rsidR="00A6794A">
        <w:rPr>
          <w:lang w:val="en-US"/>
        </w:rPr>
        <w:instrText>abstract</w:instrText>
      </w:r>
      <w:r w:rsidR="00A6794A" w:rsidRPr="00D3550C">
        <w:instrText>":"</w:instrText>
      </w:r>
      <w:r w:rsidR="00A6794A">
        <w:rPr>
          <w:lang w:val="en-US"/>
        </w:rPr>
        <w:instrText>Abstract</w:instrText>
      </w:r>
      <w:r w:rsidR="00A6794A" w:rsidRPr="00D3550C">
        <w:instrText xml:space="preserve">: </w:instrText>
      </w:r>
      <w:r w:rsidR="00A6794A">
        <w:rPr>
          <w:lang w:val="en-US"/>
        </w:rPr>
        <w:instrText>Rituximab</w:instrText>
      </w:r>
      <w:r w:rsidR="00A6794A" w:rsidRPr="00D3550C">
        <w:instrText xml:space="preserve"> (</w:instrText>
      </w:r>
      <w:r w:rsidR="00A6794A">
        <w:rPr>
          <w:lang w:val="en-US"/>
        </w:rPr>
        <w:instrText>MabThera</w:instrText>
      </w:r>
      <w:r w:rsidR="00A6794A" w:rsidRPr="00D3550C">
        <w:instrText>®/</w:instrText>
      </w:r>
      <w:r w:rsidR="00A6794A">
        <w:rPr>
          <w:lang w:val="en-US"/>
        </w:rPr>
        <w:instrText>Rituxan</w:instrText>
      </w:r>
      <w:r w:rsidR="00A6794A" w:rsidRPr="00D3550C">
        <w:instrText>®</w:instrText>
      </w:r>
      <w:r w:rsidR="00A6794A" w:rsidRPr="00AA43FB">
        <w:instrText xml:space="preserve">), </w:instrText>
      </w:r>
      <w:r w:rsidR="00A6794A">
        <w:rPr>
          <w:lang w:val="en-US"/>
        </w:rPr>
        <w:instrText>a</w:instrText>
      </w:r>
      <w:r w:rsidR="00A6794A" w:rsidRPr="00AA43FB">
        <w:instrText xml:space="preserve"> </w:instrText>
      </w:r>
      <w:r w:rsidR="00A6794A">
        <w:rPr>
          <w:lang w:val="en-US"/>
        </w:rPr>
        <w:instrText>chimeric</w:instrText>
      </w:r>
      <w:r w:rsidR="00A6794A" w:rsidRPr="00AA43FB">
        <w:instrText xml:space="preserve"> </w:instrText>
      </w:r>
      <w:r w:rsidR="00A6794A">
        <w:rPr>
          <w:lang w:val="en-US"/>
        </w:rPr>
        <w:instrText>murine</w:instrText>
      </w:r>
      <w:r w:rsidR="00A6794A" w:rsidRPr="00AA43FB">
        <w:instrText>/</w:instrText>
      </w:r>
      <w:r w:rsidR="00A6794A">
        <w:rPr>
          <w:lang w:val="en-US"/>
        </w:rPr>
        <w:instrText>human</w:instrText>
      </w:r>
      <w:r w:rsidR="00A6794A" w:rsidRPr="00AA43FB">
        <w:instrText xml:space="preserve"> </w:instrText>
      </w:r>
      <w:r w:rsidR="00A6794A">
        <w:rPr>
          <w:lang w:val="en-US"/>
        </w:rPr>
        <w:instrText>monoclonal</w:instrText>
      </w:r>
      <w:r w:rsidR="00A6794A" w:rsidRPr="00AA43FB">
        <w:instrText xml:space="preserve"> </w:instrText>
      </w:r>
      <w:r w:rsidR="00A6794A">
        <w:rPr>
          <w:lang w:val="en-US"/>
        </w:rPr>
        <w:instrText>antibody</w:instrText>
      </w:r>
      <w:r w:rsidR="00A6794A" w:rsidRPr="00AA43FB">
        <w:instrText xml:space="preserve"> </w:instrText>
      </w:r>
      <w:r w:rsidR="00A6794A">
        <w:rPr>
          <w:lang w:val="en-US"/>
        </w:rPr>
        <w:instrText>that</w:instrText>
      </w:r>
      <w:r w:rsidR="00A6794A" w:rsidRPr="00AA43FB">
        <w:instrText xml:space="preserve"> </w:instrText>
      </w:r>
      <w:r w:rsidR="00A6794A">
        <w:rPr>
          <w:lang w:val="en-US"/>
        </w:rPr>
        <w:instrText>binds</w:instrText>
      </w:r>
      <w:r w:rsidR="00A6794A" w:rsidRPr="00AA43FB">
        <w:instrText xml:space="preserve"> </w:instrText>
      </w:r>
      <w:r w:rsidR="00A6794A">
        <w:rPr>
          <w:lang w:val="en-US"/>
        </w:rPr>
        <w:instrText>specifically</w:instrText>
      </w:r>
      <w:r w:rsidR="00A6794A" w:rsidRPr="00AA43FB">
        <w:instrText xml:space="preserve"> </w:instrText>
      </w:r>
      <w:r w:rsidR="00A6794A">
        <w:rPr>
          <w:lang w:val="en-US"/>
        </w:rPr>
        <w:instrText>to</w:instrText>
      </w:r>
      <w:r w:rsidR="00A6794A" w:rsidRPr="00AA43FB">
        <w:instrText xml:space="preserve"> </w:instrText>
      </w:r>
      <w:r w:rsidR="00A6794A">
        <w:rPr>
          <w:lang w:val="en-US"/>
        </w:rPr>
        <w:instrText>the</w:instrText>
      </w:r>
      <w:r w:rsidR="00A6794A" w:rsidRPr="00AA43FB">
        <w:instrText xml:space="preserve"> </w:instrText>
      </w:r>
      <w:r w:rsidR="00A6794A">
        <w:rPr>
          <w:lang w:val="en-US"/>
        </w:rPr>
        <w:instrText>transmembrane</w:instrText>
      </w:r>
      <w:r w:rsidR="00A6794A" w:rsidRPr="00AA43FB">
        <w:instrText xml:space="preserve"> </w:instrText>
      </w:r>
      <w:r w:rsidR="00A6794A">
        <w:rPr>
          <w:lang w:val="en-US"/>
        </w:rPr>
        <w:instrText>antigen</w:instrText>
      </w:r>
      <w:r w:rsidR="00A6794A" w:rsidRPr="00AA43FB">
        <w:instrText xml:space="preserve"> </w:instrText>
      </w:r>
      <w:r w:rsidR="00A6794A">
        <w:rPr>
          <w:lang w:val="en-US"/>
        </w:rPr>
        <w:instrText>CD</w:instrText>
      </w:r>
      <w:r w:rsidR="00A6794A" w:rsidRPr="00AA43FB">
        <w:instrText xml:space="preserve">20, </w:instrText>
      </w:r>
      <w:r w:rsidR="00A6794A">
        <w:rPr>
          <w:lang w:val="en-US"/>
        </w:rPr>
        <w:instrText>was</w:instrText>
      </w:r>
      <w:r w:rsidR="00A6794A" w:rsidRPr="00AA43FB">
        <w:instrText xml:space="preserve"> </w:instrText>
      </w:r>
      <w:r w:rsidR="00A6794A">
        <w:rPr>
          <w:lang w:val="en-US"/>
        </w:rPr>
        <w:instrText>the</w:instrText>
      </w:r>
      <w:r w:rsidR="00A6794A" w:rsidRPr="00AA43FB">
        <w:instrText xml:space="preserve"> </w:instrText>
      </w:r>
      <w:r w:rsidR="00A6794A">
        <w:rPr>
          <w:lang w:val="en-US"/>
        </w:rPr>
        <w:instrText>first</w:instrText>
      </w:r>
      <w:r w:rsidR="00A6794A" w:rsidRPr="00AA43FB">
        <w:instrText xml:space="preserve"> </w:instrText>
      </w:r>
      <w:r w:rsidR="00A6794A">
        <w:rPr>
          <w:lang w:val="en-US"/>
        </w:rPr>
        <w:instrText>therapeutic</w:instrText>
      </w:r>
      <w:r w:rsidR="00A6794A" w:rsidRPr="00AA43FB">
        <w:instrText xml:space="preserve"> </w:instrText>
      </w:r>
      <w:r w:rsidR="00A6794A">
        <w:rPr>
          <w:lang w:val="en-US"/>
        </w:rPr>
        <w:instrText>antibody</w:instrText>
      </w:r>
      <w:r w:rsidR="00A6794A" w:rsidRPr="00AA43FB">
        <w:instrText xml:space="preserve"> </w:instrText>
      </w:r>
      <w:r w:rsidR="00A6794A">
        <w:rPr>
          <w:lang w:val="en-US"/>
        </w:rPr>
        <w:instrText>to</w:instrText>
      </w:r>
      <w:r w:rsidR="00A6794A" w:rsidRPr="00AA43FB">
        <w:instrText xml:space="preserve"> </w:instrText>
      </w:r>
      <w:r w:rsidR="00A6794A">
        <w:rPr>
          <w:lang w:val="en-US"/>
        </w:rPr>
        <w:instrText>enter</w:instrText>
      </w:r>
      <w:r w:rsidR="00A6794A" w:rsidRPr="00AA43FB">
        <w:instrText xml:space="preserve"> </w:instrText>
      </w:r>
      <w:r w:rsidR="00A6794A">
        <w:rPr>
          <w:lang w:val="en-US"/>
        </w:rPr>
        <w:instrText>clinical</w:instrText>
      </w:r>
      <w:r w:rsidR="00A6794A" w:rsidRPr="00AA43FB">
        <w:instrText xml:space="preserve"> </w:instrText>
      </w:r>
      <w:r w:rsidR="00A6794A">
        <w:rPr>
          <w:lang w:val="en-US"/>
        </w:rPr>
        <w:instrText>practice</w:instrText>
      </w:r>
      <w:r w:rsidR="00A6794A" w:rsidRPr="00AA43FB">
        <w:instrText xml:space="preserve"> </w:instrText>
      </w:r>
      <w:r w:rsidR="00A6794A">
        <w:rPr>
          <w:lang w:val="en-US"/>
        </w:rPr>
        <w:instrText>for</w:instrText>
      </w:r>
      <w:r w:rsidR="00A6794A" w:rsidRPr="00AA43FB">
        <w:instrText xml:space="preserve"> </w:instrText>
      </w:r>
      <w:r w:rsidR="00A6794A">
        <w:rPr>
          <w:lang w:val="en-US"/>
        </w:rPr>
        <w:instrText>the</w:instrText>
      </w:r>
      <w:r w:rsidR="00A6794A" w:rsidRPr="00AA43FB">
        <w:instrText xml:space="preserve"> </w:instrText>
      </w:r>
      <w:r w:rsidR="00A6794A">
        <w:rPr>
          <w:lang w:val="en-US"/>
        </w:rPr>
        <w:instrText>treatment</w:instrText>
      </w:r>
      <w:r w:rsidR="00A6794A" w:rsidRPr="00AA43FB">
        <w:instrText xml:space="preserve"> </w:instrText>
      </w:r>
      <w:r w:rsidR="00A6794A">
        <w:rPr>
          <w:lang w:val="en-US"/>
        </w:rPr>
        <w:instrText>of</w:instrText>
      </w:r>
      <w:r w:rsidR="00A6794A" w:rsidRPr="00AA43FB">
        <w:instrText xml:space="preserve"> </w:instrText>
      </w:r>
      <w:r w:rsidR="00A6794A">
        <w:rPr>
          <w:lang w:val="en-US"/>
        </w:rPr>
        <w:instrText>cancer</w:instrText>
      </w:r>
      <w:r w:rsidR="00A6794A" w:rsidRPr="00AA43FB">
        <w:instrText xml:space="preserve">. </w:instrText>
      </w:r>
      <w:r w:rsidR="00A6794A">
        <w:rPr>
          <w:lang w:val="en-US"/>
        </w:rPr>
        <w:instrText>As</w:instrText>
      </w:r>
      <w:r w:rsidR="00A6794A" w:rsidRPr="00AA43FB">
        <w:instrText xml:space="preserve"> </w:instrText>
      </w:r>
      <w:r w:rsidR="00A6794A">
        <w:rPr>
          <w:lang w:val="en-US"/>
        </w:rPr>
        <w:instrText>monotherapy</w:instrText>
      </w:r>
      <w:r w:rsidR="00A6794A" w:rsidRPr="00AA43FB">
        <w:instrText xml:space="preserve"> </w:instrText>
      </w:r>
      <w:r w:rsidR="00A6794A">
        <w:rPr>
          <w:lang w:val="en-US"/>
        </w:rPr>
        <w:instrText>and</w:instrText>
      </w:r>
      <w:r w:rsidR="00A6794A" w:rsidRPr="00AA43FB">
        <w:instrText xml:space="preserve"> </w:instrText>
      </w:r>
      <w:r w:rsidR="00A6794A">
        <w:rPr>
          <w:lang w:val="en-US"/>
        </w:rPr>
        <w:instrText>in</w:instrText>
      </w:r>
      <w:r w:rsidR="00A6794A" w:rsidRPr="00AA43FB">
        <w:instrText xml:space="preserve"> </w:instrText>
      </w:r>
      <w:r w:rsidR="00A6794A">
        <w:rPr>
          <w:lang w:val="en-US"/>
        </w:rPr>
        <w:instrText>combination</w:instrText>
      </w:r>
      <w:r w:rsidR="00A6794A" w:rsidRPr="00AA43FB">
        <w:instrText xml:space="preserve"> </w:instrText>
      </w:r>
      <w:r w:rsidR="00A6794A">
        <w:rPr>
          <w:lang w:val="en-US"/>
        </w:rPr>
        <w:instrText>with</w:instrText>
      </w:r>
      <w:r w:rsidR="00A6794A" w:rsidRPr="00AA43FB">
        <w:instrText xml:space="preserve"> </w:instrText>
      </w:r>
      <w:r w:rsidR="00A6794A">
        <w:rPr>
          <w:lang w:val="en-US"/>
        </w:rPr>
        <w:instrText>chemotherapy</w:instrText>
      </w:r>
      <w:r w:rsidR="00A6794A" w:rsidRPr="00AA43FB">
        <w:instrText xml:space="preserve">, </w:instrText>
      </w:r>
      <w:r w:rsidR="00A6794A">
        <w:rPr>
          <w:lang w:val="en-US"/>
        </w:rPr>
        <w:instrText>rituximab</w:instrText>
      </w:r>
      <w:r w:rsidR="00A6794A" w:rsidRPr="00AA43FB">
        <w:instrText xml:space="preserve"> </w:instrText>
      </w:r>
      <w:r w:rsidR="00A6794A">
        <w:rPr>
          <w:lang w:val="en-US"/>
        </w:rPr>
        <w:instrText>has</w:instrText>
      </w:r>
      <w:r w:rsidR="00A6794A" w:rsidRPr="00AA43FB">
        <w:instrText xml:space="preserve"> </w:instrText>
      </w:r>
      <w:r w:rsidR="00A6794A">
        <w:rPr>
          <w:lang w:val="en-US"/>
        </w:rPr>
        <w:instrText>been</w:instrText>
      </w:r>
      <w:r w:rsidR="00A6794A" w:rsidRPr="00AA43FB">
        <w:instrText xml:space="preserve"> </w:instrText>
      </w:r>
      <w:r w:rsidR="00A6794A">
        <w:rPr>
          <w:lang w:val="en-US"/>
        </w:rPr>
        <w:instrText>shown</w:instrText>
      </w:r>
      <w:r w:rsidR="00A6794A" w:rsidRPr="00AA43FB">
        <w:instrText xml:space="preserve"> </w:instrText>
      </w:r>
      <w:r w:rsidR="00A6794A">
        <w:rPr>
          <w:lang w:val="en-US"/>
        </w:rPr>
        <w:instrText>to</w:instrText>
      </w:r>
      <w:r w:rsidR="00A6794A" w:rsidRPr="00AA43FB">
        <w:instrText xml:space="preserve"> </w:instrText>
      </w:r>
      <w:r w:rsidR="00A6794A">
        <w:rPr>
          <w:lang w:val="en-US"/>
        </w:rPr>
        <w:instrText>prolong</w:instrText>
      </w:r>
      <w:r w:rsidR="00A6794A" w:rsidRPr="00AA43FB">
        <w:instrText xml:space="preserve"> </w:instrText>
      </w:r>
      <w:r w:rsidR="00A6794A">
        <w:rPr>
          <w:lang w:val="en-US"/>
        </w:rPr>
        <w:instrText>progression</w:instrText>
      </w:r>
      <w:r w:rsidR="00A6794A" w:rsidRPr="00AA43FB">
        <w:instrText>-</w:instrText>
      </w:r>
      <w:r w:rsidR="00A6794A">
        <w:rPr>
          <w:lang w:val="en-US"/>
        </w:rPr>
        <w:instrText>free</w:instrText>
      </w:r>
      <w:r w:rsidR="00A6794A" w:rsidRPr="00AA43FB">
        <w:instrText xml:space="preserve"> </w:instrText>
      </w:r>
      <w:r w:rsidR="00A6794A">
        <w:rPr>
          <w:lang w:val="en-US"/>
        </w:rPr>
        <w:instrText>survival</w:instrText>
      </w:r>
      <w:r w:rsidR="00A6794A" w:rsidRPr="00AA43FB">
        <w:instrText xml:space="preserve"> </w:instrText>
      </w:r>
      <w:r w:rsidR="00A6794A">
        <w:rPr>
          <w:lang w:val="en-US"/>
        </w:rPr>
        <w:instrText>and</w:instrText>
      </w:r>
      <w:r w:rsidR="00A6794A" w:rsidRPr="00AA43FB">
        <w:instrText xml:space="preserve">, </w:instrText>
      </w:r>
      <w:r w:rsidR="00A6794A">
        <w:rPr>
          <w:lang w:val="en-US"/>
        </w:rPr>
        <w:instrText>in</w:instrText>
      </w:r>
      <w:r w:rsidR="00A6794A" w:rsidRPr="00AA43FB">
        <w:instrText xml:space="preserve"> </w:instrText>
      </w:r>
      <w:r w:rsidR="00A6794A">
        <w:rPr>
          <w:lang w:val="en-US"/>
        </w:rPr>
        <w:instrText>some</w:instrText>
      </w:r>
      <w:r w:rsidR="00A6794A" w:rsidRPr="00AA43FB">
        <w:instrText xml:space="preserve"> </w:instrText>
      </w:r>
      <w:r w:rsidR="00A6794A">
        <w:rPr>
          <w:lang w:val="en-US"/>
        </w:rPr>
        <w:instrText>indications</w:instrText>
      </w:r>
      <w:r w:rsidR="00A6794A" w:rsidRPr="00AA43FB">
        <w:instrText xml:space="preserve"> </w:instrText>
      </w:r>
      <w:r w:rsidR="00A6794A">
        <w:rPr>
          <w:lang w:val="en-US"/>
        </w:rPr>
        <w:instrText>overall</w:instrText>
      </w:r>
      <w:r w:rsidR="00A6794A" w:rsidRPr="00AA43FB">
        <w:instrText xml:space="preserve"> </w:instrText>
      </w:r>
      <w:r w:rsidR="00A6794A">
        <w:rPr>
          <w:lang w:val="en-US"/>
        </w:rPr>
        <w:instrText>survival</w:instrText>
      </w:r>
      <w:r w:rsidR="00A6794A" w:rsidRPr="00AA43FB">
        <w:instrText xml:space="preserve">, </w:instrText>
      </w:r>
      <w:r w:rsidR="00A6794A">
        <w:rPr>
          <w:lang w:val="en-US"/>
        </w:rPr>
        <w:instrText>in</w:instrText>
      </w:r>
      <w:r w:rsidR="00A6794A" w:rsidRPr="00AA43FB">
        <w:instrText xml:space="preserve"> </w:instrText>
      </w:r>
      <w:r w:rsidR="00A6794A">
        <w:rPr>
          <w:lang w:val="en-US"/>
        </w:rPr>
        <w:instrText>patients</w:instrText>
      </w:r>
      <w:r w:rsidR="00A6794A" w:rsidRPr="00AA43FB">
        <w:instrText xml:space="preserve"> </w:instrText>
      </w:r>
      <w:r w:rsidR="00A6794A">
        <w:rPr>
          <w:lang w:val="en-US"/>
        </w:rPr>
        <w:instrText>with</w:instrText>
      </w:r>
      <w:r w:rsidR="00A6794A" w:rsidRPr="00AA43FB">
        <w:instrText xml:space="preserve"> </w:instrText>
      </w:r>
      <w:r w:rsidR="00A6794A">
        <w:rPr>
          <w:lang w:val="en-US"/>
        </w:rPr>
        <w:instrText>various</w:instrText>
      </w:r>
      <w:r w:rsidR="00A6794A" w:rsidRPr="00AA43FB">
        <w:instrText xml:space="preserve"> </w:instrText>
      </w:r>
      <w:r w:rsidR="00A6794A">
        <w:rPr>
          <w:lang w:val="en-US"/>
        </w:rPr>
        <w:instrText>B</w:instrText>
      </w:r>
      <w:r w:rsidR="00A6794A" w:rsidRPr="00AA43FB">
        <w:instrText>-</w:instrText>
      </w:r>
      <w:r w:rsidR="00A6794A">
        <w:rPr>
          <w:lang w:val="en-US"/>
        </w:rPr>
        <w:instrText>cell</w:instrText>
      </w:r>
      <w:r w:rsidR="00A6794A" w:rsidRPr="00AA43FB">
        <w:instrText xml:space="preserve"> </w:instrText>
      </w:r>
      <w:r w:rsidR="00A6794A">
        <w:rPr>
          <w:lang w:val="en-US"/>
        </w:rPr>
        <w:instrText>malignancies</w:instrText>
      </w:r>
      <w:r w:rsidR="00A6794A" w:rsidRPr="00AA43FB">
        <w:instrText xml:space="preserve">, </w:instrText>
      </w:r>
      <w:r w:rsidR="00A6794A">
        <w:rPr>
          <w:lang w:val="en-US"/>
        </w:rPr>
        <w:instrText>while</w:instrText>
      </w:r>
      <w:r w:rsidR="00A6794A" w:rsidRPr="00AA43FB">
        <w:instrText xml:space="preserve"> </w:instrText>
      </w:r>
      <w:r w:rsidR="00A6794A">
        <w:rPr>
          <w:lang w:val="en-US"/>
        </w:rPr>
        <w:instrText>having</w:instrText>
      </w:r>
      <w:r w:rsidR="00A6794A" w:rsidRPr="00AA43FB">
        <w:instrText xml:space="preserve"> </w:instrText>
      </w:r>
      <w:r w:rsidR="00A6794A">
        <w:rPr>
          <w:lang w:val="en-US"/>
        </w:rPr>
        <w:instrText>a</w:instrText>
      </w:r>
      <w:r w:rsidR="00A6794A" w:rsidRPr="00AA43FB">
        <w:instrText xml:space="preserve"> </w:instrText>
      </w:r>
      <w:r w:rsidR="00A6794A">
        <w:rPr>
          <w:lang w:val="en-US"/>
        </w:rPr>
        <w:instrText>well</w:instrText>
      </w:r>
      <w:r w:rsidR="00A6794A" w:rsidRPr="00AA43FB">
        <w:instrText>-</w:instrText>
      </w:r>
      <w:r w:rsidR="00A6794A">
        <w:rPr>
          <w:lang w:val="en-US"/>
        </w:rPr>
        <w:instrText>established</w:instrText>
      </w:r>
      <w:r w:rsidR="00A6794A" w:rsidRPr="00AA43FB">
        <w:instrText xml:space="preserve"> </w:instrText>
      </w:r>
      <w:r w:rsidR="00A6794A">
        <w:rPr>
          <w:lang w:val="en-US"/>
        </w:rPr>
        <w:instrText>and</w:instrText>
      </w:r>
      <w:r w:rsidR="00A6794A" w:rsidRPr="00AA43FB">
        <w:instrText xml:space="preserve"> </w:instrText>
      </w:r>
      <w:r w:rsidR="00A6794A">
        <w:rPr>
          <w:lang w:val="en-US"/>
        </w:rPr>
        <w:instrText>manageable</w:instrText>
      </w:r>
      <w:r w:rsidR="00A6794A" w:rsidRPr="00AA43FB">
        <w:instrText xml:space="preserve"> </w:instrText>
      </w:r>
      <w:r w:rsidR="00A6794A">
        <w:rPr>
          <w:lang w:val="en-US"/>
        </w:rPr>
        <w:instrText>safety</w:instrText>
      </w:r>
      <w:r w:rsidR="00A6794A" w:rsidRPr="00AA43FB">
        <w:instrText xml:space="preserve"> </w:instrText>
      </w:r>
      <w:r w:rsidR="00A6794A">
        <w:rPr>
          <w:lang w:val="en-US"/>
        </w:rPr>
        <w:instrText>profile</w:instrText>
      </w:r>
      <w:r w:rsidR="00A6794A" w:rsidRPr="00AA43FB">
        <w:instrText xml:space="preserve"> </w:instrText>
      </w:r>
      <w:r w:rsidR="00A6794A">
        <w:rPr>
          <w:lang w:val="en-US"/>
        </w:rPr>
        <w:instrText>and</w:instrText>
      </w:r>
      <w:r w:rsidR="00A6794A" w:rsidRPr="00AA43FB">
        <w:instrText xml:space="preserve"> </w:instrText>
      </w:r>
      <w:r w:rsidR="00A6794A">
        <w:rPr>
          <w:lang w:val="en-US"/>
        </w:rPr>
        <w:instrText>a</w:instrText>
      </w:r>
      <w:r w:rsidR="00A6794A" w:rsidRPr="00AA43FB">
        <w:instrText xml:space="preserve"> </w:instrText>
      </w:r>
      <w:r w:rsidR="00A6794A">
        <w:rPr>
          <w:lang w:val="en-US"/>
        </w:rPr>
        <w:instrText>wide</w:instrText>
      </w:r>
      <w:r w:rsidR="00A6794A" w:rsidRPr="00AA43FB">
        <w:instrText xml:space="preserve"> </w:instrText>
      </w:r>
      <w:r w:rsidR="00A6794A">
        <w:rPr>
          <w:lang w:val="en-US"/>
        </w:rPr>
        <w:instrText>therapeutic</w:instrText>
      </w:r>
      <w:r w:rsidR="00A6794A" w:rsidRPr="00AA43FB">
        <w:instrText xml:space="preserve"> </w:instrText>
      </w:r>
      <w:r w:rsidR="00A6794A">
        <w:rPr>
          <w:lang w:val="en-US"/>
        </w:rPr>
        <w:instrText>window</w:instrText>
      </w:r>
      <w:r w:rsidR="00A6794A" w:rsidRPr="00AA43FB">
        <w:instrText xml:space="preserve">. </w:instrText>
      </w:r>
      <w:r w:rsidR="00A6794A">
        <w:rPr>
          <w:lang w:val="en-US"/>
        </w:rPr>
        <w:instrText>As</w:instrText>
      </w:r>
      <w:r w:rsidR="00A6794A" w:rsidRPr="00AA43FB">
        <w:instrText xml:space="preserve"> </w:instrText>
      </w:r>
      <w:r w:rsidR="00A6794A">
        <w:rPr>
          <w:lang w:val="en-US"/>
        </w:rPr>
        <w:instrText>a</w:instrText>
      </w:r>
      <w:r w:rsidR="00A6794A" w:rsidRPr="00AA43FB">
        <w:instrText xml:space="preserve"> </w:instrText>
      </w:r>
      <w:r w:rsidR="00A6794A">
        <w:rPr>
          <w:lang w:val="en-US"/>
        </w:rPr>
        <w:instrText>result</w:instrText>
      </w:r>
      <w:r w:rsidR="00A6794A" w:rsidRPr="00AA43FB">
        <w:instrText xml:space="preserve">, </w:instrText>
      </w:r>
      <w:r w:rsidR="00A6794A">
        <w:rPr>
          <w:lang w:val="en-US"/>
        </w:rPr>
        <w:instrText>rituximab</w:instrText>
      </w:r>
      <w:r w:rsidR="00A6794A" w:rsidRPr="00AA43FB">
        <w:instrText xml:space="preserve"> </w:instrText>
      </w:r>
      <w:r w:rsidR="00A6794A">
        <w:rPr>
          <w:lang w:val="en-US"/>
        </w:rPr>
        <w:instrText>is</w:instrText>
      </w:r>
      <w:r w:rsidR="00A6794A" w:rsidRPr="00AA43FB">
        <w:instrText xml:space="preserve"> </w:instrText>
      </w:r>
      <w:r w:rsidR="00A6794A">
        <w:rPr>
          <w:lang w:val="en-US"/>
        </w:rPr>
        <w:instrText>considered</w:instrText>
      </w:r>
      <w:r w:rsidR="00A6794A" w:rsidRPr="00AA43FB">
        <w:instrText xml:space="preserve"> </w:instrText>
      </w:r>
      <w:r w:rsidR="00A6794A">
        <w:rPr>
          <w:lang w:val="en-US"/>
        </w:rPr>
        <w:instrText>to</w:instrText>
      </w:r>
      <w:r w:rsidR="00A6794A" w:rsidRPr="00AA43FB">
        <w:instrText xml:space="preserve"> </w:instrText>
      </w:r>
      <w:r w:rsidR="00A6794A">
        <w:rPr>
          <w:lang w:val="en-US"/>
        </w:rPr>
        <w:instrText>have</w:instrText>
      </w:r>
      <w:r w:rsidR="00A6794A" w:rsidRPr="00AA43FB">
        <w:instrText xml:space="preserve"> </w:instrText>
      </w:r>
      <w:r w:rsidR="00A6794A">
        <w:rPr>
          <w:lang w:val="en-US"/>
        </w:rPr>
        <w:instrText>revolutionized</w:instrText>
      </w:r>
      <w:r w:rsidR="00A6794A" w:rsidRPr="00AA43FB">
        <w:instrText xml:space="preserve"> </w:instrText>
      </w:r>
      <w:r w:rsidR="00A6794A">
        <w:rPr>
          <w:lang w:val="en-US"/>
        </w:rPr>
        <w:instrText>treatment</w:instrText>
      </w:r>
      <w:r w:rsidR="00A6794A" w:rsidRPr="00AA43FB">
        <w:instrText xml:space="preserve"> </w:instrText>
      </w:r>
      <w:r w:rsidR="00A6794A">
        <w:rPr>
          <w:lang w:val="en-US"/>
        </w:rPr>
        <w:instrText>practices</w:instrText>
      </w:r>
      <w:r w:rsidR="00A6794A" w:rsidRPr="00AA43FB">
        <w:instrText xml:space="preserve"> </w:instrText>
      </w:r>
      <w:r w:rsidR="00A6794A">
        <w:rPr>
          <w:lang w:val="en-US"/>
        </w:rPr>
        <w:instrText>for</w:instrText>
      </w:r>
      <w:r w:rsidR="00A6794A" w:rsidRPr="00AA43FB">
        <w:instrText xml:space="preserve"> </w:instrText>
      </w:r>
      <w:r w:rsidR="00A6794A">
        <w:rPr>
          <w:lang w:val="en-US"/>
        </w:rPr>
        <w:instrText>patients</w:instrText>
      </w:r>
      <w:r w:rsidR="00A6794A" w:rsidRPr="00AA43FB">
        <w:instrText xml:space="preserve"> </w:instrText>
      </w:r>
      <w:r w:rsidR="00A6794A">
        <w:rPr>
          <w:lang w:val="en-US"/>
        </w:rPr>
        <w:instrText>with</w:instrText>
      </w:r>
      <w:r w:rsidR="00A6794A" w:rsidRPr="00AA43FB">
        <w:instrText xml:space="preserve"> </w:instrText>
      </w:r>
      <w:r w:rsidR="00A6794A">
        <w:rPr>
          <w:lang w:val="en-US"/>
        </w:rPr>
        <w:instrText>B</w:instrText>
      </w:r>
      <w:r w:rsidR="00A6794A" w:rsidRPr="00AA43FB">
        <w:instrText>-</w:instrText>
      </w:r>
      <w:r w:rsidR="00A6794A">
        <w:rPr>
          <w:lang w:val="en-US"/>
        </w:rPr>
        <w:instrText>cell</w:instrText>
      </w:r>
      <w:r w:rsidR="00A6794A" w:rsidRPr="00AA43FB">
        <w:instrText xml:space="preserve"> </w:instrText>
      </w:r>
      <w:r w:rsidR="00A6794A">
        <w:rPr>
          <w:lang w:val="en-US"/>
        </w:rPr>
        <w:instrText>malignancies</w:instrText>
      </w:r>
      <w:r w:rsidR="00A6794A" w:rsidRPr="00AA43FB">
        <w:instrText xml:space="preserve">. </w:instrText>
      </w:r>
      <w:r w:rsidR="00A6794A">
        <w:rPr>
          <w:lang w:val="en-US"/>
        </w:rPr>
        <w:instrText>A</w:instrText>
      </w:r>
      <w:r w:rsidR="00A6794A" w:rsidRPr="00AA43FB">
        <w:instrText xml:space="preserve"> </w:instrText>
      </w:r>
      <w:r w:rsidR="00A6794A">
        <w:rPr>
          <w:lang w:val="en-US"/>
        </w:rPr>
        <w:instrText>subcutaneous</w:instrText>
      </w:r>
      <w:r w:rsidR="00A6794A" w:rsidRPr="00AA43FB">
        <w:instrText xml:space="preserve"> (</w:instrText>
      </w:r>
      <w:r w:rsidR="00A6794A">
        <w:rPr>
          <w:lang w:val="en-US"/>
        </w:rPr>
        <w:instrText>SC</w:instrText>
      </w:r>
      <w:r w:rsidR="00A6794A" w:rsidRPr="00AA43FB">
        <w:instrText xml:space="preserve">) </w:instrText>
      </w:r>
      <w:r w:rsidR="00A6794A">
        <w:rPr>
          <w:lang w:val="en-US"/>
        </w:rPr>
        <w:instrText>formulation</w:instrText>
      </w:r>
      <w:r w:rsidR="00A6794A" w:rsidRPr="00AA43FB">
        <w:instrText xml:space="preserve"> </w:instrText>
      </w:r>
      <w:r w:rsidR="00A6794A">
        <w:rPr>
          <w:lang w:val="en-US"/>
        </w:rPr>
        <w:instrText>of</w:instrText>
      </w:r>
      <w:r w:rsidR="00A6794A" w:rsidRPr="00AA43FB">
        <w:instrText xml:space="preserve"> </w:instrText>
      </w:r>
      <w:r w:rsidR="00A6794A">
        <w:rPr>
          <w:lang w:val="en-US"/>
        </w:rPr>
        <w:instrText>rituximab</w:instrText>
      </w:r>
      <w:r w:rsidR="00A6794A" w:rsidRPr="00AA43FB">
        <w:instrText xml:space="preserve"> </w:instrText>
      </w:r>
      <w:r w:rsidR="00A6794A">
        <w:rPr>
          <w:lang w:val="en-US"/>
        </w:rPr>
        <w:instrText>has</w:instrText>
      </w:r>
      <w:r w:rsidR="00A6794A" w:rsidRPr="00AA43FB">
        <w:instrText xml:space="preserve"> </w:instrText>
      </w:r>
      <w:r w:rsidR="00A6794A">
        <w:rPr>
          <w:lang w:val="en-US"/>
        </w:rPr>
        <w:instrText>been</w:instrText>
      </w:r>
      <w:r w:rsidR="00A6794A" w:rsidRPr="00AA43FB">
        <w:instrText xml:space="preserve"> </w:instrText>
      </w:r>
      <w:r w:rsidR="00A6794A">
        <w:rPr>
          <w:lang w:val="en-US"/>
        </w:rPr>
        <w:instrText>developed</w:instrText>
      </w:r>
      <w:r w:rsidR="00A6794A" w:rsidRPr="00AA43FB">
        <w:instrText xml:space="preserve">, </w:instrText>
      </w:r>
      <w:r w:rsidR="00A6794A">
        <w:rPr>
          <w:lang w:val="en-US"/>
        </w:rPr>
        <w:instrText>comprising</w:instrText>
      </w:r>
      <w:r w:rsidR="00A6794A" w:rsidRPr="00AA43FB">
        <w:instrText xml:space="preserve"> </w:instrText>
      </w:r>
      <w:r w:rsidR="00A6794A">
        <w:rPr>
          <w:lang w:val="en-US"/>
        </w:rPr>
        <w:instrText>the</w:instrText>
      </w:r>
      <w:r w:rsidR="00A6794A" w:rsidRPr="00AA43FB">
        <w:instrText xml:space="preserve"> </w:instrText>
      </w:r>
      <w:r w:rsidR="00A6794A">
        <w:rPr>
          <w:lang w:val="en-US"/>
        </w:rPr>
        <w:instrText>same</w:instrText>
      </w:r>
      <w:r w:rsidR="00A6794A" w:rsidRPr="00AA43FB">
        <w:instrText xml:space="preserve"> </w:instrText>
      </w:r>
      <w:r w:rsidR="00A6794A">
        <w:rPr>
          <w:lang w:val="en-US"/>
        </w:rPr>
        <w:instrText>monoclonal</w:instrText>
      </w:r>
      <w:r w:rsidR="00A6794A" w:rsidRPr="00AA43FB">
        <w:instrText xml:space="preserve"> </w:instrText>
      </w:r>
      <w:r w:rsidR="00A6794A">
        <w:rPr>
          <w:lang w:val="en-US"/>
        </w:rPr>
        <w:instrText>antibody</w:instrText>
      </w:r>
      <w:r w:rsidR="00A6794A" w:rsidRPr="00AA43FB">
        <w:instrText xml:space="preserve"> </w:instrText>
      </w:r>
      <w:r w:rsidR="00A6794A">
        <w:rPr>
          <w:lang w:val="en-US"/>
        </w:rPr>
        <w:instrText>as</w:instrText>
      </w:r>
      <w:r w:rsidR="00A6794A" w:rsidRPr="00AA43FB">
        <w:instrText xml:space="preserve"> </w:instrText>
      </w:r>
      <w:r w:rsidR="00A6794A">
        <w:rPr>
          <w:lang w:val="en-US"/>
        </w:rPr>
        <w:instrText>the</w:instrText>
      </w:r>
      <w:r w:rsidR="00A6794A" w:rsidRPr="00AA43FB">
        <w:instrText xml:space="preserve"> </w:instrText>
      </w:r>
      <w:r w:rsidR="00A6794A">
        <w:rPr>
          <w:lang w:val="en-US"/>
        </w:rPr>
        <w:instrText>originally</w:instrText>
      </w:r>
      <w:r w:rsidR="00A6794A" w:rsidRPr="00AA43FB">
        <w:instrText xml:space="preserve"> </w:instrText>
      </w:r>
      <w:r w:rsidR="00A6794A">
        <w:rPr>
          <w:lang w:val="en-US"/>
        </w:rPr>
        <w:instrText>marketed</w:instrText>
      </w:r>
      <w:r w:rsidR="00A6794A" w:rsidRPr="00AA43FB">
        <w:instrText xml:space="preserve"> </w:instrText>
      </w:r>
      <w:r w:rsidR="00A6794A">
        <w:rPr>
          <w:lang w:val="en-US"/>
        </w:rPr>
        <w:instrText>formulation</w:instrText>
      </w:r>
      <w:r w:rsidR="00A6794A" w:rsidRPr="00AA43FB">
        <w:instrText xml:space="preserve"> [</w:instrText>
      </w:r>
      <w:r w:rsidR="00A6794A">
        <w:rPr>
          <w:lang w:val="en-US"/>
        </w:rPr>
        <w:instrText>rituximab</w:instrText>
      </w:r>
      <w:r w:rsidR="00A6794A" w:rsidRPr="00AA43FB">
        <w:instrText xml:space="preserve"> </w:instrText>
      </w:r>
      <w:r w:rsidR="00A6794A">
        <w:rPr>
          <w:lang w:val="en-US"/>
        </w:rPr>
        <w:instrText>concentrate</w:instrText>
      </w:r>
      <w:r w:rsidR="00A6794A" w:rsidRPr="00AA43FB">
        <w:instrText xml:space="preserve"> </w:instrText>
      </w:r>
      <w:r w:rsidR="00A6794A">
        <w:rPr>
          <w:lang w:val="en-US"/>
        </w:rPr>
        <w:instrText>for</w:instrText>
      </w:r>
      <w:r w:rsidR="00A6794A" w:rsidRPr="00AA43FB">
        <w:instrText xml:space="preserve"> </w:instrText>
      </w:r>
      <w:r w:rsidR="00A6794A">
        <w:rPr>
          <w:lang w:val="en-US"/>
        </w:rPr>
        <w:instrText>solution</w:instrText>
      </w:r>
      <w:r w:rsidR="00A6794A" w:rsidRPr="00AA43FB">
        <w:instrText xml:space="preserve"> </w:instrText>
      </w:r>
      <w:r w:rsidR="00A6794A">
        <w:rPr>
          <w:lang w:val="en-US"/>
        </w:rPr>
        <w:instrText>for</w:instrText>
      </w:r>
      <w:r w:rsidR="00A6794A" w:rsidRPr="00AA43FB">
        <w:instrText xml:space="preserve"> </w:instrText>
      </w:r>
      <w:r w:rsidR="00A6794A">
        <w:rPr>
          <w:lang w:val="en-US"/>
        </w:rPr>
        <w:instrText>intravenous</w:instrText>
      </w:r>
      <w:r w:rsidR="00A6794A" w:rsidRPr="00AA43FB">
        <w:instrText xml:space="preserve"> (</w:instrText>
      </w:r>
      <w:r w:rsidR="00A6794A">
        <w:rPr>
          <w:lang w:val="en-US"/>
        </w:rPr>
        <w:instrText>IV</w:instrText>
      </w:r>
      <w:r w:rsidR="00A6794A" w:rsidRPr="00AA43FB">
        <w:instrText xml:space="preserve">) </w:instrText>
      </w:r>
      <w:r w:rsidR="00A6794A">
        <w:rPr>
          <w:lang w:val="en-US"/>
        </w:rPr>
        <w:instrText>infusion</w:instrText>
      </w:r>
      <w:r w:rsidR="00A6794A" w:rsidRPr="00AA43FB">
        <w:instrText xml:space="preserve">], </w:instrText>
      </w:r>
      <w:r w:rsidR="00A6794A">
        <w:rPr>
          <w:lang w:val="en-US"/>
        </w:rPr>
        <w:instrText>and</w:instrText>
      </w:r>
      <w:r w:rsidR="00A6794A" w:rsidRPr="00AA43FB">
        <w:instrText xml:space="preserve"> </w:instrText>
      </w:r>
      <w:r w:rsidR="00A6794A">
        <w:rPr>
          <w:lang w:val="en-US"/>
        </w:rPr>
        <w:instrText>has</w:instrText>
      </w:r>
      <w:r w:rsidR="00A6794A" w:rsidRPr="00AA43FB">
        <w:instrText xml:space="preserve"> </w:instrText>
      </w:r>
      <w:r w:rsidR="00A6794A">
        <w:rPr>
          <w:lang w:val="en-US"/>
        </w:rPr>
        <w:instrText>undergone</w:instrText>
      </w:r>
      <w:r w:rsidR="00A6794A" w:rsidRPr="00AA43FB">
        <w:instrText xml:space="preserve"> </w:instrText>
      </w:r>
      <w:r w:rsidR="00A6794A">
        <w:rPr>
          <w:lang w:val="en-US"/>
        </w:rPr>
        <w:instrText>a</w:instrText>
      </w:r>
      <w:r w:rsidR="00A6794A" w:rsidRPr="00AA43FB">
        <w:instrText xml:space="preserve"> </w:instrText>
      </w:r>
      <w:r w:rsidR="00A6794A">
        <w:rPr>
          <w:lang w:val="en-US"/>
        </w:rPr>
        <w:instrText>detailed</w:instrText>
      </w:r>
      <w:r w:rsidR="00A6794A" w:rsidRPr="00AA43FB">
        <w:instrText xml:space="preserve">, </w:instrText>
      </w:r>
      <w:r w:rsidR="00A6794A">
        <w:rPr>
          <w:lang w:val="en-US"/>
        </w:rPr>
        <w:instrText>sequential</w:instrText>
      </w:r>
      <w:r w:rsidR="00A6794A" w:rsidRPr="00AA43FB">
        <w:instrText xml:space="preserve"> </w:instrText>
      </w:r>
      <w:r w:rsidR="00A6794A">
        <w:rPr>
          <w:lang w:val="en-US"/>
        </w:rPr>
        <w:instrText>clinical</w:instrText>
      </w:r>
      <w:r w:rsidR="00A6794A" w:rsidRPr="00AA43FB">
        <w:instrText xml:space="preserve"> </w:instrText>
      </w:r>
      <w:r w:rsidR="00A6794A">
        <w:rPr>
          <w:lang w:val="en-US"/>
        </w:rPr>
        <w:instrText>development</w:instrText>
      </w:r>
      <w:r w:rsidR="00A6794A" w:rsidRPr="00AA43FB">
        <w:instrText xml:space="preserve"> </w:instrText>
      </w:r>
      <w:r w:rsidR="00A6794A">
        <w:rPr>
          <w:lang w:val="en-US"/>
        </w:rPr>
        <w:instrText>program</w:instrText>
      </w:r>
      <w:r w:rsidR="00A6794A" w:rsidRPr="00AA43FB">
        <w:instrText xml:space="preserve">. </w:instrText>
      </w:r>
      <w:r w:rsidR="00A6794A">
        <w:rPr>
          <w:lang w:val="en-US"/>
        </w:rPr>
        <w:instrText>This</w:instrText>
      </w:r>
      <w:r w:rsidR="00A6794A" w:rsidRPr="00AA43FB">
        <w:instrText xml:space="preserve"> </w:instrText>
      </w:r>
      <w:r w:rsidR="00A6794A">
        <w:rPr>
          <w:lang w:val="en-US"/>
        </w:rPr>
        <w:instrText>program</w:instrText>
      </w:r>
      <w:r w:rsidR="00A6794A" w:rsidRPr="00AA43FB">
        <w:instrText xml:space="preserve"> </w:instrText>
      </w:r>
      <w:r w:rsidR="00A6794A">
        <w:rPr>
          <w:lang w:val="en-US"/>
        </w:rPr>
        <w:instrText>demonstrated</w:instrText>
      </w:r>
      <w:r w:rsidR="00A6794A" w:rsidRPr="00AA43FB">
        <w:instrText xml:space="preserve"> </w:instrText>
      </w:r>
      <w:r w:rsidR="00A6794A">
        <w:rPr>
          <w:lang w:val="en-US"/>
        </w:rPr>
        <w:instrText>that</w:instrText>
      </w:r>
      <w:r w:rsidR="00A6794A" w:rsidRPr="00AA43FB">
        <w:instrText xml:space="preserve">, </w:instrText>
      </w:r>
      <w:r w:rsidR="00A6794A">
        <w:rPr>
          <w:lang w:val="en-US"/>
        </w:rPr>
        <w:instrText>at</w:instrText>
      </w:r>
      <w:r w:rsidR="00A6794A" w:rsidRPr="00AA43FB">
        <w:instrText xml:space="preserve"> </w:instrText>
      </w:r>
      <w:r w:rsidR="00A6794A">
        <w:rPr>
          <w:lang w:val="en-US"/>
        </w:rPr>
        <w:instrText>fixed</w:instrText>
      </w:r>
      <w:r w:rsidR="00A6794A" w:rsidRPr="00AA43FB">
        <w:instrText xml:space="preserve"> </w:instrText>
      </w:r>
      <w:r w:rsidR="00A6794A">
        <w:rPr>
          <w:lang w:val="en-US"/>
        </w:rPr>
        <w:instrText>doses</w:instrText>
      </w:r>
      <w:r w:rsidR="00A6794A" w:rsidRPr="00AA43FB">
        <w:instrText xml:space="preserve">, </w:instrText>
      </w:r>
      <w:r w:rsidR="00A6794A">
        <w:rPr>
          <w:lang w:val="en-US"/>
        </w:rPr>
        <w:instrText>rituximab</w:instrText>
      </w:r>
      <w:r w:rsidR="00A6794A" w:rsidRPr="00AA43FB">
        <w:instrText xml:space="preserve"> </w:instrText>
      </w:r>
      <w:r w:rsidR="00A6794A">
        <w:rPr>
          <w:lang w:val="en-US"/>
        </w:rPr>
        <w:instrText>SC</w:instrText>
      </w:r>
      <w:r w:rsidR="00A6794A" w:rsidRPr="00AA43FB">
        <w:instrText xml:space="preserve"> </w:instrText>
      </w:r>
      <w:r w:rsidR="00A6794A">
        <w:rPr>
          <w:lang w:val="en-US"/>
        </w:rPr>
        <w:instrText>achieves</w:instrText>
      </w:r>
      <w:r w:rsidR="00A6794A" w:rsidRPr="00AA43FB">
        <w:instrText xml:space="preserve"> </w:instrText>
      </w:r>
      <w:r w:rsidR="00A6794A">
        <w:rPr>
          <w:lang w:val="en-US"/>
        </w:rPr>
        <w:instrText>non</w:instrText>
      </w:r>
      <w:r w:rsidR="00A6794A" w:rsidRPr="00AA43FB">
        <w:instrText>-</w:instrText>
      </w:r>
      <w:r w:rsidR="00A6794A">
        <w:rPr>
          <w:lang w:val="en-US"/>
        </w:rPr>
        <w:instrText>inferior</w:instrText>
      </w:r>
      <w:r w:rsidR="00A6794A" w:rsidRPr="00AA43FB">
        <w:instrText xml:space="preserve"> </w:instrText>
      </w:r>
      <w:r w:rsidR="00A6794A">
        <w:rPr>
          <w:lang w:val="en-US"/>
        </w:rPr>
        <w:instrText>serum</w:instrText>
      </w:r>
      <w:r w:rsidR="00A6794A" w:rsidRPr="00AA43FB">
        <w:instrText xml:space="preserve"> </w:instrText>
      </w:r>
      <w:r w:rsidR="00A6794A">
        <w:rPr>
          <w:lang w:val="en-US"/>
        </w:rPr>
        <w:instrText>trough</w:instrText>
      </w:r>
      <w:r w:rsidR="00A6794A" w:rsidRPr="00AA43FB">
        <w:instrText xml:space="preserve"> </w:instrText>
      </w:r>
      <w:r w:rsidR="00A6794A">
        <w:rPr>
          <w:lang w:val="en-US"/>
        </w:rPr>
        <w:instrText>concentrations</w:instrText>
      </w:r>
      <w:r w:rsidR="00A6794A" w:rsidRPr="00AA43FB">
        <w:instrText xml:space="preserve"> </w:instrText>
      </w:r>
      <w:r w:rsidR="00A6794A">
        <w:rPr>
          <w:lang w:val="en-US"/>
        </w:rPr>
        <w:instrText>in</w:instrText>
      </w:r>
      <w:r w:rsidR="00A6794A" w:rsidRPr="00AA43FB">
        <w:instrText xml:space="preserve"> </w:instrText>
      </w:r>
      <w:r w:rsidR="00A6794A">
        <w:rPr>
          <w:lang w:val="en-US"/>
        </w:rPr>
        <w:instrText>patients</w:instrText>
      </w:r>
      <w:r w:rsidR="00A6794A" w:rsidRPr="00AA43FB">
        <w:instrText xml:space="preserve"> </w:instrText>
      </w:r>
      <w:r w:rsidR="00A6794A">
        <w:rPr>
          <w:lang w:val="en-US"/>
        </w:rPr>
        <w:instrText>with</w:instrText>
      </w:r>
      <w:r w:rsidR="00A6794A" w:rsidRPr="00AA43FB">
        <w:instrText xml:space="preserve"> </w:instrText>
      </w:r>
      <w:r w:rsidR="00A6794A">
        <w:rPr>
          <w:lang w:val="en-US"/>
        </w:rPr>
        <w:instrText>non</w:instrText>
      </w:r>
      <w:r w:rsidR="00A6794A" w:rsidRPr="00AA43FB">
        <w:instrText>-</w:instrText>
      </w:r>
      <w:r w:rsidR="00A6794A">
        <w:rPr>
          <w:lang w:val="en-US"/>
        </w:rPr>
        <w:instrText>Hodgkin</w:instrText>
      </w:r>
      <w:r w:rsidR="00A6794A" w:rsidRPr="00AA43FB">
        <w:instrText xml:space="preserve"> </w:instrText>
      </w:r>
      <w:r w:rsidR="00A6794A">
        <w:rPr>
          <w:lang w:val="en-US"/>
        </w:rPr>
        <w:instrText>lymphoma</w:instrText>
      </w:r>
      <w:r w:rsidR="00A6794A" w:rsidRPr="00AA43FB">
        <w:instrText xml:space="preserve"> </w:instrText>
      </w:r>
      <w:r w:rsidR="00A6794A">
        <w:rPr>
          <w:lang w:val="en-US"/>
        </w:rPr>
        <w:instrText>and</w:instrText>
      </w:r>
      <w:r w:rsidR="00A6794A" w:rsidRPr="00AA43FB">
        <w:instrText xml:space="preserve"> </w:instrText>
      </w:r>
      <w:r w:rsidR="00A6794A">
        <w:rPr>
          <w:lang w:val="en-US"/>
        </w:rPr>
        <w:instrText>chronic</w:instrText>
      </w:r>
      <w:r w:rsidR="00A6794A" w:rsidRPr="00AA43FB">
        <w:instrText xml:space="preserve"> </w:instrText>
      </w:r>
      <w:r w:rsidR="00A6794A">
        <w:rPr>
          <w:lang w:val="en-US"/>
        </w:rPr>
        <w:instrText>lymphocytic</w:instrText>
      </w:r>
      <w:r w:rsidR="00A6794A" w:rsidRPr="00AA43FB">
        <w:instrText xml:space="preserve"> </w:instrText>
      </w:r>
      <w:r w:rsidR="00A6794A">
        <w:rPr>
          <w:lang w:val="en-US"/>
        </w:rPr>
        <w:instrText>leukemia</w:instrText>
      </w:r>
      <w:r w:rsidR="00A6794A" w:rsidRPr="00AA43FB">
        <w:instrText xml:space="preserve">, </w:instrText>
      </w:r>
      <w:r w:rsidR="00A6794A">
        <w:rPr>
          <w:lang w:val="en-US"/>
        </w:rPr>
        <w:instrText>with</w:instrText>
      </w:r>
      <w:r w:rsidR="00A6794A" w:rsidRPr="00AA43FB">
        <w:instrText xml:space="preserve"> </w:instrText>
      </w:r>
      <w:r w:rsidR="00A6794A">
        <w:rPr>
          <w:lang w:val="en-US"/>
        </w:rPr>
        <w:instrText>comparable</w:instrText>
      </w:r>
      <w:r w:rsidR="00A6794A" w:rsidRPr="00AA43FB">
        <w:instrText xml:space="preserve"> </w:instrText>
      </w:r>
      <w:r w:rsidR="00A6794A">
        <w:rPr>
          <w:lang w:val="en-US"/>
        </w:rPr>
        <w:instrText>efficacy</w:instrText>
      </w:r>
      <w:r w:rsidR="00A6794A" w:rsidRPr="00AA43FB">
        <w:instrText xml:space="preserve"> </w:instrText>
      </w:r>
      <w:r w:rsidR="00A6794A">
        <w:rPr>
          <w:lang w:val="en-US"/>
        </w:rPr>
        <w:instrText>and</w:instrText>
      </w:r>
      <w:r w:rsidR="00A6794A" w:rsidRPr="00AA43FB">
        <w:instrText xml:space="preserve"> </w:instrText>
      </w:r>
      <w:r w:rsidR="00A6794A">
        <w:rPr>
          <w:lang w:val="en-US"/>
        </w:rPr>
        <w:instrText>safety</w:instrText>
      </w:r>
      <w:r w:rsidR="00A6794A" w:rsidRPr="00AA43FB">
        <w:instrText xml:space="preserve"> </w:instrText>
      </w:r>
      <w:r w:rsidR="00A6794A">
        <w:rPr>
          <w:lang w:val="en-US"/>
        </w:rPr>
        <w:instrText>relative</w:instrText>
      </w:r>
      <w:r w:rsidR="00A6794A" w:rsidRPr="00AA43FB">
        <w:instrText xml:space="preserve"> </w:instrText>
      </w:r>
      <w:r w:rsidR="00A6794A">
        <w:rPr>
          <w:lang w:val="en-US"/>
        </w:rPr>
        <w:instrText>to</w:instrText>
      </w:r>
      <w:r w:rsidR="00A6794A" w:rsidRPr="00AA43FB">
        <w:instrText xml:space="preserve"> </w:instrText>
      </w:r>
      <w:r w:rsidR="00A6794A">
        <w:rPr>
          <w:lang w:val="en-US"/>
        </w:rPr>
        <w:instrText>the</w:instrText>
      </w:r>
      <w:r w:rsidR="00A6794A" w:rsidRPr="00AA43FB">
        <w:instrText xml:space="preserve"> </w:instrText>
      </w:r>
      <w:r w:rsidR="00A6794A">
        <w:rPr>
          <w:lang w:val="en-US"/>
        </w:rPr>
        <w:instrText>IV</w:instrText>
      </w:r>
      <w:r w:rsidR="00A6794A" w:rsidRPr="00AA43FB">
        <w:instrText xml:space="preserve"> </w:instrText>
      </w:r>
      <w:r w:rsidR="00A6794A">
        <w:rPr>
          <w:lang w:val="en-US"/>
        </w:rPr>
        <w:instrText>formulation</w:instrText>
      </w:r>
      <w:r w:rsidR="00A6794A" w:rsidRPr="00AA43FB">
        <w:instrText xml:space="preserve">. </w:instrText>
      </w:r>
      <w:r w:rsidR="00A6794A">
        <w:rPr>
          <w:lang w:val="en-US"/>
        </w:rPr>
        <w:instrText>The</w:instrText>
      </w:r>
      <w:r w:rsidR="00A6794A" w:rsidRPr="00AA43FB">
        <w:instrText xml:space="preserve"> </w:instrText>
      </w:r>
      <w:r w:rsidR="00A6794A">
        <w:rPr>
          <w:lang w:val="en-US"/>
        </w:rPr>
        <w:instrText>added</w:instrText>
      </w:r>
      <w:r w:rsidR="00A6794A" w:rsidRPr="00AA43FB">
        <w:instrText xml:space="preserve"> </w:instrText>
      </w:r>
      <w:r w:rsidR="00A6794A">
        <w:rPr>
          <w:lang w:val="en-US"/>
        </w:rPr>
        <w:instrText>benefit</w:instrText>
      </w:r>
      <w:r w:rsidR="00A6794A" w:rsidRPr="00AA43FB">
        <w:instrText xml:space="preserve"> </w:instrText>
      </w:r>
      <w:r w:rsidR="00A6794A">
        <w:rPr>
          <w:lang w:val="en-US"/>
        </w:rPr>
        <w:instrText>of</w:instrText>
      </w:r>
      <w:r w:rsidR="00A6794A" w:rsidRPr="00AA43FB">
        <w:instrText xml:space="preserve"> </w:instrText>
      </w:r>
      <w:r w:rsidR="00A6794A">
        <w:rPr>
          <w:lang w:val="en-US"/>
        </w:rPr>
        <w:instrText>rituximab</w:instrText>
      </w:r>
      <w:r w:rsidR="00A6794A" w:rsidRPr="00AA43FB">
        <w:instrText xml:space="preserve"> </w:instrText>
      </w:r>
      <w:r w:rsidR="00A6794A">
        <w:rPr>
          <w:lang w:val="en-US"/>
        </w:rPr>
        <w:instrText>SC</w:instrText>
      </w:r>
      <w:r w:rsidR="00A6794A" w:rsidRPr="00AA43FB">
        <w:instrText xml:space="preserve"> </w:instrText>
      </w:r>
      <w:r w:rsidR="00A6794A">
        <w:rPr>
          <w:lang w:val="en-US"/>
        </w:rPr>
        <w:instrText>was</w:instrText>
      </w:r>
      <w:r w:rsidR="00A6794A" w:rsidRPr="00AA43FB">
        <w:instrText xml:space="preserve"> </w:instrText>
      </w:r>
      <w:r w:rsidR="00A6794A">
        <w:rPr>
          <w:lang w:val="en-US"/>
        </w:rPr>
        <w:instrText>demonstrated</w:instrText>
      </w:r>
      <w:r w:rsidR="00A6794A" w:rsidRPr="00AA43FB">
        <w:instrText xml:space="preserve"> </w:instrText>
      </w:r>
      <w:r w:rsidR="00A6794A">
        <w:rPr>
          <w:lang w:val="en-US"/>
        </w:rPr>
        <w:instrText>in</w:instrText>
      </w:r>
      <w:r w:rsidR="00A6794A" w:rsidRPr="00AA43FB">
        <w:instrText xml:space="preserve"> </w:instrText>
      </w:r>
      <w:r w:rsidR="00A6794A">
        <w:rPr>
          <w:lang w:val="en-US"/>
        </w:rPr>
        <w:instrText>dedicated</w:instrText>
      </w:r>
      <w:r w:rsidR="00A6794A" w:rsidRPr="00AA43FB">
        <w:instrText xml:space="preserve"> </w:instrText>
      </w:r>
      <w:r w:rsidR="00A6794A">
        <w:rPr>
          <w:lang w:val="en-US"/>
        </w:rPr>
        <w:instrText>studies</w:instrText>
      </w:r>
      <w:r w:rsidR="00A6794A" w:rsidRPr="00AA43FB">
        <w:instrText xml:space="preserve"> </w:instrText>
      </w:r>
      <w:r w:rsidR="00A6794A">
        <w:rPr>
          <w:lang w:val="en-US"/>
        </w:rPr>
        <w:instrText>showing</w:instrText>
      </w:r>
      <w:r w:rsidR="00A6794A" w:rsidRPr="00AA43FB">
        <w:instrText xml:space="preserve"> </w:instrText>
      </w:r>
      <w:r w:rsidR="00A6794A">
        <w:rPr>
          <w:lang w:val="en-US"/>
        </w:rPr>
        <w:instrText>that</w:instrText>
      </w:r>
      <w:r w:rsidR="00A6794A" w:rsidRPr="00AA43FB">
        <w:instrText xml:space="preserve"> </w:instrText>
      </w:r>
      <w:r w:rsidR="00A6794A">
        <w:rPr>
          <w:lang w:val="en-US"/>
        </w:rPr>
        <w:instrText>rituximab</w:instrText>
      </w:r>
      <w:r w:rsidR="00A6794A" w:rsidRPr="00AA43FB">
        <w:instrText xml:space="preserve"> </w:instrText>
      </w:r>
      <w:r w:rsidR="00A6794A">
        <w:rPr>
          <w:lang w:val="en-US"/>
        </w:rPr>
        <w:instrText>SC</w:instrText>
      </w:r>
      <w:r w:rsidR="00A6794A" w:rsidRPr="00AA43FB">
        <w:instrText xml:space="preserve"> </w:instrText>
      </w:r>
      <w:r w:rsidR="00A6794A">
        <w:rPr>
          <w:lang w:val="en-US"/>
        </w:rPr>
        <w:instrText>allows</w:instrText>
      </w:r>
      <w:r w:rsidR="00A6794A" w:rsidRPr="00AA43FB">
        <w:instrText xml:space="preserve"> </w:instrText>
      </w:r>
      <w:r w:rsidR="00A6794A">
        <w:rPr>
          <w:lang w:val="en-US"/>
        </w:rPr>
        <w:instrText>for</w:instrText>
      </w:r>
      <w:r w:rsidR="00A6794A" w:rsidRPr="00AA43FB">
        <w:instrText xml:space="preserve"> </w:instrText>
      </w:r>
      <w:r w:rsidR="00A6794A">
        <w:rPr>
          <w:lang w:val="en-US"/>
        </w:rPr>
        <w:instrText>simplified</w:instrText>
      </w:r>
      <w:r w:rsidR="00A6794A" w:rsidRPr="00AA43FB">
        <w:instrText xml:space="preserve"> </w:instrText>
      </w:r>
      <w:r w:rsidR="00A6794A">
        <w:rPr>
          <w:lang w:val="en-US"/>
        </w:rPr>
        <w:instrText>and</w:instrText>
      </w:r>
      <w:r w:rsidR="00A6794A" w:rsidRPr="00AA43FB">
        <w:instrText xml:space="preserve"> </w:instrText>
      </w:r>
      <w:r w:rsidR="00A6794A">
        <w:rPr>
          <w:lang w:val="en-US"/>
        </w:rPr>
        <w:instrText>shortened</w:instrText>
      </w:r>
      <w:r w:rsidR="00A6794A" w:rsidRPr="00AA43FB">
        <w:instrText xml:space="preserve"> </w:instrText>
      </w:r>
      <w:r w:rsidR="00A6794A">
        <w:rPr>
          <w:lang w:val="en-US"/>
        </w:rPr>
        <w:instrText>drug</w:instrText>
      </w:r>
      <w:r w:rsidR="00A6794A" w:rsidRPr="00AA43FB">
        <w:instrText xml:space="preserve"> </w:instrText>
      </w:r>
      <w:r w:rsidR="00A6794A">
        <w:rPr>
          <w:lang w:val="en-US"/>
        </w:rPr>
        <w:instrText>preparation</w:instrText>
      </w:r>
      <w:r w:rsidR="00A6794A" w:rsidRPr="00AA43FB">
        <w:instrText xml:space="preserve"> </w:instrText>
      </w:r>
      <w:r w:rsidR="00A6794A">
        <w:rPr>
          <w:lang w:val="en-US"/>
        </w:rPr>
        <w:instrText>and</w:instrText>
      </w:r>
      <w:r w:rsidR="00A6794A" w:rsidRPr="00AA43FB">
        <w:instrText xml:space="preserve"> </w:instrText>
      </w:r>
      <w:r w:rsidR="00A6794A">
        <w:rPr>
          <w:lang w:val="en-US"/>
        </w:rPr>
        <w:instrText>administration</w:instrText>
      </w:r>
      <w:r w:rsidR="00A6794A" w:rsidRPr="00AA43FB">
        <w:instrText xml:space="preserve"> </w:instrText>
      </w:r>
      <w:r w:rsidR="00A6794A">
        <w:rPr>
          <w:lang w:val="en-US"/>
        </w:rPr>
        <w:instrText>times</w:instrText>
      </w:r>
      <w:r w:rsidR="00A6794A" w:rsidRPr="00AA43FB">
        <w:instrText xml:space="preserve"> </w:instrText>
      </w:r>
      <w:r w:rsidR="00A6794A">
        <w:rPr>
          <w:lang w:val="en-US"/>
        </w:rPr>
        <w:instrText>resulting</w:instrText>
      </w:r>
      <w:r w:rsidR="00A6794A" w:rsidRPr="00AA43FB">
        <w:instrText xml:space="preserve"> </w:instrText>
      </w:r>
      <w:r w:rsidR="00A6794A">
        <w:rPr>
          <w:lang w:val="en-US"/>
        </w:rPr>
        <w:instrText>in</w:instrText>
      </w:r>
      <w:r w:rsidR="00A6794A" w:rsidRPr="00AA43FB">
        <w:instrText xml:space="preserve"> </w:instrText>
      </w:r>
      <w:r w:rsidR="00A6794A">
        <w:rPr>
          <w:lang w:val="en-US"/>
        </w:rPr>
        <w:instrText>a</w:instrText>
      </w:r>
      <w:r w:rsidR="00A6794A" w:rsidRPr="00AA43FB">
        <w:instrText xml:space="preserve"> </w:instrText>
      </w:r>
      <w:r w:rsidR="00A6794A">
        <w:rPr>
          <w:lang w:val="en-US"/>
        </w:rPr>
        <w:instrText>reduced</w:instrText>
      </w:r>
      <w:r w:rsidR="00A6794A" w:rsidRPr="00AA43FB">
        <w:instrText xml:space="preserve"> </w:instrText>
      </w:r>
      <w:r w:rsidR="00A6794A">
        <w:rPr>
          <w:lang w:val="en-US"/>
        </w:rPr>
        <w:instrText>treatment</w:instrText>
      </w:r>
      <w:r w:rsidR="00A6794A" w:rsidRPr="00AA43FB">
        <w:instrText xml:space="preserve"> </w:instrText>
      </w:r>
      <w:r w:rsidR="00A6794A">
        <w:rPr>
          <w:lang w:val="en-US"/>
        </w:rPr>
        <w:instrText>burden</w:instrText>
      </w:r>
      <w:r w:rsidR="00A6794A" w:rsidRPr="00AA43FB">
        <w:instrText xml:space="preserve"> </w:instrText>
      </w:r>
      <w:r w:rsidR="00A6794A">
        <w:rPr>
          <w:lang w:val="en-US"/>
        </w:rPr>
        <w:instrText>for</w:instrText>
      </w:r>
      <w:r w:rsidR="00A6794A" w:rsidRPr="00AA43FB">
        <w:instrText xml:space="preserve"> </w:instrText>
      </w:r>
      <w:r w:rsidR="00A6794A">
        <w:rPr>
          <w:lang w:val="en-US"/>
        </w:rPr>
        <w:instrText>patients</w:instrText>
      </w:r>
      <w:r w:rsidR="00A6794A" w:rsidRPr="00AA43FB">
        <w:instrText xml:space="preserve"> </w:instrText>
      </w:r>
      <w:r w:rsidR="00A6794A">
        <w:rPr>
          <w:lang w:val="en-US"/>
        </w:rPr>
        <w:instrText>as</w:instrText>
      </w:r>
      <w:r w:rsidR="00A6794A" w:rsidRPr="00AA43FB">
        <w:instrText xml:space="preserve"> </w:instrText>
      </w:r>
      <w:r w:rsidR="00A6794A">
        <w:rPr>
          <w:lang w:val="en-US"/>
        </w:rPr>
        <w:instrText>well</w:instrText>
      </w:r>
      <w:r w:rsidR="00A6794A" w:rsidRPr="00AA43FB">
        <w:instrText xml:space="preserve"> </w:instrText>
      </w:r>
      <w:r w:rsidR="00A6794A">
        <w:rPr>
          <w:lang w:val="en-US"/>
        </w:rPr>
        <w:instrText>as</w:instrText>
      </w:r>
      <w:r w:rsidR="00A6794A" w:rsidRPr="00AA43FB">
        <w:instrText xml:space="preserve"> </w:instrText>
      </w:r>
      <w:r w:rsidR="00A6794A">
        <w:rPr>
          <w:lang w:val="en-US"/>
        </w:rPr>
        <w:instrText>improved</w:instrText>
      </w:r>
      <w:r w:rsidR="00A6794A" w:rsidRPr="00AA43FB">
        <w:instrText xml:space="preserve"> </w:instrText>
      </w:r>
      <w:r w:rsidR="00A6794A">
        <w:rPr>
          <w:lang w:val="en-US"/>
        </w:rPr>
        <w:instrText>resource</w:instrText>
      </w:r>
      <w:r w:rsidR="00A6794A" w:rsidRPr="00AA43FB">
        <w:instrText xml:space="preserve"> </w:instrText>
      </w:r>
      <w:r w:rsidR="00A6794A">
        <w:rPr>
          <w:lang w:val="en-US"/>
        </w:rPr>
        <w:instrText>utilization</w:instrText>
      </w:r>
      <w:r w:rsidR="00A6794A" w:rsidRPr="00AA43FB">
        <w:instrText xml:space="preserve"> (</w:instrText>
      </w:r>
      <w:r w:rsidR="00A6794A">
        <w:rPr>
          <w:lang w:val="en-US"/>
        </w:rPr>
        <w:instrText>efficiency</w:instrText>
      </w:r>
      <w:r w:rsidR="00A6794A" w:rsidRPr="00AA43FB">
        <w:instrText xml:space="preserve">) </w:instrText>
      </w:r>
      <w:r w:rsidR="00A6794A">
        <w:rPr>
          <w:lang w:val="en-US"/>
        </w:rPr>
        <w:instrText>at</w:instrText>
      </w:r>
      <w:r w:rsidR="00A6794A" w:rsidRPr="00AA43FB">
        <w:instrText xml:space="preserve"> </w:instrText>
      </w:r>
      <w:r w:rsidR="00A6794A">
        <w:rPr>
          <w:lang w:val="en-US"/>
        </w:rPr>
        <w:instrText>the</w:instrText>
      </w:r>
      <w:r w:rsidR="00A6794A" w:rsidRPr="00AA43FB">
        <w:instrText xml:space="preserve"> </w:instrText>
      </w:r>
      <w:r w:rsidR="00A6794A">
        <w:rPr>
          <w:lang w:val="en-US"/>
        </w:rPr>
        <w:instrText>treatment</w:instrText>
      </w:r>
      <w:r w:rsidR="00A6794A" w:rsidRPr="00AA43FB">
        <w:instrText xml:space="preserve"> </w:instrText>
      </w:r>
      <w:r w:rsidR="00A6794A">
        <w:rPr>
          <w:lang w:val="en-US"/>
        </w:rPr>
        <w:instrText>facility</w:instrText>
      </w:r>
      <w:r w:rsidR="00A6794A" w:rsidRPr="00AA43FB">
        <w:instrText xml:space="preserve">. </w:instrText>
      </w:r>
      <w:r w:rsidR="00A6794A">
        <w:rPr>
          <w:lang w:val="en-US"/>
        </w:rPr>
        <w:instrText>The</w:instrText>
      </w:r>
      <w:r w:rsidR="00A6794A" w:rsidRPr="00AA43FB">
        <w:instrText xml:space="preserve"> </w:instrText>
      </w:r>
      <w:r w:rsidR="00A6794A">
        <w:rPr>
          <w:lang w:val="en-US"/>
        </w:rPr>
        <w:instrText>improved</w:instrText>
      </w:r>
      <w:r w:rsidR="00A6794A" w:rsidRPr="00AA43FB">
        <w:instrText xml:space="preserve"> </w:instrText>
      </w:r>
      <w:r w:rsidR="00A6794A">
        <w:rPr>
          <w:lang w:val="en-US"/>
        </w:rPr>
        <w:instrText>efficiency</w:instrText>
      </w:r>
      <w:r w:rsidR="00A6794A" w:rsidRPr="00AA43FB">
        <w:instrText xml:space="preserve"> </w:instrText>
      </w:r>
      <w:r w:rsidR="00A6794A">
        <w:rPr>
          <w:lang w:val="en-US"/>
        </w:rPr>
        <w:instrText>of</w:instrText>
      </w:r>
      <w:r w:rsidR="00A6794A" w:rsidRPr="00AA43FB">
        <w:instrText xml:space="preserve"> </w:instrText>
      </w:r>
      <w:r w:rsidR="00A6794A">
        <w:rPr>
          <w:lang w:val="en-US"/>
        </w:rPr>
        <w:instrText>delivering</w:instrText>
      </w:r>
      <w:r w:rsidR="00A6794A" w:rsidRPr="00AA43FB">
        <w:instrText xml:space="preserve"> </w:instrText>
      </w:r>
      <w:r w:rsidR="00A6794A">
        <w:rPr>
          <w:lang w:val="en-US"/>
        </w:rPr>
        <w:instrText>rituximab</w:instrText>
      </w:r>
      <w:r w:rsidR="00A6794A" w:rsidRPr="00AA43FB">
        <w:instrText>’</w:instrText>
      </w:r>
      <w:r w:rsidR="00A6794A">
        <w:rPr>
          <w:lang w:val="en-US"/>
        </w:rPr>
        <w:instrText>s</w:instrText>
      </w:r>
      <w:r w:rsidR="00A6794A" w:rsidRPr="00AA43FB">
        <w:instrText xml:space="preserve"> </w:instrText>
      </w:r>
      <w:r w:rsidR="00A6794A">
        <w:rPr>
          <w:lang w:val="en-US"/>
        </w:rPr>
        <w:instrText>benefit</w:instrText>
      </w:r>
      <w:r w:rsidR="00A6794A" w:rsidRPr="00AA43FB">
        <w:instrText xml:space="preserve"> </w:instrText>
      </w:r>
      <w:r w:rsidR="00A6794A">
        <w:rPr>
          <w:lang w:val="en-US"/>
        </w:rPr>
        <w:instrText>to</w:instrText>
      </w:r>
      <w:r w:rsidR="00A6794A" w:rsidRPr="00AA43FB">
        <w:instrText xml:space="preserve"> </w:instrText>
      </w:r>
      <w:r w:rsidR="00A6794A">
        <w:rPr>
          <w:lang w:val="en-US"/>
        </w:rPr>
        <w:instrText>patients</w:instrText>
      </w:r>
      <w:r w:rsidR="00A6794A" w:rsidRPr="00AA43FB">
        <w:instrText xml:space="preserve"> </w:instrText>
      </w:r>
      <w:r w:rsidR="00A6794A">
        <w:rPr>
          <w:lang w:val="en-US"/>
        </w:rPr>
        <w:instrText>may</w:instrText>
      </w:r>
      <w:r w:rsidR="00A6794A" w:rsidRPr="00AA43FB">
        <w:instrText xml:space="preserve"> </w:instrText>
      </w:r>
      <w:r w:rsidR="00A6794A">
        <w:rPr>
          <w:lang w:val="en-US"/>
        </w:rPr>
        <w:instrText>broaden</w:instrText>
      </w:r>
      <w:r w:rsidR="00A6794A" w:rsidRPr="00AA43FB">
        <w:instrText xml:space="preserve"> </w:instrText>
      </w:r>
      <w:r w:rsidR="00A6794A">
        <w:rPr>
          <w:lang w:val="en-US"/>
        </w:rPr>
        <w:instrText>patient</w:instrText>
      </w:r>
      <w:r w:rsidR="00A6794A" w:rsidRPr="00AA43FB">
        <w:instrText xml:space="preserve"> </w:instrText>
      </w:r>
      <w:r w:rsidR="00A6794A">
        <w:rPr>
          <w:lang w:val="en-US"/>
        </w:rPr>
        <w:instrText>access</w:instrText>
      </w:r>
      <w:r w:rsidR="00A6794A" w:rsidRPr="00AA43FB">
        <w:instrText xml:space="preserve"> </w:instrText>
      </w:r>
      <w:r w:rsidR="00A6794A">
        <w:rPr>
          <w:lang w:val="en-US"/>
        </w:rPr>
        <w:instrText>to</w:instrText>
      </w:r>
      <w:r w:rsidR="00A6794A" w:rsidRPr="00AA43FB">
        <w:instrText xml:space="preserve"> </w:instrText>
      </w:r>
      <w:r w:rsidR="00A6794A">
        <w:rPr>
          <w:lang w:val="en-US"/>
        </w:rPr>
        <w:instrText>rituximab</w:instrText>
      </w:r>
      <w:r w:rsidR="00A6794A" w:rsidRPr="00AA43FB">
        <w:instrText xml:space="preserve"> </w:instrText>
      </w:r>
      <w:r w:rsidR="00A6794A">
        <w:rPr>
          <w:lang w:val="en-US"/>
        </w:rPr>
        <w:instrText>therapy</w:instrText>
      </w:r>
      <w:r w:rsidR="00A6794A" w:rsidRPr="00AA43FB">
        <w:instrText xml:space="preserve"> </w:instrText>
      </w:r>
      <w:r w:rsidR="00A6794A">
        <w:rPr>
          <w:lang w:val="en-US"/>
        </w:rPr>
        <w:instrText>in areas with low levels of healthcare resources, including IV-chair capacity constraints. This article is a companion paper to G. Salles, et al., which is also published in this issue. Funding: F. Hoffmann-La Roche Ltd.","author":[{"dropping-particle":"","family":"Davies","given":"Andrew","non-dropping-particle":"","parse-names":false,"suffix":""},{"dropping-particle":"","family":"Berge","given":"Claude","non-dropping-particle":"","parse-names":false,"suffix":""},{"dropping-particle":"","family":"Boehnke","given":"Axel","non-dropping-particle":"","parse-names":false,"suffix":""},{"dropping-particle":"","family":"Dadabhoy","given":"Anjum","non-dropping-particle":"","parse-names":false,"suffix":""},{"dropping-particle":"","family":"Lugtenburg","given":"Pieternella","non-dropping-particle":"","parse-names":false,"suffix":""},{"dropping-particle":"","family":"Rule","given":"Simon","non-dropping-particle":"","parse-names":false,"suffix":""},{"dropping-particle":"","family":"Rummel","given":"Mathias","non-dropping-particle":"","parse-names":false,"suffix":""},{"dropping-particle":"","family":"McIntyre","given":"Christine","non-dropping-particle":"","parse-names":false,"suffix":""},{"dropping-particle":"","family":"Smith","given":"Rodney","non-dropping-particle":"","parse-names":false,"suffix":""},{"dropping-particle":"","family":"Badoux","given":"Xavier","non-dropping-particle":"","parse-names":false,"suffix":""}],"container-title":"Advances in Therapy","id":"ITEM-2","issue":"10","issued":{"date-parts":[["2017","10","1"]]},"page":"2210-2231","publisher":"Springer Healthcare","title":"Subcutaneous Rituximab for the Treatment of B-Cell Hematologic Malignancies: A Review of the Scientific Rationale and Clinical Development","type":"article","volume":"34"},"uris":["http://www.mendeley.com/documents/?uuid=c91e99c4-7e72-3803-909e-84f3e662a6e0"]},{"id":"ITEM-3","itemData":{"DOI":"10.1111/bjh.16227","ISSN":"0007-1048","abstract":"Rituximab is a standard treatment for non-Hodgkin diffuse large B-cell (DLBCL) and follicular (FL) lymphomas. A subcutaneous formulation was developed to improve the resource use of intravenous rituximab, with comparable efficacy and safety profiles except for increased administration-related reactions (ARRs). MabRella was a phase IIIb trial to assess the safety of switching from intravenous to subcutaneous administration of rituximab during first-line induction/maintenance for DLBCL or FL, focusing on ARRs. Efficacy, satisfaction and quality of life were also assessed. Patients received subcutaneous rituximab plus standard induction chemotherapy for DLBCL or FL for 4–7 cycles, and/or every 2 months maintenance monotherapy for FL for 6–12 cycles. The study included 140 patients: DLBCL, n = 29; FL, n = 111. Ninety-five percent of patients experienced adverse events, reaching grade ≥3 in 38·6% and were serious in 30·0%. AARs occurred in 48·6%, mostly (84·9%) at the injection site, with only 2·1% of patients reaching grade 3. The end-of-induction complete/unconfirmed complete response rate was 69·6%. After a median follow-up of 33·5 months, median disease-/event-/progression-free and overall survivals were not attained. The Rituximab Administration Satisfaction Questionnaire showed improvements in overall satisfaction and the EuroQoL-5D a good quality-of-life perception at induction/maintenance end. Therefore, switching to subcutaneous rituximab showed no new safety issues and maintained efficacy with improved satisfaction and quality of life.","author":[{"dropping-particle":"","family":"García‐Muñoz","given":"Ricardo","non-dropping-particle":"","parse-names":false,"suffix":""},{"dropping-particle":"","family":"Quero","given":"Cristina","non-dropping-particle":"","parse-names":false,"suffix":""},{"dropping-particle":"","family":"Pérez‐Persona","given":"Ernesto","non-dropping-particle":"","parse-names":false,"suffix":""},{"dropping-particle":"","family":"Domingo‐García","given":"Abel","non-dropping-particle":"","parse-names":false,"suffix":""},{"dropping-particle":"","family":"Pérez‐López","given":"Cristina","non-dropping-particle":"","parse-names":false,"suffix":""},{"dropping-particle":"","family":"Villaescusa‐de‐la‐Rosa","given":"Teresa","non-dropping-particle":"","parse-names":false,"suffix":""},{"dropping-particle":"","family":"Martínez‐Castro","given":"Ana M.","non-dropping-particle":"","parse-names":false,"suffix":""},{"dropping-particle":"","family":"Arguiñano‐Pérez","given":"José M.","non-dropping-particle":"","parse-names":false,"suffix":""},{"dropping-particle":"","family":"Parra‐Cuadrado","given":"Juan F.","non-dropping-particle":"","parse-names":false,"suffix":""},{"dropping-particle":"","family":"Panizo","given":"Carlos","non-dropping-particle":"","parse-names":false,"suffix":""}],"container-title":"British Journal of Haematology","id":"ITEM-3","issue":"5","issued":{"date-parts":[["2020","3","1"]]},"page":"661-673","publisher":"Blackwell Publishing Ltd","title":"Safety of switching from intravenous to subcutaneous rituximab during first‐line treatment of patients with non‐Hodgkin lymphoma: the Spanish population of the MabRella study","type":"article-journal","volume":"188"},"uris":["http://www.mendeley.com/documents/?uuid=89ca4d25-771e-3d22-9da5-61e99fb5ec3e"]},{"id":"ITEM-4","itemData":{"DOI":"10.3747/co.24.3470","ISSN":"17187729","abstract":"Rituximab is widely used for the treatment of non-Hodgkin lymphoma, being a key component in most therapeutic regimens. Administration of the intravenous (IV) formulation is lengthy and places a significant burden on health care resources and patient quality of life. A subcutaneous (sc) formulation that provides a fixed dose of rituximab is being examined in a number of studies. Results indicate that the pharmacokinetics are noninferior and response rates are comparable to those obtained with the IV formulation. Moreover, the sc formulation is preferred by patients and health care providers and reduces administration and chair time. Additional advantages include a lesser potential for dosing errors, shorter preparation time, reduced drug wastage, and fewer infusion-related reactions. Despite the success of the sc formulation</w:instrText>
      </w:r>
      <w:r w:rsidR="00A6794A" w:rsidRPr="00D3550C">
        <w:instrText xml:space="preserve">, </w:instrText>
      </w:r>
      <w:r w:rsidR="00A6794A">
        <w:rPr>
          <w:lang w:val="en-US"/>
        </w:rPr>
        <w:instrText>correct</w:instrText>
      </w:r>
      <w:r w:rsidR="00A6794A" w:rsidRPr="00D3550C">
        <w:instrText xml:space="preserve"> </w:instrText>
      </w:r>
      <w:r w:rsidR="00A6794A">
        <w:rPr>
          <w:lang w:val="en-US"/>
        </w:rPr>
        <w:instrText>administration</w:instrText>
      </w:r>
      <w:r w:rsidR="00A6794A" w:rsidRPr="00D3550C">
        <w:instrText xml:space="preserve"> </w:instrText>
      </w:r>
      <w:r w:rsidR="00A6794A">
        <w:rPr>
          <w:lang w:val="en-US"/>
        </w:rPr>
        <w:instrText>is</w:instrText>
      </w:r>
      <w:r w:rsidR="00A6794A" w:rsidRPr="00D3550C">
        <w:instrText xml:space="preserve"> </w:instrText>
      </w:r>
      <w:r w:rsidR="00A6794A">
        <w:rPr>
          <w:lang w:val="en-US"/>
        </w:rPr>
        <w:instrText>needed</w:instrText>
      </w:r>
      <w:r w:rsidR="00A6794A" w:rsidRPr="00D3550C">
        <w:instrText xml:space="preserve"> </w:instrText>
      </w:r>
      <w:r w:rsidR="00A6794A">
        <w:rPr>
          <w:lang w:val="en-US"/>
        </w:rPr>
        <w:instrText>to</w:instrText>
      </w:r>
      <w:r w:rsidR="00A6794A" w:rsidRPr="00D3550C">
        <w:instrText xml:space="preserve"> </w:instrText>
      </w:r>
      <w:r w:rsidR="00A6794A">
        <w:rPr>
          <w:lang w:val="en-US"/>
        </w:rPr>
        <w:instrText>reduce</w:instrText>
      </w:r>
      <w:r w:rsidR="00A6794A" w:rsidRPr="00D3550C">
        <w:instrText xml:space="preserve"> </w:instrText>
      </w:r>
      <w:r w:rsidR="00A6794A">
        <w:rPr>
          <w:lang w:val="en-US"/>
        </w:rPr>
        <w:instrText>administration</w:instrText>
      </w:r>
      <w:r w:rsidR="00A6794A" w:rsidRPr="00D3550C">
        <w:instrText>-</w:instrText>
      </w:r>
      <w:r w:rsidR="00A6794A">
        <w:rPr>
          <w:lang w:val="en-US"/>
        </w:rPr>
        <w:instrText>related</w:instrText>
      </w:r>
      <w:r w:rsidR="00A6794A" w:rsidRPr="00D3550C">
        <w:instrText xml:space="preserve"> </w:instrText>
      </w:r>
      <w:r w:rsidR="00A6794A">
        <w:rPr>
          <w:lang w:val="en-US"/>
        </w:rPr>
        <w:instrText>reactions</w:instrText>
      </w:r>
      <w:r w:rsidR="00A6794A" w:rsidRPr="00D3550C">
        <w:instrText xml:space="preserve">. </w:instrText>
      </w:r>
      <w:r w:rsidR="00A6794A">
        <w:rPr>
          <w:lang w:val="en-US"/>
        </w:rPr>
        <w:instrText>By</w:instrText>
      </w:r>
      <w:r w:rsidR="00A6794A" w:rsidRPr="00D3550C">
        <w:instrText xml:space="preserve"> </w:instrText>
      </w:r>
      <w:r w:rsidR="00A6794A">
        <w:rPr>
          <w:lang w:val="en-US"/>
        </w:rPr>
        <w:instrText>using</w:instrText>
      </w:r>
      <w:r w:rsidR="00A6794A" w:rsidRPr="00D3550C">
        <w:instrText xml:space="preserve"> </w:instrText>
      </w:r>
      <w:r w:rsidR="00A6794A">
        <w:rPr>
          <w:lang w:val="en-US"/>
        </w:rPr>
        <w:instrText>a</w:instrText>
      </w:r>
      <w:r w:rsidR="00A6794A" w:rsidRPr="00D3550C">
        <w:instrText xml:space="preserve"> </w:instrText>
      </w:r>
      <w:r w:rsidR="00A6794A">
        <w:rPr>
          <w:lang w:val="en-US"/>
        </w:rPr>
        <w:instrText>careful</w:instrText>
      </w:r>
      <w:r w:rsidR="00A6794A" w:rsidRPr="00D3550C">
        <w:instrText xml:space="preserve"> </w:instrText>
      </w:r>
      <w:r w:rsidR="00A6794A">
        <w:rPr>
          <w:lang w:val="en-US"/>
        </w:rPr>
        <w:instrText>procedure</w:instrText>
      </w:r>
      <w:r w:rsidR="00A6794A" w:rsidRPr="00D3550C">
        <w:instrText xml:space="preserve">, </w:instrText>
      </w:r>
      <w:r w:rsidR="00A6794A">
        <w:rPr>
          <w:lang w:val="en-US"/>
        </w:rPr>
        <w:instrText>the</w:instrText>
      </w:r>
      <w:r w:rsidR="00A6794A" w:rsidRPr="00D3550C">
        <w:instrText xml:space="preserve"> </w:instrText>
      </w:r>
      <w:r w:rsidR="00A6794A">
        <w:rPr>
          <w:lang w:val="en-US"/>
        </w:rPr>
        <w:instrText>sc</w:instrText>
      </w:r>
      <w:r w:rsidR="00A6794A" w:rsidRPr="00D3550C">
        <w:instrText xml:space="preserve"> </w:instrText>
      </w:r>
      <w:r w:rsidR="00A6794A">
        <w:rPr>
          <w:lang w:val="en-US"/>
        </w:rPr>
        <w:instrText>formulation</w:instrText>
      </w:r>
      <w:r w:rsidR="00A6794A" w:rsidRPr="00D3550C">
        <w:instrText xml:space="preserve"> </w:instrText>
      </w:r>
      <w:r w:rsidR="00A6794A">
        <w:rPr>
          <w:lang w:val="en-US"/>
        </w:rPr>
        <w:instrText>can</w:instrText>
      </w:r>
      <w:r w:rsidR="00A6794A" w:rsidRPr="00D3550C">
        <w:instrText xml:space="preserve"> </w:instrText>
      </w:r>
      <w:r w:rsidR="00A6794A">
        <w:rPr>
          <w:lang w:val="en-US"/>
        </w:rPr>
        <w:instrText>be</w:instrText>
      </w:r>
      <w:r w:rsidR="00A6794A" w:rsidRPr="00D3550C">
        <w:instrText xml:space="preserve"> </w:instrText>
      </w:r>
      <w:r w:rsidR="00A6794A">
        <w:rPr>
          <w:lang w:val="en-US"/>
        </w:rPr>
        <w:instrText>given</w:instrText>
      </w:r>
      <w:r w:rsidR="00A6794A" w:rsidRPr="00D3550C">
        <w:instrText xml:space="preserve"> </w:instrText>
      </w:r>
      <w:r w:rsidR="00A6794A">
        <w:rPr>
          <w:lang w:val="en-US"/>
        </w:rPr>
        <w:instrText>safely</w:instrText>
      </w:r>
      <w:r w:rsidR="00A6794A" w:rsidRPr="00D3550C">
        <w:instrText xml:space="preserve"> </w:instrText>
      </w:r>
      <w:r w:rsidR="00A6794A">
        <w:rPr>
          <w:lang w:val="en-US"/>
        </w:rPr>
        <w:instrText>and</w:instrText>
      </w:r>
      <w:r w:rsidR="00A6794A" w:rsidRPr="00D3550C">
        <w:instrText xml:space="preserve"> </w:instrText>
      </w:r>
      <w:r w:rsidR="00A6794A">
        <w:rPr>
          <w:lang w:val="en-US"/>
        </w:rPr>
        <w:instrText>effectively</w:instrText>
      </w:r>
      <w:r w:rsidR="00A6794A" w:rsidRPr="00D3550C">
        <w:instrText xml:space="preserve">, </w:instrText>
      </w:r>
      <w:r w:rsidR="00A6794A">
        <w:rPr>
          <w:lang w:val="en-US"/>
        </w:rPr>
        <w:instrText>potentially</w:instrText>
      </w:r>
      <w:r w:rsidR="00A6794A" w:rsidRPr="00D3550C">
        <w:instrText xml:space="preserve"> </w:instrText>
      </w:r>
      <w:r w:rsidR="00A6794A">
        <w:rPr>
          <w:lang w:val="en-US"/>
        </w:rPr>
        <w:instrText>reducing</w:instrText>
      </w:r>
      <w:r w:rsidR="00A6794A" w:rsidRPr="00D3550C">
        <w:instrText xml:space="preserve"> </w:instrText>
      </w:r>
      <w:r w:rsidR="00A6794A">
        <w:rPr>
          <w:lang w:val="en-US"/>
        </w:rPr>
        <w:instrText>the</w:instrText>
      </w:r>
      <w:r w:rsidR="00A6794A" w:rsidRPr="00D3550C">
        <w:instrText xml:space="preserve"> </w:instrText>
      </w:r>
      <w:r w:rsidR="00A6794A">
        <w:rPr>
          <w:lang w:val="en-US"/>
        </w:rPr>
        <w:instrText>burden</w:instrText>
      </w:r>
      <w:r w:rsidR="00A6794A" w:rsidRPr="00D3550C">
        <w:instrText xml:space="preserve"> </w:instrText>
      </w:r>
      <w:r w:rsidR="00A6794A">
        <w:rPr>
          <w:lang w:val="en-US"/>
        </w:rPr>
        <w:instrText>on</w:instrText>
      </w:r>
      <w:r w:rsidR="00A6794A" w:rsidRPr="00D3550C">
        <w:instrText xml:space="preserve"> </w:instrText>
      </w:r>
      <w:r w:rsidR="00A6794A">
        <w:rPr>
          <w:lang w:val="en-US"/>
        </w:rPr>
        <w:instrText>health</w:instrText>
      </w:r>
      <w:r w:rsidR="00A6794A" w:rsidRPr="00D3550C">
        <w:instrText xml:space="preserve"> </w:instrText>
      </w:r>
      <w:r w:rsidR="00A6794A">
        <w:rPr>
          <w:lang w:val="en-US"/>
        </w:rPr>
        <w:instrText>care</w:instrText>
      </w:r>
      <w:r w:rsidR="00A6794A" w:rsidRPr="00D3550C">
        <w:instrText xml:space="preserve"> </w:instrText>
      </w:r>
      <w:r w:rsidR="00A6794A">
        <w:rPr>
          <w:lang w:val="en-US"/>
        </w:rPr>
        <w:instrText>resources</w:instrText>
      </w:r>
      <w:r w:rsidR="00A6794A" w:rsidRPr="00D3550C">
        <w:instrText xml:space="preserve"> </w:instrText>
      </w:r>
      <w:r w:rsidR="00A6794A">
        <w:rPr>
          <w:lang w:val="en-US"/>
        </w:rPr>
        <w:instrText>and</w:instrText>
      </w:r>
      <w:r w:rsidR="00A6794A" w:rsidRPr="00D3550C">
        <w:instrText xml:space="preserve"> </w:instrText>
      </w:r>
      <w:r w:rsidR="00A6794A">
        <w:rPr>
          <w:lang w:val="en-US"/>
        </w:rPr>
        <w:instrText>improving</w:instrText>
      </w:r>
      <w:r w:rsidR="00A6794A" w:rsidRPr="00D3550C">
        <w:instrText xml:space="preserve"> </w:instrText>
      </w:r>
      <w:r w:rsidR="00A6794A">
        <w:rPr>
          <w:lang w:val="en-US"/>
        </w:rPr>
        <w:instrText>quality</w:instrText>
      </w:r>
      <w:r w:rsidR="00A6794A" w:rsidRPr="00D3550C">
        <w:instrText xml:space="preserve"> </w:instrText>
      </w:r>
      <w:r w:rsidR="00A6794A">
        <w:rPr>
          <w:lang w:val="en-US"/>
        </w:rPr>
        <w:instrText>of</w:instrText>
      </w:r>
      <w:r w:rsidR="00A6794A" w:rsidRPr="00D3550C">
        <w:instrText xml:space="preserve"> </w:instrText>
      </w:r>
      <w:r w:rsidR="00A6794A">
        <w:rPr>
          <w:lang w:val="en-US"/>
        </w:rPr>
        <w:instrText>life</w:instrText>
      </w:r>
      <w:r w:rsidR="00A6794A" w:rsidRPr="00D3550C">
        <w:instrText xml:space="preserve"> </w:instrText>
      </w:r>
      <w:r w:rsidR="00A6794A">
        <w:rPr>
          <w:lang w:val="en-US"/>
        </w:rPr>
        <w:instrText>for</w:instrText>
      </w:r>
      <w:r w:rsidR="00A6794A" w:rsidRPr="00D3550C">
        <w:instrText xml:space="preserve"> </w:instrText>
      </w:r>
      <w:r w:rsidR="00A6794A">
        <w:rPr>
          <w:lang w:val="en-US"/>
        </w:rPr>
        <w:instrText>patients</w:instrText>
      </w:r>
      <w:r w:rsidR="00A6794A" w:rsidRPr="00D3550C">
        <w:instrText>.","</w:instrText>
      </w:r>
      <w:r w:rsidR="00A6794A">
        <w:rPr>
          <w:lang w:val="en-US"/>
        </w:rPr>
        <w:instrText>author</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family</w:instrText>
      </w:r>
      <w:r w:rsidR="00A6794A" w:rsidRPr="00D3550C">
        <w:instrText>":"</w:instrText>
      </w:r>
      <w:r w:rsidR="00A6794A">
        <w:rPr>
          <w:lang w:val="en-US"/>
        </w:rPr>
        <w:instrText>Macdonald</w:instrText>
      </w:r>
      <w:r w:rsidR="00A6794A" w:rsidRPr="00D3550C">
        <w:instrText>","</w:instrText>
      </w:r>
      <w:r w:rsidR="00A6794A">
        <w:rPr>
          <w:lang w:val="en-US"/>
        </w:rPr>
        <w:instrText>given</w:instrText>
      </w:r>
      <w:r w:rsidR="00A6794A" w:rsidRPr="00D3550C">
        <w:instrText>":"</w:instrText>
      </w:r>
      <w:r w:rsidR="00A6794A">
        <w:rPr>
          <w:lang w:val="en-US"/>
        </w:rPr>
        <w:instrText>David</w:instrText>
      </w:r>
      <w:r w:rsidR="00A6794A" w:rsidRPr="00D3550C">
        <w:instrText>","</w:instrText>
      </w:r>
      <w:r w:rsidR="00A6794A">
        <w:rPr>
          <w:lang w:val="en-US"/>
        </w:rPr>
        <w:instrText>non</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parse</w:instrText>
      </w:r>
      <w:r w:rsidR="00A6794A" w:rsidRPr="00D3550C">
        <w:instrText>-</w:instrText>
      </w:r>
      <w:r w:rsidR="00A6794A">
        <w:rPr>
          <w:lang w:val="en-US"/>
        </w:rPr>
        <w:instrText>names</w:instrText>
      </w:r>
      <w:r w:rsidR="00A6794A" w:rsidRPr="00D3550C">
        <w:instrText>":</w:instrText>
      </w:r>
      <w:r w:rsidR="00A6794A">
        <w:rPr>
          <w:lang w:val="en-US"/>
        </w:rPr>
        <w:instrText>false</w:instrText>
      </w:r>
      <w:r w:rsidR="00A6794A" w:rsidRPr="00D3550C">
        <w:instrText>,"</w:instrText>
      </w:r>
      <w:r w:rsidR="00A6794A">
        <w:rPr>
          <w:lang w:val="en-US"/>
        </w:rPr>
        <w:instrText>suffix</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family</w:instrText>
      </w:r>
      <w:r w:rsidR="00A6794A" w:rsidRPr="00D3550C">
        <w:instrText>":"</w:instrText>
      </w:r>
      <w:r w:rsidR="00A6794A">
        <w:rPr>
          <w:lang w:val="en-US"/>
        </w:rPr>
        <w:instrText>Crosbie</w:instrText>
      </w:r>
      <w:r w:rsidR="00A6794A" w:rsidRPr="00D3550C">
        <w:instrText>","</w:instrText>
      </w:r>
      <w:r w:rsidR="00A6794A">
        <w:rPr>
          <w:lang w:val="en-US"/>
        </w:rPr>
        <w:instrText>given</w:instrText>
      </w:r>
      <w:r w:rsidR="00A6794A" w:rsidRPr="00D3550C">
        <w:instrText>":"</w:instrText>
      </w:r>
      <w:r w:rsidR="00A6794A">
        <w:rPr>
          <w:lang w:val="en-US"/>
        </w:rPr>
        <w:instrText>T</w:instrText>
      </w:r>
      <w:r w:rsidR="00A6794A" w:rsidRPr="00D3550C">
        <w:instrText>.","</w:instrText>
      </w:r>
      <w:r w:rsidR="00A6794A">
        <w:rPr>
          <w:lang w:val="en-US"/>
        </w:rPr>
        <w:instrText>non</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parse</w:instrText>
      </w:r>
      <w:r w:rsidR="00A6794A" w:rsidRPr="00D3550C">
        <w:instrText>-</w:instrText>
      </w:r>
      <w:r w:rsidR="00A6794A">
        <w:rPr>
          <w:lang w:val="en-US"/>
        </w:rPr>
        <w:instrText>names</w:instrText>
      </w:r>
      <w:r w:rsidR="00A6794A" w:rsidRPr="00D3550C">
        <w:instrText>":</w:instrText>
      </w:r>
      <w:r w:rsidR="00A6794A">
        <w:rPr>
          <w:lang w:val="en-US"/>
        </w:rPr>
        <w:instrText>false</w:instrText>
      </w:r>
      <w:r w:rsidR="00A6794A" w:rsidRPr="00D3550C">
        <w:instrText>,"</w:instrText>
      </w:r>
      <w:r w:rsidR="00A6794A">
        <w:rPr>
          <w:lang w:val="en-US"/>
        </w:rPr>
        <w:instrText>suffix</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family</w:instrText>
      </w:r>
      <w:r w:rsidR="00A6794A" w:rsidRPr="00D3550C">
        <w:instrText>":"</w:instrText>
      </w:r>
      <w:r w:rsidR="00A6794A">
        <w:rPr>
          <w:lang w:val="en-US"/>
        </w:rPr>
        <w:instrText>Christofides</w:instrText>
      </w:r>
      <w:r w:rsidR="00A6794A" w:rsidRPr="00D3550C">
        <w:instrText>","</w:instrText>
      </w:r>
      <w:r w:rsidR="00A6794A">
        <w:rPr>
          <w:lang w:val="en-US"/>
        </w:rPr>
        <w:instrText>given</w:instrText>
      </w:r>
      <w:r w:rsidR="00A6794A" w:rsidRPr="00D3550C">
        <w:instrText>":"</w:instrText>
      </w:r>
      <w:r w:rsidR="00A6794A">
        <w:rPr>
          <w:lang w:val="en-US"/>
        </w:rPr>
        <w:instrText>A</w:instrText>
      </w:r>
      <w:r w:rsidR="00A6794A" w:rsidRPr="00D3550C">
        <w:instrText>.","</w:instrText>
      </w:r>
      <w:r w:rsidR="00A6794A">
        <w:rPr>
          <w:lang w:val="en-US"/>
        </w:rPr>
        <w:instrText>non</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parse</w:instrText>
      </w:r>
      <w:r w:rsidR="00A6794A" w:rsidRPr="00D3550C">
        <w:instrText>-</w:instrText>
      </w:r>
      <w:r w:rsidR="00A6794A">
        <w:rPr>
          <w:lang w:val="en-US"/>
        </w:rPr>
        <w:instrText>names</w:instrText>
      </w:r>
      <w:r w:rsidR="00A6794A" w:rsidRPr="00D3550C">
        <w:instrText>":</w:instrText>
      </w:r>
      <w:r w:rsidR="00A6794A">
        <w:rPr>
          <w:lang w:val="en-US"/>
        </w:rPr>
        <w:instrText>false</w:instrText>
      </w:r>
      <w:r w:rsidR="00A6794A" w:rsidRPr="00D3550C">
        <w:instrText>,"</w:instrText>
      </w:r>
      <w:r w:rsidR="00A6794A">
        <w:rPr>
          <w:lang w:val="en-US"/>
        </w:rPr>
        <w:instrText>suffix</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family</w:instrText>
      </w:r>
      <w:r w:rsidR="00A6794A" w:rsidRPr="00D3550C">
        <w:instrText>":"</w:instrText>
      </w:r>
      <w:r w:rsidR="00A6794A">
        <w:rPr>
          <w:lang w:val="en-US"/>
        </w:rPr>
        <w:instrText>Assaily</w:instrText>
      </w:r>
      <w:r w:rsidR="00A6794A" w:rsidRPr="00D3550C">
        <w:instrText>","</w:instrText>
      </w:r>
      <w:r w:rsidR="00A6794A">
        <w:rPr>
          <w:lang w:val="en-US"/>
        </w:rPr>
        <w:instrText>given</w:instrText>
      </w:r>
      <w:r w:rsidR="00A6794A" w:rsidRPr="00D3550C">
        <w:instrText>":"</w:instrText>
      </w:r>
      <w:r w:rsidR="00A6794A">
        <w:rPr>
          <w:lang w:val="en-US"/>
        </w:rPr>
        <w:instrText>W</w:instrText>
      </w:r>
      <w:r w:rsidR="00A6794A" w:rsidRPr="00D3550C">
        <w:instrText>.","</w:instrText>
      </w:r>
      <w:r w:rsidR="00A6794A">
        <w:rPr>
          <w:lang w:val="en-US"/>
        </w:rPr>
        <w:instrText>non</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parse</w:instrText>
      </w:r>
      <w:r w:rsidR="00A6794A" w:rsidRPr="00D3550C">
        <w:instrText>-</w:instrText>
      </w:r>
      <w:r w:rsidR="00A6794A">
        <w:rPr>
          <w:lang w:val="en-US"/>
        </w:rPr>
        <w:instrText>names</w:instrText>
      </w:r>
      <w:r w:rsidR="00A6794A" w:rsidRPr="00D3550C">
        <w:instrText>":</w:instrText>
      </w:r>
      <w:r w:rsidR="00A6794A">
        <w:rPr>
          <w:lang w:val="en-US"/>
        </w:rPr>
        <w:instrText>false</w:instrText>
      </w:r>
      <w:r w:rsidR="00A6794A" w:rsidRPr="00D3550C">
        <w:instrText>,"</w:instrText>
      </w:r>
      <w:r w:rsidR="00A6794A">
        <w:rPr>
          <w:lang w:val="en-US"/>
        </w:rPr>
        <w:instrText>suffix</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family</w:instrText>
      </w:r>
      <w:r w:rsidR="00A6794A" w:rsidRPr="00D3550C">
        <w:instrText>":"</w:instrText>
      </w:r>
      <w:r w:rsidR="00A6794A">
        <w:rPr>
          <w:lang w:val="en-US"/>
        </w:rPr>
        <w:instrText>Wiernikowski</w:instrText>
      </w:r>
      <w:r w:rsidR="00A6794A" w:rsidRPr="00D3550C">
        <w:instrText>","</w:instrText>
      </w:r>
      <w:r w:rsidR="00A6794A">
        <w:rPr>
          <w:lang w:val="en-US"/>
        </w:rPr>
        <w:instrText>given</w:instrText>
      </w:r>
      <w:r w:rsidR="00A6794A" w:rsidRPr="00D3550C">
        <w:instrText>":"</w:instrText>
      </w:r>
      <w:r w:rsidR="00A6794A">
        <w:rPr>
          <w:lang w:val="en-US"/>
        </w:rPr>
        <w:instrText>J</w:instrText>
      </w:r>
      <w:r w:rsidR="00A6794A" w:rsidRPr="00D3550C">
        <w:instrText>.","</w:instrText>
      </w:r>
      <w:r w:rsidR="00A6794A">
        <w:rPr>
          <w:lang w:val="en-US"/>
        </w:rPr>
        <w:instrText>non</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parse</w:instrText>
      </w:r>
      <w:r w:rsidR="00A6794A" w:rsidRPr="00D3550C">
        <w:instrText>-</w:instrText>
      </w:r>
      <w:r w:rsidR="00A6794A">
        <w:rPr>
          <w:lang w:val="en-US"/>
        </w:rPr>
        <w:instrText>names</w:instrText>
      </w:r>
      <w:r w:rsidR="00A6794A" w:rsidRPr="00D3550C">
        <w:instrText>":</w:instrText>
      </w:r>
      <w:r w:rsidR="00A6794A">
        <w:rPr>
          <w:lang w:val="en-US"/>
        </w:rPr>
        <w:instrText>false</w:instrText>
      </w:r>
      <w:r w:rsidR="00A6794A" w:rsidRPr="00D3550C">
        <w:instrText>,"</w:instrText>
      </w:r>
      <w:r w:rsidR="00A6794A">
        <w:rPr>
          <w:lang w:val="en-US"/>
        </w:rPr>
        <w:instrText>suffix</w:instrText>
      </w:r>
      <w:r w:rsidR="00A6794A" w:rsidRPr="00D3550C">
        <w:instrText>":""}],"</w:instrText>
      </w:r>
      <w:r w:rsidR="00A6794A">
        <w:rPr>
          <w:lang w:val="en-US"/>
        </w:rPr>
        <w:instrText>container</w:instrText>
      </w:r>
      <w:r w:rsidR="00A6794A" w:rsidRPr="00D3550C">
        <w:instrText>-</w:instrText>
      </w:r>
      <w:r w:rsidR="00A6794A">
        <w:rPr>
          <w:lang w:val="en-US"/>
        </w:rPr>
        <w:instrText>title</w:instrText>
      </w:r>
      <w:r w:rsidR="00A6794A" w:rsidRPr="00D3550C">
        <w:instrText>":"</w:instrText>
      </w:r>
      <w:r w:rsidR="00A6794A">
        <w:rPr>
          <w:lang w:val="en-US"/>
        </w:rPr>
        <w:instrText>Current</w:instrText>
      </w:r>
      <w:r w:rsidR="00A6794A" w:rsidRPr="00D3550C">
        <w:instrText xml:space="preserve"> </w:instrText>
      </w:r>
      <w:r w:rsidR="00A6794A">
        <w:rPr>
          <w:lang w:val="en-US"/>
        </w:rPr>
        <w:instrText>Oncology</w:instrText>
      </w:r>
      <w:r w:rsidR="00A6794A" w:rsidRPr="00D3550C">
        <w:instrText>","</w:instrText>
      </w:r>
      <w:r w:rsidR="00A6794A">
        <w:rPr>
          <w:lang w:val="en-US"/>
        </w:rPr>
        <w:instrText>id</w:instrText>
      </w:r>
      <w:r w:rsidR="00A6794A" w:rsidRPr="00D3550C">
        <w:instrText>":"</w:instrText>
      </w:r>
      <w:r w:rsidR="00A6794A">
        <w:rPr>
          <w:lang w:val="en-US"/>
        </w:rPr>
        <w:instrText>ITEM</w:instrText>
      </w:r>
      <w:r w:rsidR="00A6794A" w:rsidRPr="00D3550C">
        <w:instrText>-4","</w:instrText>
      </w:r>
      <w:r w:rsidR="00A6794A">
        <w:rPr>
          <w:lang w:val="en-US"/>
        </w:rPr>
        <w:instrText>issue</w:instrText>
      </w:r>
      <w:r w:rsidR="00A6794A" w:rsidRPr="00D3550C">
        <w:instrText>":"1","</w:instrText>
      </w:r>
      <w:r w:rsidR="00A6794A">
        <w:rPr>
          <w:lang w:val="en-US"/>
        </w:rPr>
        <w:instrText>issued</w:instrText>
      </w:r>
      <w:r w:rsidR="00A6794A" w:rsidRPr="00D3550C">
        <w:instrText>":{"</w:instrText>
      </w:r>
      <w:r w:rsidR="00A6794A">
        <w:rPr>
          <w:lang w:val="en-US"/>
        </w:rPr>
        <w:instrText>date</w:instrText>
      </w:r>
      <w:r w:rsidR="00A6794A" w:rsidRPr="00D3550C">
        <w:instrText>-</w:instrText>
      </w:r>
      <w:r w:rsidR="00A6794A">
        <w:rPr>
          <w:lang w:val="en-US"/>
        </w:rPr>
        <w:instrText>parts</w:instrText>
      </w:r>
      <w:r w:rsidR="00A6794A" w:rsidRPr="00D3550C">
        <w:instrText>":[["2017"]]},"</w:instrText>
      </w:r>
      <w:r w:rsidR="00A6794A">
        <w:rPr>
          <w:lang w:val="en-US"/>
        </w:rPr>
        <w:instrText>page</w:instrText>
      </w:r>
      <w:r w:rsidR="00A6794A" w:rsidRPr="00D3550C">
        <w:instrText>":"33-39","</w:instrText>
      </w:r>
      <w:r w:rsidR="00A6794A">
        <w:rPr>
          <w:lang w:val="en-US"/>
        </w:rPr>
        <w:instrText>publisher</w:instrText>
      </w:r>
      <w:r w:rsidR="00A6794A" w:rsidRPr="00D3550C">
        <w:instrText>":"</w:instrText>
      </w:r>
      <w:r w:rsidR="00A6794A">
        <w:rPr>
          <w:lang w:val="en-US"/>
        </w:rPr>
        <w:instrText>Multimed</w:instrText>
      </w:r>
      <w:r w:rsidR="00A6794A" w:rsidRPr="00D3550C">
        <w:instrText xml:space="preserve"> </w:instrText>
      </w:r>
      <w:r w:rsidR="00A6794A">
        <w:rPr>
          <w:lang w:val="en-US"/>
        </w:rPr>
        <w:instrText>Inc</w:instrText>
      </w:r>
      <w:r w:rsidR="00A6794A" w:rsidRPr="00D3550C">
        <w:instrText>.","</w:instrText>
      </w:r>
      <w:r w:rsidR="00A6794A">
        <w:rPr>
          <w:lang w:val="en-US"/>
        </w:rPr>
        <w:instrText>title</w:instrText>
      </w:r>
      <w:r w:rsidR="00A6794A" w:rsidRPr="00D3550C">
        <w:instrText>":"</w:instrText>
      </w:r>
      <w:r w:rsidR="00A6794A">
        <w:rPr>
          <w:lang w:val="en-US"/>
        </w:rPr>
        <w:instrText>A</w:instrText>
      </w:r>
      <w:r w:rsidR="00A6794A" w:rsidRPr="00D3550C">
        <w:instrText xml:space="preserve"> </w:instrText>
      </w:r>
      <w:r w:rsidR="00A6794A">
        <w:rPr>
          <w:lang w:val="en-US"/>
        </w:rPr>
        <w:instrText>canadian</w:instrText>
      </w:r>
      <w:r w:rsidR="00A6794A" w:rsidRPr="00D3550C">
        <w:instrText xml:space="preserve"> </w:instrText>
      </w:r>
      <w:r w:rsidR="00A6794A">
        <w:rPr>
          <w:lang w:val="en-US"/>
        </w:rPr>
        <w:instrText>perspective</w:instrText>
      </w:r>
      <w:r w:rsidR="00A6794A" w:rsidRPr="00D3550C">
        <w:instrText xml:space="preserve"> </w:instrText>
      </w:r>
      <w:r w:rsidR="00A6794A">
        <w:rPr>
          <w:lang w:val="en-US"/>
        </w:rPr>
        <w:instrText>on</w:instrText>
      </w:r>
      <w:r w:rsidR="00A6794A" w:rsidRPr="00D3550C">
        <w:instrText xml:space="preserve"> </w:instrText>
      </w:r>
      <w:r w:rsidR="00A6794A">
        <w:rPr>
          <w:lang w:val="en-US"/>
        </w:rPr>
        <w:instrText>the</w:instrText>
      </w:r>
      <w:r w:rsidR="00A6794A" w:rsidRPr="00D3550C">
        <w:instrText xml:space="preserve"> </w:instrText>
      </w:r>
      <w:r w:rsidR="00A6794A">
        <w:rPr>
          <w:lang w:val="en-US"/>
        </w:rPr>
        <w:instrText>subcutaneous</w:instrText>
      </w:r>
      <w:r w:rsidR="00A6794A" w:rsidRPr="00D3550C">
        <w:instrText xml:space="preserve"> </w:instrText>
      </w:r>
      <w:r w:rsidR="00A6794A">
        <w:rPr>
          <w:lang w:val="en-US"/>
        </w:rPr>
        <w:instrText>administration</w:instrText>
      </w:r>
      <w:r w:rsidR="00A6794A" w:rsidRPr="00D3550C">
        <w:instrText xml:space="preserve"> </w:instrText>
      </w:r>
      <w:r w:rsidR="00A6794A">
        <w:rPr>
          <w:lang w:val="en-US"/>
        </w:rPr>
        <w:instrText>of</w:instrText>
      </w:r>
      <w:r w:rsidR="00A6794A" w:rsidRPr="00D3550C">
        <w:instrText xml:space="preserve"> </w:instrText>
      </w:r>
      <w:r w:rsidR="00A6794A">
        <w:rPr>
          <w:lang w:val="en-US"/>
        </w:rPr>
        <w:instrText>rituximab</w:instrText>
      </w:r>
      <w:r w:rsidR="00A6794A" w:rsidRPr="00D3550C">
        <w:instrText xml:space="preserve"> </w:instrText>
      </w:r>
      <w:r w:rsidR="00A6794A">
        <w:rPr>
          <w:lang w:val="en-US"/>
        </w:rPr>
        <w:instrText>in</w:instrText>
      </w:r>
      <w:r w:rsidR="00A6794A" w:rsidRPr="00D3550C">
        <w:instrText xml:space="preserve"> </w:instrText>
      </w:r>
      <w:r w:rsidR="00A6794A">
        <w:rPr>
          <w:lang w:val="en-US"/>
        </w:rPr>
        <w:instrText>non</w:instrText>
      </w:r>
      <w:r w:rsidR="00A6794A" w:rsidRPr="00D3550C">
        <w:instrText>-</w:instrText>
      </w:r>
      <w:r w:rsidR="00A6794A">
        <w:rPr>
          <w:lang w:val="en-US"/>
        </w:rPr>
        <w:instrText>Hodgkin</w:instrText>
      </w:r>
      <w:r w:rsidR="00A6794A" w:rsidRPr="00D3550C">
        <w:instrText xml:space="preserve"> </w:instrText>
      </w:r>
      <w:r w:rsidR="00A6794A">
        <w:rPr>
          <w:lang w:val="en-US"/>
        </w:rPr>
        <w:instrText>lymphoma</w:instrText>
      </w:r>
      <w:r w:rsidR="00A6794A" w:rsidRPr="00D3550C">
        <w:instrText>","</w:instrText>
      </w:r>
      <w:r w:rsidR="00A6794A">
        <w:rPr>
          <w:lang w:val="en-US"/>
        </w:rPr>
        <w:instrText>type</w:instrText>
      </w:r>
      <w:r w:rsidR="00A6794A" w:rsidRPr="00D3550C">
        <w:instrText>":"</w:instrText>
      </w:r>
      <w:r w:rsidR="00A6794A">
        <w:rPr>
          <w:lang w:val="en-US"/>
        </w:rPr>
        <w:instrText>article</w:instrText>
      </w:r>
      <w:r w:rsidR="00A6794A" w:rsidRPr="00D3550C">
        <w:instrText>","</w:instrText>
      </w:r>
      <w:r w:rsidR="00A6794A">
        <w:rPr>
          <w:lang w:val="en-US"/>
        </w:rPr>
        <w:instrText>volume</w:instrText>
      </w:r>
      <w:r w:rsidR="00A6794A" w:rsidRPr="00D3550C">
        <w:instrText>":"24"},"</w:instrText>
      </w:r>
      <w:r w:rsidR="00A6794A">
        <w:rPr>
          <w:lang w:val="en-US"/>
        </w:rPr>
        <w:instrText>uris</w:instrText>
      </w:r>
      <w:r w:rsidR="00A6794A" w:rsidRPr="00D3550C">
        <w:instrText>":["</w:instrText>
      </w:r>
      <w:r w:rsidR="00A6794A">
        <w:rPr>
          <w:lang w:val="en-US"/>
        </w:rPr>
        <w:instrText>http</w:instrText>
      </w:r>
      <w:r w:rsidR="00A6794A" w:rsidRPr="00D3550C">
        <w:instrText>://</w:instrText>
      </w:r>
      <w:r w:rsidR="00A6794A">
        <w:rPr>
          <w:lang w:val="en-US"/>
        </w:rPr>
        <w:instrText>www</w:instrText>
      </w:r>
      <w:r w:rsidR="00A6794A" w:rsidRPr="00D3550C">
        <w:instrText>.</w:instrText>
      </w:r>
      <w:r w:rsidR="00A6794A">
        <w:rPr>
          <w:lang w:val="en-US"/>
        </w:rPr>
        <w:instrText>mendeley</w:instrText>
      </w:r>
      <w:r w:rsidR="00A6794A" w:rsidRPr="00D3550C">
        <w:instrText>.</w:instrText>
      </w:r>
      <w:r w:rsidR="00A6794A">
        <w:rPr>
          <w:lang w:val="en-US"/>
        </w:rPr>
        <w:instrText>com</w:instrText>
      </w:r>
      <w:r w:rsidR="00A6794A" w:rsidRPr="00D3550C">
        <w:instrText>/</w:instrText>
      </w:r>
      <w:r w:rsidR="00A6794A">
        <w:rPr>
          <w:lang w:val="en-US"/>
        </w:rPr>
        <w:instrText>documents</w:instrText>
      </w:r>
      <w:r w:rsidR="00A6794A" w:rsidRPr="00D3550C">
        <w:instrText>/?</w:instrText>
      </w:r>
      <w:r w:rsidR="00A6794A">
        <w:rPr>
          <w:lang w:val="en-US"/>
        </w:rPr>
        <w:instrText>uuid</w:instrText>
      </w:r>
      <w:r w:rsidR="00A6794A" w:rsidRPr="00D3550C">
        <w:instrText>=0</w:instrText>
      </w:r>
      <w:r w:rsidR="00A6794A">
        <w:rPr>
          <w:lang w:val="en-US"/>
        </w:rPr>
        <w:instrText>dec</w:instrText>
      </w:r>
      <w:r w:rsidR="00A6794A" w:rsidRPr="00D3550C">
        <w:instrText>225</w:instrText>
      </w:r>
      <w:r w:rsidR="00A6794A">
        <w:rPr>
          <w:lang w:val="en-US"/>
        </w:rPr>
        <w:instrText>e</w:instrText>
      </w:r>
      <w:r w:rsidR="00A6794A" w:rsidRPr="00D3550C">
        <w:instrText>-8</w:instrText>
      </w:r>
      <w:r w:rsidR="00A6794A">
        <w:rPr>
          <w:lang w:val="en-US"/>
        </w:rPr>
        <w:instrText>a</w:instrText>
      </w:r>
      <w:r w:rsidR="00A6794A" w:rsidRPr="00D3550C">
        <w:instrText>47-3680-</w:instrText>
      </w:r>
      <w:r w:rsidR="00A6794A">
        <w:rPr>
          <w:lang w:val="en-US"/>
        </w:rPr>
        <w:instrText>ba</w:instrText>
      </w:r>
      <w:r w:rsidR="00A6794A" w:rsidRPr="00D3550C">
        <w:instrText>4</w:instrText>
      </w:r>
      <w:r w:rsidR="00A6794A">
        <w:rPr>
          <w:lang w:val="en-US"/>
        </w:rPr>
        <w:instrText>d</w:instrText>
      </w:r>
      <w:r w:rsidR="00A6794A" w:rsidRPr="00D3550C">
        <w:instrText>-891955</w:instrText>
      </w:r>
      <w:r w:rsidR="00A6794A">
        <w:rPr>
          <w:lang w:val="en-US"/>
        </w:rPr>
        <w:instrText>a</w:instrText>
      </w:r>
      <w:r w:rsidR="00A6794A" w:rsidRPr="00D3550C">
        <w:instrText>938</w:instrText>
      </w:r>
      <w:r w:rsidR="00A6794A">
        <w:rPr>
          <w:lang w:val="en-US"/>
        </w:rPr>
        <w:instrText>a</w:instrText>
      </w:r>
      <w:r w:rsidR="00A6794A" w:rsidRPr="00D3550C">
        <w:instrText>1"]}],"</w:instrText>
      </w:r>
      <w:r w:rsidR="00A6794A">
        <w:rPr>
          <w:lang w:val="en-US"/>
        </w:rPr>
        <w:instrText>mendeley</w:instrText>
      </w:r>
      <w:r w:rsidR="00A6794A" w:rsidRPr="00D3550C">
        <w:instrText>":{"</w:instrText>
      </w:r>
      <w:r w:rsidR="00A6794A">
        <w:rPr>
          <w:lang w:val="en-US"/>
        </w:rPr>
        <w:instrText>formattedCitation</w:instrText>
      </w:r>
      <w:r w:rsidR="00A6794A" w:rsidRPr="00D3550C">
        <w:instrText>":"[205–208]","</w:instrText>
      </w:r>
      <w:r w:rsidR="00A6794A">
        <w:rPr>
          <w:lang w:val="en-US"/>
        </w:rPr>
        <w:instrText>plainTextFormattedCitation</w:instrText>
      </w:r>
      <w:r w:rsidR="00A6794A" w:rsidRPr="00D3550C">
        <w:instrText>":"[205–208]","</w:instrText>
      </w:r>
      <w:r w:rsidR="00A6794A">
        <w:rPr>
          <w:lang w:val="en-US"/>
        </w:rPr>
        <w:instrText>previouslyFormattedCitation</w:instrText>
      </w:r>
      <w:r w:rsidR="00A6794A" w:rsidRPr="00D3550C">
        <w:instrText>":"[205–208]"},"</w:instrText>
      </w:r>
      <w:r w:rsidR="00A6794A">
        <w:rPr>
          <w:lang w:val="en-US"/>
        </w:rPr>
        <w:instrText>properties</w:instrText>
      </w:r>
      <w:r w:rsidR="00A6794A" w:rsidRPr="00D3550C">
        <w:instrText>":{"</w:instrText>
      </w:r>
      <w:r w:rsidR="00A6794A">
        <w:rPr>
          <w:lang w:val="en-US"/>
        </w:rPr>
        <w:instrText>noteIndex</w:instrText>
      </w:r>
      <w:r w:rsidR="00A6794A" w:rsidRPr="00D3550C">
        <w:instrText>":0},"</w:instrText>
      </w:r>
      <w:r w:rsidR="00A6794A">
        <w:rPr>
          <w:lang w:val="en-US"/>
        </w:rPr>
        <w:instrText>schema</w:instrText>
      </w:r>
      <w:r w:rsidR="00A6794A" w:rsidRPr="00D3550C">
        <w:instrText>":"</w:instrText>
      </w:r>
      <w:r w:rsidR="00A6794A">
        <w:rPr>
          <w:lang w:val="en-US"/>
        </w:rPr>
        <w:instrText>https</w:instrText>
      </w:r>
      <w:r w:rsidR="00A6794A" w:rsidRPr="00D3550C">
        <w:instrText>://</w:instrText>
      </w:r>
      <w:r w:rsidR="00A6794A">
        <w:rPr>
          <w:lang w:val="en-US"/>
        </w:rPr>
        <w:instrText>github</w:instrText>
      </w:r>
      <w:r w:rsidR="00A6794A" w:rsidRPr="00D3550C">
        <w:instrText>.</w:instrText>
      </w:r>
      <w:r w:rsidR="00A6794A">
        <w:rPr>
          <w:lang w:val="en-US"/>
        </w:rPr>
        <w:instrText>com</w:instrText>
      </w:r>
      <w:r w:rsidR="00A6794A" w:rsidRPr="00D3550C">
        <w:instrText>/</w:instrText>
      </w:r>
      <w:r w:rsidR="00A6794A">
        <w:rPr>
          <w:lang w:val="en-US"/>
        </w:rPr>
        <w:instrText>citation</w:instrText>
      </w:r>
      <w:r w:rsidR="00A6794A" w:rsidRPr="00D3550C">
        <w:instrText>-</w:instrText>
      </w:r>
      <w:r w:rsidR="00A6794A">
        <w:rPr>
          <w:lang w:val="en-US"/>
        </w:rPr>
        <w:instrText>style</w:instrText>
      </w:r>
      <w:r w:rsidR="00A6794A" w:rsidRPr="00D3550C">
        <w:instrText>-</w:instrText>
      </w:r>
      <w:r w:rsidR="00A6794A">
        <w:rPr>
          <w:lang w:val="en-US"/>
        </w:rPr>
        <w:instrText>language</w:instrText>
      </w:r>
      <w:r w:rsidR="00A6794A" w:rsidRPr="00D3550C">
        <w:instrText>/</w:instrText>
      </w:r>
      <w:r w:rsidR="00A6794A">
        <w:rPr>
          <w:lang w:val="en-US"/>
        </w:rPr>
        <w:instrText>schema</w:instrText>
      </w:r>
      <w:r w:rsidR="00A6794A" w:rsidRPr="00D3550C">
        <w:instrText>/</w:instrText>
      </w:r>
      <w:r w:rsidR="00A6794A">
        <w:rPr>
          <w:lang w:val="en-US"/>
        </w:rPr>
        <w:instrText>raw</w:instrText>
      </w:r>
      <w:r w:rsidR="00A6794A" w:rsidRPr="00D3550C">
        <w:instrText>/</w:instrText>
      </w:r>
      <w:r w:rsidR="00A6794A">
        <w:rPr>
          <w:lang w:val="en-US"/>
        </w:rPr>
        <w:instrText>master</w:instrText>
      </w:r>
      <w:r w:rsidR="00A6794A" w:rsidRPr="00D3550C">
        <w:instrText>/</w:instrText>
      </w:r>
      <w:r w:rsidR="00A6794A">
        <w:rPr>
          <w:lang w:val="en-US"/>
        </w:rPr>
        <w:instrText>csl</w:instrText>
      </w:r>
      <w:r w:rsidR="00A6794A" w:rsidRPr="00D3550C">
        <w:instrText>-</w:instrText>
      </w:r>
      <w:r w:rsidR="00A6794A">
        <w:rPr>
          <w:lang w:val="en-US"/>
        </w:rPr>
        <w:instrText>citation</w:instrText>
      </w:r>
      <w:r w:rsidR="00A6794A" w:rsidRPr="00D3550C">
        <w:instrText>.</w:instrText>
      </w:r>
      <w:r w:rsidR="00A6794A">
        <w:rPr>
          <w:lang w:val="en-US"/>
        </w:rPr>
        <w:instrText>json</w:instrText>
      </w:r>
      <w:r w:rsidR="00A6794A" w:rsidRPr="00D3550C">
        <w:instrText>"}</w:instrText>
      </w:r>
      <w:r w:rsidRPr="000322E4">
        <w:rPr>
          <w:lang w:val="en-US"/>
        </w:rPr>
        <w:fldChar w:fldCharType="separate"/>
      </w:r>
      <w:r w:rsidR="006E1902" w:rsidRPr="006E1902">
        <w:rPr>
          <w:noProof/>
        </w:rPr>
        <w:t>[205–208]</w:t>
      </w:r>
      <w:r w:rsidRPr="000322E4">
        <w:rPr>
          <w:lang w:val="en-US"/>
        </w:rPr>
        <w:fldChar w:fldCharType="end"/>
      </w:r>
    </w:p>
    <w:p w14:paraId="6756C12C" w14:textId="77777777" w:rsidR="00666D68" w:rsidRPr="005E26A0" w:rsidRDefault="00666D68" w:rsidP="00F414BF">
      <w:pPr>
        <w:numPr>
          <w:ilvl w:val="0"/>
          <w:numId w:val="40"/>
        </w:numPr>
        <w:spacing w:line="360" w:lineRule="auto"/>
        <w:jc w:val="both"/>
      </w:pPr>
      <w:r w:rsidRPr="000322E4">
        <w:t>Бендамустин</w:t>
      </w:r>
      <w:r w:rsidRPr="005E26A0">
        <w:rPr>
          <w:bCs/>
        </w:rPr>
        <w:t>**</w:t>
      </w:r>
      <w:r w:rsidRPr="005E26A0">
        <w:t xml:space="preserve"> 90 </w:t>
      </w:r>
      <w:r w:rsidRPr="000322E4">
        <w:t>мг</w:t>
      </w:r>
      <w:r w:rsidRPr="005E26A0">
        <w:t>/</w:t>
      </w:r>
      <w:r w:rsidRPr="000322E4">
        <w:t>м</w:t>
      </w:r>
      <w:r w:rsidRPr="005E26A0">
        <w:rPr>
          <w:vertAlign w:val="superscript"/>
        </w:rPr>
        <w:t>2</w:t>
      </w:r>
      <w:r w:rsidRPr="005E26A0">
        <w:t xml:space="preserve"> </w:t>
      </w:r>
      <w:r w:rsidRPr="000322E4">
        <w:t>в</w:t>
      </w:r>
      <w:r w:rsidRPr="005E26A0">
        <w:t>/</w:t>
      </w:r>
      <w:r w:rsidRPr="000322E4">
        <w:t>в</w:t>
      </w:r>
      <w:r w:rsidRPr="005E26A0">
        <w:t xml:space="preserve"> </w:t>
      </w:r>
      <w:r w:rsidRPr="000322E4">
        <w:t>кап</w:t>
      </w:r>
      <w:r w:rsidRPr="005E26A0">
        <w:t xml:space="preserve">., </w:t>
      </w:r>
      <w:r w:rsidRPr="000322E4">
        <w:t>дни</w:t>
      </w:r>
      <w:r w:rsidRPr="005E26A0">
        <w:t xml:space="preserve"> 1, 2</w:t>
      </w:r>
    </w:p>
    <w:p w14:paraId="063DADB3" w14:textId="77777777" w:rsidR="00666D68" w:rsidRPr="005E26A0" w:rsidRDefault="00666D68" w:rsidP="00F414BF">
      <w:pPr>
        <w:spacing w:line="360" w:lineRule="auto"/>
        <w:ind w:left="360"/>
        <w:jc w:val="both"/>
      </w:pPr>
      <w:r w:rsidRPr="000322E4">
        <w:t>Лечение</w:t>
      </w:r>
      <w:r w:rsidRPr="005E26A0">
        <w:t xml:space="preserve"> </w:t>
      </w:r>
      <w:r w:rsidRPr="000322E4">
        <w:t>возобновляется</w:t>
      </w:r>
      <w:r w:rsidRPr="005E26A0">
        <w:t xml:space="preserve"> </w:t>
      </w:r>
      <w:r w:rsidRPr="000322E4">
        <w:t>на</w:t>
      </w:r>
      <w:r w:rsidRPr="005E26A0">
        <w:t xml:space="preserve"> 28 </w:t>
      </w:r>
      <w:r w:rsidRPr="000322E4">
        <w:t>день</w:t>
      </w:r>
    </w:p>
    <w:p w14:paraId="073D510C" w14:textId="77777777" w:rsidR="00666D68" w:rsidRPr="005E26A0" w:rsidRDefault="00666D68" w:rsidP="00F414BF">
      <w:pPr>
        <w:spacing w:line="360" w:lineRule="auto"/>
        <w:ind w:left="360"/>
        <w:jc w:val="both"/>
      </w:pPr>
    </w:p>
    <w:p w14:paraId="565AE27E" w14:textId="592E38C1" w:rsidR="00666D68" w:rsidRPr="00293AC8" w:rsidRDefault="00666D68" w:rsidP="00F414BF">
      <w:pPr>
        <w:spacing w:line="360" w:lineRule="auto"/>
        <w:jc w:val="both"/>
      </w:pPr>
      <w:r w:rsidRPr="000322E4">
        <w:rPr>
          <w:b/>
          <w:bCs/>
          <w:lang w:val="en-US"/>
        </w:rPr>
        <w:t>R</w:t>
      </w:r>
      <w:r w:rsidRPr="005E26A0">
        <w:rPr>
          <w:b/>
          <w:bCs/>
        </w:rPr>
        <w:t>-</w:t>
      </w:r>
      <w:r w:rsidRPr="000322E4">
        <w:rPr>
          <w:b/>
          <w:bCs/>
          <w:lang w:val="en-US"/>
        </w:rPr>
        <w:t>miniCHOP</w:t>
      </w:r>
      <w:r w:rsidRPr="005E26A0">
        <w:rPr>
          <w:b/>
          <w:bCs/>
        </w:rPr>
        <w:t xml:space="preserve"> </w:t>
      </w:r>
      <w:r w:rsidRPr="000322E4">
        <w:rPr>
          <w:b/>
          <w:bCs/>
          <w:lang w:val="en-US"/>
        </w:rPr>
        <w:fldChar w:fldCharType="begin" w:fldLock="1"/>
      </w:r>
      <w:r w:rsidR="00021E2A">
        <w:rPr>
          <w:b/>
          <w:bCs/>
          <w:lang w:val="en-US"/>
        </w:rPr>
        <w:instrText>ADDIN</w:instrText>
      </w:r>
      <w:r w:rsidR="00021E2A" w:rsidRPr="00320416">
        <w:rPr>
          <w:b/>
          <w:bCs/>
        </w:rPr>
        <w:instrText xml:space="preserve"> </w:instrText>
      </w:r>
      <w:r w:rsidR="00021E2A">
        <w:rPr>
          <w:b/>
          <w:bCs/>
          <w:lang w:val="en-US"/>
        </w:rPr>
        <w:instrText>CSL</w:instrText>
      </w:r>
      <w:r w:rsidR="00021E2A" w:rsidRPr="00320416">
        <w:rPr>
          <w:b/>
          <w:bCs/>
        </w:rPr>
        <w:instrText>_</w:instrText>
      </w:r>
      <w:r w:rsidR="00021E2A">
        <w:rPr>
          <w:b/>
          <w:bCs/>
          <w:lang w:val="en-US"/>
        </w:rPr>
        <w:instrText>CITATION</w:instrText>
      </w:r>
      <w:r w:rsidR="00021E2A" w:rsidRPr="00320416">
        <w:rPr>
          <w:b/>
          <w:bCs/>
        </w:rPr>
        <w:instrText xml:space="preserve"> {"</w:instrText>
      </w:r>
      <w:r w:rsidR="00021E2A">
        <w:rPr>
          <w:b/>
          <w:bCs/>
          <w:lang w:val="en-US"/>
        </w:rPr>
        <w:instrText>citationItems</w:instrText>
      </w:r>
      <w:r w:rsidR="00021E2A" w:rsidRPr="00320416">
        <w:rPr>
          <w:b/>
          <w:bCs/>
        </w:rPr>
        <w:instrText>":[{"</w:instrText>
      </w:r>
      <w:r w:rsidR="00021E2A">
        <w:rPr>
          <w:b/>
          <w:bCs/>
          <w:lang w:val="en-US"/>
        </w:rPr>
        <w:instrText>id</w:instrText>
      </w:r>
      <w:r w:rsidR="00021E2A" w:rsidRPr="00320416">
        <w:rPr>
          <w:b/>
          <w:bCs/>
        </w:rPr>
        <w:instrText>":"</w:instrText>
      </w:r>
      <w:r w:rsidR="00021E2A">
        <w:rPr>
          <w:b/>
          <w:bCs/>
          <w:lang w:val="en-US"/>
        </w:rPr>
        <w:instrText>ITEM</w:instrText>
      </w:r>
      <w:r w:rsidR="00021E2A" w:rsidRPr="00320416">
        <w:rPr>
          <w:b/>
          <w:bCs/>
        </w:rPr>
        <w:instrText>-1","</w:instrText>
      </w:r>
      <w:r w:rsidR="00021E2A">
        <w:rPr>
          <w:b/>
          <w:bCs/>
          <w:lang w:val="en-US"/>
        </w:rPr>
        <w:instrText>itemData</w:instrText>
      </w:r>
      <w:r w:rsidR="00021E2A" w:rsidRPr="00320416">
        <w:rPr>
          <w:b/>
          <w:bCs/>
        </w:rPr>
        <w:instrText>":{"</w:instrText>
      </w:r>
      <w:r w:rsidR="00021E2A">
        <w:rPr>
          <w:b/>
          <w:bCs/>
          <w:lang w:val="en-US"/>
        </w:rPr>
        <w:instrText>DOI</w:instrText>
      </w:r>
      <w:r w:rsidR="00021E2A" w:rsidRPr="00320416">
        <w:rPr>
          <w:b/>
          <w:bCs/>
        </w:rPr>
        <w:instrText>":"10.1016/</w:instrText>
      </w:r>
      <w:r w:rsidR="00021E2A">
        <w:rPr>
          <w:b/>
          <w:bCs/>
          <w:lang w:val="en-US"/>
        </w:rPr>
        <w:instrText>S</w:instrText>
      </w:r>
      <w:r w:rsidR="00021E2A" w:rsidRPr="00320416">
        <w:rPr>
          <w:b/>
          <w:bCs/>
        </w:rPr>
        <w:instrText>1470-2045(11)70069-9","</w:instrText>
      </w:r>
      <w:r w:rsidR="00021E2A">
        <w:rPr>
          <w:b/>
          <w:bCs/>
          <w:lang w:val="en-US"/>
        </w:rPr>
        <w:instrText>ISSN</w:instrText>
      </w:r>
      <w:r w:rsidR="00021E2A" w:rsidRPr="00320416">
        <w:rPr>
          <w:b/>
          <w:bCs/>
        </w:rPr>
        <w:instrText>":"14702045","</w:instrText>
      </w:r>
      <w:r w:rsidR="00021E2A">
        <w:rPr>
          <w:b/>
          <w:bCs/>
          <w:lang w:val="en-US"/>
        </w:rPr>
        <w:instrText>abstract</w:instrText>
      </w:r>
      <w:r w:rsidR="00021E2A" w:rsidRPr="00320416">
        <w:rPr>
          <w:b/>
          <w:bCs/>
        </w:rPr>
        <w:instrText>":"</w:instrText>
      </w:r>
      <w:r w:rsidR="00021E2A">
        <w:rPr>
          <w:b/>
          <w:bCs/>
          <w:lang w:val="en-US"/>
        </w:rPr>
        <w:instrText>Background</w:instrText>
      </w:r>
      <w:r w:rsidR="00021E2A" w:rsidRPr="00320416">
        <w:rPr>
          <w:b/>
          <w:bCs/>
        </w:rPr>
        <w:instrText xml:space="preserve">: </w:instrText>
      </w:r>
      <w:r w:rsidR="00021E2A">
        <w:rPr>
          <w:b/>
          <w:bCs/>
          <w:lang w:val="en-US"/>
        </w:rPr>
        <w:instrText>Diffuse</w:instrText>
      </w:r>
      <w:r w:rsidR="00021E2A" w:rsidRPr="00320416">
        <w:rPr>
          <w:b/>
          <w:bCs/>
        </w:rPr>
        <w:instrText xml:space="preserve"> </w:instrText>
      </w:r>
      <w:r w:rsidR="00021E2A">
        <w:rPr>
          <w:b/>
          <w:bCs/>
          <w:lang w:val="en-US"/>
        </w:rPr>
        <w:instrText>large</w:instrText>
      </w:r>
      <w:r w:rsidR="00021E2A" w:rsidRPr="00320416">
        <w:rPr>
          <w:b/>
          <w:bCs/>
        </w:rPr>
        <w:instrText xml:space="preserve"> </w:instrText>
      </w:r>
      <w:r w:rsidR="00021E2A">
        <w:rPr>
          <w:b/>
          <w:bCs/>
          <w:lang w:val="en-US"/>
        </w:rPr>
        <w:instrText>B</w:instrText>
      </w:r>
      <w:r w:rsidR="00021E2A" w:rsidRPr="00320416">
        <w:rPr>
          <w:b/>
          <w:bCs/>
        </w:rPr>
        <w:instrText>-</w:instrText>
      </w:r>
      <w:r w:rsidR="00021E2A">
        <w:rPr>
          <w:b/>
          <w:bCs/>
          <w:lang w:val="en-US"/>
        </w:rPr>
        <w:instrText>cell</w:instrText>
      </w:r>
      <w:r w:rsidR="00021E2A" w:rsidRPr="00320416">
        <w:rPr>
          <w:b/>
          <w:bCs/>
        </w:rPr>
        <w:instrText xml:space="preserve"> </w:instrText>
      </w:r>
      <w:r w:rsidR="00021E2A">
        <w:rPr>
          <w:b/>
          <w:bCs/>
          <w:lang w:val="en-US"/>
        </w:rPr>
        <w:instrText>lymphoma</w:instrText>
      </w:r>
      <w:r w:rsidR="00021E2A" w:rsidRPr="00320416">
        <w:rPr>
          <w:b/>
          <w:bCs/>
        </w:rPr>
        <w:instrText xml:space="preserve"> </w:instrText>
      </w:r>
      <w:r w:rsidR="00021E2A">
        <w:rPr>
          <w:b/>
          <w:bCs/>
          <w:lang w:val="en-US"/>
        </w:rPr>
        <w:instrText>is</w:instrText>
      </w:r>
      <w:r w:rsidR="00021E2A" w:rsidRPr="00320416">
        <w:rPr>
          <w:b/>
          <w:bCs/>
        </w:rPr>
        <w:instrText xml:space="preserve"> </w:instrText>
      </w:r>
      <w:r w:rsidR="00021E2A">
        <w:rPr>
          <w:b/>
          <w:bCs/>
          <w:lang w:val="en-US"/>
        </w:rPr>
        <w:instrText>a</w:instrText>
      </w:r>
      <w:r w:rsidR="00021E2A" w:rsidRPr="00320416">
        <w:rPr>
          <w:b/>
          <w:bCs/>
        </w:rPr>
        <w:instrText xml:space="preserve"> </w:instrText>
      </w:r>
      <w:r w:rsidR="00021E2A">
        <w:rPr>
          <w:b/>
          <w:bCs/>
          <w:lang w:val="en-US"/>
        </w:rPr>
        <w:instrText>common</w:instrText>
      </w:r>
      <w:r w:rsidR="00021E2A" w:rsidRPr="00320416">
        <w:rPr>
          <w:b/>
          <w:bCs/>
        </w:rPr>
        <w:instrText xml:space="preserve"> </w:instrText>
      </w:r>
      <w:r w:rsidR="00021E2A">
        <w:rPr>
          <w:b/>
          <w:bCs/>
          <w:lang w:val="en-US"/>
        </w:rPr>
        <w:instrText>cancer</w:instrText>
      </w:r>
      <w:r w:rsidR="00021E2A" w:rsidRPr="00320416">
        <w:rPr>
          <w:b/>
          <w:bCs/>
        </w:rPr>
        <w:instrText xml:space="preserve"> </w:instrText>
      </w:r>
      <w:r w:rsidR="00021E2A">
        <w:rPr>
          <w:b/>
          <w:bCs/>
          <w:lang w:val="en-US"/>
        </w:rPr>
        <w:instrText>in</w:instrText>
      </w:r>
      <w:r w:rsidR="00021E2A" w:rsidRPr="00320416">
        <w:rPr>
          <w:b/>
          <w:bCs/>
        </w:rPr>
        <w:instrText xml:space="preserve"> </w:instrText>
      </w:r>
      <w:r w:rsidR="00021E2A">
        <w:rPr>
          <w:b/>
          <w:bCs/>
          <w:lang w:val="en-US"/>
        </w:rPr>
        <w:instrText>elderly</w:instrText>
      </w:r>
      <w:r w:rsidR="00021E2A" w:rsidRPr="00320416">
        <w:rPr>
          <w:b/>
          <w:bCs/>
        </w:rPr>
        <w:instrText xml:space="preserve"> </w:instrText>
      </w:r>
      <w:r w:rsidR="00021E2A">
        <w:rPr>
          <w:b/>
          <w:bCs/>
          <w:lang w:val="en-US"/>
        </w:rPr>
        <w:instrText>patients</w:instrText>
      </w:r>
      <w:r w:rsidR="00021E2A" w:rsidRPr="00320416">
        <w:rPr>
          <w:b/>
          <w:bCs/>
        </w:rPr>
        <w:instrText xml:space="preserve">. </w:instrText>
      </w:r>
      <w:r w:rsidR="00021E2A">
        <w:rPr>
          <w:b/>
          <w:bCs/>
          <w:lang w:val="en-US"/>
        </w:rPr>
        <w:instrText>Although</w:instrText>
      </w:r>
      <w:r w:rsidR="00021E2A" w:rsidRPr="00320416">
        <w:rPr>
          <w:b/>
          <w:bCs/>
        </w:rPr>
        <w:instrText xml:space="preserve"> </w:instrText>
      </w:r>
      <w:r w:rsidR="00021E2A">
        <w:rPr>
          <w:b/>
          <w:bCs/>
          <w:lang w:val="en-US"/>
        </w:rPr>
        <w:instrText>treatment</w:instrText>
      </w:r>
      <w:r w:rsidR="00021E2A" w:rsidRPr="00320416">
        <w:rPr>
          <w:b/>
          <w:bCs/>
        </w:rPr>
        <w:instrText xml:space="preserve"> </w:instrText>
      </w:r>
      <w:r w:rsidR="00021E2A">
        <w:rPr>
          <w:b/>
          <w:bCs/>
          <w:lang w:val="en-US"/>
        </w:rPr>
        <w:instrText>has</w:instrText>
      </w:r>
      <w:r w:rsidR="00021E2A" w:rsidRPr="00320416">
        <w:rPr>
          <w:b/>
          <w:bCs/>
        </w:rPr>
        <w:instrText xml:space="preserve"> </w:instrText>
      </w:r>
      <w:r w:rsidR="00021E2A">
        <w:rPr>
          <w:b/>
          <w:bCs/>
          <w:lang w:val="en-US"/>
        </w:rPr>
        <w:instrText>been</w:instrText>
      </w:r>
      <w:r w:rsidR="00021E2A" w:rsidRPr="00320416">
        <w:rPr>
          <w:b/>
          <w:bCs/>
        </w:rPr>
        <w:instrText xml:space="preserve"> </w:instrText>
      </w:r>
      <w:r w:rsidR="00021E2A">
        <w:rPr>
          <w:b/>
          <w:bCs/>
          <w:lang w:val="en-US"/>
        </w:rPr>
        <w:instrText>standardised</w:instrText>
      </w:r>
      <w:r w:rsidR="00021E2A" w:rsidRPr="00320416">
        <w:rPr>
          <w:b/>
          <w:bCs/>
        </w:rPr>
        <w:instrText xml:space="preserve"> </w:instrText>
      </w:r>
      <w:r w:rsidR="00021E2A">
        <w:rPr>
          <w:b/>
          <w:bCs/>
          <w:lang w:val="en-US"/>
        </w:rPr>
        <w:instrText>in</w:instrText>
      </w:r>
      <w:r w:rsidR="00021E2A" w:rsidRPr="00320416">
        <w:rPr>
          <w:b/>
          <w:bCs/>
        </w:rPr>
        <w:instrText xml:space="preserve"> </w:instrText>
      </w:r>
      <w:r w:rsidR="00021E2A">
        <w:rPr>
          <w:b/>
          <w:bCs/>
          <w:lang w:val="en-US"/>
        </w:rPr>
        <w:instrText>younger</w:instrText>
      </w:r>
      <w:r w:rsidR="00021E2A" w:rsidRPr="00320416">
        <w:rPr>
          <w:b/>
          <w:bCs/>
        </w:rPr>
        <w:instrText xml:space="preserve"> </w:instrText>
      </w:r>
      <w:r w:rsidR="00021E2A">
        <w:rPr>
          <w:b/>
          <w:bCs/>
          <w:lang w:val="en-US"/>
        </w:rPr>
        <w:instrText>patients</w:instrText>
      </w:r>
      <w:r w:rsidR="00021E2A" w:rsidRPr="00320416">
        <w:rPr>
          <w:b/>
          <w:bCs/>
        </w:rPr>
        <w:instrText xml:space="preserve">, </w:instrText>
      </w:r>
      <w:r w:rsidR="00021E2A">
        <w:rPr>
          <w:b/>
          <w:bCs/>
          <w:lang w:val="en-US"/>
        </w:rPr>
        <w:instrText>no</w:instrText>
      </w:r>
      <w:r w:rsidR="00021E2A" w:rsidRPr="00320416">
        <w:rPr>
          <w:b/>
          <w:bCs/>
        </w:rPr>
        <w:instrText xml:space="preserve"> </w:instrText>
      </w:r>
      <w:r w:rsidR="00021E2A">
        <w:rPr>
          <w:b/>
          <w:bCs/>
          <w:lang w:val="en-US"/>
        </w:rPr>
        <w:instrText>prospective</w:instrText>
      </w:r>
      <w:r w:rsidR="00021E2A" w:rsidRPr="00320416">
        <w:rPr>
          <w:b/>
          <w:bCs/>
        </w:rPr>
        <w:instrText xml:space="preserve"> </w:instrText>
      </w:r>
      <w:r w:rsidR="00021E2A">
        <w:rPr>
          <w:b/>
          <w:bCs/>
          <w:lang w:val="en-US"/>
        </w:rPr>
        <w:instrText>study</w:instrText>
      </w:r>
      <w:r w:rsidR="00021E2A" w:rsidRPr="00320416">
        <w:rPr>
          <w:b/>
          <w:bCs/>
        </w:rPr>
        <w:instrText xml:space="preserve"> </w:instrText>
      </w:r>
      <w:r w:rsidR="00021E2A">
        <w:rPr>
          <w:b/>
          <w:bCs/>
          <w:lang w:val="en-US"/>
        </w:rPr>
        <w:instrText>has</w:instrText>
      </w:r>
      <w:r w:rsidR="00021E2A" w:rsidRPr="00320416">
        <w:rPr>
          <w:b/>
          <w:bCs/>
        </w:rPr>
        <w:instrText xml:space="preserve"> </w:instrText>
      </w:r>
      <w:r w:rsidR="00021E2A">
        <w:rPr>
          <w:b/>
          <w:bCs/>
          <w:lang w:val="en-US"/>
        </w:rPr>
        <w:instrText>been</w:instrText>
      </w:r>
      <w:r w:rsidR="00021E2A" w:rsidRPr="00320416">
        <w:rPr>
          <w:b/>
          <w:bCs/>
        </w:rPr>
        <w:instrText xml:space="preserve"> </w:instrText>
      </w:r>
      <w:r w:rsidR="00021E2A">
        <w:rPr>
          <w:b/>
          <w:bCs/>
          <w:lang w:val="en-US"/>
        </w:rPr>
        <w:instrText>done</w:instrText>
      </w:r>
      <w:r w:rsidR="00021E2A" w:rsidRPr="00320416">
        <w:rPr>
          <w:b/>
          <w:bCs/>
        </w:rPr>
        <w:instrText xml:space="preserve"> </w:instrText>
      </w:r>
      <w:r w:rsidR="00021E2A">
        <w:rPr>
          <w:b/>
          <w:bCs/>
          <w:lang w:val="en-US"/>
        </w:rPr>
        <w:instrText>in</w:instrText>
      </w:r>
      <w:r w:rsidR="00021E2A" w:rsidRPr="00320416">
        <w:rPr>
          <w:b/>
          <w:bCs/>
        </w:rPr>
        <w:instrText xml:space="preserve"> </w:instrText>
      </w:r>
      <w:r w:rsidR="00021E2A">
        <w:rPr>
          <w:b/>
          <w:bCs/>
          <w:lang w:val="en-US"/>
        </w:rPr>
        <w:instrText>patients</w:instrText>
      </w:r>
      <w:r w:rsidR="00021E2A" w:rsidRPr="00320416">
        <w:rPr>
          <w:b/>
          <w:bCs/>
        </w:rPr>
        <w:instrText xml:space="preserve"> </w:instrText>
      </w:r>
      <w:r w:rsidR="00021E2A">
        <w:rPr>
          <w:b/>
          <w:bCs/>
          <w:lang w:val="en-US"/>
        </w:rPr>
        <w:instrText>over</w:instrText>
      </w:r>
      <w:r w:rsidR="00021E2A" w:rsidRPr="00320416">
        <w:rPr>
          <w:b/>
          <w:bCs/>
        </w:rPr>
        <w:instrText xml:space="preserve"> 80 </w:instrText>
      </w:r>
      <w:r w:rsidR="00021E2A">
        <w:rPr>
          <w:b/>
          <w:bCs/>
          <w:lang w:val="en-US"/>
        </w:rPr>
        <w:instrText>years</w:instrText>
      </w:r>
      <w:r w:rsidR="00021E2A" w:rsidRPr="00320416">
        <w:rPr>
          <w:b/>
          <w:bCs/>
        </w:rPr>
        <w:instrText xml:space="preserve"> </w:instrText>
      </w:r>
      <w:r w:rsidR="00021E2A">
        <w:rPr>
          <w:b/>
          <w:bCs/>
          <w:lang w:val="en-US"/>
        </w:rPr>
        <w:instrText>old</w:instrText>
      </w:r>
      <w:r w:rsidR="00021E2A" w:rsidRPr="00320416">
        <w:rPr>
          <w:b/>
          <w:bCs/>
        </w:rPr>
        <w:instrText xml:space="preserve">. </w:instrText>
      </w:r>
      <w:r w:rsidR="00021E2A">
        <w:rPr>
          <w:b/>
          <w:bCs/>
          <w:lang w:val="en-US"/>
        </w:rPr>
        <w:instrText>We</w:instrText>
      </w:r>
      <w:r w:rsidR="00021E2A" w:rsidRPr="00320416">
        <w:rPr>
          <w:b/>
          <w:bCs/>
        </w:rPr>
        <w:instrText xml:space="preserve"> </w:instrText>
      </w:r>
      <w:r w:rsidR="00021E2A">
        <w:rPr>
          <w:b/>
          <w:bCs/>
          <w:lang w:val="en-US"/>
        </w:rPr>
        <w:instrText>aimed</w:instrText>
      </w:r>
      <w:r w:rsidR="00021E2A" w:rsidRPr="00320416">
        <w:rPr>
          <w:b/>
          <w:bCs/>
        </w:rPr>
        <w:instrText xml:space="preserve"> </w:instrText>
      </w:r>
      <w:r w:rsidR="00021E2A">
        <w:rPr>
          <w:b/>
          <w:bCs/>
          <w:lang w:val="en-US"/>
        </w:rPr>
        <w:instrText>to</w:instrText>
      </w:r>
      <w:r w:rsidR="00021E2A" w:rsidRPr="00320416">
        <w:rPr>
          <w:b/>
          <w:bCs/>
        </w:rPr>
        <w:instrText xml:space="preserve"> </w:instrText>
      </w:r>
      <w:r w:rsidR="00021E2A">
        <w:rPr>
          <w:b/>
          <w:bCs/>
          <w:lang w:val="en-US"/>
        </w:rPr>
        <w:instrText>investigate</w:instrText>
      </w:r>
      <w:r w:rsidR="00021E2A" w:rsidRPr="00320416">
        <w:rPr>
          <w:b/>
          <w:bCs/>
        </w:rPr>
        <w:instrText xml:space="preserve"> </w:instrText>
      </w:r>
      <w:r w:rsidR="00021E2A">
        <w:rPr>
          <w:b/>
          <w:bCs/>
          <w:lang w:val="en-US"/>
        </w:rPr>
        <w:instrText>the</w:instrText>
      </w:r>
      <w:r w:rsidR="00021E2A" w:rsidRPr="00320416">
        <w:rPr>
          <w:b/>
          <w:bCs/>
        </w:rPr>
        <w:instrText xml:space="preserve"> </w:instrText>
      </w:r>
      <w:r w:rsidR="00021E2A">
        <w:rPr>
          <w:b/>
          <w:bCs/>
          <w:lang w:val="en-US"/>
        </w:rPr>
        <w:instrText>efficacy</w:instrText>
      </w:r>
      <w:r w:rsidR="00021E2A" w:rsidRPr="00320416">
        <w:rPr>
          <w:b/>
          <w:bCs/>
        </w:rPr>
        <w:instrText xml:space="preserve"> </w:instrText>
      </w:r>
      <w:r w:rsidR="00021E2A">
        <w:rPr>
          <w:b/>
          <w:bCs/>
          <w:lang w:val="en-US"/>
        </w:rPr>
        <w:instrText>and</w:instrText>
      </w:r>
      <w:r w:rsidR="00021E2A" w:rsidRPr="00320416">
        <w:rPr>
          <w:b/>
          <w:bCs/>
        </w:rPr>
        <w:instrText xml:space="preserve"> </w:instrText>
      </w:r>
      <w:r w:rsidR="00021E2A">
        <w:rPr>
          <w:b/>
          <w:bCs/>
          <w:lang w:val="en-US"/>
        </w:rPr>
        <w:instrText>safety</w:instrText>
      </w:r>
      <w:r w:rsidR="00021E2A" w:rsidRPr="00320416">
        <w:rPr>
          <w:b/>
          <w:bCs/>
        </w:rPr>
        <w:instrText xml:space="preserve"> </w:instrText>
      </w:r>
      <w:r w:rsidR="00021E2A">
        <w:rPr>
          <w:b/>
          <w:bCs/>
          <w:lang w:val="en-US"/>
        </w:rPr>
        <w:instrText>of</w:instrText>
      </w:r>
      <w:r w:rsidR="00021E2A" w:rsidRPr="00320416">
        <w:rPr>
          <w:b/>
          <w:bCs/>
        </w:rPr>
        <w:instrText xml:space="preserve"> </w:instrText>
      </w:r>
      <w:r w:rsidR="00021E2A">
        <w:rPr>
          <w:b/>
          <w:bCs/>
          <w:lang w:val="en-US"/>
        </w:rPr>
        <w:instrText>a</w:instrText>
      </w:r>
      <w:r w:rsidR="00021E2A" w:rsidRPr="00320416">
        <w:rPr>
          <w:b/>
          <w:bCs/>
        </w:rPr>
        <w:instrText xml:space="preserve"> </w:instrText>
      </w:r>
      <w:r w:rsidR="00021E2A">
        <w:rPr>
          <w:b/>
          <w:bCs/>
          <w:lang w:val="en-US"/>
        </w:rPr>
        <w:instrText>decreased</w:instrText>
      </w:r>
      <w:r w:rsidR="00021E2A" w:rsidRPr="00320416">
        <w:rPr>
          <w:b/>
          <w:bCs/>
        </w:rPr>
        <w:instrText xml:space="preserve"> </w:instrText>
      </w:r>
      <w:r w:rsidR="00021E2A">
        <w:rPr>
          <w:b/>
          <w:bCs/>
          <w:lang w:val="en-US"/>
        </w:rPr>
        <w:instrText>dose</w:instrText>
      </w:r>
      <w:r w:rsidR="00021E2A" w:rsidRPr="00320416">
        <w:rPr>
          <w:b/>
          <w:bCs/>
        </w:rPr>
        <w:instrText xml:space="preserve"> </w:instrText>
      </w:r>
      <w:r w:rsidR="00021E2A">
        <w:rPr>
          <w:b/>
          <w:bCs/>
          <w:lang w:val="en-US"/>
        </w:rPr>
        <w:instrText>of</w:instrText>
      </w:r>
      <w:r w:rsidR="00021E2A" w:rsidRPr="00320416">
        <w:rPr>
          <w:b/>
          <w:bCs/>
        </w:rPr>
        <w:instrText xml:space="preserve"> </w:instrText>
      </w:r>
      <w:r w:rsidR="00021E2A">
        <w:rPr>
          <w:b/>
          <w:bCs/>
          <w:lang w:val="en-US"/>
        </w:rPr>
        <w:instrText>CHOP</w:instrText>
      </w:r>
      <w:r w:rsidR="00021E2A" w:rsidRPr="00320416">
        <w:rPr>
          <w:b/>
          <w:bCs/>
        </w:rPr>
        <w:instrText xml:space="preserve"> (</w:instrText>
      </w:r>
      <w:r w:rsidR="00021E2A">
        <w:rPr>
          <w:b/>
          <w:bCs/>
          <w:lang w:val="en-US"/>
        </w:rPr>
        <w:instrText>doxorubicin</w:instrText>
      </w:r>
      <w:r w:rsidR="00021E2A" w:rsidRPr="00320416">
        <w:rPr>
          <w:b/>
          <w:bCs/>
        </w:rPr>
        <w:instrText xml:space="preserve">, </w:instrText>
      </w:r>
      <w:r w:rsidR="00021E2A">
        <w:rPr>
          <w:b/>
          <w:bCs/>
          <w:lang w:val="en-US"/>
        </w:rPr>
        <w:instrText>cyclophosphamide</w:instrText>
      </w:r>
      <w:r w:rsidR="00021E2A" w:rsidRPr="00320416">
        <w:rPr>
          <w:b/>
          <w:bCs/>
        </w:rPr>
        <w:instrText xml:space="preserve">, </w:instrText>
      </w:r>
      <w:r w:rsidR="00021E2A">
        <w:rPr>
          <w:b/>
          <w:bCs/>
          <w:lang w:val="en-US"/>
        </w:rPr>
        <w:instrText>vincristine</w:instrText>
      </w:r>
      <w:r w:rsidR="00021E2A" w:rsidRPr="00320416">
        <w:rPr>
          <w:b/>
          <w:bCs/>
        </w:rPr>
        <w:instrText xml:space="preserve">, </w:instrText>
      </w:r>
      <w:r w:rsidR="00021E2A">
        <w:rPr>
          <w:b/>
          <w:bCs/>
          <w:lang w:val="en-US"/>
        </w:rPr>
        <w:instrText>and</w:instrText>
      </w:r>
      <w:r w:rsidR="00021E2A" w:rsidRPr="00320416">
        <w:rPr>
          <w:b/>
          <w:bCs/>
        </w:rPr>
        <w:instrText xml:space="preserve"> </w:instrText>
      </w:r>
      <w:r w:rsidR="00021E2A">
        <w:rPr>
          <w:b/>
          <w:bCs/>
          <w:lang w:val="en-US"/>
        </w:rPr>
        <w:instrText>prednisone</w:instrText>
      </w:r>
      <w:r w:rsidR="00021E2A" w:rsidRPr="00320416">
        <w:rPr>
          <w:b/>
          <w:bCs/>
        </w:rPr>
        <w:instrText xml:space="preserve">) </w:instrText>
      </w:r>
      <w:r w:rsidR="00021E2A">
        <w:rPr>
          <w:b/>
          <w:bCs/>
          <w:lang w:val="en-US"/>
        </w:rPr>
        <w:instrText>chemotherapy</w:instrText>
      </w:r>
      <w:r w:rsidR="00021E2A" w:rsidRPr="00320416">
        <w:rPr>
          <w:b/>
          <w:bCs/>
        </w:rPr>
        <w:instrText xml:space="preserve"> </w:instrText>
      </w:r>
      <w:r w:rsidR="00021E2A">
        <w:rPr>
          <w:b/>
          <w:bCs/>
          <w:lang w:val="en-US"/>
        </w:rPr>
        <w:instrText>with</w:instrText>
      </w:r>
      <w:r w:rsidR="00021E2A" w:rsidRPr="00320416">
        <w:rPr>
          <w:b/>
          <w:bCs/>
        </w:rPr>
        <w:instrText xml:space="preserve"> </w:instrText>
      </w:r>
      <w:r w:rsidR="00021E2A">
        <w:rPr>
          <w:b/>
          <w:bCs/>
          <w:lang w:val="en-US"/>
        </w:rPr>
        <w:instrText>a</w:instrText>
      </w:r>
      <w:r w:rsidR="00021E2A" w:rsidRPr="00320416">
        <w:rPr>
          <w:b/>
          <w:bCs/>
        </w:rPr>
        <w:instrText xml:space="preserve"> </w:instrText>
      </w:r>
      <w:r w:rsidR="00021E2A">
        <w:rPr>
          <w:b/>
          <w:bCs/>
          <w:lang w:val="en-US"/>
        </w:rPr>
        <w:instrText>conventional</w:instrText>
      </w:r>
      <w:r w:rsidR="00021E2A" w:rsidRPr="00320416">
        <w:rPr>
          <w:b/>
          <w:bCs/>
        </w:rPr>
        <w:instrText xml:space="preserve"> </w:instrText>
      </w:r>
      <w:r w:rsidR="00021E2A">
        <w:rPr>
          <w:b/>
          <w:bCs/>
          <w:lang w:val="en-US"/>
        </w:rPr>
        <w:instrText>dose</w:instrText>
      </w:r>
      <w:r w:rsidR="00021E2A" w:rsidRPr="00320416">
        <w:rPr>
          <w:b/>
          <w:bCs/>
        </w:rPr>
        <w:instrText xml:space="preserve"> </w:instrText>
      </w:r>
      <w:r w:rsidR="00021E2A">
        <w:rPr>
          <w:b/>
          <w:bCs/>
          <w:lang w:val="en-US"/>
        </w:rPr>
        <w:instrText>of</w:instrText>
      </w:r>
      <w:r w:rsidR="00021E2A" w:rsidRPr="00320416">
        <w:rPr>
          <w:b/>
          <w:bCs/>
        </w:rPr>
        <w:instrText xml:space="preserve"> </w:instrText>
      </w:r>
      <w:r w:rsidR="00021E2A">
        <w:rPr>
          <w:b/>
          <w:bCs/>
          <w:lang w:val="en-US"/>
        </w:rPr>
        <w:instrText>rituximab</w:instrText>
      </w:r>
      <w:r w:rsidR="00021E2A" w:rsidRPr="00320416">
        <w:rPr>
          <w:b/>
          <w:bCs/>
        </w:rPr>
        <w:instrText xml:space="preserve"> </w:instrText>
      </w:r>
      <w:r w:rsidR="00021E2A">
        <w:rPr>
          <w:b/>
          <w:bCs/>
          <w:lang w:val="en-US"/>
        </w:rPr>
        <w:instrText>in</w:instrText>
      </w:r>
      <w:r w:rsidR="00021E2A" w:rsidRPr="00320416">
        <w:rPr>
          <w:b/>
          <w:bCs/>
        </w:rPr>
        <w:instrText xml:space="preserve"> </w:instrText>
      </w:r>
      <w:r w:rsidR="00021E2A">
        <w:rPr>
          <w:b/>
          <w:bCs/>
          <w:lang w:val="en-US"/>
        </w:rPr>
        <w:instrText>elderly</w:instrText>
      </w:r>
      <w:r w:rsidR="00021E2A" w:rsidRPr="00320416">
        <w:rPr>
          <w:b/>
          <w:bCs/>
        </w:rPr>
        <w:instrText xml:space="preserve"> </w:instrText>
      </w:r>
      <w:r w:rsidR="00021E2A">
        <w:rPr>
          <w:b/>
          <w:bCs/>
          <w:lang w:val="en-US"/>
        </w:rPr>
        <w:instrText>patients</w:instrText>
      </w:r>
      <w:r w:rsidR="00021E2A" w:rsidRPr="00320416">
        <w:rPr>
          <w:b/>
          <w:bCs/>
        </w:rPr>
        <w:instrText xml:space="preserve"> </w:instrText>
      </w:r>
      <w:r w:rsidR="00021E2A">
        <w:rPr>
          <w:b/>
          <w:bCs/>
          <w:lang w:val="en-US"/>
        </w:rPr>
        <w:instrText>with</w:instrText>
      </w:r>
      <w:r w:rsidR="00021E2A" w:rsidRPr="00320416">
        <w:rPr>
          <w:b/>
          <w:bCs/>
        </w:rPr>
        <w:instrText xml:space="preserve"> </w:instrText>
      </w:r>
      <w:r w:rsidR="00021E2A">
        <w:rPr>
          <w:b/>
          <w:bCs/>
          <w:lang w:val="en-US"/>
        </w:rPr>
        <w:instrText>diffuse</w:instrText>
      </w:r>
      <w:r w:rsidR="00021E2A" w:rsidRPr="00320416">
        <w:rPr>
          <w:b/>
          <w:bCs/>
        </w:rPr>
        <w:instrText xml:space="preserve"> </w:instrText>
      </w:r>
      <w:r w:rsidR="00021E2A">
        <w:rPr>
          <w:b/>
          <w:bCs/>
          <w:lang w:val="en-US"/>
        </w:rPr>
        <w:instrText>large</w:instrText>
      </w:r>
      <w:r w:rsidR="00021E2A" w:rsidRPr="00320416">
        <w:rPr>
          <w:b/>
          <w:bCs/>
        </w:rPr>
        <w:instrText xml:space="preserve"> </w:instrText>
      </w:r>
      <w:r w:rsidR="00021E2A">
        <w:rPr>
          <w:b/>
          <w:bCs/>
          <w:lang w:val="en-US"/>
        </w:rPr>
        <w:instrText>B</w:instrText>
      </w:r>
      <w:r w:rsidR="00021E2A" w:rsidRPr="00320416">
        <w:rPr>
          <w:b/>
          <w:bCs/>
        </w:rPr>
        <w:instrText>-</w:instrText>
      </w:r>
      <w:r w:rsidR="00021E2A">
        <w:rPr>
          <w:b/>
          <w:bCs/>
          <w:lang w:val="en-US"/>
        </w:rPr>
        <w:instrText>cell</w:instrText>
      </w:r>
      <w:r w:rsidR="00021E2A" w:rsidRPr="00320416">
        <w:rPr>
          <w:b/>
          <w:bCs/>
        </w:rPr>
        <w:instrText xml:space="preserve"> </w:instrText>
      </w:r>
      <w:r w:rsidR="00021E2A">
        <w:rPr>
          <w:b/>
          <w:bCs/>
          <w:lang w:val="en-US"/>
        </w:rPr>
        <w:instrText>lymphoma</w:instrText>
      </w:r>
      <w:r w:rsidR="00021E2A" w:rsidRPr="00320416">
        <w:rPr>
          <w:b/>
          <w:bCs/>
        </w:rPr>
        <w:instrText xml:space="preserve">. </w:instrText>
      </w:r>
      <w:r w:rsidR="00021E2A">
        <w:rPr>
          <w:b/>
          <w:bCs/>
          <w:lang w:val="en-US"/>
        </w:rPr>
        <w:instrText>Methods</w:instrText>
      </w:r>
      <w:r w:rsidR="00021E2A" w:rsidRPr="00320416">
        <w:rPr>
          <w:b/>
          <w:bCs/>
        </w:rPr>
        <w:instrText xml:space="preserve">: </w:instrText>
      </w:r>
      <w:r w:rsidR="00021E2A">
        <w:rPr>
          <w:b/>
          <w:bCs/>
          <w:lang w:val="en-US"/>
        </w:rPr>
        <w:instrText>We</w:instrText>
      </w:r>
      <w:r w:rsidR="00021E2A" w:rsidRPr="00320416">
        <w:rPr>
          <w:b/>
          <w:bCs/>
        </w:rPr>
        <w:instrText xml:space="preserve"> </w:instrText>
      </w:r>
      <w:r w:rsidR="00021E2A">
        <w:rPr>
          <w:b/>
          <w:bCs/>
          <w:lang w:val="en-US"/>
        </w:rPr>
        <w:instrText>did</w:instrText>
      </w:r>
      <w:r w:rsidR="00021E2A" w:rsidRPr="00320416">
        <w:rPr>
          <w:b/>
          <w:bCs/>
        </w:rPr>
        <w:instrText xml:space="preserve"> </w:instrText>
      </w:r>
      <w:r w:rsidR="00021E2A">
        <w:rPr>
          <w:b/>
          <w:bCs/>
          <w:lang w:val="en-US"/>
        </w:rPr>
        <w:instrText>a</w:instrText>
      </w:r>
      <w:r w:rsidR="00021E2A" w:rsidRPr="00320416">
        <w:rPr>
          <w:b/>
          <w:bCs/>
        </w:rPr>
        <w:instrText xml:space="preserve"> </w:instrText>
      </w:r>
      <w:r w:rsidR="00021E2A">
        <w:rPr>
          <w:b/>
          <w:bCs/>
          <w:lang w:val="en-US"/>
        </w:rPr>
        <w:instrText>prospective</w:instrText>
      </w:r>
      <w:r w:rsidR="00021E2A" w:rsidRPr="00320416">
        <w:rPr>
          <w:b/>
          <w:bCs/>
        </w:rPr>
        <w:instrText xml:space="preserve">, </w:instrText>
      </w:r>
      <w:r w:rsidR="00021E2A">
        <w:rPr>
          <w:b/>
          <w:bCs/>
          <w:lang w:val="en-US"/>
        </w:rPr>
        <w:instrText>multicentre</w:instrText>
      </w:r>
      <w:r w:rsidR="00021E2A" w:rsidRPr="00320416">
        <w:rPr>
          <w:b/>
          <w:bCs/>
        </w:rPr>
        <w:instrText xml:space="preserve">, </w:instrText>
      </w:r>
      <w:r w:rsidR="00021E2A">
        <w:rPr>
          <w:b/>
          <w:bCs/>
          <w:lang w:val="en-US"/>
        </w:rPr>
        <w:instrText>single</w:instrText>
      </w:r>
      <w:r w:rsidR="00021E2A" w:rsidRPr="00320416">
        <w:rPr>
          <w:b/>
          <w:bCs/>
        </w:rPr>
        <w:instrText>-</w:instrText>
      </w:r>
      <w:r w:rsidR="00021E2A">
        <w:rPr>
          <w:b/>
          <w:bCs/>
          <w:lang w:val="en-US"/>
        </w:rPr>
        <w:instrText>arm</w:instrText>
      </w:r>
      <w:r w:rsidR="00021E2A" w:rsidRPr="00320416">
        <w:rPr>
          <w:b/>
          <w:bCs/>
        </w:rPr>
        <w:instrText xml:space="preserve">, </w:instrText>
      </w:r>
      <w:r w:rsidR="00021E2A">
        <w:rPr>
          <w:b/>
          <w:bCs/>
          <w:lang w:val="en-US"/>
        </w:rPr>
        <w:instrText>phase</w:instrText>
      </w:r>
      <w:r w:rsidR="00021E2A" w:rsidRPr="00320416">
        <w:rPr>
          <w:b/>
          <w:bCs/>
        </w:rPr>
        <w:instrText xml:space="preserve"> 2 </w:instrText>
      </w:r>
      <w:r w:rsidR="00021E2A">
        <w:rPr>
          <w:b/>
          <w:bCs/>
          <w:lang w:val="en-US"/>
        </w:rPr>
        <w:instrText>study</w:instrText>
      </w:r>
      <w:r w:rsidR="00021E2A" w:rsidRPr="00320416">
        <w:rPr>
          <w:b/>
          <w:bCs/>
        </w:rPr>
        <w:instrText xml:space="preserve"> </w:instrText>
      </w:r>
      <w:r w:rsidR="00021E2A">
        <w:rPr>
          <w:b/>
          <w:bCs/>
          <w:lang w:val="en-US"/>
        </w:rPr>
        <w:instrText>of</w:instrText>
      </w:r>
      <w:r w:rsidR="00021E2A" w:rsidRPr="00320416">
        <w:rPr>
          <w:b/>
          <w:bCs/>
        </w:rPr>
        <w:instrText xml:space="preserve"> </w:instrText>
      </w:r>
      <w:r w:rsidR="00021E2A">
        <w:rPr>
          <w:b/>
          <w:bCs/>
          <w:lang w:val="en-US"/>
        </w:rPr>
        <w:instrText>patients</w:instrText>
      </w:r>
      <w:r w:rsidR="00021E2A" w:rsidRPr="00320416">
        <w:rPr>
          <w:b/>
          <w:bCs/>
        </w:rPr>
        <w:instrText xml:space="preserve"> </w:instrText>
      </w:r>
      <w:r w:rsidR="00021E2A">
        <w:rPr>
          <w:b/>
          <w:bCs/>
          <w:lang w:val="en-US"/>
        </w:rPr>
        <w:instrText>aged</w:instrText>
      </w:r>
      <w:r w:rsidR="00021E2A" w:rsidRPr="00320416">
        <w:rPr>
          <w:b/>
          <w:bCs/>
        </w:rPr>
        <w:instrText xml:space="preserve"> </w:instrText>
      </w:r>
      <w:r w:rsidR="00021E2A">
        <w:rPr>
          <w:b/>
          <w:bCs/>
          <w:lang w:val="en-US"/>
        </w:rPr>
        <w:instrText>over</w:instrText>
      </w:r>
      <w:r w:rsidR="00021E2A" w:rsidRPr="00320416">
        <w:rPr>
          <w:b/>
          <w:bCs/>
        </w:rPr>
        <w:instrText xml:space="preserve"> 80 </w:instrText>
      </w:r>
      <w:r w:rsidR="00021E2A">
        <w:rPr>
          <w:b/>
          <w:bCs/>
          <w:lang w:val="en-US"/>
        </w:rPr>
        <w:instrText>years</w:instrText>
      </w:r>
      <w:r w:rsidR="00021E2A" w:rsidRPr="00320416">
        <w:rPr>
          <w:b/>
          <w:bCs/>
        </w:rPr>
        <w:instrText xml:space="preserve"> </w:instrText>
      </w:r>
      <w:r w:rsidR="00021E2A">
        <w:rPr>
          <w:b/>
          <w:bCs/>
          <w:lang w:val="en-US"/>
        </w:rPr>
        <w:instrText>who</w:instrText>
      </w:r>
      <w:r w:rsidR="00021E2A" w:rsidRPr="00320416">
        <w:rPr>
          <w:b/>
          <w:bCs/>
        </w:rPr>
        <w:instrText xml:space="preserve"> </w:instrText>
      </w:r>
      <w:r w:rsidR="00021E2A">
        <w:rPr>
          <w:b/>
          <w:bCs/>
          <w:lang w:val="en-US"/>
        </w:rPr>
        <w:instrText>had</w:instrText>
      </w:r>
      <w:r w:rsidR="00021E2A" w:rsidRPr="00320416">
        <w:rPr>
          <w:b/>
          <w:bCs/>
        </w:rPr>
        <w:instrText xml:space="preserve"> </w:instrText>
      </w:r>
      <w:r w:rsidR="00021E2A">
        <w:rPr>
          <w:b/>
          <w:bCs/>
          <w:lang w:val="en-US"/>
        </w:rPr>
        <w:instrText>diffuse</w:instrText>
      </w:r>
      <w:r w:rsidR="00021E2A" w:rsidRPr="00320416">
        <w:rPr>
          <w:b/>
          <w:bCs/>
        </w:rPr>
        <w:instrText xml:space="preserve"> </w:instrText>
      </w:r>
      <w:r w:rsidR="00021E2A">
        <w:rPr>
          <w:b/>
          <w:bCs/>
          <w:lang w:val="en-US"/>
        </w:rPr>
        <w:instrText>large</w:instrText>
      </w:r>
      <w:r w:rsidR="00021E2A" w:rsidRPr="00320416">
        <w:rPr>
          <w:b/>
          <w:bCs/>
        </w:rPr>
        <w:instrText xml:space="preserve"> </w:instrText>
      </w:r>
      <w:r w:rsidR="00021E2A">
        <w:rPr>
          <w:b/>
          <w:bCs/>
          <w:lang w:val="en-US"/>
        </w:rPr>
        <w:instrText>B</w:instrText>
      </w:r>
      <w:r w:rsidR="00021E2A" w:rsidRPr="00320416">
        <w:rPr>
          <w:b/>
          <w:bCs/>
        </w:rPr>
        <w:instrText>-</w:instrText>
      </w:r>
      <w:r w:rsidR="00021E2A">
        <w:rPr>
          <w:b/>
          <w:bCs/>
          <w:lang w:val="en-US"/>
        </w:rPr>
        <w:instrText>cell</w:instrText>
      </w:r>
      <w:r w:rsidR="00021E2A" w:rsidRPr="00320416">
        <w:rPr>
          <w:b/>
          <w:bCs/>
        </w:rPr>
        <w:instrText xml:space="preserve"> </w:instrText>
      </w:r>
      <w:r w:rsidR="00021E2A">
        <w:rPr>
          <w:b/>
          <w:bCs/>
          <w:lang w:val="en-US"/>
        </w:rPr>
        <w:instrText>lymphoma</w:instrText>
      </w:r>
      <w:r w:rsidR="00021E2A" w:rsidRPr="00320416">
        <w:rPr>
          <w:b/>
          <w:bCs/>
        </w:rPr>
        <w:instrText xml:space="preserve">. </w:instrText>
      </w:r>
      <w:r w:rsidR="00021E2A">
        <w:rPr>
          <w:b/>
          <w:bCs/>
          <w:lang w:val="en-US"/>
        </w:rPr>
        <w:instrText>Patients</w:instrText>
      </w:r>
      <w:r w:rsidR="00021E2A" w:rsidRPr="00320416">
        <w:rPr>
          <w:b/>
          <w:bCs/>
        </w:rPr>
        <w:instrText xml:space="preserve"> </w:instrText>
      </w:r>
      <w:r w:rsidR="00021E2A">
        <w:rPr>
          <w:b/>
          <w:bCs/>
          <w:lang w:val="en-US"/>
        </w:rPr>
        <w:instrText>were</w:instrText>
      </w:r>
      <w:r w:rsidR="00021E2A" w:rsidRPr="00320416">
        <w:rPr>
          <w:b/>
          <w:bCs/>
        </w:rPr>
        <w:instrText xml:space="preserve"> </w:instrText>
      </w:r>
      <w:r w:rsidR="00021E2A">
        <w:rPr>
          <w:b/>
          <w:bCs/>
          <w:lang w:val="en-US"/>
        </w:rPr>
        <w:instrText>included</w:instrText>
      </w:r>
      <w:r w:rsidR="00021E2A" w:rsidRPr="00320416">
        <w:rPr>
          <w:b/>
          <w:bCs/>
        </w:rPr>
        <w:instrText xml:space="preserve"> </w:instrText>
      </w:r>
      <w:r w:rsidR="00021E2A">
        <w:rPr>
          <w:b/>
          <w:bCs/>
          <w:lang w:val="en-US"/>
        </w:rPr>
        <w:instrText>from</w:instrText>
      </w:r>
      <w:r w:rsidR="00021E2A" w:rsidRPr="00320416">
        <w:rPr>
          <w:b/>
          <w:bCs/>
        </w:rPr>
        <w:instrText xml:space="preserve"> 38 </w:instrText>
      </w:r>
      <w:r w:rsidR="00021E2A">
        <w:rPr>
          <w:b/>
          <w:bCs/>
          <w:lang w:val="en-US"/>
        </w:rPr>
        <w:instrText>centres</w:instrText>
      </w:r>
      <w:r w:rsidR="00021E2A" w:rsidRPr="00320416">
        <w:rPr>
          <w:b/>
          <w:bCs/>
        </w:rPr>
        <w:instrText xml:space="preserve"> </w:instrText>
      </w:r>
      <w:r w:rsidR="00021E2A">
        <w:rPr>
          <w:b/>
          <w:bCs/>
          <w:lang w:val="en-US"/>
        </w:rPr>
        <w:instrText>in</w:instrText>
      </w:r>
      <w:r w:rsidR="00021E2A" w:rsidRPr="00320416">
        <w:rPr>
          <w:b/>
          <w:bCs/>
        </w:rPr>
        <w:instrText xml:space="preserve"> </w:instrText>
      </w:r>
      <w:r w:rsidR="00021E2A">
        <w:rPr>
          <w:b/>
          <w:bCs/>
          <w:lang w:val="en-US"/>
        </w:rPr>
        <w:instrText>France</w:instrText>
      </w:r>
      <w:r w:rsidR="00021E2A" w:rsidRPr="00320416">
        <w:rPr>
          <w:b/>
          <w:bCs/>
        </w:rPr>
        <w:instrText xml:space="preserve"> </w:instrText>
      </w:r>
      <w:r w:rsidR="00021E2A">
        <w:rPr>
          <w:b/>
          <w:bCs/>
          <w:lang w:val="en-US"/>
        </w:rPr>
        <w:instrText>and</w:instrText>
      </w:r>
      <w:r w:rsidR="00021E2A" w:rsidRPr="00320416">
        <w:rPr>
          <w:b/>
          <w:bCs/>
        </w:rPr>
        <w:instrText xml:space="preserve"> </w:instrText>
      </w:r>
      <w:r w:rsidR="00021E2A">
        <w:rPr>
          <w:b/>
          <w:bCs/>
          <w:lang w:val="en-US"/>
        </w:rPr>
        <w:instrText>Belgium</w:instrText>
      </w:r>
      <w:r w:rsidR="00021E2A" w:rsidRPr="00320416">
        <w:rPr>
          <w:b/>
          <w:bCs/>
        </w:rPr>
        <w:instrText xml:space="preserve">. </w:instrText>
      </w:r>
      <w:r w:rsidR="00021E2A">
        <w:rPr>
          <w:b/>
          <w:bCs/>
          <w:lang w:val="en-US"/>
        </w:rPr>
        <w:instrText>All</w:instrText>
      </w:r>
      <w:r w:rsidR="00021E2A" w:rsidRPr="00320416">
        <w:rPr>
          <w:b/>
          <w:bCs/>
        </w:rPr>
        <w:instrText xml:space="preserve"> </w:instrText>
      </w:r>
      <w:r w:rsidR="00021E2A">
        <w:rPr>
          <w:b/>
          <w:bCs/>
          <w:lang w:val="en-US"/>
        </w:rPr>
        <w:instrText>patients</w:instrText>
      </w:r>
      <w:r w:rsidR="00021E2A" w:rsidRPr="00320416">
        <w:rPr>
          <w:b/>
          <w:bCs/>
        </w:rPr>
        <w:instrText xml:space="preserve"> </w:instrText>
      </w:r>
      <w:r w:rsidR="00021E2A">
        <w:rPr>
          <w:b/>
          <w:bCs/>
          <w:lang w:val="en-US"/>
        </w:rPr>
        <w:instrText>received</w:instrText>
      </w:r>
      <w:r w:rsidR="00021E2A" w:rsidRPr="00320416">
        <w:rPr>
          <w:b/>
          <w:bCs/>
        </w:rPr>
        <w:instrText xml:space="preserve"> </w:instrText>
      </w:r>
      <w:r w:rsidR="00021E2A">
        <w:rPr>
          <w:b/>
          <w:bCs/>
          <w:lang w:val="en-US"/>
        </w:rPr>
        <w:instrText>six</w:instrText>
      </w:r>
      <w:r w:rsidR="00021E2A" w:rsidRPr="00320416">
        <w:rPr>
          <w:b/>
          <w:bCs/>
        </w:rPr>
        <w:instrText xml:space="preserve"> </w:instrText>
      </w:r>
      <w:r w:rsidR="00021E2A">
        <w:rPr>
          <w:b/>
          <w:bCs/>
          <w:lang w:val="en-US"/>
        </w:rPr>
        <w:instrText>cycles</w:instrText>
      </w:r>
      <w:r w:rsidR="00021E2A" w:rsidRPr="00320416">
        <w:rPr>
          <w:b/>
          <w:bCs/>
        </w:rPr>
        <w:instrText xml:space="preserve"> </w:instrText>
      </w:r>
      <w:r w:rsidR="00021E2A">
        <w:rPr>
          <w:b/>
          <w:bCs/>
          <w:lang w:val="en-US"/>
        </w:rPr>
        <w:instrText>of</w:instrText>
      </w:r>
      <w:r w:rsidR="00021E2A" w:rsidRPr="00320416">
        <w:rPr>
          <w:b/>
          <w:bCs/>
        </w:rPr>
        <w:instrText xml:space="preserve"> </w:instrText>
      </w:r>
      <w:r w:rsidR="00021E2A">
        <w:rPr>
          <w:b/>
          <w:bCs/>
          <w:lang w:val="en-US"/>
        </w:rPr>
        <w:instrText>rituximab</w:instrText>
      </w:r>
      <w:r w:rsidR="00021E2A" w:rsidRPr="00320416">
        <w:rPr>
          <w:b/>
          <w:bCs/>
        </w:rPr>
        <w:instrText xml:space="preserve"> </w:instrText>
      </w:r>
      <w:r w:rsidR="00021E2A">
        <w:rPr>
          <w:b/>
          <w:bCs/>
          <w:lang w:val="en-US"/>
        </w:rPr>
        <w:instrText>combined</w:instrText>
      </w:r>
      <w:r w:rsidR="00021E2A" w:rsidRPr="00320416">
        <w:rPr>
          <w:b/>
          <w:bCs/>
        </w:rPr>
        <w:instrText xml:space="preserve"> </w:instrText>
      </w:r>
      <w:r w:rsidR="00021E2A">
        <w:rPr>
          <w:b/>
          <w:bCs/>
          <w:lang w:val="en-US"/>
        </w:rPr>
        <w:instrText>with</w:instrText>
      </w:r>
      <w:r w:rsidR="00021E2A" w:rsidRPr="00320416">
        <w:rPr>
          <w:b/>
          <w:bCs/>
        </w:rPr>
        <w:instrText xml:space="preserve"> </w:instrText>
      </w:r>
      <w:r w:rsidR="00021E2A">
        <w:rPr>
          <w:b/>
          <w:bCs/>
          <w:lang w:val="en-US"/>
        </w:rPr>
        <w:instrText>low</w:instrText>
      </w:r>
      <w:r w:rsidR="00021E2A" w:rsidRPr="00320416">
        <w:rPr>
          <w:b/>
          <w:bCs/>
        </w:rPr>
        <w:instrText>-</w:instrText>
      </w:r>
      <w:r w:rsidR="00021E2A">
        <w:rPr>
          <w:b/>
          <w:bCs/>
          <w:lang w:val="en-US"/>
        </w:rPr>
        <w:instrText>dose</w:instrText>
      </w:r>
      <w:r w:rsidR="00021E2A" w:rsidRPr="00320416">
        <w:rPr>
          <w:b/>
          <w:bCs/>
        </w:rPr>
        <w:instrText xml:space="preserve"> </w:instrText>
      </w:r>
      <w:r w:rsidR="00021E2A">
        <w:rPr>
          <w:b/>
          <w:bCs/>
          <w:lang w:val="en-US"/>
        </w:rPr>
        <w:instrText>CHOP</w:instrText>
      </w:r>
      <w:r w:rsidR="00021E2A" w:rsidRPr="00320416">
        <w:rPr>
          <w:b/>
          <w:bCs/>
        </w:rPr>
        <w:instrText xml:space="preserve"> (</w:instrText>
      </w:r>
      <w:r w:rsidR="00021E2A">
        <w:rPr>
          <w:b/>
          <w:bCs/>
          <w:lang w:val="en-US"/>
        </w:rPr>
        <w:instrText>R</w:instrText>
      </w:r>
      <w:r w:rsidR="00021E2A" w:rsidRPr="00320416">
        <w:rPr>
          <w:b/>
          <w:bCs/>
        </w:rPr>
        <w:instrText>-</w:instrText>
      </w:r>
      <w:r w:rsidR="00021E2A">
        <w:rPr>
          <w:b/>
          <w:bCs/>
          <w:lang w:val="en-US"/>
        </w:rPr>
        <w:instrText>miniCHOP</w:instrText>
      </w:r>
      <w:r w:rsidR="00021E2A" w:rsidRPr="00320416">
        <w:rPr>
          <w:b/>
          <w:bCs/>
        </w:rPr>
        <w:instrText xml:space="preserve">) </w:instrText>
      </w:r>
      <w:r w:rsidR="00021E2A">
        <w:rPr>
          <w:b/>
          <w:bCs/>
          <w:lang w:val="en-US"/>
        </w:rPr>
        <w:instrText>at</w:instrText>
      </w:r>
      <w:r w:rsidR="00021E2A" w:rsidRPr="00320416">
        <w:rPr>
          <w:b/>
          <w:bCs/>
        </w:rPr>
        <w:instrText xml:space="preserve"> 3-</w:instrText>
      </w:r>
      <w:r w:rsidR="00021E2A">
        <w:rPr>
          <w:b/>
          <w:bCs/>
          <w:lang w:val="en-US"/>
        </w:rPr>
        <w:instrText>week</w:instrText>
      </w:r>
      <w:r w:rsidR="00021E2A" w:rsidRPr="00320416">
        <w:rPr>
          <w:b/>
          <w:bCs/>
        </w:rPr>
        <w:instrText xml:space="preserve"> </w:instrText>
      </w:r>
      <w:r w:rsidR="00021E2A">
        <w:rPr>
          <w:b/>
          <w:bCs/>
          <w:lang w:val="en-US"/>
        </w:rPr>
        <w:instrText>intervals</w:instrText>
      </w:r>
      <w:r w:rsidR="00021E2A" w:rsidRPr="00320416">
        <w:rPr>
          <w:b/>
          <w:bCs/>
        </w:rPr>
        <w:instrText xml:space="preserve">. </w:instrText>
      </w:r>
      <w:r w:rsidR="00021E2A">
        <w:rPr>
          <w:b/>
          <w:bCs/>
          <w:lang w:val="en-US"/>
        </w:rPr>
        <w:instrText>Patients</w:instrText>
      </w:r>
      <w:r w:rsidR="00021E2A" w:rsidRPr="00320416">
        <w:rPr>
          <w:b/>
          <w:bCs/>
        </w:rPr>
        <w:instrText xml:space="preserve"> </w:instrText>
      </w:r>
      <w:r w:rsidR="00021E2A">
        <w:rPr>
          <w:b/>
          <w:bCs/>
          <w:lang w:val="en-US"/>
        </w:rPr>
        <w:instrText>received</w:instrText>
      </w:r>
      <w:r w:rsidR="00021E2A" w:rsidRPr="00320416">
        <w:rPr>
          <w:b/>
          <w:bCs/>
        </w:rPr>
        <w:instrText xml:space="preserve"> 375 </w:instrText>
      </w:r>
      <w:r w:rsidR="00021E2A">
        <w:rPr>
          <w:b/>
          <w:bCs/>
          <w:lang w:val="en-US"/>
        </w:rPr>
        <w:instrText>mg</w:instrText>
      </w:r>
      <w:r w:rsidR="00021E2A" w:rsidRPr="00320416">
        <w:rPr>
          <w:b/>
          <w:bCs/>
        </w:rPr>
        <w:instrText>/</w:instrText>
      </w:r>
      <w:r w:rsidR="00021E2A">
        <w:rPr>
          <w:b/>
          <w:bCs/>
          <w:lang w:val="en-US"/>
        </w:rPr>
        <w:instrText>m</w:instrText>
      </w:r>
      <w:r w:rsidR="00021E2A" w:rsidRPr="00320416">
        <w:rPr>
          <w:b/>
          <w:bCs/>
        </w:rPr>
        <w:instrText xml:space="preserve">2 </w:instrText>
      </w:r>
      <w:r w:rsidR="00021E2A">
        <w:rPr>
          <w:b/>
          <w:bCs/>
          <w:lang w:val="en-US"/>
        </w:rPr>
        <w:instrText>rituximab</w:instrText>
      </w:r>
      <w:r w:rsidR="00021E2A" w:rsidRPr="00320416">
        <w:rPr>
          <w:b/>
          <w:bCs/>
        </w:rPr>
        <w:instrText xml:space="preserve">, 400 </w:instrText>
      </w:r>
      <w:r w:rsidR="00021E2A">
        <w:rPr>
          <w:b/>
          <w:bCs/>
          <w:lang w:val="en-US"/>
        </w:rPr>
        <w:instrText>mg</w:instrText>
      </w:r>
      <w:r w:rsidR="00021E2A" w:rsidRPr="00320416">
        <w:rPr>
          <w:b/>
          <w:bCs/>
        </w:rPr>
        <w:instrText>/</w:instrText>
      </w:r>
      <w:r w:rsidR="00021E2A">
        <w:rPr>
          <w:b/>
          <w:bCs/>
          <w:lang w:val="en-US"/>
        </w:rPr>
        <w:instrText>m</w:instrText>
      </w:r>
      <w:r w:rsidR="00021E2A" w:rsidRPr="00320416">
        <w:rPr>
          <w:b/>
          <w:bCs/>
        </w:rPr>
        <w:instrText xml:space="preserve">2 </w:instrText>
      </w:r>
      <w:r w:rsidR="00021E2A">
        <w:rPr>
          <w:b/>
          <w:bCs/>
          <w:lang w:val="en-US"/>
        </w:rPr>
        <w:instrText>cyclophosphamide</w:instrText>
      </w:r>
      <w:r w:rsidR="00021E2A" w:rsidRPr="00320416">
        <w:rPr>
          <w:b/>
          <w:bCs/>
        </w:rPr>
        <w:instrText xml:space="preserve">, 25 </w:instrText>
      </w:r>
      <w:r w:rsidR="00021E2A">
        <w:rPr>
          <w:b/>
          <w:bCs/>
          <w:lang w:val="en-US"/>
        </w:rPr>
        <w:instrText>mg</w:instrText>
      </w:r>
      <w:r w:rsidR="00021E2A" w:rsidRPr="00320416">
        <w:rPr>
          <w:b/>
          <w:bCs/>
        </w:rPr>
        <w:instrText>/</w:instrText>
      </w:r>
      <w:r w:rsidR="00021E2A">
        <w:rPr>
          <w:b/>
          <w:bCs/>
          <w:lang w:val="en-US"/>
        </w:rPr>
        <w:instrText>m</w:instrText>
      </w:r>
      <w:r w:rsidR="00021E2A" w:rsidRPr="00320416">
        <w:rPr>
          <w:b/>
          <w:bCs/>
        </w:rPr>
        <w:instrText xml:space="preserve">2 </w:instrText>
      </w:r>
      <w:r w:rsidR="00021E2A">
        <w:rPr>
          <w:b/>
          <w:bCs/>
          <w:lang w:val="en-US"/>
        </w:rPr>
        <w:instrText>doxorubicin</w:instrText>
      </w:r>
      <w:r w:rsidR="00021E2A" w:rsidRPr="00320416">
        <w:rPr>
          <w:b/>
          <w:bCs/>
        </w:rPr>
        <w:instrText xml:space="preserve">, </w:instrText>
      </w:r>
      <w:r w:rsidR="00021E2A">
        <w:rPr>
          <w:b/>
          <w:bCs/>
          <w:lang w:val="en-US"/>
        </w:rPr>
        <w:instrText>and</w:instrText>
      </w:r>
      <w:r w:rsidR="00021E2A" w:rsidRPr="00320416">
        <w:rPr>
          <w:b/>
          <w:bCs/>
        </w:rPr>
        <w:instrText xml:space="preserve"> 1 </w:instrText>
      </w:r>
      <w:r w:rsidR="00021E2A">
        <w:rPr>
          <w:b/>
          <w:bCs/>
          <w:lang w:val="en-US"/>
        </w:rPr>
        <w:instrText>mg</w:instrText>
      </w:r>
      <w:r w:rsidR="00021E2A" w:rsidRPr="00320416">
        <w:rPr>
          <w:b/>
          <w:bCs/>
        </w:rPr>
        <w:instrText xml:space="preserve"> </w:instrText>
      </w:r>
      <w:r w:rsidR="00021E2A">
        <w:rPr>
          <w:b/>
          <w:bCs/>
          <w:lang w:val="en-US"/>
        </w:rPr>
        <w:instrText>vincristine</w:instrText>
      </w:r>
      <w:r w:rsidR="00021E2A" w:rsidRPr="00320416">
        <w:rPr>
          <w:b/>
          <w:bCs/>
        </w:rPr>
        <w:instrText xml:space="preserve"> </w:instrText>
      </w:r>
      <w:r w:rsidR="00021E2A">
        <w:rPr>
          <w:b/>
          <w:bCs/>
          <w:lang w:val="en-US"/>
        </w:rPr>
        <w:instrText>on</w:instrText>
      </w:r>
      <w:r w:rsidR="00021E2A" w:rsidRPr="00320416">
        <w:rPr>
          <w:b/>
          <w:bCs/>
        </w:rPr>
        <w:instrText xml:space="preserve"> </w:instrText>
      </w:r>
      <w:r w:rsidR="00021E2A">
        <w:rPr>
          <w:b/>
          <w:bCs/>
          <w:lang w:val="en-US"/>
        </w:rPr>
        <w:instrText>day</w:instrText>
      </w:r>
      <w:r w:rsidR="00021E2A" w:rsidRPr="00320416">
        <w:rPr>
          <w:b/>
          <w:bCs/>
        </w:rPr>
        <w:instrText xml:space="preserve"> 1 </w:instrText>
      </w:r>
      <w:r w:rsidR="00021E2A">
        <w:rPr>
          <w:b/>
          <w:bCs/>
          <w:lang w:val="en-US"/>
        </w:rPr>
        <w:instrText>of</w:instrText>
      </w:r>
      <w:r w:rsidR="00021E2A" w:rsidRPr="00320416">
        <w:rPr>
          <w:b/>
          <w:bCs/>
        </w:rPr>
        <w:instrText xml:space="preserve"> </w:instrText>
      </w:r>
      <w:r w:rsidR="00021E2A">
        <w:rPr>
          <w:b/>
          <w:bCs/>
          <w:lang w:val="en-US"/>
        </w:rPr>
        <w:instrText>each</w:instrText>
      </w:r>
      <w:r w:rsidR="00021E2A" w:rsidRPr="00320416">
        <w:rPr>
          <w:b/>
          <w:bCs/>
        </w:rPr>
        <w:instrText xml:space="preserve"> </w:instrText>
      </w:r>
      <w:r w:rsidR="00021E2A">
        <w:rPr>
          <w:b/>
          <w:bCs/>
          <w:lang w:val="en-US"/>
        </w:rPr>
        <w:instrText>cycle</w:instrText>
      </w:r>
      <w:r w:rsidR="00021E2A" w:rsidRPr="00320416">
        <w:rPr>
          <w:b/>
          <w:bCs/>
        </w:rPr>
        <w:instrText xml:space="preserve">, </w:instrText>
      </w:r>
      <w:r w:rsidR="00021E2A">
        <w:rPr>
          <w:b/>
          <w:bCs/>
          <w:lang w:val="en-US"/>
        </w:rPr>
        <w:instrText>and</w:instrText>
      </w:r>
      <w:r w:rsidR="00021E2A" w:rsidRPr="00320416">
        <w:rPr>
          <w:b/>
          <w:bCs/>
        </w:rPr>
        <w:instrText xml:space="preserve"> 40 </w:instrText>
      </w:r>
      <w:r w:rsidR="00021E2A">
        <w:rPr>
          <w:b/>
          <w:bCs/>
          <w:lang w:val="en-US"/>
        </w:rPr>
        <w:instrText>mg</w:instrText>
      </w:r>
      <w:r w:rsidR="00021E2A" w:rsidRPr="00320416">
        <w:rPr>
          <w:b/>
          <w:bCs/>
        </w:rPr>
        <w:instrText>/</w:instrText>
      </w:r>
      <w:r w:rsidR="00021E2A">
        <w:rPr>
          <w:b/>
          <w:bCs/>
          <w:lang w:val="en-US"/>
        </w:rPr>
        <w:instrText>m</w:instrText>
      </w:r>
      <w:r w:rsidR="00021E2A" w:rsidRPr="00320416">
        <w:rPr>
          <w:b/>
          <w:bCs/>
        </w:rPr>
        <w:instrText xml:space="preserve">2 </w:instrText>
      </w:r>
      <w:r w:rsidR="00021E2A">
        <w:rPr>
          <w:b/>
          <w:bCs/>
          <w:lang w:val="en-US"/>
        </w:rPr>
        <w:instrText>prednisone</w:instrText>
      </w:r>
      <w:r w:rsidR="00021E2A" w:rsidRPr="00320416">
        <w:rPr>
          <w:b/>
          <w:bCs/>
        </w:rPr>
        <w:instrText xml:space="preserve"> </w:instrText>
      </w:r>
      <w:r w:rsidR="00021E2A">
        <w:rPr>
          <w:b/>
          <w:bCs/>
          <w:lang w:val="en-US"/>
        </w:rPr>
        <w:instrText>on</w:instrText>
      </w:r>
      <w:r w:rsidR="00021E2A" w:rsidRPr="00320416">
        <w:rPr>
          <w:b/>
          <w:bCs/>
        </w:rPr>
        <w:instrText xml:space="preserve"> </w:instrText>
      </w:r>
      <w:r w:rsidR="00021E2A">
        <w:rPr>
          <w:b/>
          <w:bCs/>
          <w:lang w:val="en-US"/>
        </w:rPr>
        <w:instrText>days</w:instrText>
      </w:r>
      <w:r w:rsidR="00021E2A" w:rsidRPr="00320416">
        <w:rPr>
          <w:b/>
          <w:bCs/>
        </w:rPr>
        <w:instrText xml:space="preserve"> 1-5. </w:instrText>
      </w:r>
      <w:r w:rsidR="00021E2A">
        <w:rPr>
          <w:b/>
          <w:bCs/>
          <w:lang w:val="en-US"/>
        </w:rPr>
        <w:instrText>The</w:instrText>
      </w:r>
      <w:r w:rsidR="00021E2A" w:rsidRPr="00320416">
        <w:rPr>
          <w:b/>
          <w:bCs/>
        </w:rPr>
        <w:instrText xml:space="preserve"> </w:instrText>
      </w:r>
      <w:r w:rsidR="00021E2A">
        <w:rPr>
          <w:b/>
          <w:bCs/>
          <w:lang w:val="en-US"/>
        </w:rPr>
        <w:instrText>primary</w:instrText>
      </w:r>
      <w:r w:rsidR="00021E2A" w:rsidRPr="00320416">
        <w:rPr>
          <w:b/>
          <w:bCs/>
        </w:rPr>
        <w:instrText xml:space="preserve"> </w:instrText>
      </w:r>
      <w:r w:rsidR="00021E2A">
        <w:rPr>
          <w:b/>
          <w:bCs/>
          <w:lang w:val="en-US"/>
        </w:rPr>
        <w:instrText>endpoint</w:instrText>
      </w:r>
      <w:r w:rsidR="00021E2A" w:rsidRPr="00320416">
        <w:rPr>
          <w:b/>
          <w:bCs/>
        </w:rPr>
        <w:instrText xml:space="preserve"> </w:instrText>
      </w:r>
      <w:r w:rsidR="00021E2A">
        <w:rPr>
          <w:b/>
          <w:bCs/>
          <w:lang w:val="en-US"/>
        </w:rPr>
        <w:instrText>was</w:instrText>
      </w:r>
      <w:r w:rsidR="00021E2A" w:rsidRPr="00320416">
        <w:rPr>
          <w:b/>
          <w:bCs/>
        </w:rPr>
        <w:instrText xml:space="preserve"> </w:instrText>
      </w:r>
      <w:r w:rsidR="00021E2A">
        <w:rPr>
          <w:b/>
          <w:bCs/>
          <w:lang w:val="en-US"/>
        </w:rPr>
        <w:instrText>overall</w:instrText>
      </w:r>
      <w:r w:rsidR="00021E2A" w:rsidRPr="00320416">
        <w:rPr>
          <w:b/>
          <w:bCs/>
        </w:rPr>
        <w:instrText xml:space="preserve"> </w:instrText>
      </w:r>
      <w:r w:rsidR="00021E2A">
        <w:rPr>
          <w:b/>
          <w:bCs/>
          <w:lang w:val="en-US"/>
        </w:rPr>
        <w:instrText>survival</w:instrText>
      </w:r>
      <w:r w:rsidR="00021E2A" w:rsidRPr="00320416">
        <w:rPr>
          <w:b/>
          <w:bCs/>
        </w:rPr>
        <w:instrText xml:space="preserve">, </w:instrText>
      </w:r>
      <w:r w:rsidR="00021E2A">
        <w:rPr>
          <w:b/>
          <w:bCs/>
          <w:lang w:val="en-US"/>
        </w:rPr>
        <w:instrText>both</w:instrText>
      </w:r>
      <w:r w:rsidR="00021E2A" w:rsidRPr="00320416">
        <w:rPr>
          <w:b/>
          <w:bCs/>
        </w:rPr>
        <w:instrText xml:space="preserve"> </w:instrText>
      </w:r>
      <w:r w:rsidR="00021E2A">
        <w:rPr>
          <w:b/>
          <w:bCs/>
          <w:lang w:val="en-US"/>
        </w:rPr>
        <w:instrText>unadjusted</w:instrText>
      </w:r>
      <w:r w:rsidR="00021E2A" w:rsidRPr="00320416">
        <w:rPr>
          <w:b/>
          <w:bCs/>
        </w:rPr>
        <w:instrText xml:space="preserve"> </w:instrText>
      </w:r>
      <w:r w:rsidR="00021E2A">
        <w:rPr>
          <w:b/>
          <w:bCs/>
          <w:lang w:val="en-US"/>
        </w:rPr>
        <w:instrText>and</w:instrText>
      </w:r>
      <w:r w:rsidR="00021E2A" w:rsidRPr="00320416">
        <w:rPr>
          <w:b/>
          <w:bCs/>
        </w:rPr>
        <w:instrText xml:space="preserve"> </w:instrText>
      </w:r>
      <w:r w:rsidR="00021E2A">
        <w:rPr>
          <w:b/>
          <w:bCs/>
          <w:lang w:val="en-US"/>
        </w:rPr>
        <w:instrText>adjusted</w:instrText>
      </w:r>
      <w:r w:rsidR="00021E2A" w:rsidRPr="00320416">
        <w:rPr>
          <w:b/>
          <w:bCs/>
        </w:rPr>
        <w:instrText xml:space="preserve"> </w:instrText>
      </w:r>
      <w:r w:rsidR="00021E2A">
        <w:rPr>
          <w:b/>
          <w:bCs/>
          <w:lang w:val="en-US"/>
        </w:rPr>
        <w:instrText>for</w:instrText>
      </w:r>
      <w:r w:rsidR="00021E2A" w:rsidRPr="00320416">
        <w:rPr>
          <w:b/>
          <w:bCs/>
        </w:rPr>
        <w:instrText xml:space="preserve"> </w:instrText>
      </w:r>
      <w:r w:rsidR="00021E2A">
        <w:rPr>
          <w:b/>
          <w:bCs/>
          <w:lang w:val="en-US"/>
        </w:rPr>
        <w:instrText>treatment</w:instrText>
      </w:r>
      <w:r w:rsidR="00021E2A" w:rsidRPr="00320416">
        <w:rPr>
          <w:b/>
          <w:bCs/>
        </w:rPr>
        <w:instrText xml:space="preserve"> </w:instrText>
      </w:r>
      <w:r w:rsidR="00021E2A">
        <w:rPr>
          <w:b/>
          <w:bCs/>
          <w:lang w:val="en-US"/>
        </w:rPr>
        <w:instrText>and</w:instrText>
      </w:r>
      <w:r w:rsidR="00021E2A" w:rsidRPr="00320416">
        <w:rPr>
          <w:b/>
          <w:bCs/>
        </w:rPr>
        <w:instrText xml:space="preserve"> </w:instrText>
      </w:r>
      <w:r w:rsidR="00021E2A">
        <w:rPr>
          <w:b/>
          <w:bCs/>
          <w:lang w:val="en-US"/>
        </w:rPr>
        <w:instrText>baseline</w:instrText>
      </w:r>
      <w:r w:rsidR="00021E2A" w:rsidRPr="00320416">
        <w:rPr>
          <w:b/>
          <w:bCs/>
        </w:rPr>
        <w:instrText xml:space="preserve"> </w:instrText>
      </w:r>
      <w:r w:rsidR="00021E2A">
        <w:rPr>
          <w:b/>
          <w:bCs/>
          <w:lang w:val="en-US"/>
        </w:rPr>
        <w:instrText>prognostic</w:instrText>
      </w:r>
      <w:r w:rsidR="00021E2A" w:rsidRPr="00320416">
        <w:rPr>
          <w:b/>
          <w:bCs/>
        </w:rPr>
        <w:instrText xml:space="preserve"> </w:instrText>
      </w:r>
      <w:r w:rsidR="00021E2A">
        <w:rPr>
          <w:b/>
          <w:bCs/>
          <w:lang w:val="en-US"/>
        </w:rPr>
        <w:instrText>factors</w:instrText>
      </w:r>
      <w:r w:rsidR="00021E2A" w:rsidRPr="00320416">
        <w:rPr>
          <w:b/>
          <w:bCs/>
        </w:rPr>
        <w:instrText xml:space="preserve">. </w:instrText>
      </w:r>
      <w:r w:rsidR="00021E2A">
        <w:rPr>
          <w:b/>
          <w:bCs/>
          <w:lang w:val="en-US"/>
        </w:rPr>
        <w:instrText>Analysis</w:instrText>
      </w:r>
      <w:r w:rsidR="00021E2A" w:rsidRPr="00320416">
        <w:rPr>
          <w:b/>
          <w:bCs/>
        </w:rPr>
        <w:instrText xml:space="preserve"> </w:instrText>
      </w:r>
      <w:r w:rsidR="00021E2A">
        <w:rPr>
          <w:b/>
          <w:bCs/>
          <w:lang w:val="en-US"/>
        </w:rPr>
        <w:instrText>was</w:instrText>
      </w:r>
      <w:r w:rsidR="00021E2A" w:rsidRPr="00320416">
        <w:rPr>
          <w:b/>
          <w:bCs/>
        </w:rPr>
        <w:instrText xml:space="preserve"> </w:instrText>
      </w:r>
      <w:r w:rsidR="00021E2A">
        <w:rPr>
          <w:b/>
          <w:bCs/>
          <w:lang w:val="en-US"/>
        </w:rPr>
        <w:instrText>by</w:instrText>
      </w:r>
      <w:r w:rsidR="00021E2A" w:rsidRPr="00320416">
        <w:rPr>
          <w:b/>
          <w:bCs/>
        </w:rPr>
        <w:instrText xml:space="preserve"> </w:instrText>
      </w:r>
      <w:r w:rsidR="00021E2A">
        <w:rPr>
          <w:b/>
          <w:bCs/>
          <w:lang w:val="en-US"/>
        </w:rPr>
        <w:instrText>intention</w:instrText>
      </w:r>
      <w:r w:rsidR="00021E2A" w:rsidRPr="00320416">
        <w:rPr>
          <w:b/>
          <w:bCs/>
        </w:rPr>
        <w:instrText xml:space="preserve"> </w:instrText>
      </w:r>
      <w:r w:rsidR="00021E2A">
        <w:rPr>
          <w:b/>
          <w:bCs/>
          <w:lang w:val="en-US"/>
        </w:rPr>
        <w:instrText>to</w:instrText>
      </w:r>
      <w:r w:rsidR="00021E2A" w:rsidRPr="00320416">
        <w:rPr>
          <w:b/>
          <w:bCs/>
        </w:rPr>
        <w:instrText xml:space="preserve"> </w:instrText>
      </w:r>
      <w:r w:rsidR="00021E2A">
        <w:rPr>
          <w:b/>
          <w:bCs/>
          <w:lang w:val="en-US"/>
        </w:rPr>
        <w:instrText>treat</w:instrText>
      </w:r>
      <w:r w:rsidR="00021E2A" w:rsidRPr="00320416">
        <w:rPr>
          <w:b/>
          <w:bCs/>
        </w:rPr>
        <w:instrText xml:space="preserve">. </w:instrText>
      </w:r>
      <w:r w:rsidR="00021E2A">
        <w:rPr>
          <w:b/>
          <w:bCs/>
          <w:lang w:val="en-US"/>
        </w:rPr>
        <w:instrText>This</w:instrText>
      </w:r>
      <w:r w:rsidR="00021E2A" w:rsidRPr="00320416">
        <w:rPr>
          <w:b/>
          <w:bCs/>
        </w:rPr>
        <w:instrText xml:space="preserve"> </w:instrText>
      </w:r>
      <w:r w:rsidR="00021E2A">
        <w:rPr>
          <w:b/>
          <w:bCs/>
          <w:lang w:val="en-US"/>
        </w:rPr>
        <w:instrText>study</w:instrText>
      </w:r>
      <w:r w:rsidR="00021E2A" w:rsidRPr="00320416">
        <w:rPr>
          <w:b/>
          <w:bCs/>
        </w:rPr>
        <w:instrText xml:space="preserve"> </w:instrText>
      </w:r>
      <w:r w:rsidR="00021E2A">
        <w:rPr>
          <w:b/>
          <w:bCs/>
          <w:lang w:val="en-US"/>
        </w:rPr>
        <w:instrText>is</w:instrText>
      </w:r>
      <w:r w:rsidR="00021E2A" w:rsidRPr="00320416">
        <w:rPr>
          <w:b/>
          <w:bCs/>
        </w:rPr>
        <w:instrText xml:space="preserve"> </w:instrText>
      </w:r>
      <w:r w:rsidR="00021E2A">
        <w:rPr>
          <w:b/>
          <w:bCs/>
          <w:lang w:val="en-US"/>
        </w:rPr>
        <w:instrText>registered</w:instrText>
      </w:r>
      <w:r w:rsidR="00021E2A" w:rsidRPr="00320416">
        <w:rPr>
          <w:b/>
          <w:bCs/>
        </w:rPr>
        <w:instrText xml:space="preserve"> </w:instrText>
      </w:r>
      <w:r w:rsidR="00021E2A">
        <w:rPr>
          <w:b/>
          <w:bCs/>
          <w:lang w:val="en-US"/>
        </w:rPr>
        <w:instrText>with</w:instrText>
      </w:r>
      <w:r w:rsidR="00021E2A" w:rsidRPr="00320416">
        <w:rPr>
          <w:b/>
          <w:bCs/>
        </w:rPr>
        <w:instrText xml:space="preserve"> </w:instrText>
      </w:r>
      <w:r w:rsidR="00021E2A">
        <w:rPr>
          <w:b/>
          <w:bCs/>
          <w:lang w:val="en-US"/>
        </w:rPr>
        <w:instrText>ClinicalTrials</w:instrText>
      </w:r>
      <w:r w:rsidR="00021E2A" w:rsidRPr="00320416">
        <w:rPr>
          <w:b/>
          <w:bCs/>
        </w:rPr>
        <w:instrText>.</w:instrText>
      </w:r>
      <w:r w:rsidR="00021E2A">
        <w:rPr>
          <w:b/>
          <w:bCs/>
          <w:lang w:val="en-US"/>
        </w:rPr>
        <w:instrText>gov</w:instrText>
      </w:r>
      <w:r w:rsidR="00021E2A" w:rsidRPr="00320416">
        <w:rPr>
          <w:b/>
          <w:bCs/>
        </w:rPr>
        <w:instrText xml:space="preserve">, </w:instrText>
      </w:r>
      <w:r w:rsidR="00021E2A">
        <w:rPr>
          <w:b/>
          <w:bCs/>
          <w:lang w:val="en-US"/>
        </w:rPr>
        <w:instrText>NCT</w:instrText>
      </w:r>
      <w:r w:rsidR="00021E2A" w:rsidRPr="00320416">
        <w:rPr>
          <w:b/>
          <w:bCs/>
        </w:rPr>
        <w:instrText xml:space="preserve">01087424. </w:instrText>
      </w:r>
      <w:r w:rsidR="00021E2A">
        <w:rPr>
          <w:b/>
          <w:bCs/>
          <w:lang w:val="en-US"/>
        </w:rPr>
        <w:instrText>Findings</w:instrText>
      </w:r>
      <w:r w:rsidR="00021E2A" w:rsidRPr="00320416">
        <w:rPr>
          <w:b/>
          <w:bCs/>
        </w:rPr>
        <w:instrText xml:space="preserve">: 150 </w:instrText>
      </w:r>
      <w:r w:rsidR="00021E2A">
        <w:rPr>
          <w:b/>
          <w:bCs/>
          <w:lang w:val="en-US"/>
        </w:rPr>
        <w:instrText>patients</w:instrText>
      </w:r>
      <w:r w:rsidR="00021E2A" w:rsidRPr="00320416">
        <w:rPr>
          <w:b/>
          <w:bCs/>
        </w:rPr>
        <w:instrText xml:space="preserve"> </w:instrText>
      </w:r>
      <w:r w:rsidR="00021E2A">
        <w:rPr>
          <w:b/>
          <w:bCs/>
          <w:lang w:val="en-US"/>
        </w:rPr>
        <w:instrText>were</w:instrText>
      </w:r>
      <w:r w:rsidR="00021E2A" w:rsidRPr="00320416">
        <w:rPr>
          <w:b/>
          <w:bCs/>
        </w:rPr>
        <w:instrText xml:space="preserve"> </w:instrText>
      </w:r>
      <w:r w:rsidR="00021E2A">
        <w:rPr>
          <w:b/>
          <w:bCs/>
          <w:lang w:val="en-US"/>
        </w:rPr>
        <w:instrText>enrolled</w:instrText>
      </w:r>
      <w:r w:rsidR="00021E2A" w:rsidRPr="00320416">
        <w:rPr>
          <w:b/>
          <w:bCs/>
        </w:rPr>
        <w:instrText xml:space="preserve"> </w:instrText>
      </w:r>
      <w:r w:rsidR="00021E2A">
        <w:rPr>
          <w:b/>
          <w:bCs/>
          <w:lang w:val="en-US"/>
        </w:rPr>
        <w:instrText>between</w:instrText>
      </w:r>
      <w:r w:rsidR="00021E2A" w:rsidRPr="00320416">
        <w:rPr>
          <w:b/>
          <w:bCs/>
        </w:rPr>
        <w:instrText xml:space="preserve"> </w:instrText>
      </w:r>
      <w:r w:rsidR="00021E2A">
        <w:rPr>
          <w:b/>
          <w:bCs/>
          <w:lang w:val="en-US"/>
        </w:rPr>
        <w:instrText>Jan</w:instrText>
      </w:r>
      <w:r w:rsidR="00021E2A" w:rsidRPr="00320416">
        <w:rPr>
          <w:b/>
          <w:bCs/>
        </w:rPr>
        <w:instrText xml:space="preserve"> 9, 2006, </w:instrText>
      </w:r>
      <w:r w:rsidR="00021E2A">
        <w:rPr>
          <w:b/>
          <w:bCs/>
          <w:lang w:val="en-US"/>
        </w:rPr>
        <w:instrText>and</w:instrText>
      </w:r>
      <w:r w:rsidR="00021E2A" w:rsidRPr="00320416">
        <w:rPr>
          <w:b/>
          <w:bCs/>
        </w:rPr>
        <w:instrText xml:space="preserve"> </w:instrText>
      </w:r>
      <w:r w:rsidR="00021E2A">
        <w:rPr>
          <w:b/>
          <w:bCs/>
          <w:lang w:val="en-US"/>
        </w:rPr>
        <w:instrText>Jan</w:instrText>
      </w:r>
      <w:r w:rsidR="00021E2A" w:rsidRPr="00320416">
        <w:rPr>
          <w:b/>
          <w:bCs/>
        </w:rPr>
        <w:instrText xml:space="preserve"> 23, 2009 </w:instrText>
      </w:r>
      <w:r w:rsidR="00021E2A">
        <w:rPr>
          <w:b/>
          <w:bCs/>
          <w:lang w:val="en-US"/>
        </w:rPr>
        <w:instrText>and</w:instrText>
      </w:r>
      <w:r w:rsidR="00021E2A" w:rsidRPr="00320416">
        <w:rPr>
          <w:b/>
          <w:bCs/>
        </w:rPr>
        <w:instrText xml:space="preserve"> 149 </w:instrText>
      </w:r>
      <w:r w:rsidR="00021E2A">
        <w:rPr>
          <w:b/>
          <w:bCs/>
          <w:lang w:val="en-US"/>
        </w:rPr>
        <w:instrText>were</w:instrText>
      </w:r>
      <w:r w:rsidR="00021E2A" w:rsidRPr="00320416">
        <w:rPr>
          <w:b/>
          <w:bCs/>
        </w:rPr>
        <w:instrText xml:space="preserve"> </w:instrText>
      </w:r>
      <w:r w:rsidR="00021E2A">
        <w:rPr>
          <w:b/>
          <w:bCs/>
          <w:lang w:val="en-US"/>
        </w:rPr>
        <w:instrText>included</w:instrText>
      </w:r>
      <w:r w:rsidR="00021E2A" w:rsidRPr="00320416">
        <w:rPr>
          <w:b/>
          <w:bCs/>
        </w:rPr>
        <w:instrText xml:space="preserve"> </w:instrText>
      </w:r>
      <w:r w:rsidR="00021E2A">
        <w:rPr>
          <w:b/>
          <w:bCs/>
          <w:lang w:val="en-US"/>
        </w:rPr>
        <w:instrText>in</w:instrText>
      </w:r>
      <w:r w:rsidR="00021E2A" w:rsidRPr="00320416">
        <w:rPr>
          <w:b/>
          <w:bCs/>
        </w:rPr>
        <w:instrText xml:space="preserve"> </w:instrText>
      </w:r>
      <w:r w:rsidR="00021E2A">
        <w:rPr>
          <w:b/>
          <w:bCs/>
          <w:lang w:val="en-US"/>
        </w:rPr>
        <w:instrText>the</w:instrText>
      </w:r>
      <w:r w:rsidR="00021E2A" w:rsidRPr="00320416">
        <w:rPr>
          <w:b/>
          <w:bCs/>
        </w:rPr>
        <w:instrText xml:space="preserve"> </w:instrText>
      </w:r>
      <w:r w:rsidR="00021E2A">
        <w:rPr>
          <w:b/>
          <w:bCs/>
          <w:lang w:val="en-US"/>
        </w:rPr>
        <w:instrText>intention</w:instrText>
      </w:r>
      <w:r w:rsidR="00021E2A" w:rsidRPr="00320416">
        <w:rPr>
          <w:b/>
          <w:bCs/>
        </w:rPr>
        <w:instrText>-</w:instrText>
      </w:r>
      <w:r w:rsidR="00021E2A">
        <w:rPr>
          <w:b/>
          <w:bCs/>
          <w:lang w:val="en-US"/>
        </w:rPr>
        <w:instrText>to</w:instrText>
      </w:r>
      <w:r w:rsidR="00021E2A" w:rsidRPr="00AA43FB">
        <w:rPr>
          <w:b/>
          <w:bCs/>
        </w:rPr>
        <w:instrText>-</w:instrText>
      </w:r>
      <w:r w:rsidR="00021E2A">
        <w:rPr>
          <w:b/>
          <w:bCs/>
          <w:lang w:val="en-US"/>
        </w:rPr>
        <w:instrText>treat</w:instrText>
      </w:r>
      <w:r w:rsidR="00021E2A" w:rsidRPr="00AA43FB">
        <w:rPr>
          <w:b/>
          <w:bCs/>
        </w:rPr>
        <w:instrText xml:space="preserve"> </w:instrText>
      </w:r>
      <w:r w:rsidR="00021E2A">
        <w:rPr>
          <w:b/>
          <w:bCs/>
          <w:lang w:val="en-US"/>
        </w:rPr>
        <w:instrText>analyses</w:instrText>
      </w:r>
      <w:r w:rsidR="00021E2A" w:rsidRPr="00AA43FB">
        <w:rPr>
          <w:b/>
          <w:bCs/>
        </w:rPr>
        <w:instrText xml:space="preserve">. </w:instrText>
      </w:r>
      <w:r w:rsidR="00021E2A">
        <w:rPr>
          <w:b/>
          <w:bCs/>
          <w:lang w:val="en-US"/>
        </w:rPr>
        <w:instrText>Median</w:instrText>
      </w:r>
      <w:r w:rsidR="00021E2A" w:rsidRPr="00AA43FB">
        <w:rPr>
          <w:b/>
          <w:bCs/>
        </w:rPr>
        <w:instrText xml:space="preserve"> </w:instrText>
      </w:r>
      <w:r w:rsidR="00021E2A">
        <w:rPr>
          <w:b/>
          <w:bCs/>
          <w:lang w:val="en-US"/>
        </w:rPr>
        <w:instrText>age</w:instrText>
      </w:r>
      <w:r w:rsidR="00021E2A" w:rsidRPr="00AA43FB">
        <w:rPr>
          <w:b/>
          <w:bCs/>
        </w:rPr>
        <w:instrText xml:space="preserve"> </w:instrText>
      </w:r>
      <w:r w:rsidR="00021E2A">
        <w:rPr>
          <w:b/>
          <w:bCs/>
          <w:lang w:val="en-US"/>
        </w:rPr>
        <w:instrText>was</w:instrText>
      </w:r>
      <w:r w:rsidR="00021E2A" w:rsidRPr="00AA43FB">
        <w:rPr>
          <w:b/>
          <w:bCs/>
        </w:rPr>
        <w:instrText xml:space="preserve"> 83 </w:instrText>
      </w:r>
      <w:r w:rsidR="00021E2A">
        <w:rPr>
          <w:b/>
          <w:bCs/>
          <w:lang w:val="en-US"/>
        </w:rPr>
        <w:instrText>years</w:instrText>
      </w:r>
      <w:r w:rsidR="00021E2A" w:rsidRPr="00AA43FB">
        <w:rPr>
          <w:b/>
          <w:bCs/>
        </w:rPr>
        <w:instrText xml:space="preserve"> (</w:instrText>
      </w:r>
      <w:r w:rsidR="00021E2A">
        <w:rPr>
          <w:b/>
          <w:bCs/>
          <w:lang w:val="en-US"/>
        </w:rPr>
        <w:instrText>range</w:instrText>
      </w:r>
      <w:r w:rsidR="00021E2A" w:rsidRPr="00AA43FB">
        <w:rPr>
          <w:b/>
          <w:bCs/>
        </w:rPr>
        <w:instrText xml:space="preserve"> 80-95). </w:instrText>
      </w:r>
      <w:r w:rsidR="00021E2A">
        <w:rPr>
          <w:b/>
          <w:bCs/>
          <w:lang w:val="en-US"/>
        </w:rPr>
        <w:instrText>After</w:instrText>
      </w:r>
      <w:r w:rsidR="00021E2A" w:rsidRPr="00AA43FB">
        <w:rPr>
          <w:b/>
          <w:bCs/>
        </w:rPr>
        <w:instrText xml:space="preserve"> </w:instrText>
      </w:r>
      <w:r w:rsidR="00021E2A">
        <w:rPr>
          <w:b/>
          <w:bCs/>
          <w:lang w:val="en-US"/>
        </w:rPr>
        <w:instrText>a</w:instrText>
      </w:r>
      <w:r w:rsidR="00021E2A" w:rsidRPr="00AA43FB">
        <w:rPr>
          <w:b/>
          <w:bCs/>
        </w:rPr>
        <w:instrText xml:space="preserve"> </w:instrText>
      </w:r>
      <w:r w:rsidR="00021E2A">
        <w:rPr>
          <w:b/>
          <w:bCs/>
          <w:lang w:val="en-US"/>
        </w:rPr>
        <w:instrText>median</w:instrText>
      </w:r>
      <w:r w:rsidR="00021E2A" w:rsidRPr="00AA43FB">
        <w:rPr>
          <w:b/>
          <w:bCs/>
        </w:rPr>
        <w:instrText xml:space="preserve"> </w:instrText>
      </w:r>
      <w:r w:rsidR="00021E2A">
        <w:rPr>
          <w:b/>
          <w:bCs/>
          <w:lang w:val="en-US"/>
        </w:rPr>
        <w:instrText>follow</w:instrText>
      </w:r>
      <w:r w:rsidR="00021E2A" w:rsidRPr="00AA43FB">
        <w:rPr>
          <w:b/>
          <w:bCs/>
        </w:rPr>
        <w:instrText>-</w:instrText>
      </w:r>
      <w:r w:rsidR="00021E2A">
        <w:rPr>
          <w:b/>
          <w:bCs/>
          <w:lang w:val="en-US"/>
        </w:rPr>
        <w:instrText>up</w:instrText>
      </w:r>
      <w:r w:rsidR="00021E2A" w:rsidRPr="00AA43FB">
        <w:rPr>
          <w:b/>
          <w:bCs/>
        </w:rPr>
        <w:instrText xml:space="preserve"> </w:instrText>
      </w:r>
      <w:r w:rsidR="00021E2A">
        <w:rPr>
          <w:b/>
          <w:bCs/>
          <w:lang w:val="en-US"/>
        </w:rPr>
        <w:instrText>of</w:instrText>
      </w:r>
      <w:r w:rsidR="00021E2A" w:rsidRPr="00AA43FB">
        <w:rPr>
          <w:b/>
          <w:bCs/>
        </w:rPr>
        <w:instrText xml:space="preserve"> 20 </w:instrText>
      </w:r>
      <w:r w:rsidR="00021E2A">
        <w:rPr>
          <w:b/>
          <w:bCs/>
          <w:lang w:val="en-US"/>
        </w:rPr>
        <w:instrText>months</w:instrText>
      </w:r>
      <w:r w:rsidR="00021E2A" w:rsidRPr="00AA43FB">
        <w:rPr>
          <w:b/>
          <w:bCs/>
        </w:rPr>
        <w:instrText xml:space="preserve"> (</w:instrText>
      </w:r>
      <w:r w:rsidR="00021E2A">
        <w:rPr>
          <w:b/>
          <w:bCs/>
          <w:lang w:val="en-US"/>
        </w:rPr>
        <w:instrText>range</w:instrText>
      </w:r>
      <w:r w:rsidR="00021E2A" w:rsidRPr="00AA43FB">
        <w:rPr>
          <w:b/>
          <w:bCs/>
        </w:rPr>
        <w:instrText xml:space="preserve"> 0-45), </w:instrText>
      </w:r>
      <w:r w:rsidR="00021E2A">
        <w:rPr>
          <w:b/>
          <w:bCs/>
          <w:lang w:val="en-US"/>
        </w:rPr>
        <w:instrText>the</w:instrText>
      </w:r>
      <w:r w:rsidR="00021E2A" w:rsidRPr="00AA43FB">
        <w:rPr>
          <w:b/>
          <w:bCs/>
        </w:rPr>
        <w:instrText xml:space="preserve"> </w:instrText>
      </w:r>
      <w:r w:rsidR="00021E2A">
        <w:rPr>
          <w:b/>
          <w:bCs/>
          <w:lang w:val="en-US"/>
        </w:rPr>
        <w:instrText>median</w:instrText>
      </w:r>
      <w:r w:rsidR="00021E2A" w:rsidRPr="00AA43FB">
        <w:rPr>
          <w:b/>
          <w:bCs/>
        </w:rPr>
        <w:instrText xml:space="preserve"> </w:instrText>
      </w:r>
      <w:r w:rsidR="00021E2A">
        <w:rPr>
          <w:b/>
          <w:bCs/>
          <w:lang w:val="en-US"/>
        </w:rPr>
        <w:instrText>overall</w:instrText>
      </w:r>
      <w:r w:rsidR="00021E2A" w:rsidRPr="00AA43FB">
        <w:rPr>
          <w:b/>
          <w:bCs/>
        </w:rPr>
        <w:instrText xml:space="preserve"> </w:instrText>
      </w:r>
      <w:r w:rsidR="00021E2A">
        <w:rPr>
          <w:b/>
          <w:bCs/>
          <w:lang w:val="en-US"/>
        </w:rPr>
        <w:instrText>survival</w:instrText>
      </w:r>
      <w:r w:rsidR="00021E2A" w:rsidRPr="00AA43FB">
        <w:rPr>
          <w:b/>
          <w:bCs/>
        </w:rPr>
        <w:instrText xml:space="preserve"> </w:instrText>
      </w:r>
      <w:r w:rsidR="00021E2A">
        <w:rPr>
          <w:b/>
          <w:bCs/>
          <w:lang w:val="en-US"/>
        </w:rPr>
        <w:instrText>was</w:instrText>
      </w:r>
      <w:r w:rsidR="00021E2A" w:rsidRPr="00AA43FB">
        <w:rPr>
          <w:b/>
          <w:bCs/>
        </w:rPr>
        <w:instrText xml:space="preserve"> 29 </w:instrText>
      </w:r>
      <w:r w:rsidR="00021E2A">
        <w:rPr>
          <w:b/>
          <w:bCs/>
          <w:lang w:val="en-US"/>
        </w:rPr>
        <w:instrText>months</w:instrText>
      </w:r>
      <w:r w:rsidR="00021E2A" w:rsidRPr="00AA43FB">
        <w:rPr>
          <w:b/>
          <w:bCs/>
        </w:rPr>
        <w:instrText xml:space="preserve"> (95% </w:instrText>
      </w:r>
      <w:r w:rsidR="00021E2A">
        <w:rPr>
          <w:b/>
          <w:bCs/>
          <w:lang w:val="en-US"/>
        </w:rPr>
        <w:instrText>CI</w:instrText>
      </w:r>
      <w:r w:rsidR="00021E2A" w:rsidRPr="00AA43FB">
        <w:rPr>
          <w:b/>
          <w:bCs/>
        </w:rPr>
        <w:instrText xml:space="preserve"> 21 </w:instrText>
      </w:r>
      <w:r w:rsidR="00021E2A">
        <w:rPr>
          <w:b/>
          <w:bCs/>
          <w:lang w:val="en-US"/>
        </w:rPr>
        <w:instrText>to</w:instrText>
      </w:r>
      <w:r w:rsidR="00021E2A" w:rsidRPr="00AA43FB">
        <w:rPr>
          <w:b/>
          <w:bCs/>
        </w:rPr>
        <w:instrText xml:space="preserve"> </w:instrText>
      </w:r>
      <w:r w:rsidR="00021E2A">
        <w:rPr>
          <w:b/>
          <w:bCs/>
          <w:lang w:val="en-US"/>
        </w:rPr>
        <w:instrText>upper</w:instrText>
      </w:r>
      <w:r w:rsidR="00021E2A" w:rsidRPr="00AA43FB">
        <w:rPr>
          <w:b/>
          <w:bCs/>
        </w:rPr>
        <w:instrText xml:space="preserve"> </w:instrText>
      </w:r>
      <w:r w:rsidR="00021E2A">
        <w:rPr>
          <w:b/>
          <w:bCs/>
          <w:lang w:val="en-US"/>
        </w:rPr>
        <w:instrText>limit</w:instrText>
      </w:r>
      <w:r w:rsidR="00021E2A" w:rsidRPr="00AA43FB">
        <w:rPr>
          <w:b/>
          <w:bCs/>
        </w:rPr>
        <w:instrText xml:space="preserve"> </w:instrText>
      </w:r>
      <w:r w:rsidR="00021E2A">
        <w:rPr>
          <w:b/>
          <w:bCs/>
          <w:lang w:val="en-US"/>
        </w:rPr>
        <w:instrText>not</w:instrText>
      </w:r>
      <w:r w:rsidR="00021E2A" w:rsidRPr="00AA43FB">
        <w:rPr>
          <w:b/>
          <w:bCs/>
        </w:rPr>
        <w:instrText xml:space="preserve"> </w:instrText>
      </w:r>
      <w:r w:rsidR="00021E2A">
        <w:rPr>
          <w:b/>
          <w:bCs/>
          <w:lang w:val="en-US"/>
        </w:rPr>
        <w:instrText>reached</w:instrText>
      </w:r>
      <w:r w:rsidR="00021E2A" w:rsidRPr="00AA43FB">
        <w:rPr>
          <w:b/>
          <w:bCs/>
        </w:rPr>
        <w:instrText>); 2-</w:instrText>
      </w:r>
      <w:r w:rsidR="00021E2A">
        <w:rPr>
          <w:b/>
          <w:bCs/>
          <w:lang w:val="en-US"/>
        </w:rPr>
        <w:instrText>year</w:instrText>
      </w:r>
      <w:r w:rsidR="00021E2A" w:rsidRPr="00AA43FB">
        <w:rPr>
          <w:b/>
          <w:bCs/>
        </w:rPr>
        <w:instrText xml:space="preserve"> </w:instrText>
      </w:r>
      <w:r w:rsidR="00021E2A">
        <w:rPr>
          <w:b/>
          <w:bCs/>
          <w:lang w:val="en-US"/>
        </w:rPr>
        <w:instrText>overall</w:instrText>
      </w:r>
      <w:r w:rsidR="00021E2A" w:rsidRPr="00AA43FB">
        <w:rPr>
          <w:b/>
          <w:bCs/>
        </w:rPr>
        <w:instrText xml:space="preserve"> </w:instrText>
      </w:r>
      <w:r w:rsidR="00021E2A">
        <w:rPr>
          <w:b/>
          <w:bCs/>
          <w:lang w:val="en-US"/>
        </w:rPr>
        <w:instrText>survival</w:instrText>
      </w:r>
      <w:r w:rsidR="00021E2A" w:rsidRPr="00AA43FB">
        <w:rPr>
          <w:b/>
          <w:bCs/>
        </w:rPr>
        <w:instrText xml:space="preserve"> </w:instrText>
      </w:r>
      <w:r w:rsidR="00021E2A">
        <w:rPr>
          <w:b/>
          <w:bCs/>
          <w:lang w:val="en-US"/>
        </w:rPr>
        <w:instrText>was</w:instrText>
      </w:r>
      <w:r w:rsidR="00021E2A" w:rsidRPr="00AA43FB">
        <w:rPr>
          <w:b/>
          <w:bCs/>
        </w:rPr>
        <w:instrText xml:space="preserve"> 59% (49-67%). </w:instrText>
      </w:r>
      <w:r w:rsidR="00021E2A">
        <w:rPr>
          <w:b/>
          <w:bCs/>
          <w:lang w:val="en-US"/>
        </w:rPr>
        <w:instrText>In</w:instrText>
      </w:r>
      <w:r w:rsidR="00021E2A" w:rsidRPr="00AA43FB">
        <w:rPr>
          <w:b/>
          <w:bCs/>
        </w:rPr>
        <w:instrText xml:space="preserve"> </w:instrText>
      </w:r>
      <w:r w:rsidR="00021E2A">
        <w:rPr>
          <w:b/>
          <w:bCs/>
          <w:lang w:val="en-US"/>
        </w:rPr>
        <w:instrText>multivariate</w:instrText>
      </w:r>
      <w:r w:rsidR="00021E2A" w:rsidRPr="00AA43FB">
        <w:rPr>
          <w:b/>
          <w:bCs/>
        </w:rPr>
        <w:instrText xml:space="preserve"> </w:instrText>
      </w:r>
      <w:r w:rsidR="00021E2A">
        <w:rPr>
          <w:b/>
          <w:bCs/>
          <w:lang w:val="en-US"/>
        </w:rPr>
        <w:instrText>analyses</w:instrText>
      </w:r>
      <w:r w:rsidR="00021E2A" w:rsidRPr="00AA43FB">
        <w:rPr>
          <w:b/>
          <w:bCs/>
        </w:rPr>
        <w:instrText xml:space="preserve">, </w:instrText>
      </w:r>
      <w:r w:rsidR="00021E2A">
        <w:rPr>
          <w:b/>
          <w:bCs/>
          <w:lang w:val="en-US"/>
        </w:rPr>
        <w:instrText>overall</w:instrText>
      </w:r>
      <w:r w:rsidR="00021E2A" w:rsidRPr="00AA43FB">
        <w:rPr>
          <w:b/>
          <w:bCs/>
        </w:rPr>
        <w:instrText xml:space="preserve"> </w:instrText>
      </w:r>
      <w:r w:rsidR="00021E2A">
        <w:rPr>
          <w:b/>
          <w:bCs/>
          <w:lang w:val="en-US"/>
        </w:rPr>
        <w:instrText>survival</w:instrText>
      </w:r>
      <w:r w:rsidR="00021E2A" w:rsidRPr="00AA43FB">
        <w:rPr>
          <w:b/>
          <w:bCs/>
        </w:rPr>
        <w:instrText xml:space="preserve"> </w:instrText>
      </w:r>
      <w:r w:rsidR="00021E2A">
        <w:rPr>
          <w:b/>
          <w:bCs/>
          <w:lang w:val="en-US"/>
        </w:rPr>
        <w:instrText>was</w:instrText>
      </w:r>
      <w:r w:rsidR="00021E2A" w:rsidRPr="00AA43FB">
        <w:rPr>
          <w:b/>
          <w:bCs/>
        </w:rPr>
        <w:instrText xml:space="preserve"> </w:instrText>
      </w:r>
      <w:r w:rsidR="00021E2A">
        <w:rPr>
          <w:b/>
          <w:bCs/>
          <w:lang w:val="en-US"/>
        </w:rPr>
        <w:instrText>only</w:instrText>
      </w:r>
      <w:r w:rsidR="00021E2A" w:rsidRPr="00AA43FB">
        <w:rPr>
          <w:b/>
          <w:bCs/>
        </w:rPr>
        <w:instrText xml:space="preserve"> </w:instrText>
      </w:r>
      <w:r w:rsidR="00021E2A">
        <w:rPr>
          <w:b/>
          <w:bCs/>
          <w:lang w:val="en-US"/>
        </w:rPr>
        <w:instrText>affected</w:instrText>
      </w:r>
      <w:r w:rsidR="00021E2A" w:rsidRPr="00AA43FB">
        <w:rPr>
          <w:b/>
          <w:bCs/>
        </w:rPr>
        <w:instrText xml:space="preserve"> </w:instrText>
      </w:r>
      <w:r w:rsidR="00021E2A">
        <w:rPr>
          <w:b/>
          <w:bCs/>
          <w:lang w:val="en-US"/>
        </w:rPr>
        <w:instrText>by</w:instrText>
      </w:r>
      <w:r w:rsidR="00021E2A" w:rsidRPr="00AA43FB">
        <w:rPr>
          <w:b/>
          <w:bCs/>
        </w:rPr>
        <w:instrText xml:space="preserve"> </w:instrText>
      </w:r>
      <w:r w:rsidR="00021E2A">
        <w:rPr>
          <w:b/>
          <w:bCs/>
          <w:lang w:val="en-US"/>
        </w:rPr>
        <w:instrText>a</w:instrText>
      </w:r>
      <w:r w:rsidR="00021E2A" w:rsidRPr="00AA43FB">
        <w:rPr>
          <w:b/>
          <w:bCs/>
        </w:rPr>
        <w:instrText xml:space="preserve"> </w:instrText>
      </w:r>
      <w:r w:rsidR="00021E2A">
        <w:rPr>
          <w:b/>
          <w:bCs/>
          <w:lang w:val="en-US"/>
        </w:rPr>
        <w:instrText>serum</w:instrText>
      </w:r>
      <w:r w:rsidR="00021E2A" w:rsidRPr="00AA43FB">
        <w:rPr>
          <w:b/>
          <w:bCs/>
        </w:rPr>
        <w:instrText xml:space="preserve"> </w:instrText>
      </w:r>
      <w:r w:rsidR="00021E2A">
        <w:rPr>
          <w:b/>
          <w:bCs/>
          <w:lang w:val="en-US"/>
        </w:rPr>
        <w:instrText>albumin</w:instrText>
      </w:r>
      <w:r w:rsidR="00021E2A" w:rsidRPr="00AA43FB">
        <w:rPr>
          <w:b/>
          <w:bCs/>
        </w:rPr>
        <w:instrText xml:space="preserve"> </w:instrText>
      </w:r>
      <w:r w:rsidR="00021E2A">
        <w:rPr>
          <w:b/>
          <w:bCs/>
          <w:lang w:val="en-US"/>
        </w:rPr>
        <w:instrText>concentration</w:instrText>
      </w:r>
      <w:r w:rsidR="00021E2A" w:rsidRPr="00AA43FB">
        <w:rPr>
          <w:b/>
          <w:bCs/>
        </w:rPr>
        <w:instrText xml:space="preserve"> </w:instrText>
      </w:r>
      <w:r w:rsidR="00021E2A">
        <w:rPr>
          <w:b/>
          <w:bCs/>
          <w:lang w:val="en-US"/>
        </w:rPr>
        <w:instrText>of</w:instrText>
      </w:r>
      <w:r w:rsidR="00021E2A" w:rsidRPr="00AA43FB">
        <w:rPr>
          <w:b/>
          <w:bCs/>
        </w:rPr>
        <w:instrText xml:space="preserve"> 35 </w:instrText>
      </w:r>
      <w:r w:rsidR="00021E2A">
        <w:rPr>
          <w:b/>
          <w:bCs/>
          <w:lang w:val="en-US"/>
        </w:rPr>
        <w:instrText>g</w:instrText>
      </w:r>
      <w:r w:rsidR="00021E2A" w:rsidRPr="00AA43FB">
        <w:rPr>
          <w:b/>
          <w:bCs/>
        </w:rPr>
        <w:instrText>/</w:instrText>
      </w:r>
      <w:r w:rsidR="00021E2A">
        <w:rPr>
          <w:b/>
          <w:bCs/>
          <w:lang w:val="en-US"/>
        </w:rPr>
        <w:instrText>L</w:instrText>
      </w:r>
      <w:r w:rsidR="00021E2A" w:rsidRPr="00AA43FB">
        <w:rPr>
          <w:b/>
          <w:bCs/>
        </w:rPr>
        <w:instrText xml:space="preserve"> </w:instrText>
      </w:r>
      <w:r w:rsidR="00021E2A">
        <w:rPr>
          <w:b/>
          <w:bCs/>
          <w:lang w:val="en-US"/>
        </w:rPr>
        <w:instrText>or</w:instrText>
      </w:r>
      <w:r w:rsidR="00021E2A" w:rsidRPr="00AA43FB">
        <w:rPr>
          <w:b/>
          <w:bCs/>
        </w:rPr>
        <w:instrText xml:space="preserve"> </w:instrText>
      </w:r>
      <w:r w:rsidR="00021E2A">
        <w:rPr>
          <w:b/>
          <w:bCs/>
          <w:lang w:val="en-US"/>
        </w:rPr>
        <w:instrText>less</w:instrText>
      </w:r>
      <w:r w:rsidR="00021E2A" w:rsidRPr="00AA43FB">
        <w:rPr>
          <w:b/>
          <w:bCs/>
        </w:rPr>
        <w:instrText xml:space="preserve"> (</w:instrText>
      </w:r>
      <w:r w:rsidR="00021E2A">
        <w:rPr>
          <w:b/>
          <w:bCs/>
          <w:lang w:val="en-US"/>
        </w:rPr>
        <w:instrText>hazard</w:instrText>
      </w:r>
      <w:r w:rsidR="00021E2A" w:rsidRPr="00AA43FB">
        <w:rPr>
          <w:b/>
          <w:bCs/>
        </w:rPr>
        <w:instrText xml:space="preserve"> </w:instrText>
      </w:r>
      <w:r w:rsidR="00021E2A">
        <w:rPr>
          <w:b/>
          <w:bCs/>
          <w:lang w:val="en-US"/>
        </w:rPr>
        <w:instrText>ratio</w:instrText>
      </w:r>
      <w:r w:rsidR="00021E2A" w:rsidRPr="00AA43FB">
        <w:rPr>
          <w:b/>
          <w:bCs/>
        </w:rPr>
        <w:instrText xml:space="preserve"> 3·2, 95% </w:instrText>
      </w:r>
      <w:r w:rsidR="00021E2A">
        <w:rPr>
          <w:b/>
          <w:bCs/>
          <w:lang w:val="en-US"/>
        </w:rPr>
        <w:instrText>CI</w:instrText>
      </w:r>
      <w:r w:rsidR="00021E2A" w:rsidRPr="00AA43FB">
        <w:rPr>
          <w:b/>
          <w:bCs/>
        </w:rPr>
        <w:instrText xml:space="preserve"> 1·4-7·1; </w:instrText>
      </w:r>
      <w:r w:rsidR="00021E2A">
        <w:rPr>
          <w:b/>
          <w:bCs/>
          <w:lang w:val="en-US"/>
        </w:rPr>
        <w:instrText>p</w:instrText>
      </w:r>
      <w:r w:rsidR="00021E2A" w:rsidRPr="00AA43FB">
        <w:rPr>
          <w:b/>
          <w:bCs/>
        </w:rPr>
        <w:instrText xml:space="preserve">=0·0053). </w:instrText>
      </w:r>
      <w:r w:rsidR="00021E2A">
        <w:rPr>
          <w:b/>
          <w:bCs/>
          <w:lang w:val="en-US"/>
        </w:rPr>
        <w:instrText>Median</w:instrText>
      </w:r>
      <w:r w:rsidR="00021E2A" w:rsidRPr="00AA43FB">
        <w:rPr>
          <w:b/>
          <w:bCs/>
        </w:rPr>
        <w:instrText xml:space="preserve"> </w:instrText>
      </w:r>
      <w:r w:rsidR="00021E2A">
        <w:rPr>
          <w:b/>
          <w:bCs/>
          <w:lang w:val="en-US"/>
        </w:rPr>
        <w:instrText>progression</w:instrText>
      </w:r>
      <w:r w:rsidR="00021E2A" w:rsidRPr="00AA43FB">
        <w:rPr>
          <w:b/>
          <w:bCs/>
        </w:rPr>
        <w:instrText>-</w:instrText>
      </w:r>
      <w:r w:rsidR="00021E2A">
        <w:rPr>
          <w:b/>
          <w:bCs/>
          <w:lang w:val="en-US"/>
        </w:rPr>
        <w:instrText>free</w:instrText>
      </w:r>
      <w:r w:rsidR="00021E2A" w:rsidRPr="00AA43FB">
        <w:rPr>
          <w:b/>
          <w:bCs/>
        </w:rPr>
        <w:instrText xml:space="preserve"> </w:instrText>
      </w:r>
      <w:r w:rsidR="00021E2A">
        <w:rPr>
          <w:b/>
          <w:bCs/>
          <w:lang w:val="en-US"/>
        </w:rPr>
        <w:instrText>survival</w:instrText>
      </w:r>
      <w:r w:rsidR="00021E2A" w:rsidRPr="00AA43FB">
        <w:rPr>
          <w:b/>
          <w:bCs/>
        </w:rPr>
        <w:instrText xml:space="preserve"> </w:instrText>
      </w:r>
      <w:r w:rsidR="00021E2A">
        <w:rPr>
          <w:b/>
          <w:bCs/>
          <w:lang w:val="en-US"/>
        </w:rPr>
        <w:instrText>was</w:instrText>
      </w:r>
      <w:r w:rsidR="00021E2A" w:rsidRPr="00AA43FB">
        <w:rPr>
          <w:b/>
          <w:bCs/>
        </w:rPr>
        <w:instrText xml:space="preserve"> 21 </w:instrText>
      </w:r>
      <w:r w:rsidR="00021E2A">
        <w:rPr>
          <w:b/>
          <w:bCs/>
          <w:lang w:val="en-US"/>
        </w:rPr>
        <w:instrText>months</w:instrText>
      </w:r>
      <w:r w:rsidR="00021E2A" w:rsidRPr="00AA43FB">
        <w:rPr>
          <w:b/>
          <w:bCs/>
        </w:rPr>
        <w:instrText xml:space="preserve"> (95% </w:instrText>
      </w:r>
      <w:r w:rsidR="00021E2A">
        <w:rPr>
          <w:b/>
          <w:bCs/>
          <w:lang w:val="en-US"/>
        </w:rPr>
        <w:instrText>CI</w:instrText>
      </w:r>
      <w:r w:rsidR="00021E2A" w:rsidRPr="00AA43FB">
        <w:rPr>
          <w:b/>
          <w:bCs/>
        </w:rPr>
        <w:instrText xml:space="preserve"> 13 </w:instrText>
      </w:r>
      <w:r w:rsidR="00021E2A">
        <w:rPr>
          <w:b/>
          <w:bCs/>
          <w:lang w:val="en-US"/>
        </w:rPr>
        <w:instrText>to</w:instrText>
      </w:r>
      <w:r w:rsidR="00021E2A" w:rsidRPr="00AA43FB">
        <w:rPr>
          <w:b/>
          <w:bCs/>
        </w:rPr>
        <w:instrText xml:space="preserve"> </w:instrText>
      </w:r>
      <w:r w:rsidR="00021E2A">
        <w:rPr>
          <w:b/>
          <w:bCs/>
          <w:lang w:val="en-US"/>
        </w:rPr>
        <w:instrText>upper</w:instrText>
      </w:r>
      <w:r w:rsidR="00021E2A" w:rsidRPr="00AA43FB">
        <w:rPr>
          <w:b/>
          <w:bCs/>
        </w:rPr>
        <w:instrText xml:space="preserve"> </w:instrText>
      </w:r>
      <w:r w:rsidR="00021E2A">
        <w:rPr>
          <w:b/>
          <w:bCs/>
          <w:lang w:val="en-US"/>
        </w:rPr>
        <w:instrText>limit</w:instrText>
      </w:r>
      <w:r w:rsidR="00021E2A" w:rsidRPr="00AA43FB">
        <w:rPr>
          <w:b/>
          <w:bCs/>
        </w:rPr>
        <w:instrText xml:space="preserve"> </w:instrText>
      </w:r>
      <w:r w:rsidR="00021E2A">
        <w:rPr>
          <w:b/>
          <w:bCs/>
          <w:lang w:val="en-US"/>
        </w:rPr>
        <w:instrText>not</w:instrText>
      </w:r>
      <w:r w:rsidR="00021E2A" w:rsidRPr="00AA43FB">
        <w:rPr>
          <w:b/>
          <w:bCs/>
        </w:rPr>
        <w:instrText xml:space="preserve"> </w:instrText>
      </w:r>
      <w:r w:rsidR="00021E2A">
        <w:rPr>
          <w:b/>
          <w:bCs/>
          <w:lang w:val="en-US"/>
        </w:rPr>
        <w:instrText>reached</w:instrText>
      </w:r>
      <w:r w:rsidR="00021E2A" w:rsidRPr="00AA43FB">
        <w:rPr>
          <w:b/>
          <w:bCs/>
        </w:rPr>
        <w:instrText xml:space="preserve">), </w:instrText>
      </w:r>
      <w:r w:rsidR="00021E2A">
        <w:rPr>
          <w:b/>
          <w:bCs/>
          <w:lang w:val="en-US"/>
        </w:rPr>
        <w:instrText>with</w:instrText>
      </w:r>
      <w:r w:rsidR="00021E2A" w:rsidRPr="00AA43FB">
        <w:rPr>
          <w:b/>
          <w:bCs/>
        </w:rPr>
        <w:instrText xml:space="preserve"> </w:instrText>
      </w:r>
      <w:r w:rsidR="00021E2A">
        <w:rPr>
          <w:b/>
          <w:bCs/>
          <w:lang w:val="en-US"/>
        </w:rPr>
        <w:instrText>a</w:instrText>
      </w:r>
      <w:r w:rsidR="00021E2A" w:rsidRPr="00AA43FB">
        <w:rPr>
          <w:b/>
          <w:bCs/>
        </w:rPr>
        <w:instrText xml:space="preserve"> 2-</w:instrText>
      </w:r>
      <w:r w:rsidR="00021E2A">
        <w:rPr>
          <w:b/>
          <w:bCs/>
          <w:lang w:val="en-US"/>
        </w:rPr>
        <w:instrText>year</w:instrText>
      </w:r>
      <w:r w:rsidR="00021E2A" w:rsidRPr="00AA43FB">
        <w:rPr>
          <w:b/>
          <w:bCs/>
        </w:rPr>
        <w:instrText xml:space="preserve"> </w:instrText>
      </w:r>
      <w:r w:rsidR="00021E2A">
        <w:rPr>
          <w:b/>
          <w:bCs/>
          <w:lang w:val="en-US"/>
        </w:rPr>
        <w:instrText>progression</w:instrText>
      </w:r>
      <w:r w:rsidR="00021E2A" w:rsidRPr="00AA43FB">
        <w:rPr>
          <w:b/>
          <w:bCs/>
        </w:rPr>
        <w:instrText xml:space="preserve"> </w:instrText>
      </w:r>
      <w:r w:rsidR="00021E2A">
        <w:rPr>
          <w:b/>
          <w:bCs/>
          <w:lang w:val="en-US"/>
        </w:rPr>
        <w:instrText>free</w:instrText>
      </w:r>
      <w:r w:rsidR="00021E2A" w:rsidRPr="00AA43FB">
        <w:rPr>
          <w:b/>
          <w:bCs/>
        </w:rPr>
        <w:instrText xml:space="preserve"> </w:instrText>
      </w:r>
      <w:r w:rsidR="00021E2A">
        <w:rPr>
          <w:b/>
          <w:bCs/>
          <w:lang w:val="en-US"/>
        </w:rPr>
        <w:instrText>survival</w:instrText>
      </w:r>
      <w:r w:rsidR="00021E2A" w:rsidRPr="00AA43FB">
        <w:rPr>
          <w:b/>
          <w:bCs/>
        </w:rPr>
        <w:instrText xml:space="preserve"> </w:instrText>
      </w:r>
      <w:r w:rsidR="00021E2A">
        <w:rPr>
          <w:b/>
          <w:bCs/>
          <w:lang w:val="en-US"/>
        </w:rPr>
        <w:instrText>of</w:instrText>
      </w:r>
      <w:r w:rsidR="00021E2A" w:rsidRPr="00AA43FB">
        <w:rPr>
          <w:b/>
          <w:bCs/>
        </w:rPr>
        <w:instrText xml:space="preserve"> 47% (38-56). 58 </w:instrText>
      </w:r>
      <w:r w:rsidR="00021E2A">
        <w:rPr>
          <w:b/>
          <w:bCs/>
          <w:lang w:val="en-US"/>
        </w:rPr>
        <w:instrText>deaths</w:instrText>
      </w:r>
      <w:r w:rsidR="00021E2A" w:rsidRPr="00AA43FB">
        <w:rPr>
          <w:b/>
          <w:bCs/>
        </w:rPr>
        <w:instrText xml:space="preserve"> </w:instrText>
      </w:r>
      <w:r w:rsidR="00021E2A">
        <w:rPr>
          <w:b/>
          <w:bCs/>
          <w:lang w:val="en-US"/>
        </w:rPr>
        <w:instrText>were</w:instrText>
      </w:r>
      <w:r w:rsidR="00021E2A" w:rsidRPr="00AA43FB">
        <w:rPr>
          <w:b/>
          <w:bCs/>
        </w:rPr>
        <w:instrText xml:space="preserve"> </w:instrText>
      </w:r>
      <w:r w:rsidR="00021E2A">
        <w:rPr>
          <w:b/>
          <w:bCs/>
          <w:lang w:val="en-US"/>
        </w:rPr>
        <w:instrText>reported</w:instrText>
      </w:r>
      <w:r w:rsidR="00021E2A" w:rsidRPr="00AA43FB">
        <w:rPr>
          <w:b/>
          <w:bCs/>
        </w:rPr>
        <w:instrText xml:space="preserve">, 33 </w:instrText>
      </w:r>
      <w:r w:rsidR="00021E2A">
        <w:rPr>
          <w:b/>
          <w:bCs/>
          <w:lang w:val="en-US"/>
        </w:rPr>
        <w:instrText>of</w:instrText>
      </w:r>
      <w:r w:rsidR="00021E2A" w:rsidRPr="00AA43FB">
        <w:rPr>
          <w:b/>
          <w:bCs/>
        </w:rPr>
        <w:instrText xml:space="preserve"> </w:instrText>
      </w:r>
      <w:r w:rsidR="00021E2A">
        <w:rPr>
          <w:b/>
          <w:bCs/>
          <w:lang w:val="en-US"/>
        </w:rPr>
        <w:instrText>which</w:instrText>
      </w:r>
      <w:r w:rsidR="00021E2A" w:rsidRPr="00AA43FB">
        <w:rPr>
          <w:b/>
          <w:bCs/>
        </w:rPr>
        <w:instrText xml:space="preserve"> </w:instrText>
      </w:r>
      <w:r w:rsidR="00021E2A">
        <w:rPr>
          <w:b/>
          <w:bCs/>
          <w:lang w:val="en-US"/>
        </w:rPr>
        <w:instrText>were</w:instrText>
      </w:r>
      <w:r w:rsidR="00021E2A" w:rsidRPr="00AA43FB">
        <w:rPr>
          <w:b/>
          <w:bCs/>
        </w:rPr>
        <w:instrText xml:space="preserve"> </w:instrText>
      </w:r>
      <w:r w:rsidR="00021E2A">
        <w:rPr>
          <w:b/>
          <w:bCs/>
          <w:lang w:val="en-US"/>
        </w:rPr>
        <w:instrText>secondary</w:instrText>
      </w:r>
      <w:r w:rsidR="00021E2A" w:rsidRPr="00AA43FB">
        <w:rPr>
          <w:b/>
          <w:bCs/>
        </w:rPr>
        <w:instrText xml:space="preserve"> </w:instrText>
      </w:r>
      <w:r w:rsidR="00021E2A">
        <w:rPr>
          <w:b/>
          <w:bCs/>
          <w:lang w:val="en-US"/>
        </w:rPr>
        <w:instrText>to</w:instrText>
      </w:r>
      <w:r w:rsidR="00021E2A" w:rsidRPr="00AA43FB">
        <w:rPr>
          <w:b/>
          <w:bCs/>
        </w:rPr>
        <w:instrText xml:space="preserve"> </w:instrText>
      </w:r>
      <w:r w:rsidR="00021E2A">
        <w:rPr>
          <w:b/>
          <w:bCs/>
          <w:lang w:val="en-US"/>
        </w:rPr>
        <w:instrText>lymphoma</w:instrText>
      </w:r>
      <w:r w:rsidR="00021E2A" w:rsidRPr="00AA43FB">
        <w:rPr>
          <w:b/>
          <w:bCs/>
        </w:rPr>
        <w:instrText xml:space="preserve"> </w:instrText>
      </w:r>
      <w:r w:rsidR="00021E2A">
        <w:rPr>
          <w:b/>
          <w:bCs/>
          <w:lang w:val="en-US"/>
        </w:rPr>
        <w:instrText>progression</w:instrText>
      </w:r>
      <w:r w:rsidR="00021E2A" w:rsidRPr="00AA43FB">
        <w:rPr>
          <w:b/>
          <w:bCs/>
        </w:rPr>
        <w:instrText xml:space="preserve">. 12 </w:instrText>
      </w:r>
      <w:r w:rsidR="00021E2A">
        <w:rPr>
          <w:b/>
          <w:bCs/>
          <w:lang w:val="en-US"/>
        </w:rPr>
        <w:instrText>deaths</w:instrText>
      </w:r>
      <w:r w:rsidR="00021E2A" w:rsidRPr="00AA43FB">
        <w:rPr>
          <w:b/>
          <w:bCs/>
        </w:rPr>
        <w:instrText xml:space="preserve"> </w:instrText>
      </w:r>
      <w:r w:rsidR="00021E2A">
        <w:rPr>
          <w:b/>
          <w:bCs/>
          <w:lang w:val="en-US"/>
        </w:rPr>
        <w:instrText>were</w:instrText>
      </w:r>
      <w:r w:rsidR="00021E2A" w:rsidRPr="00AA43FB">
        <w:rPr>
          <w:b/>
          <w:bCs/>
        </w:rPr>
        <w:instrText xml:space="preserve"> </w:instrText>
      </w:r>
      <w:r w:rsidR="00021E2A">
        <w:rPr>
          <w:b/>
          <w:bCs/>
          <w:lang w:val="en-US"/>
        </w:rPr>
        <w:instrText>attributed</w:instrText>
      </w:r>
      <w:r w:rsidR="00021E2A" w:rsidRPr="00AA43FB">
        <w:rPr>
          <w:b/>
          <w:bCs/>
        </w:rPr>
        <w:instrText xml:space="preserve"> </w:instrText>
      </w:r>
      <w:r w:rsidR="00021E2A">
        <w:rPr>
          <w:b/>
          <w:bCs/>
          <w:lang w:val="en-US"/>
        </w:rPr>
        <w:instrText>to</w:instrText>
      </w:r>
      <w:r w:rsidR="00021E2A" w:rsidRPr="00AA43FB">
        <w:rPr>
          <w:b/>
          <w:bCs/>
        </w:rPr>
        <w:instrText xml:space="preserve"> </w:instrText>
      </w:r>
      <w:r w:rsidR="00021E2A">
        <w:rPr>
          <w:b/>
          <w:bCs/>
          <w:lang w:val="en-US"/>
        </w:rPr>
        <w:instrText>toxicity</w:instrText>
      </w:r>
      <w:r w:rsidR="00021E2A" w:rsidRPr="00AA43FB">
        <w:rPr>
          <w:b/>
          <w:bCs/>
        </w:rPr>
        <w:instrText xml:space="preserve"> </w:instrText>
      </w:r>
      <w:r w:rsidR="00021E2A">
        <w:rPr>
          <w:b/>
          <w:bCs/>
          <w:lang w:val="en-US"/>
        </w:rPr>
        <w:instrText>of</w:instrText>
      </w:r>
      <w:r w:rsidR="00021E2A" w:rsidRPr="00AA43FB">
        <w:rPr>
          <w:b/>
          <w:bCs/>
        </w:rPr>
        <w:instrText xml:space="preserve"> </w:instrText>
      </w:r>
      <w:r w:rsidR="00021E2A">
        <w:rPr>
          <w:b/>
          <w:bCs/>
          <w:lang w:val="en-US"/>
        </w:rPr>
        <w:instrText>the</w:instrText>
      </w:r>
      <w:r w:rsidR="00021E2A" w:rsidRPr="00AA43FB">
        <w:rPr>
          <w:b/>
          <w:bCs/>
        </w:rPr>
        <w:instrText xml:space="preserve"> </w:instrText>
      </w:r>
      <w:r w:rsidR="00021E2A">
        <w:rPr>
          <w:b/>
          <w:bCs/>
          <w:lang w:val="en-US"/>
        </w:rPr>
        <w:instrText>treatment</w:instrText>
      </w:r>
      <w:r w:rsidR="00021E2A" w:rsidRPr="00AA43FB">
        <w:rPr>
          <w:b/>
          <w:bCs/>
        </w:rPr>
        <w:instrText xml:space="preserve">. </w:instrText>
      </w:r>
      <w:r w:rsidR="00021E2A">
        <w:rPr>
          <w:b/>
          <w:bCs/>
          <w:lang w:val="en-US"/>
        </w:rPr>
        <w:instrText>The</w:instrText>
      </w:r>
      <w:r w:rsidR="00021E2A" w:rsidRPr="00AA43FB">
        <w:rPr>
          <w:b/>
          <w:bCs/>
        </w:rPr>
        <w:instrText xml:space="preserve"> </w:instrText>
      </w:r>
      <w:r w:rsidR="00021E2A">
        <w:rPr>
          <w:b/>
          <w:bCs/>
          <w:lang w:val="en-US"/>
        </w:rPr>
        <w:instrText>most</w:instrText>
      </w:r>
      <w:r w:rsidR="00021E2A" w:rsidRPr="00AA43FB">
        <w:rPr>
          <w:b/>
          <w:bCs/>
        </w:rPr>
        <w:instrText xml:space="preserve"> </w:instrText>
      </w:r>
      <w:r w:rsidR="00021E2A">
        <w:rPr>
          <w:b/>
          <w:bCs/>
          <w:lang w:val="en-US"/>
        </w:rPr>
        <w:instrText>frequent</w:instrText>
      </w:r>
      <w:r w:rsidR="00021E2A" w:rsidRPr="00AA43FB">
        <w:rPr>
          <w:b/>
          <w:bCs/>
        </w:rPr>
        <w:instrText xml:space="preserve"> </w:instrText>
      </w:r>
      <w:r w:rsidR="00021E2A">
        <w:rPr>
          <w:b/>
          <w:bCs/>
          <w:lang w:val="en-US"/>
        </w:rPr>
        <w:instrText>side</w:instrText>
      </w:r>
      <w:r w:rsidR="00021E2A" w:rsidRPr="00AA43FB">
        <w:rPr>
          <w:b/>
          <w:bCs/>
        </w:rPr>
        <w:instrText>-</w:instrText>
      </w:r>
      <w:r w:rsidR="00021E2A">
        <w:rPr>
          <w:b/>
          <w:bCs/>
          <w:lang w:val="en-US"/>
        </w:rPr>
        <w:instrText>effect</w:instrText>
      </w:r>
      <w:r w:rsidR="00021E2A" w:rsidRPr="00AA43FB">
        <w:rPr>
          <w:b/>
          <w:bCs/>
        </w:rPr>
        <w:instrText xml:space="preserve"> </w:instrText>
      </w:r>
      <w:r w:rsidR="00021E2A">
        <w:rPr>
          <w:b/>
          <w:bCs/>
          <w:lang w:val="en-US"/>
        </w:rPr>
        <w:instrText>was</w:instrText>
      </w:r>
      <w:r w:rsidR="00021E2A" w:rsidRPr="00AA43FB">
        <w:rPr>
          <w:b/>
          <w:bCs/>
        </w:rPr>
        <w:instrText xml:space="preserve"> </w:instrText>
      </w:r>
      <w:r w:rsidR="00021E2A">
        <w:rPr>
          <w:b/>
          <w:bCs/>
          <w:lang w:val="en-US"/>
        </w:rPr>
        <w:instrText>haematological</w:instrText>
      </w:r>
      <w:r w:rsidR="00021E2A" w:rsidRPr="00AA43FB">
        <w:rPr>
          <w:b/>
          <w:bCs/>
        </w:rPr>
        <w:instrText xml:space="preserve"> </w:instrText>
      </w:r>
      <w:r w:rsidR="00021E2A">
        <w:rPr>
          <w:b/>
          <w:bCs/>
          <w:lang w:val="en-US"/>
        </w:rPr>
        <w:instrText>toxicity</w:instrText>
      </w:r>
      <w:r w:rsidR="00021E2A" w:rsidRPr="00AA43FB">
        <w:rPr>
          <w:b/>
          <w:bCs/>
        </w:rPr>
        <w:instrText xml:space="preserve"> (</w:instrText>
      </w:r>
      <w:r w:rsidR="00021E2A">
        <w:rPr>
          <w:b/>
          <w:bCs/>
          <w:lang w:val="en-US"/>
        </w:rPr>
        <w:instrText>grade</w:instrText>
      </w:r>
      <w:r w:rsidR="00021E2A" w:rsidRPr="00AA43FB">
        <w:rPr>
          <w:b/>
          <w:bCs/>
        </w:rPr>
        <w:instrText xml:space="preserve"> ≥3 </w:instrText>
      </w:r>
      <w:r w:rsidR="00021E2A">
        <w:rPr>
          <w:b/>
          <w:bCs/>
          <w:lang w:val="en-US"/>
        </w:rPr>
        <w:instrText>neutropenia</w:instrText>
      </w:r>
      <w:r w:rsidR="00021E2A" w:rsidRPr="00AA43FB">
        <w:rPr>
          <w:b/>
          <w:bCs/>
        </w:rPr>
        <w:instrText xml:space="preserve"> </w:instrText>
      </w:r>
      <w:r w:rsidR="00021E2A">
        <w:rPr>
          <w:b/>
          <w:bCs/>
          <w:lang w:val="en-US"/>
        </w:rPr>
        <w:instrText>in</w:instrText>
      </w:r>
      <w:r w:rsidR="00021E2A" w:rsidRPr="00AA43FB">
        <w:rPr>
          <w:b/>
          <w:bCs/>
        </w:rPr>
        <w:instrText xml:space="preserve"> 59 </w:instrText>
      </w:r>
      <w:r w:rsidR="00021E2A">
        <w:rPr>
          <w:b/>
          <w:bCs/>
          <w:lang w:val="en-US"/>
        </w:rPr>
        <w:instrText>patients</w:instrText>
      </w:r>
      <w:r w:rsidR="00021E2A" w:rsidRPr="00AA43FB">
        <w:rPr>
          <w:b/>
          <w:bCs/>
        </w:rPr>
        <w:instrText xml:space="preserve">; </w:instrText>
      </w:r>
      <w:r w:rsidR="00021E2A">
        <w:rPr>
          <w:b/>
          <w:bCs/>
          <w:lang w:val="en-US"/>
        </w:rPr>
        <w:instrText>febrile</w:instrText>
      </w:r>
      <w:r w:rsidR="00021E2A" w:rsidRPr="00AA43FB">
        <w:rPr>
          <w:b/>
          <w:bCs/>
        </w:rPr>
        <w:instrText xml:space="preserve"> </w:instrText>
      </w:r>
      <w:r w:rsidR="00021E2A">
        <w:rPr>
          <w:b/>
          <w:bCs/>
          <w:lang w:val="en-US"/>
        </w:rPr>
        <w:instrText>neutropenia</w:instrText>
      </w:r>
      <w:r w:rsidR="00021E2A" w:rsidRPr="00AA43FB">
        <w:rPr>
          <w:b/>
          <w:bCs/>
        </w:rPr>
        <w:instrText xml:space="preserve"> </w:instrText>
      </w:r>
      <w:r w:rsidR="00021E2A">
        <w:rPr>
          <w:b/>
          <w:bCs/>
          <w:lang w:val="en-US"/>
        </w:rPr>
        <w:instrText>in</w:instrText>
      </w:r>
      <w:r w:rsidR="00021E2A" w:rsidRPr="00AA43FB">
        <w:rPr>
          <w:b/>
          <w:bCs/>
        </w:rPr>
        <w:instrText xml:space="preserve"> 11 </w:instrText>
      </w:r>
      <w:r w:rsidR="00021E2A">
        <w:rPr>
          <w:b/>
          <w:bCs/>
          <w:lang w:val="en-US"/>
        </w:rPr>
        <w:instrText>patients</w:instrText>
      </w:r>
      <w:r w:rsidR="00021E2A" w:rsidRPr="00AA43FB">
        <w:rPr>
          <w:b/>
          <w:bCs/>
        </w:rPr>
        <w:instrText xml:space="preserve">). </w:instrText>
      </w:r>
      <w:r w:rsidR="00021E2A">
        <w:rPr>
          <w:b/>
          <w:bCs/>
          <w:lang w:val="en-US"/>
        </w:rPr>
        <w:instrText>Interpretation</w:instrText>
      </w:r>
      <w:r w:rsidR="00021E2A" w:rsidRPr="00AA43FB">
        <w:rPr>
          <w:b/>
          <w:bCs/>
        </w:rPr>
        <w:instrText xml:space="preserve">: </w:instrText>
      </w:r>
      <w:r w:rsidR="00021E2A">
        <w:rPr>
          <w:b/>
          <w:bCs/>
          <w:lang w:val="en-US"/>
        </w:rPr>
        <w:instrText>R</w:instrText>
      </w:r>
      <w:r w:rsidR="00021E2A" w:rsidRPr="00AA43FB">
        <w:rPr>
          <w:b/>
          <w:bCs/>
        </w:rPr>
        <w:instrText>-</w:instrText>
      </w:r>
      <w:r w:rsidR="00021E2A">
        <w:rPr>
          <w:b/>
          <w:bCs/>
          <w:lang w:val="en-US"/>
        </w:rPr>
        <w:instrText>miniCHOP</w:instrText>
      </w:r>
      <w:r w:rsidR="00021E2A" w:rsidRPr="00AA43FB">
        <w:rPr>
          <w:b/>
          <w:bCs/>
        </w:rPr>
        <w:instrText xml:space="preserve"> </w:instrText>
      </w:r>
      <w:r w:rsidR="00021E2A">
        <w:rPr>
          <w:b/>
          <w:bCs/>
          <w:lang w:val="en-US"/>
        </w:rPr>
        <w:instrText>offers</w:instrText>
      </w:r>
      <w:r w:rsidR="00021E2A" w:rsidRPr="00AA43FB">
        <w:rPr>
          <w:b/>
          <w:bCs/>
        </w:rPr>
        <w:instrText xml:space="preserve"> </w:instrText>
      </w:r>
      <w:r w:rsidR="00021E2A">
        <w:rPr>
          <w:b/>
          <w:bCs/>
          <w:lang w:val="en-US"/>
        </w:rPr>
        <w:instrText>a</w:instrText>
      </w:r>
      <w:r w:rsidR="00021E2A" w:rsidRPr="00AA43FB">
        <w:rPr>
          <w:b/>
          <w:bCs/>
        </w:rPr>
        <w:instrText xml:space="preserve"> </w:instrText>
      </w:r>
      <w:r w:rsidR="00021E2A">
        <w:rPr>
          <w:b/>
          <w:bCs/>
          <w:lang w:val="en-US"/>
        </w:rPr>
        <w:instrText>good</w:instrText>
      </w:r>
      <w:r w:rsidR="00021E2A" w:rsidRPr="00AA43FB">
        <w:rPr>
          <w:b/>
          <w:bCs/>
        </w:rPr>
        <w:instrText xml:space="preserve"> </w:instrText>
      </w:r>
      <w:r w:rsidR="00021E2A">
        <w:rPr>
          <w:b/>
          <w:bCs/>
          <w:lang w:val="en-US"/>
        </w:rPr>
        <w:instrText>compromise</w:instrText>
      </w:r>
      <w:r w:rsidR="00021E2A" w:rsidRPr="00AA43FB">
        <w:rPr>
          <w:b/>
          <w:bCs/>
        </w:rPr>
        <w:instrText xml:space="preserve"> </w:instrText>
      </w:r>
      <w:r w:rsidR="00021E2A">
        <w:rPr>
          <w:b/>
          <w:bCs/>
          <w:lang w:val="en-US"/>
        </w:rPr>
        <w:instrText>between</w:instrText>
      </w:r>
      <w:r w:rsidR="00021E2A" w:rsidRPr="00AA43FB">
        <w:rPr>
          <w:b/>
          <w:bCs/>
        </w:rPr>
        <w:instrText xml:space="preserve"> </w:instrText>
      </w:r>
      <w:r w:rsidR="00021E2A">
        <w:rPr>
          <w:b/>
          <w:bCs/>
          <w:lang w:val="en-US"/>
        </w:rPr>
        <w:instrText>efficacy</w:instrText>
      </w:r>
      <w:r w:rsidR="00021E2A" w:rsidRPr="00AA43FB">
        <w:rPr>
          <w:b/>
          <w:bCs/>
        </w:rPr>
        <w:instrText xml:space="preserve"> </w:instrText>
      </w:r>
      <w:r w:rsidR="00021E2A">
        <w:rPr>
          <w:b/>
          <w:bCs/>
          <w:lang w:val="en-US"/>
        </w:rPr>
        <w:instrText>and</w:instrText>
      </w:r>
      <w:r w:rsidR="00021E2A" w:rsidRPr="00AA43FB">
        <w:rPr>
          <w:b/>
          <w:bCs/>
        </w:rPr>
        <w:instrText xml:space="preserve"> </w:instrText>
      </w:r>
      <w:r w:rsidR="00021E2A">
        <w:rPr>
          <w:b/>
          <w:bCs/>
          <w:lang w:val="en-US"/>
        </w:rPr>
        <w:instrText>safety</w:instrText>
      </w:r>
      <w:r w:rsidR="00021E2A" w:rsidRPr="00AA43FB">
        <w:rPr>
          <w:b/>
          <w:bCs/>
        </w:rPr>
        <w:instrText xml:space="preserve"> </w:instrText>
      </w:r>
      <w:r w:rsidR="00021E2A">
        <w:rPr>
          <w:b/>
          <w:bCs/>
          <w:lang w:val="en-US"/>
        </w:rPr>
        <w:instrText>in</w:instrText>
      </w:r>
      <w:r w:rsidR="00021E2A" w:rsidRPr="00AA43FB">
        <w:rPr>
          <w:b/>
          <w:bCs/>
        </w:rPr>
        <w:instrText xml:space="preserve"> </w:instrText>
      </w:r>
      <w:r w:rsidR="00021E2A">
        <w:rPr>
          <w:b/>
          <w:bCs/>
          <w:lang w:val="en-US"/>
        </w:rPr>
        <w:instrText>patients</w:instrText>
      </w:r>
      <w:r w:rsidR="00021E2A" w:rsidRPr="00AA43FB">
        <w:rPr>
          <w:b/>
          <w:bCs/>
        </w:rPr>
        <w:instrText xml:space="preserve"> </w:instrText>
      </w:r>
      <w:r w:rsidR="00021E2A">
        <w:rPr>
          <w:b/>
          <w:bCs/>
          <w:lang w:val="en-US"/>
        </w:rPr>
        <w:instrText>aged</w:instrText>
      </w:r>
      <w:r w:rsidR="00021E2A" w:rsidRPr="00AA43FB">
        <w:rPr>
          <w:b/>
          <w:bCs/>
        </w:rPr>
        <w:instrText xml:space="preserve"> </w:instrText>
      </w:r>
      <w:r w:rsidR="00021E2A">
        <w:rPr>
          <w:b/>
          <w:bCs/>
          <w:lang w:val="en-US"/>
        </w:rPr>
        <w:instrText>over</w:instrText>
      </w:r>
      <w:r w:rsidR="00021E2A" w:rsidRPr="00AA43FB">
        <w:rPr>
          <w:b/>
          <w:bCs/>
        </w:rPr>
        <w:instrText xml:space="preserve"> 80 </w:instrText>
      </w:r>
      <w:r w:rsidR="00021E2A">
        <w:rPr>
          <w:b/>
          <w:bCs/>
          <w:lang w:val="en-US"/>
        </w:rPr>
        <w:instrText>years</w:instrText>
      </w:r>
      <w:r w:rsidR="00021E2A" w:rsidRPr="00AA43FB">
        <w:rPr>
          <w:b/>
          <w:bCs/>
        </w:rPr>
        <w:instrText xml:space="preserve"> </w:instrText>
      </w:r>
      <w:r w:rsidR="00021E2A">
        <w:rPr>
          <w:b/>
          <w:bCs/>
          <w:lang w:val="en-US"/>
        </w:rPr>
        <w:instrText>old</w:instrText>
      </w:r>
      <w:r w:rsidR="00021E2A" w:rsidRPr="00AA43FB">
        <w:rPr>
          <w:b/>
          <w:bCs/>
        </w:rPr>
        <w:instrText xml:space="preserve">. </w:instrText>
      </w:r>
      <w:r w:rsidR="00021E2A">
        <w:rPr>
          <w:b/>
          <w:bCs/>
          <w:lang w:val="en-US"/>
        </w:rPr>
        <w:instrText>R</w:instrText>
      </w:r>
      <w:r w:rsidR="00021E2A" w:rsidRPr="00AA43FB">
        <w:rPr>
          <w:b/>
          <w:bCs/>
        </w:rPr>
        <w:instrText>-</w:instrText>
      </w:r>
      <w:r w:rsidR="00021E2A">
        <w:rPr>
          <w:b/>
          <w:bCs/>
          <w:lang w:val="en-US"/>
        </w:rPr>
        <w:instrText>miniCHOP</w:instrText>
      </w:r>
      <w:r w:rsidR="00021E2A" w:rsidRPr="00AA43FB">
        <w:rPr>
          <w:b/>
          <w:bCs/>
        </w:rPr>
        <w:instrText xml:space="preserve"> </w:instrText>
      </w:r>
      <w:r w:rsidR="00021E2A">
        <w:rPr>
          <w:b/>
          <w:bCs/>
          <w:lang w:val="en-US"/>
        </w:rPr>
        <w:instrText>should</w:instrText>
      </w:r>
      <w:r w:rsidR="00021E2A" w:rsidRPr="00AA43FB">
        <w:rPr>
          <w:b/>
          <w:bCs/>
        </w:rPr>
        <w:instrText xml:space="preserve"> </w:instrText>
      </w:r>
      <w:r w:rsidR="00021E2A">
        <w:rPr>
          <w:b/>
          <w:bCs/>
          <w:lang w:val="en-US"/>
        </w:rPr>
        <w:instrText>be</w:instrText>
      </w:r>
      <w:r w:rsidR="00021E2A" w:rsidRPr="00AA43FB">
        <w:rPr>
          <w:b/>
          <w:bCs/>
        </w:rPr>
        <w:instrText xml:space="preserve"> </w:instrText>
      </w:r>
      <w:r w:rsidR="00021E2A">
        <w:rPr>
          <w:b/>
          <w:bCs/>
          <w:lang w:val="en-US"/>
        </w:rPr>
        <w:instrText>considered</w:instrText>
      </w:r>
      <w:r w:rsidR="00021E2A" w:rsidRPr="00AA43FB">
        <w:rPr>
          <w:b/>
          <w:bCs/>
        </w:rPr>
        <w:instrText xml:space="preserve"> </w:instrText>
      </w:r>
      <w:r w:rsidR="00021E2A">
        <w:rPr>
          <w:b/>
          <w:bCs/>
          <w:lang w:val="en-US"/>
        </w:rPr>
        <w:instrText>as</w:instrText>
      </w:r>
      <w:r w:rsidR="00021E2A" w:rsidRPr="00AA43FB">
        <w:rPr>
          <w:b/>
          <w:bCs/>
        </w:rPr>
        <w:instrText xml:space="preserve"> </w:instrText>
      </w:r>
      <w:r w:rsidR="00021E2A">
        <w:rPr>
          <w:b/>
          <w:bCs/>
          <w:lang w:val="en-US"/>
        </w:rPr>
        <w:instrText>the</w:instrText>
      </w:r>
      <w:r w:rsidR="00021E2A" w:rsidRPr="00AA43FB">
        <w:rPr>
          <w:b/>
          <w:bCs/>
        </w:rPr>
        <w:instrText xml:space="preserve"> </w:instrText>
      </w:r>
      <w:r w:rsidR="00021E2A">
        <w:rPr>
          <w:b/>
          <w:bCs/>
          <w:lang w:val="en-US"/>
        </w:rPr>
        <w:instrText>new</w:instrText>
      </w:r>
      <w:r w:rsidR="00021E2A" w:rsidRPr="00AA43FB">
        <w:rPr>
          <w:b/>
          <w:bCs/>
        </w:rPr>
        <w:instrText xml:space="preserve"> </w:instrText>
      </w:r>
      <w:r w:rsidR="00021E2A">
        <w:rPr>
          <w:b/>
          <w:bCs/>
          <w:lang w:val="en-US"/>
        </w:rPr>
        <w:instrText>standard</w:instrText>
      </w:r>
      <w:r w:rsidR="00021E2A" w:rsidRPr="00AA43FB">
        <w:rPr>
          <w:b/>
          <w:bCs/>
        </w:rPr>
        <w:instrText xml:space="preserve"> </w:instrText>
      </w:r>
      <w:r w:rsidR="00021E2A">
        <w:rPr>
          <w:b/>
          <w:bCs/>
          <w:lang w:val="en-US"/>
        </w:rPr>
        <w:instrText>treatment</w:instrText>
      </w:r>
      <w:r w:rsidR="00021E2A" w:rsidRPr="00AA43FB">
        <w:rPr>
          <w:b/>
          <w:bCs/>
        </w:rPr>
        <w:instrText xml:space="preserve"> </w:instrText>
      </w:r>
      <w:r w:rsidR="00021E2A">
        <w:rPr>
          <w:b/>
          <w:bCs/>
          <w:lang w:val="en-US"/>
        </w:rPr>
        <w:instrText>in</w:instrText>
      </w:r>
      <w:r w:rsidR="00021E2A" w:rsidRPr="00AA43FB">
        <w:rPr>
          <w:b/>
          <w:bCs/>
        </w:rPr>
        <w:instrText xml:space="preserve"> </w:instrText>
      </w:r>
      <w:r w:rsidR="00021E2A">
        <w:rPr>
          <w:b/>
          <w:bCs/>
          <w:lang w:val="en-US"/>
        </w:rPr>
        <w:instrText>this</w:instrText>
      </w:r>
      <w:r w:rsidR="00021E2A" w:rsidRPr="00AA43FB">
        <w:rPr>
          <w:b/>
          <w:bCs/>
        </w:rPr>
        <w:instrText xml:space="preserve"> </w:instrText>
      </w:r>
      <w:r w:rsidR="00021E2A">
        <w:rPr>
          <w:b/>
          <w:bCs/>
          <w:lang w:val="en-US"/>
        </w:rPr>
        <w:instrText>subgroup</w:instrText>
      </w:r>
      <w:r w:rsidR="00021E2A" w:rsidRPr="00AA43FB">
        <w:rPr>
          <w:b/>
          <w:bCs/>
        </w:rPr>
        <w:instrText xml:space="preserve"> </w:instrText>
      </w:r>
      <w:r w:rsidR="00021E2A">
        <w:rPr>
          <w:b/>
          <w:bCs/>
          <w:lang w:val="en-US"/>
        </w:rPr>
        <w:instrText>of</w:instrText>
      </w:r>
      <w:r w:rsidR="00021E2A" w:rsidRPr="00AA43FB">
        <w:rPr>
          <w:b/>
          <w:bCs/>
        </w:rPr>
        <w:instrText xml:space="preserve"> </w:instrText>
      </w:r>
      <w:r w:rsidR="00021E2A">
        <w:rPr>
          <w:b/>
          <w:bCs/>
          <w:lang w:val="en-US"/>
        </w:rPr>
        <w:instrText>patients</w:instrText>
      </w:r>
      <w:r w:rsidR="00021E2A" w:rsidRPr="00AA43FB">
        <w:rPr>
          <w:b/>
          <w:bCs/>
        </w:rPr>
        <w:instrText xml:space="preserve">. </w:instrText>
      </w:r>
      <w:r w:rsidR="00021E2A">
        <w:rPr>
          <w:b/>
          <w:bCs/>
          <w:lang w:val="en-US"/>
        </w:rPr>
        <w:instrText>Funding</w:instrText>
      </w:r>
      <w:r w:rsidR="00021E2A" w:rsidRPr="00AA43FB">
        <w:rPr>
          <w:b/>
          <w:bCs/>
        </w:rPr>
        <w:instrText xml:space="preserve">: </w:instrText>
      </w:r>
      <w:r w:rsidR="00021E2A">
        <w:rPr>
          <w:b/>
          <w:bCs/>
          <w:lang w:val="en-US"/>
        </w:rPr>
        <w:instrText>Groupe</w:instrText>
      </w:r>
      <w:r w:rsidR="00021E2A" w:rsidRPr="00AA43FB">
        <w:rPr>
          <w:b/>
          <w:bCs/>
        </w:rPr>
        <w:instrText xml:space="preserve"> </w:instrText>
      </w:r>
      <w:r w:rsidR="00021E2A">
        <w:rPr>
          <w:b/>
          <w:bCs/>
          <w:lang w:val="en-US"/>
        </w:rPr>
        <w:instrText>d</w:instrText>
      </w:r>
      <w:r w:rsidR="00021E2A" w:rsidRPr="00AA43FB">
        <w:rPr>
          <w:b/>
          <w:bCs/>
        </w:rPr>
        <w:instrText>'</w:instrText>
      </w:r>
      <w:r w:rsidR="00021E2A">
        <w:rPr>
          <w:b/>
          <w:bCs/>
          <w:lang w:val="en-US"/>
        </w:rPr>
        <w:instrText>Etude</w:instrText>
      </w:r>
      <w:r w:rsidR="00021E2A" w:rsidRPr="00AA43FB">
        <w:rPr>
          <w:b/>
          <w:bCs/>
        </w:rPr>
        <w:instrText xml:space="preserve"> </w:instrText>
      </w:r>
      <w:r w:rsidR="00021E2A">
        <w:rPr>
          <w:b/>
          <w:bCs/>
          <w:lang w:val="en-US"/>
        </w:rPr>
        <w:instrText>des</w:instrText>
      </w:r>
      <w:r w:rsidR="00021E2A" w:rsidRPr="00AA43FB">
        <w:rPr>
          <w:b/>
          <w:bCs/>
        </w:rPr>
        <w:instrText xml:space="preserve"> </w:instrText>
      </w:r>
      <w:r w:rsidR="00021E2A">
        <w:rPr>
          <w:b/>
          <w:bCs/>
          <w:lang w:val="en-US"/>
        </w:rPr>
        <w:instrText>Lymphomes</w:instrText>
      </w:r>
      <w:r w:rsidR="00021E2A" w:rsidRPr="00AA43FB">
        <w:rPr>
          <w:b/>
          <w:bCs/>
        </w:rPr>
        <w:instrText xml:space="preserve"> </w:instrText>
      </w:r>
      <w:r w:rsidR="00021E2A">
        <w:rPr>
          <w:b/>
          <w:bCs/>
          <w:lang w:val="en-US"/>
        </w:rPr>
        <w:instrText>de</w:instrText>
      </w:r>
      <w:r w:rsidR="00021E2A" w:rsidRPr="00AA43FB">
        <w:rPr>
          <w:b/>
          <w:bCs/>
        </w:rPr>
        <w:instrText xml:space="preserve"> </w:instrText>
      </w:r>
      <w:r w:rsidR="00021E2A">
        <w:rPr>
          <w:b/>
          <w:bCs/>
          <w:lang w:val="en-US"/>
        </w:rPr>
        <w:instrText>l</w:instrText>
      </w:r>
      <w:r w:rsidR="00021E2A" w:rsidRPr="00AA43FB">
        <w:rPr>
          <w:b/>
          <w:bCs/>
        </w:rPr>
        <w:instrText>'</w:instrText>
      </w:r>
      <w:r w:rsidR="00021E2A">
        <w:rPr>
          <w:b/>
          <w:bCs/>
          <w:lang w:val="en-US"/>
        </w:rPr>
        <w:instrText>Adulte</w:instrText>
      </w:r>
      <w:r w:rsidR="00021E2A" w:rsidRPr="00AA43FB">
        <w:rPr>
          <w:b/>
          <w:bCs/>
        </w:rPr>
        <w:instrText xml:space="preserve"> (</w:instrText>
      </w:r>
      <w:r w:rsidR="00021E2A">
        <w:rPr>
          <w:b/>
          <w:bCs/>
          <w:lang w:val="en-US"/>
        </w:rPr>
        <w:instrText>GELA</w:instrText>
      </w:r>
      <w:r w:rsidR="00021E2A" w:rsidRPr="00AA43FB">
        <w:rPr>
          <w:b/>
          <w:bCs/>
        </w:rPr>
        <w:instrText xml:space="preserve">). © 2011 </w:instrText>
      </w:r>
      <w:r w:rsidR="00021E2A">
        <w:rPr>
          <w:b/>
          <w:bCs/>
          <w:lang w:val="en-US"/>
        </w:rPr>
        <w:instrText>Elsevier</w:instrText>
      </w:r>
      <w:r w:rsidR="00021E2A" w:rsidRPr="00AA43FB">
        <w:rPr>
          <w:b/>
          <w:bCs/>
        </w:rPr>
        <w:instrText xml:space="preserve"> </w:instrText>
      </w:r>
      <w:r w:rsidR="00021E2A">
        <w:rPr>
          <w:b/>
          <w:bCs/>
          <w:lang w:val="en-US"/>
        </w:rPr>
        <w:instrText>Ltd</w:instrText>
      </w:r>
      <w:r w:rsidR="00021E2A" w:rsidRPr="00AA43FB">
        <w:rPr>
          <w:b/>
          <w:bCs/>
        </w:rPr>
        <w:instrText>.","</w:instrText>
      </w:r>
      <w:r w:rsidR="00021E2A">
        <w:rPr>
          <w:b/>
          <w:bCs/>
          <w:lang w:val="en-US"/>
        </w:rPr>
        <w:instrText>author</w:instrText>
      </w:r>
      <w:r w:rsidR="00021E2A" w:rsidRPr="00AA43FB">
        <w:rPr>
          <w:b/>
          <w:bCs/>
        </w:rPr>
        <w:instrText>":[{"</w:instrText>
      </w:r>
      <w:r w:rsidR="00021E2A">
        <w:rPr>
          <w:b/>
          <w:bCs/>
          <w:lang w:val="en-US"/>
        </w:rPr>
        <w:instrText>dropping</w:instrText>
      </w:r>
      <w:r w:rsidR="00021E2A" w:rsidRPr="00AA43FB">
        <w:rPr>
          <w:b/>
          <w:bCs/>
        </w:rPr>
        <w:instrText>-</w:instrText>
      </w:r>
      <w:r w:rsidR="00021E2A">
        <w:rPr>
          <w:b/>
          <w:bCs/>
          <w:lang w:val="en-US"/>
        </w:rPr>
        <w:instrText>particle</w:instrText>
      </w:r>
      <w:r w:rsidR="00021E2A" w:rsidRPr="00AA43FB">
        <w:rPr>
          <w:b/>
          <w:bCs/>
        </w:rPr>
        <w:instrText>":"","</w:instrText>
      </w:r>
      <w:r w:rsidR="00021E2A">
        <w:rPr>
          <w:b/>
          <w:bCs/>
          <w:lang w:val="en-US"/>
        </w:rPr>
        <w:instrText>family</w:instrText>
      </w:r>
      <w:r w:rsidR="00021E2A" w:rsidRPr="00AA43FB">
        <w:rPr>
          <w:b/>
          <w:bCs/>
        </w:rPr>
        <w:instrText>":"</w:instrText>
      </w:r>
      <w:r w:rsidR="00021E2A">
        <w:rPr>
          <w:b/>
          <w:bCs/>
          <w:lang w:val="en-US"/>
        </w:rPr>
        <w:instrText>Peyrade</w:instrText>
      </w:r>
      <w:r w:rsidR="00021E2A" w:rsidRPr="00AA43FB">
        <w:rPr>
          <w:b/>
          <w:bCs/>
        </w:rPr>
        <w:instrText>","</w:instrText>
      </w:r>
      <w:r w:rsidR="00021E2A">
        <w:rPr>
          <w:b/>
          <w:bCs/>
          <w:lang w:val="en-US"/>
        </w:rPr>
        <w:instrText>given</w:instrText>
      </w:r>
      <w:r w:rsidR="00021E2A" w:rsidRPr="00AA43FB">
        <w:rPr>
          <w:b/>
          <w:bCs/>
        </w:rPr>
        <w:instrText>":"</w:instrText>
      </w:r>
      <w:r w:rsidR="00021E2A">
        <w:rPr>
          <w:b/>
          <w:bCs/>
          <w:lang w:val="en-US"/>
        </w:rPr>
        <w:instrText>Fr</w:instrText>
      </w:r>
      <w:r w:rsidR="00021E2A" w:rsidRPr="00AA43FB">
        <w:rPr>
          <w:b/>
          <w:bCs/>
        </w:rPr>
        <w:instrText>é</w:instrText>
      </w:r>
      <w:r w:rsidR="00021E2A">
        <w:rPr>
          <w:b/>
          <w:bCs/>
          <w:lang w:val="en-US"/>
        </w:rPr>
        <w:instrText>d</w:instrText>
      </w:r>
      <w:r w:rsidR="00021E2A" w:rsidRPr="00AA43FB">
        <w:rPr>
          <w:b/>
          <w:bCs/>
        </w:rPr>
        <w:instrText>é</w:instrText>
      </w:r>
      <w:r w:rsidR="00021E2A">
        <w:rPr>
          <w:b/>
          <w:bCs/>
          <w:lang w:val="en-US"/>
        </w:rPr>
        <w:instrText>ric</w:instrText>
      </w:r>
      <w:r w:rsidR="00021E2A" w:rsidRPr="00AA43FB">
        <w:rPr>
          <w:b/>
          <w:bCs/>
        </w:rPr>
        <w:instrText>","</w:instrText>
      </w:r>
      <w:r w:rsidR="00021E2A">
        <w:rPr>
          <w:b/>
          <w:bCs/>
          <w:lang w:val="en-US"/>
        </w:rPr>
        <w:instrText>non</w:instrText>
      </w:r>
      <w:r w:rsidR="00021E2A" w:rsidRPr="00AA43FB">
        <w:rPr>
          <w:b/>
          <w:bCs/>
        </w:rPr>
        <w:instrText>-</w:instrText>
      </w:r>
      <w:r w:rsidR="00021E2A">
        <w:rPr>
          <w:b/>
          <w:bCs/>
          <w:lang w:val="en-US"/>
        </w:rPr>
        <w:instrText>dropping</w:instrText>
      </w:r>
      <w:r w:rsidR="00021E2A" w:rsidRPr="00AA43FB">
        <w:rPr>
          <w:b/>
          <w:bCs/>
        </w:rPr>
        <w:instrText>-</w:instrText>
      </w:r>
      <w:r w:rsidR="00021E2A">
        <w:rPr>
          <w:b/>
          <w:bCs/>
          <w:lang w:val="en-US"/>
        </w:rPr>
        <w:instrText>particle</w:instrText>
      </w:r>
      <w:r w:rsidR="00021E2A" w:rsidRPr="00AA43FB">
        <w:rPr>
          <w:b/>
          <w:bCs/>
        </w:rPr>
        <w:instrText>":"","</w:instrText>
      </w:r>
      <w:r w:rsidR="00021E2A">
        <w:rPr>
          <w:b/>
          <w:bCs/>
          <w:lang w:val="en-US"/>
        </w:rPr>
        <w:instrText>parse</w:instrText>
      </w:r>
      <w:r w:rsidR="00021E2A" w:rsidRPr="00AA43FB">
        <w:rPr>
          <w:b/>
          <w:bCs/>
        </w:rPr>
        <w:instrText>-</w:instrText>
      </w:r>
      <w:r w:rsidR="00021E2A">
        <w:rPr>
          <w:b/>
          <w:bCs/>
          <w:lang w:val="en-US"/>
        </w:rPr>
        <w:instrText>names</w:instrText>
      </w:r>
      <w:r w:rsidR="00021E2A" w:rsidRPr="00AA43FB">
        <w:rPr>
          <w:b/>
          <w:bCs/>
        </w:rPr>
        <w:instrText>":</w:instrText>
      </w:r>
      <w:r w:rsidR="00021E2A">
        <w:rPr>
          <w:b/>
          <w:bCs/>
          <w:lang w:val="en-US"/>
        </w:rPr>
        <w:instrText>false</w:instrText>
      </w:r>
      <w:r w:rsidR="00021E2A" w:rsidRPr="00AA43FB">
        <w:rPr>
          <w:b/>
          <w:bCs/>
        </w:rPr>
        <w:instrText>,"</w:instrText>
      </w:r>
      <w:r w:rsidR="00021E2A">
        <w:rPr>
          <w:b/>
          <w:bCs/>
          <w:lang w:val="en-US"/>
        </w:rPr>
        <w:instrText>suffix</w:instrText>
      </w:r>
      <w:r w:rsidR="00021E2A" w:rsidRPr="00AA43FB">
        <w:rPr>
          <w:b/>
          <w:bCs/>
        </w:rPr>
        <w:instrText>":""},{"</w:instrText>
      </w:r>
      <w:r w:rsidR="00021E2A">
        <w:rPr>
          <w:b/>
          <w:bCs/>
          <w:lang w:val="en-US"/>
        </w:rPr>
        <w:instrText>dropping</w:instrText>
      </w:r>
      <w:r w:rsidR="00021E2A" w:rsidRPr="00AA43FB">
        <w:rPr>
          <w:b/>
          <w:bCs/>
        </w:rPr>
        <w:instrText>-</w:instrText>
      </w:r>
      <w:r w:rsidR="00021E2A">
        <w:rPr>
          <w:b/>
          <w:bCs/>
          <w:lang w:val="en-US"/>
        </w:rPr>
        <w:instrText>particle</w:instrText>
      </w:r>
      <w:r w:rsidR="00021E2A" w:rsidRPr="00AA43FB">
        <w:rPr>
          <w:b/>
          <w:bCs/>
        </w:rPr>
        <w:instrText>":"","</w:instrText>
      </w:r>
      <w:r w:rsidR="00021E2A">
        <w:rPr>
          <w:b/>
          <w:bCs/>
          <w:lang w:val="en-US"/>
        </w:rPr>
        <w:instrText>family</w:instrText>
      </w:r>
      <w:r w:rsidR="00021E2A" w:rsidRPr="00AA43FB">
        <w:rPr>
          <w:b/>
          <w:bCs/>
        </w:rPr>
        <w:instrText>":"</w:instrText>
      </w:r>
      <w:r w:rsidR="00021E2A">
        <w:rPr>
          <w:b/>
          <w:bCs/>
          <w:lang w:val="en-US"/>
        </w:rPr>
        <w:instrText>Jardin</w:instrText>
      </w:r>
      <w:r w:rsidR="00021E2A" w:rsidRPr="00AA43FB">
        <w:rPr>
          <w:b/>
          <w:bCs/>
        </w:rPr>
        <w:instrText>","</w:instrText>
      </w:r>
      <w:r w:rsidR="00021E2A">
        <w:rPr>
          <w:b/>
          <w:bCs/>
          <w:lang w:val="en-US"/>
        </w:rPr>
        <w:instrText>given</w:instrText>
      </w:r>
      <w:r w:rsidR="00021E2A" w:rsidRPr="00AA43FB">
        <w:rPr>
          <w:b/>
          <w:bCs/>
        </w:rPr>
        <w:instrText>":"</w:instrText>
      </w:r>
      <w:r w:rsidR="00021E2A">
        <w:rPr>
          <w:b/>
          <w:bCs/>
          <w:lang w:val="en-US"/>
        </w:rPr>
        <w:instrText>Fabrice</w:instrText>
      </w:r>
      <w:r w:rsidR="00021E2A" w:rsidRPr="00AA43FB">
        <w:rPr>
          <w:b/>
          <w:bCs/>
        </w:rPr>
        <w:instrText>","</w:instrText>
      </w:r>
      <w:r w:rsidR="00021E2A">
        <w:rPr>
          <w:b/>
          <w:bCs/>
          <w:lang w:val="en-US"/>
        </w:rPr>
        <w:instrText>non</w:instrText>
      </w:r>
      <w:r w:rsidR="00021E2A" w:rsidRPr="00AA43FB">
        <w:rPr>
          <w:b/>
          <w:bCs/>
        </w:rPr>
        <w:instrText>-</w:instrText>
      </w:r>
      <w:r w:rsidR="00021E2A">
        <w:rPr>
          <w:b/>
          <w:bCs/>
          <w:lang w:val="en-US"/>
        </w:rPr>
        <w:instrText>dropping</w:instrText>
      </w:r>
      <w:r w:rsidR="00021E2A" w:rsidRPr="00AA43FB">
        <w:rPr>
          <w:b/>
          <w:bCs/>
        </w:rPr>
        <w:instrText>-</w:instrText>
      </w:r>
      <w:r w:rsidR="00021E2A">
        <w:rPr>
          <w:b/>
          <w:bCs/>
          <w:lang w:val="en-US"/>
        </w:rPr>
        <w:instrText>particle</w:instrText>
      </w:r>
      <w:r w:rsidR="00021E2A" w:rsidRPr="00AA43FB">
        <w:rPr>
          <w:b/>
          <w:bCs/>
        </w:rPr>
        <w:instrText>":"","</w:instrText>
      </w:r>
      <w:r w:rsidR="00021E2A">
        <w:rPr>
          <w:b/>
          <w:bCs/>
          <w:lang w:val="en-US"/>
        </w:rPr>
        <w:instrText>parse</w:instrText>
      </w:r>
      <w:r w:rsidR="00021E2A" w:rsidRPr="00AA43FB">
        <w:rPr>
          <w:b/>
          <w:bCs/>
        </w:rPr>
        <w:instrText>-</w:instrText>
      </w:r>
      <w:r w:rsidR="00021E2A">
        <w:rPr>
          <w:b/>
          <w:bCs/>
          <w:lang w:val="en-US"/>
        </w:rPr>
        <w:instrText>names</w:instrText>
      </w:r>
      <w:r w:rsidR="00021E2A" w:rsidRPr="00AA43FB">
        <w:rPr>
          <w:b/>
          <w:bCs/>
        </w:rPr>
        <w:instrText>":</w:instrText>
      </w:r>
      <w:r w:rsidR="00021E2A">
        <w:rPr>
          <w:b/>
          <w:bCs/>
          <w:lang w:val="en-US"/>
        </w:rPr>
        <w:instrText>false</w:instrText>
      </w:r>
      <w:r w:rsidR="00021E2A" w:rsidRPr="00AA43FB">
        <w:rPr>
          <w:b/>
          <w:bCs/>
        </w:rPr>
        <w:instrText>,"</w:instrText>
      </w:r>
      <w:r w:rsidR="00021E2A">
        <w:rPr>
          <w:b/>
          <w:bCs/>
          <w:lang w:val="en-US"/>
        </w:rPr>
        <w:instrText>suffix</w:instrText>
      </w:r>
      <w:r w:rsidR="00021E2A" w:rsidRPr="00AA43FB">
        <w:rPr>
          <w:b/>
          <w:bCs/>
        </w:rPr>
        <w:instrText>":""},{"</w:instrText>
      </w:r>
      <w:r w:rsidR="00021E2A">
        <w:rPr>
          <w:b/>
          <w:bCs/>
          <w:lang w:val="en-US"/>
        </w:rPr>
        <w:instrText>dropping</w:instrText>
      </w:r>
      <w:r w:rsidR="00021E2A" w:rsidRPr="00AA43FB">
        <w:rPr>
          <w:b/>
          <w:bCs/>
        </w:rPr>
        <w:instrText>-</w:instrText>
      </w:r>
      <w:r w:rsidR="00021E2A">
        <w:rPr>
          <w:b/>
          <w:bCs/>
          <w:lang w:val="en-US"/>
        </w:rPr>
        <w:instrText>particle</w:instrText>
      </w:r>
      <w:r w:rsidR="00021E2A" w:rsidRPr="00AA43FB">
        <w:rPr>
          <w:b/>
          <w:bCs/>
        </w:rPr>
        <w:instrText>":"","</w:instrText>
      </w:r>
      <w:r w:rsidR="00021E2A">
        <w:rPr>
          <w:b/>
          <w:bCs/>
          <w:lang w:val="en-US"/>
        </w:rPr>
        <w:instrText>family</w:instrText>
      </w:r>
      <w:r w:rsidR="00021E2A" w:rsidRPr="00AA43FB">
        <w:rPr>
          <w:b/>
          <w:bCs/>
        </w:rPr>
        <w:instrText>":"</w:instrText>
      </w:r>
      <w:r w:rsidR="00021E2A">
        <w:rPr>
          <w:b/>
          <w:bCs/>
          <w:lang w:val="en-US"/>
        </w:rPr>
        <w:instrText>Thieblemont</w:instrText>
      </w:r>
      <w:r w:rsidR="00021E2A" w:rsidRPr="00AA43FB">
        <w:rPr>
          <w:b/>
          <w:bCs/>
        </w:rPr>
        <w:instrText>","</w:instrText>
      </w:r>
      <w:r w:rsidR="00021E2A">
        <w:rPr>
          <w:b/>
          <w:bCs/>
          <w:lang w:val="en-US"/>
        </w:rPr>
        <w:instrText>given</w:instrText>
      </w:r>
      <w:r w:rsidR="00021E2A" w:rsidRPr="00AA43FB">
        <w:rPr>
          <w:b/>
          <w:bCs/>
        </w:rPr>
        <w:instrText>":"</w:instrText>
      </w:r>
      <w:r w:rsidR="00021E2A">
        <w:rPr>
          <w:b/>
          <w:bCs/>
          <w:lang w:val="en-US"/>
        </w:rPr>
        <w:instrText>Catherine</w:instrText>
      </w:r>
      <w:r w:rsidR="00021E2A" w:rsidRPr="00AA43FB">
        <w:rPr>
          <w:b/>
          <w:bCs/>
        </w:rPr>
        <w:instrText>","</w:instrText>
      </w:r>
      <w:r w:rsidR="00021E2A">
        <w:rPr>
          <w:b/>
          <w:bCs/>
          <w:lang w:val="en-US"/>
        </w:rPr>
        <w:instrText>non</w:instrText>
      </w:r>
      <w:r w:rsidR="00021E2A" w:rsidRPr="00AA43FB">
        <w:rPr>
          <w:b/>
          <w:bCs/>
        </w:rPr>
        <w:instrText>-</w:instrText>
      </w:r>
      <w:r w:rsidR="00021E2A">
        <w:rPr>
          <w:b/>
          <w:bCs/>
          <w:lang w:val="en-US"/>
        </w:rPr>
        <w:instrText>dropping</w:instrText>
      </w:r>
      <w:r w:rsidR="00021E2A" w:rsidRPr="00AA43FB">
        <w:rPr>
          <w:b/>
          <w:bCs/>
        </w:rPr>
        <w:instrText>-</w:instrText>
      </w:r>
      <w:r w:rsidR="00021E2A">
        <w:rPr>
          <w:b/>
          <w:bCs/>
          <w:lang w:val="en-US"/>
        </w:rPr>
        <w:instrText>particle</w:instrText>
      </w:r>
      <w:r w:rsidR="00021E2A" w:rsidRPr="00AA43FB">
        <w:rPr>
          <w:b/>
          <w:bCs/>
        </w:rPr>
        <w:instrText>":"","</w:instrText>
      </w:r>
      <w:r w:rsidR="00021E2A">
        <w:rPr>
          <w:b/>
          <w:bCs/>
          <w:lang w:val="en-US"/>
        </w:rPr>
        <w:instrText>parse</w:instrText>
      </w:r>
      <w:r w:rsidR="00021E2A" w:rsidRPr="00AA43FB">
        <w:rPr>
          <w:b/>
          <w:bCs/>
        </w:rPr>
        <w:instrText>-</w:instrText>
      </w:r>
      <w:r w:rsidR="00021E2A">
        <w:rPr>
          <w:b/>
          <w:bCs/>
          <w:lang w:val="en-US"/>
        </w:rPr>
        <w:instrText>names</w:instrText>
      </w:r>
      <w:r w:rsidR="00021E2A" w:rsidRPr="00AA43FB">
        <w:rPr>
          <w:b/>
          <w:bCs/>
        </w:rPr>
        <w:instrText>":</w:instrText>
      </w:r>
      <w:r w:rsidR="00021E2A">
        <w:rPr>
          <w:b/>
          <w:bCs/>
          <w:lang w:val="en-US"/>
        </w:rPr>
        <w:instrText>false</w:instrText>
      </w:r>
      <w:r w:rsidR="00021E2A" w:rsidRPr="00AA43FB">
        <w:rPr>
          <w:b/>
          <w:bCs/>
        </w:rPr>
        <w:instrText>,"</w:instrText>
      </w:r>
      <w:r w:rsidR="00021E2A">
        <w:rPr>
          <w:b/>
          <w:bCs/>
          <w:lang w:val="en-US"/>
        </w:rPr>
        <w:instrText>suffix</w:instrText>
      </w:r>
      <w:r w:rsidR="00021E2A" w:rsidRPr="00AA43FB">
        <w:rPr>
          <w:b/>
          <w:bCs/>
        </w:rPr>
        <w:instrText>":""},{"</w:instrText>
      </w:r>
      <w:r w:rsidR="00021E2A">
        <w:rPr>
          <w:b/>
          <w:bCs/>
          <w:lang w:val="en-US"/>
        </w:rPr>
        <w:instrText>dropping</w:instrText>
      </w:r>
      <w:r w:rsidR="00021E2A" w:rsidRPr="00AA43FB">
        <w:rPr>
          <w:b/>
          <w:bCs/>
        </w:rPr>
        <w:instrText>-</w:instrText>
      </w:r>
      <w:r w:rsidR="00021E2A">
        <w:rPr>
          <w:b/>
          <w:bCs/>
          <w:lang w:val="en-US"/>
        </w:rPr>
        <w:instrText>particle</w:instrText>
      </w:r>
      <w:r w:rsidR="00021E2A" w:rsidRPr="00AA43FB">
        <w:rPr>
          <w:b/>
          <w:bCs/>
        </w:rPr>
        <w:instrText>":"","</w:instrText>
      </w:r>
      <w:r w:rsidR="00021E2A">
        <w:rPr>
          <w:b/>
          <w:bCs/>
          <w:lang w:val="en-US"/>
        </w:rPr>
        <w:instrText>family</w:instrText>
      </w:r>
      <w:r w:rsidR="00021E2A" w:rsidRPr="00AA43FB">
        <w:rPr>
          <w:b/>
          <w:bCs/>
        </w:rPr>
        <w:instrText>":"</w:instrText>
      </w:r>
      <w:r w:rsidR="00021E2A">
        <w:rPr>
          <w:b/>
          <w:bCs/>
          <w:lang w:val="en-US"/>
        </w:rPr>
        <w:instrText>Thyss</w:instrText>
      </w:r>
      <w:r w:rsidR="00021E2A" w:rsidRPr="00AA43FB">
        <w:rPr>
          <w:b/>
          <w:bCs/>
        </w:rPr>
        <w:instrText>","</w:instrText>
      </w:r>
      <w:r w:rsidR="00021E2A">
        <w:rPr>
          <w:b/>
          <w:bCs/>
          <w:lang w:val="en-US"/>
        </w:rPr>
        <w:instrText>given</w:instrText>
      </w:r>
      <w:r w:rsidR="00021E2A" w:rsidRPr="00AA43FB">
        <w:rPr>
          <w:b/>
          <w:bCs/>
        </w:rPr>
        <w:instrText>":"</w:instrText>
      </w:r>
      <w:r w:rsidR="00021E2A">
        <w:rPr>
          <w:b/>
          <w:bCs/>
          <w:lang w:val="en-US"/>
        </w:rPr>
        <w:instrText>Antoine</w:instrText>
      </w:r>
      <w:r w:rsidR="00021E2A" w:rsidRPr="00AA43FB">
        <w:rPr>
          <w:b/>
          <w:bCs/>
        </w:rPr>
        <w:instrText>","</w:instrText>
      </w:r>
      <w:r w:rsidR="00021E2A">
        <w:rPr>
          <w:b/>
          <w:bCs/>
          <w:lang w:val="en-US"/>
        </w:rPr>
        <w:instrText>non</w:instrText>
      </w:r>
      <w:r w:rsidR="00021E2A" w:rsidRPr="00AA43FB">
        <w:rPr>
          <w:b/>
          <w:bCs/>
        </w:rPr>
        <w:instrText>-</w:instrText>
      </w:r>
      <w:r w:rsidR="00021E2A">
        <w:rPr>
          <w:b/>
          <w:bCs/>
          <w:lang w:val="en-US"/>
        </w:rPr>
        <w:instrText>dropping</w:instrText>
      </w:r>
      <w:r w:rsidR="00021E2A" w:rsidRPr="00AA43FB">
        <w:rPr>
          <w:b/>
          <w:bCs/>
        </w:rPr>
        <w:instrText>-</w:instrText>
      </w:r>
      <w:r w:rsidR="00021E2A">
        <w:rPr>
          <w:b/>
          <w:bCs/>
          <w:lang w:val="en-US"/>
        </w:rPr>
        <w:instrText>particle</w:instrText>
      </w:r>
      <w:r w:rsidR="00021E2A" w:rsidRPr="00AA43FB">
        <w:rPr>
          <w:b/>
          <w:bCs/>
        </w:rPr>
        <w:instrText>":"","</w:instrText>
      </w:r>
      <w:r w:rsidR="00021E2A">
        <w:rPr>
          <w:b/>
          <w:bCs/>
          <w:lang w:val="en-US"/>
        </w:rPr>
        <w:instrText>parse</w:instrText>
      </w:r>
      <w:r w:rsidR="00021E2A" w:rsidRPr="00AA43FB">
        <w:rPr>
          <w:b/>
          <w:bCs/>
        </w:rPr>
        <w:instrText>-</w:instrText>
      </w:r>
      <w:r w:rsidR="00021E2A">
        <w:rPr>
          <w:b/>
          <w:bCs/>
          <w:lang w:val="en-US"/>
        </w:rPr>
        <w:instrText>names</w:instrText>
      </w:r>
      <w:r w:rsidR="00021E2A" w:rsidRPr="00AA43FB">
        <w:rPr>
          <w:b/>
          <w:bCs/>
        </w:rPr>
        <w:instrText>":</w:instrText>
      </w:r>
      <w:r w:rsidR="00021E2A">
        <w:rPr>
          <w:b/>
          <w:bCs/>
          <w:lang w:val="en-US"/>
        </w:rPr>
        <w:instrText>false</w:instrText>
      </w:r>
      <w:r w:rsidR="00021E2A" w:rsidRPr="00AA43FB">
        <w:rPr>
          <w:b/>
          <w:bCs/>
        </w:rPr>
        <w:instrText>,"</w:instrText>
      </w:r>
      <w:r w:rsidR="00021E2A">
        <w:rPr>
          <w:b/>
          <w:bCs/>
          <w:lang w:val="en-US"/>
        </w:rPr>
        <w:instrText>suffix</w:instrText>
      </w:r>
      <w:r w:rsidR="00021E2A" w:rsidRPr="00AA43FB">
        <w:rPr>
          <w:b/>
          <w:bCs/>
        </w:rPr>
        <w:instrText>":""},{"</w:instrText>
      </w:r>
      <w:r w:rsidR="00021E2A">
        <w:rPr>
          <w:b/>
          <w:bCs/>
          <w:lang w:val="en-US"/>
        </w:rPr>
        <w:instrText>dropping-particle":"","family":"Emile","given":"Jean François","non-dropping-particle":"","parse-names":false,"suffix":""},{"dropping-particle":"","family":"Castaigne","given":"Sylvie","non-dropping-particle":"","parse-names":false,"suffix":""},{"dropping-particle":"","family":"Coiffier","given":"Bertrand","non-dropping-particle":"","parse-names":false,"suffix":""},{"dropping-particle":"","family":"Haioun","given":"Corinne","non-dropping-particle":"","parse-names":false,"suffix":""},{"dropping-particle":"","family":"Bologna","given":"Serge","non-dropping-particle":"","parse-names":false,"suffix":""},{"dropping-particle":"","family":"Fitoussi","given":"Olivier","non-dropping-particle":"","parse-names":false,"suffix":""},{"dropping-particle":"","family":"Lepeu","given":"Gérard","non-dropping-particle":"","parse-names":false,"suffix":""},{"dropping-particle":"","family":"Fruchart","given":"Christophe","non-dropping-particle":"","parse-names":false,"suffix":""},{"dropping-particle":"","family":"Bordessoule","given":"Dominique","non-dropping-particle":"","parse-names":false,"suffix":""},{"dropping-particle":"","family":"Blanc","given":"Michel","non-dropping-particle":"","parse-names":false,"suffix":"</w:instrText>
      </w:r>
      <w:r w:rsidR="00021E2A" w:rsidRPr="00320416">
        <w:rPr>
          <w:b/>
          <w:bCs/>
        </w:rPr>
        <w:instrText>"},{"</w:instrText>
      </w:r>
      <w:r w:rsidR="00021E2A">
        <w:rPr>
          <w:b/>
          <w:bCs/>
          <w:lang w:val="en-US"/>
        </w:rPr>
        <w:instrText>dropping</w:instrText>
      </w:r>
      <w:r w:rsidR="00021E2A" w:rsidRPr="00320416">
        <w:rPr>
          <w:b/>
          <w:bCs/>
        </w:rPr>
        <w:instrText>-</w:instrText>
      </w:r>
      <w:r w:rsidR="00021E2A">
        <w:rPr>
          <w:b/>
          <w:bCs/>
          <w:lang w:val="en-US"/>
        </w:rPr>
        <w:instrText>particle</w:instrText>
      </w:r>
      <w:r w:rsidR="00021E2A" w:rsidRPr="00320416">
        <w:rPr>
          <w:b/>
          <w:bCs/>
        </w:rPr>
        <w:instrText>":"","</w:instrText>
      </w:r>
      <w:r w:rsidR="00021E2A">
        <w:rPr>
          <w:b/>
          <w:bCs/>
          <w:lang w:val="en-US"/>
        </w:rPr>
        <w:instrText>family</w:instrText>
      </w:r>
      <w:r w:rsidR="00021E2A" w:rsidRPr="00320416">
        <w:rPr>
          <w:b/>
          <w:bCs/>
        </w:rPr>
        <w:instrText>":"</w:instrText>
      </w:r>
      <w:r w:rsidR="00021E2A">
        <w:rPr>
          <w:b/>
          <w:bCs/>
          <w:lang w:val="en-US"/>
        </w:rPr>
        <w:instrText>Delarue</w:instrText>
      </w:r>
      <w:r w:rsidR="00021E2A" w:rsidRPr="00320416">
        <w:rPr>
          <w:b/>
          <w:bCs/>
        </w:rPr>
        <w:instrText>","</w:instrText>
      </w:r>
      <w:r w:rsidR="00021E2A">
        <w:rPr>
          <w:b/>
          <w:bCs/>
          <w:lang w:val="en-US"/>
        </w:rPr>
        <w:instrText>given</w:instrText>
      </w:r>
      <w:r w:rsidR="00021E2A" w:rsidRPr="00320416">
        <w:rPr>
          <w:b/>
          <w:bCs/>
        </w:rPr>
        <w:instrText>":"</w:instrText>
      </w:r>
      <w:r w:rsidR="00021E2A">
        <w:rPr>
          <w:b/>
          <w:bCs/>
          <w:lang w:val="en-US"/>
        </w:rPr>
        <w:instrText>Richard</w:instrText>
      </w:r>
      <w:r w:rsidR="00021E2A" w:rsidRPr="00320416">
        <w:rPr>
          <w:b/>
          <w:bCs/>
        </w:rPr>
        <w:instrText>","</w:instrText>
      </w:r>
      <w:r w:rsidR="00021E2A">
        <w:rPr>
          <w:b/>
          <w:bCs/>
          <w:lang w:val="en-US"/>
        </w:rPr>
        <w:instrText>non</w:instrText>
      </w:r>
      <w:r w:rsidR="00021E2A" w:rsidRPr="00320416">
        <w:rPr>
          <w:b/>
          <w:bCs/>
        </w:rPr>
        <w:instrText>-</w:instrText>
      </w:r>
      <w:r w:rsidR="00021E2A">
        <w:rPr>
          <w:b/>
          <w:bCs/>
          <w:lang w:val="en-US"/>
        </w:rPr>
        <w:instrText>dropping</w:instrText>
      </w:r>
      <w:r w:rsidR="00021E2A" w:rsidRPr="00320416">
        <w:rPr>
          <w:b/>
          <w:bCs/>
        </w:rPr>
        <w:instrText>-</w:instrText>
      </w:r>
      <w:r w:rsidR="00021E2A">
        <w:rPr>
          <w:b/>
          <w:bCs/>
          <w:lang w:val="en-US"/>
        </w:rPr>
        <w:instrText>particle</w:instrText>
      </w:r>
      <w:r w:rsidR="00021E2A" w:rsidRPr="00320416">
        <w:rPr>
          <w:b/>
          <w:bCs/>
        </w:rPr>
        <w:instrText>":"","</w:instrText>
      </w:r>
      <w:r w:rsidR="00021E2A">
        <w:rPr>
          <w:b/>
          <w:bCs/>
          <w:lang w:val="en-US"/>
        </w:rPr>
        <w:instrText>parse</w:instrText>
      </w:r>
      <w:r w:rsidR="00021E2A" w:rsidRPr="00320416">
        <w:rPr>
          <w:b/>
          <w:bCs/>
        </w:rPr>
        <w:instrText>-</w:instrText>
      </w:r>
      <w:r w:rsidR="00021E2A">
        <w:rPr>
          <w:b/>
          <w:bCs/>
          <w:lang w:val="en-US"/>
        </w:rPr>
        <w:instrText>names</w:instrText>
      </w:r>
      <w:r w:rsidR="00021E2A" w:rsidRPr="00320416">
        <w:rPr>
          <w:b/>
          <w:bCs/>
        </w:rPr>
        <w:instrText>":</w:instrText>
      </w:r>
      <w:r w:rsidR="00021E2A">
        <w:rPr>
          <w:b/>
          <w:bCs/>
          <w:lang w:val="en-US"/>
        </w:rPr>
        <w:instrText>false</w:instrText>
      </w:r>
      <w:r w:rsidR="00021E2A" w:rsidRPr="00320416">
        <w:rPr>
          <w:b/>
          <w:bCs/>
        </w:rPr>
        <w:instrText>,"</w:instrText>
      </w:r>
      <w:r w:rsidR="00021E2A">
        <w:rPr>
          <w:b/>
          <w:bCs/>
          <w:lang w:val="en-US"/>
        </w:rPr>
        <w:instrText>suffix</w:instrText>
      </w:r>
      <w:r w:rsidR="00021E2A" w:rsidRPr="00320416">
        <w:rPr>
          <w:b/>
          <w:bCs/>
        </w:rPr>
        <w:instrText>":""},{"</w:instrText>
      </w:r>
      <w:r w:rsidR="00021E2A">
        <w:rPr>
          <w:b/>
          <w:bCs/>
          <w:lang w:val="en-US"/>
        </w:rPr>
        <w:instrText>dropping</w:instrText>
      </w:r>
      <w:r w:rsidR="00021E2A" w:rsidRPr="00320416">
        <w:rPr>
          <w:b/>
          <w:bCs/>
        </w:rPr>
        <w:instrText>-</w:instrText>
      </w:r>
      <w:r w:rsidR="00021E2A">
        <w:rPr>
          <w:b/>
          <w:bCs/>
          <w:lang w:val="en-US"/>
        </w:rPr>
        <w:instrText>particle</w:instrText>
      </w:r>
      <w:r w:rsidR="00021E2A" w:rsidRPr="00320416">
        <w:rPr>
          <w:b/>
          <w:bCs/>
        </w:rPr>
        <w:instrText>":"","</w:instrText>
      </w:r>
      <w:r w:rsidR="00021E2A">
        <w:rPr>
          <w:b/>
          <w:bCs/>
          <w:lang w:val="en-US"/>
        </w:rPr>
        <w:instrText>family</w:instrText>
      </w:r>
      <w:r w:rsidR="00021E2A" w:rsidRPr="00320416">
        <w:rPr>
          <w:b/>
          <w:bCs/>
        </w:rPr>
        <w:instrText>":"</w:instrText>
      </w:r>
      <w:r w:rsidR="00021E2A">
        <w:rPr>
          <w:b/>
          <w:bCs/>
          <w:lang w:val="en-US"/>
        </w:rPr>
        <w:instrText>Janvier</w:instrText>
      </w:r>
      <w:r w:rsidR="00021E2A" w:rsidRPr="00320416">
        <w:rPr>
          <w:b/>
          <w:bCs/>
        </w:rPr>
        <w:instrText>","</w:instrText>
      </w:r>
      <w:r w:rsidR="00021E2A">
        <w:rPr>
          <w:b/>
          <w:bCs/>
          <w:lang w:val="en-US"/>
        </w:rPr>
        <w:instrText>given</w:instrText>
      </w:r>
      <w:r w:rsidR="00021E2A" w:rsidRPr="00320416">
        <w:rPr>
          <w:b/>
          <w:bCs/>
        </w:rPr>
        <w:instrText>":"</w:instrText>
      </w:r>
      <w:r w:rsidR="00021E2A">
        <w:rPr>
          <w:b/>
          <w:bCs/>
          <w:lang w:val="en-US"/>
        </w:rPr>
        <w:instrText>Maud</w:instrText>
      </w:r>
      <w:r w:rsidR="00021E2A" w:rsidRPr="00320416">
        <w:rPr>
          <w:b/>
          <w:bCs/>
        </w:rPr>
        <w:instrText>","</w:instrText>
      </w:r>
      <w:r w:rsidR="00021E2A">
        <w:rPr>
          <w:b/>
          <w:bCs/>
          <w:lang w:val="en-US"/>
        </w:rPr>
        <w:instrText>non</w:instrText>
      </w:r>
      <w:r w:rsidR="00021E2A" w:rsidRPr="00320416">
        <w:rPr>
          <w:b/>
          <w:bCs/>
        </w:rPr>
        <w:instrText>-</w:instrText>
      </w:r>
      <w:r w:rsidR="00021E2A">
        <w:rPr>
          <w:b/>
          <w:bCs/>
          <w:lang w:val="en-US"/>
        </w:rPr>
        <w:instrText>dropping</w:instrText>
      </w:r>
      <w:r w:rsidR="00021E2A" w:rsidRPr="00320416">
        <w:rPr>
          <w:b/>
          <w:bCs/>
        </w:rPr>
        <w:instrText>-</w:instrText>
      </w:r>
      <w:r w:rsidR="00021E2A">
        <w:rPr>
          <w:b/>
          <w:bCs/>
          <w:lang w:val="en-US"/>
        </w:rPr>
        <w:instrText>particle</w:instrText>
      </w:r>
      <w:r w:rsidR="00021E2A" w:rsidRPr="00320416">
        <w:rPr>
          <w:b/>
          <w:bCs/>
        </w:rPr>
        <w:instrText>":"","</w:instrText>
      </w:r>
      <w:r w:rsidR="00021E2A">
        <w:rPr>
          <w:b/>
          <w:bCs/>
          <w:lang w:val="en-US"/>
        </w:rPr>
        <w:instrText>parse</w:instrText>
      </w:r>
      <w:r w:rsidR="00021E2A" w:rsidRPr="00320416">
        <w:rPr>
          <w:b/>
          <w:bCs/>
        </w:rPr>
        <w:instrText>-</w:instrText>
      </w:r>
      <w:r w:rsidR="00021E2A">
        <w:rPr>
          <w:b/>
          <w:bCs/>
          <w:lang w:val="en-US"/>
        </w:rPr>
        <w:instrText>names</w:instrText>
      </w:r>
      <w:r w:rsidR="00021E2A" w:rsidRPr="00320416">
        <w:rPr>
          <w:b/>
          <w:bCs/>
        </w:rPr>
        <w:instrText>":</w:instrText>
      </w:r>
      <w:r w:rsidR="00021E2A">
        <w:rPr>
          <w:b/>
          <w:bCs/>
          <w:lang w:val="en-US"/>
        </w:rPr>
        <w:instrText>false</w:instrText>
      </w:r>
      <w:r w:rsidR="00021E2A" w:rsidRPr="00320416">
        <w:rPr>
          <w:b/>
          <w:bCs/>
        </w:rPr>
        <w:instrText>,"</w:instrText>
      </w:r>
      <w:r w:rsidR="00021E2A">
        <w:rPr>
          <w:b/>
          <w:bCs/>
          <w:lang w:val="en-US"/>
        </w:rPr>
        <w:instrText>suffix</w:instrText>
      </w:r>
      <w:r w:rsidR="00021E2A" w:rsidRPr="00320416">
        <w:rPr>
          <w:b/>
          <w:bCs/>
        </w:rPr>
        <w:instrText>":""},{"</w:instrText>
      </w:r>
      <w:r w:rsidR="00021E2A">
        <w:rPr>
          <w:b/>
          <w:bCs/>
          <w:lang w:val="en-US"/>
        </w:rPr>
        <w:instrText>dropping</w:instrText>
      </w:r>
      <w:r w:rsidR="00021E2A" w:rsidRPr="00320416">
        <w:rPr>
          <w:b/>
          <w:bCs/>
        </w:rPr>
        <w:instrText>-</w:instrText>
      </w:r>
      <w:r w:rsidR="00021E2A">
        <w:rPr>
          <w:b/>
          <w:bCs/>
          <w:lang w:val="en-US"/>
        </w:rPr>
        <w:instrText>particle</w:instrText>
      </w:r>
      <w:r w:rsidR="00021E2A" w:rsidRPr="00320416">
        <w:rPr>
          <w:b/>
          <w:bCs/>
        </w:rPr>
        <w:instrText>":"","</w:instrText>
      </w:r>
      <w:r w:rsidR="00021E2A">
        <w:rPr>
          <w:b/>
          <w:bCs/>
          <w:lang w:val="en-US"/>
        </w:rPr>
        <w:instrText>family</w:instrText>
      </w:r>
      <w:r w:rsidR="00021E2A" w:rsidRPr="00320416">
        <w:rPr>
          <w:b/>
          <w:bCs/>
        </w:rPr>
        <w:instrText>":"</w:instrText>
      </w:r>
      <w:r w:rsidR="00021E2A">
        <w:rPr>
          <w:b/>
          <w:bCs/>
          <w:lang w:val="en-US"/>
        </w:rPr>
        <w:instrText>Salles</w:instrText>
      </w:r>
      <w:r w:rsidR="00021E2A" w:rsidRPr="00320416">
        <w:rPr>
          <w:b/>
          <w:bCs/>
        </w:rPr>
        <w:instrText>","</w:instrText>
      </w:r>
      <w:r w:rsidR="00021E2A">
        <w:rPr>
          <w:b/>
          <w:bCs/>
          <w:lang w:val="en-US"/>
        </w:rPr>
        <w:instrText>given</w:instrText>
      </w:r>
      <w:r w:rsidR="00021E2A" w:rsidRPr="00320416">
        <w:rPr>
          <w:b/>
          <w:bCs/>
        </w:rPr>
        <w:instrText>":"</w:instrText>
      </w:r>
      <w:r w:rsidR="00021E2A">
        <w:rPr>
          <w:b/>
          <w:bCs/>
          <w:lang w:val="en-US"/>
        </w:rPr>
        <w:instrText>Bruno</w:instrText>
      </w:r>
      <w:r w:rsidR="00021E2A" w:rsidRPr="00320416">
        <w:rPr>
          <w:b/>
          <w:bCs/>
        </w:rPr>
        <w:instrText>","</w:instrText>
      </w:r>
      <w:r w:rsidR="00021E2A">
        <w:rPr>
          <w:b/>
          <w:bCs/>
          <w:lang w:val="en-US"/>
        </w:rPr>
        <w:instrText>non</w:instrText>
      </w:r>
      <w:r w:rsidR="00021E2A" w:rsidRPr="00320416">
        <w:rPr>
          <w:b/>
          <w:bCs/>
        </w:rPr>
        <w:instrText>-</w:instrText>
      </w:r>
      <w:r w:rsidR="00021E2A">
        <w:rPr>
          <w:b/>
          <w:bCs/>
          <w:lang w:val="en-US"/>
        </w:rPr>
        <w:instrText>dropping</w:instrText>
      </w:r>
      <w:r w:rsidR="00021E2A" w:rsidRPr="00320416">
        <w:rPr>
          <w:b/>
          <w:bCs/>
        </w:rPr>
        <w:instrText>-</w:instrText>
      </w:r>
      <w:r w:rsidR="00021E2A">
        <w:rPr>
          <w:b/>
          <w:bCs/>
          <w:lang w:val="en-US"/>
        </w:rPr>
        <w:instrText>particle</w:instrText>
      </w:r>
      <w:r w:rsidR="00021E2A" w:rsidRPr="00320416">
        <w:rPr>
          <w:b/>
          <w:bCs/>
        </w:rPr>
        <w:instrText>":"","</w:instrText>
      </w:r>
      <w:r w:rsidR="00021E2A">
        <w:rPr>
          <w:b/>
          <w:bCs/>
          <w:lang w:val="en-US"/>
        </w:rPr>
        <w:instrText>parse</w:instrText>
      </w:r>
      <w:r w:rsidR="00021E2A" w:rsidRPr="00320416">
        <w:rPr>
          <w:b/>
          <w:bCs/>
        </w:rPr>
        <w:instrText>-</w:instrText>
      </w:r>
      <w:r w:rsidR="00021E2A">
        <w:rPr>
          <w:b/>
          <w:bCs/>
          <w:lang w:val="en-US"/>
        </w:rPr>
        <w:instrText>names</w:instrText>
      </w:r>
      <w:r w:rsidR="00021E2A" w:rsidRPr="00320416">
        <w:rPr>
          <w:b/>
          <w:bCs/>
        </w:rPr>
        <w:instrText>":</w:instrText>
      </w:r>
      <w:r w:rsidR="00021E2A">
        <w:rPr>
          <w:b/>
          <w:bCs/>
          <w:lang w:val="en-US"/>
        </w:rPr>
        <w:instrText>false</w:instrText>
      </w:r>
      <w:r w:rsidR="00021E2A" w:rsidRPr="00320416">
        <w:rPr>
          <w:b/>
          <w:bCs/>
        </w:rPr>
        <w:instrText>,"</w:instrText>
      </w:r>
      <w:r w:rsidR="00021E2A">
        <w:rPr>
          <w:b/>
          <w:bCs/>
          <w:lang w:val="en-US"/>
        </w:rPr>
        <w:instrText>suffix</w:instrText>
      </w:r>
      <w:r w:rsidR="00021E2A" w:rsidRPr="00320416">
        <w:rPr>
          <w:b/>
          <w:bCs/>
        </w:rPr>
        <w:instrText>":""},{"</w:instrText>
      </w:r>
      <w:r w:rsidR="00021E2A">
        <w:rPr>
          <w:b/>
          <w:bCs/>
          <w:lang w:val="en-US"/>
        </w:rPr>
        <w:instrText>dropping</w:instrText>
      </w:r>
      <w:r w:rsidR="00021E2A" w:rsidRPr="00320416">
        <w:rPr>
          <w:b/>
          <w:bCs/>
        </w:rPr>
        <w:instrText>-</w:instrText>
      </w:r>
      <w:r w:rsidR="00021E2A">
        <w:rPr>
          <w:b/>
          <w:bCs/>
          <w:lang w:val="en-US"/>
        </w:rPr>
        <w:instrText>particle</w:instrText>
      </w:r>
      <w:r w:rsidR="00021E2A" w:rsidRPr="00320416">
        <w:rPr>
          <w:b/>
          <w:bCs/>
        </w:rPr>
        <w:instrText>":"","</w:instrText>
      </w:r>
      <w:r w:rsidR="00021E2A">
        <w:rPr>
          <w:b/>
          <w:bCs/>
          <w:lang w:val="en-US"/>
        </w:rPr>
        <w:instrText>family</w:instrText>
      </w:r>
      <w:r w:rsidR="00021E2A" w:rsidRPr="00320416">
        <w:rPr>
          <w:b/>
          <w:bCs/>
        </w:rPr>
        <w:instrText>":"</w:instrText>
      </w:r>
      <w:r w:rsidR="00021E2A">
        <w:rPr>
          <w:b/>
          <w:bCs/>
          <w:lang w:val="en-US"/>
        </w:rPr>
        <w:instrText>Andr</w:instrText>
      </w:r>
      <w:r w:rsidR="00021E2A" w:rsidRPr="00320416">
        <w:rPr>
          <w:b/>
          <w:bCs/>
        </w:rPr>
        <w:instrText>é","</w:instrText>
      </w:r>
      <w:r w:rsidR="00021E2A">
        <w:rPr>
          <w:b/>
          <w:bCs/>
          <w:lang w:val="en-US"/>
        </w:rPr>
        <w:instrText>given</w:instrText>
      </w:r>
      <w:r w:rsidR="00021E2A" w:rsidRPr="00320416">
        <w:rPr>
          <w:b/>
          <w:bCs/>
        </w:rPr>
        <w:instrText>":"</w:instrText>
      </w:r>
      <w:r w:rsidR="00021E2A">
        <w:rPr>
          <w:b/>
          <w:bCs/>
          <w:lang w:val="en-US"/>
        </w:rPr>
        <w:instrText>Marc</w:instrText>
      </w:r>
      <w:r w:rsidR="00021E2A" w:rsidRPr="00320416">
        <w:rPr>
          <w:b/>
          <w:bCs/>
        </w:rPr>
        <w:instrText>","</w:instrText>
      </w:r>
      <w:r w:rsidR="00021E2A">
        <w:rPr>
          <w:b/>
          <w:bCs/>
          <w:lang w:val="en-US"/>
        </w:rPr>
        <w:instrText>non</w:instrText>
      </w:r>
      <w:r w:rsidR="00021E2A" w:rsidRPr="00320416">
        <w:rPr>
          <w:b/>
          <w:bCs/>
        </w:rPr>
        <w:instrText>-</w:instrText>
      </w:r>
      <w:r w:rsidR="00021E2A">
        <w:rPr>
          <w:b/>
          <w:bCs/>
          <w:lang w:val="en-US"/>
        </w:rPr>
        <w:instrText>dropping</w:instrText>
      </w:r>
      <w:r w:rsidR="00021E2A" w:rsidRPr="00320416">
        <w:rPr>
          <w:b/>
          <w:bCs/>
        </w:rPr>
        <w:instrText>-</w:instrText>
      </w:r>
      <w:r w:rsidR="00021E2A">
        <w:rPr>
          <w:b/>
          <w:bCs/>
          <w:lang w:val="en-US"/>
        </w:rPr>
        <w:instrText>particle</w:instrText>
      </w:r>
      <w:r w:rsidR="00021E2A" w:rsidRPr="00320416">
        <w:rPr>
          <w:b/>
          <w:bCs/>
        </w:rPr>
        <w:instrText>":"","</w:instrText>
      </w:r>
      <w:r w:rsidR="00021E2A">
        <w:rPr>
          <w:b/>
          <w:bCs/>
          <w:lang w:val="en-US"/>
        </w:rPr>
        <w:instrText>parse</w:instrText>
      </w:r>
      <w:r w:rsidR="00021E2A" w:rsidRPr="00320416">
        <w:rPr>
          <w:b/>
          <w:bCs/>
        </w:rPr>
        <w:instrText>-</w:instrText>
      </w:r>
      <w:r w:rsidR="00021E2A">
        <w:rPr>
          <w:b/>
          <w:bCs/>
          <w:lang w:val="en-US"/>
        </w:rPr>
        <w:instrText>names</w:instrText>
      </w:r>
      <w:r w:rsidR="00021E2A" w:rsidRPr="00320416">
        <w:rPr>
          <w:b/>
          <w:bCs/>
        </w:rPr>
        <w:instrText>":</w:instrText>
      </w:r>
      <w:r w:rsidR="00021E2A">
        <w:rPr>
          <w:b/>
          <w:bCs/>
          <w:lang w:val="en-US"/>
        </w:rPr>
        <w:instrText>false</w:instrText>
      </w:r>
      <w:r w:rsidR="00021E2A" w:rsidRPr="00320416">
        <w:rPr>
          <w:b/>
          <w:bCs/>
        </w:rPr>
        <w:instrText>,"</w:instrText>
      </w:r>
      <w:r w:rsidR="00021E2A">
        <w:rPr>
          <w:b/>
          <w:bCs/>
          <w:lang w:val="en-US"/>
        </w:rPr>
        <w:instrText>suffix</w:instrText>
      </w:r>
      <w:r w:rsidR="00021E2A" w:rsidRPr="00320416">
        <w:rPr>
          <w:b/>
          <w:bCs/>
        </w:rPr>
        <w:instrText>":""},{"</w:instrText>
      </w:r>
      <w:r w:rsidR="00021E2A">
        <w:rPr>
          <w:b/>
          <w:bCs/>
          <w:lang w:val="en-US"/>
        </w:rPr>
        <w:instrText>dropping</w:instrText>
      </w:r>
      <w:r w:rsidR="00021E2A" w:rsidRPr="00320416">
        <w:rPr>
          <w:b/>
          <w:bCs/>
        </w:rPr>
        <w:instrText>-</w:instrText>
      </w:r>
      <w:r w:rsidR="00021E2A">
        <w:rPr>
          <w:b/>
          <w:bCs/>
          <w:lang w:val="en-US"/>
        </w:rPr>
        <w:instrText>particle</w:instrText>
      </w:r>
      <w:r w:rsidR="00021E2A" w:rsidRPr="00320416">
        <w:rPr>
          <w:b/>
          <w:bCs/>
        </w:rPr>
        <w:instrText>":"","</w:instrText>
      </w:r>
      <w:r w:rsidR="00021E2A">
        <w:rPr>
          <w:b/>
          <w:bCs/>
          <w:lang w:val="en-US"/>
        </w:rPr>
        <w:instrText>family</w:instrText>
      </w:r>
      <w:r w:rsidR="00021E2A" w:rsidRPr="00320416">
        <w:rPr>
          <w:b/>
          <w:bCs/>
        </w:rPr>
        <w:instrText>":"</w:instrText>
      </w:r>
      <w:r w:rsidR="00021E2A">
        <w:rPr>
          <w:b/>
          <w:bCs/>
          <w:lang w:val="en-US"/>
        </w:rPr>
        <w:instrText>Fournier</w:instrText>
      </w:r>
      <w:r w:rsidR="00021E2A" w:rsidRPr="00320416">
        <w:rPr>
          <w:b/>
          <w:bCs/>
        </w:rPr>
        <w:instrText>","</w:instrText>
      </w:r>
      <w:r w:rsidR="00021E2A">
        <w:rPr>
          <w:b/>
          <w:bCs/>
          <w:lang w:val="en-US"/>
        </w:rPr>
        <w:instrText>given</w:instrText>
      </w:r>
      <w:r w:rsidR="00021E2A" w:rsidRPr="00320416">
        <w:rPr>
          <w:b/>
          <w:bCs/>
        </w:rPr>
        <w:instrText>":"</w:instrText>
      </w:r>
      <w:r w:rsidR="00021E2A">
        <w:rPr>
          <w:b/>
          <w:bCs/>
          <w:lang w:val="en-US"/>
        </w:rPr>
        <w:instrText>Marion</w:instrText>
      </w:r>
      <w:r w:rsidR="00021E2A" w:rsidRPr="00320416">
        <w:rPr>
          <w:b/>
          <w:bCs/>
        </w:rPr>
        <w:instrText>","</w:instrText>
      </w:r>
      <w:r w:rsidR="00021E2A">
        <w:rPr>
          <w:b/>
          <w:bCs/>
          <w:lang w:val="en-US"/>
        </w:rPr>
        <w:instrText>non</w:instrText>
      </w:r>
      <w:r w:rsidR="00021E2A" w:rsidRPr="00320416">
        <w:rPr>
          <w:b/>
          <w:bCs/>
        </w:rPr>
        <w:instrText>-</w:instrText>
      </w:r>
      <w:r w:rsidR="00021E2A">
        <w:rPr>
          <w:b/>
          <w:bCs/>
          <w:lang w:val="en-US"/>
        </w:rPr>
        <w:instrText>dropping</w:instrText>
      </w:r>
      <w:r w:rsidR="00021E2A" w:rsidRPr="00320416">
        <w:rPr>
          <w:b/>
          <w:bCs/>
        </w:rPr>
        <w:instrText>-</w:instrText>
      </w:r>
      <w:r w:rsidR="00021E2A">
        <w:rPr>
          <w:b/>
          <w:bCs/>
          <w:lang w:val="en-US"/>
        </w:rPr>
        <w:instrText>particle</w:instrText>
      </w:r>
      <w:r w:rsidR="00021E2A" w:rsidRPr="00320416">
        <w:rPr>
          <w:b/>
          <w:bCs/>
        </w:rPr>
        <w:instrText>":"","</w:instrText>
      </w:r>
      <w:r w:rsidR="00021E2A">
        <w:rPr>
          <w:b/>
          <w:bCs/>
          <w:lang w:val="en-US"/>
        </w:rPr>
        <w:instrText>parse</w:instrText>
      </w:r>
      <w:r w:rsidR="00021E2A" w:rsidRPr="00320416">
        <w:rPr>
          <w:b/>
          <w:bCs/>
        </w:rPr>
        <w:instrText>-</w:instrText>
      </w:r>
      <w:r w:rsidR="00021E2A">
        <w:rPr>
          <w:b/>
          <w:bCs/>
          <w:lang w:val="en-US"/>
        </w:rPr>
        <w:instrText>names</w:instrText>
      </w:r>
      <w:r w:rsidR="00021E2A" w:rsidRPr="00320416">
        <w:rPr>
          <w:b/>
          <w:bCs/>
        </w:rPr>
        <w:instrText>":</w:instrText>
      </w:r>
      <w:r w:rsidR="00021E2A">
        <w:rPr>
          <w:b/>
          <w:bCs/>
          <w:lang w:val="en-US"/>
        </w:rPr>
        <w:instrText>false</w:instrText>
      </w:r>
      <w:r w:rsidR="00021E2A" w:rsidRPr="00320416">
        <w:rPr>
          <w:b/>
          <w:bCs/>
        </w:rPr>
        <w:instrText>,"</w:instrText>
      </w:r>
      <w:r w:rsidR="00021E2A">
        <w:rPr>
          <w:b/>
          <w:bCs/>
          <w:lang w:val="en-US"/>
        </w:rPr>
        <w:instrText>suffix</w:instrText>
      </w:r>
      <w:r w:rsidR="00021E2A" w:rsidRPr="00320416">
        <w:rPr>
          <w:b/>
          <w:bCs/>
        </w:rPr>
        <w:instrText>":""},{"</w:instrText>
      </w:r>
      <w:r w:rsidR="00021E2A">
        <w:rPr>
          <w:b/>
          <w:bCs/>
          <w:lang w:val="en-US"/>
        </w:rPr>
        <w:instrText>dropping</w:instrText>
      </w:r>
      <w:r w:rsidR="00021E2A" w:rsidRPr="00320416">
        <w:rPr>
          <w:b/>
          <w:bCs/>
        </w:rPr>
        <w:instrText>-</w:instrText>
      </w:r>
      <w:r w:rsidR="00021E2A">
        <w:rPr>
          <w:b/>
          <w:bCs/>
          <w:lang w:val="en-US"/>
        </w:rPr>
        <w:instrText>particle</w:instrText>
      </w:r>
      <w:r w:rsidR="00021E2A" w:rsidRPr="00320416">
        <w:rPr>
          <w:b/>
          <w:bCs/>
        </w:rPr>
        <w:instrText>":"","</w:instrText>
      </w:r>
      <w:r w:rsidR="00021E2A">
        <w:rPr>
          <w:b/>
          <w:bCs/>
          <w:lang w:val="en-US"/>
        </w:rPr>
        <w:instrText>family</w:instrText>
      </w:r>
      <w:r w:rsidR="00021E2A" w:rsidRPr="00320416">
        <w:rPr>
          <w:b/>
          <w:bCs/>
        </w:rPr>
        <w:instrText>":"</w:instrText>
      </w:r>
      <w:r w:rsidR="00021E2A">
        <w:rPr>
          <w:b/>
          <w:bCs/>
          <w:lang w:val="en-US"/>
        </w:rPr>
        <w:instrText>Gaulard</w:instrText>
      </w:r>
      <w:r w:rsidR="00021E2A" w:rsidRPr="00320416">
        <w:rPr>
          <w:b/>
          <w:bCs/>
        </w:rPr>
        <w:instrText>","</w:instrText>
      </w:r>
      <w:r w:rsidR="00021E2A">
        <w:rPr>
          <w:b/>
          <w:bCs/>
          <w:lang w:val="en-US"/>
        </w:rPr>
        <w:instrText>given</w:instrText>
      </w:r>
      <w:r w:rsidR="00021E2A" w:rsidRPr="00320416">
        <w:rPr>
          <w:b/>
          <w:bCs/>
        </w:rPr>
        <w:instrText>":"</w:instrText>
      </w:r>
      <w:r w:rsidR="00021E2A">
        <w:rPr>
          <w:b/>
          <w:bCs/>
          <w:lang w:val="en-US"/>
        </w:rPr>
        <w:instrText>Philippe</w:instrText>
      </w:r>
      <w:r w:rsidR="00021E2A" w:rsidRPr="00320416">
        <w:rPr>
          <w:b/>
          <w:bCs/>
        </w:rPr>
        <w:instrText>","</w:instrText>
      </w:r>
      <w:r w:rsidR="00021E2A">
        <w:rPr>
          <w:b/>
          <w:bCs/>
          <w:lang w:val="en-US"/>
        </w:rPr>
        <w:instrText>non</w:instrText>
      </w:r>
      <w:r w:rsidR="00021E2A" w:rsidRPr="00320416">
        <w:rPr>
          <w:b/>
          <w:bCs/>
        </w:rPr>
        <w:instrText>-</w:instrText>
      </w:r>
      <w:r w:rsidR="00021E2A">
        <w:rPr>
          <w:b/>
          <w:bCs/>
          <w:lang w:val="en-US"/>
        </w:rPr>
        <w:instrText>dropping</w:instrText>
      </w:r>
      <w:r w:rsidR="00021E2A" w:rsidRPr="00320416">
        <w:rPr>
          <w:b/>
          <w:bCs/>
        </w:rPr>
        <w:instrText>-</w:instrText>
      </w:r>
      <w:r w:rsidR="00021E2A">
        <w:rPr>
          <w:b/>
          <w:bCs/>
          <w:lang w:val="en-US"/>
        </w:rPr>
        <w:instrText>particle</w:instrText>
      </w:r>
      <w:r w:rsidR="00021E2A" w:rsidRPr="00320416">
        <w:rPr>
          <w:b/>
          <w:bCs/>
        </w:rPr>
        <w:instrText>":"","</w:instrText>
      </w:r>
      <w:r w:rsidR="00021E2A">
        <w:rPr>
          <w:b/>
          <w:bCs/>
          <w:lang w:val="en-US"/>
        </w:rPr>
        <w:instrText>parse</w:instrText>
      </w:r>
      <w:r w:rsidR="00021E2A" w:rsidRPr="00320416">
        <w:rPr>
          <w:b/>
          <w:bCs/>
        </w:rPr>
        <w:instrText>-</w:instrText>
      </w:r>
      <w:r w:rsidR="00021E2A">
        <w:rPr>
          <w:b/>
          <w:bCs/>
          <w:lang w:val="en-US"/>
        </w:rPr>
        <w:instrText>names</w:instrText>
      </w:r>
      <w:r w:rsidR="00021E2A" w:rsidRPr="00320416">
        <w:rPr>
          <w:b/>
          <w:bCs/>
        </w:rPr>
        <w:instrText>":</w:instrText>
      </w:r>
      <w:r w:rsidR="00021E2A">
        <w:rPr>
          <w:b/>
          <w:bCs/>
          <w:lang w:val="en-US"/>
        </w:rPr>
        <w:instrText>false</w:instrText>
      </w:r>
      <w:r w:rsidR="00021E2A" w:rsidRPr="00320416">
        <w:rPr>
          <w:b/>
          <w:bCs/>
        </w:rPr>
        <w:instrText>,"</w:instrText>
      </w:r>
      <w:r w:rsidR="00021E2A">
        <w:rPr>
          <w:b/>
          <w:bCs/>
          <w:lang w:val="en-US"/>
        </w:rPr>
        <w:instrText>suffix</w:instrText>
      </w:r>
      <w:r w:rsidR="00021E2A" w:rsidRPr="00320416">
        <w:rPr>
          <w:b/>
          <w:bCs/>
        </w:rPr>
        <w:instrText>":""},{"</w:instrText>
      </w:r>
      <w:r w:rsidR="00021E2A">
        <w:rPr>
          <w:b/>
          <w:bCs/>
          <w:lang w:val="en-US"/>
        </w:rPr>
        <w:instrText>dropping</w:instrText>
      </w:r>
      <w:r w:rsidR="00021E2A" w:rsidRPr="00320416">
        <w:rPr>
          <w:b/>
          <w:bCs/>
        </w:rPr>
        <w:instrText>-</w:instrText>
      </w:r>
      <w:r w:rsidR="00021E2A">
        <w:rPr>
          <w:b/>
          <w:bCs/>
          <w:lang w:val="en-US"/>
        </w:rPr>
        <w:instrText>particle</w:instrText>
      </w:r>
      <w:r w:rsidR="00021E2A" w:rsidRPr="00320416">
        <w:rPr>
          <w:b/>
          <w:bCs/>
        </w:rPr>
        <w:instrText>":"","</w:instrText>
      </w:r>
      <w:r w:rsidR="00021E2A">
        <w:rPr>
          <w:b/>
          <w:bCs/>
          <w:lang w:val="en-US"/>
        </w:rPr>
        <w:instrText>family</w:instrText>
      </w:r>
      <w:r w:rsidR="00021E2A" w:rsidRPr="00320416">
        <w:rPr>
          <w:b/>
          <w:bCs/>
        </w:rPr>
        <w:instrText>":"</w:instrText>
      </w:r>
      <w:r w:rsidR="00021E2A">
        <w:rPr>
          <w:b/>
          <w:bCs/>
          <w:lang w:val="en-US"/>
        </w:rPr>
        <w:instrText>Tilly</w:instrText>
      </w:r>
      <w:r w:rsidR="00021E2A" w:rsidRPr="00320416">
        <w:rPr>
          <w:b/>
          <w:bCs/>
        </w:rPr>
        <w:instrText>","</w:instrText>
      </w:r>
      <w:r w:rsidR="00021E2A">
        <w:rPr>
          <w:b/>
          <w:bCs/>
          <w:lang w:val="en-US"/>
        </w:rPr>
        <w:instrText>given</w:instrText>
      </w:r>
      <w:r w:rsidR="00021E2A" w:rsidRPr="00320416">
        <w:rPr>
          <w:b/>
          <w:bCs/>
        </w:rPr>
        <w:instrText>":"</w:instrText>
      </w:r>
      <w:r w:rsidR="00021E2A">
        <w:rPr>
          <w:b/>
          <w:bCs/>
          <w:lang w:val="en-US"/>
        </w:rPr>
        <w:instrText>Herv</w:instrText>
      </w:r>
      <w:r w:rsidR="00021E2A" w:rsidRPr="00320416">
        <w:rPr>
          <w:b/>
          <w:bCs/>
        </w:rPr>
        <w:instrText>é","</w:instrText>
      </w:r>
      <w:r w:rsidR="00021E2A">
        <w:rPr>
          <w:b/>
          <w:bCs/>
          <w:lang w:val="en-US"/>
        </w:rPr>
        <w:instrText>non</w:instrText>
      </w:r>
      <w:r w:rsidR="00021E2A" w:rsidRPr="00320416">
        <w:rPr>
          <w:b/>
          <w:bCs/>
        </w:rPr>
        <w:instrText>-</w:instrText>
      </w:r>
      <w:r w:rsidR="00021E2A">
        <w:rPr>
          <w:b/>
          <w:bCs/>
          <w:lang w:val="en-US"/>
        </w:rPr>
        <w:instrText>dropping</w:instrText>
      </w:r>
      <w:r w:rsidR="00021E2A" w:rsidRPr="00320416">
        <w:rPr>
          <w:b/>
          <w:bCs/>
        </w:rPr>
        <w:instrText>-</w:instrText>
      </w:r>
      <w:r w:rsidR="00021E2A">
        <w:rPr>
          <w:b/>
          <w:bCs/>
          <w:lang w:val="en-US"/>
        </w:rPr>
        <w:instrText>particle</w:instrText>
      </w:r>
      <w:r w:rsidR="00021E2A" w:rsidRPr="00320416">
        <w:rPr>
          <w:b/>
          <w:bCs/>
        </w:rPr>
        <w:instrText>":"","</w:instrText>
      </w:r>
      <w:r w:rsidR="00021E2A">
        <w:rPr>
          <w:b/>
          <w:bCs/>
          <w:lang w:val="en-US"/>
        </w:rPr>
        <w:instrText>parse</w:instrText>
      </w:r>
      <w:r w:rsidR="00021E2A" w:rsidRPr="00320416">
        <w:rPr>
          <w:b/>
          <w:bCs/>
        </w:rPr>
        <w:instrText>-</w:instrText>
      </w:r>
      <w:r w:rsidR="00021E2A">
        <w:rPr>
          <w:b/>
          <w:bCs/>
          <w:lang w:val="en-US"/>
        </w:rPr>
        <w:instrText>names</w:instrText>
      </w:r>
      <w:r w:rsidR="00021E2A" w:rsidRPr="00320416">
        <w:rPr>
          <w:b/>
          <w:bCs/>
        </w:rPr>
        <w:instrText>":</w:instrText>
      </w:r>
      <w:r w:rsidR="00021E2A">
        <w:rPr>
          <w:b/>
          <w:bCs/>
          <w:lang w:val="en-US"/>
        </w:rPr>
        <w:instrText>false</w:instrText>
      </w:r>
      <w:r w:rsidR="00021E2A" w:rsidRPr="00320416">
        <w:rPr>
          <w:b/>
          <w:bCs/>
        </w:rPr>
        <w:instrText>,"</w:instrText>
      </w:r>
      <w:r w:rsidR="00021E2A">
        <w:rPr>
          <w:b/>
          <w:bCs/>
          <w:lang w:val="en-US"/>
        </w:rPr>
        <w:instrText>suffix</w:instrText>
      </w:r>
      <w:r w:rsidR="00021E2A" w:rsidRPr="00320416">
        <w:rPr>
          <w:b/>
          <w:bCs/>
        </w:rPr>
        <w:instrText>":""}],"</w:instrText>
      </w:r>
      <w:r w:rsidR="00021E2A">
        <w:rPr>
          <w:b/>
          <w:bCs/>
          <w:lang w:val="en-US"/>
        </w:rPr>
        <w:instrText>container</w:instrText>
      </w:r>
      <w:r w:rsidR="00021E2A" w:rsidRPr="00320416">
        <w:rPr>
          <w:b/>
          <w:bCs/>
        </w:rPr>
        <w:instrText>-</w:instrText>
      </w:r>
      <w:r w:rsidR="00021E2A">
        <w:rPr>
          <w:b/>
          <w:bCs/>
          <w:lang w:val="en-US"/>
        </w:rPr>
        <w:instrText>title</w:instrText>
      </w:r>
      <w:r w:rsidR="00021E2A" w:rsidRPr="00320416">
        <w:rPr>
          <w:b/>
          <w:bCs/>
        </w:rPr>
        <w:instrText>":"</w:instrText>
      </w:r>
      <w:r w:rsidR="00021E2A">
        <w:rPr>
          <w:b/>
          <w:bCs/>
          <w:lang w:val="en-US"/>
        </w:rPr>
        <w:instrText>The</w:instrText>
      </w:r>
      <w:r w:rsidR="00021E2A" w:rsidRPr="00320416">
        <w:rPr>
          <w:b/>
          <w:bCs/>
        </w:rPr>
        <w:instrText xml:space="preserve"> </w:instrText>
      </w:r>
      <w:r w:rsidR="00021E2A">
        <w:rPr>
          <w:b/>
          <w:bCs/>
          <w:lang w:val="en-US"/>
        </w:rPr>
        <w:instrText>Lancet</w:instrText>
      </w:r>
      <w:r w:rsidR="00021E2A" w:rsidRPr="00320416">
        <w:rPr>
          <w:b/>
          <w:bCs/>
        </w:rPr>
        <w:instrText xml:space="preserve"> </w:instrText>
      </w:r>
      <w:r w:rsidR="00021E2A">
        <w:rPr>
          <w:b/>
          <w:bCs/>
          <w:lang w:val="en-US"/>
        </w:rPr>
        <w:instrText>Oncology</w:instrText>
      </w:r>
      <w:r w:rsidR="00021E2A" w:rsidRPr="00320416">
        <w:rPr>
          <w:b/>
          <w:bCs/>
        </w:rPr>
        <w:instrText>","</w:instrText>
      </w:r>
      <w:r w:rsidR="00021E2A">
        <w:rPr>
          <w:b/>
          <w:bCs/>
          <w:lang w:val="en-US"/>
        </w:rPr>
        <w:instrText>id</w:instrText>
      </w:r>
      <w:r w:rsidR="00021E2A" w:rsidRPr="00320416">
        <w:rPr>
          <w:b/>
          <w:bCs/>
        </w:rPr>
        <w:instrText>":"</w:instrText>
      </w:r>
      <w:r w:rsidR="00021E2A">
        <w:rPr>
          <w:b/>
          <w:bCs/>
          <w:lang w:val="en-US"/>
        </w:rPr>
        <w:instrText>ITEM</w:instrText>
      </w:r>
      <w:r w:rsidR="00021E2A" w:rsidRPr="00320416">
        <w:rPr>
          <w:b/>
          <w:bCs/>
        </w:rPr>
        <w:instrText>-1","</w:instrText>
      </w:r>
      <w:r w:rsidR="00021E2A">
        <w:rPr>
          <w:b/>
          <w:bCs/>
          <w:lang w:val="en-US"/>
        </w:rPr>
        <w:instrText>issue</w:instrText>
      </w:r>
      <w:r w:rsidR="00021E2A" w:rsidRPr="00320416">
        <w:rPr>
          <w:b/>
          <w:bCs/>
        </w:rPr>
        <w:instrText>":"5","</w:instrText>
      </w:r>
      <w:r w:rsidR="00021E2A">
        <w:rPr>
          <w:b/>
          <w:bCs/>
          <w:lang w:val="en-US"/>
        </w:rPr>
        <w:instrText>issued</w:instrText>
      </w:r>
      <w:r w:rsidR="00021E2A" w:rsidRPr="00320416">
        <w:rPr>
          <w:b/>
          <w:bCs/>
        </w:rPr>
        <w:instrText>":{"</w:instrText>
      </w:r>
      <w:r w:rsidR="00021E2A">
        <w:rPr>
          <w:b/>
          <w:bCs/>
          <w:lang w:val="en-US"/>
        </w:rPr>
        <w:instrText>date</w:instrText>
      </w:r>
      <w:r w:rsidR="00021E2A" w:rsidRPr="00320416">
        <w:rPr>
          <w:b/>
          <w:bCs/>
        </w:rPr>
        <w:instrText>-</w:instrText>
      </w:r>
      <w:r w:rsidR="00021E2A">
        <w:rPr>
          <w:b/>
          <w:bCs/>
          <w:lang w:val="en-US"/>
        </w:rPr>
        <w:instrText>parts</w:instrText>
      </w:r>
      <w:r w:rsidR="00021E2A" w:rsidRPr="00320416">
        <w:rPr>
          <w:b/>
          <w:bCs/>
        </w:rPr>
        <w:instrText>":[["2011","5"]]},"</w:instrText>
      </w:r>
      <w:r w:rsidR="00021E2A">
        <w:rPr>
          <w:b/>
          <w:bCs/>
          <w:lang w:val="en-US"/>
        </w:rPr>
        <w:instrText>page</w:instrText>
      </w:r>
      <w:r w:rsidR="00021E2A" w:rsidRPr="00320416">
        <w:rPr>
          <w:b/>
          <w:bCs/>
        </w:rPr>
        <w:instrText>":"460-468","</w:instrText>
      </w:r>
      <w:r w:rsidR="00021E2A">
        <w:rPr>
          <w:b/>
          <w:bCs/>
          <w:lang w:val="en-US"/>
        </w:rPr>
        <w:instrText>title</w:instrText>
      </w:r>
      <w:r w:rsidR="00021E2A" w:rsidRPr="00320416">
        <w:rPr>
          <w:b/>
          <w:bCs/>
        </w:rPr>
        <w:instrText>":"</w:instrText>
      </w:r>
      <w:r w:rsidR="00021E2A">
        <w:rPr>
          <w:b/>
          <w:bCs/>
          <w:lang w:val="en-US"/>
        </w:rPr>
        <w:instrText>Attenuated</w:instrText>
      </w:r>
      <w:r w:rsidR="00021E2A" w:rsidRPr="00320416">
        <w:rPr>
          <w:b/>
          <w:bCs/>
        </w:rPr>
        <w:instrText xml:space="preserve"> </w:instrText>
      </w:r>
      <w:r w:rsidR="00021E2A">
        <w:rPr>
          <w:b/>
          <w:bCs/>
          <w:lang w:val="en-US"/>
        </w:rPr>
        <w:instrText>immunochemotherapy</w:instrText>
      </w:r>
      <w:r w:rsidR="00021E2A" w:rsidRPr="00320416">
        <w:rPr>
          <w:b/>
          <w:bCs/>
        </w:rPr>
        <w:instrText xml:space="preserve"> </w:instrText>
      </w:r>
      <w:r w:rsidR="00021E2A">
        <w:rPr>
          <w:b/>
          <w:bCs/>
          <w:lang w:val="en-US"/>
        </w:rPr>
        <w:instrText>regimen</w:instrText>
      </w:r>
      <w:r w:rsidR="00021E2A" w:rsidRPr="00320416">
        <w:rPr>
          <w:b/>
          <w:bCs/>
        </w:rPr>
        <w:instrText xml:space="preserve"> (</w:instrText>
      </w:r>
      <w:r w:rsidR="00021E2A">
        <w:rPr>
          <w:b/>
          <w:bCs/>
          <w:lang w:val="en-US"/>
        </w:rPr>
        <w:instrText>R</w:instrText>
      </w:r>
      <w:r w:rsidR="00021E2A" w:rsidRPr="00320416">
        <w:rPr>
          <w:b/>
          <w:bCs/>
        </w:rPr>
        <w:instrText>-</w:instrText>
      </w:r>
      <w:r w:rsidR="00021E2A">
        <w:rPr>
          <w:b/>
          <w:bCs/>
          <w:lang w:val="en-US"/>
        </w:rPr>
        <w:instrText>miniCHOP</w:instrText>
      </w:r>
      <w:r w:rsidR="00021E2A" w:rsidRPr="00320416">
        <w:rPr>
          <w:b/>
          <w:bCs/>
        </w:rPr>
        <w:instrText xml:space="preserve">) </w:instrText>
      </w:r>
      <w:r w:rsidR="00021E2A">
        <w:rPr>
          <w:b/>
          <w:bCs/>
          <w:lang w:val="en-US"/>
        </w:rPr>
        <w:instrText>in</w:instrText>
      </w:r>
      <w:r w:rsidR="00021E2A" w:rsidRPr="00320416">
        <w:rPr>
          <w:b/>
          <w:bCs/>
        </w:rPr>
        <w:instrText xml:space="preserve"> </w:instrText>
      </w:r>
      <w:r w:rsidR="00021E2A">
        <w:rPr>
          <w:b/>
          <w:bCs/>
          <w:lang w:val="en-US"/>
        </w:rPr>
        <w:instrText>elderly</w:instrText>
      </w:r>
      <w:r w:rsidR="00021E2A" w:rsidRPr="00320416">
        <w:rPr>
          <w:b/>
          <w:bCs/>
        </w:rPr>
        <w:instrText xml:space="preserve"> </w:instrText>
      </w:r>
      <w:r w:rsidR="00021E2A">
        <w:rPr>
          <w:b/>
          <w:bCs/>
          <w:lang w:val="en-US"/>
        </w:rPr>
        <w:instrText>patients</w:instrText>
      </w:r>
      <w:r w:rsidR="00021E2A" w:rsidRPr="00320416">
        <w:rPr>
          <w:b/>
          <w:bCs/>
        </w:rPr>
        <w:instrText xml:space="preserve"> </w:instrText>
      </w:r>
      <w:r w:rsidR="00021E2A">
        <w:rPr>
          <w:b/>
          <w:bCs/>
          <w:lang w:val="en-US"/>
        </w:rPr>
        <w:instrText>older</w:instrText>
      </w:r>
      <w:r w:rsidR="00021E2A" w:rsidRPr="00320416">
        <w:rPr>
          <w:b/>
          <w:bCs/>
        </w:rPr>
        <w:instrText xml:space="preserve"> </w:instrText>
      </w:r>
      <w:r w:rsidR="00021E2A">
        <w:rPr>
          <w:b/>
          <w:bCs/>
          <w:lang w:val="en-US"/>
        </w:rPr>
        <w:instrText>than</w:instrText>
      </w:r>
      <w:r w:rsidR="00021E2A" w:rsidRPr="00320416">
        <w:rPr>
          <w:b/>
          <w:bCs/>
        </w:rPr>
        <w:instrText xml:space="preserve"> 80 </w:instrText>
      </w:r>
      <w:r w:rsidR="00021E2A">
        <w:rPr>
          <w:b/>
          <w:bCs/>
          <w:lang w:val="en-US"/>
        </w:rPr>
        <w:instrText>years</w:instrText>
      </w:r>
      <w:r w:rsidR="00021E2A" w:rsidRPr="00320416">
        <w:rPr>
          <w:b/>
          <w:bCs/>
        </w:rPr>
        <w:instrText xml:space="preserve"> </w:instrText>
      </w:r>
      <w:r w:rsidR="00021E2A">
        <w:rPr>
          <w:b/>
          <w:bCs/>
          <w:lang w:val="en-US"/>
        </w:rPr>
        <w:instrText>with</w:instrText>
      </w:r>
      <w:r w:rsidR="00021E2A" w:rsidRPr="00320416">
        <w:rPr>
          <w:b/>
          <w:bCs/>
        </w:rPr>
        <w:instrText xml:space="preserve"> </w:instrText>
      </w:r>
      <w:r w:rsidR="00021E2A">
        <w:rPr>
          <w:b/>
          <w:bCs/>
          <w:lang w:val="en-US"/>
        </w:rPr>
        <w:instrText>diffuse</w:instrText>
      </w:r>
      <w:r w:rsidR="00021E2A" w:rsidRPr="00320416">
        <w:rPr>
          <w:b/>
          <w:bCs/>
        </w:rPr>
        <w:instrText xml:space="preserve"> </w:instrText>
      </w:r>
      <w:r w:rsidR="00021E2A">
        <w:rPr>
          <w:b/>
          <w:bCs/>
          <w:lang w:val="en-US"/>
        </w:rPr>
        <w:instrText>large</w:instrText>
      </w:r>
      <w:r w:rsidR="00021E2A" w:rsidRPr="00320416">
        <w:rPr>
          <w:b/>
          <w:bCs/>
        </w:rPr>
        <w:instrText xml:space="preserve"> </w:instrText>
      </w:r>
      <w:r w:rsidR="00021E2A">
        <w:rPr>
          <w:b/>
          <w:bCs/>
          <w:lang w:val="en-US"/>
        </w:rPr>
        <w:instrText>B</w:instrText>
      </w:r>
      <w:r w:rsidR="00021E2A" w:rsidRPr="00320416">
        <w:rPr>
          <w:b/>
          <w:bCs/>
        </w:rPr>
        <w:instrText>-</w:instrText>
      </w:r>
      <w:r w:rsidR="00021E2A">
        <w:rPr>
          <w:b/>
          <w:bCs/>
          <w:lang w:val="en-US"/>
        </w:rPr>
        <w:instrText>cell</w:instrText>
      </w:r>
      <w:r w:rsidR="00021E2A" w:rsidRPr="00320416">
        <w:rPr>
          <w:b/>
          <w:bCs/>
        </w:rPr>
        <w:instrText xml:space="preserve"> </w:instrText>
      </w:r>
      <w:r w:rsidR="00021E2A">
        <w:rPr>
          <w:b/>
          <w:bCs/>
          <w:lang w:val="en-US"/>
        </w:rPr>
        <w:instrText>lymphoma</w:instrText>
      </w:r>
      <w:r w:rsidR="00021E2A" w:rsidRPr="00320416">
        <w:rPr>
          <w:b/>
          <w:bCs/>
        </w:rPr>
        <w:instrText xml:space="preserve">: </w:instrText>
      </w:r>
      <w:r w:rsidR="00021E2A">
        <w:rPr>
          <w:b/>
          <w:bCs/>
          <w:lang w:val="en-US"/>
        </w:rPr>
        <w:instrText>A</w:instrText>
      </w:r>
      <w:r w:rsidR="00021E2A" w:rsidRPr="00320416">
        <w:rPr>
          <w:b/>
          <w:bCs/>
        </w:rPr>
        <w:instrText xml:space="preserve"> </w:instrText>
      </w:r>
      <w:r w:rsidR="00021E2A">
        <w:rPr>
          <w:b/>
          <w:bCs/>
          <w:lang w:val="en-US"/>
        </w:rPr>
        <w:instrText>multicentre</w:instrText>
      </w:r>
      <w:r w:rsidR="00021E2A" w:rsidRPr="00320416">
        <w:rPr>
          <w:b/>
          <w:bCs/>
        </w:rPr>
        <w:instrText xml:space="preserve">, </w:instrText>
      </w:r>
      <w:r w:rsidR="00021E2A">
        <w:rPr>
          <w:b/>
          <w:bCs/>
          <w:lang w:val="en-US"/>
        </w:rPr>
        <w:instrText>single</w:instrText>
      </w:r>
      <w:r w:rsidR="00021E2A" w:rsidRPr="00320416">
        <w:rPr>
          <w:b/>
          <w:bCs/>
        </w:rPr>
        <w:instrText>-</w:instrText>
      </w:r>
      <w:r w:rsidR="00021E2A">
        <w:rPr>
          <w:b/>
          <w:bCs/>
          <w:lang w:val="en-US"/>
        </w:rPr>
        <w:instrText>arm</w:instrText>
      </w:r>
      <w:r w:rsidR="00021E2A" w:rsidRPr="00320416">
        <w:rPr>
          <w:b/>
          <w:bCs/>
        </w:rPr>
        <w:instrText xml:space="preserve">, </w:instrText>
      </w:r>
      <w:r w:rsidR="00021E2A">
        <w:rPr>
          <w:b/>
          <w:bCs/>
          <w:lang w:val="en-US"/>
        </w:rPr>
        <w:instrText>phase</w:instrText>
      </w:r>
      <w:r w:rsidR="00021E2A" w:rsidRPr="00320416">
        <w:rPr>
          <w:b/>
          <w:bCs/>
        </w:rPr>
        <w:instrText xml:space="preserve"> 2 </w:instrText>
      </w:r>
      <w:r w:rsidR="00021E2A">
        <w:rPr>
          <w:b/>
          <w:bCs/>
          <w:lang w:val="en-US"/>
        </w:rPr>
        <w:instrText>trial</w:instrText>
      </w:r>
      <w:r w:rsidR="00021E2A" w:rsidRPr="00320416">
        <w:rPr>
          <w:b/>
          <w:bCs/>
        </w:rPr>
        <w:instrText>","</w:instrText>
      </w:r>
      <w:r w:rsidR="00021E2A">
        <w:rPr>
          <w:b/>
          <w:bCs/>
          <w:lang w:val="en-US"/>
        </w:rPr>
        <w:instrText>type</w:instrText>
      </w:r>
      <w:r w:rsidR="00021E2A" w:rsidRPr="00320416">
        <w:rPr>
          <w:b/>
          <w:bCs/>
        </w:rPr>
        <w:instrText>":"</w:instrText>
      </w:r>
      <w:r w:rsidR="00021E2A">
        <w:rPr>
          <w:b/>
          <w:bCs/>
          <w:lang w:val="en-US"/>
        </w:rPr>
        <w:instrText>article</w:instrText>
      </w:r>
      <w:r w:rsidR="00021E2A" w:rsidRPr="00320416">
        <w:rPr>
          <w:b/>
          <w:bCs/>
        </w:rPr>
        <w:instrText>-</w:instrText>
      </w:r>
      <w:r w:rsidR="00021E2A">
        <w:rPr>
          <w:b/>
          <w:bCs/>
          <w:lang w:val="en-US"/>
        </w:rPr>
        <w:instrText>journal</w:instrText>
      </w:r>
      <w:r w:rsidR="00021E2A" w:rsidRPr="00320416">
        <w:rPr>
          <w:b/>
          <w:bCs/>
        </w:rPr>
        <w:instrText>","</w:instrText>
      </w:r>
      <w:r w:rsidR="00021E2A">
        <w:rPr>
          <w:b/>
          <w:bCs/>
          <w:lang w:val="en-US"/>
        </w:rPr>
        <w:instrText>volume</w:instrText>
      </w:r>
      <w:r w:rsidR="00021E2A" w:rsidRPr="00320416">
        <w:rPr>
          <w:b/>
          <w:bCs/>
        </w:rPr>
        <w:instrText>":"12"},"</w:instrText>
      </w:r>
      <w:r w:rsidR="00021E2A">
        <w:rPr>
          <w:b/>
          <w:bCs/>
          <w:lang w:val="en-US"/>
        </w:rPr>
        <w:instrText>uris</w:instrText>
      </w:r>
      <w:r w:rsidR="00021E2A" w:rsidRPr="00320416">
        <w:rPr>
          <w:b/>
          <w:bCs/>
        </w:rPr>
        <w:instrText>":["</w:instrText>
      </w:r>
      <w:r w:rsidR="00021E2A">
        <w:rPr>
          <w:b/>
          <w:bCs/>
          <w:lang w:val="en-US"/>
        </w:rPr>
        <w:instrText>http</w:instrText>
      </w:r>
      <w:r w:rsidR="00021E2A" w:rsidRPr="00320416">
        <w:rPr>
          <w:b/>
          <w:bCs/>
        </w:rPr>
        <w:instrText>://</w:instrText>
      </w:r>
      <w:r w:rsidR="00021E2A">
        <w:rPr>
          <w:b/>
          <w:bCs/>
          <w:lang w:val="en-US"/>
        </w:rPr>
        <w:instrText>www</w:instrText>
      </w:r>
      <w:r w:rsidR="00021E2A" w:rsidRPr="00320416">
        <w:rPr>
          <w:b/>
          <w:bCs/>
        </w:rPr>
        <w:instrText>.</w:instrText>
      </w:r>
      <w:r w:rsidR="00021E2A">
        <w:rPr>
          <w:b/>
          <w:bCs/>
          <w:lang w:val="en-US"/>
        </w:rPr>
        <w:instrText>mendeley</w:instrText>
      </w:r>
      <w:r w:rsidR="00021E2A" w:rsidRPr="00320416">
        <w:rPr>
          <w:b/>
          <w:bCs/>
        </w:rPr>
        <w:instrText>.</w:instrText>
      </w:r>
      <w:r w:rsidR="00021E2A">
        <w:rPr>
          <w:b/>
          <w:bCs/>
          <w:lang w:val="en-US"/>
        </w:rPr>
        <w:instrText>com</w:instrText>
      </w:r>
      <w:r w:rsidR="00021E2A" w:rsidRPr="00320416">
        <w:rPr>
          <w:b/>
          <w:bCs/>
        </w:rPr>
        <w:instrText>/</w:instrText>
      </w:r>
      <w:r w:rsidR="00021E2A">
        <w:rPr>
          <w:b/>
          <w:bCs/>
          <w:lang w:val="en-US"/>
        </w:rPr>
        <w:instrText>documents</w:instrText>
      </w:r>
      <w:r w:rsidR="00021E2A" w:rsidRPr="00320416">
        <w:rPr>
          <w:b/>
          <w:bCs/>
        </w:rPr>
        <w:instrText>/?</w:instrText>
      </w:r>
      <w:r w:rsidR="00021E2A">
        <w:rPr>
          <w:b/>
          <w:bCs/>
          <w:lang w:val="en-US"/>
        </w:rPr>
        <w:instrText>uuid</w:instrText>
      </w:r>
      <w:r w:rsidR="00021E2A" w:rsidRPr="00320416">
        <w:rPr>
          <w:b/>
          <w:bCs/>
        </w:rPr>
        <w:instrText>=1</w:instrText>
      </w:r>
      <w:r w:rsidR="00021E2A">
        <w:rPr>
          <w:b/>
          <w:bCs/>
          <w:lang w:val="en-US"/>
        </w:rPr>
        <w:instrText>f</w:instrText>
      </w:r>
      <w:r w:rsidR="00021E2A" w:rsidRPr="00320416">
        <w:rPr>
          <w:b/>
          <w:bCs/>
        </w:rPr>
        <w:instrText>10293</w:instrText>
      </w:r>
      <w:r w:rsidR="00021E2A">
        <w:rPr>
          <w:b/>
          <w:bCs/>
          <w:lang w:val="en-US"/>
        </w:rPr>
        <w:instrText>b</w:instrText>
      </w:r>
      <w:r w:rsidR="00021E2A" w:rsidRPr="00320416">
        <w:rPr>
          <w:b/>
          <w:bCs/>
        </w:rPr>
        <w:instrText>-8542-395</w:instrText>
      </w:r>
      <w:r w:rsidR="00021E2A">
        <w:rPr>
          <w:b/>
          <w:bCs/>
          <w:lang w:val="en-US"/>
        </w:rPr>
        <w:instrText>b</w:instrText>
      </w:r>
      <w:r w:rsidR="00021E2A" w:rsidRPr="00320416">
        <w:rPr>
          <w:b/>
          <w:bCs/>
        </w:rPr>
        <w:instrText>-</w:instrText>
      </w:r>
      <w:r w:rsidR="00021E2A">
        <w:rPr>
          <w:b/>
          <w:bCs/>
          <w:lang w:val="en-US"/>
        </w:rPr>
        <w:instrText>ba</w:instrText>
      </w:r>
      <w:r w:rsidR="00021E2A" w:rsidRPr="00320416">
        <w:rPr>
          <w:b/>
          <w:bCs/>
        </w:rPr>
        <w:instrText>32-5</w:instrText>
      </w:r>
      <w:r w:rsidR="00021E2A">
        <w:rPr>
          <w:b/>
          <w:bCs/>
          <w:lang w:val="en-US"/>
        </w:rPr>
        <w:instrText>b</w:instrText>
      </w:r>
      <w:r w:rsidR="00021E2A" w:rsidRPr="00320416">
        <w:rPr>
          <w:b/>
          <w:bCs/>
        </w:rPr>
        <w:instrText>71</w:instrText>
      </w:r>
      <w:r w:rsidR="00021E2A">
        <w:rPr>
          <w:b/>
          <w:bCs/>
          <w:lang w:val="en-US"/>
        </w:rPr>
        <w:instrText>aa</w:instrText>
      </w:r>
      <w:r w:rsidR="00021E2A" w:rsidRPr="00320416">
        <w:rPr>
          <w:b/>
          <w:bCs/>
        </w:rPr>
        <w:instrText>075</w:instrText>
      </w:r>
      <w:r w:rsidR="00021E2A">
        <w:rPr>
          <w:b/>
          <w:bCs/>
          <w:lang w:val="en-US"/>
        </w:rPr>
        <w:instrText>ff</w:instrText>
      </w:r>
      <w:r w:rsidR="00021E2A" w:rsidRPr="00320416">
        <w:rPr>
          <w:b/>
          <w:bCs/>
        </w:rPr>
        <w:instrText>0"]}],"</w:instrText>
      </w:r>
      <w:r w:rsidR="00021E2A">
        <w:rPr>
          <w:b/>
          <w:bCs/>
          <w:lang w:val="en-US"/>
        </w:rPr>
        <w:instrText>mendeley</w:instrText>
      </w:r>
      <w:r w:rsidR="00021E2A" w:rsidRPr="00320416">
        <w:rPr>
          <w:b/>
          <w:bCs/>
        </w:rPr>
        <w:instrText>":{"</w:instrText>
      </w:r>
      <w:r w:rsidR="00021E2A">
        <w:rPr>
          <w:b/>
          <w:bCs/>
          <w:lang w:val="en-US"/>
        </w:rPr>
        <w:instrText>formattedCitation</w:instrText>
      </w:r>
      <w:r w:rsidR="00021E2A" w:rsidRPr="00320416">
        <w:rPr>
          <w:b/>
          <w:bCs/>
        </w:rPr>
        <w:instrText>":"[80]","</w:instrText>
      </w:r>
      <w:r w:rsidR="00021E2A">
        <w:rPr>
          <w:b/>
          <w:bCs/>
          <w:lang w:val="en-US"/>
        </w:rPr>
        <w:instrText>plainTextFormattedCitation</w:instrText>
      </w:r>
      <w:r w:rsidR="00021E2A" w:rsidRPr="00320416">
        <w:rPr>
          <w:b/>
          <w:bCs/>
        </w:rPr>
        <w:instrText>":"[80]","</w:instrText>
      </w:r>
      <w:r w:rsidR="00021E2A">
        <w:rPr>
          <w:b/>
          <w:bCs/>
          <w:lang w:val="en-US"/>
        </w:rPr>
        <w:instrText>previouslyFormattedCitation</w:instrText>
      </w:r>
      <w:r w:rsidR="00021E2A" w:rsidRPr="00320416">
        <w:rPr>
          <w:b/>
          <w:bCs/>
        </w:rPr>
        <w:instrText>":"[80]"},"</w:instrText>
      </w:r>
      <w:r w:rsidR="00021E2A">
        <w:rPr>
          <w:b/>
          <w:bCs/>
          <w:lang w:val="en-US"/>
        </w:rPr>
        <w:instrText>properties</w:instrText>
      </w:r>
      <w:r w:rsidR="00021E2A" w:rsidRPr="00320416">
        <w:rPr>
          <w:b/>
          <w:bCs/>
        </w:rPr>
        <w:instrText>":{"</w:instrText>
      </w:r>
      <w:r w:rsidR="00021E2A">
        <w:rPr>
          <w:b/>
          <w:bCs/>
          <w:lang w:val="en-US"/>
        </w:rPr>
        <w:instrText>noteIndex</w:instrText>
      </w:r>
      <w:r w:rsidR="00021E2A" w:rsidRPr="00320416">
        <w:rPr>
          <w:b/>
          <w:bCs/>
        </w:rPr>
        <w:instrText>":0},"</w:instrText>
      </w:r>
      <w:r w:rsidR="00021E2A">
        <w:rPr>
          <w:b/>
          <w:bCs/>
          <w:lang w:val="en-US"/>
        </w:rPr>
        <w:instrText>schema</w:instrText>
      </w:r>
      <w:r w:rsidR="00021E2A" w:rsidRPr="00320416">
        <w:rPr>
          <w:b/>
          <w:bCs/>
        </w:rPr>
        <w:instrText>":"</w:instrText>
      </w:r>
      <w:r w:rsidR="00021E2A">
        <w:rPr>
          <w:b/>
          <w:bCs/>
          <w:lang w:val="en-US"/>
        </w:rPr>
        <w:instrText>https</w:instrText>
      </w:r>
      <w:r w:rsidR="00021E2A" w:rsidRPr="00320416">
        <w:rPr>
          <w:b/>
          <w:bCs/>
        </w:rPr>
        <w:instrText>://</w:instrText>
      </w:r>
      <w:r w:rsidR="00021E2A">
        <w:rPr>
          <w:b/>
          <w:bCs/>
          <w:lang w:val="en-US"/>
        </w:rPr>
        <w:instrText>github</w:instrText>
      </w:r>
      <w:r w:rsidR="00021E2A" w:rsidRPr="00320416">
        <w:rPr>
          <w:b/>
          <w:bCs/>
        </w:rPr>
        <w:instrText>.</w:instrText>
      </w:r>
      <w:r w:rsidR="00021E2A">
        <w:rPr>
          <w:b/>
          <w:bCs/>
          <w:lang w:val="en-US"/>
        </w:rPr>
        <w:instrText>com</w:instrText>
      </w:r>
      <w:r w:rsidR="00021E2A" w:rsidRPr="00320416">
        <w:rPr>
          <w:b/>
          <w:bCs/>
        </w:rPr>
        <w:instrText>/</w:instrText>
      </w:r>
      <w:r w:rsidR="00021E2A">
        <w:rPr>
          <w:b/>
          <w:bCs/>
          <w:lang w:val="en-US"/>
        </w:rPr>
        <w:instrText>citation</w:instrText>
      </w:r>
      <w:r w:rsidR="00021E2A" w:rsidRPr="00320416">
        <w:rPr>
          <w:b/>
          <w:bCs/>
        </w:rPr>
        <w:instrText>-</w:instrText>
      </w:r>
      <w:r w:rsidR="00021E2A">
        <w:rPr>
          <w:b/>
          <w:bCs/>
          <w:lang w:val="en-US"/>
        </w:rPr>
        <w:instrText>style</w:instrText>
      </w:r>
      <w:r w:rsidR="00021E2A" w:rsidRPr="00320416">
        <w:rPr>
          <w:b/>
          <w:bCs/>
        </w:rPr>
        <w:instrText>-</w:instrText>
      </w:r>
      <w:r w:rsidR="00021E2A">
        <w:rPr>
          <w:b/>
          <w:bCs/>
          <w:lang w:val="en-US"/>
        </w:rPr>
        <w:instrText>language</w:instrText>
      </w:r>
      <w:r w:rsidR="00021E2A" w:rsidRPr="00320416">
        <w:rPr>
          <w:b/>
          <w:bCs/>
        </w:rPr>
        <w:instrText>/</w:instrText>
      </w:r>
      <w:r w:rsidR="00021E2A">
        <w:rPr>
          <w:b/>
          <w:bCs/>
          <w:lang w:val="en-US"/>
        </w:rPr>
        <w:instrText>schema</w:instrText>
      </w:r>
      <w:r w:rsidR="00021E2A" w:rsidRPr="00320416">
        <w:rPr>
          <w:b/>
          <w:bCs/>
        </w:rPr>
        <w:instrText>/</w:instrText>
      </w:r>
      <w:r w:rsidR="00021E2A">
        <w:rPr>
          <w:b/>
          <w:bCs/>
          <w:lang w:val="en-US"/>
        </w:rPr>
        <w:instrText>raw</w:instrText>
      </w:r>
      <w:r w:rsidR="00021E2A" w:rsidRPr="00320416">
        <w:rPr>
          <w:b/>
          <w:bCs/>
        </w:rPr>
        <w:instrText>/</w:instrText>
      </w:r>
      <w:r w:rsidR="00021E2A">
        <w:rPr>
          <w:b/>
          <w:bCs/>
          <w:lang w:val="en-US"/>
        </w:rPr>
        <w:instrText>master</w:instrText>
      </w:r>
      <w:r w:rsidR="00021E2A" w:rsidRPr="00320416">
        <w:rPr>
          <w:b/>
          <w:bCs/>
        </w:rPr>
        <w:instrText>/</w:instrText>
      </w:r>
      <w:r w:rsidR="00021E2A">
        <w:rPr>
          <w:b/>
          <w:bCs/>
          <w:lang w:val="en-US"/>
        </w:rPr>
        <w:instrText>csl</w:instrText>
      </w:r>
      <w:r w:rsidR="00021E2A" w:rsidRPr="00320416">
        <w:rPr>
          <w:b/>
          <w:bCs/>
        </w:rPr>
        <w:instrText>-</w:instrText>
      </w:r>
      <w:r w:rsidR="00021E2A">
        <w:rPr>
          <w:b/>
          <w:bCs/>
          <w:lang w:val="en-US"/>
        </w:rPr>
        <w:instrText>citation</w:instrText>
      </w:r>
      <w:r w:rsidR="00021E2A" w:rsidRPr="00320416">
        <w:rPr>
          <w:b/>
          <w:bCs/>
        </w:rPr>
        <w:instrText>.</w:instrText>
      </w:r>
      <w:r w:rsidR="00021E2A">
        <w:rPr>
          <w:b/>
          <w:bCs/>
          <w:lang w:val="en-US"/>
        </w:rPr>
        <w:instrText>json</w:instrText>
      </w:r>
      <w:r w:rsidR="00021E2A" w:rsidRPr="00320416">
        <w:rPr>
          <w:b/>
          <w:bCs/>
        </w:rPr>
        <w:instrText>"}</w:instrText>
      </w:r>
      <w:r w:rsidRPr="000322E4">
        <w:rPr>
          <w:b/>
          <w:bCs/>
          <w:lang w:val="en-US"/>
        </w:rPr>
        <w:fldChar w:fldCharType="separate"/>
      </w:r>
      <w:r w:rsidR="009D170B" w:rsidRPr="009D170B">
        <w:rPr>
          <w:bCs/>
          <w:noProof/>
        </w:rPr>
        <w:t>[80]</w:t>
      </w:r>
      <w:r w:rsidRPr="000322E4">
        <w:rPr>
          <w:b/>
          <w:bCs/>
          <w:lang w:val="en-US"/>
        </w:rPr>
        <w:fldChar w:fldCharType="end"/>
      </w:r>
    </w:p>
    <w:p w14:paraId="77AFF142" w14:textId="77777777" w:rsidR="00666D68" w:rsidRPr="00293AC8" w:rsidRDefault="00666D68" w:rsidP="00F414BF">
      <w:pPr>
        <w:numPr>
          <w:ilvl w:val="0"/>
          <w:numId w:val="39"/>
        </w:numPr>
        <w:spacing w:line="360" w:lineRule="auto"/>
        <w:jc w:val="both"/>
      </w:pPr>
      <w:r w:rsidRPr="000322E4">
        <w:t>Ритуксимаб</w:t>
      </w:r>
      <w:r w:rsidRPr="00293AC8">
        <w:rPr>
          <w:bCs/>
        </w:rPr>
        <w:t>**</w:t>
      </w:r>
    </w:p>
    <w:p w14:paraId="33C769FD" w14:textId="77777777" w:rsidR="00666D68" w:rsidRPr="00293AC8" w:rsidRDefault="00666D68" w:rsidP="00F414BF">
      <w:pPr>
        <w:numPr>
          <w:ilvl w:val="1"/>
          <w:numId w:val="39"/>
        </w:numPr>
        <w:spacing w:line="360" w:lineRule="auto"/>
        <w:jc w:val="both"/>
      </w:pPr>
      <w:r w:rsidRPr="00293AC8">
        <w:t xml:space="preserve">375 </w:t>
      </w:r>
      <w:r w:rsidRPr="000322E4">
        <w:t>мг</w:t>
      </w:r>
      <w:r w:rsidRPr="00293AC8">
        <w:t>/</w:t>
      </w:r>
      <w:r w:rsidRPr="000322E4">
        <w:t>м</w:t>
      </w:r>
      <w:r w:rsidRPr="00293AC8">
        <w:rPr>
          <w:vertAlign w:val="superscript"/>
        </w:rPr>
        <w:t>2</w:t>
      </w:r>
      <w:r w:rsidRPr="00293AC8">
        <w:t xml:space="preserve"> </w:t>
      </w:r>
      <w:r w:rsidRPr="000322E4">
        <w:t>в</w:t>
      </w:r>
      <w:r w:rsidRPr="00293AC8">
        <w:t>/</w:t>
      </w:r>
      <w:r w:rsidRPr="000322E4">
        <w:t>в</w:t>
      </w:r>
      <w:r w:rsidRPr="00293AC8">
        <w:t xml:space="preserve"> </w:t>
      </w:r>
      <w:r w:rsidRPr="000322E4">
        <w:t>кап</w:t>
      </w:r>
      <w:r w:rsidRPr="00293AC8">
        <w:t xml:space="preserve">., </w:t>
      </w:r>
      <w:r w:rsidRPr="000322E4">
        <w:t>день</w:t>
      </w:r>
      <w:r w:rsidRPr="00293AC8">
        <w:t xml:space="preserve"> 0 </w:t>
      </w:r>
      <w:r w:rsidRPr="000322E4">
        <w:t>или</w:t>
      </w:r>
      <w:r w:rsidRPr="00293AC8">
        <w:t xml:space="preserve"> 1 </w:t>
      </w:r>
      <w:r w:rsidRPr="000322E4">
        <w:t>все</w:t>
      </w:r>
      <w:r w:rsidRPr="00293AC8">
        <w:t xml:space="preserve"> </w:t>
      </w:r>
      <w:r w:rsidRPr="000322E4">
        <w:t>циклы</w:t>
      </w:r>
      <w:r w:rsidRPr="00293AC8">
        <w:t xml:space="preserve"> </w:t>
      </w:r>
      <w:r w:rsidRPr="000322E4">
        <w:t>курса</w:t>
      </w:r>
    </w:p>
    <w:p w14:paraId="0439CFE1" w14:textId="77777777" w:rsidR="00666D68" w:rsidRPr="00293AC8" w:rsidRDefault="00666D68" w:rsidP="00F414BF">
      <w:pPr>
        <w:spacing w:line="360" w:lineRule="auto"/>
        <w:ind w:left="1080" w:firstLine="336"/>
        <w:jc w:val="both"/>
      </w:pPr>
      <w:r w:rsidRPr="000322E4">
        <w:t>или</w:t>
      </w:r>
    </w:p>
    <w:p w14:paraId="38E88A5C" w14:textId="59D3B8D8" w:rsidR="00666D68" w:rsidRPr="003D0E86" w:rsidRDefault="00666D68" w:rsidP="00F414BF">
      <w:pPr>
        <w:numPr>
          <w:ilvl w:val="1"/>
          <w:numId w:val="39"/>
        </w:numPr>
        <w:spacing w:line="360" w:lineRule="auto"/>
        <w:jc w:val="both"/>
      </w:pPr>
      <w:r w:rsidRPr="00293AC8">
        <w:t xml:space="preserve">375 </w:t>
      </w:r>
      <w:r w:rsidRPr="000322E4">
        <w:t>мг</w:t>
      </w:r>
      <w:r w:rsidRPr="00293AC8">
        <w:t>/</w:t>
      </w:r>
      <w:r w:rsidRPr="000322E4">
        <w:t>м</w:t>
      </w:r>
      <w:r w:rsidRPr="00293AC8">
        <w:rPr>
          <w:vertAlign w:val="superscript"/>
        </w:rPr>
        <w:t>2</w:t>
      </w:r>
      <w:r w:rsidRPr="00293AC8">
        <w:t xml:space="preserve"> </w:t>
      </w:r>
      <w:r w:rsidRPr="000322E4">
        <w:t>в</w:t>
      </w:r>
      <w:r w:rsidRPr="00293AC8">
        <w:t>/</w:t>
      </w:r>
      <w:r w:rsidRPr="000322E4">
        <w:t>в</w:t>
      </w:r>
      <w:r w:rsidRPr="00293AC8">
        <w:t xml:space="preserve"> </w:t>
      </w:r>
      <w:r w:rsidRPr="000322E4">
        <w:t>кап</w:t>
      </w:r>
      <w:r w:rsidRPr="00293AC8">
        <w:t xml:space="preserve">. 1 </w:t>
      </w:r>
      <w:r w:rsidRPr="000322E4">
        <w:t>цикл</w:t>
      </w:r>
      <w:r w:rsidRPr="00293AC8">
        <w:t xml:space="preserve">, </w:t>
      </w:r>
      <w:r w:rsidRPr="000322E4">
        <w:t>далее</w:t>
      </w:r>
      <w:r w:rsidRPr="00293AC8">
        <w:t xml:space="preserve"> </w:t>
      </w:r>
      <w:r w:rsidRPr="000322E4">
        <w:t>ритуксимаб</w:t>
      </w:r>
      <w:r w:rsidRPr="00293AC8">
        <w:t xml:space="preserve"> 1400 </w:t>
      </w:r>
      <w:r w:rsidRPr="000322E4">
        <w:t>мг</w:t>
      </w:r>
      <w:r w:rsidRPr="00293AC8">
        <w:t xml:space="preserve"> </w:t>
      </w:r>
      <w:r w:rsidRPr="000322E4">
        <w:t>п</w:t>
      </w:r>
      <w:r w:rsidRPr="00293AC8">
        <w:t>/</w:t>
      </w:r>
      <w:r w:rsidRPr="000322E4">
        <w:t>к</w:t>
      </w:r>
      <w:r w:rsidRPr="00293AC8">
        <w:t xml:space="preserve">, </w:t>
      </w:r>
      <w:r w:rsidRPr="000322E4">
        <w:t>день</w:t>
      </w:r>
      <w:r w:rsidRPr="00293AC8">
        <w:t xml:space="preserve"> 0 </w:t>
      </w:r>
      <w:r w:rsidRPr="000322E4">
        <w:t>или</w:t>
      </w:r>
      <w:r w:rsidRPr="00293AC8">
        <w:t xml:space="preserve"> 1 </w:t>
      </w:r>
      <w:r w:rsidRPr="000322E4">
        <w:rPr>
          <w:lang w:val="en-US"/>
        </w:rPr>
        <w:fldChar w:fldCharType="begin" w:fldLock="1"/>
      </w:r>
      <w:r w:rsidR="00A6794A">
        <w:rPr>
          <w:lang w:val="en-US"/>
        </w:rPr>
        <w:instrText>ADDIN</w:instrText>
      </w:r>
      <w:r w:rsidR="00A6794A" w:rsidRPr="00D3550C">
        <w:instrText xml:space="preserve"> </w:instrText>
      </w:r>
      <w:r w:rsidR="00A6794A">
        <w:rPr>
          <w:lang w:val="en-US"/>
        </w:rPr>
        <w:instrText>CSL</w:instrText>
      </w:r>
      <w:r w:rsidR="00A6794A" w:rsidRPr="00D3550C">
        <w:instrText>_</w:instrText>
      </w:r>
      <w:r w:rsidR="00A6794A">
        <w:rPr>
          <w:lang w:val="en-US"/>
        </w:rPr>
        <w:instrText>CITATION</w:instrText>
      </w:r>
      <w:r w:rsidR="00A6794A" w:rsidRPr="00D3550C">
        <w:instrText xml:space="preserve"> {"</w:instrText>
      </w:r>
      <w:r w:rsidR="00A6794A">
        <w:rPr>
          <w:lang w:val="en-US"/>
        </w:rPr>
        <w:instrText>citationItems</w:instrText>
      </w:r>
      <w:r w:rsidR="00A6794A" w:rsidRPr="00D3550C">
        <w:instrText>":[{"</w:instrText>
      </w:r>
      <w:r w:rsidR="00A6794A">
        <w:rPr>
          <w:lang w:val="en-US"/>
        </w:rPr>
        <w:instrText>id</w:instrText>
      </w:r>
      <w:r w:rsidR="00A6794A" w:rsidRPr="00D3550C">
        <w:instrText>":"</w:instrText>
      </w:r>
      <w:r w:rsidR="00A6794A">
        <w:rPr>
          <w:lang w:val="en-US"/>
        </w:rPr>
        <w:instrText>ITEM</w:instrText>
      </w:r>
      <w:r w:rsidR="00A6794A" w:rsidRPr="00D3550C">
        <w:instrText>-1","</w:instrText>
      </w:r>
      <w:r w:rsidR="00A6794A">
        <w:rPr>
          <w:lang w:val="en-US"/>
        </w:rPr>
        <w:instrText>itemData</w:instrText>
      </w:r>
      <w:r w:rsidR="00A6794A" w:rsidRPr="00D3550C">
        <w:instrText>":{"</w:instrText>
      </w:r>
      <w:r w:rsidR="00A6794A">
        <w:rPr>
          <w:lang w:val="en-US"/>
        </w:rPr>
        <w:instrText>ISSN</w:instrText>
      </w:r>
      <w:r w:rsidR="00A6794A" w:rsidRPr="00D3550C">
        <w:instrText>":"2150-0878","</w:instrText>
      </w:r>
      <w:r w:rsidR="00A6794A">
        <w:rPr>
          <w:lang w:val="en-US"/>
        </w:rPr>
        <w:instrText>PMID</w:instrText>
      </w:r>
      <w:r w:rsidR="00A6794A" w:rsidRPr="00D3550C">
        <w:instrText>":"31086689","</w:instrText>
      </w:r>
      <w:r w:rsidR="00A6794A">
        <w:rPr>
          <w:lang w:val="en-US"/>
        </w:rPr>
        <w:instrText>abstract</w:instrText>
      </w:r>
      <w:r w:rsidR="00A6794A" w:rsidRPr="00D3550C">
        <w:instrText>":"</w:instrText>
      </w:r>
      <w:r w:rsidR="00A6794A">
        <w:rPr>
          <w:lang w:val="en-US"/>
        </w:rPr>
        <w:instrText>Rituximab</w:instrText>
      </w:r>
      <w:r w:rsidR="00A6794A" w:rsidRPr="00D3550C">
        <w:instrText xml:space="preserve"> </w:instrText>
      </w:r>
      <w:r w:rsidR="00A6794A">
        <w:rPr>
          <w:lang w:val="en-US"/>
        </w:rPr>
        <w:instrText>and</w:instrText>
      </w:r>
      <w:r w:rsidR="00A6794A" w:rsidRPr="00D3550C">
        <w:instrText xml:space="preserve"> </w:instrText>
      </w:r>
      <w:r w:rsidR="00A6794A">
        <w:rPr>
          <w:lang w:val="en-US"/>
        </w:rPr>
        <w:instrText>hyaluronidase</w:instrText>
      </w:r>
      <w:r w:rsidR="00A6794A" w:rsidRPr="00D3550C">
        <w:instrText xml:space="preserve"> </w:instrText>
      </w:r>
      <w:r w:rsidR="00A6794A">
        <w:rPr>
          <w:lang w:val="en-US"/>
        </w:rPr>
        <w:instrText>human</w:instrText>
      </w:r>
      <w:r w:rsidR="00A6794A" w:rsidRPr="00D3550C">
        <w:instrText xml:space="preserve"> </w:instrText>
      </w:r>
      <w:r w:rsidR="00A6794A">
        <w:rPr>
          <w:lang w:val="en-US"/>
        </w:rPr>
        <w:instrText>is</w:instrText>
      </w:r>
      <w:r w:rsidR="00A6794A" w:rsidRPr="00D3550C">
        <w:instrText xml:space="preserve"> </w:instrText>
      </w:r>
      <w:r w:rsidR="00A6794A">
        <w:rPr>
          <w:lang w:val="en-US"/>
        </w:rPr>
        <w:instrText>a</w:instrText>
      </w:r>
      <w:r w:rsidR="00A6794A" w:rsidRPr="00D3550C">
        <w:instrText xml:space="preserve"> </w:instrText>
      </w:r>
      <w:r w:rsidR="00A6794A">
        <w:rPr>
          <w:lang w:val="en-US"/>
        </w:rPr>
        <w:instrText>new</w:instrText>
      </w:r>
      <w:r w:rsidR="00A6794A" w:rsidRPr="00D3550C">
        <w:instrText xml:space="preserve"> </w:instrText>
      </w:r>
      <w:r w:rsidR="00A6794A">
        <w:rPr>
          <w:lang w:val="en-US"/>
        </w:rPr>
        <w:instrText>subcutaneous</w:instrText>
      </w:r>
      <w:r w:rsidR="00A6794A" w:rsidRPr="00D3550C">
        <w:instrText xml:space="preserve"> </w:instrText>
      </w:r>
      <w:r w:rsidR="00A6794A">
        <w:rPr>
          <w:lang w:val="en-US"/>
        </w:rPr>
        <w:instrText>formulation</w:instrText>
      </w:r>
      <w:r w:rsidR="00A6794A" w:rsidRPr="00D3550C">
        <w:instrText xml:space="preserve"> </w:instrText>
      </w:r>
      <w:r w:rsidR="00A6794A">
        <w:rPr>
          <w:lang w:val="en-US"/>
        </w:rPr>
        <w:instrText>of</w:instrText>
      </w:r>
      <w:r w:rsidR="00A6794A" w:rsidRPr="00D3550C">
        <w:instrText xml:space="preserve"> </w:instrText>
      </w:r>
      <w:r w:rsidR="00A6794A">
        <w:rPr>
          <w:lang w:val="en-US"/>
        </w:rPr>
        <w:instrText>rituximab</w:instrText>
      </w:r>
      <w:r w:rsidR="00A6794A" w:rsidRPr="00D3550C">
        <w:instrText xml:space="preserve"> </w:instrText>
      </w:r>
      <w:r w:rsidR="00A6794A">
        <w:rPr>
          <w:lang w:val="en-US"/>
        </w:rPr>
        <w:instrText>that</w:instrText>
      </w:r>
      <w:r w:rsidR="00A6794A" w:rsidRPr="00D3550C">
        <w:instrText xml:space="preserve"> </w:instrText>
      </w:r>
      <w:r w:rsidR="00A6794A">
        <w:rPr>
          <w:lang w:val="en-US"/>
        </w:rPr>
        <w:instrText>was</w:instrText>
      </w:r>
      <w:r w:rsidR="00A6794A" w:rsidRPr="00D3550C">
        <w:instrText xml:space="preserve"> </w:instrText>
      </w:r>
      <w:r w:rsidR="00A6794A">
        <w:rPr>
          <w:lang w:val="en-US"/>
        </w:rPr>
        <w:instrText>recently</w:instrText>
      </w:r>
      <w:r w:rsidR="00A6794A" w:rsidRPr="00D3550C">
        <w:instrText xml:space="preserve"> </w:instrText>
      </w:r>
      <w:r w:rsidR="00A6794A">
        <w:rPr>
          <w:lang w:val="en-US"/>
        </w:rPr>
        <w:instrText>approved</w:instrText>
      </w:r>
      <w:r w:rsidR="00A6794A" w:rsidRPr="00D3550C">
        <w:instrText xml:space="preserve"> </w:instrText>
      </w:r>
      <w:r w:rsidR="00A6794A">
        <w:rPr>
          <w:lang w:val="en-US"/>
        </w:rPr>
        <w:instrText>by</w:instrText>
      </w:r>
      <w:r w:rsidR="00A6794A" w:rsidRPr="00D3550C">
        <w:instrText xml:space="preserve"> </w:instrText>
      </w:r>
      <w:r w:rsidR="00A6794A">
        <w:rPr>
          <w:lang w:val="en-US"/>
        </w:rPr>
        <w:instrText>the</w:instrText>
      </w:r>
      <w:r w:rsidR="00A6794A" w:rsidRPr="00D3550C">
        <w:instrText xml:space="preserve"> </w:instrText>
      </w:r>
      <w:r w:rsidR="00A6794A">
        <w:rPr>
          <w:lang w:val="en-US"/>
        </w:rPr>
        <w:instrText>US</w:instrText>
      </w:r>
      <w:r w:rsidR="00A6794A" w:rsidRPr="00D3550C">
        <w:instrText xml:space="preserve"> </w:instrText>
      </w:r>
      <w:r w:rsidR="00A6794A">
        <w:rPr>
          <w:lang w:val="en-US"/>
        </w:rPr>
        <w:instrText>Food</w:instrText>
      </w:r>
      <w:r w:rsidR="00A6794A" w:rsidRPr="00D3550C">
        <w:instrText xml:space="preserve"> </w:instrText>
      </w:r>
      <w:r w:rsidR="00A6794A">
        <w:rPr>
          <w:lang w:val="en-US"/>
        </w:rPr>
        <w:instrText>and</w:instrText>
      </w:r>
      <w:r w:rsidR="00A6794A" w:rsidRPr="00D3550C">
        <w:instrText xml:space="preserve"> </w:instrText>
      </w:r>
      <w:r w:rsidR="00A6794A">
        <w:rPr>
          <w:lang w:val="en-US"/>
        </w:rPr>
        <w:instrText>Drug</w:instrText>
      </w:r>
      <w:r w:rsidR="00A6794A" w:rsidRPr="00D3550C">
        <w:instrText xml:space="preserve"> </w:instrText>
      </w:r>
      <w:r w:rsidR="00A6794A">
        <w:rPr>
          <w:lang w:val="en-US"/>
        </w:rPr>
        <w:instrText>Administration</w:instrText>
      </w:r>
      <w:r w:rsidR="00A6794A" w:rsidRPr="00D3550C">
        <w:instrText xml:space="preserve"> </w:instrText>
      </w:r>
      <w:r w:rsidR="00A6794A">
        <w:rPr>
          <w:lang w:val="en-US"/>
        </w:rPr>
        <w:instrText>for</w:instrText>
      </w:r>
      <w:r w:rsidR="00A6794A" w:rsidRPr="00D3550C">
        <w:instrText xml:space="preserve"> </w:instrText>
      </w:r>
      <w:r w:rsidR="00A6794A">
        <w:rPr>
          <w:lang w:val="en-US"/>
        </w:rPr>
        <w:instrText>the</w:instrText>
      </w:r>
      <w:r w:rsidR="00A6794A" w:rsidRPr="00D3550C">
        <w:instrText xml:space="preserve"> </w:instrText>
      </w:r>
      <w:r w:rsidR="00A6794A">
        <w:rPr>
          <w:lang w:val="en-US"/>
        </w:rPr>
        <w:instrText>treatment</w:instrText>
      </w:r>
      <w:r w:rsidR="00A6794A" w:rsidRPr="00D3550C">
        <w:instrText xml:space="preserve"> </w:instrText>
      </w:r>
      <w:r w:rsidR="00A6794A">
        <w:rPr>
          <w:lang w:val="en-US"/>
        </w:rPr>
        <w:instrText>of</w:instrText>
      </w:r>
      <w:r w:rsidR="00A6794A" w:rsidRPr="00D3550C">
        <w:instrText xml:space="preserve"> </w:instrText>
      </w:r>
      <w:r w:rsidR="00A6794A">
        <w:rPr>
          <w:lang w:val="en-US"/>
        </w:rPr>
        <w:instrText>adults</w:instrText>
      </w:r>
      <w:r w:rsidR="00A6794A" w:rsidRPr="00D3550C">
        <w:instrText xml:space="preserve"> </w:instrText>
      </w:r>
      <w:r w:rsidR="00A6794A">
        <w:rPr>
          <w:lang w:val="en-US"/>
        </w:rPr>
        <w:instrText>with</w:instrText>
      </w:r>
      <w:r w:rsidR="00A6794A" w:rsidRPr="00D3550C">
        <w:instrText xml:space="preserve"> </w:instrText>
      </w:r>
      <w:r w:rsidR="00A6794A">
        <w:rPr>
          <w:lang w:val="en-US"/>
        </w:rPr>
        <w:instrText>follicular</w:instrText>
      </w:r>
      <w:r w:rsidR="00A6794A" w:rsidRPr="00D3550C">
        <w:instrText xml:space="preserve"> </w:instrText>
      </w:r>
      <w:r w:rsidR="00A6794A">
        <w:rPr>
          <w:lang w:val="en-US"/>
        </w:rPr>
        <w:instrText>lymphoma</w:instrText>
      </w:r>
      <w:r w:rsidR="00A6794A" w:rsidRPr="00D3550C">
        <w:instrText xml:space="preserve">, </w:instrText>
      </w:r>
      <w:r w:rsidR="00A6794A">
        <w:rPr>
          <w:lang w:val="en-US"/>
        </w:rPr>
        <w:instrText>diffuse</w:instrText>
      </w:r>
      <w:r w:rsidR="00A6794A" w:rsidRPr="00D3550C">
        <w:instrText xml:space="preserve"> </w:instrText>
      </w:r>
      <w:r w:rsidR="00A6794A">
        <w:rPr>
          <w:lang w:val="en-US"/>
        </w:rPr>
        <w:instrText>large</w:instrText>
      </w:r>
      <w:r w:rsidR="00A6794A" w:rsidRPr="00D3550C">
        <w:instrText xml:space="preserve"> </w:instrText>
      </w:r>
      <w:r w:rsidR="00A6794A">
        <w:rPr>
          <w:lang w:val="en-US"/>
        </w:rPr>
        <w:instrText>B</w:instrText>
      </w:r>
      <w:r w:rsidR="00A6794A" w:rsidRPr="00D3550C">
        <w:instrText>-</w:instrText>
      </w:r>
      <w:r w:rsidR="00A6794A">
        <w:rPr>
          <w:lang w:val="en-US"/>
        </w:rPr>
        <w:instrText>cell</w:instrText>
      </w:r>
      <w:r w:rsidR="00A6794A" w:rsidRPr="00D3550C">
        <w:instrText xml:space="preserve"> </w:instrText>
      </w:r>
      <w:r w:rsidR="00A6794A">
        <w:rPr>
          <w:lang w:val="en-US"/>
        </w:rPr>
        <w:instrText>lymphoma</w:instrText>
      </w:r>
      <w:r w:rsidR="00A6794A" w:rsidRPr="00D3550C">
        <w:instrText xml:space="preserve">, </w:instrText>
      </w:r>
      <w:r w:rsidR="00A6794A">
        <w:rPr>
          <w:lang w:val="en-US"/>
        </w:rPr>
        <w:instrText>and</w:instrText>
      </w:r>
      <w:r w:rsidR="00A6794A" w:rsidRPr="00D3550C">
        <w:instrText xml:space="preserve"> </w:instrText>
      </w:r>
      <w:r w:rsidR="00A6794A">
        <w:rPr>
          <w:lang w:val="en-US"/>
        </w:rPr>
        <w:instrText>chronic</w:instrText>
      </w:r>
      <w:r w:rsidR="00A6794A" w:rsidRPr="00D3550C">
        <w:instrText xml:space="preserve"> </w:instrText>
      </w:r>
      <w:r w:rsidR="00A6794A">
        <w:rPr>
          <w:lang w:val="en-US"/>
        </w:rPr>
        <w:instrText>lymphocytic</w:instrText>
      </w:r>
      <w:r w:rsidR="00A6794A" w:rsidRPr="00D3550C">
        <w:instrText xml:space="preserve"> </w:instrText>
      </w:r>
      <w:r w:rsidR="00A6794A">
        <w:rPr>
          <w:lang w:val="en-US"/>
        </w:rPr>
        <w:instrText>leukemia</w:instrText>
      </w:r>
      <w:r w:rsidR="00A6794A" w:rsidRPr="00D3550C">
        <w:instrText xml:space="preserve">. </w:instrText>
      </w:r>
      <w:r w:rsidR="00A6794A">
        <w:rPr>
          <w:lang w:val="en-US"/>
        </w:rPr>
        <w:instrText>With</w:instrText>
      </w:r>
      <w:r w:rsidR="00A6794A" w:rsidRPr="00D3550C">
        <w:instrText xml:space="preserve"> </w:instrText>
      </w:r>
      <w:r w:rsidR="00A6794A">
        <w:rPr>
          <w:lang w:val="en-US"/>
        </w:rPr>
        <w:instrText>data</w:instrText>
      </w:r>
      <w:r w:rsidR="00A6794A" w:rsidRPr="00D3550C">
        <w:instrText xml:space="preserve"> </w:instrText>
      </w:r>
      <w:r w:rsidR="00A6794A">
        <w:rPr>
          <w:lang w:val="en-US"/>
        </w:rPr>
        <w:instrText>to</w:instrText>
      </w:r>
      <w:r w:rsidR="00A6794A" w:rsidRPr="00D3550C">
        <w:instrText xml:space="preserve"> </w:instrText>
      </w:r>
      <w:r w:rsidR="00A6794A">
        <w:rPr>
          <w:lang w:val="en-US"/>
        </w:rPr>
        <w:instrText>support</w:instrText>
      </w:r>
      <w:r w:rsidR="00A6794A" w:rsidRPr="00D3550C">
        <w:instrText xml:space="preserve"> </w:instrText>
      </w:r>
      <w:r w:rsidR="00A6794A">
        <w:rPr>
          <w:lang w:val="en-US"/>
        </w:rPr>
        <w:instrText>noninferior</w:instrText>
      </w:r>
      <w:r w:rsidR="00A6794A" w:rsidRPr="00D3550C">
        <w:instrText xml:space="preserve"> </w:instrText>
      </w:r>
      <w:r w:rsidR="00A6794A">
        <w:rPr>
          <w:lang w:val="en-US"/>
        </w:rPr>
        <w:instrText>pharmacokinetics</w:instrText>
      </w:r>
      <w:r w:rsidR="00A6794A" w:rsidRPr="00D3550C">
        <w:instrText xml:space="preserve">, </w:instrText>
      </w:r>
      <w:r w:rsidR="00A6794A">
        <w:rPr>
          <w:lang w:val="en-US"/>
        </w:rPr>
        <w:instrText>similar</w:instrText>
      </w:r>
      <w:r w:rsidR="00A6794A" w:rsidRPr="00D3550C">
        <w:instrText xml:space="preserve"> </w:instrText>
      </w:r>
      <w:r w:rsidR="00A6794A">
        <w:rPr>
          <w:lang w:val="en-US"/>
        </w:rPr>
        <w:instrText>outcomes</w:instrText>
      </w:r>
      <w:r w:rsidR="00A6794A" w:rsidRPr="00D3550C">
        <w:instrText xml:space="preserve">, </w:instrText>
      </w:r>
      <w:r w:rsidR="00A6794A">
        <w:rPr>
          <w:lang w:val="en-US"/>
        </w:rPr>
        <w:instrText>and</w:instrText>
      </w:r>
      <w:r w:rsidR="00A6794A" w:rsidRPr="00D3550C">
        <w:instrText xml:space="preserve"> </w:instrText>
      </w:r>
      <w:r w:rsidR="00A6794A">
        <w:rPr>
          <w:lang w:val="en-US"/>
        </w:rPr>
        <w:instrText>comparable</w:instrText>
      </w:r>
      <w:r w:rsidR="00A6794A" w:rsidRPr="00D3550C">
        <w:instrText xml:space="preserve"> </w:instrText>
      </w:r>
      <w:r w:rsidR="00A6794A">
        <w:rPr>
          <w:lang w:val="en-US"/>
        </w:rPr>
        <w:instrText>adverse</w:instrText>
      </w:r>
      <w:r w:rsidR="00A6794A" w:rsidRPr="00D3550C">
        <w:instrText xml:space="preserve"> </w:instrText>
      </w:r>
      <w:r w:rsidR="00A6794A">
        <w:rPr>
          <w:lang w:val="en-US"/>
        </w:rPr>
        <w:instrText>events</w:instrText>
      </w:r>
      <w:r w:rsidR="00A6794A" w:rsidRPr="00D3550C">
        <w:instrText xml:space="preserve">, </w:instrText>
      </w:r>
      <w:r w:rsidR="00A6794A">
        <w:rPr>
          <w:lang w:val="en-US"/>
        </w:rPr>
        <w:instrText>rituximab</w:instrText>
      </w:r>
      <w:r w:rsidR="00A6794A" w:rsidRPr="00D3550C">
        <w:instrText xml:space="preserve"> </w:instrText>
      </w:r>
      <w:r w:rsidR="00A6794A">
        <w:rPr>
          <w:lang w:val="en-US"/>
        </w:rPr>
        <w:instrText>and</w:instrText>
      </w:r>
      <w:r w:rsidR="00A6794A" w:rsidRPr="00D3550C">
        <w:instrText xml:space="preserve"> </w:instrText>
      </w:r>
      <w:r w:rsidR="00A6794A">
        <w:rPr>
          <w:lang w:val="en-US"/>
        </w:rPr>
        <w:instrText>hyaluronidase</w:instrText>
      </w:r>
      <w:r w:rsidR="00A6794A" w:rsidRPr="00D3550C">
        <w:instrText xml:space="preserve"> </w:instrText>
      </w:r>
      <w:r w:rsidR="00A6794A">
        <w:rPr>
          <w:lang w:val="en-US"/>
        </w:rPr>
        <w:instrText>human</w:instrText>
      </w:r>
      <w:r w:rsidR="00A6794A" w:rsidRPr="00D3550C">
        <w:instrText xml:space="preserve"> </w:instrText>
      </w:r>
      <w:r w:rsidR="00A6794A">
        <w:rPr>
          <w:lang w:val="en-US"/>
        </w:rPr>
        <w:instrText>may</w:instrText>
      </w:r>
      <w:r w:rsidR="00A6794A" w:rsidRPr="00D3550C">
        <w:instrText xml:space="preserve"> </w:instrText>
      </w:r>
      <w:r w:rsidR="00A6794A">
        <w:rPr>
          <w:lang w:val="en-US"/>
        </w:rPr>
        <w:instrText>offer</w:instrText>
      </w:r>
      <w:r w:rsidR="00A6794A" w:rsidRPr="00D3550C">
        <w:instrText xml:space="preserve"> </w:instrText>
      </w:r>
      <w:r w:rsidR="00A6794A">
        <w:rPr>
          <w:lang w:val="en-US"/>
        </w:rPr>
        <w:instrText>a</w:instrText>
      </w:r>
      <w:r w:rsidR="00A6794A" w:rsidRPr="00D3550C">
        <w:instrText xml:space="preserve"> </w:instrText>
      </w:r>
      <w:r w:rsidR="00A6794A">
        <w:rPr>
          <w:lang w:val="en-US"/>
        </w:rPr>
        <w:instrText>suitable</w:instrText>
      </w:r>
      <w:r w:rsidR="00A6794A" w:rsidRPr="00D3550C">
        <w:instrText xml:space="preserve"> </w:instrText>
      </w:r>
      <w:r w:rsidR="00A6794A">
        <w:rPr>
          <w:lang w:val="en-US"/>
        </w:rPr>
        <w:instrText>alternative</w:instrText>
      </w:r>
      <w:r w:rsidR="00A6794A" w:rsidRPr="00D3550C">
        <w:instrText xml:space="preserve"> </w:instrText>
      </w:r>
      <w:r w:rsidR="00A6794A">
        <w:rPr>
          <w:lang w:val="en-US"/>
        </w:rPr>
        <w:instrText>to</w:instrText>
      </w:r>
      <w:r w:rsidR="00A6794A" w:rsidRPr="00D3550C">
        <w:instrText xml:space="preserve"> </w:instrText>
      </w:r>
      <w:r w:rsidR="00A6794A">
        <w:rPr>
          <w:lang w:val="en-US"/>
        </w:rPr>
        <w:instrText>intravenous</w:instrText>
      </w:r>
      <w:r w:rsidR="00A6794A" w:rsidRPr="00D3550C">
        <w:instrText xml:space="preserve"> </w:instrText>
      </w:r>
      <w:r w:rsidR="00A6794A">
        <w:rPr>
          <w:lang w:val="en-US"/>
        </w:rPr>
        <w:instrText>rituximab</w:instrText>
      </w:r>
      <w:r w:rsidR="00A6794A" w:rsidRPr="00D3550C">
        <w:instrText xml:space="preserve"> </w:instrText>
      </w:r>
      <w:r w:rsidR="00A6794A">
        <w:rPr>
          <w:lang w:val="en-US"/>
        </w:rPr>
        <w:instrText>that</w:instrText>
      </w:r>
      <w:r w:rsidR="00A6794A" w:rsidRPr="00D3550C">
        <w:instrText xml:space="preserve"> </w:instrText>
      </w:r>
      <w:r w:rsidR="00A6794A">
        <w:rPr>
          <w:lang w:val="en-US"/>
        </w:rPr>
        <w:instrText>could</w:instrText>
      </w:r>
      <w:r w:rsidR="00A6794A" w:rsidRPr="00D3550C">
        <w:instrText xml:space="preserve"> </w:instrText>
      </w:r>
      <w:r w:rsidR="00A6794A">
        <w:rPr>
          <w:lang w:val="en-US"/>
        </w:rPr>
        <w:instrText>improve</w:instrText>
      </w:r>
      <w:r w:rsidR="00A6794A" w:rsidRPr="00D3550C">
        <w:instrText xml:space="preserve"> </w:instrText>
      </w:r>
      <w:r w:rsidR="00A6794A">
        <w:rPr>
          <w:lang w:val="en-US"/>
        </w:rPr>
        <w:instrText>convenience</w:instrText>
      </w:r>
      <w:r w:rsidR="00A6794A" w:rsidRPr="00D3550C">
        <w:instrText xml:space="preserve"> </w:instrText>
      </w:r>
      <w:r w:rsidR="00A6794A">
        <w:rPr>
          <w:lang w:val="en-US"/>
        </w:rPr>
        <w:instrText>for</w:instrText>
      </w:r>
      <w:r w:rsidR="00A6794A" w:rsidRPr="00D3550C">
        <w:instrText xml:space="preserve"> </w:instrText>
      </w:r>
      <w:r w:rsidR="00A6794A">
        <w:rPr>
          <w:lang w:val="en-US"/>
        </w:rPr>
        <w:instrText>patients</w:instrText>
      </w:r>
      <w:r w:rsidR="00A6794A" w:rsidRPr="00D3550C">
        <w:instrText xml:space="preserve"> </w:instrText>
      </w:r>
      <w:r w:rsidR="00A6794A">
        <w:rPr>
          <w:lang w:val="en-US"/>
        </w:rPr>
        <w:instrText>and</w:instrText>
      </w:r>
      <w:r w:rsidR="00A6794A" w:rsidRPr="00D3550C">
        <w:instrText xml:space="preserve"> </w:instrText>
      </w:r>
      <w:r w:rsidR="00A6794A">
        <w:rPr>
          <w:lang w:val="en-US"/>
        </w:rPr>
        <w:instrText>better</w:instrText>
      </w:r>
      <w:r w:rsidR="00A6794A" w:rsidRPr="00D3550C">
        <w:instrText xml:space="preserve"> </w:instrText>
      </w:r>
      <w:r w:rsidR="00A6794A">
        <w:rPr>
          <w:lang w:val="en-US"/>
        </w:rPr>
        <w:instrText>utilize</w:instrText>
      </w:r>
      <w:r w:rsidR="00A6794A" w:rsidRPr="00D3550C">
        <w:instrText xml:space="preserve"> </w:instrText>
      </w:r>
      <w:r w:rsidR="00A6794A">
        <w:rPr>
          <w:lang w:val="en-US"/>
        </w:rPr>
        <w:instrText>health</w:instrText>
      </w:r>
      <w:r w:rsidR="00A6794A" w:rsidRPr="00D3550C">
        <w:instrText>-</w:instrText>
      </w:r>
      <w:r w:rsidR="00A6794A">
        <w:rPr>
          <w:lang w:val="en-US"/>
        </w:rPr>
        <w:instrText>care</w:instrText>
      </w:r>
      <w:r w:rsidR="00A6794A" w:rsidRPr="00D3550C">
        <w:instrText xml:space="preserve"> </w:instrText>
      </w:r>
      <w:r w:rsidR="00A6794A">
        <w:rPr>
          <w:lang w:val="en-US"/>
        </w:rPr>
        <w:instrText>resources</w:instrText>
      </w:r>
      <w:r w:rsidR="00A6794A" w:rsidRPr="00D3550C">
        <w:instrText>.","</w:instrText>
      </w:r>
      <w:r w:rsidR="00A6794A">
        <w:rPr>
          <w:lang w:val="en-US"/>
        </w:rPr>
        <w:instrText>author</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family</w:instrText>
      </w:r>
      <w:r w:rsidR="00A6794A" w:rsidRPr="00D3550C">
        <w:instrText>":"</w:instrText>
      </w:r>
      <w:r w:rsidR="00A6794A">
        <w:rPr>
          <w:lang w:val="en-US"/>
        </w:rPr>
        <w:instrText>Yelvington</w:instrText>
      </w:r>
      <w:r w:rsidR="00A6794A" w:rsidRPr="00D3550C">
        <w:instrText>","</w:instrText>
      </w:r>
      <w:r w:rsidR="00A6794A">
        <w:rPr>
          <w:lang w:val="en-US"/>
        </w:rPr>
        <w:instrText>given</w:instrText>
      </w:r>
      <w:r w:rsidR="00A6794A" w:rsidRPr="00D3550C">
        <w:instrText>":"</w:instrText>
      </w:r>
      <w:r w:rsidR="00A6794A">
        <w:rPr>
          <w:lang w:val="en-US"/>
        </w:rPr>
        <w:instrText>Bradley</w:instrText>
      </w:r>
      <w:r w:rsidR="00A6794A" w:rsidRPr="00D3550C">
        <w:instrText xml:space="preserve"> </w:instrText>
      </w:r>
      <w:r w:rsidR="00A6794A">
        <w:rPr>
          <w:lang w:val="en-US"/>
        </w:rPr>
        <w:instrText>J</w:instrText>
      </w:r>
      <w:r w:rsidR="00A6794A" w:rsidRPr="00D3550C">
        <w:instrText>","</w:instrText>
      </w:r>
      <w:r w:rsidR="00A6794A">
        <w:rPr>
          <w:lang w:val="en-US"/>
        </w:rPr>
        <w:instrText>non</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parse</w:instrText>
      </w:r>
      <w:r w:rsidR="00A6794A" w:rsidRPr="00D3550C">
        <w:instrText>-</w:instrText>
      </w:r>
      <w:r w:rsidR="00A6794A">
        <w:rPr>
          <w:lang w:val="en-US"/>
        </w:rPr>
        <w:instrText>names</w:instrText>
      </w:r>
      <w:r w:rsidR="00A6794A" w:rsidRPr="00D3550C">
        <w:instrText>":</w:instrText>
      </w:r>
      <w:r w:rsidR="00A6794A">
        <w:rPr>
          <w:lang w:val="en-US"/>
        </w:rPr>
        <w:instrText>false</w:instrText>
      </w:r>
      <w:r w:rsidR="00A6794A" w:rsidRPr="00D3550C">
        <w:instrText>,"</w:instrText>
      </w:r>
      <w:r w:rsidR="00A6794A">
        <w:rPr>
          <w:lang w:val="en-US"/>
        </w:rPr>
        <w:instrText>suffix</w:instrText>
      </w:r>
      <w:r w:rsidR="00A6794A" w:rsidRPr="00D3550C">
        <w:instrText>":""}],"</w:instrText>
      </w:r>
      <w:r w:rsidR="00A6794A">
        <w:rPr>
          <w:lang w:val="en-US"/>
        </w:rPr>
        <w:instrText>container</w:instrText>
      </w:r>
      <w:r w:rsidR="00A6794A" w:rsidRPr="00D3550C">
        <w:instrText>-</w:instrText>
      </w:r>
      <w:r w:rsidR="00A6794A">
        <w:rPr>
          <w:lang w:val="en-US"/>
        </w:rPr>
        <w:instrText>title</w:instrText>
      </w:r>
      <w:r w:rsidR="00A6794A" w:rsidRPr="00D3550C">
        <w:instrText>":"</w:instrText>
      </w:r>
      <w:r w:rsidR="00A6794A">
        <w:rPr>
          <w:lang w:val="en-US"/>
        </w:rPr>
        <w:instrText>Journal</w:instrText>
      </w:r>
      <w:r w:rsidR="00A6794A" w:rsidRPr="00D3550C">
        <w:instrText xml:space="preserve"> </w:instrText>
      </w:r>
      <w:r w:rsidR="00A6794A">
        <w:rPr>
          <w:lang w:val="en-US"/>
        </w:rPr>
        <w:instrText>of</w:instrText>
      </w:r>
      <w:r w:rsidR="00A6794A" w:rsidRPr="00D3550C">
        <w:instrText xml:space="preserve"> </w:instrText>
      </w:r>
      <w:r w:rsidR="00A6794A">
        <w:rPr>
          <w:lang w:val="en-US"/>
        </w:rPr>
        <w:instrText>the</w:instrText>
      </w:r>
      <w:r w:rsidR="00A6794A" w:rsidRPr="00D3550C">
        <w:instrText xml:space="preserve"> </w:instrText>
      </w:r>
      <w:r w:rsidR="00A6794A">
        <w:rPr>
          <w:lang w:val="en-US"/>
        </w:rPr>
        <w:instrText>advanced</w:instrText>
      </w:r>
      <w:r w:rsidR="00A6794A" w:rsidRPr="00D3550C">
        <w:instrText xml:space="preserve"> </w:instrText>
      </w:r>
      <w:r w:rsidR="00A6794A">
        <w:rPr>
          <w:lang w:val="en-US"/>
        </w:rPr>
        <w:instrText>practitioner</w:instrText>
      </w:r>
      <w:r w:rsidR="00A6794A" w:rsidRPr="00D3550C">
        <w:instrText xml:space="preserve"> </w:instrText>
      </w:r>
      <w:r w:rsidR="00A6794A">
        <w:rPr>
          <w:lang w:val="en-US"/>
        </w:rPr>
        <w:instrText>in</w:instrText>
      </w:r>
      <w:r w:rsidR="00A6794A" w:rsidRPr="00D3550C">
        <w:instrText xml:space="preserve"> </w:instrText>
      </w:r>
      <w:r w:rsidR="00A6794A">
        <w:rPr>
          <w:lang w:val="en-US"/>
        </w:rPr>
        <w:instrText>oncology</w:instrText>
      </w:r>
      <w:r w:rsidR="00A6794A" w:rsidRPr="00D3550C">
        <w:instrText>","</w:instrText>
      </w:r>
      <w:r w:rsidR="00A6794A">
        <w:rPr>
          <w:lang w:val="en-US"/>
        </w:rPr>
        <w:instrText>id</w:instrText>
      </w:r>
      <w:r w:rsidR="00A6794A" w:rsidRPr="00D3550C">
        <w:instrText>":"</w:instrText>
      </w:r>
      <w:r w:rsidR="00A6794A">
        <w:rPr>
          <w:lang w:val="en-US"/>
        </w:rPr>
        <w:instrText>ITEM</w:instrText>
      </w:r>
      <w:r w:rsidR="00A6794A" w:rsidRPr="00D3550C">
        <w:instrText>-1","</w:instrText>
      </w:r>
      <w:r w:rsidR="00A6794A">
        <w:rPr>
          <w:lang w:val="en-US"/>
        </w:rPr>
        <w:instrText>issue</w:instrText>
      </w:r>
      <w:r w:rsidR="00A6794A" w:rsidRPr="00D3550C">
        <w:instrText>":"5","</w:instrText>
      </w:r>
      <w:r w:rsidR="00A6794A">
        <w:rPr>
          <w:lang w:val="en-US"/>
        </w:rPr>
        <w:instrText>issued</w:instrText>
      </w:r>
      <w:r w:rsidR="00A6794A" w:rsidRPr="00D3550C">
        <w:instrText>":{"</w:instrText>
      </w:r>
      <w:r w:rsidR="00A6794A">
        <w:rPr>
          <w:lang w:val="en-US"/>
        </w:rPr>
        <w:instrText>date</w:instrText>
      </w:r>
      <w:r w:rsidR="00A6794A" w:rsidRPr="00D3550C">
        <w:instrText>-</w:instrText>
      </w:r>
      <w:r w:rsidR="00A6794A">
        <w:rPr>
          <w:lang w:val="en-US"/>
        </w:rPr>
        <w:instrText>parts</w:instrText>
      </w:r>
      <w:r w:rsidR="00A6794A" w:rsidRPr="00D3550C">
        <w:instrText>":[["2018"]]},"</w:instrText>
      </w:r>
      <w:r w:rsidR="00A6794A">
        <w:rPr>
          <w:lang w:val="en-US"/>
        </w:rPr>
        <w:instrText>page</w:instrText>
      </w:r>
      <w:r w:rsidR="00A6794A" w:rsidRPr="00D3550C">
        <w:instrText>":"530-534","</w:instrText>
      </w:r>
      <w:r w:rsidR="00A6794A">
        <w:rPr>
          <w:lang w:val="en-US"/>
        </w:rPr>
        <w:instrText>publisher</w:instrText>
      </w:r>
      <w:r w:rsidR="00A6794A" w:rsidRPr="00D3550C">
        <w:instrText>":"</w:instrText>
      </w:r>
      <w:r w:rsidR="00A6794A">
        <w:rPr>
          <w:lang w:val="en-US"/>
        </w:rPr>
        <w:instrText>Harborside</w:instrText>
      </w:r>
      <w:r w:rsidR="00A6794A" w:rsidRPr="00D3550C">
        <w:instrText xml:space="preserve"> </w:instrText>
      </w:r>
      <w:r w:rsidR="00A6794A">
        <w:rPr>
          <w:lang w:val="en-US"/>
        </w:rPr>
        <w:instrText>Press</w:instrText>
      </w:r>
      <w:r w:rsidR="00A6794A" w:rsidRPr="00D3550C">
        <w:instrText>","</w:instrText>
      </w:r>
      <w:r w:rsidR="00A6794A">
        <w:rPr>
          <w:lang w:val="en-US"/>
        </w:rPr>
        <w:instrText>title</w:instrText>
      </w:r>
      <w:r w:rsidR="00A6794A" w:rsidRPr="00D3550C">
        <w:instrText>":"</w:instrText>
      </w:r>
      <w:r w:rsidR="00A6794A">
        <w:rPr>
          <w:lang w:val="en-US"/>
        </w:rPr>
        <w:instrText>Subcutaneous</w:instrText>
      </w:r>
      <w:r w:rsidR="00A6794A" w:rsidRPr="00D3550C">
        <w:instrText xml:space="preserve"> </w:instrText>
      </w:r>
      <w:r w:rsidR="00A6794A">
        <w:rPr>
          <w:lang w:val="en-US"/>
        </w:rPr>
        <w:instrText>Rituximab</w:instrText>
      </w:r>
      <w:r w:rsidR="00A6794A" w:rsidRPr="00D3550C">
        <w:instrText xml:space="preserve"> </w:instrText>
      </w:r>
      <w:r w:rsidR="00A6794A">
        <w:rPr>
          <w:lang w:val="en-US"/>
        </w:rPr>
        <w:instrText>in</w:instrText>
      </w:r>
      <w:r w:rsidR="00A6794A" w:rsidRPr="00D3550C">
        <w:instrText xml:space="preserve"> </w:instrText>
      </w:r>
      <w:r w:rsidR="00A6794A">
        <w:rPr>
          <w:lang w:val="en-US"/>
        </w:rPr>
        <w:instrText>Follicular</w:instrText>
      </w:r>
      <w:r w:rsidR="00A6794A" w:rsidRPr="00D3550C">
        <w:instrText xml:space="preserve"> </w:instrText>
      </w:r>
      <w:r w:rsidR="00A6794A">
        <w:rPr>
          <w:lang w:val="en-US"/>
        </w:rPr>
        <w:instrText>Lymphoma</w:instrText>
      </w:r>
      <w:r w:rsidR="00A6794A" w:rsidRPr="00D3550C">
        <w:instrText xml:space="preserve">, </w:instrText>
      </w:r>
      <w:r w:rsidR="00A6794A">
        <w:rPr>
          <w:lang w:val="en-US"/>
        </w:rPr>
        <w:instrText>Chronic</w:instrText>
      </w:r>
      <w:r w:rsidR="00A6794A" w:rsidRPr="00D3550C">
        <w:instrText xml:space="preserve"> </w:instrText>
      </w:r>
      <w:r w:rsidR="00A6794A">
        <w:rPr>
          <w:lang w:val="en-US"/>
        </w:rPr>
        <w:instrText>Lymphocytic</w:instrText>
      </w:r>
      <w:r w:rsidR="00A6794A" w:rsidRPr="00D3550C">
        <w:instrText xml:space="preserve"> </w:instrText>
      </w:r>
      <w:r w:rsidR="00A6794A">
        <w:rPr>
          <w:lang w:val="en-US"/>
        </w:rPr>
        <w:instrText>Leukemia</w:instrText>
      </w:r>
      <w:r w:rsidR="00A6794A" w:rsidRPr="00D3550C">
        <w:instrText xml:space="preserve">, </w:instrText>
      </w:r>
      <w:r w:rsidR="00A6794A">
        <w:rPr>
          <w:lang w:val="en-US"/>
        </w:rPr>
        <w:instrText>and</w:instrText>
      </w:r>
      <w:r w:rsidR="00A6794A" w:rsidRPr="00D3550C">
        <w:instrText xml:space="preserve"> </w:instrText>
      </w:r>
      <w:r w:rsidR="00A6794A">
        <w:rPr>
          <w:lang w:val="en-US"/>
        </w:rPr>
        <w:instrText>Diffuse</w:instrText>
      </w:r>
      <w:r w:rsidR="00A6794A" w:rsidRPr="00D3550C">
        <w:instrText xml:space="preserve"> </w:instrText>
      </w:r>
      <w:r w:rsidR="00A6794A">
        <w:rPr>
          <w:lang w:val="en-US"/>
        </w:rPr>
        <w:instrText>Large</w:instrText>
      </w:r>
      <w:r w:rsidR="00A6794A" w:rsidRPr="00D3550C">
        <w:instrText xml:space="preserve"> </w:instrText>
      </w:r>
      <w:r w:rsidR="00A6794A">
        <w:rPr>
          <w:lang w:val="en-US"/>
        </w:rPr>
        <w:instrText>B</w:instrText>
      </w:r>
      <w:r w:rsidR="00A6794A" w:rsidRPr="00D3550C">
        <w:instrText>-</w:instrText>
      </w:r>
      <w:r w:rsidR="00A6794A">
        <w:rPr>
          <w:lang w:val="en-US"/>
        </w:rPr>
        <w:instrText>Cell</w:instrText>
      </w:r>
      <w:r w:rsidR="00A6794A" w:rsidRPr="00D3550C">
        <w:instrText xml:space="preserve"> </w:instrText>
      </w:r>
      <w:r w:rsidR="00A6794A">
        <w:rPr>
          <w:lang w:val="en-US"/>
        </w:rPr>
        <w:instrText>Lymphoma</w:instrText>
      </w:r>
      <w:r w:rsidR="00A6794A" w:rsidRPr="00D3550C">
        <w:instrText>.","</w:instrText>
      </w:r>
      <w:r w:rsidR="00A6794A">
        <w:rPr>
          <w:lang w:val="en-US"/>
        </w:rPr>
        <w:instrText>type</w:instrText>
      </w:r>
      <w:r w:rsidR="00A6794A" w:rsidRPr="00D3550C">
        <w:instrText>":"</w:instrText>
      </w:r>
      <w:r w:rsidR="00A6794A">
        <w:rPr>
          <w:lang w:val="en-US"/>
        </w:rPr>
        <w:instrText>article</w:instrText>
      </w:r>
      <w:r w:rsidR="00A6794A" w:rsidRPr="00D3550C">
        <w:instrText>-</w:instrText>
      </w:r>
      <w:r w:rsidR="00A6794A">
        <w:rPr>
          <w:lang w:val="en-US"/>
        </w:rPr>
        <w:instrText>journal</w:instrText>
      </w:r>
      <w:r w:rsidR="00A6794A" w:rsidRPr="00D3550C">
        <w:instrText>","</w:instrText>
      </w:r>
      <w:r w:rsidR="00A6794A">
        <w:rPr>
          <w:lang w:val="en-US"/>
        </w:rPr>
        <w:instrText>volume</w:instrText>
      </w:r>
      <w:r w:rsidR="00A6794A" w:rsidRPr="00D3550C">
        <w:instrText>":"9"},"</w:instrText>
      </w:r>
      <w:r w:rsidR="00A6794A">
        <w:rPr>
          <w:lang w:val="en-US"/>
        </w:rPr>
        <w:instrText>uris</w:instrText>
      </w:r>
      <w:r w:rsidR="00A6794A" w:rsidRPr="00D3550C">
        <w:instrText>":["</w:instrText>
      </w:r>
      <w:r w:rsidR="00A6794A">
        <w:rPr>
          <w:lang w:val="en-US"/>
        </w:rPr>
        <w:instrText>http</w:instrText>
      </w:r>
      <w:r w:rsidR="00A6794A" w:rsidRPr="00D3550C">
        <w:instrText>://</w:instrText>
      </w:r>
      <w:r w:rsidR="00A6794A">
        <w:rPr>
          <w:lang w:val="en-US"/>
        </w:rPr>
        <w:instrText>www</w:instrText>
      </w:r>
      <w:r w:rsidR="00A6794A" w:rsidRPr="00D3550C">
        <w:instrText>.</w:instrText>
      </w:r>
      <w:r w:rsidR="00A6794A">
        <w:rPr>
          <w:lang w:val="en-US"/>
        </w:rPr>
        <w:instrText>mendeley</w:instrText>
      </w:r>
      <w:r w:rsidR="00A6794A" w:rsidRPr="00D3550C">
        <w:instrText>.</w:instrText>
      </w:r>
      <w:r w:rsidR="00A6794A">
        <w:rPr>
          <w:lang w:val="en-US"/>
        </w:rPr>
        <w:instrText>com</w:instrText>
      </w:r>
      <w:r w:rsidR="00A6794A" w:rsidRPr="00D3550C">
        <w:instrText>/</w:instrText>
      </w:r>
      <w:r w:rsidR="00A6794A">
        <w:rPr>
          <w:lang w:val="en-US"/>
        </w:rPr>
        <w:instrText>documents</w:instrText>
      </w:r>
      <w:r w:rsidR="00A6794A" w:rsidRPr="00D3550C">
        <w:instrText>/?</w:instrText>
      </w:r>
      <w:r w:rsidR="00A6794A">
        <w:rPr>
          <w:lang w:val="en-US"/>
        </w:rPr>
        <w:instrText>uuid</w:instrText>
      </w:r>
      <w:r w:rsidR="00A6794A" w:rsidRPr="00D3550C">
        <w:instrText>=</w:instrText>
      </w:r>
      <w:r w:rsidR="00A6794A">
        <w:rPr>
          <w:lang w:val="en-US"/>
        </w:rPr>
        <w:instrText>fbb</w:instrText>
      </w:r>
      <w:r w:rsidR="00A6794A" w:rsidRPr="00D3550C">
        <w:instrText>0</w:instrText>
      </w:r>
      <w:r w:rsidR="00A6794A">
        <w:rPr>
          <w:lang w:val="en-US"/>
        </w:rPr>
        <w:instrText>b</w:instrText>
      </w:r>
      <w:r w:rsidR="00A6794A" w:rsidRPr="00D3550C">
        <w:instrText>8</w:instrText>
      </w:r>
      <w:r w:rsidR="00A6794A">
        <w:rPr>
          <w:lang w:val="en-US"/>
        </w:rPr>
        <w:instrText>f</w:instrText>
      </w:r>
      <w:r w:rsidR="00A6794A" w:rsidRPr="00D3550C">
        <w:instrText>4-6</w:instrText>
      </w:r>
      <w:r w:rsidR="00A6794A">
        <w:rPr>
          <w:lang w:val="en-US"/>
        </w:rPr>
        <w:instrText>b</w:instrText>
      </w:r>
      <w:r w:rsidR="00A6794A" w:rsidRPr="00D3550C">
        <w:instrText>58-3</w:instrText>
      </w:r>
      <w:r w:rsidR="00A6794A">
        <w:rPr>
          <w:lang w:val="en-US"/>
        </w:rPr>
        <w:instrText>a</w:instrText>
      </w:r>
      <w:r w:rsidR="00A6794A" w:rsidRPr="00D3550C">
        <w:instrText>10-</w:instrText>
      </w:r>
      <w:r w:rsidR="00A6794A">
        <w:rPr>
          <w:lang w:val="en-US"/>
        </w:rPr>
        <w:instrText>b</w:instrText>
      </w:r>
      <w:r w:rsidR="00A6794A" w:rsidRPr="00D3550C">
        <w:instrText>7</w:instrText>
      </w:r>
      <w:r w:rsidR="00A6794A">
        <w:rPr>
          <w:lang w:val="en-US"/>
        </w:rPr>
        <w:instrText>d</w:instrText>
      </w:r>
      <w:r w:rsidR="00A6794A" w:rsidRPr="00D3550C">
        <w:instrText>6-</w:instrText>
      </w:r>
      <w:r w:rsidR="00A6794A">
        <w:rPr>
          <w:lang w:val="en-US"/>
        </w:rPr>
        <w:instrText>af</w:instrText>
      </w:r>
      <w:r w:rsidR="00A6794A" w:rsidRPr="00D3550C">
        <w:instrText>3854030</w:instrText>
      </w:r>
      <w:r w:rsidR="00A6794A">
        <w:rPr>
          <w:lang w:val="en-US"/>
        </w:rPr>
        <w:instrText>be</w:instrText>
      </w:r>
      <w:r w:rsidR="00A6794A" w:rsidRPr="00D3550C">
        <w:instrText>8"]},{"</w:instrText>
      </w:r>
      <w:r w:rsidR="00A6794A">
        <w:rPr>
          <w:lang w:val="en-US"/>
        </w:rPr>
        <w:instrText>id</w:instrText>
      </w:r>
      <w:r w:rsidR="00A6794A" w:rsidRPr="00D3550C">
        <w:instrText>":"</w:instrText>
      </w:r>
      <w:r w:rsidR="00A6794A">
        <w:rPr>
          <w:lang w:val="en-US"/>
        </w:rPr>
        <w:instrText>ITEM</w:instrText>
      </w:r>
      <w:r w:rsidR="00A6794A" w:rsidRPr="00D3550C">
        <w:instrText>-2","</w:instrText>
      </w:r>
      <w:r w:rsidR="00A6794A">
        <w:rPr>
          <w:lang w:val="en-US"/>
        </w:rPr>
        <w:instrText>itemData</w:instrText>
      </w:r>
      <w:r w:rsidR="00A6794A" w:rsidRPr="00D3550C">
        <w:instrText>":{"</w:instrText>
      </w:r>
      <w:r w:rsidR="00A6794A">
        <w:rPr>
          <w:lang w:val="en-US"/>
        </w:rPr>
        <w:instrText>DOI</w:instrText>
      </w:r>
      <w:r w:rsidR="00A6794A" w:rsidRPr="00D3550C">
        <w:instrText>":"10.1007/</w:instrText>
      </w:r>
      <w:r w:rsidR="00A6794A">
        <w:rPr>
          <w:lang w:val="en-US"/>
        </w:rPr>
        <w:instrText>s</w:instrText>
      </w:r>
      <w:r w:rsidR="00A6794A" w:rsidRPr="00D3550C">
        <w:instrText>12325-017-0610-</w:instrText>
      </w:r>
      <w:r w:rsidR="00A6794A">
        <w:rPr>
          <w:lang w:val="en-US"/>
        </w:rPr>
        <w:instrText>z</w:instrText>
      </w:r>
      <w:r w:rsidR="00A6794A" w:rsidRPr="00D3550C">
        <w:instrText>","</w:instrText>
      </w:r>
      <w:r w:rsidR="00A6794A">
        <w:rPr>
          <w:lang w:val="en-US"/>
        </w:rPr>
        <w:instrText>ISSN</w:instrText>
      </w:r>
      <w:r w:rsidR="00A6794A" w:rsidRPr="00D3550C">
        <w:instrText>":"18658652","</w:instrText>
      </w:r>
      <w:r w:rsidR="00A6794A">
        <w:rPr>
          <w:lang w:val="en-US"/>
        </w:rPr>
        <w:instrText>abstract</w:instrText>
      </w:r>
      <w:r w:rsidR="00A6794A" w:rsidRPr="00D3550C">
        <w:instrText>":"</w:instrText>
      </w:r>
      <w:r w:rsidR="00A6794A">
        <w:rPr>
          <w:lang w:val="en-US"/>
        </w:rPr>
        <w:instrText>Abstract</w:instrText>
      </w:r>
      <w:r w:rsidR="00A6794A" w:rsidRPr="00D3550C">
        <w:instrText xml:space="preserve">: </w:instrText>
      </w:r>
      <w:r w:rsidR="00A6794A">
        <w:rPr>
          <w:lang w:val="en-US"/>
        </w:rPr>
        <w:instrText>Rituximab</w:instrText>
      </w:r>
      <w:r w:rsidR="00A6794A" w:rsidRPr="00D3550C">
        <w:instrText xml:space="preserve"> (</w:instrText>
      </w:r>
      <w:r w:rsidR="00A6794A">
        <w:rPr>
          <w:lang w:val="en-US"/>
        </w:rPr>
        <w:instrText>MabThera</w:instrText>
      </w:r>
      <w:r w:rsidR="00A6794A" w:rsidRPr="00D3550C">
        <w:instrText>®/</w:instrText>
      </w:r>
      <w:r w:rsidR="00A6794A">
        <w:rPr>
          <w:lang w:val="en-US"/>
        </w:rPr>
        <w:instrText>Rituxan</w:instrText>
      </w:r>
      <w:r w:rsidR="00A6794A" w:rsidRPr="00D3550C">
        <w:instrText xml:space="preserve">®), </w:instrText>
      </w:r>
      <w:r w:rsidR="00A6794A">
        <w:rPr>
          <w:lang w:val="en-US"/>
        </w:rPr>
        <w:instrText>a</w:instrText>
      </w:r>
      <w:r w:rsidR="00A6794A" w:rsidRPr="00AA43FB">
        <w:instrText xml:space="preserve"> </w:instrText>
      </w:r>
      <w:r w:rsidR="00A6794A">
        <w:rPr>
          <w:lang w:val="en-US"/>
        </w:rPr>
        <w:instrText>chimeric</w:instrText>
      </w:r>
      <w:r w:rsidR="00A6794A" w:rsidRPr="00AA43FB">
        <w:instrText xml:space="preserve"> </w:instrText>
      </w:r>
      <w:r w:rsidR="00A6794A">
        <w:rPr>
          <w:lang w:val="en-US"/>
        </w:rPr>
        <w:instrText>murine</w:instrText>
      </w:r>
      <w:r w:rsidR="00A6794A" w:rsidRPr="00AA43FB">
        <w:instrText>/</w:instrText>
      </w:r>
      <w:r w:rsidR="00A6794A">
        <w:rPr>
          <w:lang w:val="en-US"/>
        </w:rPr>
        <w:instrText>human</w:instrText>
      </w:r>
      <w:r w:rsidR="00A6794A" w:rsidRPr="00AA43FB">
        <w:instrText xml:space="preserve"> </w:instrText>
      </w:r>
      <w:r w:rsidR="00A6794A">
        <w:rPr>
          <w:lang w:val="en-US"/>
        </w:rPr>
        <w:instrText>monoclonal</w:instrText>
      </w:r>
      <w:r w:rsidR="00A6794A" w:rsidRPr="00AA43FB">
        <w:instrText xml:space="preserve"> </w:instrText>
      </w:r>
      <w:r w:rsidR="00A6794A">
        <w:rPr>
          <w:lang w:val="en-US"/>
        </w:rPr>
        <w:instrText>antibody</w:instrText>
      </w:r>
      <w:r w:rsidR="00A6794A" w:rsidRPr="00AA43FB">
        <w:instrText xml:space="preserve"> </w:instrText>
      </w:r>
      <w:r w:rsidR="00A6794A">
        <w:rPr>
          <w:lang w:val="en-US"/>
        </w:rPr>
        <w:instrText>that</w:instrText>
      </w:r>
      <w:r w:rsidR="00A6794A" w:rsidRPr="00AA43FB">
        <w:instrText xml:space="preserve"> </w:instrText>
      </w:r>
      <w:r w:rsidR="00A6794A">
        <w:rPr>
          <w:lang w:val="en-US"/>
        </w:rPr>
        <w:instrText>binds</w:instrText>
      </w:r>
      <w:r w:rsidR="00A6794A" w:rsidRPr="00AA43FB">
        <w:instrText xml:space="preserve"> </w:instrText>
      </w:r>
      <w:r w:rsidR="00A6794A">
        <w:rPr>
          <w:lang w:val="en-US"/>
        </w:rPr>
        <w:instrText>specifically</w:instrText>
      </w:r>
      <w:r w:rsidR="00A6794A" w:rsidRPr="00AA43FB">
        <w:instrText xml:space="preserve"> </w:instrText>
      </w:r>
      <w:r w:rsidR="00A6794A">
        <w:rPr>
          <w:lang w:val="en-US"/>
        </w:rPr>
        <w:instrText>to</w:instrText>
      </w:r>
      <w:r w:rsidR="00A6794A" w:rsidRPr="00AA43FB">
        <w:instrText xml:space="preserve"> </w:instrText>
      </w:r>
      <w:r w:rsidR="00A6794A">
        <w:rPr>
          <w:lang w:val="en-US"/>
        </w:rPr>
        <w:instrText>the</w:instrText>
      </w:r>
      <w:r w:rsidR="00A6794A" w:rsidRPr="00AA43FB">
        <w:instrText xml:space="preserve"> </w:instrText>
      </w:r>
      <w:r w:rsidR="00A6794A">
        <w:rPr>
          <w:lang w:val="en-US"/>
        </w:rPr>
        <w:instrText>transmembrane</w:instrText>
      </w:r>
      <w:r w:rsidR="00A6794A" w:rsidRPr="00AA43FB">
        <w:instrText xml:space="preserve"> </w:instrText>
      </w:r>
      <w:r w:rsidR="00A6794A">
        <w:rPr>
          <w:lang w:val="en-US"/>
        </w:rPr>
        <w:instrText>antigen</w:instrText>
      </w:r>
      <w:r w:rsidR="00A6794A" w:rsidRPr="00AA43FB">
        <w:instrText xml:space="preserve"> </w:instrText>
      </w:r>
      <w:r w:rsidR="00A6794A">
        <w:rPr>
          <w:lang w:val="en-US"/>
        </w:rPr>
        <w:instrText>CD</w:instrText>
      </w:r>
      <w:r w:rsidR="00A6794A" w:rsidRPr="00AA43FB">
        <w:instrText xml:space="preserve">20, </w:instrText>
      </w:r>
      <w:r w:rsidR="00A6794A">
        <w:rPr>
          <w:lang w:val="en-US"/>
        </w:rPr>
        <w:instrText>was</w:instrText>
      </w:r>
      <w:r w:rsidR="00A6794A" w:rsidRPr="00AA43FB">
        <w:instrText xml:space="preserve"> </w:instrText>
      </w:r>
      <w:r w:rsidR="00A6794A">
        <w:rPr>
          <w:lang w:val="en-US"/>
        </w:rPr>
        <w:instrText>the</w:instrText>
      </w:r>
      <w:r w:rsidR="00A6794A" w:rsidRPr="00AA43FB">
        <w:instrText xml:space="preserve"> </w:instrText>
      </w:r>
      <w:r w:rsidR="00A6794A">
        <w:rPr>
          <w:lang w:val="en-US"/>
        </w:rPr>
        <w:instrText>first</w:instrText>
      </w:r>
      <w:r w:rsidR="00A6794A" w:rsidRPr="00AA43FB">
        <w:instrText xml:space="preserve"> </w:instrText>
      </w:r>
      <w:r w:rsidR="00A6794A">
        <w:rPr>
          <w:lang w:val="en-US"/>
        </w:rPr>
        <w:instrText>therapeutic</w:instrText>
      </w:r>
      <w:r w:rsidR="00A6794A" w:rsidRPr="00AA43FB">
        <w:instrText xml:space="preserve"> </w:instrText>
      </w:r>
      <w:r w:rsidR="00A6794A">
        <w:rPr>
          <w:lang w:val="en-US"/>
        </w:rPr>
        <w:instrText>antibody</w:instrText>
      </w:r>
      <w:r w:rsidR="00A6794A" w:rsidRPr="00AA43FB">
        <w:instrText xml:space="preserve"> </w:instrText>
      </w:r>
      <w:r w:rsidR="00A6794A">
        <w:rPr>
          <w:lang w:val="en-US"/>
        </w:rPr>
        <w:instrText>to</w:instrText>
      </w:r>
      <w:r w:rsidR="00A6794A" w:rsidRPr="00AA43FB">
        <w:instrText xml:space="preserve"> </w:instrText>
      </w:r>
      <w:r w:rsidR="00A6794A">
        <w:rPr>
          <w:lang w:val="en-US"/>
        </w:rPr>
        <w:instrText>enter</w:instrText>
      </w:r>
      <w:r w:rsidR="00A6794A" w:rsidRPr="00AA43FB">
        <w:instrText xml:space="preserve"> </w:instrText>
      </w:r>
      <w:r w:rsidR="00A6794A">
        <w:rPr>
          <w:lang w:val="en-US"/>
        </w:rPr>
        <w:instrText>clinical</w:instrText>
      </w:r>
      <w:r w:rsidR="00A6794A" w:rsidRPr="00AA43FB">
        <w:instrText xml:space="preserve"> </w:instrText>
      </w:r>
      <w:r w:rsidR="00A6794A">
        <w:rPr>
          <w:lang w:val="en-US"/>
        </w:rPr>
        <w:instrText>practice</w:instrText>
      </w:r>
      <w:r w:rsidR="00A6794A" w:rsidRPr="00AA43FB">
        <w:instrText xml:space="preserve"> </w:instrText>
      </w:r>
      <w:r w:rsidR="00A6794A">
        <w:rPr>
          <w:lang w:val="en-US"/>
        </w:rPr>
        <w:instrText>for</w:instrText>
      </w:r>
      <w:r w:rsidR="00A6794A" w:rsidRPr="00AA43FB">
        <w:instrText xml:space="preserve"> </w:instrText>
      </w:r>
      <w:r w:rsidR="00A6794A">
        <w:rPr>
          <w:lang w:val="en-US"/>
        </w:rPr>
        <w:instrText>the</w:instrText>
      </w:r>
      <w:r w:rsidR="00A6794A" w:rsidRPr="00AA43FB">
        <w:instrText xml:space="preserve"> </w:instrText>
      </w:r>
      <w:r w:rsidR="00A6794A">
        <w:rPr>
          <w:lang w:val="en-US"/>
        </w:rPr>
        <w:instrText>treatment</w:instrText>
      </w:r>
      <w:r w:rsidR="00A6794A" w:rsidRPr="00AA43FB">
        <w:instrText xml:space="preserve"> </w:instrText>
      </w:r>
      <w:r w:rsidR="00A6794A">
        <w:rPr>
          <w:lang w:val="en-US"/>
        </w:rPr>
        <w:instrText>of</w:instrText>
      </w:r>
      <w:r w:rsidR="00A6794A" w:rsidRPr="00AA43FB">
        <w:instrText xml:space="preserve"> </w:instrText>
      </w:r>
      <w:r w:rsidR="00A6794A">
        <w:rPr>
          <w:lang w:val="en-US"/>
        </w:rPr>
        <w:instrText>cancer</w:instrText>
      </w:r>
      <w:r w:rsidR="00A6794A" w:rsidRPr="00AA43FB">
        <w:instrText xml:space="preserve">. </w:instrText>
      </w:r>
      <w:r w:rsidR="00A6794A">
        <w:rPr>
          <w:lang w:val="en-US"/>
        </w:rPr>
        <w:instrText>As</w:instrText>
      </w:r>
      <w:r w:rsidR="00A6794A" w:rsidRPr="00AA43FB">
        <w:instrText xml:space="preserve"> </w:instrText>
      </w:r>
      <w:r w:rsidR="00A6794A">
        <w:rPr>
          <w:lang w:val="en-US"/>
        </w:rPr>
        <w:instrText>monotherapy</w:instrText>
      </w:r>
      <w:r w:rsidR="00A6794A" w:rsidRPr="00AA43FB">
        <w:instrText xml:space="preserve"> </w:instrText>
      </w:r>
      <w:r w:rsidR="00A6794A">
        <w:rPr>
          <w:lang w:val="en-US"/>
        </w:rPr>
        <w:instrText>and</w:instrText>
      </w:r>
      <w:r w:rsidR="00A6794A" w:rsidRPr="00AA43FB">
        <w:instrText xml:space="preserve"> </w:instrText>
      </w:r>
      <w:r w:rsidR="00A6794A">
        <w:rPr>
          <w:lang w:val="en-US"/>
        </w:rPr>
        <w:instrText>in</w:instrText>
      </w:r>
      <w:r w:rsidR="00A6794A" w:rsidRPr="00AA43FB">
        <w:instrText xml:space="preserve"> </w:instrText>
      </w:r>
      <w:r w:rsidR="00A6794A">
        <w:rPr>
          <w:lang w:val="en-US"/>
        </w:rPr>
        <w:instrText>combination</w:instrText>
      </w:r>
      <w:r w:rsidR="00A6794A" w:rsidRPr="00AA43FB">
        <w:instrText xml:space="preserve"> </w:instrText>
      </w:r>
      <w:r w:rsidR="00A6794A">
        <w:rPr>
          <w:lang w:val="en-US"/>
        </w:rPr>
        <w:instrText>with</w:instrText>
      </w:r>
      <w:r w:rsidR="00A6794A" w:rsidRPr="00AA43FB">
        <w:instrText xml:space="preserve"> </w:instrText>
      </w:r>
      <w:r w:rsidR="00A6794A">
        <w:rPr>
          <w:lang w:val="en-US"/>
        </w:rPr>
        <w:instrText>chemotherapy</w:instrText>
      </w:r>
      <w:r w:rsidR="00A6794A" w:rsidRPr="00AA43FB">
        <w:instrText xml:space="preserve">, </w:instrText>
      </w:r>
      <w:r w:rsidR="00A6794A">
        <w:rPr>
          <w:lang w:val="en-US"/>
        </w:rPr>
        <w:instrText>rituximab</w:instrText>
      </w:r>
      <w:r w:rsidR="00A6794A" w:rsidRPr="00AA43FB">
        <w:instrText xml:space="preserve"> </w:instrText>
      </w:r>
      <w:r w:rsidR="00A6794A">
        <w:rPr>
          <w:lang w:val="en-US"/>
        </w:rPr>
        <w:instrText>has</w:instrText>
      </w:r>
      <w:r w:rsidR="00A6794A" w:rsidRPr="00AA43FB">
        <w:instrText xml:space="preserve"> </w:instrText>
      </w:r>
      <w:r w:rsidR="00A6794A">
        <w:rPr>
          <w:lang w:val="en-US"/>
        </w:rPr>
        <w:instrText>been</w:instrText>
      </w:r>
      <w:r w:rsidR="00A6794A" w:rsidRPr="00AA43FB">
        <w:instrText xml:space="preserve"> </w:instrText>
      </w:r>
      <w:r w:rsidR="00A6794A">
        <w:rPr>
          <w:lang w:val="en-US"/>
        </w:rPr>
        <w:instrText>shown</w:instrText>
      </w:r>
      <w:r w:rsidR="00A6794A" w:rsidRPr="00AA43FB">
        <w:instrText xml:space="preserve"> </w:instrText>
      </w:r>
      <w:r w:rsidR="00A6794A">
        <w:rPr>
          <w:lang w:val="en-US"/>
        </w:rPr>
        <w:instrText>to</w:instrText>
      </w:r>
      <w:r w:rsidR="00A6794A" w:rsidRPr="00AA43FB">
        <w:instrText xml:space="preserve"> </w:instrText>
      </w:r>
      <w:r w:rsidR="00A6794A">
        <w:rPr>
          <w:lang w:val="en-US"/>
        </w:rPr>
        <w:instrText>prolong</w:instrText>
      </w:r>
      <w:r w:rsidR="00A6794A" w:rsidRPr="00AA43FB">
        <w:instrText xml:space="preserve"> </w:instrText>
      </w:r>
      <w:r w:rsidR="00A6794A">
        <w:rPr>
          <w:lang w:val="en-US"/>
        </w:rPr>
        <w:instrText>progression</w:instrText>
      </w:r>
      <w:r w:rsidR="00A6794A" w:rsidRPr="00AA43FB">
        <w:instrText>-</w:instrText>
      </w:r>
      <w:r w:rsidR="00A6794A">
        <w:rPr>
          <w:lang w:val="en-US"/>
        </w:rPr>
        <w:instrText>free</w:instrText>
      </w:r>
      <w:r w:rsidR="00A6794A" w:rsidRPr="00AA43FB">
        <w:instrText xml:space="preserve"> </w:instrText>
      </w:r>
      <w:r w:rsidR="00A6794A">
        <w:rPr>
          <w:lang w:val="en-US"/>
        </w:rPr>
        <w:instrText>survival</w:instrText>
      </w:r>
      <w:r w:rsidR="00A6794A" w:rsidRPr="00AA43FB">
        <w:instrText xml:space="preserve"> </w:instrText>
      </w:r>
      <w:r w:rsidR="00A6794A">
        <w:rPr>
          <w:lang w:val="en-US"/>
        </w:rPr>
        <w:instrText>and</w:instrText>
      </w:r>
      <w:r w:rsidR="00A6794A" w:rsidRPr="00AA43FB">
        <w:instrText xml:space="preserve">, </w:instrText>
      </w:r>
      <w:r w:rsidR="00A6794A">
        <w:rPr>
          <w:lang w:val="en-US"/>
        </w:rPr>
        <w:instrText>in</w:instrText>
      </w:r>
      <w:r w:rsidR="00A6794A" w:rsidRPr="00AA43FB">
        <w:instrText xml:space="preserve"> </w:instrText>
      </w:r>
      <w:r w:rsidR="00A6794A">
        <w:rPr>
          <w:lang w:val="en-US"/>
        </w:rPr>
        <w:instrText>some</w:instrText>
      </w:r>
      <w:r w:rsidR="00A6794A" w:rsidRPr="00AA43FB">
        <w:instrText xml:space="preserve"> </w:instrText>
      </w:r>
      <w:r w:rsidR="00A6794A">
        <w:rPr>
          <w:lang w:val="en-US"/>
        </w:rPr>
        <w:instrText>indications</w:instrText>
      </w:r>
      <w:r w:rsidR="00A6794A" w:rsidRPr="00AA43FB">
        <w:instrText xml:space="preserve"> </w:instrText>
      </w:r>
      <w:r w:rsidR="00A6794A">
        <w:rPr>
          <w:lang w:val="en-US"/>
        </w:rPr>
        <w:instrText>overall</w:instrText>
      </w:r>
      <w:r w:rsidR="00A6794A" w:rsidRPr="00AA43FB">
        <w:instrText xml:space="preserve"> </w:instrText>
      </w:r>
      <w:r w:rsidR="00A6794A">
        <w:rPr>
          <w:lang w:val="en-US"/>
        </w:rPr>
        <w:instrText>survival</w:instrText>
      </w:r>
      <w:r w:rsidR="00A6794A" w:rsidRPr="00AA43FB">
        <w:instrText xml:space="preserve">, </w:instrText>
      </w:r>
      <w:r w:rsidR="00A6794A">
        <w:rPr>
          <w:lang w:val="en-US"/>
        </w:rPr>
        <w:instrText>in</w:instrText>
      </w:r>
      <w:r w:rsidR="00A6794A" w:rsidRPr="00AA43FB">
        <w:instrText xml:space="preserve"> </w:instrText>
      </w:r>
      <w:r w:rsidR="00A6794A">
        <w:rPr>
          <w:lang w:val="en-US"/>
        </w:rPr>
        <w:instrText>patients</w:instrText>
      </w:r>
      <w:r w:rsidR="00A6794A" w:rsidRPr="00AA43FB">
        <w:instrText xml:space="preserve"> </w:instrText>
      </w:r>
      <w:r w:rsidR="00A6794A">
        <w:rPr>
          <w:lang w:val="en-US"/>
        </w:rPr>
        <w:instrText>with</w:instrText>
      </w:r>
      <w:r w:rsidR="00A6794A" w:rsidRPr="00AA43FB">
        <w:instrText xml:space="preserve"> </w:instrText>
      </w:r>
      <w:r w:rsidR="00A6794A">
        <w:rPr>
          <w:lang w:val="en-US"/>
        </w:rPr>
        <w:instrText>various</w:instrText>
      </w:r>
      <w:r w:rsidR="00A6794A" w:rsidRPr="00AA43FB">
        <w:instrText xml:space="preserve"> </w:instrText>
      </w:r>
      <w:r w:rsidR="00A6794A">
        <w:rPr>
          <w:lang w:val="en-US"/>
        </w:rPr>
        <w:instrText>B</w:instrText>
      </w:r>
      <w:r w:rsidR="00A6794A" w:rsidRPr="00AA43FB">
        <w:instrText>-</w:instrText>
      </w:r>
      <w:r w:rsidR="00A6794A">
        <w:rPr>
          <w:lang w:val="en-US"/>
        </w:rPr>
        <w:instrText>cell</w:instrText>
      </w:r>
      <w:r w:rsidR="00A6794A" w:rsidRPr="00AA43FB">
        <w:instrText xml:space="preserve"> </w:instrText>
      </w:r>
      <w:r w:rsidR="00A6794A">
        <w:rPr>
          <w:lang w:val="en-US"/>
        </w:rPr>
        <w:instrText>malignancies</w:instrText>
      </w:r>
      <w:r w:rsidR="00A6794A" w:rsidRPr="00AA43FB">
        <w:instrText xml:space="preserve">, </w:instrText>
      </w:r>
      <w:r w:rsidR="00A6794A">
        <w:rPr>
          <w:lang w:val="en-US"/>
        </w:rPr>
        <w:instrText>while</w:instrText>
      </w:r>
      <w:r w:rsidR="00A6794A" w:rsidRPr="00AA43FB">
        <w:instrText xml:space="preserve"> </w:instrText>
      </w:r>
      <w:r w:rsidR="00A6794A">
        <w:rPr>
          <w:lang w:val="en-US"/>
        </w:rPr>
        <w:instrText>having</w:instrText>
      </w:r>
      <w:r w:rsidR="00A6794A" w:rsidRPr="00AA43FB">
        <w:instrText xml:space="preserve"> </w:instrText>
      </w:r>
      <w:r w:rsidR="00A6794A">
        <w:rPr>
          <w:lang w:val="en-US"/>
        </w:rPr>
        <w:instrText>a</w:instrText>
      </w:r>
      <w:r w:rsidR="00A6794A" w:rsidRPr="00AA43FB">
        <w:instrText xml:space="preserve"> </w:instrText>
      </w:r>
      <w:r w:rsidR="00A6794A">
        <w:rPr>
          <w:lang w:val="en-US"/>
        </w:rPr>
        <w:instrText>well</w:instrText>
      </w:r>
      <w:r w:rsidR="00A6794A" w:rsidRPr="00AA43FB">
        <w:instrText>-</w:instrText>
      </w:r>
      <w:r w:rsidR="00A6794A">
        <w:rPr>
          <w:lang w:val="en-US"/>
        </w:rPr>
        <w:instrText>established</w:instrText>
      </w:r>
      <w:r w:rsidR="00A6794A" w:rsidRPr="00AA43FB">
        <w:instrText xml:space="preserve"> </w:instrText>
      </w:r>
      <w:r w:rsidR="00A6794A">
        <w:rPr>
          <w:lang w:val="en-US"/>
        </w:rPr>
        <w:instrText>and</w:instrText>
      </w:r>
      <w:r w:rsidR="00A6794A" w:rsidRPr="00AA43FB">
        <w:instrText xml:space="preserve"> </w:instrText>
      </w:r>
      <w:r w:rsidR="00A6794A">
        <w:rPr>
          <w:lang w:val="en-US"/>
        </w:rPr>
        <w:instrText>manageable</w:instrText>
      </w:r>
      <w:r w:rsidR="00A6794A" w:rsidRPr="00AA43FB">
        <w:instrText xml:space="preserve"> </w:instrText>
      </w:r>
      <w:r w:rsidR="00A6794A">
        <w:rPr>
          <w:lang w:val="en-US"/>
        </w:rPr>
        <w:instrText>safety</w:instrText>
      </w:r>
      <w:r w:rsidR="00A6794A" w:rsidRPr="00AA43FB">
        <w:instrText xml:space="preserve"> </w:instrText>
      </w:r>
      <w:r w:rsidR="00A6794A">
        <w:rPr>
          <w:lang w:val="en-US"/>
        </w:rPr>
        <w:instrText>profile</w:instrText>
      </w:r>
      <w:r w:rsidR="00A6794A" w:rsidRPr="00AA43FB">
        <w:instrText xml:space="preserve"> </w:instrText>
      </w:r>
      <w:r w:rsidR="00A6794A">
        <w:rPr>
          <w:lang w:val="en-US"/>
        </w:rPr>
        <w:instrText>and</w:instrText>
      </w:r>
      <w:r w:rsidR="00A6794A" w:rsidRPr="00AA43FB">
        <w:instrText xml:space="preserve"> </w:instrText>
      </w:r>
      <w:r w:rsidR="00A6794A">
        <w:rPr>
          <w:lang w:val="en-US"/>
        </w:rPr>
        <w:instrText>a</w:instrText>
      </w:r>
      <w:r w:rsidR="00A6794A" w:rsidRPr="00AA43FB">
        <w:instrText xml:space="preserve"> </w:instrText>
      </w:r>
      <w:r w:rsidR="00A6794A">
        <w:rPr>
          <w:lang w:val="en-US"/>
        </w:rPr>
        <w:instrText>wide</w:instrText>
      </w:r>
      <w:r w:rsidR="00A6794A" w:rsidRPr="00AA43FB">
        <w:instrText xml:space="preserve"> </w:instrText>
      </w:r>
      <w:r w:rsidR="00A6794A">
        <w:rPr>
          <w:lang w:val="en-US"/>
        </w:rPr>
        <w:instrText>therapeutic</w:instrText>
      </w:r>
      <w:r w:rsidR="00A6794A" w:rsidRPr="00AA43FB">
        <w:instrText xml:space="preserve"> </w:instrText>
      </w:r>
      <w:r w:rsidR="00A6794A">
        <w:rPr>
          <w:lang w:val="en-US"/>
        </w:rPr>
        <w:instrText>window</w:instrText>
      </w:r>
      <w:r w:rsidR="00A6794A" w:rsidRPr="00AA43FB">
        <w:instrText xml:space="preserve">. </w:instrText>
      </w:r>
      <w:r w:rsidR="00A6794A">
        <w:rPr>
          <w:lang w:val="en-US"/>
        </w:rPr>
        <w:instrText>As</w:instrText>
      </w:r>
      <w:r w:rsidR="00A6794A" w:rsidRPr="00AA43FB">
        <w:instrText xml:space="preserve"> </w:instrText>
      </w:r>
      <w:r w:rsidR="00A6794A">
        <w:rPr>
          <w:lang w:val="en-US"/>
        </w:rPr>
        <w:instrText>a</w:instrText>
      </w:r>
      <w:r w:rsidR="00A6794A" w:rsidRPr="00AA43FB">
        <w:instrText xml:space="preserve"> </w:instrText>
      </w:r>
      <w:r w:rsidR="00A6794A">
        <w:rPr>
          <w:lang w:val="en-US"/>
        </w:rPr>
        <w:instrText>result</w:instrText>
      </w:r>
      <w:r w:rsidR="00A6794A" w:rsidRPr="00AA43FB">
        <w:instrText xml:space="preserve">, </w:instrText>
      </w:r>
      <w:r w:rsidR="00A6794A">
        <w:rPr>
          <w:lang w:val="en-US"/>
        </w:rPr>
        <w:instrText>rituximab</w:instrText>
      </w:r>
      <w:r w:rsidR="00A6794A" w:rsidRPr="00AA43FB">
        <w:instrText xml:space="preserve"> </w:instrText>
      </w:r>
      <w:r w:rsidR="00A6794A">
        <w:rPr>
          <w:lang w:val="en-US"/>
        </w:rPr>
        <w:instrText>is</w:instrText>
      </w:r>
      <w:r w:rsidR="00A6794A" w:rsidRPr="00AA43FB">
        <w:instrText xml:space="preserve"> </w:instrText>
      </w:r>
      <w:r w:rsidR="00A6794A">
        <w:rPr>
          <w:lang w:val="en-US"/>
        </w:rPr>
        <w:instrText>considered</w:instrText>
      </w:r>
      <w:r w:rsidR="00A6794A" w:rsidRPr="00AA43FB">
        <w:instrText xml:space="preserve"> </w:instrText>
      </w:r>
      <w:r w:rsidR="00A6794A">
        <w:rPr>
          <w:lang w:val="en-US"/>
        </w:rPr>
        <w:instrText>to</w:instrText>
      </w:r>
      <w:r w:rsidR="00A6794A" w:rsidRPr="00AA43FB">
        <w:instrText xml:space="preserve"> </w:instrText>
      </w:r>
      <w:r w:rsidR="00A6794A">
        <w:rPr>
          <w:lang w:val="en-US"/>
        </w:rPr>
        <w:instrText>have</w:instrText>
      </w:r>
      <w:r w:rsidR="00A6794A" w:rsidRPr="00AA43FB">
        <w:instrText xml:space="preserve"> </w:instrText>
      </w:r>
      <w:r w:rsidR="00A6794A">
        <w:rPr>
          <w:lang w:val="en-US"/>
        </w:rPr>
        <w:instrText>revolutionized</w:instrText>
      </w:r>
      <w:r w:rsidR="00A6794A" w:rsidRPr="00AA43FB">
        <w:instrText xml:space="preserve"> </w:instrText>
      </w:r>
      <w:r w:rsidR="00A6794A">
        <w:rPr>
          <w:lang w:val="en-US"/>
        </w:rPr>
        <w:instrText>treatment</w:instrText>
      </w:r>
      <w:r w:rsidR="00A6794A" w:rsidRPr="00AA43FB">
        <w:instrText xml:space="preserve"> </w:instrText>
      </w:r>
      <w:r w:rsidR="00A6794A">
        <w:rPr>
          <w:lang w:val="en-US"/>
        </w:rPr>
        <w:instrText>practices</w:instrText>
      </w:r>
      <w:r w:rsidR="00A6794A" w:rsidRPr="00AA43FB">
        <w:instrText xml:space="preserve"> </w:instrText>
      </w:r>
      <w:r w:rsidR="00A6794A">
        <w:rPr>
          <w:lang w:val="en-US"/>
        </w:rPr>
        <w:instrText>for</w:instrText>
      </w:r>
      <w:r w:rsidR="00A6794A" w:rsidRPr="00AA43FB">
        <w:instrText xml:space="preserve"> </w:instrText>
      </w:r>
      <w:r w:rsidR="00A6794A">
        <w:rPr>
          <w:lang w:val="en-US"/>
        </w:rPr>
        <w:instrText>patients</w:instrText>
      </w:r>
      <w:r w:rsidR="00A6794A" w:rsidRPr="00AA43FB">
        <w:instrText xml:space="preserve"> </w:instrText>
      </w:r>
      <w:r w:rsidR="00A6794A">
        <w:rPr>
          <w:lang w:val="en-US"/>
        </w:rPr>
        <w:instrText>with</w:instrText>
      </w:r>
      <w:r w:rsidR="00A6794A" w:rsidRPr="00AA43FB">
        <w:instrText xml:space="preserve"> </w:instrText>
      </w:r>
      <w:r w:rsidR="00A6794A">
        <w:rPr>
          <w:lang w:val="en-US"/>
        </w:rPr>
        <w:instrText>B</w:instrText>
      </w:r>
      <w:r w:rsidR="00A6794A" w:rsidRPr="00AA43FB">
        <w:instrText>-</w:instrText>
      </w:r>
      <w:r w:rsidR="00A6794A">
        <w:rPr>
          <w:lang w:val="en-US"/>
        </w:rPr>
        <w:instrText>cell</w:instrText>
      </w:r>
      <w:r w:rsidR="00A6794A" w:rsidRPr="00AA43FB">
        <w:instrText xml:space="preserve"> </w:instrText>
      </w:r>
      <w:r w:rsidR="00A6794A">
        <w:rPr>
          <w:lang w:val="en-US"/>
        </w:rPr>
        <w:instrText>malignancies</w:instrText>
      </w:r>
      <w:r w:rsidR="00A6794A" w:rsidRPr="00AA43FB">
        <w:instrText xml:space="preserve">. </w:instrText>
      </w:r>
      <w:r w:rsidR="00A6794A">
        <w:rPr>
          <w:lang w:val="en-US"/>
        </w:rPr>
        <w:instrText>A</w:instrText>
      </w:r>
      <w:r w:rsidR="00A6794A" w:rsidRPr="00AA43FB">
        <w:instrText xml:space="preserve"> </w:instrText>
      </w:r>
      <w:r w:rsidR="00A6794A">
        <w:rPr>
          <w:lang w:val="en-US"/>
        </w:rPr>
        <w:instrText>subcutaneous</w:instrText>
      </w:r>
      <w:r w:rsidR="00A6794A" w:rsidRPr="00AA43FB">
        <w:instrText xml:space="preserve"> (</w:instrText>
      </w:r>
      <w:r w:rsidR="00A6794A">
        <w:rPr>
          <w:lang w:val="en-US"/>
        </w:rPr>
        <w:instrText>SC</w:instrText>
      </w:r>
      <w:r w:rsidR="00A6794A" w:rsidRPr="00AA43FB">
        <w:instrText xml:space="preserve">) </w:instrText>
      </w:r>
      <w:r w:rsidR="00A6794A">
        <w:rPr>
          <w:lang w:val="en-US"/>
        </w:rPr>
        <w:instrText>formulation</w:instrText>
      </w:r>
      <w:r w:rsidR="00A6794A" w:rsidRPr="00AA43FB">
        <w:instrText xml:space="preserve"> </w:instrText>
      </w:r>
      <w:r w:rsidR="00A6794A">
        <w:rPr>
          <w:lang w:val="en-US"/>
        </w:rPr>
        <w:instrText>of</w:instrText>
      </w:r>
      <w:r w:rsidR="00A6794A" w:rsidRPr="00AA43FB">
        <w:instrText xml:space="preserve"> </w:instrText>
      </w:r>
      <w:r w:rsidR="00A6794A">
        <w:rPr>
          <w:lang w:val="en-US"/>
        </w:rPr>
        <w:instrText>rituximab</w:instrText>
      </w:r>
      <w:r w:rsidR="00A6794A" w:rsidRPr="00AA43FB">
        <w:instrText xml:space="preserve"> </w:instrText>
      </w:r>
      <w:r w:rsidR="00A6794A">
        <w:rPr>
          <w:lang w:val="en-US"/>
        </w:rPr>
        <w:instrText>has</w:instrText>
      </w:r>
      <w:r w:rsidR="00A6794A" w:rsidRPr="00AA43FB">
        <w:instrText xml:space="preserve"> </w:instrText>
      </w:r>
      <w:r w:rsidR="00A6794A">
        <w:rPr>
          <w:lang w:val="en-US"/>
        </w:rPr>
        <w:instrText>been</w:instrText>
      </w:r>
      <w:r w:rsidR="00A6794A" w:rsidRPr="00AA43FB">
        <w:instrText xml:space="preserve"> </w:instrText>
      </w:r>
      <w:r w:rsidR="00A6794A">
        <w:rPr>
          <w:lang w:val="en-US"/>
        </w:rPr>
        <w:instrText>developed</w:instrText>
      </w:r>
      <w:r w:rsidR="00A6794A" w:rsidRPr="00AA43FB">
        <w:instrText xml:space="preserve">, </w:instrText>
      </w:r>
      <w:r w:rsidR="00A6794A">
        <w:rPr>
          <w:lang w:val="en-US"/>
        </w:rPr>
        <w:instrText>comprising</w:instrText>
      </w:r>
      <w:r w:rsidR="00A6794A" w:rsidRPr="00AA43FB">
        <w:instrText xml:space="preserve"> </w:instrText>
      </w:r>
      <w:r w:rsidR="00A6794A">
        <w:rPr>
          <w:lang w:val="en-US"/>
        </w:rPr>
        <w:instrText>the</w:instrText>
      </w:r>
      <w:r w:rsidR="00A6794A" w:rsidRPr="00AA43FB">
        <w:instrText xml:space="preserve"> </w:instrText>
      </w:r>
      <w:r w:rsidR="00A6794A">
        <w:rPr>
          <w:lang w:val="en-US"/>
        </w:rPr>
        <w:instrText>same</w:instrText>
      </w:r>
      <w:r w:rsidR="00A6794A" w:rsidRPr="00AA43FB">
        <w:instrText xml:space="preserve"> </w:instrText>
      </w:r>
      <w:r w:rsidR="00A6794A">
        <w:rPr>
          <w:lang w:val="en-US"/>
        </w:rPr>
        <w:instrText>monoclonal</w:instrText>
      </w:r>
      <w:r w:rsidR="00A6794A" w:rsidRPr="00AA43FB">
        <w:instrText xml:space="preserve"> </w:instrText>
      </w:r>
      <w:r w:rsidR="00A6794A">
        <w:rPr>
          <w:lang w:val="en-US"/>
        </w:rPr>
        <w:instrText>antibody</w:instrText>
      </w:r>
      <w:r w:rsidR="00A6794A" w:rsidRPr="00AA43FB">
        <w:instrText xml:space="preserve"> </w:instrText>
      </w:r>
      <w:r w:rsidR="00A6794A">
        <w:rPr>
          <w:lang w:val="en-US"/>
        </w:rPr>
        <w:instrText>as</w:instrText>
      </w:r>
      <w:r w:rsidR="00A6794A" w:rsidRPr="00AA43FB">
        <w:instrText xml:space="preserve"> </w:instrText>
      </w:r>
      <w:r w:rsidR="00A6794A">
        <w:rPr>
          <w:lang w:val="en-US"/>
        </w:rPr>
        <w:instrText>the</w:instrText>
      </w:r>
      <w:r w:rsidR="00A6794A" w:rsidRPr="00AA43FB">
        <w:instrText xml:space="preserve"> </w:instrText>
      </w:r>
      <w:r w:rsidR="00A6794A">
        <w:rPr>
          <w:lang w:val="en-US"/>
        </w:rPr>
        <w:instrText>originally</w:instrText>
      </w:r>
      <w:r w:rsidR="00A6794A" w:rsidRPr="00AA43FB">
        <w:instrText xml:space="preserve"> </w:instrText>
      </w:r>
      <w:r w:rsidR="00A6794A">
        <w:rPr>
          <w:lang w:val="en-US"/>
        </w:rPr>
        <w:instrText>marketed</w:instrText>
      </w:r>
      <w:r w:rsidR="00A6794A" w:rsidRPr="00AA43FB">
        <w:instrText xml:space="preserve"> </w:instrText>
      </w:r>
      <w:r w:rsidR="00A6794A">
        <w:rPr>
          <w:lang w:val="en-US"/>
        </w:rPr>
        <w:instrText>formulation</w:instrText>
      </w:r>
      <w:r w:rsidR="00A6794A" w:rsidRPr="00AA43FB">
        <w:instrText xml:space="preserve"> [</w:instrText>
      </w:r>
      <w:r w:rsidR="00A6794A">
        <w:rPr>
          <w:lang w:val="en-US"/>
        </w:rPr>
        <w:instrText>rituximab</w:instrText>
      </w:r>
      <w:r w:rsidR="00A6794A" w:rsidRPr="00AA43FB">
        <w:instrText xml:space="preserve"> </w:instrText>
      </w:r>
      <w:r w:rsidR="00A6794A">
        <w:rPr>
          <w:lang w:val="en-US"/>
        </w:rPr>
        <w:instrText>concentrate</w:instrText>
      </w:r>
      <w:r w:rsidR="00A6794A" w:rsidRPr="00AA43FB">
        <w:instrText xml:space="preserve"> </w:instrText>
      </w:r>
      <w:r w:rsidR="00A6794A">
        <w:rPr>
          <w:lang w:val="en-US"/>
        </w:rPr>
        <w:instrText>for</w:instrText>
      </w:r>
      <w:r w:rsidR="00A6794A" w:rsidRPr="00AA43FB">
        <w:instrText xml:space="preserve"> </w:instrText>
      </w:r>
      <w:r w:rsidR="00A6794A">
        <w:rPr>
          <w:lang w:val="en-US"/>
        </w:rPr>
        <w:instrText>solution</w:instrText>
      </w:r>
      <w:r w:rsidR="00A6794A" w:rsidRPr="00AA43FB">
        <w:instrText xml:space="preserve"> </w:instrText>
      </w:r>
      <w:r w:rsidR="00A6794A">
        <w:rPr>
          <w:lang w:val="en-US"/>
        </w:rPr>
        <w:instrText>for</w:instrText>
      </w:r>
      <w:r w:rsidR="00A6794A" w:rsidRPr="00AA43FB">
        <w:instrText xml:space="preserve"> </w:instrText>
      </w:r>
      <w:r w:rsidR="00A6794A">
        <w:rPr>
          <w:lang w:val="en-US"/>
        </w:rPr>
        <w:instrText>intravenous</w:instrText>
      </w:r>
      <w:r w:rsidR="00A6794A" w:rsidRPr="00AA43FB">
        <w:instrText xml:space="preserve"> (</w:instrText>
      </w:r>
      <w:r w:rsidR="00A6794A">
        <w:rPr>
          <w:lang w:val="en-US"/>
        </w:rPr>
        <w:instrText>IV</w:instrText>
      </w:r>
      <w:r w:rsidR="00A6794A" w:rsidRPr="00AA43FB">
        <w:instrText xml:space="preserve">) </w:instrText>
      </w:r>
      <w:r w:rsidR="00A6794A">
        <w:rPr>
          <w:lang w:val="en-US"/>
        </w:rPr>
        <w:instrText>infusion</w:instrText>
      </w:r>
      <w:r w:rsidR="00A6794A" w:rsidRPr="00AA43FB">
        <w:instrText xml:space="preserve">], </w:instrText>
      </w:r>
      <w:r w:rsidR="00A6794A">
        <w:rPr>
          <w:lang w:val="en-US"/>
        </w:rPr>
        <w:instrText>and</w:instrText>
      </w:r>
      <w:r w:rsidR="00A6794A" w:rsidRPr="00AA43FB">
        <w:instrText xml:space="preserve"> </w:instrText>
      </w:r>
      <w:r w:rsidR="00A6794A">
        <w:rPr>
          <w:lang w:val="en-US"/>
        </w:rPr>
        <w:instrText>has</w:instrText>
      </w:r>
      <w:r w:rsidR="00A6794A" w:rsidRPr="00AA43FB">
        <w:instrText xml:space="preserve"> </w:instrText>
      </w:r>
      <w:r w:rsidR="00A6794A">
        <w:rPr>
          <w:lang w:val="en-US"/>
        </w:rPr>
        <w:instrText>undergone</w:instrText>
      </w:r>
      <w:r w:rsidR="00A6794A" w:rsidRPr="00AA43FB">
        <w:instrText xml:space="preserve"> </w:instrText>
      </w:r>
      <w:r w:rsidR="00A6794A">
        <w:rPr>
          <w:lang w:val="en-US"/>
        </w:rPr>
        <w:instrText>a</w:instrText>
      </w:r>
      <w:r w:rsidR="00A6794A" w:rsidRPr="00AA43FB">
        <w:instrText xml:space="preserve"> </w:instrText>
      </w:r>
      <w:r w:rsidR="00A6794A">
        <w:rPr>
          <w:lang w:val="en-US"/>
        </w:rPr>
        <w:instrText>detailed</w:instrText>
      </w:r>
      <w:r w:rsidR="00A6794A" w:rsidRPr="00AA43FB">
        <w:instrText xml:space="preserve">, </w:instrText>
      </w:r>
      <w:r w:rsidR="00A6794A">
        <w:rPr>
          <w:lang w:val="en-US"/>
        </w:rPr>
        <w:instrText>sequential</w:instrText>
      </w:r>
      <w:r w:rsidR="00A6794A" w:rsidRPr="00AA43FB">
        <w:instrText xml:space="preserve"> </w:instrText>
      </w:r>
      <w:r w:rsidR="00A6794A">
        <w:rPr>
          <w:lang w:val="en-US"/>
        </w:rPr>
        <w:instrText>clinical</w:instrText>
      </w:r>
      <w:r w:rsidR="00A6794A" w:rsidRPr="00AA43FB">
        <w:instrText xml:space="preserve"> </w:instrText>
      </w:r>
      <w:r w:rsidR="00A6794A">
        <w:rPr>
          <w:lang w:val="en-US"/>
        </w:rPr>
        <w:instrText>development</w:instrText>
      </w:r>
      <w:r w:rsidR="00A6794A" w:rsidRPr="00AA43FB">
        <w:instrText xml:space="preserve"> </w:instrText>
      </w:r>
      <w:r w:rsidR="00A6794A">
        <w:rPr>
          <w:lang w:val="en-US"/>
        </w:rPr>
        <w:instrText>program</w:instrText>
      </w:r>
      <w:r w:rsidR="00A6794A" w:rsidRPr="00AA43FB">
        <w:instrText xml:space="preserve">. </w:instrText>
      </w:r>
      <w:r w:rsidR="00A6794A">
        <w:rPr>
          <w:lang w:val="en-US"/>
        </w:rPr>
        <w:instrText>This</w:instrText>
      </w:r>
      <w:r w:rsidR="00A6794A" w:rsidRPr="00AA43FB">
        <w:instrText xml:space="preserve"> </w:instrText>
      </w:r>
      <w:r w:rsidR="00A6794A">
        <w:rPr>
          <w:lang w:val="en-US"/>
        </w:rPr>
        <w:instrText>program</w:instrText>
      </w:r>
      <w:r w:rsidR="00A6794A" w:rsidRPr="00AA43FB">
        <w:instrText xml:space="preserve"> </w:instrText>
      </w:r>
      <w:r w:rsidR="00A6794A">
        <w:rPr>
          <w:lang w:val="en-US"/>
        </w:rPr>
        <w:instrText>demonstrated</w:instrText>
      </w:r>
      <w:r w:rsidR="00A6794A" w:rsidRPr="00AA43FB">
        <w:instrText xml:space="preserve"> </w:instrText>
      </w:r>
      <w:r w:rsidR="00A6794A">
        <w:rPr>
          <w:lang w:val="en-US"/>
        </w:rPr>
        <w:instrText>that</w:instrText>
      </w:r>
      <w:r w:rsidR="00A6794A" w:rsidRPr="00AA43FB">
        <w:instrText xml:space="preserve">, </w:instrText>
      </w:r>
      <w:r w:rsidR="00A6794A">
        <w:rPr>
          <w:lang w:val="en-US"/>
        </w:rPr>
        <w:instrText>at</w:instrText>
      </w:r>
      <w:r w:rsidR="00A6794A" w:rsidRPr="00AA43FB">
        <w:instrText xml:space="preserve"> </w:instrText>
      </w:r>
      <w:r w:rsidR="00A6794A">
        <w:rPr>
          <w:lang w:val="en-US"/>
        </w:rPr>
        <w:instrText>fixed</w:instrText>
      </w:r>
      <w:r w:rsidR="00A6794A" w:rsidRPr="00AA43FB">
        <w:instrText xml:space="preserve"> </w:instrText>
      </w:r>
      <w:r w:rsidR="00A6794A">
        <w:rPr>
          <w:lang w:val="en-US"/>
        </w:rPr>
        <w:instrText>doses</w:instrText>
      </w:r>
      <w:r w:rsidR="00A6794A" w:rsidRPr="00AA43FB">
        <w:instrText xml:space="preserve">, </w:instrText>
      </w:r>
      <w:r w:rsidR="00A6794A">
        <w:rPr>
          <w:lang w:val="en-US"/>
        </w:rPr>
        <w:instrText>rituximab</w:instrText>
      </w:r>
      <w:r w:rsidR="00A6794A" w:rsidRPr="00AA43FB">
        <w:instrText xml:space="preserve"> </w:instrText>
      </w:r>
      <w:r w:rsidR="00A6794A">
        <w:rPr>
          <w:lang w:val="en-US"/>
        </w:rPr>
        <w:instrText>SC</w:instrText>
      </w:r>
      <w:r w:rsidR="00A6794A" w:rsidRPr="00AA43FB">
        <w:instrText xml:space="preserve"> </w:instrText>
      </w:r>
      <w:r w:rsidR="00A6794A">
        <w:rPr>
          <w:lang w:val="en-US"/>
        </w:rPr>
        <w:instrText>achieves</w:instrText>
      </w:r>
      <w:r w:rsidR="00A6794A" w:rsidRPr="00AA43FB">
        <w:instrText xml:space="preserve"> </w:instrText>
      </w:r>
      <w:r w:rsidR="00A6794A">
        <w:rPr>
          <w:lang w:val="en-US"/>
        </w:rPr>
        <w:instrText>non</w:instrText>
      </w:r>
      <w:r w:rsidR="00A6794A" w:rsidRPr="00AA43FB">
        <w:instrText>-</w:instrText>
      </w:r>
      <w:r w:rsidR="00A6794A">
        <w:rPr>
          <w:lang w:val="en-US"/>
        </w:rPr>
        <w:instrText>inferior</w:instrText>
      </w:r>
      <w:r w:rsidR="00A6794A" w:rsidRPr="00AA43FB">
        <w:instrText xml:space="preserve"> </w:instrText>
      </w:r>
      <w:r w:rsidR="00A6794A">
        <w:rPr>
          <w:lang w:val="en-US"/>
        </w:rPr>
        <w:instrText>serum</w:instrText>
      </w:r>
      <w:r w:rsidR="00A6794A" w:rsidRPr="00AA43FB">
        <w:instrText xml:space="preserve"> </w:instrText>
      </w:r>
      <w:r w:rsidR="00A6794A">
        <w:rPr>
          <w:lang w:val="en-US"/>
        </w:rPr>
        <w:instrText>trough</w:instrText>
      </w:r>
      <w:r w:rsidR="00A6794A" w:rsidRPr="00AA43FB">
        <w:instrText xml:space="preserve"> </w:instrText>
      </w:r>
      <w:r w:rsidR="00A6794A">
        <w:rPr>
          <w:lang w:val="en-US"/>
        </w:rPr>
        <w:instrText>concentrations</w:instrText>
      </w:r>
      <w:r w:rsidR="00A6794A" w:rsidRPr="00AA43FB">
        <w:instrText xml:space="preserve"> </w:instrText>
      </w:r>
      <w:r w:rsidR="00A6794A">
        <w:rPr>
          <w:lang w:val="en-US"/>
        </w:rPr>
        <w:instrText>in</w:instrText>
      </w:r>
      <w:r w:rsidR="00A6794A" w:rsidRPr="00AA43FB">
        <w:instrText xml:space="preserve"> </w:instrText>
      </w:r>
      <w:r w:rsidR="00A6794A">
        <w:rPr>
          <w:lang w:val="en-US"/>
        </w:rPr>
        <w:instrText>patients</w:instrText>
      </w:r>
      <w:r w:rsidR="00A6794A" w:rsidRPr="00AA43FB">
        <w:instrText xml:space="preserve"> </w:instrText>
      </w:r>
      <w:r w:rsidR="00A6794A">
        <w:rPr>
          <w:lang w:val="en-US"/>
        </w:rPr>
        <w:instrText>with</w:instrText>
      </w:r>
      <w:r w:rsidR="00A6794A" w:rsidRPr="00AA43FB">
        <w:instrText xml:space="preserve"> </w:instrText>
      </w:r>
      <w:r w:rsidR="00A6794A">
        <w:rPr>
          <w:lang w:val="en-US"/>
        </w:rPr>
        <w:instrText>non</w:instrText>
      </w:r>
      <w:r w:rsidR="00A6794A" w:rsidRPr="00AA43FB">
        <w:instrText>-</w:instrText>
      </w:r>
      <w:r w:rsidR="00A6794A">
        <w:rPr>
          <w:lang w:val="en-US"/>
        </w:rPr>
        <w:instrText>Hodgkin</w:instrText>
      </w:r>
      <w:r w:rsidR="00A6794A" w:rsidRPr="00AA43FB">
        <w:instrText xml:space="preserve"> </w:instrText>
      </w:r>
      <w:r w:rsidR="00A6794A">
        <w:rPr>
          <w:lang w:val="en-US"/>
        </w:rPr>
        <w:instrText>lymphoma</w:instrText>
      </w:r>
      <w:r w:rsidR="00A6794A" w:rsidRPr="00AA43FB">
        <w:instrText xml:space="preserve"> </w:instrText>
      </w:r>
      <w:r w:rsidR="00A6794A">
        <w:rPr>
          <w:lang w:val="en-US"/>
        </w:rPr>
        <w:instrText>and</w:instrText>
      </w:r>
      <w:r w:rsidR="00A6794A" w:rsidRPr="00AA43FB">
        <w:instrText xml:space="preserve"> </w:instrText>
      </w:r>
      <w:r w:rsidR="00A6794A">
        <w:rPr>
          <w:lang w:val="en-US"/>
        </w:rPr>
        <w:instrText>chronic</w:instrText>
      </w:r>
      <w:r w:rsidR="00A6794A" w:rsidRPr="00AA43FB">
        <w:instrText xml:space="preserve"> </w:instrText>
      </w:r>
      <w:r w:rsidR="00A6794A">
        <w:rPr>
          <w:lang w:val="en-US"/>
        </w:rPr>
        <w:instrText>lymphocytic</w:instrText>
      </w:r>
      <w:r w:rsidR="00A6794A" w:rsidRPr="00AA43FB">
        <w:instrText xml:space="preserve"> </w:instrText>
      </w:r>
      <w:r w:rsidR="00A6794A">
        <w:rPr>
          <w:lang w:val="en-US"/>
        </w:rPr>
        <w:instrText>leukemia</w:instrText>
      </w:r>
      <w:r w:rsidR="00A6794A" w:rsidRPr="00AA43FB">
        <w:instrText xml:space="preserve">, </w:instrText>
      </w:r>
      <w:r w:rsidR="00A6794A">
        <w:rPr>
          <w:lang w:val="en-US"/>
        </w:rPr>
        <w:instrText>with</w:instrText>
      </w:r>
      <w:r w:rsidR="00A6794A" w:rsidRPr="00AA43FB">
        <w:instrText xml:space="preserve"> </w:instrText>
      </w:r>
      <w:r w:rsidR="00A6794A">
        <w:rPr>
          <w:lang w:val="en-US"/>
        </w:rPr>
        <w:instrText>comparable</w:instrText>
      </w:r>
      <w:r w:rsidR="00A6794A" w:rsidRPr="00AA43FB">
        <w:instrText xml:space="preserve"> </w:instrText>
      </w:r>
      <w:r w:rsidR="00A6794A">
        <w:rPr>
          <w:lang w:val="en-US"/>
        </w:rPr>
        <w:instrText>efficacy</w:instrText>
      </w:r>
      <w:r w:rsidR="00A6794A" w:rsidRPr="00AA43FB">
        <w:instrText xml:space="preserve"> </w:instrText>
      </w:r>
      <w:r w:rsidR="00A6794A">
        <w:rPr>
          <w:lang w:val="en-US"/>
        </w:rPr>
        <w:instrText>and</w:instrText>
      </w:r>
      <w:r w:rsidR="00A6794A" w:rsidRPr="00AA43FB">
        <w:instrText xml:space="preserve"> </w:instrText>
      </w:r>
      <w:r w:rsidR="00A6794A">
        <w:rPr>
          <w:lang w:val="en-US"/>
        </w:rPr>
        <w:instrText>safety</w:instrText>
      </w:r>
      <w:r w:rsidR="00A6794A" w:rsidRPr="00AA43FB">
        <w:instrText xml:space="preserve"> </w:instrText>
      </w:r>
      <w:r w:rsidR="00A6794A">
        <w:rPr>
          <w:lang w:val="en-US"/>
        </w:rPr>
        <w:instrText>relative</w:instrText>
      </w:r>
      <w:r w:rsidR="00A6794A" w:rsidRPr="00AA43FB">
        <w:instrText xml:space="preserve"> </w:instrText>
      </w:r>
      <w:r w:rsidR="00A6794A">
        <w:rPr>
          <w:lang w:val="en-US"/>
        </w:rPr>
        <w:instrText>to</w:instrText>
      </w:r>
      <w:r w:rsidR="00A6794A" w:rsidRPr="00AA43FB">
        <w:instrText xml:space="preserve"> </w:instrText>
      </w:r>
      <w:r w:rsidR="00A6794A">
        <w:rPr>
          <w:lang w:val="en-US"/>
        </w:rPr>
        <w:instrText>the</w:instrText>
      </w:r>
      <w:r w:rsidR="00A6794A" w:rsidRPr="00AA43FB">
        <w:instrText xml:space="preserve"> </w:instrText>
      </w:r>
      <w:r w:rsidR="00A6794A">
        <w:rPr>
          <w:lang w:val="en-US"/>
        </w:rPr>
        <w:instrText>IV</w:instrText>
      </w:r>
      <w:r w:rsidR="00A6794A" w:rsidRPr="00AA43FB">
        <w:instrText xml:space="preserve"> </w:instrText>
      </w:r>
      <w:r w:rsidR="00A6794A">
        <w:rPr>
          <w:lang w:val="en-US"/>
        </w:rPr>
        <w:instrText>formulation</w:instrText>
      </w:r>
      <w:r w:rsidR="00A6794A" w:rsidRPr="00AA43FB">
        <w:instrText xml:space="preserve">. </w:instrText>
      </w:r>
      <w:r w:rsidR="00A6794A">
        <w:rPr>
          <w:lang w:val="en-US"/>
        </w:rPr>
        <w:instrText>The</w:instrText>
      </w:r>
      <w:r w:rsidR="00A6794A" w:rsidRPr="00AA43FB">
        <w:instrText xml:space="preserve"> </w:instrText>
      </w:r>
      <w:r w:rsidR="00A6794A">
        <w:rPr>
          <w:lang w:val="en-US"/>
        </w:rPr>
        <w:instrText>added</w:instrText>
      </w:r>
      <w:r w:rsidR="00A6794A" w:rsidRPr="00AA43FB">
        <w:instrText xml:space="preserve"> </w:instrText>
      </w:r>
      <w:r w:rsidR="00A6794A">
        <w:rPr>
          <w:lang w:val="en-US"/>
        </w:rPr>
        <w:instrText>benefit</w:instrText>
      </w:r>
      <w:r w:rsidR="00A6794A" w:rsidRPr="00AA43FB">
        <w:instrText xml:space="preserve"> </w:instrText>
      </w:r>
      <w:r w:rsidR="00A6794A">
        <w:rPr>
          <w:lang w:val="en-US"/>
        </w:rPr>
        <w:instrText>of</w:instrText>
      </w:r>
      <w:r w:rsidR="00A6794A" w:rsidRPr="00AA43FB">
        <w:instrText xml:space="preserve"> </w:instrText>
      </w:r>
      <w:r w:rsidR="00A6794A">
        <w:rPr>
          <w:lang w:val="en-US"/>
        </w:rPr>
        <w:instrText>rituximab</w:instrText>
      </w:r>
      <w:r w:rsidR="00A6794A" w:rsidRPr="00AA43FB">
        <w:instrText xml:space="preserve"> </w:instrText>
      </w:r>
      <w:r w:rsidR="00A6794A">
        <w:rPr>
          <w:lang w:val="en-US"/>
        </w:rPr>
        <w:instrText>SC</w:instrText>
      </w:r>
      <w:r w:rsidR="00A6794A" w:rsidRPr="00AA43FB">
        <w:instrText xml:space="preserve"> </w:instrText>
      </w:r>
      <w:r w:rsidR="00A6794A">
        <w:rPr>
          <w:lang w:val="en-US"/>
        </w:rPr>
        <w:instrText>was</w:instrText>
      </w:r>
      <w:r w:rsidR="00A6794A" w:rsidRPr="00AA43FB">
        <w:instrText xml:space="preserve"> </w:instrText>
      </w:r>
      <w:r w:rsidR="00A6794A">
        <w:rPr>
          <w:lang w:val="en-US"/>
        </w:rPr>
        <w:instrText>demonstrated</w:instrText>
      </w:r>
      <w:r w:rsidR="00A6794A" w:rsidRPr="00AA43FB">
        <w:instrText xml:space="preserve"> </w:instrText>
      </w:r>
      <w:r w:rsidR="00A6794A">
        <w:rPr>
          <w:lang w:val="en-US"/>
        </w:rPr>
        <w:instrText>in</w:instrText>
      </w:r>
      <w:r w:rsidR="00A6794A" w:rsidRPr="00AA43FB">
        <w:instrText xml:space="preserve"> </w:instrText>
      </w:r>
      <w:r w:rsidR="00A6794A">
        <w:rPr>
          <w:lang w:val="en-US"/>
        </w:rPr>
        <w:instrText>dedicated</w:instrText>
      </w:r>
      <w:r w:rsidR="00A6794A" w:rsidRPr="00AA43FB">
        <w:instrText xml:space="preserve"> </w:instrText>
      </w:r>
      <w:r w:rsidR="00A6794A">
        <w:rPr>
          <w:lang w:val="en-US"/>
        </w:rPr>
        <w:instrText>studies</w:instrText>
      </w:r>
      <w:r w:rsidR="00A6794A" w:rsidRPr="00AA43FB">
        <w:instrText xml:space="preserve"> </w:instrText>
      </w:r>
      <w:r w:rsidR="00A6794A">
        <w:rPr>
          <w:lang w:val="en-US"/>
        </w:rPr>
        <w:instrText>showing</w:instrText>
      </w:r>
      <w:r w:rsidR="00A6794A" w:rsidRPr="00AA43FB">
        <w:instrText xml:space="preserve"> </w:instrText>
      </w:r>
      <w:r w:rsidR="00A6794A">
        <w:rPr>
          <w:lang w:val="en-US"/>
        </w:rPr>
        <w:instrText>that</w:instrText>
      </w:r>
      <w:r w:rsidR="00A6794A" w:rsidRPr="00AA43FB">
        <w:instrText xml:space="preserve"> </w:instrText>
      </w:r>
      <w:r w:rsidR="00A6794A">
        <w:rPr>
          <w:lang w:val="en-US"/>
        </w:rPr>
        <w:instrText>rituximab</w:instrText>
      </w:r>
      <w:r w:rsidR="00A6794A" w:rsidRPr="00AA43FB">
        <w:instrText xml:space="preserve"> </w:instrText>
      </w:r>
      <w:r w:rsidR="00A6794A">
        <w:rPr>
          <w:lang w:val="en-US"/>
        </w:rPr>
        <w:instrText>SC</w:instrText>
      </w:r>
      <w:r w:rsidR="00A6794A" w:rsidRPr="00AA43FB">
        <w:instrText xml:space="preserve"> </w:instrText>
      </w:r>
      <w:r w:rsidR="00A6794A">
        <w:rPr>
          <w:lang w:val="en-US"/>
        </w:rPr>
        <w:instrText>allows</w:instrText>
      </w:r>
      <w:r w:rsidR="00A6794A" w:rsidRPr="00AA43FB">
        <w:instrText xml:space="preserve"> </w:instrText>
      </w:r>
      <w:r w:rsidR="00A6794A">
        <w:rPr>
          <w:lang w:val="en-US"/>
        </w:rPr>
        <w:instrText>for</w:instrText>
      </w:r>
      <w:r w:rsidR="00A6794A" w:rsidRPr="00AA43FB">
        <w:instrText xml:space="preserve"> </w:instrText>
      </w:r>
      <w:r w:rsidR="00A6794A">
        <w:rPr>
          <w:lang w:val="en-US"/>
        </w:rPr>
        <w:instrText>simplified</w:instrText>
      </w:r>
      <w:r w:rsidR="00A6794A" w:rsidRPr="00AA43FB">
        <w:instrText xml:space="preserve"> </w:instrText>
      </w:r>
      <w:r w:rsidR="00A6794A">
        <w:rPr>
          <w:lang w:val="en-US"/>
        </w:rPr>
        <w:instrText>and</w:instrText>
      </w:r>
      <w:r w:rsidR="00A6794A" w:rsidRPr="00AA43FB">
        <w:instrText xml:space="preserve"> </w:instrText>
      </w:r>
      <w:r w:rsidR="00A6794A">
        <w:rPr>
          <w:lang w:val="en-US"/>
        </w:rPr>
        <w:instrText>shortened</w:instrText>
      </w:r>
      <w:r w:rsidR="00A6794A" w:rsidRPr="00AA43FB">
        <w:instrText xml:space="preserve"> </w:instrText>
      </w:r>
      <w:r w:rsidR="00A6794A">
        <w:rPr>
          <w:lang w:val="en-US"/>
        </w:rPr>
        <w:instrText>drug</w:instrText>
      </w:r>
      <w:r w:rsidR="00A6794A" w:rsidRPr="00AA43FB">
        <w:instrText xml:space="preserve"> </w:instrText>
      </w:r>
      <w:r w:rsidR="00A6794A">
        <w:rPr>
          <w:lang w:val="en-US"/>
        </w:rPr>
        <w:instrText>preparation</w:instrText>
      </w:r>
      <w:r w:rsidR="00A6794A" w:rsidRPr="00AA43FB">
        <w:instrText xml:space="preserve"> </w:instrText>
      </w:r>
      <w:r w:rsidR="00A6794A">
        <w:rPr>
          <w:lang w:val="en-US"/>
        </w:rPr>
        <w:instrText>and</w:instrText>
      </w:r>
      <w:r w:rsidR="00A6794A" w:rsidRPr="00AA43FB">
        <w:instrText xml:space="preserve"> </w:instrText>
      </w:r>
      <w:r w:rsidR="00A6794A">
        <w:rPr>
          <w:lang w:val="en-US"/>
        </w:rPr>
        <w:instrText>administration</w:instrText>
      </w:r>
      <w:r w:rsidR="00A6794A" w:rsidRPr="00AA43FB">
        <w:instrText xml:space="preserve"> </w:instrText>
      </w:r>
      <w:r w:rsidR="00A6794A">
        <w:rPr>
          <w:lang w:val="en-US"/>
        </w:rPr>
        <w:instrText>times</w:instrText>
      </w:r>
      <w:r w:rsidR="00A6794A" w:rsidRPr="00AA43FB">
        <w:instrText xml:space="preserve"> </w:instrText>
      </w:r>
      <w:r w:rsidR="00A6794A">
        <w:rPr>
          <w:lang w:val="en-US"/>
        </w:rPr>
        <w:instrText>resulting</w:instrText>
      </w:r>
      <w:r w:rsidR="00A6794A" w:rsidRPr="00AA43FB">
        <w:instrText xml:space="preserve"> </w:instrText>
      </w:r>
      <w:r w:rsidR="00A6794A">
        <w:rPr>
          <w:lang w:val="en-US"/>
        </w:rPr>
        <w:instrText>in</w:instrText>
      </w:r>
      <w:r w:rsidR="00A6794A" w:rsidRPr="00AA43FB">
        <w:instrText xml:space="preserve"> </w:instrText>
      </w:r>
      <w:r w:rsidR="00A6794A">
        <w:rPr>
          <w:lang w:val="en-US"/>
        </w:rPr>
        <w:instrText>a</w:instrText>
      </w:r>
      <w:r w:rsidR="00A6794A" w:rsidRPr="00AA43FB">
        <w:instrText xml:space="preserve"> </w:instrText>
      </w:r>
      <w:r w:rsidR="00A6794A">
        <w:rPr>
          <w:lang w:val="en-US"/>
        </w:rPr>
        <w:instrText>reduced</w:instrText>
      </w:r>
      <w:r w:rsidR="00A6794A" w:rsidRPr="00AA43FB">
        <w:instrText xml:space="preserve"> </w:instrText>
      </w:r>
      <w:r w:rsidR="00A6794A">
        <w:rPr>
          <w:lang w:val="en-US"/>
        </w:rPr>
        <w:instrText>treatment</w:instrText>
      </w:r>
      <w:r w:rsidR="00A6794A" w:rsidRPr="00AA43FB">
        <w:instrText xml:space="preserve"> </w:instrText>
      </w:r>
      <w:r w:rsidR="00A6794A">
        <w:rPr>
          <w:lang w:val="en-US"/>
        </w:rPr>
        <w:instrText>burden</w:instrText>
      </w:r>
      <w:r w:rsidR="00A6794A" w:rsidRPr="00AA43FB">
        <w:instrText xml:space="preserve"> </w:instrText>
      </w:r>
      <w:r w:rsidR="00A6794A">
        <w:rPr>
          <w:lang w:val="en-US"/>
        </w:rPr>
        <w:instrText>for</w:instrText>
      </w:r>
      <w:r w:rsidR="00A6794A" w:rsidRPr="00AA43FB">
        <w:instrText xml:space="preserve"> </w:instrText>
      </w:r>
      <w:r w:rsidR="00A6794A">
        <w:rPr>
          <w:lang w:val="en-US"/>
        </w:rPr>
        <w:instrText>patients</w:instrText>
      </w:r>
      <w:r w:rsidR="00A6794A" w:rsidRPr="00AA43FB">
        <w:instrText xml:space="preserve"> </w:instrText>
      </w:r>
      <w:r w:rsidR="00A6794A">
        <w:rPr>
          <w:lang w:val="en-US"/>
        </w:rPr>
        <w:instrText>as</w:instrText>
      </w:r>
      <w:r w:rsidR="00A6794A" w:rsidRPr="00AA43FB">
        <w:instrText xml:space="preserve"> </w:instrText>
      </w:r>
      <w:r w:rsidR="00A6794A">
        <w:rPr>
          <w:lang w:val="en-US"/>
        </w:rPr>
        <w:instrText>well</w:instrText>
      </w:r>
      <w:r w:rsidR="00A6794A" w:rsidRPr="00AA43FB">
        <w:instrText xml:space="preserve"> </w:instrText>
      </w:r>
      <w:r w:rsidR="00A6794A">
        <w:rPr>
          <w:lang w:val="en-US"/>
        </w:rPr>
        <w:instrText>as</w:instrText>
      </w:r>
      <w:r w:rsidR="00A6794A" w:rsidRPr="00AA43FB">
        <w:instrText xml:space="preserve"> </w:instrText>
      </w:r>
      <w:r w:rsidR="00A6794A">
        <w:rPr>
          <w:lang w:val="en-US"/>
        </w:rPr>
        <w:instrText>improved</w:instrText>
      </w:r>
      <w:r w:rsidR="00A6794A" w:rsidRPr="00AA43FB">
        <w:instrText xml:space="preserve"> </w:instrText>
      </w:r>
      <w:r w:rsidR="00A6794A">
        <w:rPr>
          <w:lang w:val="en-US"/>
        </w:rPr>
        <w:instrText>resource</w:instrText>
      </w:r>
      <w:r w:rsidR="00A6794A" w:rsidRPr="00AA43FB">
        <w:instrText xml:space="preserve"> </w:instrText>
      </w:r>
      <w:r w:rsidR="00A6794A">
        <w:rPr>
          <w:lang w:val="en-US"/>
        </w:rPr>
        <w:instrText>utilization</w:instrText>
      </w:r>
      <w:r w:rsidR="00A6794A" w:rsidRPr="00AA43FB">
        <w:instrText xml:space="preserve"> (</w:instrText>
      </w:r>
      <w:r w:rsidR="00A6794A">
        <w:rPr>
          <w:lang w:val="en-US"/>
        </w:rPr>
        <w:instrText>efficiency</w:instrText>
      </w:r>
      <w:r w:rsidR="00A6794A" w:rsidRPr="00AA43FB">
        <w:instrText xml:space="preserve">) </w:instrText>
      </w:r>
      <w:r w:rsidR="00A6794A">
        <w:rPr>
          <w:lang w:val="en-US"/>
        </w:rPr>
        <w:instrText>at</w:instrText>
      </w:r>
      <w:r w:rsidR="00A6794A" w:rsidRPr="00AA43FB">
        <w:instrText xml:space="preserve"> </w:instrText>
      </w:r>
      <w:r w:rsidR="00A6794A">
        <w:rPr>
          <w:lang w:val="en-US"/>
        </w:rPr>
        <w:instrText>the</w:instrText>
      </w:r>
      <w:r w:rsidR="00A6794A" w:rsidRPr="00AA43FB">
        <w:instrText xml:space="preserve"> </w:instrText>
      </w:r>
      <w:r w:rsidR="00A6794A">
        <w:rPr>
          <w:lang w:val="en-US"/>
        </w:rPr>
        <w:instrText>treatment</w:instrText>
      </w:r>
      <w:r w:rsidR="00A6794A" w:rsidRPr="00AA43FB">
        <w:instrText xml:space="preserve"> </w:instrText>
      </w:r>
      <w:r w:rsidR="00A6794A">
        <w:rPr>
          <w:lang w:val="en-US"/>
        </w:rPr>
        <w:instrText>facility</w:instrText>
      </w:r>
      <w:r w:rsidR="00A6794A" w:rsidRPr="00AA43FB">
        <w:instrText xml:space="preserve">. </w:instrText>
      </w:r>
      <w:r w:rsidR="00A6794A">
        <w:rPr>
          <w:lang w:val="en-US"/>
        </w:rPr>
        <w:instrText>The</w:instrText>
      </w:r>
      <w:r w:rsidR="00A6794A" w:rsidRPr="00AA43FB">
        <w:instrText xml:space="preserve"> </w:instrText>
      </w:r>
      <w:r w:rsidR="00A6794A">
        <w:rPr>
          <w:lang w:val="en-US"/>
        </w:rPr>
        <w:instrText>improved</w:instrText>
      </w:r>
      <w:r w:rsidR="00A6794A" w:rsidRPr="00AA43FB">
        <w:instrText xml:space="preserve"> </w:instrText>
      </w:r>
      <w:r w:rsidR="00A6794A">
        <w:rPr>
          <w:lang w:val="en-US"/>
        </w:rPr>
        <w:instrText>efficiency</w:instrText>
      </w:r>
      <w:r w:rsidR="00A6794A" w:rsidRPr="00AA43FB">
        <w:instrText xml:space="preserve"> </w:instrText>
      </w:r>
      <w:r w:rsidR="00A6794A">
        <w:rPr>
          <w:lang w:val="en-US"/>
        </w:rPr>
        <w:instrText>of</w:instrText>
      </w:r>
      <w:r w:rsidR="00A6794A" w:rsidRPr="00AA43FB">
        <w:instrText xml:space="preserve"> </w:instrText>
      </w:r>
      <w:r w:rsidR="00A6794A">
        <w:rPr>
          <w:lang w:val="en-US"/>
        </w:rPr>
        <w:instrText>delivering</w:instrText>
      </w:r>
      <w:r w:rsidR="00A6794A" w:rsidRPr="00AA43FB">
        <w:instrText xml:space="preserve"> </w:instrText>
      </w:r>
      <w:r w:rsidR="00A6794A">
        <w:rPr>
          <w:lang w:val="en-US"/>
        </w:rPr>
        <w:instrText>rituximab</w:instrText>
      </w:r>
      <w:r w:rsidR="00A6794A" w:rsidRPr="00AA43FB">
        <w:instrText>’</w:instrText>
      </w:r>
      <w:r w:rsidR="00A6794A">
        <w:rPr>
          <w:lang w:val="en-US"/>
        </w:rPr>
        <w:instrText>s</w:instrText>
      </w:r>
      <w:r w:rsidR="00A6794A" w:rsidRPr="00AA43FB">
        <w:instrText xml:space="preserve"> </w:instrText>
      </w:r>
      <w:r w:rsidR="00A6794A">
        <w:rPr>
          <w:lang w:val="en-US"/>
        </w:rPr>
        <w:instrText>benefit</w:instrText>
      </w:r>
      <w:r w:rsidR="00A6794A" w:rsidRPr="00AA43FB">
        <w:instrText xml:space="preserve"> </w:instrText>
      </w:r>
      <w:r w:rsidR="00A6794A">
        <w:rPr>
          <w:lang w:val="en-US"/>
        </w:rPr>
        <w:instrText>to</w:instrText>
      </w:r>
      <w:r w:rsidR="00A6794A" w:rsidRPr="00AA43FB">
        <w:instrText xml:space="preserve"> </w:instrText>
      </w:r>
      <w:r w:rsidR="00A6794A">
        <w:rPr>
          <w:lang w:val="en-US"/>
        </w:rPr>
        <w:instrText>patients</w:instrText>
      </w:r>
      <w:r w:rsidR="00A6794A" w:rsidRPr="00AA43FB">
        <w:instrText xml:space="preserve"> </w:instrText>
      </w:r>
      <w:r w:rsidR="00A6794A">
        <w:rPr>
          <w:lang w:val="en-US"/>
        </w:rPr>
        <w:instrText>may</w:instrText>
      </w:r>
      <w:r w:rsidR="00A6794A" w:rsidRPr="00AA43FB">
        <w:instrText xml:space="preserve"> </w:instrText>
      </w:r>
      <w:r w:rsidR="00A6794A">
        <w:rPr>
          <w:lang w:val="en-US"/>
        </w:rPr>
        <w:instrText>broaden</w:instrText>
      </w:r>
      <w:r w:rsidR="00A6794A" w:rsidRPr="00AA43FB">
        <w:instrText xml:space="preserve"> </w:instrText>
      </w:r>
      <w:r w:rsidR="00A6794A">
        <w:rPr>
          <w:lang w:val="en-US"/>
        </w:rPr>
        <w:instrText>patient</w:instrText>
      </w:r>
      <w:r w:rsidR="00A6794A" w:rsidRPr="00AA43FB">
        <w:instrText xml:space="preserve"> </w:instrText>
      </w:r>
      <w:r w:rsidR="00A6794A">
        <w:rPr>
          <w:lang w:val="en-US"/>
        </w:rPr>
        <w:instrText>access</w:instrText>
      </w:r>
      <w:r w:rsidR="00A6794A" w:rsidRPr="00AA43FB">
        <w:instrText xml:space="preserve"> </w:instrText>
      </w:r>
      <w:r w:rsidR="00A6794A">
        <w:rPr>
          <w:lang w:val="en-US"/>
        </w:rPr>
        <w:instrText>to</w:instrText>
      </w:r>
      <w:r w:rsidR="00A6794A" w:rsidRPr="00AA43FB">
        <w:instrText xml:space="preserve"> </w:instrText>
      </w:r>
      <w:r w:rsidR="00A6794A">
        <w:rPr>
          <w:lang w:val="en-US"/>
        </w:rPr>
        <w:instrText>rituximab</w:instrText>
      </w:r>
      <w:r w:rsidR="00A6794A" w:rsidRPr="00AA43FB">
        <w:instrText xml:space="preserve"> </w:instrText>
      </w:r>
      <w:r w:rsidR="00A6794A">
        <w:rPr>
          <w:lang w:val="en-US"/>
        </w:rPr>
        <w:instrText>therapy</w:instrText>
      </w:r>
      <w:r w:rsidR="00A6794A" w:rsidRPr="00AA43FB">
        <w:instrText xml:space="preserve"> </w:instrText>
      </w:r>
      <w:r w:rsidR="00A6794A">
        <w:rPr>
          <w:lang w:val="en-US"/>
        </w:rPr>
        <w:instrText>in areas with low levels of healthcare resources, including IV-chair capacity constraints. This article is a companion paper to G. Salles, et al., which is also published in this issue. Funding: F. Hoffmann-La Roche Ltd.","author":[{"dropping-particle":"","family":"Davies","given":"Andrew","non-dropping-particle":"","parse-names":false,"suffix":""},{"dropping-particle":"","family":"Berge","given":"Claude","non-dropping-particle":"","parse-names":false,"suffix":""},{"dropping-particle":"","family":"Boehnke","given":"Axel","non-dropping-particle":"","parse-names":false,"suffix":""},{"dropping-particle":"","family":"Dadabhoy","given":"Anjum","non-dropping-particle":"","parse-names":false,"suffix":""},{"dropping-particle":"","family":"Lugtenburg","given":"Pieternella","non-dropping-particle":"","parse-names":false,"suffix":""},{"dropping-particle":"","family":"Rule","given":"Simon","non-dropping-particle":"","parse-names":false,"suffix":""},{"dropping-particle":"","family":"Rummel","given":"Mathias","non-dropping-particle":"","parse-names":false,"suffix":""},{"dropping-particle":"","family":"McIntyre","given":"Christine","non-dropping-particle":"","parse-names":false,"suffix":""},{"dropping-particle":"","family":"Smith","given":"Rodney","non-dropping-particle":"","parse-names":false,"suffix":""},{"dropping-particle":"","family":"Badoux","given":"Xavier","non-dropping-particle":"","parse-names":false,"suffix":""}],"container-title":"Advances in Therapy","id":"ITEM-2","issue":"10","issued":{"date-parts":[["2017","10","1"]]},"page":"2210-2231","publisher":"Springer Healthcare","title":"Subcutaneous Rituximab for the Treatment of B-Cell Hematologic Malignancies: A Review of the Scientific Rationale and Clinical Development","type":"article","volume":"34"},"uris":["http://www.mendeley.com/documents/?uuid=c91e99c4-7e72-3803-909e-84f3e662a6e0"]},{"id":"ITEM-3","itemData":{"DOI":"10.1111/bjh.16227","ISSN":"0007-1048","abstract":"Rituximab is a standard treatment for non-Hodgkin diffuse large B-cell (DLBCL) and follicular (FL) lymphomas. A subcutaneous formulation was developed to improve the resource use of intravenous rituximab, with comparable efficacy and safety profiles except for increased administration-related reactions (ARRs). MabRella was a phase IIIb trial to assess the safety of switching from intravenous to subcutaneous administration of rituximab during first-line induction/maintenance for DLBCL or FL, focusing on ARRs. Efficacy, satisfaction and quality of life were also assessed. Patients received subcutaneous rituximab plus standard induction chemotherapy for DLBCL or FL for 4–7 cycles, and/or every 2 months maintenance monotherapy for FL for 6–12 cycles. The study included 140 patients: DLBCL, n = 29; FL, n = 111. Ninety-five percent of patients experienced adverse events, reaching grade ≥3 in 38·6% and were serious in 30·0%. AARs occurred in 48·6%, mostly (84·9%) at the injection site, with only 2·1% of patients reaching grade 3. The end-of-induction complete/unconfirmed complete response rate was 69·6%. After a median follow-up of 33·5 months, median disease-/event-/progression-free and overall survivals were not attained. The Rituximab Administration Satisfaction Questionnaire showed improvements in overall satisfaction and the EuroQoL-5D a good quality-of-life perception at induction/maintenance end. Therefore, switching to subcutaneous rituximab showed no new safety issues and maintained efficacy with improved satisfaction and quality of life.","author":[{"dropping-particle":"","family":"García‐Muñoz","given":"Ricardo","non-dropping-particle":"","parse-names":false,"suffix":""},{"dropping-particle":"","family":"Quero","given":"Cristina","non-dropping-particle":"","parse-names":false,"suffix":""},{"dropping-particle":"","family":"Pérez‐Persona","given":"Ernesto","non-dropping-particle":"","parse-names":false,"suffix":""},{"dropping-particle":"","family":"Domingo‐García","given":"Abel","non-dropping-particle":"","parse-names":false,"suffix":""},{"dropping-particle":"","family":"Pérez‐López","given":"Cristina","non-dropping-particle":"","parse-names":false,"suffix":""},{"dropping-particle":"","family":"Villaescusa‐de‐la‐Rosa","given":"Teresa","non-dropping-particle":"","parse-names":false,"suffix":""},{"dropping-particle":"","family":"Martínez‐Castro","given":"Ana M.","non-dropping-particle":"","parse-names":false,"suffix":""},{"dropping-particle":"","family":"Arguiñano‐Pérez","given":"José M.","non-dropping-particle":"","parse-names":false,"suffix":""},{"dropping-particle":"","family":"Parra‐Cuadrado","given":"Juan F.","non-dropping-particle":"","parse-names":false,"suffix":""},{"dropping-particle":"","family":"Panizo","given":"Carlos","non-dropping-particle":"","parse-names":false,"suffix":""}],"container-title":"British Journal of Haematology","id":"ITEM-3","issue":"5","issued":{"date-parts":[["2020","3","1"]]},"page":"661-673","publisher":"Blackwell Publishing Ltd","title":"Safety of switching from intravenous to subcutaneous rituximab during first‐line treatment of patients with non‐Hodgkin lymphoma: the Spanish population of the MabRella study","type":"article-journal","volume":"188"},"uris":["http://www.mendeley.com/documents/?uuid=89ca4d25-771e-3d22-9da5-61e99fb5ec3e"]},{"id":"ITEM-4","itemData":{"DOI":"10.3747/co.24.3470","ISSN":"17187729","abstract":"Rituximab is widely used for the treatment of non-Hodgkin lymphoma, being a key component in most therapeutic regimens. Administration of the intravenous (IV) formulation is lengthy and places a significant burden on health care resources and patient quality of life. A subcutaneous (sc) formulation that provides a fixed dose of rituximab is being examined in a number of studies. Results indicate that the pharmacokinetics are noninferior and response rates are comparable to those obtained with the IV formulation. Moreover, the sc formulation is preferred by patients and health care providers and reduces administration and chair time. Additional advantages include a lesser potential for dosing errors, shorter preparation time, reduced drug wastage, and fewer infusion-related reactions. Despite the success of the sc formulation</w:instrText>
      </w:r>
      <w:r w:rsidR="00A6794A" w:rsidRPr="00D3550C">
        <w:instrText xml:space="preserve">, </w:instrText>
      </w:r>
      <w:r w:rsidR="00A6794A">
        <w:rPr>
          <w:lang w:val="en-US"/>
        </w:rPr>
        <w:instrText>correct</w:instrText>
      </w:r>
      <w:r w:rsidR="00A6794A" w:rsidRPr="00D3550C">
        <w:instrText xml:space="preserve"> </w:instrText>
      </w:r>
      <w:r w:rsidR="00A6794A">
        <w:rPr>
          <w:lang w:val="en-US"/>
        </w:rPr>
        <w:instrText>administration</w:instrText>
      </w:r>
      <w:r w:rsidR="00A6794A" w:rsidRPr="00D3550C">
        <w:instrText xml:space="preserve"> </w:instrText>
      </w:r>
      <w:r w:rsidR="00A6794A">
        <w:rPr>
          <w:lang w:val="en-US"/>
        </w:rPr>
        <w:instrText>is</w:instrText>
      </w:r>
      <w:r w:rsidR="00A6794A" w:rsidRPr="00D3550C">
        <w:instrText xml:space="preserve"> </w:instrText>
      </w:r>
      <w:r w:rsidR="00A6794A">
        <w:rPr>
          <w:lang w:val="en-US"/>
        </w:rPr>
        <w:instrText>needed</w:instrText>
      </w:r>
      <w:r w:rsidR="00A6794A" w:rsidRPr="00D3550C">
        <w:instrText xml:space="preserve"> </w:instrText>
      </w:r>
      <w:r w:rsidR="00A6794A">
        <w:rPr>
          <w:lang w:val="en-US"/>
        </w:rPr>
        <w:instrText>to</w:instrText>
      </w:r>
      <w:r w:rsidR="00A6794A" w:rsidRPr="00D3550C">
        <w:instrText xml:space="preserve"> </w:instrText>
      </w:r>
      <w:r w:rsidR="00A6794A">
        <w:rPr>
          <w:lang w:val="en-US"/>
        </w:rPr>
        <w:instrText>reduce</w:instrText>
      </w:r>
      <w:r w:rsidR="00A6794A" w:rsidRPr="00D3550C">
        <w:instrText xml:space="preserve"> </w:instrText>
      </w:r>
      <w:r w:rsidR="00A6794A">
        <w:rPr>
          <w:lang w:val="en-US"/>
        </w:rPr>
        <w:instrText>administration</w:instrText>
      </w:r>
      <w:r w:rsidR="00A6794A" w:rsidRPr="00D3550C">
        <w:instrText>-</w:instrText>
      </w:r>
      <w:r w:rsidR="00A6794A">
        <w:rPr>
          <w:lang w:val="en-US"/>
        </w:rPr>
        <w:instrText>related</w:instrText>
      </w:r>
      <w:r w:rsidR="00A6794A" w:rsidRPr="00D3550C">
        <w:instrText xml:space="preserve"> </w:instrText>
      </w:r>
      <w:r w:rsidR="00A6794A">
        <w:rPr>
          <w:lang w:val="en-US"/>
        </w:rPr>
        <w:instrText>reactions</w:instrText>
      </w:r>
      <w:r w:rsidR="00A6794A" w:rsidRPr="00D3550C">
        <w:instrText xml:space="preserve">. </w:instrText>
      </w:r>
      <w:r w:rsidR="00A6794A">
        <w:rPr>
          <w:lang w:val="en-US"/>
        </w:rPr>
        <w:instrText>By</w:instrText>
      </w:r>
      <w:r w:rsidR="00A6794A" w:rsidRPr="00D3550C">
        <w:instrText xml:space="preserve"> </w:instrText>
      </w:r>
      <w:r w:rsidR="00A6794A">
        <w:rPr>
          <w:lang w:val="en-US"/>
        </w:rPr>
        <w:instrText>using</w:instrText>
      </w:r>
      <w:r w:rsidR="00A6794A" w:rsidRPr="00D3550C">
        <w:instrText xml:space="preserve"> </w:instrText>
      </w:r>
      <w:r w:rsidR="00A6794A">
        <w:rPr>
          <w:lang w:val="en-US"/>
        </w:rPr>
        <w:instrText>a</w:instrText>
      </w:r>
      <w:r w:rsidR="00A6794A" w:rsidRPr="00D3550C">
        <w:instrText xml:space="preserve"> </w:instrText>
      </w:r>
      <w:r w:rsidR="00A6794A">
        <w:rPr>
          <w:lang w:val="en-US"/>
        </w:rPr>
        <w:instrText>careful</w:instrText>
      </w:r>
      <w:r w:rsidR="00A6794A" w:rsidRPr="00D3550C">
        <w:instrText xml:space="preserve"> </w:instrText>
      </w:r>
      <w:r w:rsidR="00A6794A">
        <w:rPr>
          <w:lang w:val="en-US"/>
        </w:rPr>
        <w:instrText>procedure</w:instrText>
      </w:r>
      <w:r w:rsidR="00A6794A" w:rsidRPr="00D3550C">
        <w:instrText xml:space="preserve">, </w:instrText>
      </w:r>
      <w:r w:rsidR="00A6794A">
        <w:rPr>
          <w:lang w:val="en-US"/>
        </w:rPr>
        <w:instrText>the</w:instrText>
      </w:r>
      <w:r w:rsidR="00A6794A" w:rsidRPr="00D3550C">
        <w:instrText xml:space="preserve"> </w:instrText>
      </w:r>
      <w:r w:rsidR="00A6794A">
        <w:rPr>
          <w:lang w:val="en-US"/>
        </w:rPr>
        <w:instrText>sc</w:instrText>
      </w:r>
      <w:r w:rsidR="00A6794A" w:rsidRPr="00D3550C">
        <w:instrText xml:space="preserve"> </w:instrText>
      </w:r>
      <w:r w:rsidR="00A6794A">
        <w:rPr>
          <w:lang w:val="en-US"/>
        </w:rPr>
        <w:instrText>formulation</w:instrText>
      </w:r>
      <w:r w:rsidR="00A6794A" w:rsidRPr="00D3550C">
        <w:instrText xml:space="preserve"> </w:instrText>
      </w:r>
      <w:r w:rsidR="00A6794A">
        <w:rPr>
          <w:lang w:val="en-US"/>
        </w:rPr>
        <w:instrText>can</w:instrText>
      </w:r>
      <w:r w:rsidR="00A6794A" w:rsidRPr="00D3550C">
        <w:instrText xml:space="preserve"> </w:instrText>
      </w:r>
      <w:r w:rsidR="00A6794A">
        <w:rPr>
          <w:lang w:val="en-US"/>
        </w:rPr>
        <w:instrText>be</w:instrText>
      </w:r>
      <w:r w:rsidR="00A6794A" w:rsidRPr="00D3550C">
        <w:instrText xml:space="preserve"> </w:instrText>
      </w:r>
      <w:r w:rsidR="00A6794A">
        <w:rPr>
          <w:lang w:val="en-US"/>
        </w:rPr>
        <w:instrText>given</w:instrText>
      </w:r>
      <w:r w:rsidR="00A6794A" w:rsidRPr="00D3550C">
        <w:instrText xml:space="preserve"> </w:instrText>
      </w:r>
      <w:r w:rsidR="00A6794A">
        <w:rPr>
          <w:lang w:val="en-US"/>
        </w:rPr>
        <w:instrText>safely</w:instrText>
      </w:r>
      <w:r w:rsidR="00A6794A" w:rsidRPr="00D3550C">
        <w:instrText xml:space="preserve"> </w:instrText>
      </w:r>
      <w:r w:rsidR="00A6794A">
        <w:rPr>
          <w:lang w:val="en-US"/>
        </w:rPr>
        <w:instrText>and</w:instrText>
      </w:r>
      <w:r w:rsidR="00A6794A" w:rsidRPr="00D3550C">
        <w:instrText xml:space="preserve"> </w:instrText>
      </w:r>
      <w:r w:rsidR="00A6794A">
        <w:rPr>
          <w:lang w:val="en-US"/>
        </w:rPr>
        <w:instrText>effectively</w:instrText>
      </w:r>
      <w:r w:rsidR="00A6794A" w:rsidRPr="00D3550C">
        <w:instrText xml:space="preserve">, </w:instrText>
      </w:r>
      <w:r w:rsidR="00A6794A">
        <w:rPr>
          <w:lang w:val="en-US"/>
        </w:rPr>
        <w:instrText>potentially</w:instrText>
      </w:r>
      <w:r w:rsidR="00A6794A" w:rsidRPr="00D3550C">
        <w:instrText xml:space="preserve"> </w:instrText>
      </w:r>
      <w:r w:rsidR="00A6794A">
        <w:rPr>
          <w:lang w:val="en-US"/>
        </w:rPr>
        <w:instrText>reducing</w:instrText>
      </w:r>
      <w:r w:rsidR="00A6794A" w:rsidRPr="00D3550C">
        <w:instrText xml:space="preserve"> </w:instrText>
      </w:r>
      <w:r w:rsidR="00A6794A">
        <w:rPr>
          <w:lang w:val="en-US"/>
        </w:rPr>
        <w:instrText>the</w:instrText>
      </w:r>
      <w:r w:rsidR="00A6794A" w:rsidRPr="00D3550C">
        <w:instrText xml:space="preserve"> </w:instrText>
      </w:r>
      <w:r w:rsidR="00A6794A">
        <w:rPr>
          <w:lang w:val="en-US"/>
        </w:rPr>
        <w:instrText>burden</w:instrText>
      </w:r>
      <w:r w:rsidR="00A6794A" w:rsidRPr="00D3550C">
        <w:instrText xml:space="preserve"> </w:instrText>
      </w:r>
      <w:r w:rsidR="00A6794A">
        <w:rPr>
          <w:lang w:val="en-US"/>
        </w:rPr>
        <w:instrText>on</w:instrText>
      </w:r>
      <w:r w:rsidR="00A6794A" w:rsidRPr="00D3550C">
        <w:instrText xml:space="preserve"> </w:instrText>
      </w:r>
      <w:r w:rsidR="00A6794A">
        <w:rPr>
          <w:lang w:val="en-US"/>
        </w:rPr>
        <w:instrText>health</w:instrText>
      </w:r>
      <w:r w:rsidR="00A6794A" w:rsidRPr="00D3550C">
        <w:instrText xml:space="preserve"> </w:instrText>
      </w:r>
      <w:r w:rsidR="00A6794A">
        <w:rPr>
          <w:lang w:val="en-US"/>
        </w:rPr>
        <w:instrText>care</w:instrText>
      </w:r>
      <w:r w:rsidR="00A6794A" w:rsidRPr="00D3550C">
        <w:instrText xml:space="preserve"> </w:instrText>
      </w:r>
      <w:r w:rsidR="00A6794A">
        <w:rPr>
          <w:lang w:val="en-US"/>
        </w:rPr>
        <w:instrText>resources</w:instrText>
      </w:r>
      <w:r w:rsidR="00A6794A" w:rsidRPr="00D3550C">
        <w:instrText xml:space="preserve"> </w:instrText>
      </w:r>
      <w:r w:rsidR="00A6794A">
        <w:rPr>
          <w:lang w:val="en-US"/>
        </w:rPr>
        <w:instrText>and</w:instrText>
      </w:r>
      <w:r w:rsidR="00A6794A" w:rsidRPr="00D3550C">
        <w:instrText xml:space="preserve"> </w:instrText>
      </w:r>
      <w:r w:rsidR="00A6794A">
        <w:rPr>
          <w:lang w:val="en-US"/>
        </w:rPr>
        <w:instrText>improving</w:instrText>
      </w:r>
      <w:r w:rsidR="00A6794A" w:rsidRPr="00D3550C">
        <w:instrText xml:space="preserve"> </w:instrText>
      </w:r>
      <w:r w:rsidR="00A6794A">
        <w:rPr>
          <w:lang w:val="en-US"/>
        </w:rPr>
        <w:instrText>quality</w:instrText>
      </w:r>
      <w:r w:rsidR="00A6794A" w:rsidRPr="00D3550C">
        <w:instrText xml:space="preserve"> </w:instrText>
      </w:r>
      <w:r w:rsidR="00A6794A">
        <w:rPr>
          <w:lang w:val="en-US"/>
        </w:rPr>
        <w:instrText>of</w:instrText>
      </w:r>
      <w:r w:rsidR="00A6794A" w:rsidRPr="00D3550C">
        <w:instrText xml:space="preserve"> </w:instrText>
      </w:r>
      <w:r w:rsidR="00A6794A">
        <w:rPr>
          <w:lang w:val="en-US"/>
        </w:rPr>
        <w:instrText>life</w:instrText>
      </w:r>
      <w:r w:rsidR="00A6794A" w:rsidRPr="00D3550C">
        <w:instrText xml:space="preserve"> </w:instrText>
      </w:r>
      <w:r w:rsidR="00A6794A">
        <w:rPr>
          <w:lang w:val="en-US"/>
        </w:rPr>
        <w:instrText>for</w:instrText>
      </w:r>
      <w:r w:rsidR="00A6794A" w:rsidRPr="00D3550C">
        <w:instrText xml:space="preserve"> </w:instrText>
      </w:r>
      <w:r w:rsidR="00A6794A">
        <w:rPr>
          <w:lang w:val="en-US"/>
        </w:rPr>
        <w:instrText>patients</w:instrText>
      </w:r>
      <w:r w:rsidR="00A6794A" w:rsidRPr="00D3550C">
        <w:instrText>.","</w:instrText>
      </w:r>
      <w:r w:rsidR="00A6794A">
        <w:rPr>
          <w:lang w:val="en-US"/>
        </w:rPr>
        <w:instrText>author</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family</w:instrText>
      </w:r>
      <w:r w:rsidR="00A6794A" w:rsidRPr="00D3550C">
        <w:instrText>":"</w:instrText>
      </w:r>
      <w:r w:rsidR="00A6794A">
        <w:rPr>
          <w:lang w:val="en-US"/>
        </w:rPr>
        <w:instrText>Macdonald</w:instrText>
      </w:r>
      <w:r w:rsidR="00A6794A" w:rsidRPr="00D3550C">
        <w:instrText>","</w:instrText>
      </w:r>
      <w:r w:rsidR="00A6794A">
        <w:rPr>
          <w:lang w:val="en-US"/>
        </w:rPr>
        <w:instrText>given</w:instrText>
      </w:r>
      <w:r w:rsidR="00A6794A" w:rsidRPr="00D3550C">
        <w:instrText>":"</w:instrText>
      </w:r>
      <w:r w:rsidR="00A6794A">
        <w:rPr>
          <w:lang w:val="en-US"/>
        </w:rPr>
        <w:instrText>David</w:instrText>
      </w:r>
      <w:r w:rsidR="00A6794A" w:rsidRPr="00D3550C">
        <w:instrText>","</w:instrText>
      </w:r>
      <w:r w:rsidR="00A6794A">
        <w:rPr>
          <w:lang w:val="en-US"/>
        </w:rPr>
        <w:instrText>non</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parse</w:instrText>
      </w:r>
      <w:r w:rsidR="00A6794A" w:rsidRPr="00D3550C">
        <w:instrText>-</w:instrText>
      </w:r>
      <w:r w:rsidR="00A6794A">
        <w:rPr>
          <w:lang w:val="en-US"/>
        </w:rPr>
        <w:instrText>names</w:instrText>
      </w:r>
      <w:r w:rsidR="00A6794A" w:rsidRPr="00D3550C">
        <w:instrText>":</w:instrText>
      </w:r>
      <w:r w:rsidR="00A6794A">
        <w:rPr>
          <w:lang w:val="en-US"/>
        </w:rPr>
        <w:instrText>false</w:instrText>
      </w:r>
      <w:r w:rsidR="00A6794A" w:rsidRPr="00D3550C">
        <w:instrText>,"</w:instrText>
      </w:r>
      <w:r w:rsidR="00A6794A">
        <w:rPr>
          <w:lang w:val="en-US"/>
        </w:rPr>
        <w:instrText>suffix</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family</w:instrText>
      </w:r>
      <w:r w:rsidR="00A6794A" w:rsidRPr="00D3550C">
        <w:instrText>":"</w:instrText>
      </w:r>
      <w:r w:rsidR="00A6794A">
        <w:rPr>
          <w:lang w:val="en-US"/>
        </w:rPr>
        <w:instrText>Crosbie</w:instrText>
      </w:r>
      <w:r w:rsidR="00A6794A" w:rsidRPr="00D3550C">
        <w:instrText>","</w:instrText>
      </w:r>
      <w:r w:rsidR="00A6794A">
        <w:rPr>
          <w:lang w:val="en-US"/>
        </w:rPr>
        <w:instrText>given</w:instrText>
      </w:r>
      <w:r w:rsidR="00A6794A" w:rsidRPr="00D3550C">
        <w:instrText>":"</w:instrText>
      </w:r>
      <w:r w:rsidR="00A6794A">
        <w:rPr>
          <w:lang w:val="en-US"/>
        </w:rPr>
        <w:instrText>T</w:instrText>
      </w:r>
      <w:r w:rsidR="00A6794A" w:rsidRPr="00D3550C">
        <w:instrText>.","</w:instrText>
      </w:r>
      <w:r w:rsidR="00A6794A">
        <w:rPr>
          <w:lang w:val="en-US"/>
        </w:rPr>
        <w:instrText>non</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parse</w:instrText>
      </w:r>
      <w:r w:rsidR="00A6794A" w:rsidRPr="00D3550C">
        <w:instrText>-</w:instrText>
      </w:r>
      <w:r w:rsidR="00A6794A">
        <w:rPr>
          <w:lang w:val="en-US"/>
        </w:rPr>
        <w:instrText>names</w:instrText>
      </w:r>
      <w:r w:rsidR="00A6794A" w:rsidRPr="00D3550C">
        <w:instrText>":</w:instrText>
      </w:r>
      <w:r w:rsidR="00A6794A">
        <w:rPr>
          <w:lang w:val="en-US"/>
        </w:rPr>
        <w:instrText>false</w:instrText>
      </w:r>
      <w:r w:rsidR="00A6794A" w:rsidRPr="00D3550C">
        <w:instrText>,"</w:instrText>
      </w:r>
      <w:r w:rsidR="00A6794A">
        <w:rPr>
          <w:lang w:val="en-US"/>
        </w:rPr>
        <w:instrText>suffix</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family</w:instrText>
      </w:r>
      <w:r w:rsidR="00A6794A" w:rsidRPr="00D3550C">
        <w:instrText>":"</w:instrText>
      </w:r>
      <w:r w:rsidR="00A6794A">
        <w:rPr>
          <w:lang w:val="en-US"/>
        </w:rPr>
        <w:instrText>Christofides</w:instrText>
      </w:r>
      <w:r w:rsidR="00A6794A" w:rsidRPr="00D3550C">
        <w:instrText>","</w:instrText>
      </w:r>
      <w:r w:rsidR="00A6794A">
        <w:rPr>
          <w:lang w:val="en-US"/>
        </w:rPr>
        <w:instrText>given</w:instrText>
      </w:r>
      <w:r w:rsidR="00A6794A" w:rsidRPr="00D3550C">
        <w:instrText>":"</w:instrText>
      </w:r>
      <w:r w:rsidR="00A6794A">
        <w:rPr>
          <w:lang w:val="en-US"/>
        </w:rPr>
        <w:instrText>A</w:instrText>
      </w:r>
      <w:r w:rsidR="00A6794A" w:rsidRPr="00D3550C">
        <w:instrText>.","</w:instrText>
      </w:r>
      <w:r w:rsidR="00A6794A">
        <w:rPr>
          <w:lang w:val="en-US"/>
        </w:rPr>
        <w:instrText>non</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parse</w:instrText>
      </w:r>
      <w:r w:rsidR="00A6794A" w:rsidRPr="00D3550C">
        <w:instrText>-</w:instrText>
      </w:r>
      <w:r w:rsidR="00A6794A">
        <w:rPr>
          <w:lang w:val="en-US"/>
        </w:rPr>
        <w:instrText>names</w:instrText>
      </w:r>
      <w:r w:rsidR="00A6794A" w:rsidRPr="00D3550C">
        <w:instrText>":</w:instrText>
      </w:r>
      <w:r w:rsidR="00A6794A">
        <w:rPr>
          <w:lang w:val="en-US"/>
        </w:rPr>
        <w:instrText>false</w:instrText>
      </w:r>
      <w:r w:rsidR="00A6794A" w:rsidRPr="00D3550C">
        <w:instrText>,"</w:instrText>
      </w:r>
      <w:r w:rsidR="00A6794A">
        <w:rPr>
          <w:lang w:val="en-US"/>
        </w:rPr>
        <w:instrText>suffix</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family</w:instrText>
      </w:r>
      <w:r w:rsidR="00A6794A" w:rsidRPr="00D3550C">
        <w:instrText>":"</w:instrText>
      </w:r>
      <w:r w:rsidR="00A6794A">
        <w:rPr>
          <w:lang w:val="en-US"/>
        </w:rPr>
        <w:instrText>Assaily</w:instrText>
      </w:r>
      <w:r w:rsidR="00A6794A" w:rsidRPr="00D3550C">
        <w:instrText>","</w:instrText>
      </w:r>
      <w:r w:rsidR="00A6794A">
        <w:rPr>
          <w:lang w:val="en-US"/>
        </w:rPr>
        <w:instrText>given</w:instrText>
      </w:r>
      <w:r w:rsidR="00A6794A" w:rsidRPr="00D3550C">
        <w:instrText>":"</w:instrText>
      </w:r>
      <w:r w:rsidR="00A6794A">
        <w:rPr>
          <w:lang w:val="en-US"/>
        </w:rPr>
        <w:instrText>W</w:instrText>
      </w:r>
      <w:r w:rsidR="00A6794A" w:rsidRPr="00D3550C">
        <w:instrText>.","</w:instrText>
      </w:r>
      <w:r w:rsidR="00A6794A">
        <w:rPr>
          <w:lang w:val="en-US"/>
        </w:rPr>
        <w:instrText>non</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parse</w:instrText>
      </w:r>
      <w:r w:rsidR="00A6794A" w:rsidRPr="00D3550C">
        <w:instrText>-</w:instrText>
      </w:r>
      <w:r w:rsidR="00A6794A">
        <w:rPr>
          <w:lang w:val="en-US"/>
        </w:rPr>
        <w:instrText>names</w:instrText>
      </w:r>
      <w:r w:rsidR="00A6794A" w:rsidRPr="00D3550C">
        <w:instrText>":</w:instrText>
      </w:r>
      <w:r w:rsidR="00A6794A">
        <w:rPr>
          <w:lang w:val="en-US"/>
        </w:rPr>
        <w:instrText>false</w:instrText>
      </w:r>
      <w:r w:rsidR="00A6794A" w:rsidRPr="00D3550C">
        <w:instrText>,"</w:instrText>
      </w:r>
      <w:r w:rsidR="00A6794A">
        <w:rPr>
          <w:lang w:val="en-US"/>
        </w:rPr>
        <w:instrText>suffix</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family</w:instrText>
      </w:r>
      <w:r w:rsidR="00A6794A" w:rsidRPr="00D3550C">
        <w:instrText>":"</w:instrText>
      </w:r>
      <w:r w:rsidR="00A6794A">
        <w:rPr>
          <w:lang w:val="en-US"/>
        </w:rPr>
        <w:instrText>Wiernikowski</w:instrText>
      </w:r>
      <w:r w:rsidR="00A6794A" w:rsidRPr="00D3550C">
        <w:instrText>","</w:instrText>
      </w:r>
      <w:r w:rsidR="00A6794A">
        <w:rPr>
          <w:lang w:val="en-US"/>
        </w:rPr>
        <w:instrText>given</w:instrText>
      </w:r>
      <w:r w:rsidR="00A6794A" w:rsidRPr="00D3550C">
        <w:instrText>":"</w:instrText>
      </w:r>
      <w:r w:rsidR="00A6794A">
        <w:rPr>
          <w:lang w:val="en-US"/>
        </w:rPr>
        <w:instrText>J</w:instrText>
      </w:r>
      <w:r w:rsidR="00A6794A" w:rsidRPr="00D3550C">
        <w:instrText>.","</w:instrText>
      </w:r>
      <w:r w:rsidR="00A6794A">
        <w:rPr>
          <w:lang w:val="en-US"/>
        </w:rPr>
        <w:instrText>non</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parse</w:instrText>
      </w:r>
      <w:r w:rsidR="00A6794A" w:rsidRPr="00D3550C">
        <w:instrText>-</w:instrText>
      </w:r>
      <w:r w:rsidR="00A6794A">
        <w:rPr>
          <w:lang w:val="en-US"/>
        </w:rPr>
        <w:instrText>names</w:instrText>
      </w:r>
      <w:r w:rsidR="00A6794A" w:rsidRPr="00D3550C">
        <w:instrText>":</w:instrText>
      </w:r>
      <w:r w:rsidR="00A6794A">
        <w:rPr>
          <w:lang w:val="en-US"/>
        </w:rPr>
        <w:instrText>false</w:instrText>
      </w:r>
      <w:r w:rsidR="00A6794A" w:rsidRPr="00D3550C">
        <w:instrText>,"</w:instrText>
      </w:r>
      <w:r w:rsidR="00A6794A">
        <w:rPr>
          <w:lang w:val="en-US"/>
        </w:rPr>
        <w:instrText>suffix</w:instrText>
      </w:r>
      <w:r w:rsidR="00A6794A" w:rsidRPr="00D3550C">
        <w:instrText>":""}],"</w:instrText>
      </w:r>
      <w:r w:rsidR="00A6794A">
        <w:rPr>
          <w:lang w:val="en-US"/>
        </w:rPr>
        <w:instrText>container</w:instrText>
      </w:r>
      <w:r w:rsidR="00A6794A" w:rsidRPr="00D3550C">
        <w:instrText>-</w:instrText>
      </w:r>
      <w:r w:rsidR="00A6794A">
        <w:rPr>
          <w:lang w:val="en-US"/>
        </w:rPr>
        <w:instrText>title</w:instrText>
      </w:r>
      <w:r w:rsidR="00A6794A" w:rsidRPr="00D3550C">
        <w:instrText>":"</w:instrText>
      </w:r>
      <w:r w:rsidR="00A6794A">
        <w:rPr>
          <w:lang w:val="en-US"/>
        </w:rPr>
        <w:instrText>Current</w:instrText>
      </w:r>
      <w:r w:rsidR="00A6794A" w:rsidRPr="00D3550C">
        <w:instrText xml:space="preserve"> </w:instrText>
      </w:r>
      <w:r w:rsidR="00A6794A">
        <w:rPr>
          <w:lang w:val="en-US"/>
        </w:rPr>
        <w:instrText>Oncology</w:instrText>
      </w:r>
      <w:r w:rsidR="00A6794A" w:rsidRPr="00D3550C">
        <w:instrText>","</w:instrText>
      </w:r>
      <w:r w:rsidR="00A6794A">
        <w:rPr>
          <w:lang w:val="en-US"/>
        </w:rPr>
        <w:instrText>id</w:instrText>
      </w:r>
      <w:r w:rsidR="00A6794A" w:rsidRPr="00D3550C">
        <w:instrText>":"</w:instrText>
      </w:r>
      <w:r w:rsidR="00A6794A">
        <w:rPr>
          <w:lang w:val="en-US"/>
        </w:rPr>
        <w:instrText>ITEM</w:instrText>
      </w:r>
      <w:r w:rsidR="00A6794A" w:rsidRPr="00D3550C">
        <w:instrText>-4","</w:instrText>
      </w:r>
      <w:r w:rsidR="00A6794A">
        <w:rPr>
          <w:lang w:val="en-US"/>
        </w:rPr>
        <w:instrText>issue</w:instrText>
      </w:r>
      <w:r w:rsidR="00A6794A" w:rsidRPr="00D3550C">
        <w:instrText>":"1","</w:instrText>
      </w:r>
      <w:r w:rsidR="00A6794A">
        <w:rPr>
          <w:lang w:val="en-US"/>
        </w:rPr>
        <w:instrText>issued</w:instrText>
      </w:r>
      <w:r w:rsidR="00A6794A" w:rsidRPr="00D3550C">
        <w:instrText>":{"</w:instrText>
      </w:r>
      <w:r w:rsidR="00A6794A">
        <w:rPr>
          <w:lang w:val="en-US"/>
        </w:rPr>
        <w:instrText>date</w:instrText>
      </w:r>
      <w:r w:rsidR="00A6794A" w:rsidRPr="00D3550C">
        <w:instrText>-</w:instrText>
      </w:r>
      <w:r w:rsidR="00A6794A">
        <w:rPr>
          <w:lang w:val="en-US"/>
        </w:rPr>
        <w:instrText>parts</w:instrText>
      </w:r>
      <w:r w:rsidR="00A6794A" w:rsidRPr="00D3550C">
        <w:instrText>":[["2017"]]},"</w:instrText>
      </w:r>
      <w:r w:rsidR="00A6794A">
        <w:rPr>
          <w:lang w:val="en-US"/>
        </w:rPr>
        <w:instrText>page</w:instrText>
      </w:r>
      <w:r w:rsidR="00A6794A" w:rsidRPr="00D3550C">
        <w:instrText>":"33-39","</w:instrText>
      </w:r>
      <w:r w:rsidR="00A6794A">
        <w:rPr>
          <w:lang w:val="en-US"/>
        </w:rPr>
        <w:instrText>publisher</w:instrText>
      </w:r>
      <w:r w:rsidR="00A6794A" w:rsidRPr="00D3550C">
        <w:instrText>":"</w:instrText>
      </w:r>
      <w:r w:rsidR="00A6794A">
        <w:rPr>
          <w:lang w:val="en-US"/>
        </w:rPr>
        <w:instrText>Multimed</w:instrText>
      </w:r>
      <w:r w:rsidR="00A6794A" w:rsidRPr="00D3550C">
        <w:instrText xml:space="preserve"> </w:instrText>
      </w:r>
      <w:r w:rsidR="00A6794A">
        <w:rPr>
          <w:lang w:val="en-US"/>
        </w:rPr>
        <w:instrText>Inc</w:instrText>
      </w:r>
      <w:r w:rsidR="00A6794A" w:rsidRPr="00D3550C">
        <w:instrText>.","</w:instrText>
      </w:r>
      <w:r w:rsidR="00A6794A">
        <w:rPr>
          <w:lang w:val="en-US"/>
        </w:rPr>
        <w:instrText>title</w:instrText>
      </w:r>
      <w:r w:rsidR="00A6794A" w:rsidRPr="00D3550C">
        <w:instrText>":"</w:instrText>
      </w:r>
      <w:r w:rsidR="00A6794A">
        <w:rPr>
          <w:lang w:val="en-US"/>
        </w:rPr>
        <w:instrText>A</w:instrText>
      </w:r>
      <w:r w:rsidR="00A6794A" w:rsidRPr="00D3550C">
        <w:instrText xml:space="preserve"> </w:instrText>
      </w:r>
      <w:r w:rsidR="00A6794A">
        <w:rPr>
          <w:lang w:val="en-US"/>
        </w:rPr>
        <w:instrText>canadian</w:instrText>
      </w:r>
      <w:r w:rsidR="00A6794A" w:rsidRPr="00D3550C">
        <w:instrText xml:space="preserve"> </w:instrText>
      </w:r>
      <w:r w:rsidR="00A6794A">
        <w:rPr>
          <w:lang w:val="en-US"/>
        </w:rPr>
        <w:instrText>perspective</w:instrText>
      </w:r>
      <w:r w:rsidR="00A6794A" w:rsidRPr="00D3550C">
        <w:instrText xml:space="preserve"> </w:instrText>
      </w:r>
      <w:r w:rsidR="00A6794A">
        <w:rPr>
          <w:lang w:val="en-US"/>
        </w:rPr>
        <w:instrText>on</w:instrText>
      </w:r>
      <w:r w:rsidR="00A6794A" w:rsidRPr="00D3550C">
        <w:instrText xml:space="preserve"> </w:instrText>
      </w:r>
      <w:r w:rsidR="00A6794A">
        <w:rPr>
          <w:lang w:val="en-US"/>
        </w:rPr>
        <w:instrText>the</w:instrText>
      </w:r>
      <w:r w:rsidR="00A6794A" w:rsidRPr="00D3550C">
        <w:instrText xml:space="preserve"> </w:instrText>
      </w:r>
      <w:r w:rsidR="00A6794A">
        <w:rPr>
          <w:lang w:val="en-US"/>
        </w:rPr>
        <w:instrText>subcutaneous</w:instrText>
      </w:r>
      <w:r w:rsidR="00A6794A" w:rsidRPr="00D3550C">
        <w:instrText xml:space="preserve"> </w:instrText>
      </w:r>
      <w:r w:rsidR="00A6794A">
        <w:rPr>
          <w:lang w:val="en-US"/>
        </w:rPr>
        <w:instrText>administration</w:instrText>
      </w:r>
      <w:r w:rsidR="00A6794A" w:rsidRPr="00D3550C">
        <w:instrText xml:space="preserve"> </w:instrText>
      </w:r>
      <w:r w:rsidR="00A6794A">
        <w:rPr>
          <w:lang w:val="en-US"/>
        </w:rPr>
        <w:instrText>of</w:instrText>
      </w:r>
      <w:r w:rsidR="00A6794A" w:rsidRPr="00D3550C">
        <w:instrText xml:space="preserve"> </w:instrText>
      </w:r>
      <w:r w:rsidR="00A6794A">
        <w:rPr>
          <w:lang w:val="en-US"/>
        </w:rPr>
        <w:instrText>rituximab</w:instrText>
      </w:r>
      <w:r w:rsidR="00A6794A" w:rsidRPr="00D3550C">
        <w:instrText xml:space="preserve"> </w:instrText>
      </w:r>
      <w:r w:rsidR="00A6794A">
        <w:rPr>
          <w:lang w:val="en-US"/>
        </w:rPr>
        <w:instrText>in</w:instrText>
      </w:r>
      <w:r w:rsidR="00A6794A" w:rsidRPr="00D3550C">
        <w:instrText xml:space="preserve"> </w:instrText>
      </w:r>
      <w:r w:rsidR="00A6794A">
        <w:rPr>
          <w:lang w:val="en-US"/>
        </w:rPr>
        <w:instrText>non</w:instrText>
      </w:r>
      <w:r w:rsidR="00A6794A" w:rsidRPr="00D3550C">
        <w:instrText>-</w:instrText>
      </w:r>
      <w:r w:rsidR="00A6794A">
        <w:rPr>
          <w:lang w:val="en-US"/>
        </w:rPr>
        <w:instrText>Hodgkin</w:instrText>
      </w:r>
      <w:r w:rsidR="00A6794A" w:rsidRPr="00D3550C">
        <w:instrText xml:space="preserve"> </w:instrText>
      </w:r>
      <w:r w:rsidR="00A6794A">
        <w:rPr>
          <w:lang w:val="en-US"/>
        </w:rPr>
        <w:instrText>lymphoma</w:instrText>
      </w:r>
      <w:r w:rsidR="00A6794A" w:rsidRPr="00D3550C">
        <w:instrText>","</w:instrText>
      </w:r>
      <w:r w:rsidR="00A6794A">
        <w:rPr>
          <w:lang w:val="en-US"/>
        </w:rPr>
        <w:instrText>type</w:instrText>
      </w:r>
      <w:r w:rsidR="00A6794A" w:rsidRPr="00D3550C">
        <w:instrText>":"</w:instrText>
      </w:r>
      <w:r w:rsidR="00A6794A">
        <w:rPr>
          <w:lang w:val="en-US"/>
        </w:rPr>
        <w:instrText>article</w:instrText>
      </w:r>
      <w:r w:rsidR="00A6794A" w:rsidRPr="00D3550C">
        <w:instrText>","</w:instrText>
      </w:r>
      <w:r w:rsidR="00A6794A">
        <w:rPr>
          <w:lang w:val="en-US"/>
        </w:rPr>
        <w:instrText>volume</w:instrText>
      </w:r>
      <w:r w:rsidR="00A6794A" w:rsidRPr="00D3550C">
        <w:instrText>":"24"},"</w:instrText>
      </w:r>
      <w:r w:rsidR="00A6794A">
        <w:rPr>
          <w:lang w:val="en-US"/>
        </w:rPr>
        <w:instrText>uris</w:instrText>
      </w:r>
      <w:r w:rsidR="00A6794A" w:rsidRPr="00D3550C">
        <w:instrText>":["</w:instrText>
      </w:r>
      <w:r w:rsidR="00A6794A">
        <w:rPr>
          <w:lang w:val="en-US"/>
        </w:rPr>
        <w:instrText>http</w:instrText>
      </w:r>
      <w:r w:rsidR="00A6794A" w:rsidRPr="00D3550C">
        <w:instrText>://</w:instrText>
      </w:r>
      <w:r w:rsidR="00A6794A">
        <w:rPr>
          <w:lang w:val="en-US"/>
        </w:rPr>
        <w:instrText>www</w:instrText>
      </w:r>
      <w:r w:rsidR="00A6794A" w:rsidRPr="00D3550C">
        <w:instrText>.</w:instrText>
      </w:r>
      <w:r w:rsidR="00A6794A">
        <w:rPr>
          <w:lang w:val="en-US"/>
        </w:rPr>
        <w:instrText>mendeley</w:instrText>
      </w:r>
      <w:r w:rsidR="00A6794A" w:rsidRPr="00D3550C">
        <w:instrText>.</w:instrText>
      </w:r>
      <w:r w:rsidR="00A6794A">
        <w:rPr>
          <w:lang w:val="en-US"/>
        </w:rPr>
        <w:instrText>com</w:instrText>
      </w:r>
      <w:r w:rsidR="00A6794A" w:rsidRPr="00D3550C">
        <w:instrText>/</w:instrText>
      </w:r>
      <w:r w:rsidR="00A6794A">
        <w:rPr>
          <w:lang w:val="en-US"/>
        </w:rPr>
        <w:instrText>documents</w:instrText>
      </w:r>
      <w:r w:rsidR="00A6794A" w:rsidRPr="00D3550C">
        <w:instrText>/?</w:instrText>
      </w:r>
      <w:r w:rsidR="00A6794A">
        <w:rPr>
          <w:lang w:val="en-US"/>
        </w:rPr>
        <w:instrText>uuid</w:instrText>
      </w:r>
      <w:r w:rsidR="00A6794A" w:rsidRPr="00D3550C">
        <w:instrText>=0</w:instrText>
      </w:r>
      <w:r w:rsidR="00A6794A">
        <w:rPr>
          <w:lang w:val="en-US"/>
        </w:rPr>
        <w:instrText>dec</w:instrText>
      </w:r>
      <w:r w:rsidR="00A6794A" w:rsidRPr="00D3550C">
        <w:instrText>225</w:instrText>
      </w:r>
      <w:r w:rsidR="00A6794A">
        <w:rPr>
          <w:lang w:val="en-US"/>
        </w:rPr>
        <w:instrText>e</w:instrText>
      </w:r>
      <w:r w:rsidR="00A6794A" w:rsidRPr="00D3550C">
        <w:instrText>-8</w:instrText>
      </w:r>
      <w:r w:rsidR="00A6794A">
        <w:rPr>
          <w:lang w:val="en-US"/>
        </w:rPr>
        <w:instrText>a</w:instrText>
      </w:r>
      <w:r w:rsidR="00A6794A" w:rsidRPr="00D3550C">
        <w:instrText>47-3680-</w:instrText>
      </w:r>
      <w:r w:rsidR="00A6794A">
        <w:rPr>
          <w:lang w:val="en-US"/>
        </w:rPr>
        <w:instrText>ba</w:instrText>
      </w:r>
      <w:r w:rsidR="00A6794A" w:rsidRPr="00D3550C">
        <w:instrText>4</w:instrText>
      </w:r>
      <w:r w:rsidR="00A6794A">
        <w:rPr>
          <w:lang w:val="en-US"/>
        </w:rPr>
        <w:instrText>d</w:instrText>
      </w:r>
      <w:r w:rsidR="00A6794A" w:rsidRPr="00D3550C">
        <w:instrText>-891955</w:instrText>
      </w:r>
      <w:r w:rsidR="00A6794A">
        <w:rPr>
          <w:lang w:val="en-US"/>
        </w:rPr>
        <w:instrText>a</w:instrText>
      </w:r>
      <w:r w:rsidR="00A6794A" w:rsidRPr="00D3550C">
        <w:instrText>938</w:instrText>
      </w:r>
      <w:r w:rsidR="00A6794A">
        <w:rPr>
          <w:lang w:val="en-US"/>
        </w:rPr>
        <w:instrText>a</w:instrText>
      </w:r>
      <w:r w:rsidR="00A6794A" w:rsidRPr="00D3550C">
        <w:instrText>1"]}],"</w:instrText>
      </w:r>
      <w:r w:rsidR="00A6794A">
        <w:rPr>
          <w:lang w:val="en-US"/>
        </w:rPr>
        <w:instrText>mendeley</w:instrText>
      </w:r>
      <w:r w:rsidR="00A6794A" w:rsidRPr="00D3550C">
        <w:instrText>":{"</w:instrText>
      </w:r>
      <w:r w:rsidR="00A6794A">
        <w:rPr>
          <w:lang w:val="en-US"/>
        </w:rPr>
        <w:instrText>formattedCitation</w:instrText>
      </w:r>
      <w:r w:rsidR="00A6794A" w:rsidRPr="00D3550C">
        <w:instrText>":"[205–208]","</w:instrText>
      </w:r>
      <w:r w:rsidR="00A6794A">
        <w:rPr>
          <w:lang w:val="en-US"/>
        </w:rPr>
        <w:instrText>plainTextFormattedCitation</w:instrText>
      </w:r>
      <w:r w:rsidR="00A6794A" w:rsidRPr="00D3550C">
        <w:instrText>":"[205–208]","</w:instrText>
      </w:r>
      <w:r w:rsidR="00A6794A">
        <w:rPr>
          <w:lang w:val="en-US"/>
        </w:rPr>
        <w:instrText>previouslyFormattedCitation</w:instrText>
      </w:r>
      <w:r w:rsidR="00A6794A" w:rsidRPr="00D3550C">
        <w:instrText>":"[205–208]"},"</w:instrText>
      </w:r>
      <w:r w:rsidR="00A6794A">
        <w:rPr>
          <w:lang w:val="en-US"/>
        </w:rPr>
        <w:instrText>properties</w:instrText>
      </w:r>
      <w:r w:rsidR="00A6794A" w:rsidRPr="00D3550C">
        <w:instrText>":{"</w:instrText>
      </w:r>
      <w:r w:rsidR="00A6794A">
        <w:rPr>
          <w:lang w:val="en-US"/>
        </w:rPr>
        <w:instrText>noteIndex</w:instrText>
      </w:r>
      <w:r w:rsidR="00A6794A" w:rsidRPr="00D3550C">
        <w:instrText>":0},"</w:instrText>
      </w:r>
      <w:r w:rsidR="00A6794A">
        <w:rPr>
          <w:lang w:val="en-US"/>
        </w:rPr>
        <w:instrText>schema</w:instrText>
      </w:r>
      <w:r w:rsidR="00A6794A" w:rsidRPr="00D3550C">
        <w:instrText>":"</w:instrText>
      </w:r>
      <w:r w:rsidR="00A6794A">
        <w:rPr>
          <w:lang w:val="en-US"/>
        </w:rPr>
        <w:instrText>https</w:instrText>
      </w:r>
      <w:r w:rsidR="00A6794A" w:rsidRPr="00D3550C">
        <w:instrText>://</w:instrText>
      </w:r>
      <w:r w:rsidR="00A6794A">
        <w:rPr>
          <w:lang w:val="en-US"/>
        </w:rPr>
        <w:instrText>github</w:instrText>
      </w:r>
      <w:r w:rsidR="00A6794A" w:rsidRPr="00D3550C">
        <w:instrText>.</w:instrText>
      </w:r>
      <w:r w:rsidR="00A6794A">
        <w:rPr>
          <w:lang w:val="en-US"/>
        </w:rPr>
        <w:instrText>com</w:instrText>
      </w:r>
      <w:r w:rsidR="00A6794A" w:rsidRPr="00D3550C">
        <w:instrText>/</w:instrText>
      </w:r>
      <w:r w:rsidR="00A6794A">
        <w:rPr>
          <w:lang w:val="en-US"/>
        </w:rPr>
        <w:instrText>citation</w:instrText>
      </w:r>
      <w:r w:rsidR="00A6794A" w:rsidRPr="00D3550C">
        <w:instrText>-</w:instrText>
      </w:r>
      <w:r w:rsidR="00A6794A">
        <w:rPr>
          <w:lang w:val="en-US"/>
        </w:rPr>
        <w:instrText>style</w:instrText>
      </w:r>
      <w:r w:rsidR="00A6794A" w:rsidRPr="00D3550C">
        <w:instrText>-</w:instrText>
      </w:r>
      <w:r w:rsidR="00A6794A">
        <w:rPr>
          <w:lang w:val="en-US"/>
        </w:rPr>
        <w:instrText>language</w:instrText>
      </w:r>
      <w:r w:rsidR="00A6794A" w:rsidRPr="00D3550C">
        <w:instrText>/</w:instrText>
      </w:r>
      <w:r w:rsidR="00A6794A">
        <w:rPr>
          <w:lang w:val="en-US"/>
        </w:rPr>
        <w:instrText>schema</w:instrText>
      </w:r>
      <w:r w:rsidR="00A6794A" w:rsidRPr="00D3550C">
        <w:instrText>/</w:instrText>
      </w:r>
      <w:r w:rsidR="00A6794A">
        <w:rPr>
          <w:lang w:val="en-US"/>
        </w:rPr>
        <w:instrText>raw</w:instrText>
      </w:r>
      <w:r w:rsidR="00A6794A" w:rsidRPr="00D3550C">
        <w:instrText>/</w:instrText>
      </w:r>
      <w:r w:rsidR="00A6794A">
        <w:rPr>
          <w:lang w:val="en-US"/>
        </w:rPr>
        <w:instrText>master</w:instrText>
      </w:r>
      <w:r w:rsidR="00A6794A" w:rsidRPr="00D3550C">
        <w:instrText>/</w:instrText>
      </w:r>
      <w:r w:rsidR="00A6794A">
        <w:rPr>
          <w:lang w:val="en-US"/>
        </w:rPr>
        <w:instrText>csl</w:instrText>
      </w:r>
      <w:r w:rsidR="00A6794A" w:rsidRPr="00D3550C">
        <w:instrText>-</w:instrText>
      </w:r>
      <w:r w:rsidR="00A6794A">
        <w:rPr>
          <w:lang w:val="en-US"/>
        </w:rPr>
        <w:instrText>citation</w:instrText>
      </w:r>
      <w:r w:rsidR="00A6794A" w:rsidRPr="00D3550C">
        <w:instrText>.</w:instrText>
      </w:r>
      <w:r w:rsidR="00A6794A">
        <w:rPr>
          <w:lang w:val="en-US"/>
        </w:rPr>
        <w:instrText>json</w:instrText>
      </w:r>
      <w:r w:rsidR="00A6794A" w:rsidRPr="00D3550C">
        <w:instrText>"}</w:instrText>
      </w:r>
      <w:r w:rsidRPr="000322E4">
        <w:rPr>
          <w:lang w:val="en-US"/>
        </w:rPr>
        <w:fldChar w:fldCharType="separate"/>
      </w:r>
      <w:r w:rsidR="006E1902" w:rsidRPr="006E1902">
        <w:rPr>
          <w:noProof/>
        </w:rPr>
        <w:t>[205–208]</w:t>
      </w:r>
      <w:r w:rsidRPr="000322E4">
        <w:rPr>
          <w:lang w:val="en-US"/>
        </w:rPr>
        <w:fldChar w:fldCharType="end"/>
      </w:r>
    </w:p>
    <w:p w14:paraId="4C10B7EC" w14:textId="77777777" w:rsidR="00666D68" w:rsidRPr="00656546" w:rsidRDefault="00666D68" w:rsidP="00F414BF">
      <w:pPr>
        <w:numPr>
          <w:ilvl w:val="0"/>
          <w:numId w:val="39"/>
        </w:numPr>
        <w:spacing w:line="360" w:lineRule="auto"/>
        <w:jc w:val="both"/>
      </w:pPr>
      <w:r w:rsidRPr="000322E4">
        <w:t>Доксорубицин</w:t>
      </w:r>
      <w:r w:rsidRPr="00656546">
        <w:rPr>
          <w:bCs/>
        </w:rPr>
        <w:t>**</w:t>
      </w:r>
      <w:r w:rsidRPr="00656546">
        <w:t xml:space="preserve"> 25 </w:t>
      </w:r>
      <w:r w:rsidRPr="000322E4">
        <w:t>мг</w:t>
      </w:r>
      <w:r w:rsidRPr="00656546">
        <w:t>/</w:t>
      </w:r>
      <w:r w:rsidRPr="000322E4">
        <w:t>м</w:t>
      </w:r>
      <w:r w:rsidRPr="00656546">
        <w:rPr>
          <w:vertAlign w:val="superscript"/>
        </w:rPr>
        <w:t>2</w:t>
      </w:r>
      <w:r w:rsidRPr="00656546">
        <w:t xml:space="preserve"> </w:t>
      </w:r>
      <w:r w:rsidRPr="000322E4">
        <w:t>в</w:t>
      </w:r>
      <w:r w:rsidRPr="00656546">
        <w:t>/</w:t>
      </w:r>
      <w:r w:rsidRPr="000322E4">
        <w:t>в</w:t>
      </w:r>
      <w:r w:rsidRPr="00656546">
        <w:t xml:space="preserve"> </w:t>
      </w:r>
      <w:r w:rsidRPr="000322E4">
        <w:t>кап</w:t>
      </w:r>
      <w:r w:rsidRPr="00656546">
        <w:t xml:space="preserve">., </w:t>
      </w:r>
      <w:r w:rsidRPr="000322E4">
        <w:t>день</w:t>
      </w:r>
      <w:r w:rsidRPr="00656546">
        <w:t xml:space="preserve"> 1</w:t>
      </w:r>
    </w:p>
    <w:p w14:paraId="386CC408" w14:textId="77777777" w:rsidR="00666D68" w:rsidRPr="00656546" w:rsidRDefault="00666D68" w:rsidP="00F414BF">
      <w:pPr>
        <w:numPr>
          <w:ilvl w:val="0"/>
          <w:numId w:val="39"/>
        </w:numPr>
        <w:spacing w:line="360" w:lineRule="auto"/>
        <w:jc w:val="both"/>
      </w:pPr>
      <w:r w:rsidRPr="000322E4">
        <w:t>Циклофосфамид</w:t>
      </w:r>
      <w:r w:rsidRPr="00656546">
        <w:rPr>
          <w:bCs/>
        </w:rPr>
        <w:t>**</w:t>
      </w:r>
      <w:r w:rsidRPr="00656546">
        <w:t xml:space="preserve"> 400 </w:t>
      </w:r>
      <w:r w:rsidRPr="000322E4">
        <w:t>мг</w:t>
      </w:r>
      <w:r w:rsidRPr="00656546">
        <w:t>/</w:t>
      </w:r>
      <w:r w:rsidRPr="000322E4">
        <w:t>м</w:t>
      </w:r>
      <w:r w:rsidRPr="00656546">
        <w:rPr>
          <w:vertAlign w:val="superscript"/>
        </w:rPr>
        <w:t>2</w:t>
      </w:r>
      <w:r w:rsidRPr="00656546">
        <w:t xml:space="preserve"> </w:t>
      </w:r>
      <w:r w:rsidRPr="000322E4">
        <w:t>в</w:t>
      </w:r>
      <w:r w:rsidRPr="00656546">
        <w:t>/</w:t>
      </w:r>
      <w:r w:rsidRPr="000322E4">
        <w:t>в</w:t>
      </w:r>
      <w:r w:rsidRPr="00656546">
        <w:t xml:space="preserve"> </w:t>
      </w:r>
      <w:r w:rsidRPr="000322E4">
        <w:t>кап</w:t>
      </w:r>
      <w:r w:rsidRPr="00656546">
        <w:t xml:space="preserve">., </w:t>
      </w:r>
      <w:r w:rsidRPr="000322E4">
        <w:t>день</w:t>
      </w:r>
      <w:r w:rsidRPr="00656546">
        <w:t xml:space="preserve"> 1</w:t>
      </w:r>
    </w:p>
    <w:p w14:paraId="3FA944F1" w14:textId="77777777" w:rsidR="00666D68" w:rsidRPr="00656546" w:rsidRDefault="000322E4" w:rsidP="00F414BF">
      <w:pPr>
        <w:numPr>
          <w:ilvl w:val="0"/>
          <w:numId w:val="39"/>
        </w:numPr>
        <w:spacing w:line="360" w:lineRule="auto"/>
        <w:jc w:val="both"/>
      </w:pPr>
      <w:r w:rsidRPr="00656546">
        <w:t>#</w:t>
      </w:r>
      <w:r w:rsidR="00666D68" w:rsidRPr="000322E4">
        <w:t>Винкристин</w:t>
      </w:r>
      <w:r w:rsidR="00666D68" w:rsidRPr="00656546">
        <w:rPr>
          <w:bCs/>
        </w:rPr>
        <w:t>**</w:t>
      </w:r>
      <w:r w:rsidR="00666D68" w:rsidRPr="00656546">
        <w:t xml:space="preserve"> 1 </w:t>
      </w:r>
      <w:r w:rsidR="00666D68" w:rsidRPr="000322E4">
        <w:t>мг</w:t>
      </w:r>
      <w:r w:rsidR="00666D68" w:rsidRPr="00656546">
        <w:t xml:space="preserve"> </w:t>
      </w:r>
      <w:r w:rsidR="00666D68" w:rsidRPr="000322E4">
        <w:t>в</w:t>
      </w:r>
      <w:r w:rsidR="00666D68" w:rsidRPr="00656546">
        <w:t>/</w:t>
      </w:r>
      <w:r w:rsidR="00666D68" w:rsidRPr="000322E4">
        <w:t>в</w:t>
      </w:r>
      <w:r w:rsidR="00666D68" w:rsidRPr="00656546">
        <w:t xml:space="preserve">, </w:t>
      </w:r>
      <w:r w:rsidR="00666D68" w:rsidRPr="000322E4">
        <w:t>день</w:t>
      </w:r>
      <w:r w:rsidR="00666D68" w:rsidRPr="00656546">
        <w:t xml:space="preserve"> 1</w:t>
      </w:r>
    </w:p>
    <w:p w14:paraId="5BC6A9D1" w14:textId="77777777" w:rsidR="00666D68" w:rsidRPr="00656546" w:rsidRDefault="00666D68" w:rsidP="00F414BF">
      <w:pPr>
        <w:numPr>
          <w:ilvl w:val="0"/>
          <w:numId w:val="39"/>
        </w:numPr>
        <w:spacing w:line="360" w:lineRule="auto"/>
        <w:jc w:val="both"/>
      </w:pPr>
      <w:r w:rsidRPr="000322E4">
        <w:t>Преднизолон</w:t>
      </w:r>
      <w:r w:rsidRPr="00656546">
        <w:rPr>
          <w:bCs/>
        </w:rPr>
        <w:t>**</w:t>
      </w:r>
      <w:r w:rsidRPr="00656546">
        <w:t xml:space="preserve"> 40 </w:t>
      </w:r>
      <w:r w:rsidRPr="000322E4">
        <w:t>мг</w:t>
      </w:r>
      <w:r w:rsidRPr="00656546">
        <w:t>/</w:t>
      </w:r>
      <w:r w:rsidRPr="000322E4">
        <w:t>м</w:t>
      </w:r>
      <w:r w:rsidRPr="00656546">
        <w:rPr>
          <w:vertAlign w:val="superscript"/>
        </w:rPr>
        <w:t>2</w:t>
      </w:r>
      <w:r w:rsidRPr="00656546">
        <w:t xml:space="preserve"> </w:t>
      </w:r>
      <w:r w:rsidRPr="000322E4">
        <w:t>внутрь</w:t>
      </w:r>
      <w:r w:rsidRPr="00656546">
        <w:t xml:space="preserve">, </w:t>
      </w:r>
      <w:r w:rsidRPr="000322E4">
        <w:t>дни</w:t>
      </w:r>
      <w:r w:rsidRPr="00656546">
        <w:t xml:space="preserve"> 1-5</w:t>
      </w:r>
    </w:p>
    <w:p w14:paraId="6F6D8FB7" w14:textId="77777777" w:rsidR="00666D68" w:rsidRPr="00656546" w:rsidRDefault="00666D68" w:rsidP="00F414BF">
      <w:pPr>
        <w:spacing w:line="360" w:lineRule="auto"/>
        <w:ind w:left="360"/>
        <w:jc w:val="both"/>
      </w:pPr>
      <w:r w:rsidRPr="000322E4">
        <w:t>Лечение</w:t>
      </w:r>
      <w:r w:rsidRPr="00656546">
        <w:t xml:space="preserve"> </w:t>
      </w:r>
      <w:r w:rsidRPr="000322E4">
        <w:t>возобновляется</w:t>
      </w:r>
      <w:r w:rsidRPr="00656546">
        <w:t xml:space="preserve"> </w:t>
      </w:r>
      <w:r w:rsidRPr="000322E4">
        <w:t>на</w:t>
      </w:r>
      <w:r w:rsidRPr="00656546">
        <w:t xml:space="preserve"> 22 </w:t>
      </w:r>
      <w:r w:rsidRPr="000322E4">
        <w:t>день</w:t>
      </w:r>
    </w:p>
    <w:p w14:paraId="592F42AF" w14:textId="77777777" w:rsidR="00666D68" w:rsidRPr="00656546" w:rsidRDefault="00666D68" w:rsidP="00F414BF">
      <w:pPr>
        <w:spacing w:line="360" w:lineRule="auto"/>
        <w:ind w:left="360"/>
        <w:jc w:val="both"/>
      </w:pPr>
    </w:p>
    <w:p w14:paraId="051E204D" w14:textId="74DD554B" w:rsidR="00666D68" w:rsidRPr="00293AC8" w:rsidRDefault="00666D68" w:rsidP="00F414BF">
      <w:pPr>
        <w:spacing w:line="360" w:lineRule="auto"/>
        <w:jc w:val="both"/>
      </w:pPr>
      <w:r w:rsidRPr="000322E4">
        <w:rPr>
          <w:b/>
          <w:lang w:val="en-US"/>
        </w:rPr>
        <w:t>R</w:t>
      </w:r>
      <w:r w:rsidRPr="00656546">
        <w:rPr>
          <w:b/>
        </w:rPr>
        <w:t>-</w:t>
      </w:r>
      <w:r w:rsidRPr="000322E4">
        <w:rPr>
          <w:b/>
          <w:lang w:val="en-US"/>
        </w:rPr>
        <w:t>CEOP</w:t>
      </w:r>
      <w:r w:rsidRPr="00656546">
        <w:rPr>
          <w:b/>
        </w:rPr>
        <w:t xml:space="preserve"> </w:t>
      </w:r>
      <w:r w:rsidRPr="000322E4">
        <w:rPr>
          <w:b/>
          <w:lang w:val="en-US"/>
        </w:rPr>
        <w:fldChar w:fldCharType="begin" w:fldLock="1"/>
      </w:r>
      <w:r w:rsidR="009D170B">
        <w:rPr>
          <w:b/>
          <w:lang w:val="en-US"/>
        </w:rPr>
        <w:instrText>ADDIN</w:instrText>
      </w:r>
      <w:r w:rsidR="009D170B" w:rsidRPr="00320416">
        <w:rPr>
          <w:b/>
        </w:rPr>
        <w:instrText xml:space="preserve"> </w:instrText>
      </w:r>
      <w:r w:rsidR="009D170B">
        <w:rPr>
          <w:b/>
          <w:lang w:val="en-US"/>
        </w:rPr>
        <w:instrText>CSL</w:instrText>
      </w:r>
      <w:r w:rsidR="009D170B" w:rsidRPr="00320416">
        <w:rPr>
          <w:b/>
        </w:rPr>
        <w:instrText>_</w:instrText>
      </w:r>
      <w:r w:rsidR="009D170B">
        <w:rPr>
          <w:b/>
          <w:lang w:val="en-US"/>
        </w:rPr>
        <w:instrText>CITATION</w:instrText>
      </w:r>
      <w:r w:rsidR="009D170B" w:rsidRPr="00320416">
        <w:rPr>
          <w:b/>
        </w:rPr>
        <w:instrText xml:space="preserve"> {"</w:instrText>
      </w:r>
      <w:r w:rsidR="009D170B">
        <w:rPr>
          <w:b/>
          <w:lang w:val="en-US"/>
        </w:rPr>
        <w:instrText>citationItems</w:instrText>
      </w:r>
      <w:r w:rsidR="009D170B" w:rsidRPr="00320416">
        <w:rPr>
          <w:b/>
        </w:rPr>
        <w:instrText>":[{"</w:instrText>
      </w:r>
      <w:r w:rsidR="009D170B">
        <w:rPr>
          <w:b/>
          <w:lang w:val="en-US"/>
        </w:rPr>
        <w:instrText>id</w:instrText>
      </w:r>
      <w:r w:rsidR="009D170B" w:rsidRPr="00320416">
        <w:rPr>
          <w:b/>
        </w:rPr>
        <w:instrText>":"</w:instrText>
      </w:r>
      <w:r w:rsidR="009D170B">
        <w:rPr>
          <w:b/>
          <w:lang w:val="en-US"/>
        </w:rPr>
        <w:instrText>ITEM</w:instrText>
      </w:r>
      <w:r w:rsidR="009D170B" w:rsidRPr="00320416">
        <w:rPr>
          <w:b/>
        </w:rPr>
        <w:instrText>-1","</w:instrText>
      </w:r>
      <w:r w:rsidR="009D170B">
        <w:rPr>
          <w:b/>
          <w:lang w:val="en-US"/>
        </w:rPr>
        <w:instrText>itemData</w:instrText>
      </w:r>
      <w:r w:rsidR="009D170B" w:rsidRPr="00320416">
        <w:rPr>
          <w:b/>
        </w:rPr>
        <w:instrText>":{"</w:instrText>
      </w:r>
      <w:r w:rsidR="009D170B">
        <w:rPr>
          <w:b/>
          <w:lang w:val="en-US"/>
        </w:rPr>
        <w:instrText>DOI</w:instrText>
      </w:r>
      <w:r w:rsidR="009D170B" w:rsidRPr="00320416">
        <w:rPr>
          <w:b/>
        </w:rPr>
        <w:instrText>":"10.1182/</w:instrText>
      </w:r>
      <w:r w:rsidR="009D170B">
        <w:rPr>
          <w:b/>
          <w:lang w:val="en-US"/>
        </w:rPr>
        <w:instrText>blood</w:instrText>
      </w:r>
      <w:r w:rsidR="009D170B" w:rsidRPr="00320416">
        <w:rPr>
          <w:b/>
        </w:rPr>
        <w:instrText>.</w:instrText>
      </w:r>
      <w:r w:rsidR="009D170B">
        <w:rPr>
          <w:b/>
          <w:lang w:val="en-US"/>
        </w:rPr>
        <w:instrText>v</w:instrText>
      </w:r>
      <w:r w:rsidR="009D170B" w:rsidRPr="00320416">
        <w:rPr>
          <w:b/>
        </w:rPr>
        <w:instrText>114.22.408.408","</w:instrText>
      </w:r>
      <w:r w:rsidR="009D170B">
        <w:rPr>
          <w:b/>
          <w:lang w:val="en-US"/>
        </w:rPr>
        <w:instrText>ISSN</w:instrText>
      </w:r>
      <w:r w:rsidR="009D170B" w:rsidRPr="00320416">
        <w:rPr>
          <w:b/>
        </w:rPr>
        <w:instrText>":"0006-4971","</w:instrText>
      </w:r>
      <w:r w:rsidR="009D170B">
        <w:rPr>
          <w:b/>
          <w:lang w:val="en-US"/>
        </w:rPr>
        <w:instrText>abstract</w:instrText>
      </w:r>
      <w:r w:rsidR="009D170B" w:rsidRPr="00320416">
        <w:rPr>
          <w:b/>
        </w:rPr>
        <w:instrText>":"</w:instrText>
      </w:r>
      <w:r w:rsidR="009D170B">
        <w:rPr>
          <w:b/>
          <w:lang w:val="en-US"/>
        </w:rPr>
        <w:instrText>Abstract</w:instrText>
      </w:r>
      <w:r w:rsidR="009D170B" w:rsidRPr="00320416">
        <w:rPr>
          <w:b/>
        </w:rPr>
        <w:instrText xml:space="preserve"> 408","</w:instrText>
      </w:r>
      <w:r w:rsidR="009D170B">
        <w:rPr>
          <w:b/>
          <w:lang w:val="en-US"/>
        </w:rPr>
        <w:instrText>author</w:instrText>
      </w:r>
      <w:r w:rsidR="009D170B" w:rsidRPr="00320416">
        <w:rPr>
          <w:b/>
        </w:rPr>
        <w:instrText>":[{"</w:instrText>
      </w:r>
      <w:r w:rsidR="009D170B">
        <w:rPr>
          <w:b/>
          <w:lang w:val="en-US"/>
        </w:rPr>
        <w:instrText>dropping</w:instrText>
      </w:r>
      <w:r w:rsidR="009D170B" w:rsidRPr="00320416">
        <w:rPr>
          <w:b/>
        </w:rPr>
        <w:instrText>-</w:instrText>
      </w:r>
      <w:r w:rsidR="009D170B">
        <w:rPr>
          <w:b/>
          <w:lang w:val="en-US"/>
        </w:rPr>
        <w:instrText>particle</w:instrText>
      </w:r>
      <w:r w:rsidR="009D170B" w:rsidRPr="00320416">
        <w:rPr>
          <w:b/>
        </w:rPr>
        <w:instrText>":"","</w:instrText>
      </w:r>
      <w:r w:rsidR="009D170B">
        <w:rPr>
          <w:b/>
          <w:lang w:val="en-US"/>
        </w:rPr>
        <w:instrText>family</w:instrText>
      </w:r>
      <w:r w:rsidR="009D170B" w:rsidRPr="00320416">
        <w:rPr>
          <w:b/>
        </w:rPr>
        <w:instrText>":"</w:instrText>
      </w:r>
      <w:r w:rsidR="009D170B">
        <w:rPr>
          <w:b/>
          <w:lang w:val="en-US"/>
        </w:rPr>
        <w:instrText>Moccia</w:instrText>
      </w:r>
      <w:r w:rsidR="009D170B" w:rsidRPr="00320416">
        <w:rPr>
          <w:b/>
        </w:rPr>
        <w:instrText>","</w:instrText>
      </w:r>
      <w:r w:rsidR="009D170B">
        <w:rPr>
          <w:b/>
          <w:lang w:val="en-US"/>
        </w:rPr>
        <w:instrText>given</w:instrText>
      </w:r>
      <w:r w:rsidR="009D170B" w:rsidRPr="00320416">
        <w:rPr>
          <w:b/>
        </w:rPr>
        <w:instrText>":"</w:instrText>
      </w:r>
      <w:r w:rsidR="009D170B">
        <w:rPr>
          <w:b/>
          <w:lang w:val="en-US"/>
        </w:rPr>
        <w:instrText>Alden</w:instrText>
      </w:r>
      <w:r w:rsidR="009D170B" w:rsidRPr="00320416">
        <w:rPr>
          <w:b/>
        </w:rPr>
        <w:instrText xml:space="preserve"> </w:instrText>
      </w:r>
      <w:r w:rsidR="009D170B">
        <w:rPr>
          <w:b/>
          <w:lang w:val="en-US"/>
        </w:rPr>
        <w:instrText>A</w:instrText>
      </w:r>
      <w:r w:rsidR="009D170B" w:rsidRPr="00320416">
        <w:rPr>
          <w:b/>
        </w:rPr>
        <w:instrText>.","</w:instrText>
      </w:r>
      <w:r w:rsidR="009D170B">
        <w:rPr>
          <w:b/>
          <w:lang w:val="en-US"/>
        </w:rPr>
        <w:instrText>non</w:instrText>
      </w:r>
      <w:r w:rsidR="009D170B" w:rsidRPr="00320416">
        <w:rPr>
          <w:b/>
        </w:rPr>
        <w:instrText>-</w:instrText>
      </w:r>
      <w:r w:rsidR="009D170B">
        <w:rPr>
          <w:b/>
          <w:lang w:val="en-US"/>
        </w:rPr>
        <w:instrText>dropping</w:instrText>
      </w:r>
      <w:r w:rsidR="009D170B" w:rsidRPr="00320416">
        <w:rPr>
          <w:b/>
        </w:rPr>
        <w:instrText>-</w:instrText>
      </w:r>
      <w:r w:rsidR="009D170B">
        <w:rPr>
          <w:b/>
          <w:lang w:val="en-US"/>
        </w:rPr>
        <w:instrText>particle</w:instrText>
      </w:r>
      <w:r w:rsidR="009D170B" w:rsidRPr="00320416">
        <w:rPr>
          <w:b/>
        </w:rPr>
        <w:instrText>":"","</w:instrText>
      </w:r>
      <w:r w:rsidR="009D170B">
        <w:rPr>
          <w:b/>
          <w:lang w:val="en-US"/>
        </w:rPr>
        <w:instrText>parse</w:instrText>
      </w:r>
      <w:r w:rsidR="009D170B" w:rsidRPr="00320416">
        <w:rPr>
          <w:b/>
        </w:rPr>
        <w:instrText>-</w:instrText>
      </w:r>
      <w:r w:rsidR="009D170B">
        <w:rPr>
          <w:b/>
          <w:lang w:val="en-US"/>
        </w:rPr>
        <w:instrText>names</w:instrText>
      </w:r>
      <w:r w:rsidR="009D170B" w:rsidRPr="00320416">
        <w:rPr>
          <w:b/>
        </w:rPr>
        <w:instrText>":</w:instrText>
      </w:r>
      <w:r w:rsidR="009D170B">
        <w:rPr>
          <w:b/>
          <w:lang w:val="en-US"/>
        </w:rPr>
        <w:instrText>false</w:instrText>
      </w:r>
      <w:r w:rsidR="009D170B" w:rsidRPr="00320416">
        <w:rPr>
          <w:b/>
        </w:rPr>
        <w:instrText>,"</w:instrText>
      </w:r>
      <w:r w:rsidR="009D170B">
        <w:rPr>
          <w:b/>
          <w:lang w:val="en-US"/>
        </w:rPr>
        <w:instrText>suffix</w:instrText>
      </w:r>
      <w:r w:rsidR="009D170B" w:rsidRPr="00320416">
        <w:rPr>
          <w:b/>
        </w:rPr>
        <w:instrText>":""},{"</w:instrText>
      </w:r>
      <w:r w:rsidR="009D170B">
        <w:rPr>
          <w:b/>
          <w:lang w:val="en-US"/>
        </w:rPr>
        <w:instrText>dropping</w:instrText>
      </w:r>
      <w:r w:rsidR="009D170B" w:rsidRPr="00320416">
        <w:rPr>
          <w:b/>
        </w:rPr>
        <w:instrText>-</w:instrText>
      </w:r>
      <w:r w:rsidR="009D170B">
        <w:rPr>
          <w:b/>
          <w:lang w:val="en-US"/>
        </w:rPr>
        <w:instrText>particle</w:instrText>
      </w:r>
      <w:r w:rsidR="009D170B" w:rsidRPr="00320416">
        <w:rPr>
          <w:b/>
        </w:rPr>
        <w:instrText>":"","</w:instrText>
      </w:r>
      <w:r w:rsidR="009D170B">
        <w:rPr>
          <w:b/>
          <w:lang w:val="en-US"/>
        </w:rPr>
        <w:instrText>family</w:instrText>
      </w:r>
      <w:r w:rsidR="009D170B" w:rsidRPr="00320416">
        <w:rPr>
          <w:b/>
        </w:rPr>
        <w:instrText>":"</w:instrText>
      </w:r>
      <w:r w:rsidR="009D170B">
        <w:rPr>
          <w:b/>
          <w:lang w:val="en-US"/>
        </w:rPr>
        <w:instrText>Schaff</w:instrText>
      </w:r>
      <w:r w:rsidR="009D170B" w:rsidRPr="00320416">
        <w:rPr>
          <w:b/>
        </w:rPr>
        <w:instrText>","</w:instrText>
      </w:r>
      <w:r w:rsidR="009D170B">
        <w:rPr>
          <w:b/>
          <w:lang w:val="en-US"/>
        </w:rPr>
        <w:instrText>given</w:instrText>
      </w:r>
      <w:r w:rsidR="009D170B" w:rsidRPr="00320416">
        <w:rPr>
          <w:b/>
        </w:rPr>
        <w:instrText>":"</w:instrText>
      </w:r>
      <w:r w:rsidR="009D170B">
        <w:rPr>
          <w:b/>
          <w:lang w:val="en-US"/>
        </w:rPr>
        <w:instrText>Kimberly</w:instrText>
      </w:r>
      <w:r w:rsidR="009D170B" w:rsidRPr="00320416">
        <w:rPr>
          <w:b/>
        </w:rPr>
        <w:instrText>","</w:instrText>
      </w:r>
      <w:r w:rsidR="009D170B">
        <w:rPr>
          <w:b/>
          <w:lang w:val="en-US"/>
        </w:rPr>
        <w:instrText>non</w:instrText>
      </w:r>
      <w:r w:rsidR="009D170B" w:rsidRPr="00320416">
        <w:rPr>
          <w:b/>
        </w:rPr>
        <w:instrText>-</w:instrText>
      </w:r>
      <w:r w:rsidR="009D170B">
        <w:rPr>
          <w:b/>
          <w:lang w:val="en-US"/>
        </w:rPr>
        <w:instrText>dropping</w:instrText>
      </w:r>
      <w:r w:rsidR="009D170B" w:rsidRPr="00320416">
        <w:rPr>
          <w:b/>
        </w:rPr>
        <w:instrText>-</w:instrText>
      </w:r>
      <w:r w:rsidR="009D170B">
        <w:rPr>
          <w:b/>
          <w:lang w:val="en-US"/>
        </w:rPr>
        <w:instrText>particle</w:instrText>
      </w:r>
      <w:r w:rsidR="009D170B" w:rsidRPr="00320416">
        <w:rPr>
          <w:b/>
        </w:rPr>
        <w:instrText>":"","</w:instrText>
      </w:r>
      <w:r w:rsidR="009D170B">
        <w:rPr>
          <w:b/>
          <w:lang w:val="en-US"/>
        </w:rPr>
        <w:instrText>parse</w:instrText>
      </w:r>
      <w:r w:rsidR="009D170B" w:rsidRPr="00320416">
        <w:rPr>
          <w:b/>
        </w:rPr>
        <w:instrText>-</w:instrText>
      </w:r>
      <w:r w:rsidR="009D170B">
        <w:rPr>
          <w:b/>
          <w:lang w:val="en-US"/>
        </w:rPr>
        <w:instrText>names</w:instrText>
      </w:r>
      <w:r w:rsidR="009D170B" w:rsidRPr="00320416">
        <w:rPr>
          <w:b/>
        </w:rPr>
        <w:instrText>":</w:instrText>
      </w:r>
      <w:r w:rsidR="009D170B">
        <w:rPr>
          <w:b/>
          <w:lang w:val="en-US"/>
        </w:rPr>
        <w:instrText>false</w:instrText>
      </w:r>
      <w:r w:rsidR="009D170B" w:rsidRPr="00320416">
        <w:rPr>
          <w:b/>
        </w:rPr>
        <w:instrText>,"</w:instrText>
      </w:r>
      <w:r w:rsidR="009D170B">
        <w:rPr>
          <w:b/>
          <w:lang w:val="en-US"/>
        </w:rPr>
        <w:instrText>suffix</w:instrText>
      </w:r>
      <w:r w:rsidR="009D170B" w:rsidRPr="00320416">
        <w:rPr>
          <w:b/>
        </w:rPr>
        <w:instrText>":""},{"</w:instrText>
      </w:r>
      <w:r w:rsidR="009D170B">
        <w:rPr>
          <w:b/>
          <w:lang w:val="en-US"/>
        </w:rPr>
        <w:instrText>dropping</w:instrText>
      </w:r>
      <w:r w:rsidR="009D170B" w:rsidRPr="00320416">
        <w:rPr>
          <w:b/>
        </w:rPr>
        <w:instrText>-</w:instrText>
      </w:r>
      <w:r w:rsidR="009D170B">
        <w:rPr>
          <w:b/>
          <w:lang w:val="en-US"/>
        </w:rPr>
        <w:instrText>particle</w:instrText>
      </w:r>
      <w:r w:rsidR="009D170B" w:rsidRPr="00320416">
        <w:rPr>
          <w:b/>
        </w:rPr>
        <w:instrText>":"","</w:instrText>
      </w:r>
      <w:r w:rsidR="009D170B">
        <w:rPr>
          <w:b/>
          <w:lang w:val="en-US"/>
        </w:rPr>
        <w:instrText>family</w:instrText>
      </w:r>
      <w:r w:rsidR="009D170B" w:rsidRPr="00320416">
        <w:rPr>
          <w:b/>
        </w:rPr>
        <w:instrText>":"</w:instrText>
      </w:r>
      <w:r w:rsidR="009D170B">
        <w:rPr>
          <w:b/>
          <w:lang w:val="en-US"/>
        </w:rPr>
        <w:instrText>Hoskins</w:instrText>
      </w:r>
      <w:r w:rsidR="009D170B" w:rsidRPr="00320416">
        <w:rPr>
          <w:b/>
        </w:rPr>
        <w:instrText>","</w:instrText>
      </w:r>
      <w:r w:rsidR="009D170B">
        <w:rPr>
          <w:b/>
          <w:lang w:val="en-US"/>
        </w:rPr>
        <w:instrText>given</w:instrText>
      </w:r>
      <w:r w:rsidR="009D170B" w:rsidRPr="00320416">
        <w:rPr>
          <w:b/>
        </w:rPr>
        <w:instrText>":"</w:instrText>
      </w:r>
      <w:r w:rsidR="009D170B">
        <w:rPr>
          <w:b/>
          <w:lang w:val="en-US"/>
        </w:rPr>
        <w:instrText>Paul</w:instrText>
      </w:r>
      <w:r w:rsidR="009D170B" w:rsidRPr="00320416">
        <w:rPr>
          <w:b/>
        </w:rPr>
        <w:instrText>","</w:instrText>
      </w:r>
      <w:r w:rsidR="009D170B">
        <w:rPr>
          <w:b/>
          <w:lang w:val="en-US"/>
        </w:rPr>
        <w:instrText>non</w:instrText>
      </w:r>
      <w:r w:rsidR="009D170B" w:rsidRPr="00320416">
        <w:rPr>
          <w:b/>
        </w:rPr>
        <w:instrText>-</w:instrText>
      </w:r>
      <w:r w:rsidR="009D170B">
        <w:rPr>
          <w:b/>
          <w:lang w:val="en-US"/>
        </w:rPr>
        <w:instrText>dropping</w:instrText>
      </w:r>
      <w:r w:rsidR="009D170B" w:rsidRPr="00320416">
        <w:rPr>
          <w:b/>
        </w:rPr>
        <w:instrText>-</w:instrText>
      </w:r>
      <w:r w:rsidR="009D170B">
        <w:rPr>
          <w:b/>
          <w:lang w:val="en-US"/>
        </w:rPr>
        <w:instrText>particle</w:instrText>
      </w:r>
      <w:r w:rsidR="009D170B" w:rsidRPr="00320416">
        <w:rPr>
          <w:b/>
        </w:rPr>
        <w:instrText>":"","</w:instrText>
      </w:r>
      <w:r w:rsidR="009D170B">
        <w:rPr>
          <w:b/>
          <w:lang w:val="en-US"/>
        </w:rPr>
        <w:instrText>parse</w:instrText>
      </w:r>
      <w:r w:rsidR="009D170B" w:rsidRPr="00320416">
        <w:rPr>
          <w:b/>
        </w:rPr>
        <w:instrText>-</w:instrText>
      </w:r>
      <w:r w:rsidR="009D170B">
        <w:rPr>
          <w:b/>
          <w:lang w:val="en-US"/>
        </w:rPr>
        <w:instrText>names</w:instrText>
      </w:r>
      <w:r w:rsidR="009D170B" w:rsidRPr="00320416">
        <w:rPr>
          <w:b/>
        </w:rPr>
        <w:instrText>":</w:instrText>
      </w:r>
      <w:r w:rsidR="009D170B">
        <w:rPr>
          <w:b/>
          <w:lang w:val="en-US"/>
        </w:rPr>
        <w:instrText>false</w:instrText>
      </w:r>
      <w:r w:rsidR="009D170B" w:rsidRPr="00320416">
        <w:rPr>
          <w:b/>
        </w:rPr>
        <w:instrText>,"</w:instrText>
      </w:r>
      <w:r w:rsidR="009D170B">
        <w:rPr>
          <w:b/>
          <w:lang w:val="en-US"/>
        </w:rPr>
        <w:instrText>suffix</w:instrText>
      </w:r>
      <w:r w:rsidR="009D170B" w:rsidRPr="00320416">
        <w:rPr>
          <w:b/>
        </w:rPr>
        <w:instrText>":""},{"</w:instrText>
      </w:r>
      <w:r w:rsidR="009D170B">
        <w:rPr>
          <w:b/>
          <w:lang w:val="en-US"/>
        </w:rPr>
        <w:instrText>dropping</w:instrText>
      </w:r>
      <w:r w:rsidR="009D170B" w:rsidRPr="00320416">
        <w:rPr>
          <w:b/>
        </w:rPr>
        <w:instrText>-</w:instrText>
      </w:r>
      <w:r w:rsidR="009D170B">
        <w:rPr>
          <w:b/>
          <w:lang w:val="en-US"/>
        </w:rPr>
        <w:instrText>particle</w:instrText>
      </w:r>
      <w:r w:rsidR="009D170B" w:rsidRPr="00320416">
        <w:rPr>
          <w:b/>
        </w:rPr>
        <w:instrText>":"","</w:instrText>
      </w:r>
      <w:r w:rsidR="009D170B">
        <w:rPr>
          <w:b/>
          <w:lang w:val="en-US"/>
        </w:rPr>
        <w:instrText>family</w:instrText>
      </w:r>
      <w:r w:rsidR="009D170B" w:rsidRPr="00320416">
        <w:rPr>
          <w:b/>
        </w:rPr>
        <w:instrText>":"</w:instrText>
      </w:r>
      <w:r w:rsidR="009D170B">
        <w:rPr>
          <w:b/>
          <w:lang w:val="en-US"/>
        </w:rPr>
        <w:instrText>Klasa</w:instrText>
      </w:r>
      <w:r w:rsidR="009D170B" w:rsidRPr="00320416">
        <w:rPr>
          <w:b/>
        </w:rPr>
        <w:instrText>","</w:instrText>
      </w:r>
      <w:r w:rsidR="009D170B">
        <w:rPr>
          <w:b/>
          <w:lang w:val="en-US"/>
        </w:rPr>
        <w:instrText>given</w:instrText>
      </w:r>
      <w:r w:rsidR="009D170B" w:rsidRPr="00320416">
        <w:rPr>
          <w:b/>
        </w:rPr>
        <w:instrText>":"</w:instrText>
      </w:r>
      <w:r w:rsidR="009D170B">
        <w:rPr>
          <w:b/>
          <w:lang w:val="en-US"/>
        </w:rPr>
        <w:instrText>Richard</w:instrText>
      </w:r>
      <w:r w:rsidR="009D170B" w:rsidRPr="00320416">
        <w:rPr>
          <w:b/>
        </w:rPr>
        <w:instrText>","</w:instrText>
      </w:r>
      <w:r w:rsidR="009D170B">
        <w:rPr>
          <w:b/>
          <w:lang w:val="en-US"/>
        </w:rPr>
        <w:instrText>non</w:instrText>
      </w:r>
      <w:r w:rsidR="009D170B" w:rsidRPr="00320416">
        <w:rPr>
          <w:b/>
        </w:rPr>
        <w:instrText>-</w:instrText>
      </w:r>
      <w:r w:rsidR="009D170B">
        <w:rPr>
          <w:b/>
          <w:lang w:val="en-US"/>
        </w:rPr>
        <w:instrText>dropping</w:instrText>
      </w:r>
      <w:r w:rsidR="009D170B" w:rsidRPr="00320416">
        <w:rPr>
          <w:b/>
        </w:rPr>
        <w:instrText>-</w:instrText>
      </w:r>
      <w:r w:rsidR="009D170B">
        <w:rPr>
          <w:b/>
          <w:lang w:val="en-US"/>
        </w:rPr>
        <w:instrText>particle</w:instrText>
      </w:r>
      <w:r w:rsidR="009D170B" w:rsidRPr="00320416">
        <w:rPr>
          <w:b/>
        </w:rPr>
        <w:instrText>":"","</w:instrText>
      </w:r>
      <w:r w:rsidR="009D170B">
        <w:rPr>
          <w:b/>
          <w:lang w:val="en-US"/>
        </w:rPr>
        <w:instrText>parse</w:instrText>
      </w:r>
      <w:r w:rsidR="009D170B" w:rsidRPr="00320416">
        <w:rPr>
          <w:b/>
        </w:rPr>
        <w:instrText>-</w:instrText>
      </w:r>
      <w:r w:rsidR="009D170B">
        <w:rPr>
          <w:b/>
          <w:lang w:val="en-US"/>
        </w:rPr>
        <w:instrText>names</w:instrText>
      </w:r>
      <w:r w:rsidR="009D170B" w:rsidRPr="00320416">
        <w:rPr>
          <w:b/>
        </w:rPr>
        <w:instrText>":</w:instrText>
      </w:r>
      <w:r w:rsidR="009D170B">
        <w:rPr>
          <w:b/>
          <w:lang w:val="en-US"/>
        </w:rPr>
        <w:instrText>false</w:instrText>
      </w:r>
      <w:r w:rsidR="009D170B" w:rsidRPr="00320416">
        <w:rPr>
          <w:b/>
        </w:rPr>
        <w:instrText>,"</w:instrText>
      </w:r>
      <w:r w:rsidR="009D170B">
        <w:rPr>
          <w:b/>
          <w:lang w:val="en-US"/>
        </w:rPr>
        <w:instrText>suffix</w:instrText>
      </w:r>
      <w:r w:rsidR="009D170B" w:rsidRPr="00320416">
        <w:rPr>
          <w:b/>
        </w:rPr>
        <w:instrText>":""},{"</w:instrText>
      </w:r>
      <w:r w:rsidR="009D170B">
        <w:rPr>
          <w:b/>
          <w:lang w:val="en-US"/>
        </w:rPr>
        <w:instrText>dropping</w:instrText>
      </w:r>
      <w:r w:rsidR="009D170B" w:rsidRPr="00320416">
        <w:rPr>
          <w:b/>
        </w:rPr>
        <w:instrText>-</w:instrText>
      </w:r>
      <w:r w:rsidR="009D170B">
        <w:rPr>
          <w:b/>
          <w:lang w:val="en-US"/>
        </w:rPr>
        <w:instrText>particle</w:instrText>
      </w:r>
      <w:r w:rsidR="009D170B" w:rsidRPr="00320416">
        <w:rPr>
          <w:b/>
        </w:rPr>
        <w:instrText>":"","</w:instrText>
      </w:r>
      <w:r w:rsidR="009D170B">
        <w:rPr>
          <w:b/>
          <w:lang w:val="en-US"/>
        </w:rPr>
        <w:instrText>family</w:instrText>
      </w:r>
      <w:r w:rsidR="009D170B" w:rsidRPr="00320416">
        <w:rPr>
          <w:b/>
        </w:rPr>
        <w:instrText>":"</w:instrText>
      </w:r>
      <w:r w:rsidR="009D170B">
        <w:rPr>
          <w:b/>
          <w:lang w:val="en-US"/>
        </w:rPr>
        <w:instrText>Savage</w:instrText>
      </w:r>
      <w:r w:rsidR="009D170B" w:rsidRPr="00320416">
        <w:rPr>
          <w:b/>
        </w:rPr>
        <w:instrText>","</w:instrText>
      </w:r>
      <w:r w:rsidR="009D170B">
        <w:rPr>
          <w:b/>
          <w:lang w:val="en-US"/>
        </w:rPr>
        <w:instrText>given</w:instrText>
      </w:r>
      <w:r w:rsidR="009D170B" w:rsidRPr="00320416">
        <w:rPr>
          <w:b/>
        </w:rPr>
        <w:instrText>":"</w:instrText>
      </w:r>
      <w:r w:rsidR="009D170B">
        <w:rPr>
          <w:b/>
          <w:lang w:val="en-US"/>
        </w:rPr>
        <w:instrText>Kerry</w:instrText>
      </w:r>
      <w:r w:rsidR="009D170B" w:rsidRPr="00320416">
        <w:rPr>
          <w:b/>
        </w:rPr>
        <w:instrText xml:space="preserve"> </w:instrText>
      </w:r>
      <w:r w:rsidR="009D170B">
        <w:rPr>
          <w:b/>
          <w:lang w:val="en-US"/>
        </w:rPr>
        <w:instrText>J</w:instrText>
      </w:r>
      <w:r w:rsidR="009D170B" w:rsidRPr="00320416">
        <w:rPr>
          <w:b/>
        </w:rPr>
        <w:instrText>.","</w:instrText>
      </w:r>
      <w:r w:rsidR="009D170B">
        <w:rPr>
          <w:b/>
          <w:lang w:val="en-US"/>
        </w:rPr>
        <w:instrText>non</w:instrText>
      </w:r>
      <w:r w:rsidR="009D170B" w:rsidRPr="00320416">
        <w:rPr>
          <w:b/>
        </w:rPr>
        <w:instrText>-</w:instrText>
      </w:r>
      <w:r w:rsidR="009D170B">
        <w:rPr>
          <w:b/>
          <w:lang w:val="en-US"/>
        </w:rPr>
        <w:instrText>dropping</w:instrText>
      </w:r>
      <w:r w:rsidR="009D170B" w:rsidRPr="00320416">
        <w:rPr>
          <w:b/>
        </w:rPr>
        <w:instrText>-</w:instrText>
      </w:r>
      <w:r w:rsidR="009D170B">
        <w:rPr>
          <w:b/>
          <w:lang w:val="en-US"/>
        </w:rPr>
        <w:instrText>particle</w:instrText>
      </w:r>
      <w:r w:rsidR="009D170B" w:rsidRPr="00320416">
        <w:rPr>
          <w:b/>
        </w:rPr>
        <w:instrText>":"","</w:instrText>
      </w:r>
      <w:r w:rsidR="009D170B">
        <w:rPr>
          <w:b/>
          <w:lang w:val="en-US"/>
        </w:rPr>
        <w:instrText>parse</w:instrText>
      </w:r>
      <w:r w:rsidR="009D170B" w:rsidRPr="00320416">
        <w:rPr>
          <w:b/>
        </w:rPr>
        <w:instrText>-</w:instrText>
      </w:r>
      <w:r w:rsidR="009D170B">
        <w:rPr>
          <w:b/>
          <w:lang w:val="en-US"/>
        </w:rPr>
        <w:instrText>names</w:instrText>
      </w:r>
      <w:r w:rsidR="009D170B" w:rsidRPr="00320416">
        <w:rPr>
          <w:b/>
        </w:rPr>
        <w:instrText>":</w:instrText>
      </w:r>
      <w:r w:rsidR="009D170B">
        <w:rPr>
          <w:b/>
          <w:lang w:val="en-US"/>
        </w:rPr>
        <w:instrText>false</w:instrText>
      </w:r>
      <w:r w:rsidR="009D170B" w:rsidRPr="00320416">
        <w:rPr>
          <w:b/>
        </w:rPr>
        <w:instrText>,"</w:instrText>
      </w:r>
      <w:r w:rsidR="009D170B">
        <w:rPr>
          <w:b/>
          <w:lang w:val="en-US"/>
        </w:rPr>
        <w:instrText>suffix</w:instrText>
      </w:r>
      <w:r w:rsidR="009D170B" w:rsidRPr="00320416">
        <w:rPr>
          <w:b/>
        </w:rPr>
        <w:instrText>":""},{"</w:instrText>
      </w:r>
      <w:r w:rsidR="009D170B">
        <w:rPr>
          <w:b/>
          <w:lang w:val="en-US"/>
        </w:rPr>
        <w:instrText>dropping</w:instrText>
      </w:r>
      <w:r w:rsidR="009D170B" w:rsidRPr="00320416">
        <w:rPr>
          <w:b/>
        </w:rPr>
        <w:instrText>-</w:instrText>
      </w:r>
      <w:r w:rsidR="009D170B">
        <w:rPr>
          <w:b/>
          <w:lang w:val="en-US"/>
        </w:rPr>
        <w:instrText>particle</w:instrText>
      </w:r>
      <w:r w:rsidR="009D170B" w:rsidRPr="00320416">
        <w:rPr>
          <w:b/>
        </w:rPr>
        <w:instrText>":"","</w:instrText>
      </w:r>
      <w:r w:rsidR="009D170B">
        <w:rPr>
          <w:b/>
          <w:lang w:val="en-US"/>
        </w:rPr>
        <w:instrText>family</w:instrText>
      </w:r>
      <w:r w:rsidR="009D170B" w:rsidRPr="00320416">
        <w:rPr>
          <w:b/>
        </w:rPr>
        <w:instrText>":"</w:instrText>
      </w:r>
      <w:r w:rsidR="009D170B">
        <w:rPr>
          <w:b/>
          <w:lang w:val="en-US"/>
        </w:rPr>
        <w:instrText>Shenkier</w:instrText>
      </w:r>
      <w:r w:rsidR="009D170B" w:rsidRPr="00320416">
        <w:rPr>
          <w:b/>
        </w:rPr>
        <w:instrText>","</w:instrText>
      </w:r>
      <w:r w:rsidR="009D170B">
        <w:rPr>
          <w:b/>
          <w:lang w:val="en-US"/>
        </w:rPr>
        <w:instrText>given</w:instrText>
      </w:r>
      <w:r w:rsidR="009D170B" w:rsidRPr="00320416">
        <w:rPr>
          <w:b/>
        </w:rPr>
        <w:instrText>":"</w:instrText>
      </w:r>
      <w:r w:rsidR="009D170B">
        <w:rPr>
          <w:b/>
          <w:lang w:val="en-US"/>
        </w:rPr>
        <w:instrText>Tamara</w:instrText>
      </w:r>
      <w:r w:rsidR="009D170B" w:rsidRPr="00320416">
        <w:rPr>
          <w:b/>
        </w:rPr>
        <w:instrText>","</w:instrText>
      </w:r>
      <w:r w:rsidR="009D170B">
        <w:rPr>
          <w:b/>
          <w:lang w:val="en-US"/>
        </w:rPr>
        <w:instrText>non</w:instrText>
      </w:r>
      <w:r w:rsidR="009D170B" w:rsidRPr="00320416">
        <w:rPr>
          <w:b/>
        </w:rPr>
        <w:instrText>-</w:instrText>
      </w:r>
      <w:r w:rsidR="009D170B">
        <w:rPr>
          <w:b/>
          <w:lang w:val="en-US"/>
        </w:rPr>
        <w:instrText>dropping</w:instrText>
      </w:r>
      <w:r w:rsidR="009D170B" w:rsidRPr="00320416">
        <w:rPr>
          <w:b/>
        </w:rPr>
        <w:instrText>-</w:instrText>
      </w:r>
      <w:r w:rsidR="009D170B">
        <w:rPr>
          <w:b/>
          <w:lang w:val="en-US"/>
        </w:rPr>
        <w:instrText>particle</w:instrText>
      </w:r>
      <w:r w:rsidR="009D170B" w:rsidRPr="00320416">
        <w:rPr>
          <w:b/>
        </w:rPr>
        <w:instrText>":"","</w:instrText>
      </w:r>
      <w:r w:rsidR="009D170B">
        <w:rPr>
          <w:b/>
          <w:lang w:val="en-US"/>
        </w:rPr>
        <w:instrText>parse</w:instrText>
      </w:r>
      <w:r w:rsidR="009D170B" w:rsidRPr="00320416">
        <w:rPr>
          <w:b/>
        </w:rPr>
        <w:instrText>-</w:instrText>
      </w:r>
      <w:r w:rsidR="009D170B">
        <w:rPr>
          <w:b/>
          <w:lang w:val="en-US"/>
        </w:rPr>
        <w:instrText>names</w:instrText>
      </w:r>
      <w:r w:rsidR="009D170B" w:rsidRPr="00320416">
        <w:rPr>
          <w:b/>
        </w:rPr>
        <w:instrText>":</w:instrText>
      </w:r>
      <w:r w:rsidR="009D170B">
        <w:rPr>
          <w:b/>
          <w:lang w:val="en-US"/>
        </w:rPr>
        <w:instrText>false</w:instrText>
      </w:r>
      <w:r w:rsidR="009D170B" w:rsidRPr="00320416">
        <w:rPr>
          <w:b/>
        </w:rPr>
        <w:instrText>,"</w:instrText>
      </w:r>
      <w:r w:rsidR="009D170B">
        <w:rPr>
          <w:b/>
          <w:lang w:val="en-US"/>
        </w:rPr>
        <w:instrText>suffix</w:instrText>
      </w:r>
      <w:r w:rsidR="009D170B" w:rsidRPr="00320416">
        <w:rPr>
          <w:b/>
        </w:rPr>
        <w:instrText>":""},{"</w:instrText>
      </w:r>
      <w:r w:rsidR="009D170B">
        <w:rPr>
          <w:b/>
          <w:lang w:val="en-US"/>
        </w:rPr>
        <w:instrText>dropping</w:instrText>
      </w:r>
      <w:r w:rsidR="009D170B" w:rsidRPr="00320416">
        <w:rPr>
          <w:b/>
        </w:rPr>
        <w:instrText>-</w:instrText>
      </w:r>
      <w:r w:rsidR="009D170B">
        <w:rPr>
          <w:b/>
          <w:lang w:val="en-US"/>
        </w:rPr>
        <w:instrText>particle</w:instrText>
      </w:r>
      <w:r w:rsidR="009D170B" w:rsidRPr="00320416">
        <w:rPr>
          <w:b/>
        </w:rPr>
        <w:instrText>":"","</w:instrText>
      </w:r>
      <w:r w:rsidR="009D170B">
        <w:rPr>
          <w:b/>
          <w:lang w:val="en-US"/>
        </w:rPr>
        <w:instrText>family</w:instrText>
      </w:r>
      <w:r w:rsidR="009D170B" w:rsidRPr="00320416">
        <w:rPr>
          <w:b/>
        </w:rPr>
        <w:instrText>":"</w:instrText>
      </w:r>
      <w:r w:rsidR="009D170B">
        <w:rPr>
          <w:b/>
          <w:lang w:val="en-US"/>
        </w:rPr>
        <w:instrText>Gascoyne</w:instrText>
      </w:r>
      <w:r w:rsidR="009D170B" w:rsidRPr="00320416">
        <w:rPr>
          <w:b/>
        </w:rPr>
        <w:instrText>","</w:instrText>
      </w:r>
      <w:r w:rsidR="009D170B">
        <w:rPr>
          <w:b/>
          <w:lang w:val="en-US"/>
        </w:rPr>
        <w:instrText>given</w:instrText>
      </w:r>
      <w:r w:rsidR="009D170B" w:rsidRPr="00320416">
        <w:rPr>
          <w:b/>
        </w:rPr>
        <w:instrText>":"</w:instrText>
      </w:r>
      <w:r w:rsidR="009D170B">
        <w:rPr>
          <w:b/>
          <w:lang w:val="en-US"/>
        </w:rPr>
        <w:instrText>Randy</w:instrText>
      </w:r>
      <w:r w:rsidR="009D170B" w:rsidRPr="00320416">
        <w:rPr>
          <w:b/>
        </w:rPr>
        <w:instrText xml:space="preserve"> </w:instrText>
      </w:r>
      <w:r w:rsidR="009D170B">
        <w:rPr>
          <w:b/>
          <w:lang w:val="en-US"/>
        </w:rPr>
        <w:instrText>D</w:instrText>
      </w:r>
      <w:r w:rsidR="009D170B" w:rsidRPr="00320416">
        <w:rPr>
          <w:b/>
        </w:rPr>
        <w:instrText>.","</w:instrText>
      </w:r>
      <w:r w:rsidR="009D170B">
        <w:rPr>
          <w:b/>
          <w:lang w:val="en-US"/>
        </w:rPr>
        <w:instrText>non</w:instrText>
      </w:r>
      <w:r w:rsidR="009D170B" w:rsidRPr="00320416">
        <w:rPr>
          <w:b/>
        </w:rPr>
        <w:instrText>-</w:instrText>
      </w:r>
      <w:r w:rsidR="009D170B">
        <w:rPr>
          <w:b/>
          <w:lang w:val="en-US"/>
        </w:rPr>
        <w:instrText>dropping</w:instrText>
      </w:r>
      <w:r w:rsidR="009D170B" w:rsidRPr="00320416">
        <w:rPr>
          <w:b/>
        </w:rPr>
        <w:instrText>-</w:instrText>
      </w:r>
      <w:r w:rsidR="009D170B">
        <w:rPr>
          <w:b/>
          <w:lang w:val="en-US"/>
        </w:rPr>
        <w:instrText>particle</w:instrText>
      </w:r>
      <w:r w:rsidR="009D170B" w:rsidRPr="00320416">
        <w:rPr>
          <w:b/>
        </w:rPr>
        <w:instrText>":"","</w:instrText>
      </w:r>
      <w:r w:rsidR="009D170B">
        <w:rPr>
          <w:b/>
          <w:lang w:val="en-US"/>
        </w:rPr>
        <w:instrText>parse</w:instrText>
      </w:r>
      <w:r w:rsidR="009D170B" w:rsidRPr="00320416">
        <w:rPr>
          <w:b/>
        </w:rPr>
        <w:instrText>-</w:instrText>
      </w:r>
      <w:r w:rsidR="009D170B">
        <w:rPr>
          <w:b/>
          <w:lang w:val="en-US"/>
        </w:rPr>
        <w:instrText>names</w:instrText>
      </w:r>
      <w:r w:rsidR="009D170B" w:rsidRPr="00320416">
        <w:rPr>
          <w:b/>
        </w:rPr>
        <w:instrText>":</w:instrText>
      </w:r>
      <w:r w:rsidR="009D170B">
        <w:rPr>
          <w:b/>
          <w:lang w:val="en-US"/>
        </w:rPr>
        <w:instrText>false</w:instrText>
      </w:r>
      <w:r w:rsidR="009D170B" w:rsidRPr="00320416">
        <w:rPr>
          <w:b/>
        </w:rPr>
        <w:instrText>,"</w:instrText>
      </w:r>
      <w:r w:rsidR="009D170B">
        <w:rPr>
          <w:b/>
          <w:lang w:val="en-US"/>
        </w:rPr>
        <w:instrText>suffix</w:instrText>
      </w:r>
      <w:r w:rsidR="009D170B" w:rsidRPr="00320416">
        <w:rPr>
          <w:b/>
        </w:rPr>
        <w:instrText>":""},{"</w:instrText>
      </w:r>
      <w:r w:rsidR="009D170B">
        <w:rPr>
          <w:b/>
          <w:lang w:val="en-US"/>
        </w:rPr>
        <w:instrText>dropping</w:instrText>
      </w:r>
      <w:r w:rsidR="009D170B" w:rsidRPr="00320416">
        <w:rPr>
          <w:b/>
        </w:rPr>
        <w:instrText>-</w:instrText>
      </w:r>
      <w:r w:rsidR="009D170B">
        <w:rPr>
          <w:b/>
          <w:lang w:val="en-US"/>
        </w:rPr>
        <w:instrText>particle</w:instrText>
      </w:r>
      <w:r w:rsidR="009D170B" w:rsidRPr="00320416">
        <w:rPr>
          <w:b/>
        </w:rPr>
        <w:instrText>":"","</w:instrText>
      </w:r>
      <w:r w:rsidR="009D170B">
        <w:rPr>
          <w:b/>
          <w:lang w:val="en-US"/>
        </w:rPr>
        <w:instrText>family</w:instrText>
      </w:r>
      <w:r w:rsidR="009D170B" w:rsidRPr="00320416">
        <w:rPr>
          <w:b/>
        </w:rPr>
        <w:instrText>":"</w:instrText>
      </w:r>
      <w:r w:rsidR="009D170B">
        <w:rPr>
          <w:b/>
          <w:lang w:val="en-US"/>
        </w:rPr>
        <w:instrText>Connors</w:instrText>
      </w:r>
      <w:r w:rsidR="009D170B" w:rsidRPr="00320416">
        <w:rPr>
          <w:b/>
        </w:rPr>
        <w:instrText>","</w:instrText>
      </w:r>
      <w:r w:rsidR="009D170B">
        <w:rPr>
          <w:b/>
          <w:lang w:val="en-US"/>
        </w:rPr>
        <w:instrText>given</w:instrText>
      </w:r>
      <w:r w:rsidR="009D170B" w:rsidRPr="00320416">
        <w:rPr>
          <w:b/>
        </w:rPr>
        <w:instrText>":"</w:instrText>
      </w:r>
      <w:r w:rsidR="009D170B">
        <w:rPr>
          <w:b/>
          <w:lang w:val="en-US"/>
        </w:rPr>
        <w:instrText>Joseph</w:instrText>
      </w:r>
      <w:r w:rsidR="009D170B" w:rsidRPr="00320416">
        <w:rPr>
          <w:b/>
        </w:rPr>
        <w:instrText xml:space="preserve"> </w:instrText>
      </w:r>
      <w:r w:rsidR="009D170B">
        <w:rPr>
          <w:b/>
          <w:lang w:val="en-US"/>
        </w:rPr>
        <w:instrText>M</w:instrText>
      </w:r>
      <w:r w:rsidR="009D170B" w:rsidRPr="00320416">
        <w:rPr>
          <w:b/>
        </w:rPr>
        <w:instrText>.","</w:instrText>
      </w:r>
      <w:r w:rsidR="009D170B">
        <w:rPr>
          <w:b/>
          <w:lang w:val="en-US"/>
        </w:rPr>
        <w:instrText>non</w:instrText>
      </w:r>
      <w:r w:rsidR="009D170B" w:rsidRPr="00320416">
        <w:rPr>
          <w:b/>
        </w:rPr>
        <w:instrText>-</w:instrText>
      </w:r>
      <w:r w:rsidR="009D170B">
        <w:rPr>
          <w:b/>
          <w:lang w:val="en-US"/>
        </w:rPr>
        <w:instrText>dropping</w:instrText>
      </w:r>
      <w:r w:rsidR="009D170B" w:rsidRPr="00320416">
        <w:rPr>
          <w:b/>
        </w:rPr>
        <w:instrText>-</w:instrText>
      </w:r>
      <w:r w:rsidR="009D170B">
        <w:rPr>
          <w:b/>
          <w:lang w:val="en-US"/>
        </w:rPr>
        <w:instrText>particle</w:instrText>
      </w:r>
      <w:r w:rsidR="009D170B" w:rsidRPr="00320416">
        <w:rPr>
          <w:b/>
        </w:rPr>
        <w:instrText>":"","</w:instrText>
      </w:r>
      <w:r w:rsidR="009D170B">
        <w:rPr>
          <w:b/>
          <w:lang w:val="en-US"/>
        </w:rPr>
        <w:instrText>parse</w:instrText>
      </w:r>
      <w:r w:rsidR="009D170B" w:rsidRPr="00320416">
        <w:rPr>
          <w:b/>
        </w:rPr>
        <w:instrText>-</w:instrText>
      </w:r>
      <w:r w:rsidR="009D170B">
        <w:rPr>
          <w:b/>
          <w:lang w:val="en-US"/>
        </w:rPr>
        <w:instrText>names</w:instrText>
      </w:r>
      <w:r w:rsidR="009D170B" w:rsidRPr="00320416">
        <w:rPr>
          <w:b/>
        </w:rPr>
        <w:instrText>":</w:instrText>
      </w:r>
      <w:r w:rsidR="009D170B">
        <w:rPr>
          <w:b/>
          <w:lang w:val="en-US"/>
        </w:rPr>
        <w:instrText>false</w:instrText>
      </w:r>
      <w:r w:rsidR="009D170B" w:rsidRPr="00320416">
        <w:rPr>
          <w:b/>
        </w:rPr>
        <w:instrText>,"</w:instrText>
      </w:r>
      <w:r w:rsidR="009D170B">
        <w:rPr>
          <w:b/>
          <w:lang w:val="en-US"/>
        </w:rPr>
        <w:instrText>suffix</w:instrText>
      </w:r>
      <w:r w:rsidR="009D170B" w:rsidRPr="00320416">
        <w:rPr>
          <w:b/>
        </w:rPr>
        <w:instrText>":""},{"</w:instrText>
      </w:r>
      <w:r w:rsidR="009D170B">
        <w:rPr>
          <w:b/>
          <w:lang w:val="en-US"/>
        </w:rPr>
        <w:instrText>dropping</w:instrText>
      </w:r>
      <w:r w:rsidR="009D170B" w:rsidRPr="00320416">
        <w:rPr>
          <w:b/>
        </w:rPr>
        <w:instrText>-</w:instrText>
      </w:r>
      <w:r w:rsidR="009D170B">
        <w:rPr>
          <w:b/>
          <w:lang w:val="en-US"/>
        </w:rPr>
        <w:instrText>particle</w:instrText>
      </w:r>
      <w:r w:rsidR="009D170B" w:rsidRPr="00320416">
        <w:rPr>
          <w:b/>
        </w:rPr>
        <w:instrText>":"","</w:instrText>
      </w:r>
      <w:r w:rsidR="009D170B">
        <w:rPr>
          <w:b/>
          <w:lang w:val="en-US"/>
        </w:rPr>
        <w:instrText>family</w:instrText>
      </w:r>
      <w:r w:rsidR="009D170B" w:rsidRPr="00320416">
        <w:rPr>
          <w:b/>
        </w:rPr>
        <w:instrText>":"</w:instrText>
      </w:r>
      <w:r w:rsidR="009D170B">
        <w:rPr>
          <w:b/>
          <w:lang w:val="en-US"/>
        </w:rPr>
        <w:instrText>Sehn</w:instrText>
      </w:r>
      <w:r w:rsidR="009D170B" w:rsidRPr="00320416">
        <w:rPr>
          <w:b/>
        </w:rPr>
        <w:instrText>","</w:instrText>
      </w:r>
      <w:r w:rsidR="009D170B">
        <w:rPr>
          <w:b/>
          <w:lang w:val="en-US"/>
        </w:rPr>
        <w:instrText>given</w:instrText>
      </w:r>
      <w:r w:rsidR="009D170B" w:rsidRPr="00320416">
        <w:rPr>
          <w:b/>
        </w:rPr>
        <w:instrText>":"</w:instrText>
      </w:r>
      <w:r w:rsidR="009D170B">
        <w:rPr>
          <w:b/>
          <w:lang w:val="en-US"/>
        </w:rPr>
        <w:instrText>Laurie</w:instrText>
      </w:r>
      <w:r w:rsidR="009D170B" w:rsidRPr="00320416">
        <w:rPr>
          <w:b/>
        </w:rPr>
        <w:instrText xml:space="preserve"> </w:instrText>
      </w:r>
      <w:r w:rsidR="009D170B">
        <w:rPr>
          <w:b/>
          <w:lang w:val="en-US"/>
        </w:rPr>
        <w:instrText>H</w:instrText>
      </w:r>
      <w:r w:rsidR="009D170B" w:rsidRPr="00320416">
        <w:rPr>
          <w:b/>
        </w:rPr>
        <w:instrText>.","</w:instrText>
      </w:r>
      <w:r w:rsidR="009D170B">
        <w:rPr>
          <w:b/>
          <w:lang w:val="en-US"/>
        </w:rPr>
        <w:instrText>non</w:instrText>
      </w:r>
      <w:r w:rsidR="009D170B" w:rsidRPr="00320416">
        <w:rPr>
          <w:b/>
        </w:rPr>
        <w:instrText>-</w:instrText>
      </w:r>
      <w:r w:rsidR="009D170B">
        <w:rPr>
          <w:b/>
          <w:lang w:val="en-US"/>
        </w:rPr>
        <w:instrText>dropping</w:instrText>
      </w:r>
      <w:r w:rsidR="009D170B" w:rsidRPr="00320416">
        <w:rPr>
          <w:b/>
        </w:rPr>
        <w:instrText>-</w:instrText>
      </w:r>
      <w:r w:rsidR="009D170B">
        <w:rPr>
          <w:b/>
          <w:lang w:val="en-US"/>
        </w:rPr>
        <w:instrText>particle</w:instrText>
      </w:r>
      <w:r w:rsidR="009D170B" w:rsidRPr="00320416">
        <w:rPr>
          <w:b/>
        </w:rPr>
        <w:instrText>":"","</w:instrText>
      </w:r>
      <w:r w:rsidR="009D170B">
        <w:rPr>
          <w:b/>
          <w:lang w:val="en-US"/>
        </w:rPr>
        <w:instrText>parse</w:instrText>
      </w:r>
      <w:r w:rsidR="009D170B" w:rsidRPr="00320416">
        <w:rPr>
          <w:b/>
        </w:rPr>
        <w:instrText>-</w:instrText>
      </w:r>
      <w:r w:rsidR="009D170B">
        <w:rPr>
          <w:b/>
          <w:lang w:val="en-US"/>
        </w:rPr>
        <w:instrText>names</w:instrText>
      </w:r>
      <w:r w:rsidR="009D170B" w:rsidRPr="00320416">
        <w:rPr>
          <w:b/>
        </w:rPr>
        <w:instrText>":</w:instrText>
      </w:r>
      <w:r w:rsidR="009D170B">
        <w:rPr>
          <w:b/>
          <w:lang w:val="en-US"/>
        </w:rPr>
        <w:instrText>false</w:instrText>
      </w:r>
      <w:r w:rsidR="009D170B" w:rsidRPr="00320416">
        <w:rPr>
          <w:b/>
        </w:rPr>
        <w:instrText>,"</w:instrText>
      </w:r>
      <w:r w:rsidR="009D170B">
        <w:rPr>
          <w:b/>
          <w:lang w:val="en-US"/>
        </w:rPr>
        <w:instrText>suffix</w:instrText>
      </w:r>
      <w:r w:rsidR="009D170B" w:rsidRPr="00320416">
        <w:rPr>
          <w:b/>
        </w:rPr>
        <w:instrText>":""}],"</w:instrText>
      </w:r>
      <w:r w:rsidR="009D170B">
        <w:rPr>
          <w:b/>
          <w:lang w:val="en-US"/>
        </w:rPr>
        <w:instrText>container</w:instrText>
      </w:r>
      <w:r w:rsidR="009D170B" w:rsidRPr="00320416">
        <w:rPr>
          <w:b/>
        </w:rPr>
        <w:instrText>-</w:instrText>
      </w:r>
      <w:r w:rsidR="009D170B">
        <w:rPr>
          <w:b/>
          <w:lang w:val="en-US"/>
        </w:rPr>
        <w:instrText>title</w:instrText>
      </w:r>
      <w:r w:rsidR="009D170B" w:rsidRPr="00320416">
        <w:rPr>
          <w:b/>
        </w:rPr>
        <w:instrText>":"</w:instrText>
      </w:r>
      <w:r w:rsidR="009D170B">
        <w:rPr>
          <w:b/>
          <w:lang w:val="en-US"/>
        </w:rPr>
        <w:instrText>Blood</w:instrText>
      </w:r>
      <w:r w:rsidR="009D170B" w:rsidRPr="00320416">
        <w:rPr>
          <w:b/>
        </w:rPr>
        <w:instrText>","</w:instrText>
      </w:r>
      <w:r w:rsidR="009D170B">
        <w:rPr>
          <w:b/>
          <w:lang w:val="en-US"/>
        </w:rPr>
        <w:instrText>id</w:instrText>
      </w:r>
      <w:r w:rsidR="009D170B" w:rsidRPr="00320416">
        <w:rPr>
          <w:b/>
        </w:rPr>
        <w:instrText>":"</w:instrText>
      </w:r>
      <w:r w:rsidR="009D170B">
        <w:rPr>
          <w:b/>
          <w:lang w:val="en-US"/>
        </w:rPr>
        <w:instrText>ITEM</w:instrText>
      </w:r>
      <w:r w:rsidR="009D170B" w:rsidRPr="00320416">
        <w:rPr>
          <w:b/>
        </w:rPr>
        <w:instrText>-1","</w:instrText>
      </w:r>
      <w:r w:rsidR="009D170B">
        <w:rPr>
          <w:b/>
          <w:lang w:val="en-US"/>
        </w:rPr>
        <w:instrText>issue</w:instrText>
      </w:r>
      <w:r w:rsidR="009D170B" w:rsidRPr="00320416">
        <w:rPr>
          <w:b/>
        </w:rPr>
        <w:instrText>"</w:instrText>
      </w:r>
      <w:r w:rsidR="009D170B" w:rsidRPr="00AA43FB">
        <w:rPr>
          <w:b/>
        </w:rPr>
        <w:instrText>:"22","</w:instrText>
      </w:r>
      <w:r w:rsidR="009D170B">
        <w:rPr>
          <w:b/>
          <w:lang w:val="en-US"/>
        </w:rPr>
        <w:instrText>issued</w:instrText>
      </w:r>
      <w:r w:rsidR="009D170B" w:rsidRPr="00AA43FB">
        <w:rPr>
          <w:b/>
        </w:rPr>
        <w:instrText>":{"</w:instrText>
      </w:r>
      <w:r w:rsidR="009D170B">
        <w:rPr>
          <w:b/>
          <w:lang w:val="en-US"/>
        </w:rPr>
        <w:instrText>date</w:instrText>
      </w:r>
      <w:r w:rsidR="009D170B" w:rsidRPr="00AA43FB">
        <w:rPr>
          <w:b/>
        </w:rPr>
        <w:instrText>-</w:instrText>
      </w:r>
      <w:r w:rsidR="009D170B">
        <w:rPr>
          <w:b/>
          <w:lang w:val="en-US"/>
        </w:rPr>
        <w:instrText>parts</w:instrText>
      </w:r>
      <w:r w:rsidR="009D170B" w:rsidRPr="00AA43FB">
        <w:rPr>
          <w:b/>
        </w:rPr>
        <w:instrText>":[["2009","11","20"]]},"</w:instrText>
      </w:r>
      <w:r w:rsidR="009D170B">
        <w:rPr>
          <w:b/>
          <w:lang w:val="en-US"/>
        </w:rPr>
        <w:instrText>page</w:instrText>
      </w:r>
      <w:r w:rsidR="009D170B" w:rsidRPr="00AA43FB">
        <w:rPr>
          <w:b/>
        </w:rPr>
        <w:instrText>":"408-408","</w:instrText>
      </w:r>
      <w:r w:rsidR="009D170B">
        <w:rPr>
          <w:b/>
          <w:lang w:val="en-US"/>
        </w:rPr>
        <w:instrText>publisher</w:instrText>
      </w:r>
      <w:r w:rsidR="009D170B" w:rsidRPr="00AA43FB">
        <w:rPr>
          <w:b/>
        </w:rPr>
        <w:instrText>":"</w:instrText>
      </w:r>
      <w:r w:rsidR="009D170B">
        <w:rPr>
          <w:b/>
          <w:lang w:val="en-US"/>
        </w:rPr>
        <w:instrText>American</w:instrText>
      </w:r>
      <w:r w:rsidR="009D170B" w:rsidRPr="00AA43FB">
        <w:rPr>
          <w:b/>
        </w:rPr>
        <w:instrText xml:space="preserve"> </w:instrText>
      </w:r>
      <w:r w:rsidR="009D170B">
        <w:rPr>
          <w:b/>
          <w:lang w:val="en-US"/>
        </w:rPr>
        <w:instrText>Society</w:instrText>
      </w:r>
      <w:r w:rsidR="009D170B" w:rsidRPr="00AA43FB">
        <w:rPr>
          <w:b/>
        </w:rPr>
        <w:instrText xml:space="preserve"> </w:instrText>
      </w:r>
      <w:r w:rsidR="009D170B">
        <w:rPr>
          <w:b/>
          <w:lang w:val="en-US"/>
        </w:rPr>
        <w:instrText>of</w:instrText>
      </w:r>
      <w:r w:rsidR="009D170B" w:rsidRPr="00AA43FB">
        <w:rPr>
          <w:b/>
        </w:rPr>
        <w:instrText xml:space="preserve"> </w:instrText>
      </w:r>
      <w:r w:rsidR="009D170B">
        <w:rPr>
          <w:b/>
          <w:lang w:val="en-US"/>
        </w:rPr>
        <w:instrText>Hematology</w:instrText>
      </w:r>
      <w:r w:rsidR="009D170B" w:rsidRPr="00AA43FB">
        <w:rPr>
          <w:b/>
        </w:rPr>
        <w:instrText>","</w:instrText>
      </w:r>
      <w:r w:rsidR="009D170B">
        <w:rPr>
          <w:b/>
          <w:lang w:val="en-US"/>
        </w:rPr>
        <w:instrText>title</w:instrText>
      </w:r>
      <w:r w:rsidR="009D170B" w:rsidRPr="00AA43FB">
        <w:rPr>
          <w:b/>
        </w:rPr>
        <w:instrText>":"</w:instrText>
      </w:r>
      <w:r w:rsidR="009D170B">
        <w:rPr>
          <w:b/>
          <w:lang w:val="en-US"/>
        </w:rPr>
        <w:instrText>R</w:instrText>
      </w:r>
      <w:r w:rsidR="009D170B" w:rsidRPr="00AA43FB">
        <w:rPr>
          <w:b/>
        </w:rPr>
        <w:instrText>-</w:instrText>
      </w:r>
      <w:r w:rsidR="009D170B">
        <w:rPr>
          <w:b/>
          <w:lang w:val="en-US"/>
        </w:rPr>
        <w:instrText>CHOP</w:instrText>
      </w:r>
      <w:r w:rsidR="009D170B" w:rsidRPr="00AA43FB">
        <w:rPr>
          <w:b/>
        </w:rPr>
        <w:instrText xml:space="preserve"> </w:instrText>
      </w:r>
      <w:r w:rsidR="009D170B">
        <w:rPr>
          <w:b/>
          <w:lang w:val="en-US"/>
        </w:rPr>
        <w:instrText>with</w:instrText>
      </w:r>
      <w:r w:rsidR="009D170B" w:rsidRPr="00AA43FB">
        <w:rPr>
          <w:b/>
        </w:rPr>
        <w:instrText xml:space="preserve"> </w:instrText>
      </w:r>
      <w:r w:rsidR="009D170B">
        <w:rPr>
          <w:b/>
          <w:lang w:val="en-US"/>
        </w:rPr>
        <w:instrText>Etoposide</w:instrText>
      </w:r>
      <w:r w:rsidR="009D170B" w:rsidRPr="00AA43FB">
        <w:rPr>
          <w:b/>
        </w:rPr>
        <w:instrText xml:space="preserve"> </w:instrText>
      </w:r>
      <w:r w:rsidR="009D170B">
        <w:rPr>
          <w:b/>
          <w:lang w:val="en-US"/>
        </w:rPr>
        <w:instrText>Substituted</w:instrText>
      </w:r>
      <w:r w:rsidR="009D170B" w:rsidRPr="00AA43FB">
        <w:rPr>
          <w:b/>
        </w:rPr>
        <w:instrText xml:space="preserve"> </w:instrText>
      </w:r>
      <w:r w:rsidR="009D170B">
        <w:rPr>
          <w:b/>
          <w:lang w:val="en-US"/>
        </w:rPr>
        <w:instrText>for</w:instrText>
      </w:r>
      <w:r w:rsidR="009D170B" w:rsidRPr="00AA43FB">
        <w:rPr>
          <w:b/>
        </w:rPr>
        <w:instrText xml:space="preserve"> </w:instrText>
      </w:r>
      <w:r w:rsidR="009D170B">
        <w:rPr>
          <w:b/>
          <w:lang w:val="en-US"/>
        </w:rPr>
        <w:instrText>Doxorubicin</w:instrText>
      </w:r>
      <w:r w:rsidR="009D170B" w:rsidRPr="00AA43FB">
        <w:rPr>
          <w:b/>
        </w:rPr>
        <w:instrText xml:space="preserve"> (</w:instrText>
      </w:r>
      <w:r w:rsidR="009D170B">
        <w:rPr>
          <w:b/>
          <w:lang w:val="en-US"/>
        </w:rPr>
        <w:instrText>R</w:instrText>
      </w:r>
      <w:r w:rsidR="009D170B" w:rsidRPr="00AA43FB">
        <w:rPr>
          <w:b/>
        </w:rPr>
        <w:instrText>-</w:instrText>
      </w:r>
      <w:r w:rsidR="009D170B">
        <w:rPr>
          <w:b/>
          <w:lang w:val="en-US"/>
        </w:rPr>
        <w:instrText>CEOP</w:instrText>
      </w:r>
      <w:r w:rsidR="009D170B" w:rsidRPr="00AA43FB">
        <w:rPr>
          <w:b/>
        </w:rPr>
        <w:instrText xml:space="preserve">): </w:instrText>
      </w:r>
      <w:r w:rsidR="009D170B">
        <w:rPr>
          <w:b/>
          <w:lang w:val="en-US"/>
        </w:rPr>
        <w:instrText>Excellent</w:instrText>
      </w:r>
      <w:r w:rsidR="009D170B" w:rsidRPr="00AA43FB">
        <w:rPr>
          <w:b/>
        </w:rPr>
        <w:instrText xml:space="preserve"> </w:instrText>
      </w:r>
      <w:r w:rsidR="009D170B">
        <w:rPr>
          <w:b/>
          <w:lang w:val="en-US"/>
        </w:rPr>
        <w:instrText>Outcome</w:instrText>
      </w:r>
      <w:r w:rsidR="009D170B" w:rsidRPr="00AA43FB">
        <w:rPr>
          <w:b/>
        </w:rPr>
        <w:instrText xml:space="preserve"> </w:instrText>
      </w:r>
      <w:r w:rsidR="009D170B">
        <w:rPr>
          <w:b/>
          <w:lang w:val="en-US"/>
        </w:rPr>
        <w:instrText>in</w:instrText>
      </w:r>
      <w:r w:rsidR="009D170B" w:rsidRPr="00AA43FB">
        <w:rPr>
          <w:b/>
        </w:rPr>
        <w:instrText xml:space="preserve"> </w:instrText>
      </w:r>
      <w:r w:rsidR="009D170B">
        <w:rPr>
          <w:b/>
          <w:lang w:val="en-US"/>
        </w:rPr>
        <w:instrText>Diffuse</w:instrText>
      </w:r>
      <w:r w:rsidR="009D170B" w:rsidRPr="00AA43FB">
        <w:rPr>
          <w:b/>
        </w:rPr>
        <w:instrText xml:space="preserve"> </w:instrText>
      </w:r>
      <w:r w:rsidR="009D170B">
        <w:rPr>
          <w:b/>
          <w:lang w:val="en-US"/>
        </w:rPr>
        <w:instrText>Large</w:instrText>
      </w:r>
      <w:r w:rsidR="009D170B" w:rsidRPr="00AA43FB">
        <w:rPr>
          <w:b/>
        </w:rPr>
        <w:instrText xml:space="preserve"> </w:instrText>
      </w:r>
      <w:r w:rsidR="009D170B">
        <w:rPr>
          <w:b/>
          <w:lang w:val="en-US"/>
        </w:rPr>
        <w:instrText>B</w:instrText>
      </w:r>
      <w:r w:rsidR="009D170B" w:rsidRPr="00AA43FB">
        <w:rPr>
          <w:b/>
        </w:rPr>
        <w:instrText xml:space="preserve"> </w:instrText>
      </w:r>
      <w:r w:rsidR="009D170B">
        <w:rPr>
          <w:b/>
          <w:lang w:val="en-US"/>
        </w:rPr>
        <w:instrText>Cell</w:instrText>
      </w:r>
      <w:r w:rsidR="009D170B" w:rsidRPr="00AA43FB">
        <w:rPr>
          <w:b/>
        </w:rPr>
        <w:instrText xml:space="preserve"> </w:instrText>
      </w:r>
      <w:r w:rsidR="009D170B">
        <w:rPr>
          <w:b/>
          <w:lang w:val="en-US"/>
        </w:rPr>
        <w:instrText>Lymphoma</w:instrText>
      </w:r>
      <w:r w:rsidR="009D170B" w:rsidRPr="00AA43FB">
        <w:rPr>
          <w:b/>
        </w:rPr>
        <w:instrText xml:space="preserve"> </w:instrText>
      </w:r>
      <w:r w:rsidR="009D170B">
        <w:rPr>
          <w:b/>
          <w:lang w:val="en-US"/>
        </w:rPr>
        <w:instrText>for</w:instrText>
      </w:r>
      <w:r w:rsidR="009D170B" w:rsidRPr="00AA43FB">
        <w:rPr>
          <w:b/>
        </w:rPr>
        <w:instrText xml:space="preserve"> </w:instrText>
      </w:r>
      <w:r w:rsidR="009D170B">
        <w:rPr>
          <w:b/>
          <w:lang w:val="en-US"/>
        </w:rPr>
        <w:instrText>Patients</w:instrText>
      </w:r>
      <w:r w:rsidR="009D170B" w:rsidRPr="00AA43FB">
        <w:rPr>
          <w:b/>
        </w:rPr>
        <w:instrText xml:space="preserve"> </w:instrText>
      </w:r>
      <w:r w:rsidR="009D170B">
        <w:rPr>
          <w:b/>
          <w:lang w:val="en-US"/>
        </w:rPr>
        <w:instrText>with</w:instrText>
      </w:r>
      <w:r w:rsidR="009D170B" w:rsidRPr="00AA43FB">
        <w:rPr>
          <w:b/>
        </w:rPr>
        <w:instrText xml:space="preserve"> </w:instrText>
      </w:r>
      <w:r w:rsidR="009D170B">
        <w:rPr>
          <w:b/>
          <w:lang w:val="en-US"/>
        </w:rPr>
        <w:instrText>a</w:instrText>
      </w:r>
      <w:r w:rsidR="009D170B" w:rsidRPr="00AA43FB">
        <w:rPr>
          <w:b/>
        </w:rPr>
        <w:instrText xml:space="preserve"> </w:instrText>
      </w:r>
      <w:r w:rsidR="009D170B">
        <w:rPr>
          <w:b/>
          <w:lang w:val="en-US"/>
        </w:rPr>
        <w:instrText>Contraindication</w:instrText>
      </w:r>
      <w:r w:rsidR="009D170B" w:rsidRPr="00AA43FB">
        <w:rPr>
          <w:b/>
        </w:rPr>
        <w:instrText xml:space="preserve"> </w:instrText>
      </w:r>
      <w:r w:rsidR="009D170B">
        <w:rPr>
          <w:b/>
          <w:lang w:val="en-US"/>
        </w:rPr>
        <w:instrText>to</w:instrText>
      </w:r>
      <w:r w:rsidR="009D170B" w:rsidRPr="00AA43FB">
        <w:rPr>
          <w:b/>
        </w:rPr>
        <w:instrText xml:space="preserve"> </w:instrText>
      </w:r>
      <w:r w:rsidR="009D170B">
        <w:rPr>
          <w:b/>
          <w:lang w:val="en-US"/>
        </w:rPr>
        <w:instrText>Anthracyclines</w:instrText>
      </w:r>
      <w:r w:rsidR="009D170B" w:rsidRPr="00AA43FB">
        <w:rPr>
          <w:b/>
        </w:rPr>
        <w:instrText>.","</w:instrText>
      </w:r>
      <w:r w:rsidR="009D170B">
        <w:rPr>
          <w:b/>
          <w:lang w:val="en-US"/>
        </w:rPr>
        <w:instrText>type</w:instrText>
      </w:r>
      <w:r w:rsidR="009D170B" w:rsidRPr="00AA43FB">
        <w:rPr>
          <w:b/>
        </w:rPr>
        <w:instrText>":"</w:instrText>
      </w:r>
      <w:r w:rsidR="009D170B">
        <w:rPr>
          <w:b/>
          <w:lang w:val="en-US"/>
        </w:rPr>
        <w:instrText>article</w:instrText>
      </w:r>
      <w:r w:rsidR="009D170B" w:rsidRPr="00AA43FB">
        <w:rPr>
          <w:b/>
        </w:rPr>
        <w:instrText>-</w:instrText>
      </w:r>
      <w:r w:rsidR="009D170B">
        <w:rPr>
          <w:b/>
          <w:lang w:val="en-US"/>
        </w:rPr>
        <w:instrText>journal</w:instrText>
      </w:r>
      <w:r w:rsidR="009D170B" w:rsidRPr="00320416">
        <w:rPr>
          <w:b/>
        </w:rPr>
        <w:instrText>","</w:instrText>
      </w:r>
      <w:r w:rsidR="009D170B">
        <w:rPr>
          <w:b/>
          <w:lang w:val="en-US"/>
        </w:rPr>
        <w:instrText>volume</w:instrText>
      </w:r>
      <w:r w:rsidR="009D170B" w:rsidRPr="00320416">
        <w:rPr>
          <w:b/>
        </w:rPr>
        <w:instrText>":"114"},"</w:instrText>
      </w:r>
      <w:r w:rsidR="009D170B">
        <w:rPr>
          <w:b/>
          <w:lang w:val="en-US"/>
        </w:rPr>
        <w:instrText>uris</w:instrText>
      </w:r>
      <w:r w:rsidR="009D170B" w:rsidRPr="00320416">
        <w:rPr>
          <w:b/>
        </w:rPr>
        <w:instrText>":["</w:instrText>
      </w:r>
      <w:r w:rsidR="009D170B">
        <w:rPr>
          <w:b/>
          <w:lang w:val="en-US"/>
        </w:rPr>
        <w:instrText>http</w:instrText>
      </w:r>
      <w:r w:rsidR="009D170B" w:rsidRPr="00320416">
        <w:rPr>
          <w:b/>
        </w:rPr>
        <w:instrText>://</w:instrText>
      </w:r>
      <w:r w:rsidR="009D170B">
        <w:rPr>
          <w:b/>
          <w:lang w:val="en-US"/>
        </w:rPr>
        <w:instrText>www</w:instrText>
      </w:r>
      <w:r w:rsidR="009D170B" w:rsidRPr="00320416">
        <w:rPr>
          <w:b/>
        </w:rPr>
        <w:instrText>.</w:instrText>
      </w:r>
      <w:r w:rsidR="009D170B">
        <w:rPr>
          <w:b/>
          <w:lang w:val="en-US"/>
        </w:rPr>
        <w:instrText>mendeley</w:instrText>
      </w:r>
      <w:r w:rsidR="009D170B" w:rsidRPr="00320416">
        <w:rPr>
          <w:b/>
        </w:rPr>
        <w:instrText>.</w:instrText>
      </w:r>
      <w:r w:rsidR="009D170B">
        <w:rPr>
          <w:b/>
          <w:lang w:val="en-US"/>
        </w:rPr>
        <w:instrText>com</w:instrText>
      </w:r>
      <w:r w:rsidR="009D170B" w:rsidRPr="00320416">
        <w:rPr>
          <w:b/>
        </w:rPr>
        <w:instrText>/</w:instrText>
      </w:r>
      <w:r w:rsidR="009D170B">
        <w:rPr>
          <w:b/>
          <w:lang w:val="en-US"/>
        </w:rPr>
        <w:instrText>documents</w:instrText>
      </w:r>
      <w:r w:rsidR="009D170B" w:rsidRPr="00320416">
        <w:rPr>
          <w:b/>
        </w:rPr>
        <w:instrText>/?</w:instrText>
      </w:r>
      <w:r w:rsidR="009D170B">
        <w:rPr>
          <w:b/>
          <w:lang w:val="en-US"/>
        </w:rPr>
        <w:instrText>uuid</w:instrText>
      </w:r>
      <w:r w:rsidR="009D170B" w:rsidRPr="00320416">
        <w:rPr>
          <w:b/>
        </w:rPr>
        <w:instrText>=077</w:instrText>
      </w:r>
      <w:r w:rsidR="009D170B">
        <w:rPr>
          <w:b/>
          <w:lang w:val="en-US"/>
        </w:rPr>
        <w:instrText>fb</w:instrText>
      </w:r>
      <w:r w:rsidR="009D170B" w:rsidRPr="00320416">
        <w:rPr>
          <w:b/>
        </w:rPr>
        <w:instrText>5</w:instrText>
      </w:r>
      <w:r w:rsidR="009D170B">
        <w:rPr>
          <w:b/>
          <w:lang w:val="en-US"/>
        </w:rPr>
        <w:instrText>fc</w:instrText>
      </w:r>
      <w:r w:rsidR="009D170B" w:rsidRPr="00320416">
        <w:rPr>
          <w:b/>
        </w:rPr>
        <w:instrText>-03</w:instrText>
      </w:r>
      <w:r w:rsidR="009D170B">
        <w:rPr>
          <w:b/>
          <w:lang w:val="en-US"/>
        </w:rPr>
        <w:instrText>d</w:instrText>
      </w:r>
      <w:r w:rsidR="009D170B" w:rsidRPr="00320416">
        <w:rPr>
          <w:b/>
        </w:rPr>
        <w:instrText>3-38</w:instrText>
      </w:r>
      <w:r w:rsidR="009D170B">
        <w:rPr>
          <w:b/>
          <w:lang w:val="en-US"/>
        </w:rPr>
        <w:instrText>fb</w:instrText>
      </w:r>
      <w:r w:rsidR="009D170B" w:rsidRPr="00320416">
        <w:rPr>
          <w:b/>
        </w:rPr>
        <w:instrText>-</w:instrText>
      </w:r>
      <w:r w:rsidR="009D170B">
        <w:rPr>
          <w:b/>
          <w:lang w:val="en-US"/>
        </w:rPr>
        <w:instrText>a</w:instrText>
      </w:r>
      <w:r w:rsidR="009D170B" w:rsidRPr="00320416">
        <w:rPr>
          <w:b/>
        </w:rPr>
        <w:instrText>737-1</w:instrText>
      </w:r>
      <w:r w:rsidR="009D170B">
        <w:rPr>
          <w:b/>
          <w:lang w:val="en-US"/>
        </w:rPr>
        <w:instrText>e</w:instrText>
      </w:r>
      <w:r w:rsidR="009D170B" w:rsidRPr="00320416">
        <w:rPr>
          <w:b/>
        </w:rPr>
        <w:instrText>2</w:instrText>
      </w:r>
      <w:r w:rsidR="009D170B">
        <w:rPr>
          <w:b/>
          <w:lang w:val="en-US"/>
        </w:rPr>
        <w:instrText>c</w:instrText>
      </w:r>
      <w:r w:rsidR="009D170B" w:rsidRPr="00320416">
        <w:rPr>
          <w:b/>
        </w:rPr>
        <w:instrText>0637</w:instrText>
      </w:r>
      <w:r w:rsidR="009D170B">
        <w:rPr>
          <w:b/>
          <w:lang w:val="en-US"/>
        </w:rPr>
        <w:instrText>b</w:instrText>
      </w:r>
      <w:r w:rsidR="009D170B" w:rsidRPr="00320416">
        <w:rPr>
          <w:b/>
        </w:rPr>
        <w:instrText>312"]},{"</w:instrText>
      </w:r>
      <w:r w:rsidR="009D170B">
        <w:rPr>
          <w:b/>
          <w:lang w:val="en-US"/>
        </w:rPr>
        <w:instrText>id</w:instrText>
      </w:r>
      <w:r w:rsidR="009D170B" w:rsidRPr="00320416">
        <w:rPr>
          <w:b/>
        </w:rPr>
        <w:instrText>":"</w:instrText>
      </w:r>
      <w:r w:rsidR="009D170B">
        <w:rPr>
          <w:b/>
          <w:lang w:val="en-US"/>
        </w:rPr>
        <w:instrText>ITEM</w:instrText>
      </w:r>
      <w:r w:rsidR="009D170B" w:rsidRPr="00320416">
        <w:rPr>
          <w:b/>
        </w:rPr>
        <w:instrText>-2","</w:instrText>
      </w:r>
      <w:r w:rsidR="009D170B">
        <w:rPr>
          <w:b/>
          <w:lang w:val="en-US"/>
        </w:rPr>
        <w:instrText>itemData</w:instrText>
      </w:r>
      <w:r w:rsidR="009D170B" w:rsidRPr="00320416">
        <w:rPr>
          <w:b/>
        </w:rPr>
        <w:instrText>":{"</w:instrText>
      </w:r>
      <w:r w:rsidR="009D170B">
        <w:rPr>
          <w:b/>
          <w:lang w:val="en-US"/>
        </w:rPr>
        <w:instrText>author</w:instrText>
      </w:r>
      <w:r w:rsidR="009D170B" w:rsidRPr="00320416">
        <w:rPr>
          <w:b/>
        </w:rPr>
        <w:instrText>":[{"</w:instrText>
      </w:r>
      <w:r w:rsidR="009D170B">
        <w:rPr>
          <w:b/>
          <w:lang w:val="en-US"/>
        </w:rPr>
        <w:instrText>dropping</w:instrText>
      </w:r>
      <w:r w:rsidR="009D170B" w:rsidRPr="00320416">
        <w:rPr>
          <w:b/>
        </w:rPr>
        <w:instrText>-</w:instrText>
      </w:r>
      <w:r w:rsidR="009D170B">
        <w:rPr>
          <w:b/>
          <w:lang w:val="en-US"/>
        </w:rPr>
        <w:instrText>particle</w:instrText>
      </w:r>
      <w:r w:rsidR="009D170B" w:rsidRPr="00320416">
        <w:rPr>
          <w:b/>
        </w:rPr>
        <w:instrText>":"","</w:instrText>
      </w:r>
      <w:r w:rsidR="009D170B">
        <w:rPr>
          <w:b/>
          <w:lang w:val="en-US"/>
        </w:rPr>
        <w:instrText>family</w:instrText>
      </w:r>
      <w:r w:rsidR="009D170B" w:rsidRPr="00320416">
        <w:rPr>
          <w:b/>
        </w:rPr>
        <w:instrText>":"Тумян","</w:instrText>
      </w:r>
      <w:r w:rsidR="009D170B">
        <w:rPr>
          <w:b/>
          <w:lang w:val="en-US"/>
        </w:rPr>
        <w:instrText>given</w:instrText>
      </w:r>
      <w:r w:rsidR="009D170B" w:rsidRPr="00320416">
        <w:rPr>
          <w:b/>
        </w:rPr>
        <w:instrText>":"Г.С.","</w:instrText>
      </w:r>
      <w:r w:rsidR="009D170B">
        <w:rPr>
          <w:b/>
          <w:lang w:val="en-US"/>
        </w:rPr>
        <w:instrText>non</w:instrText>
      </w:r>
      <w:r w:rsidR="009D170B" w:rsidRPr="00320416">
        <w:rPr>
          <w:b/>
        </w:rPr>
        <w:instrText>-</w:instrText>
      </w:r>
      <w:r w:rsidR="009D170B">
        <w:rPr>
          <w:b/>
          <w:lang w:val="en-US"/>
        </w:rPr>
        <w:instrText>dropping</w:instrText>
      </w:r>
      <w:r w:rsidR="009D170B" w:rsidRPr="00320416">
        <w:rPr>
          <w:b/>
        </w:rPr>
        <w:instrText>-</w:instrText>
      </w:r>
      <w:r w:rsidR="009D170B">
        <w:rPr>
          <w:b/>
          <w:lang w:val="en-US"/>
        </w:rPr>
        <w:instrText>particle</w:instrText>
      </w:r>
      <w:r w:rsidR="009D170B" w:rsidRPr="00320416">
        <w:rPr>
          <w:b/>
        </w:rPr>
        <w:instrText>":"","</w:instrText>
      </w:r>
      <w:r w:rsidR="009D170B">
        <w:rPr>
          <w:b/>
          <w:lang w:val="en-US"/>
        </w:rPr>
        <w:instrText>parse</w:instrText>
      </w:r>
      <w:r w:rsidR="009D170B" w:rsidRPr="00320416">
        <w:rPr>
          <w:b/>
        </w:rPr>
        <w:instrText>-</w:instrText>
      </w:r>
      <w:r w:rsidR="009D170B">
        <w:rPr>
          <w:b/>
          <w:lang w:val="en-US"/>
        </w:rPr>
        <w:instrText>names</w:instrText>
      </w:r>
      <w:r w:rsidR="009D170B" w:rsidRPr="00320416">
        <w:rPr>
          <w:b/>
        </w:rPr>
        <w:instrText>":</w:instrText>
      </w:r>
      <w:r w:rsidR="009D170B">
        <w:rPr>
          <w:b/>
          <w:lang w:val="en-US"/>
        </w:rPr>
        <w:instrText>false</w:instrText>
      </w:r>
      <w:r w:rsidR="009D170B" w:rsidRPr="00320416">
        <w:rPr>
          <w:b/>
        </w:rPr>
        <w:instrText>,"</w:instrText>
      </w:r>
      <w:r w:rsidR="009D170B">
        <w:rPr>
          <w:b/>
          <w:lang w:val="en-US"/>
        </w:rPr>
        <w:instrText>suffix</w:instrText>
      </w:r>
      <w:r w:rsidR="009D170B" w:rsidRPr="00320416">
        <w:rPr>
          <w:b/>
        </w:rPr>
        <w:instrText>":""},{"</w:instrText>
      </w:r>
      <w:r w:rsidR="009D170B">
        <w:rPr>
          <w:b/>
          <w:lang w:val="en-US"/>
        </w:rPr>
        <w:instrText>dropping</w:instrText>
      </w:r>
      <w:r w:rsidR="009D170B" w:rsidRPr="00320416">
        <w:rPr>
          <w:b/>
        </w:rPr>
        <w:instrText>-</w:instrText>
      </w:r>
      <w:r w:rsidR="009D170B">
        <w:rPr>
          <w:b/>
          <w:lang w:val="en-US"/>
        </w:rPr>
        <w:instrText>particle</w:instrText>
      </w:r>
      <w:r w:rsidR="009D170B" w:rsidRPr="00320416">
        <w:rPr>
          <w:b/>
        </w:rPr>
        <w:instrText>":"","</w:instrText>
      </w:r>
      <w:r w:rsidR="009D170B">
        <w:rPr>
          <w:b/>
          <w:lang w:val="en-US"/>
        </w:rPr>
        <w:instrText>family</w:instrText>
      </w:r>
      <w:r w:rsidR="009D170B" w:rsidRPr="00320416">
        <w:rPr>
          <w:b/>
        </w:rPr>
        <w:instrText>":"Кравченко","</w:instrText>
      </w:r>
      <w:r w:rsidR="009D170B">
        <w:rPr>
          <w:b/>
          <w:lang w:val="en-US"/>
        </w:rPr>
        <w:instrText>given</w:instrText>
      </w:r>
      <w:r w:rsidR="009D170B" w:rsidRPr="00320416">
        <w:rPr>
          <w:b/>
        </w:rPr>
        <w:instrText>":"С.К.","</w:instrText>
      </w:r>
      <w:r w:rsidR="009D170B">
        <w:rPr>
          <w:b/>
          <w:lang w:val="en-US"/>
        </w:rPr>
        <w:instrText>non</w:instrText>
      </w:r>
      <w:r w:rsidR="009D170B" w:rsidRPr="00320416">
        <w:rPr>
          <w:b/>
        </w:rPr>
        <w:instrText>-</w:instrText>
      </w:r>
      <w:r w:rsidR="009D170B">
        <w:rPr>
          <w:b/>
          <w:lang w:val="en-US"/>
        </w:rPr>
        <w:instrText>dropping</w:instrText>
      </w:r>
      <w:r w:rsidR="009D170B" w:rsidRPr="00320416">
        <w:rPr>
          <w:b/>
        </w:rPr>
        <w:instrText>-</w:instrText>
      </w:r>
      <w:r w:rsidR="009D170B">
        <w:rPr>
          <w:b/>
          <w:lang w:val="en-US"/>
        </w:rPr>
        <w:instrText>particle</w:instrText>
      </w:r>
      <w:r w:rsidR="009D170B" w:rsidRPr="00320416">
        <w:rPr>
          <w:b/>
        </w:rPr>
        <w:instrText>":"","</w:instrText>
      </w:r>
      <w:r w:rsidR="009D170B">
        <w:rPr>
          <w:b/>
          <w:lang w:val="en-US"/>
        </w:rPr>
        <w:instrText>parse</w:instrText>
      </w:r>
      <w:r w:rsidR="009D170B" w:rsidRPr="00320416">
        <w:rPr>
          <w:b/>
        </w:rPr>
        <w:instrText>-</w:instrText>
      </w:r>
      <w:r w:rsidR="009D170B">
        <w:rPr>
          <w:b/>
          <w:lang w:val="en-US"/>
        </w:rPr>
        <w:instrText>names</w:instrText>
      </w:r>
      <w:r w:rsidR="009D170B" w:rsidRPr="00320416">
        <w:rPr>
          <w:b/>
        </w:rPr>
        <w:instrText>":</w:instrText>
      </w:r>
      <w:r w:rsidR="009D170B">
        <w:rPr>
          <w:b/>
          <w:lang w:val="en-US"/>
        </w:rPr>
        <w:instrText>false</w:instrText>
      </w:r>
      <w:r w:rsidR="009D170B" w:rsidRPr="00320416">
        <w:rPr>
          <w:b/>
        </w:rPr>
        <w:instrText>,"</w:instrText>
      </w:r>
      <w:r w:rsidR="009D170B">
        <w:rPr>
          <w:b/>
          <w:lang w:val="en-US"/>
        </w:rPr>
        <w:instrText>suffix</w:instrText>
      </w:r>
      <w:r w:rsidR="009D170B" w:rsidRPr="00320416">
        <w:rPr>
          <w:b/>
        </w:rPr>
        <w:instrText>":""},{"</w:instrText>
      </w:r>
      <w:r w:rsidR="009D170B">
        <w:rPr>
          <w:b/>
          <w:lang w:val="en-US"/>
        </w:rPr>
        <w:instrText>dropping</w:instrText>
      </w:r>
      <w:r w:rsidR="009D170B" w:rsidRPr="00320416">
        <w:rPr>
          <w:b/>
        </w:rPr>
        <w:instrText>-</w:instrText>
      </w:r>
      <w:r w:rsidR="009D170B">
        <w:rPr>
          <w:b/>
          <w:lang w:val="en-US"/>
        </w:rPr>
        <w:instrText>particle</w:instrText>
      </w:r>
      <w:r w:rsidR="009D170B" w:rsidRPr="00320416">
        <w:rPr>
          <w:b/>
        </w:rPr>
        <w:instrText>":"","</w:instrText>
      </w:r>
      <w:r w:rsidR="009D170B">
        <w:rPr>
          <w:b/>
          <w:lang w:val="en-US"/>
        </w:rPr>
        <w:instrText>family</w:instrText>
      </w:r>
      <w:r w:rsidR="009D170B" w:rsidRPr="00320416">
        <w:rPr>
          <w:b/>
        </w:rPr>
        <w:instrText>":"Михайлова","</w:instrText>
      </w:r>
      <w:r w:rsidR="009D170B">
        <w:rPr>
          <w:b/>
          <w:lang w:val="en-US"/>
        </w:rPr>
        <w:instrText>given</w:instrText>
      </w:r>
      <w:r w:rsidR="009D170B" w:rsidRPr="00320416">
        <w:rPr>
          <w:b/>
        </w:rPr>
        <w:instrText>":"Н.Б.","</w:instrText>
      </w:r>
      <w:r w:rsidR="009D170B">
        <w:rPr>
          <w:b/>
          <w:lang w:val="en-US"/>
        </w:rPr>
        <w:instrText>non</w:instrText>
      </w:r>
      <w:r w:rsidR="009D170B" w:rsidRPr="00320416">
        <w:rPr>
          <w:b/>
        </w:rPr>
        <w:instrText>-</w:instrText>
      </w:r>
      <w:r w:rsidR="009D170B">
        <w:rPr>
          <w:b/>
          <w:lang w:val="en-US"/>
        </w:rPr>
        <w:instrText>dropping</w:instrText>
      </w:r>
      <w:r w:rsidR="009D170B" w:rsidRPr="00320416">
        <w:rPr>
          <w:b/>
        </w:rPr>
        <w:instrText>-</w:instrText>
      </w:r>
      <w:r w:rsidR="009D170B">
        <w:rPr>
          <w:b/>
          <w:lang w:val="en-US"/>
        </w:rPr>
        <w:instrText>particle</w:instrText>
      </w:r>
      <w:r w:rsidR="009D170B" w:rsidRPr="00320416">
        <w:rPr>
          <w:b/>
        </w:rPr>
        <w:instrText>":"","</w:instrText>
      </w:r>
      <w:r w:rsidR="009D170B">
        <w:rPr>
          <w:b/>
          <w:lang w:val="en-US"/>
        </w:rPr>
        <w:instrText>parse</w:instrText>
      </w:r>
      <w:r w:rsidR="009D170B" w:rsidRPr="00320416">
        <w:rPr>
          <w:b/>
        </w:rPr>
        <w:instrText>-</w:instrText>
      </w:r>
      <w:r w:rsidR="009D170B">
        <w:rPr>
          <w:b/>
          <w:lang w:val="en-US"/>
        </w:rPr>
        <w:instrText>names</w:instrText>
      </w:r>
      <w:r w:rsidR="009D170B" w:rsidRPr="00320416">
        <w:rPr>
          <w:b/>
        </w:rPr>
        <w:instrText>":</w:instrText>
      </w:r>
      <w:r w:rsidR="009D170B">
        <w:rPr>
          <w:b/>
          <w:lang w:val="en-US"/>
        </w:rPr>
        <w:instrText>false</w:instrText>
      </w:r>
      <w:r w:rsidR="009D170B" w:rsidRPr="00320416">
        <w:rPr>
          <w:b/>
        </w:rPr>
        <w:instrText>,"</w:instrText>
      </w:r>
      <w:r w:rsidR="009D170B">
        <w:rPr>
          <w:b/>
          <w:lang w:val="en-US"/>
        </w:rPr>
        <w:instrText>suffix</w:instrText>
      </w:r>
      <w:r w:rsidR="009D170B" w:rsidRPr="00320416">
        <w:rPr>
          <w:b/>
        </w:rPr>
        <w:instrText>":""},{"</w:instrText>
      </w:r>
      <w:r w:rsidR="009D170B">
        <w:rPr>
          <w:b/>
          <w:lang w:val="en-US"/>
        </w:rPr>
        <w:instrText>dropping</w:instrText>
      </w:r>
      <w:r w:rsidR="009D170B" w:rsidRPr="00320416">
        <w:rPr>
          <w:b/>
        </w:rPr>
        <w:instrText>-</w:instrText>
      </w:r>
      <w:r w:rsidR="009D170B">
        <w:rPr>
          <w:b/>
          <w:lang w:val="en-US"/>
        </w:rPr>
        <w:instrText>particle</w:instrText>
      </w:r>
      <w:r w:rsidR="009D170B" w:rsidRPr="00320416">
        <w:rPr>
          <w:b/>
        </w:rPr>
        <w:instrText>":"","</w:instrText>
      </w:r>
      <w:r w:rsidR="009D170B">
        <w:rPr>
          <w:b/>
          <w:lang w:val="en-US"/>
        </w:rPr>
        <w:instrText>family</w:instrText>
      </w:r>
      <w:r w:rsidR="009D170B" w:rsidRPr="00320416">
        <w:rPr>
          <w:b/>
        </w:rPr>
        <w:instrText>":"Барях","</w:instrText>
      </w:r>
      <w:r w:rsidR="009D170B">
        <w:rPr>
          <w:b/>
          <w:lang w:val="en-US"/>
        </w:rPr>
        <w:instrText>given</w:instrText>
      </w:r>
      <w:r w:rsidR="009D170B" w:rsidRPr="00320416">
        <w:rPr>
          <w:b/>
        </w:rPr>
        <w:instrText>":"Е.А.","</w:instrText>
      </w:r>
      <w:r w:rsidR="009D170B">
        <w:rPr>
          <w:b/>
          <w:lang w:val="en-US"/>
        </w:rPr>
        <w:instrText>non</w:instrText>
      </w:r>
      <w:r w:rsidR="009D170B" w:rsidRPr="00320416">
        <w:rPr>
          <w:b/>
        </w:rPr>
        <w:instrText>-</w:instrText>
      </w:r>
      <w:r w:rsidR="009D170B">
        <w:rPr>
          <w:b/>
          <w:lang w:val="en-US"/>
        </w:rPr>
        <w:instrText>dropping</w:instrText>
      </w:r>
      <w:r w:rsidR="009D170B" w:rsidRPr="00320416">
        <w:rPr>
          <w:b/>
        </w:rPr>
        <w:instrText>-</w:instrText>
      </w:r>
      <w:r w:rsidR="009D170B">
        <w:rPr>
          <w:b/>
          <w:lang w:val="en-US"/>
        </w:rPr>
        <w:instrText>particle</w:instrText>
      </w:r>
      <w:r w:rsidR="009D170B" w:rsidRPr="00320416">
        <w:rPr>
          <w:b/>
        </w:rPr>
        <w:instrText>":"","</w:instrText>
      </w:r>
      <w:r w:rsidR="009D170B">
        <w:rPr>
          <w:b/>
          <w:lang w:val="en-US"/>
        </w:rPr>
        <w:instrText>parse</w:instrText>
      </w:r>
      <w:r w:rsidR="009D170B" w:rsidRPr="00320416">
        <w:rPr>
          <w:b/>
        </w:rPr>
        <w:instrText>-</w:instrText>
      </w:r>
      <w:r w:rsidR="009D170B">
        <w:rPr>
          <w:b/>
          <w:lang w:val="en-US"/>
        </w:rPr>
        <w:instrText>names</w:instrText>
      </w:r>
      <w:r w:rsidR="009D170B" w:rsidRPr="00320416">
        <w:rPr>
          <w:b/>
        </w:rPr>
        <w:instrText>":</w:instrText>
      </w:r>
      <w:r w:rsidR="009D170B">
        <w:rPr>
          <w:b/>
          <w:lang w:val="en-US"/>
        </w:rPr>
        <w:instrText>false</w:instrText>
      </w:r>
      <w:r w:rsidR="009D170B" w:rsidRPr="00320416">
        <w:rPr>
          <w:b/>
        </w:rPr>
        <w:instrText>,"</w:instrText>
      </w:r>
      <w:r w:rsidR="009D170B">
        <w:rPr>
          <w:b/>
          <w:lang w:val="en-US"/>
        </w:rPr>
        <w:instrText>suffix</w:instrText>
      </w:r>
      <w:r w:rsidR="009D170B" w:rsidRPr="00320416">
        <w:rPr>
          <w:b/>
        </w:rPr>
        <w:instrText>":""},{"</w:instrText>
      </w:r>
      <w:r w:rsidR="009D170B">
        <w:rPr>
          <w:b/>
          <w:lang w:val="en-US"/>
        </w:rPr>
        <w:instrText>dropping</w:instrText>
      </w:r>
      <w:r w:rsidR="009D170B" w:rsidRPr="00320416">
        <w:rPr>
          <w:b/>
        </w:rPr>
        <w:instrText>-</w:instrText>
      </w:r>
      <w:r w:rsidR="009D170B">
        <w:rPr>
          <w:b/>
          <w:lang w:val="en-US"/>
        </w:rPr>
        <w:instrText>particle</w:instrText>
      </w:r>
      <w:r w:rsidR="009D170B" w:rsidRPr="00320416">
        <w:rPr>
          <w:b/>
        </w:rPr>
        <w:instrText>":"","</w:instrText>
      </w:r>
      <w:r w:rsidR="009D170B">
        <w:rPr>
          <w:b/>
          <w:lang w:val="en-US"/>
        </w:rPr>
        <w:instrText>family</w:instrText>
      </w:r>
      <w:r w:rsidR="009D170B" w:rsidRPr="00320416">
        <w:rPr>
          <w:b/>
        </w:rPr>
        <w:instrText>":"Птушкин","</w:instrText>
      </w:r>
      <w:r w:rsidR="009D170B">
        <w:rPr>
          <w:b/>
          <w:lang w:val="en-US"/>
        </w:rPr>
        <w:instrText>given</w:instrText>
      </w:r>
      <w:r w:rsidR="009D170B" w:rsidRPr="00320416">
        <w:rPr>
          <w:b/>
        </w:rPr>
        <w:instrText>":"В.В.","</w:instrText>
      </w:r>
      <w:r w:rsidR="009D170B">
        <w:rPr>
          <w:b/>
          <w:lang w:val="en-US"/>
        </w:rPr>
        <w:instrText>non</w:instrText>
      </w:r>
      <w:r w:rsidR="009D170B" w:rsidRPr="00320416">
        <w:rPr>
          <w:b/>
        </w:rPr>
        <w:instrText>-</w:instrText>
      </w:r>
      <w:r w:rsidR="009D170B">
        <w:rPr>
          <w:b/>
          <w:lang w:val="en-US"/>
        </w:rPr>
        <w:instrText>dropping</w:instrText>
      </w:r>
      <w:r w:rsidR="009D170B" w:rsidRPr="00320416">
        <w:rPr>
          <w:b/>
        </w:rPr>
        <w:instrText>-</w:instrText>
      </w:r>
      <w:r w:rsidR="009D170B">
        <w:rPr>
          <w:b/>
          <w:lang w:val="en-US"/>
        </w:rPr>
        <w:instrText>particle</w:instrText>
      </w:r>
      <w:r w:rsidR="009D170B" w:rsidRPr="00320416">
        <w:rPr>
          <w:b/>
        </w:rPr>
        <w:instrText>":"","</w:instrText>
      </w:r>
      <w:r w:rsidR="009D170B">
        <w:rPr>
          <w:b/>
          <w:lang w:val="en-US"/>
        </w:rPr>
        <w:instrText>parse</w:instrText>
      </w:r>
      <w:r w:rsidR="009D170B" w:rsidRPr="00320416">
        <w:rPr>
          <w:b/>
        </w:rPr>
        <w:instrText>-</w:instrText>
      </w:r>
      <w:r w:rsidR="009D170B">
        <w:rPr>
          <w:b/>
          <w:lang w:val="en-US"/>
        </w:rPr>
        <w:instrText>names</w:instrText>
      </w:r>
      <w:r w:rsidR="009D170B" w:rsidRPr="00320416">
        <w:rPr>
          <w:b/>
        </w:rPr>
        <w:instrText>":</w:instrText>
      </w:r>
      <w:r w:rsidR="009D170B">
        <w:rPr>
          <w:b/>
          <w:lang w:val="en-US"/>
        </w:rPr>
        <w:instrText>false</w:instrText>
      </w:r>
      <w:r w:rsidR="009D170B" w:rsidRPr="00320416">
        <w:rPr>
          <w:b/>
        </w:rPr>
        <w:instrText>,"</w:instrText>
      </w:r>
      <w:r w:rsidR="009D170B">
        <w:rPr>
          <w:b/>
          <w:lang w:val="en-US"/>
        </w:rPr>
        <w:instrText>suffix</w:instrText>
      </w:r>
      <w:r w:rsidR="009D170B" w:rsidRPr="00320416">
        <w:rPr>
          <w:b/>
        </w:rPr>
        <w:instrText>":""},{"</w:instrText>
      </w:r>
      <w:r w:rsidR="009D170B">
        <w:rPr>
          <w:b/>
          <w:lang w:val="en-US"/>
        </w:rPr>
        <w:instrText>dropping</w:instrText>
      </w:r>
      <w:r w:rsidR="009D170B" w:rsidRPr="00320416">
        <w:rPr>
          <w:b/>
        </w:rPr>
        <w:instrText>-</w:instrText>
      </w:r>
      <w:r w:rsidR="009D170B">
        <w:rPr>
          <w:b/>
          <w:lang w:val="en-US"/>
        </w:rPr>
        <w:instrText>particle</w:instrText>
      </w:r>
      <w:r w:rsidR="009D170B" w:rsidRPr="00320416">
        <w:rPr>
          <w:b/>
        </w:rPr>
        <w:instrText>":"","</w:instrText>
      </w:r>
      <w:r w:rsidR="009D170B">
        <w:rPr>
          <w:b/>
          <w:lang w:val="en-US"/>
        </w:rPr>
        <w:instrText>family</w:instrText>
      </w:r>
      <w:r w:rsidR="009D170B" w:rsidRPr="00320416">
        <w:rPr>
          <w:b/>
        </w:rPr>
        <w:instrText>":"Поддубная","</w:instrText>
      </w:r>
      <w:r w:rsidR="009D170B">
        <w:rPr>
          <w:b/>
          <w:lang w:val="en-US"/>
        </w:rPr>
        <w:instrText>given</w:instrText>
      </w:r>
      <w:r w:rsidR="009D170B" w:rsidRPr="00320416">
        <w:rPr>
          <w:b/>
        </w:rPr>
        <w:instrText>":"И.В.","</w:instrText>
      </w:r>
      <w:r w:rsidR="009D170B">
        <w:rPr>
          <w:b/>
          <w:lang w:val="en-US"/>
        </w:rPr>
        <w:instrText>non</w:instrText>
      </w:r>
      <w:r w:rsidR="009D170B" w:rsidRPr="00320416">
        <w:rPr>
          <w:b/>
        </w:rPr>
        <w:instrText>-</w:instrText>
      </w:r>
      <w:r w:rsidR="009D170B">
        <w:rPr>
          <w:b/>
          <w:lang w:val="en-US"/>
        </w:rPr>
        <w:instrText>dropping</w:instrText>
      </w:r>
      <w:r w:rsidR="009D170B" w:rsidRPr="00320416">
        <w:rPr>
          <w:b/>
        </w:rPr>
        <w:instrText>-</w:instrText>
      </w:r>
      <w:r w:rsidR="009D170B">
        <w:rPr>
          <w:b/>
          <w:lang w:val="en-US"/>
        </w:rPr>
        <w:instrText>particle</w:instrText>
      </w:r>
      <w:r w:rsidR="009D170B" w:rsidRPr="00320416">
        <w:rPr>
          <w:b/>
        </w:rPr>
        <w:instrText>":"","</w:instrText>
      </w:r>
      <w:r w:rsidR="009D170B">
        <w:rPr>
          <w:b/>
          <w:lang w:val="en-US"/>
        </w:rPr>
        <w:instrText>parse</w:instrText>
      </w:r>
      <w:r w:rsidR="009D170B" w:rsidRPr="00320416">
        <w:rPr>
          <w:b/>
        </w:rPr>
        <w:instrText>-</w:instrText>
      </w:r>
      <w:r w:rsidR="009D170B">
        <w:rPr>
          <w:b/>
          <w:lang w:val="en-US"/>
        </w:rPr>
        <w:instrText>names</w:instrText>
      </w:r>
      <w:r w:rsidR="009D170B" w:rsidRPr="00320416">
        <w:rPr>
          <w:b/>
        </w:rPr>
        <w:instrText>":</w:instrText>
      </w:r>
      <w:r w:rsidR="009D170B">
        <w:rPr>
          <w:b/>
          <w:lang w:val="en-US"/>
        </w:rPr>
        <w:instrText>false</w:instrText>
      </w:r>
      <w:r w:rsidR="009D170B" w:rsidRPr="00320416">
        <w:rPr>
          <w:b/>
        </w:rPr>
        <w:instrText>,"</w:instrText>
      </w:r>
      <w:r w:rsidR="009D170B">
        <w:rPr>
          <w:b/>
          <w:lang w:val="en-US"/>
        </w:rPr>
        <w:instrText>suffix</w:instrText>
      </w:r>
      <w:r w:rsidR="009D170B" w:rsidRPr="00320416">
        <w:rPr>
          <w:b/>
        </w:rPr>
        <w:instrText>":""}],"</w:instrText>
      </w:r>
      <w:r w:rsidR="009D170B">
        <w:rPr>
          <w:b/>
          <w:lang w:val="en-US"/>
        </w:rPr>
        <w:instrText>container</w:instrText>
      </w:r>
      <w:r w:rsidR="009D170B" w:rsidRPr="00320416">
        <w:rPr>
          <w:b/>
        </w:rPr>
        <w:instrText>-</w:instrText>
      </w:r>
      <w:r w:rsidR="009D170B">
        <w:rPr>
          <w:b/>
          <w:lang w:val="en-US"/>
        </w:rPr>
        <w:instrText>title</w:instrText>
      </w:r>
      <w:r w:rsidR="009D170B" w:rsidRPr="00320416">
        <w:rPr>
          <w:b/>
        </w:rPr>
        <w:instrText>":"Российские клинические рекомендации по диагностике и лечению злокачественных лимфопролиферативных заболеваний; под ред. И.В. Поддубной, В.Г. Савченко.","</w:instrText>
      </w:r>
      <w:r w:rsidR="009D170B">
        <w:rPr>
          <w:b/>
          <w:lang w:val="en-US"/>
        </w:rPr>
        <w:instrText>id</w:instrText>
      </w:r>
      <w:r w:rsidR="009D170B" w:rsidRPr="00320416">
        <w:rPr>
          <w:b/>
        </w:rPr>
        <w:instrText>":"</w:instrText>
      </w:r>
      <w:r w:rsidR="009D170B">
        <w:rPr>
          <w:b/>
          <w:lang w:val="en-US"/>
        </w:rPr>
        <w:instrText>ITEM</w:instrText>
      </w:r>
      <w:r w:rsidR="009D170B" w:rsidRPr="00320416">
        <w:rPr>
          <w:b/>
        </w:rPr>
        <w:instrText>-2","</w:instrText>
      </w:r>
      <w:r w:rsidR="009D170B">
        <w:rPr>
          <w:b/>
          <w:lang w:val="en-US"/>
        </w:rPr>
        <w:instrText>issued</w:instrText>
      </w:r>
      <w:r w:rsidR="009D170B" w:rsidRPr="00320416">
        <w:rPr>
          <w:b/>
        </w:rPr>
        <w:instrText>":{"</w:instrText>
      </w:r>
      <w:r w:rsidR="009D170B">
        <w:rPr>
          <w:b/>
          <w:lang w:val="en-US"/>
        </w:rPr>
        <w:instrText>date</w:instrText>
      </w:r>
      <w:r w:rsidR="009D170B" w:rsidRPr="00320416">
        <w:rPr>
          <w:b/>
        </w:rPr>
        <w:instrText>-</w:instrText>
      </w:r>
      <w:r w:rsidR="009D170B">
        <w:rPr>
          <w:b/>
          <w:lang w:val="en-US"/>
        </w:rPr>
        <w:instrText>parts</w:instrText>
      </w:r>
      <w:r w:rsidR="009D170B" w:rsidRPr="00320416">
        <w:rPr>
          <w:b/>
        </w:rPr>
        <w:instrText>":[["2018"]]},"</w:instrText>
      </w:r>
      <w:r w:rsidR="009D170B">
        <w:rPr>
          <w:b/>
          <w:lang w:val="en-US"/>
        </w:rPr>
        <w:instrText>page</w:instrText>
      </w:r>
      <w:r w:rsidR="009D170B" w:rsidRPr="00320416">
        <w:rPr>
          <w:b/>
        </w:rPr>
        <w:instrText>":"58-68","</w:instrText>
      </w:r>
      <w:r w:rsidR="009D170B">
        <w:rPr>
          <w:b/>
          <w:lang w:val="en-US"/>
        </w:rPr>
        <w:instrText>title</w:instrText>
      </w:r>
      <w:r w:rsidR="009D170B" w:rsidRPr="00320416">
        <w:rPr>
          <w:b/>
        </w:rPr>
        <w:instrText>":"Диффузная В-клеточная крупноклеточная лимфома","</w:instrText>
      </w:r>
      <w:r w:rsidR="009D170B">
        <w:rPr>
          <w:b/>
          <w:lang w:val="en-US"/>
        </w:rPr>
        <w:instrText>type</w:instrText>
      </w:r>
      <w:r w:rsidR="009D170B" w:rsidRPr="00320416">
        <w:rPr>
          <w:b/>
        </w:rPr>
        <w:instrText>":"</w:instrText>
      </w:r>
      <w:r w:rsidR="009D170B">
        <w:rPr>
          <w:b/>
          <w:lang w:val="en-US"/>
        </w:rPr>
        <w:instrText>chapter</w:instrText>
      </w:r>
      <w:r w:rsidR="009D170B" w:rsidRPr="00320416">
        <w:rPr>
          <w:b/>
        </w:rPr>
        <w:instrText>"},"</w:instrText>
      </w:r>
      <w:r w:rsidR="009D170B">
        <w:rPr>
          <w:b/>
          <w:lang w:val="en-US"/>
        </w:rPr>
        <w:instrText>uris</w:instrText>
      </w:r>
      <w:r w:rsidR="009D170B" w:rsidRPr="00320416">
        <w:rPr>
          <w:b/>
        </w:rPr>
        <w:instrText>":["</w:instrText>
      </w:r>
      <w:r w:rsidR="009D170B">
        <w:rPr>
          <w:b/>
          <w:lang w:val="en-US"/>
        </w:rPr>
        <w:instrText>http</w:instrText>
      </w:r>
      <w:r w:rsidR="009D170B" w:rsidRPr="00320416">
        <w:rPr>
          <w:b/>
        </w:rPr>
        <w:instrText>://</w:instrText>
      </w:r>
      <w:r w:rsidR="009D170B">
        <w:rPr>
          <w:b/>
          <w:lang w:val="en-US"/>
        </w:rPr>
        <w:instrText>www</w:instrText>
      </w:r>
      <w:r w:rsidR="009D170B" w:rsidRPr="00320416">
        <w:rPr>
          <w:b/>
        </w:rPr>
        <w:instrText>.</w:instrText>
      </w:r>
      <w:r w:rsidR="009D170B">
        <w:rPr>
          <w:b/>
          <w:lang w:val="en-US"/>
        </w:rPr>
        <w:instrText>mendeley</w:instrText>
      </w:r>
      <w:r w:rsidR="009D170B" w:rsidRPr="00320416">
        <w:rPr>
          <w:b/>
        </w:rPr>
        <w:instrText>.</w:instrText>
      </w:r>
      <w:r w:rsidR="009D170B">
        <w:rPr>
          <w:b/>
          <w:lang w:val="en-US"/>
        </w:rPr>
        <w:instrText>com</w:instrText>
      </w:r>
      <w:r w:rsidR="009D170B" w:rsidRPr="00320416">
        <w:rPr>
          <w:b/>
        </w:rPr>
        <w:instrText>/</w:instrText>
      </w:r>
      <w:r w:rsidR="009D170B">
        <w:rPr>
          <w:b/>
          <w:lang w:val="en-US"/>
        </w:rPr>
        <w:instrText>documents</w:instrText>
      </w:r>
      <w:r w:rsidR="009D170B" w:rsidRPr="00320416">
        <w:rPr>
          <w:b/>
        </w:rPr>
        <w:instrText>/?</w:instrText>
      </w:r>
      <w:r w:rsidR="009D170B">
        <w:rPr>
          <w:b/>
          <w:lang w:val="en-US"/>
        </w:rPr>
        <w:instrText>uuid</w:instrText>
      </w:r>
      <w:r w:rsidR="009D170B" w:rsidRPr="00320416">
        <w:rPr>
          <w:b/>
        </w:rPr>
        <w:instrText>=</w:instrText>
      </w:r>
      <w:r w:rsidR="009D170B">
        <w:rPr>
          <w:b/>
          <w:lang w:val="en-US"/>
        </w:rPr>
        <w:instrText>cb</w:instrText>
      </w:r>
      <w:r w:rsidR="009D170B" w:rsidRPr="00320416">
        <w:rPr>
          <w:b/>
        </w:rPr>
        <w:instrText>7114</w:instrText>
      </w:r>
      <w:r w:rsidR="009D170B">
        <w:rPr>
          <w:b/>
          <w:lang w:val="en-US"/>
        </w:rPr>
        <w:instrText>f</w:instrText>
      </w:r>
      <w:r w:rsidR="009D170B" w:rsidRPr="00320416">
        <w:rPr>
          <w:b/>
        </w:rPr>
        <w:instrText>7-4655-4733-8</w:instrText>
      </w:r>
      <w:r w:rsidR="009D170B">
        <w:rPr>
          <w:b/>
          <w:lang w:val="en-US"/>
        </w:rPr>
        <w:instrText>df</w:instrText>
      </w:r>
      <w:r w:rsidR="009D170B" w:rsidRPr="00320416">
        <w:rPr>
          <w:b/>
        </w:rPr>
        <w:instrText>2-526</w:instrText>
      </w:r>
      <w:r w:rsidR="009D170B">
        <w:rPr>
          <w:b/>
          <w:lang w:val="en-US"/>
        </w:rPr>
        <w:instrText>cc</w:instrText>
      </w:r>
      <w:r w:rsidR="009D170B" w:rsidRPr="00320416">
        <w:rPr>
          <w:b/>
        </w:rPr>
        <w:instrText>4</w:instrText>
      </w:r>
      <w:r w:rsidR="009D170B">
        <w:rPr>
          <w:b/>
          <w:lang w:val="en-US"/>
        </w:rPr>
        <w:instrText>e</w:instrText>
      </w:r>
      <w:r w:rsidR="009D170B" w:rsidRPr="00320416">
        <w:rPr>
          <w:b/>
        </w:rPr>
        <w:instrText>32730"]}],"</w:instrText>
      </w:r>
      <w:r w:rsidR="009D170B">
        <w:rPr>
          <w:b/>
          <w:lang w:val="en-US"/>
        </w:rPr>
        <w:instrText>mendeley</w:instrText>
      </w:r>
      <w:r w:rsidR="009D170B" w:rsidRPr="00320416">
        <w:rPr>
          <w:b/>
        </w:rPr>
        <w:instrText>":{"</w:instrText>
      </w:r>
      <w:r w:rsidR="009D170B">
        <w:rPr>
          <w:b/>
          <w:lang w:val="en-US"/>
        </w:rPr>
        <w:instrText>formattedCitation</w:instrText>
      </w:r>
      <w:r w:rsidR="009D170B" w:rsidRPr="00320416">
        <w:rPr>
          <w:b/>
        </w:rPr>
        <w:instrText>":"[20,68]","</w:instrText>
      </w:r>
      <w:r w:rsidR="009D170B">
        <w:rPr>
          <w:b/>
          <w:lang w:val="en-US"/>
        </w:rPr>
        <w:instrText>plainTextFormattedCitation</w:instrText>
      </w:r>
      <w:r w:rsidR="009D170B" w:rsidRPr="00320416">
        <w:rPr>
          <w:b/>
        </w:rPr>
        <w:instrText>":"[20,68]","</w:instrText>
      </w:r>
      <w:r w:rsidR="009D170B">
        <w:rPr>
          <w:b/>
          <w:lang w:val="en-US"/>
        </w:rPr>
        <w:instrText>previouslyFormattedCitation</w:instrText>
      </w:r>
      <w:r w:rsidR="009D170B" w:rsidRPr="00320416">
        <w:rPr>
          <w:b/>
        </w:rPr>
        <w:instrText>":"[20,68]"},"</w:instrText>
      </w:r>
      <w:r w:rsidR="009D170B">
        <w:rPr>
          <w:b/>
          <w:lang w:val="en-US"/>
        </w:rPr>
        <w:instrText>properties</w:instrText>
      </w:r>
      <w:r w:rsidR="009D170B" w:rsidRPr="00320416">
        <w:rPr>
          <w:b/>
        </w:rPr>
        <w:instrText>":{"</w:instrText>
      </w:r>
      <w:r w:rsidR="009D170B">
        <w:rPr>
          <w:b/>
          <w:lang w:val="en-US"/>
        </w:rPr>
        <w:instrText>noteIndex</w:instrText>
      </w:r>
      <w:r w:rsidR="009D170B" w:rsidRPr="00320416">
        <w:rPr>
          <w:b/>
        </w:rPr>
        <w:instrText>":0},"</w:instrText>
      </w:r>
      <w:r w:rsidR="009D170B">
        <w:rPr>
          <w:b/>
          <w:lang w:val="en-US"/>
        </w:rPr>
        <w:instrText>schema</w:instrText>
      </w:r>
      <w:r w:rsidR="009D170B" w:rsidRPr="00320416">
        <w:rPr>
          <w:b/>
        </w:rPr>
        <w:instrText>":"</w:instrText>
      </w:r>
      <w:r w:rsidR="009D170B">
        <w:rPr>
          <w:b/>
          <w:lang w:val="en-US"/>
        </w:rPr>
        <w:instrText>https</w:instrText>
      </w:r>
      <w:r w:rsidR="009D170B" w:rsidRPr="00320416">
        <w:rPr>
          <w:b/>
        </w:rPr>
        <w:instrText>://</w:instrText>
      </w:r>
      <w:r w:rsidR="009D170B">
        <w:rPr>
          <w:b/>
          <w:lang w:val="en-US"/>
        </w:rPr>
        <w:instrText>github</w:instrText>
      </w:r>
      <w:r w:rsidR="009D170B" w:rsidRPr="00320416">
        <w:rPr>
          <w:b/>
        </w:rPr>
        <w:instrText>.</w:instrText>
      </w:r>
      <w:r w:rsidR="009D170B">
        <w:rPr>
          <w:b/>
          <w:lang w:val="en-US"/>
        </w:rPr>
        <w:instrText>com</w:instrText>
      </w:r>
      <w:r w:rsidR="009D170B" w:rsidRPr="00320416">
        <w:rPr>
          <w:b/>
        </w:rPr>
        <w:instrText>/</w:instrText>
      </w:r>
      <w:r w:rsidR="009D170B">
        <w:rPr>
          <w:b/>
          <w:lang w:val="en-US"/>
        </w:rPr>
        <w:instrText>citation</w:instrText>
      </w:r>
      <w:r w:rsidR="009D170B" w:rsidRPr="00320416">
        <w:rPr>
          <w:b/>
        </w:rPr>
        <w:instrText>-</w:instrText>
      </w:r>
      <w:r w:rsidR="009D170B">
        <w:rPr>
          <w:b/>
          <w:lang w:val="en-US"/>
        </w:rPr>
        <w:instrText>style</w:instrText>
      </w:r>
      <w:r w:rsidR="009D170B" w:rsidRPr="00320416">
        <w:rPr>
          <w:b/>
        </w:rPr>
        <w:instrText>-</w:instrText>
      </w:r>
      <w:r w:rsidR="009D170B">
        <w:rPr>
          <w:b/>
          <w:lang w:val="en-US"/>
        </w:rPr>
        <w:instrText>language</w:instrText>
      </w:r>
      <w:r w:rsidR="009D170B" w:rsidRPr="00320416">
        <w:rPr>
          <w:b/>
        </w:rPr>
        <w:instrText>/</w:instrText>
      </w:r>
      <w:r w:rsidR="009D170B">
        <w:rPr>
          <w:b/>
          <w:lang w:val="en-US"/>
        </w:rPr>
        <w:instrText>schema</w:instrText>
      </w:r>
      <w:r w:rsidR="009D170B" w:rsidRPr="00320416">
        <w:rPr>
          <w:b/>
        </w:rPr>
        <w:instrText>/</w:instrText>
      </w:r>
      <w:r w:rsidR="009D170B">
        <w:rPr>
          <w:b/>
          <w:lang w:val="en-US"/>
        </w:rPr>
        <w:instrText>raw</w:instrText>
      </w:r>
      <w:r w:rsidR="009D170B" w:rsidRPr="00320416">
        <w:rPr>
          <w:b/>
        </w:rPr>
        <w:instrText>/</w:instrText>
      </w:r>
      <w:r w:rsidR="009D170B">
        <w:rPr>
          <w:b/>
          <w:lang w:val="en-US"/>
        </w:rPr>
        <w:instrText>master</w:instrText>
      </w:r>
      <w:r w:rsidR="009D170B" w:rsidRPr="00320416">
        <w:rPr>
          <w:b/>
        </w:rPr>
        <w:instrText>/</w:instrText>
      </w:r>
      <w:r w:rsidR="009D170B">
        <w:rPr>
          <w:b/>
          <w:lang w:val="en-US"/>
        </w:rPr>
        <w:instrText>csl</w:instrText>
      </w:r>
      <w:r w:rsidR="009D170B" w:rsidRPr="00320416">
        <w:rPr>
          <w:b/>
        </w:rPr>
        <w:instrText>-</w:instrText>
      </w:r>
      <w:r w:rsidR="009D170B">
        <w:rPr>
          <w:b/>
          <w:lang w:val="en-US"/>
        </w:rPr>
        <w:instrText>citation</w:instrText>
      </w:r>
      <w:r w:rsidR="009D170B" w:rsidRPr="00320416">
        <w:rPr>
          <w:b/>
        </w:rPr>
        <w:instrText>.</w:instrText>
      </w:r>
      <w:r w:rsidR="009D170B">
        <w:rPr>
          <w:b/>
          <w:lang w:val="en-US"/>
        </w:rPr>
        <w:instrText>json</w:instrText>
      </w:r>
      <w:r w:rsidR="009D170B" w:rsidRPr="00320416">
        <w:rPr>
          <w:b/>
        </w:rPr>
        <w:instrText>"}</w:instrText>
      </w:r>
      <w:r w:rsidRPr="000322E4">
        <w:rPr>
          <w:b/>
          <w:lang w:val="en-US"/>
        </w:rPr>
        <w:fldChar w:fldCharType="separate"/>
      </w:r>
      <w:r w:rsidR="00095D58" w:rsidRPr="00095D58">
        <w:rPr>
          <w:noProof/>
        </w:rPr>
        <w:t>[20,68]</w:t>
      </w:r>
      <w:r w:rsidRPr="000322E4">
        <w:rPr>
          <w:b/>
          <w:lang w:val="en-US"/>
        </w:rPr>
        <w:fldChar w:fldCharType="end"/>
      </w:r>
    </w:p>
    <w:p w14:paraId="6FC9CC96" w14:textId="77777777" w:rsidR="00666D68" w:rsidRPr="00293AC8" w:rsidRDefault="00666D68" w:rsidP="008E3584">
      <w:pPr>
        <w:numPr>
          <w:ilvl w:val="0"/>
          <w:numId w:val="39"/>
        </w:numPr>
        <w:spacing w:line="360" w:lineRule="auto"/>
        <w:jc w:val="both"/>
      </w:pPr>
      <w:r w:rsidRPr="000322E4">
        <w:t>Ритуксимаб</w:t>
      </w:r>
      <w:r w:rsidRPr="00293AC8">
        <w:rPr>
          <w:bCs/>
        </w:rPr>
        <w:t>**</w:t>
      </w:r>
      <w:r w:rsidRPr="00293AC8">
        <w:t xml:space="preserve"> </w:t>
      </w:r>
    </w:p>
    <w:p w14:paraId="2BBA938D" w14:textId="77777777" w:rsidR="00666D68" w:rsidRPr="00293AC8" w:rsidRDefault="00666D68" w:rsidP="008E3584">
      <w:pPr>
        <w:numPr>
          <w:ilvl w:val="1"/>
          <w:numId w:val="39"/>
        </w:numPr>
        <w:spacing w:line="360" w:lineRule="auto"/>
        <w:jc w:val="both"/>
      </w:pPr>
      <w:r w:rsidRPr="00293AC8">
        <w:t xml:space="preserve">375 </w:t>
      </w:r>
      <w:r w:rsidRPr="000322E4">
        <w:t>мг</w:t>
      </w:r>
      <w:r w:rsidRPr="00293AC8">
        <w:t>/</w:t>
      </w:r>
      <w:r w:rsidRPr="000322E4">
        <w:t>м</w:t>
      </w:r>
      <w:r w:rsidRPr="00293AC8">
        <w:rPr>
          <w:vertAlign w:val="superscript"/>
        </w:rPr>
        <w:t>2</w:t>
      </w:r>
      <w:r w:rsidRPr="00293AC8">
        <w:t xml:space="preserve"> </w:t>
      </w:r>
      <w:r w:rsidRPr="000322E4">
        <w:t>в</w:t>
      </w:r>
      <w:r w:rsidRPr="00293AC8">
        <w:t>/</w:t>
      </w:r>
      <w:r w:rsidRPr="000322E4">
        <w:t>в</w:t>
      </w:r>
      <w:r w:rsidRPr="00293AC8">
        <w:t xml:space="preserve"> </w:t>
      </w:r>
      <w:r w:rsidRPr="000322E4">
        <w:t>кап</w:t>
      </w:r>
      <w:r w:rsidRPr="00293AC8">
        <w:t xml:space="preserve">., </w:t>
      </w:r>
      <w:r w:rsidRPr="000322E4">
        <w:t>день</w:t>
      </w:r>
      <w:r w:rsidRPr="00293AC8">
        <w:t xml:space="preserve"> 0 </w:t>
      </w:r>
      <w:r w:rsidRPr="000322E4">
        <w:t>или</w:t>
      </w:r>
      <w:r w:rsidRPr="00293AC8">
        <w:t xml:space="preserve"> 1 </w:t>
      </w:r>
      <w:r w:rsidRPr="000322E4">
        <w:t>все</w:t>
      </w:r>
      <w:r w:rsidRPr="00293AC8">
        <w:t xml:space="preserve"> </w:t>
      </w:r>
      <w:r w:rsidRPr="000322E4">
        <w:t>циклы</w:t>
      </w:r>
      <w:r w:rsidRPr="00293AC8">
        <w:t xml:space="preserve"> </w:t>
      </w:r>
      <w:r w:rsidRPr="000322E4">
        <w:t>курса</w:t>
      </w:r>
    </w:p>
    <w:p w14:paraId="2FBB41D8" w14:textId="77777777" w:rsidR="00666D68" w:rsidRPr="00293AC8" w:rsidRDefault="00666D68" w:rsidP="008E3584">
      <w:pPr>
        <w:spacing w:line="360" w:lineRule="auto"/>
        <w:ind w:left="1080" w:firstLine="336"/>
        <w:jc w:val="both"/>
      </w:pPr>
      <w:r w:rsidRPr="000322E4">
        <w:t>или</w:t>
      </w:r>
    </w:p>
    <w:p w14:paraId="3DD9C918" w14:textId="2015EC1E" w:rsidR="00666D68" w:rsidRPr="00D714AB" w:rsidRDefault="00666D68" w:rsidP="008E3584">
      <w:pPr>
        <w:numPr>
          <w:ilvl w:val="1"/>
          <w:numId w:val="39"/>
        </w:numPr>
        <w:spacing w:line="360" w:lineRule="auto"/>
        <w:jc w:val="both"/>
      </w:pPr>
      <w:r w:rsidRPr="00293AC8">
        <w:t xml:space="preserve">375 </w:t>
      </w:r>
      <w:r w:rsidRPr="000322E4">
        <w:t>мг</w:t>
      </w:r>
      <w:r w:rsidRPr="00293AC8">
        <w:t>/</w:t>
      </w:r>
      <w:r w:rsidRPr="000322E4">
        <w:t>м</w:t>
      </w:r>
      <w:r w:rsidRPr="00293AC8">
        <w:rPr>
          <w:vertAlign w:val="superscript"/>
        </w:rPr>
        <w:t>2</w:t>
      </w:r>
      <w:r w:rsidRPr="00293AC8">
        <w:t xml:space="preserve"> </w:t>
      </w:r>
      <w:r w:rsidRPr="000322E4">
        <w:t>в</w:t>
      </w:r>
      <w:r w:rsidRPr="00293AC8">
        <w:t>/</w:t>
      </w:r>
      <w:r w:rsidRPr="000322E4">
        <w:t>в</w:t>
      </w:r>
      <w:r w:rsidRPr="00293AC8">
        <w:t xml:space="preserve"> </w:t>
      </w:r>
      <w:r w:rsidRPr="000322E4">
        <w:t>кап</w:t>
      </w:r>
      <w:r w:rsidRPr="00293AC8">
        <w:t xml:space="preserve">. 1 </w:t>
      </w:r>
      <w:r w:rsidRPr="000322E4">
        <w:t>цикл</w:t>
      </w:r>
      <w:r w:rsidRPr="00293AC8">
        <w:t xml:space="preserve">, </w:t>
      </w:r>
      <w:r w:rsidRPr="000322E4">
        <w:t>далее</w:t>
      </w:r>
      <w:r w:rsidRPr="00293AC8">
        <w:t xml:space="preserve"> </w:t>
      </w:r>
      <w:r w:rsidRPr="000322E4">
        <w:t>ритуксимаб</w:t>
      </w:r>
      <w:r w:rsidRPr="00293AC8">
        <w:t xml:space="preserve"> 1400 </w:t>
      </w:r>
      <w:r w:rsidRPr="000322E4">
        <w:t>мг</w:t>
      </w:r>
      <w:r w:rsidRPr="00293AC8">
        <w:t xml:space="preserve"> </w:t>
      </w:r>
      <w:r w:rsidRPr="000322E4">
        <w:t>п</w:t>
      </w:r>
      <w:r w:rsidRPr="00293AC8">
        <w:t>/</w:t>
      </w:r>
      <w:r w:rsidRPr="000322E4">
        <w:t>к</w:t>
      </w:r>
      <w:r w:rsidRPr="00293AC8">
        <w:t xml:space="preserve">, </w:t>
      </w:r>
      <w:r w:rsidRPr="000322E4">
        <w:t>день</w:t>
      </w:r>
      <w:r w:rsidRPr="00293AC8">
        <w:t xml:space="preserve"> 0 </w:t>
      </w:r>
      <w:r w:rsidRPr="000322E4">
        <w:t>или</w:t>
      </w:r>
      <w:r w:rsidRPr="00293AC8">
        <w:t xml:space="preserve"> 1 </w:t>
      </w:r>
      <w:r w:rsidRPr="000322E4">
        <w:rPr>
          <w:lang w:val="en-US"/>
        </w:rPr>
        <w:fldChar w:fldCharType="begin" w:fldLock="1"/>
      </w:r>
      <w:r w:rsidR="00A6794A">
        <w:rPr>
          <w:lang w:val="en-US"/>
        </w:rPr>
        <w:instrText>ADDIN</w:instrText>
      </w:r>
      <w:r w:rsidR="00A6794A" w:rsidRPr="00D3550C">
        <w:instrText xml:space="preserve"> </w:instrText>
      </w:r>
      <w:r w:rsidR="00A6794A">
        <w:rPr>
          <w:lang w:val="en-US"/>
        </w:rPr>
        <w:instrText>CSL</w:instrText>
      </w:r>
      <w:r w:rsidR="00A6794A" w:rsidRPr="00D3550C">
        <w:instrText>_</w:instrText>
      </w:r>
      <w:r w:rsidR="00A6794A">
        <w:rPr>
          <w:lang w:val="en-US"/>
        </w:rPr>
        <w:instrText>CITATION</w:instrText>
      </w:r>
      <w:r w:rsidR="00A6794A" w:rsidRPr="00D3550C">
        <w:instrText xml:space="preserve"> {"</w:instrText>
      </w:r>
      <w:r w:rsidR="00A6794A">
        <w:rPr>
          <w:lang w:val="en-US"/>
        </w:rPr>
        <w:instrText>citationItems</w:instrText>
      </w:r>
      <w:r w:rsidR="00A6794A" w:rsidRPr="00D3550C">
        <w:instrText>":[{"</w:instrText>
      </w:r>
      <w:r w:rsidR="00A6794A">
        <w:rPr>
          <w:lang w:val="en-US"/>
        </w:rPr>
        <w:instrText>id</w:instrText>
      </w:r>
      <w:r w:rsidR="00A6794A" w:rsidRPr="00D3550C">
        <w:instrText>":"</w:instrText>
      </w:r>
      <w:r w:rsidR="00A6794A">
        <w:rPr>
          <w:lang w:val="en-US"/>
        </w:rPr>
        <w:instrText>ITEM</w:instrText>
      </w:r>
      <w:r w:rsidR="00A6794A" w:rsidRPr="00D3550C">
        <w:instrText>-1","</w:instrText>
      </w:r>
      <w:r w:rsidR="00A6794A">
        <w:rPr>
          <w:lang w:val="en-US"/>
        </w:rPr>
        <w:instrText>itemData</w:instrText>
      </w:r>
      <w:r w:rsidR="00A6794A" w:rsidRPr="00D3550C">
        <w:instrText>":{"</w:instrText>
      </w:r>
      <w:r w:rsidR="00A6794A">
        <w:rPr>
          <w:lang w:val="en-US"/>
        </w:rPr>
        <w:instrText>ISSN</w:instrText>
      </w:r>
      <w:r w:rsidR="00A6794A" w:rsidRPr="00D3550C">
        <w:instrText>":"2150-0878","</w:instrText>
      </w:r>
      <w:r w:rsidR="00A6794A">
        <w:rPr>
          <w:lang w:val="en-US"/>
        </w:rPr>
        <w:instrText>PMID</w:instrText>
      </w:r>
      <w:r w:rsidR="00A6794A" w:rsidRPr="00D3550C">
        <w:instrText>":"31086689","</w:instrText>
      </w:r>
      <w:r w:rsidR="00A6794A">
        <w:rPr>
          <w:lang w:val="en-US"/>
        </w:rPr>
        <w:instrText>abstract</w:instrText>
      </w:r>
      <w:r w:rsidR="00A6794A" w:rsidRPr="00D3550C">
        <w:instrText>":"</w:instrText>
      </w:r>
      <w:r w:rsidR="00A6794A">
        <w:rPr>
          <w:lang w:val="en-US"/>
        </w:rPr>
        <w:instrText>Rituximab</w:instrText>
      </w:r>
      <w:r w:rsidR="00A6794A" w:rsidRPr="00D3550C">
        <w:instrText xml:space="preserve"> </w:instrText>
      </w:r>
      <w:r w:rsidR="00A6794A">
        <w:rPr>
          <w:lang w:val="en-US"/>
        </w:rPr>
        <w:instrText>and</w:instrText>
      </w:r>
      <w:r w:rsidR="00A6794A" w:rsidRPr="00D3550C">
        <w:instrText xml:space="preserve"> </w:instrText>
      </w:r>
      <w:r w:rsidR="00A6794A">
        <w:rPr>
          <w:lang w:val="en-US"/>
        </w:rPr>
        <w:instrText>hyaluronidase</w:instrText>
      </w:r>
      <w:r w:rsidR="00A6794A" w:rsidRPr="00D3550C">
        <w:instrText xml:space="preserve"> </w:instrText>
      </w:r>
      <w:r w:rsidR="00A6794A">
        <w:rPr>
          <w:lang w:val="en-US"/>
        </w:rPr>
        <w:instrText>human</w:instrText>
      </w:r>
      <w:r w:rsidR="00A6794A" w:rsidRPr="00D3550C">
        <w:instrText xml:space="preserve"> </w:instrText>
      </w:r>
      <w:r w:rsidR="00A6794A">
        <w:rPr>
          <w:lang w:val="en-US"/>
        </w:rPr>
        <w:instrText>is</w:instrText>
      </w:r>
      <w:r w:rsidR="00A6794A" w:rsidRPr="00D3550C">
        <w:instrText xml:space="preserve"> </w:instrText>
      </w:r>
      <w:r w:rsidR="00A6794A">
        <w:rPr>
          <w:lang w:val="en-US"/>
        </w:rPr>
        <w:instrText>a</w:instrText>
      </w:r>
      <w:r w:rsidR="00A6794A" w:rsidRPr="00D3550C">
        <w:instrText xml:space="preserve"> </w:instrText>
      </w:r>
      <w:r w:rsidR="00A6794A">
        <w:rPr>
          <w:lang w:val="en-US"/>
        </w:rPr>
        <w:instrText>new</w:instrText>
      </w:r>
      <w:r w:rsidR="00A6794A" w:rsidRPr="00D3550C">
        <w:instrText xml:space="preserve"> </w:instrText>
      </w:r>
      <w:r w:rsidR="00A6794A">
        <w:rPr>
          <w:lang w:val="en-US"/>
        </w:rPr>
        <w:instrText>subcutaneous</w:instrText>
      </w:r>
      <w:r w:rsidR="00A6794A" w:rsidRPr="00D3550C">
        <w:instrText xml:space="preserve"> </w:instrText>
      </w:r>
      <w:r w:rsidR="00A6794A">
        <w:rPr>
          <w:lang w:val="en-US"/>
        </w:rPr>
        <w:instrText>formulation</w:instrText>
      </w:r>
      <w:r w:rsidR="00A6794A" w:rsidRPr="00D3550C">
        <w:instrText xml:space="preserve"> </w:instrText>
      </w:r>
      <w:r w:rsidR="00A6794A">
        <w:rPr>
          <w:lang w:val="en-US"/>
        </w:rPr>
        <w:instrText>of</w:instrText>
      </w:r>
      <w:r w:rsidR="00A6794A" w:rsidRPr="00D3550C">
        <w:instrText xml:space="preserve"> </w:instrText>
      </w:r>
      <w:r w:rsidR="00A6794A">
        <w:rPr>
          <w:lang w:val="en-US"/>
        </w:rPr>
        <w:instrText>rituximab</w:instrText>
      </w:r>
      <w:r w:rsidR="00A6794A" w:rsidRPr="00D3550C">
        <w:instrText xml:space="preserve"> </w:instrText>
      </w:r>
      <w:r w:rsidR="00A6794A">
        <w:rPr>
          <w:lang w:val="en-US"/>
        </w:rPr>
        <w:instrText>that</w:instrText>
      </w:r>
      <w:r w:rsidR="00A6794A" w:rsidRPr="00D3550C">
        <w:instrText xml:space="preserve"> </w:instrText>
      </w:r>
      <w:r w:rsidR="00A6794A">
        <w:rPr>
          <w:lang w:val="en-US"/>
        </w:rPr>
        <w:instrText>was</w:instrText>
      </w:r>
      <w:r w:rsidR="00A6794A" w:rsidRPr="00D3550C">
        <w:instrText xml:space="preserve"> </w:instrText>
      </w:r>
      <w:r w:rsidR="00A6794A">
        <w:rPr>
          <w:lang w:val="en-US"/>
        </w:rPr>
        <w:instrText>recently</w:instrText>
      </w:r>
      <w:r w:rsidR="00A6794A" w:rsidRPr="00D3550C">
        <w:instrText xml:space="preserve"> </w:instrText>
      </w:r>
      <w:r w:rsidR="00A6794A">
        <w:rPr>
          <w:lang w:val="en-US"/>
        </w:rPr>
        <w:instrText>approved</w:instrText>
      </w:r>
      <w:r w:rsidR="00A6794A" w:rsidRPr="00D3550C">
        <w:instrText xml:space="preserve"> </w:instrText>
      </w:r>
      <w:r w:rsidR="00A6794A">
        <w:rPr>
          <w:lang w:val="en-US"/>
        </w:rPr>
        <w:instrText>by</w:instrText>
      </w:r>
      <w:r w:rsidR="00A6794A" w:rsidRPr="00D3550C">
        <w:instrText xml:space="preserve"> </w:instrText>
      </w:r>
      <w:r w:rsidR="00A6794A">
        <w:rPr>
          <w:lang w:val="en-US"/>
        </w:rPr>
        <w:instrText>the</w:instrText>
      </w:r>
      <w:r w:rsidR="00A6794A" w:rsidRPr="00D3550C">
        <w:instrText xml:space="preserve"> </w:instrText>
      </w:r>
      <w:r w:rsidR="00A6794A">
        <w:rPr>
          <w:lang w:val="en-US"/>
        </w:rPr>
        <w:instrText>US</w:instrText>
      </w:r>
      <w:r w:rsidR="00A6794A" w:rsidRPr="00D3550C">
        <w:instrText xml:space="preserve"> </w:instrText>
      </w:r>
      <w:r w:rsidR="00A6794A">
        <w:rPr>
          <w:lang w:val="en-US"/>
        </w:rPr>
        <w:instrText>Food</w:instrText>
      </w:r>
      <w:r w:rsidR="00A6794A" w:rsidRPr="00D3550C">
        <w:instrText xml:space="preserve"> </w:instrText>
      </w:r>
      <w:r w:rsidR="00A6794A">
        <w:rPr>
          <w:lang w:val="en-US"/>
        </w:rPr>
        <w:instrText>and</w:instrText>
      </w:r>
      <w:r w:rsidR="00A6794A" w:rsidRPr="00D3550C">
        <w:instrText xml:space="preserve"> </w:instrText>
      </w:r>
      <w:r w:rsidR="00A6794A">
        <w:rPr>
          <w:lang w:val="en-US"/>
        </w:rPr>
        <w:instrText>Drug</w:instrText>
      </w:r>
      <w:r w:rsidR="00A6794A" w:rsidRPr="00D3550C">
        <w:instrText xml:space="preserve"> </w:instrText>
      </w:r>
      <w:r w:rsidR="00A6794A">
        <w:rPr>
          <w:lang w:val="en-US"/>
        </w:rPr>
        <w:instrText>Administration</w:instrText>
      </w:r>
      <w:r w:rsidR="00A6794A" w:rsidRPr="00D3550C">
        <w:instrText xml:space="preserve"> </w:instrText>
      </w:r>
      <w:r w:rsidR="00A6794A">
        <w:rPr>
          <w:lang w:val="en-US"/>
        </w:rPr>
        <w:instrText>for</w:instrText>
      </w:r>
      <w:r w:rsidR="00A6794A" w:rsidRPr="00D3550C">
        <w:instrText xml:space="preserve"> </w:instrText>
      </w:r>
      <w:r w:rsidR="00A6794A">
        <w:rPr>
          <w:lang w:val="en-US"/>
        </w:rPr>
        <w:instrText>the</w:instrText>
      </w:r>
      <w:r w:rsidR="00A6794A" w:rsidRPr="00D3550C">
        <w:instrText xml:space="preserve"> </w:instrText>
      </w:r>
      <w:r w:rsidR="00A6794A">
        <w:rPr>
          <w:lang w:val="en-US"/>
        </w:rPr>
        <w:instrText>treatment</w:instrText>
      </w:r>
      <w:r w:rsidR="00A6794A" w:rsidRPr="00D3550C">
        <w:instrText xml:space="preserve"> </w:instrText>
      </w:r>
      <w:r w:rsidR="00A6794A">
        <w:rPr>
          <w:lang w:val="en-US"/>
        </w:rPr>
        <w:instrText>of</w:instrText>
      </w:r>
      <w:r w:rsidR="00A6794A" w:rsidRPr="00D3550C">
        <w:instrText xml:space="preserve"> </w:instrText>
      </w:r>
      <w:r w:rsidR="00A6794A">
        <w:rPr>
          <w:lang w:val="en-US"/>
        </w:rPr>
        <w:instrText>adults</w:instrText>
      </w:r>
      <w:r w:rsidR="00A6794A" w:rsidRPr="00D3550C">
        <w:instrText xml:space="preserve"> </w:instrText>
      </w:r>
      <w:r w:rsidR="00A6794A">
        <w:rPr>
          <w:lang w:val="en-US"/>
        </w:rPr>
        <w:instrText>with</w:instrText>
      </w:r>
      <w:r w:rsidR="00A6794A" w:rsidRPr="00D3550C">
        <w:instrText xml:space="preserve"> </w:instrText>
      </w:r>
      <w:r w:rsidR="00A6794A">
        <w:rPr>
          <w:lang w:val="en-US"/>
        </w:rPr>
        <w:instrText>follicular</w:instrText>
      </w:r>
      <w:r w:rsidR="00A6794A" w:rsidRPr="00D3550C">
        <w:instrText xml:space="preserve"> </w:instrText>
      </w:r>
      <w:r w:rsidR="00A6794A">
        <w:rPr>
          <w:lang w:val="en-US"/>
        </w:rPr>
        <w:instrText>lymphoma</w:instrText>
      </w:r>
      <w:r w:rsidR="00A6794A" w:rsidRPr="00D3550C">
        <w:instrText xml:space="preserve">, </w:instrText>
      </w:r>
      <w:r w:rsidR="00A6794A">
        <w:rPr>
          <w:lang w:val="en-US"/>
        </w:rPr>
        <w:instrText>diffuse</w:instrText>
      </w:r>
      <w:r w:rsidR="00A6794A" w:rsidRPr="00D3550C">
        <w:instrText xml:space="preserve"> </w:instrText>
      </w:r>
      <w:r w:rsidR="00A6794A">
        <w:rPr>
          <w:lang w:val="en-US"/>
        </w:rPr>
        <w:instrText>large</w:instrText>
      </w:r>
      <w:r w:rsidR="00A6794A" w:rsidRPr="00D3550C">
        <w:instrText xml:space="preserve"> </w:instrText>
      </w:r>
      <w:r w:rsidR="00A6794A">
        <w:rPr>
          <w:lang w:val="en-US"/>
        </w:rPr>
        <w:instrText>B</w:instrText>
      </w:r>
      <w:r w:rsidR="00A6794A" w:rsidRPr="00D3550C">
        <w:instrText>-</w:instrText>
      </w:r>
      <w:r w:rsidR="00A6794A">
        <w:rPr>
          <w:lang w:val="en-US"/>
        </w:rPr>
        <w:instrText>cell</w:instrText>
      </w:r>
      <w:r w:rsidR="00A6794A" w:rsidRPr="00D3550C">
        <w:instrText xml:space="preserve"> </w:instrText>
      </w:r>
      <w:r w:rsidR="00A6794A">
        <w:rPr>
          <w:lang w:val="en-US"/>
        </w:rPr>
        <w:instrText>lymphoma</w:instrText>
      </w:r>
      <w:r w:rsidR="00A6794A" w:rsidRPr="00D3550C">
        <w:instrText xml:space="preserve">, </w:instrText>
      </w:r>
      <w:r w:rsidR="00A6794A">
        <w:rPr>
          <w:lang w:val="en-US"/>
        </w:rPr>
        <w:instrText>and</w:instrText>
      </w:r>
      <w:r w:rsidR="00A6794A" w:rsidRPr="00D3550C">
        <w:instrText xml:space="preserve"> </w:instrText>
      </w:r>
      <w:r w:rsidR="00A6794A">
        <w:rPr>
          <w:lang w:val="en-US"/>
        </w:rPr>
        <w:instrText>chronic</w:instrText>
      </w:r>
      <w:r w:rsidR="00A6794A" w:rsidRPr="00D3550C">
        <w:instrText xml:space="preserve"> </w:instrText>
      </w:r>
      <w:r w:rsidR="00A6794A">
        <w:rPr>
          <w:lang w:val="en-US"/>
        </w:rPr>
        <w:instrText>lymphocytic</w:instrText>
      </w:r>
      <w:r w:rsidR="00A6794A" w:rsidRPr="00D3550C">
        <w:instrText xml:space="preserve"> </w:instrText>
      </w:r>
      <w:r w:rsidR="00A6794A">
        <w:rPr>
          <w:lang w:val="en-US"/>
        </w:rPr>
        <w:instrText>leukemia</w:instrText>
      </w:r>
      <w:r w:rsidR="00A6794A" w:rsidRPr="00D3550C">
        <w:instrText xml:space="preserve">. </w:instrText>
      </w:r>
      <w:r w:rsidR="00A6794A">
        <w:rPr>
          <w:lang w:val="en-US"/>
        </w:rPr>
        <w:instrText>With</w:instrText>
      </w:r>
      <w:r w:rsidR="00A6794A" w:rsidRPr="00D3550C">
        <w:instrText xml:space="preserve"> </w:instrText>
      </w:r>
      <w:r w:rsidR="00A6794A">
        <w:rPr>
          <w:lang w:val="en-US"/>
        </w:rPr>
        <w:instrText>data</w:instrText>
      </w:r>
      <w:r w:rsidR="00A6794A" w:rsidRPr="00D3550C">
        <w:instrText xml:space="preserve"> </w:instrText>
      </w:r>
      <w:r w:rsidR="00A6794A">
        <w:rPr>
          <w:lang w:val="en-US"/>
        </w:rPr>
        <w:instrText>to</w:instrText>
      </w:r>
      <w:r w:rsidR="00A6794A" w:rsidRPr="00D3550C">
        <w:instrText xml:space="preserve"> </w:instrText>
      </w:r>
      <w:r w:rsidR="00A6794A">
        <w:rPr>
          <w:lang w:val="en-US"/>
        </w:rPr>
        <w:instrText>support</w:instrText>
      </w:r>
      <w:r w:rsidR="00A6794A" w:rsidRPr="00D3550C">
        <w:instrText xml:space="preserve"> </w:instrText>
      </w:r>
      <w:r w:rsidR="00A6794A">
        <w:rPr>
          <w:lang w:val="en-US"/>
        </w:rPr>
        <w:instrText>noninferior</w:instrText>
      </w:r>
      <w:r w:rsidR="00A6794A" w:rsidRPr="00D3550C">
        <w:instrText xml:space="preserve"> </w:instrText>
      </w:r>
      <w:r w:rsidR="00A6794A">
        <w:rPr>
          <w:lang w:val="en-US"/>
        </w:rPr>
        <w:instrText>pharmacokinetics</w:instrText>
      </w:r>
      <w:r w:rsidR="00A6794A" w:rsidRPr="00D3550C">
        <w:instrText xml:space="preserve">, </w:instrText>
      </w:r>
      <w:r w:rsidR="00A6794A">
        <w:rPr>
          <w:lang w:val="en-US"/>
        </w:rPr>
        <w:instrText>similar</w:instrText>
      </w:r>
      <w:r w:rsidR="00A6794A" w:rsidRPr="00D3550C">
        <w:instrText xml:space="preserve"> </w:instrText>
      </w:r>
      <w:r w:rsidR="00A6794A">
        <w:rPr>
          <w:lang w:val="en-US"/>
        </w:rPr>
        <w:instrText>outcomes</w:instrText>
      </w:r>
      <w:r w:rsidR="00A6794A" w:rsidRPr="00D3550C">
        <w:instrText xml:space="preserve">, </w:instrText>
      </w:r>
      <w:r w:rsidR="00A6794A">
        <w:rPr>
          <w:lang w:val="en-US"/>
        </w:rPr>
        <w:instrText>and</w:instrText>
      </w:r>
      <w:r w:rsidR="00A6794A" w:rsidRPr="00D3550C">
        <w:instrText xml:space="preserve"> </w:instrText>
      </w:r>
      <w:r w:rsidR="00A6794A">
        <w:rPr>
          <w:lang w:val="en-US"/>
        </w:rPr>
        <w:instrText>comparable</w:instrText>
      </w:r>
      <w:r w:rsidR="00A6794A" w:rsidRPr="00D3550C">
        <w:instrText xml:space="preserve"> </w:instrText>
      </w:r>
      <w:r w:rsidR="00A6794A">
        <w:rPr>
          <w:lang w:val="en-US"/>
        </w:rPr>
        <w:instrText>adverse</w:instrText>
      </w:r>
      <w:r w:rsidR="00A6794A" w:rsidRPr="00D3550C">
        <w:instrText xml:space="preserve"> </w:instrText>
      </w:r>
      <w:r w:rsidR="00A6794A">
        <w:rPr>
          <w:lang w:val="en-US"/>
        </w:rPr>
        <w:instrText>events</w:instrText>
      </w:r>
      <w:r w:rsidR="00A6794A" w:rsidRPr="00D3550C">
        <w:instrText xml:space="preserve">, </w:instrText>
      </w:r>
      <w:r w:rsidR="00A6794A">
        <w:rPr>
          <w:lang w:val="en-US"/>
        </w:rPr>
        <w:instrText>rituximab</w:instrText>
      </w:r>
      <w:r w:rsidR="00A6794A" w:rsidRPr="00D3550C">
        <w:instrText xml:space="preserve"> </w:instrText>
      </w:r>
      <w:r w:rsidR="00A6794A">
        <w:rPr>
          <w:lang w:val="en-US"/>
        </w:rPr>
        <w:instrText>and</w:instrText>
      </w:r>
      <w:r w:rsidR="00A6794A" w:rsidRPr="00D3550C">
        <w:instrText xml:space="preserve"> </w:instrText>
      </w:r>
      <w:r w:rsidR="00A6794A">
        <w:rPr>
          <w:lang w:val="en-US"/>
        </w:rPr>
        <w:instrText>hyaluronidase</w:instrText>
      </w:r>
      <w:r w:rsidR="00A6794A" w:rsidRPr="00D3550C">
        <w:instrText xml:space="preserve"> </w:instrText>
      </w:r>
      <w:r w:rsidR="00A6794A">
        <w:rPr>
          <w:lang w:val="en-US"/>
        </w:rPr>
        <w:instrText>human</w:instrText>
      </w:r>
      <w:r w:rsidR="00A6794A" w:rsidRPr="00D3550C">
        <w:instrText xml:space="preserve"> </w:instrText>
      </w:r>
      <w:r w:rsidR="00A6794A">
        <w:rPr>
          <w:lang w:val="en-US"/>
        </w:rPr>
        <w:instrText>may</w:instrText>
      </w:r>
      <w:r w:rsidR="00A6794A" w:rsidRPr="00D3550C">
        <w:instrText xml:space="preserve"> </w:instrText>
      </w:r>
      <w:r w:rsidR="00A6794A">
        <w:rPr>
          <w:lang w:val="en-US"/>
        </w:rPr>
        <w:instrText>offer</w:instrText>
      </w:r>
      <w:r w:rsidR="00A6794A" w:rsidRPr="00D3550C">
        <w:instrText xml:space="preserve"> </w:instrText>
      </w:r>
      <w:r w:rsidR="00A6794A">
        <w:rPr>
          <w:lang w:val="en-US"/>
        </w:rPr>
        <w:instrText>a</w:instrText>
      </w:r>
      <w:r w:rsidR="00A6794A" w:rsidRPr="00D3550C">
        <w:instrText xml:space="preserve"> </w:instrText>
      </w:r>
      <w:r w:rsidR="00A6794A">
        <w:rPr>
          <w:lang w:val="en-US"/>
        </w:rPr>
        <w:instrText>suitable</w:instrText>
      </w:r>
      <w:r w:rsidR="00A6794A" w:rsidRPr="00D3550C">
        <w:instrText xml:space="preserve"> </w:instrText>
      </w:r>
      <w:r w:rsidR="00A6794A">
        <w:rPr>
          <w:lang w:val="en-US"/>
        </w:rPr>
        <w:instrText>alternative</w:instrText>
      </w:r>
      <w:r w:rsidR="00A6794A" w:rsidRPr="00D3550C">
        <w:instrText xml:space="preserve"> </w:instrText>
      </w:r>
      <w:r w:rsidR="00A6794A">
        <w:rPr>
          <w:lang w:val="en-US"/>
        </w:rPr>
        <w:instrText>to</w:instrText>
      </w:r>
      <w:r w:rsidR="00A6794A" w:rsidRPr="00D3550C">
        <w:instrText xml:space="preserve"> </w:instrText>
      </w:r>
      <w:r w:rsidR="00A6794A">
        <w:rPr>
          <w:lang w:val="en-US"/>
        </w:rPr>
        <w:instrText>intravenous</w:instrText>
      </w:r>
      <w:r w:rsidR="00A6794A" w:rsidRPr="00D3550C">
        <w:instrText xml:space="preserve"> </w:instrText>
      </w:r>
      <w:r w:rsidR="00A6794A">
        <w:rPr>
          <w:lang w:val="en-US"/>
        </w:rPr>
        <w:instrText>rituximab</w:instrText>
      </w:r>
      <w:r w:rsidR="00A6794A" w:rsidRPr="00D3550C">
        <w:instrText xml:space="preserve"> </w:instrText>
      </w:r>
      <w:r w:rsidR="00A6794A">
        <w:rPr>
          <w:lang w:val="en-US"/>
        </w:rPr>
        <w:instrText>that</w:instrText>
      </w:r>
      <w:r w:rsidR="00A6794A" w:rsidRPr="00D3550C">
        <w:instrText xml:space="preserve"> </w:instrText>
      </w:r>
      <w:r w:rsidR="00A6794A">
        <w:rPr>
          <w:lang w:val="en-US"/>
        </w:rPr>
        <w:instrText>could</w:instrText>
      </w:r>
      <w:r w:rsidR="00A6794A" w:rsidRPr="00D3550C">
        <w:instrText xml:space="preserve"> </w:instrText>
      </w:r>
      <w:r w:rsidR="00A6794A">
        <w:rPr>
          <w:lang w:val="en-US"/>
        </w:rPr>
        <w:instrText>improve</w:instrText>
      </w:r>
      <w:r w:rsidR="00A6794A" w:rsidRPr="00D3550C">
        <w:instrText xml:space="preserve"> </w:instrText>
      </w:r>
      <w:r w:rsidR="00A6794A">
        <w:rPr>
          <w:lang w:val="en-US"/>
        </w:rPr>
        <w:instrText>convenience</w:instrText>
      </w:r>
      <w:r w:rsidR="00A6794A" w:rsidRPr="00D3550C">
        <w:instrText xml:space="preserve"> </w:instrText>
      </w:r>
      <w:r w:rsidR="00A6794A">
        <w:rPr>
          <w:lang w:val="en-US"/>
        </w:rPr>
        <w:instrText>for</w:instrText>
      </w:r>
      <w:r w:rsidR="00A6794A" w:rsidRPr="00D3550C">
        <w:instrText xml:space="preserve"> </w:instrText>
      </w:r>
      <w:r w:rsidR="00A6794A">
        <w:rPr>
          <w:lang w:val="en-US"/>
        </w:rPr>
        <w:instrText>patients</w:instrText>
      </w:r>
      <w:r w:rsidR="00A6794A" w:rsidRPr="00D3550C">
        <w:instrText xml:space="preserve"> </w:instrText>
      </w:r>
      <w:r w:rsidR="00A6794A">
        <w:rPr>
          <w:lang w:val="en-US"/>
        </w:rPr>
        <w:instrText>and</w:instrText>
      </w:r>
      <w:r w:rsidR="00A6794A" w:rsidRPr="00D3550C">
        <w:instrText xml:space="preserve"> </w:instrText>
      </w:r>
      <w:r w:rsidR="00A6794A">
        <w:rPr>
          <w:lang w:val="en-US"/>
        </w:rPr>
        <w:instrText>better</w:instrText>
      </w:r>
      <w:r w:rsidR="00A6794A" w:rsidRPr="00D3550C">
        <w:instrText xml:space="preserve"> </w:instrText>
      </w:r>
      <w:r w:rsidR="00A6794A">
        <w:rPr>
          <w:lang w:val="en-US"/>
        </w:rPr>
        <w:instrText>utilize</w:instrText>
      </w:r>
      <w:r w:rsidR="00A6794A" w:rsidRPr="00D3550C">
        <w:instrText xml:space="preserve"> </w:instrText>
      </w:r>
      <w:r w:rsidR="00A6794A">
        <w:rPr>
          <w:lang w:val="en-US"/>
        </w:rPr>
        <w:instrText>health</w:instrText>
      </w:r>
      <w:r w:rsidR="00A6794A" w:rsidRPr="00D3550C">
        <w:instrText>-</w:instrText>
      </w:r>
      <w:r w:rsidR="00A6794A">
        <w:rPr>
          <w:lang w:val="en-US"/>
        </w:rPr>
        <w:instrText>care</w:instrText>
      </w:r>
      <w:r w:rsidR="00A6794A" w:rsidRPr="00D3550C">
        <w:instrText xml:space="preserve"> </w:instrText>
      </w:r>
      <w:r w:rsidR="00A6794A">
        <w:rPr>
          <w:lang w:val="en-US"/>
        </w:rPr>
        <w:instrText>resources</w:instrText>
      </w:r>
      <w:r w:rsidR="00A6794A" w:rsidRPr="00D3550C">
        <w:instrText>.","</w:instrText>
      </w:r>
      <w:r w:rsidR="00A6794A">
        <w:rPr>
          <w:lang w:val="en-US"/>
        </w:rPr>
        <w:instrText>author</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family</w:instrText>
      </w:r>
      <w:r w:rsidR="00A6794A" w:rsidRPr="00D3550C">
        <w:instrText>":"</w:instrText>
      </w:r>
      <w:r w:rsidR="00A6794A">
        <w:rPr>
          <w:lang w:val="en-US"/>
        </w:rPr>
        <w:instrText>Yelvington</w:instrText>
      </w:r>
      <w:r w:rsidR="00A6794A" w:rsidRPr="00D3550C">
        <w:instrText>","</w:instrText>
      </w:r>
      <w:r w:rsidR="00A6794A">
        <w:rPr>
          <w:lang w:val="en-US"/>
        </w:rPr>
        <w:instrText>given</w:instrText>
      </w:r>
      <w:r w:rsidR="00A6794A" w:rsidRPr="00D3550C">
        <w:instrText>":"</w:instrText>
      </w:r>
      <w:r w:rsidR="00A6794A">
        <w:rPr>
          <w:lang w:val="en-US"/>
        </w:rPr>
        <w:instrText>Bradley</w:instrText>
      </w:r>
      <w:r w:rsidR="00A6794A" w:rsidRPr="00D3550C">
        <w:instrText xml:space="preserve"> </w:instrText>
      </w:r>
      <w:r w:rsidR="00A6794A">
        <w:rPr>
          <w:lang w:val="en-US"/>
        </w:rPr>
        <w:instrText>J</w:instrText>
      </w:r>
      <w:r w:rsidR="00A6794A" w:rsidRPr="00D3550C">
        <w:instrText>","</w:instrText>
      </w:r>
      <w:r w:rsidR="00A6794A">
        <w:rPr>
          <w:lang w:val="en-US"/>
        </w:rPr>
        <w:instrText>non</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parse</w:instrText>
      </w:r>
      <w:r w:rsidR="00A6794A" w:rsidRPr="00D3550C">
        <w:instrText>-</w:instrText>
      </w:r>
      <w:r w:rsidR="00A6794A">
        <w:rPr>
          <w:lang w:val="en-US"/>
        </w:rPr>
        <w:instrText>names</w:instrText>
      </w:r>
      <w:r w:rsidR="00A6794A" w:rsidRPr="00D3550C">
        <w:instrText>":</w:instrText>
      </w:r>
      <w:r w:rsidR="00A6794A">
        <w:rPr>
          <w:lang w:val="en-US"/>
        </w:rPr>
        <w:instrText>false</w:instrText>
      </w:r>
      <w:r w:rsidR="00A6794A" w:rsidRPr="00D3550C">
        <w:instrText>,"</w:instrText>
      </w:r>
      <w:r w:rsidR="00A6794A">
        <w:rPr>
          <w:lang w:val="en-US"/>
        </w:rPr>
        <w:instrText>suffix</w:instrText>
      </w:r>
      <w:r w:rsidR="00A6794A" w:rsidRPr="00D3550C">
        <w:instrText>":""}],"</w:instrText>
      </w:r>
      <w:r w:rsidR="00A6794A">
        <w:rPr>
          <w:lang w:val="en-US"/>
        </w:rPr>
        <w:instrText>container</w:instrText>
      </w:r>
      <w:r w:rsidR="00A6794A" w:rsidRPr="00D3550C">
        <w:instrText>-</w:instrText>
      </w:r>
      <w:r w:rsidR="00A6794A">
        <w:rPr>
          <w:lang w:val="en-US"/>
        </w:rPr>
        <w:instrText>title</w:instrText>
      </w:r>
      <w:r w:rsidR="00A6794A" w:rsidRPr="00D3550C">
        <w:instrText>":"</w:instrText>
      </w:r>
      <w:r w:rsidR="00A6794A">
        <w:rPr>
          <w:lang w:val="en-US"/>
        </w:rPr>
        <w:instrText>Journal</w:instrText>
      </w:r>
      <w:r w:rsidR="00A6794A" w:rsidRPr="00D3550C">
        <w:instrText xml:space="preserve"> </w:instrText>
      </w:r>
      <w:r w:rsidR="00A6794A">
        <w:rPr>
          <w:lang w:val="en-US"/>
        </w:rPr>
        <w:instrText>of</w:instrText>
      </w:r>
      <w:r w:rsidR="00A6794A" w:rsidRPr="00D3550C">
        <w:instrText xml:space="preserve"> </w:instrText>
      </w:r>
      <w:r w:rsidR="00A6794A">
        <w:rPr>
          <w:lang w:val="en-US"/>
        </w:rPr>
        <w:instrText>the</w:instrText>
      </w:r>
      <w:r w:rsidR="00A6794A" w:rsidRPr="00D3550C">
        <w:instrText xml:space="preserve"> </w:instrText>
      </w:r>
      <w:r w:rsidR="00A6794A">
        <w:rPr>
          <w:lang w:val="en-US"/>
        </w:rPr>
        <w:instrText>advanced</w:instrText>
      </w:r>
      <w:r w:rsidR="00A6794A" w:rsidRPr="00D3550C">
        <w:instrText xml:space="preserve"> </w:instrText>
      </w:r>
      <w:r w:rsidR="00A6794A">
        <w:rPr>
          <w:lang w:val="en-US"/>
        </w:rPr>
        <w:instrText>practitioner</w:instrText>
      </w:r>
      <w:r w:rsidR="00A6794A" w:rsidRPr="00D3550C">
        <w:instrText xml:space="preserve"> </w:instrText>
      </w:r>
      <w:r w:rsidR="00A6794A">
        <w:rPr>
          <w:lang w:val="en-US"/>
        </w:rPr>
        <w:instrText>in</w:instrText>
      </w:r>
      <w:r w:rsidR="00A6794A" w:rsidRPr="00D3550C">
        <w:instrText xml:space="preserve"> </w:instrText>
      </w:r>
      <w:r w:rsidR="00A6794A">
        <w:rPr>
          <w:lang w:val="en-US"/>
        </w:rPr>
        <w:instrText>oncology</w:instrText>
      </w:r>
      <w:r w:rsidR="00A6794A" w:rsidRPr="00D3550C">
        <w:instrText>","</w:instrText>
      </w:r>
      <w:r w:rsidR="00A6794A">
        <w:rPr>
          <w:lang w:val="en-US"/>
        </w:rPr>
        <w:instrText>id</w:instrText>
      </w:r>
      <w:r w:rsidR="00A6794A" w:rsidRPr="00D3550C">
        <w:instrText>":"</w:instrText>
      </w:r>
      <w:r w:rsidR="00A6794A">
        <w:rPr>
          <w:lang w:val="en-US"/>
        </w:rPr>
        <w:instrText>ITEM</w:instrText>
      </w:r>
      <w:r w:rsidR="00A6794A" w:rsidRPr="00D3550C">
        <w:instrText>-1","</w:instrText>
      </w:r>
      <w:r w:rsidR="00A6794A">
        <w:rPr>
          <w:lang w:val="en-US"/>
        </w:rPr>
        <w:instrText>issue</w:instrText>
      </w:r>
      <w:r w:rsidR="00A6794A" w:rsidRPr="00D3550C">
        <w:instrText>":"5","</w:instrText>
      </w:r>
      <w:r w:rsidR="00A6794A">
        <w:rPr>
          <w:lang w:val="en-US"/>
        </w:rPr>
        <w:instrText>issued</w:instrText>
      </w:r>
      <w:r w:rsidR="00A6794A" w:rsidRPr="00D3550C">
        <w:instrText>":{"</w:instrText>
      </w:r>
      <w:r w:rsidR="00A6794A">
        <w:rPr>
          <w:lang w:val="en-US"/>
        </w:rPr>
        <w:instrText>date</w:instrText>
      </w:r>
      <w:r w:rsidR="00A6794A" w:rsidRPr="00D3550C">
        <w:instrText>-</w:instrText>
      </w:r>
      <w:r w:rsidR="00A6794A">
        <w:rPr>
          <w:lang w:val="en-US"/>
        </w:rPr>
        <w:instrText>parts</w:instrText>
      </w:r>
      <w:r w:rsidR="00A6794A" w:rsidRPr="00D3550C">
        <w:instrText>":[["2018"]]},"</w:instrText>
      </w:r>
      <w:r w:rsidR="00A6794A">
        <w:rPr>
          <w:lang w:val="en-US"/>
        </w:rPr>
        <w:instrText>page</w:instrText>
      </w:r>
      <w:r w:rsidR="00A6794A" w:rsidRPr="00D3550C">
        <w:instrText>":"530-534","</w:instrText>
      </w:r>
      <w:r w:rsidR="00A6794A">
        <w:rPr>
          <w:lang w:val="en-US"/>
        </w:rPr>
        <w:instrText>publisher</w:instrText>
      </w:r>
      <w:r w:rsidR="00A6794A" w:rsidRPr="00D3550C">
        <w:instrText>":"</w:instrText>
      </w:r>
      <w:r w:rsidR="00A6794A">
        <w:rPr>
          <w:lang w:val="en-US"/>
        </w:rPr>
        <w:instrText>Harborside</w:instrText>
      </w:r>
      <w:r w:rsidR="00A6794A" w:rsidRPr="00D3550C">
        <w:instrText xml:space="preserve"> </w:instrText>
      </w:r>
      <w:r w:rsidR="00A6794A">
        <w:rPr>
          <w:lang w:val="en-US"/>
        </w:rPr>
        <w:instrText>Press</w:instrText>
      </w:r>
      <w:r w:rsidR="00A6794A" w:rsidRPr="00D3550C">
        <w:instrText>","</w:instrText>
      </w:r>
      <w:r w:rsidR="00A6794A">
        <w:rPr>
          <w:lang w:val="en-US"/>
        </w:rPr>
        <w:instrText>title</w:instrText>
      </w:r>
      <w:r w:rsidR="00A6794A" w:rsidRPr="00D3550C">
        <w:instrText>":"</w:instrText>
      </w:r>
      <w:r w:rsidR="00A6794A">
        <w:rPr>
          <w:lang w:val="en-US"/>
        </w:rPr>
        <w:instrText>Subcutaneous</w:instrText>
      </w:r>
      <w:r w:rsidR="00A6794A" w:rsidRPr="00D3550C">
        <w:instrText xml:space="preserve"> </w:instrText>
      </w:r>
      <w:r w:rsidR="00A6794A">
        <w:rPr>
          <w:lang w:val="en-US"/>
        </w:rPr>
        <w:instrText>Rituximab</w:instrText>
      </w:r>
      <w:r w:rsidR="00A6794A" w:rsidRPr="00D3550C">
        <w:instrText xml:space="preserve"> </w:instrText>
      </w:r>
      <w:r w:rsidR="00A6794A">
        <w:rPr>
          <w:lang w:val="en-US"/>
        </w:rPr>
        <w:instrText>in</w:instrText>
      </w:r>
      <w:r w:rsidR="00A6794A" w:rsidRPr="00D3550C">
        <w:instrText xml:space="preserve"> </w:instrText>
      </w:r>
      <w:r w:rsidR="00A6794A">
        <w:rPr>
          <w:lang w:val="en-US"/>
        </w:rPr>
        <w:instrText>Follicular</w:instrText>
      </w:r>
      <w:r w:rsidR="00A6794A" w:rsidRPr="00D3550C">
        <w:instrText xml:space="preserve"> </w:instrText>
      </w:r>
      <w:r w:rsidR="00A6794A">
        <w:rPr>
          <w:lang w:val="en-US"/>
        </w:rPr>
        <w:instrText>Lymphoma</w:instrText>
      </w:r>
      <w:r w:rsidR="00A6794A" w:rsidRPr="00D3550C">
        <w:instrText xml:space="preserve">, </w:instrText>
      </w:r>
      <w:r w:rsidR="00A6794A">
        <w:rPr>
          <w:lang w:val="en-US"/>
        </w:rPr>
        <w:instrText>Chronic</w:instrText>
      </w:r>
      <w:r w:rsidR="00A6794A" w:rsidRPr="00D3550C">
        <w:instrText xml:space="preserve"> </w:instrText>
      </w:r>
      <w:r w:rsidR="00A6794A">
        <w:rPr>
          <w:lang w:val="en-US"/>
        </w:rPr>
        <w:instrText>Lymphocytic</w:instrText>
      </w:r>
      <w:r w:rsidR="00A6794A" w:rsidRPr="00D3550C">
        <w:instrText xml:space="preserve"> </w:instrText>
      </w:r>
      <w:r w:rsidR="00A6794A">
        <w:rPr>
          <w:lang w:val="en-US"/>
        </w:rPr>
        <w:instrText>Leukemia</w:instrText>
      </w:r>
      <w:r w:rsidR="00A6794A" w:rsidRPr="00D3550C">
        <w:instrText xml:space="preserve">, </w:instrText>
      </w:r>
      <w:r w:rsidR="00A6794A">
        <w:rPr>
          <w:lang w:val="en-US"/>
        </w:rPr>
        <w:instrText>and</w:instrText>
      </w:r>
      <w:r w:rsidR="00A6794A" w:rsidRPr="00D3550C">
        <w:instrText xml:space="preserve"> </w:instrText>
      </w:r>
      <w:r w:rsidR="00A6794A">
        <w:rPr>
          <w:lang w:val="en-US"/>
        </w:rPr>
        <w:instrText>Diffuse</w:instrText>
      </w:r>
      <w:r w:rsidR="00A6794A" w:rsidRPr="00D3550C">
        <w:instrText xml:space="preserve"> </w:instrText>
      </w:r>
      <w:r w:rsidR="00A6794A">
        <w:rPr>
          <w:lang w:val="en-US"/>
        </w:rPr>
        <w:instrText>Large</w:instrText>
      </w:r>
      <w:r w:rsidR="00A6794A" w:rsidRPr="00D3550C">
        <w:instrText xml:space="preserve"> </w:instrText>
      </w:r>
      <w:r w:rsidR="00A6794A">
        <w:rPr>
          <w:lang w:val="en-US"/>
        </w:rPr>
        <w:instrText>B</w:instrText>
      </w:r>
      <w:r w:rsidR="00A6794A" w:rsidRPr="00D3550C">
        <w:instrText>-</w:instrText>
      </w:r>
      <w:r w:rsidR="00A6794A">
        <w:rPr>
          <w:lang w:val="en-US"/>
        </w:rPr>
        <w:instrText>Cell</w:instrText>
      </w:r>
      <w:r w:rsidR="00A6794A" w:rsidRPr="00D3550C">
        <w:instrText xml:space="preserve"> </w:instrText>
      </w:r>
      <w:r w:rsidR="00A6794A">
        <w:rPr>
          <w:lang w:val="en-US"/>
        </w:rPr>
        <w:instrText>Lymphoma</w:instrText>
      </w:r>
      <w:r w:rsidR="00A6794A" w:rsidRPr="00D3550C">
        <w:instrText>.","</w:instrText>
      </w:r>
      <w:r w:rsidR="00A6794A">
        <w:rPr>
          <w:lang w:val="en-US"/>
        </w:rPr>
        <w:instrText>type</w:instrText>
      </w:r>
      <w:r w:rsidR="00A6794A" w:rsidRPr="00D3550C">
        <w:instrText>":"</w:instrText>
      </w:r>
      <w:r w:rsidR="00A6794A">
        <w:rPr>
          <w:lang w:val="en-US"/>
        </w:rPr>
        <w:instrText>article</w:instrText>
      </w:r>
      <w:r w:rsidR="00A6794A" w:rsidRPr="00D3550C">
        <w:instrText>-</w:instrText>
      </w:r>
      <w:r w:rsidR="00A6794A">
        <w:rPr>
          <w:lang w:val="en-US"/>
        </w:rPr>
        <w:instrText>journal</w:instrText>
      </w:r>
      <w:r w:rsidR="00A6794A" w:rsidRPr="00D3550C">
        <w:instrText>","</w:instrText>
      </w:r>
      <w:r w:rsidR="00A6794A">
        <w:rPr>
          <w:lang w:val="en-US"/>
        </w:rPr>
        <w:instrText>volume</w:instrText>
      </w:r>
      <w:r w:rsidR="00A6794A" w:rsidRPr="00D3550C">
        <w:instrText>":"9"},"</w:instrText>
      </w:r>
      <w:r w:rsidR="00A6794A">
        <w:rPr>
          <w:lang w:val="en-US"/>
        </w:rPr>
        <w:instrText>uris</w:instrText>
      </w:r>
      <w:r w:rsidR="00A6794A" w:rsidRPr="00D3550C">
        <w:instrText>":["</w:instrText>
      </w:r>
      <w:r w:rsidR="00A6794A">
        <w:rPr>
          <w:lang w:val="en-US"/>
        </w:rPr>
        <w:instrText>http</w:instrText>
      </w:r>
      <w:r w:rsidR="00A6794A" w:rsidRPr="00D3550C">
        <w:instrText>://</w:instrText>
      </w:r>
      <w:r w:rsidR="00A6794A">
        <w:rPr>
          <w:lang w:val="en-US"/>
        </w:rPr>
        <w:instrText>www</w:instrText>
      </w:r>
      <w:r w:rsidR="00A6794A" w:rsidRPr="00D3550C">
        <w:instrText>.</w:instrText>
      </w:r>
      <w:r w:rsidR="00A6794A">
        <w:rPr>
          <w:lang w:val="en-US"/>
        </w:rPr>
        <w:instrText>mendeley</w:instrText>
      </w:r>
      <w:r w:rsidR="00A6794A" w:rsidRPr="00D3550C">
        <w:instrText>.</w:instrText>
      </w:r>
      <w:r w:rsidR="00A6794A">
        <w:rPr>
          <w:lang w:val="en-US"/>
        </w:rPr>
        <w:instrText>com</w:instrText>
      </w:r>
      <w:r w:rsidR="00A6794A" w:rsidRPr="00D3550C">
        <w:instrText>/</w:instrText>
      </w:r>
      <w:r w:rsidR="00A6794A">
        <w:rPr>
          <w:lang w:val="en-US"/>
        </w:rPr>
        <w:instrText>documents</w:instrText>
      </w:r>
      <w:r w:rsidR="00A6794A" w:rsidRPr="00D3550C">
        <w:instrText>/?</w:instrText>
      </w:r>
      <w:r w:rsidR="00A6794A">
        <w:rPr>
          <w:lang w:val="en-US"/>
        </w:rPr>
        <w:instrText>uuid</w:instrText>
      </w:r>
      <w:r w:rsidR="00A6794A" w:rsidRPr="00D3550C">
        <w:instrText>=</w:instrText>
      </w:r>
      <w:r w:rsidR="00A6794A">
        <w:rPr>
          <w:lang w:val="en-US"/>
        </w:rPr>
        <w:instrText>fbb</w:instrText>
      </w:r>
      <w:r w:rsidR="00A6794A" w:rsidRPr="00D3550C">
        <w:instrText>0</w:instrText>
      </w:r>
      <w:r w:rsidR="00A6794A">
        <w:rPr>
          <w:lang w:val="en-US"/>
        </w:rPr>
        <w:instrText>b</w:instrText>
      </w:r>
      <w:r w:rsidR="00A6794A" w:rsidRPr="00D3550C">
        <w:instrText>8</w:instrText>
      </w:r>
      <w:r w:rsidR="00A6794A">
        <w:rPr>
          <w:lang w:val="en-US"/>
        </w:rPr>
        <w:instrText>f</w:instrText>
      </w:r>
      <w:r w:rsidR="00A6794A" w:rsidRPr="00D3550C">
        <w:instrText>4-6</w:instrText>
      </w:r>
      <w:r w:rsidR="00A6794A">
        <w:rPr>
          <w:lang w:val="en-US"/>
        </w:rPr>
        <w:instrText>b</w:instrText>
      </w:r>
      <w:r w:rsidR="00A6794A" w:rsidRPr="00D3550C">
        <w:instrText>58-3</w:instrText>
      </w:r>
      <w:r w:rsidR="00A6794A">
        <w:rPr>
          <w:lang w:val="en-US"/>
        </w:rPr>
        <w:instrText>a</w:instrText>
      </w:r>
      <w:r w:rsidR="00A6794A" w:rsidRPr="00D3550C">
        <w:instrText>10-</w:instrText>
      </w:r>
      <w:r w:rsidR="00A6794A">
        <w:rPr>
          <w:lang w:val="en-US"/>
        </w:rPr>
        <w:instrText>b</w:instrText>
      </w:r>
      <w:r w:rsidR="00A6794A" w:rsidRPr="00D3550C">
        <w:instrText>7</w:instrText>
      </w:r>
      <w:r w:rsidR="00A6794A">
        <w:rPr>
          <w:lang w:val="en-US"/>
        </w:rPr>
        <w:instrText>d</w:instrText>
      </w:r>
      <w:r w:rsidR="00A6794A" w:rsidRPr="00D3550C">
        <w:instrText>6-</w:instrText>
      </w:r>
      <w:r w:rsidR="00A6794A">
        <w:rPr>
          <w:lang w:val="en-US"/>
        </w:rPr>
        <w:instrText>af</w:instrText>
      </w:r>
      <w:r w:rsidR="00A6794A" w:rsidRPr="00D3550C">
        <w:instrText>3854030</w:instrText>
      </w:r>
      <w:r w:rsidR="00A6794A">
        <w:rPr>
          <w:lang w:val="en-US"/>
        </w:rPr>
        <w:instrText>be</w:instrText>
      </w:r>
      <w:r w:rsidR="00A6794A" w:rsidRPr="00D3550C">
        <w:instrText>8"]},{"</w:instrText>
      </w:r>
      <w:r w:rsidR="00A6794A">
        <w:rPr>
          <w:lang w:val="en-US"/>
        </w:rPr>
        <w:instrText>id</w:instrText>
      </w:r>
      <w:r w:rsidR="00A6794A" w:rsidRPr="00D3550C">
        <w:instrText>":"</w:instrText>
      </w:r>
      <w:r w:rsidR="00A6794A">
        <w:rPr>
          <w:lang w:val="en-US"/>
        </w:rPr>
        <w:instrText>ITEM</w:instrText>
      </w:r>
      <w:r w:rsidR="00A6794A" w:rsidRPr="00D3550C">
        <w:instrText>-2","</w:instrText>
      </w:r>
      <w:r w:rsidR="00A6794A">
        <w:rPr>
          <w:lang w:val="en-US"/>
        </w:rPr>
        <w:instrText>itemData</w:instrText>
      </w:r>
      <w:r w:rsidR="00A6794A" w:rsidRPr="00D3550C">
        <w:instrText>":{"</w:instrText>
      </w:r>
      <w:r w:rsidR="00A6794A">
        <w:rPr>
          <w:lang w:val="en-US"/>
        </w:rPr>
        <w:instrText>DOI</w:instrText>
      </w:r>
      <w:r w:rsidR="00A6794A" w:rsidRPr="00D3550C">
        <w:instrText>":"10.1007/</w:instrText>
      </w:r>
      <w:r w:rsidR="00A6794A">
        <w:rPr>
          <w:lang w:val="en-US"/>
        </w:rPr>
        <w:instrText>s</w:instrText>
      </w:r>
      <w:r w:rsidR="00A6794A" w:rsidRPr="00D3550C">
        <w:instrText>12325-017-0610-</w:instrText>
      </w:r>
      <w:r w:rsidR="00A6794A">
        <w:rPr>
          <w:lang w:val="en-US"/>
        </w:rPr>
        <w:instrText>z</w:instrText>
      </w:r>
      <w:r w:rsidR="00A6794A" w:rsidRPr="00D3550C">
        <w:instrText>","</w:instrText>
      </w:r>
      <w:r w:rsidR="00A6794A">
        <w:rPr>
          <w:lang w:val="en-US"/>
        </w:rPr>
        <w:instrText>ISSN</w:instrText>
      </w:r>
      <w:r w:rsidR="00A6794A" w:rsidRPr="00D3550C">
        <w:instrText>":"18658652","</w:instrText>
      </w:r>
      <w:r w:rsidR="00A6794A">
        <w:rPr>
          <w:lang w:val="en-US"/>
        </w:rPr>
        <w:instrText>abstract</w:instrText>
      </w:r>
      <w:r w:rsidR="00A6794A" w:rsidRPr="00D3550C">
        <w:instrText>":"</w:instrText>
      </w:r>
      <w:r w:rsidR="00A6794A">
        <w:rPr>
          <w:lang w:val="en-US"/>
        </w:rPr>
        <w:instrText>Abstract</w:instrText>
      </w:r>
      <w:r w:rsidR="00A6794A" w:rsidRPr="00D3550C">
        <w:instrText xml:space="preserve">: </w:instrText>
      </w:r>
      <w:r w:rsidR="00A6794A">
        <w:rPr>
          <w:lang w:val="en-US"/>
        </w:rPr>
        <w:instrText>Rituximab</w:instrText>
      </w:r>
      <w:r w:rsidR="00A6794A" w:rsidRPr="00D3550C">
        <w:instrText xml:space="preserve"> (</w:instrText>
      </w:r>
      <w:r w:rsidR="00A6794A">
        <w:rPr>
          <w:lang w:val="en-US"/>
        </w:rPr>
        <w:instrText>MabThera</w:instrText>
      </w:r>
      <w:r w:rsidR="00A6794A" w:rsidRPr="00D3550C">
        <w:instrText>®/</w:instrText>
      </w:r>
      <w:r w:rsidR="00A6794A">
        <w:rPr>
          <w:lang w:val="en-US"/>
        </w:rPr>
        <w:instrText>Rituxan</w:instrText>
      </w:r>
      <w:r w:rsidR="00A6794A" w:rsidRPr="00D3550C">
        <w:instrText>®</w:instrText>
      </w:r>
      <w:r w:rsidR="00A6794A" w:rsidRPr="00AA43FB">
        <w:instrText xml:space="preserve">), </w:instrText>
      </w:r>
      <w:r w:rsidR="00A6794A">
        <w:rPr>
          <w:lang w:val="en-US"/>
        </w:rPr>
        <w:instrText>a</w:instrText>
      </w:r>
      <w:r w:rsidR="00A6794A" w:rsidRPr="00AA43FB">
        <w:instrText xml:space="preserve"> </w:instrText>
      </w:r>
      <w:r w:rsidR="00A6794A">
        <w:rPr>
          <w:lang w:val="en-US"/>
        </w:rPr>
        <w:instrText>chimeric</w:instrText>
      </w:r>
      <w:r w:rsidR="00A6794A" w:rsidRPr="00AA43FB">
        <w:instrText xml:space="preserve"> </w:instrText>
      </w:r>
      <w:r w:rsidR="00A6794A">
        <w:rPr>
          <w:lang w:val="en-US"/>
        </w:rPr>
        <w:instrText>murine</w:instrText>
      </w:r>
      <w:r w:rsidR="00A6794A" w:rsidRPr="00AA43FB">
        <w:instrText>/</w:instrText>
      </w:r>
      <w:r w:rsidR="00A6794A">
        <w:rPr>
          <w:lang w:val="en-US"/>
        </w:rPr>
        <w:instrText>human</w:instrText>
      </w:r>
      <w:r w:rsidR="00A6794A" w:rsidRPr="00AA43FB">
        <w:instrText xml:space="preserve"> </w:instrText>
      </w:r>
      <w:r w:rsidR="00A6794A">
        <w:rPr>
          <w:lang w:val="en-US"/>
        </w:rPr>
        <w:instrText>monoclonal</w:instrText>
      </w:r>
      <w:r w:rsidR="00A6794A" w:rsidRPr="00AA43FB">
        <w:instrText xml:space="preserve"> </w:instrText>
      </w:r>
      <w:r w:rsidR="00A6794A">
        <w:rPr>
          <w:lang w:val="en-US"/>
        </w:rPr>
        <w:instrText>antibody</w:instrText>
      </w:r>
      <w:r w:rsidR="00A6794A" w:rsidRPr="00AA43FB">
        <w:instrText xml:space="preserve"> </w:instrText>
      </w:r>
      <w:r w:rsidR="00A6794A">
        <w:rPr>
          <w:lang w:val="en-US"/>
        </w:rPr>
        <w:instrText>that</w:instrText>
      </w:r>
      <w:r w:rsidR="00A6794A" w:rsidRPr="00AA43FB">
        <w:instrText xml:space="preserve"> </w:instrText>
      </w:r>
      <w:r w:rsidR="00A6794A">
        <w:rPr>
          <w:lang w:val="en-US"/>
        </w:rPr>
        <w:instrText>binds</w:instrText>
      </w:r>
      <w:r w:rsidR="00A6794A" w:rsidRPr="00AA43FB">
        <w:instrText xml:space="preserve"> </w:instrText>
      </w:r>
      <w:r w:rsidR="00A6794A">
        <w:rPr>
          <w:lang w:val="en-US"/>
        </w:rPr>
        <w:instrText>specifically</w:instrText>
      </w:r>
      <w:r w:rsidR="00A6794A" w:rsidRPr="00AA43FB">
        <w:instrText xml:space="preserve"> </w:instrText>
      </w:r>
      <w:r w:rsidR="00A6794A">
        <w:rPr>
          <w:lang w:val="en-US"/>
        </w:rPr>
        <w:instrText>to</w:instrText>
      </w:r>
      <w:r w:rsidR="00A6794A" w:rsidRPr="00AA43FB">
        <w:instrText xml:space="preserve"> </w:instrText>
      </w:r>
      <w:r w:rsidR="00A6794A">
        <w:rPr>
          <w:lang w:val="en-US"/>
        </w:rPr>
        <w:instrText>the</w:instrText>
      </w:r>
      <w:r w:rsidR="00A6794A" w:rsidRPr="00AA43FB">
        <w:instrText xml:space="preserve"> </w:instrText>
      </w:r>
      <w:r w:rsidR="00A6794A">
        <w:rPr>
          <w:lang w:val="en-US"/>
        </w:rPr>
        <w:instrText>transmembrane</w:instrText>
      </w:r>
      <w:r w:rsidR="00A6794A" w:rsidRPr="00AA43FB">
        <w:instrText xml:space="preserve"> </w:instrText>
      </w:r>
      <w:r w:rsidR="00A6794A">
        <w:rPr>
          <w:lang w:val="en-US"/>
        </w:rPr>
        <w:instrText>antigen</w:instrText>
      </w:r>
      <w:r w:rsidR="00A6794A" w:rsidRPr="00AA43FB">
        <w:instrText xml:space="preserve"> </w:instrText>
      </w:r>
      <w:r w:rsidR="00A6794A">
        <w:rPr>
          <w:lang w:val="en-US"/>
        </w:rPr>
        <w:instrText>CD</w:instrText>
      </w:r>
      <w:r w:rsidR="00A6794A" w:rsidRPr="00AA43FB">
        <w:instrText xml:space="preserve">20, </w:instrText>
      </w:r>
      <w:r w:rsidR="00A6794A">
        <w:rPr>
          <w:lang w:val="en-US"/>
        </w:rPr>
        <w:instrText>was</w:instrText>
      </w:r>
      <w:r w:rsidR="00A6794A" w:rsidRPr="00AA43FB">
        <w:instrText xml:space="preserve"> </w:instrText>
      </w:r>
      <w:r w:rsidR="00A6794A">
        <w:rPr>
          <w:lang w:val="en-US"/>
        </w:rPr>
        <w:instrText>the</w:instrText>
      </w:r>
      <w:r w:rsidR="00A6794A" w:rsidRPr="00AA43FB">
        <w:instrText xml:space="preserve"> </w:instrText>
      </w:r>
      <w:r w:rsidR="00A6794A">
        <w:rPr>
          <w:lang w:val="en-US"/>
        </w:rPr>
        <w:instrText>first</w:instrText>
      </w:r>
      <w:r w:rsidR="00A6794A" w:rsidRPr="00AA43FB">
        <w:instrText xml:space="preserve"> </w:instrText>
      </w:r>
      <w:r w:rsidR="00A6794A">
        <w:rPr>
          <w:lang w:val="en-US"/>
        </w:rPr>
        <w:instrText>therapeutic</w:instrText>
      </w:r>
      <w:r w:rsidR="00A6794A" w:rsidRPr="00AA43FB">
        <w:instrText xml:space="preserve"> </w:instrText>
      </w:r>
      <w:r w:rsidR="00A6794A">
        <w:rPr>
          <w:lang w:val="en-US"/>
        </w:rPr>
        <w:instrText>antibody</w:instrText>
      </w:r>
      <w:r w:rsidR="00A6794A" w:rsidRPr="00AA43FB">
        <w:instrText xml:space="preserve"> </w:instrText>
      </w:r>
      <w:r w:rsidR="00A6794A">
        <w:rPr>
          <w:lang w:val="en-US"/>
        </w:rPr>
        <w:instrText>to</w:instrText>
      </w:r>
      <w:r w:rsidR="00A6794A" w:rsidRPr="00AA43FB">
        <w:instrText xml:space="preserve"> </w:instrText>
      </w:r>
      <w:r w:rsidR="00A6794A">
        <w:rPr>
          <w:lang w:val="en-US"/>
        </w:rPr>
        <w:instrText>enter</w:instrText>
      </w:r>
      <w:r w:rsidR="00A6794A" w:rsidRPr="00AA43FB">
        <w:instrText xml:space="preserve"> </w:instrText>
      </w:r>
      <w:r w:rsidR="00A6794A">
        <w:rPr>
          <w:lang w:val="en-US"/>
        </w:rPr>
        <w:instrText>clinical</w:instrText>
      </w:r>
      <w:r w:rsidR="00A6794A" w:rsidRPr="00AA43FB">
        <w:instrText xml:space="preserve"> </w:instrText>
      </w:r>
      <w:r w:rsidR="00A6794A">
        <w:rPr>
          <w:lang w:val="en-US"/>
        </w:rPr>
        <w:instrText>practice</w:instrText>
      </w:r>
      <w:r w:rsidR="00A6794A" w:rsidRPr="00AA43FB">
        <w:instrText xml:space="preserve"> </w:instrText>
      </w:r>
      <w:r w:rsidR="00A6794A">
        <w:rPr>
          <w:lang w:val="en-US"/>
        </w:rPr>
        <w:instrText>for</w:instrText>
      </w:r>
      <w:r w:rsidR="00A6794A" w:rsidRPr="00AA43FB">
        <w:instrText xml:space="preserve"> </w:instrText>
      </w:r>
      <w:r w:rsidR="00A6794A">
        <w:rPr>
          <w:lang w:val="en-US"/>
        </w:rPr>
        <w:instrText>the</w:instrText>
      </w:r>
      <w:r w:rsidR="00A6794A" w:rsidRPr="00AA43FB">
        <w:instrText xml:space="preserve"> </w:instrText>
      </w:r>
      <w:r w:rsidR="00A6794A">
        <w:rPr>
          <w:lang w:val="en-US"/>
        </w:rPr>
        <w:instrText>treatment</w:instrText>
      </w:r>
      <w:r w:rsidR="00A6794A" w:rsidRPr="00AA43FB">
        <w:instrText xml:space="preserve"> </w:instrText>
      </w:r>
      <w:r w:rsidR="00A6794A">
        <w:rPr>
          <w:lang w:val="en-US"/>
        </w:rPr>
        <w:instrText>of</w:instrText>
      </w:r>
      <w:r w:rsidR="00A6794A" w:rsidRPr="00AA43FB">
        <w:instrText xml:space="preserve"> </w:instrText>
      </w:r>
      <w:r w:rsidR="00A6794A">
        <w:rPr>
          <w:lang w:val="en-US"/>
        </w:rPr>
        <w:instrText>cancer</w:instrText>
      </w:r>
      <w:r w:rsidR="00A6794A" w:rsidRPr="00AA43FB">
        <w:instrText xml:space="preserve">. </w:instrText>
      </w:r>
      <w:r w:rsidR="00A6794A">
        <w:rPr>
          <w:lang w:val="en-US"/>
        </w:rPr>
        <w:instrText>As</w:instrText>
      </w:r>
      <w:r w:rsidR="00A6794A" w:rsidRPr="00AA43FB">
        <w:instrText xml:space="preserve"> </w:instrText>
      </w:r>
      <w:r w:rsidR="00A6794A">
        <w:rPr>
          <w:lang w:val="en-US"/>
        </w:rPr>
        <w:instrText>monotherapy</w:instrText>
      </w:r>
      <w:r w:rsidR="00A6794A" w:rsidRPr="00AA43FB">
        <w:instrText xml:space="preserve"> </w:instrText>
      </w:r>
      <w:r w:rsidR="00A6794A">
        <w:rPr>
          <w:lang w:val="en-US"/>
        </w:rPr>
        <w:instrText>and</w:instrText>
      </w:r>
      <w:r w:rsidR="00A6794A" w:rsidRPr="00AA43FB">
        <w:instrText xml:space="preserve"> </w:instrText>
      </w:r>
      <w:r w:rsidR="00A6794A">
        <w:rPr>
          <w:lang w:val="en-US"/>
        </w:rPr>
        <w:instrText>in</w:instrText>
      </w:r>
      <w:r w:rsidR="00A6794A" w:rsidRPr="00AA43FB">
        <w:instrText xml:space="preserve"> </w:instrText>
      </w:r>
      <w:r w:rsidR="00A6794A">
        <w:rPr>
          <w:lang w:val="en-US"/>
        </w:rPr>
        <w:instrText>combination</w:instrText>
      </w:r>
      <w:r w:rsidR="00A6794A" w:rsidRPr="00AA43FB">
        <w:instrText xml:space="preserve"> </w:instrText>
      </w:r>
      <w:r w:rsidR="00A6794A">
        <w:rPr>
          <w:lang w:val="en-US"/>
        </w:rPr>
        <w:instrText>with</w:instrText>
      </w:r>
      <w:r w:rsidR="00A6794A" w:rsidRPr="00AA43FB">
        <w:instrText xml:space="preserve"> </w:instrText>
      </w:r>
      <w:r w:rsidR="00A6794A">
        <w:rPr>
          <w:lang w:val="en-US"/>
        </w:rPr>
        <w:instrText>chemotherapy</w:instrText>
      </w:r>
      <w:r w:rsidR="00A6794A" w:rsidRPr="00AA43FB">
        <w:instrText xml:space="preserve">, </w:instrText>
      </w:r>
      <w:r w:rsidR="00A6794A">
        <w:rPr>
          <w:lang w:val="en-US"/>
        </w:rPr>
        <w:instrText>rituximab</w:instrText>
      </w:r>
      <w:r w:rsidR="00A6794A" w:rsidRPr="00AA43FB">
        <w:instrText xml:space="preserve"> </w:instrText>
      </w:r>
      <w:r w:rsidR="00A6794A">
        <w:rPr>
          <w:lang w:val="en-US"/>
        </w:rPr>
        <w:instrText>has</w:instrText>
      </w:r>
      <w:r w:rsidR="00A6794A" w:rsidRPr="00AA43FB">
        <w:instrText xml:space="preserve"> </w:instrText>
      </w:r>
      <w:r w:rsidR="00A6794A">
        <w:rPr>
          <w:lang w:val="en-US"/>
        </w:rPr>
        <w:instrText>been</w:instrText>
      </w:r>
      <w:r w:rsidR="00A6794A" w:rsidRPr="00AA43FB">
        <w:instrText xml:space="preserve"> </w:instrText>
      </w:r>
      <w:r w:rsidR="00A6794A">
        <w:rPr>
          <w:lang w:val="en-US"/>
        </w:rPr>
        <w:instrText>shown</w:instrText>
      </w:r>
      <w:r w:rsidR="00A6794A" w:rsidRPr="00AA43FB">
        <w:instrText xml:space="preserve"> </w:instrText>
      </w:r>
      <w:r w:rsidR="00A6794A">
        <w:rPr>
          <w:lang w:val="en-US"/>
        </w:rPr>
        <w:instrText>to</w:instrText>
      </w:r>
      <w:r w:rsidR="00A6794A" w:rsidRPr="00AA43FB">
        <w:instrText xml:space="preserve"> </w:instrText>
      </w:r>
      <w:r w:rsidR="00A6794A">
        <w:rPr>
          <w:lang w:val="en-US"/>
        </w:rPr>
        <w:instrText>prolong</w:instrText>
      </w:r>
      <w:r w:rsidR="00A6794A" w:rsidRPr="00AA43FB">
        <w:instrText xml:space="preserve"> </w:instrText>
      </w:r>
      <w:r w:rsidR="00A6794A">
        <w:rPr>
          <w:lang w:val="en-US"/>
        </w:rPr>
        <w:instrText>progression</w:instrText>
      </w:r>
      <w:r w:rsidR="00A6794A" w:rsidRPr="00AA43FB">
        <w:instrText>-</w:instrText>
      </w:r>
      <w:r w:rsidR="00A6794A">
        <w:rPr>
          <w:lang w:val="en-US"/>
        </w:rPr>
        <w:instrText>free</w:instrText>
      </w:r>
      <w:r w:rsidR="00A6794A" w:rsidRPr="00AA43FB">
        <w:instrText xml:space="preserve"> </w:instrText>
      </w:r>
      <w:r w:rsidR="00A6794A">
        <w:rPr>
          <w:lang w:val="en-US"/>
        </w:rPr>
        <w:instrText>survival</w:instrText>
      </w:r>
      <w:r w:rsidR="00A6794A" w:rsidRPr="00AA43FB">
        <w:instrText xml:space="preserve"> </w:instrText>
      </w:r>
      <w:r w:rsidR="00A6794A">
        <w:rPr>
          <w:lang w:val="en-US"/>
        </w:rPr>
        <w:instrText>and</w:instrText>
      </w:r>
      <w:r w:rsidR="00A6794A" w:rsidRPr="00AA43FB">
        <w:instrText xml:space="preserve">, </w:instrText>
      </w:r>
      <w:r w:rsidR="00A6794A">
        <w:rPr>
          <w:lang w:val="en-US"/>
        </w:rPr>
        <w:instrText>in</w:instrText>
      </w:r>
      <w:r w:rsidR="00A6794A" w:rsidRPr="00AA43FB">
        <w:instrText xml:space="preserve"> </w:instrText>
      </w:r>
      <w:r w:rsidR="00A6794A">
        <w:rPr>
          <w:lang w:val="en-US"/>
        </w:rPr>
        <w:instrText>some</w:instrText>
      </w:r>
      <w:r w:rsidR="00A6794A" w:rsidRPr="00AA43FB">
        <w:instrText xml:space="preserve"> </w:instrText>
      </w:r>
      <w:r w:rsidR="00A6794A">
        <w:rPr>
          <w:lang w:val="en-US"/>
        </w:rPr>
        <w:instrText>indications</w:instrText>
      </w:r>
      <w:r w:rsidR="00A6794A" w:rsidRPr="00AA43FB">
        <w:instrText xml:space="preserve"> </w:instrText>
      </w:r>
      <w:r w:rsidR="00A6794A">
        <w:rPr>
          <w:lang w:val="en-US"/>
        </w:rPr>
        <w:instrText>overall</w:instrText>
      </w:r>
      <w:r w:rsidR="00A6794A" w:rsidRPr="00AA43FB">
        <w:instrText xml:space="preserve"> </w:instrText>
      </w:r>
      <w:r w:rsidR="00A6794A">
        <w:rPr>
          <w:lang w:val="en-US"/>
        </w:rPr>
        <w:instrText>survival</w:instrText>
      </w:r>
      <w:r w:rsidR="00A6794A" w:rsidRPr="00AA43FB">
        <w:instrText xml:space="preserve">, </w:instrText>
      </w:r>
      <w:r w:rsidR="00A6794A">
        <w:rPr>
          <w:lang w:val="en-US"/>
        </w:rPr>
        <w:instrText>in</w:instrText>
      </w:r>
      <w:r w:rsidR="00A6794A" w:rsidRPr="00AA43FB">
        <w:instrText xml:space="preserve"> </w:instrText>
      </w:r>
      <w:r w:rsidR="00A6794A">
        <w:rPr>
          <w:lang w:val="en-US"/>
        </w:rPr>
        <w:instrText>patients</w:instrText>
      </w:r>
      <w:r w:rsidR="00A6794A" w:rsidRPr="00AA43FB">
        <w:instrText xml:space="preserve"> </w:instrText>
      </w:r>
      <w:r w:rsidR="00A6794A">
        <w:rPr>
          <w:lang w:val="en-US"/>
        </w:rPr>
        <w:instrText>with</w:instrText>
      </w:r>
      <w:r w:rsidR="00A6794A" w:rsidRPr="00AA43FB">
        <w:instrText xml:space="preserve"> </w:instrText>
      </w:r>
      <w:r w:rsidR="00A6794A">
        <w:rPr>
          <w:lang w:val="en-US"/>
        </w:rPr>
        <w:instrText>various</w:instrText>
      </w:r>
      <w:r w:rsidR="00A6794A" w:rsidRPr="00AA43FB">
        <w:instrText xml:space="preserve"> </w:instrText>
      </w:r>
      <w:r w:rsidR="00A6794A">
        <w:rPr>
          <w:lang w:val="en-US"/>
        </w:rPr>
        <w:instrText>B</w:instrText>
      </w:r>
      <w:r w:rsidR="00A6794A" w:rsidRPr="00AA43FB">
        <w:instrText>-</w:instrText>
      </w:r>
      <w:r w:rsidR="00A6794A">
        <w:rPr>
          <w:lang w:val="en-US"/>
        </w:rPr>
        <w:instrText>cell</w:instrText>
      </w:r>
      <w:r w:rsidR="00A6794A" w:rsidRPr="00AA43FB">
        <w:instrText xml:space="preserve"> </w:instrText>
      </w:r>
      <w:r w:rsidR="00A6794A">
        <w:rPr>
          <w:lang w:val="en-US"/>
        </w:rPr>
        <w:instrText>malignancies</w:instrText>
      </w:r>
      <w:r w:rsidR="00A6794A" w:rsidRPr="00AA43FB">
        <w:instrText xml:space="preserve">, </w:instrText>
      </w:r>
      <w:r w:rsidR="00A6794A">
        <w:rPr>
          <w:lang w:val="en-US"/>
        </w:rPr>
        <w:instrText>while</w:instrText>
      </w:r>
      <w:r w:rsidR="00A6794A" w:rsidRPr="00AA43FB">
        <w:instrText xml:space="preserve"> </w:instrText>
      </w:r>
      <w:r w:rsidR="00A6794A">
        <w:rPr>
          <w:lang w:val="en-US"/>
        </w:rPr>
        <w:instrText>having</w:instrText>
      </w:r>
      <w:r w:rsidR="00A6794A" w:rsidRPr="00AA43FB">
        <w:instrText xml:space="preserve"> </w:instrText>
      </w:r>
      <w:r w:rsidR="00A6794A">
        <w:rPr>
          <w:lang w:val="en-US"/>
        </w:rPr>
        <w:instrText>a</w:instrText>
      </w:r>
      <w:r w:rsidR="00A6794A" w:rsidRPr="00AA43FB">
        <w:instrText xml:space="preserve"> </w:instrText>
      </w:r>
      <w:r w:rsidR="00A6794A">
        <w:rPr>
          <w:lang w:val="en-US"/>
        </w:rPr>
        <w:instrText>well</w:instrText>
      </w:r>
      <w:r w:rsidR="00A6794A" w:rsidRPr="00AA43FB">
        <w:instrText>-</w:instrText>
      </w:r>
      <w:r w:rsidR="00A6794A">
        <w:rPr>
          <w:lang w:val="en-US"/>
        </w:rPr>
        <w:instrText>established</w:instrText>
      </w:r>
      <w:r w:rsidR="00A6794A" w:rsidRPr="00AA43FB">
        <w:instrText xml:space="preserve"> </w:instrText>
      </w:r>
      <w:r w:rsidR="00A6794A">
        <w:rPr>
          <w:lang w:val="en-US"/>
        </w:rPr>
        <w:instrText>and</w:instrText>
      </w:r>
      <w:r w:rsidR="00A6794A" w:rsidRPr="00AA43FB">
        <w:instrText xml:space="preserve"> </w:instrText>
      </w:r>
      <w:r w:rsidR="00A6794A">
        <w:rPr>
          <w:lang w:val="en-US"/>
        </w:rPr>
        <w:instrText>manageable</w:instrText>
      </w:r>
      <w:r w:rsidR="00A6794A" w:rsidRPr="00AA43FB">
        <w:instrText xml:space="preserve"> </w:instrText>
      </w:r>
      <w:r w:rsidR="00A6794A">
        <w:rPr>
          <w:lang w:val="en-US"/>
        </w:rPr>
        <w:instrText>safety</w:instrText>
      </w:r>
      <w:r w:rsidR="00A6794A" w:rsidRPr="00AA43FB">
        <w:instrText xml:space="preserve"> </w:instrText>
      </w:r>
      <w:r w:rsidR="00A6794A">
        <w:rPr>
          <w:lang w:val="en-US"/>
        </w:rPr>
        <w:instrText>profile</w:instrText>
      </w:r>
      <w:r w:rsidR="00A6794A" w:rsidRPr="00AA43FB">
        <w:instrText xml:space="preserve"> </w:instrText>
      </w:r>
      <w:r w:rsidR="00A6794A">
        <w:rPr>
          <w:lang w:val="en-US"/>
        </w:rPr>
        <w:instrText>and</w:instrText>
      </w:r>
      <w:r w:rsidR="00A6794A" w:rsidRPr="00AA43FB">
        <w:instrText xml:space="preserve"> </w:instrText>
      </w:r>
      <w:r w:rsidR="00A6794A">
        <w:rPr>
          <w:lang w:val="en-US"/>
        </w:rPr>
        <w:instrText>a</w:instrText>
      </w:r>
      <w:r w:rsidR="00A6794A" w:rsidRPr="00AA43FB">
        <w:instrText xml:space="preserve"> </w:instrText>
      </w:r>
      <w:r w:rsidR="00A6794A">
        <w:rPr>
          <w:lang w:val="en-US"/>
        </w:rPr>
        <w:instrText>wide</w:instrText>
      </w:r>
      <w:r w:rsidR="00A6794A" w:rsidRPr="00AA43FB">
        <w:instrText xml:space="preserve"> </w:instrText>
      </w:r>
      <w:r w:rsidR="00A6794A">
        <w:rPr>
          <w:lang w:val="en-US"/>
        </w:rPr>
        <w:instrText>therapeutic</w:instrText>
      </w:r>
      <w:r w:rsidR="00A6794A" w:rsidRPr="00AA43FB">
        <w:instrText xml:space="preserve"> </w:instrText>
      </w:r>
      <w:r w:rsidR="00A6794A">
        <w:rPr>
          <w:lang w:val="en-US"/>
        </w:rPr>
        <w:instrText>window</w:instrText>
      </w:r>
      <w:r w:rsidR="00A6794A" w:rsidRPr="00AA43FB">
        <w:instrText xml:space="preserve">. </w:instrText>
      </w:r>
      <w:r w:rsidR="00A6794A">
        <w:rPr>
          <w:lang w:val="en-US"/>
        </w:rPr>
        <w:instrText>As</w:instrText>
      </w:r>
      <w:r w:rsidR="00A6794A" w:rsidRPr="00AA43FB">
        <w:instrText xml:space="preserve"> </w:instrText>
      </w:r>
      <w:r w:rsidR="00A6794A">
        <w:rPr>
          <w:lang w:val="en-US"/>
        </w:rPr>
        <w:instrText>a</w:instrText>
      </w:r>
      <w:r w:rsidR="00A6794A" w:rsidRPr="00AA43FB">
        <w:instrText xml:space="preserve"> </w:instrText>
      </w:r>
      <w:r w:rsidR="00A6794A">
        <w:rPr>
          <w:lang w:val="en-US"/>
        </w:rPr>
        <w:instrText>result</w:instrText>
      </w:r>
      <w:r w:rsidR="00A6794A" w:rsidRPr="00AA43FB">
        <w:instrText xml:space="preserve">, </w:instrText>
      </w:r>
      <w:r w:rsidR="00A6794A">
        <w:rPr>
          <w:lang w:val="en-US"/>
        </w:rPr>
        <w:instrText>rituximab</w:instrText>
      </w:r>
      <w:r w:rsidR="00A6794A" w:rsidRPr="00AA43FB">
        <w:instrText xml:space="preserve"> </w:instrText>
      </w:r>
      <w:r w:rsidR="00A6794A">
        <w:rPr>
          <w:lang w:val="en-US"/>
        </w:rPr>
        <w:instrText>is</w:instrText>
      </w:r>
      <w:r w:rsidR="00A6794A" w:rsidRPr="00AA43FB">
        <w:instrText xml:space="preserve"> </w:instrText>
      </w:r>
      <w:r w:rsidR="00A6794A">
        <w:rPr>
          <w:lang w:val="en-US"/>
        </w:rPr>
        <w:instrText>considered</w:instrText>
      </w:r>
      <w:r w:rsidR="00A6794A" w:rsidRPr="00AA43FB">
        <w:instrText xml:space="preserve"> </w:instrText>
      </w:r>
      <w:r w:rsidR="00A6794A">
        <w:rPr>
          <w:lang w:val="en-US"/>
        </w:rPr>
        <w:instrText>to</w:instrText>
      </w:r>
      <w:r w:rsidR="00A6794A" w:rsidRPr="00AA43FB">
        <w:instrText xml:space="preserve"> </w:instrText>
      </w:r>
      <w:r w:rsidR="00A6794A">
        <w:rPr>
          <w:lang w:val="en-US"/>
        </w:rPr>
        <w:instrText>have</w:instrText>
      </w:r>
      <w:r w:rsidR="00A6794A" w:rsidRPr="00AA43FB">
        <w:instrText xml:space="preserve"> </w:instrText>
      </w:r>
      <w:r w:rsidR="00A6794A">
        <w:rPr>
          <w:lang w:val="en-US"/>
        </w:rPr>
        <w:instrText>revolutionized</w:instrText>
      </w:r>
      <w:r w:rsidR="00A6794A" w:rsidRPr="00AA43FB">
        <w:instrText xml:space="preserve"> </w:instrText>
      </w:r>
      <w:r w:rsidR="00A6794A">
        <w:rPr>
          <w:lang w:val="en-US"/>
        </w:rPr>
        <w:instrText>treatment</w:instrText>
      </w:r>
      <w:r w:rsidR="00A6794A" w:rsidRPr="00AA43FB">
        <w:instrText xml:space="preserve"> </w:instrText>
      </w:r>
      <w:r w:rsidR="00A6794A">
        <w:rPr>
          <w:lang w:val="en-US"/>
        </w:rPr>
        <w:instrText>practices</w:instrText>
      </w:r>
      <w:r w:rsidR="00A6794A" w:rsidRPr="00AA43FB">
        <w:instrText xml:space="preserve"> </w:instrText>
      </w:r>
      <w:r w:rsidR="00A6794A">
        <w:rPr>
          <w:lang w:val="en-US"/>
        </w:rPr>
        <w:instrText>for</w:instrText>
      </w:r>
      <w:r w:rsidR="00A6794A" w:rsidRPr="00AA43FB">
        <w:instrText xml:space="preserve"> </w:instrText>
      </w:r>
      <w:r w:rsidR="00A6794A">
        <w:rPr>
          <w:lang w:val="en-US"/>
        </w:rPr>
        <w:instrText>patients</w:instrText>
      </w:r>
      <w:r w:rsidR="00A6794A" w:rsidRPr="00AA43FB">
        <w:instrText xml:space="preserve"> </w:instrText>
      </w:r>
      <w:r w:rsidR="00A6794A">
        <w:rPr>
          <w:lang w:val="en-US"/>
        </w:rPr>
        <w:instrText>with</w:instrText>
      </w:r>
      <w:r w:rsidR="00A6794A" w:rsidRPr="00AA43FB">
        <w:instrText xml:space="preserve"> </w:instrText>
      </w:r>
      <w:r w:rsidR="00A6794A">
        <w:rPr>
          <w:lang w:val="en-US"/>
        </w:rPr>
        <w:instrText>B</w:instrText>
      </w:r>
      <w:r w:rsidR="00A6794A" w:rsidRPr="00AA43FB">
        <w:instrText>-</w:instrText>
      </w:r>
      <w:r w:rsidR="00A6794A">
        <w:rPr>
          <w:lang w:val="en-US"/>
        </w:rPr>
        <w:instrText>cell</w:instrText>
      </w:r>
      <w:r w:rsidR="00A6794A" w:rsidRPr="00AA43FB">
        <w:instrText xml:space="preserve"> </w:instrText>
      </w:r>
      <w:r w:rsidR="00A6794A">
        <w:rPr>
          <w:lang w:val="en-US"/>
        </w:rPr>
        <w:instrText>malignancies</w:instrText>
      </w:r>
      <w:r w:rsidR="00A6794A" w:rsidRPr="00AA43FB">
        <w:instrText xml:space="preserve">. </w:instrText>
      </w:r>
      <w:r w:rsidR="00A6794A">
        <w:rPr>
          <w:lang w:val="en-US"/>
        </w:rPr>
        <w:instrText>A</w:instrText>
      </w:r>
      <w:r w:rsidR="00A6794A" w:rsidRPr="00AA43FB">
        <w:instrText xml:space="preserve"> </w:instrText>
      </w:r>
      <w:r w:rsidR="00A6794A">
        <w:rPr>
          <w:lang w:val="en-US"/>
        </w:rPr>
        <w:instrText>subcutaneous</w:instrText>
      </w:r>
      <w:r w:rsidR="00A6794A" w:rsidRPr="00AA43FB">
        <w:instrText xml:space="preserve"> (</w:instrText>
      </w:r>
      <w:r w:rsidR="00A6794A">
        <w:rPr>
          <w:lang w:val="en-US"/>
        </w:rPr>
        <w:instrText>SC</w:instrText>
      </w:r>
      <w:r w:rsidR="00A6794A" w:rsidRPr="00AA43FB">
        <w:instrText xml:space="preserve">) </w:instrText>
      </w:r>
      <w:r w:rsidR="00A6794A">
        <w:rPr>
          <w:lang w:val="en-US"/>
        </w:rPr>
        <w:instrText>formulation</w:instrText>
      </w:r>
      <w:r w:rsidR="00A6794A" w:rsidRPr="00AA43FB">
        <w:instrText xml:space="preserve"> </w:instrText>
      </w:r>
      <w:r w:rsidR="00A6794A">
        <w:rPr>
          <w:lang w:val="en-US"/>
        </w:rPr>
        <w:instrText>of</w:instrText>
      </w:r>
      <w:r w:rsidR="00A6794A" w:rsidRPr="00AA43FB">
        <w:instrText xml:space="preserve"> </w:instrText>
      </w:r>
      <w:r w:rsidR="00A6794A">
        <w:rPr>
          <w:lang w:val="en-US"/>
        </w:rPr>
        <w:instrText>rituximab</w:instrText>
      </w:r>
      <w:r w:rsidR="00A6794A" w:rsidRPr="00AA43FB">
        <w:instrText xml:space="preserve"> </w:instrText>
      </w:r>
      <w:r w:rsidR="00A6794A">
        <w:rPr>
          <w:lang w:val="en-US"/>
        </w:rPr>
        <w:instrText>has</w:instrText>
      </w:r>
      <w:r w:rsidR="00A6794A" w:rsidRPr="00AA43FB">
        <w:instrText xml:space="preserve"> </w:instrText>
      </w:r>
      <w:r w:rsidR="00A6794A">
        <w:rPr>
          <w:lang w:val="en-US"/>
        </w:rPr>
        <w:instrText>been</w:instrText>
      </w:r>
      <w:r w:rsidR="00A6794A" w:rsidRPr="00AA43FB">
        <w:instrText xml:space="preserve"> </w:instrText>
      </w:r>
      <w:r w:rsidR="00A6794A">
        <w:rPr>
          <w:lang w:val="en-US"/>
        </w:rPr>
        <w:instrText>developed</w:instrText>
      </w:r>
      <w:r w:rsidR="00A6794A" w:rsidRPr="00AA43FB">
        <w:instrText xml:space="preserve">, </w:instrText>
      </w:r>
      <w:r w:rsidR="00A6794A">
        <w:rPr>
          <w:lang w:val="en-US"/>
        </w:rPr>
        <w:instrText>comprising</w:instrText>
      </w:r>
      <w:r w:rsidR="00A6794A" w:rsidRPr="00AA43FB">
        <w:instrText xml:space="preserve"> </w:instrText>
      </w:r>
      <w:r w:rsidR="00A6794A">
        <w:rPr>
          <w:lang w:val="en-US"/>
        </w:rPr>
        <w:instrText>the</w:instrText>
      </w:r>
      <w:r w:rsidR="00A6794A" w:rsidRPr="00AA43FB">
        <w:instrText xml:space="preserve"> </w:instrText>
      </w:r>
      <w:r w:rsidR="00A6794A">
        <w:rPr>
          <w:lang w:val="en-US"/>
        </w:rPr>
        <w:instrText>same</w:instrText>
      </w:r>
      <w:r w:rsidR="00A6794A" w:rsidRPr="00AA43FB">
        <w:instrText xml:space="preserve"> </w:instrText>
      </w:r>
      <w:r w:rsidR="00A6794A">
        <w:rPr>
          <w:lang w:val="en-US"/>
        </w:rPr>
        <w:instrText>monoclonal</w:instrText>
      </w:r>
      <w:r w:rsidR="00A6794A" w:rsidRPr="00AA43FB">
        <w:instrText xml:space="preserve"> </w:instrText>
      </w:r>
      <w:r w:rsidR="00A6794A">
        <w:rPr>
          <w:lang w:val="en-US"/>
        </w:rPr>
        <w:instrText>antibody</w:instrText>
      </w:r>
      <w:r w:rsidR="00A6794A" w:rsidRPr="00AA43FB">
        <w:instrText xml:space="preserve"> </w:instrText>
      </w:r>
      <w:r w:rsidR="00A6794A">
        <w:rPr>
          <w:lang w:val="en-US"/>
        </w:rPr>
        <w:instrText>as</w:instrText>
      </w:r>
      <w:r w:rsidR="00A6794A" w:rsidRPr="00AA43FB">
        <w:instrText xml:space="preserve"> </w:instrText>
      </w:r>
      <w:r w:rsidR="00A6794A">
        <w:rPr>
          <w:lang w:val="en-US"/>
        </w:rPr>
        <w:instrText>the</w:instrText>
      </w:r>
      <w:r w:rsidR="00A6794A" w:rsidRPr="00AA43FB">
        <w:instrText xml:space="preserve"> </w:instrText>
      </w:r>
      <w:r w:rsidR="00A6794A">
        <w:rPr>
          <w:lang w:val="en-US"/>
        </w:rPr>
        <w:instrText>originally</w:instrText>
      </w:r>
      <w:r w:rsidR="00A6794A" w:rsidRPr="00AA43FB">
        <w:instrText xml:space="preserve"> </w:instrText>
      </w:r>
      <w:r w:rsidR="00A6794A">
        <w:rPr>
          <w:lang w:val="en-US"/>
        </w:rPr>
        <w:instrText>marketed</w:instrText>
      </w:r>
      <w:r w:rsidR="00A6794A" w:rsidRPr="00AA43FB">
        <w:instrText xml:space="preserve"> </w:instrText>
      </w:r>
      <w:r w:rsidR="00A6794A">
        <w:rPr>
          <w:lang w:val="en-US"/>
        </w:rPr>
        <w:instrText>formulation</w:instrText>
      </w:r>
      <w:r w:rsidR="00A6794A" w:rsidRPr="00AA43FB">
        <w:instrText xml:space="preserve"> [</w:instrText>
      </w:r>
      <w:r w:rsidR="00A6794A">
        <w:rPr>
          <w:lang w:val="en-US"/>
        </w:rPr>
        <w:instrText>rituximab</w:instrText>
      </w:r>
      <w:r w:rsidR="00A6794A" w:rsidRPr="00AA43FB">
        <w:instrText xml:space="preserve"> </w:instrText>
      </w:r>
      <w:r w:rsidR="00A6794A">
        <w:rPr>
          <w:lang w:val="en-US"/>
        </w:rPr>
        <w:instrText>concentrate</w:instrText>
      </w:r>
      <w:r w:rsidR="00A6794A" w:rsidRPr="00AA43FB">
        <w:instrText xml:space="preserve"> </w:instrText>
      </w:r>
      <w:r w:rsidR="00A6794A">
        <w:rPr>
          <w:lang w:val="en-US"/>
        </w:rPr>
        <w:instrText>for</w:instrText>
      </w:r>
      <w:r w:rsidR="00A6794A" w:rsidRPr="00AA43FB">
        <w:instrText xml:space="preserve"> </w:instrText>
      </w:r>
      <w:r w:rsidR="00A6794A">
        <w:rPr>
          <w:lang w:val="en-US"/>
        </w:rPr>
        <w:instrText>solution</w:instrText>
      </w:r>
      <w:r w:rsidR="00A6794A" w:rsidRPr="00AA43FB">
        <w:instrText xml:space="preserve"> </w:instrText>
      </w:r>
      <w:r w:rsidR="00A6794A">
        <w:rPr>
          <w:lang w:val="en-US"/>
        </w:rPr>
        <w:instrText>for</w:instrText>
      </w:r>
      <w:r w:rsidR="00A6794A" w:rsidRPr="00AA43FB">
        <w:instrText xml:space="preserve"> </w:instrText>
      </w:r>
      <w:r w:rsidR="00A6794A">
        <w:rPr>
          <w:lang w:val="en-US"/>
        </w:rPr>
        <w:instrText>intravenous</w:instrText>
      </w:r>
      <w:r w:rsidR="00A6794A" w:rsidRPr="00AA43FB">
        <w:instrText xml:space="preserve"> (</w:instrText>
      </w:r>
      <w:r w:rsidR="00A6794A">
        <w:rPr>
          <w:lang w:val="en-US"/>
        </w:rPr>
        <w:instrText>IV</w:instrText>
      </w:r>
      <w:r w:rsidR="00A6794A" w:rsidRPr="00AA43FB">
        <w:instrText xml:space="preserve">) </w:instrText>
      </w:r>
      <w:r w:rsidR="00A6794A">
        <w:rPr>
          <w:lang w:val="en-US"/>
        </w:rPr>
        <w:instrText>infusion</w:instrText>
      </w:r>
      <w:r w:rsidR="00A6794A" w:rsidRPr="00AA43FB">
        <w:instrText xml:space="preserve">], </w:instrText>
      </w:r>
      <w:r w:rsidR="00A6794A">
        <w:rPr>
          <w:lang w:val="en-US"/>
        </w:rPr>
        <w:instrText>and</w:instrText>
      </w:r>
      <w:r w:rsidR="00A6794A" w:rsidRPr="00AA43FB">
        <w:instrText xml:space="preserve"> </w:instrText>
      </w:r>
      <w:r w:rsidR="00A6794A">
        <w:rPr>
          <w:lang w:val="en-US"/>
        </w:rPr>
        <w:instrText>has</w:instrText>
      </w:r>
      <w:r w:rsidR="00A6794A" w:rsidRPr="00AA43FB">
        <w:instrText xml:space="preserve"> </w:instrText>
      </w:r>
      <w:r w:rsidR="00A6794A">
        <w:rPr>
          <w:lang w:val="en-US"/>
        </w:rPr>
        <w:instrText>undergone</w:instrText>
      </w:r>
      <w:r w:rsidR="00A6794A" w:rsidRPr="00AA43FB">
        <w:instrText xml:space="preserve"> </w:instrText>
      </w:r>
      <w:r w:rsidR="00A6794A">
        <w:rPr>
          <w:lang w:val="en-US"/>
        </w:rPr>
        <w:instrText>a</w:instrText>
      </w:r>
      <w:r w:rsidR="00A6794A" w:rsidRPr="00AA43FB">
        <w:instrText xml:space="preserve"> </w:instrText>
      </w:r>
      <w:r w:rsidR="00A6794A">
        <w:rPr>
          <w:lang w:val="en-US"/>
        </w:rPr>
        <w:instrText>detailed</w:instrText>
      </w:r>
      <w:r w:rsidR="00A6794A" w:rsidRPr="00AA43FB">
        <w:instrText xml:space="preserve">, </w:instrText>
      </w:r>
      <w:r w:rsidR="00A6794A">
        <w:rPr>
          <w:lang w:val="en-US"/>
        </w:rPr>
        <w:instrText>sequential</w:instrText>
      </w:r>
      <w:r w:rsidR="00A6794A" w:rsidRPr="00AA43FB">
        <w:instrText xml:space="preserve"> </w:instrText>
      </w:r>
      <w:r w:rsidR="00A6794A">
        <w:rPr>
          <w:lang w:val="en-US"/>
        </w:rPr>
        <w:instrText>clinical</w:instrText>
      </w:r>
      <w:r w:rsidR="00A6794A" w:rsidRPr="00AA43FB">
        <w:instrText xml:space="preserve"> </w:instrText>
      </w:r>
      <w:r w:rsidR="00A6794A">
        <w:rPr>
          <w:lang w:val="en-US"/>
        </w:rPr>
        <w:instrText>development</w:instrText>
      </w:r>
      <w:r w:rsidR="00A6794A" w:rsidRPr="00AA43FB">
        <w:instrText xml:space="preserve"> </w:instrText>
      </w:r>
      <w:r w:rsidR="00A6794A">
        <w:rPr>
          <w:lang w:val="en-US"/>
        </w:rPr>
        <w:instrText>program</w:instrText>
      </w:r>
      <w:r w:rsidR="00A6794A" w:rsidRPr="00AA43FB">
        <w:instrText xml:space="preserve">. </w:instrText>
      </w:r>
      <w:r w:rsidR="00A6794A">
        <w:rPr>
          <w:lang w:val="en-US"/>
        </w:rPr>
        <w:instrText>This</w:instrText>
      </w:r>
      <w:r w:rsidR="00A6794A" w:rsidRPr="00AA43FB">
        <w:instrText xml:space="preserve"> </w:instrText>
      </w:r>
      <w:r w:rsidR="00A6794A">
        <w:rPr>
          <w:lang w:val="en-US"/>
        </w:rPr>
        <w:instrText>program</w:instrText>
      </w:r>
      <w:r w:rsidR="00A6794A" w:rsidRPr="00AA43FB">
        <w:instrText xml:space="preserve"> </w:instrText>
      </w:r>
      <w:r w:rsidR="00A6794A">
        <w:rPr>
          <w:lang w:val="en-US"/>
        </w:rPr>
        <w:instrText>demonstrated</w:instrText>
      </w:r>
      <w:r w:rsidR="00A6794A" w:rsidRPr="00AA43FB">
        <w:instrText xml:space="preserve"> </w:instrText>
      </w:r>
      <w:r w:rsidR="00A6794A">
        <w:rPr>
          <w:lang w:val="en-US"/>
        </w:rPr>
        <w:instrText>that</w:instrText>
      </w:r>
      <w:r w:rsidR="00A6794A" w:rsidRPr="00AA43FB">
        <w:instrText xml:space="preserve">, </w:instrText>
      </w:r>
      <w:r w:rsidR="00A6794A">
        <w:rPr>
          <w:lang w:val="en-US"/>
        </w:rPr>
        <w:instrText>at</w:instrText>
      </w:r>
      <w:r w:rsidR="00A6794A" w:rsidRPr="00AA43FB">
        <w:instrText xml:space="preserve"> </w:instrText>
      </w:r>
      <w:r w:rsidR="00A6794A">
        <w:rPr>
          <w:lang w:val="en-US"/>
        </w:rPr>
        <w:instrText>fixed</w:instrText>
      </w:r>
      <w:r w:rsidR="00A6794A" w:rsidRPr="00AA43FB">
        <w:instrText xml:space="preserve"> </w:instrText>
      </w:r>
      <w:r w:rsidR="00A6794A">
        <w:rPr>
          <w:lang w:val="en-US"/>
        </w:rPr>
        <w:instrText>doses</w:instrText>
      </w:r>
      <w:r w:rsidR="00A6794A" w:rsidRPr="00AA43FB">
        <w:instrText xml:space="preserve">, </w:instrText>
      </w:r>
      <w:r w:rsidR="00A6794A">
        <w:rPr>
          <w:lang w:val="en-US"/>
        </w:rPr>
        <w:instrText>rituximab</w:instrText>
      </w:r>
      <w:r w:rsidR="00A6794A" w:rsidRPr="00AA43FB">
        <w:instrText xml:space="preserve"> </w:instrText>
      </w:r>
      <w:r w:rsidR="00A6794A">
        <w:rPr>
          <w:lang w:val="en-US"/>
        </w:rPr>
        <w:instrText>SC</w:instrText>
      </w:r>
      <w:r w:rsidR="00A6794A" w:rsidRPr="00AA43FB">
        <w:instrText xml:space="preserve"> </w:instrText>
      </w:r>
      <w:r w:rsidR="00A6794A">
        <w:rPr>
          <w:lang w:val="en-US"/>
        </w:rPr>
        <w:instrText>achieves</w:instrText>
      </w:r>
      <w:r w:rsidR="00A6794A" w:rsidRPr="00AA43FB">
        <w:instrText xml:space="preserve"> </w:instrText>
      </w:r>
      <w:r w:rsidR="00A6794A">
        <w:rPr>
          <w:lang w:val="en-US"/>
        </w:rPr>
        <w:instrText>non</w:instrText>
      </w:r>
      <w:r w:rsidR="00A6794A" w:rsidRPr="00AA43FB">
        <w:instrText>-</w:instrText>
      </w:r>
      <w:r w:rsidR="00A6794A">
        <w:rPr>
          <w:lang w:val="en-US"/>
        </w:rPr>
        <w:instrText>inferior</w:instrText>
      </w:r>
      <w:r w:rsidR="00A6794A" w:rsidRPr="00AA43FB">
        <w:instrText xml:space="preserve"> </w:instrText>
      </w:r>
      <w:r w:rsidR="00A6794A">
        <w:rPr>
          <w:lang w:val="en-US"/>
        </w:rPr>
        <w:instrText>serum</w:instrText>
      </w:r>
      <w:r w:rsidR="00A6794A" w:rsidRPr="00AA43FB">
        <w:instrText xml:space="preserve"> </w:instrText>
      </w:r>
      <w:r w:rsidR="00A6794A">
        <w:rPr>
          <w:lang w:val="en-US"/>
        </w:rPr>
        <w:instrText>trough</w:instrText>
      </w:r>
      <w:r w:rsidR="00A6794A" w:rsidRPr="00AA43FB">
        <w:instrText xml:space="preserve"> </w:instrText>
      </w:r>
      <w:r w:rsidR="00A6794A">
        <w:rPr>
          <w:lang w:val="en-US"/>
        </w:rPr>
        <w:instrText>concentrations</w:instrText>
      </w:r>
      <w:r w:rsidR="00A6794A" w:rsidRPr="00AA43FB">
        <w:instrText xml:space="preserve"> </w:instrText>
      </w:r>
      <w:r w:rsidR="00A6794A">
        <w:rPr>
          <w:lang w:val="en-US"/>
        </w:rPr>
        <w:instrText>in</w:instrText>
      </w:r>
      <w:r w:rsidR="00A6794A" w:rsidRPr="00AA43FB">
        <w:instrText xml:space="preserve"> </w:instrText>
      </w:r>
      <w:r w:rsidR="00A6794A">
        <w:rPr>
          <w:lang w:val="en-US"/>
        </w:rPr>
        <w:instrText>patients</w:instrText>
      </w:r>
      <w:r w:rsidR="00A6794A" w:rsidRPr="00AA43FB">
        <w:instrText xml:space="preserve"> </w:instrText>
      </w:r>
      <w:r w:rsidR="00A6794A">
        <w:rPr>
          <w:lang w:val="en-US"/>
        </w:rPr>
        <w:instrText>with</w:instrText>
      </w:r>
      <w:r w:rsidR="00A6794A" w:rsidRPr="00AA43FB">
        <w:instrText xml:space="preserve"> </w:instrText>
      </w:r>
      <w:r w:rsidR="00A6794A">
        <w:rPr>
          <w:lang w:val="en-US"/>
        </w:rPr>
        <w:instrText>non</w:instrText>
      </w:r>
      <w:r w:rsidR="00A6794A" w:rsidRPr="00AA43FB">
        <w:instrText>-</w:instrText>
      </w:r>
      <w:r w:rsidR="00A6794A">
        <w:rPr>
          <w:lang w:val="en-US"/>
        </w:rPr>
        <w:instrText>Hodgkin</w:instrText>
      </w:r>
      <w:r w:rsidR="00A6794A" w:rsidRPr="00AA43FB">
        <w:instrText xml:space="preserve"> </w:instrText>
      </w:r>
      <w:r w:rsidR="00A6794A">
        <w:rPr>
          <w:lang w:val="en-US"/>
        </w:rPr>
        <w:instrText>lymphoma</w:instrText>
      </w:r>
      <w:r w:rsidR="00A6794A" w:rsidRPr="00AA43FB">
        <w:instrText xml:space="preserve"> </w:instrText>
      </w:r>
      <w:r w:rsidR="00A6794A">
        <w:rPr>
          <w:lang w:val="en-US"/>
        </w:rPr>
        <w:instrText>and</w:instrText>
      </w:r>
      <w:r w:rsidR="00A6794A" w:rsidRPr="00AA43FB">
        <w:instrText xml:space="preserve"> </w:instrText>
      </w:r>
      <w:r w:rsidR="00A6794A">
        <w:rPr>
          <w:lang w:val="en-US"/>
        </w:rPr>
        <w:instrText>chronic</w:instrText>
      </w:r>
      <w:r w:rsidR="00A6794A" w:rsidRPr="00AA43FB">
        <w:instrText xml:space="preserve"> </w:instrText>
      </w:r>
      <w:r w:rsidR="00A6794A">
        <w:rPr>
          <w:lang w:val="en-US"/>
        </w:rPr>
        <w:instrText>lymphocytic</w:instrText>
      </w:r>
      <w:r w:rsidR="00A6794A" w:rsidRPr="00AA43FB">
        <w:instrText xml:space="preserve"> </w:instrText>
      </w:r>
      <w:r w:rsidR="00A6794A">
        <w:rPr>
          <w:lang w:val="en-US"/>
        </w:rPr>
        <w:instrText>leukemia</w:instrText>
      </w:r>
      <w:r w:rsidR="00A6794A" w:rsidRPr="00AA43FB">
        <w:instrText xml:space="preserve">, </w:instrText>
      </w:r>
      <w:r w:rsidR="00A6794A">
        <w:rPr>
          <w:lang w:val="en-US"/>
        </w:rPr>
        <w:instrText>with</w:instrText>
      </w:r>
      <w:r w:rsidR="00A6794A" w:rsidRPr="00AA43FB">
        <w:instrText xml:space="preserve"> </w:instrText>
      </w:r>
      <w:r w:rsidR="00A6794A">
        <w:rPr>
          <w:lang w:val="en-US"/>
        </w:rPr>
        <w:instrText>comparable</w:instrText>
      </w:r>
      <w:r w:rsidR="00A6794A" w:rsidRPr="00AA43FB">
        <w:instrText xml:space="preserve"> </w:instrText>
      </w:r>
      <w:r w:rsidR="00A6794A">
        <w:rPr>
          <w:lang w:val="en-US"/>
        </w:rPr>
        <w:instrText>efficacy</w:instrText>
      </w:r>
      <w:r w:rsidR="00A6794A" w:rsidRPr="00AA43FB">
        <w:instrText xml:space="preserve"> </w:instrText>
      </w:r>
      <w:r w:rsidR="00A6794A">
        <w:rPr>
          <w:lang w:val="en-US"/>
        </w:rPr>
        <w:instrText>and</w:instrText>
      </w:r>
      <w:r w:rsidR="00A6794A" w:rsidRPr="00AA43FB">
        <w:instrText xml:space="preserve"> </w:instrText>
      </w:r>
      <w:r w:rsidR="00A6794A">
        <w:rPr>
          <w:lang w:val="en-US"/>
        </w:rPr>
        <w:instrText>safety</w:instrText>
      </w:r>
      <w:r w:rsidR="00A6794A" w:rsidRPr="00AA43FB">
        <w:instrText xml:space="preserve"> </w:instrText>
      </w:r>
      <w:r w:rsidR="00A6794A">
        <w:rPr>
          <w:lang w:val="en-US"/>
        </w:rPr>
        <w:instrText>relative</w:instrText>
      </w:r>
      <w:r w:rsidR="00A6794A" w:rsidRPr="00AA43FB">
        <w:instrText xml:space="preserve"> </w:instrText>
      </w:r>
      <w:r w:rsidR="00A6794A">
        <w:rPr>
          <w:lang w:val="en-US"/>
        </w:rPr>
        <w:instrText>to</w:instrText>
      </w:r>
      <w:r w:rsidR="00A6794A" w:rsidRPr="00AA43FB">
        <w:instrText xml:space="preserve"> </w:instrText>
      </w:r>
      <w:r w:rsidR="00A6794A">
        <w:rPr>
          <w:lang w:val="en-US"/>
        </w:rPr>
        <w:instrText>the</w:instrText>
      </w:r>
      <w:r w:rsidR="00A6794A" w:rsidRPr="00AA43FB">
        <w:instrText xml:space="preserve"> </w:instrText>
      </w:r>
      <w:r w:rsidR="00A6794A">
        <w:rPr>
          <w:lang w:val="en-US"/>
        </w:rPr>
        <w:instrText>IV</w:instrText>
      </w:r>
      <w:r w:rsidR="00A6794A" w:rsidRPr="00AA43FB">
        <w:instrText xml:space="preserve"> </w:instrText>
      </w:r>
      <w:r w:rsidR="00A6794A">
        <w:rPr>
          <w:lang w:val="en-US"/>
        </w:rPr>
        <w:instrText>formulation</w:instrText>
      </w:r>
      <w:r w:rsidR="00A6794A" w:rsidRPr="00AA43FB">
        <w:instrText xml:space="preserve">. </w:instrText>
      </w:r>
      <w:r w:rsidR="00A6794A">
        <w:rPr>
          <w:lang w:val="en-US"/>
        </w:rPr>
        <w:instrText>The</w:instrText>
      </w:r>
      <w:r w:rsidR="00A6794A" w:rsidRPr="00AA43FB">
        <w:instrText xml:space="preserve"> </w:instrText>
      </w:r>
      <w:r w:rsidR="00A6794A">
        <w:rPr>
          <w:lang w:val="en-US"/>
        </w:rPr>
        <w:instrText>added</w:instrText>
      </w:r>
      <w:r w:rsidR="00A6794A" w:rsidRPr="00AA43FB">
        <w:instrText xml:space="preserve"> </w:instrText>
      </w:r>
      <w:r w:rsidR="00A6794A">
        <w:rPr>
          <w:lang w:val="en-US"/>
        </w:rPr>
        <w:instrText>benefit</w:instrText>
      </w:r>
      <w:r w:rsidR="00A6794A" w:rsidRPr="00AA43FB">
        <w:instrText xml:space="preserve"> </w:instrText>
      </w:r>
      <w:r w:rsidR="00A6794A">
        <w:rPr>
          <w:lang w:val="en-US"/>
        </w:rPr>
        <w:instrText>of</w:instrText>
      </w:r>
      <w:r w:rsidR="00A6794A" w:rsidRPr="00AA43FB">
        <w:instrText xml:space="preserve"> </w:instrText>
      </w:r>
      <w:r w:rsidR="00A6794A">
        <w:rPr>
          <w:lang w:val="en-US"/>
        </w:rPr>
        <w:instrText>rituximab</w:instrText>
      </w:r>
      <w:r w:rsidR="00A6794A" w:rsidRPr="00AA43FB">
        <w:instrText xml:space="preserve"> </w:instrText>
      </w:r>
      <w:r w:rsidR="00A6794A">
        <w:rPr>
          <w:lang w:val="en-US"/>
        </w:rPr>
        <w:instrText>SC</w:instrText>
      </w:r>
      <w:r w:rsidR="00A6794A" w:rsidRPr="00AA43FB">
        <w:instrText xml:space="preserve"> </w:instrText>
      </w:r>
      <w:r w:rsidR="00A6794A">
        <w:rPr>
          <w:lang w:val="en-US"/>
        </w:rPr>
        <w:instrText>was</w:instrText>
      </w:r>
      <w:r w:rsidR="00A6794A" w:rsidRPr="00AA43FB">
        <w:instrText xml:space="preserve"> </w:instrText>
      </w:r>
      <w:r w:rsidR="00A6794A">
        <w:rPr>
          <w:lang w:val="en-US"/>
        </w:rPr>
        <w:instrText>demonstrated</w:instrText>
      </w:r>
      <w:r w:rsidR="00A6794A" w:rsidRPr="00AA43FB">
        <w:instrText xml:space="preserve"> </w:instrText>
      </w:r>
      <w:r w:rsidR="00A6794A">
        <w:rPr>
          <w:lang w:val="en-US"/>
        </w:rPr>
        <w:instrText>in</w:instrText>
      </w:r>
      <w:r w:rsidR="00A6794A" w:rsidRPr="00AA43FB">
        <w:instrText xml:space="preserve"> </w:instrText>
      </w:r>
      <w:r w:rsidR="00A6794A">
        <w:rPr>
          <w:lang w:val="en-US"/>
        </w:rPr>
        <w:instrText>dedicated</w:instrText>
      </w:r>
      <w:r w:rsidR="00A6794A" w:rsidRPr="00AA43FB">
        <w:instrText xml:space="preserve"> </w:instrText>
      </w:r>
      <w:r w:rsidR="00A6794A">
        <w:rPr>
          <w:lang w:val="en-US"/>
        </w:rPr>
        <w:instrText>studies</w:instrText>
      </w:r>
      <w:r w:rsidR="00A6794A" w:rsidRPr="00AA43FB">
        <w:instrText xml:space="preserve"> </w:instrText>
      </w:r>
      <w:r w:rsidR="00A6794A">
        <w:rPr>
          <w:lang w:val="en-US"/>
        </w:rPr>
        <w:instrText>showing</w:instrText>
      </w:r>
      <w:r w:rsidR="00A6794A" w:rsidRPr="00AA43FB">
        <w:instrText xml:space="preserve"> </w:instrText>
      </w:r>
      <w:r w:rsidR="00A6794A">
        <w:rPr>
          <w:lang w:val="en-US"/>
        </w:rPr>
        <w:instrText>that</w:instrText>
      </w:r>
      <w:r w:rsidR="00A6794A" w:rsidRPr="00AA43FB">
        <w:instrText xml:space="preserve"> </w:instrText>
      </w:r>
      <w:r w:rsidR="00A6794A">
        <w:rPr>
          <w:lang w:val="en-US"/>
        </w:rPr>
        <w:instrText>rituximab</w:instrText>
      </w:r>
      <w:r w:rsidR="00A6794A" w:rsidRPr="00AA43FB">
        <w:instrText xml:space="preserve"> </w:instrText>
      </w:r>
      <w:r w:rsidR="00A6794A">
        <w:rPr>
          <w:lang w:val="en-US"/>
        </w:rPr>
        <w:instrText>SC</w:instrText>
      </w:r>
      <w:r w:rsidR="00A6794A" w:rsidRPr="00AA43FB">
        <w:instrText xml:space="preserve"> </w:instrText>
      </w:r>
      <w:r w:rsidR="00A6794A">
        <w:rPr>
          <w:lang w:val="en-US"/>
        </w:rPr>
        <w:instrText>allows</w:instrText>
      </w:r>
      <w:r w:rsidR="00A6794A" w:rsidRPr="00AA43FB">
        <w:instrText xml:space="preserve"> </w:instrText>
      </w:r>
      <w:r w:rsidR="00A6794A">
        <w:rPr>
          <w:lang w:val="en-US"/>
        </w:rPr>
        <w:instrText>for</w:instrText>
      </w:r>
      <w:r w:rsidR="00A6794A" w:rsidRPr="00AA43FB">
        <w:instrText xml:space="preserve"> </w:instrText>
      </w:r>
      <w:r w:rsidR="00A6794A">
        <w:rPr>
          <w:lang w:val="en-US"/>
        </w:rPr>
        <w:instrText>simplified</w:instrText>
      </w:r>
      <w:r w:rsidR="00A6794A" w:rsidRPr="00AA43FB">
        <w:instrText xml:space="preserve"> </w:instrText>
      </w:r>
      <w:r w:rsidR="00A6794A">
        <w:rPr>
          <w:lang w:val="en-US"/>
        </w:rPr>
        <w:instrText>and</w:instrText>
      </w:r>
      <w:r w:rsidR="00A6794A" w:rsidRPr="00AA43FB">
        <w:instrText xml:space="preserve"> </w:instrText>
      </w:r>
      <w:r w:rsidR="00A6794A">
        <w:rPr>
          <w:lang w:val="en-US"/>
        </w:rPr>
        <w:instrText>shortened</w:instrText>
      </w:r>
      <w:r w:rsidR="00A6794A" w:rsidRPr="00AA43FB">
        <w:instrText xml:space="preserve"> </w:instrText>
      </w:r>
      <w:r w:rsidR="00A6794A">
        <w:rPr>
          <w:lang w:val="en-US"/>
        </w:rPr>
        <w:instrText>drug</w:instrText>
      </w:r>
      <w:r w:rsidR="00A6794A" w:rsidRPr="00AA43FB">
        <w:instrText xml:space="preserve"> </w:instrText>
      </w:r>
      <w:r w:rsidR="00A6794A">
        <w:rPr>
          <w:lang w:val="en-US"/>
        </w:rPr>
        <w:instrText>preparation</w:instrText>
      </w:r>
      <w:r w:rsidR="00A6794A" w:rsidRPr="00AA43FB">
        <w:instrText xml:space="preserve"> </w:instrText>
      </w:r>
      <w:r w:rsidR="00A6794A">
        <w:rPr>
          <w:lang w:val="en-US"/>
        </w:rPr>
        <w:instrText>and</w:instrText>
      </w:r>
      <w:r w:rsidR="00A6794A" w:rsidRPr="00AA43FB">
        <w:instrText xml:space="preserve"> </w:instrText>
      </w:r>
      <w:r w:rsidR="00A6794A">
        <w:rPr>
          <w:lang w:val="en-US"/>
        </w:rPr>
        <w:instrText>administration</w:instrText>
      </w:r>
      <w:r w:rsidR="00A6794A" w:rsidRPr="00AA43FB">
        <w:instrText xml:space="preserve"> </w:instrText>
      </w:r>
      <w:r w:rsidR="00A6794A">
        <w:rPr>
          <w:lang w:val="en-US"/>
        </w:rPr>
        <w:instrText>times</w:instrText>
      </w:r>
      <w:r w:rsidR="00A6794A" w:rsidRPr="00AA43FB">
        <w:instrText xml:space="preserve"> </w:instrText>
      </w:r>
      <w:r w:rsidR="00A6794A">
        <w:rPr>
          <w:lang w:val="en-US"/>
        </w:rPr>
        <w:instrText>resulting</w:instrText>
      </w:r>
      <w:r w:rsidR="00A6794A" w:rsidRPr="00AA43FB">
        <w:instrText xml:space="preserve"> </w:instrText>
      </w:r>
      <w:r w:rsidR="00A6794A">
        <w:rPr>
          <w:lang w:val="en-US"/>
        </w:rPr>
        <w:instrText>in</w:instrText>
      </w:r>
      <w:r w:rsidR="00A6794A" w:rsidRPr="00AA43FB">
        <w:instrText xml:space="preserve"> </w:instrText>
      </w:r>
      <w:r w:rsidR="00A6794A">
        <w:rPr>
          <w:lang w:val="en-US"/>
        </w:rPr>
        <w:instrText>a</w:instrText>
      </w:r>
      <w:r w:rsidR="00A6794A" w:rsidRPr="00AA43FB">
        <w:instrText xml:space="preserve"> </w:instrText>
      </w:r>
      <w:r w:rsidR="00A6794A">
        <w:rPr>
          <w:lang w:val="en-US"/>
        </w:rPr>
        <w:instrText>reduced</w:instrText>
      </w:r>
      <w:r w:rsidR="00A6794A" w:rsidRPr="00AA43FB">
        <w:instrText xml:space="preserve"> </w:instrText>
      </w:r>
      <w:r w:rsidR="00A6794A">
        <w:rPr>
          <w:lang w:val="en-US"/>
        </w:rPr>
        <w:instrText>treatment</w:instrText>
      </w:r>
      <w:r w:rsidR="00A6794A" w:rsidRPr="00AA43FB">
        <w:instrText xml:space="preserve"> </w:instrText>
      </w:r>
      <w:r w:rsidR="00A6794A">
        <w:rPr>
          <w:lang w:val="en-US"/>
        </w:rPr>
        <w:instrText>burden</w:instrText>
      </w:r>
      <w:r w:rsidR="00A6794A" w:rsidRPr="00AA43FB">
        <w:instrText xml:space="preserve"> </w:instrText>
      </w:r>
      <w:r w:rsidR="00A6794A">
        <w:rPr>
          <w:lang w:val="en-US"/>
        </w:rPr>
        <w:instrText>for</w:instrText>
      </w:r>
      <w:r w:rsidR="00A6794A" w:rsidRPr="00AA43FB">
        <w:instrText xml:space="preserve"> </w:instrText>
      </w:r>
      <w:r w:rsidR="00A6794A">
        <w:rPr>
          <w:lang w:val="en-US"/>
        </w:rPr>
        <w:instrText>patients</w:instrText>
      </w:r>
      <w:r w:rsidR="00A6794A" w:rsidRPr="00AA43FB">
        <w:instrText xml:space="preserve"> </w:instrText>
      </w:r>
      <w:r w:rsidR="00A6794A">
        <w:rPr>
          <w:lang w:val="en-US"/>
        </w:rPr>
        <w:instrText>as</w:instrText>
      </w:r>
      <w:r w:rsidR="00A6794A" w:rsidRPr="00AA43FB">
        <w:instrText xml:space="preserve"> </w:instrText>
      </w:r>
      <w:r w:rsidR="00A6794A">
        <w:rPr>
          <w:lang w:val="en-US"/>
        </w:rPr>
        <w:instrText>well</w:instrText>
      </w:r>
      <w:r w:rsidR="00A6794A" w:rsidRPr="00AA43FB">
        <w:instrText xml:space="preserve"> </w:instrText>
      </w:r>
      <w:r w:rsidR="00A6794A">
        <w:rPr>
          <w:lang w:val="en-US"/>
        </w:rPr>
        <w:instrText>as</w:instrText>
      </w:r>
      <w:r w:rsidR="00A6794A" w:rsidRPr="00AA43FB">
        <w:instrText xml:space="preserve"> </w:instrText>
      </w:r>
      <w:r w:rsidR="00A6794A">
        <w:rPr>
          <w:lang w:val="en-US"/>
        </w:rPr>
        <w:instrText>improved</w:instrText>
      </w:r>
      <w:r w:rsidR="00A6794A" w:rsidRPr="00AA43FB">
        <w:instrText xml:space="preserve"> </w:instrText>
      </w:r>
      <w:r w:rsidR="00A6794A">
        <w:rPr>
          <w:lang w:val="en-US"/>
        </w:rPr>
        <w:instrText>resource</w:instrText>
      </w:r>
      <w:r w:rsidR="00A6794A" w:rsidRPr="00AA43FB">
        <w:instrText xml:space="preserve"> </w:instrText>
      </w:r>
      <w:r w:rsidR="00A6794A">
        <w:rPr>
          <w:lang w:val="en-US"/>
        </w:rPr>
        <w:instrText>utilization</w:instrText>
      </w:r>
      <w:r w:rsidR="00A6794A" w:rsidRPr="00AA43FB">
        <w:instrText xml:space="preserve"> (</w:instrText>
      </w:r>
      <w:r w:rsidR="00A6794A">
        <w:rPr>
          <w:lang w:val="en-US"/>
        </w:rPr>
        <w:instrText>efficiency</w:instrText>
      </w:r>
      <w:r w:rsidR="00A6794A" w:rsidRPr="00AA43FB">
        <w:instrText xml:space="preserve">) </w:instrText>
      </w:r>
      <w:r w:rsidR="00A6794A">
        <w:rPr>
          <w:lang w:val="en-US"/>
        </w:rPr>
        <w:instrText>at</w:instrText>
      </w:r>
      <w:r w:rsidR="00A6794A" w:rsidRPr="00AA43FB">
        <w:instrText xml:space="preserve"> </w:instrText>
      </w:r>
      <w:r w:rsidR="00A6794A">
        <w:rPr>
          <w:lang w:val="en-US"/>
        </w:rPr>
        <w:instrText>the</w:instrText>
      </w:r>
      <w:r w:rsidR="00A6794A" w:rsidRPr="00AA43FB">
        <w:instrText xml:space="preserve"> </w:instrText>
      </w:r>
      <w:r w:rsidR="00A6794A">
        <w:rPr>
          <w:lang w:val="en-US"/>
        </w:rPr>
        <w:instrText>treatment</w:instrText>
      </w:r>
      <w:r w:rsidR="00A6794A" w:rsidRPr="00AA43FB">
        <w:instrText xml:space="preserve"> </w:instrText>
      </w:r>
      <w:r w:rsidR="00A6794A">
        <w:rPr>
          <w:lang w:val="en-US"/>
        </w:rPr>
        <w:instrText>facility</w:instrText>
      </w:r>
      <w:r w:rsidR="00A6794A" w:rsidRPr="00AA43FB">
        <w:instrText xml:space="preserve">. </w:instrText>
      </w:r>
      <w:r w:rsidR="00A6794A">
        <w:rPr>
          <w:lang w:val="en-US"/>
        </w:rPr>
        <w:instrText>The</w:instrText>
      </w:r>
      <w:r w:rsidR="00A6794A" w:rsidRPr="00AA43FB">
        <w:instrText xml:space="preserve"> </w:instrText>
      </w:r>
      <w:r w:rsidR="00A6794A">
        <w:rPr>
          <w:lang w:val="en-US"/>
        </w:rPr>
        <w:instrText>improved</w:instrText>
      </w:r>
      <w:r w:rsidR="00A6794A" w:rsidRPr="00AA43FB">
        <w:instrText xml:space="preserve"> </w:instrText>
      </w:r>
      <w:r w:rsidR="00A6794A">
        <w:rPr>
          <w:lang w:val="en-US"/>
        </w:rPr>
        <w:instrText>efficiency</w:instrText>
      </w:r>
      <w:r w:rsidR="00A6794A" w:rsidRPr="00AA43FB">
        <w:instrText xml:space="preserve"> </w:instrText>
      </w:r>
      <w:r w:rsidR="00A6794A">
        <w:rPr>
          <w:lang w:val="en-US"/>
        </w:rPr>
        <w:instrText>of</w:instrText>
      </w:r>
      <w:r w:rsidR="00A6794A" w:rsidRPr="00AA43FB">
        <w:instrText xml:space="preserve"> </w:instrText>
      </w:r>
      <w:r w:rsidR="00A6794A">
        <w:rPr>
          <w:lang w:val="en-US"/>
        </w:rPr>
        <w:instrText>delivering</w:instrText>
      </w:r>
      <w:r w:rsidR="00A6794A" w:rsidRPr="00AA43FB">
        <w:instrText xml:space="preserve"> </w:instrText>
      </w:r>
      <w:r w:rsidR="00A6794A">
        <w:rPr>
          <w:lang w:val="en-US"/>
        </w:rPr>
        <w:instrText>rituximab</w:instrText>
      </w:r>
      <w:r w:rsidR="00A6794A" w:rsidRPr="00AA43FB">
        <w:instrText>’</w:instrText>
      </w:r>
      <w:r w:rsidR="00A6794A">
        <w:rPr>
          <w:lang w:val="en-US"/>
        </w:rPr>
        <w:instrText>s</w:instrText>
      </w:r>
      <w:r w:rsidR="00A6794A" w:rsidRPr="00AA43FB">
        <w:instrText xml:space="preserve"> </w:instrText>
      </w:r>
      <w:r w:rsidR="00A6794A">
        <w:rPr>
          <w:lang w:val="en-US"/>
        </w:rPr>
        <w:instrText>benefit</w:instrText>
      </w:r>
      <w:r w:rsidR="00A6794A" w:rsidRPr="00AA43FB">
        <w:instrText xml:space="preserve"> </w:instrText>
      </w:r>
      <w:r w:rsidR="00A6794A">
        <w:rPr>
          <w:lang w:val="en-US"/>
        </w:rPr>
        <w:instrText>to</w:instrText>
      </w:r>
      <w:r w:rsidR="00A6794A" w:rsidRPr="00AA43FB">
        <w:instrText xml:space="preserve"> </w:instrText>
      </w:r>
      <w:r w:rsidR="00A6794A">
        <w:rPr>
          <w:lang w:val="en-US"/>
        </w:rPr>
        <w:instrText>patients</w:instrText>
      </w:r>
      <w:r w:rsidR="00A6794A" w:rsidRPr="00AA43FB">
        <w:instrText xml:space="preserve"> </w:instrText>
      </w:r>
      <w:r w:rsidR="00A6794A">
        <w:rPr>
          <w:lang w:val="en-US"/>
        </w:rPr>
        <w:instrText>may</w:instrText>
      </w:r>
      <w:r w:rsidR="00A6794A" w:rsidRPr="00AA43FB">
        <w:instrText xml:space="preserve"> </w:instrText>
      </w:r>
      <w:r w:rsidR="00A6794A">
        <w:rPr>
          <w:lang w:val="en-US"/>
        </w:rPr>
        <w:instrText>broaden</w:instrText>
      </w:r>
      <w:r w:rsidR="00A6794A" w:rsidRPr="00AA43FB">
        <w:instrText xml:space="preserve"> </w:instrText>
      </w:r>
      <w:r w:rsidR="00A6794A">
        <w:rPr>
          <w:lang w:val="en-US"/>
        </w:rPr>
        <w:instrText>patient</w:instrText>
      </w:r>
      <w:r w:rsidR="00A6794A" w:rsidRPr="00AA43FB">
        <w:instrText xml:space="preserve"> </w:instrText>
      </w:r>
      <w:r w:rsidR="00A6794A">
        <w:rPr>
          <w:lang w:val="en-US"/>
        </w:rPr>
        <w:instrText>access</w:instrText>
      </w:r>
      <w:r w:rsidR="00A6794A" w:rsidRPr="00AA43FB">
        <w:instrText xml:space="preserve"> </w:instrText>
      </w:r>
      <w:r w:rsidR="00A6794A">
        <w:rPr>
          <w:lang w:val="en-US"/>
        </w:rPr>
        <w:instrText>to</w:instrText>
      </w:r>
      <w:r w:rsidR="00A6794A" w:rsidRPr="00AA43FB">
        <w:instrText xml:space="preserve"> </w:instrText>
      </w:r>
      <w:r w:rsidR="00A6794A">
        <w:rPr>
          <w:lang w:val="en-US"/>
        </w:rPr>
        <w:instrText>rituximab</w:instrText>
      </w:r>
      <w:r w:rsidR="00A6794A" w:rsidRPr="00AA43FB">
        <w:instrText xml:space="preserve"> </w:instrText>
      </w:r>
      <w:r w:rsidR="00A6794A">
        <w:rPr>
          <w:lang w:val="en-US"/>
        </w:rPr>
        <w:instrText>therapy</w:instrText>
      </w:r>
      <w:r w:rsidR="00A6794A" w:rsidRPr="00AA43FB">
        <w:instrText xml:space="preserve"> </w:instrText>
      </w:r>
      <w:r w:rsidR="00A6794A">
        <w:rPr>
          <w:lang w:val="en-US"/>
        </w:rPr>
        <w:instrText>in areas with low levels of healthcare resources, including IV-chair capacity constraints. This article is a companion paper to G. Salles, et al., which is also published in this issue. Funding: F. Hoffmann-La Roche Ltd.","author":[{"dropping-particle":"","family":"Davies","given":"Andrew","non-dropping-particle":"","parse-names":false,"suffix":""},{"dropping-particle":"","family":"Berge","given":"Claude","non-dropping-particle":"","parse-names":false,"suffix":""},{"dropping-particle":"","family":"Boehnke","given":"Axel","non-dropping-particle":"","parse-names":false,"suffix":""},{"dropping-particle":"","family":"Dadabhoy","given":"Anjum","non-dropping-particle":"","parse-names":false,"suffix":""},{"dropping-particle":"","family":"Lugtenburg","given":"Pieternella","non-dropping-particle":"","parse-names":false,"suffix":""},{"dropping-particle":"","family":"Rule","given":"Simon","non-dropping-particle":"","parse-names":false,"suffix":""},{"dropping-particle":"","family":"Rummel","given":"Mathias","non-dropping-particle":"","parse-names":false,"suffix":""},{"dropping-particle":"","family":"McIntyre","given":"Christine","non-dropping-particle":"","parse-names":false,"suffix":""},{"dropping-particle":"","family":"Smith","given":"Rodney","non-dropping-particle":"","parse-names":false,"suffix":""},{"dropping-particle":"","family":"Badoux","given":"Xavier","non-dropping-particle":"","parse-names":false,"suffix":""}],"container-title":"Advances in Therapy","id":"ITEM-2","issue":"10","issued":{"date-parts":[["2017","10","1"]]},"page":"2210-2231","publisher":"Springer Healthcare","title":"Subcutaneous Rituximab for the Treatment of B-Cell Hematologic Malignancies: A Review of the Scientific Rationale and Clinical Development","type":"article","volume":"34"},"uris":["http://www.mendeley.com/documents/?uuid=c91e99c4-7e72-3803-909e-84f3e662a6e0"]},{"id":"ITEM-3","itemData":{"DOI":"10.1111/bjh.16227","ISSN":"0007-1048","abstract":"Rituximab is a standard treatment for non-Hodgkin diffuse large B-cell (DLBCL) and follicular (FL) lymphomas. A subcutaneous formulation was developed to improve the resource use of intravenous rituximab, with comparable efficacy and safety profiles except for increased administration-related reactions (ARRs). MabRella was a phase IIIb trial to assess the safety of switching from intravenous to subcutaneous administration of rituximab during first-line induction/maintenance for DLBCL or FL, focusing on ARRs. Efficacy, satisfaction and quality of life were also assessed. Patients received subcutaneous rituximab plus standard induction chemotherapy for DLBCL or FL for 4–7 cycles, and/or every 2 months maintenance monotherapy for FL for 6–12 cycles. The study included 140 patients: DLBCL, n = 29; FL, n = 111. Ninety-five percent of patients experienced adverse events, reaching grade ≥3 in 38·6% and were serious in 30·0%. AARs occurred in 48·6%, mostly (84·9%) at the injection site, with only 2·1% of patients reaching grade 3. The end-of-induction complete/unconfirmed complete response rate was 69·6%. After a median follow-up of 33·5 months, median disease-/event-/progression-free and overall survivals were not attained. The Rituximab Administration Satisfaction Questionnaire showed improvements in overall satisfaction and the EuroQoL-5D a good quality-of-life perception at induction/maintenance end. Therefore, switching to subcutaneous rituximab showed no new safety issues and maintained efficacy with improved satisfaction and quality of life.","author":[{"dropping-particle":"","family":"García‐Muñoz","given":"Ricardo","non-dropping-particle":"","parse-names":false,"suffix":""},{"dropping-particle":"","family":"Quero","given":"Cristina","non-dropping-particle":"","parse-names":false,"suffix":""},{"dropping-particle":"","family":"Pérez‐Persona","given":"Ernesto","non-dropping-particle":"","parse-names":false,"suffix":""},{"dropping-particle":"","family":"Domingo‐García","given":"Abel","non-dropping-particle":"","parse-names":false,"suffix":""},{"dropping-particle":"","family":"Pérez‐López","given":"Cristina","non-dropping-particle":"","parse-names":false,"suffix":""},{"dropping-particle":"","family":"Villaescusa‐de‐la‐Rosa","given":"Teresa","non-dropping-particle":"","parse-names":false,"suffix":""},{"dropping-particle":"","family":"Martínez‐Castro","given":"Ana M.","non-dropping-particle":"","parse-names":false,"suffix":""},{"dropping-particle":"","family":"Arguiñano‐Pérez","given":"José M.","non-dropping-particle":"","parse-names":false,"suffix":""},{"dropping-particle":"","family":"Parra‐Cuadrado","given":"Juan F.","non-dropping-particle":"","parse-names":false,"suffix":""},{"dropping-particle":"","family":"Panizo","given":"Carlos","non-dropping-particle":"","parse-names":false,"suffix":""}],"container-title":"British Journal of Haematology","id":"ITEM-3","issue":"5","issued":{"date-parts":[["2020","3","1"]]},"page":"661-673","publisher":"Blackwell Publishing Ltd","title":"Safety of switching from intravenous to subcutaneous rituximab during first‐line treatment of patients with non‐Hodgkin lymphoma: the Spanish population of the MabRella study","type":"article-journal","volume":"188"},"uris":["http://www.mendeley.com/documents/?uuid=89ca4d25-771e-3d22-9da5-61e99fb5ec3e"]},{"id":"ITEM-4","itemData":{"DOI":"10.3747/co.24.3470","ISSN":"17187729","abstract":"Rituximab is widely used for the treatment of non-Hodgkin lymphoma, being a key component in most therapeutic regimens. Administration of the intravenous (IV) formulation is lengthy and places a significant burden on health care resources and patient quality of life. A subcutaneous (sc) formulation that provides a fixed dose of rituximab is being examined in a number of studies. Results indicate that the pharmacokinetics are noninferior and response rates are comparable to those obtained with the IV formulation. Moreover, the sc formulation is preferred by patients and health care providers and reduces administration and chair time. Additional advantages include a lesser potential for dosing errors, shorter preparation time, reduced drug wastage, and fewer infusion-related reactions. Despite the success of the sc formulation</w:instrText>
      </w:r>
      <w:r w:rsidR="00A6794A" w:rsidRPr="00D3550C">
        <w:instrText xml:space="preserve">, </w:instrText>
      </w:r>
      <w:r w:rsidR="00A6794A">
        <w:rPr>
          <w:lang w:val="en-US"/>
        </w:rPr>
        <w:instrText>correct</w:instrText>
      </w:r>
      <w:r w:rsidR="00A6794A" w:rsidRPr="00D3550C">
        <w:instrText xml:space="preserve"> </w:instrText>
      </w:r>
      <w:r w:rsidR="00A6794A">
        <w:rPr>
          <w:lang w:val="en-US"/>
        </w:rPr>
        <w:instrText>administration</w:instrText>
      </w:r>
      <w:r w:rsidR="00A6794A" w:rsidRPr="00D3550C">
        <w:instrText xml:space="preserve"> </w:instrText>
      </w:r>
      <w:r w:rsidR="00A6794A">
        <w:rPr>
          <w:lang w:val="en-US"/>
        </w:rPr>
        <w:instrText>is</w:instrText>
      </w:r>
      <w:r w:rsidR="00A6794A" w:rsidRPr="00D3550C">
        <w:instrText xml:space="preserve"> </w:instrText>
      </w:r>
      <w:r w:rsidR="00A6794A">
        <w:rPr>
          <w:lang w:val="en-US"/>
        </w:rPr>
        <w:instrText>needed</w:instrText>
      </w:r>
      <w:r w:rsidR="00A6794A" w:rsidRPr="00D3550C">
        <w:instrText xml:space="preserve"> </w:instrText>
      </w:r>
      <w:r w:rsidR="00A6794A">
        <w:rPr>
          <w:lang w:val="en-US"/>
        </w:rPr>
        <w:instrText>to</w:instrText>
      </w:r>
      <w:r w:rsidR="00A6794A" w:rsidRPr="00D3550C">
        <w:instrText xml:space="preserve"> </w:instrText>
      </w:r>
      <w:r w:rsidR="00A6794A">
        <w:rPr>
          <w:lang w:val="en-US"/>
        </w:rPr>
        <w:instrText>reduce</w:instrText>
      </w:r>
      <w:r w:rsidR="00A6794A" w:rsidRPr="00D3550C">
        <w:instrText xml:space="preserve"> </w:instrText>
      </w:r>
      <w:r w:rsidR="00A6794A">
        <w:rPr>
          <w:lang w:val="en-US"/>
        </w:rPr>
        <w:instrText>administration</w:instrText>
      </w:r>
      <w:r w:rsidR="00A6794A" w:rsidRPr="00D3550C">
        <w:instrText>-</w:instrText>
      </w:r>
      <w:r w:rsidR="00A6794A">
        <w:rPr>
          <w:lang w:val="en-US"/>
        </w:rPr>
        <w:instrText>related</w:instrText>
      </w:r>
      <w:r w:rsidR="00A6794A" w:rsidRPr="00D3550C">
        <w:instrText xml:space="preserve"> </w:instrText>
      </w:r>
      <w:r w:rsidR="00A6794A">
        <w:rPr>
          <w:lang w:val="en-US"/>
        </w:rPr>
        <w:instrText>reactions</w:instrText>
      </w:r>
      <w:r w:rsidR="00A6794A" w:rsidRPr="00D3550C">
        <w:instrText xml:space="preserve">. </w:instrText>
      </w:r>
      <w:r w:rsidR="00A6794A">
        <w:rPr>
          <w:lang w:val="en-US"/>
        </w:rPr>
        <w:instrText>By</w:instrText>
      </w:r>
      <w:r w:rsidR="00A6794A" w:rsidRPr="00D3550C">
        <w:instrText xml:space="preserve"> </w:instrText>
      </w:r>
      <w:r w:rsidR="00A6794A">
        <w:rPr>
          <w:lang w:val="en-US"/>
        </w:rPr>
        <w:instrText>using</w:instrText>
      </w:r>
      <w:r w:rsidR="00A6794A" w:rsidRPr="00D3550C">
        <w:instrText xml:space="preserve"> </w:instrText>
      </w:r>
      <w:r w:rsidR="00A6794A">
        <w:rPr>
          <w:lang w:val="en-US"/>
        </w:rPr>
        <w:instrText>a</w:instrText>
      </w:r>
      <w:r w:rsidR="00A6794A" w:rsidRPr="00D3550C">
        <w:instrText xml:space="preserve"> </w:instrText>
      </w:r>
      <w:r w:rsidR="00A6794A">
        <w:rPr>
          <w:lang w:val="en-US"/>
        </w:rPr>
        <w:instrText>careful</w:instrText>
      </w:r>
      <w:r w:rsidR="00A6794A" w:rsidRPr="00D3550C">
        <w:instrText xml:space="preserve"> </w:instrText>
      </w:r>
      <w:r w:rsidR="00A6794A">
        <w:rPr>
          <w:lang w:val="en-US"/>
        </w:rPr>
        <w:instrText>procedure</w:instrText>
      </w:r>
      <w:r w:rsidR="00A6794A" w:rsidRPr="00D3550C">
        <w:instrText xml:space="preserve">, </w:instrText>
      </w:r>
      <w:r w:rsidR="00A6794A">
        <w:rPr>
          <w:lang w:val="en-US"/>
        </w:rPr>
        <w:instrText>the</w:instrText>
      </w:r>
      <w:r w:rsidR="00A6794A" w:rsidRPr="00D3550C">
        <w:instrText xml:space="preserve"> </w:instrText>
      </w:r>
      <w:r w:rsidR="00A6794A">
        <w:rPr>
          <w:lang w:val="en-US"/>
        </w:rPr>
        <w:instrText>sc</w:instrText>
      </w:r>
      <w:r w:rsidR="00A6794A" w:rsidRPr="00D3550C">
        <w:instrText xml:space="preserve"> </w:instrText>
      </w:r>
      <w:r w:rsidR="00A6794A">
        <w:rPr>
          <w:lang w:val="en-US"/>
        </w:rPr>
        <w:instrText>formulation</w:instrText>
      </w:r>
      <w:r w:rsidR="00A6794A" w:rsidRPr="00D3550C">
        <w:instrText xml:space="preserve"> </w:instrText>
      </w:r>
      <w:r w:rsidR="00A6794A">
        <w:rPr>
          <w:lang w:val="en-US"/>
        </w:rPr>
        <w:instrText>can</w:instrText>
      </w:r>
      <w:r w:rsidR="00A6794A" w:rsidRPr="00D3550C">
        <w:instrText xml:space="preserve"> </w:instrText>
      </w:r>
      <w:r w:rsidR="00A6794A">
        <w:rPr>
          <w:lang w:val="en-US"/>
        </w:rPr>
        <w:instrText>be</w:instrText>
      </w:r>
      <w:r w:rsidR="00A6794A" w:rsidRPr="00D3550C">
        <w:instrText xml:space="preserve"> </w:instrText>
      </w:r>
      <w:r w:rsidR="00A6794A">
        <w:rPr>
          <w:lang w:val="en-US"/>
        </w:rPr>
        <w:instrText>given</w:instrText>
      </w:r>
      <w:r w:rsidR="00A6794A" w:rsidRPr="00D3550C">
        <w:instrText xml:space="preserve"> </w:instrText>
      </w:r>
      <w:r w:rsidR="00A6794A">
        <w:rPr>
          <w:lang w:val="en-US"/>
        </w:rPr>
        <w:instrText>safely</w:instrText>
      </w:r>
      <w:r w:rsidR="00A6794A" w:rsidRPr="00D3550C">
        <w:instrText xml:space="preserve"> </w:instrText>
      </w:r>
      <w:r w:rsidR="00A6794A">
        <w:rPr>
          <w:lang w:val="en-US"/>
        </w:rPr>
        <w:instrText>and</w:instrText>
      </w:r>
      <w:r w:rsidR="00A6794A" w:rsidRPr="00D3550C">
        <w:instrText xml:space="preserve"> </w:instrText>
      </w:r>
      <w:r w:rsidR="00A6794A">
        <w:rPr>
          <w:lang w:val="en-US"/>
        </w:rPr>
        <w:instrText>effectively</w:instrText>
      </w:r>
      <w:r w:rsidR="00A6794A" w:rsidRPr="00D3550C">
        <w:instrText xml:space="preserve">, </w:instrText>
      </w:r>
      <w:r w:rsidR="00A6794A">
        <w:rPr>
          <w:lang w:val="en-US"/>
        </w:rPr>
        <w:instrText>potentially</w:instrText>
      </w:r>
      <w:r w:rsidR="00A6794A" w:rsidRPr="00D3550C">
        <w:instrText xml:space="preserve"> </w:instrText>
      </w:r>
      <w:r w:rsidR="00A6794A">
        <w:rPr>
          <w:lang w:val="en-US"/>
        </w:rPr>
        <w:instrText>reducing</w:instrText>
      </w:r>
      <w:r w:rsidR="00A6794A" w:rsidRPr="00D3550C">
        <w:instrText xml:space="preserve"> </w:instrText>
      </w:r>
      <w:r w:rsidR="00A6794A">
        <w:rPr>
          <w:lang w:val="en-US"/>
        </w:rPr>
        <w:instrText>the</w:instrText>
      </w:r>
      <w:r w:rsidR="00A6794A" w:rsidRPr="00D3550C">
        <w:instrText xml:space="preserve"> </w:instrText>
      </w:r>
      <w:r w:rsidR="00A6794A">
        <w:rPr>
          <w:lang w:val="en-US"/>
        </w:rPr>
        <w:instrText>burden</w:instrText>
      </w:r>
      <w:r w:rsidR="00A6794A" w:rsidRPr="00D3550C">
        <w:instrText xml:space="preserve"> </w:instrText>
      </w:r>
      <w:r w:rsidR="00A6794A">
        <w:rPr>
          <w:lang w:val="en-US"/>
        </w:rPr>
        <w:instrText>on</w:instrText>
      </w:r>
      <w:r w:rsidR="00A6794A" w:rsidRPr="00D3550C">
        <w:instrText xml:space="preserve"> </w:instrText>
      </w:r>
      <w:r w:rsidR="00A6794A">
        <w:rPr>
          <w:lang w:val="en-US"/>
        </w:rPr>
        <w:instrText>health</w:instrText>
      </w:r>
      <w:r w:rsidR="00A6794A" w:rsidRPr="00D3550C">
        <w:instrText xml:space="preserve"> </w:instrText>
      </w:r>
      <w:r w:rsidR="00A6794A">
        <w:rPr>
          <w:lang w:val="en-US"/>
        </w:rPr>
        <w:instrText>care</w:instrText>
      </w:r>
      <w:r w:rsidR="00A6794A" w:rsidRPr="00D3550C">
        <w:instrText xml:space="preserve"> </w:instrText>
      </w:r>
      <w:r w:rsidR="00A6794A">
        <w:rPr>
          <w:lang w:val="en-US"/>
        </w:rPr>
        <w:instrText>resources</w:instrText>
      </w:r>
      <w:r w:rsidR="00A6794A" w:rsidRPr="00D3550C">
        <w:instrText xml:space="preserve"> </w:instrText>
      </w:r>
      <w:r w:rsidR="00A6794A">
        <w:rPr>
          <w:lang w:val="en-US"/>
        </w:rPr>
        <w:instrText>and</w:instrText>
      </w:r>
      <w:r w:rsidR="00A6794A" w:rsidRPr="00D3550C">
        <w:instrText xml:space="preserve"> </w:instrText>
      </w:r>
      <w:r w:rsidR="00A6794A">
        <w:rPr>
          <w:lang w:val="en-US"/>
        </w:rPr>
        <w:instrText>improving</w:instrText>
      </w:r>
      <w:r w:rsidR="00A6794A" w:rsidRPr="00D3550C">
        <w:instrText xml:space="preserve"> </w:instrText>
      </w:r>
      <w:r w:rsidR="00A6794A">
        <w:rPr>
          <w:lang w:val="en-US"/>
        </w:rPr>
        <w:instrText>quality</w:instrText>
      </w:r>
      <w:r w:rsidR="00A6794A" w:rsidRPr="00D3550C">
        <w:instrText xml:space="preserve"> </w:instrText>
      </w:r>
      <w:r w:rsidR="00A6794A">
        <w:rPr>
          <w:lang w:val="en-US"/>
        </w:rPr>
        <w:instrText>of</w:instrText>
      </w:r>
      <w:r w:rsidR="00A6794A" w:rsidRPr="00D3550C">
        <w:instrText xml:space="preserve"> </w:instrText>
      </w:r>
      <w:r w:rsidR="00A6794A">
        <w:rPr>
          <w:lang w:val="en-US"/>
        </w:rPr>
        <w:instrText>life</w:instrText>
      </w:r>
      <w:r w:rsidR="00A6794A" w:rsidRPr="00D3550C">
        <w:instrText xml:space="preserve"> </w:instrText>
      </w:r>
      <w:r w:rsidR="00A6794A">
        <w:rPr>
          <w:lang w:val="en-US"/>
        </w:rPr>
        <w:instrText>for</w:instrText>
      </w:r>
      <w:r w:rsidR="00A6794A" w:rsidRPr="00D3550C">
        <w:instrText xml:space="preserve"> </w:instrText>
      </w:r>
      <w:r w:rsidR="00A6794A">
        <w:rPr>
          <w:lang w:val="en-US"/>
        </w:rPr>
        <w:instrText>patients</w:instrText>
      </w:r>
      <w:r w:rsidR="00A6794A" w:rsidRPr="00D3550C">
        <w:instrText>.","</w:instrText>
      </w:r>
      <w:r w:rsidR="00A6794A">
        <w:rPr>
          <w:lang w:val="en-US"/>
        </w:rPr>
        <w:instrText>author</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family</w:instrText>
      </w:r>
      <w:r w:rsidR="00A6794A" w:rsidRPr="00D3550C">
        <w:instrText>":"</w:instrText>
      </w:r>
      <w:r w:rsidR="00A6794A">
        <w:rPr>
          <w:lang w:val="en-US"/>
        </w:rPr>
        <w:instrText>Macdonald</w:instrText>
      </w:r>
      <w:r w:rsidR="00A6794A" w:rsidRPr="00D3550C">
        <w:instrText>","</w:instrText>
      </w:r>
      <w:r w:rsidR="00A6794A">
        <w:rPr>
          <w:lang w:val="en-US"/>
        </w:rPr>
        <w:instrText>given</w:instrText>
      </w:r>
      <w:r w:rsidR="00A6794A" w:rsidRPr="00D3550C">
        <w:instrText>":"</w:instrText>
      </w:r>
      <w:r w:rsidR="00A6794A">
        <w:rPr>
          <w:lang w:val="en-US"/>
        </w:rPr>
        <w:instrText>David</w:instrText>
      </w:r>
      <w:r w:rsidR="00A6794A" w:rsidRPr="00D3550C">
        <w:instrText>","</w:instrText>
      </w:r>
      <w:r w:rsidR="00A6794A">
        <w:rPr>
          <w:lang w:val="en-US"/>
        </w:rPr>
        <w:instrText>non</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parse</w:instrText>
      </w:r>
      <w:r w:rsidR="00A6794A" w:rsidRPr="00D3550C">
        <w:instrText>-</w:instrText>
      </w:r>
      <w:r w:rsidR="00A6794A">
        <w:rPr>
          <w:lang w:val="en-US"/>
        </w:rPr>
        <w:instrText>names</w:instrText>
      </w:r>
      <w:r w:rsidR="00A6794A" w:rsidRPr="00D3550C">
        <w:instrText>":</w:instrText>
      </w:r>
      <w:r w:rsidR="00A6794A">
        <w:rPr>
          <w:lang w:val="en-US"/>
        </w:rPr>
        <w:instrText>false</w:instrText>
      </w:r>
      <w:r w:rsidR="00A6794A" w:rsidRPr="00D3550C">
        <w:instrText>,"</w:instrText>
      </w:r>
      <w:r w:rsidR="00A6794A">
        <w:rPr>
          <w:lang w:val="en-US"/>
        </w:rPr>
        <w:instrText>suffix</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family</w:instrText>
      </w:r>
      <w:r w:rsidR="00A6794A" w:rsidRPr="00D3550C">
        <w:instrText>":"</w:instrText>
      </w:r>
      <w:r w:rsidR="00A6794A">
        <w:rPr>
          <w:lang w:val="en-US"/>
        </w:rPr>
        <w:instrText>Crosbie</w:instrText>
      </w:r>
      <w:r w:rsidR="00A6794A" w:rsidRPr="00D3550C">
        <w:instrText>","</w:instrText>
      </w:r>
      <w:r w:rsidR="00A6794A">
        <w:rPr>
          <w:lang w:val="en-US"/>
        </w:rPr>
        <w:instrText>given</w:instrText>
      </w:r>
      <w:r w:rsidR="00A6794A" w:rsidRPr="00D3550C">
        <w:instrText>":"</w:instrText>
      </w:r>
      <w:r w:rsidR="00A6794A">
        <w:rPr>
          <w:lang w:val="en-US"/>
        </w:rPr>
        <w:instrText>T</w:instrText>
      </w:r>
      <w:r w:rsidR="00A6794A" w:rsidRPr="00D3550C">
        <w:instrText>.","</w:instrText>
      </w:r>
      <w:r w:rsidR="00A6794A">
        <w:rPr>
          <w:lang w:val="en-US"/>
        </w:rPr>
        <w:instrText>non</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parse</w:instrText>
      </w:r>
      <w:r w:rsidR="00A6794A" w:rsidRPr="00D3550C">
        <w:instrText>-</w:instrText>
      </w:r>
      <w:r w:rsidR="00A6794A">
        <w:rPr>
          <w:lang w:val="en-US"/>
        </w:rPr>
        <w:instrText>names</w:instrText>
      </w:r>
      <w:r w:rsidR="00A6794A" w:rsidRPr="00D3550C">
        <w:instrText>":</w:instrText>
      </w:r>
      <w:r w:rsidR="00A6794A">
        <w:rPr>
          <w:lang w:val="en-US"/>
        </w:rPr>
        <w:instrText>false</w:instrText>
      </w:r>
      <w:r w:rsidR="00A6794A" w:rsidRPr="00D3550C">
        <w:instrText>,"</w:instrText>
      </w:r>
      <w:r w:rsidR="00A6794A">
        <w:rPr>
          <w:lang w:val="en-US"/>
        </w:rPr>
        <w:instrText>suffix</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family</w:instrText>
      </w:r>
      <w:r w:rsidR="00A6794A" w:rsidRPr="00D3550C">
        <w:instrText>":"</w:instrText>
      </w:r>
      <w:r w:rsidR="00A6794A">
        <w:rPr>
          <w:lang w:val="en-US"/>
        </w:rPr>
        <w:instrText>Christofides</w:instrText>
      </w:r>
      <w:r w:rsidR="00A6794A" w:rsidRPr="00D3550C">
        <w:instrText>","</w:instrText>
      </w:r>
      <w:r w:rsidR="00A6794A">
        <w:rPr>
          <w:lang w:val="en-US"/>
        </w:rPr>
        <w:instrText>given</w:instrText>
      </w:r>
      <w:r w:rsidR="00A6794A" w:rsidRPr="00D3550C">
        <w:instrText>":"</w:instrText>
      </w:r>
      <w:r w:rsidR="00A6794A">
        <w:rPr>
          <w:lang w:val="en-US"/>
        </w:rPr>
        <w:instrText>A</w:instrText>
      </w:r>
      <w:r w:rsidR="00A6794A" w:rsidRPr="00D3550C">
        <w:instrText>.","</w:instrText>
      </w:r>
      <w:r w:rsidR="00A6794A">
        <w:rPr>
          <w:lang w:val="en-US"/>
        </w:rPr>
        <w:instrText>non</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parse</w:instrText>
      </w:r>
      <w:r w:rsidR="00A6794A" w:rsidRPr="00D3550C">
        <w:instrText>-</w:instrText>
      </w:r>
      <w:r w:rsidR="00A6794A">
        <w:rPr>
          <w:lang w:val="en-US"/>
        </w:rPr>
        <w:instrText>names</w:instrText>
      </w:r>
      <w:r w:rsidR="00A6794A" w:rsidRPr="00D3550C">
        <w:instrText>":</w:instrText>
      </w:r>
      <w:r w:rsidR="00A6794A">
        <w:rPr>
          <w:lang w:val="en-US"/>
        </w:rPr>
        <w:instrText>false</w:instrText>
      </w:r>
      <w:r w:rsidR="00A6794A" w:rsidRPr="00D3550C">
        <w:instrText>,"</w:instrText>
      </w:r>
      <w:r w:rsidR="00A6794A">
        <w:rPr>
          <w:lang w:val="en-US"/>
        </w:rPr>
        <w:instrText>suffix</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family</w:instrText>
      </w:r>
      <w:r w:rsidR="00A6794A" w:rsidRPr="00D3550C">
        <w:instrText>":"</w:instrText>
      </w:r>
      <w:r w:rsidR="00A6794A">
        <w:rPr>
          <w:lang w:val="en-US"/>
        </w:rPr>
        <w:instrText>Assaily</w:instrText>
      </w:r>
      <w:r w:rsidR="00A6794A" w:rsidRPr="00D3550C">
        <w:instrText>","</w:instrText>
      </w:r>
      <w:r w:rsidR="00A6794A">
        <w:rPr>
          <w:lang w:val="en-US"/>
        </w:rPr>
        <w:instrText>given</w:instrText>
      </w:r>
      <w:r w:rsidR="00A6794A" w:rsidRPr="00D3550C">
        <w:instrText>":"</w:instrText>
      </w:r>
      <w:r w:rsidR="00A6794A">
        <w:rPr>
          <w:lang w:val="en-US"/>
        </w:rPr>
        <w:instrText>W</w:instrText>
      </w:r>
      <w:r w:rsidR="00A6794A" w:rsidRPr="00D3550C">
        <w:instrText>.","</w:instrText>
      </w:r>
      <w:r w:rsidR="00A6794A">
        <w:rPr>
          <w:lang w:val="en-US"/>
        </w:rPr>
        <w:instrText>non</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parse</w:instrText>
      </w:r>
      <w:r w:rsidR="00A6794A" w:rsidRPr="00D3550C">
        <w:instrText>-</w:instrText>
      </w:r>
      <w:r w:rsidR="00A6794A">
        <w:rPr>
          <w:lang w:val="en-US"/>
        </w:rPr>
        <w:instrText>names</w:instrText>
      </w:r>
      <w:r w:rsidR="00A6794A" w:rsidRPr="00D3550C">
        <w:instrText>":</w:instrText>
      </w:r>
      <w:r w:rsidR="00A6794A">
        <w:rPr>
          <w:lang w:val="en-US"/>
        </w:rPr>
        <w:instrText>false</w:instrText>
      </w:r>
      <w:r w:rsidR="00A6794A" w:rsidRPr="00D3550C">
        <w:instrText>,"</w:instrText>
      </w:r>
      <w:r w:rsidR="00A6794A">
        <w:rPr>
          <w:lang w:val="en-US"/>
        </w:rPr>
        <w:instrText>suffix</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family</w:instrText>
      </w:r>
      <w:r w:rsidR="00A6794A" w:rsidRPr="00D3550C">
        <w:instrText>":"</w:instrText>
      </w:r>
      <w:r w:rsidR="00A6794A">
        <w:rPr>
          <w:lang w:val="en-US"/>
        </w:rPr>
        <w:instrText>Wiernikowski</w:instrText>
      </w:r>
      <w:r w:rsidR="00A6794A" w:rsidRPr="00D3550C">
        <w:instrText>","</w:instrText>
      </w:r>
      <w:r w:rsidR="00A6794A">
        <w:rPr>
          <w:lang w:val="en-US"/>
        </w:rPr>
        <w:instrText>given</w:instrText>
      </w:r>
      <w:r w:rsidR="00A6794A" w:rsidRPr="00D3550C">
        <w:instrText>":"</w:instrText>
      </w:r>
      <w:r w:rsidR="00A6794A">
        <w:rPr>
          <w:lang w:val="en-US"/>
        </w:rPr>
        <w:instrText>J</w:instrText>
      </w:r>
      <w:r w:rsidR="00A6794A" w:rsidRPr="00D3550C">
        <w:instrText>.","</w:instrText>
      </w:r>
      <w:r w:rsidR="00A6794A">
        <w:rPr>
          <w:lang w:val="en-US"/>
        </w:rPr>
        <w:instrText>non</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parse</w:instrText>
      </w:r>
      <w:r w:rsidR="00A6794A" w:rsidRPr="00D3550C">
        <w:instrText>-</w:instrText>
      </w:r>
      <w:r w:rsidR="00A6794A">
        <w:rPr>
          <w:lang w:val="en-US"/>
        </w:rPr>
        <w:instrText>names</w:instrText>
      </w:r>
      <w:r w:rsidR="00A6794A" w:rsidRPr="00D3550C">
        <w:instrText>":</w:instrText>
      </w:r>
      <w:r w:rsidR="00A6794A">
        <w:rPr>
          <w:lang w:val="en-US"/>
        </w:rPr>
        <w:instrText>false</w:instrText>
      </w:r>
      <w:r w:rsidR="00A6794A" w:rsidRPr="00D3550C">
        <w:instrText>,"</w:instrText>
      </w:r>
      <w:r w:rsidR="00A6794A">
        <w:rPr>
          <w:lang w:val="en-US"/>
        </w:rPr>
        <w:instrText>suffix</w:instrText>
      </w:r>
      <w:r w:rsidR="00A6794A" w:rsidRPr="00D3550C">
        <w:instrText>":""}],"</w:instrText>
      </w:r>
      <w:r w:rsidR="00A6794A">
        <w:rPr>
          <w:lang w:val="en-US"/>
        </w:rPr>
        <w:instrText>container</w:instrText>
      </w:r>
      <w:r w:rsidR="00A6794A" w:rsidRPr="00D3550C">
        <w:instrText>-</w:instrText>
      </w:r>
      <w:r w:rsidR="00A6794A">
        <w:rPr>
          <w:lang w:val="en-US"/>
        </w:rPr>
        <w:instrText>title</w:instrText>
      </w:r>
      <w:r w:rsidR="00A6794A" w:rsidRPr="00D3550C">
        <w:instrText>":"</w:instrText>
      </w:r>
      <w:r w:rsidR="00A6794A">
        <w:rPr>
          <w:lang w:val="en-US"/>
        </w:rPr>
        <w:instrText>Current</w:instrText>
      </w:r>
      <w:r w:rsidR="00A6794A" w:rsidRPr="00D3550C">
        <w:instrText xml:space="preserve"> </w:instrText>
      </w:r>
      <w:r w:rsidR="00A6794A">
        <w:rPr>
          <w:lang w:val="en-US"/>
        </w:rPr>
        <w:instrText>Oncology</w:instrText>
      </w:r>
      <w:r w:rsidR="00A6794A" w:rsidRPr="00D3550C">
        <w:instrText>","</w:instrText>
      </w:r>
      <w:r w:rsidR="00A6794A">
        <w:rPr>
          <w:lang w:val="en-US"/>
        </w:rPr>
        <w:instrText>id</w:instrText>
      </w:r>
      <w:r w:rsidR="00A6794A" w:rsidRPr="00D3550C">
        <w:instrText>":"</w:instrText>
      </w:r>
      <w:r w:rsidR="00A6794A">
        <w:rPr>
          <w:lang w:val="en-US"/>
        </w:rPr>
        <w:instrText>ITEM</w:instrText>
      </w:r>
      <w:r w:rsidR="00A6794A" w:rsidRPr="00D3550C">
        <w:instrText>-4","</w:instrText>
      </w:r>
      <w:r w:rsidR="00A6794A">
        <w:rPr>
          <w:lang w:val="en-US"/>
        </w:rPr>
        <w:instrText>issue</w:instrText>
      </w:r>
      <w:r w:rsidR="00A6794A" w:rsidRPr="00D3550C">
        <w:instrText>":"1","</w:instrText>
      </w:r>
      <w:r w:rsidR="00A6794A">
        <w:rPr>
          <w:lang w:val="en-US"/>
        </w:rPr>
        <w:instrText>issued</w:instrText>
      </w:r>
      <w:r w:rsidR="00A6794A" w:rsidRPr="00D3550C">
        <w:instrText>":{"</w:instrText>
      </w:r>
      <w:r w:rsidR="00A6794A">
        <w:rPr>
          <w:lang w:val="en-US"/>
        </w:rPr>
        <w:instrText>date</w:instrText>
      </w:r>
      <w:r w:rsidR="00A6794A" w:rsidRPr="00D3550C">
        <w:instrText>-</w:instrText>
      </w:r>
      <w:r w:rsidR="00A6794A">
        <w:rPr>
          <w:lang w:val="en-US"/>
        </w:rPr>
        <w:instrText>parts</w:instrText>
      </w:r>
      <w:r w:rsidR="00A6794A" w:rsidRPr="00D3550C">
        <w:instrText>":[["2017"]]},"</w:instrText>
      </w:r>
      <w:r w:rsidR="00A6794A">
        <w:rPr>
          <w:lang w:val="en-US"/>
        </w:rPr>
        <w:instrText>page</w:instrText>
      </w:r>
      <w:r w:rsidR="00A6794A" w:rsidRPr="00D3550C">
        <w:instrText>":"33-39","</w:instrText>
      </w:r>
      <w:r w:rsidR="00A6794A">
        <w:rPr>
          <w:lang w:val="en-US"/>
        </w:rPr>
        <w:instrText>publisher</w:instrText>
      </w:r>
      <w:r w:rsidR="00A6794A" w:rsidRPr="00D3550C">
        <w:instrText>":"</w:instrText>
      </w:r>
      <w:r w:rsidR="00A6794A">
        <w:rPr>
          <w:lang w:val="en-US"/>
        </w:rPr>
        <w:instrText>Multimed</w:instrText>
      </w:r>
      <w:r w:rsidR="00A6794A" w:rsidRPr="00D3550C">
        <w:instrText xml:space="preserve"> </w:instrText>
      </w:r>
      <w:r w:rsidR="00A6794A">
        <w:rPr>
          <w:lang w:val="en-US"/>
        </w:rPr>
        <w:instrText>Inc</w:instrText>
      </w:r>
      <w:r w:rsidR="00A6794A" w:rsidRPr="00D3550C">
        <w:instrText>.","</w:instrText>
      </w:r>
      <w:r w:rsidR="00A6794A">
        <w:rPr>
          <w:lang w:val="en-US"/>
        </w:rPr>
        <w:instrText>title</w:instrText>
      </w:r>
      <w:r w:rsidR="00A6794A" w:rsidRPr="00D3550C">
        <w:instrText>":"</w:instrText>
      </w:r>
      <w:r w:rsidR="00A6794A">
        <w:rPr>
          <w:lang w:val="en-US"/>
        </w:rPr>
        <w:instrText>A</w:instrText>
      </w:r>
      <w:r w:rsidR="00A6794A" w:rsidRPr="00D3550C">
        <w:instrText xml:space="preserve"> </w:instrText>
      </w:r>
      <w:r w:rsidR="00A6794A">
        <w:rPr>
          <w:lang w:val="en-US"/>
        </w:rPr>
        <w:instrText>canadian</w:instrText>
      </w:r>
      <w:r w:rsidR="00A6794A" w:rsidRPr="00D3550C">
        <w:instrText xml:space="preserve"> </w:instrText>
      </w:r>
      <w:r w:rsidR="00A6794A">
        <w:rPr>
          <w:lang w:val="en-US"/>
        </w:rPr>
        <w:instrText>perspective</w:instrText>
      </w:r>
      <w:r w:rsidR="00A6794A" w:rsidRPr="00D3550C">
        <w:instrText xml:space="preserve"> </w:instrText>
      </w:r>
      <w:r w:rsidR="00A6794A">
        <w:rPr>
          <w:lang w:val="en-US"/>
        </w:rPr>
        <w:instrText>on</w:instrText>
      </w:r>
      <w:r w:rsidR="00A6794A" w:rsidRPr="00D3550C">
        <w:instrText xml:space="preserve"> </w:instrText>
      </w:r>
      <w:r w:rsidR="00A6794A">
        <w:rPr>
          <w:lang w:val="en-US"/>
        </w:rPr>
        <w:instrText>the</w:instrText>
      </w:r>
      <w:r w:rsidR="00A6794A" w:rsidRPr="00D3550C">
        <w:instrText xml:space="preserve"> </w:instrText>
      </w:r>
      <w:r w:rsidR="00A6794A">
        <w:rPr>
          <w:lang w:val="en-US"/>
        </w:rPr>
        <w:instrText>subcutaneous</w:instrText>
      </w:r>
      <w:r w:rsidR="00A6794A" w:rsidRPr="00D3550C">
        <w:instrText xml:space="preserve"> </w:instrText>
      </w:r>
      <w:r w:rsidR="00A6794A">
        <w:rPr>
          <w:lang w:val="en-US"/>
        </w:rPr>
        <w:instrText>administration</w:instrText>
      </w:r>
      <w:r w:rsidR="00A6794A" w:rsidRPr="00D3550C">
        <w:instrText xml:space="preserve"> </w:instrText>
      </w:r>
      <w:r w:rsidR="00A6794A">
        <w:rPr>
          <w:lang w:val="en-US"/>
        </w:rPr>
        <w:instrText>of</w:instrText>
      </w:r>
      <w:r w:rsidR="00A6794A" w:rsidRPr="00D3550C">
        <w:instrText xml:space="preserve"> </w:instrText>
      </w:r>
      <w:r w:rsidR="00A6794A">
        <w:rPr>
          <w:lang w:val="en-US"/>
        </w:rPr>
        <w:instrText>rituximab</w:instrText>
      </w:r>
      <w:r w:rsidR="00A6794A" w:rsidRPr="00D3550C">
        <w:instrText xml:space="preserve"> </w:instrText>
      </w:r>
      <w:r w:rsidR="00A6794A">
        <w:rPr>
          <w:lang w:val="en-US"/>
        </w:rPr>
        <w:instrText>in</w:instrText>
      </w:r>
      <w:r w:rsidR="00A6794A" w:rsidRPr="00D3550C">
        <w:instrText xml:space="preserve"> </w:instrText>
      </w:r>
      <w:r w:rsidR="00A6794A">
        <w:rPr>
          <w:lang w:val="en-US"/>
        </w:rPr>
        <w:instrText>non</w:instrText>
      </w:r>
      <w:r w:rsidR="00A6794A" w:rsidRPr="00D3550C">
        <w:instrText>-</w:instrText>
      </w:r>
      <w:r w:rsidR="00A6794A">
        <w:rPr>
          <w:lang w:val="en-US"/>
        </w:rPr>
        <w:instrText>Hodgkin</w:instrText>
      </w:r>
      <w:r w:rsidR="00A6794A" w:rsidRPr="00D3550C">
        <w:instrText xml:space="preserve"> </w:instrText>
      </w:r>
      <w:r w:rsidR="00A6794A">
        <w:rPr>
          <w:lang w:val="en-US"/>
        </w:rPr>
        <w:instrText>lymphoma</w:instrText>
      </w:r>
      <w:r w:rsidR="00A6794A" w:rsidRPr="00D3550C">
        <w:instrText>","</w:instrText>
      </w:r>
      <w:r w:rsidR="00A6794A">
        <w:rPr>
          <w:lang w:val="en-US"/>
        </w:rPr>
        <w:instrText>type</w:instrText>
      </w:r>
      <w:r w:rsidR="00A6794A" w:rsidRPr="00D3550C">
        <w:instrText>":"</w:instrText>
      </w:r>
      <w:r w:rsidR="00A6794A">
        <w:rPr>
          <w:lang w:val="en-US"/>
        </w:rPr>
        <w:instrText>article</w:instrText>
      </w:r>
      <w:r w:rsidR="00A6794A" w:rsidRPr="00D3550C">
        <w:instrText>","</w:instrText>
      </w:r>
      <w:r w:rsidR="00A6794A">
        <w:rPr>
          <w:lang w:val="en-US"/>
        </w:rPr>
        <w:instrText>volume</w:instrText>
      </w:r>
      <w:r w:rsidR="00A6794A" w:rsidRPr="00D3550C">
        <w:instrText>":"24"},"</w:instrText>
      </w:r>
      <w:r w:rsidR="00A6794A">
        <w:rPr>
          <w:lang w:val="en-US"/>
        </w:rPr>
        <w:instrText>uris</w:instrText>
      </w:r>
      <w:r w:rsidR="00A6794A" w:rsidRPr="00D3550C">
        <w:instrText>":["</w:instrText>
      </w:r>
      <w:r w:rsidR="00A6794A">
        <w:rPr>
          <w:lang w:val="en-US"/>
        </w:rPr>
        <w:instrText>http</w:instrText>
      </w:r>
      <w:r w:rsidR="00A6794A" w:rsidRPr="00D3550C">
        <w:instrText>://</w:instrText>
      </w:r>
      <w:r w:rsidR="00A6794A">
        <w:rPr>
          <w:lang w:val="en-US"/>
        </w:rPr>
        <w:instrText>www</w:instrText>
      </w:r>
      <w:r w:rsidR="00A6794A" w:rsidRPr="00D3550C">
        <w:instrText>.</w:instrText>
      </w:r>
      <w:r w:rsidR="00A6794A">
        <w:rPr>
          <w:lang w:val="en-US"/>
        </w:rPr>
        <w:instrText>mendeley</w:instrText>
      </w:r>
      <w:r w:rsidR="00A6794A" w:rsidRPr="00D3550C">
        <w:instrText>.</w:instrText>
      </w:r>
      <w:r w:rsidR="00A6794A">
        <w:rPr>
          <w:lang w:val="en-US"/>
        </w:rPr>
        <w:instrText>com</w:instrText>
      </w:r>
      <w:r w:rsidR="00A6794A" w:rsidRPr="00D3550C">
        <w:instrText>/</w:instrText>
      </w:r>
      <w:r w:rsidR="00A6794A">
        <w:rPr>
          <w:lang w:val="en-US"/>
        </w:rPr>
        <w:instrText>documents</w:instrText>
      </w:r>
      <w:r w:rsidR="00A6794A" w:rsidRPr="00D3550C">
        <w:instrText>/?</w:instrText>
      </w:r>
      <w:r w:rsidR="00A6794A">
        <w:rPr>
          <w:lang w:val="en-US"/>
        </w:rPr>
        <w:instrText>uuid</w:instrText>
      </w:r>
      <w:r w:rsidR="00A6794A" w:rsidRPr="00D3550C">
        <w:instrText>=0</w:instrText>
      </w:r>
      <w:r w:rsidR="00A6794A">
        <w:rPr>
          <w:lang w:val="en-US"/>
        </w:rPr>
        <w:instrText>dec</w:instrText>
      </w:r>
      <w:r w:rsidR="00A6794A" w:rsidRPr="00D3550C">
        <w:instrText>225</w:instrText>
      </w:r>
      <w:r w:rsidR="00A6794A">
        <w:rPr>
          <w:lang w:val="en-US"/>
        </w:rPr>
        <w:instrText>e</w:instrText>
      </w:r>
      <w:r w:rsidR="00A6794A" w:rsidRPr="00D3550C">
        <w:instrText>-8</w:instrText>
      </w:r>
      <w:r w:rsidR="00A6794A">
        <w:rPr>
          <w:lang w:val="en-US"/>
        </w:rPr>
        <w:instrText>a</w:instrText>
      </w:r>
      <w:r w:rsidR="00A6794A" w:rsidRPr="00D3550C">
        <w:instrText>47-3680-</w:instrText>
      </w:r>
      <w:r w:rsidR="00A6794A">
        <w:rPr>
          <w:lang w:val="en-US"/>
        </w:rPr>
        <w:instrText>ba</w:instrText>
      </w:r>
      <w:r w:rsidR="00A6794A" w:rsidRPr="00D3550C">
        <w:instrText>4</w:instrText>
      </w:r>
      <w:r w:rsidR="00A6794A">
        <w:rPr>
          <w:lang w:val="en-US"/>
        </w:rPr>
        <w:instrText>d</w:instrText>
      </w:r>
      <w:r w:rsidR="00A6794A" w:rsidRPr="00D3550C">
        <w:instrText>-891955</w:instrText>
      </w:r>
      <w:r w:rsidR="00A6794A">
        <w:rPr>
          <w:lang w:val="en-US"/>
        </w:rPr>
        <w:instrText>a</w:instrText>
      </w:r>
      <w:r w:rsidR="00A6794A" w:rsidRPr="00D3550C">
        <w:instrText>938</w:instrText>
      </w:r>
      <w:r w:rsidR="00A6794A">
        <w:rPr>
          <w:lang w:val="en-US"/>
        </w:rPr>
        <w:instrText>a</w:instrText>
      </w:r>
      <w:r w:rsidR="00A6794A" w:rsidRPr="00D3550C">
        <w:instrText>1"]}],"</w:instrText>
      </w:r>
      <w:r w:rsidR="00A6794A">
        <w:rPr>
          <w:lang w:val="en-US"/>
        </w:rPr>
        <w:instrText>mendeley</w:instrText>
      </w:r>
      <w:r w:rsidR="00A6794A" w:rsidRPr="00D3550C">
        <w:instrText>":{"</w:instrText>
      </w:r>
      <w:r w:rsidR="00A6794A">
        <w:rPr>
          <w:lang w:val="en-US"/>
        </w:rPr>
        <w:instrText>formattedCitation</w:instrText>
      </w:r>
      <w:r w:rsidR="00A6794A" w:rsidRPr="00D3550C">
        <w:instrText>":"[205–208]","</w:instrText>
      </w:r>
      <w:r w:rsidR="00A6794A">
        <w:rPr>
          <w:lang w:val="en-US"/>
        </w:rPr>
        <w:instrText>plainTextFormattedCitation</w:instrText>
      </w:r>
      <w:r w:rsidR="00A6794A" w:rsidRPr="00D3550C">
        <w:instrText>":"[205–208]","</w:instrText>
      </w:r>
      <w:r w:rsidR="00A6794A">
        <w:rPr>
          <w:lang w:val="en-US"/>
        </w:rPr>
        <w:instrText>previouslyFormattedCitation</w:instrText>
      </w:r>
      <w:r w:rsidR="00A6794A" w:rsidRPr="00D3550C">
        <w:instrText>":"[205–208]"},"</w:instrText>
      </w:r>
      <w:r w:rsidR="00A6794A">
        <w:rPr>
          <w:lang w:val="en-US"/>
        </w:rPr>
        <w:instrText>properties</w:instrText>
      </w:r>
      <w:r w:rsidR="00A6794A" w:rsidRPr="00D3550C">
        <w:instrText>":{"</w:instrText>
      </w:r>
      <w:r w:rsidR="00A6794A">
        <w:rPr>
          <w:lang w:val="en-US"/>
        </w:rPr>
        <w:instrText>noteIndex</w:instrText>
      </w:r>
      <w:r w:rsidR="00A6794A" w:rsidRPr="00D3550C">
        <w:instrText>":0},"</w:instrText>
      </w:r>
      <w:r w:rsidR="00A6794A">
        <w:rPr>
          <w:lang w:val="en-US"/>
        </w:rPr>
        <w:instrText>schema</w:instrText>
      </w:r>
      <w:r w:rsidR="00A6794A" w:rsidRPr="00D3550C">
        <w:instrText>":"</w:instrText>
      </w:r>
      <w:r w:rsidR="00A6794A">
        <w:rPr>
          <w:lang w:val="en-US"/>
        </w:rPr>
        <w:instrText>https</w:instrText>
      </w:r>
      <w:r w:rsidR="00A6794A" w:rsidRPr="00D3550C">
        <w:instrText>://</w:instrText>
      </w:r>
      <w:r w:rsidR="00A6794A">
        <w:rPr>
          <w:lang w:val="en-US"/>
        </w:rPr>
        <w:instrText>github</w:instrText>
      </w:r>
      <w:r w:rsidR="00A6794A" w:rsidRPr="00D3550C">
        <w:instrText>.</w:instrText>
      </w:r>
      <w:r w:rsidR="00A6794A">
        <w:rPr>
          <w:lang w:val="en-US"/>
        </w:rPr>
        <w:instrText>com</w:instrText>
      </w:r>
      <w:r w:rsidR="00A6794A" w:rsidRPr="00D3550C">
        <w:instrText>/</w:instrText>
      </w:r>
      <w:r w:rsidR="00A6794A">
        <w:rPr>
          <w:lang w:val="en-US"/>
        </w:rPr>
        <w:instrText>citation</w:instrText>
      </w:r>
      <w:r w:rsidR="00A6794A" w:rsidRPr="00D3550C">
        <w:instrText>-</w:instrText>
      </w:r>
      <w:r w:rsidR="00A6794A">
        <w:rPr>
          <w:lang w:val="en-US"/>
        </w:rPr>
        <w:instrText>style</w:instrText>
      </w:r>
      <w:r w:rsidR="00A6794A" w:rsidRPr="00D3550C">
        <w:instrText>-</w:instrText>
      </w:r>
      <w:r w:rsidR="00A6794A">
        <w:rPr>
          <w:lang w:val="en-US"/>
        </w:rPr>
        <w:instrText>language</w:instrText>
      </w:r>
      <w:r w:rsidR="00A6794A" w:rsidRPr="00D3550C">
        <w:instrText>/</w:instrText>
      </w:r>
      <w:r w:rsidR="00A6794A">
        <w:rPr>
          <w:lang w:val="en-US"/>
        </w:rPr>
        <w:instrText>schema</w:instrText>
      </w:r>
      <w:r w:rsidR="00A6794A" w:rsidRPr="00D3550C">
        <w:instrText>/</w:instrText>
      </w:r>
      <w:r w:rsidR="00A6794A">
        <w:rPr>
          <w:lang w:val="en-US"/>
        </w:rPr>
        <w:instrText>raw</w:instrText>
      </w:r>
      <w:r w:rsidR="00A6794A" w:rsidRPr="00D3550C">
        <w:instrText>/</w:instrText>
      </w:r>
      <w:r w:rsidR="00A6794A">
        <w:rPr>
          <w:lang w:val="en-US"/>
        </w:rPr>
        <w:instrText>master</w:instrText>
      </w:r>
      <w:r w:rsidR="00A6794A" w:rsidRPr="00D3550C">
        <w:instrText>/</w:instrText>
      </w:r>
      <w:r w:rsidR="00A6794A">
        <w:rPr>
          <w:lang w:val="en-US"/>
        </w:rPr>
        <w:instrText>csl</w:instrText>
      </w:r>
      <w:r w:rsidR="00A6794A" w:rsidRPr="00D3550C">
        <w:instrText>-</w:instrText>
      </w:r>
      <w:r w:rsidR="00A6794A">
        <w:rPr>
          <w:lang w:val="en-US"/>
        </w:rPr>
        <w:instrText>citation</w:instrText>
      </w:r>
      <w:r w:rsidR="00A6794A" w:rsidRPr="00D3550C">
        <w:instrText>.</w:instrText>
      </w:r>
      <w:r w:rsidR="00A6794A">
        <w:rPr>
          <w:lang w:val="en-US"/>
        </w:rPr>
        <w:instrText>json</w:instrText>
      </w:r>
      <w:r w:rsidR="00A6794A" w:rsidRPr="00D3550C">
        <w:instrText>"}</w:instrText>
      </w:r>
      <w:r w:rsidRPr="000322E4">
        <w:rPr>
          <w:lang w:val="en-US"/>
        </w:rPr>
        <w:fldChar w:fldCharType="separate"/>
      </w:r>
      <w:r w:rsidR="006E1902" w:rsidRPr="006E1902">
        <w:rPr>
          <w:noProof/>
        </w:rPr>
        <w:t>[205–208]</w:t>
      </w:r>
      <w:r w:rsidRPr="000322E4">
        <w:rPr>
          <w:lang w:val="en-US"/>
        </w:rPr>
        <w:fldChar w:fldCharType="end"/>
      </w:r>
    </w:p>
    <w:p w14:paraId="67047E73" w14:textId="77777777" w:rsidR="00666D68" w:rsidRPr="00D714AB" w:rsidRDefault="00666D68" w:rsidP="008E3584">
      <w:pPr>
        <w:numPr>
          <w:ilvl w:val="0"/>
          <w:numId w:val="39"/>
        </w:numPr>
        <w:spacing w:line="360" w:lineRule="auto"/>
        <w:jc w:val="both"/>
      </w:pPr>
      <w:r w:rsidRPr="000322E4">
        <w:t>Циклофосфамид</w:t>
      </w:r>
      <w:r w:rsidRPr="00D714AB">
        <w:rPr>
          <w:bCs/>
        </w:rPr>
        <w:t>**</w:t>
      </w:r>
      <w:r w:rsidRPr="00D714AB">
        <w:t xml:space="preserve"> 750 </w:t>
      </w:r>
      <w:r w:rsidRPr="000322E4">
        <w:t>мг</w:t>
      </w:r>
      <w:r w:rsidRPr="00D714AB">
        <w:t>/</w:t>
      </w:r>
      <w:r w:rsidRPr="000322E4">
        <w:t>м</w:t>
      </w:r>
      <w:r w:rsidRPr="00D714AB">
        <w:rPr>
          <w:vertAlign w:val="superscript"/>
        </w:rPr>
        <w:t>2</w:t>
      </w:r>
      <w:r w:rsidRPr="00D714AB">
        <w:t xml:space="preserve"> </w:t>
      </w:r>
      <w:r w:rsidRPr="000322E4">
        <w:t>в</w:t>
      </w:r>
      <w:r w:rsidRPr="00D714AB">
        <w:t>/</w:t>
      </w:r>
      <w:r w:rsidRPr="000322E4">
        <w:t>в</w:t>
      </w:r>
      <w:r w:rsidRPr="00D714AB">
        <w:t xml:space="preserve"> </w:t>
      </w:r>
      <w:r w:rsidRPr="000322E4">
        <w:t>кап</w:t>
      </w:r>
      <w:r w:rsidRPr="00D714AB">
        <w:t xml:space="preserve">., </w:t>
      </w:r>
      <w:r w:rsidRPr="000322E4">
        <w:t>день</w:t>
      </w:r>
      <w:r w:rsidRPr="00D714AB">
        <w:t xml:space="preserve"> 1</w:t>
      </w:r>
    </w:p>
    <w:p w14:paraId="3273EEB9" w14:textId="77777777" w:rsidR="00666D68" w:rsidRPr="00D714AB" w:rsidRDefault="00666D68" w:rsidP="008E3584">
      <w:pPr>
        <w:numPr>
          <w:ilvl w:val="0"/>
          <w:numId w:val="39"/>
        </w:numPr>
        <w:spacing w:line="360" w:lineRule="auto"/>
        <w:jc w:val="both"/>
      </w:pPr>
      <w:r w:rsidRPr="000322E4">
        <w:t>Этопозид</w:t>
      </w:r>
      <w:r w:rsidRPr="00D714AB">
        <w:rPr>
          <w:bCs/>
        </w:rPr>
        <w:t>**</w:t>
      </w:r>
      <w:r w:rsidRPr="00D714AB">
        <w:t xml:space="preserve"> </w:t>
      </w:r>
      <w:r w:rsidR="00DC2554" w:rsidRPr="00D714AB">
        <w:t xml:space="preserve">50 </w:t>
      </w:r>
      <w:r w:rsidRPr="000322E4">
        <w:t>мг</w:t>
      </w:r>
      <w:r w:rsidRPr="00D714AB">
        <w:t>/</w:t>
      </w:r>
      <w:r w:rsidRPr="000322E4">
        <w:t>м</w:t>
      </w:r>
      <w:r w:rsidRPr="00D714AB">
        <w:rPr>
          <w:vertAlign w:val="superscript"/>
        </w:rPr>
        <w:t>2</w:t>
      </w:r>
      <w:r w:rsidRPr="00D714AB">
        <w:t xml:space="preserve"> </w:t>
      </w:r>
      <w:r w:rsidRPr="000322E4">
        <w:t>в</w:t>
      </w:r>
      <w:r w:rsidRPr="00D714AB">
        <w:t>/</w:t>
      </w:r>
      <w:r w:rsidRPr="000322E4">
        <w:t>в</w:t>
      </w:r>
      <w:r w:rsidRPr="00D714AB">
        <w:t xml:space="preserve">, </w:t>
      </w:r>
      <w:r w:rsidRPr="000322E4">
        <w:t>день</w:t>
      </w:r>
      <w:r w:rsidRPr="00D714AB">
        <w:t xml:space="preserve"> 1</w:t>
      </w:r>
    </w:p>
    <w:p w14:paraId="249A0D18" w14:textId="77777777" w:rsidR="00666D68" w:rsidRPr="00D714AB" w:rsidRDefault="00F35A3E" w:rsidP="008E3584">
      <w:pPr>
        <w:numPr>
          <w:ilvl w:val="0"/>
          <w:numId w:val="39"/>
        </w:numPr>
        <w:spacing w:line="360" w:lineRule="auto"/>
        <w:jc w:val="both"/>
      </w:pPr>
      <w:r w:rsidRPr="00D714AB">
        <w:lastRenderedPageBreak/>
        <w:t>#</w:t>
      </w:r>
      <w:r w:rsidR="00666D68" w:rsidRPr="000322E4">
        <w:t>Винкристин</w:t>
      </w:r>
      <w:r w:rsidR="00666D68" w:rsidRPr="00D714AB">
        <w:rPr>
          <w:bCs/>
        </w:rPr>
        <w:t>**</w:t>
      </w:r>
      <w:r w:rsidR="00666D68" w:rsidRPr="00D714AB">
        <w:t xml:space="preserve"> 1,4 </w:t>
      </w:r>
      <w:r w:rsidR="00666D68" w:rsidRPr="000322E4">
        <w:t>мг</w:t>
      </w:r>
      <w:r w:rsidR="00666D68" w:rsidRPr="00D714AB">
        <w:t>/</w:t>
      </w:r>
      <w:r w:rsidR="00666D68" w:rsidRPr="000322E4">
        <w:t>м</w:t>
      </w:r>
      <w:r w:rsidR="00666D68" w:rsidRPr="00D714AB">
        <w:rPr>
          <w:vertAlign w:val="superscript"/>
        </w:rPr>
        <w:t>2</w:t>
      </w:r>
      <w:r w:rsidR="00666D68" w:rsidRPr="00D714AB">
        <w:t xml:space="preserve"> (</w:t>
      </w:r>
      <w:r w:rsidR="00666D68" w:rsidRPr="000322E4">
        <w:t>суммарно</w:t>
      </w:r>
      <w:r w:rsidR="00666D68" w:rsidRPr="00D714AB">
        <w:t xml:space="preserve"> </w:t>
      </w:r>
      <w:r w:rsidR="00666D68" w:rsidRPr="000322E4">
        <w:t>не</w:t>
      </w:r>
      <w:r w:rsidR="00666D68" w:rsidRPr="00D714AB">
        <w:t xml:space="preserve"> </w:t>
      </w:r>
      <w:r w:rsidR="00666D68" w:rsidRPr="000322E4">
        <w:t>более</w:t>
      </w:r>
      <w:r w:rsidR="00666D68" w:rsidRPr="00D714AB">
        <w:t xml:space="preserve"> 2 </w:t>
      </w:r>
      <w:r w:rsidR="00666D68" w:rsidRPr="000322E4">
        <w:t>мг</w:t>
      </w:r>
      <w:r w:rsidR="00666D68" w:rsidRPr="00D714AB">
        <w:t xml:space="preserve">) </w:t>
      </w:r>
      <w:r w:rsidR="00666D68" w:rsidRPr="000322E4">
        <w:t>в</w:t>
      </w:r>
      <w:r w:rsidR="00666D68" w:rsidRPr="00D714AB">
        <w:t>/</w:t>
      </w:r>
      <w:r w:rsidR="00666D68" w:rsidRPr="000322E4">
        <w:t>в</w:t>
      </w:r>
      <w:r w:rsidR="00666D68" w:rsidRPr="00D714AB">
        <w:t xml:space="preserve">, </w:t>
      </w:r>
      <w:r w:rsidR="00666D68" w:rsidRPr="000322E4">
        <w:t>день</w:t>
      </w:r>
      <w:r w:rsidR="00666D68" w:rsidRPr="00D714AB">
        <w:t xml:space="preserve"> 1</w:t>
      </w:r>
    </w:p>
    <w:p w14:paraId="44F51C0C" w14:textId="77777777" w:rsidR="00666D68" w:rsidRPr="00D714AB" w:rsidRDefault="00666D68" w:rsidP="008E3584">
      <w:pPr>
        <w:numPr>
          <w:ilvl w:val="0"/>
          <w:numId w:val="39"/>
        </w:numPr>
        <w:spacing w:line="360" w:lineRule="auto"/>
        <w:jc w:val="both"/>
      </w:pPr>
      <w:r w:rsidRPr="000322E4">
        <w:t>Преднизолон</w:t>
      </w:r>
      <w:r w:rsidRPr="00D714AB">
        <w:rPr>
          <w:bCs/>
        </w:rPr>
        <w:t>**</w:t>
      </w:r>
      <w:r w:rsidRPr="00D714AB">
        <w:t xml:space="preserve"> 40 </w:t>
      </w:r>
      <w:r w:rsidRPr="000322E4">
        <w:t>мг</w:t>
      </w:r>
      <w:r w:rsidRPr="00D714AB">
        <w:t>/</w:t>
      </w:r>
      <w:r w:rsidRPr="000322E4">
        <w:t>м</w:t>
      </w:r>
      <w:r w:rsidRPr="00D714AB">
        <w:rPr>
          <w:vertAlign w:val="superscript"/>
        </w:rPr>
        <w:t>2</w:t>
      </w:r>
      <w:r w:rsidRPr="00D714AB">
        <w:t xml:space="preserve"> </w:t>
      </w:r>
      <w:r w:rsidRPr="000322E4">
        <w:t>внутрь</w:t>
      </w:r>
      <w:r w:rsidRPr="00D714AB">
        <w:t xml:space="preserve">, </w:t>
      </w:r>
      <w:r w:rsidRPr="000322E4">
        <w:t>дни</w:t>
      </w:r>
      <w:r w:rsidRPr="00D714AB">
        <w:t xml:space="preserve"> 1-5</w:t>
      </w:r>
    </w:p>
    <w:p w14:paraId="0A41D965" w14:textId="77777777" w:rsidR="00666D68" w:rsidRPr="00D714AB" w:rsidRDefault="00666D68" w:rsidP="008E3584">
      <w:pPr>
        <w:spacing w:line="360" w:lineRule="auto"/>
        <w:ind w:left="360"/>
        <w:jc w:val="both"/>
      </w:pPr>
      <w:r w:rsidRPr="000322E4">
        <w:t>Лечение</w:t>
      </w:r>
      <w:r w:rsidRPr="00D714AB">
        <w:t xml:space="preserve"> </w:t>
      </w:r>
      <w:r w:rsidRPr="000322E4">
        <w:t>возобновляется</w:t>
      </w:r>
      <w:r w:rsidRPr="00D714AB">
        <w:t xml:space="preserve"> </w:t>
      </w:r>
      <w:r w:rsidRPr="000322E4">
        <w:t>на</w:t>
      </w:r>
      <w:r w:rsidRPr="00D714AB">
        <w:t xml:space="preserve"> 22 </w:t>
      </w:r>
      <w:r w:rsidRPr="000322E4">
        <w:t>день</w:t>
      </w:r>
    </w:p>
    <w:p w14:paraId="1B3DB3C9" w14:textId="77777777" w:rsidR="00666D68" w:rsidRPr="00D714AB" w:rsidRDefault="00666D68" w:rsidP="008E3584">
      <w:pPr>
        <w:spacing w:line="360" w:lineRule="auto"/>
        <w:jc w:val="both"/>
        <w:rPr>
          <w:b/>
          <w:bCs/>
        </w:rPr>
      </w:pPr>
    </w:p>
    <w:p w14:paraId="2926F36C" w14:textId="3274CED8" w:rsidR="00666D68" w:rsidRPr="00293AC8" w:rsidRDefault="00666D68" w:rsidP="008E3584">
      <w:pPr>
        <w:spacing w:line="360" w:lineRule="auto"/>
        <w:jc w:val="both"/>
      </w:pPr>
      <w:r w:rsidRPr="000322E4">
        <w:rPr>
          <w:b/>
          <w:lang w:val="en-US"/>
        </w:rPr>
        <w:t>R</w:t>
      </w:r>
      <w:r w:rsidRPr="00D714AB">
        <w:rPr>
          <w:b/>
        </w:rPr>
        <w:t>-</w:t>
      </w:r>
      <w:r w:rsidRPr="000322E4">
        <w:rPr>
          <w:b/>
          <w:lang w:val="en-US"/>
        </w:rPr>
        <w:t>GCVP</w:t>
      </w:r>
      <w:r w:rsidRPr="00D714AB">
        <w:rPr>
          <w:b/>
        </w:rPr>
        <w:t xml:space="preserve"> </w:t>
      </w:r>
      <w:r w:rsidRPr="000322E4">
        <w:rPr>
          <w:b/>
          <w:lang w:val="en-US"/>
        </w:rPr>
        <w:fldChar w:fldCharType="begin" w:fldLock="1"/>
      </w:r>
      <w:r w:rsidR="009D170B">
        <w:rPr>
          <w:b/>
          <w:lang w:val="en-US"/>
        </w:rPr>
        <w:instrText>ADDIN</w:instrText>
      </w:r>
      <w:r w:rsidR="009D170B" w:rsidRPr="00320416">
        <w:rPr>
          <w:b/>
        </w:rPr>
        <w:instrText xml:space="preserve"> </w:instrText>
      </w:r>
      <w:r w:rsidR="009D170B">
        <w:rPr>
          <w:b/>
          <w:lang w:val="en-US"/>
        </w:rPr>
        <w:instrText>CSL</w:instrText>
      </w:r>
      <w:r w:rsidR="009D170B" w:rsidRPr="00320416">
        <w:rPr>
          <w:b/>
        </w:rPr>
        <w:instrText>_</w:instrText>
      </w:r>
      <w:r w:rsidR="009D170B">
        <w:rPr>
          <w:b/>
          <w:lang w:val="en-US"/>
        </w:rPr>
        <w:instrText>CITATION</w:instrText>
      </w:r>
      <w:r w:rsidR="009D170B" w:rsidRPr="00320416">
        <w:rPr>
          <w:b/>
        </w:rPr>
        <w:instrText xml:space="preserve"> {"</w:instrText>
      </w:r>
      <w:r w:rsidR="009D170B">
        <w:rPr>
          <w:b/>
          <w:lang w:val="en-US"/>
        </w:rPr>
        <w:instrText>citationItems</w:instrText>
      </w:r>
      <w:r w:rsidR="009D170B" w:rsidRPr="00320416">
        <w:rPr>
          <w:b/>
        </w:rPr>
        <w:instrText>":[{"</w:instrText>
      </w:r>
      <w:r w:rsidR="009D170B">
        <w:rPr>
          <w:b/>
          <w:lang w:val="en-US"/>
        </w:rPr>
        <w:instrText>id</w:instrText>
      </w:r>
      <w:r w:rsidR="009D170B" w:rsidRPr="00320416">
        <w:rPr>
          <w:b/>
        </w:rPr>
        <w:instrText>":"</w:instrText>
      </w:r>
      <w:r w:rsidR="009D170B">
        <w:rPr>
          <w:b/>
          <w:lang w:val="en-US"/>
        </w:rPr>
        <w:instrText>ITEM</w:instrText>
      </w:r>
      <w:r w:rsidR="009D170B" w:rsidRPr="00320416">
        <w:rPr>
          <w:b/>
        </w:rPr>
        <w:instrText>-1","</w:instrText>
      </w:r>
      <w:r w:rsidR="009D170B">
        <w:rPr>
          <w:b/>
          <w:lang w:val="en-US"/>
        </w:rPr>
        <w:instrText>itemData</w:instrText>
      </w:r>
      <w:r w:rsidR="009D170B" w:rsidRPr="00320416">
        <w:rPr>
          <w:b/>
        </w:rPr>
        <w:instrText>":{"</w:instrText>
      </w:r>
      <w:r w:rsidR="009D170B">
        <w:rPr>
          <w:b/>
          <w:lang w:val="en-US"/>
        </w:rPr>
        <w:instrText>DOI</w:instrText>
      </w:r>
      <w:r w:rsidR="009D170B" w:rsidRPr="00320416">
        <w:rPr>
          <w:b/>
        </w:rPr>
        <w:instrText>":"10.1200/</w:instrText>
      </w:r>
      <w:r w:rsidR="009D170B">
        <w:rPr>
          <w:b/>
          <w:lang w:val="en-US"/>
        </w:rPr>
        <w:instrText>JCO</w:instrText>
      </w:r>
      <w:r w:rsidR="009D170B" w:rsidRPr="00320416">
        <w:rPr>
          <w:b/>
        </w:rPr>
        <w:instrText>.2013.49.7586","</w:instrText>
      </w:r>
      <w:r w:rsidR="009D170B">
        <w:rPr>
          <w:b/>
          <w:lang w:val="en-US"/>
        </w:rPr>
        <w:instrText>ISSN</w:instrText>
      </w:r>
      <w:r w:rsidR="009D170B" w:rsidRPr="00320416">
        <w:rPr>
          <w:b/>
        </w:rPr>
        <w:instrText>":"15277755","</w:instrText>
      </w:r>
      <w:r w:rsidR="009D170B">
        <w:rPr>
          <w:b/>
          <w:lang w:val="en-US"/>
        </w:rPr>
        <w:instrText>abstract</w:instrText>
      </w:r>
      <w:r w:rsidR="009D170B" w:rsidRPr="00320416">
        <w:rPr>
          <w:b/>
        </w:rPr>
        <w:instrText>":"</w:instrText>
      </w:r>
      <w:r w:rsidR="009D170B">
        <w:rPr>
          <w:b/>
          <w:lang w:val="en-US"/>
        </w:rPr>
        <w:instrText>Purpose</w:instrText>
      </w:r>
      <w:r w:rsidR="009D170B" w:rsidRPr="00320416">
        <w:rPr>
          <w:b/>
        </w:rPr>
        <w:instrText xml:space="preserve">: </w:instrText>
      </w:r>
      <w:r w:rsidR="009D170B">
        <w:rPr>
          <w:b/>
          <w:lang w:val="en-US"/>
        </w:rPr>
        <w:instrText>The</w:instrText>
      </w:r>
      <w:r w:rsidR="009D170B" w:rsidRPr="00320416">
        <w:rPr>
          <w:b/>
        </w:rPr>
        <w:instrText xml:space="preserve"> </w:instrText>
      </w:r>
      <w:r w:rsidR="009D170B">
        <w:rPr>
          <w:b/>
          <w:lang w:val="en-US"/>
        </w:rPr>
        <w:instrText>treatment</w:instrText>
      </w:r>
      <w:r w:rsidR="009D170B" w:rsidRPr="00320416">
        <w:rPr>
          <w:b/>
        </w:rPr>
        <w:instrText xml:space="preserve"> </w:instrText>
      </w:r>
      <w:r w:rsidR="009D170B">
        <w:rPr>
          <w:b/>
          <w:lang w:val="en-US"/>
        </w:rPr>
        <w:instrText>of</w:instrText>
      </w:r>
      <w:r w:rsidR="009D170B" w:rsidRPr="00320416">
        <w:rPr>
          <w:b/>
        </w:rPr>
        <w:instrText xml:space="preserve"> </w:instrText>
      </w:r>
      <w:r w:rsidR="009D170B">
        <w:rPr>
          <w:b/>
          <w:lang w:val="en-US"/>
        </w:rPr>
        <w:instrText>patients</w:instrText>
      </w:r>
      <w:r w:rsidR="009D170B" w:rsidRPr="00320416">
        <w:rPr>
          <w:b/>
        </w:rPr>
        <w:instrText xml:space="preserve"> </w:instrText>
      </w:r>
      <w:r w:rsidR="009D170B">
        <w:rPr>
          <w:b/>
          <w:lang w:val="en-US"/>
        </w:rPr>
        <w:instrText>with</w:instrText>
      </w:r>
      <w:r w:rsidR="009D170B" w:rsidRPr="00320416">
        <w:rPr>
          <w:b/>
        </w:rPr>
        <w:instrText xml:space="preserve"> </w:instrText>
      </w:r>
      <w:r w:rsidR="009D170B">
        <w:rPr>
          <w:b/>
          <w:lang w:val="en-US"/>
        </w:rPr>
        <w:instrText>diffuse</w:instrText>
      </w:r>
      <w:r w:rsidR="009D170B" w:rsidRPr="00320416">
        <w:rPr>
          <w:b/>
        </w:rPr>
        <w:instrText xml:space="preserve"> </w:instrText>
      </w:r>
      <w:r w:rsidR="009D170B">
        <w:rPr>
          <w:b/>
          <w:lang w:val="en-US"/>
        </w:rPr>
        <w:instrText>large</w:instrText>
      </w:r>
      <w:r w:rsidR="009D170B" w:rsidRPr="00320416">
        <w:rPr>
          <w:b/>
        </w:rPr>
        <w:instrText xml:space="preserve"> </w:instrText>
      </w:r>
      <w:r w:rsidR="009D170B">
        <w:rPr>
          <w:b/>
          <w:lang w:val="en-US"/>
        </w:rPr>
        <w:instrText>B</w:instrText>
      </w:r>
      <w:r w:rsidR="009D170B" w:rsidRPr="00320416">
        <w:rPr>
          <w:b/>
        </w:rPr>
        <w:instrText>-</w:instrText>
      </w:r>
      <w:r w:rsidR="009D170B">
        <w:rPr>
          <w:b/>
          <w:lang w:val="en-US"/>
        </w:rPr>
        <w:instrText>cell</w:instrText>
      </w:r>
      <w:r w:rsidR="009D170B" w:rsidRPr="00320416">
        <w:rPr>
          <w:b/>
        </w:rPr>
        <w:instrText xml:space="preserve"> </w:instrText>
      </w:r>
      <w:r w:rsidR="009D170B">
        <w:rPr>
          <w:b/>
          <w:lang w:val="en-US"/>
        </w:rPr>
        <w:instrText>lymphoma</w:instrText>
      </w:r>
      <w:r w:rsidR="009D170B" w:rsidRPr="00320416">
        <w:rPr>
          <w:b/>
        </w:rPr>
        <w:instrText xml:space="preserve"> (</w:instrText>
      </w:r>
      <w:r w:rsidR="009D170B">
        <w:rPr>
          <w:b/>
          <w:lang w:val="en-US"/>
        </w:rPr>
        <w:instrText>DLBCL</w:instrText>
      </w:r>
      <w:r w:rsidR="009D170B" w:rsidRPr="00320416">
        <w:rPr>
          <w:b/>
        </w:rPr>
        <w:instrText xml:space="preserve">) </w:instrText>
      </w:r>
      <w:r w:rsidR="009D170B">
        <w:rPr>
          <w:b/>
          <w:lang w:val="en-US"/>
        </w:rPr>
        <w:instrText>with</w:instrText>
      </w:r>
      <w:r w:rsidR="009D170B" w:rsidRPr="00320416">
        <w:rPr>
          <w:b/>
        </w:rPr>
        <w:instrText xml:space="preserve"> </w:instrText>
      </w:r>
      <w:r w:rsidR="009D170B">
        <w:rPr>
          <w:b/>
          <w:lang w:val="en-US"/>
        </w:rPr>
        <w:instrText>cardiac</w:instrText>
      </w:r>
      <w:r w:rsidR="009D170B" w:rsidRPr="00320416">
        <w:rPr>
          <w:b/>
        </w:rPr>
        <w:instrText xml:space="preserve"> </w:instrText>
      </w:r>
      <w:r w:rsidR="009D170B">
        <w:rPr>
          <w:b/>
          <w:lang w:val="en-US"/>
        </w:rPr>
        <w:instrText>comorbidity</w:instrText>
      </w:r>
      <w:r w:rsidR="009D170B" w:rsidRPr="00320416">
        <w:rPr>
          <w:b/>
        </w:rPr>
        <w:instrText xml:space="preserve"> </w:instrText>
      </w:r>
      <w:r w:rsidR="009D170B">
        <w:rPr>
          <w:b/>
          <w:lang w:val="en-US"/>
        </w:rPr>
        <w:instrText>is</w:instrText>
      </w:r>
      <w:r w:rsidR="009D170B" w:rsidRPr="00320416">
        <w:rPr>
          <w:b/>
        </w:rPr>
        <w:instrText xml:space="preserve"> </w:instrText>
      </w:r>
      <w:r w:rsidR="009D170B">
        <w:rPr>
          <w:b/>
          <w:lang w:val="en-US"/>
        </w:rPr>
        <w:instrText>problematic</w:instrText>
      </w:r>
      <w:r w:rsidR="009D170B" w:rsidRPr="00320416">
        <w:rPr>
          <w:b/>
        </w:rPr>
        <w:instrText xml:space="preserve">, </w:instrText>
      </w:r>
      <w:r w:rsidR="009D170B">
        <w:rPr>
          <w:b/>
          <w:lang w:val="en-US"/>
        </w:rPr>
        <w:instrText>because</w:instrText>
      </w:r>
      <w:r w:rsidR="009D170B" w:rsidRPr="00320416">
        <w:rPr>
          <w:b/>
        </w:rPr>
        <w:instrText xml:space="preserve"> </w:instrText>
      </w:r>
      <w:r w:rsidR="009D170B">
        <w:rPr>
          <w:b/>
          <w:lang w:val="en-US"/>
        </w:rPr>
        <w:instrText>this</w:instrText>
      </w:r>
      <w:r w:rsidR="009D170B" w:rsidRPr="00320416">
        <w:rPr>
          <w:b/>
        </w:rPr>
        <w:instrText xml:space="preserve"> </w:instrText>
      </w:r>
      <w:r w:rsidR="009D170B">
        <w:rPr>
          <w:b/>
          <w:lang w:val="en-US"/>
        </w:rPr>
        <w:instrText>group</w:instrText>
      </w:r>
      <w:r w:rsidR="009D170B" w:rsidRPr="00320416">
        <w:rPr>
          <w:b/>
        </w:rPr>
        <w:instrText xml:space="preserve"> </w:instrText>
      </w:r>
      <w:r w:rsidR="009D170B">
        <w:rPr>
          <w:b/>
          <w:lang w:val="en-US"/>
        </w:rPr>
        <w:instrText>may</w:instrText>
      </w:r>
      <w:r w:rsidR="009D170B" w:rsidRPr="00320416">
        <w:rPr>
          <w:b/>
        </w:rPr>
        <w:instrText xml:space="preserve"> </w:instrText>
      </w:r>
      <w:r w:rsidR="009D170B">
        <w:rPr>
          <w:b/>
          <w:lang w:val="en-US"/>
        </w:rPr>
        <w:instrText>not</w:instrText>
      </w:r>
      <w:r w:rsidR="009D170B" w:rsidRPr="00320416">
        <w:rPr>
          <w:b/>
        </w:rPr>
        <w:instrText xml:space="preserve"> </w:instrText>
      </w:r>
      <w:r w:rsidR="009D170B">
        <w:rPr>
          <w:b/>
          <w:lang w:val="en-US"/>
        </w:rPr>
        <w:instrText>be</w:instrText>
      </w:r>
      <w:r w:rsidR="009D170B" w:rsidRPr="00320416">
        <w:rPr>
          <w:b/>
        </w:rPr>
        <w:instrText xml:space="preserve"> </w:instrText>
      </w:r>
      <w:r w:rsidR="009D170B">
        <w:rPr>
          <w:b/>
          <w:lang w:val="en-US"/>
        </w:rPr>
        <w:instrText>able</w:instrText>
      </w:r>
      <w:r w:rsidR="009D170B" w:rsidRPr="00320416">
        <w:rPr>
          <w:b/>
        </w:rPr>
        <w:instrText xml:space="preserve"> </w:instrText>
      </w:r>
      <w:r w:rsidR="009D170B">
        <w:rPr>
          <w:b/>
          <w:lang w:val="en-US"/>
        </w:rPr>
        <w:instrText>to</w:instrText>
      </w:r>
      <w:r w:rsidR="009D170B" w:rsidRPr="00320416">
        <w:rPr>
          <w:b/>
        </w:rPr>
        <w:instrText xml:space="preserve"> </w:instrText>
      </w:r>
      <w:r w:rsidR="009D170B">
        <w:rPr>
          <w:b/>
          <w:lang w:val="en-US"/>
        </w:rPr>
        <w:instrText>receive</w:instrText>
      </w:r>
      <w:r w:rsidR="009D170B" w:rsidRPr="00320416">
        <w:rPr>
          <w:b/>
        </w:rPr>
        <w:instrText xml:space="preserve"> </w:instrText>
      </w:r>
      <w:r w:rsidR="009D170B">
        <w:rPr>
          <w:b/>
          <w:lang w:val="en-US"/>
        </w:rPr>
        <w:instrText>anthracycline</w:instrText>
      </w:r>
      <w:r w:rsidR="009D170B" w:rsidRPr="00320416">
        <w:rPr>
          <w:b/>
        </w:rPr>
        <w:instrText>-</w:instrText>
      </w:r>
      <w:r w:rsidR="009D170B">
        <w:rPr>
          <w:b/>
          <w:lang w:val="en-US"/>
        </w:rPr>
        <w:instrText>containing</w:instrText>
      </w:r>
      <w:r w:rsidR="009D170B" w:rsidRPr="00320416">
        <w:rPr>
          <w:b/>
        </w:rPr>
        <w:instrText xml:space="preserve"> </w:instrText>
      </w:r>
      <w:r w:rsidR="009D170B">
        <w:rPr>
          <w:b/>
          <w:lang w:val="en-US"/>
        </w:rPr>
        <w:instrText>chemoimmunotherapy</w:instrText>
      </w:r>
      <w:r w:rsidR="009D170B" w:rsidRPr="00320416">
        <w:rPr>
          <w:b/>
        </w:rPr>
        <w:instrText xml:space="preserve">. </w:instrText>
      </w:r>
      <w:r w:rsidR="009D170B">
        <w:rPr>
          <w:b/>
          <w:lang w:val="en-US"/>
        </w:rPr>
        <w:instrText>We</w:instrText>
      </w:r>
      <w:r w:rsidR="009D170B" w:rsidRPr="00320416">
        <w:rPr>
          <w:b/>
        </w:rPr>
        <w:instrText xml:space="preserve"> </w:instrText>
      </w:r>
      <w:r w:rsidR="009D170B">
        <w:rPr>
          <w:b/>
          <w:lang w:val="en-US"/>
        </w:rPr>
        <w:instrText>designed</w:instrText>
      </w:r>
      <w:r w:rsidR="009D170B" w:rsidRPr="00320416">
        <w:rPr>
          <w:b/>
        </w:rPr>
        <w:instrText xml:space="preserve"> </w:instrText>
      </w:r>
      <w:r w:rsidR="009D170B">
        <w:rPr>
          <w:b/>
          <w:lang w:val="en-US"/>
        </w:rPr>
        <w:instrText>a</w:instrText>
      </w:r>
      <w:r w:rsidR="009D170B" w:rsidRPr="00320416">
        <w:rPr>
          <w:b/>
        </w:rPr>
        <w:instrText xml:space="preserve"> </w:instrText>
      </w:r>
      <w:r w:rsidR="009D170B">
        <w:rPr>
          <w:b/>
          <w:lang w:val="en-US"/>
        </w:rPr>
        <w:instrText>single</w:instrText>
      </w:r>
      <w:r w:rsidR="009D170B" w:rsidRPr="00320416">
        <w:rPr>
          <w:b/>
        </w:rPr>
        <w:instrText>-</w:instrText>
      </w:r>
      <w:r w:rsidR="009D170B">
        <w:rPr>
          <w:b/>
          <w:lang w:val="en-US"/>
        </w:rPr>
        <w:instrText>arm</w:instrText>
      </w:r>
      <w:r w:rsidR="009D170B" w:rsidRPr="00320416">
        <w:rPr>
          <w:b/>
        </w:rPr>
        <w:instrText xml:space="preserve"> </w:instrText>
      </w:r>
      <w:r w:rsidR="009D170B">
        <w:rPr>
          <w:b/>
          <w:lang w:val="en-US"/>
        </w:rPr>
        <w:instrText>phase</w:instrText>
      </w:r>
      <w:r w:rsidR="009D170B" w:rsidRPr="00320416">
        <w:rPr>
          <w:b/>
        </w:rPr>
        <w:instrText xml:space="preserve"> </w:instrText>
      </w:r>
      <w:r w:rsidR="009D170B">
        <w:rPr>
          <w:b/>
          <w:lang w:val="en-US"/>
        </w:rPr>
        <w:instrText>II</w:instrText>
      </w:r>
      <w:r w:rsidR="009D170B" w:rsidRPr="00320416">
        <w:rPr>
          <w:b/>
        </w:rPr>
        <w:instrText xml:space="preserve"> </w:instrText>
      </w:r>
      <w:r w:rsidR="009D170B">
        <w:rPr>
          <w:b/>
          <w:lang w:val="en-US"/>
        </w:rPr>
        <w:instrText>multicenter</w:instrText>
      </w:r>
      <w:r w:rsidR="009D170B" w:rsidRPr="00320416">
        <w:rPr>
          <w:b/>
        </w:rPr>
        <w:instrText xml:space="preserve"> </w:instrText>
      </w:r>
      <w:r w:rsidR="009D170B">
        <w:rPr>
          <w:b/>
          <w:lang w:val="en-US"/>
        </w:rPr>
        <w:instrText>trial</w:instrText>
      </w:r>
      <w:r w:rsidR="009D170B" w:rsidRPr="00320416">
        <w:rPr>
          <w:b/>
        </w:rPr>
        <w:instrText xml:space="preserve"> </w:instrText>
      </w:r>
      <w:r w:rsidR="009D170B">
        <w:rPr>
          <w:b/>
          <w:lang w:val="en-US"/>
        </w:rPr>
        <w:instrText>of</w:instrText>
      </w:r>
      <w:r w:rsidR="009D170B" w:rsidRPr="00320416">
        <w:rPr>
          <w:b/>
        </w:rPr>
        <w:instrText xml:space="preserve"> </w:instrText>
      </w:r>
      <w:r w:rsidR="009D170B">
        <w:rPr>
          <w:b/>
          <w:lang w:val="en-US"/>
        </w:rPr>
        <w:instrText>rituximab</w:instrText>
      </w:r>
      <w:r w:rsidR="009D170B" w:rsidRPr="00320416">
        <w:rPr>
          <w:b/>
        </w:rPr>
        <w:instrText xml:space="preserve">, </w:instrText>
      </w:r>
      <w:r w:rsidR="009D170B">
        <w:rPr>
          <w:b/>
          <w:lang w:val="en-US"/>
        </w:rPr>
        <w:instrText>gemcitabine</w:instrText>
      </w:r>
      <w:r w:rsidR="009D170B" w:rsidRPr="00320416">
        <w:rPr>
          <w:b/>
        </w:rPr>
        <w:instrText xml:space="preserve">, </w:instrText>
      </w:r>
      <w:r w:rsidR="009D170B">
        <w:rPr>
          <w:b/>
          <w:lang w:val="en-US"/>
        </w:rPr>
        <w:instrText>cyclophosphamide</w:instrText>
      </w:r>
      <w:r w:rsidR="009D170B" w:rsidRPr="00320416">
        <w:rPr>
          <w:b/>
        </w:rPr>
        <w:instrText xml:space="preserve">, </w:instrText>
      </w:r>
      <w:r w:rsidR="009D170B">
        <w:rPr>
          <w:b/>
          <w:lang w:val="en-US"/>
        </w:rPr>
        <w:instrText>vincristine</w:instrText>
      </w:r>
      <w:r w:rsidR="009D170B" w:rsidRPr="00320416">
        <w:rPr>
          <w:b/>
        </w:rPr>
        <w:instrText xml:space="preserve">, </w:instrText>
      </w:r>
      <w:r w:rsidR="009D170B">
        <w:rPr>
          <w:b/>
          <w:lang w:val="en-US"/>
        </w:rPr>
        <w:instrText>and</w:instrText>
      </w:r>
      <w:r w:rsidR="009D170B" w:rsidRPr="00320416">
        <w:rPr>
          <w:b/>
        </w:rPr>
        <w:instrText xml:space="preserve"> </w:instrText>
      </w:r>
      <w:r w:rsidR="009D170B">
        <w:rPr>
          <w:b/>
          <w:lang w:val="en-US"/>
        </w:rPr>
        <w:instrText>prednisolone</w:instrText>
      </w:r>
      <w:r w:rsidR="009D170B" w:rsidRPr="00320416">
        <w:rPr>
          <w:b/>
        </w:rPr>
        <w:instrText xml:space="preserve"> (</w:instrText>
      </w:r>
      <w:r w:rsidR="009D170B">
        <w:rPr>
          <w:b/>
          <w:lang w:val="en-US"/>
        </w:rPr>
        <w:instrText>R</w:instrText>
      </w:r>
      <w:r w:rsidR="009D170B" w:rsidRPr="00320416">
        <w:rPr>
          <w:b/>
        </w:rPr>
        <w:instrText>-</w:instrText>
      </w:r>
      <w:r w:rsidR="009D170B">
        <w:rPr>
          <w:b/>
          <w:lang w:val="en-US"/>
        </w:rPr>
        <w:instrText>GCVP</w:instrText>
      </w:r>
      <w:r w:rsidR="009D170B" w:rsidRPr="00320416">
        <w:rPr>
          <w:b/>
        </w:rPr>
        <w:instrText xml:space="preserve">) </w:instrText>
      </w:r>
      <w:r w:rsidR="009D170B">
        <w:rPr>
          <w:b/>
          <w:lang w:val="en-US"/>
        </w:rPr>
        <w:instrText>in</w:instrText>
      </w:r>
      <w:r w:rsidR="009D170B" w:rsidRPr="00320416">
        <w:rPr>
          <w:b/>
        </w:rPr>
        <w:instrText xml:space="preserve"> </w:instrText>
      </w:r>
      <w:r w:rsidR="009D170B">
        <w:rPr>
          <w:b/>
          <w:lang w:val="en-US"/>
        </w:rPr>
        <w:instrText>patients</w:instrText>
      </w:r>
      <w:r w:rsidR="009D170B" w:rsidRPr="00320416">
        <w:rPr>
          <w:b/>
        </w:rPr>
        <w:instrText xml:space="preserve"> </w:instrText>
      </w:r>
      <w:r w:rsidR="009D170B">
        <w:rPr>
          <w:b/>
          <w:lang w:val="en-US"/>
        </w:rPr>
        <w:instrText>considered</w:instrText>
      </w:r>
      <w:r w:rsidR="009D170B" w:rsidRPr="00320416">
        <w:rPr>
          <w:b/>
        </w:rPr>
        <w:instrText xml:space="preserve"> </w:instrText>
      </w:r>
      <w:r w:rsidR="009D170B">
        <w:rPr>
          <w:b/>
          <w:lang w:val="en-US"/>
        </w:rPr>
        <w:instrText>unfit</w:instrText>
      </w:r>
      <w:r w:rsidR="009D170B" w:rsidRPr="00320416">
        <w:rPr>
          <w:b/>
        </w:rPr>
        <w:instrText xml:space="preserve"> </w:instrText>
      </w:r>
      <w:r w:rsidR="009D170B">
        <w:rPr>
          <w:b/>
          <w:lang w:val="en-US"/>
        </w:rPr>
        <w:instrText>for</w:instrText>
      </w:r>
      <w:r w:rsidR="009D170B" w:rsidRPr="00320416">
        <w:rPr>
          <w:b/>
        </w:rPr>
        <w:instrText xml:space="preserve"> </w:instrText>
      </w:r>
      <w:r w:rsidR="009D170B">
        <w:rPr>
          <w:b/>
          <w:lang w:val="en-US"/>
        </w:rPr>
        <w:instrText>anthracycline</w:instrText>
      </w:r>
      <w:r w:rsidR="009D170B" w:rsidRPr="00320416">
        <w:rPr>
          <w:b/>
        </w:rPr>
        <w:instrText>-</w:instrText>
      </w:r>
      <w:r w:rsidR="009D170B">
        <w:rPr>
          <w:b/>
          <w:lang w:val="en-US"/>
        </w:rPr>
        <w:instrText>containing</w:instrText>
      </w:r>
      <w:r w:rsidR="009D170B" w:rsidRPr="00320416">
        <w:rPr>
          <w:b/>
        </w:rPr>
        <w:instrText xml:space="preserve"> </w:instrText>
      </w:r>
      <w:r w:rsidR="009D170B">
        <w:rPr>
          <w:b/>
          <w:lang w:val="en-US"/>
        </w:rPr>
        <w:instrText>chemoimmunotherapy</w:instrText>
      </w:r>
      <w:r w:rsidR="009D170B" w:rsidRPr="00320416">
        <w:rPr>
          <w:b/>
        </w:rPr>
        <w:instrText xml:space="preserve"> </w:instrText>
      </w:r>
      <w:r w:rsidR="009D170B">
        <w:rPr>
          <w:b/>
          <w:lang w:val="en-US"/>
        </w:rPr>
        <w:instrText>because</w:instrText>
      </w:r>
      <w:r w:rsidR="009D170B" w:rsidRPr="00320416">
        <w:rPr>
          <w:b/>
        </w:rPr>
        <w:instrText xml:space="preserve"> </w:instrText>
      </w:r>
      <w:r w:rsidR="009D170B">
        <w:rPr>
          <w:b/>
          <w:lang w:val="en-US"/>
        </w:rPr>
        <w:instrText>of</w:instrText>
      </w:r>
      <w:r w:rsidR="009D170B" w:rsidRPr="00320416">
        <w:rPr>
          <w:b/>
        </w:rPr>
        <w:instrText xml:space="preserve"> </w:instrText>
      </w:r>
      <w:r w:rsidR="009D170B">
        <w:rPr>
          <w:b/>
          <w:lang w:val="en-US"/>
        </w:rPr>
        <w:instrText>cardiac</w:instrText>
      </w:r>
      <w:r w:rsidR="009D170B" w:rsidRPr="00320416">
        <w:rPr>
          <w:b/>
        </w:rPr>
        <w:instrText xml:space="preserve"> </w:instrText>
      </w:r>
      <w:r w:rsidR="009D170B">
        <w:rPr>
          <w:b/>
          <w:lang w:val="en-US"/>
        </w:rPr>
        <w:instrText>comorbidity</w:instrText>
      </w:r>
      <w:r w:rsidR="009D170B" w:rsidRPr="00320416">
        <w:rPr>
          <w:b/>
        </w:rPr>
        <w:instrText xml:space="preserve">. </w:instrText>
      </w:r>
      <w:r w:rsidR="009D170B">
        <w:rPr>
          <w:b/>
          <w:lang w:val="en-US"/>
        </w:rPr>
        <w:instrText>Patients</w:instrText>
      </w:r>
      <w:r w:rsidR="009D170B" w:rsidRPr="00320416">
        <w:rPr>
          <w:b/>
        </w:rPr>
        <w:instrText xml:space="preserve"> </w:instrText>
      </w:r>
      <w:r w:rsidR="009D170B">
        <w:rPr>
          <w:b/>
          <w:lang w:val="en-US"/>
        </w:rPr>
        <w:instrText>and</w:instrText>
      </w:r>
      <w:r w:rsidR="009D170B" w:rsidRPr="00320416">
        <w:rPr>
          <w:b/>
        </w:rPr>
        <w:instrText xml:space="preserve"> </w:instrText>
      </w:r>
      <w:r w:rsidR="009D170B">
        <w:rPr>
          <w:b/>
          <w:lang w:val="en-US"/>
        </w:rPr>
        <w:instrText>Methods</w:instrText>
      </w:r>
      <w:r w:rsidR="009D170B" w:rsidRPr="00320416">
        <w:rPr>
          <w:b/>
        </w:rPr>
        <w:instrText xml:space="preserve">: </w:instrText>
      </w:r>
      <w:r w:rsidR="009D170B">
        <w:rPr>
          <w:b/>
          <w:lang w:val="en-US"/>
        </w:rPr>
        <w:instrText>Sixty</w:instrText>
      </w:r>
      <w:r w:rsidR="009D170B" w:rsidRPr="00320416">
        <w:rPr>
          <w:b/>
        </w:rPr>
        <w:instrText>-</w:instrText>
      </w:r>
      <w:r w:rsidR="009D170B">
        <w:rPr>
          <w:b/>
          <w:lang w:val="en-US"/>
        </w:rPr>
        <w:instrText>one</w:instrText>
      </w:r>
      <w:r w:rsidR="009D170B" w:rsidRPr="00320416">
        <w:rPr>
          <w:b/>
        </w:rPr>
        <w:instrText xml:space="preserve"> </w:instrText>
      </w:r>
      <w:r w:rsidR="009D170B">
        <w:rPr>
          <w:b/>
          <w:lang w:val="en-US"/>
        </w:rPr>
        <w:instrText>of</w:instrText>
      </w:r>
      <w:r w:rsidR="009D170B" w:rsidRPr="00320416">
        <w:rPr>
          <w:b/>
        </w:rPr>
        <w:instrText xml:space="preserve"> 62 </w:instrText>
      </w:r>
      <w:r w:rsidR="009D170B">
        <w:rPr>
          <w:b/>
          <w:lang w:val="en-US"/>
        </w:rPr>
        <w:instrText>patients</w:instrText>
      </w:r>
      <w:r w:rsidR="009D170B" w:rsidRPr="00320416">
        <w:rPr>
          <w:b/>
        </w:rPr>
        <w:instrText xml:space="preserve"> </w:instrText>
      </w:r>
      <w:r w:rsidR="009D170B">
        <w:rPr>
          <w:b/>
          <w:lang w:val="en-US"/>
        </w:rPr>
        <w:instrText>received</w:instrText>
      </w:r>
      <w:r w:rsidR="009D170B" w:rsidRPr="00320416">
        <w:rPr>
          <w:b/>
        </w:rPr>
        <w:instrText xml:space="preserve"> </w:instrText>
      </w:r>
      <w:r w:rsidR="009D170B">
        <w:rPr>
          <w:b/>
          <w:lang w:val="en-US"/>
        </w:rPr>
        <w:instrText>R</w:instrText>
      </w:r>
      <w:r w:rsidR="009D170B" w:rsidRPr="00320416">
        <w:rPr>
          <w:b/>
        </w:rPr>
        <w:instrText>-</w:instrText>
      </w:r>
      <w:r w:rsidR="009D170B">
        <w:rPr>
          <w:b/>
          <w:lang w:val="en-US"/>
        </w:rPr>
        <w:instrText>GCVP</w:instrText>
      </w:r>
      <w:r w:rsidR="009D170B" w:rsidRPr="00320416">
        <w:rPr>
          <w:b/>
        </w:rPr>
        <w:instrText xml:space="preserve">, </w:instrText>
      </w:r>
      <w:r w:rsidR="009D170B">
        <w:rPr>
          <w:b/>
          <w:lang w:val="en-US"/>
        </w:rPr>
        <w:instrText>administered</w:instrText>
      </w:r>
      <w:r w:rsidR="009D170B" w:rsidRPr="00320416">
        <w:rPr>
          <w:b/>
        </w:rPr>
        <w:instrText xml:space="preserve"> </w:instrText>
      </w:r>
      <w:r w:rsidR="009D170B">
        <w:rPr>
          <w:b/>
          <w:lang w:val="en-US"/>
        </w:rPr>
        <w:instrText>on</w:instrText>
      </w:r>
      <w:r w:rsidR="009D170B" w:rsidRPr="00320416">
        <w:rPr>
          <w:b/>
        </w:rPr>
        <w:instrText xml:space="preserve"> </w:instrText>
      </w:r>
      <w:r w:rsidR="009D170B">
        <w:rPr>
          <w:b/>
          <w:lang w:val="en-US"/>
        </w:rPr>
        <w:instrText>day</w:instrText>
      </w:r>
      <w:r w:rsidR="009D170B" w:rsidRPr="00320416">
        <w:rPr>
          <w:b/>
        </w:rPr>
        <w:instrText xml:space="preserve"> 1 </w:instrText>
      </w:r>
      <w:r w:rsidR="009D170B">
        <w:rPr>
          <w:b/>
          <w:lang w:val="en-US"/>
        </w:rPr>
        <w:instrText>with</w:instrText>
      </w:r>
      <w:r w:rsidR="009D170B" w:rsidRPr="00320416">
        <w:rPr>
          <w:b/>
        </w:rPr>
        <w:instrText xml:space="preserve"> </w:instrText>
      </w:r>
      <w:r w:rsidR="009D170B">
        <w:rPr>
          <w:b/>
          <w:lang w:val="en-US"/>
        </w:rPr>
        <w:instrText>gemcitabine</w:instrText>
      </w:r>
      <w:r w:rsidR="009D170B" w:rsidRPr="00320416">
        <w:rPr>
          <w:b/>
        </w:rPr>
        <w:instrText xml:space="preserve"> </w:instrText>
      </w:r>
      <w:r w:rsidR="009D170B">
        <w:rPr>
          <w:b/>
          <w:lang w:val="en-US"/>
        </w:rPr>
        <w:instrText>repeated</w:instrText>
      </w:r>
      <w:r w:rsidR="009D170B" w:rsidRPr="00320416">
        <w:rPr>
          <w:b/>
        </w:rPr>
        <w:instrText xml:space="preserve"> </w:instrText>
      </w:r>
      <w:r w:rsidR="009D170B">
        <w:rPr>
          <w:b/>
          <w:lang w:val="en-US"/>
        </w:rPr>
        <w:instrText>on</w:instrText>
      </w:r>
      <w:r w:rsidR="009D170B" w:rsidRPr="00320416">
        <w:rPr>
          <w:b/>
        </w:rPr>
        <w:instrText xml:space="preserve"> </w:instrText>
      </w:r>
      <w:r w:rsidR="009D170B">
        <w:rPr>
          <w:b/>
          <w:lang w:val="en-US"/>
        </w:rPr>
        <w:instrText>day</w:instrText>
      </w:r>
      <w:r w:rsidR="009D170B" w:rsidRPr="00320416">
        <w:rPr>
          <w:b/>
        </w:rPr>
        <w:instrText xml:space="preserve"> 8 </w:instrText>
      </w:r>
      <w:r w:rsidR="009D170B">
        <w:rPr>
          <w:b/>
          <w:lang w:val="en-US"/>
        </w:rPr>
        <w:instrText>of</w:instrText>
      </w:r>
      <w:r w:rsidR="009D170B" w:rsidRPr="00320416">
        <w:rPr>
          <w:b/>
        </w:rPr>
        <w:instrText xml:space="preserve"> </w:instrText>
      </w:r>
      <w:r w:rsidR="009D170B">
        <w:rPr>
          <w:b/>
          <w:lang w:val="en-US"/>
        </w:rPr>
        <w:instrText>a</w:instrText>
      </w:r>
      <w:r w:rsidR="009D170B" w:rsidRPr="00320416">
        <w:rPr>
          <w:b/>
        </w:rPr>
        <w:instrText xml:space="preserve"> 21-</w:instrText>
      </w:r>
      <w:r w:rsidR="009D170B">
        <w:rPr>
          <w:b/>
          <w:lang w:val="en-US"/>
        </w:rPr>
        <w:instrText>day</w:instrText>
      </w:r>
      <w:r w:rsidR="009D170B" w:rsidRPr="00320416">
        <w:rPr>
          <w:b/>
        </w:rPr>
        <w:instrText xml:space="preserve"> </w:instrText>
      </w:r>
      <w:r w:rsidR="009D170B">
        <w:rPr>
          <w:b/>
          <w:lang w:val="en-US"/>
        </w:rPr>
        <w:instrText>cycle</w:instrText>
      </w:r>
      <w:r w:rsidR="009D170B" w:rsidRPr="00320416">
        <w:rPr>
          <w:b/>
        </w:rPr>
        <w:instrText xml:space="preserve">. </w:instrText>
      </w:r>
      <w:r w:rsidR="009D170B">
        <w:rPr>
          <w:b/>
          <w:lang w:val="en-US"/>
        </w:rPr>
        <w:instrText>Median</w:instrText>
      </w:r>
      <w:r w:rsidR="009D170B" w:rsidRPr="00320416">
        <w:rPr>
          <w:b/>
        </w:rPr>
        <w:instrText xml:space="preserve"> </w:instrText>
      </w:r>
      <w:r w:rsidR="009D170B">
        <w:rPr>
          <w:b/>
          <w:lang w:val="en-US"/>
        </w:rPr>
        <w:instrText>age</w:instrText>
      </w:r>
      <w:r w:rsidR="009D170B" w:rsidRPr="00320416">
        <w:rPr>
          <w:b/>
        </w:rPr>
        <w:instrText xml:space="preserve"> </w:instrText>
      </w:r>
      <w:r w:rsidR="009D170B">
        <w:rPr>
          <w:b/>
          <w:lang w:val="en-US"/>
        </w:rPr>
        <w:instrText>was</w:instrText>
      </w:r>
      <w:r w:rsidR="009D170B" w:rsidRPr="00320416">
        <w:rPr>
          <w:b/>
        </w:rPr>
        <w:instrText xml:space="preserve"> 76.5 </w:instrText>
      </w:r>
      <w:r w:rsidR="009D170B">
        <w:rPr>
          <w:b/>
          <w:lang w:val="en-US"/>
        </w:rPr>
        <w:instrText>years</w:instrText>
      </w:r>
      <w:r w:rsidR="009D170B" w:rsidRPr="00320416">
        <w:rPr>
          <w:b/>
        </w:rPr>
        <w:instrText xml:space="preserve">. </w:instrText>
      </w:r>
      <w:r w:rsidR="009D170B">
        <w:rPr>
          <w:b/>
          <w:lang w:val="en-US"/>
        </w:rPr>
        <w:instrText>All</w:instrText>
      </w:r>
      <w:r w:rsidR="009D170B" w:rsidRPr="00320416">
        <w:rPr>
          <w:b/>
        </w:rPr>
        <w:instrText xml:space="preserve"> </w:instrText>
      </w:r>
      <w:r w:rsidR="009D170B">
        <w:rPr>
          <w:b/>
          <w:lang w:val="en-US"/>
        </w:rPr>
        <w:instrText>patients</w:instrText>
      </w:r>
      <w:r w:rsidR="009D170B" w:rsidRPr="00320416">
        <w:rPr>
          <w:b/>
        </w:rPr>
        <w:instrText xml:space="preserve"> </w:instrText>
      </w:r>
      <w:r w:rsidR="009D170B">
        <w:rPr>
          <w:b/>
          <w:lang w:val="en-US"/>
        </w:rPr>
        <w:instrText>had</w:instrText>
      </w:r>
      <w:r w:rsidR="009D170B" w:rsidRPr="00320416">
        <w:rPr>
          <w:b/>
        </w:rPr>
        <w:instrText xml:space="preserve"> </w:instrText>
      </w:r>
      <w:r w:rsidR="009D170B">
        <w:rPr>
          <w:b/>
          <w:lang w:val="en-US"/>
        </w:rPr>
        <w:instrText>advanced</w:instrText>
      </w:r>
      <w:r w:rsidR="009D170B" w:rsidRPr="00320416">
        <w:rPr>
          <w:b/>
        </w:rPr>
        <w:instrText xml:space="preserve"> </w:instrText>
      </w:r>
      <w:r w:rsidR="009D170B">
        <w:rPr>
          <w:b/>
          <w:lang w:val="en-US"/>
        </w:rPr>
        <w:instrText>disease</w:instrText>
      </w:r>
      <w:r w:rsidR="009D170B" w:rsidRPr="00320416">
        <w:rPr>
          <w:b/>
        </w:rPr>
        <w:instrText xml:space="preserve">; 27 (43.5%) </w:instrText>
      </w:r>
      <w:r w:rsidR="009D170B">
        <w:rPr>
          <w:b/>
          <w:lang w:val="en-US"/>
        </w:rPr>
        <w:instrText>had</w:instrText>
      </w:r>
      <w:r w:rsidR="009D170B" w:rsidRPr="00320416">
        <w:rPr>
          <w:b/>
        </w:rPr>
        <w:instrText xml:space="preserve"> </w:instrText>
      </w:r>
      <w:r w:rsidR="009D170B">
        <w:rPr>
          <w:b/>
          <w:lang w:val="en-US"/>
        </w:rPr>
        <w:instrText>left</w:instrText>
      </w:r>
      <w:r w:rsidR="009D170B" w:rsidRPr="00320416">
        <w:rPr>
          <w:b/>
        </w:rPr>
        <w:instrText xml:space="preserve"> </w:instrText>
      </w:r>
      <w:r w:rsidR="009D170B">
        <w:rPr>
          <w:b/>
          <w:lang w:val="en-US"/>
        </w:rPr>
        <w:instrText>ventricular</w:instrText>
      </w:r>
      <w:r w:rsidR="009D170B" w:rsidRPr="00320416">
        <w:rPr>
          <w:b/>
        </w:rPr>
        <w:instrText xml:space="preserve"> </w:instrText>
      </w:r>
      <w:r w:rsidR="009D170B">
        <w:rPr>
          <w:b/>
          <w:lang w:val="en-US"/>
        </w:rPr>
        <w:instrText>ejection</w:instrText>
      </w:r>
      <w:r w:rsidR="009D170B" w:rsidRPr="00320416">
        <w:rPr>
          <w:b/>
        </w:rPr>
        <w:instrText xml:space="preserve"> </w:instrText>
      </w:r>
      <w:r w:rsidR="009D170B">
        <w:rPr>
          <w:b/>
          <w:lang w:val="en-US"/>
        </w:rPr>
        <w:instrText>fraction</w:instrText>
      </w:r>
      <w:r w:rsidR="009D170B" w:rsidRPr="00320416">
        <w:rPr>
          <w:b/>
        </w:rPr>
        <w:instrText xml:space="preserve"> </w:instrText>
      </w:r>
      <w:r w:rsidR="009D170B">
        <w:rPr>
          <w:b/>
          <w:lang w:val="en-US"/>
        </w:rPr>
        <w:instrText>of</w:instrText>
      </w:r>
      <w:r w:rsidR="009D170B" w:rsidRPr="00320416">
        <w:rPr>
          <w:b/>
        </w:rPr>
        <w:instrText xml:space="preserve"> ≤ 50%, </w:instrText>
      </w:r>
      <w:r w:rsidR="009D170B">
        <w:rPr>
          <w:b/>
          <w:lang w:val="en-US"/>
        </w:rPr>
        <w:instrText>and</w:instrText>
      </w:r>
      <w:r w:rsidR="009D170B" w:rsidRPr="00320416">
        <w:rPr>
          <w:b/>
        </w:rPr>
        <w:instrText xml:space="preserve"> 35 (56.5%) </w:instrText>
      </w:r>
      <w:r w:rsidR="009D170B">
        <w:rPr>
          <w:b/>
          <w:lang w:val="en-US"/>
        </w:rPr>
        <w:instrText>had</w:instrText>
      </w:r>
      <w:r w:rsidR="009D170B" w:rsidRPr="00320416">
        <w:rPr>
          <w:b/>
        </w:rPr>
        <w:instrText xml:space="preserve"> </w:instrText>
      </w:r>
      <w:r w:rsidR="009D170B">
        <w:rPr>
          <w:b/>
          <w:lang w:val="en-US"/>
        </w:rPr>
        <w:instrText>borderline</w:instrText>
      </w:r>
      <w:r w:rsidR="009D170B" w:rsidRPr="00320416">
        <w:rPr>
          <w:b/>
        </w:rPr>
        <w:instrText xml:space="preserve"> </w:instrText>
      </w:r>
      <w:r w:rsidR="009D170B">
        <w:rPr>
          <w:b/>
          <w:lang w:val="en-US"/>
        </w:rPr>
        <w:instrText>ejection</w:instrText>
      </w:r>
      <w:r w:rsidR="009D170B" w:rsidRPr="00320416">
        <w:rPr>
          <w:b/>
        </w:rPr>
        <w:instrText xml:space="preserve"> </w:instrText>
      </w:r>
      <w:r w:rsidR="009D170B">
        <w:rPr>
          <w:b/>
          <w:lang w:val="en-US"/>
        </w:rPr>
        <w:instrText>fraction</w:instrText>
      </w:r>
      <w:r w:rsidR="009D170B" w:rsidRPr="00320416">
        <w:rPr>
          <w:b/>
        </w:rPr>
        <w:instrText xml:space="preserve"> </w:instrText>
      </w:r>
      <w:r w:rsidR="009D170B">
        <w:rPr>
          <w:b/>
          <w:lang w:val="en-US"/>
        </w:rPr>
        <w:instrText>of</w:instrText>
      </w:r>
      <w:r w:rsidR="009D170B" w:rsidRPr="00320416">
        <w:rPr>
          <w:b/>
        </w:rPr>
        <w:instrText xml:space="preserve"> &gt; 50% </w:instrText>
      </w:r>
      <w:r w:rsidR="009D170B">
        <w:rPr>
          <w:b/>
          <w:lang w:val="en-US"/>
        </w:rPr>
        <w:instrText>but</w:instrText>
      </w:r>
      <w:r w:rsidR="009D170B" w:rsidRPr="00320416">
        <w:rPr>
          <w:b/>
        </w:rPr>
        <w:instrText xml:space="preserve"> ≤ 55% </w:instrText>
      </w:r>
      <w:r w:rsidR="009D170B">
        <w:rPr>
          <w:b/>
          <w:lang w:val="en-US"/>
        </w:rPr>
        <w:instrText>and</w:instrText>
      </w:r>
      <w:r w:rsidR="009D170B" w:rsidRPr="00320416">
        <w:rPr>
          <w:b/>
        </w:rPr>
        <w:instrText xml:space="preserve"> </w:instrText>
      </w:r>
      <w:r w:rsidR="009D170B">
        <w:rPr>
          <w:b/>
          <w:lang w:val="en-US"/>
        </w:rPr>
        <w:instrText>comorbid</w:instrText>
      </w:r>
      <w:r w:rsidR="009D170B" w:rsidRPr="00320416">
        <w:rPr>
          <w:b/>
        </w:rPr>
        <w:instrText xml:space="preserve"> </w:instrText>
      </w:r>
      <w:r w:rsidR="009D170B">
        <w:rPr>
          <w:b/>
          <w:lang w:val="en-US"/>
        </w:rPr>
        <w:instrText>cardiac</w:instrText>
      </w:r>
      <w:r w:rsidR="009D170B" w:rsidRPr="00320416">
        <w:rPr>
          <w:b/>
        </w:rPr>
        <w:instrText xml:space="preserve"> </w:instrText>
      </w:r>
      <w:r w:rsidR="009D170B">
        <w:rPr>
          <w:b/>
          <w:lang w:val="en-US"/>
        </w:rPr>
        <w:instrText>risk</w:instrText>
      </w:r>
      <w:r w:rsidR="009D170B" w:rsidRPr="00320416">
        <w:rPr>
          <w:b/>
        </w:rPr>
        <w:instrText xml:space="preserve"> </w:instrText>
      </w:r>
      <w:r w:rsidR="009D170B">
        <w:rPr>
          <w:b/>
          <w:lang w:val="en-US"/>
        </w:rPr>
        <w:instrText>factors</w:instrText>
      </w:r>
      <w:r w:rsidR="009D170B" w:rsidRPr="00320416">
        <w:rPr>
          <w:b/>
        </w:rPr>
        <w:instrText xml:space="preserve"> </w:instrText>
      </w:r>
      <w:r w:rsidR="009D170B">
        <w:rPr>
          <w:b/>
          <w:lang w:val="en-US"/>
        </w:rPr>
        <w:instrText>such</w:instrText>
      </w:r>
      <w:r w:rsidR="009D170B" w:rsidRPr="00320416">
        <w:rPr>
          <w:b/>
        </w:rPr>
        <w:instrText xml:space="preserve"> </w:instrText>
      </w:r>
      <w:r w:rsidR="009D170B">
        <w:rPr>
          <w:b/>
          <w:lang w:val="en-US"/>
        </w:rPr>
        <w:instrText>as</w:instrText>
      </w:r>
      <w:r w:rsidR="009D170B" w:rsidRPr="00320416">
        <w:rPr>
          <w:b/>
        </w:rPr>
        <w:instrText xml:space="preserve"> </w:instrText>
      </w:r>
      <w:r w:rsidR="009D170B">
        <w:rPr>
          <w:b/>
          <w:lang w:val="en-US"/>
        </w:rPr>
        <w:instrText>ischemic</w:instrText>
      </w:r>
      <w:r w:rsidR="009D170B" w:rsidRPr="00320416">
        <w:rPr>
          <w:b/>
        </w:rPr>
        <w:instrText xml:space="preserve"> </w:instrText>
      </w:r>
      <w:r w:rsidR="009D170B">
        <w:rPr>
          <w:b/>
          <w:lang w:val="en-US"/>
        </w:rPr>
        <w:instrText>heart</w:instrText>
      </w:r>
      <w:r w:rsidR="009D170B" w:rsidRPr="00320416">
        <w:rPr>
          <w:b/>
        </w:rPr>
        <w:instrText xml:space="preserve"> </w:instrText>
      </w:r>
      <w:r w:rsidR="009D170B">
        <w:rPr>
          <w:b/>
          <w:lang w:val="en-US"/>
        </w:rPr>
        <w:instrText>disease</w:instrText>
      </w:r>
      <w:r w:rsidR="009D170B" w:rsidRPr="00320416">
        <w:rPr>
          <w:b/>
        </w:rPr>
        <w:instrText xml:space="preserve">, </w:instrText>
      </w:r>
      <w:r w:rsidR="009D170B">
        <w:rPr>
          <w:b/>
          <w:lang w:val="en-US"/>
        </w:rPr>
        <w:instrText>diabetes</w:instrText>
      </w:r>
      <w:r w:rsidR="009D170B" w:rsidRPr="00320416">
        <w:rPr>
          <w:b/>
        </w:rPr>
        <w:instrText xml:space="preserve"> </w:instrText>
      </w:r>
      <w:r w:rsidR="009D170B">
        <w:rPr>
          <w:b/>
          <w:lang w:val="en-US"/>
        </w:rPr>
        <w:instrText>mellitus</w:instrText>
      </w:r>
      <w:r w:rsidR="009D170B" w:rsidRPr="00320416">
        <w:rPr>
          <w:b/>
        </w:rPr>
        <w:instrText xml:space="preserve">, </w:instrText>
      </w:r>
      <w:r w:rsidR="009D170B">
        <w:rPr>
          <w:b/>
          <w:lang w:val="en-US"/>
        </w:rPr>
        <w:instrText>or</w:instrText>
      </w:r>
      <w:r w:rsidR="009D170B" w:rsidRPr="00320416">
        <w:rPr>
          <w:b/>
        </w:rPr>
        <w:instrText xml:space="preserve"> </w:instrText>
      </w:r>
      <w:r w:rsidR="009D170B">
        <w:rPr>
          <w:b/>
          <w:lang w:val="en-US"/>
        </w:rPr>
        <w:instrText>hypertension</w:instrText>
      </w:r>
      <w:r w:rsidR="009D170B" w:rsidRPr="00320416">
        <w:rPr>
          <w:b/>
        </w:rPr>
        <w:instrText xml:space="preserve">. </w:instrText>
      </w:r>
      <w:r w:rsidR="009D170B">
        <w:rPr>
          <w:b/>
          <w:lang w:val="en-US"/>
        </w:rPr>
        <w:instrText>Primary</w:instrText>
      </w:r>
      <w:r w:rsidR="009D170B" w:rsidRPr="00320416">
        <w:rPr>
          <w:b/>
        </w:rPr>
        <w:instrText xml:space="preserve"> </w:instrText>
      </w:r>
      <w:r w:rsidR="009D170B">
        <w:rPr>
          <w:b/>
          <w:lang w:val="en-US"/>
        </w:rPr>
        <w:instrText>end</w:instrText>
      </w:r>
      <w:r w:rsidR="009D170B" w:rsidRPr="00320416">
        <w:rPr>
          <w:b/>
        </w:rPr>
        <w:instrText xml:space="preserve"> </w:instrText>
      </w:r>
      <w:r w:rsidR="009D170B">
        <w:rPr>
          <w:b/>
          <w:lang w:val="en-US"/>
        </w:rPr>
        <w:instrText>point</w:instrText>
      </w:r>
      <w:r w:rsidR="009D170B" w:rsidRPr="00320416">
        <w:rPr>
          <w:b/>
        </w:rPr>
        <w:instrText xml:space="preserve"> </w:instrText>
      </w:r>
      <w:r w:rsidR="009D170B">
        <w:rPr>
          <w:b/>
          <w:lang w:val="en-US"/>
        </w:rPr>
        <w:instrText>was</w:instrText>
      </w:r>
      <w:r w:rsidR="009D170B" w:rsidRPr="00320416">
        <w:rPr>
          <w:b/>
        </w:rPr>
        <w:instrText xml:space="preserve"> </w:instrText>
      </w:r>
      <w:r w:rsidR="009D170B">
        <w:rPr>
          <w:b/>
          <w:lang w:val="en-US"/>
        </w:rPr>
        <w:instrText>overall</w:instrText>
      </w:r>
      <w:r w:rsidR="009D170B" w:rsidRPr="00320416">
        <w:rPr>
          <w:b/>
        </w:rPr>
        <w:instrText xml:space="preserve"> </w:instrText>
      </w:r>
      <w:r w:rsidR="009D170B">
        <w:rPr>
          <w:b/>
          <w:lang w:val="en-US"/>
        </w:rPr>
        <w:instrText>response</w:instrText>
      </w:r>
      <w:r w:rsidR="009D170B" w:rsidRPr="00320416">
        <w:rPr>
          <w:b/>
        </w:rPr>
        <w:instrText xml:space="preserve"> </w:instrText>
      </w:r>
      <w:r w:rsidR="009D170B">
        <w:rPr>
          <w:b/>
          <w:lang w:val="en-US"/>
        </w:rPr>
        <w:instrText>rate</w:instrText>
      </w:r>
      <w:r w:rsidR="009D170B" w:rsidRPr="00320416">
        <w:rPr>
          <w:b/>
        </w:rPr>
        <w:instrText xml:space="preserve"> </w:instrText>
      </w:r>
      <w:r w:rsidR="009D170B">
        <w:rPr>
          <w:b/>
          <w:lang w:val="en-US"/>
        </w:rPr>
        <w:instrText>at</w:instrText>
      </w:r>
      <w:r w:rsidR="009D170B" w:rsidRPr="00320416">
        <w:rPr>
          <w:b/>
        </w:rPr>
        <w:instrText xml:space="preserve"> </w:instrText>
      </w:r>
      <w:r w:rsidR="009D170B">
        <w:rPr>
          <w:b/>
          <w:lang w:val="en-US"/>
        </w:rPr>
        <w:instrText>the</w:instrText>
      </w:r>
      <w:r w:rsidR="009D170B" w:rsidRPr="00320416">
        <w:rPr>
          <w:b/>
        </w:rPr>
        <w:instrText xml:space="preserve"> </w:instrText>
      </w:r>
      <w:r w:rsidR="009D170B">
        <w:rPr>
          <w:b/>
          <w:lang w:val="en-US"/>
        </w:rPr>
        <w:instrText>end</w:instrText>
      </w:r>
      <w:r w:rsidR="009D170B" w:rsidRPr="00320416">
        <w:rPr>
          <w:b/>
        </w:rPr>
        <w:instrText xml:space="preserve"> </w:instrText>
      </w:r>
      <w:r w:rsidR="009D170B">
        <w:rPr>
          <w:b/>
          <w:lang w:val="en-US"/>
        </w:rPr>
        <w:instrText>of</w:instrText>
      </w:r>
      <w:r w:rsidR="009D170B" w:rsidRPr="00320416">
        <w:rPr>
          <w:b/>
        </w:rPr>
        <w:instrText xml:space="preserve"> </w:instrText>
      </w:r>
      <w:r w:rsidR="009D170B">
        <w:rPr>
          <w:b/>
          <w:lang w:val="en-US"/>
        </w:rPr>
        <w:instrText>treatment</w:instrText>
      </w:r>
      <w:r w:rsidR="009D170B" w:rsidRPr="00320416">
        <w:rPr>
          <w:b/>
        </w:rPr>
        <w:instrText xml:space="preserve">. </w:instrText>
      </w:r>
      <w:r w:rsidR="009D170B">
        <w:rPr>
          <w:b/>
          <w:lang w:val="en-US"/>
        </w:rPr>
        <w:instrText>Results</w:instrText>
      </w:r>
      <w:r w:rsidR="009D170B" w:rsidRPr="00320416">
        <w:rPr>
          <w:b/>
        </w:rPr>
        <w:instrText xml:space="preserve">: </w:instrText>
      </w:r>
      <w:r w:rsidR="009D170B">
        <w:rPr>
          <w:b/>
          <w:lang w:val="en-US"/>
        </w:rPr>
        <w:instrText>Thirty</w:instrText>
      </w:r>
      <w:r w:rsidR="009D170B" w:rsidRPr="00320416">
        <w:rPr>
          <w:b/>
        </w:rPr>
        <w:instrText>-</w:instrText>
      </w:r>
      <w:r w:rsidR="009D170B">
        <w:rPr>
          <w:b/>
          <w:lang w:val="en-US"/>
        </w:rPr>
        <w:instrText>eight</w:instrText>
      </w:r>
      <w:r w:rsidR="009D170B" w:rsidRPr="00320416">
        <w:rPr>
          <w:b/>
        </w:rPr>
        <w:instrText xml:space="preserve"> </w:instrText>
      </w:r>
      <w:r w:rsidR="009D170B">
        <w:rPr>
          <w:b/>
          <w:lang w:val="en-US"/>
        </w:rPr>
        <w:instrText>patients</w:instrText>
      </w:r>
      <w:r w:rsidR="009D170B" w:rsidRPr="00320416">
        <w:rPr>
          <w:b/>
        </w:rPr>
        <w:instrText xml:space="preserve"> (61.3%; 95% </w:instrText>
      </w:r>
      <w:r w:rsidR="009D170B">
        <w:rPr>
          <w:b/>
          <w:lang w:val="en-US"/>
        </w:rPr>
        <w:instrText>CI</w:instrText>
      </w:r>
      <w:r w:rsidR="009D170B" w:rsidRPr="00320416">
        <w:rPr>
          <w:b/>
        </w:rPr>
        <w:instrText xml:space="preserve">, 49.2 </w:instrText>
      </w:r>
      <w:r w:rsidR="009D170B">
        <w:rPr>
          <w:b/>
          <w:lang w:val="en-US"/>
        </w:rPr>
        <w:instrText>to</w:instrText>
      </w:r>
      <w:r w:rsidR="009D170B" w:rsidRPr="00320416">
        <w:rPr>
          <w:b/>
        </w:rPr>
        <w:instrText xml:space="preserve"> 73.4) </w:instrText>
      </w:r>
      <w:r w:rsidR="009D170B">
        <w:rPr>
          <w:b/>
          <w:lang w:val="en-US"/>
        </w:rPr>
        <w:instrText>achieved</w:instrText>
      </w:r>
      <w:r w:rsidR="009D170B" w:rsidRPr="00320416">
        <w:rPr>
          <w:b/>
        </w:rPr>
        <w:instrText xml:space="preserve"> </w:instrText>
      </w:r>
      <w:r w:rsidR="009D170B">
        <w:rPr>
          <w:b/>
          <w:lang w:val="en-US"/>
        </w:rPr>
        <w:instrText>disease</w:instrText>
      </w:r>
      <w:r w:rsidR="009D170B" w:rsidRPr="00320416">
        <w:rPr>
          <w:b/>
        </w:rPr>
        <w:instrText xml:space="preserve"> </w:instrText>
      </w:r>
      <w:r w:rsidR="009D170B">
        <w:rPr>
          <w:b/>
          <w:lang w:val="en-US"/>
        </w:rPr>
        <w:instrText>response</w:instrText>
      </w:r>
      <w:r w:rsidR="009D170B" w:rsidRPr="00320416">
        <w:rPr>
          <w:b/>
        </w:rPr>
        <w:instrText xml:space="preserve"> (</w:instrText>
      </w:r>
      <w:r w:rsidR="009D170B">
        <w:rPr>
          <w:b/>
          <w:lang w:val="en-US"/>
        </w:rPr>
        <w:instrText>complete</w:instrText>
      </w:r>
      <w:r w:rsidR="009D170B" w:rsidRPr="00320416">
        <w:rPr>
          <w:b/>
        </w:rPr>
        <w:instrText xml:space="preserve"> </w:instrText>
      </w:r>
      <w:r w:rsidR="009D170B">
        <w:rPr>
          <w:b/>
          <w:lang w:val="en-US"/>
        </w:rPr>
        <w:instrText>response</w:instrText>
      </w:r>
      <w:r w:rsidR="009D170B" w:rsidRPr="00320416">
        <w:rPr>
          <w:b/>
        </w:rPr>
        <w:instrText xml:space="preserve"> [</w:instrText>
      </w:r>
      <w:r w:rsidR="009D170B">
        <w:rPr>
          <w:b/>
          <w:lang w:val="en-US"/>
        </w:rPr>
        <w:instrText>CR</w:instrText>
      </w:r>
      <w:r w:rsidR="009D170B" w:rsidRPr="00320416">
        <w:rPr>
          <w:b/>
        </w:rPr>
        <w:instrText xml:space="preserve">], </w:instrText>
      </w:r>
      <w:r w:rsidR="009D170B">
        <w:rPr>
          <w:b/>
          <w:lang w:val="en-US"/>
        </w:rPr>
        <w:instrText>n</w:instrText>
      </w:r>
      <w:r w:rsidR="009D170B" w:rsidRPr="00320416">
        <w:rPr>
          <w:b/>
        </w:rPr>
        <w:instrText xml:space="preserve"> = 18; </w:instrText>
      </w:r>
      <w:r w:rsidR="009D170B">
        <w:rPr>
          <w:b/>
          <w:lang w:val="en-US"/>
        </w:rPr>
        <w:instrText>undocumented</w:instrText>
      </w:r>
      <w:r w:rsidR="009D170B" w:rsidRPr="00320416">
        <w:rPr>
          <w:b/>
        </w:rPr>
        <w:instrText>/</w:instrText>
      </w:r>
      <w:r w:rsidR="009D170B">
        <w:rPr>
          <w:b/>
          <w:lang w:val="en-US"/>
        </w:rPr>
        <w:instrText>unconfirmed</w:instrText>
      </w:r>
      <w:r w:rsidR="009D170B" w:rsidRPr="00320416">
        <w:rPr>
          <w:b/>
        </w:rPr>
        <w:instrText xml:space="preserve"> </w:instrText>
      </w:r>
      <w:r w:rsidR="009D170B">
        <w:rPr>
          <w:b/>
          <w:lang w:val="en-US"/>
        </w:rPr>
        <w:instrText>CR</w:instrText>
      </w:r>
      <w:r w:rsidR="009D170B" w:rsidRPr="00320416">
        <w:rPr>
          <w:b/>
        </w:rPr>
        <w:instrText xml:space="preserve">, </w:instrText>
      </w:r>
      <w:r w:rsidR="009D170B">
        <w:rPr>
          <w:b/>
          <w:lang w:val="en-US"/>
        </w:rPr>
        <w:instrText>n</w:instrText>
      </w:r>
      <w:r w:rsidR="009D170B" w:rsidRPr="00320416">
        <w:rPr>
          <w:b/>
        </w:rPr>
        <w:instrText xml:space="preserve"> = 6; </w:instrText>
      </w:r>
      <w:r w:rsidR="009D170B">
        <w:rPr>
          <w:b/>
          <w:lang w:val="en-US"/>
        </w:rPr>
        <w:instrText>partial</w:instrText>
      </w:r>
      <w:r w:rsidR="009D170B" w:rsidRPr="00320416">
        <w:rPr>
          <w:b/>
        </w:rPr>
        <w:instrText xml:space="preserve"> </w:instrText>
      </w:r>
      <w:r w:rsidR="009D170B">
        <w:rPr>
          <w:b/>
          <w:lang w:val="en-US"/>
        </w:rPr>
        <w:instrText>response</w:instrText>
      </w:r>
      <w:r w:rsidR="009D170B" w:rsidRPr="00320416">
        <w:rPr>
          <w:b/>
        </w:rPr>
        <w:instrText xml:space="preserve">, </w:instrText>
      </w:r>
      <w:r w:rsidR="009D170B">
        <w:rPr>
          <w:b/>
          <w:lang w:val="en-US"/>
        </w:rPr>
        <w:instrText>n</w:instrText>
      </w:r>
      <w:r w:rsidR="009D170B" w:rsidRPr="00320416">
        <w:rPr>
          <w:b/>
        </w:rPr>
        <w:instrText xml:space="preserve"> = 14). </w:instrText>
      </w:r>
      <w:r w:rsidR="009D170B">
        <w:rPr>
          <w:b/>
          <w:lang w:val="en-US"/>
        </w:rPr>
        <w:instrText>Two</w:instrText>
      </w:r>
      <w:r w:rsidR="009D170B" w:rsidRPr="00320416">
        <w:rPr>
          <w:b/>
        </w:rPr>
        <w:instrText>-</w:instrText>
      </w:r>
      <w:r w:rsidR="009D170B">
        <w:rPr>
          <w:b/>
          <w:lang w:val="en-US"/>
        </w:rPr>
        <w:instrText>year</w:instrText>
      </w:r>
      <w:r w:rsidR="009D170B" w:rsidRPr="00AA43FB">
        <w:rPr>
          <w:b/>
        </w:rPr>
        <w:instrText xml:space="preserve"> </w:instrText>
      </w:r>
      <w:r w:rsidR="009D170B">
        <w:rPr>
          <w:b/>
          <w:lang w:val="en-US"/>
        </w:rPr>
        <w:instrText>progression</w:instrText>
      </w:r>
      <w:r w:rsidR="009D170B" w:rsidRPr="00AA43FB">
        <w:rPr>
          <w:b/>
        </w:rPr>
        <w:instrText>-</w:instrText>
      </w:r>
      <w:r w:rsidR="009D170B">
        <w:rPr>
          <w:b/>
          <w:lang w:val="en-US"/>
        </w:rPr>
        <w:instrText>free</w:instrText>
      </w:r>
      <w:r w:rsidR="009D170B" w:rsidRPr="00AA43FB">
        <w:rPr>
          <w:b/>
        </w:rPr>
        <w:instrText xml:space="preserve"> </w:instrText>
      </w:r>
      <w:r w:rsidR="009D170B">
        <w:rPr>
          <w:b/>
          <w:lang w:val="en-US"/>
        </w:rPr>
        <w:instrText>survival</w:instrText>
      </w:r>
      <w:r w:rsidR="009D170B" w:rsidRPr="00AA43FB">
        <w:rPr>
          <w:b/>
        </w:rPr>
        <w:instrText xml:space="preserve"> </w:instrText>
      </w:r>
      <w:r w:rsidR="009D170B">
        <w:rPr>
          <w:b/>
          <w:lang w:val="en-US"/>
        </w:rPr>
        <w:instrText>for</w:instrText>
      </w:r>
      <w:r w:rsidR="009D170B" w:rsidRPr="00AA43FB">
        <w:rPr>
          <w:b/>
        </w:rPr>
        <w:instrText xml:space="preserve"> </w:instrText>
      </w:r>
      <w:r w:rsidR="009D170B">
        <w:rPr>
          <w:b/>
          <w:lang w:val="en-US"/>
        </w:rPr>
        <w:instrText>all</w:instrText>
      </w:r>
      <w:r w:rsidR="009D170B" w:rsidRPr="00AA43FB">
        <w:rPr>
          <w:b/>
        </w:rPr>
        <w:instrText xml:space="preserve"> </w:instrText>
      </w:r>
      <w:r w:rsidR="009D170B">
        <w:rPr>
          <w:b/>
          <w:lang w:val="en-US"/>
        </w:rPr>
        <w:instrText>patients</w:instrText>
      </w:r>
      <w:r w:rsidR="009D170B" w:rsidRPr="00AA43FB">
        <w:rPr>
          <w:b/>
        </w:rPr>
        <w:instrText xml:space="preserve"> </w:instrText>
      </w:r>
      <w:r w:rsidR="009D170B">
        <w:rPr>
          <w:b/>
          <w:lang w:val="en-US"/>
        </w:rPr>
        <w:instrText>was</w:instrText>
      </w:r>
      <w:r w:rsidR="009D170B" w:rsidRPr="00AA43FB">
        <w:rPr>
          <w:b/>
        </w:rPr>
        <w:instrText xml:space="preserve"> 49.8% (95% </w:instrText>
      </w:r>
      <w:r w:rsidR="009D170B">
        <w:rPr>
          <w:b/>
          <w:lang w:val="en-US"/>
        </w:rPr>
        <w:instrText>CI</w:instrText>
      </w:r>
      <w:r w:rsidR="009D170B" w:rsidRPr="00AA43FB">
        <w:rPr>
          <w:b/>
        </w:rPr>
        <w:instrText xml:space="preserve">, 37.3 </w:instrText>
      </w:r>
      <w:r w:rsidR="009D170B">
        <w:rPr>
          <w:b/>
          <w:lang w:val="en-US"/>
        </w:rPr>
        <w:instrText>to</w:instrText>
      </w:r>
      <w:r w:rsidR="009D170B" w:rsidRPr="00AA43FB">
        <w:rPr>
          <w:b/>
        </w:rPr>
        <w:instrText xml:space="preserve"> 62.3), </w:instrText>
      </w:r>
      <w:r w:rsidR="009D170B">
        <w:rPr>
          <w:b/>
          <w:lang w:val="en-US"/>
        </w:rPr>
        <w:instrText>and</w:instrText>
      </w:r>
      <w:r w:rsidR="009D170B" w:rsidRPr="00AA43FB">
        <w:rPr>
          <w:b/>
        </w:rPr>
        <w:instrText xml:space="preserve"> 2-</w:instrText>
      </w:r>
      <w:r w:rsidR="009D170B">
        <w:rPr>
          <w:b/>
          <w:lang w:val="en-US"/>
        </w:rPr>
        <w:instrText>year</w:instrText>
      </w:r>
      <w:r w:rsidR="009D170B" w:rsidRPr="00AA43FB">
        <w:rPr>
          <w:b/>
        </w:rPr>
        <w:instrText xml:space="preserve"> </w:instrText>
      </w:r>
      <w:r w:rsidR="009D170B">
        <w:rPr>
          <w:b/>
          <w:lang w:val="en-US"/>
        </w:rPr>
        <w:instrText>overall</w:instrText>
      </w:r>
      <w:r w:rsidR="009D170B" w:rsidRPr="00AA43FB">
        <w:rPr>
          <w:b/>
        </w:rPr>
        <w:instrText xml:space="preserve"> </w:instrText>
      </w:r>
      <w:r w:rsidR="009D170B">
        <w:rPr>
          <w:b/>
          <w:lang w:val="en-US"/>
        </w:rPr>
        <w:instrText>survival</w:instrText>
      </w:r>
      <w:r w:rsidR="009D170B" w:rsidRPr="00AA43FB">
        <w:rPr>
          <w:b/>
        </w:rPr>
        <w:instrText xml:space="preserve"> </w:instrText>
      </w:r>
      <w:r w:rsidR="009D170B">
        <w:rPr>
          <w:b/>
          <w:lang w:val="en-US"/>
        </w:rPr>
        <w:instrText>was</w:instrText>
      </w:r>
      <w:r w:rsidR="009D170B" w:rsidRPr="00AA43FB">
        <w:rPr>
          <w:b/>
        </w:rPr>
        <w:instrText xml:space="preserve"> 55.8% (95% </w:instrText>
      </w:r>
      <w:r w:rsidR="009D170B">
        <w:rPr>
          <w:b/>
          <w:lang w:val="en-US"/>
        </w:rPr>
        <w:instrText>CI</w:instrText>
      </w:r>
      <w:r w:rsidR="009D170B" w:rsidRPr="00AA43FB">
        <w:rPr>
          <w:b/>
        </w:rPr>
        <w:instrText xml:space="preserve">, 43.3 </w:instrText>
      </w:r>
      <w:r w:rsidR="009D170B">
        <w:rPr>
          <w:b/>
          <w:lang w:val="en-US"/>
        </w:rPr>
        <w:instrText>to</w:instrText>
      </w:r>
      <w:r w:rsidR="009D170B" w:rsidRPr="00AA43FB">
        <w:rPr>
          <w:b/>
        </w:rPr>
        <w:instrText xml:space="preserve"> 68.4). </w:instrText>
      </w:r>
      <w:r w:rsidR="009D170B">
        <w:rPr>
          <w:b/>
          <w:lang w:val="en-US"/>
        </w:rPr>
        <w:instrText>Thirty</w:instrText>
      </w:r>
      <w:r w:rsidR="009D170B" w:rsidRPr="00AA43FB">
        <w:rPr>
          <w:b/>
        </w:rPr>
        <w:instrText>-</w:instrText>
      </w:r>
      <w:r w:rsidR="009D170B">
        <w:rPr>
          <w:b/>
          <w:lang w:val="en-US"/>
        </w:rPr>
        <w:instrText>four</w:instrText>
      </w:r>
      <w:r w:rsidR="009D170B" w:rsidRPr="00AA43FB">
        <w:rPr>
          <w:b/>
        </w:rPr>
        <w:instrText xml:space="preserve"> </w:instrText>
      </w:r>
      <w:r w:rsidR="009D170B">
        <w:rPr>
          <w:b/>
          <w:lang w:val="en-US"/>
        </w:rPr>
        <w:instrText>patients</w:instrText>
      </w:r>
      <w:r w:rsidR="009D170B" w:rsidRPr="00AA43FB">
        <w:rPr>
          <w:b/>
        </w:rPr>
        <w:instrText xml:space="preserve"> </w:instrText>
      </w:r>
      <w:r w:rsidR="009D170B">
        <w:rPr>
          <w:b/>
          <w:lang w:val="en-US"/>
        </w:rPr>
        <w:instrText>experienced</w:instrText>
      </w:r>
      <w:r w:rsidR="009D170B" w:rsidRPr="00AA43FB">
        <w:rPr>
          <w:b/>
        </w:rPr>
        <w:instrText xml:space="preserve"> </w:instrText>
      </w:r>
      <w:r w:rsidR="009D170B">
        <w:rPr>
          <w:b/>
          <w:lang w:val="en-US"/>
        </w:rPr>
        <w:instrText>grade</w:instrText>
      </w:r>
      <w:r w:rsidR="009D170B" w:rsidRPr="00AA43FB">
        <w:rPr>
          <w:b/>
        </w:rPr>
        <w:instrText xml:space="preserve"> ≥ 3 </w:instrText>
      </w:r>
      <w:r w:rsidR="009D170B">
        <w:rPr>
          <w:b/>
          <w:lang w:val="en-US"/>
        </w:rPr>
        <w:instrText>hematologic</w:instrText>
      </w:r>
      <w:r w:rsidR="009D170B" w:rsidRPr="00AA43FB">
        <w:rPr>
          <w:b/>
        </w:rPr>
        <w:instrText xml:space="preserve"> </w:instrText>
      </w:r>
      <w:r w:rsidR="009D170B">
        <w:rPr>
          <w:b/>
          <w:lang w:val="en-US"/>
        </w:rPr>
        <w:instrText>toxicity</w:instrText>
      </w:r>
      <w:r w:rsidR="009D170B" w:rsidRPr="00AA43FB">
        <w:rPr>
          <w:b/>
        </w:rPr>
        <w:instrText xml:space="preserve">. </w:instrText>
      </w:r>
      <w:r w:rsidR="009D170B">
        <w:rPr>
          <w:b/>
          <w:lang w:val="en-US"/>
        </w:rPr>
        <w:instrText>There</w:instrText>
      </w:r>
      <w:r w:rsidR="009D170B" w:rsidRPr="00AA43FB">
        <w:rPr>
          <w:b/>
        </w:rPr>
        <w:instrText xml:space="preserve"> </w:instrText>
      </w:r>
      <w:r w:rsidR="009D170B">
        <w:rPr>
          <w:b/>
          <w:lang w:val="en-US"/>
        </w:rPr>
        <w:instrText>were</w:instrText>
      </w:r>
      <w:r w:rsidR="009D170B" w:rsidRPr="00AA43FB">
        <w:rPr>
          <w:b/>
        </w:rPr>
        <w:instrText xml:space="preserve"> 15 </w:instrText>
      </w:r>
      <w:r w:rsidR="009D170B">
        <w:rPr>
          <w:b/>
          <w:lang w:val="en-US"/>
        </w:rPr>
        <w:instrText>cardiac</w:instrText>
      </w:r>
      <w:r w:rsidR="009D170B" w:rsidRPr="00AA43FB">
        <w:rPr>
          <w:b/>
        </w:rPr>
        <w:instrText xml:space="preserve"> </w:instrText>
      </w:r>
      <w:r w:rsidR="009D170B">
        <w:rPr>
          <w:b/>
          <w:lang w:val="en-US"/>
        </w:rPr>
        <w:instrText>events</w:instrText>
      </w:r>
      <w:r w:rsidR="009D170B" w:rsidRPr="00AA43FB">
        <w:rPr>
          <w:b/>
        </w:rPr>
        <w:instrText xml:space="preserve">, </w:instrText>
      </w:r>
      <w:r w:rsidR="009D170B">
        <w:rPr>
          <w:b/>
          <w:lang w:val="en-US"/>
        </w:rPr>
        <w:instrText>of</w:instrText>
      </w:r>
      <w:r w:rsidR="009D170B" w:rsidRPr="00AA43FB">
        <w:rPr>
          <w:b/>
        </w:rPr>
        <w:instrText xml:space="preserve"> </w:instrText>
      </w:r>
      <w:r w:rsidR="009D170B">
        <w:rPr>
          <w:b/>
          <w:lang w:val="en-US"/>
        </w:rPr>
        <w:instrText>which</w:instrText>
      </w:r>
      <w:r w:rsidR="009D170B" w:rsidRPr="00AA43FB">
        <w:rPr>
          <w:b/>
        </w:rPr>
        <w:instrText xml:space="preserve"> </w:instrText>
      </w:r>
      <w:r w:rsidR="009D170B">
        <w:rPr>
          <w:b/>
          <w:lang w:val="en-US"/>
        </w:rPr>
        <w:instrText>seven</w:instrText>
      </w:r>
      <w:r w:rsidR="009D170B" w:rsidRPr="00AA43FB">
        <w:rPr>
          <w:b/>
        </w:rPr>
        <w:instrText xml:space="preserve"> </w:instrText>
      </w:r>
      <w:r w:rsidR="009D170B">
        <w:rPr>
          <w:b/>
          <w:lang w:val="en-US"/>
        </w:rPr>
        <w:instrText>were</w:instrText>
      </w:r>
      <w:r w:rsidR="009D170B" w:rsidRPr="00AA43FB">
        <w:rPr>
          <w:b/>
        </w:rPr>
        <w:instrText xml:space="preserve"> </w:instrText>
      </w:r>
      <w:r w:rsidR="009D170B">
        <w:rPr>
          <w:b/>
          <w:lang w:val="en-US"/>
        </w:rPr>
        <w:instrText>grade</w:instrText>
      </w:r>
      <w:r w:rsidR="009D170B" w:rsidRPr="00AA43FB">
        <w:rPr>
          <w:b/>
        </w:rPr>
        <w:instrText xml:space="preserve"> 1 </w:instrText>
      </w:r>
      <w:r w:rsidR="009D170B">
        <w:rPr>
          <w:b/>
          <w:lang w:val="en-US"/>
        </w:rPr>
        <w:instrText>to</w:instrText>
      </w:r>
      <w:r w:rsidR="009D170B" w:rsidRPr="00AA43FB">
        <w:rPr>
          <w:b/>
        </w:rPr>
        <w:instrText xml:space="preserve"> 2, </w:instrText>
      </w:r>
      <w:r w:rsidR="009D170B">
        <w:rPr>
          <w:b/>
          <w:lang w:val="en-US"/>
        </w:rPr>
        <w:instrText>five</w:instrText>
      </w:r>
      <w:r w:rsidR="009D170B" w:rsidRPr="00AA43FB">
        <w:rPr>
          <w:b/>
        </w:rPr>
        <w:instrText xml:space="preserve"> </w:instrText>
      </w:r>
      <w:r w:rsidR="009D170B">
        <w:rPr>
          <w:b/>
          <w:lang w:val="en-US"/>
        </w:rPr>
        <w:instrText>were</w:instrText>
      </w:r>
      <w:r w:rsidR="009D170B" w:rsidRPr="00AA43FB">
        <w:rPr>
          <w:b/>
        </w:rPr>
        <w:instrText xml:space="preserve"> </w:instrText>
      </w:r>
      <w:r w:rsidR="009D170B">
        <w:rPr>
          <w:b/>
          <w:lang w:val="en-US"/>
        </w:rPr>
        <w:instrText>grade</w:instrText>
      </w:r>
      <w:r w:rsidR="009D170B" w:rsidRPr="00AA43FB">
        <w:rPr>
          <w:b/>
        </w:rPr>
        <w:instrText xml:space="preserve"> 3 </w:instrText>
      </w:r>
      <w:r w:rsidR="009D170B">
        <w:rPr>
          <w:b/>
          <w:lang w:val="en-US"/>
        </w:rPr>
        <w:instrText>to</w:instrText>
      </w:r>
      <w:r w:rsidR="009D170B" w:rsidRPr="00AA43FB">
        <w:rPr>
          <w:b/>
        </w:rPr>
        <w:instrText xml:space="preserve"> 4, </w:instrText>
      </w:r>
      <w:r w:rsidR="009D170B">
        <w:rPr>
          <w:b/>
          <w:lang w:val="en-US"/>
        </w:rPr>
        <w:instrText>and</w:instrText>
      </w:r>
      <w:r w:rsidR="009D170B" w:rsidRPr="00AA43FB">
        <w:rPr>
          <w:b/>
        </w:rPr>
        <w:instrText xml:space="preserve"> </w:instrText>
      </w:r>
      <w:r w:rsidR="009D170B">
        <w:rPr>
          <w:b/>
          <w:lang w:val="en-US"/>
        </w:rPr>
        <w:instrText>three</w:instrText>
      </w:r>
      <w:r w:rsidR="009D170B" w:rsidRPr="00AA43FB">
        <w:rPr>
          <w:b/>
        </w:rPr>
        <w:instrText xml:space="preserve"> </w:instrText>
      </w:r>
      <w:r w:rsidR="009D170B">
        <w:rPr>
          <w:b/>
          <w:lang w:val="en-US"/>
        </w:rPr>
        <w:instrText>were</w:instrText>
      </w:r>
      <w:r w:rsidR="009D170B" w:rsidRPr="00AA43FB">
        <w:rPr>
          <w:b/>
        </w:rPr>
        <w:instrText xml:space="preserve"> </w:instrText>
      </w:r>
      <w:r w:rsidR="009D170B">
        <w:rPr>
          <w:b/>
          <w:lang w:val="en-US"/>
        </w:rPr>
        <w:instrText>fatal</w:instrText>
      </w:r>
      <w:r w:rsidR="009D170B" w:rsidRPr="00AA43FB">
        <w:rPr>
          <w:b/>
        </w:rPr>
        <w:instrText xml:space="preserve">, </w:instrText>
      </w:r>
      <w:r w:rsidR="009D170B">
        <w:rPr>
          <w:b/>
          <w:lang w:val="en-US"/>
        </w:rPr>
        <w:instrText>reflecting</w:instrText>
      </w:r>
      <w:r w:rsidR="009D170B" w:rsidRPr="00AA43FB">
        <w:rPr>
          <w:b/>
        </w:rPr>
        <w:instrText xml:space="preserve"> </w:instrText>
      </w:r>
      <w:r w:rsidR="009D170B">
        <w:rPr>
          <w:b/>
          <w:lang w:val="en-US"/>
        </w:rPr>
        <w:instrText>the</w:instrText>
      </w:r>
      <w:r w:rsidR="009D170B" w:rsidRPr="00AA43FB">
        <w:rPr>
          <w:b/>
        </w:rPr>
        <w:instrText xml:space="preserve"> </w:instrText>
      </w:r>
      <w:r w:rsidR="009D170B">
        <w:rPr>
          <w:b/>
          <w:lang w:val="en-US"/>
        </w:rPr>
        <w:instrText>poor</w:instrText>
      </w:r>
      <w:r w:rsidR="009D170B" w:rsidRPr="00AA43FB">
        <w:rPr>
          <w:b/>
        </w:rPr>
        <w:instrText xml:space="preserve"> </w:instrText>
      </w:r>
      <w:r w:rsidR="009D170B">
        <w:rPr>
          <w:b/>
          <w:lang w:val="en-US"/>
        </w:rPr>
        <w:instrText>cardiac</w:instrText>
      </w:r>
      <w:r w:rsidR="009D170B" w:rsidRPr="00AA43FB">
        <w:rPr>
          <w:b/>
        </w:rPr>
        <w:instrText xml:space="preserve"> </w:instrText>
      </w:r>
      <w:r w:rsidR="009D170B">
        <w:rPr>
          <w:b/>
          <w:lang w:val="en-US"/>
        </w:rPr>
        <w:instrText>status</w:instrText>
      </w:r>
      <w:r w:rsidR="009D170B" w:rsidRPr="00AA43FB">
        <w:rPr>
          <w:b/>
        </w:rPr>
        <w:instrText xml:space="preserve"> </w:instrText>
      </w:r>
      <w:r w:rsidR="009D170B">
        <w:rPr>
          <w:b/>
          <w:lang w:val="en-US"/>
        </w:rPr>
        <w:instrText>of</w:instrText>
      </w:r>
      <w:r w:rsidR="009D170B" w:rsidRPr="00AA43FB">
        <w:rPr>
          <w:b/>
        </w:rPr>
        <w:instrText xml:space="preserve"> </w:instrText>
      </w:r>
      <w:r w:rsidR="009D170B">
        <w:rPr>
          <w:b/>
          <w:lang w:val="en-US"/>
        </w:rPr>
        <w:instrText>the</w:instrText>
      </w:r>
      <w:r w:rsidR="009D170B" w:rsidRPr="00AA43FB">
        <w:rPr>
          <w:b/>
        </w:rPr>
        <w:instrText xml:space="preserve"> </w:instrText>
      </w:r>
      <w:r w:rsidR="009D170B">
        <w:rPr>
          <w:b/>
          <w:lang w:val="en-US"/>
        </w:rPr>
        <w:instrText>study</w:instrText>
      </w:r>
      <w:r w:rsidR="009D170B" w:rsidRPr="00AA43FB">
        <w:rPr>
          <w:b/>
        </w:rPr>
        <w:instrText xml:space="preserve"> </w:instrText>
      </w:r>
      <w:r w:rsidR="009D170B">
        <w:rPr>
          <w:b/>
          <w:lang w:val="en-US"/>
        </w:rPr>
        <w:instrText>population</w:instrText>
      </w:r>
      <w:r w:rsidR="009D170B" w:rsidRPr="00AA43FB">
        <w:rPr>
          <w:b/>
        </w:rPr>
        <w:instrText xml:space="preserve">. </w:instrText>
      </w:r>
      <w:r w:rsidR="009D170B">
        <w:rPr>
          <w:b/>
          <w:lang w:val="en-US"/>
        </w:rPr>
        <w:instrText>Conclusion</w:instrText>
      </w:r>
      <w:r w:rsidR="009D170B" w:rsidRPr="00AA43FB">
        <w:rPr>
          <w:b/>
        </w:rPr>
        <w:instrText xml:space="preserve">: </w:instrText>
      </w:r>
      <w:r w:rsidR="009D170B">
        <w:rPr>
          <w:b/>
          <w:lang w:val="en-US"/>
        </w:rPr>
        <w:instrText>Our</w:instrText>
      </w:r>
      <w:r w:rsidR="009D170B" w:rsidRPr="00AA43FB">
        <w:rPr>
          <w:b/>
        </w:rPr>
        <w:instrText xml:space="preserve"> </w:instrText>
      </w:r>
      <w:r w:rsidR="009D170B">
        <w:rPr>
          <w:b/>
          <w:lang w:val="en-US"/>
        </w:rPr>
        <w:instrText>phase</w:instrText>
      </w:r>
      <w:r w:rsidR="009D170B" w:rsidRPr="00AA43FB">
        <w:rPr>
          <w:b/>
        </w:rPr>
        <w:instrText xml:space="preserve"> </w:instrText>
      </w:r>
      <w:r w:rsidR="009D170B">
        <w:rPr>
          <w:b/>
          <w:lang w:val="en-US"/>
        </w:rPr>
        <w:instrText>II</w:instrText>
      </w:r>
      <w:r w:rsidR="009D170B" w:rsidRPr="00AA43FB">
        <w:rPr>
          <w:b/>
        </w:rPr>
        <w:instrText xml:space="preserve"> </w:instrText>
      </w:r>
      <w:r w:rsidR="009D170B">
        <w:rPr>
          <w:b/>
          <w:lang w:val="en-US"/>
        </w:rPr>
        <w:instrText>multicenter</w:instrText>
      </w:r>
      <w:r w:rsidR="009D170B" w:rsidRPr="00AA43FB">
        <w:rPr>
          <w:b/>
        </w:rPr>
        <w:instrText xml:space="preserve"> </w:instrText>
      </w:r>
      <w:r w:rsidR="009D170B">
        <w:rPr>
          <w:b/>
          <w:lang w:val="en-US"/>
        </w:rPr>
        <w:instrText>trial</w:instrText>
      </w:r>
      <w:r w:rsidR="009D170B" w:rsidRPr="00AA43FB">
        <w:rPr>
          <w:b/>
        </w:rPr>
        <w:instrText xml:space="preserve"> </w:instrText>
      </w:r>
      <w:r w:rsidR="009D170B">
        <w:rPr>
          <w:b/>
          <w:lang w:val="en-US"/>
        </w:rPr>
        <w:instrText>showed</w:instrText>
      </w:r>
      <w:r w:rsidR="009D170B" w:rsidRPr="00AA43FB">
        <w:rPr>
          <w:b/>
        </w:rPr>
        <w:instrText xml:space="preserve"> </w:instrText>
      </w:r>
      <w:r w:rsidR="009D170B">
        <w:rPr>
          <w:b/>
          <w:lang w:val="en-US"/>
        </w:rPr>
        <w:instrText>that</w:instrText>
      </w:r>
      <w:r w:rsidR="009D170B" w:rsidRPr="00AA43FB">
        <w:rPr>
          <w:b/>
        </w:rPr>
        <w:instrText xml:space="preserve"> </w:instrText>
      </w:r>
      <w:r w:rsidR="009D170B">
        <w:rPr>
          <w:b/>
          <w:lang w:val="en-US"/>
        </w:rPr>
        <w:instrText>the</w:instrText>
      </w:r>
      <w:r w:rsidR="009D170B" w:rsidRPr="00AA43FB">
        <w:rPr>
          <w:b/>
        </w:rPr>
        <w:instrText xml:space="preserve"> </w:instrText>
      </w:r>
      <w:r w:rsidR="009D170B">
        <w:rPr>
          <w:b/>
          <w:lang w:val="en-US"/>
        </w:rPr>
        <w:instrText>R</w:instrText>
      </w:r>
      <w:r w:rsidR="009D170B" w:rsidRPr="00AA43FB">
        <w:rPr>
          <w:b/>
        </w:rPr>
        <w:instrText>-</w:instrText>
      </w:r>
      <w:r w:rsidR="009D170B">
        <w:rPr>
          <w:b/>
          <w:lang w:val="en-US"/>
        </w:rPr>
        <w:instrText>GCVP</w:instrText>
      </w:r>
      <w:r w:rsidR="009D170B" w:rsidRPr="00AA43FB">
        <w:rPr>
          <w:b/>
        </w:rPr>
        <w:instrText xml:space="preserve"> </w:instrText>
      </w:r>
      <w:r w:rsidR="009D170B">
        <w:rPr>
          <w:b/>
          <w:lang w:val="en-US"/>
        </w:rPr>
        <w:instrText>regimen</w:instrText>
      </w:r>
      <w:r w:rsidR="009D170B" w:rsidRPr="00AA43FB">
        <w:rPr>
          <w:b/>
        </w:rPr>
        <w:instrText xml:space="preserve"> </w:instrText>
      </w:r>
      <w:r w:rsidR="009D170B">
        <w:rPr>
          <w:b/>
          <w:lang w:val="en-US"/>
        </w:rPr>
        <w:instrText>is</w:instrText>
      </w:r>
      <w:r w:rsidR="009D170B" w:rsidRPr="00AA43FB">
        <w:rPr>
          <w:b/>
        </w:rPr>
        <w:instrText xml:space="preserve"> </w:instrText>
      </w:r>
      <w:r w:rsidR="009D170B">
        <w:rPr>
          <w:b/>
          <w:lang w:val="en-US"/>
        </w:rPr>
        <w:instrText>an</w:instrText>
      </w:r>
      <w:r w:rsidR="009D170B" w:rsidRPr="00AA43FB">
        <w:rPr>
          <w:b/>
        </w:rPr>
        <w:instrText xml:space="preserve"> </w:instrText>
      </w:r>
      <w:r w:rsidR="009D170B">
        <w:rPr>
          <w:b/>
          <w:lang w:val="en-US"/>
        </w:rPr>
        <w:instrText>active</w:instrText>
      </w:r>
      <w:r w:rsidR="009D170B" w:rsidRPr="00AA43FB">
        <w:rPr>
          <w:b/>
        </w:rPr>
        <w:instrText xml:space="preserve">, </w:instrText>
      </w:r>
      <w:r w:rsidR="009D170B">
        <w:rPr>
          <w:b/>
          <w:lang w:val="en-US"/>
        </w:rPr>
        <w:instrText>reasonably</w:instrText>
      </w:r>
      <w:r w:rsidR="009D170B" w:rsidRPr="00AA43FB">
        <w:rPr>
          <w:b/>
        </w:rPr>
        <w:instrText xml:space="preserve"> </w:instrText>
      </w:r>
      <w:r w:rsidR="009D170B">
        <w:rPr>
          <w:b/>
          <w:lang w:val="en-US"/>
        </w:rPr>
        <w:instrText>well</w:instrText>
      </w:r>
      <w:r w:rsidR="009D170B" w:rsidRPr="00AA43FB">
        <w:rPr>
          <w:b/>
        </w:rPr>
        <w:instrText>-</w:instrText>
      </w:r>
      <w:r w:rsidR="009D170B">
        <w:rPr>
          <w:b/>
          <w:lang w:val="en-US"/>
        </w:rPr>
        <w:instrText>tolerated</w:instrText>
      </w:r>
      <w:r w:rsidR="009D170B" w:rsidRPr="00AA43FB">
        <w:rPr>
          <w:b/>
        </w:rPr>
        <w:instrText xml:space="preserve"> </w:instrText>
      </w:r>
      <w:r w:rsidR="009D170B">
        <w:rPr>
          <w:b/>
          <w:lang w:val="en-US"/>
        </w:rPr>
        <w:instrText>treatment</w:instrText>
      </w:r>
      <w:r w:rsidR="009D170B" w:rsidRPr="00AA43FB">
        <w:rPr>
          <w:b/>
        </w:rPr>
        <w:instrText xml:space="preserve"> </w:instrText>
      </w:r>
      <w:r w:rsidR="009D170B">
        <w:rPr>
          <w:b/>
          <w:lang w:val="en-US"/>
        </w:rPr>
        <w:instrText>for</w:instrText>
      </w:r>
      <w:r w:rsidR="009D170B" w:rsidRPr="00AA43FB">
        <w:rPr>
          <w:b/>
        </w:rPr>
        <w:instrText xml:space="preserve"> </w:instrText>
      </w:r>
      <w:r w:rsidR="009D170B">
        <w:rPr>
          <w:b/>
          <w:lang w:val="en-US"/>
        </w:rPr>
        <w:instrText>patients</w:instrText>
      </w:r>
      <w:r w:rsidR="009D170B" w:rsidRPr="00AA43FB">
        <w:rPr>
          <w:b/>
        </w:rPr>
        <w:instrText xml:space="preserve"> </w:instrText>
      </w:r>
      <w:r w:rsidR="009D170B">
        <w:rPr>
          <w:b/>
          <w:lang w:val="en-US"/>
        </w:rPr>
        <w:instrText>with</w:instrText>
      </w:r>
      <w:r w:rsidR="009D170B" w:rsidRPr="00AA43FB">
        <w:rPr>
          <w:b/>
        </w:rPr>
        <w:instrText xml:space="preserve"> </w:instrText>
      </w:r>
      <w:r w:rsidR="009D170B">
        <w:rPr>
          <w:b/>
          <w:lang w:val="en-US"/>
        </w:rPr>
        <w:instrText>DLBCL</w:instrText>
      </w:r>
      <w:r w:rsidR="009D170B" w:rsidRPr="00AA43FB">
        <w:rPr>
          <w:b/>
        </w:rPr>
        <w:instrText xml:space="preserve"> </w:instrText>
      </w:r>
      <w:r w:rsidR="009D170B">
        <w:rPr>
          <w:b/>
          <w:lang w:val="en-US"/>
        </w:rPr>
        <w:instrText>for</w:instrText>
      </w:r>
      <w:r w:rsidR="009D170B" w:rsidRPr="00AA43FB">
        <w:rPr>
          <w:b/>
        </w:rPr>
        <w:instrText xml:space="preserve"> </w:instrText>
      </w:r>
      <w:r w:rsidR="009D170B">
        <w:rPr>
          <w:b/>
          <w:lang w:val="en-US"/>
        </w:rPr>
        <w:instrText>whom</w:instrText>
      </w:r>
      <w:r w:rsidR="009D170B" w:rsidRPr="00AA43FB">
        <w:rPr>
          <w:b/>
        </w:rPr>
        <w:instrText xml:space="preserve"> </w:instrText>
      </w:r>
      <w:r w:rsidR="009D170B">
        <w:rPr>
          <w:b/>
          <w:lang w:val="en-US"/>
        </w:rPr>
        <w:instrText>anthracycline</w:instrText>
      </w:r>
      <w:r w:rsidR="009D170B" w:rsidRPr="00AA43FB">
        <w:rPr>
          <w:b/>
        </w:rPr>
        <w:instrText>-</w:instrText>
      </w:r>
      <w:r w:rsidR="009D170B">
        <w:rPr>
          <w:b/>
          <w:lang w:val="en-US"/>
        </w:rPr>
        <w:instrText>containing</w:instrText>
      </w:r>
      <w:r w:rsidR="009D170B" w:rsidRPr="00AA43FB">
        <w:rPr>
          <w:b/>
        </w:rPr>
        <w:instrText xml:space="preserve"> </w:instrText>
      </w:r>
      <w:r w:rsidR="009D170B">
        <w:rPr>
          <w:b/>
          <w:lang w:val="en-US"/>
        </w:rPr>
        <w:instrText>immunochemotherapy</w:instrText>
      </w:r>
      <w:r w:rsidR="009D170B" w:rsidRPr="00AA43FB">
        <w:rPr>
          <w:b/>
        </w:rPr>
        <w:instrText xml:space="preserve"> </w:instrText>
      </w:r>
      <w:r w:rsidR="009D170B">
        <w:rPr>
          <w:b/>
          <w:lang w:val="en-US"/>
        </w:rPr>
        <w:instrText>was</w:instrText>
      </w:r>
      <w:r w:rsidR="009D170B" w:rsidRPr="00AA43FB">
        <w:rPr>
          <w:b/>
        </w:rPr>
        <w:instrText xml:space="preserve"> </w:instrText>
      </w:r>
      <w:r w:rsidR="009D170B">
        <w:rPr>
          <w:b/>
          <w:lang w:val="en-US"/>
        </w:rPr>
        <w:instrText>considered</w:instrText>
      </w:r>
      <w:r w:rsidR="009D170B" w:rsidRPr="00AA43FB">
        <w:rPr>
          <w:b/>
        </w:rPr>
        <w:instrText xml:space="preserve"> </w:instrText>
      </w:r>
      <w:r w:rsidR="009D170B">
        <w:rPr>
          <w:b/>
          <w:lang w:val="en-US"/>
        </w:rPr>
        <w:instrText>unsuitable</w:instrText>
      </w:r>
      <w:r w:rsidR="009D170B" w:rsidRPr="00AA43FB">
        <w:rPr>
          <w:b/>
        </w:rPr>
        <w:instrText xml:space="preserve"> </w:instrText>
      </w:r>
      <w:r w:rsidR="009D170B">
        <w:rPr>
          <w:b/>
          <w:lang w:val="en-US"/>
        </w:rPr>
        <w:instrText>because</w:instrText>
      </w:r>
      <w:r w:rsidR="009D170B" w:rsidRPr="00AA43FB">
        <w:rPr>
          <w:b/>
        </w:rPr>
        <w:instrText xml:space="preserve"> </w:instrText>
      </w:r>
      <w:r w:rsidR="009D170B">
        <w:rPr>
          <w:b/>
          <w:lang w:val="en-US"/>
        </w:rPr>
        <w:instrText>of</w:instrText>
      </w:r>
      <w:r w:rsidR="009D170B" w:rsidRPr="00AA43FB">
        <w:rPr>
          <w:b/>
        </w:rPr>
        <w:instrText xml:space="preserve"> </w:instrText>
      </w:r>
      <w:r w:rsidR="009D170B">
        <w:rPr>
          <w:b/>
          <w:lang w:val="en-US"/>
        </w:rPr>
        <w:instrText>coexisting</w:instrText>
      </w:r>
      <w:r w:rsidR="009D170B" w:rsidRPr="00AA43FB">
        <w:rPr>
          <w:b/>
        </w:rPr>
        <w:instrText xml:space="preserve"> </w:instrText>
      </w:r>
      <w:r w:rsidR="009D170B">
        <w:rPr>
          <w:b/>
          <w:lang w:val="en-US"/>
        </w:rPr>
        <w:instrText>cardiac</w:instrText>
      </w:r>
      <w:r w:rsidR="009D170B" w:rsidRPr="00AA43FB">
        <w:rPr>
          <w:b/>
        </w:rPr>
        <w:instrText xml:space="preserve"> </w:instrText>
      </w:r>
      <w:r w:rsidR="009D170B">
        <w:rPr>
          <w:b/>
          <w:lang w:val="en-US"/>
        </w:rPr>
        <w:instrText>disease</w:instrText>
      </w:r>
      <w:r w:rsidR="009D170B" w:rsidRPr="00AA43FB">
        <w:rPr>
          <w:b/>
        </w:rPr>
        <w:instrText xml:space="preserve">. © 2013 </w:instrText>
      </w:r>
      <w:r w:rsidR="009D170B">
        <w:rPr>
          <w:b/>
          <w:lang w:val="en-US"/>
        </w:rPr>
        <w:instrText>by</w:instrText>
      </w:r>
      <w:r w:rsidR="009D170B" w:rsidRPr="00AA43FB">
        <w:rPr>
          <w:b/>
        </w:rPr>
        <w:instrText xml:space="preserve"> </w:instrText>
      </w:r>
      <w:r w:rsidR="009D170B">
        <w:rPr>
          <w:b/>
          <w:lang w:val="en-US"/>
        </w:rPr>
        <w:instrText>American</w:instrText>
      </w:r>
      <w:r w:rsidR="009D170B" w:rsidRPr="00AA43FB">
        <w:rPr>
          <w:b/>
        </w:rPr>
        <w:instrText xml:space="preserve"> </w:instrText>
      </w:r>
      <w:r w:rsidR="009D170B">
        <w:rPr>
          <w:b/>
          <w:lang w:val="en-US"/>
        </w:rPr>
        <w:instrText>Society</w:instrText>
      </w:r>
      <w:r w:rsidR="009D170B" w:rsidRPr="00AA43FB">
        <w:rPr>
          <w:b/>
        </w:rPr>
        <w:instrText xml:space="preserve"> </w:instrText>
      </w:r>
      <w:r w:rsidR="009D170B">
        <w:rPr>
          <w:b/>
          <w:lang w:val="en-US"/>
        </w:rPr>
        <w:instrText>of</w:instrText>
      </w:r>
      <w:r w:rsidR="009D170B" w:rsidRPr="00AA43FB">
        <w:rPr>
          <w:b/>
        </w:rPr>
        <w:instrText xml:space="preserve"> </w:instrText>
      </w:r>
      <w:r w:rsidR="009D170B">
        <w:rPr>
          <w:b/>
          <w:lang w:val="en-US"/>
        </w:rPr>
        <w:instrText>Clinical</w:instrText>
      </w:r>
      <w:r w:rsidR="009D170B" w:rsidRPr="00AA43FB">
        <w:rPr>
          <w:b/>
        </w:rPr>
        <w:instrText xml:space="preserve"> </w:instrText>
      </w:r>
      <w:r w:rsidR="009D170B">
        <w:rPr>
          <w:b/>
          <w:lang w:val="en-US"/>
        </w:rPr>
        <w:instrText>Oncology</w:instrText>
      </w:r>
      <w:r w:rsidR="009D170B" w:rsidRPr="00AA43FB">
        <w:rPr>
          <w:b/>
        </w:rPr>
        <w:instrText>.","</w:instrText>
      </w:r>
      <w:r w:rsidR="009D170B">
        <w:rPr>
          <w:b/>
          <w:lang w:val="en-US"/>
        </w:rPr>
        <w:instrText>author</w:instrText>
      </w:r>
      <w:r w:rsidR="009D170B" w:rsidRPr="00AA43FB">
        <w:rPr>
          <w:b/>
        </w:rPr>
        <w:instrText>":[{"</w:instrText>
      </w:r>
      <w:r w:rsidR="009D170B">
        <w:rPr>
          <w:b/>
          <w:lang w:val="en-US"/>
        </w:rPr>
        <w:instrText>dropping</w:instrText>
      </w:r>
      <w:r w:rsidR="009D170B" w:rsidRPr="00AA43FB">
        <w:rPr>
          <w:b/>
        </w:rPr>
        <w:instrText>-</w:instrText>
      </w:r>
      <w:r w:rsidR="009D170B">
        <w:rPr>
          <w:b/>
          <w:lang w:val="en-US"/>
        </w:rPr>
        <w:instrText>particle</w:instrText>
      </w:r>
      <w:r w:rsidR="009D170B" w:rsidRPr="00AA43FB">
        <w:rPr>
          <w:b/>
        </w:rPr>
        <w:instrText>":"","</w:instrText>
      </w:r>
      <w:r w:rsidR="009D170B">
        <w:rPr>
          <w:b/>
          <w:lang w:val="en-US"/>
        </w:rPr>
        <w:instrText>family</w:instrText>
      </w:r>
      <w:r w:rsidR="009D170B" w:rsidRPr="00AA43FB">
        <w:rPr>
          <w:b/>
        </w:rPr>
        <w:instrText>":"</w:instrText>
      </w:r>
      <w:r w:rsidR="009D170B">
        <w:rPr>
          <w:b/>
          <w:lang w:val="en-US"/>
        </w:rPr>
        <w:instrText>Fields</w:instrText>
      </w:r>
      <w:r w:rsidR="009D170B" w:rsidRPr="00AA43FB">
        <w:rPr>
          <w:b/>
        </w:rPr>
        <w:instrText>","</w:instrText>
      </w:r>
      <w:r w:rsidR="009D170B">
        <w:rPr>
          <w:b/>
          <w:lang w:val="en-US"/>
        </w:rPr>
        <w:instrText>given</w:instrText>
      </w:r>
      <w:r w:rsidR="009D170B" w:rsidRPr="00AA43FB">
        <w:rPr>
          <w:b/>
        </w:rPr>
        <w:instrText>":"</w:instrText>
      </w:r>
      <w:r w:rsidR="009D170B">
        <w:rPr>
          <w:b/>
          <w:lang w:val="en-US"/>
        </w:rPr>
        <w:instrText>Paul</w:instrText>
      </w:r>
      <w:r w:rsidR="009D170B" w:rsidRPr="00AA43FB">
        <w:rPr>
          <w:b/>
        </w:rPr>
        <w:instrText xml:space="preserve"> </w:instrText>
      </w:r>
      <w:r w:rsidR="009D170B">
        <w:rPr>
          <w:b/>
          <w:lang w:val="en-US"/>
        </w:rPr>
        <w:instrText>A</w:instrText>
      </w:r>
      <w:r w:rsidR="009D170B" w:rsidRPr="00AA43FB">
        <w:rPr>
          <w:b/>
        </w:rPr>
        <w:instrText>.","</w:instrText>
      </w:r>
      <w:r w:rsidR="009D170B">
        <w:rPr>
          <w:b/>
          <w:lang w:val="en-US"/>
        </w:rPr>
        <w:instrText>non</w:instrText>
      </w:r>
      <w:r w:rsidR="009D170B" w:rsidRPr="00AA43FB">
        <w:rPr>
          <w:b/>
        </w:rPr>
        <w:instrText>-</w:instrText>
      </w:r>
      <w:r w:rsidR="009D170B">
        <w:rPr>
          <w:b/>
          <w:lang w:val="en-US"/>
        </w:rPr>
        <w:instrText>dropping</w:instrText>
      </w:r>
      <w:r w:rsidR="009D170B" w:rsidRPr="00AA43FB">
        <w:rPr>
          <w:b/>
        </w:rPr>
        <w:instrText>-</w:instrText>
      </w:r>
      <w:r w:rsidR="009D170B">
        <w:rPr>
          <w:b/>
          <w:lang w:val="en-US"/>
        </w:rPr>
        <w:instrText>particle</w:instrText>
      </w:r>
      <w:r w:rsidR="009D170B" w:rsidRPr="00AA43FB">
        <w:rPr>
          <w:b/>
        </w:rPr>
        <w:instrText>":"","</w:instrText>
      </w:r>
      <w:r w:rsidR="009D170B">
        <w:rPr>
          <w:b/>
          <w:lang w:val="en-US"/>
        </w:rPr>
        <w:instrText>parse</w:instrText>
      </w:r>
      <w:r w:rsidR="009D170B" w:rsidRPr="00AA43FB">
        <w:rPr>
          <w:b/>
        </w:rPr>
        <w:instrText>-</w:instrText>
      </w:r>
      <w:r w:rsidR="009D170B">
        <w:rPr>
          <w:b/>
          <w:lang w:val="en-US"/>
        </w:rPr>
        <w:instrText>names</w:instrText>
      </w:r>
      <w:r w:rsidR="009D170B" w:rsidRPr="00AA43FB">
        <w:rPr>
          <w:b/>
        </w:rPr>
        <w:instrText>":</w:instrText>
      </w:r>
      <w:r w:rsidR="009D170B">
        <w:rPr>
          <w:b/>
          <w:lang w:val="en-US"/>
        </w:rPr>
        <w:instrText>false</w:instrText>
      </w:r>
      <w:r w:rsidR="009D170B" w:rsidRPr="00AA43FB">
        <w:rPr>
          <w:b/>
        </w:rPr>
        <w:instrText>,"</w:instrText>
      </w:r>
      <w:r w:rsidR="009D170B">
        <w:rPr>
          <w:b/>
          <w:lang w:val="en-US"/>
        </w:rPr>
        <w:instrText>suffix</w:instrText>
      </w:r>
      <w:r w:rsidR="009D170B" w:rsidRPr="00AA43FB">
        <w:rPr>
          <w:b/>
        </w:rPr>
        <w:instrText>":""},{"</w:instrText>
      </w:r>
      <w:r w:rsidR="009D170B">
        <w:rPr>
          <w:b/>
          <w:lang w:val="en-US"/>
        </w:rPr>
        <w:instrText>dropping</w:instrText>
      </w:r>
      <w:r w:rsidR="009D170B" w:rsidRPr="00AA43FB">
        <w:rPr>
          <w:b/>
        </w:rPr>
        <w:instrText>-</w:instrText>
      </w:r>
      <w:r w:rsidR="009D170B">
        <w:rPr>
          <w:b/>
          <w:lang w:val="en-US"/>
        </w:rPr>
        <w:instrText>particle</w:instrText>
      </w:r>
      <w:r w:rsidR="009D170B" w:rsidRPr="00AA43FB">
        <w:rPr>
          <w:b/>
        </w:rPr>
        <w:instrText>":"","</w:instrText>
      </w:r>
      <w:r w:rsidR="009D170B">
        <w:rPr>
          <w:b/>
          <w:lang w:val="en-US"/>
        </w:rPr>
        <w:instrText>family</w:instrText>
      </w:r>
      <w:r w:rsidR="009D170B" w:rsidRPr="00AA43FB">
        <w:rPr>
          <w:b/>
        </w:rPr>
        <w:instrText>":"</w:instrText>
      </w:r>
      <w:r w:rsidR="009D170B">
        <w:rPr>
          <w:b/>
          <w:lang w:val="en-US"/>
        </w:rPr>
        <w:instrText>Townsend</w:instrText>
      </w:r>
      <w:r w:rsidR="009D170B" w:rsidRPr="00AA43FB">
        <w:rPr>
          <w:b/>
        </w:rPr>
        <w:instrText>","</w:instrText>
      </w:r>
      <w:r w:rsidR="009D170B">
        <w:rPr>
          <w:b/>
          <w:lang w:val="en-US"/>
        </w:rPr>
        <w:instrText>given</w:instrText>
      </w:r>
      <w:r w:rsidR="009D170B" w:rsidRPr="00AA43FB">
        <w:rPr>
          <w:b/>
        </w:rPr>
        <w:instrText>":"</w:instrText>
      </w:r>
      <w:r w:rsidR="009D170B">
        <w:rPr>
          <w:b/>
          <w:lang w:val="en-US"/>
        </w:rPr>
        <w:instrText>William</w:instrText>
      </w:r>
      <w:r w:rsidR="009D170B" w:rsidRPr="00AA43FB">
        <w:rPr>
          <w:b/>
        </w:rPr>
        <w:instrText>","</w:instrText>
      </w:r>
      <w:r w:rsidR="009D170B">
        <w:rPr>
          <w:b/>
          <w:lang w:val="en-US"/>
        </w:rPr>
        <w:instrText>non</w:instrText>
      </w:r>
      <w:r w:rsidR="009D170B" w:rsidRPr="00AA43FB">
        <w:rPr>
          <w:b/>
        </w:rPr>
        <w:instrText>-</w:instrText>
      </w:r>
      <w:r w:rsidR="009D170B">
        <w:rPr>
          <w:b/>
          <w:lang w:val="en-US"/>
        </w:rPr>
        <w:instrText>dropping</w:instrText>
      </w:r>
      <w:r w:rsidR="009D170B" w:rsidRPr="00AA43FB">
        <w:rPr>
          <w:b/>
        </w:rPr>
        <w:instrText>-</w:instrText>
      </w:r>
      <w:r w:rsidR="009D170B">
        <w:rPr>
          <w:b/>
          <w:lang w:val="en-US"/>
        </w:rPr>
        <w:instrText>particle</w:instrText>
      </w:r>
      <w:r w:rsidR="009D170B" w:rsidRPr="00AA43FB">
        <w:rPr>
          <w:b/>
        </w:rPr>
        <w:instrText>":"","</w:instrText>
      </w:r>
      <w:r w:rsidR="009D170B">
        <w:rPr>
          <w:b/>
          <w:lang w:val="en-US"/>
        </w:rPr>
        <w:instrText>parse</w:instrText>
      </w:r>
      <w:r w:rsidR="009D170B" w:rsidRPr="00AA43FB">
        <w:rPr>
          <w:b/>
        </w:rPr>
        <w:instrText>-</w:instrText>
      </w:r>
      <w:r w:rsidR="009D170B">
        <w:rPr>
          <w:b/>
          <w:lang w:val="en-US"/>
        </w:rPr>
        <w:instrText>names</w:instrText>
      </w:r>
      <w:r w:rsidR="009D170B" w:rsidRPr="00AA43FB">
        <w:rPr>
          <w:b/>
        </w:rPr>
        <w:instrText>":</w:instrText>
      </w:r>
      <w:r w:rsidR="009D170B">
        <w:rPr>
          <w:b/>
          <w:lang w:val="en-US"/>
        </w:rPr>
        <w:instrText>false</w:instrText>
      </w:r>
      <w:r w:rsidR="009D170B" w:rsidRPr="00AA43FB">
        <w:rPr>
          <w:b/>
        </w:rPr>
        <w:instrText>,"</w:instrText>
      </w:r>
      <w:r w:rsidR="009D170B">
        <w:rPr>
          <w:b/>
          <w:lang w:val="en-US"/>
        </w:rPr>
        <w:instrText>suffix</w:instrText>
      </w:r>
      <w:r w:rsidR="009D170B" w:rsidRPr="00AA43FB">
        <w:rPr>
          <w:b/>
        </w:rPr>
        <w:instrText>":""},{"</w:instrText>
      </w:r>
      <w:r w:rsidR="009D170B">
        <w:rPr>
          <w:b/>
          <w:lang w:val="en-US"/>
        </w:rPr>
        <w:instrText>dropping</w:instrText>
      </w:r>
      <w:r w:rsidR="009D170B" w:rsidRPr="00AA43FB">
        <w:rPr>
          <w:b/>
        </w:rPr>
        <w:instrText>-</w:instrText>
      </w:r>
      <w:r w:rsidR="009D170B">
        <w:rPr>
          <w:b/>
          <w:lang w:val="en-US"/>
        </w:rPr>
        <w:instrText>particle</w:instrText>
      </w:r>
      <w:r w:rsidR="009D170B" w:rsidRPr="00AA43FB">
        <w:rPr>
          <w:b/>
        </w:rPr>
        <w:instrText>":"","</w:instrText>
      </w:r>
      <w:r w:rsidR="009D170B">
        <w:rPr>
          <w:b/>
          <w:lang w:val="en-US"/>
        </w:rPr>
        <w:instrText>family</w:instrText>
      </w:r>
      <w:r w:rsidR="009D170B" w:rsidRPr="00AA43FB">
        <w:rPr>
          <w:b/>
        </w:rPr>
        <w:instrText>":"</w:instrText>
      </w:r>
      <w:r w:rsidR="009D170B">
        <w:rPr>
          <w:b/>
          <w:lang w:val="en-US"/>
        </w:rPr>
        <w:instrText>Webb</w:instrText>
      </w:r>
      <w:r w:rsidR="009D170B" w:rsidRPr="00AA43FB">
        <w:rPr>
          <w:b/>
        </w:rPr>
        <w:instrText>","</w:instrText>
      </w:r>
      <w:r w:rsidR="009D170B">
        <w:rPr>
          <w:b/>
          <w:lang w:val="en-US"/>
        </w:rPr>
        <w:instrText>given</w:instrText>
      </w:r>
      <w:r w:rsidR="009D170B" w:rsidRPr="00AA43FB">
        <w:rPr>
          <w:b/>
        </w:rPr>
        <w:instrText>":"</w:instrText>
      </w:r>
      <w:r w:rsidR="009D170B">
        <w:rPr>
          <w:b/>
          <w:lang w:val="en-US"/>
        </w:rPr>
        <w:instrText>Andrew</w:instrText>
      </w:r>
      <w:r w:rsidR="009D170B" w:rsidRPr="00AA43FB">
        <w:rPr>
          <w:b/>
        </w:rPr>
        <w:instrText>","</w:instrText>
      </w:r>
      <w:r w:rsidR="009D170B">
        <w:rPr>
          <w:b/>
          <w:lang w:val="en-US"/>
        </w:rPr>
        <w:instrText>non</w:instrText>
      </w:r>
      <w:r w:rsidR="009D170B" w:rsidRPr="00AA43FB">
        <w:rPr>
          <w:b/>
        </w:rPr>
        <w:instrText>-</w:instrText>
      </w:r>
      <w:r w:rsidR="009D170B">
        <w:rPr>
          <w:b/>
          <w:lang w:val="en-US"/>
        </w:rPr>
        <w:instrText>dropping</w:instrText>
      </w:r>
      <w:r w:rsidR="009D170B" w:rsidRPr="00AA43FB">
        <w:rPr>
          <w:b/>
        </w:rPr>
        <w:instrText>-</w:instrText>
      </w:r>
      <w:r w:rsidR="009D170B">
        <w:rPr>
          <w:b/>
          <w:lang w:val="en-US"/>
        </w:rPr>
        <w:instrText>particle</w:instrText>
      </w:r>
      <w:r w:rsidR="009D170B" w:rsidRPr="00AA43FB">
        <w:rPr>
          <w:b/>
        </w:rPr>
        <w:instrText>":"","</w:instrText>
      </w:r>
      <w:r w:rsidR="009D170B">
        <w:rPr>
          <w:b/>
          <w:lang w:val="en-US"/>
        </w:rPr>
        <w:instrText>parse</w:instrText>
      </w:r>
      <w:r w:rsidR="009D170B" w:rsidRPr="00AA43FB">
        <w:rPr>
          <w:b/>
        </w:rPr>
        <w:instrText>-</w:instrText>
      </w:r>
      <w:r w:rsidR="009D170B">
        <w:rPr>
          <w:b/>
          <w:lang w:val="en-US"/>
        </w:rPr>
        <w:instrText>names</w:instrText>
      </w:r>
      <w:r w:rsidR="009D170B" w:rsidRPr="00AA43FB">
        <w:rPr>
          <w:b/>
        </w:rPr>
        <w:instrText>":</w:instrText>
      </w:r>
      <w:r w:rsidR="009D170B">
        <w:rPr>
          <w:b/>
          <w:lang w:val="en-US"/>
        </w:rPr>
        <w:instrText>false</w:instrText>
      </w:r>
      <w:r w:rsidR="009D170B" w:rsidRPr="00AA43FB">
        <w:rPr>
          <w:b/>
        </w:rPr>
        <w:instrText>,"</w:instrText>
      </w:r>
      <w:r w:rsidR="009D170B">
        <w:rPr>
          <w:b/>
          <w:lang w:val="en-US"/>
        </w:rPr>
        <w:instrText>suffix</w:instrText>
      </w:r>
      <w:r w:rsidR="009D170B" w:rsidRPr="00AA43FB">
        <w:rPr>
          <w:b/>
        </w:rPr>
        <w:instrText>":""},{"</w:instrText>
      </w:r>
      <w:r w:rsidR="009D170B">
        <w:rPr>
          <w:b/>
          <w:lang w:val="en-US"/>
        </w:rPr>
        <w:instrText>dropping</w:instrText>
      </w:r>
      <w:r w:rsidR="009D170B" w:rsidRPr="00AA43FB">
        <w:rPr>
          <w:b/>
        </w:rPr>
        <w:instrText>-</w:instrText>
      </w:r>
      <w:r w:rsidR="009D170B">
        <w:rPr>
          <w:b/>
          <w:lang w:val="en-US"/>
        </w:rPr>
        <w:instrText>particle</w:instrText>
      </w:r>
      <w:r w:rsidR="009D170B" w:rsidRPr="00AA43FB">
        <w:rPr>
          <w:b/>
        </w:rPr>
        <w:instrText>":"","</w:instrText>
      </w:r>
      <w:r w:rsidR="009D170B">
        <w:rPr>
          <w:b/>
          <w:lang w:val="en-US"/>
        </w:rPr>
        <w:instrText>family</w:instrText>
      </w:r>
      <w:r w:rsidR="009D170B" w:rsidRPr="00AA43FB">
        <w:rPr>
          <w:b/>
        </w:rPr>
        <w:instrText>":"</w:instrText>
      </w:r>
      <w:r w:rsidR="009D170B">
        <w:rPr>
          <w:b/>
          <w:lang w:val="en-US"/>
        </w:rPr>
        <w:instrText>Counsell</w:instrText>
      </w:r>
      <w:r w:rsidR="009D170B" w:rsidRPr="00AA43FB">
        <w:rPr>
          <w:b/>
        </w:rPr>
        <w:instrText>","</w:instrText>
      </w:r>
      <w:r w:rsidR="009D170B">
        <w:rPr>
          <w:b/>
          <w:lang w:val="en-US"/>
        </w:rPr>
        <w:instrText>given</w:instrText>
      </w:r>
      <w:r w:rsidR="009D170B" w:rsidRPr="00AA43FB">
        <w:rPr>
          <w:b/>
        </w:rPr>
        <w:instrText>":"</w:instrText>
      </w:r>
      <w:r w:rsidR="009D170B">
        <w:rPr>
          <w:b/>
          <w:lang w:val="en-US"/>
        </w:rPr>
        <w:instrText>Nicholas</w:instrText>
      </w:r>
      <w:r w:rsidR="009D170B" w:rsidRPr="00AA43FB">
        <w:rPr>
          <w:b/>
        </w:rPr>
        <w:instrText>","</w:instrText>
      </w:r>
      <w:r w:rsidR="009D170B">
        <w:rPr>
          <w:b/>
          <w:lang w:val="en-US"/>
        </w:rPr>
        <w:instrText>non</w:instrText>
      </w:r>
      <w:r w:rsidR="009D170B" w:rsidRPr="00AA43FB">
        <w:rPr>
          <w:b/>
        </w:rPr>
        <w:instrText>-</w:instrText>
      </w:r>
      <w:r w:rsidR="009D170B">
        <w:rPr>
          <w:b/>
          <w:lang w:val="en-US"/>
        </w:rPr>
        <w:instrText>dropping</w:instrText>
      </w:r>
      <w:r w:rsidR="009D170B" w:rsidRPr="00AA43FB">
        <w:rPr>
          <w:b/>
        </w:rPr>
        <w:instrText>-</w:instrText>
      </w:r>
      <w:r w:rsidR="009D170B">
        <w:rPr>
          <w:b/>
          <w:lang w:val="en-US"/>
        </w:rPr>
        <w:instrText>particle</w:instrText>
      </w:r>
      <w:r w:rsidR="009D170B" w:rsidRPr="00AA43FB">
        <w:rPr>
          <w:b/>
        </w:rPr>
        <w:instrText>":"","</w:instrText>
      </w:r>
      <w:r w:rsidR="009D170B">
        <w:rPr>
          <w:b/>
          <w:lang w:val="en-US"/>
        </w:rPr>
        <w:instrText>parse</w:instrText>
      </w:r>
      <w:r w:rsidR="009D170B" w:rsidRPr="00AA43FB">
        <w:rPr>
          <w:b/>
        </w:rPr>
        <w:instrText>-</w:instrText>
      </w:r>
      <w:r w:rsidR="009D170B">
        <w:rPr>
          <w:b/>
          <w:lang w:val="en-US"/>
        </w:rPr>
        <w:instrText>names</w:instrText>
      </w:r>
      <w:r w:rsidR="009D170B" w:rsidRPr="00AA43FB">
        <w:rPr>
          <w:b/>
        </w:rPr>
        <w:instrText>":</w:instrText>
      </w:r>
      <w:r w:rsidR="009D170B">
        <w:rPr>
          <w:b/>
          <w:lang w:val="en-US"/>
        </w:rPr>
        <w:instrText>false</w:instrText>
      </w:r>
      <w:r w:rsidR="009D170B" w:rsidRPr="00AA43FB">
        <w:rPr>
          <w:b/>
        </w:rPr>
        <w:instrText>,"</w:instrText>
      </w:r>
      <w:r w:rsidR="009D170B">
        <w:rPr>
          <w:b/>
          <w:lang w:val="en-US"/>
        </w:rPr>
        <w:instrText>suffix</w:instrText>
      </w:r>
      <w:r w:rsidR="009D170B" w:rsidRPr="00AA43FB">
        <w:rPr>
          <w:b/>
        </w:rPr>
        <w:instrText>":""},{"</w:instrText>
      </w:r>
      <w:r w:rsidR="009D170B">
        <w:rPr>
          <w:b/>
          <w:lang w:val="en-US"/>
        </w:rPr>
        <w:instrText>dropping</w:instrText>
      </w:r>
      <w:r w:rsidR="009D170B" w:rsidRPr="00AA43FB">
        <w:rPr>
          <w:b/>
        </w:rPr>
        <w:instrText>-</w:instrText>
      </w:r>
      <w:r w:rsidR="009D170B">
        <w:rPr>
          <w:b/>
          <w:lang w:val="en-US"/>
        </w:rPr>
        <w:instrText>particle</w:instrText>
      </w:r>
      <w:r w:rsidR="009D170B" w:rsidRPr="00AA43FB">
        <w:rPr>
          <w:b/>
        </w:rPr>
        <w:instrText>":"","</w:instrText>
      </w:r>
      <w:r w:rsidR="009D170B">
        <w:rPr>
          <w:b/>
          <w:lang w:val="en-US"/>
        </w:rPr>
        <w:instrText>family</w:instrText>
      </w:r>
      <w:r w:rsidR="009D170B" w:rsidRPr="00AA43FB">
        <w:rPr>
          <w:b/>
        </w:rPr>
        <w:instrText>":"</w:instrText>
      </w:r>
      <w:r w:rsidR="009D170B">
        <w:rPr>
          <w:b/>
          <w:lang w:val="en-US"/>
        </w:rPr>
        <w:instrText>Pocock</w:instrText>
      </w:r>
      <w:r w:rsidR="009D170B" w:rsidRPr="00AA43FB">
        <w:rPr>
          <w:b/>
        </w:rPr>
        <w:instrText>","</w:instrText>
      </w:r>
      <w:r w:rsidR="009D170B">
        <w:rPr>
          <w:b/>
          <w:lang w:val="en-US"/>
        </w:rPr>
        <w:instrText>given</w:instrText>
      </w:r>
      <w:r w:rsidR="009D170B" w:rsidRPr="00AA43FB">
        <w:rPr>
          <w:b/>
        </w:rPr>
        <w:instrText>":"</w:instrText>
      </w:r>
      <w:r w:rsidR="009D170B">
        <w:rPr>
          <w:b/>
          <w:lang w:val="en-US"/>
        </w:rPr>
        <w:instrText>Christopher</w:instrText>
      </w:r>
      <w:r w:rsidR="009D170B" w:rsidRPr="00AA43FB">
        <w:rPr>
          <w:b/>
        </w:rPr>
        <w:instrText>","</w:instrText>
      </w:r>
      <w:r w:rsidR="009D170B">
        <w:rPr>
          <w:b/>
          <w:lang w:val="en-US"/>
        </w:rPr>
        <w:instrText>non</w:instrText>
      </w:r>
      <w:r w:rsidR="009D170B" w:rsidRPr="00AA43FB">
        <w:rPr>
          <w:b/>
        </w:rPr>
        <w:instrText>-</w:instrText>
      </w:r>
      <w:r w:rsidR="009D170B">
        <w:rPr>
          <w:b/>
          <w:lang w:val="en-US"/>
        </w:rPr>
        <w:instrText>dropping</w:instrText>
      </w:r>
      <w:r w:rsidR="009D170B" w:rsidRPr="00AA43FB">
        <w:rPr>
          <w:b/>
        </w:rPr>
        <w:instrText>-</w:instrText>
      </w:r>
      <w:r w:rsidR="009D170B">
        <w:rPr>
          <w:b/>
          <w:lang w:val="en-US"/>
        </w:rPr>
        <w:instrText>particle</w:instrText>
      </w:r>
      <w:r w:rsidR="009D170B" w:rsidRPr="00AA43FB">
        <w:rPr>
          <w:b/>
        </w:rPr>
        <w:instrText>":"","</w:instrText>
      </w:r>
      <w:r w:rsidR="009D170B">
        <w:rPr>
          <w:b/>
          <w:lang w:val="en-US"/>
        </w:rPr>
        <w:instrText>parse</w:instrText>
      </w:r>
      <w:r w:rsidR="009D170B" w:rsidRPr="00AA43FB">
        <w:rPr>
          <w:b/>
        </w:rPr>
        <w:instrText>-</w:instrText>
      </w:r>
      <w:r w:rsidR="009D170B">
        <w:rPr>
          <w:b/>
          <w:lang w:val="en-US"/>
        </w:rPr>
        <w:instrText>names</w:instrText>
      </w:r>
      <w:r w:rsidR="009D170B" w:rsidRPr="00AA43FB">
        <w:rPr>
          <w:b/>
        </w:rPr>
        <w:instrText>":</w:instrText>
      </w:r>
      <w:r w:rsidR="009D170B">
        <w:rPr>
          <w:b/>
          <w:lang w:val="en-US"/>
        </w:rPr>
        <w:instrText>false</w:instrText>
      </w:r>
      <w:r w:rsidR="009D170B" w:rsidRPr="00AA43FB">
        <w:rPr>
          <w:b/>
        </w:rPr>
        <w:instrText>,"</w:instrText>
      </w:r>
      <w:r w:rsidR="009D170B">
        <w:rPr>
          <w:b/>
          <w:lang w:val="en-US"/>
        </w:rPr>
        <w:instrText>suffix</w:instrText>
      </w:r>
      <w:r w:rsidR="009D170B" w:rsidRPr="00AA43FB">
        <w:rPr>
          <w:b/>
        </w:rPr>
        <w:instrText>":""},{"</w:instrText>
      </w:r>
      <w:r w:rsidR="009D170B">
        <w:rPr>
          <w:b/>
          <w:lang w:val="en-US"/>
        </w:rPr>
        <w:instrText>dropping</w:instrText>
      </w:r>
      <w:r w:rsidR="009D170B" w:rsidRPr="00AA43FB">
        <w:rPr>
          <w:b/>
        </w:rPr>
        <w:instrText>-</w:instrText>
      </w:r>
      <w:r w:rsidR="009D170B">
        <w:rPr>
          <w:b/>
          <w:lang w:val="en-US"/>
        </w:rPr>
        <w:instrText>particle</w:instrText>
      </w:r>
      <w:r w:rsidR="009D170B" w:rsidRPr="00AA43FB">
        <w:rPr>
          <w:b/>
        </w:rPr>
        <w:instrText>":"","</w:instrText>
      </w:r>
      <w:r w:rsidR="009D170B">
        <w:rPr>
          <w:b/>
          <w:lang w:val="en-US"/>
        </w:rPr>
        <w:instrText>family</w:instrText>
      </w:r>
      <w:r w:rsidR="009D170B" w:rsidRPr="00AA43FB">
        <w:rPr>
          <w:b/>
        </w:rPr>
        <w:instrText>":"</w:instrText>
      </w:r>
      <w:r w:rsidR="009D170B">
        <w:rPr>
          <w:b/>
          <w:lang w:val="en-US"/>
        </w:rPr>
        <w:instrText>Smith</w:instrText>
      </w:r>
      <w:r w:rsidR="009D170B" w:rsidRPr="00AA43FB">
        <w:rPr>
          <w:b/>
        </w:rPr>
        <w:instrText>","</w:instrText>
      </w:r>
      <w:r w:rsidR="009D170B">
        <w:rPr>
          <w:b/>
          <w:lang w:val="en-US"/>
        </w:rPr>
        <w:instrText>given</w:instrText>
      </w:r>
      <w:r w:rsidR="009D170B" w:rsidRPr="00AA43FB">
        <w:rPr>
          <w:b/>
        </w:rPr>
        <w:instrText>":"</w:instrText>
      </w:r>
      <w:r w:rsidR="009D170B">
        <w:rPr>
          <w:b/>
          <w:lang w:val="en-US"/>
        </w:rPr>
        <w:instrText>Paul</w:instrText>
      </w:r>
      <w:r w:rsidR="009D170B" w:rsidRPr="00AA43FB">
        <w:rPr>
          <w:b/>
        </w:rPr>
        <w:instrText>","</w:instrText>
      </w:r>
      <w:r w:rsidR="009D170B">
        <w:rPr>
          <w:b/>
          <w:lang w:val="en-US"/>
        </w:rPr>
        <w:instrText>non</w:instrText>
      </w:r>
      <w:r w:rsidR="009D170B" w:rsidRPr="00AA43FB">
        <w:rPr>
          <w:b/>
        </w:rPr>
        <w:instrText>-</w:instrText>
      </w:r>
      <w:r w:rsidR="009D170B">
        <w:rPr>
          <w:b/>
          <w:lang w:val="en-US"/>
        </w:rPr>
        <w:instrText>dropping</w:instrText>
      </w:r>
      <w:r w:rsidR="009D170B" w:rsidRPr="00AA43FB">
        <w:rPr>
          <w:b/>
        </w:rPr>
        <w:instrText>-</w:instrText>
      </w:r>
      <w:r w:rsidR="009D170B">
        <w:rPr>
          <w:b/>
          <w:lang w:val="en-US"/>
        </w:rPr>
        <w:instrText>particle</w:instrText>
      </w:r>
      <w:r w:rsidR="009D170B" w:rsidRPr="00AA43FB">
        <w:rPr>
          <w:b/>
        </w:rPr>
        <w:instrText>":"","</w:instrText>
      </w:r>
      <w:r w:rsidR="009D170B">
        <w:rPr>
          <w:b/>
          <w:lang w:val="en-US"/>
        </w:rPr>
        <w:instrText>parse</w:instrText>
      </w:r>
      <w:r w:rsidR="009D170B" w:rsidRPr="00AA43FB">
        <w:rPr>
          <w:b/>
        </w:rPr>
        <w:instrText>-</w:instrText>
      </w:r>
      <w:r w:rsidR="009D170B">
        <w:rPr>
          <w:b/>
          <w:lang w:val="en-US"/>
        </w:rPr>
        <w:instrText>names</w:instrText>
      </w:r>
      <w:r w:rsidR="009D170B" w:rsidRPr="00AA43FB">
        <w:rPr>
          <w:b/>
        </w:rPr>
        <w:instrText>":</w:instrText>
      </w:r>
      <w:r w:rsidR="009D170B">
        <w:rPr>
          <w:b/>
          <w:lang w:val="en-US"/>
        </w:rPr>
        <w:instrText>false</w:instrText>
      </w:r>
      <w:r w:rsidR="009D170B" w:rsidRPr="00AA43FB">
        <w:rPr>
          <w:b/>
        </w:rPr>
        <w:instrText>,"</w:instrText>
      </w:r>
      <w:r w:rsidR="009D170B">
        <w:rPr>
          <w:b/>
          <w:lang w:val="en-US"/>
        </w:rPr>
        <w:instrText>suffix</w:instrText>
      </w:r>
      <w:r w:rsidR="009D170B" w:rsidRPr="00AA43FB">
        <w:rPr>
          <w:b/>
        </w:rPr>
        <w:instrText>":""},{"</w:instrText>
      </w:r>
      <w:r w:rsidR="009D170B">
        <w:rPr>
          <w:b/>
          <w:lang w:val="en-US"/>
        </w:rPr>
        <w:instrText>dropping</w:instrText>
      </w:r>
      <w:r w:rsidR="009D170B" w:rsidRPr="00320416">
        <w:rPr>
          <w:b/>
        </w:rPr>
        <w:instrText>-</w:instrText>
      </w:r>
      <w:r w:rsidR="009D170B">
        <w:rPr>
          <w:b/>
          <w:lang w:val="en-US"/>
        </w:rPr>
        <w:instrText>particle</w:instrText>
      </w:r>
      <w:r w:rsidR="009D170B" w:rsidRPr="00320416">
        <w:rPr>
          <w:b/>
        </w:rPr>
        <w:instrText>":"","</w:instrText>
      </w:r>
      <w:r w:rsidR="009D170B">
        <w:rPr>
          <w:b/>
          <w:lang w:val="en-US"/>
        </w:rPr>
        <w:instrText>family</w:instrText>
      </w:r>
      <w:r w:rsidR="009D170B" w:rsidRPr="00320416">
        <w:rPr>
          <w:b/>
        </w:rPr>
        <w:instrText>":"</w:instrText>
      </w:r>
      <w:r w:rsidR="009D170B">
        <w:rPr>
          <w:b/>
          <w:lang w:val="en-US"/>
        </w:rPr>
        <w:instrText>Jack</w:instrText>
      </w:r>
      <w:r w:rsidR="009D170B" w:rsidRPr="00320416">
        <w:rPr>
          <w:b/>
        </w:rPr>
        <w:instrText>","</w:instrText>
      </w:r>
      <w:r w:rsidR="009D170B">
        <w:rPr>
          <w:b/>
          <w:lang w:val="en-US"/>
        </w:rPr>
        <w:instrText>given</w:instrText>
      </w:r>
      <w:r w:rsidR="009D170B" w:rsidRPr="00320416">
        <w:rPr>
          <w:b/>
        </w:rPr>
        <w:instrText>":"</w:instrText>
      </w:r>
      <w:r w:rsidR="009D170B">
        <w:rPr>
          <w:b/>
          <w:lang w:val="en-US"/>
        </w:rPr>
        <w:instrText>Andrew</w:instrText>
      </w:r>
      <w:r w:rsidR="009D170B" w:rsidRPr="00320416">
        <w:rPr>
          <w:b/>
        </w:rPr>
        <w:instrText>","</w:instrText>
      </w:r>
      <w:r w:rsidR="009D170B">
        <w:rPr>
          <w:b/>
          <w:lang w:val="en-US"/>
        </w:rPr>
        <w:instrText>non</w:instrText>
      </w:r>
      <w:r w:rsidR="009D170B" w:rsidRPr="00320416">
        <w:rPr>
          <w:b/>
        </w:rPr>
        <w:instrText>-</w:instrText>
      </w:r>
      <w:r w:rsidR="009D170B">
        <w:rPr>
          <w:b/>
          <w:lang w:val="en-US"/>
        </w:rPr>
        <w:instrText>dropping</w:instrText>
      </w:r>
      <w:r w:rsidR="009D170B" w:rsidRPr="00320416">
        <w:rPr>
          <w:b/>
        </w:rPr>
        <w:instrText>-</w:instrText>
      </w:r>
      <w:r w:rsidR="009D170B">
        <w:rPr>
          <w:b/>
          <w:lang w:val="en-US"/>
        </w:rPr>
        <w:instrText>particle</w:instrText>
      </w:r>
      <w:r w:rsidR="009D170B" w:rsidRPr="00320416">
        <w:rPr>
          <w:b/>
        </w:rPr>
        <w:instrText>":"","</w:instrText>
      </w:r>
      <w:r w:rsidR="009D170B">
        <w:rPr>
          <w:b/>
          <w:lang w:val="en-US"/>
        </w:rPr>
        <w:instrText>parse</w:instrText>
      </w:r>
      <w:r w:rsidR="009D170B" w:rsidRPr="00320416">
        <w:rPr>
          <w:b/>
        </w:rPr>
        <w:instrText>-</w:instrText>
      </w:r>
      <w:r w:rsidR="009D170B">
        <w:rPr>
          <w:b/>
          <w:lang w:val="en-US"/>
        </w:rPr>
        <w:instrText>names</w:instrText>
      </w:r>
      <w:r w:rsidR="009D170B" w:rsidRPr="00320416">
        <w:rPr>
          <w:b/>
        </w:rPr>
        <w:instrText>":</w:instrText>
      </w:r>
      <w:r w:rsidR="009D170B">
        <w:rPr>
          <w:b/>
          <w:lang w:val="en-US"/>
        </w:rPr>
        <w:instrText>false</w:instrText>
      </w:r>
      <w:r w:rsidR="009D170B" w:rsidRPr="00320416">
        <w:rPr>
          <w:b/>
        </w:rPr>
        <w:instrText>,"</w:instrText>
      </w:r>
      <w:r w:rsidR="009D170B">
        <w:rPr>
          <w:b/>
          <w:lang w:val="en-US"/>
        </w:rPr>
        <w:instrText>suffix</w:instrText>
      </w:r>
      <w:r w:rsidR="009D170B" w:rsidRPr="00320416">
        <w:rPr>
          <w:b/>
        </w:rPr>
        <w:instrText>":""},{"</w:instrText>
      </w:r>
      <w:r w:rsidR="009D170B">
        <w:rPr>
          <w:b/>
          <w:lang w:val="en-US"/>
        </w:rPr>
        <w:instrText>dropping</w:instrText>
      </w:r>
      <w:r w:rsidR="009D170B" w:rsidRPr="00320416">
        <w:rPr>
          <w:b/>
        </w:rPr>
        <w:instrText>-</w:instrText>
      </w:r>
      <w:r w:rsidR="009D170B">
        <w:rPr>
          <w:b/>
          <w:lang w:val="en-US"/>
        </w:rPr>
        <w:instrText>particle</w:instrText>
      </w:r>
      <w:r w:rsidR="009D170B" w:rsidRPr="00320416">
        <w:rPr>
          <w:b/>
        </w:rPr>
        <w:instrText>":"","</w:instrText>
      </w:r>
      <w:r w:rsidR="009D170B">
        <w:rPr>
          <w:b/>
          <w:lang w:val="en-US"/>
        </w:rPr>
        <w:instrText>family</w:instrText>
      </w:r>
      <w:r w:rsidR="009D170B" w:rsidRPr="00320416">
        <w:rPr>
          <w:b/>
        </w:rPr>
        <w:instrText>":"</w:instrText>
      </w:r>
      <w:r w:rsidR="009D170B">
        <w:rPr>
          <w:b/>
          <w:lang w:val="en-US"/>
        </w:rPr>
        <w:instrText>El</w:instrText>
      </w:r>
      <w:r w:rsidR="009D170B" w:rsidRPr="00320416">
        <w:rPr>
          <w:b/>
        </w:rPr>
        <w:instrText>-</w:instrText>
      </w:r>
      <w:r w:rsidR="009D170B">
        <w:rPr>
          <w:b/>
          <w:lang w:val="en-US"/>
        </w:rPr>
        <w:instrText>Mehidi</w:instrText>
      </w:r>
      <w:r w:rsidR="009D170B" w:rsidRPr="00320416">
        <w:rPr>
          <w:b/>
        </w:rPr>
        <w:instrText>","</w:instrText>
      </w:r>
      <w:r w:rsidR="009D170B">
        <w:rPr>
          <w:b/>
          <w:lang w:val="en-US"/>
        </w:rPr>
        <w:instrText>given</w:instrText>
      </w:r>
      <w:r w:rsidR="009D170B" w:rsidRPr="00320416">
        <w:rPr>
          <w:b/>
        </w:rPr>
        <w:instrText>":"</w:instrText>
      </w:r>
      <w:r w:rsidR="009D170B">
        <w:rPr>
          <w:b/>
          <w:lang w:val="en-US"/>
        </w:rPr>
        <w:instrText>Nadjet</w:instrText>
      </w:r>
      <w:r w:rsidR="009D170B" w:rsidRPr="00320416">
        <w:rPr>
          <w:b/>
        </w:rPr>
        <w:instrText>","</w:instrText>
      </w:r>
      <w:r w:rsidR="009D170B">
        <w:rPr>
          <w:b/>
          <w:lang w:val="en-US"/>
        </w:rPr>
        <w:instrText>non</w:instrText>
      </w:r>
      <w:r w:rsidR="009D170B" w:rsidRPr="00320416">
        <w:rPr>
          <w:b/>
        </w:rPr>
        <w:instrText>-</w:instrText>
      </w:r>
      <w:r w:rsidR="009D170B">
        <w:rPr>
          <w:b/>
          <w:lang w:val="en-US"/>
        </w:rPr>
        <w:instrText>dropping</w:instrText>
      </w:r>
      <w:r w:rsidR="009D170B" w:rsidRPr="00320416">
        <w:rPr>
          <w:b/>
        </w:rPr>
        <w:instrText>-</w:instrText>
      </w:r>
      <w:r w:rsidR="009D170B">
        <w:rPr>
          <w:b/>
          <w:lang w:val="en-US"/>
        </w:rPr>
        <w:instrText>particle</w:instrText>
      </w:r>
      <w:r w:rsidR="009D170B" w:rsidRPr="00320416">
        <w:rPr>
          <w:b/>
        </w:rPr>
        <w:instrText>":"","</w:instrText>
      </w:r>
      <w:r w:rsidR="009D170B">
        <w:rPr>
          <w:b/>
          <w:lang w:val="en-US"/>
        </w:rPr>
        <w:instrText>parse</w:instrText>
      </w:r>
      <w:r w:rsidR="009D170B" w:rsidRPr="00320416">
        <w:rPr>
          <w:b/>
        </w:rPr>
        <w:instrText>-</w:instrText>
      </w:r>
      <w:r w:rsidR="009D170B">
        <w:rPr>
          <w:b/>
          <w:lang w:val="en-US"/>
        </w:rPr>
        <w:instrText>names</w:instrText>
      </w:r>
      <w:r w:rsidR="009D170B" w:rsidRPr="00320416">
        <w:rPr>
          <w:b/>
        </w:rPr>
        <w:instrText>":</w:instrText>
      </w:r>
      <w:r w:rsidR="009D170B">
        <w:rPr>
          <w:b/>
          <w:lang w:val="en-US"/>
        </w:rPr>
        <w:instrText>false</w:instrText>
      </w:r>
      <w:r w:rsidR="009D170B" w:rsidRPr="00320416">
        <w:rPr>
          <w:b/>
        </w:rPr>
        <w:instrText>,"</w:instrText>
      </w:r>
      <w:r w:rsidR="009D170B">
        <w:rPr>
          <w:b/>
          <w:lang w:val="en-US"/>
        </w:rPr>
        <w:instrText>suffix</w:instrText>
      </w:r>
      <w:r w:rsidR="009D170B" w:rsidRPr="00320416">
        <w:rPr>
          <w:b/>
        </w:rPr>
        <w:instrText>":""},{"</w:instrText>
      </w:r>
      <w:r w:rsidR="009D170B">
        <w:rPr>
          <w:b/>
          <w:lang w:val="en-US"/>
        </w:rPr>
        <w:instrText>dropping</w:instrText>
      </w:r>
      <w:r w:rsidR="009D170B" w:rsidRPr="00320416">
        <w:rPr>
          <w:b/>
        </w:rPr>
        <w:instrText>-</w:instrText>
      </w:r>
      <w:r w:rsidR="009D170B">
        <w:rPr>
          <w:b/>
          <w:lang w:val="en-US"/>
        </w:rPr>
        <w:instrText>particle</w:instrText>
      </w:r>
      <w:r w:rsidR="009D170B" w:rsidRPr="00320416">
        <w:rPr>
          <w:b/>
        </w:rPr>
        <w:instrText>":"","</w:instrText>
      </w:r>
      <w:r w:rsidR="009D170B">
        <w:rPr>
          <w:b/>
          <w:lang w:val="en-US"/>
        </w:rPr>
        <w:instrText>family</w:instrText>
      </w:r>
      <w:r w:rsidR="009D170B" w:rsidRPr="00320416">
        <w:rPr>
          <w:b/>
        </w:rPr>
        <w:instrText>":"</w:instrText>
      </w:r>
      <w:r w:rsidR="009D170B">
        <w:rPr>
          <w:b/>
          <w:lang w:val="en-US"/>
        </w:rPr>
        <w:instrText>Johnson</w:instrText>
      </w:r>
      <w:r w:rsidR="009D170B" w:rsidRPr="00320416">
        <w:rPr>
          <w:b/>
        </w:rPr>
        <w:instrText>","</w:instrText>
      </w:r>
      <w:r w:rsidR="009D170B">
        <w:rPr>
          <w:b/>
          <w:lang w:val="en-US"/>
        </w:rPr>
        <w:instrText>given</w:instrText>
      </w:r>
      <w:r w:rsidR="009D170B" w:rsidRPr="00320416">
        <w:rPr>
          <w:b/>
        </w:rPr>
        <w:instrText>":"</w:instrText>
      </w:r>
      <w:r w:rsidR="009D170B">
        <w:rPr>
          <w:b/>
          <w:lang w:val="en-US"/>
        </w:rPr>
        <w:instrText>Peter</w:instrText>
      </w:r>
      <w:r w:rsidR="009D170B" w:rsidRPr="00320416">
        <w:rPr>
          <w:b/>
        </w:rPr>
        <w:instrText xml:space="preserve"> </w:instrText>
      </w:r>
      <w:r w:rsidR="009D170B">
        <w:rPr>
          <w:b/>
          <w:lang w:val="en-US"/>
        </w:rPr>
        <w:instrText>W</w:instrText>
      </w:r>
      <w:r w:rsidR="009D170B" w:rsidRPr="00320416">
        <w:rPr>
          <w:b/>
        </w:rPr>
        <w:instrText>.","</w:instrText>
      </w:r>
      <w:r w:rsidR="009D170B">
        <w:rPr>
          <w:b/>
          <w:lang w:val="en-US"/>
        </w:rPr>
        <w:instrText>non</w:instrText>
      </w:r>
      <w:r w:rsidR="009D170B" w:rsidRPr="00320416">
        <w:rPr>
          <w:b/>
        </w:rPr>
        <w:instrText>-</w:instrText>
      </w:r>
      <w:r w:rsidR="009D170B">
        <w:rPr>
          <w:b/>
          <w:lang w:val="en-US"/>
        </w:rPr>
        <w:instrText>dropping</w:instrText>
      </w:r>
      <w:r w:rsidR="009D170B" w:rsidRPr="00320416">
        <w:rPr>
          <w:b/>
        </w:rPr>
        <w:instrText>-</w:instrText>
      </w:r>
      <w:r w:rsidR="009D170B">
        <w:rPr>
          <w:b/>
          <w:lang w:val="en-US"/>
        </w:rPr>
        <w:instrText>particle</w:instrText>
      </w:r>
      <w:r w:rsidR="009D170B" w:rsidRPr="00320416">
        <w:rPr>
          <w:b/>
        </w:rPr>
        <w:instrText>":"","</w:instrText>
      </w:r>
      <w:r w:rsidR="009D170B">
        <w:rPr>
          <w:b/>
          <w:lang w:val="en-US"/>
        </w:rPr>
        <w:instrText>parse</w:instrText>
      </w:r>
      <w:r w:rsidR="009D170B" w:rsidRPr="00320416">
        <w:rPr>
          <w:b/>
        </w:rPr>
        <w:instrText>-</w:instrText>
      </w:r>
      <w:r w:rsidR="009D170B">
        <w:rPr>
          <w:b/>
          <w:lang w:val="en-US"/>
        </w:rPr>
        <w:instrText>names</w:instrText>
      </w:r>
      <w:r w:rsidR="009D170B" w:rsidRPr="00320416">
        <w:rPr>
          <w:b/>
        </w:rPr>
        <w:instrText>":</w:instrText>
      </w:r>
      <w:r w:rsidR="009D170B">
        <w:rPr>
          <w:b/>
          <w:lang w:val="en-US"/>
        </w:rPr>
        <w:instrText>false</w:instrText>
      </w:r>
      <w:r w:rsidR="009D170B" w:rsidRPr="00320416">
        <w:rPr>
          <w:b/>
        </w:rPr>
        <w:instrText>,"</w:instrText>
      </w:r>
      <w:r w:rsidR="009D170B">
        <w:rPr>
          <w:b/>
          <w:lang w:val="en-US"/>
        </w:rPr>
        <w:instrText>suffix</w:instrText>
      </w:r>
      <w:r w:rsidR="009D170B" w:rsidRPr="00320416">
        <w:rPr>
          <w:b/>
        </w:rPr>
        <w:instrText>":""},{"</w:instrText>
      </w:r>
      <w:r w:rsidR="009D170B">
        <w:rPr>
          <w:b/>
          <w:lang w:val="en-US"/>
        </w:rPr>
        <w:instrText>dropping</w:instrText>
      </w:r>
      <w:r w:rsidR="009D170B" w:rsidRPr="00320416">
        <w:rPr>
          <w:b/>
        </w:rPr>
        <w:instrText>-</w:instrText>
      </w:r>
      <w:r w:rsidR="009D170B">
        <w:rPr>
          <w:b/>
          <w:lang w:val="en-US"/>
        </w:rPr>
        <w:instrText>particle</w:instrText>
      </w:r>
      <w:r w:rsidR="009D170B" w:rsidRPr="00320416">
        <w:rPr>
          <w:b/>
        </w:rPr>
        <w:instrText>":"","</w:instrText>
      </w:r>
      <w:r w:rsidR="009D170B">
        <w:rPr>
          <w:b/>
          <w:lang w:val="en-US"/>
        </w:rPr>
        <w:instrText>family</w:instrText>
      </w:r>
      <w:r w:rsidR="009D170B" w:rsidRPr="00320416">
        <w:rPr>
          <w:b/>
        </w:rPr>
        <w:instrText>":"</w:instrText>
      </w:r>
      <w:r w:rsidR="009D170B">
        <w:rPr>
          <w:b/>
          <w:lang w:val="en-US"/>
        </w:rPr>
        <w:instrText>Radford</w:instrText>
      </w:r>
      <w:r w:rsidR="009D170B" w:rsidRPr="00320416">
        <w:rPr>
          <w:b/>
        </w:rPr>
        <w:instrText>","</w:instrText>
      </w:r>
      <w:r w:rsidR="009D170B">
        <w:rPr>
          <w:b/>
          <w:lang w:val="en-US"/>
        </w:rPr>
        <w:instrText>given</w:instrText>
      </w:r>
      <w:r w:rsidR="009D170B" w:rsidRPr="00320416">
        <w:rPr>
          <w:b/>
        </w:rPr>
        <w:instrText>":"</w:instrText>
      </w:r>
      <w:r w:rsidR="009D170B">
        <w:rPr>
          <w:b/>
          <w:lang w:val="en-US"/>
        </w:rPr>
        <w:instrText>John</w:instrText>
      </w:r>
      <w:r w:rsidR="009D170B" w:rsidRPr="00320416">
        <w:rPr>
          <w:b/>
        </w:rPr>
        <w:instrText>","</w:instrText>
      </w:r>
      <w:r w:rsidR="009D170B">
        <w:rPr>
          <w:b/>
          <w:lang w:val="en-US"/>
        </w:rPr>
        <w:instrText>non</w:instrText>
      </w:r>
      <w:r w:rsidR="009D170B" w:rsidRPr="00320416">
        <w:rPr>
          <w:b/>
        </w:rPr>
        <w:instrText>-</w:instrText>
      </w:r>
      <w:r w:rsidR="009D170B">
        <w:rPr>
          <w:b/>
          <w:lang w:val="en-US"/>
        </w:rPr>
        <w:instrText>dropping</w:instrText>
      </w:r>
      <w:r w:rsidR="009D170B" w:rsidRPr="00320416">
        <w:rPr>
          <w:b/>
        </w:rPr>
        <w:instrText>-</w:instrText>
      </w:r>
      <w:r w:rsidR="009D170B">
        <w:rPr>
          <w:b/>
          <w:lang w:val="en-US"/>
        </w:rPr>
        <w:instrText>particle</w:instrText>
      </w:r>
      <w:r w:rsidR="009D170B" w:rsidRPr="00320416">
        <w:rPr>
          <w:b/>
        </w:rPr>
        <w:instrText>":"","</w:instrText>
      </w:r>
      <w:r w:rsidR="009D170B">
        <w:rPr>
          <w:b/>
          <w:lang w:val="en-US"/>
        </w:rPr>
        <w:instrText>parse</w:instrText>
      </w:r>
      <w:r w:rsidR="009D170B" w:rsidRPr="00320416">
        <w:rPr>
          <w:b/>
        </w:rPr>
        <w:instrText>-</w:instrText>
      </w:r>
      <w:r w:rsidR="009D170B">
        <w:rPr>
          <w:b/>
          <w:lang w:val="en-US"/>
        </w:rPr>
        <w:instrText>names</w:instrText>
      </w:r>
      <w:r w:rsidR="009D170B" w:rsidRPr="00320416">
        <w:rPr>
          <w:b/>
        </w:rPr>
        <w:instrText>":</w:instrText>
      </w:r>
      <w:r w:rsidR="009D170B">
        <w:rPr>
          <w:b/>
          <w:lang w:val="en-US"/>
        </w:rPr>
        <w:instrText>false</w:instrText>
      </w:r>
      <w:r w:rsidR="009D170B" w:rsidRPr="00320416">
        <w:rPr>
          <w:b/>
        </w:rPr>
        <w:instrText>,"</w:instrText>
      </w:r>
      <w:r w:rsidR="009D170B">
        <w:rPr>
          <w:b/>
          <w:lang w:val="en-US"/>
        </w:rPr>
        <w:instrText>suffix</w:instrText>
      </w:r>
      <w:r w:rsidR="009D170B" w:rsidRPr="00320416">
        <w:rPr>
          <w:b/>
        </w:rPr>
        <w:instrText>":""},{"</w:instrText>
      </w:r>
      <w:r w:rsidR="009D170B">
        <w:rPr>
          <w:b/>
          <w:lang w:val="en-US"/>
        </w:rPr>
        <w:instrText>dropping</w:instrText>
      </w:r>
      <w:r w:rsidR="009D170B" w:rsidRPr="00320416">
        <w:rPr>
          <w:b/>
        </w:rPr>
        <w:instrText>-</w:instrText>
      </w:r>
      <w:r w:rsidR="009D170B">
        <w:rPr>
          <w:b/>
          <w:lang w:val="en-US"/>
        </w:rPr>
        <w:instrText>particle</w:instrText>
      </w:r>
      <w:r w:rsidR="009D170B" w:rsidRPr="00320416">
        <w:rPr>
          <w:b/>
        </w:rPr>
        <w:instrText>":"","</w:instrText>
      </w:r>
      <w:r w:rsidR="009D170B">
        <w:rPr>
          <w:b/>
          <w:lang w:val="en-US"/>
        </w:rPr>
        <w:instrText>family</w:instrText>
      </w:r>
      <w:r w:rsidR="009D170B" w:rsidRPr="00320416">
        <w:rPr>
          <w:b/>
        </w:rPr>
        <w:instrText>":"</w:instrText>
      </w:r>
      <w:r w:rsidR="009D170B">
        <w:rPr>
          <w:b/>
          <w:lang w:val="en-US"/>
        </w:rPr>
        <w:instrText>Linch</w:instrText>
      </w:r>
      <w:r w:rsidR="009D170B" w:rsidRPr="00320416">
        <w:rPr>
          <w:b/>
        </w:rPr>
        <w:instrText>","</w:instrText>
      </w:r>
      <w:r w:rsidR="009D170B">
        <w:rPr>
          <w:b/>
          <w:lang w:val="en-US"/>
        </w:rPr>
        <w:instrText>given</w:instrText>
      </w:r>
      <w:r w:rsidR="009D170B" w:rsidRPr="00320416">
        <w:rPr>
          <w:b/>
        </w:rPr>
        <w:instrText>":"</w:instrText>
      </w:r>
      <w:r w:rsidR="009D170B">
        <w:rPr>
          <w:b/>
          <w:lang w:val="en-US"/>
        </w:rPr>
        <w:instrText>David</w:instrText>
      </w:r>
      <w:r w:rsidR="009D170B" w:rsidRPr="00320416">
        <w:rPr>
          <w:b/>
        </w:rPr>
        <w:instrText xml:space="preserve"> </w:instrText>
      </w:r>
      <w:r w:rsidR="009D170B">
        <w:rPr>
          <w:b/>
          <w:lang w:val="en-US"/>
        </w:rPr>
        <w:instrText>C</w:instrText>
      </w:r>
      <w:r w:rsidR="009D170B" w:rsidRPr="00320416">
        <w:rPr>
          <w:b/>
        </w:rPr>
        <w:instrText>.","</w:instrText>
      </w:r>
      <w:r w:rsidR="009D170B">
        <w:rPr>
          <w:b/>
          <w:lang w:val="en-US"/>
        </w:rPr>
        <w:instrText>non</w:instrText>
      </w:r>
      <w:r w:rsidR="009D170B" w:rsidRPr="00320416">
        <w:rPr>
          <w:b/>
        </w:rPr>
        <w:instrText>-</w:instrText>
      </w:r>
      <w:r w:rsidR="009D170B">
        <w:rPr>
          <w:b/>
          <w:lang w:val="en-US"/>
        </w:rPr>
        <w:instrText>dropping</w:instrText>
      </w:r>
      <w:r w:rsidR="009D170B" w:rsidRPr="00320416">
        <w:rPr>
          <w:b/>
        </w:rPr>
        <w:instrText>-</w:instrText>
      </w:r>
      <w:r w:rsidR="009D170B">
        <w:rPr>
          <w:b/>
          <w:lang w:val="en-US"/>
        </w:rPr>
        <w:instrText>particle</w:instrText>
      </w:r>
      <w:r w:rsidR="009D170B" w:rsidRPr="00320416">
        <w:rPr>
          <w:b/>
        </w:rPr>
        <w:instrText>":"","</w:instrText>
      </w:r>
      <w:r w:rsidR="009D170B">
        <w:rPr>
          <w:b/>
          <w:lang w:val="en-US"/>
        </w:rPr>
        <w:instrText>parse</w:instrText>
      </w:r>
      <w:r w:rsidR="009D170B" w:rsidRPr="00320416">
        <w:rPr>
          <w:b/>
        </w:rPr>
        <w:instrText>-</w:instrText>
      </w:r>
      <w:r w:rsidR="009D170B">
        <w:rPr>
          <w:b/>
          <w:lang w:val="en-US"/>
        </w:rPr>
        <w:instrText>names</w:instrText>
      </w:r>
      <w:r w:rsidR="009D170B" w:rsidRPr="00320416">
        <w:rPr>
          <w:b/>
        </w:rPr>
        <w:instrText>":</w:instrText>
      </w:r>
      <w:r w:rsidR="009D170B">
        <w:rPr>
          <w:b/>
          <w:lang w:val="en-US"/>
        </w:rPr>
        <w:instrText>false</w:instrText>
      </w:r>
      <w:r w:rsidR="009D170B" w:rsidRPr="00320416">
        <w:rPr>
          <w:b/>
        </w:rPr>
        <w:instrText>,"</w:instrText>
      </w:r>
      <w:r w:rsidR="009D170B">
        <w:rPr>
          <w:b/>
          <w:lang w:val="en-US"/>
        </w:rPr>
        <w:instrText>suffix</w:instrText>
      </w:r>
      <w:r w:rsidR="009D170B" w:rsidRPr="00320416">
        <w:rPr>
          <w:b/>
        </w:rPr>
        <w:instrText>":""},{"</w:instrText>
      </w:r>
      <w:r w:rsidR="009D170B">
        <w:rPr>
          <w:b/>
          <w:lang w:val="en-US"/>
        </w:rPr>
        <w:instrText>dropping</w:instrText>
      </w:r>
      <w:r w:rsidR="009D170B" w:rsidRPr="00320416">
        <w:rPr>
          <w:b/>
        </w:rPr>
        <w:instrText>-</w:instrText>
      </w:r>
      <w:r w:rsidR="009D170B">
        <w:rPr>
          <w:b/>
          <w:lang w:val="en-US"/>
        </w:rPr>
        <w:instrText>particle</w:instrText>
      </w:r>
      <w:r w:rsidR="009D170B" w:rsidRPr="00320416">
        <w:rPr>
          <w:b/>
        </w:rPr>
        <w:instrText>":"","</w:instrText>
      </w:r>
      <w:r w:rsidR="009D170B">
        <w:rPr>
          <w:b/>
          <w:lang w:val="en-US"/>
        </w:rPr>
        <w:instrText>family</w:instrText>
      </w:r>
      <w:r w:rsidR="009D170B" w:rsidRPr="00320416">
        <w:rPr>
          <w:b/>
        </w:rPr>
        <w:instrText>":"</w:instrText>
      </w:r>
      <w:r w:rsidR="009D170B">
        <w:rPr>
          <w:b/>
          <w:lang w:val="en-US"/>
        </w:rPr>
        <w:instrText>Cunnningham</w:instrText>
      </w:r>
      <w:r w:rsidR="009D170B" w:rsidRPr="00320416">
        <w:rPr>
          <w:b/>
        </w:rPr>
        <w:instrText>","</w:instrText>
      </w:r>
      <w:r w:rsidR="009D170B">
        <w:rPr>
          <w:b/>
          <w:lang w:val="en-US"/>
        </w:rPr>
        <w:instrText>given</w:instrText>
      </w:r>
      <w:r w:rsidR="009D170B" w:rsidRPr="00320416">
        <w:rPr>
          <w:b/>
        </w:rPr>
        <w:instrText>":"</w:instrText>
      </w:r>
      <w:r w:rsidR="009D170B">
        <w:rPr>
          <w:b/>
          <w:lang w:val="en-US"/>
        </w:rPr>
        <w:instrText>David</w:instrText>
      </w:r>
      <w:r w:rsidR="009D170B" w:rsidRPr="00320416">
        <w:rPr>
          <w:b/>
        </w:rPr>
        <w:instrText>","</w:instrText>
      </w:r>
      <w:r w:rsidR="009D170B">
        <w:rPr>
          <w:b/>
          <w:lang w:val="en-US"/>
        </w:rPr>
        <w:instrText>non</w:instrText>
      </w:r>
      <w:r w:rsidR="009D170B" w:rsidRPr="00320416">
        <w:rPr>
          <w:b/>
        </w:rPr>
        <w:instrText>-</w:instrText>
      </w:r>
      <w:r w:rsidR="009D170B">
        <w:rPr>
          <w:b/>
          <w:lang w:val="en-US"/>
        </w:rPr>
        <w:instrText>dropping</w:instrText>
      </w:r>
      <w:r w:rsidR="009D170B" w:rsidRPr="00320416">
        <w:rPr>
          <w:b/>
        </w:rPr>
        <w:instrText>-</w:instrText>
      </w:r>
      <w:r w:rsidR="009D170B">
        <w:rPr>
          <w:b/>
          <w:lang w:val="en-US"/>
        </w:rPr>
        <w:instrText>particle</w:instrText>
      </w:r>
      <w:r w:rsidR="009D170B" w:rsidRPr="00320416">
        <w:rPr>
          <w:b/>
        </w:rPr>
        <w:instrText>":"","</w:instrText>
      </w:r>
      <w:r w:rsidR="009D170B">
        <w:rPr>
          <w:b/>
          <w:lang w:val="en-US"/>
        </w:rPr>
        <w:instrText>parse</w:instrText>
      </w:r>
      <w:r w:rsidR="009D170B" w:rsidRPr="00320416">
        <w:rPr>
          <w:b/>
        </w:rPr>
        <w:instrText>-</w:instrText>
      </w:r>
      <w:r w:rsidR="009D170B">
        <w:rPr>
          <w:b/>
          <w:lang w:val="en-US"/>
        </w:rPr>
        <w:instrText>names</w:instrText>
      </w:r>
      <w:r w:rsidR="009D170B" w:rsidRPr="00320416">
        <w:rPr>
          <w:b/>
        </w:rPr>
        <w:instrText>":</w:instrText>
      </w:r>
      <w:r w:rsidR="009D170B">
        <w:rPr>
          <w:b/>
          <w:lang w:val="en-US"/>
        </w:rPr>
        <w:instrText>false</w:instrText>
      </w:r>
      <w:r w:rsidR="009D170B" w:rsidRPr="00320416">
        <w:rPr>
          <w:b/>
        </w:rPr>
        <w:instrText>,"</w:instrText>
      </w:r>
      <w:r w:rsidR="009D170B">
        <w:rPr>
          <w:b/>
          <w:lang w:val="en-US"/>
        </w:rPr>
        <w:instrText>suffix</w:instrText>
      </w:r>
      <w:r w:rsidR="009D170B" w:rsidRPr="00320416">
        <w:rPr>
          <w:b/>
        </w:rPr>
        <w:instrText>":""}],"</w:instrText>
      </w:r>
      <w:r w:rsidR="009D170B">
        <w:rPr>
          <w:b/>
          <w:lang w:val="en-US"/>
        </w:rPr>
        <w:instrText>container</w:instrText>
      </w:r>
      <w:r w:rsidR="009D170B" w:rsidRPr="00320416">
        <w:rPr>
          <w:b/>
        </w:rPr>
        <w:instrText>-</w:instrText>
      </w:r>
      <w:r w:rsidR="009D170B">
        <w:rPr>
          <w:b/>
          <w:lang w:val="en-US"/>
        </w:rPr>
        <w:instrText>title</w:instrText>
      </w:r>
      <w:r w:rsidR="009D170B" w:rsidRPr="00320416">
        <w:rPr>
          <w:b/>
        </w:rPr>
        <w:instrText>":"</w:instrText>
      </w:r>
      <w:r w:rsidR="009D170B">
        <w:rPr>
          <w:b/>
          <w:lang w:val="en-US"/>
        </w:rPr>
        <w:instrText>Journal</w:instrText>
      </w:r>
      <w:r w:rsidR="009D170B" w:rsidRPr="00320416">
        <w:rPr>
          <w:b/>
        </w:rPr>
        <w:instrText xml:space="preserve"> </w:instrText>
      </w:r>
      <w:r w:rsidR="009D170B">
        <w:rPr>
          <w:b/>
          <w:lang w:val="en-US"/>
        </w:rPr>
        <w:instrText>of</w:instrText>
      </w:r>
      <w:r w:rsidR="009D170B" w:rsidRPr="00320416">
        <w:rPr>
          <w:b/>
        </w:rPr>
        <w:instrText xml:space="preserve"> </w:instrText>
      </w:r>
      <w:r w:rsidR="009D170B">
        <w:rPr>
          <w:b/>
          <w:lang w:val="en-US"/>
        </w:rPr>
        <w:instrText>Clinical</w:instrText>
      </w:r>
      <w:r w:rsidR="009D170B" w:rsidRPr="00320416">
        <w:rPr>
          <w:b/>
        </w:rPr>
        <w:instrText xml:space="preserve"> </w:instrText>
      </w:r>
      <w:r w:rsidR="009D170B">
        <w:rPr>
          <w:b/>
          <w:lang w:val="en-US"/>
        </w:rPr>
        <w:instrText>Oncology</w:instrText>
      </w:r>
      <w:r w:rsidR="009D170B" w:rsidRPr="00320416">
        <w:rPr>
          <w:b/>
        </w:rPr>
        <w:instrText>","</w:instrText>
      </w:r>
      <w:r w:rsidR="009D170B">
        <w:rPr>
          <w:b/>
          <w:lang w:val="en-US"/>
        </w:rPr>
        <w:instrText>id</w:instrText>
      </w:r>
      <w:r w:rsidR="009D170B" w:rsidRPr="00320416">
        <w:rPr>
          <w:b/>
        </w:rPr>
        <w:instrText>":"</w:instrText>
      </w:r>
      <w:r w:rsidR="009D170B">
        <w:rPr>
          <w:b/>
          <w:lang w:val="en-US"/>
        </w:rPr>
        <w:instrText>ITEM</w:instrText>
      </w:r>
      <w:r w:rsidR="009D170B" w:rsidRPr="00320416">
        <w:rPr>
          <w:b/>
        </w:rPr>
        <w:instrText>-1","</w:instrText>
      </w:r>
      <w:r w:rsidR="009D170B">
        <w:rPr>
          <w:b/>
          <w:lang w:val="en-US"/>
        </w:rPr>
        <w:instrText>issue</w:instrText>
      </w:r>
      <w:r w:rsidR="009D170B" w:rsidRPr="00320416">
        <w:rPr>
          <w:b/>
        </w:rPr>
        <w:instrText>":"4","</w:instrText>
      </w:r>
      <w:r w:rsidR="009D170B">
        <w:rPr>
          <w:b/>
          <w:lang w:val="en-US"/>
        </w:rPr>
        <w:instrText>issued</w:instrText>
      </w:r>
      <w:r w:rsidR="009D170B" w:rsidRPr="00320416">
        <w:rPr>
          <w:b/>
        </w:rPr>
        <w:instrText>":{"</w:instrText>
      </w:r>
      <w:r w:rsidR="009D170B">
        <w:rPr>
          <w:b/>
          <w:lang w:val="en-US"/>
        </w:rPr>
        <w:instrText>date</w:instrText>
      </w:r>
      <w:r w:rsidR="009D170B" w:rsidRPr="00320416">
        <w:rPr>
          <w:b/>
        </w:rPr>
        <w:instrText>-</w:instrText>
      </w:r>
      <w:r w:rsidR="009D170B">
        <w:rPr>
          <w:b/>
          <w:lang w:val="en-US"/>
        </w:rPr>
        <w:instrText>parts</w:instrText>
      </w:r>
      <w:r w:rsidR="009D170B" w:rsidRPr="00320416">
        <w:rPr>
          <w:b/>
        </w:rPr>
        <w:instrText>":[["2014","2","1"]]},"</w:instrText>
      </w:r>
      <w:r w:rsidR="009D170B">
        <w:rPr>
          <w:b/>
          <w:lang w:val="en-US"/>
        </w:rPr>
        <w:instrText>page</w:instrText>
      </w:r>
      <w:r w:rsidR="009D170B" w:rsidRPr="00320416">
        <w:rPr>
          <w:b/>
        </w:rPr>
        <w:instrText>":"282-287","</w:instrText>
      </w:r>
      <w:r w:rsidR="009D170B">
        <w:rPr>
          <w:b/>
          <w:lang w:val="en-US"/>
        </w:rPr>
        <w:instrText>publisher</w:instrText>
      </w:r>
      <w:r w:rsidR="009D170B" w:rsidRPr="00320416">
        <w:rPr>
          <w:b/>
        </w:rPr>
        <w:instrText>":"</w:instrText>
      </w:r>
      <w:r w:rsidR="009D170B">
        <w:rPr>
          <w:b/>
          <w:lang w:val="en-US"/>
        </w:rPr>
        <w:instrText>American</w:instrText>
      </w:r>
      <w:r w:rsidR="009D170B" w:rsidRPr="00320416">
        <w:rPr>
          <w:b/>
        </w:rPr>
        <w:instrText xml:space="preserve"> </w:instrText>
      </w:r>
      <w:r w:rsidR="009D170B">
        <w:rPr>
          <w:b/>
          <w:lang w:val="en-US"/>
        </w:rPr>
        <w:instrText>Society</w:instrText>
      </w:r>
      <w:r w:rsidR="009D170B" w:rsidRPr="00320416">
        <w:rPr>
          <w:b/>
        </w:rPr>
        <w:instrText xml:space="preserve"> </w:instrText>
      </w:r>
      <w:r w:rsidR="009D170B">
        <w:rPr>
          <w:b/>
          <w:lang w:val="en-US"/>
        </w:rPr>
        <w:instrText>of</w:instrText>
      </w:r>
      <w:r w:rsidR="009D170B" w:rsidRPr="00320416">
        <w:rPr>
          <w:b/>
        </w:rPr>
        <w:instrText xml:space="preserve"> </w:instrText>
      </w:r>
      <w:r w:rsidR="009D170B">
        <w:rPr>
          <w:b/>
          <w:lang w:val="en-US"/>
        </w:rPr>
        <w:instrText>Clinical</w:instrText>
      </w:r>
      <w:r w:rsidR="009D170B" w:rsidRPr="00320416">
        <w:rPr>
          <w:b/>
        </w:rPr>
        <w:instrText xml:space="preserve"> </w:instrText>
      </w:r>
      <w:r w:rsidR="009D170B">
        <w:rPr>
          <w:b/>
          <w:lang w:val="en-US"/>
        </w:rPr>
        <w:instrText>Oncology</w:instrText>
      </w:r>
      <w:r w:rsidR="009D170B" w:rsidRPr="00320416">
        <w:rPr>
          <w:b/>
        </w:rPr>
        <w:instrText>","</w:instrText>
      </w:r>
      <w:r w:rsidR="009D170B">
        <w:rPr>
          <w:b/>
          <w:lang w:val="en-US"/>
        </w:rPr>
        <w:instrText>title</w:instrText>
      </w:r>
      <w:r w:rsidR="009D170B" w:rsidRPr="00320416">
        <w:rPr>
          <w:b/>
        </w:rPr>
        <w:instrText>":"</w:instrText>
      </w:r>
      <w:r w:rsidR="009D170B">
        <w:rPr>
          <w:b/>
          <w:lang w:val="en-US"/>
        </w:rPr>
        <w:instrText>De</w:instrText>
      </w:r>
      <w:r w:rsidR="009D170B" w:rsidRPr="00320416">
        <w:rPr>
          <w:b/>
        </w:rPr>
        <w:instrText xml:space="preserve"> </w:instrText>
      </w:r>
      <w:r w:rsidR="009D170B">
        <w:rPr>
          <w:b/>
          <w:lang w:val="en-US"/>
        </w:rPr>
        <w:instrText>novo</w:instrText>
      </w:r>
      <w:r w:rsidR="009D170B" w:rsidRPr="00320416">
        <w:rPr>
          <w:b/>
        </w:rPr>
        <w:instrText xml:space="preserve"> </w:instrText>
      </w:r>
      <w:r w:rsidR="009D170B">
        <w:rPr>
          <w:b/>
          <w:lang w:val="en-US"/>
        </w:rPr>
        <w:instrText>treatment</w:instrText>
      </w:r>
      <w:r w:rsidR="009D170B" w:rsidRPr="00320416">
        <w:rPr>
          <w:b/>
        </w:rPr>
        <w:instrText xml:space="preserve"> </w:instrText>
      </w:r>
      <w:r w:rsidR="009D170B">
        <w:rPr>
          <w:b/>
          <w:lang w:val="en-US"/>
        </w:rPr>
        <w:instrText>of</w:instrText>
      </w:r>
      <w:r w:rsidR="009D170B" w:rsidRPr="00320416">
        <w:rPr>
          <w:b/>
        </w:rPr>
        <w:instrText xml:space="preserve"> </w:instrText>
      </w:r>
      <w:r w:rsidR="009D170B">
        <w:rPr>
          <w:b/>
          <w:lang w:val="en-US"/>
        </w:rPr>
        <w:instrText>diffuse</w:instrText>
      </w:r>
      <w:r w:rsidR="009D170B" w:rsidRPr="00320416">
        <w:rPr>
          <w:b/>
        </w:rPr>
        <w:instrText xml:space="preserve"> </w:instrText>
      </w:r>
      <w:r w:rsidR="009D170B">
        <w:rPr>
          <w:b/>
          <w:lang w:val="en-US"/>
        </w:rPr>
        <w:instrText>large</w:instrText>
      </w:r>
      <w:r w:rsidR="009D170B" w:rsidRPr="00320416">
        <w:rPr>
          <w:b/>
        </w:rPr>
        <w:instrText xml:space="preserve"> </w:instrText>
      </w:r>
      <w:r w:rsidR="009D170B">
        <w:rPr>
          <w:b/>
          <w:lang w:val="en-US"/>
        </w:rPr>
        <w:instrText>B</w:instrText>
      </w:r>
      <w:r w:rsidR="009D170B" w:rsidRPr="00320416">
        <w:rPr>
          <w:b/>
        </w:rPr>
        <w:instrText>-</w:instrText>
      </w:r>
      <w:r w:rsidR="009D170B">
        <w:rPr>
          <w:b/>
          <w:lang w:val="en-US"/>
        </w:rPr>
        <w:instrText>cell</w:instrText>
      </w:r>
      <w:r w:rsidR="009D170B" w:rsidRPr="00320416">
        <w:rPr>
          <w:b/>
        </w:rPr>
        <w:instrText xml:space="preserve"> </w:instrText>
      </w:r>
      <w:r w:rsidR="009D170B">
        <w:rPr>
          <w:b/>
          <w:lang w:val="en-US"/>
        </w:rPr>
        <w:instrText>lymphoma</w:instrText>
      </w:r>
      <w:r w:rsidR="009D170B" w:rsidRPr="00320416">
        <w:rPr>
          <w:b/>
        </w:rPr>
        <w:instrText xml:space="preserve"> </w:instrText>
      </w:r>
      <w:r w:rsidR="009D170B">
        <w:rPr>
          <w:b/>
          <w:lang w:val="en-US"/>
        </w:rPr>
        <w:instrText>with</w:instrText>
      </w:r>
      <w:r w:rsidR="009D170B" w:rsidRPr="00320416">
        <w:rPr>
          <w:b/>
        </w:rPr>
        <w:instrText xml:space="preserve"> </w:instrText>
      </w:r>
      <w:r w:rsidR="009D170B">
        <w:rPr>
          <w:b/>
          <w:lang w:val="en-US"/>
        </w:rPr>
        <w:instrText>rituximab</w:instrText>
      </w:r>
      <w:r w:rsidR="009D170B" w:rsidRPr="00320416">
        <w:rPr>
          <w:b/>
        </w:rPr>
        <w:instrText xml:space="preserve">, </w:instrText>
      </w:r>
      <w:r w:rsidR="009D170B">
        <w:rPr>
          <w:b/>
          <w:lang w:val="en-US"/>
        </w:rPr>
        <w:instrText>cyclophosphamide</w:instrText>
      </w:r>
      <w:r w:rsidR="009D170B" w:rsidRPr="00320416">
        <w:rPr>
          <w:b/>
        </w:rPr>
        <w:instrText xml:space="preserve">, </w:instrText>
      </w:r>
      <w:r w:rsidR="009D170B">
        <w:rPr>
          <w:b/>
          <w:lang w:val="en-US"/>
        </w:rPr>
        <w:instrText>vincristine</w:instrText>
      </w:r>
      <w:r w:rsidR="009D170B" w:rsidRPr="00320416">
        <w:rPr>
          <w:b/>
        </w:rPr>
        <w:instrText xml:space="preserve">, </w:instrText>
      </w:r>
      <w:r w:rsidR="009D170B">
        <w:rPr>
          <w:b/>
          <w:lang w:val="en-US"/>
        </w:rPr>
        <w:instrText>gemcitabine</w:instrText>
      </w:r>
      <w:r w:rsidR="009D170B" w:rsidRPr="00320416">
        <w:rPr>
          <w:b/>
        </w:rPr>
        <w:instrText xml:space="preserve">, </w:instrText>
      </w:r>
      <w:r w:rsidR="009D170B">
        <w:rPr>
          <w:b/>
          <w:lang w:val="en-US"/>
        </w:rPr>
        <w:instrText>and</w:instrText>
      </w:r>
      <w:r w:rsidR="009D170B" w:rsidRPr="00320416">
        <w:rPr>
          <w:b/>
        </w:rPr>
        <w:instrText xml:space="preserve"> </w:instrText>
      </w:r>
      <w:r w:rsidR="009D170B">
        <w:rPr>
          <w:b/>
          <w:lang w:val="en-US"/>
        </w:rPr>
        <w:instrText>prednisolone</w:instrText>
      </w:r>
      <w:r w:rsidR="009D170B" w:rsidRPr="00320416">
        <w:rPr>
          <w:b/>
        </w:rPr>
        <w:instrText xml:space="preserve"> </w:instrText>
      </w:r>
      <w:r w:rsidR="009D170B">
        <w:rPr>
          <w:b/>
          <w:lang w:val="en-US"/>
        </w:rPr>
        <w:instrText>in</w:instrText>
      </w:r>
      <w:r w:rsidR="009D170B" w:rsidRPr="00320416">
        <w:rPr>
          <w:b/>
        </w:rPr>
        <w:instrText xml:space="preserve"> </w:instrText>
      </w:r>
      <w:r w:rsidR="009D170B">
        <w:rPr>
          <w:b/>
          <w:lang w:val="en-US"/>
        </w:rPr>
        <w:instrText>patients</w:instrText>
      </w:r>
      <w:r w:rsidR="009D170B" w:rsidRPr="00320416">
        <w:rPr>
          <w:b/>
        </w:rPr>
        <w:instrText xml:space="preserve"> </w:instrText>
      </w:r>
      <w:r w:rsidR="009D170B">
        <w:rPr>
          <w:b/>
          <w:lang w:val="en-US"/>
        </w:rPr>
        <w:instrText>with</w:instrText>
      </w:r>
      <w:r w:rsidR="009D170B" w:rsidRPr="00320416">
        <w:rPr>
          <w:b/>
        </w:rPr>
        <w:instrText xml:space="preserve"> </w:instrText>
      </w:r>
      <w:r w:rsidR="009D170B">
        <w:rPr>
          <w:b/>
          <w:lang w:val="en-US"/>
        </w:rPr>
        <w:instrText>cardiac</w:instrText>
      </w:r>
      <w:r w:rsidR="009D170B" w:rsidRPr="00320416">
        <w:rPr>
          <w:b/>
        </w:rPr>
        <w:instrText xml:space="preserve"> </w:instrText>
      </w:r>
      <w:r w:rsidR="009D170B">
        <w:rPr>
          <w:b/>
          <w:lang w:val="en-US"/>
        </w:rPr>
        <w:instrText>comorbidity</w:instrText>
      </w:r>
      <w:r w:rsidR="009D170B" w:rsidRPr="00320416">
        <w:rPr>
          <w:b/>
        </w:rPr>
        <w:instrText xml:space="preserve">: </w:instrText>
      </w:r>
      <w:r w:rsidR="009D170B">
        <w:rPr>
          <w:b/>
          <w:lang w:val="en-US"/>
        </w:rPr>
        <w:instrText>A</w:instrText>
      </w:r>
      <w:r w:rsidR="009D170B" w:rsidRPr="00320416">
        <w:rPr>
          <w:b/>
        </w:rPr>
        <w:instrText xml:space="preserve"> </w:instrText>
      </w:r>
      <w:r w:rsidR="009D170B">
        <w:rPr>
          <w:b/>
          <w:lang w:val="en-US"/>
        </w:rPr>
        <w:instrText>United</w:instrText>
      </w:r>
      <w:r w:rsidR="009D170B" w:rsidRPr="00320416">
        <w:rPr>
          <w:b/>
        </w:rPr>
        <w:instrText xml:space="preserve"> </w:instrText>
      </w:r>
      <w:r w:rsidR="009D170B">
        <w:rPr>
          <w:b/>
          <w:lang w:val="en-US"/>
        </w:rPr>
        <w:instrText>Kingdom</w:instrText>
      </w:r>
      <w:r w:rsidR="009D170B" w:rsidRPr="00320416">
        <w:rPr>
          <w:b/>
        </w:rPr>
        <w:instrText xml:space="preserve"> </w:instrText>
      </w:r>
      <w:r w:rsidR="009D170B">
        <w:rPr>
          <w:b/>
          <w:lang w:val="en-US"/>
        </w:rPr>
        <w:instrText>National</w:instrText>
      </w:r>
      <w:r w:rsidR="009D170B" w:rsidRPr="00320416">
        <w:rPr>
          <w:b/>
        </w:rPr>
        <w:instrText xml:space="preserve"> </w:instrText>
      </w:r>
      <w:r w:rsidR="009D170B">
        <w:rPr>
          <w:b/>
          <w:lang w:val="en-US"/>
        </w:rPr>
        <w:instrText>Cancer</w:instrText>
      </w:r>
      <w:r w:rsidR="009D170B" w:rsidRPr="00320416">
        <w:rPr>
          <w:b/>
        </w:rPr>
        <w:instrText xml:space="preserve"> </w:instrText>
      </w:r>
      <w:r w:rsidR="009D170B">
        <w:rPr>
          <w:b/>
          <w:lang w:val="en-US"/>
        </w:rPr>
        <w:instrText>Research</w:instrText>
      </w:r>
      <w:r w:rsidR="009D170B" w:rsidRPr="00320416">
        <w:rPr>
          <w:b/>
        </w:rPr>
        <w:instrText xml:space="preserve"> </w:instrText>
      </w:r>
      <w:r w:rsidR="009D170B">
        <w:rPr>
          <w:b/>
          <w:lang w:val="en-US"/>
        </w:rPr>
        <w:instrText>Institute</w:instrText>
      </w:r>
      <w:r w:rsidR="009D170B" w:rsidRPr="00320416">
        <w:rPr>
          <w:b/>
        </w:rPr>
        <w:instrText xml:space="preserve"> </w:instrText>
      </w:r>
      <w:r w:rsidR="009D170B">
        <w:rPr>
          <w:b/>
          <w:lang w:val="en-US"/>
        </w:rPr>
        <w:instrText>trial</w:instrText>
      </w:r>
      <w:r w:rsidR="009D170B" w:rsidRPr="00320416">
        <w:rPr>
          <w:b/>
        </w:rPr>
        <w:instrText>","</w:instrText>
      </w:r>
      <w:r w:rsidR="009D170B">
        <w:rPr>
          <w:b/>
          <w:lang w:val="en-US"/>
        </w:rPr>
        <w:instrText>type</w:instrText>
      </w:r>
      <w:r w:rsidR="009D170B" w:rsidRPr="00320416">
        <w:rPr>
          <w:b/>
        </w:rPr>
        <w:instrText>":"</w:instrText>
      </w:r>
      <w:r w:rsidR="009D170B">
        <w:rPr>
          <w:b/>
          <w:lang w:val="en-US"/>
        </w:rPr>
        <w:instrText>article</w:instrText>
      </w:r>
      <w:r w:rsidR="009D170B" w:rsidRPr="00320416">
        <w:rPr>
          <w:b/>
        </w:rPr>
        <w:instrText>-</w:instrText>
      </w:r>
      <w:r w:rsidR="009D170B">
        <w:rPr>
          <w:b/>
          <w:lang w:val="en-US"/>
        </w:rPr>
        <w:instrText>journal</w:instrText>
      </w:r>
      <w:r w:rsidR="009D170B" w:rsidRPr="00320416">
        <w:rPr>
          <w:b/>
        </w:rPr>
        <w:instrText>","</w:instrText>
      </w:r>
      <w:r w:rsidR="009D170B">
        <w:rPr>
          <w:b/>
          <w:lang w:val="en-US"/>
        </w:rPr>
        <w:instrText>volume</w:instrText>
      </w:r>
      <w:r w:rsidR="009D170B" w:rsidRPr="00320416">
        <w:rPr>
          <w:b/>
        </w:rPr>
        <w:instrText>":"32"},"</w:instrText>
      </w:r>
      <w:r w:rsidR="009D170B">
        <w:rPr>
          <w:b/>
          <w:lang w:val="en-US"/>
        </w:rPr>
        <w:instrText>uris</w:instrText>
      </w:r>
      <w:r w:rsidR="009D170B" w:rsidRPr="00320416">
        <w:rPr>
          <w:b/>
        </w:rPr>
        <w:instrText>":["</w:instrText>
      </w:r>
      <w:r w:rsidR="009D170B">
        <w:rPr>
          <w:b/>
          <w:lang w:val="en-US"/>
        </w:rPr>
        <w:instrText>http</w:instrText>
      </w:r>
      <w:r w:rsidR="009D170B" w:rsidRPr="00320416">
        <w:rPr>
          <w:b/>
        </w:rPr>
        <w:instrText>://</w:instrText>
      </w:r>
      <w:r w:rsidR="009D170B">
        <w:rPr>
          <w:b/>
          <w:lang w:val="en-US"/>
        </w:rPr>
        <w:instrText>www</w:instrText>
      </w:r>
      <w:r w:rsidR="009D170B" w:rsidRPr="00320416">
        <w:rPr>
          <w:b/>
        </w:rPr>
        <w:instrText>.</w:instrText>
      </w:r>
      <w:r w:rsidR="009D170B">
        <w:rPr>
          <w:b/>
          <w:lang w:val="en-US"/>
        </w:rPr>
        <w:instrText>mendeley</w:instrText>
      </w:r>
      <w:r w:rsidR="009D170B" w:rsidRPr="00320416">
        <w:rPr>
          <w:b/>
        </w:rPr>
        <w:instrText>.</w:instrText>
      </w:r>
      <w:r w:rsidR="009D170B">
        <w:rPr>
          <w:b/>
          <w:lang w:val="en-US"/>
        </w:rPr>
        <w:instrText>com</w:instrText>
      </w:r>
      <w:r w:rsidR="009D170B" w:rsidRPr="00320416">
        <w:rPr>
          <w:b/>
        </w:rPr>
        <w:instrText>/</w:instrText>
      </w:r>
      <w:r w:rsidR="009D170B">
        <w:rPr>
          <w:b/>
          <w:lang w:val="en-US"/>
        </w:rPr>
        <w:instrText>documents</w:instrText>
      </w:r>
      <w:r w:rsidR="009D170B" w:rsidRPr="00320416">
        <w:rPr>
          <w:b/>
        </w:rPr>
        <w:instrText>/?</w:instrText>
      </w:r>
      <w:r w:rsidR="009D170B">
        <w:rPr>
          <w:b/>
          <w:lang w:val="en-US"/>
        </w:rPr>
        <w:instrText>uuid</w:instrText>
      </w:r>
      <w:r w:rsidR="009D170B" w:rsidRPr="00320416">
        <w:rPr>
          <w:b/>
        </w:rPr>
        <w:instrText>=0847902</w:instrText>
      </w:r>
      <w:r w:rsidR="009D170B">
        <w:rPr>
          <w:b/>
          <w:lang w:val="en-US"/>
        </w:rPr>
        <w:instrText>b</w:instrText>
      </w:r>
      <w:r w:rsidR="009D170B" w:rsidRPr="00320416">
        <w:rPr>
          <w:b/>
        </w:rPr>
        <w:instrText>-64</w:instrText>
      </w:r>
      <w:r w:rsidR="009D170B">
        <w:rPr>
          <w:b/>
          <w:lang w:val="en-US"/>
        </w:rPr>
        <w:instrText>d</w:instrText>
      </w:r>
      <w:r w:rsidR="009D170B" w:rsidRPr="00320416">
        <w:rPr>
          <w:b/>
        </w:rPr>
        <w:instrText>1-3</w:instrText>
      </w:r>
      <w:r w:rsidR="009D170B">
        <w:rPr>
          <w:b/>
          <w:lang w:val="en-US"/>
        </w:rPr>
        <w:instrText>c</w:instrText>
      </w:r>
      <w:r w:rsidR="009D170B" w:rsidRPr="00320416">
        <w:rPr>
          <w:b/>
        </w:rPr>
        <w:instrText>94-</w:instrText>
      </w:r>
      <w:r w:rsidR="009D170B">
        <w:rPr>
          <w:b/>
          <w:lang w:val="en-US"/>
        </w:rPr>
        <w:instrText>b</w:instrText>
      </w:r>
      <w:r w:rsidR="009D170B" w:rsidRPr="00320416">
        <w:rPr>
          <w:b/>
        </w:rPr>
        <w:instrText>0</w:instrText>
      </w:r>
      <w:r w:rsidR="009D170B">
        <w:rPr>
          <w:b/>
          <w:lang w:val="en-US"/>
        </w:rPr>
        <w:instrText>e</w:instrText>
      </w:r>
      <w:r w:rsidR="009D170B" w:rsidRPr="00320416">
        <w:rPr>
          <w:b/>
        </w:rPr>
        <w:instrText>5-4</w:instrText>
      </w:r>
      <w:r w:rsidR="009D170B">
        <w:rPr>
          <w:b/>
          <w:lang w:val="en-US"/>
        </w:rPr>
        <w:instrText>eabd</w:instrText>
      </w:r>
      <w:r w:rsidR="009D170B" w:rsidRPr="00320416">
        <w:rPr>
          <w:b/>
        </w:rPr>
        <w:instrText>02</w:instrText>
      </w:r>
      <w:r w:rsidR="009D170B">
        <w:rPr>
          <w:b/>
          <w:lang w:val="en-US"/>
        </w:rPr>
        <w:instrText>def</w:instrText>
      </w:r>
      <w:r w:rsidR="009D170B" w:rsidRPr="00320416">
        <w:rPr>
          <w:b/>
        </w:rPr>
        <w:instrText>00"]}],"</w:instrText>
      </w:r>
      <w:r w:rsidR="009D170B">
        <w:rPr>
          <w:b/>
          <w:lang w:val="en-US"/>
        </w:rPr>
        <w:instrText>mendeley</w:instrText>
      </w:r>
      <w:r w:rsidR="009D170B" w:rsidRPr="00320416">
        <w:rPr>
          <w:b/>
        </w:rPr>
        <w:instrText>":{"</w:instrText>
      </w:r>
      <w:r w:rsidR="009D170B">
        <w:rPr>
          <w:b/>
          <w:lang w:val="en-US"/>
        </w:rPr>
        <w:instrText>formattedCitation</w:instrText>
      </w:r>
      <w:r w:rsidR="009D170B" w:rsidRPr="00320416">
        <w:rPr>
          <w:b/>
        </w:rPr>
        <w:instrText>":"[69]","</w:instrText>
      </w:r>
      <w:r w:rsidR="009D170B">
        <w:rPr>
          <w:b/>
          <w:lang w:val="en-US"/>
        </w:rPr>
        <w:instrText>plainTextFormattedCitation</w:instrText>
      </w:r>
      <w:r w:rsidR="009D170B" w:rsidRPr="00320416">
        <w:rPr>
          <w:b/>
        </w:rPr>
        <w:instrText>":"[69]","</w:instrText>
      </w:r>
      <w:r w:rsidR="009D170B">
        <w:rPr>
          <w:b/>
          <w:lang w:val="en-US"/>
        </w:rPr>
        <w:instrText>previouslyFormattedCitation</w:instrText>
      </w:r>
      <w:r w:rsidR="009D170B" w:rsidRPr="00320416">
        <w:rPr>
          <w:b/>
        </w:rPr>
        <w:instrText>":"[69]"},"</w:instrText>
      </w:r>
      <w:r w:rsidR="009D170B">
        <w:rPr>
          <w:b/>
          <w:lang w:val="en-US"/>
        </w:rPr>
        <w:instrText>properties</w:instrText>
      </w:r>
      <w:r w:rsidR="009D170B" w:rsidRPr="00320416">
        <w:rPr>
          <w:b/>
        </w:rPr>
        <w:instrText>":{"</w:instrText>
      </w:r>
      <w:r w:rsidR="009D170B">
        <w:rPr>
          <w:b/>
          <w:lang w:val="en-US"/>
        </w:rPr>
        <w:instrText>noteIndex</w:instrText>
      </w:r>
      <w:r w:rsidR="009D170B" w:rsidRPr="00320416">
        <w:rPr>
          <w:b/>
        </w:rPr>
        <w:instrText>":0},"</w:instrText>
      </w:r>
      <w:r w:rsidR="009D170B">
        <w:rPr>
          <w:b/>
          <w:lang w:val="en-US"/>
        </w:rPr>
        <w:instrText>schema</w:instrText>
      </w:r>
      <w:r w:rsidR="009D170B" w:rsidRPr="00320416">
        <w:rPr>
          <w:b/>
        </w:rPr>
        <w:instrText>":"</w:instrText>
      </w:r>
      <w:r w:rsidR="009D170B">
        <w:rPr>
          <w:b/>
          <w:lang w:val="en-US"/>
        </w:rPr>
        <w:instrText>https</w:instrText>
      </w:r>
      <w:r w:rsidR="009D170B" w:rsidRPr="00320416">
        <w:rPr>
          <w:b/>
        </w:rPr>
        <w:instrText>://</w:instrText>
      </w:r>
      <w:r w:rsidR="009D170B">
        <w:rPr>
          <w:b/>
          <w:lang w:val="en-US"/>
        </w:rPr>
        <w:instrText>github</w:instrText>
      </w:r>
      <w:r w:rsidR="009D170B" w:rsidRPr="00320416">
        <w:rPr>
          <w:b/>
        </w:rPr>
        <w:instrText>.</w:instrText>
      </w:r>
      <w:r w:rsidR="009D170B">
        <w:rPr>
          <w:b/>
          <w:lang w:val="en-US"/>
        </w:rPr>
        <w:instrText>com</w:instrText>
      </w:r>
      <w:r w:rsidR="009D170B" w:rsidRPr="00320416">
        <w:rPr>
          <w:b/>
        </w:rPr>
        <w:instrText>/</w:instrText>
      </w:r>
      <w:r w:rsidR="009D170B">
        <w:rPr>
          <w:b/>
          <w:lang w:val="en-US"/>
        </w:rPr>
        <w:instrText>citation</w:instrText>
      </w:r>
      <w:r w:rsidR="009D170B" w:rsidRPr="00320416">
        <w:rPr>
          <w:b/>
        </w:rPr>
        <w:instrText>-</w:instrText>
      </w:r>
      <w:r w:rsidR="009D170B">
        <w:rPr>
          <w:b/>
          <w:lang w:val="en-US"/>
        </w:rPr>
        <w:instrText>style</w:instrText>
      </w:r>
      <w:r w:rsidR="009D170B" w:rsidRPr="00320416">
        <w:rPr>
          <w:b/>
        </w:rPr>
        <w:instrText>-</w:instrText>
      </w:r>
      <w:r w:rsidR="009D170B">
        <w:rPr>
          <w:b/>
          <w:lang w:val="en-US"/>
        </w:rPr>
        <w:instrText>language</w:instrText>
      </w:r>
      <w:r w:rsidR="009D170B" w:rsidRPr="00320416">
        <w:rPr>
          <w:b/>
        </w:rPr>
        <w:instrText>/</w:instrText>
      </w:r>
      <w:r w:rsidR="009D170B">
        <w:rPr>
          <w:b/>
          <w:lang w:val="en-US"/>
        </w:rPr>
        <w:instrText>schema</w:instrText>
      </w:r>
      <w:r w:rsidR="009D170B" w:rsidRPr="00320416">
        <w:rPr>
          <w:b/>
        </w:rPr>
        <w:instrText>/</w:instrText>
      </w:r>
      <w:r w:rsidR="009D170B">
        <w:rPr>
          <w:b/>
          <w:lang w:val="en-US"/>
        </w:rPr>
        <w:instrText>raw</w:instrText>
      </w:r>
      <w:r w:rsidR="009D170B" w:rsidRPr="00320416">
        <w:rPr>
          <w:b/>
        </w:rPr>
        <w:instrText>/</w:instrText>
      </w:r>
      <w:r w:rsidR="009D170B">
        <w:rPr>
          <w:b/>
          <w:lang w:val="en-US"/>
        </w:rPr>
        <w:instrText>master</w:instrText>
      </w:r>
      <w:r w:rsidR="009D170B" w:rsidRPr="00320416">
        <w:rPr>
          <w:b/>
        </w:rPr>
        <w:instrText>/</w:instrText>
      </w:r>
      <w:r w:rsidR="009D170B">
        <w:rPr>
          <w:b/>
          <w:lang w:val="en-US"/>
        </w:rPr>
        <w:instrText>csl</w:instrText>
      </w:r>
      <w:r w:rsidR="009D170B" w:rsidRPr="00320416">
        <w:rPr>
          <w:b/>
        </w:rPr>
        <w:instrText>-</w:instrText>
      </w:r>
      <w:r w:rsidR="009D170B">
        <w:rPr>
          <w:b/>
          <w:lang w:val="en-US"/>
        </w:rPr>
        <w:instrText>citation</w:instrText>
      </w:r>
      <w:r w:rsidR="009D170B" w:rsidRPr="00320416">
        <w:rPr>
          <w:b/>
        </w:rPr>
        <w:instrText>.</w:instrText>
      </w:r>
      <w:r w:rsidR="009D170B">
        <w:rPr>
          <w:b/>
          <w:lang w:val="en-US"/>
        </w:rPr>
        <w:instrText>json</w:instrText>
      </w:r>
      <w:r w:rsidR="009D170B" w:rsidRPr="00320416">
        <w:rPr>
          <w:b/>
        </w:rPr>
        <w:instrText>"}</w:instrText>
      </w:r>
      <w:r w:rsidRPr="000322E4">
        <w:rPr>
          <w:b/>
          <w:lang w:val="en-US"/>
        </w:rPr>
        <w:fldChar w:fldCharType="separate"/>
      </w:r>
      <w:r w:rsidR="00095D58" w:rsidRPr="00095D58">
        <w:rPr>
          <w:noProof/>
        </w:rPr>
        <w:t>[69]</w:t>
      </w:r>
      <w:r w:rsidRPr="000322E4">
        <w:rPr>
          <w:b/>
          <w:lang w:val="en-US"/>
        </w:rPr>
        <w:fldChar w:fldCharType="end"/>
      </w:r>
    </w:p>
    <w:p w14:paraId="56554210" w14:textId="77777777" w:rsidR="00666D68" w:rsidRPr="00293AC8" w:rsidRDefault="00666D68" w:rsidP="008E3584">
      <w:pPr>
        <w:numPr>
          <w:ilvl w:val="0"/>
          <w:numId w:val="39"/>
        </w:numPr>
        <w:spacing w:line="360" w:lineRule="auto"/>
        <w:jc w:val="both"/>
      </w:pPr>
      <w:r w:rsidRPr="000322E4">
        <w:t>Ритуксимаб</w:t>
      </w:r>
      <w:r w:rsidRPr="00293AC8">
        <w:rPr>
          <w:bCs/>
        </w:rPr>
        <w:t>**</w:t>
      </w:r>
      <w:r w:rsidRPr="00293AC8">
        <w:t xml:space="preserve"> </w:t>
      </w:r>
    </w:p>
    <w:p w14:paraId="1FD432C3" w14:textId="77777777" w:rsidR="00666D68" w:rsidRPr="00293AC8" w:rsidRDefault="00666D68" w:rsidP="008E3584">
      <w:pPr>
        <w:numPr>
          <w:ilvl w:val="1"/>
          <w:numId w:val="39"/>
        </w:numPr>
        <w:spacing w:line="360" w:lineRule="auto"/>
        <w:jc w:val="both"/>
      </w:pPr>
      <w:r w:rsidRPr="00293AC8">
        <w:t xml:space="preserve">375 </w:t>
      </w:r>
      <w:r w:rsidRPr="000322E4">
        <w:t>мг</w:t>
      </w:r>
      <w:r w:rsidRPr="00293AC8">
        <w:t>/</w:t>
      </w:r>
      <w:r w:rsidRPr="000322E4">
        <w:t>м</w:t>
      </w:r>
      <w:r w:rsidRPr="00293AC8">
        <w:rPr>
          <w:vertAlign w:val="superscript"/>
        </w:rPr>
        <w:t>2</w:t>
      </w:r>
      <w:r w:rsidRPr="00293AC8">
        <w:t xml:space="preserve"> </w:t>
      </w:r>
      <w:r w:rsidRPr="000322E4">
        <w:t>в</w:t>
      </w:r>
      <w:r w:rsidRPr="00293AC8">
        <w:t>/</w:t>
      </w:r>
      <w:r w:rsidRPr="000322E4">
        <w:t>в</w:t>
      </w:r>
      <w:r w:rsidRPr="00293AC8">
        <w:t xml:space="preserve"> </w:t>
      </w:r>
      <w:r w:rsidRPr="000322E4">
        <w:t>кап</w:t>
      </w:r>
      <w:r w:rsidRPr="00293AC8">
        <w:t xml:space="preserve">., </w:t>
      </w:r>
      <w:r w:rsidRPr="000322E4">
        <w:t>день</w:t>
      </w:r>
      <w:r w:rsidRPr="00293AC8">
        <w:t xml:space="preserve"> 0 </w:t>
      </w:r>
      <w:r w:rsidRPr="000322E4">
        <w:t>или</w:t>
      </w:r>
      <w:r w:rsidRPr="00293AC8">
        <w:t xml:space="preserve"> 1 </w:t>
      </w:r>
      <w:r w:rsidRPr="000322E4">
        <w:t>все</w:t>
      </w:r>
      <w:r w:rsidRPr="00293AC8">
        <w:t xml:space="preserve"> </w:t>
      </w:r>
      <w:r w:rsidRPr="000322E4">
        <w:t>циклы</w:t>
      </w:r>
      <w:r w:rsidRPr="00293AC8">
        <w:t xml:space="preserve"> </w:t>
      </w:r>
      <w:r w:rsidRPr="000322E4">
        <w:t>курса</w:t>
      </w:r>
    </w:p>
    <w:p w14:paraId="2AAC193D" w14:textId="77777777" w:rsidR="00666D68" w:rsidRPr="00293AC8" w:rsidRDefault="00666D68" w:rsidP="008E3584">
      <w:pPr>
        <w:spacing w:line="360" w:lineRule="auto"/>
        <w:ind w:left="1080" w:firstLine="336"/>
        <w:jc w:val="both"/>
      </w:pPr>
      <w:r w:rsidRPr="000322E4">
        <w:t>или</w:t>
      </w:r>
    </w:p>
    <w:p w14:paraId="27510E0E" w14:textId="7D369D22" w:rsidR="00666D68" w:rsidRPr="00293AC8" w:rsidRDefault="00666D68" w:rsidP="008E3584">
      <w:pPr>
        <w:numPr>
          <w:ilvl w:val="1"/>
          <w:numId w:val="39"/>
        </w:numPr>
        <w:spacing w:line="360" w:lineRule="auto"/>
        <w:jc w:val="both"/>
      </w:pPr>
      <w:r w:rsidRPr="00293AC8">
        <w:t xml:space="preserve">375 </w:t>
      </w:r>
      <w:r w:rsidRPr="000322E4">
        <w:t>мг</w:t>
      </w:r>
      <w:r w:rsidRPr="00293AC8">
        <w:t>/</w:t>
      </w:r>
      <w:r w:rsidRPr="000322E4">
        <w:t>м</w:t>
      </w:r>
      <w:r w:rsidRPr="00293AC8">
        <w:rPr>
          <w:vertAlign w:val="superscript"/>
        </w:rPr>
        <w:t>2</w:t>
      </w:r>
      <w:r w:rsidRPr="00293AC8">
        <w:t xml:space="preserve"> </w:t>
      </w:r>
      <w:r w:rsidRPr="000322E4">
        <w:t>в</w:t>
      </w:r>
      <w:r w:rsidRPr="00293AC8">
        <w:t>/</w:t>
      </w:r>
      <w:r w:rsidRPr="000322E4">
        <w:t>в</w:t>
      </w:r>
      <w:r w:rsidRPr="00293AC8">
        <w:t xml:space="preserve"> </w:t>
      </w:r>
      <w:r w:rsidRPr="000322E4">
        <w:t>кап</w:t>
      </w:r>
      <w:r w:rsidRPr="00293AC8">
        <w:t xml:space="preserve">. 1 </w:t>
      </w:r>
      <w:r w:rsidRPr="000322E4">
        <w:t>цикл</w:t>
      </w:r>
      <w:r w:rsidRPr="00293AC8">
        <w:t xml:space="preserve">, </w:t>
      </w:r>
      <w:r w:rsidRPr="000322E4">
        <w:t>далее</w:t>
      </w:r>
      <w:r w:rsidRPr="00293AC8">
        <w:t xml:space="preserve"> </w:t>
      </w:r>
      <w:r w:rsidRPr="000322E4">
        <w:t>ритуксимаб</w:t>
      </w:r>
      <w:r w:rsidRPr="00293AC8">
        <w:t xml:space="preserve"> 1400 </w:t>
      </w:r>
      <w:r w:rsidRPr="000322E4">
        <w:t>мг</w:t>
      </w:r>
      <w:r w:rsidRPr="00293AC8">
        <w:t xml:space="preserve"> </w:t>
      </w:r>
      <w:r w:rsidRPr="000322E4">
        <w:t>п</w:t>
      </w:r>
      <w:r w:rsidRPr="00293AC8">
        <w:t>/</w:t>
      </w:r>
      <w:r w:rsidRPr="000322E4">
        <w:t>к</w:t>
      </w:r>
      <w:r w:rsidRPr="00293AC8">
        <w:t xml:space="preserve">, </w:t>
      </w:r>
      <w:r w:rsidRPr="000322E4">
        <w:t>день</w:t>
      </w:r>
      <w:r w:rsidRPr="00293AC8">
        <w:t xml:space="preserve"> 0 </w:t>
      </w:r>
      <w:r w:rsidRPr="000322E4">
        <w:t>или</w:t>
      </w:r>
      <w:r w:rsidRPr="00293AC8">
        <w:t xml:space="preserve"> 1 </w:t>
      </w:r>
      <w:r w:rsidRPr="000322E4">
        <w:rPr>
          <w:lang w:val="en-US"/>
        </w:rPr>
        <w:fldChar w:fldCharType="begin" w:fldLock="1"/>
      </w:r>
      <w:r w:rsidR="00A6794A">
        <w:rPr>
          <w:lang w:val="en-US"/>
        </w:rPr>
        <w:instrText>ADDIN</w:instrText>
      </w:r>
      <w:r w:rsidR="00A6794A" w:rsidRPr="00D3550C">
        <w:instrText xml:space="preserve"> </w:instrText>
      </w:r>
      <w:r w:rsidR="00A6794A">
        <w:rPr>
          <w:lang w:val="en-US"/>
        </w:rPr>
        <w:instrText>CSL</w:instrText>
      </w:r>
      <w:r w:rsidR="00A6794A" w:rsidRPr="00D3550C">
        <w:instrText>_</w:instrText>
      </w:r>
      <w:r w:rsidR="00A6794A">
        <w:rPr>
          <w:lang w:val="en-US"/>
        </w:rPr>
        <w:instrText>CITATION</w:instrText>
      </w:r>
      <w:r w:rsidR="00A6794A" w:rsidRPr="00D3550C">
        <w:instrText xml:space="preserve"> {"</w:instrText>
      </w:r>
      <w:r w:rsidR="00A6794A">
        <w:rPr>
          <w:lang w:val="en-US"/>
        </w:rPr>
        <w:instrText>citationItems</w:instrText>
      </w:r>
      <w:r w:rsidR="00A6794A" w:rsidRPr="00D3550C">
        <w:instrText>":[{"</w:instrText>
      </w:r>
      <w:r w:rsidR="00A6794A">
        <w:rPr>
          <w:lang w:val="en-US"/>
        </w:rPr>
        <w:instrText>id</w:instrText>
      </w:r>
      <w:r w:rsidR="00A6794A" w:rsidRPr="00D3550C">
        <w:instrText>":"</w:instrText>
      </w:r>
      <w:r w:rsidR="00A6794A">
        <w:rPr>
          <w:lang w:val="en-US"/>
        </w:rPr>
        <w:instrText>ITEM</w:instrText>
      </w:r>
      <w:r w:rsidR="00A6794A" w:rsidRPr="00D3550C">
        <w:instrText>-1","</w:instrText>
      </w:r>
      <w:r w:rsidR="00A6794A">
        <w:rPr>
          <w:lang w:val="en-US"/>
        </w:rPr>
        <w:instrText>itemData</w:instrText>
      </w:r>
      <w:r w:rsidR="00A6794A" w:rsidRPr="00D3550C">
        <w:instrText>":{"</w:instrText>
      </w:r>
      <w:r w:rsidR="00A6794A">
        <w:rPr>
          <w:lang w:val="en-US"/>
        </w:rPr>
        <w:instrText>ISSN</w:instrText>
      </w:r>
      <w:r w:rsidR="00A6794A" w:rsidRPr="00D3550C">
        <w:instrText>":"2150-0878","</w:instrText>
      </w:r>
      <w:r w:rsidR="00A6794A">
        <w:rPr>
          <w:lang w:val="en-US"/>
        </w:rPr>
        <w:instrText>PMID</w:instrText>
      </w:r>
      <w:r w:rsidR="00A6794A" w:rsidRPr="00D3550C">
        <w:instrText>":"31086689","</w:instrText>
      </w:r>
      <w:r w:rsidR="00A6794A">
        <w:rPr>
          <w:lang w:val="en-US"/>
        </w:rPr>
        <w:instrText>abstract</w:instrText>
      </w:r>
      <w:r w:rsidR="00A6794A" w:rsidRPr="00D3550C">
        <w:instrText>":"</w:instrText>
      </w:r>
      <w:r w:rsidR="00A6794A">
        <w:rPr>
          <w:lang w:val="en-US"/>
        </w:rPr>
        <w:instrText>Rituximab</w:instrText>
      </w:r>
      <w:r w:rsidR="00A6794A" w:rsidRPr="00D3550C">
        <w:instrText xml:space="preserve"> </w:instrText>
      </w:r>
      <w:r w:rsidR="00A6794A">
        <w:rPr>
          <w:lang w:val="en-US"/>
        </w:rPr>
        <w:instrText>and</w:instrText>
      </w:r>
      <w:r w:rsidR="00A6794A" w:rsidRPr="00D3550C">
        <w:instrText xml:space="preserve"> </w:instrText>
      </w:r>
      <w:r w:rsidR="00A6794A">
        <w:rPr>
          <w:lang w:val="en-US"/>
        </w:rPr>
        <w:instrText>hyaluronidase</w:instrText>
      </w:r>
      <w:r w:rsidR="00A6794A" w:rsidRPr="00D3550C">
        <w:instrText xml:space="preserve"> </w:instrText>
      </w:r>
      <w:r w:rsidR="00A6794A">
        <w:rPr>
          <w:lang w:val="en-US"/>
        </w:rPr>
        <w:instrText>human</w:instrText>
      </w:r>
      <w:r w:rsidR="00A6794A" w:rsidRPr="00D3550C">
        <w:instrText xml:space="preserve"> </w:instrText>
      </w:r>
      <w:r w:rsidR="00A6794A">
        <w:rPr>
          <w:lang w:val="en-US"/>
        </w:rPr>
        <w:instrText>is</w:instrText>
      </w:r>
      <w:r w:rsidR="00A6794A" w:rsidRPr="00D3550C">
        <w:instrText xml:space="preserve"> </w:instrText>
      </w:r>
      <w:r w:rsidR="00A6794A">
        <w:rPr>
          <w:lang w:val="en-US"/>
        </w:rPr>
        <w:instrText>a</w:instrText>
      </w:r>
      <w:r w:rsidR="00A6794A" w:rsidRPr="00D3550C">
        <w:instrText xml:space="preserve"> </w:instrText>
      </w:r>
      <w:r w:rsidR="00A6794A">
        <w:rPr>
          <w:lang w:val="en-US"/>
        </w:rPr>
        <w:instrText>new</w:instrText>
      </w:r>
      <w:r w:rsidR="00A6794A" w:rsidRPr="00D3550C">
        <w:instrText xml:space="preserve"> </w:instrText>
      </w:r>
      <w:r w:rsidR="00A6794A">
        <w:rPr>
          <w:lang w:val="en-US"/>
        </w:rPr>
        <w:instrText>subcutaneous</w:instrText>
      </w:r>
      <w:r w:rsidR="00A6794A" w:rsidRPr="00D3550C">
        <w:instrText xml:space="preserve"> </w:instrText>
      </w:r>
      <w:r w:rsidR="00A6794A">
        <w:rPr>
          <w:lang w:val="en-US"/>
        </w:rPr>
        <w:instrText>formulation</w:instrText>
      </w:r>
      <w:r w:rsidR="00A6794A" w:rsidRPr="00D3550C">
        <w:instrText xml:space="preserve"> </w:instrText>
      </w:r>
      <w:r w:rsidR="00A6794A">
        <w:rPr>
          <w:lang w:val="en-US"/>
        </w:rPr>
        <w:instrText>of</w:instrText>
      </w:r>
      <w:r w:rsidR="00A6794A" w:rsidRPr="00D3550C">
        <w:instrText xml:space="preserve"> </w:instrText>
      </w:r>
      <w:r w:rsidR="00A6794A">
        <w:rPr>
          <w:lang w:val="en-US"/>
        </w:rPr>
        <w:instrText>rituximab</w:instrText>
      </w:r>
      <w:r w:rsidR="00A6794A" w:rsidRPr="00D3550C">
        <w:instrText xml:space="preserve"> </w:instrText>
      </w:r>
      <w:r w:rsidR="00A6794A">
        <w:rPr>
          <w:lang w:val="en-US"/>
        </w:rPr>
        <w:instrText>that</w:instrText>
      </w:r>
      <w:r w:rsidR="00A6794A" w:rsidRPr="00D3550C">
        <w:instrText xml:space="preserve"> </w:instrText>
      </w:r>
      <w:r w:rsidR="00A6794A">
        <w:rPr>
          <w:lang w:val="en-US"/>
        </w:rPr>
        <w:instrText>was</w:instrText>
      </w:r>
      <w:r w:rsidR="00A6794A" w:rsidRPr="00D3550C">
        <w:instrText xml:space="preserve"> </w:instrText>
      </w:r>
      <w:r w:rsidR="00A6794A">
        <w:rPr>
          <w:lang w:val="en-US"/>
        </w:rPr>
        <w:instrText>recently</w:instrText>
      </w:r>
      <w:r w:rsidR="00A6794A" w:rsidRPr="00D3550C">
        <w:instrText xml:space="preserve"> </w:instrText>
      </w:r>
      <w:r w:rsidR="00A6794A">
        <w:rPr>
          <w:lang w:val="en-US"/>
        </w:rPr>
        <w:instrText>approved</w:instrText>
      </w:r>
      <w:r w:rsidR="00A6794A" w:rsidRPr="00D3550C">
        <w:instrText xml:space="preserve"> </w:instrText>
      </w:r>
      <w:r w:rsidR="00A6794A">
        <w:rPr>
          <w:lang w:val="en-US"/>
        </w:rPr>
        <w:instrText>by</w:instrText>
      </w:r>
      <w:r w:rsidR="00A6794A" w:rsidRPr="00D3550C">
        <w:instrText xml:space="preserve"> </w:instrText>
      </w:r>
      <w:r w:rsidR="00A6794A">
        <w:rPr>
          <w:lang w:val="en-US"/>
        </w:rPr>
        <w:instrText>the</w:instrText>
      </w:r>
      <w:r w:rsidR="00A6794A" w:rsidRPr="00D3550C">
        <w:instrText xml:space="preserve"> </w:instrText>
      </w:r>
      <w:r w:rsidR="00A6794A">
        <w:rPr>
          <w:lang w:val="en-US"/>
        </w:rPr>
        <w:instrText>US</w:instrText>
      </w:r>
      <w:r w:rsidR="00A6794A" w:rsidRPr="00D3550C">
        <w:instrText xml:space="preserve"> </w:instrText>
      </w:r>
      <w:r w:rsidR="00A6794A">
        <w:rPr>
          <w:lang w:val="en-US"/>
        </w:rPr>
        <w:instrText>Food</w:instrText>
      </w:r>
      <w:r w:rsidR="00A6794A" w:rsidRPr="00D3550C">
        <w:instrText xml:space="preserve"> </w:instrText>
      </w:r>
      <w:r w:rsidR="00A6794A">
        <w:rPr>
          <w:lang w:val="en-US"/>
        </w:rPr>
        <w:instrText>and</w:instrText>
      </w:r>
      <w:r w:rsidR="00A6794A" w:rsidRPr="00D3550C">
        <w:instrText xml:space="preserve"> </w:instrText>
      </w:r>
      <w:r w:rsidR="00A6794A">
        <w:rPr>
          <w:lang w:val="en-US"/>
        </w:rPr>
        <w:instrText>Drug</w:instrText>
      </w:r>
      <w:r w:rsidR="00A6794A" w:rsidRPr="00D3550C">
        <w:instrText xml:space="preserve"> </w:instrText>
      </w:r>
      <w:r w:rsidR="00A6794A">
        <w:rPr>
          <w:lang w:val="en-US"/>
        </w:rPr>
        <w:instrText>Administration</w:instrText>
      </w:r>
      <w:r w:rsidR="00A6794A" w:rsidRPr="00D3550C">
        <w:instrText xml:space="preserve"> </w:instrText>
      </w:r>
      <w:r w:rsidR="00A6794A">
        <w:rPr>
          <w:lang w:val="en-US"/>
        </w:rPr>
        <w:instrText>for</w:instrText>
      </w:r>
      <w:r w:rsidR="00A6794A" w:rsidRPr="00D3550C">
        <w:instrText xml:space="preserve"> </w:instrText>
      </w:r>
      <w:r w:rsidR="00A6794A">
        <w:rPr>
          <w:lang w:val="en-US"/>
        </w:rPr>
        <w:instrText>the</w:instrText>
      </w:r>
      <w:r w:rsidR="00A6794A" w:rsidRPr="00D3550C">
        <w:instrText xml:space="preserve"> </w:instrText>
      </w:r>
      <w:r w:rsidR="00A6794A">
        <w:rPr>
          <w:lang w:val="en-US"/>
        </w:rPr>
        <w:instrText>treatment</w:instrText>
      </w:r>
      <w:r w:rsidR="00A6794A" w:rsidRPr="00D3550C">
        <w:instrText xml:space="preserve"> </w:instrText>
      </w:r>
      <w:r w:rsidR="00A6794A">
        <w:rPr>
          <w:lang w:val="en-US"/>
        </w:rPr>
        <w:instrText>of</w:instrText>
      </w:r>
      <w:r w:rsidR="00A6794A" w:rsidRPr="00D3550C">
        <w:instrText xml:space="preserve"> </w:instrText>
      </w:r>
      <w:r w:rsidR="00A6794A">
        <w:rPr>
          <w:lang w:val="en-US"/>
        </w:rPr>
        <w:instrText>adults</w:instrText>
      </w:r>
      <w:r w:rsidR="00A6794A" w:rsidRPr="00D3550C">
        <w:instrText xml:space="preserve"> </w:instrText>
      </w:r>
      <w:r w:rsidR="00A6794A">
        <w:rPr>
          <w:lang w:val="en-US"/>
        </w:rPr>
        <w:instrText>with</w:instrText>
      </w:r>
      <w:r w:rsidR="00A6794A" w:rsidRPr="00D3550C">
        <w:instrText xml:space="preserve"> </w:instrText>
      </w:r>
      <w:r w:rsidR="00A6794A">
        <w:rPr>
          <w:lang w:val="en-US"/>
        </w:rPr>
        <w:instrText>follicular</w:instrText>
      </w:r>
      <w:r w:rsidR="00A6794A" w:rsidRPr="00D3550C">
        <w:instrText xml:space="preserve"> </w:instrText>
      </w:r>
      <w:r w:rsidR="00A6794A">
        <w:rPr>
          <w:lang w:val="en-US"/>
        </w:rPr>
        <w:instrText>lymphoma</w:instrText>
      </w:r>
      <w:r w:rsidR="00A6794A" w:rsidRPr="00D3550C">
        <w:instrText xml:space="preserve">, </w:instrText>
      </w:r>
      <w:r w:rsidR="00A6794A">
        <w:rPr>
          <w:lang w:val="en-US"/>
        </w:rPr>
        <w:instrText>diffuse</w:instrText>
      </w:r>
      <w:r w:rsidR="00A6794A" w:rsidRPr="00D3550C">
        <w:instrText xml:space="preserve"> </w:instrText>
      </w:r>
      <w:r w:rsidR="00A6794A">
        <w:rPr>
          <w:lang w:val="en-US"/>
        </w:rPr>
        <w:instrText>large</w:instrText>
      </w:r>
      <w:r w:rsidR="00A6794A" w:rsidRPr="00D3550C">
        <w:instrText xml:space="preserve"> </w:instrText>
      </w:r>
      <w:r w:rsidR="00A6794A">
        <w:rPr>
          <w:lang w:val="en-US"/>
        </w:rPr>
        <w:instrText>B</w:instrText>
      </w:r>
      <w:r w:rsidR="00A6794A" w:rsidRPr="00D3550C">
        <w:instrText>-</w:instrText>
      </w:r>
      <w:r w:rsidR="00A6794A">
        <w:rPr>
          <w:lang w:val="en-US"/>
        </w:rPr>
        <w:instrText>cell</w:instrText>
      </w:r>
      <w:r w:rsidR="00A6794A" w:rsidRPr="00D3550C">
        <w:instrText xml:space="preserve"> </w:instrText>
      </w:r>
      <w:r w:rsidR="00A6794A">
        <w:rPr>
          <w:lang w:val="en-US"/>
        </w:rPr>
        <w:instrText>lymphoma</w:instrText>
      </w:r>
      <w:r w:rsidR="00A6794A" w:rsidRPr="00D3550C">
        <w:instrText xml:space="preserve">, </w:instrText>
      </w:r>
      <w:r w:rsidR="00A6794A">
        <w:rPr>
          <w:lang w:val="en-US"/>
        </w:rPr>
        <w:instrText>and</w:instrText>
      </w:r>
      <w:r w:rsidR="00A6794A" w:rsidRPr="00D3550C">
        <w:instrText xml:space="preserve"> </w:instrText>
      </w:r>
      <w:r w:rsidR="00A6794A">
        <w:rPr>
          <w:lang w:val="en-US"/>
        </w:rPr>
        <w:instrText>chronic</w:instrText>
      </w:r>
      <w:r w:rsidR="00A6794A" w:rsidRPr="00D3550C">
        <w:instrText xml:space="preserve"> </w:instrText>
      </w:r>
      <w:r w:rsidR="00A6794A">
        <w:rPr>
          <w:lang w:val="en-US"/>
        </w:rPr>
        <w:instrText>lymphocytic</w:instrText>
      </w:r>
      <w:r w:rsidR="00A6794A" w:rsidRPr="00D3550C">
        <w:instrText xml:space="preserve"> </w:instrText>
      </w:r>
      <w:r w:rsidR="00A6794A">
        <w:rPr>
          <w:lang w:val="en-US"/>
        </w:rPr>
        <w:instrText>leukemia</w:instrText>
      </w:r>
      <w:r w:rsidR="00A6794A" w:rsidRPr="00D3550C">
        <w:instrText xml:space="preserve">. </w:instrText>
      </w:r>
      <w:r w:rsidR="00A6794A">
        <w:rPr>
          <w:lang w:val="en-US"/>
        </w:rPr>
        <w:instrText>With</w:instrText>
      </w:r>
      <w:r w:rsidR="00A6794A" w:rsidRPr="00D3550C">
        <w:instrText xml:space="preserve"> </w:instrText>
      </w:r>
      <w:r w:rsidR="00A6794A">
        <w:rPr>
          <w:lang w:val="en-US"/>
        </w:rPr>
        <w:instrText>data</w:instrText>
      </w:r>
      <w:r w:rsidR="00A6794A" w:rsidRPr="00D3550C">
        <w:instrText xml:space="preserve"> </w:instrText>
      </w:r>
      <w:r w:rsidR="00A6794A">
        <w:rPr>
          <w:lang w:val="en-US"/>
        </w:rPr>
        <w:instrText>to</w:instrText>
      </w:r>
      <w:r w:rsidR="00A6794A" w:rsidRPr="00D3550C">
        <w:instrText xml:space="preserve"> </w:instrText>
      </w:r>
      <w:r w:rsidR="00A6794A">
        <w:rPr>
          <w:lang w:val="en-US"/>
        </w:rPr>
        <w:instrText>support</w:instrText>
      </w:r>
      <w:r w:rsidR="00A6794A" w:rsidRPr="00D3550C">
        <w:instrText xml:space="preserve"> </w:instrText>
      </w:r>
      <w:r w:rsidR="00A6794A">
        <w:rPr>
          <w:lang w:val="en-US"/>
        </w:rPr>
        <w:instrText>noninferior</w:instrText>
      </w:r>
      <w:r w:rsidR="00A6794A" w:rsidRPr="00D3550C">
        <w:instrText xml:space="preserve"> </w:instrText>
      </w:r>
      <w:r w:rsidR="00A6794A">
        <w:rPr>
          <w:lang w:val="en-US"/>
        </w:rPr>
        <w:instrText>pharmacokinetics</w:instrText>
      </w:r>
      <w:r w:rsidR="00A6794A" w:rsidRPr="00D3550C">
        <w:instrText xml:space="preserve">, </w:instrText>
      </w:r>
      <w:r w:rsidR="00A6794A">
        <w:rPr>
          <w:lang w:val="en-US"/>
        </w:rPr>
        <w:instrText>similar</w:instrText>
      </w:r>
      <w:r w:rsidR="00A6794A" w:rsidRPr="00D3550C">
        <w:instrText xml:space="preserve"> </w:instrText>
      </w:r>
      <w:r w:rsidR="00A6794A">
        <w:rPr>
          <w:lang w:val="en-US"/>
        </w:rPr>
        <w:instrText>outcomes</w:instrText>
      </w:r>
      <w:r w:rsidR="00A6794A" w:rsidRPr="00D3550C">
        <w:instrText xml:space="preserve">, </w:instrText>
      </w:r>
      <w:r w:rsidR="00A6794A">
        <w:rPr>
          <w:lang w:val="en-US"/>
        </w:rPr>
        <w:instrText>and</w:instrText>
      </w:r>
      <w:r w:rsidR="00A6794A" w:rsidRPr="00D3550C">
        <w:instrText xml:space="preserve"> </w:instrText>
      </w:r>
      <w:r w:rsidR="00A6794A">
        <w:rPr>
          <w:lang w:val="en-US"/>
        </w:rPr>
        <w:instrText>comparable</w:instrText>
      </w:r>
      <w:r w:rsidR="00A6794A" w:rsidRPr="00D3550C">
        <w:instrText xml:space="preserve"> </w:instrText>
      </w:r>
      <w:r w:rsidR="00A6794A">
        <w:rPr>
          <w:lang w:val="en-US"/>
        </w:rPr>
        <w:instrText>adverse</w:instrText>
      </w:r>
      <w:r w:rsidR="00A6794A" w:rsidRPr="00D3550C">
        <w:instrText xml:space="preserve"> </w:instrText>
      </w:r>
      <w:r w:rsidR="00A6794A">
        <w:rPr>
          <w:lang w:val="en-US"/>
        </w:rPr>
        <w:instrText>events</w:instrText>
      </w:r>
      <w:r w:rsidR="00A6794A" w:rsidRPr="00D3550C">
        <w:instrText xml:space="preserve">, </w:instrText>
      </w:r>
      <w:r w:rsidR="00A6794A">
        <w:rPr>
          <w:lang w:val="en-US"/>
        </w:rPr>
        <w:instrText>rituximab</w:instrText>
      </w:r>
      <w:r w:rsidR="00A6794A" w:rsidRPr="00D3550C">
        <w:instrText xml:space="preserve"> </w:instrText>
      </w:r>
      <w:r w:rsidR="00A6794A">
        <w:rPr>
          <w:lang w:val="en-US"/>
        </w:rPr>
        <w:instrText>and</w:instrText>
      </w:r>
      <w:r w:rsidR="00A6794A" w:rsidRPr="00D3550C">
        <w:instrText xml:space="preserve"> </w:instrText>
      </w:r>
      <w:r w:rsidR="00A6794A">
        <w:rPr>
          <w:lang w:val="en-US"/>
        </w:rPr>
        <w:instrText>hyaluronidase</w:instrText>
      </w:r>
      <w:r w:rsidR="00A6794A" w:rsidRPr="00D3550C">
        <w:instrText xml:space="preserve"> </w:instrText>
      </w:r>
      <w:r w:rsidR="00A6794A">
        <w:rPr>
          <w:lang w:val="en-US"/>
        </w:rPr>
        <w:instrText>human</w:instrText>
      </w:r>
      <w:r w:rsidR="00A6794A" w:rsidRPr="00D3550C">
        <w:instrText xml:space="preserve"> </w:instrText>
      </w:r>
      <w:r w:rsidR="00A6794A">
        <w:rPr>
          <w:lang w:val="en-US"/>
        </w:rPr>
        <w:instrText>may</w:instrText>
      </w:r>
      <w:r w:rsidR="00A6794A" w:rsidRPr="00D3550C">
        <w:instrText xml:space="preserve"> </w:instrText>
      </w:r>
      <w:r w:rsidR="00A6794A">
        <w:rPr>
          <w:lang w:val="en-US"/>
        </w:rPr>
        <w:instrText>offer</w:instrText>
      </w:r>
      <w:r w:rsidR="00A6794A" w:rsidRPr="00D3550C">
        <w:instrText xml:space="preserve"> </w:instrText>
      </w:r>
      <w:r w:rsidR="00A6794A">
        <w:rPr>
          <w:lang w:val="en-US"/>
        </w:rPr>
        <w:instrText>a</w:instrText>
      </w:r>
      <w:r w:rsidR="00A6794A" w:rsidRPr="00D3550C">
        <w:instrText xml:space="preserve"> </w:instrText>
      </w:r>
      <w:r w:rsidR="00A6794A">
        <w:rPr>
          <w:lang w:val="en-US"/>
        </w:rPr>
        <w:instrText>suitable</w:instrText>
      </w:r>
      <w:r w:rsidR="00A6794A" w:rsidRPr="00D3550C">
        <w:instrText xml:space="preserve"> </w:instrText>
      </w:r>
      <w:r w:rsidR="00A6794A">
        <w:rPr>
          <w:lang w:val="en-US"/>
        </w:rPr>
        <w:instrText>alternative</w:instrText>
      </w:r>
      <w:r w:rsidR="00A6794A" w:rsidRPr="00D3550C">
        <w:instrText xml:space="preserve"> </w:instrText>
      </w:r>
      <w:r w:rsidR="00A6794A">
        <w:rPr>
          <w:lang w:val="en-US"/>
        </w:rPr>
        <w:instrText>to</w:instrText>
      </w:r>
      <w:r w:rsidR="00A6794A" w:rsidRPr="00D3550C">
        <w:instrText xml:space="preserve"> </w:instrText>
      </w:r>
      <w:r w:rsidR="00A6794A">
        <w:rPr>
          <w:lang w:val="en-US"/>
        </w:rPr>
        <w:instrText>intravenous</w:instrText>
      </w:r>
      <w:r w:rsidR="00A6794A" w:rsidRPr="00D3550C">
        <w:instrText xml:space="preserve"> </w:instrText>
      </w:r>
      <w:r w:rsidR="00A6794A">
        <w:rPr>
          <w:lang w:val="en-US"/>
        </w:rPr>
        <w:instrText>rituximab</w:instrText>
      </w:r>
      <w:r w:rsidR="00A6794A" w:rsidRPr="00D3550C">
        <w:instrText xml:space="preserve"> </w:instrText>
      </w:r>
      <w:r w:rsidR="00A6794A">
        <w:rPr>
          <w:lang w:val="en-US"/>
        </w:rPr>
        <w:instrText>that</w:instrText>
      </w:r>
      <w:r w:rsidR="00A6794A" w:rsidRPr="00D3550C">
        <w:instrText xml:space="preserve"> </w:instrText>
      </w:r>
      <w:r w:rsidR="00A6794A">
        <w:rPr>
          <w:lang w:val="en-US"/>
        </w:rPr>
        <w:instrText>could</w:instrText>
      </w:r>
      <w:r w:rsidR="00A6794A" w:rsidRPr="00D3550C">
        <w:instrText xml:space="preserve"> </w:instrText>
      </w:r>
      <w:r w:rsidR="00A6794A">
        <w:rPr>
          <w:lang w:val="en-US"/>
        </w:rPr>
        <w:instrText>improve</w:instrText>
      </w:r>
      <w:r w:rsidR="00A6794A" w:rsidRPr="00D3550C">
        <w:instrText xml:space="preserve"> </w:instrText>
      </w:r>
      <w:r w:rsidR="00A6794A">
        <w:rPr>
          <w:lang w:val="en-US"/>
        </w:rPr>
        <w:instrText>convenience</w:instrText>
      </w:r>
      <w:r w:rsidR="00A6794A" w:rsidRPr="00D3550C">
        <w:instrText xml:space="preserve"> </w:instrText>
      </w:r>
      <w:r w:rsidR="00A6794A">
        <w:rPr>
          <w:lang w:val="en-US"/>
        </w:rPr>
        <w:instrText>for</w:instrText>
      </w:r>
      <w:r w:rsidR="00A6794A" w:rsidRPr="00D3550C">
        <w:instrText xml:space="preserve"> </w:instrText>
      </w:r>
      <w:r w:rsidR="00A6794A">
        <w:rPr>
          <w:lang w:val="en-US"/>
        </w:rPr>
        <w:instrText>patients</w:instrText>
      </w:r>
      <w:r w:rsidR="00A6794A" w:rsidRPr="00D3550C">
        <w:instrText xml:space="preserve"> </w:instrText>
      </w:r>
      <w:r w:rsidR="00A6794A">
        <w:rPr>
          <w:lang w:val="en-US"/>
        </w:rPr>
        <w:instrText>and</w:instrText>
      </w:r>
      <w:r w:rsidR="00A6794A" w:rsidRPr="00D3550C">
        <w:instrText xml:space="preserve"> </w:instrText>
      </w:r>
      <w:r w:rsidR="00A6794A">
        <w:rPr>
          <w:lang w:val="en-US"/>
        </w:rPr>
        <w:instrText>better</w:instrText>
      </w:r>
      <w:r w:rsidR="00A6794A" w:rsidRPr="00D3550C">
        <w:instrText xml:space="preserve"> </w:instrText>
      </w:r>
      <w:r w:rsidR="00A6794A">
        <w:rPr>
          <w:lang w:val="en-US"/>
        </w:rPr>
        <w:instrText>utilize</w:instrText>
      </w:r>
      <w:r w:rsidR="00A6794A" w:rsidRPr="00D3550C">
        <w:instrText xml:space="preserve"> </w:instrText>
      </w:r>
      <w:r w:rsidR="00A6794A">
        <w:rPr>
          <w:lang w:val="en-US"/>
        </w:rPr>
        <w:instrText>health</w:instrText>
      </w:r>
      <w:r w:rsidR="00A6794A" w:rsidRPr="00D3550C">
        <w:instrText>-</w:instrText>
      </w:r>
      <w:r w:rsidR="00A6794A">
        <w:rPr>
          <w:lang w:val="en-US"/>
        </w:rPr>
        <w:instrText>care</w:instrText>
      </w:r>
      <w:r w:rsidR="00A6794A" w:rsidRPr="00D3550C">
        <w:instrText xml:space="preserve"> </w:instrText>
      </w:r>
      <w:r w:rsidR="00A6794A">
        <w:rPr>
          <w:lang w:val="en-US"/>
        </w:rPr>
        <w:instrText>resources</w:instrText>
      </w:r>
      <w:r w:rsidR="00A6794A" w:rsidRPr="00D3550C">
        <w:instrText>.","</w:instrText>
      </w:r>
      <w:r w:rsidR="00A6794A">
        <w:rPr>
          <w:lang w:val="en-US"/>
        </w:rPr>
        <w:instrText>author</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family</w:instrText>
      </w:r>
      <w:r w:rsidR="00A6794A" w:rsidRPr="00D3550C">
        <w:instrText>":"</w:instrText>
      </w:r>
      <w:r w:rsidR="00A6794A">
        <w:rPr>
          <w:lang w:val="en-US"/>
        </w:rPr>
        <w:instrText>Yelvington</w:instrText>
      </w:r>
      <w:r w:rsidR="00A6794A" w:rsidRPr="00D3550C">
        <w:instrText>","</w:instrText>
      </w:r>
      <w:r w:rsidR="00A6794A">
        <w:rPr>
          <w:lang w:val="en-US"/>
        </w:rPr>
        <w:instrText>given</w:instrText>
      </w:r>
      <w:r w:rsidR="00A6794A" w:rsidRPr="00D3550C">
        <w:instrText>":"</w:instrText>
      </w:r>
      <w:r w:rsidR="00A6794A">
        <w:rPr>
          <w:lang w:val="en-US"/>
        </w:rPr>
        <w:instrText>Bradley</w:instrText>
      </w:r>
      <w:r w:rsidR="00A6794A" w:rsidRPr="00D3550C">
        <w:instrText xml:space="preserve"> </w:instrText>
      </w:r>
      <w:r w:rsidR="00A6794A">
        <w:rPr>
          <w:lang w:val="en-US"/>
        </w:rPr>
        <w:instrText>J</w:instrText>
      </w:r>
      <w:r w:rsidR="00A6794A" w:rsidRPr="00D3550C">
        <w:instrText>","</w:instrText>
      </w:r>
      <w:r w:rsidR="00A6794A">
        <w:rPr>
          <w:lang w:val="en-US"/>
        </w:rPr>
        <w:instrText>non</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parse</w:instrText>
      </w:r>
      <w:r w:rsidR="00A6794A" w:rsidRPr="00D3550C">
        <w:instrText>-</w:instrText>
      </w:r>
      <w:r w:rsidR="00A6794A">
        <w:rPr>
          <w:lang w:val="en-US"/>
        </w:rPr>
        <w:instrText>names</w:instrText>
      </w:r>
      <w:r w:rsidR="00A6794A" w:rsidRPr="00D3550C">
        <w:instrText>":</w:instrText>
      </w:r>
      <w:r w:rsidR="00A6794A">
        <w:rPr>
          <w:lang w:val="en-US"/>
        </w:rPr>
        <w:instrText>false</w:instrText>
      </w:r>
      <w:r w:rsidR="00A6794A" w:rsidRPr="00D3550C">
        <w:instrText>,"</w:instrText>
      </w:r>
      <w:r w:rsidR="00A6794A">
        <w:rPr>
          <w:lang w:val="en-US"/>
        </w:rPr>
        <w:instrText>suffix</w:instrText>
      </w:r>
      <w:r w:rsidR="00A6794A" w:rsidRPr="00D3550C">
        <w:instrText>":""}],"</w:instrText>
      </w:r>
      <w:r w:rsidR="00A6794A">
        <w:rPr>
          <w:lang w:val="en-US"/>
        </w:rPr>
        <w:instrText>container</w:instrText>
      </w:r>
      <w:r w:rsidR="00A6794A" w:rsidRPr="00D3550C">
        <w:instrText>-</w:instrText>
      </w:r>
      <w:r w:rsidR="00A6794A">
        <w:rPr>
          <w:lang w:val="en-US"/>
        </w:rPr>
        <w:instrText>title</w:instrText>
      </w:r>
      <w:r w:rsidR="00A6794A" w:rsidRPr="00D3550C">
        <w:instrText>":"</w:instrText>
      </w:r>
      <w:r w:rsidR="00A6794A">
        <w:rPr>
          <w:lang w:val="en-US"/>
        </w:rPr>
        <w:instrText>Journal</w:instrText>
      </w:r>
      <w:r w:rsidR="00A6794A" w:rsidRPr="00D3550C">
        <w:instrText xml:space="preserve"> </w:instrText>
      </w:r>
      <w:r w:rsidR="00A6794A">
        <w:rPr>
          <w:lang w:val="en-US"/>
        </w:rPr>
        <w:instrText>of</w:instrText>
      </w:r>
      <w:r w:rsidR="00A6794A" w:rsidRPr="00D3550C">
        <w:instrText xml:space="preserve"> </w:instrText>
      </w:r>
      <w:r w:rsidR="00A6794A">
        <w:rPr>
          <w:lang w:val="en-US"/>
        </w:rPr>
        <w:instrText>the</w:instrText>
      </w:r>
      <w:r w:rsidR="00A6794A" w:rsidRPr="00D3550C">
        <w:instrText xml:space="preserve"> </w:instrText>
      </w:r>
      <w:r w:rsidR="00A6794A">
        <w:rPr>
          <w:lang w:val="en-US"/>
        </w:rPr>
        <w:instrText>advanced</w:instrText>
      </w:r>
      <w:r w:rsidR="00A6794A" w:rsidRPr="00D3550C">
        <w:instrText xml:space="preserve"> </w:instrText>
      </w:r>
      <w:r w:rsidR="00A6794A">
        <w:rPr>
          <w:lang w:val="en-US"/>
        </w:rPr>
        <w:instrText>practitioner</w:instrText>
      </w:r>
      <w:r w:rsidR="00A6794A" w:rsidRPr="00D3550C">
        <w:instrText xml:space="preserve"> </w:instrText>
      </w:r>
      <w:r w:rsidR="00A6794A">
        <w:rPr>
          <w:lang w:val="en-US"/>
        </w:rPr>
        <w:instrText>in</w:instrText>
      </w:r>
      <w:r w:rsidR="00A6794A" w:rsidRPr="00D3550C">
        <w:instrText xml:space="preserve"> </w:instrText>
      </w:r>
      <w:r w:rsidR="00A6794A">
        <w:rPr>
          <w:lang w:val="en-US"/>
        </w:rPr>
        <w:instrText>oncology</w:instrText>
      </w:r>
      <w:r w:rsidR="00A6794A" w:rsidRPr="00D3550C">
        <w:instrText>","</w:instrText>
      </w:r>
      <w:r w:rsidR="00A6794A">
        <w:rPr>
          <w:lang w:val="en-US"/>
        </w:rPr>
        <w:instrText>id</w:instrText>
      </w:r>
      <w:r w:rsidR="00A6794A" w:rsidRPr="00D3550C">
        <w:instrText>":"</w:instrText>
      </w:r>
      <w:r w:rsidR="00A6794A">
        <w:rPr>
          <w:lang w:val="en-US"/>
        </w:rPr>
        <w:instrText>ITEM</w:instrText>
      </w:r>
      <w:r w:rsidR="00A6794A" w:rsidRPr="00D3550C">
        <w:instrText>-1","</w:instrText>
      </w:r>
      <w:r w:rsidR="00A6794A">
        <w:rPr>
          <w:lang w:val="en-US"/>
        </w:rPr>
        <w:instrText>issue</w:instrText>
      </w:r>
      <w:r w:rsidR="00A6794A" w:rsidRPr="00D3550C">
        <w:instrText>":"5","</w:instrText>
      </w:r>
      <w:r w:rsidR="00A6794A">
        <w:rPr>
          <w:lang w:val="en-US"/>
        </w:rPr>
        <w:instrText>issued</w:instrText>
      </w:r>
      <w:r w:rsidR="00A6794A" w:rsidRPr="00D3550C">
        <w:instrText>":{"</w:instrText>
      </w:r>
      <w:r w:rsidR="00A6794A">
        <w:rPr>
          <w:lang w:val="en-US"/>
        </w:rPr>
        <w:instrText>date</w:instrText>
      </w:r>
      <w:r w:rsidR="00A6794A" w:rsidRPr="00D3550C">
        <w:instrText>-</w:instrText>
      </w:r>
      <w:r w:rsidR="00A6794A">
        <w:rPr>
          <w:lang w:val="en-US"/>
        </w:rPr>
        <w:instrText>parts</w:instrText>
      </w:r>
      <w:r w:rsidR="00A6794A" w:rsidRPr="00D3550C">
        <w:instrText>":[["2018"]]},"</w:instrText>
      </w:r>
      <w:r w:rsidR="00A6794A">
        <w:rPr>
          <w:lang w:val="en-US"/>
        </w:rPr>
        <w:instrText>page</w:instrText>
      </w:r>
      <w:r w:rsidR="00A6794A" w:rsidRPr="00D3550C">
        <w:instrText>":"530-534","</w:instrText>
      </w:r>
      <w:r w:rsidR="00A6794A">
        <w:rPr>
          <w:lang w:val="en-US"/>
        </w:rPr>
        <w:instrText>publisher</w:instrText>
      </w:r>
      <w:r w:rsidR="00A6794A" w:rsidRPr="00D3550C">
        <w:instrText>":"</w:instrText>
      </w:r>
      <w:r w:rsidR="00A6794A">
        <w:rPr>
          <w:lang w:val="en-US"/>
        </w:rPr>
        <w:instrText>Harborside</w:instrText>
      </w:r>
      <w:r w:rsidR="00A6794A" w:rsidRPr="00D3550C">
        <w:instrText xml:space="preserve"> </w:instrText>
      </w:r>
      <w:r w:rsidR="00A6794A">
        <w:rPr>
          <w:lang w:val="en-US"/>
        </w:rPr>
        <w:instrText>Press</w:instrText>
      </w:r>
      <w:r w:rsidR="00A6794A" w:rsidRPr="00D3550C">
        <w:instrText>","</w:instrText>
      </w:r>
      <w:r w:rsidR="00A6794A">
        <w:rPr>
          <w:lang w:val="en-US"/>
        </w:rPr>
        <w:instrText>title</w:instrText>
      </w:r>
      <w:r w:rsidR="00A6794A" w:rsidRPr="00D3550C">
        <w:instrText>":"</w:instrText>
      </w:r>
      <w:r w:rsidR="00A6794A">
        <w:rPr>
          <w:lang w:val="en-US"/>
        </w:rPr>
        <w:instrText>Subcutaneous</w:instrText>
      </w:r>
      <w:r w:rsidR="00A6794A" w:rsidRPr="00D3550C">
        <w:instrText xml:space="preserve"> </w:instrText>
      </w:r>
      <w:r w:rsidR="00A6794A">
        <w:rPr>
          <w:lang w:val="en-US"/>
        </w:rPr>
        <w:instrText>Rituximab</w:instrText>
      </w:r>
      <w:r w:rsidR="00A6794A" w:rsidRPr="00D3550C">
        <w:instrText xml:space="preserve"> </w:instrText>
      </w:r>
      <w:r w:rsidR="00A6794A">
        <w:rPr>
          <w:lang w:val="en-US"/>
        </w:rPr>
        <w:instrText>in</w:instrText>
      </w:r>
      <w:r w:rsidR="00A6794A" w:rsidRPr="00D3550C">
        <w:instrText xml:space="preserve"> </w:instrText>
      </w:r>
      <w:r w:rsidR="00A6794A">
        <w:rPr>
          <w:lang w:val="en-US"/>
        </w:rPr>
        <w:instrText>Follicular</w:instrText>
      </w:r>
      <w:r w:rsidR="00A6794A" w:rsidRPr="00D3550C">
        <w:instrText xml:space="preserve"> </w:instrText>
      </w:r>
      <w:r w:rsidR="00A6794A">
        <w:rPr>
          <w:lang w:val="en-US"/>
        </w:rPr>
        <w:instrText>Lymphoma</w:instrText>
      </w:r>
      <w:r w:rsidR="00A6794A" w:rsidRPr="00D3550C">
        <w:instrText xml:space="preserve">, </w:instrText>
      </w:r>
      <w:r w:rsidR="00A6794A">
        <w:rPr>
          <w:lang w:val="en-US"/>
        </w:rPr>
        <w:instrText>Chronic</w:instrText>
      </w:r>
      <w:r w:rsidR="00A6794A" w:rsidRPr="00D3550C">
        <w:instrText xml:space="preserve"> </w:instrText>
      </w:r>
      <w:r w:rsidR="00A6794A">
        <w:rPr>
          <w:lang w:val="en-US"/>
        </w:rPr>
        <w:instrText>Lymphocytic</w:instrText>
      </w:r>
      <w:r w:rsidR="00A6794A" w:rsidRPr="00D3550C">
        <w:instrText xml:space="preserve"> </w:instrText>
      </w:r>
      <w:r w:rsidR="00A6794A">
        <w:rPr>
          <w:lang w:val="en-US"/>
        </w:rPr>
        <w:instrText>Leukemia</w:instrText>
      </w:r>
      <w:r w:rsidR="00A6794A" w:rsidRPr="00D3550C">
        <w:instrText xml:space="preserve">, </w:instrText>
      </w:r>
      <w:r w:rsidR="00A6794A">
        <w:rPr>
          <w:lang w:val="en-US"/>
        </w:rPr>
        <w:instrText>and</w:instrText>
      </w:r>
      <w:r w:rsidR="00A6794A" w:rsidRPr="00D3550C">
        <w:instrText xml:space="preserve"> </w:instrText>
      </w:r>
      <w:r w:rsidR="00A6794A">
        <w:rPr>
          <w:lang w:val="en-US"/>
        </w:rPr>
        <w:instrText>Diffuse</w:instrText>
      </w:r>
      <w:r w:rsidR="00A6794A" w:rsidRPr="00D3550C">
        <w:instrText xml:space="preserve"> </w:instrText>
      </w:r>
      <w:r w:rsidR="00A6794A">
        <w:rPr>
          <w:lang w:val="en-US"/>
        </w:rPr>
        <w:instrText>Large</w:instrText>
      </w:r>
      <w:r w:rsidR="00A6794A" w:rsidRPr="00D3550C">
        <w:instrText xml:space="preserve"> </w:instrText>
      </w:r>
      <w:r w:rsidR="00A6794A">
        <w:rPr>
          <w:lang w:val="en-US"/>
        </w:rPr>
        <w:instrText>B</w:instrText>
      </w:r>
      <w:r w:rsidR="00A6794A" w:rsidRPr="00D3550C">
        <w:instrText>-</w:instrText>
      </w:r>
      <w:r w:rsidR="00A6794A">
        <w:rPr>
          <w:lang w:val="en-US"/>
        </w:rPr>
        <w:instrText>Cell</w:instrText>
      </w:r>
      <w:r w:rsidR="00A6794A" w:rsidRPr="00D3550C">
        <w:instrText xml:space="preserve"> </w:instrText>
      </w:r>
      <w:r w:rsidR="00A6794A">
        <w:rPr>
          <w:lang w:val="en-US"/>
        </w:rPr>
        <w:instrText>Lymphoma</w:instrText>
      </w:r>
      <w:r w:rsidR="00A6794A" w:rsidRPr="00D3550C">
        <w:instrText>.","</w:instrText>
      </w:r>
      <w:r w:rsidR="00A6794A">
        <w:rPr>
          <w:lang w:val="en-US"/>
        </w:rPr>
        <w:instrText>type</w:instrText>
      </w:r>
      <w:r w:rsidR="00A6794A" w:rsidRPr="00D3550C">
        <w:instrText>":"</w:instrText>
      </w:r>
      <w:r w:rsidR="00A6794A">
        <w:rPr>
          <w:lang w:val="en-US"/>
        </w:rPr>
        <w:instrText>article</w:instrText>
      </w:r>
      <w:r w:rsidR="00A6794A" w:rsidRPr="00D3550C">
        <w:instrText>-</w:instrText>
      </w:r>
      <w:r w:rsidR="00A6794A">
        <w:rPr>
          <w:lang w:val="en-US"/>
        </w:rPr>
        <w:instrText>journal</w:instrText>
      </w:r>
      <w:r w:rsidR="00A6794A" w:rsidRPr="00D3550C">
        <w:instrText>","</w:instrText>
      </w:r>
      <w:r w:rsidR="00A6794A">
        <w:rPr>
          <w:lang w:val="en-US"/>
        </w:rPr>
        <w:instrText>volume</w:instrText>
      </w:r>
      <w:r w:rsidR="00A6794A" w:rsidRPr="00D3550C">
        <w:instrText>":"9"},"</w:instrText>
      </w:r>
      <w:r w:rsidR="00A6794A">
        <w:rPr>
          <w:lang w:val="en-US"/>
        </w:rPr>
        <w:instrText>uris</w:instrText>
      </w:r>
      <w:r w:rsidR="00A6794A" w:rsidRPr="00D3550C">
        <w:instrText>":["</w:instrText>
      </w:r>
      <w:r w:rsidR="00A6794A">
        <w:rPr>
          <w:lang w:val="en-US"/>
        </w:rPr>
        <w:instrText>http</w:instrText>
      </w:r>
      <w:r w:rsidR="00A6794A" w:rsidRPr="00D3550C">
        <w:instrText>://</w:instrText>
      </w:r>
      <w:r w:rsidR="00A6794A">
        <w:rPr>
          <w:lang w:val="en-US"/>
        </w:rPr>
        <w:instrText>www</w:instrText>
      </w:r>
      <w:r w:rsidR="00A6794A" w:rsidRPr="00D3550C">
        <w:instrText>.</w:instrText>
      </w:r>
      <w:r w:rsidR="00A6794A">
        <w:rPr>
          <w:lang w:val="en-US"/>
        </w:rPr>
        <w:instrText>mendeley</w:instrText>
      </w:r>
      <w:r w:rsidR="00A6794A" w:rsidRPr="00D3550C">
        <w:instrText>.</w:instrText>
      </w:r>
      <w:r w:rsidR="00A6794A">
        <w:rPr>
          <w:lang w:val="en-US"/>
        </w:rPr>
        <w:instrText>com</w:instrText>
      </w:r>
      <w:r w:rsidR="00A6794A" w:rsidRPr="00D3550C">
        <w:instrText>/</w:instrText>
      </w:r>
      <w:r w:rsidR="00A6794A">
        <w:rPr>
          <w:lang w:val="en-US"/>
        </w:rPr>
        <w:instrText>documents</w:instrText>
      </w:r>
      <w:r w:rsidR="00A6794A" w:rsidRPr="00D3550C">
        <w:instrText>/?</w:instrText>
      </w:r>
      <w:r w:rsidR="00A6794A">
        <w:rPr>
          <w:lang w:val="en-US"/>
        </w:rPr>
        <w:instrText>uuid</w:instrText>
      </w:r>
      <w:r w:rsidR="00A6794A" w:rsidRPr="00D3550C">
        <w:instrText>=</w:instrText>
      </w:r>
      <w:r w:rsidR="00A6794A">
        <w:rPr>
          <w:lang w:val="en-US"/>
        </w:rPr>
        <w:instrText>fbb</w:instrText>
      </w:r>
      <w:r w:rsidR="00A6794A" w:rsidRPr="00D3550C">
        <w:instrText>0</w:instrText>
      </w:r>
      <w:r w:rsidR="00A6794A">
        <w:rPr>
          <w:lang w:val="en-US"/>
        </w:rPr>
        <w:instrText>b</w:instrText>
      </w:r>
      <w:r w:rsidR="00A6794A" w:rsidRPr="00D3550C">
        <w:instrText>8</w:instrText>
      </w:r>
      <w:r w:rsidR="00A6794A">
        <w:rPr>
          <w:lang w:val="en-US"/>
        </w:rPr>
        <w:instrText>f</w:instrText>
      </w:r>
      <w:r w:rsidR="00A6794A" w:rsidRPr="00D3550C">
        <w:instrText>4-6</w:instrText>
      </w:r>
      <w:r w:rsidR="00A6794A">
        <w:rPr>
          <w:lang w:val="en-US"/>
        </w:rPr>
        <w:instrText>b</w:instrText>
      </w:r>
      <w:r w:rsidR="00A6794A" w:rsidRPr="00D3550C">
        <w:instrText>58-3</w:instrText>
      </w:r>
      <w:r w:rsidR="00A6794A">
        <w:rPr>
          <w:lang w:val="en-US"/>
        </w:rPr>
        <w:instrText>a</w:instrText>
      </w:r>
      <w:r w:rsidR="00A6794A" w:rsidRPr="00D3550C">
        <w:instrText>10-</w:instrText>
      </w:r>
      <w:r w:rsidR="00A6794A">
        <w:rPr>
          <w:lang w:val="en-US"/>
        </w:rPr>
        <w:instrText>b</w:instrText>
      </w:r>
      <w:r w:rsidR="00A6794A" w:rsidRPr="00D3550C">
        <w:instrText>7</w:instrText>
      </w:r>
      <w:r w:rsidR="00A6794A">
        <w:rPr>
          <w:lang w:val="en-US"/>
        </w:rPr>
        <w:instrText>d</w:instrText>
      </w:r>
      <w:r w:rsidR="00A6794A" w:rsidRPr="00D3550C">
        <w:instrText>6-</w:instrText>
      </w:r>
      <w:r w:rsidR="00A6794A">
        <w:rPr>
          <w:lang w:val="en-US"/>
        </w:rPr>
        <w:instrText>af</w:instrText>
      </w:r>
      <w:r w:rsidR="00A6794A" w:rsidRPr="00D3550C">
        <w:instrText>3854030</w:instrText>
      </w:r>
      <w:r w:rsidR="00A6794A">
        <w:rPr>
          <w:lang w:val="en-US"/>
        </w:rPr>
        <w:instrText>be</w:instrText>
      </w:r>
      <w:r w:rsidR="00A6794A" w:rsidRPr="00D3550C">
        <w:instrText>8"]},{"</w:instrText>
      </w:r>
      <w:r w:rsidR="00A6794A">
        <w:rPr>
          <w:lang w:val="en-US"/>
        </w:rPr>
        <w:instrText>id</w:instrText>
      </w:r>
      <w:r w:rsidR="00A6794A" w:rsidRPr="00D3550C">
        <w:instrText>":"</w:instrText>
      </w:r>
      <w:r w:rsidR="00A6794A">
        <w:rPr>
          <w:lang w:val="en-US"/>
        </w:rPr>
        <w:instrText>ITEM</w:instrText>
      </w:r>
      <w:r w:rsidR="00A6794A" w:rsidRPr="00D3550C">
        <w:instrText>-2","</w:instrText>
      </w:r>
      <w:r w:rsidR="00A6794A">
        <w:rPr>
          <w:lang w:val="en-US"/>
        </w:rPr>
        <w:instrText>itemData</w:instrText>
      </w:r>
      <w:r w:rsidR="00A6794A" w:rsidRPr="00D3550C">
        <w:instrText>":{"</w:instrText>
      </w:r>
      <w:r w:rsidR="00A6794A">
        <w:rPr>
          <w:lang w:val="en-US"/>
        </w:rPr>
        <w:instrText>DOI</w:instrText>
      </w:r>
      <w:r w:rsidR="00A6794A" w:rsidRPr="00D3550C">
        <w:instrText>":"10.1007/</w:instrText>
      </w:r>
      <w:r w:rsidR="00A6794A">
        <w:rPr>
          <w:lang w:val="en-US"/>
        </w:rPr>
        <w:instrText>s</w:instrText>
      </w:r>
      <w:r w:rsidR="00A6794A" w:rsidRPr="00D3550C">
        <w:instrText>12325-017-0610-</w:instrText>
      </w:r>
      <w:r w:rsidR="00A6794A">
        <w:rPr>
          <w:lang w:val="en-US"/>
        </w:rPr>
        <w:instrText>z</w:instrText>
      </w:r>
      <w:r w:rsidR="00A6794A" w:rsidRPr="00D3550C">
        <w:instrText>","</w:instrText>
      </w:r>
      <w:r w:rsidR="00A6794A">
        <w:rPr>
          <w:lang w:val="en-US"/>
        </w:rPr>
        <w:instrText>ISSN</w:instrText>
      </w:r>
      <w:r w:rsidR="00A6794A" w:rsidRPr="00D3550C">
        <w:instrText>":"18658652","</w:instrText>
      </w:r>
      <w:r w:rsidR="00A6794A">
        <w:rPr>
          <w:lang w:val="en-US"/>
        </w:rPr>
        <w:instrText>abstract</w:instrText>
      </w:r>
      <w:r w:rsidR="00A6794A" w:rsidRPr="00D3550C">
        <w:instrText>":"</w:instrText>
      </w:r>
      <w:r w:rsidR="00A6794A">
        <w:rPr>
          <w:lang w:val="en-US"/>
        </w:rPr>
        <w:instrText>Abstract</w:instrText>
      </w:r>
      <w:r w:rsidR="00A6794A" w:rsidRPr="00D3550C">
        <w:instrText xml:space="preserve">: </w:instrText>
      </w:r>
      <w:r w:rsidR="00A6794A">
        <w:rPr>
          <w:lang w:val="en-US"/>
        </w:rPr>
        <w:instrText>Rituximab</w:instrText>
      </w:r>
      <w:r w:rsidR="00A6794A" w:rsidRPr="00D3550C">
        <w:instrText xml:space="preserve"> (</w:instrText>
      </w:r>
      <w:r w:rsidR="00A6794A">
        <w:rPr>
          <w:lang w:val="en-US"/>
        </w:rPr>
        <w:instrText>MabThera</w:instrText>
      </w:r>
      <w:r w:rsidR="00A6794A" w:rsidRPr="00D3550C">
        <w:instrText>®/</w:instrText>
      </w:r>
      <w:r w:rsidR="00A6794A">
        <w:rPr>
          <w:lang w:val="en-US"/>
        </w:rPr>
        <w:instrText>Rituxan</w:instrText>
      </w:r>
      <w:r w:rsidR="00A6794A" w:rsidRPr="00D3550C">
        <w:instrText xml:space="preserve">®), </w:instrText>
      </w:r>
      <w:r w:rsidR="00A6794A">
        <w:rPr>
          <w:lang w:val="en-US"/>
        </w:rPr>
        <w:instrText>a</w:instrText>
      </w:r>
      <w:r w:rsidR="00A6794A" w:rsidRPr="00AA43FB">
        <w:instrText xml:space="preserve"> </w:instrText>
      </w:r>
      <w:r w:rsidR="00A6794A">
        <w:rPr>
          <w:lang w:val="en-US"/>
        </w:rPr>
        <w:instrText>chimeric</w:instrText>
      </w:r>
      <w:r w:rsidR="00A6794A" w:rsidRPr="00AA43FB">
        <w:instrText xml:space="preserve"> </w:instrText>
      </w:r>
      <w:r w:rsidR="00A6794A">
        <w:rPr>
          <w:lang w:val="en-US"/>
        </w:rPr>
        <w:instrText>murine</w:instrText>
      </w:r>
      <w:r w:rsidR="00A6794A" w:rsidRPr="00AA43FB">
        <w:instrText>/</w:instrText>
      </w:r>
      <w:r w:rsidR="00A6794A">
        <w:rPr>
          <w:lang w:val="en-US"/>
        </w:rPr>
        <w:instrText>human</w:instrText>
      </w:r>
      <w:r w:rsidR="00A6794A" w:rsidRPr="00AA43FB">
        <w:instrText xml:space="preserve"> </w:instrText>
      </w:r>
      <w:r w:rsidR="00A6794A">
        <w:rPr>
          <w:lang w:val="en-US"/>
        </w:rPr>
        <w:instrText>monoclonal</w:instrText>
      </w:r>
      <w:r w:rsidR="00A6794A" w:rsidRPr="00AA43FB">
        <w:instrText xml:space="preserve"> </w:instrText>
      </w:r>
      <w:r w:rsidR="00A6794A">
        <w:rPr>
          <w:lang w:val="en-US"/>
        </w:rPr>
        <w:instrText>antibody</w:instrText>
      </w:r>
      <w:r w:rsidR="00A6794A" w:rsidRPr="00AA43FB">
        <w:instrText xml:space="preserve"> </w:instrText>
      </w:r>
      <w:r w:rsidR="00A6794A">
        <w:rPr>
          <w:lang w:val="en-US"/>
        </w:rPr>
        <w:instrText>that</w:instrText>
      </w:r>
      <w:r w:rsidR="00A6794A" w:rsidRPr="00AA43FB">
        <w:instrText xml:space="preserve"> </w:instrText>
      </w:r>
      <w:r w:rsidR="00A6794A">
        <w:rPr>
          <w:lang w:val="en-US"/>
        </w:rPr>
        <w:instrText>binds</w:instrText>
      </w:r>
      <w:r w:rsidR="00A6794A" w:rsidRPr="00AA43FB">
        <w:instrText xml:space="preserve"> </w:instrText>
      </w:r>
      <w:r w:rsidR="00A6794A">
        <w:rPr>
          <w:lang w:val="en-US"/>
        </w:rPr>
        <w:instrText>specifically</w:instrText>
      </w:r>
      <w:r w:rsidR="00A6794A" w:rsidRPr="00AA43FB">
        <w:instrText xml:space="preserve"> </w:instrText>
      </w:r>
      <w:r w:rsidR="00A6794A">
        <w:rPr>
          <w:lang w:val="en-US"/>
        </w:rPr>
        <w:instrText>to</w:instrText>
      </w:r>
      <w:r w:rsidR="00A6794A" w:rsidRPr="00AA43FB">
        <w:instrText xml:space="preserve"> </w:instrText>
      </w:r>
      <w:r w:rsidR="00A6794A">
        <w:rPr>
          <w:lang w:val="en-US"/>
        </w:rPr>
        <w:instrText>the</w:instrText>
      </w:r>
      <w:r w:rsidR="00A6794A" w:rsidRPr="00AA43FB">
        <w:instrText xml:space="preserve"> </w:instrText>
      </w:r>
      <w:r w:rsidR="00A6794A">
        <w:rPr>
          <w:lang w:val="en-US"/>
        </w:rPr>
        <w:instrText>transmembrane</w:instrText>
      </w:r>
      <w:r w:rsidR="00A6794A" w:rsidRPr="00AA43FB">
        <w:instrText xml:space="preserve"> </w:instrText>
      </w:r>
      <w:r w:rsidR="00A6794A">
        <w:rPr>
          <w:lang w:val="en-US"/>
        </w:rPr>
        <w:instrText>antigen</w:instrText>
      </w:r>
      <w:r w:rsidR="00A6794A" w:rsidRPr="00AA43FB">
        <w:instrText xml:space="preserve"> </w:instrText>
      </w:r>
      <w:r w:rsidR="00A6794A">
        <w:rPr>
          <w:lang w:val="en-US"/>
        </w:rPr>
        <w:instrText>CD</w:instrText>
      </w:r>
      <w:r w:rsidR="00A6794A" w:rsidRPr="00AA43FB">
        <w:instrText xml:space="preserve">20, </w:instrText>
      </w:r>
      <w:r w:rsidR="00A6794A">
        <w:rPr>
          <w:lang w:val="en-US"/>
        </w:rPr>
        <w:instrText>was</w:instrText>
      </w:r>
      <w:r w:rsidR="00A6794A" w:rsidRPr="00AA43FB">
        <w:instrText xml:space="preserve"> </w:instrText>
      </w:r>
      <w:r w:rsidR="00A6794A">
        <w:rPr>
          <w:lang w:val="en-US"/>
        </w:rPr>
        <w:instrText>the</w:instrText>
      </w:r>
      <w:r w:rsidR="00A6794A" w:rsidRPr="00AA43FB">
        <w:instrText xml:space="preserve"> </w:instrText>
      </w:r>
      <w:r w:rsidR="00A6794A">
        <w:rPr>
          <w:lang w:val="en-US"/>
        </w:rPr>
        <w:instrText>first</w:instrText>
      </w:r>
      <w:r w:rsidR="00A6794A" w:rsidRPr="00AA43FB">
        <w:instrText xml:space="preserve"> </w:instrText>
      </w:r>
      <w:r w:rsidR="00A6794A">
        <w:rPr>
          <w:lang w:val="en-US"/>
        </w:rPr>
        <w:instrText>therapeutic</w:instrText>
      </w:r>
      <w:r w:rsidR="00A6794A" w:rsidRPr="00AA43FB">
        <w:instrText xml:space="preserve"> </w:instrText>
      </w:r>
      <w:r w:rsidR="00A6794A">
        <w:rPr>
          <w:lang w:val="en-US"/>
        </w:rPr>
        <w:instrText>antibody</w:instrText>
      </w:r>
      <w:r w:rsidR="00A6794A" w:rsidRPr="00AA43FB">
        <w:instrText xml:space="preserve"> </w:instrText>
      </w:r>
      <w:r w:rsidR="00A6794A">
        <w:rPr>
          <w:lang w:val="en-US"/>
        </w:rPr>
        <w:instrText>to</w:instrText>
      </w:r>
      <w:r w:rsidR="00A6794A" w:rsidRPr="00AA43FB">
        <w:instrText xml:space="preserve"> </w:instrText>
      </w:r>
      <w:r w:rsidR="00A6794A">
        <w:rPr>
          <w:lang w:val="en-US"/>
        </w:rPr>
        <w:instrText>enter</w:instrText>
      </w:r>
      <w:r w:rsidR="00A6794A" w:rsidRPr="00AA43FB">
        <w:instrText xml:space="preserve"> </w:instrText>
      </w:r>
      <w:r w:rsidR="00A6794A">
        <w:rPr>
          <w:lang w:val="en-US"/>
        </w:rPr>
        <w:instrText>clinical</w:instrText>
      </w:r>
      <w:r w:rsidR="00A6794A" w:rsidRPr="00AA43FB">
        <w:instrText xml:space="preserve"> </w:instrText>
      </w:r>
      <w:r w:rsidR="00A6794A">
        <w:rPr>
          <w:lang w:val="en-US"/>
        </w:rPr>
        <w:instrText>practice</w:instrText>
      </w:r>
      <w:r w:rsidR="00A6794A" w:rsidRPr="00AA43FB">
        <w:instrText xml:space="preserve"> </w:instrText>
      </w:r>
      <w:r w:rsidR="00A6794A">
        <w:rPr>
          <w:lang w:val="en-US"/>
        </w:rPr>
        <w:instrText>for</w:instrText>
      </w:r>
      <w:r w:rsidR="00A6794A" w:rsidRPr="00AA43FB">
        <w:instrText xml:space="preserve"> </w:instrText>
      </w:r>
      <w:r w:rsidR="00A6794A">
        <w:rPr>
          <w:lang w:val="en-US"/>
        </w:rPr>
        <w:instrText>the</w:instrText>
      </w:r>
      <w:r w:rsidR="00A6794A" w:rsidRPr="00AA43FB">
        <w:instrText xml:space="preserve"> </w:instrText>
      </w:r>
      <w:r w:rsidR="00A6794A">
        <w:rPr>
          <w:lang w:val="en-US"/>
        </w:rPr>
        <w:instrText>treatment</w:instrText>
      </w:r>
      <w:r w:rsidR="00A6794A" w:rsidRPr="00AA43FB">
        <w:instrText xml:space="preserve"> </w:instrText>
      </w:r>
      <w:r w:rsidR="00A6794A">
        <w:rPr>
          <w:lang w:val="en-US"/>
        </w:rPr>
        <w:instrText>of</w:instrText>
      </w:r>
      <w:r w:rsidR="00A6794A" w:rsidRPr="00AA43FB">
        <w:instrText xml:space="preserve"> </w:instrText>
      </w:r>
      <w:r w:rsidR="00A6794A">
        <w:rPr>
          <w:lang w:val="en-US"/>
        </w:rPr>
        <w:instrText>cancer</w:instrText>
      </w:r>
      <w:r w:rsidR="00A6794A" w:rsidRPr="00AA43FB">
        <w:instrText xml:space="preserve">. </w:instrText>
      </w:r>
      <w:r w:rsidR="00A6794A">
        <w:rPr>
          <w:lang w:val="en-US"/>
        </w:rPr>
        <w:instrText>As</w:instrText>
      </w:r>
      <w:r w:rsidR="00A6794A" w:rsidRPr="00AA43FB">
        <w:instrText xml:space="preserve"> </w:instrText>
      </w:r>
      <w:r w:rsidR="00A6794A">
        <w:rPr>
          <w:lang w:val="en-US"/>
        </w:rPr>
        <w:instrText>monotherapy</w:instrText>
      </w:r>
      <w:r w:rsidR="00A6794A" w:rsidRPr="00AA43FB">
        <w:instrText xml:space="preserve"> </w:instrText>
      </w:r>
      <w:r w:rsidR="00A6794A">
        <w:rPr>
          <w:lang w:val="en-US"/>
        </w:rPr>
        <w:instrText>and</w:instrText>
      </w:r>
      <w:r w:rsidR="00A6794A" w:rsidRPr="00AA43FB">
        <w:instrText xml:space="preserve"> </w:instrText>
      </w:r>
      <w:r w:rsidR="00A6794A">
        <w:rPr>
          <w:lang w:val="en-US"/>
        </w:rPr>
        <w:instrText>in</w:instrText>
      </w:r>
      <w:r w:rsidR="00A6794A" w:rsidRPr="00AA43FB">
        <w:instrText xml:space="preserve"> </w:instrText>
      </w:r>
      <w:r w:rsidR="00A6794A">
        <w:rPr>
          <w:lang w:val="en-US"/>
        </w:rPr>
        <w:instrText>combination</w:instrText>
      </w:r>
      <w:r w:rsidR="00A6794A" w:rsidRPr="00AA43FB">
        <w:instrText xml:space="preserve"> </w:instrText>
      </w:r>
      <w:r w:rsidR="00A6794A">
        <w:rPr>
          <w:lang w:val="en-US"/>
        </w:rPr>
        <w:instrText>with</w:instrText>
      </w:r>
      <w:r w:rsidR="00A6794A" w:rsidRPr="00AA43FB">
        <w:instrText xml:space="preserve"> </w:instrText>
      </w:r>
      <w:r w:rsidR="00A6794A">
        <w:rPr>
          <w:lang w:val="en-US"/>
        </w:rPr>
        <w:instrText>chemotherapy</w:instrText>
      </w:r>
      <w:r w:rsidR="00A6794A" w:rsidRPr="00AA43FB">
        <w:instrText xml:space="preserve">, </w:instrText>
      </w:r>
      <w:r w:rsidR="00A6794A">
        <w:rPr>
          <w:lang w:val="en-US"/>
        </w:rPr>
        <w:instrText>rituximab</w:instrText>
      </w:r>
      <w:r w:rsidR="00A6794A" w:rsidRPr="00AA43FB">
        <w:instrText xml:space="preserve"> </w:instrText>
      </w:r>
      <w:r w:rsidR="00A6794A">
        <w:rPr>
          <w:lang w:val="en-US"/>
        </w:rPr>
        <w:instrText>has</w:instrText>
      </w:r>
      <w:r w:rsidR="00A6794A" w:rsidRPr="00AA43FB">
        <w:instrText xml:space="preserve"> </w:instrText>
      </w:r>
      <w:r w:rsidR="00A6794A">
        <w:rPr>
          <w:lang w:val="en-US"/>
        </w:rPr>
        <w:instrText>been</w:instrText>
      </w:r>
      <w:r w:rsidR="00A6794A" w:rsidRPr="00AA43FB">
        <w:instrText xml:space="preserve"> </w:instrText>
      </w:r>
      <w:r w:rsidR="00A6794A">
        <w:rPr>
          <w:lang w:val="en-US"/>
        </w:rPr>
        <w:instrText>shown</w:instrText>
      </w:r>
      <w:r w:rsidR="00A6794A" w:rsidRPr="00AA43FB">
        <w:instrText xml:space="preserve"> </w:instrText>
      </w:r>
      <w:r w:rsidR="00A6794A">
        <w:rPr>
          <w:lang w:val="en-US"/>
        </w:rPr>
        <w:instrText>to</w:instrText>
      </w:r>
      <w:r w:rsidR="00A6794A" w:rsidRPr="00AA43FB">
        <w:instrText xml:space="preserve"> </w:instrText>
      </w:r>
      <w:r w:rsidR="00A6794A">
        <w:rPr>
          <w:lang w:val="en-US"/>
        </w:rPr>
        <w:instrText>prolong</w:instrText>
      </w:r>
      <w:r w:rsidR="00A6794A" w:rsidRPr="00AA43FB">
        <w:instrText xml:space="preserve"> </w:instrText>
      </w:r>
      <w:r w:rsidR="00A6794A">
        <w:rPr>
          <w:lang w:val="en-US"/>
        </w:rPr>
        <w:instrText>progression</w:instrText>
      </w:r>
      <w:r w:rsidR="00A6794A" w:rsidRPr="00AA43FB">
        <w:instrText>-</w:instrText>
      </w:r>
      <w:r w:rsidR="00A6794A">
        <w:rPr>
          <w:lang w:val="en-US"/>
        </w:rPr>
        <w:instrText>free</w:instrText>
      </w:r>
      <w:r w:rsidR="00A6794A" w:rsidRPr="00AA43FB">
        <w:instrText xml:space="preserve"> </w:instrText>
      </w:r>
      <w:r w:rsidR="00A6794A">
        <w:rPr>
          <w:lang w:val="en-US"/>
        </w:rPr>
        <w:instrText>survival</w:instrText>
      </w:r>
      <w:r w:rsidR="00A6794A" w:rsidRPr="00AA43FB">
        <w:instrText xml:space="preserve"> </w:instrText>
      </w:r>
      <w:r w:rsidR="00A6794A">
        <w:rPr>
          <w:lang w:val="en-US"/>
        </w:rPr>
        <w:instrText>and</w:instrText>
      </w:r>
      <w:r w:rsidR="00A6794A" w:rsidRPr="00AA43FB">
        <w:instrText xml:space="preserve">, </w:instrText>
      </w:r>
      <w:r w:rsidR="00A6794A">
        <w:rPr>
          <w:lang w:val="en-US"/>
        </w:rPr>
        <w:instrText>in</w:instrText>
      </w:r>
      <w:r w:rsidR="00A6794A" w:rsidRPr="00AA43FB">
        <w:instrText xml:space="preserve"> </w:instrText>
      </w:r>
      <w:r w:rsidR="00A6794A">
        <w:rPr>
          <w:lang w:val="en-US"/>
        </w:rPr>
        <w:instrText>some</w:instrText>
      </w:r>
      <w:r w:rsidR="00A6794A" w:rsidRPr="00AA43FB">
        <w:instrText xml:space="preserve"> </w:instrText>
      </w:r>
      <w:r w:rsidR="00A6794A">
        <w:rPr>
          <w:lang w:val="en-US"/>
        </w:rPr>
        <w:instrText>indications</w:instrText>
      </w:r>
      <w:r w:rsidR="00A6794A" w:rsidRPr="00AA43FB">
        <w:instrText xml:space="preserve"> </w:instrText>
      </w:r>
      <w:r w:rsidR="00A6794A">
        <w:rPr>
          <w:lang w:val="en-US"/>
        </w:rPr>
        <w:instrText>overall</w:instrText>
      </w:r>
      <w:r w:rsidR="00A6794A" w:rsidRPr="00AA43FB">
        <w:instrText xml:space="preserve"> </w:instrText>
      </w:r>
      <w:r w:rsidR="00A6794A">
        <w:rPr>
          <w:lang w:val="en-US"/>
        </w:rPr>
        <w:instrText>survival</w:instrText>
      </w:r>
      <w:r w:rsidR="00A6794A" w:rsidRPr="00AA43FB">
        <w:instrText xml:space="preserve">, </w:instrText>
      </w:r>
      <w:r w:rsidR="00A6794A">
        <w:rPr>
          <w:lang w:val="en-US"/>
        </w:rPr>
        <w:instrText>in</w:instrText>
      </w:r>
      <w:r w:rsidR="00A6794A" w:rsidRPr="00AA43FB">
        <w:instrText xml:space="preserve"> </w:instrText>
      </w:r>
      <w:r w:rsidR="00A6794A">
        <w:rPr>
          <w:lang w:val="en-US"/>
        </w:rPr>
        <w:instrText>patients</w:instrText>
      </w:r>
      <w:r w:rsidR="00A6794A" w:rsidRPr="00AA43FB">
        <w:instrText xml:space="preserve"> </w:instrText>
      </w:r>
      <w:r w:rsidR="00A6794A">
        <w:rPr>
          <w:lang w:val="en-US"/>
        </w:rPr>
        <w:instrText>with</w:instrText>
      </w:r>
      <w:r w:rsidR="00A6794A" w:rsidRPr="00AA43FB">
        <w:instrText xml:space="preserve"> </w:instrText>
      </w:r>
      <w:r w:rsidR="00A6794A">
        <w:rPr>
          <w:lang w:val="en-US"/>
        </w:rPr>
        <w:instrText>various</w:instrText>
      </w:r>
      <w:r w:rsidR="00A6794A" w:rsidRPr="00AA43FB">
        <w:instrText xml:space="preserve"> </w:instrText>
      </w:r>
      <w:r w:rsidR="00A6794A">
        <w:rPr>
          <w:lang w:val="en-US"/>
        </w:rPr>
        <w:instrText>B</w:instrText>
      </w:r>
      <w:r w:rsidR="00A6794A" w:rsidRPr="00AA43FB">
        <w:instrText>-</w:instrText>
      </w:r>
      <w:r w:rsidR="00A6794A">
        <w:rPr>
          <w:lang w:val="en-US"/>
        </w:rPr>
        <w:instrText>cell</w:instrText>
      </w:r>
      <w:r w:rsidR="00A6794A" w:rsidRPr="00AA43FB">
        <w:instrText xml:space="preserve"> </w:instrText>
      </w:r>
      <w:r w:rsidR="00A6794A">
        <w:rPr>
          <w:lang w:val="en-US"/>
        </w:rPr>
        <w:instrText>malignancies</w:instrText>
      </w:r>
      <w:r w:rsidR="00A6794A" w:rsidRPr="00AA43FB">
        <w:instrText xml:space="preserve">, </w:instrText>
      </w:r>
      <w:r w:rsidR="00A6794A">
        <w:rPr>
          <w:lang w:val="en-US"/>
        </w:rPr>
        <w:instrText>while</w:instrText>
      </w:r>
      <w:r w:rsidR="00A6794A" w:rsidRPr="00AA43FB">
        <w:instrText xml:space="preserve"> </w:instrText>
      </w:r>
      <w:r w:rsidR="00A6794A">
        <w:rPr>
          <w:lang w:val="en-US"/>
        </w:rPr>
        <w:instrText>having</w:instrText>
      </w:r>
      <w:r w:rsidR="00A6794A" w:rsidRPr="00AA43FB">
        <w:instrText xml:space="preserve"> </w:instrText>
      </w:r>
      <w:r w:rsidR="00A6794A">
        <w:rPr>
          <w:lang w:val="en-US"/>
        </w:rPr>
        <w:instrText>a</w:instrText>
      </w:r>
      <w:r w:rsidR="00A6794A" w:rsidRPr="00AA43FB">
        <w:instrText xml:space="preserve"> </w:instrText>
      </w:r>
      <w:r w:rsidR="00A6794A">
        <w:rPr>
          <w:lang w:val="en-US"/>
        </w:rPr>
        <w:instrText>well</w:instrText>
      </w:r>
      <w:r w:rsidR="00A6794A" w:rsidRPr="00AA43FB">
        <w:instrText>-</w:instrText>
      </w:r>
      <w:r w:rsidR="00A6794A">
        <w:rPr>
          <w:lang w:val="en-US"/>
        </w:rPr>
        <w:instrText>established</w:instrText>
      </w:r>
      <w:r w:rsidR="00A6794A" w:rsidRPr="00AA43FB">
        <w:instrText xml:space="preserve"> </w:instrText>
      </w:r>
      <w:r w:rsidR="00A6794A">
        <w:rPr>
          <w:lang w:val="en-US"/>
        </w:rPr>
        <w:instrText>and</w:instrText>
      </w:r>
      <w:r w:rsidR="00A6794A" w:rsidRPr="00AA43FB">
        <w:instrText xml:space="preserve"> </w:instrText>
      </w:r>
      <w:r w:rsidR="00A6794A">
        <w:rPr>
          <w:lang w:val="en-US"/>
        </w:rPr>
        <w:instrText>manageable</w:instrText>
      </w:r>
      <w:r w:rsidR="00A6794A" w:rsidRPr="00AA43FB">
        <w:instrText xml:space="preserve"> </w:instrText>
      </w:r>
      <w:r w:rsidR="00A6794A">
        <w:rPr>
          <w:lang w:val="en-US"/>
        </w:rPr>
        <w:instrText>safety</w:instrText>
      </w:r>
      <w:r w:rsidR="00A6794A" w:rsidRPr="00AA43FB">
        <w:instrText xml:space="preserve"> </w:instrText>
      </w:r>
      <w:r w:rsidR="00A6794A">
        <w:rPr>
          <w:lang w:val="en-US"/>
        </w:rPr>
        <w:instrText>profile</w:instrText>
      </w:r>
      <w:r w:rsidR="00A6794A" w:rsidRPr="00AA43FB">
        <w:instrText xml:space="preserve"> </w:instrText>
      </w:r>
      <w:r w:rsidR="00A6794A">
        <w:rPr>
          <w:lang w:val="en-US"/>
        </w:rPr>
        <w:instrText>and</w:instrText>
      </w:r>
      <w:r w:rsidR="00A6794A" w:rsidRPr="00AA43FB">
        <w:instrText xml:space="preserve"> </w:instrText>
      </w:r>
      <w:r w:rsidR="00A6794A">
        <w:rPr>
          <w:lang w:val="en-US"/>
        </w:rPr>
        <w:instrText>a</w:instrText>
      </w:r>
      <w:r w:rsidR="00A6794A" w:rsidRPr="00AA43FB">
        <w:instrText xml:space="preserve"> </w:instrText>
      </w:r>
      <w:r w:rsidR="00A6794A">
        <w:rPr>
          <w:lang w:val="en-US"/>
        </w:rPr>
        <w:instrText>wide</w:instrText>
      </w:r>
      <w:r w:rsidR="00A6794A" w:rsidRPr="00AA43FB">
        <w:instrText xml:space="preserve"> </w:instrText>
      </w:r>
      <w:r w:rsidR="00A6794A">
        <w:rPr>
          <w:lang w:val="en-US"/>
        </w:rPr>
        <w:instrText>therapeutic</w:instrText>
      </w:r>
      <w:r w:rsidR="00A6794A" w:rsidRPr="00AA43FB">
        <w:instrText xml:space="preserve"> </w:instrText>
      </w:r>
      <w:r w:rsidR="00A6794A">
        <w:rPr>
          <w:lang w:val="en-US"/>
        </w:rPr>
        <w:instrText>window</w:instrText>
      </w:r>
      <w:r w:rsidR="00A6794A" w:rsidRPr="00AA43FB">
        <w:instrText xml:space="preserve">. </w:instrText>
      </w:r>
      <w:r w:rsidR="00A6794A">
        <w:rPr>
          <w:lang w:val="en-US"/>
        </w:rPr>
        <w:instrText>As</w:instrText>
      </w:r>
      <w:r w:rsidR="00A6794A" w:rsidRPr="00AA43FB">
        <w:instrText xml:space="preserve"> </w:instrText>
      </w:r>
      <w:r w:rsidR="00A6794A">
        <w:rPr>
          <w:lang w:val="en-US"/>
        </w:rPr>
        <w:instrText>a</w:instrText>
      </w:r>
      <w:r w:rsidR="00A6794A" w:rsidRPr="00AA43FB">
        <w:instrText xml:space="preserve"> </w:instrText>
      </w:r>
      <w:r w:rsidR="00A6794A">
        <w:rPr>
          <w:lang w:val="en-US"/>
        </w:rPr>
        <w:instrText>result</w:instrText>
      </w:r>
      <w:r w:rsidR="00A6794A" w:rsidRPr="00AA43FB">
        <w:instrText xml:space="preserve">, </w:instrText>
      </w:r>
      <w:r w:rsidR="00A6794A">
        <w:rPr>
          <w:lang w:val="en-US"/>
        </w:rPr>
        <w:instrText>rituximab</w:instrText>
      </w:r>
      <w:r w:rsidR="00A6794A" w:rsidRPr="00AA43FB">
        <w:instrText xml:space="preserve"> </w:instrText>
      </w:r>
      <w:r w:rsidR="00A6794A">
        <w:rPr>
          <w:lang w:val="en-US"/>
        </w:rPr>
        <w:instrText>is</w:instrText>
      </w:r>
      <w:r w:rsidR="00A6794A" w:rsidRPr="00AA43FB">
        <w:instrText xml:space="preserve"> </w:instrText>
      </w:r>
      <w:r w:rsidR="00A6794A">
        <w:rPr>
          <w:lang w:val="en-US"/>
        </w:rPr>
        <w:instrText>considered</w:instrText>
      </w:r>
      <w:r w:rsidR="00A6794A" w:rsidRPr="00AA43FB">
        <w:instrText xml:space="preserve"> </w:instrText>
      </w:r>
      <w:r w:rsidR="00A6794A">
        <w:rPr>
          <w:lang w:val="en-US"/>
        </w:rPr>
        <w:instrText>to</w:instrText>
      </w:r>
      <w:r w:rsidR="00A6794A" w:rsidRPr="00AA43FB">
        <w:instrText xml:space="preserve"> </w:instrText>
      </w:r>
      <w:r w:rsidR="00A6794A">
        <w:rPr>
          <w:lang w:val="en-US"/>
        </w:rPr>
        <w:instrText>have</w:instrText>
      </w:r>
      <w:r w:rsidR="00A6794A" w:rsidRPr="00AA43FB">
        <w:instrText xml:space="preserve"> </w:instrText>
      </w:r>
      <w:r w:rsidR="00A6794A">
        <w:rPr>
          <w:lang w:val="en-US"/>
        </w:rPr>
        <w:instrText>revolutionized</w:instrText>
      </w:r>
      <w:r w:rsidR="00A6794A" w:rsidRPr="00AA43FB">
        <w:instrText xml:space="preserve"> </w:instrText>
      </w:r>
      <w:r w:rsidR="00A6794A">
        <w:rPr>
          <w:lang w:val="en-US"/>
        </w:rPr>
        <w:instrText>treatment</w:instrText>
      </w:r>
      <w:r w:rsidR="00A6794A" w:rsidRPr="00AA43FB">
        <w:instrText xml:space="preserve"> </w:instrText>
      </w:r>
      <w:r w:rsidR="00A6794A">
        <w:rPr>
          <w:lang w:val="en-US"/>
        </w:rPr>
        <w:instrText>practices</w:instrText>
      </w:r>
      <w:r w:rsidR="00A6794A" w:rsidRPr="00AA43FB">
        <w:instrText xml:space="preserve"> </w:instrText>
      </w:r>
      <w:r w:rsidR="00A6794A">
        <w:rPr>
          <w:lang w:val="en-US"/>
        </w:rPr>
        <w:instrText>for</w:instrText>
      </w:r>
      <w:r w:rsidR="00A6794A" w:rsidRPr="00AA43FB">
        <w:instrText xml:space="preserve"> </w:instrText>
      </w:r>
      <w:r w:rsidR="00A6794A">
        <w:rPr>
          <w:lang w:val="en-US"/>
        </w:rPr>
        <w:instrText>patients</w:instrText>
      </w:r>
      <w:r w:rsidR="00A6794A" w:rsidRPr="00AA43FB">
        <w:instrText xml:space="preserve"> </w:instrText>
      </w:r>
      <w:r w:rsidR="00A6794A">
        <w:rPr>
          <w:lang w:val="en-US"/>
        </w:rPr>
        <w:instrText>with</w:instrText>
      </w:r>
      <w:r w:rsidR="00A6794A" w:rsidRPr="00AA43FB">
        <w:instrText xml:space="preserve"> </w:instrText>
      </w:r>
      <w:r w:rsidR="00A6794A">
        <w:rPr>
          <w:lang w:val="en-US"/>
        </w:rPr>
        <w:instrText>B</w:instrText>
      </w:r>
      <w:r w:rsidR="00A6794A" w:rsidRPr="00AA43FB">
        <w:instrText>-</w:instrText>
      </w:r>
      <w:r w:rsidR="00A6794A">
        <w:rPr>
          <w:lang w:val="en-US"/>
        </w:rPr>
        <w:instrText>cell</w:instrText>
      </w:r>
      <w:r w:rsidR="00A6794A" w:rsidRPr="00AA43FB">
        <w:instrText xml:space="preserve"> </w:instrText>
      </w:r>
      <w:r w:rsidR="00A6794A">
        <w:rPr>
          <w:lang w:val="en-US"/>
        </w:rPr>
        <w:instrText>malignancies</w:instrText>
      </w:r>
      <w:r w:rsidR="00A6794A" w:rsidRPr="00AA43FB">
        <w:instrText xml:space="preserve">. </w:instrText>
      </w:r>
      <w:r w:rsidR="00A6794A">
        <w:rPr>
          <w:lang w:val="en-US"/>
        </w:rPr>
        <w:instrText>A</w:instrText>
      </w:r>
      <w:r w:rsidR="00A6794A" w:rsidRPr="00AA43FB">
        <w:instrText xml:space="preserve"> </w:instrText>
      </w:r>
      <w:r w:rsidR="00A6794A">
        <w:rPr>
          <w:lang w:val="en-US"/>
        </w:rPr>
        <w:instrText>subcutaneous</w:instrText>
      </w:r>
      <w:r w:rsidR="00A6794A" w:rsidRPr="00AA43FB">
        <w:instrText xml:space="preserve"> (</w:instrText>
      </w:r>
      <w:r w:rsidR="00A6794A">
        <w:rPr>
          <w:lang w:val="en-US"/>
        </w:rPr>
        <w:instrText>SC</w:instrText>
      </w:r>
      <w:r w:rsidR="00A6794A" w:rsidRPr="00AA43FB">
        <w:instrText xml:space="preserve">) </w:instrText>
      </w:r>
      <w:r w:rsidR="00A6794A">
        <w:rPr>
          <w:lang w:val="en-US"/>
        </w:rPr>
        <w:instrText>formulation</w:instrText>
      </w:r>
      <w:r w:rsidR="00A6794A" w:rsidRPr="00AA43FB">
        <w:instrText xml:space="preserve"> </w:instrText>
      </w:r>
      <w:r w:rsidR="00A6794A">
        <w:rPr>
          <w:lang w:val="en-US"/>
        </w:rPr>
        <w:instrText>of</w:instrText>
      </w:r>
      <w:r w:rsidR="00A6794A" w:rsidRPr="00AA43FB">
        <w:instrText xml:space="preserve"> </w:instrText>
      </w:r>
      <w:r w:rsidR="00A6794A">
        <w:rPr>
          <w:lang w:val="en-US"/>
        </w:rPr>
        <w:instrText>rituximab</w:instrText>
      </w:r>
      <w:r w:rsidR="00A6794A" w:rsidRPr="00AA43FB">
        <w:instrText xml:space="preserve"> </w:instrText>
      </w:r>
      <w:r w:rsidR="00A6794A">
        <w:rPr>
          <w:lang w:val="en-US"/>
        </w:rPr>
        <w:instrText>has</w:instrText>
      </w:r>
      <w:r w:rsidR="00A6794A" w:rsidRPr="00AA43FB">
        <w:instrText xml:space="preserve"> </w:instrText>
      </w:r>
      <w:r w:rsidR="00A6794A">
        <w:rPr>
          <w:lang w:val="en-US"/>
        </w:rPr>
        <w:instrText>been</w:instrText>
      </w:r>
      <w:r w:rsidR="00A6794A" w:rsidRPr="00AA43FB">
        <w:instrText xml:space="preserve"> </w:instrText>
      </w:r>
      <w:r w:rsidR="00A6794A">
        <w:rPr>
          <w:lang w:val="en-US"/>
        </w:rPr>
        <w:instrText>developed</w:instrText>
      </w:r>
      <w:r w:rsidR="00A6794A" w:rsidRPr="00AA43FB">
        <w:instrText xml:space="preserve">, </w:instrText>
      </w:r>
      <w:r w:rsidR="00A6794A">
        <w:rPr>
          <w:lang w:val="en-US"/>
        </w:rPr>
        <w:instrText>comprising</w:instrText>
      </w:r>
      <w:r w:rsidR="00A6794A" w:rsidRPr="00AA43FB">
        <w:instrText xml:space="preserve"> </w:instrText>
      </w:r>
      <w:r w:rsidR="00A6794A">
        <w:rPr>
          <w:lang w:val="en-US"/>
        </w:rPr>
        <w:instrText>the</w:instrText>
      </w:r>
      <w:r w:rsidR="00A6794A" w:rsidRPr="00AA43FB">
        <w:instrText xml:space="preserve"> </w:instrText>
      </w:r>
      <w:r w:rsidR="00A6794A">
        <w:rPr>
          <w:lang w:val="en-US"/>
        </w:rPr>
        <w:instrText>same</w:instrText>
      </w:r>
      <w:r w:rsidR="00A6794A" w:rsidRPr="00AA43FB">
        <w:instrText xml:space="preserve"> </w:instrText>
      </w:r>
      <w:r w:rsidR="00A6794A">
        <w:rPr>
          <w:lang w:val="en-US"/>
        </w:rPr>
        <w:instrText>monoclonal</w:instrText>
      </w:r>
      <w:r w:rsidR="00A6794A" w:rsidRPr="00AA43FB">
        <w:instrText xml:space="preserve"> </w:instrText>
      </w:r>
      <w:r w:rsidR="00A6794A">
        <w:rPr>
          <w:lang w:val="en-US"/>
        </w:rPr>
        <w:instrText>antibody</w:instrText>
      </w:r>
      <w:r w:rsidR="00A6794A" w:rsidRPr="00AA43FB">
        <w:instrText xml:space="preserve"> </w:instrText>
      </w:r>
      <w:r w:rsidR="00A6794A">
        <w:rPr>
          <w:lang w:val="en-US"/>
        </w:rPr>
        <w:instrText>as</w:instrText>
      </w:r>
      <w:r w:rsidR="00A6794A" w:rsidRPr="00AA43FB">
        <w:instrText xml:space="preserve"> </w:instrText>
      </w:r>
      <w:r w:rsidR="00A6794A">
        <w:rPr>
          <w:lang w:val="en-US"/>
        </w:rPr>
        <w:instrText>the</w:instrText>
      </w:r>
      <w:r w:rsidR="00A6794A" w:rsidRPr="00AA43FB">
        <w:instrText xml:space="preserve"> </w:instrText>
      </w:r>
      <w:r w:rsidR="00A6794A">
        <w:rPr>
          <w:lang w:val="en-US"/>
        </w:rPr>
        <w:instrText>originally</w:instrText>
      </w:r>
      <w:r w:rsidR="00A6794A" w:rsidRPr="00AA43FB">
        <w:instrText xml:space="preserve"> </w:instrText>
      </w:r>
      <w:r w:rsidR="00A6794A">
        <w:rPr>
          <w:lang w:val="en-US"/>
        </w:rPr>
        <w:instrText>marketed</w:instrText>
      </w:r>
      <w:r w:rsidR="00A6794A" w:rsidRPr="00AA43FB">
        <w:instrText xml:space="preserve"> </w:instrText>
      </w:r>
      <w:r w:rsidR="00A6794A">
        <w:rPr>
          <w:lang w:val="en-US"/>
        </w:rPr>
        <w:instrText>formulation</w:instrText>
      </w:r>
      <w:r w:rsidR="00A6794A" w:rsidRPr="00AA43FB">
        <w:instrText xml:space="preserve"> [</w:instrText>
      </w:r>
      <w:r w:rsidR="00A6794A">
        <w:rPr>
          <w:lang w:val="en-US"/>
        </w:rPr>
        <w:instrText>rituximab</w:instrText>
      </w:r>
      <w:r w:rsidR="00A6794A" w:rsidRPr="00AA43FB">
        <w:instrText xml:space="preserve"> </w:instrText>
      </w:r>
      <w:r w:rsidR="00A6794A">
        <w:rPr>
          <w:lang w:val="en-US"/>
        </w:rPr>
        <w:instrText>concentrate</w:instrText>
      </w:r>
      <w:r w:rsidR="00A6794A" w:rsidRPr="00AA43FB">
        <w:instrText xml:space="preserve"> </w:instrText>
      </w:r>
      <w:r w:rsidR="00A6794A">
        <w:rPr>
          <w:lang w:val="en-US"/>
        </w:rPr>
        <w:instrText>for</w:instrText>
      </w:r>
      <w:r w:rsidR="00A6794A" w:rsidRPr="00AA43FB">
        <w:instrText xml:space="preserve"> </w:instrText>
      </w:r>
      <w:r w:rsidR="00A6794A">
        <w:rPr>
          <w:lang w:val="en-US"/>
        </w:rPr>
        <w:instrText>solution</w:instrText>
      </w:r>
      <w:r w:rsidR="00A6794A" w:rsidRPr="00AA43FB">
        <w:instrText xml:space="preserve"> </w:instrText>
      </w:r>
      <w:r w:rsidR="00A6794A">
        <w:rPr>
          <w:lang w:val="en-US"/>
        </w:rPr>
        <w:instrText>for</w:instrText>
      </w:r>
      <w:r w:rsidR="00A6794A" w:rsidRPr="00AA43FB">
        <w:instrText xml:space="preserve"> </w:instrText>
      </w:r>
      <w:r w:rsidR="00A6794A">
        <w:rPr>
          <w:lang w:val="en-US"/>
        </w:rPr>
        <w:instrText>intravenous</w:instrText>
      </w:r>
      <w:r w:rsidR="00A6794A" w:rsidRPr="00AA43FB">
        <w:instrText xml:space="preserve"> (</w:instrText>
      </w:r>
      <w:r w:rsidR="00A6794A">
        <w:rPr>
          <w:lang w:val="en-US"/>
        </w:rPr>
        <w:instrText>IV</w:instrText>
      </w:r>
      <w:r w:rsidR="00A6794A" w:rsidRPr="00AA43FB">
        <w:instrText xml:space="preserve">) </w:instrText>
      </w:r>
      <w:r w:rsidR="00A6794A">
        <w:rPr>
          <w:lang w:val="en-US"/>
        </w:rPr>
        <w:instrText>infusion</w:instrText>
      </w:r>
      <w:r w:rsidR="00A6794A" w:rsidRPr="00AA43FB">
        <w:instrText xml:space="preserve">], </w:instrText>
      </w:r>
      <w:r w:rsidR="00A6794A">
        <w:rPr>
          <w:lang w:val="en-US"/>
        </w:rPr>
        <w:instrText>and</w:instrText>
      </w:r>
      <w:r w:rsidR="00A6794A" w:rsidRPr="00AA43FB">
        <w:instrText xml:space="preserve"> </w:instrText>
      </w:r>
      <w:r w:rsidR="00A6794A">
        <w:rPr>
          <w:lang w:val="en-US"/>
        </w:rPr>
        <w:instrText>has</w:instrText>
      </w:r>
      <w:r w:rsidR="00A6794A" w:rsidRPr="00AA43FB">
        <w:instrText xml:space="preserve"> </w:instrText>
      </w:r>
      <w:r w:rsidR="00A6794A">
        <w:rPr>
          <w:lang w:val="en-US"/>
        </w:rPr>
        <w:instrText>undergone</w:instrText>
      </w:r>
      <w:r w:rsidR="00A6794A" w:rsidRPr="00AA43FB">
        <w:instrText xml:space="preserve"> </w:instrText>
      </w:r>
      <w:r w:rsidR="00A6794A">
        <w:rPr>
          <w:lang w:val="en-US"/>
        </w:rPr>
        <w:instrText>a</w:instrText>
      </w:r>
      <w:r w:rsidR="00A6794A" w:rsidRPr="00AA43FB">
        <w:instrText xml:space="preserve"> </w:instrText>
      </w:r>
      <w:r w:rsidR="00A6794A">
        <w:rPr>
          <w:lang w:val="en-US"/>
        </w:rPr>
        <w:instrText>detailed</w:instrText>
      </w:r>
      <w:r w:rsidR="00A6794A" w:rsidRPr="00AA43FB">
        <w:instrText xml:space="preserve">, </w:instrText>
      </w:r>
      <w:r w:rsidR="00A6794A">
        <w:rPr>
          <w:lang w:val="en-US"/>
        </w:rPr>
        <w:instrText>sequential</w:instrText>
      </w:r>
      <w:r w:rsidR="00A6794A" w:rsidRPr="00AA43FB">
        <w:instrText xml:space="preserve"> </w:instrText>
      </w:r>
      <w:r w:rsidR="00A6794A">
        <w:rPr>
          <w:lang w:val="en-US"/>
        </w:rPr>
        <w:instrText>clinical</w:instrText>
      </w:r>
      <w:r w:rsidR="00A6794A" w:rsidRPr="00AA43FB">
        <w:instrText xml:space="preserve"> </w:instrText>
      </w:r>
      <w:r w:rsidR="00A6794A">
        <w:rPr>
          <w:lang w:val="en-US"/>
        </w:rPr>
        <w:instrText>development</w:instrText>
      </w:r>
      <w:r w:rsidR="00A6794A" w:rsidRPr="00AA43FB">
        <w:instrText xml:space="preserve"> </w:instrText>
      </w:r>
      <w:r w:rsidR="00A6794A">
        <w:rPr>
          <w:lang w:val="en-US"/>
        </w:rPr>
        <w:instrText>program</w:instrText>
      </w:r>
      <w:r w:rsidR="00A6794A" w:rsidRPr="00AA43FB">
        <w:instrText xml:space="preserve">. </w:instrText>
      </w:r>
      <w:r w:rsidR="00A6794A">
        <w:rPr>
          <w:lang w:val="en-US"/>
        </w:rPr>
        <w:instrText>This</w:instrText>
      </w:r>
      <w:r w:rsidR="00A6794A" w:rsidRPr="00AA43FB">
        <w:instrText xml:space="preserve"> </w:instrText>
      </w:r>
      <w:r w:rsidR="00A6794A">
        <w:rPr>
          <w:lang w:val="en-US"/>
        </w:rPr>
        <w:instrText>program</w:instrText>
      </w:r>
      <w:r w:rsidR="00A6794A" w:rsidRPr="00AA43FB">
        <w:instrText xml:space="preserve"> </w:instrText>
      </w:r>
      <w:r w:rsidR="00A6794A">
        <w:rPr>
          <w:lang w:val="en-US"/>
        </w:rPr>
        <w:instrText>demonstrated</w:instrText>
      </w:r>
      <w:r w:rsidR="00A6794A" w:rsidRPr="00AA43FB">
        <w:instrText xml:space="preserve"> </w:instrText>
      </w:r>
      <w:r w:rsidR="00A6794A">
        <w:rPr>
          <w:lang w:val="en-US"/>
        </w:rPr>
        <w:instrText>that</w:instrText>
      </w:r>
      <w:r w:rsidR="00A6794A" w:rsidRPr="00AA43FB">
        <w:instrText xml:space="preserve">, </w:instrText>
      </w:r>
      <w:r w:rsidR="00A6794A">
        <w:rPr>
          <w:lang w:val="en-US"/>
        </w:rPr>
        <w:instrText>at</w:instrText>
      </w:r>
      <w:r w:rsidR="00A6794A" w:rsidRPr="00AA43FB">
        <w:instrText xml:space="preserve"> </w:instrText>
      </w:r>
      <w:r w:rsidR="00A6794A">
        <w:rPr>
          <w:lang w:val="en-US"/>
        </w:rPr>
        <w:instrText>fixed</w:instrText>
      </w:r>
      <w:r w:rsidR="00A6794A" w:rsidRPr="00AA43FB">
        <w:instrText xml:space="preserve"> </w:instrText>
      </w:r>
      <w:r w:rsidR="00A6794A">
        <w:rPr>
          <w:lang w:val="en-US"/>
        </w:rPr>
        <w:instrText>doses</w:instrText>
      </w:r>
      <w:r w:rsidR="00A6794A" w:rsidRPr="00AA43FB">
        <w:instrText xml:space="preserve">, </w:instrText>
      </w:r>
      <w:r w:rsidR="00A6794A">
        <w:rPr>
          <w:lang w:val="en-US"/>
        </w:rPr>
        <w:instrText>rituximab</w:instrText>
      </w:r>
      <w:r w:rsidR="00A6794A" w:rsidRPr="00AA43FB">
        <w:instrText xml:space="preserve"> </w:instrText>
      </w:r>
      <w:r w:rsidR="00A6794A">
        <w:rPr>
          <w:lang w:val="en-US"/>
        </w:rPr>
        <w:instrText>SC</w:instrText>
      </w:r>
      <w:r w:rsidR="00A6794A" w:rsidRPr="00AA43FB">
        <w:instrText xml:space="preserve"> </w:instrText>
      </w:r>
      <w:r w:rsidR="00A6794A">
        <w:rPr>
          <w:lang w:val="en-US"/>
        </w:rPr>
        <w:instrText>achieves</w:instrText>
      </w:r>
      <w:r w:rsidR="00A6794A" w:rsidRPr="00AA43FB">
        <w:instrText xml:space="preserve"> </w:instrText>
      </w:r>
      <w:r w:rsidR="00A6794A">
        <w:rPr>
          <w:lang w:val="en-US"/>
        </w:rPr>
        <w:instrText>non</w:instrText>
      </w:r>
      <w:r w:rsidR="00A6794A" w:rsidRPr="00AA43FB">
        <w:instrText>-</w:instrText>
      </w:r>
      <w:r w:rsidR="00A6794A">
        <w:rPr>
          <w:lang w:val="en-US"/>
        </w:rPr>
        <w:instrText>inferior</w:instrText>
      </w:r>
      <w:r w:rsidR="00A6794A" w:rsidRPr="00AA43FB">
        <w:instrText xml:space="preserve"> </w:instrText>
      </w:r>
      <w:r w:rsidR="00A6794A">
        <w:rPr>
          <w:lang w:val="en-US"/>
        </w:rPr>
        <w:instrText>serum</w:instrText>
      </w:r>
      <w:r w:rsidR="00A6794A" w:rsidRPr="00AA43FB">
        <w:instrText xml:space="preserve"> </w:instrText>
      </w:r>
      <w:r w:rsidR="00A6794A">
        <w:rPr>
          <w:lang w:val="en-US"/>
        </w:rPr>
        <w:instrText>trough</w:instrText>
      </w:r>
      <w:r w:rsidR="00A6794A" w:rsidRPr="00AA43FB">
        <w:instrText xml:space="preserve"> </w:instrText>
      </w:r>
      <w:r w:rsidR="00A6794A">
        <w:rPr>
          <w:lang w:val="en-US"/>
        </w:rPr>
        <w:instrText>concentrations</w:instrText>
      </w:r>
      <w:r w:rsidR="00A6794A" w:rsidRPr="00AA43FB">
        <w:instrText xml:space="preserve"> </w:instrText>
      </w:r>
      <w:r w:rsidR="00A6794A">
        <w:rPr>
          <w:lang w:val="en-US"/>
        </w:rPr>
        <w:instrText>in</w:instrText>
      </w:r>
      <w:r w:rsidR="00A6794A" w:rsidRPr="00AA43FB">
        <w:instrText xml:space="preserve"> </w:instrText>
      </w:r>
      <w:r w:rsidR="00A6794A">
        <w:rPr>
          <w:lang w:val="en-US"/>
        </w:rPr>
        <w:instrText>patients</w:instrText>
      </w:r>
      <w:r w:rsidR="00A6794A" w:rsidRPr="00AA43FB">
        <w:instrText xml:space="preserve"> </w:instrText>
      </w:r>
      <w:r w:rsidR="00A6794A">
        <w:rPr>
          <w:lang w:val="en-US"/>
        </w:rPr>
        <w:instrText>with</w:instrText>
      </w:r>
      <w:r w:rsidR="00A6794A" w:rsidRPr="00AA43FB">
        <w:instrText xml:space="preserve"> </w:instrText>
      </w:r>
      <w:r w:rsidR="00A6794A">
        <w:rPr>
          <w:lang w:val="en-US"/>
        </w:rPr>
        <w:instrText>non</w:instrText>
      </w:r>
      <w:r w:rsidR="00A6794A" w:rsidRPr="00AA43FB">
        <w:instrText>-</w:instrText>
      </w:r>
      <w:r w:rsidR="00A6794A">
        <w:rPr>
          <w:lang w:val="en-US"/>
        </w:rPr>
        <w:instrText>Hodgkin</w:instrText>
      </w:r>
      <w:r w:rsidR="00A6794A" w:rsidRPr="00AA43FB">
        <w:instrText xml:space="preserve"> </w:instrText>
      </w:r>
      <w:r w:rsidR="00A6794A">
        <w:rPr>
          <w:lang w:val="en-US"/>
        </w:rPr>
        <w:instrText>lymphoma</w:instrText>
      </w:r>
      <w:r w:rsidR="00A6794A" w:rsidRPr="00AA43FB">
        <w:instrText xml:space="preserve"> </w:instrText>
      </w:r>
      <w:r w:rsidR="00A6794A">
        <w:rPr>
          <w:lang w:val="en-US"/>
        </w:rPr>
        <w:instrText>and</w:instrText>
      </w:r>
      <w:r w:rsidR="00A6794A" w:rsidRPr="00AA43FB">
        <w:instrText xml:space="preserve"> </w:instrText>
      </w:r>
      <w:r w:rsidR="00A6794A">
        <w:rPr>
          <w:lang w:val="en-US"/>
        </w:rPr>
        <w:instrText>chronic</w:instrText>
      </w:r>
      <w:r w:rsidR="00A6794A" w:rsidRPr="00AA43FB">
        <w:instrText xml:space="preserve"> </w:instrText>
      </w:r>
      <w:r w:rsidR="00A6794A">
        <w:rPr>
          <w:lang w:val="en-US"/>
        </w:rPr>
        <w:instrText>lymphocytic</w:instrText>
      </w:r>
      <w:r w:rsidR="00A6794A" w:rsidRPr="00AA43FB">
        <w:instrText xml:space="preserve"> </w:instrText>
      </w:r>
      <w:r w:rsidR="00A6794A">
        <w:rPr>
          <w:lang w:val="en-US"/>
        </w:rPr>
        <w:instrText>leukemia</w:instrText>
      </w:r>
      <w:r w:rsidR="00A6794A" w:rsidRPr="00AA43FB">
        <w:instrText xml:space="preserve">, </w:instrText>
      </w:r>
      <w:r w:rsidR="00A6794A">
        <w:rPr>
          <w:lang w:val="en-US"/>
        </w:rPr>
        <w:instrText>with</w:instrText>
      </w:r>
      <w:r w:rsidR="00A6794A" w:rsidRPr="00AA43FB">
        <w:instrText xml:space="preserve"> </w:instrText>
      </w:r>
      <w:r w:rsidR="00A6794A">
        <w:rPr>
          <w:lang w:val="en-US"/>
        </w:rPr>
        <w:instrText>comparable</w:instrText>
      </w:r>
      <w:r w:rsidR="00A6794A" w:rsidRPr="00AA43FB">
        <w:instrText xml:space="preserve"> </w:instrText>
      </w:r>
      <w:r w:rsidR="00A6794A">
        <w:rPr>
          <w:lang w:val="en-US"/>
        </w:rPr>
        <w:instrText>efficacy</w:instrText>
      </w:r>
      <w:r w:rsidR="00A6794A" w:rsidRPr="00AA43FB">
        <w:instrText xml:space="preserve"> </w:instrText>
      </w:r>
      <w:r w:rsidR="00A6794A">
        <w:rPr>
          <w:lang w:val="en-US"/>
        </w:rPr>
        <w:instrText>and</w:instrText>
      </w:r>
      <w:r w:rsidR="00A6794A" w:rsidRPr="00AA43FB">
        <w:instrText xml:space="preserve"> </w:instrText>
      </w:r>
      <w:r w:rsidR="00A6794A">
        <w:rPr>
          <w:lang w:val="en-US"/>
        </w:rPr>
        <w:instrText>safety</w:instrText>
      </w:r>
      <w:r w:rsidR="00A6794A" w:rsidRPr="00AA43FB">
        <w:instrText xml:space="preserve"> </w:instrText>
      </w:r>
      <w:r w:rsidR="00A6794A">
        <w:rPr>
          <w:lang w:val="en-US"/>
        </w:rPr>
        <w:instrText>relative</w:instrText>
      </w:r>
      <w:r w:rsidR="00A6794A" w:rsidRPr="00AA43FB">
        <w:instrText xml:space="preserve"> </w:instrText>
      </w:r>
      <w:r w:rsidR="00A6794A">
        <w:rPr>
          <w:lang w:val="en-US"/>
        </w:rPr>
        <w:instrText>to</w:instrText>
      </w:r>
      <w:r w:rsidR="00A6794A" w:rsidRPr="00AA43FB">
        <w:instrText xml:space="preserve"> </w:instrText>
      </w:r>
      <w:r w:rsidR="00A6794A">
        <w:rPr>
          <w:lang w:val="en-US"/>
        </w:rPr>
        <w:instrText>the</w:instrText>
      </w:r>
      <w:r w:rsidR="00A6794A" w:rsidRPr="00AA43FB">
        <w:instrText xml:space="preserve"> </w:instrText>
      </w:r>
      <w:r w:rsidR="00A6794A">
        <w:rPr>
          <w:lang w:val="en-US"/>
        </w:rPr>
        <w:instrText>IV</w:instrText>
      </w:r>
      <w:r w:rsidR="00A6794A" w:rsidRPr="00AA43FB">
        <w:instrText xml:space="preserve"> </w:instrText>
      </w:r>
      <w:r w:rsidR="00A6794A">
        <w:rPr>
          <w:lang w:val="en-US"/>
        </w:rPr>
        <w:instrText>formulation</w:instrText>
      </w:r>
      <w:r w:rsidR="00A6794A" w:rsidRPr="00AA43FB">
        <w:instrText xml:space="preserve">. </w:instrText>
      </w:r>
      <w:r w:rsidR="00A6794A">
        <w:rPr>
          <w:lang w:val="en-US"/>
        </w:rPr>
        <w:instrText>The</w:instrText>
      </w:r>
      <w:r w:rsidR="00A6794A" w:rsidRPr="00AA43FB">
        <w:instrText xml:space="preserve"> </w:instrText>
      </w:r>
      <w:r w:rsidR="00A6794A">
        <w:rPr>
          <w:lang w:val="en-US"/>
        </w:rPr>
        <w:instrText>added</w:instrText>
      </w:r>
      <w:r w:rsidR="00A6794A" w:rsidRPr="00AA43FB">
        <w:instrText xml:space="preserve"> </w:instrText>
      </w:r>
      <w:r w:rsidR="00A6794A">
        <w:rPr>
          <w:lang w:val="en-US"/>
        </w:rPr>
        <w:instrText>benefit</w:instrText>
      </w:r>
      <w:r w:rsidR="00A6794A" w:rsidRPr="00AA43FB">
        <w:instrText xml:space="preserve"> </w:instrText>
      </w:r>
      <w:r w:rsidR="00A6794A">
        <w:rPr>
          <w:lang w:val="en-US"/>
        </w:rPr>
        <w:instrText>of</w:instrText>
      </w:r>
      <w:r w:rsidR="00A6794A" w:rsidRPr="00AA43FB">
        <w:instrText xml:space="preserve"> </w:instrText>
      </w:r>
      <w:r w:rsidR="00A6794A">
        <w:rPr>
          <w:lang w:val="en-US"/>
        </w:rPr>
        <w:instrText>rituximab</w:instrText>
      </w:r>
      <w:r w:rsidR="00A6794A" w:rsidRPr="00AA43FB">
        <w:instrText xml:space="preserve"> </w:instrText>
      </w:r>
      <w:r w:rsidR="00A6794A">
        <w:rPr>
          <w:lang w:val="en-US"/>
        </w:rPr>
        <w:instrText>SC</w:instrText>
      </w:r>
      <w:r w:rsidR="00A6794A" w:rsidRPr="00AA43FB">
        <w:instrText xml:space="preserve"> </w:instrText>
      </w:r>
      <w:r w:rsidR="00A6794A">
        <w:rPr>
          <w:lang w:val="en-US"/>
        </w:rPr>
        <w:instrText>was</w:instrText>
      </w:r>
      <w:r w:rsidR="00A6794A" w:rsidRPr="00AA43FB">
        <w:instrText xml:space="preserve"> </w:instrText>
      </w:r>
      <w:r w:rsidR="00A6794A">
        <w:rPr>
          <w:lang w:val="en-US"/>
        </w:rPr>
        <w:instrText>demonstrated</w:instrText>
      </w:r>
      <w:r w:rsidR="00A6794A" w:rsidRPr="00AA43FB">
        <w:instrText xml:space="preserve"> </w:instrText>
      </w:r>
      <w:r w:rsidR="00A6794A">
        <w:rPr>
          <w:lang w:val="en-US"/>
        </w:rPr>
        <w:instrText>in</w:instrText>
      </w:r>
      <w:r w:rsidR="00A6794A" w:rsidRPr="00AA43FB">
        <w:instrText xml:space="preserve"> </w:instrText>
      </w:r>
      <w:r w:rsidR="00A6794A">
        <w:rPr>
          <w:lang w:val="en-US"/>
        </w:rPr>
        <w:instrText>dedicated</w:instrText>
      </w:r>
      <w:r w:rsidR="00A6794A" w:rsidRPr="00AA43FB">
        <w:instrText xml:space="preserve"> </w:instrText>
      </w:r>
      <w:r w:rsidR="00A6794A">
        <w:rPr>
          <w:lang w:val="en-US"/>
        </w:rPr>
        <w:instrText>studies</w:instrText>
      </w:r>
      <w:r w:rsidR="00A6794A" w:rsidRPr="00AA43FB">
        <w:instrText xml:space="preserve"> </w:instrText>
      </w:r>
      <w:r w:rsidR="00A6794A">
        <w:rPr>
          <w:lang w:val="en-US"/>
        </w:rPr>
        <w:instrText>showing</w:instrText>
      </w:r>
      <w:r w:rsidR="00A6794A" w:rsidRPr="00AA43FB">
        <w:instrText xml:space="preserve"> </w:instrText>
      </w:r>
      <w:r w:rsidR="00A6794A">
        <w:rPr>
          <w:lang w:val="en-US"/>
        </w:rPr>
        <w:instrText>that</w:instrText>
      </w:r>
      <w:r w:rsidR="00A6794A" w:rsidRPr="00AA43FB">
        <w:instrText xml:space="preserve"> </w:instrText>
      </w:r>
      <w:r w:rsidR="00A6794A">
        <w:rPr>
          <w:lang w:val="en-US"/>
        </w:rPr>
        <w:instrText>rituximab</w:instrText>
      </w:r>
      <w:r w:rsidR="00A6794A" w:rsidRPr="00AA43FB">
        <w:instrText xml:space="preserve"> </w:instrText>
      </w:r>
      <w:r w:rsidR="00A6794A">
        <w:rPr>
          <w:lang w:val="en-US"/>
        </w:rPr>
        <w:instrText>SC</w:instrText>
      </w:r>
      <w:r w:rsidR="00A6794A" w:rsidRPr="00AA43FB">
        <w:instrText xml:space="preserve"> </w:instrText>
      </w:r>
      <w:r w:rsidR="00A6794A">
        <w:rPr>
          <w:lang w:val="en-US"/>
        </w:rPr>
        <w:instrText>allows</w:instrText>
      </w:r>
      <w:r w:rsidR="00A6794A" w:rsidRPr="00AA43FB">
        <w:instrText xml:space="preserve"> </w:instrText>
      </w:r>
      <w:r w:rsidR="00A6794A">
        <w:rPr>
          <w:lang w:val="en-US"/>
        </w:rPr>
        <w:instrText>for</w:instrText>
      </w:r>
      <w:r w:rsidR="00A6794A" w:rsidRPr="00AA43FB">
        <w:instrText xml:space="preserve"> </w:instrText>
      </w:r>
      <w:r w:rsidR="00A6794A">
        <w:rPr>
          <w:lang w:val="en-US"/>
        </w:rPr>
        <w:instrText>simplified</w:instrText>
      </w:r>
      <w:r w:rsidR="00A6794A" w:rsidRPr="00AA43FB">
        <w:instrText xml:space="preserve"> </w:instrText>
      </w:r>
      <w:r w:rsidR="00A6794A">
        <w:rPr>
          <w:lang w:val="en-US"/>
        </w:rPr>
        <w:instrText>and</w:instrText>
      </w:r>
      <w:r w:rsidR="00A6794A" w:rsidRPr="00AA43FB">
        <w:instrText xml:space="preserve"> </w:instrText>
      </w:r>
      <w:r w:rsidR="00A6794A">
        <w:rPr>
          <w:lang w:val="en-US"/>
        </w:rPr>
        <w:instrText>shortened</w:instrText>
      </w:r>
      <w:r w:rsidR="00A6794A" w:rsidRPr="00AA43FB">
        <w:instrText xml:space="preserve"> </w:instrText>
      </w:r>
      <w:r w:rsidR="00A6794A">
        <w:rPr>
          <w:lang w:val="en-US"/>
        </w:rPr>
        <w:instrText>drug</w:instrText>
      </w:r>
      <w:r w:rsidR="00A6794A" w:rsidRPr="00AA43FB">
        <w:instrText xml:space="preserve"> </w:instrText>
      </w:r>
      <w:r w:rsidR="00A6794A">
        <w:rPr>
          <w:lang w:val="en-US"/>
        </w:rPr>
        <w:instrText>preparation</w:instrText>
      </w:r>
      <w:r w:rsidR="00A6794A" w:rsidRPr="00AA43FB">
        <w:instrText xml:space="preserve"> </w:instrText>
      </w:r>
      <w:r w:rsidR="00A6794A">
        <w:rPr>
          <w:lang w:val="en-US"/>
        </w:rPr>
        <w:instrText>and</w:instrText>
      </w:r>
      <w:r w:rsidR="00A6794A" w:rsidRPr="00AA43FB">
        <w:instrText xml:space="preserve"> </w:instrText>
      </w:r>
      <w:r w:rsidR="00A6794A">
        <w:rPr>
          <w:lang w:val="en-US"/>
        </w:rPr>
        <w:instrText>administration</w:instrText>
      </w:r>
      <w:r w:rsidR="00A6794A" w:rsidRPr="00AA43FB">
        <w:instrText xml:space="preserve"> </w:instrText>
      </w:r>
      <w:r w:rsidR="00A6794A">
        <w:rPr>
          <w:lang w:val="en-US"/>
        </w:rPr>
        <w:instrText>times</w:instrText>
      </w:r>
      <w:r w:rsidR="00A6794A" w:rsidRPr="00AA43FB">
        <w:instrText xml:space="preserve"> </w:instrText>
      </w:r>
      <w:r w:rsidR="00A6794A">
        <w:rPr>
          <w:lang w:val="en-US"/>
        </w:rPr>
        <w:instrText>resulting</w:instrText>
      </w:r>
      <w:r w:rsidR="00A6794A" w:rsidRPr="00AA43FB">
        <w:instrText xml:space="preserve"> </w:instrText>
      </w:r>
      <w:r w:rsidR="00A6794A">
        <w:rPr>
          <w:lang w:val="en-US"/>
        </w:rPr>
        <w:instrText>in</w:instrText>
      </w:r>
      <w:r w:rsidR="00A6794A" w:rsidRPr="00AA43FB">
        <w:instrText xml:space="preserve"> </w:instrText>
      </w:r>
      <w:r w:rsidR="00A6794A">
        <w:rPr>
          <w:lang w:val="en-US"/>
        </w:rPr>
        <w:instrText>a</w:instrText>
      </w:r>
      <w:r w:rsidR="00A6794A" w:rsidRPr="00AA43FB">
        <w:instrText xml:space="preserve"> </w:instrText>
      </w:r>
      <w:r w:rsidR="00A6794A">
        <w:rPr>
          <w:lang w:val="en-US"/>
        </w:rPr>
        <w:instrText>reduced</w:instrText>
      </w:r>
      <w:r w:rsidR="00A6794A" w:rsidRPr="00AA43FB">
        <w:instrText xml:space="preserve"> </w:instrText>
      </w:r>
      <w:r w:rsidR="00A6794A">
        <w:rPr>
          <w:lang w:val="en-US"/>
        </w:rPr>
        <w:instrText>treatment</w:instrText>
      </w:r>
      <w:r w:rsidR="00A6794A" w:rsidRPr="00AA43FB">
        <w:instrText xml:space="preserve"> </w:instrText>
      </w:r>
      <w:r w:rsidR="00A6794A">
        <w:rPr>
          <w:lang w:val="en-US"/>
        </w:rPr>
        <w:instrText>burden</w:instrText>
      </w:r>
      <w:r w:rsidR="00A6794A" w:rsidRPr="00AA43FB">
        <w:instrText xml:space="preserve"> </w:instrText>
      </w:r>
      <w:r w:rsidR="00A6794A">
        <w:rPr>
          <w:lang w:val="en-US"/>
        </w:rPr>
        <w:instrText>for</w:instrText>
      </w:r>
      <w:r w:rsidR="00A6794A" w:rsidRPr="00AA43FB">
        <w:instrText xml:space="preserve"> </w:instrText>
      </w:r>
      <w:r w:rsidR="00A6794A">
        <w:rPr>
          <w:lang w:val="en-US"/>
        </w:rPr>
        <w:instrText>patients</w:instrText>
      </w:r>
      <w:r w:rsidR="00A6794A" w:rsidRPr="00AA43FB">
        <w:instrText xml:space="preserve"> </w:instrText>
      </w:r>
      <w:r w:rsidR="00A6794A">
        <w:rPr>
          <w:lang w:val="en-US"/>
        </w:rPr>
        <w:instrText>as</w:instrText>
      </w:r>
      <w:r w:rsidR="00A6794A" w:rsidRPr="00AA43FB">
        <w:instrText xml:space="preserve"> </w:instrText>
      </w:r>
      <w:r w:rsidR="00A6794A">
        <w:rPr>
          <w:lang w:val="en-US"/>
        </w:rPr>
        <w:instrText>well</w:instrText>
      </w:r>
      <w:r w:rsidR="00A6794A" w:rsidRPr="00AA43FB">
        <w:instrText xml:space="preserve"> </w:instrText>
      </w:r>
      <w:r w:rsidR="00A6794A">
        <w:rPr>
          <w:lang w:val="en-US"/>
        </w:rPr>
        <w:instrText>as</w:instrText>
      </w:r>
      <w:r w:rsidR="00A6794A" w:rsidRPr="00AA43FB">
        <w:instrText xml:space="preserve"> </w:instrText>
      </w:r>
      <w:r w:rsidR="00A6794A">
        <w:rPr>
          <w:lang w:val="en-US"/>
        </w:rPr>
        <w:instrText>improved</w:instrText>
      </w:r>
      <w:r w:rsidR="00A6794A" w:rsidRPr="00AA43FB">
        <w:instrText xml:space="preserve"> </w:instrText>
      </w:r>
      <w:r w:rsidR="00A6794A">
        <w:rPr>
          <w:lang w:val="en-US"/>
        </w:rPr>
        <w:instrText>resource</w:instrText>
      </w:r>
      <w:r w:rsidR="00A6794A" w:rsidRPr="00AA43FB">
        <w:instrText xml:space="preserve"> </w:instrText>
      </w:r>
      <w:r w:rsidR="00A6794A">
        <w:rPr>
          <w:lang w:val="en-US"/>
        </w:rPr>
        <w:instrText>utilization</w:instrText>
      </w:r>
      <w:r w:rsidR="00A6794A" w:rsidRPr="00AA43FB">
        <w:instrText xml:space="preserve"> (</w:instrText>
      </w:r>
      <w:r w:rsidR="00A6794A">
        <w:rPr>
          <w:lang w:val="en-US"/>
        </w:rPr>
        <w:instrText>efficiency</w:instrText>
      </w:r>
      <w:r w:rsidR="00A6794A" w:rsidRPr="00AA43FB">
        <w:instrText xml:space="preserve">) </w:instrText>
      </w:r>
      <w:r w:rsidR="00A6794A">
        <w:rPr>
          <w:lang w:val="en-US"/>
        </w:rPr>
        <w:instrText>at</w:instrText>
      </w:r>
      <w:r w:rsidR="00A6794A" w:rsidRPr="00AA43FB">
        <w:instrText xml:space="preserve"> </w:instrText>
      </w:r>
      <w:r w:rsidR="00A6794A">
        <w:rPr>
          <w:lang w:val="en-US"/>
        </w:rPr>
        <w:instrText>the</w:instrText>
      </w:r>
      <w:r w:rsidR="00A6794A" w:rsidRPr="00AA43FB">
        <w:instrText xml:space="preserve"> </w:instrText>
      </w:r>
      <w:r w:rsidR="00A6794A">
        <w:rPr>
          <w:lang w:val="en-US"/>
        </w:rPr>
        <w:instrText>treatment</w:instrText>
      </w:r>
      <w:r w:rsidR="00A6794A" w:rsidRPr="00AA43FB">
        <w:instrText xml:space="preserve"> </w:instrText>
      </w:r>
      <w:r w:rsidR="00A6794A">
        <w:rPr>
          <w:lang w:val="en-US"/>
        </w:rPr>
        <w:instrText>facility</w:instrText>
      </w:r>
      <w:r w:rsidR="00A6794A" w:rsidRPr="00AA43FB">
        <w:instrText xml:space="preserve">. </w:instrText>
      </w:r>
      <w:r w:rsidR="00A6794A">
        <w:rPr>
          <w:lang w:val="en-US"/>
        </w:rPr>
        <w:instrText>The</w:instrText>
      </w:r>
      <w:r w:rsidR="00A6794A" w:rsidRPr="00AA43FB">
        <w:instrText xml:space="preserve"> </w:instrText>
      </w:r>
      <w:r w:rsidR="00A6794A">
        <w:rPr>
          <w:lang w:val="en-US"/>
        </w:rPr>
        <w:instrText>improved</w:instrText>
      </w:r>
      <w:r w:rsidR="00A6794A" w:rsidRPr="00AA43FB">
        <w:instrText xml:space="preserve"> </w:instrText>
      </w:r>
      <w:r w:rsidR="00A6794A">
        <w:rPr>
          <w:lang w:val="en-US"/>
        </w:rPr>
        <w:instrText>efficiency</w:instrText>
      </w:r>
      <w:r w:rsidR="00A6794A" w:rsidRPr="00AA43FB">
        <w:instrText xml:space="preserve"> </w:instrText>
      </w:r>
      <w:r w:rsidR="00A6794A">
        <w:rPr>
          <w:lang w:val="en-US"/>
        </w:rPr>
        <w:instrText>of</w:instrText>
      </w:r>
      <w:r w:rsidR="00A6794A" w:rsidRPr="00AA43FB">
        <w:instrText xml:space="preserve"> </w:instrText>
      </w:r>
      <w:r w:rsidR="00A6794A">
        <w:rPr>
          <w:lang w:val="en-US"/>
        </w:rPr>
        <w:instrText>delivering</w:instrText>
      </w:r>
      <w:r w:rsidR="00A6794A" w:rsidRPr="00AA43FB">
        <w:instrText xml:space="preserve"> </w:instrText>
      </w:r>
      <w:r w:rsidR="00A6794A">
        <w:rPr>
          <w:lang w:val="en-US"/>
        </w:rPr>
        <w:instrText>rituximab</w:instrText>
      </w:r>
      <w:r w:rsidR="00A6794A" w:rsidRPr="00AA43FB">
        <w:instrText>’</w:instrText>
      </w:r>
      <w:r w:rsidR="00A6794A">
        <w:rPr>
          <w:lang w:val="en-US"/>
        </w:rPr>
        <w:instrText>s</w:instrText>
      </w:r>
      <w:r w:rsidR="00A6794A" w:rsidRPr="00AA43FB">
        <w:instrText xml:space="preserve"> </w:instrText>
      </w:r>
      <w:r w:rsidR="00A6794A">
        <w:rPr>
          <w:lang w:val="en-US"/>
        </w:rPr>
        <w:instrText>benefit</w:instrText>
      </w:r>
      <w:r w:rsidR="00A6794A" w:rsidRPr="00AA43FB">
        <w:instrText xml:space="preserve"> </w:instrText>
      </w:r>
      <w:r w:rsidR="00A6794A">
        <w:rPr>
          <w:lang w:val="en-US"/>
        </w:rPr>
        <w:instrText>to</w:instrText>
      </w:r>
      <w:r w:rsidR="00A6794A" w:rsidRPr="00AA43FB">
        <w:instrText xml:space="preserve"> </w:instrText>
      </w:r>
      <w:r w:rsidR="00A6794A">
        <w:rPr>
          <w:lang w:val="en-US"/>
        </w:rPr>
        <w:instrText>patients</w:instrText>
      </w:r>
      <w:r w:rsidR="00A6794A" w:rsidRPr="00AA43FB">
        <w:instrText xml:space="preserve"> </w:instrText>
      </w:r>
      <w:r w:rsidR="00A6794A">
        <w:rPr>
          <w:lang w:val="en-US"/>
        </w:rPr>
        <w:instrText>may</w:instrText>
      </w:r>
      <w:r w:rsidR="00A6794A" w:rsidRPr="00AA43FB">
        <w:instrText xml:space="preserve"> </w:instrText>
      </w:r>
      <w:r w:rsidR="00A6794A">
        <w:rPr>
          <w:lang w:val="en-US"/>
        </w:rPr>
        <w:instrText>broaden</w:instrText>
      </w:r>
      <w:r w:rsidR="00A6794A" w:rsidRPr="00AA43FB">
        <w:instrText xml:space="preserve"> </w:instrText>
      </w:r>
      <w:r w:rsidR="00A6794A">
        <w:rPr>
          <w:lang w:val="en-US"/>
        </w:rPr>
        <w:instrText>patient</w:instrText>
      </w:r>
      <w:r w:rsidR="00A6794A" w:rsidRPr="00AA43FB">
        <w:instrText xml:space="preserve"> </w:instrText>
      </w:r>
      <w:r w:rsidR="00A6794A">
        <w:rPr>
          <w:lang w:val="en-US"/>
        </w:rPr>
        <w:instrText>access</w:instrText>
      </w:r>
      <w:r w:rsidR="00A6794A" w:rsidRPr="00AA43FB">
        <w:instrText xml:space="preserve"> </w:instrText>
      </w:r>
      <w:r w:rsidR="00A6794A">
        <w:rPr>
          <w:lang w:val="en-US"/>
        </w:rPr>
        <w:instrText>to</w:instrText>
      </w:r>
      <w:r w:rsidR="00A6794A" w:rsidRPr="00AA43FB">
        <w:instrText xml:space="preserve"> </w:instrText>
      </w:r>
      <w:r w:rsidR="00A6794A">
        <w:rPr>
          <w:lang w:val="en-US"/>
        </w:rPr>
        <w:instrText>rituximab</w:instrText>
      </w:r>
      <w:r w:rsidR="00A6794A" w:rsidRPr="00AA43FB">
        <w:instrText xml:space="preserve"> </w:instrText>
      </w:r>
      <w:r w:rsidR="00A6794A">
        <w:rPr>
          <w:lang w:val="en-US"/>
        </w:rPr>
        <w:instrText>therapy</w:instrText>
      </w:r>
      <w:r w:rsidR="00A6794A" w:rsidRPr="00AA43FB">
        <w:instrText xml:space="preserve"> </w:instrText>
      </w:r>
      <w:r w:rsidR="00A6794A">
        <w:rPr>
          <w:lang w:val="en-US"/>
        </w:rPr>
        <w:instrText>in areas with low levels of healthcare resources, including IV-chair capacity constraints. This article is a companion paper to G. Salles, et al., which is also published in this issue. Funding: F. Hoffmann-La Roche Ltd.","author":[{"dropping-particle":"","family":"Davies","given":"Andrew","non-dropping-particle":"","parse-names":false,"suffix":""},{"dropping-particle":"","family":"Berge","given":"Claude","non-dropping-particle":"","parse-names":false,"suffix":""},{"dropping-particle":"","family":"Boehnke","given":"Axel","non-dropping-particle":"","parse-names":false,"suffix":""},{"dropping-particle":"","family":"Dadabhoy","given":"Anjum","non-dropping-particle":"","parse-names":false,"suffix":""},{"dropping-particle":"","family":"Lugtenburg","given":"Pieternella","non-dropping-particle":"","parse-names":false,"suffix":""},{"dropping-particle":"","family":"Rule","given":"Simon","non-dropping-particle":"","parse-names":false,"suffix":""},{"dropping-particle":"","family":"Rummel","given":"Mathias","non-dropping-particle":"","parse-names":false,"suffix":""},{"dropping-particle":"","family":"McIntyre","given":"Christine","non-dropping-particle":"","parse-names":false,"suffix":""},{"dropping-particle":"","family":"Smith","given":"Rodney","non-dropping-particle":"","parse-names":false,"suffix":""},{"dropping-particle":"","family":"Badoux","given":"Xavier","non-dropping-particle":"","parse-names":false,"suffix":""}],"container-title":"Advances in Therapy","id":"ITEM-2","issue":"10","issued":{"date-parts":[["2017","10","1"]]},"page":"2210-2231","publisher":"Springer Healthcare","title":"Subcutaneous Rituximab for the Treatment of B-Cell Hematologic Malignancies: A Review of the Scientific Rationale and Clinical Development","type":"article","volume":"34"},"uris":["http://www.mendeley.com/documents/?uuid=c91e99c4-7e72-3803-909e-84f3e662a6e0"]},{"id":"ITEM-3","itemData":{"DOI":"10.1111/bjh.16227","ISSN":"0007-1048","abstract":"Rituximab is a standard treatment for non-Hodgkin diffuse large B-cell (DLBCL) and follicular (FL) lymphomas. A subcutaneous formulation was developed to improve the resource use of intravenous rituximab, with comparable efficacy and safety profiles except for increased administration-related reactions (ARRs). MabRella was a phase IIIb trial to assess the safety of switching from intravenous to subcutaneous administration of rituximab during first-line induction/maintenance for DLBCL or FL, focusing on ARRs. Efficacy, satisfaction and quality of life were also assessed. Patients received subcutaneous rituximab plus standard induction chemotherapy for DLBCL or FL for 4–7 cycles, and/or every 2 months maintenance monotherapy for FL for 6–12 cycles. The study included 140 patients: DLBCL, n = 29; FL, n = 111. Ninety-five percent of patients experienced adverse events, reaching grade ≥3 in 38·6% and were serious in 30·0%. AARs occurred in 48·6%, mostly (84·9%) at the injection site, with only 2·1% of patients reaching grade 3. The end-of-induction complete/unconfirmed complete response rate was 69·6%. After a median follow-up of 33·5 months, median disease-/event-/progression-free and overall survivals were not attained. The Rituximab Administration Satisfaction Questionnaire showed improvements in overall satisfaction and the EuroQoL-5D a good quality-of-life perception at induction/maintenance end. Therefore, switching to subcutaneous rituximab showed no new safety issues and maintained efficacy with improved satisfaction and quality of life.","author":[{"dropping-particle":"","family":"García‐Muñoz","given":"Ricardo","non-dropping-particle":"","parse-names":false,"suffix":""},{"dropping-particle":"","family":"Quero","given":"Cristina","non-dropping-particle":"","parse-names":false,"suffix":""},{"dropping-particle":"","family":"Pérez‐Persona","given":"Ernesto","non-dropping-particle":"","parse-names":false,"suffix":""},{"dropping-particle":"","family":"Domingo‐García","given":"Abel","non-dropping-particle":"","parse-names":false,"suffix":""},{"dropping-particle":"","family":"Pérez‐López","given":"Cristina","non-dropping-particle":"","parse-names":false,"suffix":""},{"dropping-particle":"","family":"Villaescusa‐de‐la‐Rosa","given":"Teresa","non-dropping-particle":"","parse-names":false,"suffix":""},{"dropping-particle":"","family":"Martínez‐Castro","given":"Ana M.","non-dropping-particle":"","parse-names":false,"suffix":""},{"dropping-particle":"","family":"Arguiñano‐Pérez","given":"José M.","non-dropping-particle":"","parse-names":false,"suffix":""},{"dropping-particle":"","family":"Parra‐Cuadrado","given":"Juan F.","non-dropping-particle":"","parse-names":false,"suffix":""},{"dropping-particle":"","family":"Panizo","given":"Carlos","non-dropping-particle":"","parse-names":false,"suffix":""}],"container-title":"British Journal of Haematology","id":"ITEM-3","issue":"5","issued":{"date-parts":[["2020","3","1"]]},"page":"661-673","publisher":"Blackwell Publishing Ltd","title":"Safety of switching from intravenous to subcutaneous rituximab during first‐line treatment of patients with non‐Hodgkin lymphoma: the Spanish population of the MabRella study","type":"article-journal","volume":"188"},"uris":["http://www.mendeley.com/documents/?uuid=89ca4d25-771e-3d22-9da5-61e99fb5ec3e"]},{"id":"ITEM-4","itemData":{"DOI":"10.3747/co.24.3470","ISSN":"17187729","abstract":"Rituximab is widely used for the treatment of non-Hodgkin lymphoma, being a key component in most therapeutic regimens. Administration of the intravenous (IV) formulation is lengthy and places a significant burden on health care resources and patient quality of life. A subcutaneous (sc) formulation that provides a fixed dose of rituximab is being examined in a number of studies. Results indicate that the pharmacokinetics are noninferior and response rates are comparable to those obtained with the IV formulation. Moreover, the sc formulation is preferred by patients and health care providers and reduces administration and chair time. Additional advantages include a lesser potential for dosing errors, shorter preparation time, reduced drug wastage, and fewer infusion-related reactions. Despite the success of the sc formulation</w:instrText>
      </w:r>
      <w:r w:rsidR="00A6794A" w:rsidRPr="00D3550C">
        <w:instrText xml:space="preserve">, </w:instrText>
      </w:r>
      <w:r w:rsidR="00A6794A">
        <w:rPr>
          <w:lang w:val="en-US"/>
        </w:rPr>
        <w:instrText>correct</w:instrText>
      </w:r>
      <w:r w:rsidR="00A6794A" w:rsidRPr="00D3550C">
        <w:instrText xml:space="preserve"> </w:instrText>
      </w:r>
      <w:r w:rsidR="00A6794A">
        <w:rPr>
          <w:lang w:val="en-US"/>
        </w:rPr>
        <w:instrText>administration</w:instrText>
      </w:r>
      <w:r w:rsidR="00A6794A" w:rsidRPr="00D3550C">
        <w:instrText xml:space="preserve"> </w:instrText>
      </w:r>
      <w:r w:rsidR="00A6794A">
        <w:rPr>
          <w:lang w:val="en-US"/>
        </w:rPr>
        <w:instrText>is</w:instrText>
      </w:r>
      <w:r w:rsidR="00A6794A" w:rsidRPr="00D3550C">
        <w:instrText xml:space="preserve"> </w:instrText>
      </w:r>
      <w:r w:rsidR="00A6794A">
        <w:rPr>
          <w:lang w:val="en-US"/>
        </w:rPr>
        <w:instrText>needed</w:instrText>
      </w:r>
      <w:r w:rsidR="00A6794A" w:rsidRPr="00D3550C">
        <w:instrText xml:space="preserve"> </w:instrText>
      </w:r>
      <w:r w:rsidR="00A6794A">
        <w:rPr>
          <w:lang w:val="en-US"/>
        </w:rPr>
        <w:instrText>to</w:instrText>
      </w:r>
      <w:r w:rsidR="00A6794A" w:rsidRPr="00D3550C">
        <w:instrText xml:space="preserve"> </w:instrText>
      </w:r>
      <w:r w:rsidR="00A6794A">
        <w:rPr>
          <w:lang w:val="en-US"/>
        </w:rPr>
        <w:instrText>reduce</w:instrText>
      </w:r>
      <w:r w:rsidR="00A6794A" w:rsidRPr="00D3550C">
        <w:instrText xml:space="preserve"> </w:instrText>
      </w:r>
      <w:r w:rsidR="00A6794A">
        <w:rPr>
          <w:lang w:val="en-US"/>
        </w:rPr>
        <w:instrText>administration</w:instrText>
      </w:r>
      <w:r w:rsidR="00A6794A" w:rsidRPr="00D3550C">
        <w:instrText>-</w:instrText>
      </w:r>
      <w:r w:rsidR="00A6794A">
        <w:rPr>
          <w:lang w:val="en-US"/>
        </w:rPr>
        <w:instrText>related</w:instrText>
      </w:r>
      <w:r w:rsidR="00A6794A" w:rsidRPr="00D3550C">
        <w:instrText xml:space="preserve"> </w:instrText>
      </w:r>
      <w:r w:rsidR="00A6794A">
        <w:rPr>
          <w:lang w:val="en-US"/>
        </w:rPr>
        <w:instrText>reactions</w:instrText>
      </w:r>
      <w:r w:rsidR="00A6794A" w:rsidRPr="00D3550C">
        <w:instrText xml:space="preserve">. </w:instrText>
      </w:r>
      <w:r w:rsidR="00A6794A">
        <w:rPr>
          <w:lang w:val="en-US"/>
        </w:rPr>
        <w:instrText>By</w:instrText>
      </w:r>
      <w:r w:rsidR="00A6794A" w:rsidRPr="00D3550C">
        <w:instrText xml:space="preserve"> </w:instrText>
      </w:r>
      <w:r w:rsidR="00A6794A">
        <w:rPr>
          <w:lang w:val="en-US"/>
        </w:rPr>
        <w:instrText>using</w:instrText>
      </w:r>
      <w:r w:rsidR="00A6794A" w:rsidRPr="00D3550C">
        <w:instrText xml:space="preserve"> </w:instrText>
      </w:r>
      <w:r w:rsidR="00A6794A">
        <w:rPr>
          <w:lang w:val="en-US"/>
        </w:rPr>
        <w:instrText>a</w:instrText>
      </w:r>
      <w:r w:rsidR="00A6794A" w:rsidRPr="00D3550C">
        <w:instrText xml:space="preserve"> </w:instrText>
      </w:r>
      <w:r w:rsidR="00A6794A">
        <w:rPr>
          <w:lang w:val="en-US"/>
        </w:rPr>
        <w:instrText>careful</w:instrText>
      </w:r>
      <w:r w:rsidR="00A6794A" w:rsidRPr="00D3550C">
        <w:instrText xml:space="preserve"> </w:instrText>
      </w:r>
      <w:r w:rsidR="00A6794A">
        <w:rPr>
          <w:lang w:val="en-US"/>
        </w:rPr>
        <w:instrText>procedure</w:instrText>
      </w:r>
      <w:r w:rsidR="00A6794A" w:rsidRPr="00D3550C">
        <w:instrText xml:space="preserve">, </w:instrText>
      </w:r>
      <w:r w:rsidR="00A6794A">
        <w:rPr>
          <w:lang w:val="en-US"/>
        </w:rPr>
        <w:instrText>the</w:instrText>
      </w:r>
      <w:r w:rsidR="00A6794A" w:rsidRPr="00D3550C">
        <w:instrText xml:space="preserve"> </w:instrText>
      </w:r>
      <w:r w:rsidR="00A6794A">
        <w:rPr>
          <w:lang w:val="en-US"/>
        </w:rPr>
        <w:instrText>sc</w:instrText>
      </w:r>
      <w:r w:rsidR="00A6794A" w:rsidRPr="00D3550C">
        <w:instrText xml:space="preserve"> </w:instrText>
      </w:r>
      <w:r w:rsidR="00A6794A">
        <w:rPr>
          <w:lang w:val="en-US"/>
        </w:rPr>
        <w:instrText>formulation</w:instrText>
      </w:r>
      <w:r w:rsidR="00A6794A" w:rsidRPr="00D3550C">
        <w:instrText xml:space="preserve"> </w:instrText>
      </w:r>
      <w:r w:rsidR="00A6794A">
        <w:rPr>
          <w:lang w:val="en-US"/>
        </w:rPr>
        <w:instrText>can</w:instrText>
      </w:r>
      <w:r w:rsidR="00A6794A" w:rsidRPr="00D3550C">
        <w:instrText xml:space="preserve"> </w:instrText>
      </w:r>
      <w:r w:rsidR="00A6794A">
        <w:rPr>
          <w:lang w:val="en-US"/>
        </w:rPr>
        <w:instrText>be</w:instrText>
      </w:r>
      <w:r w:rsidR="00A6794A" w:rsidRPr="00D3550C">
        <w:instrText xml:space="preserve"> </w:instrText>
      </w:r>
      <w:r w:rsidR="00A6794A">
        <w:rPr>
          <w:lang w:val="en-US"/>
        </w:rPr>
        <w:instrText>given</w:instrText>
      </w:r>
      <w:r w:rsidR="00A6794A" w:rsidRPr="00D3550C">
        <w:instrText xml:space="preserve"> </w:instrText>
      </w:r>
      <w:r w:rsidR="00A6794A">
        <w:rPr>
          <w:lang w:val="en-US"/>
        </w:rPr>
        <w:instrText>safely</w:instrText>
      </w:r>
      <w:r w:rsidR="00A6794A" w:rsidRPr="00D3550C">
        <w:instrText xml:space="preserve"> </w:instrText>
      </w:r>
      <w:r w:rsidR="00A6794A">
        <w:rPr>
          <w:lang w:val="en-US"/>
        </w:rPr>
        <w:instrText>and</w:instrText>
      </w:r>
      <w:r w:rsidR="00A6794A" w:rsidRPr="00D3550C">
        <w:instrText xml:space="preserve"> </w:instrText>
      </w:r>
      <w:r w:rsidR="00A6794A">
        <w:rPr>
          <w:lang w:val="en-US"/>
        </w:rPr>
        <w:instrText>effectively</w:instrText>
      </w:r>
      <w:r w:rsidR="00A6794A" w:rsidRPr="00D3550C">
        <w:instrText xml:space="preserve">, </w:instrText>
      </w:r>
      <w:r w:rsidR="00A6794A">
        <w:rPr>
          <w:lang w:val="en-US"/>
        </w:rPr>
        <w:instrText>potentially</w:instrText>
      </w:r>
      <w:r w:rsidR="00A6794A" w:rsidRPr="00D3550C">
        <w:instrText xml:space="preserve"> </w:instrText>
      </w:r>
      <w:r w:rsidR="00A6794A">
        <w:rPr>
          <w:lang w:val="en-US"/>
        </w:rPr>
        <w:instrText>reducing</w:instrText>
      </w:r>
      <w:r w:rsidR="00A6794A" w:rsidRPr="00D3550C">
        <w:instrText xml:space="preserve"> </w:instrText>
      </w:r>
      <w:r w:rsidR="00A6794A">
        <w:rPr>
          <w:lang w:val="en-US"/>
        </w:rPr>
        <w:instrText>the</w:instrText>
      </w:r>
      <w:r w:rsidR="00A6794A" w:rsidRPr="00D3550C">
        <w:instrText xml:space="preserve"> </w:instrText>
      </w:r>
      <w:r w:rsidR="00A6794A">
        <w:rPr>
          <w:lang w:val="en-US"/>
        </w:rPr>
        <w:instrText>burden</w:instrText>
      </w:r>
      <w:r w:rsidR="00A6794A" w:rsidRPr="00D3550C">
        <w:instrText xml:space="preserve"> </w:instrText>
      </w:r>
      <w:r w:rsidR="00A6794A">
        <w:rPr>
          <w:lang w:val="en-US"/>
        </w:rPr>
        <w:instrText>on</w:instrText>
      </w:r>
      <w:r w:rsidR="00A6794A" w:rsidRPr="00D3550C">
        <w:instrText xml:space="preserve"> </w:instrText>
      </w:r>
      <w:r w:rsidR="00A6794A">
        <w:rPr>
          <w:lang w:val="en-US"/>
        </w:rPr>
        <w:instrText>health</w:instrText>
      </w:r>
      <w:r w:rsidR="00A6794A" w:rsidRPr="00D3550C">
        <w:instrText xml:space="preserve"> </w:instrText>
      </w:r>
      <w:r w:rsidR="00A6794A">
        <w:rPr>
          <w:lang w:val="en-US"/>
        </w:rPr>
        <w:instrText>care</w:instrText>
      </w:r>
      <w:r w:rsidR="00A6794A" w:rsidRPr="00D3550C">
        <w:instrText xml:space="preserve"> </w:instrText>
      </w:r>
      <w:r w:rsidR="00A6794A">
        <w:rPr>
          <w:lang w:val="en-US"/>
        </w:rPr>
        <w:instrText>resources</w:instrText>
      </w:r>
      <w:r w:rsidR="00A6794A" w:rsidRPr="00D3550C">
        <w:instrText xml:space="preserve"> </w:instrText>
      </w:r>
      <w:r w:rsidR="00A6794A">
        <w:rPr>
          <w:lang w:val="en-US"/>
        </w:rPr>
        <w:instrText>and</w:instrText>
      </w:r>
      <w:r w:rsidR="00A6794A" w:rsidRPr="00D3550C">
        <w:instrText xml:space="preserve"> </w:instrText>
      </w:r>
      <w:r w:rsidR="00A6794A">
        <w:rPr>
          <w:lang w:val="en-US"/>
        </w:rPr>
        <w:instrText>improving</w:instrText>
      </w:r>
      <w:r w:rsidR="00A6794A" w:rsidRPr="00D3550C">
        <w:instrText xml:space="preserve"> </w:instrText>
      </w:r>
      <w:r w:rsidR="00A6794A">
        <w:rPr>
          <w:lang w:val="en-US"/>
        </w:rPr>
        <w:instrText>quality</w:instrText>
      </w:r>
      <w:r w:rsidR="00A6794A" w:rsidRPr="00D3550C">
        <w:instrText xml:space="preserve"> </w:instrText>
      </w:r>
      <w:r w:rsidR="00A6794A">
        <w:rPr>
          <w:lang w:val="en-US"/>
        </w:rPr>
        <w:instrText>of</w:instrText>
      </w:r>
      <w:r w:rsidR="00A6794A" w:rsidRPr="00D3550C">
        <w:instrText xml:space="preserve"> </w:instrText>
      </w:r>
      <w:r w:rsidR="00A6794A">
        <w:rPr>
          <w:lang w:val="en-US"/>
        </w:rPr>
        <w:instrText>life</w:instrText>
      </w:r>
      <w:r w:rsidR="00A6794A" w:rsidRPr="00D3550C">
        <w:instrText xml:space="preserve"> </w:instrText>
      </w:r>
      <w:r w:rsidR="00A6794A">
        <w:rPr>
          <w:lang w:val="en-US"/>
        </w:rPr>
        <w:instrText>for</w:instrText>
      </w:r>
      <w:r w:rsidR="00A6794A" w:rsidRPr="00D3550C">
        <w:instrText xml:space="preserve"> </w:instrText>
      </w:r>
      <w:r w:rsidR="00A6794A">
        <w:rPr>
          <w:lang w:val="en-US"/>
        </w:rPr>
        <w:instrText>patients</w:instrText>
      </w:r>
      <w:r w:rsidR="00A6794A" w:rsidRPr="00D3550C">
        <w:instrText>.","</w:instrText>
      </w:r>
      <w:r w:rsidR="00A6794A">
        <w:rPr>
          <w:lang w:val="en-US"/>
        </w:rPr>
        <w:instrText>author</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family</w:instrText>
      </w:r>
      <w:r w:rsidR="00A6794A" w:rsidRPr="00D3550C">
        <w:instrText>":"</w:instrText>
      </w:r>
      <w:r w:rsidR="00A6794A">
        <w:rPr>
          <w:lang w:val="en-US"/>
        </w:rPr>
        <w:instrText>Macdonald</w:instrText>
      </w:r>
      <w:r w:rsidR="00A6794A" w:rsidRPr="00D3550C">
        <w:instrText>","</w:instrText>
      </w:r>
      <w:r w:rsidR="00A6794A">
        <w:rPr>
          <w:lang w:val="en-US"/>
        </w:rPr>
        <w:instrText>given</w:instrText>
      </w:r>
      <w:r w:rsidR="00A6794A" w:rsidRPr="00D3550C">
        <w:instrText>":"</w:instrText>
      </w:r>
      <w:r w:rsidR="00A6794A">
        <w:rPr>
          <w:lang w:val="en-US"/>
        </w:rPr>
        <w:instrText>David</w:instrText>
      </w:r>
      <w:r w:rsidR="00A6794A" w:rsidRPr="00D3550C">
        <w:instrText>","</w:instrText>
      </w:r>
      <w:r w:rsidR="00A6794A">
        <w:rPr>
          <w:lang w:val="en-US"/>
        </w:rPr>
        <w:instrText>non</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parse</w:instrText>
      </w:r>
      <w:r w:rsidR="00A6794A" w:rsidRPr="00D3550C">
        <w:instrText>-</w:instrText>
      </w:r>
      <w:r w:rsidR="00A6794A">
        <w:rPr>
          <w:lang w:val="en-US"/>
        </w:rPr>
        <w:instrText>names</w:instrText>
      </w:r>
      <w:r w:rsidR="00A6794A" w:rsidRPr="00D3550C">
        <w:instrText>":</w:instrText>
      </w:r>
      <w:r w:rsidR="00A6794A">
        <w:rPr>
          <w:lang w:val="en-US"/>
        </w:rPr>
        <w:instrText>false</w:instrText>
      </w:r>
      <w:r w:rsidR="00A6794A" w:rsidRPr="00D3550C">
        <w:instrText>,"</w:instrText>
      </w:r>
      <w:r w:rsidR="00A6794A">
        <w:rPr>
          <w:lang w:val="en-US"/>
        </w:rPr>
        <w:instrText>suffix</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family</w:instrText>
      </w:r>
      <w:r w:rsidR="00A6794A" w:rsidRPr="00D3550C">
        <w:instrText>":"</w:instrText>
      </w:r>
      <w:r w:rsidR="00A6794A">
        <w:rPr>
          <w:lang w:val="en-US"/>
        </w:rPr>
        <w:instrText>Crosbie</w:instrText>
      </w:r>
      <w:r w:rsidR="00A6794A" w:rsidRPr="00D3550C">
        <w:instrText>","</w:instrText>
      </w:r>
      <w:r w:rsidR="00A6794A">
        <w:rPr>
          <w:lang w:val="en-US"/>
        </w:rPr>
        <w:instrText>given</w:instrText>
      </w:r>
      <w:r w:rsidR="00A6794A" w:rsidRPr="00D3550C">
        <w:instrText>":"</w:instrText>
      </w:r>
      <w:r w:rsidR="00A6794A">
        <w:rPr>
          <w:lang w:val="en-US"/>
        </w:rPr>
        <w:instrText>T</w:instrText>
      </w:r>
      <w:r w:rsidR="00A6794A" w:rsidRPr="00D3550C">
        <w:instrText>.","</w:instrText>
      </w:r>
      <w:r w:rsidR="00A6794A">
        <w:rPr>
          <w:lang w:val="en-US"/>
        </w:rPr>
        <w:instrText>non</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parse</w:instrText>
      </w:r>
      <w:r w:rsidR="00A6794A" w:rsidRPr="00D3550C">
        <w:instrText>-</w:instrText>
      </w:r>
      <w:r w:rsidR="00A6794A">
        <w:rPr>
          <w:lang w:val="en-US"/>
        </w:rPr>
        <w:instrText>names</w:instrText>
      </w:r>
      <w:r w:rsidR="00A6794A" w:rsidRPr="00D3550C">
        <w:instrText>":</w:instrText>
      </w:r>
      <w:r w:rsidR="00A6794A">
        <w:rPr>
          <w:lang w:val="en-US"/>
        </w:rPr>
        <w:instrText>false</w:instrText>
      </w:r>
      <w:r w:rsidR="00A6794A" w:rsidRPr="00D3550C">
        <w:instrText>,"</w:instrText>
      </w:r>
      <w:r w:rsidR="00A6794A">
        <w:rPr>
          <w:lang w:val="en-US"/>
        </w:rPr>
        <w:instrText>suffix</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family</w:instrText>
      </w:r>
      <w:r w:rsidR="00A6794A" w:rsidRPr="00D3550C">
        <w:instrText>":"</w:instrText>
      </w:r>
      <w:r w:rsidR="00A6794A">
        <w:rPr>
          <w:lang w:val="en-US"/>
        </w:rPr>
        <w:instrText>Christofides</w:instrText>
      </w:r>
      <w:r w:rsidR="00A6794A" w:rsidRPr="00D3550C">
        <w:instrText>","</w:instrText>
      </w:r>
      <w:r w:rsidR="00A6794A">
        <w:rPr>
          <w:lang w:val="en-US"/>
        </w:rPr>
        <w:instrText>given</w:instrText>
      </w:r>
      <w:r w:rsidR="00A6794A" w:rsidRPr="00D3550C">
        <w:instrText>":"</w:instrText>
      </w:r>
      <w:r w:rsidR="00A6794A">
        <w:rPr>
          <w:lang w:val="en-US"/>
        </w:rPr>
        <w:instrText>A</w:instrText>
      </w:r>
      <w:r w:rsidR="00A6794A" w:rsidRPr="00D3550C">
        <w:instrText>.","</w:instrText>
      </w:r>
      <w:r w:rsidR="00A6794A">
        <w:rPr>
          <w:lang w:val="en-US"/>
        </w:rPr>
        <w:instrText>non</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parse</w:instrText>
      </w:r>
      <w:r w:rsidR="00A6794A" w:rsidRPr="00D3550C">
        <w:instrText>-</w:instrText>
      </w:r>
      <w:r w:rsidR="00A6794A">
        <w:rPr>
          <w:lang w:val="en-US"/>
        </w:rPr>
        <w:instrText>names</w:instrText>
      </w:r>
      <w:r w:rsidR="00A6794A" w:rsidRPr="00D3550C">
        <w:instrText>":</w:instrText>
      </w:r>
      <w:r w:rsidR="00A6794A">
        <w:rPr>
          <w:lang w:val="en-US"/>
        </w:rPr>
        <w:instrText>false</w:instrText>
      </w:r>
      <w:r w:rsidR="00A6794A" w:rsidRPr="00D3550C">
        <w:instrText>,"</w:instrText>
      </w:r>
      <w:r w:rsidR="00A6794A">
        <w:rPr>
          <w:lang w:val="en-US"/>
        </w:rPr>
        <w:instrText>suffix</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family</w:instrText>
      </w:r>
      <w:r w:rsidR="00A6794A" w:rsidRPr="00D3550C">
        <w:instrText>":"</w:instrText>
      </w:r>
      <w:r w:rsidR="00A6794A">
        <w:rPr>
          <w:lang w:val="en-US"/>
        </w:rPr>
        <w:instrText>Assaily</w:instrText>
      </w:r>
      <w:r w:rsidR="00A6794A" w:rsidRPr="00D3550C">
        <w:instrText>","</w:instrText>
      </w:r>
      <w:r w:rsidR="00A6794A">
        <w:rPr>
          <w:lang w:val="en-US"/>
        </w:rPr>
        <w:instrText>given</w:instrText>
      </w:r>
      <w:r w:rsidR="00A6794A" w:rsidRPr="00D3550C">
        <w:instrText>":"</w:instrText>
      </w:r>
      <w:r w:rsidR="00A6794A">
        <w:rPr>
          <w:lang w:val="en-US"/>
        </w:rPr>
        <w:instrText>W</w:instrText>
      </w:r>
      <w:r w:rsidR="00A6794A" w:rsidRPr="00D3550C">
        <w:instrText>.","</w:instrText>
      </w:r>
      <w:r w:rsidR="00A6794A">
        <w:rPr>
          <w:lang w:val="en-US"/>
        </w:rPr>
        <w:instrText>non</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parse</w:instrText>
      </w:r>
      <w:r w:rsidR="00A6794A" w:rsidRPr="00D3550C">
        <w:instrText>-</w:instrText>
      </w:r>
      <w:r w:rsidR="00A6794A">
        <w:rPr>
          <w:lang w:val="en-US"/>
        </w:rPr>
        <w:instrText>names</w:instrText>
      </w:r>
      <w:r w:rsidR="00A6794A" w:rsidRPr="00D3550C">
        <w:instrText>":</w:instrText>
      </w:r>
      <w:r w:rsidR="00A6794A">
        <w:rPr>
          <w:lang w:val="en-US"/>
        </w:rPr>
        <w:instrText>false</w:instrText>
      </w:r>
      <w:r w:rsidR="00A6794A" w:rsidRPr="00D3550C">
        <w:instrText>,"</w:instrText>
      </w:r>
      <w:r w:rsidR="00A6794A">
        <w:rPr>
          <w:lang w:val="en-US"/>
        </w:rPr>
        <w:instrText>suffix</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family</w:instrText>
      </w:r>
      <w:r w:rsidR="00A6794A" w:rsidRPr="00D3550C">
        <w:instrText>":"</w:instrText>
      </w:r>
      <w:r w:rsidR="00A6794A">
        <w:rPr>
          <w:lang w:val="en-US"/>
        </w:rPr>
        <w:instrText>Wiernikowski</w:instrText>
      </w:r>
      <w:r w:rsidR="00A6794A" w:rsidRPr="00D3550C">
        <w:instrText>","</w:instrText>
      </w:r>
      <w:r w:rsidR="00A6794A">
        <w:rPr>
          <w:lang w:val="en-US"/>
        </w:rPr>
        <w:instrText>given</w:instrText>
      </w:r>
      <w:r w:rsidR="00A6794A" w:rsidRPr="00D3550C">
        <w:instrText>":"</w:instrText>
      </w:r>
      <w:r w:rsidR="00A6794A">
        <w:rPr>
          <w:lang w:val="en-US"/>
        </w:rPr>
        <w:instrText>J</w:instrText>
      </w:r>
      <w:r w:rsidR="00A6794A" w:rsidRPr="00D3550C">
        <w:instrText>.","</w:instrText>
      </w:r>
      <w:r w:rsidR="00A6794A">
        <w:rPr>
          <w:lang w:val="en-US"/>
        </w:rPr>
        <w:instrText>non</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parse</w:instrText>
      </w:r>
      <w:r w:rsidR="00A6794A" w:rsidRPr="00D3550C">
        <w:instrText>-</w:instrText>
      </w:r>
      <w:r w:rsidR="00A6794A">
        <w:rPr>
          <w:lang w:val="en-US"/>
        </w:rPr>
        <w:instrText>names</w:instrText>
      </w:r>
      <w:r w:rsidR="00A6794A" w:rsidRPr="00D3550C">
        <w:instrText>":</w:instrText>
      </w:r>
      <w:r w:rsidR="00A6794A">
        <w:rPr>
          <w:lang w:val="en-US"/>
        </w:rPr>
        <w:instrText>false</w:instrText>
      </w:r>
      <w:r w:rsidR="00A6794A" w:rsidRPr="00D3550C">
        <w:instrText>,"</w:instrText>
      </w:r>
      <w:r w:rsidR="00A6794A">
        <w:rPr>
          <w:lang w:val="en-US"/>
        </w:rPr>
        <w:instrText>suffix</w:instrText>
      </w:r>
      <w:r w:rsidR="00A6794A" w:rsidRPr="00D3550C">
        <w:instrText>":""}],"</w:instrText>
      </w:r>
      <w:r w:rsidR="00A6794A">
        <w:rPr>
          <w:lang w:val="en-US"/>
        </w:rPr>
        <w:instrText>container</w:instrText>
      </w:r>
      <w:r w:rsidR="00A6794A" w:rsidRPr="00D3550C">
        <w:instrText>-</w:instrText>
      </w:r>
      <w:r w:rsidR="00A6794A">
        <w:rPr>
          <w:lang w:val="en-US"/>
        </w:rPr>
        <w:instrText>title</w:instrText>
      </w:r>
      <w:r w:rsidR="00A6794A" w:rsidRPr="00D3550C">
        <w:instrText>":"</w:instrText>
      </w:r>
      <w:r w:rsidR="00A6794A">
        <w:rPr>
          <w:lang w:val="en-US"/>
        </w:rPr>
        <w:instrText>Current</w:instrText>
      </w:r>
      <w:r w:rsidR="00A6794A" w:rsidRPr="00D3550C">
        <w:instrText xml:space="preserve"> </w:instrText>
      </w:r>
      <w:r w:rsidR="00A6794A">
        <w:rPr>
          <w:lang w:val="en-US"/>
        </w:rPr>
        <w:instrText>Oncology</w:instrText>
      </w:r>
      <w:r w:rsidR="00A6794A" w:rsidRPr="00D3550C">
        <w:instrText>","</w:instrText>
      </w:r>
      <w:r w:rsidR="00A6794A">
        <w:rPr>
          <w:lang w:val="en-US"/>
        </w:rPr>
        <w:instrText>id</w:instrText>
      </w:r>
      <w:r w:rsidR="00A6794A" w:rsidRPr="00D3550C">
        <w:instrText>":"</w:instrText>
      </w:r>
      <w:r w:rsidR="00A6794A">
        <w:rPr>
          <w:lang w:val="en-US"/>
        </w:rPr>
        <w:instrText>ITEM</w:instrText>
      </w:r>
      <w:r w:rsidR="00A6794A" w:rsidRPr="00D3550C">
        <w:instrText>-4","</w:instrText>
      </w:r>
      <w:r w:rsidR="00A6794A">
        <w:rPr>
          <w:lang w:val="en-US"/>
        </w:rPr>
        <w:instrText>issue</w:instrText>
      </w:r>
      <w:r w:rsidR="00A6794A" w:rsidRPr="00D3550C">
        <w:instrText>":"1","</w:instrText>
      </w:r>
      <w:r w:rsidR="00A6794A">
        <w:rPr>
          <w:lang w:val="en-US"/>
        </w:rPr>
        <w:instrText>issued</w:instrText>
      </w:r>
      <w:r w:rsidR="00A6794A" w:rsidRPr="00D3550C">
        <w:instrText>":{"</w:instrText>
      </w:r>
      <w:r w:rsidR="00A6794A">
        <w:rPr>
          <w:lang w:val="en-US"/>
        </w:rPr>
        <w:instrText>date</w:instrText>
      </w:r>
      <w:r w:rsidR="00A6794A" w:rsidRPr="00D3550C">
        <w:instrText>-</w:instrText>
      </w:r>
      <w:r w:rsidR="00A6794A">
        <w:rPr>
          <w:lang w:val="en-US"/>
        </w:rPr>
        <w:instrText>parts</w:instrText>
      </w:r>
      <w:r w:rsidR="00A6794A" w:rsidRPr="00D3550C">
        <w:instrText>":[["2017"]]},"</w:instrText>
      </w:r>
      <w:r w:rsidR="00A6794A">
        <w:rPr>
          <w:lang w:val="en-US"/>
        </w:rPr>
        <w:instrText>page</w:instrText>
      </w:r>
      <w:r w:rsidR="00A6794A" w:rsidRPr="00D3550C">
        <w:instrText>":"33-39","</w:instrText>
      </w:r>
      <w:r w:rsidR="00A6794A">
        <w:rPr>
          <w:lang w:val="en-US"/>
        </w:rPr>
        <w:instrText>publisher</w:instrText>
      </w:r>
      <w:r w:rsidR="00A6794A" w:rsidRPr="00D3550C">
        <w:instrText>":"</w:instrText>
      </w:r>
      <w:r w:rsidR="00A6794A">
        <w:rPr>
          <w:lang w:val="en-US"/>
        </w:rPr>
        <w:instrText>Multimed</w:instrText>
      </w:r>
      <w:r w:rsidR="00A6794A" w:rsidRPr="00D3550C">
        <w:instrText xml:space="preserve"> </w:instrText>
      </w:r>
      <w:r w:rsidR="00A6794A">
        <w:rPr>
          <w:lang w:val="en-US"/>
        </w:rPr>
        <w:instrText>Inc</w:instrText>
      </w:r>
      <w:r w:rsidR="00A6794A" w:rsidRPr="00D3550C">
        <w:instrText>.","</w:instrText>
      </w:r>
      <w:r w:rsidR="00A6794A">
        <w:rPr>
          <w:lang w:val="en-US"/>
        </w:rPr>
        <w:instrText>title</w:instrText>
      </w:r>
      <w:r w:rsidR="00A6794A" w:rsidRPr="00D3550C">
        <w:instrText>":"</w:instrText>
      </w:r>
      <w:r w:rsidR="00A6794A">
        <w:rPr>
          <w:lang w:val="en-US"/>
        </w:rPr>
        <w:instrText>A</w:instrText>
      </w:r>
      <w:r w:rsidR="00A6794A" w:rsidRPr="00D3550C">
        <w:instrText xml:space="preserve"> </w:instrText>
      </w:r>
      <w:r w:rsidR="00A6794A">
        <w:rPr>
          <w:lang w:val="en-US"/>
        </w:rPr>
        <w:instrText>canadian</w:instrText>
      </w:r>
      <w:r w:rsidR="00A6794A" w:rsidRPr="00D3550C">
        <w:instrText xml:space="preserve"> </w:instrText>
      </w:r>
      <w:r w:rsidR="00A6794A">
        <w:rPr>
          <w:lang w:val="en-US"/>
        </w:rPr>
        <w:instrText>perspective</w:instrText>
      </w:r>
      <w:r w:rsidR="00A6794A" w:rsidRPr="00D3550C">
        <w:instrText xml:space="preserve"> </w:instrText>
      </w:r>
      <w:r w:rsidR="00A6794A">
        <w:rPr>
          <w:lang w:val="en-US"/>
        </w:rPr>
        <w:instrText>on</w:instrText>
      </w:r>
      <w:r w:rsidR="00A6794A" w:rsidRPr="00D3550C">
        <w:instrText xml:space="preserve"> </w:instrText>
      </w:r>
      <w:r w:rsidR="00A6794A">
        <w:rPr>
          <w:lang w:val="en-US"/>
        </w:rPr>
        <w:instrText>the</w:instrText>
      </w:r>
      <w:r w:rsidR="00A6794A" w:rsidRPr="00D3550C">
        <w:instrText xml:space="preserve"> </w:instrText>
      </w:r>
      <w:r w:rsidR="00A6794A">
        <w:rPr>
          <w:lang w:val="en-US"/>
        </w:rPr>
        <w:instrText>subcutaneous</w:instrText>
      </w:r>
      <w:r w:rsidR="00A6794A" w:rsidRPr="00D3550C">
        <w:instrText xml:space="preserve"> </w:instrText>
      </w:r>
      <w:r w:rsidR="00A6794A">
        <w:rPr>
          <w:lang w:val="en-US"/>
        </w:rPr>
        <w:instrText>administration</w:instrText>
      </w:r>
      <w:r w:rsidR="00A6794A" w:rsidRPr="00D3550C">
        <w:instrText xml:space="preserve"> </w:instrText>
      </w:r>
      <w:r w:rsidR="00A6794A">
        <w:rPr>
          <w:lang w:val="en-US"/>
        </w:rPr>
        <w:instrText>of</w:instrText>
      </w:r>
      <w:r w:rsidR="00A6794A" w:rsidRPr="00D3550C">
        <w:instrText xml:space="preserve"> </w:instrText>
      </w:r>
      <w:r w:rsidR="00A6794A">
        <w:rPr>
          <w:lang w:val="en-US"/>
        </w:rPr>
        <w:instrText>rituximab</w:instrText>
      </w:r>
      <w:r w:rsidR="00A6794A" w:rsidRPr="00D3550C">
        <w:instrText xml:space="preserve"> </w:instrText>
      </w:r>
      <w:r w:rsidR="00A6794A">
        <w:rPr>
          <w:lang w:val="en-US"/>
        </w:rPr>
        <w:instrText>in</w:instrText>
      </w:r>
      <w:r w:rsidR="00A6794A" w:rsidRPr="00D3550C">
        <w:instrText xml:space="preserve"> </w:instrText>
      </w:r>
      <w:r w:rsidR="00A6794A">
        <w:rPr>
          <w:lang w:val="en-US"/>
        </w:rPr>
        <w:instrText>non</w:instrText>
      </w:r>
      <w:r w:rsidR="00A6794A" w:rsidRPr="00D3550C">
        <w:instrText>-</w:instrText>
      </w:r>
      <w:r w:rsidR="00A6794A">
        <w:rPr>
          <w:lang w:val="en-US"/>
        </w:rPr>
        <w:instrText>Hodgkin</w:instrText>
      </w:r>
      <w:r w:rsidR="00A6794A" w:rsidRPr="00D3550C">
        <w:instrText xml:space="preserve"> </w:instrText>
      </w:r>
      <w:r w:rsidR="00A6794A">
        <w:rPr>
          <w:lang w:val="en-US"/>
        </w:rPr>
        <w:instrText>lymphoma</w:instrText>
      </w:r>
      <w:r w:rsidR="00A6794A" w:rsidRPr="00D3550C">
        <w:instrText>","</w:instrText>
      </w:r>
      <w:r w:rsidR="00A6794A">
        <w:rPr>
          <w:lang w:val="en-US"/>
        </w:rPr>
        <w:instrText>type</w:instrText>
      </w:r>
      <w:r w:rsidR="00A6794A" w:rsidRPr="00D3550C">
        <w:instrText>":"</w:instrText>
      </w:r>
      <w:r w:rsidR="00A6794A">
        <w:rPr>
          <w:lang w:val="en-US"/>
        </w:rPr>
        <w:instrText>article</w:instrText>
      </w:r>
      <w:r w:rsidR="00A6794A" w:rsidRPr="00D3550C">
        <w:instrText>","</w:instrText>
      </w:r>
      <w:r w:rsidR="00A6794A">
        <w:rPr>
          <w:lang w:val="en-US"/>
        </w:rPr>
        <w:instrText>volume</w:instrText>
      </w:r>
      <w:r w:rsidR="00A6794A" w:rsidRPr="00D3550C">
        <w:instrText>":"24"},"</w:instrText>
      </w:r>
      <w:r w:rsidR="00A6794A">
        <w:rPr>
          <w:lang w:val="en-US"/>
        </w:rPr>
        <w:instrText>uris</w:instrText>
      </w:r>
      <w:r w:rsidR="00A6794A" w:rsidRPr="00D3550C">
        <w:instrText>":["</w:instrText>
      </w:r>
      <w:r w:rsidR="00A6794A">
        <w:rPr>
          <w:lang w:val="en-US"/>
        </w:rPr>
        <w:instrText>http</w:instrText>
      </w:r>
      <w:r w:rsidR="00A6794A" w:rsidRPr="00D3550C">
        <w:instrText>://</w:instrText>
      </w:r>
      <w:r w:rsidR="00A6794A">
        <w:rPr>
          <w:lang w:val="en-US"/>
        </w:rPr>
        <w:instrText>www</w:instrText>
      </w:r>
      <w:r w:rsidR="00A6794A" w:rsidRPr="00D3550C">
        <w:instrText>.</w:instrText>
      </w:r>
      <w:r w:rsidR="00A6794A">
        <w:rPr>
          <w:lang w:val="en-US"/>
        </w:rPr>
        <w:instrText>mendeley</w:instrText>
      </w:r>
      <w:r w:rsidR="00A6794A" w:rsidRPr="00D3550C">
        <w:instrText>.</w:instrText>
      </w:r>
      <w:r w:rsidR="00A6794A">
        <w:rPr>
          <w:lang w:val="en-US"/>
        </w:rPr>
        <w:instrText>com</w:instrText>
      </w:r>
      <w:r w:rsidR="00A6794A" w:rsidRPr="00D3550C">
        <w:instrText>/</w:instrText>
      </w:r>
      <w:r w:rsidR="00A6794A">
        <w:rPr>
          <w:lang w:val="en-US"/>
        </w:rPr>
        <w:instrText>documents</w:instrText>
      </w:r>
      <w:r w:rsidR="00A6794A" w:rsidRPr="00D3550C">
        <w:instrText>/?</w:instrText>
      </w:r>
      <w:r w:rsidR="00A6794A">
        <w:rPr>
          <w:lang w:val="en-US"/>
        </w:rPr>
        <w:instrText>uuid</w:instrText>
      </w:r>
      <w:r w:rsidR="00A6794A" w:rsidRPr="00D3550C">
        <w:instrText>=0</w:instrText>
      </w:r>
      <w:r w:rsidR="00A6794A">
        <w:rPr>
          <w:lang w:val="en-US"/>
        </w:rPr>
        <w:instrText>dec</w:instrText>
      </w:r>
      <w:r w:rsidR="00A6794A" w:rsidRPr="00D3550C">
        <w:instrText>225</w:instrText>
      </w:r>
      <w:r w:rsidR="00A6794A">
        <w:rPr>
          <w:lang w:val="en-US"/>
        </w:rPr>
        <w:instrText>e</w:instrText>
      </w:r>
      <w:r w:rsidR="00A6794A" w:rsidRPr="00D3550C">
        <w:instrText>-8</w:instrText>
      </w:r>
      <w:r w:rsidR="00A6794A">
        <w:rPr>
          <w:lang w:val="en-US"/>
        </w:rPr>
        <w:instrText>a</w:instrText>
      </w:r>
      <w:r w:rsidR="00A6794A" w:rsidRPr="00D3550C">
        <w:instrText>47-3680-</w:instrText>
      </w:r>
      <w:r w:rsidR="00A6794A">
        <w:rPr>
          <w:lang w:val="en-US"/>
        </w:rPr>
        <w:instrText>ba</w:instrText>
      </w:r>
      <w:r w:rsidR="00A6794A" w:rsidRPr="00D3550C">
        <w:instrText>4</w:instrText>
      </w:r>
      <w:r w:rsidR="00A6794A">
        <w:rPr>
          <w:lang w:val="en-US"/>
        </w:rPr>
        <w:instrText>d</w:instrText>
      </w:r>
      <w:r w:rsidR="00A6794A" w:rsidRPr="00D3550C">
        <w:instrText>-891955</w:instrText>
      </w:r>
      <w:r w:rsidR="00A6794A">
        <w:rPr>
          <w:lang w:val="en-US"/>
        </w:rPr>
        <w:instrText>a</w:instrText>
      </w:r>
      <w:r w:rsidR="00A6794A" w:rsidRPr="00D3550C">
        <w:instrText>938</w:instrText>
      </w:r>
      <w:r w:rsidR="00A6794A">
        <w:rPr>
          <w:lang w:val="en-US"/>
        </w:rPr>
        <w:instrText>a</w:instrText>
      </w:r>
      <w:r w:rsidR="00A6794A" w:rsidRPr="00D3550C">
        <w:instrText>1"]}],"</w:instrText>
      </w:r>
      <w:r w:rsidR="00A6794A">
        <w:rPr>
          <w:lang w:val="en-US"/>
        </w:rPr>
        <w:instrText>mendeley</w:instrText>
      </w:r>
      <w:r w:rsidR="00A6794A" w:rsidRPr="00D3550C">
        <w:instrText>":{"</w:instrText>
      </w:r>
      <w:r w:rsidR="00A6794A">
        <w:rPr>
          <w:lang w:val="en-US"/>
        </w:rPr>
        <w:instrText>formattedCitation</w:instrText>
      </w:r>
      <w:r w:rsidR="00A6794A" w:rsidRPr="00D3550C">
        <w:instrText>":"[205–208]","</w:instrText>
      </w:r>
      <w:r w:rsidR="00A6794A">
        <w:rPr>
          <w:lang w:val="en-US"/>
        </w:rPr>
        <w:instrText>plainTextFormattedCitation</w:instrText>
      </w:r>
      <w:r w:rsidR="00A6794A" w:rsidRPr="00D3550C">
        <w:instrText>":"[205–208]","</w:instrText>
      </w:r>
      <w:r w:rsidR="00A6794A">
        <w:rPr>
          <w:lang w:val="en-US"/>
        </w:rPr>
        <w:instrText>previouslyFormattedCitation</w:instrText>
      </w:r>
      <w:r w:rsidR="00A6794A" w:rsidRPr="00D3550C">
        <w:instrText>":"[205–208]"},"</w:instrText>
      </w:r>
      <w:r w:rsidR="00A6794A">
        <w:rPr>
          <w:lang w:val="en-US"/>
        </w:rPr>
        <w:instrText>properties</w:instrText>
      </w:r>
      <w:r w:rsidR="00A6794A" w:rsidRPr="00D3550C">
        <w:instrText>":{"</w:instrText>
      </w:r>
      <w:r w:rsidR="00A6794A">
        <w:rPr>
          <w:lang w:val="en-US"/>
        </w:rPr>
        <w:instrText>noteIndex</w:instrText>
      </w:r>
      <w:r w:rsidR="00A6794A" w:rsidRPr="00D3550C">
        <w:instrText>":0},"</w:instrText>
      </w:r>
      <w:r w:rsidR="00A6794A">
        <w:rPr>
          <w:lang w:val="en-US"/>
        </w:rPr>
        <w:instrText>schema</w:instrText>
      </w:r>
      <w:r w:rsidR="00A6794A" w:rsidRPr="00D3550C">
        <w:instrText>":"</w:instrText>
      </w:r>
      <w:r w:rsidR="00A6794A">
        <w:rPr>
          <w:lang w:val="en-US"/>
        </w:rPr>
        <w:instrText>https</w:instrText>
      </w:r>
      <w:r w:rsidR="00A6794A" w:rsidRPr="00D3550C">
        <w:instrText>://</w:instrText>
      </w:r>
      <w:r w:rsidR="00A6794A">
        <w:rPr>
          <w:lang w:val="en-US"/>
        </w:rPr>
        <w:instrText>github</w:instrText>
      </w:r>
      <w:r w:rsidR="00A6794A" w:rsidRPr="00D3550C">
        <w:instrText>.</w:instrText>
      </w:r>
      <w:r w:rsidR="00A6794A">
        <w:rPr>
          <w:lang w:val="en-US"/>
        </w:rPr>
        <w:instrText>com</w:instrText>
      </w:r>
      <w:r w:rsidR="00A6794A" w:rsidRPr="00D3550C">
        <w:instrText>/</w:instrText>
      </w:r>
      <w:r w:rsidR="00A6794A">
        <w:rPr>
          <w:lang w:val="en-US"/>
        </w:rPr>
        <w:instrText>citation</w:instrText>
      </w:r>
      <w:r w:rsidR="00A6794A" w:rsidRPr="00D3550C">
        <w:instrText>-</w:instrText>
      </w:r>
      <w:r w:rsidR="00A6794A">
        <w:rPr>
          <w:lang w:val="en-US"/>
        </w:rPr>
        <w:instrText>style</w:instrText>
      </w:r>
      <w:r w:rsidR="00A6794A" w:rsidRPr="00D3550C">
        <w:instrText>-</w:instrText>
      </w:r>
      <w:r w:rsidR="00A6794A">
        <w:rPr>
          <w:lang w:val="en-US"/>
        </w:rPr>
        <w:instrText>language</w:instrText>
      </w:r>
      <w:r w:rsidR="00A6794A" w:rsidRPr="00D3550C">
        <w:instrText>/</w:instrText>
      </w:r>
      <w:r w:rsidR="00A6794A">
        <w:rPr>
          <w:lang w:val="en-US"/>
        </w:rPr>
        <w:instrText>schema</w:instrText>
      </w:r>
      <w:r w:rsidR="00A6794A" w:rsidRPr="00D3550C">
        <w:instrText>/</w:instrText>
      </w:r>
      <w:r w:rsidR="00A6794A">
        <w:rPr>
          <w:lang w:val="en-US"/>
        </w:rPr>
        <w:instrText>raw</w:instrText>
      </w:r>
      <w:r w:rsidR="00A6794A" w:rsidRPr="00D3550C">
        <w:instrText>/</w:instrText>
      </w:r>
      <w:r w:rsidR="00A6794A">
        <w:rPr>
          <w:lang w:val="en-US"/>
        </w:rPr>
        <w:instrText>master</w:instrText>
      </w:r>
      <w:r w:rsidR="00A6794A" w:rsidRPr="00D3550C">
        <w:instrText>/</w:instrText>
      </w:r>
      <w:r w:rsidR="00A6794A">
        <w:rPr>
          <w:lang w:val="en-US"/>
        </w:rPr>
        <w:instrText>csl</w:instrText>
      </w:r>
      <w:r w:rsidR="00A6794A" w:rsidRPr="00D3550C">
        <w:instrText>-</w:instrText>
      </w:r>
      <w:r w:rsidR="00A6794A">
        <w:rPr>
          <w:lang w:val="en-US"/>
        </w:rPr>
        <w:instrText>citation</w:instrText>
      </w:r>
      <w:r w:rsidR="00A6794A" w:rsidRPr="00D3550C">
        <w:instrText>.</w:instrText>
      </w:r>
      <w:r w:rsidR="00A6794A">
        <w:rPr>
          <w:lang w:val="en-US"/>
        </w:rPr>
        <w:instrText>json</w:instrText>
      </w:r>
      <w:r w:rsidR="00A6794A" w:rsidRPr="00D3550C">
        <w:instrText>"}</w:instrText>
      </w:r>
      <w:r w:rsidRPr="000322E4">
        <w:rPr>
          <w:lang w:val="en-US"/>
        </w:rPr>
        <w:fldChar w:fldCharType="separate"/>
      </w:r>
      <w:r w:rsidR="006E1902" w:rsidRPr="006E1902">
        <w:rPr>
          <w:noProof/>
        </w:rPr>
        <w:t>[205–208]</w:t>
      </w:r>
      <w:r w:rsidRPr="000322E4">
        <w:rPr>
          <w:lang w:val="en-US"/>
        </w:rPr>
        <w:fldChar w:fldCharType="end"/>
      </w:r>
    </w:p>
    <w:p w14:paraId="6B950134" w14:textId="77777777" w:rsidR="00666D68" w:rsidRPr="00293AC8" w:rsidRDefault="00D2304E" w:rsidP="008E3584">
      <w:pPr>
        <w:numPr>
          <w:ilvl w:val="0"/>
          <w:numId w:val="39"/>
        </w:numPr>
        <w:spacing w:line="360" w:lineRule="auto"/>
        <w:jc w:val="both"/>
      </w:pPr>
      <w:r w:rsidRPr="00293AC8">
        <w:t>#</w:t>
      </w:r>
      <w:r w:rsidR="00666D68" w:rsidRPr="000322E4">
        <w:t>Гемцитабин</w:t>
      </w:r>
      <w:r w:rsidR="00666D68" w:rsidRPr="00293AC8">
        <w:t xml:space="preserve">** 750 </w:t>
      </w:r>
      <w:r w:rsidR="00666D68" w:rsidRPr="000322E4">
        <w:t>мг</w:t>
      </w:r>
      <w:r w:rsidR="00666D68" w:rsidRPr="00293AC8">
        <w:t>/</w:t>
      </w:r>
      <w:r w:rsidR="00666D68" w:rsidRPr="000322E4">
        <w:t>м</w:t>
      </w:r>
      <w:r w:rsidR="00666D68" w:rsidRPr="00293AC8">
        <w:rPr>
          <w:vertAlign w:val="superscript"/>
        </w:rPr>
        <w:t>2</w:t>
      </w:r>
      <w:r w:rsidR="00666D68" w:rsidRPr="00293AC8">
        <w:t xml:space="preserve"> (</w:t>
      </w:r>
      <w:r w:rsidR="00666D68" w:rsidRPr="000322E4">
        <w:t>цикл</w:t>
      </w:r>
      <w:r w:rsidR="00666D68" w:rsidRPr="00293AC8">
        <w:t xml:space="preserve"> 1), 8</w:t>
      </w:r>
      <w:r w:rsidR="00DC2554" w:rsidRPr="00293AC8">
        <w:t>75</w:t>
      </w:r>
      <w:r w:rsidR="00666D68" w:rsidRPr="00293AC8">
        <w:t xml:space="preserve"> </w:t>
      </w:r>
      <w:r w:rsidR="00666D68" w:rsidRPr="000322E4">
        <w:t>мг</w:t>
      </w:r>
      <w:r w:rsidR="00666D68" w:rsidRPr="00293AC8">
        <w:t>/</w:t>
      </w:r>
      <w:r w:rsidR="00666D68" w:rsidRPr="000322E4">
        <w:t>м</w:t>
      </w:r>
      <w:r w:rsidR="00666D68" w:rsidRPr="00293AC8">
        <w:rPr>
          <w:vertAlign w:val="superscript"/>
        </w:rPr>
        <w:t>2</w:t>
      </w:r>
      <w:r w:rsidR="00666D68" w:rsidRPr="00293AC8">
        <w:t xml:space="preserve"> (</w:t>
      </w:r>
      <w:r w:rsidR="00666D68" w:rsidRPr="000322E4">
        <w:t>цикл</w:t>
      </w:r>
      <w:r w:rsidR="00666D68" w:rsidRPr="00293AC8">
        <w:t xml:space="preserve"> 2), 1000 </w:t>
      </w:r>
      <w:r w:rsidR="00666D68" w:rsidRPr="000322E4">
        <w:t>мг</w:t>
      </w:r>
      <w:r w:rsidR="00666D68" w:rsidRPr="00293AC8">
        <w:t>/</w:t>
      </w:r>
      <w:r w:rsidR="00666D68" w:rsidRPr="000322E4">
        <w:t>м</w:t>
      </w:r>
      <w:r w:rsidR="00666D68" w:rsidRPr="00293AC8">
        <w:rPr>
          <w:vertAlign w:val="superscript"/>
        </w:rPr>
        <w:t>2</w:t>
      </w:r>
      <w:r w:rsidR="00666D68" w:rsidRPr="00293AC8">
        <w:t xml:space="preserve"> (</w:t>
      </w:r>
      <w:r w:rsidR="00666D68" w:rsidRPr="000322E4">
        <w:t>цикл</w:t>
      </w:r>
      <w:r w:rsidR="00666D68" w:rsidRPr="00293AC8">
        <w:t xml:space="preserve"> 3 </w:t>
      </w:r>
      <w:r w:rsidR="00666D68" w:rsidRPr="000322E4">
        <w:t>и</w:t>
      </w:r>
      <w:r w:rsidR="00666D68" w:rsidRPr="00293AC8">
        <w:t xml:space="preserve"> </w:t>
      </w:r>
      <w:r w:rsidR="00666D68" w:rsidRPr="000322E4">
        <w:t>далее</w:t>
      </w:r>
      <w:r w:rsidR="00666D68" w:rsidRPr="00293AC8">
        <w:t xml:space="preserve">) </w:t>
      </w:r>
      <w:r w:rsidR="00666D68" w:rsidRPr="000322E4">
        <w:t>в</w:t>
      </w:r>
      <w:r w:rsidR="00666D68" w:rsidRPr="00293AC8">
        <w:t>/</w:t>
      </w:r>
      <w:r w:rsidR="00666D68" w:rsidRPr="000322E4">
        <w:t>в</w:t>
      </w:r>
      <w:r w:rsidR="00666D68" w:rsidRPr="00293AC8">
        <w:t xml:space="preserve"> </w:t>
      </w:r>
      <w:r w:rsidR="00666D68" w:rsidRPr="000322E4">
        <w:t>кап</w:t>
      </w:r>
      <w:r w:rsidR="00666D68" w:rsidRPr="00293AC8">
        <w:t xml:space="preserve">., </w:t>
      </w:r>
      <w:r w:rsidR="00666D68" w:rsidRPr="000322E4">
        <w:t>дни</w:t>
      </w:r>
      <w:r w:rsidR="00666D68" w:rsidRPr="00293AC8">
        <w:t xml:space="preserve"> 1, 8</w:t>
      </w:r>
    </w:p>
    <w:p w14:paraId="4E5C2B17" w14:textId="77777777" w:rsidR="00666D68" w:rsidRPr="00293AC8" w:rsidRDefault="00666D68" w:rsidP="008E3584">
      <w:pPr>
        <w:numPr>
          <w:ilvl w:val="0"/>
          <w:numId w:val="39"/>
        </w:numPr>
        <w:spacing w:line="360" w:lineRule="auto"/>
        <w:jc w:val="both"/>
      </w:pPr>
      <w:r w:rsidRPr="000322E4">
        <w:t>Циклофосфамид</w:t>
      </w:r>
      <w:r w:rsidRPr="00293AC8">
        <w:rPr>
          <w:bCs/>
        </w:rPr>
        <w:t>**</w:t>
      </w:r>
      <w:r w:rsidRPr="00293AC8">
        <w:t xml:space="preserve"> 750 </w:t>
      </w:r>
      <w:r w:rsidRPr="000322E4">
        <w:t>мг</w:t>
      </w:r>
      <w:r w:rsidRPr="00293AC8">
        <w:t>/</w:t>
      </w:r>
      <w:r w:rsidRPr="000322E4">
        <w:t>м</w:t>
      </w:r>
      <w:r w:rsidRPr="00293AC8">
        <w:rPr>
          <w:vertAlign w:val="superscript"/>
        </w:rPr>
        <w:t>2</w:t>
      </w:r>
      <w:r w:rsidRPr="00293AC8">
        <w:t xml:space="preserve"> </w:t>
      </w:r>
      <w:r w:rsidRPr="000322E4">
        <w:t>в</w:t>
      </w:r>
      <w:r w:rsidRPr="00293AC8">
        <w:t>/</w:t>
      </w:r>
      <w:r w:rsidRPr="000322E4">
        <w:t>в</w:t>
      </w:r>
      <w:r w:rsidRPr="00293AC8">
        <w:t xml:space="preserve"> </w:t>
      </w:r>
      <w:r w:rsidRPr="000322E4">
        <w:t>кап</w:t>
      </w:r>
      <w:r w:rsidRPr="00293AC8">
        <w:t xml:space="preserve">., </w:t>
      </w:r>
      <w:r w:rsidRPr="000322E4">
        <w:t>день</w:t>
      </w:r>
      <w:r w:rsidRPr="00293AC8">
        <w:t xml:space="preserve"> 1</w:t>
      </w:r>
    </w:p>
    <w:p w14:paraId="40EDED4B" w14:textId="77777777" w:rsidR="00666D68" w:rsidRPr="00293AC8" w:rsidRDefault="00F35A3E" w:rsidP="008E3584">
      <w:pPr>
        <w:numPr>
          <w:ilvl w:val="0"/>
          <w:numId w:val="39"/>
        </w:numPr>
        <w:spacing w:line="360" w:lineRule="auto"/>
        <w:jc w:val="both"/>
      </w:pPr>
      <w:r w:rsidRPr="00293AC8">
        <w:t>#</w:t>
      </w:r>
      <w:r w:rsidR="00666D68" w:rsidRPr="000322E4">
        <w:t>Винкристин</w:t>
      </w:r>
      <w:r w:rsidR="00666D68" w:rsidRPr="00293AC8">
        <w:rPr>
          <w:bCs/>
        </w:rPr>
        <w:t>**</w:t>
      </w:r>
      <w:r w:rsidR="00666D68" w:rsidRPr="00293AC8">
        <w:t xml:space="preserve"> 1,4 </w:t>
      </w:r>
      <w:r w:rsidR="00666D68" w:rsidRPr="000322E4">
        <w:t>мг</w:t>
      </w:r>
      <w:r w:rsidR="00666D68" w:rsidRPr="00293AC8">
        <w:t>/</w:t>
      </w:r>
      <w:r w:rsidR="00666D68" w:rsidRPr="000322E4">
        <w:t>м</w:t>
      </w:r>
      <w:r w:rsidR="00666D68" w:rsidRPr="00293AC8">
        <w:rPr>
          <w:vertAlign w:val="superscript"/>
        </w:rPr>
        <w:t>2</w:t>
      </w:r>
      <w:r w:rsidR="00666D68" w:rsidRPr="00293AC8">
        <w:t xml:space="preserve"> (</w:t>
      </w:r>
      <w:r w:rsidR="00666D68" w:rsidRPr="000322E4">
        <w:t>суммарно</w:t>
      </w:r>
      <w:r w:rsidR="00666D68" w:rsidRPr="00293AC8">
        <w:t xml:space="preserve"> </w:t>
      </w:r>
      <w:r w:rsidR="00666D68" w:rsidRPr="000322E4">
        <w:t>не</w:t>
      </w:r>
      <w:r w:rsidR="00666D68" w:rsidRPr="00293AC8">
        <w:t xml:space="preserve"> </w:t>
      </w:r>
      <w:r w:rsidR="00666D68" w:rsidRPr="000322E4">
        <w:t>более</w:t>
      </w:r>
      <w:r w:rsidR="00666D68" w:rsidRPr="00293AC8">
        <w:t xml:space="preserve"> 2 </w:t>
      </w:r>
      <w:r w:rsidR="00666D68" w:rsidRPr="000322E4">
        <w:t>мг</w:t>
      </w:r>
      <w:r w:rsidR="00666D68" w:rsidRPr="00293AC8">
        <w:t xml:space="preserve">) </w:t>
      </w:r>
      <w:r w:rsidR="00666D68" w:rsidRPr="000322E4">
        <w:t>в</w:t>
      </w:r>
      <w:r w:rsidR="00666D68" w:rsidRPr="00293AC8">
        <w:t>/</w:t>
      </w:r>
      <w:r w:rsidR="00666D68" w:rsidRPr="000322E4">
        <w:t>в</w:t>
      </w:r>
      <w:r w:rsidR="00666D68" w:rsidRPr="00293AC8">
        <w:t xml:space="preserve">, </w:t>
      </w:r>
      <w:r w:rsidR="00666D68" w:rsidRPr="000322E4">
        <w:t>день</w:t>
      </w:r>
      <w:r w:rsidR="00666D68" w:rsidRPr="00293AC8">
        <w:t xml:space="preserve"> 1</w:t>
      </w:r>
    </w:p>
    <w:p w14:paraId="02B52B38" w14:textId="77777777" w:rsidR="00666D68" w:rsidRPr="00293AC8" w:rsidRDefault="00666D68" w:rsidP="008E3584">
      <w:pPr>
        <w:numPr>
          <w:ilvl w:val="0"/>
          <w:numId w:val="39"/>
        </w:numPr>
        <w:spacing w:line="360" w:lineRule="auto"/>
        <w:jc w:val="both"/>
      </w:pPr>
      <w:r w:rsidRPr="000322E4">
        <w:t>Преднизолон</w:t>
      </w:r>
      <w:r w:rsidRPr="00293AC8">
        <w:rPr>
          <w:bCs/>
        </w:rPr>
        <w:t>**</w:t>
      </w:r>
      <w:r w:rsidRPr="00293AC8">
        <w:t xml:space="preserve"> 100 </w:t>
      </w:r>
      <w:r w:rsidRPr="000322E4">
        <w:t>мг</w:t>
      </w:r>
      <w:r w:rsidRPr="00293AC8">
        <w:t xml:space="preserve"> </w:t>
      </w:r>
      <w:r w:rsidRPr="000322E4">
        <w:t>внутрь</w:t>
      </w:r>
      <w:r w:rsidRPr="00293AC8">
        <w:t xml:space="preserve">, </w:t>
      </w:r>
      <w:r w:rsidRPr="000322E4">
        <w:t>дни</w:t>
      </w:r>
      <w:r w:rsidRPr="00293AC8">
        <w:t xml:space="preserve"> 1-5</w:t>
      </w:r>
    </w:p>
    <w:p w14:paraId="7B47B611" w14:textId="77777777" w:rsidR="00666D68" w:rsidRPr="00293AC8" w:rsidRDefault="00666D68" w:rsidP="008E3584">
      <w:pPr>
        <w:spacing w:line="360" w:lineRule="auto"/>
        <w:ind w:left="360"/>
        <w:jc w:val="both"/>
      </w:pPr>
      <w:r w:rsidRPr="000322E4">
        <w:t>Эскалация</w:t>
      </w:r>
      <w:r w:rsidRPr="00293AC8">
        <w:t xml:space="preserve"> </w:t>
      </w:r>
      <w:r w:rsidRPr="000322E4">
        <w:t>дозы</w:t>
      </w:r>
      <w:r w:rsidRPr="00293AC8">
        <w:t xml:space="preserve"> </w:t>
      </w:r>
      <w:r w:rsidR="00D2304E" w:rsidRPr="00293AC8">
        <w:t>#</w:t>
      </w:r>
      <w:r w:rsidRPr="000322E4">
        <w:t>гемцитабина</w:t>
      </w:r>
      <w:r w:rsidR="00D2304E" w:rsidRPr="00293AC8">
        <w:t>**</w:t>
      </w:r>
      <w:r w:rsidRPr="00293AC8">
        <w:t xml:space="preserve"> </w:t>
      </w:r>
      <w:r w:rsidRPr="000322E4">
        <w:t>проводится</w:t>
      </w:r>
      <w:r w:rsidRPr="00293AC8">
        <w:t xml:space="preserve"> </w:t>
      </w:r>
      <w:r w:rsidRPr="000322E4">
        <w:t>в</w:t>
      </w:r>
      <w:r w:rsidRPr="00293AC8">
        <w:t xml:space="preserve"> </w:t>
      </w:r>
      <w:r w:rsidRPr="000322E4">
        <w:t>случае</w:t>
      </w:r>
      <w:r w:rsidRPr="00293AC8">
        <w:t xml:space="preserve"> </w:t>
      </w:r>
      <w:r w:rsidRPr="000322E4">
        <w:t>отсутствия</w:t>
      </w:r>
      <w:r w:rsidRPr="00293AC8">
        <w:t xml:space="preserve"> </w:t>
      </w:r>
      <w:r w:rsidRPr="000322E4">
        <w:t>гематологической</w:t>
      </w:r>
      <w:r w:rsidRPr="00293AC8">
        <w:t xml:space="preserve"> </w:t>
      </w:r>
      <w:r w:rsidRPr="000322E4">
        <w:t>токсичности</w:t>
      </w:r>
      <w:r w:rsidRPr="00293AC8">
        <w:t xml:space="preserve">. </w:t>
      </w:r>
      <w:r w:rsidRPr="000322E4">
        <w:t>Лечение</w:t>
      </w:r>
      <w:r w:rsidRPr="00293AC8">
        <w:t xml:space="preserve"> </w:t>
      </w:r>
      <w:r w:rsidRPr="000322E4">
        <w:t>возобновляется</w:t>
      </w:r>
      <w:r w:rsidRPr="00293AC8">
        <w:t xml:space="preserve"> </w:t>
      </w:r>
      <w:r w:rsidRPr="000322E4">
        <w:t>на</w:t>
      </w:r>
      <w:r w:rsidRPr="00293AC8">
        <w:t xml:space="preserve"> 22 </w:t>
      </w:r>
      <w:r w:rsidRPr="000322E4">
        <w:t>день</w:t>
      </w:r>
    </w:p>
    <w:p w14:paraId="0920A943" w14:textId="77777777" w:rsidR="00666D68" w:rsidRPr="00293AC8" w:rsidRDefault="00666D68" w:rsidP="008E3584">
      <w:pPr>
        <w:spacing w:line="360" w:lineRule="auto"/>
        <w:jc w:val="both"/>
        <w:rPr>
          <w:b/>
          <w:bCs/>
        </w:rPr>
      </w:pPr>
    </w:p>
    <w:p w14:paraId="450A15EE" w14:textId="03F9BAF1" w:rsidR="00666D68" w:rsidRPr="000322E4" w:rsidRDefault="00666D68" w:rsidP="008E3584">
      <w:pPr>
        <w:spacing w:line="360" w:lineRule="auto"/>
        <w:jc w:val="both"/>
        <w:rPr>
          <w:b/>
          <w:bCs/>
        </w:rPr>
      </w:pPr>
      <w:r w:rsidRPr="000322E4">
        <w:rPr>
          <w:b/>
          <w:lang w:val="en-US"/>
        </w:rPr>
        <w:t>R</w:t>
      </w:r>
      <w:r w:rsidRPr="00293AC8">
        <w:rPr>
          <w:b/>
        </w:rPr>
        <w:t>-</w:t>
      </w:r>
      <w:r w:rsidRPr="000322E4">
        <w:rPr>
          <w:b/>
          <w:lang w:val="en-US"/>
        </w:rPr>
        <w:t>CCOP</w:t>
      </w:r>
      <w:r w:rsidRPr="00293AC8">
        <w:rPr>
          <w:b/>
        </w:rPr>
        <w:t xml:space="preserve"> </w:t>
      </w:r>
      <w:r w:rsidRPr="000322E4">
        <w:rPr>
          <w:b/>
          <w:lang w:val="en-US"/>
        </w:rPr>
        <w:fldChar w:fldCharType="begin" w:fldLock="1"/>
      </w:r>
      <w:r w:rsidR="009D170B">
        <w:rPr>
          <w:b/>
          <w:lang w:val="en-US"/>
        </w:rPr>
        <w:instrText>ADDIN</w:instrText>
      </w:r>
      <w:r w:rsidR="009D170B" w:rsidRPr="00320416">
        <w:rPr>
          <w:b/>
        </w:rPr>
        <w:instrText xml:space="preserve"> </w:instrText>
      </w:r>
      <w:r w:rsidR="009D170B">
        <w:rPr>
          <w:b/>
          <w:lang w:val="en-US"/>
        </w:rPr>
        <w:instrText>CSL</w:instrText>
      </w:r>
      <w:r w:rsidR="009D170B" w:rsidRPr="00320416">
        <w:rPr>
          <w:b/>
        </w:rPr>
        <w:instrText>_</w:instrText>
      </w:r>
      <w:r w:rsidR="009D170B">
        <w:rPr>
          <w:b/>
          <w:lang w:val="en-US"/>
        </w:rPr>
        <w:instrText>CITATION</w:instrText>
      </w:r>
      <w:r w:rsidR="009D170B" w:rsidRPr="00320416">
        <w:rPr>
          <w:b/>
        </w:rPr>
        <w:instrText xml:space="preserve"> {"</w:instrText>
      </w:r>
      <w:r w:rsidR="009D170B">
        <w:rPr>
          <w:b/>
          <w:lang w:val="en-US"/>
        </w:rPr>
        <w:instrText>citationItems</w:instrText>
      </w:r>
      <w:r w:rsidR="009D170B" w:rsidRPr="00320416">
        <w:rPr>
          <w:b/>
        </w:rPr>
        <w:instrText>":[{"</w:instrText>
      </w:r>
      <w:r w:rsidR="009D170B">
        <w:rPr>
          <w:b/>
          <w:lang w:val="en-US"/>
        </w:rPr>
        <w:instrText>id</w:instrText>
      </w:r>
      <w:r w:rsidR="009D170B" w:rsidRPr="00320416">
        <w:rPr>
          <w:b/>
        </w:rPr>
        <w:instrText>":"</w:instrText>
      </w:r>
      <w:r w:rsidR="009D170B">
        <w:rPr>
          <w:b/>
          <w:lang w:val="en-US"/>
        </w:rPr>
        <w:instrText>ITEM</w:instrText>
      </w:r>
      <w:r w:rsidR="009D170B" w:rsidRPr="00320416">
        <w:rPr>
          <w:b/>
        </w:rPr>
        <w:instrText>-1","</w:instrText>
      </w:r>
      <w:r w:rsidR="009D170B">
        <w:rPr>
          <w:b/>
          <w:lang w:val="en-US"/>
        </w:rPr>
        <w:instrText>itemData</w:instrText>
      </w:r>
      <w:r w:rsidR="009D170B" w:rsidRPr="00320416">
        <w:rPr>
          <w:b/>
        </w:rPr>
        <w:instrText>":{"</w:instrText>
      </w:r>
      <w:r w:rsidR="009D170B">
        <w:rPr>
          <w:b/>
          <w:lang w:val="en-US"/>
        </w:rPr>
        <w:instrText>ISSN</w:instrText>
      </w:r>
      <w:r w:rsidR="009D170B" w:rsidRPr="00320416">
        <w:rPr>
          <w:b/>
        </w:rPr>
        <w:instrText>":"0390-6078","</w:instrText>
      </w:r>
      <w:r w:rsidR="009D170B">
        <w:rPr>
          <w:b/>
          <w:lang w:val="en-US"/>
        </w:rPr>
        <w:instrText>PMID</w:instrText>
      </w:r>
      <w:r w:rsidR="009D170B" w:rsidRPr="00320416">
        <w:rPr>
          <w:b/>
        </w:rPr>
        <w:instrText>":"12161358","</w:instrText>
      </w:r>
      <w:r w:rsidR="009D170B">
        <w:rPr>
          <w:b/>
          <w:lang w:val="en-US"/>
        </w:rPr>
        <w:instrText>abstract</w:instrText>
      </w:r>
      <w:r w:rsidR="009D170B" w:rsidRPr="00320416">
        <w:rPr>
          <w:b/>
        </w:rPr>
        <w:instrText>":"</w:instrText>
      </w:r>
      <w:r w:rsidR="009D170B">
        <w:rPr>
          <w:b/>
          <w:lang w:val="en-US"/>
        </w:rPr>
        <w:instrText>BACKGROUND</w:instrText>
      </w:r>
      <w:r w:rsidR="009D170B" w:rsidRPr="00320416">
        <w:rPr>
          <w:b/>
        </w:rPr>
        <w:instrText xml:space="preserve"> </w:instrText>
      </w:r>
      <w:r w:rsidR="009D170B">
        <w:rPr>
          <w:b/>
          <w:lang w:val="en-US"/>
        </w:rPr>
        <w:instrText>AND</w:instrText>
      </w:r>
      <w:r w:rsidR="009D170B" w:rsidRPr="00320416">
        <w:rPr>
          <w:b/>
        </w:rPr>
        <w:instrText xml:space="preserve"> </w:instrText>
      </w:r>
      <w:r w:rsidR="009D170B">
        <w:rPr>
          <w:b/>
          <w:lang w:val="en-US"/>
        </w:rPr>
        <w:instrText>OBJECTIVES</w:instrText>
      </w:r>
      <w:r w:rsidR="009D170B" w:rsidRPr="00320416">
        <w:rPr>
          <w:b/>
        </w:rPr>
        <w:instrText xml:space="preserve"> </w:instrText>
      </w:r>
      <w:r w:rsidR="009D170B">
        <w:rPr>
          <w:b/>
          <w:lang w:val="en-US"/>
        </w:rPr>
        <w:instrText>Anthracycline</w:instrText>
      </w:r>
      <w:r w:rsidR="009D170B" w:rsidRPr="00320416">
        <w:rPr>
          <w:b/>
        </w:rPr>
        <w:instrText>-</w:instrText>
      </w:r>
      <w:r w:rsidR="009D170B">
        <w:rPr>
          <w:b/>
          <w:lang w:val="en-US"/>
        </w:rPr>
        <w:instrText>based</w:instrText>
      </w:r>
      <w:r w:rsidR="009D170B" w:rsidRPr="00320416">
        <w:rPr>
          <w:b/>
        </w:rPr>
        <w:instrText xml:space="preserve"> </w:instrText>
      </w:r>
      <w:r w:rsidR="009D170B">
        <w:rPr>
          <w:b/>
          <w:lang w:val="en-US"/>
        </w:rPr>
        <w:instrText>combination</w:instrText>
      </w:r>
      <w:r w:rsidR="009D170B" w:rsidRPr="00320416">
        <w:rPr>
          <w:b/>
        </w:rPr>
        <w:instrText xml:space="preserve"> </w:instrText>
      </w:r>
      <w:r w:rsidR="009D170B">
        <w:rPr>
          <w:b/>
          <w:lang w:val="en-US"/>
        </w:rPr>
        <w:instrText>chemotherapy</w:instrText>
      </w:r>
      <w:r w:rsidR="009D170B" w:rsidRPr="00320416">
        <w:rPr>
          <w:b/>
        </w:rPr>
        <w:instrText xml:space="preserve"> </w:instrText>
      </w:r>
      <w:r w:rsidR="009D170B">
        <w:rPr>
          <w:b/>
          <w:lang w:val="en-US"/>
        </w:rPr>
        <w:instrText>regimens</w:instrText>
      </w:r>
      <w:r w:rsidR="009D170B" w:rsidRPr="00320416">
        <w:rPr>
          <w:b/>
        </w:rPr>
        <w:instrText xml:space="preserve"> </w:instrText>
      </w:r>
      <w:r w:rsidR="009D170B">
        <w:rPr>
          <w:b/>
          <w:lang w:val="en-US"/>
        </w:rPr>
        <w:instrText>are</w:instrText>
      </w:r>
      <w:r w:rsidR="009D170B" w:rsidRPr="00320416">
        <w:rPr>
          <w:b/>
        </w:rPr>
        <w:instrText xml:space="preserve"> </w:instrText>
      </w:r>
      <w:r w:rsidR="009D170B">
        <w:rPr>
          <w:b/>
          <w:lang w:val="en-US"/>
        </w:rPr>
        <w:instrText>the</w:instrText>
      </w:r>
      <w:r w:rsidR="009D170B" w:rsidRPr="00320416">
        <w:rPr>
          <w:b/>
        </w:rPr>
        <w:instrText xml:space="preserve"> </w:instrText>
      </w:r>
      <w:r w:rsidR="009D170B">
        <w:rPr>
          <w:b/>
          <w:lang w:val="en-US"/>
        </w:rPr>
        <w:instrText>standard</w:instrText>
      </w:r>
      <w:r w:rsidR="009D170B" w:rsidRPr="00320416">
        <w:rPr>
          <w:b/>
        </w:rPr>
        <w:instrText xml:space="preserve"> </w:instrText>
      </w:r>
      <w:r w:rsidR="009D170B">
        <w:rPr>
          <w:b/>
          <w:lang w:val="en-US"/>
        </w:rPr>
        <w:instrText>therapy</w:instrText>
      </w:r>
      <w:r w:rsidR="009D170B" w:rsidRPr="00320416">
        <w:rPr>
          <w:b/>
        </w:rPr>
        <w:instrText xml:space="preserve"> </w:instrText>
      </w:r>
      <w:r w:rsidR="009D170B">
        <w:rPr>
          <w:b/>
          <w:lang w:val="en-US"/>
        </w:rPr>
        <w:instrText>for</w:instrText>
      </w:r>
      <w:r w:rsidR="009D170B" w:rsidRPr="00320416">
        <w:rPr>
          <w:b/>
        </w:rPr>
        <w:instrText xml:space="preserve"> </w:instrText>
      </w:r>
      <w:r w:rsidR="009D170B">
        <w:rPr>
          <w:b/>
          <w:lang w:val="en-US"/>
        </w:rPr>
        <w:instrText>patients</w:instrText>
      </w:r>
      <w:r w:rsidR="009D170B" w:rsidRPr="00320416">
        <w:rPr>
          <w:b/>
        </w:rPr>
        <w:instrText xml:space="preserve"> </w:instrText>
      </w:r>
      <w:r w:rsidR="009D170B">
        <w:rPr>
          <w:b/>
          <w:lang w:val="en-US"/>
        </w:rPr>
        <w:instrText>with</w:instrText>
      </w:r>
      <w:r w:rsidR="009D170B" w:rsidRPr="00320416">
        <w:rPr>
          <w:b/>
        </w:rPr>
        <w:instrText xml:space="preserve"> </w:instrText>
      </w:r>
      <w:r w:rsidR="009D170B">
        <w:rPr>
          <w:b/>
          <w:lang w:val="en-US"/>
        </w:rPr>
        <w:instrText>diffuse</w:instrText>
      </w:r>
      <w:r w:rsidR="009D170B" w:rsidRPr="00320416">
        <w:rPr>
          <w:b/>
        </w:rPr>
        <w:instrText xml:space="preserve"> </w:instrText>
      </w:r>
      <w:r w:rsidR="009D170B">
        <w:rPr>
          <w:b/>
          <w:lang w:val="en-US"/>
        </w:rPr>
        <w:instrText>large</w:instrText>
      </w:r>
      <w:r w:rsidR="009D170B" w:rsidRPr="00320416">
        <w:rPr>
          <w:b/>
        </w:rPr>
        <w:instrText xml:space="preserve"> </w:instrText>
      </w:r>
      <w:r w:rsidR="009D170B">
        <w:rPr>
          <w:b/>
          <w:lang w:val="en-US"/>
        </w:rPr>
        <w:instrText>B</w:instrText>
      </w:r>
      <w:r w:rsidR="009D170B" w:rsidRPr="00320416">
        <w:rPr>
          <w:b/>
        </w:rPr>
        <w:instrText>-</w:instrText>
      </w:r>
      <w:r w:rsidR="009D170B">
        <w:rPr>
          <w:b/>
          <w:lang w:val="en-US"/>
        </w:rPr>
        <w:instrText>cell</w:instrText>
      </w:r>
      <w:r w:rsidR="009D170B" w:rsidRPr="00320416">
        <w:rPr>
          <w:b/>
        </w:rPr>
        <w:instrText xml:space="preserve"> </w:instrText>
      </w:r>
      <w:r w:rsidR="009D170B">
        <w:rPr>
          <w:b/>
          <w:lang w:val="en-US"/>
        </w:rPr>
        <w:instrText>lymphoma</w:instrText>
      </w:r>
      <w:r w:rsidR="009D170B" w:rsidRPr="00320416">
        <w:rPr>
          <w:b/>
        </w:rPr>
        <w:instrText xml:space="preserve"> (</w:instrText>
      </w:r>
      <w:r w:rsidR="009D170B">
        <w:rPr>
          <w:b/>
          <w:lang w:val="en-US"/>
        </w:rPr>
        <w:instrText>DLBCL</w:instrText>
      </w:r>
      <w:r w:rsidR="009D170B" w:rsidRPr="00320416">
        <w:rPr>
          <w:b/>
        </w:rPr>
        <w:instrText xml:space="preserve">), </w:instrText>
      </w:r>
      <w:r w:rsidR="009D170B">
        <w:rPr>
          <w:b/>
          <w:lang w:val="en-US"/>
        </w:rPr>
        <w:instrText>but</w:instrText>
      </w:r>
      <w:r w:rsidR="009D170B" w:rsidRPr="00320416">
        <w:rPr>
          <w:b/>
        </w:rPr>
        <w:instrText xml:space="preserve"> </w:instrText>
      </w:r>
      <w:r w:rsidR="009D170B">
        <w:rPr>
          <w:b/>
          <w:lang w:val="en-US"/>
        </w:rPr>
        <w:instrText>such</w:instrText>
      </w:r>
      <w:r w:rsidR="009D170B" w:rsidRPr="00320416">
        <w:rPr>
          <w:b/>
        </w:rPr>
        <w:instrText xml:space="preserve"> </w:instrText>
      </w:r>
      <w:r w:rsidR="009D170B">
        <w:rPr>
          <w:b/>
          <w:lang w:val="en-US"/>
        </w:rPr>
        <w:instrText>regimens</w:instrText>
      </w:r>
      <w:r w:rsidR="009D170B" w:rsidRPr="00320416">
        <w:rPr>
          <w:b/>
        </w:rPr>
        <w:instrText xml:space="preserve"> </w:instrText>
      </w:r>
      <w:r w:rsidR="009D170B">
        <w:rPr>
          <w:b/>
          <w:lang w:val="en-US"/>
        </w:rPr>
        <w:instrText>may</w:instrText>
      </w:r>
      <w:r w:rsidR="009D170B" w:rsidRPr="00320416">
        <w:rPr>
          <w:b/>
        </w:rPr>
        <w:instrText xml:space="preserve"> </w:instrText>
      </w:r>
      <w:r w:rsidR="009D170B">
        <w:rPr>
          <w:b/>
          <w:lang w:val="en-US"/>
        </w:rPr>
        <w:instrText>be</w:instrText>
      </w:r>
      <w:r w:rsidR="009D170B" w:rsidRPr="00320416">
        <w:rPr>
          <w:b/>
        </w:rPr>
        <w:instrText xml:space="preserve"> </w:instrText>
      </w:r>
      <w:r w:rsidR="009D170B">
        <w:rPr>
          <w:b/>
          <w:lang w:val="en-US"/>
        </w:rPr>
        <w:instrText>poorly</w:instrText>
      </w:r>
      <w:r w:rsidR="009D170B" w:rsidRPr="00320416">
        <w:rPr>
          <w:b/>
        </w:rPr>
        <w:instrText xml:space="preserve"> </w:instrText>
      </w:r>
      <w:r w:rsidR="009D170B">
        <w:rPr>
          <w:b/>
          <w:lang w:val="en-US"/>
        </w:rPr>
        <w:instrText>tolerated</w:instrText>
      </w:r>
      <w:r w:rsidR="009D170B" w:rsidRPr="00320416">
        <w:rPr>
          <w:b/>
        </w:rPr>
        <w:instrText xml:space="preserve"> </w:instrText>
      </w:r>
      <w:r w:rsidR="009D170B">
        <w:rPr>
          <w:b/>
          <w:lang w:val="en-US"/>
        </w:rPr>
        <w:instrText>in</w:instrText>
      </w:r>
      <w:r w:rsidR="009D170B" w:rsidRPr="00320416">
        <w:rPr>
          <w:b/>
        </w:rPr>
        <w:instrText xml:space="preserve"> </w:instrText>
      </w:r>
      <w:r w:rsidR="009D170B">
        <w:rPr>
          <w:b/>
          <w:lang w:val="en-US"/>
        </w:rPr>
        <w:instrText>elderly</w:instrText>
      </w:r>
      <w:r w:rsidR="009D170B" w:rsidRPr="00320416">
        <w:rPr>
          <w:b/>
        </w:rPr>
        <w:instrText xml:space="preserve"> </w:instrText>
      </w:r>
      <w:r w:rsidR="009D170B">
        <w:rPr>
          <w:b/>
          <w:lang w:val="en-US"/>
        </w:rPr>
        <w:instrText>patients</w:instrText>
      </w:r>
      <w:r w:rsidR="009D170B" w:rsidRPr="00320416">
        <w:rPr>
          <w:b/>
        </w:rPr>
        <w:instrText xml:space="preserve">. </w:instrText>
      </w:r>
      <w:r w:rsidR="009D170B">
        <w:rPr>
          <w:b/>
          <w:lang w:val="en-US"/>
        </w:rPr>
        <w:instrText>DESIGN</w:instrText>
      </w:r>
      <w:r w:rsidR="009D170B" w:rsidRPr="00320416">
        <w:rPr>
          <w:b/>
        </w:rPr>
        <w:instrText xml:space="preserve"> </w:instrText>
      </w:r>
      <w:r w:rsidR="009D170B">
        <w:rPr>
          <w:b/>
          <w:lang w:val="en-US"/>
        </w:rPr>
        <w:instrText>AND</w:instrText>
      </w:r>
      <w:r w:rsidR="009D170B" w:rsidRPr="00320416">
        <w:rPr>
          <w:b/>
        </w:rPr>
        <w:instrText xml:space="preserve"> </w:instrText>
      </w:r>
      <w:r w:rsidR="009D170B">
        <w:rPr>
          <w:b/>
          <w:lang w:val="en-US"/>
        </w:rPr>
        <w:instrText>METHODS</w:instrText>
      </w:r>
      <w:r w:rsidR="009D170B" w:rsidRPr="00320416">
        <w:rPr>
          <w:b/>
        </w:rPr>
        <w:instrText xml:space="preserve"> </w:instrText>
      </w:r>
      <w:r w:rsidR="009D170B">
        <w:rPr>
          <w:b/>
          <w:lang w:val="en-US"/>
        </w:rPr>
        <w:instrText>In</w:instrText>
      </w:r>
      <w:r w:rsidR="009D170B" w:rsidRPr="00320416">
        <w:rPr>
          <w:b/>
        </w:rPr>
        <w:instrText xml:space="preserve"> </w:instrText>
      </w:r>
      <w:r w:rsidR="009D170B">
        <w:rPr>
          <w:b/>
          <w:lang w:val="en-US"/>
        </w:rPr>
        <w:instrText>a</w:instrText>
      </w:r>
      <w:r w:rsidR="009D170B" w:rsidRPr="00320416">
        <w:rPr>
          <w:b/>
        </w:rPr>
        <w:instrText xml:space="preserve"> </w:instrText>
      </w:r>
      <w:r w:rsidR="009D170B">
        <w:rPr>
          <w:b/>
          <w:lang w:val="en-US"/>
        </w:rPr>
        <w:instrText>prospective</w:instrText>
      </w:r>
      <w:r w:rsidR="009D170B" w:rsidRPr="00320416">
        <w:rPr>
          <w:b/>
        </w:rPr>
        <w:instrText xml:space="preserve"> </w:instrText>
      </w:r>
      <w:r w:rsidR="009D170B">
        <w:rPr>
          <w:b/>
          <w:lang w:val="en-US"/>
        </w:rPr>
        <w:instrText>phase</w:instrText>
      </w:r>
      <w:r w:rsidR="009D170B" w:rsidRPr="00320416">
        <w:rPr>
          <w:b/>
        </w:rPr>
        <w:instrText xml:space="preserve"> </w:instrText>
      </w:r>
      <w:r w:rsidR="009D170B">
        <w:rPr>
          <w:b/>
          <w:lang w:val="en-US"/>
        </w:rPr>
        <w:instrText>II</w:instrText>
      </w:r>
      <w:r w:rsidR="009D170B" w:rsidRPr="00320416">
        <w:rPr>
          <w:b/>
        </w:rPr>
        <w:instrText xml:space="preserve"> </w:instrText>
      </w:r>
      <w:r w:rsidR="009D170B">
        <w:rPr>
          <w:b/>
          <w:lang w:val="en-US"/>
        </w:rPr>
        <w:instrText>study</w:instrText>
      </w:r>
      <w:r w:rsidR="009D170B" w:rsidRPr="00320416">
        <w:rPr>
          <w:b/>
        </w:rPr>
        <w:instrText xml:space="preserve"> </w:instrText>
      </w:r>
      <w:r w:rsidR="009D170B">
        <w:rPr>
          <w:b/>
          <w:lang w:val="en-US"/>
        </w:rPr>
        <w:instrText>we</w:instrText>
      </w:r>
      <w:r w:rsidR="009D170B" w:rsidRPr="00320416">
        <w:rPr>
          <w:b/>
        </w:rPr>
        <w:instrText xml:space="preserve"> </w:instrText>
      </w:r>
      <w:r w:rsidR="009D170B">
        <w:rPr>
          <w:b/>
          <w:lang w:val="en-US"/>
        </w:rPr>
        <w:instrText>analyzed</w:instrText>
      </w:r>
      <w:r w:rsidR="009D170B" w:rsidRPr="00320416">
        <w:rPr>
          <w:b/>
        </w:rPr>
        <w:instrText xml:space="preserve"> </w:instrText>
      </w:r>
      <w:r w:rsidR="009D170B">
        <w:rPr>
          <w:b/>
          <w:lang w:val="en-US"/>
        </w:rPr>
        <w:instrText>the</w:instrText>
      </w:r>
      <w:r w:rsidR="009D170B" w:rsidRPr="00320416">
        <w:rPr>
          <w:b/>
        </w:rPr>
        <w:instrText xml:space="preserve"> </w:instrText>
      </w:r>
      <w:r w:rsidR="009D170B">
        <w:rPr>
          <w:b/>
          <w:lang w:val="en-US"/>
        </w:rPr>
        <w:instrText>feasibility</w:instrText>
      </w:r>
      <w:r w:rsidR="009D170B" w:rsidRPr="00320416">
        <w:rPr>
          <w:b/>
        </w:rPr>
        <w:instrText xml:space="preserve"> </w:instrText>
      </w:r>
      <w:r w:rsidR="009D170B">
        <w:rPr>
          <w:b/>
          <w:lang w:val="en-US"/>
        </w:rPr>
        <w:instrText>of</w:instrText>
      </w:r>
      <w:r w:rsidR="009D170B" w:rsidRPr="00320416">
        <w:rPr>
          <w:b/>
        </w:rPr>
        <w:instrText xml:space="preserve"> </w:instrText>
      </w:r>
      <w:r w:rsidR="009D170B">
        <w:rPr>
          <w:b/>
          <w:lang w:val="en-US"/>
        </w:rPr>
        <w:instrText>a</w:instrText>
      </w:r>
      <w:r w:rsidR="009D170B" w:rsidRPr="00320416">
        <w:rPr>
          <w:b/>
        </w:rPr>
        <w:instrText xml:space="preserve"> </w:instrText>
      </w:r>
      <w:r w:rsidR="009D170B">
        <w:rPr>
          <w:b/>
          <w:lang w:val="en-US"/>
        </w:rPr>
        <w:instrText>regimen</w:instrText>
      </w:r>
      <w:r w:rsidR="009D170B" w:rsidRPr="00320416">
        <w:rPr>
          <w:b/>
        </w:rPr>
        <w:instrText xml:space="preserve"> (</w:instrText>
      </w:r>
      <w:r w:rsidR="009D170B">
        <w:rPr>
          <w:b/>
          <w:lang w:val="en-US"/>
        </w:rPr>
        <w:instrText>CCOP</w:instrText>
      </w:r>
      <w:r w:rsidR="009D170B" w:rsidRPr="00320416">
        <w:rPr>
          <w:b/>
        </w:rPr>
        <w:instrText xml:space="preserve">) </w:instrText>
      </w:r>
      <w:r w:rsidR="009D170B">
        <w:rPr>
          <w:b/>
          <w:lang w:val="en-US"/>
        </w:rPr>
        <w:instrText>that</w:instrText>
      </w:r>
      <w:r w:rsidR="009D170B" w:rsidRPr="00320416">
        <w:rPr>
          <w:b/>
        </w:rPr>
        <w:instrText xml:space="preserve"> </w:instrText>
      </w:r>
      <w:r w:rsidR="009D170B">
        <w:rPr>
          <w:b/>
          <w:lang w:val="en-US"/>
        </w:rPr>
        <w:instrText>includes</w:instrText>
      </w:r>
      <w:r w:rsidR="009D170B" w:rsidRPr="00320416">
        <w:rPr>
          <w:b/>
        </w:rPr>
        <w:instrText xml:space="preserve"> </w:instrText>
      </w:r>
      <w:r w:rsidR="009D170B">
        <w:rPr>
          <w:b/>
          <w:lang w:val="en-US"/>
        </w:rPr>
        <w:instrText>pegylated</w:instrText>
      </w:r>
      <w:r w:rsidR="009D170B" w:rsidRPr="00320416">
        <w:rPr>
          <w:b/>
        </w:rPr>
        <w:instrText xml:space="preserve"> </w:instrText>
      </w:r>
      <w:r w:rsidR="009D170B">
        <w:rPr>
          <w:b/>
          <w:lang w:val="en-US"/>
        </w:rPr>
        <w:instrText>liposomal</w:instrText>
      </w:r>
      <w:r w:rsidR="009D170B" w:rsidRPr="00320416">
        <w:rPr>
          <w:b/>
        </w:rPr>
        <w:instrText xml:space="preserve"> </w:instrText>
      </w:r>
      <w:r w:rsidR="009D170B">
        <w:rPr>
          <w:b/>
          <w:lang w:val="en-US"/>
        </w:rPr>
        <w:instrText>doxorubicin</w:instrText>
      </w:r>
      <w:r w:rsidR="009D170B" w:rsidRPr="00320416">
        <w:rPr>
          <w:b/>
        </w:rPr>
        <w:instrText xml:space="preserve"> (</w:instrText>
      </w:r>
      <w:r w:rsidR="009D170B">
        <w:rPr>
          <w:b/>
          <w:lang w:val="en-US"/>
        </w:rPr>
        <w:instrText>Caelyx</w:instrText>
      </w:r>
      <w:r w:rsidR="009D170B" w:rsidRPr="00320416">
        <w:rPr>
          <w:b/>
        </w:rPr>
        <w:instrText xml:space="preserve"> ) </w:instrText>
      </w:r>
      <w:r w:rsidR="009D170B">
        <w:rPr>
          <w:b/>
          <w:lang w:val="en-US"/>
        </w:rPr>
        <w:instrText>plus</w:instrText>
      </w:r>
      <w:r w:rsidR="009D170B" w:rsidRPr="00320416">
        <w:rPr>
          <w:b/>
        </w:rPr>
        <w:instrText xml:space="preserve"> </w:instrText>
      </w:r>
      <w:r w:rsidR="009D170B">
        <w:rPr>
          <w:b/>
          <w:lang w:val="en-US"/>
        </w:rPr>
        <w:instrText>vincristine</w:instrText>
      </w:r>
      <w:r w:rsidR="009D170B" w:rsidRPr="00320416">
        <w:rPr>
          <w:b/>
        </w:rPr>
        <w:instrText xml:space="preserve">, </w:instrText>
      </w:r>
      <w:r w:rsidR="009D170B">
        <w:rPr>
          <w:b/>
          <w:lang w:val="en-US"/>
        </w:rPr>
        <w:instrText>cyclophosphamide</w:instrText>
      </w:r>
      <w:r w:rsidR="009D170B" w:rsidRPr="00320416">
        <w:rPr>
          <w:b/>
        </w:rPr>
        <w:instrText xml:space="preserve"> </w:instrText>
      </w:r>
      <w:r w:rsidR="009D170B">
        <w:rPr>
          <w:b/>
          <w:lang w:val="en-US"/>
        </w:rPr>
        <w:instrText>and</w:instrText>
      </w:r>
      <w:r w:rsidR="009D170B" w:rsidRPr="00320416">
        <w:rPr>
          <w:b/>
        </w:rPr>
        <w:instrText xml:space="preserve"> </w:instrText>
      </w:r>
      <w:r w:rsidR="009D170B">
        <w:rPr>
          <w:b/>
          <w:lang w:val="en-US"/>
        </w:rPr>
        <w:instrText>prednisone</w:instrText>
      </w:r>
      <w:r w:rsidR="009D170B" w:rsidRPr="00320416">
        <w:rPr>
          <w:b/>
        </w:rPr>
        <w:instrText xml:space="preserve"> </w:instrText>
      </w:r>
      <w:r w:rsidR="009D170B">
        <w:rPr>
          <w:b/>
          <w:lang w:val="en-US"/>
        </w:rPr>
        <w:instrText>in</w:instrText>
      </w:r>
      <w:r w:rsidR="009D170B" w:rsidRPr="00320416">
        <w:rPr>
          <w:b/>
        </w:rPr>
        <w:instrText xml:space="preserve"> </w:instrText>
      </w:r>
      <w:r w:rsidR="009D170B">
        <w:rPr>
          <w:b/>
          <w:lang w:val="en-US"/>
        </w:rPr>
        <w:instrText>patients</w:instrText>
      </w:r>
      <w:r w:rsidR="009D170B" w:rsidRPr="00320416">
        <w:rPr>
          <w:b/>
        </w:rPr>
        <w:instrText xml:space="preserve"> </w:instrText>
      </w:r>
      <w:r w:rsidR="009D170B">
        <w:rPr>
          <w:b/>
          <w:lang w:val="en-US"/>
        </w:rPr>
        <w:instrText>with</w:instrText>
      </w:r>
      <w:r w:rsidR="009D170B" w:rsidRPr="00320416">
        <w:rPr>
          <w:b/>
        </w:rPr>
        <w:instrText xml:space="preserve"> </w:instrText>
      </w:r>
      <w:r w:rsidR="009D170B">
        <w:rPr>
          <w:b/>
          <w:lang w:val="en-US"/>
        </w:rPr>
        <w:instrText>DLBCL</w:instrText>
      </w:r>
      <w:r w:rsidR="009D170B" w:rsidRPr="00320416">
        <w:rPr>
          <w:b/>
        </w:rPr>
        <w:instrText xml:space="preserve"> </w:instrText>
      </w:r>
      <w:r w:rsidR="009D170B">
        <w:rPr>
          <w:b/>
          <w:lang w:val="en-US"/>
        </w:rPr>
        <w:instrText>above</w:instrText>
      </w:r>
      <w:r w:rsidR="009D170B" w:rsidRPr="00320416">
        <w:rPr>
          <w:b/>
        </w:rPr>
        <w:instrText xml:space="preserve"> </w:instrText>
      </w:r>
      <w:r w:rsidR="009D170B">
        <w:rPr>
          <w:b/>
          <w:lang w:val="en-US"/>
        </w:rPr>
        <w:instrText>the</w:instrText>
      </w:r>
      <w:r w:rsidR="009D170B" w:rsidRPr="00320416">
        <w:rPr>
          <w:b/>
        </w:rPr>
        <w:instrText xml:space="preserve"> </w:instrText>
      </w:r>
      <w:r w:rsidR="009D170B">
        <w:rPr>
          <w:b/>
          <w:lang w:val="en-US"/>
        </w:rPr>
        <w:instrText>age</w:instrText>
      </w:r>
      <w:r w:rsidR="009D170B" w:rsidRPr="00320416">
        <w:rPr>
          <w:b/>
        </w:rPr>
        <w:instrText xml:space="preserve"> </w:instrText>
      </w:r>
      <w:r w:rsidR="009D170B">
        <w:rPr>
          <w:b/>
          <w:lang w:val="en-US"/>
        </w:rPr>
        <w:instrText>of</w:instrText>
      </w:r>
      <w:r w:rsidR="009D170B" w:rsidRPr="00320416">
        <w:rPr>
          <w:b/>
        </w:rPr>
        <w:instrText xml:space="preserve"> 60 </w:instrText>
      </w:r>
      <w:r w:rsidR="009D170B">
        <w:rPr>
          <w:b/>
          <w:lang w:val="en-US"/>
        </w:rPr>
        <w:instrText>years</w:instrText>
      </w:r>
      <w:r w:rsidR="009D170B" w:rsidRPr="00320416">
        <w:rPr>
          <w:b/>
        </w:rPr>
        <w:instrText xml:space="preserve">. </w:instrText>
      </w:r>
      <w:r w:rsidR="009D170B">
        <w:rPr>
          <w:b/>
          <w:lang w:val="en-US"/>
        </w:rPr>
        <w:instrText>RESULTS</w:instrText>
      </w:r>
      <w:r w:rsidR="009D170B" w:rsidRPr="00320416">
        <w:rPr>
          <w:b/>
        </w:rPr>
        <w:instrText xml:space="preserve"> </w:instrText>
      </w:r>
      <w:r w:rsidR="009D170B">
        <w:rPr>
          <w:b/>
          <w:lang w:val="en-US"/>
        </w:rPr>
        <w:instrText>Thirty</w:instrText>
      </w:r>
      <w:r w:rsidR="009D170B" w:rsidRPr="00320416">
        <w:rPr>
          <w:b/>
        </w:rPr>
        <w:instrText>-</w:instrText>
      </w:r>
      <w:r w:rsidR="009D170B">
        <w:rPr>
          <w:b/>
          <w:lang w:val="en-US"/>
        </w:rPr>
        <w:instrText>three</w:instrText>
      </w:r>
      <w:r w:rsidR="009D170B" w:rsidRPr="00320416">
        <w:rPr>
          <w:b/>
        </w:rPr>
        <w:instrText xml:space="preserve"> </w:instrText>
      </w:r>
      <w:r w:rsidR="009D170B">
        <w:rPr>
          <w:b/>
          <w:lang w:val="en-US"/>
        </w:rPr>
        <w:instrText>patients</w:instrText>
      </w:r>
      <w:r w:rsidR="009D170B" w:rsidRPr="00320416">
        <w:rPr>
          <w:b/>
        </w:rPr>
        <w:instrText xml:space="preserve">, </w:instrText>
      </w:r>
      <w:r w:rsidR="009D170B">
        <w:rPr>
          <w:b/>
          <w:lang w:val="en-US"/>
        </w:rPr>
        <w:instrText>with</w:instrText>
      </w:r>
      <w:r w:rsidR="009D170B" w:rsidRPr="00320416">
        <w:rPr>
          <w:b/>
        </w:rPr>
        <w:instrText xml:space="preserve"> </w:instrText>
      </w:r>
      <w:r w:rsidR="009D170B">
        <w:rPr>
          <w:b/>
          <w:lang w:val="en-US"/>
        </w:rPr>
        <w:instrText>a</w:instrText>
      </w:r>
      <w:r w:rsidR="009D170B" w:rsidRPr="00320416">
        <w:rPr>
          <w:b/>
        </w:rPr>
        <w:instrText xml:space="preserve"> </w:instrText>
      </w:r>
      <w:r w:rsidR="009D170B">
        <w:rPr>
          <w:b/>
          <w:lang w:val="en-US"/>
        </w:rPr>
        <w:instrText>median</w:instrText>
      </w:r>
      <w:r w:rsidR="009D170B" w:rsidRPr="00320416">
        <w:rPr>
          <w:b/>
        </w:rPr>
        <w:instrText xml:space="preserve"> </w:instrText>
      </w:r>
      <w:r w:rsidR="009D170B">
        <w:rPr>
          <w:b/>
          <w:lang w:val="en-US"/>
        </w:rPr>
        <w:instrText>age</w:instrText>
      </w:r>
      <w:r w:rsidR="009D170B" w:rsidRPr="00320416">
        <w:rPr>
          <w:b/>
        </w:rPr>
        <w:instrText xml:space="preserve"> </w:instrText>
      </w:r>
      <w:r w:rsidR="009D170B">
        <w:rPr>
          <w:b/>
          <w:lang w:val="en-US"/>
        </w:rPr>
        <w:instrText>of</w:instrText>
      </w:r>
      <w:r w:rsidR="009D170B" w:rsidRPr="00320416">
        <w:rPr>
          <w:b/>
        </w:rPr>
        <w:instrText xml:space="preserve"> 74 </w:instrText>
      </w:r>
      <w:r w:rsidR="009D170B">
        <w:rPr>
          <w:b/>
          <w:lang w:val="en-US"/>
        </w:rPr>
        <w:instrText>years</w:instrText>
      </w:r>
      <w:r w:rsidR="009D170B" w:rsidRPr="00320416">
        <w:rPr>
          <w:b/>
        </w:rPr>
        <w:instrText xml:space="preserve">, </w:instrText>
      </w:r>
      <w:r w:rsidR="009D170B">
        <w:rPr>
          <w:b/>
          <w:lang w:val="en-US"/>
        </w:rPr>
        <w:instrText>were</w:instrText>
      </w:r>
      <w:r w:rsidR="009D170B" w:rsidRPr="00320416">
        <w:rPr>
          <w:b/>
        </w:rPr>
        <w:instrText xml:space="preserve"> </w:instrText>
      </w:r>
      <w:r w:rsidR="009D170B">
        <w:rPr>
          <w:b/>
          <w:lang w:val="en-US"/>
        </w:rPr>
        <w:instrText>enrolled</w:instrText>
      </w:r>
      <w:r w:rsidR="009D170B" w:rsidRPr="00320416">
        <w:rPr>
          <w:b/>
        </w:rPr>
        <w:instrText xml:space="preserve"> </w:instrText>
      </w:r>
      <w:r w:rsidR="009D170B">
        <w:rPr>
          <w:b/>
          <w:lang w:val="en-US"/>
        </w:rPr>
        <w:instrText>in</w:instrText>
      </w:r>
      <w:r w:rsidR="009D170B" w:rsidRPr="00320416">
        <w:rPr>
          <w:b/>
        </w:rPr>
        <w:instrText xml:space="preserve"> </w:instrText>
      </w:r>
      <w:r w:rsidR="009D170B">
        <w:rPr>
          <w:b/>
          <w:lang w:val="en-US"/>
        </w:rPr>
        <w:instrText>the</w:instrText>
      </w:r>
      <w:r w:rsidR="009D170B" w:rsidRPr="00320416">
        <w:rPr>
          <w:b/>
        </w:rPr>
        <w:instrText xml:space="preserve"> </w:instrText>
      </w:r>
      <w:r w:rsidR="009D170B">
        <w:rPr>
          <w:b/>
          <w:lang w:val="en-US"/>
        </w:rPr>
        <w:instrText>study</w:instrText>
      </w:r>
      <w:r w:rsidR="009D170B" w:rsidRPr="00320416">
        <w:rPr>
          <w:b/>
        </w:rPr>
        <w:instrText xml:space="preserve">. </w:instrText>
      </w:r>
      <w:r w:rsidR="009D170B">
        <w:rPr>
          <w:b/>
          <w:lang w:val="en-US"/>
        </w:rPr>
        <w:instrText>The</w:instrText>
      </w:r>
      <w:r w:rsidR="009D170B" w:rsidRPr="00320416">
        <w:rPr>
          <w:b/>
        </w:rPr>
        <w:instrText xml:space="preserve"> </w:instrText>
      </w:r>
      <w:r w:rsidR="009D170B">
        <w:rPr>
          <w:b/>
          <w:lang w:val="en-US"/>
        </w:rPr>
        <w:instrText>overall</w:instrText>
      </w:r>
      <w:r w:rsidR="009D170B" w:rsidRPr="00320416">
        <w:rPr>
          <w:b/>
        </w:rPr>
        <w:instrText xml:space="preserve"> </w:instrText>
      </w:r>
      <w:r w:rsidR="009D170B">
        <w:rPr>
          <w:b/>
          <w:lang w:val="en-US"/>
        </w:rPr>
        <w:instrText>response</w:instrText>
      </w:r>
      <w:r w:rsidR="009D170B" w:rsidRPr="00320416">
        <w:rPr>
          <w:b/>
        </w:rPr>
        <w:instrText xml:space="preserve"> </w:instrText>
      </w:r>
      <w:r w:rsidR="009D170B">
        <w:rPr>
          <w:b/>
          <w:lang w:val="en-US"/>
        </w:rPr>
        <w:instrText>rate</w:instrText>
      </w:r>
      <w:r w:rsidR="009D170B" w:rsidRPr="00320416">
        <w:rPr>
          <w:b/>
        </w:rPr>
        <w:instrText xml:space="preserve"> </w:instrText>
      </w:r>
      <w:r w:rsidR="009D170B">
        <w:rPr>
          <w:b/>
          <w:lang w:val="en-US"/>
        </w:rPr>
        <w:instrText>was</w:instrText>
      </w:r>
      <w:r w:rsidR="009D170B" w:rsidRPr="00320416">
        <w:rPr>
          <w:b/>
        </w:rPr>
        <w:instrText xml:space="preserve"> 64% (49% </w:instrText>
      </w:r>
      <w:r w:rsidR="009D170B">
        <w:rPr>
          <w:b/>
          <w:lang w:val="en-US"/>
        </w:rPr>
        <w:instrText>complete</w:instrText>
      </w:r>
      <w:r w:rsidR="009D170B" w:rsidRPr="00320416">
        <w:rPr>
          <w:b/>
        </w:rPr>
        <w:instrText xml:space="preserve"> </w:instrText>
      </w:r>
      <w:r w:rsidR="009D170B">
        <w:rPr>
          <w:b/>
          <w:lang w:val="en-US"/>
        </w:rPr>
        <w:instrText>remissions</w:instrText>
      </w:r>
      <w:r w:rsidR="009D170B" w:rsidRPr="00320416">
        <w:rPr>
          <w:b/>
        </w:rPr>
        <w:instrText xml:space="preserve"> </w:instrText>
      </w:r>
      <w:r w:rsidR="009D170B">
        <w:rPr>
          <w:b/>
          <w:lang w:val="en-US"/>
        </w:rPr>
        <w:instrText>and</w:instrText>
      </w:r>
      <w:r w:rsidR="009D170B" w:rsidRPr="00320416">
        <w:rPr>
          <w:b/>
        </w:rPr>
        <w:instrText xml:space="preserve"> 15% </w:instrText>
      </w:r>
      <w:r w:rsidR="009D170B">
        <w:rPr>
          <w:b/>
          <w:lang w:val="en-US"/>
        </w:rPr>
        <w:instrText>partial</w:instrText>
      </w:r>
      <w:r w:rsidR="009D170B" w:rsidRPr="00320416">
        <w:rPr>
          <w:b/>
        </w:rPr>
        <w:instrText xml:space="preserve"> </w:instrText>
      </w:r>
      <w:r w:rsidR="009D170B">
        <w:rPr>
          <w:b/>
          <w:lang w:val="en-US"/>
        </w:rPr>
        <w:instrText>remissions</w:instrText>
      </w:r>
      <w:r w:rsidR="009D170B" w:rsidRPr="00320416">
        <w:rPr>
          <w:b/>
        </w:rPr>
        <w:instrText xml:space="preserve">). </w:instrText>
      </w:r>
      <w:r w:rsidR="009D170B">
        <w:rPr>
          <w:b/>
          <w:lang w:val="en-US"/>
        </w:rPr>
        <w:instrText>The</w:instrText>
      </w:r>
      <w:r w:rsidR="009D170B" w:rsidRPr="00320416">
        <w:rPr>
          <w:b/>
        </w:rPr>
        <w:instrText xml:space="preserve"> </w:instrText>
      </w:r>
      <w:r w:rsidR="009D170B">
        <w:rPr>
          <w:b/>
          <w:lang w:val="en-US"/>
        </w:rPr>
        <w:instrText>estimated</w:instrText>
      </w:r>
      <w:r w:rsidR="009D170B" w:rsidRPr="00320416">
        <w:rPr>
          <w:b/>
        </w:rPr>
        <w:instrText xml:space="preserve"> </w:instrText>
      </w:r>
      <w:r w:rsidR="009D170B">
        <w:rPr>
          <w:b/>
          <w:lang w:val="en-US"/>
        </w:rPr>
        <w:instrText>one</w:instrText>
      </w:r>
      <w:r w:rsidR="009D170B" w:rsidRPr="00320416">
        <w:rPr>
          <w:b/>
        </w:rPr>
        <w:instrText>-</w:instrText>
      </w:r>
      <w:r w:rsidR="009D170B">
        <w:rPr>
          <w:b/>
          <w:lang w:val="en-US"/>
        </w:rPr>
        <w:instrText>year</w:instrText>
      </w:r>
      <w:r w:rsidR="009D170B" w:rsidRPr="00320416">
        <w:rPr>
          <w:b/>
        </w:rPr>
        <w:instrText xml:space="preserve"> </w:instrText>
      </w:r>
      <w:r w:rsidR="009D170B">
        <w:rPr>
          <w:b/>
          <w:lang w:val="en-US"/>
        </w:rPr>
        <w:instrText>overall</w:instrText>
      </w:r>
      <w:r w:rsidR="009D170B" w:rsidRPr="00320416">
        <w:rPr>
          <w:b/>
        </w:rPr>
        <w:instrText xml:space="preserve"> </w:instrText>
      </w:r>
      <w:r w:rsidR="009D170B">
        <w:rPr>
          <w:b/>
          <w:lang w:val="en-US"/>
        </w:rPr>
        <w:instrText>and</w:instrText>
      </w:r>
      <w:r w:rsidR="009D170B" w:rsidRPr="00320416">
        <w:rPr>
          <w:b/>
        </w:rPr>
        <w:instrText xml:space="preserve"> </w:instrText>
      </w:r>
      <w:r w:rsidR="009D170B">
        <w:rPr>
          <w:b/>
          <w:lang w:val="en-US"/>
        </w:rPr>
        <w:instrText>event</w:instrText>
      </w:r>
      <w:r w:rsidR="009D170B" w:rsidRPr="00320416">
        <w:rPr>
          <w:b/>
        </w:rPr>
        <w:instrText>-</w:instrText>
      </w:r>
      <w:r w:rsidR="009D170B">
        <w:rPr>
          <w:b/>
          <w:lang w:val="en-US"/>
        </w:rPr>
        <w:instrText>free</w:instrText>
      </w:r>
      <w:r w:rsidR="009D170B" w:rsidRPr="00320416">
        <w:rPr>
          <w:b/>
        </w:rPr>
        <w:instrText xml:space="preserve"> </w:instrText>
      </w:r>
      <w:r w:rsidR="009D170B">
        <w:rPr>
          <w:b/>
          <w:lang w:val="en-US"/>
        </w:rPr>
        <w:instrText>survivals</w:instrText>
      </w:r>
      <w:r w:rsidR="009D170B" w:rsidRPr="00320416">
        <w:rPr>
          <w:b/>
        </w:rPr>
        <w:instrText xml:space="preserve"> </w:instrText>
      </w:r>
      <w:r w:rsidR="009D170B">
        <w:rPr>
          <w:b/>
          <w:lang w:val="en-US"/>
        </w:rPr>
        <w:instrText>were</w:instrText>
      </w:r>
      <w:r w:rsidR="009D170B" w:rsidRPr="00320416">
        <w:rPr>
          <w:b/>
        </w:rPr>
        <w:instrText xml:space="preserve"> 55% (95% </w:instrText>
      </w:r>
      <w:r w:rsidR="009D170B">
        <w:rPr>
          <w:b/>
          <w:lang w:val="en-US"/>
        </w:rPr>
        <w:instrText>CI</w:instrText>
      </w:r>
      <w:r w:rsidR="009D170B" w:rsidRPr="00320416">
        <w:rPr>
          <w:b/>
        </w:rPr>
        <w:instrText xml:space="preserve">, 38-72) </w:instrText>
      </w:r>
      <w:r w:rsidR="009D170B">
        <w:rPr>
          <w:b/>
          <w:lang w:val="en-US"/>
        </w:rPr>
        <w:instrText>and</w:instrText>
      </w:r>
      <w:r w:rsidR="009D170B" w:rsidRPr="00320416">
        <w:rPr>
          <w:b/>
        </w:rPr>
        <w:instrText xml:space="preserve"> 45% (95%</w:instrText>
      </w:r>
      <w:r w:rsidR="009D170B">
        <w:rPr>
          <w:b/>
          <w:lang w:val="en-US"/>
        </w:rPr>
        <w:instrText>CI</w:instrText>
      </w:r>
      <w:r w:rsidR="009D170B" w:rsidRPr="00320416">
        <w:rPr>
          <w:b/>
        </w:rPr>
        <w:instrText xml:space="preserve">, 28-62), </w:instrText>
      </w:r>
      <w:r w:rsidR="009D170B">
        <w:rPr>
          <w:b/>
          <w:lang w:val="en-US"/>
        </w:rPr>
        <w:instrText>respectively</w:instrText>
      </w:r>
      <w:r w:rsidR="009D170B" w:rsidRPr="00320416">
        <w:rPr>
          <w:b/>
        </w:rPr>
        <w:instrText xml:space="preserve">. </w:instrText>
      </w:r>
      <w:r w:rsidR="009D170B">
        <w:rPr>
          <w:b/>
          <w:lang w:val="en-US"/>
        </w:rPr>
        <w:instrText>The</w:instrText>
      </w:r>
      <w:r w:rsidR="009D170B" w:rsidRPr="00320416">
        <w:rPr>
          <w:b/>
        </w:rPr>
        <w:instrText xml:space="preserve"> </w:instrText>
      </w:r>
      <w:r w:rsidR="009D170B">
        <w:rPr>
          <w:b/>
          <w:lang w:val="en-US"/>
        </w:rPr>
        <w:instrText>only</w:instrText>
      </w:r>
      <w:r w:rsidR="009D170B" w:rsidRPr="00320416">
        <w:rPr>
          <w:b/>
        </w:rPr>
        <w:instrText xml:space="preserve"> </w:instrText>
      </w:r>
      <w:r w:rsidR="009D170B">
        <w:rPr>
          <w:b/>
          <w:lang w:val="en-US"/>
        </w:rPr>
        <w:instrText>relevant</w:instrText>
      </w:r>
      <w:r w:rsidR="009D170B" w:rsidRPr="00320416">
        <w:rPr>
          <w:b/>
        </w:rPr>
        <w:instrText xml:space="preserve"> </w:instrText>
      </w:r>
      <w:r w:rsidR="009D170B">
        <w:rPr>
          <w:b/>
          <w:lang w:val="en-US"/>
        </w:rPr>
        <w:instrText>toxicity</w:instrText>
      </w:r>
      <w:r w:rsidR="009D170B" w:rsidRPr="00320416">
        <w:rPr>
          <w:b/>
        </w:rPr>
        <w:instrText xml:space="preserve"> </w:instrText>
      </w:r>
      <w:r w:rsidR="009D170B">
        <w:rPr>
          <w:b/>
          <w:lang w:val="en-US"/>
        </w:rPr>
        <w:instrText>was</w:instrText>
      </w:r>
      <w:r w:rsidR="009D170B" w:rsidRPr="00320416">
        <w:rPr>
          <w:b/>
        </w:rPr>
        <w:instrText xml:space="preserve"> </w:instrText>
      </w:r>
      <w:r w:rsidR="009D170B">
        <w:rPr>
          <w:b/>
          <w:lang w:val="en-US"/>
        </w:rPr>
        <w:instrText>neutropenia</w:instrText>
      </w:r>
      <w:r w:rsidR="009D170B" w:rsidRPr="00320416">
        <w:rPr>
          <w:b/>
        </w:rPr>
        <w:instrText xml:space="preserve">, </w:instrText>
      </w:r>
      <w:r w:rsidR="009D170B">
        <w:rPr>
          <w:b/>
          <w:lang w:val="en-US"/>
        </w:rPr>
        <w:instrText>which</w:instrText>
      </w:r>
      <w:r w:rsidR="009D170B" w:rsidRPr="00320416">
        <w:rPr>
          <w:b/>
        </w:rPr>
        <w:instrText xml:space="preserve"> </w:instrText>
      </w:r>
      <w:r w:rsidR="009D170B">
        <w:rPr>
          <w:b/>
          <w:lang w:val="en-US"/>
        </w:rPr>
        <w:instrText>reached</w:instrText>
      </w:r>
      <w:r w:rsidR="009D170B" w:rsidRPr="00320416">
        <w:rPr>
          <w:b/>
        </w:rPr>
        <w:instrText xml:space="preserve"> </w:instrText>
      </w:r>
      <w:r w:rsidR="009D170B">
        <w:rPr>
          <w:b/>
          <w:lang w:val="en-US"/>
        </w:rPr>
        <w:instrText>grades</w:instrText>
      </w:r>
      <w:r w:rsidR="009D170B" w:rsidRPr="00320416">
        <w:rPr>
          <w:b/>
        </w:rPr>
        <w:instrText xml:space="preserve"> 3-4 </w:instrText>
      </w:r>
      <w:r w:rsidR="009D170B">
        <w:rPr>
          <w:b/>
          <w:lang w:val="en-US"/>
        </w:rPr>
        <w:instrText>in</w:instrText>
      </w:r>
      <w:r w:rsidR="009D170B" w:rsidRPr="00320416">
        <w:rPr>
          <w:b/>
        </w:rPr>
        <w:instrText xml:space="preserve"> 21 </w:instrText>
      </w:r>
      <w:r w:rsidR="009D170B">
        <w:rPr>
          <w:b/>
          <w:lang w:val="en-US"/>
        </w:rPr>
        <w:instrText>cases</w:instrText>
      </w:r>
      <w:r w:rsidR="009D170B" w:rsidRPr="00320416">
        <w:rPr>
          <w:b/>
        </w:rPr>
        <w:instrText xml:space="preserve"> (64%). </w:instrText>
      </w:r>
      <w:r w:rsidR="009D170B">
        <w:rPr>
          <w:b/>
          <w:lang w:val="en-US"/>
        </w:rPr>
        <w:instrText>INTERPRETATION</w:instrText>
      </w:r>
      <w:r w:rsidR="009D170B" w:rsidRPr="00320416">
        <w:rPr>
          <w:b/>
        </w:rPr>
        <w:instrText xml:space="preserve"> </w:instrText>
      </w:r>
      <w:r w:rsidR="009D170B">
        <w:rPr>
          <w:b/>
          <w:lang w:val="en-US"/>
        </w:rPr>
        <w:instrText>AND</w:instrText>
      </w:r>
      <w:r w:rsidR="009D170B" w:rsidRPr="00320416">
        <w:rPr>
          <w:b/>
        </w:rPr>
        <w:instrText xml:space="preserve"> </w:instrText>
      </w:r>
      <w:r w:rsidR="009D170B">
        <w:rPr>
          <w:b/>
          <w:lang w:val="en-US"/>
        </w:rPr>
        <w:instrText>CONCLUSIONS</w:instrText>
      </w:r>
      <w:r w:rsidR="009D170B" w:rsidRPr="00320416">
        <w:rPr>
          <w:b/>
        </w:rPr>
        <w:instrText xml:space="preserve"> </w:instrText>
      </w:r>
      <w:r w:rsidR="009D170B">
        <w:rPr>
          <w:b/>
          <w:lang w:val="en-US"/>
        </w:rPr>
        <w:instrText>These</w:instrText>
      </w:r>
      <w:r w:rsidR="009D170B" w:rsidRPr="00320416">
        <w:rPr>
          <w:b/>
        </w:rPr>
        <w:instrText xml:space="preserve"> </w:instrText>
      </w:r>
      <w:r w:rsidR="009D170B">
        <w:rPr>
          <w:b/>
          <w:lang w:val="en-US"/>
        </w:rPr>
        <w:instrText>results</w:instrText>
      </w:r>
      <w:r w:rsidR="009D170B" w:rsidRPr="00320416">
        <w:rPr>
          <w:b/>
        </w:rPr>
        <w:instrText xml:space="preserve"> </w:instrText>
      </w:r>
      <w:r w:rsidR="009D170B">
        <w:rPr>
          <w:b/>
          <w:lang w:val="en-US"/>
        </w:rPr>
        <w:instrText>suggest</w:instrText>
      </w:r>
      <w:r w:rsidR="009D170B" w:rsidRPr="00320416">
        <w:rPr>
          <w:b/>
        </w:rPr>
        <w:instrText xml:space="preserve"> </w:instrText>
      </w:r>
      <w:r w:rsidR="009D170B">
        <w:rPr>
          <w:b/>
          <w:lang w:val="en-US"/>
        </w:rPr>
        <w:instrText>that</w:instrText>
      </w:r>
      <w:r w:rsidR="009D170B" w:rsidRPr="00320416">
        <w:rPr>
          <w:b/>
        </w:rPr>
        <w:instrText xml:space="preserve"> </w:instrText>
      </w:r>
      <w:r w:rsidR="009D170B">
        <w:rPr>
          <w:b/>
          <w:lang w:val="en-US"/>
        </w:rPr>
        <w:instrText>CCOP</w:instrText>
      </w:r>
      <w:r w:rsidR="009D170B" w:rsidRPr="00320416">
        <w:rPr>
          <w:b/>
        </w:rPr>
        <w:instrText xml:space="preserve"> </w:instrText>
      </w:r>
      <w:r w:rsidR="009D170B">
        <w:rPr>
          <w:b/>
          <w:lang w:val="en-US"/>
        </w:rPr>
        <w:instrText>appears</w:instrText>
      </w:r>
      <w:r w:rsidR="009D170B" w:rsidRPr="00320416">
        <w:rPr>
          <w:b/>
        </w:rPr>
        <w:instrText xml:space="preserve"> </w:instrText>
      </w:r>
      <w:r w:rsidR="009D170B">
        <w:rPr>
          <w:b/>
          <w:lang w:val="en-US"/>
        </w:rPr>
        <w:instrText>to</w:instrText>
      </w:r>
      <w:r w:rsidR="009D170B" w:rsidRPr="00320416">
        <w:rPr>
          <w:b/>
        </w:rPr>
        <w:instrText xml:space="preserve"> </w:instrText>
      </w:r>
      <w:r w:rsidR="009D170B">
        <w:rPr>
          <w:b/>
          <w:lang w:val="en-US"/>
        </w:rPr>
        <w:instrText>be</w:instrText>
      </w:r>
      <w:r w:rsidR="009D170B" w:rsidRPr="00320416">
        <w:rPr>
          <w:b/>
        </w:rPr>
        <w:instrText xml:space="preserve"> </w:instrText>
      </w:r>
      <w:r w:rsidR="009D170B">
        <w:rPr>
          <w:b/>
          <w:lang w:val="en-US"/>
        </w:rPr>
        <w:instrText>an</w:instrText>
      </w:r>
      <w:r w:rsidR="009D170B" w:rsidRPr="00320416">
        <w:rPr>
          <w:b/>
        </w:rPr>
        <w:instrText xml:space="preserve"> </w:instrText>
      </w:r>
      <w:r w:rsidR="009D170B">
        <w:rPr>
          <w:b/>
          <w:lang w:val="en-US"/>
        </w:rPr>
        <w:instrText>acceptable</w:instrText>
      </w:r>
      <w:r w:rsidR="009D170B" w:rsidRPr="00320416">
        <w:rPr>
          <w:b/>
        </w:rPr>
        <w:instrText xml:space="preserve"> </w:instrText>
      </w:r>
      <w:r w:rsidR="009D170B">
        <w:rPr>
          <w:b/>
          <w:lang w:val="en-US"/>
        </w:rPr>
        <w:instrText>alternative</w:instrText>
      </w:r>
      <w:r w:rsidR="009D170B" w:rsidRPr="00320416">
        <w:rPr>
          <w:b/>
        </w:rPr>
        <w:instrText xml:space="preserve"> </w:instrText>
      </w:r>
      <w:r w:rsidR="009D170B">
        <w:rPr>
          <w:b/>
          <w:lang w:val="en-US"/>
        </w:rPr>
        <w:instrText>for</w:instrText>
      </w:r>
      <w:r w:rsidR="009D170B" w:rsidRPr="00320416">
        <w:rPr>
          <w:b/>
        </w:rPr>
        <w:instrText xml:space="preserve"> </w:instrText>
      </w:r>
      <w:r w:rsidR="009D170B">
        <w:rPr>
          <w:b/>
          <w:lang w:val="en-US"/>
        </w:rPr>
        <w:instrText>elderly</w:instrText>
      </w:r>
      <w:r w:rsidR="009D170B" w:rsidRPr="00320416">
        <w:rPr>
          <w:b/>
        </w:rPr>
        <w:instrText xml:space="preserve"> </w:instrText>
      </w:r>
      <w:r w:rsidR="009D170B">
        <w:rPr>
          <w:b/>
          <w:lang w:val="en-US"/>
        </w:rPr>
        <w:instrText>patients</w:instrText>
      </w:r>
      <w:r w:rsidR="009D170B" w:rsidRPr="00320416">
        <w:rPr>
          <w:b/>
        </w:rPr>
        <w:instrText xml:space="preserve"> </w:instrText>
      </w:r>
      <w:r w:rsidR="009D170B">
        <w:rPr>
          <w:b/>
          <w:lang w:val="en-US"/>
        </w:rPr>
        <w:instrText>with</w:instrText>
      </w:r>
      <w:r w:rsidR="009D170B" w:rsidRPr="00320416">
        <w:rPr>
          <w:b/>
        </w:rPr>
        <w:instrText xml:space="preserve"> </w:instrText>
      </w:r>
      <w:r w:rsidR="009D170B">
        <w:rPr>
          <w:b/>
          <w:lang w:val="en-US"/>
        </w:rPr>
        <w:instrText>DLBCL</w:instrText>
      </w:r>
      <w:r w:rsidR="009D170B" w:rsidRPr="00320416">
        <w:rPr>
          <w:b/>
        </w:rPr>
        <w:instrText>,</w:instrText>
      </w:r>
      <w:r w:rsidR="009D170B">
        <w:rPr>
          <w:b/>
          <w:lang w:val="en-US"/>
        </w:rPr>
        <w:instrText xml:space="preserve"> and randomized trials against a conventional doxorubicin-containing regimen are justified.","author":[{"dropping-particle":"","family":"Martino","given":"Rodrigo","non-dropping-particle":"","parse-names":false,"suffix":""},{"dropping-particle":"","family":"Perea","given":"Granada","non-dropping-particle":"","parse-names":false,"suffix":""},{"dropping-particle":"","family":"Caballero","given":"María Dolores","non-dropping-particle":"","parse-names":false,"suffix":""},{"dropping-particle":"V","family":"Mateos","given":"María","non-dropping-particle":"","parse-names":false,"suffix":""},{"dropping-particle":"","family":"Ribera","given":"Josep M","non-dropping-particle":"","parse-names":false,"suffix":""},{"dropping-particle":"","family":"Oteyza","given":"Jaime Pérez","non-dropping-particle":"de","parse-names":false,"suffix":""},{"dropping-particle":"","family":"Arranz","given":"Reyes","non-dropping-particle":"","parse-names":false,"suffix":""},{"dropping-particle":"","family":"Terol","given":"María José","non-dropping-particle":"","parse-names":false,"suffix":""},{"dropping-particle":"","family":"Sierra","given":"Jorge","non-dropping-particle":"","parse-names":false,"suffix":""},{"dropping-particle":"","family":"San Miguel","given":"Jesús F","non-dropping-particle":"","parse-names":false,"suffix":""}],"container-title":"Haematologica","id":"ITEM-1","issue":"8","issued":{"date-parts":[["2002","8","1"]]},"page":"822-7","publisher":"Haematologica","title":"Cyclophosphamide, pegylated liposomal doxorubicin (Caelyx), vincristine and prednisone (CCOP) in elderly patients with diffuse large B-cell lymphoma: results from a prospective phase II study.","type":"article-journal","volume":"87"},"uris":["http://www.mendeley.com/documents/?uuid=3f2e1abe-b820-48c7-b6d1-a9c3185592ee"]}],"mendeley":{"formattedCitation":"[66]","plainTextFormattedCitation":"[66]","previouslyFormattedCitation":"[66]"},"properties":{"noteIndex":0},"schema":"https://github.com/citation-style-language/schema/raw/master/csl-citation.json"}</w:instrText>
      </w:r>
      <w:r w:rsidRPr="000322E4">
        <w:rPr>
          <w:b/>
          <w:lang w:val="en-US"/>
        </w:rPr>
        <w:fldChar w:fldCharType="separate"/>
      </w:r>
      <w:r w:rsidR="00095D58" w:rsidRPr="00095D58">
        <w:rPr>
          <w:noProof/>
        </w:rPr>
        <w:t>[66]</w:t>
      </w:r>
      <w:r w:rsidRPr="000322E4">
        <w:rPr>
          <w:b/>
          <w:lang w:val="en-US"/>
        </w:rPr>
        <w:fldChar w:fldCharType="end"/>
      </w:r>
    </w:p>
    <w:p w14:paraId="2EF813D8" w14:textId="773762C9" w:rsidR="00666D68" w:rsidRPr="000322E4" w:rsidRDefault="00666D68" w:rsidP="008E3584">
      <w:pPr>
        <w:numPr>
          <w:ilvl w:val="0"/>
          <w:numId w:val="41"/>
        </w:numPr>
        <w:spacing w:line="360" w:lineRule="auto"/>
        <w:jc w:val="both"/>
      </w:pPr>
      <w:r w:rsidRPr="000322E4">
        <w:t>Ритуксимаб</w:t>
      </w:r>
      <w:r w:rsidRPr="000322E4">
        <w:rPr>
          <w:bCs/>
        </w:rPr>
        <w:t>**</w:t>
      </w:r>
      <w:r w:rsidRPr="000322E4">
        <w:t xml:space="preserve"> </w:t>
      </w:r>
      <w:r w:rsidRPr="000322E4">
        <w:fldChar w:fldCharType="begin" w:fldLock="1"/>
      </w:r>
      <w:r w:rsidR="009D170B">
        <w:instrText>ADDIN CSL_CITATION {"citationItems":[{"id":"ITEM-1","itemData":{"DOI":"10.1007/s12325-017-0612-x","ISSN":"18658652","abstract":"Abstract: Rituximab is a human/murine, chimeric anti-CD20 monoclonal antibody with established efficacy, and a favorable and well-defined safety profile in patients with various CD20-expressing lymphoid malignancies, including indolent and aggressive forms of B-cell non-Hodgkin lymphoma. Since its first approval 20 years ago, intravenously administered rituximab has revolutionized the treatment of B-cell malignancies and has become a standard component of care for follicular lymphoma, diffuse large B-cell lymphoma, chronic lymphocytic leukemia, and mantle cell lymphoma. For all of these diseases, clinical trials have demonstrated that rituximab not only prolongs the time to disease progression but also extends overall survival. Efficacy benefits have also been shown in patients with marginal zone lymphoma and in more aggressive diseases such as Burkitt lymphoma. Although the proven clinical efficacy and success of rituximab has led to the development of other anti-CD20 monoclonal antibodies in recent years (e.g., obinutuzumab, ofatumumab, veltuzumab, and ocrelizumab), rituximab is likely to maintain a position within the therapeutic armamentarium because it is well established with a long history of successful clinical use. Furthermore, a subcutaneous formulation of the drug has been approved both in the EU and in the USA for the treatment of B-cell malignancies. Using the wealth of data published on rituximab during the last two decades, we review the preclinical development of rituximab and the clinical experience gained in the treatment of hematologic B-cell malignancies, with a focus on the well-established intravenous route of administration. This article is a companion paper to A. Davies, et al., which is also published in this issue. Funding: F. Hoffmann-La Roche Ltd., Basel, Switzerland.","author":[{"dropping-particle":"","family":"Salles","given":"Gilles","non-dropping-particle":"","parse-names":false,"suffix":""},{"dropping-particle":"","family":"Barrett","given":"Martin","non-dropping-particle":"","parse-names":false,"suffix":""},{"dropping-particle":"","family":"Foà","given":"Robin","non-dropping-particle":"","parse-names":false,"suffix":""},{"dropping-particle":"","family":"Maurer","given":"Joerg","non-dropping-particle":"","parse-names":false,"suffix":""},{"dropping-particle":"","family":"O’Brien","given":"Susan","non-dropping-particle":"","parse-names":false,"suffix":""},{"dropping-particle":"","family":"Valente","given":"Nancy","non-dropping-particle":"","parse-names":false,"suffix":""},{"dropping-particle":"","family":"Wenger","given":"Michael","non-dropping-particle":"","parse-names":false,"suffix":""},{"dropping-particle":"","family":"Maloney","given":"David G.","non-dropping-particle":"","parse-names":false,"suffix":""}],"container-title":"Advances in Therapy","id":"ITEM-1","issue":"10","issued":{"date-parts":[["2017"]]},"page":"2232-2273","title":"Rituximab in B-Cell Hematologic Malignancies: A Review of 20 Years of Clinical Experience","type":"article","volume":"34"},"uris":["http://www.mendeley.com/documents/?uuid=99572feb-1e31-3440-866b-d3d6fcf81668"]}],"mendeley":{"formattedCitation":"[71]","plainTextFormattedCitation":"[71]","previouslyFormattedCitation":"[71]"},"properties":{"noteIndex":0},"schema":"https://github.com/citation-style-language/schema/raw/master/csl-citation.json"}</w:instrText>
      </w:r>
      <w:r w:rsidRPr="000322E4">
        <w:fldChar w:fldCharType="separate"/>
      </w:r>
      <w:r w:rsidR="00095D58" w:rsidRPr="00095D58">
        <w:rPr>
          <w:noProof/>
        </w:rPr>
        <w:t>[71]</w:t>
      </w:r>
      <w:r w:rsidRPr="000322E4">
        <w:fldChar w:fldCharType="end"/>
      </w:r>
    </w:p>
    <w:p w14:paraId="7E1E0AC6" w14:textId="77777777" w:rsidR="00666D68" w:rsidRPr="000322E4" w:rsidRDefault="00666D68" w:rsidP="008E3584">
      <w:pPr>
        <w:numPr>
          <w:ilvl w:val="1"/>
          <w:numId w:val="41"/>
        </w:numPr>
        <w:spacing w:line="360" w:lineRule="auto"/>
        <w:jc w:val="both"/>
      </w:pPr>
      <w:r w:rsidRPr="000322E4">
        <w:t>375 мг/м</w:t>
      </w:r>
      <w:r w:rsidRPr="000322E4">
        <w:rPr>
          <w:vertAlign w:val="superscript"/>
        </w:rPr>
        <w:t>2</w:t>
      </w:r>
      <w:r w:rsidRPr="000322E4">
        <w:t xml:space="preserve"> в/в кап., день 0 или 1 все циклы курса</w:t>
      </w:r>
    </w:p>
    <w:p w14:paraId="61904ECE" w14:textId="77777777" w:rsidR="00666D68" w:rsidRPr="000322E4" w:rsidRDefault="00666D68" w:rsidP="008E3584">
      <w:pPr>
        <w:spacing w:line="360" w:lineRule="auto"/>
        <w:ind w:left="1080" w:firstLine="336"/>
        <w:jc w:val="both"/>
      </w:pPr>
      <w:r w:rsidRPr="000322E4">
        <w:t>или</w:t>
      </w:r>
    </w:p>
    <w:p w14:paraId="782C1EDB" w14:textId="3549079D" w:rsidR="00666D68" w:rsidRPr="00293AC8" w:rsidRDefault="00666D68" w:rsidP="008E3584">
      <w:pPr>
        <w:pStyle w:val="afe"/>
        <w:numPr>
          <w:ilvl w:val="1"/>
          <w:numId w:val="41"/>
        </w:numPr>
        <w:contextualSpacing w:val="0"/>
        <w:rPr>
          <w:lang w:eastAsia="ru-RU"/>
        </w:rPr>
      </w:pPr>
      <w:r w:rsidRPr="000322E4">
        <w:rPr>
          <w:lang w:eastAsia="ru-RU"/>
        </w:rPr>
        <w:t>375 мг/м</w:t>
      </w:r>
      <w:r w:rsidRPr="000322E4">
        <w:rPr>
          <w:vertAlign w:val="superscript"/>
          <w:lang w:eastAsia="ru-RU"/>
        </w:rPr>
        <w:t>2</w:t>
      </w:r>
      <w:r w:rsidRPr="000322E4">
        <w:rPr>
          <w:lang w:eastAsia="ru-RU"/>
        </w:rPr>
        <w:t xml:space="preserve"> в/в кап. 1 цикл,</w:t>
      </w:r>
      <w:r w:rsidRPr="000322E4">
        <w:t xml:space="preserve"> далее ритуксимаб 1400 мг п/к,</w:t>
      </w:r>
      <w:r w:rsidRPr="000322E4">
        <w:rPr>
          <w:lang w:eastAsia="ru-RU"/>
        </w:rPr>
        <w:t xml:space="preserve"> день 0 или 1 </w:t>
      </w:r>
      <w:r w:rsidRPr="000322E4">
        <w:rPr>
          <w:lang w:val="en-US" w:eastAsia="ru-RU"/>
        </w:rPr>
        <w:fldChar w:fldCharType="begin" w:fldLock="1"/>
      </w:r>
      <w:r w:rsidR="00A6794A">
        <w:rPr>
          <w:lang w:val="en-US" w:eastAsia="ru-RU"/>
        </w:rPr>
        <w:instrText>ADDIN</w:instrText>
      </w:r>
      <w:r w:rsidR="00A6794A" w:rsidRPr="00D3550C">
        <w:rPr>
          <w:lang w:eastAsia="ru-RU"/>
        </w:rPr>
        <w:instrText xml:space="preserve"> </w:instrText>
      </w:r>
      <w:r w:rsidR="00A6794A">
        <w:rPr>
          <w:lang w:val="en-US" w:eastAsia="ru-RU"/>
        </w:rPr>
        <w:instrText>CSL</w:instrText>
      </w:r>
      <w:r w:rsidR="00A6794A" w:rsidRPr="00D3550C">
        <w:rPr>
          <w:lang w:eastAsia="ru-RU"/>
        </w:rPr>
        <w:instrText>_</w:instrText>
      </w:r>
      <w:r w:rsidR="00A6794A">
        <w:rPr>
          <w:lang w:val="en-US" w:eastAsia="ru-RU"/>
        </w:rPr>
        <w:instrText>CITATION</w:instrText>
      </w:r>
      <w:r w:rsidR="00A6794A" w:rsidRPr="00D3550C">
        <w:rPr>
          <w:lang w:eastAsia="ru-RU"/>
        </w:rPr>
        <w:instrText xml:space="preserve"> {"</w:instrText>
      </w:r>
      <w:r w:rsidR="00A6794A">
        <w:rPr>
          <w:lang w:val="en-US" w:eastAsia="ru-RU"/>
        </w:rPr>
        <w:instrText>citationItems</w:instrText>
      </w:r>
      <w:r w:rsidR="00A6794A" w:rsidRPr="00D3550C">
        <w:rPr>
          <w:lang w:eastAsia="ru-RU"/>
        </w:rPr>
        <w:instrText>":[{"</w:instrText>
      </w:r>
      <w:r w:rsidR="00A6794A">
        <w:rPr>
          <w:lang w:val="en-US" w:eastAsia="ru-RU"/>
        </w:rPr>
        <w:instrText>id</w:instrText>
      </w:r>
      <w:r w:rsidR="00A6794A" w:rsidRPr="00D3550C">
        <w:rPr>
          <w:lang w:eastAsia="ru-RU"/>
        </w:rPr>
        <w:instrText>":"</w:instrText>
      </w:r>
      <w:r w:rsidR="00A6794A">
        <w:rPr>
          <w:lang w:val="en-US" w:eastAsia="ru-RU"/>
        </w:rPr>
        <w:instrText>ITEM</w:instrText>
      </w:r>
      <w:r w:rsidR="00A6794A" w:rsidRPr="00D3550C">
        <w:rPr>
          <w:lang w:eastAsia="ru-RU"/>
        </w:rPr>
        <w:instrText>-1","</w:instrText>
      </w:r>
      <w:r w:rsidR="00A6794A">
        <w:rPr>
          <w:lang w:val="en-US" w:eastAsia="ru-RU"/>
        </w:rPr>
        <w:instrText>itemData</w:instrText>
      </w:r>
      <w:r w:rsidR="00A6794A" w:rsidRPr="00D3550C">
        <w:rPr>
          <w:lang w:eastAsia="ru-RU"/>
        </w:rPr>
        <w:instrText>":{"</w:instrText>
      </w:r>
      <w:r w:rsidR="00A6794A">
        <w:rPr>
          <w:lang w:val="en-US" w:eastAsia="ru-RU"/>
        </w:rPr>
        <w:instrText>ISSN</w:instrText>
      </w:r>
      <w:r w:rsidR="00A6794A" w:rsidRPr="00D3550C">
        <w:rPr>
          <w:lang w:eastAsia="ru-RU"/>
        </w:rPr>
        <w:instrText>":"2150-0878","</w:instrText>
      </w:r>
      <w:r w:rsidR="00A6794A">
        <w:rPr>
          <w:lang w:val="en-US" w:eastAsia="ru-RU"/>
        </w:rPr>
        <w:instrText>PMID</w:instrText>
      </w:r>
      <w:r w:rsidR="00A6794A" w:rsidRPr="00D3550C">
        <w:rPr>
          <w:lang w:eastAsia="ru-RU"/>
        </w:rPr>
        <w:instrText>":"31086689","</w:instrText>
      </w:r>
      <w:r w:rsidR="00A6794A">
        <w:rPr>
          <w:lang w:val="en-US" w:eastAsia="ru-RU"/>
        </w:rPr>
        <w:instrText>abstract</w:instrText>
      </w:r>
      <w:r w:rsidR="00A6794A" w:rsidRPr="00D3550C">
        <w:rPr>
          <w:lang w:eastAsia="ru-RU"/>
        </w:rPr>
        <w:instrText>":"</w:instrText>
      </w:r>
      <w:r w:rsidR="00A6794A">
        <w:rPr>
          <w:lang w:val="en-US" w:eastAsia="ru-RU"/>
        </w:rPr>
        <w:instrText>Rituximab</w:instrText>
      </w:r>
      <w:r w:rsidR="00A6794A" w:rsidRPr="00D3550C">
        <w:rPr>
          <w:lang w:eastAsia="ru-RU"/>
        </w:rPr>
        <w:instrText xml:space="preserve"> </w:instrText>
      </w:r>
      <w:r w:rsidR="00A6794A">
        <w:rPr>
          <w:lang w:val="en-US" w:eastAsia="ru-RU"/>
        </w:rPr>
        <w:instrText>and</w:instrText>
      </w:r>
      <w:r w:rsidR="00A6794A" w:rsidRPr="00D3550C">
        <w:rPr>
          <w:lang w:eastAsia="ru-RU"/>
        </w:rPr>
        <w:instrText xml:space="preserve"> </w:instrText>
      </w:r>
      <w:r w:rsidR="00A6794A">
        <w:rPr>
          <w:lang w:val="en-US" w:eastAsia="ru-RU"/>
        </w:rPr>
        <w:instrText>hyaluronidase</w:instrText>
      </w:r>
      <w:r w:rsidR="00A6794A" w:rsidRPr="00D3550C">
        <w:rPr>
          <w:lang w:eastAsia="ru-RU"/>
        </w:rPr>
        <w:instrText xml:space="preserve"> </w:instrText>
      </w:r>
      <w:r w:rsidR="00A6794A">
        <w:rPr>
          <w:lang w:val="en-US" w:eastAsia="ru-RU"/>
        </w:rPr>
        <w:instrText>human</w:instrText>
      </w:r>
      <w:r w:rsidR="00A6794A" w:rsidRPr="00D3550C">
        <w:rPr>
          <w:lang w:eastAsia="ru-RU"/>
        </w:rPr>
        <w:instrText xml:space="preserve"> </w:instrText>
      </w:r>
      <w:r w:rsidR="00A6794A">
        <w:rPr>
          <w:lang w:val="en-US" w:eastAsia="ru-RU"/>
        </w:rPr>
        <w:instrText>is</w:instrText>
      </w:r>
      <w:r w:rsidR="00A6794A" w:rsidRPr="00D3550C">
        <w:rPr>
          <w:lang w:eastAsia="ru-RU"/>
        </w:rPr>
        <w:instrText xml:space="preserve"> </w:instrText>
      </w:r>
      <w:r w:rsidR="00A6794A">
        <w:rPr>
          <w:lang w:val="en-US" w:eastAsia="ru-RU"/>
        </w:rPr>
        <w:instrText>a</w:instrText>
      </w:r>
      <w:r w:rsidR="00A6794A" w:rsidRPr="00D3550C">
        <w:rPr>
          <w:lang w:eastAsia="ru-RU"/>
        </w:rPr>
        <w:instrText xml:space="preserve"> </w:instrText>
      </w:r>
      <w:r w:rsidR="00A6794A">
        <w:rPr>
          <w:lang w:val="en-US" w:eastAsia="ru-RU"/>
        </w:rPr>
        <w:instrText>new</w:instrText>
      </w:r>
      <w:r w:rsidR="00A6794A" w:rsidRPr="00D3550C">
        <w:rPr>
          <w:lang w:eastAsia="ru-RU"/>
        </w:rPr>
        <w:instrText xml:space="preserve"> </w:instrText>
      </w:r>
      <w:r w:rsidR="00A6794A">
        <w:rPr>
          <w:lang w:val="en-US" w:eastAsia="ru-RU"/>
        </w:rPr>
        <w:instrText>subcutaneous</w:instrText>
      </w:r>
      <w:r w:rsidR="00A6794A" w:rsidRPr="00D3550C">
        <w:rPr>
          <w:lang w:eastAsia="ru-RU"/>
        </w:rPr>
        <w:instrText xml:space="preserve"> </w:instrText>
      </w:r>
      <w:r w:rsidR="00A6794A">
        <w:rPr>
          <w:lang w:val="en-US" w:eastAsia="ru-RU"/>
        </w:rPr>
        <w:instrText>formulation</w:instrText>
      </w:r>
      <w:r w:rsidR="00A6794A" w:rsidRPr="00D3550C">
        <w:rPr>
          <w:lang w:eastAsia="ru-RU"/>
        </w:rPr>
        <w:instrText xml:space="preserve"> </w:instrText>
      </w:r>
      <w:r w:rsidR="00A6794A">
        <w:rPr>
          <w:lang w:val="en-US" w:eastAsia="ru-RU"/>
        </w:rPr>
        <w:instrText>of</w:instrText>
      </w:r>
      <w:r w:rsidR="00A6794A" w:rsidRPr="00D3550C">
        <w:rPr>
          <w:lang w:eastAsia="ru-RU"/>
        </w:rPr>
        <w:instrText xml:space="preserve"> </w:instrText>
      </w:r>
      <w:r w:rsidR="00A6794A">
        <w:rPr>
          <w:lang w:val="en-US" w:eastAsia="ru-RU"/>
        </w:rPr>
        <w:instrText>rituximab</w:instrText>
      </w:r>
      <w:r w:rsidR="00A6794A" w:rsidRPr="00D3550C">
        <w:rPr>
          <w:lang w:eastAsia="ru-RU"/>
        </w:rPr>
        <w:instrText xml:space="preserve"> </w:instrText>
      </w:r>
      <w:r w:rsidR="00A6794A">
        <w:rPr>
          <w:lang w:val="en-US" w:eastAsia="ru-RU"/>
        </w:rPr>
        <w:instrText>that</w:instrText>
      </w:r>
      <w:r w:rsidR="00A6794A" w:rsidRPr="00D3550C">
        <w:rPr>
          <w:lang w:eastAsia="ru-RU"/>
        </w:rPr>
        <w:instrText xml:space="preserve"> </w:instrText>
      </w:r>
      <w:r w:rsidR="00A6794A">
        <w:rPr>
          <w:lang w:val="en-US" w:eastAsia="ru-RU"/>
        </w:rPr>
        <w:instrText>was</w:instrText>
      </w:r>
      <w:r w:rsidR="00A6794A" w:rsidRPr="00D3550C">
        <w:rPr>
          <w:lang w:eastAsia="ru-RU"/>
        </w:rPr>
        <w:instrText xml:space="preserve"> </w:instrText>
      </w:r>
      <w:r w:rsidR="00A6794A">
        <w:rPr>
          <w:lang w:val="en-US" w:eastAsia="ru-RU"/>
        </w:rPr>
        <w:instrText>recently</w:instrText>
      </w:r>
      <w:r w:rsidR="00A6794A" w:rsidRPr="00D3550C">
        <w:rPr>
          <w:lang w:eastAsia="ru-RU"/>
        </w:rPr>
        <w:instrText xml:space="preserve"> </w:instrText>
      </w:r>
      <w:r w:rsidR="00A6794A">
        <w:rPr>
          <w:lang w:val="en-US" w:eastAsia="ru-RU"/>
        </w:rPr>
        <w:instrText>approved</w:instrText>
      </w:r>
      <w:r w:rsidR="00A6794A" w:rsidRPr="00D3550C">
        <w:rPr>
          <w:lang w:eastAsia="ru-RU"/>
        </w:rPr>
        <w:instrText xml:space="preserve"> </w:instrText>
      </w:r>
      <w:r w:rsidR="00A6794A">
        <w:rPr>
          <w:lang w:val="en-US" w:eastAsia="ru-RU"/>
        </w:rPr>
        <w:instrText>by</w:instrText>
      </w:r>
      <w:r w:rsidR="00A6794A" w:rsidRPr="00D3550C">
        <w:rPr>
          <w:lang w:eastAsia="ru-RU"/>
        </w:rPr>
        <w:instrText xml:space="preserve"> </w:instrText>
      </w:r>
      <w:r w:rsidR="00A6794A">
        <w:rPr>
          <w:lang w:val="en-US" w:eastAsia="ru-RU"/>
        </w:rPr>
        <w:instrText>the</w:instrText>
      </w:r>
      <w:r w:rsidR="00A6794A" w:rsidRPr="00D3550C">
        <w:rPr>
          <w:lang w:eastAsia="ru-RU"/>
        </w:rPr>
        <w:instrText xml:space="preserve"> </w:instrText>
      </w:r>
      <w:r w:rsidR="00A6794A">
        <w:rPr>
          <w:lang w:val="en-US" w:eastAsia="ru-RU"/>
        </w:rPr>
        <w:instrText>US</w:instrText>
      </w:r>
      <w:r w:rsidR="00A6794A" w:rsidRPr="00D3550C">
        <w:rPr>
          <w:lang w:eastAsia="ru-RU"/>
        </w:rPr>
        <w:instrText xml:space="preserve"> </w:instrText>
      </w:r>
      <w:r w:rsidR="00A6794A">
        <w:rPr>
          <w:lang w:val="en-US" w:eastAsia="ru-RU"/>
        </w:rPr>
        <w:instrText>Food</w:instrText>
      </w:r>
      <w:r w:rsidR="00A6794A" w:rsidRPr="00D3550C">
        <w:rPr>
          <w:lang w:eastAsia="ru-RU"/>
        </w:rPr>
        <w:instrText xml:space="preserve"> </w:instrText>
      </w:r>
      <w:r w:rsidR="00A6794A">
        <w:rPr>
          <w:lang w:val="en-US" w:eastAsia="ru-RU"/>
        </w:rPr>
        <w:instrText>and</w:instrText>
      </w:r>
      <w:r w:rsidR="00A6794A" w:rsidRPr="00D3550C">
        <w:rPr>
          <w:lang w:eastAsia="ru-RU"/>
        </w:rPr>
        <w:instrText xml:space="preserve"> </w:instrText>
      </w:r>
      <w:r w:rsidR="00A6794A">
        <w:rPr>
          <w:lang w:val="en-US" w:eastAsia="ru-RU"/>
        </w:rPr>
        <w:instrText>Drug</w:instrText>
      </w:r>
      <w:r w:rsidR="00A6794A" w:rsidRPr="00D3550C">
        <w:rPr>
          <w:lang w:eastAsia="ru-RU"/>
        </w:rPr>
        <w:instrText xml:space="preserve"> </w:instrText>
      </w:r>
      <w:r w:rsidR="00A6794A">
        <w:rPr>
          <w:lang w:val="en-US" w:eastAsia="ru-RU"/>
        </w:rPr>
        <w:instrText>Administration</w:instrText>
      </w:r>
      <w:r w:rsidR="00A6794A" w:rsidRPr="00D3550C">
        <w:rPr>
          <w:lang w:eastAsia="ru-RU"/>
        </w:rPr>
        <w:instrText xml:space="preserve"> </w:instrText>
      </w:r>
      <w:r w:rsidR="00A6794A">
        <w:rPr>
          <w:lang w:val="en-US" w:eastAsia="ru-RU"/>
        </w:rPr>
        <w:instrText>for</w:instrText>
      </w:r>
      <w:r w:rsidR="00A6794A" w:rsidRPr="00D3550C">
        <w:rPr>
          <w:lang w:eastAsia="ru-RU"/>
        </w:rPr>
        <w:instrText xml:space="preserve"> </w:instrText>
      </w:r>
      <w:r w:rsidR="00A6794A">
        <w:rPr>
          <w:lang w:val="en-US" w:eastAsia="ru-RU"/>
        </w:rPr>
        <w:instrText>the</w:instrText>
      </w:r>
      <w:r w:rsidR="00A6794A" w:rsidRPr="00D3550C">
        <w:rPr>
          <w:lang w:eastAsia="ru-RU"/>
        </w:rPr>
        <w:instrText xml:space="preserve"> </w:instrText>
      </w:r>
      <w:r w:rsidR="00A6794A">
        <w:rPr>
          <w:lang w:val="en-US" w:eastAsia="ru-RU"/>
        </w:rPr>
        <w:instrText>treatment</w:instrText>
      </w:r>
      <w:r w:rsidR="00A6794A" w:rsidRPr="00D3550C">
        <w:rPr>
          <w:lang w:eastAsia="ru-RU"/>
        </w:rPr>
        <w:instrText xml:space="preserve"> </w:instrText>
      </w:r>
      <w:r w:rsidR="00A6794A">
        <w:rPr>
          <w:lang w:val="en-US" w:eastAsia="ru-RU"/>
        </w:rPr>
        <w:instrText>of</w:instrText>
      </w:r>
      <w:r w:rsidR="00A6794A" w:rsidRPr="00D3550C">
        <w:rPr>
          <w:lang w:eastAsia="ru-RU"/>
        </w:rPr>
        <w:instrText xml:space="preserve"> </w:instrText>
      </w:r>
      <w:r w:rsidR="00A6794A">
        <w:rPr>
          <w:lang w:val="en-US" w:eastAsia="ru-RU"/>
        </w:rPr>
        <w:instrText>adults</w:instrText>
      </w:r>
      <w:r w:rsidR="00A6794A" w:rsidRPr="00D3550C">
        <w:rPr>
          <w:lang w:eastAsia="ru-RU"/>
        </w:rPr>
        <w:instrText xml:space="preserve"> </w:instrText>
      </w:r>
      <w:r w:rsidR="00A6794A">
        <w:rPr>
          <w:lang w:val="en-US" w:eastAsia="ru-RU"/>
        </w:rPr>
        <w:instrText>with</w:instrText>
      </w:r>
      <w:r w:rsidR="00A6794A" w:rsidRPr="00D3550C">
        <w:rPr>
          <w:lang w:eastAsia="ru-RU"/>
        </w:rPr>
        <w:instrText xml:space="preserve"> </w:instrText>
      </w:r>
      <w:r w:rsidR="00A6794A">
        <w:rPr>
          <w:lang w:val="en-US" w:eastAsia="ru-RU"/>
        </w:rPr>
        <w:instrText>follicular</w:instrText>
      </w:r>
      <w:r w:rsidR="00A6794A" w:rsidRPr="00D3550C">
        <w:rPr>
          <w:lang w:eastAsia="ru-RU"/>
        </w:rPr>
        <w:instrText xml:space="preserve"> </w:instrText>
      </w:r>
      <w:r w:rsidR="00A6794A">
        <w:rPr>
          <w:lang w:val="en-US" w:eastAsia="ru-RU"/>
        </w:rPr>
        <w:instrText>lymphoma</w:instrText>
      </w:r>
      <w:r w:rsidR="00A6794A" w:rsidRPr="00D3550C">
        <w:rPr>
          <w:lang w:eastAsia="ru-RU"/>
        </w:rPr>
        <w:instrText xml:space="preserve">, </w:instrText>
      </w:r>
      <w:r w:rsidR="00A6794A">
        <w:rPr>
          <w:lang w:val="en-US" w:eastAsia="ru-RU"/>
        </w:rPr>
        <w:instrText>diffuse</w:instrText>
      </w:r>
      <w:r w:rsidR="00A6794A" w:rsidRPr="00D3550C">
        <w:rPr>
          <w:lang w:eastAsia="ru-RU"/>
        </w:rPr>
        <w:instrText xml:space="preserve"> </w:instrText>
      </w:r>
      <w:r w:rsidR="00A6794A">
        <w:rPr>
          <w:lang w:val="en-US" w:eastAsia="ru-RU"/>
        </w:rPr>
        <w:instrText>large</w:instrText>
      </w:r>
      <w:r w:rsidR="00A6794A" w:rsidRPr="00D3550C">
        <w:rPr>
          <w:lang w:eastAsia="ru-RU"/>
        </w:rPr>
        <w:instrText xml:space="preserve"> </w:instrText>
      </w:r>
      <w:r w:rsidR="00A6794A">
        <w:rPr>
          <w:lang w:val="en-US" w:eastAsia="ru-RU"/>
        </w:rPr>
        <w:instrText>B</w:instrText>
      </w:r>
      <w:r w:rsidR="00A6794A" w:rsidRPr="00D3550C">
        <w:rPr>
          <w:lang w:eastAsia="ru-RU"/>
        </w:rPr>
        <w:instrText>-</w:instrText>
      </w:r>
      <w:r w:rsidR="00A6794A">
        <w:rPr>
          <w:lang w:val="en-US" w:eastAsia="ru-RU"/>
        </w:rPr>
        <w:instrText>cell</w:instrText>
      </w:r>
      <w:r w:rsidR="00A6794A" w:rsidRPr="00D3550C">
        <w:rPr>
          <w:lang w:eastAsia="ru-RU"/>
        </w:rPr>
        <w:instrText xml:space="preserve"> </w:instrText>
      </w:r>
      <w:r w:rsidR="00A6794A">
        <w:rPr>
          <w:lang w:val="en-US" w:eastAsia="ru-RU"/>
        </w:rPr>
        <w:instrText>lymphoma</w:instrText>
      </w:r>
      <w:r w:rsidR="00A6794A" w:rsidRPr="00D3550C">
        <w:rPr>
          <w:lang w:eastAsia="ru-RU"/>
        </w:rPr>
        <w:instrText xml:space="preserve">, </w:instrText>
      </w:r>
      <w:r w:rsidR="00A6794A">
        <w:rPr>
          <w:lang w:val="en-US" w:eastAsia="ru-RU"/>
        </w:rPr>
        <w:instrText>and</w:instrText>
      </w:r>
      <w:r w:rsidR="00A6794A" w:rsidRPr="00D3550C">
        <w:rPr>
          <w:lang w:eastAsia="ru-RU"/>
        </w:rPr>
        <w:instrText xml:space="preserve"> </w:instrText>
      </w:r>
      <w:r w:rsidR="00A6794A">
        <w:rPr>
          <w:lang w:val="en-US" w:eastAsia="ru-RU"/>
        </w:rPr>
        <w:instrText>chronic</w:instrText>
      </w:r>
      <w:r w:rsidR="00A6794A" w:rsidRPr="00D3550C">
        <w:rPr>
          <w:lang w:eastAsia="ru-RU"/>
        </w:rPr>
        <w:instrText xml:space="preserve"> </w:instrText>
      </w:r>
      <w:r w:rsidR="00A6794A">
        <w:rPr>
          <w:lang w:val="en-US" w:eastAsia="ru-RU"/>
        </w:rPr>
        <w:instrText>lymphocytic</w:instrText>
      </w:r>
      <w:r w:rsidR="00A6794A" w:rsidRPr="00D3550C">
        <w:rPr>
          <w:lang w:eastAsia="ru-RU"/>
        </w:rPr>
        <w:instrText xml:space="preserve"> </w:instrText>
      </w:r>
      <w:r w:rsidR="00A6794A">
        <w:rPr>
          <w:lang w:val="en-US" w:eastAsia="ru-RU"/>
        </w:rPr>
        <w:instrText>leukemia</w:instrText>
      </w:r>
      <w:r w:rsidR="00A6794A" w:rsidRPr="00D3550C">
        <w:rPr>
          <w:lang w:eastAsia="ru-RU"/>
        </w:rPr>
        <w:instrText xml:space="preserve">. </w:instrText>
      </w:r>
      <w:r w:rsidR="00A6794A">
        <w:rPr>
          <w:lang w:val="en-US" w:eastAsia="ru-RU"/>
        </w:rPr>
        <w:instrText>With</w:instrText>
      </w:r>
      <w:r w:rsidR="00A6794A" w:rsidRPr="00D3550C">
        <w:rPr>
          <w:lang w:eastAsia="ru-RU"/>
        </w:rPr>
        <w:instrText xml:space="preserve"> </w:instrText>
      </w:r>
      <w:r w:rsidR="00A6794A">
        <w:rPr>
          <w:lang w:val="en-US" w:eastAsia="ru-RU"/>
        </w:rPr>
        <w:instrText>data</w:instrText>
      </w:r>
      <w:r w:rsidR="00A6794A" w:rsidRPr="00D3550C">
        <w:rPr>
          <w:lang w:eastAsia="ru-RU"/>
        </w:rPr>
        <w:instrText xml:space="preserve"> </w:instrText>
      </w:r>
      <w:r w:rsidR="00A6794A">
        <w:rPr>
          <w:lang w:val="en-US" w:eastAsia="ru-RU"/>
        </w:rPr>
        <w:instrText>to</w:instrText>
      </w:r>
      <w:r w:rsidR="00A6794A" w:rsidRPr="00D3550C">
        <w:rPr>
          <w:lang w:eastAsia="ru-RU"/>
        </w:rPr>
        <w:instrText xml:space="preserve"> </w:instrText>
      </w:r>
      <w:r w:rsidR="00A6794A">
        <w:rPr>
          <w:lang w:val="en-US" w:eastAsia="ru-RU"/>
        </w:rPr>
        <w:instrText>support</w:instrText>
      </w:r>
      <w:r w:rsidR="00A6794A" w:rsidRPr="00D3550C">
        <w:rPr>
          <w:lang w:eastAsia="ru-RU"/>
        </w:rPr>
        <w:instrText xml:space="preserve"> </w:instrText>
      </w:r>
      <w:r w:rsidR="00A6794A">
        <w:rPr>
          <w:lang w:val="en-US" w:eastAsia="ru-RU"/>
        </w:rPr>
        <w:instrText>noninferior</w:instrText>
      </w:r>
      <w:r w:rsidR="00A6794A" w:rsidRPr="00D3550C">
        <w:rPr>
          <w:lang w:eastAsia="ru-RU"/>
        </w:rPr>
        <w:instrText xml:space="preserve"> </w:instrText>
      </w:r>
      <w:r w:rsidR="00A6794A">
        <w:rPr>
          <w:lang w:val="en-US" w:eastAsia="ru-RU"/>
        </w:rPr>
        <w:instrText>pharmacokinetics</w:instrText>
      </w:r>
      <w:r w:rsidR="00A6794A" w:rsidRPr="00D3550C">
        <w:rPr>
          <w:lang w:eastAsia="ru-RU"/>
        </w:rPr>
        <w:instrText xml:space="preserve">, </w:instrText>
      </w:r>
      <w:r w:rsidR="00A6794A">
        <w:rPr>
          <w:lang w:val="en-US" w:eastAsia="ru-RU"/>
        </w:rPr>
        <w:instrText>similar</w:instrText>
      </w:r>
      <w:r w:rsidR="00A6794A" w:rsidRPr="00D3550C">
        <w:rPr>
          <w:lang w:eastAsia="ru-RU"/>
        </w:rPr>
        <w:instrText xml:space="preserve"> </w:instrText>
      </w:r>
      <w:r w:rsidR="00A6794A">
        <w:rPr>
          <w:lang w:val="en-US" w:eastAsia="ru-RU"/>
        </w:rPr>
        <w:instrText>outcomes</w:instrText>
      </w:r>
      <w:r w:rsidR="00A6794A" w:rsidRPr="00D3550C">
        <w:rPr>
          <w:lang w:eastAsia="ru-RU"/>
        </w:rPr>
        <w:instrText xml:space="preserve">, </w:instrText>
      </w:r>
      <w:r w:rsidR="00A6794A">
        <w:rPr>
          <w:lang w:val="en-US" w:eastAsia="ru-RU"/>
        </w:rPr>
        <w:instrText>and</w:instrText>
      </w:r>
      <w:r w:rsidR="00A6794A" w:rsidRPr="00D3550C">
        <w:rPr>
          <w:lang w:eastAsia="ru-RU"/>
        </w:rPr>
        <w:instrText xml:space="preserve"> </w:instrText>
      </w:r>
      <w:r w:rsidR="00A6794A">
        <w:rPr>
          <w:lang w:val="en-US" w:eastAsia="ru-RU"/>
        </w:rPr>
        <w:instrText>comparable</w:instrText>
      </w:r>
      <w:r w:rsidR="00A6794A" w:rsidRPr="00D3550C">
        <w:rPr>
          <w:lang w:eastAsia="ru-RU"/>
        </w:rPr>
        <w:instrText xml:space="preserve"> </w:instrText>
      </w:r>
      <w:r w:rsidR="00A6794A">
        <w:rPr>
          <w:lang w:val="en-US" w:eastAsia="ru-RU"/>
        </w:rPr>
        <w:instrText>adverse</w:instrText>
      </w:r>
      <w:r w:rsidR="00A6794A" w:rsidRPr="00D3550C">
        <w:rPr>
          <w:lang w:eastAsia="ru-RU"/>
        </w:rPr>
        <w:instrText xml:space="preserve"> </w:instrText>
      </w:r>
      <w:r w:rsidR="00A6794A">
        <w:rPr>
          <w:lang w:val="en-US" w:eastAsia="ru-RU"/>
        </w:rPr>
        <w:instrText>events</w:instrText>
      </w:r>
      <w:r w:rsidR="00A6794A" w:rsidRPr="00D3550C">
        <w:rPr>
          <w:lang w:eastAsia="ru-RU"/>
        </w:rPr>
        <w:instrText xml:space="preserve">, </w:instrText>
      </w:r>
      <w:r w:rsidR="00A6794A">
        <w:rPr>
          <w:lang w:val="en-US" w:eastAsia="ru-RU"/>
        </w:rPr>
        <w:instrText>rituximab</w:instrText>
      </w:r>
      <w:r w:rsidR="00A6794A" w:rsidRPr="00D3550C">
        <w:rPr>
          <w:lang w:eastAsia="ru-RU"/>
        </w:rPr>
        <w:instrText xml:space="preserve"> </w:instrText>
      </w:r>
      <w:r w:rsidR="00A6794A">
        <w:rPr>
          <w:lang w:val="en-US" w:eastAsia="ru-RU"/>
        </w:rPr>
        <w:instrText>and</w:instrText>
      </w:r>
      <w:r w:rsidR="00A6794A" w:rsidRPr="00D3550C">
        <w:rPr>
          <w:lang w:eastAsia="ru-RU"/>
        </w:rPr>
        <w:instrText xml:space="preserve"> </w:instrText>
      </w:r>
      <w:r w:rsidR="00A6794A">
        <w:rPr>
          <w:lang w:val="en-US" w:eastAsia="ru-RU"/>
        </w:rPr>
        <w:instrText>hyaluronidase</w:instrText>
      </w:r>
      <w:r w:rsidR="00A6794A" w:rsidRPr="00D3550C">
        <w:rPr>
          <w:lang w:eastAsia="ru-RU"/>
        </w:rPr>
        <w:instrText xml:space="preserve"> </w:instrText>
      </w:r>
      <w:r w:rsidR="00A6794A">
        <w:rPr>
          <w:lang w:val="en-US" w:eastAsia="ru-RU"/>
        </w:rPr>
        <w:instrText>human</w:instrText>
      </w:r>
      <w:r w:rsidR="00A6794A" w:rsidRPr="00D3550C">
        <w:rPr>
          <w:lang w:eastAsia="ru-RU"/>
        </w:rPr>
        <w:instrText xml:space="preserve"> </w:instrText>
      </w:r>
      <w:r w:rsidR="00A6794A">
        <w:rPr>
          <w:lang w:val="en-US" w:eastAsia="ru-RU"/>
        </w:rPr>
        <w:instrText>may</w:instrText>
      </w:r>
      <w:r w:rsidR="00A6794A" w:rsidRPr="00D3550C">
        <w:rPr>
          <w:lang w:eastAsia="ru-RU"/>
        </w:rPr>
        <w:instrText xml:space="preserve"> </w:instrText>
      </w:r>
      <w:r w:rsidR="00A6794A">
        <w:rPr>
          <w:lang w:val="en-US" w:eastAsia="ru-RU"/>
        </w:rPr>
        <w:instrText>offer</w:instrText>
      </w:r>
      <w:r w:rsidR="00A6794A" w:rsidRPr="00D3550C">
        <w:rPr>
          <w:lang w:eastAsia="ru-RU"/>
        </w:rPr>
        <w:instrText xml:space="preserve"> </w:instrText>
      </w:r>
      <w:r w:rsidR="00A6794A">
        <w:rPr>
          <w:lang w:val="en-US" w:eastAsia="ru-RU"/>
        </w:rPr>
        <w:instrText>a</w:instrText>
      </w:r>
      <w:r w:rsidR="00A6794A" w:rsidRPr="00D3550C">
        <w:rPr>
          <w:lang w:eastAsia="ru-RU"/>
        </w:rPr>
        <w:instrText xml:space="preserve"> </w:instrText>
      </w:r>
      <w:r w:rsidR="00A6794A">
        <w:rPr>
          <w:lang w:val="en-US" w:eastAsia="ru-RU"/>
        </w:rPr>
        <w:instrText>suitable</w:instrText>
      </w:r>
      <w:r w:rsidR="00A6794A" w:rsidRPr="00D3550C">
        <w:rPr>
          <w:lang w:eastAsia="ru-RU"/>
        </w:rPr>
        <w:instrText xml:space="preserve"> </w:instrText>
      </w:r>
      <w:r w:rsidR="00A6794A">
        <w:rPr>
          <w:lang w:val="en-US" w:eastAsia="ru-RU"/>
        </w:rPr>
        <w:instrText>alternative</w:instrText>
      </w:r>
      <w:r w:rsidR="00A6794A" w:rsidRPr="00D3550C">
        <w:rPr>
          <w:lang w:eastAsia="ru-RU"/>
        </w:rPr>
        <w:instrText xml:space="preserve"> </w:instrText>
      </w:r>
      <w:r w:rsidR="00A6794A">
        <w:rPr>
          <w:lang w:val="en-US" w:eastAsia="ru-RU"/>
        </w:rPr>
        <w:instrText>to</w:instrText>
      </w:r>
      <w:r w:rsidR="00A6794A" w:rsidRPr="00D3550C">
        <w:rPr>
          <w:lang w:eastAsia="ru-RU"/>
        </w:rPr>
        <w:instrText xml:space="preserve"> </w:instrText>
      </w:r>
      <w:r w:rsidR="00A6794A">
        <w:rPr>
          <w:lang w:val="en-US" w:eastAsia="ru-RU"/>
        </w:rPr>
        <w:instrText>intravenous</w:instrText>
      </w:r>
      <w:r w:rsidR="00A6794A" w:rsidRPr="00D3550C">
        <w:rPr>
          <w:lang w:eastAsia="ru-RU"/>
        </w:rPr>
        <w:instrText xml:space="preserve"> </w:instrText>
      </w:r>
      <w:r w:rsidR="00A6794A">
        <w:rPr>
          <w:lang w:val="en-US" w:eastAsia="ru-RU"/>
        </w:rPr>
        <w:instrText>rituximab</w:instrText>
      </w:r>
      <w:r w:rsidR="00A6794A" w:rsidRPr="00D3550C">
        <w:rPr>
          <w:lang w:eastAsia="ru-RU"/>
        </w:rPr>
        <w:instrText xml:space="preserve"> </w:instrText>
      </w:r>
      <w:r w:rsidR="00A6794A">
        <w:rPr>
          <w:lang w:val="en-US" w:eastAsia="ru-RU"/>
        </w:rPr>
        <w:instrText>that</w:instrText>
      </w:r>
      <w:r w:rsidR="00A6794A" w:rsidRPr="00D3550C">
        <w:rPr>
          <w:lang w:eastAsia="ru-RU"/>
        </w:rPr>
        <w:instrText xml:space="preserve"> </w:instrText>
      </w:r>
      <w:r w:rsidR="00A6794A">
        <w:rPr>
          <w:lang w:val="en-US" w:eastAsia="ru-RU"/>
        </w:rPr>
        <w:instrText>could</w:instrText>
      </w:r>
      <w:r w:rsidR="00A6794A" w:rsidRPr="00D3550C">
        <w:rPr>
          <w:lang w:eastAsia="ru-RU"/>
        </w:rPr>
        <w:instrText xml:space="preserve"> </w:instrText>
      </w:r>
      <w:r w:rsidR="00A6794A">
        <w:rPr>
          <w:lang w:val="en-US" w:eastAsia="ru-RU"/>
        </w:rPr>
        <w:instrText>improve</w:instrText>
      </w:r>
      <w:r w:rsidR="00A6794A" w:rsidRPr="00D3550C">
        <w:rPr>
          <w:lang w:eastAsia="ru-RU"/>
        </w:rPr>
        <w:instrText xml:space="preserve"> </w:instrText>
      </w:r>
      <w:r w:rsidR="00A6794A">
        <w:rPr>
          <w:lang w:val="en-US" w:eastAsia="ru-RU"/>
        </w:rPr>
        <w:instrText>convenience</w:instrText>
      </w:r>
      <w:r w:rsidR="00A6794A" w:rsidRPr="00D3550C">
        <w:rPr>
          <w:lang w:eastAsia="ru-RU"/>
        </w:rPr>
        <w:instrText xml:space="preserve"> </w:instrText>
      </w:r>
      <w:r w:rsidR="00A6794A">
        <w:rPr>
          <w:lang w:val="en-US" w:eastAsia="ru-RU"/>
        </w:rPr>
        <w:instrText>for</w:instrText>
      </w:r>
      <w:r w:rsidR="00A6794A" w:rsidRPr="00D3550C">
        <w:rPr>
          <w:lang w:eastAsia="ru-RU"/>
        </w:rPr>
        <w:instrText xml:space="preserve"> </w:instrText>
      </w:r>
      <w:r w:rsidR="00A6794A">
        <w:rPr>
          <w:lang w:val="en-US" w:eastAsia="ru-RU"/>
        </w:rPr>
        <w:instrText>patients</w:instrText>
      </w:r>
      <w:r w:rsidR="00A6794A" w:rsidRPr="00D3550C">
        <w:rPr>
          <w:lang w:eastAsia="ru-RU"/>
        </w:rPr>
        <w:instrText xml:space="preserve"> </w:instrText>
      </w:r>
      <w:r w:rsidR="00A6794A">
        <w:rPr>
          <w:lang w:val="en-US" w:eastAsia="ru-RU"/>
        </w:rPr>
        <w:instrText>and</w:instrText>
      </w:r>
      <w:r w:rsidR="00A6794A" w:rsidRPr="00D3550C">
        <w:rPr>
          <w:lang w:eastAsia="ru-RU"/>
        </w:rPr>
        <w:instrText xml:space="preserve"> </w:instrText>
      </w:r>
      <w:r w:rsidR="00A6794A">
        <w:rPr>
          <w:lang w:val="en-US" w:eastAsia="ru-RU"/>
        </w:rPr>
        <w:instrText>better</w:instrText>
      </w:r>
      <w:r w:rsidR="00A6794A" w:rsidRPr="00D3550C">
        <w:rPr>
          <w:lang w:eastAsia="ru-RU"/>
        </w:rPr>
        <w:instrText xml:space="preserve"> </w:instrText>
      </w:r>
      <w:r w:rsidR="00A6794A">
        <w:rPr>
          <w:lang w:val="en-US" w:eastAsia="ru-RU"/>
        </w:rPr>
        <w:instrText>utilize</w:instrText>
      </w:r>
      <w:r w:rsidR="00A6794A" w:rsidRPr="00D3550C">
        <w:rPr>
          <w:lang w:eastAsia="ru-RU"/>
        </w:rPr>
        <w:instrText xml:space="preserve"> </w:instrText>
      </w:r>
      <w:r w:rsidR="00A6794A">
        <w:rPr>
          <w:lang w:val="en-US" w:eastAsia="ru-RU"/>
        </w:rPr>
        <w:instrText>health</w:instrText>
      </w:r>
      <w:r w:rsidR="00A6794A" w:rsidRPr="00D3550C">
        <w:rPr>
          <w:lang w:eastAsia="ru-RU"/>
        </w:rPr>
        <w:instrText>-</w:instrText>
      </w:r>
      <w:r w:rsidR="00A6794A">
        <w:rPr>
          <w:lang w:val="en-US" w:eastAsia="ru-RU"/>
        </w:rPr>
        <w:instrText>care</w:instrText>
      </w:r>
      <w:r w:rsidR="00A6794A" w:rsidRPr="00D3550C">
        <w:rPr>
          <w:lang w:eastAsia="ru-RU"/>
        </w:rPr>
        <w:instrText xml:space="preserve"> </w:instrText>
      </w:r>
      <w:r w:rsidR="00A6794A">
        <w:rPr>
          <w:lang w:val="en-US" w:eastAsia="ru-RU"/>
        </w:rPr>
        <w:instrText>resources</w:instrText>
      </w:r>
      <w:r w:rsidR="00A6794A" w:rsidRPr="00D3550C">
        <w:rPr>
          <w:lang w:eastAsia="ru-RU"/>
        </w:rPr>
        <w:instrText>.","</w:instrText>
      </w:r>
      <w:r w:rsidR="00A6794A">
        <w:rPr>
          <w:lang w:val="en-US" w:eastAsia="ru-RU"/>
        </w:rPr>
        <w:instrText>author</w:instrText>
      </w:r>
      <w:r w:rsidR="00A6794A" w:rsidRPr="00D3550C">
        <w:rPr>
          <w:lang w:eastAsia="ru-RU"/>
        </w:rPr>
        <w:instrText>":[{"</w:instrText>
      </w:r>
      <w:r w:rsidR="00A6794A">
        <w:rPr>
          <w:lang w:val="en-US" w:eastAsia="ru-RU"/>
        </w:rPr>
        <w:instrText>dropping</w:instrText>
      </w:r>
      <w:r w:rsidR="00A6794A" w:rsidRPr="00D3550C">
        <w:rPr>
          <w:lang w:eastAsia="ru-RU"/>
        </w:rPr>
        <w:instrText>-</w:instrText>
      </w:r>
      <w:r w:rsidR="00A6794A">
        <w:rPr>
          <w:lang w:val="en-US" w:eastAsia="ru-RU"/>
        </w:rPr>
        <w:instrText>particle</w:instrText>
      </w:r>
      <w:r w:rsidR="00A6794A" w:rsidRPr="00D3550C">
        <w:rPr>
          <w:lang w:eastAsia="ru-RU"/>
        </w:rPr>
        <w:instrText>":"","</w:instrText>
      </w:r>
      <w:r w:rsidR="00A6794A">
        <w:rPr>
          <w:lang w:val="en-US" w:eastAsia="ru-RU"/>
        </w:rPr>
        <w:instrText>family</w:instrText>
      </w:r>
      <w:r w:rsidR="00A6794A" w:rsidRPr="00D3550C">
        <w:rPr>
          <w:lang w:eastAsia="ru-RU"/>
        </w:rPr>
        <w:instrText>":"</w:instrText>
      </w:r>
      <w:r w:rsidR="00A6794A">
        <w:rPr>
          <w:lang w:val="en-US" w:eastAsia="ru-RU"/>
        </w:rPr>
        <w:instrText>Yelvington</w:instrText>
      </w:r>
      <w:r w:rsidR="00A6794A" w:rsidRPr="00D3550C">
        <w:rPr>
          <w:lang w:eastAsia="ru-RU"/>
        </w:rPr>
        <w:instrText>","</w:instrText>
      </w:r>
      <w:r w:rsidR="00A6794A">
        <w:rPr>
          <w:lang w:val="en-US" w:eastAsia="ru-RU"/>
        </w:rPr>
        <w:instrText>given</w:instrText>
      </w:r>
      <w:r w:rsidR="00A6794A" w:rsidRPr="00D3550C">
        <w:rPr>
          <w:lang w:eastAsia="ru-RU"/>
        </w:rPr>
        <w:instrText>":"</w:instrText>
      </w:r>
      <w:r w:rsidR="00A6794A">
        <w:rPr>
          <w:lang w:val="en-US" w:eastAsia="ru-RU"/>
        </w:rPr>
        <w:instrText>Bradley</w:instrText>
      </w:r>
      <w:r w:rsidR="00A6794A" w:rsidRPr="00D3550C">
        <w:rPr>
          <w:lang w:eastAsia="ru-RU"/>
        </w:rPr>
        <w:instrText xml:space="preserve"> </w:instrText>
      </w:r>
      <w:r w:rsidR="00A6794A">
        <w:rPr>
          <w:lang w:val="en-US" w:eastAsia="ru-RU"/>
        </w:rPr>
        <w:instrText>J</w:instrText>
      </w:r>
      <w:r w:rsidR="00A6794A" w:rsidRPr="00D3550C">
        <w:rPr>
          <w:lang w:eastAsia="ru-RU"/>
        </w:rPr>
        <w:instrText>","</w:instrText>
      </w:r>
      <w:r w:rsidR="00A6794A">
        <w:rPr>
          <w:lang w:val="en-US" w:eastAsia="ru-RU"/>
        </w:rPr>
        <w:instrText>non</w:instrText>
      </w:r>
      <w:r w:rsidR="00A6794A" w:rsidRPr="00D3550C">
        <w:rPr>
          <w:lang w:eastAsia="ru-RU"/>
        </w:rPr>
        <w:instrText>-</w:instrText>
      </w:r>
      <w:r w:rsidR="00A6794A">
        <w:rPr>
          <w:lang w:val="en-US" w:eastAsia="ru-RU"/>
        </w:rPr>
        <w:instrText>dropping</w:instrText>
      </w:r>
      <w:r w:rsidR="00A6794A" w:rsidRPr="00D3550C">
        <w:rPr>
          <w:lang w:eastAsia="ru-RU"/>
        </w:rPr>
        <w:instrText>-</w:instrText>
      </w:r>
      <w:r w:rsidR="00A6794A">
        <w:rPr>
          <w:lang w:val="en-US" w:eastAsia="ru-RU"/>
        </w:rPr>
        <w:instrText>particle</w:instrText>
      </w:r>
      <w:r w:rsidR="00A6794A" w:rsidRPr="00D3550C">
        <w:rPr>
          <w:lang w:eastAsia="ru-RU"/>
        </w:rPr>
        <w:instrText>":"","</w:instrText>
      </w:r>
      <w:r w:rsidR="00A6794A">
        <w:rPr>
          <w:lang w:val="en-US" w:eastAsia="ru-RU"/>
        </w:rPr>
        <w:instrText>parse</w:instrText>
      </w:r>
      <w:r w:rsidR="00A6794A" w:rsidRPr="00D3550C">
        <w:rPr>
          <w:lang w:eastAsia="ru-RU"/>
        </w:rPr>
        <w:instrText>-</w:instrText>
      </w:r>
      <w:r w:rsidR="00A6794A">
        <w:rPr>
          <w:lang w:val="en-US" w:eastAsia="ru-RU"/>
        </w:rPr>
        <w:instrText>names</w:instrText>
      </w:r>
      <w:r w:rsidR="00A6794A" w:rsidRPr="00D3550C">
        <w:rPr>
          <w:lang w:eastAsia="ru-RU"/>
        </w:rPr>
        <w:instrText>":</w:instrText>
      </w:r>
      <w:r w:rsidR="00A6794A">
        <w:rPr>
          <w:lang w:val="en-US" w:eastAsia="ru-RU"/>
        </w:rPr>
        <w:instrText>false</w:instrText>
      </w:r>
      <w:r w:rsidR="00A6794A" w:rsidRPr="00D3550C">
        <w:rPr>
          <w:lang w:eastAsia="ru-RU"/>
        </w:rPr>
        <w:instrText>,"</w:instrText>
      </w:r>
      <w:r w:rsidR="00A6794A">
        <w:rPr>
          <w:lang w:val="en-US" w:eastAsia="ru-RU"/>
        </w:rPr>
        <w:instrText>suffix</w:instrText>
      </w:r>
      <w:r w:rsidR="00A6794A" w:rsidRPr="00D3550C">
        <w:rPr>
          <w:lang w:eastAsia="ru-RU"/>
        </w:rPr>
        <w:instrText>":""}],"</w:instrText>
      </w:r>
      <w:r w:rsidR="00A6794A">
        <w:rPr>
          <w:lang w:val="en-US" w:eastAsia="ru-RU"/>
        </w:rPr>
        <w:instrText>container</w:instrText>
      </w:r>
      <w:r w:rsidR="00A6794A" w:rsidRPr="00D3550C">
        <w:rPr>
          <w:lang w:eastAsia="ru-RU"/>
        </w:rPr>
        <w:instrText>-</w:instrText>
      </w:r>
      <w:r w:rsidR="00A6794A">
        <w:rPr>
          <w:lang w:val="en-US" w:eastAsia="ru-RU"/>
        </w:rPr>
        <w:instrText>title</w:instrText>
      </w:r>
      <w:r w:rsidR="00A6794A" w:rsidRPr="00D3550C">
        <w:rPr>
          <w:lang w:eastAsia="ru-RU"/>
        </w:rPr>
        <w:instrText>":"</w:instrText>
      </w:r>
      <w:r w:rsidR="00A6794A">
        <w:rPr>
          <w:lang w:val="en-US" w:eastAsia="ru-RU"/>
        </w:rPr>
        <w:instrText>Journal</w:instrText>
      </w:r>
      <w:r w:rsidR="00A6794A" w:rsidRPr="00D3550C">
        <w:rPr>
          <w:lang w:eastAsia="ru-RU"/>
        </w:rPr>
        <w:instrText xml:space="preserve"> </w:instrText>
      </w:r>
      <w:r w:rsidR="00A6794A">
        <w:rPr>
          <w:lang w:val="en-US" w:eastAsia="ru-RU"/>
        </w:rPr>
        <w:instrText>of</w:instrText>
      </w:r>
      <w:r w:rsidR="00A6794A" w:rsidRPr="00D3550C">
        <w:rPr>
          <w:lang w:eastAsia="ru-RU"/>
        </w:rPr>
        <w:instrText xml:space="preserve"> </w:instrText>
      </w:r>
      <w:r w:rsidR="00A6794A">
        <w:rPr>
          <w:lang w:val="en-US" w:eastAsia="ru-RU"/>
        </w:rPr>
        <w:instrText>the</w:instrText>
      </w:r>
      <w:r w:rsidR="00A6794A" w:rsidRPr="00D3550C">
        <w:rPr>
          <w:lang w:eastAsia="ru-RU"/>
        </w:rPr>
        <w:instrText xml:space="preserve"> </w:instrText>
      </w:r>
      <w:r w:rsidR="00A6794A">
        <w:rPr>
          <w:lang w:val="en-US" w:eastAsia="ru-RU"/>
        </w:rPr>
        <w:instrText>advanced</w:instrText>
      </w:r>
      <w:r w:rsidR="00A6794A" w:rsidRPr="00D3550C">
        <w:rPr>
          <w:lang w:eastAsia="ru-RU"/>
        </w:rPr>
        <w:instrText xml:space="preserve"> </w:instrText>
      </w:r>
      <w:r w:rsidR="00A6794A">
        <w:rPr>
          <w:lang w:val="en-US" w:eastAsia="ru-RU"/>
        </w:rPr>
        <w:instrText>practitioner</w:instrText>
      </w:r>
      <w:r w:rsidR="00A6794A" w:rsidRPr="00D3550C">
        <w:rPr>
          <w:lang w:eastAsia="ru-RU"/>
        </w:rPr>
        <w:instrText xml:space="preserve"> </w:instrText>
      </w:r>
      <w:r w:rsidR="00A6794A">
        <w:rPr>
          <w:lang w:val="en-US" w:eastAsia="ru-RU"/>
        </w:rPr>
        <w:instrText>in</w:instrText>
      </w:r>
      <w:r w:rsidR="00A6794A" w:rsidRPr="00D3550C">
        <w:rPr>
          <w:lang w:eastAsia="ru-RU"/>
        </w:rPr>
        <w:instrText xml:space="preserve"> </w:instrText>
      </w:r>
      <w:r w:rsidR="00A6794A">
        <w:rPr>
          <w:lang w:val="en-US" w:eastAsia="ru-RU"/>
        </w:rPr>
        <w:instrText>oncology</w:instrText>
      </w:r>
      <w:r w:rsidR="00A6794A" w:rsidRPr="00D3550C">
        <w:rPr>
          <w:lang w:eastAsia="ru-RU"/>
        </w:rPr>
        <w:instrText>","</w:instrText>
      </w:r>
      <w:r w:rsidR="00A6794A">
        <w:rPr>
          <w:lang w:val="en-US" w:eastAsia="ru-RU"/>
        </w:rPr>
        <w:instrText>id</w:instrText>
      </w:r>
      <w:r w:rsidR="00A6794A" w:rsidRPr="00D3550C">
        <w:rPr>
          <w:lang w:eastAsia="ru-RU"/>
        </w:rPr>
        <w:instrText>":"</w:instrText>
      </w:r>
      <w:r w:rsidR="00A6794A">
        <w:rPr>
          <w:lang w:val="en-US" w:eastAsia="ru-RU"/>
        </w:rPr>
        <w:instrText>ITEM</w:instrText>
      </w:r>
      <w:r w:rsidR="00A6794A" w:rsidRPr="00D3550C">
        <w:rPr>
          <w:lang w:eastAsia="ru-RU"/>
        </w:rPr>
        <w:instrText>-1","</w:instrText>
      </w:r>
      <w:r w:rsidR="00A6794A">
        <w:rPr>
          <w:lang w:val="en-US" w:eastAsia="ru-RU"/>
        </w:rPr>
        <w:instrText>issue</w:instrText>
      </w:r>
      <w:r w:rsidR="00A6794A" w:rsidRPr="00D3550C">
        <w:rPr>
          <w:lang w:eastAsia="ru-RU"/>
        </w:rPr>
        <w:instrText>":"5","</w:instrText>
      </w:r>
      <w:r w:rsidR="00A6794A">
        <w:rPr>
          <w:lang w:val="en-US" w:eastAsia="ru-RU"/>
        </w:rPr>
        <w:instrText>issued</w:instrText>
      </w:r>
      <w:r w:rsidR="00A6794A" w:rsidRPr="00D3550C">
        <w:rPr>
          <w:lang w:eastAsia="ru-RU"/>
        </w:rPr>
        <w:instrText>":{"</w:instrText>
      </w:r>
      <w:r w:rsidR="00A6794A">
        <w:rPr>
          <w:lang w:val="en-US" w:eastAsia="ru-RU"/>
        </w:rPr>
        <w:instrText>date</w:instrText>
      </w:r>
      <w:r w:rsidR="00A6794A" w:rsidRPr="00D3550C">
        <w:rPr>
          <w:lang w:eastAsia="ru-RU"/>
        </w:rPr>
        <w:instrText>-</w:instrText>
      </w:r>
      <w:r w:rsidR="00A6794A">
        <w:rPr>
          <w:lang w:val="en-US" w:eastAsia="ru-RU"/>
        </w:rPr>
        <w:instrText>parts</w:instrText>
      </w:r>
      <w:r w:rsidR="00A6794A" w:rsidRPr="00D3550C">
        <w:rPr>
          <w:lang w:eastAsia="ru-RU"/>
        </w:rPr>
        <w:instrText>":[["2018"]]},"</w:instrText>
      </w:r>
      <w:r w:rsidR="00A6794A">
        <w:rPr>
          <w:lang w:val="en-US" w:eastAsia="ru-RU"/>
        </w:rPr>
        <w:instrText>page</w:instrText>
      </w:r>
      <w:r w:rsidR="00A6794A" w:rsidRPr="00D3550C">
        <w:rPr>
          <w:lang w:eastAsia="ru-RU"/>
        </w:rPr>
        <w:instrText>":"530-534","</w:instrText>
      </w:r>
      <w:r w:rsidR="00A6794A">
        <w:rPr>
          <w:lang w:val="en-US" w:eastAsia="ru-RU"/>
        </w:rPr>
        <w:instrText>publisher</w:instrText>
      </w:r>
      <w:r w:rsidR="00A6794A" w:rsidRPr="00D3550C">
        <w:rPr>
          <w:lang w:eastAsia="ru-RU"/>
        </w:rPr>
        <w:instrText>":"</w:instrText>
      </w:r>
      <w:r w:rsidR="00A6794A">
        <w:rPr>
          <w:lang w:val="en-US" w:eastAsia="ru-RU"/>
        </w:rPr>
        <w:instrText>Harborside</w:instrText>
      </w:r>
      <w:r w:rsidR="00A6794A" w:rsidRPr="00D3550C">
        <w:rPr>
          <w:lang w:eastAsia="ru-RU"/>
        </w:rPr>
        <w:instrText xml:space="preserve"> </w:instrText>
      </w:r>
      <w:r w:rsidR="00A6794A">
        <w:rPr>
          <w:lang w:val="en-US" w:eastAsia="ru-RU"/>
        </w:rPr>
        <w:instrText>Press</w:instrText>
      </w:r>
      <w:r w:rsidR="00A6794A" w:rsidRPr="00D3550C">
        <w:rPr>
          <w:lang w:eastAsia="ru-RU"/>
        </w:rPr>
        <w:instrText>","</w:instrText>
      </w:r>
      <w:r w:rsidR="00A6794A">
        <w:rPr>
          <w:lang w:val="en-US" w:eastAsia="ru-RU"/>
        </w:rPr>
        <w:instrText>title</w:instrText>
      </w:r>
      <w:r w:rsidR="00A6794A" w:rsidRPr="00D3550C">
        <w:rPr>
          <w:lang w:eastAsia="ru-RU"/>
        </w:rPr>
        <w:instrText>":"</w:instrText>
      </w:r>
      <w:r w:rsidR="00A6794A">
        <w:rPr>
          <w:lang w:val="en-US" w:eastAsia="ru-RU"/>
        </w:rPr>
        <w:instrText>Subcutaneous</w:instrText>
      </w:r>
      <w:r w:rsidR="00A6794A" w:rsidRPr="00D3550C">
        <w:rPr>
          <w:lang w:eastAsia="ru-RU"/>
        </w:rPr>
        <w:instrText xml:space="preserve"> </w:instrText>
      </w:r>
      <w:r w:rsidR="00A6794A">
        <w:rPr>
          <w:lang w:val="en-US" w:eastAsia="ru-RU"/>
        </w:rPr>
        <w:instrText>Rituximab</w:instrText>
      </w:r>
      <w:r w:rsidR="00A6794A" w:rsidRPr="00D3550C">
        <w:rPr>
          <w:lang w:eastAsia="ru-RU"/>
        </w:rPr>
        <w:instrText xml:space="preserve"> </w:instrText>
      </w:r>
      <w:r w:rsidR="00A6794A">
        <w:rPr>
          <w:lang w:val="en-US" w:eastAsia="ru-RU"/>
        </w:rPr>
        <w:instrText>in</w:instrText>
      </w:r>
      <w:r w:rsidR="00A6794A" w:rsidRPr="00D3550C">
        <w:rPr>
          <w:lang w:eastAsia="ru-RU"/>
        </w:rPr>
        <w:instrText xml:space="preserve"> </w:instrText>
      </w:r>
      <w:r w:rsidR="00A6794A">
        <w:rPr>
          <w:lang w:val="en-US" w:eastAsia="ru-RU"/>
        </w:rPr>
        <w:instrText>Follicular</w:instrText>
      </w:r>
      <w:r w:rsidR="00A6794A" w:rsidRPr="00D3550C">
        <w:rPr>
          <w:lang w:eastAsia="ru-RU"/>
        </w:rPr>
        <w:instrText xml:space="preserve"> </w:instrText>
      </w:r>
      <w:r w:rsidR="00A6794A">
        <w:rPr>
          <w:lang w:val="en-US" w:eastAsia="ru-RU"/>
        </w:rPr>
        <w:instrText>Lymphoma</w:instrText>
      </w:r>
      <w:r w:rsidR="00A6794A" w:rsidRPr="00D3550C">
        <w:rPr>
          <w:lang w:eastAsia="ru-RU"/>
        </w:rPr>
        <w:instrText xml:space="preserve">, </w:instrText>
      </w:r>
      <w:r w:rsidR="00A6794A">
        <w:rPr>
          <w:lang w:val="en-US" w:eastAsia="ru-RU"/>
        </w:rPr>
        <w:instrText>Chronic</w:instrText>
      </w:r>
      <w:r w:rsidR="00A6794A" w:rsidRPr="00D3550C">
        <w:rPr>
          <w:lang w:eastAsia="ru-RU"/>
        </w:rPr>
        <w:instrText xml:space="preserve"> </w:instrText>
      </w:r>
      <w:r w:rsidR="00A6794A">
        <w:rPr>
          <w:lang w:val="en-US" w:eastAsia="ru-RU"/>
        </w:rPr>
        <w:instrText>Lymphocytic</w:instrText>
      </w:r>
      <w:r w:rsidR="00A6794A" w:rsidRPr="00D3550C">
        <w:rPr>
          <w:lang w:eastAsia="ru-RU"/>
        </w:rPr>
        <w:instrText xml:space="preserve"> </w:instrText>
      </w:r>
      <w:r w:rsidR="00A6794A">
        <w:rPr>
          <w:lang w:val="en-US" w:eastAsia="ru-RU"/>
        </w:rPr>
        <w:instrText>Leukemia</w:instrText>
      </w:r>
      <w:r w:rsidR="00A6794A" w:rsidRPr="00D3550C">
        <w:rPr>
          <w:lang w:eastAsia="ru-RU"/>
        </w:rPr>
        <w:instrText xml:space="preserve">, </w:instrText>
      </w:r>
      <w:r w:rsidR="00A6794A">
        <w:rPr>
          <w:lang w:val="en-US" w:eastAsia="ru-RU"/>
        </w:rPr>
        <w:instrText>and</w:instrText>
      </w:r>
      <w:r w:rsidR="00A6794A" w:rsidRPr="00D3550C">
        <w:rPr>
          <w:lang w:eastAsia="ru-RU"/>
        </w:rPr>
        <w:instrText xml:space="preserve"> </w:instrText>
      </w:r>
      <w:r w:rsidR="00A6794A">
        <w:rPr>
          <w:lang w:val="en-US" w:eastAsia="ru-RU"/>
        </w:rPr>
        <w:instrText>Diffuse</w:instrText>
      </w:r>
      <w:r w:rsidR="00A6794A" w:rsidRPr="00D3550C">
        <w:rPr>
          <w:lang w:eastAsia="ru-RU"/>
        </w:rPr>
        <w:instrText xml:space="preserve"> </w:instrText>
      </w:r>
      <w:r w:rsidR="00A6794A">
        <w:rPr>
          <w:lang w:val="en-US" w:eastAsia="ru-RU"/>
        </w:rPr>
        <w:instrText>Large</w:instrText>
      </w:r>
      <w:r w:rsidR="00A6794A" w:rsidRPr="00D3550C">
        <w:rPr>
          <w:lang w:eastAsia="ru-RU"/>
        </w:rPr>
        <w:instrText xml:space="preserve"> </w:instrText>
      </w:r>
      <w:r w:rsidR="00A6794A">
        <w:rPr>
          <w:lang w:val="en-US" w:eastAsia="ru-RU"/>
        </w:rPr>
        <w:instrText>B</w:instrText>
      </w:r>
      <w:r w:rsidR="00A6794A" w:rsidRPr="00D3550C">
        <w:rPr>
          <w:lang w:eastAsia="ru-RU"/>
        </w:rPr>
        <w:instrText>-</w:instrText>
      </w:r>
      <w:r w:rsidR="00A6794A">
        <w:rPr>
          <w:lang w:val="en-US" w:eastAsia="ru-RU"/>
        </w:rPr>
        <w:instrText>Cell</w:instrText>
      </w:r>
      <w:r w:rsidR="00A6794A" w:rsidRPr="00D3550C">
        <w:rPr>
          <w:lang w:eastAsia="ru-RU"/>
        </w:rPr>
        <w:instrText xml:space="preserve"> </w:instrText>
      </w:r>
      <w:r w:rsidR="00A6794A">
        <w:rPr>
          <w:lang w:val="en-US" w:eastAsia="ru-RU"/>
        </w:rPr>
        <w:instrText>Lymphoma</w:instrText>
      </w:r>
      <w:r w:rsidR="00A6794A" w:rsidRPr="00D3550C">
        <w:rPr>
          <w:lang w:eastAsia="ru-RU"/>
        </w:rPr>
        <w:instrText>.","</w:instrText>
      </w:r>
      <w:r w:rsidR="00A6794A">
        <w:rPr>
          <w:lang w:val="en-US" w:eastAsia="ru-RU"/>
        </w:rPr>
        <w:instrText>type</w:instrText>
      </w:r>
      <w:r w:rsidR="00A6794A" w:rsidRPr="00D3550C">
        <w:rPr>
          <w:lang w:eastAsia="ru-RU"/>
        </w:rPr>
        <w:instrText>":"</w:instrText>
      </w:r>
      <w:r w:rsidR="00A6794A">
        <w:rPr>
          <w:lang w:val="en-US" w:eastAsia="ru-RU"/>
        </w:rPr>
        <w:instrText>article</w:instrText>
      </w:r>
      <w:r w:rsidR="00A6794A" w:rsidRPr="00D3550C">
        <w:rPr>
          <w:lang w:eastAsia="ru-RU"/>
        </w:rPr>
        <w:instrText>-</w:instrText>
      </w:r>
      <w:r w:rsidR="00A6794A">
        <w:rPr>
          <w:lang w:val="en-US" w:eastAsia="ru-RU"/>
        </w:rPr>
        <w:instrText>journal</w:instrText>
      </w:r>
      <w:r w:rsidR="00A6794A" w:rsidRPr="00D3550C">
        <w:rPr>
          <w:lang w:eastAsia="ru-RU"/>
        </w:rPr>
        <w:instrText>","</w:instrText>
      </w:r>
      <w:r w:rsidR="00A6794A">
        <w:rPr>
          <w:lang w:val="en-US" w:eastAsia="ru-RU"/>
        </w:rPr>
        <w:instrText>volume</w:instrText>
      </w:r>
      <w:r w:rsidR="00A6794A" w:rsidRPr="00D3550C">
        <w:rPr>
          <w:lang w:eastAsia="ru-RU"/>
        </w:rPr>
        <w:instrText>":"9"},"</w:instrText>
      </w:r>
      <w:r w:rsidR="00A6794A">
        <w:rPr>
          <w:lang w:val="en-US" w:eastAsia="ru-RU"/>
        </w:rPr>
        <w:instrText>uris</w:instrText>
      </w:r>
      <w:r w:rsidR="00A6794A" w:rsidRPr="00D3550C">
        <w:rPr>
          <w:lang w:eastAsia="ru-RU"/>
        </w:rPr>
        <w:instrText>":["</w:instrText>
      </w:r>
      <w:r w:rsidR="00A6794A">
        <w:rPr>
          <w:lang w:val="en-US" w:eastAsia="ru-RU"/>
        </w:rPr>
        <w:instrText>http</w:instrText>
      </w:r>
      <w:r w:rsidR="00A6794A" w:rsidRPr="00D3550C">
        <w:rPr>
          <w:lang w:eastAsia="ru-RU"/>
        </w:rPr>
        <w:instrText>://</w:instrText>
      </w:r>
      <w:r w:rsidR="00A6794A">
        <w:rPr>
          <w:lang w:val="en-US" w:eastAsia="ru-RU"/>
        </w:rPr>
        <w:instrText>www</w:instrText>
      </w:r>
      <w:r w:rsidR="00A6794A" w:rsidRPr="00D3550C">
        <w:rPr>
          <w:lang w:eastAsia="ru-RU"/>
        </w:rPr>
        <w:instrText>.</w:instrText>
      </w:r>
      <w:r w:rsidR="00A6794A">
        <w:rPr>
          <w:lang w:val="en-US" w:eastAsia="ru-RU"/>
        </w:rPr>
        <w:instrText>mendeley</w:instrText>
      </w:r>
      <w:r w:rsidR="00A6794A" w:rsidRPr="00D3550C">
        <w:rPr>
          <w:lang w:eastAsia="ru-RU"/>
        </w:rPr>
        <w:instrText>.</w:instrText>
      </w:r>
      <w:r w:rsidR="00A6794A">
        <w:rPr>
          <w:lang w:val="en-US" w:eastAsia="ru-RU"/>
        </w:rPr>
        <w:instrText>com</w:instrText>
      </w:r>
      <w:r w:rsidR="00A6794A" w:rsidRPr="00D3550C">
        <w:rPr>
          <w:lang w:eastAsia="ru-RU"/>
        </w:rPr>
        <w:instrText>/</w:instrText>
      </w:r>
      <w:r w:rsidR="00A6794A">
        <w:rPr>
          <w:lang w:val="en-US" w:eastAsia="ru-RU"/>
        </w:rPr>
        <w:instrText>documents</w:instrText>
      </w:r>
      <w:r w:rsidR="00A6794A" w:rsidRPr="00D3550C">
        <w:rPr>
          <w:lang w:eastAsia="ru-RU"/>
        </w:rPr>
        <w:instrText>/?</w:instrText>
      </w:r>
      <w:r w:rsidR="00A6794A">
        <w:rPr>
          <w:lang w:val="en-US" w:eastAsia="ru-RU"/>
        </w:rPr>
        <w:instrText>uuid</w:instrText>
      </w:r>
      <w:r w:rsidR="00A6794A" w:rsidRPr="00D3550C">
        <w:rPr>
          <w:lang w:eastAsia="ru-RU"/>
        </w:rPr>
        <w:instrText>=</w:instrText>
      </w:r>
      <w:r w:rsidR="00A6794A">
        <w:rPr>
          <w:lang w:val="en-US" w:eastAsia="ru-RU"/>
        </w:rPr>
        <w:instrText>fbb</w:instrText>
      </w:r>
      <w:r w:rsidR="00A6794A" w:rsidRPr="00D3550C">
        <w:rPr>
          <w:lang w:eastAsia="ru-RU"/>
        </w:rPr>
        <w:instrText>0</w:instrText>
      </w:r>
      <w:r w:rsidR="00A6794A">
        <w:rPr>
          <w:lang w:val="en-US" w:eastAsia="ru-RU"/>
        </w:rPr>
        <w:instrText>b</w:instrText>
      </w:r>
      <w:r w:rsidR="00A6794A" w:rsidRPr="00D3550C">
        <w:rPr>
          <w:lang w:eastAsia="ru-RU"/>
        </w:rPr>
        <w:instrText>8</w:instrText>
      </w:r>
      <w:r w:rsidR="00A6794A">
        <w:rPr>
          <w:lang w:val="en-US" w:eastAsia="ru-RU"/>
        </w:rPr>
        <w:instrText>f</w:instrText>
      </w:r>
      <w:r w:rsidR="00A6794A" w:rsidRPr="00D3550C">
        <w:rPr>
          <w:lang w:eastAsia="ru-RU"/>
        </w:rPr>
        <w:instrText>4-6</w:instrText>
      </w:r>
      <w:r w:rsidR="00A6794A">
        <w:rPr>
          <w:lang w:val="en-US" w:eastAsia="ru-RU"/>
        </w:rPr>
        <w:instrText>b</w:instrText>
      </w:r>
      <w:r w:rsidR="00A6794A" w:rsidRPr="00D3550C">
        <w:rPr>
          <w:lang w:eastAsia="ru-RU"/>
        </w:rPr>
        <w:instrText>58-3</w:instrText>
      </w:r>
      <w:r w:rsidR="00A6794A">
        <w:rPr>
          <w:lang w:val="en-US" w:eastAsia="ru-RU"/>
        </w:rPr>
        <w:instrText>a</w:instrText>
      </w:r>
      <w:r w:rsidR="00A6794A" w:rsidRPr="00D3550C">
        <w:rPr>
          <w:lang w:eastAsia="ru-RU"/>
        </w:rPr>
        <w:instrText>10-</w:instrText>
      </w:r>
      <w:r w:rsidR="00A6794A">
        <w:rPr>
          <w:lang w:val="en-US" w:eastAsia="ru-RU"/>
        </w:rPr>
        <w:instrText>b</w:instrText>
      </w:r>
      <w:r w:rsidR="00A6794A" w:rsidRPr="00D3550C">
        <w:rPr>
          <w:lang w:eastAsia="ru-RU"/>
        </w:rPr>
        <w:instrText>7</w:instrText>
      </w:r>
      <w:r w:rsidR="00A6794A">
        <w:rPr>
          <w:lang w:val="en-US" w:eastAsia="ru-RU"/>
        </w:rPr>
        <w:instrText>d</w:instrText>
      </w:r>
      <w:r w:rsidR="00A6794A" w:rsidRPr="00D3550C">
        <w:rPr>
          <w:lang w:eastAsia="ru-RU"/>
        </w:rPr>
        <w:instrText>6-</w:instrText>
      </w:r>
      <w:r w:rsidR="00A6794A">
        <w:rPr>
          <w:lang w:val="en-US" w:eastAsia="ru-RU"/>
        </w:rPr>
        <w:instrText>af</w:instrText>
      </w:r>
      <w:r w:rsidR="00A6794A" w:rsidRPr="00D3550C">
        <w:rPr>
          <w:lang w:eastAsia="ru-RU"/>
        </w:rPr>
        <w:instrText>3854030</w:instrText>
      </w:r>
      <w:r w:rsidR="00A6794A">
        <w:rPr>
          <w:lang w:val="en-US" w:eastAsia="ru-RU"/>
        </w:rPr>
        <w:instrText>be</w:instrText>
      </w:r>
      <w:r w:rsidR="00A6794A" w:rsidRPr="00D3550C">
        <w:rPr>
          <w:lang w:eastAsia="ru-RU"/>
        </w:rPr>
        <w:instrText>8"]},{"</w:instrText>
      </w:r>
      <w:r w:rsidR="00A6794A">
        <w:rPr>
          <w:lang w:val="en-US" w:eastAsia="ru-RU"/>
        </w:rPr>
        <w:instrText>id</w:instrText>
      </w:r>
      <w:r w:rsidR="00A6794A" w:rsidRPr="00D3550C">
        <w:rPr>
          <w:lang w:eastAsia="ru-RU"/>
        </w:rPr>
        <w:instrText>":"</w:instrText>
      </w:r>
      <w:r w:rsidR="00A6794A">
        <w:rPr>
          <w:lang w:val="en-US" w:eastAsia="ru-RU"/>
        </w:rPr>
        <w:instrText>ITEM</w:instrText>
      </w:r>
      <w:r w:rsidR="00A6794A" w:rsidRPr="00D3550C">
        <w:rPr>
          <w:lang w:eastAsia="ru-RU"/>
        </w:rPr>
        <w:instrText>-2","</w:instrText>
      </w:r>
      <w:r w:rsidR="00A6794A">
        <w:rPr>
          <w:lang w:val="en-US" w:eastAsia="ru-RU"/>
        </w:rPr>
        <w:instrText>itemData</w:instrText>
      </w:r>
      <w:r w:rsidR="00A6794A" w:rsidRPr="00D3550C">
        <w:rPr>
          <w:lang w:eastAsia="ru-RU"/>
        </w:rPr>
        <w:instrText>":{"</w:instrText>
      </w:r>
      <w:r w:rsidR="00A6794A">
        <w:rPr>
          <w:lang w:val="en-US" w:eastAsia="ru-RU"/>
        </w:rPr>
        <w:instrText>DOI</w:instrText>
      </w:r>
      <w:r w:rsidR="00A6794A" w:rsidRPr="00D3550C">
        <w:rPr>
          <w:lang w:eastAsia="ru-RU"/>
        </w:rPr>
        <w:instrText>":"10.1007/</w:instrText>
      </w:r>
      <w:r w:rsidR="00A6794A">
        <w:rPr>
          <w:lang w:val="en-US" w:eastAsia="ru-RU"/>
        </w:rPr>
        <w:instrText>s</w:instrText>
      </w:r>
      <w:r w:rsidR="00A6794A" w:rsidRPr="00D3550C">
        <w:rPr>
          <w:lang w:eastAsia="ru-RU"/>
        </w:rPr>
        <w:instrText>12325-017-0610-</w:instrText>
      </w:r>
      <w:r w:rsidR="00A6794A">
        <w:rPr>
          <w:lang w:val="en-US" w:eastAsia="ru-RU"/>
        </w:rPr>
        <w:instrText>z</w:instrText>
      </w:r>
      <w:r w:rsidR="00A6794A" w:rsidRPr="00D3550C">
        <w:rPr>
          <w:lang w:eastAsia="ru-RU"/>
        </w:rPr>
        <w:instrText>","</w:instrText>
      </w:r>
      <w:r w:rsidR="00A6794A">
        <w:rPr>
          <w:lang w:val="en-US" w:eastAsia="ru-RU"/>
        </w:rPr>
        <w:instrText>ISSN</w:instrText>
      </w:r>
      <w:r w:rsidR="00A6794A" w:rsidRPr="00D3550C">
        <w:rPr>
          <w:lang w:eastAsia="ru-RU"/>
        </w:rPr>
        <w:instrText>":"18658652","</w:instrText>
      </w:r>
      <w:r w:rsidR="00A6794A">
        <w:rPr>
          <w:lang w:val="en-US" w:eastAsia="ru-RU"/>
        </w:rPr>
        <w:instrText>abstract</w:instrText>
      </w:r>
      <w:r w:rsidR="00A6794A" w:rsidRPr="00D3550C">
        <w:rPr>
          <w:lang w:eastAsia="ru-RU"/>
        </w:rPr>
        <w:instrText>":"</w:instrText>
      </w:r>
      <w:r w:rsidR="00A6794A">
        <w:rPr>
          <w:lang w:val="en-US" w:eastAsia="ru-RU"/>
        </w:rPr>
        <w:instrText>Abstract</w:instrText>
      </w:r>
      <w:r w:rsidR="00A6794A" w:rsidRPr="00D3550C">
        <w:rPr>
          <w:lang w:eastAsia="ru-RU"/>
        </w:rPr>
        <w:instrText xml:space="preserve">: </w:instrText>
      </w:r>
      <w:r w:rsidR="00A6794A">
        <w:rPr>
          <w:lang w:val="en-US" w:eastAsia="ru-RU"/>
        </w:rPr>
        <w:instrText>Rituximab</w:instrText>
      </w:r>
      <w:r w:rsidR="00A6794A" w:rsidRPr="00D3550C">
        <w:rPr>
          <w:lang w:eastAsia="ru-RU"/>
        </w:rPr>
        <w:instrText xml:space="preserve"> (</w:instrText>
      </w:r>
      <w:r w:rsidR="00A6794A">
        <w:rPr>
          <w:lang w:val="en-US" w:eastAsia="ru-RU"/>
        </w:rPr>
        <w:instrText>MabThera</w:instrText>
      </w:r>
      <w:r w:rsidR="00A6794A" w:rsidRPr="00D3550C">
        <w:rPr>
          <w:lang w:eastAsia="ru-RU"/>
        </w:rPr>
        <w:instrText>®/</w:instrText>
      </w:r>
      <w:r w:rsidR="00A6794A">
        <w:rPr>
          <w:lang w:val="en-US" w:eastAsia="ru-RU"/>
        </w:rPr>
        <w:instrText>Rituxan</w:instrText>
      </w:r>
      <w:r w:rsidR="00A6794A" w:rsidRPr="00D3550C">
        <w:rPr>
          <w:lang w:eastAsia="ru-RU"/>
        </w:rPr>
        <w:instrText xml:space="preserve">®), </w:instrText>
      </w:r>
      <w:r w:rsidR="00A6794A">
        <w:rPr>
          <w:lang w:val="en-US" w:eastAsia="ru-RU"/>
        </w:rPr>
        <w:instrText>a</w:instrText>
      </w:r>
      <w:r w:rsidR="00A6794A" w:rsidRPr="00D3550C">
        <w:rPr>
          <w:lang w:eastAsia="ru-RU"/>
        </w:rPr>
        <w:instrText xml:space="preserve"> </w:instrText>
      </w:r>
      <w:r w:rsidR="00A6794A">
        <w:rPr>
          <w:lang w:val="en-US" w:eastAsia="ru-RU"/>
        </w:rPr>
        <w:instrText>chimeric</w:instrText>
      </w:r>
      <w:r w:rsidR="00A6794A" w:rsidRPr="00D3550C">
        <w:rPr>
          <w:lang w:eastAsia="ru-RU"/>
        </w:rPr>
        <w:instrText xml:space="preserve"> </w:instrText>
      </w:r>
      <w:r w:rsidR="00A6794A">
        <w:rPr>
          <w:lang w:val="en-US" w:eastAsia="ru-RU"/>
        </w:rPr>
        <w:instrText>murine</w:instrText>
      </w:r>
      <w:r w:rsidR="00A6794A" w:rsidRPr="00AA43FB">
        <w:rPr>
          <w:lang w:eastAsia="ru-RU"/>
        </w:rPr>
        <w:instrText>/</w:instrText>
      </w:r>
      <w:r w:rsidR="00A6794A">
        <w:rPr>
          <w:lang w:val="en-US" w:eastAsia="ru-RU"/>
        </w:rPr>
        <w:instrText>human</w:instrText>
      </w:r>
      <w:r w:rsidR="00A6794A" w:rsidRPr="00AA43FB">
        <w:rPr>
          <w:lang w:eastAsia="ru-RU"/>
        </w:rPr>
        <w:instrText xml:space="preserve"> </w:instrText>
      </w:r>
      <w:r w:rsidR="00A6794A">
        <w:rPr>
          <w:lang w:val="en-US" w:eastAsia="ru-RU"/>
        </w:rPr>
        <w:instrText>monoclonal</w:instrText>
      </w:r>
      <w:r w:rsidR="00A6794A" w:rsidRPr="00AA43FB">
        <w:rPr>
          <w:lang w:eastAsia="ru-RU"/>
        </w:rPr>
        <w:instrText xml:space="preserve"> </w:instrText>
      </w:r>
      <w:r w:rsidR="00A6794A">
        <w:rPr>
          <w:lang w:val="en-US" w:eastAsia="ru-RU"/>
        </w:rPr>
        <w:instrText>antibody</w:instrText>
      </w:r>
      <w:r w:rsidR="00A6794A" w:rsidRPr="00AA43FB">
        <w:rPr>
          <w:lang w:eastAsia="ru-RU"/>
        </w:rPr>
        <w:instrText xml:space="preserve"> </w:instrText>
      </w:r>
      <w:r w:rsidR="00A6794A">
        <w:rPr>
          <w:lang w:val="en-US" w:eastAsia="ru-RU"/>
        </w:rPr>
        <w:instrText>that</w:instrText>
      </w:r>
      <w:r w:rsidR="00A6794A" w:rsidRPr="00AA43FB">
        <w:rPr>
          <w:lang w:eastAsia="ru-RU"/>
        </w:rPr>
        <w:instrText xml:space="preserve"> </w:instrText>
      </w:r>
      <w:r w:rsidR="00A6794A">
        <w:rPr>
          <w:lang w:val="en-US" w:eastAsia="ru-RU"/>
        </w:rPr>
        <w:instrText>binds</w:instrText>
      </w:r>
      <w:r w:rsidR="00A6794A" w:rsidRPr="00AA43FB">
        <w:rPr>
          <w:lang w:eastAsia="ru-RU"/>
        </w:rPr>
        <w:instrText xml:space="preserve"> </w:instrText>
      </w:r>
      <w:r w:rsidR="00A6794A">
        <w:rPr>
          <w:lang w:val="en-US" w:eastAsia="ru-RU"/>
        </w:rPr>
        <w:instrText>specifically</w:instrText>
      </w:r>
      <w:r w:rsidR="00A6794A" w:rsidRPr="00AA43FB">
        <w:rPr>
          <w:lang w:eastAsia="ru-RU"/>
        </w:rPr>
        <w:instrText xml:space="preserve"> </w:instrText>
      </w:r>
      <w:r w:rsidR="00A6794A">
        <w:rPr>
          <w:lang w:val="en-US" w:eastAsia="ru-RU"/>
        </w:rPr>
        <w:instrText>to</w:instrText>
      </w:r>
      <w:r w:rsidR="00A6794A" w:rsidRPr="00AA43FB">
        <w:rPr>
          <w:lang w:eastAsia="ru-RU"/>
        </w:rPr>
        <w:instrText xml:space="preserve"> </w:instrText>
      </w:r>
      <w:r w:rsidR="00A6794A">
        <w:rPr>
          <w:lang w:val="en-US" w:eastAsia="ru-RU"/>
        </w:rPr>
        <w:instrText>the</w:instrText>
      </w:r>
      <w:r w:rsidR="00A6794A" w:rsidRPr="00AA43FB">
        <w:rPr>
          <w:lang w:eastAsia="ru-RU"/>
        </w:rPr>
        <w:instrText xml:space="preserve"> </w:instrText>
      </w:r>
      <w:r w:rsidR="00A6794A">
        <w:rPr>
          <w:lang w:val="en-US" w:eastAsia="ru-RU"/>
        </w:rPr>
        <w:instrText>transmembrane</w:instrText>
      </w:r>
      <w:r w:rsidR="00A6794A" w:rsidRPr="00AA43FB">
        <w:rPr>
          <w:lang w:eastAsia="ru-RU"/>
        </w:rPr>
        <w:instrText xml:space="preserve"> </w:instrText>
      </w:r>
      <w:r w:rsidR="00A6794A">
        <w:rPr>
          <w:lang w:val="en-US" w:eastAsia="ru-RU"/>
        </w:rPr>
        <w:instrText>antigen</w:instrText>
      </w:r>
      <w:r w:rsidR="00A6794A" w:rsidRPr="00AA43FB">
        <w:rPr>
          <w:lang w:eastAsia="ru-RU"/>
        </w:rPr>
        <w:instrText xml:space="preserve"> </w:instrText>
      </w:r>
      <w:r w:rsidR="00A6794A">
        <w:rPr>
          <w:lang w:val="en-US" w:eastAsia="ru-RU"/>
        </w:rPr>
        <w:instrText>CD</w:instrText>
      </w:r>
      <w:r w:rsidR="00A6794A" w:rsidRPr="00AA43FB">
        <w:rPr>
          <w:lang w:eastAsia="ru-RU"/>
        </w:rPr>
        <w:instrText xml:space="preserve">20, </w:instrText>
      </w:r>
      <w:r w:rsidR="00A6794A">
        <w:rPr>
          <w:lang w:val="en-US" w:eastAsia="ru-RU"/>
        </w:rPr>
        <w:instrText>was</w:instrText>
      </w:r>
      <w:r w:rsidR="00A6794A" w:rsidRPr="00AA43FB">
        <w:rPr>
          <w:lang w:eastAsia="ru-RU"/>
        </w:rPr>
        <w:instrText xml:space="preserve"> </w:instrText>
      </w:r>
      <w:r w:rsidR="00A6794A">
        <w:rPr>
          <w:lang w:val="en-US" w:eastAsia="ru-RU"/>
        </w:rPr>
        <w:instrText>the</w:instrText>
      </w:r>
      <w:r w:rsidR="00A6794A" w:rsidRPr="00AA43FB">
        <w:rPr>
          <w:lang w:eastAsia="ru-RU"/>
        </w:rPr>
        <w:instrText xml:space="preserve"> </w:instrText>
      </w:r>
      <w:r w:rsidR="00A6794A">
        <w:rPr>
          <w:lang w:val="en-US" w:eastAsia="ru-RU"/>
        </w:rPr>
        <w:instrText>first</w:instrText>
      </w:r>
      <w:r w:rsidR="00A6794A" w:rsidRPr="00AA43FB">
        <w:rPr>
          <w:lang w:eastAsia="ru-RU"/>
        </w:rPr>
        <w:instrText xml:space="preserve"> </w:instrText>
      </w:r>
      <w:r w:rsidR="00A6794A">
        <w:rPr>
          <w:lang w:val="en-US" w:eastAsia="ru-RU"/>
        </w:rPr>
        <w:instrText>therapeutic</w:instrText>
      </w:r>
      <w:r w:rsidR="00A6794A" w:rsidRPr="00AA43FB">
        <w:rPr>
          <w:lang w:eastAsia="ru-RU"/>
        </w:rPr>
        <w:instrText xml:space="preserve"> </w:instrText>
      </w:r>
      <w:r w:rsidR="00A6794A">
        <w:rPr>
          <w:lang w:val="en-US" w:eastAsia="ru-RU"/>
        </w:rPr>
        <w:instrText>antibody</w:instrText>
      </w:r>
      <w:r w:rsidR="00A6794A" w:rsidRPr="00AA43FB">
        <w:rPr>
          <w:lang w:eastAsia="ru-RU"/>
        </w:rPr>
        <w:instrText xml:space="preserve"> </w:instrText>
      </w:r>
      <w:r w:rsidR="00A6794A">
        <w:rPr>
          <w:lang w:val="en-US" w:eastAsia="ru-RU"/>
        </w:rPr>
        <w:instrText>to</w:instrText>
      </w:r>
      <w:r w:rsidR="00A6794A" w:rsidRPr="00AA43FB">
        <w:rPr>
          <w:lang w:eastAsia="ru-RU"/>
        </w:rPr>
        <w:instrText xml:space="preserve"> </w:instrText>
      </w:r>
      <w:r w:rsidR="00A6794A">
        <w:rPr>
          <w:lang w:val="en-US" w:eastAsia="ru-RU"/>
        </w:rPr>
        <w:instrText>enter</w:instrText>
      </w:r>
      <w:r w:rsidR="00A6794A" w:rsidRPr="00AA43FB">
        <w:rPr>
          <w:lang w:eastAsia="ru-RU"/>
        </w:rPr>
        <w:instrText xml:space="preserve"> </w:instrText>
      </w:r>
      <w:r w:rsidR="00A6794A">
        <w:rPr>
          <w:lang w:val="en-US" w:eastAsia="ru-RU"/>
        </w:rPr>
        <w:instrText>clinical</w:instrText>
      </w:r>
      <w:r w:rsidR="00A6794A" w:rsidRPr="00AA43FB">
        <w:rPr>
          <w:lang w:eastAsia="ru-RU"/>
        </w:rPr>
        <w:instrText xml:space="preserve"> </w:instrText>
      </w:r>
      <w:r w:rsidR="00A6794A">
        <w:rPr>
          <w:lang w:val="en-US" w:eastAsia="ru-RU"/>
        </w:rPr>
        <w:instrText>practice</w:instrText>
      </w:r>
      <w:r w:rsidR="00A6794A" w:rsidRPr="00AA43FB">
        <w:rPr>
          <w:lang w:eastAsia="ru-RU"/>
        </w:rPr>
        <w:instrText xml:space="preserve"> </w:instrText>
      </w:r>
      <w:r w:rsidR="00A6794A">
        <w:rPr>
          <w:lang w:val="en-US" w:eastAsia="ru-RU"/>
        </w:rPr>
        <w:instrText>for</w:instrText>
      </w:r>
      <w:r w:rsidR="00A6794A" w:rsidRPr="00AA43FB">
        <w:rPr>
          <w:lang w:eastAsia="ru-RU"/>
        </w:rPr>
        <w:instrText xml:space="preserve"> </w:instrText>
      </w:r>
      <w:r w:rsidR="00A6794A">
        <w:rPr>
          <w:lang w:val="en-US" w:eastAsia="ru-RU"/>
        </w:rPr>
        <w:instrText>the</w:instrText>
      </w:r>
      <w:r w:rsidR="00A6794A" w:rsidRPr="00AA43FB">
        <w:rPr>
          <w:lang w:eastAsia="ru-RU"/>
        </w:rPr>
        <w:instrText xml:space="preserve"> </w:instrText>
      </w:r>
      <w:r w:rsidR="00A6794A">
        <w:rPr>
          <w:lang w:val="en-US" w:eastAsia="ru-RU"/>
        </w:rPr>
        <w:instrText>treatment</w:instrText>
      </w:r>
      <w:r w:rsidR="00A6794A" w:rsidRPr="00AA43FB">
        <w:rPr>
          <w:lang w:eastAsia="ru-RU"/>
        </w:rPr>
        <w:instrText xml:space="preserve"> </w:instrText>
      </w:r>
      <w:r w:rsidR="00A6794A">
        <w:rPr>
          <w:lang w:val="en-US" w:eastAsia="ru-RU"/>
        </w:rPr>
        <w:instrText>of</w:instrText>
      </w:r>
      <w:r w:rsidR="00A6794A" w:rsidRPr="00AA43FB">
        <w:rPr>
          <w:lang w:eastAsia="ru-RU"/>
        </w:rPr>
        <w:instrText xml:space="preserve"> </w:instrText>
      </w:r>
      <w:r w:rsidR="00A6794A">
        <w:rPr>
          <w:lang w:val="en-US" w:eastAsia="ru-RU"/>
        </w:rPr>
        <w:instrText>cancer</w:instrText>
      </w:r>
      <w:r w:rsidR="00A6794A" w:rsidRPr="00AA43FB">
        <w:rPr>
          <w:lang w:eastAsia="ru-RU"/>
        </w:rPr>
        <w:instrText xml:space="preserve">. </w:instrText>
      </w:r>
      <w:r w:rsidR="00A6794A">
        <w:rPr>
          <w:lang w:val="en-US" w:eastAsia="ru-RU"/>
        </w:rPr>
        <w:instrText>As</w:instrText>
      </w:r>
      <w:r w:rsidR="00A6794A" w:rsidRPr="00AA43FB">
        <w:rPr>
          <w:lang w:eastAsia="ru-RU"/>
        </w:rPr>
        <w:instrText xml:space="preserve"> </w:instrText>
      </w:r>
      <w:r w:rsidR="00A6794A">
        <w:rPr>
          <w:lang w:val="en-US" w:eastAsia="ru-RU"/>
        </w:rPr>
        <w:instrText>monotherapy</w:instrText>
      </w:r>
      <w:r w:rsidR="00A6794A" w:rsidRPr="00AA43FB">
        <w:rPr>
          <w:lang w:eastAsia="ru-RU"/>
        </w:rPr>
        <w:instrText xml:space="preserve"> </w:instrText>
      </w:r>
      <w:r w:rsidR="00A6794A">
        <w:rPr>
          <w:lang w:val="en-US" w:eastAsia="ru-RU"/>
        </w:rPr>
        <w:instrText>and</w:instrText>
      </w:r>
      <w:r w:rsidR="00A6794A" w:rsidRPr="00AA43FB">
        <w:rPr>
          <w:lang w:eastAsia="ru-RU"/>
        </w:rPr>
        <w:instrText xml:space="preserve"> </w:instrText>
      </w:r>
      <w:r w:rsidR="00A6794A">
        <w:rPr>
          <w:lang w:val="en-US" w:eastAsia="ru-RU"/>
        </w:rPr>
        <w:instrText>in</w:instrText>
      </w:r>
      <w:r w:rsidR="00A6794A" w:rsidRPr="00AA43FB">
        <w:rPr>
          <w:lang w:eastAsia="ru-RU"/>
        </w:rPr>
        <w:instrText xml:space="preserve"> </w:instrText>
      </w:r>
      <w:r w:rsidR="00A6794A">
        <w:rPr>
          <w:lang w:val="en-US" w:eastAsia="ru-RU"/>
        </w:rPr>
        <w:instrText>combination</w:instrText>
      </w:r>
      <w:r w:rsidR="00A6794A" w:rsidRPr="00AA43FB">
        <w:rPr>
          <w:lang w:eastAsia="ru-RU"/>
        </w:rPr>
        <w:instrText xml:space="preserve"> </w:instrText>
      </w:r>
      <w:r w:rsidR="00A6794A">
        <w:rPr>
          <w:lang w:val="en-US" w:eastAsia="ru-RU"/>
        </w:rPr>
        <w:instrText>with</w:instrText>
      </w:r>
      <w:r w:rsidR="00A6794A" w:rsidRPr="00AA43FB">
        <w:rPr>
          <w:lang w:eastAsia="ru-RU"/>
        </w:rPr>
        <w:instrText xml:space="preserve"> </w:instrText>
      </w:r>
      <w:r w:rsidR="00A6794A">
        <w:rPr>
          <w:lang w:val="en-US" w:eastAsia="ru-RU"/>
        </w:rPr>
        <w:instrText>chemotherapy</w:instrText>
      </w:r>
      <w:r w:rsidR="00A6794A" w:rsidRPr="00AA43FB">
        <w:rPr>
          <w:lang w:eastAsia="ru-RU"/>
        </w:rPr>
        <w:instrText xml:space="preserve">, </w:instrText>
      </w:r>
      <w:r w:rsidR="00A6794A">
        <w:rPr>
          <w:lang w:val="en-US" w:eastAsia="ru-RU"/>
        </w:rPr>
        <w:instrText>rituximab</w:instrText>
      </w:r>
      <w:r w:rsidR="00A6794A" w:rsidRPr="00AA43FB">
        <w:rPr>
          <w:lang w:eastAsia="ru-RU"/>
        </w:rPr>
        <w:instrText xml:space="preserve"> </w:instrText>
      </w:r>
      <w:r w:rsidR="00A6794A">
        <w:rPr>
          <w:lang w:val="en-US" w:eastAsia="ru-RU"/>
        </w:rPr>
        <w:instrText>has</w:instrText>
      </w:r>
      <w:r w:rsidR="00A6794A" w:rsidRPr="00AA43FB">
        <w:rPr>
          <w:lang w:eastAsia="ru-RU"/>
        </w:rPr>
        <w:instrText xml:space="preserve"> </w:instrText>
      </w:r>
      <w:r w:rsidR="00A6794A">
        <w:rPr>
          <w:lang w:val="en-US" w:eastAsia="ru-RU"/>
        </w:rPr>
        <w:instrText>been</w:instrText>
      </w:r>
      <w:r w:rsidR="00A6794A" w:rsidRPr="00AA43FB">
        <w:rPr>
          <w:lang w:eastAsia="ru-RU"/>
        </w:rPr>
        <w:instrText xml:space="preserve"> </w:instrText>
      </w:r>
      <w:r w:rsidR="00A6794A">
        <w:rPr>
          <w:lang w:val="en-US" w:eastAsia="ru-RU"/>
        </w:rPr>
        <w:instrText>shown</w:instrText>
      </w:r>
      <w:r w:rsidR="00A6794A" w:rsidRPr="00AA43FB">
        <w:rPr>
          <w:lang w:eastAsia="ru-RU"/>
        </w:rPr>
        <w:instrText xml:space="preserve"> </w:instrText>
      </w:r>
      <w:r w:rsidR="00A6794A">
        <w:rPr>
          <w:lang w:val="en-US" w:eastAsia="ru-RU"/>
        </w:rPr>
        <w:instrText>to</w:instrText>
      </w:r>
      <w:r w:rsidR="00A6794A" w:rsidRPr="00AA43FB">
        <w:rPr>
          <w:lang w:eastAsia="ru-RU"/>
        </w:rPr>
        <w:instrText xml:space="preserve"> </w:instrText>
      </w:r>
      <w:r w:rsidR="00A6794A">
        <w:rPr>
          <w:lang w:val="en-US" w:eastAsia="ru-RU"/>
        </w:rPr>
        <w:instrText>prolong</w:instrText>
      </w:r>
      <w:r w:rsidR="00A6794A" w:rsidRPr="00AA43FB">
        <w:rPr>
          <w:lang w:eastAsia="ru-RU"/>
        </w:rPr>
        <w:instrText xml:space="preserve"> </w:instrText>
      </w:r>
      <w:r w:rsidR="00A6794A">
        <w:rPr>
          <w:lang w:val="en-US" w:eastAsia="ru-RU"/>
        </w:rPr>
        <w:instrText>progression</w:instrText>
      </w:r>
      <w:r w:rsidR="00A6794A" w:rsidRPr="00AA43FB">
        <w:rPr>
          <w:lang w:eastAsia="ru-RU"/>
        </w:rPr>
        <w:instrText>-</w:instrText>
      </w:r>
      <w:r w:rsidR="00A6794A">
        <w:rPr>
          <w:lang w:val="en-US" w:eastAsia="ru-RU"/>
        </w:rPr>
        <w:instrText>free</w:instrText>
      </w:r>
      <w:r w:rsidR="00A6794A" w:rsidRPr="00AA43FB">
        <w:rPr>
          <w:lang w:eastAsia="ru-RU"/>
        </w:rPr>
        <w:instrText xml:space="preserve"> </w:instrText>
      </w:r>
      <w:r w:rsidR="00A6794A">
        <w:rPr>
          <w:lang w:val="en-US" w:eastAsia="ru-RU"/>
        </w:rPr>
        <w:instrText>survival</w:instrText>
      </w:r>
      <w:r w:rsidR="00A6794A" w:rsidRPr="00AA43FB">
        <w:rPr>
          <w:lang w:eastAsia="ru-RU"/>
        </w:rPr>
        <w:instrText xml:space="preserve"> </w:instrText>
      </w:r>
      <w:r w:rsidR="00A6794A">
        <w:rPr>
          <w:lang w:val="en-US" w:eastAsia="ru-RU"/>
        </w:rPr>
        <w:instrText>and</w:instrText>
      </w:r>
      <w:r w:rsidR="00A6794A" w:rsidRPr="00AA43FB">
        <w:rPr>
          <w:lang w:eastAsia="ru-RU"/>
        </w:rPr>
        <w:instrText xml:space="preserve">, </w:instrText>
      </w:r>
      <w:r w:rsidR="00A6794A">
        <w:rPr>
          <w:lang w:val="en-US" w:eastAsia="ru-RU"/>
        </w:rPr>
        <w:instrText>in</w:instrText>
      </w:r>
      <w:r w:rsidR="00A6794A" w:rsidRPr="00AA43FB">
        <w:rPr>
          <w:lang w:eastAsia="ru-RU"/>
        </w:rPr>
        <w:instrText xml:space="preserve"> </w:instrText>
      </w:r>
      <w:r w:rsidR="00A6794A">
        <w:rPr>
          <w:lang w:val="en-US" w:eastAsia="ru-RU"/>
        </w:rPr>
        <w:instrText>some</w:instrText>
      </w:r>
      <w:r w:rsidR="00A6794A" w:rsidRPr="00AA43FB">
        <w:rPr>
          <w:lang w:eastAsia="ru-RU"/>
        </w:rPr>
        <w:instrText xml:space="preserve"> </w:instrText>
      </w:r>
      <w:r w:rsidR="00A6794A">
        <w:rPr>
          <w:lang w:val="en-US" w:eastAsia="ru-RU"/>
        </w:rPr>
        <w:instrText>indications</w:instrText>
      </w:r>
      <w:r w:rsidR="00A6794A" w:rsidRPr="00AA43FB">
        <w:rPr>
          <w:lang w:eastAsia="ru-RU"/>
        </w:rPr>
        <w:instrText xml:space="preserve"> </w:instrText>
      </w:r>
      <w:r w:rsidR="00A6794A">
        <w:rPr>
          <w:lang w:val="en-US" w:eastAsia="ru-RU"/>
        </w:rPr>
        <w:instrText>overall</w:instrText>
      </w:r>
      <w:r w:rsidR="00A6794A" w:rsidRPr="00AA43FB">
        <w:rPr>
          <w:lang w:eastAsia="ru-RU"/>
        </w:rPr>
        <w:instrText xml:space="preserve"> </w:instrText>
      </w:r>
      <w:r w:rsidR="00A6794A">
        <w:rPr>
          <w:lang w:val="en-US" w:eastAsia="ru-RU"/>
        </w:rPr>
        <w:instrText>survival</w:instrText>
      </w:r>
      <w:r w:rsidR="00A6794A" w:rsidRPr="00AA43FB">
        <w:rPr>
          <w:lang w:eastAsia="ru-RU"/>
        </w:rPr>
        <w:instrText xml:space="preserve">, </w:instrText>
      </w:r>
      <w:r w:rsidR="00A6794A">
        <w:rPr>
          <w:lang w:val="en-US" w:eastAsia="ru-RU"/>
        </w:rPr>
        <w:instrText>in</w:instrText>
      </w:r>
      <w:r w:rsidR="00A6794A" w:rsidRPr="00AA43FB">
        <w:rPr>
          <w:lang w:eastAsia="ru-RU"/>
        </w:rPr>
        <w:instrText xml:space="preserve"> </w:instrText>
      </w:r>
      <w:r w:rsidR="00A6794A">
        <w:rPr>
          <w:lang w:val="en-US" w:eastAsia="ru-RU"/>
        </w:rPr>
        <w:instrText>patients</w:instrText>
      </w:r>
      <w:r w:rsidR="00A6794A" w:rsidRPr="00AA43FB">
        <w:rPr>
          <w:lang w:eastAsia="ru-RU"/>
        </w:rPr>
        <w:instrText xml:space="preserve"> </w:instrText>
      </w:r>
      <w:r w:rsidR="00A6794A">
        <w:rPr>
          <w:lang w:val="en-US" w:eastAsia="ru-RU"/>
        </w:rPr>
        <w:instrText>with</w:instrText>
      </w:r>
      <w:r w:rsidR="00A6794A" w:rsidRPr="00AA43FB">
        <w:rPr>
          <w:lang w:eastAsia="ru-RU"/>
        </w:rPr>
        <w:instrText xml:space="preserve"> </w:instrText>
      </w:r>
      <w:r w:rsidR="00A6794A">
        <w:rPr>
          <w:lang w:val="en-US" w:eastAsia="ru-RU"/>
        </w:rPr>
        <w:instrText>various</w:instrText>
      </w:r>
      <w:r w:rsidR="00A6794A" w:rsidRPr="00AA43FB">
        <w:rPr>
          <w:lang w:eastAsia="ru-RU"/>
        </w:rPr>
        <w:instrText xml:space="preserve"> </w:instrText>
      </w:r>
      <w:r w:rsidR="00A6794A">
        <w:rPr>
          <w:lang w:val="en-US" w:eastAsia="ru-RU"/>
        </w:rPr>
        <w:instrText>B</w:instrText>
      </w:r>
      <w:r w:rsidR="00A6794A" w:rsidRPr="00AA43FB">
        <w:rPr>
          <w:lang w:eastAsia="ru-RU"/>
        </w:rPr>
        <w:instrText>-</w:instrText>
      </w:r>
      <w:r w:rsidR="00A6794A">
        <w:rPr>
          <w:lang w:val="en-US" w:eastAsia="ru-RU"/>
        </w:rPr>
        <w:instrText>cell</w:instrText>
      </w:r>
      <w:r w:rsidR="00A6794A" w:rsidRPr="00AA43FB">
        <w:rPr>
          <w:lang w:eastAsia="ru-RU"/>
        </w:rPr>
        <w:instrText xml:space="preserve"> </w:instrText>
      </w:r>
      <w:r w:rsidR="00A6794A">
        <w:rPr>
          <w:lang w:val="en-US" w:eastAsia="ru-RU"/>
        </w:rPr>
        <w:instrText>malignancies</w:instrText>
      </w:r>
      <w:r w:rsidR="00A6794A" w:rsidRPr="00AA43FB">
        <w:rPr>
          <w:lang w:eastAsia="ru-RU"/>
        </w:rPr>
        <w:instrText xml:space="preserve">, </w:instrText>
      </w:r>
      <w:r w:rsidR="00A6794A">
        <w:rPr>
          <w:lang w:val="en-US" w:eastAsia="ru-RU"/>
        </w:rPr>
        <w:instrText>while</w:instrText>
      </w:r>
      <w:r w:rsidR="00A6794A" w:rsidRPr="00AA43FB">
        <w:rPr>
          <w:lang w:eastAsia="ru-RU"/>
        </w:rPr>
        <w:instrText xml:space="preserve"> </w:instrText>
      </w:r>
      <w:r w:rsidR="00A6794A">
        <w:rPr>
          <w:lang w:val="en-US" w:eastAsia="ru-RU"/>
        </w:rPr>
        <w:instrText>having</w:instrText>
      </w:r>
      <w:r w:rsidR="00A6794A" w:rsidRPr="00AA43FB">
        <w:rPr>
          <w:lang w:eastAsia="ru-RU"/>
        </w:rPr>
        <w:instrText xml:space="preserve"> </w:instrText>
      </w:r>
      <w:r w:rsidR="00A6794A">
        <w:rPr>
          <w:lang w:val="en-US" w:eastAsia="ru-RU"/>
        </w:rPr>
        <w:instrText>a</w:instrText>
      </w:r>
      <w:r w:rsidR="00A6794A" w:rsidRPr="00AA43FB">
        <w:rPr>
          <w:lang w:eastAsia="ru-RU"/>
        </w:rPr>
        <w:instrText xml:space="preserve"> </w:instrText>
      </w:r>
      <w:r w:rsidR="00A6794A">
        <w:rPr>
          <w:lang w:val="en-US" w:eastAsia="ru-RU"/>
        </w:rPr>
        <w:instrText>well</w:instrText>
      </w:r>
      <w:r w:rsidR="00A6794A" w:rsidRPr="00AA43FB">
        <w:rPr>
          <w:lang w:eastAsia="ru-RU"/>
        </w:rPr>
        <w:instrText>-</w:instrText>
      </w:r>
      <w:r w:rsidR="00A6794A">
        <w:rPr>
          <w:lang w:val="en-US" w:eastAsia="ru-RU"/>
        </w:rPr>
        <w:instrText>established</w:instrText>
      </w:r>
      <w:r w:rsidR="00A6794A" w:rsidRPr="00AA43FB">
        <w:rPr>
          <w:lang w:eastAsia="ru-RU"/>
        </w:rPr>
        <w:instrText xml:space="preserve"> </w:instrText>
      </w:r>
      <w:r w:rsidR="00A6794A">
        <w:rPr>
          <w:lang w:val="en-US" w:eastAsia="ru-RU"/>
        </w:rPr>
        <w:instrText>and</w:instrText>
      </w:r>
      <w:r w:rsidR="00A6794A" w:rsidRPr="00AA43FB">
        <w:rPr>
          <w:lang w:eastAsia="ru-RU"/>
        </w:rPr>
        <w:instrText xml:space="preserve"> </w:instrText>
      </w:r>
      <w:r w:rsidR="00A6794A">
        <w:rPr>
          <w:lang w:val="en-US" w:eastAsia="ru-RU"/>
        </w:rPr>
        <w:instrText>manageable</w:instrText>
      </w:r>
      <w:r w:rsidR="00A6794A" w:rsidRPr="00AA43FB">
        <w:rPr>
          <w:lang w:eastAsia="ru-RU"/>
        </w:rPr>
        <w:instrText xml:space="preserve"> </w:instrText>
      </w:r>
      <w:r w:rsidR="00A6794A">
        <w:rPr>
          <w:lang w:val="en-US" w:eastAsia="ru-RU"/>
        </w:rPr>
        <w:instrText>safety</w:instrText>
      </w:r>
      <w:r w:rsidR="00A6794A" w:rsidRPr="00AA43FB">
        <w:rPr>
          <w:lang w:eastAsia="ru-RU"/>
        </w:rPr>
        <w:instrText xml:space="preserve"> </w:instrText>
      </w:r>
      <w:r w:rsidR="00A6794A">
        <w:rPr>
          <w:lang w:val="en-US" w:eastAsia="ru-RU"/>
        </w:rPr>
        <w:instrText>profile</w:instrText>
      </w:r>
      <w:r w:rsidR="00A6794A" w:rsidRPr="00AA43FB">
        <w:rPr>
          <w:lang w:eastAsia="ru-RU"/>
        </w:rPr>
        <w:instrText xml:space="preserve"> </w:instrText>
      </w:r>
      <w:r w:rsidR="00A6794A">
        <w:rPr>
          <w:lang w:val="en-US" w:eastAsia="ru-RU"/>
        </w:rPr>
        <w:instrText>and</w:instrText>
      </w:r>
      <w:r w:rsidR="00A6794A" w:rsidRPr="00AA43FB">
        <w:rPr>
          <w:lang w:eastAsia="ru-RU"/>
        </w:rPr>
        <w:instrText xml:space="preserve"> </w:instrText>
      </w:r>
      <w:r w:rsidR="00A6794A">
        <w:rPr>
          <w:lang w:val="en-US" w:eastAsia="ru-RU"/>
        </w:rPr>
        <w:instrText>a</w:instrText>
      </w:r>
      <w:r w:rsidR="00A6794A" w:rsidRPr="00AA43FB">
        <w:rPr>
          <w:lang w:eastAsia="ru-RU"/>
        </w:rPr>
        <w:instrText xml:space="preserve"> </w:instrText>
      </w:r>
      <w:r w:rsidR="00A6794A">
        <w:rPr>
          <w:lang w:val="en-US" w:eastAsia="ru-RU"/>
        </w:rPr>
        <w:instrText>wide</w:instrText>
      </w:r>
      <w:r w:rsidR="00A6794A" w:rsidRPr="00AA43FB">
        <w:rPr>
          <w:lang w:eastAsia="ru-RU"/>
        </w:rPr>
        <w:instrText xml:space="preserve"> </w:instrText>
      </w:r>
      <w:r w:rsidR="00A6794A">
        <w:rPr>
          <w:lang w:val="en-US" w:eastAsia="ru-RU"/>
        </w:rPr>
        <w:instrText>therapeutic</w:instrText>
      </w:r>
      <w:r w:rsidR="00A6794A" w:rsidRPr="00AA43FB">
        <w:rPr>
          <w:lang w:eastAsia="ru-RU"/>
        </w:rPr>
        <w:instrText xml:space="preserve"> </w:instrText>
      </w:r>
      <w:r w:rsidR="00A6794A">
        <w:rPr>
          <w:lang w:val="en-US" w:eastAsia="ru-RU"/>
        </w:rPr>
        <w:instrText>window</w:instrText>
      </w:r>
      <w:r w:rsidR="00A6794A" w:rsidRPr="00AA43FB">
        <w:rPr>
          <w:lang w:eastAsia="ru-RU"/>
        </w:rPr>
        <w:instrText xml:space="preserve">. </w:instrText>
      </w:r>
      <w:r w:rsidR="00A6794A">
        <w:rPr>
          <w:lang w:val="en-US" w:eastAsia="ru-RU"/>
        </w:rPr>
        <w:instrText>As</w:instrText>
      </w:r>
      <w:r w:rsidR="00A6794A" w:rsidRPr="00AA43FB">
        <w:rPr>
          <w:lang w:eastAsia="ru-RU"/>
        </w:rPr>
        <w:instrText xml:space="preserve"> </w:instrText>
      </w:r>
      <w:r w:rsidR="00A6794A">
        <w:rPr>
          <w:lang w:val="en-US" w:eastAsia="ru-RU"/>
        </w:rPr>
        <w:instrText>a</w:instrText>
      </w:r>
      <w:r w:rsidR="00A6794A" w:rsidRPr="00AA43FB">
        <w:rPr>
          <w:lang w:eastAsia="ru-RU"/>
        </w:rPr>
        <w:instrText xml:space="preserve"> </w:instrText>
      </w:r>
      <w:r w:rsidR="00A6794A">
        <w:rPr>
          <w:lang w:val="en-US" w:eastAsia="ru-RU"/>
        </w:rPr>
        <w:instrText>result</w:instrText>
      </w:r>
      <w:r w:rsidR="00A6794A" w:rsidRPr="00AA43FB">
        <w:rPr>
          <w:lang w:eastAsia="ru-RU"/>
        </w:rPr>
        <w:instrText xml:space="preserve">, </w:instrText>
      </w:r>
      <w:r w:rsidR="00A6794A">
        <w:rPr>
          <w:lang w:val="en-US" w:eastAsia="ru-RU"/>
        </w:rPr>
        <w:instrText>rituximab</w:instrText>
      </w:r>
      <w:r w:rsidR="00A6794A" w:rsidRPr="00AA43FB">
        <w:rPr>
          <w:lang w:eastAsia="ru-RU"/>
        </w:rPr>
        <w:instrText xml:space="preserve"> </w:instrText>
      </w:r>
      <w:r w:rsidR="00A6794A">
        <w:rPr>
          <w:lang w:val="en-US" w:eastAsia="ru-RU"/>
        </w:rPr>
        <w:instrText>is</w:instrText>
      </w:r>
      <w:r w:rsidR="00A6794A" w:rsidRPr="00AA43FB">
        <w:rPr>
          <w:lang w:eastAsia="ru-RU"/>
        </w:rPr>
        <w:instrText xml:space="preserve"> </w:instrText>
      </w:r>
      <w:r w:rsidR="00A6794A">
        <w:rPr>
          <w:lang w:val="en-US" w:eastAsia="ru-RU"/>
        </w:rPr>
        <w:instrText>considered</w:instrText>
      </w:r>
      <w:r w:rsidR="00A6794A" w:rsidRPr="00AA43FB">
        <w:rPr>
          <w:lang w:eastAsia="ru-RU"/>
        </w:rPr>
        <w:instrText xml:space="preserve"> </w:instrText>
      </w:r>
      <w:r w:rsidR="00A6794A">
        <w:rPr>
          <w:lang w:val="en-US" w:eastAsia="ru-RU"/>
        </w:rPr>
        <w:instrText>to</w:instrText>
      </w:r>
      <w:r w:rsidR="00A6794A" w:rsidRPr="00AA43FB">
        <w:rPr>
          <w:lang w:eastAsia="ru-RU"/>
        </w:rPr>
        <w:instrText xml:space="preserve"> </w:instrText>
      </w:r>
      <w:r w:rsidR="00A6794A">
        <w:rPr>
          <w:lang w:val="en-US" w:eastAsia="ru-RU"/>
        </w:rPr>
        <w:instrText>have</w:instrText>
      </w:r>
      <w:r w:rsidR="00A6794A" w:rsidRPr="00AA43FB">
        <w:rPr>
          <w:lang w:eastAsia="ru-RU"/>
        </w:rPr>
        <w:instrText xml:space="preserve"> </w:instrText>
      </w:r>
      <w:r w:rsidR="00A6794A">
        <w:rPr>
          <w:lang w:val="en-US" w:eastAsia="ru-RU"/>
        </w:rPr>
        <w:instrText>revolutionized</w:instrText>
      </w:r>
      <w:r w:rsidR="00A6794A" w:rsidRPr="00AA43FB">
        <w:rPr>
          <w:lang w:eastAsia="ru-RU"/>
        </w:rPr>
        <w:instrText xml:space="preserve"> </w:instrText>
      </w:r>
      <w:r w:rsidR="00A6794A">
        <w:rPr>
          <w:lang w:val="en-US" w:eastAsia="ru-RU"/>
        </w:rPr>
        <w:instrText>treatment</w:instrText>
      </w:r>
      <w:r w:rsidR="00A6794A" w:rsidRPr="00AA43FB">
        <w:rPr>
          <w:lang w:eastAsia="ru-RU"/>
        </w:rPr>
        <w:instrText xml:space="preserve"> </w:instrText>
      </w:r>
      <w:r w:rsidR="00A6794A">
        <w:rPr>
          <w:lang w:val="en-US" w:eastAsia="ru-RU"/>
        </w:rPr>
        <w:instrText>practices</w:instrText>
      </w:r>
      <w:r w:rsidR="00A6794A" w:rsidRPr="00AA43FB">
        <w:rPr>
          <w:lang w:eastAsia="ru-RU"/>
        </w:rPr>
        <w:instrText xml:space="preserve"> </w:instrText>
      </w:r>
      <w:r w:rsidR="00A6794A">
        <w:rPr>
          <w:lang w:val="en-US" w:eastAsia="ru-RU"/>
        </w:rPr>
        <w:instrText>for</w:instrText>
      </w:r>
      <w:r w:rsidR="00A6794A" w:rsidRPr="00AA43FB">
        <w:rPr>
          <w:lang w:eastAsia="ru-RU"/>
        </w:rPr>
        <w:instrText xml:space="preserve"> </w:instrText>
      </w:r>
      <w:r w:rsidR="00A6794A">
        <w:rPr>
          <w:lang w:val="en-US" w:eastAsia="ru-RU"/>
        </w:rPr>
        <w:instrText>patients</w:instrText>
      </w:r>
      <w:r w:rsidR="00A6794A" w:rsidRPr="00AA43FB">
        <w:rPr>
          <w:lang w:eastAsia="ru-RU"/>
        </w:rPr>
        <w:instrText xml:space="preserve"> </w:instrText>
      </w:r>
      <w:r w:rsidR="00A6794A">
        <w:rPr>
          <w:lang w:val="en-US" w:eastAsia="ru-RU"/>
        </w:rPr>
        <w:instrText>with</w:instrText>
      </w:r>
      <w:r w:rsidR="00A6794A" w:rsidRPr="00AA43FB">
        <w:rPr>
          <w:lang w:eastAsia="ru-RU"/>
        </w:rPr>
        <w:instrText xml:space="preserve"> </w:instrText>
      </w:r>
      <w:r w:rsidR="00A6794A">
        <w:rPr>
          <w:lang w:val="en-US" w:eastAsia="ru-RU"/>
        </w:rPr>
        <w:instrText>B</w:instrText>
      </w:r>
      <w:r w:rsidR="00A6794A" w:rsidRPr="00AA43FB">
        <w:rPr>
          <w:lang w:eastAsia="ru-RU"/>
        </w:rPr>
        <w:instrText>-</w:instrText>
      </w:r>
      <w:r w:rsidR="00A6794A">
        <w:rPr>
          <w:lang w:val="en-US" w:eastAsia="ru-RU"/>
        </w:rPr>
        <w:instrText>cell</w:instrText>
      </w:r>
      <w:r w:rsidR="00A6794A" w:rsidRPr="00AA43FB">
        <w:rPr>
          <w:lang w:eastAsia="ru-RU"/>
        </w:rPr>
        <w:instrText xml:space="preserve"> </w:instrText>
      </w:r>
      <w:r w:rsidR="00A6794A">
        <w:rPr>
          <w:lang w:val="en-US" w:eastAsia="ru-RU"/>
        </w:rPr>
        <w:instrText>malignancies</w:instrText>
      </w:r>
      <w:r w:rsidR="00A6794A" w:rsidRPr="00AA43FB">
        <w:rPr>
          <w:lang w:eastAsia="ru-RU"/>
        </w:rPr>
        <w:instrText xml:space="preserve">. </w:instrText>
      </w:r>
      <w:r w:rsidR="00A6794A">
        <w:rPr>
          <w:lang w:val="en-US" w:eastAsia="ru-RU"/>
        </w:rPr>
        <w:instrText>A</w:instrText>
      </w:r>
      <w:r w:rsidR="00A6794A" w:rsidRPr="00AA43FB">
        <w:rPr>
          <w:lang w:eastAsia="ru-RU"/>
        </w:rPr>
        <w:instrText xml:space="preserve"> </w:instrText>
      </w:r>
      <w:r w:rsidR="00A6794A">
        <w:rPr>
          <w:lang w:val="en-US" w:eastAsia="ru-RU"/>
        </w:rPr>
        <w:instrText>subcutaneous</w:instrText>
      </w:r>
      <w:r w:rsidR="00A6794A" w:rsidRPr="00AA43FB">
        <w:rPr>
          <w:lang w:eastAsia="ru-RU"/>
        </w:rPr>
        <w:instrText xml:space="preserve"> (</w:instrText>
      </w:r>
      <w:r w:rsidR="00A6794A">
        <w:rPr>
          <w:lang w:val="en-US" w:eastAsia="ru-RU"/>
        </w:rPr>
        <w:instrText>SC</w:instrText>
      </w:r>
      <w:r w:rsidR="00A6794A" w:rsidRPr="00AA43FB">
        <w:rPr>
          <w:lang w:eastAsia="ru-RU"/>
        </w:rPr>
        <w:instrText xml:space="preserve">) </w:instrText>
      </w:r>
      <w:r w:rsidR="00A6794A">
        <w:rPr>
          <w:lang w:val="en-US" w:eastAsia="ru-RU"/>
        </w:rPr>
        <w:instrText>formulation</w:instrText>
      </w:r>
      <w:r w:rsidR="00A6794A" w:rsidRPr="00AA43FB">
        <w:rPr>
          <w:lang w:eastAsia="ru-RU"/>
        </w:rPr>
        <w:instrText xml:space="preserve"> </w:instrText>
      </w:r>
      <w:r w:rsidR="00A6794A">
        <w:rPr>
          <w:lang w:val="en-US" w:eastAsia="ru-RU"/>
        </w:rPr>
        <w:instrText>of</w:instrText>
      </w:r>
      <w:r w:rsidR="00A6794A" w:rsidRPr="00AA43FB">
        <w:rPr>
          <w:lang w:eastAsia="ru-RU"/>
        </w:rPr>
        <w:instrText xml:space="preserve"> </w:instrText>
      </w:r>
      <w:r w:rsidR="00A6794A">
        <w:rPr>
          <w:lang w:val="en-US" w:eastAsia="ru-RU"/>
        </w:rPr>
        <w:instrText>rituximab</w:instrText>
      </w:r>
      <w:r w:rsidR="00A6794A" w:rsidRPr="00AA43FB">
        <w:rPr>
          <w:lang w:eastAsia="ru-RU"/>
        </w:rPr>
        <w:instrText xml:space="preserve"> </w:instrText>
      </w:r>
      <w:r w:rsidR="00A6794A">
        <w:rPr>
          <w:lang w:val="en-US" w:eastAsia="ru-RU"/>
        </w:rPr>
        <w:instrText>has</w:instrText>
      </w:r>
      <w:r w:rsidR="00A6794A" w:rsidRPr="00AA43FB">
        <w:rPr>
          <w:lang w:eastAsia="ru-RU"/>
        </w:rPr>
        <w:instrText xml:space="preserve"> </w:instrText>
      </w:r>
      <w:r w:rsidR="00A6794A">
        <w:rPr>
          <w:lang w:val="en-US" w:eastAsia="ru-RU"/>
        </w:rPr>
        <w:instrText>been</w:instrText>
      </w:r>
      <w:r w:rsidR="00A6794A" w:rsidRPr="00AA43FB">
        <w:rPr>
          <w:lang w:eastAsia="ru-RU"/>
        </w:rPr>
        <w:instrText xml:space="preserve"> </w:instrText>
      </w:r>
      <w:r w:rsidR="00A6794A">
        <w:rPr>
          <w:lang w:val="en-US" w:eastAsia="ru-RU"/>
        </w:rPr>
        <w:instrText>developed</w:instrText>
      </w:r>
      <w:r w:rsidR="00A6794A" w:rsidRPr="00AA43FB">
        <w:rPr>
          <w:lang w:eastAsia="ru-RU"/>
        </w:rPr>
        <w:instrText xml:space="preserve">, </w:instrText>
      </w:r>
      <w:r w:rsidR="00A6794A">
        <w:rPr>
          <w:lang w:val="en-US" w:eastAsia="ru-RU"/>
        </w:rPr>
        <w:instrText>comprising</w:instrText>
      </w:r>
      <w:r w:rsidR="00A6794A" w:rsidRPr="00AA43FB">
        <w:rPr>
          <w:lang w:eastAsia="ru-RU"/>
        </w:rPr>
        <w:instrText xml:space="preserve"> </w:instrText>
      </w:r>
      <w:r w:rsidR="00A6794A">
        <w:rPr>
          <w:lang w:val="en-US" w:eastAsia="ru-RU"/>
        </w:rPr>
        <w:instrText>the</w:instrText>
      </w:r>
      <w:r w:rsidR="00A6794A" w:rsidRPr="00AA43FB">
        <w:rPr>
          <w:lang w:eastAsia="ru-RU"/>
        </w:rPr>
        <w:instrText xml:space="preserve"> </w:instrText>
      </w:r>
      <w:r w:rsidR="00A6794A">
        <w:rPr>
          <w:lang w:val="en-US" w:eastAsia="ru-RU"/>
        </w:rPr>
        <w:instrText>same</w:instrText>
      </w:r>
      <w:r w:rsidR="00A6794A" w:rsidRPr="00AA43FB">
        <w:rPr>
          <w:lang w:eastAsia="ru-RU"/>
        </w:rPr>
        <w:instrText xml:space="preserve"> </w:instrText>
      </w:r>
      <w:r w:rsidR="00A6794A">
        <w:rPr>
          <w:lang w:val="en-US" w:eastAsia="ru-RU"/>
        </w:rPr>
        <w:instrText>monoclonal</w:instrText>
      </w:r>
      <w:r w:rsidR="00A6794A" w:rsidRPr="00AA43FB">
        <w:rPr>
          <w:lang w:eastAsia="ru-RU"/>
        </w:rPr>
        <w:instrText xml:space="preserve"> </w:instrText>
      </w:r>
      <w:r w:rsidR="00A6794A">
        <w:rPr>
          <w:lang w:val="en-US" w:eastAsia="ru-RU"/>
        </w:rPr>
        <w:instrText>antibody</w:instrText>
      </w:r>
      <w:r w:rsidR="00A6794A" w:rsidRPr="00AA43FB">
        <w:rPr>
          <w:lang w:eastAsia="ru-RU"/>
        </w:rPr>
        <w:instrText xml:space="preserve"> </w:instrText>
      </w:r>
      <w:r w:rsidR="00A6794A">
        <w:rPr>
          <w:lang w:val="en-US" w:eastAsia="ru-RU"/>
        </w:rPr>
        <w:instrText>as</w:instrText>
      </w:r>
      <w:r w:rsidR="00A6794A" w:rsidRPr="00AA43FB">
        <w:rPr>
          <w:lang w:eastAsia="ru-RU"/>
        </w:rPr>
        <w:instrText xml:space="preserve"> </w:instrText>
      </w:r>
      <w:r w:rsidR="00A6794A">
        <w:rPr>
          <w:lang w:val="en-US" w:eastAsia="ru-RU"/>
        </w:rPr>
        <w:instrText>the</w:instrText>
      </w:r>
      <w:r w:rsidR="00A6794A" w:rsidRPr="00AA43FB">
        <w:rPr>
          <w:lang w:eastAsia="ru-RU"/>
        </w:rPr>
        <w:instrText xml:space="preserve"> </w:instrText>
      </w:r>
      <w:r w:rsidR="00A6794A">
        <w:rPr>
          <w:lang w:val="en-US" w:eastAsia="ru-RU"/>
        </w:rPr>
        <w:instrText>originally</w:instrText>
      </w:r>
      <w:r w:rsidR="00A6794A" w:rsidRPr="00AA43FB">
        <w:rPr>
          <w:lang w:eastAsia="ru-RU"/>
        </w:rPr>
        <w:instrText xml:space="preserve"> </w:instrText>
      </w:r>
      <w:r w:rsidR="00A6794A">
        <w:rPr>
          <w:lang w:val="en-US" w:eastAsia="ru-RU"/>
        </w:rPr>
        <w:instrText>marketed</w:instrText>
      </w:r>
      <w:r w:rsidR="00A6794A" w:rsidRPr="00AA43FB">
        <w:rPr>
          <w:lang w:eastAsia="ru-RU"/>
        </w:rPr>
        <w:instrText xml:space="preserve"> </w:instrText>
      </w:r>
      <w:r w:rsidR="00A6794A">
        <w:rPr>
          <w:lang w:val="en-US" w:eastAsia="ru-RU"/>
        </w:rPr>
        <w:instrText>formulation</w:instrText>
      </w:r>
      <w:r w:rsidR="00A6794A" w:rsidRPr="00AA43FB">
        <w:rPr>
          <w:lang w:eastAsia="ru-RU"/>
        </w:rPr>
        <w:instrText xml:space="preserve"> [</w:instrText>
      </w:r>
      <w:r w:rsidR="00A6794A">
        <w:rPr>
          <w:lang w:val="en-US" w:eastAsia="ru-RU"/>
        </w:rPr>
        <w:instrText>rituximab</w:instrText>
      </w:r>
      <w:r w:rsidR="00A6794A" w:rsidRPr="00AA43FB">
        <w:rPr>
          <w:lang w:eastAsia="ru-RU"/>
        </w:rPr>
        <w:instrText xml:space="preserve"> </w:instrText>
      </w:r>
      <w:r w:rsidR="00A6794A">
        <w:rPr>
          <w:lang w:val="en-US" w:eastAsia="ru-RU"/>
        </w:rPr>
        <w:instrText>concentrate</w:instrText>
      </w:r>
      <w:r w:rsidR="00A6794A" w:rsidRPr="00AA43FB">
        <w:rPr>
          <w:lang w:eastAsia="ru-RU"/>
        </w:rPr>
        <w:instrText xml:space="preserve"> </w:instrText>
      </w:r>
      <w:r w:rsidR="00A6794A">
        <w:rPr>
          <w:lang w:val="en-US" w:eastAsia="ru-RU"/>
        </w:rPr>
        <w:instrText>for</w:instrText>
      </w:r>
      <w:r w:rsidR="00A6794A" w:rsidRPr="00AA43FB">
        <w:rPr>
          <w:lang w:eastAsia="ru-RU"/>
        </w:rPr>
        <w:instrText xml:space="preserve"> </w:instrText>
      </w:r>
      <w:r w:rsidR="00A6794A">
        <w:rPr>
          <w:lang w:val="en-US" w:eastAsia="ru-RU"/>
        </w:rPr>
        <w:instrText>solution</w:instrText>
      </w:r>
      <w:r w:rsidR="00A6794A" w:rsidRPr="00AA43FB">
        <w:rPr>
          <w:lang w:eastAsia="ru-RU"/>
        </w:rPr>
        <w:instrText xml:space="preserve"> </w:instrText>
      </w:r>
      <w:r w:rsidR="00A6794A">
        <w:rPr>
          <w:lang w:val="en-US" w:eastAsia="ru-RU"/>
        </w:rPr>
        <w:instrText>for</w:instrText>
      </w:r>
      <w:r w:rsidR="00A6794A" w:rsidRPr="00AA43FB">
        <w:rPr>
          <w:lang w:eastAsia="ru-RU"/>
        </w:rPr>
        <w:instrText xml:space="preserve"> </w:instrText>
      </w:r>
      <w:r w:rsidR="00A6794A">
        <w:rPr>
          <w:lang w:val="en-US" w:eastAsia="ru-RU"/>
        </w:rPr>
        <w:instrText>intravenous</w:instrText>
      </w:r>
      <w:r w:rsidR="00A6794A" w:rsidRPr="00AA43FB">
        <w:rPr>
          <w:lang w:eastAsia="ru-RU"/>
        </w:rPr>
        <w:instrText xml:space="preserve"> (</w:instrText>
      </w:r>
      <w:r w:rsidR="00A6794A">
        <w:rPr>
          <w:lang w:val="en-US" w:eastAsia="ru-RU"/>
        </w:rPr>
        <w:instrText>IV</w:instrText>
      </w:r>
      <w:r w:rsidR="00A6794A" w:rsidRPr="00AA43FB">
        <w:rPr>
          <w:lang w:eastAsia="ru-RU"/>
        </w:rPr>
        <w:instrText xml:space="preserve">) </w:instrText>
      </w:r>
      <w:r w:rsidR="00A6794A">
        <w:rPr>
          <w:lang w:val="en-US" w:eastAsia="ru-RU"/>
        </w:rPr>
        <w:instrText>infusion</w:instrText>
      </w:r>
      <w:r w:rsidR="00A6794A" w:rsidRPr="00AA43FB">
        <w:rPr>
          <w:lang w:eastAsia="ru-RU"/>
        </w:rPr>
        <w:instrText xml:space="preserve">], </w:instrText>
      </w:r>
      <w:r w:rsidR="00A6794A">
        <w:rPr>
          <w:lang w:val="en-US" w:eastAsia="ru-RU"/>
        </w:rPr>
        <w:instrText>and</w:instrText>
      </w:r>
      <w:r w:rsidR="00A6794A" w:rsidRPr="00AA43FB">
        <w:rPr>
          <w:lang w:eastAsia="ru-RU"/>
        </w:rPr>
        <w:instrText xml:space="preserve"> </w:instrText>
      </w:r>
      <w:r w:rsidR="00A6794A">
        <w:rPr>
          <w:lang w:val="en-US" w:eastAsia="ru-RU"/>
        </w:rPr>
        <w:instrText>has</w:instrText>
      </w:r>
      <w:r w:rsidR="00A6794A" w:rsidRPr="00AA43FB">
        <w:rPr>
          <w:lang w:eastAsia="ru-RU"/>
        </w:rPr>
        <w:instrText xml:space="preserve"> </w:instrText>
      </w:r>
      <w:r w:rsidR="00A6794A">
        <w:rPr>
          <w:lang w:val="en-US" w:eastAsia="ru-RU"/>
        </w:rPr>
        <w:instrText>undergone</w:instrText>
      </w:r>
      <w:r w:rsidR="00A6794A" w:rsidRPr="00AA43FB">
        <w:rPr>
          <w:lang w:eastAsia="ru-RU"/>
        </w:rPr>
        <w:instrText xml:space="preserve"> </w:instrText>
      </w:r>
      <w:r w:rsidR="00A6794A">
        <w:rPr>
          <w:lang w:val="en-US" w:eastAsia="ru-RU"/>
        </w:rPr>
        <w:instrText>a</w:instrText>
      </w:r>
      <w:r w:rsidR="00A6794A" w:rsidRPr="00AA43FB">
        <w:rPr>
          <w:lang w:eastAsia="ru-RU"/>
        </w:rPr>
        <w:instrText xml:space="preserve"> </w:instrText>
      </w:r>
      <w:r w:rsidR="00A6794A">
        <w:rPr>
          <w:lang w:val="en-US" w:eastAsia="ru-RU"/>
        </w:rPr>
        <w:instrText>detailed</w:instrText>
      </w:r>
      <w:r w:rsidR="00A6794A" w:rsidRPr="00AA43FB">
        <w:rPr>
          <w:lang w:eastAsia="ru-RU"/>
        </w:rPr>
        <w:instrText xml:space="preserve">, </w:instrText>
      </w:r>
      <w:r w:rsidR="00A6794A">
        <w:rPr>
          <w:lang w:val="en-US" w:eastAsia="ru-RU"/>
        </w:rPr>
        <w:instrText>sequential</w:instrText>
      </w:r>
      <w:r w:rsidR="00A6794A" w:rsidRPr="00AA43FB">
        <w:rPr>
          <w:lang w:eastAsia="ru-RU"/>
        </w:rPr>
        <w:instrText xml:space="preserve"> </w:instrText>
      </w:r>
      <w:r w:rsidR="00A6794A">
        <w:rPr>
          <w:lang w:val="en-US" w:eastAsia="ru-RU"/>
        </w:rPr>
        <w:instrText>clinical</w:instrText>
      </w:r>
      <w:r w:rsidR="00A6794A" w:rsidRPr="00AA43FB">
        <w:rPr>
          <w:lang w:eastAsia="ru-RU"/>
        </w:rPr>
        <w:instrText xml:space="preserve"> </w:instrText>
      </w:r>
      <w:r w:rsidR="00A6794A">
        <w:rPr>
          <w:lang w:val="en-US" w:eastAsia="ru-RU"/>
        </w:rPr>
        <w:instrText>development</w:instrText>
      </w:r>
      <w:r w:rsidR="00A6794A" w:rsidRPr="00AA43FB">
        <w:rPr>
          <w:lang w:eastAsia="ru-RU"/>
        </w:rPr>
        <w:instrText xml:space="preserve"> </w:instrText>
      </w:r>
      <w:r w:rsidR="00A6794A">
        <w:rPr>
          <w:lang w:val="en-US" w:eastAsia="ru-RU"/>
        </w:rPr>
        <w:instrText>program</w:instrText>
      </w:r>
      <w:r w:rsidR="00A6794A" w:rsidRPr="00AA43FB">
        <w:rPr>
          <w:lang w:eastAsia="ru-RU"/>
        </w:rPr>
        <w:instrText xml:space="preserve">. </w:instrText>
      </w:r>
      <w:r w:rsidR="00A6794A">
        <w:rPr>
          <w:lang w:val="en-US" w:eastAsia="ru-RU"/>
        </w:rPr>
        <w:instrText>This</w:instrText>
      </w:r>
      <w:r w:rsidR="00A6794A" w:rsidRPr="00AA43FB">
        <w:rPr>
          <w:lang w:eastAsia="ru-RU"/>
        </w:rPr>
        <w:instrText xml:space="preserve"> </w:instrText>
      </w:r>
      <w:r w:rsidR="00A6794A">
        <w:rPr>
          <w:lang w:val="en-US" w:eastAsia="ru-RU"/>
        </w:rPr>
        <w:instrText>program</w:instrText>
      </w:r>
      <w:r w:rsidR="00A6794A" w:rsidRPr="00AA43FB">
        <w:rPr>
          <w:lang w:eastAsia="ru-RU"/>
        </w:rPr>
        <w:instrText xml:space="preserve"> </w:instrText>
      </w:r>
      <w:r w:rsidR="00A6794A">
        <w:rPr>
          <w:lang w:val="en-US" w:eastAsia="ru-RU"/>
        </w:rPr>
        <w:instrText>demonstrated</w:instrText>
      </w:r>
      <w:r w:rsidR="00A6794A" w:rsidRPr="00AA43FB">
        <w:rPr>
          <w:lang w:eastAsia="ru-RU"/>
        </w:rPr>
        <w:instrText xml:space="preserve"> </w:instrText>
      </w:r>
      <w:r w:rsidR="00A6794A">
        <w:rPr>
          <w:lang w:val="en-US" w:eastAsia="ru-RU"/>
        </w:rPr>
        <w:instrText>that</w:instrText>
      </w:r>
      <w:r w:rsidR="00A6794A" w:rsidRPr="00AA43FB">
        <w:rPr>
          <w:lang w:eastAsia="ru-RU"/>
        </w:rPr>
        <w:instrText xml:space="preserve">, </w:instrText>
      </w:r>
      <w:r w:rsidR="00A6794A">
        <w:rPr>
          <w:lang w:val="en-US" w:eastAsia="ru-RU"/>
        </w:rPr>
        <w:instrText>at</w:instrText>
      </w:r>
      <w:r w:rsidR="00A6794A" w:rsidRPr="00AA43FB">
        <w:rPr>
          <w:lang w:eastAsia="ru-RU"/>
        </w:rPr>
        <w:instrText xml:space="preserve"> </w:instrText>
      </w:r>
      <w:r w:rsidR="00A6794A">
        <w:rPr>
          <w:lang w:val="en-US" w:eastAsia="ru-RU"/>
        </w:rPr>
        <w:instrText>fixed</w:instrText>
      </w:r>
      <w:r w:rsidR="00A6794A" w:rsidRPr="00AA43FB">
        <w:rPr>
          <w:lang w:eastAsia="ru-RU"/>
        </w:rPr>
        <w:instrText xml:space="preserve"> </w:instrText>
      </w:r>
      <w:r w:rsidR="00A6794A">
        <w:rPr>
          <w:lang w:val="en-US" w:eastAsia="ru-RU"/>
        </w:rPr>
        <w:instrText>doses</w:instrText>
      </w:r>
      <w:r w:rsidR="00A6794A" w:rsidRPr="00AA43FB">
        <w:rPr>
          <w:lang w:eastAsia="ru-RU"/>
        </w:rPr>
        <w:instrText xml:space="preserve">, </w:instrText>
      </w:r>
      <w:r w:rsidR="00A6794A">
        <w:rPr>
          <w:lang w:val="en-US" w:eastAsia="ru-RU"/>
        </w:rPr>
        <w:instrText>rituximab</w:instrText>
      </w:r>
      <w:r w:rsidR="00A6794A" w:rsidRPr="00AA43FB">
        <w:rPr>
          <w:lang w:eastAsia="ru-RU"/>
        </w:rPr>
        <w:instrText xml:space="preserve"> </w:instrText>
      </w:r>
      <w:r w:rsidR="00A6794A">
        <w:rPr>
          <w:lang w:val="en-US" w:eastAsia="ru-RU"/>
        </w:rPr>
        <w:instrText>SC</w:instrText>
      </w:r>
      <w:r w:rsidR="00A6794A" w:rsidRPr="00AA43FB">
        <w:rPr>
          <w:lang w:eastAsia="ru-RU"/>
        </w:rPr>
        <w:instrText xml:space="preserve"> </w:instrText>
      </w:r>
      <w:r w:rsidR="00A6794A">
        <w:rPr>
          <w:lang w:val="en-US" w:eastAsia="ru-RU"/>
        </w:rPr>
        <w:instrText>achieves</w:instrText>
      </w:r>
      <w:r w:rsidR="00A6794A" w:rsidRPr="00AA43FB">
        <w:rPr>
          <w:lang w:eastAsia="ru-RU"/>
        </w:rPr>
        <w:instrText xml:space="preserve"> </w:instrText>
      </w:r>
      <w:r w:rsidR="00A6794A">
        <w:rPr>
          <w:lang w:val="en-US" w:eastAsia="ru-RU"/>
        </w:rPr>
        <w:instrText>non</w:instrText>
      </w:r>
      <w:r w:rsidR="00A6794A" w:rsidRPr="00AA43FB">
        <w:rPr>
          <w:lang w:eastAsia="ru-RU"/>
        </w:rPr>
        <w:instrText>-</w:instrText>
      </w:r>
      <w:r w:rsidR="00A6794A">
        <w:rPr>
          <w:lang w:val="en-US" w:eastAsia="ru-RU"/>
        </w:rPr>
        <w:instrText>inferior</w:instrText>
      </w:r>
      <w:r w:rsidR="00A6794A" w:rsidRPr="00AA43FB">
        <w:rPr>
          <w:lang w:eastAsia="ru-RU"/>
        </w:rPr>
        <w:instrText xml:space="preserve"> </w:instrText>
      </w:r>
      <w:r w:rsidR="00A6794A">
        <w:rPr>
          <w:lang w:val="en-US" w:eastAsia="ru-RU"/>
        </w:rPr>
        <w:instrText>serum</w:instrText>
      </w:r>
      <w:r w:rsidR="00A6794A" w:rsidRPr="00AA43FB">
        <w:rPr>
          <w:lang w:eastAsia="ru-RU"/>
        </w:rPr>
        <w:instrText xml:space="preserve"> </w:instrText>
      </w:r>
      <w:r w:rsidR="00A6794A">
        <w:rPr>
          <w:lang w:val="en-US" w:eastAsia="ru-RU"/>
        </w:rPr>
        <w:instrText>trough</w:instrText>
      </w:r>
      <w:r w:rsidR="00A6794A" w:rsidRPr="00AA43FB">
        <w:rPr>
          <w:lang w:eastAsia="ru-RU"/>
        </w:rPr>
        <w:instrText xml:space="preserve"> </w:instrText>
      </w:r>
      <w:r w:rsidR="00A6794A">
        <w:rPr>
          <w:lang w:val="en-US" w:eastAsia="ru-RU"/>
        </w:rPr>
        <w:instrText>concentrations</w:instrText>
      </w:r>
      <w:r w:rsidR="00A6794A" w:rsidRPr="00AA43FB">
        <w:rPr>
          <w:lang w:eastAsia="ru-RU"/>
        </w:rPr>
        <w:instrText xml:space="preserve"> </w:instrText>
      </w:r>
      <w:r w:rsidR="00A6794A">
        <w:rPr>
          <w:lang w:val="en-US" w:eastAsia="ru-RU"/>
        </w:rPr>
        <w:instrText>in</w:instrText>
      </w:r>
      <w:r w:rsidR="00A6794A" w:rsidRPr="00AA43FB">
        <w:rPr>
          <w:lang w:eastAsia="ru-RU"/>
        </w:rPr>
        <w:instrText xml:space="preserve"> </w:instrText>
      </w:r>
      <w:r w:rsidR="00A6794A">
        <w:rPr>
          <w:lang w:val="en-US" w:eastAsia="ru-RU"/>
        </w:rPr>
        <w:instrText>patients</w:instrText>
      </w:r>
      <w:r w:rsidR="00A6794A" w:rsidRPr="00AA43FB">
        <w:rPr>
          <w:lang w:eastAsia="ru-RU"/>
        </w:rPr>
        <w:instrText xml:space="preserve"> </w:instrText>
      </w:r>
      <w:r w:rsidR="00A6794A">
        <w:rPr>
          <w:lang w:val="en-US" w:eastAsia="ru-RU"/>
        </w:rPr>
        <w:instrText>with</w:instrText>
      </w:r>
      <w:r w:rsidR="00A6794A" w:rsidRPr="00AA43FB">
        <w:rPr>
          <w:lang w:eastAsia="ru-RU"/>
        </w:rPr>
        <w:instrText xml:space="preserve"> </w:instrText>
      </w:r>
      <w:r w:rsidR="00A6794A">
        <w:rPr>
          <w:lang w:val="en-US" w:eastAsia="ru-RU"/>
        </w:rPr>
        <w:instrText>non</w:instrText>
      </w:r>
      <w:r w:rsidR="00A6794A" w:rsidRPr="00AA43FB">
        <w:rPr>
          <w:lang w:eastAsia="ru-RU"/>
        </w:rPr>
        <w:instrText>-</w:instrText>
      </w:r>
      <w:r w:rsidR="00A6794A">
        <w:rPr>
          <w:lang w:val="en-US" w:eastAsia="ru-RU"/>
        </w:rPr>
        <w:instrText>Hodgkin</w:instrText>
      </w:r>
      <w:r w:rsidR="00A6794A" w:rsidRPr="00AA43FB">
        <w:rPr>
          <w:lang w:eastAsia="ru-RU"/>
        </w:rPr>
        <w:instrText xml:space="preserve"> </w:instrText>
      </w:r>
      <w:r w:rsidR="00A6794A">
        <w:rPr>
          <w:lang w:val="en-US" w:eastAsia="ru-RU"/>
        </w:rPr>
        <w:instrText>lymphoma</w:instrText>
      </w:r>
      <w:r w:rsidR="00A6794A" w:rsidRPr="00AA43FB">
        <w:rPr>
          <w:lang w:eastAsia="ru-RU"/>
        </w:rPr>
        <w:instrText xml:space="preserve"> </w:instrText>
      </w:r>
      <w:r w:rsidR="00A6794A">
        <w:rPr>
          <w:lang w:val="en-US" w:eastAsia="ru-RU"/>
        </w:rPr>
        <w:instrText>and</w:instrText>
      </w:r>
      <w:r w:rsidR="00A6794A" w:rsidRPr="00AA43FB">
        <w:rPr>
          <w:lang w:eastAsia="ru-RU"/>
        </w:rPr>
        <w:instrText xml:space="preserve"> </w:instrText>
      </w:r>
      <w:r w:rsidR="00A6794A">
        <w:rPr>
          <w:lang w:val="en-US" w:eastAsia="ru-RU"/>
        </w:rPr>
        <w:instrText>chronic</w:instrText>
      </w:r>
      <w:r w:rsidR="00A6794A" w:rsidRPr="00AA43FB">
        <w:rPr>
          <w:lang w:eastAsia="ru-RU"/>
        </w:rPr>
        <w:instrText xml:space="preserve"> </w:instrText>
      </w:r>
      <w:r w:rsidR="00A6794A">
        <w:rPr>
          <w:lang w:val="en-US" w:eastAsia="ru-RU"/>
        </w:rPr>
        <w:instrText>lymphocytic</w:instrText>
      </w:r>
      <w:r w:rsidR="00A6794A" w:rsidRPr="00AA43FB">
        <w:rPr>
          <w:lang w:eastAsia="ru-RU"/>
        </w:rPr>
        <w:instrText xml:space="preserve"> </w:instrText>
      </w:r>
      <w:r w:rsidR="00A6794A">
        <w:rPr>
          <w:lang w:val="en-US" w:eastAsia="ru-RU"/>
        </w:rPr>
        <w:instrText>leukemia</w:instrText>
      </w:r>
      <w:r w:rsidR="00A6794A" w:rsidRPr="00AA43FB">
        <w:rPr>
          <w:lang w:eastAsia="ru-RU"/>
        </w:rPr>
        <w:instrText xml:space="preserve">, </w:instrText>
      </w:r>
      <w:r w:rsidR="00A6794A">
        <w:rPr>
          <w:lang w:val="en-US" w:eastAsia="ru-RU"/>
        </w:rPr>
        <w:instrText>with</w:instrText>
      </w:r>
      <w:r w:rsidR="00A6794A" w:rsidRPr="00AA43FB">
        <w:rPr>
          <w:lang w:eastAsia="ru-RU"/>
        </w:rPr>
        <w:instrText xml:space="preserve"> </w:instrText>
      </w:r>
      <w:r w:rsidR="00A6794A">
        <w:rPr>
          <w:lang w:val="en-US" w:eastAsia="ru-RU"/>
        </w:rPr>
        <w:instrText>comparable</w:instrText>
      </w:r>
      <w:r w:rsidR="00A6794A" w:rsidRPr="00AA43FB">
        <w:rPr>
          <w:lang w:eastAsia="ru-RU"/>
        </w:rPr>
        <w:instrText xml:space="preserve"> </w:instrText>
      </w:r>
      <w:r w:rsidR="00A6794A">
        <w:rPr>
          <w:lang w:val="en-US" w:eastAsia="ru-RU"/>
        </w:rPr>
        <w:instrText>efficacy</w:instrText>
      </w:r>
      <w:r w:rsidR="00A6794A" w:rsidRPr="00AA43FB">
        <w:rPr>
          <w:lang w:eastAsia="ru-RU"/>
        </w:rPr>
        <w:instrText xml:space="preserve"> </w:instrText>
      </w:r>
      <w:r w:rsidR="00A6794A">
        <w:rPr>
          <w:lang w:val="en-US" w:eastAsia="ru-RU"/>
        </w:rPr>
        <w:instrText>and</w:instrText>
      </w:r>
      <w:r w:rsidR="00A6794A" w:rsidRPr="00AA43FB">
        <w:rPr>
          <w:lang w:eastAsia="ru-RU"/>
        </w:rPr>
        <w:instrText xml:space="preserve"> </w:instrText>
      </w:r>
      <w:r w:rsidR="00A6794A">
        <w:rPr>
          <w:lang w:val="en-US" w:eastAsia="ru-RU"/>
        </w:rPr>
        <w:instrText>safety</w:instrText>
      </w:r>
      <w:r w:rsidR="00A6794A" w:rsidRPr="00AA43FB">
        <w:rPr>
          <w:lang w:eastAsia="ru-RU"/>
        </w:rPr>
        <w:instrText xml:space="preserve"> </w:instrText>
      </w:r>
      <w:r w:rsidR="00A6794A">
        <w:rPr>
          <w:lang w:val="en-US" w:eastAsia="ru-RU"/>
        </w:rPr>
        <w:instrText>relative</w:instrText>
      </w:r>
      <w:r w:rsidR="00A6794A" w:rsidRPr="00AA43FB">
        <w:rPr>
          <w:lang w:eastAsia="ru-RU"/>
        </w:rPr>
        <w:instrText xml:space="preserve"> </w:instrText>
      </w:r>
      <w:r w:rsidR="00A6794A">
        <w:rPr>
          <w:lang w:val="en-US" w:eastAsia="ru-RU"/>
        </w:rPr>
        <w:instrText>to</w:instrText>
      </w:r>
      <w:r w:rsidR="00A6794A" w:rsidRPr="00AA43FB">
        <w:rPr>
          <w:lang w:eastAsia="ru-RU"/>
        </w:rPr>
        <w:instrText xml:space="preserve"> </w:instrText>
      </w:r>
      <w:r w:rsidR="00A6794A">
        <w:rPr>
          <w:lang w:val="en-US" w:eastAsia="ru-RU"/>
        </w:rPr>
        <w:instrText>the</w:instrText>
      </w:r>
      <w:r w:rsidR="00A6794A" w:rsidRPr="00AA43FB">
        <w:rPr>
          <w:lang w:eastAsia="ru-RU"/>
        </w:rPr>
        <w:instrText xml:space="preserve"> </w:instrText>
      </w:r>
      <w:r w:rsidR="00A6794A">
        <w:rPr>
          <w:lang w:val="en-US" w:eastAsia="ru-RU"/>
        </w:rPr>
        <w:instrText>IV</w:instrText>
      </w:r>
      <w:r w:rsidR="00A6794A" w:rsidRPr="00AA43FB">
        <w:rPr>
          <w:lang w:eastAsia="ru-RU"/>
        </w:rPr>
        <w:instrText xml:space="preserve"> </w:instrText>
      </w:r>
      <w:r w:rsidR="00A6794A">
        <w:rPr>
          <w:lang w:val="en-US" w:eastAsia="ru-RU"/>
        </w:rPr>
        <w:instrText>formulation</w:instrText>
      </w:r>
      <w:r w:rsidR="00A6794A" w:rsidRPr="00AA43FB">
        <w:rPr>
          <w:lang w:eastAsia="ru-RU"/>
        </w:rPr>
        <w:instrText xml:space="preserve">. </w:instrText>
      </w:r>
      <w:r w:rsidR="00A6794A">
        <w:rPr>
          <w:lang w:val="en-US" w:eastAsia="ru-RU"/>
        </w:rPr>
        <w:instrText>The</w:instrText>
      </w:r>
      <w:r w:rsidR="00A6794A" w:rsidRPr="00AA43FB">
        <w:rPr>
          <w:lang w:eastAsia="ru-RU"/>
        </w:rPr>
        <w:instrText xml:space="preserve"> </w:instrText>
      </w:r>
      <w:r w:rsidR="00A6794A">
        <w:rPr>
          <w:lang w:val="en-US" w:eastAsia="ru-RU"/>
        </w:rPr>
        <w:instrText>added</w:instrText>
      </w:r>
      <w:r w:rsidR="00A6794A" w:rsidRPr="00AA43FB">
        <w:rPr>
          <w:lang w:eastAsia="ru-RU"/>
        </w:rPr>
        <w:instrText xml:space="preserve"> </w:instrText>
      </w:r>
      <w:r w:rsidR="00A6794A">
        <w:rPr>
          <w:lang w:val="en-US" w:eastAsia="ru-RU"/>
        </w:rPr>
        <w:instrText>benefit</w:instrText>
      </w:r>
      <w:r w:rsidR="00A6794A" w:rsidRPr="00AA43FB">
        <w:rPr>
          <w:lang w:eastAsia="ru-RU"/>
        </w:rPr>
        <w:instrText xml:space="preserve"> </w:instrText>
      </w:r>
      <w:r w:rsidR="00A6794A">
        <w:rPr>
          <w:lang w:val="en-US" w:eastAsia="ru-RU"/>
        </w:rPr>
        <w:instrText>of</w:instrText>
      </w:r>
      <w:r w:rsidR="00A6794A" w:rsidRPr="00AA43FB">
        <w:rPr>
          <w:lang w:eastAsia="ru-RU"/>
        </w:rPr>
        <w:instrText xml:space="preserve"> </w:instrText>
      </w:r>
      <w:r w:rsidR="00A6794A">
        <w:rPr>
          <w:lang w:val="en-US" w:eastAsia="ru-RU"/>
        </w:rPr>
        <w:instrText>rituximab</w:instrText>
      </w:r>
      <w:r w:rsidR="00A6794A" w:rsidRPr="00AA43FB">
        <w:rPr>
          <w:lang w:eastAsia="ru-RU"/>
        </w:rPr>
        <w:instrText xml:space="preserve"> </w:instrText>
      </w:r>
      <w:r w:rsidR="00A6794A">
        <w:rPr>
          <w:lang w:val="en-US" w:eastAsia="ru-RU"/>
        </w:rPr>
        <w:instrText>SC</w:instrText>
      </w:r>
      <w:r w:rsidR="00A6794A" w:rsidRPr="00AA43FB">
        <w:rPr>
          <w:lang w:eastAsia="ru-RU"/>
        </w:rPr>
        <w:instrText xml:space="preserve"> </w:instrText>
      </w:r>
      <w:r w:rsidR="00A6794A">
        <w:rPr>
          <w:lang w:val="en-US" w:eastAsia="ru-RU"/>
        </w:rPr>
        <w:instrText>was</w:instrText>
      </w:r>
      <w:r w:rsidR="00A6794A" w:rsidRPr="00AA43FB">
        <w:rPr>
          <w:lang w:eastAsia="ru-RU"/>
        </w:rPr>
        <w:instrText xml:space="preserve"> </w:instrText>
      </w:r>
      <w:r w:rsidR="00A6794A">
        <w:rPr>
          <w:lang w:val="en-US" w:eastAsia="ru-RU"/>
        </w:rPr>
        <w:instrText>demonstrated</w:instrText>
      </w:r>
      <w:r w:rsidR="00A6794A" w:rsidRPr="00AA43FB">
        <w:rPr>
          <w:lang w:eastAsia="ru-RU"/>
        </w:rPr>
        <w:instrText xml:space="preserve"> </w:instrText>
      </w:r>
      <w:r w:rsidR="00A6794A">
        <w:rPr>
          <w:lang w:val="en-US" w:eastAsia="ru-RU"/>
        </w:rPr>
        <w:instrText>in</w:instrText>
      </w:r>
      <w:r w:rsidR="00A6794A" w:rsidRPr="00AA43FB">
        <w:rPr>
          <w:lang w:eastAsia="ru-RU"/>
        </w:rPr>
        <w:instrText xml:space="preserve"> </w:instrText>
      </w:r>
      <w:r w:rsidR="00A6794A">
        <w:rPr>
          <w:lang w:val="en-US" w:eastAsia="ru-RU"/>
        </w:rPr>
        <w:instrText>dedicated</w:instrText>
      </w:r>
      <w:r w:rsidR="00A6794A" w:rsidRPr="00AA43FB">
        <w:rPr>
          <w:lang w:eastAsia="ru-RU"/>
        </w:rPr>
        <w:instrText xml:space="preserve"> </w:instrText>
      </w:r>
      <w:r w:rsidR="00A6794A">
        <w:rPr>
          <w:lang w:val="en-US" w:eastAsia="ru-RU"/>
        </w:rPr>
        <w:instrText>studies</w:instrText>
      </w:r>
      <w:r w:rsidR="00A6794A" w:rsidRPr="00AA43FB">
        <w:rPr>
          <w:lang w:eastAsia="ru-RU"/>
        </w:rPr>
        <w:instrText xml:space="preserve"> </w:instrText>
      </w:r>
      <w:r w:rsidR="00A6794A">
        <w:rPr>
          <w:lang w:val="en-US" w:eastAsia="ru-RU"/>
        </w:rPr>
        <w:instrText>showing</w:instrText>
      </w:r>
      <w:r w:rsidR="00A6794A" w:rsidRPr="00AA43FB">
        <w:rPr>
          <w:lang w:eastAsia="ru-RU"/>
        </w:rPr>
        <w:instrText xml:space="preserve"> </w:instrText>
      </w:r>
      <w:r w:rsidR="00A6794A">
        <w:rPr>
          <w:lang w:val="en-US" w:eastAsia="ru-RU"/>
        </w:rPr>
        <w:instrText>that</w:instrText>
      </w:r>
      <w:r w:rsidR="00A6794A" w:rsidRPr="00AA43FB">
        <w:rPr>
          <w:lang w:eastAsia="ru-RU"/>
        </w:rPr>
        <w:instrText xml:space="preserve"> </w:instrText>
      </w:r>
      <w:r w:rsidR="00A6794A">
        <w:rPr>
          <w:lang w:val="en-US" w:eastAsia="ru-RU"/>
        </w:rPr>
        <w:instrText>rituximab</w:instrText>
      </w:r>
      <w:r w:rsidR="00A6794A" w:rsidRPr="00AA43FB">
        <w:rPr>
          <w:lang w:eastAsia="ru-RU"/>
        </w:rPr>
        <w:instrText xml:space="preserve"> </w:instrText>
      </w:r>
      <w:r w:rsidR="00A6794A">
        <w:rPr>
          <w:lang w:val="en-US" w:eastAsia="ru-RU"/>
        </w:rPr>
        <w:instrText>SC</w:instrText>
      </w:r>
      <w:r w:rsidR="00A6794A" w:rsidRPr="00AA43FB">
        <w:rPr>
          <w:lang w:eastAsia="ru-RU"/>
        </w:rPr>
        <w:instrText xml:space="preserve"> </w:instrText>
      </w:r>
      <w:r w:rsidR="00A6794A">
        <w:rPr>
          <w:lang w:val="en-US" w:eastAsia="ru-RU"/>
        </w:rPr>
        <w:instrText>allows</w:instrText>
      </w:r>
      <w:r w:rsidR="00A6794A" w:rsidRPr="00AA43FB">
        <w:rPr>
          <w:lang w:eastAsia="ru-RU"/>
        </w:rPr>
        <w:instrText xml:space="preserve"> </w:instrText>
      </w:r>
      <w:r w:rsidR="00A6794A">
        <w:rPr>
          <w:lang w:val="en-US" w:eastAsia="ru-RU"/>
        </w:rPr>
        <w:instrText>for</w:instrText>
      </w:r>
      <w:r w:rsidR="00A6794A" w:rsidRPr="00AA43FB">
        <w:rPr>
          <w:lang w:eastAsia="ru-RU"/>
        </w:rPr>
        <w:instrText xml:space="preserve"> </w:instrText>
      </w:r>
      <w:r w:rsidR="00A6794A">
        <w:rPr>
          <w:lang w:val="en-US" w:eastAsia="ru-RU"/>
        </w:rPr>
        <w:instrText>simplified</w:instrText>
      </w:r>
      <w:r w:rsidR="00A6794A" w:rsidRPr="00AA43FB">
        <w:rPr>
          <w:lang w:eastAsia="ru-RU"/>
        </w:rPr>
        <w:instrText xml:space="preserve"> </w:instrText>
      </w:r>
      <w:r w:rsidR="00A6794A">
        <w:rPr>
          <w:lang w:val="en-US" w:eastAsia="ru-RU"/>
        </w:rPr>
        <w:instrText>and</w:instrText>
      </w:r>
      <w:r w:rsidR="00A6794A" w:rsidRPr="00AA43FB">
        <w:rPr>
          <w:lang w:eastAsia="ru-RU"/>
        </w:rPr>
        <w:instrText xml:space="preserve"> </w:instrText>
      </w:r>
      <w:r w:rsidR="00A6794A">
        <w:rPr>
          <w:lang w:val="en-US" w:eastAsia="ru-RU"/>
        </w:rPr>
        <w:instrText>shortened</w:instrText>
      </w:r>
      <w:r w:rsidR="00A6794A" w:rsidRPr="00AA43FB">
        <w:rPr>
          <w:lang w:eastAsia="ru-RU"/>
        </w:rPr>
        <w:instrText xml:space="preserve"> </w:instrText>
      </w:r>
      <w:r w:rsidR="00A6794A">
        <w:rPr>
          <w:lang w:val="en-US" w:eastAsia="ru-RU"/>
        </w:rPr>
        <w:instrText>drug</w:instrText>
      </w:r>
      <w:r w:rsidR="00A6794A" w:rsidRPr="00AA43FB">
        <w:rPr>
          <w:lang w:eastAsia="ru-RU"/>
        </w:rPr>
        <w:instrText xml:space="preserve"> </w:instrText>
      </w:r>
      <w:r w:rsidR="00A6794A">
        <w:rPr>
          <w:lang w:val="en-US" w:eastAsia="ru-RU"/>
        </w:rPr>
        <w:instrText>preparation</w:instrText>
      </w:r>
      <w:r w:rsidR="00A6794A" w:rsidRPr="00AA43FB">
        <w:rPr>
          <w:lang w:eastAsia="ru-RU"/>
        </w:rPr>
        <w:instrText xml:space="preserve"> </w:instrText>
      </w:r>
      <w:r w:rsidR="00A6794A">
        <w:rPr>
          <w:lang w:val="en-US" w:eastAsia="ru-RU"/>
        </w:rPr>
        <w:instrText>and</w:instrText>
      </w:r>
      <w:r w:rsidR="00A6794A" w:rsidRPr="00AA43FB">
        <w:rPr>
          <w:lang w:eastAsia="ru-RU"/>
        </w:rPr>
        <w:instrText xml:space="preserve"> </w:instrText>
      </w:r>
      <w:r w:rsidR="00A6794A">
        <w:rPr>
          <w:lang w:val="en-US" w:eastAsia="ru-RU"/>
        </w:rPr>
        <w:instrText>administration</w:instrText>
      </w:r>
      <w:r w:rsidR="00A6794A" w:rsidRPr="00AA43FB">
        <w:rPr>
          <w:lang w:eastAsia="ru-RU"/>
        </w:rPr>
        <w:instrText xml:space="preserve"> </w:instrText>
      </w:r>
      <w:r w:rsidR="00A6794A">
        <w:rPr>
          <w:lang w:val="en-US" w:eastAsia="ru-RU"/>
        </w:rPr>
        <w:instrText>times</w:instrText>
      </w:r>
      <w:r w:rsidR="00A6794A" w:rsidRPr="00AA43FB">
        <w:rPr>
          <w:lang w:eastAsia="ru-RU"/>
        </w:rPr>
        <w:instrText xml:space="preserve"> </w:instrText>
      </w:r>
      <w:r w:rsidR="00A6794A">
        <w:rPr>
          <w:lang w:val="en-US" w:eastAsia="ru-RU"/>
        </w:rPr>
        <w:instrText>resulting</w:instrText>
      </w:r>
      <w:r w:rsidR="00A6794A" w:rsidRPr="00AA43FB">
        <w:rPr>
          <w:lang w:eastAsia="ru-RU"/>
        </w:rPr>
        <w:instrText xml:space="preserve"> </w:instrText>
      </w:r>
      <w:r w:rsidR="00A6794A">
        <w:rPr>
          <w:lang w:val="en-US" w:eastAsia="ru-RU"/>
        </w:rPr>
        <w:instrText>in</w:instrText>
      </w:r>
      <w:r w:rsidR="00A6794A" w:rsidRPr="00AA43FB">
        <w:rPr>
          <w:lang w:eastAsia="ru-RU"/>
        </w:rPr>
        <w:instrText xml:space="preserve"> </w:instrText>
      </w:r>
      <w:r w:rsidR="00A6794A">
        <w:rPr>
          <w:lang w:val="en-US" w:eastAsia="ru-RU"/>
        </w:rPr>
        <w:instrText>a</w:instrText>
      </w:r>
      <w:r w:rsidR="00A6794A" w:rsidRPr="00AA43FB">
        <w:rPr>
          <w:lang w:eastAsia="ru-RU"/>
        </w:rPr>
        <w:instrText xml:space="preserve"> </w:instrText>
      </w:r>
      <w:r w:rsidR="00A6794A">
        <w:rPr>
          <w:lang w:val="en-US" w:eastAsia="ru-RU"/>
        </w:rPr>
        <w:instrText>reduced</w:instrText>
      </w:r>
      <w:r w:rsidR="00A6794A" w:rsidRPr="00AA43FB">
        <w:rPr>
          <w:lang w:eastAsia="ru-RU"/>
        </w:rPr>
        <w:instrText xml:space="preserve"> </w:instrText>
      </w:r>
      <w:r w:rsidR="00A6794A">
        <w:rPr>
          <w:lang w:val="en-US" w:eastAsia="ru-RU"/>
        </w:rPr>
        <w:instrText>treatment</w:instrText>
      </w:r>
      <w:r w:rsidR="00A6794A" w:rsidRPr="00AA43FB">
        <w:rPr>
          <w:lang w:eastAsia="ru-RU"/>
        </w:rPr>
        <w:instrText xml:space="preserve"> </w:instrText>
      </w:r>
      <w:r w:rsidR="00A6794A">
        <w:rPr>
          <w:lang w:val="en-US" w:eastAsia="ru-RU"/>
        </w:rPr>
        <w:instrText>burden</w:instrText>
      </w:r>
      <w:r w:rsidR="00A6794A" w:rsidRPr="00AA43FB">
        <w:rPr>
          <w:lang w:eastAsia="ru-RU"/>
        </w:rPr>
        <w:instrText xml:space="preserve"> </w:instrText>
      </w:r>
      <w:r w:rsidR="00A6794A">
        <w:rPr>
          <w:lang w:val="en-US" w:eastAsia="ru-RU"/>
        </w:rPr>
        <w:instrText>for</w:instrText>
      </w:r>
      <w:r w:rsidR="00A6794A" w:rsidRPr="00AA43FB">
        <w:rPr>
          <w:lang w:eastAsia="ru-RU"/>
        </w:rPr>
        <w:instrText xml:space="preserve"> </w:instrText>
      </w:r>
      <w:r w:rsidR="00A6794A">
        <w:rPr>
          <w:lang w:val="en-US" w:eastAsia="ru-RU"/>
        </w:rPr>
        <w:instrText>patients</w:instrText>
      </w:r>
      <w:r w:rsidR="00A6794A" w:rsidRPr="00AA43FB">
        <w:rPr>
          <w:lang w:eastAsia="ru-RU"/>
        </w:rPr>
        <w:instrText xml:space="preserve"> </w:instrText>
      </w:r>
      <w:r w:rsidR="00A6794A">
        <w:rPr>
          <w:lang w:val="en-US" w:eastAsia="ru-RU"/>
        </w:rPr>
        <w:instrText>as</w:instrText>
      </w:r>
      <w:r w:rsidR="00A6794A" w:rsidRPr="00AA43FB">
        <w:rPr>
          <w:lang w:eastAsia="ru-RU"/>
        </w:rPr>
        <w:instrText xml:space="preserve"> </w:instrText>
      </w:r>
      <w:r w:rsidR="00A6794A">
        <w:rPr>
          <w:lang w:val="en-US" w:eastAsia="ru-RU"/>
        </w:rPr>
        <w:instrText>well</w:instrText>
      </w:r>
      <w:r w:rsidR="00A6794A" w:rsidRPr="00AA43FB">
        <w:rPr>
          <w:lang w:eastAsia="ru-RU"/>
        </w:rPr>
        <w:instrText xml:space="preserve"> </w:instrText>
      </w:r>
      <w:r w:rsidR="00A6794A">
        <w:rPr>
          <w:lang w:val="en-US" w:eastAsia="ru-RU"/>
        </w:rPr>
        <w:instrText>as</w:instrText>
      </w:r>
      <w:r w:rsidR="00A6794A" w:rsidRPr="00AA43FB">
        <w:rPr>
          <w:lang w:eastAsia="ru-RU"/>
        </w:rPr>
        <w:instrText xml:space="preserve"> </w:instrText>
      </w:r>
      <w:r w:rsidR="00A6794A">
        <w:rPr>
          <w:lang w:val="en-US" w:eastAsia="ru-RU"/>
        </w:rPr>
        <w:instrText>improved</w:instrText>
      </w:r>
      <w:r w:rsidR="00A6794A" w:rsidRPr="00AA43FB">
        <w:rPr>
          <w:lang w:eastAsia="ru-RU"/>
        </w:rPr>
        <w:instrText xml:space="preserve"> </w:instrText>
      </w:r>
      <w:r w:rsidR="00A6794A">
        <w:rPr>
          <w:lang w:val="en-US" w:eastAsia="ru-RU"/>
        </w:rPr>
        <w:instrText>resource</w:instrText>
      </w:r>
      <w:r w:rsidR="00A6794A" w:rsidRPr="00AA43FB">
        <w:rPr>
          <w:lang w:eastAsia="ru-RU"/>
        </w:rPr>
        <w:instrText xml:space="preserve"> </w:instrText>
      </w:r>
      <w:r w:rsidR="00A6794A">
        <w:rPr>
          <w:lang w:val="en-US" w:eastAsia="ru-RU"/>
        </w:rPr>
        <w:instrText>utilization</w:instrText>
      </w:r>
      <w:r w:rsidR="00A6794A" w:rsidRPr="00AA43FB">
        <w:rPr>
          <w:lang w:eastAsia="ru-RU"/>
        </w:rPr>
        <w:instrText xml:space="preserve"> (</w:instrText>
      </w:r>
      <w:r w:rsidR="00A6794A">
        <w:rPr>
          <w:lang w:val="en-US" w:eastAsia="ru-RU"/>
        </w:rPr>
        <w:instrText>efficiency</w:instrText>
      </w:r>
      <w:r w:rsidR="00A6794A" w:rsidRPr="00AA43FB">
        <w:rPr>
          <w:lang w:eastAsia="ru-RU"/>
        </w:rPr>
        <w:instrText xml:space="preserve">) </w:instrText>
      </w:r>
      <w:r w:rsidR="00A6794A">
        <w:rPr>
          <w:lang w:val="en-US" w:eastAsia="ru-RU"/>
        </w:rPr>
        <w:instrText>at</w:instrText>
      </w:r>
      <w:r w:rsidR="00A6794A" w:rsidRPr="00AA43FB">
        <w:rPr>
          <w:lang w:eastAsia="ru-RU"/>
        </w:rPr>
        <w:instrText xml:space="preserve"> </w:instrText>
      </w:r>
      <w:r w:rsidR="00A6794A">
        <w:rPr>
          <w:lang w:val="en-US" w:eastAsia="ru-RU"/>
        </w:rPr>
        <w:instrText>the</w:instrText>
      </w:r>
      <w:r w:rsidR="00A6794A" w:rsidRPr="00AA43FB">
        <w:rPr>
          <w:lang w:eastAsia="ru-RU"/>
        </w:rPr>
        <w:instrText xml:space="preserve"> </w:instrText>
      </w:r>
      <w:r w:rsidR="00A6794A">
        <w:rPr>
          <w:lang w:val="en-US" w:eastAsia="ru-RU"/>
        </w:rPr>
        <w:instrText>treatment</w:instrText>
      </w:r>
      <w:r w:rsidR="00A6794A" w:rsidRPr="00AA43FB">
        <w:rPr>
          <w:lang w:eastAsia="ru-RU"/>
        </w:rPr>
        <w:instrText xml:space="preserve"> </w:instrText>
      </w:r>
      <w:r w:rsidR="00A6794A">
        <w:rPr>
          <w:lang w:val="en-US" w:eastAsia="ru-RU"/>
        </w:rPr>
        <w:instrText>facility</w:instrText>
      </w:r>
      <w:r w:rsidR="00A6794A" w:rsidRPr="00AA43FB">
        <w:rPr>
          <w:lang w:eastAsia="ru-RU"/>
        </w:rPr>
        <w:instrText xml:space="preserve">. </w:instrText>
      </w:r>
      <w:r w:rsidR="00A6794A">
        <w:rPr>
          <w:lang w:val="en-US" w:eastAsia="ru-RU"/>
        </w:rPr>
        <w:instrText>The</w:instrText>
      </w:r>
      <w:r w:rsidR="00A6794A" w:rsidRPr="00AA43FB">
        <w:rPr>
          <w:lang w:eastAsia="ru-RU"/>
        </w:rPr>
        <w:instrText xml:space="preserve"> </w:instrText>
      </w:r>
      <w:r w:rsidR="00A6794A">
        <w:rPr>
          <w:lang w:val="en-US" w:eastAsia="ru-RU"/>
        </w:rPr>
        <w:instrText>improved</w:instrText>
      </w:r>
      <w:r w:rsidR="00A6794A" w:rsidRPr="00AA43FB">
        <w:rPr>
          <w:lang w:eastAsia="ru-RU"/>
        </w:rPr>
        <w:instrText xml:space="preserve"> </w:instrText>
      </w:r>
      <w:r w:rsidR="00A6794A">
        <w:rPr>
          <w:lang w:val="en-US" w:eastAsia="ru-RU"/>
        </w:rPr>
        <w:instrText>efficiency</w:instrText>
      </w:r>
      <w:r w:rsidR="00A6794A" w:rsidRPr="00AA43FB">
        <w:rPr>
          <w:lang w:eastAsia="ru-RU"/>
        </w:rPr>
        <w:instrText xml:space="preserve"> </w:instrText>
      </w:r>
      <w:r w:rsidR="00A6794A">
        <w:rPr>
          <w:lang w:val="en-US" w:eastAsia="ru-RU"/>
        </w:rPr>
        <w:instrText>of</w:instrText>
      </w:r>
      <w:r w:rsidR="00A6794A" w:rsidRPr="00AA43FB">
        <w:rPr>
          <w:lang w:eastAsia="ru-RU"/>
        </w:rPr>
        <w:instrText xml:space="preserve"> </w:instrText>
      </w:r>
      <w:r w:rsidR="00A6794A">
        <w:rPr>
          <w:lang w:val="en-US" w:eastAsia="ru-RU"/>
        </w:rPr>
        <w:instrText>delivering</w:instrText>
      </w:r>
      <w:r w:rsidR="00A6794A" w:rsidRPr="00AA43FB">
        <w:rPr>
          <w:lang w:eastAsia="ru-RU"/>
        </w:rPr>
        <w:instrText xml:space="preserve"> </w:instrText>
      </w:r>
      <w:r w:rsidR="00A6794A">
        <w:rPr>
          <w:lang w:val="en-US" w:eastAsia="ru-RU"/>
        </w:rPr>
        <w:instrText>rituximab</w:instrText>
      </w:r>
      <w:r w:rsidR="00A6794A" w:rsidRPr="00AA43FB">
        <w:rPr>
          <w:lang w:eastAsia="ru-RU"/>
        </w:rPr>
        <w:instrText>’</w:instrText>
      </w:r>
      <w:r w:rsidR="00A6794A">
        <w:rPr>
          <w:lang w:val="en-US" w:eastAsia="ru-RU"/>
        </w:rPr>
        <w:instrText>s</w:instrText>
      </w:r>
      <w:r w:rsidR="00A6794A" w:rsidRPr="00AA43FB">
        <w:rPr>
          <w:lang w:eastAsia="ru-RU"/>
        </w:rPr>
        <w:instrText xml:space="preserve"> </w:instrText>
      </w:r>
      <w:r w:rsidR="00A6794A">
        <w:rPr>
          <w:lang w:val="en-US" w:eastAsia="ru-RU"/>
        </w:rPr>
        <w:instrText>benefit</w:instrText>
      </w:r>
      <w:r w:rsidR="00A6794A" w:rsidRPr="00AA43FB">
        <w:rPr>
          <w:lang w:eastAsia="ru-RU"/>
        </w:rPr>
        <w:instrText xml:space="preserve"> </w:instrText>
      </w:r>
      <w:r w:rsidR="00A6794A">
        <w:rPr>
          <w:lang w:val="en-US" w:eastAsia="ru-RU"/>
        </w:rPr>
        <w:instrText>to</w:instrText>
      </w:r>
      <w:r w:rsidR="00A6794A" w:rsidRPr="00AA43FB">
        <w:rPr>
          <w:lang w:eastAsia="ru-RU"/>
        </w:rPr>
        <w:instrText xml:space="preserve"> </w:instrText>
      </w:r>
      <w:r w:rsidR="00A6794A">
        <w:rPr>
          <w:lang w:val="en-US" w:eastAsia="ru-RU"/>
        </w:rPr>
        <w:instrText>patients</w:instrText>
      </w:r>
      <w:r w:rsidR="00A6794A" w:rsidRPr="00AA43FB">
        <w:rPr>
          <w:lang w:eastAsia="ru-RU"/>
        </w:rPr>
        <w:instrText xml:space="preserve"> </w:instrText>
      </w:r>
      <w:r w:rsidR="00A6794A">
        <w:rPr>
          <w:lang w:val="en-US" w:eastAsia="ru-RU"/>
        </w:rPr>
        <w:instrText>may</w:instrText>
      </w:r>
      <w:r w:rsidR="00A6794A" w:rsidRPr="00AA43FB">
        <w:rPr>
          <w:lang w:eastAsia="ru-RU"/>
        </w:rPr>
        <w:instrText xml:space="preserve"> </w:instrText>
      </w:r>
      <w:r w:rsidR="00A6794A">
        <w:rPr>
          <w:lang w:val="en-US" w:eastAsia="ru-RU"/>
        </w:rPr>
        <w:instrText>broaden</w:instrText>
      </w:r>
      <w:r w:rsidR="00A6794A" w:rsidRPr="00AA43FB">
        <w:rPr>
          <w:lang w:eastAsia="ru-RU"/>
        </w:rPr>
        <w:instrText xml:space="preserve"> </w:instrText>
      </w:r>
      <w:r w:rsidR="00A6794A">
        <w:rPr>
          <w:lang w:val="en-US" w:eastAsia="ru-RU"/>
        </w:rPr>
        <w:instrText>patient</w:instrText>
      </w:r>
      <w:r w:rsidR="00A6794A" w:rsidRPr="00AA43FB">
        <w:rPr>
          <w:lang w:eastAsia="ru-RU"/>
        </w:rPr>
        <w:instrText xml:space="preserve"> </w:instrText>
      </w:r>
      <w:r w:rsidR="00A6794A">
        <w:rPr>
          <w:lang w:val="en-US" w:eastAsia="ru-RU"/>
        </w:rPr>
        <w:instrText>access</w:instrText>
      </w:r>
      <w:r w:rsidR="00A6794A" w:rsidRPr="00AA43FB">
        <w:rPr>
          <w:lang w:eastAsia="ru-RU"/>
        </w:rPr>
        <w:instrText xml:space="preserve"> </w:instrText>
      </w:r>
      <w:r w:rsidR="00A6794A">
        <w:rPr>
          <w:lang w:val="en-US" w:eastAsia="ru-RU"/>
        </w:rPr>
        <w:instrText>to</w:instrText>
      </w:r>
      <w:r w:rsidR="00A6794A" w:rsidRPr="00AA43FB">
        <w:rPr>
          <w:lang w:eastAsia="ru-RU"/>
        </w:rPr>
        <w:instrText xml:space="preserve"> </w:instrText>
      </w:r>
      <w:r w:rsidR="00A6794A">
        <w:rPr>
          <w:lang w:val="en-US" w:eastAsia="ru-RU"/>
        </w:rPr>
        <w:instrText>rituximab</w:instrText>
      </w:r>
      <w:r w:rsidR="00A6794A" w:rsidRPr="00AA43FB">
        <w:rPr>
          <w:lang w:eastAsia="ru-RU"/>
        </w:rPr>
        <w:instrText xml:space="preserve"> </w:instrText>
      </w:r>
      <w:r w:rsidR="00A6794A">
        <w:rPr>
          <w:lang w:val="en-US" w:eastAsia="ru-RU"/>
        </w:rPr>
        <w:instrText>therapy</w:instrText>
      </w:r>
      <w:r w:rsidR="00A6794A" w:rsidRPr="00AA43FB">
        <w:rPr>
          <w:lang w:eastAsia="ru-RU"/>
        </w:rPr>
        <w:instrText xml:space="preserve"> </w:instrText>
      </w:r>
      <w:r w:rsidR="00A6794A">
        <w:rPr>
          <w:lang w:val="en-US" w:eastAsia="ru-RU"/>
        </w:rPr>
        <w:instrText>in areas with low levels of healthcare resources, including IV-chair capacity constraints. This article is a companion paper to G. Salles, et al., which is also published in this issue. Funding: F. Hoffmann-La Roche Ltd.","author":[{"dropping-particle":"","family":"Davies","given":"Andrew","non-dropping-particle":"","parse-names":false,"suffix":""},{"dropping-particle":"","family":"Berge","given":"Claude","non-dropping-particle":"","parse-names":false,"suffix":""},{"dropping-particle":"","family":"Boehnke","given":"Axel","non-dropping-particle":"","parse-names":false,"suffix":""},{"dropping-particle":"","family":"Dadabhoy","given":"Anjum","non-dropping-particle":"","parse-names":false,"suffix":""},{"dropping-particle":"","family":"Lugtenburg","given":"Pieternella","non-dropping-particle":"","parse-names":false,"suffix":""},{"dropping-particle":"","family":"Rule","given":"Simon","non-dropping-particle":"","parse-names":false,"suffix":""},{"dropping-particle":"","family":"Rummel","given":"Mathias","non-dropping-particle":"","parse-names":false,"suffix":""},{"dropping-particle":"","family":"McIntyre","given":"Christine","non-dropping-particle":"","parse-names":false,"suffix":""},{"dropping-particle":"","family":"Smith","given":"Rodney","non-dropping-particle":"","parse-names":false,"suffix":""},{"dropping-particle":"","family":"Badoux","given":"Xavier","non-dropping-particle":"","parse-names":false,"suffix":""}],"container-title":"Advances in Therapy","id":"ITEM-2","issue":"10","issued":{"date-parts":[["2017","10","1"]]},"page":"2210-2231","publisher":"Springer Healthcare","title":"Subcutaneous Rituximab for the Treatment of B-Cell Hematologic Malignancies: A Review of the Scientific Rationale and Clinical Development","type":"article","volume":"34"},"uris":["http://www.mendeley.com/documents/?uuid=c91e99c4-7e72-3803-909e-84f3e662a6e0"]},{"id":"ITEM-3","itemData":{"DOI":"10.1111/bjh.16227","ISSN":"0007-1048","abstract":"Rituximab is a standard treatment for non-Hodgkin diffuse large B-cell (DLBCL) and follicular (FL) lymphomas. A subcutaneous formulation was developed to improve the resource use of intravenous rituximab, with comparable efficacy and safety profiles except for increased administration-related reactions (ARRs). MabRella was a phase IIIb trial to assess the safety of switching from intravenous to subcutaneous administration of rituximab during first-line induction/maintenance for DLBCL or FL, focusing on ARRs. Efficacy, satisfaction and quality of life were also assessed. Patients received subcutaneous rituximab plus standard induction chemotherapy for DLBCL or FL for 4–7 cycles, and/or every 2 months maintenance monotherapy for FL for 6–12 cycles. The study included 140 patients: DLBCL, n = 29; FL, n = 111. Ninety-five percent of patients experienced adverse events, reaching grade ≥3 in 38·6% and were serious in 30·0%. AARs occurred in 48·6%, mostly (84·9%) at the injection site, with only 2·1% of patients reaching grade 3. The end-of-induction complete/unconfirmed complete response rate was 69·6%. After a median follow-up of 33·5 months, median disease-/event-/progression-free and overall survivals were not attained. The Rituximab Administration Satisfaction Questionnaire showed improvements in overall satisfaction and the EuroQoL-5D a good quality-of-life perception at induction/maintenance end. Therefore, switching to subcutaneous rituximab showed no new safety issues and maintained efficacy with improved satisfaction and quality of life.","author":[{"dropping-particle":"","family":"García‐Muñoz","given":"Ricardo","non-dropping-particle":"","parse-names":false,"suffix":""},{"dropping-particle":"","family":"Quero","given":"Cristina","non-dropping-particle":"","parse-names":false,"suffix":""},{"dropping-particle":"","family":"Pérez‐Persona","given":"Ernesto","non-dropping-particle":"","parse-names":false,"suffix":""},{"dropping-particle":"","family":"Domingo‐García","given":"Abel","non-dropping-particle":"","parse-names":false,"suffix":""},{"dropping-particle":"","family":"Pérez‐López","given":"Cristina","non-dropping-particle":"","parse-names":false,"suffix":""},{"dropping-particle":"","family":"Villaescusa‐de‐la‐Rosa","given":"Teresa","non-dropping-particle":"","parse-names":false,"suffix":""},{"dropping-particle":"","family":"Martínez‐Castro","given":"Ana M.","non-dropping-particle":"","parse-names":false,"suffix":""},{"dropping-particle":"","family":"Arguiñano‐Pérez","given":"José M.","non-dropping-particle":"","parse-names":false,"suffix":""},{"dropping-particle":"","family":"Parra‐Cuadrado","given":"Juan F.","non-dropping-particle":"","parse-names":false,"suffix":""},{"dropping-particle":"","family":"Panizo","given":"Carlos","non-dropping-particle":"","parse-names":false,"suffix":""}],"container-title":"British Journal of Haematology","id":"ITEM-3","issue":"5","issued":{"date-parts":[["2020","3","1"]]},"page":"661-673","publisher":"Blackwell Publishing Ltd","title":"Safety of switching from intravenous to subcutaneous rituximab during first‐line treatment of patients with non‐Hodgkin lymphoma: the Spanish population of the MabRella study","type":"article-journal","volume":"188"},"uris":["http://www.mendeley.com/documents/?uuid=89ca4d25-771e-3d22-9da5-61e99fb5ec3e"]},{"id":"ITEM-4","itemData":{"DOI":"10.3747/co.24.3470","ISSN":"17187729","abstract":"Rituximab is widely used for the treatment of non-Hodgkin lymphoma, being a key component in most therapeutic regimens. Administration of the intravenous (IV) formulation is lengthy and places a significant burden on health care resources and patient quality of life. A subcutaneous (sc) formulation that provides a fixed dose of rituximab is being examined in a number of studies. Results indicate that the pharmacokinetics are noninferior and response rates are comparable to those obtained with the IV formulation. Moreover, the sc formulation is preferred by patients and health care providers and reduces administration and chair time. Additional advantages include a lesser potential for dosing errors, shorter preparation time, reduced drug wastage, and fewer infusion-related reactions. Despite the success of the sc formulation</w:instrText>
      </w:r>
      <w:r w:rsidR="00A6794A" w:rsidRPr="00D3550C">
        <w:rPr>
          <w:lang w:eastAsia="ru-RU"/>
        </w:rPr>
        <w:instrText xml:space="preserve">, </w:instrText>
      </w:r>
      <w:r w:rsidR="00A6794A">
        <w:rPr>
          <w:lang w:val="en-US" w:eastAsia="ru-RU"/>
        </w:rPr>
        <w:instrText>correct</w:instrText>
      </w:r>
      <w:r w:rsidR="00A6794A" w:rsidRPr="00D3550C">
        <w:rPr>
          <w:lang w:eastAsia="ru-RU"/>
        </w:rPr>
        <w:instrText xml:space="preserve"> </w:instrText>
      </w:r>
      <w:r w:rsidR="00A6794A">
        <w:rPr>
          <w:lang w:val="en-US" w:eastAsia="ru-RU"/>
        </w:rPr>
        <w:instrText>administration</w:instrText>
      </w:r>
      <w:r w:rsidR="00A6794A" w:rsidRPr="00D3550C">
        <w:rPr>
          <w:lang w:eastAsia="ru-RU"/>
        </w:rPr>
        <w:instrText xml:space="preserve"> </w:instrText>
      </w:r>
      <w:r w:rsidR="00A6794A">
        <w:rPr>
          <w:lang w:val="en-US" w:eastAsia="ru-RU"/>
        </w:rPr>
        <w:instrText>is</w:instrText>
      </w:r>
      <w:r w:rsidR="00A6794A" w:rsidRPr="00D3550C">
        <w:rPr>
          <w:lang w:eastAsia="ru-RU"/>
        </w:rPr>
        <w:instrText xml:space="preserve"> </w:instrText>
      </w:r>
      <w:r w:rsidR="00A6794A">
        <w:rPr>
          <w:lang w:val="en-US" w:eastAsia="ru-RU"/>
        </w:rPr>
        <w:instrText>needed</w:instrText>
      </w:r>
      <w:r w:rsidR="00A6794A" w:rsidRPr="00D3550C">
        <w:rPr>
          <w:lang w:eastAsia="ru-RU"/>
        </w:rPr>
        <w:instrText xml:space="preserve"> </w:instrText>
      </w:r>
      <w:r w:rsidR="00A6794A">
        <w:rPr>
          <w:lang w:val="en-US" w:eastAsia="ru-RU"/>
        </w:rPr>
        <w:instrText>to</w:instrText>
      </w:r>
      <w:r w:rsidR="00A6794A" w:rsidRPr="00D3550C">
        <w:rPr>
          <w:lang w:eastAsia="ru-RU"/>
        </w:rPr>
        <w:instrText xml:space="preserve"> </w:instrText>
      </w:r>
      <w:r w:rsidR="00A6794A">
        <w:rPr>
          <w:lang w:val="en-US" w:eastAsia="ru-RU"/>
        </w:rPr>
        <w:instrText>reduce</w:instrText>
      </w:r>
      <w:r w:rsidR="00A6794A" w:rsidRPr="00D3550C">
        <w:rPr>
          <w:lang w:eastAsia="ru-RU"/>
        </w:rPr>
        <w:instrText xml:space="preserve"> </w:instrText>
      </w:r>
      <w:r w:rsidR="00A6794A">
        <w:rPr>
          <w:lang w:val="en-US" w:eastAsia="ru-RU"/>
        </w:rPr>
        <w:instrText>administration</w:instrText>
      </w:r>
      <w:r w:rsidR="00A6794A" w:rsidRPr="00D3550C">
        <w:rPr>
          <w:lang w:eastAsia="ru-RU"/>
        </w:rPr>
        <w:instrText>-</w:instrText>
      </w:r>
      <w:r w:rsidR="00A6794A">
        <w:rPr>
          <w:lang w:val="en-US" w:eastAsia="ru-RU"/>
        </w:rPr>
        <w:instrText>related</w:instrText>
      </w:r>
      <w:r w:rsidR="00A6794A" w:rsidRPr="00D3550C">
        <w:rPr>
          <w:lang w:eastAsia="ru-RU"/>
        </w:rPr>
        <w:instrText xml:space="preserve"> </w:instrText>
      </w:r>
      <w:r w:rsidR="00A6794A">
        <w:rPr>
          <w:lang w:val="en-US" w:eastAsia="ru-RU"/>
        </w:rPr>
        <w:instrText>reactions</w:instrText>
      </w:r>
      <w:r w:rsidR="00A6794A" w:rsidRPr="00D3550C">
        <w:rPr>
          <w:lang w:eastAsia="ru-RU"/>
        </w:rPr>
        <w:instrText xml:space="preserve">. </w:instrText>
      </w:r>
      <w:r w:rsidR="00A6794A">
        <w:rPr>
          <w:lang w:val="en-US" w:eastAsia="ru-RU"/>
        </w:rPr>
        <w:instrText>By</w:instrText>
      </w:r>
      <w:r w:rsidR="00A6794A" w:rsidRPr="00D3550C">
        <w:rPr>
          <w:lang w:eastAsia="ru-RU"/>
        </w:rPr>
        <w:instrText xml:space="preserve"> </w:instrText>
      </w:r>
      <w:r w:rsidR="00A6794A">
        <w:rPr>
          <w:lang w:val="en-US" w:eastAsia="ru-RU"/>
        </w:rPr>
        <w:instrText>using</w:instrText>
      </w:r>
      <w:r w:rsidR="00A6794A" w:rsidRPr="00D3550C">
        <w:rPr>
          <w:lang w:eastAsia="ru-RU"/>
        </w:rPr>
        <w:instrText xml:space="preserve"> </w:instrText>
      </w:r>
      <w:r w:rsidR="00A6794A">
        <w:rPr>
          <w:lang w:val="en-US" w:eastAsia="ru-RU"/>
        </w:rPr>
        <w:instrText>a</w:instrText>
      </w:r>
      <w:r w:rsidR="00A6794A" w:rsidRPr="00D3550C">
        <w:rPr>
          <w:lang w:eastAsia="ru-RU"/>
        </w:rPr>
        <w:instrText xml:space="preserve"> </w:instrText>
      </w:r>
      <w:r w:rsidR="00A6794A">
        <w:rPr>
          <w:lang w:val="en-US" w:eastAsia="ru-RU"/>
        </w:rPr>
        <w:instrText>careful</w:instrText>
      </w:r>
      <w:r w:rsidR="00A6794A" w:rsidRPr="00D3550C">
        <w:rPr>
          <w:lang w:eastAsia="ru-RU"/>
        </w:rPr>
        <w:instrText xml:space="preserve"> </w:instrText>
      </w:r>
      <w:r w:rsidR="00A6794A">
        <w:rPr>
          <w:lang w:val="en-US" w:eastAsia="ru-RU"/>
        </w:rPr>
        <w:instrText>procedure</w:instrText>
      </w:r>
      <w:r w:rsidR="00A6794A" w:rsidRPr="00D3550C">
        <w:rPr>
          <w:lang w:eastAsia="ru-RU"/>
        </w:rPr>
        <w:instrText xml:space="preserve">, </w:instrText>
      </w:r>
      <w:r w:rsidR="00A6794A">
        <w:rPr>
          <w:lang w:val="en-US" w:eastAsia="ru-RU"/>
        </w:rPr>
        <w:instrText>the</w:instrText>
      </w:r>
      <w:r w:rsidR="00A6794A" w:rsidRPr="00D3550C">
        <w:rPr>
          <w:lang w:eastAsia="ru-RU"/>
        </w:rPr>
        <w:instrText xml:space="preserve"> </w:instrText>
      </w:r>
      <w:r w:rsidR="00A6794A">
        <w:rPr>
          <w:lang w:val="en-US" w:eastAsia="ru-RU"/>
        </w:rPr>
        <w:instrText>sc</w:instrText>
      </w:r>
      <w:r w:rsidR="00A6794A" w:rsidRPr="00D3550C">
        <w:rPr>
          <w:lang w:eastAsia="ru-RU"/>
        </w:rPr>
        <w:instrText xml:space="preserve"> </w:instrText>
      </w:r>
      <w:r w:rsidR="00A6794A">
        <w:rPr>
          <w:lang w:val="en-US" w:eastAsia="ru-RU"/>
        </w:rPr>
        <w:instrText>formulation</w:instrText>
      </w:r>
      <w:r w:rsidR="00A6794A" w:rsidRPr="00D3550C">
        <w:rPr>
          <w:lang w:eastAsia="ru-RU"/>
        </w:rPr>
        <w:instrText xml:space="preserve"> </w:instrText>
      </w:r>
      <w:r w:rsidR="00A6794A">
        <w:rPr>
          <w:lang w:val="en-US" w:eastAsia="ru-RU"/>
        </w:rPr>
        <w:instrText>can</w:instrText>
      </w:r>
      <w:r w:rsidR="00A6794A" w:rsidRPr="00D3550C">
        <w:rPr>
          <w:lang w:eastAsia="ru-RU"/>
        </w:rPr>
        <w:instrText xml:space="preserve"> </w:instrText>
      </w:r>
      <w:r w:rsidR="00A6794A">
        <w:rPr>
          <w:lang w:val="en-US" w:eastAsia="ru-RU"/>
        </w:rPr>
        <w:instrText>be</w:instrText>
      </w:r>
      <w:r w:rsidR="00A6794A" w:rsidRPr="00D3550C">
        <w:rPr>
          <w:lang w:eastAsia="ru-RU"/>
        </w:rPr>
        <w:instrText xml:space="preserve"> </w:instrText>
      </w:r>
      <w:r w:rsidR="00A6794A">
        <w:rPr>
          <w:lang w:val="en-US" w:eastAsia="ru-RU"/>
        </w:rPr>
        <w:instrText>given</w:instrText>
      </w:r>
      <w:r w:rsidR="00A6794A" w:rsidRPr="00D3550C">
        <w:rPr>
          <w:lang w:eastAsia="ru-RU"/>
        </w:rPr>
        <w:instrText xml:space="preserve"> </w:instrText>
      </w:r>
      <w:r w:rsidR="00A6794A">
        <w:rPr>
          <w:lang w:val="en-US" w:eastAsia="ru-RU"/>
        </w:rPr>
        <w:instrText>safely</w:instrText>
      </w:r>
      <w:r w:rsidR="00A6794A" w:rsidRPr="00D3550C">
        <w:rPr>
          <w:lang w:eastAsia="ru-RU"/>
        </w:rPr>
        <w:instrText xml:space="preserve"> </w:instrText>
      </w:r>
      <w:r w:rsidR="00A6794A">
        <w:rPr>
          <w:lang w:val="en-US" w:eastAsia="ru-RU"/>
        </w:rPr>
        <w:instrText>and</w:instrText>
      </w:r>
      <w:r w:rsidR="00A6794A" w:rsidRPr="00D3550C">
        <w:rPr>
          <w:lang w:eastAsia="ru-RU"/>
        </w:rPr>
        <w:instrText xml:space="preserve"> </w:instrText>
      </w:r>
      <w:r w:rsidR="00A6794A">
        <w:rPr>
          <w:lang w:val="en-US" w:eastAsia="ru-RU"/>
        </w:rPr>
        <w:instrText>effectively</w:instrText>
      </w:r>
      <w:r w:rsidR="00A6794A" w:rsidRPr="00D3550C">
        <w:rPr>
          <w:lang w:eastAsia="ru-RU"/>
        </w:rPr>
        <w:instrText xml:space="preserve">, </w:instrText>
      </w:r>
      <w:r w:rsidR="00A6794A">
        <w:rPr>
          <w:lang w:val="en-US" w:eastAsia="ru-RU"/>
        </w:rPr>
        <w:instrText>potentially</w:instrText>
      </w:r>
      <w:r w:rsidR="00A6794A" w:rsidRPr="00D3550C">
        <w:rPr>
          <w:lang w:eastAsia="ru-RU"/>
        </w:rPr>
        <w:instrText xml:space="preserve"> </w:instrText>
      </w:r>
      <w:r w:rsidR="00A6794A">
        <w:rPr>
          <w:lang w:val="en-US" w:eastAsia="ru-RU"/>
        </w:rPr>
        <w:instrText>reducing</w:instrText>
      </w:r>
      <w:r w:rsidR="00A6794A" w:rsidRPr="00D3550C">
        <w:rPr>
          <w:lang w:eastAsia="ru-RU"/>
        </w:rPr>
        <w:instrText xml:space="preserve"> </w:instrText>
      </w:r>
      <w:r w:rsidR="00A6794A">
        <w:rPr>
          <w:lang w:val="en-US" w:eastAsia="ru-RU"/>
        </w:rPr>
        <w:instrText>the</w:instrText>
      </w:r>
      <w:r w:rsidR="00A6794A" w:rsidRPr="00D3550C">
        <w:rPr>
          <w:lang w:eastAsia="ru-RU"/>
        </w:rPr>
        <w:instrText xml:space="preserve"> </w:instrText>
      </w:r>
      <w:r w:rsidR="00A6794A">
        <w:rPr>
          <w:lang w:val="en-US" w:eastAsia="ru-RU"/>
        </w:rPr>
        <w:instrText>burden</w:instrText>
      </w:r>
      <w:r w:rsidR="00A6794A" w:rsidRPr="00D3550C">
        <w:rPr>
          <w:lang w:eastAsia="ru-RU"/>
        </w:rPr>
        <w:instrText xml:space="preserve"> </w:instrText>
      </w:r>
      <w:r w:rsidR="00A6794A">
        <w:rPr>
          <w:lang w:val="en-US" w:eastAsia="ru-RU"/>
        </w:rPr>
        <w:instrText>on</w:instrText>
      </w:r>
      <w:r w:rsidR="00A6794A" w:rsidRPr="00D3550C">
        <w:rPr>
          <w:lang w:eastAsia="ru-RU"/>
        </w:rPr>
        <w:instrText xml:space="preserve"> </w:instrText>
      </w:r>
      <w:r w:rsidR="00A6794A">
        <w:rPr>
          <w:lang w:val="en-US" w:eastAsia="ru-RU"/>
        </w:rPr>
        <w:instrText>health</w:instrText>
      </w:r>
      <w:r w:rsidR="00A6794A" w:rsidRPr="00D3550C">
        <w:rPr>
          <w:lang w:eastAsia="ru-RU"/>
        </w:rPr>
        <w:instrText xml:space="preserve"> </w:instrText>
      </w:r>
      <w:r w:rsidR="00A6794A">
        <w:rPr>
          <w:lang w:val="en-US" w:eastAsia="ru-RU"/>
        </w:rPr>
        <w:instrText>care</w:instrText>
      </w:r>
      <w:r w:rsidR="00A6794A" w:rsidRPr="00D3550C">
        <w:rPr>
          <w:lang w:eastAsia="ru-RU"/>
        </w:rPr>
        <w:instrText xml:space="preserve"> </w:instrText>
      </w:r>
      <w:r w:rsidR="00A6794A">
        <w:rPr>
          <w:lang w:val="en-US" w:eastAsia="ru-RU"/>
        </w:rPr>
        <w:instrText>resources</w:instrText>
      </w:r>
      <w:r w:rsidR="00A6794A" w:rsidRPr="00D3550C">
        <w:rPr>
          <w:lang w:eastAsia="ru-RU"/>
        </w:rPr>
        <w:instrText xml:space="preserve"> </w:instrText>
      </w:r>
      <w:r w:rsidR="00A6794A">
        <w:rPr>
          <w:lang w:val="en-US" w:eastAsia="ru-RU"/>
        </w:rPr>
        <w:instrText>and</w:instrText>
      </w:r>
      <w:r w:rsidR="00A6794A" w:rsidRPr="00D3550C">
        <w:rPr>
          <w:lang w:eastAsia="ru-RU"/>
        </w:rPr>
        <w:instrText xml:space="preserve"> </w:instrText>
      </w:r>
      <w:r w:rsidR="00A6794A">
        <w:rPr>
          <w:lang w:val="en-US" w:eastAsia="ru-RU"/>
        </w:rPr>
        <w:instrText>improving</w:instrText>
      </w:r>
      <w:r w:rsidR="00A6794A" w:rsidRPr="00D3550C">
        <w:rPr>
          <w:lang w:eastAsia="ru-RU"/>
        </w:rPr>
        <w:instrText xml:space="preserve"> </w:instrText>
      </w:r>
      <w:r w:rsidR="00A6794A">
        <w:rPr>
          <w:lang w:val="en-US" w:eastAsia="ru-RU"/>
        </w:rPr>
        <w:instrText>quality</w:instrText>
      </w:r>
      <w:r w:rsidR="00A6794A" w:rsidRPr="00D3550C">
        <w:rPr>
          <w:lang w:eastAsia="ru-RU"/>
        </w:rPr>
        <w:instrText xml:space="preserve"> </w:instrText>
      </w:r>
      <w:r w:rsidR="00A6794A">
        <w:rPr>
          <w:lang w:val="en-US" w:eastAsia="ru-RU"/>
        </w:rPr>
        <w:instrText>of</w:instrText>
      </w:r>
      <w:r w:rsidR="00A6794A" w:rsidRPr="00D3550C">
        <w:rPr>
          <w:lang w:eastAsia="ru-RU"/>
        </w:rPr>
        <w:instrText xml:space="preserve"> </w:instrText>
      </w:r>
      <w:r w:rsidR="00A6794A">
        <w:rPr>
          <w:lang w:val="en-US" w:eastAsia="ru-RU"/>
        </w:rPr>
        <w:instrText>life</w:instrText>
      </w:r>
      <w:r w:rsidR="00A6794A" w:rsidRPr="00D3550C">
        <w:rPr>
          <w:lang w:eastAsia="ru-RU"/>
        </w:rPr>
        <w:instrText xml:space="preserve"> </w:instrText>
      </w:r>
      <w:r w:rsidR="00A6794A">
        <w:rPr>
          <w:lang w:val="en-US" w:eastAsia="ru-RU"/>
        </w:rPr>
        <w:instrText>for</w:instrText>
      </w:r>
      <w:r w:rsidR="00A6794A" w:rsidRPr="00D3550C">
        <w:rPr>
          <w:lang w:eastAsia="ru-RU"/>
        </w:rPr>
        <w:instrText xml:space="preserve"> </w:instrText>
      </w:r>
      <w:r w:rsidR="00A6794A">
        <w:rPr>
          <w:lang w:val="en-US" w:eastAsia="ru-RU"/>
        </w:rPr>
        <w:instrText>patients</w:instrText>
      </w:r>
      <w:r w:rsidR="00A6794A" w:rsidRPr="00D3550C">
        <w:rPr>
          <w:lang w:eastAsia="ru-RU"/>
        </w:rPr>
        <w:instrText>.","</w:instrText>
      </w:r>
      <w:r w:rsidR="00A6794A">
        <w:rPr>
          <w:lang w:val="en-US" w:eastAsia="ru-RU"/>
        </w:rPr>
        <w:instrText>author</w:instrText>
      </w:r>
      <w:r w:rsidR="00A6794A" w:rsidRPr="00D3550C">
        <w:rPr>
          <w:lang w:eastAsia="ru-RU"/>
        </w:rPr>
        <w:instrText>":[{"</w:instrText>
      </w:r>
      <w:r w:rsidR="00A6794A">
        <w:rPr>
          <w:lang w:val="en-US" w:eastAsia="ru-RU"/>
        </w:rPr>
        <w:instrText>dropping</w:instrText>
      </w:r>
      <w:r w:rsidR="00A6794A" w:rsidRPr="00D3550C">
        <w:rPr>
          <w:lang w:eastAsia="ru-RU"/>
        </w:rPr>
        <w:instrText>-</w:instrText>
      </w:r>
      <w:r w:rsidR="00A6794A">
        <w:rPr>
          <w:lang w:val="en-US" w:eastAsia="ru-RU"/>
        </w:rPr>
        <w:instrText>particle</w:instrText>
      </w:r>
      <w:r w:rsidR="00A6794A" w:rsidRPr="00D3550C">
        <w:rPr>
          <w:lang w:eastAsia="ru-RU"/>
        </w:rPr>
        <w:instrText>":"","</w:instrText>
      </w:r>
      <w:r w:rsidR="00A6794A">
        <w:rPr>
          <w:lang w:val="en-US" w:eastAsia="ru-RU"/>
        </w:rPr>
        <w:instrText>family</w:instrText>
      </w:r>
      <w:r w:rsidR="00A6794A" w:rsidRPr="00D3550C">
        <w:rPr>
          <w:lang w:eastAsia="ru-RU"/>
        </w:rPr>
        <w:instrText>":"</w:instrText>
      </w:r>
      <w:r w:rsidR="00A6794A">
        <w:rPr>
          <w:lang w:val="en-US" w:eastAsia="ru-RU"/>
        </w:rPr>
        <w:instrText>Macdonald</w:instrText>
      </w:r>
      <w:r w:rsidR="00A6794A" w:rsidRPr="00D3550C">
        <w:rPr>
          <w:lang w:eastAsia="ru-RU"/>
        </w:rPr>
        <w:instrText>","</w:instrText>
      </w:r>
      <w:r w:rsidR="00A6794A">
        <w:rPr>
          <w:lang w:val="en-US" w:eastAsia="ru-RU"/>
        </w:rPr>
        <w:instrText>given</w:instrText>
      </w:r>
      <w:r w:rsidR="00A6794A" w:rsidRPr="00D3550C">
        <w:rPr>
          <w:lang w:eastAsia="ru-RU"/>
        </w:rPr>
        <w:instrText>":"</w:instrText>
      </w:r>
      <w:r w:rsidR="00A6794A">
        <w:rPr>
          <w:lang w:val="en-US" w:eastAsia="ru-RU"/>
        </w:rPr>
        <w:instrText>David</w:instrText>
      </w:r>
      <w:r w:rsidR="00A6794A" w:rsidRPr="00D3550C">
        <w:rPr>
          <w:lang w:eastAsia="ru-RU"/>
        </w:rPr>
        <w:instrText>","</w:instrText>
      </w:r>
      <w:r w:rsidR="00A6794A">
        <w:rPr>
          <w:lang w:val="en-US" w:eastAsia="ru-RU"/>
        </w:rPr>
        <w:instrText>non</w:instrText>
      </w:r>
      <w:r w:rsidR="00A6794A" w:rsidRPr="00D3550C">
        <w:rPr>
          <w:lang w:eastAsia="ru-RU"/>
        </w:rPr>
        <w:instrText>-</w:instrText>
      </w:r>
      <w:r w:rsidR="00A6794A">
        <w:rPr>
          <w:lang w:val="en-US" w:eastAsia="ru-RU"/>
        </w:rPr>
        <w:instrText>dropping</w:instrText>
      </w:r>
      <w:r w:rsidR="00A6794A" w:rsidRPr="00D3550C">
        <w:rPr>
          <w:lang w:eastAsia="ru-RU"/>
        </w:rPr>
        <w:instrText>-</w:instrText>
      </w:r>
      <w:r w:rsidR="00A6794A">
        <w:rPr>
          <w:lang w:val="en-US" w:eastAsia="ru-RU"/>
        </w:rPr>
        <w:instrText>particle</w:instrText>
      </w:r>
      <w:r w:rsidR="00A6794A" w:rsidRPr="00D3550C">
        <w:rPr>
          <w:lang w:eastAsia="ru-RU"/>
        </w:rPr>
        <w:instrText>":"","</w:instrText>
      </w:r>
      <w:r w:rsidR="00A6794A">
        <w:rPr>
          <w:lang w:val="en-US" w:eastAsia="ru-RU"/>
        </w:rPr>
        <w:instrText>parse</w:instrText>
      </w:r>
      <w:r w:rsidR="00A6794A" w:rsidRPr="00D3550C">
        <w:rPr>
          <w:lang w:eastAsia="ru-RU"/>
        </w:rPr>
        <w:instrText>-</w:instrText>
      </w:r>
      <w:r w:rsidR="00A6794A">
        <w:rPr>
          <w:lang w:val="en-US" w:eastAsia="ru-RU"/>
        </w:rPr>
        <w:instrText>names</w:instrText>
      </w:r>
      <w:r w:rsidR="00A6794A" w:rsidRPr="00D3550C">
        <w:rPr>
          <w:lang w:eastAsia="ru-RU"/>
        </w:rPr>
        <w:instrText>":</w:instrText>
      </w:r>
      <w:r w:rsidR="00A6794A">
        <w:rPr>
          <w:lang w:val="en-US" w:eastAsia="ru-RU"/>
        </w:rPr>
        <w:instrText>false</w:instrText>
      </w:r>
      <w:r w:rsidR="00A6794A" w:rsidRPr="00D3550C">
        <w:rPr>
          <w:lang w:eastAsia="ru-RU"/>
        </w:rPr>
        <w:instrText>,"</w:instrText>
      </w:r>
      <w:r w:rsidR="00A6794A">
        <w:rPr>
          <w:lang w:val="en-US" w:eastAsia="ru-RU"/>
        </w:rPr>
        <w:instrText>suffix</w:instrText>
      </w:r>
      <w:r w:rsidR="00A6794A" w:rsidRPr="00D3550C">
        <w:rPr>
          <w:lang w:eastAsia="ru-RU"/>
        </w:rPr>
        <w:instrText>":""},{"</w:instrText>
      </w:r>
      <w:r w:rsidR="00A6794A">
        <w:rPr>
          <w:lang w:val="en-US" w:eastAsia="ru-RU"/>
        </w:rPr>
        <w:instrText>dropping</w:instrText>
      </w:r>
      <w:r w:rsidR="00A6794A" w:rsidRPr="00D3550C">
        <w:rPr>
          <w:lang w:eastAsia="ru-RU"/>
        </w:rPr>
        <w:instrText>-</w:instrText>
      </w:r>
      <w:r w:rsidR="00A6794A">
        <w:rPr>
          <w:lang w:val="en-US" w:eastAsia="ru-RU"/>
        </w:rPr>
        <w:instrText>particle</w:instrText>
      </w:r>
      <w:r w:rsidR="00A6794A" w:rsidRPr="00D3550C">
        <w:rPr>
          <w:lang w:eastAsia="ru-RU"/>
        </w:rPr>
        <w:instrText>":"","</w:instrText>
      </w:r>
      <w:r w:rsidR="00A6794A">
        <w:rPr>
          <w:lang w:val="en-US" w:eastAsia="ru-RU"/>
        </w:rPr>
        <w:instrText>family</w:instrText>
      </w:r>
      <w:r w:rsidR="00A6794A" w:rsidRPr="00D3550C">
        <w:rPr>
          <w:lang w:eastAsia="ru-RU"/>
        </w:rPr>
        <w:instrText>":"</w:instrText>
      </w:r>
      <w:r w:rsidR="00A6794A">
        <w:rPr>
          <w:lang w:val="en-US" w:eastAsia="ru-RU"/>
        </w:rPr>
        <w:instrText>Crosbie</w:instrText>
      </w:r>
      <w:r w:rsidR="00A6794A" w:rsidRPr="00D3550C">
        <w:rPr>
          <w:lang w:eastAsia="ru-RU"/>
        </w:rPr>
        <w:instrText>","</w:instrText>
      </w:r>
      <w:r w:rsidR="00A6794A">
        <w:rPr>
          <w:lang w:val="en-US" w:eastAsia="ru-RU"/>
        </w:rPr>
        <w:instrText>given</w:instrText>
      </w:r>
      <w:r w:rsidR="00A6794A" w:rsidRPr="00D3550C">
        <w:rPr>
          <w:lang w:eastAsia="ru-RU"/>
        </w:rPr>
        <w:instrText>":"</w:instrText>
      </w:r>
      <w:r w:rsidR="00A6794A">
        <w:rPr>
          <w:lang w:val="en-US" w:eastAsia="ru-RU"/>
        </w:rPr>
        <w:instrText>T</w:instrText>
      </w:r>
      <w:r w:rsidR="00A6794A" w:rsidRPr="00D3550C">
        <w:rPr>
          <w:lang w:eastAsia="ru-RU"/>
        </w:rPr>
        <w:instrText>.","</w:instrText>
      </w:r>
      <w:r w:rsidR="00A6794A">
        <w:rPr>
          <w:lang w:val="en-US" w:eastAsia="ru-RU"/>
        </w:rPr>
        <w:instrText>non</w:instrText>
      </w:r>
      <w:r w:rsidR="00A6794A" w:rsidRPr="00D3550C">
        <w:rPr>
          <w:lang w:eastAsia="ru-RU"/>
        </w:rPr>
        <w:instrText>-</w:instrText>
      </w:r>
      <w:r w:rsidR="00A6794A">
        <w:rPr>
          <w:lang w:val="en-US" w:eastAsia="ru-RU"/>
        </w:rPr>
        <w:instrText>dropping</w:instrText>
      </w:r>
      <w:r w:rsidR="00A6794A" w:rsidRPr="00D3550C">
        <w:rPr>
          <w:lang w:eastAsia="ru-RU"/>
        </w:rPr>
        <w:instrText>-</w:instrText>
      </w:r>
      <w:r w:rsidR="00A6794A">
        <w:rPr>
          <w:lang w:val="en-US" w:eastAsia="ru-RU"/>
        </w:rPr>
        <w:instrText>particle</w:instrText>
      </w:r>
      <w:r w:rsidR="00A6794A" w:rsidRPr="00D3550C">
        <w:rPr>
          <w:lang w:eastAsia="ru-RU"/>
        </w:rPr>
        <w:instrText>":"","</w:instrText>
      </w:r>
      <w:r w:rsidR="00A6794A">
        <w:rPr>
          <w:lang w:val="en-US" w:eastAsia="ru-RU"/>
        </w:rPr>
        <w:instrText>parse</w:instrText>
      </w:r>
      <w:r w:rsidR="00A6794A" w:rsidRPr="00D3550C">
        <w:rPr>
          <w:lang w:eastAsia="ru-RU"/>
        </w:rPr>
        <w:instrText>-</w:instrText>
      </w:r>
      <w:r w:rsidR="00A6794A">
        <w:rPr>
          <w:lang w:val="en-US" w:eastAsia="ru-RU"/>
        </w:rPr>
        <w:instrText>names</w:instrText>
      </w:r>
      <w:r w:rsidR="00A6794A" w:rsidRPr="00D3550C">
        <w:rPr>
          <w:lang w:eastAsia="ru-RU"/>
        </w:rPr>
        <w:instrText>":</w:instrText>
      </w:r>
      <w:r w:rsidR="00A6794A">
        <w:rPr>
          <w:lang w:val="en-US" w:eastAsia="ru-RU"/>
        </w:rPr>
        <w:instrText>false</w:instrText>
      </w:r>
      <w:r w:rsidR="00A6794A" w:rsidRPr="00D3550C">
        <w:rPr>
          <w:lang w:eastAsia="ru-RU"/>
        </w:rPr>
        <w:instrText>,"</w:instrText>
      </w:r>
      <w:r w:rsidR="00A6794A">
        <w:rPr>
          <w:lang w:val="en-US" w:eastAsia="ru-RU"/>
        </w:rPr>
        <w:instrText>suffix</w:instrText>
      </w:r>
      <w:r w:rsidR="00A6794A" w:rsidRPr="00D3550C">
        <w:rPr>
          <w:lang w:eastAsia="ru-RU"/>
        </w:rPr>
        <w:instrText>":""},{"</w:instrText>
      </w:r>
      <w:r w:rsidR="00A6794A">
        <w:rPr>
          <w:lang w:val="en-US" w:eastAsia="ru-RU"/>
        </w:rPr>
        <w:instrText>dropping</w:instrText>
      </w:r>
      <w:r w:rsidR="00A6794A" w:rsidRPr="00D3550C">
        <w:rPr>
          <w:lang w:eastAsia="ru-RU"/>
        </w:rPr>
        <w:instrText>-</w:instrText>
      </w:r>
      <w:r w:rsidR="00A6794A">
        <w:rPr>
          <w:lang w:val="en-US" w:eastAsia="ru-RU"/>
        </w:rPr>
        <w:instrText>particle</w:instrText>
      </w:r>
      <w:r w:rsidR="00A6794A" w:rsidRPr="00D3550C">
        <w:rPr>
          <w:lang w:eastAsia="ru-RU"/>
        </w:rPr>
        <w:instrText>":"","</w:instrText>
      </w:r>
      <w:r w:rsidR="00A6794A">
        <w:rPr>
          <w:lang w:val="en-US" w:eastAsia="ru-RU"/>
        </w:rPr>
        <w:instrText>family</w:instrText>
      </w:r>
      <w:r w:rsidR="00A6794A" w:rsidRPr="00D3550C">
        <w:rPr>
          <w:lang w:eastAsia="ru-RU"/>
        </w:rPr>
        <w:instrText>":"</w:instrText>
      </w:r>
      <w:r w:rsidR="00A6794A">
        <w:rPr>
          <w:lang w:val="en-US" w:eastAsia="ru-RU"/>
        </w:rPr>
        <w:instrText>Christofides</w:instrText>
      </w:r>
      <w:r w:rsidR="00A6794A" w:rsidRPr="00D3550C">
        <w:rPr>
          <w:lang w:eastAsia="ru-RU"/>
        </w:rPr>
        <w:instrText>","</w:instrText>
      </w:r>
      <w:r w:rsidR="00A6794A">
        <w:rPr>
          <w:lang w:val="en-US" w:eastAsia="ru-RU"/>
        </w:rPr>
        <w:instrText>given</w:instrText>
      </w:r>
      <w:r w:rsidR="00A6794A" w:rsidRPr="00D3550C">
        <w:rPr>
          <w:lang w:eastAsia="ru-RU"/>
        </w:rPr>
        <w:instrText>":"</w:instrText>
      </w:r>
      <w:r w:rsidR="00A6794A">
        <w:rPr>
          <w:lang w:val="en-US" w:eastAsia="ru-RU"/>
        </w:rPr>
        <w:instrText>A</w:instrText>
      </w:r>
      <w:r w:rsidR="00A6794A" w:rsidRPr="00D3550C">
        <w:rPr>
          <w:lang w:eastAsia="ru-RU"/>
        </w:rPr>
        <w:instrText>.","</w:instrText>
      </w:r>
      <w:r w:rsidR="00A6794A">
        <w:rPr>
          <w:lang w:val="en-US" w:eastAsia="ru-RU"/>
        </w:rPr>
        <w:instrText>non</w:instrText>
      </w:r>
      <w:r w:rsidR="00A6794A" w:rsidRPr="00D3550C">
        <w:rPr>
          <w:lang w:eastAsia="ru-RU"/>
        </w:rPr>
        <w:instrText>-</w:instrText>
      </w:r>
      <w:r w:rsidR="00A6794A">
        <w:rPr>
          <w:lang w:val="en-US" w:eastAsia="ru-RU"/>
        </w:rPr>
        <w:instrText>dropping</w:instrText>
      </w:r>
      <w:r w:rsidR="00A6794A" w:rsidRPr="00D3550C">
        <w:rPr>
          <w:lang w:eastAsia="ru-RU"/>
        </w:rPr>
        <w:instrText>-</w:instrText>
      </w:r>
      <w:r w:rsidR="00A6794A">
        <w:rPr>
          <w:lang w:val="en-US" w:eastAsia="ru-RU"/>
        </w:rPr>
        <w:instrText>particle</w:instrText>
      </w:r>
      <w:r w:rsidR="00A6794A" w:rsidRPr="00D3550C">
        <w:rPr>
          <w:lang w:eastAsia="ru-RU"/>
        </w:rPr>
        <w:instrText>":"","</w:instrText>
      </w:r>
      <w:r w:rsidR="00A6794A">
        <w:rPr>
          <w:lang w:val="en-US" w:eastAsia="ru-RU"/>
        </w:rPr>
        <w:instrText>parse</w:instrText>
      </w:r>
      <w:r w:rsidR="00A6794A" w:rsidRPr="00D3550C">
        <w:rPr>
          <w:lang w:eastAsia="ru-RU"/>
        </w:rPr>
        <w:instrText>-</w:instrText>
      </w:r>
      <w:r w:rsidR="00A6794A">
        <w:rPr>
          <w:lang w:val="en-US" w:eastAsia="ru-RU"/>
        </w:rPr>
        <w:instrText>names</w:instrText>
      </w:r>
      <w:r w:rsidR="00A6794A" w:rsidRPr="00D3550C">
        <w:rPr>
          <w:lang w:eastAsia="ru-RU"/>
        </w:rPr>
        <w:instrText>":</w:instrText>
      </w:r>
      <w:r w:rsidR="00A6794A">
        <w:rPr>
          <w:lang w:val="en-US" w:eastAsia="ru-RU"/>
        </w:rPr>
        <w:instrText>false</w:instrText>
      </w:r>
      <w:r w:rsidR="00A6794A" w:rsidRPr="00D3550C">
        <w:rPr>
          <w:lang w:eastAsia="ru-RU"/>
        </w:rPr>
        <w:instrText>,"</w:instrText>
      </w:r>
      <w:r w:rsidR="00A6794A">
        <w:rPr>
          <w:lang w:val="en-US" w:eastAsia="ru-RU"/>
        </w:rPr>
        <w:instrText>suffix</w:instrText>
      </w:r>
      <w:r w:rsidR="00A6794A" w:rsidRPr="00D3550C">
        <w:rPr>
          <w:lang w:eastAsia="ru-RU"/>
        </w:rPr>
        <w:instrText>":""},{"</w:instrText>
      </w:r>
      <w:r w:rsidR="00A6794A">
        <w:rPr>
          <w:lang w:val="en-US" w:eastAsia="ru-RU"/>
        </w:rPr>
        <w:instrText>dropping</w:instrText>
      </w:r>
      <w:r w:rsidR="00A6794A" w:rsidRPr="00D3550C">
        <w:rPr>
          <w:lang w:eastAsia="ru-RU"/>
        </w:rPr>
        <w:instrText>-</w:instrText>
      </w:r>
      <w:r w:rsidR="00A6794A">
        <w:rPr>
          <w:lang w:val="en-US" w:eastAsia="ru-RU"/>
        </w:rPr>
        <w:instrText>particle</w:instrText>
      </w:r>
      <w:r w:rsidR="00A6794A" w:rsidRPr="00D3550C">
        <w:rPr>
          <w:lang w:eastAsia="ru-RU"/>
        </w:rPr>
        <w:instrText>":"","</w:instrText>
      </w:r>
      <w:r w:rsidR="00A6794A">
        <w:rPr>
          <w:lang w:val="en-US" w:eastAsia="ru-RU"/>
        </w:rPr>
        <w:instrText>family</w:instrText>
      </w:r>
      <w:r w:rsidR="00A6794A" w:rsidRPr="00D3550C">
        <w:rPr>
          <w:lang w:eastAsia="ru-RU"/>
        </w:rPr>
        <w:instrText>":"</w:instrText>
      </w:r>
      <w:r w:rsidR="00A6794A">
        <w:rPr>
          <w:lang w:val="en-US" w:eastAsia="ru-RU"/>
        </w:rPr>
        <w:instrText>Assaily</w:instrText>
      </w:r>
      <w:r w:rsidR="00A6794A" w:rsidRPr="00D3550C">
        <w:rPr>
          <w:lang w:eastAsia="ru-RU"/>
        </w:rPr>
        <w:instrText>","</w:instrText>
      </w:r>
      <w:r w:rsidR="00A6794A">
        <w:rPr>
          <w:lang w:val="en-US" w:eastAsia="ru-RU"/>
        </w:rPr>
        <w:instrText>given</w:instrText>
      </w:r>
      <w:r w:rsidR="00A6794A" w:rsidRPr="00D3550C">
        <w:rPr>
          <w:lang w:eastAsia="ru-RU"/>
        </w:rPr>
        <w:instrText>":"</w:instrText>
      </w:r>
      <w:r w:rsidR="00A6794A">
        <w:rPr>
          <w:lang w:val="en-US" w:eastAsia="ru-RU"/>
        </w:rPr>
        <w:instrText>W</w:instrText>
      </w:r>
      <w:r w:rsidR="00A6794A" w:rsidRPr="00D3550C">
        <w:rPr>
          <w:lang w:eastAsia="ru-RU"/>
        </w:rPr>
        <w:instrText>.","</w:instrText>
      </w:r>
      <w:r w:rsidR="00A6794A">
        <w:rPr>
          <w:lang w:val="en-US" w:eastAsia="ru-RU"/>
        </w:rPr>
        <w:instrText>non</w:instrText>
      </w:r>
      <w:r w:rsidR="00A6794A" w:rsidRPr="00D3550C">
        <w:rPr>
          <w:lang w:eastAsia="ru-RU"/>
        </w:rPr>
        <w:instrText>-</w:instrText>
      </w:r>
      <w:r w:rsidR="00A6794A">
        <w:rPr>
          <w:lang w:val="en-US" w:eastAsia="ru-RU"/>
        </w:rPr>
        <w:instrText>dropping</w:instrText>
      </w:r>
      <w:r w:rsidR="00A6794A" w:rsidRPr="00D3550C">
        <w:rPr>
          <w:lang w:eastAsia="ru-RU"/>
        </w:rPr>
        <w:instrText>-</w:instrText>
      </w:r>
      <w:r w:rsidR="00A6794A">
        <w:rPr>
          <w:lang w:val="en-US" w:eastAsia="ru-RU"/>
        </w:rPr>
        <w:instrText>particle</w:instrText>
      </w:r>
      <w:r w:rsidR="00A6794A" w:rsidRPr="00D3550C">
        <w:rPr>
          <w:lang w:eastAsia="ru-RU"/>
        </w:rPr>
        <w:instrText>":"","</w:instrText>
      </w:r>
      <w:r w:rsidR="00A6794A">
        <w:rPr>
          <w:lang w:val="en-US" w:eastAsia="ru-RU"/>
        </w:rPr>
        <w:instrText>parse</w:instrText>
      </w:r>
      <w:r w:rsidR="00A6794A" w:rsidRPr="00D3550C">
        <w:rPr>
          <w:lang w:eastAsia="ru-RU"/>
        </w:rPr>
        <w:instrText>-</w:instrText>
      </w:r>
      <w:r w:rsidR="00A6794A">
        <w:rPr>
          <w:lang w:val="en-US" w:eastAsia="ru-RU"/>
        </w:rPr>
        <w:instrText>names</w:instrText>
      </w:r>
      <w:r w:rsidR="00A6794A" w:rsidRPr="00D3550C">
        <w:rPr>
          <w:lang w:eastAsia="ru-RU"/>
        </w:rPr>
        <w:instrText>":</w:instrText>
      </w:r>
      <w:r w:rsidR="00A6794A">
        <w:rPr>
          <w:lang w:val="en-US" w:eastAsia="ru-RU"/>
        </w:rPr>
        <w:instrText>false</w:instrText>
      </w:r>
      <w:r w:rsidR="00A6794A" w:rsidRPr="00D3550C">
        <w:rPr>
          <w:lang w:eastAsia="ru-RU"/>
        </w:rPr>
        <w:instrText>,"</w:instrText>
      </w:r>
      <w:r w:rsidR="00A6794A">
        <w:rPr>
          <w:lang w:val="en-US" w:eastAsia="ru-RU"/>
        </w:rPr>
        <w:instrText>suffix</w:instrText>
      </w:r>
      <w:r w:rsidR="00A6794A" w:rsidRPr="00D3550C">
        <w:rPr>
          <w:lang w:eastAsia="ru-RU"/>
        </w:rPr>
        <w:instrText>":""},{"</w:instrText>
      </w:r>
      <w:r w:rsidR="00A6794A">
        <w:rPr>
          <w:lang w:val="en-US" w:eastAsia="ru-RU"/>
        </w:rPr>
        <w:instrText>dropping</w:instrText>
      </w:r>
      <w:r w:rsidR="00A6794A" w:rsidRPr="00D3550C">
        <w:rPr>
          <w:lang w:eastAsia="ru-RU"/>
        </w:rPr>
        <w:instrText>-</w:instrText>
      </w:r>
      <w:r w:rsidR="00A6794A">
        <w:rPr>
          <w:lang w:val="en-US" w:eastAsia="ru-RU"/>
        </w:rPr>
        <w:instrText>particle</w:instrText>
      </w:r>
      <w:r w:rsidR="00A6794A" w:rsidRPr="00D3550C">
        <w:rPr>
          <w:lang w:eastAsia="ru-RU"/>
        </w:rPr>
        <w:instrText>":"","</w:instrText>
      </w:r>
      <w:r w:rsidR="00A6794A">
        <w:rPr>
          <w:lang w:val="en-US" w:eastAsia="ru-RU"/>
        </w:rPr>
        <w:instrText>family</w:instrText>
      </w:r>
      <w:r w:rsidR="00A6794A" w:rsidRPr="00D3550C">
        <w:rPr>
          <w:lang w:eastAsia="ru-RU"/>
        </w:rPr>
        <w:instrText>":"</w:instrText>
      </w:r>
      <w:r w:rsidR="00A6794A">
        <w:rPr>
          <w:lang w:val="en-US" w:eastAsia="ru-RU"/>
        </w:rPr>
        <w:instrText>Wiernikowski</w:instrText>
      </w:r>
      <w:r w:rsidR="00A6794A" w:rsidRPr="00D3550C">
        <w:rPr>
          <w:lang w:eastAsia="ru-RU"/>
        </w:rPr>
        <w:instrText>","</w:instrText>
      </w:r>
      <w:r w:rsidR="00A6794A">
        <w:rPr>
          <w:lang w:val="en-US" w:eastAsia="ru-RU"/>
        </w:rPr>
        <w:instrText>given</w:instrText>
      </w:r>
      <w:r w:rsidR="00A6794A" w:rsidRPr="00D3550C">
        <w:rPr>
          <w:lang w:eastAsia="ru-RU"/>
        </w:rPr>
        <w:instrText>":"</w:instrText>
      </w:r>
      <w:r w:rsidR="00A6794A">
        <w:rPr>
          <w:lang w:val="en-US" w:eastAsia="ru-RU"/>
        </w:rPr>
        <w:instrText>J</w:instrText>
      </w:r>
      <w:r w:rsidR="00A6794A" w:rsidRPr="00D3550C">
        <w:rPr>
          <w:lang w:eastAsia="ru-RU"/>
        </w:rPr>
        <w:instrText>.","</w:instrText>
      </w:r>
      <w:r w:rsidR="00A6794A">
        <w:rPr>
          <w:lang w:val="en-US" w:eastAsia="ru-RU"/>
        </w:rPr>
        <w:instrText>non</w:instrText>
      </w:r>
      <w:r w:rsidR="00A6794A" w:rsidRPr="00D3550C">
        <w:rPr>
          <w:lang w:eastAsia="ru-RU"/>
        </w:rPr>
        <w:instrText>-</w:instrText>
      </w:r>
      <w:r w:rsidR="00A6794A">
        <w:rPr>
          <w:lang w:val="en-US" w:eastAsia="ru-RU"/>
        </w:rPr>
        <w:instrText>dropping</w:instrText>
      </w:r>
      <w:r w:rsidR="00A6794A" w:rsidRPr="00D3550C">
        <w:rPr>
          <w:lang w:eastAsia="ru-RU"/>
        </w:rPr>
        <w:instrText>-</w:instrText>
      </w:r>
      <w:r w:rsidR="00A6794A">
        <w:rPr>
          <w:lang w:val="en-US" w:eastAsia="ru-RU"/>
        </w:rPr>
        <w:instrText>particle</w:instrText>
      </w:r>
      <w:r w:rsidR="00A6794A" w:rsidRPr="00D3550C">
        <w:rPr>
          <w:lang w:eastAsia="ru-RU"/>
        </w:rPr>
        <w:instrText>":"","</w:instrText>
      </w:r>
      <w:r w:rsidR="00A6794A">
        <w:rPr>
          <w:lang w:val="en-US" w:eastAsia="ru-RU"/>
        </w:rPr>
        <w:instrText>parse</w:instrText>
      </w:r>
      <w:r w:rsidR="00A6794A" w:rsidRPr="00D3550C">
        <w:rPr>
          <w:lang w:eastAsia="ru-RU"/>
        </w:rPr>
        <w:instrText>-</w:instrText>
      </w:r>
      <w:r w:rsidR="00A6794A">
        <w:rPr>
          <w:lang w:val="en-US" w:eastAsia="ru-RU"/>
        </w:rPr>
        <w:instrText>names</w:instrText>
      </w:r>
      <w:r w:rsidR="00A6794A" w:rsidRPr="00D3550C">
        <w:rPr>
          <w:lang w:eastAsia="ru-RU"/>
        </w:rPr>
        <w:instrText>":</w:instrText>
      </w:r>
      <w:r w:rsidR="00A6794A">
        <w:rPr>
          <w:lang w:val="en-US" w:eastAsia="ru-RU"/>
        </w:rPr>
        <w:instrText>false</w:instrText>
      </w:r>
      <w:r w:rsidR="00A6794A" w:rsidRPr="00D3550C">
        <w:rPr>
          <w:lang w:eastAsia="ru-RU"/>
        </w:rPr>
        <w:instrText>,"</w:instrText>
      </w:r>
      <w:r w:rsidR="00A6794A">
        <w:rPr>
          <w:lang w:val="en-US" w:eastAsia="ru-RU"/>
        </w:rPr>
        <w:instrText>suffix</w:instrText>
      </w:r>
      <w:r w:rsidR="00A6794A" w:rsidRPr="00D3550C">
        <w:rPr>
          <w:lang w:eastAsia="ru-RU"/>
        </w:rPr>
        <w:instrText>":""}],"</w:instrText>
      </w:r>
      <w:r w:rsidR="00A6794A">
        <w:rPr>
          <w:lang w:val="en-US" w:eastAsia="ru-RU"/>
        </w:rPr>
        <w:instrText>container</w:instrText>
      </w:r>
      <w:r w:rsidR="00A6794A" w:rsidRPr="00D3550C">
        <w:rPr>
          <w:lang w:eastAsia="ru-RU"/>
        </w:rPr>
        <w:instrText>-</w:instrText>
      </w:r>
      <w:r w:rsidR="00A6794A">
        <w:rPr>
          <w:lang w:val="en-US" w:eastAsia="ru-RU"/>
        </w:rPr>
        <w:instrText>title</w:instrText>
      </w:r>
      <w:r w:rsidR="00A6794A" w:rsidRPr="00D3550C">
        <w:rPr>
          <w:lang w:eastAsia="ru-RU"/>
        </w:rPr>
        <w:instrText>":"</w:instrText>
      </w:r>
      <w:r w:rsidR="00A6794A">
        <w:rPr>
          <w:lang w:val="en-US" w:eastAsia="ru-RU"/>
        </w:rPr>
        <w:instrText>Current</w:instrText>
      </w:r>
      <w:r w:rsidR="00A6794A" w:rsidRPr="00D3550C">
        <w:rPr>
          <w:lang w:eastAsia="ru-RU"/>
        </w:rPr>
        <w:instrText xml:space="preserve"> </w:instrText>
      </w:r>
      <w:r w:rsidR="00A6794A">
        <w:rPr>
          <w:lang w:val="en-US" w:eastAsia="ru-RU"/>
        </w:rPr>
        <w:instrText>Oncology</w:instrText>
      </w:r>
      <w:r w:rsidR="00A6794A" w:rsidRPr="00D3550C">
        <w:rPr>
          <w:lang w:eastAsia="ru-RU"/>
        </w:rPr>
        <w:instrText>","</w:instrText>
      </w:r>
      <w:r w:rsidR="00A6794A">
        <w:rPr>
          <w:lang w:val="en-US" w:eastAsia="ru-RU"/>
        </w:rPr>
        <w:instrText>id</w:instrText>
      </w:r>
      <w:r w:rsidR="00A6794A" w:rsidRPr="00D3550C">
        <w:rPr>
          <w:lang w:eastAsia="ru-RU"/>
        </w:rPr>
        <w:instrText>":"</w:instrText>
      </w:r>
      <w:r w:rsidR="00A6794A">
        <w:rPr>
          <w:lang w:val="en-US" w:eastAsia="ru-RU"/>
        </w:rPr>
        <w:instrText>ITEM</w:instrText>
      </w:r>
      <w:r w:rsidR="00A6794A" w:rsidRPr="00D3550C">
        <w:rPr>
          <w:lang w:eastAsia="ru-RU"/>
        </w:rPr>
        <w:instrText>-4","</w:instrText>
      </w:r>
      <w:r w:rsidR="00A6794A">
        <w:rPr>
          <w:lang w:val="en-US" w:eastAsia="ru-RU"/>
        </w:rPr>
        <w:instrText>issue</w:instrText>
      </w:r>
      <w:r w:rsidR="00A6794A" w:rsidRPr="00D3550C">
        <w:rPr>
          <w:lang w:eastAsia="ru-RU"/>
        </w:rPr>
        <w:instrText>":"1","</w:instrText>
      </w:r>
      <w:r w:rsidR="00A6794A">
        <w:rPr>
          <w:lang w:val="en-US" w:eastAsia="ru-RU"/>
        </w:rPr>
        <w:instrText>issued</w:instrText>
      </w:r>
      <w:r w:rsidR="00A6794A" w:rsidRPr="00D3550C">
        <w:rPr>
          <w:lang w:eastAsia="ru-RU"/>
        </w:rPr>
        <w:instrText>":{"</w:instrText>
      </w:r>
      <w:r w:rsidR="00A6794A">
        <w:rPr>
          <w:lang w:val="en-US" w:eastAsia="ru-RU"/>
        </w:rPr>
        <w:instrText>date</w:instrText>
      </w:r>
      <w:r w:rsidR="00A6794A" w:rsidRPr="00D3550C">
        <w:rPr>
          <w:lang w:eastAsia="ru-RU"/>
        </w:rPr>
        <w:instrText>-</w:instrText>
      </w:r>
      <w:r w:rsidR="00A6794A">
        <w:rPr>
          <w:lang w:val="en-US" w:eastAsia="ru-RU"/>
        </w:rPr>
        <w:instrText>parts</w:instrText>
      </w:r>
      <w:r w:rsidR="00A6794A" w:rsidRPr="00D3550C">
        <w:rPr>
          <w:lang w:eastAsia="ru-RU"/>
        </w:rPr>
        <w:instrText>":[["2017"]]},"</w:instrText>
      </w:r>
      <w:r w:rsidR="00A6794A">
        <w:rPr>
          <w:lang w:val="en-US" w:eastAsia="ru-RU"/>
        </w:rPr>
        <w:instrText>page</w:instrText>
      </w:r>
      <w:r w:rsidR="00A6794A" w:rsidRPr="00D3550C">
        <w:rPr>
          <w:lang w:eastAsia="ru-RU"/>
        </w:rPr>
        <w:instrText>":"33-39","</w:instrText>
      </w:r>
      <w:r w:rsidR="00A6794A">
        <w:rPr>
          <w:lang w:val="en-US" w:eastAsia="ru-RU"/>
        </w:rPr>
        <w:instrText>publisher</w:instrText>
      </w:r>
      <w:r w:rsidR="00A6794A" w:rsidRPr="00D3550C">
        <w:rPr>
          <w:lang w:eastAsia="ru-RU"/>
        </w:rPr>
        <w:instrText>":"</w:instrText>
      </w:r>
      <w:r w:rsidR="00A6794A">
        <w:rPr>
          <w:lang w:val="en-US" w:eastAsia="ru-RU"/>
        </w:rPr>
        <w:instrText>Multimed</w:instrText>
      </w:r>
      <w:r w:rsidR="00A6794A" w:rsidRPr="00D3550C">
        <w:rPr>
          <w:lang w:eastAsia="ru-RU"/>
        </w:rPr>
        <w:instrText xml:space="preserve"> </w:instrText>
      </w:r>
      <w:r w:rsidR="00A6794A">
        <w:rPr>
          <w:lang w:val="en-US" w:eastAsia="ru-RU"/>
        </w:rPr>
        <w:instrText>Inc</w:instrText>
      </w:r>
      <w:r w:rsidR="00A6794A" w:rsidRPr="00D3550C">
        <w:rPr>
          <w:lang w:eastAsia="ru-RU"/>
        </w:rPr>
        <w:instrText>.","</w:instrText>
      </w:r>
      <w:r w:rsidR="00A6794A">
        <w:rPr>
          <w:lang w:val="en-US" w:eastAsia="ru-RU"/>
        </w:rPr>
        <w:instrText>title</w:instrText>
      </w:r>
      <w:r w:rsidR="00A6794A" w:rsidRPr="00D3550C">
        <w:rPr>
          <w:lang w:eastAsia="ru-RU"/>
        </w:rPr>
        <w:instrText>":"</w:instrText>
      </w:r>
      <w:r w:rsidR="00A6794A">
        <w:rPr>
          <w:lang w:val="en-US" w:eastAsia="ru-RU"/>
        </w:rPr>
        <w:instrText>A</w:instrText>
      </w:r>
      <w:r w:rsidR="00A6794A" w:rsidRPr="00D3550C">
        <w:rPr>
          <w:lang w:eastAsia="ru-RU"/>
        </w:rPr>
        <w:instrText xml:space="preserve"> </w:instrText>
      </w:r>
      <w:r w:rsidR="00A6794A">
        <w:rPr>
          <w:lang w:val="en-US" w:eastAsia="ru-RU"/>
        </w:rPr>
        <w:instrText>canadian</w:instrText>
      </w:r>
      <w:r w:rsidR="00A6794A" w:rsidRPr="00D3550C">
        <w:rPr>
          <w:lang w:eastAsia="ru-RU"/>
        </w:rPr>
        <w:instrText xml:space="preserve"> </w:instrText>
      </w:r>
      <w:r w:rsidR="00A6794A">
        <w:rPr>
          <w:lang w:val="en-US" w:eastAsia="ru-RU"/>
        </w:rPr>
        <w:instrText>perspective</w:instrText>
      </w:r>
      <w:r w:rsidR="00A6794A" w:rsidRPr="00D3550C">
        <w:rPr>
          <w:lang w:eastAsia="ru-RU"/>
        </w:rPr>
        <w:instrText xml:space="preserve"> </w:instrText>
      </w:r>
      <w:r w:rsidR="00A6794A">
        <w:rPr>
          <w:lang w:val="en-US" w:eastAsia="ru-RU"/>
        </w:rPr>
        <w:instrText>on</w:instrText>
      </w:r>
      <w:r w:rsidR="00A6794A" w:rsidRPr="00D3550C">
        <w:rPr>
          <w:lang w:eastAsia="ru-RU"/>
        </w:rPr>
        <w:instrText xml:space="preserve"> </w:instrText>
      </w:r>
      <w:r w:rsidR="00A6794A">
        <w:rPr>
          <w:lang w:val="en-US" w:eastAsia="ru-RU"/>
        </w:rPr>
        <w:instrText>the</w:instrText>
      </w:r>
      <w:r w:rsidR="00A6794A" w:rsidRPr="00D3550C">
        <w:rPr>
          <w:lang w:eastAsia="ru-RU"/>
        </w:rPr>
        <w:instrText xml:space="preserve"> </w:instrText>
      </w:r>
      <w:r w:rsidR="00A6794A">
        <w:rPr>
          <w:lang w:val="en-US" w:eastAsia="ru-RU"/>
        </w:rPr>
        <w:instrText>subcutaneous</w:instrText>
      </w:r>
      <w:r w:rsidR="00A6794A" w:rsidRPr="00D3550C">
        <w:rPr>
          <w:lang w:eastAsia="ru-RU"/>
        </w:rPr>
        <w:instrText xml:space="preserve"> </w:instrText>
      </w:r>
      <w:r w:rsidR="00A6794A">
        <w:rPr>
          <w:lang w:val="en-US" w:eastAsia="ru-RU"/>
        </w:rPr>
        <w:instrText>administration</w:instrText>
      </w:r>
      <w:r w:rsidR="00A6794A" w:rsidRPr="00D3550C">
        <w:rPr>
          <w:lang w:eastAsia="ru-RU"/>
        </w:rPr>
        <w:instrText xml:space="preserve"> </w:instrText>
      </w:r>
      <w:r w:rsidR="00A6794A">
        <w:rPr>
          <w:lang w:val="en-US" w:eastAsia="ru-RU"/>
        </w:rPr>
        <w:instrText>of</w:instrText>
      </w:r>
      <w:r w:rsidR="00A6794A" w:rsidRPr="00D3550C">
        <w:rPr>
          <w:lang w:eastAsia="ru-RU"/>
        </w:rPr>
        <w:instrText xml:space="preserve"> </w:instrText>
      </w:r>
      <w:r w:rsidR="00A6794A">
        <w:rPr>
          <w:lang w:val="en-US" w:eastAsia="ru-RU"/>
        </w:rPr>
        <w:instrText>rituximab</w:instrText>
      </w:r>
      <w:r w:rsidR="00A6794A" w:rsidRPr="00D3550C">
        <w:rPr>
          <w:lang w:eastAsia="ru-RU"/>
        </w:rPr>
        <w:instrText xml:space="preserve"> </w:instrText>
      </w:r>
      <w:r w:rsidR="00A6794A">
        <w:rPr>
          <w:lang w:val="en-US" w:eastAsia="ru-RU"/>
        </w:rPr>
        <w:instrText>in</w:instrText>
      </w:r>
      <w:r w:rsidR="00A6794A" w:rsidRPr="00D3550C">
        <w:rPr>
          <w:lang w:eastAsia="ru-RU"/>
        </w:rPr>
        <w:instrText xml:space="preserve"> </w:instrText>
      </w:r>
      <w:r w:rsidR="00A6794A">
        <w:rPr>
          <w:lang w:val="en-US" w:eastAsia="ru-RU"/>
        </w:rPr>
        <w:instrText>non</w:instrText>
      </w:r>
      <w:r w:rsidR="00A6794A" w:rsidRPr="00D3550C">
        <w:rPr>
          <w:lang w:eastAsia="ru-RU"/>
        </w:rPr>
        <w:instrText>-</w:instrText>
      </w:r>
      <w:r w:rsidR="00A6794A">
        <w:rPr>
          <w:lang w:val="en-US" w:eastAsia="ru-RU"/>
        </w:rPr>
        <w:instrText>Hodgkin</w:instrText>
      </w:r>
      <w:r w:rsidR="00A6794A" w:rsidRPr="00D3550C">
        <w:rPr>
          <w:lang w:eastAsia="ru-RU"/>
        </w:rPr>
        <w:instrText xml:space="preserve"> </w:instrText>
      </w:r>
      <w:r w:rsidR="00A6794A">
        <w:rPr>
          <w:lang w:val="en-US" w:eastAsia="ru-RU"/>
        </w:rPr>
        <w:instrText>lymphoma</w:instrText>
      </w:r>
      <w:r w:rsidR="00A6794A" w:rsidRPr="00D3550C">
        <w:rPr>
          <w:lang w:eastAsia="ru-RU"/>
        </w:rPr>
        <w:instrText>","</w:instrText>
      </w:r>
      <w:r w:rsidR="00A6794A">
        <w:rPr>
          <w:lang w:val="en-US" w:eastAsia="ru-RU"/>
        </w:rPr>
        <w:instrText>type</w:instrText>
      </w:r>
      <w:r w:rsidR="00A6794A" w:rsidRPr="00D3550C">
        <w:rPr>
          <w:lang w:eastAsia="ru-RU"/>
        </w:rPr>
        <w:instrText>":"</w:instrText>
      </w:r>
      <w:r w:rsidR="00A6794A">
        <w:rPr>
          <w:lang w:val="en-US" w:eastAsia="ru-RU"/>
        </w:rPr>
        <w:instrText>article</w:instrText>
      </w:r>
      <w:r w:rsidR="00A6794A" w:rsidRPr="00D3550C">
        <w:rPr>
          <w:lang w:eastAsia="ru-RU"/>
        </w:rPr>
        <w:instrText>","</w:instrText>
      </w:r>
      <w:r w:rsidR="00A6794A">
        <w:rPr>
          <w:lang w:val="en-US" w:eastAsia="ru-RU"/>
        </w:rPr>
        <w:instrText>volume</w:instrText>
      </w:r>
      <w:r w:rsidR="00A6794A" w:rsidRPr="00D3550C">
        <w:rPr>
          <w:lang w:eastAsia="ru-RU"/>
        </w:rPr>
        <w:instrText>":"24"},"</w:instrText>
      </w:r>
      <w:r w:rsidR="00A6794A">
        <w:rPr>
          <w:lang w:val="en-US" w:eastAsia="ru-RU"/>
        </w:rPr>
        <w:instrText>uris</w:instrText>
      </w:r>
      <w:r w:rsidR="00A6794A" w:rsidRPr="00D3550C">
        <w:rPr>
          <w:lang w:eastAsia="ru-RU"/>
        </w:rPr>
        <w:instrText>":["</w:instrText>
      </w:r>
      <w:r w:rsidR="00A6794A">
        <w:rPr>
          <w:lang w:val="en-US" w:eastAsia="ru-RU"/>
        </w:rPr>
        <w:instrText>http</w:instrText>
      </w:r>
      <w:r w:rsidR="00A6794A" w:rsidRPr="00D3550C">
        <w:rPr>
          <w:lang w:eastAsia="ru-RU"/>
        </w:rPr>
        <w:instrText>://</w:instrText>
      </w:r>
      <w:r w:rsidR="00A6794A">
        <w:rPr>
          <w:lang w:val="en-US" w:eastAsia="ru-RU"/>
        </w:rPr>
        <w:instrText>www</w:instrText>
      </w:r>
      <w:r w:rsidR="00A6794A" w:rsidRPr="00D3550C">
        <w:rPr>
          <w:lang w:eastAsia="ru-RU"/>
        </w:rPr>
        <w:instrText>.</w:instrText>
      </w:r>
      <w:r w:rsidR="00A6794A">
        <w:rPr>
          <w:lang w:val="en-US" w:eastAsia="ru-RU"/>
        </w:rPr>
        <w:instrText>mendeley</w:instrText>
      </w:r>
      <w:r w:rsidR="00A6794A" w:rsidRPr="00D3550C">
        <w:rPr>
          <w:lang w:eastAsia="ru-RU"/>
        </w:rPr>
        <w:instrText>.</w:instrText>
      </w:r>
      <w:r w:rsidR="00A6794A">
        <w:rPr>
          <w:lang w:val="en-US" w:eastAsia="ru-RU"/>
        </w:rPr>
        <w:instrText>com</w:instrText>
      </w:r>
      <w:r w:rsidR="00A6794A" w:rsidRPr="00D3550C">
        <w:rPr>
          <w:lang w:eastAsia="ru-RU"/>
        </w:rPr>
        <w:instrText>/</w:instrText>
      </w:r>
      <w:r w:rsidR="00A6794A">
        <w:rPr>
          <w:lang w:val="en-US" w:eastAsia="ru-RU"/>
        </w:rPr>
        <w:instrText>documents</w:instrText>
      </w:r>
      <w:r w:rsidR="00A6794A" w:rsidRPr="00D3550C">
        <w:rPr>
          <w:lang w:eastAsia="ru-RU"/>
        </w:rPr>
        <w:instrText>/?</w:instrText>
      </w:r>
      <w:r w:rsidR="00A6794A">
        <w:rPr>
          <w:lang w:val="en-US" w:eastAsia="ru-RU"/>
        </w:rPr>
        <w:instrText>uuid</w:instrText>
      </w:r>
      <w:r w:rsidR="00A6794A" w:rsidRPr="00D3550C">
        <w:rPr>
          <w:lang w:eastAsia="ru-RU"/>
        </w:rPr>
        <w:instrText>=0</w:instrText>
      </w:r>
      <w:r w:rsidR="00A6794A">
        <w:rPr>
          <w:lang w:val="en-US" w:eastAsia="ru-RU"/>
        </w:rPr>
        <w:instrText>dec</w:instrText>
      </w:r>
      <w:r w:rsidR="00A6794A" w:rsidRPr="00D3550C">
        <w:rPr>
          <w:lang w:eastAsia="ru-RU"/>
        </w:rPr>
        <w:instrText>225</w:instrText>
      </w:r>
      <w:r w:rsidR="00A6794A">
        <w:rPr>
          <w:lang w:val="en-US" w:eastAsia="ru-RU"/>
        </w:rPr>
        <w:instrText>e</w:instrText>
      </w:r>
      <w:r w:rsidR="00A6794A" w:rsidRPr="00D3550C">
        <w:rPr>
          <w:lang w:eastAsia="ru-RU"/>
        </w:rPr>
        <w:instrText>-8</w:instrText>
      </w:r>
      <w:r w:rsidR="00A6794A">
        <w:rPr>
          <w:lang w:val="en-US" w:eastAsia="ru-RU"/>
        </w:rPr>
        <w:instrText>a</w:instrText>
      </w:r>
      <w:r w:rsidR="00A6794A" w:rsidRPr="00D3550C">
        <w:rPr>
          <w:lang w:eastAsia="ru-RU"/>
        </w:rPr>
        <w:instrText>47-3680-</w:instrText>
      </w:r>
      <w:r w:rsidR="00A6794A">
        <w:rPr>
          <w:lang w:val="en-US" w:eastAsia="ru-RU"/>
        </w:rPr>
        <w:instrText>ba</w:instrText>
      </w:r>
      <w:r w:rsidR="00A6794A" w:rsidRPr="00D3550C">
        <w:rPr>
          <w:lang w:eastAsia="ru-RU"/>
        </w:rPr>
        <w:instrText>4</w:instrText>
      </w:r>
      <w:r w:rsidR="00A6794A">
        <w:rPr>
          <w:lang w:val="en-US" w:eastAsia="ru-RU"/>
        </w:rPr>
        <w:instrText>d</w:instrText>
      </w:r>
      <w:r w:rsidR="00A6794A" w:rsidRPr="00D3550C">
        <w:rPr>
          <w:lang w:eastAsia="ru-RU"/>
        </w:rPr>
        <w:instrText>-891955</w:instrText>
      </w:r>
      <w:r w:rsidR="00A6794A">
        <w:rPr>
          <w:lang w:val="en-US" w:eastAsia="ru-RU"/>
        </w:rPr>
        <w:instrText>a</w:instrText>
      </w:r>
      <w:r w:rsidR="00A6794A" w:rsidRPr="00D3550C">
        <w:rPr>
          <w:lang w:eastAsia="ru-RU"/>
        </w:rPr>
        <w:instrText>938</w:instrText>
      </w:r>
      <w:r w:rsidR="00A6794A">
        <w:rPr>
          <w:lang w:val="en-US" w:eastAsia="ru-RU"/>
        </w:rPr>
        <w:instrText>a</w:instrText>
      </w:r>
      <w:r w:rsidR="00A6794A" w:rsidRPr="00D3550C">
        <w:rPr>
          <w:lang w:eastAsia="ru-RU"/>
        </w:rPr>
        <w:instrText>1"]}],"</w:instrText>
      </w:r>
      <w:r w:rsidR="00A6794A">
        <w:rPr>
          <w:lang w:val="en-US" w:eastAsia="ru-RU"/>
        </w:rPr>
        <w:instrText>mendeley</w:instrText>
      </w:r>
      <w:r w:rsidR="00A6794A" w:rsidRPr="00D3550C">
        <w:rPr>
          <w:lang w:eastAsia="ru-RU"/>
        </w:rPr>
        <w:instrText>":{"</w:instrText>
      </w:r>
      <w:r w:rsidR="00A6794A">
        <w:rPr>
          <w:lang w:val="en-US" w:eastAsia="ru-RU"/>
        </w:rPr>
        <w:instrText>formattedCitation</w:instrText>
      </w:r>
      <w:r w:rsidR="00A6794A" w:rsidRPr="00D3550C">
        <w:rPr>
          <w:lang w:eastAsia="ru-RU"/>
        </w:rPr>
        <w:instrText>":"[205–208]","</w:instrText>
      </w:r>
      <w:r w:rsidR="00A6794A">
        <w:rPr>
          <w:lang w:val="en-US" w:eastAsia="ru-RU"/>
        </w:rPr>
        <w:instrText>plainTextFormattedCitation</w:instrText>
      </w:r>
      <w:r w:rsidR="00A6794A" w:rsidRPr="00D3550C">
        <w:rPr>
          <w:lang w:eastAsia="ru-RU"/>
        </w:rPr>
        <w:instrText>":"[205–208]","</w:instrText>
      </w:r>
      <w:r w:rsidR="00A6794A">
        <w:rPr>
          <w:lang w:val="en-US" w:eastAsia="ru-RU"/>
        </w:rPr>
        <w:instrText>previouslyFormattedCitation</w:instrText>
      </w:r>
      <w:r w:rsidR="00A6794A" w:rsidRPr="00D3550C">
        <w:rPr>
          <w:lang w:eastAsia="ru-RU"/>
        </w:rPr>
        <w:instrText>":"[205–208]"},"</w:instrText>
      </w:r>
      <w:r w:rsidR="00A6794A">
        <w:rPr>
          <w:lang w:val="en-US" w:eastAsia="ru-RU"/>
        </w:rPr>
        <w:instrText>properties</w:instrText>
      </w:r>
      <w:r w:rsidR="00A6794A" w:rsidRPr="00D3550C">
        <w:rPr>
          <w:lang w:eastAsia="ru-RU"/>
        </w:rPr>
        <w:instrText>":{"</w:instrText>
      </w:r>
      <w:r w:rsidR="00A6794A">
        <w:rPr>
          <w:lang w:val="en-US" w:eastAsia="ru-RU"/>
        </w:rPr>
        <w:instrText>noteIndex</w:instrText>
      </w:r>
      <w:r w:rsidR="00A6794A" w:rsidRPr="00D3550C">
        <w:rPr>
          <w:lang w:eastAsia="ru-RU"/>
        </w:rPr>
        <w:instrText>":0},"</w:instrText>
      </w:r>
      <w:r w:rsidR="00A6794A">
        <w:rPr>
          <w:lang w:val="en-US" w:eastAsia="ru-RU"/>
        </w:rPr>
        <w:instrText>schema</w:instrText>
      </w:r>
      <w:r w:rsidR="00A6794A" w:rsidRPr="00D3550C">
        <w:rPr>
          <w:lang w:eastAsia="ru-RU"/>
        </w:rPr>
        <w:instrText>":"</w:instrText>
      </w:r>
      <w:r w:rsidR="00A6794A">
        <w:rPr>
          <w:lang w:val="en-US" w:eastAsia="ru-RU"/>
        </w:rPr>
        <w:instrText>https</w:instrText>
      </w:r>
      <w:r w:rsidR="00A6794A" w:rsidRPr="00D3550C">
        <w:rPr>
          <w:lang w:eastAsia="ru-RU"/>
        </w:rPr>
        <w:instrText>://</w:instrText>
      </w:r>
      <w:r w:rsidR="00A6794A">
        <w:rPr>
          <w:lang w:val="en-US" w:eastAsia="ru-RU"/>
        </w:rPr>
        <w:instrText>github</w:instrText>
      </w:r>
      <w:r w:rsidR="00A6794A" w:rsidRPr="00D3550C">
        <w:rPr>
          <w:lang w:eastAsia="ru-RU"/>
        </w:rPr>
        <w:instrText>.</w:instrText>
      </w:r>
      <w:r w:rsidR="00A6794A">
        <w:rPr>
          <w:lang w:val="en-US" w:eastAsia="ru-RU"/>
        </w:rPr>
        <w:instrText>com</w:instrText>
      </w:r>
      <w:r w:rsidR="00A6794A" w:rsidRPr="00D3550C">
        <w:rPr>
          <w:lang w:eastAsia="ru-RU"/>
        </w:rPr>
        <w:instrText>/</w:instrText>
      </w:r>
      <w:r w:rsidR="00A6794A">
        <w:rPr>
          <w:lang w:val="en-US" w:eastAsia="ru-RU"/>
        </w:rPr>
        <w:instrText>citation</w:instrText>
      </w:r>
      <w:r w:rsidR="00A6794A" w:rsidRPr="00D3550C">
        <w:rPr>
          <w:lang w:eastAsia="ru-RU"/>
        </w:rPr>
        <w:instrText>-</w:instrText>
      </w:r>
      <w:r w:rsidR="00A6794A">
        <w:rPr>
          <w:lang w:val="en-US" w:eastAsia="ru-RU"/>
        </w:rPr>
        <w:instrText>style</w:instrText>
      </w:r>
      <w:r w:rsidR="00A6794A" w:rsidRPr="00D3550C">
        <w:rPr>
          <w:lang w:eastAsia="ru-RU"/>
        </w:rPr>
        <w:instrText>-</w:instrText>
      </w:r>
      <w:r w:rsidR="00A6794A">
        <w:rPr>
          <w:lang w:val="en-US" w:eastAsia="ru-RU"/>
        </w:rPr>
        <w:instrText>language</w:instrText>
      </w:r>
      <w:r w:rsidR="00A6794A" w:rsidRPr="00D3550C">
        <w:rPr>
          <w:lang w:eastAsia="ru-RU"/>
        </w:rPr>
        <w:instrText>/</w:instrText>
      </w:r>
      <w:r w:rsidR="00A6794A">
        <w:rPr>
          <w:lang w:val="en-US" w:eastAsia="ru-RU"/>
        </w:rPr>
        <w:instrText>schema</w:instrText>
      </w:r>
      <w:r w:rsidR="00A6794A" w:rsidRPr="00D3550C">
        <w:rPr>
          <w:lang w:eastAsia="ru-RU"/>
        </w:rPr>
        <w:instrText>/</w:instrText>
      </w:r>
      <w:r w:rsidR="00A6794A">
        <w:rPr>
          <w:lang w:val="en-US" w:eastAsia="ru-RU"/>
        </w:rPr>
        <w:instrText>raw</w:instrText>
      </w:r>
      <w:r w:rsidR="00A6794A" w:rsidRPr="00D3550C">
        <w:rPr>
          <w:lang w:eastAsia="ru-RU"/>
        </w:rPr>
        <w:instrText>/</w:instrText>
      </w:r>
      <w:r w:rsidR="00A6794A">
        <w:rPr>
          <w:lang w:val="en-US" w:eastAsia="ru-RU"/>
        </w:rPr>
        <w:instrText>master</w:instrText>
      </w:r>
      <w:r w:rsidR="00A6794A" w:rsidRPr="00D3550C">
        <w:rPr>
          <w:lang w:eastAsia="ru-RU"/>
        </w:rPr>
        <w:instrText>/</w:instrText>
      </w:r>
      <w:r w:rsidR="00A6794A">
        <w:rPr>
          <w:lang w:val="en-US" w:eastAsia="ru-RU"/>
        </w:rPr>
        <w:instrText>csl</w:instrText>
      </w:r>
      <w:r w:rsidR="00A6794A" w:rsidRPr="00D3550C">
        <w:rPr>
          <w:lang w:eastAsia="ru-RU"/>
        </w:rPr>
        <w:instrText>-</w:instrText>
      </w:r>
      <w:r w:rsidR="00A6794A">
        <w:rPr>
          <w:lang w:val="en-US" w:eastAsia="ru-RU"/>
        </w:rPr>
        <w:instrText>citation</w:instrText>
      </w:r>
      <w:r w:rsidR="00A6794A" w:rsidRPr="00D3550C">
        <w:rPr>
          <w:lang w:eastAsia="ru-RU"/>
        </w:rPr>
        <w:instrText>.</w:instrText>
      </w:r>
      <w:r w:rsidR="00A6794A">
        <w:rPr>
          <w:lang w:val="en-US" w:eastAsia="ru-RU"/>
        </w:rPr>
        <w:instrText>json</w:instrText>
      </w:r>
      <w:r w:rsidR="00A6794A" w:rsidRPr="00D3550C">
        <w:rPr>
          <w:lang w:eastAsia="ru-RU"/>
        </w:rPr>
        <w:instrText>"}</w:instrText>
      </w:r>
      <w:r w:rsidRPr="000322E4">
        <w:rPr>
          <w:lang w:val="en-US" w:eastAsia="ru-RU"/>
        </w:rPr>
        <w:fldChar w:fldCharType="separate"/>
      </w:r>
      <w:r w:rsidR="006E1902" w:rsidRPr="006E1902">
        <w:rPr>
          <w:noProof/>
          <w:lang w:eastAsia="ru-RU"/>
        </w:rPr>
        <w:t>[205–208]</w:t>
      </w:r>
      <w:r w:rsidRPr="000322E4">
        <w:rPr>
          <w:lang w:val="en-US" w:eastAsia="ru-RU"/>
        </w:rPr>
        <w:fldChar w:fldCharType="end"/>
      </w:r>
    </w:p>
    <w:p w14:paraId="4FA8B896" w14:textId="77777777" w:rsidR="00666D68" w:rsidRPr="00293AC8" w:rsidRDefault="00666D68" w:rsidP="008E3584">
      <w:pPr>
        <w:numPr>
          <w:ilvl w:val="0"/>
          <w:numId w:val="41"/>
        </w:numPr>
        <w:spacing w:line="360" w:lineRule="auto"/>
        <w:jc w:val="both"/>
      </w:pPr>
      <w:r w:rsidRPr="000322E4">
        <w:t>Циклофосфамид</w:t>
      </w:r>
      <w:r w:rsidRPr="00293AC8">
        <w:rPr>
          <w:bCs/>
        </w:rPr>
        <w:t>**</w:t>
      </w:r>
      <w:r w:rsidRPr="00293AC8">
        <w:t xml:space="preserve"> 750 </w:t>
      </w:r>
      <w:r w:rsidRPr="000322E4">
        <w:t>мг</w:t>
      </w:r>
      <w:r w:rsidRPr="00293AC8">
        <w:t>/</w:t>
      </w:r>
      <w:r w:rsidRPr="000322E4">
        <w:t>м</w:t>
      </w:r>
      <w:r w:rsidRPr="00293AC8">
        <w:rPr>
          <w:vertAlign w:val="superscript"/>
        </w:rPr>
        <w:t>2</w:t>
      </w:r>
      <w:r w:rsidRPr="00293AC8">
        <w:t xml:space="preserve"> </w:t>
      </w:r>
      <w:r w:rsidRPr="000322E4">
        <w:t>в</w:t>
      </w:r>
      <w:r w:rsidRPr="00293AC8">
        <w:t>/</w:t>
      </w:r>
      <w:r w:rsidRPr="000322E4">
        <w:t>в</w:t>
      </w:r>
      <w:r w:rsidRPr="00293AC8">
        <w:t xml:space="preserve"> </w:t>
      </w:r>
      <w:r w:rsidRPr="000322E4">
        <w:t>кап</w:t>
      </w:r>
      <w:r w:rsidRPr="00293AC8">
        <w:t xml:space="preserve">., </w:t>
      </w:r>
      <w:r w:rsidRPr="000322E4">
        <w:t>день</w:t>
      </w:r>
      <w:r w:rsidRPr="00293AC8">
        <w:t xml:space="preserve"> 1</w:t>
      </w:r>
    </w:p>
    <w:p w14:paraId="16BE243E" w14:textId="77777777" w:rsidR="00666D68" w:rsidRPr="00293AC8" w:rsidRDefault="00666D68" w:rsidP="008E3584">
      <w:pPr>
        <w:numPr>
          <w:ilvl w:val="0"/>
          <w:numId w:val="41"/>
        </w:numPr>
        <w:spacing w:line="360" w:lineRule="auto"/>
        <w:jc w:val="both"/>
        <w:rPr>
          <w:b/>
          <w:bCs/>
        </w:rPr>
      </w:pPr>
      <w:r w:rsidRPr="000322E4">
        <w:t>Пегилированный</w:t>
      </w:r>
      <w:r w:rsidRPr="00293AC8">
        <w:t xml:space="preserve"> </w:t>
      </w:r>
      <w:r w:rsidRPr="000322E4">
        <w:t>липосомальный</w:t>
      </w:r>
      <w:r w:rsidRPr="00293AC8">
        <w:t xml:space="preserve"> </w:t>
      </w:r>
      <w:r w:rsidRPr="000322E4">
        <w:t>доксорубицин</w:t>
      </w:r>
      <w:r w:rsidRPr="00293AC8">
        <w:t xml:space="preserve">** 30 </w:t>
      </w:r>
      <w:r w:rsidRPr="000322E4">
        <w:t>мг</w:t>
      </w:r>
      <w:r w:rsidRPr="00293AC8">
        <w:t>/</w:t>
      </w:r>
      <w:r w:rsidRPr="000322E4">
        <w:t>м</w:t>
      </w:r>
      <w:r w:rsidRPr="00293AC8">
        <w:rPr>
          <w:vertAlign w:val="superscript"/>
        </w:rPr>
        <w:t>2</w:t>
      </w:r>
      <w:r w:rsidRPr="00293AC8">
        <w:t xml:space="preserve"> </w:t>
      </w:r>
      <w:r w:rsidRPr="000322E4">
        <w:t>в</w:t>
      </w:r>
      <w:r w:rsidRPr="00293AC8">
        <w:t>/</w:t>
      </w:r>
      <w:r w:rsidRPr="000322E4">
        <w:t>в</w:t>
      </w:r>
      <w:r w:rsidRPr="00293AC8">
        <w:t xml:space="preserve"> </w:t>
      </w:r>
      <w:r w:rsidRPr="000322E4">
        <w:t>кап</w:t>
      </w:r>
      <w:r w:rsidRPr="00293AC8">
        <w:t xml:space="preserve">., </w:t>
      </w:r>
      <w:r w:rsidRPr="000322E4">
        <w:t>день</w:t>
      </w:r>
      <w:r w:rsidRPr="00293AC8">
        <w:t xml:space="preserve"> 1</w:t>
      </w:r>
    </w:p>
    <w:p w14:paraId="17811885" w14:textId="77777777" w:rsidR="00666D68" w:rsidRPr="00293AC8" w:rsidRDefault="00F35A3E" w:rsidP="008E3584">
      <w:pPr>
        <w:numPr>
          <w:ilvl w:val="0"/>
          <w:numId w:val="41"/>
        </w:numPr>
        <w:spacing w:line="360" w:lineRule="auto"/>
        <w:jc w:val="both"/>
      </w:pPr>
      <w:r w:rsidRPr="00293AC8">
        <w:t>#</w:t>
      </w:r>
      <w:r w:rsidR="00666D68" w:rsidRPr="000322E4">
        <w:t>Винкристин</w:t>
      </w:r>
      <w:r w:rsidR="00666D68" w:rsidRPr="00293AC8">
        <w:t xml:space="preserve">** </w:t>
      </w:r>
      <w:r w:rsidR="006409DD" w:rsidRPr="00293AC8">
        <w:t xml:space="preserve">2 </w:t>
      </w:r>
      <w:r w:rsidR="00666D68" w:rsidRPr="000322E4">
        <w:t>мг</w:t>
      </w:r>
      <w:r w:rsidR="006409DD" w:rsidRPr="00293AC8">
        <w:t xml:space="preserve"> </w:t>
      </w:r>
      <w:r w:rsidR="00666D68" w:rsidRPr="000322E4">
        <w:t>в</w:t>
      </w:r>
      <w:r w:rsidR="00666D68" w:rsidRPr="00293AC8">
        <w:t>/</w:t>
      </w:r>
      <w:r w:rsidR="00666D68" w:rsidRPr="000322E4">
        <w:t>в</w:t>
      </w:r>
      <w:r w:rsidR="00666D68" w:rsidRPr="00293AC8">
        <w:t xml:space="preserve">, </w:t>
      </w:r>
      <w:r w:rsidR="00666D68" w:rsidRPr="000322E4">
        <w:t>день</w:t>
      </w:r>
      <w:r w:rsidR="00666D68" w:rsidRPr="00293AC8">
        <w:t xml:space="preserve"> 1</w:t>
      </w:r>
    </w:p>
    <w:p w14:paraId="4E96706C" w14:textId="77777777" w:rsidR="00666D68" w:rsidRPr="00293AC8" w:rsidRDefault="00666D68" w:rsidP="008E3584">
      <w:pPr>
        <w:numPr>
          <w:ilvl w:val="0"/>
          <w:numId w:val="41"/>
        </w:numPr>
        <w:spacing w:line="360" w:lineRule="auto"/>
        <w:jc w:val="both"/>
      </w:pPr>
      <w:r w:rsidRPr="000322E4">
        <w:t>Преднизолон</w:t>
      </w:r>
      <w:r w:rsidRPr="00293AC8">
        <w:t xml:space="preserve">** 60 </w:t>
      </w:r>
      <w:r w:rsidRPr="000322E4">
        <w:t>мг</w:t>
      </w:r>
      <w:r w:rsidRPr="00293AC8">
        <w:t>/</w:t>
      </w:r>
      <w:r w:rsidRPr="000322E4">
        <w:t>м</w:t>
      </w:r>
      <w:r w:rsidRPr="00293AC8">
        <w:rPr>
          <w:vertAlign w:val="superscript"/>
        </w:rPr>
        <w:t>2</w:t>
      </w:r>
      <w:r w:rsidRPr="00293AC8">
        <w:t xml:space="preserve"> </w:t>
      </w:r>
      <w:r w:rsidRPr="000322E4">
        <w:t>внутрь</w:t>
      </w:r>
      <w:r w:rsidRPr="00293AC8">
        <w:t xml:space="preserve">, </w:t>
      </w:r>
      <w:r w:rsidRPr="000322E4">
        <w:t>дни</w:t>
      </w:r>
      <w:r w:rsidRPr="00293AC8">
        <w:t xml:space="preserve"> 1-5</w:t>
      </w:r>
    </w:p>
    <w:p w14:paraId="7C63AB5C" w14:textId="77777777" w:rsidR="00666D68" w:rsidRPr="00293AC8" w:rsidRDefault="00666D68" w:rsidP="008E3584">
      <w:pPr>
        <w:spacing w:line="360" w:lineRule="auto"/>
        <w:jc w:val="both"/>
      </w:pPr>
    </w:p>
    <w:p w14:paraId="16B1D73E" w14:textId="4DC1902E" w:rsidR="00666D68" w:rsidRPr="000322E4" w:rsidRDefault="00666D68" w:rsidP="008E3584">
      <w:pPr>
        <w:spacing w:line="360" w:lineRule="auto"/>
        <w:jc w:val="both"/>
        <w:rPr>
          <w:b/>
          <w:color w:val="00B050"/>
        </w:rPr>
      </w:pPr>
      <w:r w:rsidRPr="000322E4">
        <w:rPr>
          <w:b/>
          <w:lang w:val="en-US"/>
        </w:rPr>
        <w:t>R</w:t>
      </w:r>
      <w:r w:rsidRPr="00293AC8">
        <w:rPr>
          <w:b/>
        </w:rPr>
        <w:t>-</w:t>
      </w:r>
      <w:r w:rsidRPr="000322E4">
        <w:rPr>
          <w:b/>
          <w:lang w:val="en-US"/>
        </w:rPr>
        <w:t>CHOEP</w:t>
      </w:r>
      <w:r w:rsidRPr="00293AC8">
        <w:rPr>
          <w:b/>
        </w:rPr>
        <w:t xml:space="preserve">  </w:t>
      </w:r>
      <w:r w:rsidRPr="000322E4">
        <w:rPr>
          <w:b/>
          <w:lang w:val="en-US"/>
        </w:rPr>
        <w:fldChar w:fldCharType="begin" w:fldLock="1"/>
      </w:r>
      <w:r w:rsidR="00A6794A">
        <w:rPr>
          <w:b/>
          <w:lang w:val="en-US"/>
        </w:rPr>
        <w:instrText>ADDIN</w:instrText>
      </w:r>
      <w:r w:rsidR="00A6794A" w:rsidRPr="00D3550C">
        <w:rPr>
          <w:b/>
        </w:rPr>
        <w:instrText xml:space="preserve"> </w:instrText>
      </w:r>
      <w:r w:rsidR="00A6794A">
        <w:rPr>
          <w:b/>
          <w:lang w:val="en-US"/>
        </w:rPr>
        <w:instrText>CSL</w:instrText>
      </w:r>
      <w:r w:rsidR="00A6794A" w:rsidRPr="00D3550C">
        <w:rPr>
          <w:b/>
        </w:rPr>
        <w:instrText>_</w:instrText>
      </w:r>
      <w:r w:rsidR="00A6794A">
        <w:rPr>
          <w:b/>
          <w:lang w:val="en-US"/>
        </w:rPr>
        <w:instrText>CITATION</w:instrText>
      </w:r>
      <w:r w:rsidR="00A6794A" w:rsidRPr="00D3550C">
        <w:rPr>
          <w:b/>
        </w:rPr>
        <w:instrText xml:space="preserve"> {"</w:instrText>
      </w:r>
      <w:r w:rsidR="00A6794A">
        <w:rPr>
          <w:b/>
          <w:lang w:val="en-US"/>
        </w:rPr>
        <w:instrText>citationItems</w:instrText>
      </w:r>
      <w:r w:rsidR="00A6794A" w:rsidRPr="00D3550C">
        <w:rPr>
          <w:b/>
        </w:rPr>
        <w:instrText>":[{"</w:instrText>
      </w:r>
      <w:r w:rsidR="00A6794A">
        <w:rPr>
          <w:b/>
          <w:lang w:val="en-US"/>
        </w:rPr>
        <w:instrText>id</w:instrText>
      </w:r>
      <w:r w:rsidR="00A6794A" w:rsidRPr="00D3550C">
        <w:rPr>
          <w:b/>
        </w:rPr>
        <w:instrText>":"</w:instrText>
      </w:r>
      <w:r w:rsidR="00A6794A">
        <w:rPr>
          <w:b/>
          <w:lang w:val="en-US"/>
        </w:rPr>
        <w:instrText>ITEM</w:instrText>
      </w:r>
      <w:r w:rsidR="00A6794A" w:rsidRPr="00D3550C">
        <w:rPr>
          <w:b/>
        </w:rPr>
        <w:instrText>-1","</w:instrText>
      </w:r>
      <w:r w:rsidR="00A6794A">
        <w:rPr>
          <w:b/>
          <w:lang w:val="en-US"/>
        </w:rPr>
        <w:instrText>itemData</w:instrText>
      </w:r>
      <w:r w:rsidR="00A6794A" w:rsidRPr="00D3550C">
        <w:rPr>
          <w:b/>
        </w:rPr>
        <w:instrText>":{"</w:instrText>
      </w:r>
      <w:r w:rsidR="00A6794A">
        <w:rPr>
          <w:b/>
          <w:lang w:val="en-US"/>
        </w:rPr>
        <w:instrText>DOI</w:instrText>
      </w:r>
      <w:r w:rsidR="00A6794A" w:rsidRPr="00D3550C">
        <w:rPr>
          <w:b/>
        </w:rPr>
        <w:instrText>":"10.1093/</w:instrText>
      </w:r>
      <w:r w:rsidR="00A6794A">
        <w:rPr>
          <w:b/>
          <w:lang w:val="en-US"/>
        </w:rPr>
        <w:instrText>annonc</w:instrText>
      </w:r>
      <w:r w:rsidR="00A6794A" w:rsidRPr="00D3550C">
        <w:rPr>
          <w:b/>
        </w:rPr>
        <w:instrText>/</w:instrText>
      </w:r>
      <w:r w:rsidR="00A6794A">
        <w:rPr>
          <w:b/>
          <w:lang w:val="en-US"/>
        </w:rPr>
        <w:instrText>mdr</w:instrText>
      </w:r>
      <w:r w:rsidR="00A6794A" w:rsidRPr="00D3550C">
        <w:rPr>
          <w:b/>
        </w:rPr>
        <w:instrText>058","</w:instrText>
      </w:r>
      <w:r w:rsidR="00A6794A">
        <w:rPr>
          <w:b/>
          <w:lang w:val="en-US"/>
        </w:rPr>
        <w:instrText>ISSN</w:instrText>
      </w:r>
      <w:r w:rsidR="00A6794A" w:rsidRPr="00D3550C">
        <w:rPr>
          <w:b/>
        </w:rPr>
        <w:instrText>":"1569-8041","</w:instrText>
      </w:r>
      <w:r w:rsidR="00A6794A">
        <w:rPr>
          <w:b/>
          <w:lang w:val="en-US"/>
        </w:rPr>
        <w:instrText>PMID</w:instrText>
      </w:r>
      <w:r w:rsidR="00A6794A" w:rsidRPr="00D3550C">
        <w:rPr>
          <w:b/>
        </w:rPr>
        <w:instrText>":"21460380","</w:instrText>
      </w:r>
      <w:r w:rsidR="00A6794A">
        <w:rPr>
          <w:b/>
          <w:lang w:val="en-US"/>
        </w:rPr>
        <w:instrText>abstract</w:instrText>
      </w:r>
      <w:r w:rsidR="00A6794A" w:rsidRPr="00D3550C">
        <w:rPr>
          <w:b/>
        </w:rPr>
        <w:instrText>":"</w:instrText>
      </w:r>
      <w:r w:rsidR="00A6794A">
        <w:rPr>
          <w:b/>
          <w:lang w:val="en-US"/>
        </w:rPr>
        <w:instrText>BACKGROUND</w:instrText>
      </w:r>
      <w:r w:rsidR="00A6794A" w:rsidRPr="00D3550C">
        <w:rPr>
          <w:b/>
        </w:rPr>
        <w:instrText xml:space="preserve"> </w:instrText>
      </w:r>
      <w:r w:rsidR="00A6794A">
        <w:rPr>
          <w:b/>
          <w:lang w:val="en-US"/>
        </w:rPr>
        <w:instrText>Optimal</w:instrText>
      </w:r>
      <w:r w:rsidR="00A6794A" w:rsidRPr="00D3550C">
        <w:rPr>
          <w:b/>
        </w:rPr>
        <w:instrText xml:space="preserve"> </w:instrText>
      </w:r>
      <w:r w:rsidR="00A6794A">
        <w:rPr>
          <w:b/>
          <w:lang w:val="en-US"/>
        </w:rPr>
        <w:instrText>treatment</w:instrText>
      </w:r>
      <w:r w:rsidR="00A6794A" w:rsidRPr="00D3550C">
        <w:rPr>
          <w:b/>
        </w:rPr>
        <w:instrText xml:space="preserve"> </w:instrText>
      </w:r>
      <w:r w:rsidR="00A6794A">
        <w:rPr>
          <w:b/>
          <w:lang w:val="en-US"/>
        </w:rPr>
        <w:instrText>of</w:instrText>
      </w:r>
      <w:r w:rsidR="00A6794A" w:rsidRPr="00D3550C">
        <w:rPr>
          <w:b/>
        </w:rPr>
        <w:instrText xml:space="preserve"> </w:instrText>
      </w:r>
      <w:r w:rsidR="00A6794A">
        <w:rPr>
          <w:b/>
          <w:lang w:val="en-US"/>
        </w:rPr>
        <w:instrText>young</w:instrText>
      </w:r>
      <w:r w:rsidR="00A6794A" w:rsidRPr="00D3550C">
        <w:rPr>
          <w:b/>
        </w:rPr>
        <w:instrText xml:space="preserve"> </w:instrText>
      </w:r>
      <w:r w:rsidR="00A6794A">
        <w:rPr>
          <w:b/>
          <w:lang w:val="en-US"/>
        </w:rPr>
        <w:instrText>patients</w:instrText>
      </w:r>
      <w:r w:rsidR="00A6794A" w:rsidRPr="00D3550C">
        <w:rPr>
          <w:b/>
        </w:rPr>
        <w:instrText xml:space="preserve"> </w:instrText>
      </w:r>
      <w:r w:rsidR="00A6794A">
        <w:rPr>
          <w:b/>
          <w:lang w:val="en-US"/>
        </w:rPr>
        <w:instrText>with</w:instrText>
      </w:r>
      <w:r w:rsidR="00A6794A" w:rsidRPr="00D3550C">
        <w:rPr>
          <w:b/>
        </w:rPr>
        <w:instrText xml:space="preserve"> </w:instrText>
      </w:r>
      <w:r w:rsidR="00A6794A">
        <w:rPr>
          <w:b/>
          <w:lang w:val="en-US"/>
        </w:rPr>
        <w:instrText>high</w:instrText>
      </w:r>
      <w:r w:rsidR="00A6794A" w:rsidRPr="00D3550C">
        <w:rPr>
          <w:b/>
        </w:rPr>
        <w:instrText>-</w:instrText>
      </w:r>
      <w:r w:rsidR="00A6794A">
        <w:rPr>
          <w:b/>
          <w:lang w:val="en-US"/>
        </w:rPr>
        <w:instrText>risk</w:instrText>
      </w:r>
      <w:r w:rsidR="00A6794A" w:rsidRPr="00D3550C">
        <w:rPr>
          <w:b/>
        </w:rPr>
        <w:instrText xml:space="preserve"> </w:instrText>
      </w:r>
      <w:r w:rsidR="00A6794A">
        <w:rPr>
          <w:b/>
          <w:lang w:val="en-US"/>
        </w:rPr>
        <w:instrText>diffuse</w:instrText>
      </w:r>
      <w:r w:rsidR="00A6794A" w:rsidRPr="00D3550C">
        <w:rPr>
          <w:b/>
        </w:rPr>
        <w:instrText xml:space="preserve"> </w:instrText>
      </w:r>
      <w:r w:rsidR="00A6794A">
        <w:rPr>
          <w:b/>
          <w:lang w:val="en-US"/>
        </w:rPr>
        <w:instrText>large</w:instrText>
      </w:r>
      <w:r w:rsidR="00A6794A" w:rsidRPr="00D3550C">
        <w:rPr>
          <w:b/>
        </w:rPr>
        <w:instrText xml:space="preserve"> </w:instrText>
      </w:r>
      <w:r w:rsidR="00A6794A">
        <w:rPr>
          <w:b/>
          <w:lang w:val="en-US"/>
        </w:rPr>
        <w:instrText>B</w:instrText>
      </w:r>
      <w:r w:rsidR="00A6794A" w:rsidRPr="00D3550C">
        <w:rPr>
          <w:b/>
        </w:rPr>
        <w:instrText>-</w:instrText>
      </w:r>
      <w:r w:rsidR="00A6794A">
        <w:rPr>
          <w:b/>
          <w:lang w:val="en-US"/>
        </w:rPr>
        <w:instrText>cell</w:instrText>
      </w:r>
      <w:r w:rsidR="00A6794A" w:rsidRPr="00D3550C">
        <w:rPr>
          <w:b/>
        </w:rPr>
        <w:instrText xml:space="preserve"> </w:instrText>
      </w:r>
      <w:r w:rsidR="00A6794A">
        <w:rPr>
          <w:b/>
          <w:lang w:val="en-US"/>
        </w:rPr>
        <w:instrText>lymphoma</w:instrText>
      </w:r>
      <w:r w:rsidR="00A6794A" w:rsidRPr="00D3550C">
        <w:rPr>
          <w:b/>
        </w:rPr>
        <w:instrText xml:space="preserve"> (</w:instrText>
      </w:r>
      <w:r w:rsidR="00A6794A">
        <w:rPr>
          <w:b/>
          <w:lang w:val="en-US"/>
        </w:rPr>
        <w:instrText>DLBCL</w:instrText>
      </w:r>
      <w:r w:rsidR="00A6794A" w:rsidRPr="00D3550C">
        <w:rPr>
          <w:b/>
        </w:rPr>
        <w:instrText xml:space="preserve">) </w:instrText>
      </w:r>
      <w:r w:rsidR="00A6794A">
        <w:rPr>
          <w:b/>
          <w:lang w:val="en-US"/>
        </w:rPr>
        <w:instrText>remains</w:instrText>
      </w:r>
      <w:r w:rsidR="00A6794A" w:rsidRPr="00D3550C">
        <w:rPr>
          <w:b/>
        </w:rPr>
        <w:instrText xml:space="preserve"> </w:instrText>
      </w:r>
      <w:r w:rsidR="00A6794A">
        <w:rPr>
          <w:b/>
          <w:lang w:val="en-US"/>
        </w:rPr>
        <w:instrText>a</w:instrText>
      </w:r>
      <w:r w:rsidR="00A6794A" w:rsidRPr="00D3550C">
        <w:rPr>
          <w:b/>
        </w:rPr>
        <w:instrText xml:space="preserve"> </w:instrText>
      </w:r>
      <w:r w:rsidR="00A6794A">
        <w:rPr>
          <w:b/>
          <w:lang w:val="en-US"/>
        </w:rPr>
        <w:instrText>matter</w:instrText>
      </w:r>
      <w:r w:rsidR="00A6794A" w:rsidRPr="00D3550C">
        <w:rPr>
          <w:b/>
        </w:rPr>
        <w:instrText xml:space="preserve"> </w:instrText>
      </w:r>
      <w:r w:rsidR="00A6794A">
        <w:rPr>
          <w:b/>
          <w:lang w:val="en-US"/>
        </w:rPr>
        <w:instrText>of</w:instrText>
      </w:r>
      <w:r w:rsidR="00A6794A" w:rsidRPr="00D3550C">
        <w:rPr>
          <w:b/>
        </w:rPr>
        <w:instrText xml:space="preserve"> </w:instrText>
      </w:r>
      <w:r w:rsidR="00A6794A">
        <w:rPr>
          <w:b/>
          <w:lang w:val="en-US"/>
        </w:rPr>
        <w:instrText>debate</w:instrText>
      </w:r>
      <w:r w:rsidR="00A6794A" w:rsidRPr="00D3550C">
        <w:rPr>
          <w:b/>
        </w:rPr>
        <w:instrText xml:space="preserve"> </w:instrText>
      </w:r>
      <w:r w:rsidR="00A6794A">
        <w:rPr>
          <w:b/>
          <w:lang w:val="en-US"/>
        </w:rPr>
        <w:instrText>and</w:instrText>
      </w:r>
      <w:r w:rsidR="00A6794A" w:rsidRPr="00D3550C">
        <w:rPr>
          <w:b/>
        </w:rPr>
        <w:instrText xml:space="preserve"> </w:instrText>
      </w:r>
      <w:r w:rsidR="00A6794A">
        <w:rPr>
          <w:b/>
          <w:lang w:val="en-US"/>
        </w:rPr>
        <w:instrText>requires</w:instrText>
      </w:r>
      <w:r w:rsidR="00A6794A" w:rsidRPr="00D3550C">
        <w:rPr>
          <w:b/>
        </w:rPr>
        <w:instrText xml:space="preserve"> </w:instrText>
      </w:r>
      <w:r w:rsidR="00A6794A">
        <w:rPr>
          <w:b/>
          <w:lang w:val="en-US"/>
        </w:rPr>
        <w:instrText>improvement</w:instrText>
      </w:r>
      <w:r w:rsidR="00A6794A" w:rsidRPr="00D3550C">
        <w:rPr>
          <w:b/>
        </w:rPr>
        <w:instrText xml:space="preserve">. </w:instrText>
      </w:r>
      <w:r w:rsidR="00A6794A">
        <w:rPr>
          <w:b/>
          <w:lang w:val="en-US"/>
        </w:rPr>
        <w:instrText>The</w:instrText>
      </w:r>
      <w:r w:rsidR="00A6794A" w:rsidRPr="00D3550C">
        <w:rPr>
          <w:b/>
        </w:rPr>
        <w:instrText xml:space="preserve"> </w:instrText>
      </w:r>
      <w:r w:rsidR="00A6794A">
        <w:rPr>
          <w:b/>
          <w:lang w:val="en-US"/>
        </w:rPr>
        <w:instrText>combination</w:instrText>
      </w:r>
      <w:r w:rsidR="00A6794A" w:rsidRPr="00D3550C">
        <w:rPr>
          <w:b/>
        </w:rPr>
        <w:instrText xml:space="preserve"> </w:instrText>
      </w:r>
      <w:r w:rsidR="00A6794A">
        <w:rPr>
          <w:b/>
          <w:lang w:val="en-US"/>
        </w:rPr>
        <w:instrText>chemotherapy</w:instrText>
      </w:r>
      <w:r w:rsidR="00A6794A" w:rsidRPr="00D3550C">
        <w:rPr>
          <w:b/>
        </w:rPr>
        <w:instrText xml:space="preserve"> </w:instrText>
      </w:r>
      <w:r w:rsidR="00A6794A">
        <w:rPr>
          <w:b/>
          <w:lang w:val="en-US"/>
        </w:rPr>
        <w:instrText>with</w:instrText>
      </w:r>
      <w:r w:rsidR="00A6794A" w:rsidRPr="00D3550C">
        <w:rPr>
          <w:b/>
        </w:rPr>
        <w:instrText xml:space="preserve"> </w:instrText>
      </w:r>
      <w:r w:rsidR="00A6794A">
        <w:rPr>
          <w:b/>
          <w:lang w:val="en-US"/>
        </w:rPr>
        <w:instrText>cyclophosphamide</w:instrText>
      </w:r>
      <w:r w:rsidR="00A6794A" w:rsidRPr="00D3550C">
        <w:rPr>
          <w:b/>
        </w:rPr>
        <w:instrText xml:space="preserve">, </w:instrText>
      </w:r>
      <w:r w:rsidR="00A6794A">
        <w:rPr>
          <w:b/>
          <w:lang w:val="en-US"/>
        </w:rPr>
        <w:instrText>doxorubicin</w:instrText>
      </w:r>
      <w:r w:rsidR="00A6794A" w:rsidRPr="00D3550C">
        <w:rPr>
          <w:b/>
        </w:rPr>
        <w:instrText xml:space="preserve">, </w:instrText>
      </w:r>
      <w:r w:rsidR="00A6794A">
        <w:rPr>
          <w:b/>
          <w:lang w:val="en-US"/>
        </w:rPr>
        <w:instrText>vincristine</w:instrText>
      </w:r>
      <w:r w:rsidR="00A6794A" w:rsidRPr="00D3550C">
        <w:rPr>
          <w:b/>
        </w:rPr>
        <w:instrText xml:space="preserve"> </w:instrText>
      </w:r>
      <w:r w:rsidR="00A6794A">
        <w:rPr>
          <w:b/>
          <w:lang w:val="en-US"/>
        </w:rPr>
        <w:instrText>and</w:instrText>
      </w:r>
      <w:r w:rsidR="00A6794A" w:rsidRPr="00D3550C">
        <w:rPr>
          <w:b/>
        </w:rPr>
        <w:instrText xml:space="preserve"> </w:instrText>
      </w:r>
      <w:r w:rsidR="00A6794A">
        <w:rPr>
          <w:b/>
          <w:lang w:val="en-US"/>
        </w:rPr>
        <w:instrText>prednisone</w:instrText>
      </w:r>
      <w:r w:rsidR="00A6794A" w:rsidRPr="00D3550C">
        <w:rPr>
          <w:b/>
        </w:rPr>
        <w:instrText xml:space="preserve"> (</w:instrText>
      </w:r>
      <w:r w:rsidR="00A6794A">
        <w:rPr>
          <w:b/>
          <w:lang w:val="en-US"/>
        </w:rPr>
        <w:instrText>CHOP</w:instrText>
      </w:r>
      <w:r w:rsidR="00A6794A" w:rsidRPr="00D3550C">
        <w:rPr>
          <w:b/>
        </w:rPr>
        <w:instrText xml:space="preserve">) </w:instrText>
      </w:r>
      <w:r w:rsidR="00A6794A">
        <w:rPr>
          <w:b/>
          <w:lang w:val="en-US"/>
        </w:rPr>
        <w:instrText>with</w:instrText>
      </w:r>
      <w:r w:rsidR="00A6794A" w:rsidRPr="00D3550C">
        <w:rPr>
          <w:b/>
        </w:rPr>
        <w:instrText xml:space="preserve"> </w:instrText>
      </w:r>
      <w:r w:rsidR="00A6794A">
        <w:rPr>
          <w:b/>
          <w:lang w:val="en-US"/>
        </w:rPr>
        <w:instrText>addition</w:instrText>
      </w:r>
      <w:r w:rsidR="00A6794A" w:rsidRPr="00D3550C">
        <w:rPr>
          <w:b/>
        </w:rPr>
        <w:instrText xml:space="preserve"> </w:instrText>
      </w:r>
      <w:r w:rsidR="00A6794A">
        <w:rPr>
          <w:b/>
          <w:lang w:val="en-US"/>
        </w:rPr>
        <w:instrText>of</w:instrText>
      </w:r>
      <w:r w:rsidR="00A6794A" w:rsidRPr="00D3550C">
        <w:rPr>
          <w:b/>
        </w:rPr>
        <w:instrText xml:space="preserve"> </w:instrText>
      </w:r>
      <w:r w:rsidR="00A6794A">
        <w:rPr>
          <w:b/>
          <w:lang w:val="en-US"/>
        </w:rPr>
        <w:instrText>etoposide</w:instrText>
      </w:r>
      <w:r w:rsidR="00A6794A" w:rsidRPr="00D3550C">
        <w:rPr>
          <w:b/>
        </w:rPr>
        <w:instrText xml:space="preserve"> (</w:instrText>
      </w:r>
      <w:r w:rsidR="00A6794A">
        <w:rPr>
          <w:b/>
          <w:lang w:val="en-US"/>
        </w:rPr>
        <w:instrText>CHOEP</w:instrText>
      </w:r>
      <w:r w:rsidR="00A6794A" w:rsidRPr="00D3550C">
        <w:rPr>
          <w:b/>
        </w:rPr>
        <w:instrText xml:space="preserve">) </w:instrText>
      </w:r>
      <w:r w:rsidR="00A6794A">
        <w:rPr>
          <w:b/>
          <w:lang w:val="en-US"/>
        </w:rPr>
        <w:instrText>has</w:instrText>
      </w:r>
      <w:r w:rsidR="00A6794A" w:rsidRPr="00D3550C">
        <w:rPr>
          <w:b/>
        </w:rPr>
        <w:instrText xml:space="preserve"> </w:instrText>
      </w:r>
      <w:r w:rsidR="00A6794A">
        <w:rPr>
          <w:b/>
          <w:lang w:val="en-US"/>
        </w:rPr>
        <w:instrText>in</w:instrText>
      </w:r>
      <w:r w:rsidR="00A6794A" w:rsidRPr="00D3550C">
        <w:rPr>
          <w:b/>
        </w:rPr>
        <w:instrText xml:space="preserve"> </w:instrText>
      </w:r>
      <w:r w:rsidR="00A6794A">
        <w:rPr>
          <w:b/>
          <w:lang w:val="en-US"/>
        </w:rPr>
        <w:instrText>other</w:instrText>
      </w:r>
      <w:r w:rsidR="00A6794A" w:rsidRPr="00D3550C">
        <w:rPr>
          <w:b/>
        </w:rPr>
        <w:instrText xml:space="preserve"> </w:instrText>
      </w:r>
      <w:r w:rsidR="00A6794A">
        <w:rPr>
          <w:b/>
          <w:lang w:val="en-US"/>
        </w:rPr>
        <w:instrText>patient</w:instrText>
      </w:r>
      <w:r w:rsidR="00A6794A" w:rsidRPr="00D3550C">
        <w:rPr>
          <w:b/>
        </w:rPr>
        <w:instrText xml:space="preserve"> </w:instrText>
      </w:r>
      <w:r w:rsidR="00A6794A">
        <w:rPr>
          <w:b/>
          <w:lang w:val="en-US"/>
        </w:rPr>
        <w:instrText>groups</w:instrText>
      </w:r>
      <w:r w:rsidR="00A6794A" w:rsidRPr="00D3550C">
        <w:rPr>
          <w:b/>
        </w:rPr>
        <w:instrText xml:space="preserve"> </w:instrText>
      </w:r>
      <w:r w:rsidR="00A6794A">
        <w:rPr>
          <w:b/>
          <w:lang w:val="en-US"/>
        </w:rPr>
        <w:instrText>been</w:instrText>
      </w:r>
      <w:r w:rsidR="00A6794A" w:rsidRPr="00D3550C">
        <w:rPr>
          <w:b/>
        </w:rPr>
        <w:instrText xml:space="preserve"> </w:instrText>
      </w:r>
      <w:r w:rsidR="00A6794A">
        <w:rPr>
          <w:b/>
          <w:lang w:val="en-US"/>
        </w:rPr>
        <w:instrText>shown</w:instrText>
      </w:r>
      <w:r w:rsidR="00A6794A" w:rsidRPr="00D3550C">
        <w:rPr>
          <w:b/>
        </w:rPr>
        <w:instrText xml:space="preserve"> </w:instrText>
      </w:r>
      <w:r w:rsidR="00A6794A">
        <w:rPr>
          <w:b/>
          <w:lang w:val="en-US"/>
        </w:rPr>
        <w:instrText>to</w:instrText>
      </w:r>
      <w:r w:rsidR="00A6794A" w:rsidRPr="00D3550C">
        <w:rPr>
          <w:b/>
        </w:rPr>
        <w:instrText xml:space="preserve"> </w:instrText>
      </w:r>
      <w:r w:rsidR="00A6794A">
        <w:rPr>
          <w:b/>
          <w:lang w:val="en-US"/>
        </w:rPr>
        <w:instrText>be</w:instrText>
      </w:r>
      <w:r w:rsidR="00A6794A" w:rsidRPr="00D3550C">
        <w:rPr>
          <w:b/>
        </w:rPr>
        <w:instrText xml:space="preserve"> </w:instrText>
      </w:r>
      <w:r w:rsidR="00A6794A">
        <w:rPr>
          <w:b/>
          <w:lang w:val="en-US"/>
        </w:rPr>
        <w:instrText>effective</w:instrText>
      </w:r>
      <w:r w:rsidR="00A6794A" w:rsidRPr="00D3550C">
        <w:rPr>
          <w:b/>
        </w:rPr>
        <w:instrText xml:space="preserve">. </w:instrText>
      </w:r>
      <w:r w:rsidR="00A6794A">
        <w:rPr>
          <w:b/>
          <w:lang w:val="en-US"/>
        </w:rPr>
        <w:instrText>Further</w:instrText>
      </w:r>
      <w:r w:rsidR="00A6794A" w:rsidRPr="00D3550C">
        <w:rPr>
          <w:b/>
        </w:rPr>
        <w:instrText xml:space="preserve"> </w:instrText>
      </w:r>
      <w:r w:rsidR="00A6794A">
        <w:rPr>
          <w:b/>
          <w:lang w:val="en-US"/>
        </w:rPr>
        <w:instrText>improvement</w:instrText>
      </w:r>
      <w:r w:rsidR="00A6794A" w:rsidRPr="00D3550C">
        <w:rPr>
          <w:b/>
        </w:rPr>
        <w:instrText xml:space="preserve"> </w:instrText>
      </w:r>
      <w:r w:rsidR="00A6794A">
        <w:rPr>
          <w:b/>
          <w:lang w:val="en-US"/>
        </w:rPr>
        <w:instrText>has</w:instrText>
      </w:r>
      <w:r w:rsidR="00A6794A" w:rsidRPr="00D3550C">
        <w:rPr>
          <w:b/>
        </w:rPr>
        <w:instrText xml:space="preserve"> </w:instrText>
      </w:r>
      <w:r w:rsidR="00A6794A">
        <w:rPr>
          <w:b/>
          <w:lang w:val="en-US"/>
        </w:rPr>
        <w:instrText>been</w:instrText>
      </w:r>
      <w:r w:rsidR="00A6794A" w:rsidRPr="00D3550C">
        <w:rPr>
          <w:b/>
        </w:rPr>
        <w:instrText xml:space="preserve"> </w:instrText>
      </w:r>
      <w:r w:rsidR="00A6794A">
        <w:rPr>
          <w:b/>
          <w:lang w:val="en-US"/>
        </w:rPr>
        <w:instrText>accomplished</w:instrText>
      </w:r>
      <w:r w:rsidR="00A6794A" w:rsidRPr="00D3550C">
        <w:rPr>
          <w:b/>
        </w:rPr>
        <w:instrText xml:space="preserve"> </w:instrText>
      </w:r>
      <w:r w:rsidR="00A6794A">
        <w:rPr>
          <w:b/>
          <w:lang w:val="en-US"/>
        </w:rPr>
        <w:instrText>with</w:instrText>
      </w:r>
      <w:r w:rsidR="00A6794A" w:rsidRPr="00D3550C">
        <w:rPr>
          <w:b/>
        </w:rPr>
        <w:instrText xml:space="preserve"> </w:instrText>
      </w:r>
      <w:r w:rsidR="00A6794A">
        <w:rPr>
          <w:b/>
          <w:lang w:val="en-US"/>
        </w:rPr>
        <w:instrText>the</w:instrText>
      </w:r>
      <w:r w:rsidR="00A6794A" w:rsidRPr="00D3550C">
        <w:rPr>
          <w:b/>
        </w:rPr>
        <w:instrText xml:space="preserve"> </w:instrText>
      </w:r>
      <w:r w:rsidR="00A6794A">
        <w:rPr>
          <w:b/>
          <w:lang w:val="en-US"/>
        </w:rPr>
        <w:instrText>use</w:instrText>
      </w:r>
      <w:r w:rsidR="00A6794A" w:rsidRPr="00D3550C">
        <w:rPr>
          <w:b/>
        </w:rPr>
        <w:instrText xml:space="preserve"> </w:instrText>
      </w:r>
      <w:r w:rsidR="00A6794A">
        <w:rPr>
          <w:b/>
          <w:lang w:val="en-US"/>
        </w:rPr>
        <w:instrText>of</w:instrText>
      </w:r>
      <w:r w:rsidR="00A6794A" w:rsidRPr="00D3550C">
        <w:rPr>
          <w:b/>
        </w:rPr>
        <w:instrText xml:space="preserve"> </w:instrText>
      </w:r>
      <w:r w:rsidR="00A6794A">
        <w:rPr>
          <w:b/>
          <w:lang w:val="en-US"/>
        </w:rPr>
        <w:instrText>rituximab</w:instrText>
      </w:r>
      <w:r w:rsidR="00A6794A" w:rsidRPr="00D3550C">
        <w:rPr>
          <w:b/>
        </w:rPr>
        <w:instrText xml:space="preserve"> </w:instrText>
      </w:r>
      <w:r w:rsidR="00A6794A">
        <w:rPr>
          <w:b/>
          <w:lang w:val="en-US"/>
        </w:rPr>
        <w:instrText>in</w:instrText>
      </w:r>
      <w:r w:rsidR="00A6794A" w:rsidRPr="00D3550C">
        <w:rPr>
          <w:b/>
        </w:rPr>
        <w:instrText xml:space="preserve"> </w:instrText>
      </w:r>
      <w:r w:rsidR="00A6794A">
        <w:rPr>
          <w:b/>
          <w:lang w:val="en-US"/>
        </w:rPr>
        <w:instrText>combination</w:instrText>
      </w:r>
      <w:r w:rsidR="00A6794A" w:rsidRPr="00D3550C">
        <w:rPr>
          <w:b/>
        </w:rPr>
        <w:instrText xml:space="preserve"> </w:instrText>
      </w:r>
      <w:r w:rsidR="00A6794A">
        <w:rPr>
          <w:b/>
          <w:lang w:val="en-US"/>
        </w:rPr>
        <w:instrText>with</w:instrText>
      </w:r>
      <w:r w:rsidR="00A6794A" w:rsidRPr="00D3550C">
        <w:rPr>
          <w:b/>
        </w:rPr>
        <w:instrText xml:space="preserve"> </w:instrText>
      </w:r>
      <w:r w:rsidR="00A6794A">
        <w:rPr>
          <w:b/>
          <w:lang w:val="en-US"/>
        </w:rPr>
        <w:instrText>the</w:instrText>
      </w:r>
      <w:r w:rsidR="00A6794A" w:rsidRPr="00D3550C">
        <w:rPr>
          <w:b/>
        </w:rPr>
        <w:instrText xml:space="preserve"> </w:instrText>
      </w:r>
      <w:r w:rsidR="00A6794A">
        <w:rPr>
          <w:b/>
          <w:lang w:val="en-US"/>
        </w:rPr>
        <w:instrText>regimens</w:instrText>
      </w:r>
      <w:r w:rsidR="00A6794A" w:rsidRPr="00D3550C">
        <w:rPr>
          <w:b/>
        </w:rPr>
        <w:instrText xml:space="preserve"> </w:instrText>
      </w:r>
      <w:r w:rsidR="00A6794A">
        <w:rPr>
          <w:b/>
          <w:lang w:val="en-US"/>
        </w:rPr>
        <w:instrText>every</w:instrText>
      </w:r>
      <w:r w:rsidR="00A6794A" w:rsidRPr="00D3550C">
        <w:rPr>
          <w:b/>
        </w:rPr>
        <w:instrText xml:space="preserve"> 2 </w:instrText>
      </w:r>
      <w:r w:rsidR="00A6794A">
        <w:rPr>
          <w:b/>
          <w:lang w:val="en-US"/>
        </w:rPr>
        <w:instrText>weeks</w:instrText>
      </w:r>
      <w:r w:rsidR="00A6794A" w:rsidRPr="00D3550C">
        <w:rPr>
          <w:b/>
        </w:rPr>
        <w:instrText xml:space="preserve"> (</w:instrText>
      </w:r>
      <w:r w:rsidR="00A6794A">
        <w:rPr>
          <w:b/>
          <w:lang w:val="en-US"/>
        </w:rPr>
        <w:instrText>R</w:instrText>
      </w:r>
      <w:r w:rsidR="00A6794A" w:rsidRPr="00D3550C">
        <w:rPr>
          <w:b/>
        </w:rPr>
        <w:instrText>-</w:instrText>
      </w:r>
      <w:r w:rsidR="00A6794A">
        <w:rPr>
          <w:b/>
          <w:lang w:val="en-US"/>
        </w:rPr>
        <w:instrText>CHOP</w:instrText>
      </w:r>
      <w:r w:rsidR="00A6794A" w:rsidRPr="00D3550C">
        <w:rPr>
          <w:b/>
        </w:rPr>
        <w:instrText xml:space="preserve">-14, </w:instrText>
      </w:r>
      <w:r w:rsidR="00A6794A">
        <w:rPr>
          <w:b/>
          <w:lang w:val="en-US"/>
        </w:rPr>
        <w:instrText>R</w:instrText>
      </w:r>
      <w:r w:rsidR="00A6794A" w:rsidRPr="00D3550C">
        <w:rPr>
          <w:b/>
        </w:rPr>
        <w:instrText>-</w:instrText>
      </w:r>
      <w:r w:rsidR="00A6794A">
        <w:rPr>
          <w:b/>
          <w:lang w:val="en-US"/>
        </w:rPr>
        <w:instrText>CHOEP</w:instrText>
      </w:r>
      <w:r w:rsidR="00A6794A" w:rsidRPr="00D3550C">
        <w:rPr>
          <w:b/>
        </w:rPr>
        <w:instrText xml:space="preserve">-14). </w:instrText>
      </w:r>
      <w:r w:rsidR="00A6794A">
        <w:rPr>
          <w:b/>
          <w:lang w:val="en-US"/>
        </w:rPr>
        <w:instrText>The</w:instrText>
      </w:r>
      <w:r w:rsidR="00A6794A" w:rsidRPr="00D3550C">
        <w:rPr>
          <w:b/>
        </w:rPr>
        <w:instrText xml:space="preserve"> </w:instrText>
      </w:r>
      <w:r w:rsidR="00A6794A">
        <w:rPr>
          <w:b/>
          <w:lang w:val="en-US"/>
        </w:rPr>
        <w:instrText>aim</w:instrText>
      </w:r>
      <w:r w:rsidR="00A6794A" w:rsidRPr="00D3550C">
        <w:rPr>
          <w:b/>
        </w:rPr>
        <w:instrText xml:space="preserve"> </w:instrText>
      </w:r>
      <w:r w:rsidR="00A6794A">
        <w:rPr>
          <w:b/>
          <w:lang w:val="en-US"/>
        </w:rPr>
        <w:instrText>of</w:instrText>
      </w:r>
      <w:r w:rsidR="00A6794A" w:rsidRPr="00D3550C">
        <w:rPr>
          <w:b/>
        </w:rPr>
        <w:instrText xml:space="preserve"> </w:instrText>
      </w:r>
      <w:r w:rsidR="00A6794A">
        <w:rPr>
          <w:b/>
          <w:lang w:val="en-US"/>
        </w:rPr>
        <w:instrText>the</w:instrText>
      </w:r>
      <w:r w:rsidR="00A6794A" w:rsidRPr="00D3550C">
        <w:rPr>
          <w:b/>
        </w:rPr>
        <w:instrText xml:space="preserve"> </w:instrText>
      </w:r>
      <w:r w:rsidR="00A6794A">
        <w:rPr>
          <w:b/>
          <w:lang w:val="en-US"/>
        </w:rPr>
        <w:instrText>present</w:instrText>
      </w:r>
      <w:r w:rsidR="00A6794A" w:rsidRPr="00D3550C">
        <w:rPr>
          <w:b/>
        </w:rPr>
        <w:instrText xml:space="preserve"> </w:instrText>
      </w:r>
      <w:r w:rsidR="00A6794A">
        <w:rPr>
          <w:b/>
          <w:lang w:val="en-US"/>
        </w:rPr>
        <w:instrText>retrospective</w:instrText>
      </w:r>
      <w:r w:rsidR="00A6794A" w:rsidRPr="00D3550C">
        <w:rPr>
          <w:b/>
        </w:rPr>
        <w:instrText xml:space="preserve"> </w:instrText>
      </w:r>
      <w:r w:rsidR="00A6794A">
        <w:rPr>
          <w:b/>
          <w:lang w:val="en-US"/>
        </w:rPr>
        <w:instrText>population</w:instrText>
      </w:r>
      <w:r w:rsidR="00A6794A" w:rsidRPr="00D3550C">
        <w:rPr>
          <w:b/>
        </w:rPr>
        <w:instrText>-</w:instrText>
      </w:r>
      <w:r w:rsidR="00A6794A">
        <w:rPr>
          <w:b/>
          <w:lang w:val="en-US"/>
        </w:rPr>
        <w:instrText>based</w:instrText>
      </w:r>
      <w:r w:rsidR="00A6794A" w:rsidRPr="00D3550C">
        <w:rPr>
          <w:b/>
        </w:rPr>
        <w:instrText xml:space="preserve"> </w:instrText>
      </w:r>
      <w:r w:rsidR="00A6794A">
        <w:rPr>
          <w:b/>
          <w:lang w:val="en-US"/>
        </w:rPr>
        <w:instrText>study</w:instrText>
      </w:r>
      <w:r w:rsidR="00A6794A" w:rsidRPr="00D3550C">
        <w:rPr>
          <w:b/>
        </w:rPr>
        <w:instrText xml:space="preserve"> </w:instrText>
      </w:r>
      <w:r w:rsidR="00A6794A">
        <w:rPr>
          <w:b/>
          <w:lang w:val="en-US"/>
        </w:rPr>
        <w:instrText>was</w:instrText>
      </w:r>
      <w:r w:rsidR="00A6794A" w:rsidRPr="00D3550C">
        <w:rPr>
          <w:b/>
        </w:rPr>
        <w:instrText xml:space="preserve"> </w:instrText>
      </w:r>
      <w:r w:rsidR="00A6794A">
        <w:rPr>
          <w:b/>
          <w:lang w:val="en-US"/>
        </w:rPr>
        <w:instrText>to</w:instrText>
      </w:r>
      <w:r w:rsidR="00A6794A" w:rsidRPr="00D3550C">
        <w:rPr>
          <w:b/>
        </w:rPr>
        <w:instrText xml:space="preserve"> </w:instrText>
      </w:r>
      <w:r w:rsidR="00A6794A">
        <w:rPr>
          <w:b/>
          <w:lang w:val="en-US"/>
        </w:rPr>
        <w:instrText>compare</w:instrText>
      </w:r>
      <w:r w:rsidR="00A6794A" w:rsidRPr="00D3550C">
        <w:rPr>
          <w:b/>
        </w:rPr>
        <w:instrText xml:space="preserve"> </w:instrText>
      </w:r>
      <w:r w:rsidR="00A6794A">
        <w:rPr>
          <w:b/>
          <w:lang w:val="en-US"/>
        </w:rPr>
        <w:instrText>R</w:instrText>
      </w:r>
      <w:r w:rsidR="00A6794A" w:rsidRPr="00D3550C">
        <w:rPr>
          <w:b/>
        </w:rPr>
        <w:instrText>-</w:instrText>
      </w:r>
      <w:r w:rsidR="00A6794A">
        <w:rPr>
          <w:b/>
          <w:lang w:val="en-US"/>
        </w:rPr>
        <w:instrText>CHOP</w:instrText>
      </w:r>
      <w:r w:rsidR="00A6794A" w:rsidRPr="00D3550C">
        <w:rPr>
          <w:b/>
        </w:rPr>
        <w:instrText xml:space="preserve">-14 </w:instrText>
      </w:r>
      <w:r w:rsidR="00A6794A">
        <w:rPr>
          <w:b/>
          <w:lang w:val="en-US"/>
        </w:rPr>
        <w:instrText>with</w:instrText>
      </w:r>
      <w:r w:rsidR="00A6794A" w:rsidRPr="00D3550C">
        <w:rPr>
          <w:b/>
        </w:rPr>
        <w:instrText xml:space="preserve"> </w:instrText>
      </w:r>
      <w:r w:rsidR="00A6794A">
        <w:rPr>
          <w:b/>
          <w:lang w:val="en-US"/>
        </w:rPr>
        <w:instrText>R</w:instrText>
      </w:r>
      <w:r w:rsidR="00A6794A" w:rsidRPr="00D3550C">
        <w:rPr>
          <w:b/>
        </w:rPr>
        <w:instrText>-</w:instrText>
      </w:r>
      <w:r w:rsidR="00A6794A">
        <w:rPr>
          <w:b/>
          <w:lang w:val="en-US"/>
        </w:rPr>
        <w:instrText>CHOEP</w:instrText>
      </w:r>
      <w:r w:rsidR="00A6794A" w:rsidRPr="00D3550C">
        <w:rPr>
          <w:b/>
        </w:rPr>
        <w:instrText xml:space="preserve">-14 </w:instrText>
      </w:r>
      <w:r w:rsidR="00A6794A">
        <w:rPr>
          <w:b/>
          <w:lang w:val="en-US"/>
        </w:rPr>
        <w:instrText>in</w:instrText>
      </w:r>
      <w:r w:rsidR="00A6794A" w:rsidRPr="00D3550C">
        <w:rPr>
          <w:b/>
        </w:rPr>
        <w:instrText xml:space="preserve"> </w:instrText>
      </w:r>
      <w:r w:rsidR="00A6794A">
        <w:rPr>
          <w:b/>
          <w:lang w:val="en-US"/>
        </w:rPr>
        <w:instrText>a</w:instrText>
      </w:r>
      <w:r w:rsidR="00A6794A" w:rsidRPr="00D3550C">
        <w:rPr>
          <w:b/>
        </w:rPr>
        <w:instrText xml:space="preserve"> </w:instrText>
      </w:r>
      <w:r w:rsidR="00A6794A">
        <w:rPr>
          <w:b/>
          <w:lang w:val="en-US"/>
        </w:rPr>
        <w:instrText>cohort</w:instrText>
      </w:r>
      <w:r w:rsidR="00A6794A" w:rsidRPr="00D3550C">
        <w:rPr>
          <w:b/>
        </w:rPr>
        <w:instrText xml:space="preserve"> </w:instrText>
      </w:r>
      <w:r w:rsidR="00A6794A">
        <w:rPr>
          <w:b/>
          <w:lang w:val="en-US"/>
        </w:rPr>
        <w:instrText>of</w:instrText>
      </w:r>
      <w:r w:rsidR="00A6794A" w:rsidRPr="00D3550C">
        <w:rPr>
          <w:b/>
        </w:rPr>
        <w:instrText xml:space="preserve"> </w:instrText>
      </w:r>
      <w:r w:rsidR="00A6794A">
        <w:rPr>
          <w:b/>
          <w:lang w:val="en-US"/>
        </w:rPr>
        <w:instrText>high</w:instrText>
      </w:r>
      <w:r w:rsidR="00A6794A" w:rsidRPr="00D3550C">
        <w:rPr>
          <w:b/>
        </w:rPr>
        <w:instrText>-</w:instrText>
      </w:r>
      <w:r w:rsidR="00A6794A">
        <w:rPr>
          <w:b/>
          <w:lang w:val="en-US"/>
        </w:rPr>
        <w:instrText>risk</w:instrText>
      </w:r>
      <w:r w:rsidR="00A6794A" w:rsidRPr="00D3550C">
        <w:rPr>
          <w:b/>
        </w:rPr>
        <w:instrText xml:space="preserve"> </w:instrText>
      </w:r>
      <w:r w:rsidR="00A6794A">
        <w:rPr>
          <w:b/>
          <w:lang w:val="en-US"/>
        </w:rPr>
        <w:instrText>patients</w:instrText>
      </w:r>
      <w:r w:rsidR="00A6794A" w:rsidRPr="00D3550C">
        <w:rPr>
          <w:b/>
        </w:rPr>
        <w:instrText xml:space="preserve"> </w:instrText>
      </w:r>
      <w:r w:rsidR="00A6794A">
        <w:rPr>
          <w:b/>
          <w:lang w:val="en-US"/>
        </w:rPr>
        <w:instrText>aged</w:instrText>
      </w:r>
      <w:r w:rsidR="00A6794A" w:rsidRPr="00D3550C">
        <w:rPr>
          <w:b/>
        </w:rPr>
        <w:instrText xml:space="preserve"> 18-60 </w:instrText>
      </w:r>
      <w:r w:rsidR="00A6794A">
        <w:rPr>
          <w:b/>
          <w:lang w:val="en-US"/>
        </w:rPr>
        <w:instrText>years</w:instrText>
      </w:r>
      <w:r w:rsidR="00A6794A" w:rsidRPr="00D3550C">
        <w:rPr>
          <w:b/>
        </w:rPr>
        <w:instrText xml:space="preserve"> </w:instrText>
      </w:r>
      <w:r w:rsidR="00A6794A">
        <w:rPr>
          <w:b/>
          <w:lang w:val="en-US"/>
        </w:rPr>
        <w:instrText>with</w:instrText>
      </w:r>
      <w:r w:rsidR="00A6794A" w:rsidRPr="00D3550C">
        <w:rPr>
          <w:b/>
        </w:rPr>
        <w:instrText xml:space="preserve"> </w:instrText>
      </w:r>
      <w:r w:rsidR="00A6794A">
        <w:rPr>
          <w:b/>
          <w:lang w:val="en-US"/>
        </w:rPr>
        <w:instrText>two</w:instrText>
      </w:r>
      <w:r w:rsidR="00A6794A" w:rsidRPr="00D3550C">
        <w:rPr>
          <w:b/>
        </w:rPr>
        <w:instrText xml:space="preserve"> </w:instrText>
      </w:r>
      <w:r w:rsidR="00A6794A">
        <w:rPr>
          <w:b/>
          <w:lang w:val="en-US"/>
        </w:rPr>
        <w:instrText>or</w:instrText>
      </w:r>
      <w:r w:rsidR="00A6794A" w:rsidRPr="00D3550C">
        <w:rPr>
          <w:b/>
        </w:rPr>
        <w:instrText xml:space="preserve"> </w:instrText>
      </w:r>
      <w:r w:rsidR="00A6794A">
        <w:rPr>
          <w:b/>
          <w:lang w:val="en-US"/>
        </w:rPr>
        <w:instrText>more</w:instrText>
      </w:r>
      <w:r w:rsidR="00A6794A" w:rsidRPr="00D3550C">
        <w:rPr>
          <w:b/>
        </w:rPr>
        <w:instrText xml:space="preserve"> </w:instrText>
      </w:r>
      <w:r w:rsidR="00A6794A">
        <w:rPr>
          <w:b/>
          <w:lang w:val="en-US"/>
        </w:rPr>
        <w:instrText>risk</w:instrText>
      </w:r>
      <w:r w:rsidR="00A6794A" w:rsidRPr="00D3550C">
        <w:rPr>
          <w:b/>
        </w:rPr>
        <w:instrText xml:space="preserve"> </w:instrText>
      </w:r>
      <w:r w:rsidR="00A6794A">
        <w:rPr>
          <w:b/>
          <w:lang w:val="en-US"/>
        </w:rPr>
        <w:instrText>factors</w:instrText>
      </w:r>
      <w:r w:rsidR="00A6794A" w:rsidRPr="00D3550C">
        <w:rPr>
          <w:b/>
        </w:rPr>
        <w:instrText xml:space="preserve"> (</w:instrText>
      </w:r>
      <w:r w:rsidR="00A6794A">
        <w:rPr>
          <w:b/>
          <w:lang w:val="en-US"/>
        </w:rPr>
        <w:instrText>stage</w:instrText>
      </w:r>
      <w:r w:rsidR="00A6794A" w:rsidRPr="00D3550C">
        <w:rPr>
          <w:b/>
        </w:rPr>
        <w:instrText xml:space="preserve"> </w:instrText>
      </w:r>
      <w:r w:rsidR="00A6794A">
        <w:rPr>
          <w:b/>
          <w:lang w:val="en-US"/>
        </w:rPr>
        <w:instrText>III</w:instrText>
      </w:r>
      <w:r w:rsidR="00A6794A" w:rsidRPr="00D3550C">
        <w:rPr>
          <w:b/>
        </w:rPr>
        <w:instrText>-</w:instrText>
      </w:r>
      <w:r w:rsidR="00A6794A">
        <w:rPr>
          <w:b/>
          <w:lang w:val="en-US"/>
        </w:rPr>
        <w:instrText>IV</w:instrText>
      </w:r>
      <w:r w:rsidR="00A6794A" w:rsidRPr="00D3550C">
        <w:rPr>
          <w:b/>
        </w:rPr>
        <w:instrText xml:space="preserve">, </w:instrText>
      </w:r>
      <w:r w:rsidR="00A6794A">
        <w:rPr>
          <w:b/>
          <w:lang w:val="en-US"/>
        </w:rPr>
        <w:instrText>elevated</w:instrText>
      </w:r>
      <w:r w:rsidR="00A6794A" w:rsidRPr="00D3550C">
        <w:rPr>
          <w:b/>
        </w:rPr>
        <w:instrText xml:space="preserve"> </w:instrText>
      </w:r>
      <w:r w:rsidR="00A6794A">
        <w:rPr>
          <w:b/>
          <w:lang w:val="en-US"/>
        </w:rPr>
        <w:instrText>lactate</w:instrText>
      </w:r>
      <w:r w:rsidR="00A6794A" w:rsidRPr="00D3550C">
        <w:rPr>
          <w:b/>
        </w:rPr>
        <w:instrText xml:space="preserve"> </w:instrText>
      </w:r>
      <w:r w:rsidR="00A6794A">
        <w:rPr>
          <w:b/>
          <w:lang w:val="en-US"/>
        </w:rPr>
        <w:instrText>dehydrogenase</w:instrText>
      </w:r>
      <w:r w:rsidR="00A6794A" w:rsidRPr="00D3550C">
        <w:rPr>
          <w:b/>
        </w:rPr>
        <w:instrText xml:space="preserve"> </w:instrText>
      </w:r>
      <w:r w:rsidR="00A6794A">
        <w:rPr>
          <w:b/>
          <w:lang w:val="en-US"/>
        </w:rPr>
        <w:instrText>levels</w:instrText>
      </w:r>
      <w:r w:rsidR="00A6794A" w:rsidRPr="00D3550C">
        <w:rPr>
          <w:b/>
        </w:rPr>
        <w:instrText xml:space="preserve">, </w:instrText>
      </w:r>
      <w:r w:rsidR="00A6794A">
        <w:rPr>
          <w:b/>
          <w:lang w:val="en-US"/>
        </w:rPr>
        <w:instrText>performance</w:instrText>
      </w:r>
      <w:r w:rsidR="00A6794A" w:rsidRPr="00D3550C">
        <w:rPr>
          <w:b/>
        </w:rPr>
        <w:instrText xml:space="preserve"> </w:instrText>
      </w:r>
      <w:r w:rsidR="00A6794A">
        <w:rPr>
          <w:b/>
          <w:lang w:val="en-US"/>
        </w:rPr>
        <w:instrText>status</w:instrText>
      </w:r>
      <w:r w:rsidR="00A6794A" w:rsidRPr="00D3550C">
        <w:rPr>
          <w:b/>
        </w:rPr>
        <w:instrText xml:space="preserve"> 2-4). </w:instrText>
      </w:r>
      <w:r w:rsidR="00A6794A">
        <w:rPr>
          <w:b/>
          <w:lang w:val="en-US"/>
        </w:rPr>
        <w:instrText>To</w:instrText>
      </w:r>
      <w:r w:rsidR="00A6794A" w:rsidRPr="00D3550C">
        <w:rPr>
          <w:b/>
        </w:rPr>
        <w:instrText xml:space="preserve"> </w:instrText>
      </w:r>
      <w:r w:rsidR="00A6794A">
        <w:rPr>
          <w:b/>
          <w:lang w:val="en-US"/>
        </w:rPr>
        <w:instrText>our</w:instrText>
      </w:r>
      <w:r w:rsidR="00A6794A" w:rsidRPr="00D3550C">
        <w:rPr>
          <w:b/>
        </w:rPr>
        <w:instrText xml:space="preserve"> </w:instrText>
      </w:r>
      <w:r w:rsidR="00A6794A">
        <w:rPr>
          <w:b/>
          <w:lang w:val="en-US"/>
        </w:rPr>
        <w:instrText>knowledge</w:instrText>
      </w:r>
      <w:r w:rsidR="00A6794A" w:rsidRPr="00D3550C">
        <w:rPr>
          <w:b/>
        </w:rPr>
        <w:instrText xml:space="preserve">, </w:instrText>
      </w:r>
      <w:r w:rsidR="00A6794A">
        <w:rPr>
          <w:b/>
          <w:lang w:val="en-US"/>
        </w:rPr>
        <w:instrText>this</w:instrText>
      </w:r>
      <w:r w:rsidR="00A6794A" w:rsidRPr="00D3550C">
        <w:rPr>
          <w:b/>
        </w:rPr>
        <w:instrText xml:space="preserve"> </w:instrText>
      </w:r>
      <w:r w:rsidR="00A6794A">
        <w:rPr>
          <w:b/>
          <w:lang w:val="en-US"/>
        </w:rPr>
        <w:instrText>is</w:instrText>
      </w:r>
      <w:r w:rsidR="00A6794A" w:rsidRPr="00D3550C">
        <w:rPr>
          <w:b/>
        </w:rPr>
        <w:instrText xml:space="preserve"> </w:instrText>
      </w:r>
      <w:r w:rsidR="00A6794A">
        <w:rPr>
          <w:b/>
          <w:lang w:val="en-US"/>
        </w:rPr>
        <w:instrText>the</w:instrText>
      </w:r>
      <w:r w:rsidR="00A6794A" w:rsidRPr="00D3550C">
        <w:rPr>
          <w:b/>
        </w:rPr>
        <w:instrText xml:space="preserve"> </w:instrText>
      </w:r>
      <w:r w:rsidR="00A6794A">
        <w:rPr>
          <w:b/>
          <w:lang w:val="en-US"/>
        </w:rPr>
        <w:instrText>first</w:instrText>
      </w:r>
      <w:r w:rsidR="00A6794A" w:rsidRPr="00D3550C">
        <w:rPr>
          <w:b/>
        </w:rPr>
        <w:instrText xml:space="preserve"> </w:instrText>
      </w:r>
      <w:r w:rsidR="00A6794A">
        <w:rPr>
          <w:b/>
          <w:lang w:val="en-US"/>
        </w:rPr>
        <w:instrText>study</w:instrText>
      </w:r>
      <w:r w:rsidR="00A6794A" w:rsidRPr="00D3550C">
        <w:rPr>
          <w:b/>
        </w:rPr>
        <w:instrText xml:space="preserve"> </w:instrText>
      </w:r>
      <w:r w:rsidR="00A6794A">
        <w:rPr>
          <w:b/>
          <w:lang w:val="en-US"/>
        </w:rPr>
        <w:instrText>comparing</w:instrText>
      </w:r>
      <w:r w:rsidR="00A6794A" w:rsidRPr="00D3550C">
        <w:rPr>
          <w:b/>
        </w:rPr>
        <w:instrText xml:space="preserve"> </w:instrText>
      </w:r>
      <w:r w:rsidR="00A6794A">
        <w:rPr>
          <w:b/>
          <w:lang w:val="en-US"/>
        </w:rPr>
        <w:instrText>these</w:instrText>
      </w:r>
      <w:r w:rsidR="00A6794A" w:rsidRPr="00D3550C">
        <w:rPr>
          <w:b/>
        </w:rPr>
        <w:instrText xml:space="preserve"> </w:instrText>
      </w:r>
      <w:r w:rsidR="00A6794A">
        <w:rPr>
          <w:b/>
          <w:lang w:val="en-US"/>
        </w:rPr>
        <w:instrText>two</w:instrText>
      </w:r>
      <w:r w:rsidR="00A6794A" w:rsidRPr="00D3550C">
        <w:rPr>
          <w:b/>
        </w:rPr>
        <w:instrText xml:space="preserve"> </w:instrText>
      </w:r>
      <w:r w:rsidR="00A6794A">
        <w:rPr>
          <w:b/>
          <w:lang w:val="en-US"/>
        </w:rPr>
        <w:instrText>regimens</w:instrText>
      </w:r>
      <w:r w:rsidR="00A6794A" w:rsidRPr="00D3550C">
        <w:rPr>
          <w:b/>
        </w:rPr>
        <w:instrText xml:space="preserve"> </w:instrText>
      </w:r>
      <w:r w:rsidR="00A6794A">
        <w:rPr>
          <w:b/>
          <w:lang w:val="en-US"/>
        </w:rPr>
        <w:instrText>in</w:instrText>
      </w:r>
      <w:r w:rsidR="00A6794A" w:rsidRPr="00D3550C">
        <w:rPr>
          <w:b/>
        </w:rPr>
        <w:instrText xml:space="preserve"> </w:instrText>
      </w:r>
      <w:r w:rsidR="00A6794A">
        <w:rPr>
          <w:b/>
          <w:lang w:val="en-US"/>
        </w:rPr>
        <w:instrText>this</w:instrText>
      </w:r>
      <w:r w:rsidR="00A6794A" w:rsidRPr="00D3550C">
        <w:rPr>
          <w:b/>
        </w:rPr>
        <w:instrText xml:space="preserve"> </w:instrText>
      </w:r>
      <w:r w:rsidR="00A6794A">
        <w:rPr>
          <w:b/>
          <w:lang w:val="en-US"/>
        </w:rPr>
        <w:instrText>patient</w:instrText>
      </w:r>
      <w:r w:rsidR="00A6794A" w:rsidRPr="00D3550C">
        <w:rPr>
          <w:b/>
        </w:rPr>
        <w:instrText xml:space="preserve"> </w:instrText>
      </w:r>
      <w:r w:rsidR="00A6794A">
        <w:rPr>
          <w:b/>
          <w:lang w:val="en-US"/>
        </w:rPr>
        <w:instrText>group</w:instrText>
      </w:r>
      <w:r w:rsidR="00A6794A" w:rsidRPr="00D3550C">
        <w:rPr>
          <w:b/>
        </w:rPr>
        <w:instrText xml:space="preserve">. </w:instrText>
      </w:r>
      <w:r w:rsidR="00A6794A">
        <w:rPr>
          <w:b/>
          <w:lang w:val="en-US"/>
        </w:rPr>
        <w:instrText>METHODS</w:instrText>
      </w:r>
      <w:r w:rsidR="00A6794A" w:rsidRPr="00D3550C">
        <w:rPr>
          <w:b/>
        </w:rPr>
        <w:instrText xml:space="preserve"> </w:instrText>
      </w:r>
      <w:r w:rsidR="00A6794A">
        <w:rPr>
          <w:b/>
          <w:lang w:val="en-US"/>
        </w:rPr>
        <w:instrText>We</w:instrText>
      </w:r>
      <w:r w:rsidR="00A6794A" w:rsidRPr="00D3550C">
        <w:rPr>
          <w:b/>
        </w:rPr>
        <w:instrText xml:space="preserve"> </w:instrText>
      </w:r>
      <w:r w:rsidR="00A6794A">
        <w:rPr>
          <w:b/>
          <w:lang w:val="en-US"/>
        </w:rPr>
        <w:instrText>obtained</w:instrText>
      </w:r>
      <w:r w:rsidR="00A6794A" w:rsidRPr="00D3550C">
        <w:rPr>
          <w:b/>
        </w:rPr>
        <w:instrText xml:space="preserve"> </w:instrText>
      </w:r>
      <w:r w:rsidR="00A6794A">
        <w:rPr>
          <w:b/>
          <w:lang w:val="en-US"/>
        </w:rPr>
        <w:instrText>data</w:instrText>
      </w:r>
      <w:r w:rsidR="00A6794A" w:rsidRPr="00D3550C">
        <w:rPr>
          <w:b/>
        </w:rPr>
        <w:instrText xml:space="preserve"> </w:instrText>
      </w:r>
      <w:r w:rsidR="00A6794A">
        <w:rPr>
          <w:b/>
          <w:lang w:val="en-US"/>
        </w:rPr>
        <w:instrText>for</w:instrText>
      </w:r>
      <w:r w:rsidR="00A6794A" w:rsidRPr="00D3550C">
        <w:rPr>
          <w:b/>
        </w:rPr>
        <w:instrText xml:space="preserve"> </w:instrText>
      </w:r>
      <w:r w:rsidR="00A6794A">
        <w:rPr>
          <w:b/>
          <w:lang w:val="en-US"/>
        </w:rPr>
        <w:instrText>the</w:instrText>
      </w:r>
      <w:r w:rsidR="00A6794A" w:rsidRPr="00D3550C">
        <w:rPr>
          <w:b/>
        </w:rPr>
        <w:instrText xml:space="preserve"> </w:instrText>
      </w:r>
      <w:r w:rsidR="00A6794A">
        <w:rPr>
          <w:b/>
          <w:lang w:val="en-US"/>
        </w:rPr>
        <w:instrText>period</w:instrText>
      </w:r>
      <w:r w:rsidR="00A6794A" w:rsidRPr="00D3550C">
        <w:rPr>
          <w:b/>
        </w:rPr>
        <w:instrText xml:space="preserve"> 2004-2009 </w:instrText>
      </w:r>
      <w:r w:rsidR="00A6794A">
        <w:rPr>
          <w:b/>
          <w:lang w:val="en-US"/>
        </w:rPr>
        <w:instrText>from</w:instrText>
      </w:r>
      <w:r w:rsidR="00A6794A" w:rsidRPr="00D3550C">
        <w:rPr>
          <w:b/>
        </w:rPr>
        <w:instrText xml:space="preserve"> </w:instrText>
      </w:r>
      <w:r w:rsidR="00A6794A">
        <w:rPr>
          <w:b/>
          <w:lang w:val="en-US"/>
        </w:rPr>
        <w:instrText>the</w:instrText>
      </w:r>
      <w:r w:rsidR="00A6794A" w:rsidRPr="00D3550C">
        <w:rPr>
          <w:b/>
        </w:rPr>
        <w:instrText xml:space="preserve"> </w:instrText>
      </w:r>
      <w:r w:rsidR="00A6794A">
        <w:rPr>
          <w:b/>
          <w:lang w:val="en-US"/>
        </w:rPr>
        <w:instrText>Danish</w:instrText>
      </w:r>
      <w:r w:rsidR="00A6794A" w:rsidRPr="00D3550C">
        <w:rPr>
          <w:b/>
        </w:rPr>
        <w:instrText xml:space="preserve"> </w:instrText>
      </w:r>
      <w:r w:rsidR="00A6794A">
        <w:rPr>
          <w:b/>
          <w:lang w:val="en-US"/>
        </w:rPr>
        <w:instrText>Lymphoma</w:instrText>
      </w:r>
      <w:r w:rsidR="00A6794A" w:rsidRPr="00D3550C">
        <w:rPr>
          <w:b/>
        </w:rPr>
        <w:instrText xml:space="preserve"> </w:instrText>
      </w:r>
      <w:r w:rsidR="00A6794A">
        <w:rPr>
          <w:b/>
          <w:lang w:val="en-US"/>
        </w:rPr>
        <w:instrText>Database</w:instrText>
      </w:r>
      <w:r w:rsidR="00A6794A" w:rsidRPr="00D3550C">
        <w:rPr>
          <w:b/>
        </w:rPr>
        <w:instrText xml:space="preserve">. </w:instrText>
      </w:r>
      <w:r w:rsidR="00A6794A">
        <w:rPr>
          <w:b/>
          <w:lang w:val="en-US"/>
        </w:rPr>
        <w:instrText>One</w:instrText>
      </w:r>
      <w:r w:rsidR="00A6794A" w:rsidRPr="00D3550C">
        <w:rPr>
          <w:b/>
        </w:rPr>
        <w:instrText xml:space="preserve"> </w:instrText>
      </w:r>
      <w:r w:rsidR="00A6794A">
        <w:rPr>
          <w:b/>
          <w:lang w:val="en-US"/>
        </w:rPr>
        <w:instrText>hundred</w:instrText>
      </w:r>
      <w:r w:rsidR="00A6794A" w:rsidRPr="00D3550C">
        <w:rPr>
          <w:b/>
        </w:rPr>
        <w:instrText xml:space="preserve"> </w:instrText>
      </w:r>
      <w:r w:rsidR="00A6794A">
        <w:rPr>
          <w:b/>
          <w:lang w:val="en-US"/>
        </w:rPr>
        <w:instrText>and</w:instrText>
      </w:r>
      <w:r w:rsidR="00A6794A" w:rsidRPr="00D3550C">
        <w:rPr>
          <w:b/>
        </w:rPr>
        <w:instrText xml:space="preserve"> </w:instrText>
      </w:r>
      <w:r w:rsidR="00A6794A">
        <w:rPr>
          <w:b/>
          <w:lang w:val="en-US"/>
        </w:rPr>
        <w:instrText>fifty</w:instrText>
      </w:r>
      <w:r w:rsidR="00A6794A" w:rsidRPr="00D3550C">
        <w:rPr>
          <w:b/>
        </w:rPr>
        <w:instrText>-</w:instrText>
      </w:r>
      <w:r w:rsidR="00A6794A">
        <w:rPr>
          <w:b/>
          <w:lang w:val="en-US"/>
        </w:rPr>
        <w:instrText>nine</w:instrText>
      </w:r>
      <w:r w:rsidR="00A6794A" w:rsidRPr="00D3550C">
        <w:rPr>
          <w:b/>
        </w:rPr>
        <w:instrText xml:space="preserve"> </w:instrText>
      </w:r>
      <w:r w:rsidR="00A6794A">
        <w:rPr>
          <w:b/>
          <w:lang w:val="en-US"/>
        </w:rPr>
        <w:instrText>patients</w:instrText>
      </w:r>
      <w:r w:rsidR="00A6794A" w:rsidRPr="00D3550C">
        <w:rPr>
          <w:b/>
        </w:rPr>
        <w:instrText xml:space="preserve"> </w:instrText>
      </w:r>
      <w:r w:rsidR="00A6794A">
        <w:rPr>
          <w:b/>
          <w:lang w:val="en-US"/>
        </w:rPr>
        <w:instrText>were</w:instrText>
      </w:r>
      <w:r w:rsidR="00A6794A" w:rsidRPr="00D3550C">
        <w:rPr>
          <w:b/>
        </w:rPr>
        <w:instrText xml:space="preserve"> </w:instrText>
      </w:r>
      <w:r w:rsidR="00A6794A">
        <w:rPr>
          <w:b/>
          <w:lang w:val="en-US"/>
        </w:rPr>
        <w:instrText>eligible</w:instrText>
      </w:r>
      <w:r w:rsidR="00A6794A" w:rsidRPr="00D3550C">
        <w:rPr>
          <w:b/>
        </w:rPr>
        <w:instrText xml:space="preserve"> </w:instrText>
      </w:r>
      <w:r w:rsidR="00A6794A">
        <w:rPr>
          <w:b/>
          <w:lang w:val="en-US"/>
        </w:rPr>
        <w:instrText>to</w:instrText>
      </w:r>
      <w:r w:rsidR="00A6794A" w:rsidRPr="00D3550C">
        <w:rPr>
          <w:b/>
        </w:rPr>
        <w:instrText xml:space="preserve"> </w:instrText>
      </w:r>
      <w:r w:rsidR="00A6794A">
        <w:rPr>
          <w:b/>
          <w:lang w:val="en-US"/>
        </w:rPr>
        <w:instrText>enter</w:instrText>
      </w:r>
      <w:r w:rsidR="00A6794A" w:rsidRPr="00D3550C">
        <w:rPr>
          <w:b/>
        </w:rPr>
        <w:instrText xml:space="preserve"> </w:instrText>
      </w:r>
      <w:r w:rsidR="00A6794A">
        <w:rPr>
          <w:b/>
          <w:lang w:val="en-US"/>
        </w:rPr>
        <w:instrText>the</w:instrText>
      </w:r>
      <w:r w:rsidR="00A6794A" w:rsidRPr="00D3550C">
        <w:rPr>
          <w:b/>
        </w:rPr>
        <w:instrText xml:space="preserve"> </w:instrText>
      </w:r>
      <w:r w:rsidR="00A6794A">
        <w:rPr>
          <w:b/>
          <w:lang w:val="en-US"/>
        </w:rPr>
        <w:instrText>study</w:instrText>
      </w:r>
      <w:r w:rsidR="00A6794A" w:rsidRPr="00D3550C">
        <w:rPr>
          <w:b/>
        </w:rPr>
        <w:instrText xml:space="preserve">. </w:instrText>
      </w:r>
      <w:r w:rsidR="00A6794A">
        <w:rPr>
          <w:b/>
          <w:lang w:val="en-US"/>
        </w:rPr>
        <w:instrText>Primary</w:instrText>
      </w:r>
      <w:r w:rsidR="00A6794A" w:rsidRPr="00D3550C">
        <w:rPr>
          <w:b/>
        </w:rPr>
        <w:instrText xml:space="preserve"> </w:instrText>
      </w:r>
      <w:r w:rsidR="00A6794A">
        <w:rPr>
          <w:b/>
          <w:lang w:val="en-US"/>
        </w:rPr>
        <w:instrText>end</w:instrText>
      </w:r>
      <w:r w:rsidR="00A6794A" w:rsidRPr="00D3550C">
        <w:rPr>
          <w:b/>
        </w:rPr>
        <w:instrText xml:space="preserve"> </w:instrText>
      </w:r>
      <w:r w:rsidR="00A6794A">
        <w:rPr>
          <w:b/>
          <w:lang w:val="en-US"/>
        </w:rPr>
        <w:instrText>point</w:instrText>
      </w:r>
      <w:r w:rsidR="00A6794A" w:rsidRPr="00D3550C">
        <w:rPr>
          <w:b/>
        </w:rPr>
        <w:instrText xml:space="preserve"> </w:instrText>
      </w:r>
      <w:r w:rsidR="00A6794A">
        <w:rPr>
          <w:b/>
          <w:lang w:val="en-US"/>
        </w:rPr>
        <w:instrText>was</w:instrText>
      </w:r>
      <w:r w:rsidR="00A6794A" w:rsidRPr="00D3550C">
        <w:rPr>
          <w:b/>
        </w:rPr>
        <w:instrText xml:space="preserve"> </w:instrText>
      </w:r>
      <w:r w:rsidR="00A6794A">
        <w:rPr>
          <w:b/>
          <w:lang w:val="en-US"/>
        </w:rPr>
        <w:instrText>overall</w:instrText>
      </w:r>
      <w:r w:rsidR="00A6794A" w:rsidRPr="00D3550C">
        <w:rPr>
          <w:b/>
        </w:rPr>
        <w:instrText xml:space="preserve"> </w:instrText>
      </w:r>
      <w:r w:rsidR="00A6794A">
        <w:rPr>
          <w:b/>
          <w:lang w:val="en-US"/>
        </w:rPr>
        <w:instrText>survival</w:instrText>
      </w:r>
      <w:r w:rsidR="00A6794A" w:rsidRPr="00D3550C">
        <w:rPr>
          <w:b/>
        </w:rPr>
        <w:instrText xml:space="preserve"> (</w:instrText>
      </w:r>
      <w:r w:rsidR="00A6794A">
        <w:rPr>
          <w:b/>
          <w:lang w:val="en-US"/>
        </w:rPr>
        <w:instrText>OS</w:instrText>
      </w:r>
      <w:r w:rsidR="00A6794A" w:rsidRPr="00D3550C">
        <w:rPr>
          <w:b/>
        </w:rPr>
        <w:instrText xml:space="preserve">) </w:instrText>
      </w:r>
      <w:r w:rsidR="00A6794A">
        <w:rPr>
          <w:b/>
          <w:lang w:val="en-US"/>
        </w:rPr>
        <w:instrText>and</w:instrText>
      </w:r>
      <w:r w:rsidR="00A6794A" w:rsidRPr="00D3550C">
        <w:rPr>
          <w:b/>
        </w:rPr>
        <w:instrText xml:space="preserve"> </w:instrText>
      </w:r>
      <w:r w:rsidR="00A6794A">
        <w:rPr>
          <w:b/>
          <w:lang w:val="en-US"/>
        </w:rPr>
        <w:instrText>secondary</w:instrText>
      </w:r>
      <w:r w:rsidR="00A6794A" w:rsidRPr="00D3550C">
        <w:rPr>
          <w:b/>
        </w:rPr>
        <w:instrText xml:space="preserve"> </w:instrText>
      </w:r>
      <w:r w:rsidR="00A6794A">
        <w:rPr>
          <w:b/>
          <w:lang w:val="en-US"/>
        </w:rPr>
        <w:instrText>end</w:instrText>
      </w:r>
      <w:r w:rsidR="00A6794A" w:rsidRPr="00D3550C">
        <w:rPr>
          <w:b/>
        </w:rPr>
        <w:instrText xml:space="preserve"> </w:instrText>
      </w:r>
      <w:r w:rsidR="00A6794A">
        <w:rPr>
          <w:b/>
          <w:lang w:val="en-US"/>
        </w:rPr>
        <w:instrText>points</w:instrText>
      </w:r>
      <w:r w:rsidR="00A6794A" w:rsidRPr="00D3550C">
        <w:rPr>
          <w:b/>
        </w:rPr>
        <w:instrText xml:space="preserve"> </w:instrText>
      </w:r>
      <w:r w:rsidR="00A6794A">
        <w:rPr>
          <w:b/>
          <w:lang w:val="en-US"/>
        </w:rPr>
        <w:instrText>were</w:instrText>
      </w:r>
      <w:r w:rsidR="00A6794A" w:rsidRPr="00D3550C">
        <w:rPr>
          <w:b/>
        </w:rPr>
        <w:instrText xml:space="preserve"> </w:instrText>
      </w:r>
      <w:r w:rsidR="00A6794A">
        <w:rPr>
          <w:b/>
          <w:lang w:val="en-US"/>
        </w:rPr>
        <w:instrText>response</w:instrText>
      </w:r>
      <w:r w:rsidR="00A6794A" w:rsidRPr="00D3550C">
        <w:rPr>
          <w:b/>
        </w:rPr>
        <w:instrText xml:space="preserve"> </w:instrText>
      </w:r>
      <w:r w:rsidR="00A6794A">
        <w:rPr>
          <w:b/>
          <w:lang w:val="en-US"/>
        </w:rPr>
        <w:instrText>to</w:instrText>
      </w:r>
      <w:r w:rsidR="00A6794A" w:rsidRPr="00D3550C">
        <w:rPr>
          <w:b/>
        </w:rPr>
        <w:instrText xml:space="preserve"> </w:instrText>
      </w:r>
      <w:r w:rsidR="00A6794A">
        <w:rPr>
          <w:b/>
          <w:lang w:val="en-US"/>
        </w:rPr>
        <w:instrText>treatment</w:instrText>
      </w:r>
      <w:r w:rsidR="00A6794A" w:rsidRPr="00D3550C">
        <w:rPr>
          <w:b/>
        </w:rPr>
        <w:instrText xml:space="preserve">, </w:instrText>
      </w:r>
      <w:r w:rsidR="00A6794A">
        <w:rPr>
          <w:b/>
          <w:lang w:val="en-US"/>
        </w:rPr>
        <w:instrText>progression</w:instrText>
      </w:r>
      <w:r w:rsidR="00A6794A" w:rsidRPr="00D3550C">
        <w:rPr>
          <w:b/>
        </w:rPr>
        <w:instrText>-</w:instrText>
      </w:r>
      <w:r w:rsidR="00A6794A">
        <w:rPr>
          <w:b/>
          <w:lang w:val="en-US"/>
        </w:rPr>
        <w:instrText>free</w:instrText>
      </w:r>
      <w:r w:rsidR="00A6794A" w:rsidRPr="00D3550C">
        <w:rPr>
          <w:b/>
        </w:rPr>
        <w:instrText xml:space="preserve"> </w:instrText>
      </w:r>
      <w:r w:rsidR="00A6794A">
        <w:rPr>
          <w:b/>
          <w:lang w:val="en-US"/>
        </w:rPr>
        <w:instrText>survival</w:instrText>
      </w:r>
      <w:r w:rsidR="00A6794A" w:rsidRPr="00D3550C">
        <w:rPr>
          <w:b/>
        </w:rPr>
        <w:instrText xml:space="preserve"> (</w:instrText>
      </w:r>
      <w:r w:rsidR="00A6794A">
        <w:rPr>
          <w:b/>
          <w:lang w:val="en-US"/>
        </w:rPr>
        <w:instrText>PFS</w:instrText>
      </w:r>
      <w:r w:rsidR="00A6794A" w:rsidRPr="00D3550C">
        <w:rPr>
          <w:b/>
        </w:rPr>
        <w:instrText xml:space="preserve">) </w:instrText>
      </w:r>
      <w:r w:rsidR="00A6794A">
        <w:rPr>
          <w:b/>
          <w:lang w:val="en-US"/>
        </w:rPr>
        <w:instrText>and</w:instrText>
      </w:r>
      <w:r w:rsidR="00A6794A" w:rsidRPr="00D3550C">
        <w:rPr>
          <w:b/>
        </w:rPr>
        <w:instrText xml:space="preserve"> </w:instrText>
      </w:r>
      <w:r w:rsidR="00A6794A">
        <w:rPr>
          <w:b/>
          <w:lang w:val="en-US"/>
        </w:rPr>
        <w:instrText>safety</w:instrText>
      </w:r>
      <w:r w:rsidR="00A6794A" w:rsidRPr="00D3550C">
        <w:rPr>
          <w:b/>
        </w:rPr>
        <w:instrText xml:space="preserve">. </w:instrText>
      </w:r>
      <w:r w:rsidR="00A6794A">
        <w:rPr>
          <w:b/>
          <w:lang w:val="en-US"/>
        </w:rPr>
        <w:instrText>RESULTS</w:instrText>
      </w:r>
      <w:r w:rsidR="00A6794A" w:rsidRPr="00D3550C">
        <w:rPr>
          <w:b/>
        </w:rPr>
        <w:instrText xml:space="preserve"> </w:instrText>
      </w:r>
      <w:r w:rsidR="00A6794A">
        <w:rPr>
          <w:b/>
          <w:lang w:val="en-US"/>
        </w:rPr>
        <w:instrText>Four</w:instrText>
      </w:r>
      <w:r w:rsidR="00A6794A" w:rsidRPr="00D3550C">
        <w:rPr>
          <w:b/>
        </w:rPr>
        <w:instrText>-</w:instrText>
      </w:r>
      <w:r w:rsidR="00A6794A">
        <w:rPr>
          <w:b/>
          <w:lang w:val="en-US"/>
        </w:rPr>
        <w:instrText>year</w:instrText>
      </w:r>
      <w:r w:rsidR="00A6794A" w:rsidRPr="00D3550C">
        <w:rPr>
          <w:b/>
        </w:rPr>
        <w:instrText xml:space="preserve"> </w:instrText>
      </w:r>
      <w:r w:rsidR="00A6794A">
        <w:rPr>
          <w:b/>
          <w:lang w:val="en-US"/>
        </w:rPr>
        <w:instrText>OS was superior in the R-CHOEP-14 group: 75% compared with 62% for R-CHOP-14 (P=0.04). This superiority was also seen for PFS: 4-year PFS was 70% for the R-CHOEP-14 group compared with 58% for the R-CHOP-14 group (P=0.02). CONCLUSION R-CHOEP-14 is a promising regimen for young patients with high-risk DLBCL with improved OS and PFS compared with R-CHOP-14.","author":[{"dropping-particle":"","family":"Gang","given":"A O","non-dropping-particle":"","parse-names":false,"suffix":""},{"dropping-particle":"","family":"Strøm","given":"C","non-dropping-particle":"","parse-names":false,"suffix":""},{"dropping-particle":"","family":"Pedersen","given":"M","non-dropping-particle":"","parse-names":false,"suffix":""},{"dropping-particle":"","family":"d'Amore","given":"F","non-dropping-particle":"","parse-names":false,"suffix":""},{"dropping-particle":"","family":"Pedersen","given":"L M","non-dropping-particle":"","parse-names":false,"suffix":""},{"dropping-particle":"","family":"Bukh","given":"A","non-dropping-particle":"","parse-names":false,"suffix":""},{"dropping-particle":"","family":"Pedersen","given":"B B","non-dropping-particle":"","parse-names":false,"suffix":""},{"dropping-particle":"","family":"Moeller","given":"M B","non-dropping-particle":"","parse-names":false,"suffix":""},{"dropping-particle":"","family":"Mortensen","given":"L S","non-dropping-particle":"","parse-names":false,"suffix":""},{"dropping-particle":"V","family":"Gadeberg","given":"O","non-dropping-particle":"","parse-names":false,"suffix":""},{"dropping-particle":"","family":"Ingeberg","given":"S","non-dropping-particle":"","parse-names":false,"suffix":""},{"dropping-particle":"","family":"Mourits-Andersen","given":"T","non-dropping-particle":"","parse-names":false,"suffix":""},{"dropping-particle":"","family":"Pulczynski","given":"S","non-dropping-particle":"","parse-names":false,"suffix":""},{"dropping-particle":"","family":"d Nully Brown","given":"P","non-dropping-particle":"","parse-names":false,"suffix":""}],"container-title":"Annals of oncology : official journal of the European Society for Medical Oncology","id":"ITEM-1","issue":"1","issued":{"date-parts":[["2012","1"]]},"page":"147-53","title":"R-CHOEP-14 improves overall survival in young high-risk patients with diffuse large B-cell lymphoma compared with R-CHOP-14. A population-based investigation from the Danish Lymphoma Group.","type":"article-journal","volume":"23"},"uris":["http://www.mendeley.com/documents/?uuid=b217174b-b51f-340d-b3f5-8108be9b0cae"]}],"mendeley":{"formattedCitation":"[209]","plainTextFormattedCitation":"[209]","previouslyFormattedCitation":"[209]"},"properties":{"noteIndex":0},"schema":"https://github.com/citation-style-language/schema/raw/master/csl-citation.json"}</w:instrText>
      </w:r>
      <w:r w:rsidRPr="000322E4">
        <w:rPr>
          <w:b/>
          <w:lang w:val="en-US"/>
        </w:rPr>
        <w:fldChar w:fldCharType="separate"/>
      </w:r>
      <w:r w:rsidR="006E1902" w:rsidRPr="006E1902">
        <w:rPr>
          <w:noProof/>
        </w:rPr>
        <w:t>[209]</w:t>
      </w:r>
      <w:r w:rsidRPr="000322E4">
        <w:rPr>
          <w:b/>
          <w:lang w:val="en-US"/>
        </w:rPr>
        <w:fldChar w:fldCharType="end"/>
      </w:r>
    </w:p>
    <w:p w14:paraId="3F9B31E0" w14:textId="74552D20" w:rsidR="00666D68" w:rsidRPr="000322E4" w:rsidRDefault="00666D68" w:rsidP="008E3584">
      <w:pPr>
        <w:numPr>
          <w:ilvl w:val="0"/>
          <w:numId w:val="39"/>
        </w:numPr>
        <w:spacing w:line="360" w:lineRule="auto"/>
        <w:jc w:val="both"/>
      </w:pPr>
      <w:r w:rsidRPr="000322E4">
        <w:t xml:space="preserve">Ритуксимаб** </w:t>
      </w:r>
      <w:r w:rsidRPr="000322E4">
        <w:fldChar w:fldCharType="begin" w:fldLock="1"/>
      </w:r>
      <w:r w:rsidR="009D170B">
        <w:instrText>ADDIN CSL_CITATION {"citationItems":[{"id":"ITEM-1","itemData":{"DOI":"10.1007/s12325-017-0612-x","ISSN":"18658652","abstract":"Abstract: Rituximab is a human/murine, chimeric anti-CD20 monoclonal antibody with established efficacy, and a favorable and well-defined safety profile in patients with various CD20-expressing lymphoid malignancies, including indolent and aggressive forms of B-cell non-Hodgkin lymphoma. Since its first approval 20 years ago, intravenously administered rituximab has revolutionized the treatment of B-cell malignancies and has become a standard component of care for follicular lymphoma, diffuse large B-cell lymphoma, chronic lymphocytic leukemia, and mantle cell lymphoma. For all of these diseases, clinical trials have demonstrated that rituximab not only prolongs the time to disease progression but also extends overall survival. Efficacy benefits have also been shown in patients with marginal zone lymphoma and in more aggressive diseases such as Burkitt lymphoma. Although the proven clinical efficacy and success of rituximab has led to the development of other anti-CD20 monoclonal antibodies in recent years (e.g., obinutuzumab, ofatumumab, veltuzumab, and ocrelizumab), rituximab is likely to maintain a position within the therapeutic armamentarium because it is well established with a long history of successful clinical use. Furthermore, a subcutaneous formulation of the drug has been approved both in the EU and in the USA for the treatment of B-cell malignancies. Using the wealth of data published on rituximab during the last two decades, we review the preclinical development of rituximab and the clinical experience gained in the treatment of hematologic B-cell malignancies, with a focus on the well-established intravenous route of administration. This article is a companion paper to A. Davies, et al., which is also published in this issue. Funding: F. Hoffmann-La Roche Ltd., Basel, Switzerland.","author":[{"dropping-particle":"","family":"Salles","given":"Gilles","non-dropping-particle":"","parse-names":false,"suffix":""},{"dropping-particle":"","family":"Barrett","given":"Martin","non-dropping-particle":"","parse-names":false,"suffix":""},{"dropping-particle":"","family":"Foà","given":"Robin","non-dropping-particle":"","parse-names":false,"suffix":""},{"dropping-particle":"","family":"Maurer","given":"Joerg","non-dropping-particle":"","parse-names":false,"suffix":""},{"dropping-particle":"","family":"O’Brien","given":"Susan","non-dropping-particle":"","parse-names":false,"suffix":""},{"dropping-particle":"","family":"Valente","given":"Nancy","non-dropping-particle":"","parse-names":false,"suffix":""},{"dropping-particle":"","family":"Wenger","given":"Michael","non-dropping-particle":"","parse-names":false,"suffix":""},{"dropping-particle":"","family":"Maloney","given":"David G.","non-dropping-particle":"","parse-names":false,"suffix":""}],"container-title":"Advances in Therapy","id":"ITEM-1","issue":"10","issued":{"date-parts":[["2017"]]},"page":"2232-2273","title":"Rituximab in B-Cell Hematologic Malignancies: A Review of 20 Years of Clinical Experience","type":"article","volume":"34"},"uris":["http://www.mendeley.com/documents/?uuid=99572feb-1e31-3440-866b-d3d6fcf81668"]}],"mendeley":{"formattedCitation":"[71]","plainTextFormattedCitation":"[71]","previouslyFormattedCitation":"[71]"},"properties":{"noteIndex":0},"schema":"https://github.com/citation-style-language/schema/raw/master/csl-citation.json"}</w:instrText>
      </w:r>
      <w:r w:rsidRPr="000322E4">
        <w:fldChar w:fldCharType="separate"/>
      </w:r>
      <w:r w:rsidR="00095D58" w:rsidRPr="00095D58">
        <w:rPr>
          <w:noProof/>
        </w:rPr>
        <w:t>[71]</w:t>
      </w:r>
      <w:r w:rsidRPr="000322E4">
        <w:fldChar w:fldCharType="end"/>
      </w:r>
    </w:p>
    <w:p w14:paraId="3FD53BBC" w14:textId="77777777" w:rsidR="00666D68" w:rsidRPr="000322E4" w:rsidRDefault="00666D68" w:rsidP="008E3584">
      <w:pPr>
        <w:numPr>
          <w:ilvl w:val="1"/>
          <w:numId w:val="39"/>
        </w:numPr>
        <w:spacing w:line="360" w:lineRule="auto"/>
        <w:jc w:val="both"/>
      </w:pPr>
      <w:r w:rsidRPr="000322E4">
        <w:t>375 мг/м</w:t>
      </w:r>
      <w:r w:rsidRPr="000322E4">
        <w:rPr>
          <w:vertAlign w:val="superscript"/>
        </w:rPr>
        <w:t>2</w:t>
      </w:r>
      <w:r w:rsidRPr="000322E4">
        <w:t xml:space="preserve"> в/в кап., день 0 или 1 все циклы курса</w:t>
      </w:r>
    </w:p>
    <w:p w14:paraId="72618192" w14:textId="77777777" w:rsidR="00666D68" w:rsidRPr="000322E4" w:rsidRDefault="00666D68" w:rsidP="008E3584">
      <w:pPr>
        <w:spacing w:line="360" w:lineRule="auto"/>
        <w:ind w:left="1080" w:firstLine="336"/>
        <w:jc w:val="both"/>
      </w:pPr>
      <w:r w:rsidRPr="000322E4">
        <w:t>или</w:t>
      </w:r>
    </w:p>
    <w:p w14:paraId="21B4BBEC" w14:textId="236DE658" w:rsidR="00666D68" w:rsidRPr="00293AC8" w:rsidRDefault="00666D68" w:rsidP="008E3584">
      <w:pPr>
        <w:pStyle w:val="afe"/>
        <w:numPr>
          <w:ilvl w:val="1"/>
          <w:numId w:val="39"/>
        </w:numPr>
        <w:contextualSpacing w:val="0"/>
      </w:pPr>
      <w:r w:rsidRPr="000322E4">
        <w:lastRenderedPageBreak/>
        <w:t>375 мг/м</w:t>
      </w:r>
      <w:r w:rsidRPr="000322E4">
        <w:rPr>
          <w:vertAlign w:val="superscript"/>
        </w:rPr>
        <w:t>2</w:t>
      </w:r>
      <w:r w:rsidRPr="000322E4">
        <w:t xml:space="preserve"> в/в кап. 1 цикл, далее ритуксимаб 1400 мг п/к, день 0 или 1 </w:t>
      </w:r>
      <w:r w:rsidRPr="000322E4">
        <w:rPr>
          <w:lang w:val="en-US"/>
        </w:rPr>
        <w:fldChar w:fldCharType="begin" w:fldLock="1"/>
      </w:r>
      <w:r w:rsidR="00A6794A">
        <w:rPr>
          <w:lang w:val="en-US"/>
        </w:rPr>
        <w:instrText>ADDIN</w:instrText>
      </w:r>
      <w:r w:rsidR="00A6794A" w:rsidRPr="00D3550C">
        <w:instrText xml:space="preserve"> </w:instrText>
      </w:r>
      <w:r w:rsidR="00A6794A">
        <w:rPr>
          <w:lang w:val="en-US"/>
        </w:rPr>
        <w:instrText>CSL</w:instrText>
      </w:r>
      <w:r w:rsidR="00A6794A" w:rsidRPr="00D3550C">
        <w:instrText>_</w:instrText>
      </w:r>
      <w:r w:rsidR="00A6794A">
        <w:rPr>
          <w:lang w:val="en-US"/>
        </w:rPr>
        <w:instrText>CITATION</w:instrText>
      </w:r>
      <w:r w:rsidR="00A6794A" w:rsidRPr="00D3550C">
        <w:instrText xml:space="preserve"> {"</w:instrText>
      </w:r>
      <w:r w:rsidR="00A6794A">
        <w:rPr>
          <w:lang w:val="en-US"/>
        </w:rPr>
        <w:instrText>citationItems</w:instrText>
      </w:r>
      <w:r w:rsidR="00A6794A" w:rsidRPr="00D3550C">
        <w:instrText>":[{"</w:instrText>
      </w:r>
      <w:r w:rsidR="00A6794A">
        <w:rPr>
          <w:lang w:val="en-US"/>
        </w:rPr>
        <w:instrText>id</w:instrText>
      </w:r>
      <w:r w:rsidR="00A6794A" w:rsidRPr="00D3550C">
        <w:instrText>":"</w:instrText>
      </w:r>
      <w:r w:rsidR="00A6794A">
        <w:rPr>
          <w:lang w:val="en-US"/>
        </w:rPr>
        <w:instrText>ITEM</w:instrText>
      </w:r>
      <w:r w:rsidR="00A6794A" w:rsidRPr="00D3550C">
        <w:instrText>-1","</w:instrText>
      </w:r>
      <w:r w:rsidR="00A6794A">
        <w:rPr>
          <w:lang w:val="en-US"/>
        </w:rPr>
        <w:instrText>itemData</w:instrText>
      </w:r>
      <w:r w:rsidR="00A6794A" w:rsidRPr="00D3550C">
        <w:instrText>":{"</w:instrText>
      </w:r>
      <w:r w:rsidR="00A6794A">
        <w:rPr>
          <w:lang w:val="en-US"/>
        </w:rPr>
        <w:instrText>ISSN</w:instrText>
      </w:r>
      <w:r w:rsidR="00A6794A" w:rsidRPr="00D3550C">
        <w:instrText>":"2150-0878","</w:instrText>
      </w:r>
      <w:r w:rsidR="00A6794A">
        <w:rPr>
          <w:lang w:val="en-US"/>
        </w:rPr>
        <w:instrText>PMID</w:instrText>
      </w:r>
      <w:r w:rsidR="00A6794A" w:rsidRPr="00D3550C">
        <w:instrText>":"31086689","</w:instrText>
      </w:r>
      <w:r w:rsidR="00A6794A">
        <w:rPr>
          <w:lang w:val="en-US"/>
        </w:rPr>
        <w:instrText>abstract</w:instrText>
      </w:r>
      <w:r w:rsidR="00A6794A" w:rsidRPr="00D3550C">
        <w:instrText>":"</w:instrText>
      </w:r>
      <w:r w:rsidR="00A6794A">
        <w:rPr>
          <w:lang w:val="en-US"/>
        </w:rPr>
        <w:instrText>Rituximab</w:instrText>
      </w:r>
      <w:r w:rsidR="00A6794A" w:rsidRPr="00D3550C">
        <w:instrText xml:space="preserve"> </w:instrText>
      </w:r>
      <w:r w:rsidR="00A6794A">
        <w:rPr>
          <w:lang w:val="en-US"/>
        </w:rPr>
        <w:instrText>and</w:instrText>
      </w:r>
      <w:r w:rsidR="00A6794A" w:rsidRPr="00D3550C">
        <w:instrText xml:space="preserve"> </w:instrText>
      </w:r>
      <w:r w:rsidR="00A6794A">
        <w:rPr>
          <w:lang w:val="en-US"/>
        </w:rPr>
        <w:instrText>hyaluronidase</w:instrText>
      </w:r>
      <w:r w:rsidR="00A6794A" w:rsidRPr="00D3550C">
        <w:instrText xml:space="preserve"> </w:instrText>
      </w:r>
      <w:r w:rsidR="00A6794A">
        <w:rPr>
          <w:lang w:val="en-US"/>
        </w:rPr>
        <w:instrText>human</w:instrText>
      </w:r>
      <w:r w:rsidR="00A6794A" w:rsidRPr="00D3550C">
        <w:instrText xml:space="preserve"> </w:instrText>
      </w:r>
      <w:r w:rsidR="00A6794A">
        <w:rPr>
          <w:lang w:val="en-US"/>
        </w:rPr>
        <w:instrText>is</w:instrText>
      </w:r>
      <w:r w:rsidR="00A6794A" w:rsidRPr="00D3550C">
        <w:instrText xml:space="preserve"> </w:instrText>
      </w:r>
      <w:r w:rsidR="00A6794A">
        <w:rPr>
          <w:lang w:val="en-US"/>
        </w:rPr>
        <w:instrText>a</w:instrText>
      </w:r>
      <w:r w:rsidR="00A6794A" w:rsidRPr="00D3550C">
        <w:instrText xml:space="preserve"> </w:instrText>
      </w:r>
      <w:r w:rsidR="00A6794A">
        <w:rPr>
          <w:lang w:val="en-US"/>
        </w:rPr>
        <w:instrText>new</w:instrText>
      </w:r>
      <w:r w:rsidR="00A6794A" w:rsidRPr="00D3550C">
        <w:instrText xml:space="preserve"> </w:instrText>
      </w:r>
      <w:r w:rsidR="00A6794A">
        <w:rPr>
          <w:lang w:val="en-US"/>
        </w:rPr>
        <w:instrText>subcutaneous</w:instrText>
      </w:r>
      <w:r w:rsidR="00A6794A" w:rsidRPr="00D3550C">
        <w:instrText xml:space="preserve"> </w:instrText>
      </w:r>
      <w:r w:rsidR="00A6794A">
        <w:rPr>
          <w:lang w:val="en-US"/>
        </w:rPr>
        <w:instrText>formulation</w:instrText>
      </w:r>
      <w:r w:rsidR="00A6794A" w:rsidRPr="00D3550C">
        <w:instrText xml:space="preserve"> </w:instrText>
      </w:r>
      <w:r w:rsidR="00A6794A">
        <w:rPr>
          <w:lang w:val="en-US"/>
        </w:rPr>
        <w:instrText>of</w:instrText>
      </w:r>
      <w:r w:rsidR="00A6794A" w:rsidRPr="00D3550C">
        <w:instrText xml:space="preserve"> </w:instrText>
      </w:r>
      <w:r w:rsidR="00A6794A">
        <w:rPr>
          <w:lang w:val="en-US"/>
        </w:rPr>
        <w:instrText>rituximab</w:instrText>
      </w:r>
      <w:r w:rsidR="00A6794A" w:rsidRPr="00D3550C">
        <w:instrText xml:space="preserve"> </w:instrText>
      </w:r>
      <w:r w:rsidR="00A6794A">
        <w:rPr>
          <w:lang w:val="en-US"/>
        </w:rPr>
        <w:instrText>that</w:instrText>
      </w:r>
      <w:r w:rsidR="00A6794A" w:rsidRPr="00D3550C">
        <w:instrText xml:space="preserve"> </w:instrText>
      </w:r>
      <w:r w:rsidR="00A6794A">
        <w:rPr>
          <w:lang w:val="en-US"/>
        </w:rPr>
        <w:instrText>was</w:instrText>
      </w:r>
      <w:r w:rsidR="00A6794A" w:rsidRPr="00D3550C">
        <w:instrText xml:space="preserve"> </w:instrText>
      </w:r>
      <w:r w:rsidR="00A6794A">
        <w:rPr>
          <w:lang w:val="en-US"/>
        </w:rPr>
        <w:instrText>recently</w:instrText>
      </w:r>
      <w:r w:rsidR="00A6794A" w:rsidRPr="00D3550C">
        <w:instrText xml:space="preserve"> </w:instrText>
      </w:r>
      <w:r w:rsidR="00A6794A">
        <w:rPr>
          <w:lang w:val="en-US"/>
        </w:rPr>
        <w:instrText>approved</w:instrText>
      </w:r>
      <w:r w:rsidR="00A6794A" w:rsidRPr="00D3550C">
        <w:instrText xml:space="preserve"> </w:instrText>
      </w:r>
      <w:r w:rsidR="00A6794A">
        <w:rPr>
          <w:lang w:val="en-US"/>
        </w:rPr>
        <w:instrText>by</w:instrText>
      </w:r>
      <w:r w:rsidR="00A6794A" w:rsidRPr="00D3550C">
        <w:instrText xml:space="preserve"> </w:instrText>
      </w:r>
      <w:r w:rsidR="00A6794A">
        <w:rPr>
          <w:lang w:val="en-US"/>
        </w:rPr>
        <w:instrText>the</w:instrText>
      </w:r>
      <w:r w:rsidR="00A6794A" w:rsidRPr="00D3550C">
        <w:instrText xml:space="preserve"> </w:instrText>
      </w:r>
      <w:r w:rsidR="00A6794A">
        <w:rPr>
          <w:lang w:val="en-US"/>
        </w:rPr>
        <w:instrText>US</w:instrText>
      </w:r>
      <w:r w:rsidR="00A6794A" w:rsidRPr="00D3550C">
        <w:instrText xml:space="preserve"> </w:instrText>
      </w:r>
      <w:r w:rsidR="00A6794A">
        <w:rPr>
          <w:lang w:val="en-US"/>
        </w:rPr>
        <w:instrText>Food</w:instrText>
      </w:r>
      <w:r w:rsidR="00A6794A" w:rsidRPr="00D3550C">
        <w:instrText xml:space="preserve"> </w:instrText>
      </w:r>
      <w:r w:rsidR="00A6794A">
        <w:rPr>
          <w:lang w:val="en-US"/>
        </w:rPr>
        <w:instrText>and</w:instrText>
      </w:r>
      <w:r w:rsidR="00A6794A" w:rsidRPr="00D3550C">
        <w:instrText xml:space="preserve"> </w:instrText>
      </w:r>
      <w:r w:rsidR="00A6794A">
        <w:rPr>
          <w:lang w:val="en-US"/>
        </w:rPr>
        <w:instrText>Drug</w:instrText>
      </w:r>
      <w:r w:rsidR="00A6794A" w:rsidRPr="00D3550C">
        <w:instrText xml:space="preserve"> </w:instrText>
      </w:r>
      <w:r w:rsidR="00A6794A">
        <w:rPr>
          <w:lang w:val="en-US"/>
        </w:rPr>
        <w:instrText>Administration</w:instrText>
      </w:r>
      <w:r w:rsidR="00A6794A" w:rsidRPr="00D3550C">
        <w:instrText xml:space="preserve"> </w:instrText>
      </w:r>
      <w:r w:rsidR="00A6794A">
        <w:rPr>
          <w:lang w:val="en-US"/>
        </w:rPr>
        <w:instrText>for</w:instrText>
      </w:r>
      <w:r w:rsidR="00A6794A" w:rsidRPr="00D3550C">
        <w:instrText xml:space="preserve"> </w:instrText>
      </w:r>
      <w:r w:rsidR="00A6794A">
        <w:rPr>
          <w:lang w:val="en-US"/>
        </w:rPr>
        <w:instrText>the</w:instrText>
      </w:r>
      <w:r w:rsidR="00A6794A" w:rsidRPr="00D3550C">
        <w:instrText xml:space="preserve"> </w:instrText>
      </w:r>
      <w:r w:rsidR="00A6794A">
        <w:rPr>
          <w:lang w:val="en-US"/>
        </w:rPr>
        <w:instrText>treatment</w:instrText>
      </w:r>
      <w:r w:rsidR="00A6794A" w:rsidRPr="00D3550C">
        <w:instrText xml:space="preserve"> </w:instrText>
      </w:r>
      <w:r w:rsidR="00A6794A">
        <w:rPr>
          <w:lang w:val="en-US"/>
        </w:rPr>
        <w:instrText>of</w:instrText>
      </w:r>
      <w:r w:rsidR="00A6794A" w:rsidRPr="00D3550C">
        <w:instrText xml:space="preserve"> </w:instrText>
      </w:r>
      <w:r w:rsidR="00A6794A">
        <w:rPr>
          <w:lang w:val="en-US"/>
        </w:rPr>
        <w:instrText>adults</w:instrText>
      </w:r>
      <w:r w:rsidR="00A6794A" w:rsidRPr="00D3550C">
        <w:instrText xml:space="preserve"> </w:instrText>
      </w:r>
      <w:r w:rsidR="00A6794A">
        <w:rPr>
          <w:lang w:val="en-US"/>
        </w:rPr>
        <w:instrText>with</w:instrText>
      </w:r>
      <w:r w:rsidR="00A6794A" w:rsidRPr="00D3550C">
        <w:instrText xml:space="preserve"> </w:instrText>
      </w:r>
      <w:r w:rsidR="00A6794A">
        <w:rPr>
          <w:lang w:val="en-US"/>
        </w:rPr>
        <w:instrText>follicular</w:instrText>
      </w:r>
      <w:r w:rsidR="00A6794A" w:rsidRPr="00D3550C">
        <w:instrText xml:space="preserve"> </w:instrText>
      </w:r>
      <w:r w:rsidR="00A6794A">
        <w:rPr>
          <w:lang w:val="en-US"/>
        </w:rPr>
        <w:instrText>lymphoma</w:instrText>
      </w:r>
      <w:r w:rsidR="00A6794A" w:rsidRPr="00D3550C">
        <w:instrText xml:space="preserve">, </w:instrText>
      </w:r>
      <w:r w:rsidR="00A6794A">
        <w:rPr>
          <w:lang w:val="en-US"/>
        </w:rPr>
        <w:instrText>diffuse</w:instrText>
      </w:r>
      <w:r w:rsidR="00A6794A" w:rsidRPr="00D3550C">
        <w:instrText xml:space="preserve"> </w:instrText>
      </w:r>
      <w:r w:rsidR="00A6794A">
        <w:rPr>
          <w:lang w:val="en-US"/>
        </w:rPr>
        <w:instrText>large</w:instrText>
      </w:r>
      <w:r w:rsidR="00A6794A" w:rsidRPr="00D3550C">
        <w:instrText xml:space="preserve"> </w:instrText>
      </w:r>
      <w:r w:rsidR="00A6794A">
        <w:rPr>
          <w:lang w:val="en-US"/>
        </w:rPr>
        <w:instrText>B</w:instrText>
      </w:r>
      <w:r w:rsidR="00A6794A" w:rsidRPr="00D3550C">
        <w:instrText>-</w:instrText>
      </w:r>
      <w:r w:rsidR="00A6794A">
        <w:rPr>
          <w:lang w:val="en-US"/>
        </w:rPr>
        <w:instrText>cell</w:instrText>
      </w:r>
      <w:r w:rsidR="00A6794A" w:rsidRPr="00D3550C">
        <w:instrText xml:space="preserve"> </w:instrText>
      </w:r>
      <w:r w:rsidR="00A6794A">
        <w:rPr>
          <w:lang w:val="en-US"/>
        </w:rPr>
        <w:instrText>lymphoma</w:instrText>
      </w:r>
      <w:r w:rsidR="00A6794A" w:rsidRPr="00D3550C">
        <w:instrText xml:space="preserve">, </w:instrText>
      </w:r>
      <w:r w:rsidR="00A6794A">
        <w:rPr>
          <w:lang w:val="en-US"/>
        </w:rPr>
        <w:instrText>and</w:instrText>
      </w:r>
      <w:r w:rsidR="00A6794A" w:rsidRPr="00D3550C">
        <w:instrText xml:space="preserve"> </w:instrText>
      </w:r>
      <w:r w:rsidR="00A6794A">
        <w:rPr>
          <w:lang w:val="en-US"/>
        </w:rPr>
        <w:instrText>chronic</w:instrText>
      </w:r>
      <w:r w:rsidR="00A6794A" w:rsidRPr="00D3550C">
        <w:instrText xml:space="preserve"> </w:instrText>
      </w:r>
      <w:r w:rsidR="00A6794A">
        <w:rPr>
          <w:lang w:val="en-US"/>
        </w:rPr>
        <w:instrText>lymphocytic</w:instrText>
      </w:r>
      <w:r w:rsidR="00A6794A" w:rsidRPr="00D3550C">
        <w:instrText xml:space="preserve"> </w:instrText>
      </w:r>
      <w:r w:rsidR="00A6794A">
        <w:rPr>
          <w:lang w:val="en-US"/>
        </w:rPr>
        <w:instrText>leukemia</w:instrText>
      </w:r>
      <w:r w:rsidR="00A6794A" w:rsidRPr="00D3550C">
        <w:instrText xml:space="preserve">. </w:instrText>
      </w:r>
      <w:r w:rsidR="00A6794A">
        <w:rPr>
          <w:lang w:val="en-US"/>
        </w:rPr>
        <w:instrText>With</w:instrText>
      </w:r>
      <w:r w:rsidR="00A6794A" w:rsidRPr="00D3550C">
        <w:instrText xml:space="preserve"> </w:instrText>
      </w:r>
      <w:r w:rsidR="00A6794A">
        <w:rPr>
          <w:lang w:val="en-US"/>
        </w:rPr>
        <w:instrText>data</w:instrText>
      </w:r>
      <w:r w:rsidR="00A6794A" w:rsidRPr="00D3550C">
        <w:instrText xml:space="preserve"> </w:instrText>
      </w:r>
      <w:r w:rsidR="00A6794A">
        <w:rPr>
          <w:lang w:val="en-US"/>
        </w:rPr>
        <w:instrText>to</w:instrText>
      </w:r>
      <w:r w:rsidR="00A6794A" w:rsidRPr="00D3550C">
        <w:instrText xml:space="preserve"> </w:instrText>
      </w:r>
      <w:r w:rsidR="00A6794A">
        <w:rPr>
          <w:lang w:val="en-US"/>
        </w:rPr>
        <w:instrText>support</w:instrText>
      </w:r>
      <w:r w:rsidR="00A6794A" w:rsidRPr="00D3550C">
        <w:instrText xml:space="preserve"> </w:instrText>
      </w:r>
      <w:r w:rsidR="00A6794A">
        <w:rPr>
          <w:lang w:val="en-US"/>
        </w:rPr>
        <w:instrText>noninferior</w:instrText>
      </w:r>
      <w:r w:rsidR="00A6794A" w:rsidRPr="00D3550C">
        <w:instrText xml:space="preserve"> </w:instrText>
      </w:r>
      <w:r w:rsidR="00A6794A">
        <w:rPr>
          <w:lang w:val="en-US"/>
        </w:rPr>
        <w:instrText>pharmacokinetics</w:instrText>
      </w:r>
      <w:r w:rsidR="00A6794A" w:rsidRPr="00D3550C">
        <w:instrText xml:space="preserve">, </w:instrText>
      </w:r>
      <w:r w:rsidR="00A6794A">
        <w:rPr>
          <w:lang w:val="en-US"/>
        </w:rPr>
        <w:instrText>similar</w:instrText>
      </w:r>
      <w:r w:rsidR="00A6794A" w:rsidRPr="00D3550C">
        <w:instrText xml:space="preserve"> </w:instrText>
      </w:r>
      <w:r w:rsidR="00A6794A">
        <w:rPr>
          <w:lang w:val="en-US"/>
        </w:rPr>
        <w:instrText>outcomes</w:instrText>
      </w:r>
      <w:r w:rsidR="00A6794A" w:rsidRPr="00D3550C">
        <w:instrText xml:space="preserve">, </w:instrText>
      </w:r>
      <w:r w:rsidR="00A6794A">
        <w:rPr>
          <w:lang w:val="en-US"/>
        </w:rPr>
        <w:instrText>and</w:instrText>
      </w:r>
      <w:r w:rsidR="00A6794A" w:rsidRPr="00D3550C">
        <w:instrText xml:space="preserve"> </w:instrText>
      </w:r>
      <w:r w:rsidR="00A6794A">
        <w:rPr>
          <w:lang w:val="en-US"/>
        </w:rPr>
        <w:instrText>comparable</w:instrText>
      </w:r>
      <w:r w:rsidR="00A6794A" w:rsidRPr="00D3550C">
        <w:instrText xml:space="preserve"> </w:instrText>
      </w:r>
      <w:r w:rsidR="00A6794A">
        <w:rPr>
          <w:lang w:val="en-US"/>
        </w:rPr>
        <w:instrText>adverse</w:instrText>
      </w:r>
      <w:r w:rsidR="00A6794A" w:rsidRPr="00D3550C">
        <w:instrText xml:space="preserve"> </w:instrText>
      </w:r>
      <w:r w:rsidR="00A6794A">
        <w:rPr>
          <w:lang w:val="en-US"/>
        </w:rPr>
        <w:instrText>events</w:instrText>
      </w:r>
      <w:r w:rsidR="00A6794A" w:rsidRPr="00D3550C">
        <w:instrText xml:space="preserve">, </w:instrText>
      </w:r>
      <w:r w:rsidR="00A6794A">
        <w:rPr>
          <w:lang w:val="en-US"/>
        </w:rPr>
        <w:instrText>rituximab</w:instrText>
      </w:r>
      <w:r w:rsidR="00A6794A" w:rsidRPr="00D3550C">
        <w:instrText xml:space="preserve"> </w:instrText>
      </w:r>
      <w:r w:rsidR="00A6794A">
        <w:rPr>
          <w:lang w:val="en-US"/>
        </w:rPr>
        <w:instrText>and</w:instrText>
      </w:r>
      <w:r w:rsidR="00A6794A" w:rsidRPr="00D3550C">
        <w:instrText xml:space="preserve"> </w:instrText>
      </w:r>
      <w:r w:rsidR="00A6794A">
        <w:rPr>
          <w:lang w:val="en-US"/>
        </w:rPr>
        <w:instrText>hyaluronidase</w:instrText>
      </w:r>
      <w:r w:rsidR="00A6794A" w:rsidRPr="00D3550C">
        <w:instrText xml:space="preserve"> </w:instrText>
      </w:r>
      <w:r w:rsidR="00A6794A">
        <w:rPr>
          <w:lang w:val="en-US"/>
        </w:rPr>
        <w:instrText>human</w:instrText>
      </w:r>
      <w:r w:rsidR="00A6794A" w:rsidRPr="00D3550C">
        <w:instrText xml:space="preserve"> </w:instrText>
      </w:r>
      <w:r w:rsidR="00A6794A">
        <w:rPr>
          <w:lang w:val="en-US"/>
        </w:rPr>
        <w:instrText>may</w:instrText>
      </w:r>
      <w:r w:rsidR="00A6794A" w:rsidRPr="00D3550C">
        <w:instrText xml:space="preserve"> </w:instrText>
      </w:r>
      <w:r w:rsidR="00A6794A">
        <w:rPr>
          <w:lang w:val="en-US"/>
        </w:rPr>
        <w:instrText>offer</w:instrText>
      </w:r>
      <w:r w:rsidR="00A6794A" w:rsidRPr="00D3550C">
        <w:instrText xml:space="preserve"> </w:instrText>
      </w:r>
      <w:r w:rsidR="00A6794A">
        <w:rPr>
          <w:lang w:val="en-US"/>
        </w:rPr>
        <w:instrText>a</w:instrText>
      </w:r>
      <w:r w:rsidR="00A6794A" w:rsidRPr="00D3550C">
        <w:instrText xml:space="preserve"> </w:instrText>
      </w:r>
      <w:r w:rsidR="00A6794A">
        <w:rPr>
          <w:lang w:val="en-US"/>
        </w:rPr>
        <w:instrText>suitable</w:instrText>
      </w:r>
      <w:r w:rsidR="00A6794A" w:rsidRPr="00D3550C">
        <w:instrText xml:space="preserve"> </w:instrText>
      </w:r>
      <w:r w:rsidR="00A6794A">
        <w:rPr>
          <w:lang w:val="en-US"/>
        </w:rPr>
        <w:instrText>alternative</w:instrText>
      </w:r>
      <w:r w:rsidR="00A6794A" w:rsidRPr="00D3550C">
        <w:instrText xml:space="preserve"> </w:instrText>
      </w:r>
      <w:r w:rsidR="00A6794A">
        <w:rPr>
          <w:lang w:val="en-US"/>
        </w:rPr>
        <w:instrText>to</w:instrText>
      </w:r>
      <w:r w:rsidR="00A6794A" w:rsidRPr="00D3550C">
        <w:instrText xml:space="preserve"> </w:instrText>
      </w:r>
      <w:r w:rsidR="00A6794A">
        <w:rPr>
          <w:lang w:val="en-US"/>
        </w:rPr>
        <w:instrText>intravenous</w:instrText>
      </w:r>
      <w:r w:rsidR="00A6794A" w:rsidRPr="00D3550C">
        <w:instrText xml:space="preserve"> </w:instrText>
      </w:r>
      <w:r w:rsidR="00A6794A">
        <w:rPr>
          <w:lang w:val="en-US"/>
        </w:rPr>
        <w:instrText>rituximab</w:instrText>
      </w:r>
      <w:r w:rsidR="00A6794A" w:rsidRPr="00D3550C">
        <w:instrText xml:space="preserve"> </w:instrText>
      </w:r>
      <w:r w:rsidR="00A6794A">
        <w:rPr>
          <w:lang w:val="en-US"/>
        </w:rPr>
        <w:instrText>that</w:instrText>
      </w:r>
      <w:r w:rsidR="00A6794A" w:rsidRPr="00D3550C">
        <w:instrText xml:space="preserve"> </w:instrText>
      </w:r>
      <w:r w:rsidR="00A6794A">
        <w:rPr>
          <w:lang w:val="en-US"/>
        </w:rPr>
        <w:instrText>could</w:instrText>
      </w:r>
      <w:r w:rsidR="00A6794A" w:rsidRPr="00D3550C">
        <w:instrText xml:space="preserve"> </w:instrText>
      </w:r>
      <w:r w:rsidR="00A6794A">
        <w:rPr>
          <w:lang w:val="en-US"/>
        </w:rPr>
        <w:instrText>improve</w:instrText>
      </w:r>
      <w:r w:rsidR="00A6794A" w:rsidRPr="00D3550C">
        <w:instrText xml:space="preserve"> </w:instrText>
      </w:r>
      <w:r w:rsidR="00A6794A">
        <w:rPr>
          <w:lang w:val="en-US"/>
        </w:rPr>
        <w:instrText>convenience</w:instrText>
      </w:r>
      <w:r w:rsidR="00A6794A" w:rsidRPr="00D3550C">
        <w:instrText xml:space="preserve"> </w:instrText>
      </w:r>
      <w:r w:rsidR="00A6794A">
        <w:rPr>
          <w:lang w:val="en-US"/>
        </w:rPr>
        <w:instrText>for</w:instrText>
      </w:r>
      <w:r w:rsidR="00A6794A" w:rsidRPr="00D3550C">
        <w:instrText xml:space="preserve"> </w:instrText>
      </w:r>
      <w:r w:rsidR="00A6794A">
        <w:rPr>
          <w:lang w:val="en-US"/>
        </w:rPr>
        <w:instrText>patients</w:instrText>
      </w:r>
      <w:r w:rsidR="00A6794A" w:rsidRPr="00D3550C">
        <w:instrText xml:space="preserve"> </w:instrText>
      </w:r>
      <w:r w:rsidR="00A6794A">
        <w:rPr>
          <w:lang w:val="en-US"/>
        </w:rPr>
        <w:instrText>and</w:instrText>
      </w:r>
      <w:r w:rsidR="00A6794A" w:rsidRPr="00D3550C">
        <w:instrText xml:space="preserve"> </w:instrText>
      </w:r>
      <w:r w:rsidR="00A6794A">
        <w:rPr>
          <w:lang w:val="en-US"/>
        </w:rPr>
        <w:instrText>better</w:instrText>
      </w:r>
      <w:r w:rsidR="00A6794A" w:rsidRPr="00D3550C">
        <w:instrText xml:space="preserve"> </w:instrText>
      </w:r>
      <w:r w:rsidR="00A6794A">
        <w:rPr>
          <w:lang w:val="en-US"/>
        </w:rPr>
        <w:instrText>utilize</w:instrText>
      </w:r>
      <w:r w:rsidR="00A6794A" w:rsidRPr="00D3550C">
        <w:instrText xml:space="preserve"> </w:instrText>
      </w:r>
      <w:r w:rsidR="00A6794A">
        <w:rPr>
          <w:lang w:val="en-US"/>
        </w:rPr>
        <w:instrText>health</w:instrText>
      </w:r>
      <w:r w:rsidR="00A6794A" w:rsidRPr="00D3550C">
        <w:instrText>-</w:instrText>
      </w:r>
      <w:r w:rsidR="00A6794A">
        <w:rPr>
          <w:lang w:val="en-US"/>
        </w:rPr>
        <w:instrText>care</w:instrText>
      </w:r>
      <w:r w:rsidR="00A6794A" w:rsidRPr="00D3550C">
        <w:instrText xml:space="preserve"> </w:instrText>
      </w:r>
      <w:r w:rsidR="00A6794A">
        <w:rPr>
          <w:lang w:val="en-US"/>
        </w:rPr>
        <w:instrText>resources</w:instrText>
      </w:r>
      <w:r w:rsidR="00A6794A" w:rsidRPr="00D3550C">
        <w:instrText>.","</w:instrText>
      </w:r>
      <w:r w:rsidR="00A6794A">
        <w:rPr>
          <w:lang w:val="en-US"/>
        </w:rPr>
        <w:instrText>author</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family</w:instrText>
      </w:r>
      <w:r w:rsidR="00A6794A" w:rsidRPr="00D3550C">
        <w:instrText>":"</w:instrText>
      </w:r>
      <w:r w:rsidR="00A6794A">
        <w:rPr>
          <w:lang w:val="en-US"/>
        </w:rPr>
        <w:instrText>Yelvington</w:instrText>
      </w:r>
      <w:r w:rsidR="00A6794A" w:rsidRPr="00D3550C">
        <w:instrText>","</w:instrText>
      </w:r>
      <w:r w:rsidR="00A6794A">
        <w:rPr>
          <w:lang w:val="en-US"/>
        </w:rPr>
        <w:instrText>given</w:instrText>
      </w:r>
      <w:r w:rsidR="00A6794A" w:rsidRPr="00D3550C">
        <w:instrText>":"</w:instrText>
      </w:r>
      <w:r w:rsidR="00A6794A">
        <w:rPr>
          <w:lang w:val="en-US"/>
        </w:rPr>
        <w:instrText>Bradley</w:instrText>
      </w:r>
      <w:r w:rsidR="00A6794A" w:rsidRPr="00D3550C">
        <w:instrText xml:space="preserve"> </w:instrText>
      </w:r>
      <w:r w:rsidR="00A6794A">
        <w:rPr>
          <w:lang w:val="en-US"/>
        </w:rPr>
        <w:instrText>J</w:instrText>
      </w:r>
      <w:r w:rsidR="00A6794A" w:rsidRPr="00D3550C">
        <w:instrText>","</w:instrText>
      </w:r>
      <w:r w:rsidR="00A6794A">
        <w:rPr>
          <w:lang w:val="en-US"/>
        </w:rPr>
        <w:instrText>non</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parse</w:instrText>
      </w:r>
      <w:r w:rsidR="00A6794A" w:rsidRPr="00D3550C">
        <w:instrText>-</w:instrText>
      </w:r>
      <w:r w:rsidR="00A6794A">
        <w:rPr>
          <w:lang w:val="en-US"/>
        </w:rPr>
        <w:instrText>names</w:instrText>
      </w:r>
      <w:r w:rsidR="00A6794A" w:rsidRPr="00D3550C">
        <w:instrText>":</w:instrText>
      </w:r>
      <w:r w:rsidR="00A6794A">
        <w:rPr>
          <w:lang w:val="en-US"/>
        </w:rPr>
        <w:instrText>false</w:instrText>
      </w:r>
      <w:r w:rsidR="00A6794A" w:rsidRPr="00D3550C">
        <w:instrText>,"</w:instrText>
      </w:r>
      <w:r w:rsidR="00A6794A">
        <w:rPr>
          <w:lang w:val="en-US"/>
        </w:rPr>
        <w:instrText>suffix</w:instrText>
      </w:r>
      <w:r w:rsidR="00A6794A" w:rsidRPr="00D3550C">
        <w:instrText>":""}],"</w:instrText>
      </w:r>
      <w:r w:rsidR="00A6794A">
        <w:rPr>
          <w:lang w:val="en-US"/>
        </w:rPr>
        <w:instrText>container</w:instrText>
      </w:r>
      <w:r w:rsidR="00A6794A" w:rsidRPr="00D3550C">
        <w:instrText>-</w:instrText>
      </w:r>
      <w:r w:rsidR="00A6794A">
        <w:rPr>
          <w:lang w:val="en-US"/>
        </w:rPr>
        <w:instrText>title</w:instrText>
      </w:r>
      <w:r w:rsidR="00A6794A" w:rsidRPr="00D3550C">
        <w:instrText>":"</w:instrText>
      </w:r>
      <w:r w:rsidR="00A6794A">
        <w:rPr>
          <w:lang w:val="en-US"/>
        </w:rPr>
        <w:instrText>Journal</w:instrText>
      </w:r>
      <w:r w:rsidR="00A6794A" w:rsidRPr="00D3550C">
        <w:instrText xml:space="preserve"> </w:instrText>
      </w:r>
      <w:r w:rsidR="00A6794A">
        <w:rPr>
          <w:lang w:val="en-US"/>
        </w:rPr>
        <w:instrText>of</w:instrText>
      </w:r>
      <w:r w:rsidR="00A6794A" w:rsidRPr="00D3550C">
        <w:instrText xml:space="preserve"> </w:instrText>
      </w:r>
      <w:r w:rsidR="00A6794A">
        <w:rPr>
          <w:lang w:val="en-US"/>
        </w:rPr>
        <w:instrText>the</w:instrText>
      </w:r>
      <w:r w:rsidR="00A6794A" w:rsidRPr="00D3550C">
        <w:instrText xml:space="preserve"> </w:instrText>
      </w:r>
      <w:r w:rsidR="00A6794A">
        <w:rPr>
          <w:lang w:val="en-US"/>
        </w:rPr>
        <w:instrText>advanced</w:instrText>
      </w:r>
      <w:r w:rsidR="00A6794A" w:rsidRPr="00D3550C">
        <w:instrText xml:space="preserve"> </w:instrText>
      </w:r>
      <w:r w:rsidR="00A6794A">
        <w:rPr>
          <w:lang w:val="en-US"/>
        </w:rPr>
        <w:instrText>practitioner</w:instrText>
      </w:r>
      <w:r w:rsidR="00A6794A" w:rsidRPr="00D3550C">
        <w:instrText xml:space="preserve"> </w:instrText>
      </w:r>
      <w:r w:rsidR="00A6794A">
        <w:rPr>
          <w:lang w:val="en-US"/>
        </w:rPr>
        <w:instrText>in</w:instrText>
      </w:r>
      <w:r w:rsidR="00A6794A" w:rsidRPr="00D3550C">
        <w:instrText xml:space="preserve"> </w:instrText>
      </w:r>
      <w:r w:rsidR="00A6794A">
        <w:rPr>
          <w:lang w:val="en-US"/>
        </w:rPr>
        <w:instrText>oncology</w:instrText>
      </w:r>
      <w:r w:rsidR="00A6794A" w:rsidRPr="00D3550C">
        <w:instrText>","</w:instrText>
      </w:r>
      <w:r w:rsidR="00A6794A">
        <w:rPr>
          <w:lang w:val="en-US"/>
        </w:rPr>
        <w:instrText>id</w:instrText>
      </w:r>
      <w:r w:rsidR="00A6794A" w:rsidRPr="00D3550C">
        <w:instrText>":"</w:instrText>
      </w:r>
      <w:r w:rsidR="00A6794A">
        <w:rPr>
          <w:lang w:val="en-US"/>
        </w:rPr>
        <w:instrText>ITEM</w:instrText>
      </w:r>
      <w:r w:rsidR="00A6794A" w:rsidRPr="00D3550C">
        <w:instrText>-1","</w:instrText>
      </w:r>
      <w:r w:rsidR="00A6794A">
        <w:rPr>
          <w:lang w:val="en-US"/>
        </w:rPr>
        <w:instrText>issue</w:instrText>
      </w:r>
      <w:r w:rsidR="00A6794A" w:rsidRPr="00D3550C">
        <w:instrText>":"5","</w:instrText>
      </w:r>
      <w:r w:rsidR="00A6794A">
        <w:rPr>
          <w:lang w:val="en-US"/>
        </w:rPr>
        <w:instrText>issued</w:instrText>
      </w:r>
      <w:r w:rsidR="00A6794A" w:rsidRPr="00D3550C">
        <w:instrText>":{"</w:instrText>
      </w:r>
      <w:r w:rsidR="00A6794A">
        <w:rPr>
          <w:lang w:val="en-US"/>
        </w:rPr>
        <w:instrText>date</w:instrText>
      </w:r>
      <w:r w:rsidR="00A6794A" w:rsidRPr="00D3550C">
        <w:instrText>-</w:instrText>
      </w:r>
      <w:r w:rsidR="00A6794A">
        <w:rPr>
          <w:lang w:val="en-US"/>
        </w:rPr>
        <w:instrText>parts</w:instrText>
      </w:r>
      <w:r w:rsidR="00A6794A" w:rsidRPr="00D3550C">
        <w:instrText>":[["2018"]]},"</w:instrText>
      </w:r>
      <w:r w:rsidR="00A6794A">
        <w:rPr>
          <w:lang w:val="en-US"/>
        </w:rPr>
        <w:instrText>page</w:instrText>
      </w:r>
      <w:r w:rsidR="00A6794A" w:rsidRPr="00D3550C">
        <w:instrText>":"530-534","</w:instrText>
      </w:r>
      <w:r w:rsidR="00A6794A">
        <w:rPr>
          <w:lang w:val="en-US"/>
        </w:rPr>
        <w:instrText>publisher</w:instrText>
      </w:r>
      <w:r w:rsidR="00A6794A" w:rsidRPr="00D3550C">
        <w:instrText>":"</w:instrText>
      </w:r>
      <w:r w:rsidR="00A6794A">
        <w:rPr>
          <w:lang w:val="en-US"/>
        </w:rPr>
        <w:instrText>Harborside</w:instrText>
      </w:r>
      <w:r w:rsidR="00A6794A" w:rsidRPr="00D3550C">
        <w:instrText xml:space="preserve"> </w:instrText>
      </w:r>
      <w:r w:rsidR="00A6794A">
        <w:rPr>
          <w:lang w:val="en-US"/>
        </w:rPr>
        <w:instrText>Press</w:instrText>
      </w:r>
      <w:r w:rsidR="00A6794A" w:rsidRPr="00D3550C">
        <w:instrText>","</w:instrText>
      </w:r>
      <w:r w:rsidR="00A6794A">
        <w:rPr>
          <w:lang w:val="en-US"/>
        </w:rPr>
        <w:instrText>title</w:instrText>
      </w:r>
      <w:r w:rsidR="00A6794A" w:rsidRPr="00D3550C">
        <w:instrText>":"</w:instrText>
      </w:r>
      <w:r w:rsidR="00A6794A">
        <w:rPr>
          <w:lang w:val="en-US"/>
        </w:rPr>
        <w:instrText>Subcutaneous</w:instrText>
      </w:r>
      <w:r w:rsidR="00A6794A" w:rsidRPr="00D3550C">
        <w:instrText xml:space="preserve"> </w:instrText>
      </w:r>
      <w:r w:rsidR="00A6794A">
        <w:rPr>
          <w:lang w:val="en-US"/>
        </w:rPr>
        <w:instrText>Rituximab</w:instrText>
      </w:r>
      <w:r w:rsidR="00A6794A" w:rsidRPr="00D3550C">
        <w:instrText xml:space="preserve"> </w:instrText>
      </w:r>
      <w:r w:rsidR="00A6794A">
        <w:rPr>
          <w:lang w:val="en-US"/>
        </w:rPr>
        <w:instrText>in</w:instrText>
      </w:r>
      <w:r w:rsidR="00A6794A" w:rsidRPr="00D3550C">
        <w:instrText xml:space="preserve"> </w:instrText>
      </w:r>
      <w:r w:rsidR="00A6794A">
        <w:rPr>
          <w:lang w:val="en-US"/>
        </w:rPr>
        <w:instrText>Follicular</w:instrText>
      </w:r>
      <w:r w:rsidR="00A6794A" w:rsidRPr="00D3550C">
        <w:instrText xml:space="preserve"> </w:instrText>
      </w:r>
      <w:r w:rsidR="00A6794A">
        <w:rPr>
          <w:lang w:val="en-US"/>
        </w:rPr>
        <w:instrText>Lymphoma</w:instrText>
      </w:r>
      <w:r w:rsidR="00A6794A" w:rsidRPr="00D3550C">
        <w:instrText xml:space="preserve">, </w:instrText>
      </w:r>
      <w:r w:rsidR="00A6794A">
        <w:rPr>
          <w:lang w:val="en-US"/>
        </w:rPr>
        <w:instrText>Chronic</w:instrText>
      </w:r>
      <w:r w:rsidR="00A6794A" w:rsidRPr="00D3550C">
        <w:instrText xml:space="preserve"> </w:instrText>
      </w:r>
      <w:r w:rsidR="00A6794A">
        <w:rPr>
          <w:lang w:val="en-US"/>
        </w:rPr>
        <w:instrText>Lymphocytic</w:instrText>
      </w:r>
      <w:r w:rsidR="00A6794A" w:rsidRPr="00D3550C">
        <w:instrText xml:space="preserve"> </w:instrText>
      </w:r>
      <w:r w:rsidR="00A6794A">
        <w:rPr>
          <w:lang w:val="en-US"/>
        </w:rPr>
        <w:instrText>Leukemia</w:instrText>
      </w:r>
      <w:r w:rsidR="00A6794A" w:rsidRPr="00D3550C">
        <w:instrText xml:space="preserve">, </w:instrText>
      </w:r>
      <w:r w:rsidR="00A6794A">
        <w:rPr>
          <w:lang w:val="en-US"/>
        </w:rPr>
        <w:instrText>and</w:instrText>
      </w:r>
      <w:r w:rsidR="00A6794A" w:rsidRPr="00D3550C">
        <w:instrText xml:space="preserve"> </w:instrText>
      </w:r>
      <w:r w:rsidR="00A6794A">
        <w:rPr>
          <w:lang w:val="en-US"/>
        </w:rPr>
        <w:instrText>Diffuse</w:instrText>
      </w:r>
      <w:r w:rsidR="00A6794A" w:rsidRPr="00D3550C">
        <w:instrText xml:space="preserve"> </w:instrText>
      </w:r>
      <w:r w:rsidR="00A6794A">
        <w:rPr>
          <w:lang w:val="en-US"/>
        </w:rPr>
        <w:instrText>Large</w:instrText>
      </w:r>
      <w:r w:rsidR="00A6794A" w:rsidRPr="00D3550C">
        <w:instrText xml:space="preserve"> </w:instrText>
      </w:r>
      <w:r w:rsidR="00A6794A">
        <w:rPr>
          <w:lang w:val="en-US"/>
        </w:rPr>
        <w:instrText>B</w:instrText>
      </w:r>
      <w:r w:rsidR="00A6794A" w:rsidRPr="00D3550C">
        <w:instrText>-</w:instrText>
      </w:r>
      <w:r w:rsidR="00A6794A">
        <w:rPr>
          <w:lang w:val="en-US"/>
        </w:rPr>
        <w:instrText>Cell</w:instrText>
      </w:r>
      <w:r w:rsidR="00A6794A" w:rsidRPr="00D3550C">
        <w:instrText xml:space="preserve"> </w:instrText>
      </w:r>
      <w:r w:rsidR="00A6794A">
        <w:rPr>
          <w:lang w:val="en-US"/>
        </w:rPr>
        <w:instrText>Lymphoma</w:instrText>
      </w:r>
      <w:r w:rsidR="00A6794A" w:rsidRPr="00D3550C">
        <w:instrText>.","</w:instrText>
      </w:r>
      <w:r w:rsidR="00A6794A">
        <w:rPr>
          <w:lang w:val="en-US"/>
        </w:rPr>
        <w:instrText>type</w:instrText>
      </w:r>
      <w:r w:rsidR="00A6794A" w:rsidRPr="00D3550C">
        <w:instrText>":"</w:instrText>
      </w:r>
      <w:r w:rsidR="00A6794A">
        <w:rPr>
          <w:lang w:val="en-US"/>
        </w:rPr>
        <w:instrText>article</w:instrText>
      </w:r>
      <w:r w:rsidR="00A6794A" w:rsidRPr="00D3550C">
        <w:instrText>-</w:instrText>
      </w:r>
      <w:r w:rsidR="00A6794A">
        <w:rPr>
          <w:lang w:val="en-US"/>
        </w:rPr>
        <w:instrText>journal</w:instrText>
      </w:r>
      <w:r w:rsidR="00A6794A" w:rsidRPr="00D3550C">
        <w:instrText>","</w:instrText>
      </w:r>
      <w:r w:rsidR="00A6794A">
        <w:rPr>
          <w:lang w:val="en-US"/>
        </w:rPr>
        <w:instrText>volume</w:instrText>
      </w:r>
      <w:r w:rsidR="00A6794A" w:rsidRPr="00D3550C">
        <w:instrText>":"9"},"</w:instrText>
      </w:r>
      <w:r w:rsidR="00A6794A">
        <w:rPr>
          <w:lang w:val="en-US"/>
        </w:rPr>
        <w:instrText>uris</w:instrText>
      </w:r>
      <w:r w:rsidR="00A6794A" w:rsidRPr="00D3550C">
        <w:instrText>":["</w:instrText>
      </w:r>
      <w:r w:rsidR="00A6794A">
        <w:rPr>
          <w:lang w:val="en-US"/>
        </w:rPr>
        <w:instrText>http</w:instrText>
      </w:r>
      <w:r w:rsidR="00A6794A" w:rsidRPr="00D3550C">
        <w:instrText>://</w:instrText>
      </w:r>
      <w:r w:rsidR="00A6794A">
        <w:rPr>
          <w:lang w:val="en-US"/>
        </w:rPr>
        <w:instrText>www</w:instrText>
      </w:r>
      <w:r w:rsidR="00A6794A" w:rsidRPr="00D3550C">
        <w:instrText>.</w:instrText>
      </w:r>
      <w:r w:rsidR="00A6794A">
        <w:rPr>
          <w:lang w:val="en-US"/>
        </w:rPr>
        <w:instrText>mendeley</w:instrText>
      </w:r>
      <w:r w:rsidR="00A6794A" w:rsidRPr="00D3550C">
        <w:instrText>.</w:instrText>
      </w:r>
      <w:r w:rsidR="00A6794A">
        <w:rPr>
          <w:lang w:val="en-US"/>
        </w:rPr>
        <w:instrText>com</w:instrText>
      </w:r>
      <w:r w:rsidR="00A6794A" w:rsidRPr="00D3550C">
        <w:instrText>/</w:instrText>
      </w:r>
      <w:r w:rsidR="00A6794A">
        <w:rPr>
          <w:lang w:val="en-US"/>
        </w:rPr>
        <w:instrText>documents</w:instrText>
      </w:r>
      <w:r w:rsidR="00A6794A" w:rsidRPr="00D3550C">
        <w:instrText>/?</w:instrText>
      </w:r>
      <w:r w:rsidR="00A6794A">
        <w:rPr>
          <w:lang w:val="en-US"/>
        </w:rPr>
        <w:instrText>uuid</w:instrText>
      </w:r>
      <w:r w:rsidR="00A6794A" w:rsidRPr="00D3550C">
        <w:instrText>=</w:instrText>
      </w:r>
      <w:r w:rsidR="00A6794A">
        <w:rPr>
          <w:lang w:val="en-US"/>
        </w:rPr>
        <w:instrText>fbb</w:instrText>
      </w:r>
      <w:r w:rsidR="00A6794A" w:rsidRPr="00D3550C">
        <w:instrText>0</w:instrText>
      </w:r>
      <w:r w:rsidR="00A6794A">
        <w:rPr>
          <w:lang w:val="en-US"/>
        </w:rPr>
        <w:instrText>b</w:instrText>
      </w:r>
      <w:r w:rsidR="00A6794A" w:rsidRPr="00D3550C">
        <w:instrText>8</w:instrText>
      </w:r>
      <w:r w:rsidR="00A6794A">
        <w:rPr>
          <w:lang w:val="en-US"/>
        </w:rPr>
        <w:instrText>f</w:instrText>
      </w:r>
      <w:r w:rsidR="00A6794A" w:rsidRPr="00D3550C">
        <w:instrText>4-6</w:instrText>
      </w:r>
      <w:r w:rsidR="00A6794A">
        <w:rPr>
          <w:lang w:val="en-US"/>
        </w:rPr>
        <w:instrText>b</w:instrText>
      </w:r>
      <w:r w:rsidR="00A6794A" w:rsidRPr="00D3550C">
        <w:instrText>58-3</w:instrText>
      </w:r>
      <w:r w:rsidR="00A6794A">
        <w:rPr>
          <w:lang w:val="en-US"/>
        </w:rPr>
        <w:instrText>a</w:instrText>
      </w:r>
      <w:r w:rsidR="00A6794A" w:rsidRPr="00D3550C">
        <w:instrText>10-</w:instrText>
      </w:r>
      <w:r w:rsidR="00A6794A">
        <w:rPr>
          <w:lang w:val="en-US"/>
        </w:rPr>
        <w:instrText>b</w:instrText>
      </w:r>
      <w:r w:rsidR="00A6794A" w:rsidRPr="00D3550C">
        <w:instrText>7</w:instrText>
      </w:r>
      <w:r w:rsidR="00A6794A">
        <w:rPr>
          <w:lang w:val="en-US"/>
        </w:rPr>
        <w:instrText>d</w:instrText>
      </w:r>
      <w:r w:rsidR="00A6794A" w:rsidRPr="00D3550C">
        <w:instrText>6-</w:instrText>
      </w:r>
      <w:r w:rsidR="00A6794A">
        <w:rPr>
          <w:lang w:val="en-US"/>
        </w:rPr>
        <w:instrText>af</w:instrText>
      </w:r>
      <w:r w:rsidR="00A6794A" w:rsidRPr="00D3550C">
        <w:instrText>3854030</w:instrText>
      </w:r>
      <w:r w:rsidR="00A6794A">
        <w:rPr>
          <w:lang w:val="en-US"/>
        </w:rPr>
        <w:instrText>be</w:instrText>
      </w:r>
      <w:r w:rsidR="00A6794A" w:rsidRPr="00D3550C">
        <w:instrText>8"]},{"</w:instrText>
      </w:r>
      <w:r w:rsidR="00A6794A">
        <w:rPr>
          <w:lang w:val="en-US"/>
        </w:rPr>
        <w:instrText>id</w:instrText>
      </w:r>
      <w:r w:rsidR="00A6794A" w:rsidRPr="00D3550C">
        <w:instrText>":"</w:instrText>
      </w:r>
      <w:r w:rsidR="00A6794A">
        <w:rPr>
          <w:lang w:val="en-US"/>
        </w:rPr>
        <w:instrText>ITEM</w:instrText>
      </w:r>
      <w:r w:rsidR="00A6794A" w:rsidRPr="00D3550C">
        <w:instrText>-2","</w:instrText>
      </w:r>
      <w:r w:rsidR="00A6794A">
        <w:rPr>
          <w:lang w:val="en-US"/>
        </w:rPr>
        <w:instrText>itemData</w:instrText>
      </w:r>
      <w:r w:rsidR="00A6794A" w:rsidRPr="00D3550C">
        <w:instrText>":{"</w:instrText>
      </w:r>
      <w:r w:rsidR="00A6794A">
        <w:rPr>
          <w:lang w:val="en-US"/>
        </w:rPr>
        <w:instrText>DOI</w:instrText>
      </w:r>
      <w:r w:rsidR="00A6794A" w:rsidRPr="00D3550C">
        <w:instrText>":"10.1007/</w:instrText>
      </w:r>
      <w:r w:rsidR="00A6794A">
        <w:rPr>
          <w:lang w:val="en-US"/>
        </w:rPr>
        <w:instrText>s</w:instrText>
      </w:r>
      <w:r w:rsidR="00A6794A" w:rsidRPr="00D3550C">
        <w:instrText>12325-017-0610-</w:instrText>
      </w:r>
      <w:r w:rsidR="00A6794A">
        <w:rPr>
          <w:lang w:val="en-US"/>
        </w:rPr>
        <w:instrText>z</w:instrText>
      </w:r>
      <w:r w:rsidR="00A6794A" w:rsidRPr="00D3550C">
        <w:instrText>","</w:instrText>
      </w:r>
      <w:r w:rsidR="00A6794A">
        <w:rPr>
          <w:lang w:val="en-US"/>
        </w:rPr>
        <w:instrText>ISSN</w:instrText>
      </w:r>
      <w:r w:rsidR="00A6794A" w:rsidRPr="00D3550C">
        <w:instrText>":"18658652","</w:instrText>
      </w:r>
      <w:r w:rsidR="00A6794A">
        <w:rPr>
          <w:lang w:val="en-US"/>
        </w:rPr>
        <w:instrText>abstract</w:instrText>
      </w:r>
      <w:r w:rsidR="00A6794A" w:rsidRPr="00D3550C">
        <w:instrText>":"</w:instrText>
      </w:r>
      <w:r w:rsidR="00A6794A">
        <w:rPr>
          <w:lang w:val="en-US"/>
        </w:rPr>
        <w:instrText>Abstract</w:instrText>
      </w:r>
      <w:r w:rsidR="00A6794A" w:rsidRPr="00D3550C">
        <w:instrText xml:space="preserve">: </w:instrText>
      </w:r>
      <w:r w:rsidR="00A6794A">
        <w:rPr>
          <w:lang w:val="en-US"/>
        </w:rPr>
        <w:instrText>Rituximab</w:instrText>
      </w:r>
      <w:r w:rsidR="00A6794A" w:rsidRPr="00D3550C">
        <w:instrText xml:space="preserve"> (</w:instrText>
      </w:r>
      <w:r w:rsidR="00A6794A">
        <w:rPr>
          <w:lang w:val="en-US"/>
        </w:rPr>
        <w:instrText>MabThera</w:instrText>
      </w:r>
      <w:r w:rsidR="00A6794A" w:rsidRPr="00D3550C">
        <w:instrText>®/</w:instrText>
      </w:r>
      <w:r w:rsidR="00A6794A">
        <w:rPr>
          <w:lang w:val="en-US"/>
        </w:rPr>
        <w:instrText>Rituxan</w:instrText>
      </w:r>
      <w:r w:rsidR="00A6794A" w:rsidRPr="00D3550C">
        <w:instrText xml:space="preserve">®), </w:instrText>
      </w:r>
      <w:r w:rsidR="00A6794A">
        <w:rPr>
          <w:lang w:val="en-US"/>
        </w:rPr>
        <w:instrText>a</w:instrText>
      </w:r>
      <w:r w:rsidR="00A6794A" w:rsidRPr="00D3550C">
        <w:instrText xml:space="preserve"> </w:instrText>
      </w:r>
      <w:r w:rsidR="00A6794A">
        <w:rPr>
          <w:lang w:val="en-US"/>
        </w:rPr>
        <w:instrText>chimeric</w:instrText>
      </w:r>
      <w:r w:rsidR="00A6794A" w:rsidRPr="00D3550C">
        <w:instrText xml:space="preserve"> </w:instrText>
      </w:r>
      <w:r w:rsidR="00A6794A">
        <w:rPr>
          <w:lang w:val="en-US"/>
        </w:rPr>
        <w:instrText>murine</w:instrText>
      </w:r>
      <w:r w:rsidR="00A6794A" w:rsidRPr="00AA43FB">
        <w:instrText>/</w:instrText>
      </w:r>
      <w:r w:rsidR="00A6794A">
        <w:rPr>
          <w:lang w:val="en-US"/>
        </w:rPr>
        <w:instrText>human</w:instrText>
      </w:r>
      <w:r w:rsidR="00A6794A" w:rsidRPr="00AA43FB">
        <w:instrText xml:space="preserve"> </w:instrText>
      </w:r>
      <w:r w:rsidR="00A6794A">
        <w:rPr>
          <w:lang w:val="en-US"/>
        </w:rPr>
        <w:instrText>monoclonal</w:instrText>
      </w:r>
      <w:r w:rsidR="00A6794A" w:rsidRPr="00AA43FB">
        <w:instrText xml:space="preserve"> </w:instrText>
      </w:r>
      <w:r w:rsidR="00A6794A">
        <w:rPr>
          <w:lang w:val="en-US"/>
        </w:rPr>
        <w:instrText>antibody</w:instrText>
      </w:r>
      <w:r w:rsidR="00A6794A" w:rsidRPr="00AA43FB">
        <w:instrText xml:space="preserve"> </w:instrText>
      </w:r>
      <w:r w:rsidR="00A6794A">
        <w:rPr>
          <w:lang w:val="en-US"/>
        </w:rPr>
        <w:instrText>that</w:instrText>
      </w:r>
      <w:r w:rsidR="00A6794A" w:rsidRPr="00AA43FB">
        <w:instrText xml:space="preserve"> </w:instrText>
      </w:r>
      <w:r w:rsidR="00A6794A">
        <w:rPr>
          <w:lang w:val="en-US"/>
        </w:rPr>
        <w:instrText>binds</w:instrText>
      </w:r>
      <w:r w:rsidR="00A6794A" w:rsidRPr="00AA43FB">
        <w:instrText xml:space="preserve"> </w:instrText>
      </w:r>
      <w:r w:rsidR="00A6794A">
        <w:rPr>
          <w:lang w:val="en-US"/>
        </w:rPr>
        <w:instrText>specifically</w:instrText>
      </w:r>
      <w:r w:rsidR="00A6794A" w:rsidRPr="00AA43FB">
        <w:instrText xml:space="preserve"> </w:instrText>
      </w:r>
      <w:r w:rsidR="00A6794A">
        <w:rPr>
          <w:lang w:val="en-US"/>
        </w:rPr>
        <w:instrText>to</w:instrText>
      </w:r>
      <w:r w:rsidR="00A6794A" w:rsidRPr="00AA43FB">
        <w:instrText xml:space="preserve"> </w:instrText>
      </w:r>
      <w:r w:rsidR="00A6794A">
        <w:rPr>
          <w:lang w:val="en-US"/>
        </w:rPr>
        <w:instrText>the</w:instrText>
      </w:r>
      <w:r w:rsidR="00A6794A" w:rsidRPr="00AA43FB">
        <w:instrText xml:space="preserve"> </w:instrText>
      </w:r>
      <w:r w:rsidR="00A6794A">
        <w:rPr>
          <w:lang w:val="en-US"/>
        </w:rPr>
        <w:instrText>transmembrane</w:instrText>
      </w:r>
      <w:r w:rsidR="00A6794A" w:rsidRPr="00AA43FB">
        <w:instrText xml:space="preserve"> </w:instrText>
      </w:r>
      <w:r w:rsidR="00A6794A">
        <w:rPr>
          <w:lang w:val="en-US"/>
        </w:rPr>
        <w:instrText>antigen</w:instrText>
      </w:r>
      <w:r w:rsidR="00A6794A" w:rsidRPr="00AA43FB">
        <w:instrText xml:space="preserve"> </w:instrText>
      </w:r>
      <w:r w:rsidR="00A6794A">
        <w:rPr>
          <w:lang w:val="en-US"/>
        </w:rPr>
        <w:instrText>CD</w:instrText>
      </w:r>
      <w:r w:rsidR="00A6794A" w:rsidRPr="00AA43FB">
        <w:instrText xml:space="preserve">20, </w:instrText>
      </w:r>
      <w:r w:rsidR="00A6794A">
        <w:rPr>
          <w:lang w:val="en-US"/>
        </w:rPr>
        <w:instrText>was</w:instrText>
      </w:r>
      <w:r w:rsidR="00A6794A" w:rsidRPr="00AA43FB">
        <w:instrText xml:space="preserve"> </w:instrText>
      </w:r>
      <w:r w:rsidR="00A6794A">
        <w:rPr>
          <w:lang w:val="en-US"/>
        </w:rPr>
        <w:instrText>the</w:instrText>
      </w:r>
      <w:r w:rsidR="00A6794A" w:rsidRPr="00AA43FB">
        <w:instrText xml:space="preserve"> </w:instrText>
      </w:r>
      <w:r w:rsidR="00A6794A">
        <w:rPr>
          <w:lang w:val="en-US"/>
        </w:rPr>
        <w:instrText>first</w:instrText>
      </w:r>
      <w:r w:rsidR="00A6794A" w:rsidRPr="00AA43FB">
        <w:instrText xml:space="preserve"> </w:instrText>
      </w:r>
      <w:r w:rsidR="00A6794A">
        <w:rPr>
          <w:lang w:val="en-US"/>
        </w:rPr>
        <w:instrText>therapeutic</w:instrText>
      </w:r>
      <w:r w:rsidR="00A6794A" w:rsidRPr="00AA43FB">
        <w:instrText xml:space="preserve"> </w:instrText>
      </w:r>
      <w:r w:rsidR="00A6794A">
        <w:rPr>
          <w:lang w:val="en-US"/>
        </w:rPr>
        <w:instrText>antibody</w:instrText>
      </w:r>
      <w:r w:rsidR="00A6794A" w:rsidRPr="00AA43FB">
        <w:instrText xml:space="preserve"> </w:instrText>
      </w:r>
      <w:r w:rsidR="00A6794A">
        <w:rPr>
          <w:lang w:val="en-US"/>
        </w:rPr>
        <w:instrText>to</w:instrText>
      </w:r>
      <w:r w:rsidR="00A6794A" w:rsidRPr="00AA43FB">
        <w:instrText xml:space="preserve"> </w:instrText>
      </w:r>
      <w:r w:rsidR="00A6794A">
        <w:rPr>
          <w:lang w:val="en-US"/>
        </w:rPr>
        <w:instrText>enter</w:instrText>
      </w:r>
      <w:r w:rsidR="00A6794A" w:rsidRPr="00AA43FB">
        <w:instrText xml:space="preserve"> </w:instrText>
      </w:r>
      <w:r w:rsidR="00A6794A">
        <w:rPr>
          <w:lang w:val="en-US"/>
        </w:rPr>
        <w:instrText>clinical</w:instrText>
      </w:r>
      <w:r w:rsidR="00A6794A" w:rsidRPr="00AA43FB">
        <w:instrText xml:space="preserve"> </w:instrText>
      </w:r>
      <w:r w:rsidR="00A6794A">
        <w:rPr>
          <w:lang w:val="en-US"/>
        </w:rPr>
        <w:instrText>practice</w:instrText>
      </w:r>
      <w:r w:rsidR="00A6794A" w:rsidRPr="00AA43FB">
        <w:instrText xml:space="preserve"> </w:instrText>
      </w:r>
      <w:r w:rsidR="00A6794A">
        <w:rPr>
          <w:lang w:val="en-US"/>
        </w:rPr>
        <w:instrText>for</w:instrText>
      </w:r>
      <w:r w:rsidR="00A6794A" w:rsidRPr="00AA43FB">
        <w:instrText xml:space="preserve"> </w:instrText>
      </w:r>
      <w:r w:rsidR="00A6794A">
        <w:rPr>
          <w:lang w:val="en-US"/>
        </w:rPr>
        <w:instrText>the</w:instrText>
      </w:r>
      <w:r w:rsidR="00A6794A" w:rsidRPr="00AA43FB">
        <w:instrText xml:space="preserve"> </w:instrText>
      </w:r>
      <w:r w:rsidR="00A6794A">
        <w:rPr>
          <w:lang w:val="en-US"/>
        </w:rPr>
        <w:instrText>treatment</w:instrText>
      </w:r>
      <w:r w:rsidR="00A6794A" w:rsidRPr="00AA43FB">
        <w:instrText xml:space="preserve"> </w:instrText>
      </w:r>
      <w:r w:rsidR="00A6794A">
        <w:rPr>
          <w:lang w:val="en-US"/>
        </w:rPr>
        <w:instrText>of</w:instrText>
      </w:r>
      <w:r w:rsidR="00A6794A" w:rsidRPr="00AA43FB">
        <w:instrText xml:space="preserve"> </w:instrText>
      </w:r>
      <w:r w:rsidR="00A6794A">
        <w:rPr>
          <w:lang w:val="en-US"/>
        </w:rPr>
        <w:instrText>cancer</w:instrText>
      </w:r>
      <w:r w:rsidR="00A6794A" w:rsidRPr="00AA43FB">
        <w:instrText xml:space="preserve">. </w:instrText>
      </w:r>
      <w:r w:rsidR="00A6794A">
        <w:rPr>
          <w:lang w:val="en-US"/>
        </w:rPr>
        <w:instrText>As</w:instrText>
      </w:r>
      <w:r w:rsidR="00A6794A" w:rsidRPr="00AA43FB">
        <w:instrText xml:space="preserve"> </w:instrText>
      </w:r>
      <w:r w:rsidR="00A6794A">
        <w:rPr>
          <w:lang w:val="en-US"/>
        </w:rPr>
        <w:instrText>monotherapy</w:instrText>
      </w:r>
      <w:r w:rsidR="00A6794A" w:rsidRPr="00AA43FB">
        <w:instrText xml:space="preserve"> </w:instrText>
      </w:r>
      <w:r w:rsidR="00A6794A">
        <w:rPr>
          <w:lang w:val="en-US"/>
        </w:rPr>
        <w:instrText>and</w:instrText>
      </w:r>
      <w:r w:rsidR="00A6794A" w:rsidRPr="00AA43FB">
        <w:instrText xml:space="preserve"> </w:instrText>
      </w:r>
      <w:r w:rsidR="00A6794A">
        <w:rPr>
          <w:lang w:val="en-US"/>
        </w:rPr>
        <w:instrText>in</w:instrText>
      </w:r>
      <w:r w:rsidR="00A6794A" w:rsidRPr="00AA43FB">
        <w:instrText xml:space="preserve"> </w:instrText>
      </w:r>
      <w:r w:rsidR="00A6794A">
        <w:rPr>
          <w:lang w:val="en-US"/>
        </w:rPr>
        <w:instrText>combination</w:instrText>
      </w:r>
      <w:r w:rsidR="00A6794A" w:rsidRPr="00AA43FB">
        <w:instrText xml:space="preserve"> </w:instrText>
      </w:r>
      <w:r w:rsidR="00A6794A">
        <w:rPr>
          <w:lang w:val="en-US"/>
        </w:rPr>
        <w:instrText>with</w:instrText>
      </w:r>
      <w:r w:rsidR="00A6794A" w:rsidRPr="00AA43FB">
        <w:instrText xml:space="preserve"> </w:instrText>
      </w:r>
      <w:r w:rsidR="00A6794A">
        <w:rPr>
          <w:lang w:val="en-US"/>
        </w:rPr>
        <w:instrText>chemotherapy</w:instrText>
      </w:r>
      <w:r w:rsidR="00A6794A" w:rsidRPr="00AA43FB">
        <w:instrText xml:space="preserve">, </w:instrText>
      </w:r>
      <w:r w:rsidR="00A6794A">
        <w:rPr>
          <w:lang w:val="en-US"/>
        </w:rPr>
        <w:instrText>rituximab</w:instrText>
      </w:r>
      <w:r w:rsidR="00A6794A" w:rsidRPr="00AA43FB">
        <w:instrText xml:space="preserve"> </w:instrText>
      </w:r>
      <w:r w:rsidR="00A6794A">
        <w:rPr>
          <w:lang w:val="en-US"/>
        </w:rPr>
        <w:instrText>has</w:instrText>
      </w:r>
      <w:r w:rsidR="00A6794A" w:rsidRPr="00AA43FB">
        <w:instrText xml:space="preserve"> </w:instrText>
      </w:r>
      <w:r w:rsidR="00A6794A">
        <w:rPr>
          <w:lang w:val="en-US"/>
        </w:rPr>
        <w:instrText>been</w:instrText>
      </w:r>
      <w:r w:rsidR="00A6794A" w:rsidRPr="00AA43FB">
        <w:instrText xml:space="preserve"> </w:instrText>
      </w:r>
      <w:r w:rsidR="00A6794A">
        <w:rPr>
          <w:lang w:val="en-US"/>
        </w:rPr>
        <w:instrText>shown</w:instrText>
      </w:r>
      <w:r w:rsidR="00A6794A" w:rsidRPr="00AA43FB">
        <w:instrText xml:space="preserve"> </w:instrText>
      </w:r>
      <w:r w:rsidR="00A6794A">
        <w:rPr>
          <w:lang w:val="en-US"/>
        </w:rPr>
        <w:instrText>to</w:instrText>
      </w:r>
      <w:r w:rsidR="00A6794A" w:rsidRPr="00AA43FB">
        <w:instrText xml:space="preserve"> </w:instrText>
      </w:r>
      <w:r w:rsidR="00A6794A">
        <w:rPr>
          <w:lang w:val="en-US"/>
        </w:rPr>
        <w:instrText>prolong</w:instrText>
      </w:r>
      <w:r w:rsidR="00A6794A" w:rsidRPr="00AA43FB">
        <w:instrText xml:space="preserve"> </w:instrText>
      </w:r>
      <w:r w:rsidR="00A6794A">
        <w:rPr>
          <w:lang w:val="en-US"/>
        </w:rPr>
        <w:instrText>progression</w:instrText>
      </w:r>
      <w:r w:rsidR="00A6794A" w:rsidRPr="00AA43FB">
        <w:instrText>-</w:instrText>
      </w:r>
      <w:r w:rsidR="00A6794A">
        <w:rPr>
          <w:lang w:val="en-US"/>
        </w:rPr>
        <w:instrText>free</w:instrText>
      </w:r>
      <w:r w:rsidR="00A6794A" w:rsidRPr="00AA43FB">
        <w:instrText xml:space="preserve"> </w:instrText>
      </w:r>
      <w:r w:rsidR="00A6794A">
        <w:rPr>
          <w:lang w:val="en-US"/>
        </w:rPr>
        <w:instrText>survival</w:instrText>
      </w:r>
      <w:r w:rsidR="00A6794A" w:rsidRPr="00AA43FB">
        <w:instrText xml:space="preserve"> </w:instrText>
      </w:r>
      <w:r w:rsidR="00A6794A">
        <w:rPr>
          <w:lang w:val="en-US"/>
        </w:rPr>
        <w:instrText>and</w:instrText>
      </w:r>
      <w:r w:rsidR="00A6794A" w:rsidRPr="00AA43FB">
        <w:instrText xml:space="preserve">, </w:instrText>
      </w:r>
      <w:r w:rsidR="00A6794A">
        <w:rPr>
          <w:lang w:val="en-US"/>
        </w:rPr>
        <w:instrText>in</w:instrText>
      </w:r>
      <w:r w:rsidR="00A6794A" w:rsidRPr="00AA43FB">
        <w:instrText xml:space="preserve"> </w:instrText>
      </w:r>
      <w:r w:rsidR="00A6794A">
        <w:rPr>
          <w:lang w:val="en-US"/>
        </w:rPr>
        <w:instrText>some</w:instrText>
      </w:r>
      <w:r w:rsidR="00A6794A" w:rsidRPr="00AA43FB">
        <w:instrText xml:space="preserve"> </w:instrText>
      </w:r>
      <w:r w:rsidR="00A6794A">
        <w:rPr>
          <w:lang w:val="en-US"/>
        </w:rPr>
        <w:instrText>indications</w:instrText>
      </w:r>
      <w:r w:rsidR="00A6794A" w:rsidRPr="00AA43FB">
        <w:instrText xml:space="preserve"> </w:instrText>
      </w:r>
      <w:r w:rsidR="00A6794A">
        <w:rPr>
          <w:lang w:val="en-US"/>
        </w:rPr>
        <w:instrText>overall</w:instrText>
      </w:r>
      <w:r w:rsidR="00A6794A" w:rsidRPr="00AA43FB">
        <w:instrText xml:space="preserve"> </w:instrText>
      </w:r>
      <w:r w:rsidR="00A6794A">
        <w:rPr>
          <w:lang w:val="en-US"/>
        </w:rPr>
        <w:instrText>survival</w:instrText>
      </w:r>
      <w:r w:rsidR="00A6794A" w:rsidRPr="00AA43FB">
        <w:instrText xml:space="preserve">, </w:instrText>
      </w:r>
      <w:r w:rsidR="00A6794A">
        <w:rPr>
          <w:lang w:val="en-US"/>
        </w:rPr>
        <w:instrText>in</w:instrText>
      </w:r>
      <w:r w:rsidR="00A6794A" w:rsidRPr="00AA43FB">
        <w:instrText xml:space="preserve"> </w:instrText>
      </w:r>
      <w:r w:rsidR="00A6794A">
        <w:rPr>
          <w:lang w:val="en-US"/>
        </w:rPr>
        <w:instrText>patients</w:instrText>
      </w:r>
      <w:r w:rsidR="00A6794A" w:rsidRPr="00AA43FB">
        <w:instrText xml:space="preserve"> </w:instrText>
      </w:r>
      <w:r w:rsidR="00A6794A">
        <w:rPr>
          <w:lang w:val="en-US"/>
        </w:rPr>
        <w:instrText>with</w:instrText>
      </w:r>
      <w:r w:rsidR="00A6794A" w:rsidRPr="00AA43FB">
        <w:instrText xml:space="preserve"> </w:instrText>
      </w:r>
      <w:r w:rsidR="00A6794A">
        <w:rPr>
          <w:lang w:val="en-US"/>
        </w:rPr>
        <w:instrText>various</w:instrText>
      </w:r>
      <w:r w:rsidR="00A6794A" w:rsidRPr="00AA43FB">
        <w:instrText xml:space="preserve"> </w:instrText>
      </w:r>
      <w:r w:rsidR="00A6794A">
        <w:rPr>
          <w:lang w:val="en-US"/>
        </w:rPr>
        <w:instrText>B</w:instrText>
      </w:r>
      <w:r w:rsidR="00A6794A" w:rsidRPr="00AA43FB">
        <w:instrText>-</w:instrText>
      </w:r>
      <w:r w:rsidR="00A6794A">
        <w:rPr>
          <w:lang w:val="en-US"/>
        </w:rPr>
        <w:instrText>cell</w:instrText>
      </w:r>
      <w:r w:rsidR="00A6794A" w:rsidRPr="00AA43FB">
        <w:instrText xml:space="preserve"> </w:instrText>
      </w:r>
      <w:r w:rsidR="00A6794A">
        <w:rPr>
          <w:lang w:val="en-US"/>
        </w:rPr>
        <w:instrText>malignancies</w:instrText>
      </w:r>
      <w:r w:rsidR="00A6794A" w:rsidRPr="00AA43FB">
        <w:instrText xml:space="preserve">, </w:instrText>
      </w:r>
      <w:r w:rsidR="00A6794A">
        <w:rPr>
          <w:lang w:val="en-US"/>
        </w:rPr>
        <w:instrText>while</w:instrText>
      </w:r>
      <w:r w:rsidR="00A6794A" w:rsidRPr="00AA43FB">
        <w:instrText xml:space="preserve"> </w:instrText>
      </w:r>
      <w:r w:rsidR="00A6794A">
        <w:rPr>
          <w:lang w:val="en-US"/>
        </w:rPr>
        <w:instrText>having</w:instrText>
      </w:r>
      <w:r w:rsidR="00A6794A" w:rsidRPr="00AA43FB">
        <w:instrText xml:space="preserve"> </w:instrText>
      </w:r>
      <w:r w:rsidR="00A6794A">
        <w:rPr>
          <w:lang w:val="en-US"/>
        </w:rPr>
        <w:instrText>a</w:instrText>
      </w:r>
      <w:r w:rsidR="00A6794A" w:rsidRPr="00AA43FB">
        <w:instrText xml:space="preserve"> </w:instrText>
      </w:r>
      <w:r w:rsidR="00A6794A">
        <w:rPr>
          <w:lang w:val="en-US"/>
        </w:rPr>
        <w:instrText>well</w:instrText>
      </w:r>
      <w:r w:rsidR="00A6794A" w:rsidRPr="00AA43FB">
        <w:instrText>-</w:instrText>
      </w:r>
      <w:r w:rsidR="00A6794A">
        <w:rPr>
          <w:lang w:val="en-US"/>
        </w:rPr>
        <w:instrText>established</w:instrText>
      </w:r>
      <w:r w:rsidR="00A6794A" w:rsidRPr="00AA43FB">
        <w:instrText xml:space="preserve"> </w:instrText>
      </w:r>
      <w:r w:rsidR="00A6794A">
        <w:rPr>
          <w:lang w:val="en-US"/>
        </w:rPr>
        <w:instrText>and</w:instrText>
      </w:r>
      <w:r w:rsidR="00A6794A" w:rsidRPr="00AA43FB">
        <w:instrText xml:space="preserve"> </w:instrText>
      </w:r>
      <w:r w:rsidR="00A6794A">
        <w:rPr>
          <w:lang w:val="en-US"/>
        </w:rPr>
        <w:instrText>manageable</w:instrText>
      </w:r>
      <w:r w:rsidR="00A6794A" w:rsidRPr="00AA43FB">
        <w:instrText xml:space="preserve"> </w:instrText>
      </w:r>
      <w:r w:rsidR="00A6794A">
        <w:rPr>
          <w:lang w:val="en-US"/>
        </w:rPr>
        <w:instrText>safety</w:instrText>
      </w:r>
      <w:r w:rsidR="00A6794A" w:rsidRPr="00AA43FB">
        <w:instrText xml:space="preserve"> </w:instrText>
      </w:r>
      <w:r w:rsidR="00A6794A">
        <w:rPr>
          <w:lang w:val="en-US"/>
        </w:rPr>
        <w:instrText>profile</w:instrText>
      </w:r>
      <w:r w:rsidR="00A6794A" w:rsidRPr="00AA43FB">
        <w:instrText xml:space="preserve"> </w:instrText>
      </w:r>
      <w:r w:rsidR="00A6794A">
        <w:rPr>
          <w:lang w:val="en-US"/>
        </w:rPr>
        <w:instrText>and</w:instrText>
      </w:r>
      <w:r w:rsidR="00A6794A" w:rsidRPr="00AA43FB">
        <w:instrText xml:space="preserve"> </w:instrText>
      </w:r>
      <w:r w:rsidR="00A6794A">
        <w:rPr>
          <w:lang w:val="en-US"/>
        </w:rPr>
        <w:instrText>a</w:instrText>
      </w:r>
      <w:r w:rsidR="00A6794A" w:rsidRPr="00AA43FB">
        <w:instrText xml:space="preserve"> </w:instrText>
      </w:r>
      <w:r w:rsidR="00A6794A">
        <w:rPr>
          <w:lang w:val="en-US"/>
        </w:rPr>
        <w:instrText>wide</w:instrText>
      </w:r>
      <w:r w:rsidR="00A6794A" w:rsidRPr="00AA43FB">
        <w:instrText xml:space="preserve"> </w:instrText>
      </w:r>
      <w:r w:rsidR="00A6794A">
        <w:rPr>
          <w:lang w:val="en-US"/>
        </w:rPr>
        <w:instrText>therapeutic</w:instrText>
      </w:r>
      <w:r w:rsidR="00A6794A" w:rsidRPr="00AA43FB">
        <w:instrText xml:space="preserve"> </w:instrText>
      </w:r>
      <w:r w:rsidR="00A6794A">
        <w:rPr>
          <w:lang w:val="en-US"/>
        </w:rPr>
        <w:instrText>window</w:instrText>
      </w:r>
      <w:r w:rsidR="00A6794A" w:rsidRPr="00AA43FB">
        <w:instrText xml:space="preserve">. </w:instrText>
      </w:r>
      <w:r w:rsidR="00A6794A">
        <w:rPr>
          <w:lang w:val="en-US"/>
        </w:rPr>
        <w:instrText>As</w:instrText>
      </w:r>
      <w:r w:rsidR="00A6794A" w:rsidRPr="00AA43FB">
        <w:instrText xml:space="preserve"> </w:instrText>
      </w:r>
      <w:r w:rsidR="00A6794A">
        <w:rPr>
          <w:lang w:val="en-US"/>
        </w:rPr>
        <w:instrText>a</w:instrText>
      </w:r>
      <w:r w:rsidR="00A6794A" w:rsidRPr="00AA43FB">
        <w:instrText xml:space="preserve"> </w:instrText>
      </w:r>
      <w:r w:rsidR="00A6794A">
        <w:rPr>
          <w:lang w:val="en-US"/>
        </w:rPr>
        <w:instrText>result</w:instrText>
      </w:r>
      <w:r w:rsidR="00A6794A" w:rsidRPr="00AA43FB">
        <w:instrText xml:space="preserve">, </w:instrText>
      </w:r>
      <w:r w:rsidR="00A6794A">
        <w:rPr>
          <w:lang w:val="en-US"/>
        </w:rPr>
        <w:instrText>rituximab</w:instrText>
      </w:r>
      <w:r w:rsidR="00A6794A" w:rsidRPr="00AA43FB">
        <w:instrText xml:space="preserve"> </w:instrText>
      </w:r>
      <w:r w:rsidR="00A6794A">
        <w:rPr>
          <w:lang w:val="en-US"/>
        </w:rPr>
        <w:instrText>is</w:instrText>
      </w:r>
      <w:r w:rsidR="00A6794A" w:rsidRPr="00AA43FB">
        <w:instrText xml:space="preserve"> </w:instrText>
      </w:r>
      <w:r w:rsidR="00A6794A">
        <w:rPr>
          <w:lang w:val="en-US"/>
        </w:rPr>
        <w:instrText>considered</w:instrText>
      </w:r>
      <w:r w:rsidR="00A6794A" w:rsidRPr="00AA43FB">
        <w:instrText xml:space="preserve"> </w:instrText>
      </w:r>
      <w:r w:rsidR="00A6794A">
        <w:rPr>
          <w:lang w:val="en-US"/>
        </w:rPr>
        <w:instrText>to</w:instrText>
      </w:r>
      <w:r w:rsidR="00A6794A" w:rsidRPr="00AA43FB">
        <w:instrText xml:space="preserve"> </w:instrText>
      </w:r>
      <w:r w:rsidR="00A6794A">
        <w:rPr>
          <w:lang w:val="en-US"/>
        </w:rPr>
        <w:instrText>have</w:instrText>
      </w:r>
      <w:r w:rsidR="00A6794A" w:rsidRPr="00AA43FB">
        <w:instrText xml:space="preserve"> </w:instrText>
      </w:r>
      <w:r w:rsidR="00A6794A">
        <w:rPr>
          <w:lang w:val="en-US"/>
        </w:rPr>
        <w:instrText>revolutionized</w:instrText>
      </w:r>
      <w:r w:rsidR="00A6794A" w:rsidRPr="00AA43FB">
        <w:instrText xml:space="preserve"> </w:instrText>
      </w:r>
      <w:r w:rsidR="00A6794A">
        <w:rPr>
          <w:lang w:val="en-US"/>
        </w:rPr>
        <w:instrText>treatment</w:instrText>
      </w:r>
      <w:r w:rsidR="00A6794A" w:rsidRPr="00AA43FB">
        <w:instrText xml:space="preserve"> </w:instrText>
      </w:r>
      <w:r w:rsidR="00A6794A">
        <w:rPr>
          <w:lang w:val="en-US"/>
        </w:rPr>
        <w:instrText>practices</w:instrText>
      </w:r>
      <w:r w:rsidR="00A6794A" w:rsidRPr="00AA43FB">
        <w:instrText xml:space="preserve"> </w:instrText>
      </w:r>
      <w:r w:rsidR="00A6794A">
        <w:rPr>
          <w:lang w:val="en-US"/>
        </w:rPr>
        <w:instrText>for</w:instrText>
      </w:r>
      <w:r w:rsidR="00A6794A" w:rsidRPr="00AA43FB">
        <w:instrText xml:space="preserve"> </w:instrText>
      </w:r>
      <w:r w:rsidR="00A6794A">
        <w:rPr>
          <w:lang w:val="en-US"/>
        </w:rPr>
        <w:instrText>patients</w:instrText>
      </w:r>
      <w:r w:rsidR="00A6794A" w:rsidRPr="00AA43FB">
        <w:instrText xml:space="preserve"> </w:instrText>
      </w:r>
      <w:r w:rsidR="00A6794A">
        <w:rPr>
          <w:lang w:val="en-US"/>
        </w:rPr>
        <w:instrText>with</w:instrText>
      </w:r>
      <w:r w:rsidR="00A6794A" w:rsidRPr="00AA43FB">
        <w:instrText xml:space="preserve"> </w:instrText>
      </w:r>
      <w:r w:rsidR="00A6794A">
        <w:rPr>
          <w:lang w:val="en-US"/>
        </w:rPr>
        <w:instrText>B</w:instrText>
      </w:r>
      <w:r w:rsidR="00A6794A" w:rsidRPr="00AA43FB">
        <w:instrText>-</w:instrText>
      </w:r>
      <w:r w:rsidR="00A6794A">
        <w:rPr>
          <w:lang w:val="en-US"/>
        </w:rPr>
        <w:instrText>cell</w:instrText>
      </w:r>
      <w:r w:rsidR="00A6794A" w:rsidRPr="00AA43FB">
        <w:instrText xml:space="preserve"> </w:instrText>
      </w:r>
      <w:r w:rsidR="00A6794A">
        <w:rPr>
          <w:lang w:val="en-US"/>
        </w:rPr>
        <w:instrText>malignancies</w:instrText>
      </w:r>
      <w:r w:rsidR="00A6794A" w:rsidRPr="00AA43FB">
        <w:instrText xml:space="preserve">. </w:instrText>
      </w:r>
      <w:r w:rsidR="00A6794A">
        <w:rPr>
          <w:lang w:val="en-US"/>
        </w:rPr>
        <w:instrText>A</w:instrText>
      </w:r>
      <w:r w:rsidR="00A6794A" w:rsidRPr="00AA43FB">
        <w:instrText xml:space="preserve"> </w:instrText>
      </w:r>
      <w:r w:rsidR="00A6794A">
        <w:rPr>
          <w:lang w:val="en-US"/>
        </w:rPr>
        <w:instrText>subcutaneous</w:instrText>
      </w:r>
      <w:r w:rsidR="00A6794A" w:rsidRPr="00AA43FB">
        <w:instrText xml:space="preserve"> (</w:instrText>
      </w:r>
      <w:r w:rsidR="00A6794A">
        <w:rPr>
          <w:lang w:val="en-US"/>
        </w:rPr>
        <w:instrText>SC</w:instrText>
      </w:r>
      <w:r w:rsidR="00A6794A" w:rsidRPr="00AA43FB">
        <w:instrText xml:space="preserve">) </w:instrText>
      </w:r>
      <w:r w:rsidR="00A6794A">
        <w:rPr>
          <w:lang w:val="en-US"/>
        </w:rPr>
        <w:instrText>formulation</w:instrText>
      </w:r>
      <w:r w:rsidR="00A6794A" w:rsidRPr="00AA43FB">
        <w:instrText xml:space="preserve"> </w:instrText>
      </w:r>
      <w:r w:rsidR="00A6794A">
        <w:rPr>
          <w:lang w:val="en-US"/>
        </w:rPr>
        <w:instrText>of</w:instrText>
      </w:r>
      <w:r w:rsidR="00A6794A" w:rsidRPr="00AA43FB">
        <w:instrText xml:space="preserve"> </w:instrText>
      </w:r>
      <w:r w:rsidR="00A6794A">
        <w:rPr>
          <w:lang w:val="en-US"/>
        </w:rPr>
        <w:instrText>rituximab</w:instrText>
      </w:r>
      <w:r w:rsidR="00A6794A" w:rsidRPr="00AA43FB">
        <w:instrText xml:space="preserve"> </w:instrText>
      </w:r>
      <w:r w:rsidR="00A6794A">
        <w:rPr>
          <w:lang w:val="en-US"/>
        </w:rPr>
        <w:instrText>has</w:instrText>
      </w:r>
      <w:r w:rsidR="00A6794A" w:rsidRPr="00AA43FB">
        <w:instrText xml:space="preserve"> </w:instrText>
      </w:r>
      <w:r w:rsidR="00A6794A">
        <w:rPr>
          <w:lang w:val="en-US"/>
        </w:rPr>
        <w:instrText>been</w:instrText>
      </w:r>
      <w:r w:rsidR="00A6794A" w:rsidRPr="00AA43FB">
        <w:instrText xml:space="preserve"> </w:instrText>
      </w:r>
      <w:r w:rsidR="00A6794A">
        <w:rPr>
          <w:lang w:val="en-US"/>
        </w:rPr>
        <w:instrText>developed</w:instrText>
      </w:r>
      <w:r w:rsidR="00A6794A" w:rsidRPr="00AA43FB">
        <w:instrText xml:space="preserve">, </w:instrText>
      </w:r>
      <w:r w:rsidR="00A6794A">
        <w:rPr>
          <w:lang w:val="en-US"/>
        </w:rPr>
        <w:instrText>comprising</w:instrText>
      </w:r>
      <w:r w:rsidR="00A6794A" w:rsidRPr="00AA43FB">
        <w:instrText xml:space="preserve"> </w:instrText>
      </w:r>
      <w:r w:rsidR="00A6794A">
        <w:rPr>
          <w:lang w:val="en-US"/>
        </w:rPr>
        <w:instrText>the</w:instrText>
      </w:r>
      <w:r w:rsidR="00A6794A" w:rsidRPr="00AA43FB">
        <w:instrText xml:space="preserve"> </w:instrText>
      </w:r>
      <w:r w:rsidR="00A6794A">
        <w:rPr>
          <w:lang w:val="en-US"/>
        </w:rPr>
        <w:instrText>same</w:instrText>
      </w:r>
      <w:r w:rsidR="00A6794A" w:rsidRPr="00AA43FB">
        <w:instrText xml:space="preserve"> </w:instrText>
      </w:r>
      <w:r w:rsidR="00A6794A">
        <w:rPr>
          <w:lang w:val="en-US"/>
        </w:rPr>
        <w:instrText>monoclonal</w:instrText>
      </w:r>
      <w:r w:rsidR="00A6794A" w:rsidRPr="00AA43FB">
        <w:instrText xml:space="preserve"> </w:instrText>
      </w:r>
      <w:r w:rsidR="00A6794A">
        <w:rPr>
          <w:lang w:val="en-US"/>
        </w:rPr>
        <w:instrText>antibody</w:instrText>
      </w:r>
      <w:r w:rsidR="00A6794A" w:rsidRPr="00AA43FB">
        <w:instrText xml:space="preserve"> </w:instrText>
      </w:r>
      <w:r w:rsidR="00A6794A">
        <w:rPr>
          <w:lang w:val="en-US"/>
        </w:rPr>
        <w:instrText>as</w:instrText>
      </w:r>
      <w:r w:rsidR="00A6794A" w:rsidRPr="00AA43FB">
        <w:instrText xml:space="preserve"> </w:instrText>
      </w:r>
      <w:r w:rsidR="00A6794A">
        <w:rPr>
          <w:lang w:val="en-US"/>
        </w:rPr>
        <w:instrText>the</w:instrText>
      </w:r>
      <w:r w:rsidR="00A6794A" w:rsidRPr="00AA43FB">
        <w:instrText xml:space="preserve"> </w:instrText>
      </w:r>
      <w:r w:rsidR="00A6794A">
        <w:rPr>
          <w:lang w:val="en-US"/>
        </w:rPr>
        <w:instrText>originally</w:instrText>
      </w:r>
      <w:r w:rsidR="00A6794A" w:rsidRPr="00AA43FB">
        <w:instrText xml:space="preserve"> </w:instrText>
      </w:r>
      <w:r w:rsidR="00A6794A">
        <w:rPr>
          <w:lang w:val="en-US"/>
        </w:rPr>
        <w:instrText>marketed</w:instrText>
      </w:r>
      <w:r w:rsidR="00A6794A" w:rsidRPr="00AA43FB">
        <w:instrText xml:space="preserve"> </w:instrText>
      </w:r>
      <w:r w:rsidR="00A6794A">
        <w:rPr>
          <w:lang w:val="en-US"/>
        </w:rPr>
        <w:instrText>formulation</w:instrText>
      </w:r>
      <w:r w:rsidR="00A6794A" w:rsidRPr="00AA43FB">
        <w:instrText xml:space="preserve"> [</w:instrText>
      </w:r>
      <w:r w:rsidR="00A6794A">
        <w:rPr>
          <w:lang w:val="en-US"/>
        </w:rPr>
        <w:instrText>rituximab</w:instrText>
      </w:r>
      <w:r w:rsidR="00A6794A" w:rsidRPr="00AA43FB">
        <w:instrText xml:space="preserve"> </w:instrText>
      </w:r>
      <w:r w:rsidR="00A6794A">
        <w:rPr>
          <w:lang w:val="en-US"/>
        </w:rPr>
        <w:instrText>concentrate</w:instrText>
      </w:r>
      <w:r w:rsidR="00A6794A" w:rsidRPr="00AA43FB">
        <w:instrText xml:space="preserve"> </w:instrText>
      </w:r>
      <w:r w:rsidR="00A6794A">
        <w:rPr>
          <w:lang w:val="en-US"/>
        </w:rPr>
        <w:instrText>for</w:instrText>
      </w:r>
      <w:r w:rsidR="00A6794A" w:rsidRPr="00AA43FB">
        <w:instrText xml:space="preserve"> </w:instrText>
      </w:r>
      <w:r w:rsidR="00A6794A">
        <w:rPr>
          <w:lang w:val="en-US"/>
        </w:rPr>
        <w:instrText>solution</w:instrText>
      </w:r>
      <w:r w:rsidR="00A6794A" w:rsidRPr="00AA43FB">
        <w:instrText xml:space="preserve"> </w:instrText>
      </w:r>
      <w:r w:rsidR="00A6794A">
        <w:rPr>
          <w:lang w:val="en-US"/>
        </w:rPr>
        <w:instrText>for</w:instrText>
      </w:r>
      <w:r w:rsidR="00A6794A" w:rsidRPr="00AA43FB">
        <w:instrText xml:space="preserve"> </w:instrText>
      </w:r>
      <w:r w:rsidR="00A6794A">
        <w:rPr>
          <w:lang w:val="en-US"/>
        </w:rPr>
        <w:instrText>intravenous</w:instrText>
      </w:r>
      <w:r w:rsidR="00A6794A" w:rsidRPr="00AA43FB">
        <w:instrText xml:space="preserve"> (</w:instrText>
      </w:r>
      <w:r w:rsidR="00A6794A">
        <w:rPr>
          <w:lang w:val="en-US"/>
        </w:rPr>
        <w:instrText>IV</w:instrText>
      </w:r>
      <w:r w:rsidR="00A6794A" w:rsidRPr="00AA43FB">
        <w:instrText xml:space="preserve">) </w:instrText>
      </w:r>
      <w:r w:rsidR="00A6794A">
        <w:rPr>
          <w:lang w:val="en-US"/>
        </w:rPr>
        <w:instrText>infusion</w:instrText>
      </w:r>
      <w:r w:rsidR="00A6794A" w:rsidRPr="00AA43FB">
        <w:instrText xml:space="preserve">], </w:instrText>
      </w:r>
      <w:r w:rsidR="00A6794A">
        <w:rPr>
          <w:lang w:val="en-US"/>
        </w:rPr>
        <w:instrText>and</w:instrText>
      </w:r>
      <w:r w:rsidR="00A6794A" w:rsidRPr="00AA43FB">
        <w:instrText xml:space="preserve"> </w:instrText>
      </w:r>
      <w:r w:rsidR="00A6794A">
        <w:rPr>
          <w:lang w:val="en-US"/>
        </w:rPr>
        <w:instrText>has</w:instrText>
      </w:r>
      <w:r w:rsidR="00A6794A" w:rsidRPr="00AA43FB">
        <w:instrText xml:space="preserve"> </w:instrText>
      </w:r>
      <w:r w:rsidR="00A6794A">
        <w:rPr>
          <w:lang w:val="en-US"/>
        </w:rPr>
        <w:instrText>undergone</w:instrText>
      </w:r>
      <w:r w:rsidR="00A6794A" w:rsidRPr="00AA43FB">
        <w:instrText xml:space="preserve"> </w:instrText>
      </w:r>
      <w:r w:rsidR="00A6794A">
        <w:rPr>
          <w:lang w:val="en-US"/>
        </w:rPr>
        <w:instrText>a</w:instrText>
      </w:r>
      <w:r w:rsidR="00A6794A" w:rsidRPr="00AA43FB">
        <w:instrText xml:space="preserve"> </w:instrText>
      </w:r>
      <w:r w:rsidR="00A6794A">
        <w:rPr>
          <w:lang w:val="en-US"/>
        </w:rPr>
        <w:instrText>detailed</w:instrText>
      </w:r>
      <w:r w:rsidR="00A6794A" w:rsidRPr="00AA43FB">
        <w:instrText xml:space="preserve">, </w:instrText>
      </w:r>
      <w:r w:rsidR="00A6794A">
        <w:rPr>
          <w:lang w:val="en-US"/>
        </w:rPr>
        <w:instrText>sequential</w:instrText>
      </w:r>
      <w:r w:rsidR="00A6794A" w:rsidRPr="00AA43FB">
        <w:instrText xml:space="preserve"> </w:instrText>
      </w:r>
      <w:r w:rsidR="00A6794A">
        <w:rPr>
          <w:lang w:val="en-US"/>
        </w:rPr>
        <w:instrText>clinical</w:instrText>
      </w:r>
      <w:r w:rsidR="00A6794A" w:rsidRPr="00AA43FB">
        <w:instrText xml:space="preserve"> </w:instrText>
      </w:r>
      <w:r w:rsidR="00A6794A">
        <w:rPr>
          <w:lang w:val="en-US"/>
        </w:rPr>
        <w:instrText>development</w:instrText>
      </w:r>
      <w:r w:rsidR="00A6794A" w:rsidRPr="00AA43FB">
        <w:instrText xml:space="preserve"> </w:instrText>
      </w:r>
      <w:r w:rsidR="00A6794A">
        <w:rPr>
          <w:lang w:val="en-US"/>
        </w:rPr>
        <w:instrText>program</w:instrText>
      </w:r>
      <w:r w:rsidR="00A6794A" w:rsidRPr="00AA43FB">
        <w:instrText xml:space="preserve">. </w:instrText>
      </w:r>
      <w:r w:rsidR="00A6794A">
        <w:rPr>
          <w:lang w:val="en-US"/>
        </w:rPr>
        <w:instrText>This</w:instrText>
      </w:r>
      <w:r w:rsidR="00A6794A" w:rsidRPr="00AA43FB">
        <w:instrText xml:space="preserve"> </w:instrText>
      </w:r>
      <w:r w:rsidR="00A6794A">
        <w:rPr>
          <w:lang w:val="en-US"/>
        </w:rPr>
        <w:instrText>program</w:instrText>
      </w:r>
      <w:r w:rsidR="00A6794A" w:rsidRPr="00AA43FB">
        <w:instrText xml:space="preserve"> </w:instrText>
      </w:r>
      <w:r w:rsidR="00A6794A">
        <w:rPr>
          <w:lang w:val="en-US"/>
        </w:rPr>
        <w:instrText>demonstrated</w:instrText>
      </w:r>
      <w:r w:rsidR="00A6794A" w:rsidRPr="00AA43FB">
        <w:instrText xml:space="preserve"> </w:instrText>
      </w:r>
      <w:r w:rsidR="00A6794A">
        <w:rPr>
          <w:lang w:val="en-US"/>
        </w:rPr>
        <w:instrText>that</w:instrText>
      </w:r>
      <w:r w:rsidR="00A6794A" w:rsidRPr="00AA43FB">
        <w:instrText xml:space="preserve">, </w:instrText>
      </w:r>
      <w:r w:rsidR="00A6794A">
        <w:rPr>
          <w:lang w:val="en-US"/>
        </w:rPr>
        <w:instrText>at</w:instrText>
      </w:r>
      <w:r w:rsidR="00A6794A" w:rsidRPr="00AA43FB">
        <w:instrText xml:space="preserve"> </w:instrText>
      </w:r>
      <w:r w:rsidR="00A6794A">
        <w:rPr>
          <w:lang w:val="en-US"/>
        </w:rPr>
        <w:instrText>fixed</w:instrText>
      </w:r>
      <w:r w:rsidR="00A6794A" w:rsidRPr="00AA43FB">
        <w:instrText xml:space="preserve"> </w:instrText>
      </w:r>
      <w:r w:rsidR="00A6794A">
        <w:rPr>
          <w:lang w:val="en-US"/>
        </w:rPr>
        <w:instrText>doses</w:instrText>
      </w:r>
      <w:r w:rsidR="00A6794A" w:rsidRPr="00AA43FB">
        <w:instrText xml:space="preserve">, </w:instrText>
      </w:r>
      <w:r w:rsidR="00A6794A">
        <w:rPr>
          <w:lang w:val="en-US"/>
        </w:rPr>
        <w:instrText>rituximab</w:instrText>
      </w:r>
      <w:r w:rsidR="00A6794A" w:rsidRPr="00AA43FB">
        <w:instrText xml:space="preserve"> </w:instrText>
      </w:r>
      <w:r w:rsidR="00A6794A">
        <w:rPr>
          <w:lang w:val="en-US"/>
        </w:rPr>
        <w:instrText>SC</w:instrText>
      </w:r>
      <w:r w:rsidR="00A6794A" w:rsidRPr="00AA43FB">
        <w:instrText xml:space="preserve"> </w:instrText>
      </w:r>
      <w:r w:rsidR="00A6794A">
        <w:rPr>
          <w:lang w:val="en-US"/>
        </w:rPr>
        <w:instrText>achieves</w:instrText>
      </w:r>
      <w:r w:rsidR="00A6794A" w:rsidRPr="00AA43FB">
        <w:instrText xml:space="preserve"> </w:instrText>
      </w:r>
      <w:r w:rsidR="00A6794A">
        <w:rPr>
          <w:lang w:val="en-US"/>
        </w:rPr>
        <w:instrText>non</w:instrText>
      </w:r>
      <w:r w:rsidR="00A6794A" w:rsidRPr="00AA43FB">
        <w:instrText>-</w:instrText>
      </w:r>
      <w:r w:rsidR="00A6794A">
        <w:rPr>
          <w:lang w:val="en-US"/>
        </w:rPr>
        <w:instrText>inferior</w:instrText>
      </w:r>
      <w:r w:rsidR="00A6794A" w:rsidRPr="00AA43FB">
        <w:instrText xml:space="preserve"> </w:instrText>
      </w:r>
      <w:r w:rsidR="00A6794A">
        <w:rPr>
          <w:lang w:val="en-US"/>
        </w:rPr>
        <w:instrText>serum</w:instrText>
      </w:r>
      <w:r w:rsidR="00A6794A" w:rsidRPr="00AA43FB">
        <w:instrText xml:space="preserve"> </w:instrText>
      </w:r>
      <w:r w:rsidR="00A6794A">
        <w:rPr>
          <w:lang w:val="en-US"/>
        </w:rPr>
        <w:instrText>trough</w:instrText>
      </w:r>
      <w:r w:rsidR="00A6794A" w:rsidRPr="00AA43FB">
        <w:instrText xml:space="preserve"> </w:instrText>
      </w:r>
      <w:r w:rsidR="00A6794A">
        <w:rPr>
          <w:lang w:val="en-US"/>
        </w:rPr>
        <w:instrText>concentrations</w:instrText>
      </w:r>
      <w:r w:rsidR="00A6794A" w:rsidRPr="00AA43FB">
        <w:instrText xml:space="preserve"> </w:instrText>
      </w:r>
      <w:r w:rsidR="00A6794A">
        <w:rPr>
          <w:lang w:val="en-US"/>
        </w:rPr>
        <w:instrText>in</w:instrText>
      </w:r>
      <w:r w:rsidR="00A6794A" w:rsidRPr="00AA43FB">
        <w:instrText xml:space="preserve"> </w:instrText>
      </w:r>
      <w:r w:rsidR="00A6794A">
        <w:rPr>
          <w:lang w:val="en-US"/>
        </w:rPr>
        <w:instrText>patients</w:instrText>
      </w:r>
      <w:r w:rsidR="00A6794A" w:rsidRPr="00AA43FB">
        <w:instrText xml:space="preserve"> </w:instrText>
      </w:r>
      <w:r w:rsidR="00A6794A">
        <w:rPr>
          <w:lang w:val="en-US"/>
        </w:rPr>
        <w:instrText>with</w:instrText>
      </w:r>
      <w:r w:rsidR="00A6794A" w:rsidRPr="00AA43FB">
        <w:instrText xml:space="preserve"> </w:instrText>
      </w:r>
      <w:r w:rsidR="00A6794A">
        <w:rPr>
          <w:lang w:val="en-US"/>
        </w:rPr>
        <w:instrText>non</w:instrText>
      </w:r>
      <w:r w:rsidR="00A6794A" w:rsidRPr="00AA43FB">
        <w:instrText>-</w:instrText>
      </w:r>
      <w:r w:rsidR="00A6794A">
        <w:rPr>
          <w:lang w:val="en-US"/>
        </w:rPr>
        <w:instrText>Hodgkin</w:instrText>
      </w:r>
      <w:r w:rsidR="00A6794A" w:rsidRPr="00AA43FB">
        <w:instrText xml:space="preserve"> </w:instrText>
      </w:r>
      <w:r w:rsidR="00A6794A">
        <w:rPr>
          <w:lang w:val="en-US"/>
        </w:rPr>
        <w:instrText>lymphoma</w:instrText>
      </w:r>
      <w:r w:rsidR="00A6794A" w:rsidRPr="00AA43FB">
        <w:instrText xml:space="preserve"> </w:instrText>
      </w:r>
      <w:r w:rsidR="00A6794A">
        <w:rPr>
          <w:lang w:val="en-US"/>
        </w:rPr>
        <w:instrText>and</w:instrText>
      </w:r>
      <w:r w:rsidR="00A6794A" w:rsidRPr="00AA43FB">
        <w:instrText xml:space="preserve"> </w:instrText>
      </w:r>
      <w:r w:rsidR="00A6794A">
        <w:rPr>
          <w:lang w:val="en-US"/>
        </w:rPr>
        <w:instrText>chronic</w:instrText>
      </w:r>
      <w:r w:rsidR="00A6794A" w:rsidRPr="00AA43FB">
        <w:instrText xml:space="preserve"> </w:instrText>
      </w:r>
      <w:r w:rsidR="00A6794A">
        <w:rPr>
          <w:lang w:val="en-US"/>
        </w:rPr>
        <w:instrText>lymphocytic</w:instrText>
      </w:r>
      <w:r w:rsidR="00A6794A" w:rsidRPr="00AA43FB">
        <w:instrText xml:space="preserve"> </w:instrText>
      </w:r>
      <w:r w:rsidR="00A6794A">
        <w:rPr>
          <w:lang w:val="en-US"/>
        </w:rPr>
        <w:instrText>leukemia</w:instrText>
      </w:r>
      <w:r w:rsidR="00A6794A" w:rsidRPr="00AA43FB">
        <w:instrText xml:space="preserve">, </w:instrText>
      </w:r>
      <w:r w:rsidR="00A6794A">
        <w:rPr>
          <w:lang w:val="en-US"/>
        </w:rPr>
        <w:instrText>with</w:instrText>
      </w:r>
      <w:r w:rsidR="00A6794A" w:rsidRPr="00AA43FB">
        <w:instrText xml:space="preserve"> </w:instrText>
      </w:r>
      <w:r w:rsidR="00A6794A">
        <w:rPr>
          <w:lang w:val="en-US"/>
        </w:rPr>
        <w:instrText>comparable</w:instrText>
      </w:r>
      <w:r w:rsidR="00A6794A" w:rsidRPr="00AA43FB">
        <w:instrText xml:space="preserve"> </w:instrText>
      </w:r>
      <w:r w:rsidR="00A6794A">
        <w:rPr>
          <w:lang w:val="en-US"/>
        </w:rPr>
        <w:instrText>efficacy</w:instrText>
      </w:r>
      <w:r w:rsidR="00A6794A" w:rsidRPr="00AA43FB">
        <w:instrText xml:space="preserve"> </w:instrText>
      </w:r>
      <w:r w:rsidR="00A6794A">
        <w:rPr>
          <w:lang w:val="en-US"/>
        </w:rPr>
        <w:instrText>and</w:instrText>
      </w:r>
      <w:r w:rsidR="00A6794A" w:rsidRPr="00AA43FB">
        <w:instrText xml:space="preserve"> </w:instrText>
      </w:r>
      <w:r w:rsidR="00A6794A">
        <w:rPr>
          <w:lang w:val="en-US"/>
        </w:rPr>
        <w:instrText>safety</w:instrText>
      </w:r>
      <w:r w:rsidR="00A6794A" w:rsidRPr="00AA43FB">
        <w:instrText xml:space="preserve"> </w:instrText>
      </w:r>
      <w:r w:rsidR="00A6794A">
        <w:rPr>
          <w:lang w:val="en-US"/>
        </w:rPr>
        <w:instrText>relative</w:instrText>
      </w:r>
      <w:r w:rsidR="00A6794A" w:rsidRPr="00AA43FB">
        <w:instrText xml:space="preserve"> </w:instrText>
      </w:r>
      <w:r w:rsidR="00A6794A">
        <w:rPr>
          <w:lang w:val="en-US"/>
        </w:rPr>
        <w:instrText>to</w:instrText>
      </w:r>
      <w:r w:rsidR="00A6794A" w:rsidRPr="00AA43FB">
        <w:instrText xml:space="preserve"> </w:instrText>
      </w:r>
      <w:r w:rsidR="00A6794A">
        <w:rPr>
          <w:lang w:val="en-US"/>
        </w:rPr>
        <w:instrText>the</w:instrText>
      </w:r>
      <w:r w:rsidR="00A6794A" w:rsidRPr="00AA43FB">
        <w:instrText xml:space="preserve"> </w:instrText>
      </w:r>
      <w:r w:rsidR="00A6794A">
        <w:rPr>
          <w:lang w:val="en-US"/>
        </w:rPr>
        <w:instrText>IV</w:instrText>
      </w:r>
      <w:r w:rsidR="00A6794A" w:rsidRPr="00AA43FB">
        <w:instrText xml:space="preserve"> </w:instrText>
      </w:r>
      <w:r w:rsidR="00A6794A">
        <w:rPr>
          <w:lang w:val="en-US"/>
        </w:rPr>
        <w:instrText>formulation</w:instrText>
      </w:r>
      <w:r w:rsidR="00A6794A" w:rsidRPr="00AA43FB">
        <w:instrText xml:space="preserve">. </w:instrText>
      </w:r>
      <w:r w:rsidR="00A6794A">
        <w:rPr>
          <w:lang w:val="en-US"/>
        </w:rPr>
        <w:instrText>The</w:instrText>
      </w:r>
      <w:r w:rsidR="00A6794A" w:rsidRPr="00AA43FB">
        <w:instrText xml:space="preserve"> </w:instrText>
      </w:r>
      <w:r w:rsidR="00A6794A">
        <w:rPr>
          <w:lang w:val="en-US"/>
        </w:rPr>
        <w:instrText>added</w:instrText>
      </w:r>
      <w:r w:rsidR="00A6794A" w:rsidRPr="00AA43FB">
        <w:instrText xml:space="preserve"> </w:instrText>
      </w:r>
      <w:r w:rsidR="00A6794A">
        <w:rPr>
          <w:lang w:val="en-US"/>
        </w:rPr>
        <w:instrText>benefit</w:instrText>
      </w:r>
      <w:r w:rsidR="00A6794A" w:rsidRPr="00AA43FB">
        <w:instrText xml:space="preserve"> </w:instrText>
      </w:r>
      <w:r w:rsidR="00A6794A">
        <w:rPr>
          <w:lang w:val="en-US"/>
        </w:rPr>
        <w:instrText>of</w:instrText>
      </w:r>
      <w:r w:rsidR="00A6794A" w:rsidRPr="00AA43FB">
        <w:instrText xml:space="preserve"> </w:instrText>
      </w:r>
      <w:r w:rsidR="00A6794A">
        <w:rPr>
          <w:lang w:val="en-US"/>
        </w:rPr>
        <w:instrText>rituximab</w:instrText>
      </w:r>
      <w:r w:rsidR="00A6794A" w:rsidRPr="00AA43FB">
        <w:instrText xml:space="preserve"> </w:instrText>
      </w:r>
      <w:r w:rsidR="00A6794A">
        <w:rPr>
          <w:lang w:val="en-US"/>
        </w:rPr>
        <w:instrText>SC</w:instrText>
      </w:r>
      <w:r w:rsidR="00A6794A" w:rsidRPr="00AA43FB">
        <w:instrText xml:space="preserve"> </w:instrText>
      </w:r>
      <w:r w:rsidR="00A6794A">
        <w:rPr>
          <w:lang w:val="en-US"/>
        </w:rPr>
        <w:instrText>was</w:instrText>
      </w:r>
      <w:r w:rsidR="00A6794A" w:rsidRPr="00AA43FB">
        <w:instrText xml:space="preserve"> </w:instrText>
      </w:r>
      <w:r w:rsidR="00A6794A">
        <w:rPr>
          <w:lang w:val="en-US"/>
        </w:rPr>
        <w:instrText>demonstrated</w:instrText>
      </w:r>
      <w:r w:rsidR="00A6794A" w:rsidRPr="00AA43FB">
        <w:instrText xml:space="preserve"> </w:instrText>
      </w:r>
      <w:r w:rsidR="00A6794A">
        <w:rPr>
          <w:lang w:val="en-US"/>
        </w:rPr>
        <w:instrText>in</w:instrText>
      </w:r>
      <w:r w:rsidR="00A6794A" w:rsidRPr="00AA43FB">
        <w:instrText xml:space="preserve"> </w:instrText>
      </w:r>
      <w:r w:rsidR="00A6794A">
        <w:rPr>
          <w:lang w:val="en-US"/>
        </w:rPr>
        <w:instrText>dedicated</w:instrText>
      </w:r>
      <w:r w:rsidR="00A6794A" w:rsidRPr="00AA43FB">
        <w:instrText xml:space="preserve"> </w:instrText>
      </w:r>
      <w:r w:rsidR="00A6794A">
        <w:rPr>
          <w:lang w:val="en-US"/>
        </w:rPr>
        <w:instrText>studies</w:instrText>
      </w:r>
      <w:r w:rsidR="00A6794A" w:rsidRPr="00AA43FB">
        <w:instrText xml:space="preserve"> </w:instrText>
      </w:r>
      <w:r w:rsidR="00A6794A">
        <w:rPr>
          <w:lang w:val="en-US"/>
        </w:rPr>
        <w:instrText>showing</w:instrText>
      </w:r>
      <w:r w:rsidR="00A6794A" w:rsidRPr="00AA43FB">
        <w:instrText xml:space="preserve"> </w:instrText>
      </w:r>
      <w:r w:rsidR="00A6794A">
        <w:rPr>
          <w:lang w:val="en-US"/>
        </w:rPr>
        <w:instrText>that</w:instrText>
      </w:r>
      <w:r w:rsidR="00A6794A" w:rsidRPr="00AA43FB">
        <w:instrText xml:space="preserve"> </w:instrText>
      </w:r>
      <w:r w:rsidR="00A6794A">
        <w:rPr>
          <w:lang w:val="en-US"/>
        </w:rPr>
        <w:instrText>rituximab</w:instrText>
      </w:r>
      <w:r w:rsidR="00A6794A" w:rsidRPr="00AA43FB">
        <w:instrText xml:space="preserve"> </w:instrText>
      </w:r>
      <w:r w:rsidR="00A6794A">
        <w:rPr>
          <w:lang w:val="en-US"/>
        </w:rPr>
        <w:instrText>SC</w:instrText>
      </w:r>
      <w:r w:rsidR="00A6794A" w:rsidRPr="00AA43FB">
        <w:instrText xml:space="preserve"> </w:instrText>
      </w:r>
      <w:r w:rsidR="00A6794A">
        <w:rPr>
          <w:lang w:val="en-US"/>
        </w:rPr>
        <w:instrText>allows</w:instrText>
      </w:r>
      <w:r w:rsidR="00A6794A" w:rsidRPr="00AA43FB">
        <w:instrText xml:space="preserve"> </w:instrText>
      </w:r>
      <w:r w:rsidR="00A6794A">
        <w:rPr>
          <w:lang w:val="en-US"/>
        </w:rPr>
        <w:instrText>for</w:instrText>
      </w:r>
      <w:r w:rsidR="00A6794A" w:rsidRPr="00AA43FB">
        <w:instrText xml:space="preserve"> </w:instrText>
      </w:r>
      <w:r w:rsidR="00A6794A">
        <w:rPr>
          <w:lang w:val="en-US"/>
        </w:rPr>
        <w:instrText>simplified</w:instrText>
      </w:r>
      <w:r w:rsidR="00A6794A" w:rsidRPr="00AA43FB">
        <w:instrText xml:space="preserve"> </w:instrText>
      </w:r>
      <w:r w:rsidR="00A6794A">
        <w:rPr>
          <w:lang w:val="en-US"/>
        </w:rPr>
        <w:instrText>and</w:instrText>
      </w:r>
      <w:r w:rsidR="00A6794A" w:rsidRPr="00AA43FB">
        <w:instrText xml:space="preserve"> </w:instrText>
      </w:r>
      <w:r w:rsidR="00A6794A">
        <w:rPr>
          <w:lang w:val="en-US"/>
        </w:rPr>
        <w:instrText>shortened</w:instrText>
      </w:r>
      <w:r w:rsidR="00A6794A" w:rsidRPr="00AA43FB">
        <w:instrText xml:space="preserve"> </w:instrText>
      </w:r>
      <w:r w:rsidR="00A6794A">
        <w:rPr>
          <w:lang w:val="en-US"/>
        </w:rPr>
        <w:instrText>drug</w:instrText>
      </w:r>
      <w:r w:rsidR="00A6794A" w:rsidRPr="00AA43FB">
        <w:instrText xml:space="preserve"> </w:instrText>
      </w:r>
      <w:r w:rsidR="00A6794A">
        <w:rPr>
          <w:lang w:val="en-US"/>
        </w:rPr>
        <w:instrText>preparation</w:instrText>
      </w:r>
      <w:r w:rsidR="00A6794A" w:rsidRPr="00AA43FB">
        <w:instrText xml:space="preserve"> </w:instrText>
      </w:r>
      <w:r w:rsidR="00A6794A">
        <w:rPr>
          <w:lang w:val="en-US"/>
        </w:rPr>
        <w:instrText>and</w:instrText>
      </w:r>
      <w:r w:rsidR="00A6794A" w:rsidRPr="00AA43FB">
        <w:instrText xml:space="preserve"> </w:instrText>
      </w:r>
      <w:r w:rsidR="00A6794A">
        <w:rPr>
          <w:lang w:val="en-US"/>
        </w:rPr>
        <w:instrText>administration</w:instrText>
      </w:r>
      <w:r w:rsidR="00A6794A" w:rsidRPr="00AA43FB">
        <w:instrText xml:space="preserve"> </w:instrText>
      </w:r>
      <w:r w:rsidR="00A6794A">
        <w:rPr>
          <w:lang w:val="en-US"/>
        </w:rPr>
        <w:instrText>times</w:instrText>
      </w:r>
      <w:r w:rsidR="00A6794A" w:rsidRPr="00AA43FB">
        <w:instrText xml:space="preserve"> </w:instrText>
      </w:r>
      <w:r w:rsidR="00A6794A">
        <w:rPr>
          <w:lang w:val="en-US"/>
        </w:rPr>
        <w:instrText>resulting</w:instrText>
      </w:r>
      <w:r w:rsidR="00A6794A" w:rsidRPr="00AA43FB">
        <w:instrText xml:space="preserve"> </w:instrText>
      </w:r>
      <w:r w:rsidR="00A6794A">
        <w:rPr>
          <w:lang w:val="en-US"/>
        </w:rPr>
        <w:instrText>in</w:instrText>
      </w:r>
      <w:r w:rsidR="00A6794A" w:rsidRPr="00AA43FB">
        <w:instrText xml:space="preserve"> </w:instrText>
      </w:r>
      <w:r w:rsidR="00A6794A">
        <w:rPr>
          <w:lang w:val="en-US"/>
        </w:rPr>
        <w:instrText>a</w:instrText>
      </w:r>
      <w:r w:rsidR="00A6794A" w:rsidRPr="00AA43FB">
        <w:instrText xml:space="preserve"> </w:instrText>
      </w:r>
      <w:r w:rsidR="00A6794A">
        <w:rPr>
          <w:lang w:val="en-US"/>
        </w:rPr>
        <w:instrText>reduced</w:instrText>
      </w:r>
      <w:r w:rsidR="00A6794A" w:rsidRPr="00AA43FB">
        <w:instrText xml:space="preserve"> </w:instrText>
      </w:r>
      <w:r w:rsidR="00A6794A">
        <w:rPr>
          <w:lang w:val="en-US"/>
        </w:rPr>
        <w:instrText>treatment</w:instrText>
      </w:r>
      <w:r w:rsidR="00A6794A" w:rsidRPr="00AA43FB">
        <w:instrText xml:space="preserve"> </w:instrText>
      </w:r>
      <w:r w:rsidR="00A6794A">
        <w:rPr>
          <w:lang w:val="en-US"/>
        </w:rPr>
        <w:instrText>burden</w:instrText>
      </w:r>
      <w:r w:rsidR="00A6794A" w:rsidRPr="00AA43FB">
        <w:instrText xml:space="preserve"> </w:instrText>
      </w:r>
      <w:r w:rsidR="00A6794A">
        <w:rPr>
          <w:lang w:val="en-US"/>
        </w:rPr>
        <w:instrText>for</w:instrText>
      </w:r>
      <w:r w:rsidR="00A6794A" w:rsidRPr="00AA43FB">
        <w:instrText xml:space="preserve"> </w:instrText>
      </w:r>
      <w:r w:rsidR="00A6794A">
        <w:rPr>
          <w:lang w:val="en-US"/>
        </w:rPr>
        <w:instrText>patients</w:instrText>
      </w:r>
      <w:r w:rsidR="00A6794A" w:rsidRPr="00AA43FB">
        <w:instrText xml:space="preserve"> </w:instrText>
      </w:r>
      <w:r w:rsidR="00A6794A">
        <w:rPr>
          <w:lang w:val="en-US"/>
        </w:rPr>
        <w:instrText>as</w:instrText>
      </w:r>
      <w:r w:rsidR="00A6794A" w:rsidRPr="00AA43FB">
        <w:instrText xml:space="preserve"> </w:instrText>
      </w:r>
      <w:r w:rsidR="00A6794A">
        <w:rPr>
          <w:lang w:val="en-US"/>
        </w:rPr>
        <w:instrText>well</w:instrText>
      </w:r>
      <w:r w:rsidR="00A6794A" w:rsidRPr="00AA43FB">
        <w:instrText xml:space="preserve"> </w:instrText>
      </w:r>
      <w:r w:rsidR="00A6794A">
        <w:rPr>
          <w:lang w:val="en-US"/>
        </w:rPr>
        <w:instrText>as</w:instrText>
      </w:r>
      <w:r w:rsidR="00A6794A" w:rsidRPr="00AA43FB">
        <w:instrText xml:space="preserve"> </w:instrText>
      </w:r>
      <w:r w:rsidR="00A6794A">
        <w:rPr>
          <w:lang w:val="en-US"/>
        </w:rPr>
        <w:instrText>improved</w:instrText>
      </w:r>
      <w:r w:rsidR="00A6794A" w:rsidRPr="00AA43FB">
        <w:instrText xml:space="preserve"> </w:instrText>
      </w:r>
      <w:r w:rsidR="00A6794A">
        <w:rPr>
          <w:lang w:val="en-US"/>
        </w:rPr>
        <w:instrText>resource</w:instrText>
      </w:r>
      <w:r w:rsidR="00A6794A" w:rsidRPr="00AA43FB">
        <w:instrText xml:space="preserve"> </w:instrText>
      </w:r>
      <w:r w:rsidR="00A6794A">
        <w:rPr>
          <w:lang w:val="en-US"/>
        </w:rPr>
        <w:instrText>utilization</w:instrText>
      </w:r>
      <w:r w:rsidR="00A6794A" w:rsidRPr="00AA43FB">
        <w:instrText xml:space="preserve"> (</w:instrText>
      </w:r>
      <w:r w:rsidR="00A6794A">
        <w:rPr>
          <w:lang w:val="en-US"/>
        </w:rPr>
        <w:instrText>efficiency</w:instrText>
      </w:r>
      <w:r w:rsidR="00A6794A" w:rsidRPr="00AA43FB">
        <w:instrText xml:space="preserve">) </w:instrText>
      </w:r>
      <w:r w:rsidR="00A6794A">
        <w:rPr>
          <w:lang w:val="en-US"/>
        </w:rPr>
        <w:instrText>at</w:instrText>
      </w:r>
      <w:r w:rsidR="00A6794A" w:rsidRPr="00AA43FB">
        <w:instrText xml:space="preserve"> </w:instrText>
      </w:r>
      <w:r w:rsidR="00A6794A">
        <w:rPr>
          <w:lang w:val="en-US"/>
        </w:rPr>
        <w:instrText>the</w:instrText>
      </w:r>
      <w:r w:rsidR="00A6794A" w:rsidRPr="00AA43FB">
        <w:instrText xml:space="preserve"> </w:instrText>
      </w:r>
      <w:r w:rsidR="00A6794A">
        <w:rPr>
          <w:lang w:val="en-US"/>
        </w:rPr>
        <w:instrText>treatment</w:instrText>
      </w:r>
      <w:r w:rsidR="00A6794A" w:rsidRPr="00AA43FB">
        <w:instrText xml:space="preserve"> </w:instrText>
      </w:r>
      <w:r w:rsidR="00A6794A">
        <w:rPr>
          <w:lang w:val="en-US"/>
        </w:rPr>
        <w:instrText>facility</w:instrText>
      </w:r>
      <w:r w:rsidR="00A6794A" w:rsidRPr="00AA43FB">
        <w:instrText xml:space="preserve">. </w:instrText>
      </w:r>
      <w:r w:rsidR="00A6794A">
        <w:rPr>
          <w:lang w:val="en-US"/>
        </w:rPr>
        <w:instrText>The</w:instrText>
      </w:r>
      <w:r w:rsidR="00A6794A" w:rsidRPr="00AA43FB">
        <w:instrText xml:space="preserve"> </w:instrText>
      </w:r>
      <w:r w:rsidR="00A6794A">
        <w:rPr>
          <w:lang w:val="en-US"/>
        </w:rPr>
        <w:instrText>improved</w:instrText>
      </w:r>
      <w:r w:rsidR="00A6794A" w:rsidRPr="00AA43FB">
        <w:instrText xml:space="preserve"> </w:instrText>
      </w:r>
      <w:r w:rsidR="00A6794A">
        <w:rPr>
          <w:lang w:val="en-US"/>
        </w:rPr>
        <w:instrText>efficiency</w:instrText>
      </w:r>
      <w:r w:rsidR="00A6794A" w:rsidRPr="00AA43FB">
        <w:instrText xml:space="preserve"> </w:instrText>
      </w:r>
      <w:r w:rsidR="00A6794A">
        <w:rPr>
          <w:lang w:val="en-US"/>
        </w:rPr>
        <w:instrText>of</w:instrText>
      </w:r>
      <w:r w:rsidR="00A6794A" w:rsidRPr="00AA43FB">
        <w:instrText xml:space="preserve"> </w:instrText>
      </w:r>
      <w:r w:rsidR="00A6794A">
        <w:rPr>
          <w:lang w:val="en-US"/>
        </w:rPr>
        <w:instrText>delivering</w:instrText>
      </w:r>
      <w:r w:rsidR="00A6794A" w:rsidRPr="00AA43FB">
        <w:instrText xml:space="preserve"> </w:instrText>
      </w:r>
      <w:r w:rsidR="00A6794A">
        <w:rPr>
          <w:lang w:val="en-US"/>
        </w:rPr>
        <w:instrText>rituximab</w:instrText>
      </w:r>
      <w:r w:rsidR="00A6794A" w:rsidRPr="00AA43FB">
        <w:instrText>’</w:instrText>
      </w:r>
      <w:r w:rsidR="00A6794A">
        <w:rPr>
          <w:lang w:val="en-US"/>
        </w:rPr>
        <w:instrText>s</w:instrText>
      </w:r>
      <w:r w:rsidR="00A6794A" w:rsidRPr="00AA43FB">
        <w:instrText xml:space="preserve"> </w:instrText>
      </w:r>
      <w:r w:rsidR="00A6794A">
        <w:rPr>
          <w:lang w:val="en-US"/>
        </w:rPr>
        <w:instrText>benefit</w:instrText>
      </w:r>
      <w:r w:rsidR="00A6794A" w:rsidRPr="00AA43FB">
        <w:instrText xml:space="preserve"> </w:instrText>
      </w:r>
      <w:r w:rsidR="00A6794A">
        <w:rPr>
          <w:lang w:val="en-US"/>
        </w:rPr>
        <w:instrText>to</w:instrText>
      </w:r>
      <w:r w:rsidR="00A6794A" w:rsidRPr="00AA43FB">
        <w:instrText xml:space="preserve"> </w:instrText>
      </w:r>
      <w:r w:rsidR="00A6794A">
        <w:rPr>
          <w:lang w:val="en-US"/>
        </w:rPr>
        <w:instrText>patients</w:instrText>
      </w:r>
      <w:r w:rsidR="00A6794A" w:rsidRPr="00AA43FB">
        <w:instrText xml:space="preserve"> </w:instrText>
      </w:r>
      <w:r w:rsidR="00A6794A">
        <w:rPr>
          <w:lang w:val="en-US"/>
        </w:rPr>
        <w:instrText>may</w:instrText>
      </w:r>
      <w:r w:rsidR="00A6794A" w:rsidRPr="00AA43FB">
        <w:instrText xml:space="preserve"> </w:instrText>
      </w:r>
      <w:r w:rsidR="00A6794A">
        <w:rPr>
          <w:lang w:val="en-US"/>
        </w:rPr>
        <w:instrText>broaden</w:instrText>
      </w:r>
      <w:r w:rsidR="00A6794A" w:rsidRPr="00AA43FB">
        <w:instrText xml:space="preserve"> </w:instrText>
      </w:r>
      <w:r w:rsidR="00A6794A">
        <w:rPr>
          <w:lang w:val="en-US"/>
        </w:rPr>
        <w:instrText>patient</w:instrText>
      </w:r>
      <w:r w:rsidR="00A6794A" w:rsidRPr="00AA43FB">
        <w:instrText xml:space="preserve"> </w:instrText>
      </w:r>
      <w:r w:rsidR="00A6794A">
        <w:rPr>
          <w:lang w:val="en-US"/>
        </w:rPr>
        <w:instrText>access</w:instrText>
      </w:r>
      <w:r w:rsidR="00A6794A" w:rsidRPr="00AA43FB">
        <w:instrText xml:space="preserve"> </w:instrText>
      </w:r>
      <w:r w:rsidR="00A6794A">
        <w:rPr>
          <w:lang w:val="en-US"/>
        </w:rPr>
        <w:instrText>to</w:instrText>
      </w:r>
      <w:r w:rsidR="00A6794A" w:rsidRPr="00AA43FB">
        <w:instrText xml:space="preserve"> </w:instrText>
      </w:r>
      <w:r w:rsidR="00A6794A">
        <w:rPr>
          <w:lang w:val="en-US"/>
        </w:rPr>
        <w:instrText>rituximab</w:instrText>
      </w:r>
      <w:r w:rsidR="00A6794A" w:rsidRPr="00AA43FB">
        <w:instrText xml:space="preserve"> </w:instrText>
      </w:r>
      <w:r w:rsidR="00A6794A">
        <w:rPr>
          <w:lang w:val="en-US"/>
        </w:rPr>
        <w:instrText>therapy</w:instrText>
      </w:r>
      <w:r w:rsidR="00A6794A" w:rsidRPr="00AA43FB">
        <w:instrText xml:space="preserve"> </w:instrText>
      </w:r>
      <w:r w:rsidR="00A6794A">
        <w:rPr>
          <w:lang w:val="en-US"/>
        </w:rPr>
        <w:instrText>in areas with low levels of healthcare resources, including IV-chair capacity constraints. This article is a companion paper to G. Salles, et al., which is also published in this issue. Funding: F. Hoffmann-La Roche Ltd.","author":[{"dropping-particle":"","family":"Davies","given":"Andrew","non-dropping-particle":"","parse-names":false,"suffix":""},{"dropping-particle":"","family":"Berge","given":"Claude","non-dropping-particle":"","parse-names":false,"suffix":""},{"dropping-particle":"","family":"Boehnke","given":"Axel","non-dropping-particle":"","parse-names":false,"suffix":""},{"dropping-particle":"","family":"Dadabhoy","given":"Anjum","non-dropping-particle":"","parse-names":false,"suffix":""},{"dropping-particle":"","family":"Lugtenburg","given":"Pieternella","non-dropping-particle":"","parse-names":false,"suffix":""},{"dropping-particle":"","family":"Rule","given":"Simon","non-dropping-particle":"","parse-names":false,"suffix":""},{"dropping-particle":"","family":"Rummel","given":"Mathias","non-dropping-particle":"","parse-names":false,"suffix":""},{"dropping-particle":"","family":"McIntyre","given":"Christine","non-dropping-particle":"","parse-names":false,"suffix":""},{"dropping-particle":"","family":"Smith","given":"Rodney","non-dropping-particle":"","parse-names":false,"suffix":""},{"dropping-particle":"","family":"Badoux","given":"Xavier","non-dropping-particle":"","parse-names":false,"suffix":""}],"container-title":"Advances in Therapy","id":"ITEM-2","issue":"10","issued":{"date-parts":[["2017","10","1"]]},"page":"2210-2231","publisher":"Springer Healthcare","title":"Subcutaneous Rituximab for the Treatment of B-Cell Hematologic Malignancies: A Review of the Scientific Rationale and Clinical Development","type":"article","volume":"34"},"uris":["http://www.mendeley.com/documents/?uuid=c91e99c4-7e72-3803-909e-84f3e662a6e0"]},{"id":"ITEM-3","itemData":{"DOI":"10.1111/bjh.16227","ISSN":"0007-1048","abstract":"Rituximab is a standard treatment for non-Hodgkin diffuse large B-cell (DLBCL) and follicular (FL) lymphomas. A subcutaneous formulation was developed to improve the resource use of intravenous rituximab, with comparable efficacy and safety profiles except for increased administration-related reactions (ARRs). MabRella was a phase IIIb trial to assess the safety of switching from intravenous to subcutaneous administration of rituximab during first-line induction/maintenance for DLBCL or FL, focusing on ARRs. Efficacy, satisfaction and quality of life were also assessed. Patients received subcutaneous rituximab plus standard induction chemotherapy for DLBCL or FL for 4–7 cycles, and/or every 2 months maintenance monotherapy for FL for 6–12 cycles. The study included 140 patients: DLBCL, n = 29; FL, n = 111. Ninety-five percent of patients experienced adverse events, reaching grade ≥3 in 38·6% and were serious in 30·0%. AARs occurred in 48·6%, mostly (84·9%) at the injection site, with only 2·1% of patients reaching grade 3. The end-of-induction complete/unconfirmed complete response rate was 69·6%. After a median follow-up of 33·5 months, median disease-/event-/progression-free and overall survivals were not attained. The Rituximab Administration Satisfaction Questionnaire showed improvements in overall satisfaction and the EuroQoL-5D a good quality-of-life perception at induction/maintenance end. Therefore, switching to subcutaneous rituximab showed no new safety issues and maintained efficacy with improved satisfaction and quality of life.","author":[{"dropping-particle":"","family":"García‐Muñoz","given":"Ricardo","non-dropping-particle":"","parse-names":false,"suffix":""},{"dropping-particle":"","family":"Quero","given":"Cristina","non-dropping-particle":"","parse-names":false,"suffix":""},{"dropping-particle":"","family":"Pérez‐Persona","given":"Ernesto","non-dropping-particle":"","parse-names":false,"suffix":""},{"dropping-particle":"","family":"Domingo‐García","given":"Abel","non-dropping-particle":"","parse-names":false,"suffix":""},{"dropping-particle":"","family":"Pérez‐López","given":"Cristina","non-dropping-particle":"","parse-names":false,"suffix":""},{"dropping-particle":"","family":"Villaescusa‐de‐la‐Rosa","given":"Teresa","non-dropping-particle":"","parse-names":false,"suffix":""},{"dropping-particle":"","family":"Martínez‐Castro","given":"Ana M.","non-dropping-particle":"","parse-names":false,"suffix":""},{"dropping-particle":"","family":"Arguiñano‐Pérez","given":"José M.","non-dropping-particle":"","parse-names":false,"suffix":""},{"dropping-particle":"","family":"Parra‐Cuadrado","given":"Juan F.","non-dropping-particle":"","parse-names":false,"suffix":""},{"dropping-particle":"","family":"Panizo","given":"Carlos","non-dropping-particle":"","parse-names":false,"suffix":""}],"container-title":"British Journal of Haematology","id":"ITEM-3","issue":"5","issued":{"date-parts":[["2020","3","1"]]},"page":"661-673","publisher":"Blackwell Publishing Ltd","title":"Safety of switching from intravenous to subcutaneous rituximab during first‐line treatment of patients with non‐Hodgkin lymphoma: the Spanish population of the MabRella study","type":"article-journal","volume":"188"},"uris":["http://www.mendeley.com/documents/?uuid=89ca4d25-771e-3d22-9da5-61e99fb5ec3e"]},{"id":"ITEM-4","itemData":{"DOI":"10.3747/co.24.3470","ISSN":"17187729","abstract":"Rituximab is widely used for the treatment of non-Hodgkin lymphoma, being a key component in most therapeutic regimens. Administration of the intravenous (IV) formulation is lengthy and places a significant burden on health care resources and patient quality of life. A subcutaneous (sc) formulation that provides a fixed dose of rituximab is being examined in a number of studies. Results indicate that the pharmacokinetics are noninferior and response rates are comparable to those obtained with the IV formulation. Moreover, the sc formulation is preferred by patients and health care providers and reduces administration and chair time. Additional advantages include a lesser potential for dosing errors, shorter preparation time, reduced drug wastage, and fewer infusion-related reactions. Despite the success of the sc formulation</w:instrText>
      </w:r>
      <w:r w:rsidR="00A6794A" w:rsidRPr="00D3550C">
        <w:instrText xml:space="preserve">, </w:instrText>
      </w:r>
      <w:r w:rsidR="00A6794A">
        <w:rPr>
          <w:lang w:val="en-US"/>
        </w:rPr>
        <w:instrText>correct</w:instrText>
      </w:r>
      <w:r w:rsidR="00A6794A" w:rsidRPr="00D3550C">
        <w:instrText xml:space="preserve"> </w:instrText>
      </w:r>
      <w:r w:rsidR="00A6794A">
        <w:rPr>
          <w:lang w:val="en-US"/>
        </w:rPr>
        <w:instrText>administration</w:instrText>
      </w:r>
      <w:r w:rsidR="00A6794A" w:rsidRPr="00D3550C">
        <w:instrText xml:space="preserve"> </w:instrText>
      </w:r>
      <w:r w:rsidR="00A6794A">
        <w:rPr>
          <w:lang w:val="en-US"/>
        </w:rPr>
        <w:instrText>is</w:instrText>
      </w:r>
      <w:r w:rsidR="00A6794A" w:rsidRPr="00D3550C">
        <w:instrText xml:space="preserve"> </w:instrText>
      </w:r>
      <w:r w:rsidR="00A6794A">
        <w:rPr>
          <w:lang w:val="en-US"/>
        </w:rPr>
        <w:instrText>needed</w:instrText>
      </w:r>
      <w:r w:rsidR="00A6794A" w:rsidRPr="00D3550C">
        <w:instrText xml:space="preserve"> </w:instrText>
      </w:r>
      <w:r w:rsidR="00A6794A">
        <w:rPr>
          <w:lang w:val="en-US"/>
        </w:rPr>
        <w:instrText>to</w:instrText>
      </w:r>
      <w:r w:rsidR="00A6794A" w:rsidRPr="00D3550C">
        <w:instrText xml:space="preserve"> </w:instrText>
      </w:r>
      <w:r w:rsidR="00A6794A">
        <w:rPr>
          <w:lang w:val="en-US"/>
        </w:rPr>
        <w:instrText>reduce</w:instrText>
      </w:r>
      <w:r w:rsidR="00A6794A" w:rsidRPr="00D3550C">
        <w:instrText xml:space="preserve"> </w:instrText>
      </w:r>
      <w:r w:rsidR="00A6794A">
        <w:rPr>
          <w:lang w:val="en-US"/>
        </w:rPr>
        <w:instrText>administration</w:instrText>
      </w:r>
      <w:r w:rsidR="00A6794A" w:rsidRPr="00D3550C">
        <w:instrText>-</w:instrText>
      </w:r>
      <w:r w:rsidR="00A6794A">
        <w:rPr>
          <w:lang w:val="en-US"/>
        </w:rPr>
        <w:instrText>related</w:instrText>
      </w:r>
      <w:r w:rsidR="00A6794A" w:rsidRPr="00D3550C">
        <w:instrText xml:space="preserve"> </w:instrText>
      </w:r>
      <w:r w:rsidR="00A6794A">
        <w:rPr>
          <w:lang w:val="en-US"/>
        </w:rPr>
        <w:instrText>reactions</w:instrText>
      </w:r>
      <w:r w:rsidR="00A6794A" w:rsidRPr="00D3550C">
        <w:instrText xml:space="preserve">. </w:instrText>
      </w:r>
      <w:r w:rsidR="00A6794A">
        <w:rPr>
          <w:lang w:val="en-US"/>
        </w:rPr>
        <w:instrText>By</w:instrText>
      </w:r>
      <w:r w:rsidR="00A6794A" w:rsidRPr="00D3550C">
        <w:instrText xml:space="preserve"> </w:instrText>
      </w:r>
      <w:r w:rsidR="00A6794A">
        <w:rPr>
          <w:lang w:val="en-US"/>
        </w:rPr>
        <w:instrText>using</w:instrText>
      </w:r>
      <w:r w:rsidR="00A6794A" w:rsidRPr="00D3550C">
        <w:instrText xml:space="preserve"> </w:instrText>
      </w:r>
      <w:r w:rsidR="00A6794A">
        <w:rPr>
          <w:lang w:val="en-US"/>
        </w:rPr>
        <w:instrText>a</w:instrText>
      </w:r>
      <w:r w:rsidR="00A6794A" w:rsidRPr="00D3550C">
        <w:instrText xml:space="preserve"> </w:instrText>
      </w:r>
      <w:r w:rsidR="00A6794A">
        <w:rPr>
          <w:lang w:val="en-US"/>
        </w:rPr>
        <w:instrText>careful</w:instrText>
      </w:r>
      <w:r w:rsidR="00A6794A" w:rsidRPr="00D3550C">
        <w:instrText xml:space="preserve"> </w:instrText>
      </w:r>
      <w:r w:rsidR="00A6794A">
        <w:rPr>
          <w:lang w:val="en-US"/>
        </w:rPr>
        <w:instrText>procedure</w:instrText>
      </w:r>
      <w:r w:rsidR="00A6794A" w:rsidRPr="00D3550C">
        <w:instrText xml:space="preserve">, </w:instrText>
      </w:r>
      <w:r w:rsidR="00A6794A">
        <w:rPr>
          <w:lang w:val="en-US"/>
        </w:rPr>
        <w:instrText>the</w:instrText>
      </w:r>
      <w:r w:rsidR="00A6794A" w:rsidRPr="00D3550C">
        <w:instrText xml:space="preserve"> </w:instrText>
      </w:r>
      <w:r w:rsidR="00A6794A">
        <w:rPr>
          <w:lang w:val="en-US"/>
        </w:rPr>
        <w:instrText>sc</w:instrText>
      </w:r>
      <w:r w:rsidR="00A6794A" w:rsidRPr="00D3550C">
        <w:instrText xml:space="preserve"> </w:instrText>
      </w:r>
      <w:r w:rsidR="00A6794A">
        <w:rPr>
          <w:lang w:val="en-US"/>
        </w:rPr>
        <w:instrText>formulation</w:instrText>
      </w:r>
      <w:r w:rsidR="00A6794A" w:rsidRPr="00D3550C">
        <w:instrText xml:space="preserve"> </w:instrText>
      </w:r>
      <w:r w:rsidR="00A6794A">
        <w:rPr>
          <w:lang w:val="en-US"/>
        </w:rPr>
        <w:instrText>can</w:instrText>
      </w:r>
      <w:r w:rsidR="00A6794A" w:rsidRPr="00D3550C">
        <w:instrText xml:space="preserve"> </w:instrText>
      </w:r>
      <w:r w:rsidR="00A6794A">
        <w:rPr>
          <w:lang w:val="en-US"/>
        </w:rPr>
        <w:instrText>be</w:instrText>
      </w:r>
      <w:r w:rsidR="00A6794A" w:rsidRPr="00D3550C">
        <w:instrText xml:space="preserve"> </w:instrText>
      </w:r>
      <w:r w:rsidR="00A6794A">
        <w:rPr>
          <w:lang w:val="en-US"/>
        </w:rPr>
        <w:instrText>given</w:instrText>
      </w:r>
      <w:r w:rsidR="00A6794A" w:rsidRPr="00D3550C">
        <w:instrText xml:space="preserve"> </w:instrText>
      </w:r>
      <w:r w:rsidR="00A6794A">
        <w:rPr>
          <w:lang w:val="en-US"/>
        </w:rPr>
        <w:instrText>safely</w:instrText>
      </w:r>
      <w:r w:rsidR="00A6794A" w:rsidRPr="00D3550C">
        <w:instrText xml:space="preserve"> </w:instrText>
      </w:r>
      <w:r w:rsidR="00A6794A">
        <w:rPr>
          <w:lang w:val="en-US"/>
        </w:rPr>
        <w:instrText>and</w:instrText>
      </w:r>
      <w:r w:rsidR="00A6794A" w:rsidRPr="00D3550C">
        <w:instrText xml:space="preserve"> </w:instrText>
      </w:r>
      <w:r w:rsidR="00A6794A">
        <w:rPr>
          <w:lang w:val="en-US"/>
        </w:rPr>
        <w:instrText>effectively</w:instrText>
      </w:r>
      <w:r w:rsidR="00A6794A" w:rsidRPr="00D3550C">
        <w:instrText xml:space="preserve">, </w:instrText>
      </w:r>
      <w:r w:rsidR="00A6794A">
        <w:rPr>
          <w:lang w:val="en-US"/>
        </w:rPr>
        <w:instrText>potentially</w:instrText>
      </w:r>
      <w:r w:rsidR="00A6794A" w:rsidRPr="00D3550C">
        <w:instrText xml:space="preserve"> </w:instrText>
      </w:r>
      <w:r w:rsidR="00A6794A">
        <w:rPr>
          <w:lang w:val="en-US"/>
        </w:rPr>
        <w:instrText>reducing</w:instrText>
      </w:r>
      <w:r w:rsidR="00A6794A" w:rsidRPr="00D3550C">
        <w:instrText xml:space="preserve"> </w:instrText>
      </w:r>
      <w:r w:rsidR="00A6794A">
        <w:rPr>
          <w:lang w:val="en-US"/>
        </w:rPr>
        <w:instrText>the</w:instrText>
      </w:r>
      <w:r w:rsidR="00A6794A" w:rsidRPr="00D3550C">
        <w:instrText xml:space="preserve"> </w:instrText>
      </w:r>
      <w:r w:rsidR="00A6794A">
        <w:rPr>
          <w:lang w:val="en-US"/>
        </w:rPr>
        <w:instrText>burden</w:instrText>
      </w:r>
      <w:r w:rsidR="00A6794A" w:rsidRPr="00D3550C">
        <w:instrText xml:space="preserve"> </w:instrText>
      </w:r>
      <w:r w:rsidR="00A6794A">
        <w:rPr>
          <w:lang w:val="en-US"/>
        </w:rPr>
        <w:instrText>on</w:instrText>
      </w:r>
      <w:r w:rsidR="00A6794A" w:rsidRPr="00D3550C">
        <w:instrText xml:space="preserve"> </w:instrText>
      </w:r>
      <w:r w:rsidR="00A6794A">
        <w:rPr>
          <w:lang w:val="en-US"/>
        </w:rPr>
        <w:instrText>health</w:instrText>
      </w:r>
      <w:r w:rsidR="00A6794A" w:rsidRPr="00D3550C">
        <w:instrText xml:space="preserve"> </w:instrText>
      </w:r>
      <w:r w:rsidR="00A6794A">
        <w:rPr>
          <w:lang w:val="en-US"/>
        </w:rPr>
        <w:instrText>care</w:instrText>
      </w:r>
      <w:r w:rsidR="00A6794A" w:rsidRPr="00D3550C">
        <w:instrText xml:space="preserve"> </w:instrText>
      </w:r>
      <w:r w:rsidR="00A6794A">
        <w:rPr>
          <w:lang w:val="en-US"/>
        </w:rPr>
        <w:instrText>resources</w:instrText>
      </w:r>
      <w:r w:rsidR="00A6794A" w:rsidRPr="00D3550C">
        <w:instrText xml:space="preserve"> </w:instrText>
      </w:r>
      <w:r w:rsidR="00A6794A">
        <w:rPr>
          <w:lang w:val="en-US"/>
        </w:rPr>
        <w:instrText>and</w:instrText>
      </w:r>
      <w:r w:rsidR="00A6794A" w:rsidRPr="00D3550C">
        <w:instrText xml:space="preserve"> </w:instrText>
      </w:r>
      <w:r w:rsidR="00A6794A">
        <w:rPr>
          <w:lang w:val="en-US"/>
        </w:rPr>
        <w:instrText>improving</w:instrText>
      </w:r>
      <w:r w:rsidR="00A6794A" w:rsidRPr="00D3550C">
        <w:instrText xml:space="preserve"> </w:instrText>
      </w:r>
      <w:r w:rsidR="00A6794A">
        <w:rPr>
          <w:lang w:val="en-US"/>
        </w:rPr>
        <w:instrText>quality</w:instrText>
      </w:r>
      <w:r w:rsidR="00A6794A" w:rsidRPr="00D3550C">
        <w:instrText xml:space="preserve"> </w:instrText>
      </w:r>
      <w:r w:rsidR="00A6794A">
        <w:rPr>
          <w:lang w:val="en-US"/>
        </w:rPr>
        <w:instrText>of</w:instrText>
      </w:r>
      <w:r w:rsidR="00A6794A" w:rsidRPr="00D3550C">
        <w:instrText xml:space="preserve"> </w:instrText>
      </w:r>
      <w:r w:rsidR="00A6794A">
        <w:rPr>
          <w:lang w:val="en-US"/>
        </w:rPr>
        <w:instrText>life</w:instrText>
      </w:r>
      <w:r w:rsidR="00A6794A" w:rsidRPr="00D3550C">
        <w:instrText xml:space="preserve"> </w:instrText>
      </w:r>
      <w:r w:rsidR="00A6794A">
        <w:rPr>
          <w:lang w:val="en-US"/>
        </w:rPr>
        <w:instrText>for</w:instrText>
      </w:r>
      <w:r w:rsidR="00A6794A" w:rsidRPr="00D3550C">
        <w:instrText xml:space="preserve"> </w:instrText>
      </w:r>
      <w:r w:rsidR="00A6794A">
        <w:rPr>
          <w:lang w:val="en-US"/>
        </w:rPr>
        <w:instrText>patients</w:instrText>
      </w:r>
      <w:r w:rsidR="00A6794A" w:rsidRPr="00D3550C">
        <w:instrText>.","</w:instrText>
      </w:r>
      <w:r w:rsidR="00A6794A">
        <w:rPr>
          <w:lang w:val="en-US"/>
        </w:rPr>
        <w:instrText>author</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family</w:instrText>
      </w:r>
      <w:r w:rsidR="00A6794A" w:rsidRPr="00D3550C">
        <w:instrText>":"</w:instrText>
      </w:r>
      <w:r w:rsidR="00A6794A">
        <w:rPr>
          <w:lang w:val="en-US"/>
        </w:rPr>
        <w:instrText>Macdonald</w:instrText>
      </w:r>
      <w:r w:rsidR="00A6794A" w:rsidRPr="00D3550C">
        <w:instrText>","</w:instrText>
      </w:r>
      <w:r w:rsidR="00A6794A">
        <w:rPr>
          <w:lang w:val="en-US"/>
        </w:rPr>
        <w:instrText>given</w:instrText>
      </w:r>
      <w:r w:rsidR="00A6794A" w:rsidRPr="00D3550C">
        <w:instrText>":"</w:instrText>
      </w:r>
      <w:r w:rsidR="00A6794A">
        <w:rPr>
          <w:lang w:val="en-US"/>
        </w:rPr>
        <w:instrText>David</w:instrText>
      </w:r>
      <w:r w:rsidR="00A6794A" w:rsidRPr="00D3550C">
        <w:instrText>","</w:instrText>
      </w:r>
      <w:r w:rsidR="00A6794A">
        <w:rPr>
          <w:lang w:val="en-US"/>
        </w:rPr>
        <w:instrText>non</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parse</w:instrText>
      </w:r>
      <w:r w:rsidR="00A6794A" w:rsidRPr="00D3550C">
        <w:instrText>-</w:instrText>
      </w:r>
      <w:r w:rsidR="00A6794A">
        <w:rPr>
          <w:lang w:val="en-US"/>
        </w:rPr>
        <w:instrText>names</w:instrText>
      </w:r>
      <w:r w:rsidR="00A6794A" w:rsidRPr="00D3550C">
        <w:instrText>":</w:instrText>
      </w:r>
      <w:r w:rsidR="00A6794A">
        <w:rPr>
          <w:lang w:val="en-US"/>
        </w:rPr>
        <w:instrText>false</w:instrText>
      </w:r>
      <w:r w:rsidR="00A6794A" w:rsidRPr="00D3550C">
        <w:instrText>,"</w:instrText>
      </w:r>
      <w:r w:rsidR="00A6794A">
        <w:rPr>
          <w:lang w:val="en-US"/>
        </w:rPr>
        <w:instrText>suffix</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family</w:instrText>
      </w:r>
      <w:r w:rsidR="00A6794A" w:rsidRPr="00D3550C">
        <w:instrText>":"</w:instrText>
      </w:r>
      <w:r w:rsidR="00A6794A">
        <w:rPr>
          <w:lang w:val="en-US"/>
        </w:rPr>
        <w:instrText>Crosbie</w:instrText>
      </w:r>
      <w:r w:rsidR="00A6794A" w:rsidRPr="00D3550C">
        <w:instrText>","</w:instrText>
      </w:r>
      <w:r w:rsidR="00A6794A">
        <w:rPr>
          <w:lang w:val="en-US"/>
        </w:rPr>
        <w:instrText>given</w:instrText>
      </w:r>
      <w:r w:rsidR="00A6794A" w:rsidRPr="00D3550C">
        <w:instrText>":"</w:instrText>
      </w:r>
      <w:r w:rsidR="00A6794A">
        <w:rPr>
          <w:lang w:val="en-US"/>
        </w:rPr>
        <w:instrText>T</w:instrText>
      </w:r>
      <w:r w:rsidR="00A6794A" w:rsidRPr="00D3550C">
        <w:instrText>.","</w:instrText>
      </w:r>
      <w:r w:rsidR="00A6794A">
        <w:rPr>
          <w:lang w:val="en-US"/>
        </w:rPr>
        <w:instrText>non</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parse</w:instrText>
      </w:r>
      <w:r w:rsidR="00A6794A" w:rsidRPr="00D3550C">
        <w:instrText>-</w:instrText>
      </w:r>
      <w:r w:rsidR="00A6794A">
        <w:rPr>
          <w:lang w:val="en-US"/>
        </w:rPr>
        <w:instrText>names</w:instrText>
      </w:r>
      <w:r w:rsidR="00A6794A" w:rsidRPr="00D3550C">
        <w:instrText>":</w:instrText>
      </w:r>
      <w:r w:rsidR="00A6794A">
        <w:rPr>
          <w:lang w:val="en-US"/>
        </w:rPr>
        <w:instrText>false</w:instrText>
      </w:r>
      <w:r w:rsidR="00A6794A" w:rsidRPr="00D3550C">
        <w:instrText>,"</w:instrText>
      </w:r>
      <w:r w:rsidR="00A6794A">
        <w:rPr>
          <w:lang w:val="en-US"/>
        </w:rPr>
        <w:instrText>suffix</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family</w:instrText>
      </w:r>
      <w:r w:rsidR="00A6794A" w:rsidRPr="00D3550C">
        <w:instrText>":"</w:instrText>
      </w:r>
      <w:r w:rsidR="00A6794A">
        <w:rPr>
          <w:lang w:val="en-US"/>
        </w:rPr>
        <w:instrText>Christofides</w:instrText>
      </w:r>
      <w:r w:rsidR="00A6794A" w:rsidRPr="00D3550C">
        <w:instrText>","</w:instrText>
      </w:r>
      <w:r w:rsidR="00A6794A">
        <w:rPr>
          <w:lang w:val="en-US"/>
        </w:rPr>
        <w:instrText>given</w:instrText>
      </w:r>
      <w:r w:rsidR="00A6794A" w:rsidRPr="00D3550C">
        <w:instrText>":"</w:instrText>
      </w:r>
      <w:r w:rsidR="00A6794A">
        <w:rPr>
          <w:lang w:val="en-US"/>
        </w:rPr>
        <w:instrText>A</w:instrText>
      </w:r>
      <w:r w:rsidR="00A6794A" w:rsidRPr="00D3550C">
        <w:instrText>.","</w:instrText>
      </w:r>
      <w:r w:rsidR="00A6794A">
        <w:rPr>
          <w:lang w:val="en-US"/>
        </w:rPr>
        <w:instrText>non</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parse</w:instrText>
      </w:r>
      <w:r w:rsidR="00A6794A" w:rsidRPr="00D3550C">
        <w:instrText>-</w:instrText>
      </w:r>
      <w:r w:rsidR="00A6794A">
        <w:rPr>
          <w:lang w:val="en-US"/>
        </w:rPr>
        <w:instrText>names</w:instrText>
      </w:r>
      <w:r w:rsidR="00A6794A" w:rsidRPr="00D3550C">
        <w:instrText>":</w:instrText>
      </w:r>
      <w:r w:rsidR="00A6794A">
        <w:rPr>
          <w:lang w:val="en-US"/>
        </w:rPr>
        <w:instrText>false</w:instrText>
      </w:r>
      <w:r w:rsidR="00A6794A" w:rsidRPr="00D3550C">
        <w:instrText>,"</w:instrText>
      </w:r>
      <w:r w:rsidR="00A6794A">
        <w:rPr>
          <w:lang w:val="en-US"/>
        </w:rPr>
        <w:instrText>suffix</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family</w:instrText>
      </w:r>
      <w:r w:rsidR="00A6794A" w:rsidRPr="00D3550C">
        <w:instrText>":"</w:instrText>
      </w:r>
      <w:r w:rsidR="00A6794A">
        <w:rPr>
          <w:lang w:val="en-US"/>
        </w:rPr>
        <w:instrText>Assaily</w:instrText>
      </w:r>
      <w:r w:rsidR="00A6794A" w:rsidRPr="00D3550C">
        <w:instrText>","</w:instrText>
      </w:r>
      <w:r w:rsidR="00A6794A">
        <w:rPr>
          <w:lang w:val="en-US"/>
        </w:rPr>
        <w:instrText>given</w:instrText>
      </w:r>
      <w:r w:rsidR="00A6794A" w:rsidRPr="00D3550C">
        <w:instrText>":"</w:instrText>
      </w:r>
      <w:r w:rsidR="00A6794A">
        <w:rPr>
          <w:lang w:val="en-US"/>
        </w:rPr>
        <w:instrText>W</w:instrText>
      </w:r>
      <w:r w:rsidR="00A6794A" w:rsidRPr="00D3550C">
        <w:instrText>.","</w:instrText>
      </w:r>
      <w:r w:rsidR="00A6794A">
        <w:rPr>
          <w:lang w:val="en-US"/>
        </w:rPr>
        <w:instrText>non</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parse</w:instrText>
      </w:r>
      <w:r w:rsidR="00A6794A" w:rsidRPr="00D3550C">
        <w:instrText>-</w:instrText>
      </w:r>
      <w:r w:rsidR="00A6794A">
        <w:rPr>
          <w:lang w:val="en-US"/>
        </w:rPr>
        <w:instrText>names</w:instrText>
      </w:r>
      <w:r w:rsidR="00A6794A" w:rsidRPr="00D3550C">
        <w:instrText>":</w:instrText>
      </w:r>
      <w:r w:rsidR="00A6794A">
        <w:rPr>
          <w:lang w:val="en-US"/>
        </w:rPr>
        <w:instrText>false</w:instrText>
      </w:r>
      <w:r w:rsidR="00A6794A" w:rsidRPr="00D3550C">
        <w:instrText>,"</w:instrText>
      </w:r>
      <w:r w:rsidR="00A6794A">
        <w:rPr>
          <w:lang w:val="en-US"/>
        </w:rPr>
        <w:instrText>suffix</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family</w:instrText>
      </w:r>
      <w:r w:rsidR="00A6794A" w:rsidRPr="00D3550C">
        <w:instrText>":"</w:instrText>
      </w:r>
      <w:r w:rsidR="00A6794A">
        <w:rPr>
          <w:lang w:val="en-US"/>
        </w:rPr>
        <w:instrText>Wiernikowski</w:instrText>
      </w:r>
      <w:r w:rsidR="00A6794A" w:rsidRPr="00D3550C">
        <w:instrText>","</w:instrText>
      </w:r>
      <w:r w:rsidR="00A6794A">
        <w:rPr>
          <w:lang w:val="en-US"/>
        </w:rPr>
        <w:instrText>given</w:instrText>
      </w:r>
      <w:r w:rsidR="00A6794A" w:rsidRPr="00D3550C">
        <w:instrText>":"</w:instrText>
      </w:r>
      <w:r w:rsidR="00A6794A">
        <w:rPr>
          <w:lang w:val="en-US"/>
        </w:rPr>
        <w:instrText>J</w:instrText>
      </w:r>
      <w:r w:rsidR="00A6794A" w:rsidRPr="00D3550C">
        <w:instrText>.","</w:instrText>
      </w:r>
      <w:r w:rsidR="00A6794A">
        <w:rPr>
          <w:lang w:val="en-US"/>
        </w:rPr>
        <w:instrText>non</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parse</w:instrText>
      </w:r>
      <w:r w:rsidR="00A6794A" w:rsidRPr="00D3550C">
        <w:instrText>-</w:instrText>
      </w:r>
      <w:r w:rsidR="00A6794A">
        <w:rPr>
          <w:lang w:val="en-US"/>
        </w:rPr>
        <w:instrText>names</w:instrText>
      </w:r>
      <w:r w:rsidR="00A6794A" w:rsidRPr="00D3550C">
        <w:instrText>":</w:instrText>
      </w:r>
      <w:r w:rsidR="00A6794A">
        <w:rPr>
          <w:lang w:val="en-US"/>
        </w:rPr>
        <w:instrText>false</w:instrText>
      </w:r>
      <w:r w:rsidR="00A6794A" w:rsidRPr="00D3550C">
        <w:instrText>,"</w:instrText>
      </w:r>
      <w:r w:rsidR="00A6794A">
        <w:rPr>
          <w:lang w:val="en-US"/>
        </w:rPr>
        <w:instrText>suffix</w:instrText>
      </w:r>
      <w:r w:rsidR="00A6794A" w:rsidRPr="00D3550C">
        <w:instrText>":""}],"</w:instrText>
      </w:r>
      <w:r w:rsidR="00A6794A">
        <w:rPr>
          <w:lang w:val="en-US"/>
        </w:rPr>
        <w:instrText>container</w:instrText>
      </w:r>
      <w:r w:rsidR="00A6794A" w:rsidRPr="00D3550C">
        <w:instrText>-</w:instrText>
      </w:r>
      <w:r w:rsidR="00A6794A">
        <w:rPr>
          <w:lang w:val="en-US"/>
        </w:rPr>
        <w:instrText>title</w:instrText>
      </w:r>
      <w:r w:rsidR="00A6794A" w:rsidRPr="00D3550C">
        <w:instrText>":"</w:instrText>
      </w:r>
      <w:r w:rsidR="00A6794A">
        <w:rPr>
          <w:lang w:val="en-US"/>
        </w:rPr>
        <w:instrText>Current</w:instrText>
      </w:r>
      <w:r w:rsidR="00A6794A" w:rsidRPr="00D3550C">
        <w:instrText xml:space="preserve"> </w:instrText>
      </w:r>
      <w:r w:rsidR="00A6794A">
        <w:rPr>
          <w:lang w:val="en-US"/>
        </w:rPr>
        <w:instrText>Oncology</w:instrText>
      </w:r>
      <w:r w:rsidR="00A6794A" w:rsidRPr="00D3550C">
        <w:instrText>","</w:instrText>
      </w:r>
      <w:r w:rsidR="00A6794A">
        <w:rPr>
          <w:lang w:val="en-US"/>
        </w:rPr>
        <w:instrText>id</w:instrText>
      </w:r>
      <w:r w:rsidR="00A6794A" w:rsidRPr="00D3550C">
        <w:instrText>":"</w:instrText>
      </w:r>
      <w:r w:rsidR="00A6794A">
        <w:rPr>
          <w:lang w:val="en-US"/>
        </w:rPr>
        <w:instrText>ITEM</w:instrText>
      </w:r>
      <w:r w:rsidR="00A6794A" w:rsidRPr="00D3550C">
        <w:instrText>-4","</w:instrText>
      </w:r>
      <w:r w:rsidR="00A6794A">
        <w:rPr>
          <w:lang w:val="en-US"/>
        </w:rPr>
        <w:instrText>issue</w:instrText>
      </w:r>
      <w:r w:rsidR="00A6794A" w:rsidRPr="00D3550C">
        <w:instrText>":"1","</w:instrText>
      </w:r>
      <w:r w:rsidR="00A6794A">
        <w:rPr>
          <w:lang w:val="en-US"/>
        </w:rPr>
        <w:instrText>issued</w:instrText>
      </w:r>
      <w:r w:rsidR="00A6794A" w:rsidRPr="00D3550C">
        <w:instrText>":{"</w:instrText>
      </w:r>
      <w:r w:rsidR="00A6794A">
        <w:rPr>
          <w:lang w:val="en-US"/>
        </w:rPr>
        <w:instrText>date</w:instrText>
      </w:r>
      <w:r w:rsidR="00A6794A" w:rsidRPr="00D3550C">
        <w:instrText>-</w:instrText>
      </w:r>
      <w:r w:rsidR="00A6794A">
        <w:rPr>
          <w:lang w:val="en-US"/>
        </w:rPr>
        <w:instrText>parts</w:instrText>
      </w:r>
      <w:r w:rsidR="00A6794A" w:rsidRPr="00D3550C">
        <w:instrText>":[["2017"]]},"</w:instrText>
      </w:r>
      <w:r w:rsidR="00A6794A">
        <w:rPr>
          <w:lang w:val="en-US"/>
        </w:rPr>
        <w:instrText>page</w:instrText>
      </w:r>
      <w:r w:rsidR="00A6794A" w:rsidRPr="00D3550C">
        <w:instrText>":"33-39","</w:instrText>
      </w:r>
      <w:r w:rsidR="00A6794A">
        <w:rPr>
          <w:lang w:val="en-US"/>
        </w:rPr>
        <w:instrText>publisher</w:instrText>
      </w:r>
      <w:r w:rsidR="00A6794A" w:rsidRPr="00D3550C">
        <w:instrText>":"</w:instrText>
      </w:r>
      <w:r w:rsidR="00A6794A">
        <w:rPr>
          <w:lang w:val="en-US"/>
        </w:rPr>
        <w:instrText>Multimed</w:instrText>
      </w:r>
      <w:r w:rsidR="00A6794A" w:rsidRPr="00D3550C">
        <w:instrText xml:space="preserve"> </w:instrText>
      </w:r>
      <w:r w:rsidR="00A6794A">
        <w:rPr>
          <w:lang w:val="en-US"/>
        </w:rPr>
        <w:instrText>Inc</w:instrText>
      </w:r>
      <w:r w:rsidR="00A6794A" w:rsidRPr="00D3550C">
        <w:instrText>.","</w:instrText>
      </w:r>
      <w:r w:rsidR="00A6794A">
        <w:rPr>
          <w:lang w:val="en-US"/>
        </w:rPr>
        <w:instrText>title</w:instrText>
      </w:r>
      <w:r w:rsidR="00A6794A" w:rsidRPr="00D3550C">
        <w:instrText>":"</w:instrText>
      </w:r>
      <w:r w:rsidR="00A6794A">
        <w:rPr>
          <w:lang w:val="en-US"/>
        </w:rPr>
        <w:instrText>A</w:instrText>
      </w:r>
      <w:r w:rsidR="00A6794A" w:rsidRPr="00D3550C">
        <w:instrText xml:space="preserve"> </w:instrText>
      </w:r>
      <w:r w:rsidR="00A6794A">
        <w:rPr>
          <w:lang w:val="en-US"/>
        </w:rPr>
        <w:instrText>canadian</w:instrText>
      </w:r>
      <w:r w:rsidR="00A6794A" w:rsidRPr="00D3550C">
        <w:instrText xml:space="preserve"> </w:instrText>
      </w:r>
      <w:r w:rsidR="00A6794A">
        <w:rPr>
          <w:lang w:val="en-US"/>
        </w:rPr>
        <w:instrText>perspective</w:instrText>
      </w:r>
      <w:r w:rsidR="00A6794A" w:rsidRPr="00D3550C">
        <w:instrText xml:space="preserve"> </w:instrText>
      </w:r>
      <w:r w:rsidR="00A6794A">
        <w:rPr>
          <w:lang w:val="en-US"/>
        </w:rPr>
        <w:instrText>on</w:instrText>
      </w:r>
      <w:r w:rsidR="00A6794A" w:rsidRPr="00D3550C">
        <w:instrText xml:space="preserve"> </w:instrText>
      </w:r>
      <w:r w:rsidR="00A6794A">
        <w:rPr>
          <w:lang w:val="en-US"/>
        </w:rPr>
        <w:instrText>the</w:instrText>
      </w:r>
      <w:r w:rsidR="00A6794A" w:rsidRPr="00D3550C">
        <w:instrText xml:space="preserve"> </w:instrText>
      </w:r>
      <w:r w:rsidR="00A6794A">
        <w:rPr>
          <w:lang w:val="en-US"/>
        </w:rPr>
        <w:instrText>subcutaneous</w:instrText>
      </w:r>
      <w:r w:rsidR="00A6794A" w:rsidRPr="00D3550C">
        <w:instrText xml:space="preserve"> </w:instrText>
      </w:r>
      <w:r w:rsidR="00A6794A">
        <w:rPr>
          <w:lang w:val="en-US"/>
        </w:rPr>
        <w:instrText>administration</w:instrText>
      </w:r>
      <w:r w:rsidR="00A6794A" w:rsidRPr="00D3550C">
        <w:instrText xml:space="preserve"> </w:instrText>
      </w:r>
      <w:r w:rsidR="00A6794A">
        <w:rPr>
          <w:lang w:val="en-US"/>
        </w:rPr>
        <w:instrText>of</w:instrText>
      </w:r>
      <w:r w:rsidR="00A6794A" w:rsidRPr="00D3550C">
        <w:instrText xml:space="preserve"> </w:instrText>
      </w:r>
      <w:r w:rsidR="00A6794A">
        <w:rPr>
          <w:lang w:val="en-US"/>
        </w:rPr>
        <w:instrText>rituximab</w:instrText>
      </w:r>
      <w:r w:rsidR="00A6794A" w:rsidRPr="00D3550C">
        <w:instrText xml:space="preserve"> </w:instrText>
      </w:r>
      <w:r w:rsidR="00A6794A">
        <w:rPr>
          <w:lang w:val="en-US"/>
        </w:rPr>
        <w:instrText>in</w:instrText>
      </w:r>
      <w:r w:rsidR="00A6794A" w:rsidRPr="00D3550C">
        <w:instrText xml:space="preserve"> </w:instrText>
      </w:r>
      <w:r w:rsidR="00A6794A">
        <w:rPr>
          <w:lang w:val="en-US"/>
        </w:rPr>
        <w:instrText>non</w:instrText>
      </w:r>
      <w:r w:rsidR="00A6794A" w:rsidRPr="00D3550C">
        <w:instrText>-</w:instrText>
      </w:r>
      <w:r w:rsidR="00A6794A">
        <w:rPr>
          <w:lang w:val="en-US"/>
        </w:rPr>
        <w:instrText>Hodgkin</w:instrText>
      </w:r>
      <w:r w:rsidR="00A6794A" w:rsidRPr="00D3550C">
        <w:instrText xml:space="preserve"> </w:instrText>
      </w:r>
      <w:r w:rsidR="00A6794A">
        <w:rPr>
          <w:lang w:val="en-US"/>
        </w:rPr>
        <w:instrText>lymphoma</w:instrText>
      </w:r>
      <w:r w:rsidR="00A6794A" w:rsidRPr="00D3550C">
        <w:instrText>","</w:instrText>
      </w:r>
      <w:r w:rsidR="00A6794A">
        <w:rPr>
          <w:lang w:val="en-US"/>
        </w:rPr>
        <w:instrText>type</w:instrText>
      </w:r>
      <w:r w:rsidR="00A6794A" w:rsidRPr="00D3550C">
        <w:instrText>":"</w:instrText>
      </w:r>
      <w:r w:rsidR="00A6794A">
        <w:rPr>
          <w:lang w:val="en-US"/>
        </w:rPr>
        <w:instrText>article</w:instrText>
      </w:r>
      <w:r w:rsidR="00A6794A" w:rsidRPr="00D3550C">
        <w:instrText>","</w:instrText>
      </w:r>
      <w:r w:rsidR="00A6794A">
        <w:rPr>
          <w:lang w:val="en-US"/>
        </w:rPr>
        <w:instrText>volume</w:instrText>
      </w:r>
      <w:r w:rsidR="00A6794A" w:rsidRPr="00D3550C">
        <w:instrText>":"24"},"</w:instrText>
      </w:r>
      <w:r w:rsidR="00A6794A">
        <w:rPr>
          <w:lang w:val="en-US"/>
        </w:rPr>
        <w:instrText>uris</w:instrText>
      </w:r>
      <w:r w:rsidR="00A6794A" w:rsidRPr="00D3550C">
        <w:instrText>":["</w:instrText>
      </w:r>
      <w:r w:rsidR="00A6794A">
        <w:rPr>
          <w:lang w:val="en-US"/>
        </w:rPr>
        <w:instrText>http</w:instrText>
      </w:r>
      <w:r w:rsidR="00A6794A" w:rsidRPr="00D3550C">
        <w:instrText>://</w:instrText>
      </w:r>
      <w:r w:rsidR="00A6794A">
        <w:rPr>
          <w:lang w:val="en-US"/>
        </w:rPr>
        <w:instrText>www</w:instrText>
      </w:r>
      <w:r w:rsidR="00A6794A" w:rsidRPr="00D3550C">
        <w:instrText>.</w:instrText>
      </w:r>
      <w:r w:rsidR="00A6794A">
        <w:rPr>
          <w:lang w:val="en-US"/>
        </w:rPr>
        <w:instrText>mendeley</w:instrText>
      </w:r>
      <w:r w:rsidR="00A6794A" w:rsidRPr="00D3550C">
        <w:instrText>.</w:instrText>
      </w:r>
      <w:r w:rsidR="00A6794A">
        <w:rPr>
          <w:lang w:val="en-US"/>
        </w:rPr>
        <w:instrText>com</w:instrText>
      </w:r>
      <w:r w:rsidR="00A6794A" w:rsidRPr="00D3550C">
        <w:instrText>/</w:instrText>
      </w:r>
      <w:r w:rsidR="00A6794A">
        <w:rPr>
          <w:lang w:val="en-US"/>
        </w:rPr>
        <w:instrText>documents</w:instrText>
      </w:r>
      <w:r w:rsidR="00A6794A" w:rsidRPr="00D3550C">
        <w:instrText>/?</w:instrText>
      </w:r>
      <w:r w:rsidR="00A6794A">
        <w:rPr>
          <w:lang w:val="en-US"/>
        </w:rPr>
        <w:instrText>uuid</w:instrText>
      </w:r>
      <w:r w:rsidR="00A6794A" w:rsidRPr="00D3550C">
        <w:instrText>=0</w:instrText>
      </w:r>
      <w:r w:rsidR="00A6794A">
        <w:rPr>
          <w:lang w:val="en-US"/>
        </w:rPr>
        <w:instrText>dec</w:instrText>
      </w:r>
      <w:r w:rsidR="00A6794A" w:rsidRPr="00D3550C">
        <w:instrText>225</w:instrText>
      </w:r>
      <w:r w:rsidR="00A6794A">
        <w:rPr>
          <w:lang w:val="en-US"/>
        </w:rPr>
        <w:instrText>e</w:instrText>
      </w:r>
      <w:r w:rsidR="00A6794A" w:rsidRPr="00D3550C">
        <w:instrText>-8</w:instrText>
      </w:r>
      <w:r w:rsidR="00A6794A">
        <w:rPr>
          <w:lang w:val="en-US"/>
        </w:rPr>
        <w:instrText>a</w:instrText>
      </w:r>
      <w:r w:rsidR="00A6794A" w:rsidRPr="00D3550C">
        <w:instrText>47-3680-</w:instrText>
      </w:r>
      <w:r w:rsidR="00A6794A">
        <w:rPr>
          <w:lang w:val="en-US"/>
        </w:rPr>
        <w:instrText>ba</w:instrText>
      </w:r>
      <w:r w:rsidR="00A6794A" w:rsidRPr="00D3550C">
        <w:instrText>4</w:instrText>
      </w:r>
      <w:r w:rsidR="00A6794A">
        <w:rPr>
          <w:lang w:val="en-US"/>
        </w:rPr>
        <w:instrText>d</w:instrText>
      </w:r>
      <w:r w:rsidR="00A6794A" w:rsidRPr="00D3550C">
        <w:instrText>-891955</w:instrText>
      </w:r>
      <w:r w:rsidR="00A6794A">
        <w:rPr>
          <w:lang w:val="en-US"/>
        </w:rPr>
        <w:instrText>a</w:instrText>
      </w:r>
      <w:r w:rsidR="00A6794A" w:rsidRPr="00D3550C">
        <w:instrText>938</w:instrText>
      </w:r>
      <w:r w:rsidR="00A6794A">
        <w:rPr>
          <w:lang w:val="en-US"/>
        </w:rPr>
        <w:instrText>a</w:instrText>
      </w:r>
      <w:r w:rsidR="00A6794A" w:rsidRPr="00D3550C">
        <w:instrText>1"]}],"</w:instrText>
      </w:r>
      <w:r w:rsidR="00A6794A">
        <w:rPr>
          <w:lang w:val="en-US"/>
        </w:rPr>
        <w:instrText>mendeley</w:instrText>
      </w:r>
      <w:r w:rsidR="00A6794A" w:rsidRPr="00D3550C">
        <w:instrText>":{"</w:instrText>
      </w:r>
      <w:r w:rsidR="00A6794A">
        <w:rPr>
          <w:lang w:val="en-US"/>
        </w:rPr>
        <w:instrText>formattedCitation</w:instrText>
      </w:r>
      <w:r w:rsidR="00A6794A" w:rsidRPr="00D3550C">
        <w:instrText>":"[205–208]","</w:instrText>
      </w:r>
      <w:r w:rsidR="00A6794A">
        <w:rPr>
          <w:lang w:val="en-US"/>
        </w:rPr>
        <w:instrText>plainTextFormattedCitation</w:instrText>
      </w:r>
      <w:r w:rsidR="00A6794A" w:rsidRPr="00D3550C">
        <w:instrText>":"[205–208]","</w:instrText>
      </w:r>
      <w:r w:rsidR="00A6794A">
        <w:rPr>
          <w:lang w:val="en-US"/>
        </w:rPr>
        <w:instrText>previouslyFormattedCitation</w:instrText>
      </w:r>
      <w:r w:rsidR="00A6794A" w:rsidRPr="00D3550C">
        <w:instrText>":"[205–208]"},"</w:instrText>
      </w:r>
      <w:r w:rsidR="00A6794A">
        <w:rPr>
          <w:lang w:val="en-US"/>
        </w:rPr>
        <w:instrText>properties</w:instrText>
      </w:r>
      <w:r w:rsidR="00A6794A" w:rsidRPr="00D3550C">
        <w:instrText>":{"</w:instrText>
      </w:r>
      <w:r w:rsidR="00A6794A">
        <w:rPr>
          <w:lang w:val="en-US"/>
        </w:rPr>
        <w:instrText>noteIndex</w:instrText>
      </w:r>
      <w:r w:rsidR="00A6794A" w:rsidRPr="00D3550C">
        <w:instrText>":0},"</w:instrText>
      </w:r>
      <w:r w:rsidR="00A6794A">
        <w:rPr>
          <w:lang w:val="en-US"/>
        </w:rPr>
        <w:instrText>schema</w:instrText>
      </w:r>
      <w:r w:rsidR="00A6794A" w:rsidRPr="00D3550C">
        <w:instrText>":"</w:instrText>
      </w:r>
      <w:r w:rsidR="00A6794A">
        <w:rPr>
          <w:lang w:val="en-US"/>
        </w:rPr>
        <w:instrText>https</w:instrText>
      </w:r>
      <w:r w:rsidR="00A6794A" w:rsidRPr="00D3550C">
        <w:instrText>://</w:instrText>
      </w:r>
      <w:r w:rsidR="00A6794A">
        <w:rPr>
          <w:lang w:val="en-US"/>
        </w:rPr>
        <w:instrText>github</w:instrText>
      </w:r>
      <w:r w:rsidR="00A6794A" w:rsidRPr="00D3550C">
        <w:instrText>.</w:instrText>
      </w:r>
      <w:r w:rsidR="00A6794A">
        <w:rPr>
          <w:lang w:val="en-US"/>
        </w:rPr>
        <w:instrText>com</w:instrText>
      </w:r>
      <w:r w:rsidR="00A6794A" w:rsidRPr="00D3550C">
        <w:instrText>/</w:instrText>
      </w:r>
      <w:r w:rsidR="00A6794A">
        <w:rPr>
          <w:lang w:val="en-US"/>
        </w:rPr>
        <w:instrText>citation</w:instrText>
      </w:r>
      <w:r w:rsidR="00A6794A" w:rsidRPr="00D3550C">
        <w:instrText>-</w:instrText>
      </w:r>
      <w:r w:rsidR="00A6794A">
        <w:rPr>
          <w:lang w:val="en-US"/>
        </w:rPr>
        <w:instrText>style</w:instrText>
      </w:r>
      <w:r w:rsidR="00A6794A" w:rsidRPr="00D3550C">
        <w:instrText>-</w:instrText>
      </w:r>
      <w:r w:rsidR="00A6794A">
        <w:rPr>
          <w:lang w:val="en-US"/>
        </w:rPr>
        <w:instrText>language</w:instrText>
      </w:r>
      <w:r w:rsidR="00A6794A" w:rsidRPr="00D3550C">
        <w:instrText>/</w:instrText>
      </w:r>
      <w:r w:rsidR="00A6794A">
        <w:rPr>
          <w:lang w:val="en-US"/>
        </w:rPr>
        <w:instrText>schema</w:instrText>
      </w:r>
      <w:r w:rsidR="00A6794A" w:rsidRPr="00D3550C">
        <w:instrText>/</w:instrText>
      </w:r>
      <w:r w:rsidR="00A6794A">
        <w:rPr>
          <w:lang w:val="en-US"/>
        </w:rPr>
        <w:instrText>raw</w:instrText>
      </w:r>
      <w:r w:rsidR="00A6794A" w:rsidRPr="00D3550C">
        <w:instrText>/</w:instrText>
      </w:r>
      <w:r w:rsidR="00A6794A">
        <w:rPr>
          <w:lang w:val="en-US"/>
        </w:rPr>
        <w:instrText>master</w:instrText>
      </w:r>
      <w:r w:rsidR="00A6794A" w:rsidRPr="00D3550C">
        <w:instrText>/</w:instrText>
      </w:r>
      <w:r w:rsidR="00A6794A">
        <w:rPr>
          <w:lang w:val="en-US"/>
        </w:rPr>
        <w:instrText>csl</w:instrText>
      </w:r>
      <w:r w:rsidR="00A6794A" w:rsidRPr="00D3550C">
        <w:instrText>-</w:instrText>
      </w:r>
      <w:r w:rsidR="00A6794A">
        <w:rPr>
          <w:lang w:val="en-US"/>
        </w:rPr>
        <w:instrText>citation</w:instrText>
      </w:r>
      <w:r w:rsidR="00A6794A" w:rsidRPr="00D3550C">
        <w:instrText>.</w:instrText>
      </w:r>
      <w:r w:rsidR="00A6794A">
        <w:rPr>
          <w:lang w:val="en-US"/>
        </w:rPr>
        <w:instrText>json</w:instrText>
      </w:r>
      <w:r w:rsidR="00A6794A" w:rsidRPr="00D3550C">
        <w:instrText>"}</w:instrText>
      </w:r>
      <w:r w:rsidRPr="000322E4">
        <w:rPr>
          <w:lang w:val="en-US"/>
        </w:rPr>
        <w:fldChar w:fldCharType="separate"/>
      </w:r>
      <w:r w:rsidR="006E1902" w:rsidRPr="006E1902">
        <w:rPr>
          <w:noProof/>
        </w:rPr>
        <w:t>[205–208]</w:t>
      </w:r>
      <w:r w:rsidRPr="000322E4">
        <w:rPr>
          <w:lang w:val="en-US"/>
        </w:rPr>
        <w:fldChar w:fldCharType="end"/>
      </w:r>
    </w:p>
    <w:p w14:paraId="2D9A0635" w14:textId="77777777" w:rsidR="00666D68" w:rsidRPr="00293AC8" w:rsidRDefault="00666D68" w:rsidP="008E3584">
      <w:pPr>
        <w:numPr>
          <w:ilvl w:val="0"/>
          <w:numId w:val="39"/>
        </w:numPr>
        <w:spacing w:line="360" w:lineRule="auto"/>
        <w:jc w:val="both"/>
      </w:pPr>
      <w:r w:rsidRPr="000322E4">
        <w:t>Доксорубицин</w:t>
      </w:r>
      <w:r w:rsidRPr="00293AC8">
        <w:rPr>
          <w:bCs/>
        </w:rPr>
        <w:t>**</w:t>
      </w:r>
      <w:r w:rsidRPr="00293AC8">
        <w:t xml:space="preserve"> 50 </w:t>
      </w:r>
      <w:r w:rsidRPr="000322E4">
        <w:t>мг</w:t>
      </w:r>
      <w:r w:rsidRPr="00293AC8">
        <w:t>/</w:t>
      </w:r>
      <w:r w:rsidRPr="000322E4">
        <w:t>м</w:t>
      </w:r>
      <w:r w:rsidRPr="00293AC8">
        <w:rPr>
          <w:vertAlign w:val="superscript"/>
        </w:rPr>
        <w:t>2</w:t>
      </w:r>
      <w:r w:rsidRPr="00293AC8">
        <w:t xml:space="preserve"> </w:t>
      </w:r>
      <w:r w:rsidRPr="000322E4">
        <w:t>в</w:t>
      </w:r>
      <w:r w:rsidRPr="00293AC8">
        <w:t>/</w:t>
      </w:r>
      <w:r w:rsidRPr="000322E4">
        <w:t>в</w:t>
      </w:r>
      <w:r w:rsidRPr="00293AC8">
        <w:t xml:space="preserve"> </w:t>
      </w:r>
      <w:r w:rsidRPr="000322E4">
        <w:t>кап</w:t>
      </w:r>
      <w:r w:rsidRPr="00293AC8">
        <w:t xml:space="preserve">., </w:t>
      </w:r>
      <w:r w:rsidRPr="000322E4">
        <w:t>день</w:t>
      </w:r>
      <w:r w:rsidRPr="00293AC8">
        <w:t xml:space="preserve"> 1</w:t>
      </w:r>
    </w:p>
    <w:p w14:paraId="08ECDEF2" w14:textId="77777777" w:rsidR="00666D68" w:rsidRPr="00293AC8" w:rsidRDefault="00666D68" w:rsidP="008E3584">
      <w:pPr>
        <w:numPr>
          <w:ilvl w:val="0"/>
          <w:numId w:val="39"/>
        </w:numPr>
        <w:spacing w:line="360" w:lineRule="auto"/>
        <w:jc w:val="both"/>
      </w:pPr>
      <w:r w:rsidRPr="000322E4">
        <w:t>Циклофосфамид</w:t>
      </w:r>
      <w:r w:rsidRPr="00293AC8">
        <w:rPr>
          <w:bCs/>
        </w:rPr>
        <w:t>**</w:t>
      </w:r>
      <w:r w:rsidRPr="00293AC8">
        <w:t xml:space="preserve"> 750 </w:t>
      </w:r>
      <w:r w:rsidRPr="000322E4">
        <w:t>мг</w:t>
      </w:r>
      <w:r w:rsidRPr="00293AC8">
        <w:t>/</w:t>
      </w:r>
      <w:r w:rsidRPr="000322E4">
        <w:t>м</w:t>
      </w:r>
      <w:r w:rsidRPr="00293AC8">
        <w:rPr>
          <w:vertAlign w:val="superscript"/>
        </w:rPr>
        <w:t>2</w:t>
      </w:r>
      <w:r w:rsidRPr="00293AC8">
        <w:t xml:space="preserve"> </w:t>
      </w:r>
      <w:r w:rsidRPr="000322E4">
        <w:t>в</w:t>
      </w:r>
      <w:r w:rsidRPr="00293AC8">
        <w:t>/</w:t>
      </w:r>
      <w:r w:rsidRPr="000322E4">
        <w:t>в</w:t>
      </w:r>
      <w:r w:rsidRPr="00293AC8">
        <w:t xml:space="preserve"> </w:t>
      </w:r>
      <w:r w:rsidRPr="000322E4">
        <w:t>кап</w:t>
      </w:r>
      <w:r w:rsidRPr="00293AC8">
        <w:t xml:space="preserve">., </w:t>
      </w:r>
      <w:r w:rsidRPr="000322E4">
        <w:t>день</w:t>
      </w:r>
      <w:r w:rsidRPr="00293AC8">
        <w:t xml:space="preserve"> 1</w:t>
      </w:r>
    </w:p>
    <w:p w14:paraId="0231AC88" w14:textId="77777777" w:rsidR="00666D68" w:rsidRPr="00293AC8" w:rsidRDefault="00F35A3E" w:rsidP="008E3584">
      <w:pPr>
        <w:numPr>
          <w:ilvl w:val="0"/>
          <w:numId w:val="39"/>
        </w:numPr>
        <w:spacing w:line="360" w:lineRule="auto"/>
        <w:jc w:val="both"/>
      </w:pPr>
      <w:r w:rsidRPr="00293AC8">
        <w:t>#</w:t>
      </w:r>
      <w:r w:rsidR="00666D68" w:rsidRPr="000322E4">
        <w:t>Винкристин</w:t>
      </w:r>
      <w:r w:rsidR="00666D68" w:rsidRPr="00293AC8">
        <w:rPr>
          <w:bCs/>
        </w:rPr>
        <w:t>**</w:t>
      </w:r>
      <w:r w:rsidR="00666D68" w:rsidRPr="00293AC8">
        <w:t xml:space="preserve"> 1,4 </w:t>
      </w:r>
      <w:r w:rsidR="00666D68" w:rsidRPr="000322E4">
        <w:t>мг</w:t>
      </w:r>
      <w:r w:rsidR="00666D68" w:rsidRPr="00293AC8">
        <w:t>/</w:t>
      </w:r>
      <w:r w:rsidR="00666D68" w:rsidRPr="000322E4">
        <w:t>м</w:t>
      </w:r>
      <w:r w:rsidR="00666D68" w:rsidRPr="00293AC8">
        <w:rPr>
          <w:vertAlign w:val="superscript"/>
        </w:rPr>
        <w:t>2</w:t>
      </w:r>
      <w:r w:rsidR="00666D68" w:rsidRPr="00293AC8">
        <w:t xml:space="preserve"> (</w:t>
      </w:r>
      <w:r w:rsidR="00666D68" w:rsidRPr="000322E4">
        <w:t>суммарно</w:t>
      </w:r>
      <w:r w:rsidR="00666D68" w:rsidRPr="00293AC8">
        <w:t xml:space="preserve"> </w:t>
      </w:r>
      <w:r w:rsidR="00666D68" w:rsidRPr="000322E4">
        <w:t>не</w:t>
      </w:r>
      <w:r w:rsidR="00666D68" w:rsidRPr="00293AC8">
        <w:t xml:space="preserve"> </w:t>
      </w:r>
      <w:r w:rsidR="00666D68" w:rsidRPr="000322E4">
        <w:t>более</w:t>
      </w:r>
      <w:r w:rsidR="00666D68" w:rsidRPr="00293AC8">
        <w:t xml:space="preserve"> 2 </w:t>
      </w:r>
      <w:r w:rsidR="00666D68" w:rsidRPr="000322E4">
        <w:t>мг</w:t>
      </w:r>
      <w:r w:rsidR="00666D68" w:rsidRPr="00293AC8">
        <w:t xml:space="preserve">) </w:t>
      </w:r>
      <w:r w:rsidR="00666D68" w:rsidRPr="000322E4">
        <w:t>в</w:t>
      </w:r>
      <w:r w:rsidR="00666D68" w:rsidRPr="00293AC8">
        <w:t>/</w:t>
      </w:r>
      <w:r w:rsidR="00666D68" w:rsidRPr="000322E4">
        <w:t>в</w:t>
      </w:r>
      <w:r w:rsidR="00666D68" w:rsidRPr="00293AC8">
        <w:t xml:space="preserve">, </w:t>
      </w:r>
      <w:r w:rsidR="00666D68" w:rsidRPr="000322E4">
        <w:t>день</w:t>
      </w:r>
      <w:r w:rsidR="00666D68" w:rsidRPr="00293AC8">
        <w:t xml:space="preserve"> 1</w:t>
      </w:r>
    </w:p>
    <w:p w14:paraId="46B47CE0" w14:textId="77777777" w:rsidR="00666D68" w:rsidRPr="00293AC8" w:rsidRDefault="00666D68" w:rsidP="008E3584">
      <w:pPr>
        <w:numPr>
          <w:ilvl w:val="0"/>
          <w:numId w:val="39"/>
        </w:numPr>
        <w:spacing w:line="360" w:lineRule="auto"/>
        <w:jc w:val="both"/>
      </w:pPr>
      <w:r w:rsidRPr="000322E4">
        <w:t>Этопозид</w:t>
      </w:r>
      <w:r w:rsidRPr="00293AC8">
        <w:rPr>
          <w:bCs/>
        </w:rPr>
        <w:t>**</w:t>
      </w:r>
      <w:r w:rsidRPr="00293AC8">
        <w:t xml:space="preserve"> 100 </w:t>
      </w:r>
      <w:r w:rsidRPr="000322E4">
        <w:t>мг</w:t>
      </w:r>
      <w:r w:rsidRPr="00293AC8">
        <w:t>/</w:t>
      </w:r>
      <w:r w:rsidRPr="000322E4">
        <w:t>м</w:t>
      </w:r>
      <w:r w:rsidRPr="00293AC8">
        <w:rPr>
          <w:vertAlign w:val="superscript"/>
        </w:rPr>
        <w:t>2</w:t>
      </w:r>
      <w:r w:rsidRPr="00293AC8">
        <w:t xml:space="preserve"> </w:t>
      </w:r>
      <w:r w:rsidRPr="000322E4">
        <w:t>в</w:t>
      </w:r>
      <w:r w:rsidRPr="00293AC8">
        <w:t>/</w:t>
      </w:r>
      <w:r w:rsidRPr="000322E4">
        <w:t>в</w:t>
      </w:r>
      <w:r w:rsidRPr="00293AC8">
        <w:t xml:space="preserve"> </w:t>
      </w:r>
      <w:r w:rsidRPr="000322E4">
        <w:t>кап</w:t>
      </w:r>
      <w:r w:rsidRPr="00293AC8">
        <w:t xml:space="preserve">., </w:t>
      </w:r>
      <w:r w:rsidRPr="000322E4">
        <w:t>дни</w:t>
      </w:r>
      <w:r w:rsidRPr="00293AC8">
        <w:t xml:space="preserve"> 1-3</w:t>
      </w:r>
    </w:p>
    <w:p w14:paraId="1527824F" w14:textId="77777777" w:rsidR="00666D68" w:rsidRPr="00293AC8" w:rsidRDefault="00666D68" w:rsidP="008E3584">
      <w:pPr>
        <w:numPr>
          <w:ilvl w:val="0"/>
          <w:numId w:val="39"/>
        </w:numPr>
        <w:spacing w:line="360" w:lineRule="auto"/>
        <w:jc w:val="both"/>
      </w:pPr>
      <w:r w:rsidRPr="000322E4">
        <w:t>Преднизолон</w:t>
      </w:r>
      <w:r w:rsidRPr="00293AC8">
        <w:t xml:space="preserve">** </w:t>
      </w:r>
      <w:r w:rsidR="00A848C4" w:rsidRPr="00293AC8">
        <w:t xml:space="preserve">100 </w:t>
      </w:r>
      <w:r w:rsidR="00A848C4" w:rsidRPr="000322E4">
        <w:t>мг</w:t>
      </w:r>
      <w:r w:rsidRPr="00293AC8">
        <w:t xml:space="preserve"> </w:t>
      </w:r>
      <w:r w:rsidRPr="000322E4">
        <w:t>внутрь</w:t>
      </w:r>
      <w:r w:rsidRPr="00293AC8">
        <w:t xml:space="preserve">, </w:t>
      </w:r>
      <w:r w:rsidRPr="000322E4">
        <w:t>дни</w:t>
      </w:r>
      <w:r w:rsidRPr="00293AC8">
        <w:t xml:space="preserve"> 1-5</w:t>
      </w:r>
    </w:p>
    <w:p w14:paraId="27BECE84" w14:textId="77777777" w:rsidR="00666D68" w:rsidRPr="00293AC8" w:rsidRDefault="00666D68" w:rsidP="008E3584">
      <w:pPr>
        <w:spacing w:line="360" w:lineRule="auto"/>
        <w:ind w:left="360"/>
        <w:jc w:val="both"/>
      </w:pPr>
      <w:r w:rsidRPr="000322E4">
        <w:t>Лечение</w:t>
      </w:r>
      <w:r w:rsidRPr="00293AC8">
        <w:t xml:space="preserve"> </w:t>
      </w:r>
      <w:r w:rsidRPr="000322E4">
        <w:t>возобновляется</w:t>
      </w:r>
      <w:r w:rsidRPr="00293AC8">
        <w:t xml:space="preserve"> </w:t>
      </w:r>
      <w:r w:rsidRPr="000322E4">
        <w:t>на</w:t>
      </w:r>
      <w:r w:rsidRPr="00293AC8">
        <w:t xml:space="preserve"> 22 </w:t>
      </w:r>
      <w:r w:rsidRPr="000322E4">
        <w:t>день</w:t>
      </w:r>
    </w:p>
    <w:p w14:paraId="5E05722C" w14:textId="77777777" w:rsidR="00666D68" w:rsidRPr="00293AC8" w:rsidRDefault="00666D68" w:rsidP="008E3584">
      <w:pPr>
        <w:spacing w:line="360" w:lineRule="auto"/>
        <w:ind w:left="360"/>
        <w:jc w:val="both"/>
      </w:pPr>
    </w:p>
    <w:p w14:paraId="11F9E21F" w14:textId="004AD8D5" w:rsidR="00666D68" w:rsidRPr="000322E4" w:rsidRDefault="00666D68" w:rsidP="008E3584">
      <w:pPr>
        <w:spacing w:line="360" w:lineRule="auto"/>
        <w:jc w:val="both"/>
      </w:pPr>
      <w:r w:rsidRPr="000322E4">
        <w:rPr>
          <w:b/>
          <w:bCs/>
          <w:lang w:val="en-US"/>
        </w:rPr>
        <w:t>R</w:t>
      </w:r>
      <w:r w:rsidRPr="00293AC8">
        <w:rPr>
          <w:b/>
          <w:bCs/>
        </w:rPr>
        <w:t>-</w:t>
      </w:r>
      <w:r w:rsidRPr="000322E4">
        <w:rPr>
          <w:b/>
          <w:bCs/>
          <w:lang w:val="en-US"/>
        </w:rPr>
        <w:t>CNOP</w:t>
      </w:r>
      <w:r w:rsidRPr="00293AC8">
        <w:rPr>
          <w:b/>
          <w:bCs/>
        </w:rPr>
        <w:t xml:space="preserve"> </w:t>
      </w:r>
      <w:r w:rsidRPr="000322E4">
        <w:rPr>
          <w:b/>
          <w:bCs/>
          <w:lang w:val="en-US"/>
        </w:rPr>
        <w:fldChar w:fldCharType="begin" w:fldLock="1"/>
      </w:r>
      <w:r w:rsidR="009D170B">
        <w:rPr>
          <w:b/>
          <w:bCs/>
          <w:lang w:val="en-US"/>
        </w:rPr>
        <w:instrText>ADDIN</w:instrText>
      </w:r>
      <w:r w:rsidR="009D170B" w:rsidRPr="00320416">
        <w:rPr>
          <w:b/>
          <w:bCs/>
        </w:rPr>
        <w:instrText xml:space="preserve"> </w:instrText>
      </w:r>
      <w:r w:rsidR="009D170B">
        <w:rPr>
          <w:b/>
          <w:bCs/>
          <w:lang w:val="en-US"/>
        </w:rPr>
        <w:instrText>CSL</w:instrText>
      </w:r>
      <w:r w:rsidR="009D170B" w:rsidRPr="00320416">
        <w:rPr>
          <w:b/>
          <w:bCs/>
        </w:rPr>
        <w:instrText>_</w:instrText>
      </w:r>
      <w:r w:rsidR="009D170B">
        <w:rPr>
          <w:b/>
          <w:bCs/>
          <w:lang w:val="en-US"/>
        </w:rPr>
        <w:instrText>CITATION</w:instrText>
      </w:r>
      <w:r w:rsidR="009D170B" w:rsidRPr="00320416">
        <w:rPr>
          <w:b/>
          <w:bCs/>
        </w:rPr>
        <w:instrText xml:space="preserve"> {"</w:instrText>
      </w:r>
      <w:r w:rsidR="009D170B">
        <w:rPr>
          <w:b/>
          <w:bCs/>
          <w:lang w:val="en-US"/>
        </w:rPr>
        <w:instrText>citationItems</w:instrText>
      </w:r>
      <w:r w:rsidR="009D170B" w:rsidRPr="00320416">
        <w:rPr>
          <w:b/>
          <w:bCs/>
        </w:rPr>
        <w:instrText>":[{"</w:instrText>
      </w:r>
      <w:r w:rsidR="009D170B">
        <w:rPr>
          <w:b/>
          <w:bCs/>
          <w:lang w:val="en-US"/>
        </w:rPr>
        <w:instrText>id</w:instrText>
      </w:r>
      <w:r w:rsidR="009D170B" w:rsidRPr="00320416">
        <w:rPr>
          <w:b/>
          <w:bCs/>
        </w:rPr>
        <w:instrText>":"</w:instrText>
      </w:r>
      <w:r w:rsidR="009D170B">
        <w:rPr>
          <w:b/>
          <w:bCs/>
          <w:lang w:val="en-US"/>
        </w:rPr>
        <w:instrText>ITEM</w:instrText>
      </w:r>
      <w:r w:rsidR="009D170B" w:rsidRPr="00320416">
        <w:rPr>
          <w:b/>
          <w:bCs/>
        </w:rPr>
        <w:instrText>-1","</w:instrText>
      </w:r>
      <w:r w:rsidR="009D170B">
        <w:rPr>
          <w:b/>
          <w:bCs/>
          <w:lang w:val="en-US"/>
        </w:rPr>
        <w:instrText>itemData</w:instrText>
      </w:r>
      <w:r w:rsidR="009D170B" w:rsidRPr="00320416">
        <w:rPr>
          <w:b/>
          <w:bCs/>
        </w:rPr>
        <w:instrText>":{"</w:instrText>
      </w:r>
      <w:r w:rsidR="009D170B">
        <w:rPr>
          <w:b/>
          <w:bCs/>
          <w:lang w:val="en-US"/>
        </w:rPr>
        <w:instrText>DOI</w:instrText>
      </w:r>
      <w:r w:rsidR="009D170B" w:rsidRPr="00320416">
        <w:rPr>
          <w:b/>
          <w:bCs/>
        </w:rPr>
        <w:instrText>":"10.1200/</w:instrText>
      </w:r>
      <w:r w:rsidR="009D170B">
        <w:rPr>
          <w:b/>
          <w:bCs/>
          <w:lang w:val="en-US"/>
        </w:rPr>
        <w:instrText>jco</w:instrText>
      </w:r>
      <w:r w:rsidR="009D170B" w:rsidRPr="00320416">
        <w:rPr>
          <w:b/>
          <w:bCs/>
        </w:rPr>
        <w:instrText>.2006.24.18_</w:instrText>
      </w:r>
      <w:r w:rsidR="009D170B">
        <w:rPr>
          <w:b/>
          <w:bCs/>
          <w:lang w:val="en-US"/>
        </w:rPr>
        <w:instrText>suppl</w:instrText>
      </w:r>
      <w:r w:rsidR="009D170B" w:rsidRPr="00320416">
        <w:rPr>
          <w:b/>
          <w:bCs/>
        </w:rPr>
        <w:instrText>.7577","</w:instrText>
      </w:r>
      <w:r w:rsidR="009D170B">
        <w:rPr>
          <w:b/>
          <w:bCs/>
          <w:lang w:val="en-US"/>
        </w:rPr>
        <w:instrText>ISSN</w:instrText>
      </w:r>
      <w:r w:rsidR="009D170B" w:rsidRPr="00320416">
        <w:rPr>
          <w:b/>
          <w:bCs/>
        </w:rPr>
        <w:instrText>":"0732-183</w:instrText>
      </w:r>
      <w:r w:rsidR="009D170B">
        <w:rPr>
          <w:b/>
          <w:bCs/>
          <w:lang w:val="en-US"/>
        </w:rPr>
        <w:instrText>X</w:instrText>
      </w:r>
      <w:r w:rsidR="009D170B" w:rsidRPr="00320416">
        <w:rPr>
          <w:b/>
          <w:bCs/>
        </w:rPr>
        <w:instrText>","</w:instrText>
      </w:r>
      <w:r w:rsidR="009D170B">
        <w:rPr>
          <w:b/>
          <w:bCs/>
          <w:lang w:val="en-US"/>
        </w:rPr>
        <w:instrText>abstract</w:instrText>
      </w:r>
      <w:r w:rsidR="009D170B" w:rsidRPr="00320416">
        <w:rPr>
          <w:b/>
          <w:bCs/>
        </w:rPr>
        <w:instrText>":"&lt;</w:instrText>
      </w:r>
      <w:r w:rsidR="009D170B">
        <w:rPr>
          <w:b/>
          <w:bCs/>
          <w:lang w:val="en-US"/>
        </w:rPr>
        <w:instrText>p</w:instrText>
      </w:r>
      <w:r w:rsidR="009D170B" w:rsidRPr="00320416">
        <w:rPr>
          <w:b/>
          <w:bCs/>
        </w:rPr>
        <w:instrText>&gt;7577&lt;/</w:instrText>
      </w:r>
      <w:r w:rsidR="009D170B">
        <w:rPr>
          <w:b/>
          <w:bCs/>
          <w:lang w:val="en-US"/>
        </w:rPr>
        <w:instrText>p</w:instrText>
      </w:r>
      <w:r w:rsidR="009D170B" w:rsidRPr="00320416">
        <w:rPr>
          <w:b/>
          <w:bCs/>
        </w:rPr>
        <w:instrText>&gt;","</w:instrText>
      </w:r>
      <w:r w:rsidR="009D170B">
        <w:rPr>
          <w:b/>
          <w:bCs/>
          <w:lang w:val="en-US"/>
        </w:rPr>
        <w:instrText>author</w:instrText>
      </w:r>
      <w:r w:rsidR="009D170B" w:rsidRPr="00320416">
        <w:rPr>
          <w:b/>
          <w:bCs/>
        </w:rPr>
        <w:instrText>":[{"</w:instrText>
      </w:r>
      <w:r w:rsidR="009D170B">
        <w:rPr>
          <w:b/>
          <w:bCs/>
          <w:lang w:val="en-US"/>
        </w:rPr>
        <w:instrText>dropping</w:instrText>
      </w:r>
      <w:r w:rsidR="009D170B" w:rsidRPr="00320416">
        <w:rPr>
          <w:b/>
          <w:bCs/>
        </w:rPr>
        <w:instrText>-</w:instrText>
      </w:r>
      <w:r w:rsidR="009D170B">
        <w:rPr>
          <w:b/>
          <w:bCs/>
          <w:lang w:val="en-US"/>
        </w:rPr>
        <w:instrText>particle</w:instrText>
      </w:r>
      <w:r w:rsidR="009D170B" w:rsidRPr="00320416">
        <w:rPr>
          <w:b/>
          <w:bCs/>
        </w:rPr>
        <w:instrText>":"","</w:instrText>
      </w:r>
      <w:r w:rsidR="009D170B">
        <w:rPr>
          <w:b/>
          <w:bCs/>
          <w:lang w:val="en-US"/>
        </w:rPr>
        <w:instrText>family</w:instrText>
      </w:r>
      <w:r w:rsidR="009D170B" w:rsidRPr="00320416">
        <w:rPr>
          <w:b/>
          <w:bCs/>
        </w:rPr>
        <w:instrText>":"</w:instrText>
      </w:r>
      <w:r w:rsidR="009D170B">
        <w:rPr>
          <w:b/>
          <w:bCs/>
          <w:lang w:val="en-US"/>
        </w:rPr>
        <w:instrText>Raefsky</w:instrText>
      </w:r>
      <w:r w:rsidR="009D170B" w:rsidRPr="00320416">
        <w:rPr>
          <w:b/>
          <w:bCs/>
        </w:rPr>
        <w:instrText>","</w:instrText>
      </w:r>
      <w:r w:rsidR="009D170B">
        <w:rPr>
          <w:b/>
          <w:bCs/>
          <w:lang w:val="en-US"/>
        </w:rPr>
        <w:instrText>given</w:instrText>
      </w:r>
      <w:r w:rsidR="009D170B" w:rsidRPr="00320416">
        <w:rPr>
          <w:b/>
          <w:bCs/>
        </w:rPr>
        <w:instrText>":"</w:instrText>
      </w:r>
      <w:r w:rsidR="009D170B">
        <w:rPr>
          <w:b/>
          <w:bCs/>
          <w:lang w:val="en-US"/>
        </w:rPr>
        <w:instrText>E</w:instrText>
      </w:r>
      <w:r w:rsidR="009D170B" w:rsidRPr="00320416">
        <w:rPr>
          <w:b/>
          <w:bCs/>
        </w:rPr>
        <w:instrText xml:space="preserve">. </w:instrText>
      </w:r>
      <w:r w:rsidR="009D170B">
        <w:rPr>
          <w:b/>
          <w:bCs/>
          <w:lang w:val="en-US"/>
        </w:rPr>
        <w:instrText>L</w:instrText>
      </w:r>
      <w:r w:rsidR="009D170B" w:rsidRPr="00320416">
        <w:rPr>
          <w:b/>
          <w:bCs/>
        </w:rPr>
        <w:instrText>.","</w:instrText>
      </w:r>
      <w:r w:rsidR="009D170B">
        <w:rPr>
          <w:b/>
          <w:bCs/>
          <w:lang w:val="en-US"/>
        </w:rPr>
        <w:instrText>non</w:instrText>
      </w:r>
      <w:r w:rsidR="009D170B" w:rsidRPr="00320416">
        <w:rPr>
          <w:b/>
          <w:bCs/>
        </w:rPr>
        <w:instrText>-</w:instrText>
      </w:r>
      <w:r w:rsidR="009D170B">
        <w:rPr>
          <w:b/>
          <w:bCs/>
          <w:lang w:val="en-US"/>
        </w:rPr>
        <w:instrText>dropping</w:instrText>
      </w:r>
      <w:r w:rsidR="009D170B" w:rsidRPr="00320416">
        <w:rPr>
          <w:b/>
          <w:bCs/>
        </w:rPr>
        <w:instrText>-</w:instrText>
      </w:r>
      <w:r w:rsidR="009D170B">
        <w:rPr>
          <w:b/>
          <w:bCs/>
          <w:lang w:val="en-US"/>
        </w:rPr>
        <w:instrText>particle</w:instrText>
      </w:r>
      <w:r w:rsidR="009D170B" w:rsidRPr="00320416">
        <w:rPr>
          <w:b/>
          <w:bCs/>
        </w:rPr>
        <w:instrText>":"","</w:instrText>
      </w:r>
      <w:r w:rsidR="009D170B">
        <w:rPr>
          <w:b/>
          <w:bCs/>
          <w:lang w:val="en-US"/>
        </w:rPr>
        <w:instrText>parse</w:instrText>
      </w:r>
      <w:r w:rsidR="009D170B" w:rsidRPr="00320416">
        <w:rPr>
          <w:b/>
          <w:bCs/>
        </w:rPr>
        <w:instrText>-</w:instrText>
      </w:r>
      <w:r w:rsidR="009D170B">
        <w:rPr>
          <w:b/>
          <w:bCs/>
          <w:lang w:val="en-US"/>
        </w:rPr>
        <w:instrText>names</w:instrText>
      </w:r>
      <w:r w:rsidR="009D170B" w:rsidRPr="00320416">
        <w:rPr>
          <w:b/>
          <w:bCs/>
        </w:rPr>
        <w:instrText>":</w:instrText>
      </w:r>
      <w:r w:rsidR="009D170B">
        <w:rPr>
          <w:b/>
          <w:bCs/>
          <w:lang w:val="en-US"/>
        </w:rPr>
        <w:instrText>false</w:instrText>
      </w:r>
      <w:r w:rsidR="009D170B" w:rsidRPr="00320416">
        <w:rPr>
          <w:b/>
          <w:bCs/>
        </w:rPr>
        <w:instrText>,"</w:instrText>
      </w:r>
      <w:r w:rsidR="009D170B">
        <w:rPr>
          <w:b/>
          <w:bCs/>
          <w:lang w:val="en-US"/>
        </w:rPr>
        <w:instrText>suffix</w:instrText>
      </w:r>
      <w:r w:rsidR="009D170B" w:rsidRPr="00320416">
        <w:rPr>
          <w:b/>
          <w:bCs/>
        </w:rPr>
        <w:instrText>":""},{"</w:instrText>
      </w:r>
      <w:r w:rsidR="009D170B">
        <w:rPr>
          <w:b/>
          <w:bCs/>
          <w:lang w:val="en-US"/>
        </w:rPr>
        <w:instrText>dropping</w:instrText>
      </w:r>
      <w:r w:rsidR="009D170B" w:rsidRPr="00320416">
        <w:rPr>
          <w:b/>
          <w:bCs/>
        </w:rPr>
        <w:instrText>-</w:instrText>
      </w:r>
      <w:r w:rsidR="009D170B">
        <w:rPr>
          <w:b/>
          <w:bCs/>
          <w:lang w:val="en-US"/>
        </w:rPr>
        <w:instrText>particle</w:instrText>
      </w:r>
      <w:r w:rsidR="009D170B" w:rsidRPr="00320416">
        <w:rPr>
          <w:b/>
          <w:bCs/>
        </w:rPr>
        <w:instrText>":"","</w:instrText>
      </w:r>
      <w:r w:rsidR="009D170B">
        <w:rPr>
          <w:b/>
          <w:bCs/>
          <w:lang w:val="en-US"/>
        </w:rPr>
        <w:instrText>family</w:instrText>
      </w:r>
      <w:r w:rsidR="009D170B" w:rsidRPr="00320416">
        <w:rPr>
          <w:b/>
          <w:bCs/>
        </w:rPr>
        <w:instrText>":"</w:instrText>
      </w:r>
      <w:r w:rsidR="009D170B">
        <w:rPr>
          <w:b/>
          <w:bCs/>
          <w:lang w:val="en-US"/>
        </w:rPr>
        <w:instrText>Greco</w:instrText>
      </w:r>
      <w:r w:rsidR="009D170B" w:rsidRPr="00320416">
        <w:rPr>
          <w:b/>
          <w:bCs/>
        </w:rPr>
        <w:instrText>","</w:instrText>
      </w:r>
      <w:r w:rsidR="009D170B">
        <w:rPr>
          <w:b/>
          <w:bCs/>
          <w:lang w:val="en-US"/>
        </w:rPr>
        <w:instrText>given</w:instrText>
      </w:r>
      <w:r w:rsidR="009D170B" w:rsidRPr="00320416">
        <w:rPr>
          <w:b/>
          <w:bCs/>
        </w:rPr>
        <w:instrText>":"</w:instrText>
      </w:r>
      <w:r w:rsidR="009D170B">
        <w:rPr>
          <w:b/>
          <w:bCs/>
          <w:lang w:val="en-US"/>
        </w:rPr>
        <w:instrText>F</w:instrText>
      </w:r>
      <w:r w:rsidR="009D170B" w:rsidRPr="00320416">
        <w:rPr>
          <w:b/>
          <w:bCs/>
        </w:rPr>
        <w:instrText xml:space="preserve">. </w:instrText>
      </w:r>
      <w:r w:rsidR="009D170B">
        <w:rPr>
          <w:b/>
          <w:bCs/>
          <w:lang w:val="en-US"/>
        </w:rPr>
        <w:instrText>A</w:instrText>
      </w:r>
      <w:r w:rsidR="009D170B" w:rsidRPr="00320416">
        <w:rPr>
          <w:b/>
          <w:bCs/>
        </w:rPr>
        <w:instrText>.","</w:instrText>
      </w:r>
      <w:r w:rsidR="009D170B">
        <w:rPr>
          <w:b/>
          <w:bCs/>
          <w:lang w:val="en-US"/>
        </w:rPr>
        <w:instrText>non</w:instrText>
      </w:r>
      <w:r w:rsidR="009D170B" w:rsidRPr="00320416">
        <w:rPr>
          <w:b/>
          <w:bCs/>
        </w:rPr>
        <w:instrText>-</w:instrText>
      </w:r>
      <w:r w:rsidR="009D170B">
        <w:rPr>
          <w:b/>
          <w:bCs/>
          <w:lang w:val="en-US"/>
        </w:rPr>
        <w:instrText>dropping</w:instrText>
      </w:r>
      <w:r w:rsidR="009D170B" w:rsidRPr="00320416">
        <w:rPr>
          <w:b/>
          <w:bCs/>
        </w:rPr>
        <w:instrText>-</w:instrText>
      </w:r>
      <w:r w:rsidR="009D170B">
        <w:rPr>
          <w:b/>
          <w:bCs/>
          <w:lang w:val="en-US"/>
        </w:rPr>
        <w:instrText>particle</w:instrText>
      </w:r>
      <w:r w:rsidR="009D170B" w:rsidRPr="00320416">
        <w:rPr>
          <w:b/>
          <w:bCs/>
        </w:rPr>
        <w:instrText>":"","</w:instrText>
      </w:r>
      <w:r w:rsidR="009D170B">
        <w:rPr>
          <w:b/>
          <w:bCs/>
          <w:lang w:val="en-US"/>
        </w:rPr>
        <w:instrText>parse</w:instrText>
      </w:r>
      <w:r w:rsidR="009D170B" w:rsidRPr="00320416">
        <w:rPr>
          <w:b/>
          <w:bCs/>
        </w:rPr>
        <w:instrText>-</w:instrText>
      </w:r>
      <w:r w:rsidR="009D170B">
        <w:rPr>
          <w:b/>
          <w:bCs/>
          <w:lang w:val="en-US"/>
        </w:rPr>
        <w:instrText>names</w:instrText>
      </w:r>
      <w:r w:rsidR="009D170B" w:rsidRPr="00320416">
        <w:rPr>
          <w:b/>
          <w:bCs/>
        </w:rPr>
        <w:instrText>":</w:instrText>
      </w:r>
      <w:r w:rsidR="009D170B">
        <w:rPr>
          <w:b/>
          <w:bCs/>
          <w:lang w:val="en-US"/>
        </w:rPr>
        <w:instrText>false</w:instrText>
      </w:r>
      <w:r w:rsidR="009D170B" w:rsidRPr="00320416">
        <w:rPr>
          <w:b/>
          <w:bCs/>
        </w:rPr>
        <w:instrText>,"</w:instrText>
      </w:r>
      <w:r w:rsidR="009D170B">
        <w:rPr>
          <w:b/>
          <w:bCs/>
          <w:lang w:val="en-US"/>
        </w:rPr>
        <w:instrText>suffix</w:instrText>
      </w:r>
      <w:r w:rsidR="009D170B" w:rsidRPr="00320416">
        <w:rPr>
          <w:b/>
          <w:bCs/>
        </w:rPr>
        <w:instrText>":""},{"</w:instrText>
      </w:r>
      <w:r w:rsidR="009D170B">
        <w:rPr>
          <w:b/>
          <w:bCs/>
          <w:lang w:val="en-US"/>
        </w:rPr>
        <w:instrText>dropping</w:instrText>
      </w:r>
      <w:r w:rsidR="009D170B" w:rsidRPr="00320416">
        <w:rPr>
          <w:b/>
          <w:bCs/>
        </w:rPr>
        <w:instrText>-</w:instrText>
      </w:r>
      <w:r w:rsidR="009D170B">
        <w:rPr>
          <w:b/>
          <w:bCs/>
          <w:lang w:val="en-US"/>
        </w:rPr>
        <w:instrText>particle</w:instrText>
      </w:r>
      <w:r w:rsidR="009D170B" w:rsidRPr="00320416">
        <w:rPr>
          <w:b/>
          <w:bCs/>
        </w:rPr>
        <w:instrText>":"","</w:instrText>
      </w:r>
      <w:r w:rsidR="009D170B">
        <w:rPr>
          <w:b/>
          <w:bCs/>
          <w:lang w:val="en-US"/>
        </w:rPr>
        <w:instrText>family</w:instrText>
      </w:r>
      <w:r w:rsidR="009D170B" w:rsidRPr="00320416">
        <w:rPr>
          <w:b/>
          <w:bCs/>
        </w:rPr>
        <w:instrText>":"</w:instrText>
      </w:r>
      <w:r w:rsidR="009D170B">
        <w:rPr>
          <w:b/>
          <w:bCs/>
          <w:lang w:val="en-US"/>
        </w:rPr>
        <w:instrText>Spigel</w:instrText>
      </w:r>
      <w:r w:rsidR="009D170B" w:rsidRPr="00320416">
        <w:rPr>
          <w:b/>
          <w:bCs/>
        </w:rPr>
        <w:instrText>","</w:instrText>
      </w:r>
      <w:r w:rsidR="009D170B">
        <w:rPr>
          <w:b/>
          <w:bCs/>
          <w:lang w:val="en-US"/>
        </w:rPr>
        <w:instrText>given</w:instrText>
      </w:r>
      <w:r w:rsidR="009D170B" w:rsidRPr="00320416">
        <w:rPr>
          <w:b/>
          <w:bCs/>
        </w:rPr>
        <w:instrText>":"</w:instrText>
      </w:r>
      <w:r w:rsidR="009D170B">
        <w:rPr>
          <w:b/>
          <w:bCs/>
          <w:lang w:val="en-US"/>
        </w:rPr>
        <w:instrText>D</w:instrText>
      </w:r>
      <w:r w:rsidR="009D170B" w:rsidRPr="00320416">
        <w:rPr>
          <w:b/>
          <w:bCs/>
        </w:rPr>
        <w:instrText xml:space="preserve">. </w:instrText>
      </w:r>
      <w:r w:rsidR="009D170B">
        <w:rPr>
          <w:b/>
          <w:bCs/>
          <w:lang w:val="en-US"/>
        </w:rPr>
        <w:instrText>R</w:instrText>
      </w:r>
      <w:r w:rsidR="009D170B" w:rsidRPr="00320416">
        <w:rPr>
          <w:b/>
          <w:bCs/>
        </w:rPr>
        <w:instrText>.","</w:instrText>
      </w:r>
      <w:r w:rsidR="009D170B">
        <w:rPr>
          <w:b/>
          <w:bCs/>
          <w:lang w:val="en-US"/>
        </w:rPr>
        <w:instrText>non</w:instrText>
      </w:r>
      <w:r w:rsidR="009D170B" w:rsidRPr="00320416">
        <w:rPr>
          <w:b/>
          <w:bCs/>
        </w:rPr>
        <w:instrText>-</w:instrText>
      </w:r>
      <w:r w:rsidR="009D170B">
        <w:rPr>
          <w:b/>
          <w:bCs/>
          <w:lang w:val="en-US"/>
        </w:rPr>
        <w:instrText>dropping</w:instrText>
      </w:r>
      <w:r w:rsidR="009D170B" w:rsidRPr="00320416">
        <w:rPr>
          <w:b/>
          <w:bCs/>
        </w:rPr>
        <w:instrText>-</w:instrText>
      </w:r>
      <w:r w:rsidR="009D170B">
        <w:rPr>
          <w:b/>
          <w:bCs/>
          <w:lang w:val="en-US"/>
        </w:rPr>
        <w:instrText>particle</w:instrText>
      </w:r>
      <w:r w:rsidR="009D170B" w:rsidRPr="00320416">
        <w:rPr>
          <w:b/>
          <w:bCs/>
        </w:rPr>
        <w:instrText>":"","</w:instrText>
      </w:r>
      <w:r w:rsidR="009D170B">
        <w:rPr>
          <w:b/>
          <w:bCs/>
          <w:lang w:val="en-US"/>
        </w:rPr>
        <w:instrText>parse</w:instrText>
      </w:r>
      <w:r w:rsidR="009D170B" w:rsidRPr="00320416">
        <w:rPr>
          <w:b/>
          <w:bCs/>
        </w:rPr>
        <w:instrText>-</w:instrText>
      </w:r>
      <w:r w:rsidR="009D170B">
        <w:rPr>
          <w:b/>
          <w:bCs/>
          <w:lang w:val="en-US"/>
        </w:rPr>
        <w:instrText>names</w:instrText>
      </w:r>
      <w:r w:rsidR="009D170B" w:rsidRPr="00320416">
        <w:rPr>
          <w:b/>
          <w:bCs/>
        </w:rPr>
        <w:instrText>":</w:instrText>
      </w:r>
      <w:r w:rsidR="009D170B">
        <w:rPr>
          <w:b/>
          <w:bCs/>
          <w:lang w:val="en-US"/>
        </w:rPr>
        <w:instrText>false</w:instrText>
      </w:r>
      <w:r w:rsidR="009D170B" w:rsidRPr="00320416">
        <w:rPr>
          <w:b/>
          <w:bCs/>
        </w:rPr>
        <w:instrText>,"</w:instrText>
      </w:r>
      <w:r w:rsidR="009D170B">
        <w:rPr>
          <w:b/>
          <w:bCs/>
          <w:lang w:val="en-US"/>
        </w:rPr>
        <w:instrText>suffix</w:instrText>
      </w:r>
      <w:r w:rsidR="009D170B" w:rsidRPr="00320416">
        <w:rPr>
          <w:b/>
          <w:bCs/>
        </w:rPr>
        <w:instrText>":""},{"</w:instrText>
      </w:r>
      <w:r w:rsidR="009D170B">
        <w:rPr>
          <w:b/>
          <w:bCs/>
          <w:lang w:val="en-US"/>
        </w:rPr>
        <w:instrText>dropping</w:instrText>
      </w:r>
      <w:r w:rsidR="009D170B" w:rsidRPr="00320416">
        <w:rPr>
          <w:b/>
          <w:bCs/>
        </w:rPr>
        <w:instrText>-</w:instrText>
      </w:r>
      <w:r w:rsidR="009D170B">
        <w:rPr>
          <w:b/>
          <w:bCs/>
          <w:lang w:val="en-US"/>
        </w:rPr>
        <w:instrText>particle</w:instrText>
      </w:r>
      <w:r w:rsidR="009D170B" w:rsidRPr="00320416">
        <w:rPr>
          <w:b/>
          <w:bCs/>
        </w:rPr>
        <w:instrText>":"","</w:instrText>
      </w:r>
      <w:r w:rsidR="009D170B">
        <w:rPr>
          <w:b/>
          <w:bCs/>
          <w:lang w:val="en-US"/>
        </w:rPr>
        <w:instrText>family</w:instrText>
      </w:r>
      <w:r w:rsidR="009D170B" w:rsidRPr="00320416">
        <w:rPr>
          <w:b/>
          <w:bCs/>
        </w:rPr>
        <w:instrText>":"</w:instrText>
      </w:r>
      <w:r w:rsidR="009D170B">
        <w:rPr>
          <w:b/>
          <w:bCs/>
          <w:lang w:val="en-US"/>
        </w:rPr>
        <w:instrText>Doss</w:instrText>
      </w:r>
      <w:r w:rsidR="009D170B" w:rsidRPr="00320416">
        <w:rPr>
          <w:b/>
          <w:bCs/>
        </w:rPr>
        <w:instrText>","</w:instrText>
      </w:r>
      <w:r w:rsidR="009D170B">
        <w:rPr>
          <w:b/>
          <w:bCs/>
          <w:lang w:val="en-US"/>
        </w:rPr>
        <w:instrText>given</w:instrText>
      </w:r>
      <w:r w:rsidR="009D170B" w:rsidRPr="00320416">
        <w:rPr>
          <w:b/>
          <w:bCs/>
        </w:rPr>
        <w:instrText>":"</w:instrText>
      </w:r>
      <w:r w:rsidR="009D170B">
        <w:rPr>
          <w:b/>
          <w:bCs/>
          <w:lang w:val="en-US"/>
        </w:rPr>
        <w:instrText>H</w:instrText>
      </w:r>
      <w:r w:rsidR="009D170B" w:rsidRPr="00320416">
        <w:rPr>
          <w:b/>
          <w:bCs/>
        </w:rPr>
        <w:instrText xml:space="preserve">. </w:instrText>
      </w:r>
      <w:r w:rsidR="009D170B">
        <w:rPr>
          <w:b/>
          <w:bCs/>
          <w:lang w:val="en-US"/>
        </w:rPr>
        <w:instrText>H</w:instrText>
      </w:r>
      <w:r w:rsidR="009D170B" w:rsidRPr="00320416">
        <w:rPr>
          <w:b/>
          <w:bCs/>
        </w:rPr>
        <w:instrText>.","</w:instrText>
      </w:r>
      <w:r w:rsidR="009D170B">
        <w:rPr>
          <w:b/>
          <w:bCs/>
          <w:lang w:val="en-US"/>
        </w:rPr>
        <w:instrText>non</w:instrText>
      </w:r>
      <w:r w:rsidR="009D170B" w:rsidRPr="00320416">
        <w:rPr>
          <w:b/>
          <w:bCs/>
        </w:rPr>
        <w:instrText>-</w:instrText>
      </w:r>
      <w:r w:rsidR="009D170B">
        <w:rPr>
          <w:b/>
          <w:bCs/>
          <w:lang w:val="en-US"/>
        </w:rPr>
        <w:instrText>dropping</w:instrText>
      </w:r>
      <w:r w:rsidR="009D170B" w:rsidRPr="00320416">
        <w:rPr>
          <w:b/>
          <w:bCs/>
        </w:rPr>
        <w:instrText>-</w:instrText>
      </w:r>
      <w:r w:rsidR="009D170B">
        <w:rPr>
          <w:b/>
          <w:bCs/>
          <w:lang w:val="en-US"/>
        </w:rPr>
        <w:instrText>particle</w:instrText>
      </w:r>
      <w:r w:rsidR="009D170B" w:rsidRPr="00320416">
        <w:rPr>
          <w:b/>
          <w:bCs/>
        </w:rPr>
        <w:instrText>":"","</w:instrText>
      </w:r>
      <w:r w:rsidR="009D170B">
        <w:rPr>
          <w:b/>
          <w:bCs/>
          <w:lang w:val="en-US"/>
        </w:rPr>
        <w:instrText>parse</w:instrText>
      </w:r>
      <w:r w:rsidR="009D170B" w:rsidRPr="00320416">
        <w:rPr>
          <w:b/>
          <w:bCs/>
        </w:rPr>
        <w:instrText>-</w:instrText>
      </w:r>
      <w:r w:rsidR="009D170B">
        <w:rPr>
          <w:b/>
          <w:bCs/>
          <w:lang w:val="en-US"/>
        </w:rPr>
        <w:instrText>names</w:instrText>
      </w:r>
      <w:r w:rsidR="009D170B" w:rsidRPr="00320416">
        <w:rPr>
          <w:b/>
          <w:bCs/>
        </w:rPr>
        <w:instrText>":</w:instrText>
      </w:r>
      <w:r w:rsidR="009D170B">
        <w:rPr>
          <w:b/>
          <w:bCs/>
          <w:lang w:val="en-US"/>
        </w:rPr>
        <w:instrText>false</w:instrText>
      </w:r>
      <w:r w:rsidR="009D170B" w:rsidRPr="00320416">
        <w:rPr>
          <w:b/>
          <w:bCs/>
        </w:rPr>
        <w:instrText>,"</w:instrText>
      </w:r>
      <w:r w:rsidR="009D170B">
        <w:rPr>
          <w:b/>
          <w:bCs/>
          <w:lang w:val="en-US"/>
        </w:rPr>
        <w:instrText>suffix</w:instrText>
      </w:r>
      <w:r w:rsidR="009D170B" w:rsidRPr="00320416">
        <w:rPr>
          <w:b/>
          <w:bCs/>
        </w:rPr>
        <w:instrText>":""},{"</w:instrText>
      </w:r>
      <w:r w:rsidR="009D170B">
        <w:rPr>
          <w:b/>
          <w:bCs/>
          <w:lang w:val="en-US"/>
        </w:rPr>
        <w:instrText>dropping</w:instrText>
      </w:r>
      <w:r w:rsidR="009D170B" w:rsidRPr="00320416">
        <w:rPr>
          <w:b/>
          <w:bCs/>
        </w:rPr>
        <w:instrText>-</w:instrText>
      </w:r>
      <w:r w:rsidR="009D170B">
        <w:rPr>
          <w:b/>
          <w:bCs/>
          <w:lang w:val="en-US"/>
        </w:rPr>
        <w:instrText>particle</w:instrText>
      </w:r>
      <w:r w:rsidR="009D170B" w:rsidRPr="00320416">
        <w:rPr>
          <w:b/>
          <w:bCs/>
        </w:rPr>
        <w:instrText>":"","</w:instrText>
      </w:r>
      <w:r w:rsidR="009D170B">
        <w:rPr>
          <w:b/>
          <w:bCs/>
          <w:lang w:val="en-US"/>
        </w:rPr>
        <w:instrText>family</w:instrText>
      </w:r>
      <w:r w:rsidR="009D170B" w:rsidRPr="00320416">
        <w:rPr>
          <w:b/>
          <w:bCs/>
        </w:rPr>
        <w:instrText>":"</w:instrText>
      </w:r>
      <w:r w:rsidR="009D170B">
        <w:rPr>
          <w:b/>
          <w:bCs/>
          <w:lang w:val="en-US"/>
        </w:rPr>
        <w:instrText>Farley</w:instrText>
      </w:r>
      <w:r w:rsidR="009D170B" w:rsidRPr="00320416">
        <w:rPr>
          <w:b/>
          <w:bCs/>
        </w:rPr>
        <w:instrText>","</w:instrText>
      </w:r>
      <w:r w:rsidR="009D170B">
        <w:rPr>
          <w:b/>
          <w:bCs/>
          <w:lang w:val="en-US"/>
        </w:rPr>
        <w:instrText>given</w:instrText>
      </w:r>
      <w:r w:rsidR="009D170B" w:rsidRPr="00320416">
        <w:rPr>
          <w:b/>
          <w:bCs/>
        </w:rPr>
        <w:instrText>":"</w:instrText>
      </w:r>
      <w:r w:rsidR="009D170B">
        <w:rPr>
          <w:b/>
          <w:bCs/>
          <w:lang w:val="en-US"/>
        </w:rPr>
        <w:instrText>C</w:instrText>
      </w:r>
      <w:r w:rsidR="009D170B" w:rsidRPr="00320416">
        <w:rPr>
          <w:b/>
          <w:bCs/>
        </w:rPr>
        <w:instrText>.","</w:instrText>
      </w:r>
      <w:r w:rsidR="009D170B">
        <w:rPr>
          <w:b/>
          <w:bCs/>
          <w:lang w:val="en-US"/>
        </w:rPr>
        <w:instrText>non</w:instrText>
      </w:r>
      <w:r w:rsidR="009D170B" w:rsidRPr="00320416">
        <w:rPr>
          <w:b/>
          <w:bCs/>
        </w:rPr>
        <w:instrText>-</w:instrText>
      </w:r>
      <w:r w:rsidR="009D170B">
        <w:rPr>
          <w:b/>
          <w:bCs/>
          <w:lang w:val="en-US"/>
        </w:rPr>
        <w:instrText>dropping</w:instrText>
      </w:r>
      <w:r w:rsidR="009D170B" w:rsidRPr="00320416">
        <w:rPr>
          <w:b/>
          <w:bCs/>
        </w:rPr>
        <w:instrText>-</w:instrText>
      </w:r>
      <w:r w:rsidR="009D170B">
        <w:rPr>
          <w:b/>
          <w:bCs/>
          <w:lang w:val="en-US"/>
        </w:rPr>
        <w:instrText>particle</w:instrText>
      </w:r>
      <w:r w:rsidR="009D170B" w:rsidRPr="00320416">
        <w:rPr>
          <w:b/>
          <w:bCs/>
        </w:rPr>
        <w:instrText>":"","</w:instrText>
      </w:r>
      <w:r w:rsidR="009D170B">
        <w:rPr>
          <w:b/>
          <w:bCs/>
          <w:lang w:val="en-US"/>
        </w:rPr>
        <w:instrText>parse</w:instrText>
      </w:r>
      <w:r w:rsidR="009D170B" w:rsidRPr="00320416">
        <w:rPr>
          <w:b/>
          <w:bCs/>
        </w:rPr>
        <w:instrText>-</w:instrText>
      </w:r>
      <w:r w:rsidR="009D170B">
        <w:rPr>
          <w:b/>
          <w:bCs/>
          <w:lang w:val="en-US"/>
        </w:rPr>
        <w:instrText>names</w:instrText>
      </w:r>
      <w:r w:rsidR="009D170B" w:rsidRPr="00320416">
        <w:rPr>
          <w:b/>
          <w:bCs/>
        </w:rPr>
        <w:instrText>":</w:instrText>
      </w:r>
      <w:r w:rsidR="009D170B">
        <w:rPr>
          <w:b/>
          <w:bCs/>
          <w:lang w:val="en-US"/>
        </w:rPr>
        <w:instrText>false</w:instrText>
      </w:r>
      <w:r w:rsidR="009D170B" w:rsidRPr="00320416">
        <w:rPr>
          <w:b/>
          <w:bCs/>
        </w:rPr>
        <w:instrText>,"</w:instrText>
      </w:r>
      <w:r w:rsidR="009D170B">
        <w:rPr>
          <w:b/>
          <w:bCs/>
          <w:lang w:val="en-US"/>
        </w:rPr>
        <w:instrText>suffix</w:instrText>
      </w:r>
      <w:r w:rsidR="009D170B" w:rsidRPr="00320416">
        <w:rPr>
          <w:b/>
          <w:bCs/>
        </w:rPr>
        <w:instrText>":""},{"</w:instrText>
      </w:r>
      <w:r w:rsidR="009D170B">
        <w:rPr>
          <w:b/>
          <w:bCs/>
          <w:lang w:val="en-US"/>
        </w:rPr>
        <w:instrText>dropping</w:instrText>
      </w:r>
      <w:r w:rsidR="009D170B" w:rsidRPr="00320416">
        <w:rPr>
          <w:b/>
          <w:bCs/>
        </w:rPr>
        <w:instrText>-</w:instrText>
      </w:r>
      <w:r w:rsidR="009D170B">
        <w:rPr>
          <w:b/>
          <w:bCs/>
          <w:lang w:val="en-US"/>
        </w:rPr>
        <w:instrText>particle</w:instrText>
      </w:r>
      <w:r w:rsidR="009D170B" w:rsidRPr="00320416">
        <w:rPr>
          <w:b/>
          <w:bCs/>
        </w:rPr>
        <w:instrText>":"","</w:instrText>
      </w:r>
      <w:r w:rsidR="009D170B">
        <w:rPr>
          <w:b/>
          <w:bCs/>
          <w:lang w:val="en-US"/>
        </w:rPr>
        <w:instrText>family</w:instrText>
      </w:r>
      <w:r w:rsidR="009D170B" w:rsidRPr="00320416">
        <w:rPr>
          <w:b/>
          <w:bCs/>
        </w:rPr>
        <w:instrText>":"</w:instrText>
      </w:r>
      <w:r w:rsidR="009D170B">
        <w:rPr>
          <w:b/>
          <w:bCs/>
          <w:lang w:val="en-US"/>
        </w:rPr>
        <w:instrText>Saez</w:instrText>
      </w:r>
      <w:r w:rsidR="009D170B" w:rsidRPr="00320416">
        <w:rPr>
          <w:b/>
          <w:bCs/>
        </w:rPr>
        <w:instrText>","</w:instrText>
      </w:r>
      <w:r w:rsidR="009D170B">
        <w:rPr>
          <w:b/>
          <w:bCs/>
          <w:lang w:val="en-US"/>
        </w:rPr>
        <w:instrText>given</w:instrText>
      </w:r>
      <w:r w:rsidR="009D170B" w:rsidRPr="00320416">
        <w:rPr>
          <w:b/>
          <w:bCs/>
        </w:rPr>
        <w:instrText>":"</w:instrText>
      </w:r>
      <w:r w:rsidR="009D170B">
        <w:rPr>
          <w:b/>
          <w:bCs/>
          <w:lang w:val="en-US"/>
        </w:rPr>
        <w:instrText>R</w:instrText>
      </w:r>
      <w:r w:rsidR="009D170B" w:rsidRPr="00320416">
        <w:rPr>
          <w:b/>
          <w:bCs/>
        </w:rPr>
        <w:instrText>.","</w:instrText>
      </w:r>
      <w:r w:rsidR="009D170B">
        <w:rPr>
          <w:b/>
          <w:bCs/>
          <w:lang w:val="en-US"/>
        </w:rPr>
        <w:instrText>non</w:instrText>
      </w:r>
      <w:r w:rsidR="009D170B" w:rsidRPr="00320416">
        <w:rPr>
          <w:b/>
          <w:bCs/>
        </w:rPr>
        <w:instrText>-</w:instrText>
      </w:r>
      <w:r w:rsidR="009D170B">
        <w:rPr>
          <w:b/>
          <w:bCs/>
          <w:lang w:val="en-US"/>
        </w:rPr>
        <w:instrText>dropping</w:instrText>
      </w:r>
      <w:r w:rsidR="009D170B" w:rsidRPr="00320416">
        <w:rPr>
          <w:b/>
          <w:bCs/>
        </w:rPr>
        <w:instrText>-</w:instrText>
      </w:r>
      <w:r w:rsidR="009D170B">
        <w:rPr>
          <w:b/>
          <w:bCs/>
          <w:lang w:val="en-US"/>
        </w:rPr>
        <w:instrText>particle</w:instrText>
      </w:r>
      <w:r w:rsidR="009D170B" w:rsidRPr="00320416">
        <w:rPr>
          <w:b/>
          <w:bCs/>
        </w:rPr>
        <w:instrText>":"","</w:instrText>
      </w:r>
      <w:r w:rsidR="009D170B">
        <w:rPr>
          <w:b/>
          <w:bCs/>
          <w:lang w:val="en-US"/>
        </w:rPr>
        <w:instrText>parse</w:instrText>
      </w:r>
      <w:r w:rsidR="009D170B" w:rsidRPr="00320416">
        <w:rPr>
          <w:b/>
          <w:bCs/>
        </w:rPr>
        <w:instrText>-</w:instrText>
      </w:r>
      <w:r w:rsidR="009D170B">
        <w:rPr>
          <w:b/>
          <w:bCs/>
          <w:lang w:val="en-US"/>
        </w:rPr>
        <w:instrText>names</w:instrText>
      </w:r>
      <w:r w:rsidR="009D170B" w:rsidRPr="00320416">
        <w:rPr>
          <w:b/>
          <w:bCs/>
        </w:rPr>
        <w:instrText>":</w:instrText>
      </w:r>
      <w:r w:rsidR="009D170B">
        <w:rPr>
          <w:b/>
          <w:bCs/>
          <w:lang w:val="en-US"/>
        </w:rPr>
        <w:instrText>false</w:instrText>
      </w:r>
      <w:r w:rsidR="009D170B" w:rsidRPr="00320416">
        <w:rPr>
          <w:b/>
          <w:bCs/>
        </w:rPr>
        <w:instrText>,"</w:instrText>
      </w:r>
      <w:r w:rsidR="009D170B">
        <w:rPr>
          <w:b/>
          <w:bCs/>
          <w:lang w:val="en-US"/>
        </w:rPr>
        <w:instrText>suffix</w:instrText>
      </w:r>
      <w:r w:rsidR="009D170B" w:rsidRPr="00320416">
        <w:rPr>
          <w:b/>
          <w:bCs/>
        </w:rPr>
        <w:instrText>":""},{"</w:instrText>
      </w:r>
      <w:r w:rsidR="009D170B">
        <w:rPr>
          <w:b/>
          <w:bCs/>
          <w:lang w:val="en-US"/>
        </w:rPr>
        <w:instrText>dropping</w:instrText>
      </w:r>
      <w:r w:rsidR="009D170B" w:rsidRPr="00320416">
        <w:rPr>
          <w:b/>
          <w:bCs/>
        </w:rPr>
        <w:instrText>-</w:instrText>
      </w:r>
      <w:r w:rsidR="009D170B">
        <w:rPr>
          <w:b/>
          <w:bCs/>
          <w:lang w:val="en-US"/>
        </w:rPr>
        <w:instrText>particle</w:instrText>
      </w:r>
      <w:r w:rsidR="009D170B" w:rsidRPr="00320416">
        <w:rPr>
          <w:b/>
          <w:bCs/>
        </w:rPr>
        <w:instrText>":"","</w:instrText>
      </w:r>
      <w:r w:rsidR="009D170B">
        <w:rPr>
          <w:b/>
          <w:bCs/>
          <w:lang w:val="en-US"/>
        </w:rPr>
        <w:instrText>family</w:instrText>
      </w:r>
      <w:r w:rsidR="009D170B" w:rsidRPr="00320416">
        <w:rPr>
          <w:b/>
          <w:bCs/>
        </w:rPr>
        <w:instrText>":"</w:instrText>
      </w:r>
      <w:r w:rsidR="009D170B">
        <w:rPr>
          <w:b/>
          <w:bCs/>
          <w:lang w:val="en-US"/>
        </w:rPr>
        <w:instrText>Kommor</w:instrText>
      </w:r>
      <w:r w:rsidR="009D170B" w:rsidRPr="00320416">
        <w:rPr>
          <w:b/>
          <w:bCs/>
        </w:rPr>
        <w:instrText>","</w:instrText>
      </w:r>
      <w:r w:rsidR="009D170B">
        <w:rPr>
          <w:b/>
          <w:bCs/>
          <w:lang w:val="en-US"/>
        </w:rPr>
        <w:instrText>given</w:instrText>
      </w:r>
      <w:r w:rsidR="009D170B" w:rsidRPr="00320416">
        <w:rPr>
          <w:b/>
          <w:bCs/>
        </w:rPr>
        <w:instrText>":"</w:instrText>
      </w:r>
      <w:r w:rsidR="009D170B">
        <w:rPr>
          <w:b/>
          <w:bCs/>
          <w:lang w:val="en-US"/>
        </w:rPr>
        <w:instrText>M</w:instrText>
      </w:r>
      <w:r w:rsidR="009D170B" w:rsidRPr="00320416">
        <w:rPr>
          <w:b/>
          <w:bCs/>
        </w:rPr>
        <w:instrText>.","</w:instrText>
      </w:r>
      <w:r w:rsidR="009D170B">
        <w:rPr>
          <w:b/>
          <w:bCs/>
          <w:lang w:val="en-US"/>
        </w:rPr>
        <w:instrText>non</w:instrText>
      </w:r>
      <w:r w:rsidR="009D170B" w:rsidRPr="00320416">
        <w:rPr>
          <w:b/>
          <w:bCs/>
        </w:rPr>
        <w:instrText>-</w:instrText>
      </w:r>
      <w:r w:rsidR="009D170B">
        <w:rPr>
          <w:b/>
          <w:bCs/>
          <w:lang w:val="en-US"/>
        </w:rPr>
        <w:instrText>dropping</w:instrText>
      </w:r>
      <w:r w:rsidR="009D170B" w:rsidRPr="00320416">
        <w:rPr>
          <w:b/>
          <w:bCs/>
        </w:rPr>
        <w:instrText>-</w:instrText>
      </w:r>
      <w:r w:rsidR="009D170B">
        <w:rPr>
          <w:b/>
          <w:bCs/>
          <w:lang w:val="en-US"/>
        </w:rPr>
        <w:instrText>particle</w:instrText>
      </w:r>
      <w:r w:rsidR="009D170B" w:rsidRPr="00320416">
        <w:rPr>
          <w:b/>
          <w:bCs/>
        </w:rPr>
        <w:instrText>":"","</w:instrText>
      </w:r>
      <w:r w:rsidR="009D170B">
        <w:rPr>
          <w:b/>
          <w:bCs/>
          <w:lang w:val="en-US"/>
        </w:rPr>
        <w:instrText>parse</w:instrText>
      </w:r>
      <w:r w:rsidR="009D170B" w:rsidRPr="00320416">
        <w:rPr>
          <w:b/>
          <w:bCs/>
        </w:rPr>
        <w:instrText>-</w:instrText>
      </w:r>
      <w:r w:rsidR="009D170B">
        <w:rPr>
          <w:b/>
          <w:bCs/>
          <w:lang w:val="en-US"/>
        </w:rPr>
        <w:instrText>names</w:instrText>
      </w:r>
      <w:r w:rsidR="009D170B" w:rsidRPr="00320416">
        <w:rPr>
          <w:b/>
          <w:bCs/>
        </w:rPr>
        <w:instrText>":</w:instrText>
      </w:r>
      <w:r w:rsidR="009D170B">
        <w:rPr>
          <w:b/>
          <w:bCs/>
          <w:lang w:val="en-US"/>
        </w:rPr>
        <w:instrText>false</w:instrText>
      </w:r>
      <w:r w:rsidR="009D170B" w:rsidRPr="00320416">
        <w:rPr>
          <w:b/>
          <w:bCs/>
        </w:rPr>
        <w:instrText>,"</w:instrText>
      </w:r>
      <w:r w:rsidR="009D170B">
        <w:rPr>
          <w:b/>
          <w:bCs/>
          <w:lang w:val="en-US"/>
        </w:rPr>
        <w:instrText>suffix</w:instrText>
      </w:r>
      <w:r w:rsidR="009D170B" w:rsidRPr="00320416">
        <w:rPr>
          <w:b/>
          <w:bCs/>
        </w:rPr>
        <w:instrText>":""},{"</w:instrText>
      </w:r>
      <w:r w:rsidR="009D170B">
        <w:rPr>
          <w:b/>
          <w:bCs/>
          <w:lang w:val="en-US"/>
        </w:rPr>
        <w:instrText>dropping</w:instrText>
      </w:r>
      <w:r w:rsidR="009D170B" w:rsidRPr="00320416">
        <w:rPr>
          <w:b/>
          <w:bCs/>
        </w:rPr>
        <w:instrText>-</w:instrText>
      </w:r>
      <w:r w:rsidR="009D170B">
        <w:rPr>
          <w:b/>
          <w:bCs/>
          <w:lang w:val="en-US"/>
        </w:rPr>
        <w:instrText>particle</w:instrText>
      </w:r>
      <w:r w:rsidR="009D170B" w:rsidRPr="00320416">
        <w:rPr>
          <w:b/>
          <w:bCs/>
        </w:rPr>
        <w:instrText>":"","</w:instrText>
      </w:r>
      <w:r w:rsidR="009D170B">
        <w:rPr>
          <w:b/>
          <w:bCs/>
          <w:lang w:val="en-US"/>
        </w:rPr>
        <w:instrText>family</w:instrText>
      </w:r>
      <w:r w:rsidR="009D170B" w:rsidRPr="00320416">
        <w:rPr>
          <w:b/>
          <w:bCs/>
        </w:rPr>
        <w:instrText>":"</w:instrText>
      </w:r>
      <w:r w:rsidR="009D170B">
        <w:rPr>
          <w:b/>
          <w:bCs/>
          <w:lang w:val="en-US"/>
        </w:rPr>
        <w:instrText>Hainsworth</w:instrText>
      </w:r>
      <w:r w:rsidR="009D170B" w:rsidRPr="00320416">
        <w:rPr>
          <w:b/>
          <w:bCs/>
        </w:rPr>
        <w:instrText>","</w:instrText>
      </w:r>
      <w:r w:rsidR="009D170B">
        <w:rPr>
          <w:b/>
          <w:bCs/>
          <w:lang w:val="en-US"/>
        </w:rPr>
        <w:instrText>given</w:instrText>
      </w:r>
      <w:r w:rsidR="009D170B" w:rsidRPr="00320416">
        <w:rPr>
          <w:b/>
          <w:bCs/>
        </w:rPr>
        <w:instrText>":"</w:instrText>
      </w:r>
      <w:r w:rsidR="009D170B">
        <w:rPr>
          <w:b/>
          <w:bCs/>
          <w:lang w:val="en-US"/>
        </w:rPr>
        <w:instrText>J</w:instrText>
      </w:r>
      <w:r w:rsidR="009D170B" w:rsidRPr="00320416">
        <w:rPr>
          <w:b/>
          <w:bCs/>
        </w:rPr>
        <w:instrText xml:space="preserve">. </w:instrText>
      </w:r>
      <w:r w:rsidR="009D170B">
        <w:rPr>
          <w:b/>
          <w:bCs/>
          <w:lang w:val="en-US"/>
        </w:rPr>
        <w:instrText>D</w:instrText>
      </w:r>
      <w:r w:rsidR="009D170B" w:rsidRPr="00320416">
        <w:rPr>
          <w:b/>
          <w:bCs/>
        </w:rPr>
        <w:instrText>.","</w:instrText>
      </w:r>
      <w:r w:rsidR="009D170B">
        <w:rPr>
          <w:b/>
          <w:bCs/>
          <w:lang w:val="en-US"/>
        </w:rPr>
        <w:instrText>non</w:instrText>
      </w:r>
      <w:r w:rsidR="009D170B" w:rsidRPr="00320416">
        <w:rPr>
          <w:b/>
          <w:bCs/>
        </w:rPr>
        <w:instrText>-</w:instrText>
      </w:r>
      <w:r w:rsidR="009D170B">
        <w:rPr>
          <w:b/>
          <w:bCs/>
          <w:lang w:val="en-US"/>
        </w:rPr>
        <w:instrText>dropping</w:instrText>
      </w:r>
      <w:r w:rsidR="009D170B" w:rsidRPr="00320416">
        <w:rPr>
          <w:b/>
          <w:bCs/>
        </w:rPr>
        <w:instrText>-</w:instrText>
      </w:r>
      <w:r w:rsidR="009D170B">
        <w:rPr>
          <w:b/>
          <w:bCs/>
          <w:lang w:val="en-US"/>
        </w:rPr>
        <w:instrText>particle</w:instrText>
      </w:r>
      <w:r w:rsidR="009D170B" w:rsidRPr="00320416">
        <w:rPr>
          <w:b/>
          <w:bCs/>
        </w:rPr>
        <w:instrText>":"","</w:instrText>
      </w:r>
      <w:r w:rsidR="009D170B">
        <w:rPr>
          <w:b/>
          <w:bCs/>
          <w:lang w:val="en-US"/>
        </w:rPr>
        <w:instrText>parse</w:instrText>
      </w:r>
      <w:r w:rsidR="009D170B" w:rsidRPr="00320416">
        <w:rPr>
          <w:b/>
          <w:bCs/>
        </w:rPr>
        <w:instrText>-</w:instrText>
      </w:r>
      <w:r w:rsidR="009D170B">
        <w:rPr>
          <w:b/>
          <w:bCs/>
          <w:lang w:val="en-US"/>
        </w:rPr>
        <w:instrText>names</w:instrText>
      </w:r>
      <w:r w:rsidR="009D170B" w:rsidRPr="00320416">
        <w:rPr>
          <w:b/>
          <w:bCs/>
        </w:rPr>
        <w:instrText>":</w:instrText>
      </w:r>
      <w:r w:rsidR="009D170B">
        <w:rPr>
          <w:b/>
          <w:bCs/>
          <w:lang w:val="en-US"/>
        </w:rPr>
        <w:instrText>false</w:instrText>
      </w:r>
      <w:r w:rsidR="009D170B" w:rsidRPr="00320416">
        <w:rPr>
          <w:b/>
          <w:bCs/>
        </w:rPr>
        <w:instrText>,"</w:instrText>
      </w:r>
      <w:r w:rsidR="009D170B">
        <w:rPr>
          <w:b/>
          <w:bCs/>
          <w:lang w:val="en-US"/>
        </w:rPr>
        <w:instrText>suffix</w:instrText>
      </w:r>
      <w:r w:rsidR="009D170B" w:rsidRPr="00320416">
        <w:rPr>
          <w:b/>
          <w:bCs/>
        </w:rPr>
        <w:instrText>":""}],"</w:instrText>
      </w:r>
      <w:r w:rsidR="009D170B">
        <w:rPr>
          <w:b/>
          <w:bCs/>
          <w:lang w:val="en-US"/>
        </w:rPr>
        <w:instrText>container</w:instrText>
      </w:r>
      <w:r w:rsidR="009D170B" w:rsidRPr="00320416">
        <w:rPr>
          <w:b/>
          <w:bCs/>
        </w:rPr>
        <w:instrText>-</w:instrText>
      </w:r>
      <w:r w:rsidR="009D170B">
        <w:rPr>
          <w:b/>
          <w:bCs/>
          <w:lang w:val="en-US"/>
        </w:rPr>
        <w:instrText>title</w:instrText>
      </w:r>
      <w:r w:rsidR="009D170B" w:rsidRPr="00320416">
        <w:rPr>
          <w:b/>
          <w:bCs/>
        </w:rPr>
        <w:instrText>":"</w:instrText>
      </w:r>
      <w:r w:rsidR="009D170B">
        <w:rPr>
          <w:b/>
          <w:bCs/>
          <w:lang w:val="en-US"/>
        </w:rPr>
        <w:instrText>Journal</w:instrText>
      </w:r>
      <w:r w:rsidR="009D170B" w:rsidRPr="00320416">
        <w:rPr>
          <w:b/>
          <w:bCs/>
        </w:rPr>
        <w:instrText xml:space="preserve"> </w:instrText>
      </w:r>
      <w:r w:rsidR="009D170B">
        <w:rPr>
          <w:b/>
          <w:bCs/>
          <w:lang w:val="en-US"/>
        </w:rPr>
        <w:instrText>of</w:instrText>
      </w:r>
      <w:r w:rsidR="009D170B" w:rsidRPr="00320416">
        <w:rPr>
          <w:b/>
          <w:bCs/>
        </w:rPr>
        <w:instrText xml:space="preserve"> </w:instrText>
      </w:r>
      <w:r w:rsidR="009D170B">
        <w:rPr>
          <w:b/>
          <w:bCs/>
          <w:lang w:val="en-US"/>
        </w:rPr>
        <w:instrText>Clinical</w:instrText>
      </w:r>
      <w:r w:rsidR="009D170B" w:rsidRPr="00320416">
        <w:rPr>
          <w:b/>
          <w:bCs/>
        </w:rPr>
        <w:instrText xml:space="preserve"> </w:instrText>
      </w:r>
      <w:r w:rsidR="009D170B">
        <w:rPr>
          <w:b/>
          <w:bCs/>
          <w:lang w:val="en-US"/>
        </w:rPr>
        <w:instrText>Oncology</w:instrText>
      </w:r>
      <w:r w:rsidR="009D170B" w:rsidRPr="00320416">
        <w:rPr>
          <w:b/>
          <w:bCs/>
        </w:rPr>
        <w:instrText>","</w:instrText>
      </w:r>
      <w:r w:rsidR="009D170B">
        <w:rPr>
          <w:b/>
          <w:bCs/>
          <w:lang w:val="en-US"/>
        </w:rPr>
        <w:instrText>id</w:instrText>
      </w:r>
      <w:r w:rsidR="009D170B" w:rsidRPr="00320416">
        <w:rPr>
          <w:b/>
          <w:bCs/>
        </w:rPr>
        <w:instrText>":"</w:instrText>
      </w:r>
      <w:r w:rsidR="009D170B">
        <w:rPr>
          <w:b/>
          <w:bCs/>
          <w:lang w:val="en-US"/>
        </w:rPr>
        <w:instrText>ITEM</w:instrText>
      </w:r>
      <w:r w:rsidR="009D170B" w:rsidRPr="00320416">
        <w:rPr>
          <w:b/>
          <w:bCs/>
        </w:rPr>
        <w:instrText>-1","</w:instrText>
      </w:r>
      <w:r w:rsidR="009D170B">
        <w:rPr>
          <w:b/>
          <w:bCs/>
          <w:lang w:val="en-US"/>
        </w:rPr>
        <w:instrText>issue</w:instrText>
      </w:r>
      <w:r w:rsidR="009D170B" w:rsidRPr="00320416">
        <w:rPr>
          <w:b/>
          <w:bCs/>
        </w:rPr>
        <w:instrText>":"18_</w:instrText>
      </w:r>
      <w:r w:rsidR="009D170B">
        <w:rPr>
          <w:b/>
          <w:bCs/>
          <w:lang w:val="en-US"/>
        </w:rPr>
        <w:instrText>suppl</w:instrText>
      </w:r>
      <w:r w:rsidR="009D170B" w:rsidRPr="00320416">
        <w:rPr>
          <w:b/>
          <w:bCs/>
        </w:rPr>
        <w:instrText>","</w:instrText>
      </w:r>
      <w:r w:rsidR="009D170B">
        <w:rPr>
          <w:b/>
          <w:bCs/>
          <w:lang w:val="en-US"/>
        </w:rPr>
        <w:instrText>issued</w:instrText>
      </w:r>
      <w:r w:rsidR="009D170B" w:rsidRPr="00320416">
        <w:rPr>
          <w:b/>
          <w:bCs/>
        </w:rPr>
        <w:instrText>":{"</w:instrText>
      </w:r>
      <w:r w:rsidR="009D170B">
        <w:rPr>
          <w:b/>
          <w:bCs/>
          <w:lang w:val="en-US"/>
        </w:rPr>
        <w:instrText>date</w:instrText>
      </w:r>
      <w:r w:rsidR="009D170B" w:rsidRPr="00320416">
        <w:rPr>
          <w:b/>
          <w:bCs/>
        </w:rPr>
        <w:instrText>-</w:instrText>
      </w:r>
      <w:r w:rsidR="009D170B">
        <w:rPr>
          <w:b/>
          <w:bCs/>
          <w:lang w:val="en-US"/>
        </w:rPr>
        <w:instrText>parts</w:instrText>
      </w:r>
      <w:r w:rsidR="009D170B" w:rsidRPr="00320416">
        <w:rPr>
          <w:b/>
          <w:bCs/>
        </w:rPr>
        <w:instrText>":[["2006","6","20"]]},"</w:instrText>
      </w:r>
      <w:r w:rsidR="009D170B">
        <w:rPr>
          <w:b/>
          <w:bCs/>
          <w:lang w:val="en-US"/>
        </w:rPr>
        <w:instrText>page":"7577-7577","publisher":"American Society of Clinical Oncology","title":"Brief duration rituximab(R)/chemotherapy (CNOP or CVP) followed by maintenance rituximab in elderly/poor performance status patients (pts) with diffuse large B-cell lymphoma (DLBCL): A phase II trial of the Minnie Pearl Cancer Research Network","type":"article-journal","volume":"24"},"uris":["http://www.mendeley.com/documents/?uuid=76f4f06c-afe0-37d5-89e5-46625af51045"]}],"mendeley":{"formattedCitation":"[72]","plainTextFormattedCitation":"[72]","previouslyFormattedCitation":"[72]"},"properties":{"noteIndex":0},"schema":"https://github.com/citation-style-language/schema/raw/master/csl-citation.json"}</w:instrText>
      </w:r>
      <w:r w:rsidRPr="000322E4">
        <w:rPr>
          <w:b/>
          <w:bCs/>
          <w:lang w:val="en-US"/>
        </w:rPr>
        <w:fldChar w:fldCharType="separate"/>
      </w:r>
      <w:r w:rsidR="00095D58" w:rsidRPr="00095D58">
        <w:rPr>
          <w:bCs/>
          <w:noProof/>
        </w:rPr>
        <w:t>[72]</w:t>
      </w:r>
      <w:r w:rsidRPr="000322E4">
        <w:rPr>
          <w:b/>
          <w:bCs/>
          <w:lang w:val="en-US"/>
        </w:rPr>
        <w:fldChar w:fldCharType="end"/>
      </w:r>
    </w:p>
    <w:p w14:paraId="3A647476" w14:textId="2BCBE5DB" w:rsidR="00666D68" w:rsidRPr="000322E4" w:rsidRDefault="00666D68" w:rsidP="008E3584">
      <w:pPr>
        <w:numPr>
          <w:ilvl w:val="0"/>
          <w:numId w:val="39"/>
        </w:numPr>
        <w:spacing w:line="360" w:lineRule="auto"/>
        <w:jc w:val="both"/>
      </w:pPr>
      <w:r w:rsidRPr="000322E4">
        <w:t>Ритуксимаб</w:t>
      </w:r>
      <w:r w:rsidRPr="000322E4">
        <w:rPr>
          <w:bCs/>
        </w:rPr>
        <w:t>**</w:t>
      </w:r>
      <w:r w:rsidRPr="000322E4">
        <w:t xml:space="preserve"> </w:t>
      </w:r>
      <w:r w:rsidRPr="000322E4">
        <w:fldChar w:fldCharType="begin" w:fldLock="1"/>
      </w:r>
      <w:r w:rsidR="009D170B">
        <w:instrText>ADDIN CSL_CITATION {"citationItems":[{"id":"ITEM-1","itemData":{"DOI":"10.1007/s12325-017-0612-x","ISSN":"18658652","abstract":"Abstract: Rituximab is a human/murine, chimeric anti-CD20 monoclonal antibody with established efficacy, and a favorable and well-defined safety profile in patients with various CD20-expressing lymphoid malignancies, including indolent and aggressive forms of B-cell non-Hodgkin lymphoma. Since its first approval 20 years ago, intravenously administered rituximab has revolutionized the treatment of B-cell malignancies and has become a standard component of care for follicular lymphoma, diffuse large B-cell lymphoma, chronic lymphocytic leukemia, and mantle cell lymphoma. For all of these diseases, clinical trials have demonstrated that rituximab not only prolongs the time to disease progression but also extends overall survival. Efficacy benefits have also been shown in patients with marginal zone lymphoma and in more aggressive diseases such as Burkitt lymphoma. Although the proven clinical efficacy and success of rituximab has led to the development of other anti-CD20 monoclonal antibodies in recent years (e.g., obinutuzumab, ofatumumab, veltuzumab, and ocrelizumab), rituximab is likely to maintain a position within the therapeutic armamentarium because it is well established with a long history of successful clinical use. Furthermore, a subcutaneous formulation of the drug has been approved both in the EU and in the USA for the treatment of B-cell malignancies. Using the wealth of data published on rituximab during the last two decades, we review the preclinical development of rituximab and the clinical experience gained in the treatment of hematologic B-cell malignancies, with a focus on the well-established intravenous route of administration. This article is a companion paper to A. Davies, et al., which is also published in this issue. Funding: F. Hoffmann-La Roche Ltd., Basel, Switzerland.","author":[{"dropping-particle":"","family":"Salles","given":"Gilles","non-dropping-particle":"","parse-names":false,"suffix":""},{"dropping-particle":"","family":"Barrett","given":"Martin","non-dropping-particle":"","parse-names":false,"suffix":""},{"dropping-particle":"","family":"Foà","given":"Robin","non-dropping-particle":"","parse-names":false,"suffix":""},{"dropping-particle":"","family":"Maurer","given":"Joerg","non-dropping-particle":"","parse-names":false,"suffix":""},{"dropping-particle":"","family":"O’Brien","given":"Susan","non-dropping-particle":"","parse-names":false,"suffix":""},{"dropping-particle":"","family":"Valente","given":"Nancy","non-dropping-particle":"","parse-names":false,"suffix":""},{"dropping-particle":"","family":"Wenger","given":"Michael","non-dropping-particle":"","parse-names":false,"suffix":""},{"dropping-particle":"","family":"Maloney","given":"David G.","non-dropping-particle":"","parse-names":false,"suffix":""}],"container-title":"Advances in Therapy","id":"ITEM-1","issue":"10","issued":{"date-parts":[["2017"]]},"page":"2232-2273","title":"Rituximab in B-Cell Hematologic Malignancies: A Review of 20 Years of Clinical Experience","type":"article","volume":"34"},"uris":["http://www.mendeley.com/documents/?uuid=99572feb-1e31-3440-866b-d3d6fcf81668"]}],"mendeley":{"formattedCitation":"[71]","plainTextFormattedCitation":"[71]","previouslyFormattedCitation":"[71]"},"properties":{"noteIndex":0},"schema":"https://github.com/citation-style-language/schema/raw/master/csl-citation.json"}</w:instrText>
      </w:r>
      <w:r w:rsidRPr="000322E4">
        <w:fldChar w:fldCharType="separate"/>
      </w:r>
      <w:r w:rsidR="00095D58" w:rsidRPr="00095D58">
        <w:rPr>
          <w:noProof/>
        </w:rPr>
        <w:t>[71]</w:t>
      </w:r>
      <w:r w:rsidRPr="000322E4">
        <w:fldChar w:fldCharType="end"/>
      </w:r>
    </w:p>
    <w:p w14:paraId="3AD4AB5C" w14:textId="77777777" w:rsidR="00666D68" w:rsidRPr="000322E4" w:rsidRDefault="00666D68" w:rsidP="008E3584">
      <w:pPr>
        <w:numPr>
          <w:ilvl w:val="1"/>
          <w:numId w:val="39"/>
        </w:numPr>
        <w:spacing w:line="360" w:lineRule="auto"/>
        <w:jc w:val="both"/>
      </w:pPr>
      <w:r w:rsidRPr="000322E4">
        <w:t>375 мг/м</w:t>
      </w:r>
      <w:r w:rsidRPr="000322E4">
        <w:rPr>
          <w:vertAlign w:val="superscript"/>
        </w:rPr>
        <w:t>2</w:t>
      </w:r>
      <w:r w:rsidRPr="000322E4">
        <w:t xml:space="preserve"> в/в кап., день 0 или 1 все циклы курса</w:t>
      </w:r>
    </w:p>
    <w:p w14:paraId="0BBEAFC2" w14:textId="77777777" w:rsidR="00666D68" w:rsidRPr="000322E4" w:rsidRDefault="00666D68" w:rsidP="008E3584">
      <w:pPr>
        <w:spacing w:line="360" w:lineRule="auto"/>
        <w:ind w:left="1080" w:firstLine="336"/>
        <w:jc w:val="both"/>
      </w:pPr>
      <w:r w:rsidRPr="000322E4">
        <w:t>или</w:t>
      </w:r>
    </w:p>
    <w:p w14:paraId="2D6955F5" w14:textId="0C187E98" w:rsidR="00666D68" w:rsidRPr="00BC33D5" w:rsidRDefault="00666D68" w:rsidP="008E3584">
      <w:pPr>
        <w:pStyle w:val="afe"/>
        <w:numPr>
          <w:ilvl w:val="1"/>
          <w:numId w:val="39"/>
        </w:numPr>
        <w:contextualSpacing w:val="0"/>
        <w:rPr>
          <w:lang w:eastAsia="ru-RU"/>
        </w:rPr>
      </w:pPr>
      <w:r w:rsidRPr="000322E4">
        <w:rPr>
          <w:lang w:eastAsia="ru-RU"/>
        </w:rPr>
        <w:t>375 мг/м</w:t>
      </w:r>
      <w:r w:rsidRPr="000322E4">
        <w:rPr>
          <w:vertAlign w:val="superscript"/>
          <w:lang w:eastAsia="ru-RU"/>
        </w:rPr>
        <w:t>2</w:t>
      </w:r>
      <w:r w:rsidRPr="000322E4">
        <w:rPr>
          <w:lang w:eastAsia="ru-RU"/>
        </w:rPr>
        <w:t xml:space="preserve"> в/в кап. 1 цикл,</w:t>
      </w:r>
      <w:r w:rsidRPr="000322E4">
        <w:t xml:space="preserve"> далее ритуксимаб 1400 мг п/к,</w:t>
      </w:r>
      <w:r w:rsidRPr="000322E4">
        <w:rPr>
          <w:lang w:eastAsia="ru-RU"/>
        </w:rPr>
        <w:t xml:space="preserve"> день 0 или 1 </w:t>
      </w:r>
      <w:r w:rsidRPr="000322E4">
        <w:rPr>
          <w:lang w:val="en-US" w:eastAsia="ru-RU"/>
        </w:rPr>
        <w:fldChar w:fldCharType="begin" w:fldLock="1"/>
      </w:r>
      <w:r w:rsidR="00A6794A">
        <w:rPr>
          <w:lang w:val="en-US" w:eastAsia="ru-RU"/>
        </w:rPr>
        <w:instrText>ADDIN</w:instrText>
      </w:r>
      <w:r w:rsidR="00A6794A" w:rsidRPr="00AA43FB">
        <w:rPr>
          <w:lang w:eastAsia="ru-RU"/>
        </w:rPr>
        <w:instrText xml:space="preserve"> </w:instrText>
      </w:r>
      <w:r w:rsidR="00A6794A">
        <w:rPr>
          <w:lang w:val="en-US" w:eastAsia="ru-RU"/>
        </w:rPr>
        <w:instrText>CSL</w:instrText>
      </w:r>
      <w:r w:rsidR="00A6794A" w:rsidRPr="00AA43FB">
        <w:rPr>
          <w:lang w:eastAsia="ru-RU"/>
        </w:rPr>
        <w:instrText>_</w:instrText>
      </w:r>
      <w:r w:rsidR="00A6794A">
        <w:rPr>
          <w:lang w:val="en-US" w:eastAsia="ru-RU"/>
        </w:rPr>
        <w:instrText>CITATION</w:instrText>
      </w:r>
      <w:r w:rsidR="00A6794A" w:rsidRPr="00AA43FB">
        <w:rPr>
          <w:lang w:eastAsia="ru-RU"/>
        </w:rPr>
        <w:instrText xml:space="preserve"> {"</w:instrText>
      </w:r>
      <w:r w:rsidR="00A6794A">
        <w:rPr>
          <w:lang w:val="en-US" w:eastAsia="ru-RU"/>
        </w:rPr>
        <w:instrText>citationItems</w:instrText>
      </w:r>
      <w:r w:rsidR="00A6794A" w:rsidRPr="00AA43FB">
        <w:rPr>
          <w:lang w:eastAsia="ru-RU"/>
        </w:rPr>
        <w:instrText>":[{"</w:instrText>
      </w:r>
      <w:r w:rsidR="00A6794A">
        <w:rPr>
          <w:lang w:val="en-US" w:eastAsia="ru-RU"/>
        </w:rPr>
        <w:instrText>id</w:instrText>
      </w:r>
      <w:r w:rsidR="00A6794A" w:rsidRPr="00AA43FB">
        <w:rPr>
          <w:lang w:eastAsia="ru-RU"/>
        </w:rPr>
        <w:instrText>":"</w:instrText>
      </w:r>
      <w:r w:rsidR="00A6794A">
        <w:rPr>
          <w:lang w:val="en-US" w:eastAsia="ru-RU"/>
        </w:rPr>
        <w:instrText>ITEM</w:instrText>
      </w:r>
      <w:r w:rsidR="00A6794A" w:rsidRPr="00AA43FB">
        <w:rPr>
          <w:lang w:eastAsia="ru-RU"/>
        </w:rPr>
        <w:instrText>-1","</w:instrText>
      </w:r>
      <w:r w:rsidR="00A6794A">
        <w:rPr>
          <w:lang w:val="en-US" w:eastAsia="ru-RU"/>
        </w:rPr>
        <w:instrText>itemData</w:instrText>
      </w:r>
      <w:r w:rsidR="00A6794A" w:rsidRPr="00AA43FB">
        <w:rPr>
          <w:lang w:eastAsia="ru-RU"/>
        </w:rPr>
        <w:instrText>":{"</w:instrText>
      </w:r>
      <w:r w:rsidR="00A6794A">
        <w:rPr>
          <w:lang w:val="en-US" w:eastAsia="ru-RU"/>
        </w:rPr>
        <w:instrText>ISSN</w:instrText>
      </w:r>
      <w:r w:rsidR="00A6794A" w:rsidRPr="00AA43FB">
        <w:rPr>
          <w:lang w:eastAsia="ru-RU"/>
        </w:rPr>
        <w:instrText>":"2150-0878","</w:instrText>
      </w:r>
      <w:r w:rsidR="00A6794A">
        <w:rPr>
          <w:lang w:val="en-US" w:eastAsia="ru-RU"/>
        </w:rPr>
        <w:instrText>PMID</w:instrText>
      </w:r>
      <w:r w:rsidR="00A6794A" w:rsidRPr="00AA43FB">
        <w:rPr>
          <w:lang w:eastAsia="ru-RU"/>
        </w:rPr>
        <w:instrText>":"31086689","</w:instrText>
      </w:r>
      <w:r w:rsidR="00A6794A">
        <w:rPr>
          <w:lang w:val="en-US" w:eastAsia="ru-RU"/>
        </w:rPr>
        <w:instrText>abstract</w:instrText>
      </w:r>
      <w:r w:rsidR="00A6794A" w:rsidRPr="00AA43FB">
        <w:rPr>
          <w:lang w:eastAsia="ru-RU"/>
        </w:rPr>
        <w:instrText>":"</w:instrText>
      </w:r>
      <w:r w:rsidR="00A6794A">
        <w:rPr>
          <w:lang w:val="en-US" w:eastAsia="ru-RU"/>
        </w:rPr>
        <w:instrText>Rituximab</w:instrText>
      </w:r>
      <w:r w:rsidR="00A6794A" w:rsidRPr="00AA43FB">
        <w:rPr>
          <w:lang w:eastAsia="ru-RU"/>
        </w:rPr>
        <w:instrText xml:space="preserve"> </w:instrText>
      </w:r>
      <w:r w:rsidR="00A6794A">
        <w:rPr>
          <w:lang w:val="en-US" w:eastAsia="ru-RU"/>
        </w:rPr>
        <w:instrText>and</w:instrText>
      </w:r>
      <w:r w:rsidR="00A6794A" w:rsidRPr="00AA43FB">
        <w:rPr>
          <w:lang w:eastAsia="ru-RU"/>
        </w:rPr>
        <w:instrText xml:space="preserve"> </w:instrText>
      </w:r>
      <w:r w:rsidR="00A6794A">
        <w:rPr>
          <w:lang w:val="en-US" w:eastAsia="ru-RU"/>
        </w:rPr>
        <w:instrText>hyaluronidase</w:instrText>
      </w:r>
      <w:r w:rsidR="00A6794A" w:rsidRPr="00AA43FB">
        <w:rPr>
          <w:lang w:eastAsia="ru-RU"/>
        </w:rPr>
        <w:instrText xml:space="preserve"> </w:instrText>
      </w:r>
      <w:r w:rsidR="00A6794A">
        <w:rPr>
          <w:lang w:val="en-US" w:eastAsia="ru-RU"/>
        </w:rPr>
        <w:instrText>human</w:instrText>
      </w:r>
      <w:r w:rsidR="00A6794A" w:rsidRPr="00AA43FB">
        <w:rPr>
          <w:lang w:eastAsia="ru-RU"/>
        </w:rPr>
        <w:instrText xml:space="preserve"> </w:instrText>
      </w:r>
      <w:r w:rsidR="00A6794A">
        <w:rPr>
          <w:lang w:val="en-US" w:eastAsia="ru-RU"/>
        </w:rPr>
        <w:instrText>is</w:instrText>
      </w:r>
      <w:r w:rsidR="00A6794A" w:rsidRPr="00AA43FB">
        <w:rPr>
          <w:lang w:eastAsia="ru-RU"/>
        </w:rPr>
        <w:instrText xml:space="preserve"> </w:instrText>
      </w:r>
      <w:r w:rsidR="00A6794A">
        <w:rPr>
          <w:lang w:val="en-US" w:eastAsia="ru-RU"/>
        </w:rPr>
        <w:instrText>a</w:instrText>
      </w:r>
      <w:r w:rsidR="00A6794A" w:rsidRPr="00AA43FB">
        <w:rPr>
          <w:lang w:eastAsia="ru-RU"/>
        </w:rPr>
        <w:instrText xml:space="preserve"> </w:instrText>
      </w:r>
      <w:r w:rsidR="00A6794A">
        <w:rPr>
          <w:lang w:val="en-US" w:eastAsia="ru-RU"/>
        </w:rPr>
        <w:instrText>new</w:instrText>
      </w:r>
      <w:r w:rsidR="00A6794A" w:rsidRPr="00AA43FB">
        <w:rPr>
          <w:lang w:eastAsia="ru-RU"/>
        </w:rPr>
        <w:instrText xml:space="preserve"> </w:instrText>
      </w:r>
      <w:r w:rsidR="00A6794A">
        <w:rPr>
          <w:lang w:val="en-US" w:eastAsia="ru-RU"/>
        </w:rPr>
        <w:instrText>subcutaneous</w:instrText>
      </w:r>
      <w:r w:rsidR="00A6794A" w:rsidRPr="00AA43FB">
        <w:rPr>
          <w:lang w:eastAsia="ru-RU"/>
        </w:rPr>
        <w:instrText xml:space="preserve"> </w:instrText>
      </w:r>
      <w:r w:rsidR="00A6794A">
        <w:rPr>
          <w:lang w:val="en-US" w:eastAsia="ru-RU"/>
        </w:rPr>
        <w:instrText>formulation</w:instrText>
      </w:r>
      <w:r w:rsidR="00A6794A" w:rsidRPr="00AA43FB">
        <w:rPr>
          <w:lang w:eastAsia="ru-RU"/>
        </w:rPr>
        <w:instrText xml:space="preserve"> </w:instrText>
      </w:r>
      <w:r w:rsidR="00A6794A">
        <w:rPr>
          <w:lang w:val="en-US" w:eastAsia="ru-RU"/>
        </w:rPr>
        <w:instrText>of</w:instrText>
      </w:r>
      <w:r w:rsidR="00A6794A" w:rsidRPr="00AA43FB">
        <w:rPr>
          <w:lang w:eastAsia="ru-RU"/>
        </w:rPr>
        <w:instrText xml:space="preserve"> </w:instrText>
      </w:r>
      <w:r w:rsidR="00A6794A">
        <w:rPr>
          <w:lang w:val="en-US" w:eastAsia="ru-RU"/>
        </w:rPr>
        <w:instrText>rituximab</w:instrText>
      </w:r>
      <w:r w:rsidR="00A6794A" w:rsidRPr="00AA43FB">
        <w:rPr>
          <w:lang w:eastAsia="ru-RU"/>
        </w:rPr>
        <w:instrText xml:space="preserve"> </w:instrText>
      </w:r>
      <w:r w:rsidR="00A6794A">
        <w:rPr>
          <w:lang w:val="en-US" w:eastAsia="ru-RU"/>
        </w:rPr>
        <w:instrText>that</w:instrText>
      </w:r>
      <w:r w:rsidR="00A6794A" w:rsidRPr="00AA43FB">
        <w:rPr>
          <w:lang w:eastAsia="ru-RU"/>
        </w:rPr>
        <w:instrText xml:space="preserve"> </w:instrText>
      </w:r>
      <w:r w:rsidR="00A6794A">
        <w:rPr>
          <w:lang w:val="en-US" w:eastAsia="ru-RU"/>
        </w:rPr>
        <w:instrText>was</w:instrText>
      </w:r>
      <w:r w:rsidR="00A6794A" w:rsidRPr="00AA43FB">
        <w:rPr>
          <w:lang w:eastAsia="ru-RU"/>
        </w:rPr>
        <w:instrText xml:space="preserve"> </w:instrText>
      </w:r>
      <w:r w:rsidR="00A6794A">
        <w:rPr>
          <w:lang w:val="en-US" w:eastAsia="ru-RU"/>
        </w:rPr>
        <w:instrText>recently</w:instrText>
      </w:r>
      <w:r w:rsidR="00A6794A" w:rsidRPr="00AA43FB">
        <w:rPr>
          <w:lang w:eastAsia="ru-RU"/>
        </w:rPr>
        <w:instrText xml:space="preserve"> </w:instrText>
      </w:r>
      <w:r w:rsidR="00A6794A">
        <w:rPr>
          <w:lang w:val="en-US" w:eastAsia="ru-RU"/>
        </w:rPr>
        <w:instrText>approved</w:instrText>
      </w:r>
      <w:r w:rsidR="00A6794A" w:rsidRPr="00AA43FB">
        <w:rPr>
          <w:lang w:eastAsia="ru-RU"/>
        </w:rPr>
        <w:instrText xml:space="preserve"> </w:instrText>
      </w:r>
      <w:r w:rsidR="00A6794A">
        <w:rPr>
          <w:lang w:val="en-US" w:eastAsia="ru-RU"/>
        </w:rPr>
        <w:instrText>by</w:instrText>
      </w:r>
      <w:r w:rsidR="00A6794A" w:rsidRPr="00AA43FB">
        <w:rPr>
          <w:lang w:eastAsia="ru-RU"/>
        </w:rPr>
        <w:instrText xml:space="preserve"> </w:instrText>
      </w:r>
      <w:r w:rsidR="00A6794A">
        <w:rPr>
          <w:lang w:val="en-US" w:eastAsia="ru-RU"/>
        </w:rPr>
        <w:instrText>the</w:instrText>
      </w:r>
      <w:r w:rsidR="00A6794A" w:rsidRPr="00AA43FB">
        <w:rPr>
          <w:lang w:eastAsia="ru-RU"/>
        </w:rPr>
        <w:instrText xml:space="preserve"> </w:instrText>
      </w:r>
      <w:r w:rsidR="00A6794A">
        <w:rPr>
          <w:lang w:val="en-US" w:eastAsia="ru-RU"/>
        </w:rPr>
        <w:instrText>US</w:instrText>
      </w:r>
      <w:r w:rsidR="00A6794A" w:rsidRPr="00AA43FB">
        <w:rPr>
          <w:lang w:eastAsia="ru-RU"/>
        </w:rPr>
        <w:instrText xml:space="preserve"> </w:instrText>
      </w:r>
      <w:r w:rsidR="00A6794A">
        <w:rPr>
          <w:lang w:val="en-US" w:eastAsia="ru-RU"/>
        </w:rPr>
        <w:instrText>Food</w:instrText>
      </w:r>
      <w:r w:rsidR="00A6794A" w:rsidRPr="00AA43FB">
        <w:rPr>
          <w:lang w:eastAsia="ru-RU"/>
        </w:rPr>
        <w:instrText xml:space="preserve"> </w:instrText>
      </w:r>
      <w:r w:rsidR="00A6794A">
        <w:rPr>
          <w:lang w:val="en-US" w:eastAsia="ru-RU"/>
        </w:rPr>
        <w:instrText>and</w:instrText>
      </w:r>
      <w:r w:rsidR="00A6794A" w:rsidRPr="00AA43FB">
        <w:rPr>
          <w:lang w:eastAsia="ru-RU"/>
        </w:rPr>
        <w:instrText xml:space="preserve"> </w:instrText>
      </w:r>
      <w:r w:rsidR="00A6794A">
        <w:rPr>
          <w:lang w:val="en-US" w:eastAsia="ru-RU"/>
        </w:rPr>
        <w:instrText>Drug</w:instrText>
      </w:r>
      <w:r w:rsidR="00A6794A" w:rsidRPr="00AA43FB">
        <w:rPr>
          <w:lang w:eastAsia="ru-RU"/>
        </w:rPr>
        <w:instrText xml:space="preserve"> </w:instrText>
      </w:r>
      <w:r w:rsidR="00A6794A">
        <w:rPr>
          <w:lang w:val="en-US" w:eastAsia="ru-RU"/>
        </w:rPr>
        <w:instrText>Administration</w:instrText>
      </w:r>
      <w:r w:rsidR="00A6794A" w:rsidRPr="00AA43FB">
        <w:rPr>
          <w:lang w:eastAsia="ru-RU"/>
        </w:rPr>
        <w:instrText xml:space="preserve"> </w:instrText>
      </w:r>
      <w:r w:rsidR="00A6794A">
        <w:rPr>
          <w:lang w:val="en-US" w:eastAsia="ru-RU"/>
        </w:rPr>
        <w:instrText>for</w:instrText>
      </w:r>
      <w:r w:rsidR="00A6794A" w:rsidRPr="00AA43FB">
        <w:rPr>
          <w:lang w:eastAsia="ru-RU"/>
        </w:rPr>
        <w:instrText xml:space="preserve"> </w:instrText>
      </w:r>
      <w:r w:rsidR="00A6794A">
        <w:rPr>
          <w:lang w:val="en-US" w:eastAsia="ru-RU"/>
        </w:rPr>
        <w:instrText>the</w:instrText>
      </w:r>
      <w:r w:rsidR="00A6794A" w:rsidRPr="00AA43FB">
        <w:rPr>
          <w:lang w:eastAsia="ru-RU"/>
        </w:rPr>
        <w:instrText xml:space="preserve"> </w:instrText>
      </w:r>
      <w:r w:rsidR="00A6794A">
        <w:rPr>
          <w:lang w:val="en-US" w:eastAsia="ru-RU"/>
        </w:rPr>
        <w:instrText>treatment</w:instrText>
      </w:r>
      <w:r w:rsidR="00A6794A" w:rsidRPr="00AA43FB">
        <w:rPr>
          <w:lang w:eastAsia="ru-RU"/>
        </w:rPr>
        <w:instrText xml:space="preserve"> </w:instrText>
      </w:r>
      <w:r w:rsidR="00A6794A">
        <w:rPr>
          <w:lang w:val="en-US" w:eastAsia="ru-RU"/>
        </w:rPr>
        <w:instrText>of</w:instrText>
      </w:r>
      <w:r w:rsidR="00A6794A" w:rsidRPr="00AA43FB">
        <w:rPr>
          <w:lang w:eastAsia="ru-RU"/>
        </w:rPr>
        <w:instrText xml:space="preserve"> </w:instrText>
      </w:r>
      <w:r w:rsidR="00A6794A">
        <w:rPr>
          <w:lang w:val="en-US" w:eastAsia="ru-RU"/>
        </w:rPr>
        <w:instrText>adults</w:instrText>
      </w:r>
      <w:r w:rsidR="00A6794A" w:rsidRPr="00AA43FB">
        <w:rPr>
          <w:lang w:eastAsia="ru-RU"/>
        </w:rPr>
        <w:instrText xml:space="preserve"> </w:instrText>
      </w:r>
      <w:r w:rsidR="00A6794A">
        <w:rPr>
          <w:lang w:val="en-US" w:eastAsia="ru-RU"/>
        </w:rPr>
        <w:instrText>with</w:instrText>
      </w:r>
      <w:r w:rsidR="00A6794A" w:rsidRPr="00AA43FB">
        <w:rPr>
          <w:lang w:eastAsia="ru-RU"/>
        </w:rPr>
        <w:instrText xml:space="preserve"> </w:instrText>
      </w:r>
      <w:r w:rsidR="00A6794A">
        <w:rPr>
          <w:lang w:val="en-US" w:eastAsia="ru-RU"/>
        </w:rPr>
        <w:instrText>follicular</w:instrText>
      </w:r>
      <w:r w:rsidR="00A6794A" w:rsidRPr="00AA43FB">
        <w:rPr>
          <w:lang w:eastAsia="ru-RU"/>
        </w:rPr>
        <w:instrText xml:space="preserve"> </w:instrText>
      </w:r>
      <w:r w:rsidR="00A6794A">
        <w:rPr>
          <w:lang w:val="en-US" w:eastAsia="ru-RU"/>
        </w:rPr>
        <w:instrText>lymphoma</w:instrText>
      </w:r>
      <w:r w:rsidR="00A6794A" w:rsidRPr="00AA43FB">
        <w:rPr>
          <w:lang w:eastAsia="ru-RU"/>
        </w:rPr>
        <w:instrText xml:space="preserve">, </w:instrText>
      </w:r>
      <w:r w:rsidR="00A6794A">
        <w:rPr>
          <w:lang w:val="en-US" w:eastAsia="ru-RU"/>
        </w:rPr>
        <w:instrText>diffuse</w:instrText>
      </w:r>
      <w:r w:rsidR="00A6794A" w:rsidRPr="00AA43FB">
        <w:rPr>
          <w:lang w:eastAsia="ru-RU"/>
        </w:rPr>
        <w:instrText xml:space="preserve"> </w:instrText>
      </w:r>
      <w:r w:rsidR="00A6794A">
        <w:rPr>
          <w:lang w:val="en-US" w:eastAsia="ru-RU"/>
        </w:rPr>
        <w:instrText>large</w:instrText>
      </w:r>
      <w:r w:rsidR="00A6794A" w:rsidRPr="00AA43FB">
        <w:rPr>
          <w:lang w:eastAsia="ru-RU"/>
        </w:rPr>
        <w:instrText xml:space="preserve"> </w:instrText>
      </w:r>
      <w:r w:rsidR="00A6794A">
        <w:rPr>
          <w:lang w:val="en-US" w:eastAsia="ru-RU"/>
        </w:rPr>
        <w:instrText>B</w:instrText>
      </w:r>
      <w:r w:rsidR="00A6794A" w:rsidRPr="00AA43FB">
        <w:rPr>
          <w:lang w:eastAsia="ru-RU"/>
        </w:rPr>
        <w:instrText>-</w:instrText>
      </w:r>
      <w:r w:rsidR="00A6794A">
        <w:rPr>
          <w:lang w:val="en-US" w:eastAsia="ru-RU"/>
        </w:rPr>
        <w:instrText>cell</w:instrText>
      </w:r>
      <w:r w:rsidR="00A6794A" w:rsidRPr="00AA43FB">
        <w:rPr>
          <w:lang w:eastAsia="ru-RU"/>
        </w:rPr>
        <w:instrText xml:space="preserve"> </w:instrText>
      </w:r>
      <w:r w:rsidR="00A6794A">
        <w:rPr>
          <w:lang w:val="en-US" w:eastAsia="ru-RU"/>
        </w:rPr>
        <w:instrText>lymphoma</w:instrText>
      </w:r>
      <w:r w:rsidR="00A6794A" w:rsidRPr="00AA43FB">
        <w:rPr>
          <w:lang w:eastAsia="ru-RU"/>
        </w:rPr>
        <w:instrText xml:space="preserve">, </w:instrText>
      </w:r>
      <w:r w:rsidR="00A6794A">
        <w:rPr>
          <w:lang w:val="en-US" w:eastAsia="ru-RU"/>
        </w:rPr>
        <w:instrText>and</w:instrText>
      </w:r>
      <w:r w:rsidR="00A6794A" w:rsidRPr="00AA43FB">
        <w:rPr>
          <w:lang w:eastAsia="ru-RU"/>
        </w:rPr>
        <w:instrText xml:space="preserve"> </w:instrText>
      </w:r>
      <w:r w:rsidR="00A6794A">
        <w:rPr>
          <w:lang w:val="en-US" w:eastAsia="ru-RU"/>
        </w:rPr>
        <w:instrText>chronic</w:instrText>
      </w:r>
      <w:r w:rsidR="00A6794A" w:rsidRPr="00AA43FB">
        <w:rPr>
          <w:lang w:eastAsia="ru-RU"/>
        </w:rPr>
        <w:instrText xml:space="preserve"> </w:instrText>
      </w:r>
      <w:r w:rsidR="00A6794A">
        <w:rPr>
          <w:lang w:val="en-US" w:eastAsia="ru-RU"/>
        </w:rPr>
        <w:instrText>lymphocytic</w:instrText>
      </w:r>
      <w:r w:rsidR="00A6794A" w:rsidRPr="00AA43FB">
        <w:rPr>
          <w:lang w:eastAsia="ru-RU"/>
        </w:rPr>
        <w:instrText xml:space="preserve"> </w:instrText>
      </w:r>
      <w:r w:rsidR="00A6794A">
        <w:rPr>
          <w:lang w:val="en-US" w:eastAsia="ru-RU"/>
        </w:rPr>
        <w:instrText>leukemia</w:instrText>
      </w:r>
      <w:r w:rsidR="00A6794A" w:rsidRPr="00AA43FB">
        <w:rPr>
          <w:lang w:eastAsia="ru-RU"/>
        </w:rPr>
        <w:instrText xml:space="preserve">. </w:instrText>
      </w:r>
      <w:r w:rsidR="00A6794A">
        <w:rPr>
          <w:lang w:val="en-US" w:eastAsia="ru-RU"/>
        </w:rPr>
        <w:instrText>With</w:instrText>
      </w:r>
      <w:r w:rsidR="00A6794A" w:rsidRPr="00AA43FB">
        <w:rPr>
          <w:lang w:eastAsia="ru-RU"/>
        </w:rPr>
        <w:instrText xml:space="preserve"> </w:instrText>
      </w:r>
      <w:r w:rsidR="00A6794A">
        <w:rPr>
          <w:lang w:val="en-US" w:eastAsia="ru-RU"/>
        </w:rPr>
        <w:instrText>data</w:instrText>
      </w:r>
      <w:r w:rsidR="00A6794A" w:rsidRPr="00AA43FB">
        <w:rPr>
          <w:lang w:eastAsia="ru-RU"/>
        </w:rPr>
        <w:instrText xml:space="preserve"> </w:instrText>
      </w:r>
      <w:r w:rsidR="00A6794A">
        <w:rPr>
          <w:lang w:val="en-US" w:eastAsia="ru-RU"/>
        </w:rPr>
        <w:instrText>to</w:instrText>
      </w:r>
      <w:r w:rsidR="00A6794A" w:rsidRPr="00AA43FB">
        <w:rPr>
          <w:lang w:eastAsia="ru-RU"/>
        </w:rPr>
        <w:instrText xml:space="preserve"> </w:instrText>
      </w:r>
      <w:r w:rsidR="00A6794A">
        <w:rPr>
          <w:lang w:val="en-US" w:eastAsia="ru-RU"/>
        </w:rPr>
        <w:instrText>support</w:instrText>
      </w:r>
      <w:r w:rsidR="00A6794A" w:rsidRPr="00AA43FB">
        <w:rPr>
          <w:lang w:eastAsia="ru-RU"/>
        </w:rPr>
        <w:instrText xml:space="preserve"> </w:instrText>
      </w:r>
      <w:r w:rsidR="00A6794A">
        <w:rPr>
          <w:lang w:val="en-US" w:eastAsia="ru-RU"/>
        </w:rPr>
        <w:instrText>noninferior</w:instrText>
      </w:r>
      <w:r w:rsidR="00A6794A" w:rsidRPr="00AA43FB">
        <w:rPr>
          <w:lang w:eastAsia="ru-RU"/>
        </w:rPr>
        <w:instrText xml:space="preserve"> </w:instrText>
      </w:r>
      <w:r w:rsidR="00A6794A">
        <w:rPr>
          <w:lang w:val="en-US" w:eastAsia="ru-RU"/>
        </w:rPr>
        <w:instrText>pharmacokinetics</w:instrText>
      </w:r>
      <w:r w:rsidR="00A6794A" w:rsidRPr="00AA43FB">
        <w:rPr>
          <w:lang w:eastAsia="ru-RU"/>
        </w:rPr>
        <w:instrText xml:space="preserve">, </w:instrText>
      </w:r>
      <w:r w:rsidR="00A6794A">
        <w:rPr>
          <w:lang w:val="en-US" w:eastAsia="ru-RU"/>
        </w:rPr>
        <w:instrText>similar</w:instrText>
      </w:r>
      <w:r w:rsidR="00A6794A" w:rsidRPr="00AA43FB">
        <w:rPr>
          <w:lang w:eastAsia="ru-RU"/>
        </w:rPr>
        <w:instrText xml:space="preserve"> </w:instrText>
      </w:r>
      <w:r w:rsidR="00A6794A">
        <w:rPr>
          <w:lang w:val="en-US" w:eastAsia="ru-RU"/>
        </w:rPr>
        <w:instrText>outcomes</w:instrText>
      </w:r>
      <w:r w:rsidR="00A6794A" w:rsidRPr="00AA43FB">
        <w:rPr>
          <w:lang w:eastAsia="ru-RU"/>
        </w:rPr>
        <w:instrText xml:space="preserve">, </w:instrText>
      </w:r>
      <w:r w:rsidR="00A6794A">
        <w:rPr>
          <w:lang w:val="en-US" w:eastAsia="ru-RU"/>
        </w:rPr>
        <w:instrText>and</w:instrText>
      </w:r>
      <w:r w:rsidR="00A6794A" w:rsidRPr="00AA43FB">
        <w:rPr>
          <w:lang w:eastAsia="ru-RU"/>
        </w:rPr>
        <w:instrText xml:space="preserve"> </w:instrText>
      </w:r>
      <w:r w:rsidR="00A6794A">
        <w:rPr>
          <w:lang w:val="en-US" w:eastAsia="ru-RU"/>
        </w:rPr>
        <w:instrText>comparable</w:instrText>
      </w:r>
      <w:r w:rsidR="00A6794A" w:rsidRPr="00AA43FB">
        <w:rPr>
          <w:lang w:eastAsia="ru-RU"/>
        </w:rPr>
        <w:instrText xml:space="preserve"> </w:instrText>
      </w:r>
      <w:r w:rsidR="00A6794A">
        <w:rPr>
          <w:lang w:val="en-US" w:eastAsia="ru-RU"/>
        </w:rPr>
        <w:instrText>adverse</w:instrText>
      </w:r>
      <w:r w:rsidR="00A6794A" w:rsidRPr="00AA43FB">
        <w:rPr>
          <w:lang w:eastAsia="ru-RU"/>
        </w:rPr>
        <w:instrText xml:space="preserve"> </w:instrText>
      </w:r>
      <w:r w:rsidR="00A6794A">
        <w:rPr>
          <w:lang w:val="en-US" w:eastAsia="ru-RU"/>
        </w:rPr>
        <w:instrText>events</w:instrText>
      </w:r>
      <w:r w:rsidR="00A6794A" w:rsidRPr="00AA43FB">
        <w:rPr>
          <w:lang w:eastAsia="ru-RU"/>
        </w:rPr>
        <w:instrText xml:space="preserve">, </w:instrText>
      </w:r>
      <w:r w:rsidR="00A6794A">
        <w:rPr>
          <w:lang w:val="en-US" w:eastAsia="ru-RU"/>
        </w:rPr>
        <w:instrText>rituximab</w:instrText>
      </w:r>
      <w:r w:rsidR="00A6794A" w:rsidRPr="00AA43FB">
        <w:rPr>
          <w:lang w:eastAsia="ru-RU"/>
        </w:rPr>
        <w:instrText xml:space="preserve"> </w:instrText>
      </w:r>
      <w:r w:rsidR="00A6794A">
        <w:rPr>
          <w:lang w:val="en-US" w:eastAsia="ru-RU"/>
        </w:rPr>
        <w:instrText>and</w:instrText>
      </w:r>
      <w:r w:rsidR="00A6794A" w:rsidRPr="00AA43FB">
        <w:rPr>
          <w:lang w:eastAsia="ru-RU"/>
        </w:rPr>
        <w:instrText xml:space="preserve"> </w:instrText>
      </w:r>
      <w:r w:rsidR="00A6794A">
        <w:rPr>
          <w:lang w:val="en-US" w:eastAsia="ru-RU"/>
        </w:rPr>
        <w:instrText>hyaluronidase</w:instrText>
      </w:r>
      <w:r w:rsidR="00A6794A" w:rsidRPr="00AA43FB">
        <w:rPr>
          <w:lang w:eastAsia="ru-RU"/>
        </w:rPr>
        <w:instrText xml:space="preserve"> </w:instrText>
      </w:r>
      <w:r w:rsidR="00A6794A">
        <w:rPr>
          <w:lang w:val="en-US" w:eastAsia="ru-RU"/>
        </w:rPr>
        <w:instrText>human</w:instrText>
      </w:r>
      <w:r w:rsidR="00A6794A" w:rsidRPr="00AA43FB">
        <w:rPr>
          <w:lang w:eastAsia="ru-RU"/>
        </w:rPr>
        <w:instrText xml:space="preserve"> </w:instrText>
      </w:r>
      <w:r w:rsidR="00A6794A">
        <w:rPr>
          <w:lang w:val="en-US" w:eastAsia="ru-RU"/>
        </w:rPr>
        <w:instrText>may</w:instrText>
      </w:r>
      <w:r w:rsidR="00A6794A" w:rsidRPr="00AA43FB">
        <w:rPr>
          <w:lang w:eastAsia="ru-RU"/>
        </w:rPr>
        <w:instrText xml:space="preserve"> </w:instrText>
      </w:r>
      <w:r w:rsidR="00A6794A">
        <w:rPr>
          <w:lang w:val="en-US" w:eastAsia="ru-RU"/>
        </w:rPr>
        <w:instrText>offer</w:instrText>
      </w:r>
      <w:r w:rsidR="00A6794A" w:rsidRPr="00AA43FB">
        <w:rPr>
          <w:lang w:eastAsia="ru-RU"/>
        </w:rPr>
        <w:instrText xml:space="preserve"> </w:instrText>
      </w:r>
      <w:r w:rsidR="00A6794A">
        <w:rPr>
          <w:lang w:val="en-US" w:eastAsia="ru-RU"/>
        </w:rPr>
        <w:instrText>a</w:instrText>
      </w:r>
      <w:r w:rsidR="00A6794A" w:rsidRPr="00AA43FB">
        <w:rPr>
          <w:lang w:eastAsia="ru-RU"/>
        </w:rPr>
        <w:instrText xml:space="preserve"> </w:instrText>
      </w:r>
      <w:r w:rsidR="00A6794A">
        <w:rPr>
          <w:lang w:val="en-US" w:eastAsia="ru-RU"/>
        </w:rPr>
        <w:instrText>suitable</w:instrText>
      </w:r>
      <w:r w:rsidR="00A6794A" w:rsidRPr="00AA43FB">
        <w:rPr>
          <w:lang w:eastAsia="ru-RU"/>
        </w:rPr>
        <w:instrText xml:space="preserve"> </w:instrText>
      </w:r>
      <w:r w:rsidR="00A6794A">
        <w:rPr>
          <w:lang w:val="en-US" w:eastAsia="ru-RU"/>
        </w:rPr>
        <w:instrText>alternative</w:instrText>
      </w:r>
      <w:r w:rsidR="00A6794A" w:rsidRPr="00AA43FB">
        <w:rPr>
          <w:lang w:eastAsia="ru-RU"/>
        </w:rPr>
        <w:instrText xml:space="preserve"> </w:instrText>
      </w:r>
      <w:r w:rsidR="00A6794A">
        <w:rPr>
          <w:lang w:val="en-US" w:eastAsia="ru-RU"/>
        </w:rPr>
        <w:instrText>to</w:instrText>
      </w:r>
      <w:r w:rsidR="00A6794A" w:rsidRPr="00AA43FB">
        <w:rPr>
          <w:lang w:eastAsia="ru-RU"/>
        </w:rPr>
        <w:instrText xml:space="preserve"> </w:instrText>
      </w:r>
      <w:r w:rsidR="00A6794A">
        <w:rPr>
          <w:lang w:val="en-US" w:eastAsia="ru-RU"/>
        </w:rPr>
        <w:instrText>intravenous</w:instrText>
      </w:r>
      <w:r w:rsidR="00A6794A" w:rsidRPr="00AA43FB">
        <w:rPr>
          <w:lang w:eastAsia="ru-RU"/>
        </w:rPr>
        <w:instrText xml:space="preserve"> </w:instrText>
      </w:r>
      <w:r w:rsidR="00A6794A">
        <w:rPr>
          <w:lang w:val="en-US" w:eastAsia="ru-RU"/>
        </w:rPr>
        <w:instrText>rituximab</w:instrText>
      </w:r>
      <w:r w:rsidR="00A6794A" w:rsidRPr="00AA43FB">
        <w:rPr>
          <w:lang w:eastAsia="ru-RU"/>
        </w:rPr>
        <w:instrText xml:space="preserve"> </w:instrText>
      </w:r>
      <w:r w:rsidR="00A6794A">
        <w:rPr>
          <w:lang w:val="en-US" w:eastAsia="ru-RU"/>
        </w:rPr>
        <w:instrText>that</w:instrText>
      </w:r>
      <w:r w:rsidR="00A6794A" w:rsidRPr="00AA43FB">
        <w:rPr>
          <w:lang w:eastAsia="ru-RU"/>
        </w:rPr>
        <w:instrText xml:space="preserve"> </w:instrText>
      </w:r>
      <w:r w:rsidR="00A6794A">
        <w:rPr>
          <w:lang w:val="en-US" w:eastAsia="ru-RU"/>
        </w:rPr>
        <w:instrText>could</w:instrText>
      </w:r>
      <w:r w:rsidR="00A6794A" w:rsidRPr="00AA43FB">
        <w:rPr>
          <w:lang w:eastAsia="ru-RU"/>
        </w:rPr>
        <w:instrText xml:space="preserve"> </w:instrText>
      </w:r>
      <w:r w:rsidR="00A6794A">
        <w:rPr>
          <w:lang w:val="en-US" w:eastAsia="ru-RU"/>
        </w:rPr>
        <w:instrText>improve</w:instrText>
      </w:r>
      <w:r w:rsidR="00A6794A" w:rsidRPr="00AA43FB">
        <w:rPr>
          <w:lang w:eastAsia="ru-RU"/>
        </w:rPr>
        <w:instrText xml:space="preserve"> </w:instrText>
      </w:r>
      <w:r w:rsidR="00A6794A">
        <w:rPr>
          <w:lang w:val="en-US" w:eastAsia="ru-RU"/>
        </w:rPr>
        <w:instrText>convenience</w:instrText>
      </w:r>
      <w:r w:rsidR="00A6794A" w:rsidRPr="00AA43FB">
        <w:rPr>
          <w:lang w:eastAsia="ru-RU"/>
        </w:rPr>
        <w:instrText xml:space="preserve"> </w:instrText>
      </w:r>
      <w:r w:rsidR="00A6794A">
        <w:rPr>
          <w:lang w:val="en-US" w:eastAsia="ru-RU"/>
        </w:rPr>
        <w:instrText>for</w:instrText>
      </w:r>
      <w:r w:rsidR="00A6794A" w:rsidRPr="00AA43FB">
        <w:rPr>
          <w:lang w:eastAsia="ru-RU"/>
        </w:rPr>
        <w:instrText xml:space="preserve"> </w:instrText>
      </w:r>
      <w:r w:rsidR="00A6794A">
        <w:rPr>
          <w:lang w:val="en-US" w:eastAsia="ru-RU"/>
        </w:rPr>
        <w:instrText>patients</w:instrText>
      </w:r>
      <w:r w:rsidR="00A6794A" w:rsidRPr="00AA43FB">
        <w:rPr>
          <w:lang w:eastAsia="ru-RU"/>
        </w:rPr>
        <w:instrText xml:space="preserve"> </w:instrText>
      </w:r>
      <w:r w:rsidR="00A6794A">
        <w:rPr>
          <w:lang w:val="en-US" w:eastAsia="ru-RU"/>
        </w:rPr>
        <w:instrText>and</w:instrText>
      </w:r>
      <w:r w:rsidR="00A6794A" w:rsidRPr="00AA43FB">
        <w:rPr>
          <w:lang w:eastAsia="ru-RU"/>
        </w:rPr>
        <w:instrText xml:space="preserve"> </w:instrText>
      </w:r>
      <w:r w:rsidR="00A6794A">
        <w:rPr>
          <w:lang w:val="en-US" w:eastAsia="ru-RU"/>
        </w:rPr>
        <w:instrText>better</w:instrText>
      </w:r>
      <w:r w:rsidR="00A6794A" w:rsidRPr="00AA43FB">
        <w:rPr>
          <w:lang w:eastAsia="ru-RU"/>
        </w:rPr>
        <w:instrText xml:space="preserve"> </w:instrText>
      </w:r>
      <w:r w:rsidR="00A6794A">
        <w:rPr>
          <w:lang w:val="en-US" w:eastAsia="ru-RU"/>
        </w:rPr>
        <w:instrText>utilize</w:instrText>
      </w:r>
      <w:r w:rsidR="00A6794A" w:rsidRPr="00AA43FB">
        <w:rPr>
          <w:lang w:eastAsia="ru-RU"/>
        </w:rPr>
        <w:instrText xml:space="preserve"> </w:instrText>
      </w:r>
      <w:r w:rsidR="00A6794A">
        <w:rPr>
          <w:lang w:val="en-US" w:eastAsia="ru-RU"/>
        </w:rPr>
        <w:instrText>health</w:instrText>
      </w:r>
      <w:r w:rsidR="00A6794A" w:rsidRPr="00AA43FB">
        <w:rPr>
          <w:lang w:eastAsia="ru-RU"/>
        </w:rPr>
        <w:instrText>-</w:instrText>
      </w:r>
      <w:r w:rsidR="00A6794A">
        <w:rPr>
          <w:lang w:val="en-US" w:eastAsia="ru-RU"/>
        </w:rPr>
        <w:instrText>care</w:instrText>
      </w:r>
      <w:r w:rsidR="00A6794A" w:rsidRPr="00AA43FB">
        <w:rPr>
          <w:lang w:eastAsia="ru-RU"/>
        </w:rPr>
        <w:instrText xml:space="preserve"> </w:instrText>
      </w:r>
      <w:r w:rsidR="00A6794A">
        <w:rPr>
          <w:lang w:val="en-US" w:eastAsia="ru-RU"/>
        </w:rPr>
        <w:instrText>resources</w:instrText>
      </w:r>
      <w:r w:rsidR="00A6794A" w:rsidRPr="00AA43FB">
        <w:rPr>
          <w:lang w:eastAsia="ru-RU"/>
        </w:rPr>
        <w:instrText>.","</w:instrText>
      </w:r>
      <w:r w:rsidR="00A6794A">
        <w:rPr>
          <w:lang w:val="en-US" w:eastAsia="ru-RU"/>
        </w:rPr>
        <w:instrText>author</w:instrText>
      </w:r>
      <w:r w:rsidR="00A6794A" w:rsidRPr="00AA43FB">
        <w:rPr>
          <w:lang w:eastAsia="ru-RU"/>
        </w:rPr>
        <w:instrText>":[{"</w:instrText>
      </w:r>
      <w:r w:rsidR="00A6794A">
        <w:rPr>
          <w:lang w:val="en-US" w:eastAsia="ru-RU"/>
        </w:rPr>
        <w:instrText>dropping</w:instrText>
      </w:r>
      <w:r w:rsidR="00A6794A" w:rsidRPr="00AA43FB">
        <w:rPr>
          <w:lang w:eastAsia="ru-RU"/>
        </w:rPr>
        <w:instrText>-</w:instrText>
      </w:r>
      <w:r w:rsidR="00A6794A">
        <w:rPr>
          <w:lang w:val="en-US" w:eastAsia="ru-RU"/>
        </w:rPr>
        <w:instrText>particle</w:instrText>
      </w:r>
      <w:r w:rsidR="00A6794A" w:rsidRPr="00AA43FB">
        <w:rPr>
          <w:lang w:eastAsia="ru-RU"/>
        </w:rPr>
        <w:instrText>":"","</w:instrText>
      </w:r>
      <w:r w:rsidR="00A6794A">
        <w:rPr>
          <w:lang w:val="en-US" w:eastAsia="ru-RU"/>
        </w:rPr>
        <w:instrText>family</w:instrText>
      </w:r>
      <w:r w:rsidR="00A6794A" w:rsidRPr="00AA43FB">
        <w:rPr>
          <w:lang w:eastAsia="ru-RU"/>
        </w:rPr>
        <w:instrText>":"</w:instrText>
      </w:r>
      <w:r w:rsidR="00A6794A">
        <w:rPr>
          <w:lang w:val="en-US" w:eastAsia="ru-RU"/>
        </w:rPr>
        <w:instrText>Yelvington</w:instrText>
      </w:r>
      <w:r w:rsidR="00A6794A" w:rsidRPr="00AA43FB">
        <w:rPr>
          <w:lang w:eastAsia="ru-RU"/>
        </w:rPr>
        <w:instrText>","</w:instrText>
      </w:r>
      <w:r w:rsidR="00A6794A">
        <w:rPr>
          <w:lang w:val="en-US" w:eastAsia="ru-RU"/>
        </w:rPr>
        <w:instrText>given</w:instrText>
      </w:r>
      <w:r w:rsidR="00A6794A" w:rsidRPr="00AA43FB">
        <w:rPr>
          <w:lang w:eastAsia="ru-RU"/>
        </w:rPr>
        <w:instrText>":"</w:instrText>
      </w:r>
      <w:r w:rsidR="00A6794A">
        <w:rPr>
          <w:lang w:val="en-US" w:eastAsia="ru-RU"/>
        </w:rPr>
        <w:instrText>Bradley</w:instrText>
      </w:r>
      <w:r w:rsidR="00A6794A" w:rsidRPr="00AA43FB">
        <w:rPr>
          <w:lang w:eastAsia="ru-RU"/>
        </w:rPr>
        <w:instrText xml:space="preserve"> </w:instrText>
      </w:r>
      <w:r w:rsidR="00A6794A">
        <w:rPr>
          <w:lang w:val="en-US" w:eastAsia="ru-RU"/>
        </w:rPr>
        <w:instrText>J</w:instrText>
      </w:r>
      <w:r w:rsidR="00A6794A" w:rsidRPr="00AA43FB">
        <w:rPr>
          <w:lang w:eastAsia="ru-RU"/>
        </w:rPr>
        <w:instrText>","</w:instrText>
      </w:r>
      <w:r w:rsidR="00A6794A">
        <w:rPr>
          <w:lang w:val="en-US" w:eastAsia="ru-RU"/>
        </w:rPr>
        <w:instrText>non</w:instrText>
      </w:r>
      <w:r w:rsidR="00A6794A" w:rsidRPr="00AA43FB">
        <w:rPr>
          <w:lang w:eastAsia="ru-RU"/>
        </w:rPr>
        <w:instrText>-</w:instrText>
      </w:r>
      <w:r w:rsidR="00A6794A">
        <w:rPr>
          <w:lang w:val="en-US" w:eastAsia="ru-RU"/>
        </w:rPr>
        <w:instrText>dropping</w:instrText>
      </w:r>
      <w:r w:rsidR="00A6794A" w:rsidRPr="00AA43FB">
        <w:rPr>
          <w:lang w:eastAsia="ru-RU"/>
        </w:rPr>
        <w:instrText>-</w:instrText>
      </w:r>
      <w:r w:rsidR="00A6794A">
        <w:rPr>
          <w:lang w:val="en-US" w:eastAsia="ru-RU"/>
        </w:rPr>
        <w:instrText>particle</w:instrText>
      </w:r>
      <w:r w:rsidR="00A6794A" w:rsidRPr="00AA43FB">
        <w:rPr>
          <w:lang w:eastAsia="ru-RU"/>
        </w:rPr>
        <w:instrText>":"","</w:instrText>
      </w:r>
      <w:r w:rsidR="00A6794A">
        <w:rPr>
          <w:lang w:val="en-US" w:eastAsia="ru-RU"/>
        </w:rPr>
        <w:instrText>parse</w:instrText>
      </w:r>
      <w:r w:rsidR="00A6794A" w:rsidRPr="00AA43FB">
        <w:rPr>
          <w:lang w:eastAsia="ru-RU"/>
        </w:rPr>
        <w:instrText>-</w:instrText>
      </w:r>
      <w:r w:rsidR="00A6794A">
        <w:rPr>
          <w:lang w:val="en-US" w:eastAsia="ru-RU"/>
        </w:rPr>
        <w:instrText>names</w:instrText>
      </w:r>
      <w:r w:rsidR="00A6794A" w:rsidRPr="00AA43FB">
        <w:rPr>
          <w:lang w:eastAsia="ru-RU"/>
        </w:rPr>
        <w:instrText>":</w:instrText>
      </w:r>
      <w:r w:rsidR="00A6794A">
        <w:rPr>
          <w:lang w:val="en-US" w:eastAsia="ru-RU"/>
        </w:rPr>
        <w:instrText>false</w:instrText>
      </w:r>
      <w:r w:rsidR="00A6794A" w:rsidRPr="00AA43FB">
        <w:rPr>
          <w:lang w:eastAsia="ru-RU"/>
        </w:rPr>
        <w:instrText>,"</w:instrText>
      </w:r>
      <w:r w:rsidR="00A6794A">
        <w:rPr>
          <w:lang w:val="en-US" w:eastAsia="ru-RU"/>
        </w:rPr>
        <w:instrText>suffix</w:instrText>
      </w:r>
      <w:r w:rsidR="00A6794A" w:rsidRPr="00AA43FB">
        <w:rPr>
          <w:lang w:eastAsia="ru-RU"/>
        </w:rPr>
        <w:instrText>":""}],"</w:instrText>
      </w:r>
      <w:r w:rsidR="00A6794A">
        <w:rPr>
          <w:lang w:val="en-US" w:eastAsia="ru-RU"/>
        </w:rPr>
        <w:instrText>container</w:instrText>
      </w:r>
      <w:r w:rsidR="00A6794A" w:rsidRPr="00AA43FB">
        <w:rPr>
          <w:lang w:eastAsia="ru-RU"/>
        </w:rPr>
        <w:instrText>-</w:instrText>
      </w:r>
      <w:r w:rsidR="00A6794A">
        <w:rPr>
          <w:lang w:val="en-US" w:eastAsia="ru-RU"/>
        </w:rPr>
        <w:instrText>title</w:instrText>
      </w:r>
      <w:r w:rsidR="00A6794A" w:rsidRPr="00AA43FB">
        <w:rPr>
          <w:lang w:eastAsia="ru-RU"/>
        </w:rPr>
        <w:instrText>":"</w:instrText>
      </w:r>
      <w:r w:rsidR="00A6794A">
        <w:rPr>
          <w:lang w:val="en-US" w:eastAsia="ru-RU"/>
        </w:rPr>
        <w:instrText>Journal</w:instrText>
      </w:r>
      <w:r w:rsidR="00A6794A" w:rsidRPr="00AA43FB">
        <w:rPr>
          <w:lang w:eastAsia="ru-RU"/>
        </w:rPr>
        <w:instrText xml:space="preserve"> </w:instrText>
      </w:r>
      <w:r w:rsidR="00A6794A">
        <w:rPr>
          <w:lang w:val="en-US" w:eastAsia="ru-RU"/>
        </w:rPr>
        <w:instrText>of</w:instrText>
      </w:r>
      <w:r w:rsidR="00A6794A" w:rsidRPr="00AA43FB">
        <w:rPr>
          <w:lang w:eastAsia="ru-RU"/>
        </w:rPr>
        <w:instrText xml:space="preserve"> </w:instrText>
      </w:r>
      <w:r w:rsidR="00A6794A">
        <w:rPr>
          <w:lang w:val="en-US" w:eastAsia="ru-RU"/>
        </w:rPr>
        <w:instrText>the</w:instrText>
      </w:r>
      <w:r w:rsidR="00A6794A" w:rsidRPr="00AA43FB">
        <w:rPr>
          <w:lang w:eastAsia="ru-RU"/>
        </w:rPr>
        <w:instrText xml:space="preserve"> </w:instrText>
      </w:r>
      <w:r w:rsidR="00A6794A">
        <w:rPr>
          <w:lang w:val="en-US" w:eastAsia="ru-RU"/>
        </w:rPr>
        <w:instrText>advanced</w:instrText>
      </w:r>
      <w:r w:rsidR="00A6794A" w:rsidRPr="00AA43FB">
        <w:rPr>
          <w:lang w:eastAsia="ru-RU"/>
        </w:rPr>
        <w:instrText xml:space="preserve"> </w:instrText>
      </w:r>
      <w:r w:rsidR="00A6794A">
        <w:rPr>
          <w:lang w:val="en-US" w:eastAsia="ru-RU"/>
        </w:rPr>
        <w:instrText>practitioner</w:instrText>
      </w:r>
      <w:r w:rsidR="00A6794A" w:rsidRPr="00AA43FB">
        <w:rPr>
          <w:lang w:eastAsia="ru-RU"/>
        </w:rPr>
        <w:instrText xml:space="preserve"> </w:instrText>
      </w:r>
      <w:r w:rsidR="00A6794A">
        <w:rPr>
          <w:lang w:val="en-US" w:eastAsia="ru-RU"/>
        </w:rPr>
        <w:instrText>in</w:instrText>
      </w:r>
      <w:r w:rsidR="00A6794A" w:rsidRPr="00AA43FB">
        <w:rPr>
          <w:lang w:eastAsia="ru-RU"/>
        </w:rPr>
        <w:instrText xml:space="preserve"> </w:instrText>
      </w:r>
      <w:r w:rsidR="00A6794A">
        <w:rPr>
          <w:lang w:val="en-US" w:eastAsia="ru-RU"/>
        </w:rPr>
        <w:instrText>oncology</w:instrText>
      </w:r>
      <w:r w:rsidR="00A6794A" w:rsidRPr="00AA43FB">
        <w:rPr>
          <w:lang w:eastAsia="ru-RU"/>
        </w:rPr>
        <w:instrText>","</w:instrText>
      </w:r>
      <w:r w:rsidR="00A6794A">
        <w:rPr>
          <w:lang w:val="en-US" w:eastAsia="ru-RU"/>
        </w:rPr>
        <w:instrText>id</w:instrText>
      </w:r>
      <w:r w:rsidR="00A6794A" w:rsidRPr="00AA43FB">
        <w:rPr>
          <w:lang w:eastAsia="ru-RU"/>
        </w:rPr>
        <w:instrText>":"</w:instrText>
      </w:r>
      <w:r w:rsidR="00A6794A">
        <w:rPr>
          <w:lang w:val="en-US" w:eastAsia="ru-RU"/>
        </w:rPr>
        <w:instrText>ITEM</w:instrText>
      </w:r>
      <w:r w:rsidR="00A6794A" w:rsidRPr="00AA43FB">
        <w:rPr>
          <w:lang w:eastAsia="ru-RU"/>
        </w:rPr>
        <w:instrText>-1","</w:instrText>
      </w:r>
      <w:r w:rsidR="00A6794A">
        <w:rPr>
          <w:lang w:val="en-US" w:eastAsia="ru-RU"/>
        </w:rPr>
        <w:instrText>issue</w:instrText>
      </w:r>
      <w:r w:rsidR="00A6794A" w:rsidRPr="00AA43FB">
        <w:rPr>
          <w:lang w:eastAsia="ru-RU"/>
        </w:rPr>
        <w:instrText>":"5","</w:instrText>
      </w:r>
      <w:r w:rsidR="00A6794A">
        <w:rPr>
          <w:lang w:val="en-US" w:eastAsia="ru-RU"/>
        </w:rPr>
        <w:instrText>issued</w:instrText>
      </w:r>
      <w:r w:rsidR="00A6794A" w:rsidRPr="00AA43FB">
        <w:rPr>
          <w:lang w:eastAsia="ru-RU"/>
        </w:rPr>
        <w:instrText>":{"</w:instrText>
      </w:r>
      <w:r w:rsidR="00A6794A">
        <w:rPr>
          <w:lang w:val="en-US" w:eastAsia="ru-RU"/>
        </w:rPr>
        <w:instrText>date</w:instrText>
      </w:r>
      <w:r w:rsidR="00A6794A" w:rsidRPr="00AA43FB">
        <w:rPr>
          <w:lang w:eastAsia="ru-RU"/>
        </w:rPr>
        <w:instrText>-</w:instrText>
      </w:r>
      <w:r w:rsidR="00A6794A">
        <w:rPr>
          <w:lang w:val="en-US" w:eastAsia="ru-RU"/>
        </w:rPr>
        <w:instrText>parts</w:instrText>
      </w:r>
      <w:r w:rsidR="00A6794A" w:rsidRPr="00AA43FB">
        <w:rPr>
          <w:lang w:eastAsia="ru-RU"/>
        </w:rPr>
        <w:instrText>":[["2018"]]},"</w:instrText>
      </w:r>
      <w:r w:rsidR="00A6794A">
        <w:rPr>
          <w:lang w:val="en-US" w:eastAsia="ru-RU"/>
        </w:rPr>
        <w:instrText>page</w:instrText>
      </w:r>
      <w:r w:rsidR="00A6794A" w:rsidRPr="00AA43FB">
        <w:rPr>
          <w:lang w:eastAsia="ru-RU"/>
        </w:rPr>
        <w:instrText>":"530-534","</w:instrText>
      </w:r>
      <w:r w:rsidR="00A6794A">
        <w:rPr>
          <w:lang w:val="en-US" w:eastAsia="ru-RU"/>
        </w:rPr>
        <w:instrText>publisher</w:instrText>
      </w:r>
      <w:r w:rsidR="00A6794A" w:rsidRPr="00AA43FB">
        <w:rPr>
          <w:lang w:eastAsia="ru-RU"/>
        </w:rPr>
        <w:instrText>":"</w:instrText>
      </w:r>
      <w:r w:rsidR="00A6794A">
        <w:rPr>
          <w:lang w:val="en-US" w:eastAsia="ru-RU"/>
        </w:rPr>
        <w:instrText>Harborside</w:instrText>
      </w:r>
      <w:r w:rsidR="00A6794A" w:rsidRPr="00AA43FB">
        <w:rPr>
          <w:lang w:eastAsia="ru-RU"/>
        </w:rPr>
        <w:instrText xml:space="preserve"> </w:instrText>
      </w:r>
      <w:r w:rsidR="00A6794A">
        <w:rPr>
          <w:lang w:val="en-US" w:eastAsia="ru-RU"/>
        </w:rPr>
        <w:instrText>Press</w:instrText>
      </w:r>
      <w:r w:rsidR="00A6794A" w:rsidRPr="00AA43FB">
        <w:rPr>
          <w:lang w:eastAsia="ru-RU"/>
        </w:rPr>
        <w:instrText>","</w:instrText>
      </w:r>
      <w:r w:rsidR="00A6794A">
        <w:rPr>
          <w:lang w:val="en-US" w:eastAsia="ru-RU"/>
        </w:rPr>
        <w:instrText>title</w:instrText>
      </w:r>
      <w:r w:rsidR="00A6794A" w:rsidRPr="00AA43FB">
        <w:rPr>
          <w:lang w:eastAsia="ru-RU"/>
        </w:rPr>
        <w:instrText>":"</w:instrText>
      </w:r>
      <w:r w:rsidR="00A6794A">
        <w:rPr>
          <w:lang w:val="en-US" w:eastAsia="ru-RU"/>
        </w:rPr>
        <w:instrText>Subcutaneous</w:instrText>
      </w:r>
      <w:r w:rsidR="00A6794A" w:rsidRPr="00AA43FB">
        <w:rPr>
          <w:lang w:eastAsia="ru-RU"/>
        </w:rPr>
        <w:instrText xml:space="preserve"> </w:instrText>
      </w:r>
      <w:r w:rsidR="00A6794A">
        <w:rPr>
          <w:lang w:val="en-US" w:eastAsia="ru-RU"/>
        </w:rPr>
        <w:instrText>Rituximab</w:instrText>
      </w:r>
      <w:r w:rsidR="00A6794A" w:rsidRPr="00AA43FB">
        <w:rPr>
          <w:lang w:eastAsia="ru-RU"/>
        </w:rPr>
        <w:instrText xml:space="preserve"> </w:instrText>
      </w:r>
      <w:r w:rsidR="00A6794A">
        <w:rPr>
          <w:lang w:val="en-US" w:eastAsia="ru-RU"/>
        </w:rPr>
        <w:instrText>in</w:instrText>
      </w:r>
      <w:r w:rsidR="00A6794A" w:rsidRPr="00AA43FB">
        <w:rPr>
          <w:lang w:eastAsia="ru-RU"/>
        </w:rPr>
        <w:instrText xml:space="preserve"> </w:instrText>
      </w:r>
      <w:r w:rsidR="00A6794A">
        <w:rPr>
          <w:lang w:val="en-US" w:eastAsia="ru-RU"/>
        </w:rPr>
        <w:instrText>Follicular</w:instrText>
      </w:r>
      <w:r w:rsidR="00A6794A" w:rsidRPr="00AA43FB">
        <w:rPr>
          <w:lang w:eastAsia="ru-RU"/>
        </w:rPr>
        <w:instrText xml:space="preserve"> </w:instrText>
      </w:r>
      <w:r w:rsidR="00A6794A">
        <w:rPr>
          <w:lang w:val="en-US" w:eastAsia="ru-RU"/>
        </w:rPr>
        <w:instrText>Lymphoma</w:instrText>
      </w:r>
      <w:r w:rsidR="00A6794A" w:rsidRPr="00AA43FB">
        <w:rPr>
          <w:lang w:eastAsia="ru-RU"/>
        </w:rPr>
        <w:instrText xml:space="preserve">, </w:instrText>
      </w:r>
      <w:r w:rsidR="00A6794A">
        <w:rPr>
          <w:lang w:val="en-US" w:eastAsia="ru-RU"/>
        </w:rPr>
        <w:instrText>Chronic</w:instrText>
      </w:r>
      <w:r w:rsidR="00A6794A" w:rsidRPr="00AA43FB">
        <w:rPr>
          <w:lang w:eastAsia="ru-RU"/>
        </w:rPr>
        <w:instrText xml:space="preserve"> </w:instrText>
      </w:r>
      <w:r w:rsidR="00A6794A">
        <w:rPr>
          <w:lang w:val="en-US" w:eastAsia="ru-RU"/>
        </w:rPr>
        <w:instrText>Lymphocytic</w:instrText>
      </w:r>
      <w:r w:rsidR="00A6794A" w:rsidRPr="00AA43FB">
        <w:rPr>
          <w:lang w:eastAsia="ru-RU"/>
        </w:rPr>
        <w:instrText xml:space="preserve"> </w:instrText>
      </w:r>
      <w:r w:rsidR="00A6794A">
        <w:rPr>
          <w:lang w:val="en-US" w:eastAsia="ru-RU"/>
        </w:rPr>
        <w:instrText>Leukemia</w:instrText>
      </w:r>
      <w:r w:rsidR="00A6794A" w:rsidRPr="00AA43FB">
        <w:rPr>
          <w:lang w:eastAsia="ru-RU"/>
        </w:rPr>
        <w:instrText xml:space="preserve">, </w:instrText>
      </w:r>
      <w:r w:rsidR="00A6794A">
        <w:rPr>
          <w:lang w:val="en-US" w:eastAsia="ru-RU"/>
        </w:rPr>
        <w:instrText>and</w:instrText>
      </w:r>
      <w:r w:rsidR="00A6794A" w:rsidRPr="00AA43FB">
        <w:rPr>
          <w:lang w:eastAsia="ru-RU"/>
        </w:rPr>
        <w:instrText xml:space="preserve"> </w:instrText>
      </w:r>
      <w:r w:rsidR="00A6794A">
        <w:rPr>
          <w:lang w:val="en-US" w:eastAsia="ru-RU"/>
        </w:rPr>
        <w:instrText>Diffuse</w:instrText>
      </w:r>
      <w:r w:rsidR="00A6794A" w:rsidRPr="00AA43FB">
        <w:rPr>
          <w:lang w:eastAsia="ru-RU"/>
        </w:rPr>
        <w:instrText xml:space="preserve"> </w:instrText>
      </w:r>
      <w:r w:rsidR="00A6794A">
        <w:rPr>
          <w:lang w:val="en-US" w:eastAsia="ru-RU"/>
        </w:rPr>
        <w:instrText>Large</w:instrText>
      </w:r>
      <w:r w:rsidR="00A6794A" w:rsidRPr="00AA43FB">
        <w:rPr>
          <w:lang w:eastAsia="ru-RU"/>
        </w:rPr>
        <w:instrText xml:space="preserve"> </w:instrText>
      </w:r>
      <w:r w:rsidR="00A6794A">
        <w:rPr>
          <w:lang w:val="en-US" w:eastAsia="ru-RU"/>
        </w:rPr>
        <w:instrText>B</w:instrText>
      </w:r>
      <w:r w:rsidR="00A6794A" w:rsidRPr="00AA43FB">
        <w:rPr>
          <w:lang w:eastAsia="ru-RU"/>
        </w:rPr>
        <w:instrText>-</w:instrText>
      </w:r>
      <w:r w:rsidR="00A6794A">
        <w:rPr>
          <w:lang w:val="en-US" w:eastAsia="ru-RU"/>
        </w:rPr>
        <w:instrText>Cell</w:instrText>
      </w:r>
      <w:r w:rsidR="00A6794A" w:rsidRPr="00AA43FB">
        <w:rPr>
          <w:lang w:eastAsia="ru-RU"/>
        </w:rPr>
        <w:instrText xml:space="preserve"> </w:instrText>
      </w:r>
      <w:r w:rsidR="00A6794A">
        <w:rPr>
          <w:lang w:val="en-US" w:eastAsia="ru-RU"/>
        </w:rPr>
        <w:instrText>Lymphoma</w:instrText>
      </w:r>
      <w:r w:rsidR="00A6794A" w:rsidRPr="00AA43FB">
        <w:rPr>
          <w:lang w:eastAsia="ru-RU"/>
        </w:rPr>
        <w:instrText>.","</w:instrText>
      </w:r>
      <w:r w:rsidR="00A6794A">
        <w:rPr>
          <w:lang w:val="en-US" w:eastAsia="ru-RU"/>
        </w:rPr>
        <w:instrText>type</w:instrText>
      </w:r>
      <w:r w:rsidR="00A6794A" w:rsidRPr="00AA43FB">
        <w:rPr>
          <w:lang w:eastAsia="ru-RU"/>
        </w:rPr>
        <w:instrText>":"</w:instrText>
      </w:r>
      <w:r w:rsidR="00A6794A">
        <w:rPr>
          <w:lang w:val="en-US" w:eastAsia="ru-RU"/>
        </w:rPr>
        <w:instrText>article</w:instrText>
      </w:r>
      <w:r w:rsidR="00A6794A" w:rsidRPr="00AA43FB">
        <w:rPr>
          <w:lang w:eastAsia="ru-RU"/>
        </w:rPr>
        <w:instrText>-</w:instrText>
      </w:r>
      <w:r w:rsidR="00A6794A">
        <w:rPr>
          <w:lang w:val="en-US" w:eastAsia="ru-RU"/>
        </w:rPr>
        <w:instrText>journal</w:instrText>
      </w:r>
      <w:r w:rsidR="00A6794A" w:rsidRPr="00AA43FB">
        <w:rPr>
          <w:lang w:eastAsia="ru-RU"/>
        </w:rPr>
        <w:instrText>","</w:instrText>
      </w:r>
      <w:r w:rsidR="00A6794A">
        <w:rPr>
          <w:lang w:val="en-US" w:eastAsia="ru-RU"/>
        </w:rPr>
        <w:instrText>volume</w:instrText>
      </w:r>
      <w:r w:rsidR="00A6794A" w:rsidRPr="00AA43FB">
        <w:rPr>
          <w:lang w:eastAsia="ru-RU"/>
        </w:rPr>
        <w:instrText>":"9"},"</w:instrText>
      </w:r>
      <w:r w:rsidR="00A6794A">
        <w:rPr>
          <w:lang w:val="en-US" w:eastAsia="ru-RU"/>
        </w:rPr>
        <w:instrText>uris</w:instrText>
      </w:r>
      <w:r w:rsidR="00A6794A" w:rsidRPr="00AA43FB">
        <w:rPr>
          <w:lang w:eastAsia="ru-RU"/>
        </w:rPr>
        <w:instrText>":["</w:instrText>
      </w:r>
      <w:r w:rsidR="00A6794A">
        <w:rPr>
          <w:lang w:val="en-US" w:eastAsia="ru-RU"/>
        </w:rPr>
        <w:instrText>http</w:instrText>
      </w:r>
      <w:r w:rsidR="00A6794A" w:rsidRPr="00AA43FB">
        <w:rPr>
          <w:lang w:eastAsia="ru-RU"/>
        </w:rPr>
        <w:instrText>://</w:instrText>
      </w:r>
      <w:r w:rsidR="00A6794A">
        <w:rPr>
          <w:lang w:val="en-US" w:eastAsia="ru-RU"/>
        </w:rPr>
        <w:instrText>www</w:instrText>
      </w:r>
      <w:r w:rsidR="00A6794A" w:rsidRPr="00AA43FB">
        <w:rPr>
          <w:lang w:eastAsia="ru-RU"/>
        </w:rPr>
        <w:instrText>.</w:instrText>
      </w:r>
      <w:r w:rsidR="00A6794A">
        <w:rPr>
          <w:lang w:val="en-US" w:eastAsia="ru-RU"/>
        </w:rPr>
        <w:instrText>mendeley</w:instrText>
      </w:r>
      <w:r w:rsidR="00A6794A" w:rsidRPr="00AA43FB">
        <w:rPr>
          <w:lang w:eastAsia="ru-RU"/>
        </w:rPr>
        <w:instrText>.</w:instrText>
      </w:r>
      <w:r w:rsidR="00A6794A">
        <w:rPr>
          <w:lang w:val="en-US" w:eastAsia="ru-RU"/>
        </w:rPr>
        <w:instrText>com</w:instrText>
      </w:r>
      <w:r w:rsidR="00A6794A" w:rsidRPr="00AA43FB">
        <w:rPr>
          <w:lang w:eastAsia="ru-RU"/>
        </w:rPr>
        <w:instrText>/</w:instrText>
      </w:r>
      <w:r w:rsidR="00A6794A">
        <w:rPr>
          <w:lang w:val="en-US" w:eastAsia="ru-RU"/>
        </w:rPr>
        <w:instrText>documents</w:instrText>
      </w:r>
      <w:r w:rsidR="00A6794A" w:rsidRPr="00AA43FB">
        <w:rPr>
          <w:lang w:eastAsia="ru-RU"/>
        </w:rPr>
        <w:instrText>/?</w:instrText>
      </w:r>
      <w:r w:rsidR="00A6794A">
        <w:rPr>
          <w:lang w:val="en-US" w:eastAsia="ru-RU"/>
        </w:rPr>
        <w:instrText>uuid</w:instrText>
      </w:r>
      <w:r w:rsidR="00A6794A" w:rsidRPr="00AA43FB">
        <w:rPr>
          <w:lang w:eastAsia="ru-RU"/>
        </w:rPr>
        <w:instrText>=</w:instrText>
      </w:r>
      <w:r w:rsidR="00A6794A">
        <w:rPr>
          <w:lang w:val="en-US" w:eastAsia="ru-RU"/>
        </w:rPr>
        <w:instrText>fbb</w:instrText>
      </w:r>
      <w:r w:rsidR="00A6794A" w:rsidRPr="00AA43FB">
        <w:rPr>
          <w:lang w:eastAsia="ru-RU"/>
        </w:rPr>
        <w:instrText>0</w:instrText>
      </w:r>
      <w:r w:rsidR="00A6794A">
        <w:rPr>
          <w:lang w:val="en-US" w:eastAsia="ru-RU"/>
        </w:rPr>
        <w:instrText>b</w:instrText>
      </w:r>
      <w:r w:rsidR="00A6794A" w:rsidRPr="00AA43FB">
        <w:rPr>
          <w:lang w:eastAsia="ru-RU"/>
        </w:rPr>
        <w:instrText>8</w:instrText>
      </w:r>
      <w:r w:rsidR="00A6794A">
        <w:rPr>
          <w:lang w:val="en-US" w:eastAsia="ru-RU"/>
        </w:rPr>
        <w:instrText>f</w:instrText>
      </w:r>
      <w:r w:rsidR="00A6794A" w:rsidRPr="00AA43FB">
        <w:rPr>
          <w:lang w:eastAsia="ru-RU"/>
        </w:rPr>
        <w:instrText>4-6</w:instrText>
      </w:r>
      <w:r w:rsidR="00A6794A">
        <w:rPr>
          <w:lang w:val="en-US" w:eastAsia="ru-RU"/>
        </w:rPr>
        <w:instrText>b</w:instrText>
      </w:r>
      <w:r w:rsidR="00A6794A" w:rsidRPr="00AA43FB">
        <w:rPr>
          <w:lang w:eastAsia="ru-RU"/>
        </w:rPr>
        <w:instrText>58-3</w:instrText>
      </w:r>
      <w:r w:rsidR="00A6794A">
        <w:rPr>
          <w:lang w:val="en-US" w:eastAsia="ru-RU"/>
        </w:rPr>
        <w:instrText>a</w:instrText>
      </w:r>
      <w:r w:rsidR="00A6794A" w:rsidRPr="00AA43FB">
        <w:rPr>
          <w:lang w:eastAsia="ru-RU"/>
        </w:rPr>
        <w:instrText>10-</w:instrText>
      </w:r>
      <w:r w:rsidR="00A6794A">
        <w:rPr>
          <w:lang w:val="en-US" w:eastAsia="ru-RU"/>
        </w:rPr>
        <w:instrText>b</w:instrText>
      </w:r>
      <w:r w:rsidR="00A6794A" w:rsidRPr="00AA43FB">
        <w:rPr>
          <w:lang w:eastAsia="ru-RU"/>
        </w:rPr>
        <w:instrText>7</w:instrText>
      </w:r>
      <w:r w:rsidR="00A6794A">
        <w:rPr>
          <w:lang w:val="en-US" w:eastAsia="ru-RU"/>
        </w:rPr>
        <w:instrText>d</w:instrText>
      </w:r>
      <w:r w:rsidR="00A6794A" w:rsidRPr="00AA43FB">
        <w:rPr>
          <w:lang w:eastAsia="ru-RU"/>
        </w:rPr>
        <w:instrText>6-</w:instrText>
      </w:r>
      <w:r w:rsidR="00A6794A">
        <w:rPr>
          <w:lang w:val="en-US" w:eastAsia="ru-RU"/>
        </w:rPr>
        <w:instrText>af</w:instrText>
      </w:r>
      <w:r w:rsidR="00A6794A" w:rsidRPr="00AA43FB">
        <w:rPr>
          <w:lang w:eastAsia="ru-RU"/>
        </w:rPr>
        <w:instrText>3854030</w:instrText>
      </w:r>
      <w:r w:rsidR="00A6794A">
        <w:rPr>
          <w:lang w:val="en-US" w:eastAsia="ru-RU"/>
        </w:rPr>
        <w:instrText>be</w:instrText>
      </w:r>
      <w:r w:rsidR="00A6794A" w:rsidRPr="00AA43FB">
        <w:rPr>
          <w:lang w:eastAsia="ru-RU"/>
        </w:rPr>
        <w:instrText>8"]},{"</w:instrText>
      </w:r>
      <w:r w:rsidR="00A6794A">
        <w:rPr>
          <w:lang w:val="en-US" w:eastAsia="ru-RU"/>
        </w:rPr>
        <w:instrText>id</w:instrText>
      </w:r>
      <w:r w:rsidR="00A6794A" w:rsidRPr="00AA43FB">
        <w:rPr>
          <w:lang w:eastAsia="ru-RU"/>
        </w:rPr>
        <w:instrText>":"</w:instrText>
      </w:r>
      <w:r w:rsidR="00A6794A">
        <w:rPr>
          <w:lang w:val="en-US" w:eastAsia="ru-RU"/>
        </w:rPr>
        <w:instrText>ITEM</w:instrText>
      </w:r>
      <w:r w:rsidR="00A6794A" w:rsidRPr="00AA43FB">
        <w:rPr>
          <w:lang w:eastAsia="ru-RU"/>
        </w:rPr>
        <w:instrText>-2","</w:instrText>
      </w:r>
      <w:r w:rsidR="00A6794A">
        <w:rPr>
          <w:lang w:val="en-US" w:eastAsia="ru-RU"/>
        </w:rPr>
        <w:instrText>itemData</w:instrText>
      </w:r>
      <w:r w:rsidR="00A6794A" w:rsidRPr="00AA43FB">
        <w:rPr>
          <w:lang w:eastAsia="ru-RU"/>
        </w:rPr>
        <w:instrText>":{"</w:instrText>
      </w:r>
      <w:r w:rsidR="00A6794A">
        <w:rPr>
          <w:lang w:val="en-US" w:eastAsia="ru-RU"/>
        </w:rPr>
        <w:instrText>DOI</w:instrText>
      </w:r>
      <w:r w:rsidR="00A6794A" w:rsidRPr="00AA43FB">
        <w:rPr>
          <w:lang w:eastAsia="ru-RU"/>
        </w:rPr>
        <w:instrText>":"10.1007/</w:instrText>
      </w:r>
      <w:r w:rsidR="00A6794A">
        <w:rPr>
          <w:lang w:val="en-US" w:eastAsia="ru-RU"/>
        </w:rPr>
        <w:instrText>s</w:instrText>
      </w:r>
      <w:r w:rsidR="00A6794A" w:rsidRPr="00AA43FB">
        <w:rPr>
          <w:lang w:eastAsia="ru-RU"/>
        </w:rPr>
        <w:instrText>12325-017-0610-</w:instrText>
      </w:r>
      <w:r w:rsidR="00A6794A">
        <w:rPr>
          <w:lang w:val="en-US" w:eastAsia="ru-RU"/>
        </w:rPr>
        <w:instrText>z</w:instrText>
      </w:r>
      <w:r w:rsidR="00A6794A" w:rsidRPr="00AA43FB">
        <w:rPr>
          <w:lang w:eastAsia="ru-RU"/>
        </w:rPr>
        <w:instrText>","</w:instrText>
      </w:r>
      <w:r w:rsidR="00A6794A">
        <w:rPr>
          <w:lang w:val="en-US" w:eastAsia="ru-RU"/>
        </w:rPr>
        <w:instrText>ISSN</w:instrText>
      </w:r>
      <w:r w:rsidR="00A6794A" w:rsidRPr="00AA43FB">
        <w:rPr>
          <w:lang w:eastAsia="ru-RU"/>
        </w:rPr>
        <w:instrText>":"18658652","</w:instrText>
      </w:r>
      <w:r w:rsidR="00A6794A">
        <w:rPr>
          <w:lang w:val="en-US" w:eastAsia="ru-RU"/>
        </w:rPr>
        <w:instrText>abstract</w:instrText>
      </w:r>
      <w:r w:rsidR="00A6794A" w:rsidRPr="00AA43FB">
        <w:rPr>
          <w:lang w:eastAsia="ru-RU"/>
        </w:rPr>
        <w:instrText>":"</w:instrText>
      </w:r>
      <w:r w:rsidR="00A6794A">
        <w:rPr>
          <w:lang w:val="en-US" w:eastAsia="ru-RU"/>
        </w:rPr>
        <w:instrText>Abstract</w:instrText>
      </w:r>
      <w:r w:rsidR="00A6794A" w:rsidRPr="00AA43FB">
        <w:rPr>
          <w:lang w:eastAsia="ru-RU"/>
        </w:rPr>
        <w:instrText xml:space="preserve">: </w:instrText>
      </w:r>
      <w:r w:rsidR="00A6794A">
        <w:rPr>
          <w:lang w:val="en-US" w:eastAsia="ru-RU"/>
        </w:rPr>
        <w:instrText>Rituximab</w:instrText>
      </w:r>
      <w:r w:rsidR="00A6794A" w:rsidRPr="00AA43FB">
        <w:rPr>
          <w:lang w:eastAsia="ru-RU"/>
        </w:rPr>
        <w:instrText xml:space="preserve"> (</w:instrText>
      </w:r>
      <w:r w:rsidR="00A6794A">
        <w:rPr>
          <w:lang w:val="en-US" w:eastAsia="ru-RU"/>
        </w:rPr>
        <w:instrText>MabThera</w:instrText>
      </w:r>
      <w:r w:rsidR="00A6794A" w:rsidRPr="00AA43FB">
        <w:rPr>
          <w:lang w:eastAsia="ru-RU"/>
        </w:rPr>
        <w:instrText>®/</w:instrText>
      </w:r>
      <w:r w:rsidR="00A6794A">
        <w:rPr>
          <w:lang w:val="en-US" w:eastAsia="ru-RU"/>
        </w:rPr>
        <w:instrText>Rituxan</w:instrText>
      </w:r>
      <w:r w:rsidR="00A6794A" w:rsidRPr="00AA43FB">
        <w:rPr>
          <w:lang w:eastAsia="ru-RU"/>
        </w:rPr>
        <w:instrText xml:space="preserve">®), </w:instrText>
      </w:r>
      <w:r w:rsidR="00A6794A">
        <w:rPr>
          <w:lang w:val="en-US" w:eastAsia="ru-RU"/>
        </w:rPr>
        <w:instrText>a</w:instrText>
      </w:r>
      <w:r w:rsidR="00A6794A" w:rsidRPr="00AA43FB">
        <w:rPr>
          <w:lang w:eastAsia="ru-RU"/>
        </w:rPr>
        <w:instrText xml:space="preserve"> </w:instrText>
      </w:r>
      <w:r w:rsidR="00A6794A">
        <w:rPr>
          <w:lang w:val="en-US" w:eastAsia="ru-RU"/>
        </w:rPr>
        <w:instrText>chimeric</w:instrText>
      </w:r>
      <w:r w:rsidR="00A6794A" w:rsidRPr="00AA43FB">
        <w:rPr>
          <w:lang w:eastAsia="ru-RU"/>
        </w:rPr>
        <w:instrText xml:space="preserve"> </w:instrText>
      </w:r>
      <w:r w:rsidR="00A6794A">
        <w:rPr>
          <w:lang w:val="en-US" w:eastAsia="ru-RU"/>
        </w:rPr>
        <w:instrText>murine</w:instrText>
      </w:r>
      <w:r w:rsidR="00A6794A" w:rsidRPr="00AA43FB">
        <w:rPr>
          <w:lang w:eastAsia="ru-RU"/>
        </w:rPr>
        <w:instrText>/</w:instrText>
      </w:r>
      <w:r w:rsidR="00A6794A">
        <w:rPr>
          <w:lang w:val="en-US" w:eastAsia="ru-RU"/>
        </w:rPr>
        <w:instrText>human</w:instrText>
      </w:r>
      <w:r w:rsidR="00A6794A" w:rsidRPr="00AA43FB">
        <w:rPr>
          <w:lang w:eastAsia="ru-RU"/>
        </w:rPr>
        <w:instrText xml:space="preserve"> </w:instrText>
      </w:r>
      <w:r w:rsidR="00A6794A">
        <w:rPr>
          <w:lang w:val="en-US" w:eastAsia="ru-RU"/>
        </w:rPr>
        <w:instrText>monoclonal</w:instrText>
      </w:r>
      <w:r w:rsidR="00A6794A" w:rsidRPr="00AA43FB">
        <w:rPr>
          <w:lang w:eastAsia="ru-RU"/>
        </w:rPr>
        <w:instrText xml:space="preserve"> </w:instrText>
      </w:r>
      <w:r w:rsidR="00A6794A">
        <w:rPr>
          <w:lang w:val="en-US" w:eastAsia="ru-RU"/>
        </w:rPr>
        <w:instrText>antibody</w:instrText>
      </w:r>
      <w:r w:rsidR="00A6794A" w:rsidRPr="00AA43FB">
        <w:rPr>
          <w:lang w:eastAsia="ru-RU"/>
        </w:rPr>
        <w:instrText xml:space="preserve"> </w:instrText>
      </w:r>
      <w:r w:rsidR="00A6794A">
        <w:rPr>
          <w:lang w:val="en-US" w:eastAsia="ru-RU"/>
        </w:rPr>
        <w:instrText>that</w:instrText>
      </w:r>
      <w:r w:rsidR="00A6794A" w:rsidRPr="00AA43FB">
        <w:rPr>
          <w:lang w:eastAsia="ru-RU"/>
        </w:rPr>
        <w:instrText xml:space="preserve"> </w:instrText>
      </w:r>
      <w:r w:rsidR="00A6794A">
        <w:rPr>
          <w:lang w:val="en-US" w:eastAsia="ru-RU"/>
        </w:rPr>
        <w:instrText>binds</w:instrText>
      </w:r>
      <w:r w:rsidR="00A6794A" w:rsidRPr="00AA43FB">
        <w:rPr>
          <w:lang w:eastAsia="ru-RU"/>
        </w:rPr>
        <w:instrText xml:space="preserve"> </w:instrText>
      </w:r>
      <w:r w:rsidR="00A6794A">
        <w:rPr>
          <w:lang w:val="en-US" w:eastAsia="ru-RU"/>
        </w:rPr>
        <w:instrText>specifically</w:instrText>
      </w:r>
      <w:r w:rsidR="00A6794A" w:rsidRPr="00AA43FB">
        <w:rPr>
          <w:lang w:eastAsia="ru-RU"/>
        </w:rPr>
        <w:instrText xml:space="preserve"> </w:instrText>
      </w:r>
      <w:r w:rsidR="00A6794A">
        <w:rPr>
          <w:lang w:val="en-US" w:eastAsia="ru-RU"/>
        </w:rPr>
        <w:instrText>to</w:instrText>
      </w:r>
      <w:r w:rsidR="00A6794A" w:rsidRPr="00AA43FB">
        <w:rPr>
          <w:lang w:eastAsia="ru-RU"/>
        </w:rPr>
        <w:instrText xml:space="preserve"> </w:instrText>
      </w:r>
      <w:r w:rsidR="00A6794A">
        <w:rPr>
          <w:lang w:val="en-US" w:eastAsia="ru-RU"/>
        </w:rPr>
        <w:instrText>the</w:instrText>
      </w:r>
      <w:r w:rsidR="00A6794A" w:rsidRPr="00AA43FB">
        <w:rPr>
          <w:lang w:eastAsia="ru-RU"/>
        </w:rPr>
        <w:instrText xml:space="preserve"> </w:instrText>
      </w:r>
      <w:r w:rsidR="00A6794A">
        <w:rPr>
          <w:lang w:val="en-US" w:eastAsia="ru-RU"/>
        </w:rPr>
        <w:instrText>transmembrane</w:instrText>
      </w:r>
      <w:r w:rsidR="00A6794A" w:rsidRPr="00AA43FB">
        <w:rPr>
          <w:lang w:eastAsia="ru-RU"/>
        </w:rPr>
        <w:instrText xml:space="preserve"> </w:instrText>
      </w:r>
      <w:r w:rsidR="00A6794A">
        <w:rPr>
          <w:lang w:val="en-US" w:eastAsia="ru-RU"/>
        </w:rPr>
        <w:instrText>antigen</w:instrText>
      </w:r>
      <w:r w:rsidR="00A6794A" w:rsidRPr="00AA43FB">
        <w:rPr>
          <w:lang w:eastAsia="ru-RU"/>
        </w:rPr>
        <w:instrText xml:space="preserve"> </w:instrText>
      </w:r>
      <w:r w:rsidR="00A6794A">
        <w:rPr>
          <w:lang w:val="en-US" w:eastAsia="ru-RU"/>
        </w:rPr>
        <w:instrText>CD</w:instrText>
      </w:r>
      <w:r w:rsidR="00A6794A" w:rsidRPr="00AA43FB">
        <w:rPr>
          <w:lang w:eastAsia="ru-RU"/>
        </w:rPr>
        <w:instrText xml:space="preserve">20, </w:instrText>
      </w:r>
      <w:r w:rsidR="00A6794A">
        <w:rPr>
          <w:lang w:val="en-US" w:eastAsia="ru-RU"/>
        </w:rPr>
        <w:instrText>was</w:instrText>
      </w:r>
      <w:r w:rsidR="00A6794A" w:rsidRPr="00AA43FB">
        <w:rPr>
          <w:lang w:eastAsia="ru-RU"/>
        </w:rPr>
        <w:instrText xml:space="preserve"> </w:instrText>
      </w:r>
      <w:r w:rsidR="00A6794A">
        <w:rPr>
          <w:lang w:val="en-US" w:eastAsia="ru-RU"/>
        </w:rPr>
        <w:instrText>the</w:instrText>
      </w:r>
      <w:r w:rsidR="00A6794A" w:rsidRPr="00AA43FB">
        <w:rPr>
          <w:lang w:eastAsia="ru-RU"/>
        </w:rPr>
        <w:instrText xml:space="preserve"> </w:instrText>
      </w:r>
      <w:r w:rsidR="00A6794A">
        <w:rPr>
          <w:lang w:val="en-US" w:eastAsia="ru-RU"/>
        </w:rPr>
        <w:instrText>first</w:instrText>
      </w:r>
      <w:r w:rsidR="00A6794A" w:rsidRPr="00AA43FB">
        <w:rPr>
          <w:lang w:eastAsia="ru-RU"/>
        </w:rPr>
        <w:instrText xml:space="preserve"> </w:instrText>
      </w:r>
      <w:r w:rsidR="00A6794A">
        <w:rPr>
          <w:lang w:val="en-US" w:eastAsia="ru-RU"/>
        </w:rPr>
        <w:instrText>therapeutic</w:instrText>
      </w:r>
      <w:r w:rsidR="00A6794A" w:rsidRPr="00AA43FB">
        <w:rPr>
          <w:lang w:eastAsia="ru-RU"/>
        </w:rPr>
        <w:instrText xml:space="preserve"> </w:instrText>
      </w:r>
      <w:r w:rsidR="00A6794A">
        <w:rPr>
          <w:lang w:val="en-US" w:eastAsia="ru-RU"/>
        </w:rPr>
        <w:instrText>antibody</w:instrText>
      </w:r>
      <w:r w:rsidR="00A6794A" w:rsidRPr="00AA43FB">
        <w:rPr>
          <w:lang w:eastAsia="ru-RU"/>
        </w:rPr>
        <w:instrText xml:space="preserve"> </w:instrText>
      </w:r>
      <w:r w:rsidR="00A6794A">
        <w:rPr>
          <w:lang w:val="en-US" w:eastAsia="ru-RU"/>
        </w:rPr>
        <w:instrText>to</w:instrText>
      </w:r>
      <w:r w:rsidR="00A6794A" w:rsidRPr="00AA43FB">
        <w:rPr>
          <w:lang w:eastAsia="ru-RU"/>
        </w:rPr>
        <w:instrText xml:space="preserve"> </w:instrText>
      </w:r>
      <w:r w:rsidR="00A6794A">
        <w:rPr>
          <w:lang w:val="en-US" w:eastAsia="ru-RU"/>
        </w:rPr>
        <w:instrText>enter</w:instrText>
      </w:r>
      <w:r w:rsidR="00A6794A" w:rsidRPr="00AA43FB">
        <w:rPr>
          <w:lang w:eastAsia="ru-RU"/>
        </w:rPr>
        <w:instrText xml:space="preserve"> </w:instrText>
      </w:r>
      <w:r w:rsidR="00A6794A">
        <w:rPr>
          <w:lang w:val="en-US" w:eastAsia="ru-RU"/>
        </w:rPr>
        <w:instrText>clinical</w:instrText>
      </w:r>
      <w:r w:rsidR="00A6794A" w:rsidRPr="00AA43FB">
        <w:rPr>
          <w:lang w:eastAsia="ru-RU"/>
        </w:rPr>
        <w:instrText xml:space="preserve"> </w:instrText>
      </w:r>
      <w:r w:rsidR="00A6794A">
        <w:rPr>
          <w:lang w:val="en-US" w:eastAsia="ru-RU"/>
        </w:rPr>
        <w:instrText>practice</w:instrText>
      </w:r>
      <w:r w:rsidR="00A6794A" w:rsidRPr="00AA43FB">
        <w:rPr>
          <w:lang w:eastAsia="ru-RU"/>
        </w:rPr>
        <w:instrText xml:space="preserve"> </w:instrText>
      </w:r>
      <w:r w:rsidR="00A6794A">
        <w:rPr>
          <w:lang w:val="en-US" w:eastAsia="ru-RU"/>
        </w:rPr>
        <w:instrText>for</w:instrText>
      </w:r>
      <w:r w:rsidR="00A6794A" w:rsidRPr="00AA43FB">
        <w:rPr>
          <w:lang w:eastAsia="ru-RU"/>
        </w:rPr>
        <w:instrText xml:space="preserve"> </w:instrText>
      </w:r>
      <w:r w:rsidR="00A6794A">
        <w:rPr>
          <w:lang w:val="en-US" w:eastAsia="ru-RU"/>
        </w:rPr>
        <w:instrText>the</w:instrText>
      </w:r>
      <w:r w:rsidR="00A6794A" w:rsidRPr="00AA43FB">
        <w:rPr>
          <w:lang w:eastAsia="ru-RU"/>
        </w:rPr>
        <w:instrText xml:space="preserve"> </w:instrText>
      </w:r>
      <w:r w:rsidR="00A6794A">
        <w:rPr>
          <w:lang w:val="en-US" w:eastAsia="ru-RU"/>
        </w:rPr>
        <w:instrText>treatment</w:instrText>
      </w:r>
      <w:r w:rsidR="00A6794A" w:rsidRPr="00AA43FB">
        <w:rPr>
          <w:lang w:eastAsia="ru-RU"/>
        </w:rPr>
        <w:instrText xml:space="preserve"> </w:instrText>
      </w:r>
      <w:r w:rsidR="00A6794A">
        <w:rPr>
          <w:lang w:val="en-US" w:eastAsia="ru-RU"/>
        </w:rPr>
        <w:instrText>of</w:instrText>
      </w:r>
      <w:r w:rsidR="00A6794A" w:rsidRPr="00AA43FB">
        <w:rPr>
          <w:lang w:eastAsia="ru-RU"/>
        </w:rPr>
        <w:instrText xml:space="preserve"> </w:instrText>
      </w:r>
      <w:r w:rsidR="00A6794A">
        <w:rPr>
          <w:lang w:val="en-US" w:eastAsia="ru-RU"/>
        </w:rPr>
        <w:instrText>cancer</w:instrText>
      </w:r>
      <w:r w:rsidR="00A6794A" w:rsidRPr="00AA43FB">
        <w:rPr>
          <w:lang w:eastAsia="ru-RU"/>
        </w:rPr>
        <w:instrText xml:space="preserve">. </w:instrText>
      </w:r>
      <w:r w:rsidR="00A6794A">
        <w:rPr>
          <w:lang w:val="en-US" w:eastAsia="ru-RU"/>
        </w:rPr>
        <w:instrText>As</w:instrText>
      </w:r>
      <w:r w:rsidR="00A6794A" w:rsidRPr="00AA43FB">
        <w:rPr>
          <w:lang w:eastAsia="ru-RU"/>
        </w:rPr>
        <w:instrText xml:space="preserve"> </w:instrText>
      </w:r>
      <w:r w:rsidR="00A6794A">
        <w:rPr>
          <w:lang w:val="en-US" w:eastAsia="ru-RU"/>
        </w:rPr>
        <w:instrText>monotherapy</w:instrText>
      </w:r>
      <w:r w:rsidR="00A6794A" w:rsidRPr="00AA43FB">
        <w:rPr>
          <w:lang w:eastAsia="ru-RU"/>
        </w:rPr>
        <w:instrText xml:space="preserve"> </w:instrText>
      </w:r>
      <w:r w:rsidR="00A6794A">
        <w:rPr>
          <w:lang w:val="en-US" w:eastAsia="ru-RU"/>
        </w:rPr>
        <w:instrText>and</w:instrText>
      </w:r>
      <w:r w:rsidR="00A6794A" w:rsidRPr="00AA43FB">
        <w:rPr>
          <w:lang w:eastAsia="ru-RU"/>
        </w:rPr>
        <w:instrText xml:space="preserve"> </w:instrText>
      </w:r>
      <w:r w:rsidR="00A6794A">
        <w:rPr>
          <w:lang w:val="en-US" w:eastAsia="ru-RU"/>
        </w:rPr>
        <w:instrText>in</w:instrText>
      </w:r>
      <w:r w:rsidR="00A6794A" w:rsidRPr="00AA43FB">
        <w:rPr>
          <w:lang w:eastAsia="ru-RU"/>
        </w:rPr>
        <w:instrText xml:space="preserve"> </w:instrText>
      </w:r>
      <w:r w:rsidR="00A6794A">
        <w:rPr>
          <w:lang w:val="en-US" w:eastAsia="ru-RU"/>
        </w:rPr>
        <w:instrText>combination</w:instrText>
      </w:r>
      <w:r w:rsidR="00A6794A" w:rsidRPr="00AA43FB">
        <w:rPr>
          <w:lang w:eastAsia="ru-RU"/>
        </w:rPr>
        <w:instrText xml:space="preserve"> </w:instrText>
      </w:r>
      <w:r w:rsidR="00A6794A">
        <w:rPr>
          <w:lang w:val="en-US" w:eastAsia="ru-RU"/>
        </w:rPr>
        <w:instrText>with</w:instrText>
      </w:r>
      <w:r w:rsidR="00A6794A" w:rsidRPr="00AA43FB">
        <w:rPr>
          <w:lang w:eastAsia="ru-RU"/>
        </w:rPr>
        <w:instrText xml:space="preserve"> </w:instrText>
      </w:r>
      <w:r w:rsidR="00A6794A">
        <w:rPr>
          <w:lang w:val="en-US" w:eastAsia="ru-RU"/>
        </w:rPr>
        <w:instrText>chemotherapy</w:instrText>
      </w:r>
      <w:r w:rsidR="00A6794A" w:rsidRPr="00AA43FB">
        <w:rPr>
          <w:lang w:eastAsia="ru-RU"/>
        </w:rPr>
        <w:instrText xml:space="preserve">, </w:instrText>
      </w:r>
      <w:r w:rsidR="00A6794A">
        <w:rPr>
          <w:lang w:val="en-US" w:eastAsia="ru-RU"/>
        </w:rPr>
        <w:instrText>rituximab</w:instrText>
      </w:r>
      <w:r w:rsidR="00A6794A" w:rsidRPr="00AA43FB">
        <w:rPr>
          <w:lang w:eastAsia="ru-RU"/>
        </w:rPr>
        <w:instrText xml:space="preserve"> </w:instrText>
      </w:r>
      <w:r w:rsidR="00A6794A">
        <w:rPr>
          <w:lang w:val="en-US" w:eastAsia="ru-RU"/>
        </w:rPr>
        <w:instrText>has</w:instrText>
      </w:r>
      <w:r w:rsidR="00A6794A" w:rsidRPr="00AA43FB">
        <w:rPr>
          <w:lang w:eastAsia="ru-RU"/>
        </w:rPr>
        <w:instrText xml:space="preserve"> </w:instrText>
      </w:r>
      <w:r w:rsidR="00A6794A">
        <w:rPr>
          <w:lang w:val="en-US" w:eastAsia="ru-RU"/>
        </w:rPr>
        <w:instrText>been</w:instrText>
      </w:r>
      <w:r w:rsidR="00A6794A" w:rsidRPr="00AA43FB">
        <w:rPr>
          <w:lang w:eastAsia="ru-RU"/>
        </w:rPr>
        <w:instrText xml:space="preserve"> </w:instrText>
      </w:r>
      <w:r w:rsidR="00A6794A">
        <w:rPr>
          <w:lang w:val="en-US" w:eastAsia="ru-RU"/>
        </w:rPr>
        <w:instrText>shown</w:instrText>
      </w:r>
      <w:r w:rsidR="00A6794A" w:rsidRPr="00AA43FB">
        <w:rPr>
          <w:lang w:eastAsia="ru-RU"/>
        </w:rPr>
        <w:instrText xml:space="preserve"> </w:instrText>
      </w:r>
      <w:r w:rsidR="00A6794A">
        <w:rPr>
          <w:lang w:val="en-US" w:eastAsia="ru-RU"/>
        </w:rPr>
        <w:instrText>to</w:instrText>
      </w:r>
      <w:r w:rsidR="00A6794A" w:rsidRPr="00AA43FB">
        <w:rPr>
          <w:lang w:eastAsia="ru-RU"/>
        </w:rPr>
        <w:instrText xml:space="preserve"> </w:instrText>
      </w:r>
      <w:r w:rsidR="00A6794A">
        <w:rPr>
          <w:lang w:val="en-US" w:eastAsia="ru-RU"/>
        </w:rPr>
        <w:instrText>prolong</w:instrText>
      </w:r>
      <w:r w:rsidR="00A6794A" w:rsidRPr="00AA43FB">
        <w:rPr>
          <w:lang w:eastAsia="ru-RU"/>
        </w:rPr>
        <w:instrText xml:space="preserve"> </w:instrText>
      </w:r>
      <w:r w:rsidR="00A6794A">
        <w:rPr>
          <w:lang w:val="en-US" w:eastAsia="ru-RU"/>
        </w:rPr>
        <w:instrText>progression</w:instrText>
      </w:r>
      <w:r w:rsidR="00A6794A" w:rsidRPr="00AA43FB">
        <w:rPr>
          <w:lang w:eastAsia="ru-RU"/>
        </w:rPr>
        <w:instrText>-</w:instrText>
      </w:r>
      <w:r w:rsidR="00A6794A">
        <w:rPr>
          <w:lang w:val="en-US" w:eastAsia="ru-RU"/>
        </w:rPr>
        <w:instrText>free</w:instrText>
      </w:r>
      <w:r w:rsidR="00A6794A" w:rsidRPr="00AA43FB">
        <w:rPr>
          <w:lang w:eastAsia="ru-RU"/>
        </w:rPr>
        <w:instrText xml:space="preserve"> </w:instrText>
      </w:r>
      <w:r w:rsidR="00A6794A">
        <w:rPr>
          <w:lang w:val="en-US" w:eastAsia="ru-RU"/>
        </w:rPr>
        <w:instrText>survival</w:instrText>
      </w:r>
      <w:r w:rsidR="00A6794A" w:rsidRPr="00AA43FB">
        <w:rPr>
          <w:lang w:eastAsia="ru-RU"/>
        </w:rPr>
        <w:instrText xml:space="preserve"> </w:instrText>
      </w:r>
      <w:r w:rsidR="00A6794A">
        <w:rPr>
          <w:lang w:val="en-US" w:eastAsia="ru-RU"/>
        </w:rPr>
        <w:instrText>and</w:instrText>
      </w:r>
      <w:r w:rsidR="00A6794A" w:rsidRPr="00AA43FB">
        <w:rPr>
          <w:lang w:eastAsia="ru-RU"/>
        </w:rPr>
        <w:instrText xml:space="preserve">, </w:instrText>
      </w:r>
      <w:r w:rsidR="00A6794A">
        <w:rPr>
          <w:lang w:val="en-US" w:eastAsia="ru-RU"/>
        </w:rPr>
        <w:instrText>in</w:instrText>
      </w:r>
      <w:r w:rsidR="00A6794A" w:rsidRPr="00AA43FB">
        <w:rPr>
          <w:lang w:eastAsia="ru-RU"/>
        </w:rPr>
        <w:instrText xml:space="preserve"> </w:instrText>
      </w:r>
      <w:r w:rsidR="00A6794A">
        <w:rPr>
          <w:lang w:val="en-US" w:eastAsia="ru-RU"/>
        </w:rPr>
        <w:instrText>some</w:instrText>
      </w:r>
      <w:r w:rsidR="00A6794A" w:rsidRPr="00AA43FB">
        <w:rPr>
          <w:lang w:eastAsia="ru-RU"/>
        </w:rPr>
        <w:instrText xml:space="preserve"> </w:instrText>
      </w:r>
      <w:r w:rsidR="00A6794A">
        <w:rPr>
          <w:lang w:val="en-US" w:eastAsia="ru-RU"/>
        </w:rPr>
        <w:instrText>indications</w:instrText>
      </w:r>
      <w:r w:rsidR="00A6794A" w:rsidRPr="00AA43FB">
        <w:rPr>
          <w:lang w:eastAsia="ru-RU"/>
        </w:rPr>
        <w:instrText xml:space="preserve"> </w:instrText>
      </w:r>
      <w:r w:rsidR="00A6794A">
        <w:rPr>
          <w:lang w:val="en-US" w:eastAsia="ru-RU"/>
        </w:rPr>
        <w:instrText>overall</w:instrText>
      </w:r>
      <w:r w:rsidR="00A6794A" w:rsidRPr="00AA43FB">
        <w:rPr>
          <w:lang w:eastAsia="ru-RU"/>
        </w:rPr>
        <w:instrText xml:space="preserve"> </w:instrText>
      </w:r>
      <w:r w:rsidR="00A6794A">
        <w:rPr>
          <w:lang w:val="en-US" w:eastAsia="ru-RU"/>
        </w:rPr>
        <w:instrText>survival</w:instrText>
      </w:r>
      <w:r w:rsidR="00A6794A" w:rsidRPr="00AA43FB">
        <w:rPr>
          <w:lang w:eastAsia="ru-RU"/>
        </w:rPr>
        <w:instrText xml:space="preserve">, </w:instrText>
      </w:r>
      <w:r w:rsidR="00A6794A">
        <w:rPr>
          <w:lang w:val="en-US" w:eastAsia="ru-RU"/>
        </w:rPr>
        <w:instrText>in</w:instrText>
      </w:r>
      <w:r w:rsidR="00A6794A" w:rsidRPr="00AA43FB">
        <w:rPr>
          <w:lang w:eastAsia="ru-RU"/>
        </w:rPr>
        <w:instrText xml:space="preserve"> </w:instrText>
      </w:r>
      <w:r w:rsidR="00A6794A">
        <w:rPr>
          <w:lang w:val="en-US" w:eastAsia="ru-RU"/>
        </w:rPr>
        <w:instrText>patients</w:instrText>
      </w:r>
      <w:r w:rsidR="00A6794A" w:rsidRPr="00AA43FB">
        <w:rPr>
          <w:lang w:eastAsia="ru-RU"/>
        </w:rPr>
        <w:instrText xml:space="preserve"> </w:instrText>
      </w:r>
      <w:r w:rsidR="00A6794A">
        <w:rPr>
          <w:lang w:val="en-US" w:eastAsia="ru-RU"/>
        </w:rPr>
        <w:instrText>with</w:instrText>
      </w:r>
      <w:r w:rsidR="00A6794A" w:rsidRPr="00AA43FB">
        <w:rPr>
          <w:lang w:eastAsia="ru-RU"/>
        </w:rPr>
        <w:instrText xml:space="preserve"> </w:instrText>
      </w:r>
      <w:r w:rsidR="00A6794A">
        <w:rPr>
          <w:lang w:val="en-US" w:eastAsia="ru-RU"/>
        </w:rPr>
        <w:instrText>various</w:instrText>
      </w:r>
      <w:r w:rsidR="00A6794A" w:rsidRPr="00AA43FB">
        <w:rPr>
          <w:lang w:eastAsia="ru-RU"/>
        </w:rPr>
        <w:instrText xml:space="preserve"> </w:instrText>
      </w:r>
      <w:r w:rsidR="00A6794A">
        <w:rPr>
          <w:lang w:val="en-US" w:eastAsia="ru-RU"/>
        </w:rPr>
        <w:instrText>B</w:instrText>
      </w:r>
      <w:r w:rsidR="00A6794A" w:rsidRPr="00AA43FB">
        <w:rPr>
          <w:lang w:eastAsia="ru-RU"/>
        </w:rPr>
        <w:instrText>-</w:instrText>
      </w:r>
      <w:r w:rsidR="00A6794A">
        <w:rPr>
          <w:lang w:val="en-US" w:eastAsia="ru-RU"/>
        </w:rPr>
        <w:instrText>cell</w:instrText>
      </w:r>
      <w:r w:rsidR="00A6794A" w:rsidRPr="00AA43FB">
        <w:rPr>
          <w:lang w:eastAsia="ru-RU"/>
        </w:rPr>
        <w:instrText xml:space="preserve"> </w:instrText>
      </w:r>
      <w:r w:rsidR="00A6794A">
        <w:rPr>
          <w:lang w:val="en-US" w:eastAsia="ru-RU"/>
        </w:rPr>
        <w:instrText>malignancies</w:instrText>
      </w:r>
      <w:r w:rsidR="00A6794A" w:rsidRPr="00AA43FB">
        <w:rPr>
          <w:lang w:eastAsia="ru-RU"/>
        </w:rPr>
        <w:instrText xml:space="preserve">, </w:instrText>
      </w:r>
      <w:r w:rsidR="00A6794A">
        <w:rPr>
          <w:lang w:val="en-US" w:eastAsia="ru-RU"/>
        </w:rPr>
        <w:instrText>while</w:instrText>
      </w:r>
      <w:r w:rsidR="00A6794A" w:rsidRPr="00AA43FB">
        <w:rPr>
          <w:lang w:eastAsia="ru-RU"/>
        </w:rPr>
        <w:instrText xml:space="preserve"> </w:instrText>
      </w:r>
      <w:r w:rsidR="00A6794A">
        <w:rPr>
          <w:lang w:val="en-US" w:eastAsia="ru-RU"/>
        </w:rPr>
        <w:instrText>having</w:instrText>
      </w:r>
      <w:r w:rsidR="00A6794A" w:rsidRPr="00AA43FB">
        <w:rPr>
          <w:lang w:eastAsia="ru-RU"/>
        </w:rPr>
        <w:instrText xml:space="preserve"> </w:instrText>
      </w:r>
      <w:r w:rsidR="00A6794A">
        <w:rPr>
          <w:lang w:val="en-US" w:eastAsia="ru-RU"/>
        </w:rPr>
        <w:instrText>a</w:instrText>
      </w:r>
      <w:r w:rsidR="00A6794A" w:rsidRPr="00AA43FB">
        <w:rPr>
          <w:lang w:eastAsia="ru-RU"/>
        </w:rPr>
        <w:instrText xml:space="preserve"> </w:instrText>
      </w:r>
      <w:r w:rsidR="00A6794A">
        <w:rPr>
          <w:lang w:val="en-US" w:eastAsia="ru-RU"/>
        </w:rPr>
        <w:instrText>well</w:instrText>
      </w:r>
      <w:r w:rsidR="00A6794A" w:rsidRPr="00AA43FB">
        <w:rPr>
          <w:lang w:eastAsia="ru-RU"/>
        </w:rPr>
        <w:instrText>-</w:instrText>
      </w:r>
      <w:r w:rsidR="00A6794A">
        <w:rPr>
          <w:lang w:val="en-US" w:eastAsia="ru-RU"/>
        </w:rPr>
        <w:instrText>established</w:instrText>
      </w:r>
      <w:r w:rsidR="00A6794A" w:rsidRPr="00AA43FB">
        <w:rPr>
          <w:lang w:eastAsia="ru-RU"/>
        </w:rPr>
        <w:instrText xml:space="preserve"> </w:instrText>
      </w:r>
      <w:r w:rsidR="00A6794A">
        <w:rPr>
          <w:lang w:val="en-US" w:eastAsia="ru-RU"/>
        </w:rPr>
        <w:instrText>and</w:instrText>
      </w:r>
      <w:r w:rsidR="00A6794A" w:rsidRPr="00AA43FB">
        <w:rPr>
          <w:lang w:eastAsia="ru-RU"/>
        </w:rPr>
        <w:instrText xml:space="preserve"> </w:instrText>
      </w:r>
      <w:r w:rsidR="00A6794A">
        <w:rPr>
          <w:lang w:val="en-US" w:eastAsia="ru-RU"/>
        </w:rPr>
        <w:instrText>manageable</w:instrText>
      </w:r>
      <w:r w:rsidR="00A6794A" w:rsidRPr="00AA43FB">
        <w:rPr>
          <w:lang w:eastAsia="ru-RU"/>
        </w:rPr>
        <w:instrText xml:space="preserve"> </w:instrText>
      </w:r>
      <w:r w:rsidR="00A6794A">
        <w:rPr>
          <w:lang w:val="en-US" w:eastAsia="ru-RU"/>
        </w:rPr>
        <w:instrText>safety</w:instrText>
      </w:r>
      <w:r w:rsidR="00A6794A" w:rsidRPr="00AA43FB">
        <w:rPr>
          <w:lang w:eastAsia="ru-RU"/>
        </w:rPr>
        <w:instrText xml:space="preserve"> </w:instrText>
      </w:r>
      <w:r w:rsidR="00A6794A">
        <w:rPr>
          <w:lang w:val="en-US" w:eastAsia="ru-RU"/>
        </w:rPr>
        <w:instrText>profile</w:instrText>
      </w:r>
      <w:r w:rsidR="00A6794A" w:rsidRPr="00AA43FB">
        <w:rPr>
          <w:lang w:eastAsia="ru-RU"/>
        </w:rPr>
        <w:instrText xml:space="preserve"> </w:instrText>
      </w:r>
      <w:r w:rsidR="00A6794A">
        <w:rPr>
          <w:lang w:val="en-US" w:eastAsia="ru-RU"/>
        </w:rPr>
        <w:instrText>and</w:instrText>
      </w:r>
      <w:r w:rsidR="00A6794A" w:rsidRPr="00AA43FB">
        <w:rPr>
          <w:lang w:eastAsia="ru-RU"/>
        </w:rPr>
        <w:instrText xml:space="preserve"> </w:instrText>
      </w:r>
      <w:r w:rsidR="00A6794A">
        <w:rPr>
          <w:lang w:val="en-US" w:eastAsia="ru-RU"/>
        </w:rPr>
        <w:instrText>a</w:instrText>
      </w:r>
      <w:r w:rsidR="00A6794A" w:rsidRPr="00AA43FB">
        <w:rPr>
          <w:lang w:eastAsia="ru-RU"/>
        </w:rPr>
        <w:instrText xml:space="preserve"> </w:instrText>
      </w:r>
      <w:r w:rsidR="00A6794A">
        <w:rPr>
          <w:lang w:val="en-US" w:eastAsia="ru-RU"/>
        </w:rPr>
        <w:instrText>wide</w:instrText>
      </w:r>
      <w:r w:rsidR="00A6794A" w:rsidRPr="00AA43FB">
        <w:rPr>
          <w:lang w:eastAsia="ru-RU"/>
        </w:rPr>
        <w:instrText xml:space="preserve"> </w:instrText>
      </w:r>
      <w:r w:rsidR="00A6794A">
        <w:rPr>
          <w:lang w:val="en-US" w:eastAsia="ru-RU"/>
        </w:rPr>
        <w:instrText>therapeutic</w:instrText>
      </w:r>
      <w:r w:rsidR="00A6794A" w:rsidRPr="00AA43FB">
        <w:rPr>
          <w:lang w:eastAsia="ru-RU"/>
        </w:rPr>
        <w:instrText xml:space="preserve"> </w:instrText>
      </w:r>
      <w:r w:rsidR="00A6794A">
        <w:rPr>
          <w:lang w:val="en-US" w:eastAsia="ru-RU"/>
        </w:rPr>
        <w:instrText>window</w:instrText>
      </w:r>
      <w:r w:rsidR="00A6794A" w:rsidRPr="00AA43FB">
        <w:rPr>
          <w:lang w:eastAsia="ru-RU"/>
        </w:rPr>
        <w:instrText xml:space="preserve">. </w:instrText>
      </w:r>
      <w:r w:rsidR="00A6794A">
        <w:rPr>
          <w:lang w:val="en-US" w:eastAsia="ru-RU"/>
        </w:rPr>
        <w:instrText>As</w:instrText>
      </w:r>
      <w:r w:rsidR="00A6794A" w:rsidRPr="00AA43FB">
        <w:rPr>
          <w:lang w:eastAsia="ru-RU"/>
        </w:rPr>
        <w:instrText xml:space="preserve"> </w:instrText>
      </w:r>
      <w:r w:rsidR="00A6794A">
        <w:rPr>
          <w:lang w:val="en-US" w:eastAsia="ru-RU"/>
        </w:rPr>
        <w:instrText>a</w:instrText>
      </w:r>
      <w:r w:rsidR="00A6794A" w:rsidRPr="00AA43FB">
        <w:rPr>
          <w:lang w:eastAsia="ru-RU"/>
        </w:rPr>
        <w:instrText xml:space="preserve"> </w:instrText>
      </w:r>
      <w:r w:rsidR="00A6794A">
        <w:rPr>
          <w:lang w:val="en-US" w:eastAsia="ru-RU"/>
        </w:rPr>
        <w:instrText>result</w:instrText>
      </w:r>
      <w:r w:rsidR="00A6794A" w:rsidRPr="00AA43FB">
        <w:rPr>
          <w:lang w:eastAsia="ru-RU"/>
        </w:rPr>
        <w:instrText xml:space="preserve">, </w:instrText>
      </w:r>
      <w:r w:rsidR="00A6794A">
        <w:rPr>
          <w:lang w:val="en-US" w:eastAsia="ru-RU"/>
        </w:rPr>
        <w:instrText>rituximab</w:instrText>
      </w:r>
      <w:r w:rsidR="00A6794A" w:rsidRPr="00AA43FB">
        <w:rPr>
          <w:lang w:eastAsia="ru-RU"/>
        </w:rPr>
        <w:instrText xml:space="preserve"> </w:instrText>
      </w:r>
      <w:r w:rsidR="00A6794A">
        <w:rPr>
          <w:lang w:val="en-US" w:eastAsia="ru-RU"/>
        </w:rPr>
        <w:instrText>is</w:instrText>
      </w:r>
      <w:r w:rsidR="00A6794A" w:rsidRPr="00AA43FB">
        <w:rPr>
          <w:lang w:eastAsia="ru-RU"/>
        </w:rPr>
        <w:instrText xml:space="preserve"> </w:instrText>
      </w:r>
      <w:r w:rsidR="00A6794A">
        <w:rPr>
          <w:lang w:val="en-US" w:eastAsia="ru-RU"/>
        </w:rPr>
        <w:instrText>considered</w:instrText>
      </w:r>
      <w:r w:rsidR="00A6794A" w:rsidRPr="00AA43FB">
        <w:rPr>
          <w:lang w:eastAsia="ru-RU"/>
        </w:rPr>
        <w:instrText xml:space="preserve"> </w:instrText>
      </w:r>
      <w:r w:rsidR="00A6794A">
        <w:rPr>
          <w:lang w:val="en-US" w:eastAsia="ru-RU"/>
        </w:rPr>
        <w:instrText>to</w:instrText>
      </w:r>
      <w:r w:rsidR="00A6794A" w:rsidRPr="00AA43FB">
        <w:rPr>
          <w:lang w:eastAsia="ru-RU"/>
        </w:rPr>
        <w:instrText xml:space="preserve"> </w:instrText>
      </w:r>
      <w:r w:rsidR="00A6794A">
        <w:rPr>
          <w:lang w:val="en-US" w:eastAsia="ru-RU"/>
        </w:rPr>
        <w:instrText>have</w:instrText>
      </w:r>
      <w:r w:rsidR="00A6794A" w:rsidRPr="00AA43FB">
        <w:rPr>
          <w:lang w:eastAsia="ru-RU"/>
        </w:rPr>
        <w:instrText xml:space="preserve"> </w:instrText>
      </w:r>
      <w:r w:rsidR="00A6794A">
        <w:rPr>
          <w:lang w:val="en-US" w:eastAsia="ru-RU"/>
        </w:rPr>
        <w:instrText>revolutionized</w:instrText>
      </w:r>
      <w:r w:rsidR="00A6794A" w:rsidRPr="00AA43FB">
        <w:rPr>
          <w:lang w:eastAsia="ru-RU"/>
        </w:rPr>
        <w:instrText xml:space="preserve"> </w:instrText>
      </w:r>
      <w:r w:rsidR="00A6794A">
        <w:rPr>
          <w:lang w:val="en-US" w:eastAsia="ru-RU"/>
        </w:rPr>
        <w:instrText>treatment</w:instrText>
      </w:r>
      <w:r w:rsidR="00A6794A" w:rsidRPr="00AA43FB">
        <w:rPr>
          <w:lang w:eastAsia="ru-RU"/>
        </w:rPr>
        <w:instrText xml:space="preserve"> </w:instrText>
      </w:r>
      <w:r w:rsidR="00A6794A">
        <w:rPr>
          <w:lang w:val="en-US" w:eastAsia="ru-RU"/>
        </w:rPr>
        <w:instrText>practices</w:instrText>
      </w:r>
      <w:r w:rsidR="00A6794A" w:rsidRPr="00AA43FB">
        <w:rPr>
          <w:lang w:eastAsia="ru-RU"/>
        </w:rPr>
        <w:instrText xml:space="preserve"> </w:instrText>
      </w:r>
      <w:r w:rsidR="00A6794A">
        <w:rPr>
          <w:lang w:val="en-US" w:eastAsia="ru-RU"/>
        </w:rPr>
        <w:instrText>for</w:instrText>
      </w:r>
      <w:r w:rsidR="00A6794A" w:rsidRPr="00AA43FB">
        <w:rPr>
          <w:lang w:eastAsia="ru-RU"/>
        </w:rPr>
        <w:instrText xml:space="preserve"> </w:instrText>
      </w:r>
      <w:r w:rsidR="00A6794A">
        <w:rPr>
          <w:lang w:val="en-US" w:eastAsia="ru-RU"/>
        </w:rPr>
        <w:instrText>patients</w:instrText>
      </w:r>
      <w:r w:rsidR="00A6794A" w:rsidRPr="00AA43FB">
        <w:rPr>
          <w:lang w:eastAsia="ru-RU"/>
        </w:rPr>
        <w:instrText xml:space="preserve"> </w:instrText>
      </w:r>
      <w:r w:rsidR="00A6794A">
        <w:rPr>
          <w:lang w:val="en-US" w:eastAsia="ru-RU"/>
        </w:rPr>
        <w:instrText>with</w:instrText>
      </w:r>
      <w:r w:rsidR="00A6794A" w:rsidRPr="00AA43FB">
        <w:rPr>
          <w:lang w:eastAsia="ru-RU"/>
        </w:rPr>
        <w:instrText xml:space="preserve"> </w:instrText>
      </w:r>
      <w:r w:rsidR="00A6794A">
        <w:rPr>
          <w:lang w:val="en-US" w:eastAsia="ru-RU"/>
        </w:rPr>
        <w:instrText>B</w:instrText>
      </w:r>
      <w:r w:rsidR="00A6794A" w:rsidRPr="00AA43FB">
        <w:rPr>
          <w:lang w:eastAsia="ru-RU"/>
        </w:rPr>
        <w:instrText>-</w:instrText>
      </w:r>
      <w:r w:rsidR="00A6794A">
        <w:rPr>
          <w:lang w:val="en-US" w:eastAsia="ru-RU"/>
        </w:rPr>
        <w:instrText>cell</w:instrText>
      </w:r>
      <w:r w:rsidR="00A6794A" w:rsidRPr="00AA43FB">
        <w:rPr>
          <w:lang w:eastAsia="ru-RU"/>
        </w:rPr>
        <w:instrText xml:space="preserve"> </w:instrText>
      </w:r>
      <w:r w:rsidR="00A6794A">
        <w:rPr>
          <w:lang w:val="en-US" w:eastAsia="ru-RU"/>
        </w:rPr>
        <w:instrText>malignancies</w:instrText>
      </w:r>
      <w:r w:rsidR="00A6794A" w:rsidRPr="00AA43FB">
        <w:rPr>
          <w:lang w:eastAsia="ru-RU"/>
        </w:rPr>
        <w:instrText xml:space="preserve">. </w:instrText>
      </w:r>
      <w:r w:rsidR="00A6794A">
        <w:rPr>
          <w:lang w:val="en-US" w:eastAsia="ru-RU"/>
        </w:rPr>
        <w:instrText>A</w:instrText>
      </w:r>
      <w:r w:rsidR="00A6794A" w:rsidRPr="00AA43FB">
        <w:rPr>
          <w:lang w:eastAsia="ru-RU"/>
        </w:rPr>
        <w:instrText xml:space="preserve"> </w:instrText>
      </w:r>
      <w:r w:rsidR="00A6794A">
        <w:rPr>
          <w:lang w:val="en-US" w:eastAsia="ru-RU"/>
        </w:rPr>
        <w:instrText>subcutaneous</w:instrText>
      </w:r>
      <w:r w:rsidR="00A6794A" w:rsidRPr="00AA43FB">
        <w:rPr>
          <w:lang w:eastAsia="ru-RU"/>
        </w:rPr>
        <w:instrText xml:space="preserve"> (</w:instrText>
      </w:r>
      <w:r w:rsidR="00A6794A">
        <w:rPr>
          <w:lang w:val="en-US" w:eastAsia="ru-RU"/>
        </w:rPr>
        <w:instrText>SC</w:instrText>
      </w:r>
      <w:r w:rsidR="00A6794A" w:rsidRPr="00AA43FB">
        <w:rPr>
          <w:lang w:eastAsia="ru-RU"/>
        </w:rPr>
        <w:instrText xml:space="preserve">) </w:instrText>
      </w:r>
      <w:r w:rsidR="00A6794A">
        <w:rPr>
          <w:lang w:val="en-US" w:eastAsia="ru-RU"/>
        </w:rPr>
        <w:instrText>formulation</w:instrText>
      </w:r>
      <w:r w:rsidR="00A6794A" w:rsidRPr="00AA43FB">
        <w:rPr>
          <w:lang w:eastAsia="ru-RU"/>
        </w:rPr>
        <w:instrText xml:space="preserve"> </w:instrText>
      </w:r>
      <w:r w:rsidR="00A6794A">
        <w:rPr>
          <w:lang w:val="en-US" w:eastAsia="ru-RU"/>
        </w:rPr>
        <w:instrText>of</w:instrText>
      </w:r>
      <w:r w:rsidR="00A6794A" w:rsidRPr="00AA43FB">
        <w:rPr>
          <w:lang w:eastAsia="ru-RU"/>
        </w:rPr>
        <w:instrText xml:space="preserve"> </w:instrText>
      </w:r>
      <w:r w:rsidR="00A6794A">
        <w:rPr>
          <w:lang w:val="en-US" w:eastAsia="ru-RU"/>
        </w:rPr>
        <w:instrText>rituximab</w:instrText>
      </w:r>
      <w:r w:rsidR="00A6794A" w:rsidRPr="00AA43FB">
        <w:rPr>
          <w:lang w:eastAsia="ru-RU"/>
        </w:rPr>
        <w:instrText xml:space="preserve"> </w:instrText>
      </w:r>
      <w:r w:rsidR="00A6794A">
        <w:rPr>
          <w:lang w:val="en-US" w:eastAsia="ru-RU"/>
        </w:rPr>
        <w:instrText>has</w:instrText>
      </w:r>
      <w:r w:rsidR="00A6794A" w:rsidRPr="00AA43FB">
        <w:rPr>
          <w:lang w:eastAsia="ru-RU"/>
        </w:rPr>
        <w:instrText xml:space="preserve"> </w:instrText>
      </w:r>
      <w:r w:rsidR="00A6794A">
        <w:rPr>
          <w:lang w:val="en-US" w:eastAsia="ru-RU"/>
        </w:rPr>
        <w:instrText>been</w:instrText>
      </w:r>
      <w:r w:rsidR="00A6794A" w:rsidRPr="00AA43FB">
        <w:rPr>
          <w:lang w:eastAsia="ru-RU"/>
        </w:rPr>
        <w:instrText xml:space="preserve"> </w:instrText>
      </w:r>
      <w:r w:rsidR="00A6794A">
        <w:rPr>
          <w:lang w:val="en-US" w:eastAsia="ru-RU"/>
        </w:rPr>
        <w:instrText>developed</w:instrText>
      </w:r>
      <w:r w:rsidR="00A6794A" w:rsidRPr="00AA43FB">
        <w:rPr>
          <w:lang w:eastAsia="ru-RU"/>
        </w:rPr>
        <w:instrText xml:space="preserve">, </w:instrText>
      </w:r>
      <w:r w:rsidR="00A6794A">
        <w:rPr>
          <w:lang w:val="en-US" w:eastAsia="ru-RU"/>
        </w:rPr>
        <w:instrText>comprising</w:instrText>
      </w:r>
      <w:r w:rsidR="00A6794A" w:rsidRPr="00AA43FB">
        <w:rPr>
          <w:lang w:eastAsia="ru-RU"/>
        </w:rPr>
        <w:instrText xml:space="preserve"> </w:instrText>
      </w:r>
      <w:r w:rsidR="00A6794A">
        <w:rPr>
          <w:lang w:val="en-US" w:eastAsia="ru-RU"/>
        </w:rPr>
        <w:instrText>the</w:instrText>
      </w:r>
      <w:r w:rsidR="00A6794A" w:rsidRPr="00AA43FB">
        <w:rPr>
          <w:lang w:eastAsia="ru-RU"/>
        </w:rPr>
        <w:instrText xml:space="preserve"> </w:instrText>
      </w:r>
      <w:r w:rsidR="00A6794A">
        <w:rPr>
          <w:lang w:val="en-US" w:eastAsia="ru-RU"/>
        </w:rPr>
        <w:instrText>same</w:instrText>
      </w:r>
      <w:r w:rsidR="00A6794A" w:rsidRPr="00AA43FB">
        <w:rPr>
          <w:lang w:eastAsia="ru-RU"/>
        </w:rPr>
        <w:instrText xml:space="preserve"> </w:instrText>
      </w:r>
      <w:r w:rsidR="00A6794A">
        <w:rPr>
          <w:lang w:val="en-US" w:eastAsia="ru-RU"/>
        </w:rPr>
        <w:instrText>monoclonal</w:instrText>
      </w:r>
      <w:r w:rsidR="00A6794A" w:rsidRPr="00AA43FB">
        <w:rPr>
          <w:lang w:eastAsia="ru-RU"/>
        </w:rPr>
        <w:instrText xml:space="preserve"> </w:instrText>
      </w:r>
      <w:r w:rsidR="00A6794A">
        <w:rPr>
          <w:lang w:val="en-US" w:eastAsia="ru-RU"/>
        </w:rPr>
        <w:instrText>antibody</w:instrText>
      </w:r>
      <w:r w:rsidR="00A6794A" w:rsidRPr="00AA43FB">
        <w:rPr>
          <w:lang w:eastAsia="ru-RU"/>
        </w:rPr>
        <w:instrText xml:space="preserve"> </w:instrText>
      </w:r>
      <w:r w:rsidR="00A6794A">
        <w:rPr>
          <w:lang w:val="en-US" w:eastAsia="ru-RU"/>
        </w:rPr>
        <w:instrText>as</w:instrText>
      </w:r>
      <w:r w:rsidR="00A6794A" w:rsidRPr="00AA43FB">
        <w:rPr>
          <w:lang w:eastAsia="ru-RU"/>
        </w:rPr>
        <w:instrText xml:space="preserve"> </w:instrText>
      </w:r>
      <w:r w:rsidR="00A6794A">
        <w:rPr>
          <w:lang w:val="en-US" w:eastAsia="ru-RU"/>
        </w:rPr>
        <w:instrText>the</w:instrText>
      </w:r>
      <w:r w:rsidR="00A6794A" w:rsidRPr="00AA43FB">
        <w:rPr>
          <w:lang w:eastAsia="ru-RU"/>
        </w:rPr>
        <w:instrText xml:space="preserve"> </w:instrText>
      </w:r>
      <w:r w:rsidR="00A6794A">
        <w:rPr>
          <w:lang w:val="en-US" w:eastAsia="ru-RU"/>
        </w:rPr>
        <w:instrText>originally</w:instrText>
      </w:r>
      <w:r w:rsidR="00A6794A" w:rsidRPr="00AA43FB">
        <w:rPr>
          <w:lang w:eastAsia="ru-RU"/>
        </w:rPr>
        <w:instrText xml:space="preserve"> </w:instrText>
      </w:r>
      <w:r w:rsidR="00A6794A">
        <w:rPr>
          <w:lang w:val="en-US" w:eastAsia="ru-RU"/>
        </w:rPr>
        <w:instrText>marketed</w:instrText>
      </w:r>
      <w:r w:rsidR="00A6794A" w:rsidRPr="00AA43FB">
        <w:rPr>
          <w:lang w:eastAsia="ru-RU"/>
        </w:rPr>
        <w:instrText xml:space="preserve"> </w:instrText>
      </w:r>
      <w:r w:rsidR="00A6794A">
        <w:rPr>
          <w:lang w:val="en-US" w:eastAsia="ru-RU"/>
        </w:rPr>
        <w:instrText>formulation</w:instrText>
      </w:r>
      <w:r w:rsidR="00A6794A" w:rsidRPr="00AA43FB">
        <w:rPr>
          <w:lang w:eastAsia="ru-RU"/>
        </w:rPr>
        <w:instrText xml:space="preserve"> [</w:instrText>
      </w:r>
      <w:r w:rsidR="00A6794A">
        <w:rPr>
          <w:lang w:val="en-US" w:eastAsia="ru-RU"/>
        </w:rPr>
        <w:instrText>rituximab</w:instrText>
      </w:r>
      <w:r w:rsidR="00A6794A" w:rsidRPr="00AA43FB">
        <w:rPr>
          <w:lang w:eastAsia="ru-RU"/>
        </w:rPr>
        <w:instrText xml:space="preserve"> </w:instrText>
      </w:r>
      <w:r w:rsidR="00A6794A">
        <w:rPr>
          <w:lang w:val="en-US" w:eastAsia="ru-RU"/>
        </w:rPr>
        <w:instrText>concentrate</w:instrText>
      </w:r>
      <w:r w:rsidR="00A6794A" w:rsidRPr="00AA43FB">
        <w:rPr>
          <w:lang w:eastAsia="ru-RU"/>
        </w:rPr>
        <w:instrText xml:space="preserve"> </w:instrText>
      </w:r>
      <w:r w:rsidR="00A6794A">
        <w:rPr>
          <w:lang w:val="en-US" w:eastAsia="ru-RU"/>
        </w:rPr>
        <w:instrText>for</w:instrText>
      </w:r>
      <w:r w:rsidR="00A6794A" w:rsidRPr="00AA43FB">
        <w:rPr>
          <w:lang w:eastAsia="ru-RU"/>
        </w:rPr>
        <w:instrText xml:space="preserve"> </w:instrText>
      </w:r>
      <w:r w:rsidR="00A6794A">
        <w:rPr>
          <w:lang w:val="en-US" w:eastAsia="ru-RU"/>
        </w:rPr>
        <w:instrText>solution</w:instrText>
      </w:r>
      <w:r w:rsidR="00A6794A" w:rsidRPr="00AA43FB">
        <w:rPr>
          <w:lang w:eastAsia="ru-RU"/>
        </w:rPr>
        <w:instrText xml:space="preserve"> </w:instrText>
      </w:r>
      <w:r w:rsidR="00A6794A">
        <w:rPr>
          <w:lang w:val="en-US" w:eastAsia="ru-RU"/>
        </w:rPr>
        <w:instrText>for</w:instrText>
      </w:r>
      <w:r w:rsidR="00A6794A" w:rsidRPr="00AA43FB">
        <w:rPr>
          <w:lang w:eastAsia="ru-RU"/>
        </w:rPr>
        <w:instrText xml:space="preserve"> </w:instrText>
      </w:r>
      <w:r w:rsidR="00A6794A">
        <w:rPr>
          <w:lang w:val="en-US" w:eastAsia="ru-RU"/>
        </w:rPr>
        <w:instrText>intravenous</w:instrText>
      </w:r>
      <w:r w:rsidR="00A6794A" w:rsidRPr="00AA43FB">
        <w:rPr>
          <w:lang w:eastAsia="ru-RU"/>
        </w:rPr>
        <w:instrText xml:space="preserve"> (</w:instrText>
      </w:r>
      <w:r w:rsidR="00A6794A">
        <w:rPr>
          <w:lang w:val="en-US" w:eastAsia="ru-RU"/>
        </w:rPr>
        <w:instrText>IV</w:instrText>
      </w:r>
      <w:r w:rsidR="00A6794A" w:rsidRPr="00AA43FB">
        <w:rPr>
          <w:lang w:eastAsia="ru-RU"/>
        </w:rPr>
        <w:instrText xml:space="preserve">) </w:instrText>
      </w:r>
      <w:r w:rsidR="00A6794A">
        <w:rPr>
          <w:lang w:val="en-US" w:eastAsia="ru-RU"/>
        </w:rPr>
        <w:instrText>infusion</w:instrText>
      </w:r>
      <w:r w:rsidR="00A6794A" w:rsidRPr="00AA43FB">
        <w:rPr>
          <w:lang w:eastAsia="ru-RU"/>
        </w:rPr>
        <w:instrText xml:space="preserve">], </w:instrText>
      </w:r>
      <w:r w:rsidR="00A6794A">
        <w:rPr>
          <w:lang w:val="en-US" w:eastAsia="ru-RU"/>
        </w:rPr>
        <w:instrText>and</w:instrText>
      </w:r>
      <w:r w:rsidR="00A6794A" w:rsidRPr="00AA43FB">
        <w:rPr>
          <w:lang w:eastAsia="ru-RU"/>
        </w:rPr>
        <w:instrText xml:space="preserve"> </w:instrText>
      </w:r>
      <w:r w:rsidR="00A6794A">
        <w:rPr>
          <w:lang w:val="en-US" w:eastAsia="ru-RU"/>
        </w:rPr>
        <w:instrText>has</w:instrText>
      </w:r>
      <w:r w:rsidR="00A6794A" w:rsidRPr="00AA43FB">
        <w:rPr>
          <w:lang w:eastAsia="ru-RU"/>
        </w:rPr>
        <w:instrText xml:space="preserve"> </w:instrText>
      </w:r>
      <w:r w:rsidR="00A6794A">
        <w:rPr>
          <w:lang w:val="en-US" w:eastAsia="ru-RU"/>
        </w:rPr>
        <w:instrText>undergone</w:instrText>
      </w:r>
      <w:r w:rsidR="00A6794A" w:rsidRPr="00AA43FB">
        <w:rPr>
          <w:lang w:eastAsia="ru-RU"/>
        </w:rPr>
        <w:instrText xml:space="preserve"> </w:instrText>
      </w:r>
      <w:r w:rsidR="00A6794A">
        <w:rPr>
          <w:lang w:val="en-US" w:eastAsia="ru-RU"/>
        </w:rPr>
        <w:instrText>a</w:instrText>
      </w:r>
      <w:r w:rsidR="00A6794A" w:rsidRPr="00AA43FB">
        <w:rPr>
          <w:lang w:eastAsia="ru-RU"/>
        </w:rPr>
        <w:instrText xml:space="preserve"> </w:instrText>
      </w:r>
      <w:r w:rsidR="00A6794A">
        <w:rPr>
          <w:lang w:val="en-US" w:eastAsia="ru-RU"/>
        </w:rPr>
        <w:instrText>detailed</w:instrText>
      </w:r>
      <w:r w:rsidR="00A6794A" w:rsidRPr="00AA43FB">
        <w:rPr>
          <w:lang w:eastAsia="ru-RU"/>
        </w:rPr>
        <w:instrText xml:space="preserve">, </w:instrText>
      </w:r>
      <w:r w:rsidR="00A6794A">
        <w:rPr>
          <w:lang w:val="en-US" w:eastAsia="ru-RU"/>
        </w:rPr>
        <w:instrText>sequential</w:instrText>
      </w:r>
      <w:r w:rsidR="00A6794A" w:rsidRPr="00AA43FB">
        <w:rPr>
          <w:lang w:eastAsia="ru-RU"/>
        </w:rPr>
        <w:instrText xml:space="preserve"> </w:instrText>
      </w:r>
      <w:r w:rsidR="00A6794A">
        <w:rPr>
          <w:lang w:val="en-US" w:eastAsia="ru-RU"/>
        </w:rPr>
        <w:instrText>clinical</w:instrText>
      </w:r>
      <w:r w:rsidR="00A6794A" w:rsidRPr="00AA43FB">
        <w:rPr>
          <w:lang w:eastAsia="ru-RU"/>
        </w:rPr>
        <w:instrText xml:space="preserve"> </w:instrText>
      </w:r>
      <w:r w:rsidR="00A6794A">
        <w:rPr>
          <w:lang w:val="en-US" w:eastAsia="ru-RU"/>
        </w:rPr>
        <w:instrText>development</w:instrText>
      </w:r>
      <w:r w:rsidR="00A6794A" w:rsidRPr="00AA43FB">
        <w:rPr>
          <w:lang w:eastAsia="ru-RU"/>
        </w:rPr>
        <w:instrText xml:space="preserve"> </w:instrText>
      </w:r>
      <w:r w:rsidR="00A6794A">
        <w:rPr>
          <w:lang w:val="en-US" w:eastAsia="ru-RU"/>
        </w:rPr>
        <w:instrText>program</w:instrText>
      </w:r>
      <w:r w:rsidR="00A6794A" w:rsidRPr="00AA43FB">
        <w:rPr>
          <w:lang w:eastAsia="ru-RU"/>
        </w:rPr>
        <w:instrText xml:space="preserve">. </w:instrText>
      </w:r>
      <w:r w:rsidR="00A6794A">
        <w:rPr>
          <w:lang w:val="en-US" w:eastAsia="ru-RU"/>
        </w:rPr>
        <w:instrText>This</w:instrText>
      </w:r>
      <w:r w:rsidR="00A6794A" w:rsidRPr="00AA43FB">
        <w:rPr>
          <w:lang w:eastAsia="ru-RU"/>
        </w:rPr>
        <w:instrText xml:space="preserve"> </w:instrText>
      </w:r>
      <w:r w:rsidR="00A6794A">
        <w:rPr>
          <w:lang w:val="en-US" w:eastAsia="ru-RU"/>
        </w:rPr>
        <w:instrText>program</w:instrText>
      </w:r>
      <w:r w:rsidR="00A6794A" w:rsidRPr="00AA43FB">
        <w:rPr>
          <w:lang w:eastAsia="ru-RU"/>
        </w:rPr>
        <w:instrText xml:space="preserve"> </w:instrText>
      </w:r>
      <w:r w:rsidR="00A6794A">
        <w:rPr>
          <w:lang w:val="en-US" w:eastAsia="ru-RU"/>
        </w:rPr>
        <w:instrText>demonstrated</w:instrText>
      </w:r>
      <w:r w:rsidR="00A6794A" w:rsidRPr="00AA43FB">
        <w:rPr>
          <w:lang w:eastAsia="ru-RU"/>
        </w:rPr>
        <w:instrText xml:space="preserve"> </w:instrText>
      </w:r>
      <w:r w:rsidR="00A6794A">
        <w:rPr>
          <w:lang w:val="en-US" w:eastAsia="ru-RU"/>
        </w:rPr>
        <w:instrText>that</w:instrText>
      </w:r>
      <w:r w:rsidR="00A6794A" w:rsidRPr="00AA43FB">
        <w:rPr>
          <w:lang w:eastAsia="ru-RU"/>
        </w:rPr>
        <w:instrText xml:space="preserve">, </w:instrText>
      </w:r>
      <w:r w:rsidR="00A6794A">
        <w:rPr>
          <w:lang w:val="en-US" w:eastAsia="ru-RU"/>
        </w:rPr>
        <w:instrText>at</w:instrText>
      </w:r>
      <w:r w:rsidR="00A6794A" w:rsidRPr="00AA43FB">
        <w:rPr>
          <w:lang w:eastAsia="ru-RU"/>
        </w:rPr>
        <w:instrText xml:space="preserve"> </w:instrText>
      </w:r>
      <w:r w:rsidR="00A6794A">
        <w:rPr>
          <w:lang w:val="en-US" w:eastAsia="ru-RU"/>
        </w:rPr>
        <w:instrText>fixed</w:instrText>
      </w:r>
      <w:r w:rsidR="00A6794A" w:rsidRPr="00AA43FB">
        <w:rPr>
          <w:lang w:eastAsia="ru-RU"/>
        </w:rPr>
        <w:instrText xml:space="preserve"> </w:instrText>
      </w:r>
      <w:r w:rsidR="00A6794A">
        <w:rPr>
          <w:lang w:val="en-US" w:eastAsia="ru-RU"/>
        </w:rPr>
        <w:instrText>doses</w:instrText>
      </w:r>
      <w:r w:rsidR="00A6794A" w:rsidRPr="00AA43FB">
        <w:rPr>
          <w:lang w:eastAsia="ru-RU"/>
        </w:rPr>
        <w:instrText xml:space="preserve">, </w:instrText>
      </w:r>
      <w:r w:rsidR="00A6794A">
        <w:rPr>
          <w:lang w:val="en-US" w:eastAsia="ru-RU"/>
        </w:rPr>
        <w:instrText>rituximab</w:instrText>
      </w:r>
      <w:r w:rsidR="00A6794A" w:rsidRPr="00AA43FB">
        <w:rPr>
          <w:lang w:eastAsia="ru-RU"/>
        </w:rPr>
        <w:instrText xml:space="preserve"> </w:instrText>
      </w:r>
      <w:r w:rsidR="00A6794A">
        <w:rPr>
          <w:lang w:val="en-US" w:eastAsia="ru-RU"/>
        </w:rPr>
        <w:instrText>SC</w:instrText>
      </w:r>
      <w:r w:rsidR="00A6794A" w:rsidRPr="00AA43FB">
        <w:rPr>
          <w:lang w:eastAsia="ru-RU"/>
        </w:rPr>
        <w:instrText xml:space="preserve"> </w:instrText>
      </w:r>
      <w:r w:rsidR="00A6794A">
        <w:rPr>
          <w:lang w:val="en-US" w:eastAsia="ru-RU"/>
        </w:rPr>
        <w:instrText>achieves</w:instrText>
      </w:r>
      <w:r w:rsidR="00A6794A" w:rsidRPr="00AA43FB">
        <w:rPr>
          <w:lang w:eastAsia="ru-RU"/>
        </w:rPr>
        <w:instrText xml:space="preserve"> </w:instrText>
      </w:r>
      <w:r w:rsidR="00A6794A">
        <w:rPr>
          <w:lang w:val="en-US" w:eastAsia="ru-RU"/>
        </w:rPr>
        <w:instrText>non</w:instrText>
      </w:r>
      <w:r w:rsidR="00A6794A" w:rsidRPr="00AA43FB">
        <w:rPr>
          <w:lang w:eastAsia="ru-RU"/>
        </w:rPr>
        <w:instrText>-</w:instrText>
      </w:r>
      <w:r w:rsidR="00A6794A">
        <w:rPr>
          <w:lang w:val="en-US" w:eastAsia="ru-RU"/>
        </w:rPr>
        <w:instrText>inferior</w:instrText>
      </w:r>
      <w:r w:rsidR="00A6794A" w:rsidRPr="00AA43FB">
        <w:rPr>
          <w:lang w:eastAsia="ru-RU"/>
        </w:rPr>
        <w:instrText xml:space="preserve"> </w:instrText>
      </w:r>
      <w:r w:rsidR="00A6794A">
        <w:rPr>
          <w:lang w:val="en-US" w:eastAsia="ru-RU"/>
        </w:rPr>
        <w:instrText>serum</w:instrText>
      </w:r>
      <w:r w:rsidR="00A6794A" w:rsidRPr="00AA43FB">
        <w:rPr>
          <w:lang w:eastAsia="ru-RU"/>
        </w:rPr>
        <w:instrText xml:space="preserve"> </w:instrText>
      </w:r>
      <w:r w:rsidR="00A6794A">
        <w:rPr>
          <w:lang w:val="en-US" w:eastAsia="ru-RU"/>
        </w:rPr>
        <w:instrText>trough</w:instrText>
      </w:r>
      <w:r w:rsidR="00A6794A" w:rsidRPr="00AA43FB">
        <w:rPr>
          <w:lang w:eastAsia="ru-RU"/>
        </w:rPr>
        <w:instrText xml:space="preserve"> </w:instrText>
      </w:r>
      <w:r w:rsidR="00A6794A">
        <w:rPr>
          <w:lang w:val="en-US" w:eastAsia="ru-RU"/>
        </w:rPr>
        <w:instrText>concentrations</w:instrText>
      </w:r>
      <w:r w:rsidR="00A6794A" w:rsidRPr="00AA43FB">
        <w:rPr>
          <w:lang w:eastAsia="ru-RU"/>
        </w:rPr>
        <w:instrText xml:space="preserve"> </w:instrText>
      </w:r>
      <w:r w:rsidR="00A6794A">
        <w:rPr>
          <w:lang w:val="en-US" w:eastAsia="ru-RU"/>
        </w:rPr>
        <w:instrText>in</w:instrText>
      </w:r>
      <w:r w:rsidR="00A6794A" w:rsidRPr="00AA43FB">
        <w:rPr>
          <w:lang w:eastAsia="ru-RU"/>
        </w:rPr>
        <w:instrText xml:space="preserve"> </w:instrText>
      </w:r>
      <w:r w:rsidR="00A6794A">
        <w:rPr>
          <w:lang w:val="en-US" w:eastAsia="ru-RU"/>
        </w:rPr>
        <w:instrText>patients</w:instrText>
      </w:r>
      <w:r w:rsidR="00A6794A" w:rsidRPr="00AA43FB">
        <w:rPr>
          <w:lang w:eastAsia="ru-RU"/>
        </w:rPr>
        <w:instrText xml:space="preserve"> </w:instrText>
      </w:r>
      <w:r w:rsidR="00A6794A">
        <w:rPr>
          <w:lang w:val="en-US" w:eastAsia="ru-RU"/>
        </w:rPr>
        <w:instrText>with</w:instrText>
      </w:r>
      <w:r w:rsidR="00A6794A" w:rsidRPr="00AA43FB">
        <w:rPr>
          <w:lang w:eastAsia="ru-RU"/>
        </w:rPr>
        <w:instrText xml:space="preserve"> </w:instrText>
      </w:r>
      <w:r w:rsidR="00A6794A">
        <w:rPr>
          <w:lang w:val="en-US" w:eastAsia="ru-RU"/>
        </w:rPr>
        <w:instrText>non</w:instrText>
      </w:r>
      <w:r w:rsidR="00A6794A" w:rsidRPr="00AA43FB">
        <w:rPr>
          <w:lang w:eastAsia="ru-RU"/>
        </w:rPr>
        <w:instrText>-</w:instrText>
      </w:r>
      <w:r w:rsidR="00A6794A">
        <w:rPr>
          <w:lang w:val="en-US" w:eastAsia="ru-RU"/>
        </w:rPr>
        <w:instrText>Hodgkin</w:instrText>
      </w:r>
      <w:r w:rsidR="00A6794A" w:rsidRPr="00AA43FB">
        <w:rPr>
          <w:lang w:eastAsia="ru-RU"/>
        </w:rPr>
        <w:instrText xml:space="preserve"> </w:instrText>
      </w:r>
      <w:r w:rsidR="00A6794A">
        <w:rPr>
          <w:lang w:val="en-US" w:eastAsia="ru-RU"/>
        </w:rPr>
        <w:instrText>lymphoma</w:instrText>
      </w:r>
      <w:r w:rsidR="00A6794A" w:rsidRPr="00AA43FB">
        <w:rPr>
          <w:lang w:eastAsia="ru-RU"/>
        </w:rPr>
        <w:instrText xml:space="preserve"> </w:instrText>
      </w:r>
      <w:r w:rsidR="00A6794A">
        <w:rPr>
          <w:lang w:val="en-US" w:eastAsia="ru-RU"/>
        </w:rPr>
        <w:instrText>and</w:instrText>
      </w:r>
      <w:r w:rsidR="00A6794A" w:rsidRPr="00AA43FB">
        <w:rPr>
          <w:lang w:eastAsia="ru-RU"/>
        </w:rPr>
        <w:instrText xml:space="preserve"> </w:instrText>
      </w:r>
      <w:r w:rsidR="00A6794A">
        <w:rPr>
          <w:lang w:val="en-US" w:eastAsia="ru-RU"/>
        </w:rPr>
        <w:instrText>chronic</w:instrText>
      </w:r>
      <w:r w:rsidR="00A6794A" w:rsidRPr="00AA43FB">
        <w:rPr>
          <w:lang w:eastAsia="ru-RU"/>
        </w:rPr>
        <w:instrText xml:space="preserve"> </w:instrText>
      </w:r>
      <w:r w:rsidR="00A6794A">
        <w:rPr>
          <w:lang w:val="en-US" w:eastAsia="ru-RU"/>
        </w:rPr>
        <w:instrText>lymphocytic</w:instrText>
      </w:r>
      <w:r w:rsidR="00A6794A" w:rsidRPr="00AA43FB">
        <w:rPr>
          <w:lang w:eastAsia="ru-RU"/>
        </w:rPr>
        <w:instrText xml:space="preserve"> </w:instrText>
      </w:r>
      <w:r w:rsidR="00A6794A">
        <w:rPr>
          <w:lang w:val="en-US" w:eastAsia="ru-RU"/>
        </w:rPr>
        <w:instrText>leukemia</w:instrText>
      </w:r>
      <w:r w:rsidR="00A6794A" w:rsidRPr="00AA43FB">
        <w:rPr>
          <w:lang w:eastAsia="ru-RU"/>
        </w:rPr>
        <w:instrText xml:space="preserve">, </w:instrText>
      </w:r>
      <w:r w:rsidR="00A6794A">
        <w:rPr>
          <w:lang w:val="en-US" w:eastAsia="ru-RU"/>
        </w:rPr>
        <w:instrText>with</w:instrText>
      </w:r>
      <w:r w:rsidR="00A6794A" w:rsidRPr="00AA43FB">
        <w:rPr>
          <w:lang w:eastAsia="ru-RU"/>
        </w:rPr>
        <w:instrText xml:space="preserve"> </w:instrText>
      </w:r>
      <w:r w:rsidR="00A6794A">
        <w:rPr>
          <w:lang w:val="en-US" w:eastAsia="ru-RU"/>
        </w:rPr>
        <w:instrText>comparable</w:instrText>
      </w:r>
      <w:r w:rsidR="00A6794A" w:rsidRPr="00AA43FB">
        <w:rPr>
          <w:lang w:eastAsia="ru-RU"/>
        </w:rPr>
        <w:instrText xml:space="preserve"> </w:instrText>
      </w:r>
      <w:r w:rsidR="00A6794A">
        <w:rPr>
          <w:lang w:val="en-US" w:eastAsia="ru-RU"/>
        </w:rPr>
        <w:instrText>efficacy</w:instrText>
      </w:r>
      <w:r w:rsidR="00A6794A" w:rsidRPr="00AA43FB">
        <w:rPr>
          <w:lang w:eastAsia="ru-RU"/>
        </w:rPr>
        <w:instrText xml:space="preserve"> </w:instrText>
      </w:r>
      <w:r w:rsidR="00A6794A">
        <w:rPr>
          <w:lang w:val="en-US" w:eastAsia="ru-RU"/>
        </w:rPr>
        <w:instrText>and</w:instrText>
      </w:r>
      <w:r w:rsidR="00A6794A" w:rsidRPr="00AA43FB">
        <w:rPr>
          <w:lang w:eastAsia="ru-RU"/>
        </w:rPr>
        <w:instrText xml:space="preserve"> </w:instrText>
      </w:r>
      <w:r w:rsidR="00A6794A">
        <w:rPr>
          <w:lang w:val="en-US" w:eastAsia="ru-RU"/>
        </w:rPr>
        <w:instrText>safety</w:instrText>
      </w:r>
      <w:r w:rsidR="00A6794A" w:rsidRPr="00AA43FB">
        <w:rPr>
          <w:lang w:eastAsia="ru-RU"/>
        </w:rPr>
        <w:instrText xml:space="preserve"> </w:instrText>
      </w:r>
      <w:r w:rsidR="00A6794A">
        <w:rPr>
          <w:lang w:val="en-US" w:eastAsia="ru-RU"/>
        </w:rPr>
        <w:instrText>relative</w:instrText>
      </w:r>
      <w:r w:rsidR="00A6794A" w:rsidRPr="00AA43FB">
        <w:rPr>
          <w:lang w:eastAsia="ru-RU"/>
        </w:rPr>
        <w:instrText xml:space="preserve"> </w:instrText>
      </w:r>
      <w:r w:rsidR="00A6794A">
        <w:rPr>
          <w:lang w:val="en-US" w:eastAsia="ru-RU"/>
        </w:rPr>
        <w:instrText>to</w:instrText>
      </w:r>
      <w:r w:rsidR="00A6794A" w:rsidRPr="00AA43FB">
        <w:rPr>
          <w:lang w:eastAsia="ru-RU"/>
        </w:rPr>
        <w:instrText xml:space="preserve"> </w:instrText>
      </w:r>
      <w:r w:rsidR="00A6794A">
        <w:rPr>
          <w:lang w:val="en-US" w:eastAsia="ru-RU"/>
        </w:rPr>
        <w:instrText>the</w:instrText>
      </w:r>
      <w:r w:rsidR="00A6794A" w:rsidRPr="00AA43FB">
        <w:rPr>
          <w:lang w:eastAsia="ru-RU"/>
        </w:rPr>
        <w:instrText xml:space="preserve"> </w:instrText>
      </w:r>
      <w:r w:rsidR="00A6794A">
        <w:rPr>
          <w:lang w:val="en-US" w:eastAsia="ru-RU"/>
        </w:rPr>
        <w:instrText>IV</w:instrText>
      </w:r>
      <w:r w:rsidR="00A6794A" w:rsidRPr="00AA43FB">
        <w:rPr>
          <w:lang w:eastAsia="ru-RU"/>
        </w:rPr>
        <w:instrText xml:space="preserve"> </w:instrText>
      </w:r>
      <w:r w:rsidR="00A6794A">
        <w:rPr>
          <w:lang w:val="en-US" w:eastAsia="ru-RU"/>
        </w:rPr>
        <w:instrText>formulation</w:instrText>
      </w:r>
      <w:r w:rsidR="00A6794A" w:rsidRPr="00AA43FB">
        <w:rPr>
          <w:lang w:eastAsia="ru-RU"/>
        </w:rPr>
        <w:instrText xml:space="preserve">. </w:instrText>
      </w:r>
      <w:r w:rsidR="00A6794A">
        <w:rPr>
          <w:lang w:val="en-US" w:eastAsia="ru-RU"/>
        </w:rPr>
        <w:instrText>The</w:instrText>
      </w:r>
      <w:r w:rsidR="00A6794A" w:rsidRPr="00AA43FB">
        <w:rPr>
          <w:lang w:eastAsia="ru-RU"/>
        </w:rPr>
        <w:instrText xml:space="preserve"> </w:instrText>
      </w:r>
      <w:r w:rsidR="00A6794A">
        <w:rPr>
          <w:lang w:val="en-US" w:eastAsia="ru-RU"/>
        </w:rPr>
        <w:instrText>added</w:instrText>
      </w:r>
      <w:r w:rsidR="00A6794A" w:rsidRPr="00AA43FB">
        <w:rPr>
          <w:lang w:eastAsia="ru-RU"/>
        </w:rPr>
        <w:instrText xml:space="preserve"> </w:instrText>
      </w:r>
      <w:r w:rsidR="00A6794A">
        <w:rPr>
          <w:lang w:val="en-US" w:eastAsia="ru-RU"/>
        </w:rPr>
        <w:instrText>benefit</w:instrText>
      </w:r>
      <w:r w:rsidR="00A6794A" w:rsidRPr="00AA43FB">
        <w:rPr>
          <w:lang w:eastAsia="ru-RU"/>
        </w:rPr>
        <w:instrText xml:space="preserve"> </w:instrText>
      </w:r>
      <w:r w:rsidR="00A6794A">
        <w:rPr>
          <w:lang w:val="en-US" w:eastAsia="ru-RU"/>
        </w:rPr>
        <w:instrText>of</w:instrText>
      </w:r>
      <w:r w:rsidR="00A6794A" w:rsidRPr="00AA43FB">
        <w:rPr>
          <w:lang w:eastAsia="ru-RU"/>
        </w:rPr>
        <w:instrText xml:space="preserve"> </w:instrText>
      </w:r>
      <w:r w:rsidR="00A6794A">
        <w:rPr>
          <w:lang w:val="en-US" w:eastAsia="ru-RU"/>
        </w:rPr>
        <w:instrText>rituximab</w:instrText>
      </w:r>
      <w:r w:rsidR="00A6794A" w:rsidRPr="00AA43FB">
        <w:rPr>
          <w:lang w:eastAsia="ru-RU"/>
        </w:rPr>
        <w:instrText xml:space="preserve"> </w:instrText>
      </w:r>
      <w:r w:rsidR="00A6794A">
        <w:rPr>
          <w:lang w:val="en-US" w:eastAsia="ru-RU"/>
        </w:rPr>
        <w:instrText>SC</w:instrText>
      </w:r>
      <w:r w:rsidR="00A6794A" w:rsidRPr="00AA43FB">
        <w:rPr>
          <w:lang w:eastAsia="ru-RU"/>
        </w:rPr>
        <w:instrText xml:space="preserve"> </w:instrText>
      </w:r>
      <w:r w:rsidR="00A6794A">
        <w:rPr>
          <w:lang w:val="en-US" w:eastAsia="ru-RU"/>
        </w:rPr>
        <w:instrText>was</w:instrText>
      </w:r>
      <w:r w:rsidR="00A6794A" w:rsidRPr="00AA43FB">
        <w:rPr>
          <w:lang w:eastAsia="ru-RU"/>
        </w:rPr>
        <w:instrText xml:space="preserve"> </w:instrText>
      </w:r>
      <w:r w:rsidR="00A6794A">
        <w:rPr>
          <w:lang w:val="en-US" w:eastAsia="ru-RU"/>
        </w:rPr>
        <w:instrText>demonstrated</w:instrText>
      </w:r>
      <w:r w:rsidR="00A6794A" w:rsidRPr="00AA43FB">
        <w:rPr>
          <w:lang w:eastAsia="ru-RU"/>
        </w:rPr>
        <w:instrText xml:space="preserve"> </w:instrText>
      </w:r>
      <w:r w:rsidR="00A6794A">
        <w:rPr>
          <w:lang w:val="en-US" w:eastAsia="ru-RU"/>
        </w:rPr>
        <w:instrText>in</w:instrText>
      </w:r>
      <w:r w:rsidR="00A6794A" w:rsidRPr="00AA43FB">
        <w:rPr>
          <w:lang w:eastAsia="ru-RU"/>
        </w:rPr>
        <w:instrText xml:space="preserve"> </w:instrText>
      </w:r>
      <w:r w:rsidR="00A6794A">
        <w:rPr>
          <w:lang w:val="en-US" w:eastAsia="ru-RU"/>
        </w:rPr>
        <w:instrText>dedicated</w:instrText>
      </w:r>
      <w:r w:rsidR="00A6794A" w:rsidRPr="00AA43FB">
        <w:rPr>
          <w:lang w:eastAsia="ru-RU"/>
        </w:rPr>
        <w:instrText xml:space="preserve"> </w:instrText>
      </w:r>
      <w:r w:rsidR="00A6794A">
        <w:rPr>
          <w:lang w:val="en-US" w:eastAsia="ru-RU"/>
        </w:rPr>
        <w:instrText>studies</w:instrText>
      </w:r>
      <w:r w:rsidR="00A6794A" w:rsidRPr="00AA43FB">
        <w:rPr>
          <w:lang w:eastAsia="ru-RU"/>
        </w:rPr>
        <w:instrText xml:space="preserve"> </w:instrText>
      </w:r>
      <w:r w:rsidR="00A6794A">
        <w:rPr>
          <w:lang w:val="en-US" w:eastAsia="ru-RU"/>
        </w:rPr>
        <w:instrText>showing</w:instrText>
      </w:r>
      <w:r w:rsidR="00A6794A" w:rsidRPr="00AA43FB">
        <w:rPr>
          <w:lang w:eastAsia="ru-RU"/>
        </w:rPr>
        <w:instrText xml:space="preserve"> </w:instrText>
      </w:r>
      <w:r w:rsidR="00A6794A">
        <w:rPr>
          <w:lang w:val="en-US" w:eastAsia="ru-RU"/>
        </w:rPr>
        <w:instrText>that</w:instrText>
      </w:r>
      <w:r w:rsidR="00A6794A" w:rsidRPr="00AA43FB">
        <w:rPr>
          <w:lang w:eastAsia="ru-RU"/>
        </w:rPr>
        <w:instrText xml:space="preserve"> </w:instrText>
      </w:r>
      <w:r w:rsidR="00A6794A">
        <w:rPr>
          <w:lang w:val="en-US" w:eastAsia="ru-RU"/>
        </w:rPr>
        <w:instrText>rituximab</w:instrText>
      </w:r>
      <w:r w:rsidR="00A6794A" w:rsidRPr="00AA43FB">
        <w:rPr>
          <w:lang w:eastAsia="ru-RU"/>
        </w:rPr>
        <w:instrText xml:space="preserve"> </w:instrText>
      </w:r>
      <w:r w:rsidR="00A6794A">
        <w:rPr>
          <w:lang w:val="en-US" w:eastAsia="ru-RU"/>
        </w:rPr>
        <w:instrText>SC</w:instrText>
      </w:r>
      <w:r w:rsidR="00A6794A" w:rsidRPr="00AA43FB">
        <w:rPr>
          <w:lang w:eastAsia="ru-RU"/>
        </w:rPr>
        <w:instrText xml:space="preserve"> </w:instrText>
      </w:r>
      <w:r w:rsidR="00A6794A">
        <w:rPr>
          <w:lang w:val="en-US" w:eastAsia="ru-RU"/>
        </w:rPr>
        <w:instrText>allows</w:instrText>
      </w:r>
      <w:r w:rsidR="00A6794A" w:rsidRPr="00AA43FB">
        <w:rPr>
          <w:lang w:eastAsia="ru-RU"/>
        </w:rPr>
        <w:instrText xml:space="preserve"> </w:instrText>
      </w:r>
      <w:r w:rsidR="00A6794A">
        <w:rPr>
          <w:lang w:val="en-US" w:eastAsia="ru-RU"/>
        </w:rPr>
        <w:instrText>for</w:instrText>
      </w:r>
      <w:r w:rsidR="00A6794A" w:rsidRPr="00AA43FB">
        <w:rPr>
          <w:lang w:eastAsia="ru-RU"/>
        </w:rPr>
        <w:instrText xml:space="preserve"> </w:instrText>
      </w:r>
      <w:r w:rsidR="00A6794A">
        <w:rPr>
          <w:lang w:val="en-US" w:eastAsia="ru-RU"/>
        </w:rPr>
        <w:instrText>simplified</w:instrText>
      </w:r>
      <w:r w:rsidR="00A6794A" w:rsidRPr="00AA43FB">
        <w:rPr>
          <w:lang w:eastAsia="ru-RU"/>
        </w:rPr>
        <w:instrText xml:space="preserve"> </w:instrText>
      </w:r>
      <w:r w:rsidR="00A6794A">
        <w:rPr>
          <w:lang w:val="en-US" w:eastAsia="ru-RU"/>
        </w:rPr>
        <w:instrText>and</w:instrText>
      </w:r>
      <w:r w:rsidR="00A6794A" w:rsidRPr="00AA43FB">
        <w:rPr>
          <w:lang w:eastAsia="ru-RU"/>
        </w:rPr>
        <w:instrText xml:space="preserve"> </w:instrText>
      </w:r>
      <w:r w:rsidR="00A6794A">
        <w:rPr>
          <w:lang w:val="en-US" w:eastAsia="ru-RU"/>
        </w:rPr>
        <w:instrText>shortened</w:instrText>
      </w:r>
      <w:r w:rsidR="00A6794A" w:rsidRPr="00AA43FB">
        <w:rPr>
          <w:lang w:eastAsia="ru-RU"/>
        </w:rPr>
        <w:instrText xml:space="preserve"> </w:instrText>
      </w:r>
      <w:r w:rsidR="00A6794A">
        <w:rPr>
          <w:lang w:val="en-US" w:eastAsia="ru-RU"/>
        </w:rPr>
        <w:instrText>drug</w:instrText>
      </w:r>
      <w:r w:rsidR="00A6794A" w:rsidRPr="00AA43FB">
        <w:rPr>
          <w:lang w:eastAsia="ru-RU"/>
        </w:rPr>
        <w:instrText xml:space="preserve"> </w:instrText>
      </w:r>
      <w:r w:rsidR="00A6794A">
        <w:rPr>
          <w:lang w:val="en-US" w:eastAsia="ru-RU"/>
        </w:rPr>
        <w:instrText>preparation</w:instrText>
      </w:r>
      <w:r w:rsidR="00A6794A" w:rsidRPr="00AA43FB">
        <w:rPr>
          <w:lang w:eastAsia="ru-RU"/>
        </w:rPr>
        <w:instrText xml:space="preserve"> </w:instrText>
      </w:r>
      <w:r w:rsidR="00A6794A">
        <w:rPr>
          <w:lang w:val="en-US" w:eastAsia="ru-RU"/>
        </w:rPr>
        <w:instrText>and</w:instrText>
      </w:r>
      <w:r w:rsidR="00A6794A" w:rsidRPr="00AA43FB">
        <w:rPr>
          <w:lang w:eastAsia="ru-RU"/>
        </w:rPr>
        <w:instrText xml:space="preserve"> </w:instrText>
      </w:r>
      <w:r w:rsidR="00A6794A">
        <w:rPr>
          <w:lang w:val="en-US" w:eastAsia="ru-RU"/>
        </w:rPr>
        <w:instrText>administration</w:instrText>
      </w:r>
      <w:r w:rsidR="00A6794A" w:rsidRPr="00AA43FB">
        <w:rPr>
          <w:lang w:eastAsia="ru-RU"/>
        </w:rPr>
        <w:instrText xml:space="preserve"> </w:instrText>
      </w:r>
      <w:r w:rsidR="00A6794A">
        <w:rPr>
          <w:lang w:val="en-US" w:eastAsia="ru-RU"/>
        </w:rPr>
        <w:instrText>times</w:instrText>
      </w:r>
      <w:r w:rsidR="00A6794A" w:rsidRPr="00AA43FB">
        <w:rPr>
          <w:lang w:eastAsia="ru-RU"/>
        </w:rPr>
        <w:instrText xml:space="preserve"> </w:instrText>
      </w:r>
      <w:r w:rsidR="00A6794A">
        <w:rPr>
          <w:lang w:val="en-US" w:eastAsia="ru-RU"/>
        </w:rPr>
        <w:instrText>resulting</w:instrText>
      </w:r>
      <w:r w:rsidR="00A6794A" w:rsidRPr="00AA43FB">
        <w:rPr>
          <w:lang w:eastAsia="ru-RU"/>
        </w:rPr>
        <w:instrText xml:space="preserve"> </w:instrText>
      </w:r>
      <w:r w:rsidR="00A6794A">
        <w:rPr>
          <w:lang w:val="en-US" w:eastAsia="ru-RU"/>
        </w:rPr>
        <w:instrText>in</w:instrText>
      </w:r>
      <w:r w:rsidR="00A6794A" w:rsidRPr="00AA43FB">
        <w:rPr>
          <w:lang w:eastAsia="ru-RU"/>
        </w:rPr>
        <w:instrText xml:space="preserve"> </w:instrText>
      </w:r>
      <w:r w:rsidR="00A6794A">
        <w:rPr>
          <w:lang w:val="en-US" w:eastAsia="ru-RU"/>
        </w:rPr>
        <w:instrText>a</w:instrText>
      </w:r>
      <w:r w:rsidR="00A6794A" w:rsidRPr="00AA43FB">
        <w:rPr>
          <w:lang w:eastAsia="ru-RU"/>
        </w:rPr>
        <w:instrText xml:space="preserve"> </w:instrText>
      </w:r>
      <w:r w:rsidR="00A6794A">
        <w:rPr>
          <w:lang w:val="en-US" w:eastAsia="ru-RU"/>
        </w:rPr>
        <w:instrText>reduced</w:instrText>
      </w:r>
      <w:r w:rsidR="00A6794A" w:rsidRPr="00AA43FB">
        <w:rPr>
          <w:lang w:eastAsia="ru-RU"/>
        </w:rPr>
        <w:instrText xml:space="preserve"> </w:instrText>
      </w:r>
      <w:r w:rsidR="00A6794A">
        <w:rPr>
          <w:lang w:val="en-US" w:eastAsia="ru-RU"/>
        </w:rPr>
        <w:instrText>treatment</w:instrText>
      </w:r>
      <w:r w:rsidR="00A6794A" w:rsidRPr="00AA43FB">
        <w:rPr>
          <w:lang w:eastAsia="ru-RU"/>
        </w:rPr>
        <w:instrText xml:space="preserve"> </w:instrText>
      </w:r>
      <w:r w:rsidR="00A6794A">
        <w:rPr>
          <w:lang w:val="en-US" w:eastAsia="ru-RU"/>
        </w:rPr>
        <w:instrText>burden</w:instrText>
      </w:r>
      <w:r w:rsidR="00A6794A" w:rsidRPr="00AA43FB">
        <w:rPr>
          <w:lang w:eastAsia="ru-RU"/>
        </w:rPr>
        <w:instrText xml:space="preserve"> </w:instrText>
      </w:r>
      <w:r w:rsidR="00A6794A">
        <w:rPr>
          <w:lang w:val="en-US" w:eastAsia="ru-RU"/>
        </w:rPr>
        <w:instrText>for</w:instrText>
      </w:r>
      <w:r w:rsidR="00A6794A" w:rsidRPr="00AA43FB">
        <w:rPr>
          <w:lang w:eastAsia="ru-RU"/>
        </w:rPr>
        <w:instrText xml:space="preserve"> </w:instrText>
      </w:r>
      <w:r w:rsidR="00A6794A">
        <w:rPr>
          <w:lang w:val="en-US" w:eastAsia="ru-RU"/>
        </w:rPr>
        <w:instrText>patients</w:instrText>
      </w:r>
      <w:r w:rsidR="00A6794A" w:rsidRPr="00AA43FB">
        <w:rPr>
          <w:lang w:eastAsia="ru-RU"/>
        </w:rPr>
        <w:instrText xml:space="preserve"> </w:instrText>
      </w:r>
      <w:r w:rsidR="00A6794A">
        <w:rPr>
          <w:lang w:val="en-US" w:eastAsia="ru-RU"/>
        </w:rPr>
        <w:instrText>as</w:instrText>
      </w:r>
      <w:r w:rsidR="00A6794A" w:rsidRPr="00AA43FB">
        <w:rPr>
          <w:lang w:eastAsia="ru-RU"/>
        </w:rPr>
        <w:instrText xml:space="preserve"> </w:instrText>
      </w:r>
      <w:r w:rsidR="00A6794A">
        <w:rPr>
          <w:lang w:val="en-US" w:eastAsia="ru-RU"/>
        </w:rPr>
        <w:instrText>well</w:instrText>
      </w:r>
      <w:r w:rsidR="00A6794A" w:rsidRPr="00AA43FB">
        <w:rPr>
          <w:lang w:eastAsia="ru-RU"/>
        </w:rPr>
        <w:instrText xml:space="preserve"> </w:instrText>
      </w:r>
      <w:r w:rsidR="00A6794A">
        <w:rPr>
          <w:lang w:val="en-US" w:eastAsia="ru-RU"/>
        </w:rPr>
        <w:instrText>as</w:instrText>
      </w:r>
      <w:r w:rsidR="00A6794A" w:rsidRPr="00AA43FB">
        <w:rPr>
          <w:lang w:eastAsia="ru-RU"/>
        </w:rPr>
        <w:instrText xml:space="preserve"> </w:instrText>
      </w:r>
      <w:r w:rsidR="00A6794A">
        <w:rPr>
          <w:lang w:val="en-US" w:eastAsia="ru-RU"/>
        </w:rPr>
        <w:instrText>improved</w:instrText>
      </w:r>
      <w:r w:rsidR="00A6794A" w:rsidRPr="00AA43FB">
        <w:rPr>
          <w:lang w:eastAsia="ru-RU"/>
        </w:rPr>
        <w:instrText xml:space="preserve"> </w:instrText>
      </w:r>
      <w:r w:rsidR="00A6794A">
        <w:rPr>
          <w:lang w:val="en-US" w:eastAsia="ru-RU"/>
        </w:rPr>
        <w:instrText>resource</w:instrText>
      </w:r>
      <w:r w:rsidR="00A6794A" w:rsidRPr="00AA43FB">
        <w:rPr>
          <w:lang w:eastAsia="ru-RU"/>
        </w:rPr>
        <w:instrText xml:space="preserve"> </w:instrText>
      </w:r>
      <w:r w:rsidR="00A6794A">
        <w:rPr>
          <w:lang w:val="en-US" w:eastAsia="ru-RU"/>
        </w:rPr>
        <w:instrText>utilization</w:instrText>
      </w:r>
      <w:r w:rsidR="00A6794A" w:rsidRPr="00AA43FB">
        <w:rPr>
          <w:lang w:eastAsia="ru-RU"/>
        </w:rPr>
        <w:instrText xml:space="preserve"> (</w:instrText>
      </w:r>
      <w:r w:rsidR="00A6794A">
        <w:rPr>
          <w:lang w:val="en-US" w:eastAsia="ru-RU"/>
        </w:rPr>
        <w:instrText>efficiency</w:instrText>
      </w:r>
      <w:r w:rsidR="00A6794A" w:rsidRPr="00AA43FB">
        <w:rPr>
          <w:lang w:eastAsia="ru-RU"/>
        </w:rPr>
        <w:instrText xml:space="preserve">) </w:instrText>
      </w:r>
      <w:r w:rsidR="00A6794A">
        <w:rPr>
          <w:lang w:val="en-US" w:eastAsia="ru-RU"/>
        </w:rPr>
        <w:instrText>at</w:instrText>
      </w:r>
      <w:r w:rsidR="00A6794A" w:rsidRPr="00AA43FB">
        <w:rPr>
          <w:lang w:eastAsia="ru-RU"/>
        </w:rPr>
        <w:instrText xml:space="preserve"> </w:instrText>
      </w:r>
      <w:r w:rsidR="00A6794A">
        <w:rPr>
          <w:lang w:val="en-US" w:eastAsia="ru-RU"/>
        </w:rPr>
        <w:instrText>the</w:instrText>
      </w:r>
      <w:r w:rsidR="00A6794A" w:rsidRPr="00AA43FB">
        <w:rPr>
          <w:lang w:eastAsia="ru-RU"/>
        </w:rPr>
        <w:instrText xml:space="preserve"> </w:instrText>
      </w:r>
      <w:r w:rsidR="00A6794A">
        <w:rPr>
          <w:lang w:val="en-US" w:eastAsia="ru-RU"/>
        </w:rPr>
        <w:instrText>treatment</w:instrText>
      </w:r>
      <w:r w:rsidR="00A6794A" w:rsidRPr="00AA43FB">
        <w:rPr>
          <w:lang w:eastAsia="ru-RU"/>
        </w:rPr>
        <w:instrText xml:space="preserve"> </w:instrText>
      </w:r>
      <w:r w:rsidR="00A6794A">
        <w:rPr>
          <w:lang w:val="en-US" w:eastAsia="ru-RU"/>
        </w:rPr>
        <w:instrText>facility</w:instrText>
      </w:r>
      <w:r w:rsidR="00A6794A" w:rsidRPr="00AA43FB">
        <w:rPr>
          <w:lang w:eastAsia="ru-RU"/>
        </w:rPr>
        <w:instrText xml:space="preserve">. </w:instrText>
      </w:r>
      <w:r w:rsidR="00A6794A">
        <w:rPr>
          <w:lang w:val="en-US" w:eastAsia="ru-RU"/>
        </w:rPr>
        <w:instrText>The</w:instrText>
      </w:r>
      <w:r w:rsidR="00A6794A" w:rsidRPr="00AA43FB">
        <w:rPr>
          <w:lang w:eastAsia="ru-RU"/>
        </w:rPr>
        <w:instrText xml:space="preserve"> </w:instrText>
      </w:r>
      <w:r w:rsidR="00A6794A">
        <w:rPr>
          <w:lang w:val="en-US" w:eastAsia="ru-RU"/>
        </w:rPr>
        <w:instrText>improved</w:instrText>
      </w:r>
      <w:r w:rsidR="00A6794A" w:rsidRPr="00AA43FB">
        <w:rPr>
          <w:lang w:eastAsia="ru-RU"/>
        </w:rPr>
        <w:instrText xml:space="preserve"> </w:instrText>
      </w:r>
      <w:r w:rsidR="00A6794A">
        <w:rPr>
          <w:lang w:val="en-US" w:eastAsia="ru-RU"/>
        </w:rPr>
        <w:instrText>efficiency</w:instrText>
      </w:r>
      <w:r w:rsidR="00A6794A" w:rsidRPr="00AA43FB">
        <w:rPr>
          <w:lang w:eastAsia="ru-RU"/>
        </w:rPr>
        <w:instrText xml:space="preserve"> </w:instrText>
      </w:r>
      <w:r w:rsidR="00A6794A">
        <w:rPr>
          <w:lang w:val="en-US" w:eastAsia="ru-RU"/>
        </w:rPr>
        <w:instrText>of</w:instrText>
      </w:r>
      <w:r w:rsidR="00A6794A" w:rsidRPr="00AA43FB">
        <w:rPr>
          <w:lang w:eastAsia="ru-RU"/>
        </w:rPr>
        <w:instrText xml:space="preserve"> </w:instrText>
      </w:r>
      <w:r w:rsidR="00A6794A">
        <w:rPr>
          <w:lang w:val="en-US" w:eastAsia="ru-RU"/>
        </w:rPr>
        <w:instrText>delivering</w:instrText>
      </w:r>
      <w:r w:rsidR="00A6794A" w:rsidRPr="00AA43FB">
        <w:rPr>
          <w:lang w:eastAsia="ru-RU"/>
        </w:rPr>
        <w:instrText xml:space="preserve"> </w:instrText>
      </w:r>
      <w:r w:rsidR="00A6794A">
        <w:rPr>
          <w:lang w:val="en-US" w:eastAsia="ru-RU"/>
        </w:rPr>
        <w:instrText>rituximab</w:instrText>
      </w:r>
      <w:r w:rsidR="00A6794A" w:rsidRPr="00AA43FB">
        <w:rPr>
          <w:lang w:eastAsia="ru-RU"/>
        </w:rPr>
        <w:instrText>’</w:instrText>
      </w:r>
      <w:r w:rsidR="00A6794A">
        <w:rPr>
          <w:lang w:val="en-US" w:eastAsia="ru-RU"/>
        </w:rPr>
        <w:instrText>s</w:instrText>
      </w:r>
      <w:r w:rsidR="00A6794A" w:rsidRPr="00AA43FB">
        <w:rPr>
          <w:lang w:eastAsia="ru-RU"/>
        </w:rPr>
        <w:instrText xml:space="preserve"> </w:instrText>
      </w:r>
      <w:r w:rsidR="00A6794A">
        <w:rPr>
          <w:lang w:val="en-US" w:eastAsia="ru-RU"/>
        </w:rPr>
        <w:instrText>benefit</w:instrText>
      </w:r>
      <w:r w:rsidR="00A6794A" w:rsidRPr="00AA43FB">
        <w:rPr>
          <w:lang w:eastAsia="ru-RU"/>
        </w:rPr>
        <w:instrText xml:space="preserve"> </w:instrText>
      </w:r>
      <w:r w:rsidR="00A6794A">
        <w:rPr>
          <w:lang w:val="en-US" w:eastAsia="ru-RU"/>
        </w:rPr>
        <w:instrText>to</w:instrText>
      </w:r>
      <w:r w:rsidR="00A6794A" w:rsidRPr="00AA43FB">
        <w:rPr>
          <w:lang w:eastAsia="ru-RU"/>
        </w:rPr>
        <w:instrText xml:space="preserve"> </w:instrText>
      </w:r>
      <w:r w:rsidR="00A6794A">
        <w:rPr>
          <w:lang w:val="en-US" w:eastAsia="ru-RU"/>
        </w:rPr>
        <w:instrText>patients</w:instrText>
      </w:r>
      <w:r w:rsidR="00A6794A" w:rsidRPr="00AA43FB">
        <w:rPr>
          <w:lang w:eastAsia="ru-RU"/>
        </w:rPr>
        <w:instrText xml:space="preserve"> </w:instrText>
      </w:r>
      <w:r w:rsidR="00A6794A">
        <w:rPr>
          <w:lang w:val="en-US" w:eastAsia="ru-RU"/>
        </w:rPr>
        <w:instrText>may</w:instrText>
      </w:r>
      <w:r w:rsidR="00A6794A" w:rsidRPr="00AA43FB">
        <w:rPr>
          <w:lang w:eastAsia="ru-RU"/>
        </w:rPr>
        <w:instrText xml:space="preserve"> </w:instrText>
      </w:r>
      <w:r w:rsidR="00A6794A">
        <w:rPr>
          <w:lang w:val="en-US" w:eastAsia="ru-RU"/>
        </w:rPr>
        <w:instrText>broaden</w:instrText>
      </w:r>
      <w:r w:rsidR="00A6794A" w:rsidRPr="00AA43FB">
        <w:rPr>
          <w:lang w:eastAsia="ru-RU"/>
        </w:rPr>
        <w:instrText xml:space="preserve"> </w:instrText>
      </w:r>
      <w:r w:rsidR="00A6794A">
        <w:rPr>
          <w:lang w:val="en-US" w:eastAsia="ru-RU"/>
        </w:rPr>
        <w:instrText>patient</w:instrText>
      </w:r>
      <w:r w:rsidR="00A6794A" w:rsidRPr="00AA43FB">
        <w:rPr>
          <w:lang w:eastAsia="ru-RU"/>
        </w:rPr>
        <w:instrText xml:space="preserve"> </w:instrText>
      </w:r>
      <w:r w:rsidR="00A6794A">
        <w:rPr>
          <w:lang w:val="en-US" w:eastAsia="ru-RU"/>
        </w:rPr>
        <w:instrText>access</w:instrText>
      </w:r>
      <w:r w:rsidR="00A6794A" w:rsidRPr="00AA43FB">
        <w:rPr>
          <w:lang w:eastAsia="ru-RU"/>
        </w:rPr>
        <w:instrText xml:space="preserve"> </w:instrText>
      </w:r>
      <w:r w:rsidR="00A6794A">
        <w:rPr>
          <w:lang w:val="en-US" w:eastAsia="ru-RU"/>
        </w:rPr>
        <w:instrText>to</w:instrText>
      </w:r>
      <w:r w:rsidR="00A6794A" w:rsidRPr="00AA43FB">
        <w:rPr>
          <w:lang w:eastAsia="ru-RU"/>
        </w:rPr>
        <w:instrText xml:space="preserve"> </w:instrText>
      </w:r>
      <w:r w:rsidR="00A6794A">
        <w:rPr>
          <w:lang w:val="en-US" w:eastAsia="ru-RU"/>
        </w:rPr>
        <w:instrText>rituximab</w:instrText>
      </w:r>
      <w:r w:rsidR="00A6794A" w:rsidRPr="00AA43FB">
        <w:rPr>
          <w:lang w:eastAsia="ru-RU"/>
        </w:rPr>
        <w:instrText xml:space="preserve"> </w:instrText>
      </w:r>
      <w:r w:rsidR="00A6794A">
        <w:rPr>
          <w:lang w:val="en-US" w:eastAsia="ru-RU"/>
        </w:rPr>
        <w:instrText>therapy</w:instrText>
      </w:r>
      <w:r w:rsidR="00A6794A" w:rsidRPr="00AA43FB">
        <w:rPr>
          <w:lang w:eastAsia="ru-RU"/>
        </w:rPr>
        <w:instrText xml:space="preserve"> </w:instrText>
      </w:r>
      <w:r w:rsidR="00A6794A">
        <w:rPr>
          <w:lang w:val="en-US" w:eastAsia="ru-RU"/>
        </w:rPr>
        <w:instrText>in areas with low levels of healthcare resources, including IV-chair capacity constraints. This article is a companion paper to G. Salles, et al., which is also published in this issue. Funding: F. Hoffmann-La Roche Ltd.","author":[{"dropping-particle":"","family":"Davies","given":"Andrew","non-dropping-particle":"","parse-names":false,"suffix":""},{"dropping-particle":"","family":"Berge","given":"Claude","non-dropping-particle":"","parse-names":false,"suffix":""},{"dropping-particle":"","family":"Boehnke","given":"Axel","non-dropping-particle":"","parse-names":false,"suffix":""},{"dropping-particle":"","family":"Dadabhoy","given":"Anjum","non-dropping-particle":"","parse-names":false,"suffix":""},{"dropping-particle":"","family":"Lugtenburg","given":"Pieternella","non-dropping-particle":"","parse-names":false,"suffix":""},{"dropping-particle":"","family":"Rule","given":"Simon","non-dropping-particle":"","parse-names":false,"suffix":""},{"dropping-particle":"","family":"Rummel","given":"Mathias","non-dropping-particle":"","parse-names":false,"suffix":""},{"dropping-particle":"","family":"McIntyre","given":"Christine","non-dropping-particle":"","parse-names":false,"suffix":""},{"dropping-particle":"","family":"Smith","given":"Rodney","non-dropping-particle":"","parse-names":false,"suffix":""},{"dropping-particle":"","family":"Badoux","given":"Xavier","non-dropping-particle":"","parse-names":false,"suffix":""}],"container-title":"Advances in Therapy","id":"ITEM-2","issue":"10","issued":{"date-parts":[["2017","10","1"]]},"page":"2210-2231","publisher":"Springer Healthcare","title":"Subcutaneous Rituximab for the Treatment of B-Cell Hematologic Malignancies: A Review of the Scientific Rationale and Clinical Development","type":"article","volume":"34"},"uris":["http://www.mendeley.com/documents/?uuid=c91e99c4-7e72-3803-909e-84f3e662a6e0"]},{"id":"ITEM-3","itemData":{"DOI":"10.1111/bjh.16227","ISSN":"0007-1048","abstract":"Rituximab is a standard treatment for non-Hodgkin diffuse large B-cell (DLBCL) and follicular (FL) lymphomas. A subcutaneous formulation was developed to improve the resource use of intravenous rituximab, with comparable efficacy and safety profiles except for increased administration-related reactions (ARRs). MabRella was a phase IIIb trial to assess the safety of switching from intravenous to subcutaneous administration of rituximab during first-line induction/maintenance for DLBCL or FL, focusing on ARRs. Efficacy, satisfaction and quality of life were also assessed. Patients received subcutaneous rituximab plus standard induction chemotherapy for DLBCL or FL for 4–7 cycles, and/or every 2 months maintenance monotherapy for FL for 6–12 cycles. The study included 140 patients: DLBCL, n = 29; FL, n = 111. Ninety-five percent of patients experienced adverse events, reaching grade ≥3 in 38·6% and were serious in 30·0%. AARs occurred in 48·6%, mostly (84·9%) at the injection site, with only 2·1% of patients reaching grade 3. The end-of-induction complete/unconfirmed complete response rate was 69·6%. After a median follow-up of 33·5 months, median disease-/event-/progression-free and overall survivals were not attained. The Rituximab Administration Satisfaction Questionnaire showed improvements in overall satisfaction and the EuroQoL-5D a good quality-of-life perception at induction/maintenance end. Therefore, switching to subcutaneous rituximab showed no new safety issues and maintained efficacy with improved satisfaction and quality of life.","author":[{"dropping-particle":"","family":"García‐Muñoz","given":"Ricardo","non-dropping-particle":"","parse-names":false,"suffix":""},{"dropping-particle":"","family":"Quero","given":"Cristina","non-dropping-particle":"","parse-names":false,"suffix":""},{"dropping-particle":"","family":"Pérez‐Persona","given":"Ernesto","non-dropping-particle":"","parse-names":false,"suffix":""},{"dropping-particle":"","family":"Domingo‐García","given":"Abel","non-dropping-particle":"","parse-names":false,"suffix":""},{"dropping-particle":"","family":"Pérez‐López","given":"Cristina","non-dropping-particle":"","parse-names":false,"suffix":""},{"dropping-particle":"","family":"Villaescusa‐de‐la‐Rosa","given":"Teresa","non-dropping-particle":"","parse-names":false,"suffix":""},{"dropping-particle":"","family":"Martínez‐Castro","given":"Ana M.","non-dropping-particle":"","parse-names":false,"suffix":""},{"dropping-particle":"","family":"Arguiñano‐Pérez","given":"José M.","non-dropping-particle":"","parse-names":false,"suffix":""},{"dropping-particle":"","family":"Parra‐Cuadrado","given":"Juan F.","non-dropping-particle":"","parse-names":false,"suffix":""},{"dropping-particle":"","family":"Panizo","given":"Carlos","non-dropping-particle":"","parse-names":false,"suffix":""}],"container-title":"British Journal of Haematology","id":"ITEM-3","issue":"5","issued":{"date-parts":[["2020","3","1"]]},"page":"661-673","publisher":"Blackwell Publishing Ltd","title":"Safety of switching from intravenous to subcutaneous rituximab during first‐line treatment of patients with non‐Hodgkin lymphoma: the Spanish population of the MabRella study","type":"article-journal","volume":"188"},"uris":["http://www.mendeley.com/documents/?uuid=89ca4d25-771e-3d22-9da5-61e99fb5ec3e"]},{"id":"ITEM-4","itemData":{"DOI":"10.3747/co.24.3470","ISSN":"17187729","abstract":"Rituximab is widely used for the treatment of non-Hodgkin lymphoma, being a key component in most therapeutic regimens. Administration of the intravenous (IV) formulation is lengthy and places a significant burden on health care resources and patient quality of life. A subcutaneous (sc) formulation that provides a fixed dose of rituximab is being examined in a number of studies. Results indicate that the pharmacokinetics are noninferior and response rates are comparable to those obtained with the IV formulation. Moreover, the sc formulation is preferred by patients and health care providers and reduces administration and chair time. Additional advantages include a lesser potential for dosing errors, shorter preparation time, reduced drug wastage, and fewer infusion-related reactions. Despite the success of the sc formulation</w:instrText>
      </w:r>
      <w:r w:rsidR="00A6794A" w:rsidRPr="00D3550C">
        <w:rPr>
          <w:lang w:eastAsia="ru-RU"/>
        </w:rPr>
        <w:instrText xml:space="preserve">, </w:instrText>
      </w:r>
      <w:r w:rsidR="00A6794A">
        <w:rPr>
          <w:lang w:val="en-US" w:eastAsia="ru-RU"/>
        </w:rPr>
        <w:instrText>correct</w:instrText>
      </w:r>
      <w:r w:rsidR="00A6794A" w:rsidRPr="00D3550C">
        <w:rPr>
          <w:lang w:eastAsia="ru-RU"/>
        </w:rPr>
        <w:instrText xml:space="preserve"> </w:instrText>
      </w:r>
      <w:r w:rsidR="00A6794A">
        <w:rPr>
          <w:lang w:val="en-US" w:eastAsia="ru-RU"/>
        </w:rPr>
        <w:instrText>administration</w:instrText>
      </w:r>
      <w:r w:rsidR="00A6794A" w:rsidRPr="00D3550C">
        <w:rPr>
          <w:lang w:eastAsia="ru-RU"/>
        </w:rPr>
        <w:instrText xml:space="preserve"> </w:instrText>
      </w:r>
      <w:r w:rsidR="00A6794A">
        <w:rPr>
          <w:lang w:val="en-US" w:eastAsia="ru-RU"/>
        </w:rPr>
        <w:instrText>is</w:instrText>
      </w:r>
      <w:r w:rsidR="00A6794A" w:rsidRPr="00D3550C">
        <w:rPr>
          <w:lang w:eastAsia="ru-RU"/>
        </w:rPr>
        <w:instrText xml:space="preserve"> </w:instrText>
      </w:r>
      <w:r w:rsidR="00A6794A">
        <w:rPr>
          <w:lang w:val="en-US" w:eastAsia="ru-RU"/>
        </w:rPr>
        <w:instrText>needed</w:instrText>
      </w:r>
      <w:r w:rsidR="00A6794A" w:rsidRPr="00D3550C">
        <w:rPr>
          <w:lang w:eastAsia="ru-RU"/>
        </w:rPr>
        <w:instrText xml:space="preserve"> </w:instrText>
      </w:r>
      <w:r w:rsidR="00A6794A">
        <w:rPr>
          <w:lang w:val="en-US" w:eastAsia="ru-RU"/>
        </w:rPr>
        <w:instrText>to</w:instrText>
      </w:r>
      <w:r w:rsidR="00A6794A" w:rsidRPr="00D3550C">
        <w:rPr>
          <w:lang w:eastAsia="ru-RU"/>
        </w:rPr>
        <w:instrText xml:space="preserve"> </w:instrText>
      </w:r>
      <w:r w:rsidR="00A6794A">
        <w:rPr>
          <w:lang w:val="en-US" w:eastAsia="ru-RU"/>
        </w:rPr>
        <w:instrText>reduce</w:instrText>
      </w:r>
      <w:r w:rsidR="00A6794A" w:rsidRPr="00D3550C">
        <w:rPr>
          <w:lang w:eastAsia="ru-RU"/>
        </w:rPr>
        <w:instrText xml:space="preserve"> </w:instrText>
      </w:r>
      <w:r w:rsidR="00A6794A">
        <w:rPr>
          <w:lang w:val="en-US" w:eastAsia="ru-RU"/>
        </w:rPr>
        <w:instrText>administration</w:instrText>
      </w:r>
      <w:r w:rsidR="00A6794A" w:rsidRPr="00D3550C">
        <w:rPr>
          <w:lang w:eastAsia="ru-RU"/>
        </w:rPr>
        <w:instrText>-</w:instrText>
      </w:r>
      <w:r w:rsidR="00A6794A">
        <w:rPr>
          <w:lang w:val="en-US" w:eastAsia="ru-RU"/>
        </w:rPr>
        <w:instrText>related</w:instrText>
      </w:r>
      <w:r w:rsidR="00A6794A" w:rsidRPr="00D3550C">
        <w:rPr>
          <w:lang w:eastAsia="ru-RU"/>
        </w:rPr>
        <w:instrText xml:space="preserve"> </w:instrText>
      </w:r>
      <w:r w:rsidR="00A6794A">
        <w:rPr>
          <w:lang w:val="en-US" w:eastAsia="ru-RU"/>
        </w:rPr>
        <w:instrText>reactions</w:instrText>
      </w:r>
      <w:r w:rsidR="00A6794A" w:rsidRPr="00D3550C">
        <w:rPr>
          <w:lang w:eastAsia="ru-RU"/>
        </w:rPr>
        <w:instrText xml:space="preserve">. </w:instrText>
      </w:r>
      <w:r w:rsidR="00A6794A">
        <w:rPr>
          <w:lang w:val="en-US" w:eastAsia="ru-RU"/>
        </w:rPr>
        <w:instrText>By</w:instrText>
      </w:r>
      <w:r w:rsidR="00A6794A" w:rsidRPr="00D3550C">
        <w:rPr>
          <w:lang w:eastAsia="ru-RU"/>
        </w:rPr>
        <w:instrText xml:space="preserve"> </w:instrText>
      </w:r>
      <w:r w:rsidR="00A6794A">
        <w:rPr>
          <w:lang w:val="en-US" w:eastAsia="ru-RU"/>
        </w:rPr>
        <w:instrText>using</w:instrText>
      </w:r>
      <w:r w:rsidR="00A6794A" w:rsidRPr="00D3550C">
        <w:rPr>
          <w:lang w:eastAsia="ru-RU"/>
        </w:rPr>
        <w:instrText xml:space="preserve"> </w:instrText>
      </w:r>
      <w:r w:rsidR="00A6794A">
        <w:rPr>
          <w:lang w:val="en-US" w:eastAsia="ru-RU"/>
        </w:rPr>
        <w:instrText>a</w:instrText>
      </w:r>
      <w:r w:rsidR="00A6794A" w:rsidRPr="00D3550C">
        <w:rPr>
          <w:lang w:eastAsia="ru-RU"/>
        </w:rPr>
        <w:instrText xml:space="preserve"> </w:instrText>
      </w:r>
      <w:r w:rsidR="00A6794A">
        <w:rPr>
          <w:lang w:val="en-US" w:eastAsia="ru-RU"/>
        </w:rPr>
        <w:instrText>careful</w:instrText>
      </w:r>
      <w:r w:rsidR="00A6794A" w:rsidRPr="00D3550C">
        <w:rPr>
          <w:lang w:eastAsia="ru-RU"/>
        </w:rPr>
        <w:instrText xml:space="preserve"> </w:instrText>
      </w:r>
      <w:r w:rsidR="00A6794A">
        <w:rPr>
          <w:lang w:val="en-US" w:eastAsia="ru-RU"/>
        </w:rPr>
        <w:instrText>procedure</w:instrText>
      </w:r>
      <w:r w:rsidR="00A6794A" w:rsidRPr="00D3550C">
        <w:rPr>
          <w:lang w:eastAsia="ru-RU"/>
        </w:rPr>
        <w:instrText xml:space="preserve">, </w:instrText>
      </w:r>
      <w:r w:rsidR="00A6794A">
        <w:rPr>
          <w:lang w:val="en-US" w:eastAsia="ru-RU"/>
        </w:rPr>
        <w:instrText>the</w:instrText>
      </w:r>
      <w:r w:rsidR="00A6794A" w:rsidRPr="00D3550C">
        <w:rPr>
          <w:lang w:eastAsia="ru-RU"/>
        </w:rPr>
        <w:instrText xml:space="preserve"> </w:instrText>
      </w:r>
      <w:r w:rsidR="00A6794A">
        <w:rPr>
          <w:lang w:val="en-US" w:eastAsia="ru-RU"/>
        </w:rPr>
        <w:instrText>sc</w:instrText>
      </w:r>
      <w:r w:rsidR="00A6794A" w:rsidRPr="00D3550C">
        <w:rPr>
          <w:lang w:eastAsia="ru-RU"/>
        </w:rPr>
        <w:instrText xml:space="preserve"> </w:instrText>
      </w:r>
      <w:r w:rsidR="00A6794A">
        <w:rPr>
          <w:lang w:val="en-US" w:eastAsia="ru-RU"/>
        </w:rPr>
        <w:instrText>formulation</w:instrText>
      </w:r>
      <w:r w:rsidR="00A6794A" w:rsidRPr="00D3550C">
        <w:rPr>
          <w:lang w:eastAsia="ru-RU"/>
        </w:rPr>
        <w:instrText xml:space="preserve"> </w:instrText>
      </w:r>
      <w:r w:rsidR="00A6794A">
        <w:rPr>
          <w:lang w:val="en-US" w:eastAsia="ru-RU"/>
        </w:rPr>
        <w:instrText>can</w:instrText>
      </w:r>
      <w:r w:rsidR="00A6794A" w:rsidRPr="00D3550C">
        <w:rPr>
          <w:lang w:eastAsia="ru-RU"/>
        </w:rPr>
        <w:instrText xml:space="preserve"> </w:instrText>
      </w:r>
      <w:r w:rsidR="00A6794A">
        <w:rPr>
          <w:lang w:val="en-US" w:eastAsia="ru-RU"/>
        </w:rPr>
        <w:instrText>be</w:instrText>
      </w:r>
      <w:r w:rsidR="00A6794A" w:rsidRPr="00D3550C">
        <w:rPr>
          <w:lang w:eastAsia="ru-RU"/>
        </w:rPr>
        <w:instrText xml:space="preserve"> </w:instrText>
      </w:r>
      <w:r w:rsidR="00A6794A">
        <w:rPr>
          <w:lang w:val="en-US" w:eastAsia="ru-RU"/>
        </w:rPr>
        <w:instrText>given</w:instrText>
      </w:r>
      <w:r w:rsidR="00A6794A" w:rsidRPr="00D3550C">
        <w:rPr>
          <w:lang w:eastAsia="ru-RU"/>
        </w:rPr>
        <w:instrText xml:space="preserve"> </w:instrText>
      </w:r>
      <w:r w:rsidR="00A6794A">
        <w:rPr>
          <w:lang w:val="en-US" w:eastAsia="ru-RU"/>
        </w:rPr>
        <w:instrText>safely</w:instrText>
      </w:r>
      <w:r w:rsidR="00A6794A" w:rsidRPr="00D3550C">
        <w:rPr>
          <w:lang w:eastAsia="ru-RU"/>
        </w:rPr>
        <w:instrText xml:space="preserve"> </w:instrText>
      </w:r>
      <w:r w:rsidR="00A6794A">
        <w:rPr>
          <w:lang w:val="en-US" w:eastAsia="ru-RU"/>
        </w:rPr>
        <w:instrText>and</w:instrText>
      </w:r>
      <w:r w:rsidR="00A6794A" w:rsidRPr="00D3550C">
        <w:rPr>
          <w:lang w:eastAsia="ru-RU"/>
        </w:rPr>
        <w:instrText xml:space="preserve"> </w:instrText>
      </w:r>
      <w:r w:rsidR="00A6794A">
        <w:rPr>
          <w:lang w:val="en-US" w:eastAsia="ru-RU"/>
        </w:rPr>
        <w:instrText>effectively</w:instrText>
      </w:r>
      <w:r w:rsidR="00A6794A" w:rsidRPr="00D3550C">
        <w:rPr>
          <w:lang w:eastAsia="ru-RU"/>
        </w:rPr>
        <w:instrText xml:space="preserve">, </w:instrText>
      </w:r>
      <w:r w:rsidR="00A6794A">
        <w:rPr>
          <w:lang w:val="en-US" w:eastAsia="ru-RU"/>
        </w:rPr>
        <w:instrText>potentially</w:instrText>
      </w:r>
      <w:r w:rsidR="00A6794A" w:rsidRPr="00D3550C">
        <w:rPr>
          <w:lang w:eastAsia="ru-RU"/>
        </w:rPr>
        <w:instrText xml:space="preserve"> </w:instrText>
      </w:r>
      <w:r w:rsidR="00A6794A">
        <w:rPr>
          <w:lang w:val="en-US" w:eastAsia="ru-RU"/>
        </w:rPr>
        <w:instrText>reducing</w:instrText>
      </w:r>
      <w:r w:rsidR="00A6794A" w:rsidRPr="00D3550C">
        <w:rPr>
          <w:lang w:eastAsia="ru-RU"/>
        </w:rPr>
        <w:instrText xml:space="preserve"> </w:instrText>
      </w:r>
      <w:r w:rsidR="00A6794A">
        <w:rPr>
          <w:lang w:val="en-US" w:eastAsia="ru-RU"/>
        </w:rPr>
        <w:instrText>the</w:instrText>
      </w:r>
      <w:r w:rsidR="00A6794A" w:rsidRPr="00D3550C">
        <w:rPr>
          <w:lang w:eastAsia="ru-RU"/>
        </w:rPr>
        <w:instrText xml:space="preserve"> </w:instrText>
      </w:r>
      <w:r w:rsidR="00A6794A">
        <w:rPr>
          <w:lang w:val="en-US" w:eastAsia="ru-RU"/>
        </w:rPr>
        <w:instrText>burden</w:instrText>
      </w:r>
      <w:r w:rsidR="00A6794A" w:rsidRPr="00D3550C">
        <w:rPr>
          <w:lang w:eastAsia="ru-RU"/>
        </w:rPr>
        <w:instrText xml:space="preserve"> </w:instrText>
      </w:r>
      <w:r w:rsidR="00A6794A">
        <w:rPr>
          <w:lang w:val="en-US" w:eastAsia="ru-RU"/>
        </w:rPr>
        <w:instrText>on</w:instrText>
      </w:r>
      <w:r w:rsidR="00A6794A" w:rsidRPr="00D3550C">
        <w:rPr>
          <w:lang w:eastAsia="ru-RU"/>
        </w:rPr>
        <w:instrText xml:space="preserve"> </w:instrText>
      </w:r>
      <w:r w:rsidR="00A6794A">
        <w:rPr>
          <w:lang w:val="en-US" w:eastAsia="ru-RU"/>
        </w:rPr>
        <w:instrText>health</w:instrText>
      </w:r>
      <w:r w:rsidR="00A6794A" w:rsidRPr="00D3550C">
        <w:rPr>
          <w:lang w:eastAsia="ru-RU"/>
        </w:rPr>
        <w:instrText xml:space="preserve"> </w:instrText>
      </w:r>
      <w:r w:rsidR="00A6794A">
        <w:rPr>
          <w:lang w:val="en-US" w:eastAsia="ru-RU"/>
        </w:rPr>
        <w:instrText>care</w:instrText>
      </w:r>
      <w:r w:rsidR="00A6794A" w:rsidRPr="00D3550C">
        <w:rPr>
          <w:lang w:eastAsia="ru-RU"/>
        </w:rPr>
        <w:instrText xml:space="preserve"> </w:instrText>
      </w:r>
      <w:r w:rsidR="00A6794A">
        <w:rPr>
          <w:lang w:val="en-US" w:eastAsia="ru-RU"/>
        </w:rPr>
        <w:instrText>resources</w:instrText>
      </w:r>
      <w:r w:rsidR="00A6794A" w:rsidRPr="00D3550C">
        <w:rPr>
          <w:lang w:eastAsia="ru-RU"/>
        </w:rPr>
        <w:instrText xml:space="preserve"> </w:instrText>
      </w:r>
      <w:r w:rsidR="00A6794A">
        <w:rPr>
          <w:lang w:val="en-US" w:eastAsia="ru-RU"/>
        </w:rPr>
        <w:instrText>and</w:instrText>
      </w:r>
      <w:r w:rsidR="00A6794A" w:rsidRPr="00D3550C">
        <w:rPr>
          <w:lang w:eastAsia="ru-RU"/>
        </w:rPr>
        <w:instrText xml:space="preserve"> </w:instrText>
      </w:r>
      <w:r w:rsidR="00A6794A">
        <w:rPr>
          <w:lang w:val="en-US" w:eastAsia="ru-RU"/>
        </w:rPr>
        <w:instrText>improving</w:instrText>
      </w:r>
      <w:r w:rsidR="00A6794A" w:rsidRPr="00D3550C">
        <w:rPr>
          <w:lang w:eastAsia="ru-RU"/>
        </w:rPr>
        <w:instrText xml:space="preserve"> </w:instrText>
      </w:r>
      <w:r w:rsidR="00A6794A">
        <w:rPr>
          <w:lang w:val="en-US" w:eastAsia="ru-RU"/>
        </w:rPr>
        <w:instrText>quality</w:instrText>
      </w:r>
      <w:r w:rsidR="00A6794A" w:rsidRPr="00D3550C">
        <w:rPr>
          <w:lang w:eastAsia="ru-RU"/>
        </w:rPr>
        <w:instrText xml:space="preserve"> </w:instrText>
      </w:r>
      <w:r w:rsidR="00A6794A">
        <w:rPr>
          <w:lang w:val="en-US" w:eastAsia="ru-RU"/>
        </w:rPr>
        <w:instrText>of</w:instrText>
      </w:r>
      <w:r w:rsidR="00A6794A" w:rsidRPr="00D3550C">
        <w:rPr>
          <w:lang w:eastAsia="ru-RU"/>
        </w:rPr>
        <w:instrText xml:space="preserve"> </w:instrText>
      </w:r>
      <w:r w:rsidR="00A6794A">
        <w:rPr>
          <w:lang w:val="en-US" w:eastAsia="ru-RU"/>
        </w:rPr>
        <w:instrText>life</w:instrText>
      </w:r>
      <w:r w:rsidR="00A6794A" w:rsidRPr="00D3550C">
        <w:rPr>
          <w:lang w:eastAsia="ru-RU"/>
        </w:rPr>
        <w:instrText xml:space="preserve"> </w:instrText>
      </w:r>
      <w:r w:rsidR="00A6794A">
        <w:rPr>
          <w:lang w:val="en-US" w:eastAsia="ru-RU"/>
        </w:rPr>
        <w:instrText>for</w:instrText>
      </w:r>
      <w:r w:rsidR="00A6794A" w:rsidRPr="00D3550C">
        <w:rPr>
          <w:lang w:eastAsia="ru-RU"/>
        </w:rPr>
        <w:instrText xml:space="preserve"> </w:instrText>
      </w:r>
      <w:r w:rsidR="00A6794A">
        <w:rPr>
          <w:lang w:val="en-US" w:eastAsia="ru-RU"/>
        </w:rPr>
        <w:instrText>patients</w:instrText>
      </w:r>
      <w:r w:rsidR="00A6794A" w:rsidRPr="00D3550C">
        <w:rPr>
          <w:lang w:eastAsia="ru-RU"/>
        </w:rPr>
        <w:instrText>.","</w:instrText>
      </w:r>
      <w:r w:rsidR="00A6794A">
        <w:rPr>
          <w:lang w:val="en-US" w:eastAsia="ru-RU"/>
        </w:rPr>
        <w:instrText>author</w:instrText>
      </w:r>
      <w:r w:rsidR="00A6794A" w:rsidRPr="00D3550C">
        <w:rPr>
          <w:lang w:eastAsia="ru-RU"/>
        </w:rPr>
        <w:instrText>":[{"</w:instrText>
      </w:r>
      <w:r w:rsidR="00A6794A">
        <w:rPr>
          <w:lang w:val="en-US" w:eastAsia="ru-RU"/>
        </w:rPr>
        <w:instrText>dropping</w:instrText>
      </w:r>
      <w:r w:rsidR="00A6794A" w:rsidRPr="00D3550C">
        <w:rPr>
          <w:lang w:eastAsia="ru-RU"/>
        </w:rPr>
        <w:instrText>-</w:instrText>
      </w:r>
      <w:r w:rsidR="00A6794A">
        <w:rPr>
          <w:lang w:val="en-US" w:eastAsia="ru-RU"/>
        </w:rPr>
        <w:instrText>particle</w:instrText>
      </w:r>
      <w:r w:rsidR="00A6794A" w:rsidRPr="00D3550C">
        <w:rPr>
          <w:lang w:eastAsia="ru-RU"/>
        </w:rPr>
        <w:instrText>":"","</w:instrText>
      </w:r>
      <w:r w:rsidR="00A6794A">
        <w:rPr>
          <w:lang w:val="en-US" w:eastAsia="ru-RU"/>
        </w:rPr>
        <w:instrText>family</w:instrText>
      </w:r>
      <w:r w:rsidR="00A6794A" w:rsidRPr="00D3550C">
        <w:rPr>
          <w:lang w:eastAsia="ru-RU"/>
        </w:rPr>
        <w:instrText>":"</w:instrText>
      </w:r>
      <w:r w:rsidR="00A6794A">
        <w:rPr>
          <w:lang w:val="en-US" w:eastAsia="ru-RU"/>
        </w:rPr>
        <w:instrText>Macdonald</w:instrText>
      </w:r>
      <w:r w:rsidR="00A6794A" w:rsidRPr="00D3550C">
        <w:rPr>
          <w:lang w:eastAsia="ru-RU"/>
        </w:rPr>
        <w:instrText>","</w:instrText>
      </w:r>
      <w:r w:rsidR="00A6794A">
        <w:rPr>
          <w:lang w:val="en-US" w:eastAsia="ru-RU"/>
        </w:rPr>
        <w:instrText>given</w:instrText>
      </w:r>
      <w:r w:rsidR="00A6794A" w:rsidRPr="00D3550C">
        <w:rPr>
          <w:lang w:eastAsia="ru-RU"/>
        </w:rPr>
        <w:instrText>":"</w:instrText>
      </w:r>
      <w:r w:rsidR="00A6794A">
        <w:rPr>
          <w:lang w:val="en-US" w:eastAsia="ru-RU"/>
        </w:rPr>
        <w:instrText>David</w:instrText>
      </w:r>
      <w:r w:rsidR="00A6794A" w:rsidRPr="00D3550C">
        <w:rPr>
          <w:lang w:eastAsia="ru-RU"/>
        </w:rPr>
        <w:instrText>","</w:instrText>
      </w:r>
      <w:r w:rsidR="00A6794A">
        <w:rPr>
          <w:lang w:val="en-US" w:eastAsia="ru-RU"/>
        </w:rPr>
        <w:instrText>non</w:instrText>
      </w:r>
      <w:r w:rsidR="00A6794A" w:rsidRPr="00D3550C">
        <w:rPr>
          <w:lang w:eastAsia="ru-RU"/>
        </w:rPr>
        <w:instrText>-</w:instrText>
      </w:r>
      <w:r w:rsidR="00A6794A">
        <w:rPr>
          <w:lang w:val="en-US" w:eastAsia="ru-RU"/>
        </w:rPr>
        <w:instrText>dropping</w:instrText>
      </w:r>
      <w:r w:rsidR="00A6794A" w:rsidRPr="00D3550C">
        <w:rPr>
          <w:lang w:eastAsia="ru-RU"/>
        </w:rPr>
        <w:instrText>-</w:instrText>
      </w:r>
      <w:r w:rsidR="00A6794A">
        <w:rPr>
          <w:lang w:val="en-US" w:eastAsia="ru-RU"/>
        </w:rPr>
        <w:instrText>particle</w:instrText>
      </w:r>
      <w:r w:rsidR="00A6794A" w:rsidRPr="00D3550C">
        <w:rPr>
          <w:lang w:eastAsia="ru-RU"/>
        </w:rPr>
        <w:instrText>":"","</w:instrText>
      </w:r>
      <w:r w:rsidR="00A6794A">
        <w:rPr>
          <w:lang w:val="en-US" w:eastAsia="ru-RU"/>
        </w:rPr>
        <w:instrText>parse</w:instrText>
      </w:r>
      <w:r w:rsidR="00A6794A" w:rsidRPr="00D3550C">
        <w:rPr>
          <w:lang w:eastAsia="ru-RU"/>
        </w:rPr>
        <w:instrText>-</w:instrText>
      </w:r>
      <w:r w:rsidR="00A6794A">
        <w:rPr>
          <w:lang w:val="en-US" w:eastAsia="ru-RU"/>
        </w:rPr>
        <w:instrText>names</w:instrText>
      </w:r>
      <w:r w:rsidR="00A6794A" w:rsidRPr="00D3550C">
        <w:rPr>
          <w:lang w:eastAsia="ru-RU"/>
        </w:rPr>
        <w:instrText>":</w:instrText>
      </w:r>
      <w:r w:rsidR="00A6794A">
        <w:rPr>
          <w:lang w:val="en-US" w:eastAsia="ru-RU"/>
        </w:rPr>
        <w:instrText>false</w:instrText>
      </w:r>
      <w:r w:rsidR="00A6794A" w:rsidRPr="00D3550C">
        <w:rPr>
          <w:lang w:eastAsia="ru-RU"/>
        </w:rPr>
        <w:instrText>,"</w:instrText>
      </w:r>
      <w:r w:rsidR="00A6794A">
        <w:rPr>
          <w:lang w:val="en-US" w:eastAsia="ru-RU"/>
        </w:rPr>
        <w:instrText>suffix</w:instrText>
      </w:r>
      <w:r w:rsidR="00A6794A" w:rsidRPr="00D3550C">
        <w:rPr>
          <w:lang w:eastAsia="ru-RU"/>
        </w:rPr>
        <w:instrText>":""},{"</w:instrText>
      </w:r>
      <w:r w:rsidR="00A6794A">
        <w:rPr>
          <w:lang w:val="en-US" w:eastAsia="ru-RU"/>
        </w:rPr>
        <w:instrText>dropping</w:instrText>
      </w:r>
      <w:r w:rsidR="00A6794A" w:rsidRPr="00D3550C">
        <w:rPr>
          <w:lang w:eastAsia="ru-RU"/>
        </w:rPr>
        <w:instrText>-</w:instrText>
      </w:r>
      <w:r w:rsidR="00A6794A">
        <w:rPr>
          <w:lang w:val="en-US" w:eastAsia="ru-RU"/>
        </w:rPr>
        <w:instrText>particle</w:instrText>
      </w:r>
      <w:r w:rsidR="00A6794A" w:rsidRPr="00D3550C">
        <w:rPr>
          <w:lang w:eastAsia="ru-RU"/>
        </w:rPr>
        <w:instrText>":"","</w:instrText>
      </w:r>
      <w:r w:rsidR="00A6794A">
        <w:rPr>
          <w:lang w:val="en-US" w:eastAsia="ru-RU"/>
        </w:rPr>
        <w:instrText>family</w:instrText>
      </w:r>
      <w:r w:rsidR="00A6794A" w:rsidRPr="00D3550C">
        <w:rPr>
          <w:lang w:eastAsia="ru-RU"/>
        </w:rPr>
        <w:instrText>":"</w:instrText>
      </w:r>
      <w:r w:rsidR="00A6794A">
        <w:rPr>
          <w:lang w:val="en-US" w:eastAsia="ru-RU"/>
        </w:rPr>
        <w:instrText>Crosbie</w:instrText>
      </w:r>
      <w:r w:rsidR="00A6794A" w:rsidRPr="00D3550C">
        <w:rPr>
          <w:lang w:eastAsia="ru-RU"/>
        </w:rPr>
        <w:instrText>","</w:instrText>
      </w:r>
      <w:r w:rsidR="00A6794A">
        <w:rPr>
          <w:lang w:val="en-US" w:eastAsia="ru-RU"/>
        </w:rPr>
        <w:instrText>given</w:instrText>
      </w:r>
      <w:r w:rsidR="00A6794A" w:rsidRPr="00D3550C">
        <w:rPr>
          <w:lang w:eastAsia="ru-RU"/>
        </w:rPr>
        <w:instrText>":"</w:instrText>
      </w:r>
      <w:r w:rsidR="00A6794A">
        <w:rPr>
          <w:lang w:val="en-US" w:eastAsia="ru-RU"/>
        </w:rPr>
        <w:instrText>T</w:instrText>
      </w:r>
      <w:r w:rsidR="00A6794A" w:rsidRPr="00D3550C">
        <w:rPr>
          <w:lang w:eastAsia="ru-RU"/>
        </w:rPr>
        <w:instrText>.","</w:instrText>
      </w:r>
      <w:r w:rsidR="00A6794A">
        <w:rPr>
          <w:lang w:val="en-US" w:eastAsia="ru-RU"/>
        </w:rPr>
        <w:instrText>non</w:instrText>
      </w:r>
      <w:r w:rsidR="00A6794A" w:rsidRPr="00D3550C">
        <w:rPr>
          <w:lang w:eastAsia="ru-RU"/>
        </w:rPr>
        <w:instrText>-</w:instrText>
      </w:r>
      <w:r w:rsidR="00A6794A">
        <w:rPr>
          <w:lang w:val="en-US" w:eastAsia="ru-RU"/>
        </w:rPr>
        <w:instrText>dropping</w:instrText>
      </w:r>
      <w:r w:rsidR="00A6794A" w:rsidRPr="00D3550C">
        <w:rPr>
          <w:lang w:eastAsia="ru-RU"/>
        </w:rPr>
        <w:instrText>-</w:instrText>
      </w:r>
      <w:r w:rsidR="00A6794A">
        <w:rPr>
          <w:lang w:val="en-US" w:eastAsia="ru-RU"/>
        </w:rPr>
        <w:instrText>particle</w:instrText>
      </w:r>
      <w:r w:rsidR="00A6794A" w:rsidRPr="00D3550C">
        <w:rPr>
          <w:lang w:eastAsia="ru-RU"/>
        </w:rPr>
        <w:instrText>":"","</w:instrText>
      </w:r>
      <w:r w:rsidR="00A6794A">
        <w:rPr>
          <w:lang w:val="en-US" w:eastAsia="ru-RU"/>
        </w:rPr>
        <w:instrText>parse</w:instrText>
      </w:r>
      <w:r w:rsidR="00A6794A" w:rsidRPr="00D3550C">
        <w:rPr>
          <w:lang w:eastAsia="ru-RU"/>
        </w:rPr>
        <w:instrText>-</w:instrText>
      </w:r>
      <w:r w:rsidR="00A6794A">
        <w:rPr>
          <w:lang w:val="en-US" w:eastAsia="ru-RU"/>
        </w:rPr>
        <w:instrText>names</w:instrText>
      </w:r>
      <w:r w:rsidR="00A6794A" w:rsidRPr="00D3550C">
        <w:rPr>
          <w:lang w:eastAsia="ru-RU"/>
        </w:rPr>
        <w:instrText>":</w:instrText>
      </w:r>
      <w:r w:rsidR="00A6794A">
        <w:rPr>
          <w:lang w:val="en-US" w:eastAsia="ru-RU"/>
        </w:rPr>
        <w:instrText>false</w:instrText>
      </w:r>
      <w:r w:rsidR="00A6794A" w:rsidRPr="00D3550C">
        <w:rPr>
          <w:lang w:eastAsia="ru-RU"/>
        </w:rPr>
        <w:instrText>,"</w:instrText>
      </w:r>
      <w:r w:rsidR="00A6794A">
        <w:rPr>
          <w:lang w:val="en-US" w:eastAsia="ru-RU"/>
        </w:rPr>
        <w:instrText>suffix</w:instrText>
      </w:r>
      <w:r w:rsidR="00A6794A" w:rsidRPr="00D3550C">
        <w:rPr>
          <w:lang w:eastAsia="ru-RU"/>
        </w:rPr>
        <w:instrText>":""},{"</w:instrText>
      </w:r>
      <w:r w:rsidR="00A6794A">
        <w:rPr>
          <w:lang w:val="en-US" w:eastAsia="ru-RU"/>
        </w:rPr>
        <w:instrText>dropping</w:instrText>
      </w:r>
      <w:r w:rsidR="00A6794A" w:rsidRPr="00D3550C">
        <w:rPr>
          <w:lang w:eastAsia="ru-RU"/>
        </w:rPr>
        <w:instrText>-</w:instrText>
      </w:r>
      <w:r w:rsidR="00A6794A">
        <w:rPr>
          <w:lang w:val="en-US" w:eastAsia="ru-RU"/>
        </w:rPr>
        <w:instrText>particle</w:instrText>
      </w:r>
      <w:r w:rsidR="00A6794A" w:rsidRPr="00D3550C">
        <w:rPr>
          <w:lang w:eastAsia="ru-RU"/>
        </w:rPr>
        <w:instrText>":"","</w:instrText>
      </w:r>
      <w:r w:rsidR="00A6794A">
        <w:rPr>
          <w:lang w:val="en-US" w:eastAsia="ru-RU"/>
        </w:rPr>
        <w:instrText>family</w:instrText>
      </w:r>
      <w:r w:rsidR="00A6794A" w:rsidRPr="00D3550C">
        <w:rPr>
          <w:lang w:eastAsia="ru-RU"/>
        </w:rPr>
        <w:instrText>":"</w:instrText>
      </w:r>
      <w:r w:rsidR="00A6794A">
        <w:rPr>
          <w:lang w:val="en-US" w:eastAsia="ru-RU"/>
        </w:rPr>
        <w:instrText>Christofides</w:instrText>
      </w:r>
      <w:r w:rsidR="00A6794A" w:rsidRPr="00D3550C">
        <w:rPr>
          <w:lang w:eastAsia="ru-RU"/>
        </w:rPr>
        <w:instrText>","</w:instrText>
      </w:r>
      <w:r w:rsidR="00A6794A">
        <w:rPr>
          <w:lang w:val="en-US" w:eastAsia="ru-RU"/>
        </w:rPr>
        <w:instrText>given</w:instrText>
      </w:r>
      <w:r w:rsidR="00A6794A" w:rsidRPr="00D3550C">
        <w:rPr>
          <w:lang w:eastAsia="ru-RU"/>
        </w:rPr>
        <w:instrText>":"</w:instrText>
      </w:r>
      <w:r w:rsidR="00A6794A">
        <w:rPr>
          <w:lang w:val="en-US" w:eastAsia="ru-RU"/>
        </w:rPr>
        <w:instrText>A</w:instrText>
      </w:r>
      <w:r w:rsidR="00A6794A" w:rsidRPr="00D3550C">
        <w:rPr>
          <w:lang w:eastAsia="ru-RU"/>
        </w:rPr>
        <w:instrText>.","</w:instrText>
      </w:r>
      <w:r w:rsidR="00A6794A">
        <w:rPr>
          <w:lang w:val="en-US" w:eastAsia="ru-RU"/>
        </w:rPr>
        <w:instrText>non</w:instrText>
      </w:r>
      <w:r w:rsidR="00A6794A" w:rsidRPr="00D3550C">
        <w:rPr>
          <w:lang w:eastAsia="ru-RU"/>
        </w:rPr>
        <w:instrText>-</w:instrText>
      </w:r>
      <w:r w:rsidR="00A6794A">
        <w:rPr>
          <w:lang w:val="en-US" w:eastAsia="ru-RU"/>
        </w:rPr>
        <w:instrText>dropping</w:instrText>
      </w:r>
      <w:r w:rsidR="00A6794A" w:rsidRPr="00D3550C">
        <w:rPr>
          <w:lang w:eastAsia="ru-RU"/>
        </w:rPr>
        <w:instrText>-</w:instrText>
      </w:r>
      <w:r w:rsidR="00A6794A">
        <w:rPr>
          <w:lang w:val="en-US" w:eastAsia="ru-RU"/>
        </w:rPr>
        <w:instrText>particle</w:instrText>
      </w:r>
      <w:r w:rsidR="00A6794A" w:rsidRPr="00D3550C">
        <w:rPr>
          <w:lang w:eastAsia="ru-RU"/>
        </w:rPr>
        <w:instrText>":"","</w:instrText>
      </w:r>
      <w:r w:rsidR="00A6794A">
        <w:rPr>
          <w:lang w:val="en-US" w:eastAsia="ru-RU"/>
        </w:rPr>
        <w:instrText>parse</w:instrText>
      </w:r>
      <w:r w:rsidR="00A6794A" w:rsidRPr="00D3550C">
        <w:rPr>
          <w:lang w:eastAsia="ru-RU"/>
        </w:rPr>
        <w:instrText>-</w:instrText>
      </w:r>
      <w:r w:rsidR="00A6794A">
        <w:rPr>
          <w:lang w:val="en-US" w:eastAsia="ru-RU"/>
        </w:rPr>
        <w:instrText>names</w:instrText>
      </w:r>
      <w:r w:rsidR="00A6794A" w:rsidRPr="00D3550C">
        <w:rPr>
          <w:lang w:eastAsia="ru-RU"/>
        </w:rPr>
        <w:instrText>":</w:instrText>
      </w:r>
      <w:r w:rsidR="00A6794A">
        <w:rPr>
          <w:lang w:val="en-US" w:eastAsia="ru-RU"/>
        </w:rPr>
        <w:instrText>false</w:instrText>
      </w:r>
      <w:r w:rsidR="00A6794A" w:rsidRPr="00D3550C">
        <w:rPr>
          <w:lang w:eastAsia="ru-RU"/>
        </w:rPr>
        <w:instrText>,"</w:instrText>
      </w:r>
      <w:r w:rsidR="00A6794A">
        <w:rPr>
          <w:lang w:val="en-US" w:eastAsia="ru-RU"/>
        </w:rPr>
        <w:instrText>suffix</w:instrText>
      </w:r>
      <w:r w:rsidR="00A6794A" w:rsidRPr="00D3550C">
        <w:rPr>
          <w:lang w:eastAsia="ru-RU"/>
        </w:rPr>
        <w:instrText>":""},{"</w:instrText>
      </w:r>
      <w:r w:rsidR="00A6794A">
        <w:rPr>
          <w:lang w:val="en-US" w:eastAsia="ru-RU"/>
        </w:rPr>
        <w:instrText>dropping</w:instrText>
      </w:r>
      <w:r w:rsidR="00A6794A" w:rsidRPr="00D3550C">
        <w:rPr>
          <w:lang w:eastAsia="ru-RU"/>
        </w:rPr>
        <w:instrText>-</w:instrText>
      </w:r>
      <w:r w:rsidR="00A6794A">
        <w:rPr>
          <w:lang w:val="en-US" w:eastAsia="ru-RU"/>
        </w:rPr>
        <w:instrText>particle</w:instrText>
      </w:r>
      <w:r w:rsidR="00A6794A" w:rsidRPr="00D3550C">
        <w:rPr>
          <w:lang w:eastAsia="ru-RU"/>
        </w:rPr>
        <w:instrText>":"","</w:instrText>
      </w:r>
      <w:r w:rsidR="00A6794A">
        <w:rPr>
          <w:lang w:val="en-US" w:eastAsia="ru-RU"/>
        </w:rPr>
        <w:instrText>family</w:instrText>
      </w:r>
      <w:r w:rsidR="00A6794A" w:rsidRPr="00D3550C">
        <w:rPr>
          <w:lang w:eastAsia="ru-RU"/>
        </w:rPr>
        <w:instrText>":"</w:instrText>
      </w:r>
      <w:r w:rsidR="00A6794A">
        <w:rPr>
          <w:lang w:val="en-US" w:eastAsia="ru-RU"/>
        </w:rPr>
        <w:instrText>Assaily</w:instrText>
      </w:r>
      <w:r w:rsidR="00A6794A" w:rsidRPr="00D3550C">
        <w:rPr>
          <w:lang w:eastAsia="ru-RU"/>
        </w:rPr>
        <w:instrText>","</w:instrText>
      </w:r>
      <w:r w:rsidR="00A6794A">
        <w:rPr>
          <w:lang w:val="en-US" w:eastAsia="ru-RU"/>
        </w:rPr>
        <w:instrText>given</w:instrText>
      </w:r>
      <w:r w:rsidR="00A6794A" w:rsidRPr="00D3550C">
        <w:rPr>
          <w:lang w:eastAsia="ru-RU"/>
        </w:rPr>
        <w:instrText>":"</w:instrText>
      </w:r>
      <w:r w:rsidR="00A6794A">
        <w:rPr>
          <w:lang w:val="en-US" w:eastAsia="ru-RU"/>
        </w:rPr>
        <w:instrText>W</w:instrText>
      </w:r>
      <w:r w:rsidR="00A6794A" w:rsidRPr="00D3550C">
        <w:rPr>
          <w:lang w:eastAsia="ru-RU"/>
        </w:rPr>
        <w:instrText>.","</w:instrText>
      </w:r>
      <w:r w:rsidR="00A6794A">
        <w:rPr>
          <w:lang w:val="en-US" w:eastAsia="ru-RU"/>
        </w:rPr>
        <w:instrText>non</w:instrText>
      </w:r>
      <w:r w:rsidR="00A6794A" w:rsidRPr="00D3550C">
        <w:rPr>
          <w:lang w:eastAsia="ru-RU"/>
        </w:rPr>
        <w:instrText>-</w:instrText>
      </w:r>
      <w:r w:rsidR="00A6794A">
        <w:rPr>
          <w:lang w:val="en-US" w:eastAsia="ru-RU"/>
        </w:rPr>
        <w:instrText>dropping</w:instrText>
      </w:r>
      <w:r w:rsidR="00A6794A" w:rsidRPr="00D3550C">
        <w:rPr>
          <w:lang w:eastAsia="ru-RU"/>
        </w:rPr>
        <w:instrText>-</w:instrText>
      </w:r>
      <w:r w:rsidR="00A6794A">
        <w:rPr>
          <w:lang w:val="en-US" w:eastAsia="ru-RU"/>
        </w:rPr>
        <w:instrText>particle</w:instrText>
      </w:r>
      <w:r w:rsidR="00A6794A" w:rsidRPr="00D3550C">
        <w:rPr>
          <w:lang w:eastAsia="ru-RU"/>
        </w:rPr>
        <w:instrText>":"","</w:instrText>
      </w:r>
      <w:r w:rsidR="00A6794A">
        <w:rPr>
          <w:lang w:val="en-US" w:eastAsia="ru-RU"/>
        </w:rPr>
        <w:instrText>parse</w:instrText>
      </w:r>
      <w:r w:rsidR="00A6794A" w:rsidRPr="00D3550C">
        <w:rPr>
          <w:lang w:eastAsia="ru-RU"/>
        </w:rPr>
        <w:instrText>-</w:instrText>
      </w:r>
      <w:r w:rsidR="00A6794A">
        <w:rPr>
          <w:lang w:val="en-US" w:eastAsia="ru-RU"/>
        </w:rPr>
        <w:instrText>names</w:instrText>
      </w:r>
      <w:r w:rsidR="00A6794A" w:rsidRPr="00D3550C">
        <w:rPr>
          <w:lang w:eastAsia="ru-RU"/>
        </w:rPr>
        <w:instrText>":</w:instrText>
      </w:r>
      <w:r w:rsidR="00A6794A">
        <w:rPr>
          <w:lang w:val="en-US" w:eastAsia="ru-RU"/>
        </w:rPr>
        <w:instrText>false</w:instrText>
      </w:r>
      <w:r w:rsidR="00A6794A" w:rsidRPr="00D3550C">
        <w:rPr>
          <w:lang w:eastAsia="ru-RU"/>
        </w:rPr>
        <w:instrText>,"</w:instrText>
      </w:r>
      <w:r w:rsidR="00A6794A">
        <w:rPr>
          <w:lang w:val="en-US" w:eastAsia="ru-RU"/>
        </w:rPr>
        <w:instrText>suffix</w:instrText>
      </w:r>
      <w:r w:rsidR="00A6794A" w:rsidRPr="00D3550C">
        <w:rPr>
          <w:lang w:eastAsia="ru-RU"/>
        </w:rPr>
        <w:instrText>":""},{"</w:instrText>
      </w:r>
      <w:r w:rsidR="00A6794A">
        <w:rPr>
          <w:lang w:val="en-US" w:eastAsia="ru-RU"/>
        </w:rPr>
        <w:instrText>dropping</w:instrText>
      </w:r>
      <w:r w:rsidR="00A6794A" w:rsidRPr="00D3550C">
        <w:rPr>
          <w:lang w:eastAsia="ru-RU"/>
        </w:rPr>
        <w:instrText>-</w:instrText>
      </w:r>
      <w:r w:rsidR="00A6794A">
        <w:rPr>
          <w:lang w:val="en-US" w:eastAsia="ru-RU"/>
        </w:rPr>
        <w:instrText>particle</w:instrText>
      </w:r>
      <w:r w:rsidR="00A6794A" w:rsidRPr="00D3550C">
        <w:rPr>
          <w:lang w:eastAsia="ru-RU"/>
        </w:rPr>
        <w:instrText>":"","</w:instrText>
      </w:r>
      <w:r w:rsidR="00A6794A">
        <w:rPr>
          <w:lang w:val="en-US" w:eastAsia="ru-RU"/>
        </w:rPr>
        <w:instrText>family</w:instrText>
      </w:r>
      <w:r w:rsidR="00A6794A" w:rsidRPr="00D3550C">
        <w:rPr>
          <w:lang w:eastAsia="ru-RU"/>
        </w:rPr>
        <w:instrText>":"</w:instrText>
      </w:r>
      <w:r w:rsidR="00A6794A">
        <w:rPr>
          <w:lang w:val="en-US" w:eastAsia="ru-RU"/>
        </w:rPr>
        <w:instrText>Wiernikowski</w:instrText>
      </w:r>
      <w:r w:rsidR="00A6794A" w:rsidRPr="00D3550C">
        <w:rPr>
          <w:lang w:eastAsia="ru-RU"/>
        </w:rPr>
        <w:instrText>","</w:instrText>
      </w:r>
      <w:r w:rsidR="00A6794A">
        <w:rPr>
          <w:lang w:val="en-US" w:eastAsia="ru-RU"/>
        </w:rPr>
        <w:instrText>given</w:instrText>
      </w:r>
      <w:r w:rsidR="00A6794A" w:rsidRPr="00D3550C">
        <w:rPr>
          <w:lang w:eastAsia="ru-RU"/>
        </w:rPr>
        <w:instrText>":"</w:instrText>
      </w:r>
      <w:r w:rsidR="00A6794A">
        <w:rPr>
          <w:lang w:val="en-US" w:eastAsia="ru-RU"/>
        </w:rPr>
        <w:instrText>J</w:instrText>
      </w:r>
      <w:r w:rsidR="00A6794A" w:rsidRPr="00D3550C">
        <w:rPr>
          <w:lang w:eastAsia="ru-RU"/>
        </w:rPr>
        <w:instrText>.","</w:instrText>
      </w:r>
      <w:r w:rsidR="00A6794A">
        <w:rPr>
          <w:lang w:val="en-US" w:eastAsia="ru-RU"/>
        </w:rPr>
        <w:instrText>non</w:instrText>
      </w:r>
      <w:r w:rsidR="00A6794A" w:rsidRPr="00D3550C">
        <w:rPr>
          <w:lang w:eastAsia="ru-RU"/>
        </w:rPr>
        <w:instrText>-</w:instrText>
      </w:r>
      <w:r w:rsidR="00A6794A">
        <w:rPr>
          <w:lang w:val="en-US" w:eastAsia="ru-RU"/>
        </w:rPr>
        <w:instrText>dropping</w:instrText>
      </w:r>
      <w:r w:rsidR="00A6794A" w:rsidRPr="00D3550C">
        <w:rPr>
          <w:lang w:eastAsia="ru-RU"/>
        </w:rPr>
        <w:instrText>-</w:instrText>
      </w:r>
      <w:r w:rsidR="00A6794A">
        <w:rPr>
          <w:lang w:val="en-US" w:eastAsia="ru-RU"/>
        </w:rPr>
        <w:instrText>particle</w:instrText>
      </w:r>
      <w:r w:rsidR="00A6794A" w:rsidRPr="00D3550C">
        <w:rPr>
          <w:lang w:eastAsia="ru-RU"/>
        </w:rPr>
        <w:instrText>":"","</w:instrText>
      </w:r>
      <w:r w:rsidR="00A6794A">
        <w:rPr>
          <w:lang w:val="en-US" w:eastAsia="ru-RU"/>
        </w:rPr>
        <w:instrText>parse</w:instrText>
      </w:r>
      <w:r w:rsidR="00A6794A" w:rsidRPr="00D3550C">
        <w:rPr>
          <w:lang w:eastAsia="ru-RU"/>
        </w:rPr>
        <w:instrText>-</w:instrText>
      </w:r>
      <w:r w:rsidR="00A6794A">
        <w:rPr>
          <w:lang w:val="en-US" w:eastAsia="ru-RU"/>
        </w:rPr>
        <w:instrText>names</w:instrText>
      </w:r>
      <w:r w:rsidR="00A6794A" w:rsidRPr="00D3550C">
        <w:rPr>
          <w:lang w:eastAsia="ru-RU"/>
        </w:rPr>
        <w:instrText>":</w:instrText>
      </w:r>
      <w:r w:rsidR="00A6794A">
        <w:rPr>
          <w:lang w:val="en-US" w:eastAsia="ru-RU"/>
        </w:rPr>
        <w:instrText>false</w:instrText>
      </w:r>
      <w:r w:rsidR="00A6794A" w:rsidRPr="00D3550C">
        <w:rPr>
          <w:lang w:eastAsia="ru-RU"/>
        </w:rPr>
        <w:instrText>,"</w:instrText>
      </w:r>
      <w:r w:rsidR="00A6794A">
        <w:rPr>
          <w:lang w:val="en-US" w:eastAsia="ru-RU"/>
        </w:rPr>
        <w:instrText>suffix</w:instrText>
      </w:r>
      <w:r w:rsidR="00A6794A" w:rsidRPr="00D3550C">
        <w:rPr>
          <w:lang w:eastAsia="ru-RU"/>
        </w:rPr>
        <w:instrText>":""}],"</w:instrText>
      </w:r>
      <w:r w:rsidR="00A6794A">
        <w:rPr>
          <w:lang w:val="en-US" w:eastAsia="ru-RU"/>
        </w:rPr>
        <w:instrText>container</w:instrText>
      </w:r>
      <w:r w:rsidR="00A6794A" w:rsidRPr="00D3550C">
        <w:rPr>
          <w:lang w:eastAsia="ru-RU"/>
        </w:rPr>
        <w:instrText>-</w:instrText>
      </w:r>
      <w:r w:rsidR="00A6794A">
        <w:rPr>
          <w:lang w:val="en-US" w:eastAsia="ru-RU"/>
        </w:rPr>
        <w:instrText>title</w:instrText>
      </w:r>
      <w:r w:rsidR="00A6794A" w:rsidRPr="00D3550C">
        <w:rPr>
          <w:lang w:eastAsia="ru-RU"/>
        </w:rPr>
        <w:instrText>":"</w:instrText>
      </w:r>
      <w:r w:rsidR="00A6794A">
        <w:rPr>
          <w:lang w:val="en-US" w:eastAsia="ru-RU"/>
        </w:rPr>
        <w:instrText>Current</w:instrText>
      </w:r>
      <w:r w:rsidR="00A6794A" w:rsidRPr="00D3550C">
        <w:rPr>
          <w:lang w:eastAsia="ru-RU"/>
        </w:rPr>
        <w:instrText xml:space="preserve"> </w:instrText>
      </w:r>
      <w:r w:rsidR="00A6794A">
        <w:rPr>
          <w:lang w:val="en-US" w:eastAsia="ru-RU"/>
        </w:rPr>
        <w:instrText>Oncology</w:instrText>
      </w:r>
      <w:r w:rsidR="00A6794A" w:rsidRPr="00D3550C">
        <w:rPr>
          <w:lang w:eastAsia="ru-RU"/>
        </w:rPr>
        <w:instrText>","</w:instrText>
      </w:r>
      <w:r w:rsidR="00A6794A">
        <w:rPr>
          <w:lang w:val="en-US" w:eastAsia="ru-RU"/>
        </w:rPr>
        <w:instrText>id</w:instrText>
      </w:r>
      <w:r w:rsidR="00A6794A" w:rsidRPr="00D3550C">
        <w:rPr>
          <w:lang w:eastAsia="ru-RU"/>
        </w:rPr>
        <w:instrText>":"</w:instrText>
      </w:r>
      <w:r w:rsidR="00A6794A">
        <w:rPr>
          <w:lang w:val="en-US" w:eastAsia="ru-RU"/>
        </w:rPr>
        <w:instrText>ITEM</w:instrText>
      </w:r>
      <w:r w:rsidR="00A6794A" w:rsidRPr="00D3550C">
        <w:rPr>
          <w:lang w:eastAsia="ru-RU"/>
        </w:rPr>
        <w:instrText>-4","</w:instrText>
      </w:r>
      <w:r w:rsidR="00A6794A">
        <w:rPr>
          <w:lang w:val="en-US" w:eastAsia="ru-RU"/>
        </w:rPr>
        <w:instrText>issue</w:instrText>
      </w:r>
      <w:r w:rsidR="00A6794A" w:rsidRPr="00D3550C">
        <w:rPr>
          <w:lang w:eastAsia="ru-RU"/>
        </w:rPr>
        <w:instrText>":"1","</w:instrText>
      </w:r>
      <w:r w:rsidR="00A6794A">
        <w:rPr>
          <w:lang w:val="en-US" w:eastAsia="ru-RU"/>
        </w:rPr>
        <w:instrText>issued</w:instrText>
      </w:r>
      <w:r w:rsidR="00A6794A" w:rsidRPr="00D3550C">
        <w:rPr>
          <w:lang w:eastAsia="ru-RU"/>
        </w:rPr>
        <w:instrText>":{"</w:instrText>
      </w:r>
      <w:r w:rsidR="00A6794A">
        <w:rPr>
          <w:lang w:val="en-US" w:eastAsia="ru-RU"/>
        </w:rPr>
        <w:instrText>date</w:instrText>
      </w:r>
      <w:r w:rsidR="00A6794A" w:rsidRPr="00D3550C">
        <w:rPr>
          <w:lang w:eastAsia="ru-RU"/>
        </w:rPr>
        <w:instrText>-</w:instrText>
      </w:r>
      <w:r w:rsidR="00A6794A">
        <w:rPr>
          <w:lang w:val="en-US" w:eastAsia="ru-RU"/>
        </w:rPr>
        <w:instrText>parts</w:instrText>
      </w:r>
      <w:r w:rsidR="00A6794A" w:rsidRPr="00D3550C">
        <w:rPr>
          <w:lang w:eastAsia="ru-RU"/>
        </w:rPr>
        <w:instrText>":[["2017"]]},"</w:instrText>
      </w:r>
      <w:r w:rsidR="00A6794A">
        <w:rPr>
          <w:lang w:val="en-US" w:eastAsia="ru-RU"/>
        </w:rPr>
        <w:instrText>page</w:instrText>
      </w:r>
      <w:r w:rsidR="00A6794A" w:rsidRPr="00D3550C">
        <w:rPr>
          <w:lang w:eastAsia="ru-RU"/>
        </w:rPr>
        <w:instrText>":"33-39","</w:instrText>
      </w:r>
      <w:r w:rsidR="00A6794A">
        <w:rPr>
          <w:lang w:val="en-US" w:eastAsia="ru-RU"/>
        </w:rPr>
        <w:instrText>publisher</w:instrText>
      </w:r>
      <w:r w:rsidR="00A6794A" w:rsidRPr="00D3550C">
        <w:rPr>
          <w:lang w:eastAsia="ru-RU"/>
        </w:rPr>
        <w:instrText>":"</w:instrText>
      </w:r>
      <w:r w:rsidR="00A6794A">
        <w:rPr>
          <w:lang w:val="en-US" w:eastAsia="ru-RU"/>
        </w:rPr>
        <w:instrText>Multimed</w:instrText>
      </w:r>
      <w:r w:rsidR="00A6794A" w:rsidRPr="00D3550C">
        <w:rPr>
          <w:lang w:eastAsia="ru-RU"/>
        </w:rPr>
        <w:instrText xml:space="preserve"> </w:instrText>
      </w:r>
      <w:r w:rsidR="00A6794A">
        <w:rPr>
          <w:lang w:val="en-US" w:eastAsia="ru-RU"/>
        </w:rPr>
        <w:instrText>Inc</w:instrText>
      </w:r>
      <w:r w:rsidR="00A6794A" w:rsidRPr="00D3550C">
        <w:rPr>
          <w:lang w:eastAsia="ru-RU"/>
        </w:rPr>
        <w:instrText>.","</w:instrText>
      </w:r>
      <w:r w:rsidR="00A6794A">
        <w:rPr>
          <w:lang w:val="en-US" w:eastAsia="ru-RU"/>
        </w:rPr>
        <w:instrText>title</w:instrText>
      </w:r>
      <w:r w:rsidR="00A6794A" w:rsidRPr="00D3550C">
        <w:rPr>
          <w:lang w:eastAsia="ru-RU"/>
        </w:rPr>
        <w:instrText>":"</w:instrText>
      </w:r>
      <w:r w:rsidR="00A6794A">
        <w:rPr>
          <w:lang w:val="en-US" w:eastAsia="ru-RU"/>
        </w:rPr>
        <w:instrText>A</w:instrText>
      </w:r>
      <w:r w:rsidR="00A6794A" w:rsidRPr="00D3550C">
        <w:rPr>
          <w:lang w:eastAsia="ru-RU"/>
        </w:rPr>
        <w:instrText xml:space="preserve"> </w:instrText>
      </w:r>
      <w:r w:rsidR="00A6794A">
        <w:rPr>
          <w:lang w:val="en-US" w:eastAsia="ru-RU"/>
        </w:rPr>
        <w:instrText>canadian</w:instrText>
      </w:r>
      <w:r w:rsidR="00A6794A" w:rsidRPr="00D3550C">
        <w:rPr>
          <w:lang w:eastAsia="ru-RU"/>
        </w:rPr>
        <w:instrText xml:space="preserve"> </w:instrText>
      </w:r>
      <w:r w:rsidR="00A6794A">
        <w:rPr>
          <w:lang w:val="en-US" w:eastAsia="ru-RU"/>
        </w:rPr>
        <w:instrText>perspective</w:instrText>
      </w:r>
      <w:r w:rsidR="00A6794A" w:rsidRPr="00D3550C">
        <w:rPr>
          <w:lang w:eastAsia="ru-RU"/>
        </w:rPr>
        <w:instrText xml:space="preserve"> </w:instrText>
      </w:r>
      <w:r w:rsidR="00A6794A">
        <w:rPr>
          <w:lang w:val="en-US" w:eastAsia="ru-RU"/>
        </w:rPr>
        <w:instrText>on</w:instrText>
      </w:r>
      <w:r w:rsidR="00A6794A" w:rsidRPr="00D3550C">
        <w:rPr>
          <w:lang w:eastAsia="ru-RU"/>
        </w:rPr>
        <w:instrText xml:space="preserve"> </w:instrText>
      </w:r>
      <w:r w:rsidR="00A6794A">
        <w:rPr>
          <w:lang w:val="en-US" w:eastAsia="ru-RU"/>
        </w:rPr>
        <w:instrText>the</w:instrText>
      </w:r>
      <w:r w:rsidR="00A6794A" w:rsidRPr="00D3550C">
        <w:rPr>
          <w:lang w:eastAsia="ru-RU"/>
        </w:rPr>
        <w:instrText xml:space="preserve"> </w:instrText>
      </w:r>
      <w:r w:rsidR="00A6794A">
        <w:rPr>
          <w:lang w:val="en-US" w:eastAsia="ru-RU"/>
        </w:rPr>
        <w:instrText>subcutaneous</w:instrText>
      </w:r>
      <w:r w:rsidR="00A6794A" w:rsidRPr="00D3550C">
        <w:rPr>
          <w:lang w:eastAsia="ru-RU"/>
        </w:rPr>
        <w:instrText xml:space="preserve"> </w:instrText>
      </w:r>
      <w:r w:rsidR="00A6794A">
        <w:rPr>
          <w:lang w:val="en-US" w:eastAsia="ru-RU"/>
        </w:rPr>
        <w:instrText>administration</w:instrText>
      </w:r>
      <w:r w:rsidR="00A6794A" w:rsidRPr="00D3550C">
        <w:rPr>
          <w:lang w:eastAsia="ru-RU"/>
        </w:rPr>
        <w:instrText xml:space="preserve"> </w:instrText>
      </w:r>
      <w:r w:rsidR="00A6794A">
        <w:rPr>
          <w:lang w:val="en-US" w:eastAsia="ru-RU"/>
        </w:rPr>
        <w:instrText>of</w:instrText>
      </w:r>
      <w:r w:rsidR="00A6794A" w:rsidRPr="00D3550C">
        <w:rPr>
          <w:lang w:eastAsia="ru-RU"/>
        </w:rPr>
        <w:instrText xml:space="preserve"> </w:instrText>
      </w:r>
      <w:r w:rsidR="00A6794A">
        <w:rPr>
          <w:lang w:val="en-US" w:eastAsia="ru-RU"/>
        </w:rPr>
        <w:instrText>rituximab</w:instrText>
      </w:r>
      <w:r w:rsidR="00A6794A" w:rsidRPr="00D3550C">
        <w:rPr>
          <w:lang w:eastAsia="ru-RU"/>
        </w:rPr>
        <w:instrText xml:space="preserve"> </w:instrText>
      </w:r>
      <w:r w:rsidR="00A6794A">
        <w:rPr>
          <w:lang w:val="en-US" w:eastAsia="ru-RU"/>
        </w:rPr>
        <w:instrText>in</w:instrText>
      </w:r>
      <w:r w:rsidR="00A6794A" w:rsidRPr="00D3550C">
        <w:rPr>
          <w:lang w:eastAsia="ru-RU"/>
        </w:rPr>
        <w:instrText xml:space="preserve"> </w:instrText>
      </w:r>
      <w:r w:rsidR="00A6794A">
        <w:rPr>
          <w:lang w:val="en-US" w:eastAsia="ru-RU"/>
        </w:rPr>
        <w:instrText>non</w:instrText>
      </w:r>
      <w:r w:rsidR="00A6794A" w:rsidRPr="00D3550C">
        <w:rPr>
          <w:lang w:eastAsia="ru-RU"/>
        </w:rPr>
        <w:instrText>-</w:instrText>
      </w:r>
      <w:r w:rsidR="00A6794A">
        <w:rPr>
          <w:lang w:val="en-US" w:eastAsia="ru-RU"/>
        </w:rPr>
        <w:instrText>Hodgkin</w:instrText>
      </w:r>
      <w:r w:rsidR="00A6794A" w:rsidRPr="00D3550C">
        <w:rPr>
          <w:lang w:eastAsia="ru-RU"/>
        </w:rPr>
        <w:instrText xml:space="preserve"> </w:instrText>
      </w:r>
      <w:r w:rsidR="00A6794A">
        <w:rPr>
          <w:lang w:val="en-US" w:eastAsia="ru-RU"/>
        </w:rPr>
        <w:instrText>lymphoma</w:instrText>
      </w:r>
      <w:r w:rsidR="00A6794A" w:rsidRPr="00D3550C">
        <w:rPr>
          <w:lang w:eastAsia="ru-RU"/>
        </w:rPr>
        <w:instrText>","</w:instrText>
      </w:r>
      <w:r w:rsidR="00A6794A">
        <w:rPr>
          <w:lang w:val="en-US" w:eastAsia="ru-RU"/>
        </w:rPr>
        <w:instrText>type</w:instrText>
      </w:r>
      <w:r w:rsidR="00A6794A" w:rsidRPr="00D3550C">
        <w:rPr>
          <w:lang w:eastAsia="ru-RU"/>
        </w:rPr>
        <w:instrText>":"</w:instrText>
      </w:r>
      <w:r w:rsidR="00A6794A">
        <w:rPr>
          <w:lang w:val="en-US" w:eastAsia="ru-RU"/>
        </w:rPr>
        <w:instrText>article</w:instrText>
      </w:r>
      <w:r w:rsidR="00A6794A" w:rsidRPr="00D3550C">
        <w:rPr>
          <w:lang w:eastAsia="ru-RU"/>
        </w:rPr>
        <w:instrText>","</w:instrText>
      </w:r>
      <w:r w:rsidR="00A6794A">
        <w:rPr>
          <w:lang w:val="en-US" w:eastAsia="ru-RU"/>
        </w:rPr>
        <w:instrText>volume</w:instrText>
      </w:r>
      <w:r w:rsidR="00A6794A" w:rsidRPr="00D3550C">
        <w:rPr>
          <w:lang w:eastAsia="ru-RU"/>
        </w:rPr>
        <w:instrText>":"24"},"</w:instrText>
      </w:r>
      <w:r w:rsidR="00A6794A">
        <w:rPr>
          <w:lang w:val="en-US" w:eastAsia="ru-RU"/>
        </w:rPr>
        <w:instrText>uris</w:instrText>
      </w:r>
      <w:r w:rsidR="00A6794A" w:rsidRPr="00D3550C">
        <w:rPr>
          <w:lang w:eastAsia="ru-RU"/>
        </w:rPr>
        <w:instrText>":["</w:instrText>
      </w:r>
      <w:r w:rsidR="00A6794A">
        <w:rPr>
          <w:lang w:val="en-US" w:eastAsia="ru-RU"/>
        </w:rPr>
        <w:instrText>http</w:instrText>
      </w:r>
      <w:r w:rsidR="00A6794A" w:rsidRPr="00D3550C">
        <w:rPr>
          <w:lang w:eastAsia="ru-RU"/>
        </w:rPr>
        <w:instrText>://</w:instrText>
      </w:r>
      <w:r w:rsidR="00A6794A">
        <w:rPr>
          <w:lang w:val="en-US" w:eastAsia="ru-RU"/>
        </w:rPr>
        <w:instrText>www</w:instrText>
      </w:r>
      <w:r w:rsidR="00A6794A" w:rsidRPr="00D3550C">
        <w:rPr>
          <w:lang w:eastAsia="ru-RU"/>
        </w:rPr>
        <w:instrText>.</w:instrText>
      </w:r>
      <w:r w:rsidR="00A6794A">
        <w:rPr>
          <w:lang w:val="en-US" w:eastAsia="ru-RU"/>
        </w:rPr>
        <w:instrText>mendeley</w:instrText>
      </w:r>
      <w:r w:rsidR="00A6794A" w:rsidRPr="00D3550C">
        <w:rPr>
          <w:lang w:eastAsia="ru-RU"/>
        </w:rPr>
        <w:instrText>.</w:instrText>
      </w:r>
      <w:r w:rsidR="00A6794A">
        <w:rPr>
          <w:lang w:val="en-US" w:eastAsia="ru-RU"/>
        </w:rPr>
        <w:instrText>com</w:instrText>
      </w:r>
      <w:r w:rsidR="00A6794A" w:rsidRPr="00D3550C">
        <w:rPr>
          <w:lang w:eastAsia="ru-RU"/>
        </w:rPr>
        <w:instrText>/</w:instrText>
      </w:r>
      <w:r w:rsidR="00A6794A">
        <w:rPr>
          <w:lang w:val="en-US" w:eastAsia="ru-RU"/>
        </w:rPr>
        <w:instrText>documents</w:instrText>
      </w:r>
      <w:r w:rsidR="00A6794A" w:rsidRPr="00D3550C">
        <w:rPr>
          <w:lang w:eastAsia="ru-RU"/>
        </w:rPr>
        <w:instrText>/?</w:instrText>
      </w:r>
      <w:r w:rsidR="00A6794A">
        <w:rPr>
          <w:lang w:val="en-US" w:eastAsia="ru-RU"/>
        </w:rPr>
        <w:instrText>uuid</w:instrText>
      </w:r>
      <w:r w:rsidR="00A6794A" w:rsidRPr="00D3550C">
        <w:rPr>
          <w:lang w:eastAsia="ru-RU"/>
        </w:rPr>
        <w:instrText>=0</w:instrText>
      </w:r>
      <w:r w:rsidR="00A6794A">
        <w:rPr>
          <w:lang w:val="en-US" w:eastAsia="ru-RU"/>
        </w:rPr>
        <w:instrText>dec</w:instrText>
      </w:r>
      <w:r w:rsidR="00A6794A" w:rsidRPr="00D3550C">
        <w:rPr>
          <w:lang w:eastAsia="ru-RU"/>
        </w:rPr>
        <w:instrText>225</w:instrText>
      </w:r>
      <w:r w:rsidR="00A6794A">
        <w:rPr>
          <w:lang w:val="en-US" w:eastAsia="ru-RU"/>
        </w:rPr>
        <w:instrText>e</w:instrText>
      </w:r>
      <w:r w:rsidR="00A6794A" w:rsidRPr="00D3550C">
        <w:rPr>
          <w:lang w:eastAsia="ru-RU"/>
        </w:rPr>
        <w:instrText>-8</w:instrText>
      </w:r>
      <w:r w:rsidR="00A6794A">
        <w:rPr>
          <w:lang w:val="en-US" w:eastAsia="ru-RU"/>
        </w:rPr>
        <w:instrText>a</w:instrText>
      </w:r>
      <w:r w:rsidR="00A6794A" w:rsidRPr="00D3550C">
        <w:rPr>
          <w:lang w:eastAsia="ru-RU"/>
        </w:rPr>
        <w:instrText>47-3680-</w:instrText>
      </w:r>
      <w:r w:rsidR="00A6794A">
        <w:rPr>
          <w:lang w:val="en-US" w:eastAsia="ru-RU"/>
        </w:rPr>
        <w:instrText>ba</w:instrText>
      </w:r>
      <w:r w:rsidR="00A6794A" w:rsidRPr="00D3550C">
        <w:rPr>
          <w:lang w:eastAsia="ru-RU"/>
        </w:rPr>
        <w:instrText>4</w:instrText>
      </w:r>
      <w:r w:rsidR="00A6794A">
        <w:rPr>
          <w:lang w:val="en-US" w:eastAsia="ru-RU"/>
        </w:rPr>
        <w:instrText>d</w:instrText>
      </w:r>
      <w:r w:rsidR="00A6794A" w:rsidRPr="00D3550C">
        <w:rPr>
          <w:lang w:eastAsia="ru-RU"/>
        </w:rPr>
        <w:instrText>-891955</w:instrText>
      </w:r>
      <w:r w:rsidR="00A6794A">
        <w:rPr>
          <w:lang w:val="en-US" w:eastAsia="ru-RU"/>
        </w:rPr>
        <w:instrText>a</w:instrText>
      </w:r>
      <w:r w:rsidR="00A6794A" w:rsidRPr="00D3550C">
        <w:rPr>
          <w:lang w:eastAsia="ru-RU"/>
        </w:rPr>
        <w:instrText>938</w:instrText>
      </w:r>
      <w:r w:rsidR="00A6794A">
        <w:rPr>
          <w:lang w:val="en-US" w:eastAsia="ru-RU"/>
        </w:rPr>
        <w:instrText>a</w:instrText>
      </w:r>
      <w:r w:rsidR="00A6794A" w:rsidRPr="00D3550C">
        <w:rPr>
          <w:lang w:eastAsia="ru-RU"/>
        </w:rPr>
        <w:instrText>1"]}],"</w:instrText>
      </w:r>
      <w:r w:rsidR="00A6794A">
        <w:rPr>
          <w:lang w:val="en-US" w:eastAsia="ru-RU"/>
        </w:rPr>
        <w:instrText>mendeley</w:instrText>
      </w:r>
      <w:r w:rsidR="00A6794A" w:rsidRPr="00D3550C">
        <w:rPr>
          <w:lang w:eastAsia="ru-RU"/>
        </w:rPr>
        <w:instrText>":{"</w:instrText>
      </w:r>
      <w:r w:rsidR="00A6794A">
        <w:rPr>
          <w:lang w:val="en-US" w:eastAsia="ru-RU"/>
        </w:rPr>
        <w:instrText>formattedCitation</w:instrText>
      </w:r>
      <w:r w:rsidR="00A6794A" w:rsidRPr="00D3550C">
        <w:rPr>
          <w:lang w:eastAsia="ru-RU"/>
        </w:rPr>
        <w:instrText>":"[205–208]","</w:instrText>
      </w:r>
      <w:r w:rsidR="00A6794A">
        <w:rPr>
          <w:lang w:val="en-US" w:eastAsia="ru-RU"/>
        </w:rPr>
        <w:instrText>plainTextFormattedCitation</w:instrText>
      </w:r>
      <w:r w:rsidR="00A6794A" w:rsidRPr="00D3550C">
        <w:rPr>
          <w:lang w:eastAsia="ru-RU"/>
        </w:rPr>
        <w:instrText>":"[205–208]","</w:instrText>
      </w:r>
      <w:r w:rsidR="00A6794A">
        <w:rPr>
          <w:lang w:val="en-US" w:eastAsia="ru-RU"/>
        </w:rPr>
        <w:instrText>previouslyFormattedCitation</w:instrText>
      </w:r>
      <w:r w:rsidR="00A6794A" w:rsidRPr="00D3550C">
        <w:rPr>
          <w:lang w:eastAsia="ru-RU"/>
        </w:rPr>
        <w:instrText>":"[205–208]"},"</w:instrText>
      </w:r>
      <w:r w:rsidR="00A6794A">
        <w:rPr>
          <w:lang w:val="en-US" w:eastAsia="ru-RU"/>
        </w:rPr>
        <w:instrText>properties</w:instrText>
      </w:r>
      <w:r w:rsidR="00A6794A" w:rsidRPr="00D3550C">
        <w:rPr>
          <w:lang w:eastAsia="ru-RU"/>
        </w:rPr>
        <w:instrText>":{"</w:instrText>
      </w:r>
      <w:r w:rsidR="00A6794A">
        <w:rPr>
          <w:lang w:val="en-US" w:eastAsia="ru-RU"/>
        </w:rPr>
        <w:instrText>noteIndex</w:instrText>
      </w:r>
      <w:r w:rsidR="00A6794A" w:rsidRPr="00D3550C">
        <w:rPr>
          <w:lang w:eastAsia="ru-RU"/>
        </w:rPr>
        <w:instrText>":0},"</w:instrText>
      </w:r>
      <w:r w:rsidR="00A6794A">
        <w:rPr>
          <w:lang w:val="en-US" w:eastAsia="ru-RU"/>
        </w:rPr>
        <w:instrText>schema</w:instrText>
      </w:r>
      <w:r w:rsidR="00A6794A" w:rsidRPr="00D3550C">
        <w:rPr>
          <w:lang w:eastAsia="ru-RU"/>
        </w:rPr>
        <w:instrText>":"</w:instrText>
      </w:r>
      <w:r w:rsidR="00A6794A">
        <w:rPr>
          <w:lang w:val="en-US" w:eastAsia="ru-RU"/>
        </w:rPr>
        <w:instrText>https</w:instrText>
      </w:r>
      <w:r w:rsidR="00A6794A" w:rsidRPr="00D3550C">
        <w:rPr>
          <w:lang w:eastAsia="ru-RU"/>
        </w:rPr>
        <w:instrText>://</w:instrText>
      </w:r>
      <w:r w:rsidR="00A6794A">
        <w:rPr>
          <w:lang w:val="en-US" w:eastAsia="ru-RU"/>
        </w:rPr>
        <w:instrText>github</w:instrText>
      </w:r>
      <w:r w:rsidR="00A6794A" w:rsidRPr="00D3550C">
        <w:rPr>
          <w:lang w:eastAsia="ru-RU"/>
        </w:rPr>
        <w:instrText>.</w:instrText>
      </w:r>
      <w:r w:rsidR="00A6794A">
        <w:rPr>
          <w:lang w:val="en-US" w:eastAsia="ru-RU"/>
        </w:rPr>
        <w:instrText>com</w:instrText>
      </w:r>
      <w:r w:rsidR="00A6794A" w:rsidRPr="00D3550C">
        <w:rPr>
          <w:lang w:eastAsia="ru-RU"/>
        </w:rPr>
        <w:instrText>/</w:instrText>
      </w:r>
      <w:r w:rsidR="00A6794A">
        <w:rPr>
          <w:lang w:val="en-US" w:eastAsia="ru-RU"/>
        </w:rPr>
        <w:instrText>citation</w:instrText>
      </w:r>
      <w:r w:rsidR="00A6794A" w:rsidRPr="00D3550C">
        <w:rPr>
          <w:lang w:eastAsia="ru-RU"/>
        </w:rPr>
        <w:instrText>-</w:instrText>
      </w:r>
      <w:r w:rsidR="00A6794A">
        <w:rPr>
          <w:lang w:val="en-US" w:eastAsia="ru-RU"/>
        </w:rPr>
        <w:instrText>style</w:instrText>
      </w:r>
      <w:r w:rsidR="00A6794A" w:rsidRPr="00D3550C">
        <w:rPr>
          <w:lang w:eastAsia="ru-RU"/>
        </w:rPr>
        <w:instrText>-</w:instrText>
      </w:r>
      <w:r w:rsidR="00A6794A">
        <w:rPr>
          <w:lang w:val="en-US" w:eastAsia="ru-RU"/>
        </w:rPr>
        <w:instrText>language</w:instrText>
      </w:r>
      <w:r w:rsidR="00A6794A" w:rsidRPr="00D3550C">
        <w:rPr>
          <w:lang w:eastAsia="ru-RU"/>
        </w:rPr>
        <w:instrText>/</w:instrText>
      </w:r>
      <w:r w:rsidR="00A6794A">
        <w:rPr>
          <w:lang w:val="en-US" w:eastAsia="ru-RU"/>
        </w:rPr>
        <w:instrText>schema</w:instrText>
      </w:r>
      <w:r w:rsidR="00A6794A" w:rsidRPr="00D3550C">
        <w:rPr>
          <w:lang w:eastAsia="ru-RU"/>
        </w:rPr>
        <w:instrText>/</w:instrText>
      </w:r>
      <w:r w:rsidR="00A6794A">
        <w:rPr>
          <w:lang w:val="en-US" w:eastAsia="ru-RU"/>
        </w:rPr>
        <w:instrText>raw</w:instrText>
      </w:r>
      <w:r w:rsidR="00A6794A" w:rsidRPr="00D3550C">
        <w:rPr>
          <w:lang w:eastAsia="ru-RU"/>
        </w:rPr>
        <w:instrText>/</w:instrText>
      </w:r>
      <w:r w:rsidR="00A6794A">
        <w:rPr>
          <w:lang w:val="en-US" w:eastAsia="ru-RU"/>
        </w:rPr>
        <w:instrText>master</w:instrText>
      </w:r>
      <w:r w:rsidR="00A6794A" w:rsidRPr="00D3550C">
        <w:rPr>
          <w:lang w:eastAsia="ru-RU"/>
        </w:rPr>
        <w:instrText>/</w:instrText>
      </w:r>
      <w:r w:rsidR="00A6794A">
        <w:rPr>
          <w:lang w:val="en-US" w:eastAsia="ru-RU"/>
        </w:rPr>
        <w:instrText>csl</w:instrText>
      </w:r>
      <w:r w:rsidR="00A6794A" w:rsidRPr="00D3550C">
        <w:rPr>
          <w:lang w:eastAsia="ru-RU"/>
        </w:rPr>
        <w:instrText>-</w:instrText>
      </w:r>
      <w:r w:rsidR="00A6794A">
        <w:rPr>
          <w:lang w:val="en-US" w:eastAsia="ru-RU"/>
        </w:rPr>
        <w:instrText>citation</w:instrText>
      </w:r>
      <w:r w:rsidR="00A6794A" w:rsidRPr="00D3550C">
        <w:rPr>
          <w:lang w:eastAsia="ru-RU"/>
        </w:rPr>
        <w:instrText>.</w:instrText>
      </w:r>
      <w:r w:rsidR="00A6794A">
        <w:rPr>
          <w:lang w:val="en-US" w:eastAsia="ru-RU"/>
        </w:rPr>
        <w:instrText>json</w:instrText>
      </w:r>
      <w:r w:rsidR="00A6794A" w:rsidRPr="00D3550C">
        <w:rPr>
          <w:lang w:eastAsia="ru-RU"/>
        </w:rPr>
        <w:instrText>"}</w:instrText>
      </w:r>
      <w:r w:rsidRPr="000322E4">
        <w:rPr>
          <w:lang w:val="en-US" w:eastAsia="ru-RU"/>
        </w:rPr>
        <w:fldChar w:fldCharType="separate"/>
      </w:r>
      <w:r w:rsidR="006E1902" w:rsidRPr="006E1902">
        <w:rPr>
          <w:noProof/>
          <w:lang w:eastAsia="ru-RU"/>
        </w:rPr>
        <w:t>[205–208]</w:t>
      </w:r>
      <w:r w:rsidRPr="000322E4">
        <w:rPr>
          <w:lang w:val="en-US" w:eastAsia="ru-RU"/>
        </w:rPr>
        <w:fldChar w:fldCharType="end"/>
      </w:r>
    </w:p>
    <w:p w14:paraId="3D135F7C" w14:textId="77777777" w:rsidR="00666D68" w:rsidRPr="00BC33D5" w:rsidRDefault="00666D68" w:rsidP="008E3584">
      <w:pPr>
        <w:numPr>
          <w:ilvl w:val="0"/>
          <w:numId w:val="39"/>
        </w:numPr>
        <w:spacing w:line="360" w:lineRule="auto"/>
        <w:jc w:val="both"/>
      </w:pPr>
      <w:r w:rsidRPr="000322E4">
        <w:t>Циклофосфамид</w:t>
      </w:r>
      <w:r w:rsidRPr="00BC33D5">
        <w:rPr>
          <w:bCs/>
        </w:rPr>
        <w:t>**</w:t>
      </w:r>
      <w:r w:rsidRPr="00BC33D5">
        <w:t xml:space="preserve"> </w:t>
      </w:r>
      <w:r w:rsidR="00C37789" w:rsidRPr="00BC33D5">
        <w:t xml:space="preserve">500 </w:t>
      </w:r>
      <w:r w:rsidRPr="000322E4">
        <w:t>мг</w:t>
      </w:r>
      <w:r w:rsidRPr="00BC33D5">
        <w:t>/</w:t>
      </w:r>
      <w:r w:rsidRPr="000322E4">
        <w:t>м</w:t>
      </w:r>
      <w:r w:rsidRPr="00BC33D5">
        <w:rPr>
          <w:vertAlign w:val="superscript"/>
        </w:rPr>
        <w:t>2</w:t>
      </w:r>
      <w:r w:rsidRPr="00BC33D5">
        <w:t xml:space="preserve"> </w:t>
      </w:r>
      <w:r w:rsidRPr="000322E4">
        <w:t>в</w:t>
      </w:r>
      <w:r w:rsidRPr="00BC33D5">
        <w:t>/</w:t>
      </w:r>
      <w:r w:rsidRPr="000322E4">
        <w:t>в</w:t>
      </w:r>
      <w:r w:rsidRPr="00BC33D5">
        <w:t xml:space="preserve"> </w:t>
      </w:r>
      <w:r w:rsidRPr="000322E4">
        <w:t>кап</w:t>
      </w:r>
      <w:r w:rsidRPr="00BC33D5">
        <w:t xml:space="preserve">., </w:t>
      </w:r>
      <w:r w:rsidRPr="000322E4">
        <w:t>день</w:t>
      </w:r>
      <w:r w:rsidRPr="00BC33D5">
        <w:t xml:space="preserve"> 1</w:t>
      </w:r>
    </w:p>
    <w:p w14:paraId="2B42FCD4" w14:textId="77777777" w:rsidR="00666D68" w:rsidRPr="00BC33D5" w:rsidRDefault="00666D68" w:rsidP="008E3584">
      <w:pPr>
        <w:numPr>
          <w:ilvl w:val="0"/>
          <w:numId w:val="39"/>
        </w:numPr>
        <w:spacing w:line="360" w:lineRule="auto"/>
        <w:jc w:val="both"/>
      </w:pPr>
      <w:r w:rsidRPr="000322E4">
        <w:t>Митоксантрон</w:t>
      </w:r>
      <w:r w:rsidRPr="00BC33D5">
        <w:rPr>
          <w:bCs/>
        </w:rPr>
        <w:t>**</w:t>
      </w:r>
      <w:r w:rsidRPr="00BC33D5">
        <w:t xml:space="preserve"> 10 </w:t>
      </w:r>
      <w:r w:rsidRPr="000322E4">
        <w:t>мг</w:t>
      </w:r>
      <w:r w:rsidRPr="00BC33D5">
        <w:t>/</w:t>
      </w:r>
      <w:r w:rsidRPr="000322E4">
        <w:t>м</w:t>
      </w:r>
      <w:r w:rsidRPr="00BC33D5">
        <w:rPr>
          <w:vertAlign w:val="superscript"/>
        </w:rPr>
        <w:t>2</w:t>
      </w:r>
      <w:r w:rsidRPr="00BC33D5">
        <w:t xml:space="preserve"> </w:t>
      </w:r>
      <w:r w:rsidRPr="000322E4">
        <w:t>в</w:t>
      </w:r>
      <w:r w:rsidRPr="00BC33D5">
        <w:t>/</w:t>
      </w:r>
      <w:r w:rsidRPr="000322E4">
        <w:t>в</w:t>
      </w:r>
      <w:r w:rsidRPr="00BC33D5">
        <w:t xml:space="preserve">, </w:t>
      </w:r>
      <w:r w:rsidRPr="000322E4">
        <w:t>день</w:t>
      </w:r>
      <w:r w:rsidRPr="00BC33D5">
        <w:t xml:space="preserve"> 1</w:t>
      </w:r>
    </w:p>
    <w:p w14:paraId="43EA1041" w14:textId="77777777" w:rsidR="00666D68" w:rsidRPr="004F2D3F" w:rsidRDefault="00F35A3E" w:rsidP="008E3584">
      <w:pPr>
        <w:numPr>
          <w:ilvl w:val="0"/>
          <w:numId w:val="39"/>
        </w:numPr>
        <w:spacing w:line="360" w:lineRule="auto"/>
        <w:jc w:val="both"/>
      </w:pPr>
      <w:r w:rsidRPr="003045CE">
        <w:t>#</w:t>
      </w:r>
      <w:r w:rsidR="00666D68" w:rsidRPr="000322E4">
        <w:t>Винкристин</w:t>
      </w:r>
      <w:r w:rsidR="00666D68" w:rsidRPr="003045CE">
        <w:rPr>
          <w:bCs/>
        </w:rPr>
        <w:t>**</w:t>
      </w:r>
      <w:r w:rsidR="00666D68" w:rsidRPr="003045CE">
        <w:t xml:space="preserve"> 1,</w:t>
      </w:r>
      <w:r w:rsidR="00C37789" w:rsidRPr="003045CE">
        <w:t>0</w:t>
      </w:r>
      <w:r w:rsidR="00666D68" w:rsidRPr="003045CE">
        <w:t xml:space="preserve"> </w:t>
      </w:r>
      <w:r w:rsidR="00666D68" w:rsidRPr="000322E4">
        <w:t>мг</w:t>
      </w:r>
      <w:r w:rsidR="00666D68" w:rsidRPr="003045CE">
        <w:t>/</w:t>
      </w:r>
      <w:r w:rsidR="00666D68" w:rsidRPr="000322E4">
        <w:t>м</w:t>
      </w:r>
      <w:r w:rsidR="00666D68" w:rsidRPr="003045CE">
        <w:rPr>
          <w:vertAlign w:val="superscript"/>
        </w:rPr>
        <w:t>2</w:t>
      </w:r>
      <w:r w:rsidR="00666D68" w:rsidRPr="003045CE">
        <w:t xml:space="preserve"> (</w:t>
      </w:r>
      <w:r w:rsidR="00666D68" w:rsidRPr="000322E4">
        <w:t>суммарно</w:t>
      </w:r>
      <w:r w:rsidR="00666D68" w:rsidRPr="003045CE">
        <w:t xml:space="preserve"> </w:t>
      </w:r>
      <w:r w:rsidR="00666D68" w:rsidRPr="000322E4">
        <w:t>не</w:t>
      </w:r>
      <w:r w:rsidR="00666D68" w:rsidRPr="004F2D3F">
        <w:t xml:space="preserve"> </w:t>
      </w:r>
      <w:r w:rsidR="00666D68" w:rsidRPr="000322E4">
        <w:t>более</w:t>
      </w:r>
      <w:r w:rsidR="00666D68" w:rsidRPr="004F2D3F">
        <w:t xml:space="preserve"> 2 </w:t>
      </w:r>
      <w:r w:rsidR="00666D68" w:rsidRPr="000322E4">
        <w:t>мг</w:t>
      </w:r>
      <w:r w:rsidR="00666D68" w:rsidRPr="004F2D3F">
        <w:t xml:space="preserve">) </w:t>
      </w:r>
      <w:r w:rsidR="00666D68" w:rsidRPr="000322E4">
        <w:t>в</w:t>
      </w:r>
      <w:r w:rsidR="00666D68" w:rsidRPr="004F2D3F">
        <w:t>/</w:t>
      </w:r>
      <w:r w:rsidR="00666D68" w:rsidRPr="000322E4">
        <w:t>в</w:t>
      </w:r>
      <w:r w:rsidR="00666D68" w:rsidRPr="004F2D3F">
        <w:t xml:space="preserve">, </w:t>
      </w:r>
      <w:r w:rsidR="00666D68" w:rsidRPr="000322E4">
        <w:t>день</w:t>
      </w:r>
      <w:r w:rsidR="00666D68" w:rsidRPr="004F2D3F">
        <w:t xml:space="preserve"> 1</w:t>
      </w:r>
    </w:p>
    <w:p w14:paraId="057E7325" w14:textId="77777777" w:rsidR="00666D68" w:rsidRPr="004F2D3F" w:rsidRDefault="00666D68" w:rsidP="008E3584">
      <w:pPr>
        <w:numPr>
          <w:ilvl w:val="0"/>
          <w:numId w:val="39"/>
        </w:numPr>
        <w:spacing w:line="360" w:lineRule="auto"/>
        <w:jc w:val="both"/>
      </w:pPr>
      <w:r w:rsidRPr="000322E4">
        <w:t>Преднизолон</w:t>
      </w:r>
      <w:r w:rsidRPr="004F2D3F">
        <w:rPr>
          <w:bCs/>
        </w:rPr>
        <w:t>**</w:t>
      </w:r>
      <w:r w:rsidRPr="004F2D3F">
        <w:t xml:space="preserve"> </w:t>
      </w:r>
      <w:r w:rsidR="00C37789" w:rsidRPr="004F2D3F">
        <w:t xml:space="preserve">80 </w:t>
      </w:r>
      <w:r w:rsidR="00C37789" w:rsidRPr="000322E4">
        <w:t>мг</w:t>
      </w:r>
      <w:r w:rsidRPr="004F2D3F">
        <w:t xml:space="preserve"> </w:t>
      </w:r>
      <w:r w:rsidRPr="000322E4">
        <w:t>внутрь</w:t>
      </w:r>
      <w:r w:rsidRPr="004F2D3F">
        <w:t xml:space="preserve">, </w:t>
      </w:r>
      <w:r w:rsidRPr="000322E4">
        <w:t>дни</w:t>
      </w:r>
      <w:r w:rsidRPr="004F2D3F">
        <w:t xml:space="preserve"> 1-5</w:t>
      </w:r>
    </w:p>
    <w:p w14:paraId="5F140AA3" w14:textId="77777777" w:rsidR="00666D68" w:rsidRPr="00293AC8" w:rsidRDefault="00666D68" w:rsidP="008E3584">
      <w:pPr>
        <w:spacing w:line="360" w:lineRule="auto"/>
        <w:ind w:left="360"/>
        <w:jc w:val="both"/>
      </w:pPr>
      <w:r w:rsidRPr="000322E4">
        <w:t>Лечение</w:t>
      </w:r>
      <w:r w:rsidRPr="00293AC8">
        <w:t xml:space="preserve"> </w:t>
      </w:r>
      <w:r w:rsidRPr="000322E4">
        <w:t>возобновляется</w:t>
      </w:r>
      <w:r w:rsidRPr="00293AC8">
        <w:t xml:space="preserve"> </w:t>
      </w:r>
      <w:r w:rsidRPr="000322E4">
        <w:t>на</w:t>
      </w:r>
      <w:r w:rsidRPr="00293AC8">
        <w:t xml:space="preserve"> 22 </w:t>
      </w:r>
      <w:r w:rsidRPr="000322E4">
        <w:t>день</w:t>
      </w:r>
    </w:p>
    <w:p w14:paraId="1EE8F1E6" w14:textId="77777777" w:rsidR="00666D68" w:rsidRPr="00293AC8" w:rsidRDefault="00666D68" w:rsidP="008E3584">
      <w:pPr>
        <w:spacing w:line="360" w:lineRule="auto"/>
        <w:jc w:val="both"/>
      </w:pPr>
    </w:p>
    <w:p w14:paraId="6994C07F" w14:textId="33AE04EA" w:rsidR="00666D68" w:rsidRPr="00293AC8" w:rsidRDefault="00666D68" w:rsidP="008E3584">
      <w:pPr>
        <w:spacing w:line="360" w:lineRule="auto"/>
        <w:jc w:val="both"/>
        <w:rPr>
          <w:b/>
          <w:bCs/>
        </w:rPr>
      </w:pPr>
      <w:r w:rsidRPr="000322E4">
        <w:rPr>
          <w:b/>
          <w:lang w:val="en-US"/>
        </w:rPr>
        <w:t>R</w:t>
      </w:r>
      <w:r w:rsidRPr="00293AC8">
        <w:rPr>
          <w:b/>
          <w:bCs/>
        </w:rPr>
        <w:t>-</w:t>
      </w:r>
      <w:r w:rsidRPr="000322E4">
        <w:rPr>
          <w:b/>
          <w:bCs/>
          <w:lang w:val="en-US"/>
        </w:rPr>
        <w:t>MACOP</w:t>
      </w:r>
      <w:r w:rsidRPr="00293AC8">
        <w:rPr>
          <w:b/>
          <w:bCs/>
        </w:rPr>
        <w:t>-</w:t>
      </w:r>
      <w:r w:rsidRPr="000322E4">
        <w:rPr>
          <w:b/>
          <w:bCs/>
          <w:lang w:val="en-US"/>
        </w:rPr>
        <w:t>B</w:t>
      </w:r>
      <w:r w:rsidRPr="00293AC8">
        <w:rPr>
          <w:b/>
          <w:bCs/>
        </w:rPr>
        <w:t xml:space="preserve"> </w:t>
      </w:r>
      <w:r w:rsidRPr="000322E4">
        <w:rPr>
          <w:b/>
          <w:bCs/>
          <w:lang w:val="en-US"/>
        </w:rPr>
        <w:fldChar w:fldCharType="begin" w:fldLock="1"/>
      </w:r>
      <w:r w:rsidR="00021E2A">
        <w:rPr>
          <w:b/>
          <w:bCs/>
          <w:lang w:val="en-US"/>
        </w:rPr>
        <w:instrText>ADDIN</w:instrText>
      </w:r>
      <w:r w:rsidR="00021E2A" w:rsidRPr="00320416">
        <w:rPr>
          <w:b/>
          <w:bCs/>
        </w:rPr>
        <w:instrText xml:space="preserve"> </w:instrText>
      </w:r>
      <w:r w:rsidR="00021E2A">
        <w:rPr>
          <w:b/>
          <w:bCs/>
          <w:lang w:val="en-US"/>
        </w:rPr>
        <w:instrText>CSL</w:instrText>
      </w:r>
      <w:r w:rsidR="00021E2A" w:rsidRPr="00320416">
        <w:rPr>
          <w:b/>
          <w:bCs/>
        </w:rPr>
        <w:instrText>_</w:instrText>
      </w:r>
      <w:r w:rsidR="00021E2A">
        <w:rPr>
          <w:b/>
          <w:bCs/>
          <w:lang w:val="en-US"/>
        </w:rPr>
        <w:instrText>CITATION</w:instrText>
      </w:r>
      <w:r w:rsidR="00021E2A" w:rsidRPr="00320416">
        <w:rPr>
          <w:b/>
          <w:bCs/>
        </w:rPr>
        <w:instrText xml:space="preserve"> {"</w:instrText>
      </w:r>
      <w:r w:rsidR="00021E2A">
        <w:rPr>
          <w:b/>
          <w:bCs/>
          <w:lang w:val="en-US"/>
        </w:rPr>
        <w:instrText>citationItems</w:instrText>
      </w:r>
      <w:r w:rsidR="00021E2A" w:rsidRPr="00320416">
        <w:rPr>
          <w:b/>
          <w:bCs/>
        </w:rPr>
        <w:instrText>":[{"</w:instrText>
      </w:r>
      <w:r w:rsidR="00021E2A">
        <w:rPr>
          <w:b/>
          <w:bCs/>
          <w:lang w:val="en-US"/>
        </w:rPr>
        <w:instrText>id</w:instrText>
      </w:r>
      <w:r w:rsidR="00021E2A" w:rsidRPr="00320416">
        <w:rPr>
          <w:b/>
          <w:bCs/>
        </w:rPr>
        <w:instrText>":"</w:instrText>
      </w:r>
      <w:r w:rsidR="00021E2A">
        <w:rPr>
          <w:b/>
          <w:bCs/>
          <w:lang w:val="en-US"/>
        </w:rPr>
        <w:instrText>ITEM</w:instrText>
      </w:r>
      <w:r w:rsidR="00021E2A" w:rsidRPr="00320416">
        <w:rPr>
          <w:b/>
          <w:bCs/>
        </w:rPr>
        <w:instrText>-1","</w:instrText>
      </w:r>
      <w:r w:rsidR="00021E2A">
        <w:rPr>
          <w:b/>
          <w:bCs/>
          <w:lang w:val="en-US"/>
        </w:rPr>
        <w:instrText>itemData</w:instrText>
      </w:r>
      <w:r w:rsidR="00021E2A" w:rsidRPr="00320416">
        <w:rPr>
          <w:b/>
          <w:bCs/>
        </w:rPr>
        <w:instrText>":{"</w:instrText>
      </w:r>
      <w:r w:rsidR="00021E2A">
        <w:rPr>
          <w:b/>
          <w:bCs/>
          <w:lang w:val="en-US"/>
        </w:rPr>
        <w:instrText>DOI</w:instrText>
      </w:r>
      <w:r w:rsidR="00021E2A" w:rsidRPr="00320416">
        <w:rPr>
          <w:b/>
          <w:bCs/>
        </w:rPr>
        <w:instrText>":"10.3109/10428190903216796","</w:instrText>
      </w:r>
      <w:r w:rsidR="00021E2A">
        <w:rPr>
          <w:b/>
          <w:bCs/>
          <w:lang w:val="en-US"/>
        </w:rPr>
        <w:instrText>ISSN</w:instrText>
      </w:r>
      <w:r w:rsidR="00021E2A" w:rsidRPr="00320416">
        <w:rPr>
          <w:b/>
          <w:bCs/>
        </w:rPr>
        <w:instrText>":"10428194","</w:instrText>
      </w:r>
      <w:r w:rsidR="00021E2A">
        <w:rPr>
          <w:b/>
          <w:bCs/>
          <w:lang w:val="en-US"/>
        </w:rPr>
        <w:instrText>abstract</w:instrText>
      </w:r>
      <w:r w:rsidR="00021E2A" w:rsidRPr="00320416">
        <w:rPr>
          <w:b/>
          <w:bCs/>
        </w:rPr>
        <w:instrText>":"</w:instrText>
      </w:r>
      <w:r w:rsidR="00021E2A">
        <w:rPr>
          <w:b/>
          <w:bCs/>
          <w:lang w:val="en-US"/>
        </w:rPr>
        <w:instrText>Young</w:instrText>
      </w:r>
      <w:r w:rsidR="00021E2A" w:rsidRPr="00320416">
        <w:rPr>
          <w:b/>
          <w:bCs/>
        </w:rPr>
        <w:instrText xml:space="preserve"> </w:instrText>
      </w:r>
      <w:r w:rsidR="00021E2A">
        <w:rPr>
          <w:b/>
          <w:bCs/>
          <w:lang w:val="en-US"/>
        </w:rPr>
        <w:instrText>patients</w:instrText>
      </w:r>
      <w:r w:rsidR="00021E2A" w:rsidRPr="00320416">
        <w:rPr>
          <w:b/>
          <w:bCs/>
        </w:rPr>
        <w:instrText xml:space="preserve"> (</w:instrText>
      </w:r>
      <w:r w:rsidR="00021E2A">
        <w:rPr>
          <w:b/>
          <w:bCs/>
          <w:lang w:val="en-US"/>
        </w:rPr>
        <w:instrText>aged</w:instrText>
      </w:r>
      <w:r w:rsidR="00021E2A" w:rsidRPr="00320416">
        <w:rPr>
          <w:b/>
          <w:bCs/>
        </w:rPr>
        <w:instrText xml:space="preserve"> 1860 </w:instrText>
      </w:r>
      <w:r w:rsidR="00021E2A">
        <w:rPr>
          <w:b/>
          <w:bCs/>
          <w:lang w:val="en-US"/>
        </w:rPr>
        <w:instrText>years</w:instrText>
      </w:r>
      <w:r w:rsidR="00021E2A" w:rsidRPr="00320416">
        <w:rPr>
          <w:b/>
          <w:bCs/>
        </w:rPr>
        <w:instrText xml:space="preserve">) </w:instrText>
      </w:r>
      <w:r w:rsidR="00021E2A">
        <w:rPr>
          <w:b/>
          <w:bCs/>
          <w:lang w:val="en-US"/>
        </w:rPr>
        <w:instrText>with</w:instrText>
      </w:r>
      <w:r w:rsidR="00021E2A" w:rsidRPr="00320416">
        <w:rPr>
          <w:b/>
          <w:bCs/>
        </w:rPr>
        <w:instrText xml:space="preserve"> </w:instrText>
      </w:r>
      <w:r w:rsidR="00021E2A">
        <w:rPr>
          <w:b/>
          <w:bCs/>
          <w:lang w:val="en-US"/>
        </w:rPr>
        <w:instrText>good</w:instrText>
      </w:r>
      <w:r w:rsidR="00021E2A" w:rsidRPr="00320416">
        <w:rPr>
          <w:b/>
          <w:bCs/>
        </w:rPr>
        <w:instrText>-</w:instrText>
      </w:r>
      <w:r w:rsidR="00021E2A">
        <w:rPr>
          <w:b/>
          <w:bCs/>
          <w:lang w:val="en-US"/>
        </w:rPr>
        <w:instrText>prognosis</w:instrText>
      </w:r>
      <w:r w:rsidR="00021E2A" w:rsidRPr="00320416">
        <w:rPr>
          <w:b/>
          <w:bCs/>
        </w:rPr>
        <w:instrText xml:space="preserve"> </w:instrText>
      </w:r>
      <w:r w:rsidR="00021E2A">
        <w:rPr>
          <w:b/>
          <w:bCs/>
          <w:lang w:val="en-US"/>
        </w:rPr>
        <w:instrText>diffuse</w:instrText>
      </w:r>
      <w:r w:rsidR="00021E2A" w:rsidRPr="00320416">
        <w:rPr>
          <w:b/>
          <w:bCs/>
        </w:rPr>
        <w:instrText xml:space="preserve"> </w:instrText>
      </w:r>
      <w:r w:rsidR="00021E2A">
        <w:rPr>
          <w:b/>
          <w:bCs/>
          <w:lang w:val="en-US"/>
        </w:rPr>
        <w:instrText>large</w:instrText>
      </w:r>
      <w:r w:rsidR="00021E2A" w:rsidRPr="00320416">
        <w:rPr>
          <w:b/>
          <w:bCs/>
        </w:rPr>
        <w:instrText xml:space="preserve"> </w:instrText>
      </w:r>
      <w:r w:rsidR="00021E2A">
        <w:rPr>
          <w:b/>
          <w:bCs/>
          <w:lang w:val="en-US"/>
        </w:rPr>
        <w:instrText>B</w:instrText>
      </w:r>
      <w:r w:rsidR="00021E2A" w:rsidRPr="00320416">
        <w:rPr>
          <w:b/>
          <w:bCs/>
        </w:rPr>
        <w:instrText>-</w:instrText>
      </w:r>
      <w:r w:rsidR="00021E2A">
        <w:rPr>
          <w:b/>
          <w:bCs/>
          <w:lang w:val="en-US"/>
        </w:rPr>
        <w:instrText>cell</w:instrText>
      </w:r>
      <w:r w:rsidR="00021E2A" w:rsidRPr="00320416">
        <w:rPr>
          <w:b/>
          <w:bCs/>
        </w:rPr>
        <w:instrText xml:space="preserve"> </w:instrText>
      </w:r>
      <w:r w:rsidR="00021E2A">
        <w:rPr>
          <w:b/>
          <w:bCs/>
          <w:lang w:val="en-US"/>
        </w:rPr>
        <w:instrText>lymphoma</w:instrText>
      </w:r>
      <w:r w:rsidR="00021E2A" w:rsidRPr="00320416">
        <w:rPr>
          <w:b/>
          <w:bCs/>
        </w:rPr>
        <w:instrText xml:space="preserve"> (</w:instrText>
      </w:r>
      <w:r w:rsidR="00021E2A">
        <w:rPr>
          <w:b/>
          <w:bCs/>
          <w:lang w:val="en-US"/>
        </w:rPr>
        <w:instrText>DLBCL</w:instrText>
      </w:r>
      <w:r w:rsidR="00021E2A" w:rsidRPr="00320416">
        <w:rPr>
          <w:b/>
          <w:bCs/>
        </w:rPr>
        <w:instrText xml:space="preserve">) [0 </w:instrText>
      </w:r>
      <w:r w:rsidR="00021E2A">
        <w:rPr>
          <w:b/>
          <w:bCs/>
          <w:lang w:val="en-US"/>
        </w:rPr>
        <w:instrText>and</w:instrText>
      </w:r>
      <w:r w:rsidR="00021E2A" w:rsidRPr="00320416">
        <w:rPr>
          <w:b/>
          <w:bCs/>
        </w:rPr>
        <w:instrText xml:space="preserve"> 1 </w:instrText>
      </w:r>
      <w:r w:rsidR="00021E2A">
        <w:rPr>
          <w:b/>
          <w:bCs/>
          <w:lang w:val="en-US"/>
        </w:rPr>
        <w:instrText>risk</w:instrText>
      </w:r>
      <w:r w:rsidR="00021E2A" w:rsidRPr="00320416">
        <w:rPr>
          <w:b/>
          <w:bCs/>
        </w:rPr>
        <w:instrText xml:space="preserve"> </w:instrText>
      </w:r>
      <w:r w:rsidR="00021E2A">
        <w:rPr>
          <w:b/>
          <w:bCs/>
          <w:lang w:val="en-US"/>
        </w:rPr>
        <w:instrText>factor</w:instrText>
      </w:r>
      <w:r w:rsidR="00021E2A" w:rsidRPr="00320416">
        <w:rPr>
          <w:b/>
          <w:bCs/>
        </w:rPr>
        <w:instrText xml:space="preserve"> </w:instrText>
      </w:r>
      <w:r w:rsidR="00021E2A">
        <w:rPr>
          <w:b/>
          <w:bCs/>
          <w:lang w:val="en-US"/>
        </w:rPr>
        <w:instrText>according</w:instrText>
      </w:r>
      <w:r w:rsidR="00021E2A" w:rsidRPr="00320416">
        <w:rPr>
          <w:b/>
          <w:bCs/>
        </w:rPr>
        <w:instrText xml:space="preserve"> </w:instrText>
      </w:r>
      <w:r w:rsidR="00021E2A">
        <w:rPr>
          <w:b/>
          <w:bCs/>
          <w:lang w:val="en-US"/>
        </w:rPr>
        <w:instrText>to</w:instrText>
      </w:r>
      <w:r w:rsidR="00021E2A" w:rsidRPr="00320416">
        <w:rPr>
          <w:b/>
          <w:bCs/>
        </w:rPr>
        <w:instrText xml:space="preserve"> </w:instrText>
      </w:r>
      <w:r w:rsidR="00021E2A">
        <w:rPr>
          <w:b/>
          <w:bCs/>
          <w:lang w:val="en-US"/>
        </w:rPr>
        <w:instrText>age</w:instrText>
      </w:r>
      <w:r w:rsidR="00021E2A" w:rsidRPr="00320416">
        <w:rPr>
          <w:b/>
          <w:bCs/>
        </w:rPr>
        <w:instrText>-</w:instrText>
      </w:r>
      <w:r w:rsidR="00021E2A">
        <w:rPr>
          <w:b/>
          <w:bCs/>
          <w:lang w:val="en-US"/>
        </w:rPr>
        <w:instrText>adjusted</w:instrText>
      </w:r>
      <w:r w:rsidR="00021E2A" w:rsidRPr="00320416">
        <w:rPr>
          <w:b/>
          <w:bCs/>
        </w:rPr>
        <w:instrText xml:space="preserve"> </w:instrText>
      </w:r>
      <w:r w:rsidR="00021E2A">
        <w:rPr>
          <w:b/>
          <w:bCs/>
          <w:lang w:val="en-US"/>
        </w:rPr>
        <w:instrText>international</w:instrText>
      </w:r>
      <w:r w:rsidR="00021E2A" w:rsidRPr="00320416">
        <w:rPr>
          <w:b/>
          <w:bCs/>
        </w:rPr>
        <w:instrText xml:space="preserve"> </w:instrText>
      </w:r>
      <w:r w:rsidR="00021E2A">
        <w:rPr>
          <w:b/>
          <w:bCs/>
          <w:lang w:val="en-US"/>
        </w:rPr>
        <w:instrText>prognostic</w:instrText>
      </w:r>
      <w:r w:rsidR="00021E2A" w:rsidRPr="00320416">
        <w:rPr>
          <w:b/>
          <w:bCs/>
        </w:rPr>
        <w:instrText xml:space="preserve"> </w:instrText>
      </w:r>
      <w:r w:rsidR="00021E2A">
        <w:rPr>
          <w:b/>
          <w:bCs/>
          <w:lang w:val="en-US"/>
        </w:rPr>
        <w:instrText>index</w:instrText>
      </w:r>
      <w:r w:rsidR="00021E2A" w:rsidRPr="00320416">
        <w:rPr>
          <w:b/>
          <w:bCs/>
        </w:rPr>
        <w:instrText xml:space="preserve"> (</w:instrText>
      </w:r>
      <w:r w:rsidR="00021E2A">
        <w:rPr>
          <w:b/>
          <w:bCs/>
          <w:lang w:val="en-US"/>
        </w:rPr>
        <w:instrText>aa</w:instrText>
      </w:r>
      <w:r w:rsidR="00021E2A" w:rsidRPr="00320416">
        <w:rPr>
          <w:b/>
          <w:bCs/>
        </w:rPr>
        <w:instrText>-</w:instrText>
      </w:r>
      <w:r w:rsidR="00021E2A">
        <w:rPr>
          <w:b/>
          <w:bCs/>
          <w:lang w:val="en-US"/>
        </w:rPr>
        <w:instrText>IPI</w:instrText>
      </w:r>
      <w:r w:rsidR="00021E2A" w:rsidRPr="00320416">
        <w:rPr>
          <w:b/>
          <w:bCs/>
        </w:rPr>
        <w:instrText xml:space="preserve">)] </w:instrText>
      </w:r>
      <w:r w:rsidR="00021E2A">
        <w:rPr>
          <w:b/>
          <w:bCs/>
          <w:lang w:val="en-US"/>
        </w:rPr>
        <w:instrText>are</w:instrText>
      </w:r>
      <w:r w:rsidR="00021E2A" w:rsidRPr="00320416">
        <w:rPr>
          <w:b/>
          <w:bCs/>
        </w:rPr>
        <w:instrText xml:space="preserve"> </w:instrText>
      </w:r>
      <w:r w:rsidR="00021E2A">
        <w:rPr>
          <w:b/>
          <w:bCs/>
          <w:lang w:val="en-US"/>
        </w:rPr>
        <w:instrText>distinguished</w:instrText>
      </w:r>
      <w:r w:rsidR="00021E2A" w:rsidRPr="00320416">
        <w:rPr>
          <w:b/>
          <w:bCs/>
        </w:rPr>
        <w:instrText xml:space="preserve"> </w:instrText>
      </w:r>
      <w:r w:rsidR="00021E2A">
        <w:rPr>
          <w:b/>
          <w:bCs/>
          <w:lang w:val="en-US"/>
        </w:rPr>
        <w:instrText>from</w:instrText>
      </w:r>
      <w:r w:rsidR="00021E2A" w:rsidRPr="00320416">
        <w:rPr>
          <w:b/>
          <w:bCs/>
        </w:rPr>
        <w:instrText xml:space="preserve"> </w:instrText>
      </w:r>
      <w:r w:rsidR="00021E2A">
        <w:rPr>
          <w:b/>
          <w:bCs/>
          <w:lang w:val="en-US"/>
        </w:rPr>
        <w:instrText>patients</w:instrText>
      </w:r>
      <w:r w:rsidR="00021E2A" w:rsidRPr="00320416">
        <w:rPr>
          <w:b/>
          <w:bCs/>
        </w:rPr>
        <w:instrText xml:space="preserve"> </w:instrText>
      </w:r>
      <w:r w:rsidR="00021E2A">
        <w:rPr>
          <w:b/>
          <w:bCs/>
          <w:lang w:val="en-US"/>
        </w:rPr>
        <w:instrText>with</w:instrText>
      </w:r>
      <w:r w:rsidR="00021E2A" w:rsidRPr="00320416">
        <w:rPr>
          <w:b/>
          <w:bCs/>
        </w:rPr>
        <w:instrText xml:space="preserve"> </w:instrText>
      </w:r>
      <w:r w:rsidR="00021E2A">
        <w:rPr>
          <w:b/>
          <w:bCs/>
          <w:lang w:val="en-US"/>
        </w:rPr>
        <w:instrText>poor</w:instrText>
      </w:r>
      <w:r w:rsidR="00021E2A" w:rsidRPr="00320416">
        <w:rPr>
          <w:b/>
          <w:bCs/>
        </w:rPr>
        <w:instrText>-</w:instrText>
      </w:r>
      <w:r w:rsidR="00021E2A">
        <w:rPr>
          <w:b/>
          <w:bCs/>
          <w:lang w:val="en-US"/>
        </w:rPr>
        <w:instrText>prognosis</w:instrText>
      </w:r>
      <w:r w:rsidR="00021E2A" w:rsidRPr="00320416">
        <w:rPr>
          <w:b/>
          <w:bCs/>
        </w:rPr>
        <w:instrText xml:space="preserve">. </w:instrText>
      </w:r>
      <w:r w:rsidR="00021E2A">
        <w:rPr>
          <w:b/>
          <w:bCs/>
          <w:lang w:val="en-US"/>
        </w:rPr>
        <w:instrText>Six</w:instrText>
      </w:r>
      <w:r w:rsidR="00021E2A" w:rsidRPr="00320416">
        <w:rPr>
          <w:b/>
          <w:bCs/>
        </w:rPr>
        <w:instrText xml:space="preserve"> </w:instrText>
      </w:r>
      <w:r w:rsidR="00021E2A">
        <w:rPr>
          <w:b/>
          <w:bCs/>
          <w:lang w:val="en-US"/>
        </w:rPr>
        <w:instrText>cycles</w:instrText>
      </w:r>
      <w:r w:rsidR="00021E2A" w:rsidRPr="00320416">
        <w:rPr>
          <w:b/>
          <w:bCs/>
        </w:rPr>
        <w:instrText xml:space="preserve"> </w:instrText>
      </w:r>
      <w:r w:rsidR="00021E2A">
        <w:rPr>
          <w:b/>
          <w:bCs/>
          <w:lang w:val="en-US"/>
        </w:rPr>
        <w:instrText>of</w:instrText>
      </w:r>
      <w:r w:rsidR="00021E2A" w:rsidRPr="00320416">
        <w:rPr>
          <w:b/>
          <w:bCs/>
        </w:rPr>
        <w:instrText xml:space="preserve"> </w:instrText>
      </w:r>
      <w:r w:rsidR="00021E2A">
        <w:rPr>
          <w:b/>
          <w:bCs/>
          <w:lang w:val="en-US"/>
        </w:rPr>
        <w:instrText>cyclophosphamide</w:instrText>
      </w:r>
      <w:r w:rsidR="00021E2A" w:rsidRPr="00320416">
        <w:rPr>
          <w:b/>
          <w:bCs/>
        </w:rPr>
        <w:instrText xml:space="preserve">, </w:instrText>
      </w:r>
      <w:r w:rsidR="00021E2A">
        <w:rPr>
          <w:b/>
          <w:bCs/>
          <w:lang w:val="en-US"/>
        </w:rPr>
        <w:instrText>doxorubicin</w:instrText>
      </w:r>
      <w:r w:rsidR="00021E2A" w:rsidRPr="00320416">
        <w:rPr>
          <w:b/>
          <w:bCs/>
        </w:rPr>
        <w:instrText xml:space="preserve">, </w:instrText>
      </w:r>
      <w:r w:rsidR="00021E2A">
        <w:rPr>
          <w:b/>
          <w:bCs/>
          <w:lang w:val="en-US"/>
        </w:rPr>
        <w:instrText>vincristine</w:instrText>
      </w:r>
      <w:r w:rsidR="00021E2A" w:rsidRPr="00320416">
        <w:rPr>
          <w:b/>
          <w:bCs/>
        </w:rPr>
        <w:instrText xml:space="preserve">, </w:instrText>
      </w:r>
      <w:r w:rsidR="00021E2A">
        <w:rPr>
          <w:b/>
          <w:bCs/>
          <w:lang w:val="en-US"/>
        </w:rPr>
        <w:instrText>prednisone</w:instrText>
      </w:r>
      <w:r w:rsidR="00021E2A" w:rsidRPr="00320416">
        <w:rPr>
          <w:b/>
          <w:bCs/>
        </w:rPr>
        <w:instrText xml:space="preserve"> (</w:instrText>
      </w:r>
      <w:r w:rsidR="00021E2A">
        <w:rPr>
          <w:b/>
          <w:bCs/>
          <w:lang w:val="en-US"/>
        </w:rPr>
        <w:instrText>CHOP</w:instrText>
      </w:r>
      <w:r w:rsidR="00021E2A" w:rsidRPr="00320416">
        <w:rPr>
          <w:b/>
          <w:bCs/>
        </w:rPr>
        <w:instrText xml:space="preserve">) </w:instrText>
      </w:r>
      <w:r w:rsidR="00021E2A">
        <w:rPr>
          <w:b/>
          <w:bCs/>
          <w:lang w:val="en-US"/>
        </w:rPr>
        <w:instrText>in</w:instrText>
      </w:r>
      <w:r w:rsidR="00021E2A" w:rsidRPr="00320416">
        <w:rPr>
          <w:b/>
          <w:bCs/>
        </w:rPr>
        <w:instrText xml:space="preserve"> </w:instrText>
      </w:r>
      <w:r w:rsidR="00021E2A">
        <w:rPr>
          <w:b/>
          <w:bCs/>
          <w:lang w:val="en-US"/>
        </w:rPr>
        <w:instrText>combination</w:instrText>
      </w:r>
      <w:r w:rsidR="00021E2A" w:rsidRPr="00320416">
        <w:rPr>
          <w:b/>
          <w:bCs/>
        </w:rPr>
        <w:instrText xml:space="preserve"> </w:instrText>
      </w:r>
      <w:r w:rsidR="00021E2A">
        <w:rPr>
          <w:b/>
          <w:bCs/>
          <w:lang w:val="en-US"/>
        </w:rPr>
        <w:instrText>with</w:instrText>
      </w:r>
      <w:r w:rsidR="00021E2A" w:rsidRPr="00320416">
        <w:rPr>
          <w:b/>
          <w:bCs/>
        </w:rPr>
        <w:instrText xml:space="preserve"> </w:instrText>
      </w:r>
      <w:r w:rsidR="00021E2A">
        <w:rPr>
          <w:b/>
          <w:bCs/>
          <w:lang w:val="en-US"/>
        </w:rPr>
        <w:instrText>rituximab</w:instrText>
      </w:r>
      <w:r w:rsidR="00021E2A" w:rsidRPr="00320416">
        <w:rPr>
          <w:b/>
          <w:bCs/>
        </w:rPr>
        <w:instrText xml:space="preserve"> </w:instrText>
      </w:r>
      <w:r w:rsidR="00021E2A">
        <w:rPr>
          <w:b/>
          <w:bCs/>
          <w:lang w:val="en-US"/>
        </w:rPr>
        <w:instrText>achieved</w:instrText>
      </w:r>
      <w:r w:rsidR="00021E2A" w:rsidRPr="00320416">
        <w:rPr>
          <w:b/>
          <w:bCs/>
        </w:rPr>
        <w:instrText xml:space="preserve"> </w:instrText>
      </w:r>
      <w:r w:rsidR="00021E2A">
        <w:rPr>
          <w:b/>
          <w:bCs/>
          <w:lang w:val="en-US"/>
        </w:rPr>
        <w:instrText>best</w:instrText>
      </w:r>
      <w:r w:rsidR="00021E2A" w:rsidRPr="00320416">
        <w:rPr>
          <w:b/>
          <w:bCs/>
        </w:rPr>
        <w:instrText xml:space="preserve"> </w:instrText>
      </w:r>
      <w:r w:rsidR="00021E2A">
        <w:rPr>
          <w:b/>
          <w:bCs/>
          <w:lang w:val="en-US"/>
        </w:rPr>
        <w:instrText>results</w:instrText>
      </w:r>
      <w:r w:rsidR="00021E2A" w:rsidRPr="00320416">
        <w:rPr>
          <w:b/>
          <w:bCs/>
        </w:rPr>
        <w:instrText xml:space="preserve"> </w:instrText>
      </w:r>
      <w:r w:rsidR="00021E2A">
        <w:rPr>
          <w:b/>
          <w:bCs/>
          <w:lang w:val="en-US"/>
        </w:rPr>
        <w:instrText>in</w:instrText>
      </w:r>
      <w:r w:rsidR="00021E2A" w:rsidRPr="00320416">
        <w:rPr>
          <w:b/>
          <w:bCs/>
        </w:rPr>
        <w:instrText xml:space="preserve"> </w:instrText>
      </w:r>
      <w:r w:rsidR="00021E2A">
        <w:rPr>
          <w:b/>
          <w:bCs/>
          <w:lang w:val="en-US"/>
        </w:rPr>
        <w:instrText>young</w:instrText>
      </w:r>
      <w:r w:rsidR="00021E2A" w:rsidRPr="00320416">
        <w:rPr>
          <w:b/>
          <w:bCs/>
        </w:rPr>
        <w:instrText xml:space="preserve"> </w:instrText>
      </w:r>
      <w:r w:rsidR="00021E2A">
        <w:rPr>
          <w:b/>
          <w:bCs/>
          <w:lang w:val="en-US"/>
        </w:rPr>
        <w:instrText>patients</w:instrText>
      </w:r>
      <w:r w:rsidR="00021E2A" w:rsidRPr="00320416">
        <w:rPr>
          <w:b/>
          <w:bCs/>
        </w:rPr>
        <w:instrText xml:space="preserve"> </w:instrText>
      </w:r>
      <w:r w:rsidR="00021E2A">
        <w:rPr>
          <w:b/>
          <w:bCs/>
          <w:lang w:val="en-US"/>
        </w:rPr>
        <w:instrText>with</w:instrText>
      </w:r>
      <w:r w:rsidR="00021E2A" w:rsidRPr="00320416">
        <w:rPr>
          <w:b/>
          <w:bCs/>
        </w:rPr>
        <w:instrText xml:space="preserve"> </w:instrText>
      </w:r>
      <w:r w:rsidR="00021E2A">
        <w:rPr>
          <w:b/>
          <w:bCs/>
          <w:lang w:val="en-US"/>
        </w:rPr>
        <w:instrText>low</w:instrText>
      </w:r>
      <w:r w:rsidR="00021E2A" w:rsidRPr="00320416">
        <w:rPr>
          <w:b/>
          <w:bCs/>
        </w:rPr>
        <w:instrText>-</w:instrText>
      </w:r>
      <w:r w:rsidR="00021E2A">
        <w:rPr>
          <w:b/>
          <w:bCs/>
          <w:lang w:val="en-US"/>
        </w:rPr>
        <w:instrText>risk</w:instrText>
      </w:r>
      <w:r w:rsidR="00021E2A" w:rsidRPr="00320416">
        <w:rPr>
          <w:b/>
          <w:bCs/>
        </w:rPr>
        <w:instrText xml:space="preserve"> </w:instrText>
      </w:r>
      <w:r w:rsidR="00021E2A">
        <w:rPr>
          <w:b/>
          <w:bCs/>
          <w:lang w:val="en-US"/>
        </w:rPr>
        <w:instrText>DLBCL</w:instrText>
      </w:r>
      <w:r w:rsidR="00021E2A" w:rsidRPr="00320416">
        <w:rPr>
          <w:b/>
          <w:bCs/>
        </w:rPr>
        <w:instrText xml:space="preserve">. </w:instrText>
      </w:r>
      <w:r w:rsidR="00021E2A">
        <w:rPr>
          <w:b/>
          <w:bCs/>
          <w:lang w:val="en-US"/>
        </w:rPr>
        <w:instrText>We</w:instrText>
      </w:r>
      <w:r w:rsidR="00021E2A" w:rsidRPr="00320416">
        <w:rPr>
          <w:b/>
          <w:bCs/>
        </w:rPr>
        <w:instrText xml:space="preserve"> </w:instrText>
      </w:r>
      <w:r w:rsidR="00021E2A">
        <w:rPr>
          <w:b/>
          <w:bCs/>
          <w:lang w:val="en-US"/>
        </w:rPr>
        <w:instrText>retrospectively</w:instrText>
      </w:r>
      <w:r w:rsidR="00021E2A" w:rsidRPr="00320416">
        <w:rPr>
          <w:b/>
          <w:bCs/>
        </w:rPr>
        <w:instrText xml:space="preserve"> </w:instrText>
      </w:r>
      <w:r w:rsidR="00021E2A">
        <w:rPr>
          <w:b/>
          <w:bCs/>
          <w:lang w:val="en-US"/>
        </w:rPr>
        <w:instrText>analyzed</w:instrText>
      </w:r>
      <w:r w:rsidR="00021E2A" w:rsidRPr="00320416">
        <w:rPr>
          <w:b/>
          <w:bCs/>
        </w:rPr>
        <w:instrText xml:space="preserve"> </w:instrText>
      </w:r>
      <w:r w:rsidR="00021E2A">
        <w:rPr>
          <w:b/>
          <w:bCs/>
          <w:lang w:val="en-US"/>
        </w:rPr>
        <w:instrText>the</w:instrText>
      </w:r>
      <w:r w:rsidR="00021E2A" w:rsidRPr="00320416">
        <w:rPr>
          <w:b/>
          <w:bCs/>
        </w:rPr>
        <w:instrText xml:space="preserve"> </w:instrText>
      </w:r>
      <w:r w:rsidR="00021E2A">
        <w:rPr>
          <w:b/>
          <w:bCs/>
          <w:lang w:val="en-US"/>
        </w:rPr>
        <w:instrText>data</w:instrText>
      </w:r>
      <w:r w:rsidR="00021E2A" w:rsidRPr="00320416">
        <w:rPr>
          <w:b/>
          <w:bCs/>
        </w:rPr>
        <w:instrText xml:space="preserve"> </w:instrText>
      </w:r>
      <w:r w:rsidR="00021E2A">
        <w:rPr>
          <w:b/>
          <w:bCs/>
          <w:lang w:val="en-US"/>
        </w:rPr>
        <w:instrText>of</w:instrText>
      </w:r>
      <w:r w:rsidR="00021E2A" w:rsidRPr="00320416">
        <w:rPr>
          <w:b/>
          <w:bCs/>
        </w:rPr>
        <w:instrText xml:space="preserve"> 82 </w:instrText>
      </w:r>
      <w:r w:rsidR="00021E2A">
        <w:rPr>
          <w:b/>
          <w:bCs/>
          <w:lang w:val="en-US"/>
        </w:rPr>
        <w:instrText>patients</w:instrText>
      </w:r>
      <w:r w:rsidR="00021E2A" w:rsidRPr="00320416">
        <w:rPr>
          <w:b/>
          <w:bCs/>
        </w:rPr>
        <w:instrText xml:space="preserve"> (1860 </w:instrText>
      </w:r>
      <w:r w:rsidR="00021E2A">
        <w:rPr>
          <w:b/>
          <w:bCs/>
          <w:lang w:val="en-US"/>
        </w:rPr>
        <w:instrText>years</w:instrText>
      </w:r>
      <w:r w:rsidR="00021E2A" w:rsidRPr="00320416">
        <w:rPr>
          <w:b/>
          <w:bCs/>
        </w:rPr>
        <w:instrText xml:space="preserve">) </w:instrText>
      </w:r>
      <w:r w:rsidR="00021E2A">
        <w:rPr>
          <w:b/>
          <w:bCs/>
          <w:lang w:val="en-US"/>
        </w:rPr>
        <w:instrText>with</w:instrText>
      </w:r>
      <w:r w:rsidR="00021E2A" w:rsidRPr="00320416">
        <w:rPr>
          <w:b/>
          <w:bCs/>
        </w:rPr>
        <w:instrText xml:space="preserve"> </w:instrText>
      </w:r>
      <w:r w:rsidR="00021E2A">
        <w:rPr>
          <w:b/>
          <w:bCs/>
          <w:lang w:val="en-US"/>
        </w:rPr>
        <w:instrText>untreated</w:instrText>
      </w:r>
      <w:r w:rsidR="00021E2A" w:rsidRPr="00320416">
        <w:rPr>
          <w:b/>
          <w:bCs/>
        </w:rPr>
        <w:instrText xml:space="preserve"> </w:instrText>
      </w:r>
      <w:r w:rsidR="00021E2A">
        <w:rPr>
          <w:b/>
          <w:bCs/>
          <w:lang w:val="en-US"/>
        </w:rPr>
        <w:instrText>aa</w:instrText>
      </w:r>
      <w:r w:rsidR="00021E2A" w:rsidRPr="00320416">
        <w:rPr>
          <w:b/>
          <w:bCs/>
        </w:rPr>
        <w:instrText>-</w:instrText>
      </w:r>
      <w:r w:rsidR="00021E2A">
        <w:rPr>
          <w:b/>
          <w:bCs/>
          <w:lang w:val="en-US"/>
        </w:rPr>
        <w:instrText>IPI</w:instrText>
      </w:r>
      <w:r w:rsidR="00021E2A" w:rsidRPr="00320416">
        <w:rPr>
          <w:b/>
          <w:bCs/>
        </w:rPr>
        <w:instrText xml:space="preserve"> 01 </w:instrText>
      </w:r>
      <w:r w:rsidR="00021E2A">
        <w:rPr>
          <w:b/>
          <w:bCs/>
          <w:lang w:val="en-US"/>
        </w:rPr>
        <w:instrText>DLBCL</w:instrText>
      </w:r>
      <w:r w:rsidR="00021E2A" w:rsidRPr="00320416">
        <w:rPr>
          <w:b/>
          <w:bCs/>
        </w:rPr>
        <w:instrText xml:space="preserve">, </w:instrText>
      </w:r>
      <w:r w:rsidR="00021E2A">
        <w:rPr>
          <w:b/>
          <w:bCs/>
          <w:lang w:val="en-US"/>
        </w:rPr>
        <w:instrText>from</w:instrText>
      </w:r>
      <w:r w:rsidR="00021E2A" w:rsidRPr="00320416">
        <w:rPr>
          <w:b/>
          <w:bCs/>
        </w:rPr>
        <w:instrText xml:space="preserve"> </w:instrText>
      </w:r>
      <w:r w:rsidR="00021E2A">
        <w:rPr>
          <w:b/>
          <w:bCs/>
          <w:lang w:val="en-US"/>
        </w:rPr>
        <w:instrText>six</w:instrText>
      </w:r>
      <w:r w:rsidR="00021E2A" w:rsidRPr="00320416">
        <w:rPr>
          <w:b/>
          <w:bCs/>
        </w:rPr>
        <w:instrText xml:space="preserve"> </w:instrText>
      </w:r>
      <w:r w:rsidR="00021E2A">
        <w:rPr>
          <w:b/>
          <w:bCs/>
          <w:lang w:val="en-US"/>
        </w:rPr>
        <w:instrText>Italian</w:instrText>
      </w:r>
      <w:r w:rsidR="00021E2A" w:rsidRPr="00320416">
        <w:rPr>
          <w:b/>
          <w:bCs/>
        </w:rPr>
        <w:instrText xml:space="preserve"> </w:instrText>
      </w:r>
      <w:r w:rsidR="00021E2A">
        <w:rPr>
          <w:b/>
          <w:bCs/>
          <w:lang w:val="en-US"/>
        </w:rPr>
        <w:instrText>institutions</w:instrText>
      </w:r>
      <w:r w:rsidR="00021E2A" w:rsidRPr="00320416">
        <w:rPr>
          <w:b/>
          <w:bCs/>
        </w:rPr>
        <w:instrText xml:space="preserve">, </w:instrText>
      </w:r>
      <w:r w:rsidR="00021E2A">
        <w:rPr>
          <w:b/>
          <w:bCs/>
          <w:lang w:val="en-US"/>
        </w:rPr>
        <w:instrText>who</w:instrText>
      </w:r>
      <w:r w:rsidR="00021E2A" w:rsidRPr="00320416">
        <w:rPr>
          <w:b/>
          <w:bCs/>
        </w:rPr>
        <w:instrText xml:space="preserve"> </w:instrText>
      </w:r>
      <w:r w:rsidR="00021E2A">
        <w:rPr>
          <w:b/>
          <w:bCs/>
          <w:lang w:val="en-US"/>
        </w:rPr>
        <w:instrText>underwent</w:instrText>
      </w:r>
      <w:r w:rsidR="00021E2A" w:rsidRPr="00320416">
        <w:rPr>
          <w:b/>
          <w:bCs/>
        </w:rPr>
        <w:instrText xml:space="preserve">, </w:instrText>
      </w:r>
      <w:r w:rsidR="00021E2A">
        <w:rPr>
          <w:b/>
          <w:bCs/>
          <w:lang w:val="en-US"/>
        </w:rPr>
        <w:instrText>between</w:instrText>
      </w:r>
      <w:r w:rsidR="00021E2A" w:rsidRPr="00320416">
        <w:rPr>
          <w:b/>
          <w:bCs/>
        </w:rPr>
        <w:instrText xml:space="preserve"> </w:instrText>
      </w:r>
      <w:r w:rsidR="00021E2A">
        <w:rPr>
          <w:b/>
          <w:bCs/>
          <w:lang w:val="en-US"/>
        </w:rPr>
        <w:instrText>January</w:instrText>
      </w:r>
      <w:r w:rsidR="00021E2A" w:rsidRPr="00320416">
        <w:rPr>
          <w:b/>
          <w:bCs/>
        </w:rPr>
        <w:instrText xml:space="preserve"> 2002 </w:instrText>
      </w:r>
      <w:r w:rsidR="00021E2A">
        <w:rPr>
          <w:b/>
          <w:bCs/>
          <w:lang w:val="en-US"/>
        </w:rPr>
        <w:instrText>and</w:instrText>
      </w:r>
      <w:r w:rsidR="00021E2A" w:rsidRPr="00320416">
        <w:rPr>
          <w:b/>
          <w:bCs/>
        </w:rPr>
        <w:instrText xml:space="preserve"> </w:instrText>
      </w:r>
      <w:r w:rsidR="00021E2A">
        <w:rPr>
          <w:b/>
          <w:bCs/>
          <w:lang w:val="en-US"/>
        </w:rPr>
        <w:instrText>January</w:instrText>
      </w:r>
      <w:r w:rsidR="00021E2A" w:rsidRPr="00320416">
        <w:rPr>
          <w:b/>
          <w:bCs/>
        </w:rPr>
        <w:instrText xml:space="preserve"> 2007, </w:instrText>
      </w:r>
      <w:r w:rsidR="00021E2A">
        <w:rPr>
          <w:b/>
          <w:bCs/>
          <w:lang w:val="en-US"/>
        </w:rPr>
        <w:instrText>rituximab</w:instrText>
      </w:r>
      <w:r w:rsidR="00021E2A" w:rsidRPr="00320416">
        <w:rPr>
          <w:b/>
          <w:bCs/>
        </w:rPr>
        <w:instrText>-</w:instrText>
      </w:r>
      <w:r w:rsidR="00021E2A">
        <w:rPr>
          <w:b/>
          <w:bCs/>
          <w:lang w:val="en-US"/>
        </w:rPr>
        <w:instrText>cyclophosphamide</w:instrText>
      </w:r>
      <w:r w:rsidR="00021E2A" w:rsidRPr="00320416">
        <w:rPr>
          <w:b/>
          <w:bCs/>
        </w:rPr>
        <w:instrText xml:space="preserve">, </w:instrText>
      </w:r>
      <w:r w:rsidR="00021E2A">
        <w:rPr>
          <w:b/>
          <w:bCs/>
          <w:lang w:val="en-US"/>
        </w:rPr>
        <w:instrText>doxorubicin</w:instrText>
      </w:r>
      <w:r w:rsidR="00021E2A" w:rsidRPr="00320416">
        <w:rPr>
          <w:b/>
          <w:bCs/>
        </w:rPr>
        <w:instrText xml:space="preserve">, </w:instrText>
      </w:r>
      <w:r w:rsidR="00021E2A">
        <w:rPr>
          <w:b/>
          <w:bCs/>
          <w:lang w:val="en-US"/>
        </w:rPr>
        <w:instrText>vincristine</w:instrText>
      </w:r>
      <w:r w:rsidR="00021E2A" w:rsidRPr="00320416">
        <w:rPr>
          <w:b/>
          <w:bCs/>
        </w:rPr>
        <w:instrText xml:space="preserve">, </w:instrText>
      </w:r>
      <w:r w:rsidR="00021E2A">
        <w:rPr>
          <w:b/>
          <w:bCs/>
          <w:lang w:val="en-US"/>
        </w:rPr>
        <w:instrText>methotrexate</w:instrText>
      </w:r>
      <w:r w:rsidR="00021E2A" w:rsidRPr="00320416">
        <w:rPr>
          <w:b/>
          <w:bCs/>
        </w:rPr>
        <w:instrText xml:space="preserve">, </w:instrText>
      </w:r>
      <w:r w:rsidR="00021E2A">
        <w:rPr>
          <w:b/>
          <w:bCs/>
          <w:lang w:val="en-US"/>
        </w:rPr>
        <w:instrText>bleomicin</w:instrText>
      </w:r>
      <w:r w:rsidR="00021E2A" w:rsidRPr="00320416">
        <w:rPr>
          <w:b/>
          <w:bCs/>
        </w:rPr>
        <w:instrText xml:space="preserve"> </w:instrText>
      </w:r>
      <w:r w:rsidR="00021E2A">
        <w:rPr>
          <w:b/>
          <w:bCs/>
          <w:lang w:val="en-US"/>
        </w:rPr>
        <w:instrText>and</w:instrText>
      </w:r>
      <w:r w:rsidR="00021E2A" w:rsidRPr="00320416">
        <w:rPr>
          <w:b/>
          <w:bCs/>
        </w:rPr>
        <w:instrText xml:space="preserve"> </w:instrText>
      </w:r>
      <w:r w:rsidR="00021E2A">
        <w:rPr>
          <w:b/>
          <w:bCs/>
          <w:lang w:val="en-US"/>
        </w:rPr>
        <w:instrText>prednisone</w:instrText>
      </w:r>
      <w:r w:rsidR="00021E2A" w:rsidRPr="00320416">
        <w:rPr>
          <w:b/>
          <w:bCs/>
        </w:rPr>
        <w:instrText xml:space="preserve"> (</w:instrText>
      </w:r>
      <w:r w:rsidR="00021E2A">
        <w:rPr>
          <w:b/>
          <w:bCs/>
          <w:lang w:val="en-US"/>
        </w:rPr>
        <w:instrText>R</w:instrText>
      </w:r>
      <w:r w:rsidR="00021E2A" w:rsidRPr="00320416">
        <w:rPr>
          <w:b/>
          <w:bCs/>
        </w:rPr>
        <w:instrText>-</w:instrText>
      </w:r>
      <w:r w:rsidR="00021E2A">
        <w:rPr>
          <w:b/>
          <w:bCs/>
          <w:lang w:val="en-US"/>
        </w:rPr>
        <w:instrText>MACOP</w:instrText>
      </w:r>
      <w:r w:rsidR="00021E2A" w:rsidRPr="00320416">
        <w:rPr>
          <w:b/>
          <w:bCs/>
        </w:rPr>
        <w:instrText>-</w:instrText>
      </w:r>
      <w:r w:rsidR="00021E2A">
        <w:rPr>
          <w:b/>
          <w:bCs/>
          <w:lang w:val="en-US"/>
        </w:rPr>
        <w:instrText>B</w:instrText>
      </w:r>
      <w:r w:rsidR="00021E2A" w:rsidRPr="00320416">
        <w:rPr>
          <w:b/>
          <w:bCs/>
        </w:rPr>
        <w:instrText xml:space="preserve">) </w:instrText>
      </w:r>
      <w:r w:rsidR="00021E2A">
        <w:rPr>
          <w:b/>
          <w:bCs/>
          <w:lang w:val="en-US"/>
        </w:rPr>
        <w:instrText>therapy</w:instrText>
      </w:r>
      <w:r w:rsidR="00021E2A" w:rsidRPr="00320416">
        <w:rPr>
          <w:b/>
          <w:bCs/>
        </w:rPr>
        <w:instrText xml:space="preserve"> </w:instrText>
      </w:r>
      <w:r w:rsidR="00021E2A">
        <w:rPr>
          <w:b/>
          <w:bCs/>
          <w:lang w:val="en-US"/>
        </w:rPr>
        <w:instrText>followed</w:instrText>
      </w:r>
      <w:r w:rsidR="00021E2A" w:rsidRPr="00320416">
        <w:rPr>
          <w:b/>
          <w:bCs/>
        </w:rPr>
        <w:instrText xml:space="preserve">, </w:instrText>
      </w:r>
      <w:r w:rsidR="00021E2A">
        <w:rPr>
          <w:b/>
          <w:bCs/>
          <w:lang w:val="en-US"/>
        </w:rPr>
        <w:instrText>in</w:instrText>
      </w:r>
      <w:r w:rsidR="00021E2A" w:rsidRPr="00320416">
        <w:rPr>
          <w:b/>
          <w:bCs/>
        </w:rPr>
        <w:instrText xml:space="preserve"> </w:instrText>
      </w:r>
      <w:r w:rsidR="00021E2A">
        <w:rPr>
          <w:b/>
          <w:bCs/>
          <w:lang w:val="en-US"/>
        </w:rPr>
        <w:instrText>patients</w:instrText>
      </w:r>
      <w:r w:rsidR="00021E2A" w:rsidRPr="00320416">
        <w:rPr>
          <w:b/>
          <w:bCs/>
        </w:rPr>
        <w:instrText xml:space="preserve"> </w:instrText>
      </w:r>
      <w:r w:rsidR="00021E2A">
        <w:rPr>
          <w:b/>
          <w:bCs/>
          <w:lang w:val="en-US"/>
        </w:rPr>
        <w:instrText>with</w:instrText>
      </w:r>
      <w:r w:rsidR="00021E2A" w:rsidRPr="00320416">
        <w:rPr>
          <w:b/>
          <w:bCs/>
        </w:rPr>
        <w:instrText xml:space="preserve"> </w:instrText>
      </w:r>
      <w:r w:rsidR="00021E2A">
        <w:rPr>
          <w:b/>
          <w:bCs/>
          <w:lang w:val="en-US"/>
        </w:rPr>
        <w:instrText>bulky</w:instrText>
      </w:r>
      <w:r w:rsidR="00021E2A" w:rsidRPr="00320416">
        <w:rPr>
          <w:b/>
          <w:bCs/>
        </w:rPr>
        <w:instrText xml:space="preserve"> </w:instrText>
      </w:r>
      <w:r w:rsidR="00021E2A">
        <w:rPr>
          <w:b/>
          <w:bCs/>
          <w:lang w:val="en-US"/>
        </w:rPr>
        <w:instrText>presentation</w:instrText>
      </w:r>
      <w:r w:rsidR="00021E2A" w:rsidRPr="00320416">
        <w:rPr>
          <w:b/>
          <w:bCs/>
        </w:rPr>
        <w:instrText xml:space="preserve">, </w:instrText>
      </w:r>
      <w:r w:rsidR="00021E2A">
        <w:rPr>
          <w:b/>
          <w:bCs/>
          <w:lang w:val="en-US"/>
        </w:rPr>
        <w:instrText>by</w:instrText>
      </w:r>
      <w:r w:rsidR="00021E2A" w:rsidRPr="00320416">
        <w:rPr>
          <w:b/>
          <w:bCs/>
        </w:rPr>
        <w:instrText xml:space="preserve"> 3036 </w:instrText>
      </w:r>
      <w:r w:rsidR="00021E2A">
        <w:rPr>
          <w:b/>
          <w:bCs/>
          <w:lang w:val="en-US"/>
        </w:rPr>
        <w:instrText>Gy</w:instrText>
      </w:r>
      <w:r w:rsidR="00021E2A" w:rsidRPr="00320416">
        <w:rPr>
          <w:b/>
          <w:bCs/>
        </w:rPr>
        <w:instrText xml:space="preserve"> </w:instrText>
      </w:r>
      <w:r w:rsidR="00021E2A">
        <w:rPr>
          <w:b/>
          <w:bCs/>
          <w:lang w:val="en-US"/>
        </w:rPr>
        <w:instrText>involved</w:instrText>
      </w:r>
      <w:r w:rsidR="00021E2A" w:rsidRPr="00320416">
        <w:rPr>
          <w:b/>
          <w:bCs/>
        </w:rPr>
        <w:instrText>-</w:instrText>
      </w:r>
      <w:r w:rsidR="00021E2A">
        <w:rPr>
          <w:b/>
          <w:bCs/>
          <w:lang w:val="en-US"/>
        </w:rPr>
        <w:instrText>field</w:instrText>
      </w:r>
      <w:r w:rsidR="00021E2A" w:rsidRPr="00320416">
        <w:rPr>
          <w:b/>
          <w:bCs/>
        </w:rPr>
        <w:instrText xml:space="preserve"> </w:instrText>
      </w:r>
      <w:r w:rsidR="00021E2A">
        <w:rPr>
          <w:b/>
          <w:bCs/>
          <w:lang w:val="en-US"/>
        </w:rPr>
        <w:instrText>radiation</w:instrText>
      </w:r>
      <w:r w:rsidR="00021E2A" w:rsidRPr="00320416">
        <w:rPr>
          <w:b/>
          <w:bCs/>
        </w:rPr>
        <w:instrText xml:space="preserve"> </w:instrText>
      </w:r>
      <w:r w:rsidR="00021E2A">
        <w:rPr>
          <w:b/>
          <w:bCs/>
          <w:lang w:val="en-US"/>
        </w:rPr>
        <w:instrText>therapy</w:instrText>
      </w:r>
      <w:r w:rsidR="00021E2A" w:rsidRPr="00320416">
        <w:rPr>
          <w:b/>
          <w:bCs/>
        </w:rPr>
        <w:instrText xml:space="preserve"> (34 </w:instrText>
      </w:r>
      <w:r w:rsidR="00021E2A">
        <w:rPr>
          <w:b/>
          <w:bCs/>
          <w:lang w:val="en-US"/>
        </w:rPr>
        <w:instrText>patients</w:instrText>
      </w:r>
      <w:r w:rsidR="00021E2A" w:rsidRPr="00320416">
        <w:rPr>
          <w:b/>
          <w:bCs/>
        </w:rPr>
        <w:instrText xml:space="preserve">). </w:instrText>
      </w:r>
      <w:r w:rsidR="00021E2A">
        <w:rPr>
          <w:b/>
          <w:bCs/>
          <w:lang w:val="en-US"/>
        </w:rPr>
        <w:instrText>An</w:instrText>
      </w:r>
      <w:r w:rsidR="00021E2A" w:rsidRPr="00320416">
        <w:rPr>
          <w:b/>
          <w:bCs/>
        </w:rPr>
        <w:instrText xml:space="preserve"> </w:instrText>
      </w:r>
      <w:r w:rsidR="00021E2A">
        <w:rPr>
          <w:b/>
          <w:bCs/>
          <w:lang w:val="en-US"/>
        </w:rPr>
        <w:instrText>overall</w:instrText>
      </w:r>
      <w:r w:rsidR="00021E2A" w:rsidRPr="00320416">
        <w:rPr>
          <w:b/>
          <w:bCs/>
        </w:rPr>
        <w:instrText xml:space="preserve"> </w:instrText>
      </w:r>
      <w:r w:rsidR="00021E2A">
        <w:rPr>
          <w:b/>
          <w:bCs/>
          <w:lang w:val="en-US"/>
        </w:rPr>
        <w:instrText>response</w:instrText>
      </w:r>
      <w:r w:rsidR="00021E2A" w:rsidRPr="00320416">
        <w:rPr>
          <w:b/>
          <w:bCs/>
        </w:rPr>
        <w:instrText xml:space="preserve"> </w:instrText>
      </w:r>
      <w:r w:rsidR="00021E2A">
        <w:rPr>
          <w:b/>
          <w:bCs/>
          <w:lang w:val="en-US"/>
        </w:rPr>
        <w:instrText>rate</w:instrText>
      </w:r>
      <w:r w:rsidR="00021E2A" w:rsidRPr="00320416">
        <w:rPr>
          <w:b/>
          <w:bCs/>
        </w:rPr>
        <w:instrText xml:space="preserve"> </w:instrText>
      </w:r>
      <w:r w:rsidR="00021E2A">
        <w:rPr>
          <w:b/>
          <w:bCs/>
          <w:lang w:val="en-US"/>
        </w:rPr>
        <w:instrText>was</w:instrText>
      </w:r>
      <w:r w:rsidR="00021E2A" w:rsidRPr="00320416">
        <w:rPr>
          <w:b/>
          <w:bCs/>
        </w:rPr>
        <w:instrText xml:space="preserve"> </w:instrText>
      </w:r>
      <w:r w:rsidR="00021E2A">
        <w:rPr>
          <w:b/>
          <w:bCs/>
          <w:lang w:val="en-US"/>
        </w:rPr>
        <w:instrText>noted</w:instrText>
      </w:r>
      <w:r w:rsidR="00021E2A" w:rsidRPr="00320416">
        <w:rPr>
          <w:b/>
          <w:bCs/>
        </w:rPr>
        <w:instrText xml:space="preserve"> </w:instrText>
      </w:r>
      <w:r w:rsidR="00021E2A">
        <w:rPr>
          <w:b/>
          <w:bCs/>
          <w:lang w:val="en-US"/>
        </w:rPr>
        <w:instrText>in</w:instrText>
      </w:r>
      <w:r w:rsidR="00021E2A" w:rsidRPr="00320416">
        <w:rPr>
          <w:b/>
          <w:bCs/>
        </w:rPr>
        <w:instrText xml:space="preserve"> 77 </w:instrText>
      </w:r>
      <w:r w:rsidR="00021E2A">
        <w:rPr>
          <w:b/>
          <w:bCs/>
          <w:lang w:val="en-US"/>
        </w:rPr>
        <w:instrText>out</w:instrText>
      </w:r>
      <w:r w:rsidR="00021E2A" w:rsidRPr="00320416">
        <w:rPr>
          <w:b/>
          <w:bCs/>
        </w:rPr>
        <w:instrText xml:space="preserve"> </w:instrText>
      </w:r>
      <w:r w:rsidR="00021E2A">
        <w:rPr>
          <w:b/>
          <w:bCs/>
          <w:lang w:val="en-US"/>
        </w:rPr>
        <w:instrText>of</w:instrText>
      </w:r>
      <w:r w:rsidR="00021E2A" w:rsidRPr="00320416">
        <w:rPr>
          <w:b/>
          <w:bCs/>
        </w:rPr>
        <w:instrText xml:space="preserve"> 82 (94) </w:instrText>
      </w:r>
      <w:r w:rsidR="00021E2A">
        <w:rPr>
          <w:b/>
          <w:bCs/>
          <w:lang w:val="en-US"/>
        </w:rPr>
        <w:instrText>patients</w:instrText>
      </w:r>
      <w:r w:rsidR="00021E2A" w:rsidRPr="00320416">
        <w:rPr>
          <w:b/>
          <w:bCs/>
        </w:rPr>
        <w:instrText xml:space="preserve"> (75 </w:instrText>
      </w:r>
      <w:r w:rsidR="00021E2A">
        <w:rPr>
          <w:b/>
          <w:bCs/>
          <w:lang w:val="en-US"/>
        </w:rPr>
        <w:instrText>patients</w:instrText>
      </w:r>
      <w:r w:rsidR="00021E2A" w:rsidRPr="00320416">
        <w:rPr>
          <w:b/>
          <w:bCs/>
        </w:rPr>
        <w:instrText xml:space="preserve"> </w:instrText>
      </w:r>
      <w:r w:rsidR="00021E2A">
        <w:rPr>
          <w:b/>
          <w:bCs/>
          <w:lang w:val="en-US"/>
        </w:rPr>
        <w:instrText>had</w:instrText>
      </w:r>
      <w:r w:rsidR="00021E2A" w:rsidRPr="00320416">
        <w:rPr>
          <w:b/>
          <w:bCs/>
        </w:rPr>
        <w:instrText xml:space="preserve"> </w:instrText>
      </w:r>
      <w:r w:rsidR="00021E2A">
        <w:rPr>
          <w:b/>
          <w:bCs/>
          <w:lang w:val="en-US"/>
        </w:rPr>
        <w:instrText>a</w:instrText>
      </w:r>
      <w:r w:rsidR="00021E2A" w:rsidRPr="00320416">
        <w:rPr>
          <w:b/>
          <w:bCs/>
        </w:rPr>
        <w:instrText xml:space="preserve"> </w:instrText>
      </w:r>
      <w:r w:rsidR="00021E2A">
        <w:rPr>
          <w:b/>
          <w:bCs/>
          <w:lang w:val="en-US"/>
        </w:rPr>
        <w:instrText>complete</w:instrText>
      </w:r>
      <w:r w:rsidR="00021E2A" w:rsidRPr="00320416">
        <w:rPr>
          <w:b/>
          <w:bCs/>
        </w:rPr>
        <w:instrText xml:space="preserve"> </w:instrText>
      </w:r>
      <w:r w:rsidR="00021E2A">
        <w:rPr>
          <w:b/>
          <w:bCs/>
          <w:lang w:val="en-US"/>
        </w:rPr>
        <w:instrText>response</w:instrText>
      </w:r>
      <w:r w:rsidR="00021E2A" w:rsidRPr="00320416">
        <w:rPr>
          <w:b/>
          <w:bCs/>
        </w:rPr>
        <w:instrText xml:space="preserve"> (91), 2 </w:instrText>
      </w:r>
      <w:r w:rsidR="00021E2A">
        <w:rPr>
          <w:b/>
          <w:bCs/>
          <w:lang w:val="en-US"/>
        </w:rPr>
        <w:instrText>patients</w:instrText>
      </w:r>
      <w:r w:rsidR="00021E2A" w:rsidRPr="00320416">
        <w:rPr>
          <w:b/>
          <w:bCs/>
        </w:rPr>
        <w:instrText xml:space="preserve"> </w:instrText>
      </w:r>
      <w:r w:rsidR="00021E2A">
        <w:rPr>
          <w:b/>
          <w:bCs/>
          <w:lang w:val="en-US"/>
        </w:rPr>
        <w:instrText>had</w:instrText>
      </w:r>
      <w:r w:rsidR="00021E2A" w:rsidRPr="00320416">
        <w:rPr>
          <w:b/>
          <w:bCs/>
        </w:rPr>
        <w:instrText xml:space="preserve"> </w:instrText>
      </w:r>
      <w:r w:rsidR="00021E2A">
        <w:rPr>
          <w:b/>
          <w:bCs/>
          <w:lang w:val="en-US"/>
        </w:rPr>
        <w:instrText>a</w:instrText>
      </w:r>
      <w:r w:rsidR="00021E2A" w:rsidRPr="00320416">
        <w:rPr>
          <w:b/>
          <w:bCs/>
        </w:rPr>
        <w:instrText xml:space="preserve"> </w:instrText>
      </w:r>
      <w:r w:rsidR="00021E2A">
        <w:rPr>
          <w:b/>
          <w:bCs/>
          <w:lang w:val="en-US"/>
        </w:rPr>
        <w:instrText>partial</w:instrText>
      </w:r>
      <w:r w:rsidR="00021E2A" w:rsidRPr="00320416">
        <w:rPr>
          <w:b/>
          <w:bCs/>
        </w:rPr>
        <w:instrText xml:space="preserve"> </w:instrText>
      </w:r>
      <w:r w:rsidR="00021E2A">
        <w:rPr>
          <w:b/>
          <w:bCs/>
          <w:lang w:val="en-US"/>
        </w:rPr>
        <w:instrText>response</w:instrText>
      </w:r>
      <w:r w:rsidR="00021E2A" w:rsidRPr="00320416">
        <w:rPr>
          <w:b/>
          <w:bCs/>
        </w:rPr>
        <w:instrText xml:space="preserve">). </w:instrText>
      </w:r>
      <w:r w:rsidR="00021E2A">
        <w:rPr>
          <w:b/>
          <w:bCs/>
          <w:lang w:val="en-US"/>
        </w:rPr>
        <w:instrText>With</w:instrText>
      </w:r>
      <w:r w:rsidR="00021E2A" w:rsidRPr="00320416">
        <w:rPr>
          <w:b/>
          <w:bCs/>
        </w:rPr>
        <w:instrText xml:space="preserve"> </w:instrText>
      </w:r>
      <w:r w:rsidR="00021E2A">
        <w:rPr>
          <w:b/>
          <w:bCs/>
          <w:lang w:val="en-US"/>
        </w:rPr>
        <w:instrText>a</w:instrText>
      </w:r>
      <w:r w:rsidR="00021E2A" w:rsidRPr="00320416">
        <w:rPr>
          <w:b/>
          <w:bCs/>
        </w:rPr>
        <w:instrText xml:space="preserve"> </w:instrText>
      </w:r>
      <w:r w:rsidR="00021E2A">
        <w:rPr>
          <w:b/>
          <w:bCs/>
          <w:lang w:val="en-US"/>
        </w:rPr>
        <w:instrText>median</w:instrText>
      </w:r>
      <w:r w:rsidR="00021E2A" w:rsidRPr="00320416">
        <w:rPr>
          <w:b/>
          <w:bCs/>
        </w:rPr>
        <w:instrText xml:space="preserve"> </w:instrText>
      </w:r>
      <w:r w:rsidR="00021E2A">
        <w:rPr>
          <w:b/>
          <w:bCs/>
          <w:lang w:val="en-US"/>
        </w:rPr>
        <w:instrText>follow</w:instrText>
      </w:r>
      <w:r w:rsidR="00021E2A" w:rsidRPr="00320416">
        <w:rPr>
          <w:b/>
          <w:bCs/>
        </w:rPr>
        <w:instrText>-</w:instrText>
      </w:r>
      <w:r w:rsidR="00021E2A">
        <w:rPr>
          <w:b/>
          <w:bCs/>
          <w:lang w:val="en-US"/>
        </w:rPr>
        <w:instrText>up</w:instrText>
      </w:r>
      <w:r w:rsidR="00021E2A" w:rsidRPr="00320416">
        <w:rPr>
          <w:b/>
          <w:bCs/>
        </w:rPr>
        <w:instrText xml:space="preserve"> </w:instrText>
      </w:r>
      <w:r w:rsidR="00021E2A">
        <w:rPr>
          <w:b/>
          <w:bCs/>
          <w:lang w:val="en-US"/>
        </w:rPr>
        <w:instrText>of</w:instrText>
      </w:r>
      <w:r w:rsidR="00021E2A" w:rsidRPr="00320416">
        <w:rPr>
          <w:b/>
          <w:bCs/>
        </w:rPr>
        <w:instrText xml:space="preserve"> 46 </w:instrText>
      </w:r>
      <w:r w:rsidR="00021E2A">
        <w:rPr>
          <w:b/>
          <w:bCs/>
          <w:lang w:val="en-US"/>
        </w:rPr>
        <w:instrText>months</w:instrText>
      </w:r>
      <w:r w:rsidR="00021E2A" w:rsidRPr="00320416">
        <w:rPr>
          <w:b/>
          <w:bCs/>
        </w:rPr>
        <w:instrText>, 7-</w:instrText>
      </w:r>
      <w:r w:rsidR="00021E2A">
        <w:rPr>
          <w:b/>
          <w:bCs/>
          <w:lang w:val="en-US"/>
        </w:rPr>
        <w:instrText>year</w:instrText>
      </w:r>
      <w:r w:rsidR="00021E2A" w:rsidRPr="00320416">
        <w:rPr>
          <w:b/>
          <w:bCs/>
        </w:rPr>
        <w:instrText xml:space="preserve"> </w:instrText>
      </w:r>
      <w:r w:rsidR="00021E2A">
        <w:rPr>
          <w:b/>
          <w:bCs/>
          <w:lang w:val="en-US"/>
        </w:rPr>
        <w:instrText>progression</w:instrText>
      </w:r>
      <w:r w:rsidR="00021E2A" w:rsidRPr="00320416">
        <w:rPr>
          <w:b/>
          <w:bCs/>
        </w:rPr>
        <w:instrText>-</w:instrText>
      </w:r>
      <w:r w:rsidR="00021E2A">
        <w:rPr>
          <w:b/>
          <w:bCs/>
          <w:lang w:val="en-US"/>
        </w:rPr>
        <w:instrText>free</w:instrText>
      </w:r>
      <w:r w:rsidR="00021E2A" w:rsidRPr="00320416">
        <w:rPr>
          <w:b/>
          <w:bCs/>
        </w:rPr>
        <w:instrText xml:space="preserve"> </w:instrText>
      </w:r>
      <w:r w:rsidR="00021E2A">
        <w:rPr>
          <w:b/>
          <w:bCs/>
          <w:lang w:val="en-US"/>
        </w:rPr>
        <w:instrText>and</w:instrText>
      </w:r>
      <w:r w:rsidR="00021E2A" w:rsidRPr="00320416">
        <w:rPr>
          <w:b/>
          <w:bCs/>
        </w:rPr>
        <w:instrText xml:space="preserve"> </w:instrText>
      </w:r>
      <w:r w:rsidR="00021E2A">
        <w:rPr>
          <w:b/>
          <w:bCs/>
          <w:lang w:val="en-US"/>
        </w:rPr>
        <w:instrText>overall</w:instrText>
      </w:r>
      <w:r w:rsidR="00021E2A" w:rsidRPr="00320416">
        <w:rPr>
          <w:b/>
          <w:bCs/>
        </w:rPr>
        <w:instrText xml:space="preserve"> </w:instrText>
      </w:r>
      <w:r w:rsidR="00021E2A">
        <w:rPr>
          <w:b/>
          <w:bCs/>
          <w:lang w:val="en-US"/>
        </w:rPr>
        <w:instrText>survival</w:instrText>
      </w:r>
      <w:r w:rsidR="00021E2A" w:rsidRPr="00320416">
        <w:rPr>
          <w:b/>
          <w:bCs/>
        </w:rPr>
        <w:instrText xml:space="preserve"> </w:instrText>
      </w:r>
      <w:r w:rsidR="00021E2A">
        <w:rPr>
          <w:b/>
          <w:bCs/>
          <w:lang w:val="en-US"/>
        </w:rPr>
        <w:instrText>were</w:instrText>
      </w:r>
      <w:r w:rsidR="00021E2A" w:rsidRPr="00320416">
        <w:rPr>
          <w:b/>
          <w:bCs/>
        </w:rPr>
        <w:instrText xml:space="preserve"> </w:instrText>
      </w:r>
      <w:r w:rsidR="00021E2A">
        <w:rPr>
          <w:b/>
          <w:bCs/>
          <w:lang w:val="en-US"/>
        </w:rPr>
        <w:instrText>estimated</w:instrText>
      </w:r>
      <w:r w:rsidR="00021E2A" w:rsidRPr="00320416">
        <w:rPr>
          <w:b/>
          <w:bCs/>
        </w:rPr>
        <w:instrText xml:space="preserve"> </w:instrText>
      </w:r>
      <w:r w:rsidR="00021E2A">
        <w:rPr>
          <w:b/>
          <w:bCs/>
          <w:lang w:val="en-US"/>
        </w:rPr>
        <w:instrText>to</w:instrText>
      </w:r>
      <w:r w:rsidR="00021E2A" w:rsidRPr="00320416">
        <w:rPr>
          <w:b/>
          <w:bCs/>
        </w:rPr>
        <w:instrText xml:space="preserve"> </w:instrText>
      </w:r>
      <w:r w:rsidR="00021E2A">
        <w:rPr>
          <w:b/>
          <w:bCs/>
          <w:lang w:val="en-US"/>
        </w:rPr>
        <w:instrText>be</w:instrText>
      </w:r>
      <w:r w:rsidR="00021E2A" w:rsidRPr="00320416">
        <w:rPr>
          <w:b/>
          <w:bCs/>
        </w:rPr>
        <w:instrText xml:space="preserve"> 91 </w:instrText>
      </w:r>
      <w:r w:rsidR="00021E2A">
        <w:rPr>
          <w:b/>
          <w:bCs/>
          <w:lang w:val="en-US"/>
        </w:rPr>
        <w:instrText>and</w:instrText>
      </w:r>
      <w:r w:rsidR="00021E2A" w:rsidRPr="00320416">
        <w:rPr>
          <w:b/>
          <w:bCs/>
        </w:rPr>
        <w:instrText xml:space="preserve"> 94, </w:instrText>
      </w:r>
      <w:r w:rsidR="00021E2A">
        <w:rPr>
          <w:b/>
          <w:bCs/>
          <w:lang w:val="en-US"/>
        </w:rPr>
        <w:instrText>respectively</w:instrText>
      </w:r>
      <w:r w:rsidR="00021E2A" w:rsidRPr="00320416">
        <w:rPr>
          <w:b/>
          <w:bCs/>
        </w:rPr>
        <w:instrText xml:space="preserve">. </w:instrText>
      </w:r>
      <w:r w:rsidR="00021E2A">
        <w:rPr>
          <w:b/>
          <w:bCs/>
          <w:lang w:val="en-US"/>
        </w:rPr>
        <w:instrText>R</w:instrText>
      </w:r>
      <w:r w:rsidR="00021E2A" w:rsidRPr="00320416">
        <w:rPr>
          <w:b/>
          <w:bCs/>
        </w:rPr>
        <w:instrText>-</w:instrText>
      </w:r>
      <w:r w:rsidR="00021E2A">
        <w:rPr>
          <w:b/>
          <w:bCs/>
          <w:lang w:val="en-US"/>
        </w:rPr>
        <w:instrText>MACOP</w:instrText>
      </w:r>
      <w:r w:rsidR="00021E2A" w:rsidRPr="00320416">
        <w:rPr>
          <w:b/>
          <w:bCs/>
        </w:rPr>
        <w:instrText>-</w:instrText>
      </w:r>
      <w:r w:rsidR="00021E2A">
        <w:rPr>
          <w:b/>
          <w:bCs/>
          <w:lang w:val="en-US"/>
        </w:rPr>
        <w:instrText>B</w:instrText>
      </w:r>
      <w:r w:rsidR="00021E2A" w:rsidRPr="00320416">
        <w:rPr>
          <w:b/>
          <w:bCs/>
        </w:rPr>
        <w:instrText xml:space="preserve"> </w:instrText>
      </w:r>
      <w:r w:rsidR="00021E2A">
        <w:rPr>
          <w:b/>
          <w:bCs/>
          <w:lang w:val="en-US"/>
        </w:rPr>
        <w:instrText>regimen</w:instrText>
      </w:r>
      <w:r w:rsidR="00021E2A" w:rsidRPr="00320416">
        <w:rPr>
          <w:b/>
          <w:bCs/>
        </w:rPr>
        <w:instrText xml:space="preserve"> </w:instrText>
      </w:r>
      <w:r w:rsidR="00021E2A">
        <w:rPr>
          <w:b/>
          <w:bCs/>
          <w:lang w:val="en-US"/>
        </w:rPr>
        <w:instrText>followed</w:instrText>
      </w:r>
      <w:r w:rsidR="00021E2A" w:rsidRPr="00320416">
        <w:rPr>
          <w:b/>
          <w:bCs/>
        </w:rPr>
        <w:instrText xml:space="preserve"> </w:instrText>
      </w:r>
      <w:r w:rsidR="00021E2A">
        <w:rPr>
          <w:b/>
          <w:bCs/>
          <w:lang w:val="en-US"/>
        </w:rPr>
        <w:instrText>by</w:instrText>
      </w:r>
      <w:r w:rsidR="00021E2A" w:rsidRPr="00320416">
        <w:rPr>
          <w:b/>
          <w:bCs/>
        </w:rPr>
        <w:instrText xml:space="preserve"> </w:instrText>
      </w:r>
      <w:r w:rsidR="00021E2A">
        <w:rPr>
          <w:b/>
          <w:bCs/>
          <w:lang w:val="en-US"/>
        </w:rPr>
        <w:instrText>involved</w:instrText>
      </w:r>
      <w:r w:rsidR="00021E2A" w:rsidRPr="00320416">
        <w:rPr>
          <w:b/>
          <w:bCs/>
        </w:rPr>
        <w:instrText>-</w:instrText>
      </w:r>
      <w:r w:rsidR="00021E2A">
        <w:rPr>
          <w:b/>
          <w:bCs/>
          <w:lang w:val="en-US"/>
        </w:rPr>
        <w:instrText>field</w:instrText>
      </w:r>
      <w:r w:rsidR="00021E2A" w:rsidRPr="00320416">
        <w:rPr>
          <w:b/>
          <w:bCs/>
        </w:rPr>
        <w:instrText xml:space="preserve"> </w:instrText>
      </w:r>
      <w:r w:rsidR="00021E2A">
        <w:rPr>
          <w:b/>
          <w:bCs/>
          <w:lang w:val="en-US"/>
        </w:rPr>
        <w:instrText>radiation</w:instrText>
      </w:r>
      <w:r w:rsidR="00021E2A" w:rsidRPr="00320416">
        <w:rPr>
          <w:b/>
          <w:bCs/>
        </w:rPr>
        <w:instrText xml:space="preserve"> </w:instrText>
      </w:r>
      <w:r w:rsidR="00021E2A">
        <w:rPr>
          <w:b/>
          <w:bCs/>
          <w:lang w:val="en-US"/>
        </w:rPr>
        <w:instrText>on</w:instrText>
      </w:r>
      <w:r w:rsidR="00021E2A" w:rsidRPr="00320416">
        <w:rPr>
          <w:b/>
          <w:bCs/>
        </w:rPr>
        <w:instrText xml:space="preserve"> </w:instrText>
      </w:r>
      <w:r w:rsidR="00021E2A">
        <w:rPr>
          <w:b/>
          <w:bCs/>
          <w:lang w:val="en-US"/>
        </w:rPr>
        <w:instrText>bulky</w:instrText>
      </w:r>
      <w:r w:rsidR="00021E2A" w:rsidRPr="00320416">
        <w:rPr>
          <w:b/>
          <w:bCs/>
        </w:rPr>
        <w:instrText xml:space="preserve"> </w:instrText>
      </w:r>
      <w:r w:rsidR="00021E2A">
        <w:rPr>
          <w:b/>
          <w:bCs/>
          <w:lang w:val="en-US"/>
        </w:rPr>
        <w:instrText>presentation is safe and very effective in the treatment of young patients with low-risk DLBCL. © 2009 Informa Healthcare USA, Inc.","author":[{"dropping-particle":"","family":"Derenzini","given":"Enrico","non-dropping-particle":"","parse-names":false,"suffix":""},{"dropping-particle":"","family":"Stefoni","given":"Vittorio","non-dropping-particle":"","parse-names":false,"suffix":""},{"dropping-particle":"","family":"Pellegrini","given":"Cinzia","non-dropping-particle":"","parse-names":false,"suffix":""},{"dropping-particle":"","family":"Fina","given":"Maria Paola","non-dropping-particle":"","parse-names":false,"suffix":""},{"dropping-particle":"","family":"Broccoli","given":"Alessandro","non-dropping-particle":"","parse-names":false,"suffix":""},{"dropping-particle":"","family":"Venturini","given":"Filippo","non-dropping-particle":"","parse-names":false,"suffix":""},{"dropping-particle":"","family":"Gandolfi","given":"Letizia","non-dropping-particle":"","parse-names":false,"suffix":""},{"dropping-particle":"","family":"Pileri","given":"Stefano A.","non-dropping-particle":"","parse-names":false,"suffix":""},{"dropping-particle":"","family":"Martelli","given":"Maurizio","non-dropping-particle":"","parse-names":false,</w:instrText>
      </w:r>
      <w:r w:rsidR="00021E2A" w:rsidRPr="00320416">
        <w:rPr>
          <w:b/>
          <w:bCs/>
        </w:rPr>
        <w:instrText>"</w:instrText>
      </w:r>
      <w:r w:rsidR="00021E2A">
        <w:rPr>
          <w:b/>
          <w:bCs/>
          <w:lang w:val="en-US"/>
        </w:rPr>
        <w:instrText>suffix</w:instrText>
      </w:r>
      <w:r w:rsidR="00021E2A" w:rsidRPr="00320416">
        <w:rPr>
          <w:b/>
          <w:bCs/>
        </w:rPr>
        <w:instrText>":""},{"</w:instrText>
      </w:r>
      <w:r w:rsidR="00021E2A">
        <w:rPr>
          <w:b/>
          <w:bCs/>
          <w:lang w:val="en-US"/>
        </w:rPr>
        <w:instrText>dropping</w:instrText>
      </w:r>
      <w:r w:rsidR="00021E2A" w:rsidRPr="00320416">
        <w:rPr>
          <w:b/>
          <w:bCs/>
        </w:rPr>
        <w:instrText>-</w:instrText>
      </w:r>
      <w:r w:rsidR="00021E2A">
        <w:rPr>
          <w:b/>
          <w:bCs/>
          <w:lang w:val="en-US"/>
        </w:rPr>
        <w:instrText>particle</w:instrText>
      </w:r>
      <w:r w:rsidR="00021E2A" w:rsidRPr="00320416">
        <w:rPr>
          <w:b/>
          <w:bCs/>
        </w:rPr>
        <w:instrText>":"","</w:instrText>
      </w:r>
      <w:r w:rsidR="00021E2A">
        <w:rPr>
          <w:b/>
          <w:bCs/>
          <w:lang w:val="en-US"/>
        </w:rPr>
        <w:instrText>family</w:instrText>
      </w:r>
      <w:r w:rsidR="00021E2A" w:rsidRPr="00320416">
        <w:rPr>
          <w:b/>
          <w:bCs/>
        </w:rPr>
        <w:instrText>":"</w:instrText>
      </w:r>
      <w:r w:rsidR="00021E2A">
        <w:rPr>
          <w:b/>
          <w:bCs/>
          <w:lang w:val="en-US"/>
        </w:rPr>
        <w:instrText>Petti</w:instrText>
      </w:r>
      <w:r w:rsidR="00021E2A" w:rsidRPr="00320416">
        <w:rPr>
          <w:b/>
          <w:bCs/>
        </w:rPr>
        <w:instrText>","</w:instrText>
      </w:r>
      <w:r w:rsidR="00021E2A">
        <w:rPr>
          <w:b/>
          <w:bCs/>
          <w:lang w:val="en-US"/>
        </w:rPr>
        <w:instrText>given</w:instrText>
      </w:r>
      <w:r w:rsidR="00021E2A" w:rsidRPr="00320416">
        <w:rPr>
          <w:b/>
          <w:bCs/>
        </w:rPr>
        <w:instrText>":"</w:instrText>
      </w:r>
      <w:r w:rsidR="00021E2A">
        <w:rPr>
          <w:b/>
          <w:bCs/>
          <w:lang w:val="en-US"/>
        </w:rPr>
        <w:instrText>Maria</w:instrText>
      </w:r>
      <w:r w:rsidR="00021E2A" w:rsidRPr="00320416">
        <w:rPr>
          <w:b/>
          <w:bCs/>
        </w:rPr>
        <w:instrText xml:space="preserve"> </w:instrText>
      </w:r>
      <w:r w:rsidR="00021E2A">
        <w:rPr>
          <w:b/>
          <w:bCs/>
          <w:lang w:val="en-US"/>
        </w:rPr>
        <w:instrText>Concetta</w:instrText>
      </w:r>
      <w:r w:rsidR="00021E2A" w:rsidRPr="00320416">
        <w:rPr>
          <w:b/>
          <w:bCs/>
        </w:rPr>
        <w:instrText>","</w:instrText>
      </w:r>
      <w:r w:rsidR="00021E2A">
        <w:rPr>
          <w:b/>
          <w:bCs/>
          <w:lang w:val="en-US"/>
        </w:rPr>
        <w:instrText>non</w:instrText>
      </w:r>
      <w:r w:rsidR="00021E2A" w:rsidRPr="00320416">
        <w:rPr>
          <w:b/>
          <w:bCs/>
        </w:rPr>
        <w:instrText>-</w:instrText>
      </w:r>
      <w:r w:rsidR="00021E2A">
        <w:rPr>
          <w:b/>
          <w:bCs/>
          <w:lang w:val="en-US"/>
        </w:rPr>
        <w:instrText>dropping</w:instrText>
      </w:r>
      <w:r w:rsidR="00021E2A" w:rsidRPr="00320416">
        <w:rPr>
          <w:b/>
          <w:bCs/>
        </w:rPr>
        <w:instrText>-</w:instrText>
      </w:r>
      <w:r w:rsidR="00021E2A">
        <w:rPr>
          <w:b/>
          <w:bCs/>
          <w:lang w:val="en-US"/>
        </w:rPr>
        <w:instrText>particle</w:instrText>
      </w:r>
      <w:r w:rsidR="00021E2A" w:rsidRPr="00320416">
        <w:rPr>
          <w:b/>
          <w:bCs/>
        </w:rPr>
        <w:instrText>":"","</w:instrText>
      </w:r>
      <w:r w:rsidR="00021E2A">
        <w:rPr>
          <w:b/>
          <w:bCs/>
          <w:lang w:val="en-US"/>
        </w:rPr>
        <w:instrText>parse</w:instrText>
      </w:r>
      <w:r w:rsidR="00021E2A" w:rsidRPr="00320416">
        <w:rPr>
          <w:b/>
          <w:bCs/>
        </w:rPr>
        <w:instrText>-</w:instrText>
      </w:r>
      <w:r w:rsidR="00021E2A">
        <w:rPr>
          <w:b/>
          <w:bCs/>
          <w:lang w:val="en-US"/>
        </w:rPr>
        <w:instrText>names</w:instrText>
      </w:r>
      <w:r w:rsidR="00021E2A" w:rsidRPr="00320416">
        <w:rPr>
          <w:b/>
          <w:bCs/>
        </w:rPr>
        <w:instrText>":</w:instrText>
      </w:r>
      <w:r w:rsidR="00021E2A">
        <w:rPr>
          <w:b/>
          <w:bCs/>
          <w:lang w:val="en-US"/>
        </w:rPr>
        <w:instrText>false</w:instrText>
      </w:r>
      <w:r w:rsidR="00021E2A" w:rsidRPr="00320416">
        <w:rPr>
          <w:b/>
          <w:bCs/>
        </w:rPr>
        <w:instrText>,"</w:instrText>
      </w:r>
      <w:r w:rsidR="00021E2A">
        <w:rPr>
          <w:b/>
          <w:bCs/>
          <w:lang w:val="en-US"/>
        </w:rPr>
        <w:instrText>suffix</w:instrText>
      </w:r>
      <w:r w:rsidR="00021E2A" w:rsidRPr="00320416">
        <w:rPr>
          <w:b/>
          <w:bCs/>
        </w:rPr>
        <w:instrText>":""},{"</w:instrText>
      </w:r>
      <w:r w:rsidR="00021E2A">
        <w:rPr>
          <w:b/>
          <w:bCs/>
          <w:lang w:val="en-US"/>
        </w:rPr>
        <w:instrText>dropping</w:instrText>
      </w:r>
      <w:r w:rsidR="00021E2A" w:rsidRPr="00320416">
        <w:rPr>
          <w:b/>
          <w:bCs/>
        </w:rPr>
        <w:instrText>-</w:instrText>
      </w:r>
      <w:r w:rsidR="00021E2A">
        <w:rPr>
          <w:b/>
          <w:bCs/>
          <w:lang w:val="en-US"/>
        </w:rPr>
        <w:instrText>particle</w:instrText>
      </w:r>
      <w:r w:rsidR="00021E2A" w:rsidRPr="00320416">
        <w:rPr>
          <w:b/>
          <w:bCs/>
        </w:rPr>
        <w:instrText>":"","</w:instrText>
      </w:r>
      <w:r w:rsidR="00021E2A">
        <w:rPr>
          <w:b/>
          <w:bCs/>
          <w:lang w:val="en-US"/>
        </w:rPr>
        <w:instrText>family</w:instrText>
      </w:r>
      <w:r w:rsidR="00021E2A" w:rsidRPr="00320416">
        <w:rPr>
          <w:b/>
          <w:bCs/>
        </w:rPr>
        <w:instrText>":"</w:instrText>
      </w:r>
      <w:r w:rsidR="00021E2A">
        <w:rPr>
          <w:b/>
          <w:bCs/>
          <w:lang w:val="en-US"/>
        </w:rPr>
        <w:instrText>Perrotti</w:instrText>
      </w:r>
      <w:r w:rsidR="00021E2A" w:rsidRPr="00320416">
        <w:rPr>
          <w:b/>
          <w:bCs/>
        </w:rPr>
        <w:instrText>","</w:instrText>
      </w:r>
      <w:r w:rsidR="00021E2A">
        <w:rPr>
          <w:b/>
          <w:bCs/>
          <w:lang w:val="en-US"/>
        </w:rPr>
        <w:instrText>given</w:instrText>
      </w:r>
      <w:r w:rsidR="00021E2A" w:rsidRPr="00320416">
        <w:rPr>
          <w:b/>
          <w:bCs/>
        </w:rPr>
        <w:instrText>":"</w:instrText>
      </w:r>
      <w:r w:rsidR="00021E2A">
        <w:rPr>
          <w:b/>
          <w:bCs/>
          <w:lang w:val="en-US"/>
        </w:rPr>
        <w:instrText>Alessio</w:instrText>
      </w:r>
      <w:r w:rsidR="00021E2A" w:rsidRPr="00320416">
        <w:rPr>
          <w:b/>
          <w:bCs/>
        </w:rPr>
        <w:instrText>","</w:instrText>
      </w:r>
      <w:r w:rsidR="00021E2A">
        <w:rPr>
          <w:b/>
          <w:bCs/>
          <w:lang w:val="en-US"/>
        </w:rPr>
        <w:instrText>non</w:instrText>
      </w:r>
      <w:r w:rsidR="00021E2A" w:rsidRPr="00320416">
        <w:rPr>
          <w:b/>
          <w:bCs/>
        </w:rPr>
        <w:instrText>-</w:instrText>
      </w:r>
      <w:r w:rsidR="00021E2A">
        <w:rPr>
          <w:b/>
          <w:bCs/>
          <w:lang w:val="en-US"/>
        </w:rPr>
        <w:instrText>dropping</w:instrText>
      </w:r>
      <w:r w:rsidR="00021E2A" w:rsidRPr="00320416">
        <w:rPr>
          <w:b/>
          <w:bCs/>
        </w:rPr>
        <w:instrText>-</w:instrText>
      </w:r>
      <w:r w:rsidR="00021E2A">
        <w:rPr>
          <w:b/>
          <w:bCs/>
          <w:lang w:val="en-US"/>
        </w:rPr>
        <w:instrText>particle</w:instrText>
      </w:r>
      <w:r w:rsidR="00021E2A" w:rsidRPr="00320416">
        <w:rPr>
          <w:b/>
          <w:bCs/>
        </w:rPr>
        <w:instrText>":"","</w:instrText>
      </w:r>
      <w:r w:rsidR="00021E2A">
        <w:rPr>
          <w:b/>
          <w:bCs/>
          <w:lang w:val="en-US"/>
        </w:rPr>
        <w:instrText>parse</w:instrText>
      </w:r>
      <w:r w:rsidR="00021E2A" w:rsidRPr="00320416">
        <w:rPr>
          <w:b/>
          <w:bCs/>
        </w:rPr>
        <w:instrText>-</w:instrText>
      </w:r>
      <w:r w:rsidR="00021E2A">
        <w:rPr>
          <w:b/>
          <w:bCs/>
          <w:lang w:val="en-US"/>
        </w:rPr>
        <w:instrText>names</w:instrText>
      </w:r>
      <w:r w:rsidR="00021E2A" w:rsidRPr="00320416">
        <w:rPr>
          <w:b/>
          <w:bCs/>
        </w:rPr>
        <w:instrText>":</w:instrText>
      </w:r>
      <w:r w:rsidR="00021E2A">
        <w:rPr>
          <w:b/>
          <w:bCs/>
          <w:lang w:val="en-US"/>
        </w:rPr>
        <w:instrText>false</w:instrText>
      </w:r>
      <w:r w:rsidR="00021E2A" w:rsidRPr="00320416">
        <w:rPr>
          <w:b/>
          <w:bCs/>
        </w:rPr>
        <w:instrText>,"</w:instrText>
      </w:r>
      <w:r w:rsidR="00021E2A">
        <w:rPr>
          <w:b/>
          <w:bCs/>
          <w:lang w:val="en-US"/>
        </w:rPr>
        <w:instrText>suffix</w:instrText>
      </w:r>
      <w:r w:rsidR="00021E2A" w:rsidRPr="00320416">
        <w:rPr>
          <w:b/>
          <w:bCs/>
        </w:rPr>
        <w:instrText>":""},{"</w:instrText>
      </w:r>
      <w:r w:rsidR="00021E2A">
        <w:rPr>
          <w:b/>
          <w:bCs/>
          <w:lang w:val="en-US"/>
        </w:rPr>
        <w:instrText>dropping</w:instrText>
      </w:r>
      <w:r w:rsidR="00021E2A" w:rsidRPr="00320416">
        <w:rPr>
          <w:b/>
          <w:bCs/>
        </w:rPr>
        <w:instrText>-</w:instrText>
      </w:r>
      <w:r w:rsidR="00021E2A">
        <w:rPr>
          <w:b/>
          <w:bCs/>
          <w:lang w:val="en-US"/>
        </w:rPr>
        <w:instrText>particle</w:instrText>
      </w:r>
      <w:r w:rsidR="00021E2A" w:rsidRPr="00320416">
        <w:rPr>
          <w:b/>
          <w:bCs/>
        </w:rPr>
        <w:instrText>":"","</w:instrText>
      </w:r>
      <w:r w:rsidR="00021E2A">
        <w:rPr>
          <w:b/>
          <w:bCs/>
          <w:lang w:val="en-US"/>
        </w:rPr>
        <w:instrText>family</w:instrText>
      </w:r>
      <w:r w:rsidR="00021E2A" w:rsidRPr="00320416">
        <w:rPr>
          <w:b/>
          <w:bCs/>
        </w:rPr>
        <w:instrText>":"</w:instrText>
      </w:r>
      <w:r w:rsidR="00021E2A">
        <w:rPr>
          <w:b/>
          <w:bCs/>
          <w:lang w:val="en-US"/>
        </w:rPr>
        <w:instrText>Renzo</w:instrText>
      </w:r>
      <w:r w:rsidR="00021E2A" w:rsidRPr="00320416">
        <w:rPr>
          <w:b/>
          <w:bCs/>
        </w:rPr>
        <w:instrText>","</w:instrText>
      </w:r>
      <w:r w:rsidR="00021E2A">
        <w:rPr>
          <w:b/>
          <w:bCs/>
          <w:lang w:val="en-US"/>
        </w:rPr>
        <w:instrText>given</w:instrText>
      </w:r>
      <w:r w:rsidR="00021E2A" w:rsidRPr="00320416">
        <w:rPr>
          <w:b/>
          <w:bCs/>
        </w:rPr>
        <w:instrText>":"</w:instrText>
      </w:r>
      <w:r w:rsidR="00021E2A">
        <w:rPr>
          <w:b/>
          <w:bCs/>
          <w:lang w:val="en-US"/>
        </w:rPr>
        <w:instrText>Amalia</w:instrText>
      </w:r>
      <w:r w:rsidR="00021E2A" w:rsidRPr="00320416">
        <w:rPr>
          <w:b/>
          <w:bCs/>
        </w:rPr>
        <w:instrText>","</w:instrText>
      </w:r>
      <w:r w:rsidR="00021E2A">
        <w:rPr>
          <w:b/>
          <w:bCs/>
          <w:lang w:val="en-US"/>
        </w:rPr>
        <w:instrText>non</w:instrText>
      </w:r>
      <w:r w:rsidR="00021E2A" w:rsidRPr="00320416">
        <w:rPr>
          <w:b/>
          <w:bCs/>
        </w:rPr>
        <w:instrText>-</w:instrText>
      </w:r>
      <w:r w:rsidR="00021E2A">
        <w:rPr>
          <w:b/>
          <w:bCs/>
          <w:lang w:val="en-US"/>
        </w:rPr>
        <w:instrText>dropping</w:instrText>
      </w:r>
      <w:r w:rsidR="00021E2A" w:rsidRPr="00320416">
        <w:rPr>
          <w:b/>
          <w:bCs/>
        </w:rPr>
        <w:instrText>-</w:instrText>
      </w:r>
      <w:r w:rsidR="00021E2A">
        <w:rPr>
          <w:b/>
          <w:bCs/>
          <w:lang w:val="en-US"/>
        </w:rPr>
        <w:instrText>particle</w:instrText>
      </w:r>
      <w:r w:rsidR="00021E2A" w:rsidRPr="00320416">
        <w:rPr>
          <w:b/>
          <w:bCs/>
        </w:rPr>
        <w:instrText>":"</w:instrText>
      </w:r>
      <w:r w:rsidR="00021E2A">
        <w:rPr>
          <w:b/>
          <w:bCs/>
          <w:lang w:val="en-US"/>
        </w:rPr>
        <w:instrText>De</w:instrText>
      </w:r>
      <w:r w:rsidR="00021E2A" w:rsidRPr="00320416">
        <w:rPr>
          <w:b/>
          <w:bCs/>
        </w:rPr>
        <w:instrText>","</w:instrText>
      </w:r>
      <w:r w:rsidR="00021E2A">
        <w:rPr>
          <w:b/>
          <w:bCs/>
          <w:lang w:val="en-US"/>
        </w:rPr>
        <w:instrText>parse</w:instrText>
      </w:r>
      <w:r w:rsidR="00021E2A" w:rsidRPr="00320416">
        <w:rPr>
          <w:b/>
          <w:bCs/>
        </w:rPr>
        <w:instrText>-</w:instrText>
      </w:r>
      <w:r w:rsidR="00021E2A">
        <w:rPr>
          <w:b/>
          <w:bCs/>
          <w:lang w:val="en-US"/>
        </w:rPr>
        <w:instrText>names</w:instrText>
      </w:r>
      <w:r w:rsidR="00021E2A" w:rsidRPr="00320416">
        <w:rPr>
          <w:b/>
          <w:bCs/>
        </w:rPr>
        <w:instrText>":</w:instrText>
      </w:r>
      <w:r w:rsidR="00021E2A">
        <w:rPr>
          <w:b/>
          <w:bCs/>
          <w:lang w:val="en-US"/>
        </w:rPr>
        <w:instrText>false</w:instrText>
      </w:r>
      <w:r w:rsidR="00021E2A" w:rsidRPr="00320416">
        <w:rPr>
          <w:b/>
          <w:bCs/>
        </w:rPr>
        <w:instrText>,"</w:instrText>
      </w:r>
      <w:r w:rsidR="00021E2A">
        <w:rPr>
          <w:b/>
          <w:bCs/>
          <w:lang w:val="en-US"/>
        </w:rPr>
        <w:instrText>suffix</w:instrText>
      </w:r>
      <w:r w:rsidR="00021E2A" w:rsidRPr="00320416">
        <w:rPr>
          <w:b/>
          <w:bCs/>
        </w:rPr>
        <w:instrText>":""},{"</w:instrText>
      </w:r>
      <w:r w:rsidR="00021E2A">
        <w:rPr>
          <w:b/>
          <w:bCs/>
          <w:lang w:val="en-US"/>
        </w:rPr>
        <w:instrText>dropping</w:instrText>
      </w:r>
      <w:r w:rsidR="00021E2A" w:rsidRPr="00320416">
        <w:rPr>
          <w:b/>
          <w:bCs/>
        </w:rPr>
        <w:instrText>-</w:instrText>
      </w:r>
      <w:r w:rsidR="00021E2A">
        <w:rPr>
          <w:b/>
          <w:bCs/>
          <w:lang w:val="en-US"/>
        </w:rPr>
        <w:instrText>particle</w:instrText>
      </w:r>
      <w:r w:rsidR="00021E2A" w:rsidRPr="00320416">
        <w:rPr>
          <w:b/>
          <w:bCs/>
        </w:rPr>
        <w:instrText>":"","</w:instrText>
      </w:r>
      <w:r w:rsidR="00021E2A">
        <w:rPr>
          <w:b/>
          <w:bCs/>
          <w:lang w:val="en-US"/>
        </w:rPr>
        <w:instrText>family</w:instrText>
      </w:r>
      <w:r w:rsidR="00021E2A" w:rsidRPr="00320416">
        <w:rPr>
          <w:b/>
          <w:bCs/>
        </w:rPr>
        <w:instrText>":"</w:instrText>
      </w:r>
      <w:r w:rsidR="00021E2A">
        <w:rPr>
          <w:b/>
          <w:bCs/>
          <w:lang w:val="en-US"/>
        </w:rPr>
        <w:instrText>Zaja</w:instrText>
      </w:r>
      <w:r w:rsidR="00021E2A" w:rsidRPr="00320416">
        <w:rPr>
          <w:b/>
          <w:bCs/>
        </w:rPr>
        <w:instrText>","</w:instrText>
      </w:r>
      <w:r w:rsidR="00021E2A">
        <w:rPr>
          <w:b/>
          <w:bCs/>
          <w:lang w:val="en-US"/>
        </w:rPr>
        <w:instrText>given</w:instrText>
      </w:r>
      <w:r w:rsidR="00021E2A" w:rsidRPr="00320416">
        <w:rPr>
          <w:b/>
          <w:bCs/>
        </w:rPr>
        <w:instrText>":"</w:instrText>
      </w:r>
      <w:r w:rsidR="00021E2A">
        <w:rPr>
          <w:b/>
          <w:bCs/>
          <w:lang w:val="en-US"/>
        </w:rPr>
        <w:instrText>Francesco</w:instrText>
      </w:r>
      <w:r w:rsidR="00021E2A" w:rsidRPr="00320416">
        <w:rPr>
          <w:b/>
          <w:bCs/>
        </w:rPr>
        <w:instrText>","</w:instrText>
      </w:r>
      <w:r w:rsidR="00021E2A">
        <w:rPr>
          <w:b/>
          <w:bCs/>
          <w:lang w:val="en-US"/>
        </w:rPr>
        <w:instrText>non</w:instrText>
      </w:r>
      <w:r w:rsidR="00021E2A" w:rsidRPr="00320416">
        <w:rPr>
          <w:b/>
          <w:bCs/>
        </w:rPr>
        <w:instrText>-</w:instrText>
      </w:r>
      <w:r w:rsidR="00021E2A">
        <w:rPr>
          <w:b/>
          <w:bCs/>
          <w:lang w:val="en-US"/>
        </w:rPr>
        <w:instrText>dropping</w:instrText>
      </w:r>
      <w:r w:rsidR="00021E2A" w:rsidRPr="00320416">
        <w:rPr>
          <w:b/>
          <w:bCs/>
        </w:rPr>
        <w:instrText>-</w:instrText>
      </w:r>
      <w:r w:rsidR="00021E2A">
        <w:rPr>
          <w:b/>
          <w:bCs/>
          <w:lang w:val="en-US"/>
        </w:rPr>
        <w:instrText>particle</w:instrText>
      </w:r>
      <w:r w:rsidR="00021E2A" w:rsidRPr="00320416">
        <w:rPr>
          <w:b/>
          <w:bCs/>
        </w:rPr>
        <w:instrText>":"","</w:instrText>
      </w:r>
      <w:r w:rsidR="00021E2A">
        <w:rPr>
          <w:b/>
          <w:bCs/>
          <w:lang w:val="en-US"/>
        </w:rPr>
        <w:instrText>parse</w:instrText>
      </w:r>
      <w:r w:rsidR="00021E2A" w:rsidRPr="00320416">
        <w:rPr>
          <w:b/>
          <w:bCs/>
        </w:rPr>
        <w:instrText>-</w:instrText>
      </w:r>
      <w:r w:rsidR="00021E2A">
        <w:rPr>
          <w:b/>
          <w:bCs/>
          <w:lang w:val="en-US"/>
        </w:rPr>
        <w:instrText>names</w:instrText>
      </w:r>
      <w:r w:rsidR="00021E2A" w:rsidRPr="00320416">
        <w:rPr>
          <w:b/>
          <w:bCs/>
        </w:rPr>
        <w:instrText>":</w:instrText>
      </w:r>
      <w:r w:rsidR="00021E2A">
        <w:rPr>
          <w:b/>
          <w:bCs/>
          <w:lang w:val="en-US"/>
        </w:rPr>
        <w:instrText>false</w:instrText>
      </w:r>
      <w:r w:rsidR="00021E2A" w:rsidRPr="00320416">
        <w:rPr>
          <w:b/>
          <w:bCs/>
        </w:rPr>
        <w:instrText>,"</w:instrText>
      </w:r>
      <w:r w:rsidR="00021E2A">
        <w:rPr>
          <w:b/>
          <w:bCs/>
          <w:lang w:val="en-US"/>
        </w:rPr>
        <w:instrText>suffix</w:instrText>
      </w:r>
      <w:r w:rsidR="00021E2A" w:rsidRPr="00320416">
        <w:rPr>
          <w:b/>
          <w:bCs/>
        </w:rPr>
        <w:instrText>":""},{"</w:instrText>
      </w:r>
      <w:r w:rsidR="00021E2A">
        <w:rPr>
          <w:b/>
          <w:bCs/>
          <w:lang w:val="en-US"/>
        </w:rPr>
        <w:instrText>dropping</w:instrText>
      </w:r>
      <w:r w:rsidR="00021E2A" w:rsidRPr="00320416">
        <w:rPr>
          <w:b/>
          <w:bCs/>
        </w:rPr>
        <w:instrText>-</w:instrText>
      </w:r>
      <w:r w:rsidR="00021E2A">
        <w:rPr>
          <w:b/>
          <w:bCs/>
          <w:lang w:val="en-US"/>
        </w:rPr>
        <w:instrText>particle</w:instrText>
      </w:r>
      <w:r w:rsidR="00021E2A" w:rsidRPr="00320416">
        <w:rPr>
          <w:b/>
          <w:bCs/>
        </w:rPr>
        <w:instrText>":"","</w:instrText>
      </w:r>
      <w:r w:rsidR="00021E2A">
        <w:rPr>
          <w:b/>
          <w:bCs/>
          <w:lang w:val="en-US"/>
        </w:rPr>
        <w:instrText>family</w:instrText>
      </w:r>
      <w:r w:rsidR="00021E2A" w:rsidRPr="00320416">
        <w:rPr>
          <w:b/>
          <w:bCs/>
        </w:rPr>
        <w:instrText>":"</w:instrText>
      </w:r>
      <w:r w:rsidR="00021E2A">
        <w:rPr>
          <w:b/>
          <w:bCs/>
          <w:lang w:val="en-US"/>
        </w:rPr>
        <w:instrText>Baccarani</w:instrText>
      </w:r>
      <w:r w:rsidR="00021E2A" w:rsidRPr="00320416">
        <w:rPr>
          <w:b/>
          <w:bCs/>
        </w:rPr>
        <w:instrText>","</w:instrText>
      </w:r>
      <w:r w:rsidR="00021E2A">
        <w:rPr>
          <w:b/>
          <w:bCs/>
          <w:lang w:val="en-US"/>
        </w:rPr>
        <w:instrText>given</w:instrText>
      </w:r>
      <w:r w:rsidR="00021E2A" w:rsidRPr="00320416">
        <w:rPr>
          <w:b/>
          <w:bCs/>
        </w:rPr>
        <w:instrText>":"</w:instrText>
      </w:r>
      <w:r w:rsidR="00021E2A">
        <w:rPr>
          <w:b/>
          <w:bCs/>
          <w:lang w:val="en-US"/>
        </w:rPr>
        <w:instrText>Michele</w:instrText>
      </w:r>
      <w:r w:rsidR="00021E2A" w:rsidRPr="00320416">
        <w:rPr>
          <w:b/>
          <w:bCs/>
        </w:rPr>
        <w:instrText>","</w:instrText>
      </w:r>
      <w:r w:rsidR="00021E2A">
        <w:rPr>
          <w:b/>
          <w:bCs/>
          <w:lang w:val="en-US"/>
        </w:rPr>
        <w:instrText>non</w:instrText>
      </w:r>
      <w:r w:rsidR="00021E2A" w:rsidRPr="00320416">
        <w:rPr>
          <w:b/>
          <w:bCs/>
        </w:rPr>
        <w:instrText>-</w:instrText>
      </w:r>
      <w:r w:rsidR="00021E2A">
        <w:rPr>
          <w:b/>
          <w:bCs/>
          <w:lang w:val="en-US"/>
        </w:rPr>
        <w:instrText>dropping</w:instrText>
      </w:r>
      <w:r w:rsidR="00021E2A" w:rsidRPr="00320416">
        <w:rPr>
          <w:b/>
          <w:bCs/>
        </w:rPr>
        <w:instrText>-</w:instrText>
      </w:r>
      <w:r w:rsidR="00021E2A">
        <w:rPr>
          <w:b/>
          <w:bCs/>
          <w:lang w:val="en-US"/>
        </w:rPr>
        <w:instrText>particle</w:instrText>
      </w:r>
      <w:r w:rsidR="00021E2A" w:rsidRPr="00320416">
        <w:rPr>
          <w:b/>
          <w:bCs/>
        </w:rPr>
        <w:instrText>":"","</w:instrText>
      </w:r>
      <w:r w:rsidR="00021E2A">
        <w:rPr>
          <w:b/>
          <w:bCs/>
          <w:lang w:val="en-US"/>
        </w:rPr>
        <w:instrText>parse</w:instrText>
      </w:r>
      <w:r w:rsidR="00021E2A" w:rsidRPr="00320416">
        <w:rPr>
          <w:b/>
          <w:bCs/>
        </w:rPr>
        <w:instrText>-</w:instrText>
      </w:r>
      <w:r w:rsidR="00021E2A">
        <w:rPr>
          <w:b/>
          <w:bCs/>
          <w:lang w:val="en-US"/>
        </w:rPr>
        <w:instrText>names</w:instrText>
      </w:r>
      <w:r w:rsidR="00021E2A" w:rsidRPr="00320416">
        <w:rPr>
          <w:b/>
          <w:bCs/>
        </w:rPr>
        <w:instrText>":</w:instrText>
      </w:r>
      <w:r w:rsidR="00021E2A">
        <w:rPr>
          <w:b/>
          <w:bCs/>
          <w:lang w:val="en-US"/>
        </w:rPr>
        <w:instrText>false</w:instrText>
      </w:r>
      <w:r w:rsidR="00021E2A" w:rsidRPr="00320416">
        <w:rPr>
          <w:b/>
          <w:bCs/>
        </w:rPr>
        <w:instrText>,"</w:instrText>
      </w:r>
      <w:r w:rsidR="00021E2A">
        <w:rPr>
          <w:b/>
          <w:bCs/>
          <w:lang w:val="en-US"/>
        </w:rPr>
        <w:instrText>suffix</w:instrText>
      </w:r>
      <w:r w:rsidR="00021E2A" w:rsidRPr="00320416">
        <w:rPr>
          <w:b/>
          <w:bCs/>
        </w:rPr>
        <w:instrText>":""},{"</w:instrText>
      </w:r>
      <w:r w:rsidR="00021E2A">
        <w:rPr>
          <w:b/>
          <w:bCs/>
          <w:lang w:val="en-US"/>
        </w:rPr>
        <w:instrText>dropping</w:instrText>
      </w:r>
      <w:r w:rsidR="00021E2A" w:rsidRPr="00320416">
        <w:rPr>
          <w:b/>
          <w:bCs/>
        </w:rPr>
        <w:instrText>-</w:instrText>
      </w:r>
      <w:r w:rsidR="00021E2A">
        <w:rPr>
          <w:b/>
          <w:bCs/>
          <w:lang w:val="en-US"/>
        </w:rPr>
        <w:instrText>particle</w:instrText>
      </w:r>
      <w:r w:rsidR="00021E2A" w:rsidRPr="00320416">
        <w:rPr>
          <w:b/>
          <w:bCs/>
        </w:rPr>
        <w:instrText>":"","</w:instrText>
      </w:r>
      <w:r w:rsidR="00021E2A">
        <w:rPr>
          <w:b/>
          <w:bCs/>
          <w:lang w:val="en-US"/>
        </w:rPr>
        <w:instrText>family</w:instrText>
      </w:r>
      <w:r w:rsidR="00021E2A" w:rsidRPr="00320416">
        <w:rPr>
          <w:b/>
          <w:bCs/>
        </w:rPr>
        <w:instrText>":"</w:instrText>
      </w:r>
      <w:r w:rsidR="00021E2A">
        <w:rPr>
          <w:b/>
          <w:bCs/>
          <w:lang w:val="en-US"/>
        </w:rPr>
        <w:instrText>Zinzani</w:instrText>
      </w:r>
      <w:r w:rsidR="00021E2A" w:rsidRPr="00320416">
        <w:rPr>
          <w:b/>
          <w:bCs/>
        </w:rPr>
        <w:instrText>","</w:instrText>
      </w:r>
      <w:r w:rsidR="00021E2A">
        <w:rPr>
          <w:b/>
          <w:bCs/>
          <w:lang w:val="en-US"/>
        </w:rPr>
        <w:instrText>given</w:instrText>
      </w:r>
      <w:r w:rsidR="00021E2A" w:rsidRPr="00320416">
        <w:rPr>
          <w:b/>
          <w:bCs/>
        </w:rPr>
        <w:instrText>":"</w:instrText>
      </w:r>
      <w:r w:rsidR="00021E2A">
        <w:rPr>
          <w:b/>
          <w:bCs/>
          <w:lang w:val="en-US"/>
        </w:rPr>
        <w:instrText>Pier</w:instrText>
      </w:r>
      <w:r w:rsidR="00021E2A" w:rsidRPr="00320416">
        <w:rPr>
          <w:b/>
          <w:bCs/>
        </w:rPr>
        <w:instrText xml:space="preserve"> </w:instrText>
      </w:r>
      <w:r w:rsidR="00021E2A">
        <w:rPr>
          <w:b/>
          <w:bCs/>
          <w:lang w:val="en-US"/>
        </w:rPr>
        <w:instrText>Luigi</w:instrText>
      </w:r>
      <w:r w:rsidR="00021E2A" w:rsidRPr="00320416">
        <w:rPr>
          <w:b/>
          <w:bCs/>
        </w:rPr>
        <w:instrText>","</w:instrText>
      </w:r>
      <w:r w:rsidR="00021E2A">
        <w:rPr>
          <w:b/>
          <w:bCs/>
          <w:lang w:val="en-US"/>
        </w:rPr>
        <w:instrText>non</w:instrText>
      </w:r>
      <w:r w:rsidR="00021E2A" w:rsidRPr="00320416">
        <w:rPr>
          <w:b/>
          <w:bCs/>
        </w:rPr>
        <w:instrText>-</w:instrText>
      </w:r>
      <w:r w:rsidR="00021E2A">
        <w:rPr>
          <w:b/>
          <w:bCs/>
          <w:lang w:val="en-US"/>
        </w:rPr>
        <w:instrText>dropping</w:instrText>
      </w:r>
      <w:r w:rsidR="00021E2A" w:rsidRPr="00320416">
        <w:rPr>
          <w:b/>
          <w:bCs/>
        </w:rPr>
        <w:instrText>-</w:instrText>
      </w:r>
      <w:r w:rsidR="00021E2A">
        <w:rPr>
          <w:b/>
          <w:bCs/>
          <w:lang w:val="en-US"/>
        </w:rPr>
        <w:instrText>particle</w:instrText>
      </w:r>
      <w:r w:rsidR="00021E2A" w:rsidRPr="00320416">
        <w:rPr>
          <w:b/>
          <w:bCs/>
        </w:rPr>
        <w:instrText>":"","</w:instrText>
      </w:r>
      <w:r w:rsidR="00021E2A">
        <w:rPr>
          <w:b/>
          <w:bCs/>
          <w:lang w:val="en-US"/>
        </w:rPr>
        <w:instrText>parse</w:instrText>
      </w:r>
      <w:r w:rsidR="00021E2A" w:rsidRPr="00320416">
        <w:rPr>
          <w:b/>
          <w:bCs/>
        </w:rPr>
        <w:instrText>-</w:instrText>
      </w:r>
      <w:r w:rsidR="00021E2A">
        <w:rPr>
          <w:b/>
          <w:bCs/>
          <w:lang w:val="en-US"/>
        </w:rPr>
        <w:instrText>names</w:instrText>
      </w:r>
      <w:r w:rsidR="00021E2A" w:rsidRPr="00320416">
        <w:rPr>
          <w:b/>
          <w:bCs/>
        </w:rPr>
        <w:instrText>":</w:instrText>
      </w:r>
      <w:r w:rsidR="00021E2A">
        <w:rPr>
          <w:b/>
          <w:bCs/>
          <w:lang w:val="en-US"/>
        </w:rPr>
        <w:instrText>false</w:instrText>
      </w:r>
      <w:r w:rsidR="00021E2A" w:rsidRPr="00320416">
        <w:rPr>
          <w:b/>
          <w:bCs/>
        </w:rPr>
        <w:instrText>,"</w:instrText>
      </w:r>
      <w:r w:rsidR="00021E2A">
        <w:rPr>
          <w:b/>
          <w:bCs/>
          <w:lang w:val="en-US"/>
        </w:rPr>
        <w:instrText>suffix</w:instrText>
      </w:r>
      <w:r w:rsidR="00021E2A" w:rsidRPr="00320416">
        <w:rPr>
          <w:b/>
          <w:bCs/>
        </w:rPr>
        <w:instrText>":""}],"</w:instrText>
      </w:r>
      <w:r w:rsidR="00021E2A">
        <w:rPr>
          <w:b/>
          <w:bCs/>
          <w:lang w:val="en-US"/>
        </w:rPr>
        <w:instrText>container</w:instrText>
      </w:r>
      <w:r w:rsidR="00021E2A" w:rsidRPr="00320416">
        <w:rPr>
          <w:b/>
          <w:bCs/>
        </w:rPr>
        <w:instrText>-</w:instrText>
      </w:r>
      <w:r w:rsidR="00021E2A">
        <w:rPr>
          <w:b/>
          <w:bCs/>
          <w:lang w:val="en-US"/>
        </w:rPr>
        <w:instrText>title</w:instrText>
      </w:r>
      <w:r w:rsidR="00021E2A" w:rsidRPr="00320416">
        <w:rPr>
          <w:b/>
          <w:bCs/>
        </w:rPr>
        <w:instrText>":"</w:instrText>
      </w:r>
      <w:r w:rsidR="00021E2A">
        <w:rPr>
          <w:b/>
          <w:bCs/>
          <w:lang w:val="en-US"/>
        </w:rPr>
        <w:instrText>Leukemia</w:instrText>
      </w:r>
      <w:r w:rsidR="00021E2A" w:rsidRPr="00320416">
        <w:rPr>
          <w:b/>
          <w:bCs/>
        </w:rPr>
        <w:instrText xml:space="preserve"> </w:instrText>
      </w:r>
      <w:r w:rsidR="00021E2A">
        <w:rPr>
          <w:b/>
          <w:bCs/>
          <w:lang w:val="en-US"/>
        </w:rPr>
        <w:instrText>and</w:instrText>
      </w:r>
      <w:r w:rsidR="00021E2A" w:rsidRPr="00320416">
        <w:rPr>
          <w:b/>
          <w:bCs/>
        </w:rPr>
        <w:instrText xml:space="preserve"> </w:instrText>
      </w:r>
      <w:r w:rsidR="00021E2A">
        <w:rPr>
          <w:b/>
          <w:bCs/>
          <w:lang w:val="en-US"/>
        </w:rPr>
        <w:instrText>Lymphoma</w:instrText>
      </w:r>
      <w:r w:rsidR="00021E2A" w:rsidRPr="00320416">
        <w:rPr>
          <w:b/>
          <w:bCs/>
        </w:rPr>
        <w:instrText>","</w:instrText>
      </w:r>
      <w:r w:rsidR="00021E2A">
        <w:rPr>
          <w:b/>
          <w:bCs/>
          <w:lang w:val="en-US"/>
        </w:rPr>
        <w:instrText>id</w:instrText>
      </w:r>
      <w:r w:rsidR="00021E2A" w:rsidRPr="00320416">
        <w:rPr>
          <w:b/>
          <w:bCs/>
        </w:rPr>
        <w:instrText>":"</w:instrText>
      </w:r>
      <w:r w:rsidR="00021E2A">
        <w:rPr>
          <w:b/>
          <w:bCs/>
          <w:lang w:val="en-US"/>
        </w:rPr>
        <w:instrText>ITEM</w:instrText>
      </w:r>
      <w:r w:rsidR="00021E2A" w:rsidRPr="00320416">
        <w:rPr>
          <w:b/>
          <w:bCs/>
        </w:rPr>
        <w:instrText>-1","</w:instrText>
      </w:r>
      <w:r w:rsidR="00021E2A">
        <w:rPr>
          <w:b/>
          <w:bCs/>
          <w:lang w:val="en-US"/>
        </w:rPr>
        <w:instrText>issue</w:instrText>
      </w:r>
      <w:r w:rsidR="00021E2A" w:rsidRPr="00320416">
        <w:rPr>
          <w:b/>
          <w:bCs/>
        </w:rPr>
        <w:instrText>":"11","</w:instrText>
      </w:r>
      <w:r w:rsidR="00021E2A">
        <w:rPr>
          <w:b/>
          <w:bCs/>
          <w:lang w:val="en-US"/>
        </w:rPr>
        <w:instrText>issued</w:instrText>
      </w:r>
      <w:r w:rsidR="00021E2A" w:rsidRPr="00320416">
        <w:rPr>
          <w:b/>
          <w:bCs/>
        </w:rPr>
        <w:instrText>":{"</w:instrText>
      </w:r>
      <w:r w:rsidR="00021E2A">
        <w:rPr>
          <w:b/>
          <w:bCs/>
          <w:lang w:val="en-US"/>
        </w:rPr>
        <w:instrText>date</w:instrText>
      </w:r>
      <w:r w:rsidR="00021E2A" w:rsidRPr="00320416">
        <w:rPr>
          <w:b/>
          <w:bCs/>
        </w:rPr>
        <w:instrText>-</w:instrText>
      </w:r>
      <w:r w:rsidR="00021E2A">
        <w:rPr>
          <w:b/>
          <w:bCs/>
          <w:lang w:val="en-US"/>
        </w:rPr>
        <w:instrText>parts</w:instrText>
      </w:r>
      <w:r w:rsidR="00021E2A" w:rsidRPr="00320416">
        <w:rPr>
          <w:b/>
          <w:bCs/>
        </w:rPr>
        <w:instrText>":[["2009","11"]]},"</w:instrText>
      </w:r>
      <w:r w:rsidR="00021E2A">
        <w:rPr>
          <w:b/>
          <w:bCs/>
          <w:lang w:val="en-US"/>
        </w:rPr>
        <w:instrText>page</w:instrText>
      </w:r>
      <w:r w:rsidR="00021E2A" w:rsidRPr="00320416">
        <w:rPr>
          <w:b/>
          <w:bCs/>
        </w:rPr>
        <w:instrText>":"1824-1829","</w:instrText>
      </w:r>
      <w:r w:rsidR="00021E2A">
        <w:rPr>
          <w:b/>
          <w:bCs/>
          <w:lang w:val="en-US"/>
        </w:rPr>
        <w:instrText>publisher</w:instrText>
      </w:r>
      <w:r w:rsidR="00021E2A" w:rsidRPr="00320416">
        <w:rPr>
          <w:b/>
          <w:bCs/>
        </w:rPr>
        <w:instrText>":"</w:instrText>
      </w:r>
      <w:r w:rsidR="00021E2A">
        <w:rPr>
          <w:b/>
          <w:bCs/>
          <w:lang w:val="en-US"/>
        </w:rPr>
        <w:instrText>Taylor</w:instrText>
      </w:r>
      <w:r w:rsidR="00021E2A" w:rsidRPr="00320416">
        <w:rPr>
          <w:b/>
          <w:bCs/>
        </w:rPr>
        <w:instrText xml:space="preserve"> &amp; </w:instrText>
      </w:r>
      <w:r w:rsidR="00021E2A">
        <w:rPr>
          <w:b/>
          <w:bCs/>
          <w:lang w:val="en-US"/>
        </w:rPr>
        <w:instrText>Francis</w:instrText>
      </w:r>
      <w:r w:rsidR="00021E2A" w:rsidRPr="00320416">
        <w:rPr>
          <w:b/>
          <w:bCs/>
        </w:rPr>
        <w:instrText>","</w:instrText>
      </w:r>
      <w:r w:rsidR="00021E2A">
        <w:rPr>
          <w:b/>
          <w:bCs/>
          <w:lang w:val="en-US"/>
        </w:rPr>
        <w:instrText>title</w:instrText>
      </w:r>
      <w:r w:rsidR="00021E2A" w:rsidRPr="00320416">
        <w:rPr>
          <w:b/>
          <w:bCs/>
        </w:rPr>
        <w:instrText>":"</w:instrText>
      </w:r>
      <w:r w:rsidR="00021E2A">
        <w:rPr>
          <w:b/>
          <w:bCs/>
          <w:lang w:val="en-US"/>
        </w:rPr>
        <w:instrText>Cyclophosphamide</w:instrText>
      </w:r>
      <w:r w:rsidR="00021E2A" w:rsidRPr="00320416">
        <w:rPr>
          <w:b/>
          <w:bCs/>
        </w:rPr>
        <w:instrText xml:space="preserve">, </w:instrText>
      </w:r>
      <w:r w:rsidR="00021E2A">
        <w:rPr>
          <w:b/>
          <w:bCs/>
          <w:lang w:val="en-US"/>
        </w:rPr>
        <w:instrText>doxorubicin</w:instrText>
      </w:r>
      <w:r w:rsidR="00021E2A" w:rsidRPr="00320416">
        <w:rPr>
          <w:b/>
          <w:bCs/>
        </w:rPr>
        <w:instrText xml:space="preserve">, </w:instrText>
      </w:r>
      <w:r w:rsidR="00021E2A">
        <w:rPr>
          <w:b/>
          <w:bCs/>
          <w:lang w:val="en-US"/>
        </w:rPr>
        <w:instrText>vincristine</w:instrText>
      </w:r>
      <w:r w:rsidR="00021E2A" w:rsidRPr="00320416">
        <w:rPr>
          <w:b/>
          <w:bCs/>
        </w:rPr>
        <w:instrText xml:space="preserve">, </w:instrText>
      </w:r>
      <w:r w:rsidR="00021E2A">
        <w:rPr>
          <w:b/>
          <w:bCs/>
          <w:lang w:val="en-US"/>
        </w:rPr>
        <w:instrText>methotrexate</w:instrText>
      </w:r>
      <w:r w:rsidR="00021E2A" w:rsidRPr="00320416">
        <w:rPr>
          <w:b/>
          <w:bCs/>
        </w:rPr>
        <w:instrText xml:space="preserve">, </w:instrText>
      </w:r>
      <w:r w:rsidR="00021E2A">
        <w:rPr>
          <w:b/>
          <w:bCs/>
          <w:lang w:val="en-US"/>
        </w:rPr>
        <w:instrText>bleomicin</w:instrText>
      </w:r>
      <w:r w:rsidR="00021E2A" w:rsidRPr="00320416">
        <w:rPr>
          <w:b/>
          <w:bCs/>
        </w:rPr>
        <w:instrText xml:space="preserve"> </w:instrText>
      </w:r>
      <w:r w:rsidR="00021E2A">
        <w:rPr>
          <w:b/>
          <w:bCs/>
          <w:lang w:val="en-US"/>
        </w:rPr>
        <w:instrText>and</w:instrText>
      </w:r>
      <w:r w:rsidR="00021E2A" w:rsidRPr="00320416">
        <w:rPr>
          <w:b/>
          <w:bCs/>
        </w:rPr>
        <w:instrText xml:space="preserve"> </w:instrText>
      </w:r>
      <w:r w:rsidR="00021E2A">
        <w:rPr>
          <w:b/>
          <w:bCs/>
          <w:lang w:val="en-US"/>
        </w:rPr>
        <w:instrText>prednisone</w:instrText>
      </w:r>
      <w:r w:rsidR="00021E2A" w:rsidRPr="00320416">
        <w:rPr>
          <w:b/>
          <w:bCs/>
        </w:rPr>
        <w:instrText xml:space="preserve"> </w:instrText>
      </w:r>
      <w:r w:rsidR="00021E2A">
        <w:rPr>
          <w:b/>
          <w:bCs/>
          <w:lang w:val="en-US"/>
        </w:rPr>
        <w:instrText>plus</w:instrText>
      </w:r>
      <w:r w:rsidR="00021E2A" w:rsidRPr="00320416">
        <w:rPr>
          <w:b/>
          <w:bCs/>
        </w:rPr>
        <w:instrText xml:space="preserve"> </w:instrText>
      </w:r>
      <w:r w:rsidR="00021E2A">
        <w:rPr>
          <w:b/>
          <w:bCs/>
          <w:lang w:val="en-US"/>
        </w:rPr>
        <w:instrText>rituximab</w:instrText>
      </w:r>
      <w:r w:rsidR="00021E2A" w:rsidRPr="00320416">
        <w:rPr>
          <w:b/>
          <w:bCs/>
        </w:rPr>
        <w:instrText xml:space="preserve"> </w:instrText>
      </w:r>
      <w:r w:rsidR="00021E2A">
        <w:rPr>
          <w:b/>
          <w:bCs/>
          <w:lang w:val="en-US"/>
        </w:rPr>
        <w:instrText>in</w:instrText>
      </w:r>
      <w:r w:rsidR="00021E2A" w:rsidRPr="00320416">
        <w:rPr>
          <w:b/>
          <w:bCs/>
        </w:rPr>
        <w:instrText xml:space="preserve"> </w:instrText>
      </w:r>
      <w:r w:rsidR="00021E2A">
        <w:rPr>
          <w:b/>
          <w:bCs/>
          <w:lang w:val="en-US"/>
        </w:rPr>
        <w:instrText>untreated</w:instrText>
      </w:r>
      <w:r w:rsidR="00021E2A" w:rsidRPr="00320416">
        <w:rPr>
          <w:b/>
          <w:bCs/>
        </w:rPr>
        <w:instrText xml:space="preserve"> </w:instrText>
      </w:r>
      <w:r w:rsidR="00021E2A">
        <w:rPr>
          <w:b/>
          <w:bCs/>
          <w:lang w:val="en-US"/>
        </w:rPr>
        <w:instrText>young</w:instrText>
      </w:r>
      <w:r w:rsidR="00021E2A" w:rsidRPr="00320416">
        <w:rPr>
          <w:b/>
          <w:bCs/>
        </w:rPr>
        <w:instrText xml:space="preserve"> </w:instrText>
      </w:r>
      <w:r w:rsidR="00021E2A">
        <w:rPr>
          <w:b/>
          <w:bCs/>
          <w:lang w:val="en-US"/>
        </w:rPr>
        <w:instrText>patients</w:instrText>
      </w:r>
      <w:r w:rsidR="00021E2A" w:rsidRPr="00320416">
        <w:rPr>
          <w:b/>
          <w:bCs/>
        </w:rPr>
        <w:instrText xml:space="preserve"> </w:instrText>
      </w:r>
      <w:r w:rsidR="00021E2A">
        <w:rPr>
          <w:b/>
          <w:bCs/>
          <w:lang w:val="en-US"/>
        </w:rPr>
        <w:instrText>with</w:instrText>
      </w:r>
      <w:r w:rsidR="00021E2A" w:rsidRPr="00320416">
        <w:rPr>
          <w:b/>
          <w:bCs/>
        </w:rPr>
        <w:instrText xml:space="preserve"> </w:instrText>
      </w:r>
      <w:r w:rsidR="00021E2A">
        <w:rPr>
          <w:b/>
          <w:bCs/>
          <w:lang w:val="en-US"/>
        </w:rPr>
        <w:instrText>low</w:instrText>
      </w:r>
      <w:r w:rsidR="00021E2A" w:rsidRPr="00320416">
        <w:rPr>
          <w:b/>
          <w:bCs/>
        </w:rPr>
        <w:instrText>-</w:instrText>
      </w:r>
      <w:r w:rsidR="00021E2A">
        <w:rPr>
          <w:b/>
          <w:bCs/>
          <w:lang w:val="en-US"/>
        </w:rPr>
        <w:instrText>risk</w:instrText>
      </w:r>
      <w:r w:rsidR="00021E2A" w:rsidRPr="00320416">
        <w:rPr>
          <w:b/>
          <w:bCs/>
        </w:rPr>
        <w:instrText xml:space="preserve"> (</w:instrText>
      </w:r>
      <w:r w:rsidR="00021E2A">
        <w:rPr>
          <w:b/>
          <w:bCs/>
          <w:lang w:val="en-US"/>
        </w:rPr>
        <w:instrText>age</w:instrText>
      </w:r>
      <w:r w:rsidR="00021E2A" w:rsidRPr="00320416">
        <w:rPr>
          <w:b/>
          <w:bCs/>
        </w:rPr>
        <w:instrText>-</w:instrText>
      </w:r>
      <w:r w:rsidR="00021E2A">
        <w:rPr>
          <w:b/>
          <w:bCs/>
          <w:lang w:val="en-US"/>
        </w:rPr>
        <w:instrText>adjusted</w:instrText>
      </w:r>
      <w:r w:rsidR="00021E2A" w:rsidRPr="00320416">
        <w:rPr>
          <w:b/>
          <w:bCs/>
        </w:rPr>
        <w:instrText xml:space="preserve"> </w:instrText>
      </w:r>
      <w:r w:rsidR="00021E2A">
        <w:rPr>
          <w:b/>
          <w:bCs/>
          <w:lang w:val="en-US"/>
        </w:rPr>
        <w:instrText>international</w:instrText>
      </w:r>
      <w:r w:rsidR="00021E2A" w:rsidRPr="00320416">
        <w:rPr>
          <w:b/>
          <w:bCs/>
        </w:rPr>
        <w:instrText xml:space="preserve"> </w:instrText>
      </w:r>
      <w:r w:rsidR="00021E2A">
        <w:rPr>
          <w:b/>
          <w:bCs/>
          <w:lang w:val="en-US"/>
        </w:rPr>
        <w:instrText>prognostic</w:instrText>
      </w:r>
      <w:r w:rsidR="00021E2A" w:rsidRPr="00320416">
        <w:rPr>
          <w:b/>
          <w:bCs/>
        </w:rPr>
        <w:instrText xml:space="preserve"> </w:instrText>
      </w:r>
      <w:r w:rsidR="00021E2A">
        <w:rPr>
          <w:b/>
          <w:bCs/>
          <w:lang w:val="en-US"/>
        </w:rPr>
        <w:instrText>index</w:instrText>
      </w:r>
      <w:r w:rsidR="00021E2A" w:rsidRPr="00320416">
        <w:rPr>
          <w:b/>
          <w:bCs/>
        </w:rPr>
        <w:instrText xml:space="preserve"> 01) </w:instrText>
      </w:r>
      <w:r w:rsidR="00021E2A">
        <w:rPr>
          <w:b/>
          <w:bCs/>
          <w:lang w:val="en-US"/>
        </w:rPr>
        <w:instrText>diffuse</w:instrText>
      </w:r>
      <w:r w:rsidR="00021E2A" w:rsidRPr="00320416">
        <w:rPr>
          <w:b/>
          <w:bCs/>
        </w:rPr>
        <w:instrText xml:space="preserve"> </w:instrText>
      </w:r>
      <w:r w:rsidR="00021E2A">
        <w:rPr>
          <w:b/>
          <w:bCs/>
          <w:lang w:val="en-US"/>
        </w:rPr>
        <w:instrText>large</w:instrText>
      </w:r>
      <w:r w:rsidR="00021E2A" w:rsidRPr="00320416">
        <w:rPr>
          <w:b/>
          <w:bCs/>
        </w:rPr>
        <w:instrText xml:space="preserve"> </w:instrText>
      </w:r>
      <w:r w:rsidR="00021E2A">
        <w:rPr>
          <w:b/>
          <w:bCs/>
          <w:lang w:val="en-US"/>
        </w:rPr>
        <w:instrText>B</w:instrText>
      </w:r>
      <w:r w:rsidR="00021E2A" w:rsidRPr="00320416">
        <w:rPr>
          <w:b/>
          <w:bCs/>
        </w:rPr>
        <w:instrText>-</w:instrText>
      </w:r>
      <w:r w:rsidR="00021E2A">
        <w:rPr>
          <w:b/>
          <w:bCs/>
          <w:lang w:val="en-US"/>
        </w:rPr>
        <w:instrText>cell</w:instrText>
      </w:r>
      <w:r w:rsidR="00021E2A" w:rsidRPr="00320416">
        <w:rPr>
          <w:b/>
          <w:bCs/>
        </w:rPr>
        <w:instrText xml:space="preserve"> </w:instrText>
      </w:r>
      <w:r w:rsidR="00021E2A">
        <w:rPr>
          <w:b/>
          <w:bCs/>
          <w:lang w:val="en-US"/>
        </w:rPr>
        <w:instrText>lymphoma</w:instrText>
      </w:r>
      <w:r w:rsidR="00021E2A" w:rsidRPr="00320416">
        <w:rPr>
          <w:b/>
          <w:bCs/>
        </w:rPr>
        <w:instrText>","</w:instrText>
      </w:r>
      <w:r w:rsidR="00021E2A">
        <w:rPr>
          <w:b/>
          <w:bCs/>
          <w:lang w:val="en-US"/>
        </w:rPr>
        <w:instrText>type</w:instrText>
      </w:r>
      <w:r w:rsidR="00021E2A" w:rsidRPr="00320416">
        <w:rPr>
          <w:b/>
          <w:bCs/>
        </w:rPr>
        <w:instrText>":"</w:instrText>
      </w:r>
      <w:r w:rsidR="00021E2A">
        <w:rPr>
          <w:b/>
          <w:bCs/>
          <w:lang w:val="en-US"/>
        </w:rPr>
        <w:instrText>article</w:instrText>
      </w:r>
      <w:r w:rsidR="00021E2A" w:rsidRPr="00320416">
        <w:rPr>
          <w:b/>
          <w:bCs/>
        </w:rPr>
        <w:instrText>-</w:instrText>
      </w:r>
      <w:r w:rsidR="00021E2A">
        <w:rPr>
          <w:b/>
          <w:bCs/>
          <w:lang w:val="en-US"/>
        </w:rPr>
        <w:instrText>journal</w:instrText>
      </w:r>
      <w:r w:rsidR="00021E2A" w:rsidRPr="00320416">
        <w:rPr>
          <w:b/>
          <w:bCs/>
        </w:rPr>
        <w:instrText>","</w:instrText>
      </w:r>
      <w:r w:rsidR="00021E2A">
        <w:rPr>
          <w:b/>
          <w:bCs/>
          <w:lang w:val="en-US"/>
        </w:rPr>
        <w:instrText>volume</w:instrText>
      </w:r>
      <w:r w:rsidR="00021E2A" w:rsidRPr="00320416">
        <w:rPr>
          <w:b/>
          <w:bCs/>
        </w:rPr>
        <w:instrText>":"50"},"</w:instrText>
      </w:r>
      <w:r w:rsidR="00021E2A">
        <w:rPr>
          <w:b/>
          <w:bCs/>
          <w:lang w:val="en-US"/>
        </w:rPr>
        <w:instrText>uris</w:instrText>
      </w:r>
      <w:r w:rsidR="00021E2A" w:rsidRPr="00320416">
        <w:rPr>
          <w:b/>
          <w:bCs/>
        </w:rPr>
        <w:instrText>":["</w:instrText>
      </w:r>
      <w:r w:rsidR="00021E2A">
        <w:rPr>
          <w:b/>
          <w:bCs/>
          <w:lang w:val="en-US"/>
        </w:rPr>
        <w:instrText>http</w:instrText>
      </w:r>
      <w:r w:rsidR="00021E2A" w:rsidRPr="00320416">
        <w:rPr>
          <w:b/>
          <w:bCs/>
        </w:rPr>
        <w:instrText>://</w:instrText>
      </w:r>
      <w:r w:rsidR="00021E2A">
        <w:rPr>
          <w:b/>
          <w:bCs/>
          <w:lang w:val="en-US"/>
        </w:rPr>
        <w:instrText>www</w:instrText>
      </w:r>
      <w:r w:rsidR="00021E2A" w:rsidRPr="00320416">
        <w:rPr>
          <w:b/>
          <w:bCs/>
        </w:rPr>
        <w:instrText>.</w:instrText>
      </w:r>
      <w:r w:rsidR="00021E2A">
        <w:rPr>
          <w:b/>
          <w:bCs/>
          <w:lang w:val="en-US"/>
        </w:rPr>
        <w:instrText>mendeley</w:instrText>
      </w:r>
      <w:r w:rsidR="00021E2A" w:rsidRPr="00320416">
        <w:rPr>
          <w:b/>
          <w:bCs/>
        </w:rPr>
        <w:instrText>.</w:instrText>
      </w:r>
      <w:r w:rsidR="00021E2A">
        <w:rPr>
          <w:b/>
          <w:bCs/>
          <w:lang w:val="en-US"/>
        </w:rPr>
        <w:instrText>com</w:instrText>
      </w:r>
      <w:r w:rsidR="00021E2A" w:rsidRPr="00320416">
        <w:rPr>
          <w:b/>
          <w:bCs/>
        </w:rPr>
        <w:instrText>/</w:instrText>
      </w:r>
      <w:r w:rsidR="00021E2A">
        <w:rPr>
          <w:b/>
          <w:bCs/>
          <w:lang w:val="en-US"/>
        </w:rPr>
        <w:instrText>documents</w:instrText>
      </w:r>
      <w:r w:rsidR="00021E2A" w:rsidRPr="00320416">
        <w:rPr>
          <w:b/>
          <w:bCs/>
        </w:rPr>
        <w:instrText>/?</w:instrText>
      </w:r>
      <w:r w:rsidR="00021E2A">
        <w:rPr>
          <w:b/>
          <w:bCs/>
          <w:lang w:val="en-US"/>
        </w:rPr>
        <w:instrText>uuid</w:instrText>
      </w:r>
      <w:r w:rsidR="00021E2A" w:rsidRPr="00320416">
        <w:rPr>
          <w:b/>
          <w:bCs/>
        </w:rPr>
        <w:instrText>=951</w:instrText>
      </w:r>
      <w:r w:rsidR="00021E2A">
        <w:rPr>
          <w:b/>
          <w:bCs/>
          <w:lang w:val="en-US"/>
        </w:rPr>
        <w:instrText>e</w:instrText>
      </w:r>
      <w:r w:rsidR="00021E2A" w:rsidRPr="00320416">
        <w:rPr>
          <w:b/>
          <w:bCs/>
        </w:rPr>
        <w:instrText>19</w:instrText>
      </w:r>
      <w:r w:rsidR="00021E2A">
        <w:rPr>
          <w:b/>
          <w:bCs/>
          <w:lang w:val="en-US"/>
        </w:rPr>
        <w:instrText>d</w:instrText>
      </w:r>
      <w:r w:rsidR="00021E2A" w:rsidRPr="00320416">
        <w:rPr>
          <w:b/>
          <w:bCs/>
        </w:rPr>
        <w:instrText>5-4</w:instrText>
      </w:r>
      <w:r w:rsidR="00021E2A">
        <w:rPr>
          <w:b/>
          <w:bCs/>
          <w:lang w:val="en-US"/>
        </w:rPr>
        <w:instrText>af</w:instrText>
      </w:r>
      <w:r w:rsidR="00021E2A" w:rsidRPr="00320416">
        <w:rPr>
          <w:b/>
          <w:bCs/>
        </w:rPr>
        <w:instrText>0-3134-80</w:instrText>
      </w:r>
      <w:r w:rsidR="00021E2A">
        <w:rPr>
          <w:b/>
          <w:bCs/>
          <w:lang w:val="en-US"/>
        </w:rPr>
        <w:instrText>eb</w:instrText>
      </w:r>
      <w:r w:rsidR="00021E2A" w:rsidRPr="00320416">
        <w:rPr>
          <w:b/>
          <w:bCs/>
        </w:rPr>
        <w:instrText>-</w:instrText>
      </w:r>
      <w:r w:rsidR="00021E2A">
        <w:rPr>
          <w:b/>
          <w:bCs/>
          <w:lang w:val="en-US"/>
        </w:rPr>
        <w:instrText>a</w:instrText>
      </w:r>
      <w:r w:rsidR="00021E2A" w:rsidRPr="00320416">
        <w:rPr>
          <w:b/>
          <w:bCs/>
        </w:rPr>
        <w:instrText>4949</w:instrText>
      </w:r>
      <w:r w:rsidR="00021E2A">
        <w:rPr>
          <w:b/>
          <w:bCs/>
          <w:lang w:val="en-US"/>
        </w:rPr>
        <w:instrText>fbd</w:instrText>
      </w:r>
      <w:r w:rsidR="00021E2A" w:rsidRPr="00320416">
        <w:rPr>
          <w:b/>
          <w:bCs/>
        </w:rPr>
        <w:instrText>2</w:instrText>
      </w:r>
      <w:r w:rsidR="00021E2A">
        <w:rPr>
          <w:b/>
          <w:bCs/>
          <w:lang w:val="en-US"/>
        </w:rPr>
        <w:instrText>f</w:instrText>
      </w:r>
      <w:r w:rsidR="00021E2A" w:rsidRPr="00320416">
        <w:rPr>
          <w:b/>
          <w:bCs/>
        </w:rPr>
        <w:instrText>5</w:instrText>
      </w:r>
      <w:r w:rsidR="00021E2A">
        <w:rPr>
          <w:b/>
          <w:bCs/>
          <w:lang w:val="en-US"/>
        </w:rPr>
        <w:instrText>c</w:instrText>
      </w:r>
      <w:r w:rsidR="00021E2A" w:rsidRPr="00320416">
        <w:rPr>
          <w:b/>
          <w:bCs/>
        </w:rPr>
        <w:instrText>"]}],"</w:instrText>
      </w:r>
      <w:r w:rsidR="00021E2A">
        <w:rPr>
          <w:b/>
          <w:bCs/>
          <w:lang w:val="en-US"/>
        </w:rPr>
        <w:instrText>mendeley</w:instrText>
      </w:r>
      <w:r w:rsidR="00021E2A" w:rsidRPr="00320416">
        <w:rPr>
          <w:b/>
          <w:bCs/>
        </w:rPr>
        <w:instrText>":{"</w:instrText>
      </w:r>
      <w:r w:rsidR="00021E2A">
        <w:rPr>
          <w:b/>
          <w:bCs/>
          <w:lang w:val="en-US"/>
        </w:rPr>
        <w:instrText>formattedCitation</w:instrText>
      </w:r>
      <w:r w:rsidR="00021E2A" w:rsidRPr="00320416">
        <w:rPr>
          <w:b/>
          <w:bCs/>
        </w:rPr>
        <w:instrText>":"[92]","</w:instrText>
      </w:r>
      <w:r w:rsidR="00021E2A">
        <w:rPr>
          <w:b/>
          <w:bCs/>
          <w:lang w:val="en-US"/>
        </w:rPr>
        <w:instrText>plainTextFormattedCitation</w:instrText>
      </w:r>
      <w:r w:rsidR="00021E2A" w:rsidRPr="00320416">
        <w:rPr>
          <w:b/>
          <w:bCs/>
        </w:rPr>
        <w:instrText>":"[92]","</w:instrText>
      </w:r>
      <w:r w:rsidR="00021E2A">
        <w:rPr>
          <w:b/>
          <w:bCs/>
          <w:lang w:val="en-US"/>
        </w:rPr>
        <w:instrText>previouslyFormattedCitation</w:instrText>
      </w:r>
      <w:r w:rsidR="00021E2A" w:rsidRPr="00320416">
        <w:rPr>
          <w:b/>
          <w:bCs/>
        </w:rPr>
        <w:instrText>":"[92]"},"</w:instrText>
      </w:r>
      <w:r w:rsidR="00021E2A">
        <w:rPr>
          <w:b/>
          <w:bCs/>
          <w:lang w:val="en-US"/>
        </w:rPr>
        <w:instrText>properties</w:instrText>
      </w:r>
      <w:r w:rsidR="00021E2A" w:rsidRPr="00320416">
        <w:rPr>
          <w:b/>
          <w:bCs/>
        </w:rPr>
        <w:instrText>":{"</w:instrText>
      </w:r>
      <w:r w:rsidR="00021E2A">
        <w:rPr>
          <w:b/>
          <w:bCs/>
          <w:lang w:val="en-US"/>
        </w:rPr>
        <w:instrText>noteIndex</w:instrText>
      </w:r>
      <w:r w:rsidR="00021E2A" w:rsidRPr="00320416">
        <w:rPr>
          <w:b/>
          <w:bCs/>
        </w:rPr>
        <w:instrText>":0},"</w:instrText>
      </w:r>
      <w:r w:rsidR="00021E2A">
        <w:rPr>
          <w:b/>
          <w:bCs/>
          <w:lang w:val="en-US"/>
        </w:rPr>
        <w:instrText>schema</w:instrText>
      </w:r>
      <w:r w:rsidR="00021E2A" w:rsidRPr="00320416">
        <w:rPr>
          <w:b/>
          <w:bCs/>
        </w:rPr>
        <w:instrText>":"</w:instrText>
      </w:r>
      <w:r w:rsidR="00021E2A">
        <w:rPr>
          <w:b/>
          <w:bCs/>
          <w:lang w:val="en-US"/>
        </w:rPr>
        <w:instrText>https</w:instrText>
      </w:r>
      <w:r w:rsidR="00021E2A" w:rsidRPr="00320416">
        <w:rPr>
          <w:b/>
          <w:bCs/>
        </w:rPr>
        <w:instrText>://</w:instrText>
      </w:r>
      <w:r w:rsidR="00021E2A">
        <w:rPr>
          <w:b/>
          <w:bCs/>
          <w:lang w:val="en-US"/>
        </w:rPr>
        <w:instrText>github</w:instrText>
      </w:r>
      <w:r w:rsidR="00021E2A" w:rsidRPr="00320416">
        <w:rPr>
          <w:b/>
          <w:bCs/>
        </w:rPr>
        <w:instrText>.</w:instrText>
      </w:r>
      <w:r w:rsidR="00021E2A">
        <w:rPr>
          <w:b/>
          <w:bCs/>
          <w:lang w:val="en-US"/>
        </w:rPr>
        <w:instrText>com</w:instrText>
      </w:r>
      <w:r w:rsidR="00021E2A" w:rsidRPr="00320416">
        <w:rPr>
          <w:b/>
          <w:bCs/>
        </w:rPr>
        <w:instrText>/</w:instrText>
      </w:r>
      <w:r w:rsidR="00021E2A">
        <w:rPr>
          <w:b/>
          <w:bCs/>
          <w:lang w:val="en-US"/>
        </w:rPr>
        <w:instrText>citation</w:instrText>
      </w:r>
      <w:r w:rsidR="00021E2A" w:rsidRPr="00320416">
        <w:rPr>
          <w:b/>
          <w:bCs/>
        </w:rPr>
        <w:instrText>-</w:instrText>
      </w:r>
      <w:r w:rsidR="00021E2A">
        <w:rPr>
          <w:b/>
          <w:bCs/>
          <w:lang w:val="en-US"/>
        </w:rPr>
        <w:instrText>style</w:instrText>
      </w:r>
      <w:r w:rsidR="00021E2A" w:rsidRPr="00320416">
        <w:rPr>
          <w:b/>
          <w:bCs/>
        </w:rPr>
        <w:instrText>-</w:instrText>
      </w:r>
      <w:r w:rsidR="00021E2A">
        <w:rPr>
          <w:b/>
          <w:bCs/>
          <w:lang w:val="en-US"/>
        </w:rPr>
        <w:instrText>language</w:instrText>
      </w:r>
      <w:r w:rsidR="00021E2A" w:rsidRPr="00320416">
        <w:rPr>
          <w:b/>
          <w:bCs/>
        </w:rPr>
        <w:instrText>/</w:instrText>
      </w:r>
      <w:r w:rsidR="00021E2A">
        <w:rPr>
          <w:b/>
          <w:bCs/>
          <w:lang w:val="en-US"/>
        </w:rPr>
        <w:instrText>schema</w:instrText>
      </w:r>
      <w:r w:rsidR="00021E2A" w:rsidRPr="00320416">
        <w:rPr>
          <w:b/>
          <w:bCs/>
        </w:rPr>
        <w:instrText>/</w:instrText>
      </w:r>
      <w:r w:rsidR="00021E2A">
        <w:rPr>
          <w:b/>
          <w:bCs/>
          <w:lang w:val="en-US"/>
        </w:rPr>
        <w:instrText>raw</w:instrText>
      </w:r>
      <w:r w:rsidR="00021E2A" w:rsidRPr="00320416">
        <w:rPr>
          <w:b/>
          <w:bCs/>
        </w:rPr>
        <w:instrText>/</w:instrText>
      </w:r>
      <w:r w:rsidR="00021E2A">
        <w:rPr>
          <w:b/>
          <w:bCs/>
          <w:lang w:val="en-US"/>
        </w:rPr>
        <w:instrText>master</w:instrText>
      </w:r>
      <w:r w:rsidR="00021E2A" w:rsidRPr="00320416">
        <w:rPr>
          <w:b/>
          <w:bCs/>
        </w:rPr>
        <w:instrText>/</w:instrText>
      </w:r>
      <w:r w:rsidR="00021E2A">
        <w:rPr>
          <w:b/>
          <w:bCs/>
          <w:lang w:val="en-US"/>
        </w:rPr>
        <w:instrText>csl</w:instrText>
      </w:r>
      <w:r w:rsidR="00021E2A" w:rsidRPr="00320416">
        <w:rPr>
          <w:b/>
          <w:bCs/>
        </w:rPr>
        <w:instrText>-</w:instrText>
      </w:r>
      <w:r w:rsidR="00021E2A">
        <w:rPr>
          <w:b/>
          <w:bCs/>
          <w:lang w:val="en-US"/>
        </w:rPr>
        <w:instrText>citation</w:instrText>
      </w:r>
      <w:r w:rsidR="00021E2A" w:rsidRPr="00320416">
        <w:rPr>
          <w:b/>
          <w:bCs/>
        </w:rPr>
        <w:instrText>.</w:instrText>
      </w:r>
      <w:r w:rsidR="00021E2A">
        <w:rPr>
          <w:b/>
          <w:bCs/>
          <w:lang w:val="en-US"/>
        </w:rPr>
        <w:instrText>json</w:instrText>
      </w:r>
      <w:r w:rsidR="00021E2A" w:rsidRPr="00320416">
        <w:rPr>
          <w:b/>
          <w:bCs/>
        </w:rPr>
        <w:instrText>"}</w:instrText>
      </w:r>
      <w:r w:rsidRPr="000322E4">
        <w:rPr>
          <w:b/>
          <w:bCs/>
          <w:lang w:val="en-US"/>
        </w:rPr>
        <w:fldChar w:fldCharType="separate"/>
      </w:r>
      <w:r w:rsidR="009D170B" w:rsidRPr="009D170B">
        <w:rPr>
          <w:bCs/>
          <w:noProof/>
        </w:rPr>
        <w:t>[92]</w:t>
      </w:r>
      <w:r w:rsidRPr="000322E4">
        <w:rPr>
          <w:b/>
          <w:bCs/>
          <w:lang w:val="en-US"/>
        </w:rPr>
        <w:fldChar w:fldCharType="end"/>
      </w:r>
    </w:p>
    <w:p w14:paraId="0AA9ADF8" w14:textId="77777777" w:rsidR="00666D68" w:rsidRPr="00293AC8" w:rsidRDefault="00666D68" w:rsidP="008E3584">
      <w:pPr>
        <w:numPr>
          <w:ilvl w:val="0"/>
          <w:numId w:val="42"/>
        </w:numPr>
        <w:spacing w:line="360" w:lineRule="auto"/>
        <w:jc w:val="both"/>
      </w:pPr>
      <w:r w:rsidRPr="000322E4">
        <w:t>Ритуксимаб</w:t>
      </w:r>
      <w:r w:rsidRPr="00293AC8">
        <w:rPr>
          <w:bCs/>
        </w:rPr>
        <w:t>**</w:t>
      </w:r>
      <w:r w:rsidRPr="00293AC8">
        <w:t xml:space="preserve"> </w:t>
      </w:r>
    </w:p>
    <w:p w14:paraId="2A83B0CD" w14:textId="77777777" w:rsidR="00666D68" w:rsidRPr="00293AC8" w:rsidRDefault="00666D68" w:rsidP="008E3584">
      <w:pPr>
        <w:numPr>
          <w:ilvl w:val="1"/>
          <w:numId w:val="42"/>
        </w:numPr>
        <w:spacing w:line="360" w:lineRule="auto"/>
        <w:jc w:val="both"/>
      </w:pPr>
      <w:r w:rsidRPr="00293AC8">
        <w:t xml:space="preserve">375 </w:t>
      </w:r>
      <w:r w:rsidRPr="000322E4">
        <w:t>мг</w:t>
      </w:r>
      <w:r w:rsidRPr="00293AC8">
        <w:t>/</w:t>
      </w:r>
      <w:r w:rsidRPr="000322E4">
        <w:t>м</w:t>
      </w:r>
      <w:r w:rsidRPr="00293AC8">
        <w:rPr>
          <w:vertAlign w:val="superscript"/>
        </w:rPr>
        <w:t>2</w:t>
      </w:r>
      <w:r w:rsidRPr="00293AC8">
        <w:t xml:space="preserve"> </w:t>
      </w:r>
      <w:r w:rsidRPr="000322E4">
        <w:t>в</w:t>
      </w:r>
      <w:r w:rsidRPr="00293AC8">
        <w:t>/</w:t>
      </w:r>
      <w:r w:rsidRPr="000322E4">
        <w:t>в</w:t>
      </w:r>
      <w:r w:rsidRPr="00293AC8">
        <w:t xml:space="preserve"> </w:t>
      </w:r>
      <w:r w:rsidRPr="000322E4">
        <w:t>кап</w:t>
      </w:r>
      <w:r w:rsidRPr="00293AC8">
        <w:t xml:space="preserve">., </w:t>
      </w:r>
      <w:r w:rsidRPr="000322E4">
        <w:t>день</w:t>
      </w:r>
      <w:r w:rsidRPr="00293AC8">
        <w:t xml:space="preserve"> 1, </w:t>
      </w:r>
      <w:r w:rsidRPr="000322E4">
        <w:t>нед</w:t>
      </w:r>
      <w:r w:rsidRPr="00293AC8">
        <w:t xml:space="preserve">. 1, 3, 5, 7, 9, 11 </w:t>
      </w:r>
    </w:p>
    <w:p w14:paraId="19227AAC" w14:textId="77777777" w:rsidR="00666D68" w:rsidRPr="00293AC8" w:rsidRDefault="00666D68" w:rsidP="008E3584">
      <w:pPr>
        <w:spacing w:line="360" w:lineRule="auto"/>
        <w:ind w:left="1440"/>
        <w:jc w:val="both"/>
      </w:pPr>
      <w:r w:rsidRPr="000322E4">
        <w:t>или</w:t>
      </w:r>
    </w:p>
    <w:p w14:paraId="5AC8D5ED" w14:textId="1B392F3F" w:rsidR="00666D68" w:rsidRPr="00293AC8" w:rsidRDefault="00666D68" w:rsidP="008E3584">
      <w:pPr>
        <w:numPr>
          <w:ilvl w:val="1"/>
          <w:numId w:val="42"/>
        </w:numPr>
        <w:spacing w:line="360" w:lineRule="auto"/>
        <w:jc w:val="both"/>
      </w:pPr>
      <w:r w:rsidRPr="00293AC8">
        <w:t xml:space="preserve">375 </w:t>
      </w:r>
      <w:r w:rsidRPr="000322E4">
        <w:t>мг</w:t>
      </w:r>
      <w:r w:rsidRPr="00293AC8">
        <w:t>/</w:t>
      </w:r>
      <w:r w:rsidRPr="000322E4">
        <w:t>м</w:t>
      </w:r>
      <w:r w:rsidRPr="00293AC8">
        <w:rPr>
          <w:vertAlign w:val="superscript"/>
        </w:rPr>
        <w:t>2</w:t>
      </w:r>
      <w:r w:rsidRPr="00293AC8">
        <w:t xml:space="preserve"> </w:t>
      </w:r>
      <w:r w:rsidRPr="000322E4">
        <w:t>в</w:t>
      </w:r>
      <w:r w:rsidRPr="00293AC8">
        <w:t>/</w:t>
      </w:r>
      <w:r w:rsidRPr="000322E4">
        <w:t>в</w:t>
      </w:r>
      <w:r w:rsidRPr="00293AC8">
        <w:t xml:space="preserve"> </w:t>
      </w:r>
      <w:r w:rsidRPr="000322E4">
        <w:t>кап</w:t>
      </w:r>
      <w:r w:rsidRPr="00293AC8">
        <w:t xml:space="preserve">. 1 </w:t>
      </w:r>
      <w:r w:rsidRPr="000322E4">
        <w:t>день</w:t>
      </w:r>
      <w:r w:rsidRPr="00293AC8">
        <w:t xml:space="preserve"> 1 </w:t>
      </w:r>
      <w:r w:rsidRPr="000322E4">
        <w:t>нед</w:t>
      </w:r>
      <w:r w:rsidRPr="00293AC8">
        <w:t xml:space="preserve">., </w:t>
      </w:r>
      <w:r w:rsidRPr="000322E4">
        <w:t>далее</w:t>
      </w:r>
      <w:r w:rsidRPr="00293AC8">
        <w:t xml:space="preserve"> </w:t>
      </w:r>
      <w:r w:rsidRPr="000322E4">
        <w:t>ритуксимаб</w:t>
      </w:r>
      <w:r w:rsidRPr="00293AC8">
        <w:t xml:space="preserve"> 1400 </w:t>
      </w:r>
      <w:r w:rsidRPr="000322E4">
        <w:t>мг</w:t>
      </w:r>
      <w:r w:rsidRPr="00293AC8">
        <w:t xml:space="preserve"> </w:t>
      </w:r>
      <w:r w:rsidRPr="000322E4">
        <w:t>п</w:t>
      </w:r>
      <w:r w:rsidRPr="00293AC8">
        <w:t>/</w:t>
      </w:r>
      <w:r w:rsidRPr="000322E4">
        <w:t>к</w:t>
      </w:r>
      <w:r w:rsidRPr="00293AC8">
        <w:t xml:space="preserve">, </w:t>
      </w:r>
      <w:r w:rsidRPr="000322E4">
        <w:t>день</w:t>
      </w:r>
      <w:r w:rsidRPr="00293AC8">
        <w:t xml:space="preserve"> 1, </w:t>
      </w:r>
      <w:r w:rsidRPr="000322E4">
        <w:t>нед</w:t>
      </w:r>
      <w:r w:rsidRPr="00293AC8">
        <w:t xml:space="preserve">. 3, 5, 7, 9, 11 </w:t>
      </w:r>
      <w:r w:rsidRPr="000322E4">
        <w:rPr>
          <w:lang w:val="en-US"/>
        </w:rPr>
        <w:fldChar w:fldCharType="begin" w:fldLock="1"/>
      </w:r>
      <w:r w:rsidR="00A6794A">
        <w:rPr>
          <w:lang w:val="en-US"/>
        </w:rPr>
        <w:instrText>ADDIN</w:instrText>
      </w:r>
      <w:r w:rsidR="00A6794A" w:rsidRPr="00D3550C">
        <w:instrText xml:space="preserve"> </w:instrText>
      </w:r>
      <w:r w:rsidR="00A6794A">
        <w:rPr>
          <w:lang w:val="en-US"/>
        </w:rPr>
        <w:instrText>CSL</w:instrText>
      </w:r>
      <w:r w:rsidR="00A6794A" w:rsidRPr="00D3550C">
        <w:instrText>_</w:instrText>
      </w:r>
      <w:r w:rsidR="00A6794A">
        <w:rPr>
          <w:lang w:val="en-US"/>
        </w:rPr>
        <w:instrText>CITATION</w:instrText>
      </w:r>
      <w:r w:rsidR="00A6794A" w:rsidRPr="00D3550C">
        <w:instrText xml:space="preserve"> {"</w:instrText>
      </w:r>
      <w:r w:rsidR="00A6794A">
        <w:rPr>
          <w:lang w:val="en-US"/>
        </w:rPr>
        <w:instrText>citationItems</w:instrText>
      </w:r>
      <w:r w:rsidR="00A6794A" w:rsidRPr="00D3550C">
        <w:instrText>":[{"</w:instrText>
      </w:r>
      <w:r w:rsidR="00A6794A">
        <w:rPr>
          <w:lang w:val="en-US"/>
        </w:rPr>
        <w:instrText>id</w:instrText>
      </w:r>
      <w:r w:rsidR="00A6794A" w:rsidRPr="00D3550C">
        <w:instrText>":"</w:instrText>
      </w:r>
      <w:r w:rsidR="00A6794A">
        <w:rPr>
          <w:lang w:val="en-US"/>
        </w:rPr>
        <w:instrText>ITEM</w:instrText>
      </w:r>
      <w:r w:rsidR="00A6794A" w:rsidRPr="00D3550C">
        <w:instrText>-1","</w:instrText>
      </w:r>
      <w:r w:rsidR="00A6794A">
        <w:rPr>
          <w:lang w:val="en-US"/>
        </w:rPr>
        <w:instrText>itemData</w:instrText>
      </w:r>
      <w:r w:rsidR="00A6794A" w:rsidRPr="00D3550C">
        <w:instrText>":{"</w:instrText>
      </w:r>
      <w:r w:rsidR="00A6794A">
        <w:rPr>
          <w:lang w:val="en-US"/>
        </w:rPr>
        <w:instrText>ISSN</w:instrText>
      </w:r>
      <w:r w:rsidR="00A6794A" w:rsidRPr="00D3550C">
        <w:instrText>":"2150-0878","</w:instrText>
      </w:r>
      <w:r w:rsidR="00A6794A">
        <w:rPr>
          <w:lang w:val="en-US"/>
        </w:rPr>
        <w:instrText>PMID</w:instrText>
      </w:r>
      <w:r w:rsidR="00A6794A" w:rsidRPr="00D3550C">
        <w:instrText>":"31086689","</w:instrText>
      </w:r>
      <w:r w:rsidR="00A6794A">
        <w:rPr>
          <w:lang w:val="en-US"/>
        </w:rPr>
        <w:instrText>abstract</w:instrText>
      </w:r>
      <w:r w:rsidR="00A6794A" w:rsidRPr="00D3550C">
        <w:instrText>":"</w:instrText>
      </w:r>
      <w:r w:rsidR="00A6794A">
        <w:rPr>
          <w:lang w:val="en-US"/>
        </w:rPr>
        <w:instrText>Rituximab</w:instrText>
      </w:r>
      <w:r w:rsidR="00A6794A" w:rsidRPr="00D3550C">
        <w:instrText xml:space="preserve"> </w:instrText>
      </w:r>
      <w:r w:rsidR="00A6794A">
        <w:rPr>
          <w:lang w:val="en-US"/>
        </w:rPr>
        <w:instrText>and</w:instrText>
      </w:r>
      <w:r w:rsidR="00A6794A" w:rsidRPr="00D3550C">
        <w:instrText xml:space="preserve"> </w:instrText>
      </w:r>
      <w:r w:rsidR="00A6794A">
        <w:rPr>
          <w:lang w:val="en-US"/>
        </w:rPr>
        <w:instrText>hyaluronidase</w:instrText>
      </w:r>
      <w:r w:rsidR="00A6794A" w:rsidRPr="00D3550C">
        <w:instrText xml:space="preserve"> </w:instrText>
      </w:r>
      <w:r w:rsidR="00A6794A">
        <w:rPr>
          <w:lang w:val="en-US"/>
        </w:rPr>
        <w:instrText>human</w:instrText>
      </w:r>
      <w:r w:rsidR="00A6794A" w:rsidRPr="00D3550C">
        <w:instrText xml:space="preserve"> </w:instrText>
      </w:r>
      <w:r w:rsidR="00A6794A">
        <w:rPr>
          <w:lang w:val="en-US"/>
        </w:rPr>
        <w:instrText>is</w:instrText>
      </w:r>
      <w:r w:rsidR="00A6794A" w:rsidRPr="00D3550C">
        <w:instrText xml:space="preserve"> </w:instrText>
      </w:r>
      <w:r w:rsidR="00A6794A">
        <w:rPr>
          <w:lang w:val="en-US"/>
        </w:rPr>
        <w:instrText>a</w:instrText>
      </w:r>
      <w:r w:rsidR="00A6794A" w:rsidRPr="00D3550C">
        <w:instrText xml:space="preserve"> </w:instrText>
      </w:r>
      <w:r w:rsidR="00A6794A">
        <w:rPr>
          <w:lang w:val="en-US"/>
        </w:rPr>
        <w:instrText>new</w:instrText>
      </w:r>
      <w:r w:rsidR="00A6794A" w:rsidRPr="00D3550C">
        <w:instrText xml:space="preserve"> </w:instrText>
      </w:r>
      <w:r w:rsidR="00A6794A">
        <w:rPr>
          <w:lang w:val="en-US"/>
        </w:rPr>
        <w:instrText>subcutaneous</w:instrText>
      </w:r>
      <w:r w:rsidR="00A6794A" w:rsidRPr="00D3550C">
        <w:instrText xml:space="preserve"> </w:instrText>
      </w:r>
      <w:r w:rsidR="00A6794A">
        <w:rPr>
          <w:lang w:val="en-US"/>
        </w:rPr>
        <w:instrText>formulation</w:instrText>
      </w:r>
      <w:r w:rsidR="00A6794A" w:rsidRPr="00D3550C">
        <w:instrText xml:space="preserve"> </w:instrText>
      </w:r>
      <w:r w:rsidR="00A6794A">
        <w:rPr>
          <w:lang w:val="en-US"/>
        </w:rPr>
        <w:instrText>of</w:instrText>
      </w:r>
      <w:r w:rsidR="00A6794A" w:rsidRPr="00D3550C">
        <w:instrText xml:space="preserve"> </w:instrText>
      </w:r>
      <w:r w:rsidR="00A6794A">
        <w:rPr>
          <w:lang w:val="en-US"/>
        </w:rPr>
        <w:instrText>rituximab</w:instrText>
      </w:r>
      <w:r w:rsidR="00A6794A" w:rsidRPr="00D3550C">
        <w:instrText xml:space="preserve"> </w:instrText>
      </w:r>
      <w:r w:rsidR="00A6794A">
        <w:rPr>
          <w:lang w:val="en-US"/>
        </w:rPr>
        <w:instrText>that</w:instrText>
      </w:r>
      <w:r w:rsidR="00A6794A" w:rsidRPr="00D3550C">
        <w:instrText xml:space="preserve"> </w:instrText>
      </w:r>
      <w:r w:rsidR="00A6794A">
        <w:rPr>
          <w:lang w:val="en-US"/>
        </w:rPr>
        <w:instrText>was</w:instrText>
      </w:r>
      <w:r w:rsidR="00A6794A" w:rsidRPr="00D3550C">
        <w:instrText xml:space="preserve"> </w:instrText>
      </w:r>
      <w:r w:rsidR="00A6794A">
        <w:rPr>
          <w:lang w:val="en-US"/>
        </w:rPr>
        <w:instrText>recently</w:instrText>
      </w:r>
      <w:r w:rsidR="00A6794A" w:rsidRPr="00D3550C">
        <w:instrText xml:space="preserve"> </w:instrText>
      </w:r>
      <w:r w:rsidR="00A6794A">
        <w:rPr>
          <w:lang w:val="en-US"/>
        </w:rPr>
        <w:instrText>approved</w:instrText>
      </w:r>
      <w:r w:rsidR="00A6794A" w:rsidRPr="00D3550C">
        <w:instrText xml:space="preserve"> </w:instrText>
      </w:r>
      <w:r w:rsidR="00A6794A">
        <w:rPr>
          <w:lang w:val="en-US"/>
        </w:rPr>
        <w:instrText>by</w:instrText>
      </w:r>
      <w:r w:rsidR="00A6794A" w:rsidRPr="00D3550C">
        <w:instrText xml:space="preserve"> </w:instrText>
      </w:r>
      <w:r w:rsidR="00A6794A">
        <w:rPr>
          <w:lang w:val="en-US"/>
        </w:rPr>
        <w:instrText>the</w:instrText>
      </w:r>
      <w:r w:rsidR="00A6794A" w:rsidRPr="00D3550C">
        <w:instrText xml:space="preserve"> </w:instrText>
      </w:r>
      <w:r w:rsidR="00A6794A">
        <w:rPr>
          <w:lang w:val="en-US"/>
        </w:rPr>
        <w:instrText>US</w:instrText>
      </w:r>
      <w:r w:rsidR="00A6794A" w:rsidRPr="00D3550C">
        <w:instrText xml:space="preserve"> </w:instrText>
      </w:r>
      <w:r w:rsidR="00A6794A">
        <w:rPr>
          <w:lang w:val="en-US"/>
        </w:rPr>
        <w:instrText>Food</w:instrText>
      </w:r>
      <w:r w:rsidR="00A6794A" w:rsidRPr="00D3550C">
        <w:instrText xml:space="preserve"> </w:instrText>
      </w:r>
      <w:r w:rsidR="00A6794A">
        <w:rPr>
          <w:lang w:val="en-US"/>
        </w:rPr>
        <w:instrText>and</w:instrText>
      </w:r>
      <w:r w:rsidR="00A6794A" w:rsidRPr="00D3550C">
        <w:instrText xml:space="preserve"> </w:instrText>
      </w:r>
      <w:r w:rsidR="00A6794A">
        <w:rPr>
          <w:lang w:val="en-US"/>
        </w:rPr>
        <w:instrText>Drug</w:instrText>
      </w:r>
      <w:r w:rsidR="00A6794A" w:rsidRPr="00D3550C">
        <w:instrText xml:space="preserve"> </w:instrText>
      </w:r>
      <w:r w:rsidR="00A6794A">
        <w:rPr>
          <w:lang w:val="en-US"/>
        </w:rPr>
        <w:instrText>Administration</w:instrText>
      </w:r>
      <w:r w:rsidR="00A6794A" w:rsidRPr="00D3550C">
        <w:instrText xml:space="preserve"> </w:instrText>
      </w:r>
      <w:r w:rsidR="00A6794A">
        <w:rPr>
          <w:lang w:val="en-US"/>
        </w:rPr>
        <w:instrText>for</w:instrText>
      </w:r>
      <w:r w:rsidR="00A6794A" w:rsidRPr="00D3550C">
        <w:instrText xml:space="preserve"> </w:instrText>
      </w:r>
      <w:r w:rsidR="00A6794A">
        <w:rPr>
          <w:lang w:val="en-US"/>
        </w:rPr>
        <w:instrText>the</w:instrText>
      </w:r>
      <w:r w:rsidR="00A6794A" w:rsidRPr="00D3550C">
        <w:instrText xml:space="preserve"> </w:instrText>
      </w:r>
      <w:r w:rsidR="00A6794A">
        <w:rPr>
          <w:lang w:val="en-US"/>
        </w:rPr>
        <w:instrText>treatment</w:instrText>
      </w:r>
      <w:r w:rsidR="00A6794A" w:rsidRPr="00D3550C">
        <w:instrText xml:space="preserve"> </w:instrText>
      </w:r>
      <w:r w:rsidR="00A6794A">
        <w:rPr>
          <w:lang w:val="en-US"/>
        </w:rPr>
        <w:instrText>of</w:instrText>
      </w:r>
      <w:r w:rsidR="00A6794A" w:rsidRPr="00D3550C">
        <w:instrText xml:space="preserve"> </w:instrText>
      </w:r>
      <w:r w:rsidR="00A6794A">
        <w:rPr>
          <w:lang w:val="en-US"/>
        </w:rPr>
        <w:instrText>adults</w:instrText>
      </w:r>
      <w:r w:rsidR="00A6794A" w:rsidRPr="00D3550C">
        <w:instrText xml:space="preserve"> </w:instrText>
      </w:r>
      <w:r w:rsidR="00A6794A">
        <w:rPr>
          <w:lang w:val="en-US"/>
        </w:rPr>
        <w:instrText>with</w:instrText>
      </w:r>
      <w:r w:rsidR="00A6794A" w:rsidRPr="00D3550C">
        <w:instrText xml:space="preserve"> </w:instrText>
      </w:r>
      <w:r w:rsidR="00A6794A">
        <w:rPr>
          <w:lang w:val="en-US"/>
        </w:rPr>
        <w:instrText>follicular</w:instrText>
      </w:r>
      <w:r w:rsidR="00A6794A" w:rsidRPr="00D3550C">
        <w:instrText xml:space="preserve"> </w:instrText>
      </w:r>
      <w:r w:rsidR="00A6794A">
        <w:rPr>
          <w:lang w:val="en-US"/>
        </w:rPr>
        <w:instrText>lymphoma</w:instrText>
      </w:r>
      <w:r w:rsidR="00A6794A" w:rsidRPr="00D3550C">
        <w:instrText xml:space="preserve">, </w:instrText>
      </w:r>
      <w:r w:rsidR="00A6794A">
        <w:rPr>
          <w:lang w:val="en-US"/>
        </w:rPr>
        <w:instrText>diffuse</w:instrText>
      </w:r>
      <w:r w:rsidR="00A6794A" w:rsidRPr="00D3550C">
        <w:instrText xml:space="preserve"> </w:instrText>
      </w:r>
      <w:r w:rsidR="00A6794A">
        <w:rPr>
          <w:lang w:val="en-US"/>
        </w:rPr>
        <w:instrText>large</w:instrText>
      </w:r>
      <w:r w:rsidR="00A6794A" w:rsidRPr="00D3550C">
        <w:instrText xml:space="preserve"> </w:instrText>
      </w:r>
      <w:r w:rsidR="00A6794A">
        <w:rPr>
          <w:lang w:val="en-US"/>
        </w:rPr>
        <w:instrText>B</w:instrText>
      </w:r>
      <w:r w:rsidR="00A6794A" w:rsidRPr="00D3550C">
        <w:instrText>-</w:instrText>
      </w:r>
      <w:r w:rsidR="00A6794A">
        <w:rPr>
          <w:lang w:val="en-US"/>
        </w:rPr>
        <w:instrText>cell</w:instrText>
      </w:r>
      <w:r w:rsidR="00A6794A" w:rsidRPr="00D3550C">
        <w:instrText xml:space="preserve"> </w:instrText>
      </w:r>
      <w:r w:rsidR="00A6794A">
        <w:rPr>
          <w:lang w:val="en-US"/>
        </w:rPr>
        <w:instrText>lymphoma</w:instrText>
      </w:r>
      <w:r w:rsidR="00A6794A" w:rsidRPr="00D3550C">
        <w:instrText xml:space="preserve">, </w:instrText>
      </w:r>
      <w:r w:rsidR="00A6794A">
        <w:rPr>
          <w:lang w:val="en-US"/>
        </w:rPr>
        <w:instrText>and</w:instrText>
      </w:r>
      <w:r w:rsidR="00A6794A" w:rsidRPr="00D3550C">
        <w:instrText xml:space="preserve"> </w:instrText>
      </w:r>
      <w:r w:rsidR="00A6794A">
        <w:rPr>
          <w:lang w:val="en-US"/>
        </w:rPr>
        <w:instrText>chronic</w:instrText>
      </w:r>
      <w:r w:rsidR="00A6794A" w:rsidRPr="00D3550C">
        <w:instrText xml:space="preserve"> </w:instrText>
      </w:r>
      <w:r w:rsidR="00A6794A">
        <w:rPr>
          <w:lang w:val="en-US"/>
        </w:rPr>
        <w:instrText>lymphocytic</w:instrText>
      </w:r>
      <w:r w:rsidR="00A6794A" w:rsidRPr="00D3550C">
        <w:instrText xml:space="preserve"> </w:instrText>
      </w:r>
      <w:r w:rsidR="00A6794A">
        <w:rPr>
          <w:lang w:val="en-US"/>
        </w:rPr>
        <w:instrText>leukemia</w:instrText>
      </w:r>
      <w:r w:rsidR="00A6794A" w:rsidRPr="00D3550C">
        <w:instrText xml:space="preserve">. </w:instrText>
      </w:r>
      <w:r w:rsidR="00A6794A">
        <w:rPr>
          <w:lang w:val="en-US"/>
        </w:rPr>
        <w:instrText>With</w:instrText>
      </w:r>
      <w:r w:rsidR="00A6794A" w:rsidRPr="00D3550C">
        <w:instrText xml:space="preserve"> </w:instrText>
      </w:r>
      <w:r w:rsidR="00A6794A">
        <w:rPr>
          <w:lang w:val="en-US"/>
        </w:rPr>
        <w:instrText>data</w:instrText>
      </w:r>
      <w:r w:rsidR="00A6794A" w:rsidRPr="00D3550C">
        <w:instrText xml:space="preserve"> </w:instrText>
      </w:r>
      <w:r w:rsidR="00A6794A">
        <w:rPr>
          <w:lang w:val="en-US"/>
        </w:rPr>
        <w:instrText>to</w:instrText>
      </w:r>
      <w:r w:rsidR="00A6794A" w:rsidRPr="00D3550C">
        <w:instrText xml:space="preserve"> </w:instrText>
      </w:r>
      <w:r w:rsidR="00A6794A">
        <w:rPr>
          <w:lang w:val="en-US"/>
        </w:rPr>
        <w:instrText>support</w:instrText>
      </w:r>
      <w:r w:rsidR="00A6794A" w:rsidRPr="00D3550C">
        <w:instrText xml:space="preserve"> </w:instrText>
      </w:r>
      <w:r w:rsidR="00A6794A">
        <w:rPr>
          <w:lang w:val="en-US"/>
        </w:rPr>
        <w:instrText>noninferior</w:instrText>
      </w:r>
      <w:r w:rsidR="00A6794A" w:rsidRPr="00D3550C">
        <w:instrText xml:space="preserve"> </w:instrText>
      </w:r>
      <w:r w:rsidR="00A6794A">
        <w:rPr>
          <w:lang w:val="en-US"/>
        </w:rPr>
        <w:instrText>pharmacokinetics</w:instrText>
      </w:r>
      <w:r w:rsidR="00A6794A" w:rsidRPr="00D3550C">
        <w:instrText xml:space="preserve">, </w:instrText>
      </w:r>
      <w:r w:rsidR="00A6794A">
        <w:rPr>
          <w:lang w:val="en-US"/>
        </w:rPr>
        <w:instrText>similar</w:instrText>
      </w:r>
      <w:r w:rsidR="00A6794A" w:rsidRPr="00D3550C">
        <w:instrText xml:space="preserve"> </w:instrText>
      </w:r>
      <w:r w:rsidR="00A6794A">
        <w:rPr>
          <w:lang w:val="en-US"/>
        </w:rPr>
        <w:instrText>outcomes</w:instrText>
      </w:r>
      <w:r w:rsidR="00A6794A" w:rsidRPr="00D3550C">
        <w:instrText xml:space="preserve">, </w:instrText>
      </w:r>
      <w:r w:rsidR="00A6794A">
        <w:rPr>
          <w:lang w:val="en-US"/>
        </w:rPr>
        <w:instrText>and</w:instrText>
      </w:r>
      <w:r w:rsidR="00A6794A" w:rsidRPr="00D3550C">
        <w:instrText xml:space="preserve"> </w:instrText>
      </w:r>
      <w:r w:rsidR="00A6794A">
        <w:rPr>
          <w:lang w:val="en-US"/>
        </w:rPr>
        <w:instrText>comparable</w:instrText>
      </w:r>
      <w:r w:rsidR="00A6794A" w:rsidRPr="00D3550C">
        <w:instrText xml:space="preserve"> </w:instrText>
      </w:r>
      <w:r w:rsidR="00A6794A">
        <w:rPr>
          <w:lang w:val="en-US"/>
        </w:rPr>
        <w:instrText>adverse</w:instrText>
      </w:r>
      <w:r w:rsidR="00A6794A" w:rsidRPr="00D3550C">
        <w:instrText xml:space="preserve"> </w:instrText>
      </w:r>
      <w:r w:rsidR="00A6794A">
        <w:rPr>
          <w:lang w:val="en-US"/>
        </w:rPr>
        <w:instrText>events</w:instrText>
      </w:r>
      <w:r w:rsidR="00A6794A" w:rsidRPr="00D3550C">
        <w:instrText xml:space="preserve">, </w:instrText>
      </w:r>
      <w:r w:rsidR="00A6794A">
        <w:rPr>
          <w:lang w:val="en-US"/>
        </w:rPr>
        <w:instrText>rituximab</w:instrText>
      </w:r>
      <w:r w:rsidR="00A6794A" w:rsidRPr="00D3550C">
        <w:instrText xml:space="preserve"> </w:instrText>
      </w:r>
      <w:r w:rsidR="00A6794A">
        <w:rPr>
          <w:lang w:val="en-US"/>
        </w:rPr>
        <w:instrText>and</w:instrText>
      </w:r>
      <w:r w:rsidR="00A6794A" w:rsidRPr="00D3550C">
        <w:instrText xml:space="preserve"> </w:instrText>
      </w:r>
      <w:r w:rsidR="00A6794A">
        <w:rPr>
          <w:lang w:val="en-US"/>
        </w:rPr>
        <w:instrText>hyaluronidase</w:instrText>
      </w:r>
      <w:r w:rsidR="00A6794A" w:rsidRPr="00D3550C">
        <w:instrText xml:space="preserve"> </w:instrText>
      </w:r>
      <w:r w:rsidR="00A6794A">
        <w:rPr>
          <w:lang w:val="en-US"/>
        </w:rPr>
        <w:instrText>human</w:instrText>
      </w:r>
      <w:r w:rsidR="00A6794A" w:rsidRPr="00D3550C">
        <w:instrText xml:space="preserve"> </w:instrText>
      </w:r>
      <w:r w:rsidR="00A6794A">
        <w:rPr>
          <w:lang w:val="en-US"/>
        </w:rPr>
        <w:instrText>may</w:instrText>
      </w:r>
      <w:r w:rsidR="00A6794A" w:rsidRPr="00D3550C">
        <w:instrText xml:space="preserve"> </w:instrText>
      </w:r>
      <w:r w:rsidR="00A6794A">
        <w:rPr>
          <w:lang w:val="en-US"/>
        </w:rPr>
        <w:instrText>offer</w:instrText>
      </w:r>
      <w:r w:rsidR="00A6794A" w:rsidRPr="00D3550C">
        <w:instrText xml:space="preserve"> </w:instrText>
      </w:r>
      <w:r w:rsidR="00A6794A">
        <w:rPr>
          <w:lang w:val="en-US"/>
        </w:rPr>
        <w:instrText>a</w:instrText>
      </w:r>
      <w:r w:rsidR="00A6794A" w:rsidRPr="00D3550C">
        <w:instrText xml:space="preserve"> </w:instrText>
      </w:r>
      <w:r w:rsidR="00A6794A">
        <w:rPr>
          <w:lang w:val="en-US"/>
        </w:rPr>
        <w:instrText>suitable</w:instrText>
      </w:r>
      <w:r w:rsidR="00A6794A" w:rsidRPr="00D3550C">
        <w:instrText xml:space="preserve"> </w:instrText>
      </w:r>
      <w:r w:rsidR="00A6794A">
        <w:rPr>
          <w:lang w:val="en-US"/>
        </w:rPr>
        <w:instrText>alternative</w:instrText>
      </w:r>
      <w:r w:rsidR="00A6794A" w:rsidRPr="00D3550C">
        <w:instrText xml:space="preserve"> </w:instrText>
      </w:r>
      <w:r w:rsidR="00A6794A">
        <w:rPr>
          <w:lang w:val="en-US"/>
        </w:rPr>
        <w:instrText>to</w:instrText>
      </w:r>
      <w:r w:rsidR="00A6794A" w:rsidRPr="00D3550C">
        <w:instrText xml:space="preserve"> </w:instrText>
      </w:r>
      <w:r w:rsidR="00A6794A">
        <w:rPr>
          <w:lang w:val="en-US"/>
        </w:rPr>
        <w:instrText>intravenous</w:instrText>
      </w:r>
      <w:r w:rsidR="00A6794A" w:rsidRPr="00D3550C">
        <w:instrText xml:space="preserve"> </w:instrText>
      </w:r>
      <w:r w:rsidR="00A6794A">
        <w:rPr>
          <w:lang w:val="en-US"/>
        </w:rPr>
        <w:instrText>rituximab</w:instrText>
      </w:r>
      <w:r w:rsidR="00A6794A" w:rsidRPr="00D3550C">
        <w:instrText xml:space="preserve"> </w:instrText>
      </w:r>
      <w:r w:rsidR="00A6794A">
        <w:rPr>
          <w:lang w:val="en-US"/>
        </w:rPr>
        <w:instrText>that</w:instrText>
      </w:r>
      <w:r w:rsidR="00A6794A" w:rsidRPr="00D3550C">
        <w:instrText xml:space="preserve"> </w:instrText>
      </w:r>
      <w:r w:rsidR="00A6794A">
        <w:rPr>
          <w:lang w:val="en-US"/>
        </w:rPr>
        <w:instrText>could</w:instrText>
      </w:r>
      <w:r w:rsidR="00A6794A" w:rsidRPr="00D3550C">
        <w:instrText xml:space="preserve"> </w:instrText>
      </w:r>
      <w:r w:rsidR="00A6794A">
        <w:rPr>
          <w:lang w:val="en-US"/>
        </w:rPr>
        <w:instrText>improve</w:instrText>
      </w:r>
      <w:r w:rsidR="00A6794A" w:rsidRPr="00D3550C">
        <w:instrText xml:space="preserve"> </w:instrText>
      </w:r>
      <w:r w:rsidR="00A6794A">
        <w:rPr>
          <w:lang w:val="en-US"/>
        </w:rPr>
        <w:instrText>convenience</w:instrText>
      </w:r>
      <w:r w:rsidR="00A6794A" w:rsidRPr="00D3550C">
        <w:instrText xml:space="preserve"> </w:instrText>
      </w:r>
      <w:r w:rsidR="00A6794A">
        <w:rPr>
          <w:lang w:val="en-US"/>
        </w:rPr>
        <w:instrText>for</w:instrText>
      </w:r>
      <w:r w:rsidR="00A6794A" w:rsidRPr="00D3550C">
        <w:instrText xml:space="preserve"> </w:instrText>
      </w:r>
      <w:r w:rsidR="00A6794A">
        <w:rPr>
          <w:lang w:val="en-US"/>
        </w:rPr>
        <w:instrText>patients</w:instrText>
      </w:r>
      <w:r w:rsidR="00A6794A" w:rsidRPr="00D3550C">
        <w:instrText xml:space="preserve"> </w:instrText>
      </w:r>
      <w:r w:rsidR="00A6794A">
        <w:rPr>
          <w:lang w:val="en-US"/>
        </w:rPr>
        <w:instrText>and</w:instrText>
      </w:r>
      <w:r w:rsidR="00A6794A" w:rsidRPr="00D3550C">
        <w:instrText xml:space="preserve"> </w:instrText>
      </w:r>
      <w:r w:rsidR="00A6794A">
        <w:rPr>
          <w:lang w:val="en-US"/>
        </w:rPr>
        <w:instrText>better</w:instrText>
      </w:r>
      <w:r w:rsidR="00A6794A" w:rsidRPr="00D3550C">
        <w:instrText xml:space="preserve"> </w:instrText>
      </w:r>
      <w:r w:rsidR="00A6794A">
        <w:rPr>
          <w:lang w:val="en-US"/>
        </w:rPr>
        <w:instrText>utilize</w:instrText>
      </w:r>
      <w:r w:rsidR="00A6794A" w:rsidRPr="00D3550C">
        <w:instrText xml:space="preserve"> </w:instrText>
      </w:r>
      <w:r w:rsidR="00A6794A">
        <w:rPr>
          <w:lang w:val="en-US"/>
        </w:rPr>
        <w:instrText>health</w:instrText>
      </w:r>
      <w:r w:rsidR="00A6794A" w:rsidRPr="00D3550C">
        <w:instrText>-</w:instrText>
      </w:r>
      <w:r w:rsidR="00A6794A">
        <w:rPr>
          <w:lang w:val="en-US"/>
        </w:rPr>
        <w:instrText>care</w:instrText>
      </w:r>
      <w:r w:rsidR="00A6794A" w:rsidRPr="00D3550C">
        <w:instrText xml:space="preserve"> </w:instrText>
      </w:r>
      <w:r w:rsidR="00A6794A">
        <w:rPr>
          <w:lang w:val="en-US"/>
        </w:rPr>
        <w:instrText>resources</w:instrText>
      </w:r>
      <w:r w:rsidR="00A6794A" w:rsidRPr="00D3550C">
        <w:instrText>.","</w:instrText>
      </w:r>
      <w:r w:rsidR="00A6794A">
        <w:rPr>
          <w:lang w:val="en-US"/>
        </w:rPr>
        <w:instrText>author</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family</w:instrText>
      </w:r>
      <w:r w:rsidR="00A6794A" w:rsidRPr="00D3550C">
        <w:instrText>":"</w:instrText>
      </w:r>
      <w:r w:rsidR="00A6794A">
        <w:rPr>
          <w:lang w:val="en-US"/>
        </w:rPr>
        <w:instrText>Yelvington</w:instrText>
      </w:r>
      <w:r w:rsidR="00A6794A" w:rsidRPr="00D3550C">
        <w:instrText>","</w:instrText>
      </w:r>
      <w:r w:rsidR="00A6794A">
        <w:rPr>
          <w:lang w:val="en-US"/>
        </w:rPr>
        <w:instrText>given</w:instrText>
      </w:r>
      <w:r w:rsidR="00A6794A" w:rsidRPr="00D3550C">
        <w:instrText>":"</w:instrText>
      </w:r>
      <w:r w:rsidR="00A6794A">
        <w:rPr>
          <w:lang w:val="en-US"/>
        </w:rPr>
        <w:instrText>Bradley</w:instrText>
      </w:r>
      <w:r w:rsidR="00A6794A" w:rsidRPr="00D3550C">
        <w:instrText xml:space="preserve"> </w:instrText>
      </w:r>
      <w:r w:rsidR="00A6794A">
        <w:rPr>
          <w:lang w:val="en-US"/>
        </w:rPr>
        <w:instrText>J</w:instrText>
      </w:r>
      <w:r w:rsidR="00A6794A" w:rsidRPr="00D3550C">
        <w:instrText>","</w:instrText>
      </w:r>
      <w:r w:rsidR="00A6794A">
        <w:rPr>
          <w:lang w:val="en-US"/>
        </w:rPr>
        <w:instrText>non</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parse</w:instrText>
      </w:r>
      <w:r w:rsidR="00A6794A" w:rsidRPr="00D3550C">
        <w:instrText>-</w:instrText>
      </w:r>
      <w:r w:rsidR="00A6794A">
        <w:rPr>
          <w:lang w:val="en-US"/>
        </w:rPr>
        <w:instrText>names</w:instrText>
      </w:r>
      <w:r w:rsidR="00A6794A" w:rsidRPr="00D3550C">
        <w:instrText>":</w:instrText>
      </w:r>
      <w:r w:rsidR="00A6794A">
        <w:rPr>
          <w:lang w:val="en-US"/>
        </w:rPr>
        <w:instrText>false</w:instrText>
      </w:r>
      <w:r w:rsidR="00A6794A" w:rsidRPr="00D3550C">
        <w:instrText>,"</w:instrText>
      </w:r>
      <w:r w:rsidR="00A6794A">
        <w:rPr>
          <w:lang w:val="en-US"/>
        </w:rPr>
        <w:instrText>suffix</w:instrText>
      </w:r>
      <w:r w:rsidR="00A6794A" w:rsidRPr="00D3550C">
        <w:instrText>":""}],"</w:instrText>
      </w:r>
      <w:r w:rsidR="00A6794A">
        <w:rPr>
          <w:lang w:val="en-US"/>
        </w:rPr>
        <w:instrText>container</w:instrText>
      </w:r>
      <w:r w:rsidR="00A6794A" w:rsidRPr="00D3550C">
        <w:instrText>-</w:instrText>
      </w:r>
      <w:r w:rsidR="00A6794A">
        <w:rPr>
          <w:lang w:val="en-US"/>
        </w:rPr>
        <w:instrText>title</w:instrText>
      </w:r>
      <w:r w:rsidR="00A6794A" w:rsidRPr="00D3550C">
        <w:instrText>":"</w:instrText>
      </w:r>
      <w:r w:rsidR="00A6794A">
        <w:rPr>
          <w:lang w:val="en-US"/>
        </w:rPr>
        <w:instrText>Journal</w:instrText>
      </w:r>
      <w:r w:rsidR="00A6794A" w:rsidRPr="00D3550C">
        <w:instrText xml:space="preserve"> </w:instrText>
      </w:r>
      <w:r w:rsidR="00A6794A">
        <w:rPr>
          <w:lang w:val="en-US"/>
        </w:rPr>
        <w:instrText>of</w:instrText>
      </w:r>
      <w:r w:rsidR="00A6794A" w:rsidRPr="00D3550C">
        <w:instrText xml:space="preserve"> </w:instrText>
      </w:r>
      <w:r w:rsidR="00A6794A">
        <w:rPr>
          <w:lang w:val="en-US"/>
        </w:rPr>
        <w:instrText>the</w:instrText>
      </w:r>
      <w:r w:rsidR="00A6794A" w:rsidRPr="00D3550C">
        <w:instrText xml:space="preserve"> </w:instrText>
      </w:r>
      <w:r w:rsidR="00A6794A">
        <w:rPr>
          <w:lang w:val="en-US"/>
        </w:rPr>
        <w:instrText>advanced</w:instrText>
      </w:r>
      <w:r w:rsidR="00A6794A" w:rsidRPr="00D3550C">
        <w:instrText xml:space="preserve"> </w:instrText>
      </w:r>
      <w:r w:rsidR="00A6794A">
        <w:rPr>
          <w:lang w:val="en-US"/>
        </w:rPr>
        <w:instrText>practitioner</w:instrText>
      </w:r>
      <w:r w:rsidR="00A6794A" w:rsidRPr="00D3550C">
        <w:instrText xml:space="preserve"> </w:instrText>
      </w:r>
      <w:r w:rsidR="00A6794A">
        <w:rPr>
          <w:lang w:val="en-US"/>
        </w:rPr>
        <w:instrText>in</w:instrText>
      </w:r>
      <w:r w:rsidR="00A6794A" w:rsidRPr="00D3550C">
        <w:instrText xml:space="preserve"> </w:instrText>
      </w:r>
      <w:r w:rsidR="00A6794A">
        <w:rPr>
          <w:lang w:val="en-US"/>
        </w:rPr>
        <w:instrText>oncology</w:instrText>
      </w:r>
      <w:r w:rsidR="00A6794A" w:rsidRPr="00D3550C">
        <w:instrText>","</w:instrText>
      </w:r>
      <w:r w:rsidR="00A6794A">
        <w:rPr>
          <w:lang w:val="en-US"/>
        </w:rPr>
        <w:instrText>id</w:instrText>
      </w:r>
      <w:r w:rsidR="00A6794A" w:rsidRPr="00D3550C">
        <w:instrText>":"</w:instrText>
      </w:r>
      <w:r w:rsidR="00A6794A">
        <w:rPr>
          <w:lang w:val="en-US"/>
        </w:rPr>
        <w:instrText>ITEM</w:instrText>
      </w:r>
      <w:r w:rsidR="00A6794A" w:rsidRPr="00D3550C">
        <w:instrText>-1","</w:instrText>
      </w:r>
      <w:r w:rsidR="00A6794A">
        <w:rPr>
          <w:lang w:val="en-US"/>
        </w:rPr>
        <w:instrText>issue</w:instrText>
      </w:r>
      <w:r w:rsidR="00A6794A" w:rsidRPr="00D3550C">
        <w:instrText>":"5","</w:instrText>
      </w:r>
      <w:r w:rsidR="00A6794A">
        <w:rPr>
          <w:lang w:val="en-US"/>
        </w:rPr>
        <w:instrText>issued</w:instrText>
      </w:r>
      <w:r w:rsidR="00A6794A" w:rsidRPr="00D3550C">
        <w:instrText>":{"</w:instrText>
      </w:r>
      <w:r w:rsidR="00A6794A">
        <w:rPr>
          <w:lang w:val="en-US"/>
        </w:rPr>
        <w:instrText>date</w:instrText>
      </w:r>
      <w:r w:rsidR="00A6794A" w:rsidRPr="00D3550C">
        <w:instrText>-</w:instrText>
      </w:r>
      <w:r w:rsidR="00A6794A">
        <w:rPr>
          <w:lang w:val="en-US"/>
        </w:rPr>
        <w:instrText>parts</w:instrText>
      </w:r>
      <w:r w:rsidR="00A6794A" w:rsidRPr="00D3550C">
        <w:instrText>":[["2018"]]},"</w:instrText>
      </w:r>
      <w:r w:rsidR="00A6794A">
        <w:rPr>
          <w:lang w:val="en-US"/>
        </w:rPr>
        <w:instrText>page</w:instrText>
      </w:r>
      <w:r w:rsidR="00A6794A" w:rsidRPr="00D3550C">
        <w:instrText>":"530-534","</w:instrText>
      </w:r>
      <w:r w:rsidR="00A6794A">
        <w:rPr>
          <w:lang w:val="en-US"/>
        </w:rPr>
        <w:instrText>publisher</w:instrText>
      </w:r>
      <w:r w:rsidR="00A6794A" w:rsidRPr="00D3550C">
        <w:instrText>":"</w:instrText>
      </w:r>
      <w:r w:rsidR="00A6794A">
        <w:rPr>
          <w:lang w:val="en-US"/>
        </w:rPr>
        <w:instrText>Harborside</w:instrText>
      </w:r>
      <w:r w:rsidR="00A6794A" w:rsidRPr="00D3550C">
        <w:instrText xml:space="preserve"> </w:instrText>
      </w:r>
      <w:r w:rsidR="00A6794A">
        <w:rPr>
          <w:lang w:val="en-US"/>
        </w:rPr>
        <w:instrText>Press</w:instrText>
      </w:r>
      <w:r w:rsidR="00A6794A" w:rsidRPr="00D3550C">
        <w:instrText>","</w:instrText>
      </w:r>
      <w:r w:rsidR="00A6794A">
        <w:rPr>
          <w:lang w:val="en-US"/>
        </w:rPr>
        <w:instrText>title</w:instrText>
      </w:r>
      <w:r w:rsidR="00A6794A" w:rsidRPr="00D3550C">
        <w:instrText>":"</w:instrText>
      </w:r>
      <w:r w:rsidR="00A6794A">
        <w:rPr>
          <w:lang w:val="en-US"/>
        </w:rPr>
        <w:instrText>Subcutaneous</w:instrText>
      </w:r>
      <w:r w:rsidR="00A6794A" w:rsidRPr="00D3550C">
        <w:instrText xml:space="preserve"> </w:instrText>
      </w:r>
      <w:r w:rsidR="00A6794A">
        <w:rPr>
          <w:lang w:val="en-US"/>
        </w:rPr>
        <w:instrText>Rituximab</w:instrText>
      </w:r>
      <w:r w:rsidR="00A6794A" w:rsidRPr="00D3550C">
        <w:instrText xml:space="preserve"> </w:instrText>
      </w:r>
      <w:r w:rsidR="00A6794A">
        <w:rPr>
          <w:lang w:val="en-US"/>
        </w:rPr>
        <w:instrText>in</w:instrText>
      </w:r>
      <w:r w:rsidR="00A6794A" w:rsidRPr="00D3550C">
        <w:instrText xml:space="preserve"> </w:instrText>
      </w:r>
      <w:r w:rsidR="00A6794A">
        <w:rPr>
          <w:lang w:val="en-US"/>
        </w:rPr>
        <w:instrText>Follicular</w:instrText>
      </w:r>
      <w:r w:rsidR="00A6794A" w:rsidRPr="00D3550C">
        <w:instrText xml:space="preserve"> </w:instrText>
      </w:r>
      <w:r w:rsidR="00A6794A">
        <w:rPr>
          <w:lang w:val="en-US"/>
        </w:rPr>
        <w:instrText>Lymphoma</w:instrText>
      </w:r>
      <w:r w:rsidR="00A6794A" w:rsidRPr="00D3550C">
        <w:instrText xml:space="preserve">, </w:instrText>
      </w:r>
      <w:r w:rsidR="00A6794A">
        <w:rPr>
          <w:lang w:val="en-US"/>
        </w:rPr>
        <w:instrText>Chronic</w:instrText>
      </w:r>
      <w:r w:rsidR="00A6794A" w:rsidRPr="00D3550C">
        <w:instrText xml:space="preserve"> </w:instrText>
      </w:r>
      <w:r w:rsidR="00A6794A">
        <w:rPr>
          <w:lang w:val="en-US"/>
        </w:rPr>
        <w:instrText>Lymphocytic</w:instrText>
      </w:r>
      <w:r w:rsidR="00A6794A" w:rsidRPr="00D3550C">
        <w:instrText xml:space="preserve"> </w:instrText>
      </w:r>
      <w:r w:rsidR="00A6794A">
        <w:rPr>
          <w:lang w:val="en-US"/>
        </w:rPr>
        <w:instrText>Leukemia</w:instrText>
      </w:r>
      <w:r w:rsidR="00A6794A" w:rsidRPr="00D3550C">
        <w:instrText xml:space="preserve">, </w:instrText>
      </w:r>
      <w:r w:rsidR="00A6794A">
        <w:rPr>
          <w:lang w:val="en-US"/>
        </w:rPr>
        <w:instrText>and</w:instrText>
      </w:r>
      <w:r w:rsidR="00A6794A" w:rsidRPr="00D3550C">
        <w:instrText xml:space="preserve"> </w:instrText>
      </w:r>
      <w:r w:rsidR="00A6794A">
        <w:rPr>
          <w:lang w:val="en-US"/>
        </w:rPr>
        <w:instrText>Diffuse</w:instrText>
      </w:r>
      <w:r w:rsidR="00A6794A" w:rsidRPr="00D3550C">
        <w:instrText xml:space="preserve"> </w:instrText>
      </w:r>
      <w:r w:rsidR="00A6794A">
        <w:rPr>
          <w:lang w:val="en-US"/>
        </w:rPr>
        <w:instrText>Large</w:instrText>
      </w:r>
      <w:r w:rsidR="00A6794A" w:rsidRPr="00D3550C">
        <w:instrText xml:space="preserve"> </w:instrText>
      </w:r>
      <w:r w:rsidR="00A6794A">
        <w:rPr>
          <w:lang w:val="en-US"/>
        </w:rPr>
        <w:instrText>B</w:instrText>
      </w:r>
      <w:r w:rsidR="00A6794A" w:rsidRPr="00D3550C">
        <w:instrText>-</w:instrText>
      </w:r>
      <w:r w:rsidR="00A6794A">
        <w:rPr>
          <w:lang w:val="en-US"/>
        </w:rPr>
        <w:instrText>Cell</w:instrText>
      </w:r>
      <w:r w:rsidR="00A6794A" w:rsidRPr="00D3550C">
        <w:instrText xml:space="preserve"> </w:instrText>
      </w:r>
      <w:r w:rsidR="00A6794A">
        <w:rPr>
          <w:lang w:val="en-US"/>
        </w:rPr>
        <w:instrText>Lymphoma</w:instrText>
      </w:r>
      <w:r w:rsidR="00A6794A" w:rsidRPr="00D3550C">
        <w:instrText>.","</w:instrText>
      </w:r>
      <w:r w:rsidR="00A6794A">
        <w:rPr>
          <w:lang w:val="en-US"/>
        </w:rPr>
        <w:instrText>type</w:instrText>
      </w:r>
      <w:r w:rsidR="00A6794A" w:rsidRPr="00D3550C">
        <w:instrText>":"</w:instrText>
      </w:r>
      <w:r w:rsidR="00A6794A">
        <w:rPr>
          <w:lang w:val="en-US"/>
        </w:rPr>
        <w:instrText>article</w:instrText>
      </w:r>
      <w:r w:rsidR="00A6794A" w:rsidRPr="00D3550C">
        <w:instrText>-</w:instrText>
      </w:r>
      <w:r w:rsidR="00A6794A">
        <w:rPr>
          <w:lang w:val="en-US"/>
        </w:rPr>
        <w:instrText>journal</w:instrText>
      </w:r>
      <w:r w:rsidR="00A6794A" w:rsidRPr="00D3550C">
        <w:instrText>","</w:instrText>
      </w:r>
      <w:r w:rsidR="00A6794A">
        <w:rPr>
          <w:lang w:val="en-US"/>
        </w:rPr>
        <w:instrText>volume</w:instrText>
      </w:r>
      <w:r w:rsidR="00A6794A" w:rsidRPr="00D3550C">
        <w:instrText>":"9"},"</w:instrText>
      </w:r>
      <w:r w:rsidR="00A6794A">
        <w:rPr>
          <w:lang w:val="en-US"/>
        </w:rPr>
        <w:instrText>uris</w:instrText>
      </w:r>
      <w:r w:rsidR="00A6794A" w:rsidRPr="00D3550C">
        <w:instrText>":["</w:instrText>
      </w:r>
      <w:r w:rsidR="00A6794A">
        <w:rPr>
          <w:lang w:val="en-US"/>
        </w:rPr>
        <w:instrText>http</w:instrText>
      </w:r>
      <w:r w:rsidR="00A6794A" w:rsidRPr="00D3550C">
        <w:instrText>://</w:instrText>
      </w:r>
      <w:r w:rsidR="00A6794A">
        <w:rPr>
          <w:lang w:val="en-US"/>
        </w:rPr>
        <w:instrText>www</w:instrText>
      </w:r>
      <w:r w:rsidR="00A6794A" w:rsidRPr="00D3550C">
        <w:instrText>.</w:instrText>
      </w:r>
      <w:r w:rsidR="00A6794A">
        <w:rPr>
          <w:lang w:val="en-US"/>
        </w:rPr>
        <w:instrText>mendeley</w:instrText>
      </w:r>
      <w:r w:rsidR="00A6794A" w:rsidRPr="00D3550C">
        <w:instrText>.</w:instrText>
      </w:r>
      <w:r w:rsidR="00A6794A">
        <w:rPr>
          <w:lang w:val="en-US"/>
        </w:rPr>
        <w:instrText>com</w:instrText>
      </w:r>
      <w:r w:rsidR="00A6794A" w:rsidRPr="00D3550C">
        <w:instrText>/</w:instrText>
      </w:r>
      <w:r w:rsidR="00A6794A">
        <w:rPr>
          <w:lang w:val="en-US"/>
        </w:rPr>
        <w:instrText>documents</w:instrText>
      </w:r>
      <w:r w:rsidR="00A6794A" w:rsidRPr="00D3550C">
        <w:instrText>/?</w:instrText>
      </w:r>
      <w:r w:rsidR="00A6794A">
        <w:rPr>
          <w:lang w:val="en-US"/>
        </w:rPr>
        <w:instrText>uuid</w:instrText>
      </w:r>
      <w:r w:rsidR="00A6794A" w:rsidRPr="00D3550C">
        <w:instrText>=</w:instrText>
      </w:r>
      <w:r w:rsidR="00A6794A">
        <w:rPr>
          <w:lang w:val="en-US"/>
        </w:rPr>
        <w:instrText>fbb</w:instrText>
      </w:r>
      <w:r w:rsidR="00A6794A" w:rsidRPr="00D3550C">
        <w:instrText>0</w:instrText>
      </w:r>
      <w:r w:rsidR="00A6794A">
        <w:rPr>
          <w:lang w:val="en-US"/>
        </w:rPr>
        <w:instrText>b</w:instrText>
      </w:r>
      <w:r w:rsidR="00A6794A" w:rsidRPr="00D3550C">
        <w:instrText>8</w:instrText>
      </w:r>
      <w:r w:rsidR="00A6794A">
        <w:rPr>
          <w:lang w:val="en-US"/>
        </w:rPr>
        <w:instrText>f</w:instrText>
      </w:r>
      <w:r w:rsidR="00A6794A" w:rsidRPr="00D3550C">
        <w:instrText>4-6</w:instrText>
      </w:r>
      <w:r w:rsidR="00A6794A">
        <w:rPr>
          <w:lang w:val="en-US"/>
        </w:rPr>
        <w:instrText>b</w:instrText>
      </w:r>
      <w:r w:rsidR="00A6794A" w:rsidRPr="00D3550C">
        <w:instrText>58-3</w:instrText>
      </w:r>
      <w:r w:rsidR="00A6794A">
        <w:rPr>
          <w:lang w:val="en-US"/>
        </w:rPr>
        <w:instrText>a</w:instrText>
      </w:r>
      <w:r w:rsidR="00A6794A" w:rsidRPr="00D3550C">
        <w:instrText>10-</w:instrText>
      </w:r>
      <w:r w:rsidR="00A6794A">
        <w:rPr>
          <w:lang w:val="en-US"/>
        </w:rPr>
        <w:instrText>b</w:instrText>
      </w:r>
      <w:r w:rsidR="00A6794A" w:rsidRPr="00D3550C">
        <w:instrText>7</w:instrText>
      </w:r>
      <w:r w:rsidR="00A6794A">
        <w:rPr>
          <w:lang w:val="en-US"/>
        </w:rPr>
        <w:instrText>d</w:instrText>
      </w:r>
      <w:r w:rsidR="00A6794A" w:rsidRPr="00D3550C">
        <w:instrText>6-</w:instrText>
      </w:r>
      <w:r w:rsidR="00A6794A">
        <w:rPr>
          <w:lang w:val="en-US"/>
        </w:rPr>
        <w:instrText>af</w:instrText>
      </w:r>
      <w:r w:rsidR="00A6794A" w:rsidRPr="00D3550C">
        <w:instrText>3854030</w:instrText>
      </w:r>
      <w:r w:rsidR="00A6794A">
        <w:rPr>
          <w:lang w:val="en-US"/>
        </w:rPr>
        <w:instrText>be</w:instrText>
      </w:r>
      <w:r w:rsidR="00A6794A" w:rsidRPr="00D3550C">
        <w:instrText>8"]},{"</w:instrText>
      </w:r>
      <w:r w:rsidR="00A6794A">
        <w:rPr>
          <w:lang w:val="en-US"/>
        </w:rPr>
        <w:instrText>id</w:instrText>
      </w:r>
      <w:r w:rsidR="00A6794A" w:rsidRPr="00D3550C">
        <w:instrText>":"</w:instrText>
      </w:r>
      <w:r w:rsidR="00A6794A">
        <w:rPr>
          <w:lang w:val="en-US"/>
        </w:rPr>
        <w:instrText>ITEM</w:instrText>
      </w:r>
      <w:r w:rsidR="00A6794A" w:rsidRPr="00D3550C">
        <w:instrText>-2","</w:instrText>
      </w:r>
      <w:r w:rsidR="00A6794A">
        <w:rPr>
          <w:lang w:val="en-US"/>
        </w:rPr>
        <w:instrText>itemData</w:instrText>
      </w:r>
      <w:r w:rsidR="00A6794A" w:rsidRPr="00D3550C">
        <w:instrText>":{"</w:instrText>
      </w:r>
      <w:r w:rsidR="00A6794A">
        <w:rPr>
          <w:lang w:val="en-US"/>
        </w:rPr>
        <w:instrText>DOI</w:instrText>
      </w:r>
      <w:r w:rsidR="00A6794A" w:rsidRPr="00D3550C">
        <w:instrText>":"10.1007/</w:instrText>
      </w:r>
      <w:r w:rsidR="00A6794A">
        <w:rPr>
          <w:lang w:val="en-US"/>
        </w:rPr>
        <w:instrText>s</w:instrText>
      </w:r>
      <w:r w:rsidR="00A6794A" w:rsidRPr="00D3550C">
        <w:instrText>12325-017-0610-</w:instrText>
      </w:r>
      <w:r w:rsidR="00A6794A">
        <w:rPr>
          <w:lang w:val="en-US"/>
        </w:rPr>
        <w:instrText>z</w:instrText>
      </w:r>
      <w:r w:rsidR="00A6794A" w:rsidRPr="00D3550C">
        <w:instrText>","</w:instrText>
      </w:r>
      <w:r w:rsidR="00A6794A">
        <w:rPr>
          <w:lang w:val="en-US"/>
        </w:rPr>
        <w:instrText>ISSN</w:instrText>
      </w:r>
      <w:r w:rsidR="00A6794A" w:rsidRPr="00D3550C">
        <w:instrText>":"18658652","</w:instrText>
      </w:r>
      <w:r w:rsidR="00A6794A">
        <w:rPr>
          <w:lang w:val="en-US"/>
        </w:rPr>
        <w:instrText>abstract</w:instrText>
      </w:r>
      <w:r w:rsidR="00A6794A" w:rsidRPr="00D3550C">
        <w:instrText>":"</w:instrText>
      </w:r>
      <w:r w:rsidR="00A6794A">
        <w:rPr>
          <w:lang w:val="en-US"/>
        </w:rPr>
        <w:instrText>Abstract</w:instrText>
      </w:r>
      <w:r w:rsidR="00A6794A" w:rsidRPr="00D3550C">
        <w:instrText xml:space="preserve">: </w:instrText>
      </w:r>
      <w:r w:rsidR="00A6794A">
        <w:rPr>
          <w:lang w:val="en-US"/>
        </w:rPr>
        <w:instrText>Rituximab</w:instrText>
      </w:r>
      <w:r w:rsidR="00A6794A" w:rsidRPr="00AA43FB">
        <w:instrText xml:space="preserve"> (</w:instrText>
      </w:r>
      <w:r w:rsidR="00A6794A">
        <w:rPr>
          <w:lang w:val="en-US"/>
        </w:rPr>
        <w:instrText>MabThera</w:instrText>
      </w:r>
      <w:r w:rsidR="00A6794A" w:rsidRPr="00AA43FB">
        <w:instrText>®/</w:instrText>
      </w:r>
      <w:r w:rsidR="00A6794A">
        <w:rPr>
          <w:lang w:val="en-US"/>
        </w:rPr>
        <w:instrText>Rituxan</w:instrText>
      </w:r>
      <w:r w:rsidR="00A6794A" w:rsidRPr="00AA43FB">
        <w:instrText xml:space="preserve">®), </w:instrText>
      </w:r>
      <w:r w:rsidR="00A6794A">
        <w:rPr>
          <w:lang w:val="en-US"/>
        </w:rPr>
        <w:instrText>a</w:instrText>
      </w:r>
      <w:r w:rsidR="00A6794A" w:rsidRPr="00AA43FB">
        <w:instrText xml:space="preserve"> </w:instrText>
      </w:r>
      <w:r w:rsidR="00A6794A">
        <w:rPr>
          <w:lang w:val="en-US"/>
        </w:rPr>
        <w:instrText>chimeric</w:instrText>
      </w:r>
      <w:r w:rsidR="00A6794A" w:rsidRPr="00AA43FB">
        <w:instrText xml:space="preserve"> </w:instrText>
      </w:r>
      <w:r w:rsidR="00A6794A">
        <w:rPr>
          <w:lang w:val="en-US"/>
        </w:rPr>
        <w:instrText>murine</w:instrText>
      </w:r>
      <w:r w:rsidR="00A6794A" w:rsidRPr="00AA43FB">
        <w:instrText>/</w:instrText>
      </w:r>
      <w:r w:rsidR="00A6794A">
        <w:rPr>
          <w:lang w:val="en-US"/>
        </w:rPr>
        <w:instrText>human</w:instrText>
      </w:r>
      <w:r w:rsidR="00A6794A" w:rsidRPr="00AA43FB">
        <w:instrText xml:space="preserve"> </w:instrText>
      </w:r>
      <w:r w:rsidR="00A6794A">
        <w:rPr>
          <w:lang w:val="en-US"/>
        </w:rPr>
        <w:instrText>monoclonal</w:instrText>
      </w:r>
      <w:r w:rsidR="00A6794A" w:rsidRPr="00AA43FB">
        <w:instrText xml:space="preserve"> </w:instrText>
      </w:r>
      <w:r w:rsidR="00A6794A">
        <w:rPr>
          <w:lang w:val="en-US"/>
        </w:rPr>
        <w:instrText>antibody</w:instrText>
      </w:r>
      <w:r w:rsidR="00A6794A" w:rsidRPr="00AA43FB">
        <w:instrText xml:space="preserve"> </w:instrText>
      </w:r>
      <w:r w:rsidR="00A6794A">
        <w:rPr>
          <w:lang w:val="en-US"/>
        </w:rPr>
        <w:instrText>that</w:instrText>
      </w:r>
      <w:r w:rsidR="00A6794A" w:rsidRPr="00AA43FB">
        <w:instrText xml:space="preserve"> </w:instrText>
      </w:r>
      <w:r w:rsidR="00A6794A">
        <w:rPr>
          <w:lang w:val="en-US"/>
        </w:rPr>
        <w:instrText>binds</w:instrText>
      </w:r>
      <w:r w:rsidR="00A6794A" w:rsidRPr="00AA43FB">
        <w:instrText xml:space="preserve"> </w:instrText>
      </w:r>
      <w:r w:rsidR="00A6794A">
        <w:rPr>
          <w:lang w:val="en-US"/>
        </w:rPr>
        <w:instrText>specifically</w:instrText>
      </w:r>
      <w:r w:rsidR="00A6794A" w:rsidRPr="00AA43FB">
        <w:instrText xml:space="preserve"> </w:instrText>
      </w:r>
      <w:r w:rsidR="00A6794A">
        <w:rPr>
          <w:lang w:val="en-US"/>
        </w:rPr>
        <w:instrText>to</w:instrText>
      </w:r>
      <w:r w:rsidR="00A6794A" w:rsidRPr="00AA43FB">
        <w:instrText xml:space="preserve"> </w:instrText>
      </w:r>
      <w:r w:rsidR="00A6794A">
        <w:rPr>
          <w:lang w:val="en-US"/>
        </w:rPr>
        <w:instrText>the</w:instrText>
      </w:r>
      <w:r w:rsidR="00A6794A" w:rsidRPr="00AA43FB">
        <w:instrText xml:space="preserve"> </w:instrText>
      </w:r>
      <w:r w:rsidR="00A6794A">
        <w:rPr>
          <w:lang w:val="en-US"/>
        </w:rPr>
        <w:instrText>transmembrane</w:instrText>
      </w:r>
      <w:r w:rsidR="00A6794A" w:rsidRPr="00AA43FB">
        <w:instrText xml:space="preserve"> </w:instrText>
      </w:r>
      <w:r w:rsidR="00A6794A">
        <w:rPr>
          <w:lang w:val="en-US"/>
        </w:rPr>
        <w:instrText>antigen</w:instrText>
      </w:r>
      <w:r w:rsidR="00A6794A" w:rsidRPr="00AA43FB">
        <w:instrText xml:space="preserve"> </w:instrText>
      </w:r>
      <w:r w:rsidR="00A6794A">
        <w:rPr>
          <w:lang w:val="en-US"/>
        </w:rPr>
        <w:instrText>CD</w:instrText>
      </w:r>
      <w:r w:rsidR="00A6794A" w:rsidRPr="00AA43FB">
        <w:instrText xml:space="preserve">20, </w:instrText>
      </w:r>
      <w:r w:rsidR="00A6794A">
        <w:rPr>
          <w:lang w:val="en-US"/>
        </w:rPr>
        <w:instrText>was</w:instrText>
      </w:r>
      <w:r w:rsidR="00A6794A" w:rsidRPr="00AA43FB">
        <w:instrText xml:space="preserve"> </w:instrText>
      </w:r>
      <w:r w:rsidR="00A6794A">
        <w:rPr>
          <w:lang w:val="en-US"/>
        </w:rPr>
        <w:instrText>the</w:instrText>
      </w:r>
      <w:r w:rsidR="00A6794A" w:rsidRPr="00AA43FB">
        <w:instrText xml:space="preserve"> </w:instrText>
      </w:r>
      <w:r w:rsidR="00A6794A">
        <w:rPr>
          <w:lang w:val="en-US"/>
        </w:rPr>
        <w:instrText>first</w:instrText>
      </w:r>
      <w:r w:rsidR="00A6794A" w:rsidRPr="00AA43FB">
        <w:instrText xml:space="preserve"> </w:instrText>
      </w:r>
      <w:r w:rsidR="00A6794A">
        <w:rPr>
          <w:lang w:val="en-US"/>
        </w:rPr>
        <w:instrText>therapeutic</w:instrText>
      </w:r>
      <w:r w:rsidR="00A6794A" w:rsidRPr="00AA43FB">
        <w:instrText xml:space="preserve"> </w:instrText>
      </w:r>
      <w:r w:rsidR="00A6794A">
        <w:rPr>
          <w:lang w:val="en-US"/>
        </w:rPr>
        <w:instrText>antibody</w:instrText>
      </w:r>
      <w:r w:rsidR="00A6794A" w:rsidRPr="00AA43FB">
        <w:instrText xml:space="preserve"> </w:instrText>
      </w:r>
      <w:r w:rsidR="00A6794A">
        <w:rPr>
          <w:lang w:val="en-US"/>
        </w:rPr>
        <w:instrText>to</w:instrText>
      </w:r>
      <w:r w:rsidR="00A6794A" w:rsidRPr="00AA43FB">
        <w:instrText xml:space="preserve"> </w:instrText>
      </w:r>
      <w:r w:rsidR="00A6794A">
        <w:rPr>
          <w:lang w:val="en-US"/>
        </w:rPr>
        <w:instrText>enter</w:instrText>
      </w:r>
      <w:r w:rsidR="00A6794A" w:rsidRPr="00AA43FB">
        <w:instrText xml:space="preserve"> </w:instrText>
      </w:r>
      <w:r w:rsidR="00A6794A">
        <w:rPr>
          <w:lang w:val="en-US"/>
        </w:rPr>
        <w:instrText>clinical</w:instrText>
      </w:r>
      <w:r w:rsidR="00A6794A" w:rsidRPr="00AA43FB">
        <w:instrText xml:space="preserve"> </w:instrText>
      </w:r>
      <w:r w:rsidR="00A6794A">
        <w:rPr>
          <w:lang w:val="en-US"/>
        </w:rPr>
        <w:instrText>practice</w:instrText>
      </w:r>
      <w:r w:rsidR="00A6794A" w:rsidRPr="00AA43FB">
        <w:instrText xml:space="preserve"> </w:instrText>
      </w:r>
      <w:r w:rsidR="00A6794A">
        <w:rPr>
          <w:lang w:val="en-US"/>
        </w:rPr>
        <w:instrText>for</w:instrText>
      </w:r>
      <w:r w:rsidR="00A6794A" w:rsidRPr="00AA43FB">
        <w:instrText xml:space="preserve"> </w:instrText>
      </w:r>
      <w:r w:rsidR="00A6794A">
        <w:rPr>
          <w:lang w:val="en-US"/>
        </w:rPr>
        <w:instrText>the</w:instrText>
      </w:r>
      <w:r w:rsidR="00A6794A" w:rsidRPr="00AA43FB">
        <w:instrText xml:space="preserve"> </w:instrText>
      </w:r>
      <w:r w:rsidR="00A6794A">
        <w:rPr>
          <w:lang w:val="en-US"/>
        </w:rPr>
        <w:instrText>treatment</w:instrText>
      </w:r>
      <w:r w:rsidR="00A6794A" w:rsidRPr="00AA43FB">
        <w:instrText xml:space="preserve"> </w:instrText>
      </w:r>
      <w:r w:rsidR="00A6794A">
        <w:rPr>
          <w:lang w:val="en-US"/>
        </w:rPr>
        <w:instrText>of</w:instrText>
      </w:r>
      <w:r w:rsidR="00A6794A" w:rsidRPr="00AA43FB">
        <w:instrText xml:space="preserve"> </w:instrText>
      </w:r>
      <w:r w:rsidR="00A6794A">
        <w:rPr>
          <w:lang w:val="en-US"/>
        </w:rPr>
        <w:instrText>cancer</w:instrText>
      </w:r>
      <w:r w:rsidR="00A6794A" w:rsidRPr="00AA43FB">
        <w:instrText xml:space="preserve">. </w:instrText>
      </w:r>
      <w:r w:rsidR="00A6794A">
        <w:rPr>
          <w:lang w:val="en-US"/>
        </w:rPr>
        <w:instrText>As</w:instrText>
      </w:r>
      <w:r w:rsidR="00A6794A" w:rsidRPr="00AA43FB">
        <w:instrText xml:space="preserve"> </w:instrText>
      </w:r>
      <w:r w:rsidR="00A6794A">
        <w:rPr>
          <w:lang w:val="en-US"/>
        </w:rPr>
        <w:instrText>monotherapy</w:instrText>
      </w:r>
      <w:r w:rsidR="00A6794A" w:rsidRPr="00AA43FB">
        <w:instrText xml:space="preserve"> </w:instrText>
      </w:r>
      <w:r w:rsidR="00A6794A">
        <w:rPr>
          <w:lang w:val="en-US"/>
        </w:rPr>
        <w:instrText>and</w:instrText>
      </w:r>
      <w:r w:rsidR="00A6794A" w:rsidRPr="00AA43FB">
        <w:instrText xml:space="preserve"> </w:instrText>
      </w:r>
      <w:r w:rsidR="00A6794A">
        <w:rPr>
          <w:lang w:val="en-US"/>
        </w:rPr>
        <w:instrText>in</w:instrText>
      </w:r>
      <w:r w:rsidR="00A6794A" w:rsidRPr="00AA43FB">
        <w:instrText xml:space="preserve"> </w:instrText>
      </w:r>
      <w:r w:rsidR="00A6794A">
        <w:rPr>
          <w:lang w:val="en-US"/>
        </w:rPr>
        <w:instrText>combination</w:instrText>
      </w:r>
      <w:r w:rsidR="00A6794A" w:rsidRPr="00AA43FB">
        <w:instrText xml:space="preserve"> </w:instrText>
      </w:r>
      <w:r w:rsidR="00A6794A">
        <w:rPr>
          <w:lang w:val="en-US"/>
        </w:rPr>
        <w:instrText>with</w:instrText>
      </w:r>
      <w:r w:rsidR="00A6794A" w:rsidRPr="00AA43FB">
        <w:instrText xml:space="preserve"> </w:instrText>
      </w:r>
      <w:r w:rsidR="00A6794A">
        <w:rPr>
          <w:lang w:val="en-US"/>
        </w:rPr>
        <w:instrText>chemotherapy</w:instrText>
      </w:r>
      <w:r w:rsidR="00A6794A" w:rsidRPr="00AA43FB">
        <w:instrText xml:space="preserve">, </w:instrText>
      </w:r>
      <w:r w:rsidR="00A6794A">
        <w:rPr>
          <w:lang w:val="en-US"/>
        </w:rPr>
        <w:instrText>rituximab</w:instrText>
      </w:r>
      <w:r w:rsidR="00A6794A" w:rsidRPr="00AA43FB">
        <w:instrText xml:space="preserve"> </w:instrText>
      </w:r>
      <w:r w:rsidR="00A6794A">
        <w:rPr>
          <w:lang w:val="en-US"/>
        </w:rPr>
        <w:instrText>has</w:instrText>
      </w:r>
      <w:r w:rsidR="00A6794A" w:rsidRPr="00AA43FB">
        <w:instrText xml:space="preserve"> </w:instrText>
      </w:r>
      <w:r w:rsidR="00A6794A">
        <w:rPr>
          <w:lang w:val="en-US"/>
        </w:rPr>
        <w:instrText>been</w:instrText>
      </w:r>
      <w:r w:rsidR="00A6794A" w:rsidRPr="00AA43FB">
        <w:instrText xml:space="preserve"> </w:instrText>
      </w:r>
      <w:r w:rsidR="00A6794A">
        <w:rPr>
          <w:lang w:val="en-US"/>
        </w:rPr>
        <w:instrText>shown</w:instrText>
      </w:r>
      <w:r w:rsidR="00A6794A" w:rsidRPr="00AA43FB">
        <w:instrText xml:space="preserve"> </w:instrText>
      </w:r>
      <w:r w:rsidR="00A6794A">
        <w:rPr>
          <w:lang w:val="en-US"/>
        </w:rPr>
        <w:instrText>to</w:instrText>
      </w:r>
      <w:r w:rsidR="00A6794A" w:rsidRPr="00AA43FB">
        <w:instrText xml:space="preserve"> </w:instrText>
      </w:r>
      <w:r w:rsidR="00A6794A">
        <w:rPr>
          <w:lang w:val="en-US"/>
        </w:rPr>
        <w:instrText>prolong</w:instrText>
      </w:r>
      <w:r w:rsidR="00A6794A" w:rsidRPr="00AA43FB">
        <w:instrText xml:space="preserve"> </w:instrText>
      </w:r>
      <w:r w:rsidR="00A6794A">
        <w:rPr>
          <w:lang w:val="en-US"/>
        </w:rPr>
        <w:instrText>progression</w:instrText>
      </w:r>
      <w:r w:rsidR="00A6794A" w:rsidRPr="00AA43FB">
        <w:instrText>-</w:instrText>
      </w:r>
      <w:r w:rsidR="00A6794A">
        <w:rPr>
          <w:lang w:val="en-US"/>
        </w:rPr>
        <w:instrText>free</w:instrText>
      </w:r>
      <w:r w:rsidR="00A6794A" w:rsidRPr="00AA43FB">
        <w:instrText xml:space="preserve"> </w:instrText>
      </w:r>
      <w:r w:rsidR="00A6794A">
        <w:rPr>
          <w:lang w:val="en-US"/>
        </w:rPr>
        <w:instrText>survival</w:instrText>
      </w:r>
      <w:r w:rsidR="00A6794A" w:rsidRPr="00AA43FB">
        <w:instrText xml:space="preserve"> </w:instrText>
      </w:r>
      <w:r w:rsidR="00A6794A">
        <w:rPr>
          <w:lang w:val="en-US"/>
        </w:rPr>
        <w:instrText>and</w:instrText>
      </w:r>
      <w:r w:rsidR="00A6794A" w:rsidRPr="00AA43FB">
        <w:instrText xml:space="preserve">, </w:instrText>
      </w:r>
      <w:r w:rsidR="00A6794A">
        <w:rPr>
          <w:lang w:val="en-US"/>
        </w:rPr>
        <w:instrText>in</w:instrText>
      </w:r>
      <w:r w:rsidR="00A6794A" w:rsidRPr="00AA43FB">
        <w:instrText xml:space="preserve"> </w:instrText>
      </w:r>
      <w:r w:rsidR="00A6794A">
        <w:rPr>
          <w:lang w:val="en-US"/>
        </w:rPr>
        <w:instrText>some</w:instrText>
      </w:r>
      <w:r w:rsidR="00A6794A" w:rsidRPr="00AA43FB">
        <w:instrText xml:space="preserve"> </w:instrText>
      </w:r>
      <w:r w:rsidR="00A6794A">
        <w:rPr>
          <w:lang w:val="en-US"/>
        </w:rPr>
        <w:instrText>indications</w:instrText>
      </w:r>
      <w:r w:rsidR="00A6794A" w:rsidRPr="00AA43FB">
        <w:instrText xml:space="preserve"> </w:instrText>
      </w:r>
      <w:r w:rsidR="00A6794A">
        <w:rPr>
          <w:lang w:val="en-US"/>
        </w:rPr>
        <w:instrText>overall</w:instrText>
      </w:r>
      <w:r w:rsidR="00A6794A" w:rsidRPr="00AA43FB">
        <w:instrText xml:space="preserve"> </w:instrText>
      </w:r>
      <w:r w:rsidR="00A6794A">
        <w:rPr>
          <w:lang w:val="en-US"/>
        </w:rPr>
        <w:instrText>survival</w:instrText>
      </w:r>
      <w:r w:rsidR="00A6794A" w:rsidRPr="00AA43FB">
        <w:instrText xml:space="preserve">, </w:instrText>
      </w:r>
      <w:r w:rsidR="00A6794A">
        <w:rPr>
          <w:lang w:val="en-US"/>
        </w:rPr>
        <w:instrText>in</w:instrText>
      </w:r>
      <w:r w:rsidR="00A6794A" w:rsidRPr="00AA43FB">
        <w:instrText xml:space="preserve"> </w:instrText>
      </w:r>
      <w:r w:rsidR="00A6794A">
        <w:rPr>
          <w:lang w:val="en-US"/>
        </w:rPr>
        <w:instrText>patients</w:instrText>
      </w:r>
      <w:r w:rsidR="00A6794A" w:rsidRPr="00AA43FB">
        <w:instrText xml:space="preserve"> </w:instrText>
      </w:r>
      <w:r w:rsidR="00A6794A">
        <w:rPr>
          <w:lang w:val="en-US"/>
        </w:rPr>
        <w:instrText>with</w:instrText>
      </w:r>
      <w:r w:rsidR="00A6794A" w:rsidRPr="00AA43FB">
        <w:instrText xml:space="preserve"> </w:instrText>
      </w:r>
      <w:r w:rsidR="00A6794A">
        <w:rPr>
          <w:lang w:val="en-US"/>
        </w:rPr>
        <w:instrText>various</w:instrText>
      </w:r>
      <w:r w:rsidR="00A6794A" w:rsidRPr="00AA43FB">
        <w:instrText xml:space="preserve"> </w:instrText>
      </w:r>
      <w:r w:rsidR="00A6794A">
        <w:rPr>
          <w:lang w:val="en-US"/>
        </w:rPr>
        <w:instrText>B</w:instrText>
      </w:r>
      <w:r w:rsidR="00A6794A" w:rsidRPr="00AA43FB">
        <w:instrText>-</w:instrText>
      </w:r>
      <w:r w:rsidR="00A6794A">
        <w:rPr>
          <w:lang w:val="en-US"/>
        </w:rPr>
        <w:instrText>cell</w:instrText>
      </w:r>
      <w:r w:rsidR="00A6794A" w:rsidRPr="00AA43FB">
        <w:instrText xml:space="preserve"> </w:instrText>
      </w:r>
      <w:r w:rsidR="00A6794A">
        <w:rPr>
          <w:lang w:val="en-US"/>
        </w:rPr>
        <w:instrText>malignancies</w:instrText>
      </w:r>
      <w:r w:rsidR="00A6794A" w:rsidRPr="00AA43FB">
        <w:instrText xml:space="preserve">, </w:instrText>
      </w:r>
      <w:r w:rsidR="00A6794A">
        <w:rPr>
          <w:lang w:val="en-US"/>
        </w:rPr>
        <w:instrText>while</w:instrText>
      </w:r>
      <w:r w:rsidR="00A6794A" w:rsidRPr="00AA43FB">
        <w:instrText xml:space="preserve"> </w:instrText>
      </w:r>
      <w:r w:rsidR="00A6794A">
        <w:rPr>
          <w:lang w:val="en-US"/>
        </w:rPr>
        <w:instrText>having</w:instrText>
      </w:r>
      <w:r w:rsidR="00A6794A" w:rsidRPr="00AA43FB">
        <w:instrText xml:space="preserve"> </w:instrText>
      </w:r>
      <w:r w:rsidR="00A6794A">
        <w:rPr>
          <w:lang w:val="en-US"/>
        </w:rPr>
        <w:instrText>a</w:instrText>
      </w:r>
      <w:r w:rsidR="00A6794A" w:rsidRPr="00AA43FB">
        <w:instrText xml:space="preserve"> </w:instrText>
      </w:r>
      <w:r w:rsidR="00A6794A">
        <w:rPr>
          <w:lang w:val="en-US"/>
        </w:rPr>
        <w:instrText>well</w:instrText>
      </w:r>
      <w:r w:rsidR="00A6794A" w:rsidRPr="00AA43FB">
        <w:instrText>-</w:instrText>
      </w:r>
      <w:r w:rsidR="00A6794A">
        <w:rPr>
          <w:lang w:val="en-US"/>
        </w:rPr>
        <w:instrText>established</w:instrText>
      </w:r>
      <w:r w:rsidR="00A6794A" w:rsidRPr="00AA43FB">
        <w:instrText xml:space="preserve"> </w:instrText>
      </w:r>
      <w:r w:rsidR="00A6794A">
        <w:rPr>
          <w:lang w:val="en-US"/>
        </w:rPr>
        <w:instrText>and</w:instrText>
      </w:r>
      <w:r w:rsidR="00A6794A" w:rsidRPr="00AA43FB">
        <w:instrText xml:space="preserve"> </w:instrText>
      </w:r>
      <w:r w:rsidR="00A6794A">
        <w:rPr>
          <w:lang w:val="en-US"/>
        </w:rPr>
        <w:instrText>manageable</w:instrText>
      </w:r>
      <w:r w:rsidR="00A6794A" w:rsidRPr="00AA43FB">
        <w:instrText xml:space="preserve"> </w:instrText>
      </w:r>
      <w:r w:rsidR="00A6794A">
        <w:rPr>
          <w:lang w:val="en-US"/>
        </w:rPr>
        <w:instrText>safety</w:instrText>
      </w:r>
      <w:r w:rsidR="00A6794A" w:rsidRPr="00AA43FB">
        <w:instrText xml:space="preserve"> </w:instrText>
      </w:r>
      <w:r w:rsidR="00A6794A">
        <w:rPr>
          <w:lang w:val="en-US"/>
        </w:rPr>
        <w:instrText>profile</w:instrText>
      </w:r>
      <w:r w:rsidR="00A6794A" w:rsidRPr="00AA43FB">
        <w:instrText xml:space="preserve"> </w:instrText>
      </w:r>
      <w:r w:rsidR="00A6794A">
        <w:rPr>
          <w:lang w:val="en-US"/>
        </w:rPr>
        <w:instrText>and</w:instrText>
      </w:r>
      <w:r w:rsidR="00A6794A" w:rsidRPr="00AA43FB">
        <w:instrText xml:space="preserve"> </w:instrText>
      </w:r>
      <w:r w:rsidR="00A6794A">
        <w:rPr>
          <w:lang w:val="en-US"/>
        </w:rPr>
        <w:instrText>a</w:instrText>
      </w:r>
      <w:r w:rsidR="00A6794A" w:rsidRPr="00AA43FB">
        <w:instrText xml:space="preserve"> </w:instrText>
      </w:r>
      <w:r w:rsidR="00A6794A">
        <w:rPr>
          <w:lang w:val="en-US"/>
        </w:rPr>
        <w:instrText>wide</w:instrText>
      </w:r>
      <w:r w:rsidR="00A6794A" w:rsidRPr="00AA43FB">
        <w:instrText xml:space="preserve"> </w:instrText>
      </w:r>
      <w:r w:rsidR="00A6794A">
        <w:rPr>
          <w:lang w:val="en-US"/>
        </w:rPr>
        <w:instrText>therapeutic</w:instrText>
      </w:r>
      <w:r w:rsidR="00A6794A" w:rsidRPr="00AA43FB">
        <w:instrText xml:space="preserve"> </w:instrText>
      </w:r>
      <w:r w:rsidR="00A6794A">
        <w:rPr>
          <w:lang w:val="en-US"/>
        </w:rPr>
        <w:instrText>window</w:instrText>
      </w:r>
      <w:r w:rsidR="00A6794A" w:rsidRPr="00AA43FB">
        <w:instrText xml:space="preserve">. </w:instrText>
      </w:r>
      <w:r w:rsidR="00A6794A">
        <w:rPr>
          <w:lang w:val="en-US"/>
        </w:rPr>
        <w:instrText>As</w:instrText>
      </w:r>
      <w:r w:rsidR="00A6794A" w:rsidRPr="00AA43FB">
        <w:instrText xml:space="preserve"> </w:instrText>
      </w:r>
      <w:r w:rsidR="00A6794A">
        <w:rPr>
          <w:lang w:val="en-US"/>
        </w:rPr>
        <w:instrText>a</w:instrText>
      </w:r>
      <w:r w:rsidR="00A6794A" w:rsidRPr="00AA43FB">
        <w:instrText xml:space="preserve"> </w:instrText>
      </w:r>
      <w:r w:rsidR="00A6794A">
        <w:rPr>
          <w:lang w:val="en-US"/>
        </w:rPr>
        <w:instrText>result</w:instrText>
      </w:r>
      <w:r w:rsidR="00A6794A" w:rsidRPr="00AA43FB">
        <w:instrText xml:space="preserve">, </w:instrText>
      </w:r>
      <w:r w:rsidR="00A6794A">
        <w:rPr>
          <w:lang w:val="en-US"/>
        </w:rPr>
        <w:instrText>rituximab</w:instrText>
      </w:r>
      <w:r w:rsidR="00A6794A" w:rsidRPr="00AA43FB">
        <w:instrText xml:space="preserve"> </w:instrText>
      </w:r>
      <w:r w:rsidR="00A6794A">
        <w:rPr>
          <w:lang w:val="en-US"/>
        </w:rPr>
        <w:instrText>is</w:instrText>
      </w:r>
      <w:r w:rsidR="00A6794A" w:rsidRPr="00AA43FB">
        <w:instrText xml:space="preserve"> </w:instrText>
      </w:r>
      <w:r w:rsidR="00A6794A">
        <w:rPr>
          <w:lang w:val="en-US"/>
        </w:rPr>
        <w:instrText>considered</w:instrText>
      </w:r>
      <w:r w:rsidR="00A6794A" w:rsidRPr="00AA43FB">
        <w:instrText xml:space="preserve"> </w:instrText>
      </w:r>
      <w:r w:rsidR="00A6794A">
        <w:rPr>
          <w:lang w:val="en-US"/>
        </w:rPr>
        <w:instrText>to</w:instrText>
      </w:r>
      <w:r w:rsidR="00A6794A" w:rsidRPr="00AA43FB">
        <w:instrText xml:space="preserve"> </w:instrText>
      </w:r>
      <w:r w:rsidR="00A6794A">
        <w:rPr>
          <w:lang w:val="en-US"/>
        </w:rPr>
        <w:instrText>have</w:instrText>
      </w:r>
      <w:r w:rsidR="00A6794A" w:rsidRPr="00AA43FB">
        <w:instrText xml:space="preserve"> </w:instrText>
      </w:r>
      <w:r w:rsidR="00A6794A">
        <w:rPr>
          <w:lang w:val="en-US"/>
        </w:rPr>
        <w:instrText>revolutionized</w:instrText>
      </w:r>
      <w:r w:rsidR="00A6794A" w:rsidRPr="00AA43FB">
        <w:instrText xml:space="preserve"> </w:instrText>
      </w:r>
      <w:r w:rsidR="00A6794A">
        <w:rPr>
          <w:lang w:val="en-US"/>
        </w:rPr>
        <w:instrText>treatment</w:instrText>
      </w:r>
      <w:r w:rsidR="00A6794A" w:rsidRPr="00AA43FB">
        <w:instrText xml:space="preserve"> </w:instrText>
      </w:r>
      <w:r w:rsidR="00A6794A">
        <w:rPr>
          <w:lang w:val="en-US"/>
        </w:rPr>
        <w:instrText>practices</w:instrText>
      </w:r>
      <w:r w:rsidR="00A6794A" w:rsidRPr="00AA43FB">
        <w:instrText xml:space="preserve"> </w:instrText>
      </w:r>
      <w:r w:rsidR="00A6794A">
        <w:rPr>
          <w:lang w:val="en-US"/>
        </w:rPr>
        <w:instrText>for</w:instrText>
      </w:r>
      <w:r w:rsidR="00A6794A" w:rsidRPr="00AA43FB">
        <w:instrText xml:space="preserve"> </w:instrText>
      </w:r>
      <w:r w:rsidR="00A6794A">
        <w:rPr>
          <w:lang w:val="en-US"/>
        </w:rPr>
        <w:instrText>patients</w:instrText>
      </w:r>
      <w:r w:rsidR="00A6794A" w:rsidRPr="00AA43FB">
        <w:instrText xml:space="preserve"> </w:instrText>
      </w:r>
      <w:r w:rsidR="00A6794A">
        <w:rPr>
          <w:lang w:val="en-US"/>
        </w:rPr>
        <w:instrText>with</w:instrText>
      </w:r>
      <w:r w:rsidR="00A6794A" w:rsidRPr="00AA43FB">
        <w:instrText xml:space="preserve"> </w:instrText>
      </w:r>
      <w:r w:rsidR="00A6794A">
        <w:rPr>
          <w:lang w:val="en-US"/>
        </w:rPr>
        <w:instrText>B</w:instrText>
      </w:r>
      <w:r w:rsidR="00A6794A" w:rsidRPr="00AA43FB">
        <w:instrText>-</w:instrText>
      </w:r>
      <w:r w:rsidR="00A6794A">
        <w:rPr>
          <w:lang w:val="en-US"/>
        </w:rPr>
        <w:instrText>cell</w:instrText>
      </w:r>
      <w:r w:rsidR="00A6794A" w:rsidRPr="00AA43FB">
        <w:instrText xml:space="preserve"> </w:instrText>
      </w:r>
      <w:r w:rsidR="00A6794A">
        <w:rPr>
          <w:lang w:val="en-US"/>
        </w:rPr>
        <w:instrText>malignancies</w:instrText>
      </w:r>
      <w:r w:rsidR="00A6794A" w:rsidRPr="00AA43FB">
        <w:instrText xml:space="preserve">. </w:instrText>
      </w:r>
      <w:r w:rsidR="00A6794A">
        <w:rPr>
          <w:lang w:val="en-US"/>
        </w:rPr>
        <w:instrText>A</w:instrText>
      </w:r>
      <w:r w:rsidR="00A6794A" w:rsidRPr="00AA43FB">
        <w:instrText xml:space="preserve"> </w:instrText>
      </w:r>
      <w:r w:rsidR="00A6794A">
        <w:rPr>
          <w:lang w:val="en-US"/>
        </w:rPr>
        <w:instrText>subcutaneous</w:instrText>
      </w:r>
      <w:r w:rsidR="00A6794A" w:rsidRPr="00AA43FB">
        <w:instrText xml:space="preserve"> (</w:instrText>
      </w:r>
      <w:r w:rsidR="00A6794A">
        <w:rPr>
          <w:lang w:val="en-US"/>
        </w:rPr>
        <w:instrText>SC</w:instrText>
      </w:r>
      <w:r w:rsidR="00A6794A" w:rsidRPr="00AA43FB">
        <w:instrText xml:space="preserve">) </w:instrText>
      </w:r>
      <w:r w:rsidR="00A6794A">
        <w:rPr>
          <w:lang w:val="en-US"/>
        </w:rPr>
        <w:instrText>formulation</w:instrText>
      </w:r>
      <w:r w:rsidR="00A6794A" w:rsidRPr="00AA43FB">
        <w:instrText xml:space="preserve"> </w:instrText>
      </w:r>
      <w:r w:rsidR="00A6794A">
        <w:rPr>
          <w:lang w:val="en-US"/>
        </w:rPr>
        <w:instrText>of</w:instrText>
      </w:r>
      <w:r w:rsidR="00A6794A" w:rsidRPr="00AA43FB">
        <w:instrText xml:space="preserve"> </w:instrText>
      </w:r>
      <w:r w:rsidR="00A6794A">
        <w:rPr>
          <w:lang w:val="en-US"/>
        </w:rPr>
        <w:instrText>rituximab</w:instrText>
      </w:r>
      <w:r w:rsidR="00A6794A" w:rsidRPr="00AA43FB">
        <w:instrText xml:space="preserve"> </w:instrText>
      </w:r>
      <w:r w:rsidR="00A6794A">
        <w:rPr>
          <w:lang w:val="en-US"/>
        </w:rPr>
        <w:instrText>has</w:instrText>
      </w:r>
      <w:r w:rsidR="00A6794A" w:rsidRPr="00AA43FB">
        <w:instrText xml:space="preserve"> </w:instrText>
      </w:r>
      <w:r w:rsidR="00A6794A">
        <w:rPr>
          <w:lang w:val="en-US"/>
        </w:rPr>
        <w:instrText>been</w:instrText>
      </w:r>
      <w:r w:rsidR="00A6794A" w:rsidRPr="00AA43FB">
        <w:instrText xml:space="preserve"> </w:instrText>
      </w:r>
      <w:r w:rsidR="00A6794A">
        <w:rPr>
          <w:lang w:val="en-US"/>
        </w:rPr>
        <w:instrText>developed</w:instrText>
      </w:r>
      <w:r w:rsidR="00A6794A" w:rsidRPr="00AA43FB">
        <w:instrText xml:space="preserve">, </w:instrText>
      </w:r>
      <w:r w:rsidR="00A6794A">
        <w:rPr>
          <w:lang w:val="en-US"/>
        </w:rPr>
        <w:instrText>comprising</w:instrText>
      </w:r>
      <w:r w:rsidR="00A6794A" w:rsidRPr="00AA43FB">
        <w:instrText xml:space="preserve"> </w:instrText>
      </w:r>
      <w:r w:rsidR="00A6794A">
        <w:rPr>
          <w:lang w:val="en-US"/>
        </w:rPr>
        <w:instrText>the</w:instrText>
      </w:r>
      <w:r w:rsidR="00A6794A" w:rsidRPr="00AA43FB">
        <w:instrText xml:space="preserve"> </w:instrText>
      </w:r>
      <w:r w:rsidR="00A6794A">
        <w:rPr>
          <w:lang w:val="en-US"/>
        </w:rPr>
        <w:instrText>same</w:instrText>
      </w:r>
      <w:r w:rsidR="00A6794A" w:rsidRPr="00AA43FB">
        <w:instrText xml:space="preserve"> </w:instrText>
      </w:r>
      <w:r w:rsidR="00A6794A">
        <w:rPr>
          <w:lang w:val="en-US"/>
        </w:rPr>
        <w:instrText>monoclonal</w:instrText>
      </w:r>
      <w:r w:rsidR="00A6794A" w:rsidRPr="00AA43FB">
        <w:instrText xml:space="preserve"> </w:instrText>
      </w:r>
      <w:r w:rsidR="00A6794A">
        <w:rPr>
          <w:lang w:val="en-US"/>
        </w:rPr>
        <w:instrText>antibody</w:instrText>
      </w:r>
      <w:r w:rsidR="00A6794A" w:rsidRPr="00AA43FB">
        <w:instrText xml:space="preserve"> </w:instrText>
      </w:r>
      <w:r w:rsidR="00A6794A">
        <w:rPr>
          <w:lang w:val="en-US"/>
        </w:rPr>
        <w:instrText>as</w:instrText>
      </w:r>
      <w:r w:rsidR="00A6794A" w:rsidRPr="00AA43FB">
        <w:instrText xml:space="preserve"> </w:instrText>
      </w:r>
      <w:r w:rsidR="00A6794A">
        <w:rPr>
          <w:lang w:val="en-US"/>
        </w:rPr>
        <w:instrText>the</w:instrText>
      </w:r>
      <w:r w:rsidR="00A6794A" w:rsidRPr="00AA43FB">
        <w:instrText xml:space="preserve"> </w:instrText>
      </w:r>
      <w:r w:rsidR="00A6794A">
        <w:rPr>
          <w:lang w:val="en-US"/>
        </w:rPr>
        <w:instrText>originally</w:instrText>
      </w:r>
      <w:r w:rsidR="00A6794A" w:rsidRPr="00AA43FB">
        <w:instrText xml:space="preserve"> </w:instrText>
      </w:r>
      <w:r w:rsidR="00A6794A">
        <w:rPr>
          <w:lang w:val="en-US"/>
        </w:rPr>
        <w:instrText>marketed</w:instrText>
      </w:r>
      <w:r w:rsidR="00A6794A" w:rsidRPr="00AA43FB">
        <w:instrText xml:space="preserve"> </w:instrText>
      </w:r>
      <w:r w:rsidR="00A6794A">
        <w:rPr>
          <w:lang w:val="en-US"/>
        </w:rPr>
        <w:instrText>formulation</w:instrText>
      </w:r>
      <w:r w:rsidR="00A6794A" w:rsidRPr="00AA43FB">
        <w:instrText xml:space="preserve"> [</w:instrText>
      </w:r>
      <w:r w:rsidR="00A6794A">
        <w:rPr>
          <w:lang w:val="en-US"/>
        </w:rPr>
        <w:instrText>rituximab</w:instrText>
      </w:r>
      <w:r w:rsidR="00A6794A" w:rsidRPr="00AA43FB">
        <w:instrText xml:space="preserve"> </w:instrText>
      </w:r>
      <w:r w:rsidR="00A6794A">
        <w:rPr>
          <w:lang w:val="en-US"/>
        </w:rPr>
        <w:instrText>concentrate</w:instrText>
      </w:r>
      <w:r w:rsidR="00A6794A" w:rsidRPr="00AA43FB">
        <w:instrText xml:space="preserve"> </w:instrText>
      </w:r>
      <w:r w:rsidR="00A6794A">
        <w:rPr>
          <w:lang w:val="en-US"/>
        </w:rPr>
        <w:instrText>for</w:instrText>
      </w:r>
      <w:r w:rsidR="00A6794A" w:rsidRPr="00AA43FB">
        <w:instrText xml:space="preserve"> </w:instrText>
      </w:r>
      <w:r w:rsidR="00A6794A">
        <w:rPr>
          <w:lang w:val="en-US"/>
        </w:rPr>
        <w:instrText>solution</w:instrText>
      </w:r>
      <w:r w:rsidR="00A6794A" w:rsidRPr="00AA43FB">
        <w:instrText xml:space="preserve"> </w:instrText>
      </w:r>
      <w:r w:rsidR="00A6794A">
        <w:rPr>
          <w:lang w:val="en-US"/>
        </w:rPr>
        <w:instrText>for</w:instrText>
      </w:r>
      <w:r w:rsidR="00A6794A" w:rsidRPr="00AA43FB">
        <w:instrText xml:space="preserve"> </w:instrText>
      </w:r>
      <w:r w:rsidR="00A6794A">
        <w:rPr>
          <w:lang w:val="en-US"/>
        </w:rPr>
        <w:instrText>intravenous</w:instrText>
      </w:r>
      <w:r w:rsidR="00A6794A" w:rsidRPr="00AA43FB">
        <w:instrText xml:space="preserve"> (</w:instrText>
      </w:r>
      <w:r w:rsidR="00A6794A">
        <w:rPr>
          <w:lang w:val="en-US"/>
        </w:rPr>
        <w:instrText>IV</w:instrText>
      </w:r>
      <w:r w:rsidR="00A6794A" w:rsidRPr="00AA43FB">
        <w:instrText xml:space="preserve">) </w:instrText>
      </w:r>
      <w:r w:rsidR="00A6794A">
        <w:rPr>
          <w:lang w:val="en-US"/>
        </w:rPr>
        <w:instrText>infusion</w:instrText>
      </w:r>
      <w:r w:rsidR="00A6794A" w:rsidRPr="00AA43FB">
        <w:instrText xml:space="preserve">], </w:instrText>
      </w:r>
      <w:r w:rsidR="00A6794A">
        <w:rPr>
          <w:lang w:val="en-US"/>
        </w:rPr>
        <w:instrText>and</w:instrText>
      </w:r>
      <w:r w:rsidR="00A6794A" w:rsidRPr="00AA43FB">
        <w:instrText xml:space="preserve"> </w:instrText>
      </w:r>
      <w:r w:rsidR="00A6794A">
        <w:rPr>
          <w:lang w:val="en-US"/>
        </w:rPr>
        <w:instrText>has</w:instrText>
      </w:r>
      <w:r w:rsidR="00A6794A" w:rsidRPr="00AA43FB">
        <w:instrText xml:space="preserve"> </w:instrText>
      </w:r>
      <w:r w:rsidR="00A6794A">
        <w:rPr>
          <w:lang w:val="en-US"/>
        </w:rPr>
        <w:instrText>undergone</w:instrText>
      </w:r>
      <w:r w:rsidR="00A6794A" w:rsidRPr="00AA43FB">
        <w:instrText xml:space="preserve"> </w:instrText>
      </w:r>
      <w:r w:rsidR="00A6794A">
        <w:rPr>
          <w:lang w:val="en-US"/>
        </w:rPr>
        <w:instrText>a</w:instrText>
      </w:r>
      <w:r w:rsidR="00A6794A" w:rsidRPr="00AA43FB">
        <w:instrText xml:space="preserve"> </w:instrText>
      </w:r>
      <w:r w:rsidR="00A6794A">
        <w:rPr>
          <w:lang w:val="en-US"/>
        </w:rPr>
        <w:instrText>detailed</w:instrText>
      </w:r>
      <w:r w:rsidR="00A6794A" w:rsidRPr="00AA43FB">
        <w:instrText xml:space="preserve">, </w:instrText>
      </w:r>
      <w:r w:rsidR="00A6794A">
        <w:rPr>
          <w:lang w:val="en-US"/>
        </w:rPr>
        <w:instrText>sequential</w:instrText>
      </w:r>
      <w:r w:rsidR="00A6794A" w:rsidRPr="00AA43FB">
        <w:instrText xml:space="preserve"> </w:instrText>
      </w:r>
      <w:r w:rsidR="00A6794A">
        <w:rPr>
          <w:lang w:val="en-US"/>
        </w:rPr>
        <w:instrText>clinical</w:instrText>
      </w:r>
      <w:r w:rsidR="00A6794A" w:rsidRPr="00AA43FB">
        <w:instrText xml:space="preserve"> </w:instrText>
      </w:r>
      <w:r w:rsidR="00A6794A">
        <w:rPr>
          <w:lang w:val="en-US"/>
        </w:rPr>
        <w:instrText>development</w:instrText>
      </w:r>
      <w:r w:rsidR="00A6794A" w:rsidRPr="00AA43FB">
        <w:instrText xml:space="preserve"> </w:instrText>
      </w:r>
      <w:r w:rsidR="00A6794A">
        <w:rPr>
          <w:lang w:val="en-US"/>
        </w:rPr>
        <w:instrText>program</w:instrText>
      </w:r>
      <w:r w:rsidR="00A6794A" w:rsidRPr="00AA43FB">
        <w:instrText xml:space="preserve">. </w:instrText>
      </w:r>
      <w:r w:rsidR="00A6794A">
        <w:rPr>
          <w:lang w:val="en-US"/>
        </w:rPr>
        <w:instrText>This</w:instrText>
      </w:r>
      <w:r w:rsidR="00A6794A" w:rsidRPr="00AA43FB">
        <w:instrText xml:space="preserve"> </w:instrText>
      </w:r>
      <w:r w:rsidR="00A6794A">
        <w:rPr>
          <w:lang w:val="en-US"/>
        </w:rPr>
        <w:instrText>program</w:instrText>
      </w:r>
      <w:r w:rsidR="00A6794A" w:rsidRPr="00AA43FB">
        <w:instrText xml:space="preserve"> </w:instrText>
      </w:r>
      <w:r w:rsidR="00A6794A">
        <w:rPr>
          <w:lang w:val="en-US"/>
        </w:rPr>
        <w:instrText>demonstrated</w:instrText>
      </w:r>
      <w:r w:rsidR="00A6794A" w:rsidRPr="00AA43FB">
        <w:instrText xml:space="preserve"> </w:instrText>
      </w:r>
      <w:r w:rsidR="00A6794A">
        <w:rPr>
          <w:lang w:val="en-US"/>
        </w:rPr>
        <w:instrText>that</w:instrText>
      </w:r>
      <w:r w:rsidR="00A6794A" w:rsidRPr="00AA43FB">
        <w:instrText xml:space="preserve">, </w:instrText>
      </w:r>
      <w:r w:rsidR="00A6794A">
        <w:rPr>
          <w:lang w:val="en-US"/>
        </w:rPr>
        <w:instrText>at</w:instrText>
      </w:r>
      <w:r w:rsidR="00A6794A" w:rsidRPr="00AA43FB">
        <w:instrText xml:space="preserve"> </w:instrText>
      </w:r>
      <w:r w:rsidR="00A6794A">
        <w:rPr>
          <w:lang w:val="en-US"/>
        </w:rPr>
        <w:instrText>fixed</w:instrText>
      </w:r>
      <w:r w:rsidR="00A6794A" w:rsidRPr="00AA43FB">
        <w:instrText xml:space="preserve"> </w:instrText>
      </w:r>
      <w:r w:rsidR="00A6794A">
        <w:rPr>
          <w:lang w:val="en-US"/>
        </w:rPr>
        <w:instrText>doses</w:instrText>
      </w:r>
      <w:r w:rsidR="00A6794A" w:rsidRPr="00AA43FB">
        <w:instrText xml:space="preserve">, </w:instrText>
      </w:r>
      <w:r w:rsidR="00A6794A">
        <w:rPr>
          <w:lang w:val="en-US"/>
        </w:rPr>
        <w:instrText>rituximab</w:instrText>
      </w:r>
      <w:r w:rsidR="00A6794A" w:rsidRPr="00AA43FB">
        <w:instrText xml:space="preserve"> </w:instrText>
      </w:r>
      <w:r w:rsidR="00A6794A">
        <w:rPr>
          <w:lang w:val="en-US"/>
        </w:rPr>
        <w:instrText>SC</w:instrText>
      </w:r>
      <w:r w:rsidR="00A6794A" w:rsidRPr="00AA43FB">
        <w:instrText xml:space="preserve"> </w:instrText>
      </w:r>
      <w:r w:rsidR="00A6794A">
        <w:rPr>
          <w:lang w:val="en-US"/>
        </w:rPr>
        <w:instrText>achieves</w:instrText>
      </w:r>
      <w:r w:rsidR="00A6794A" w:rsidRPr="00AA43FB">
        <w:instrText xml:space="preserve"> </w:instrText>
      </w:r>
      <w:r w:rsidR="00A6794A">
        <w:rPr>
          <w:lang w:val="en-US"/>
        </w:rPr>
        <w:instrText>non</w:instrText>
      </w:r>
      <w:r w:rsidR="00A6794A" w:rsidRPr="00AA43FB">
        <w:instrText>-</w:instrText>
      </w:r>
      <w:r w:rsidR="00A6794A">
        <w:rPr>
          <w:lang w:val="en-US"/>
        </w:rPr>
        <w:instrText>inferior</w:instrText>
      </w:r>
      <w:r w:rsidR="00A6794A" w:rsidRPr="00AA43FB">
        <w:instrText xml:space="preserve"> </w:instrText>
      </w:r>
      <w:r w:rsidR="00A6794A">
        <w:rPr>
          <w:lang w:val="en-US"/>
        </w:rPr>
        <w:instrText>serum</w:instrText>
      </w:r>
      <w:r w:rsidR="00A6794A" w:rsidRPr="00AA43FB">
        <w:instrText xml:space="preserve"> </w:instrText>
      </w:r>
      <w:r w:rsidR="00A6794A">
        <w:rPr>
          <w:lang w:val="en-US"/>
        </w:rPr>
        <w:instrText>trough</w:instrText>
      </w:r>
      <w:r w:rsidR="00A6794A" w:rsidRPr="00AA43FB">
        <w:instrText xml:space="preserve"> </w:instrText>
      </w:r>
      <w:r w:rsidR="00A6794A">
        <w:rPr>
          <w:lang w:val="en-US"/>
        </w:rPr>
        <w:instrText>concentrations</w:instrText>
      </w:r>
      <w:r w:rsidR="00A6794A" w:rsidRPr="00AA43FB">
        <w:instrText xml:space="preserve"> </w:instrText>
      </w:r>
      <w:r w:rsidR="00A6794A">
        <w:rPr>
          <w:lang w:val="en-US"/>
        </w:rPr>
        <w:instrText>in</w:instrText>
      </w:r>
      <w:r w:rsidR="00A6794A" w:rsidRPr="00AA43FB">
        <w:instrText xml:space="preserve"> </w:instrText>
      </w:r>
      <w:r w:rsidR="00A6794A">
        <w:rPr>
          <w:lang w:val="en-US"/>
        </w:rPr>
        <w:instrText>patients</w:instrText>
      </w:r>
      <w:r w:rsidR="00A6794A" w:rsidRPr="00AA43FB">
        <w:instrText xml:space="preserve"> </w:instrText>
      </w:r>
      <w:r w:rsidR="00A6794A">
        <w:rPr>
          <w:lang w:val="en-US"/>
        </w:rPr>
        <w:instrText>with</w:instrText>
      </w:r>
      <w:r w:rsidR="00A6794A" w:rsidRPr="00AA43FB">
        <w:instrText xml:space="preserve"> </w:instrText>
      </w:r>
      <w:r w:rsidR="00A6794A">
        <w:rPr>
          <w:lang w:val="en-US"/>
        </w:rPr>
        <w:instrText>non</w:instrText>
      </w:r>
      <w:r w:rsidR="00A6794A" w:rsidRPr="00AA43FB">
        <w:instrText>-</w:instrText>
      </w:r>
      <w:r w:rsidR="00A6794A">
        <w:rPr>
          <w:lang w:val="en-US"/>
        </w:rPr>
        <w:instrText>Hodgkin</w:instrText>
      </w:r>
      <w:r w:rsidR="00A6794A" w:rsidRPr="00AA43FB">
        <w:instrText xml:space="preserve"> </w:instrText>
      </w:r>
      <w:r w:rsidR="00A6794A">
        <w:rPr>
          <w:lang w:val="en-US"/>
        </w:rPr>
        <w:instrText>lymphoma</w:instrText>
      </w:r>
      <w:r w:rsidR="00A6794A" w:rsidRPr="00AA43FB">
        <w:instrText xml:space="preserve"> </w:instrText>
      </w:r>
      <w:r w:rsidR="00A6794A">
        <w:rPr>
          <w:lang w:val="en-US"/>
        </w:rPr>
        <w:instrText>and</w:instrText>
      </w:r>
      <w:r w:rsidR="00A6794A" w:rsidRPr="00AA43FB">
        <w:instrText xml:space="preserve"> </w:instrText>
      </w:r>
      <w:r w:rsidR="00A6794A">
        <w:rPr>
          <w:lang w:val="en-US"/>
        </w:rPr>
        <w:instrText>chronic</w:instrText>
      </w:r>
      <w:r w:rsidR="00A6794A" w:rsidRPr="00AA43FB">
        <w:instrText xml:space="preserve"> </w:instrText>
      </w:r>
      <w:r w:rsidR="00A6794A">
        <w:rPr>
          <w:lang w:val="en-US"/>
        </w:rPr>
        <w:instrText>lymphocytic</w:instrText>
      </w:r>
      <w:r w:rsidR="00A6794A" w:rsidRPr="00AA43FB">
        <w:instrText xml:space="preserve"> </w:instrText>
      </w:r>
      <w:r w:rsidR="00A6794A">
        <w:rPr>
          <w:lang w:val="en-US"/>
        </w:rPr>
        <w:instrText>leukemia</w:instrText>
      </w:r>
      <w:r w:rsidR="00A6794A" w:rsidRPr="00AA43FB">
        <w:instrText xml:space="preserve">, </w:instrText>
      </w:r>
      <w:r w:rsidR="00A6794A">
        <w:rPr>
          <w:lang w:val="en-US"/>
        </w:rPr>
        <w:instrText>with</w:instrText>
      </w:r>
      <w:r w:rsidR="00A6794A" w:rsidRPr="00AA43FB">
        <w:instrText xml:space="preserve"> </w:instrText>
      </w:r>
      <w:r w:rsidR="00A6794A">
        <w:rPr>
          <w:lang w:val="en-US"/>
        </w:rPr>
        <w:instrText>comparable</w:instrText>
      </w:r>
      <w:r w:rsidR="00A6794A" w:rsidRPr="00AA43FB">
        <w:instrText xml:space="preserve"> </w:instrText>
      </w:r>
      <w:r w:rsidR="00A6794A">
        <w:rPr>
          <w:lang w:val="en-US"/>
        </w:rPr>
        <w:instrText>efficacy</w:instrText>
      </w:r>
      <w:r w:rsidR="00A6794A" w:rsidRPr="00AA43FB">
        <w:instrText xml:space="preserve"> </w:instrText>
      </w:r>
      <w:r w:rsidR="00A6794A">
        <w:rPr>
          <w:lang w:val="en-US"/>
        </w:rPr>
        <w:instrText>and</w:instrText>
      </w:r>
      <w:r w:rsidR="00A6794A" w:rsidRPr="00AA43FB">
        <w:instrText xml:space="preserve"> </w:instrText>
      </w:r>
      <w:r w:rsidR="00A6794A">
        <w:rPr>
          <w:lang w:val="en-US"/>
        </w:rPr>
        <w:instrText>safety</w:instrText>
      </w:r>
      <w:r w:rsidR="00A6794A" w:rsidRPr="00AA43FB">
        <w:instrText xml:space="preserve"> </w:instrText>
      </w:r>
      <w:r w:rsidR="00A6794A">
        <w:rPr>
          <w:lang w:val="en-US"/>
        </w:rPr>
        <w:instrText>relative</w:instrText>
      </w:r>
      <w:r w:rsidR="00A6794A" w:rsidRPr="00AA43FB">
        <w:instrText xml:space="preserve"> </w:instrText>
      </w:r>
      <w:r w:rsidR="00A6794A">
        <w:rPr>
          <w:lang w:val="en-US"/>
        </w:rPr>
        <w:instrText>to</w:instrText>
      </w:r>
      <w:r w:rsidR="00A6794A" w:rsidRPr="00AA43FB">
        <w:instrText xml:space="preserve"> </w:instrText>
      </w:r>
      <w:r w:rsidR="00A6794A">
        <w:rPr>
          <w:lang w:val="en-US"/>
        </w:rPr>
        <w:instrText>the</w:instrText>
      </w:r>
      <w:r w:rsidR="00A6794A" w:rsidRPr="00AA43FB">
        <w:instrText xml:space="preserve"> </w:instrText>
      </w:r>
      <w:r w:rsidR="00A6794A">
        <w:rPr>
          <w:lang w:val="en-US"/>
        </w:rPr>
        <w:instrText>IV</w:instrText>
      </w:r>
      <w:r w:rsidR="00A6794A" w:rsidRPr="00AA43FB">
        <w:instrText xml:space="preserve"> </w:instrText>
      </w:r>
      <w:r w:rsidR="00A6794A">
        <w:rPr>
          <w:lang w:val="en-US"/>
        </w:rPr>
        <w:instrText>formulation</w:instrText>
      </w:r>
      <w:r w:rsidR="00A6794A" w:rsidRPr="00AA43FB">
        <w:instrText xml:space="preserve">. </w:instrText>
      </w:r>
      <w:r w:rsidR="00A6794A">
        <w:rPr>
          <w:lang w:val="en-US"/>
        </w:rPr>
        <w:instrText>The</w:instrText>
      </w:r>
      <w:r w:rsidR="00A6794A" w:rsidRPr="00AA43FB">
        <w:instrText xml:space="preserve"> </w:instrText>
      </w:r>
      <w:r w:rsidR="00A6794A">
        <w:rPr>
          <w:lang w:val="en-US"/>
        </w:rPr>
        <w:instrText>added</w:instrText>
      </w:r>
      <w:r w:rsidR="00A6794A" w:rsidRPr="00AA43FB">
        <w:instrText xml:space="preserve"> </w:instrText>
      </w:r>
      <w:r w:rsidR="00A6794A">
        <w:rPr>
          <w:lang w:val="en-US"/>
        </w:rPr>
        <w:instrText>benefit</w:instrText>
      </w:r>
      <w:r w:rsidR="00A6794A" w:rsidRPr="00AA43FB">
        <w:instrText xml:space="preserve"> </w:instrText>
      </w:r>
      <w:r w:rsidR="00A6794A">
        <w:rPr>
          <w:lang w:val="en-US"/>
        </w:rPr>
        <w:instrText>of</w:instrText>
      </w:r>
      <w:r w:rsidR="00A6794A" w:rsidRPr="00AA43FB">
        <w:instrText xml:space="preserve"> </w:instrText>
      </w:r>
      <w:r w:rsidR="00A6794A">
        <w:rPr>
          <w:lang w:val="en-US"/>
        </w:rPr>
        <w:instrText>rituximab</w:instrText>
      </w:r>
      <w:r w:rsidR="00A6794A" w:rsidRPr="00AA43FB">
        <w:instrText xml:space="preserve"> </w:instrText>
      </w:r>
      <w:r w:rsidR="00A6794A">
        <w:rPr>
          <w:lang w:val="en-US"/>
        </w:rPr>
        <w:instrText>SC</w:instrText>
      </w:r>
      <w:r w:rsidR="00A6794A" w:rsidRPr="00AA43FB">
        <w:instrText xml:space="preserve"> </w:instrText>
      </w:r>
      <w:r w:rsidR="00A6794A">
        <w:rPr>
          <w:lang w:val="en-US"/>
        </w:rPr>
        <w:instrText>was</w:instrText>
      </w:r>
      <w:r w:rsidR="00A6794A" w:rsidRPr="00AA43FB">
        <w:instrText xml:space="preserve"> </w:instrText>
      </w:r>
      <w:r w:rsidR="00A6794A">
        <w:rPr>
          <w:lang w:val="en-US"/>
        </w:rPr>
        <w:instrText>demonstrated</w:instrText>
      </w:r>
      <w:r w:rsidR="00A6794A" w:rsidRPr="00AA43FB">
        <w:instrText xml:space="preserve"> </w:instrText>
      </w:r>
      <w:r w:rsidR="00A6794A">
        <w:rPr>
          <w:lang w:val="en-US"/>
        </w:rPr>
        <w:instrText>in</w:instrText>
      </w:r>
      <w:r w:rsidR="00A6794A" w:rsidRPr="00AA43FB">
        <w:instrText xml:space="preserve"> </w:instrText>
      </w:r>
      <w:r w:rsidR="00A6794A">
        <w:rPr>
          <w:lang w:val="en-US"/>
        </w:rPr>
        <w:instrText>dedicated</w:instrText>
      </w:r>
      <w:r w:rsidR="00A6794A" w:rsidRPr="00AA43FB">
        <w:instrText xml:space="preserve"> </w:instrText>
      </w:r>
      <w:r w:rsidR="00A6794A">
        <w:rPr>
          <w:lang w:val="en-US"/>
        </w:rPr>
        <w:instrText>studies</w:instrText>
      </w:r>
      <w:r w:rsidR="00A6794A" w:rsidRPr="00AA43FB">
        <w:instrText xml:space="preserve"> </w:instrText>
      </w:r>
      <w:r w:rsidR="00A6794A">
        <w:rPr>
          <w:lang w:val="en-US"/>
        </w:rPr>
        <w:instrText>showing</w:instrText>
      </w:r>
      <w:r w:rsidR="00A6794A" w:rsidRPr="00AA43FB">
        <w:instrText xml:space="preserve"> </w:instrText>
      </w:r>
      <w:r w:rsidR="00A6794A">
        <w:rPr>
          <w:lang w:val="en-US"/>
        </w:rPr>
        <w:instrText>that</w:instrText>
      </w:r>
      <w:r w:rsidR="00A6794A" w:rsidRPr="00AA43FB">
        <w:instrText xml:space="preserve"> </w:instrText>
      </w:r>
      <w:r w:rsidR="00A6794A">
        <w:rPr>
          <w:lang w:val="en-US"/>
        </w:rPr>
        <w:instrText>rituximab</w:instrText>
      </w:r>
      <w:r w:rsidR="00A6794A" w:rsidRPr="00AA43FB">
        <w:instrText xml:space="preserve"> </w:instrText>
      </w:r>
      <w:r w:rsidR="00A6794A">
        <w:rPr>
          <w:lang w:val="en-US"/>
        </w:rPr>
        <w:instrText>SC</w:instrText>
      </w:r>
      <w:r w:rsidR="00A6794A" w:rsidRPr="00AA43FB">
        <w:instrText xml:space="preserve"> </w:instrText>
      </w:r>
      <w:r w:rsidR="00A6794A">
        <w:rPr>
          <w:lang w:val="en-US"/>
        </w:rPr>
        <w:instrText>allows</w:instrText>
      </w:r>
      <w:r w:rsidR="00A6794A" w:rsidRPr="00AA43FB">
        <w:instrText xml:space="preserve"> </w:instrText>
      </w:r>
      <w:r w:rsidR="00A6794A">
        <w:rPr>
          <w:lang w:val="en-US"/>
        </w:rPr>
        <w:instrText>for</w:instrText>
      </w:r>
      <w:r w:rsidR="00A6794A" w:rsidRPr="00AA43FB">
        <w:instrText xml:space="preserve"> </w:instrText>
      </w:r>
      <w:r w:rsidR="00A6794A">
        <w:rPr>
          <w:lang w:val="en-US"/>
        </w:rPr>
        <w:instrText>simplified</w:instrText>
      </w:r>
      <w:r w:rsidR="00A6794A" w:rsidRPr="00AA43FB">
        <w:instrText xml:space="preserve"> </w:instrText>
      </w:r>
      <w:r w:rsidR="00A6794A">
        <w:rPr>
          <w:lang w:val="en-US"/>
        </w:rPr>
        <w:instrText>and</w:instrText>
      </w:r>
      <w:r w:rsidR="00A6794A" w:rsidRPr="00AA43FB">
        <w:instrText xml:space="preserve"> </w:instrText>
      </w:r>
      <w:r w:rsidR="00A6794A">
        <w:rPr>
          <w:lang w:val="en-US"/>
        </w:rPr>
        <w:instrText>shortened</w:instrText>
      </w:r>
      <w:r w:rsidR="00A6794A" w:rsidRPr="00AA43FB">
        <w:instrText xml:space="preserve"> </w:instrText>
      </w:r>
      <w:r w:rsidR="00A6794A">
        <w:rPr>
          <w:lang w:val="en-US"/>
        </w:rPr>
        <w:instrText>drug</w:instrText>
      </w:r>
      <w:r w:rsidR="00A6794A" w:rsidRPr="00AA43FB">
        <w:instrText xml:space="preserve"> </w:instrText>
      </w:r>
      <w:r w:rsidR="00A6794A">
        <w:rPr>
          <w:lang w:val="en-US"/>
        </w:rPr>
        <w:instrText>preparation</w:instrText>
      </w:r>
      <w:r w:rsidR="00A6794A" w:rsidRPr="00AA43FB">
        <w:instrText xml:space="preserve"> </w:instrText>
      </w:r>
      <w:r w:rsidR="00A6794A">
        <w:rPr>
          <w:lang w:val="en-US"/>
        </w:rPr>
        <w:instrText>and</w:instrText>
      </w:r>
      <w:r w:rsidR="00A6794A" w:rsidRPr="00AA43FB">
        <w:instrText xml:space="preserve"> </w:instrText>
      </w:r>
      <w:r w:rsidR="00A6794A">
        <w:rPr>
          <w:lang w:val="en-US"/>
        </w:rPr>
        <w:instrText>administration</w:instrText>
      </w:r>
      <w:r w:rsidR="00A6794A" w:rsidRPr="00AA43FB">
        <w:instrText xml:space="preserve"> </w:instrText>
      </w:r>
      <w:r w:rsidR="00A6794A">
        <w:rPr>
          <w:lang w:val="en-US"/>
        </w:rPr>
        <w:instrText>times</w:instrText>
      </w:r>
      <w:r w:rsidR="00A6794A" w:rsidRPr="00AA43FB">
        <w:instrText xml:space="preserve"> </w:instrText>
      </w:r>
      <w:r w:rsidR="00A6794A">
        <w:rPr>
          <w:lang w:val="en-US"/>
        </w:rPr>
        <w:instrText>resulting</w:instrText>
      </w:r>
      <w:r w:rsidR="00A6794A" w:rsidRPr="00AA43FB">
        <w:instrText xml:space="preserve"> </w:instrText>
      </w:r>
      <w:r w:rsidR="00A6794A">
        <w:rPr>
          <w:lang w:val="en-US"/>
        </w:rPr>
        <w:instrText>in</w:instrText>
      </w:r>
      <w:r w:rsidR="00A6794A" w:rsidRPr="00AA43FB">
        <w:instrText xml:space="preserve"> </w:instrText>
      </w:r>
      <w:r w:rsidR="00A6794A">
        <w:rPr>
          <w:lang w:val="en-US"/>
        </w:rPr>
        <w:instrText>a</w:instrText>
      </w:r>
      <w:r w:rsidR="00A6794A" w:rsidRPr="00AA43FB">
        <w:instrText xml:space="preserve"> </w:instrText>
      </w:r>
      <w:r w:rsidR="00A6794A">
        <w:rPr>
          <w:lang w:val="en-US"/>
        </w:rPr>
        <w:instrText>reduced</w:instrText>
      </w:r>
      <w:r w:rsidR="00A6794A" w:rsidRPr="00AA43FB">
        <w:instrText xml:space="preserve"> </w:instrText>
      </w:r>
      <w:r w:rsidR="00A6794A">
        <w:rPr>
          <w:lang w:val="en-US"/>
        </w:rPr>
        <w:instrText>treatment</w:instrText>
      </w:r>
      <w:r w:rsidR="00A6794A" w:rsidRPr="00AA43FB">
        <w:instrText xml:space="preserve"> </w:instrText>
      </w:r>
      <w:r w:rsidR="00A6794A">
        <w:rPr>
          <w:lang w:val="en-US"/>
        </w:rPr>
        <w:instrText>burden</w:instrText>
      </w:r>
      <w:r w:rsidR="00A6794A" w:rsidRPr="00AA43FB">
        <w:instrText xml:space="preserve"> </w:instrText>
      </w:r>
      <w:r w:rsidR="00A6794A">
        <w:rPr>
          <w:lang w:val="en-US"/>
        </w:rPr>
        <w:instrText>for</w:instrText>
      </w:r>
      <w:r w:rsidR="00A6794A" w:rsidRPr="00AA43FB">
        <w:instrText xml:space="preserve"> </w:instrText>
      </w:r>
      <w:r w:rsidR="00A6794A">
        <w:rPr>
          <w:lang w:val="en-US"/>
        </w:rPr>
        <w:instrText>patients</w:instrText>
      </w:r>
      <w:r w:rsidR="00A6794A" w:rsidRPr="00AA43FB">
        <w:instrText xml:space="preserve"> </w:instrText>
      </w:r>
      <w:r w:rsidR="00A6794A">
        <w:rPr>
          <w:lang w:val="en-US"/>
        </w:rPr>
        <w:instrText>as</w:instrText>
      </w:r>
      <w:r w:rsidR="00A6794A" w:rsidRPr="00AA43FB">
        <w:instrText xml:space="preserve"> </w:instrText>
      </w:r>
      <w:r w:rsidR="00A6794A">
        <w:rPr>
          <w:lang w:val="en-US"/>
        </w:rPr>
        <w:instrText>well</w:instrText>
      </w:r>
      <w:r w:rsidR="00A6794A" w:rsidRPr="00AA43FB">
        <w:instrText xml:space="preserve"> </w:instrText>
      </w:r>
      <w:r w:rsidR="00A6794A">
        <w:rPr>
          <w:lang w:val="en-US"/>
        </w:rPr>
        <w:instrText>as</w:instrText>
      </w:r>
      <w:r w:rsidR="00A6794A" w:rsidRPr="00AA43FB">
        <w:instrText xml:space="preserve"> </w:instrText>
      </w:r>
      <w:r w:rsidR="00A6794A">
        <w:rPr>
          <w:lang w:val="en-US"/>
        </w:rPr>
        <w:instrText>improved</w:instrText>
      </w:r>
      <w:r w:rsidR="00A6794A" w:rsidRPr="00AA43FB">
        <w:instrText xml:space="preserve"> </w:instrText>
      </w:r>
      <w:r w:rsidR="00A6794A">
        <w:rPr>
          <w:lang w:val="en-US"/>
        </w:rPr>
        <w:instrText>resource</w:instrText>
      </w:r>
      <w:r w:rsidR="00A6794A" w:rsidRPr="00AA43FB">
        <w:instrText xml:space="preserve"> </w:instrText>
      </w:r>
      <w:r w:rsidR="00A6794A">
        <w:rPr>
          <w:lang w:val="en-US"/>
        </w:rPr>
        <w:instrText>utilization</w:instrText>
      </w:r>
      <w:r w:rsidR="00A6794A" w:rsidRPr="00AA43FB">
        <w:instrText xml:space="preserve"> (</w:instrText>
      </w:r>
      <w:r w:rsidR="00A6794A">
        <w:rPr>
          <w:lang w:val="en-US"/>
        </w:rPr>
        <w:instrText>efficiency</w:instrText>
      </w:r>
      <w:r w:rsidR="00A6794A" w:rsidRPr="00AA43FB">
        <w:instrText xml:space="preserve">) </w:instrText>
      </w:r>
      <w:r w:rsidR="00A6794A">
        <w:rPr>
          <w:lang w:val="en-US"/>
        </w:rPr>
        <w:instrText>at</w:instrText>
      </w:r>
      <w:r w:rsidR="00A6794A" w:rsidRPr="00AA43FB">
        <w:instrText xml:space="preserve"> </w:instrText>
      </w:r>
      <w:r w:rsidR="00A6794A">
        <w:rPr>
          <w:lang w:val="en-US"/>
        </w:rPr>
        <w:instrText>the</w:instrText>
      </w:r>
      <w:r w:rsidR="00A6794A" w:rsidRPr="00AA43FB">
        <w:instrText xml:space="preserve"> </w:instrText>
      </w:r>
      <w:r w:rsidR="00A6794A">
        <w:rPr>
          <w:lang w:val="en-US"/>
        </w:rPr>
        <w:instrText>treatment</w:instrText>
      </w:r>
      <w:r w:rsidR="00A6794A" w:rsidRPr="00AA43FB">
        <w:instrText xml:space="preserve"> </w:instrText>
      </w:r>
      <w:r w:rsidR="00A6794A">
        <w:rPr>
          <w:lang w:val="en-US"/>
        </w:rPr>
        <w:instrText>facility</w:instrText>
      </w:r>
      <w:r w:rsidR="00A6794A" w:rsidRPr="00AA43FB">
        <w:instrText xml:space="preserve">. </w:instrText>
      </w:r>
      <w:r w:rsidR="00A6794A">
        <w:rPr>
          <w:lang w:val="en-US"/>
        </w:rPr>
        <w:instrText>The</w:instrText>
      </w:r>
      <w:r w:rsidR="00A6794A" w:rsidRPr="00AA43FB">
        <w:instrText xml:space="preserve"> </w:instrText>
      </w:r>
      <w:r w:rsidR="00A6794A">
        <w:rPr>
          <w:lang w:val="en-US"/>
        </w:rPr>
        <w:instrText>improved</w:instrText>
      </w:r>
      <w:r w:rsidR="00A6794A" w:rsidRPr="00AA43FB">
        <w:instrText xml:space="preserve"> </w:instrText>
      </w:r>
      <w:r w:rsidR="00A6794A">
        <w:rPr>
          <w:lang w:val="en-US"/>
        </w:rPr>
        <w:instrText>efficiency</w:instrText>
      </w:r>
      <w:r w:rsidR="00A6794A" w:rsidRPr="00AA43FB">
        <w:instrText xml:space="preserve"> </w:instrText>
      </w:r>
      <w:r w:rsidR="00A6794A">
        <w:rPr>
          <w:lang w:val="en-US"/>
        </w:rPr>
        <w:instrText>of</w:instrText>
      </w:r>
      <w:r w:rsidR="00A6794A" w:rsidRPr="00AA43FB">
        <w:instrText xml:space="preserve"> </w:instrText>
      </w:r>
      <w:r w:rsidR="00A6794A">
        <w:rPr>
          <w:lang w:val="en-US"/>
        </w:rPr>
        <w:instrText>delivering</w:instrText>
      </w:r>
      <w:r w:rsidR="00A6794A" w:rsidRPr="00AA43FB">
        <w:instrText xml:space="preserve"> </w:instrText>
      </w:r>
      <w:r w:rsidR="00A6794A">
        <w:rPr>
          <w:lang w:val="en-US"/>
        </w:rPr>
        <w:instrText>rituximab</w:instrText>
      </w:r>
      <w:r w:rsidR="00A6794A" w:rsidRPr="00AA43FB">
        <w:instrText>’</w:instrText>
      </w:r>
      <w:r w:rsidR="00A6794A">
        <w:rPr>
          <w:lang w:val="en-US"/>
        </w:rPr>
        <w:instrText>s</w:instrText>
      </w:r>
      <w:r w:rsidR="00A6794A" w:rsidRPr="00AA43FB">
        <w:instrText xml:space="preserve"> </w:instrText>
      </w:r>
      <w:r w:rsidR="00A6794A">
        <w:rPr>
          <w:lang w:val="en-US"/>
        </w:rPr>
        <w:instrText>benefit</w:instrText>
      </w:r>
      <w:r w:rsidR="00A6794A" w:rsidRPr="00AA43FB">
        <w:instrText xml:space="preserve"> </w:instrText>
      </w:r>
      <w:r w:rsidR="00A6794A">
        <w:rPr>
          <w:lang w:val="en-US"/>
        </w:rPr>
        <w:instrText>to</w:instrText>
      </w:r>
      <w:r w:rsidR="00A6794A" w:rsidRPr="00AA43FB">
        <w:instrText xml:space="preserve"> </w:instrText>
      </w:r>
      <w:r w:rsidR="00A6794A">
        <w:rPr>
          <w:lang w:val="en-US"/>
        </w:rPr>
        <w:instrText>patients</w:instrText>
      </w:r>
      <w:r w:rsidR="00A6794A" w:rsidRPr="00AA43FB">
        <w:instrText xml:space="preserve"> </w:instrText>
      </w:r>
      <w:r w:rsidR="00A6794A">
        <w:rPr>
          <w:lang w:val="en-US"/>
        </w:rPr>
        <w:instrText>may</w:instrText>
      </w:r>
      <w:r w:rsidR="00A6794A" w:rsidRPr="00AA43FB">
        <w:instrText xml:space="preserve"> </w:instrText>
      </w:r>
      <w:r w:rsidR="00A6794A">
        <w:rPr>
          <w:lang w:val="en-US"/>
        </w:rPr>
        <w:instrText>broaden</w:instrText>
      </w:r>
      <w:r w:rsidR="00A6794A" w:rsidRPr="00AA43FB">
        <w:instrText xml:space="preserve"> </w:instrText>
      </w:r>
      <w:r w:rsidR="00A6794A">
        <w:rPr>
          <w:lang w:val="en-US"/>
        </w:rPr>
        <w:instrText>patient</w:instrText>
      </w:r>
      <w:r w:rsidR="00A6794A" w:rsidRPr="00AA43FB">
        <w:instrText xml:space="preserve"> </w:instrText>
      </w:r>
      <w:r w:rsidR="00A6794A">
        <w:rPr>
          <w:lang w:val="en-US"/>
        </w:rPr>
        <w:instrText>access</w:instrText>
      </w:r>
      <w:r w:rsidR="00A6794A" w:rsidRPr="00AA43FB">
        <w:instrText xml:space="preserve"> </w:instrText>
      </w:r>
      <w:r w:rsidR="00A6794A">
        <w:rPr>
          <w:lang w:val="en-US"/>
        </w:rPr>
        <w:instrText>to rituximab therapy in areas with low levels of healthcare resources, including IV-chair capacity constraints. This article is a companion paper to G. Salles, et al., which is also published in this issue. Funding: F. Hoffmann-La Roche Ltd.","author":[{"dropping-particle":"","family":"Davies","given":"Andrew","non-dropping-particle":"","parse-names":false,"suffix":""},{"dropping-particle":"","family":"Berge","given":"Claude","non-dropping-particle":"","parse-names":false,"suffix":""},{"dropping-particle":"","family":"Boehnke","given":"Axel","non-dropping-particle":"","parse-names":false,"suffix":""},{"dropping-particle":"","family":"Dadabhoy","given":"Anjum","non-dropping-particle":"","parse-names":false,"suffix":""},{"dropping-particle":"","family":"Lugtenburg","given":"Pieternella","non-dropping-particle":"","parse-names":false,"suffix":""},{"dropping-particle":"","family":"Rule","given":"Simon","non-dropping-particle":"","parse-names":false,"suffix":""},{"dropping-particle":"","family":"Rummel","given":"Mathias","non-dropping-particle":"","parse-names":false,"suffix":""},{"dropping-particle":"","family":"McIntyre","given":"Christine","non-dropping-particle":"","parse-names":false,"suffix":""},{"dropping-particle":"","family":"Smith","given":"Rodney","non-dropping-particle":"","parse-names":false,"suffix":""},{"dropping-particle":"","family":"Badoux","given":"Xavier","non-dropping-particle":"","parse-names":false,"suffix":""}],"container-title":"Advances in Therapy","id":"ITEM-2","issue":"10","issued":{"date-parts":[["2017","10","1"]]},"page":"2210-2231","publisher":"Springer Healthcare","title":"Subcutaneous Rituximab for the Treatment of B-Cell Hematologic Malignancies: A Review of the Scientific Rationale and Clinical Development","type":"article","volume":"34"},"uris":["http://www.mendeley.com/documents/?uuid=c91e99c4-7e72-3803-909e-84f3e662a6e0"]},{"id":"ITEM-3","itemData":{"DOI":"10.1111/bjh.16227","ISSN":"0007-1048","abstract":"Rituximab is a standard treatment for non-Hodgkin diffuse large B-cell (DLBCL) and follicular (FL) lymphomas. A subcutaneous formulation was developed to improve the resource use of intravenous rituximab, with comparable efficacy and safety profiles except for increased administration-related reactions (ARRs). MabRella was a phase IIIb trial to assess the safety of switching from intravenous to subcutaneous administration of rituximab during first-line induction/maintenance for DLBCL or FL, focusing on ARRs. Efficacy, satisfaction and quality of life were also assessed. Patients received subcutaneous rituximab plus standard induction chemotherapy for DLBCL or FL for 4–7 cycles, and/or every 2 months maintenance monotherapy for FL for 6–12 cycles. The study included 140 patients: DLBCL, n = 29; FL, n = 111. Ninety-five percent of patients experienced adverse events, reaching grade ≥3 in 38·6% and were serious in 30·0%. AARs occurred in 48·6%, mostly (84·9%) at the injection site, with only 2·1% of patients reaching grade 3. The end-of-induction complete/unconfirmed complete response rate was 69·6%. After a median follow-up of 33·5 months, median disease-/event-/progression-free and overall survivals were not attained. The Rituximab Administration Satisfaction Questionnaire showed improvements in overall satisfaction and the EuroQoL-5D a good quality-of-life perception at induction/maintenance end. Therefore, switching to subcutaneous rituximab showed no new safety issues and maintained efficacy with improved satisfaction and quality of life.","author":[{"dropping-particle":"","family":"García‐Muñoz","given":"Ricardo","non-dropping-particle":"","parse-names":false,"suffix":""},{"dropping-particle":"","family":"Quero","given":"Cristina","non-dropping-particle":"","parse-names":false,"suffix":""},{"dropping-particle":"","family":"Pérez‐Persona","given":"Ernesto","non-dropping-particle":"","parse-names":false,"suffix":""},{"dropping-particle":"","family":"Domingo‐García","given":"Abel","non-dropping-particle":"","parse-names":false,"suffix":""},{"dropping-particle":"","family":"Pérez‐López","given":"Cristina","non-dropping-particle":"","parse-names":false,"suffix":""},{"dropping-particle":"","family":"Villaescusa‐de‐la‐Rosa","given":"Teresa","non-dropping-particle":"","parse-names":false,"suffix":""},{"dropping-particle":"","family":"Martínez‐Castro","given":"Ana M.","non-dropping-particle":"","parse-names":false,"suffix":""},{"dropping-particle":"","family":"Arguiñano‐Pérez","given":"José M.","non-dropping-particle":"","parse-names":false,"suffix":""},{"dropping-particle":"","family":"Parra‐Cuadrado","given":"Juan F.","non-dropping-particle":"","parse-names":false,"suffix":""},{"dropping-particle":"","family":"Panizo","given":"Carlos","non-dropping-particle":"","parse-names":false,"suffix":""}],"container-title":"British Journal of Haematology","id":"ITEM-3","issue":"5","issued":{"date-parts":[["2020","3","1"]]},"page":"661-673","publisher":"Blackwell Publishing Ltd","title":"Safety of switching from intravenous to subcutaneous rituximab during first‐line treatment of patients with non‐Hodgkin lymphoma: the Spanish population of the MabRella study","type":"article-journal","volume":"188"},"uris":["http://www.mendeley.com/documents/?uuid=89ca4d25-771e-3d22-9da5-61e99fb5ec3e"]},{"id":"ITEM-4","itemData":{"DOI":"10.3747/co.24.3470","ISSN":"17187729","abstract":"Rituximab is widely used for the treatment of non-Hodgkin lymphoma, being a key component in most therapeutic regimens. Administration of the intravenous (IV) formulation is lengthy and places a significant burden on health care resources and patient quality of life. A subcutaneous (sc) formulation that provides a fixed dose of rituximab is being examined in a number of studies. Results indicate that the pharmacokinetics are noninferior and response rates are comparable to those obtained with the IV formulation. Moreover, the sc formulation is preferred by patients and health care providers and reduces administration and chair time. Additional advantages include a lesser potential for dosing errors, shorter preparation time, reduced drug wastage, and fewer infusion-related reactions. Despite the success of the sc formulation</w:instrText>
      </w:r>
      <w:r w:rsidR="00A6794A" w:rsidRPr="00D3550C">
        <w:instrText xml:space="preserve">, </w:instrText>
      </w:r>
      <w:r w:rsidR="00A6794A">
        <w:rPr>
          <w:lang w:val="en-US"/>
        </w:rPr>
        <w:instrText>correct</w:instrText>
      </w:r>
      <w:r w:rsidR="00A6794A" w:rsidRPr="00D3550C">
        <w:instrText xml:space="preserve"> </w:instrText>
      </w:r>
      <w:r w:rsidR="00A6794A">
        <w:rPr>
          <w:lang w:val="en-US"/>
        </w:rPr>
        <w:instrText>administration</w:instrText>
      </w:r>
      <w:r w:rsidR="00A6794A" w:rsidRPr="00D3550C">
        <w:instrText xml:space="preserve"> </w:instrText>
      </w:r>
      <w:r w:rsidR="00A6794A">
        <w:rPr>
          <w:lang w:val="en-US"/>
        </w:rPr>
        <w:instrText>is</w:instrText>
      </w:r>
      <w:r w:rsidR="00A6794A" w:rsidRPr="00D3550C">
        <w:instrText xml:space="preserve"> </w:instrText>
      </w:r>
      <w:r w:rsidR="00A6794A">
        <w:rPr>
          <w:lang w:val="en-US"/>
        </w:rPr>
        <w:instrText>needed</w:instrText>
      </w:r>
      <w:r w:rsidR="00A6794A" w:rsidRPr="00D3550C">
        <w:instrText xml:space="preserve"> </w:instrText>
      </w:r>
      <w:r w:rsidR="00A6794A">
        <w:rPr>
          <w:lang w:val="en-US"/>
        </w:rPr>
        <w:instrText>to</w:instrText>
      </w:r>
      <w:r w:rsidR="00A6794A" w:rsidRPr="00D3550C">
        <w:instrText xml:space="preserve"> </w:instrText>
      </w:r>
      <w:r w:rsidR="00A6794A">
        <w:rPr>
          <w:lang w:val="en-US"/>
        </w:rPr>
        <w:instrText>reduce</w:instrText>
      </w:r>
      <w:r w:rsidR="00A6794A" w:rsidRPr="00D3550C">
        <w:instrText xml:space="preserve"> </w:instrText>
      </w:r>
      <w:r w:rsidR="00A6794A">
        <w:rPr>
          <w:lang w:val="en-US"/>
        </w:rPr>
        <w:instrText>administration</w:instrText>
      </w:r>
      <w:r w:rsidR="00A6794A" w:rsidRPr="00D3550C">
        <w:instrText>-</w:instrText>
      </w:r>
      <w:r w:rsidR="00A6794A">
        <w:rPr>
          <w:lang w:val="en-US"/>
        </w:rPr>
        <w:instrText>related</w:instrText>
      </w:r>
      <w:r w:rsidR="00A6794A" w:rsidRPr="00D3550C">
        <w:instrText xml:space="preserve"> </w:instrText>
      </w:r>
      <w:r w:rsidR="00A6794A">
        <w:rPr>
          <w:lang w:val="en-US"/>
        </w:rPr>
        <w:instrText>reactions</w:instrText>
      </w:r>
      <w:r w:rsidR="00A6794A" w:rsidRPr="00D3550C">
        <w:instrText xml:space="preserve">. </w:instrText>
      </w:r>
      <w:r w:rsidR="00A6794A">
        <w:rPr>
          <w:lang w:val="en-US"/>
        </w:rPr>
        <w:instrText>By</w:instrText>
      </w:r>
      <w:r w:rsidR="00A6794A" w:rsidRPr="00D3550C">
        <w:instrText xml:space="preserve"> </w:instrText>
      </w:r>
      <w:r w:rsidR="00A6794A">
        <w:rPr>
          <w:lang w:val="en-US"/>
        </w:rPr>
        <w:instrText>using</w:instrText>
      </w:r>
      <w:r w:rsidR="00A6794A" w:rsidRPr="00D3550C">
        <w:instrText xml:space="preserve"> </w:instrText>
      </w:r>
      <w:r w:rsidR="00A6794A">
        <w:rPr>
          <w:lang w:val="en-US"/>
        </w:rPr>
        <w:instrText>a</w:instrText>
      </w:r>
      <w:r w:rsidR="00A6794A" w:rsidRPr="00D3550C">
        <w:instrText xml:space="preserve"> </w:instrText>
      </w:r>
      <w:r w:rsidR="00A6794A">
        <w:rPr>
          <w:lang w:val="en-US"/>
        </w:rPr>
        <w:instrText>careful</w:instrText>
      </w:r>
      <w:r w:rsidR="00A6794A" w:rsidRPr="00D3550C">
        <w:instrText xml:space="preserve"> </w:instrText>
      </w:r>
      <w:r w:rsidR="00A6794A">
        <w:rPr>
          <w:lang w:val="en-US"/>
        </w:rPr>
        <w:instrText>procedure</w:instrText>
      </w:r>
      <w:r w:rsidR="00A6794A" w:rsidRPr="00D3550C">
        <w:instrText xml:space="preserve">, </w:instrText>
      </w:r>
      <w:r w:rsidR="00A6794A">
        <w:rPr>
          <w:lang w:val="en-US"/>
        </w:rPr>
        <w:instrText>the</w:instrText>
      </w:r>
      <w:r w:rsidR="00A6794A" w:rsidRPr="00D3550C">
        <w:instrText xml:space="preserve"> </w:instrText>
      </w:r>
      <w:r w:rsidR="00A6794A">
        <w:rPr>
          <w:lang w:val="en-US"/>
        </w:rPr>
        <w:instrText>sc</w:instrText>
      </w:r>
      <w:r w:rsidR="00A6794A" w:rsidRPr="00D3550C">
        <w:instrText xml:space="preserve"> </w:instrText>
      </w:r>
      <w:r w:rsidR="00A6794A">
        <w:rPr>
          <w:lang w:val="en-US"/>
        </w:rPr>
        <w:instrText>formulation</w:instrText>
      </w:r>
      <w:r w:rsidR="00A6794A" w:rsidRPr="00D3550C">
        <w:instrText xml:space="preserve"> </w:instrText>
      </w:r>
      <w:r w:rsidR="00A6794A">
        <w:rPr>
          <w:lang w:val="en-US"/>
        </w:rPr>
        <w:instrText>can</w:instrText>
      </w:r>
      <w:r w:rsidR="00A6794A" w:rsidRPr="00D3550C">
        <w:instrText xml:space="preserve"> </w:instrText>
      </w:r>
      <w:r w:rsidR="00A6794A">
        <w:rPr>
          <w:lang w:val="en-US"/>
        </w:rPr>
        <w:instrText>be</w:instrText>
      </w:r>
      <w:r w:rsidR="00A6794A" w:rsidRPr="00D3550C">
        <w:instrText xml:space="preserve"> </w:instrText>
      </w:r>
      <w:r w:rsidR="00A6794A">
        <w:rPr>
          <w:lang w:val="en-US"/>
        </w:rPr>
        <w:instrText>given</w:instrText>
      </w:r>
      <w:r w:rsidR="00A6794A" w:rsidRPr="00D3550C">
        <w:instrText xml:space="preserve"> </w:instrText>
      </w:r>
      <w:r w:rsidR="00A6794A">
        <w:rPr>
          <w:lang w:val="en-US"/>
        </w:rPr>
        <w:instrText>safely</w:instrText>
      </w:r>
      <w:r w:rsidR="00A6794A" w:rsidRPr="00D3550C">
        <w:instrText xml:space="preserve"> </w:instrText>
      </w:r>
      <w:r w:rsidR="00A6794A">
        <w:rPr>
          <w:lang w:val="en-US"/>
        </w:rPr>
        <w:instrText>and</w:instrText>
      </w:r>
      <w:r w:rsidR="00A6794A" w:rsidRPr="00D3550C">
        <w:instrText xml:space="preserve"> </w:instrText>
      </w:r>
      <w:r w:rsidR="00A6794A">
        <w:rPr>
          <w:lang w:val="en-US"/>
        </w:rPr>
        <w:instrText>effectively</w:instrText>
      </w:r>
      <w:r w:rsidR="00A6794A" w:rsidRPr="00D3550C">
        <w:instrText xml:space="preserve">, </w:instrText>
      </w:r>
      <w:r w:rsidR="00A6794A">
        <w:rPr>
          <w:lang w:val="en-US"/>
        </w:rPr>
        <w:instrText>potentially</w:instrText>
      </w:r>
      <w:r w:rsidR="00A6794A" w:rsidRPr="00D3550C">
        <w:instrText xml:space="preserve"> </w:instrText>
      </w:r>
      <w:r w:rsidR="00A6794A">
        <w:rPr>
          <w:lang w:val="en-US"/>
        </w:rPr>
        <w:instrText>reducing</w:instrText>
      </w:r>
      <w:r w:rsidR="00A6794A" w:rsidRPr="00D3550C">
        <w:instrText xml:space="preserve"> </w:instrText>
      </w:r>
      <w:r w:rsidR="00A6794A">
        <w:rPr>
          <w:lang w:val="en-US"/>
        </w:rPr>
        <w:instrText>the</w:instrText>
      </w:r>
      <w:r w:rsidR="00A6794A" w:rsidRPr="00D3550C">
        <w:instrText xml:space="preserve"> </w:instrText>
      </w:r>
      <w:r w:rsidR="00A6794A">
        <w:rPr>
          <w:lang w:val="en-US"/>
        </w:rPr>
        <w:instrText>burden</w:instrText>
      </w:r>
      <w:r w:rsidR="00A6794A" w:rsidRPr="00D3550C">
        <w:instrText xml:space="preserve"> </w:instrText>
      </w:r>
      <w:r w:rsidR="00A6794A">
        <w:rPr>
          <w:lang w:val="en-US"/>
        </w:rPr>
        <w:instrText>on</w:instrText>
      </w:r>
      <w:r w:rsidR="00A6794A" w:rsidRPr="00D3550C">
        <w:instrText xml:space="preserve"> </w:instrText>
      </w:r>
      <w:r w:rsidR="00A6794A">
        <w:rPr>
          <w:lang w:val="en-US"/>
        </w:rPr>
        <w:instrText>health</w:instrText>
      </w:r>
      <w:r w:rsidR="00A6794A" w:rsidRPr="00D3550C">
        <w:instrText xml:space="preserve"> </w:instrText>
      </w:r>
      <w:r w:rsidR="00A6794A">
        <w:rPr>
          <w:lang w:val="en-US"/>
        </w:rPr>
        <w:instrText>care</w:instrText>
      </w:r>
      <w:r w:rsidR="00A6794A" w:rsidRPr="00D3550C">
        <w:instrText xml:space="preserve"> </w:instrText>
      </w:r>
      <w:r w:rsidR="00A6794A">
        <w:rPr>
          <w:lang w:val="en-US"/>
        </w:rPr>
        <w:instrText>resources</w:instrText>
      </w:r>
      <w:r w:rsidR="00A6794A" w:rsidRPr="00D3550C">
        <w:instrText xml:space="preserve"> </w:instrText>
      </w:r>
      <w:r w:rsidR="00A6794A">
        <w:rPr>
          <w:lang w:val="en-US"/>
        </w:rPr>
        <w:instrText>and</w:instrText>
      </w:r>
      <w:r w:rsidR="00A6794A" w:rsidRPr="00D3550C">
        <w:instrText xml:space="preserve"> </w:instrText>
      </w:r>
      <w:r w:rsidR="00A6794A">
        <w:rPr>
          <w:lang w:val="en-US"/>
        </w:rPr>
        <w:instrText>improving</w:instrText>
      </w:r>
      <w:r w:rsidR="00A6794A" w:rsidRPr="00D3550C">
        <w:instrText xml:space="preserve"> </w:instrText>
      </w:r>
      <w:r w:rsidR="00A6794A">
        <w:rPr>
          <w:lang w:val="en-US"/>
        </w:rPr>
        <w:instrText>quality</w:instrText>
      </w:r>
      <w:r w:rsidR="00A6794A" w:rsidRPr="00D3550C">
        <w:instrText xml:space="preserve"> </w:instrText>
      </w:r>
      <w:r w:rsidR="00A6794A">
        <w:rPr>
          <w:lang w:val="en-US"/>
        </w:rPr>
        <w:instrText>of</w:instrText>
      </w:r>
      <w:r w:rsidR="00A6794A" w:rsidRPr="00D3550C">
        <w:instrText xml:space="preserve"> </w:instrText>
      </w:r>
      <w:r w:rsidR="00A6794A">
        <w:rPr>
          <w:lang w:val="en-US"/>
        </w:rPr>
        <w:instrText>life</w:instrText>
      </w:r>
      <w:r w:rsidR="00A6794A" w:rsidRPr="00D3550C">
        <w:instrText xml:space="preserve"> </w:instrText>
      </w:r>
      <w:r w:rsidR="00A6794A">
        <w:rPr>
          <w:lang w:val="en-US"/>
        </w:rPr>
        <w:instrText>for</w:instrText>
      </w:r>
      <w:r w:rsidR="00A6794A" w:rsidRPr="00D3550C">
        <w:instrText xml:space="preserve"> </w:instrText>
      </w:r>
      <w:r w:rsidR="00A6794A">
        <w:rPr>
          <w:lang w:val="en-US"/>
        </w:rPr>
        <w:instrText>patients</w:instrText>
      </w:r>
      <w:r w:rsidR="00A6794A" w:rsidRPr="00D3550C">
        <w:instrText>.","</w:instrText>
      </w:r>
      <w:r w:rsidR="00A6794A">
        <w:rPr>
          <w:lang w:val="en-US"/>
        </w:rPr>
        <w:instrText>author</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family</w:instrText>
      </w:r>
      <w:r w:rsidR="00A6794A" w:rsidRPr="00D3550C">
        <w:instrText>":"</w:instrText>
      </w:r>
      <w:r w:rsidR="00A6794A">
        <w:rPr>
          <w:lang w:val="en-US"/>
        </w:rPr>
        <w:instrText>Macdonald</w:instrText>
      </w:r>
      <w:r w:rsidR="00A6794A" w:rsidRPr="00D3550C">
        <w:instrText>","</w:instrText>
      </w:r>
      <w:r w:rsidR="00A6794A">
        <w:rPr>
          <w:lang w:val="en-US"/>
        </w:rPr>
        <w:instrText>given</w:instrText>
      </w:r>
      <w:r w:rsidR="00A6794A" w:rsidRPr="00D3550C">
        <w:instrText>":"</w:instrText>
      </w:r>
      <w:r w:rsidR="00A6794A">
        <w:rPr>
          <w:lang w:val="en-US"/>
        </w:rPr>
        <w:instrText>David</w:instrText>
      </w:r>
      <w:r w:rsidR="00A6794A" w:rsidRPr="00D3550C">
        <w:instrText>","</w:instrText>
      </w:r>
      <w:r w:rsidR="00A6794A">
        <w:rPr>
          <w:lang w:val="en-US"/>
        </w:rPr>
        <w:instrText>non</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parse</w:instrText>
      </w:r>
      <w:r w:rsidR="00A6794A" w:rsidRPr="00D3550C">
        <w:instrText>-</w:instrText>
      </w:r>
      <w:r w:rsidR="00A6794A">
        <w:rPr>
          <w:lang w:val="en-US"/>
        </w:rPr>
        <w:instrText>names</w:instrText>
      </w:r>
      <w:r w:rsidR="00A6794A" w:rsidRPr="00D3550C">
        <w:instrText>":</w:instrText>
      </w:r>
      <w:r w:rsidR="00A6794A">
        <w:rPr>
          <w:lang w:val="en-US"/>
        </w:rPr>
        <w:instrText>false</w:instrText>
      </w:r>
      <w:r w:rsidR="00A6794A" w:rsidRPr="00D3550C">
        <w:instrText>,"</w:instrText>
      </w:r>
      <w:r w:rsidR="00A6794A">
        <w:rPr>
          <w:lang w:val="en-US"/>
        </w:rPr>
        <w:instrText>suffix</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family</w:instrText>
      </w:r>
      <w:r w:rsidR="00A6794A" w:rsidRPr="00D3550C">
        <w:instrText>":"</w:instrText>
      </w:r>
      <w:r w:rsidR="00A6794A">
        <w:rPr>
          <w:lang w:val="en-US"/>
        </w:rPr>
        <w:instrText>Crosbie</w:instrText>
      </w:r>
      <w:r w:rsidR="00A6794A" w:rsidRPr="00D3550C">
        <w:instrText>","</w:instrText>
      </w:r>
      <w:r w:rsidR="00A6794A">
        <w:rPr>
          <w:lang w:val="en-US"/>
        </w:rPr>
        <w:instrText>given</w:instrText>
      </w:r>
      <w:r w:rsidR="00A6794A" w:rsidRPr="00D3550C">
        <w:instrText>":"</w:instrText>
      </w:r>
      <w:r w:rsidR="00A6794A">
        <w:rPr>
          <w:lang w:val="en-US"/>
        </w:rPr>
        <w:instrText>T</w:instrText>
      </w:r>
      <w:r w:rsidR="00A6794A" w:rsidRPr="00D3550C">
        <w:instrText>.","</w:instrText>
      </w:r>
      <w:r w:rsidR="00A6794A">
        <w:rPr>
          <w:lang w:val="en-US"/>
        </w:rPr>
        <w:instrText>non</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parse</w:instrText>
      </w:r>
      <w:r w:rsidR="00A6794A" w:rsidRPr="00D3550C">
        <w:instrText>-</w:instrText>
      </w:r>
      <w:r w:rsidR="00A6794A">
        <w:rPr>
          <w:lang w:val="en-US"/>
        </w:rPr>
        <w:instrText>names</w:instrText>
      </w:r>
      <w:r w:rsidR="00A6794A" w:rsidRPr="00D3550C">
        <w:instrText>":</w:instrText>
      </w:r>
      <w:r w:rsidR="00A6794A">
        <w:rPr>
          <w:lang w:val="en-US"/>
        </w:rPr>
        <w:instrText>false</w:instrText>
      </w:r>
      <w:r w:rsidR="00A6794A" w:rsidRPr="00D3550C">
        <w:instrText>,"</w:instrText>
      </w:r>
      <w:r w:rsidR="00A6794A">
        <w:rPr>
          <w:lang w:val="en-US"/>
        </w:rPr>
        <w:instrText>suffix</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family</w:instrText>
      </w:r>
      <w:r w:rsidR="00A6794A" w:rsidRPr="00D3550C">
        <w:instrText>":"</w:instrText>
      </w:r>
      <w:r w:rsidR="00A6794A">
        <w:rPr>
          <w:lang w:val="en-US"/>
        </w:rPr>
        <w:instrText>Christofides</w:instrText>
      </w:r>
      <w:r w:rsidR="00A6794A" w:rsidRPr="00D3550C">
        <w:instrText>","</w:instrText>
      </w:r>
      <w:r w:rsidR="00A6794A">
        <w:rPr>
          <w:lang w:val="en-US"/>
        </w:rPr>
        <w:instrText>given</w:instrText>
      </w:r>
      <w:r w:rsidR="00A6794A" w:rsidRPr="00D3550C">
        <w:instrText>":"</w:instrText>
      </w:r>
      <w:r w:rsidR="00A6794A">
        <w:rPr>
          <w:lang w:val="en-US"/>
        </w:rPr>
        <w:instrText>A</w:instrText>
      </w:r>
      <w:r w:rsidR="00A6794A" w:rsidRPr="00D3550C">
        <w:instrText>.","</w:instrText>
      </w:r>
      <w:r w:rsidR="00A6794A">
        <w:rPr>
          <w:lang w:val="en-US"/>
        </w:rPr>
        <w:instrText>non</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parse</w:instrText>
      </w:r>
      <w:r w:rsidR="00A6794A" w:rsidRPr="00D3550C">
        <w:instrText>-</w:instrText>
      </w:r>
      <w:r w:rsidR="00A6794A">
        <w:rPr>
          <w:lang w:val="en-US"/>
        </w:rPr>
        <w:instrText>names</w:instrText>
      </w:r>
      <w:r w:rsidR="00A6794A" w:rsidRPr="00D3550C">
        <w:instrText>":</w:instrText>
      </w:r>
      <w:r w:rsidR="00A6794A">
        <w:rPr>
          <w:lang w:val="en-US"/>
        </w:rPr>
        <w:instrText>false</w:instrText>
      </w:r>
      <w:r w:rsidR="00A6794A" w:rsidRPr="00D3550C">
        <w:instrText>,"</w:instrText>
      </w:r>
      <w:r w:rsidR="00A6794A">
        <w:rPr>
          <w:lang w:val="en-US"/>
        </w:rPr>
        <w:instrText>suffix</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family</w:instrText>
      </w:r>
      <w:r w:rsidR="00A6794A" w:rsidRPr="00D3550C">
        <w:instrText>":"</w:instrText>
      </w:r>
      <w:r w:rsidR="00A6794A">
        <w:rPr>
          <w:lang w:val="en-US"/>
        </w:rPr>
        <w:instrText>Assaily</w:instrText>
      </w:r>
      <w:r w:rsidR="00A6794A" w:rsidRPr="00D3550C">
        <w:instrText>","</w:instrText>
      </w:r>
      <w:r w:rsidR="00A6794A">
        <w:rPr>
          <w:lang w:val="en-US"/>
        </w:rPr>
        <w:instrText>given</w:instrText>
      </w:r>
      <w:r w:rsidR="00A6794A" w:rsidRPr="00D3550C">
        <w:instrText>":"</w:instrText>
      </w:r>
      <w:r w:rsidR="00A6794A">
        <w:rPr>
          <w:lang w:val="en-US"/>
        </w:rPr>
        <w:instrText>W</w:instrText>
      </w:r>
      <w:r w:rsidR="00A6794A" w:rsidRPr="00D3550C">
        <w:instrText>.","</w:instrText>
      </w:r>
      <w:r w:rsidR="00A6794A">
        <w:rPr>
          <w:lang w:val="en-US"/>
        </w:rPr>
        <w:instrText>non</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parse</w:instrText>
      </w:r>
      <w:r w:rsidR="00A6794A" w:rsidRPr="00D3550C">
        <w:instrText>-</w:instrText>
      </w:r>
      <w:r w:rsidR="00A6794A">
        <w:rPr>
          <w:lang w:val="en-US"/>
        </w:rPr>
        <w:instrText>names</w:instrText>
      </w:r>
      <w:r w:rsidR="00A6794A" w:rsidRPr="00D3550C">
        <w:instrText>":</w:instrText>
      </w:r>
      <w:r w:rsidR="00A6794A">
        <w:rPr>
          <w:lang w:val="en-US"/>
        </w:rPr>
        <w:instrText>false</w:instrText>
      </w:r>
      <w:r w:rsidR="00A6794A" w:rsidRPr="00D3550C">
        <w:instrText>,"</w:instrText>
      </w:r>
      <w:r w:rsidR="00A6794A">
        <w:rPr>
          <w:lang w:val="en-US"/>
        </w:rPr>
        <w:instrText>suffix</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family</w:instrText>
      </w:r>
      <w:r w:rsidR="00A6794A" w:rsidRPr="00D3550C">
        <w:instrText>":"</w:instrText>
      </w:r>
      <w:r w:rsidR="00A6794A">
        <w:rPr>
          <w:lang w:val="en-US"/>
        </w:rPr>
        <w:instrText>Wiernikowski</w:instrText>
      </w:r>
      <w:r w:rsidR="00A6794A" w:rsidRPr="00D3550C">
        <w:instrText>","</w:instrText>
      </w:r>
      <w:r w:rsidR="00A6794A">
        <w:rPr>
          <w:lang w:val="en-US"/>
        </w:rPr>
        <w:instrText>given</w:instrText>
      </w:r>
      <w:r w:rsidR="00A6794A" w:rsidRPr="00D3550C">
        <w:instrText>":"</w:instrText>
      </w:r>
      <w:r w:rsidR="00A6794A">
        <w:rPr>
          <w:lang w:val="en-US"/>
        </w:rPr>
        <w:instrText>J</w:instrText>
      </w:r>
      <w:r w:rsidR="00A6794A" w:rsidRPr="00D3550C">
        <w:instrText>.","</w:instrText>
      </w:r>
      <w:r w:rsidR="00A6794A">
        <w:rPr>
          <w:lang w:val="en-US"/>
        </w:rPr>
        <w:instrText>non</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parse</w:instrText>
      </w:r>
      <w:r w:rsidR="00A6794A" w:rsidRPr="00D3550C">
        <w:instrText>-</w:instrText>
      </w:r>
      <w:r w:rsidR="00A6794A">
        <w:rPr>
          <w:lang w:val="en-US"/>
        </w:rPr>
        <w:instrText>names</w:instrText>
      </w:r>
      <w:r w:rsidR="00A6794A" w:rsidRPr="00D3550C">
        <w:instrText>":</w:instrText>
      </w:r>
      <w:r w:rsidR="00A6794A">
        <w:rPr>
          <w:lang w:val="en-US"/>
        </w:rPr>
        <w:instrText>false</w:instrText>
      </w:r>
      <w:r w:rsidR="00A6794A" w:rsidRPr="00D3550C">
        <w:instrText>,"</w:instrText>
      </w:r>
      <w:r w:rsidR="00A6794A">
        <w:rPr>
          <w:lang w:val="en-US"/>
        </w:rPr>
        <w:instrText>suffix</w:instrText>
      </w:r>
      <w:r w:rsidR="00A6794A" w:rsidRPr="00D3550C">
        <w:instrText>":""}],"</w:instrText>
      </w:r>
      <w:r w:rsidR="00A6794A">
        <w:rPr>
          <w:lang w:val="en-US"/>
        </w:rPr>
        <w:instrText>container</w:instrText>
      </w:r>
      <w:r w:rsidR="00A6794A" w:rsidRPr="00D3550C">
        <w:instrText>-</w:instrText>
      </w:r>
      <w:r w:rsidR="00A6794A">
        <w:rPr>
          <w:lang w:val="en-US"/>
        </w:rPr>
        <w:instrText>title</w:instrText>
      </w:r>
      <w:r w:rsidR="00A6794A" w:rsidRPr="00D3550C">
        <w:instrText>":"</w:instrText>
      </w:r>
      <w:r w:rsidR="00A6794A">
        <w:rPr>
          <w:lang w:val="en-US"/>
        </w:rPr>
        <w:instrText>Current</w:instrText>
      </w:r>
      <w:r w:rsidR="00A6794A" w:rsidRPr="00D3550C">
        <w:instrText xml:space="preserve"> </w:instrText>
      </w:r>
      <w:r w:rsidR="00A6794A">
        <w:rPr>
          <w:lang w:val="en-US"/>
        </w:rPr>
        <w:instrText>Oncology</w:instrText>
      </w:r>
      <w:r w:rsidR="00A6794A" w:rsidRPr="00D3550C">
        <w:instrText>","</w:instrText>
      </w:r>
      <w:r w:rsidR="00A6794A">
        <w:rPr>
          <w:lang w:val="en-US"/>
        </w:rPr>
        <w:instrText>id</w:instrText>
      </w:r>
      <w:r w:rsidR="00A6794A" w:rsidRPr="00D3550C">
        <w:instrText>":"</w:instrText>
      </w:r>
      <w:r w:rsidR="00A6794A">
        <w:rPr>
          <w:lang w:val="en-US"/>
        </w:rPr>
        <w:instrText>ITEM</w:instrText>
      </w:r>
      <w:r w:rsidR="00A6794A" w:rsidRPr="00D3550C">
        <w:instrText>-4","</w:instrText>
      </w:r>
      <w:r w:rsidR="00A6794A">
        <w:rPr>
          <w:lang w:val="en-US"/>
        </w:rPr>
        <w:instrText>issue</w:instrText>
      </w:r>
      <w:r w:rsidR="00A6794A" w:rsidRPr="00D3550C">
        <w:instrText>":"1","</w:instrText>
      </w:r>
      <w:r w:rsidR="00A6794A">
        <w:rPr>
          <w:lang w:val="en-US"/>
        </w:rPr>
        <w:instrText>issued</w:instrText>
      </w:r>
      <w:r w:rsidR="00A6794A" w:rsidRPr="00D3550C">
        <w:instrText>":{"</w:instrText>
      </w:r>
      <w:r w:rsidR="00A6794A">
        <w:rPr>
          <w:lang w:val="en-US"/>
        </w:rPr>
        <w:instrText>date</w:instrText>
      </w:r>
      <w:r w:rsidR="00A6794A" w:rsidRPr="00D3550C">
        <w:instrText>-</w:instrText>
      </w:r>
      <w:r w:rsidR="00A6794A">
        <w:rPr>
          <w:lang w:val="en-US"/>
        </w:rPr>
        <w:instrText>parts</w:instrText>
      </w:r>
      <w:r w:rsidR="00A6794A" w:rsidRPr="00D3550C">
        <w:instrText>":[["2017"]]},"</w:instrText>
      </w:r>
      <w:r w:rsidR="00A6794A">
        <w:rPr>
          <w:lang w:val="en-US"/>
        </w:rPr>
        <w:instrText>page</w:instrText>
      </w:r>
      <w:r w:rsidR="00A6794A" w:rsidRPr="00D3550C">
        <w:instrText>":"33-39","</w:instrText>
      </w:r>
      <w:r w:rsidR="00A6794A">
        <w:rPr>
          <w:lang w:val="en-US"/>
        </w:rPr>
        <w:instrText>publisher</w:instrText>
      </w:r>
      <w:r w:rsidR="00A6794A" w:rsidRPr="00D3550C">
        <w:instrText>":"</w:instrText>
      </w:r>
      <w:r w:rsidR="00A6794A">
        <w:rPr>
          <w:lang w:val="en-US"/>
        </w:rPr>
        <w:instrText>Multimed</w:instrText>
      </w:r>
      <w:r w:rsidR="00A6794A" w:rsidRPr="00D3550C">
        <w:instrText xml:space="preserve"> </w:instrText>
      </w:r>
      <w:r w:rsidR="00A6794A">
        <w:rPr>
          <w:lang w:val="en-US"/>
        </w:rPr>
        <w:instrText>Inc</w:instrText>
      </w:r>
      <w:r w:rsidR="00A6794A" w:rsidRPr="00D3550C">
        <w:instrText>.","</w:instrText>
      </w:r>
      <w:r w:rsidR="00A6794A">
        <w:rPr>
          <w:lang w:val="en-US"/>
        </w:rPr>
        <w:instrText>title</w:instrText>
      </w:r>
      <w:r w:rsidR="00A6794A" w:rsidRPr="00D3550C">
        <w:instrText>":"</w:instrText>
      </w:r>
      <w:r w:rsidR="00A6794A">
        <w:rPr>
          <w:lang w:val="en-US"/>
        </w:rPr>
        <w:instrText>A</w:instrText>
      </w:r>
      <w:r w:rsidR="00A6794A" w:rsidRPr="00D3550C">
        <w:instrText xml:space="preserve"> </w:instrText>
      </w:r>
      <w:r w:rsidR="00A6794A">
        <w:rPr>
          <w:lang w:val="en-US"/>
        </w:rPr>
        <w:instrText>canadian</w:instrText>
      </w:r>
      <w:r w:rsidR="00A6794A" w:rsidRPr="00D3550C">
        <w:instrText xml:space="preserve"> </w:instrText>
      </w:r>
      <w:r w:rsidR="00A6794A">
        <w:rPr>
          <w:lang w:val="en-US"/>
        </w:rPr>
        <w:instrText>perspective</w:instrText>
      </w:r>
      <w:r w:rsidR="00A6794A" w:rsidRPr="00D3550C">
        <w:instrText xml:space="preserve"> </w:instrText>
      </w:r>
      <w:r w:rsidR="00A6794A">
        <w:rPr>
          <w:lang w:val="en-US"/>
        </w:rPr>
        <w:instrText>on</w:instrText>
      </w:r>
      <w:r w:rsidR="00A6794A" w:rsidRPr="00D3550C">
        <w:instrText xml:space="preserve"> </w:instrText>
      </w:r>
      <w:r w:rsidR="00A6794A">
        <w:rPr>
          <w:lang w:val="en-US"/>
        </w:rPr>
        <w:instrText>the</w:instrText>
      </w:r>
      <w:r w:rsidR="00A6794A" w:rsidRPr="00D3550C">
        <w:instrText xml:space="preserve"> </w:instrText>
      </w:r>
      <w:r w:rsidR="00A6794A">
        <w:rPr>
          <w:lang w:val="en-US"/>
        </w:rPr>
        <w:instrText>subcutaneous</w:instrText>
      </w:r>
      <w:r w:rsidR="00A6794A" w:rsidRPr="00D3550C">
        <w:instrText xml:space="preserve"> </w:instrText>
      </w:r>
      <w:r w:rsidR="00A6794A">
        <w:rPr>
          <w:lang w:val="en-US"/>
        </w:rPr>
        <w:instrText>administration</w:instrText>
      </w:r>
      <w:r w:rsidR="00A6794A" w:rsidRPr="00D3550C">
        <w:instrText xml:space="preserve"> </w:instrText>
      </w:r>
      <w:r w:rsidR="00A6794A">
        <w:rPr>
          <w:lang w:val="en-US"/>
        </w:rPr>
        <w:instrText>of</w:instrText>
      </w:r>
      <w:r w:rsidR="00A6794A" w:rsidRPr="00D3550C">
        <w:instrText xml:space="preserve"> </w:instrText>
      </w:r>
      <w:r w:rsidR="00A6794A">
        <w:rPr>
          <w:lang w:val="en-US"/>
        </w:rPr>
        <w:instrText>rituximab</w:instrText>
      </w:r>
      <w:r w:rsidR="00A6794A" w:rsidRPr="00D3550C">
        <w:instrText xml:space="preserve"> </w:instrText>
      </w:r>
      <w:r w:rsidR="00A6794A">
        <w:rPr>
          <w:lang w:val="en-US"/>
        </w:rPr>
        <w:instrText>in</w:instrText>
      </w:r>
      <w:r w:rsidR="00A6794A" w:rsidRPr="00D3550C">
        <w:instrText xml:space="preserve"> </w:instrText>
      </w:r>
      <w:r w:rsidR="00A6794A">
        <w:rPr>
          <w:lang w:val="en-US"/>
        </w:rPr>
        <w:instrText>non</w:instrText>
      </w:r>
      <w:r w:rsidR="00A6794A" w:rsidRPr="00D3550C">
        <w:instrText>-</w:instrText>
      </w:r>
      <w:r w:rsidR="00A6794A">
        <w:rPr>
          <w:lang w:val="en-US"/>
        </w:rPr>
        <w:instrText>Hodgkin</w:instrText>
      </w:r>
      <w:r w:rsidR="00A6794A" w:rsidRPr="00D3550C">
        <w:instrText xml:space="preserve"> </w:instrText>
      </w:r>
      <w:r w:rsidR="00A6794A">
        <w:rPr>
          <w:lang w:val="en-US"/>
        </w:rPr>
        <w:instrText>lymphoma</w:instrText>
      </w:r>
      <w:r w:rsidR="00A6794A" w:rsidRPr="00D3550C">
        <w:instrText>","</w:instrText>
      </w:r>
      <w:r w:rsidR="00A6794A">
        <w:rPr>
          <w:lang w:val="en-US"/>
        </w:rPr>
        <w:instrText>type</w:instrText>
      </w:r>
      <w:r w:rsidR="00A6794A" w:rsidRPr="00D3550C">
        <w:instrText>":"</w:instrText>
      </w:r>
      <w:r w:rsidR="00A6794A">
        <w:rPr>
          <w:lang w:val="en-US"/>
        </w:rPr>
        <w:instrText>article</w:instrText>
      </w:r>
      <w:r w:rsidR="00A6794A" w:rsidRPr="00D3550C">
        <w:instrText>","</w:instrText>
      </w:r>
      <w:r w:rsidR="00A6794A">
        <w:rPr>
          <w:lang w:val="en-US"/>
        </w:rPr>
        <w:instrText>volume</w:instrText>
      </w:r>
      <w:r w:rsidR="00A6794A" w:rsidRPr="00D3550C">
        <w:instrText>":"24"},"</w:instrText>
      </w:r>
      <w:r w:rsidR="00A6794A">
        <w:rPr>
          <w:lang w:val="en-US"/>
        </w:rPr>
        <w:instrText>uris</w:instrText>
      </w:r>
      <w:r w:rsidR="00A6794A" w:rsidRPr="00D3550C">
        <w:instrText>":["</w:instrText>
      </w:r>
      <w:r w:rsidR="00A6794A">
        <w:rPr>
          <w:lang w:val="en-US"/>
        </w:rPr>
        <w:instrText>http</w:instrText>
      </w:r>
      <w:r w:rsidR="00A6794A" w:rsidRPr="00D3550C">
        <w:instrText>://</w:instrText>
      </w:r>
      <w:r w:rsidR="00A6794A">
        <w:rPr>
          <w:lang w:val="en-US"/>
        </w:rPr>
        <w:instrText>www</w:instrText>
      </w:r>
      <w:r w:rsidR="00A6794A" w:rsidRPr="00D3550C">
        <w:instrText>.</w:instrText>
      </w:r>
      <w:r w:rsidR="00A6794A">
        <w:rPr>
          <w:lang w:val="en-US"/>
        </w:rPr>
        <w:instrText>mendeley</w:instrText>
      </w:r>
      <w:r w:rsidR="00A6794A" w:rsidRPr="00D3550C">
        <w:instrText>.</w:instrText>
      </w:r>
      <w:r w:rsidR="00A6794A">
        <w:rPr>
          <w:lang w:val="en-US"/>
        </w:rPr>
        <w:instrText>com</w:instrText>
      </w:r>
      <w:r w:rsidR="00A6794A" w:rsidRPr="00D3550C">
        <w:instrText>/</w:instrText>
      </w:r>
      <w:r w:rsidR="00A6794A">
        <w:rPr>
          <w:lang w:val="en-US"/>
        </w:rPr>
        <w:instrText>documents</w:instrText>
      </w:r>
      <w:r w:rsidR="00A6794A" w:rsidRPr="00D3550C">
        <w:instrText>/?</w:instrText>
      </w:r>
      <w:r w:rsidR="00A6794A">
        <w:rPr>
          <w:lang w:val="en-US"/>
        </w:rPr>
        <w:instrText>uuid</w:instrText>
      </w:r>
      <w:r w:rsidR="00A6794A" w:rsidRPr="00D3550C">
        <w:instrText>=0</w:instrText>
      </w:r>
      <w:r w:rsidR="00A6794A">
        <w:rPr>
          <w:lang w:val="en-US"/>
        </w:rPr>
        <w:instrText>dec</w:instrText>
      </w:r>
      <w:r w:rsidR="00A6794A" w:rsidRPr="00D3550C">
        <w:instrText>225</w:instrText>
      </w:r>
      <w:r w:rsidR="00A6794A">
        <w:rPr>
          <w:lang w:val="en-US"/>
        </w:rPr>
        <w:instrText>e</w:instrText>
      </w:r>
      <w:r w:rsidR="00A6794A" w:rsidRPr="00D3550C">
        <w:instrText>-8</w:instrText>
      </w:r>
      <w:r w:rsidR="00A6794A">
        <w:rPr>
          <w:lang w:val="en-US"/>
        </w:rPr>
        <w:instrText>a</w:instrText>
      </w:r>
      <w:r w:rsidR="00A6794A" w:rsidRPr="00D3550C">
        <w:instrText>47-3680-</w:instrText>
      </w:r>
      <w:r w:rsidR="00A6794A">
        <w:rPr>
          <w:lang w:val="en-US"/>
        </w:rPr>
        <w:instrText>ba</w:instrText>
      </w:r>
      <w:r w:rsidR="00A6794A" w:rsidRPr="00D3550C">
        <w:instrText>4</w:instrText>
      </w:r>
      <w:r w:rsidR="00A6794A">
        <w:rPr>
          <w:lang w:val="en-US"/>
        </w:rPr>
        <w:instrText>d</w:instrText>
      </w:r>
      <w:r w:rsidR="00A6794A" w:rsidRPr="00D3550C">
        <w:instrText>-891955</w:instrText>
      </w:r>
      <w:r w:rsidR="00A6794A">
        <w:rPr>
          <w:lang w:val="en-US"/>
        </w:rPr>
        <w:instrText>a</w:instrText>
      </w:r>
      <w:r w:rsidR="00A6794A" w:rsidRPr="00D3550C">
        <w:instrText>938</w:instrText>
      </w:r>
      <w:r w:rsidR="00A6794A">
        <w:rPr>
          <w:lang w:val="en-US"/>
        </w:rPr>
        <w:instrText>a</w:instrText>
      </w:r>
      <w:r w:rsidR="00A6794A" w:rsidRPr="00D3550C">
        <w:instrText>1"]}],"</w:instrText>
      </w:r>
      <w:r w:rsidR="00A6794A">
        <w:rPr>
          <w:lang w:val="en-US"/>
        </w:rPr>
        <w:instrText>mendeley</w:instrText>
      </w:r>
      <w:r w:rsidR="00A6794A" w:rsidRPr="00D3550C">
        <w:instrText>":{"</w:instrText>
      </w:r>
      <w:r w:rsidR="00A6794A">
        <w:rPr>
          <w:lang w:val="en-US"/>
        </w:rPr>
        <w:instrText>formattedCitation</w:instrText>
      </w:r>
      <w:r w:rsidR="00A6794A" w:rsidRPr="00D3550C">
        <w:instrText>":"[205–208]","</w:instrText>
      </w:r>
      <w:r w:rsidR="00A6794A">
        <w:rPr>
          <w:lang w:val="en-US"/>
        </w:rPr>
        <w:instrText>plainTextFormattedCitation</w:instrText>
      </w:r>
      <w:r w:rsidR="00A6794A" w:rsidRPr="00D3550C">
        <w:instrText>":"[205–208]","</w:instrText>
      </w:r>
      <w:r w:rsidR="00A6794A">
        <w:rPr>
          <w:lang w:val="en-US"/>
        </w:rPr>
        <w:instrText>previouslyFormattedCitation</w:instrText>
      </w:r>
      <w:r w:rsidR="00A6794A" w:rsidRPr="00D3550C">
        <w:instrText>":"[205–208]"},"</w:instrText>
      </w:r>
      <w:r w:rsidR="00A6794A">
        <w:rPr>
          <w:lang w:val="en-US"/>
        </w:rPr>
        <w:instrText>properties</w:instrText>
      </w:r>
      <w:r w:rsidR="00A6794A" w:rsidRPr="00D3550C">
        <w:instrText>":{"</w:instrText>
      </w:r>
      <w:r w:rsidR="00A6794A">
        <w:rPr>
          <w:lang w:val="en-US"/>
        </w:rPr>
        <w:instrText>noteIndex</w:instrText>
      </w:r>
      <w:r w:rsidR="00A6794A" w:rsidRPr="00D3550C">
        <w:instrText>":0},"</w:instrText>
      </w:r>
      <w:r w:rsidR="00A6794A">
        <w:rPr>
          <w:lang w:val="en-US"/>
        </w:rPr>
        <w:instrText>schema</w:instrText>
      </w:r>
      <w:r w:rsidR="00A6794A" w:rsidRPr="00D3550C">
        <w:instrText>":"</w:instrText>
      </w:r>
      <w:r w:rsidR="00A6794A">
        <w:rPr>
          <w:lang w:val="en-US"/>
        </w:rPr>
        <w:instrText>https</w:instrText>
      </w:r>
      <w:r w:rsidR="00A6794A" w:rsidRPr="00D3550C">
        <w:instrText>://</w:instrText>
      </w:r>
      <w:r w:rsidR="00A6794A">
        <w:rPr>
          <w:lang w:val="en-US"/>
        </w:rPr>
        <w:instrText>github</w:instrText>
      </w:r>
      <w:r w:rsidR="00A6794A" w:rsidRPr="00D3550C">
        <w:instrText>.</w:instrText>
      </w:r>
      <w:r w:rsidR="00A6794A">
        <w:rPr>
          <w:lang w:val="en-US"/>
        </w:rPr>
        <w:instrText>com</w:instrText>
      </w:r>
      <w:r w:rsidR="00A6794A" w:rsidRPr="00D3550C">
        <w:instrText>/</w:instrText>
      </w:r>
      <w:r w:rsidR="00A6794A">
        <w:rPr>
          <w:lang w:val="en-US"/>
        </w:rPr>
        <w:instrText>citation</w:instrText>
      </w:r>
      <w:r w:rsidR="00A6794A" w:rsidRPr="00D3550C">
        <w:instrText>-</w:instrText>
      </w:r>
      <w:r w:rsidR="00A6794A">
        <w:rPr>
          <w:lang w:val="en-US"/>
        </w:rPr>
        <w:instrText>style</w:instrText>
      </w:r>
      <w:r w:rsidR="00A6794A" w:rsidRPr="00D3550C">
        <w:instrText>-</w:instrText>
      </w:r>
      <w:r w:rsidR="00A6794A">
        <w:rPr>
          <w:lang w:val="en-US"/>
        </w:rPr>
        <w:instrText>language</w:instrText>
      </w:r>
      <w:r w:rsidR="00A6794A" w:rsidRPr="00D3550C">
        <w:instrText>/</w:instrText>
      </w:r>
      <w:r w:rsidR="00A6794A">
        <w:rPr>
          <w:lang w:val="en-US"/>
        </w:rPr>
        <w:instrText>schema</w:instrText>
      </w:r>
      <w:r w:rsidR="00A6794A" w:rsidRPr="00D3550C">
        <w:instrText>/</w:instrText>
      </w:r>
      <w:r w:rsidR="00A6794A">
        <w:rPr>
          <w:lang w:val="en-US"/>
        </w:rPr>
        <w:instrText>raw</w:instrText>
      </w:r>
      <w:r w:rsidR="00A6794A" w:rsidRPr="00D3550C">
        <w:instrText>/</w:instrText>
      </w:r>
      <w:r w:rsidR="00A6794A">
        <w:rPr>
          <w:lang w:val="en-US"/>
        </w:rPr>
        <w:instrText>master</w:instrText>
      </w:r>
      <w:r w:rsidR="00A6794A" w:rsidRPr="00D3550C">
        <w:instrText>/</w:instrText>
      </w:r>
      <w:r w:rsidR="00A6794A">
        <w:rPr>
          <w:lang w:val="en-US"/>
        </w:rPr>
        <w:instrText>csl</w:instrText>
      </w:r>
      <w:r w:rsidR="00A6794A" w:rsidRPr="00D3550C">
        <w:instrText>-</w:instrText>
      </w:r>
      <w:r w:rsidR="00A6794A">
        <w:rPr>
          <w:lang w:val="en-US"/>
        </w:rPr>
        <w:instrText>citation</w:instrText>
      </w:r>
      <w:r w:rsidR="00A6794A" w:rsidRPr="00D3550C">
        <w:instrText>.</w:instrText>
      </w:r>
      <w:r w:rsidR="00A6794A">
        <w:rPr>
          <w:lang w:val="en-US"/>
        </w:rPr>
        <w:instrText>json</w:instrText>
      </w:r>
      <w:r w:rsidR="00A6794A" w:rsidRPr="00D3550C">
        <w:instrText>"}</w:instrText>
      </w:r>
      <w:r w:rsidRPr="000322E4">
        <w:rPr>
          <w:lang w:val="en-US"/>
        </w:rPr>
        <w:fldChar w:fldCharType="separate"/>
      </w:r>
      <w:r w:rsidR="006E1902" w:rsidRPr="006E1902">
        <w:rPr>
          <w:noProof/>
        </w:rPr>
        <w:t>[205–208]</w:t>
      </w:r>
      <w:r w:rsidRPr="000322E4">
        <w:rPr>
          <w:lang w:val="en-US"/>
        </w:rPr>
        <w:fldChar w:fldCharType="end"/>
      </w:r>
    </w:p>
    <w:p w14:paraId="65C3BCD6" w14:textId="77777777" w:rsidR="00666D68" w:rsidRPr="00293AC8" w:rsidRDefault="00666D68" w:rsidP="008E3584">
      <w:pPr>
        <w:numPr>
          <w:ilvl w:val="0"/>
          <w:numId w:val="42"/>
        </w:numPr>
        <w:spacing w:line="360" w:lineRule="auto"/>
        <w:jc w:val="both"/>
        <w:rPr>
          <w:b/>
          <w:bCs/>
        </w:rPr>
      </w:pPr>
      <w:r w:rsidRPr="000322E4">
        <w:t>Доксорубицин</w:t>
      </w:r>
      <w:r w:rsidRPr="00293AC8">
        <w:rPr>
          <w:bCs/>
        </w:rPr>
        <w:t>**</w:t>
      </w:r>
      <w:r w:rsidRPr="00293AC8">
        <w:t xml:space="preserve"> 50 </w:t>
      </w:r>
      <w:r w:rsidRPr="000322E4">
        <w:t>мг</w:t>
      </w:r>
      <w:r w:rsidRPr="00293AC8">
        <w:t>/</w:t>
      </w:r>
      <w:r w:rsidRPr="000322E4">
        <w:t>м</w:t>
      </w:r>
      <w:r w:rsidRPr="00293AC8">
        <w:rPr>
          <w:vertAlign w:val="superscript"/>
        </w:rPr>
        <w:t>2</w:t>
      </w:r>
      <w:r w:rsidRPr="00293AC8">
        <w:t xml:space="preserve"> </w:t>
      </w:r>
      <w:r w:rsidRPr="000322E4">
        <w:t>в</w:t>
      </w:r>
      <w:r w:rsidRPr="00293AC8">
        <w:t>/</w:t>
      </w:r>
      <w:r w:rsidRPr="000322E4">
        <w:t>в</w:t>
      </w:r>
      <w:r w:rsidRPr="00293AC8">
        <w:t xml:space="preserve"> </w:t>
      </w:r>
      <w:r w:rsidRPr="000322E4">
        <w:t>кап</w:t>
      </w:r>
      <w:r w:rsidRPr="00293AC8">
        <w:t xml:space="preserve">., </w:t>
      </w:r>
      <w:r w:rsidRPr="000322E4">
        <w:t>день</w:t>
      </w:r>
      <w:r w:rsidRPr="00293AC8">
        <w:t xml:space="preserve"> 1, </w:t>
      </w:r>
      <w:r w:rsidRPr="000322E4">
        <w:t>нед</w:t>
      </w:r>
      <w:r w:rsidRPr="00293AC8">
        <w:t>. 1, 3, 5, 7, 9, 11</w:t>
      </w:r>
    </w:p>
    <w:p w14:paraId="2130527C" w14:textId="77777777" w:rsidR="00666D68" w:rsidRPr="00293AC8" w:rsidRDefault="00666D68" w:rsidP="008E3584">
      <w:pPr>
        <w:numPr>
          <w:ilvl w:val="0"/>
          <w:numId w:val="42"/>
        </w:numPr>
        <w:spacing w:line="360" w:lineRule="auto"/>
        <w:jc w:val="both"/>
        <w:rPr>
          <w:b/>
          <w:bCs/>
        </w:rPr>
      </w:pPr>
      <w:r w:rsidRPr="000322E4">
        <w:t>Циклофосфамид</w:t>
      </w:r>
      <w:r w:rsidRPr="00293AC8">
        <w:rPr>
          <w:bCs/>
        </w:rPr>
        <w:t>**</w:t>
      </w:r>
      <w:r w:rsidRPr="00293AC8">
        <w:t xml:space="preserve"> 350 </w:t>
      </w:r>
      <w:r w:rsidRPr="000322E4">
        <w:t>мг</w:t>
      </w:r>
      <w:r w:rsidRPr="00293AC8">
        <w:t>/</w:t>
      </w:r>
      <w:r w:rsidRPr="000322E4">
        <w:t>м</w:t>
      </w:r>
      <w:r w:rsidRPr="00293AC8">
        <w:rPr>
          <w:vertAlign w:val="superscript"/>
        </w:rPr>
        <w:t>2</w:t>
      </w:r>
      <w:r w:rsidRPr="00293AC8">
        <w:t xml:space="preserve"> </w:t>
      </w:r>
      <w:r w:rsidRPr="000322E4">
        <w:t>в</w:t>
      </w:r>
      <w:r w:rsidRPr="00293AC8">
        <w:t>/</w:t>
      </w:r>
      <w:r w:rsidRPr="000322E4">
        <w:t>в</w:t>
      </w:r>
      <w:r w:rsidRPr="00293AC8">
        <w:t xml:space="preserve"> </w:t>
      </w:r>
      <w:r w:rsidRPr="000322E4">
        <w:t>кап</w:t>
      </w:r>
      <w:r w:rsidRPr="00293AC8">
        <w:t xml:space="preserve">., </w:t>
      </w:r>
      <w:r w:rsidRPr="000322E4">
        <w:t>день</w:t>
      </w:r>
      <w:r w:rsidRPr="00293AC8">
        <w:t xml:space="preserve"> 1, </w:t>
      </w:r>
      <w:r w:rsidRPr="000322E4">
        <w:t>нед</w:t>
      </w:r>
      <w:r w:rsidRPr="00293AC8">
        <w:t>. 1, 3, 5, 7, 9, 11</w:t>
      </w:r>
    </w:p>
    <w:p w14:paraId="55D9125F" w14:textId="77777777" w:rsidR="00666D68" w:rsidRPr="00293AC8" w:rsidRDefault="00F35A3E" w:rsidP="008E3584">
      <w:pPr>
        <w:numPr>
          <w:ilvl w:val="0"/>
          <w:numId w:val="42"/>
        </w:numPr>
        <w:spacing w:line="360" w:lineRule="auto"/>
        <w:jc w:val="both"/>
      </w:pPr>
      <w:r w:rsidRPr="00293AC8">
        <w:t>#</w:t>
      </w:r>
      <w:r w:rsidR="00666D68" w:rsidRPr="000322E4">
        <w:t>Винкристин</w:t>
      </w:r>
      <w:r w:rsidR="00666D68" w:rsidRPr="00293AC8">
        <w:rPr>
          <w:bCs/>
        </w:rPr>
        <w:t>**</w:t>
      </w:r>
      <w:r w:rsidR="00666D68" w:rsidRPr="00293AC8">
        <w:t xml:space="preserve"> 1,4 </w:t>
      </w:r>
      <w:r w:rsidR="00666D68" w:rsidRPr="000322E4">
        <w:t>мг</w:t>
      </w:r>
      <w:r w:rsidR="00666D68" w:rsidRPr="00293AC8">
        <w:t>/</w:t>
      </w:r>
      <w:r w:rsidR="00666D68" w:rsidRPr="000322E4">
        <w:t>м</w:t>
      </w:r>
      <w:r w:rsidR="00666D68" w:rsidRPr="00293AC8">
        <w:rPr>
          <w:vertAlign w:val="superscript"/>
        </w:rPr>
        <w:t>2</w:t>
      </w:r>
      <w:r w:rsidR="00666D68" w:rsidRPr="00293AC8">
        <w:t xml:space="preserve"> (</w:t>
      </w:r>
      <w:r w:rsidR="00666D68" w:rsidRPr="000322E4">
        <w:t>суммарно</w:t>
      </w:r>
      <w:r w:rsidR="00666D68" w:rsidRPr="00293AC8">
        <w:t xml:space="preserve"> </w:t>
      </w:r>
      <w:r w:rsidR="00666D68" w:rsidRPr="000322E4">
        <w:t>не</w:t>
      </w:r>
      <w:r w:rsidR="00666D68" w:rsidRPr="00293AC8">
        <w:t xml:space="preserve"> </w:t>
      </w:r>
      <w:r w:rsidR="00666D68" w:rsidRPr="000322E4">
        <w:t>более</w:t>
      </w:r>
      <w:r w:rsidR="00666D68" w:rsidRPr="00293AC8">
        <w:t xml:space="preserve"> 2 </w:t>
      </w:r>
      <w:r w:rsidR="00666D68" w:rsidRPr="000322E4">
        <w:t>мг</w:t>
      </w:r>
      <w:r w:rsidR="00666D68" w:rsidRPr="00293AC8">
        <w:t xml:space="preserve">) </w:t>
      </w:r>
      <w:r w:rsidR="00666D68" w:rsidRPr="000322E4">
        <w:t>в</w:t>
      </w:r>
      <w:r w:rsidR="00666D68" w:rsidRPr="00293AC8">
        <w:t>/</w:t>
      </w:r>
      <w:r w:rsidR="00666D68" w:rsidRPr="000322E4">
        <w:t>в</w:t>
      </w:r>
      <w:r w:rsidR="00666D68" w:rsidRPr="00293AC8">
        <w:t xml:space="preserve">, </w:t>
      </w:r>
      <w:r w:rsidR="00666D68" w:rsidRPr="000322E4">
        <w:t>день</w:t>
      </w:r>
      <w:r w:rsidR="00666D68" w:rsidRPr="00293AC8">
        <w:t xml:space="preserve"> 1, </w:t>
      </w:r>
      <w:r w:rsidR="00666D68" w:rsidRPr="000322E4">
        <w:t>нед</w:t>
      </w:r>
      <w:r w:rsidR="00666D68" w:rsidRPr="00293AC8">
        <w:t>. 2, 4, 6, 8, 10, 12</w:t>
      </w:r>
    </w:p>
    <w:p w14:paraId="03A2B09D" w14:textId="77777777" w:rsidR="00666D68" w:rsidRPr="00293AC8" w:rsidRDefault="00666D68" w:rsidP="008E3584">
      <w:pPr>
        <w:numPr>
          <w:ilvl w:val="0"/>
          <w:numId w:val="42"/>
        </w:numPr>
        <w:spacing w:line="360" w:lineRule="auto"/>
        <w:jc w:val="both"/>
        <w:rPr>
          <w:b/>
          <w:bCs/>
        </w:rPr>
      </w:pPr>
      <w:r w:rsidRPr="000322E4">
        <w:t>Метотрексат</w:t>
      </w:r>
      <w:r w:rsidRPr="00293AC8">
        <w:rPr>
          <w:bCs/>
        </w:rPr>
        <w:t>**</w:t>
      </w:r>
      <w:r w:rsidRPr="00293AC8">
        <w:t xml:space="preserve"> 400 </w:t>
      </w:r>
      <w:r w:rsidRPr="000322E4">
        <w:t>мг</w:t>
      </w:r>
      <w:r w:rsidRPr="00293AC8">
        <w:t>/</w:t>
      </w:r>
      <w:r w:rsidRPr="000322E4">
        <w:t>м</w:t>
      </w:r>
      <w:r w:rsidRPr="00293AC8">
        <w:rPr>
          <w:vertAlign w:val="superscript"/>
        </w:rPr>
        <w:t>2</w:t>
      </w:r>
      <w:r w:rsidRPr="00293AC8">
        <w:t xml:space="preserve"> </w:t>
      </w:r>
      <w:r w:rsidRPr="000322E4">
        <w:t>в</w:t>
      </w:r>
      <w:r w:rsidRPr="00293AC8">
        <w:t>/</w:t>
      </w:r>
      <w:r w:rsidRPr="000322E4">
        <w:t>в</w:t>
      </w:r>
      <w:r w:rsidRPr="00293AC8">
        <w:t xml:space="preserve"> </w:t>
      </w:r>
      <w:r w:rsidRPr="000322E4">
        <w:t>кап</w:t>
      </w:r>
      <w:r w:rsidRPr="00293AC8">
        <w:t xml:space="preserve">., </w:t>
      </w:r>
      <w:r w:rsidRPr="000322E4">
        <w:t>день</w:t>
      </w:r>
      <w:r w:rsidRPr="00293AC8">
        <w:t xml:space="preserve"> 1, </w:t>
      </w:r>
      <w:r w:rsidRPr="000322E4">
        <w:t>нед</w:t>
      </w:r>
      <w:r w:rsidRPr="00293AC8">
        <w:t>. 2, 6, 10</w:t>
      </w:r>
    </w:p>
    <w:p w14:paraId="135E324E" w14:textId="77777777" w:rsidR="00666D68" w:rsidRPr="00293AC8" w:rsidRDefault="00666D68" w:rsidP="008E3584">
      <w:pPr>
        <w:numPr>
          <w:ilvl w:val="0"/>
          <w:numId w:val="42"/>
        </w:numPr>
        <w:spacing w:line="360" w:lineRule="auto"/>
        <w:jc w:val="both"/>
        <w:rPr>
          <w:b/>
          <w:bCs/>
        </w:rPr>
      </w:pPr>
      <w:r w:rsidRPr="000322E4">
        <w:t>Кальция</w:t>
      </w:r>
      <w:r w:rsidRPr="00293AC8">
        <w:t xml:space="preserve"> </w:t>
      </w:r>
      <w:r w:rsidRPr="000322E4">
        <w:t>фолинат</w:t>
      </w:r>
      <w:r w:rsidRPr="00293AC8">
        <w:rPr>
          <w:bCs/>
        </w:rPr>
        <w:t>**</w:t>
      </w:r>
      <w:r w:rsidRPr="00293AC8">
        <w:t xml:space="preserve"> 15 </w:t>
      </w:r>
      <w:r w:rsidRPr="000322E4">
        <w:t>мг</w:t>
      </w:r>
      <w:r w:rsidRPr="00293AC8">
        <w:t xml:space="preserve"> </w:t>
      </w:r>
      <w:r w:rsidRPr="000322E4">
        <w:t>внутрь</w:t>
      </w:r>
      <w:r w:rsidRPr="00293AC8">
        <w:t xml:space="preserve"> </w:t>
      </w:r>
      <w:r w:rsidRPr="000322E4">
        <w:t>каждые</w:t>
      </w:r>
      <w:r w:rsidRPr="00293AC8">
        <w:t xml:space="preserve"> 6 </w:t>
      </w:r>
      <w:r w:rsidRPr="000322E4">
        <w:t>часов</w:t>
      </w:r>
      <w:r w:rsidRPr="00293AC8">
        <w:t xml:space="preserve"> </w:t>
      </w:r>
      <w:r w:rsidRPr="000322E4">
        <w:t>х</w:t>
      </w:r>
      <w:r w:rsidRPr="00293AC8">
        <w:t xml:space="preserve"> 6 </w:t>
      </w:r>
      <w:r w:rsidRPr="000322E4">
        <w:t>приемов</w:t>
      </w:r>
      <w:r w:rsidRPr="00293AC8">
        <w:t xml:space="preserve">, </w:t>
      </w:r>
      <w:r w:rsidRPr="000322E4">
        <w:t>начиная</w:t>
      </w:r>
      <w:r w:rsidRPr="00293AC8">
        <w:t xml:space="preserve"> </w:t>
      </w:r>
      <w:r w:rsidRPr="000322E4">
        <w:t>через</w:t>
      </w:r>
      <w:r w:rsidRPr="00293AC8">
        <w:t xml:space="preserve"> 24 </w:t>
      </w:r>
      <w:r w:rsidRPr="000322E4">
        <w:t>часа</w:t>
      </w:r>
      <w:r w:rsidRPr="00293AC8">
        <w:t xml:space="preserve"> </w:t>
      </w:r>
      <w:r w:rsidRPr="000322E4">
        <w:t>после</w:t>
      </w:r>
      <w:r w:rsidRPr="00293AC8">
        <w:t xml:space="preserve"> </w:t>
      </w:r>
      <w:r w:rsidRPr="000322E4">
        <w:t>метотрексата</w:t>
      </w:r>
      <w:r w:rsidRPr="00293AC8">
        <w:t xml:space="preserve"> </w:t>
      </w:r>
    </w:p>
    <w:p w14:paraId="1FBCA7D0" w14:textId="77777777" w:rsidR="00666D68" w:rsidRPr="00293AC8" w:rsidRDefault="00666D68" w:rsidP="008E3584">
      <w:pPr>
        <w:numPr>
          <w:ilvl w:val="0"/>
          <w:numId w:val="42"/>
        </w:numPr>
        <w:spacing w:line="360" w:lineRule="auto"/>
        <w:jc w:val="both"/>
        <w:rPr>
          <w:b/>
          <w:bCs/>
        </w:rPr>
      </w:pPr>
      <w:r w:rsidRPr="000322E4">
        <w:lastRenderedPageBreak/>
        <w:t>Блеомицин</w:t>
      </w:r>
      <w:r w:rsidRPr="00293AC8">
        <w:rPr>
          <w:bCs/>
        </w:rPr>
        <w:t>**</w:t>
      </w:r>
      <w:r w:rsidRPr="00293AC8">
        <w:t xml:space="preserve"> 10 </w:t>
      </w:r>
      <w:r w:rsidRPr="000322E4">
        <w:t>мг</w:t>
      </w:r>
      <w:r w:rsidRPr="00293AC8">
        <w:t>/</w:t>
      </w:r>
      <w:r w:rsidRPr="000322E4">
        <w:t>м</w:t>
      </w:r>
      <w:r w:rsidRPr="00293AC8">
        <w:rPr>
          <w:vertAlign w:val="superscript"/>
        </w:rPr>
        <w:t>2</w:t>
      </w:r>
      <w:r w:rsidRPr="00293AC8">
        <w:t xml:space="preserve"> </w:t>
      </w:r>
      <w:r w:rsidRPr="000322E4">
        <w:t>в</w:t>
      </w:r>
      <w:r w:rsidRPr="00293AC8">
        <w:t>/</w:t>
      </w:r>
      <w:r w:rsidRPr="000322E4">
        <w:t>в</w:t>
      </w:r>
      <w:r w:rsidRPr="00293AC8">
        <w:t xml:space="preserve">, </w:t>
      </w:r>
      <w:r w:rsidRPr="000322E4">
        <w:t>день</w:t>
      </w:r>
      <w:r w:rsidRPr="00293AC8">
        <w:t xml:space="preserve"> 1, </w:t>
      </w:r>
      <w:r w:rsidRPr="000322E4">
        <w:t>нед</w:t>
      </w:r>
      <w:r w:rsidRPr="00293AC8">
        <w:t>. 4, 8, 12</w:t>
      </w:r>
    </w:p>
    <w:p w14:paraId="237EA95C" w14:textId="77777777" w:rsidR="00666D68" w:rsidRPr="00293AC8" w:rsidRDefault="00666D68" w:rsidP="008E3584">
      <w:pPr>
        <w:numPr>
          <w:ilvl w:val="0"/>
          <w:numId w:val="42"/>
        </w:numPr>
        <w:spacing w:line="360" w:lineRule="auto"/>
        <w:jc w:val="both"/>
        <w:rPr>
          <w:b/>
          <w:bCs/>
        </w:rPr>
      </w:pPr>
      <w:r w:rsidRPr="000322E4">
        <w:t>Преднизолон</w:t>
      </w:r>
      <w:r w:rsidRPr="00293AC8">
        <w:rPr>
          <w:bCs/>
        </w:rPr>
        <w:t>**</w:t>
      </w:r>
      <w:r w:rsidRPr="00293AC8">
        <w:t xml:space="preserve"> 75 </w:t>
      </w:r>
      <w:r w:rsidRPr="000322E4">
        <w:t>мг</w:t>
      </w:r>
      <w:r w:rsidRPr="00293AC8">
        <w:t>/</w:t>
      </w:r>
      <w:r w:rsidRPr="000322E4">
        <w:t>сут</w:t>
      </w:r>
      <w:r w:rsidRPr="00293AC8">
        <w:t xml:space="preserve">. </w:t>
      </w:r>
      <w:r w:rsidRPr="000322E4">
        <w:t>внутрь</w:t>
      </w:r>
      <w:r w:rsidRPr="00293AC8">
        <w:t xml:space="preserve"> </w:t>
      </w:r>
      <w:r w:rsidRPr="000322E4">
        <w:t>непрерывно</w:t>
      </w:r>
      <w:r w:rsidRPr="00293AC8">
        <w:t xml:space="preserve"> 10 </w:t>
      </w:r>
      <w:r w:rsidRPr="000322E4">
        <w:t>недель</w:t>
      </w:r>
      <w:r w:rsidRPr="00293AC8">
        <w:t xml:space="preserve"> </w:t>
      </w:r>
      <w:r w:rsidRPr="000322E4">
        <w:t>с</w:t>
      </w:r>
      <w:r w:rsidRPr="00293AC8">
        <w:t xml:space="preserve"> </w:t>
      </w:r>
      <w:r w:rsidRPr="000322E4">
        <w:t>постепенным</w:t>
      </w:r>
      <w:r w:rsidRPr="00293AC8">
        <w:t xml:space="preserve"> </w:t>
      </w:r>
      <w:r w:rsidRPr="000322E4">
        <w:t>снижением</w:t>
      </w:r>
      <w:r w:rsidRPr="00293AC8">
        <w:t xml:space="preserve"> </w:t>
      </w:r>
      <w:r w:rsidRPr="000322E4">
        <w:t>дозы</w:t>
      </w:r>
      <w:r w:rsidRPr="00293AC8">
        <w:t xml:space="preserve"> </w:t>
      </w:r>
      <w:r w:rsidRPr="000322E4">
        <w:t>в</w:t>
      </w:r>
      <w:r w:rsidRPr="00293AC8">
        <w:t xml:space="preserve"> </w:t>
      </w:r>
      <w:r w:rsidRPr="000322E4">
        <w:t>течение</w:t>
      </w:r>
      <w:r w:rsidRPr="00293AC8">
        <w:t xml:space="preserve"> 11-12 </w:t>
      </w:r>
      <w:r w:rsidRPr="000322E4">
        <w:t>недель</w:t>
      </w:r>
      <w:r w:rsidRPr="00293AC8">
        <w:t xml:space="preserve"> </w:t>
      </w:r>
      <w:r w:rsidRPr="000322E4">
        <w:t>или</w:t>
      </w:r>
      <w:r w:rsidRPr="00293AC8">
        <w:t xml:space="preserve"> </w:t>
      </w:r>
      <w:r w:rsidRPr="000322E4">
        <w:t>только</w:t>
      </w:r>
      <w:r w:rsidRPr="00293AC8">
        <w:t xml:space="preserve"> </w:t>
      </w:r>
      <w:r w:rsidRPr="000322E4">
        <w:t>недели</w:t>
      </w:r>
      <w:r w:rsidRPr="00293AC8">
        <w:t xml:space="preserve"> 1, 3, 5, 7, 9, 11</w:t>
      </w:r>
    </w:p>
    <w:p w14:paraId="40D33384" w14:textId="77777777" w:rsidR="000D1A18" w:rsidRPr="00D433D9" w:rsidRDefault="000D1A18" w:rsidP="000D1A18">
      <w:pPr>
        <w:spacing w:line="360" w:lineRule="auto"/>
        <w:jc w:val="both"/>
        <w:rPr>
          <w:b/>
        </w:rPr>
      </w:pPr>
    </w:p>
    <w:p w14:paraId="32365A74" w14:textId="31047CEF" w:rsidR="000D1A18" w:rsidRPr="006A2B13" w:rsidRDefault="000D1A18" w:rsidP="000D1A18">
      <w:pPr>
        <w:spacing w:line="360" w:lineRule="auto"/>
        <w:jc w:val="both"/>
        <w:rPr>
          <w:color w:val="000000" w:themeColor="text1"/>
        </w:rPr>
      </w:pPr>
      <w:r w:rsidRPr="006A2B13">
        <w:rPr>
          <w:b/>
          <w:color w:val="000000" w:themeColor="text1"/>
          <w:lang w:val="en-US"/>
        </w:rPr>
        <w:t>R</w:t>
      </w:r>
      <w:r w:rsidRPr="006A2B13">
        <w:rPr>
          <w:b/>
          <w:color w:val="000000" w:themeColor="text1"/>
        </w:rPr>
        <w:t>-</w:t>
      </w:r>
      <w:r w:rsidRPr="006A2B13">
        <w:rPr>
          <w:b/>
          <w:color w:val="000000" w:themeColor="text1"/>
          <w:lang w:val="en-US"/>
        </w:rPr>
        <w:t>mNHL</w:t>
      </w:r>
      <w:r w:rsidRPr="006A2B13">
        <w:rPr>
          <w:b/>
          <w:color w:val="000000" w:themeColor="text1"/>
        </w:rPr>
        <w:t>-</w:t>
      </w:r>
      <w:r w:rsidRPr="006A2B13">
        <w:rPr>
          <w:b/>
          <w:color w:val="000000" w:themeColor="text1"/>
          <w:lang w:val="en-US"/>
        </w:rPr>
        <w:t>BFM</w:t>
      </w:r>
      <w:r w:rsidRPr="006A2B13">
        <w:rPr>
          <w:b/>
          <w:color w:val="000000" w:themeColor="text1"/>
        </w:rPr>
        <w:t>-90</w:t>
      </w:r>
      <w:r w:rsidR="006A2B13">
        <w:rPr>
          <w:b/>
          <w:color w:val="000000" w:themeColor="text1"/>
        </w:rPr>
        <w:t xml:space="preserve"> </w:t>
      </w:r>
      <w:r w:rsidR="006A2B13" w:rsidRPr="00C20A53">
        <w:fldChar w:fldCharType="begin" w:fldLock="1"/>
      </w:r>
      <w:r w:rsidR="006A2B13">
        <w:instrText>ADDIN CSL_CITATION {"citationItems":[{"id":"ITEM-1","itemData":{"author":[{"dropping-particle":"","family":"Магомедова","given":"А.У.","non-dropping-particle":"","parse-names":false,"suffix":""},{"dropping-particle":"","family":"Сычевская","given":"К.Н.","non-dropping-particle":"","parse-names":false,"suffix":""},{"dropping-particle":"","family":"Моисеева","given":"Т.Н.","non-dropping-particle":"","parse-names":false,"suffix":""},{"dropping-particle":"","family":"Ковригина","given":"А.М.","non-dropping-particle":"","parse-names":false,"suffix":""},{"dropping-particle":"","family":"Обухова","given":"Т.Н.","non-dropping-particle":"","parse-names":false,"suffix":""},{"dropping-particle":"","family":"Сурин","given":"В.Л.","non-dropping-particle":"","parse-names":false,"suffix":""},{"dropping-particle":"","family":"Кравченко","given":"С.К.","non-dropping-particle":"","parse-names":false,"suffix":""},{"dropping-particle":"","family":"Мангасарова","given":"Я.К.","non-dropping-particle":"","parse-names":false,"suffix":""},{"dropping-particle":"","family":"Мисюрина","given":"А.Е.","non-dropping-particle":"","parse-names":false,"suffix":""},{"dropping-particle":"","family":"Марголин","given":"О.В.","non-dropping-particle":"","parse-names":false,"suffix":""},{"dropping-particle":"","family":"Багова","given":"М.О.","non-dropping-particle":"","parse-names":false,"suffix":""},{"dropping-particle":"","family":"Горенкова","given":"Л.Г.","non-dropping-particle":"","parse-names":false,"suffix":""},{"dropping-particle":"","family":"Фастова","given":"Е.А.","non-dropping-particle":"","parse-names":false,"suffix":""},{"dropping-particle":"","family":"Нестерова","given":"Е.А.","non-dropping-particle":"","parse-names":false,"suffix":""},{"dropping-particle":"","family":"Бабаева","given":"Ф.Э.","non-dropping-particle":"","parse-names":false,"suffix":""},{"dropping-particle":"","family":"Шелехова","given":"Т.В.","non-dropping-particle":"","parse-names":false,"suffix":""},{"dropping-particle":"","family":"Аржанухина","given":"Ю.В.","non-dropping-particle":"","parse-names":false,"suffix":""},{"dropping-particle":"","family":"Зинина","given":"Е.Е.","non-dropping-particle":"","parse-names":false,"suffix":""},{"dropping-particle":"","family":"Крючкова","given":"И.В.","non-dropping-particle":"","parse-names":false,"suffix":""},{"dropping-particle":"","family":"Сизикова","given":"С.А.","non-dropping-particle":"","parse-names":false,"suffix":""}],"container-title":"Гематология и трансфузиология","id":"ITEM-1","issue":"S1","issued":{"date-parts":[["2020"]]},"page":"35","title":"Промежуточные результаты многоцентрового, рандомизированного, контролируемого (сравнительного) открытого, проспективного исследования по оценке эффективности программ R-DA-EPOCH-21, R-MNHL-BFM-90 и трансплантации аутологичных стволовых кроветворных клеток","type":"article-journal","volume":"65"},"uris":["http://www.mendeley.com/documents/?uuid=0a590c07-f29f-4fe2-a256-9fea28a9ea29"]}],"mendeley":{"formattedCitation":"[78]","plainTextFormattedCitation":"[78]","previouslyFormattedCitation":"[75–78]"},"properties":{"noteIndex":0},"schema":"https://github.com/citation-style-language/schema/raw/master/csl-citation.json"}</w:instrText>
      </w:r>
      <w:r w:rsidR="006A2B13" w:rsidRPr="00C20A53">
        <w:fldChar w:fldCharType="separate"/>
      </w:r>
      <w:r w:rsidR="006A2B13" w:rsidRPr="006A2B13">
        <w:rPr>
          <w:noProof/>
        </w:rPr>
        <w:t>[78]</w:t>
      </w:r>
      <w:r w:rsidR="006A2B13" w:rsidRPr="00C20A53">
        <w:fldChar w:fldCharType="end"/>
      </w:r>
    </w:p>
    <w:p w14:paraId="6A38E8BB" w14:textId="2F121226" w:rsidR="000D1A18" w:rsidRPr="006A2B13" w:rsidRDefault="000D1A18" w:rsidP="000D1A18">
      <w:pPr>
        <w:spacing w:line="360" w:lineRule="auto"/>
        <w:jc w:val="both"/>
        <w:rPr>
          <w:color w:val="000000" w:themeColor="text1"/>
        </w:rPr>
      </w:pPr>
      <w:r w:rsidRPr="006A2B13">
        <w:rPr>
          <w:color w:val="000000" w:themeColor="text1"/>
        </w:rPr>
        <w:t>Схема лечения: предфаза –  А - В - А - В - А - В.</w:t>
      </w:r>
    </w:p>
    <w:p w14:paraId="244550E9" w14:textId="77777777" w:rsidR="000D1A18" w:rsidRPr="006A2B13" w:rsidRDefault="000D1A18" w:rsidP="000D1A18">
      <w:pPr>
        <w:spacing w:line="360" w:lineRule="auto"/>
        <w:jc w:val="both"/>
        <w:rPr>
          <w:b/>
          <w:color w:val="000000" w:themeColor="text1"/>
        </w:rPr>
      </w:pPr>
      <w:r w:rsidRPr="006A2B13">
        <w:rPr>
          <w:b/>
          <w:color w:val="000000" w:themeColor="text1"/>
        </w:rPr>
        <w:t>Предфаза:</w:t>
      </w:r>
    </w:p>
    <w:p w14:paraId="123DC19B" w14:textId="77777777" w:rsidR="000D1A18" w:rsidRPr="006A2B13" w:rsidRDefault="000D1A18" w:rsidP="005C4D46">
      <w:pPr>
        <w:pStyle w:val="a"/>
        <w:numPr>
          <w:ilvl w:val="0"/>
          <w:numId w:val="118"/>
        </w:numPr>
        <w:spacing w:before="0"/>
        <w:ind w:left="714" w:hanging="357"/>
        <w:rPr>
          <w:color w:val="000000" w:themeColor="text1"/>
        </w:rPr>
      </w:pPr>
      <w:r w:rsidRPr="006A2B13">
        <w:rPr>
          <w:color w:val="000000" w:themeColor="text1"/>
        </w:rPr>
        <w:t>Циклофосфамид** 200 мг/м</w:t>
      </w:r>
      <w:r w:rsidRPr="006A2B13">
        <w:rPr>
          <w:color w:val="000000" w:themeColor="text1"/>
          <w:vertAlign w:val="superscript"/>
        </w:rPr>
        <w:t>2</w:t>
      </w:r>
      <w:r w:rsidRPr="006A2B13">
        <w:rPr>
          <w:color w:val="000000" w:themeColor="text1"/>
        </w:rPr>
        <w:t xml:space="preserve"> в/в, 1-3-й дни</w:t>
      </w:r>
    </w:p>
    <w:p w14:paraId="66390B4F" w14:textId="77777777" w:rsidR="000D1A18" w:rsidRPr="006A2B13" w:rsidRDefault="000D1A18" w:rsidP="005C4D46">
      <w:pPr>
        <w:pStyle w:val="a"/>
        <w:numPr>
          <w:ilvl w:val="0"/>
          <w:numId w:val="118"/>
        </w:numPr>
        <w:spacing w:before="0"/>
        <w:ind w:left="714" w:hanging="357"/>
        <w:rPr>
          <w:color w:val="000000" w:themeColor="text1"/>
        </w:rPr>
      </w:pPr>
      <w:r w:rsidRPr="006A2B13">
        <w:rPr>
          <w:color w:val="000000" w:themeColor="text1"/>
        </w:rPr>
        <w:t>Дексаметазон** 10 мг мг/м</w:t>
      </w:r>
      <w:r w:rsidRPr="006A2B13">
        <w:rPr>
          <w:color w:val="000000" w:themeColor="text1"/>
          <w:vertAlign w:val="superscript"/>
        </w:rPr>
        <w:t>2</w:t>
      </w:r>
      <w:r w:rsidRPr="006A2B13">
        <w:rPr>
          <w:color w:val="000000" w:themeColor="text1"/>
        </w:rPr>
        <w:t xml:space="preserve"> в/в, 1-3-й дни</w:t>
      </w:r>
    </w:p>
    <w:p w14:paraId="3573B1C9" w14:textId="77777777" w:rsidR="000D1A18" w:rsidRPr="006A2B13" w:rsidRDefault="000D1A18" w:rsidP="000D1A18">
      <w:pPr>
        <w:spacing w:line="360" w:lineRule="auto"/>
        <w:jc w:val="both"/>
        <w:rPr>
          <w:color w:val="000000" w:themeColor="text1"/>
        </w:rPr>
      </w:pPr>
      <w:r w:rsidRPr="006A2B13">
        <w:rPr>
          <w:b/>
          <w:color w:val="000000" w:themeColor="text1"/>
        </w:rPr>
        <w:t>Блок А</w:t>
      </w:r>
      <w:r w:rsidRPr="006A2B13">
        <w:rPr>
          <w:color w:val="000000" w:themeColor="text1"/>
        </w:rPr>
        <w:t>:</w:t>
      </w:r>
    </w:p>
    <w:p w14:paraId="32784EED" w14:textId="77777777" w:rsidR="000D1A18" w:rsidRPr="006A2B13" w:rsidRDefault="000D1A18" w:rsidP="005C4D46">
      <w:pPr>
        <w:pStyle w:val="afe"/>
        <w:widowControl w:val="0"/>
        <w:numPr>
          <w:ilvl w:val="0"/>
          <w:numId w:val="117"/>
        </w:numPr>
        <w:autoSpaceDE w:val="0"/>
        <w:autoSpaceDN w:val="0"/>
        <w:adjustRightInd w:val="0"/>
        <w:rPr>
          <w:color w:val="000000" w:themeColor="text1"/>
        </w:rPr>
      </w:pPr>
      <w:r w:rsidRPr="006A2B13">
        <w:rPr>
          <w:color w:val="000000" w:themeColor="text1"/>
        </w:rPr>
        <w:t xml:space="preserve">Ритуксимаб </w:t>
      </w:r>
      <w:r w:rsidRPr="006A2B13">
        <w:rPr>
          <w:rFonts w:ascii="Georgia" w:hAnsi="Georgia"/>
          <w:color w:val="000000" w:themeColor="text1"/>
        </w:rPr>
        <w:t>375 мг/м</w:t>
      </w:r>
      <w:r w:rsidRPr="006A2B13">
        <w:rPr>
          <w:rFonts w:ascii="Georgia" w:hAnsi="Georgia"/>
          <w:color w:val="000000" w:themeColor="text1"/>
          <w:vertAlign w:val="superscript"/>
        </w:rPr>
        <w:t xml:space="preserve"> 2 </w:t>
      </w:r>
      <w:r w:rsidRPr="006A2B13">
        <w:rPr>
          <w:rFonts w:ascii="Georgia" w:hAnsi="Georgia"/>
          <w:color w:val="000000" w:themeColor="text1"/>
        </w:rPr>
        <w:t>в/в, 0-й день</w:t>
      </w:r>
    </w:p>
    <w:p w14:paraId="4C78AAF2" w14:textId="77777777" w:rsidR="000D1A18" w:rsidRPr="006A2B13" w:rsidRDefault="000D1A18" w:rsidP="005C4D46">
      <w:pPr>
        <w:pStyle w:val="afe"/>
        <w:widowControl w:val="0"/>
        <w:numPr>
          <w:ilvl w:val="0"/>
          <w:numId w:val="117"/>
        </w:numPr>
        <w:autoSpaceDE w:val="0"/>
        <w:autoSpaceDN w:val="0"/>
        <w:adjustRightInd w:val="0"/>
        <w:rPr>
          <w:color w:val="000000" w:themeColor="text1"/>
        </w:rPr>
      </w:pPr>
      <w:r w:rsidRPr="006A2B13">
        <w:rPr>
          <w:color w:val="000000" w:themeColor="text1"/>
        </w:rPr>
        <w:t>Ифосфамид** 800 мг/м</w:t>
      </w:r>
      <w:r w:rsidRPr="006A2B13">
        <w:rPr>
          <w:color w:val="000000" w:themeColor="text1"/>
          <w:vertAlign w:val="superscript"/>
        </w:rPr>
        <w:t>2</w:t>
      </w:r>
      <w:r w:rsidRPr="006A2B13">
        <w:rPr>
          <w:color w:val="000000" w:themeColor="text1"/>
        </w:rPr>
        <w:t xml:space="preserve"> в/в, 1-5-й дни</w:t>
      </w:r>
    </w:p>
    <w:p w14:paraId="4C42DF61" w14:textId="77777777" w:rsidR="000D1A18" w:rsidRPr="006A2B13" w:rsidRDefault="000D1A18" w:rsidP="005C4D46">
      <w:pPr>
        <w:pStyle w:val="afe"/>
        <w:widowControl w:val="0"/>
        <w:numPr>
          <w:ilvl w:val="0"/>
          <w:numId w:val="117"/>
        </w:numPr>
        <w:autoSpaceDE w:val="0"/>
        <w:autoSpaceDN w:val="0"/>
        <w:adjustRightInd w:val="0"/>
        <w:rPr>
          <w:color w:val="000000" w:themeColor="text1"/>
        </w:rPr>
      </w:pPr>
      <w:r w:rsidRPr="006A2B13">
        <w:rPr>
          <w:color w:val="000000" w:themeColor="text1"/>
        </w:rPr>
        <w:t>Метотрексат** 1,0 г/м</w:t>
      </w:r>
      <w:r w:rsidRPr="006A2B13">
        <w:rPr>
          <w:color w:val="000000" w:themeColor="text1"/>
          <w:vertAlign w:val="superscript"/>
        </w:rPr>
        <w:t>2</w:t>
      </w:r>
      <w:r w:rsidRPr="006A2B13">
        <w:rPr>
          <w:color w:val="000000" w:themeColor="text1"/>
        </w:rPr>
        <w:t xml:space="preserve"> в/в (в течение 12 ч), 1-й день</w:t>
      </w:r>
    </w:p>
    <w:p w14:paraId="3C80616F" w14:textId="77777777" w:rsidR="000D1A18" w:rsidRPr="006A2B13" w:rsidRDefault="000D1A18" w:rsidP="005C4D46">
      <w:pPr>
        <w:pStyle w:val="afe"/>
        <w:widowControl w:val="0"/>
        <w:numPr>
          <w:ilvl w:val="0"/>
          <w:numId w:val="117"/>
        </w:numPr>
        <w:autoSpaceDE w:val="0"/>
        <w:autoSpaceDN w:val="0"/>
        <w:adjustRightInd w:val="0"/>
        <w:rPr>
          <w:color w:val="000000" w:themeColor="text1"/>
        </w:rPr>
      </w:pPr>
      <w:r w:rsidRPr="006A2B13">
        <w:rPr>
          <w:color w:val="000000" w:themeColor="text1"/>
        </w:rPr>
        <w:t xml:space="preserve">#Винкристин** 2 мг </w:t>
      </w:r>
      <w:r w:rsidRPr="006A2B13">
        <w:rPr>
          <w:color w:val="000000" w:themeColor="text1"/>
          <w:sz w:val="26"/>
          <w:szCs w:val="26"/>
        </w:rPr>
        <w:t>в/в струйно, 1-й день</w:t>
      </w:r>
    </w:p>
    <w:p w14:paraId="2426A6F5" w14:textId="77777777" w:rsidR="000D1A18" w:rsidRPr="006A2B13" w:rsidRDefault="000D1A18" w:rsidP="005C4D46">
      <w:pPr>
        <w:pStyle w:val="afe"/>
        <w:widowControl w:val="0"/>
        <w:numPr>
          <w:ilvl w:val="0"/>
          <w:numId w:val="117"/>
        </w:numPr>
        <w:autoSpaceDE w:val="0"/>
        <w:autoSpaceDN w:val="0"/>
        <w:adjustRightInd w:val="0"/>
        <w:rPr>
          <w:color w:val="000000" w:themeColor="text1"/>
        </w:rPr>
      </w:pPr>
      <w:r w:rsidRPr="006A2B13">
        <w:rPr>
          <w:color w:val="000000" w:themeColor="text1"/>
        </w:rPr>
        <w:t xml:space="preserve">Доксорубицин** </w:t>
      </w:r>
      <w:r w:rsidRPr="006A2B13">
        <w:rPr>
          <w:rFonts w:ascii="Georgia" w:hAnsi="Georgia"/>
          <w:color w:val="000000" w:themeColor="text1"/>
        </w:rPr>
        <w:t>25 мг/м</w:t>
      </w:r>
      <w:r w:rsidRPr="006A2B13">
        <w:rPr>
          <w:rFonts w:ascii="Georgia" w:hAnsi="Georgia"/>
          <w:color w:val="000000" w:themeColor="text1"/>
          <w:vertAlign w:val="superscript"/>
        </w:rPr>
        <w:t xml:space="preserve"> 2</w:t>
      </w:r>
      <w:r w:rsidRPr="006A2B13">
        <w:rPr>
          <w:color w:val="000000" w:themeColor="text1"/>
        </w:rPr>
        <w:t xml:space="preserve"> в/в, 1-2-й дни</w:t>
      </w:r>
    </w:p>
    <w:p w14:paraId="79DFD15A" w14:textId="77777777" w:rsidR="000D1A18" w:rsidRPr="006A2B13" w:rsidRDefault="000D1A18" w:rsidP="005C4D46">
      <w:pPr>
        <w:pStyle w:val="afe"/>
        <w:widowControl w:val="0"/>
        <w:numPr>
          <w:ilvl w:val="0"/>
          <w:numId w:val="117"/>
        </w:numPr>
        <w:autoSpaceDE w:val="0"/>
        <w:autoSpaceDN w:val="0"/>
        <w:adjustRightInd w:val="0"/>
        <w:rPr>
          <w:color w:val="000000" w:themeColor="text1"/>
        </w:rPr>
      </w:pPr>
      <w:r w:rsidRPr="006A2B13">
        <w:rPr>
          <w:color w:val="000000" w:themeColor="text1"/>
        </w:rPr>
        <w:t>Цитарабин** 100 мг/м</w:t>
      </w:r>
      <w:r w:rsidRPr="006A2B13">
        <w:rPr>
          <w:color w:val="000000" w:themeColor="text1"/>
          <w:vertAlign w:val="superscript"/>
        </w:rPr>
        <w:t>2</w:t>
      </w:r>
      <w:r w:rsidRPr="006A2B13">
        <w:rPr>
          <w:color w:val="000000" w:themeColor="text1"/>
        </w:rPr>
        <w:t xml:space="preserve"> в/в каждые 12 ч, 4-5-й дни (всего 4 введения)</w:t>
      </w:r>
    </w:p>
    <w:p w14:paraId="1A6F6D6C" w14:textId="77777777" w:rsidR="000D1A18" w:rsidRPr="006A2B13" w:rsidRDefault="000D1A18" w:rsidP="005C4D46">
      <w:pPr>
        <w:pStyle w:val="afe"/>
        <w:widowControl w:val="0"/>
        <w:numPr>
          <w:ilvl w:val="0"/>
          <w:numId w:val="117"/>
        </w:numPr>
        <w:autoSpaceDE w:val="0"/>
        <w:autoSpaceDN w:val="0"/>
        <w:adjustRightInd w:val="0"/>
        <w:rPr>
          <w:color w:val="000000" w:themeColor="text1"/>
        </w:rPr>
      </w:pPr>
      <w:r w:rsidRPr="006A2B13">
        <w:rPr>
          <w:color w:val="000000" w:themeColor="text1"/>
        </w:rPr>
        <w:t>Этопозид** 100 мг/м</w:t>
      </w:r>
      <w:r w:rsidRPr="006A2B13">
        <w:rPr>
          <w:color w:val="000000" w:themeColor="text1"/>
          <w:vertAlign w:val="superscript"/>
        </w:rPr>
        <w:t>2</w:t>
      </w:r>
      <w:r w:rsidRPr="006A2B13">
        <w:rPr>
          <w:color w:val="000000" w:themeColor="text1"/>
        </w:rPr>
        <w:t xml:space="preserve"> в/в, 4-5-й дни</w:t>
      </w:r>
    </w:p>
    <w:p w14:paraId="3FC5884C" w14:textId="744B716F" w:rsidR="000D1A18" w:rsidRPr="006A2B13" w:rsidRDefault="000D1A18" w:rsidP="005C4D46">
      <w:pPr>
        <w:pStyle w:val="afe"/>
        <w:widowControl w:val="0"/>
        <w:numPr>
          <w:ilvl w:val="0"/>
          <w:numId w:val="117"/>
        </w:numPr>
        <w:autoSpaceDE w:val="0"/>
        <w:autoSpaceDN w:val="0"/>
        <w:adjustRightInd w:val="0"/>
        <w:rPr>
          <w:color w:val="000000" w:themeColor="text1"/>
        </w:rPr>
      </w:pPr>
      <w:r w:rsidRPr="006A2B13">
        <w:rPr>
          <w:color w:val="000000" w:themeColor="text1"/>
        </w:rPr>
        <w:t>#Дексаметазон** 10 мг/м</w:t>
      </w:r>
      <w:r w:rsidRPr="006A2B13">
        <w:rPr>
          <w:color w:val="000000" w:themeColor="text1"/>
          <w:vertAlign w:val="superscript"/>
        </w:rPr>
        <w:t>2</w:t>
      </w:r>
      <w:r w:rsidRPr="006A2B13">
        <w:rPr>
          <w:color w:val="000000" w:themeColor="text1"/>
        </w:rPr>
        <w:t xml:space="preserve"> в/в, 1-5-й дни</w:t>
      </w:r>
    </w:p>
    <w:p w14:paraId="06C57839" w14:textId="77777777" w:rsidR="000D1A18" w:rsidRPr="006A2B13" w:rsidRDefault="000D1A18" w:rsidP="000D1A18">
      <w:pPr>
        <w:widowControl w:val="0"/>
        <w:autoSpaceDE w:val="0"/>
        <w:autoSpaceDN w:val="0"/>
        <w:adjustRightInd w:val="0"/>
        <w:spacing w:line="360" w:lineRule="auto"/>
        <w:jc w:val="both"/>
        <w:rPr>
          <w:b/>
          <w:color w:val="000000" w:themeColor="text1"/>
        </w:rPr>
      </w:pPr>
      <w:r w:rsidRPr="006A2B13">
        <w:rPr>
          <w:b/>
          <w:color w:val="000000" w:themeColor="text1"/>
        </w:rPr>
        <w:t>Блок В</w:t>
      </w:r>
    </w:p>
    <w:p w14:paraId="60A1DE46" w14:textId="77777777" w:rsidR="000D1A18" w:rsidRPr="006A2B13" w:rsidRDefault="000D1A18" w:rsidP="005C4D46">
      <w:pPr>
        <w:pStyle w:val="afe"/>
        <w:widowControl w:val="0"/>
        <w:numPr>
          <w:ilvl w:val="0"/>
          <w:numId w:val="119"/>
        </w:numPr>
        <w:autoSpaceDE w:val="0"/>
        <w:autoSpaceDN w:val="0"/>
        <w:adjustRightInd w:val="0"/>
        <w:rPr>
          <w:color w:val="000000" w:themeColor="text1"/>
        </w:rPr>
      </w:pPr>
      <w:r w:rsidRPr="006A2B13">
        <w:rPr>
          <w:color w:val="000000" w:themeColor="text1"/>
        </w:rPr>
        <w:t xml:space="preserve">Ритуксимаб </w:t>
      </w:r>
      <w:r w:rsidRPr="006A2B13">
        <w:rPr>
          <w:rFonts w:ascii="Georgia" w:hAnsi="Georgia"/>
          <w:color w:val="000000" w:themeColor="text1"/>
        </w:rPr>
        <w:t>375 мг/м</w:t>
      </w:r>
      <w:r w:rsidRPr="006A2B13">
        <w:rPr>
          <w:rFonts w:ascii="Georgia" w:hAnsi="Georgia"/>
          <w:color w:val="000000" w:themeColor="text1"/>
          <w:vertAlign w:val="superscript"/>
        </w:rPr>
        <w:t xml:space="preserve"> 2 </w:t>
      </w:r>
      <w:r w:rsidRPr="006A2B13">
        <w:rPr>
          <w:rFonts w:ascii="Georgia" w:hAnsi="Georgia"/>
          <w:color w:val="000000" w:themeColor="text1"/>
        </w:rPr>
        <w:t>в/в, 0-й день</w:t>
      </w:r>
    </w:p>
    <w:p w14:paraId="3CD90CC8" w14:textId="77777777" w:rsidR="000D1A18" w:rsidRPr="006A2B13" w:rsidRDefault="000D1A18" w:rsidP="005C4D46">
      <w:pPr>
        <w:pStyle w:val="afe"/>
        <w:widowControl w:val="0"/>
        <w:numPr>
          <w:ilvl w:val="0"/>
          <w:numId w:val="119"/>
        </w:numPr>
        <w:autoSpaceDE w:val="0"/>
        <w:autoSpaceDN w:val="0"/>
        <w:adjustRightInd w:val="0"/>
        <w:rPr>
          <w:color w:val="000000" w:themeColor="text1"/>
        </w:rPr>
      </w:pPr>
      <w:r w:rsidRPr="006A2B13">
        <w:rPr>
          <w:color w:val="000000" w:themeColor="text1"/>
        </w:rPr>
        <w:t>Метотрексат** 1,0 г/м</w:t>
      </w:r>
      <w:r w:rsidRPr="006A2B13">
        <w:rPr>
          <w:color w:val="000000" w:themeColor="text1"/>
          <w:vertAlign w:val="superscript"/>
        </w:rPr>
        <w:t>2</w:t>
      </w:r>
      <w:r w:rsidRPr="006A2B13">
        <w:rPr>
          <w:color w:val="000000" w:themeColor="text1"/>
        </w:rPr>
        <w:t xml:space="preserve"> в/в (в течение 12 ч), 1-й день</w:t>
      </w:r>
    </w:p>
    <w:p w14:paraId="6DCC16F7" w14:textId="77777777" w:rsidR="000D1A18" w:rsidRPr="006A2B13" w:rsidRDefault="000D1A18" w:rsidP="005C4D46">
      <w:pPr>
        <w:pStyle w:val="afe"/>
        <w:widowControl w:val="0"/>
        <w:numPr>
          <w:ilvl w:val="0"/>
          <w:numId w:val="119"/>
        </w:numPr>
        <w:autoSpaceDE w:val="0"/>
        <w:autoSpaceDN w:val="0"/>
        <w:adjustRightInd w:val="0"/>
        <w:rPr>
          <w:color w:val="000000" w:themeColor="text1"/>
        </w:rPr>
      </w:pPr>
      <w:r w:rsidRPr="006A2B13">
        <w:rPr>
          <w:color w:val="000000" w:themeColor="text1"/>
        </w:rPr>
        <w:t xml:space="preserve">#Винкристин** 2 мг </w:t>
      </w:r>
      <w:r w:rsidRPr="006A2B13">
        <w:rPr>
          <w:color w:val="000000" w:themeColor="text1"/>
          <w:sz w:val="26"/>
          <w:szCs w:val="26"/>
        </w:rPr>
        <w:t>в/в струйно, 1-й день</w:t>
      </w:r>
    </w:p>
    <w:p w14:paraId="4999F86B" w14:textId="77777777" w:rsidR="000D1A18" w:rsidRPr="006A2B13" w:rsidRDefault="000D1A18" w:rsidP="005C4D46">
      <w:pPr>
        <w:pStyle w:val="afe"/>
        <w:widowControl w:val="0"/>
        <w:numPr>
          <w:ilvl w:val="0"/>
          <w:numId w:val="119"/>
        </w:numPr>
        <w:autoSpaceDE w:val="0"/>
        <w:autoSpaceDN w:val="0"/>
        <w:adjustRightInd w:val="0"/>
        <w:rPr>
          <w:color w:val="000000" w:themeColor="text1"/>
        </w:rPr>
      </w:pPr>
      <w:r w:rsidRPr="006A2B13">
        <w:rPr>
          <w:color w:val="000000" w:themeColor="text1"/>
        </w:rPr>
        <w:t xml:space="preserve">Доксорубицин** </w:t>
      </w:r>
      <w:r w:rsidRPr="006A2B13">
        <w:rPr>
          <w:rFonts w:ascii="Georgia" w:hAnsi="Georgia"/>
          <w:color w:val="000000" w:themeColor="text1"/>
        </w:rPr>
        <w:t>25 мг/м</w:t>
      </w:r>
      <w:r w:rsidRPr="006A2B13">
        <w:rPr>
          <w:rFonts w:ascii="Georgia" w:hAnsi="Georgia"/>
          <w:color w:val="000000" w:themeColor="text1"/>
          <w:vertAlign w:val="superscript"/>
        </w:rPr>
        <w:t xml:space="preserve"> 2</w:t>
      </w:r>
      <w:r w:rsidRPr="006A2B13">
        <w:rPr>
          <w:color w:val="000000" w:themeColor="text1"/>
        </w:rPr>
        <w:t xml:space="preserve"> в/в, 4-5-й дни</w:t>
      </w:r>
    </w:p>
    <w:p w14:paraId="32DBEFEC" w14:textId="77777777" w:rsidR="000D1A18" w:rsidRPr="006A2B13" w:rsidRDefault="000D1A18" w:rsidP="005C4D46">
      <w:pPr>
        <w:pStyle w:val="afe"/>
        <w:widowControl w:val="0"/>
        <w:numPr>
          <w:ilvl w:val="0"/>
          <w:numId w:val="119"/>
        </w:numPr>
        <w:autoSpaceDE w:val="0"/>
        <w:autoSpaceDN w:val="0"/>
        <w:adjustRightInd w:val="0"/>
        <w:rPr>
          <w:color w:val="000000" w:themeColor="text1"/>
        </w:rPr>
      </w:pPr>
      <w:r w:rsidRPr="006A2B13">
        <w:rPr>
          <w:color w:val="000000" w:themeColor="text1"/>
        </w:rPr>
        <w:t>Циклофосфамид** 200 мг/м</w:t>
      </w:r>
      <w:r w:rsidRPr="006A2B13">
        <w:rPr>
          <w:color w:val="000000" w:themeColor="text1"/>
          <w:vertAlign w:val="superscript"/>
        </w:rPr>
        <w:t>2</w:t>
      </w:r>
      <w:r w:rsidRPr="006A2B13">
        <w:rPr>
          <w:color w:val="000000" w:themeColor="text1"/>
        </w:rPr>
        <w:t xml:space="preserve"> в/в, 1-5-й дни</w:t>
      </w:r>
    </w:p>
    <w:p w14:paraId="3A8FFC6A" w14:textId="0D4B93E2" w:rsidR="000D1A18" w:rsidRPr="006A2B13" w:rsidRDefault="000D1A18" w:rsidP="005C4D46">
      <w:pPr>
        <w:pStyle w:val="afe"/>
        <w:widowControl w:val="0"/>
        <w:numPr>
          <w:ilvl w:val="0"/>
          <w:numId w:val="119"/>
        </w:numPr>
        <w:autoSpaceDE w:val="0"/>
        <w:autoSpaceDN w:val="0"/>
        <w:adjustRightInd w:val="0"/>
        <w:rPr>
          <w:color w:val="000000" w:themeColor="text1"/>
        </w:rPr>
      </w:pPr>
      <w:r w:rsidRPr="006A2B13">
        <w:rPr>
          <w:color w:val="000000" w:themeColor="text1"/>
        </w:rPr>
        <w:t>#Дексаметазон** 10 мг/м</w:t>
      </w:r>
      <w:r w:rsidRPr="006A2B13">
        <w:rPr>
          <w:color w:val="000000" w:themeColor="text1"/>
          <w:vertAlign w:val="superscript"/>
        </w:rPr>
        <w:t>2</w:t>
      </w:r>
      <w:r w:rsidRPr="006A2B13">
        <w:rPr>
          <w:color w:val="000000" w:themeColor="text1"/>
        </w:rPr>
        <w:t xml:space="preserve"> в/в, 1-5-й дни</w:t>
      </w:r>
    </w:p>
    <w:p w14:paraId="3105D9BF" w14:textId="77777777" w:rsidR="000D1A18" w:rsidRPr="006A2B13" w:rsidRDefault="000D1A18" w:rsidP="000D1A18">
      <w:pPr>
        <w:spacing w:line="360" w:lineRule="auto"/>
        <w:jc w:val="both"/>
        <w:rPr>
          <w:color w:val="000000" w:themeColor="text1"/>
        </w:rPr>
      </w:pPr>
    </w:p>
    <w:p w14:paraId="5E873705" w14:textId="39CBFFFF" w:rsidR="00666D68" w:rsidRPr="00293AC8" w:rsidRDefault="00666D68" w:rsidP="008E3584">
      <w:pPr>
        <w:spacing w:line="360" w:lineRule="auto"/>
        <w:jc w:val="both"/>
        <w:rPr>
          <w:b/>
          <w:bCs/>
        </w:rPr>
      </w:pPr>
      <w:r w:rsidRPr="000322E4">
        <w:rPr>
          <w:b/>
          <w:bCs/>
          <w:lang w:val="en-US"/>
        </w:rPr>
        <w:t>DA</w:t>
      </w:r>
      <w:r w:rsidRPr="00293AC8">
        <w:rPr>
          <w:b/>
          <w:bCs/>
        </w:rPr>
        <w:t>-</w:t>
      </w:r>
      <w:r w:rsidRPr="000322E4">
        <w:rPr>
          <w:b/>
          <w:bCs/>
          <w:lang w:val="en-US"/>
        </w:rPr>
        <w:t>R</w:t>
      </w:r>
      <w:r w:rsidRPr="00293AC8">
        <w:rPr>
          <w:b/>
          <w:bCs/>
        </w:rPr>
        <w:t>-</w:t>
      </w:r>
      <w:r w:rsidRPr="000322E4">
        <w:rPr>
          <w:b/>
          <w:bCs/>
          <w:lang w:val="en-US"/>
        </w:rPr>
        <w:t>EPOCH</w:t>
      </w:r>
      <w:r w:rsidRPr="00293AC8">
        <w:rPr>
          <w:b/>
          <w:bCs/>
        </w:rPr>
        <w:t xml:space="preserve"> </w:t>
      </w:r>
      <w:r w:rsidRPr="000322E4">
        <w:rPr>
          <w:b/>
          <w:bCs/>
          <w:lang w:val="en-US"/>
        </w:rPr>
        <w:fldChar w:fldCharType="begin" w:fldLock="1"/>
      </w:r>
      <w:r w:rsidR="00021E2A">
        <w:rPr>
          <w:b/>
          <w:bCs/>
          <w:lang w:val="en-US"/>
        </w:rPr>
        <w:instrText>ADDIN</w:instrText>
      </w:r>
      <w:r w:rsidR="00021E2A" w:rsidRPr="00320416">
        <w:rPr>
          <w:b/>
          <w:bCs/>
        </w:rPr>
        <w:instrText xml:space="preserve"> </w:instrText>
      </w:r>
      <w:r w:rsidR="00021E2A">
        <w:rPr>
          <w:b/>
          <w:bCs/>
          <w:lang w:val="en-US"/>
        </w:rPr>
        <w:instrText>CSL</w:instrText>
      </w:r>
      <w:r w:rsidR="00021E2A" w:rsidRPr="00320416">
        <w:rPr>
          <w:b/>
          <w:bCs/>
        </w:rPr>
        <w:instrText>_</w:instrText>
      </w:r>
      <w:r w:rsidR="00021E2A">
        <w:rPr>
          <w:b/>
          <w:bCs/>
          <w:lang w:val="en-US"/>
        </w:rPr>
        <w:instrText>CITATION</w:instrText>
      </w:r>
      <w:r w:rsidR="00021E2A" w:rsidRPr="00320416">
        <w:rPr>
          <w:b/>
          <w:bCs/>
        </w:rPr>
        <w:instrText xml:space="preserve"> {"</w:instrText>
      </w:r>
      <w:r w:rsidR="00021E2A">
        <w:rPr>
          <w:b/>
          <w:bCs/>
          <w:lang w:val="en-US"/>
        </w:rPr>
        <w:instrText>citationItems</w:instrText>
      </w:r>
      <w:r w:rsidR="00021E2A" w:rsidRPr="00320416">
        <w:rPr>
          <w:b/>
          <w:bCs/>
        </w:rPr>
        <w:instrText>":[{"</w:instrText>
      </w:r>
      <w:r w:rsidR="00021E2A">
        <w:rPr>
          <w:b/>
          <w:bCs/>
          <w:lang w:val="en-US"/>
        </w:rPr>
        <w:instrText>id</w:instrText>
      </w:r>
      <w:r w:rsidR="00021E2A" w:rsidRPr="00320416">
        <w:rPr>
          <w:b/>
          <w:bCs/>
        </w:rPr>
        <w:instrText>":"</w:instrText>
      </w:r>
      <w:r w:rsidR="00021E2A">
        <w:rPr>
          <w:b/>
          <w:bCs/>
          <w:lang w:val="en-US"/>
        </w:rPr>
        <w:instrText>ITEM</w:instrText>
      </w:r>
      <w:r w:rsidR="00021E2A" w:rsidRPr="00320416">
        <w:rPr>
          <w:b/>
          <w:bCs/>
        </w:rPr>
        <w:instrText>-1","</w:instrText>
      </w:r>
      <w:r w:rsidR="00021E2A">
        <w:rPr>
          <w:b/>
          <w:bCs/>
          <w:lang w:val="en-US"/>
        </w:rPr>
        <w:instrText>itemData</w:instrText>
      </w:r>
      <w:r w:rsidR="00021E2A" w:rsidRPr="00320416">
        <w:rPr>
          <w:b/>
          <w:bCs/>
        </w:rPr>
        <w:instrText>":{"</w:instrText>
      </w:r>
      <w:r w:rsidR="00021E2A">
        <w:rPr>
          <w:b/>
          <w:bCs/>
          <w:lang w:val="en-US"/>
        </w:rPr>
        <w:instrText>DOI</w:instrText>
      </w:r>
      <w:r w:rsidR="00021E2A" w:rsidRPr="00320416">
        <w:rPr>
          <w:b/>
          <w:bCs/>
        </w:rPr>
        <w:instrText>":"10.1056/</w:instrText>
      </w:r>
      <w:r w:rsidR="00021E2A">
        <w:rPr>
          <w:b/>
          <w:bCs/>
          <w:lang w:val="en-US"/>
        </w:rPr>
        <w:instrText>NEJMoa</w:instrText>
      </w:r>
      <w:r w:rsidR="00021E2A" w:rsidRPr="00320416">
        <w:rPr>
          <w:b/>
          <w:bCs/>
        </w:rPr>
        <w:instrText>1214561","</w:instrText>
      </w:r>
      <w:r w:rsidR="00021E2A">
        <w:rPr>
          <w:b/>
          <w:bCs/>
          <w:lang w:val="en-US"/>
        </w:rPr>
        <w:instrText>ISSN</w:instrText>
      </w:r>
      <w:r w:rsidR="00021E2A" w:rsidRPr="00320416">
        <w:rPr>
          <w:b/>
          <w:bCs/>
        </w:rPr>
        <w:instrText>":"15334406","</w:instrText>
      </w:r>
      <w:r w:rsidR="00021E2A">
        <w:rPr>
          <w:b/>
          <w:bCs/>
          <w:lang w:val="en-US"/>
        </w:rPr>
        <w:instrText>abstract</w:instrText>
      </w:r>
      <w:r w:rsidR="00021E2A" w:rsidRPr="00320416">
        <w:rPr>
          <w:b/>
          <w:bCs/>
        </w:rPr>
        <w:instrText>":"</w:instrText>
      </w:r>
      <w:r w:rsidR="00021E2A">
        <w:rPr>
          <w:b/>
          <w:bCs/>
          <w:lang w:val="en-US"/>
        </w:rPr>
        <w:instrText>BACKGROUND</w:instrText>
      </w:r>
      <w:r w:rsidR="00021E2A" w:rsidRPr="006A2B13">
        <w:rPr>
          <w:b/>
          <w:bCs/>
        </w:rPr>
        <w:instrText xml:space="preserve">: </w:instrText>
      </w:r>
      <w:r w:rsidR="00021E2A">
        <w:rPr>
          <w:b/>
          <w:bCs/>
          <w:lang w:val="en-US"/>
        </w:rPr>
        <w:instrText>Primary</w:instrText>
      </w:r>
      <w:r w:rsidR="00021E2A" w:rsidRPr="006A2B13">
        <w:rPr>
          <w:b/>
          <w:bCs/>
        </w:rPr>
        <w:instrText xml:space="preserve"> </w:instrText>
      </w:r>
      <w:r w:rsidR="00021E2A">
        <w:rPr>
          <w:b/>
          <w:bCs/>
          <w:lang w:val="en-US"/>
        </w:rPr>
        <w:instrText>mediastinal</w:instrText>
      </w:r>
      <w:r w:rsidR="00021E2A" w:rsidRPr="006A2B13">
        <w:rPr>
          <w:b/>
          <w:bCs/>
        </w:rPr>
        <w:instrText xml:space="preserve"> </w:instrText>
      </w:r>
      <w:r w:rsidR="00021E2A">
        <w:rPr>
          <w:b/>
          <w:bCs/>
          <w:lang w:val="en-US"/>
        </w:rPr>
        <w:instrText>B</w:instrText>
      </w:r>
      <w:r w:rsidR="00021E2A" w:rsidRPr="006A2B13">
        <w:rPr>
          <w:b/>
          <w:bCs/>
        </w:rPr>
        <w:instrText>-</w:instrText>
      </w:r>
      <w:r w:rsidR="00021E2A">
        <w:rPr>
          <w:b/>
          <w:bCs/>
          <w:lang w:val="en-US"/>
        </w:rPr>
        <w:instrText>cell</w:instrText>
      </w:r>
      <w:r w:rsidR="00021E2A" w:rsidRPr="006A2B13">
        <w:rPr>
          <w:b/>
          <w:bCs/>
        </w:rPr>
        <w:instrText xml:space="preserve"> </w:instrText>
      </w:r>
      <w:r w:rsidR="00021E2A">
        <w:rPr>
          <w:b/>
          <w:bCs/>
          <w:lang w:val="en-US"/>
        </w:rPr>
        <w:instrText>lymphoma</w:instrText>
      </w:r>
      <w:r w:rsidR="00021E2A" w:rsidRPr="006A2B13">
        <w:rPr>
          <w:b/>
          <w:bCs/>
        </w:rPr>
        <w:instrText xml:space="preserve"> </w:instrText>
      </w:r>
      <w:r w:rsidR="00021E2A">
        <w:rPr>
          <w:b/>
          <w:bCs/>
          <w:lang w:val="en-US"/>
        </w:rPr>
        <w:instrText>is</w:instrText>
      </w:r>
      <w:r w:rsidR="00021E2A" w:rsidRPr="006A2B13">
        <w:rPr>
          <w:b/>
          <w:bCs/>
        </w:rPr>
        <w:instrText xml:space="preserve"> </w:instrText>
      </w:r>
      <w:r w:rsidR="00021E2A">
        <w:rPr>
          <w:b/>
          <w:bCs/>
          <w:lang w:val="en-US"/>
        </w:rPr>
        <w:instrText>a</w:instrText>
      </w:r>
      <w:r w:rsidR="00021E2A" w:rsidRPr="006A2B13">
        <w:rPr>
          <w:b/>
          <w:bCs/>
        </w:rPr>
        <w:instrText xml:space="preserve"> </w:instrText>
      </w:r>
      <w:r w:rsidR="00021E2A">
        <w:rPr>
          <w:b/>
          <w:bCs/>
          <w:lang w:val="en-US"/>
        </w:rPr>
        <w:instrText>distinct</w:instrText>
      </w:r>
      <w:r w:rsidR="00021E2A" w:rsidRPr="006A2B13">
        <w:rPr>
          <w:b/>
          <w:bCs/>
        </w:rPr>
        <w:instrText xml:space="preserve"> </w:instrText>
      </w:r>
      <w:r w:rsidR="00021E2A">
        <w:rPr>
          <w:b/>
          <w:bCs/>
          <w:lang w:val="en-US"/>
        </w:rPr>
        <w:instrText>subtype</w:instrText>
      </w:r>
      <w:r w:rsidR="00021E2A" w:rsidRPr="006A2B13">
        <w:rPr>
          <w:b/>
          <w:bCs/>
        </w:rPr>
        <w:instrText xml:space="preserve"> </w:instrText>
      </w:r>
      <w:r w:rsidR="00021E2A">
        <w:rPr>
          <w:b/>
          <w:bCs/>
          <w:lang w:val="en-US"/>
        </w:rPr>
        <w:instrText>of</w:instrText>
      </w:r>
      <w:r w:rsidR="00021E2A" w:rsidRPr="006A2B13">
        <w:rPr>
          <w:b/>
          <w:bCs/>
        </w:rPr>
        <w:instrText xml:space="preserve"> </w:instrText>
      </w:r>
      <w:r w:rsidR="00021E2A">
        <w:rPr>
          <w:b/>
          <w:bCs/>
          <w:lang w:val="en-US"/>
        </w:rPr>
        <w:instrText>diffuse</w:instrText>
      </w:r>
      <w:r w:rsidR="00021E2A" w:rsidRPr="006A2B13">
        <w:rPr>
          <w:b/>
          <w:bCs/>
        </w:rPr>
        <w:instrText xml:space="preserve"> </w:instrText>
      </w:r>
      <w:r w:rsidR="00021E2A">
        <w:rPr>
          <w:b/>
          <w:bCs/>
          <w:lang w:val="en-US"/>
        </w:rPr>
        <w:instrText>large</w:instrText>
      </w:r>
      <w:r w:rsidR="00021E2A" w:rsidRPr="006A2B13">
        <w:rPr>
          <w:b/>
          <w:bCs/>
        </w:rPr>
        <w:instrText>-</w:instrText>
      </w:r>
      <w:r w:rsidR="00021E2A">
        <w:rPr>
          <w:b/>
          <w:bCs/>
          <w:lang w:val="en-US"/>
        </w:rPr>
        <w:instrText>B</w:instrText>
      </w:r>
      <w:r w:rsidR="00021E2A" w:rsidRPr="006A2B13">
        <w:rPr>
          <w:b/>
          <w:bCs/>
        </w:rPr>
        <w:instrText>-</w:instrText>
      </w:r>
      <w:r w:rsidR="00021E2A">
        <w:rPr>
          <w:b/>
          <w:bCs/>
          <w:lang w:val="en-US"/>
        </w:rPr>
        <w:instrText>cell</w:instrText>
      </w:r>
      <w:r w:rsidR="00021E2A" w:rsidRPr="006A2B13">
        <w:rPr>
          <w:b/>
          <w:bCs/>
        </w:rPr>
        <w:instrText xml:space="preserve"> </w:instrText>
      </w:r>
      <w:r w:rsidR="00021E2A">
        <w:rPr>
          <w:b/>
          <w:bCs/>
          <w:lang w:val="en-US"/>
        </w:rPr>
        <w:instrText>lymphoma</w:instrText>
      </w:r>
      <w:r w:rsidR="00021E2A" w:rsidRPr="006A2B13">
        <w:rPr>
          <w:b/>
          <w:bCs/>
        </w:rPr>
        <w:instrText xml:space="preserve"> </w:instrText>
      </w:r>
      <w:r w:rsidR="00021E2A">
        <w:rPr>
          <w:b/>
          <w:bCs/>
          <w:lang w:val="en-US"/>
        </w:rPr>
        <w:instrText>that</w:instrText>
      </w:r>
      <w:r w:rsidR="00021E2A" w:rsidRPr="006A2B13">
        <w:rPr>
          <w:b/>
          <w:bCs/>
        </w:rPr>
        <w:instrText xml:space="preserve"> </w:instrText>
      </w:r>
      <w:r w:rsidR="00021E2A">
        <w:rPr>
          <w:b/>
          <w:bCs/>
          <w:lang w:val="en-US"/>
        </w:rPr>
        <w:instrText>is</w:instrText>
      </w:r>
      <w:r w:rsidR="00021E2A" w:rsidRPr="006A2B13">
        <w:rPr>
          <w:b/>
          <w:bCs/>
        </w:rPr>
        <w:instrText xml:space="preserve"> </w:instrText>
      </w:r>
      <w:r w:rsidR="00021E2A">
        <w:rPr>
          <w:b/>
          <w:bCs/>
          <w:lang w:val="en-US"/>
        </w:rPr>
        <w:instrText>closely</w:instrText>
      </w:r>
      <w:r w:rsidR="00021E2A" w:rsidRPr="006A2B13">
        <w:rPr>
          <w:b/>
          <w:bCs/>
        </w:rPr>
        <w:instrText xml:space="preserve"> </w:instrText>
      </w:r>
      <w:r w:rsidR="00021E2A">
        <w:rPr>
          <w:b/>
          <w:bCs/>
          <w:lang w:val="en-US"/>
        </w:rPr>
        <w:instrText>related</w:instrText>
      </w:r>
      <w:r w:rsidR="00021E2A" w:rsidRPr="006A2B13">
        <w:rPr>
          <w:b/>
          <w:bCs/>
        </w:rPr>
        <w:instrText xml:space="preserve"> </w:instrText>
      </w:r>
      <w:r w:rsidR="00021E2A">
        <w:rPr>
          <w:b/>
          <w:bCs/>
          <w:lang w:val="en-US"/>
        </w:rPr>
        <w:instrText>to</w:instrText>
      </w:r>
      <w:r w:rsidR="00021E2A" w:rsidRPr="006A2B13">
        <w:rPr>
          <w:b/>
          <w:bCs/>
        </w:rPr>
        <w:instrText xml:space="preserve"> </w:instrText>
      </w:r>
      <w:r w:rsidR="00021E2A">
        <w:rPr>
          <w:b/>
          <w:bCs/>
          <w:lang w:val="en-US"/>
        </w:rPr>
        <w:instrText>nodular</w:instrText>
      </w:r>
      <w:r w:rsidR="00021E2A" w:rsidRPr="006A2B13">
        <w:rPr>
          <w:b/>
          <w:bCs/>
        </w:rPr>
        <w:instrText xml:space="preserve"> </w:instrText>
      </w:r>
      <w:r w:rsidR="00021E2A">
        <w:rPr>
          <w:b/>
          <w:bCs/>
          <w:lang w:val="en-US"/>
        </w:rPr>
        <w:instrText>sclerosing</w:instrText>
      </w:r>
      <w:r w:rsidR="00021E2A" w:rsidRPr="006A2B13">
        <w:rPr>
          <w:b/>
          <w:bCs/>
        </w:rPr>
        <w:instrText xml:space="preserve"> </w:instrText>
      </w:r>
      <w:r w:rsidR="00021E2A">
        <w:rPr>
          <w:b/>
          <w:bCs/>
          <w:lang w:val="en-US"/>
        </w:rPr>
        <w:instrText>Hodgkin</w:instrText>
      </w:r>
      <w:r w:rsidR="00021E2A" w:rsidRPr="006A2B13">
        <w:rPr>
          <w:b/>
          <w:bCs/>
        </w:rPr>
        <w:instrText>'</w:instrText>
      </w:r>
      <w:r w:rsidR="00021E2A">
        <w:rPr>
          <w:b/>
          <w:bCs/>
          <w:lang w:val="en-US"/>
        </w:rPr>
        <w:instrText>s</w:instrText>
      </w:r>
      <w:r w:rsidR="00021E2A" w:rsidRPr="006A2B13">
        <w:rPr>
          <w:b/>
          <w:bCs/>
        </w:rPr>
        <w:instrText xml:space="preserve"> </w:instrText>
      </w:r>
      <w:r w:rsidR="00021E2A">
        <w:rPr>
          <w:b/>
          <w:bCs/>
          <w:lang w:val="en-US"/>
        </w:rPr>
        <w:instrText>lymphoma</w:instrText>
      </w:r>
      <w:r w:rsidR="00021E2A" w:rsidRPr="006A2B13">
        <w:rPr>
          <w:b/>
          <w:bCs/>
        </w:rPr>
        <w:instrText xml:space="preserve">. </w:instrText>
      </w:r>
      <w:r w:rsidR="00021E2A">
        <w:rPr>
          <w:b/>
          <w:bCs/>
          <w:lang w:val="en-US"/>
        </w:rPr>
        <w:instrText>Patients</w:instrText>
      </w:r>
      <w:r w:rsidR="00021E2A" w:rsidRPr="006A2B13">
        <w:rPr>
          <w:b/>
          <w:bCs/>
        </w:rPr>
        <w:instrText xml:space="preserve"> </w:instrText>
      </w:r>
      <w:r w:rsidR="00021E2A">
        <w:rPr>
          <w:b/>
          <w:bCs/>
          <w:lang w:val="en-US"/>
        </w:rPr>
        <w:instrText>are</w:instrText>
      </w:r>
      <w:r w:rsidR="00021E2A" w:rsidRPr="006A2B13">
        <w:rPr>
          <w:b/>
          <w:bCs/>
        </w:rPr>
        <w:instrText xml:space="preserve"> </w:instrText>
      </w:r>
      <w:r w:rsidR="00021E2A">
        <w:rPr>
          <w:b/>
          <w:bCs/>
          <w:lang w:val="en-US"/>
        </w:rPr>
        <w:instrText>usually</w:instrText>
      </w:r>
      <w:r w:rsidR="00021E2A" w:rsidRPr="006A2B13">
        <w:rPr>
          <w:b/>
          <w:bCs/>
        </w:rPr>
        <w:instrText xml:space="preserve"> </w:instrText>
      </w:r>
      <w:r w:rsidR="00021E2A">
        <w:rPr>
          <w:b/>
          <w:bCs/>
          <w:lang w:val="en-US"/>
        </w:rPr>
        <w:instrText>young</w:instrText>
      </w:r>
      <w:r w:rsidR="00021E2A" w:rsidRPr="006A2B13">
        <w:rPr>
          <w:b/>
          <w:bCs/>
        </w:rPr>
        <w:instrText xml:space="preserve"> </w:instrText>
      </w:r>
      <w:r w:rsidR="00021E2A">
        <w:rPr>
          <w:b/>
          <w:bCs/>
          <w:lang w:val="en-US"/>
        </w:rPr>
        <w:instrText>and</w:instrText>
      </w:r>
      <w:r w:rsidR="00021E2A" w:rsidRPr="006A2B13">
        <w:rPr>
          <w:b/>
          <w:bCs/>
        </w:rPr>
        <w:instrText xml:space="preserve"> </w:instrText>
      </w:r>
      <w:r w:rsidR="00021E2A">
        <w:rPr>
          <w:b/>
          <w:bCs/>
          <w:lang w:val="en-US"/>
        </w:rPr>
        <w:instrText>present</w:instrText>
      </w:r>
      <w:r w:rsidR="00021E2A" w:rsidRPr="006A2B13">
        <w:rPr>
          <w:b/>
          <w:bCs/>
        </w:rPr>
        <w:instrText xml:space="preserve"> </w:instrText>
      </w:r>
      <w:r w:rsidR="00021E2A">
        <w:rPr>
          <w:b/>
          <w:bCs/>
          <w:lang w:val="en-US"/>
        </w:rPr>
        <w:instrText>with</w:instrText>
      </w:r>
      <w:r w:rsidR="00021E2A" w:rsidRPr="006A2B13">
        <w:rPr>
          <w:b/>
          <w:bCs/>
        </w:rPr>
        <w:instrText xml:space="preserve"> </w:instrText>
      </w:r>
      <w:r w:rsidR="00021E2A">
        <w:rPr>
          <w:b/>
          <w:bCs/>
          <w:lang w:val="en-US"/>
        </w:rPr>
        <w:instrText>large</w:instrText>
      </w:r>
      <w:r w:rsidR="00021E2A" w:rsidRPr="006A2B13">
        <w:rPr>
          <w:b/>
          <w:bCs/>
        </w:rPr>
        <w:instrText xml:space="preserve"> </w:instrText>
      </w:r>
      <w:r w:rsidR="00021E2A">
        <w:rPr>
          <w:b/>
          <w:bCs/>
          <w:lang w:val="en-US"/>
        </w:rPr>
        <w:instrText>mediastinal</w:instrText>
      </w:r>
      <w:r w:rsidR="00021E2A" w:rsidRPr="006A2B13">
        <w:rPr>
          <w:b/>
          <w:bCs/>
        </w:rPr>
        <w:instrText xml:space="preserve"> </w:instrText>
      </w:r>
      <w:r w:rsidR="00021E2A">
        <w:rPr>
          <w:b/>
          <w:bCs/>
          <w:lang w:val="en-US"/>
        </w:rPr>
        <w:instrText>masses</w:instrText>
      </w:r>
      <w:r w:rsidR="00021E2A" w:rsidRPr="006A2B13">
        <w:rPr>
          <w:b/>
          <w:bCs/>
        </w:rPr>
        <w:instrText xml:space="preserve">. </w:instrText>
      </w:r>
      <w:r w:rsidR="00021E2A">
        <w:rPr>
          <w:b/>
          <w:bCs/>
          <w:lang w:val="en-US"/>
        </w:rPr>
        <w:instrText>There</w:instrText>
      </w:r>
      <w:r w:rsidR="00021E2A" w:rsidRPr="006A2B13">
        <w:rPr>
          <w:b/>
          <w:bCs/>
        </w:rPr>
        <w:instrText xml:space="preserve"> </w:instrText>
      </w:r>
      <w:r w:rsidR="00021E2A">
        <w:rPr>
          <w:b/>
          <w:bCs/>
          <w:lang w:val="en-US"/>
        </w:rPr>
        <w:instrText>is</w:instrText>
      </w:r>
      <w:r w:rsidR="00021E2A" w:rsidRPr="006A2B13">
        <w:rPr>
          <w:b/>
          <w:bCs/>
        </w:rPr>
        <w:instrText xml:space="preserve"> </w:instrText>
      </w:r>
      <w:r w:rsidR="00021E2A">
        <w:rPr>
          <w:b/>
          <w:bCs/>
          <w:lang w:val="en-US"/>
        </w:rPr>
        <w:instrText>no</w:instrText>
      </w:r>
      <w:r w:rsidR="00021E2A" w:rsidRPr="006A2B13">
        <w:rPr>
          <w:b/>
          <w:bCs/>
        </w:rPr>
        <w:instrText xml:space="preserve"> </w:instrText>
      </w:r>
      <w:r w:rsidR="00021E2A">
        <w:rPr>
          <w:b/>
          <w:bCs/>
          <w:lang w:val="en-US"/>
        </w:rPr>
        <w:instrText>standard</w:instrText>
      </w:r>
      <w:r w:rsidR="00021E2A" w:rsidRPr="006A2B13">
        <w:rPr>
          <w:b/>
          <w:bCs/>
        </w:rPr>
        <w:instrText xml:space="preserve"> </w:instrText>
      </w:r>
      <w:r w:rsidR="00021E2A">
        <w:rPr>
          <w:b/>
          <w:bCs/>
          <w:lang w:val="en-US"/>
        </w:rPr>
        <w:instrText>treatment</w:instrText>
      </w:r>
      <w:r w:rsidR="00021E2A" w:rsidRPr="006A2B13">
        <w:rPr>
          <w:b/>
          <w:bCs/>
        </w:rPr>
        <w:instrText xml:space="preserve">, </w:instrText>
      </w:r>
      <w:r w:rsidR="00021E2A">
        <w:rPr>
          <w:b/>
          <w:bCs/>
          <w:lang w:val="en-US"/>
        </w:rPr>
        <w:instrText>but</w:instrText>
      </w:r>
      <w:r w:rsidR="00021E2A" w:rsidRPr="006A2B13">
        <w:rPr>
          <w:b/>
          <w:bCs/>
        </w:rPr>
        <w:instrText xml:space="preserve"> </w:instrText>
      </w:r>
      <w:r w:rsidR="00021E2A">
        <w:rPr>
          <w:b/>
          <w:bCs/>
          <w:lang w:val="en-US"/>
        </w:rPr>
        <w:instrText>the</w:instrText>
      </w:r>
      <w:r w:rsidR="00021E2A" w:rsidRPr="006A2B13">
        <w:rPr>
          <w:b/>
          <w:bCs/>
        </w:rPr>
        <w:instrText xml:space="preserve"> </w:instrText>
      </w:r>
      <w:r w:rsidR="00021E2A">
        <w:rPr>
          <w:b/>
          <w:bCs/>
          <w:lang w:val="en-US"/>
        </w:rPr>
        <w:instrText>inadequacy</w:instrText>
      </w:r>
      <w:r w:rsidR="00021E2A" w:rsidRPr="006A2B13">
        <w:rPr>
          <w:b/>
          <w:bCs/>
        </w:rPr>
        <w:instrText xml:space="preserve"> </w:instrText>
      </w:r>
      <w:r w:rsidR="00021E2A">
        <w:rPr>
          <w:b/>
          <w:bCs/>
          <w:lang w:val="en-US"/>
        </w:rPr>
        <w:instrText>of</w:instrText>
      </w:r>
      <w:r w:rsidR="00021E2A" w:rsidRPr="006A2B13">
        <w:rPr>
          <w:b/>
          <w:bCs/>
        </w:rPr>
        <w:instrText xml:space="preserve"> </w:instrText>
      </w:r>
      <w:r w:rsidR="00021E2A">
        <w:rPr>
          <w:b/>
          <w:bCs/>
          <w:lang w:val="en-US"/>
        </w:rPr>
        <w:instrText>immunochemotherapy</w:instrText>
      </w:r>
      <w:r w:rsidR="00021E2A" w:rsidRPr="006A2B13">
        <w:rPr>
          <w:b/>
          <w:bCs/>
        </w:rPr>
        <w:instrText xml:space="preserve"> </w:instrText>
      </w:r>
      <w:r w:rsidR="00021E2A">
        <w:rPr>
          <w:b/>
          <w:bCs/>
          <w:lang w:val="en-US"/>
        </w:rPr>
        <w:instrText>alone</w:instrText>
      </w:r>
      <w:r w:rsidR="00021E2A" w:rsidRPr="006A2B13">
        <w:rPr>
          <w:b/>
          <w:bCs/>
        </w:rPr>
        <w:instrText xml:space="preserve"> </w:instrText>
      </w:r>
      <w:r w:rsidR="00021E2A">
        <w:rPr>
          <w:b/>
          <w:bCs/>
          <w:lang w:val="en-US"/>
        </w:rPr>
        <w:instrText>has</w:instrText>
      </w:r>
      <w:r w:rsidR="00021E2A" w:rsidRPr="006A2B13">
        <w:rPr>
          <w:b/>
          <w:bCs/>
        </w:rPr>
        <w:instrText xml:space="preserve"> </w:instrText>
      </w:r>
      <w:r w:rsidR="00021E2A">
        <w:rPr>
          <w:b/>
          <w:bCs/>
          <w:lang w:val="en-US"/>
        </w:rPr>
        <w:instrText>resulted</w:instrText>
      </w:r>
      <w:r w:rsidR="00021E2A" w:rsidRPr="006A2B13">
        <w:rPr>
          <w:b/>
          <w:bCs/>
        </w:rPr>
        <w:instrText xml:space="preserve"> </w:instrText>
      </w:r>
      <w:r w:rsidR="00021E2A">
        <w:rPr>
          <w:b/>
          <w:bCs/>
          <w:lang w:val="en-US"/>
        </w:rPr>
        <w:instrText>in</w:instrText>
      </w:r>
      <w:r w:rsidR="00021E2A" w:rsidRPr="006A2B13">
        <w:rPr>
          <w:b/>
          <w:bCs/>
        </w:rPr>
        <w:instrText xml:space="preserve"> </w:instrText>
      </w:r>
      <w:r w:rsidR="00021E2A">
        <w:rPr>
          <w:b/>
          <w:bCs/>
          <w:lang w:val="en-US"/>
        </w:rPr>
        <w:instrText>routine</w:instrText>
      </w:r>
      <w:r w:rsidR="00021E2A" w:rsidRPr="006A2B13">
        <w:rPr>
          <w:b/>
          <w:bCs/>
        </w:rPr>
        <w:instrText xml:space="preserve"> </w:instrText>
      </w:r>
      <w:r w:rsidR="00021E2A">
        <w:rPr>
          <w:b/>
          <w:bCs/>
          <w:lang w:val="en-US"/>
        </w:rPr>
        <w:instrText>consolidation</w:instrText>
      </w:r>
      <w:r w:rsidR="00021E2A" w:rsidRPr="006A2B13">
        <w:rPr>
          <w:b/>
          <w:bCs/>
        </w:rPr>
        <w:instrText xml:space="preserve"> </w:instrText>
      </w:r>
      <w:r w:rsidR="00021E2A">
        <w:rPr>
          <w:b/>
          <w:bCs/>
          <w:lang w:val="en-US"/>
        </w:rPr>
        <w:instrText>with</w:instrText>
      </w:r>
      <w:r w:rsidR="00021E2A" w:rsidRPr="006A2B13">
        <w:rPr>
          <w:b/>
          <w:bCs/>
        </w:rPr>
        <w:instrText xml:space="preserve"> </w:instrText>
      </w:r>
      <w:r w:rsidR="00021E2A">
        <w:rPr>
          <w:b/>
          <w:bCs/>
          <w:lang w:val="en-US"/>
        </w:rPr>
        <w:instrText>mediastinal</w:instrText>
      </w:r>
      <w:r w:rsidR="00021E2A" w:rsidRPr="006A2B13">
        <w:rPr>
          <w:b/>
          <w:bCs/>
        </w:rPr>
        <w:instrText xml:space="preserve"> </w:instrText>
      </w:r>
      <w:r w:rsidR="00021E2A">
        <w:rPr>
          <w:b/>
          <w:bCs/>
          <w:lang w:val="en-US"/>
        </w:rPr>
        <w:instrText>radiotherapy</w:instrText>
      </w:r>
      <w:r w:rsidR="00021E2A" w:rsidRPr="006A2B13">
        <w:rPr>
          <w:b/>
          <w:bCs/>
        </w:rPr>
        <w:instrText xml:space="preserve">, </w:instrText>
      </w:r>
      <w:r w:rsidR="00021E2A">
        <w:rPr>
          <w:b/>
          <w:bCs/>
          <w:lang w:val="en-US"/>
        </w:rPr>
        <w:instrText>which</w:instrText>
      </w:r>
      <w:r w:rsidR="00021E2A" w:rsidRPr="006A2B13">
        <w:rPr>
          <w:b/>
          <w:bCs/>
        </w:rPr>
        <w:instrText xml:space="preserve"> </w:instrText>
      </w:r>
      <w:r w:rsidR="00021E2A">
        <w:rPr>
          <w:b/>
          <w:bCs/>
          <w:lang w:val="en-US"/>
        </w:rPr>
        <w:instrText>has</w:instrText>
      </w:r>
      <w:r w:rsidR="00021E2A" w:rsidRPr="006A2B13">
        <w:rPr>
          <w:b/>
          <w:bCs/>
        </w:rPr>
        <w:instrText xml:space="preserve"> </w:instrText>
      </w:r>
      <w:r w:rsidR="00021E2A">
        <w:rPr>
          <w:b/>
          <w:bCs/>
          <w:lang w:val="en-US"/>
        </w:rPr>
        <w:instrText>potentially</w:instrText>
      </w:r>
      <w:r w:rsidR="00021E2A" w:rsidRPr="006A2B13">
        <w:rPr>
          <w:b/>
          <w:bCs/>
        </w:rPr>
        <w:instrText xml:space="preserve"> </w:instrText>
      </w:r>
      <w:r w:rsidR="00021E2A">
        <w:rPr>
          <w:b/>
          <w:bCs/>
          <w:lang w:val="en-US"/>
        </w:rPr>
        <w:instrText>serious</w:instrText>
      </w:r>
      <w:r w:rsidR="00021E2A" w:rsidRPr="006A2B13">
        <w:rPr>
          <w:b/>
          <w:bCs/>
        </w:rPr>
        <w:instrText xml:space="preserve"> </w:instrText>
      </w:r>
      <w:r w:rsidR="00021E2A">
        <w:rPr>
          <w:b/>
          <w:bCs/>
          <w:lang w:val="en-US"/>
        </w:rPr>
        <w:instrText>late</w:instrText>
      </w:r>
      <w:r w:rsidR="00021E2A" w:rsidRPr="006A2B13">
        <w:rPr>
          <w:b/>
          <w:bCs/>
        </w:rPr>
        <w:instrText xml:space="preserve"> </w:instrText>
      </w:r>
      <w:r w:rsidR="00021E2A">
        <w:rPr>
          <w:b/>
          <w:bCs/>
          <w:lang w:val="en-US"/>
        </w:rPr>
        <w:instrText>effects</w:instrText>
      </w:r>
      <w:r w:rsidR="00021E2A" w:rsidRPr="006A2B13">
        <w:rPr>
          <w:b/>
          <w:bCs/>
        </w:rPr>
        <w:instrText xml:space="preserve">. </w:instrText>
      </w:r>
      <w:r w:rsidR="00021E2A">
        <w:rPr>
          <w:b/>
          <w:bCs/>
          <w:lang w:val="en-US"/>
        </w:rPr>
        <w:instrText>We</w:instrText>
      </w:r>
      <w:r w:rsidR="00021E2A" w:rsidRPr="006A2B13">
        <w:rPr>
          <w:b/>
          <w:bCs/>
        </w:rPr>
        <w:instrText xml:space="preserve"> </w:instrText>
      </w:r>
      <w:r w:rsidR="00021E2A">
        <w:rPr>
          <w:b/>
          <w:bCs/>
          <w:lang w:val="en-US"/>
        </w:rPr>
        <w:instrText>aimed</w:instrText>
      </w:r>
      <w:r w:rsidR="00021E2A" w:rsidRPr="006A2B13">
        <w:rPr>
          <w:b/>
          <w:bCs/>
        </w:rPr>
        <w:instrText xml:space="preserve"> </w:instrText>
      </w:r>
      <w:r w:rsidR="00021E2A">
        <w:rPr>
          <w:b/>
          <w:bCs/>
          <w:lang w:val="en-US"/>
        </w:rPr>
        <w:instrText>to</w:instrText>
      </w:r>
      <w:r w:rsidR="00021E2A" w:rsidRPr="006A2B13">
        <w:rPr>
          <w:b/>
          <w:bCs/>
        </w:rPr>
        <w:instrText xml:space="preserve"> </w:instrText>
      </w:r>
      <w:r w:rsidR="00021E2A">
        <w:rPr>
          <w:b/>
          <w:bCs/>
          <w:lang w:val="en-US"/>
        </w:rPr>
        <w:instrText>develop</w:instrText>
      </w:r>
      <w:r w:rsidR="00021E2A" w:rsidRPr="006A2B13">
        <w:rPr>
          <w:b/>
          <w:bCs/>
        </w:rPr>
        <w:instrText xml:space="preserve"> </w:instrText>
      </w:r>
      <w:r w:rsidR="00021E2A">
        <w:rPr>
          <w:b/>
          <w:bCs/>
          <w:lang w:val="en-US"/>
        </w:rPr>
        <w:instrText>a</w:instrText>
      </w:r>
      <w:r w:rsidR="00021E2A" w:rsidRPr="006A2B13">
        <w:rPr>
          <w:b/>
          <w:bCs/>
        </w:rPr>
        <w:instrText xml:space="preserve"> </w:instrText>
      </w:r>
      <w:r w:rsidR="00021E2A">
        <w:rPr>
          <w:b/>
          <w:bCs/>
          <w:lang w:val="en-US"/>
        </w:rPr>
        <w:instrText>strategy</w:instrText>
      </w:r>
      <w:r w:rsidR="00021E2A" w:rsidRPr="006A2B13">
        <w:rPr>
          <w:b/>
          <w:bCs/>
        </w:rPr>
        <w:instrText xml:space="preserve"> </w:instrText>
      </w:r>
      <w:r w:rsidR="00021E2A">
        <w:rPr>
          <w:b/>
          <w:bCs/>
          <w:lang w:val="en-US"/>
        </w:rPr>
        <w:instrText>that</w:instrText>
      </w:r>
      <w:r w:rsidR="00021E2A" w:rsidRPr="006A2B13">
        <w:rPr>
          <w:b/>
          <w:bCs/>
        </w:rPr>
        <w:instrText xml:space="preserve"> </w:instrText>
      </w:r>
      <w:r w:rsidR="00021E2A">
        <w:rPr>
          <w:b/>
          <w:bCs/>
          <w:lang w:val="en-US"/>
        </w:rPr>
        <w:instrText>improves</w:instrText>
      </w:r>
      <w:r w:rsidR="00021E2A" w:rsidRPr="006A2B13">
        <w:rPr>
          <w:b/>
          <w:bCs/>
        </w:rPr>
        <w:instrText xml:space="preserve"> </w:instrText>
      </w:r>
      <w:r w:rsidR="00021E2A">
        <w:rPr>
          <w:b/>
          <w:bCs/>
          <w:lang w:val="en-US"/>
        </w:rPr>
        <w:instrText>the</w:instrText>
      </w:r>
      <w:r w:rsidR="00021E2A" w:rsidRPr="006A2B13">
        <w:rPr>
          <w:b/>
          <w:bCs/>
        </w:rPr>
        <w:instrText xml:space="preserve"> </w:instrText>
      </w:r>
      <w:r w:rsidR="00021E2A">
        <w:rPr>
          <w:b/>
          <w:bCs/>
          <w:lang w:val="en-US"/>
        </w:rPr>
        <w:instrText>rate</w:instrText>
      </w:r>
      <w:r w:rsidR="00021E2A" w:rsidRPr="006A2B13">
        <w:rPr>
          <w:b/>
          <w:bCs/>
        </w:rPr>
        <w:instrText xml:space="preserve"> </w:instrText>
      </w:r>
      <w:r w:rsidR="00021E2A">
        <w:rPr>
          <w:b/>
          <w:bCs/>
          <w:lang w:val="en-US"/>
        </w:rPr>
        <w:instrText>of</w:instrText>
      </w:r>
      <w:r w:rsidR="00021E2A" w:rsidRPr="006A2B13">
        <w:rPr>
          <w:b/>
          <w:bCs/>
        </w:rPr>
        <w:instrText xml:space="preserve"> </w:instrText>
      </w:r>
      <w:r w:rsidR="00021E2A">
        <w:rPr>
          <w:b/>
          <w:bCs/>
          <w:lang w:val="en-US"/>
        </w:rPr>
        <w:instrText>cure</w:instrText>
      </w:r>
      <w:r w:rsidR="00021E2A" w:rsidRPr="006A2B13">
        <w:rPr>
          <w:b/>
          <w:bCs/>
        </w:rPr>
        <w:instrText xml:space="preserve"> </w:instrText>
      </w:r>
      <w:r w:rsidR="00021E2A">
        <w:rPr>
          <w:b/>
          <w:bCs/>
          <w:lang w:val="en-US"/>
        </w:rPr>
        <w:instrText>and</w:instrText>
      </w:r>
      <w:r w:rsidR="00021E2A" w:rsidRPr="006A2B13">
        <w:rPr>
          <w:b/>
          <w:bCs/>
        </w:rPr>
        <w:instrText xml:space="preserve"> </w:instrText>
      </w:r>
      <w:r w:rsidR="00021E2A">
        <w:rPr>
          <w:b/>
          <w:bCs/>
          <w:lang w:val="en-US"/>
        </w:rPr>
        <w:instrText>obviates</w:instrText>
      </w:r>
      <w:r w:rsidR="00021E2A" w:rsidRPr="006A2B13">
        <w:rPr>
          <w:b/>
          <w:bCs/>
        </w:rPr>
        <w:instrText xml:space="preserve"> </w:instrText>
      </w:r>
      <w:r w:rsidR="00021E2A">
        <w:rPr>
          <w:b/>
          <w:bCs/>
          <w:lang w:val="en-US"/>
        </w:rPr>
        <w:instrText>the</w:instrText>
      </w:r>
      <w:r w:rsidR="00021E2A" w:rsidRPr="006A2B13">
        <w:rPr>
          <w:b/>
          <w:bCs/>
        </w:rPr>
        <w:instrText xml:space="preserve"> </w:instrText>
      </w:r>
      <w:r w:rsidR="00021E2A">
        <w:rPr>
          <w:b/>
          <w:bCs/>
          <w:lang w:val="en-US"/>
        </w:rPr>
        <w:instrText>need</w:instrText>
      </w:r>
      <w:r w:rsidR="00021E2A" w:rsidRPr="006A2B13">
        <w:rPr>
          <w:b/>
          <w:bCs/>
        </w:rPr>
        <w:instrText xml:space="preserve"> </w:instrText>
      </w:r>
      <w:r w:rsidR="00021E2A">
        <w:rPr>
          <w:b/>
          <w:bCs/>
          <w:lang w:val="en-US"/>
        </w:rPr>
        <w:instrText>for</w:instrText>
      </w:r>
      <w:r w:rsidR="00021E2A" w:rsidRPr="006A2B13">
        <w:rPr>
          <w:b/>
          <w:bCs/>
        </w:rPr>
        <w:instrText xml:space="preserve"> </w:instrText>
      </w:r>
      <w:r w:rsidR="00021E2A">
        <w:rPr>
          <w:b/>
          <w:bCs/>
          <w:lang w:val="en-US"/>
        </w:rPr>
        <w:instrText>radiotherapy</w:instrText>
      </w:r>
      <w:r w:rsidR="00021E2A" w:rsidRPr="006A2B13">
        <w:rPr>
          <w:b/>
          <w:bCs/>
        </w:rPr>
        <w:instrText xml:space="preserve">. </w:instrText>
      </w:r>
      <w:r w:rsidR="00021E2A">
        <w:rPr>
          <w:b/>
          <w:bCs/>
          <w:lang w:val="en-US"/>
        </w:rPr>
        <w:instrText>METHODS</w:instrText>
      </w:r>
      <w:r w:rsidR="00021E2A" w:rsidRPr="006A2B13">
        <w:rPr>
          <w:b/>
          <w:bCs/>
        </w:rPr>
        <w:instrText xml:space="preserve">: </w:instrText>
      </w:r>
      <w:r w:rsidR="00021E2A">
        <w:rPr>
          <w:b/>
          <w:bCs/>
          <w:lang w:val="en-US"/>
        </w:rPr>
        <w:instrText>We</w:instrText>
      </w:r>
      <w:r w:rsidR="00021E2A" w:rsidRPr="006A2B13">
        <w:rPr>
          <w:b/>
          <w:bCs/>
        </w:rPr>
        <w:instrText xml:space="preserve"> </w:instrText>
      </w:r>
      <w:r w:rsidR="00021E2A">
        <w:rPr>
          <w:b/>
          <w:bCs/>
          <w:lang w:val="en-US"/>
        </w:rPr>
        <w:instrText>conducted</w:instrText>
      </w:r>
      <w:r w:rsidR="00021E2A" w:rsidRPr="006A2B13">
        <w:rPr>
          <w:b/>
          <w:bCs/>
        </w:rPr>
        <w:instrText xml:space="preserve"> </w:instrText>
      </w:r>
      <w:r w:rsidR="00021E2A">
        <w:rPr>
          <w:b/>
          <w:bCs/>
          <w:lang w:val="en-US"/>
        </w:rPr>
        <w:instrText>a</w:instrText>
      </w:r>
      <w:r w:rsidR="00021E2A" w:rsidRPr="006A2B13">
        <w:rPr>
          <w:b/>
          <w:bCs/>
        </w:rPr>
        <w:instrText xml:space="preserve"> </w:instrText>
      </w:r>
      <w:r w:rsidR="00021E2A">
        <w:rPr>
          <w:b/>
          <w:bCs/>
          <w:lang w:val="en-US"/>
        </w:rPr>
        <w:instrText>single</w:instrText>
      </w:r>
      <w:r w:rsidR="00021E2A" w:rsidRPr="006A2B13">
        <w:rPr>
          <w:b/>
          <w:bCs/>
        </w:rPr>
        <w:instrText>-</w:instrText>
      </w:r>
      <w:r w:rsidR="00021E2A">
        <w:rPr>
          <w:b/>
          <w:bCs/>
          <w:lang w:val="en-US"/>
        </w:rPr>
        <w:instrText>group</w:instrText>
      </w:r>
      <w:r w:rsidR="00021E2A" w:rsidRPr="006A2B13">
        <w:rPr>
          <w:b/>
          <w:bCs/>
        </w:rPr>
        <w:instrText xml:space="preserve">, </w:instrText>
      </w:r>
      <w:r w:rsidR="00021E2A">
        <w:rPr>
          <w:b/>
          <w:bCs/>
          <w:lang w:val="en-US"/>
        </w:rPr>
        <w:instrText>phase</w:instrText>
      </w:r>
      <w:r w:rsidR="00021E2A" w:rsidRPr="006A2B13">
        <w:rPr>
          <w:b/>
          <w:bCs/>
        </w:rPr>
        <w:instrText xml:space="preserve"> 2, </w:instrText>
      </w:r>
      <w:r w:rsidR="00021E2A">
        <w:rPr>
          <w:b/>
          <w:bCs/>
          <w:lang w:val="en-US"/>
        </w:rPr>
        <w:instrText>prospective study of infusional dose-adjusted etoposide, doxorubicin, and cyclophosphamide with vincristine, prednisone, and rituximab (DA-EPOCH-R) and filgrastim without radiotherapy in 51 patients with untreated primary mediastinal B-cell lymphoma. We used results from a retrospective study of DA-EPOCH-R from another center to independently verify the outcomes. RESULTS: The patients had a median age of 30 years (range, 19 to 52) and a median tumor diameter of 11 cm; 59% were women. During a median of 5 years of follow-up, the event-free survival rate was 93%, and the overall survival rate was 97%. Among the 16 patients who were involved in the retrospective analysis at another center, over a median of 3 years of follow-up, the event-free survival rate was 100%, and no patients received radiotherapy. No late morbidity or cardiac toxic effects were found in any patients. After follow-up ranging from 10 months to 14 years, all but 2 of the 51 patients (4%) who received DA-EPOCH-R alone were in complete remission. The 2 remaining patients received radiotherapy and were disease-free at follow-up. CONCLUSIONS: Therapy with DA-EPOCH-R obviated the need for radiotherapy in patients with primary mediastinal B-cell lymphoma. (Funded by the National Cancer Institute; ClinicalTrials.gov number, NCT00001337.) Copyright © 2013 Massachusetts Medical Society.","author":[{"dropping-particle":"","family":"Dunleavy","given":"Kieron","non-dropping-particle":"","parse-names":false,"suffix":""},{"dropping-particle":"","family":"Pittaluga","given":"Stefania","non-dropping-particle":"","parse-names":false,"suffix":""},{"dropping-particle":"","family":"Maeda","given":"Lauren S.","non-dropping-particle":"","parse-names":false,"suffix":""},{"dropping-particle":"","family":"Advani","given":"Ranjana","non-dropping-particle":"","parse-names":false,"suffix":""},{"dropping-particle":"","family":"Chen","given":"Clara C.","non-dropping-particle":"","parse-names":false,"suffix":""},{"dropping-particle":"","family":"Hessler","given":"Julie","non-dropping-particle":"","parse-names":false</w:instrText>
      </w:r>
      <w:r w:rsidR="00021E2A" w:rsidRPr="00320416">
        <w:rPr>
          <w:b/>
          <w:bCs/>
        </w:rPr>
        <w:instrText>,"</w:instrText>
      </w:r>
      <w:r w:rsidR="00021E2A">
        <w:rPr>
          <w:b/>
          <w:bCs/>
          <w:lang w:val="en-US"/>
        </w:rPr>
        <w:instrText>suffix</w:instrText>
      </w:r>
      <w:r w:rsidR="00021E2A" w:rsidRPr="00320416">
        <w:rPr>
          <w:b/>
          <w:bCs/>
        </w:rPr>
        <w:instrText>":""},{"</w:instrText>
      </w:r>
      <w:r w:rsidR="00021E2A">
        <w:rPr>
          <w:b/>
          <w:bCs/>
          <w:lang w:val="en-US"/>
        </w:rPr>
        <w:instrText>dropping</w:instrText>
      </w:r>
      <w:r w:rsidR="00021E2A" w:rsidRPr="00320416">
        <w:rPr>
          <w:b/>
          <w:bCs/>
        </w:rPr>
        <w:instrText>-</w:instrText>
      </w:r>
      <w:r w:rsidR="00021E2A">
        <w:rPr>
          <w:b/>
          <w:bCs/>
          <w:lang w:val="en-US"/>
        </w:rPr>
        <w:instrText>particle</w:instrText>
      </w:r>
      <w:r w:rsidR="00021E2A" w:rsidRPr="00320416">
        <w:rPr>
          <w:b/>
          <w:bCs/>
        </w:rPr>
        <w:instrText>":"","</w:instrText>
      </w:r>
      <w:r w:rsidR="00021E2A">
        <w:rPr>
          <w:b/>
          <w:bCs/>
          <w:lang w:val="en-US"/>
        </w:rPr>
        <w:instrText>family</w:instrText>
      </w:r>
      <w:r w:rsidR="00021E2A" w:rsidRPr="00320416">
        <w:rPr>
          <w:b/>
          <w:bCs/>
        </w:rPr>
        <w:instrText>":"</w:instrText>
      </w:r>
      <w:r w:rsidR="00021E2A">
        <w:rPr>
          <w:b/>
          <w:bCs/>
          <w:lang w:val="en-US"/>
        </w:rPr>
        <w:instrText>Steinberg</w:instrText>
      </w:r>
      <w:r w:rsidR="00021E2A" w:rsidRPr="00320416">
        <w:rPr>
          <w:b/>
          <w:bCs/>
        </w:rPr>
        <w:instrText>","</w:instrText>
      </w:r>
      <w:r w:rsidR="00021E2A">
        <w:rPr>
          <w:b/>
          <w:bCs/>
          <w:lang w:val="en-US"/>
        </w:rPr>
        <w:instrText>given</w:instrText>
      </w:r>
      <w:r w:rsidR="00021E2A" w:rsidRPr="00320416">
        <w:rPr>
          <w:b/>
          <w:bCs/>
        </w:rPr>
        <w:instrText>":"</w:instrText>
      </w:r>
      <w:r w:rsidR="00021E2A">
        <w:rPr>
          <w:b/>
          <w:bCs/>
          <w:lang w:val="en-US"/>
        </w:rPr>
        <w:instrText>Seth</w:instrText>
      </w:r>
      <w:r w:rsidR="00021E2A" w:rsidRPr="00320416">
        <w:rPr>
          <w:b/>
          <w:bCs/>
        </w:rPr>
        <w:instrText xml:space="preserve"> </w:instrText>
      </w:r>
      <w:r w:rsidR="00021E2A">
        <w:rPr>
          <w:b/>
          <w:bCs/>
          <w:lang w:val="en-US"/>
        </w:rPr>
        <w:instrText>M</w:instrText>
      </w:r>
      <w:r w:rsidR="00021E2A" w:rsidRPr="00320416">
        <w:rPr>
          <w:b/>
          <w:bCs/>
        </w:rPr>
        <w:instrText>.","</w:instrText>
      </w:r>
      <w:r w:rsidR="00021E2A">
        <w:rPr>
          <w:b/>
          <w:bCs/>
          <w:lang w:val="en-US"/>
        </w:rPr>
        <w:instrText>non</w:instrText>
      </w:r>
      <w:r w:rsidR="00021E2A" w:rsidRPr="00320416">
        <w:rPr>
          <w:b/>
          <w:bCs/>
        </w:rPr>
        <w:instrText>-</w:instrText>
      </w:r>
      <w:r w:rsidR="00021E2A">
        <w:rPr>
          <w:b/>
          <w:bCs/>
          <w:lang w:val="en-US"/>
        </w:rPr>
        <w:instrText>dropping</w:instrText>
      </w:r>
      <w:r w:rsidR="00021E2A" w:rsidRPr="00320416">
        <w:rPr>
          <w:b/>
          <w:bCs/>
        </w:rPr>
        <w:instrText>-</w:instrText>
      </w:r>
      <w:r w:rsidR="00021E2A">
        <w:rPr>
          <w:b/>
          <w:bCs/>
          <w:lang w:val="en-US"/>
        </w:rPr>
        <w:instrText>particle</w:instrText>
      </w:r>
      <w:r w:rsidR="00021E2A" w:rsidRPr="00320416">
        <w:rPr>
          <w:b/>
          <w:bCs/>
        </w:rPr>
        <w:instrText>":"","</w:instrText>
      </w:r>
      <w:r w:rsidR="00021E2A">
        <w:rPr>
          <w:b/>
          <w:bCs/>
          <w:lang w:val="en-US"/>
        </w:rPr>
        <w:instrText>parse</w:instrText>
      </w:r>
      <w:r w:rsidR="00021E2A" w:rsidRPr="00320416">
        <w:rPr>
          <w:b/>
          <w:bCs/>
        </w:rPr>
        <w:instrText>-</w:instrText>
      </w:r>
      <w:r w:rsidR="00021E2A">
        <w:rPr>
          <w:b/>
          <w:bCs/>
          <w:lang w:val="en-US"/>
        </w:rPr>
        <w:instrText>names</w:instrText>
      </w:r>
      <w:r w:rsidR="00021E2A" w:rsidRPr="00320416">
        <w:rPr>
          <w:b/>
          <w:bCs/>
        </w:rPr>
        <w:instrText>":</w:instrText>
      </w:r>
      <w:r w:rsidR="00021E2A">
        <w:rPr>
          <w:b/>
          <w:bCs/>
          <w:lang w:val="en-US"/>
        </w:rPr>
        <w:instrText>false</w:instrText>
      </w:r>
      <w:r w:rsidR="00021E2A" w:rsidRPr="00320416">
        <w:rPr>
          <w:b/>
          <w:bCs/>
        </w:rPr>
        <w:instrText>,"</w:instrText>
      </w:r>
      <w:r w:rsidR="00021E2A">
        <w:rPr>
          <w:b/>
          <w:bCs/>
          <w:lang w:val="en-US"/>
        </w:rPr>
        <w:instrText>suffix</w:instrText>
      </w:r>
      <w:r w:rsidR="00021E2A" w:rsidRPr="00320416">
        <w:rPr>
          <w:b/>
          <w:bCs/>
        </w:rPr>
        <w:instrText>":""},{"</w:instrText>
      </w:r>
      <w:r w:rsidR="00021E2A">
        <w:rPr>
          <w:b/>
          <w:bCs/>
          <w:lang w:val="en-US"/>
        </w:rPr>
        <w:instrText>dropping</w:instrText>
      </w:r>
      <w:r w:rsidR="00021E2A" w:rsidRPr="00320416">
        <w:rPr>
          <w:b/>
          <w:bCs/>
        </w:rPr>
        <w:instrText>-</w:instrText>
      </w:r>
      <w:r w:rsidR="00021E2A">
        <w:rPr>
          <w:b/>
          <w:bCs/>
          <w:lang w:val="en-US"/>
        </w:rPr>
        <w:instrText>particle</w:instrText>
      </w:r>
      <w:r w:rsidR="00021E2A" w:rsidRPr="00320416">
        <w:rPr>
          <w:b/>
          <w:bCs/>
        </w:rPr>
        <w:instrText>":"","</w:instrText>
      </w:r>
      <w:r w:rsidR="00021E2A">
        <w:rPr>
          <w:b/>
          <w:bCs/>
          <w:lang w:val="en-US"/>
        </w:rPr>
        <w:instrText>family</w:instrText>
      </w:r>
      <w:r w:rsidR="00021E2A" w:rsidRPr="00320416">
        <w:rPr>
          <w:b/>
          <w:bCs/>
        </w:rPr>
        <w:instrText>":"</w:instrText>
      </w:r>
      <w:r w:rsidR="00021E2A">
        <w:rPr>
          <w:b/>
          <w:bCs/>
          <w:lang w:val="en-US"/>
        </w:rPr>
        <w:instrText>Grant</w:instrText>
      </w:r>
      <w:r w:rsidR="00021E2A" w:rsidRPr="00320416">
        <w:rPr>
          <w:b/>
          <w:bCs/>
        </w:rPr>
        <w:instrText>","</w:instrText>
      </w:r>
      <w:r w:rsidR="00021E2A">
        <w:rPr>
          <w:b/>
          <w:bCs/>
          <w:lang w:val="en-US"/>
        </w:rPr>
        <w:instrText>given</w:instrText>
      </w:r>
      <w:r w:rsidR="00021E2A" w:rsidRPr="00320416">
        <w:rPr>
          <w:b/>
          <w:bCs/>
        </w:rPr>
        <w:instrText>":"</w:instrText>
      </w:r>
      <w:r w:rsidR="00021E2A">
        <w:rPr>
          <w:b/>
          <w:bCs/>
          <w:lang w:val="en-US"/>
        </w:rPr>
        <w:instrText>Cliona</w:instrText>
      </w:r>
      <w:r w:rsidR="00021E2A" w:rsidRPr="00320416">
        <w:rPr>
          <w:b/>
          <w:bCs/>
        </w:rPr>
        <w:instrText>","</w:instrText>
      </w:r>
      <w:r w:rsidR="00021E2A">
        <w:rPr>
          <w:b/>
          <w:bCs/>
          <w:lang w:val="en-US"/>
        </w:rPr>
        <w:instrText>non</w:instrText>
      </w:r>
      <w:r w:rsidR="00021E2A" w:rsidRPr="00320416">
        <w:rPr>
          <w:b/>
          <w:bCs/>
        </w:rPr>
        <w:instrText>-</w:instrText>
      </w:r>
      <w:r w:rsidR="00021E2A">
        <w:rPr>
          <w:b/>
          <w:bCs/>
          <w:lang w:val="en-US"/>
        </w:rPr>
        <w:instrText>dropping</w:instrText>
      </w:r>
      <w:r w:rsidR="00021E2A" w:rsidRPr="00320416">
        <w:rPr>
          <w:b/>
          <w:bCs/>
        </w:rPr>
        <w:instrText>-</w:instrText>
      </w:r>
      <w:r w:rsidR="00021E2A">
        <w:rPr>
          <w:b/>
          <w:bCs/>
          <w:lang w:val="en-US"/>
        </w:rPr>
        <w:instrText>particle</w:instrText>
      </w:r>
      <w:r w:rsidR="00021E2A" w:rsidRPr="00320416">
        <w:rPr>
          <w:b/>
          <w:bCs/>
        </w:rPr>
        <w:instrText>":"","</w:instrText>
      </w:r>
      <w:r w:rsidR="00021E2A">
        <w:rPr>
          <w:b/>
          <w:bCs/>
          <w:lang w:val="en-US"/>
        </w:rPr>
        <w:instrText>parse</w:instrText>
      </w:r>
      <w:r w:rsidR="00021E2A" w:rsidRPr="00320416">
        <w:rPr>
          <w:b/>
          <w:bCs/>
        </w:rPr>
        <w:instrText>-</w:instrText>
      </w:r>
      <w:r w:rsidR="00021E2A">
        <w:rPr>
          <w:b/>
          <w:bCs/>
          <w:lang w:val="en-US"/>
        </w:rPr>
        <w:instrText>names</w:instrText>
      </w:r>
      <w:r w:rsidR="00021E2A" w:rsidRPr="00320416">
        <w:rPr>
          <w:b/>
          <w:bCs/>
        </w:rPr>
        <w:instrText>":</w:instrText>
      </w:r>
      <w:r w:rsidR="00021E2A">
        <w:rPr>
          <w:b/>
          <w:bCs/>
          <w:lang w:val="en-US"/>
        </w:rPr>
        <w:instrText>false</w:instrText>
      </w:r>
      <w:r w:rsidR="00021E2A" w:rsidRPr="00320416">
        <w:rPr>
          <w:b/>
          <w:bCs/>
        </w:rPr>
        <w:instrText>,"</w:instrText>
      </w:r>
      <w:r w:rsidR="00021E2A">
        <w:rPr>
          <w:b/>
          <w:bCs/>
          <w:lang w:val="en-US"/>
        </w:rPr>
        <w:instrText>suffix</w:instrText>
      </w:r>
      <w:r w:rsidR="00021E2A" w:rsidRPr="00320416">
        <w:rPr>
          <w:b/>
          <w:bCs/>
        </w:rPr>
        <w:instrText>":""},{"</w:instrText>
      </w:r>
      <w:r w:rsidR="00021E2A">
        <w:rPr>
          <w:b/>
          <w:bCs/>
          <w:lang w:val="en-US"/>
        </w:rPr>
        <w:instrText>dropping</w:instrText>
      </w:r>
      <w:r w:rsidR="00021E2A" w:rsidRPr="00320416">
        <w:rPr>
          <w:b/>
          <w:bCs/>
        </w:rPr>
        <w:instrText>-</w:instrText>
      </w:r>
      <w:r w:rsidR="00021E2A">
        <w:rPr>
          <w:b/>
          <w:bCs/>
          <w:lang w:val="en-US"/>
        </w:rPr>
        <w:instrText>particle</w:instrText>
      </w:r>
      <w:r w:rsidR="00021E2A" w:rsidRPr="00320416">
        <w:rPr>
          <w:b/>
          <w:bCs/>
        </w:rPr>
        <w:instrText>":"","</w:instrText>
      </w:r>
      <w:r w:rsidR="00021E2A">
        <w:rPr>
          <w:b/>
          <w:bCs/>
          <w:lang w:val="en-US"/>
        </w:rPr>
        <w:instrText>family</w:instrText>
      </w:r>
      <w:r w:rsidR="00021E2A" w:rsidRPr="00320416">
        <w:rPr>
          <w:b/>
          <w:bCs/>
        </w:rPr>
        <w:instrText>":"</w:instrText>
      </w:r>
      <w:r w:rsidR="00021E2A">
        <w:rPr>
          <w:b/>
          <w:bCs/>
          <w:lang w:val="en-US"/>
        </w:rPr>
        <w:instrText>Wright</w:instrText>
      </w:r>
      <w:r w:rsidR="00021E2A" w:rsidRPr="00320416">
        <w:rPr>
          <w:b/>
          <w:bCs/>
        </w:rPr>
        <w:instrText>","</w:instrText>
      </w:r>
      <w:r w:rsidR="00021E2A">
        <w:rPr>
          <w:b/>
          <w:bCs/>
          <w:lang w:val="en-US"/>
        </w:rPr>
        <w:instrText>given</w:instrText>
      </w:r>
      <w:r w:rsidR="00021E2A" w:rsidRPr="00320416">
        <w:rPr>
          <w:b/>
          <w:bCs/>
        </w:rPr>
        <w:instrText>":"</w:instrText>
      </w:r>
      <w:r w:rsidR="00021E2A">
        <w:rPr>
          <w:b/>
          <w:bCs/>
          <w:lang w:val="en-US"/>
        </w:rPr>
        <w:instrText>George</w:instrText>
      </w:r>
      <w:r w:rsidR="00021E2A" w:rsidRPr="00320416">
        <w:rPr>
          <w:b/>
          <w:bCs/>
        </w:rPr>
        <w:instrText>","</w:instrText>
      </w:r>
      <w:r w:rsidR="00021E2A">
        <w:rPr>
          <w:b/>
          <w:bCs/>
          <w:lang w:val="en-US"/>
        </w:rPr>
        <w:instrText>non</w:instrText>
      </w:r>
      <w:r w:rsidR="00021E2A" w:rsidRPr="00320416">
        <w:rPr>
          <w:b/>
          <w:bCs/>
        </w:rPr>
        <w:instrText>-</w:instrText>
      </w:r>
      <w:r w:rsidR="00021E2A">
        <w:rPr>
          <w:b/>
          <w:bCs/>
          <w:lang w:val="en-US"/>
        </w:rPr>
        <w:instrText>dropping</w:instrText>
      </w:r>
      <w:r w:rsidR="00021E2A" w:rsidRPr="00320416">
        <w:rPr>
          <w:b/>
          <w:bCs/>
        </w:rPr>
        <w:instrText>-</w:instrText>
      </w:r>
      <w:r w:rsidR="00021E2A">
        <w:rPr>
          <w:b/>
          <w:bCs/>
          <w:lang w:val="en-US"/>
        </w:rPr>
        <w:instrText>particle</w:instrText>
      </w:r>
      <w:r w:rsidR="00021E2A" w:rsidRPr="00320416">
        <w:rPr>
          <w:b/>
          <w:bCs/>
        </w:rPr>
        <w:instrText>":"","</w:instrText>
      </w:r>
      <w:r w:rsidR="00021E2A">
        <w:rPr>
          <w:b/>
          <w:bCs/>
          <w:lang w:val="en-US"/>
        </w:rPr>
        <w:instrText>parse</w:instrText>
      </w:r>
      <w:r w:rsidR="00021E2A" w:rsidRPr="00320416">
        <w:rPr>
          <w:b/>
          <w:bCs/>
        </w:rPr>
        <w:instrText>-</w:instrText>
      </w:r>
      <w:r w:rsidR="00021E2A">
        <w:rPr>
          <w:b/>
          <w:bCs/>
          <w:lang w:val="en-US"/>
        </w:rPr>
        <w:instrText>names</w:instrText>
      </w:r>
      <w:r w:rsidR="00021E2A" w:rsidRPr="00320416">
        <w:rPr>
          <w:b/>
          <w:bCs/>
        </w:rPr>
        <w:instrText>":</w:instrText>
      </w:r>
      <w:r w:rsidR="00021E2A">
        <w:rPr>
          <w:b/>
          <w:bCs/>
          <w:lang w:val="en-US"/>
        </w:rPr>
        <w:instrText>false</w:instrText>
      </w:r>
      <w:r w:rsidR="00021E2A" w:rsidRPr="00320416">
        <w:rPr>
          <w:b/>
          <w:bCs/>
        </w:rPr>
        <w:instrText>,"</w:instrText>
      </w:r>
      <w:r w:rsidR="00021E2A">
        <w:rPr>
          <w:b/>
          <w:bCs/>
          <w:lang w:val="en-US"/>
        </w:rPr>
        <w:instrText>suffix</w:instrText>
      </w:r>
      <w:r w:rsidR="00021E2A" w:rsidRPr="00320416">
        <w:rPr>
          <w:b/>
          <w:bCs/>
        </w:rPr>
        <w:instrText>":""},{"</w:instrText>
      </w:r>
      <w:r w:rsidR="00021E2A">
        <w:rPr>
          <w:b/>
          <w:bCs/>
          <w:lang w:val="en-US"/>
        </w:rPr>
        <w:instrText>dropping</w:instrText>
      </w:r>
      <w:r w:rsidR="00021E2A" w:rsidRPr="00320416">
        <w:rPr>
          <w:b/>
          <w:bCs/>
        </w:rPr>
        <w:instrText>-</w:instrText>
      </w:r>
      <w:r w:rsidR="00021E2A">
        <w:rPr>
          <w:b/>
          <w:bCs/>
          <w:lang w:val="en-US"/>
        </w:rPr>
        <w:instrText>particle</w:instrText>
      </w:r>
      <w:r w:rsidR="00021E2A" w:rsidRPr="00320416">
        <w:rPr>
          <w:b/>
          <w:bCs/>
        </w:rPr>
        <w:instrText>":"","</w:instrText>
      </w:r>
      <w:r w:rsidR="00021E2A">
        <w:rPr>
          <w:b/>
          <w:bCs/>
          <w:lang w:val="en-US"/>
        </w:rPr>
        <w:instrText>family</w:instrText>
      </w:r>
      <w:r w:rsidR="00021E2A" w:rsidRPr="00320416">
        <w:rPr>
          <w:b/>
          <w:bCs/>
        </w:rPr>
        <w:instrText>":"</w:instrText>
      </w:r>
      <w:r w:rsidR="00021E2A">
        <w:rPr>
          <w:b/>
          <w:bCs/>
          <w:lang w:val="en-US"/>
        </w:rPr>
        <w:instrText>Varma</w:instrText>
      </w:r>
      <w:r w:rsidR="00021E2A" w:rsidRPr="00320416">
        <w:rPr>
          <w:b/>
          <w:bCs/>
        </w:rPr>
        <w:instrText>","</w:instrText>
      </w:r>
      <w:r w:rsidR="00021E2A">
        <w:rPr>
          <w:b/>
          <w:bCs/>
          <w:lang w:val="en-US"/>
        </w:rPr>
        <w:instrText>given</w:instrText>
      </w:r>
      <w:r w:rsidR="00021E2A" w:rsidRPr="00320416">
        <w:rPr>
          <w:b/>
          <w:bCs/>
        </w:rPr>
        <w:instrText>":"</w:instrText>
      </w:r>
      <w:r w:rsidR="00021E2A">
        <w:rPr>
          <w:b/>
          <w:bCs/>
          <w:lang w:val="en-US"/>
        </w:rPr>
        <w:instrText>Gaurav</w:instrText>
      </w:r>
      <w:r w:rsidR="00021E2A" w:rsidRPr="00320416">
        <w:rPr>
          <w:b/>
          <w:bCs/>
        </w:rPr>
        <w:instrText>","</w:instrText>
      </w:r>
      <w:r w:rsidR="00021E2A">
        <w:rPr>
          <w:b/>
          <w:bCs/>
          <w:lang w:val="en-US"/>
        </w:rPr>
        <w:instrText>non</w:instrText>
      </w:r>
      <w:r w:rsidR="00021E2A" w:rsidRPr="00320416">
        <w:rPr>
          <w:b/>
          <w:bCs/>
        </w:rPr>
        <w:instrText>-</w:instrText>
      </w:r>
      <w:r w:rsidR="00021E2A">
        <w:rPr>
          <w:b/>
          <w:bCs/>
          <w:lang w:val="en-US"/>
        </w:rPr>
        <w:instrText>dropping</w:instrText>
      </w:r>
      <w:r w:rsidR="00021E2A" w:rsidRPr="00320416">
        <w:rPr>
          <w:b/>
          <w:bCs/>
        </w:rPr>
        <w:instrText>-</w:instrText>
      </w:r>
      <w:r w:rsidR="00021E2A">
        <w:rPr>
          <w:b/>
          <w:bCs/>
          <w:lang w:val="en-US"/>
        </w:rPr>
        <w:instrText>particle</w:instrText>
      </w:r>
      <w:r w:rsidR="00021E2A" w:rsidRPr="00320416">
        <w:rPr>
          <w:b/>
          <w:bCs/>
        </w:rPr>
        <w:instrText>":"","</w:instrText>
      </w:r>
      <w:r w:rsidR="00021E2A">
        <w:rPr>
          <w:b/>
          <w:bCs/>
          <w:lang w:val="en-US"/>
        </w:rPr>
        <w:instrText>parse</w:instrText>
      </w:r>
      <w:r w:rsidR="00021E2A" w:rsidRPr="00320416">
        <w:rPr>
          <w:b/>
          <w:bCs/>
        </w:rPr>
        <w:instrText>-</w:instrText>
      </w:r>
      <w:r w:rsidR="00021E2A">
        <w:rPr>
          <w:b/>
          <w:bCs/>
          <w:lang w:val="en-US"/>
        </w:rPr>
        <w:instrText>names</w:instrText>
      </w:r>
      <w:r w:rsidR="00021E2A" w:rsidRPr="00320416">
        <w:rPr>
          <w:b/>
          <w:bCs/>
        </w:rPr>
        <w:instrText>":</w:instrText>
      </w:r>
      <w:r w:rsidR="00021E2A">
        <w:rPr>
          <w:b/>
          <w:bCs/>
          <w:lang w:val="en-US"/>
        </w:rPr>
        <w:instrText>false</w:instrText>
      </w:r>
      <w:r w:rsidR="00021E2A" w:rsidRPr="00320416">
        <w:rPr>
          <w:b/>
          <w:bCs/>
        </w:rPr>
        <w:instrText>,"</w:instrText>
      </w:r>
      <w:r w:rsidR="00021E2A">
        <w:rPr>
          <w:b/>
          <w:bCs/>
          <w:lang w:val="en-US"/>
        </w:rPr>
        <w:instrText>suffix</w:instrText>
      </w:r>
      <w:r w:rsidR="00021E2A" w:rsidRPr="00320416">
        <w:rPr>
          <w:b/>
          <w:bCs/>
        </w:rPr>
        <w:instrText>":""},{"</w:instrText>
      </w:r>
      <w:r w:rsidR="00021E2A">
        <w:rPr>
          <w:b/>
          <w:bCs/>
          <w:lang w:val="en-US"/>
        </w:rPr>
        <w:instrText>dropping</w:instrText>
      </w:r>
      <w:r w:rsidR="00021E2A" w:rsidRPr="00320416">
        <w:rPr>
          <w:b/>
          <w:bCs/>
        </w:rPr>
        <w:instrText>-</w:instrText>
      </w:r>
      <w:r w:rsidR="00021E2A">
        <w:rPr>
          <w:b/>
          <w:bCs/>
          <w:lang w:val="en-US"/>
        </w:rPr>
        <w:instrText>particle</w:instrText>
      </w:r>
      <w:r w:rsidR="00021E2A" w:rsidRPr="00320416">
        <w:rPr>
          <w:b/>
          <w:bCs/>
        </w:rPr>
        <w:instrText>":"","</w:instrText>
      </w:r>
      <w:r w:rsidR="00021E2A">
        <w:rPr>
          <w:b/>
          <w:bCs/>
          <w:lang w:val="en-US"/>
        </w:rPr>
        <w:instrText>family</w:instrText>
      </w:r>
      <w:r w:rsidR="00021E2A" w:rsidRPr="00320416">
        <w:rPr>
          <w:b/>
          <w:bCs/>
        </w:rPr>
        <w:instrText>":"</w:instrText>
      </w:r>
      <w:r w:rsidR="00021E2A">
        <w:rPr>
          <w:b/>
          <w:bCs/>
          <w:lang w:val="en-US"/>
        </w:rPr>
        <w:instrText>Staudt</w:instrText>
      </w:r>
      <w:r w:rsidR="00021E2A" w:rsidRPr="00320416">
        <w:rPr>
          <w:b/>
          <w:bCs/>
        </w:rPr>
        <w:instrText>","</w:instrText>
      </w:r>
      <w:r w:rsidR="00021E2A">
        <w:rPr>
          <w:b/>
          <w:bCs/>
          <w:lang w:val="en-US"/>
        </w:rPr>
        <w:instrText>given</w:instrText>
      </w:r>
      <w:r w:rsidR="00021E2A" w:rsidRPr="00320416">
        <w:rPr>
          <w:b/>
          <w:bCs/>
        </w:rPr>
        <w:instrText>":"</w:instrText>
      </w:r>
      <w:r w:rsidR="00021E2A">
        <w:rPr>
          <w:b/>
          <w:bCs/>
          <w:lang w:val="en-US"/>
        </w:rPr>
        <w:instrText>Louis</w:instrText>
      </w:r>
      <w:r w:rsidR="00021E2A" w:rsidRPr="00320416">
        <w:rPr>
          <w:b/>
          <w:bCs/>
        </w:rPr>
        <w:instrText xml:space="preserve"> </w:instrText>
      </w:r>
      <w:r w:rsidR="00021E2A">
        <w:rPr>
          <w:b/>
          <w:bCs/>
          <w:lang w:val="en-US"/>
        </w:rPr>
        <w:instrText>M</w:instrText>
      </w:r>
      <w:r w:rsidR="00021E2A" w:rsidRPr="00320416">
        <w:rPr>
          <w:b/>
          <w:bCs/>
        </w:rPr>
        <w:instrText>.","</w:instrText>
      </w:r>
      <w:r w:rsidR="00021E2A">
        <w:rPr>
          <w:b/>
          <w:bCs/>
          <w:lang w:val="en-US"/>
        </w:rPr>
        <w:instrText>non</w:instrText>
      </w:r>
      <w:r w:rsidR="00021E2A" w:rsidRPr="00320416">
        <w:rPr>
          <w:b/>
          <w:bCs/>
        </w:rPr>
        <w:instrText>-</w:instrText>
      </w:r>
      <w:r w:rsidR="00021E2A">
        <w:rPr>
          <w:b/>
          <w:bCs/>
          <w:lang w:val="en-US"/>
        </w:rPr>
        <w:instrText>dropping</w:instrText>
      </w:r>
      <w:r w:rsidR="00021E2A" w:rsidRPr="00320416">
        <w:rPr>
          <w:b/>
          <w:bCs/>
        </w:rPr>
        <w:instrText>-</w:instrText>
      </w:r>
      <w:r w:rsidR="00021E2A">
        <w:rPr>
          <w:b/>
          <w:bCs/>
          <w:lang w:val="en-US"/>
        </w:rPr>
        <w:instrText>particle</w:instrText>
      </w:r>
      <w:r w:rsidR="00021E2A" w:rsidRPr="00320416">
        <w:rPr>
          <w:b/>
          <w:bCs/>
        </w:rPr>
        <w:instrText>":"","</w:instrText>
      </w:r>
      <w:r w:rsidR="00021E2A">
        <w:rPr>
          <w:b/>
          <w:bCs/>
          <w:lang w:val="en-US"/>
        </w:rPr>
        <w:instrText>parse</w:instrText>
      </w:r>
      <w:r w:rsidR="00021E2A" w:rsidRPr="00320416">
        <w:rPr>
          <w:b/>
          <w:bCs/>
        </w:rPr>
        <w:instrText>-</w:instrText>
      </w:r>
      <w:r w:rsidR="00021E2A">
        <w:rPr>
          <w:b/>
          <w:bCs/>
          <w:lang w:val="en-US"/>
        </w:rPr>
        <w:instrText>names</w:instrText>
      </w:r>
      <w:r w:rsidR="00021E2A" w:rsidRPr="00320416">
        <w:rPr>
          <w:b/>
          <w:bCs/>
        </w:rPr>
        <w:instrText>":</w:instrText>
      </w:r>
      <w:r w:rsidR="00021E2A">
        <w:rPr>
          <w:b/>
          <w:bCs/>
          <w:lang w:val="en-US"/>
        </w:rPr>
        <w:instrText>false</w:instrText>
      </w:r>
      <w:r w:rsidR="00021E2A" w:rsidRPr="00320416">
        <w:rPr>
          <w:b/>
          <w:bCs/>
        </w:rPr>
        <w:instrText>,"</w:instrText>
      </w:r>
      <w:r w:rsidR="00021E2A">
        <w:rPr>
          <w:b/>
          <w:bCs/>
          <w:lang w:val="en-US"/>
        </w:rPr>
        <w:instrText>suffix</w:instrText>
      </w:r>
      <w:r w:rsidR="00021E2A" w:rsidRPr="00320416">
        <w:rPr>
          <w:b/>
          <w:bCs/>
        </w:rPr>
        <w:instrText>":""},{"</w:instrText>
      </w:r>
      <w:r w:rsidR="00021E2A">
        <w:rPr>
          <w:b/>
          <w:bCs/>
          <w:lang w:val="en-US"/>
        </w:rPr>
        <w:instrText>dropping</w:instrText>
      </w:r>
      <w:r w:rsidR="00021E2A" w:rsidRPr="00320416">
        <w:rPr>
          <w:b/>
          <w:bCs/>
        </w:rPr>
        <w:instrText>-</w:instrText>
      </w:r>
      <w:r w:rsidR="00021E2A">
        <w:rPr>
          <w:b/>
          <w:bCs/>
          <w:lang w:val="en-US"/>
        </w:rPr>
        <w:instrText>particle</w:instrText>
      </w:r>
      <w:r w:rsidR="00021E2A" w:rsidRPr="00320416">
        <w:rPr>
          <w:b/>
          <w:bCs/>
        </w:rPr>
        <w:instrText>":"","</w:instrText>
      </w:r>
      <w:r w:rsidR="00021E2A">
        <w:rPr>
          <w:b/>
          <w:bCs/>
          <w:lang w:val="en-US"/>
        </w:rPr>
        <w:instrText>family</w:instrText>
      </w:r>
      <w:r w:rsidR="00021E2A" w:rsidRPr="00320416">
        <w:rPr>
          <w:b/>
          <w:bCs/>
        </w:rPr>
        <w:instrText>":"</w:instrText>
      </w:r>
      <w:r w:rsidR="00021E2A">
        <w:rPr>
          <w:b/>
          <w:bCs/>
          <w:lang w:val="en-US"/>
        </w:rPr>
        <w:instrText>Jaffe</w:instrText>
      </w:r>
      <w:r w:rsidR="00021E2A" w:rsidRPr="00320416">
        <w:rPr>
          <w:b/>
          <w:bCs/>
        </w:rPr>
        <w:instrText>","</w:instrText>
      </w:r>
      <w:r w:rsidR="00021E2A">
        <w:rPr>
          <w:b/>
          <w:bCs/>
          <w:lang w:val="en-US"/>
        </w:rPr>
        <w:instrText>given</w:instrText>
      </w:r>
      <w:r w:rsidR="00021E2A" w:rsidRPr="00320416">
        <w:rPr>
          <w:b/>
          <w:bCs/>
        </w:rPr>
        <w:instrText>":"</w:instrText>
      </w:r>
      <w:r w:rsidR="00021E2A">
        <w:rPr>
          <w:b/>
          <w:bCs/>
          <w:lang w:val="en-US"/>
        </w:rPr>
        <w:instrText>Elaine</w:instrText>
      </w:r>
      <w:r w:rsidR="00021E2A" w:rsidRPr="00320416">
        <w:rPr>
          <w:b/>
          <w:bCs/>
        </w:rPr>
        <w:instrText xml:space="preserve"> </w:instrText>
      </w:r>
      <w:r w:rsidR="00021E2A">
        <w:rPr>
          <w:b/>
          <w:bCs/>
          <w:lang w:val="en-US"/>
        </w:rPr>
        <w:instrText>S</w:instrText>
      </w:r>
      <w:r w:rsidR="00021E2A" w:rsidRPr="00320416">
        <w:rPr>
          <w:b/>
          <w:bCs/>
        </w:rPr>
        <w:instrText>.","</w:instrText>
      </w:r>
      <w:r w:rsidR="00021E2A">
        <w:rPr>
          <w:b/>
          <w:bCs/>
          <w:lang w:val="en-US"/>
        </w:rPr>
        <w:instrText>non</w:instrText>
      </w:r>
      <w:r w:rsidR="00021E2A" w:rsidRPr="00320416">
        <w:rPr>
          <w:b/>
          <w:bCs/>
        </w:rPr>
        <w:instrText>-</w:instrText>
      </w:r>
      <w:r w:rsidR="00021E2A">
        <w:rPr>
          <w:b/>
          <w:bCs/>
          <w:lang w:val="en-US"/>
        </w:rPr>
        <w:instrText>dropping</w:instrText>
      </w:r>
      <w:r w:rsidR="00021E2A" w:rsidRPr="00320416">
        <w:rPr>
          <w:b/>
          <w:bCs/>
        </w:rPr>
        <w:instrText>-</w:instrText>
      </w:r>
      <w:r w:rsidR="00021E2A">
        <w:rPr>
          <w:b/>
          <w:bCs/>
          <w:lang w:val="en-US"/>
        </w:rPr>
        <w:instrText>particle</w:instrText>
      </w:r>
      <w:r w:rsidR="00021E2A" w:rsidRPr="00320416">
        <w:rPr>
          <w:b/>
          <w:bCs/>
        </w:rPr>
        <w:instrText>":"","</w:instrText>
      </w:r>
      <w:r w:rsidR="00021E2A">
        <w:rPr>
          <w:b/>
          <w:bCs/>
          <w:lang w:val="en-US"/>
        </w:rPr>
        <w:instrText>parse</w:instrText>
      </w:r>
      <w:r w:rsidR="00021E2A" w:rsidRPr="00320416">
        <w:rPr>
          <w:b/>
          <w:bCs/>
        </w:rPr>
        <w:instrText>-</w:instrText>
      </w:r>
      <w:r w:rsidR="00021E2A">
        <w:rPr>
          <w:b/>
          <w:bCs/>
          <w:lang w:val="en-US"/>
        </w:rPr>
        <w:instrText>names</w:instrText>
      </w:r>
      <w:r w:rsidR="00021E2A" w:rsidRPr="00320416">
        <w:rPr>
          <w:b/>
          <w:bCs/>
        </w:rPr>
        <w:instrText>":</w:instrText>
      </w:r>
      <w:r w:rsidR="00021E2A">
        <w:rPr>
          <w:b/>
          <w:bCs/>
          <w:lang w:val="en-US"/>
        </w:rPr>
        <w:instrText>false</w:instrText>
      </w:r>
      <w:r w:rsidR="00021E2A" w:rsidRPr="00320416">
        <w:rPr>
          <w:b/>
          <w:bCs/>
        </w:rPr>
        <w:instrText>,"</w:instrText>
      </w:r>
      <w:r w:rsidR="00021E2A">
        <w:rPr>
          <w:b/>
          <w:bCs/>
          <w:lang w:val="en-US"/>
        </w:rPr>
        <w:instrText>suffix</w:instrText>
      </w:r>
      <w:r w:rsidR="00021E2A" w:rsidRPr="00320416">
        <w:rPr>
          <w:b/>
          <w:bCs/>
        </w:rPr>
        <w:instrText>":""},{"</w:instrText>
      </w:r>
      <w:r w:rsidR="00021E2A">
        <w:rPr>
          <w:b/>
          <w:bCs/>
          <w:lang w:val="en-US"/>
        </w:rPr>
        <w:instrText>dropping</w:instrText>
      </w:r>
      <w:r w:rsidR="00021E2A" w:rsidRPr="00320416">
        <w:rPr>
          <w:b/>
          <w:bCs/>
        </w:rPr>
        <w:instrText>-</w:instrText>
      </w:r>
      <w:r w:rsidR="00021E2A">
        <w:rPr>
          <w:b/>
          <w:bCs/>
          <w:lang w:val="en-US"/>
        </w:rPr>
        <w:instrText>particle</w:instrText>
      </w:r>
      <w:r w:rsidR="00021E2A" w:rsidRPr="00320416">
        <w:rPr>
          <w:b/>
          <w:bCs/>
        </w:rPr>
        <w:instrText>":"","</w:instrText>
      </w:r>
      <w:r w:rsidR="00021E2A">
        <w:rPr>
          <w:b/>
          <w:bCs/>
          <w:lang w:val="en-US"/>
        </w:rPr>
        <w:instrText>family</w:instrText>
      </w:r>
      <w:r w:rsidR="00021E2A" w:rsidRPr="00320416">
        <w:rPr>
          <w:b/>
          <w:bCs/>
        </w:rPr>
        <w:instrText>":"</w:instrText>
      </w:r>
      <w:r w:rsidR="00021E2A">
        <w:rPr>
          <w:b/>
          <w:bCs/>
          <w:lang w:val="en-US"/>
        </w:rPr>
        <w:instrText>Wilson</w:instrText>
      </w:r>
      <w:r w:rsidR="00021E2A" w:rsidRPr="00320416">
        <w:rPr>
          <w:b/>
          <w:bCs/>
        </w:rPr>
        <w:instrText>","</w:instrText>
      </w:r>
      <w:r w:rsidR="00021E2A">
        <w:rPr>
          <w:b/>
          <w:bCs/>
          <w:lang w:val="en-US"/>
        </w:rPr>
        <w:instrText>given</w:instrText>
      </w:r>
      <w:r w:rsidR="00021E2A" w:rsidRPr="00320416">
        <w:rPr>
          <w:b/>
          <w:bCs/>
        </w:rPr>
        <w:instrText>":"</w:instrText>
      </w:r>
      <w:r w:rsidR="00021E2A">
        <w:rPr>
          <w:b/>
          <w:bCs/>
          <w:lang w:val="en-US"/>
        </w:rPr>
        <w:instrText>Wyndham</w:instrText>
      </w:r>
      <w:r w:rsidR="00021E2A" w:rsidRPr="00320416">
        <w:rPr>
          <w:b/>
          <w:bCs/>
        </w:rPr>
        <w:instrText xml:space="preserve"> </w:instrText>
      </w:r>
      <w:r w:rsidR="00021E2A">
        <w:rPr>
          <w:b/>
          <w:bCs/>
          <w:lang w:val="en-US"/>
        </w:rPr>
        <w:instrText>H</w:instrText>
      </w:r>
      <w:r w:rsidR="00021E2A" w:rsidRPr="00320416">
        <w:rPr>
          <w:b/>
          <w:bCs/>
        </w:rPr>
        <w:instrText>.","</w:instrText>
      </w:r>
      <w:r w:rsidR="00021E2A">
        <w:rPr>
          <w:b/>
          <w:bCs/>
          <w:lang w:val="en-US"/>
        </w:rPr>
        <w:instrText>non</w:instrText>
      </w:r>
      <w:r w:rsidR="00021E2A" w:rsidRPr="00320416">
        <w:rPr>
          <w:b/>
          <w:bCs/>
        </w:rPr>
        <w:instrText>-</w:instrText>
      </w:r>
      <w:r w:rsidR="00021E2A">
        <w:rPr>
          <w:b/>
          <w:bCs/>
          <w:lang w:val="en-US"/>
        </w:rPr>
        <w:instrText>dropping</w:instrText>
      </w:r>
      <w:r w:rsidR="00021E2A" w:rsidRPr="00320416">
        <w:rPr>
          <w:b/>
          <w:bCs/>
        </w:rPr>
        <w:instrText>-</w:instrText>
      </w:r>
      <w:r w:rsidR="00021E2A">
        <w:rPr>
          <w:b/>
          <w:bCs/>
          <w:lang w:val="en-US"/>
        </w:rPr>
        <w:instrText>particle</w:instrText>
      </w:r>
      <w:r w:rsidR="00021E2A" w:rsidRPr="00320416">
        <w:rPr>
          <w:b/>
          <w:bCs/>
        </w:rPr>
        <w:instrText>":"","</w:instrText>
      </w:r>
      <w:r w:rsidR="00021E2A">
        <w:rPr>
          <w:b/>
          <w:bCs/>
          <w:lang w:val="en-US"/>
        </w:rPr>
        <w:instrText>parse</w:instrText>
      </w:r>
      <w:r w:rsidR="00021E2A" w:rsidRPr="00320416">
        <w:rPr>
          <w:b/>
          <w:bCs/>
        </w:rPr>
        <w:instrText>-</w:instrText>
      </w:r>
      <w:r w:rsidR="00021E2A">
        <w:rPr>
          <w:b/>
          <w:bCs/>
          <w:lang w:val="en-US"/>
        </w:rPr>
        <w:instrText>names</w:instrText>
      </w:r>
      <w:r w:rsidR="00021E2A" w:rsidRPr="00320416">
        <w:rPr>
          <w:b/>
          <w:bCs/>
        </w:rPr>
        <w:instrText>":</w:instrText>
      </w:r>
      <w:r w:rsidR="00021E2A">
        <w:rPr>
          <w:b/>
          <w:bCs/>
          <w:lang w:val="en-US"/>
        </w:rPr>
        <w:instrText>false</w:instrText>
      </w:r>
      <w:r w:rsidR="00021E2A" w:rsidRPr="00320416">
        <w:rPr>
          <w:b/>
          <w:bCs/>
        </w:rPr>
        <w:instrText>,"</w:instrText>
      </w:r>
      <w:r w:rsidR="00021E2A">
        <w:rPr>
          <w:b/>
          <w:bCs/>
          <w:lang w:val="en-US"/>
        </w:rPr>
        <w:instrText>suffix</w:instrText>
      </w:r>
      <w:r w:rsidR="00021E2A" w:rsidRPr="00320416">
        <w:rPr>
          <w:b/>
          <w:bCs/>
        </w:rPr>
        <w:instrText>":""}],"</w:instrText>
      </w:r>
      <w:r w:rsidR="00021E2A">
        <w:rPr>
          <w:b/>
          <w:bCs/>
          <w:lang w:val="en-US"/>
        </w:rPr>
        <w:instrText>container</w:instrText>
      </w:r>
      <w:r w:rsidR="00021E2A" w:rsidRPr="00320416">
        <w:rPr>
          <w:b/>
          <w:bCs/>
        </w:rPr>
        <w:instrText>-</w:instrText>
      </w:r>
      <w:r w:rsidR="00021E2A">
        <w:rPr>
          <w:b/>
          <w:bCs/>
          <w:lang w:val="en-US"/>
        </w:rPr>
        <w:instrText>title</w:instrText>
      </w:r>
      <w:r w:rsidR="00021E2A" w:rsidRPr="00320416">
        <w:rPr>
          <w:b/>
          <w:bCs/>
        </w:rPr>
        <w:instrText>":"</w:instrText>
      </w:r>
      <w:r w:rsidR="00021E2A">
        <w:rPr>
          <w:b/>
          <w:bCs/>
          <w:lang w:val="en-US"/>
        </w:rPr>
        <w:instrText>New</w:instrText>
      </w:r>
      <w:r w:rsidR="00021E2A" w:rsidRPr="00320416">
        <w:rPr>
          <w:b/>
          <w:bCs/>
        </w:rPr>
        <w:instrText xml:space="preserve"> </w:instrText>
      </w:r>
      <w:r w:rsidR="00021E2A">
        <w:rPr>
          <w:b/>
          <w:bCs/>
          <w:lang w:val="en-US"/>
        </w:rPr>
        <w:instrText>England</w:instrText>
      </w:r>
      <w:r w:rsidR="00021E2A" w:rsidRPr="00320416">
        <w:rPr>
          <w:b/>
          <w:bCs/>
        </w:rPr>
        <w:instrText xml:space="preserve"> </w:instrText>
      </w:r>
      <w:r w:rsidR="00021E2A">
        <w:rPr>
          <w:b/>
          <w:bCs/>
          <w:lang w:val="en-US"/>
        </w:rPr>
        <w:instrText>Journal</w:instrText>
      </w:r>
      <w:r w:rsidR="00021E2A" w:rsidRPr="00320416">
        <w:rPr>
          <w:b/>
          <w:bCs/>
        </w:rPr>
        <w:instrText xml:space="preserve"> </w:instrText>
      </w:r>
      <w:r w:rsidR="00021E2A">
        <w:rPr>
          <w:b/>
          <w:bCs/>
          <w:lang w:val="en-US"/>
        </w:rPr>
        <w:instrText>of</w:instrText>
      </w:r>
      <w:r w:rsidR="00021E2A" w:rsidRPr="00320416">
        <w:rPr>
          <w:b/>
          <w:bCs/>
        </w:rPr>
        <w:instrText xml:space="preserve"> </w:instrText>
      </w:r>
      <w:r w:rsidR="00021E2A">
        <w:rPr>
          <w:b/>
          <w:bCs/>
          <w:lang w:val="en-US"/>
        </w:rPr>
        <w:instrText>Medicine</w:instrText>
      </w:r>
      <w:r w:rsidR="00021E2A" w:rsidRPr="00320416">
        <w:rPr>
          <w:b/>
          <w:bCs/>
        </w:rPr>
        <w:instrText>","</w:instrText>
      </w:r>
      <w:r w:rsidR="00021E2A">
        <w:rPr>
          <w:b/>
          <w:bCs/>
          <w:lang w:val="en-US"/>
        </w:rPr>
        <w:instrText>id</w:instrText>
      </w:r>
      <w:r w:rsidR="00021E2A" w:rsidRPr="00320416">
        <w:rPr>
          <w:b/>
          <w:bCs/>
        </w:rPr>
        <w:instrText>":"</w:instrText>
      </w:r>
      <w:r w:rsidR="00021E2A">
        <w:rPr>
          <w:b/>
          <w:bCs/>
          <w:lang w:val="en-US"/>
        </w:rPr>
        <w:instrText>ITEM</w:instrText>
      </w:r>
      <w:r w:rsidR="00021E2A" w:rsidRPr="00320416">
        <w:rPr>
          <w:b/>
          <w:bCs/>
        </w:rPr>
        <w:instrText>-1","</w:instrText>
      </w:r>
      <w:r w:rsidR="00021E2A">
        <w:rPr>
          <w:b/>
          <w:bCs/>
          <w:lang w:val="en-US"/>
        </w:rPr>
        <w:instrText>issue</w:instrText>
      </w:r>
      <w:r w:rsidR="00021E2A" w:rsidRPr="00320416">
        <w:rPr>
          <w:b/>
          <w:bCs/>
        </w:rPr>
        <w:instrText>":"15","</w:instrText>
      </w:r>
      <w:r w:rsidR="00021E2A">
        <w:rPr>
          <w:b/>
          <w:bCs/>
          <w:lang w:val="en-US"/>
        </w:rPr>
        <w:instrText>issued</w:instrText>
      </w:r>
      <w:r w:rsidR="00021E2A" w:rsidRPr="00320416">
        <w:rPr>
          <w:b/>
          <w:bCs/>
        </w:rPr>
        <w:instrText>":{"</w:instrText>
      </w:r>
      <w:r w:rsidR="00021E2A">
        <w:rPr>
          <w:b/>
          <w:bCs/>
          <w:lang w:val="en-US"/>
        </w:rPr>
        <w:instrText>date</w:instrText>
      </w:r>
      <w:r w:rsidR="00021E2A" w:rsidRPr="00320416">
        <w:rPr>
          <w:b/>
          <w:bCs/>
        </w:rPr>
        <w:instrText>-</w:instrText>
      </w:r>
      <w:r w:rsidR="00021E2A">
        <w:rPr>
          <w:b/>
          <w:bCs/>
          <w:lang w:val="en-US"/>
        </w:rPr>
        <w:instrText>parts</w:instrText>
      </w:r>
      <w:r w:rsidR="00021E2A" w:rsidRPr="00320416">
        <w:rPr>
          <w:b/>
          <w:bCs/>
        </w:rPr>
        <w:instrText>":[["2013","4","11"]]},"</w:instrText>
      </w:r>
      <w:r w:rsidR="00021E2A">
        <w:rPr>
          <w:b/>
          <w:bCs/>
          <w:lang w:val="en-US"/>
        </w:rPr>
        <w:instrText>page</w:instrText>
      </w:r>
      <w:r w:rsidR="00021E2A" w:rsidRPr="00320416">
        <w:rPr>
          <w:b/>
          <w:bCs/>
        </w:rPr>
        <w:instrText>":"1408-1416","</w:instrText>
      </w:r>
      <w:r w:rsidR="00021E2A">
        <w:rPr>
          <w:b/>
          <w:bCs/>
          <w:lang w:val="en-US"/>
        </w:rPr>
        <w:instrText>publisher</w:instrText>
      </w:r>
      <w:r w:rsidR="00021E2A" w:rsidRPr="00320416">
        <w:rPr>
          <w:b/>
          <w:bCs/>
        </w:rPr>
        <w:instrText>":"</w:instrText>
      </w:r>
      <w:r w:rsidR="00021E2A">
        <w:rPr>
          <w:b/>
          <w:bCs/>
          <w:lang w:val="en-US"/>
        </w:rPr>
        <w:instrText>Massachussetts</w:instrText>
      </w:r>
      <w:r w:rsidR="00021E2A" w:rsidRPr="00320416">
        <w:rPr>
          <w:b/>
          <w:bCs/>
        </w:rPr>
        <w:instrText xml:space="preserve"> </w:instrText>
      </w:r>
      <w:r w:rsidR="00021E2A">
        <w:rPr>
          <w:b/>
          <w:bCs/>
          <w:lang w:val="en-US"/>
        </w:rPr>
        <w:instrText>Medical</w:instrText>
      </w:r>
      <w:r w:rsidR="00021E2A" w:rsidRPr="00320416">
        <w:rPr>
          <w:b/>
          <w:bCs/>
        </w:rPr>
        <w:instrText xml:space="preserve"> </w:instrText>
      </w:r>
      <w:r w:rsidR="00021E2A">
        <w:rPr>
          <w:b/>
          <w:bCs/>
          <w:lang w:val="en-US"/>
        </w:rPr>
        <w:instrText>Society</w:instrText>
      </w:r>
      <w:r w:rsidR="00021E2A" w:rsidRPr="00320416">
        <w:rPr>
          <w:b/>
          <w:bCs/>
        </w:rPr>
        <w:instrText>","</w:instrText>
      </w:r>
      <w:r w:rsidR="00021E2A">
        <w:rPr>
          <w:b/>
          <w:bCs/>
          <w:lang w:val="en-US"/>
        </w:rPr>
        <w:instrText>title</w:instrText>
      </w:r>
      <w:r w:rsidR="00021E2A" w:rsidRPr="00320416">
        <w:rPr>
          <w:b/>
          <w:bCs/>
        </w:rPr>
        <w:instrText>":"</w:instrText>
      </w:r>
      <w:r w:rsidR="00021E2A">
        <w:rPr>
          <w:b/>
          <w:bCs/>
          <w:lang w:val="en-US"/>
        </w:rPr>
        <w:instrText>Dose</w:instrText>
      </w:r>
      <w:r w:rsidR="00021E2A" w:rsidRPr="00320416">
        <w:rPr>
          <w:b/>
          <w:bCs/>
        </w:rPr>
        <w:instrText>-</w:instrText>
      </w:r>
      <w:r w:rsidR="00021E2A">
        <w:rPr>
          <w:b/>
          <w:bCs/>
          <w:lang w:val="en-US"/>
        </w:rPr>
        <w:instrText>adjusted</w:instrText>
      </w:r>
      <w:r w:rsidR="00021E2A" w:rsidRPr="00320416">
        <w:rPr>
          <w:b/>
          <w:bCs/>
        </w:rPr>
        <w:instrText xml:space="preserve"> </w:instrText>
      </w:r>
      <w:r w:rsidR="00021E2A">
        <w:rPr>
          <w:b/>
          <w:bCs/>
          <w:lang w:val="en-US"/>
        </w:rPr>
        <w:instrText>EPOCH</w:instrText>
      </w:r>
      <w:r w:rsidR="00021E2A" w:rsidRPr="00320416">
        <w:rPr>
          <w:b/>
          <w:bCs/>
        </w:rPr>
        <w:instrText>-</w:instrText>
      </w:r>
      <w:r w:rsidR="00021E2A">
        <w:rPr>
          <w:b/>
          <w:bCs/>
          <w:lang w:val="en-US"/>
        </w:rPr>
        <w:instrText>rituximab</w:instrText>
      </w:r>
      <w:r w:rsidR="00021E2A" w:rsidRPr="00320416">
        <w:rPr>
          <w:b/>
          <w:bCs/>
        </w:rPr>
        <w:instrText xml:space="preserve"> </w:instrText>
      </w:r>
      <w:r w:rsidR="00021E2A">
        <w:rPr>
          <w:b/>
          <w:bCs/>
          <w:lang w:val="en-US"/>
        </w:rPr>
        <w:instrText>therapy</w:instrText>
      </w:r>
      <w:r w:rsidR="00021E2A" w:rsidRPr="00320416">
        <w:rPr>
          <w:b/>
          <w:bCs/>
        </w:rPr>
        <w:instrText xml:space="preserve"> </w:instrText>
      </w:r>
      <w:r w:rsidR="00021E2A">
        <w:rPr>
          <w:b/>
          <w:bCs/>
          <w:lang w:val="en-US"/>
        </w:rPr>
        <w:instrText>in</w:instrText>
      </w:r>
      <w:r w:rsidR="00021E2A" w:rsidRPr="00320416">
        <w:rPr>
          <w:b/>
          <w:bCs/>
        </w:rPr>
        <w:instrText xml:space="preserve"> </w:instrText>
      </w:r>
      <w:r w:rsidR="00021E2A">
        <w:rPr>
          <w:b/>
          <w:bCs/>
          <w:lang w:val="en-US"/>
        </w:rPr>
        <w:instrText>primary</w:instrText>
      </w:r>
      <w:r w:rsidR="00021E2A" w:rsidRPr="00320416">
        <w:rPr>
          <w:b/>
          <w:bCs/>
        </w:rPr>
        <w:instrText xml:space="preserve"> </w:instrText>
      </w:r>
      <w:r w:rsidR="00021E2A">
        <w:rPr>
          <w:b/>
          <w:bCs/>
          <w:lang w:val="en-US"/>
        </w:rPr>
        <w:instrText>mediastinal</w:instrText>
      </w:r>
      <w:r w:rsidR="00021E2A" w:rsidRPr="00320416">
        <w:rPr>
          <w:b/>
          <w:bCs/>
        </w:rPr>
        <w:instrText xml:space="preserve"> </w:instrText>
      </w:r>
      <w:r w:rsidR="00021E2A">
        <w:rPr>
          <w:b/>
          <w:bCs/>
          <w:lang w:val="en-US"/>
        </w:rPr>
        <w:instrText>B</w:instrText>
      </w:r>
      <w:r w:rsidR="00021E2A" w:rsidRPr="00320416">
        <w:rPr>
          <w:b/>
          <w:bCs/>
        </w:rPr>
        <w:instrText>-</w:instrText>
      </w:r>
      <w:r w:rsidR="00021E2A">
        <w:rPr>
          <w:b/>
          <w:bCs/>
          <w:lang w:val="en-US"/>
        </w:rPr>
        <w:instrText>cell</w:instrText>
      </w:r>
      <w:r w:rsidR="00021E2A" w:rsidRPr="00320416">
        <w:rPr>
          <w:b/>
          <w:bCs/>
        </w:rPr>
        <w:instrText xml:space="preserve"> </w:instrText>
      </w:r>
      <w:r w:rsidR="00021E2A">
        <w:rPr>
          <w:b/>
          <w:bCs/>
          <w:lang w:val="en-US"/>
        </w:rPr>
        <w:instrText>lymphoma</w:instrText>
      </w:r>
      <w:r w:rsidR="00021E2A" w:rsidRPr="00320416">
        <w:rPr>
          <w:b/>
          <w:bCs/>
        </w:rPr>
        <w:instrText>","</w:instrText>
      </w:r>
      <w:r w:rsidR="00021E2A">
        <w:rPr>
          <w:b/>
          <w:bCs/>
          <w:lang w:val="en-US"/>
        </w:rPr>
        <w:instrText>type</w:instrText>
      </w:r>
      <w:r w:rsidR="00021E2A" w:rsidRPr="00320416">
        <w:rPr>
          <w:b/>
          <w:bCs/>
        </w:rPr>
        <w:instrText>":"</w:instrText>
      </w:r>
      <w:r w:rsidR="00021E2A">
        <w:rPr>
          <w:b/>
          <w:bCs/>
          <w:lang w:val="en-US"/>
        </w:rPr>
        <w:instrText>article</w:instrText>
      </w:r>
      <w:r w:rsidR="00021E2A" w:rsidRPr="00320416">
        <w:rPr>
          <w:b/>
          <w:bCs/>
        </w:rPr>
        <w:instrText>-</w:instrText>
      </w:r>
      <w:r w:rsidR="00021E2A">
        <w:rPr>
          <w:b/>
          <w:bCs/>
          <w:lang w:val="en-US"/>
        </w:rPr>
        <w:instrText>journal</w:instrText>
      </w:r>
      <w:r w:rsidR="00021E2A" w:rsidRPr="00320416">
        <w:rPr>
          <w:b/>
          <w:bCs/>
        </w:rPr>
        <w:instrText>","</w:instrText>
      </w:r>
      <w:r w:rsidR="00021E2A">
        <w:rPr>
          <w:b/>
          <w:bCs/>
          <w:lang w:val="en-US"/>
        </w:rPr>
        <w:instrText>volume</w:instrText>
      </w:r>
      <w:r w:rsidR="00021E2A" w:rsidRPr="00320416">
        <w:rPr>
          <w:b/>
          <w:bCs/>
        </w:rPr>
        <w:instrText>":"368"},"</w:instrText>
      </w:r>
      <w:r w:rsidR="00021E2A">
        <w:rPr>
          <w:b/>
          <w:bCs/>
          <w:lang w:val="en-US"/>
        </w:rPr>
        <w:instrText>uris</w:instrText>
      </w:r>
      <w:r w:rsidR="00021E2A" w:rsidRPr="00320416">
        <w:rPr>
          <w:b/>
          <w:bCs/>
        </w:rPr>
        <w:instrText>":["</w:instrText>
      </w:r>
      <w:r w:rsidR="00021E2A">
        <w:rPr>
          <w:b/>
          <w:bCs/>
          <w:lang w:val="en-US"/>
        </w:rPr>
        <w:instrText>http</w:instrText>
      </w:r>
      <w:r w:rsidR="00021E2A" w:rsidRPr="00320416">
        <w:rPr>
          <w:b/>
          <w:bCs/>
        </w:rPr>
        <w:instrText>://</w:instrText>
      </w:r>
      <w:r w:rsidR="00021E2A">
        <w:rPr>
          <w:b/>
          <w:bCs/>
          <w:lang w:val="en-US"/>
        </w:rPr>
        <w:instrText>www</w:instrText>
      </w:r>
      <w:r w:rsidR="00021E2A" w:rsidRPr="00320416">
        <w:rPr>
          <w:b/>
          <w:bCs/>
        </w:rPr>
        <w:instrText>.</w:instrText>
      </w:r>
      <w:r w:rsidR="00021E2A">
        <w:rPr>
          <w:b/>
          <w:bCs/>
          <w:lang w:val="en-US"/>
        </w:rPr>
        <w:instrText>mendeley</w:instrText>
      </w:r>
      <w:r w:rsidR="00021E2A" w:rsidRPr="00320416">
        <w:rPr>
          <w:b/>
          <w:bCs/>
        </w:rPr>
        <w:instrText>.</w:instrText>
      </w:r>
      <w:r w:rsidR="00021E2A">
        <w:rPr>
          <w:b/>
          <w:bCs/>
          <w:lang w:val="en-US"/>
        </w:rPr>
        <w:instrText>com</w:instrText>
      </w:r>
      <w:r w:rsidR="00021E2A" w:rsidRPr="00320416">
        <w:rPr>
          <w:b/>
          <w:bCs/>
        </w:rPr>
        <w:instrText>/</w:instrText>
      </w:r>
      <w:r w:rsidR="00021E2A">
        <w:rPr>
          <w:b/>
          <w:bCs/>
          <w:lang w:val="en-US"/>
        </w:rPr>
        <w:instrText>documents</w:instrText>
      </w:r>
      <w:r w:rsidR="00021E2A" w:rsidRPr="00320416">
        <w:rPr>
          <w:b/>
          <w:bCs/>
        </w:rPr>
        <w:instrText>/?</w:instrText>
      </w:r>
      <w:r w:rsidR="00021E2A">
        <w:rPr>
          <w:b/>
          <w:bCs/>
          <w:lang w:val="en-US"/>
        </w:rPr>
        <w:instrText>uuid</w:instrText>
      </w:r>
      <w:r w:rsidR="00021E2A" w:rsidRPr="00320416">
        <w:rPr>
          <w:b/>
          <w:bCs/>
        </w:rPr>
        <w:instrText>=</w:instrText>
      </w:r>
      <w:r w:rsidR="00021E2A">
        <w:rPr>
          <w:b/>
          <w:bCs/>
          <w:lang w:val="en-US"/>
        </w:rPr>
        <w:instrText>ab</w:instrText>
      </w:r>
      <w:r w:rsidR="00021E2A" w:rsidRPr="00320416">
        <w:rPr>
          <w:b/>
          <w:bCs/>
        </w:rPr>
        <w:instrText>2</w:instrText>
      </w:r>
      <w:r w:rsidR="00021E2A">
        <w:rPr>
          <w:b/>
          <w:bCs/>
          <w:lang w:val="en-US"/>
        </w:rPr>
        <w:instrText>bf</w:instrText>
      </w:r>
      <w:r w:rsidR="00021E2A" w:rsidRPr="00320416">
        <w:rPr>
          <w:b/>
          <w:bCs/>
        </w:rPr>
        <w:instrText>952-</w:instrText>
      </w:r>
      <w:r w:rsidR="00021E2A">
        <w:rPr>
          <w:b/>
          <w:bCs/>
          <w:lang w:val="en-US"/>
        </w:rPr>
        <w:instrText>eead</w:instrText>
      </w:r>
      <w:r w:rsidR="00021E2A" w:rsidRPr="00320416">
        <w:rPr>
          <w:b/>
          <w:bCs/>
        </w:rPr>
        <w:instrText>-3</w:instrText>
      </w:r>
      <w:r w:rsidR="00021E2A">
        <w:rPr>
          <w:b/>
          <w:bCs/>
          <w:lang w:val="en-US"/>
        </w:rPr>
        <w:instrText>cc</w:instrText>
      </w:r>
      <w:r w:rsidR="00021E2A" w:rsidRPr="00320416">
        <w:rPr>
          <w:b/>
          <w:bCs/>
        </w:rPr>
        <w:instrText>2-82</w:instrText>
      </w:r>
      <w:r w:rsidR="00021E2A">
        <w:rPr>
          <w:b/>
          <w:bCs/>
          <w:lang w:val="en-US"/>
        </w:rPr>
        <w:instrText>f</w:instrText>
      </w:r>
      <w:r w:rsidR="00021E2A" w:rsidRPr="00320416">
        <w:rPr>
          <w:b/>
          <w:bCs/>
        </w:rPr>
        <w:instrText>7-59</w:instrText>
      </w:r>
      <w:r w:rsidR="00021E2A">
        <w:rPr>
          <w:b/>
          <w:bCs/>
          <w:lang w:val="en-US"/>
        </w:rPr>
        <w:instrText>d</w:instrText>
      </w:r>
      <w:r w:rsidR="00021E2A" w:rsidRPr="00320416">
        <w:rPr>
          <w:b/>
          <w:bCs/>
        </w:rPr>
        <w:instrText>922</w:instrText>
      </w:r>
      <w:r w:rsidR="00021E2A">
        <w:rPr>
          <w:b/>
          <w:bCs/>
          <w:lang w:val="en-US"/>
        </w:rPr>
        <w:instrText>c</w:instrText>
      </w:r>
      <w:r w:rsidR="00021E2A" w:rsidRPr="00320416">
        <w:rPr>
          <w:b/>
          <w:bCs/>
        </w:rPr>
        <w:instrText>2</w:instrText>
      </w:r>
      <w:r w:rsidR="00021E2A">
        <w:rPr>
          <w:b/>
          <w:bCs/>
          <w:lang w:val="en-US"/>
        </w:rPr>
        <w:instrText>fd</w:instrText>
      </w:r>
      <w:r w:rsidR="00021E2A" w:rsidRPr="00320416">
        <w:rPr>
          <w:b/>
          <w:bCs/>
        </w:rPr>
        <w:instrText>09"]}],"</w:instrText>
      </w:r>
      <w:r w:rsidR="00021E2A">
        <w:rPr>
          <w:b/>
          <w:bCs/>
          <w:lang w:val="en-US"/>
        </w:rPr>
        <w:instrText>mendeley</w:instrText>
      </w:r>
      <w:r w:rsidR="00021E2A" w:rsidRPr="00320416">
        <w:rPr>
          <w:b/>
          <w:bCs/>
        </w:rPr>
        <w:instrText>":{"</w:instrText>
      </w:r>
      <w:r w:rsidR="00021E2A">
        <w:rPr>
          <w:b/>
          <w:bCs/>
          <w:lang w:val="en-US"/>
        </w:rPr>
        <w:instrText>formattedCitation</w:instrText>
      </w:r>
      <w:r w:rsidR="00021E2A" w:rsidRPr="00320416">
        <w:rPr>
          <w:b/>
          <w:bCs/>
        </w:rPr>
        <w:instrText>":"[89]","</w:instrText>
      </w:r>
      <w:r w:rsidR="00021E2A">
        <w:rPr>
          <w:b/>
          <w:bCs/>
          <w:lang w:val="en-US"/>
        </w:rPr>
        <w:instrText>plainTextFormattedCitation</w:instrText>
      </w:r>
      <w:r w:rsidR="00021E2A" w:rsidRPr="00320416">
        <w:rPr>
          <w:b/>
          <w:bCs/>
        </w:rPr>
        <w:instrText>":"[89]","</w:instrText>
      </w:r>
      <w:r w:rsidR="00021E2A">
        <w:rPr>
          <w:b/>
          <w:bCs/>
          <w:lang w:val="en-US"/>
        </w:rPr>
        <w:instrText>previouslyFormattedCitation</w:instrText>
      </w:r>
      <w:r w:rsidR="00021E2A" w:rsidRPr="00320416">
        <w:rPr>
          <w:b/>
          <w:bCs/>
        </w:rPr>
        <w:instrText>":"[89]"},"</w:instrText>
      </w:r>
      <w:r w:rsidR="00021E2A">
        <w:rPr>
          <w:b/>
          <w:bCs/>
          <w:lang w:val="en-US"/>
        </w:rPr>
        <w:instrText>properties</w:instrText>
      </w:r>
      <w:r w:rsidR="00021E2A" w:rsidRPr="00320416">
        <w:rPr>
          <w:b/>
          <w:bCs/>
        </w:rPr>
        <w:instrText>":{"</w:instrText>
      </w:r>
      <w:r w:rsidR="00021E2A">
        <w:rPr>
          <w:b/>
          <w:bCs/>
          <w:lang w:val="en-US"/>
        </w:rPr>
        <w:instrText>noteIndex</w:instrText>
      </w:r>
      <w:r w:rsidR="00021E2A" w:rsidRPr="00320416">
        <w:rPr>
          <w:b/>
          <w:bCs/>
        </w:rPr>
        <w:instrText>":0},"</w:instrText>
      </w:r>
      <w:r w:rsidR="00021E2A">
        <w:rPr>
          <w:b/>
          <w:bCs/>
          <w:lang w:val="en-US"/>
        </w:rPr>
        <w:instrText>schema</w:instrText>
      </w:r>
      <w:r w:rsidR="00021E2A" w:rsidRPr="00320416">
        <w:rPr>
          <w:b/>
          <w:bCs/>
        </w:rPr>
        <w:instrText>":"</w:instrText>
      </w:r>
      <w:r w:rsidR="00021E2A">
        <w:rPr>
          <w:b/>
          <w:bCs/>
          <w:lang w:val="en-US"/>
        </w:rPr>
        <w:instrText>https</w:instrText>
      </w:r>
      <w:r w:rsidR="00021E2A" w:rsidRPr="00320416">
        <w:rPr>
          <w:b/>
          <w:bCs/>
        </w:rPr>
        <w:instrText>://</w:instrText>
      </w:r>
      <w:r w:rsidR="00021E2A">
        <w:rPr>
          <w:b/>
          <w:bCs/>
          <w:lang w:val="en-US"/>
        </w:rPr>
        <w:instrText>github</w:instrText>
      </w:r>
      <w:r w:rsidR="00021E2A" w:rsidRPr="00320416">
        <w:rPr>
          <w:b/>
          <w:bCs/>
        </w:rPr>
        <w:instrText>.</w:instrText>
      </w:r>
      <w:r w:rsidR="00021E2A">
        <w:rPr>
          <w:b/>
          <w:bCs/>
          <w:lang w:val="en-US"/>
        </w:rPr>
        <w:instrText>com</w:instrText>
      </w:r>
      <w:r w:rsidR="00021E2A" w:rsidRPr="00320416">
        <w:rPr>
          <w:b/>
          <w:bCs/>
        </w:rPr>
        <w:instrText>/</w:instrText>
      </w:r>
      <w:r w:rsidR="00021E2A">
        <w:rPr>
          <w:b/>
          <w:bCs/>
          <w:lang w:val="en-US"/>
        </w:rPr>
        <w:instrText>citation</w:instrText>
      </w:r>
      <w:r w:rsidR="00021E2A" w:rsidRPr="00320416">
        <w:rPr>
          <w:b/>
          <w:bCs/>
        </w:rPr>
        <w:instrText>-</w:instrText>
      </w:r>
      <w:r w:rsidR="00021E2A">
        <w:rPr>
          <w:b/>
          <w:bCs/>
          <w:lang w:val="en-US"/>
        </w:rPr>
        <w:instrText>style</w:instrText>
      </w:r>
      <w:r w:rsidR="00021E2A" w:rsidRPr="00320416">
        <w:rPr>
          <w:b/>
          <w:bCs/>
        </w:rPr>
        <w:instrText>-</w:instrText>
      </w:r>
      <w:r w:rsidR="00021E2A">
        <w:rPr>
          <w:b/>
          <w:bCs/>
          <w:lang w:val="en-US"/>
        </w:rPr>
        <w:instrText>language</w:instrText>
      </w:r>
      <w:r w:rsidR="00021E2A" w:rsidRPr="00320416">
        <w:rPr>
          <w:b/>
          <w:bCs/>
        </w:rPr>
        <w:instrText>/</w:instrText>
      </w:r>
      <w:r w:rsidR="00021E2A">
        <w:rPr>
          <w:b/>
          <w:bCs/>
          <w:lang w:val="en-US"/>
        </w:rPr>
        <w:instrText>schema</w:instrText>
      </w:r>
      <w:r w:rsidR="00021E2A" w:rsidRPr="00320416">
        <w:rPr>
          <w:b/>
          <w:bCs/>
        </w:rPr>
        <w:instrText>/</w:instrText>
      </w:r>
      <w:r w:rsidR="00021E2A">
        <w:rPr>
          <w:b/>
          <w:bCs/>
          <w:lang w:val="en-US"/>
        </w:rPr>
        <w:instrText>raw</w:instrText>
      </w:r>
      <w:r w:rsidR="00021E2A" w:rsidRPr="00320416">
        <w:rPr>
          <w:b/>
          <w:bCs/>
        </w:rPr>
        <w:instrText>/</w:instrText>
      </w:r>
      <w:r w:rsidR="00021E2A">
        <w:rPr>
          <w:b/>
          <w:bCs/>
          <w:lang w:val="en-US"/>
        </w:rPr>
        <w:instrText>master</w:instrText>
      </w:r>
      <w:r w:rsidR="00021E2A" w:rsidRPr="00320416">
        <w:rPr>
          <w:b/>
          <w:bCs/>
        </w:rPr>
        <w:instrText>/</w:instrText>
      </w:r>
      <w:r w:rsidR="00021E2A">
        <w:rPr>
          <w:b/>
          <w:bCs/>
          <w:lang w:val="en-US"/>
        </w:rPr>
        <w:instrText>csl</w:instrText>
      </w:r>
      <w:r w:rsidR="00021E2A" w:rsidRPr="00320416">
        <w:rPr>
          <w:b/>
          <w:bCs/>
        </w:rPr>
        <w:instrText>-</w:instrText>
      </w:r>
      <w:r w:rsidR="00021E2A">
        <w:rPr>
          <w:b/>
          <w:bCs/>
          <w:lang w:val="en-US"/>
        </w:rPr>
        <w:instrText>citation</w:instrText>
      </w:r>
      <w:r w:rsidR="00021E2A" w:rsidRPr="00320416">
        <w:rPr>
          <w:b/>
          <w:bCs/>
        </w:rPr>
        <w:instrText>.</w:instrText>
      </w:r>
      <w:r w:rsidR="00021E2A">
        <w:rPr>
          <w:b/>
          <w:bCs/>
          <w:lang w:val="en-US"/>
        </w:rPr>
        <w:instrText>json</w:instrText>
      </w:r>
      <w:r w:rsidR="00021E2A" w:rsidRPr="00320416">
        <w:rPr>
          <w:b/>
          <w:bCs/>
        </w:rPr>
        <w:instrText>"}</w:instrText>
      </w:r>
      <w:r w:rsidRPr="000322E4">
        <w:rPr>
          <w:b/>
          <w:bCs/>
          <w:lang w:val="en-US"/>
        </w:rPr>
        <w:fldChar w:fldCharType="separate"/>
      </w:r>
      <w:r w:rsidR="009D170B" w:rsidRPr="009D170B">
        <w:rPr>
          <w:bCs/>
          <w:noProof/>
        </w:rPr>
        <w:t>[89]</w:t>
      </w:r>
      <w:r w:rsidRPr="000322E4">
        <w:rPr>
          <w:b/>
          <w:bCs/>
          <w:lang w:val="en-US"/>
        </w:rPr>
        <w:fldChar w:fldCharType="end"/>
      </w:r>
    </w:p>
    <w:p w14:paraId="0456B28E" w14:textId="77777777" w:rsidR="00666D68" w:rsidRPr="00293AC8" w:rsidRDefault="00666D68" w:rsidP="008E3584">
      <w:pPr>
        <w:numPr>
          <w:ilvl w:val="0"/>
          <w:numId w:val="43"/>
        </w:numPr>
        <w:spacing w:line="360" w:lineRule="auto"/>
        <w:jc w:val="both"/>
      </w:pPr>
      <w:r w:rsidRPr="000322E4">
        <w:t>Ритуксимаб</w:t>
      </w:r>
      <w:r w:rsidRPr="00293AC8">
        <w:rPr>
          <w:bCs/>
        </w:rPr>
        <w:t>**</w:t>
      </w:r>
      <w:r w:rsidRPr="00293AC8">
        <w:t xml:space="preserve"> </w:t>
      </w:r>
    </w:p>
    <w:p w14:paraId="0D0CAF1B" w14:textId="77777777" w:rsidR="00666D68" w:rsidRPr="00293AC8" w:rsidRDefault="00666D68" w:rsidP="008E3584">
      <w:pPr>
        <w:numPr>
          <w:ilvl w:val="1"/>
          <w:numId w:val="43"/>
        </w:numPr>
        <w:spacing w:line="360" w:lineRule="auto"/>
        <w:jc w:val="both"/>
      </w:pPr>
      <w:r w:rsidRPr="00293AC8">
        <w:t xml:space="preserve">375 </w:t>
      </w:r>
      <w:r w:rsidRPr="000322E4">
        <w:t>мг</w:t>
      </w:r>
      <w:r w:rsidRPr="00293AC8">
        <w:t>/</w:t>
      </w:r>
      <w:r w:rsidRPr="000322E4">
        <w:t>м</w:t>
      </w:r>
      <w:r w:rsidRPr="00293AC8">
        <w:rPr>
          <w:vertAlign w:val="superscript"/>
        </w:rPr>
        <w:t>2</w:t>
      </w:r>
      <w:r w:rsidRPr="00293AC8">
        <w:t xml:space="preserve"> </w:t>
      </w:r>
      <w:r w:rsidRPr="000322E4">
        <w:t>в</w:t>
      </w:r>
      <w:r w:rsidRPr="00293AC8">
        <w:t>/</w:t>
      </w:r>
      <w:r w:rsidRPr="000322E4">
        <w:t>в</w:t>
      </w:r>
      <w:r w:rsidRPr="00293AC8">
        <w:t xml:space="preserve"> </w:t>
      </w:r>
      <w:r w:rsidRPr="000322E4">
        <w:t>кап</w:t>
      </w:r>
      <w:r w:rsidRPr="00293AC8">
        <w:t xml:space="preserve">., </w:t>
      </w:r>
      <w:r w:rsidRPr="000322E4">
        <w:t>день</w:t>
      </w:r>
      <w:r w:rsidRPr="00293AC8">
        <w:t xml:space="preserve"> 0, </w:t>
      </w:r>
      <w:r w:rsidRPr="000322E4">
        <w:t>все</w:t>
      </w:r>
      <w:r w:rsidRPr="00293AC8">
        <w:t xml:space="preserve"> </w:t>
      </w:r>
      <w:r w:rsidRPr="000322E4">
        <w:t>циклы</w:t>
      </w:r>
      <w:r w:rsidRPr="00293AC8">
        <w:t xml:space="preserve"> </w:t>
      </w:r>
      <w:r w:rsidRPr="000322E4">
        <w:t>курса</w:t>
      </w:r>
    </w:p>
    <w:p w14:paraId="3AA65728" w14:textId="77777777" w:rsidR="00666D68" w:rsidRPr="00293AC8" w:rsidRDefault="00666D68" w:rsidP="008E3584">
      <w:pPr>
        <w:spacing w:line="360" w:lineRule="auto"/>
        <w:ind w:left="1080" w:firstLine="336"/>
        <w:jc w:val="both"/>
      </w:pPr>
      <w:r w:rsidRPr="000322E4">
        <w:t>или</w:t>
      </w:r>
    </w:p>
    <w:p w14:paraId="1A6A63CA" w14:textId="05E07596" w:rsidR="00666D68" w:rsidRPr="00293AC8" w:rsidRDefault="00666D68" w:rsidP="008E3584">
      <w:pPr>
        <w:numPr>
          <w:ilvl w:val="1"/>
          <w:numId w:val="43"/>
        </w:numPr>
        <w:spacing w:line="360" w:lineRule="auto"/>
        <w:jc w:val="both"/>
      </w:pPr>
      <w:r w:rsidRPr="00293AC8">
        <w:t xml:space="preserve">375 </w:t>
      </w:r>
      <w:r w:rsidRPr="000322E4">
        <w:t>мг</w:t>
      </w:r>
      <w:r w:rsidRPr="00293AC8">
        <w:t>/</w:t>
      </w:r>
      <w:r w:rsidRPr="000322E4">
        <w:t>м</w:t>
      </w:r>
      <w:r w:rsidRPr="00293AC8">
        <w:rPr>
          <w:vertAlign w:val="superscript"/>
        </w:rPr>
        <w:t>2</w:t>
      </w:r>
      <w:r w:rsidRPr="00293AC8">
        <w:t xml:space="preserve"> </w:t>
      </w:r>
      <w:r w:rsidRPr="000322E4">
        <w:t>в</w:t>
      </w:r>
      <w:r w:rsidRPr="00293AC8">
        <w:t>/</w:t>
      </w:r>
      <w:r w:rsidRPr="000322E4">
        <w:t>в</w:t>
      </w:r>
      <w:r w:rsidRPr="00293AC8">
        <w:t xml:space="preserve"> </w:t>
      </w:r>
      <w:r w:rsidRPr="000322E4">
        <w:t>кап</w:t>
      </w:r>
      <w:r w:rsidRPr="00293AC8">
        <w:t xml:space="preserve">. 1 </w:t>
      </w:r>
      <w:r w:rsidRPr="000322E4">
        <w:t>цикл</w:t>
      </w:r>
      <w:r w:rsidRPr="00293AC8">
        <w:t xml:space="preserve">, </w:t>
      </w:r>
      <w:r w:rsidRPr="000322E4">
        <w:t>далее</w:t>
      </w:r>
      <w:r w:rsidRPr="00293AC8">
        <w:t xml:space="preserve"> </w:t>
      </w:r>
      <w:r w:rsidRPr="000322E4">
        <w:t>ритуксимаб</w:t>
      </w:r>
      <w:r w:rsidRPr="00293AC8">
        <w:t xml:space="preserve"> 1400 </w:t>
      </w:r>
      <w:r w:rsidRPr="000322E4">
        <w:t>мг</w:t>
      </w:r>
      <w:r w:rsidRPr="00293AC8">
        <w:t xml:space="preserve"> </w:t>
      </w:r>
      <w:r w:rsidRPr="000322E4">
        <w:t>п</w:t>
      </w:r>
      <w:r w:rsidRPr="00293AC8">
        <w:t>/</w:t>
      </w:r>
      <w:r w:rsidRPr="000322E4">
        <w:t>к</w:t>
      </w:r>
      <w:r w:rsidRPr="00293AC8">
        <w:t xml:space="preserve">, </w:t>
      </w:r>
      <w:r w:rsidRPr="000322E4">
        <w:t>день</w:t>
      </w:r>
      <w:r w:rsidRPr="00293AC8">
        <w:t xml:space="preserve"> 0 </w:t>
      </w:r>
      <w:r w:rsidRPr="000322E4">
        <w:rPr>
          <w:lang w:val="en-US"/>
        </w:rPr>
        <w:fldChar w:fldCharType="begin" w:fldLock="1"/>
      </w:r>
      <w:r w:rsidR="00A6794A">
        <w:rPr>
          <w:lang w:val="en-US"/>
        </w:rPr>
        <w:instrText>ADDIN</w:instrText>
      </w:r>
      <w:r w:rsidR="00A6794A" w:rsidRPr="00D3550C">
        <w:instrText xml:space="preserve"> </w:instrText>
      </w:r>
      <w:r w:rsidR="00A6794A">
        <w:rPr>
          <w:lang w:val="en-US"/>
        </w:rPr>
        <w:instrText>CSL</w:instrText>
      </w:r>
      <w:r w:rsidR="00A6794A" w:rsidRPr="00D3550C">
        <w:instrText>_</w:instrText>
      </w:r>
      <w:r w:rsidR="00A6794A">
        <w:rPr>
          <w:lang w:val="en-US"/>
        </w:rPr>
        <w:instrText>CITATION</w:instrText>
      </w:r>
      <w:r w:rsidR="00A6794A" w:rsidRPr="00D3550C">
        <w:instrText xml:space="preserve"> {"</w:instrText>
      </w:r>
      <w:r w:rsidR="00A6794A">
        <w:rPr>
          <w:lang w:val="en-US"/>
        </w:rPr>
        <w:instrText>citationItems</w:instrText>
      </w:r>
      <w:r w:rsidR="00A6794A" w:rsidRPr="00D3550C">
        <w:instrText>":[{"</w:instrText>
      </w:r>
      <w:r w:rsidR="00A6794A">
        <w:rPr>
          <w:lang w:val="en-US"/>
        </w:rPr>
        <w:instrText>id</w:instrText>
      </w:r>
      <w:r w:rsidR="00A6794A" w:rsidRPr="00D3550C">
        <w:instrText>":"</w:instrText>
      </w:r>
      <w:r w:rsidR="00A6794A">
        <w:rPr>
          <w:lang w:val="en-US"/>
        </w:rPr>
        <w:instrText>ITEM</w:instrText>
      </w:r>
      <w:r w:rsidR="00A6794A" w:rsidRPr="00D3550C">
        <w:instrText>-1","</w:instrText>
      </w:r>
      <w:r w:rsidR="00A6794A">
        <w:rPr>
          <w:lang w:val="en-US"/>
        </w:rPr>
        <w:instrText>itemData</w:instrText>
      </w:r>
      <w:r w:rsidR="00A6794A" w:rsidRPr="00D3550C">
        <w:instrText>":{"</w:instrText>
      </w:r>
      <w:r w:rsidR="00A6794A">
        <w:rPr>
          <w:lang w:val="en-US"/>
        </w:rPr>
        <w:instrText>ISSN</w:instrText>
      </w:r>
      <w:r w:rsidR="00A6794A" w:rsidRPr="00D3550C">
        <w:instrText>":"2150-0878","</w:instrText>
      </w:r>
      <w:r w:rsidR="00A6794A">
        <w:rPr>
          <w:lang w:val="en-US"/>
        </w:rPr>
        <w:instrText>PMID</w:instrText>
      </w:r>
      <w:r w:rsidR="00A6794A" w:rsidRPr="00D3550C">
        <w:instrText>":"31086689","</w:instrText>
      </w:r>
      <w:r w:rsidR="00A6794A">
        <w:rPr>
          <w:lang w:val="en-US"/>
        </w:rPr>
        <w:instrText>abstract</w:instrText>
      </w:r>
      <w:r w:rsidR="00A6794A" w:rsidRPr="00D3550C">
        <w:instrText>":"</w:instrText>
      </w:r>
      <w:r w:rsidR="00A6794A">
        <w:rPr>
          <w:lang w:val="en-US"/>
        </w:rPr>
        <w:instrText>Rituximab</w:instrText>
      </w:r>
      <w:r w:rsidR="00A6794A" w:rsidRPr="00D3550C">
        <w:instrText xml:space="preserve"> </w:instrText>
      </w:r>
      <w:r w:rsidR="00A6794A">
        <w:rPr>
          <w:lang w:val="en-US"/>
        </w:rPr>
        <w:instrText>and</w:instrText>
      </w:r>
      <w:r w:rsidR="00A6794A" w:rsidRPr="00D3550C">
        <w:instrText xml:space="preserve"> </w:instrText>
      </w:r>
      <w:r w:rsidR="00A6794A">
        <w:rPr>
          <w:lang w:val="en-US"/>
        </w:rPr>
        <w:instrText>hyaluronidase</w:instrText>
      </w:r>
      <w:r w:rsidR="00A6794A" w:rsidRPr="00D3550C">
        <w:instrText xml:space="preserve"> </w:instrText>
      </w:r>
      <w:r w:rsidR="00A6794A">
        <w:rPr>
          <w:lang w:val="en-US"/>
        </w:rPr>
        <w:instrText>human</w:instrText>
      </w:r>
      <w:r w:rsidR="00A6794A" w:rsidRPr="00D3550C">
        <w:instrText xml:space="preserve"> </w:instrText>
      </w:r>
      <w:r w:rsidR="00A6794A">
        <w:rPr>
          <w:lang w:val="en-US"/>
        </w:rPr>
        <w:instrText>is</w:instrText>
      </w:r>
      <w:r w:rsidR="00A6794A" w:rsidRPr="00D3550C">
        <w:instrText xml:space="preserve"> </w:instrText>
      </w:r>
      <w:r w:rsidR="00A6794A">
        <w:rPr>
          <w:lang w:val="en-US"/>
        </w:rPr>
        <w:instrText>a</w:instrText>
      </w:r>
      <w:r w:rsidR="00A6794A" w:rsidRPr="00D3550C">
        <w:instrText xml:space="preserve"> </w:instrText>
      </w:r>
      <w:r w:rsidR="00A6794A">
        <w:rPr>
          <w:lang w:val="en-US"/>
        </w:rPr>
        <w:instrText>new</w:instrText>
      </w:r>
      <w:r w:rsidR="00A6794A" w:rsidRPr="00D3550C">
        <w:instrText xml:space="preserve"> </w:instrText>
      </w:r>
      <w:r w:rsidR="00A6794A">
        <w:rPr>
          <w:lang w:val="en-US"/>
        </w:rPr>
        <w:instrText>subcutaneous</w:instrText>
      </w:r>
      <w:r w:rsidR="00A6794A" w:rsidRPr="00D3550C">
        <w:instrText xml:space="preserve"> </w:instrText>
      </w:r>
      <w:r w:rsidR="00A6794A">
        <w:rPr>
          <w:lang w:val="en-US"/>
        </w:rPr>
        <w:instrText>formulation</w:instrText>
      </w:r>
      <w:r w:rsidR="00A6794A" w:rsidRPr="00D3550C">
        <w:instrText xml:space="preserve"> </w:instrText>
      </w:r>
      <w:r w:rsidR="00A6794A">
        <w:rPr>
          <w:lang w:val="en-US"/>
        </w:rPr>
        <w:instrText>of</w:instrText>
      </w:r>
      <w:r w:rsidR="00A6794A" w:rsidRPr="00D3550C">
        <w:instrText xml:space="preserve"> </w:instrText>
      </w:r>
      <w:r w:rsidR="00A6794A">
        <w:rPr>
          <w:lang w:val="en-US"/>
        </w:rPr>
        <w:instrText>rituximab</w:instrText>
      </w:r>
      <w:r w:rsidR="00A6794A" w:rsidRPr="00D3550C">
        <w:instrText xml:space="preserve"> </w:instrText>
      </w:r>
      <w:r w:rsidR="00A6794A">
        <w:rPr>
          <w:lang w:val="en-US"/>
        </w:rPr>
        <w:instrText>that</w:instrText>
      </w:r>
      <w:r w:rsidR="00A6794A" w:rsidRPr="00D3550C">
        <w:instrText xml:space="preserve"> </w:instrText>
      </w:r>
      <w:r w:rsidR="00A6794A">
        <w:rPr>
          <w:lang w:val="en-US"/>
        </w:rPr>
        <w:instrText>was</w:instrText>
      </w:r>
      <w:r w:rsidR="00A6794A" w:rsidRPr="00D3550C">
        <w:instrText xml:space="preserve"> </w:instrText>
      </w:r>
      <w:r w:rsidR="00A6794A">
        <w:rPr>
          <w:lang w:val="en-US"/>
        </w:rPr>
        <w:instrText>recently</w:instrText>
      </w:r>
      <w:r w:rsidR="00A6794A" w:rsidRPr="00D3550C">
        <w:instrText xml:space="preserve"> </w:instrText>
      </w:r>
      <w:r w:rsidR="00A6794A">
        <w:rPr>
          <w:lang w:val="en-US"/>
        </w:rPr>
        <w:instrText>approved</w:instrText>
      </w:r>
      <w:r w:rsidR="00A6794A" w:rsidRPr="00D3550C">
        <w:instrText xml:space="preserve"> </w:instrText>
      </w:r>
      <w:r w:rsidR="00A6794A">
        <w:rPr>
          <w:lang w:val="en-US"/>
        </w:rPr>
        <w:instrText>by</w:instrText>
      </w:r>
      <w:r w:rsidR="00A6794A" w:rsidRPr="00D3550C">
        <w:instrText xml:space="preserve"> </w:instrText>
      </w:r>
      <w:r w:rsidR="00A6794A">
        <w:rPr>
          <w:lang w:val="en-US"/>
        </w:rPr>
        <w:instrText>the</w:instrText>
      </w:r>
      <w:r w:rsidR="00A6794A" w:rsidRPr="00D3550C">
        <w:instrText xml:space="preserve"> </w:instrText>
      </w:r>
      <w:r w:rsidR="00A6794A">
        <w:rPr>
          <w:lang w:val="en-US"/>
        </w:rPr>
        <w:instrText>US</w:instrText>
      </w:r>
      <w:r w:rsidR="00A6794A" w:rsidRPr="00D3550C">
        <w:instrText xml:space="preserve"> </w:instrText>
      </w:r>
      <w:r w:rsidR="00A6794A">
        <w:rPr>
          <w:lang w:val="en-US"/>
        </w:rPr>
        <w:instrText>Food</w:instrText>
      </w:r>
      <w:r w:rsidR="00A6794A" w:rsidRPr="00D3550C">
        <w:instrText xml:space="preserve"> </w:instrText>
      </w:r>
      <w:r w:rsidR="00A6794A">
        <w:rPr>
          <w:lang w:val="en-US"/>
        </w:rPr>
        <w:instrText>and</w:instrText>
      </w:r>
      <w:r w:rsidR="00A6794A" w:rsidRPr="00D3550C">
        <w:instrText xml:space="preserve"> </w:instrText>
      </w:r>
      <w:r w:rsidR="00A6794A">
        <w:rPr>
          <w:lang w:val="en-US"/>
        </w:rPr>
        <w:instrText>Drug</w:instrText>
      </w:r>
      <w:r w:rsidR="00A6794A" w:rsidRPr="00D3550C">
        <w:instrText xml:space="preserve"> </w:instrText>
      </w:r>
      <w:r w:rsidR="00A6794A">
        <w:rPr>
          <w:lang w:val="en-US"/>
        </w:rPr>
        <w:instrText>Administration</w:instrText>
      </w:r>
      <w:r w:rsidR="00A6794A" w:rsidRPr="00D3550C">
        <w:instrText xml:space="preserve"> </w:instrText>
      </w:r>
      <w:r w:rsidR="00A6794A">
        <w:rPr>
          <w:lang w:val="en-US"/>
        </w:rPr>
        <w:instrText>for</w:instrText>
      </w:r>
      <w:r w:rsidR="00A6794A" w:rsidRPr="00D3550C">
        <w:instrText xml:space="preserve"> </w:instrText>
      </w:r>
      <w:r w:rsidR="00A6794A">
        <w:rPr>
          <w:lang w:val="en-US"/>
        </w:rPr>
        <w:instrText>the</w:instrText>
      </w:r>
      <w:r w:rsidR="00A6794A" w:rsidRPr="00D3550C">
        <w:instrText xml:space="preserve"> </w:instrText>
      </w:r>
      <w:r w:rsidR="00A6794A">
        <w:rPr>
          <w:lang w:val="en-US"/>
        </w:rPr>
        <w:instrText>treatment</w:instrText>
      </w:r>
      <w:r w:rsidR="00A6794A" w:rsidRPr="00D3550C">
        <w:instrText xml:space="preserve"> </w:instrText>
      </w:r>
      <w:r w:rsidR="00A6794A">
        <w:rPr>
          <w:lang w:val="en-US"/>
        </w:rPr>
        <w:instrText>of</w:instrText>
      </w:r>
      <w:r w:rsidR="00A6794A" w:rsidRPr="00D3550C">
        <w:instrText xml:space="preserve"> </w:instrText>
      </w:r>
      <w:r w:rsidR="00A6794A">
        <w:rPr>
          <w:lang w:val="en-US"/>
        </w:rPr>
        <w:instrText>adults</w:instrText>
      </w:r>
      <w:r w:rsidR="00A6794A" w:rsidRPr="00D3550C">
        <w:instrText xml:space="preserve"> </w:instrText>
      </w:r>
      <w:r w:rsidR="00A6794A">
        <w:rPr>
          <w:lang w:val="en-US"/>
        </w:rPr>
        <w:instrText>with</w:instrText>
      </w:r>
      <w:r w:rsidR="00A6794A" w:rsidRPr="00D3550C">
        <w:instrText xml:space="preserve"> </w:instrText>
      </w:r>
      <w:r w:rsidR="00A6794A">
        <w:rPr>
          <w:lang w:val="en-US"/>
        </w:rPr>
        <w:instrText>follicular</w:instrText>
      </w:r>
      <w:r w:rsidR="00A6794A" w:rsidRPr="00D3550C">
        <w:instrText xml:space="preserve"> </w:instrText>
      </w:r>
      <w:r w:rsidR="00A6794A">
        <w:rPr>
          <w:lang w:val="en-US"/>
        </w:rPr>
        <w:instrText>lymphoma</w:instrText>
      </w:r>
      <w:r w:rsidR="00A6794A" w:rsidRPr="00D3550C">
        <w:instrText xml:space="preserve">, </w:instrText>
      </w:r>
      <w:r w:rsidR="00A6794A">
        <w:rPr>
          <w:lang w:val="en-US"/>
        </w:rPr>
        <w:instrText>diffuse</w:instrText>
      </w:r>
      <w:r w:rsidR="00A6794A" w:rsidRPr="00D3550C">
        <w:instrText xml:space="preserve"> </w:instrText>
      </w:r>
      <w:r w:rsidR="00A6794A">
        <w:rPr>
          <w:lang w:val="en-US"/>
        </w:rPr>
        <w:instrText>large</w:instrText>
      </w:r>
      <w:r w:rsidR="00A6794A" w:rsidRPr="00D3550C">
        <w:instrText xml:space="preserve"> </w:instrText>
      </w:r>
      <w:r w:rsidR="00A6794A">
        <w:rPr>
          <w:lang w:val="en-US"/>
        </w:rPr>
        <w:instrText>B</w:instrText>
      </w:r>
      <w:r w:rsidR="00A6794A" w:rsidRPr="00D3550C">
        <w:instrText>-</w:instrText>
      </w:r>
      <w:r w:rsidR="00A6794A">
        <w:rPr>
          <w:lang w:val="en-US"/>
        </w:rPr>
        <w:instrText>cell</w:instrText>
      </w:r>
      <w:r w:rsidR="00A6794A" w:rsidRPr="00D3550C">
        <w:instrText xml:space="preserve"> </w:instrText>
      </w:r>
      <w:r w:rsidR="00A6794A">
        <w:rPr>
          <w:lang w:val="en-US"/>
        </w:rPr>
        <w:instrText>lymphoma</w:instrText>
      </w:r>
      <w:r w:rsidR="00A6794A" w:rsidRPr="00D3550C">
        <w:instrText xml:space="preserve">, </w:instrText>
      </w:r>
      <w:r w:rsidR="00A6794A">
        <w:rPr>
          <w:lang w:val="en-US"/>
        </w:rPr>
        <w:instrText>and</w:instrText>
      </w:r>
      <w:r w:rsidR="00A6794A" w:rsidRPr="00D3550C">
        <w:instrText xml:space="preserve"> </w:instrText>
      </w:r>
      <w:r w:rsidR="00A6794A">
        <w:rPr>
          <w:lang w:val="en-US"/>
        </w:rPr>
        <w:instrText>chronic</w:instrText>
      </w:r>
      <w:r w:rsidR="00A6794A" w:rsidRPr="00D3550C">
        <w:instrText xml:space="preserve"> </w:instrText>
      </w:r>
      <w:r w:rsidR="00A6794A">
        <w:rPr>
          <w:lang w:val="en-US"/>
        </w:rPr>
        <w:instrText>lymphocytic</w:instrText>
      </w:r>
      <w:r w:rsidR="00A6794A" w:rsidRPr="00D3550C">
        <w:instrText xml:space="preserve"> </w:instrText>
      </w:r>
      <w:r w:rsidR="00A6794A">
        <w:rPr>
          <w:lang w:val="en-US"/>
        </w:rPr>
        <w:instrText>leukemia</w:instrText>
      </w:r>
      <w:r w:rsidR="00A6794A" w:rsidRPr="00D3550C">
        <w:instrText xml:space="preserve">. </w:instrText>
      </w:r>
      <w:r w:rsidR="00A6794A">
        <w:rPr>
          <w:lang w:val="en-US"/>
        </w:rPr>
        <w:instrText>With</w:instrText>
      </w:r>
      <w:r w:rsidR="00A6794A" w:rsidRPr="00D3550C">
        <w:instrText xml:space="preserve"> </w:instrText>
      </w:r>
      <w:r w:rsidR="00A6794A">
        <w:rPr>
          <w:lang w:val="en-US"/>
        </w:rPr>
        <w:instrText>data</w:instrText>
      </w:r>
      <w:r w:rsidR="00A6794A" w:rsidRPr="00D3550C">
        <w:instrText xml:space="preserve"> </w:instrText>
      </w:r>
      <w:r w:rsidR="00A6794A">
        <w:rPr>
          <w:lang w:val="en-US"/>
        </w:rPr>
        <w:instrText>to</w:instrText>
      </w:r>
      <w:r w:rsidR="00A6794A" w:rsidRPr="00D3550C">
        <w:instrText xml:space="preserve"> </w:instrText>
      </w:r>
      <w:r w:rsidR="00A6794A">
        <w:rPr>
          <w:lang w:val="en-US"/>
        </w:rPr>
        <w:instrText>support</w:instrText>
      </w:r>
      <w:r w:rsidR="00A6794A" w:rsidRPr="00D3550C">
        <w:instrText xml:space="preserve"> </w:instrText>
      </w:r>
      <w:r w:rsidR="00A6794A">
        <w:rPr>
          <w:lang w:val="en-US"/>
        </w:rPr>
        <w:instrText>noninferior</w:instrText>
      </w:r>
      <w:r w:rsidR="00A6794A" w:rsidRPr="00D3550C">
        <w:instrText xml:space="preserve"> </w:instrText>
      </w:r>
      <w:r w:rsidR="00A6794A">
        <w:rPr>
          <w:lang w:val="en-US"/>
        </w:rPr>
        <w:instrText>pharmacokinetics</w:instrText>
      </w:r>
      <w:r w:rsidR="00A6794A" w:rsidRPr="00D3550C">
        <w:instrText xml:space="preserve">, </w:instrText>
      </w:r>
      <w:r w:rsidR="00A6794A">
        <w:rPr>
          <w:lang w:val="en-US"/>
        </w:rPr>
        <w:instrText>similar</w:instrText>
      </w:r>
      <w:r w:rsidR="00A6794A" w:rsidRPr="00D3550C">
        <w:instrText xml:space="preserve"> </w:instrText>
      </w:r>
      <w:r w:rsidR="00A6794A">
        <w:rPr>
          <w:lang w:val="en-US"/>
        </w:rPr>
        <w:instrText>outcomes</w:instrText>
      </w:r>
      <w:r w:rsidR="00A6794A" w:rsidRPr="00D3550C">
        <w:instrText xml:space="preserve">, </w:instrText>
      </w:r>
      <w:r w:rsidR="00A6794A">
        <w:rPr>
          <w:lang w:val="en-US"/>
        </w:rPr>
        <w:instrText>and</w:instrText>
      </w:r>
      <w:r w:rsidR="00A6794A" w:rsidRPr="00D3550C">
        <w:instrText xml:space="preserve"> </w:instrText>
      </w:r>
      <w:r w:rsidR="00A6794A">
        <w:rPr>
          <w:lang w:val="en-US"/>
        </w:rPr>
        <w:instrText>comparable</w:instrText>
      </w:r>
      <w:r w:rsidR="00A6794A" w:rsidRPr="00D3550C">
        <w:instrText xml:space="preserve"> </w:instrText>
      </w:r>
      <w:r w:rsidR="00A6794A">
        <w:rPr>
          <w:lang w:val="en-US"/>
        </w:rPr>
        <w:instrText>adverse</w:instrText>
      </w:r>
      <w:r w:rsidR="00A6794A" w:rsidRPr="00D3550C">
        <w:instrText xml:space="preserve"> </w:instrText>
      </w:r>
      <w:r w:rsidR="00A6794A">
        <w:rPr>
          <w:lang w:val="en-US"/>
        </w:rPr>
        <w:instrText>events</w:instrText>
      </w:r>
      <w:r w:rsidR="00A6794A" w:rsidRPr="00D3550C">
        <w:instrText xml:space="preserve">, </w:instrText>
      </w:r>
      <w:r w:rsidR="00A6794A">
        <w:rPr>
          <w:lang w:val="en-US"/>
        </w:rPr>
        <w:instrText>rituximab</w:instrText>
      </w:r>
      <w:r w:rsidR="00A6794A" w:rsidRPr="00D3550C">
        <w:instrText xml:space="preserve"> </w:instrText>
      </w:r>
      <w:r w:rsidR="00A6794A">
        <w:rPr>
          <w:lang w:val="en-US"/>
        </w:rPr>
        <w:instrText>and</w:instrText>
      </w:r>
      <w:r w:rsidR="00A6794A" w:rsidRPr="00D3550C">
        <w:instrText xml:space="preserve"> </w:instrText>
      </w:r>
      <w:r w:rsidR="00A6794A">
        <w:rPr>
          <w:lang w:val="en-US"/>
        </w:rPr>
        <w:instrText>hyaluronidase</w:instrText>
      </w:r>
      <w:r w:rsidR="00A6794A" w:rsidRPr="00D3550C">
        <w:instrText xml:space="preserve"> </w:instrText>
      </w:r>
      <w:r w:rsidR="00A6794A">
        <w:rPr>
          <w:lang w:val="en-US"/>
        </w:rPr>
        <w:instrText>human</w:instrText>
      </w:r>
      <w:r w:rsidR="00A6794A" w:rsidRPr="00D3550C">
        <w:instrText xml:space="preserve"> </w:instrText>
      </w:r>
      <w:r w:rsidR="00A6794A">
        <w:rPr>
          <w:lang w:val="en-US"/>
        </w:rPr>
        <w:instrText>may</w:instrText>
      </w:r>
      <w:r w:rsidR="00A6794A" w:rsidRPr="00D3550C">
        <w:instrText xml:space="preserve"> </w:instrText>
      </w:r>
      <w:r w:rsidR="00A6794A">
        <w:rPr>
          <w:lang w:val="en-US"/>
        </w:rPr>
        <w:instrText>offer</w:instrText>
      </w:r>
      <w:r w:rsidR="00A6794A" w:rsidRPr="00D3550C">
        <w:instrText xml:space="preserve"> </w:instrText>
      </w:r>
      <w:r w:rsidR="00A6794A">
        <w:rPr>
          <w:lang w:val="en-US"/>
        </w:rPr>
        <w:instrText>a</w:instrText>
      </w:r>
      <w:r w:rsidR="00A6794A" w:rsidRPr="00D3550C">
        <w:instrText xml:space="preserve"> </w:instrText>
      </w:r>
      <w:r w:rsidR="00A6794A">
        <w:rPr>
          <w:lang w:val="en-US"/>
        </w:rPr>
        <w:instrText>suitable</w:instrText>
      </w:r>
      <w:r w:rsidR="00A6794A" w:rsidRPr="00D3550C">
        <w:instrText xml:space="preserve"> </w:instrText>
      </w:r>
      <w:r w:rsidR="00A6794A">
        <w:rPr>
          <w:lang w:val="en-US"/>
        </w:rPr>
        <w:instrText>alternative</w:instrText>
      </w:r>
      <w:r w:rsidR="00A6794A" w:rsidRPr="00D3550C">
        <w:instrText xml:space="preserve"> </w:instrText>
      </w:r>
      <w:r w:rsidR="00A6794A">
        <w:rPr>
          <w:lang w:val="en-US"/>
        </w:rPr>
        <w:instrText>to</w:instrText>
      </w:r>
      <w:r w:rsidR="00A6794A" w:rsidRPr="00D3550C">
        <w:instrText xml:space="preserve"> </w:instrText>
      </w:r>
      <w:r w:rsidR="00A6794A">
        <w:rPr>
          <w:lang w:val="en-US"/>
        </w:rPr>
        <w:instrText>intravenous</w:instrText>
      </w:r>
      <w:r w:rsidR="00A6794A" w:rsidRPr="00D3550C">
        <w:instrText xml:space="preserve"> </w:instrText>
      </w:r>
      <w:r w:rsidR="00A6794A">
        <w:rPr>
          <w:lang w:val="en-US"/>
        </w:rPr>
        <w:instrText>rituximab</w:instrText>
      </w:r>
      <w:r w:rsidR="00A6794A" w:rsidRPr="00D3550C">
        <w:instrText xml:space="preserve"> </w:instrText>
      </w:r>
      <w:r w:rsidR="00A6794A">
        <w:rPr>
          <w:lang w:val="en-US"/>
        </w:rPr>
        <w:instrText>that</w:instrText>
      </w:r>
      <w:r w:rsidR="00A6794A" w:rsidRPr="00D3550C">
        <w:instrText xml:space="preserve"> </w:instrText>
      </w:r>
      <w:r w:rsidR="00A6794A">
        <w:rPr>
          <w:lang w:val="en-US"/>
        </w:rPr>
        <w:instrText>could</w:instrText>
      </w:r>
      <w:r w:rsidR="00A6794A" w:rsidRPr="00D3550C">
        <w:instrText xml:space="preserve"> </w:instrText>
      </w:r>
      <w:r w:rsidR="00A6794A">
        <w:rPr>
          <w:lang w:val="en-US"/>
        </w:rPr>
        <w:instrText>improve</w:instrText>
      </w:r>
      <w:r w:rsidR="00A6794A" w:rsidRPr="00D3550C">
        <w:instrText xml:space="preserve"> </w:instrText>
      </w:r>
      <w:r w:rsidR="00A6794A">
        <w:rPr>
          <w:lang w:val="en-US"/>
        </w:rPr>
        <w:instrText>convenience</w:instrText>
      </w:r>
      <w:r w:rsidR="00A6794A" w:rsidRPr="00D3550C">
        <w:instrText xml:space="preserve"> </w:instrText>
      </w:r>
      <w:r w:rsidR="00A6794A">
        <w:rPr>
          <w:lang w:val="en-US"/>
        </w:rPr>
        <w:instrText>for</w:instrText>
      </w:r>
      <w:r w:rsidR="00A6794A" w:rsidRPr="00D3550C">
        <w:instrText xml:space="preserve"> </w:instrText>
      </w:r>
      <w:r w:rsidR="00A6794A">
        <w:rPr>
          <w:lang w:val="en-US"/>
        </w:rPr>
        <w:instrText>patients</w:instrText>
      </w:r>
      <w:r w:rsidR="00A6794A" w:rsidRPr="00D3550C">
        <w:instrText xml:space="preserve"> </w:instrText>
      </w:r>
      <w:r w:rsidR="00A6794A">
        <w:rPr>
          <w:lang w:val="en-US"/>
        </w:rPr>
        <w:instrText>and</w:instrText>
      </w:r>
      <w:r w:rsidR="00A6794A" w:rsidRPr="00D3550C">
        <w:instrText xml:space="preserve"> </w:instrText>
      </w:r>
      <w:r w:rsidR="00A6794A">
        <w:rPr>
          <w:lang w:val="en-US"/>
        </w:rPr>
        <w:instrText>better</w:instrText>
      </w:r>
      <w:r w:rsidR="00A6794A" w:rsidRPr="00D3550C">
        <w:instrText xml:space="preserve"> </w:instrText>
      </w:r>
      <w:r w:rsidR="00A6794A">
        <w:rPr>
          <w:lang w:val="en-US"/>
        </w:rPr>
        <w:instrText>utilize</w:instrText>
      </w:r>
      <w:r w:rsidR="00A6794A" w:rsidRPr="00D3550C">
        <w:instrText xml:space="preserve"> </w:instrText>
      </w:r>
      <w:r w:rsidR="00A6794A">
        <w:rPr>
          <w:lang w:val="en-US"/>
        </w:rPr>
        <w:instrText>health</w:instrText>
      </w:r>
      <w:r w:rsidR="00A6794A" w:rsidRPr="00D3550C">
        <w:instrText>-</w:instrText>
      </w:r>
      <w:r w:rsidR="00A6794A">
        <w:rPr>
          <w:lang w:val="en-US"/>
        </w:rPr>
        <w:instrText>care</w:instrText>
      </w:r>
      <w:r w:rsidR="00A6794A" w:rsidRPr="00D3550C">
        <w:instrText xml:space="preserve"> </w:instrText>
      </w:r>
      <w:r w:rsidR="00A6794A">
        <w:rPr>
          <w:lang w:val="en-US"/>
        </w:rPr>
        <w:instrText>resources</w:instrText>
      </w:r>
      <w:r w:rsidR="00A6794A" w:rsidRPr="00D3550C">
        <w:instrText>.","</w:instrText>
      </w:r>
      <w:r w:rsidR="00A6794A">
        <w:rPr>
          <w:lang w:val="en-US"/>
        </w:rPr>
        <w:instrText>author</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family</w:instrText>
      </w:r>
      <w:r w:rsidR="00A6794A" w:rsidRPr="00D3550C">
        <w:instrText>":"</w:instrText>
      </w:r>
      <w:r w:rsidR="00A6794A">
        <w:rPr>
          <w:lang w:val="en-US"/>
        </w:rPr>
        <w:instrText>Yelvington</w:instrText>
      </w:r>
      <w:r w:rsidR="00A6794A" w:rsidRPr="00D3550C">
        <w:instrText>","</w:instrText>
      </w:r>
      <w:r w:rsidR="00A6794A">
        <w:rPr>
          <w:lang w:val="en-US"/>
        </w:rPr>
        <w:instrText>given</w:instrText>
      </w:r>
      <w:r w:rsidR="00A6794A" w:rsidRPr="00D3550C">
        <w:instrText>":"</w:instrText>
      </w:r>
      <w:r w:rsidR="00A6794A">
        <w:rPr>
          <w:lang w:val="en-US"/>
        </w:rPr>
        <w:instrText>Bradley</w:instrText>
      </w:r>
      <w:r w:rsidR="00A6794A" w:rsidRPr="00D3550C">
        <w:instrText xml:space="preserve"> </w:instrText>
      </w:r>
      <w:r w:rsidR="00A6794A">
        <w:rPr>
          <w:lang w:val="en-US"/>
        </w:rPr>
        <w:instrText>J</w:instrText>
      </w:r>
      <w:r w:rsidR="00A6794A" w:rsidRPr="00D3550C">
        <w:instrText>","</w:instrText>
      </w:r>
      <w:r w:rsidR="00A6794A">
        <w:rPr>
          <w:lang w:val="en-US"/>
        </w:rPr>
        <w:instrText>non</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parse</w:instrText>
      </w:r>
      <w:r w:rsidR="00A6794A" w:rsidRPr="00D3550C">
        <w:instrText>-</w:instrText>
      </w:r>
      <w:r w:rsidR="00A6794A">
        <w:rPr>
          <w:lang w:val="en-US"/>
        </w:rPr>
        <w:instrText>names</w:instrText>
      </w:r>
      <w:r w:rsidR="00A6794A" w:rsidRPr="00D3550C">
        <w:instrText>":</w:instrText>
      </w:r>
      <w:r w:rsidR="00A6794A">
        <w:rPr>
          <w:lang w:val="en-US"/>
        </w:rPr>
        <w:instrText>false</w:instrText>
      </w:r>
      <w:r w:rsidR="00A6794A" w:rsidRPr="00D3550C">
        <w:instrText>,"</w:instrText>
      </w:r>
      <w:r w:rsidR="00A6794A">
        <w:rPr>
          <w:lang w:val="en-US"/>
        </w:rPr>
        <w:instrText>suffix</w:instrText>
      </w:r>
      <w:r w:rsidR="00A6794A" w:rsidRPr="00D3550C">
        <w:instrText>":""}],"</w:instrText>
      </w:r>
      <w:r w:rsidR="00A6794A">
        <w:rPr>
          <w:lang w:val="en-US"/>
        </w:rPr>
        <w:instrText>container</w:instrText>
      </w:r>
      <w:r w:rsidR="00A6794A" w:rsidRPr="00D3550C">
        <w:instrText>-</w:instrText>
      </w:r>
      <w:r w:rsidR="00A6794A">
        <w:rPr>
          <w:lang w:val="en-US"/>
        </w:rPr>
        <w:instrText>title</w:instrText>
      </w:r>
      <w:r w:rsidR="00A6794A" w:rsidRPr="00D3550C">
        <w:instrText>":"</w:instrText>
      </w:r>
      <w:r w:rsidR="00A6794A">
        <w:rPr>
          <w:lang w:val="en-US"/>
        </w:rPr>
        <w:instrText>Journal</w:instrText>
      </w:r>
      <w:r w:rsidR="00A6794A" w:rsidRPr="00D3550C">
        <w:instrText xml:space="preserve"> </w:instrText>
      </w:r>
      <w:r w:rsidR="00A6794A">
        <w:rPr>
          <w:lang w:val="en-US"/>
        </w:rPr>
        <w:instrText>of</w:instrText>
      </w:r>
      <w:r w:rsidR="00A6794A" w:rsidRPr="00D3550C">
        <w:instrText xml:space="preserve"> </w:instrText>
      </w:r>
      <w:r w:rsidR="00A6794A">
        <w:rPr>
          <w:lang w:val="en-US"/>
        </w:rPr>
        <w:instrText>the</w:instrText>
      </w:r>
      <w:r w:rsidR="00A6794A" w:rsidRPr="00D3550C">
        <w:instrText xml:space="preserve"> </w:instrText>
      </w:r>
      <w:r w:rsidR="00A6794A">
        <w:rPr>
          <w:lang w:val="en-US"/>
        </w:rPr>
        <w:instrText>advanced</w:instrText>
      </w:r>
      <w:r w:rsidR="00A6794A" w:rsidRPr="00D3550C">
        <w:instrText xml:space="preserve"> </w:instrText>
      </w:r>
      <w:r w:rsidR="00A6794A">
        <w:rPr>
          <w:lang w:val="en-US"/>
        </w:rPr>
        <w:instrText>practitioner</w:instrText>
      </w:r>
      <w:r w:rsidR="00A6794A" w:rsidRPr="00D3550C">
        <w:instrText xml:space="preserve"> </w:instrText>
      </w:r>
      <w:r w:rsidR="00A6794A">
        <w:rPr>
          <w:lang w:val="en-US"/>
        </w:rPr>
        <w:instrText>in</w:instrText>
      </w:r>
      <w:r w:rsidR="00A6794A" w:rsidRPr="00D3550C">
        <w:instrText xml:space="preserve"> </w:instrText>
      </w:r>
      <w:r w:rsidR="00A6794A">
        <w:rPr>
          <w:lang w:val="en-US"/>
        </w:rPr>
        <w:instrText>oncology</w:instrText>
      </w:r>
      <w:r w:rsidR="00A6794A" w:rsidRPr="00D3550C">
        <w:instrText>","</w:instrText>
      </w:r>
      <w:r w:rsidR="00A6794A">
        <w:rPr>
          <w:lang w:val="en-US"/>
        </w:rPr>
        <w:instrText>id</w:instrText>
      </w:r>
      <w:r w:rsidR="00A6794A" w:rsidRPr="00D3550C">
        <w:instrText>":"</w:instrText>
      </w:r>
      <w:r w:rsidR="00A6794A">
        <w:rPr>
          <w:lang w:val="en-US"/>
        </w:rPr>
        <w:instrText>ITEM</w:instrText>
      </w:r>
      <w:r w:rsidR="00A6794A" w:rsidRPr="00D3550C">
        <w:instrText>-1","</w:instrText>
      </w:r>
      <w:r w:rsidR="00A6794A">
        <w:rPr>
          <w:lang w:val="en-US"/>
        </w:rPr>
        <w:instrText>issue</w:instrText>
      </w:r>
      <w:r w:rsidR="00A6794A" w:rsidRPr="00D3550C">
        <w:instrText>":"5","</w:instrText>
      </w:r>
      <w:r w:rsidR="00A6794A">
        <w:rPr>
          <w:lang w:val="en-US"/>
        </w:rPr>
        <w:instrText>issued</w:instrText>
      </w:r>
      <w:r w:rsidR="00A6794A" w:rsidRPr="00D3550C">
        <w:instrText>":{"</w:instrText>
      </w:r>
      <w:r w:rsidR="00A6794A">
        <w:rPr>
          <w:lang w:val="en-US"/>
        </w:rPr>
        <w:instrText>date</w:instrText>
      </w:r>
      <w:r w:rsidR="00A6794A" w:rsidRPr="00D3550C">
        <w:instrText>-</w:instrText>
      </w:r>
      <w:r w:rsidR="00A6794A">
        <w:rPr>
          <w:lang w:val="en-US"/>
        </w:rPr>
        <w:instrText>parts</w:instrText>
      </w:r>
      <w:r w:rsidR="00A6794A" w:rsidRPr="00D3550C">
        <w:instrText>":[["2018"]]},"</w:instrText>
      </w:r>
      <w:r w:rsidR="00A6794A">
        <w:rPr>
          <w:lang w:val="en-US"/>
        </w:rPr>
        <w:instrText>page</w:instrText>
      </w:r>
      <w:r w:rsidR="00A6794A" w:rsidRPr="00D3550C">
        <w:instrText>":"530-534","</w:instrText>
      </w:r>
      <w:r w:rsidR="00A6794A">
        <w:rPr>
          <w:lang w:val="en-US"/>
        </w:rPr>
        <w:instrText>publisher</w:instrText>
      </w:r>
      <w:r w:rsidR="00A6794A" w:rsidRPr="00D3550C">
        <w:instrText>":"</w:instrText>
      </w:r>
      <w:r w:rsidR="00A6794A">
        <w:rPr>
          <w:lang w:val="en-US"/>
        </w:rPr>
        <w:instrText>Harborside</w:instrText>
      </w:r>
      <w:r w:rsidR="00A6794A" w:rsidRPr="00D3550C">
        <w:instrText xml:space="preserve"> </w:instrText>
      </w:r>
      <w:r w:rsidR="00A6794A">
        <w:rPr>
          <w:lang w:val="en-US"/>
        </w:rPr>
        <w:instrText>Press</w:instrText>
      </w:r>
      <w:r w:rsidR="00A6794A" w:rsidRPr="00D3550C">
        <w:instrText>","</w:instrText>
      </w:r>
      <w:r w:rsidR="00A6794A">
        <w:rPr>
          <w:lang w:val="en-US"/>
        </w:rPr>
        <w:instrText>title</w:instrText>
      </w:r>
      <w:r w:rsidR="00A6794A" w:rsidRPr="00D3550C">
        <w:instrText>":"</w:instrText>
      </w:r>
      <w:r w:rsidR="00A6794A">
        <w:rPr>
          <w:lang w:val="en-US"/>
        </w:rPr>
        <w:instrText>Subcutaneous</w:instrText>
      </w:r>
      <w:r w:rsidR="00A6794A" w:rsidRPr="00D3550C">
        <w:instrText xml:space="preserve"> </w:instrText>
      </w:r>
      <w:r w:rsidR="00A6794A">
        <w:rPr>
          <w:lang w:val="en-US"/>
        </w:rPr>
        <w:instrText>Rituximab</w:instrText>
      </w:r>
      <w:r w:rsidR="00A6794A" w:rsidRPr="00D3550C">
        <w:instrText xml:space="preserve"> </w:instrText>
      </w:r>
      <w:r w:rsidR="00A6794A">
        <w:rPr>
          <w:lang w:val="en-US"/>
        </w:rPr>
        <w:instrText>in</w:instrText>
      </w:r>
      <w:r w:rsidR="00A6794A" w:rsidRPr="00D3550C">
        <w:instrText xml:space="preserve"> </w:instrText>
      </w:r>
      <w:r w:rsidR="00A6794A">
        <w:rPr>
          <w:lang w:val="en-US"/>
        </w:rPr>
        <w:instrText>Follicular</w:instrText>
      </w:r>
      <w:r w:rsidR="00A6794A" w:rsidRPr="00D3550C">
        <w:instrText xml:space="preserve"> </w:instrText>
      </w:r>
      <w:r w:rsidR="00A6794A">
        <w:rPr>
          <w:lang w:val="en-US"/>
        </w:rPr>
        <w:instrText>Lymphoma</w:instrText>
      </w:r>
      <w:r w:rsidR="00A6794A" w:rsidRPr="00D3550C">
        <w:instrText xml:space="preserve">, </w:instrText>
      </w:r>
      <w:r w:rsidR="00A6794A">
        <w:rPr>
          <w:lang w:val="en-US"/>
        </w:rPr>
        <w:instrText>Chronic</w:instrText>
      </w:r>
      <w:r w:rsidR="00A6794A" w:rsidRPr="00D3550C">
        <w:instrText xml:space="preserve"> </w:instrText>
      </w:r>
      <w:r w:rsidR="00A6794A">
        <w:rPr>
          <w:lang w:val="en-US"/>
        </w:rPr>
        <w:instrText>Lymphocytic</w:instrText>
      </w:r>
      <w:r w:rsidR="00A6794A" w:rsidRPr="00D3550C">
        <w:instrText xml:space="preserve"> </w:instrText>
      </w:r>
      <w:r w:rsidR="00A6794A">
        <w:rPr>
          <w:lang w:val="en-US"/>
        </w:rPr>
        <w:instrText>Leukemia</w:instrText>
      </w:r>
      <w:r w:rsidR="00A6794A" w:rsidRPr="00D3550C">
        <w:instrText xml:space="preserve">, </w:instrText>
      </w:r>
      <w:r w:rsidR="00A6794A">
        <w:rPr>
          <w:lang w:val="en-US"/>
        </w:rPr>
        <w:instrText>and</w:instrText>
      </w:r>
      <w:r w:rsidR="00A6794A" w:rsidRPr="00D3550C">
        <w:instrText xml:space="preserve"> </w:instrText>
      </w:r>
      <w:r w:rsidR="00A6794A">
        <w:rPr>
          <w:lang w:val="en-US"/>
        </w:rPr>
        <w:instrText>Diffuse</w:instrText>
      </w:r>
      <w:r w:rsidR="00A6794A" w:rsidRPr="00D3550C">
        <w:instrText xml:space="preserve"> </w:instrText>
      </w:r>
      <w:r w:rsidR="00A6794A">
        <w:rPr>
          <w:lang w:val="en-US"/>
        </w:rPr>
        <w:instrText>Large</w:instrText>
      </w:r>
      <w:r w:rsidR="00A6794A" w:rsidRPr="00D3550C">
        <w:instrText xml:space="preserve"> </w:instrText>
      </w:r>
      <w:r w:rsidR="00A6794A">
        <w:rPr>
          <w:lang w:val="en-US"/>
        </w:rPr>
        <w:instrText>B</w:instrText>
      </w:r>
      <w:r w:rsidR="00A6794A" w:rsidRPr="00D3550C">
        <w:instrText>-</w:instrText>
      </w:r>
      <w:r w:rsidR="00A6794A">
        <w:rPr>
          <w:lang w:val="en-US"/>
        </w:rPr>
        <w:instrText>Cell</w:instrText>
      </w:r>
      <w:r w:rsidR="00A6794A" w:rsidRPr="00D3550C">
        <w:instrText xml:space="preserve"> </w:instrText>
      </w:r>
      <w:r w:rsidR="00A6794A">
        <w:rPr>
          <w:lang w:val="en-US"/>
        </w:rPr>
        <w:instrText>Lymphoma</w:instrText>
      </w:r>
      <w:r w:rsidR="00A6794A" w:rsidRPr="00D3550C">
        <w:instrText>.","</w:instrText>
      </w:r>
      <w:r w:rsidR="00A6794A">
        <w:rPr>
          <w:lang w:val="en-US"/>
        </w:rPr>
        <w:instrText>type</w:instrText>
      </w:r>
      <w:r w:rsidR="00A6794A" w:rsidRPr="00D3550C">
        <w:instrText>":"</w:instrText>
      </w:r>
      <w:r w:rsidR="00A6794A">
        <w:rPr>
          <w:lang w:val="en-US"/>
        </w:rPr>
        <w:instrText>article</w:instrText>
      </w:r>
      <w:r w:rsidR="00A6794A" w:rsidRPr="00D3550C">
        <w:instrText>-</w:instrText>
      </w:r>
      <w:r w:rsidR="00A6794A">
        <w:rPr>
          <w:lang w:val="en-US"/>
        </w:rPr>
        <w:instrText>journal</w:instrText>
      </w:r>
      <w:r w:rsidR="00A6794A" w:rsidRPr="00D3550C">
        <w:instrText>","</w:instrText>
      </w:r>
      <w:r w:rsidR="00A6794A">
        <w:rPr>
          <w:lang w:val="en-US"/>
        </w:rPr>
        <w:instrText>volume</w:instrText>
      </w:r>
      <w:r w:rsidR="00A6794A" w:rsidRPr="00D3550C">
        <w:instrText>":"9"},"</w:instrText>
      </w:r>
      <w:r w:rsidR="00A6794A">
        <w:rPr>
          <w:lang w:val="en-US"/>
        </w:rPr>
        <w:instrText>uris</w:instrText>
      </w:r>
      <w:r w:rsidR="00A6794A" w:rsidRPr="00D3550C">
        <w:instrText>":["</w:instrText>
      </w:r>
      <w:r w:rsidR="00A6794A">
        <w:rPr>
          <w:lang w:val="en-US"/>
        </w:rPr>
        <w:instrText>http</w:instrText>
      </w:r>
      <w:r w:rsidR="00A6794A" w:rsidRPr="00D3550C">
        <w:instrText>://</w:instrText>
      </w:r>
      <w:r w:rsidR="00A6794A">
        <w:rPr>
          <w:lang w:val="en-US"/>
        </w:rPr>
        <w:instrText>www</w:instrText>
      </w:r>
      <w:r w:rsidR="00A6794A" w:rsidRPr="00D3550C">
        <w:instrText>.</w:instrText>
      </w:r>
      <w:r w:rsidR="00A6794A">
        <w:rPr>
          <w:lang w:val="en-US"/>
        </w:rPr>
        <w:instrText>mendeley</w:instrText>
      </w:r>
      <w:r w:rsidR="00A6794A" w:rsidRPr="00D3550C">
        <w:instrText>.</w:instrText>
      </w:r>
      <w:r w:rsidR="00A6794A">
        <w:rPr>
          <w:lang w:val="en-US"/>
        </w:rPr>
        <w:instrText>com</w:instrText>
      </w:r>
      <w:r w:rsidR="00A6794A" w:rsidRPr="00D3550C">
        <w:instrText>/</w:instrText>
      </w:r>
      <w:r w:rsidR="00A6794A">
        <w:rPr>
          <w:lang w:val="en-US"/>
        </w:rPr>
        <w:instrText>documents</w:instrText>
      </w:r>
      <w:r w:rsidR="00A6794A" w:rsidRPr="00D3550C">
        <w:instrText>/?</w:instrText>
      </w:r>
      <w:r w:rsidR="00A6794A">
        <w:rPr>
          <w:lang w:val="en-US"/>
        </w:rPr>
        <w:instrText>uuid</w:instrText>
      </w:r>
      <w:r w:rsidR="00A6794A" w:rsidRPr="00D3550C">
        <w:instrText>=</w:instrText>
      </w:r>
      <w:r w:rsidR="00A6794A">
        <w:rPr>
          <w:lang w:val="en-US"/>
        </w:rPr>
        <w:instrText>fbb</w:instrText>
      </w:r>
      <w:r w:rsidR="00A6794A" w:rsidRPr="00D3550C">
        <w:instrText>0</w:instrText>
      </w:r>
      <w:r w:rsidR="00A6794A">
        <w:rPr>
          <w:lang w:val="en-US"/>
        </w:rPr>
        <w:instrText>b</w:instrText>
      </w:r>
      <w:r w:rsidR="00A6794A" w:rsidRPr="00D3550C">
        <w:instrText>8</w:instrText>
      </w:r>
      <w:r w:rsidR="00A6794A">
        <w:rPr>
          <w:lang w:val="en-US"/>
        </w:rPr>
        <w:instrText>f</w:instrText>
      </w:r>
      <w:r w:rsidR="00A6794A" w:rsidRPr="00D3550C">
        <w:instrText>4-6</w:instrText>
      </w:r>
      <w:r w:rsidR="00A6794A">
        <w:rPr>
          <w:lang w:val="en-US"/>
        </w:rPr>
        <w:instrText>b</w:instrText>
      </w:r>
      <w:r w:rsidR="00A6794A" w:rsidRPr="00D3550C">
        <w:instrText>58-3</w:instrText>
      </w:r>
      <w:r w:rsidR="00A6794A">
        <w:rPr>
          <w:lang w:val="en-US"/>
        </w:rPr>
        <w:instrText>a</w:instrText>
      </w:r>
      <w:r w:rsidR="00A6794A" w:rsidRPr="00D3550C">
        <w:instrText>10-</w:instrText>
      </w:r>
      <w:r w:rsidR="00A6794A">
        <w:rPr>
          <w:lang w:val="en-US"/>
        </w:rPr>
        <w:instrText>b</w:instrText>
      </w:r>
      <w:r w:rsidR="00A6794A" w:rsidRPr="00D3550C">
        <w:instrText>7</w:instrText>
      </w:r>
      <w:r w:rsidR="00A6794A">
        <w:rPr>
          <w:lang w:val="en-US"/>
        </w:rPr>
        <w:instrText>d</w:instrText>
      </w:r>
      <w:r w:rsidR="00A6794A" w:rsidRPr="00D3550C">
        <w:instrText>6-</w:instrText>
      </w:r>
      <w:r w:rsidR="00A6794A">
        <w:rPr>
          <w:lang w:val="en-US"/>
        </w:rPr>
        <w:instrText>af</w:instrText>
      </w:r>
      <w:r w:rsidR="00A6794A" w:rsidRPr="00D3550C">
        <w:instrText>3854030</w:instrText>
      </w:r>
      <w:r w:rsidR="00A6794A">
        <w:rPr>
          <w:lang w:val="en-US"/>
        </w:rPr>
        <w:instrText>be</w:instrText>
      </w:r>
      <w:r w:rsidR="00A6794A" w:rsidRPr="00D3550C">
        <w:instrText>8"]},{"</w:instrText>
      </w:r>
      <w:r w:rsidR="00A6794A">
        <w:rPr>
          <w:lang w:val="en-US"/>
        </w:rPr>
        <w:instrText>id</w:instrText>
      </w:r>
      <w:r w:rsidR="00A6794A" w:rsidRPr="00D3550C">
        <w:instrText>":"</w:instrText>
      </w:r>
      <w:r w:rsidR="00A6794A">
        <w:rPr>
          <w:lang w:val="en-US"/>
        </w:rPr>
        <w:instrText>ITEM</w:instrText>
      </w:r>
      <w:r w:rsidR="00A6794A" w:rsidRPr="00D3550C">
        <w:instrText>-2","</w:instrText>
      </w:r>
      <w:r w:rsidR="00A6794A">
        <w:rPr>
          <w:lang w:val="en-US"/>
        </w:rPr>
        <w:instrText>itemData</w:instrText>
      </w:r>
      <w:r w:rsidR="00A6794A" w:rsidRPr="00D3550C">
        <w:instrText>":{"</w:instrText>
      </w:r>
      <w:r w:rsidR="00A6794A">
        <w:rPr>
          <w:lang w:val="en-US"/>
        </w:rPr>
        <w:instrText>DOI</w:instrText>
      </w:r>
      <w:r w:rsidR="00A6794A" w:rsidRPr="00D3550C">
        <w:instrText>":"10.1007/</w:instrText>
      </w:r>
      <w:r w:rsidR="00A6794A">
        <w:rPr>
          <w:lang w:val="en-US"/>
        </w:rPr>
        <w:instrText>s</w:instrText>
      </w:r>
      <w:r w:rsidR="00A6794A" w:rsidRPr="00D3550C">
        <w:instrText>12325-017-0610-</w:instrText>
      </w:r>
      <w:r w:rsidR="00A6794A">
        <w:rPr>
          <w:lang w:val="en-US"/>
        </w:rPr>
        <w:instrText>z</w:instrText>
      </w:r>
      <w:r w:rsidR="00A6794A" w:rsidRPr="00D3550C">
        <w:instrText>","</w:instrText>
      </w:r>
      <w:r w:rsidR="00A6794A">
        <w:rPr>
          <w:lang w:val="en-US"/>
        </w:rPr>
        <w:instrText>ISSN</w:instrText>
      </w:r>
      <w:r w:rsidR="00A6794A" w:rsidRPr="00D3550C">
        <w:instrText>":"18658652","</w:instrText>
      </w:r>
      <w:r w:rsidR="00A6794A">
        <w:rPr>
          <w:lang w:val="en-US"/>
        </w:rPr>
        <w:instrText>abstract</w:instrText>
      </w:r>
      <w:r w:rsidR="00A6794A" w:rsidRPr="00D3550C">
        <w:instrText>":"</w:instrText>
      </w:r>
      <w:r w:rsidR="00A6794A">
        <w:rPr>
          <w:lang w:val="en-US"/>
        </w:rPr>
        <w:instrText>Abstract</w:instrText>
      </w:r>
      <w:r w:rsidR="00A6794A" w:rsidRPr="00D3550C">
        <w:instrText xml:space="preserve">: </w:instrText>
      </w:r>
      <w:r w:rsidR="00A6794A">
        <w:rPr>
          <w:lang w:val="en-US"/>
        </w:rPr>
        <w:instrText>Rituximab</w:instrText>
      </w:r>
      <w:r w:rsidR="00A6794A" w:rsidRPr="00D3550C">
        <w:instrText xml:space="preserve"> (</w:instrText>
      </w:r>
      <w:r w:rsidR="00A6794A">
        <w:rPr>
          <w:lang w:val="en-US"/>
        </w:rPr>
        <w:instrText>MabThera</w:instrText>
      </w:r>
      <w:r w:rsidR="00A6794A" w:rsidRPr="00D3550C">
        <w:instrText>®/</w:instrText>
      </w:r>
      <w:r w:rsidR="00A6794A">
        <w:rPr>
          <w:lang w:val="en-US"/>
        </w:rPr>
        <w:instrText>Rituxan</w:instrText>
      </w:r>
      <w:r w:rsidR="00A6794A" w:rsidRPr="00D3550C">
        <w:instrText xml:space="preserve">®), </w:instrText>
      </w:r>
      <w:r w:rsidR="00A6794A">
        <w:rPr>
          <w:lang w:val="en-US"/>
        </w:rPr>
        <w:instrText>a</w:instrText>
      </w:r>
      <w:r w:rsidR="00A6794A" w:rsidRPr="00D3550C">
        <w:instrText xml:space="preserve"> </w:instrText>
      </w:r>
      <w:r w:rsidR="00A6794A">
        <w:rPr>
          <w:lang w:val="en-US"/>
        </w:rPr>
        <w:instrText>chimeric</w:instrText>
      </w:r>
      <w:r w:rsidR="00A6794A" w:rsidRPr="00D3550C">
        <w:instrText xml:space="preserve"> </w:instrText>
      </w:r>
      <w:r w:rsidR="00A6794A">
        <w:rPr>
          <w:lang w:val="en-US"/>
        </w:rPr>
        <w:instrText>murine</w:instrText>
      </w:r>
      <w:r w:rsidR="00A6794A" w:rsidRPr="00AA43FB">
        <w:instrText>/</w:instrText>
      </w:r>
      <w:r w:rsidR="00A6794A">
        <w:rPr>
          <w:lang w:val="en-US"/>
        </w:rPr>
        <w:instrText>human</w:instrText>
      </w:r>
      <w:r w:rsidR="00A6794A" w:rsidRPr="00AA43FB">
        <w:instrText xml:space="preserve"> </w:instrText>
      </w:r>
      <w:r w:rsidR="00A6794A">
        <w:rPr>
          <w:lang w:val="en-US"/>
        </w:rPr>
        <w:instrText>monoclonal</w:instrText>
      </w:r>
      <w:r w:rsidR="00A6794A" w:rsidRPr="00AA43FB">
        <w:instrText xml:space="preserve"> </w:instrText>
      </w:r>
      <w:r w:rsidR="00A6794A">
        <w:rPr>
          <w:lang w:val="en-US"/>
        </w:rPr>
        <w:instrText>antibody</w:instrText>
      </w:r>
      <w:r w:rsidR="00A6794A" w:rsidRPr="00AA43FB">
        <w:instrText xml:space="preserve"> </w:instrText>
      </w:r>
      <w:r w:rsidR="00A6794A">
        <w:rPr>
          <w:lang w:val="en-US"/>
        </w:rPr>
        <w:instrText>that</w:instrText>
      </w:r>
      <w:r w:rsidR="00A6794A" w:rsidRPr="00AA43FB">
        <w:instrText xml:space="preserve"> </w:instrText>
      </w:r>
      <w:r w:rsidR="00A6794A">
        <w:rPr>
          <w:lang w:val="en-US"/>
        </w:rPr>
        <w:instrText>binds</w:instrText>
      </w:r>
      <w:r w:rsidR="00A6794A" w:rsidRPr="00AA43FB">
        <w:instrText xml:space="preserve"> </w:instrText>
      </w:r>
      <w:r w:rsidR="00A6794A">
        <w:rPr>
          <w:lang w:val="en-US"/>
        </w:rPr>
        <w:instrText>specifically</w:instrText>
      </w:r>
      <w:r w:rsidR="00A6794A" w:rsidRPr="00AA43FB">
        <w:instrText xml:space="preserve"> </w:instrText>
      </w:r>
      <w:r w:rsidR="00A6794A">
        <w:rPr>
          <w:lang w:val="en-US"/>
        </w:rPr>
        <w:instrText>to</w:instrText>
      </w:r>
      <w:r w:rsidR="00A6794A" w:rsidRPr="00AA43FB">
        <w:instrText xml:space="preserve"> </w:instrText>
      </w:r>
      <w:r w:rsidR="00A6794A">
        <w:rPr>
          <w:lang w:val="en-US"/>
        </w:rPr>
        <w:instrText>the</w:instrText>
      </w:r>
      <w:r w:rsidR="00A6794A" w:rsidRPr="00AA43FB">
        <w:instrText xml:space="preserve"> </w:instrText>
      </w:r>
      <w:r w:rsidR="00A6794A">
        <w:rPr>
          <w:lang w:val="en-US"/>
        </w:rPr>
        <w:instrText>transmembrane</w:instrText>
      </w:r>
      <w:r w:rsidR="00A6794A" w:rsidRPr="00AA43FB">
        <w:instrText xml:space="preserve"> </w:instrText>
      </w:r>
      <w:r w:rsidR="00A6794A">
        <w:rPr>
          <w:lang w:val="en-US"/>
        </w:rPr>
        <w:instrText>antigen</w:instrText>
      </w:r>
      <w:r w:rsidR="00A6794A" w:rsidRPr="00AA43FB">
        <w:instrText xml:space="preserve"> </w:instrText>
      </w:r>
      <w:r w:rsidR="00A6794A">
        <w:rPr>
          <w:lang w:val="en-US"/>
        </w:rPr>
        <w:instrText>CD</w:instrText>
      </w:r>
      <w:r w:rsidR="00A6794A" w:rsidRPr="00AA43FB">
        <w:instrText xml:space="preserve">20, </w:instrText>
      </w:r>
      <w:r w:rsidR="00A6794A">
        <w:rPr>
          <w:lang w:val="en-US"/>
        </w:rPr>
        <w:instrText>was</w:instrText>
      </w:r>
      <w:r w:rsidR="00A6794A" w:rsidRPr="00AA43FB">
        <w:instrText xml:space="preserve"> </w:instrText>
      </w:r>
      <w:r w:rsidR="00A6794A">
        <w:rPr>
          <w:lang w:val="en-US"/>
        </w:rPr>
        <w:instrText>the</w:instrText>
      </w:r>
      <w:r w:rsidR="00A6794A" w:rsidRPr="00AA43FB">
        <w:instrText xml:space="preserve"> </w:instrText>
      </w:r>
      <w:r w:rsidR="00A6794A">
        <w:rPr>
          <w:lang w:val="en-US"/>
        </w:rPr>
        <w:instrText>first</w:instrText>
      </w:r>
      <w:r w:rsidR="00A6794A" w:rsidRPr="00AA43FB">
        <w:instrText xml:space="preserve"> </w:instrText>
      </w:r>
      <w:r w:rsidR="00A6794A">
        <w:rPr>
          <w:lang w:val="en-US"/>
        </w:rPr>
        <w:instrText>therapeutic</w:instrText>
      </w:r>
      <w:r w:rsidR="00A6794A" w:rsidRPr="00AA43FB">
        <w:instrText xml:space="preserve"> </w:instrText>
      </w:r>
      <w:r w:rsidR="00A6794A">
        <w:rPr>
          <w:lang w:val="en-US"/>
        </w:rPr>
        <w:instrText>antibody</w:instrText>
      </w:r>
      <w:r w:rsidR="00A6794A" w:rsidRPr="00AA43FB">
        <w:instrText xml:space="preserve"> </w:instrText>
      </w:r>
      <w:r w:rsidR="00A6794A">
        <w:rPr>
          <w:lang w:val="en-US"/>
        </w:rPr>
        <w:instrText>to</w:instrText>
      </w:r>
      <w:r w:rsidR="00A6794A" w:rsidRPr="00AA43FB">
        <w:instrText xml:space="preserve"> </w:instrText>
      </w:r>
      <w:r w:rsidR="00A6794A">
        <w:rPr>
          <w:lang w:val="en-US"/>
        </w:rPr>
        <w:instrText>enter</w:instrText>
      </w:r>
      <w:r w:rsidR="00A6794A" w:rsidRPr="00AA43FB">
        <w:instrText xml:space="preserve"> </w:instrText>
      </w:r>
      <w:r w:rsidR="00A6794A">
        <w:rPr>
          <w:lang w:val="en-US"/>
        </w:rPr>
        <w:instrText>clinical</w:instrText>
      </w:r>
      <w:r w:rsidR="00A6794A" w:rsidRPr="00AA43FB">
        <w:instrText xml:space="preserve"> </w:instrText>
      </w:r>
      <w:r w:rsidR="00A6794A">
        <w:rPr>
          <w:lang w:val="en-US"/>
        </w:rPr>
        <w:instrText>practice</w:instrText>
      </w:r>
      <w:r w:rsidR="00A6794A" w:rsidRPr="00AA43FB">
        <w:instrText xml:space="preserve"> </w:instrText>
      </w:r>
      <w:r w:rsidR="00A6794A">
        <w:rPr>
          <w:lang w:val="en-US"/>
        </w:rPr>
        <w:instrText>for</w:instrText>
      </w:r>
      <w:r w:rsidR="00A6794A" w:rsidRPr="00AA43FB">
        <w:instrText xml:space="preserve"> </w:instrText>
      </w:r>
      <w:r w:rsidR="00A6794A">
        <w:rPr>
          <w:lang w:val="en-US"/>
        </w:rPr>
        <w:instrText>the</w:instrText>
      </w:r>
      <w:r w:rsidR="00A6794A" w:rsidRPr="00AA43FB">
        <w:instrText xml:space="preserve"> </w:instrText>
      </w:r>
      <w:r w:rsidR="00A6794A">
        <w:rPr>
          <w:lang w:val="en-US"/>
        </w:rPr>
        <w:instrText>treatment</w:instrText>
      </w:r>
      <w:r w:rsidR="00A6794A" w:rsidRPr="00AA43FB">
        <w:instrText xml:space="preserve"> </w:instrText>
      </w:r>
      <w:r w:rsidR="00A6794A">
        <w:rPr>
          <w:lang w:val="en-US"/>
        </w:rPr>
        <w:instrText>of</w:instrText>
      </w:r>
      <w:r w:rsidR="00A6794A" w:rsidRPr="00AA43FB">
        <w:instrText xml:space="preserve"> </w:instrText>
      </w:r>
      <w:r w:rsidR="00A6794A">
        <w:rPr>
          <w:lang w:val="en-US"/>
        </w:rPr>
        <w:instrText>cancer</w:instrText>
      </w:r>
      <w:r w:rsidR="00A6794A" w:rsidRPr="00AA43FB">
        <w:instrText xml:space="preserve">. </w:instrText>
      </w:r>
      <w:r w:rsidR="00A6794A">
        <w:rPr>
          <w:lang w:val="en-US"/>
        </w:rPr>
        <w:instrText>As</w:instrText>
      </w:r>
      <w:r w:rsidR="00A6794A" w:rsidRPr="00AA43FB">
        <w:instrText xml:space="preserve"> </w:instrText>
      </w:r>
      <w:r w:rsidR="00A6794A">
        <w:rPr>
          <w:lang w:val="en-US"/>
        </w:rPr>
        <w:instrText>monotherapy</w:instrText>
      </w:r>
      <w:r w:rsidR="00A6794A" w:rsidRPr="00AA43FB">
        <w:instrText xml:space="preserve"> </w:instrText>
      </w:r>
      <w:r w:rsidR="00A6794A">
        <w:rPr>
          <w:lang w:val="en-US"/>
        </w:rPr>
        <w:instrText>and</w:instrText>
      </w:r>
      <w:r w:rsidR="00A6794A" w:rsidRPr="00AA43FB">
        <w:instrText xml:space="preserve"> </w:instrText>
      </w:r>
      <w:r w:rsidR="00A6794A">
        <w:rPr>
          <w:lang w:val="en-US"/>
        </w:rPr>
        <w:instrText>in</w:instrText>
      </w:r>
      <w:r w:rsidR="00A6794A" w:rsidRPr="00AA43FB">
        <w:instrText xml:space="preserve"> </w:instrText>
      </w:r>
      <w:r w:rsidR="00A6794A">
        <w:rPr>
          <w:lang w:val="en-US"/>
        </w:rPr>
        <w:instrText>combination</w:instrText>
      </w:r>
      <w:r w:rsidR="00A6794A" w:rsidRPr="00AA43FB">
        <w:instrText xml:space="preserve"> </w:instrText>
      </w:r>
      <w:r w:rsidR="00A6794A">
        <w:rPr>
          <w:lang w:val="en-US"/>
        </w:rPr>
        <w:instrText>with</w:instrText>
      </w:r>
      <w:r w:rsidR="00A6794A" w:rsidRPr="00AA43FB">
        <w:instrText xml:space="preserve"> </w:instrText>
      </w:r>
      <w:r w:rsidR="00A6794A">
        <w:rPr>
          <w:lang w:val="en-US"/>
        </w:rPr>
        <w:instrText>chemotherapy</w:instrText>
      </w:r>
      <w:r w:rsidR="00A6794A" w:rsidRPr="00AA43FB">
        <w:instrText xml:space="preserve">, </w:instrText>
      </w:r>
      <w:r w:rsidR="00A6794A">
        <w:rPr>
          <w:lang w:val="en-US"/>
        </w:rPr>
        <w:instrText>rituximab</w:instrText>
      </w:r>
      <w:r w:rsidR="00A6794A" w:rsidRPr="00AA43FB">
        <w:instrText xml:space="preserve"> </w:instrText>
      </w:r>
      <w:r w:rsidR="00A6794A">
        <w:rPr>
          <w:lang w:val="en-US"/>
        </w:rPr>
        <w:instrText>has</w:instrText>
      </w:r>
      <w:r w:rsidR="00A6794A" w:rsidRPr="00AA43FB">
        <w:instrText xml:space="preserve"> </w:instrText>
      </w:r>
      <w:r w:rsidR="00A6794A">
        <w:rPr>
          <w:lang w:val="en-US"/>
        </w:rPr>
        <w:instrText>been</w:instrText>
      </w:r>
      <w:r w:rsidR="00A6794A" w:rsidRPr="00AA43FB">
        <w:instrText xml:space="preserve"> </w:instrText>
      </w:r>
      <w:r w:rsidR="00A6794A">
        <w:rPr>
          <w:lang w:val="en-US"/>
        </w:rPr>
        <w:instrText>shown</w:instrText>
      </w:r>
      <w:r w:rsidR="00A6794A" w:rsidRPr="00AA43FB">
        <w:instrText xml:space="preserve"> </w:instrText>
      </w:r>
      <w:r w:rsidR="00A6794A">
        <w:rPr>
          <w:lang w:val="en-US"/>
        </w:rPr>
        <w:instrText>to</w:instrText>
      </w:r>
      <w:r w:rsidR="00A6794A" w:rsidRPr="00AA43FB">
        <w:instrText xml:space="preserve"> </w:instrText>
      </w:r>
      <w:r w:rsidR="00A6794A">
        <w:rPr>
          <w:lang w:val="en-US"/>
        </w:rPr>
        <w:instrText>prolong</w:instrText>
      </w:r>
      <w:r w:rsidR="00A6794A" w:rsidRPr="00AA43FB">
        <w:instrText xml:space="preserve"> </w:instrText>
      </w:r>
      <w:r w:rsidR="00A6794A">
        <w:rPr>
          <w:lang w:val="en-US"/>
        </w:rPr>
        <w:instrText>progression</w:instrText>
      </w:r>
      <w:r w:rsidR="00A6794A" w:rsidRPr="00AA43FB">
        <w:instrText>-</w:instrText>
      </w:r>
      <w:r w:rsidR="00A6794A">
        <w:rPr>
          <w:lang w:val="en-US"/>
        </w:rPr>
        <w:instrText>free</w:instrText>
      </w:r>
      <w:r w:rsidR="00A6794A" w:rsidRPr="00AA43FB">
        <w:instrText xml:space="preserve"> </w:instrText>
      </w:r>
      <w:r w:rsidR="00A6794A">
        <w:rPr>
          <w:lang w:val="en-US"/>
        </w:rPr>
        <w:instrText>survival</w:instrText>
      </w:r>
      <w:r w:rsidR="00A6794A" w:rsidRPr="00AA43FB">
        <w:instrText xml:space="preserve"> </w:instrText>
      </w:r>
      <w:r w:rsidR="00A6794A">
        <w:rPr>
          <w:lang w:val="en-US"/>
        </w:rPr>
        <w:instrText>and</w:instrText>
      </w:r>
      <w:r w:rsidR="00A6794A" w:rsidRPr="00AA43FB">
        <w:instrText xml:space="preserve">, </w:instrText>
      </w:r>
      <w:r w:rsidR="00A6794A">
        <w:rPr>
          <w:lang w:val="en-US"/>
        </w:rPr>
        <w:instrText>in</w:instrText>
      </w:r>
      <w:r w:rsidR="00A6794A" w:rsidRPr="00AA43FB">
        <w:instrText xml:space="preserve"> </w:instrText>
      </w:r>
      <w:r w:rsidR="00A6794A">
        <w:rPr>
          <w:lang w:val="en-US"/>
        </w:rPr>
        <w:instrText>some</w:instrText>
      </w:r>
      <w:r w:rsidR="00A6794A" w:rsidRPr="00AA43FB">
        <w:instrText xml:space="preserve"> </w:instrText>
      </w:r>
      <w:r w:rsidR="00A6794A">
        <w:rPr>
          <w:lang w:val="en-US"/>
        </w:rPr>
        <w:instrText>indications</w:instrText>
      </w:r>
      <w:r w:rsidR="00A6794A" w:rsidRPr="00AA43FB">
        <w:instrText xml:space="preserve"> </w:instrText>
      </w:r>
      <w:r w:rsidR="00A6794A">
        <w:rPr>
          <w:lang w:val="en-US"/>
        </w:rPr>
        <w:instrText>overall</w:instrText>
      </w:r>
      <w:r w:rsidR="00A6794A" w:rsidRPr="00AA43FB">
        <w:instrText xml:space="preserve"> </w:instrText>
      </w:r>
      <w:r w:rsidR="00A6794A">
        <w:rPr>
          <w:lang w:val="en-US"/>
        </w:rPr>
        <w:instrText>survival</w:instrText>
      </w:r>
      <w:r w:rsidR="00A6794A" w:rsidRPr="00AA43FB">
        <w:instrText xml:space="preserve">, </w:instrText>
      </w:r>
      <w:r w:rsidR="00A6794A">
        <w:rPr>
          <w:lang w:val="en-US"/>
        </w:rPr>
        <w:instrText>in</w:instrText>
      </w:r>
      <w:r w:rsidR="00A6794A" w:rsidRPr="00AA43FB">
        <w:instrText xml:space="preserve"> </w:instrText>
      </w:r>
      <w:r w:rsidR="00A6794A">
        <w:rPr>
          <w:lang w:val="en-US"/>
        </w:rPr>
        <w:instrText>patients</w:instrText>
      </w:r>
      <w:r w:rsidR="00A6794A" w:rsidRPr="00AA43FB">
        <w:instrText xml:space="preserve"> </w:instrText>
      </w:r>
      <w:r w:rsidR="00A6794A">
        <w:rPr>
          <w:lang w:val="en-US"/>
        </w:rPr>
        <w:instrText>with</w:instrText>
      </w:r>
      <w:r w:rsidR="00A6794A" w:rsidRPr="00AA43FB">
        <w:instrText xml:space="preserve"> </w:instrText>
      </w:r>
      <w:r w:rsidR="00A6794A">
        <w:rPr>
          <w:lang w:val="en-US"/>
        </w:rPr>
        <w:instrText>various</w:instrText>
      </w:r>
      <w:r w:rsidR="00A6794A" w:rsidRPr="00AA43FB">
        <w:instrText xml:space="preserve"> </w:instrText>
      </w:r>
      <w:r w:rsidR="00A6794A">
        <w:rPr>
          <w:lang w:val="en-US"/>
        </w:rPr>
        <w:instrText>B</w:instrText>
      </w:r>
      <w:r w:rsidR="00A6794A" w:rsidRPr="00AA43FB">
        <w:instrText>-</w:instrText>
      </w:r>
      <w:r w:rsidR="00A6794A">
        <w:rPr>
          <w:lang w:val="en-US"/>
        </w:rPr>
        <w:instrText>cell</w:instrText>
      </w:r>
      <w:r w:rsidR="00A6794A" w:rsidRPr="00AA43FB">
        <w:instrText xml:space="preserve"> </w:instrText>
      </w:r>
      <w:r w:rsidR="00A6794A">
        <w:rPr>
          <w:lang w:val="en-US"/>
        </w:rPr>
        <w:instrText>malignancies</w:instrText>
      </w:r>
      <w:r w:rsidR="00A6794A" w:rsidRPr="00AA43FB">
        <w:instrText xml:space="preserve">, </w:instrText>
      </w:r>
      <w:r w:rsidR="00A6794A">
        <w:rPr>
          <w:lang w:val="en-US"/>
        </w:rPr>
        <w:instrText>while</w:instrText>
      </w:r>
      <w:r w:rsidR="00A6794A" w:rsidRPr="00AA43FB">
        <w:instrText xml:space="preserve"> </w:instrText>
      </w:r>
      <w:r w:rsidR="00A6794A">
        <w:rPr>
          <w:lang w:val="en-US"/>
        </w:rPr>
        <w:instrText>having</w:instrText>
      </w:r>
      <w:r w:rsidR="00A6794A" w:rsidRPr="00AA43FB">
        <w:instrText xml:space="preserve"> </w:instrText>
      </w:r>
      <w:r w:rsidR="00A6794A">
        <w:rPr>
          <w:lang w:val="en-US"/>
        </w:rPr>
        <w:instrText>a</w:instrText>
      </w:r>
      <w:r w:rsidR="00A6794A" w:rsidRPr="00AA43FB">
        <w:instrText xml:space="preserve"> </w:instrText>
      </w:r>
      <w:r w:rsidR="00A6794A">
        <w:rPr>
          <w:lang w:val="en-US"/>
        </w:rPr>
        <w:instrText>well</w:instrText>
      </w:r>
      <w:r w:rsidR="00A6794A" w:rsidRPr="00AA43FB">
        <w:instrText>-</w:instrText>
      </w:r>
      <w:r w:rsidR="00A6794A">
        <w:rPr>
          <w:lang w:val="en-US"/>
        </w:rPr>
        <w:instrText>established</w:instrText>
      </w:r>
      <w:r w:rsidR="00A6794A" w:rsidRPr="00AA43FB">
        <w:instrText xml:space="preserve"> </w:instrText>
      </w:r>
      <w:r w:rsidR="00A6794A">
        <w:rPr>
          <w:lang w:val="en-US"/>
        </w:rPr>
        <w:instrText>and</w:instrText>
      </w:r>
      <w:r w:rsidR="00A6794A" w:rsidRPr="00AA43FB">
        <w:instrText xml:space="preserve"> </w:instrText>
      </w:r>
      <w:r w:rsidR="00A6794A">
        <w:rPr>
          <w:lang w:val="en-US"/>
        </w:rPr>
        <w:instrText>manageable</w:instrText>
      </w:r>
      <w:r w:rsidR="00A6794A" w:rsidRPr="00AA43FB">
        <w:instrText xml:space="preserve"> </w:instrText>
      </w:r>
      <w:r w:rsidR="00A6794A">
        <w:rPr>
          <w:lang w:val="en-US"/>
        </w:rPr>
        <w:instrText>safety</w:instrText>
      </w:r>
      <w:r w:rsidR="00A6794A" w:rsidRPr="00AA43FB">
        <w:instrText xml:space="preserve"> </w:instrText>
      </w:r>
      <w:r w:rsidR="00A6794A">
        <w:rPr>
          <w:lang w:val="en-US"/>
        </w:rPr>
        <w:instrText>profile</w:instrText>
      </w:r>
      <w:r w:rsidR="00A6794A" w:rsidRPr="00AA43FB">
        <w:instrText xml:space="preserve"> </w:instrText>
      </w:r>
      <w:r w:rsidR="00A6794A">
        <w:rPr>
          <w:lang w:val="en-US"/>
        </w:rPr>
        <w:instrText>and</w:instrText>
      </w:r>
      <w:r w:rsidR="00A6794A" w:rsidRPr="00AA43FB">
        <w:instrText xml:space="preserve"> </w:instrText>
      </w:r>
      <w:r w:rsidR="00A6794A">
        <w:rPr>
          <w:lang w:val="en-US"/>
        </w:rPr>
        <w:instrText>a</w:instrText>
      </w:r>
      <w:r w:rsidR="00A6794A" w:rsidRPr="00AA43FB">
        <w:instrText xml:space="preserve"> </w:instrText>
      </w:r>
      <w:r w:rsidR="00A6794A">
        <w:rPr>
          <w:lang w:val="en-US"/>
        </w:rPr>
        <w:instrText>wide</w:instrText>
      </w:r>
      <w:r w:rsidR="00A6794A" w:rsidRPr="00AA43FB">
        <w:instrText xml:space="preserve"> </w:instrText>
      </w:r>
      <w:r w:rsidR="00A6794A">
        <w:rPr>
          <w:lang w:val="en-US"/>
        </w:rPr>
        <w:instrText>therapeutic</w:instrText>
      </w:r>
      <w:r w:rsidR="00A6794A" w:rsidRPr="00AA43FB">
        <w:instrText xml:space="preserve"> </w:instrText>
      </w:r>
      <w:r w:rsidR="00A6794A">
        <w:rPr>
          <w:lang w:val="en-US"/>
        </w:rPr>
        <w:instrText>window</w:instrText>
      </w:r>
      <w:r w:rsidR="00A6794A" w:rsidRPr="00AA43FB">
        <w:instrText xml:space="preserve">. </w:instrText>
      </w:r>
      <w:r w:rsidR="00A6794A">
        <w:rPr>
          <w:lang w:val="en-US"/>
        </w:rPr>
        <w:instrText>As</w:instrText>
      </w:r>
      <w:r w:rsidR="00A6794A" w:rsidRPr="00AA43FB">
        <w:instrText xml:space="preserve"> </w:instrText>
      </w:r>
      <w:r w:rsidR="00A6794A">
        <w:rPr>
          <w:lang w:val="en-US"/>
        </w:rPr>
        <w:instrText>a</w:instrText>
      </w:r>
      <w:r w:rsidR="00A6794A" w:rsidRPr="00AA43FB">
        <w:instrText xml:space="preserve"> </w:instrText>
      </w:r>
      <w:r w:rsidR="00A6794A">
        <w:rPr>
          <w:lang w:val="en-US"/>
        </w:rPr>
        <w:instrText>result</w:instrText>
      </w:r>
      <w:r w:rsidR="00A6794A" w:rsidRPr="00AA43FB">
        <w:instrText xml:space="preserve">, </w:instrText>
      </w:r>
      <w:r w:rsidR="00A6794A">
        <w:rPr>
          <w:lang w:val="en-US"/>
        </w:rPr>
        <w:instrText>rituximab</w:instrText>
      </w:r>
      <w:r w:rsidR="00A6794A" w:rsidRPr="00AA43FB">
        <w:instrText xml:space="preserve"> </w:instrText>
      </w:r>
      <w:r w:rsidR="00A6794A">
        <w:rPr>
          <w:lang w:val="en-US"/>
        </w:rPr>
        <w:instrText>is</w:instrText>
      </w:r>
      <w:r w:rsidR="00A6794A" w:rsidRPr="00AA43FB">
        <w:instrText xml:space="preserve"> </w:instrText>
      </w:r>
      <w:r w:rsidR="00A6794A">
        <w:rPr>
          <w:lang w:val="en-US"/>
        </w:rPr>
        <w:instrText>considered</w:instrText>
      </w:r>
      <w:r w:rsidR="00A6794A" w:rsidRPr="00AA43FB">
        <w:instrText xml:space="preserve"> </w:instrText>
      </w:r>
      <w:r w:rsidR="00A6794A">
        <w:rPr>
          <w:lang w:val="en-US"/>
        </w:rPr>
        <w:instrText>to</w:instrText>
      </w:r>
      <w:r w:rsidR="00A6794A" w:rsidRPr="00AA43FB">
        <w:instrText xml:space="preserve"> </w:instrText>
      </w:r>
      <w:r w:rsidR="00A6794A">
        <w:rPr>
          <w:lang w:val="en-US"/>
        </w:rPr>
        <w:instrText>have</w:instrText>
      </w:r>
      <w:r w:rsidR="00A6794A" w:rsidRPr="00AA43FB">
        <w:instrText xml:space="preserve"> </w:instrText>
      </w:r>
      <w:r w:rsidR="00A6794A">
        <w:rPr>
          <w:lang w:val="en-US"/>
        </w:rPr>
        <w:instrText>revolutionized</w:instrText>
      </w:r>
      <w:r w:rsidR="00A6794A" w:rsidRPr="00AA43FB">
        <w:instrText xml:space="preserve"> </w:instrText>
      </w:r>
      <w:r w:rsidR="00A6794A">
        <w:rPr>
          <w:lang w:val="en-US"/>
        </w:rPr>
        <w:instrText>treatment</w:instrText>
      </w:r>
      <w:r w:rsidR="00A6794A" w:rsidRPr="00AA43FB">
        <w:instrText xml:space="preserve"> </w:instrText>
      </w:r>
      <w:r w:rsidR="00A6794A">
        <w:rPr>
          <w:lang w:val="en-US"/>
        </w:rPr>
        <w:instrText>practices</w:instrText>
      </w:r>
      <w:r w:rsidR="00A6794A" w:rsidRPr="00AA43FB">
        <w:instrText xml:space="preserve"> </w:instrText>
      </w:r>
      <w:r w:rsidR="00A6794A">
        <w:rPr>
          <w:lang w:val="en-US"/>
        </w:rPr>
        <w:instrText>for</w:instrText>
      </w:r>
      <w:r w:rsidR="00A6794A" w:rsidRPr="00AA43FB">
        <w:instrText xml:space="preserve"> </w:instrText>
      </w:r>
      <w:r w:rsidR="00A6794A">
        <w:rPr>
          <w:lang w:val="en-US"/>
        </w:rPr>
        <w:instrText>patients</w:instrText>
      </w:r>
      <w:r w:rsidR="00A6794A" w:rsidRPr="00AA43FB">
        <w:instrText xml:space="preserve"> </w:instrText>
      </w:r>
      <w:r w:rsidR="00A6794A">
        <w:rPr>
          <w:lang w:val="en-US"/>
        </w:rPr>
        <w:instrText>with</w:instrText>
      </w:r>
      <w:r w:rsidR="00A6794A" w:rsidRPr="00AA43FB">
        <w:instrText xml:space="preserve"> </w:instrText>
      </w:r>
      <w:r w:rsidR="00A6794A">
        <w:rPr>
          <w:lang w:val="en-US"/>
        </w:rPr>
        <w:instrText>B</w:instrText>
      </w:r>
      <w:r w:rsidR="00A6794A" w:rsidRPr="00AA43FB">
        <w:instrText>-</w:instrText>
      </w:r>
      <w:r w:rsidR="00A6794A">
        <w:rPr>
          <w:lang w:val="en-US"/>
        </w:rPr>
        <w:instrText>cell</w:instrText>
      </w:r>
      <w:r w:rsidR="00A6794A" w:rsidRPr="00AA43FB">
        <w:instrText xml:space="preserve"> </w:instrText>
      </w:r>
      <w:r w:rsidR="00A6794A">
        <w:rPr>
          <w:lang w:val="en-US"/>
        </w:rPr>
        <w:instrText>malignancies</w:instrText>
      </w:r>
      <w:r w:rsidR="00A6794A" w:rsidRPr="00AA43FB">
        <w:instrText xml:space="preserve">. </w:instrText>
      </w:r>
      <w:r w:rsidR="00A6794A">
        <w:rPr>
          <w:lang w:val="en-US"/>
        </w:rPr>
        <w:instrText>A</w:instrText>
      </w:r>
      <w:r w:rsidR="00A6794A" w:rsidRPr="00AA43FB">
        <w:instrText xml:space="preserve"> </w:instrText>
      </w:r>
      <w:r w:rsidR="00A6794A">
        <w:rPr>
          <w:lang w:val="en-US"/>
        </w:rPr>
        <w:instrText>subcutaneous</w:instrText>
      </w:r>
      <w:r w:rsidR="00A6794A" w:rsidRPr="00AA43FB">
        <w:instrText xml:space="preserve"> (</w:instrText>
      </w:r>
      <w:r w:rsidR="00A6794A">
        <w:rPr>
          <w:lang w:val="en-US"/>
        </w:rPr>
        <w:instrText>SC</w:instrText>
      </w:r>
      <w:r w:rsidR="00A6794A" w:rsidRPr="00AA43FB">
        <w:instrText xml:space="preserve">) </w:instrText>
      </w:r>
      <w:r w:rsidR="00A6794A">
        <w:rPr>
          <w:lang w:val="en-US"/>
        </w:rPr>
        <w:instrText>formulation</w:instrText>
      </w:r>
      <w:r w:rsidR="00A6794A" w:rsidRPr="00AA43FB">
        <w:instrText xml:space="preserve"> </w:instrText>
      </w:r>
      <w:r w:rsidR="00A6794A">
        <w:rPr>
          <w:lang w:val="en-US"/>
        </w:rPr>
        <w:instrText>of</w:instrText>
      </w:r>
      <w:r w:rsidR="00A6794A" w:rsidRPr="00AA43FB">
        <w:instrText xml:space="preserve"> </w:instrText>
      </w:r>
      <w:r w:rsidR="00A6794A">
        <w:rPr>
          <w:lang w:val="en-US"/>
        </w:rPr>
        <w:instrText>rituximab</w:instrText>
      </w:r>
      <w:r w:rsidR="00A6794A" w:rsidRPr="00AA43FB">
        <w:instrText xml:space="preserve"> </w:instrText>
      </w:r>
      <w:r w:rsidR="00A6794A">
        <w:rPr>
          <w:lang w:val="en-US"/>
        </w:rPr>
        <w:instrText>has</w:instrText>
      </w:r>
      <w:r w:rsidR="00A6794A" w:rsidRPr="00AA43FB">
        <w:instrText xml:space="preserve"> </w:instrText>
      </w:r>
      <w:r w:rsidR="00A6794A">
        <w:rPr>
          <w:lang w:val="en-US"/>
        </w:rPr>
        <w:instrText>been</w:instrText>
      </w:r>
      <w:r w:rsidR="00A6794A" w:rsidRPr="00AA43FB">
        <w:instrText xml:space="preserve"> </w:instrText>
      </w:r>
      <w:r w:rsidR="00A6794A">
        <w:rPr>
          <w:lang w:val="en-US"/>
        </w:rPr>
        <w:instrText>developed</w:instrText>
      </w:r>
      <w:r w:rsidR="00A6794A" w:rsidRPr="00AA43FB">
        <w:instrText xml:space="preserve">, </w:instrText>
      </w:r>
      <w:r w:rsidR="00A6794A">
        <w:rPr>
          <w:lang w:val="en-US"/>
        </w:rPr>
        <w:instrText>comprising</w:instrText>
      </w:r>
      <w:r w:rsidR="00A6794A" w:rsidRPr="00AA43FB">
        <w:instrText xml:space="preserve"> </w:instrText>
      </w:r>
      <w:r w:rsidR="00A6794A">
        <w:rPr>
          <w:lang w:val="en-US"/>
        </w:rPr>
        <w:instrText>the</w:instrText>
      </w:r>
      <w:r w:rsidR="00A6794A" w:rsidRPr="00AA43FB">
        <w:instrText xml:space="preserve"> </w:instrText>
      </w:r>
      <w:r w:rsidR="00A6794A">
        <w:rPr>
          <w:lang w:val="en-US"/>
        </w:rPr>
        <w:instrText>same</w:instrText>
      </w:r>
      <w:r w:rsidR="00A6794A" w:rsidRPr="00AA43FB">
        <w:instrText xml:space="preserve"> </w:instrText>
      </w:r>
      <w:r w:rsidR="00A6794A">
        <w:rPr>
          <w:lang w:val="en-US"/>
        </w:rPr>
        <w:instrText>monoclonal</w:instrText>
      </w:r>
      <w:r w:rsidR="00A6794A" w:rsidRPr="00AA43FB">
        <w:instrText xml:space="preserve"> </w:instrText>
      </w:r>
      <w:r w:rsidR="00A6794A">
        <w:rPr>
          <w:lang w:val="en-US"/>
        </w:rPr>
        <w:instrText>antibody</w:instrText>
      </w:r>
      <w:r w:rsidR="00A6794A" w:rsidRPr="00AA43FB">
        <w:instrText xml:space="preserve"> </w:instrText>
      </w:r>
      <w:r w:rsidR="00A6794A">
        <w:rPr>
          <w:lang w:val="en-US"/>
        </w:rPr>
        <w:instrText>as</w:instrText>
      </w:r>
      <w:r w:rsidR="00A6794A" w:rsidRPr="00AA43FB">
        <w:instrText xml:space="preserve"> </w:instrText>
      </w:r>
      <w:r w:rsidR="00A6794A">
        <w:rPr>
          <w:lang w:val="en-US"/>
        </w:rPr>
        <w:instrText>the</w:instrText>
      </w:r>
      <w:r w:rsidR="00A6794A" w:rsidRPr="00AA43FB">
        <w:instrText xml:space="preserve"> </w:instrText>
      </w:r>
      <w:r w:rsidR="00A6794A">
        <w:rPr>
          <w:lang w:val="en-US"/>
        </w:rPr>
        <w:instrText>originally</w:instrText>
      </w:r>
      <w:r w:rsidR="00A6794A" w:rsidRPr="00AA43FB">
        <w:instrText xml:space="preserve"> </w:instrText>
      </w:r>
      <w:r w:rsidR="00A6794A">
        <w:rPr>
          <w:lang w:val="en-US"/>
        </w:rPr>
        <w:instrText>marketed</w:instrText>
      </w:r>
      <w:r w:rsidR="00A6794A" w:rsidRPr="00AA43FB">
        <w:instrText xml:space="preserve"> </w:instrText>
      </w:r>
      <w:r w:rsidR="00A6794A">
        <w:rPr>
          <w:lang w:val="en-US"/>
        </w:rPr>
        <w:instrText>formulation</w:instrText>
      </w:r>
      <w:r w:rsidR="00A6794A" w:rsidRPr="00AA43FB">
        <w:instrText xml:space="preserve"> [</w:instrText>
      </w:r>
      <w:r w:rsidR="00A6794A">
        <w:rPr>
          <w:lang w:val="en-US"/>
        </w:rPr>
        <w:instrText>rituximab</w:instrText>
      </w:r>
      <w:r w:rsidR="00A6794A" w:rsidRPr="00AA43FB">
        <w:instrText xml:space="preserve"> </w:instrText>
      </w:r>
      <w:r w:rsidR="00A6794A">
        <w:rPr>
          <w:lang w:val="en-US"/>
        </w:rPr>
        <w:instrText>concentrate</w:instrText>
      </w:r>
      <w:r w:rsidR="00A6794A" w:rsidRPr="00AA43FB">
        <w:instrText xml:space="preserve"> </w:instrText>
      </w:r>
      <w:r w:rsidR="00A6794A">
        <w:rPr>
          <w:lang w:val="en-US"/>
        </w:rPr>
        <w:instrText>for</w:instrText>
      </w:r>
      <w:r w:rsidR="00A6794A" w:rsidRPr="00AA43FB">
        <w:instrText xml:space="preserve"> </w:instrText>
      </w:r>
      <w:r w:rsidR="00A6794A">
        <w:rPr>
          <w:lang w:val="en-US"/>
        </w:rPr>
        <w:instrText>solution</w:instrText>
      </w:r>
      <w:r w:rsidR="00A6794A" w:rsidRPr="00AA43FB">
        <w:instrText xml:space="preserve"> </w:instrText>
      </w:r>
      <w:r w:rsidR="00A6794A">
        <w:rPr>
          <w:lang w:val="en-US"/>
        </w:rPr>
        <w:instrText>for</w:instrText>
      </w:r>
      <w:r w:rsidR="00A6794A" w:rsidRPr="00AA43FB">
        <w:instrText xml:space="preserve"> </w:instrText>
      </w:r>
      <w:r w:rsidR="00A6794A">
        <w:rPr>
          <w:lang w:val="en-US"/>
        </w:rPr>
        <w:instrText>intravenous</w:instrText>
      </w:r>
      <w:r w:rsidR="00A6794A" w:rsidRPr="00AA43FB">
        <w:instrText xml:space="preserve"> (</w:instrText>
      </w:r>
      <w:r w:rsidR="00A6794A">
        <w:rPr>
          <w:lang w:val="en-US"/>
        </w:rPr>
        <w:instrText>IV</w:instrText>
      </w:r>
      <w:r w:rsidR="00A6794A" w:rsidRPr="00AA43FB">
        <w:instrText xml:space="preserve">) </w:instrText>
      </w:r>
      <w:r w:rsidR="00A6794A">
        <w:rPr>
          <w:lang w:val="en-US"/>
        </w:rPr>
        <w:instrText>infusion</w:instrText>
      </w:r>
      <w:r w:rsidR="00A6794A" w:rsidRPr="00AA43FB">
        <w:instrText xml:space="preserve">], </w:instrText>
      </w:r>
      <w:r w:rsidR="00A6794A">
        <w:rPr>
          <w:lang w:val="en-US"/>
        </w:rPr>
        <w:instrText>and</w:instrText>
      </w:r>
      <w:r w:rsidR="00A6794A" w:rsidRPr="00AA43FB">
        <w:instrText xml:space="preserve"> </w:instrText>
      </w:r>
      <w:r w:rsidR="00A6794A">
        <w:rPr>
          <w:lang w:val="en-US"/>
        </w:rPr>
        <w:instrText>has</w:instrText>
      </w:r>
      <w:r w:rsidR="00A6794A" w:rsidRPr="00AA43FB">
        <w:instrText xml:space="preserve"> </w:instrText>
      </w:r>
      <w:r w:rsidR="00A6794A">
        <w:rPr>
          <w:lang w:val="en-US"/>
        </w:rPr>
        <w:instrText>undergone</w:instrText>
      </w:r>
      <w:r w:rsidR="00A6794A" w:rsidRPr="00AA43FB">
        <w:instrText xml:space="preserve"> </w:instrText>
      </w:r>
      <w:r w:rsidR="00A6794A">
        <w:rPr>
          <w:lang w:val="en-US"/>
        </w:rPr>
        <w:instrText>a</w:instrText>
      </w:r>
      <w:r w:rsidR="00A6794A" w:rsidRPr="00AA43FB">
        <w:instrText xml:space="preserve"> </w:instrText>
      </w:r>
      <w:r w:rsidR="00A6794A">
        <w:rPr>
          <w:lang w:val="en-US"/>
        </w:rPr>
        <w:instrText>detailed</w:instrText>
      </w:r>
      <w:r w:rsidR="00A6794A" w:rsidRPr="00AA43FB">
        <w:instrText xml:space="preserve">, </w:instrText>
      </w:r>
      <w:r w:rsidR="00A6794A">
        <w:rPr>
          <w:lang w:val="en-US"/>
        </w:rPr>
        <w:instrText>sequential</w:instrText>
      </w:r>
      <w:r w:rsidR="00A6794A" w:rsidRPr="00AA43FB">
        <w:instrText xml:space="preserve"> </w:instrText>
      </w:r>
      <w:r w:rsidR="00A6794A">
        <w:rPr>
          <w:lang w:val="en-US"/>
        </w:rPr>
        <w:instrText>clinical</w:instrText>
      </w:r>
      <w:r w:rsidR="00A6794A" w:rsidRPr="00AA43FB">
        <w:instrText xml:space="preserve"> </w:instrText>
      </w:r>
      <w:r w:rsidR="00A6794A">
        <w:rPr>
          <w:lang w:val="en-US"/>
        </w:rPr>
        <w:instrText>development</w:instrText>
      </w:r>
      <w:r w:rsidR="00A6794A" w:rsidRPr="00AA43FB">
        <w:instrText xml:space="preserve"> </w:instrText>
      </w:r>
      <w:r w:rsidR="00A6794A">
        <w:rPr>
          <w:lang w:val="en-US"/>
        </w:rPr>
        <w:instrText>program</w:instrText>
      </w:r>
      <w:r w:rsidR="00A6794A" w:rsidRPr="00AA43FB">
        <w:instrText xml:space="preserve">. </w:instrText>
      </w:r>
      <w:r w:rsidR="00A6794A">
        <w:rPr>
          <w:lang w:val="en-US"/>
        </w:rPr>
        <w:instrText>This</w:instrText>
      </w:r>
      <w:r w:rsidR="00A6794A" w:rsidRPr="00AA43FB">
        <w:instrText xml:space="preserve"> </w:instrText>
      </w:r>
      <w:r w:rsidR="00A6794A">
        <w:rPr>
          <w:lang w:val="en-US"/>
        </w:rPr>
        <w:instrText>program</w:instrText>
      </w:r>
      <w:r w:rsidR="00A6794A" w:rsidRPr="00AA43FB">
        <w:instrText xml:space="preserve"> </w:instrText>
      </w:r>
      <w:r w:rsidR="00A6794A">
        <w:rPr>
          <w:lang w:val="en-US"/>
        </w:rPr>
        <w:instrText>demonstrated</w:instrText>
      </w:r>
      <w:r w:rsidR="00A6794A" w:rsidRPr="00AA43FB">
        <w:instrText xml:space="preserve"> </w:instrText>
      </w:r>
      <w:r w:rsidR="00A6794A">
        <w:rPr>
          <w:lang w:val="en-US"/>
        </w:rPr>
        <w:instrText>that</w:instrText>
      </w:r>
      <w:r w:rsidR="00A6794A" w:rsidRPr="00AA43FB">
        <w:instrText xml:space="preserve">, </w:instrText>
      </w:r>
      <w:r w:rsidR="00A6794A">
        <w:rPr>
          <w:lang w:val="en-US"/>
        </w:rPr>
        <w:instrText>at</w:instrText>
      </w:r>
      <w:r w:rsidR="00A6794A" w:rsidRPr="00AA43FB">
        <w:instrText xml:space="preserve"> </w:instrText>
      </w:r>
      <w:r w:rsidR="00A6794A">
        <w:rPr>
          <w:lang w:val="en-US"/>
        </w:rPr>
        <w:instrText>fixed</w:instrText>
      </w:r>
      <w:r w:rsidR="00A6794A" w:rsidRPr="00AA43FB">
        <w:instrText xml:space="preserve"> </w:instrText>
      </w:r>
      <w:r w:rsidR="00A6794A">
        <w:rPr>
          <w:lang w:val="en-US"/>
        </w:rPr>
        <w:instrText>doses</w:instrText>
      </w:r>
      <w:r w:rsidR="00A6794A" w:rsidRPr="00AA43FB">
        <w:instrText xml:space="preserve">, </w:instrText>
      </w:r>
      <w:r w:rsidR="00A6794A">
        <w:rPr>
          <w:lang w:val="en-US"/>
        </w:rPr>
        <w:instrText>rituximab</w:instrText>
      </w:r>
      <w:r w:rsidR="00A6794A" w:rsidRPr="00AA43FB">
        <w:instrText xml:space="preserve"> </w:instrText>
      </w:r>
      <w:r w:rsidR="00A6794A">
        <w:rPr>
          <w:lang w:val="en-US"/>
        </w:rPr>
        <w:instrText>SC</w:instrText>
      </w:r>
      <w:r w:rsidR="00A6794A" w:rsidRPr="00AA43FB">
        <w:instrText xml:space="preserve"> </w:instrText>
      </w:r>
      <w:r w:rsidR="00A6794A">
        <w:rPr>
          <w:lang w:val="en-US"/>
        </w:rPr>
        <w:instrText>achieves</w:instrText>
      </w:r>
      <w:r w:rsidR="00A6794A" w:rsidRPr="00AA43FB">
        <w:instrText xml:space="preserve"> </w:instrText>
      </w:r>
      <w:r w:rsidR="00A6794A">
        <w:rPr>
          <w:lang w:val="en-US"/>
        </w:rPr>
        <w:instrText>non</w:instrText>
      </w:r>
      <w:r w:rsidR="00A6794A" w:rsidRPr="00AA43FB">
        <w:instrText>-</w:instrText>
      </w:r>
      <w:r w:rsidR="00A6794A">
        <w:rPr>
          <w:lang w:val="en-US"/>
        </w:rPr>
        <w:instrText>inferior</w:instrText>
      </w:r>
      <w:r w:rsidR="00A6794A" w:rsidRPr="00AA43FB">
        <w:instrText xml:space="preserve"> </w:instrText>
      </w:r>
      <w:r w:rsidR="00A6794A">
        <w:rPr>
          <w:lang w:val="en-US"/>
        </w:rPr>
        <w:instrText>serum</w:instrText>
      </w:r>
      <w:r w:rsidR="00A6794A" w:rsidRPr="00AA43FB">
        <w:instrText xml:space="preserve"> </w:instrText>
      </w:r>
      <w:r w:rsidR="00A6794A">
        <w:rPr>
          <w:lang w:val="en-US"/>
        </w:rPr>
        <w:instrText>trough</w:instrText>
      </w:r>
      <w:r w:rsidR="00A6794A" w:rsidRPr="00AA43FB">
        <w:instrText xml:space="preserve"> </w:instrText>
      </w:r>
      <w:r w:rsidR="00A6794A">
        <w:rPr>
          <w:lang w:val="en-US"/>
        </w:rPr>
        <w:instrText>concentrations</w:instrText>
      </w:r>
      <w:r w:rsidR="00A6794A" w:rsidRPr="00AA43FB">
        <w:instrText xml:space="preserve"> </w:instrText>
      </w:r>
      <w:r w:rsidR="00A6794A">
        <w:rPr>
          <w:lang w:val="en-US"/>
        </w:rPr>
        <w:instrText>in</w:instrText>
      </w:r>
      <w:r w:rsidR="00A6794A" w:rsidRPr="00AA43FB">
        <w:instrText xml:space="preserve"> </w:instrText>
      </w:r>
      <w:r w:rsidR="00A6794A">
        <w:rPr>
          <w:lang w:val="en-US"/>
        </w:rPr>
        <w:instrText>patients</w:instrText>
      </w:r>
      <w:r w:rsidR="00A6794A" w:rsidRPr="00AA43FB">
        <w:instrText xml:space="preserve"> </w:instrText>
      </w:r>
      <w:r w:rsidR="00A6794A">
        <w:rPr>
          <w:lang w:val="en-US"/>
        </w:rPr>
        <w:instrText>with</w:instrText>
      </w:r>
      <w:r w:rsidR="00A6794A" w:rsidRPr="00AA43FB">
        <w:instrText xml:space="preserve"> </w:instrText>
      </w:r>
      <w:r w:rsidR="00A6794A">
        <w:rPr>
          <w:lang w:val="en-US"/>
        </w:rPr>
        <w:instrText>non</w:instrText>
      </w:r>
      <w:r w:rsidR="00A6794A" w:rsidRPr="00AA43FB">
        <w:instrText>-</w:instrText>
      </w:r>
      <w:r w:rsidR="00A6794A">
        <w:rPr>
          <w:lang w:val="en-US"/>
        </w:rPr>
        <w:instrText>Hodgkin</w:instrText>
      </w:r>
      <w:r w:rsidR="00A6794A" w:rsidRPr="00AA43FB">
        <w:instrText xml:space="preserve"> </w:instrText>
      </w:r>
      <w:r w:rsidR="00A6794A">
        <w:rPr>
          <w:lang w:val="en-US"/>
        </w:rPr>
        <w:instrText>lymphoma</w:instrText>
      </w:r>
      <w:r w:rsidR="00A6794A" w:rsidRPr="00AA43FB">
        <w:instrText xml:space="preserve"> </w:instrText>
      </w:r>
      <w:r w:rsidR="00A6794A">
        <w:rPr>
          <w:lang w:val="en-US"/>
        </w:rPr>
        <w:instrText>and</w:instrText>
      </w:r>
      <w:r w:rsidR="00A6794A" w:rsidRPr="00AA43FB">
        <w:instrText xml:space="preserve"> </w:instrText>
      </w:r>
      <w:r w:rsidR="00A6794A">
        <w:rPr>
          <w:lang w:val="en-US"/>
        </w:rPr>
        <w:instrText>chronic</w:instrText>
      </w:r>
      <w:r w:rsidR="00A6794A" w:rsidRPr="00AA43FB">
        <w:instrText xml:space="preserve"> </w:instrText>
      </w:r>
      <w:r w:rsidR="00A6794A">
        <w:rPr>
          <w:lang w:val="en-US"/>
        </w:rPr>
        <w:instrText>lymphocytic</w:instrText>
      </w:r>
      <w:r w:rsidR="00A6794A" w:rsidRPr="00AA43FB">
        <w:instrText xml:space="preserve"> </w:instrText>
      </w:r>
      <w:r w:rsidR="00A6794A">
        <w:rPr>
          <w:lang w:val="en-US"/>
        </w:rPr>
        <w:instrText>leukemia</w:instrText>
      </w:r>
      <w:r w:rsidR="00A6794A" w:rsidRPr="00AA43FB">
        <w:instrText xml:space="preserve">, </w:instrText>
      </w:r>
      <w:r w:rsidR="00A6794A">
        <w:rPr>
          <w:lang w:val="en-US"/>
        </w:rPr>
        <w:instrText>with</w:instrText>
      </w:r>
      <w:r w:rsidR="00A6794A" w:rsidRPr="00AA43FB">
        <w:instrText xml:space="preserve"> </w:instrText>
      </w:r>
      <w:r w:rsidR="00A6794A">
        <w:rPr>
          <w:lang w:val="en-US"/>
        </w:rPr>
        <w:instrText>comparable</w:instrText>
      </w:r>
      <w:r w:rsidR="00A6794A" w:rsidRPr="00AA43FB">
        <w:instrText xml:space="preserve"> </w:instrText>
      </w:r>
      <w:r w:rsidR="00A6794A">
        <w:rPr>
          <w:lang w:val="en-US"/>
        </w:rPr>
        <w:instrText>efficacy</w:instrText>
      </w:r>
      <w:r w:rsidR="00A6794A" w:rsidRPr="00AA43FB">
        <w:instrText xml:space="preserve"> </w:instrText>
      </w:r>
      <w:r w:rsidR="00A6794A">
        <w:rPr>
          <w:lang w:val="en-US"/>
        </w:rPr>
        <w:instrText>and</w:instrText>
      </w:r>
      <w:r w:rsidR="00A6794A" w:rsidRPr="00AA43FB">
        <w:instrText xml:space="preserve"> </w:instrText>
      </w:r>
      <w:r w:rsidR="00A6794A">
        <w:rPr>
          <w:lang w:val="en-US"/>
        </w:rPr>
        <w:instrText>safety</w:instrText>
      </w:r>
      <w:r w:rsidR="00A6794A" w:rsidRPr="00AA43FB">
        <w:instrText xml:space="preserve"> </w:instrText>
      </w:r>
      <w:r w:rsidR="00A6794A">
        <w:rPr>
          <w:lang w:val="en-US"/>
        </w:rPr>
        <w:instrText>relative</w:instrText>
      </w:r>
      <w:r w:rsidR="00A6794A" w:rsidRPr="00AA43FB">
        <w:instrText xml:space="preserve"> </w:instrText>
      </w:r>
      <w:r w:rsidR="00A6794A">
        <w:rPr>
          <w:lang w:val="en-US"/>
        </w:rPr>
        <w:instrText>to</w:instrText>
      </w:r>
      <w:r w:rsidR="00A6794A" w:rsidRPr="00AA43FB">
        <w:instrText xml:space="preserve"> </w:instrText>
      </w:r>
      <w:r w:rsidR="00A6794A">
        <w:rPr>
          <w:lang w:val="en-US"/>
        </w:rPr>
        <w:instrText>the</w:instrText>
      </w:r>
      <w:r w:rsidR="00A6794A" w:rsidRPr="00AA43FB">
        <w:instrText xml:space="preserve"> </w:instrText>
      </w:r>
      <w:r w:rsidR="00A6794A">
        <w:rPr>
          <w:lang w:val="en-US"/>
        </w:rPr>
        <w:instrText>IV</w:instrText>
      </w:r>
      <w:r w:rsidR="00A6794A" w:rsidRPr="00AA43FB">
        <w:instrText xml:space="preserve"> </w:instrText>
      </w:r>
      <w:r w:rsidR="00A6794A">
        <w:rPr>
          <w:lang w:val="en-US"/>
        </w:rPr>
        <w:instrText>formulation</w:instrText>
      </w:r>
      <w:r w:rsidR="00A6794A" w:rsidRPr="00AA43FB">
        <w:instrText xml:space="preserve">. </w:instrText>
      </w:r>
      <w:r w:rsidR="00A6794A">
        <w:rPr>
          <w:lang w:val="en-US"/>
        </w:rPr>
        <w:instrText>The</w:instrText>
      </w:r>
      <w:r w:rsidR="00A6794A" w:rsidRPr="00AA43FB">
        <w:instrText xml:space="preserve"> </w:instrText>
      </w:r>
      <w:r w:rsidR="00A6794A">
        <w:rPr>
          <w:lang w:val="en-US"/>
        </w:rPr>
        <w:instrText>added</w:instrText>
      </w:r>
      <w:r w:rsidR="00A6794A" w:rsidRPr="00AA43FB">
        <w:instrText xml:space="preserve"> </w:instrText>
      </w:r>
      <w:r w:rsidR="00A6794A">
        <w:rPr>
          <w:lang w:val="en-US"/>
        </w:rPr>
        <w:instrText>benefit</w:instrText>
      </w:r>
      <w:r w:rsidR="00A6794A" w:rsidRPr="00AA43FB">
        <w:instrText xml:space="preserve"> </w:instrText>
      </w:r>
      <w:r w:rsidR="00A6794A">
        <w:rPr>
          <w:lang w:val="en-US"/>
        </w:rPr>
        <w:instrText>of</w:instrText>
      </w:r>
      <w:r w:rsidR="00A6794A" w:rsidRPr="00AA43FB">
        <w:instrText xml:space="preserve"> </w:instrText>
      </w:r>
      <w:r w:rsidR="00A6794A">
        <w:rPr>
          <w:lang w:val="en-US"/>
        </w:rPr>
        <w:instrText>rituximab</w:instrText>
      </w:r>
      <w:r w:rsidR="00A6794A" w:rsidRPr="00AA43FB">
        <w:instrText xml:space="preserve"> </w:instrText>
      </w:r>
      <w:r w:rsidR="00A6794A">
        <w:rPr>
          <w:lang w:val="en-US"/>
        </w:rPr>
        <w:instrText>SC</w:instrText>
      </w:r>
      <w:r w:rsidR="00A6794A" w:rsidRPr="00AA43FB">
        <w:instrText xml:space="preserve"> </w:instrText>
      </w:r>
      <w:r w:rsidR="00A6794A">
        <w:rPr>
          <w:lang w:val="en-US"/>
        </w:rPr>
        <w:instrText>was</w:instrText>
      </w:r>
      <w:r w:rsidR="00A6794A" w:rsidRPr="00AA43FB">
        <w:instrText xml:space="preserve"> </w:instrText>
      </w:r>
      <w:r w:rsidR="00A6794A">
        <w:rPr>
          <w:lang w:val="en-US"/>
        </w:rPr>
        <w:instrText>demonstrated</w:instrText>
      </w:r>
      <w:r w:rsidR="00A6794A" w:rsidRPr="00AA43FB">
        <w:instrText xml:space="preserve"> </w:instrText>
      </w:r>
      <w:r w:rsidR="00A6794A">
        <w:rPr>
          <w:lang w:val="en-US"/>
        </w:rPr>
        <w:instrText>in</w:instrText>
      </w:r>
      <w:r w:rsidR="00A6794A" w:rsidRPr="00AA43FB">
        <w:instrText xml:space="preserve"> </w:instrText>
      </w:r>
      <w:r w:rsidR="00A6794A">
        <w:rPr>
          <w:lang w:val="en-US"/>
        </w:rPr>
        <w:instrText>dedicated</w:instrText>
      </w:r>
      <w:r w:rsidR="00A6794A" w:rsidRPr="00AA43FB">
        <w:instrText xml:space="preserve"> </w:instrText>
      </w:r>
      <w:r w:rsidR="00A6794A">
        <w:rPr>
          <w:lang w:val="en-US"/>
        </w:rPr>
        <w:instrText>studies</w:instrText>
      </w:r>
      <w:r w:rsidR="00A6794A" w:rsidRPr="00AA43FB">
        <w:instrText xml:space="preserve"> </w:instrText>
      </w:r>
      <w:r w:rsidR="00A6794A">
        <w:rPr>
          <w:lang w:val="en-US"/>
        </w:rPr>
        <w:instrText>showing</w:instrText>
      </w:r>
      <w:r w:rsidR="00A6794A" w:rsidRPr="00AA43FB">
        <w:instrText xml:space="preserve"> </w:instrText>
      </w:r>
      <w:r w:rsidR="00A6794A">
        <w:rPr>
          <w:lang w:val="en-US"/>
        </w:rPr>
        <w:instrText>that</w:instrText>
      </w:r>
      <w:r w:rsidR="00A6794A" w:rsidRPr="00AA43FB">
        <w:instrText xml:space="preserve"> </w:instrText>
      </w:r>
      <w:r w:rsidR="00A6794A">
        <w:rPr>
          <w:lang w:val="en-US"/>
        </w:rPr>
        <w:instrText>rituximab</w:instrText>
      </w:r>
      <w:r w:rsidR="00A6794A" w:rsidRPr="00AA43FB">
        <w:instrText xml:space="preserve"> </w:instrText>
      </w:r>
      <w:r w:rsidR="00A6794A">
        <w:rPr>
          <w:lang w:val="en-US"/>
        </w:rPr>
        <w:instrText>SC</w:instrText>
      </w:r>
      <w:r w:rsidR="00A6794A" w:rsidRPr="00AA43FB">
        <w:instrText xml:space="preserve"> </w:instrText>
      </w:r>
      <w:r w:rsidR="00A6794A">
        <w:rPr>
          <w:lang w:val="en-US"/>
        </w:rPr>
        <w:instrText>allows</w:instrText>
      </w:r>
      <w:r w:rsidR="00A6794A" w:rsidRPr="00AA43FB">
        <w:instrText xml:space="preserve"> </w:instrText>
      </w:r>
      <w:r w:rsidR="00A6794A">
        <w:rPr>
          <w:lang w:val="en-US"/>
        </w:rPr>
        <w:instrText>for</w:instrText>
      </w:r>
      <w:r w:rsidR="00A6794A" w:rsidRPr="00AA43FB">
        <w:instrText xml:space="preserve"> </w:instrText>
      </w:r>
      <w:r w:rsidR="00A6794A">
        <w:rPr>
          <w:lang w:val="en-US"/>
        </w:rPr>
        <w:instrText>simplified</w:instrText>
      </w:r>
      <w:r w:rsidR="00A6794A" w:rsidRPr="00AA43FB">
        <w:instrText xml:space="preserve"> </w:instrText>
      </w:r>
      <w:r w:rsidR="00A6794A">
        <w:rPr>
          <w:lang w:val="en-US"/>
        </w:rPr>
        <w:instrText>and</w:instrText>
      </w:r>
      <w:r w:rsidR="00A6794A" w:rsidRPr="00AA43FB">
        <w:instrText xml:space="preserve"> </w:instrText>
      </w:r>
      <w:r w:rsidR="00A6794A">
        <w:rPr>
          <w:lang w:val="en-US"/>
        </w:rPr>
        <w:instrText>shortened</w:instrText>
      </w:r>
      <w:r w:rsidR="00A6794A" w:rsidRPr="00AA43FB">
        <w:instrText xml:space="preserve"> </w:instrText>
      </w:r>
      <w:r w:rsidR="00A6794A">
        <w:rPr>
          <w:lang w:val="en-US"/>
        </w:rPr>
        <w:instrText>drug</w:instrText>
      </w:r>
      <w:r w:rsidR="00A6794A" w:rsidRPr="00AA43FB">
        <w:instrText xml:space="preserve"> </w:instrText>
      </w:r>
      <w:r w:rsidR="00A6794A">
        <w:rPr>
          <w:lang w:val="en-US"/>
        </w:rPr>
        <w:instrText>preparation</w:instrText>
      </w:r>
      <w:r w:rsidR="00A6794A" w:rsidRPr="00AA43FB">
        <w:instrText xml:space="preserve"> </w:instrText>
      </w:r>
      <w:r w:rsidR="00A6794A">
        <w:rPr>
          <w:lang w:val="en-US"/>
        </w:rPr>
        <w:instrText>and</w:instrText>
      </w:r>
      <w:r w:rsidR="00A6794A" w:rsidRPr="00AA43FB">
        <w:instrText xml:space="preserve"> </w:instrText>
      </w:r>
      <w:r w:rsidR="00A6794A">
        <w:rPr>
          <w:lang w:val="en-US"/>
        </w:rPr>
        <w:instrText>administration</w:instrText>
      </w:r>
      <w:r w:rsidR="00A6794A" w:rsidRPr="00AA43FB">
        <w:instrText xml:space="preserve"> </w:instrText>
      </w:r>
      <w:r w:rsidR="00A6794A">
        <w:rPr>
          <w:lang w:val="en-US"/>
        </w:rPr>
        <w:instrText>times</w:instrText>
      </w:r>
      <w:r w:rsidR="00A6794A" w:rsidRPr="00AA43FB">
        <w:instrText xml:space="preserve"> </w:instrText>
      </w:r>
      <w:r w:rsidR="00A6794A">
        <w:rPr>
          <w:lang w:val="en-US"/>
        </w:rPr>
        <w:instrText>resulting</w:instrText>
      </w:r>
      <w:r w:rsidR="00A6794A" w:rsidRPr="00AA43FB">
        <w:instrText xml:space="preserve"> </w:instrText>
      </w:r>
      <w:r w:rsidR="00A6794A">
        <w:rPr>
          <w:lang w:val="en-US"/>
        </w:rPr>
        <w:instrText>in</w:instrText>
      </w:r>
      <w:r w:rsidR="00A6794A" w:rsidRPr="00AA43FB">
        <w:instrText xml:space="preserve"> </w:instrText>
      </w:r>
      <w:r w:rsidR="00A6794A">
        <w:rPr>
          <w:lang w:val="en-US"/>
        </w:rPr>
        <w:instrText>a</w:instrText>
      </w:r>
      <w:r w:rsidR="00A6794A" w:rsidRPr="00AA43FB">
        <w:instrText xml:space="preserve"> </w:instrText>
      </w:r>
      <w:r w:rsidR="00A6794A">
        <w:rPr>
          <w:lang w:val="en-US"/>
        </w:rPr>
        <w:instrText>reduced</w:instrText>
      </w:r>
      <w:r w:rsidR="00A6794A" w:rsidRPr="00AA43FB">
        <w:instrText xml:space="preserve"> </w:instrText>
      </w:r>
      <w:r w:rsidR="00A6794A">
        <w:rPr>
          <w:lang w:val="en-US"/>
        </w:rPr>
        <w:instrText>treatment</w:instrText>
      </w:r>
      <w:r w:rsidR="00A6794A" w:rsidRPr="00AA43FB">
        <w:instrText xml:space="preserve"> </w:instrText>
      </w:r>
      <w:r w:rsidR="00A6794A">
        <w:rPr>
          <w:lang w:val="en-US"/>
        </w:rPr>
        <w:instrText>burden</w:instrText>
      </w:r>
      <w:r w:rsidR="00A6794A" w:rsidRPr="00AA43FB">
        <w:instrText xml:space="preserve"> </w:instrText>
      </w:r>
      <w:r w:rsidR="00A6794A">
        <w:rPr>
          <w:lang w:val="en-US"/>
        </w:rPr>
        <w:instrText>for</w:instrText>
      </w:r>
      <w:r w:rsidR="00A6794A" w:rsidRPr="00AA43FB">
        <w:instrText xml:space="preserve"> </w:instrText>
      </w:r>
      <w:r w:rsidR="00A6794A">
        <w:rPr>
          <w:lang w:val="en-US"/>
        </w:rPr>
        <w:instrText>patients</w:instrText>
      </w:r>
      <w:r w:rsidR="00A6794A" w:rsidRPr="00AA43FB">
        <w:instrText xml:space="preserve"> </w:instrText>
      </w:r>
      <w:r w:rsidR="00A6794A">
        <w:rPr>
          <w:lang w:val="en-US"/>
        </w:rPr>
        <w:instrText>as</w:instrText>
      </w:r>
      <w:r w:rsidR="00A6794A" w:rsidRPr="00AA43FB">
        <w:instrText xml:space="preserve"> </w:instrText>
      </w:r>
      <w:r w:rsidR="00A6794A">
        <w:rPr>
          <w:lang w:val="en-US"/>
        </w:rPr>
        <w:instrText>well</w:instrText>
      </w:r>
      <w:r w:rsidR="00A6794A" w:rsidRPr="00AA43FB">
        <w:instrText xml:space="preserve"> </w:instrText>
      </w:r>
      <w:r w:rsidR="00A6794A">
        <w:rPr>
          <w:lang w:val="en-US"/>
        </w:rPr>
        <w:instrText>as</w:instrText>
      </w:r>
      <w:r w:rsidR="00A6794A" w:rsidRPr="00AA43FB">
        <w:instrText xml:space="preserve"> </w:instrText>
      </w:r>
      <w:r w:rsidR="00A6794A">
        <w:rPr>
          <w:lang w:val="en-US"/>
        </w:rPr>
        <w:instrText>improved</w:instrText>
      </w:r>
      <w:r w:rsidR="00A6794A" w:rsidRPr="00AA43FB">
        <w:instrText xml:space="preserve"> </w:instrText>
      </w:r>
      <w:r w:rsidR="00A6794A">
        <w:rPr>
          <w:lang w:val="en-US"/>
        </w:rPr>
        <w:instrText>resource</w:instrText>
      </w:r>
      <w:r w:rsidR="00A6794A" w:rsidRPr="00AA43FB">
        <w:instrText xml:space="preserve"> </w:instrText>
      </w:r>
      <w:r w:rsidR="00A6794A">
        <w:rPr>
          <w:lang w:val="en-US"/>
        </w:rPr>
        <w:instrText>utilization</w:instrText>
      </w:r>
      <w:r w:rsidR="00A6794A" w:rsidRPr="00AA43FB">
        <w:instrText xml:space="preserve"> (</w:instrText>
      </w:r>
      <w:r w:rsidR="00A6794A">
        <w:rPr>
          <w:lang w:val="en-US"/>
        </w:rPr>
        <w:instrText>efficiency</w:instrText>
      </w:r>
      <w:r w:rsidR="00A6794A" w:rsidRPr="00AA43FB">
        <w:instrText xml:space="preserve">) </w:instrText>
      </w:r>
      <w:r w:rsidR="00A6794A">
        <w:rPr>
          <w:lang w:val="en-US"/>
        </w:rPr>
        <w:instrText>at</w:instrText>
      </w:r>
      <w:r w:rsidR="00A6794A" w:rsidRPr="00AA43FB">
        <w:instrText xml:space="preserve"> </w:instrText>
      </w:r>
      <w:r w:rsidR="00A6794A">
        <w:rPr>
          <w:lang w:val="en-US"/>
        </w:rPr>
        <w:instrText>the</w:instrText>
      </w:r>
      <w:r w:rsidR="00A6794A" w:rsidRPr="00AA43FB">
        <w:instrText xml:space="preserve"> </w:instrText>
      </w:r>
      <w:r w:rsidR="00A6794A">
        <w:rPr>
          <w:lang w:val="en-US"/>
        </w:rPr>
        <w:instrText>treatment</w:instrText>
      </w:r>
      <w:r w:rsidR="00A6794A" w:rsidRPr="00AA43FB">
        <w:instrText xml:space="preserve"> </w:instrText>
      </w:r>
      <w:r w:rsidR="00A6794A">
        <w:rPr>
          <w:lang w:val="en-US"/>
        </w:rPr>
        <w:instrText>facility</w:instrText>
      </w:r>
      <w:r w:rsidR="00A6794A" w:rsidRPr="00AA43FB">
        <w:instrText xml:space="preserve">. </w:instrText>
      </w:r>
      <w:r w:rsidR="00A6794A">
        <w:rPr>
          <w:lang w:val="en-US"/>
        </w:rPr>
        <w:instrText>The</w:instrText>
      </w:r>
      <w:r w:rsidR="00A6794A" w:rsidRPr="00AA43FB">
        <w:instrText xml:space="preserve"> </w:instrText>
      </w:r>
      <w:r w:rsidR="00A6794A">
        <w:rPr>
          <w:lang w:val="en-US"/>
        </w:rPr>
        <w:instrText>improved</w:instrText>
      </w:r>
      <w:r w:rsidR="00A6794A" w:rsidRPr="00AA43FB">
        <w:instrText xml:space="preserve"> </w:instrText>
      </w:r>
      <w:r w:rsidR="00A6794A">
        <w:rPr>
          <w:lang w:val="en-US"/>
        </w:rPr>
        <w:instrText>efficiency</w:instrText>
      </w:r>
      <w:r w:rsidR="00A6794A" w:rsidRPr="00AA43FB">
        <w:instrText xml:space="preserve"> </w:instrText>
      </w:r>
      <w:r w:rsidR="00A6794A">
        <w:rPr>
          <w:lang w:val="en-US"/>
        </w:rPr>
        <w:instrText>of</w:instrText>
      </w:r>
      <w:r w:rsidR="00A6794A" w:rsidRPr="00AA43FB">
        <w:instrText xml:space="preserve"> </w:instrText>
      </w:r>
      <w:r w:rsidR="00A6794A">
        <w:rPr>
          <w:lang w:val="en-US"/>
        </w:rPr>
        <w:instrText>delivering</w:instrText>
      </w:r>
      <w:r w:rsidR="00A6794A" w:rsidRPr="00AA43FB">
        <w:instrText xml:space="preserve"> </w:instrText>
      </w:r>
      <w:r w:rsidR="00A6794A">
        <w:rPr>
          <w:lang w:val="en-US"/>
        </w:rPr>
        <w:instrText>rituximab</w:instrText>
      </w:r>
      <w:r w:rsidR="00A6794A" w:rsidRPr="00AA43FB">
        <w:instrText>’</w:instrText>
      </w:r>
      <w:r w:rsidR="00A6794A">
        <w:rPr>
          <w:lang w:val="en-US"/>
        </w:rPr>
        <w:instrText>s</w:instrText>
      </w:r>
      <w:r w:rsidR="00A6794A" w:rsidRPr="00AA43FB">
        <w:instrText xml:space="preserve"> </w:instrText>
      </w:r>
      <w:r w:rsidR="00A6794A">
        <w:rPr>
          <w:lang w:val="en-US"/>
        </w:rPr>
        <w:instrText>benefit</w:instrText>
      </w:r>
      <w:r w:rsidR="00A6794A" w:rsidRPr="00AA43FB">
        <w:instrText xml:space="preserve"> </w:instrText>
      </w:r>
      <w:r w:rsidR="00A6794A">
        <w:rPr>
          <w:lang w:val="en-US"/>
        </w:rPr>
        <w:instrText>to</w:instrText>
      </w:r>
      <w:r w:rsidR="00A6794A" w:rsidRPr="00AA43FB">
        <w:instrText xml:space="preserve"> </w:instrText>
      </w:r>
      <w:r w:rsidR="00A6794A">
        <w:rPr>
          <w:lang w:val="en-US"/>
        </w:rPr>
        <w:instrText>patients</w:instrText>
      </w:r>
      <w:r w:rsidR="00A6794A" w:rsidRPr="00AA43FB">
        <w:instrText xml:space="preserve"> </w:instrText>
      </w:r>
      <w:r w:rsidR="00A6794A">
        <w:rPr>
          <w:lang w:val="en-US"/>
        </w:rPr>
        <w:instrText>may</w:instrText>
      </w:r>
      <w:r w:rsidR="00A6794A" w:rsidRPr="00AA43FB">
        <w:instrText xml:space="preserve"> </w:instrText>
      </w:r>
      <w:r w:rsidR="00A6794A">
        <w:rPr>
          <w:lang w:val="en-US"/>
        </w:rPr>
        <w:instrText>broaden</w:instrText>
      </w:r>
      <w:r w:rsidR="00A6794A" w:rsidRPr="00AA43FB">
        <w:instrText xml:space="preserve"> </w:instrText>
      </w:r>
      <w:r w:rsidR="00A6794A">
        <w:rPr>
          <w:lang w:val="en-US"/>
        </w:rPr>
        <w:instrText>patient</w:instrText>
      </w:r>
      <w:r w:rsidR="00A6794A" w:rsidRPr="00AA43FB">
        <w:instrText xml:space="preserve"> </w:instrText>
      </w:r>
      <w:r w:rsidR="00A6794A">
        <w:rPr>
          <w:lang w:val="en-US"/>
        </w:rPr>
        <w:instrText>access</w:instrText>
      </w:r>
      <w:r w:rsidR="00A6794A" w:rsidRPr="00AA43FB">
        <w:instrText xml:space="preserve"> </w:instrText>
      </w:r>
      <w:r w:rsidR="00A6794A">
        <w:rPr>
          <w:lang w:val="en-US"/>
        </w:rPr>
        <w:instrText>to</w:instrText>
      </w:r>
      <w:r w:rsidR="00A6794A" w:rsidRPr="00AA43FB">
        <w:instrText xml:space="preserve"> </w:instrText>
      </w:r>
      <w:r w:rsidR="00A6794A">
        <w:rPr>
          <w:lang w:val="en-US"/>
        </w:rPr>
        <w:instrText>rituximab</w:instrText>
      </w:r>
      <w:r w:rsidR="00A6794A" w:rsidRPr="00AA43FB">
        <w:instrText xml:space="preserve"> </w:instrText>
      </w:r>
      <w:r w:rsidR="00A6794A">
        <w:rPr>
          <w:lang w:val="en-US"/>
        </w:rPr>
        <w:instrText>therapy</w:instrText>
      </w:r>
      <w:r w:rsidR="00A6794A" w:rsidRPr="00AA43FB">
        <w:instrText xml:space="preserve"> </w:instrText>
      </w:r>
      <w:r w:rsidR="00A6794A">
        <w:rPr>
          <w:lang w:val="en-US"/>
        </w:rPr>
        <w:instrText>in</w:instrText>
      </w:r>
      <w:r w:rsidR="00A6794A" w:rsidRPr="00AA43FB">
        <w:instrText xml:space="preserve"> </w:instrText>
      </w:r>
      <w:r w:rsidR="00A6794A">
        <w:rPr>
          <w:lang w:val="en-US"/>
        </w:rPr>
        <w:instrText>areas with low levels of healthcare resources, including IV-chair capacity constraints. This article is a companion paper to G. Salles, et al., which is also published in this issue. Funding: F. Hoffmann-La Roche Ltd.","author":[{"dropping-particle":"","family":"Davies","given":"Andrew","non-dropping-particle":"","parse-names":false,"suffix":""},{"dropping-particle":"","family":"Berge","given":"Claude","non-dropping-particle":"","parse-names":false,"suffix":""},{"dropping-particle":"","family":"Boehnke","given":"Axel","non-dropping-particle":"","parse-names":false,"suffix":""},{"dropping-particle":"","family":"Dadabhoy","given":"Anjum","non-dropping-particle":"","parse-names":false,"suffix":""},{"dropping-particle":"","family":"Lugtenburg","given":"Pieternella","non-dropping-particle":"","parse-names":false,"suffix":""},{"dropping-particle":"","family":"Rule","given":"Simon","non-dropping-particle":"","parse-names":false,"suffix":""},{"dropping-particle":"","family":"Rummel","given":"Mathias","non-dropping-particle":"","parse-names":false,"suffix":""},{"dropping-particle":"","family":"McIntyre","given":"Christine","non-dropping-particle":"","parse-names":false,"suffix":""},{"dropping-particle":"","family":"Smith","given":"Rodney","non-dropping-particle":"","parse-names":false,"suffix":""},{"dropping-particle":"","family":"Badoux","given":"Xavier","non-dropping-particle":"","parse-names":false,"suffix":""}],"container-title":"Advances in Therapy","id":"ITEM-2","issue":"10","issued":{"date-parts":[["2017","10","1"]]},"page":"2210-2231","publisher":"Springer Healthcare","title":"Subcutaneous Rituximab for the Treatment of B-Cell Hematologic Malignancies: A Review of the Scientific Rationale and Clinical Development","type":"article","volume":"34"},"uris":["http://www.mendeley.com/documents/?uuid=c91e99c4-7e72-3803-909e-84f3e662a6e0"]},{"id":"ITEM-3","itemData":{"DOI":"10.1111/bjh.16227","ISSN":"0007-1048","abstract":"Rituximab is a standard treatment for non-Hodgkin diffuse large B-cell (DLBCL) and follicular (FL) lymphomas. A subcutaneous formulation was developed to improve the resource use of intravenous rituximab, with comparable efficacy and safety profiles except for increased administration-related reactions (ARRs). MabRella was a phase IIIb trial to assess the safety of switching from intravenous to subcutaneous administration of rituximab during first-line induction/maintenance for DLBCL or FL, focusing on ARRs. Efficacy, satisfaction and quality of life were also assessed. Patients received subcutaneous rituximab plus standard induction chemotherapy for DLBCL or FL for 4–7 cycles, and/or every 2 months maintenance monotherapy for FL for 6–12 cycles. The study included 140 patients: DLBCL, n = 29; FL, n = 111. Ninety-five percent of patients experienced adverse events, reaching grade ≥3 in 38·6% and were serious in 30·0%. AARs occurred in 48·6%, mostly (84·9%) at the injection site, with only 2·1% of patients reaching grade 3. The end-of-induction complete/unconfirmed complete response rate was 69·6%. After a median follow-up of 33·5 months, median disease-/event-/progression-free and overall survivals were not attained. The Rituximab Administration Satisfaction Questionnaire showed improvements in overall satisfaction and the EuroQoL-5D a good quality-of-life perception at induction/maintenance end. Therefore, switching to subcutaneous rituximab showed no new safety issues and maintained efficacy with improved satisfaction and quality of life.","author":[{"dropping-particle":"","family":"García‐Muñoz","given":"Ricardo","non-dropping-particle":"","parse-names":false,"suffix":""},{"dropping-particle":"","family":"Quero","given":"Cristina","non-dropping-particle":"","parse-names":false,"suffix":""},{"dropping-particle":"","family":"Pérez‐Persona","given":"Ernesto","non-dropping-particle":"","parse-names":false,"suffix":""},{"dropping-particle":"","family":"Domingo‐García","given":"Abel","non-dropping-particle":"","parse-names":false,"suffix":""},{"dropping-particle":"","family":"Pérez‐López","given":"Cristina","non-dropping-particle":"","parse-names":false,"suffix":""},{"dropping-particle":"","family":"Villaescusa‐de‐la‐Rosa","given":"Teresa","non-dropping-particle":"","parse-names":false,"suffix":""},{"dropping-particle":"","family":"Martínez‐Castro","given":"Ana M.","non-dropping-particle":"","parse-names":false,"suffix":""},{"dropping-particle":"","family":"Arguiñano‐Pérez","given":"José M.","non-dropping-particle":"","parse-names":false,"suffix":""},{"dropping-particle":"","family":"Parra‐Cuadrado","given":"Juan F.","non-dropping-particle":"","parse-names":false,"suffix":""},{"dropping-particle":"","family":"Panizo","given":"Carlos","non-dropping-particle":"","parse-names":false,"suffix":""}],"container-title":"British Journal of Haematology","id":"ITEM-3","issue":"5","issued":{"date-parts":[["2020","3","1"]]},"page":"661-673","publisher":"Blackwell Publishing Ltd","title":"Safety of switching from intravenous to subcutaneous rituximab during first‐line treatment of patients with non‐Hodgkin lymphoma: the Spanish population of the MabRella study","type":"article-journal","volume":"188"},"uris":["http://www.mendeley.com/documents/?uuid=89ca4d25-771e-3d22-9da5-61e99fb5ec3e"]},{"id":"ITEM-4","itemData":{"DOI":"10.3747/co.24.3470","ISSN":"17187729","abstract":"Rituximab is widely used for the treatment of non-Hodgkin lymphoma, being a key component in most therapeutic regimens. Administration of the intravenous (IV) formulation is lengthy and places a significant burden on health care resources and patient quality of life. A subcutaneous (sc) formulation that provides a fixed dose of rituximab is being examined in a number of studies. Results indicate that the pharmacokinetics are noninferior and response rates are comparable to those obtained with the IV formulation. Moreover, the sc formulation is preferred by patients and health care providers and reduces administration and chair time. Additional advantages include a lesser potential for dosing errors, shorter preparation time, reduced drug wastage, and fewer infusion-related reactions. Despite the success of the sc formulation</w:instrText>
      </w:r>
      <w:r w:rsidR="00A6794A" w:rsidRPr="00D3550C">
        <w:instrText xml:space="preserve">, </w:instrText>
      </w:r>
      <w:r w:rsidR="00A6794A">
        <w:rPr>
          <w:lang w:val="en-US"/>
        </w:rPr>
        <w:instrText>correct</w:instrText>
      </w:r>
      <w:r w:rsidR="00A6794A" w:rsidRPr="00D3550C">
        <w:instrText xml:space="preserve"> </w:instrText>
      </w:r>
      <w:r w:rsidR="00A6794A">
        <w:rPr>
          <w:lang w:val="en-US"/>
        </w:rPr>
        <w:instrText>administration</w:instrText>
      </w:r>
      <w:r w:rsidR="00A6794A" w:rsidRPr="00D3550C">
        <w:instrText xml:space="preserve"> </w:instrText>
      </w:r>
      <w:r w:rsidR="00A6794A">
        <w:rPr>
          <w:lang w:val="en-US"/>
        </w:rPr>
        <w:instrText>is</w:instrText>
      </w:r>
      <w:r w:rsidR="00A6794A" w:rsidRPr="00D3550C">
        <w:instrText xml:space="preserve"> </w:instrText>
      </w:r>
      <w:r w:rsidR="00A6794A">
        <w:rPr>
          <w:lang w:val="en-US"/>
        </w:rPr>
        <w:instrText>needed</w:instrText>
      </w:r>
      <w:r w:rsidR="00A6794A" w:rsidRPr="00D3550C">
        <w:instrText xml:space="preserve"> </w:instrText>
      </w:r>
      <w:r w:rsidR="00A6794A">
        <w:rPr>
          <w:lang w:val="en-US"/>
        </w:rPr>
        <w:instrText>to</w:instrText>
      </w:r>
      <w:r w:rsidR="00A6794A" w:rsidRPr="00D3550C">
        <w:instrText xml:space="preserve"> </w:instrText>
      </w:r>
      <w:r w:rsidR="00A6794A">
        <w:rPr>
          <w:lang w:val="en-US"/>
        </w:rPr>
        <w:instrText>reduce</w:instrText>
      </w:r>
      <w:r w:rsidR="00A6794A" w:rsidRPr="00D3550C">
        <w:instrText xml:space="preserve"> </w:instrText>
      </w:r>
      <w:r w:rsidR="00A6794A">
        <w:rPr>
          <w:lang w:val="en-US"/>
        </w:rPr>
        <w:instrText>administration</w:instrText>
      </w:r>
      <w:r w:rsidR="00A6794A" w:rsidRPr="00D3550C">
        <w:instrText>-</w:instrText>
      </w:r>
      <w:r w:rsidR="00A6794A">
        <w:rPr>
          <w:lang w:val="en-US"/>
        </w:rPr>
        <w:instrText>related</w:instrText>
      </w:r>
      <w:r w:rsidR="00A6794A" w:rsidRPr="00D3550C">
        <w:instrText xml:space="preserve"> </w:instrText>
      </w:r>
      <w:r w:rsidR="00A6794A">
        <w:rPr>
          <w:lang w:val="en-US"/>
        </w:rPr>
        <w:instrText>reactions</w:instrText>
      </w:r>
      <w:r w:rsidR="00A6794A" w:rsidRPr="00D3550C">
        <w:instrText xml:space="preserve">. </w:instrText>
      </w:r>
      <w:r w:rsidR="00A6794A">
        <w:rPr>
          <w:lang w:val="en-US"/>
        </w:rPr>
        <w:instrText>By</w:instrText>
      </w:r>
      <w:r w:rsidR="00A6794A" w:rsidRPr="00D3550C">
        <w:instrText xml:space="preserve"> </w:instrText>
      </w:r>
      <w:r w:rsidR="00A6794A">
        <w:rPr>
          <w:lang w:val="en-US"/>
        </w:rPr>
        <w:instrText>using</w:instrText>
      </w:r>
      <w:r w:rsidR="00A6794A" w:rsidRPr="00D3550C">
        <w:instrText xml:space="preserve"> </w:instrText>
      </w:r>
      <w:r w:rsidR="00A6794A">
        <w:rPr>
          <w:lang w:val="en-US"/>
        </w:rPr>
        <w:instrText>a</w:instrText>
      </w:r>
      <w:r w:rsidR="00A6794A" w:rsidRPr="00D3550C">
        <w:instrText xml:space="preserve"> </w:instrText>
      </w:r>
      <w:r w:rsidR="00A6794A">
        <w:rPr>
          <w:lang w:val="en-US"/>
        </w:rPr>
        <w:instrText>careful</w:instrText>
      </w:r>
      <w:r w:rsidR="00A6794A" w:rsidRPr="00D3550C">
        <w:instrText xml:space="preserve"> </w:instrText>
      </w:r>
      <w:r w:rsidR="00A6794A">
        <w:rPr>
          <w:lang w:val="en-US"/>
        </w:rPr>
        <w:instrText>procedure</w:instrText>
      </w:r>
      <w:r w:rsidR="00A6794A" w:rsidRPr="00D3550C">
        <w:instrText xml:space="preserve">, </w:instrText>
      </w:r>
      <w:r w:rsidR="00A6794A">
        <w:rPr>
          <w:lang w:val="en-US"/>
        </w:rPr>
        <w:instrText>the</w:instrText>
      </w:r>
      <w:r w:rsidR="00A6794A" w:rsidRPr="00D3550C">
        <w:instrText xml:space="preserve"> </w:instrText>
      </w:r>
      <w:r w:rsidR="00A6794A">
        <w:rPr>
          <w:lang w:val="en-US"/>
        </w:rPr>
        <w:instrText>sc</w:instrText>
      </w:r>
      <w:r w:rsidR="00A6794A" w:rsidRPr="00D3550C">
        <w:instrText xml:space="preserve"> </w:instrText>
      </w:r>
      <w:r w:rsidR="00A6794A">
        <w:rPr>
          <w:lang w:val="en-US"/>
        </w:rPr>
        <w:instrText>formulation</w:instrText>
      </w:r>
      <w:r w:rsidR="00A6794A" w:rsidRPr="00D3550C">
        <w:instrText xml:space="preserve"> </w:instrText>
      </w:r>
      <w:r w:rsidR="00A6794A">
        <w:rPr>
          <w:lang w:val="en-US"/>
        </w:rPr>
        <w:instrText>can</w:instrText>
      </w:r>
      <w:r w:rsidR="00A6794A" w:rsidRPr="00D3550C">
        <w:instrText xml:space="preserve"> </w:instrText>
      </w:r>
      <w:r w:rsidR="00A6794A">
        <w:rPr>
          <w:lang w:val="en-US"/>
        </w:rPr>
        <w:instrText>be</w:instrText>
      </w:r>
      <w:r w:rsidR="00A6794A" w:rsidRPr="00D3550C">
        <w:instrText xml:space="preserve"> </w:instrText>
      </w:r>
      <w:r w:rsidR="00A6794A">
        <w:rPr>
          <w:lang w:val="en-US"/>
        </w:rPr>
        <w:instrText>given</w:instrText>
      </w:r>
      <w:r w:rsidR="00A6794A" w:rsidRPr="00D3550C">
        <w:instrText xml:space="preserve"> </w:instrText>
      </w:r>
      <w:r w:rsidR="00A6794A">
        <w:rPr>
          <w:lang w:val="en-US"/>
        </w:rPr>
        <w:instrText>safely</w:instrText>
      </w:r>
      <w:r w:rsidR="00A6794A" w:rsidRPr="00D3550C">
        <w:instrText xml:space="preserve"> </w:instrText>
      </w:r>
      <w:r w:rsidR="00A6794A">
        <w:rPr>
          <w:lang w:val="en-US"/>
        </w:rPr>
        <w:instrText>and</w:instrText>
      </w:r>
      <w:r w:rsidR="00A6794A" w:rsidRPr="00D3550C">
        <w:instrText xml:space="preserve"> </w:instrText>
      </w:r>
      <w:r w:rsidR="00A6794A">
        <w:rPr>
          <w:lang w:val="en-US"/>
        </w:rPr>
        <w:instrText>effectively</w:instrText>
      </w:r>
      <w:r w:rsidR="00A6794A" w:rsidRPr="00D3550C">
        <w:instrText xml:space="preserve">, </w:instrText>
      </w:r>
      <w:r w:rsidR="00A6794A">
        <w:rPr>
          <w:lang w:val="en-US"/>
        </w:rPr>
        <w:instrText>potentially</w:instrText>
      </w:r>
      <w:r w:rsidR="00A6794A" w:rsidRPr="00D3550C">
        <w:instrText xml:space="preserve"> </w:instrText>
      </w:r>
      <w:r w:rsidR="00A6794A">
        <w:rPr>
          <w:lang w:val="en-US"/>
        </w:rPr>
        <w:instrText>reducing</w:instrText>
      </w:r>
      <w:r w:rsidR="00A6794A" w:rsidRPr="00D3550C">
        <w:instrText xml:space="preserve"> </w:instrText>
      </w:r>
      <w:r w:rsidR="00A6794A">
        <w:rPr>
          <w:lang w:val="en-US"/>
        </w:rPr>
        <w:instrText>the</w:instrText>
      </w:r>
      <w:r w:rsidR="00A6794A" w:rsidRPr="00D3550C">
        <w:instrText xml:space="preserve"> </w:instrText>
      </w:r>
      <w:r w:rsidR="00A6794A">
        <w:rPr>
          <w:lang w:val="en-US"/>
        </w:rPr>
        <w:instrText>burden</w:instrText>
      </w:r>
      <w:r w:rsidR="00A6794A" w:rsidRPr="00D3550C">
        <w:instrText xml:space="preserve"> </w:instrText>
      </w:r>
      <w:r w:rsidR="00A6794A">
        <w:rPr>
          <w:lang w:val="en-US"/>
        </w:rPr>
        <w:instrText>on</w:instrText>
      </w:r>
      <w:r w:rsidR="00A6794A" w:rsidRPr="00D3550C">
        <w:instrText xml:space="preserve"> </w:instrText>
      </w:r>
      <w:r w:rsidR="00A6794A">
        <w:rPr>
          <w:lang w:val="en-US"/>
        </w:rPr>
        <w:instrText>health</w:instrText>
      </w:r>
      <w:r w:rsidR="00A6794A" w:rsidRPr="00D3550C">
        <w:instrText xml:space="preserve"> </w:instrText>
      </w:r>
      <w:r w:rsidR="00A6794A">
        <w:rPr>
          <w:lang w:val="en-US"/>
        </w:rPr>
        <w:instrText>care</w:instrText>
      </w:r>
      <w:r w:rsidR="00A6794A" w:rsidRPr="00D3550C">
        <w:instrText xml:space="preserve"> </w:instrText>
      </w:r>
      <w:r w:rsidR="00A6794A">
        <w:rPr>
          <w:lang w:val="en-US"/>
        </w:rPr>
        <w:instrText>resources</w:instrText>
      </w:r>
      <w:r w:rsidR="00A6794A" w:rsidRPr="00D3550C">
        <w:instrText xml:space="preserve"> </w:instrText>
      </w:r>
      <w:r w:rsidR="00A6794A">
        <w:rPr>
          <w:lang w:val="en-US"/>
        </w:rPr>
        <w:instrText>and</w:instrText>
      </w:r>
      <w:r w:rsidR="00A6794A" w:rsidRPr="00D3550C">
        <w:instrText xml:space="preserve"> </w:instrText>
      </w:r>
      <w:r w:rsidR="00A6794A">
        <w:rPr>
          <w:lang w:val="en-US"/>
        </w:rPr>
        <w:instrText>improving</w:instrText>
      </w:r>
      <w:r w:rsidR="00A6794A" w:rsidRPr="00D3550C">
        <w:instrText xml:space="preserve"> </w:instrText>
      </w:r>
      <w:r w:rsidR="00A6794A">
        <w:rPr>
          <w:lang w:val="en-US"/>
        </w:rPr>
        <w:instrText>quality</w:instrText>
      </w:r>
      <w:r w:rsidR="00A6794A" w:rsidRPr="00D3550C">
        <w:instrText xml:space="preserve"> </w:instrText>
      </w:r>
      <w:r w:rsidR="00A6794A">
        <w:rPr>
          <w:lang w:val="en-US"/>
        </w:rPr>
        <w:instrText>of</w:instrText>
      </w:r>
      <w:r w:rsidR="00A6794A" w:rsidRPr="00D3550C">
        <w:instrText xml:space="preserve"> </w:instrText>
      </w:r>
      <w:r w:rsidR="00A6794A">
        <w:rPr>
          <w:lang w:val="en-US"/>
        </w:rPr>
        <w:instrText>life</w:instrText>
      </w:r>
      <w:r w:rsidR="00A6794A" w:rsidRPr="00D3550C">
        <w:instrText xml:space="preserve"> </w:instrText>
      </w:r>
      <w:r w:rsidR="00A6794A">
        <w:rPr>
          <w:lang w:val="en-US"/>
        </w:rPr>
        <w:instrText>for</w:instrText>
      </w:r>
      <w:r w:rsidR="00A6794A" w:rsidRPr="00D3550C">
        <w:instrText xml:space="preserve"> </w:instrText>
      </w:r>
      <w:r w:rsidR="00A6794A">
        <w:rPr>
          <w:lang w:val="en-US"/>
        </w:rPr>
        <w:instrText>patients</w:instrText>
      </w:r>
      <w:r w:rsidR="00A6794A" w:rsidRPr="00D3550C">
        <w:instrText>.","</w:instrText>
      </w:r>
      <w:r w:rsidR="00A6794A">
        <w:rPr>
          <w:lang w:val="en-US"/>
        </w:rPr>
        <w:instrText>author</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family</w:instrText>
      </w:r>
      <w:r w:rsidR="00A6794A" w:rsidRPr="00D3550C">
        <w:instrText>":"</w:instrText>
      </w:r>
      <w:r w:rsidR="00A6794A">
        <w:rPr>
          <w:lang w:val="en-US"/>
        </w:rPr>
        <w:instrText>Macdonald</w:instrText>
      </w:r>
      <w:r w:rsidR="00A6794A" w:rsidRPr="00D3550C">
        <w:instrText>","</w:instrText>
      </w:r>
      <w:r w:rsidR="00A6794A">
        <w:rPr>
          <w:lang w:val="en-US"/>
        </w:rPr>
        <w:instrText>given</w:instrText>
      </w:r>
      <w:r w:rsidR="00A6794A" w:rsidRPr="00D3550C">
        <w:instrText>":"</w:instrText>
      </w:r>
      <w:r w:rsidR="00A6794A">
        <w:rPr>
          <w:lang w:val="en-US"/>
        </w:rPr>
        <w:instrText>David</w:instrText>
      </w:r>
      <w:r w:rsidR="00A6794A" w:rsidRPr="00D3550C">
        <w:instrText>","</w:instrText>
      </w:r>
      <w:r w:rsidR="00A6794A">
        <w:rPr>
          <w:lang w:val="en-US"/>
        </w:rPr>
        <w:instrText>non</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parse</w:instrText>
      </w:r>
      <w:r w:rsidR="00A6794A" w:rsidRPr="00D3550C">
        <w:instrText>-</w:instrText>
      </w:r>
      <w:r w:rsidR="00A6794A">
        <w:rPr>
          <w:lang w:val="en-US"/>
        </w:rPr>
        <w:instrText>names</w:instrText>
      </w:r>
      <w:r w:rsidR="00A6794A" w:rsidRPr="00D3550C">
        <w:instrText>":</w:instrText>
      </w:r>
      <w:r w:rsidR="00A6794A">
        <w:rPr>
          <w:lang w:val="en-US"/>
        </w:rPr>
        <w:instrText>false</w:instrText>
      </w:r>
      <w:r w:rsidR="00A6794A" w:rsidRPr="00D3550C">
        <w:instrText>,"</w:instrText>
      </w:r>
      <w:r w:rsidR="00A6794A">
        <w:rPr>
          <w:lang w:val="en-US"/>
        </w:rPr>
        <w:instrText>suffix</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family</w:instrText>
      </w:r>
      <w:r w:rsidR="00A6794A" w:rsidRPr="00D3550C">
        <w:instrText>":"</w:instrText>
      </w:r>
      <w:r w:rsidR="00A6794A">
        <w:rPr>
          <w:lang w:val="en-US"/>
        </w:rPr>
        <w:instrText>Crosbie</w:instrText>
      </w:r>
      <w:r w:rsidR="00A6794A" w:rsidRPr="00D3550C">
        <w:instrText>","</w:instrText>
      </w:r>
      <w:r w:rsidR="00A6794A">
        <w:rPr>
          <w:lang w:val="en-US"/>
        </w:rPr>
        <w:instrText>given</w:instrText>
      </w:r>
      <w:r w:rsidR="00A6794A" w:rsidRPr="00D3550C">
        <w:instrText>":"</w:instrText>
      </w:r>
      <w:r w:rsidR="00A6794A">
        <w:rPr>
          <w:lang w:val="en-US"/>
        </w:rPr>
        <w:instrText>T</w:instrText>
      </w:r>
      <w:r w:rsidR="00A6794A" w:rsidRPr="00D3550C">
        <w:instrText>.","</w:instrText>
      </w:r>
      <w:r w:rsidR="00A6794A">
        <w:rPr>
          <w:lang w:val="en-US"/>
        </w:rPr>
        <w:instrText>non</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parse</w:instrText>
      </w:r>
      <w:r w:rsidR="00A6794A" w:rsidRPr="00D3550C">
        <w:instrText>-</w:instrText>
      </w:r>
      <w:r w:rsidR="00A6794A">
        <w:rPr>
          <w:lang w:val="en-US"/>
        </w:rPr>
        <w:instrText>names</w:instrText>
      </w:r>
      <w:r w:rsidR="00A6794A" w:rsidRPr="00D3550C">
        <w:instrText>":</w:instrText>
      </w:r>
      <w:r w:rsidR="00A6794A">
        <w:rPr>
          <w:lang w:val="en-US"/>
        </w:rPr>
        <w:instrText>false</w:instrText>
      </w:r>
      <w:r w:rsidR="00A6794A" w:rsidRPr="00D3550C">
        <w:instrText>,"</w:instrText>
      </w:r>
      <w:r w:rsidR="00A6794A">
        <w:rPr>
          <w:lang w:val="en-US"/>
        </w:rPr>
        <w:instrText>suffix</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family</w:instrText>
      </w:r>
      <w:r w:rsidR="00A6794A" w:rsidRPr="00D3550C">
        <w:instrText>":"</w:instrText>
      </w:r>
      <w:r w:rsidR="00A6794A">
        <w:rPr>
          <w:lang w:val="en-US"/>
        </w:rPr>
        <w:instrText>Christofides</w:instrText>
      </w:r>
      <w:r w:rsidR="00A6794A" w:rsidRPr="00D3550C">
        <w:instrText>","</w:instrText>
      </w:r>
      <w:r w:rsidR="00A6794A">
        <w:rPr>
          <w:lang w:val="en-US"/>
        </w:rPr>
        <w:instrText>given</w:instrText>
      </w:r>
      <w:r w:rsidR="00A6794A" w:rsidRPr="00D3550C">
        <w:instrText>":"</w:instrText>
      </w:r>
      <w:r w:rsidR="00A6794A">
        <w:rPr>
          <w:lang w:val="en-US"/>
        </w:rPr>
        <w:instrText>A</w:instrText>
      </w:r>
      <w:r w:rsidR="00A6794A" w:rsidRPr="00D3550C">
        <w:instrText>.","</w:instrText>
      </w:r>
      <w:r w:rsidR="00A6794A">
        <w:rPr>
          <w:lang w:val="en-US"/>
        </w:rPr>
        <w:instrText>non</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parse</w:instrText>
      </w:r>
      <w:r w:rsidR="00A6794A" w:rsidRPr="00D3550C">
        <w:instrText>-</w:instrText>
      </w:r>
      <w:r w:rsidR="00A6794A">
        <w:rPr>
          <w:lang w:val="en-US"/>
        </w:rPr>
        <w:instrText>names</w:instrText>
      </w:r>
      <w:r w:rsidR="00A6794A" w:rsidRPr="00D3550C">
        <w:instrText>":</w:instrText>
      </w:r>
      <w:r w:rsidR="00A6794A">
        <w:rPr>
          <w:lang w:val="en-US"/>
        </w:rPr>
        <w:instrText>false</w:instrText>
      </w:r>
      <w:r w:rsidR="00A6794A" w:rsidRPr="00D3550C">
        <w:instrText>,"</w:instrText>
      </w:r>
      <w:r w:rsidR="00A6794A">
        <w:rPr>
          <w:lang w:val="en-US"/>
        </w:rPr>
        <w:instrText>suffix</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family</w:instrText>
      </w:r>
      <w:r w:rsidR="00A6794A" w:rsidRPr="00D3550C">
        <w:instrText>":"</w:instrText>
      </w:r>
      <w:r w:rsidR="00A6794A">
        <w:rPr>
          <w:lang w:val="en-US"/>
        </w:rPr>
        <w:instrText>Assaily</w:instrText>
      </w:r>
      <w:r w:rsidR="00A6794A" w:rsidRPr="00D3550C">
        <w:instrText>","</w:instrText>
      </w:r>
      <w:r w:rsidR="00A6794A">
        <w:rPr>
          <w:lang w:val="en-US"/>
        </w:rPr>
        <w:instrText>given</w:instrText>
      </w:r>
      <w:r w:rsidR="00A6794A" w:rsidRPr="00D3550C">
        <w:instrText>":"</w:instrText>
      </w:r>
      <w:r w:rsidR="00A6794A">
        <w:rPr>
          <w:lang w:val="en-US"/>
        </w:rPr>
        <w:instrText>W</w:instrText>
      </w:r>
      <w:r w:rsidR="00A6794A" w:rsidRPr="00D3550C">
        <w:instrText>.","</w:instrText>
      </w:r>
      <w:r w:rsidR="00A6794A">
        <w:rPr>
          <w:lang w:val="en-US"/>
        </w:rPr>
        <w:instrText>non</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parse</w:instrText>
      </w:r>
      <w:r w:rsidR="00A6794A" w:rsidRPr="00D3550C">
        <w:instrText>-</w:instrText>
      </w:r>
      <w:r w:rsidR="00A6794A">
        <w:rPr>
          <w:lang w:val="en-US"/>
        </w:rPr>
        <w:instrText>names</w:instrText>
      </w:r>
      <w:r w:rsidR="00A6794A" w:rsidRPr="00D3550C">
        <w:instrText>":</w:instrText>
      </w:r>
      <w:r w:rsidR="00A6794A">
        <w:rPr>
          <w:lang w:val="en-US"/>
        </w:rPr>
        <w:instrText>false</w:instrText>
      </w:r>
      <w:r w:rsidR="00A6794A" w:rsidRPr="00D3550C">
        <w:instrText>,"</w:instrText>
      </w:r>
      <w:r w:rsidR="00A6794A">
        <w:rPr>
          <w:lang w:val="en-US"/>
        </w:rPr>
        <w:instrText>suffix</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family</w:instrText>
      </w:r>
      <w:r w:rsidR="00A6794A" w:rsidRPr="00D3550C">
        <w:instrText>":"</w:instrText>
      </w:r>
      <w:r w:rsidR="00A6794A">
        <w:rPr>
          <w:lang w:val="en-US"/>
        </w:rPr>
        <w:instrText>Wiernikowski</w:instrText>
      </w:r>
      <w:r w:rsidR="00A6794A" w:rsidRPr="00D3550C">
        <w:instrText>","</w:instrText>
      </w:r>
      <w:r w:rsidR="00A6794A">
        <w:rPr>
          <w:lang w:val="en-US"/>
        </w:rPr>
        <w:instrText>given</w:instrText>
      </w:r>
      <w:r w:rsidR="00A6794A" w:rsidRPr="00D3550C">
        <w:instrText>":"</w:instrText>
      </w:r>
      <w:r w:rsidR="00A6794A">
        <w:rPr>
          <w:lang w:val="en-US"/>
        </w:rPr>
        <w:instrText>J</w:instrText>
      </w:r>
      <w:r w:rsidR="00A6794A" w:rsidRPr="00D3550C">
        <w:instrText>.","</w:instrText>
      </w:r>
      <w:r w:rsidR="00A6794A">
        <w:rPr>
          <w:lang w:val="en-US"/>
        </w:rPr>
        <w:instrText>non</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parse</w:instrText>
      </w:r>
      <w:r w:rsidR="00A6794A" w:rsidRPr="00D3550C">
        <w:instrText>-</w:instrText>
      </w:r>
      <w:r w:rsidR="00A6794A">
        <w:rPr>
          <w:lang w:val="en-US"/>
        </w:rPr>
        <w:instrText>names</w:instrText>
      </w:r>
      <w:r w:rsidR="00A6794A" w:rsidRPr="00D3550C">
        <w:instrText>":</w:instrText>
      </w:r>
      <w:r w:rsidR="00A6794A">
        <w:rPr>
          <w:lang w:val="en-US"/>
        </w:rPr>
        <w:instrText>false</w:instrText>
      </w:r>
      <w:r w:rsidR="00A6794A" w:rsidRPr="00D3550C">
        <w:instrText>,"</w:instrText>
      </w:r>
      <w:r w:rsidR="00A6794A">
        <w:rPr>
          <w:lang w:val="en-US"/>
        </w:rPr>
        <w:instrText>suffix</w:instrText>
      </w:r>
      <w:r w:rsidR="00A6794A" w:rsidRPr="00D3550C">
        <w:instrText>":""}],"</w:instrText>
      </w:r>
      <w:r w:rsidR="00A6794A">
        <w:rPr>
          <w:lang w:val="en-US"/>
        </w:rPr>
        <w:instrText>container</w:instrText>
      </w:r>
      <w:r w:rsidR="00A6794A" w:rsidRPr="00D3550C">
        <w:instrText>-</w:instrText>
      </w:r>
      <w:r w:rsidR="00A6794A">
        <w:rPr>
          <w:lang w:val="en-US"/>
        </w:rPr>
        <w:instrText>title</w:instrText>
      </w:r>
      <w:r w:rsidR="00A6794A" w:rsidRPr="00D3550C">
        <w:instrText>":"</w:instrText>
      </w:r>
      <w:r w:rsidR="00A6794A">
        <w:rPr>
          <w:lang w:val="en-US"/>
        </w:rPr>
        <w:instrText>Current</w:instrText>
      </w:r>
      <w:r w:rsidR="00A6794A" w:rsidRPr="00D3550C">
        <w:instrText xml:space="preserve"> </w:instrText>
      </w:r>
      <w:r w:rsidR="00A6794A">
        <w:rPr>
          <w:lang w:val="en-US"/>
        </w:rPr>
        <w:instrText>Oncology</w:instrText>
      </w:r>
      <w:r w:rsidR="00A6794A" w:rsidRPr="00D3550C">
        <w:instrText>","</w:instrText>
      </w:r>
      <w:r w:rsidR="00A6794A">
        <w:rPr>
          <w:lang w:val="en-US"/>
        </w:rPr>
        <w:instrText>id</w:instrText>
      </w:r>
      <w:r w:rsidR="00A6794A" w:rsidRPr="00D3550C">
        <w:instrText>":"</w:instrText>
      </w:r>
      <w:r w:rsidR="00A6794A">
        <w:rPr>
          <w:lang w:val="en-US"/>
        </w:rPr>
        <w:instrText>ITEM</w:instrText>
      </w:r>
      <w:r w:rsidR="00A6794A" w:rsidRPr="00D3550C">
        <w:instrText>-4","</w:instrText>
      </w:r>
      <w:r w:rsidR="00A6794A">
        <w:rPr>
          <w:lang w:val="en-US"/>
        </w:rPr>
        <w:instrText>issue</w:instrText>
      </w:r>
      <w:r w:rsidR="00A6794A" w:rsidRPr="00D3550C">
        <w:instrText>":"1","</w:instrText>
      </w:r>
      <w:r w:rsidR="00A6794A">
        <w:rPr>
          <w:lang w:val="en-US"/>
        </w:rPr>
        <w:instrText>issued</w:instrText>
      </w:r>
      <w:r w:rsidR="00A6794A" w:rsidRPr="00D3550C">
        <w:instrText>":{"</w:instrText>
      </w:r>
      <w:r w:rsidR="00A6794A">
        <w:rPr>
          <w:lang w:val="en-US"/>
        </w:rPr>
        <w:instrText>date</w:instrText>
      </w:r>
      <w:r w:rsidR="00A6794A" w:rsidRPr="00D3550C">
        <w:instrText>-</w:instrText>
      </w:r>
      <w:r w:rsidR="00A6794A">
        <w:rPr>
          <w:lang w:val="en-US"/>
        </w:rPr>
        <w:instrText>parts</w:instrText>
      </w:r>
      <w:r w:rsidR="00A6794A" w:rsidRPr="00D3550C">
        <w:instrText>":[["2017"]]},"</w:instrText>
      </w:r>
      <w:r w:rsidR="00A6794A">
        <w:rPr>
          <w:lang w:val="en-US"/>
        </w:rPr>
        <w:instrText>page</w:instrText>
      </w:r>
      <w:r w:rsidR="00A6794A" w:rsidRPr="00D3550C">
        <w:instrText>":"33-39","</w:instrText>
      </w:r>
      <w:r w:rsidR="00A6794A">
        <w:rPr>
          <w:lang w:val="en-US"/>
        </w:rPr>
        <w:instrText>publisher</w:instrText>
      </w:r>
      <w:r w:rsidR="00A6794A" w:rsidRPr="00D3550C">
        <w:instrText>":"</w:instrText>
      </w:r>
      <w:r w:rsidR="00A6794A">
        <w:rPr>
          <w:lang w:val="en-US"/>
        </w:rPr>
        <w:instrText>Multimed</w:instrText>
      </w:r>
      <w:r w:rsidR="00A6794A" w:rsidRPr="00D3550C">
        <w:instrText xml:space="preserve"> </w:instrText>
      </w:r>
      <w:r w:rsidR="00A6794A">
        <w:rPr>
          <w:lang w:val="en-US"/>
        </w:rPr>
        <w:instrText>Inc</w:instrText>
      </w:r>
      <w:r w:rsidR="00A6794A" w:rsidRPr="00D3550C">
        <w:instrText>.","</w:instrText>
      </w:r>
      <w:r w:rsidR="00A6794A">
        <w:rPr>
          <w:lang w:val="en-US"/>
        </w:rPr>
        <w:instrText>title</w:instrText>
      </w:r>
      <w:r w:rsidR="00A6794A" w:rsidRPr="00D3550C">
        <w:instrText>":"</w:instrText>
      </w:r>
      <w:r w:rsidR="00A6794A">
        <w:rPr>
          <w:lang w:val="en-US"/>
        </w:rPr>
        <w:instrText>A</w:instrText>
      </w:r>
      <w:r w:rsidR="00A6794A" w:rsidRPr="00D3550C">
        <w:instrText xml:space="preserve"> </w:instrText>
      </w:r>
      <w:r w:rsidR="00A6794A">
        <w:rPr>
          <w:lang w:val="en-US"/>
        </w:rPr>
        <w:instrText>canadian</w:instrText>
      </w:r>
      <w:r w:rsidR="00A6794A" w:rsidRPr="00D3550C">
        <w:instrText xml:space="preserve"> </w:instrText>
      </w:r>
      <w:r w:rsidR="00A6794A">
        <w:rPr>
          <w:lang w:val="en-US"/>
        </w:rPr>
        <w:instrText>perspective</w:instrText>
      </w:r>
      <w:r w:rsidR="00A6794A" w:rsidRPr="00D3550C">
        <w:instrText xml:space="preserve"> </w:instrText>
      </w:r>
      <w:r w:rsidR="00A6794A">
        <w:rPr>
          <w:lang w:val="en-US"/>
        </w:rPr>
        <w:instrText>on</w:instrText>
      </w:r>
      <w:r w:rsidR="00A6794A" w:rsidRPr="00D3550C">
        <w:instrText xml:space="preserve"> </w:instrText>
      </w:r>
      <w:r w:rsidR="00A6794A">
        <w:rPr>
          <w:lang w:val="en-US"/>
        </w:rPr>
        <w:instrText>the</w:instrText>
      </w:r>
      <w:r w:rsidR="00A6794A" w:rsidRPr="00D3550C">
        <w:instrText xml:space="preserve"> </w:instrText>
      </w:r>
      <w:r w:rsidR="00A6794A">
        <w:rPr>
          <w:lang w:val="en-US"/>
        </w:rPr>
        <w:instrText>subcutaneous</w:instrText>
      </w:r>
      <w:r w:rsidR="00A6794A" w:rsidRPr="00D3550C">
        <w:instrText xml:space="preserve"> </w:instrText>
      </w:r>
      <w:r w:rsidR="00A6794A">
        <w:rPr>
          <w:lang w:val="en-US"/>
        </w:rPr>
        <w:instrText>administration</w:instrText>
      </w:r>
      <w:r w:rsidR="00A6794A" w:rsidRPr="00D3550C">
        <w:instrText xml:space="preserve"> </w:instrText>
      </w:r>
      <w:r w:rsidR="00A6794A">
        <w:rPr>
          <w:lang w:val="en-US"/>
        </w:rPr>
        <w:instrText>of</w:instrText>
      </w:r>
      <w:r w:rsidR="00A6794A" w:rsidRPr="00D3550C">
        <w:instrText xml:space="preserve"> </w:instrText>
      </w:r>
      <w:r w:rsidR="00A6794A">
        <w:rPr>
          <w:lang w:val="en-US"/>
        </w:rPr>
        <w:instrText>rituximab</w:instrText>
      </w:r>
      <w:r w:rsidR="00A6794A" w:rsidRPr="00D3550C">
        <w:instrText xml:space="preserve"> </w:instrText>
      </w:r>
      <w:r w:rsidR="00A6794A">
        <w:rPr>
          <w:lang w:val="en-US"/>
        </w:rPr>
        <w:instrText>in</w:instrText>
      </w:r>
      <w:r w:rsidR="00A6794A" w:rsidRPr="00D3550C">
        <w:instrText xml:space="preserve"> </w:instrText>
      </w:r>
      <w:r w:rsidR="00A6794A">
        <w:rPr>
          <w:lang w:val="en-US"/>
        </w:rPr>
        <w:instrText>non</w:instrText>
      </w:r>
      <w:r w:rsidR="00A6794A" w:rsidRPr="00D3550C">
        <w:instrText>-</w:instrText>
      </w:r>
      <w:r w:rsidR="00A6794A">
        <w:rPr>
          <w:lang w:val="en-US"/>
        </w:rPr>
        <w:instrText>Hodgkin</w:instrText>
      </w:r>
      <w:r w:rsidR="00A6794A" w:rsidRPr="00D3550C">
        <w:instrText xml:space="preserve"> </w:instrText>
      </w:r>
      <w:r w:rsidR="00A6794A">
        <w:rPr>
          <w:lang w:val="en-US"/>
        </w:rPr>
        <w:instrText>lymphoma</w:instrText>
      </w:r>
      <w:r w:rsidR="00A6794A" w:rsidRPr="00D3550C">
        <w:instrText>","</w:instrText>
      </w:r>
      <w:r w:rsidR="00A6794A">
        <w:rPr>
          <w:lang w:val="en-US"/>
        </w:rPr>
        <w:instrText>type</w:instrText>
      </w:r>
      <w:r w:rsidR="00A6794A" w:rsidRPr="00D3550C">
        <w:instrText>":"</w:instrText>
      </w:r>
      <w:r w:rsidR="00A6794A">
        <w:rPr>
          <w:lang w:val="en-US"/>
        </w:rPr>
        <w:instrText>article</w:instrText>
      </w:r>
      <w:r w:rsidR="00A6794A" w:rsidRPr="00D3550C">
        <w:instrText>","</w:instrText>
      </w:r>
      <w:r w:rsidR="00A6794A">
        <w:rPr>
          <w:lang w:val="en-US"/>
        </w:rPr>
        <w:instrText>volume</w:instrText>
      </w:r>
      <w:r w:rsidR="00A6794A" w:rsidRPr="00D3550C">
        <w:instrText>":"24"},"</w:instrText>
      </w:r>
      <w:r w:rsidR="00A6794A">
        <w:rPr>
          <w:lang w:val="en-US"/>
        </w:rPr>
        <w:instrText>uris</w:instrText>
      </w:r>
      <w:r w:rsidR="00A6794A" w:rsidRPr="00D3550C">
        <w:instrText>":["</w:instrText>
      </w:r>
      <w:r w:rsidR="00A6794A">
        <w:rPr>
          <w:lang w:val="en-US"/>
        </w:rPr>
        <w:instrText>http</w:instrText>
      </w:r>
      <w:r w:rsidR="00A6794A" w:rsidRPr="00D3550C">
        <w:instrText>://</w:instrText>
      </w:r>
      <w:r w:rsidR="00A6794A">
        <w:rPr>
          <w:lang w:val="en-US"/>
        </w:rPr>
        <w:instrText>www</w:instrText>
      </w:r>
      <w:r w:rsidR="00A6794A" w:rsidRPr="00D3550C">
        <w:instrText>.</w:instrText>
      </w:r>
      <w:r w:rsidR="00A6794A">
        <w:rPr>
          <w:lang w:val="en-US"/>
        </w:rPr>
        <w:instrText>mendeley</w:instrText>
      </w:r>
      <w:r w:rsidR="00A6794A" w:rsidRPr="00D3550C">
        <w:instrText>.</w:instrText>
      </w:r>
      <w:r w:rsidR="00A6794A">
        <w:rPr>
          <w:lang w:val="en-US"/>
        </w:rPr>
        <w:instrText>com</w:instrText>
      </w:r>
      <w:r w:rsidR="00A6794A" w:rsidRPr="00D3550C">
        <w:instrText>/</w:instrText>
      </w:r>
      <w:r w:rsidR="00A6794A">
        <w:rPr>
          <w:lang w:val="en-US"/>
        </w:rPr>
        <w:instrText>documents</w:instrText>
      </w:r>
      <w:r w:rsidR="00A6794A" w:rsidRPr="00D3550C">
        <w:instrText>/?</w:instrText>
      </w:r>
      <w:r w:rsidR="00A6794A">
        <w:rPr>
          <w:lang w:val="en-US"/>
        </w:rPr>
        <w:instrText>uuid</w:instrText>
      </w:r>
      <w:r w:rsidR="00A6794A" w:rsidRPr="00D3550C">
        <w:instrText>=0</w:instrText>
      </w:r>
      <w:r w:rsidR="00A6794A">
        <w:rPr>
          <w:lang w:val="en-US"/>
        </w:rPr>
        <w:instrText>dec</w:instrText>
      </w:r>
      <w:r w:rsidR="00A6794A" w:rsidRPr="00D3550C">
        <w:instrText>225</w:instrText>
      </w:r>
      <w:r w:rsidR="00A6794A">
        <w:rPr>
          <w:lang w:val="en-US"/>
        </w:rPr>
        <w:instrText>e</w:instrText>
      </w:r>
      <w:r w:rsidR="00A6794A" w:rsidRPr="00D3550C">
        <w:instrText>-8</w:instrText>
      </w:r>
      <w:r w:rsidR="00A6794A">
        <w:rPr>
          <w:lang w:val="en-US"/>
        </w:rPr>
        <w:instrText>a</w:instrText>
      </w:r>
      <w:r w:rsidR="00A6794A" w:rsidRPr="00D3550C">
        <w:instrText>47-3680-</w:instrText>
      </w:r>
      <w:r w:rsidR="00A6794A">
        <w:rPr>
          <w:lang w:val="en-US"/>
        </w:rPr>
        <w:instrText>ba</w:instrText>
      </w:r>
      <w:r w:rsidR="00A6794A" w:rsidRPr="00D3550C">
        <w:instrText>4</w:instrText>
      </w:r>
      <w:r w:rsidR="00A6794A">
        <w:rPr>
          <w:lang w:val="en-US"/>
        </w:rPr>
        <w:instrText>d</w:instrText>
      </w:r>
      <w:r w:rsidR="00A6794A" w:rsidRPr="00D3550C">
        <w:instrText>-891955</w:instrText>
      </w:r>
      <w:r w:rsidR="00A6794A">
        <w:rPr>
          <w:lang w:val="en-US"/>
        </w:rPr>
        <w:instrText>a</w:instrText>
      </w:r>
      <w:r w:rsidR="00A6794A" w:rsidRPr="00D3550C">
        <w:instrText>938</w:instrText>
      </w:r>
      <w:r w:rsidR="00A6794A">
        <w:rPr>
          <w:lang w:val="en-US"/>
        </w:rPr>
        <w:instrText>a</w:instrText>
      </w:r>
      <w:r w:rsidR="00A6794A" w:rsidRPr="00D3550C">
        <w:instrText>1"]}],"</w:instrText>
      </w:r>
      <w:r w:rsidR="00A6794A">
        <w:rPr>
          <w:lang w:val="en-US"/>
        </w:rPr>
        <w:instrText>mendeley</w:instrText>
      </w:r>
      <w:r w:rsidR="00A6794A" w:rsidRPr="00D3550C">
        <w:instrText>":{"</w:instrText>
      </w:r>
      <w:r w:rsidR="00A6794A">
        <w:rPr>
          <w:lang w:val="en-US"/>
        </w:rPr>
        <w:instrText>formattedCitation</w:instrText>
      </w:r>
      <w:r w:rsidR="00A6794A" w:rsidRPr="00D3550C">
        <w:instrText>":"[205–208]","</w:instrText>
      </w:r>
      <w:r w:rsidR="00A6794A">
        <w:rPr>
          <w:lang w:val="en-US"/>
        </w:rPr>
        <w:instrText>plainTextFormattedCitation</w:instrText>
      </w:r>
      <w:r w:rsidR="00A6794A" w:rsidRPr="00D3550C">
        <w:instrText>":"[205–208]","</w:instrText>
      </w:r>
      <w:r w:rsidR="00A6794A">
        <w:rPr>
          <w:lang w:val="en-US"/>
        </w:rPr>
        <w:instrText>previouslyFormattedCitation</w:instrText>
      </w:r>
      <w:r w:rsidR="00A6794A" w:rsidRPr="00D3550C">
        <w:instrText>":"[205–208]"},"</w:instrText>
      </w:r>
      <w:r w:rsidR="00A6794A">
        <w:rPr>
          <w:lang w:val="en-US"/>
        </w:rPr>
        <w:instrText>properties</w:instrText>
      </w:r>
      <w:r w:rsidR="00A6794A" w:rsidRPr="00D3550C">
        <w:instrText>":{"</w:instrText>
      </w:r>
      <w:r w:rsidR="00A6794A">
        <w:rPr>
          <w:lang w:val="en-US"/>
        </w:rPr>
        <w:instrText>noteIndex</w:instrText>
      </w:r>
      <w:r w:rsidR="00A6794A" w:rsidRPr="00D3550C">
        <w:instrText>":0},"</w:instrText>
      </w:r>
      <w:r w:rsidR="00A6794A">
        <w:rPr>
          <w:lang w:val="en-US"/>
        </w:rPr>
        <w:instrText>schema</w:instrText>
      </w:r>
      <w:r w:rsidR="00A6794A" w:rsidRPr="00D3550C">
        <w:instrText>":"</w:instrText>
      </w:r>
      <w:r w:rsidR="00A6794A">
        <w:rPr>
          <w:lang w:val="en-US"/>
        </w:rPr>
        <w:instrText>https</w:instrText>
      </w:r>
      <w:r w:rsidR="00A6794A" w:rsidRPr="00D3550C">
        <w:instrText>://</w:instrText>
      </w:r>
      <w:r w:rsidR="00A6794A">
        <w:rPr>
          <w:lang w:val="en-US"/>
        </w:rPr>
        <w:instrText>github</w:instrText>
      </w:r>
      <w:r w:rsidR="00A6794A" w:rsidRPr="00D3550C">
        <w:instrText>.</w:instrText>
      </w:r>
      <w:r w:rsidR="00A6794A">
        <w:rPr>
          <w:lang w:val="en-US"/>
        </w:rPr>
        <w:instrText>com</w:instrText>
      </w:r>
      <w:r w:rsidR="00A6794A" w:rsidRPr="00D3550C">
        <w:instrText>/</w:instrText>
      </w:r>
      <w:r w:rsidR="00A6794A">
        <w:rPr>
          <w:lang w:val="en-US"/>
        </w:rPr>
        <w:instrText>citation</w:instrText>
      </w:r>
      <w:r w:rsidR="00A6794A" w:rsidRPr="00D3550C">
        <w:instrText>-</w:instrText>
      </w:r>
      <w:r w:rsidR="00A6794A">
        <w:rPr>
          <w:lang w:val="en-US"/>
        </w:rPr>
        <w:instrText>style</w:instrText>
      </w:r>
      <w:r w:rsidR="00A6794A" w:rsidRPr="00D3550C">
        <w:instrText>-</w:instrText>
      </w:r>
      <w:r w:rsidR="00A6794A">
        <w:rPr>
          <w:lang w:val="en-US"/>
        </w:rPr>
        <w:instrText>language</w:instrText>
      </w:r>
      <w:r w:rsidR="00A6794A" w:rsidRPr="00D3550C">
        <w:instrText>/</w:instrText>
      </w:r>
      <w:r w:rsidR="00A6794A">
        <w:rPr>
          <w:lang w:val="en-US"/>
        </w:rPr>
        <w:instrText>schema</w:instrText>
      </w:r>
      <w:r w:rsidR="00A6794A" w:rsidRPr="00D3550C">
        <w:instrText>/</w:instrText>
      </w:r>
      <w:r w:rsidR="00A6794A">
        <w:rPr>
          <w:lang w:val="en-US"/>
        </w:rPr>
        <w:instrText>raw</w:instrText>
      </w:r>
      <w:r w:rsidR="00A6794A" w:rsidRPr="00D3550C">
        <w:instrText>/</w:instrText>
      </w:r>
      <w:r w:rsidR="00A6794A">
        <w:rPr>
          <w:lang w:val="en-US"/>
        </w:rPr>
        <w:instrText>master</w:instrText>
      </w:r>
      <w:r w:rsidR="00A6794A" w:rsidRPr="00D3550C">
        <w:instrText>/</w:instrText>
      </w:r>
      <w:r w:rsidR="00A6794A">
        <w:rPr>
          <w:lang w:val="en-US"/>
        </w:rPr>
        <w:instrText>csl</w:instrText>
      </w:r>
      <w:r w:rsidR="00A6794A" w:rsidRPr="00D3550C">
        <w:instrText>-</w:instrText>
      </w:r>
      <w:r w:rsidR="00A6794A">
        <w:rPr>
          <w:lang w:val="en-US"/>
        </w:rPr>
        <w:instrText>citation</w:instrText>
      </w:r>
      <w:r w:rsidR="00A6794A" w:rsidRPr="00D3550C">
        <w:instrText>.</w:instrText>
      </w:r>
      <w:r w:rsidR="00A6794A">
        <w:rPr>
          <w:lang w:val="en-US"/>
        </w:rPr>
        <w:instrText>json</w:instrText>
      </w:r>
      <w:r w:rsidR="00A6794A" w:rsidRPr="00D3550C">
        <w:instrText>"}</w:instrText>
      </w:r>
      <w:r w:rsidRPr="000322E4">
        <w:rPr>
          <w:lang w:val="en-US"/>
        </w:rPr>
        <w:fldChar w:fldCharType="separate"/>
      </w:r>
      <w:r w:rsidR="006E1902" w:rsidRPr="006E1902">
        <w:rPr>
          <w:noProof/>
        </w:rPr>
        <w:t>[205–208]</w:t>
      </w:r>
      <w:r w:rsidRPr="000322E4">
        <w:rPr>
          <w:lang w:val="en-US"/>
        </w:rPr>
        <w:fldChar w:fldCharType="end"/>
      </w:r>
    </w:p>
    <w:p w14:paraId="7E82F014" w14:textId="77777777" w:rsidR="00666D68" w:rsidRPr="00293AC8" w:rsidRDefault="00666D68" w:rsidP="008E3584">
      <w:pPr>
        <w:numPr>
          <w:ilvl w:val="0"/>
          <w:numId w:val="43"/>
        </w:numPr>
        <w:spacing w:line="360" w:lineRule="auto"/>
        <w:jc w:val="both"/>
        <w:rPr>
          <w:b/>
          <w:bCs/>
        </w:rPr>
      </w:pPr>
      <w:r w:rsidRPr="000322E4">
        <w:t>Этопозид</w:t>
      </w:r>
      <w:r w:rsidRPr="00293AC8">
        <w:rPr>
          <w:bCs/>
        </w:rPr>
        <w:t>**</w:t>
      </w:r>
      <w:r w:rsidRPr="00293AC8">
        <w:t xml:space="preserve"> 50 </w:t>
      </w:r>
      <w:r w:rsidRPr="000322E4">
        <w:t>мг</w:t>
      </w:r>
      <w:r w:rsidRPr="00293AC8">
        <w:t>/</w:t>
      </w:r>
      <w:r w:rsidRPr="000322E4">
        <w:t>м</w:t>
      </w:r>
      <w:r w:rsidRPr="00293AC8">
        <w:rPr>
          <w:vertAlign w:val="superscript"/>
        </w:rPr>
        <w:t>2</w:t>
      </w:r>
      <w:r w:rsidRPr="00293AC8">
        <w:t>/</w:t>
      </w:r>
      <w:r w:rsidRPr="000322E4">
        <w:t>сут</w:t>
      </w:r>
      <w:r w:rsidRPr="00293AC8">
        <w:t xml:space="preserve"> </w:t>
      </w:r>
      <w:r w:rsidRPr="000322E4">
        <w:t>в</w:t>
      </w:r>
      <w:r w:rsidRPr="00293AC8">
        <w:t>/</w:t>
      </w:r>
      <w:r w:rsidRPr="000322E4">
        <w:t>в</w:t>
      </w:r>
      <w:r w:rsidRPr="00293AC8">
        <w:t xml:space="preserve">, </w:t>
      </w:r>
      <w:r w:rsidRPr="000322E4">
        <w:t>дни</w:t>
      </w:r>
      <w:r w:rsidRPr="00293AC8">
        <w:t xml:space="preserve"> 1-4 (</w:t>
      </w:r>
      <w:r w:rsidRPr="000322E4">
        <w:t>непрерывная</w:t>
      </w:r>
      <w:r w:rsidRPr="00293AC8">
        <w:t xml:space="preserve"> 96-</w:t>
      </w:r>
      <w:r w:rsidRPr="000322E4">
        <w:t>часовая</w:t>
      </w:r>
      <w:r w:rsidRPr="00293AC8">
        <w:t xml:space="preserve"> </w:t>
      </w:r>
      <w:r w:rsidRPr="000322E4">
        <w:t>инфузия</w:t>
      </w:r>
      <w:r w:rsidRPr="00293AC8">
        <w:t>)</w:t>
      </w:r>
    </w:p>
    <w:p w14:paraId="00413C36" w14:textId="77777777" w:rsidR="00666D68" w:rsidRPr="00293AC8" w:rsidRDefault="00666D68" w:rsidP="008E3584">
      <w:pPr>
        <w:numPr>
          <w:ilvl w:val="0"/>
          <w:numId w:val="43"/>
        </w:numPr>
        <w:spacing w:line="360" w:lineRule="auto"/>
        <w:jc w:val="both"/>
        <w:rPr>
          <w:b/>
          <w:bCs/>
        </w:rPr>
      </w:pPr>
      <w:r w:rsidRPr="000322E4">
        <w:t>Доксорубицин</w:t>
      </w:r>
      <w:r w:rsidRPr="00293AC8">
        <w:rPr>
          <w:bCs/>
        </w:rPr>
        <w:t>**</w:t>
      </w:r>
      <w:r w:rsidRPr="00293AC8">
        <w:t xml:space="preserve"> 10 </w:t>
      </w:r>
      <w:r w:rsidRPr="000322E4">
        <w:t>мг</w:t>
      </w:r>
      <w:r w:rsidRPr="00293AC8">
        <w:t>/</w:t>
      </w:r>
      <w:r w:rsidRPr="000322E4">
        <w:t>м</w:t>
      </w:r>
      <w:r w:rsidRPr="00293AC8">
        <w:rPr>
          <w:vertAlign w:val="superscript"/>
        </w:rPr>
        <w:t>2</w:t>
      </w:r>
      <w:r w:rsidRPr="00293AC8">
        <w:t>/</w:t>
      </w:r>
      <w:r w:rsidRPr="000322E4">
        <w:t>сут</w:t>
      </w:r>
      <w:r w:rsidRPr="00293AC8">
        <w:t xml:space="preserve"> </w:t>
      </w:r>
      <w:r w:rsidRPr="000322E4">
        <w:t>в</w:t>
      </w:r>
      <w:r w:rsidRPr="00293AC8">
        <w:t>/</w:t>
      </w:r>
      <w:r w:rsidRPr="000322E4">
        <w:t>в</w:t>
      </w:r>
      <w:r w:rsidRPr="00293AC8">
        <w:t xml:space="preserve">, </w:t>
      </w:r>
      <w:r w:rsidRPr="000322E4">
        <w:t>дни</w:t>
      </w:r>
      <w:r w:rsidRPr="00293AC8">
        <w:t xml:space="preserve"> 1-4 (</w:t>
      </w:r>
      <w:r w:rsidRPr="000322E4">
        <w:t>непрерывная</w:t>
      </w:r>
      <w:r w:rsidRPr="00293AC8">
        <w:t xml:space="preserve"> 96-</w:t>
      </w:r>
      <w:r w:rsidRPr="000322E4">
        <w:t>часовая</w:t>
      </w:r>
      <w:r w:rsidRPr="00293AC8">
        <w:t xml:space="preserve"> </w:t>
      </w:r>
      <w:r w:rsidRPr="000322E4">
        <w:t>инфузия</w:t>
      </w:r>
      <w:r w:rsidRPr="00293AC8">
        <w:t>)</w:t>
      </w:r>
    </w:p>
    <w:p w14:paraId="61AF8A5A" w14:textId="77777777" w:rsidR="00666D68" w:rsidRPr="00293AC8" w:rsidRDefault="00F35A3E" w:rsidP="008E3584">
      <w:pPr>
        <w:numPr>
          <w:ilvl w:val="0"/>
          <w:numId w:val="43"/>
        </w:numPr>
        <w:spacing w:line="360" w:lineRule="auto"/>
        <w:jc w:val="both"/>
        <w:rPr>
          <w:b/>
          <w:bCs/>
        </w:rPr>
      </w:pPr>
      <w:r w:rsidRPr="00293AC8">
        <w:lastRenderedPageBreak/>
        <w:t>#</w:t>
      </w:r>
      <w:r w:rsidR="00666D68" w:rsidRPr="000322E4">
        <w:t>Винкристин</w:t>
      </w:r>
      <w:r w:rsidR="00666D68" w:rsidRPr="00293AC8">
        <w:rPr>
          <w:bCs/>
        </w:rPr>
        <w:t xml:space="preserve">** </w:t>
      </w:r>
      <w:r w:rsidR="00666D68" w:rsidRPr="00293AC8">
        <w:t xml:space="preserve">0,4 </w:t>
      </w:r>
      <w:r w:rsidR="00666D68" w:rsidRPr="000322E4">
        <w:t>мг</w:t>
      </w:r>
      <w:r w:rsidR="00666D68" w:rsidRPr="00293AC8">
        <w:t>/</w:t>
      </w:r>
      <w:r w:rsidR="00666D68" w:rsidRPr="000322E4">
        <w:t>м</w:t>
      </w:r>
      <w:r w:rsidR="00666D68" w:rsidRPr="00293AC8">
        <w:rPr>
          <w:vertAlign w:val="superscript"/>
        </w:rPr>
        <w:t>2</w:t>
      </w:r>
      <w:r w:rsidR="00666D68" w:rsidRPr="00293AC8">
        <w:t>/</w:t>
      </w:r>
      <w:r w:rsidR="00666D68" w:rsidRPr="000322E4">
        <w:t>сут</w:t>
      </w:r>
      <w:r w:rsidR="00666D68" w:rsidRPr="00293AC8">
        <w:t xml:space="preserve"> </w:t>
      </w:r>
      <w:r w:rsidR="00666D68" w:rsidRPr="000322E4">
        <w:t>в</w:t>
      </w:r>
      <w:r w:rsidR="00666D68" w:rsidRPr="00293AC8">
        <w:t>/</w:t>
      </w:r>
      <w:r w:rsidR="00666D68" w:rsidRPr="000322E4">
        <w:t>в</w:t>
      </w:r>
      <w:r w:rsidR="00666D68" w:rsidRPr="00293AC8">
        <w:t xml:space="preserve">, </w:t>
      </w:r>
      <w:r w:rsidR="00666D68" w:rsidRPr="000322E4">
        <w:t>дни</w:t>
      </w:r>
      <w:r w:rsidR="00666D68" w:rsidRPr="00293AC8">
        <w:t xml:space="preserve"> 1-4 (</w:t>
      </w:r>
      <w:r w:rsidR="00666D68" w:rsidRPr="000322E4">
        <w:t>непрерывная</w:t>
      </w:r>
      <w:r w:rsidR="00666D68" w:rsidRPr="00293AC8">
        <w:t xml:space="preserve"> 96-</w:t>
      </w:r>
      <w:r w:rsidR="00666D68" w:rsidRPr="000322E4">
        <w:t>часовая</w:t>
      </w:r>
      <w:r w:rsidR="00666D68" w:rsidRPr="00293AC8">
        <w:t xml:space="preserve"> </w:t>
      </w:r>
      <w:r w:rsidR="00666D68" w:rsidRPr="000322E4">
        <w:t>инфузия</w:t>
      </w:r>
      <w:r w:rsidR="00666D68" w:rsidRPr="00293AC8">
        <w:t>)</w:t>
      </w:r>
    </w:p>
    <w:p w14:paraId="265B9B61" w14:textId="77777777" w:rsidR="00666D68" w:rsidRPr="00293AC8" w:rsidRDefault="00666D68" w:rsidP="008E3584">
      <w:pPr>
        <w:numPr>
          <w:ilvl w:val="0"/>
          <w:numId w:val="43"/>
        </w:numPr>
        <w:spacing w:line="360" w:lineRule="auto"/>
        <w:jc w:val="both"/>
        <w:rPr>
          <w:b/>
          <w:bCs/>
        </w:rPr>
      </w:pPr>
      <w:r w:rsidRPr="000322E4">
        <w:t>Циклофосфамид</w:t>
      </w:r>
      <w:r w:rsidRPr="00293AC8">
        <w:rPr>
          <w:bCs/>
        </w:rPr>
        <w:t>**</w:t>
      </w:r>
      <w:r w:rsidRPr="00293AC8">
        <w:t xml:space="preserve"> 750 </w:t>
      </w:r>
      <w:r w:rsidRPr="000322E4">
        <w:t>мг</w:t>
      </w:r>
      <w:r w:rsidRPr="00293AC8">
        <w:t>/</w:t>
      </w:r>
      <w:r w:rsidRPr="000322E4">
        <w:t>м</w:t>
      </w:r>
      <w:r w:rsidRPr="00293AC8">
        <w:rPr>
          <w:vertAlign w:val="superscript"/>
        </w:rPr>
        <w:t>2</w:t>
      </w:r>
      <w:r w:rsidRPr="00293AC8">
        <w:t xml:space="preserve"> </w:t>
      </w:r>
      <w:r w:rsidRPr="000322E4">
        <w:t>в</w:t>
      </w:r>
      <w:r w:rsidRPr="00293AC8">
        <w:t>/</w:t>
      </w:r>
      <w:r w:rsidRPr="000322E4">
        <w:t>в</w:t>
      </w:r>
      <w:r w:rsidRPr="00293AC8">
        <w:t xml:space="preserve">, </w:t>
      </w:r>
      <w:r w:rsidRPr="000322E4">
        <w:t>день</w:t>
      </w:r>
      <w:r w:rsidRPr="00293AC8">
        <w:t xml:space="preserve"> 5</w:t>
      </w:r>
    </w:p>
    <w:p w14:paraId="2364A3B1" w14:textId="77777777" w:rsidR="00666D68" w:rsidRPr="00293AC8" w:rsidRDefault="00666D68" w:rsidP="008E3584">
      <w:pPr>
        <w:numPr>
          <w:ilvl w:val="0"/>
          <w:numId w:val="43"/>
        </w:numPr>
        <w:spacing w:line="360" w:lineRule="auto"/>
        <w:jc w:val="both"/>
        <w:rPr>
          <w:b/>
          <w:bCs/>
        </w:rPr>
      </w:pPr>
      <w:r w:rsidRPr="000322E4">
        <w:t>Преднизолон</w:t>
      </w:r>
      <w:r w:rsidRPr="00293AC8">
        <w:rPr>
          <w:bCs/>
        </w:rPr>
        <w:t>**</w:t>
      </w:r>
      <w:r w:rsidRPr="00293AC8">
        <w:t xml:space="preserve"> 60 </w:t>
      </w:r>
      <w:r w:rsidRPr="000322E4">
        <w:t>мг</w:t>
      </w:r>
      <w:r w:rsidRPr="00293AC8">
        <w:t>/</w:t>
      </w:r>
      <w:r w:rsidRPr="000322E4">
        <w:t>м</w:t>
      </w:r>
      <w:r w:rsidRPr="00293AC8">
        <w:rPr>
          <w:vertAlign w:val="superscript"/>
        </w:rPr>
        <w:t>2</w:t>
      </w:r>
      <w:r w:rsidRPr="00293AC8">
        <w:t xml:space="preserve"> 2 </w:t>
      </w:r>
      <w:r w:rsidRPr="000322E4">
        <w:t>раза</w:t>
      </w:r>
      <w:r w:rsidRPr="00293AC8">
        <w:t xml:space="preserve"> </w:t>
      </w:r>
      <w:r w:rsidRPr="000322E4">
        <w:t>в</w:t>
      </w:r>
      <w:r w:rsidRPr="00293AC8">
        <w:t xml:space="preserve"> </w:t>
      </w:r>
      <w:r w:rsidRPr="000322E4">
        <w:t>день</w:t>
      </w:r>
      <w:r w:rsidRPr="00293AC8">
        <w:t xml:space="preserve"> </w:t>
      </w:r>
      <w:r w:rsidRPr="000322E4">
        <w:t>внутрь</w:t>
      </w:r>
      <w:r w:rsidRPr="00293AC8">
        <w:t xml:space="preserve">, </w:t>
      </w:r>
      <w:r w:rsidRPr="000322E4">
        <w:t>дни</w:t>
      </w:r>
      <w:r w:rsidRPr="00293AC8">
        <w:t xml:space="preserve"> 1-5</w:t>
      </w:r>
    </w:p>
    <w:p w14:paraId="66E893C4" w14:textId="77777777" w:rsidR="00666D68" w:rsidRPr="00293AC8" w:rsidRDefault="00666D68" w:rsidP="008E3584">
      <w:pPr>
        <w:numPr>
          <w:ilvl w:val="0"/>
          <w:numId w:val="43"/>
        </w:numPr>
        <w:spacing w:line="360" w:lineRule="auto"/>
        <w:jc w:val="both"/>
        <w:rPr>
          <w:b/>
          <w:bCs/>
        </w:rPr>
      </w:pPr>
      <w:r w:rsidRPr="000322E4">
        <w:t>Г</w:t>
      </w:r>
      <w:r w:rsidRPr="00293AC8">
        <w:t>-</w:t>
      </w:r>
      <w:r w:rsidRPr="000322E4">
        <w:t>КСФ</w:t>
      </w:r>
      <w:r w:rsidRPr="00293AC8">
        <w:t xml:space="preserve"> 5 </w:t>
      </w:r>
      <w:r w:rsidRPr="000322E4">
        <w:t>мкг</w:t>
      </w:r>
      <w:r w:rsidRPr="00293AC8">
        <w:t>/</w:t>
      </w:r>
      <w:r w:rsidRPr="000322E4">
        <w:t>кг</w:t>
      </w:r>
      <w:r w:rsidRPr="00293AC8">
        <w:t xml:space="preserve"> </w:t>
      </w:r>
      <w:r w:rsidRPr="000322E4">
        <w:t>подкожно</w:t>
      </w:r>
      <w:r w:rsidRPr="00293AC8">
        <w:t xml:space="preserve">, </w:t>
      </w:r>
      <w:r w:rsidRPr="000322E4">
        <w:t>начиная</w:t>
      </w:r>
      <w:r w:rsidRPr="00293AC8">
        <w:t xml:space="preserve"> </w:t>
      </w:r>
      <w:r w:rsidRPr="000322E4">
        <w:t>с</w:t>
      </w:r>
      <w:r w:rsidRPr="00293AC8">
        <w:t xml:space="preserve"> 6-</w:t>
      </w:r>
      <w:r w:rsidRPr="000322E4">
        <w:t>го</w:t>
      </w:r>
      <w:r w:rsidRPr="00293AC8">
        <w:t xml:space="preserve"> </w:t>
      </w:r>
      <w:r w:rsidRPr="000322E4">
        <w:t>дня</w:t>
      </w:r>
      <w:r w:rsidRPr="00293AC8">
        <w:t xml:space="preserve"> </w:t>
      </w:r>
      <w:r w:rsidRPr="000322E4">
        <w:t>и</w:t>
      </w:r>
      <w:r w:rsidRPr="00293AC8">
        <w:t xml:space="preserve"> </w:t>
      </w:r>
      <w:r w:rsidRPr="000322E4">
        <w:t>продолжая</w:t>
      </w:r>
      <w:r w:rsidRPr="00293AC8">
        <w:t xml:space="preserve"> </w:t>
      </w:r>
      <w:r w:rsidRPr="000322E4">
        <w:t>до</w:t>
      </w:r>
      <w:r w:rsidRPr="00293AC8">
        <w:t xml:space="preserve"> </w:t>
      </w:r>
      <w:r w:rsidRPr="000322E4">
        <w:t>достижения</w:t>
      </w:r>
      <w:r w:rsidRPr="00293AC8">
        <w:t xml:space="preserve"> </w:t>
      </w:r>
      <w:r w:rsidRPr="000322E4">
        <w:t>абсолютного</w:t>
      </w:r>
      <w:r w:rsidRPr="00293AC8">
        <w:t xml:space="preserve"> </w:t>
      </w:r>
      <w:r w:rsidRPr="000322E4">
        <w:t>уровня</w:t>
      </w:r>
      <w:r w:rsidRPr="00293AC8">
        <w:t xml:space="preserve"> </w:t>
      </w:r>
      <w:r w:rsidRPr="000322E4">
        <w:t>нейтрофилов</w:t>
      </w:r>
      <w:r w:rsidRPr="00293AC8">
        <w:t xml:space="preserve"> </w:t>
      </w:r>
      <w:r w:rsidRPr="000322E4">
        <w:t>более</w:t>
      </w:r>
      <w:r w:rsidRPr="00293AC8">
        <w:t xml:space="preserve">, </w:t>
      </w:r>
      <w:r w:rsidRPr="000322E4">
        <w:t>чем</w:t>
      </w:r>
      <w:r w:rsidRPr="00293AC8">
        <w:t xml:space="preserve"> 0,5</w:t>
      </w:r>
      <w:r w:rsidRPr="000322E4">
        <w:t>х</w:t>
      </w:r>
      <w:r w:rsidRPr="00293AC8">
        <w:t>10</w:t>
      </w:r>
      <w:r w:rsidRPr="00293AC8">
        <w:rPr>
          <w:vertAlign w:val="superscript"/>
        </w:rPr>
        <w:t>9</w:t>
      </w:r>
      <w:r w:rsidRPr="00293AC8">
        <w:t>/</w:t>
      </w:r>
      <w:r w:rsidRPr="000322E4">
        <w:t>л</w:t>
      </w:r>
      <w:r w:rsidRPr="00293AC8">
        <w:t xml:space="preserve"> </w:t>
      </w:r>
      <w:r w:rsidRPr="000322E4">
        <w:t>после</w:t>
      </w:r>
      <w:r w:rsidRPr="00293AC8">
        <w:t xml:space="preserve"> </w:t>
      </w:r>
      <w:r w:rsidRPr="000322E4">
        <w:t>надира</w:t>
      </w:r>
    </w:p>
    <w:p w14:paraId="0379B793" w14:textId="3CF2A635" w:rsidR="00666D68" w:rsidRDefault="00666D68" w:rsidP="008E3584">
      <w:pPr>
        <w:spacing w:line="360" w:lineRule="auto"/>
        <w:ind w:left="360"/>
        <w:jc w:val="both"/>
      </w:pPr>
      <w:r w:rsidRPr="000322E4">
        <w:t>Лечение</w:t>
      </w:r>
      <w:r w:rsidRPr="00293AC8">
        <w:t xml:space="preserve"> </w:t>
      </w:r>
      <w:r w:rsidRPr="000322E4">
        <w:t>возобновляется</w:t>
      </w:r>
      <w:r w:rsidRPr="00293AC8">
        <w:t xml:space="preserve"> </w:t>
      </w:r>
      <w:r w:rsidRPr="000322E4">
        <w:t>на</w:t>
      </w:r>
      <w:r w:rsidRPr="00293AC8">
        <w:t xml:space="preserve"> 22 </w:t>
      </w:r>
      <w:r w:rsidRPr="000322E4">
        <w:t>день</w:t>
      </w:r>
    </w:p>
    <w:p w14:paraId="43DF2528" w14:textId="23BCC515" w:rsidR="00EB3D5F" w:rsidRPr="00EB3D5F" w:rsidRDefault="00EB3D5F" w:rsidP="008E3584">
      <w:pPr>
        <w:spacing w:line="360" w:lineRule="auto"/>
        <w:ind w:left="360"/>
        <w:jc w:val="both"/>
      </w:pPr>
      <w:r w:rsidRPr="00EB3D5F">
        <w:t>Филграстим 5 мкг/кг подкожно (п/к) через 24-72 часа после окончания введения химиопрепаратов и до восстановления нормального числа нейтрофилов после надира или пэгфилграстим 6 мг или эмпэгфилграстим 7,5 мг подкожно, однократно, не менее чем через 24 часа после окончания введения химиопрепаратов.</w:t>
      </w:r>
    </w:p>
    <w:p w14:paraId="6F842F0F" w14:textId="77777777" w:rsidR="00666D68" w:rsidRPr="00293AC8" w:rsidRDefault="00666D68" w:rsidP="008E3584">
      <w:pPr>
        <w:spacing w:line="360" w:lineRule="auto"/>
        <w:ind w:left="360"/>
        <w:jc w:val="both"/>
        <w:rPr>
          <w:i/>
          <w:iCs/>
        </w:rPr>
      </w:pPr>
      <w:r w:rsidRPr="000322E4">
        <w:rPr>
          <w:i/>
          <w:iCs/>
        </w:rPr>
        <w:t>В</w:t>
      </w:r>
      <w:r w:rsidRPr="00293AC8">
        <w:rPr>
          <w:i/>
          <w:iCs/>
        </w:rPr>
        <w:t xml:space="preserve"> </w:t>
      </w:r>
      <w:r w:rsidRPr="000322E4">
        <w:rPr>
          <w:i/>
          <w:iCs/>
        </w:rPr>
        <w:t>данной</w:t>
      </w:r>
      <w:r w:rsidRPr="00293AC8">
        <w:rPr>
          <w:i/>
          <w:iCs/>
        </w:rPr>
        <w:t xml:space="preserve"> </w:t>
      </w:r>
      <w:r w:rsidRPr="000322E4">
        <w:rPr>
          <w:i/>
          <w:iCs/>
        </w:rPr>
        <w:t>дозировке</w:t>
      </w:r>
      <w:r w:rsidRPr="00293AC8">
        <w:rPr>
          <w:i/>
          <w:iCs/>
        </w:rPr>
        <w:t xml:space="preserve"> </w:t>
      </w:r>
      <w:r w:rsidRPr="000322E4">
        <w:rPr>
          <w:i/>
          <w:iCs/>
        </w:rPr>
        <w:t>проводится</w:t>
      </w:r>
      <w:r w:rsidRPr="00293AC8">
        <w:rPr>
          <w:i/>
          <w:iCs/>
        </w:rPr>
        <w:t xml:space="preserve"> 1 </w:t>
      </w:r>
      <w:r w:rsidRPr="000322E4">
        <w:rPr>
          <w:i/>
          <w:iCs/>
        </w:rPr>
        <w:t>курс</w:t>
      </w:r>
      <w:r w:rsidRPr="00293AC8">
        <w:rPr>
          <w:i/>
          <w:iCs/>
        </w:rPr>
        <w:t xml:space="preserve">. </w:t>
      </w:r>
      <w:r w:rsidRPr="000322E4">
        <w:rPr>
          <w:i/>
          <w:iCs/>
        </w:rPr>
        <w:t>Далее</w:t>
      </w:r>
      <w:r w:rsidRPr="00293AC8">
        <w:rPr>
          <w:i/>
          <w:iCs/>
        </w:rPr>
        <w:t xml:space="preserve"> </w:t>
      </w:r>
      <w:r w:rsidRPr="000322E4">
        <w:rPr>
          <w:i/>
          <w:iCs/>
        </w:rPr>
        <w:t>дозы</w:t>
      </w:r>
      <w:r w:rsidRPr="00293AC8">
        <w:rPr>
          <w:i/>
          <w:iCs/>
        </w:rPr>
        <w:t xml:space="preserve"> </w:t>
      </w:r>
      <w:r w:rsidRPr="000322E4">
        <w:rPr>
          <w:i/>
          <w:iCs/>
        </w:rPr>
        <w:t>этопозида</w:t>
      </w:r>
      <w:r w:rsidRPr="00293AC8">
        <w:rPr>
          <w:i/>
          <w:iCs/>
        </w:rPr>
        <w:t xml:space="preserve">, </w:t>
      </w:r>
      <w:r w:rsidRPr="000322E4">
        <w:rPr>
          <w:i/>
          <w:iCs/>
        </w:rPr>
        <w:t>доксорубицина</w:t>
      </w:r>
      <w:r w:rsidRPr="00293AC8">
        <w:rPr>
          <w:i/>
          <w:iCs/>
        </w:rPr>
        <w:t xml:space="preserve"> </w:t>
      </w:r>
      <w:r w:rsidRPr="000322E4">
        <w:rPr>
          <w:i/>
          <w:iCs/>
        </w:rPr>
        <w:t>и</w:t>
      </w:r>
      <w:r w:rsidRPr="00293AC8">
        <w:rPr>
          <w:i/>
          <w:iCs/>
        </w:rPr>
        <w:t xml:space="preserve"> </w:t>
      </w:r>
      <w:r w:rsidRPr="000322E4">
        <w:rPr>
          <w:i/>
          <w:iCs/>
        </w:rPr>
        <w:t>циклофосфана</w:t>
      </w:r>
      <w:r w:rsidRPr="00293AC8">
        <w:rPr>
          <w:i/>
          <w:iCs/>
        </w:rPr>
        <w:t xml:space="preserve"> </w:t>
      </w:r>
      <w:r w:rsidRPr="000322E4">
        <w:rPr>
          <w:i/>
          <w:iCs/>
        </w:rPr>
        <w:t>корректируются</w:t>
      </w:r>
      <w:r w:rsidRPr="00293AC8">
        <w:rPr>
          <w:i/>
          <w:iCs/>
        </w:rPr>
        <w:t xml:space="preserve"> </w:t>
      </w:r>
      <w:r w:rsidRPr="000322E4">
        <w:rPr>
          <w:i/>
          <w:iCs/>
        </w:rPr>
        <w:t>относительно</w:t>
      </w:r>
      <w:r w:rsidRPr="00293AC8">
        <w:rPr>
          <w:i/>
          <w:iCs/>
        </w:rPr>
        <w:t xml:space="preserve"> </w:t>
      </w:r>
      <w:r w:rsidRPr="000322E4">
        <w:rPr>
          <w:i/>
          <w:iCs/>
        </w:rPr>
        <w:t>предыдущего</w:t>
      </w:r>
      <w:r w:rsidRPr="00293AC8">
        <w:rPr>
          <w:i/>
          <w:iCs/>
        </w:rPr>
        <w:t xml:space="preserve"> </w:t>
      </w:r>
      <w:r w:rsidRPr="000322E4">
        <w:rPr>
          <w:i/>
          <w:iCs/>
        </w:rPr>
        <w:t>в</w:t>
      </w:r>
      <w:r w:rsidRPr="00293AC8">
        <w:rPr>
          <w:i/>
          <w:iCs/>
        </w:rPr>
        <w:t xml:space="preserve"> </w:t>
      </w:r>
      <w:r w:rsidRPr="000322E4">
        <w:rPr>
          <w:i/>
          <w:iCs/>
        </w:rPr>
        <w:t>зависимости</w:t>
      </w:r>
      <w:r w:rsidRPr="00293AC8">
        <w:rPr>
          <w:i/>
          <w:iCs/>
        </w:rPr>
        <w:t xml:space="preserve"> </w:t>
      </w:r>
      <w:r w:rsidRPr="000322E4">
        <w:rPr>
          <w:i/>
          <w:iCs/>
        </w:rPr>
        <w:t>от</w:t>
      </w:r>
      <w:r w:rsidRPr="00293AC8">
        <w:rPr>
          <w:i/>
          <w:iCs/>
        </w:rPr>
        <w:t xml:space="preserve"> </w:t>
      </w:r>
      <w:r w:rsidRPr="000322E4">
        <w:rPr>
          <w:i/>
          <w:iCs/>
        </w:rPr>
        <w:t>низшего</w:t>
      </w:r>
      <w:r w:rsidRPr="00293AC8">
        <w:rPr>
          <w:i/>
          <w:iCs/>
        </w:rPr>
        <w:t xml:space="preserve"> </w:t>
      </w:r>
      <w:r w:rsidRPr="000322E4">
        <w:rPr>
          <w:i/>
          <w:iCs/>
        </w:rPr>
        <w:t>уровня</w:t>
      </w:r>
      <w:r w:rsidRPr="00293AC8">
        <w:rPr>
          <w:i/>
          <w:iCs/>
        </w:rPr>
        <w:t xml:space="preserve"> </w:t>
      </w:r>
      <w:r w:rsidRPr="000322E4">
        <w:rPr>
          <w:i/>
          <w:iCs/>
        </w:rPr>
        <w:t>показателей</w:t>
      </w:r>
      <w:r w:rsidRPr="00293AC8">
        <w:rPr>
          <w:i/>
          <w:iCs/>
        </w:rPr>
        <w:t xml:space="preserve"> </w:t>
      </w:r>
      <w:r w:rsidRPr="000322E4">
        <w:rPr>
          <w:i/>
          <w:iCs/>
        </w:rPr>
        <w:t>крови</w:t>
      </w:r>
      <w:r w:rsidRPr="00293AC8">
        <w:rPr>
          <w:i/>
          <w:iCs/>
        </w:rPr>
        <w:t xml:space="preserve">, </w:t>
      </w:r>
      <w:r w:rsidRPr="000322E4">
        <w:rPr>
          <w:i/>
          <w:iCs/>
        </w:rPr>
        <w:t>определенных</w:t>
      </w:r>
      <w:r w:rsidRPr="00293AC8">
        <w:rPr>
          <w:i/>
          <w:iCs/>
        </w:rPr>
        <w:t xml:space="preserve"> </w:t>
      </w:r>
      <w:r w:rsidRPr="000322E4">
        <w:rPr>
          <w:i/>
          <w:iCs/>
        </w:rPr>
        <w:t>во</w:t>
      </w:r>
      <w:r w:rsidRPr="00293AC8">
        <w:rPr>
          <w:i/>
          <w:iCs/>
        </w:rPr>
        <w:t xml:space="preserve"> </w:t>
      </w:r>
      <w:r w:rsidRPr="000322E4">
        <w:rPr>
          <w:i/>
          <w:iCs/>
        </w:rPr>
        <w:t>время</w:t>
      </w:r>
      <w:r w:rsidRPr="00293AC8">
        <w:rPr>
          <w:i/>
          <w:iCs/>
        </w:rPr>
        <w:t xml:space="preserve"> </w:t>
      </w:r>
      <w:r w:rsidRPr="000322E4">
        <w:rPr>
          <w:i/>
          <w:iCs/>
        </w:rPr>
        <w:t>и</w:t>
      </w:r>
      <w:r w:rsidRPr="00293AC8">
        <w:rPr>
          <w:i/>
          <w:iCs/>
        </w:rPr>
        <w:t xml:space="preserve"> </w:t>
      </w:r>
      <w:r w:rsidRPr="000322E4">
        <w:rPr>
          <w:i/>
          <w:iCs/>
        </w:rPr>
        <w:t>после</w:t>
      </w:r>
      <w:r w:rsidRPr="00293AC8">
        <w:rPr>
          <w:i/>
          <w:iCs/>
        </w:rPr>
        <w:t xml:space="preserve"> </w:t>
      </w:r>
      <w:r w:rsidRPr="000322E4">
        <w:rPr>
          <w:i/>
          <w:iCs/>
        </w:rPr>
        <w:t>проведения</w:t>
      </w:r>
      <w:r w:rsidRPr="00293AC8">
        <w:rPr>
          <w:i/>
          <w:iCs/>
        </w:rPr>
        <w:t xml:space="preserve"> </w:t>
      </w:r>
      <w:r w:rsidRPr="000322E4">
        <w:rPr>
          <w:i/>
          <w:iCs/>
        </w:rPr>
        <w:t>курса</w:t>
      </w:r>
      <w:r w:rsidRPr="00293AC8">
        <w:rPr>
          <w:i/>
          <w:iCs/>
        </w:rPr>
        <w:t xml:space="preserve">, </w:t>
      </w:r>
      <w:r w:rsidRPr="000322E4">
        <w:rPr>
          <w:i/>
          <w:iCs/>
        </w:rPr>
        <w:t>по</w:t>
      </w:r>
      <w:r w:rsidRPr="00293AC8">
        <w:rPr>
          <w:i/>
          <w:iCs/>
        </w:rPr>
        <w:t xml:space="preserve"> </w:t>
      </w:r>
      <w:r w:rsidRPr="000322E4">
        <w:rPr>
          <w:i/>
          <w:iCs/>
        </w:rPr>
        <w:t>следующей</w:t>
      </w:r>
      <w:r w:rsidRPr="00293AC8">
        <w:rPr>
          <w:i/>
          <w:iCs/>
        </w:rPr>
        <w:t xml:space="preserve"> </w:t>
      </w:r>
      <w:r w:rsidRPr="000322E4">
        <w:rPr>
          <w:i/>
          <w:iCs/>
        </w:rPr>
        <w:t>схеме</w:t>
      </w:r>
      <w:r w:rsidRPr="00293AC8">
        <w:rPr>
          <w:i/>
          <w:iCs/>
        </w:rPr>
        <w:t>:</w:t>
      </w:r>
    </w:p>
    <w:p w14:paraId="3D0E362E" w14:textId="77777777" w:rsidR="00666D68" w:rsidRPr="00293AC8" w:rsidRDefault="00666D68" w:rsidP="008E3584">
      <w:pPr>
        <w:numPr>
          <w:ilvl w:val="0"/>
          <w:numId w:val="44"/>
        </w:numPr>
        <w:spacing w:line="360" w:lineRule="auto"/>
        <w:jc w:val="both"/>
        <w:rPr>
          <w:i/>
          <w:iCs/>
        </w:rPr>
      </w:pPr>
      <w:r w:rsidRPr="000322E4">
        <w:rPr>
          <w:i/>
          <w:iCs/>
        </w:rPr>
        <w:t>нейтрофилы</w:t>
      </w:r>
      <w:r w:rsidRPr="00293AC8">
        <w:rPr>
          <w:i/>
          <w:iCs/>
        </w:rPr>
        <w:t xml:space="preserve"> </w:t>
      </w:r>
      <w:r w:rsidRPr="000322E4">
        <w:rPr>
          <w:i/>
          <w:iCs/>
        </w:rPr>
        <w:t>выше</w:t>
      </w:r>
      <w:r w:rsidRPr="00293AC8">
        <w:rPr>
          <w:i/>
          <w:iCs/>
        </w:rPr>
        <w:t xml:space="preserve"> 0,5 </w:t>
      </w:r>
      <w:r w:rsidRPr="000322E4">
        <w:rPr>
          <w:i/>
          <w:iCs/>
        </w:rPr>
        <w:t>х</w:t>
      </w:r>
      <w:r w:rsidRPr="00293AC8">
        <w:rPr>
          <w:i/>
          <w:iCs/>
        </w:rPr>
        <w:t xml:space="preserve"> 10</w:t>
      </w:r>
      <w:r w:rsidRPr="00293AC8">
        <w:rPr>
          <w:i/>
          <w:iCs/>
          <w:vertAlign w:val="superscript"/>
        </w:rPr>
        <w:t>9</w:t>
      </w:r>
      <w:r w:rsidRPr="00293AC8">
        <w:rPr>
          <w:i/>
          <w:iCs/>
        </w:rPr>
        <w:t>/</w:t>
      </w:r>
      <w:r w:rsidRPr="000322E4">
        <w:rPr>
          <w:i/>
          <w:iCs/>
        </w:rPr>
        <w:t>л</w:t>
      </w:r>
      <w:r w:rsidRPr="00293AC8">
        <w:rPr>
          <w:i/>
          <w:iCs/>
        </w:rPr>
        <w:t xml:space="preserve">, </w:t>
      </w:r>
      <w:r w:rsidRPr="000322E4">
        <w:rPr>
          <w:i/>
          <w:iCs/>
        </w:rPr>
        <w:t>тромбоциты</w:t>
      </w:r>
      <w:r w:rsidRPr="00293AC8">
        <w:rPr>
          <w:i/>
          <w:iCs/>
        </w:rPr>
        <w:t xml:space="preserve"> </w:t>
      </w:r>
      <w:r w:rsidRPr="000322E4">
        <w:rPr>
          <w:i/>
          <w:iCs/>
        </w:rPr>
        <w:t>выше</w:t>
      </w:r>
      <w:r w:rsidRPr="00293AC8">
        <w:rPr>
          <w:i/>
          <w:iCs/>
        </w:rPr>
        <w:t xml:space="preserve"> 25 </w:t>
      </w:r>
      <w:r w:rsidRPr="000322E4">
        <w:rPr>
          <w:i/>
          <w:iCs/>
        </w:rPr>
        <w:t>х</w:t>
      </w:r>
      <w:r w:rsidRPr="00293AC8">
        <w:rPr>
          <w:i/>
          <w:iCs/>
        </w:rPr>
        <w:t xml:space="preserve"> 10</w:t>
      </w:r>
      <w:r w:rsidRPr="00293AC8">
        <w:rPr>
          <w:i/>
          <w:iCs/>
          <w:vertAlign w:val="superscript"/>
        </w:rPr>
        <w:t>9</w:t>
      </w:r>
      <w:r w:rsidRPr="00293AC8">
        <w:rPr>
          <w:i/>
          <w:iCs/>
        </w:rPr>
        <w:t>/</w:t>
      </w:r>
      <w:r w:rsidRPr="000322E4">
        <w:rPr>
          <w:i/>
          <w:iCs/>
        </w:rPr>
        <w:t>л</w:t>
      </w:r>
      <w:r w:rsidRPr="00293AC8">
        <w:rPr>
          <w:i/>
          <w:iCs/>
        </w:rPr>
        <w:t xml:space="preserve"> – </w:t>
      </w:r>
      <w:r w:rsidRPr="000322E4">
        <w:rPr>
          <w:i/>
          <w:iCs/>
        </w:rPr>
        <w:t>увеличение</w:t>
      </w:r>
      <w:r w:rsidRPr="00293AC8">
        <w:rPr>
          <w:i/>
          <w:iCs/>
        </w:rPr>
        <w:t xml:space="preserve"> </w:t>
      </w:r>
      <w:r w:rsidRPr="000322E4">
        <w:rPr>
          <w:i/>
          <w:iCs/>
        </w:rPr>
        <w:t>доз</w:t>
      </w:r>
      <w:r w:rsidRPr="00293AC8">
        <w:rPr>
          <w:i/>
          <w:iCs/>
        </w:rPr>
        <w:t xml:space="preserve"> </w:t>
      </w:r>
      <w:r w:rsidRPr="000322E4">
        <w:rPr>
          <w:i/>
          <w:iCs/>
        </w:rPr>
        <w:t>на</w:t>
      </w:r>
      <w:r w:rsidRPr="00293AC8">
        <w:rPr>
          <w:i/>
          <w:iCs/>
        </w:rPr>
        <w:t xml:space="preserve"> 25%</w:t>
      </w:r>
    </w:p>
    <w:p w14:paraId="6541538E" w14:textId="77777777" w:rsidR="00666D68" w:rsidRPr="00293AC8" w:rsidRDefault="00666D68" w:rsidP="008E3584">
      <w:pPr>
        <w:numPr>
          <w:ilvl w:val="0"/>
          <w:numId w:val="44"/>
        </w:numPr>
        <w:spacing w:line="360" w:lineRule="auto"/>
        <w:jc w:val="both"/>
        <w:rPr>
          <w:i/>
          <w:iCs/>
        </w:rPr>
      </w:pPr>
      <w:r w:rsidRPr="000322E4">
        <w:rPr>
          <w:i/>
          <w:iCs/>
        </w:rPr>
        <w:t>нейтрофилы</w:t>
      </w:r>
      <w:r w:rsidRPr="00293AC8">
        <w:rPr>
          <w:i/>
          <w:iCs/>
        </w:rPr>
        <w:t xml:space="preserve"> </w:t>
      </w:r>
      <w:r w:rsidRPr="000322E4">
        <w:rPr>
          <w:i/>
          <w:iCs/>
        </w:rPr>
        <w:t>менее</w:t>
      </w:r>
      <w:r w:rsidRPr="00293AC8">
        <w:rPr>
          <w:i/>
          <w:iCs/>
        </w:rPr>
        <w:t xml:space="preserve"> 0,5 </w:t>
      </w:r>
      <w:r w:rsidRPr="000322E4">
        <w:rPr>
          <w:i/>
          <w:iCs/>
        </w:rPr>
        <w:t>х</w:t>
      </w:r>
      <w:r w:rsidRPr="00293AC8">
        <w:rPr>
          <w:i/>
          <w:iCs/>
        </w:rPr>
        <w:t xml:space="preserve"> 10</w:t>
      </w:r>
      <w:r w:rsidRPr="00293AC8">
        <w:rPr>
          <w:i/>
          <w:iCs/>
          <w:vertAlign w:val="superscript"/>
        </w:rPr>
        <w:t>9</w:t>
      </w:r>
      <w:r w:rsidRPr="00293AC8">
        <w:rPr>
          <w:i/>
          <w:iCs/>
        </w:rPr>
        <w:t>/</w:t>
      </w:r>
      <w:r w:rsidRPr="000322E4">
        <w:rPr>
          <w:i/>
          <w:iCs/>
        </w:rPr>
        <w:t>л</w:t>
      </w:r>
      <w:r w:rsidRPr="00293AC8">
        <w:rPr>
          <w:i/>
          <w:iCs/>
        </w:rPr>
        <w:t xml:space="preserve"> </w:t>
      </w:r>
      <w:r w:rsidRPr="000322E4">
        <w:rPr>
          <w:i/>
          <w:iCs/>
        </w:rPr>
        <w:t>при</w:t>
      </w:r>
      <w:r w:rsidRPr="00293AC8">
        <w:rPr>
          <w:i/>
          <w:iCs/>
        </w:rPr>
        <w:t xml:space="preserve"> 1-2 </w:t>
      </w:r>
      <w:r w:rsidRPr="000322E4">
        <w:rPr>
          <w:i/>
          <w:iCs/>
        </w:rPr>
        <w:t>измерениях</w:t>
      </w:r>
      <w:r w:rsidRPr="00293AC8">
        <w:rPr>
          <w:i/>
          <w:iCs/>
        </w:rPr>
        <w:t xml:space="preserve">, </w:t>
      </w:r>
      <w:r w:rsidRPr="000322E4">
        <w:rPr>
          <w:i/>
          <w:iCs/>
        </w:rPr>
        <w:t>тромбоциты</w:t>
      </w:r>
      <w:r w:rsidRPr="00293AC8">
        <w:rPr>
          <w:i/>
          <w:iCs/>
        </w:rPr>
        <w:t xml:space="preserve"> </w:t>
      </w:r>
      <w:r w:rsidRPr="000322E4">
        <w:rPr>
          <w:i/>
          <w:iCs/>
        </w:rPr>
        <w:t>выше</w:t>
      </w:r>
      <w:r w:rsidRPr="00293AC8">
        <w:rPr>
          <w:i/>
          <w:iCs/>
        </w:rPr>
        <w:t xml:space="preserve"> 25 </w:t>
      </w:r>
      <w:r w:rsidRPr="000322E4">
        <w:rPr>
          <w:i/>
          <w:iCs/>
        </w:rPr>
        <w:t>х</w:t>
      </w:r>
      <w:r w:rsidRPr="00293AC8">
        <w:rPr>
          <w:i/>
          <w:iCs/>
        </w:rPr>
        <w:t xml:space="preserve"> 10</w:t>
      </w:r>
      <w:r w:rsidRPr="00293AC8">
        <w:rPr>
          <w:i/>
          <w:iCs/>
          <w:vertAlign w:val="superscript"/>
        </w:rPr>
        <w:t>9</w:t>
      </w:r>
      <w:r w:rsidRPr="00293AC8">
        <w:rPr>
          <w:i/>
          <w:iCs/>
        </w:rPr>
        <w:t>/</w:t>
      </w:r>
      <w:r w:rsidRPr="000322E4">
        <w:rPr>
          <w:i/>
          <w:iCs/>
        </w:rPr>
        <w:t>л</w:t>
      </w:r>
      <w:r w:rsidRPr="00293AC8">
        <w:rPr>
          <w:i/>
          <w:iCs/>
        </w:rPr>
        <w:t xml:space="preserve"> – </w:t>
      </w:r>
      <w:r w:rsidRPr="000322E4">
        <w:rPr>
          <w:i/>
          <w:iCs/>
        </w:rPr>
        <w:t>сохранение</w:t>
      </w:r>
      <w:r w:rsidRPr="00293AC8">
        <w:rPr>
          <w:i/>
          <w:iCs/>
        </w:rPr>
        <w:t xml:space="preserve"> </w:t>
      </w:r>
      <w:r w:rsidRPr="000322E4">
        <w:rPr>
          <w:i/>
          <w:iCs/>
        </w:rPr>
        <w:t>доз</w:t>
      </w:r>
      <w:r w:rsidRPr="00293AC8">
        <w:rPr>
          <w:i/>
          <w:iCs/>
        </w:rPr>
        <w:t xml:space="preserve"> </w:t>
      </w:r>
      <w:r w:rsidRPr="000322E4">
        <w:rPr>
          <w:i/>
          <w:iCs/>
        </w:rPr>
        <w:t>предыдущего</w:t>
      </w:r>
      <w:r w:rsidRPr="00293AC8">
        <w:rPr>
          <w:i/>
          <w:iCs/>
        </w:rPr>
        <w:t xml:space="preserve"> </w:t>
      </w:r>
      <w:r w:rsidRPr="000322E4">
        <w:rPr>
          <w:i/>
          <w:iCs/>
        </w:rPr>
        <w:t>курса</w:t>
      </w:r>
    </w:p>
    <w:p w14:paraId="162F6E6B" w14:textId="608967EB" w:rsidR="00666D68" w:rsidRDefault="00666D68" w:rsidP="008E3584">
      <w:pPr>
        <w:numPr>
          <w:ilvl w:val="0"/>
          <w:numId w:val="44"/>
        </w:numPr>
        <w:spacing w:line="360" w:lineRule="auto"/>
        <w:jc w:val="both"/>
        <w:rPr>
          <w:i/>
          <w:iCs/>
        </w:rPr>
      </w:pPr>
      <w:r w:rsidRPr="000322E4">
        <w:rPr>
          <w:i/>
          <w:iCs/>
        </w:rPr>
        <w:t>нейтрофилы</w:t>
      </w:r>
      <w:r w:rsidRPr="00293AC8">
        <w:rPr>
          <w:i/>
          <w:iCs/>
        </w:rPr>
        <w:t xml:space="preserve"> </w:t>
      </w:r>
      <w:r w:rsidRPr="000322E4">
        <w:rPr>
          <w:i/>
          <w:iCs/>
        </w:rPr>
        <w:t>менее</w:t>
      </w:r>
      <w:r w:rsidRPr="00293AC8">
        <w:rPr>
          <w:i/>
          <w:iCs/>
        </w:rPr>
        <w:t xml:space="preserve"> 0,5 </w:t>
      </w:r>
      <w:r w:rsidRPr="000322E4">
        <w:rPr>
          <w:i/>
          <w:iCs/>
        </w:rPr>
        <w:t>х</w:t>
      </w:r>
      <w:r w:rsidRPr="00293AC8">
        <w:rPr>
          <w:i/>
          <w:iCs/>
        </w:rPr>
        <w:t xml:space="preserve"> 10</w:t>
      </w:r>
      <w:r w:rsidRPr="00293AC8">
        <w:rPr>
          <w:i/>
          <w:iCs/>
          <w:vertAlign w:val="superscript"/>
        </w:rPr>
        <w:t>9</w:t>
      </w:r>
      <w:r w:rsidRPr="00293AC8">
        <w:rPr>
          <w:i/>
          <w:iCs/>
        </w:rPr>
        <w:t xml:space="preserve"> </w:t>
      </w:r>
      <w:r w:rsidRPr="000322E4">
        <w:rPr>
          <w:i/>
          <w:iCs/>
        </w:rPr>
        <w:t>при</w:t>
      </w:r>
      <w:r w:rsidRPr="00293AC8">
        <w:rPr>
          <w:i/>
          <w:iCs/>
        </w:rPr>
        <w:t xml:space="preserve"> 3 </w:t>
      </w:r>
      <w:r w:rsidRPr="000322E4">
        <w:rPr>
          <w:i/>
          <w:iCs/>
        </w:rPr>
        <w:t>и</w:t>
      </w:r>
      <w:r w:rsidRPr="00293AC8">
        <w:rPr>
          <w:i/>
          <w:iCs/>
        </w:rPr>
        <w:t xml:space="preserve"> </w:t>
      </w:r>
      <w:r w:rsidRPr="000322E4">
        <w:rPr>
          <w:i/>
          <w:iCs/>
        </w:rPr>
        <w:t>более</w:t>
      </w:r>
      <w:r w:rsidRPr="00293AC8">
        <w:rPr>
          <w:i/>
          <w:iCs/>
        </w:rPr>
        <w:t xml:space="preserve"> </w:t>
      </w:r>
      <w:r w:rsidRPr="000322E4">
        <w:rPr>
          <w:i/>
          <w:iCs/>
        </w:rPr>
        <w:t>измерениях</w:t>
      </w:r>
      <w:r w:rsidRPr="00293AC8">
        <w:rPr>
          <w:i/>
          <w:iCs/>
        </w:rPr>
        <w:t xml:space="preserve">, </w:t>
      </w:r>
      <w:r w:rsidRPr="000322E4">
        <w:rPr>
          <w:i/>
          <w:iCs/>
        </w:rPr>
        <w:t>тромбоциты</w:t>
      </w:r>
      <w:r w:rsidRPr="00293AC8">
        <w:rPr>
          <w:i/>
          <w:iCs/>
        </w:rPr>
        <w:t xml:space="preserve"> </w:t>
      </w:r>
      <w:r w:rsidRPr="000322E4">
        <w:rPr>
          <w:i/>
          <w:iCs/>
        </w:rPr>
        <w:t>ниже</w:t>
      </w:r>
      <w:r w:rsidRPr="00293AC8">
        <w:rPr>
          <w:i/>
          <w:iCs/>
        </w:rPr>
        <w:t xml:space="preserve"> 25 </w:t>
      </w:r>
      <w:r w:rsidRPr="000322E4">
        <w:rPr>
          <w:i/>
          <w:iCs/>
        </w:rPr>
        <w:t>х</w:t>
      </w:r>
      <w:r w:rsidRPr="00293AC8">
        <w:rPr>
          <w:i/>
          <w:iCs/>
        </w:rPr>
        <w:t xml:space="preserve"> 10</w:t>
      </w:r>
      <w:r w:rsidRPr="00293AC8">
        <w:rPr>
          <w:i/>
          <w:iCs/>
          <w:vertAlign w:val="superscript"/>
        </w:rPr>
        <w:t>9</w:t>
      </w:r>
      <w:r w:rsidRPr="00293AC8">
        <w:rPr>
          <w:i/>
          <w:iCs/>
        </w:rPr>
        <w:t>/</w:t>
      </w:r>
      <w:r w:rsidRPr="000322E4">
        <w:rPr>
          <w:i/>
          <w:iCs/>
        </w:rPr>
        <w:t>л</w:t>
      </w:r>
      <w:r w:rsidRPr="00293AC8">
        <w:rPr>
          <w:i/>
          <w:iCs/>
        </w:rPr>
        <w:t xml:space="preserve"> – </w:t>
      </w:r>
      <w:r w:rsidRPr="000322E4">
        <w:rPr>
          <w:i/>
          <w:iCs/>
        </w:rPr>
        <w:t>редукция</w:t>
      </w:r>
      <w:r w:rsidRPr="00293AC8">
        <w:rPr>
          <w:i/>
          <w:iCs/>
        </w:rPr>
        <w:t xml:space="preserve"> </w:t>
      </w:r>
      <w:r w:rsidRPr="000322E4">
        <w:rPr>
          <w:i/>
          <w:iCs/>
        </w:rPr>
        <w:t>доз</w:t>
      </w:r>
      <w:r w:rsidRPr="00293AC8">
        <w:rPr>
          <w:i/>
          <w:iCs/>
        </w:rPr>
        <w:t xml:space="preserve"> </w:t>
      </w:r>
      <w:r w:rsidRPr="000322E4">
        <w:rPr>
          <w:i/>
          <w:iCs/>
        </w:rPr>
        <w:t>на</w:t>
      </w:r>
      <w:r w:rsidRPr="00293AC8">
        <w:rPr>
          <w:i/>
          <w:iCs/>
        </w:rPr>
        <w:t xml:space="preserve"> 25%</w:t>
      </w:r>
    </w:p>
    <w:p w14:paraId="12647A6A" w14:textId="33B8F865" w:rsidR="00CF578C" w:rsidRDefault="00CF578C" w:rsidP="00CF578C">
      <w:pPr>
        <w:spacing w:line="360" w:lineRule="auto"/>
        <w:jc w:val="both"/>
        <w:rPr>
          <w:i/>
          <w:iCs/>
        </w:rPr>
      </w:pPr>
    </w:p>
    <w:p w14:paraId="4C8853CA" w14:textId="55835B20" w:rsidR="00CF578C" w:rsidRPr="00293AC8" w:rsidRDefault="00CF578C" w:rsidP="00CF578C">
      <w:pPr>
        <w:spacing w:line="360" w:lineRule="auto"/>
        <w:jc w:val="both"/>
      </w:pPr>
      <w:r w:rsidRPr="00CF578C">
        <w:rPr>
          <w:b/>
          <w:lang w:val="en-US"/>
        </w:rPr>
        <w:t>Pola</w:t>
      </w:r>
      <w:r w:rsidRPr="00857364">
        <w:rPr>
          <w:b/>
        </w:rPr>
        <w:t>+</w:t>
      </w:r>
      <w:r w:rsidRPr="00CF578C">
        <w:rPr>
          <w:b/>
          <w:lang w:val="en-US"/>
        </w:rPr>
        <w:t>R</w:t>
      </w:r>
      <w:r w:rsidRPr="00857364">
        <w:rPr>
          <w:b/>
        </w:rPr>
        <w:t>-</w:t>
      </w:r>
      <w:r w:rsidRPr="00CF578C">
        <w:rPr>
          <w:b/>
          <w:lang w:val="en-US"/>
        </w:rPr>
        <w:t>CHP</w:t>
      </w:r>
      <w:r w:rsidRPr="00293AC8">
        <w:rPr>
          <w:b/>
        </w:rPr>
        <w:t xml:space="preserve"> </w:t>
      </w:r>
      <w:r w:rsidRPr="000322E4">
        <w:rPr>
          <w:b/>
          <w:lang w:val="en-US"/>
        </w:rPr>
        <w:fldChar w:fldCharType="begin" w:fldLock="1"/>
      </w:r>
      <w:r w:rsidR="009D170B">
        <w:rPr>
          <w:b/>
          <w:lang w:val="en-US"/>
        </w:rPr>
        <w:instrText>ADDIN</w:instrText>
      </w:r>
      <w:r w:rsidR="009D170B" w:rsidRPr="00320416">
        <w:rPr>
          <w:b/>
        </w:rPr>
        <w:instrText xml:space="preserve"> </w:instrText>
      </w:r>
      <w:r w:rsidR="009D170B">
        <w:rPr>
          <w:b/>
          <w:lang w:val="en-US"/>
        </w:rPr>
        <w:instrText>CSL</w:instrText>
      </w:r>
      <w:r w:rsidR="009D170B" w:rsidRPr="00320416">
        <w:rPr>
          <w:b/>
        </w:rPr>
        <w:instrText>_</w:instrText>
      </w:r>
      <w:r w:rsidR="009D170B">
        <w:rPr>
          <w:b/>
          <w:lang w:val="en-US"/>
        </w:rPr>
        <w:instrText>CITATION</w:instrText>
      </w:r>
      <w:r w:rsidR="009D170B" w:rsidRPr="00320416">
        <w:rPr>
          <w:b/>
        </w:rPr>
        <w:instrText xml:space="preserve"> {"</w:instrText>
      </w:r>
      <w:r w:rsidR="009D170B">
        <w:rPr>
          <w:b/>
          <w:lang w:val="en-US"/>
        </w:rPr>
        <w:instrText>citationItems</w:instrText>
      </w:r>
      <w:r w:rsidR="009D170B" w:rsidRPr="00320416">
        <w:rPr>
          <w:b/>
        </w:rPr>
        <w:instrText>":[{"</w:instrText>
      </w:r>
      <w:r w:rsidR="009D170B">
        <w:rPr>
          <w:b/>
          <w:lang w:val="en-US"/>
        </w:rPr>
        <w:instrText>id</w:instrText>
      </w:r>
      <w:r w:rsidR="009D170B" w:rsidRPr="00320416">
        <w:rPr>
          <w:b/>
        </w:rPr>
        <w:instrText>":"</w:instrText>
      </w:r>
      <w:r w:rsidR="009D170B">
        <w:rPr>
          <w:b/>
          <w:lang w:val="en-US"/>
        </w:rPr>
        <w:instrText>ITEM</w:instrText>
      </w:r>
      <w:r w:rsidR="009D170B" w:rsidRPr="00320416">
        <w:rPr>
          <w:b/>
        </w:rPr>
        <w:instrText>-1","</w:instrText>
      </w:r>
      <w:r w:rsidR="009D170B">
        <w:rPr>
          <w:b/>
          <w:lang w:val="en-US"/>
        </w:rPr>
        <w:instrText>itemData</w:instrText>
      </w:r>
      <w:r w:rsidR="009D170B" w:rsidRPr="00320416">
        <w:rPr>
          <w:b/>
        </w:rPr>
        <w:instrText>":{"</w:instrText>
      </w:r>
      <w:r w:rsidR="009D170B">
        <w:rPr>
          <w:b/>
          <w:lang w:val="en-US"/>
        </w:rPr>
        <w:instrText>DOI</w:instrText>
      </w:r>
      <w:r w:rsidR="009D170B" w:rsidRPr="00320416">
        <w:rPr>
          <w:b/>
        </w:rPr>
        <w:instrText>":"10.1056/</w:instrText>
      </w:r>
      <w:r w:rsidR="009D170B">
        <w:rPr>
          <w:b/>
          <w:lang w:val="en-US"/>
        </w:rPr>
        <w:instrText>NEJMOA</w:instrText>
      </w:r>
      <w:r w:rsidR="009D170B" w:rsidRPr="00320416">
        <w:rPr>
          <w:b/>
        </w:rPr>
        <w:instrText>2115304","</w:instrText>
      </w:r>
      <w:r w:rsidR="009D170B">
        <w:rPr>
          <w:b/>
          <w:lang w:val="en-US"/>
        </w:rPr>
        <w:instrText>ISSN</w:instrText>
      </w:r>
      <w:r w:rsidR="009D170B" w:rsidRPr="00320416">
        <w:rPr>
          <w:b/>
        </w:rPr>
        <w:instrText>":"1533-4406","</w:instrText>
      </w:r>
      <w:r w:rsidR="009D170B">
        <w:rPr>
          <w:b/>
          <w:lang w:val="en-US"/>
        </w:rPr>
        <w:instrText>PMID</w:instrText>
      </w:r>
      <w:r w:rsidR="009D170B" w:rsidRPr="00320416">
        <w:rPr>
          <w:b/>
        </w:rPr>
        <w:instrText>":"34904799","</w:instrText>
      </w:r>
      <w:r w:rsidR="009D170B">
        <w:rPr>
          <w:b/>
          <w:lang w:val="en-US"/>
        </w:rPr>
        <w:instrText>abstract</w:instrText>
      </w:r>
      <w:r w:rsidR="009D170B" w:rsidRPr="00320416">
        <w:rPr>
          <w:b/>
        </w:rPr>
        <w:instrText>":"</w:instrText>
      </w:r>
      <w:r w:rsidR="009D170B">
        <w:rPr>
          <w:b/>
          <w:lang w:val="en-US"/>
        </w:rPr>
        <w:instrText>BACKGROUND</w:instrText>
      </w:r>
      <w:r w:rsidR="009D170B" w:rsidRPr="00320416">
        <w:rPr>
          <w:b/>
        </w:rPr>
        <w:instrText xml:space="preserve"> </w:instrText>
      </w:r>
      <w:r w:rsidR="009D170B">
        <w:rPr>
          <w:b/>
          <w:lang w:val="en-US"/>
        </w:rPr>
        <w:instrText>Diffuse large B-cell lymphoma (DLBCL) is typically treated with rituximab, cyclophosphamide, doxorubicin, vincristine, and prednisone (R-CHOP). However, only 60% of patients are cured with R-CHOP. Polatuzumab vedotin is an antibody-drug conjugate targeting CD79b, which is ubiquitously expressed on the surface of malignant B cells. METHODS We conducted a double-blind, placebo-controlled, international phase 3 trial to evaluate a modified regimen of R-CHOP (pola-R-CHP), in which vincristine was replaced with polatuzumab vedotin, as compared with standard R-CHOP, in patients with previously untreated intermediate-risk or high-risk DLBCL. Patients 18 to 80 years of age were randomly assigned in a 1:1 ratio to receive six cycles of either pola-R-CHP or R-CHOP, plus two cycles of rituximab alone. The primary end point was investigator-assessed progression-free survival. Secondary end points included overall survival and safety. RESULTS Overall, 879 patients underwent randomization: 440 were assigned to the pola-R-CHP group and 439 to the R-CHOP group. After a median follow-up of 28.2 months, the percentage of patients surviving without progression was significantly higher in the pola-R-CHP group than in the R-CHOP group (76.7% [95% confidence interval (CI), 72.7 to 80.8] vs. 70.2% [95% CI, 65.8 to 74.6] at 2 years; stratified hazard ratio for progression, relapse, or death, 0.73 by Cox regression; 95% CI, 0.57 to 0.95; P = 0.02). Overall survival at 2 years did not differ significantly between the groups (88.7% [95% CI, 85.7 to 91.6] in the pola-R-CHP group and 88.6% [95% CI, 85.6 to 91.6] in the R-CHOP group; hazard ratio for death, 0.94; 95% CI, 0.65 to 1.37; P = 0.75). The safety profile was similar in the two groups. CONCLUSIONS Among patients with previously untreated intermediate-risk or high-risk DLBCL, the risk of disease progression, relapse, or death was lower among those who received pola-R-CHP than among those who received R-CHOP. (Funded by F. Hoffmann-La Roche/Genentech; POLARIX ClinicalTrials.gov number, NCT03274492.).","author":[{"dropping-particle":"","family":"Tilly","given":"Hervé","non-dropping-particle":"","parse-names":false,"suffix":""},{"dropping-particle":"","family":"Morschhauser","given":"Franck","non-dropping-particle":"","parse-names":false,"suffix":""},{"dropping-particle":"","family":"Sehn","given":"Laurie H.","non-dropping-particle":"","parse-names":false,"suffix":""},{"dropping-particle":"","family":"Friedberg","given":"Jonathan W.","non-dropping-particle":"","parse-names":false,"suffix":""},{"dropping-particle":"","family":"Trněný","given":"Marek","non-dropping-particle":"","parse-names":false,"suffix":""},{"dropping-particle":"","family":"Sharman","given":"Jeff P.","non-dropping-particle":"","parse-names":false,"suffix":""},{"dropping-particle":"","family":"Herbaux","given":"Charles","non-dropping-particle":"","parse-names":false,"suffix":""},{"dropping-particle":"","family":"Burke","given":"John M.","non-dropping-particle":"","parse-names":false,"suffix":""},{"dropping-particle":"","family":"Matasar","given":"Matthew","non-dropping-particle":"","parse-names":false,"suffix":""},{"dropping-particle":"","family":"Rai","given":"Shinya","non-dropping-particle":"","parse-names":false,"suffix":""},{"dropping-particle":"","family":"Izutsu","given":"Koji","non-dropping-particle":"","parse-names":false,"suffix":""},{"dropping-particle":"","family":"Mehta-Shah","given":"Neha","non-dropping-particle":"","parse-names":false,"suffix":""},{"dropping-particle":"","family":"Oberic","given":"Lucie","non-dropping-particle":"","parse-names":false,"suffix":""},{"dropping-particle":"","family":"Chauchet","given":"Adrien","non-dropping-particle":"","parse-names":false,"suffix":""},{"dropping-particle":"","family":"Jurczak","given":"Wojciech","non-dropping-particle":"","parse-names":false,"suffix":""},{"dropping-particle":"","family":"Song","given":"Yuqin","non-dropping-particle":"","parse-names":false,"suffix":""},{"dropping-particle":"","family":"Greil","given":"Richard","non-dropping-particle":"","parse-names":false,"suffix":""},{"dropping-particle":"","family":"Mykhalska","given":"Larysa","non-dropping-particle":"","parse-names":false,"suffix":""},{"dropping-particle":"","family":"Bergua-Burgués","given":"Juan M.","non-dropping-particle":"","parse-names":false,"suffix":""},{"dropping-particle":"","family":"Cheung","given":"Matthew C.","non-dropping-particle":"","parse-names":false,"suffix":""},{"dropping-particle":"","family":"Pinto","given":"Antonio","non-dropping-particle":"","parse-names":false,"suffix":""},{"dropping-particle":"","family":"Shin","given":"Ho-Jin","non-dropping-particle":"","parse-names":false,"suffix":""},{"dropping-particle":"","family":"Hapgood","given":"Greg","non-dropping-particle":"","parse-names":false,"suffix":""},{"dropping-particle":"","family":"Munhoz","given":"Eduardo","non-dropping-particle":"","parse-names":false,"suffix":""},{"dropping-particle":"","family":"Abrisqueta","given":"Pau","non-dropping</w:instrText>
      </w:r>
      <w:r w:rsidR="009D170B" w:rsidRPr="00320416">
        <w:rPr>
          <w:b/>
        </w:rPr>
        <w:instrText>-</w:instrText>
      </w:r>
      <w:r w:rsidR="009D170B">
        <w:rPr>
          <w:b/>
          <w:lang w:val="en-US"/>
        </w:rPr>
        <w:instrText>particle</w:instrText>
      </w:r>
      <w:r w:rsidR="009D170B" w:rsidRPr="00320416">
        <w:rPr>
          <w:b/>
        </w:rPr>
        <w:instrText>":"","</w:instrText>
      </w:r>
      <w:r w:rsidR="009D170B">
        <w:rPr>
          <w:b/>
          <w:lang w:val="en-US"/>
        </w:rPr>
        <w:instrText>parse</w:instrText>
      </w:r>
      <w:r w:rsidR="009D170B" w:rsidRPr="00320416">
        <w:rPr>
          <w:b/>
        </w:rPr>
        <w:instrText>-</w:instrText>
      </w:r>
      <w:r w:rsidR="009D170B">
        <w:rPr>
          <w:b/>
          <w:lang w:val="en-US"/>
        </w:rPr>
        <w:instrText>names</w:instrText>
      </w:r>
      <w:r w:rsidR="009D170B" w:rsidRPr="00320416">
        <w:rPr>
          <w:b/>
        </w:rPr>
        <w:instrText>":</w:instrText>
      </w:r>
      <w:r w:rsidR="009D170B">
        <w:rPr>
          <w:b/>
          <w:lang w:val="en-US"/>
        </w:rPr>
        <w:instrText>false</w:instrText>
      </w:r>
      <w:r w:rsidR="009D170B" w:rsidRPr="00320416">
        <w:rPr>
          <w:b/>
        </w:rPr>
        <w:instrText>,"</w:instrText>
      </w:r>
      <w:r w:rsidR="009D170B">
        <w:rPr>
          <w:b/>
          <w:lang w:val="en-US"/>
        </w:rPr>
        <w:instrText>suffix</w:instrText>
      </w:r>
      <w:r w:rsidR="009D170B" w:rsidRPr="00320416">
        <w:rPr>
          <w:b/>
        </w:rPr>
        <w:instrText>":""},{"</w:instrText>
      </w:r>
      <w:r w:rsidR="009D170B">
        <w:rPr>
          <w:b/>
          <w:lang w:val="en-US"/>
        </w:rPr>
        <w:instrText>dropping</w:instrText>
      </w:r>
      <w:r w:rsidR="009D170B" w:rsidRPr="00320416">
        <w:rPr>
          <w:b/>
        </w:rPr>
        <w:instrText>-</w:instrText>
      </w:r>
      <w:r w:rsidR="009D170B">
        <w:rPr>
          <w:b/>
          <w:lang w:val="en-US"/>
        </w:rPr>
        <w:instrText>particle</w:instrText>
      </w:r>
      <w:r w:rsidR="009D170B" w:rsidRPr="00320416">
        <w:rPr>
          <w:b/>
        </w:rPr>
        <w:instrText>":"","</w:instrText>
      </w:r>
      <w:r w:rsidR="009D170B">
        <w:rPr>
          <w:b/>
          <w:lang w:val="en-US"/>
        </w:rPr>
        <w:instrText>family</w:instrText>
      </w:r>
      <w:r w:rsidR="009D170B" w:rsidRPr="00320416">
        <w:rPr>
          <w:b/>
        </w:rPr>
        <w:instrText>":"</w:instrText>
      </w:r>
      <w:r w:rsidR="009D170B">
        <w:rPr>
          <w:b/>
          <w:lang w:val="en-US"/>
        </w:rPr>
        <w:instrText>Gau</w:instrText>
      </w:r>
      <w:r w:rsidR="009D170B" w:rsidRPr="00320416">
        <w:rPr>
          <w:b/>
        </w:rPr>
        <w:instrText>","</w:instrText>
      </w:r>
      <w:r w:rsidR="009D170B">
        <w:rPr>
          <w:b/>
          <w:lang w:val="en-US"/>
        </w:rPr>
        <w:instrText>given</w:instrText>
      </w:r>
      <w:r w:rsidR="009D170B" w:rsidRPr="00320416">
        <w:rPr>
          <w:b/>
        </w:rPr>
        <w:instrText>":"</w:instrText>
      </w:r>
      <w:r w:rsidR="009D170B">
        <w:rPr>
          <w:b/>
          <w:lang w:val="en-US"/>
        </w:rPr>
        <w:instrText>Jyh</w:instrText>
      </w:r>
      <w:r w:rsidR="009D170B" w:rsidRPr="00320416">
        <w:rPr>
          <w:b/>
        </w:rPr>
        <w:instrText>-</w:instrText>
      </w:r>
      <w:r w:rsidR="009D170B">
        <w:rPr>
          <w:b/>
          <w:lang w:val="en-US"/>
        </w:rPr>
        <w:instrText>Pyng</w:instrText>
      </w:r>
      <w:r w:rsidR="009D170B" w:rsidRPr="00320416">
        <w:rPr>
          <w:b/>
        </w:rPr>
        <w:instrText>","</w:instrText>
      </w:r>
      <w:r w:rsidR="009D170B">
        <w:rPr>
          <w:b/>
          <w:lang w:val="en-US"/>
        </w:rPr>
        <w:instrText>non</w:instrText>
      </w:r>
      <w:r w:rsidR="009D170B" w:rsidRPr="00320416">
        <w:rPr>
          <w:b/>
        </w:rPr>
        <w:instrText>-</w:instrText>
      </w:r>
      <w:r w:rsidR="009D170B">
        <w:rPr>
          <w:b/>
          <w:lang w:val="en-US"/>
        </w:rPr>
        <w:instrText>dropping</w:instrText>
      </w:r>
      <w:r w:rsidR="009D170B" w:rsidRPr="00320416">
        <w:rPr>
          <w:b/>
        </w:rPr>
        <w:instrText>-</w:instrText>
      </w:r>
      <w:r w:rsidR="009D170B">
        <w:rPr>
          <w:b/>
          <w:lang w:val="en-US"/>
        </w:rPr>
        <w:instrText>particle</w:instrText>
      </w:r>
      <w:r w:rsidR="009D170B" w:rsidRPr="00320416">
        <w:rPr>
          <w:b/>
        </w:rPr>
        <w:instrText>":"","</w:instrText>
      </w:r>
      <w:r w:rsidR="009D170B">
        <w:rPr>
          <w:b/>
          <w:lang w:val="en-US"/>
        </w:rPr>
        <w:instrText>parse</w:instrText>
      </w:r>
      <w:r w:rsidR="009D170B" w:rsidRPr="00320416">
        <w:rPr>
          <w:b/>
        </w:rPr>
        <w:instrText>-</w:instrText>
      </w:r>
      <w:r w:rsidR="009D170B">
        <w:rPr>
          <w:b/>
          <w:lang w:val="en-US"/>
        </w:rPr>
        <w:instrText>names</w:instrText>
      </w:r>
      <w:r w:rsidR="009D170B" w:rsidRPr="00320416">
        <w:rPr>
          <w:b/>
        </w:rPr>
        <w:instrText>":</w:instrText>
      </w:r>
      <w:r w:rsidR="009D170B">
        <w:rPr>
          <w:b/>
          <w:lang w:val="en-US"/>
        </w:rPr>
        <w:instrText>false</w:instrText>
      </w:r>
      <w:r w:rsidR="009D170B" w:rsidRPr="00320416">
        <w:rPr>
          <w:b/>
        </w:rPr>
        <w:instrText>,"</w:instrText>
      </w:r>
      <w:r w:rsidR="009D170B">
        <w:rPr>
          <w:b/>
          <w:lang w:val="en-US"/>
        </w:rPr>
        <w:instrText>suffix</w:instrText>
      </w:r>
      <w:r w:rsidR="009D170B" w:rsidRPr="00320416">
        <w:rPr>
          <w:b/>
        </w:rPr>
        <w:instrText>":""},{"</w:instrText>
      </w:r>
      <w:r w:rsidR="009D170B">
        <w:rPr>
          <w:b/>
          <w:lang w:val="en-US"/>
        </w:rPr>
        <w:instrText>dropping</w:instrText>
      </w:r>
      <w:r w:rsidR="009D170B" w:rsidRPr="00320416">
        <w:rPr>
          <w:b/>
        </w:rPr>
        <w:instrText>-</w:instrText>
      </w:r>
      <w:r w:rsidR="009D170B">
        <w:rPr>
          <w:b/>
          <w:lang w:val="en-US"/>
        </w:rPr>
        <w:instrText>particle</w:instrText>
      </w:r>
      <w:r w:rsidR="009D170B" w:rsidRPr="00320416">
        <w:rPr>
          <w:b/>
        </w:rPr>
        <w:instrText>":"","</w:instrText>
      </w:r>
      <w:r w:rsidR="009D170B">
        <w:rPr>
          <w:b/>
          <w:lang w:val="en-US"/>
        </w:rPr>
        <w:instrText>family</w:instrText>
      </w:r>
      <w:r w:rsidR="009D170B" w:rsidRPr="00320416">
        <w:rPr>
          <w:b/>
        </w:rPr>
        <w:instrText>":"</w:instrText>
      </w:r>
      <w:r w:rsidR="009D170B">
        <w:rPr>
          <w:b/>
          <w:lang w:val="en-US"/>
        </w:rPr>
        <w:instrText>Hirata</w:instrText>
      </w:r>
      <w:r w:rsidR="009D170B" w:rsidRPr="00320416">
        <w:rPr>
          <w:b/>
        </w:rPr>
        <w:instrText>","</w:instrText>
      </w:r>
      <w:r w:rsidR="009D170B">
        <w:rPr>
          <w:b/>
          <w:lang w:val="en-US"/>
        </w:rPr>
        <w:instrText>given</w:instrText>
      </w:r>
      <w:r w:rsidR="009D170B" w:rsidRPr="00320416">
        <w:rPr>
          <w:b/>
        </w:rPr>
        <w:instrText>":"</w:instrText>
      </w:r>
      <w:r w:rsidR="009D170B">
        <w:rPr>
          <w:b/>
          <w:lang w:val="en-US"/>
        </w:rPr>
        <w:instrText>Jamie</w:instrText>
      </w:r>
      <w:r w:rsidR="009D170B" w:rsidRPr="00320416">
        <w:rPr>
          <w:b/>
        </w:rPr>
        <w:instrText>","</w:instrText>
      </w:r>
      <w:r w:rsidR="009D170B">
        <w:rPr>
          <w:b/>
          <w:lang w:val="en-US"/>
        </w:rPr>
        <w:instrText>non</w:instrText>
      </w:r>
      <w:r w:rsidR="009D170B" w:rsidRPr="00320416">
        <w:rPr>
          <w:b/>
        </w:rPr>
        <w:instrText>-</w:instrText>
      </w:r>
      <w:r w:rsidR="009D170B">
        <w:rPr>
          <w:b/>
          <w:lang w:val="en-US"/>
        </w:rPr>
        <w:instrText>dropping</w:instrText>
      </w:r>
      <w:r w:rsidR="009D170B" w:rsidRPr="00320416">
        <w:rPr>
          <w:b/>
        </w:rPr>
        <w:instrText>-</w:instrText>
      </w:r>
      <w:r w:rsidR="009D170B">
        <w:rPr>
          <w:b/>
          <w:lang w:val="en-US"/>
        </w:rPr>
        <w:instrText>particle</w:instrText>
      </w:r>
      <w:r w:rsidR="009D170B" w:rsidRPr="00320416">
        <w:rPr>
          <w:b/>
        </w:rPr>
        <w:instrText>":"","</w:instrText>
      </w:r>
      <w:r w:rsidR="009D170B">
        <w:rPr>
          <w:b/>
          <w:lang w:val="en-US"/>
        </w:rPr>
        <w:instrText>parse</w:instrText>
      </w:r>
      <w:r w:rsidR="009D170B" w:rsidRPr="00320416">
        <w:rPr>
          <w:b/>
        </w:rPr>
        <w:instrText>-</w:instrText>
      </w:r>
      <w:r w:rsidR="009D170B">
        <w:rPr>
          <w:b/>
          <w:lang w:val="en-US"/>
        </w:rPr>
        <w:instrText>names</w:instrText>
      </w:r>
      <w:r w:rsidR="009D170B" w:rsidRPr="00320416">
        <w:rPr>
          <w:b/>
        </w:rPr>
        <w:instrText>":</w:instrText>
      </w:r>
      <w:r w:rsidR="009D170B">
        <w:rPr>
          <w:b/>
          <w:lang w:val="en-US"/>
        </w:rPr>
        <w:instrText>false</w:instrText>
      </w:r>
      <w:r w:rsidR="009D170B" w:rsidRPr="00320416">
        <w:rPr>
          <w:b/>
        </w:rPr>
        <w:instrText>,"</w:instrText>
      </w:r>
      <w:r w:rsidR="009D170B">
        <w:rPr>
          <w:b/>
          <w:lang w:val="en-US"/>
        </w:rPr>
        <w:instrText>suffix</w:instrText>
      </w:r>
      <w:r w:rsidR="009D170B" w:rsidRPr="00320416">
        <w:rPr>
          <w:b/>
        </w:rPr>
        <w:instrText>":""},{"</w:instrText>
      </w:r>
      <w:r w:rsidR="009D170B">
        <w:rPr>
          <w:b/>
          <w:lang w:val="en-US"/>
        </w:rPr>
        <w:instrText>dropping</w:instrText>
      </w:r>
      <w:r w:rsidR="009D170B" w:rsidRPr="00320416">
        <w:rPr>
          <w:b/>
        </w:rPr>
        <w:instrText>-</w:instrText>
      </w:r>
      <w:r w:rsidR="009D170B">
        <w:rPr>
          <w:b/>
          <w:lang w:val="en-US"/>
        </w:rPr>
        <w:instrText>particle</w:instrText>
      </w:r>
      <w:r w:rsidR="009D170B" w:rsidRPr="00320416">
        <w:rPr>
          <w:b/>
        </w:rPr>
        <w:instrText>":"","</w:instrText>
      </w:r>
      <w:r w:rsidR="009D170B">
        <w:rPr>
          <w:b/>
          <w:lang w:val="en-US"/>
        </w:rPr>
        <w:instrText>family</w:instrText>
      </w:r>
      <w:r w:rsidR="009D170B" w:rsidRPr="00320416">
        <w:rPr>
          <w:b/>
        </w:rPr>
        <w:instrText>":"</w:instrText>
      </w:r>
      <w:r w:rsidR="009D170B">
        <w:rPr>
          <w:b/>
          <w:lang w:val="en-US"/>
        </w:rPr>
        <w:instrText>Jiang</w:instrText>
      </w:r>
      <w:r w:rsidR="009D170B" w:rsidRPr="00320416">
        <w:rPr>
          <w:b/>
        </w:rPr>
        <w:instrText>","</w:instrText>
      </w:r>
      <w:r w:rsidR="009D170B">
        <w:rPr>
          <w:b/>
          <w:lang w:val="en-US"/>
        </w:rPr>
        <w:instrText>given</w:instrText>
      </w:r>
      <w:r w:rsidR="009D170B" w:rsidRPr="00320416">
        <w:rPr>
          <w:b/>
        </w:rPr>
        <w:instrText>":"</w:instrText>
      </w:r>
      <w:r w:rsidR="009D170B">
        <w:rPr>
          <w:b/>
          <w:lang w:val="en-US"/>
        </w:rPr>
        <w:instrText>Yanwen</w:instrText>
      </w:r>
      <w:r w:rsidR="009D170B" w:rsidRPr="00320416">
        <w:rPr>
          <w:b/>
        </w:rPr>
        <w:instrText>","</w:instrText>
      </w:r>
      <w:r w:rsidR="009D170B">
        <w:rPr>
          <w:b/>
          <w:lang w:val="en-US"/>
        </w:rPr>
        <w:instrText>non</w:instrText>
      </w:r>
      <w:r w:rsidR="009D170B" w:rsidRPr="00320416">
        <w:rPr>
          <w:b/>
        </w:rPr>
        <w:instrText>-</w:instrText>
      </w:r>
      <w:r w:rsidR="009D170B">
        <w:rPr>
          <w:b/>
          <w:lang w:val="en-US"/>
        </w:rPr>
        <w:instrText>dropping</w:instrText>
      </w:r>
      <w:r w:rsidR="009D170B" w:rsidRPr="00320416">
        <w:rPr>
          <w:b/>
        </w:rPr>
        <w:instrText>-</w:instrText>
      </w:r>
      <w:r w:rsidR="009D170B">
        <w:rPr>
          <w:b/>
          <w:lang w:val="en-US"/>
        </w:rPr>
        <w:instrText>particle</w:instrText>
      </w:r>
      <w:r w:rsidR="009D170B" w:rsidRPr="00320416">
        <w:rPr>
          <w:b/>
        </w:rPr>
        <w:instrText>":"","</w:instrText>
      </w:r>
      <w:r w:rsidR="009D170B">
        <w:rPr>
          <w:b/>
          <w:lang w:val="en-US"/>
        </w:rPr>
        <w:instrText>parse</w:instrText>
      </w:r>
      <w:r w:rsidR="009D170B" w:rsidRPr="00320416">
        <w:rPr>
          <w:b/>
        </w:rPr>
        <w:instrText>-</w:instrText>
      </w:r>
      <w:r w:rsidR="009D170B">
        <w:rPr>
          <w:b/>
          <w:lang w:val="en-US"/>
        </w:rPr>
        <w:instrText>names</w:instrText>
      </w:r>
      <w:r w:rsidR="009D170B" w:rsidRPr="00320416">
        <w:rPr>
          <w:b/>
        </w:rPr>
        <w:instrText>":</w:instrText>
      </w:r>
      <w:r w:rsidR="009D170B">
        <w:rPr>
          <w:b/>
          <w:lang w:val="en-US"/>
        </w:rPr>
        <w:instrText>false</w:instrText>
      </w:r>
      <w:r w:rsidR="009D170B" w:rsidRPr="00320416">
        <w:rPr>
          <w:b/>
        </w:rPr>
        <w:instrText>,"</w:instrText>
      </w:r>
      <w:r w:rsidR="009D170B">
        <w:rPr>
          <w:b/>
          <w:lang w:val="en-US"/>
        </w:rPr>
        <w:instrText>suffix</w:instrText>
      </w:r>
      <w:r w:rsidR="009D170B" w:rsidRPr="00320416">
        <w:rPr>
          <w:b/>
        </w:rPr>
        <w:instrText>":""},{"</w:instrText>
      </w:r>
      <w:r w:rsidR="009D170B">
        <w:rPr>
          <w:b/>
          <w:lang w:val="en-US"/>
        </w:rPr>
        <w:instrText>dropping</w:instrText>
      </w:r>
      <w:r w:rsidR="009D170B" w:rsidRPr="00320416">
        <w:rPr>
          <w:b/>
        </w:rPr>
        <w:instrText>-</w:instrText>
      </w:r>
      <w:r w:rsidR="009D170B">
        <w:rPr>
          <w:b/>
          <w:lang w:val="en-US"/>
        </w:rPr>
        <w:instrText>particle</w:instrText>
      </w:r>
      <w:r w:rsidR="009D170B" w:rsidRPr="00320416">
        <w:rPr>
          <w:b/>
        </w:rPr>
        <w:instrText>":"","</w:instrText>
      </w:r>
      <w:r w:rsidR="009D170B">
        <w:rPr>
          <w:b/>
          <w:lang w:val="en-US"/>
        </w:rPr>
        <w:instrText>family</w:instrText>
      </w:r>
      <w:r w:rsidR="009D170B" w:rsidRPr="00320416">
        <w:rPr>
          <w:b/>
        </w:rPr>
        <w:instrText>":"</w:instrText>
      </w:r>
      <w:r w:rsidR="009D170B">
        <w:rPr>
          <w:b/>
          <w:lang w:val="en-US"/>
        </w:rPr>
        <w:instrText>Yan</w:instrText>
      </w:r>
      <w:r w:rsidR="009D170B" w:rsidRPr="00320416">
        <w:rPr>
          <w:b/>
        </w:rPr>
        <w:instrText>","</w:instrText>
      </w:r>
      <w:r w:rsidR="009D170B">
        <w:rPr>
          <w:b/>
          <w:lang w:val="en-US"/>
        </w:rPr>
        <w:instrText>given</w:instrText>
      </w:r>
      <w:r w:rsidR="009D170B" w:rsidRPr="00320416">
        <w:rPr>
          <w:b/>
        </w:rPr>
        <w:instrText>":"</w:instrText>
      </w:r>
      <w:r w:rsidR="009D170B">
        <w:rPr>
          <w:b/>
          <w:lang w:val="en-US"/>
        </w:rPr>
        <w:instrText>Mark</w:instrText>
      </w:r>
      <w:r w:rsidR="009D170B" w:rsidRPr="00320416">
        <w:rPr>
          <w:b/>
        </w:rPr>
        <w:instrText>","</w:instrText>
      </w:r>
      <w:r w:rsidR="009D170B">
        <w:rPr>
          <w:b/>
          <w:lang w:val="en-US"/>
        </w:rPr>
        <w:instrText>non</w:instrText>
      </w:r>
      <w:r w:rsidR="009D170B" w:rsidRPr="00320416">
        <w:rPr>
          <w:b/>
        </w:rPr>
        <w:instrText>-</w:instrText>
      </w:r>
      <w:r w:rsidR="009D170B">
        <w:rPr>
          <w:b/>
          <w:lang w:val="en-US"/>
        </w:rPr>
        <w:instrText>dropping</w:instrText>
      </w:r>
      <w:r w:rsidR="009D170B" w:rsidRPr="00320416">
        <w:rPr>
          <w:b/>
        </w:rPr>
        <w:instrText>-</w:instrText>
      </w:r>
      <w:r w:rsidR="009D170B">
        <w:rPr>
          <w:b/>
          <w:lang w:val="en-US"/>
        </w:rPr>
        <w:instrText>particle</w:instrText>
      </w:r>
      <w:r w:rsidR="009D170B" w:rsidRPr="00320416">
        <w:rPr>
          <w:b/>
        </w:rPr>
        <w:instrText>":"","</w:instrText>
      </w:r>
      <w:r w:rsidR="009D170B">
        <w:rPr>
          <w:b/>
          <w:lang w:val="en-US"/>
        </w:rPr>
        <w:instrText>parse</w:instrText>
      </w:r>
      <w:r w:rsidR="009D170B" w:rsidRPr="00320416">
        <w:rPr>
          <w:b/>
        </w:rPr>
        <w:instrText>-</w:instrText>
      </w:r>
      <w:r w:rsidR="009D170B">
        <w:rPr>
          <w:b/>
          <w:lang w:val="en-US"/>
        </w:rPr>
        <w:instrText>names</w:instrText>
      </w:r>
      <w:r w:rsidR="009D170B" w:rsidRPr="00320416">
        <w:rPr>
          <w:b/>
        </w:rPr>
        <w:instrText>":</w:instrText>
      </w:r>
      <w:r w:rsidR="009D170B">
        <w:rPr>
          <w:b/>
          <w:lang w:val="en-US"/>
        </w:rPr>
        <w:instrText>false</w:instrText>
      </w:r>
      <w:r w:rsidR="009D170B" w:rsidRPr="00320416">
        <w:rPr>
          <w:b/>
        </w:rPr>
        <w:instrText>,"</w:instrText>
      </w:r>
      <w:r w:rsidR="009D170B">
        <w:rPr>
          <w:b/>
          <w:lang w:val="en-US"/>
        </w:rPr>
        <w:instrText>suffix</w:instrText>
      </w:r>
      <w:r w:rsidR="009D170B" w:rsidRPr="00320416">
        <w:rPr>
          <w:b/>
        </w:rPr>
        <w:instrText>":""},{"</w:instrText>
      </w:r>
      <w:r w:rsidR="009D170B">
        <w:rPr>
          <w:b/>
          <w:lang w:val="en-US"/>
        </w:rPr>
        <w:instrText>dropping</w:instrText>
      </w:r>
      <w:r w:rsidR="009D170B" w:rsidRPr="00320416">
        <w:rPr>
          <w:b/>
        </w:rPr>
        <w:instrText>-</w:instrText>
      </w:r>
      <w:r w:rsidR="009D170B">
        <w:rPr>
          <w:b/>
          <w:lang w:val="en-US"/>
        </w:rPr>
        <w:instrText>particle</w:instrText>
      </w:r>
      <w:r w:rsidR="009D170B" w:rsidRPr="00320416">
        <w:rPr>
          <w:b/>
        </w:rPr>
        <w:instrText>":"","</w:instrText>
      </w:r>
      <w:r w:rsidR="009D170B">
        <w:rPr>
          <w:b/>
          <w:lang w:val="en-US"/>
        </w:rPr>
        <w:instrText>family</w:instrText>
      </w:r>
      <w:r w:rsidR="009D170B" w:rsidRPr="00320416">
        <w:rPr>
          <w:b/>
        </w:rPr>
        <w:instrText>":"</w:instrText>
      </w:r>
      <w:r w:rsidR="009D170B">
        <w:rPr>
          <w:b/>
          <w:lang w:val="en-US"/>
        </w:rPr>
        <w:instrText>Lee</w:instrText>
      </w:r>
      <w:r w:rsidR="009D170B" w:rsidRPr="00320416">
        <w:rPr>
          <w:b/>
        </w:rPr>
        <w:instrText>","</w:instrText>
      </w:r>
      <w:r w:rsidR="009D170B">
        <w:rPr>
          <w:b/>
          <w:lang w:val="en-US"/>
        </w:rPr>
        <w:instrText>given</w:instrText>
      </w:r>
      <w:r w:rsidR="009D170B" w:rsidRPr="00320416">
        <w:rPr>
          <w:b/>
        </w:rPr>
        <w:instrText>":"</w:instrText>
      </w:r>
      <w:r w:rsidR="009D170B">
        <w:rPr>
          <w:b/>
          <w:lang w:val="en-US"/>
        </w:rPr>
        <w:instrText>Calvin</w:instrText>
      </w:r>
      <w:r w:rsidR="009D170B" w:rsidRPr="00320416">
        <w:rPr>
          <w:b/>
        </w:rPr>
        <w:instrText>","</w:instrText>
      </w:r>
      <w:r w:rsidR="009D170B">
        <w:rPr>
          <w:b/>
          <w:lang w:val="en-US"/>
        </w:rPr>
        <w:instrText>non</w:instrText>
      </w:r>
      <w:r w:rsidR="009D170B" w:rsidRPr="00320416">
        <w:rPr>
          <w:b/>
        </w:rPr>
        <w:instrText>-</w:instrText>
      </w:r>
      <w:r w:rsidR="009D170B">
        <w:rPr>
          <w:b/>
          <w:lang w:val="en-US"/>
        </w:rPr>
        <w:instrText>dropping</w:instrText>
      </w:r>
      <w:r w:rsidR="009D170B" w:rsidRPr="00320416">
        <w:rPr>
          <w:b/>
        </w:rPr>
        <w:instrText>-</w:instrText>
      </w:r>
      <w:r w:rsidR="009D170B">
        <w:rPr>
          <w:b/>
          <w:lang w:val="en-US"/>
        </w:rPr>
        <w:instrText>particle</w:instrText>
      </w:r>
      <w:r w:rsidR="009D170B" w:rsidRPr="00320416">
        <w:rPr>
          <w:b/>
        </w:rPr>
        <w:instrText>":"","</w:instrText>
      </w:r>
      <w:r w:rsidR="009D170B">
        <w:rPr>
          <w:b/>
          <w:lang w:val="en-US"/>
        </w:rPr>
        <w:instrText>parse</w:instrText>
      </w:r>
      <w:r w:rsidR="009D170B" w:rsidRPr="00320416">
        <w:rPr>
          <w:b/>
        </w:rPr>
        <w:instrText>-</w:instrText>
      </w:r>
      <w:r w:rsidR="009D170B">
        <w:rPr>
          <w:b/>
          <w:lang w:val="en-US"/>
        </w:rPr>
        <w:instrText>names</w:instrText>
      </w:r>
      <w:r w:rsidR="009D170B" w:rsidRPr="00320416">
        <w:rPr>
          <w:b/>
        </w:rPr>
        <w:instrText>":</w:instrText>
      </w:r>
      <w:r w:rsidR="009D170B">
        <w:rPr>
          <w:b/>
          <w:lang w:val="en-US"/>
        </w:rPr>
        <w:instrText>false</w:instrText>
      </w:r>
      <w:r w:rsidR="009D170B" w:rsidRPr="00320416">
        <w:rPr>
          <w:b/>
        </w:rPr>
        <w:instrText>,"</w:instrText>
      </w:r>
      <w:r w:rsidR="009D170B">
        <w:rPr>
          <w:b/>
          <w:lang w:val="en-US"/>
        </w:rPr>
        <w:instrText>suffix</w:instrText>
      </w:r>
      <w:r w:rsidR="009D170B" w:rsidRPr="00320416">
        <w:rPr>
          <w:b/>
        </w:rPr>
        <w:instrText>":""},{"</w:instrText>
      </w:r>
      <w:r w:rsidR="009D170B">
        <w:rPr>
          <w:b/>
          <w:lang w:val="en-US"/>
        </w:rPr>
        <w:instrText>dropping</w:instrText>
      </w:r>
      <w:r w:rsidR="009D170B" w:rsidRPr="00320416">
        <w:rPr>
          <w:b/>
        </w:rPr>
        <w:instrText>-</w:instrText>
      </w:r>
      <w:r w:rsidR="009D170B">
        <w:rPr>
          <w:b/>
          <w:lang w:val="en-US"/>
        </w:rPr>
        <w:instrText>particle</w:instrText>
      </w:r>
      <w:r w:rsidR="009D170B" w:rsidRPr="00320416">
        <w:rPr>
          <w:b/>
        </w:rPr>
        <w:instrText>":"","</w:instrText>
      </w:r>
      <w:r w:rsidR="009D170B">
        <w:rPr>
          <w:b/>
          <w:lang w:val="en-US"/>
        </w:rPr>
        <w:instrText>family</w:instrText>
      </w:r>
      <w:r w:rsidR="009D170B" w:rsidRPr="00320416">
        <w:rPr>
          <w:b/>
        </w:rPr>
        <w:instrText>":"</w:instrText>
      </w:r>
      <w:r w:rsidR="009D170B">
        <w:rPr>
          <w:b/>
          <w:lang w:val="en-US"/>
        </w:rPr>
        <w:instrText>Flowers</w:instrText>
      </w:r>
      <w:r w:rsidR="009D170B" w:rsidRPr="00320416">
        <w:rPr>
          <w:b/>
        </w:rPr>
        <w:instrText>","</w:instrText>
      </w:r>
      <w:r w:rsidR="009D170B">
        <w:rPr>
          <w:b/>
          <w:lang w:val="en-US"/>
        </w:rPr>
        <w:instrText>given</w:instrText>
      </w:r>
      <w:r w:rsidR="009D170B" w:rsidRPr="00320416">
        <w:rPr>
          <w:b/>
        </w:rPr>
        <w:instrText>":"</w:instrText>
      </w:r>
      <w:r w:rsidR="009D170B">
        <w:rPr>
          <w:b/>
          <w:lang w:val="en-US"/>
        </w:rPr>
        <w:instrText>Christopher</w:instrText>
      </w:r>
      <w:r w:rsidR="009D170B" w:rsidRPr="00320416">
        <w:rPr>
          <w:b/>
        </w:rPr>
        <w:instrText xml:space="preserve"> </w:instrText>
      </w:r>
      <w:r w:rsidR="009D170B">
        <w:rPr>
          <w:b/>
          <w:lang w:val="en-US"/>
        </w:rPr>
        <w:instrText>R</w:instrText>
      </w:r>
      <w:r w:rsidR="009D170B" w:rsidRPr="00320416">
        <w:rPr>
          <w:b/>
        </w:rPr>
        <w:instrText>.","</w:instrText>
      </w:r>
      <w:r w:rsidR="009D170B">
        <w:rPr>
          <w:b/>
          <w:lang w:val="en-US"/>
        </w:rPr>
        <w:instrText>non</w:instrText>
      </w:r>
      <w:r w:rsidR="009D170B" w:rsidRPr="00320416">
        <w:rPr>
          <w:b/>
        </w:rPr>
        <w:instrText>-</w:instrText>
      </w:r>
      <w:r w:rsidR="009D170B">
        <w:rPr>
          <w:b/>
          <w:lang w:val="en-US"/>
        </w:rPr>
        <w:instrText>dropping</w:instrText>
      </w:r>
      <w:r w:rsidR="009D170B" w:rsidRPr="00320416">
        <w:rPr>
          <w:b/>
        </w:rPr>
        <w:instrText>-</w:instrText>
      </w:r>
      <w:r w:rsidR="009D170B">
        <w:rPr>
          <w:b/>
          <w:lang w:val="en-US"/>
        </w:rPr>
        <w:instrText>particle</w:instrText>
      </w:r>
      <w:r w:rsidR="009D170B" w:rsidRPr="00320416">
        <w:rPr>
          <w:b/>
        </w:rPr>
        <w:instrText>":"","</w:instrText>
      </w:r>
      <w:r w:rsidR="009D170B">
        <w:rPr>
          <w:b/>
          <w:lang w:val="en-US"/>
        </w:rPr>
        <w:instrText>parse</w:instrText>
      </w:r>
      <w:r w:rsidR="009D170B" w:rsidRPr="00320416">
        <w:rPr>
          <w:b/>
        </w:rPr>
        <w:instrText>-</w:instrText>
      </w:r>
      <w:r w:rsidR="009D170B">
        <w:rPr>
          <w:b/>
          <w:lang w:val="en-US"/>
        </w:rPr>
        <w:instrText>names</w:instrText>
      </w:r>
      <w:r w:rsidR="009D170B" w:rsidRPr="00320416">
        <w:rPr>
          <w:b/>
        </w:rPr>
        <w:instrText>":</w:instrText>
      </w:r>
      <w:r w:rsidR="009D170B">
        <w:rPr>
          <w:b/>
          <w:lang w:val="en-US"/>
        </w:rPr>
        <w:instrText>false</w:instrText>
      </w:r>
      <w:r w:rsidR="009D170B" w:rsidRPr="00320416">
        <w:rPr>
          <w:b/>
        </w:rPr>
        <w:instrText>,"</w:instrText>
      </w:r>
      <w:r w:rsidR="009D170B">
        <w:rPr>
          <w:b/>
          <w:lang w:val="en-US"/>
        </w:rPr>
        <w:instrText>suffix</w:instrText>
      </w:r>
      <w:r w:rsidR="009D170B" w:rsidRPr="00320416">
        <w:rPr>
          <w:b/>
        </w:rPr>
        <w:instrText>":""},{"</w:instrText>
      </w:r>
      <w:r w:rsidR="009D170B">
        <w:rPr>
          <w:b/>
          <w:lang w:val="en-US"/>
        </w:rPr>
        <w:instrText>dropping</w:instrText>
      </w:r>
      <w:r w:rsidR="009D170B" w:rsidRPr="00320416">
        <w:rPr>
          <w:b/>
        </w:rPr>
        <w:instrText>-</w:instrText>
      </w:r>
      <w:r w:rsidR="009D170B">
        <w:rPr>
          <w:b/>
          <w:lang w:val="en-US"/>
        </w:rPr>
        <w:instrText>particle</w:instrText>
      </w:r>
      <w:r w:rsidR="009D170B" w:rsidRPr="00320416">
        <w:rPr>
          <w:b/>
        </w:rPr>
        <w:instrText>":"","</w:instrText>
      </w:r>
      <w:r w:rsidR="009D170B">
        <w:rPr>
          <w:b/>
          <w:lang w:val="en-US"/>
        </w:rPr>
        <w:instrText>family</w:instrText>
      </w:r>
      <w:r w:rsidR="009D170B" w:rsidRPr="00320416">
        <w:rPr>
          <w:b/>
        </w:rPr>
        <w:instrText>":"</w:instrText>
      </w:r>
      <w:r w:rsidR="009D170B">
        <w:rPr>
          <w:b/>
          <w:lang w:val="en-US"/>
        </w:rPr>
        <w:instrText>Salles</w:instrText>
      </w:r>
      <w:r w:rsidR="009D170B" w:rsidRPr="00320416">
        <w:rPr>
          <w:b/>
        </w:rPr>
        <w:instrText>","</w:instrText>
      </w:r>
      <w:r w:rsidR="009D170B">
        <w:rPr>
          <w:b/>
          <w:lang w:val="en-US"/>
        </w:rPr>
        <w:instrText>given</w:instrText>
      </w:r>
      <w:r w:rsidR="009D170B" w:rsidRPr="00320416">
        <w:rPr>
          <w:b/>
        </w:rPr>
        <w:instrText>":"</w:instrText>
      </w:r>
      <w:r w:rsidR="009D170B">
        <w:rPr>
          <w:b/>
          <w:lang w:val="en-US"/>
        </w:rPr>
        <w:instrText>Gilles</w:instrText>
      </w:r>
      <w:r w:rsidR="009D170B" w:rsidRPr="00320416">
        <w:rPr>
          <w:b/>
        </w:rPr>
        <w:instrText>","</w:instrText>
      </w:r>
      <w:r w:rsidR="009D170B">
        <w:rPr>
          <w:b/>
          <w:lang w:val="en-US"/>
        </w:rPr>
        <w:instrText>non</w:instrText>
      </w:r>
      <w:r w:rsidR="009D170B" w:rsidRPr="00320416">
        <w:rPr>
          <w:b/>
        </w:rPr>
        <w:instrText>-</w:instrText>
      </w:r>
      <w:r w:rsidR="009D170B">
        <w:rPr>
          <w:b/>
          <w:lang w:val="en-US"/>
        </w:rPr>
        <w:instrText>dropping</w:instrText>
      </w:r>
      <w:r w:rsidR="009D170B" w:rsidRPr="00320416">
        <w:rPr>
          <w:b/>
        </w:rPr>
        <w:instrText>-</w:instrText>
      </w:r>
      <w:r w:rsidR="009D170B">
        <w:rPr>
          <w:b/>
          <w:lang w:val="en-US"/>
        </w:rPr>
        <w:instrText>particle</w:instrText>
      </w:r>
      <w:r w:rsidR="009D170B" w:rsidRPr="00320416">
        <w:rPr>
          <w:b/>
        </w:rPr>
        <w:instrText>":"","</w:instrText>
      </w:r>
      <w:r w:rsidR="009D170B">
        <w:rPr>
          <w:b/>
          <w:lang w:val="en-US"/>
        </w:rPr>
        <w:instrText>parse</w:instrText>
      </w:r>
      <w:r w:rsidR="009D170B" w:rsidRPr="00320416">
        <w:rPr>
          <w:b/>
        </w:rPr>
        <w:instrText>-</w:instrText>
      </w:r>
      <w:r w:rsidR="009D170B">
        <w:rPr>
          <w:b/>
          <w:lang w:val="en-US"/>
        </w:rPr>
        <w:instrText>names</w:instrText>
      </w:r>
      <w:r w:rsidR="009D170B" w:rsidRPr="00320416">
        <w:rPr>
          <w:b/>
        </w:rPr>
        <w:instrText>":</w:instrText>
      </w:r>
      <w:r w:rsidR="009D170B">
        <w:rPr>
          <w:b/>
          <w:lang w:val="en-US"/>
        </w:rPr>
        <w:instrText>false</w:instrText>
      </w:r>
      <w:r w:rsidR="009D170B" w:rsidRPr="00320416">
        <w:rPr>
          <w:b/>
        </w:rPr>
        <w:instrText>,"</w:instrText>
      </w:r>
      <w:r w:rsidR="009D170B">
        <w:rPr>
          <w:b/>
          <w:lang w:val="en-US"/>
        </w:rPr>
        <w:instrText>suffix</w:instrText>
      </w:r>
      <w:r w:rsidR="009D170B" w:rsidRPr="00320416">
        <w:rPr>
          <w:b/>
        </w:rPr>
        <w:instrText>":""}],"</w:instrText>
      </w:r>
      <w:r w:rsidR="009D170B">
        <w:rPr>
          <w:b/>
          <w:lang w:val="en-US"/>
        </w:rPr>
        <w:instrText>container</w:instrText>
      </w:r>
      <w:r w:rsidR="009D170B" w:rsidRPr="00320416">
        <w:rPr>
          <w:b/>
        </w:rPr>
        <w:instrText>-</w:instrText>
      </w:r>
      <w:r w:rsidR="009D170B">
        <w:rPr>
          <w:b/>
          <w:lang w:val="en-US"/>
        </w:rPr>
        <w:instrText>title</w:instrText>
      </w:r>
      <w:r w:rsidR="009D170B" w:rsidRPr="00320416">
        <w:rPr>
          <w:b/>
        </w:rPr>
        <w:instrText>":"</w:instrText>
      </w:r>
      <w:r w:rsidR="009D170B">
        <w:rPr>
          <w:b/>
          <w:lang w:val="en-US"/>
        </w:rPr>
        <w:instrText>The</w:instrText>
      </w:r>
      <w:r w:rsidR="009D170B" w:rsidRPr="00320416">
        <w:rPr>
          <w:b/>
        </w:rPr>
        <w:instrText xml:space="preserve"> </w:instrText>
      </w:r>
      <w:r w:rsidR="009D170B">
        <w:rPr>
          <w:b/>
          <w:lang w:val="en-US"/>
        </w:rPr>
        <w:instrText>New</w:instrText>
      </w:r>
      <w:r w:rsidR="009D170B" w:rsidRPr="00320416">
        <w:rPr>
          <w:b/>
        </w:rPr>
        <w:instrText xml:space="preserve"> </w:instrText>
      </w:r>
      <w:r w:rsidR="009D170B">
        <w:rPr>
          <w:b/>
          <w:lang w:val="en-US"/>
        </w:rPr>
        <w:instrText>England</w:instrText>
      </w:r>
      <w:r w:rsidR="009D170B" w:rsidRPr="00320416">
        <w:rPr>
          <w:b/>
        </w:rPr>
        <w:instrText xml:space="preserve"> </w:instrText>
      </w:r>
      <w:r w:rsidR="009D170B">
        <w:rPr>
          <w:b/>
          <w:lang w:val="en-US"/>
        </w:rPr>
        <w:instrText>journal</w:instrText>
      </w:r>
      <w:r w:rsidR="009D170B" w:rsidRPr="00320416">
        <w:rPr>
          <w:b/>
        </w:rPr>
        <w:instrText xml:space="preserve"> </w:instrText>
      </w:r>
      <w:r w:rsidR="009D170B">
        <w:rPr>
          <w:b/>
          <w:lang w:val="en-US"/>
        </w:rPr>
        <w:instrText>of</w:instrText>
      </w:r>
      <w:r w:rsidR="009D170B" w:rsidRPr="00320416">
        <w:rPr>
          <w:b/>
        </w:rPr>
        <w:instrText xml:space="preserve"> </w:instrText>
      </w:r>
      <w:r w:rsidR="009D170B">
        <w:rPr>
          <w:b/>
          <w:lang w:val="en-US"/>
        </w:rPr>
        <w:instrText>medicine</w:instrText>
      </w:r>
      <w:r w:rsidR="009D170B" w:rsidRPr="00320416">
        <w:rPr>
          <w:b/>
        </w:rPr>
        <w:instrText>","</w:instrText>
      </w:r>
      <w:r w:rsidR="009D170B">
        <w:rPr>
          <w:b/>
          <w:lang w:val="en-US"/>
        </w:rPr>
        <w:instrText>id</w:instrText>
      </w:r>
      <w:r w:rsidR="009D170B" w:rsidRPr="00320416">
        <w:rPr>
          <w:b/>
        </w:rPr>
        <w:instrText>":"</w:instrText>
      </w:r>
      <w:r w:rsidR="009D170B">
        <w:rPr>
          <w:b/>
          <w:lang w:val="en-US"/>
        </w:rPr>
        <w:instrText>ITEM</w:instrText>
      </w:r>
      <w:r w:rsidR="009D170B" w:rsidRPr="00320416">
        <w:rPr>
          <w:b/>
        </w:rPr>
        <w:instrText>-1","</w:instrText>
      </w:r>
      <w:r w:rsidR="009D170B">
        <w:rPr>
          <w:b/>
          <w:lang w:val="en-US"/>
        </w:rPr>
        <w:instrText>issue</w:instrText>
      </w:r>
      <w:r w:rsidR="009D170B" w:rsidRPr="00320416">
        <w:rPr>
          <w:b/>
        </w:rPr>
        <w:instrText>":"4","</w:instrText>
      </w:r>
      <w:r w:rsidR="009D170B">
        <w:rPr>
          <w:b/>
          <w:lang w:val="en-US"/>
        </w:rPr>
        <w:instrText>issued</w:instrText>
      </w:r>
      <w:r w:rsidR="009D170B" w:rsidRPr="00320416">
        <w:rPr>
          <w:b/>
        </w:rPr>
        <w:instrText>":{"</w:instrText>
      </w:r>
      <w:r w:rsidR="009D170B">
        <w:rPr>
          <w:b/>
          <w:lang w:val="en-US"/>
        </w:rPr>
        <w:instrText>date</w:instrText>
      </w:r>
      <w:r w:rsidR="009D170B" w:rsidRPr="00320416">
        <w:rPr>
          <w:b/>
        </w:rPr>
        <w:instrText>-</w:instrText>
      </w:r>
      <w:r w:rsidR="009D170B">
        <w:rPr>
          <w:b/>
          <w:lang w:val="en-US"/>
        </w:rPr>
        <w:instrText>parts</w:instrText>
      </w:r>
      <w:r w:rsidR="009D170B" w:rsidRPr="00320416">
        <w:rPr>
          <w:b/>
        </w:rPr>
        <w:instrText>":[["2022","1","27"]]},"</w:instrText>
      </w:r>
      <w:r w:rsidR="009D170B">
        <w:rPr>
          <w:b/>
          <w:lang w:val="en-US"/>
        </w:rPr>
        <w:instrText>page</w:instrText>
      </w:r>
      <w:r w:rsidR="009D170B" w:rsidRPr="00320416">
        <w:rPr>
          <w:b/>
        </w:rPr>
        <w:instrText>":"351-363","</w:instrText>
      </w:r>
      <w:r w:rsidR="009D170B">
        <w:rPr>
          <w:b/>
          <w:lang w:val="en-US"/>
        </w:rPr>
        <w:instrText>publisher</w:instrText>
      </w:r>
      <w:r w:rsidR="009D170B" w:rsidRPr="00320416">
        <w:rPr>
          <w:b/>
        </w:rPr>
        <w:instrText>":"</w:instrText>
      </w:r>
      <w:r w:rsidR="009D170B">
        <w:rPr>
          <w:b/>
          <w:lang w:val="en-US"/>
        </w:rPr>
        <w:instrText>N</w:instrText>
      </w:r>
      <w:r w:rsidR="009D170B" w:rsidRPr="00320416">
        <w:rPr>
          <w:b/>
        </w:rPr>
        <w:instrText xml:space="preserve"> </w:instrText>
      </w:r>
      <w:r w:rsidR="009D170B">
        <w:rPr>
          <w:b/>
          <w:lang w:val="en-US"/>
        </w:rPr>
        <w:instrText>Engl</w:instrText>
      </w:r>
      <w:r w:rsidR="009D170B" w:rsidRPr="00320416">
        <w:rPr>
          <w:b/>
        </w:rPr>
        <w:instrText xml:space="preserve"> </w:instrText>
      </w:r>
      <w:r w:rsidR="009D170B">
        <w:rPr>
          <w:b/>
          <w:lang w:val="en-US"/>
        </w:rPr>
        <w:instrText>J</w:instrText>
      </w:r>
      <w:r w:rsidR="009D170B" w:rsidRPr="00320416">
        <w:rPr>
          <w:b/>
        </w:rPr>
        <w:instrText xml:space="preserve"> </w:instrText>
      </w:r>
      <w:r w:rsidR="009D170B">
        <w:rPr>
          <w:b/>
          <w:lang w:val="en-US"/>
        </w:rPr>
        <w:instrText>Med</w:instrText>
      </w:r>
      <w:r w:rsidR="009D170B" w:rsidRPr="00320416">
        <w:rPr>
          <w:b/>
        </w:rPr>
        <w:instrText>","</w:instrText>
      </w:r>
      <w:r w:rsidR="009D170B">
        <w:rPr>
          <w:b/>
          <w:lang w:val="en-US"/>
        </w:rPr>
        <w:instrText>title</w:instrText>
      </w:r>
      <w:r w:rsidR="009D170B" w:rsidRPr="00320416">
        <w:rPr>
          <w:b/>
        </w:rPr>
        <w:instrText>":"</w:instrText>
      </w:r>
      <w:r w:rsidR="009D170B">
        <w:rPr>
          <w:b/>
          <w:lang w:val="en-US"/>
        </w:rPr>
        <w:instrText>Polatuzumab</w:instrText>
      </w:r>
      <w:r w:rsidR="009D170B" w:rsidRPr="00320416">
        <w:rPr>
          <w:b/>
        </w:rPr>
        <w:instrText xml:space="preserve"> </w:instrText>
      </w:r>
      <w:r w:rsidR="009D170B">
        <w:rPr>
          <w:b/>
          <w:lang w:val="en-US"/>
        </w:rPr>
        <w:instrText>Vedotin</w:instrText>
      </w:r>
      <w:r w:rsidR="009D170B" w:rsidRPr="00320416">
        <w:rPr>
          <w:b/>
        </w:rPr>
        <w:instrText xml:space="preserve"> </w:instrText>
      </w:r>
      <w:r w:rsidR="009D170B">
        <w:rPr>
          <w:b/>
          <w:lang w:val="en-US"/>
        </w:rPr>
        <w:instrText>in</w:instrText>
      </w:r>
      <w:r w:rsidR="009D170B" w:rsidRPr="00320416">
        <w:rPr>
          <w:b/>
        </w:rPr>
        <w:instrText xml:space="preserve"> </w:instrText>
      </w:r>
      <w:r w:rsidR="009D170B">
        <w:rPr>
          <w:b/>
          <w:lang w:val="en-US"/>
        </w:rPr>
        <w:instrText>Previously</w:instrText>
      </w:r>
      <w:r w:rsidR="009D170B" w:rsidRPr="00320416">
        <w:rPr>
          <w:b/>
        </w:rPr>
        <w:instrText xml:space="preserve"> </w:instrText>
      </w:r>
      <w:r w:rsidR="009D170B">
        <w:rPr>
          <w:b/>
          <w:lang w:val="en-US"/>
        </w:rPr>
        <w:instrText>Untreated</w:instrText>
      </w:r>
      <w:r w:rsidR="009D170B" w:rsidRPr="00320416">
        <w:rPr>
          <w:b/>
        </w:rPr>
        <w:instrText xml:space="preserve"> </w:instrText>
      </w:r>
      <w:r w:rsidR="009D170B">
        <w:rPr>
          <w:b/>
          <w:lang w:val="en-US"/>
        </w:rPr>
        <w:instrText>Diffuse</w:instrText>
      </w:r>
      <w:r w:rsidR="009D170B" w:rsidRPr="00320416">
        <w:rPr>
          <w:b/>
        </w:rPr>
        <w:instrText xml:space="preserve"> </w:instrText>
      </w:r>
      <w:r w:rsidR="009D170B">
        <w:rPr>
          <w:b/>
          <w:lang w:val="en-US"/>
        </w:rPr>
        <w:instrText>Large</w:instrText>
      </w:r>
      <w:r w:rsidR="009D170B" w:rsidRPr="00320416">
        <w:rPr>
          <w:b/>
        </w:rPr>
        <w:instrText xml:space="preserve"> </w:instrText>
      </w:r>
      <w:r w:rsidR="009D170B">
        <w:rPr>
          <w:b/>
          <w:lang w:val="en-US"/>
        </w:rPr>
        <w:instrText>B</w:instrText>
      </w:r>
      <w:r w:rsidR="009D170B" w:rsidRPr="00320416">
        <w:rPr>
          <w:b/>
        </w:rPr>
        <w:instrText>-</w:instrText>
      </w:r>
      <w:r w:rsidR="009D170B">
        <w:rPr>
          <w:b/>
          <w:lang w:val="en-US"/>
        </w:rPr>
        <w:instrText>Cell</w:instrText>
      </w:r>
      <w:r w:rsidR="009D170B" w:rsidRPr="00320416">
        <w:rPr>
          <w:b/>
        </w:rPr>
        <w:instrText xml:space="preserve"> </w:instrText>
      </w:r>
      <w:r w:rsidR="009D170B">
        <w:rPr>
          <w:b/>
          <w:lang w:val="en-US"/>
        </w:rPr>
        <w:instrText>Lymphoma</w:instrText>
      </w:r>
      <w:r w:rsidR="009D170B" w:rsidRPr="00320416">
        <w:rPr>
          <w:b/>
        </w:rPr>
        <w:instrText>","</w:instrText>
      </w:r>
      <w:r w:rsidR="009D170B">
        <w:rPr>
          <w:b/>
          <w:lang w:val="en-US"/>
        </w:rPr>
        <w:instrText>type</w:instrText>
      </w:r>
      <w:r w:rsidR="009D170B" w:rsidRPr="00320416">
        <w:rPr>
          <w:b/>
        </w:rPr>
        <w:instrText>":"</w:instrText>
      </w:r>
      <w:r w:rsidR="009D170B">
        <w:rPr>
          <w:b/>
          <w:lang w:val="en-US"/>
        </w:rPr>
        <w:instrText>article</w:instrText>
      </w:r>
      <w:r w:rsidR="009D170B" w:rsidRPr="00320416">
        <w:rPr>
          <w:b/>
        </w:rPr>
        <w:instrText>-</w:instrText>
      </w:r>
      <w:r w:rsidR="009D170B">
        <w:rPr>
          <w:b/>
          <w:lang w:val="en-US"/>
        </w:rPr>
        <w:instrText>journal</w:instrText>
      </w:r>
      <w:r w:rsidR="009D170B" w:rsidRPr="00320416">
        <w:rPr>
          <w:b/>
        </w:rPr>
        <w:instrText>","</w:instrText>
      </w:r>
      <w:r w:rsidR="009D170B">
        <w:rPr>
          <w:b/>
          <w:lang w:val="en-US"/>
        </w:rPr>
        <w:instrText>volume</w:instrText>
      </w:r>
      <w:r w:rsidR="009D170B" w:rsidRPr="00320416">
        <w:rPr>
          <w:b/>
        </w:rPr>
        <w:instrText>":"386"},"</w:instrText>
      </w:r>
      <w:r w:rsidR="009D170B">
        <w:rPr>
          <w:b/>
          <w:lang w:val="en-US"/>
        </w:rPr>
        <w:instrText>uris</w:instrText>
      </w:r>
      <w:r w:rsidR="009D170B" w:rsidRPr="00320416">
        <w:rPr>
          <w:b/>
        </w:rPr>
        <w:instrText>":["</w:instrText>
      </w:r>
      <w:r w:rsidR="009D170B">
        <w:rPr>
          <w:b/>
          <w:lang w:val="en-US"/>
        </w:rPr>
        <w:instrText>http</w:instrText>
      </w:r>
      <w:r w:rsidR="009D170B" w:rsidRPr="00320416">
        <w:rPr>
          <w:b/>
        </w:rPr>
        <w:instrText>://</w:instrText>
      </w:r>
      <w:r w:rsidR="009D170B">
        <w:rPr>
          <w:b/>
          <w:lang w:val="en-US"/>
        </w:rPr>
        <w:instrText>www</w:instrText>
      </w:r>
      <w:r w:rsidR="009D170B" w:rsidRPr="00320416">
        <w:rPr>
          <w:b/>
        </w:rPr>
        <w:instrText>.</w:instrText>
      </w:r>
      <w:r w:rsidR="009D170B">
        <w:rPr>
          <w:b/>
          <w:lang w:val="en-US"/>
        </w:rPr>
        <w:instrText>mendeley</w:instrText>
      </w:r>
      <w:r w:rsidR="009D170B" w:rsidRPr="00320416">
        <w:rPr>
          <w:b/>
        </w:rPr>
        <w:instrText>.</w:instrText>
      </w:r>
      <w:r w:rsidR="009D170B">
        <w:rPr>
          <w:b/>
          <w:lang w:val="en-US"/>
        </w:rPr>
        <w:instrText>com</w:instrText>
      </w:r>
      <w:r w:rsidR="009D170B" w:rsidRPr="00320416">
        <w:rPr>
          <w:b/>
        </w:rPr>
        <w:instrText>/</w:instrText>
      </w:r>
      <w:r w:rsidR="009D170B">
        <w:rPr>
          <w:b/>
          <w:lang w:val="en-US"/>
        </w:rPr>
        <w:instrText>documents</w:instrText>
      </w:r>
      <w:r w:rsidR="009D170B" w:rsidRPr="00320416">
        <w:rPr>
          <w:b/>
        </w:rPr>
        <w:instrText>/?</w:instrText>
      </w:r>
      <w:r w:rsidR="009D170B">
        <w:rPr>
          <w:b/>
          <w:lang w:val="en-US"/>
        </w:rPr>
        <w:instrText>uuid</w:instrText>
      </w:r>
      <w:r w:rsidR="009D170B" w:rsidRPr="00320416">
        <w:rPr>
          <w:b/>
        </w:rPr>
        <w:instrText>=8</w:instrText>
      </w:r>
      <w:r w:rsidR="009D170B">
        <w:rPr>
          <w:b/>
          <w:lang w:val="en-US"/>
        </w:rPr>
        <w:instrText>cdd</w:instrText>
      </w:r>
      <w:r w:rsidR="009D170B" w:rsidRPr="00320416">
        <w:rPr>
          <w:b/>
        </w:rPr>
        <w:instrText>3</w:instrText>
      </w:r>
      <w:r w:rsidR="009D170B">
        <w:rPr>
          <w:b/>
          <w:lang w:val="en-US"/>
        </w:rPr>
        <w:instrText>a</w:instrText>
      </w:r>
      <w:r w:rsidR="009D170B" w:rsidRPr="00320416">
        <w:rPr>
          <w:b/>
        </w:rPr>
        <w:instrText>88-7</w:instrText>
      </w:r>
      <w:r w:rsidR="009D170B">
        <w:rPr>
          <w:b/>
          <w:lang w:val="en-US"/>
        </w:rPr>
        <w:instrText>ad</w:instrText>
      </w:r>
      <w:r w:rsidR="009D170B" w:rsidRPr="00320416">
        <w:rPr>
          <w:b/>
        </w:rPr>
        <w:instrText>8-3602-9581-79</w:instrText>
      </w:r>
      <w:r w:rsidR="009D170B">
        <w:rPr>
          <w:b/>
          <w:lang w:val="en-US"/>
        </w:rPr>
        <w:instrText>d</w:instrText>
      </w:r>
      <w:r w:rsidR="009D170B" w:rsidRPr="00320416">
        <w:rPr>
          <w:b/>
        </w:rPr>
        <w:instrText>8</w:instrText>
      </w:r>
      <w:r w:rsidR="009D170B">
        <w:rPr>
          <w:b/>
          <w:lang w:val="en-US"/>
        </w:rPr>
        <w:instrText>bad</w:instrText>
      </w:r>
      <w:r w:rsidR="009D170B" w:rsidRPr="00320416">
        <w:rPr>
          <w:b/>
        </w:rPr>
        <w:instrText>4</w:instrText>
      </w:r>
      <w:r w:rsidR="009D170B">
        <w:rPr>
          <w:b/>
          <w:lang w:val="en-US"/>
        </w:rPr>
        <w:instrText>aacc</w:instrText>
      </w:r>
      <w:r w:rsidR="009D170B" w:rsidRPr="00320416">
        <w:rPr>
          <w:b/>
        </w:rPr>
        <w:instrText>"]}],"</w:instrText>
      </w:r>
      <w:r w:rsidR="009D170B">
        <w:rPr>
          <w:b/>
          <w:lang w:val="en-US"/>
        </w:rPr>
        <w:instrText>mendeley</w:instrText>
      </w:r>
      <w:r w:rsidR="009D170B" w:rsidRPr="00320416">
        <w:rPr>
          <w:b/>
        </w:rPr>
        <w:instrText>":{"</w:instrText>
      </w:r>
      <w:r w:rsidR="009D170B">
        <w:rPr>
          <w:b/>
          <w:lang w:val="en-US"/>
        </w:rPr>
        <w:instrText>formattedCitation</w:instrText>
      </w:r>
      <w:r w:rsidR="009D170B" w:rsidRPr="00320416">
        <w:rPr>
          <w:b/>
        </w:rPr>
        <w:instrText>":"[65]","</w:instrText>
      </w:r>
      <w:r w:rsidR="009D170B">
        <w:rPr>
          <w:b/>
          <w:lang w:val="en-US"/>
        </w:rPr>
        <w:instrText>plainTextFormattedCitation</w:instrText>
      </w:r>
      <w:r w:rsidR="009D170B" w:rsidRPr="00320416">
        <w:rPr>
          <w:b/>
        </w:rPr>
        <w:instrText>":"[65]","</w:instrText>
      </w:r>
      <w:r w:rsidR="009D170B">
        <w:rPr>
          <w:b/>
          <w:lang w:val="en-US"/>
        </w:rPr>
        <w:instrText>previouslyFormattedCitation</w:instrText>
      </w:r>
      <w:r w:rsidR="009D170B" w:rsidRPr="00320416">
        <w:rPr>
          <w:b/>
        </w:rPr>
        <w:instrText>":"[65]"},"</w:instrText>
      </w:r>
      <w:r w:rsidR="009D170B">
        <w:rPr>
          <w:b/>
          <w:lang w:val="en-US"/>
        </w:rPr>
        <w:instrText>properties</w:instrText>
      </w:r>
      <w:r w:rsidR="009D170B" w:rsidRPr="00320416">
        <w:rPr>
          <w:b/>
        </w:rPr>
        <w:instrText>":{"</w:instrText>
      </w:r>
      <w:r w:rsidR="009D170B">
        <w:rPr>
          <w:b/>
          <w:lang w:val="en-US"/>
        </w:rPr>
        <w:instrText>noteIndex</w:instrText>
      </w:r>
      <w:r w:rsidR="009D170B" w:rsidRPr="00320416">
        <w:rPr>
          <w:b/>
        </w:rPr>
        <w:instrText>":0},"</w:instrText>
      </w:r>
      <w:r w:rsidR="009D170B">
        <w:rPr>
          <w:b/>
          <w:lang w:val="en-US"/>
        </w:rPr>
        <w:instrText>schema</w:instrText>
      </w:r>
      <w:r w:rsidR="009D170B" w:rsidRPr="00320416">
        <w:rPr>
          <w:b/>
        </w:rPr>
        <w:instrText>":"</w:instrText>
      </w:r>
      <w:r w:rsidR="009D170B">
        <w:rPr>
          <w:b/>
          <w:lang w:val="en-US"/>
        </w:rPr>
        <w:instrText>https</w:instrText>
      </w:r>
      <w:r w:rsidR="009D170B" w:rsidRPr="00320416">
        <w:rPr>
          <w:b/>
        </w:rPr>
        <w:instrText>://</w:instrText>
      </w:r>
      <w:r w:rsidR="009D170B">
        <w:rPr>
          <w:b/>
          <w:lang w:val="en-US"/>
        </w:rPr>
        <w:instrText>github</w:instrText>
      </w:r>
      <w:r w:rsidR="009D170B" w:rsidRPr="00320416">
        <w:rPr>
          <w:b/>
        </w:rPr>
        <w:instrText>.</w:instrText>
      </w:r>
      <w:r w:rsidR="009D170B">
        <w:rPr>
          <w:b/>
          <w:lang w:val="en-US"/>
        </w:rPr>
        <w:instrText>com</w:instrText>
      </w:r>
      <w:r w:rsidR="009D170B" w:rsidRPr="00320416">
        <w:rPr>
          <w:b/>
        </w:rPr>
        <w:instrText>/</w:instrText>
      </w:r>
      <w:r w:rsidR="009D170B">
        <w:rPr>
          <w:b/>
          <w:lang w:val="en-US"/>
        </w:rPr>
        <w:instrText>citation</w:instrText>
      </w:r>
      <w:r w:rsidR="009D170B" w:rsidRPr="00320416">
        <w:rPr>
          <w:b/>
        </w:rPr>
        <w:instrText>-</w:instrText>
      </w:r>
      <w:r w:rsidR="009D170B">
        <w:rPr>
          <w:b/>
          <w:lang w:val="en-US"/>
        </w:rPr>
        <w:instrText>style</w:instrText>
      </w:r>
      <w:r w:rsidR="009D170B" w:rsidRPr="00320416">
        <w:rPr>
          <w:b/>
        </w:rPr>
        <w:instrText>-</w:instrText>
      </w:r>
      <w:r w:rsidR="009D170B">
        <w:rPr>
          <w:b/>
          <w:lang w:val="en-US"/>
        </w:rPr>
        <w:instrText>language</w:instrText>
      </w:r>
      <w:r w:rsidR="009D170B" w:rsidRPr="00320416">
        <w:rPr>
          <w:b/>
        </w:rPr>
        <w:instrText>/</w:instrText>
      </w:r>
      <w:r w:rsidR="009D170B">
        <w:rPr>
          <w:b/>
          <w:lang w:val="en-US"/>
        </w:rPr>
        <w:instrText>schema</w:instrText>
      </w:r>
      <w:r w:rsidR="009D170B" w:rsidRPr="00320416">
        <w:rPr>
          <w:b/>
        </w:rPr>
        <w:instrText>/</w:instrText>
      </w:r>
      <w:r w:rsidR="009D170B">
        <w:rPr>
          <w:b/>
          <w:lang w:val="en-US"/>
        </w:rPr>
        <w:instrText>raw</w:instrText>
      </w:r>
      <w:r w:rsidR="009D170B" w:rsidRPr="00320416">
        <w:rPr>
          <w:b/>
        </w:rPr>
        <w:instrText>/</w:instrText>
      </w:r>
      <w:r w:rsidR="009D170B">
        <w:rPr>
          <w:b/>
          <w:lang w:val="en-US"/>
        </w:rPr>
        <w:instrText>master</w:instrText>
      </w:r>
      <w:r w:rsidR="009D170B" w:rsidRPr="00320416">
        <w:rPr>
          <w:b/>
        </w:rPr>
        <w:instrText>/</w:instrText>
      </w:r>
      <w:r w:rsidR="009D170B">
        <w:rPr>
          <w:b/>
          <w:lang w:val="en-US"/>
        </w:rPr>
        <w:instrText>csl</w:instrText>
      </w:r>
      <w:r w:rsidR="009D170B" w:rsidRPr="00320416">
        <w:rPr>
          <w:b/>
        </w:rPr>
        <w:instrText>-</w:instrText>
      </w:r>
      <w:r w:rsidR="009D170B">
        <w:rPr>
          <w:b/>
          <w:lang w:val="en-US"/>
        </w:rPr>
        <w:instrText>citation</w:instrText>
      </w:r>
      <w:r w:rsidR="009D170B" w:rsidRPr="00320416">
        <w:rPr>
          <w:b/>
        </w:rPr>
        <w:instrText>.</w:instrText>
      </w:r>
      <w:r w:rsidR="009D170B">
        <w:rPr>
          <w:b/>
          <w:lang w:val="en-US"/>
        </w:rPr>
        <w:instrText>json</w:instrText>
      </w:r>
      <w:r w:rsidR="009D170B" w:rsidRPr="00320416">
        <w:rPr>
          <w:b/>
        </w:rPr>
        <w:instrText>"}</w:instrText>
      </w:r>
      <w:r w:rsidRPr="000322E4">
        <w:rPr>
          <w:b/>
          <w:lang w:val="en-US"/>
        </w:rPr>
        <w:fldChar w:fldCharType="separate"/>
      </w:r>
      <w:r w:rsidR="00095D58" w:rsidRPr="00095D58">
        <w:rPr>
          <w:noProof/>
        </w:rPr>
        <w:t>[65]</w:t>
      </w:r>
      <w:r w:rsidRPr="000322E4">
        <w:rPr>
          <w:b/>
          <w:lang w:val="en-US"/>
        </w:rPr>
        <w:fldChar w:fldCharType="end"/>
      </w:r>
    </w:p>
    <w:p w14:paraId="25033FEE" w14:textId="77777777" w:rsidR="00CF578C" w:rsidRPr="00293AC8" w:rsidRDefault="00CF578C" w:rsidP="00CF578C">
      <w:pPr>
        <w:numPr>
          <w:ilvl w:val="0"/>
          <w:numId w:val="39"/>
        </w:numPr>
        <w:spacing w:line="360" w:lineRule="auto"/>
        <w:jc w:val="both"/>
      </w:pPr>
      <w:r w:rsidRPr="000322E4">
        <w:t>Ритуксимаб</w:t>
      </w:r>
      <w:r w:rsidRPr="00293AC8">
        <w:rPr>
          <w:bCs/>
        </w:rPr>
        <w:t>**</w:t>
      </w:r>
      <w:r w:rsidRPr="00293AC8">
        <w:t xml:space="preserve"> </w:t>
      </w:r>
    </w:p>
    <w:p w14:paraId="08B8553F" w14:textId="7948667C" w:rsidR="00CF578C" w:rsidRPr="00293AC8" w:rsidRDefault="00CF578C" w:rsidP="00CF578C">
      <w:pPr>
        <w:numPr>
          <w:ilvl w:val="1"/>
          <w:numId w:val="39"/>
        </w:numPr>
        <w:spacing w:line="360" w:lineRule="auto"/>
        <w:jc w:val="both"/>
      </w:pPr>
      <w:r w:rsidRPr="00293AC8">
        <w:t xml:space="preserve">375 </w:t>
      </w:r>
      <w:r w:rsidRPr="000322E4">
        <w:t>мг</w:t>
      </w:r>
      <w:r w:rsidRPr="00293AC8">
        <w:t>/</w:t>
      </w:r>
      <w:r w:rsidRPr="000322E4">
        <w:t>м</w:t>
      </w:r>
      <w:r w:rsidRPr="00293AC8">
        <w:rPr>
          <w:vertAlign w:val="superscript"/>
        </w:rPr>
        <w:t>2</w:t>
      </w:r>
      <w:r w:rsidRPr="00293AC8">
        <w:t xml:space="preserve"> </w:t>
      </w:r>
      <w:r w:rsidRPr="000322E4">
        <w:t>в</w:t>
      </w:r>
      <w:r w:rsidRPr="00293AC8">
        <w:t>/</w:t>
      </w:r>
      <w:r w:rsidRPr="000322E4">
        <w:t>в</w:t>
      </w:r>
      <w:r w:rsidRPr="00293AC8">
        <w:t xml:space="preserve"> </w:t>
      </w:r>
      <w:r w:rsidRPr="000322E4">
        <w:t>кап</w:t>
      </w:r>
      <w:r w:rsidRPr="00293AC8">
        <w:t xml:space="preserve">., </w:t>
      </w:r>
      <w:r w:rsidRPr="000322E4">
        <w:t>день</w:t>
      </w:r>
      <w:r w:rsidRPr="00293AC8">
        <w:t xml:space="preserve"> 0 </w:t>
      </w:r>
      <w:r w:rsidRPr="000322E4">
        <w:t>или</w:t>
      </w:r>
      <w:r w:rsidRPr="00293AC8">
        <w:t xml:space="preserve"> 1</w:t>
      </w:r>
      <w:r w:rsidR="00697C42">
        <w:t>, циклы 1-8</w:t>
      </w:r>
    </w:p>
    <w:p w14:paraId="22AB05D0" w14:textId="77777777" w:rsidR="00CF578C" w:rsidRPr="00293AC8" w:rsidRDefault="00CF578C" w:rsidP="00CF578C">
      <w:pPr>
        <w:spacing w:line="360" w:lineRule="auto"/>
        <w:ind w:left="1080" w:firstLine="336"/>
        <w:jc w:val="both"/>
      </w:pPr>
      <w:r w:rsidRPr="000322E4">
        <w:t>или</w:t>
      </w:r>
    </w:p>
    <w:p w14:paraId="160AD1AF" w14:textId="65030DA8" w:rsidR="00CF578C" w:rsidRPr="00857364" w:rsidRDefault="00CF578C" w:rsidP="00CF578C">
      <w:pPr>
        <w:numPr>
          <w:ilvl w:val="1"/>
          <w:numId w:val="39"/>
        </w:numPr>
        <w:spacing w:line="360" w:lineRule="auto"/>
        <w:jc w:val="both"/>
      </w:pPr>
      <w:r w:rsidRPr="00293AC8">
        <w:t xml:space="preserve">375 </w:t>
      </w:r>
      <w:r w:rsidRPr="000322E4">
        <w:t>мг</w:t>
      </w:r>
      <w:r w:rsidRPr="00293AC8">
        <w:t>/</w:t>
      </w:r>
      <w:r w:rsidRPr="000322E4">
        <w:t>м</w:t>
      </w:r>
      <w:r w:rsidRPr="00293AC8">
        <w:rPr>
          <w:vertAlign w:val="superscript"/>
        </w:rPr>
        <w:t>2</w:t>
      </w:r>
      <w:r w:rsidRPr="00293AC8">
        <w:t xml:space="preserve"> </w:t>
      </w:r>
      <w:r w:rsidRPr="000322E4">
        <w:t>в</w:t>
      </w:r>
      <w:r w:rsidRPr="00293AC8">
        <w:t>/</w:t>
      </w:r>
      <w:r w:rsidRPr="000322E4">
        <w:t>в</w:t>
      </w:r>
      <w:r w:rsidRPr="00293AC8">
        <w:t xml:space="preserve"> </w:t>
      </w:r>
      <w:r w:rsidRPr="000322E4">
        <w:t>кап</w:t>
      </w:r>
      <w:r w:rsidRPr="00293AC8">
        <w:t xml:space="preserve">. 1 </w:t>
      </w:r>
      <w:r w:rsidRPr="000322E4">
        <w:t>цикл</w:t>
      </w:r>
      <w:r w:rsidRPr="00293AC8">
        <w:t xml:space="preserve">, </w:t>
      </w:r>
      <w:r w:rsidRPr="000322E4">
        <w:t>ритуксимаб</w:t>
      </w:r>
      <w:r w:rsidRPr="00293AC8">
        <w:t xml:space="preserve"> 1400 </w:t>
      </w:r>
      <w:r w:rsidRPr="000322E4">
        <w:t>мг</w:t>
      </w:r>
      <w:r w:rsidRPr="00293AC8">
        <w:t xml:space="preserve"> </w:t>
      </w:r>
      <w:r w:rsidRPr="000322E4">
        <w:t>п</w:t>
      </w:r>
      <w:r w:rsidRPr="00293AC8">
        <w:t>/</w:t>
      </w:r>
      <w:r w:rsidRPr="000322E4">
        <w:t>к</w:t>
      </w:r>
      <w:r w:rsidRPr="00293AC8">
        <w:t xml:space="preserve">, </w:t>
      </w:r>
      <w:r w:rsidRPr="000322E4">
        <w:t>день</w:t>
      </w:r>
      <w:r w:rsidRPr="00293AC8">
        <w:t xml:space="preserve"> 0 </w:t>
      </w:r>
      <w:r w:rsidRPr="000322E4">
        <w:t>или</w:t>
      </w:r>
      <w:r w:rsidRPr="00293AC8">
        <w:t xml:space="preserve"> 1</w:t>
      </w:r>
      <w:r w:rsidR="00697C42">
        <w:t>, циклы 2-8</w:t>
      </w:r>
      <w:r w:rsidRPr="00293AC8">
        <w:t xml:space="preserve"> </w:t>
      </w:r>
      <w:r w:rsidRPr="000322E4">
        <w:rPr>
          <w:lang w:val="en-US"/>
        </w:rPr>
        <w:fldChar w:fldCharType="begin" w:fldLock="1"/>
      </w:r>
      <w:r w:rsidR="00A6794A">
        <w:rPr>
          <w:lang w:val="en-US"/>
        </w:rPr>
        <w:instrText>ADDIN</w:instrText>
      </w:r>
      <w:r w:rsidR="00A6794A" w:rsidRPr="00D3550C">
        <w:instrText xml:space="preserve"> </w:instrText>
      </w:r>
      <w:r w:rsidR="00A6794A">
        <w:rPr>
          <w:lang w:val="en-US"/>
        </w:rPr>
        <w:instrText>CSL</w:instrText>
      </w:r>
      <w:r w:rsidR="00A6794A" w:rsidRPr="00D3550C">
        <w:instrText>_</w:instrText>
      </w:r>
      <w:r w:rsidR="00A6794A">
        <w:rPr>
          <w:lang w:val="en-US"/>
        </w:rPr>
        <w:instrText>CITATION</w:instrText>
      </w:r>
      <w:r w:rsidR="00A6794A" w:rsidRPr="00D3550C">
        <w:instrText xml:space="preserve"> {"</w:instrText>
      </w:r>
      <w:r w:rsidR="00A6794A">
        <w:rPr>
          <w:lang w:val="en-US"/>
        </w:rPr>
        <w:instrText>citationItems</w:instrText>
      </w:r>
      <w:r w:rsidR="00A6794A" w:rsidRPr="00D3550C">
        <w:instrText>":[{"</w:instrText>
      </w:r>
      <w:r w:rsidR="00A6794A">
        <w:rPr>
          <w:lang w:val="en-US"/>
        </w:rPr>
        <w:instrText>id</w:instrText>
      </w:r>
      <w:r w:rsidR="00A6794A" w:rsidRPr="00D3550C">
        <w:instrText>":"</w:instrText>
      </w:r>
      <w:r w:rsidR="00A6794A">
        <w:rPr>
          <w:lang w:val="en-US"/>
        </w:rPr>
        <w:instrText>ITEM</w:instrText>
      </w:r>
      <w:r w:rsidR="00A6794A" w:rsidRPr="00D3550C">
        <w:instrText>-1","</w:instrText>
      </w:r>
      <w:r w:rsidR="00A6794A">
        <w:rPr>
          <w:lang w:val="en-US"/>
        </w:rPr>
        <w:instrText>itemData</w:instrText>
      </w:r>
      <w:r w:rsidR="00A6794A" w:rsidRPr="00D3550C">
        <w:instrText>":{"</w:instrText>
      </w:r>
      <w:r w:rsidR="00A6794A">
        <w:rPr>
          <w:lang w:val="en-US"/>
        </w:rPr>
        <w:instrText>ISSN</w:instrText>
      </w:r>
      <w:r w:rsidR="00A6794A" w:rsidRPr="00D3550C">
        <w:instrText>":"2150-0878","</w:instrText>
      </w:r>
      <w:r w:rsidR="00A6794A">
        <w:rPr>
          <w:lang w:val="en-US"/>
        </w:rPr>
        <w:instrText>PMID</w:instrText>
      </w:r>
      <w:r w:rsidR="00A6794A" w:rsidRPr="00D3550C">
        <w:instrText>":"31086689","</w:instrText>
      </w:r>
      <w:r w:rsidR="00A6794A">
        <w:rPr>
          <w:lang w:val="en-US"/>
        </w:rPr>
        <w:instrText>abstract</w:instrText>
      </w:r>
      <w:r w:rsidR="00A6794A" w:rsidRPr="00D3550C">
        <w:instrText>":"</w:instrText>
      </w:r>
      <w:r w:rsidR="00A6794A">
        <w:rPr>
          <w:lang w:val="en-US"/>
        </w:rPr>
        <w:instrText>Rituximab</w:instrText>
      </w:r>
      <w:r w:rsidR="00A6794A" w:rsidRPr="00D3550C">
        <w:instrText xml:space="preserve"> </w:instrText>
      </w:r>
      <w:r w:rsidR="00A6794A">
        <w:rPr>
          <w:lang w:val="en-US"/>
        </w:rPr>
        <w:instrText>and</w:instrText>
      </w:r>
      <w:r w:rsidR="00A6794A" w:rsidRPr="00D3550C">
        <w:instrText xml:space="preserve"> </w:instrText>
      </w:r>
      <w:r w:rsidR="00A6794A">
        <w:rPr>
          <w:lang w:val="en-US"/>
        </w:rPr>
        <w:instrText>hyaluronidase</w:instrText>
      </w:r>
      <w:r w:rsidR="00A6794A" w:rsidRPr="00D3550C">
        <w:instrText xml:space="preserve"> </w:instrText>
      </w:r>
      <w:r w:rsidR="00A6794A">
        <w:rPr>
          <w:lang w:val="en-US"/>
        </w:rPr>
        <w:instrText>human</w:instrText>
      </w:r>
      <w:r w:rsidR="00A6794A" w:rsidRPr="00D3550C">
        <w:instrText xml:space="preserve"> </w:instrText>
      </w:r>
      <w:r w:rsidR="00A6794A">
        <w:rPr>
          <w:lang w:val="en-US"/>
        </w:rPr>
        <w:instrText>is</w:instrText>
      </w:r>
      <w:r w:rsidR="00A6794A" w:rsidRPr="00D3550C">
        <w:instrText xml:space="preserve"> </w:instrText>
      </w:r>
      <w:r w:rsidR="00A6794A">
        <w:rPr>
          <w:lang w:val="en-US"/>
        </w:rPr>
        <w:instrText>a</w:instrText>
      </w:r>
      <w:r w:rsidR="00A6794A" w:rsidRPr="00D3550C">
        <w:instrText xml:space="preserve"> </w:instrText>
      </w:r>
      <w:r w:rsidR="00A6794A">
        <w:rPr>
          <w:lang w:val="en-US"/>
        </w:rPr>
        <w:instrText>new</w:instrText>
      </w:r>
      <w:r w:rsidR="00A6794A" w:rsidRPr="00D3550C">
        <w:instrText xml:space="preserve"> </w:instrText>
      </w:r>
      <w:r w:rsidR="00A6794A">
        <w:rPr>
          <w:lang w:val="en-US"/>
        </w:rPr>
        <w:instrText>subcutaneous</w:instrText>
      </w:r>
      <w:r w:rsidR="00A6794A" w:rsidRPr="00D3550C">
        <w:instrText xml:space="preserve"> </w:instrText>
      </w:r>
      <w:r w:rsidR="00A6794A">
        <w:rPr>
          <w:lang w:val="en-US"/>
        </w:rPr>
        <w:instrText>formulation</w:instrText>
      </w:r>
      <w:r w:rsidR="00A6794A" w:rsidRPr="00D3550C">
        <w:instrText xml:space="preserve"> </w:instrText>
      </w:r>
      <w:r w:rsidR="00A6794A">
        <w:rPr>
          <w:lang w:val="en-US"/>
        </w:rPr>
        <w:instrText>of</w:instrText>
      </w:r>
      <w:r w:rsidR="00A6794A" w:rsidRPr="00D3550C">
        <w:instrText xml:space="preserve"> </w:instrText>
      </w:r>
      <w:r w:rsidR="00A6794A">
        <w:rPr>
          <w:lang w:val="en-US"/>
        </w:rPr>
        <w:instrText>rituximab</w:instrText>
      </w:r>
      <w:r w:rsidR="00A6794A" w:rsidRPr="00D3550C">
        <w:instrText xml:space="preserve"> </w:instrText>
      </w:r>
      <w:r w:rsidR="00A6794A">
        <w:rPr>
          <w:lang w:val="en-US"/>
        </w:rPr>
        <w:instrText>that</w:instrText>
      </w:r>
      <w:r w:rsidR="00A6794A" w:rsidRPr="00D3550C">
        <w:instrText xml:space="preserve"> </w:instrText>
      </w:r>
      <w:r w:rsidR="00A6794A">
        <w:rPr>
          <w:lang w:val="en-US"/>
        </w:rPr>
        <w:instrText>was</w:instrText>
      </w:r>
      <w:r w:rsidR="00A6794A" w:rsidRPr="00D3550C">
        <w:instrText xml:space="preserve"> </w:instrText>
      </w:r>
      <w:r w:rsidR="00A6794A">
        <w:rPr>
          <w:lang w:val="en-US"/>
        </w:rPr>
        <w:instrText>recently</w:instrText>
      </w:r>
      <w:r w:rsidR="00A6794A" w:rsidRPr="00D3550C">
        <w:instrText xml:space="preserve"> </w:instrText>
      </w:r>
      <w:r w:rsidR="00A6794A">
        <w:rPr>
          <w:lang w:val="en-US"/>
        </w:rPr>
        <w:instrText>approved</w:instrText>
      </w:r>
      <w:r w:rsidR="00A6794A" w:rsidRPr="00D3550C">
        <w:instrText xml:space="preserve"> </w:instrText>
      </w:r>
      <w:r w:rsidR="00A6794A">
        <w:rPr>
          <w:lang w:val="en-US"/>
        </w:rPr>
        <w:instrText>by</w:instrText>
      </w:r>
      <w:r w:rsidR="00A6794A" w:rsidRPr="00D3550C">
        <w:instrText xml:space="preserve"> </w:instrText>
      </w:r>
      <w:r w:rsidR="00A6794A">
        <w:rPr>
          <w:lang w:val="en-US"/>
        </w:rPr>
        <w:instrText>the</w:instrText>
      </w:r>
      <w:r w:rsidR="00A6794A" w:rsidRPr="00D3550C">
        <w:instrText xml:space="preserve"> </w:instrText>
      </w:r>
      <w:r w:rsidR="00A6794A">
        <w:rPr>
          <w:lang w:val="en-US"/>
        </w:rPr>
        <w:instrText>US</w:instrText>
      </w:r>
      <w:r w:rsidR="00A6794A" w:rsidRPr="00D3550C">
        <w:instrText xml:space="preserve"> </w:instrText>
      </w:r>
      <w:r w:rsidR="00A6794A">
        <w:rPr>
          <w:lang w:val="en-US"/>
        </w:rPr>
        <w:instrText>Food</w:instrText>
      </w:r>
      <w:r w:rsidR="00A6794A" w:rsidRPr="00D3550C">
        <w:instrText xml:space="preserve"> </w:instrText>
      </w:r>
      <w:r w:rsidR="00A6794A">
        <w:rPr>
          <w:lang w:val="en-US"/>
        </w:rPr>
        <w:instrText>and</w:instrText>
      </w:r>
      <w:r w:rsidR="00A6794A" w:rsidRPr="00D3550C">
        <w:instrText xml:space="preserve"> </w:instrText>
      </w:r>
      <w:r w:rsidR="00A6794A">
        <w:rPr>
          <w:lang w:val="en-US"/>
        </w:rPr>
        <w:instrText>Drug</w:instrText>
      </w:r>
      <w:r w:rsidR="00A6794A" w:rsidRPr="00D3550C">
        <w:instrText xml:space="preserve"> </w:instrText>
      </w:r>
      <w:r w:rsidR="00A6794A">
        <w:rPr>
          <w:lang w:val="en-US"/>
        </w:rPr>
        <w:instrText>Administration</w:instrText>
      </w:r>
      <w:r w:rsidR="00A6794A" w:rsidRPr="00D3550C">
        <w:instrText xml:space="preserve"> </w:instrText>
      </w:r>
      <w:r w:rsidR="00A6794A">
        <w:rPr>
          <w:lang w:val="en-US"/>
        </w:rPr>
        <w:instrText>for</w:instrText>
      </w:r>
      <w:r w:rsidR="00A6794A" w:rsidRPr="00D3550C">
        <w:instrText xml:space="preserve"> </w:instrText>
      </w:r>
      <w:r w:rsidR="00A6794A">
        <w:rPr>
          <w:lang w:val="en-US"/>
        </w:rPr>
        <w:instrText>the</w:instrText>
      </w:r>
      <w:r w:rsidR="00A6794A" w:rsidRPr="00D3550C">
        <w:instrText xml:space="preserve"> </w:instrText>
      </w:r>
      <w:r w:rsidR="00A6794A">
        <w:rPr>
          <w:lang w:val="en-US"/>
        </w:rPr>
        <w:instrText>treatment</w:instrText>
      </w:r>
      <w:r w:rsidR="00A6794A" w:rsidRPr="00D3550C">
        <w:instrText xml:space="preserve"> </w:instrText>
      </w:r>
      <w:r w:rsidR="00A6794A">
        <w:rPr>
          <w:lang w:val="en-US"/>
        </w:rPr>
        <w:instrText>of</w:instrText>
      </w:r>
      <w:r w:rsidR="00A6794A" w:rsidRPr="00D3550C">
        <w:instrText xml:space="preserve"> </w:instrText>
      </w:r>
      <w:r w:rsidR="00A6794A">
        <w:rPr>
          <w:lang w:val="en-US"/>
        </w:rPr>
        <w:instrText>adults</w:instrText>
      </w:r>
      <w:r w:rsidR="00A6794A" w:rsidRPr="00D3550C">
        <w:instrText xml:space="preserve"> </w:instrText>
      </w:r>
      <w:r w:rsidR="00A6794A">
        <w:rPr>
          <w:lang w:val="en-US"/>
        </w:rPr>
        <w:instrText>with</w:instrText>
      </w:r>
      <w:r w:rsidR="00A6794A" w:rsidRPr="00D3550C">
        <w:instrText xml:space="preserve"> </w:instrText>
      </w:r>
      <w:r w:rsidR="00A6794A">
        <w:rPr>
          <w:lang w:val="en-US"/>
        </w:rPr>
        <w:instrText>follicular</w:instrText>
      </w:r>
      <w:r w:rsidR="00A6794A" w:rsidRPr="00D3550C">
        <w:instrText xml:space="preserve"> </w:instrText>
      </w:r>
      <w:r w:rsidR="00A6794A">
        <w:rPr>
          <w:lang w:val="en-US"/>
        </w:rPr>
        <w:instrText>lymphoma</w:instrText>
      </w:r>
      <w:r w:rsidR="00A6794A" w:rsidRPr="00D3550C">
        <w:instrText xml:space="preserve">, </w:instrText>
      </w:r>
      <w:r w:rsidR="00A6794A">
        <w:rPr>
          <w:lang w:val="en-US"/>
        </w:rPr>
        <w:instrText>diffuse</w:instrText>
      </w:r>
      <w:r w:rsidR="00A6794A" w:rsidRPr="00D3550C">
        <w:instrText xml:space="preserve"> </w:instrText>
      </w:r>
      <w:r w:rsidR="00A6794A">
        <w:rPr>
          <w:lang w:val="en-US"/>
        </w:rPr>
        <w:instrText>large</w:instrText>
      </w:r>
      <w:r w:rsidR="00A6794A" w:rsidRPr="00D3550C">
        <w:instrText xml:space="preserve"> </w:instrText>
      </w:r>
      <w:r w:rsidR="00A6794A">
        <w:rPr>
          <w:lang w:val="en-US"/>
        </w:rPr>
        <w:instrText>B</w:instrText>
      </w:r>
      <w:r w:rsidR="00A6794A" w:rsidRPr="00D3550C">
        <w:instrText>-</w:instrText>
      </w:r>
      <w:r w:rsidR="00A6794A">
        <w:rPr>
          <w:lang w:val="en-US"/>
        </w:rPr>
        <w:instrText>cell</w:instrText>
      </w:r>
      <w:r w:rsidR="00A6794A" w:rsidRPr="00D3550C">
        <w:instrText xml:space="preserve"> </w:instrText>
      </w:r>
      <w:r w:rsidR="00A6794A">
        <w:rPr>
          <w:lang w:val="en-US"/>
        </w:rPr>
        <w:instrText>lymphoma</w:instrText>
      </w:r>
      <w:r w:rsidR="00A6794A" w:rsidRPr="00D3550C">
        <w:instrText xml:space="preserve">, </w:instrText>
      </w:r>
      <w:r w:rsidR="00A6794A">
        <w:rPr>
          <w:lang w:val="en-US"/>
        </w:rPr>
        <w:instrText>and</w:instrText>
      </w:r>
      <w:r w:rsidR="00A6794A" w:rsidRPr="00D3550C">
        <w:instrText xml:space="preserve"> </w:instrText>
      </w:r>
      <w:r w:rsidR="00A6794A">
        <w:rPr>
          <w:lang w:val="en-US"/>
        </w:rPr>
        <w:instrText>chronic</w:instrText>
      </w:r>
      <w:r w:rsidR="00A6794A" w:rsidRPr="00D3550C">
        <w:instrText xml:space="preserve"> </w:instrText>
      </w:r>
      <w:r w:rsidR="00A6794A">
        <w:rPr>
          <w:lang w:val="en-US"/>
        </w:rPr>
        <w:instrText>lymphocytic</w:instrText>
      </w:r>
      <w:r w:rsidR="00A6794A" w:rsidRPr="00D3550C">
        <w:instrText xml:space="preserve"> </w:instrText>
      </w:r>
      <w:r w:rsidR="00A6794A">
        <w:rPr>
          <w:lang w:val="en-US"/>
        </w:rPr>
        <w:instrText>leukemia</w:instrText>
      </w:r>
      <w:r w:rsidR="00A6794A" w:rsidRPr="00D3550C">
        <w:instrText xml:space="preserve">. </w:instrText>
      </w:r>
      <w:r w:rsidR="00A6794A">
        <w:rPr>
          <w:lang w:val="en-US"/>
        </w:rPr>
        <w:instrText>With</w:instrText>
      </w:r>
      <w:r w:rsidR="00A6794A" w:rsidRPr="00D3550C">
        <w:instrText xml:space="preserve"> </w:instrText>
      </w:r>
      <w:r w:rsidR="00A6794A">
        <w:rPr>
          <w:lang w:val="en-US"/>
        </w:rPr>
        <w:instrText>data</w:instrText>
      </w:r>
      <w:r w:rsidR="00A6794A" w:rsidRPr="00D3550C">
        <w:instrText xml:space="preserve"> </w:instrText>
      </w:r>
      <w:r w:rsidR="00A6794A">
        <w:rPr>
          <w:lang w:val="en-US"/>
        </w:rPr>
        <w:instrText>to</w:instrText>
      </w:r>
      <w:r w:rsidR="00A6794A" w:rsidRPr="00D3550C">
        <w:instrText xml:space="preserve"> </w:instrText>
      </w:r>
      <w:r w:rsidR="00A6794A">
        <w:rPr>
          <w:lang w:val="en-US"/>
        </w:rPr>
        <w:instrText>support</w:instrText>
      </w:r>
      <w:r w:rsidR="00A6794A" w:rsidRPr="00D3550C">
        <w:instrText xml:space="preserve"> </w:instrText>
      </w:r>
      <w:r w:rsidR="00A6794A">
        <w:rPr>
          <w:lang w:val="en-US"/>
        </w:rPr>
        <w:instrText>noninferior</w:instrText>
      </w:r>
      <w:r w:rsidR="00A6794A" w:rsidRPr="00D3550C">
        <w:instrText xml:space="preserve"> </w:instrText>
      </w:r>
      <w:r w:rsidR="00A6794A">
        <w:rPr>
          <w:lang w:val="en-US"/>
        </w:rPr>
        <w:instrText>pharmacokinetics</w:instrText>
      </w:r>
      <w:r w:rsidR="00A6794A" w:rsidRPr="00D3550C">
        <w:instrText xml:space="preserve">, </w:instrText>
      </w:r>
      <w:r w:rsidR="00A6794A">
        <w:rPr>
          <w:lang w:val="en-US"/>
        </w:rPr>
        <w:instrText>similar</w:instrText>
      </w:r>
      <w:r w:rsidR="00A6794A" w:rsidRPr="00D3550C">
        <w:instrText xml:space="preserve"> </w:instrText>
      </w:r>
      <w:r w:rsidR="00A6794A">
        <w:rPr>
          <w:lang w:val="en-US"/>
        </w:rPr>
        <w:instrText>outcomes</w:instrText>
      </w:r>
      <w:r w:rsidR="00A6794A" w:rsidRPr="00D3550C">
        <w:instrText xml:space="preserve">, </w:instrText>
      </w:r>
      <w:r w:rsidR="00A6794A">
        <w:rPr>
          <w:lang w:val="en-US"/>
        </w:rPr>
        <w:instrText>and</w:instrText>
      </w:r>
      <w:r w:rsidR="00A6794A" w:rsidRPr="00D3550C">
        <w:instrText xml:space="preserve"> </w:instrText>
      </w:r>
      <w:r w:rsidR="00A6794A">
        <w:rPr>
          <w:lang w:val="en-US"/>
        </w:rPr>
        <w:instrText>comparable</w:instrText>
      </w:r>
      <w:r w:rsidR="00A6794A" w:rsidRPr="00D3550C">
        <w:instrText xml:space="preserve"> </w:instrText>
      </w:r>
      <w:r w:rsidR="00A6794A">
        <w:rPr>
          <w:lang w:val="en-US"/>
        </w:rPr>
        <w:instrText>adverse</w:instrText>
      </w:r>
      <w:r w:rsidR="00A6794A" w:rsidRPr="00D3550C">
        <w:instrText xml:space="preserve"> </w:instrText>
      </w:r>
      <w:r w:rsidR="00A6794A">
        <w:rPr>
          <w:lang w:val="en-US"/>
        </w:rPr>
        <w:instrText>events</w:instrText>
      </w:r>
      <w:r w:rsidR="00A6794A" w:rsidRPr="00D3550C">
        <w:instrText xml:space="preserve">, </w:instrText>
      </w:r>
      <w:r w:rsidR="00A6794A">
        <w:rPr>
          <w:lang w:val="en-US"/>
        </w:rPr>
        <w:instrText>rituximab</w:instrText>
      </w:r>
      <w:r w:rsidR="00A6794A" w:rsidRPr="00D3550C">
        <w:instrText xml:space="preserve"> </w:instrText>
      </w:r>
      <w:r w:rsidR="00A6794A">
        <w:rPr>
          <w:lang w:val="en-US"/>
        </w:rPr>
        <w:instrText>and</w:instrText>
      </w:r>
      <w:r w:rsidR="00A6794A" w:rsidRPr="00D3550C">
        <w:instrText xml:space="preserve"> </w:instrText>
      </w:r>
      <w:r w:rsidR="00A6794A">
        <w:rPr>
          <w:lang w:val="en-US"/>
        </w:rPr>
        <w:instrText>hyaluronidase</w:instrText>
      </w:r>
      <w:r w:rsidR="00A6794A" w:rsidRPr="00D3550C">
        <w:instrText xml:space="preserve"> </w:instrText>
      </w:r>
      <w:r w:rsidR="00A6794A">
        <w:rPr>
          <w:lang w:val="en-US"/>
        </w:rPr>
        <w:instrText>human</w:instrText>
      </w:r>
      <w:r w:rsidR="00A6794A" w:rsidRPr="00D3550C">
        <w:instrText xml:space="preserve"> </w:instrText>
      </w:r>
      <w:r w:rsidR="00A6794A">
        <w:rPr>
          <w:lang w:val="en-US"/>
        </w:rPr>
        <w:instrText>may</w:instrText>
      </w:r>
      <w:r w:rsidR="00A6794A" w:rsidRPr="00D3550C">
        <w:instrText xml:space="preserve"> </w:instrText>
      </w:r>
      <w:r w:rsidR="00A6794A">
        <w:rPr>
          <w:lang w:val="en-US"/>
        </w:rPr>
        <w:instrText>offer</w:instrText>
      </w:r>
      <w:r w:rsidR="00A6794A" w:rsidRPr="00D3550C">
        <w:instrText xml:space="preserve"> </w:instrText>
      </w:r>
      <w:r w:rsidR="00A6794A">
        <w:rPr>
          <w:lang w:val="en-US"/>
        </w:rPr>
        <w:instrText>a</w:instrText>
      </w:r>
      <w:r w:rsidR="00A6794A" w:rsidRPr="00D3550C">
        <w:instrText xml:space="preserve"> </w:instrText>
      </w:r>
      <w:r w:rsidR="00A6794A">
        <w:rPr>
          <w:lang w:val="en-US"/>
        </w:rPr>
        <w:instrText>suitable</w:instrText>
      </w:r>
      <w:r w:rsidR="00A6794A" w:rsidRPr="00D3550C">
        <w:instrText xml:space="preserve"> </w:instrText>
      </w:r>
      <w:r w:rsidR="00A6794A">
        <w:rPr>
          <w:lang w:val="en-US"/>
        </w:rPr>
        <w:instrText>alternative</w:instrText>
      </w:r>
      <w:r w:rsidR="00A6794A" w:rsidRPr="00D3550C">
        <w:instrText xml:space="preserve"> </w:instrText>
      </w:r>
      <w:r w:rsidR="00A6794A">
        <w:rPr>
          <w:lang w:val="en-US"/>
        </w:rPr>
        <w:instrText>to</w:instrText>
      </w:r>
      <w:r w:rsidR="00A6794A" w:rsidRPr="00D3550C">
        <w:instrText xml:space="preserve"> </w:instrText>
      </w:r>
      <w:r w:rsidR="00A6794A">
        <w:rPr>
          <w:lang w:val="en-US"/>
        </w:rPr>
        <w:instrText>intravenous</w:instrText>
      </w:r>
      <w:r w:rsidR="00A6794A" w:rsidRPr="00D3550C">
        <w:instrText xml:space="preserve"> </w:instrText>
      </w:r>
      <w:r w:rsidR="00A6794A">
        <w:rPr>
          <w:lang w:val="en-US"/>
        </w:rPr>
        <w:instrText>rituximab</w:instrText>
      </w:r>
      <w:r w:rsidR="00A6794A" w:rsidRPr="00D3550C">
        <w:instrText xml:space="preserve"> </w:instrText>
      </w:r>
      <w:r w:rsidR="00A6794A">
        <w:rPr>
          <w:lang w:val="en-US"/>
        </w:rPr>
        <w:instrText>that</w:instrText>
      </w:r>
      <w:r w:rsidR="00A6794A" w:rsidRPr="00D3550C">
        <w:instrText xml:space="preserve"> </w:instrText>
      </w:r>
      <w:r w:rsidR="00A6794A">
        <w:rPr>
          <w:lang w:val="en-US"/>
        </w:rPr>
        <w:instrText>could</w:instrText>
      </w:r>
      <w:r w:rsidR="00A6794A" w:rsidRPr="00D3550C">
        <w:instrText xml:space="preserve"> </w:instrText>
      </w:r>
      <w:r w:rsidR="00A6794A">
        <w:rPr>
          <w:lang w:val="en-US"/>
        </w:rPr>
        <w:instrText>improve</w:instrText>
      </w:r>
      <w:r w:rsidR="00A6794A" w:rsidRPr="00D3550C">
        <w:instrText xml:space="preserve"> </w:instrText>
      </w:r>
      <w:r w:rsidR="00A6794A">
        <w:rPr>
          <w:lang w:val="en-US"/>
        </w:rPr>
        <w:instrText>convenience</w:instrText>
      </w:r>
      <w:r w:rsidR="00A6794A" w:rsidRPr="00D3550C">
        <w:instrText xml:space="preserve"> </w:instrText>
      </w:r>
      <w:r w:rsidR="00A6794A">
        <w:rPr>
          <w:lang w:val="en-US"/>
        </w:rPr>
        <w:instrText>for</w:instrText>
      </w:r>
      <w:r w:rsidR="00A6794A" w:rsidRPr="00D3550C">
        <w:instrText xml:space="preserve"> </w:instrText>
      </w:r>
      <w:r w:rsidR="00A6794A">
        <w:rPr>
          <w:lang w:val="en-US"/>
        </w:rPr>
        <w:instrText>patients</w:instrText>
      </w:r>
      <w:r w:rsidR="00A6794A" w:rsidRPr="00D3550C">
        <w:instrText xml:space="preserve"> </w:instrText>
      </w:r>
      <w:r w:rsidR="00A6794A">
        <w:rPr>
          <w:lang w:val="en-US"/>
        </w:rPr>
        <w:instrText>and</w:instrText>
      </w:r>
      <w:r w:rsidR="00A6794A" w:rsidRPr="00D3550C">
        <w:instrText xml:space="preserve"> </w:instrText>
      </w:r>
      <w:r w:rsidR="00A6794A">
        <w:rPr>
          <w:lang w:val="en-US"/>
        </w:rPr>
        <w:instrText>better</w:instrText>
      </w:r>
      <w:r w:rsidR="00A6794A" w:rsidRPr="00D3550C">
        <w:instrText xml:space="preserve"> </w:instrText>
      </w:r>
      <w:r w:rsidR="00A6794A">
        <w:rPr>
          <w:lang w:val="en-US"/>
        </w:rPr>
        <w:instrText>utilize</w:instrText>
      </w:r>
      <w:r w:rsidR="00A6794A" w:rsidRPr="00D3550C">
        <w:instrText xml:space="preserve"> </w:instrText>
      </w:r>
      <w:r w:rsidR="00A6794A">
        <w:rPr>
          <w:lang w:val="en-US"/>
        </w:rPr>
        <w:instrText>health</w:instrText>
      </w:r>
      <w:r w:rsidR="00A6794A" w:rsidRPr="00D3550C">
        <w:instrText>-</w:instrText>
      </w:r>
      <w:r w:rsidR="00A6794A">
        <w:rPr>
          <w:lang w:val="en-US"/>
        </w:rPr>
        <w:instrText>care</w:instrText>
      </w:r>
      <w:r w:rsidR="00A6794A" w:rsidRPr="00D3550C">
        <w:instrText xml:space="preserve"> </w:instrText>
      </w:r>
      <w:r w:rsidR="00A6794A">
        <w:rPr>
          <w:lang w:val="en-US"/>
        </w:rPr>
        <w:instrText>resources</w:instrText>
      </w:r>
      <w:r w:rsidR="00A6794A" w:rsidRPr="00D3550C">
        <w:instrText>.","</w:instrText>
      </w:r>
      <w:r w:rsidR="00A6794A">
        <w:rPr>
          <w:lang w:val="en-US"/>
        </w:rPr>
        <w:instrText>author</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family</w:instrText>
      </w:r>
      <w:r w:rsidR="00A6794A" w:rsidRPr="00D3550C">
        <w:instrText>":"</w:instrText>
      </w:r>
      <w:r w:rsidR="00A6794A">
        <w:rPr>
          <w:lang w:val="en-US"/>
        </w:rPr>
        <w:instrText>Yelvington</w:instrText>
      </w:r>
      <w:r w:rsidR="00A6794A" w:rsidRPr="00D3550C">
        <w:instrText>","</w:instrText>
      </w:r>
      <w:r w:rsidR="00A6794A">
        <w:rPr>
          <w:lang w:val="en-US"/>
        </w:rPr>
        <w:instrText>given</w:instrText>
      </w:r>
      <w:r w:rsidR="00A6794A" w:rsidRPr="00D3550C">
        <w:instrText>":"</w:instrText>
      </w:r>
      <w:r w:rsidR="00A6794A">
        <w:rPr>
          <w:lang w:val="en-US"/>
        </w:rPr>
        <w:instrText>Bradley</w:instrText>
      </w:r>
      <w:r w:rsidR="00A6794A" w:rsidRPr="00D3550C">
        <w:instrText xml:space="preserve"> </w:instrText>
      </w:r>
      <w:r w:rsidR="00A6794A">
        <w:rPr>
          <w:lang w:val="en-US"/>
        </w:rPr>
        <w:instrText>J</w:instrText>
      </w:r>
      <w:r w:rsidR="00A6794A" w:rsidRPr="00D3550C">
        <w:instrText>","</w:instrText>
      </w:r>
      <w:r w:rsidR="00A6794A">
        <w:rPr>
          <w:lang w:val="en-US"/>
        </w:rPr>
        <w:instrText>non</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parse</w:instrText>
      </w:r>
      <w:r w:rsidR="00A6794A" w:rsidRPr="00D3550C">
        <w:instrText>-</w:instrText>
      </w:r>
      <w:r w:rsidR="00A6794A">
        <w:rPr>
          <w:lang w:val="en-US"/>
        </w:rPr>
        <w:instrText>names</w:instrText>
      </w:r>
      <w:r w:rsidR="00A6794A" w:rsidRPr="00D3550C">
        <w:instrText>":</w:instrText>
      </w:r>
      <w:r w:rsidR="00A6794A">
        <w:rPr>
          <w:lang w:val="en-US"/>
        </w:rPr>
        <w:instrText>false</w:instrText>
      </w:r>
      <w:r w:rsidR="00A6794A" w:rsidRPr="00D3550C">
        <w:instrText>,"</w:instrText>
      </w:r>
      <w:r w:rsidR="00A6794A">
        <w:rPr>
          <w:lang w:val="en-US"/>
        </w:rPr>
        <w:instrText>suffix</w:instrText>
      </w:r>
      <w:r w:rsidR="00A6794A" w:rsidRPr="00D3550C">
        <w:instrText>":""}],"</w:instrText>
      </w:r>
      <w:r w:rsidR="00A6794A">
        <w:rPr>
          <w:lang w:val="en-US"/>
        </w:rPr>
        <w:instrText>container</w:instrText>
      </w:r>
      <w:r w:rsidR="00A6794A" w:rsidRPr="00D3550C">
        <w:instrText>-</w:instrText>
      </w:r>
      <w:r w:rsidR="00A6794A">
        <w:rPr>
          <w:lang w:val="en-US"/>
        </w:rPr>
        <w:instrText>title</w:instrText>
      </w:r>
      <w:r w:rsidR="00A6794A" w:rsidRPr="00D3550C">
        <w:instrText>":"</w:instrText>
      </w:r>
      <w:r w:rsidR="00A6794A">
        <w:rPr>
          <w:lang w:val="en-US"/>
        </w:rPr>
        <w:instrText>Journal</w:instrText>
      </w:r>
      <w:r w:rsidR="00A6794A" w:rsidRPr="00D3550C">
        <w:instrText xml:space="preserve"> </w:instrText>
      </w:r>
      <w:r w:rsidR="00A6794A">
        <w:rPr>
          <w:lang w:val="en-US"/>
        </w:rPr>
        <w:instrText>of</w:instrText>
      </w:r>
      <w:r w:rsidR="00A6794A" w:rsidRPr="00D3550C">
        <w:instrText xml:space="preserve"> </w:instrText>
      </w:r>
      <w:r w:rsidR="00A6794A">
        <w:rPr>
          <w:lang w:val="en-US"/>
        </w:rPr>
        <w:instrText>the</w:instrText>
      </w:r>
      <w:r w:rsidR="00A6794A" w:rsidRPr="00D3550C">
        <w:instrText xml:space="preserve"> </w:instrText>
      </w:r>
      <w:r w:rsidR="00A6794A">
        <w:rPr>
          <w:lang w:val="en-US"/>
        </w:rPr>
        <w:instrText>advanced</w:instrText>
      </w:r>
      <w:r w:rsidR="00A6794A" w:rsidRPr="00D3550C">
        <w:instrText xml:space="preserve"> </w:instrText>
      </w:r>
      <w:r w:rsidR="00A6794A">
        <w:rPr>
          <w:lang w:val="en-US"/>
        </w:rPr>
        <w:instrText>practitioner</w:instrText>
      </w:r>
      <w:r w:rsidR="00A6794A" w:rsidRPr="00D3550C">
        <w:instrText xml:space="preserve"> </w:instrText>
      </w:r>
      <w:r w:rsidR="00A6794A">
        <w:rPr>
          <w:lang w:val="en-US"/>
        </w:rPr>
        <w:instrText>in</w:instrText>
      </w:r>
      <w:r w:rsidR="00A6794A" w:rsidRPr="00D3550C">
        <w:instrText xml:space="preserve"> </w:instrText>
      </w:r>
      <w:r w:rsidR="00A6794A">
        <w:rPr>
          <w:lang w:val="en-US"/>
        </w:rPr>
        <w:instrText>oncology</w:instrText>
      </w:r>
      <w:r w:rsidR="00A6794A" w:rsidRPr="00D3550C">
        <w:instrText>","</w:instrText>
      </w:r>
      <w:r w:rsidR="00A6794A">
        <w:rPr>
          <w:lang w:val="en-US"/>
        </w:rPr>
        <w:instrText>id</w:instrText>
      </w:r>
      <w:r w:rsidR="00A6794A" w:rsidRPr="00D3550C">
        <w:instrText>":"</w:instrText>
      </w:r>
      <w:r w:rsidR="00A6794A">
        <w:rPr>
          <w:lang w:val="en-US"/>
        </w:rPr>
        <w:instrText>ITEM</w:instrText>
      </w:r>
      <w:r w:rsidR="00A6794A" w:rsidRPr="00D3550C">
        <w:instrText>-1","</w:instrText>
      </w:r>
      <w:r w:rsidR="00A6794A">
        <w:rPr>
          <w:lang w:val="en-US"/>
        </w:rPr>
        <w:instrText>issue</w:instrText>
      </w:r>
      <w:r w:rsidR="00A6794A" w:rsidRPr="00D3550C">
        <w:instrText>":"5","</w:instrText>
      </w:r>
      <w:r w:rsidR="00A6794A">
        <w:rPr>
          <w:lang w:val="en-US"/>
        </w:rPr>
        <w:instrText>issued</w:instrText>
      </w:r>
      <w:r w:rsidR="00A6794A" w:rsidRPr="00D3550C">
        <w:instrText>":{"</w:instrText>
      </w:r>
      <w:r w:rsidR="00A6794A">
        <w:rPr>
          <w:lang w:val="en-US"/>
        </w:rPr>
        <w:instrText>date</w:instrText>
      </w:r>
      <w:r w:rsidR="00A6794A" w:rsidRPr="00D3550C">
        <w:instrText>-</w:instrText>
      </w:r>
      <w:r w:rsidR="00A6794A">
        <w:rPr>
          <w:lang w:val="en-US"/>
        </w:rPr>
        <w:instrText>parts</w:instrText>
      </w:r>
      <w:r w:rsidR="00A6794A" w:rsidRPr="00D3550C">
        <w:instrText>":[["2018"]]},"</w:instrText>
      </w:r>
      <w:r w:rsidR="00A6794A">
        <w:rPr>
          <w:lang w:val="en-US"/>
        </w:rPr>
        <w:instrText>page</w:instrText>
      </w:r>
      <w:r w:rsidR="00A6794A" w:rsidRPr="00D3550C">
        <w:instrText>":"530-534","</w:instrText>
      </w:r>
      <w:r w:rsidR="00A6794A">
        <w:rPr>
          <w:lang w:val="en-US"/>
        </w:rPr>
        <w:instrText>publisher</w:instrText>
      </w:r>
      <w:r w:rsidR="00A6794A" w:rsidRPr="00D3550C">
        <w:instrText>":"</w:instrText>
      </w:r>
      <w:r w:rsidR="00A6794A">
        <w:rPr>
          <w:lang w:val="en-US"/>
        </w:rPr>
        <w:instrText>Harborside</w:instrText>
      </w:r>
      <w:r w:rsidR="00A6794A" w:rsidRPr="00D3550C">
        <w:instrText xml:space="preserve"> </w:instrText>
      </w:r>
      <w:r w:rsidR="00A6794A">
        <w:rPr>
          <w:lang w:val="en-US"/>
        </w:rPr>
        <w:instrText>Press</w:instrText>
      </w:r>
      <w:r w:rsidR="00A6794A" w:rsidRPr="00D3550C">
        <w:instrText>","</w:instrText>
      </w:r>
      <w:r w:rsidR="00A6794A">
        <w:rPr>
          <w:lang w:val="en-US"/>
        </w:rPr>
        <w:instrText>title</w:instrText>
      </w:r>
      <w:r w:rsidR="00A6794A" w:rsidRPr="00D3550C">
        <w:instrText>":"</w:instrText>
      </w:r>
      <w:r w:rsidR="00A6794A">
        <w:rPr>
          <w:lang w:val="en-US"/>
        </w:rPr>
        <w:instrText>Subcutaneous</w:instrText>
      </w:r>
      <w:r w:rsidR="00A6794A" w:rsidRPr="00D3550C">
        <w:instrText xml:space="preserve"> </w:instrText>
      </w:r>
      <w:r w:rsidR="00A6794A">
        <w:rPr>
          <w:lang w:val="en-US"/>
        </w:rPr>
        <w:instrText>Rituximab</w:instrText>
      </w:r>
      <w:r w:rsidR="00A6794A" w:rsidRPr="00D3550C">
        <w:instrText xml:space="preserve"> </w:instrText>
      </w:r>
      <w:r w:rsidR="00A6794A">
        <w:rPr>
          <w:lang w:val="en-US"/>
        </w:rPr>
        <w:instrText>in</w:instrText>
      </w:r>
      <w:r w:rsidR="00A6794A" w:rsidRPr="00D3550C">
        <w:instrText xml:space="preserve"> </w:instrText>
      </w:r>
      <w:r w:rsidR="00A6794A">
        <w:rPr>
          <w:lang w:val="en-US"/>
        </w:rPr>
        <w:instrText>Follicular</w:instrText>
      </w:r>
      <w:r w:rsidR="00A6794A" w:rsidRPr="00D3550C">
        <w:instrText xml:space="preserve"> </w:instrText>
      </w:r>
      <w:r w:rsidR="00A6794A">
        <w:rPr>
          <w:lang w:val="en-US"/>
        </w:rPr>
        <w:instrText>Lymphoma</w:instrText>
      </w:r>
      <w:r w:rsidR="00A6794A" w:rsidRPr="00D3550C">
        <w:instrText xml:space="preserve">, </w:instrText>
      </w:r>
      <w:r w:rsidR="00A6794A">
        <w:rPr>
          <w:lang w:val="en-US"/>
        </w:rPr>
        <w:instrText>Chronic</w:instrText>
      </w:r>
      <w:r w:rsidR="00A6794A" w:rsidRPr="00D3550C">
        <w:instrText xml:space="preserve"> </w:instrText>
      </w:r>
      <w:r w:rsidR="00A6794A">
        <w:rPr>
          <w:lang w:val="en-US"/>
        </w:rPr>
        <w:instrText>Lymphocytic</w:instrText>
      </w:r>
      <w:r w:rsidR="00A6794A" w:rsidRPr="00D3550C">
        <w:instrText xml:space="preserve"> </w:instrText>
      </w:r>
      <w:r w:rsidR="00A6794A">
        <w:rPr>
          <w:lang w:val="en-US"/>
        </w:rPr>
        <w:instrText>Leukemia</w:instrText>
      </w:r>
      <w:r w:rsidR="00A6794A" w:rsidRPr="00D3550C">
        <w:instrText xml:space="preserve">, </w:instrText>
      </w:r>
      <w:r w:rsidR="00A6794A">
        <w:rPr>
          <w:lang w:val="en-US"/>
        </w:rPr>
        <w:instrText>and</w:instrText>
      </w:r>
      <w:r w:rsidR="00A6794A" w:rsidRPr="00D3550C">
        <w:instrText xml:space="preserve"> </w:instrText>
      </w:r>
      <w:r w:rsidR="00A6794A">
        <w:rPr>
          <w:lang w:val="en-US"/>
        </w:rPr>
        <w:instrText>Diffuse</w:instrText>
      </w:r>
      <w:r w:rsidR="00A6794A" w:rsidRPr="00D3550C">
        <w:instrText xml:space="preserve"> </w:instrText>
      </w:r>
      <w:r w:rsidR="00A6794A">
        <w:rPr>
          <w:lang w:val="en-US"/>
        </w:rPr>
        <w:instrText>Large</w:instrText>
      </w:r>
      <w:r w:rsidR="00A6794A" w:rsidRPr="00D3550C">
        <w:instrText xml:space="preserve"> </w:instrText>
      </w:r>
      <w:r w:rsidR="00A6794A">
        <w:rPr>
          <w:lang w:val="en-US"/>
        </w:rPr>
        <w:instrText>B</w:instrText>
      </w:r>
      <w:r w:rsidR="00A6794A" w:rsidRPr="00D3550C">
        <w:instrText>-</w:instrText>
      </w:r>
      <w:r w:rsidR="00A6794A">
        <w:rPr>
          <w:lang w:val="en-US"/>
        </w:rPr>
        <w:instrText>Cell</w:instrText>
      </w:r>
      <w:r w:rsidR="00A6794A" w:rsidRPr="00D3550C">
        <w:instrText xml:space="preserve"> </w:instrText>
      </w:r>
      <w:r w:rsidR="00A6794A">
        <w:rPr>
          <w:lang w:val="en-US"/>
        </w:rPr>
        <w:instrText>Lymphoma</w:instrText>
      </w:r>
      <w:r w:rsidR="00A6794A" w:rsidRPr="00D3550C">
        <w:instrText>.","</w:instrText>
      </w:r>
      <w:r w:rsidR="00A6794A">
        <w:rPr>
          <w:lang w:val="en-US"/>
        </w:rPr>
        <w:instrText>type</w:instrText>
      </w:r>
      <w:r w:rsidR="00A6794A" w:rsidRPr="00D3550C">
        <w:instrText>":"</w:instrText>
      </w:r>
      <w:r w:rsidR="00A6794A">
        <w:rPr>
          <w:lang w:val="en-US"/>
        </w:rPr>
        <w:instrText>article</w:instrText>
      </w:r>
      <w:r w:rsidR="00A6794A" w:rsidRPr="00D3550C">
        <w:instrText>-</w:instrText>
      </w:r>
      <w:r w:rsidR="00A6794A">
        <w:rPr>
          <w:lang w:val="en-US"/>
        </w:rPr>
        <w:instrText>journal</w:instrText>
      </w:r>
      <w:r w:rsidR="00A6794A" w:rsidRPr="00D3550C">
        <w:instrText>","</w:instrText>
      </w:r>
      <w:r w:rsidR="00A6794A">
        <w:rPr>
          <w:lang w:val="en-US"/>
        </w:rPr>
        <w:instrText>volume</w:instrText>
      </w:r>
      <w:r w:rsidR="00A6794A" w:rsidRPr="00D3550C">
        <w:instrText>":"9"},"</w:instrText>
      </w:r>
      <w:r w:rsidR="00A6794A">
        <w:rPr>
          <w:lang w:val="en-US"/>
        </w:rPr>
        <w:instrText>uris</w:instrText>
      </w:r>
      <w:r w:rsidR="00A6794A" w:rsidRPr="00D3550C">
        <w:instrText>":["</w:instrText>
      </w:r>
      <w:r w:rsidR="00A6794A">
        <w:rPr>
          <w:lang w:val="en-US"/>
        </w:rPr>
        <w:instrText>http</w:instrText>
      </w:r>
      <w:r w:rsidR="00A6794A" w:rsidRPr="00D3550C">
        <w:instrText>://</w:instrText>
      </w:r>
      <w:r w:rsidR="00A6794A">
        <w:rPr>
          <w:lang w:val="en-US"/>
        </w:rPr>
        <w:instrText>www</w:instrText>
      </w:r>
      <w:r w:rsidR="00A6794A" w:rsidRPr="00D3550C">
        <w:instrText>.</w:instrText>
      </w:r>
      <w:r w:rsidR="00A6794A">
        <w:rPr>
          <w:lang w:val="en-US"/>
        </w:rPr>
        <w:instrText>mendeley</w:instrText>
      </w:r>
      <w:r w:rsidR="00A6794A" w:rsidRPr="00D3550C">
        <w:instrText>.</w:instrText>
      </w:r>
      <w:r w:rsidR="00A6794A">
        <w:rPr>
          <w:lang w:val="en-US"/>
        </w:rPr>
        <w:instrText>com</w:instrText>
      </w:r>
      <w:r w:rsidR="00A6794A" w:rsidRPr="00D3550C">
        <w:instrText>/</w:instrText>
      </w:r>
      <w:r w:rsidR="00A6794A">
        <w:rPr>
          <w:lang w:val="en-US"/>
        </w:rPr>
        <w:instrText>documents</w:instrText>
      </w:r>
      <w:r w:rsidR="00A6794A" w:rsidRPr="00D3550C">
        <w:instrText>/?</w:instrText>
      </w:r>
      <w:r w:rsidR="00A6794A">
        <w:rPr>
          <w:lang w:val="en-US"/>
        </w:rPr>
        <w:instrText>uuid</w:instrText>
      </w:r>
      <w:r w:rsidR="00A6794A" w:rsidRPr="00D3550C">
        <w:instrText>=</w:instrText>
      </w:r>
      <w:r w:rsidR="00A6794A">
        <w:rPr>
          <w:lang w:val="en-US"/>
        </w:rPr>
        <w:instrText>fbb</w:instrText>
      </w:r>
      <w:r w:rsidR="00A6794A" w:rsidRPr="00D3550C">
        <w:instrText>0</w:instrText>
      </w:r>
      <w:r w:rsidR="00A6794A">
        <w:rPr>
          <w:lang w:val="en-US"/>
        </w:rPr>
        <w:instrText>b</w:instrText>
      </w:r>
      <w:r w:rsidR="00A6794A" w:rsidRPr="00D3550C">
        <w:instrText>8</w:instrText>
      </w:r>
      <w:r w:rsidR="00A6794A">
        <w:rPr>
          <w:lang w:val="en-US"/>
        </w:rPr>
        <w:instrText>f</w:instrText>
      </w:r>
      <w:r w:rsidR="00A6794A" w:rsidRPr="00D3550C">
        <w:instrText>4-6</w:instrText>
      </w:r>
      <w:r w:rsidR="00A6794A">
        <w:rPr>
          <w:lang w:val="en-US"/>
        </w:rPr>
        <w:instrText>b</w:instrText>
      </w:r>
      <w:r w:rsidR="00A6794A" w:rsidRPr="00D3550C">
        <w:instrText>58-3</w:instrText>
      </w:r>
      <w:r w:rsidR="00A6794A">
        <w:rPr>
          <w:lang w:val="en-US"/>
        </w:rPr>
        <w:instrText>a</w:instrText>
      </w:r>
      <w:r w:rsidR="00A6794A" w:rsidRPr="00D3550C">
        <w:instrText>10-</w:instrText>
      </w:r>
      <w:r w:rsidR="00A6794A">
        <w:rPr>
          <w:lang w:val="en-US"/>
        </w:rPr>
        <w:instrText>b</w:instrText>
      </w:r>
      <w:r w:rsidR="00A6794A" w:rsidRPr="00D3550C">
        <w:instrText>7</w:instrText>
      </w:r>
      <w:r w:rsidR="00A6794A">
        <w:rPr>
          <w:lang w:val="en-US"/>
        </w:rPr>
        <w:instrText>d</w:instrText>
      </w:r>
      <w:r w:rsidR="00A6794A" w:rsidRPr="00D3550C">
        <w:instrText>6-</w:instrText>
      </w:r>
      <w:r w:rsidR="00A6794A">
        <w:rPr>
          <w:lang w:val="en-US"/>
        </w:rPr>
        <w:instrText>af</w:instrText>
      </w:r>
      <w:r w:rsidR="00A6794A" w:rsidRPr="00D3550C">
        <w:instrText>3854030</w:instrText>
      </w:r>
      <w:r w:rsidR="00A6794A">
        <w:rPr>
          <w:lang w:val="en-US"/>
        </w:rPr>
        <w:instrText>be</w:instrText>
      </w:r>
      <w:r w:rsidR="00A6794A" w:rsidRPr="00D3550C">
        <w:instrText>8"]},{"</w:instrText>
      </w:r>
      <w:r w:rsidR="00A6794A">
        <w:rPr>
          <w:lang w:val="en-US"/>
        </w:rPr>
        <w:instrText>id</w:instrText>
      </w:r>
      <w:r w:rsidR="00A6794A" w:rsidRPr="00D3550C">
        <w:instrText>":"</w:instrText>
      </w:r>
      <w:r w:rsidR="00A6794A">
        <w:rPr>
          <w:lang w:val="en-US"/>
        </w:rPr>
        <w:instrText>ITEM</w:instrText>
      </w:r>
      <w:r w:rsidR="00A6794A" w:rsidRPr="00D3550C">
        <w:instrText>-2","</w:instrText>
      </w:r>
      <w:r w:rsidR="00A6794A">
        <w:rPr>
          <w:lang w:val="en-US"/>
        </w:rPr>
        <w:instrText>itemData</w:instrText>
      </w:r>
      <w:r w:rsidR="00A6794A" w:rsidRPr="00D3550C">
        <w:instrText>":{"</w:instrText>
      </w:r>
      <w:r w:rsidR="00A6794A">
        <w:rPr>
          <w:lang w:val="en-US"/>
        </w:rPr>
        <w:instrText>DOI</w:instrText>
      </w:r>
      <w:r w:rsidR="00A6794A" w:rsidRPr="00D3550C">
        <w:instrText>":"10.1007/</w:instrText>
      </w:r>
      <w:r w:rsidR="00A6794A">
        <w:rPr>
          <w:lang w:val="en-US"/>
        </w:rPr>
        <w:instrText>s</w:instrText>
      </w:r>
      <w:r w:rsidR="00A6794A" w:rsidRPr="00D3550C">
        <w:instrText>12325-017-0610-</w:instrText>
      </w:r>
      <w:r w:rsidR="00A6794A">
        <w:rPr>
          <w:lang w:val="en-US"/>
        </w:rPr>
        <w:instrText>z</w:instrText>
      </w:r>
      <w:r w:rsidR="00A6794A" w:rsidRPr="00D3550C">
        <w:instrText>","</w:instrText>
      </w:r>
      <w:r w:rsidR="00A6794A">
        <w:rPr>
          <w:lang w:val="en-US"/>
        </w:rPr>
        <w:instrText>ISSN</w:instrText>
      </w:r>
      <w:r w:rsidR="00A6794A" w:rsidRPr="00D3550C">
        <w:instrText>":"18658652","</w:instrText>
      </w:r>
      <w:r w:rsidR="00A6794A">
        <w:rPr>
          <w:lang w:val="en-US"/>
        </w:rPr>
        <w:instrText>abstract</w:instrText>
      </w:r>
      <w:r w:rsidR="00A6794A" w:rsidRPr="00D3550C">
        <w:instrText>":"</w:instrText>
      </w:r>
      <w:r w:rsidR="00A6794A">
        <w:rPr>
          <w:lang w:val="en-US"/>
        </w:rPr>
        <w:instrText>Abstract</w:instrText>
      </w:r>
      <w:r w:rsidR="00A6794A" w:rsidRPr="00D3550C">
        <w:instrText xml:space="preserve">: </w:instrText>
      </w:r>
      <w:r w:rsidR="00A6794A">
        <w:rPr>
          <w:lang w:val="en-US"/>
        </w:rPr>
        <w:instrText>Rituximab</w:instrText>
      </w:r>
      <w:r w:rsidR="00A6794A" w:rsidRPr="00D3550C">
        <w:instrText xml:space="preserve"> (</w:instrText>
      </w:r>
      <w:r w:rsidR="00A6794A">
        <w:rPr>
          <w:lang w:val="en-US"/>
        </w:rPr>
        <w:instrText>MabThera</w:instrText>
      </w:r>
      <w:r w:rsidR="00A6794A" w:rsidRPr="00D3550C">
        <w:instrText>®/</w:instrText>
      </w:r>
      <w:r w:rsidR="00A6794A">
        <w:rPr>
          <w:lang w:val="en-US"/>
        </w:rPr>
        <w:instrText>Rituxan</w:instrText>
      </w:r>
      <w:r w:rsidR="00A6794A" w:rsidRPr="00D3550C">
        <w:instrText xml:space="preserve">®), </w:instrText>
      </w:r>
      <w:r w:rsidR="00A6794A">
        <w:rPr>
          <w:lang w:val="en-US"/>
        </w:rPr>
        <w:instrText>a</w:instrText>
      </w:r>
      <w:r w:rsidR="00A6794A" w:rsidRPr="00AA43FB">
        <w:instrText xml:space="preserve"> </w:instrText>
      </w:r>
      <w:r w:rsidR="00A6794A">
        <w:rPr>
          <w:lang w:val="en-US"/>
        </w:rPr>
        <w:instrText>chimeric</w:instrText>
      </w:r>
      <w:r w:rsidR="00A6794A" w:rsidRPr="00AA43FB">
        <w:instrText xml:space="preserve"> </w:instrText>
      </w:r>
      <w:r w:rsidR="00A6794A">
        <w:rPr>
          <w:lang w:val="en-US"/>
        </w:rPr>
        <w:instrText>murine</w:instrText>
      </w:r>
      <w:r w:rsidR="00A6794A" w:rsidRPr="00AA43FB">
        <w:instrText>/</w:instrText>
      </w:r>
      <w:r w:rsidR="00A6794A">
        <w:rPr>
          <w:lang w:val="en-US"/>
        </w:rPr>
        <w:instrText>human</w:instrText>
      </w:r>
      <w:r w:rsidR="00A6794A" w:rsidRPr="00AA43FB">
        <w:instrText xml:space="preserve"> </w:instrText>
      </w:r>
      <w:r w:rsidR="00A6794A">
        <w:rPr>
          <w:lang w:val="en-US"/>
        </w:rPr>
        <w:instrText>monoclonal</w:instrText>
      </w:r>
      <w:r w:rsidR="00A6794A" w:rsidRPr="00AA43FB">
        <w:instrText xml:space="preserve"> </w:instrText>
      </w:r>
      <w:r w:rsidR="00A6794A">
        <w:rPr>
          <w:lang w:val="en-US"/>
        </w:rPr>
        <w:instrText>antibody</w:instrText>
      </w:r>
      <w:r w:rsidR="00A6794A" w:rsidRPr="00AA43FB">
        <w:instrText xml:space="preserve"> </w:instrText>
      </w:r>
      <w:r w:rsidR="00A6794A">
        <w:rPr>
          <w:lang w:val="en-US"/>
        </w:rPr>
        <w:instrText>that</w:instrText>
      </w:r>
      <w:r w:rsidR="00A6794A" w:rsidRPr="00AA43FB">
        <w:instrText xml:space="preserve"> </w:instrText>
      </w:r>
      <w:r w:rsidR="00A6794A">
        <w:rPr>
          <w:lang w:val="en-US"/>
        </w:rPr>
        <w:instrText>binds</w:instrText>
      </w:r>
      <w:r w:rsidR="00A6794A" w:rsidRPr="00AA43FB">
        <w:instrText xml:space="preserve"> </w:instrText>
      </w:r>
      <w:r w:rsidR="00A6794A">
        <w:rPr>
          <w:lang w:val="en-US"/>
        </w:rPr>
        <w:instrText>specifically</w:instrText>
      </w:r>
      <w:r w:rsidR="00A6794A" w:rsidRPr="00AA43FB">
        <w:instrText xml:space="preserve"> </w:instrText>
      </w:r>
      <w:r w:rsidR="00A6794A">
        <w:rPr>
          <w:lang w:val="en-US"/>
        </w:rPr>
        <w:instrText>to</w:instrText>
      </w:r>
      <w:r w:rsidR="00A6794A" w:rsidRPr="00AA43FB">
        <w:instrText xml:space="preserve"> </w:instrText>
      </w:r>
      <w:r w:rsidR="00A6794A">
        <w:rPr>
          <w:lang w:val="en-US"/>
        </w:rPr>
        <w:instrText>the</w:instrText>
      </w:r>
      <w:r w:rsidR="00A6794A" w:rsidRPr="00AA43FB">
        <w:instrText xml:space="preserve"> </w:instrText>
      </w:r>
      <w:r w:rsidR="00A6794A">
        <w:rPr>
          <w:lang w:val="en-US"/>
        </w:rPr>
        <w:instrText>transmembrane</w:instrText>
      </w:r>
      <w:r w:rsidR="00A6794A" w:rsidRPr="00AA43FB">
        <w:instrText xml:space="preserve"> </w:instrText>
      </w:r>
      <w:r w:rsidR="00A6794A">
        <w:rPr>
          <w:lang w:val="en-US"/>
        </w:rPr>
        <w:instrText>antigen</w:instrText>
      </w:r>
      <w:r w:rsidR="00A6794A" w:rsidRPr="00AA43FB">
        <w:instrText xml:space="preserve"> </w:instrText>
      </w:r>
      <w:r w:rsidR="00A6794A">
        <w:rPr>
          <w:lang w:val="en-US"/>
        </w:rPr>
        <w:instrText>CD</w:instrText>
      </w:r>
      <w:r w:rsidR="00A6794A" w:rsidRPr="00AA43FB">
        <w:instrText xml:space="preserve">20, </w:instrText>
      </w:r>
      <w:r w:rsidR="00A6794A">
        <w:rPr>
          <w:lang w:val="en-US"/>
        </w:rPr>
        <w:instrText>was</w:instrText>
      </w:r>
      <w:r w:rsidR="00A6794A" w:rsidRPr="00AA43FB">
        <w:instrText xml:space="preserve"> </w:instrText>
      </w:r>
      <w:r w:rsidR="00A6794A">
        <w:rPr>
          <w:lang w:val="en-US"/>
        </w:rPr>
        <w:instrText>the</w:instrText>
      </w:r>
      <w:r w:rsidR="00A6794A" w:rsidRPr="00AA43FB">
        <w:instrText xml:space="preserve"> </w:instrText>
      </w:r>
      <w:r w:rsidR="00A6794A">
        <w:rPr>
          <w:lang w:val="en-US"/>
        </w:rPr>
        <w:instrText>first</w:instrText>
      </w:r>
      <w:r w:rsidR="00A6794A" w:rsidRPr="00AA43FB">
        <w:instrText xml:space="preserve"> </w:instrText>
      </w:r>
      <w:r w:rsidR="00A6794A">
        <w:rPr>
          <w:lang w:val="en-US"/>
        </w:rPr>
        <w:instrText>therapeutic</w:instrText>
      </w:r>
      <w:r w:rsidR="00A6794A" w:rsidRPr="00AA43FB">
        <w:instrText xml:space="preserve"> </w:instrText>
      </w:r>
      <w:r w:rsidR="00A6794A">
        <w:rPr>
          <w:lang w:val="en-US"/>
        </w:rPr>
        <w:instrText>antibody</w:instrText>
      </w:r>
      <w:r w:rsidR="00A6794A" w:rsidRPr="00AA43FB">
        <w:instrText xml:space="preserve"> </w:instrText>
      </w:r>
      <w:r w:rsidR="00A6794A">
        <w:rPr>
          <w:lang w:val="en-US"/>
        </w:rPr>
        <w:instrText>to</w:instrText>
      </w:r>
      <w:r w:rsidR="00A6794A" w:rsidRPr="00AA43FB">
        <w:instrText xml:space="preserve"> </w:instrText>
      </w:r>
      <w:r w:rsidR="00A6794A">
        <w:rPr>
          <w:lang w:val="en-US"/>
        </w:rPr>
        <w:instrText>enter</w:instrText>
      </w:r>
      <w:r w:rsidR="00A6794A" w:rsidRPr="00AA43FB">
        <w:instrText xml:space="preserve"> </w:instrText>
      </w:r>
      <w:r w:rsidR="00A6794A">
        <w:rPr>
          <w:lang w:val="en-US"/>
        </w:rPr>
        <w:instrText>clinical</w:instrText>
      </w:r>
      <w:r w:rsidR="00A6794A" w:rsidRPr="00AA43FB">
        <w:instrText xml:space="preserve"> </w:instrText>
      </w:r>
      <w:r w:rsidR="00A6794A">
        <w:rPr>
          <w:lang w:val="en-US"/>
        </w:rPr>
        <w:instrText>practice</w:instrText>
      </w:r>
      <w:r w:rsidR="00A6794A" w:rsidRPr="00AA43FB">
        <w:instrText xml:space="preserve"> </w:instrText>
      </w:r>
      <w:r w:rsidR="00A6794A">
        <w:rPr>
          <w:lang w:val="en-US"/>
        </w:rPr>
        <w:instrText>for</w:instrText>
      </w:r>
      <w:r w:rsidR="00A6794A" w:rsidRPr="00AA43FB">
        <w:instrText xml:space="preserve"> </w:instrText>
      </w:r>
      <w:r w:rsidR="00A6794A">
        <w:rPr>
          <w:lang w:val="en-US"/>
        </w:rPr>
        <w:instrText>the</w:instrText>
      </w:r>
      <w:r w:rsidR="00A6794A" w:rsidRPr="00AA43FB">
        <w:instrText xml:space="preserve"> </w:instrText>
      </w:r>
      <w:r w:rsidR="00A6794A">
        <w:rPr>
          <w:lang w:val="en-US"/>
        </w:rPr>
        <w:instrText>treatment</w:instrText>
      </w:r>
      <w:r w:rsidR="00A6794A" w:rsidRPr="00AA43FB">
        <w:instrText xml:space="preserve"> </w:instrText>
      </w:r>
      <w:r w:rsidR="00A6794A">
        <w:rPr>
          <w:lang w:val="en-US"/>
        </w:rPr>
        <w:instrText>of</w:instrText>
      </w:r>
      <w:r w:rsidR="00A6794A" w:rsidRPr="00AA43FB">
        <w:instrText xml:space="preserve"> </w:instrText>
      </w:r>
      <w:r w:rsidR="00A6794A">
        <w:rPr>
          <w:lang w:val="en-US"/>
        </w:rPr>
        <w:instrText>cancer</w:instrText>
      </w:r>
      <w:r w:rsidR="00A6794A" w:rsidRPr="00AA43FB">
        <w:instrText xml:space="preserve">. </w:instrText>
      </w:r>
      <w:r w:rsidR="00A6794A">
        <w:rPr>
          <w:lang w:val="en-US"/>
        </w:rPr>
        <w:instrText>As</w:instrText>
      </w:r>
      <w:r w:rsidR="00A6794A" w:rsidRPr="00AA43FB">
        <w:instrText xml:space="preserve"> </w:instrText>
      </w:r>
      <w:r w:rsidR="00A6794A">
        <w:rPr>
          <w:lang w:val="en-US"/>
        </w:rPr>
        <w:instrText>monotherapy</w:instrText>
      </w:r>
      <w:r w:rsidR="00A6794A" w:rsidRPr="00AA43FB">
        <w:instrText xml:space="preserve"> </w:instrText>
      </w:r>
      <w:r w:rsidR="00A6794A">
        <w:rPr>
          <w:lang w:val="en-US"/>
        </w:rPr>
        <w:instrText>and</w:instrText>
      </w:r>
      <w:r w:rsidR="00A6794A" w:rsidRPr="00AA43FB">
        <w:instrText xml:space="preserve"> </w:instrText>
      </w:r>
      <w:r w:rsidR="00A6794A">
        <w:rPr>
          <w:lang w:val="en-US"/>
        </w:rPr>
        <w:instrText>in</w:instrText>
      </w:r>
      <w:r w:rsidR="00A6794A" w:rsidRPr="00AA43FB">
        <w:instrText xml:space="preserve"> </w:instrText>
      </w:r>
      <w:r w:rsidR="00A6794A">
        <w:rPr>
          <w:lang w:val="en-US"/>
        </w:rPr>
        <w:instrText>combination</w:instrText>
      </w:r>
      <w:r w:rsidR="00A6794A" w:rsidRPr="00AA43FB">
        <w:instrText xml:space="preserve"> </w:instrText>
      </w:r>
      <w:r w:rsidR="00A6794A">
        <w:rPr>
          <w:lang w:val="en-US"/>
        </w:rPr>
        <w:instrText>with</w:instrText>
      </w:r>
      <w:r w:rsidR="00A6794A" w:rsidRPr="00AA43FB">
        <w:instrText xml:space="preserve"> </w:instrText>
      </w:r>
      <w:r w:rsidR="00A6794A">
        <w:rPr>
          <w:lang w:val="en-US"/>
        </w:rPr>
        <w:instrText>chemotherapy</w:instrText>
      </w:r>
      <w:r w:rsidR="00A6794A" w:rsidRPr="00AA43FB">
        <w:instrText xml:space="preserve">, </w:instrText>
      </w:r>
      <w:r w:rsidR="00A6794A">
        <w:rPr>
          <w:lang w:val="en-US"/>
        </w:rPr>
        <w:instrText>rituximab</w:instrText>
      </w:r>
      <w:r w:rsidR="00A6794A" w:rsidRPr="00AA43FB">
        <w:instrText xml:space="preserve"> </w:instrText>
      </w:r>
      <w:r w:rsidR="00A6794A">
        <w:rPr>
          <w:lang w:val="en-US"/>
        </w:rPr>
        <w:instrText>has</w:instrText>
      </w:r>
      <w:r w:rsidR="00A6794A" w:rsidRPr="00AA43FB">
        <w:instrText xml:space="preserve"> </w:instrText>
      </w:r>
      <w:r w:rsidR="00A6794A">
        <w:rPr>
          <w:lang w:val="en-US"/>
        </w:rPr>
        <w:instrText>been</w:instrText>
      </w:r>
      <w:r w:rsidR="00A6794A" w:rsidRPr="00AA43FB">
        <w:instrText xml:space="preserve"> </w:instrText>
      </w:r>
      <w:r w:rsidR="00A6794A">
        <w:rPr>
          <w:lang w:val="en-US"/>
        </w:rPr>
        <w:instrText>shown</w:instrText>
      </w:r>
      <w:r w:rsidR="00A6794A" w:rsidRPr="00AA43FB">
        <w:instrText xml:space="preserve"> </w:instrText>
      </w:r>
      <w:r w:rsidR="00A6794A">
        <w:rPr>
          <w:lang w:val="en-US"/>
        </w:rPr>
        <w:instrText>to</w:instrText>
      </w:r>
      <w:r w:rsidR="00A6794A" w:rsidRPr="00AA43FB">
        <w:instrText xml:space="preserve"> </w:instrText>
      </w:r>
      <w:r w:rsidR="00A6794A">
        <w:rPr>
          <w:lang w:val="en-US"/>
        </w:rPr>
        <w:instrText>prolong</w:instrText>
      </w:r>
      <w:r w:rsidR="00A6794A" w:rsidRPr="00AA43FB">
        <w:instrText xml:space="preserve"> </w:instrText>
      </w:r>
      <w:r w:rsidR="00A6794A">
        <w:rPr>
          <w:lang w:val="en-US"/>
        </w:rPr>
        <w:instrText>progression</w:instrText>
      </w:r>
      <w:r w:rsidR="00A6794A" w:rsidRPr="00AA43FB">
        <w:instrText>-</w:instrText>
      </w:r>
      <w:r w:rsidR="00A6794A">
        <w:rPr>
          <w:lang w:val="en-US"/>
        </w:rPr>
        <w:instrText>free</w:instrText>
      </w:r>
      <w:r w:rsidR="00A6794A" w:rsidRPr="00AA43FB">
        <w:instrText xml:space="preserve"> </w:instrText>
      </w:r>
      <w:r w:rsidR="00A6794A">
        <w:rPr>
          <w:lang w:val="en-US"/>
        </w:rPr>
        <w:instrText>survival</w:instrText>
      </w:r>
      <w:r w:rsidR="00A6794A" w:rsidRPr="00AA43FB">
        <w:instrText xml:space="preserve"> </w:instrText>
      </w:r>
      <w:r w:rsidR="00A6794A">
        <w:rPr>
          <w:lang w:val="en-US"/>
        </w:rPr>
        <w:instrText>and</w:instrText>
      </w:r>
      <w:r w:rsidR="00A6794A" w:rsidRPr="00AA43FB">
        <w:instrText xml:space="preserve">, </w:instrText>
      </w:r>
      <w:r w:rsidR="00A6794A">
        <w:rPr>
          <w:lang w:val="en-US"/>
        </w:rPr>
        <w:instrText>in</w:instrText>
      </w:r>
      <w:r w:rsidR="00A6794A" w:rsidRPr="00AA43FB">
        <w:instrText xml:space="preserve"> </w:instrText>
      </w:r>
      <w:r w:rsidR="00A6794A">
        <w:rPr>
          <w:lang w:val="en-US"/>
        </w:rPr>
        <w:instrText>some</w:instrText>
      </w:r>
      <w:r w:rsidR="00A6794A" w:rsidRPr="00AA43FB">
        <w:instrText xml:space="preserve"> </w:instrText>
      </w:r>
      <w:r w:rsidR="00A6794A">
        <w:rPr>
          <w:lang w:val="en-US"/>
        </w:rPr>
        <w:instrText>indications</w:instrText>
      </w:r>
      <w:r w:rsidR="00A6794A" w:rsidRPr="00AA43FB">
        <w:instrText xml:space="preserve"> </w:instrText>
      </w:r>
      <w:r w:rsidR="00A6794A">
        <w:rPr>
          <w:lang w:val="en-US"/>
        </w:rPr>
        <w:instrText>overall</w:instrText>
      </w:r>
      <w:r w:rsidR="00A6794A" w:rsidRPr="00AA43FB">
        <w:instrText xml:space="preserve"> </w:instrText>
      </w:r>
      <w:r w:rsidR="00A6794A">
        <w:rPr>
          <w:lang w:val="en-US"/>
        </w:rPr>
        <w:instrText>survival</w:instrText>
      </w:r>
      <w:r w:rsidR="00A6794A" w:rsidRPr="00AA43FB">
        <w:instrText xml:space="preserve">, </w:instrText>
      </w:r>
      <w:r w:rsidR="00A6794A">
        <w:rPr>
          <w:lang w:val="en-US"/>
        </w:rPr>
        <w:instrText>in</w:instrText>
      </w:r>
      <w:r w:rsidR="00A6794A" w:rsidRPr="00AA43FB">
        <w:instrText xml:space="preserve"> </w:instrText>
      </w:r>
      <w:r w:rsidR="00A6794A">
        <w:rPr>
          <w:lang w:val="en-US"/>
        </w:rPr>
        <w:instrText>patients</w:instrText>
      </w:r>
      <w:r w:rsidR="00A6794A" w:rsidRPr="00AA43FB">
        <w:instrText xml:space="preserve"> </w:instrText>
      </w:r>
      <w:r w:rsidR="00A6794A">
        <w:rPr>
          <w:lang w:val="en-US"/>
        </w:rPr>
        <w:instrText>with</w:instrText>
      </w:r>
      <w:r w:rsidR="00A6794A" w:rsidRPr="00AA43FB">
        <w:instrText xml:space="preserve"> </w:instrText>
      </w:r>
      <w:r w:rsidR="00A6794A">
        <w:rPr>
          <w:lang w:val="en-US"/>
        </w:rPr>
        <w:instrText>various</w:instrText>
      </w:r>
      <w:r w:rsidR="00A6794A" w:rsidRPr="00AA43FB">
        <w:instrText xml:space="preserve"> </w:instrText>
      </w:r>
      <w:r w:rsidR="00A6794A">
        <w:rPr>
          <w:lang w:val="en-US"/>
        </w:rPr>
        <w:instrText>B</w:instrText>
      </w:r>
      <w:r w:rsidR="00A6794A" w:rsidRPr="00AA43FB">
        <w:instrText>-</w:instrText>
      </w:r>
      <w:r w:rsidR="00A6794A">
        <w:rPr>
          <w:lang w:val="en-US"/>
        </w:rPr>
        <w:instrText>cell</w:instrText>
      </w:r>
      <w:r w:rsidR="00A6794A" w:rsidRPr="00AA43FB">
        <w:instrText xml:space="preserve"> </w:instrText>
      </w:r>
      <w:r w:rsidR="00A6794A">
        <w:rPr>
          <w:lang w:val="en-US"/>
        </w:rPr>
        <w:instrText>malignancies</w:instrText>
      </w:r>
      <w:r w:rsidR="00A6794A" w:rsidRPr="00AA43FB">
        <w:instrText xml:space="preserve">, </w:instrText>
      </w:r>
      <w:r w:rsidR="00A6794A">
        <w:rPr>
          <w:lang w:val="en-US"/>
        </w:rPr>
        <w:instrText>while</w:instrText>
      </w:r>
      <w:r w:rsidR="00A6794A" w:rsidRPr="00AA43FB">
        <w:instrText xml:space="preserve"> </w:instrText>
      </w:r>
      <w:r w:rsidR="00A6794A">
        <w:rPr>
          <w:lang w:val="en-US"/>
        </w:rPr>
        <w:instrText>having</w:instrText>
      </w:r>
      <w:r w:rsidR="00A6794A" w:rsidRPr="00AA43FB">
        <w:instrText xml:space="preserve"> </w:instrText>
      </w:r>
      <w:r w:rsidR="00A6794A">
        <w:rPr>
          <w:lang w:val="en-US"/>
        </w:rPr>
        <w:instrText>a</w:instrText>
      </w:r>
      <w:r w:rsidR="00A6794A" w:rsidRPr="00AA43FB">
        <w:instrText xml:space="preserve"> </w:instrText>
      </w:r>
      <w:r w:rsidR="00A6794A">
        <w:rPr>
          <w:lang w:val="en-US"/>
        </w:rPr>
        <w:instrText>well</w:instrText>
      </w:r>
      <w:r w:rsidR="00A6794A" w:rsidRPr="00AA43FB">
        <w:instrText>-</w:instrText>
      </w:r>
      <w:r w:rsidR="00A6794A">
        <w:rPr>
          <w:lang w:val="en-US"/>
        </w:rPr>
        <w:instrText>established</w:instrText>
      </w:r>
      <w:r w:rsidR="00A6794A" w:rsidRPr="00AA43FB">
        <w:instrText xml:space="preserve"> </w:instrText>
      </w:r>
      <w:r w:rsidR="00A6794A">
        <w:rPr>
          <w:lang w:val="en-US"/>
        </w:rPr>
        <w:instrText>and</w:instrText>
      </w:r>
      <w:r w:rsidR="00A6794A" w:rsidRPr="00AA43FB">
        <w:instrText xml:space="preserve"> </w:instrText>
      </w:r>
      <w:r w:rsidR="00A6794A">
        <w:rPr>
          <w:lang w:val="en-US"/>
        </w:rPr>
        <w:instrText>manageable</w:instrText>
      </w:r>
      <w:r w:rsidR="00A6794A" w:rsidRPr="00AA43FB">
        <w:instrText xml:space="preserve"> </w:instrText>
      </w:r>
      <w:r w:rsidR="00A6794A">
        <w:rPr>
          <w:lang w:val="en-US"/>
        </w:rPr>
        <w:instrText>safety</w:instrText>
      </w:r>
      <w:r w:rsidR="00A6794A" w:rsidRPr="00AA43FB">
        <w:instrText xml:space="preserve"> </w:instrText>
      </w:r>
      <w:r w:rsidR="00A6794A">
        <w:rPr>
          <w:lang w:val="en-US"/>
        </w:rPr>
        <w:instrText>profile</w:instrText>
      </w:r>
      <w:r w:rsidR="00A6794A" w:rsidRPr="00AA43FB">
        <w:instrText xml:space="preserve"> </w:instrText>
      </w:r>
      <w:r w:rsidR="00A6794A">
        <w:rPr>
          <w:lang w:val="en-US"/>
        </w:rPr>
        <w:instrText>and</w:instrText>
      </w:r>
      <w:r w:rsidR="00A6794A" w:rsidRPr="00AA43FB">
        <w:instrText xml:space="preserve"> </w:instrText>
      </w:r>
      <w:r w:rsidR="00A6794A">
        <w:rPr>
          <w:lang w:val="en-US"/>
        </w:rPr>
        <w:instrText>a</w:instrText>
      </w:r>
      <w:r w:rsidR="00A6794A" w:rsidRPr="00AA43FB">
        <w:instrText xml:space="preserve"> </w:instrText>
      </w:r>
      <w:r w:rsidR="00A6794A">
        <w:rPr>
          <w:lang w:val="en-US"/>
        </w:rPr>
        <w:instrText>wide</w:instrText>
      </w:r>
      <w:r w:rsidR="00A6794A" w:rsidRPr="00AA43FB">
        <w:instrText xml:space="preserve"> </w:instrText>
      </w:r>
      <w:r w:rsidR="00A6794A">
        <w:rPr>
          <w:lang w:val="en-US"/>
        </w:rPr>
        <w:instrText>therapeutic</w:instrText>
      </w:r>
      <w:r w:rsidR="00A6794A" w:rsidRPr="00AA43FB">
        <w:instrText xml:space="preserve"> </w:instrText>
      </w:r>
      <w:r w:rsidR="00A6794A">
        <w:rPr>
          <w:lang w:val="en-US"/>
        </w:rPr>
        <w:instrText>window</w:instrText>
      </w:r>
      <w:r w:rsidR="00A6794A" w:rsidRPr="00AA43FB">
        <w:instrText xml:space="preserve">. </w:instrText>
      </w:r>
      <w:r w:rsidR="00A6794A">
        <w:rPr>
          <w:lang w:val="en-US"/>
        </w:rPr>
        <w:instrText>As</w:instrText>
      </w:r>
      <w:r w:rsidR="00A6794A" w:rsidRPr="00AA43FB">
        <w:instrText xml:space="preserve"> </w:instrText>
      </w:r>
      <w:r w:rsidR="00A6794A">
        <w:rPr>
          <w:lang w:val="en-US"/>
        </w:rPr>
        <w:instrText>a</w:instrText>
      </w:r>
      <w:r w:rsidR="00A6794A" w:rsidRPr="00AA43FB">
        <w:instrText xml:space="preserve"> </w:instrText>
      </w:r>
      <w:r w:rsidR="00A6794A">
        <w:rPr>
          <w:lang w:val="en-US"/>
        </w:rPr>
        <w:instrText>result</w:instrText>
      </w:r>
      <w:r w:rsidR="00A6794A" w:rsidRPr="00AA43FB">
        <w:instrText xml:space="preserve">, </w:instrText>
      </w:r>
      <w:r w:rsidR="00A6794A">
        <w:rPr>
          <w:lang w:val="en-US"/>
        </w:rPr>
        <w:instrText>rituximab</w:instrText>
      </w:r>
      <w:r w:rsidR="00A6794A" w:rsidRPr="00AA43FB">
        <w:instrText xml:space="preserve"> </w:instrText>
      </w:r>
      <w:r w:rsidR="00A6794A">
        <w:rPr>
          <w:lang w:val="en-US"/>
        </w:rPr>
        <w:instrText>is</w:instrText>
      </w:r>
      <w:r w:rsidR="00A6794A" w:rsidRPr="00AA43FB">
        <w:instrText xml:space="preserve"> </w:instrText>
      </w:r>
      <w:r w:rsidR="00A6794A">
        <w:rPr>
          <w:lang w:val="en-US"/>
        </w:rPr>
        <w:instrText>considered</w:instrText>
      </w:r>
      <w:r w:rsidR="00A6794A" w:rsidRPr="00AA43FB">
        <w:instrText xml:space="preserve"> </w:instrText>
      </w:r>
      <w:r w:rsidR="00A6794A">
        <w:rPr>
          <w:lang w:val="en-US"/>
        </w:rPr>
        <w:instrText>to</w:instrText>
      </w:r>
      <w:r w:rsidR="00A6794A" w:rsidRPr="00AA43FB">
        <w:instrText xml:space="preserve"> </w:instrText>
      </w:r>
      <w:r w:rsidR="00A6794A">
        <w:rPr>
          <w:lang w:val="en-US"/>
        </w:rPr>
        <w:instrText>have</w:instrText>
      </w:r>
      <w:r w:rsidR="00A6794A" w:rsidRPr="00AA43FB">
        <w:instrText xml:space="preserve"> </w:instrText>
      </w:r>
      <w:r w:rsidR="00A6794A">
        <w:rPr>
          <w:lang w:val="en-US"/>
        </w:rPr>
        <w:instrText>revolutionized</w:instrText>
      </w:r>
      <w:r w:rsidR="00A6794A" w:rsidRPr="00AA43FB">
        <w:instrText xml:space="preserve"> </w:instrText>
      </w:r>
      <w:r w:rsidR="00A6794A">
        <w:rPr>
          <w:lang w:val="en-US"/>
        </w:rPr>
        <w:instrText>treatment</w:instrText>
      </w:r>
      <w:r w:rsidR="00A6794A" w:rsidRPr="00AA43FB">
        <w:instrText xml:space="preserve"> </w:instrText>
      </w:r>
      <w:r w:rsidR="00A6794A">
        <w:rPr>
          <w:lang w:val="en-US"/>
        </w:rPr>
        <w:instrText>practices</w:instrText>
      </w:r>
      <w:r w:rsidR="00A6794A" w:rsidRPr="00AA43FB">
        <w:instrText xml:space="preserve"> </w:instrText>
      </w:r>
      <w:r w:rsidR="00A6794A">
        <w:rPr>
          <w:lang w:val="en-US"/>
        </w:rPr>
        <w:instrText>for</w:instrText>
      </w:r>
      <w:r w:rsidR="00A6794A" w:rsidRPr="00AA43FB">
        <w:instrText xml:space="preserve"> </w:instrText>
      </w:r>
      <w:r w:rsidR="00A6794A">
        <w:rPr>
          <w:lang w:val="en-US"/>
        </w:rPr>
        <w:instrText>patients</w:instrText>
      </w:r>
      <w:r w:rsidR="00A6794A" w:rsidRPr="00AA43FB">
        <w:instrText xml:space="preserve"> </w:instrText>
      </w:r>
      <w:r w:rsidR="00A6794A">
        <w:rPr>
          <w:lang w:val="en-US"/>
        </w:rPr>
        <w:instrText>with</w:instrText>
      </w:r>
      <w:r w:rsidR="00A6794A" w:rsidRPr="00AA43FB">
        <w:instrText xml:space="preserve"> </w:instrText>
      </w:r>
      <w:r w:rsidR="00A6794A">
        <w:rPr>
          <w:lang w:val="en-US"/>
        </w:rPr>
        <w:instrText>B</w:instrText>
      </w:r>
      <w:r w:rsidR="00A6794A" w:rsidRPr="00AA43FB">
        <w:instrText>-</w:instrText>
      </w:r>
      <w:r w:rsidR="00A6794A">
        <w:rPr>
          <w:lang w:val="en-US"/>
        </w:rPr>
        <w:instrText>cell</w:instrText>
      </w:r>
      <w:r w:rsidR="00A6794A" w:rsidRPr="00AA43FB">
        <w:instrText xml:space="preserve"> </w:instrText>
      </w:r>
      <w:r w:rsidR="00A6794A">
        <w:rPr>
          <w:lang w:val="en-US"/>
        </w:rPr>
        <w:instrText>malignancies</w:instrText>
      </w:r>
      <w:r w:rsidR="00A6794A" w:rsidRPr="00AA43FB">
        <w:instrText xml:space="preserve">. </w:instrText>
      </w:r>
      <w:r w:rsidR="00A6794A">
        <w:rPr>
          <w:lang w:val="en-US"/>
        </w:rPr>
        <w:instrText>A</w:instrText>
      </w:r>
      <w:r w:rsidR="00A6794A" w:rsidRPr="00AA43FB">
        <w:instrText xml:space="preserve"> </w:instrText>
      </w:r>
      <w:r w:rsidR="00A6794A">
        <w:rPr>
          <w:lang w:val="en-US"/>
        </w:rPr>
        <w:instrText>subcutaneous</w:instrText>
      </w:r>
      <w:r w:rsidR="00A6794A" w:rsidRPr="00AA43FB">
        <w:instrText xml:space="preserve"> (</w:instrText>
      </w:r>
      <w:r w:rsidR="00A6794A">
        <w:rPr>
          <w:lang w:val="en-US"/>
        </w:rPr>
        <w:instrText>SC</w:instrText>
      </w:r>
      <w:r w:rsidR="00A6794A" w:rsidRPr="00AA43FB">
        <w:instrText xml:space="preserve">) </w:instrText>
      </w:r>
      <w:r w:rsidR="00A6794A">
        <w:rPr>
          <w:lang w:val="en-US"/>
        </w:rPr>
        <w:instrText>formulation</w:instrText>
      </w:r>
      <w:r w:rsidR="00A6794A" w:rsidRPr="00AA43FB">
        <w:instrText xml:space="preserve"> </w:instrText>
      </w:r>
      <w:r w:rsidR="00A6794A">
        <w:rPr>
          <w:lang w:val="en-US"/>
        </w:rPr>
        <w:instrText>of</w:instrText>
      </w:r>
      <w:r w:rsidR="00A6794A" w:rsidRPr="00AA43FB">
        <w:instrText xml:space="preserve"> </w:instrText>
      </w:r>
      <w:r w:rsidR="00A6794A">
        <w:rPr>
          <w:lang w:val="en-US"/>
        </w:rPr>
        <w:instrText>rituximab</w:instrText>
      </w:r>
      <w:r w:rsidR="00A6794A" w:rsidRPr="00AA43FB">
        <w:instrText xml:space="preserve"> </w:instrText>
      </w:r>
      <w:r w:rsidR="00A6794A">
        <w:rPr>
          <w:lang w:val="en-US"/>
        </w:rPr>
        <w:instrText>has</w:instrText>
      </w:r>
      <w:r w:rsidR="00A6794A" w:rsidRPr="00AA43FB">
        <w:instrText xml:space="preserve"> </w:instrText>
      </w:r>
      <w:r w:rsidR="00A6794A">
        <w:rPr>
          <w:lang w:val="en-US"/>
        </w:rPr>
        <w:instrText>been</w:instrText>
      </w:r>
      <w:r w:rsidR="00A6794A" w:rsidRPr="00AA43FB">
        <w:instrText xml:space="preserve"> </w:instrText>
      </w:r>
      <w:r w:rsidR="00A6794A">
        <w:rPr>
          <w:lang w:val="en-US"/>
        </w:rPr>
        <w:instrText>developed</w:instrText>
      </w:r>
      <w:r w:rsidR="00A6794A" w:rsidRPr="00AA43FB">
        <w:instrText xml:space="preserve">, </w:instrText>
      </w:r>
      <w:r w:rsidR="00A6794A">
        <w:rPr>
          <w:lang w:val="en-US"/>
        </w:rPr>
        <w:instrText>comprising</w:instrText>
      </w:r>
      <w:r w:rsidR="00A6794A" w:rsidRPr="00AA43FB">
        <w:instrText xml:space="preserve"> </w:instrText>
      </w:r>
      <w:r w:rsidR="00A6794A">
        <w:rPr>
          <w:lang w:val="en-US"/>
        </w:rPr>
        <w:instrText>the</w:instrText>
      </w:r>
      <w:r w:rsidR="00A6794A" w:rsidRPr="00AA43FB">
        <w:instrText xml:space="preserve"> </w:instrText>
      </w:r>
      <w:r w:rsidR="00A6794A">
        <w:rPr>
          <w:lang w:val="en-US"/>
        </w:rPr>
        <w:instrText>same</w:instrText>
      </w:r>
      <w:r w:rsidR="00A6794A" w:rsidRPr="00AA43FB">
        <w:instrText xml:space="preserve"> </w:instrText>
      </w:r>
      <w:r w:rsidR="00A6794A">
        <w:rPr>
          <w:lang w:val="en-US"/>
        </w:rPr>
        <w:instrText>monoclonal</w:instrText>
      </w:r>
      <w:r w:rsidR="00A6794A" w:rsidRPr="00AA43FB">
        <w:instrText xml:space="preserve"> </w:instrText>
      </w:r>
      <w:r w:rsidR="00A6794A">
        <w:rPr>
          <w:lang w:val="en-US"/>
        </w:rPr>
        <w:instrText>antibody</w:instrText>
      </w:r>
      <w:r w:rsidR="00A6794A" w:rsidRPr="00AA43FB">
        <w:instrText xml:space="preserve"> </w:instrText>
      </w:r>
      <w:r w:rsidR="00A6794A">
        <w:rPr>
          <w:lang w:val="en-US"/>
        </w:rPr>
        <w:instrText>as</w:instrText>
      </w:r>
      <w:r w:rsidR="00A6794A" w:rsidRPr="00AA43FB">
        <w:instrText xml:space="preserve"> </w:instrText>
      </w:r>
      <w:r w:rsidR="00A6794A">
        <w:rPr>
          <w:lang w:val="en-US"/>
        </w:rPr>
        <w:instrText>the</w:instrText>
      </w:r>
      <w:r w:rsidR="00A6794A" w:rsidRPr="00AA43FB">
        <w:instrText xml:space="preserve"> </w:instrText>
      </w:r>
      <w:r w:rsidR="00A6794A">
        <w:rPr>
          <w:lang w:val="en-US"/>
        </w:rPr>
        <w:instrText>originally</w:instrText>
      </w:r>
      <w:r w:rsidR="00A6794A" w:rsidRPr="00AA43FB">
        <w:instrText xml:space="preserve"> </w:instrText>
      </w:r>
      <w:r w:rsidR="00A6794A">
        <w:rPr>
          <w:lang w:val="en-US"/>
        </w:rPr>
        <w:instrText>marketed</w:instrText>
      </w:r>
      <w:r w:rsidR="00A6794A" w:rsidRPr="00AA43FB">
        <w:instrText xml:space="preserve"> </w:instrText>
      </w:r>
      <w:r w:rsidR="00A6794A">
        <w:rPr>
          <w:lang w:val="en-US"/>
        </w:rPr>
        <w:instrText>formulation</w:instrText>
      </w:r>
      <w:r w:rsidR="00A6794A" w:rsidRPr="00AA43FB">
        <w:instrText xml:space="preserve"> [</w:instrText>
      </w:r>
      <w:r w:rsidR="00A6794A">
        <w:rPr>
          <w:lang w:val="en-US"/>
        </w:rPr>
        <w:instrText>rituximab</w:instrText>
      </w:r>
      <w:r w:rsidR="00A6794A" w:rsidRPr="00AA43FB">
        <w:instrText xml:space="preserve"> </w:instrText>
      </w:r>
      <w:r w:rsidR="00A6794A">
        <w:rPr>
          <w:lang w:val="en-US"/>
        </w:rPr>
        <w:instrText>concentrate</w:instrText>
      </w:r>
      <w:r w:rsidR="00A6794A" w:rsidRPr="00AA43FB">
        <w:instrText xml:space="preserve"> </w:instrText>
      </w:r>
      <w:r w:rsidR="00A6794A">
        <w:rPr>
          <w:lang w:val="en-US"/>
        </w:rPr>
        <w:instrText>for</w:instrText>
      </w:r>
      <w:r w:rsidR="00A6794A" w:rsidRPr="00AA43FB">
        <w:instrText xml:space="preserve"> </w:instrText>
      </w:r>
      <w:r w:rsidR="00A6794A">
        <w:rPr>
          <w:lang w:val="en-US"/>
        </w:rPr>
        <w:instrText>solution</w:instrText>
      </w:r>
      <w:r w:rsidR="00A6794A" w:rsidRPr="00AA43FB">
        <w:instrText xml:space="preserve"> </w:instrText>
      </w:r>
      <w:r w:rsidR="00A6794A">
        <w:rPr>
          <w:lang w:val="en-US"/>
        </w:rPr>
        <w:instrText>for</w:instrText>
      </w:r>
      <w:r w:rsidR="00A6794A" w:rsidRPr="00AA43FB">
        <w:instrText xml:space="preserve"> </w:instrText>
      </w:r>
      <w:r w:rsidR="00A6794A">
        <w:rPr>
          <w:lang w:val="en-US"/>
        </w:rPr>
        <w:instrText>intravenous</w:instrText>
      </w:r>
      <w:r w:rsidR="00A6794A" w:rsidRPr="00AA43FB">
        <w:instrText xml:space="preserve"> (</w:instrText>
      </w:r>
      <w:r w:rsidR="00A6794A">
        <w:rPr>
          <w:lang w:val="en-US"/>
        </w:rPr>
        <w:instrText>IV</w:instrText>
      </w:r>
      <w:r w:rsidR="00A6794A" w:rsidRPr="00AA43FB">
        <w:instrText xml:space="preserve">) </w:instrText>
      </w:r>
      <w:r w:rsidR="00A6794A">
        <w:rPr>
          <w:lang w:val="en-US"/>
        </w:rPr>
        <w:instrText>infusion</w:instrText>
      </w:r>
      <w:r w:rsidR="00A6794A" w:rsidRPr="00AA43FB">
        <w:instrText xml:space="preserve">], </w:instrText>
      </w:r>
      <w:r w:rsidR="00A6794A">
        <w:rPr>
          <w:lang w:val="en-US"/>
        </w:rPr>
        <w:instrText>and</w:instrText>
      </w:r>
      <w:r w:rsidR="00A6794A" w:rsidRPr="00AA43FB">
        <w:instrText xml:space="preserve"> </w:instrText>
      </w:r>
      <w:r w:rsidR="00A6794A">
        <w:rPr>
          <w:lang w:val="en-US"/>
        </w:rPr>
        <w:instrText>has</w:instrText>
      </w:r>
      <w:r w:rsidR="00A6794A" w:rsidRPr="00AA43FB">
        <w:instrText xml:space="preserve"> </w:instrText>
      </w:r>
      <w:r w:rsidR="00A6794A">
        <w:rPr>
          <w:lang w:val="en-US"/>
        </w:rPr>
        <w:instrText>undergone</w:instrText>
      </w:r>
      <w:r w:rsidR="00A6794A" w:rsidRPr="00AA43FB">
        <w:instrText xml:space="preserve"> </w:instrText>
      </w:r>
      <w:r w:rsidR="00A6794A">
        <w:rPr>
          <w:lang w:val="en-US"/>
        </w:rPr>
        <w:instrText>a</w:instrText>
      </w:r>
      <w:r w:rsidR="00A6794A" w:rsidRPr="00AA43FB">
        <w:instrText xml:space="preserve"> </w:instrText>
      </w:r>
      <w:r w:rsidR="00A6794A">
        <w:rPr>
          <w:lang w:val="en-US"/>
        </w:rPr>
        <w:instrText>detailed</w:instrText>
      </w:r>
      <w:r w:rsidR="00A6794A" w:rsidRPr="00AA43FB">
        <w:instrText xml:space="preserve">, </w:instrText>
      </w:r>
      <w:r w:rsidR="00A6794A">
        <w:rPr>
          <w:lang w:val="en-US"/>
        </w:rPr>
        <w:instrText>sequential</w:instrText>
      </w:r>
      <w:r w:rsidR="00A6794A" w:rsidRPr="00AA43FB">
        <w:instrText xml:space="preserve"> </w:instrText>
      </w:r>
      <w:r w:rsidR="00A6794A">
        <w:rPr>
          <w:lang w:val="en-US"/>
        </w:rPr>
        <w:instrText>clinical</w:instrText>
      </w:r>
      <w:r w:rsidR="00A6794A" w:rsidRPr="00AA43FB">
        <w:instrText xml:space="preserve"> </w:instrText>
      </w:r>
      <w:r w:rsidR="00A6794A">
        <w:rPr>
          <w:lang w:val="en-US"/>
        </w:rPr>
        <w:instrText>development</w:instrText>
      </w:r>
      <w:r w:rsidR="00A6794A" w:rsidRPr="00AA43FB">
        <w:instrText xml:space="preserve"> </w:instrText>
      </w:r>
      <w:r w:rsidR="00A6794A">
        <w:rPr>
          <w:lang w:val="en-US"/>
        </w:rPr>
        <w:instrText>program</w:instrText>
      </w:r>
      <w:r w:rsidR="00A6794A" w:rsidRPr="00AA43FB">
        <w:instrText xml:space="preserve">. </w:instrText>
      </w:r>
      <w:r w:rsidR="00A6794A">
        <w:rPr>
          <w:lang w:val="en-US"/>
        </w:rPr>
        <w:instrText>This</w:instrText>
      </w:r>
      <w:r w:rsidR="00A6794A" w:rsidRPr="00AA43FB">
        <w:instrText xml:space="preserve"> </w:instrText>
      </w:r>
      <w:r w:rsidR="00A6794A">
        <w:rPr>
          <w:lang w:val="en-US"/>
        </w:rPr>
        <w:instrText>program</w:instrText>
      </w:r>
      <w:r w:rsidR="00A6794A" w:rsidRPr="00AA43FB">
        <w:instrText xml:space="preserve"> </w:instrText>
      </w:r>
      <w:r w:rsidR="00A6794A">
        <w:rPr>
          <w:lang w:val="en-US"/>
        </w:rPr>
        <w:instrText>demonstrated</w:instrText>
      </w:r>
      <w:r w:rsidR="00A6794A" w:rsidRPr="00AA43FB">
        <w:instrText xml:space="preserve"> </w:instrText>
      </w:r>
      <w:r w:rsidR="00A6794A">
        <w:rPr>
          <w:lang w:val="en-US"/>
        </w:rPr>
        <w:instrText>that</w:instrText>
      </w:r>
      <w:r w:rsidR="00A6794A" w:rsidRPr="00AA43FB">
        <w:instrText xml:space="preserve">, </w:instrText>
      </w:r>
      <w:r w:rsidR="00A6794A">
        <w:rPr>
          <w:lang w:val="en-US"/>
        </w:rPr>
        <w:instrText>at</w:instrText>
      </w:r>
      <w:r w:rsidR="00A6794A" w:rsidRPr="00AA43FB">
        <w:instrText xml:space="preserve"> </w:instrText>
      </w:r>
      <w:r w:rsidR="00A6794A">
        <w:rPr>
          <w:lang w:val="en-US"/>
        </w:rPr>
        <w:instrText>fixed</w:instrText>
      </w:r>
      <w:r w:rsidR="00A6794A" w:rsidRPr="00AA43FB">
        <w:instrText xml:space="preserve"> </w:instrText>
      </w:r>
      <w:r w:rsidR="00A6794A">
        <w:rPr>
          <w:lang w:val="en-US"/>
        </w:rPr>
        <w:instrText>doses</w:instrText>
      </w:r>
      <w:r w:rsidR="00A6794A" w:rsidRPr="00AA43FB">
        <w:instrText xml:space="preserve">, </w:instrText>
      </w:r>
      <w:r w:rsidR="00A6794A">
        <w:rPr>
          <w:lang w:val="en-US"/>
        </w:rPr>
        <w:instrText>rituximab</w:instrText>
      </w:r>
      <w:r w:rsidR="00A6794A" w:rsidRPr="00AA43FB">
        <w:instrText xml:space="preserve"> </w:instrText>
      </w:r>
      <w:r w:rsidR="00A6794A">
        <w:rPr>
          <w:lang w:val="en-US"/>
        </w:rPr>
        <w:instrText>SC</w:instrText>
      </w:r>
      <w:r w:rsidR="00A6794A" w:rsidRPr="00AA43FB">
        <w:instrText xml:space="preserve"> </w:instrText>
      </w:r>
      <w:r w:rsidR="00A6794A">
        <w:rPr>
          <w:lang w:val="en-US"/>
        </w:rPr>
        <w:instrText>achieves</w:instrText>
      </w:r>
      <w:r w:rsidR="00A6794A" w:rsidRPr="00AA43FB">
        <w:instrText xml:space="preserve"> </w:instrText>
      </w:r>
      <w:r w:rsidR="00A6794A">
        <w:rPr>
          <w:lang w:val="en-US"/>
        </w:rPr>
        <w:instrText>non</w:instrText>
      </w:r>
      <w:r w:rsidR="00A6794A" w:rsidRPr="00AA43FB">
        <w:instrText>-</w:instrText>
      </w:r>
      <w:r w:rsidR="00A6794A">
        <w:rPr>
          <w:lang w:val="en-US"/>
        </w:rPr>
        <w:instrText>inferior</w:instrText>
      </w:r>
      <w:r w:rsidR="00A6794A" w:rsidRPr="00AA43FB">
        <w:instrText xml:space="preserve"> </w:instrText>
      </w:r>
      <w:r w:rsidR="00A6794A">
        <w:rPr>
          <w:lang w:val="en-US"/>
        </w:rPr>
        <w:instrText>serum</w:instrText>
      </w:r>
      <w:r w:rsidR="00A6794A" w:rsidRPr="00AA43FB">
        <w:instrText xml:space="preserve"> </w:instrText>
      </w:r>
      <w:r w:rsidR="00A6794A">
        <w:rPr>
          <w:lang w:val="en-US"/>
        </w:rPr>
        <w:instrText>trough</w:instrText>
      </w:r>
      <w:r w:rsidR="00A6794A" w:rsidRPr="00AA43FB">
        <w:instrText xml:space="preserve"> </w:instrText>
      </w:r>
      <w:r w:rsidR="00A6794A">
        <w:rPr>
          <w:lang w:val="en-US"/>
        </w:rPr>
        <w:instrText>concentrations</w:instrText>
      </w:r>
      <w:r w:rsidR="00A6794A" w:rsidRPr="00AA43FB">
        <w:instrText xml:space="preserve"> </w:instrText>
      </w:r>
      <w:r w:rsidR="00A6794A">
        <w:rPr>
          <w:lang w:val="en-US"/>
        </w:rPr>
        <w:instrText>in</w:instrText>
      </w:r>
      <w:r w:rsidR="00A6794A" w:rsidRPr="00AA43FB">
        <w:instrText xml:space="preserve"> </w:instrText>
      </w:r>
      <w:r w:rsidR="00A6794A">
        <w:rPr>
          <w:lang w:val="en-US"/>
        </w:rPr>
        <w:instrText>patients</w:instrText>
      </w:r>
      <w:r w:rsidR="00A6794A" w:rsidRPr="00AA43FB">
        <w:instrText xml:space="preserve"> </w:instrText>
      </w:r>
      <w:r w:rsidR="00A6794A">
        <w:rPr>
          <w:lang w:val="en-US"/>
        </w:rPr>
        <w:instrText>with</w:instrText>
      </w:r>
      <w:r w:rsidR="00A6794A" w:rsidRPr="00AA43FB">
        <w:instrText xml:space="preserve"> </w:instrText>
      </w:r>
      <w:r w:rsidR="00A6794A">
        <w:rPr>
          <w:lang w:val="en-US"/>
        </w:rPr>
        <w:instrText>non</w:instrText>
      </w:r>
      <w:r w:rsidR="00A6794A" w:rsidRPr="00AA43FB">
        <w:instrText>-</w:instrText>
      </w:r>
      <w:r w:rsidR="00A6794A">
        <w:rPr>
          <w:lang w:val="en-US"/>
        </w:rPr>
        <w:instrText>Hodgkin</w:instrText>
      </w:r>
      <w:r w:rsidR="00A6794A" w:rsidRPr="00AA43FB">
        <w:instrText xml:space="preserve"> </w:instrText>
      </w:r>
      <w:r w:rsidR="00A6794A">
        <w:rPr>
          <w:lang w:val="en-US"/>
        </w:rPr>
        <w:instrText>lymphoma</w:instrText>
      </w:r>
      <w:r w:rsidR="00A6794A" w:rsidRPr="00AA43FB">
        <w:instrText xml:space="preserve"> </w:instrText>
      </w:r>
      <w:r w:rsidR="00A6794A">
        <w:rPr>
          <w:lang w:val="en-US"/>
        </w:rPr>
        <w:instrText>and</w:instrText>
      </w:r>
      <w:r w:rsidR="00A6794A" w:rsidRPr="00AA43FB">
        <w:instrText xml:space="preserve"> </w:instrText>
      </w:r>
      <w:r w:rsidR="00A6794A">
        <w:rPr>
          <w:lang w:val="en-US"/>
        </w:rPr>
        <w:instrText>chronic</w:instrText>
      </w:r>
      <w:r w:rsidR="00A6794A" w:rsidRPr="00AA43FB">
        <w:instrText xml:space="preserve"> </w:instrText>
      </w:r>
      <w:r w:rsidR="00A6794A">
        <w:rPr>
          <w:lang w:val="en-US"/>
        </w:rPr>
        <w:instrText>lymphocytic</w:instrText>
      </w:r>
      <w:r w:rsidR="00A6794A" w:rsidRPr="00AA43FB">
        <w:instrText xml:space="preserve"> </w:instrText>
      </w:r>
      <w:r w:rsidR="00A6794A">
        <w:rPr>
          <w:lang w:val="en-US"/>
        </w:rPr>
        <w:instrText>leukemia</w:instrText>
      </w:r>
      <w:r w:rsidR="00A6794A" w:rsidRPr="00AA43FB">
        <w:instrText xml:space="preserve">, </w:instrText>
      </w:r>
      <w:r w:rsidR="00A6794A">
        <w:rPr>
          <w:lang w:val="en-US"/>
        </w:rPr>
        <w:instrText>with</w:instrText>
      </w:r>
      <w:r w:rsidR="00A6794A" w:rsidRPr="00AA43FB">
        <w:instrText xml:space="preserve"> </w:instrText>
      </w:r>
      <w:r w:rsidR="00A6794A">
        <w:rPr>
          <w:lang w:val="en-US"/>
        </w:rPr>
        <w:instrText>comparable</w:instrText>
      </w:r>
      <w:r w:rsidR="00A6794A" w:rsidRPr="00AA43FB">
        <w:instrText xml:space="preserve"> </w:instrText>
      </w:r>
      <w:r w:rsidR="00A6794A">
        <w:rPr>
          <w:lang w:val="en-US"/>
        </w:rPr>
        <w:instrText>efficacy</w:instrText>
      </w:r>
      <w:r w:rsidR="00A6794A" w:rsidRPr="00AA43FB">
        <w:instrText xml:space="preserve"> </w:instrText>
      </w:r>
      <w:r w:rsidR="00A6794A">
        <w:rPr>
          <w:lang w:val="en-US"/>
        </w:rPr>
        <w:instrText>and</w:instrText>
      </w:r>
      <w:r w:rsidR="00A6794A" w:rsidRPr="00AA43FB">
        <w:instrText xml:space="preserve"> </w:instrText>
      </w:r>
      <w:r w:rsidR="00A6794A">
        <w:rPr>
          <w:lang w:val="en-US"/>
        </w:rPr>
        <w:instrText>safety</w:instrText>
      </w:r>
      <w:r w:rsidR="00A6794A" w:rsidRPr="00AA43FB">
        <w:instrText xml:space="preserve"> </w:instrText>
      </w:r>
      <w:r w:rsidR="00A6794A">
        <w:rPr>
          <w:lang w:val="en-US"/>
        </w:rPr>
        <w:instrText>relative</w:instrText>
      </w:r>
      <w:r w:rsidR="00A6794A" w:rsidRPr="00AA43FB">
        <w:instrText xml:space="preserve"> </w:instrText>
      </w:r>
      <w:r w:rsidR="00A6794A">
        <w:rPr>
          <w:lang w:val="en-US"/>
        </w:rPr>
        <w:instrText>to</w:instrText>
      </w:r>
      <w:r w:rsidR="00A6794A" w:rsidRPr="00AA43FB">
        <w:instrText xml:space="preserve"> </w:instrText>
      </w:r>
      <w:r w:rsidR="00A6794A">
        <w:rPr>
          <w:lang w:val="en-US"/>
        </w:rPr>
        <w:instrText>the</w:instrText>
      </w:r>
      <w:r w:rsidR="00A6794A" w:rsidRPr="00AA43FB">
        <w:instrText xml:space="preserve"> </w:instrText>
      </w:r>
      <w:r w:rsidR="00A6794A">
        <w:rPr>
          <w:lang w:val="en-US"/>
        </w:rPr>
        <w:instrText>IV</w:instrText>
      </w:r>
      <w:r w:rsidR="00A6794A" w:rsidRPr="00AA43FB">
        <w:instrText xml:space="preserve"> </w:instrText>
      </w:r>
      <w:r w:rsidR="00A6794A">
        <w:rPr>
          <w:lang w:val="en-US"/>
        </w:rPr>
        <w:instrText>formulation</w:instrText>
      </w:r>
      <w:r w:rsidR="00A6794A" w:rsidRPr="00AA43FB">
        <w:instrText xml:space="preserve">. </w:instrText>
      </w:r>
      <w:r w:rsidR="00A6794A">
        <w:rPr>
          <w:lang w:val="en-US"/>
        </w:rPr>
        <w:instrText>The</w:instrText>
      </w:r>
      <w:r w:rsidR="00A6794A" w:rsidRPr="00AA43FB">
        <w:instrText xml:space="preserve"> </w:instrText>
      </w:r>
      <w:r w:rsidR="00A6794A">
        <w:rPr>
          <w:lang w:val="en-US"/>
        </w:rPr>
        <w:instrText>added</w:instrText>
      </w:r>
      <w:r w:rsidR="00A6794A" w:rsidRPr="00AA43FB">
        <w:instrText xml:space="preserve"> </w:instrText>
      </w:r>
      <w:r w:rsidR="00A6794A">
        <w:rPr>
          <w:lang w:val="en-US"/>
        </w:rPr>
        <w:instrText>benefit</w:instrText>
      </w:r>
      <w:r w:rsidR="00A6794A" w:rsidRPr="00AA43FB">
        <w:instrText xml:space="preserve"> </w:instrText>
      </w:r>
      <w:r w:rsidR="00A6794A">
        <w:rPr>
          <w:lang w:val="en-US"/>
        </w:rPr>
        <w:instrText>of</w:instrText>
      </w:r>
      <w:r w:rsidR="00A6794A" w:rsidRPr="00AA43FB">
        <w:instrText xml:space="preserve"> </w:instrText>
      </w:r>
      <w:r w:rsidR="00A6794A">
        <w:rPr>
          <w:lang w:val="en-US"/>
        </w:rPr>
        <w:instrText>rituximab</w:instrText>
      </w:r>
      <w:r w:rsidR="00A6794A" w:rsidRPr="00AA43FB">
        <w:instrText xml:space="preserve"> </w:instrText>
      </w:r>
      <w:r w:rsidR="00A6794A">
        <w:rPr>
          <w:lang w:val="en-US"/>
        </w:rPr>
        <w:instrText>SC</w:instrText>
      </w:r>
      <w:r w:rsidR="00A6794A" w:rsidRPr="00AA43FB">
        <w:instrText xml:space="preserve"> </w:instrText>
      </w:r>
      <w:r w:rsidR="00A6794A">
        <w:rPr>
          <w:lang w:val="en-US"/>
        </w:rPr>
        <w:instrText>was</w:instrText>
      </w:r>
      <w:r w:rsidR="00A6794A" w:rsidRPr="00AA43FB">
        <w:instrText xml:space="preserve"> </w:instrText>
      </w:r>
      <w:r w:rsidR="00A6794A">
        <w:rPr>
          <w:lang w:val="en-US"/>
        </w:rPr>
        <w:instrText>demonstrated</w:instrText>
      </w:r>
      <w:r w:rsidR="00A6794A" w:rsidRPr="00AA43FB">
        <w:instrText xml:space="preserve"> </w:instrText>
      </w:r>
      <w:r w:rsidR="00A6794A">
        <w:rPr>
          <w:lang w:val="en-US"/>
        </w:rPr>
        <w:instrText>in</w:instrText>
      </w:r>
      <w:r w:rsidR="00A6794A" w:rsidRPr="00AA43FB">
        <w:instrText xml:space="preserve"> </w:instrText>
      </w:r>
      <w:r w:rsidR="00A6794A">
        <w:rPr>
          <w:lang w:val="en-US"/>
        </w:rPr>
        <w:instrText>dedicated</w:instrText>
      </w:r>
      <w:r w:rsidR="00A6794A" w:rsidRPr="00AA43FB">
        <w:instrText xml:space="preserve"> </w:instrText>
      </w:r>
      <w:r w:rsidR="00A6794A">
        <w:rPr>
          <w:lang w:val="en-US"/>
        </w:rPr>
        <w:instrText>studies</w:instrText>
      </w:r>
      <w:r w:rsidR="00A6794A" w:rsidRPr="00AA43FB">
        <w:instrText xml:space="preserve"> </w:instrText>
      </w:r>
      <w:r w:rsidR="00A6794A">
        <w:rPr>
          <w:lang w:val="en-US"/>
        </w:rPr>
        <w:instrText>showing</w:instrText>
      </w:r>
      <w:r w:rsidR="00A6794A" w:rsidRPr="00AA43FB">
        <w:instrText xml:space="preserve"> </w:instrText>
      </w:r>
      <w:r w:rsidR="00A6794A">
        <w:rPr>
          <w:lang w:val="en-US"/>
        </w:rPr>
        <w:instrText>that</w:instrText>
      </w:r>
      <w:r w:rsidR="00A6794A" w:rsidRPr="00AA43FB">
        <w:instrText xml:space="preserve"> </w:instrText>
      </w:r>
      <w:r w:rsidR="00A6794A">
        <w:rPr>
          <w:lang w:val="en-US"/>
        </w:rPr>
        <w:instrText>rituximab</w:instrText>
      </w:r>
      <w:r w:rsidR="00A6794A" w:rsidRPr="00AA43FB">
        <w:instrText xml:space="preserve"> </w:instrText>
      </w:r>
      <w:r w:rsidR="00A6794A">
        <w:rPr>
          <w:lang w:val="en-US"/>
        </w:rPr>
        <w:instrText>SC</w:instrText>
      </w:r>
      <w:r w:rsidR="00A6794A" w:rsidRPr="00AA43FB">
        <w:instrText xml:space="preserve"> </w:instrText>
      </w:r>
      <w:r w:rsidR="00A6794A">
        <w:rPr>
          <w:lang w:val="en-US"/>
        </w:rPr>
        <w:instrText>allows</w:instrText>
      </w:r>
      <w:r w:rsidR="00A6794A" w:rsidRPr="00AA43FB">
        <w:instrText xml:space="preserve"> </w:instrText>
      </w:r>
      <w:r w:rsidR="00A6794A">
        <w:rPr>
          <w:lang w:val="en-US"/>
        </w:rPr>
        <w:instrText>for</w:instrText>
      </w:r>
      <w:r w:rsidR="00A6794A" w:rsidRPr="00AA43FB">
        <w:instrText xml:space="preserve"> </w:instrText>
      </w:r>
      <w:r w:rsidR="00A6794A">
        <w:rPr>
          <w:lang w:val="en-US"/>
        </w:rPr>
        <w:instrText>simplified</w:instrText>
      </w:r>
      <w:r w:rsidR="00A6794A" w:rsidRPr="00AA43FB">
        <w:instrText xml:space="preserve"> </w:instrText>
      </w:r>
      <w:r w:rsidR="00A6794A">
        <w:rPr>
          <w:lang w:val="en-US"/>
        </w:rPr>
        <w:instrText>and</w:instrText>
      </w:r>
      <w:r w:rsidR="00A6794A" w:rsidRPr="00AA43FB">
        <w:instrText xml:space="preserve"> </w:instrText>
      </w:r>
      <w:r w:rsidR="00A6794A">
        <w:rPr>
          <w:lang w:val="en-US"/>
        </w:rPr>
        <w:instrText>shortened</w:instrText>
      </w:r>
      <w:r w:rsidR="00A6794A" w:rsidRPr="00AA43FB">
        <w:instrText xml:space="preserve"> </w:instrText>
      </w:r>
      <w:r w:rsidR="00A6794A">
        <w:rPr>
          <w:lang w:val="en-US"/>
        </w:rPr>
        <w:instrText>drug</w:instrText>
      </w:r>
      <w:r w:rsidR="00A6794A" w:rsidRPr="00AA43FB">
        <w:instrText xml:space="preserve"> </w:instrText>
      </w:r>
      <w:r w:rsidR="00A6794A">
        <w:rPr>
          <w:lang w:val="en-US"/>
        </w:rPr>
        <w:instrText>preparation</w:instrText>
      </w:r>
      <w:r w:rsidR="00A6794A" w:rsidRPr="00AA43FB">
        <w:instrText xml:space="preserve"> </w:instrText>
      </w:r>
      <w:r w:rsidR="00A6794A">
        <w:rPr>
          <w:lang w:val="en-US"/>
        </w:rPr>
        <w:instrText>and</w:instrText>
      </w:r>
      <w:r w:rsidR="00A6794A" w:rsidRPr="00AA43FB">
        <w:instrText xml:space="preserve"> </w:instrText>
      </w:r>
      <w:r w:rsidR="00A6794A">
        <w:rPr>
          <w:lang w:val="en-US"/>
        </w:rPr>
        <w:instrText>administration</w:instrText>
      </w:r>
      <w:r w:rsidR="00A6794A" w:rsidRPr="00AA43FB">
        <w:instrText xml:space="preserve"> </w:instrText>
      </w:r>
      <w:r w:rsidR="00A6794A">
        <w:rPr>
          <w:lang w:val="en-US"/>
        </w:rPr>
        <w:instrText>times</w:instrText>
      </w:r>
      <w:r w:rsidR="00A6794A" w:rsidRPr="00AA43FB">
        <w:instrText xml:space="preserve"> </w:instrText>
      </w:r>
      <w:r w:rsidR="00A6794A">
        <w:rPr>
          <w:lang w:val="en-US"/>
        </w:rPr>
        <w:instrText>resulting</w:instrText>
      </w:r>
      <w:r w:rsidR="00A6794A" w:rsidRPr="00AA43FB">
        <w:instrText xml:space="preserve"> </w:instrText>
      </w:r>
      <w:r w:rsidR="00A6794A">
        <w:rPr>
          <w:lang w:val="en-US"/>
        </w:rPr>
        <w:instrText>in</w:instrText>
      </w:r>
      <w:r w:rsidR="00A6794A" w:rsidRPr="00AA43FB">
        <w:instrText xml:space="preserve"> </w:instrText>
      </w:r>
      <w:r w:rsidR="00A6794A">
        <w:rPr>
          <w:lang w:val="en-US"/>
        </w:rPr>
        <w:instrText>a</w:instrText>
      </w:r>
      <w:r w:rsidR="00A6794A" w:rsidRPr="00AA43FB">
        <w:instrText xml:space="preserve"> </w:instrText>
      </w:r>
      <w:r w:rsidR="00A6794A">
        <w:rPr>
          <w:lang w:val="en-US"/>
        </w:rPr>
        <w:instrText>reduced</w:instrText>
      </w:r>
      <w:r w:rsidR="00A6794A" w:rsidRPr="00AA43FB">
        <w:instrText xml:space="preserve"> </w:instrText>
      </w:r>
      <w:r w:rsidR="00A6794A">
        <w:rPr>
          <w:lang w:val="en-US"/>
        </w:rPr>
        <w:instrText>treatment</w:instrText>
      </w:r>
      <w:r w:rsidR="00A6794A" w:rsidRPr="00AA43FB">
        <w:instrText xml:space="preserve"> </w:instrText>
      </w:r>
      <w:r w:rsidR="00A6794A">
        <w:rPr>
          <w:lang w:val="en-US"/>
        </w:rPr>
        <w:instrText>burden</w:instrText>
      </w:r>
      <w:r w:rsidR="00A6794A" w:rsidRPr="00AA43FB">
        <w:instrText xml:space="preserve"> </w:instrText>
      </w:r>
      <w:r w:rsidR="00A6794A">
        <w:rPr>
          <w:lang w:val="en-US"/>
        </w:rPr>
        <w:instrText>for</w:instrText>
      </w:r>
      <w:r w:rsidR="00A6794A" w:rsidRPr="00AA43FB">
        <w:instrText xml:space="preserve"> </w:instrText>
      </w:r>
      <w:r w:rsidR="00A6794A">
        <w:rPr>
          <w:lang w:val="en-US"/>
        </w:rPr>
        <w:instrText>patients</w:instrText>
      </w:r>
      <w:r w:rsidR="00A6794A" w:rsidRPr="00AA43FB">
        <w:instrText xml:space="preserve"> </w:instrText>
      </w:r>
      <w:r w:rsidR="00A6794A">
        <w:rPr>
          <w:lang w:val="en-US"/>
        </w:rPr>
        <w:instrText>as</w:instrText>
      </w:r>
      <w:r w:rsidR="00A6794A" w:rsidRPr="00AA43FB">
        <w:instrText xml:space="preserve"> </w:instrText>
      </w:r>
      <w:r w:rsidR="00A6794A">
        <w:rPr>
          <w:lang w:val="en-US"/>
        </w:rPr>
        <w:instrText>well</w:instrText>
      </w:r>
      <w:r w:rsidR="00A6794A" w:rsidRPr="00AA43FB">
        <w:instrText xml:space="preserve"> </w:instrText>
      </w:r>
      <w:r w:rsidR="00A6794A">
        <w:rPr>
          <w:lang w:val="en-US"/>
        </w:rPr>
        <w:instrText>as</w:instrText>
      </w:r>
      <w:r w:rsidR="00A6794A" w:rsidRPr="00AA43FB">
        <w:instrText xml:space="preserve"> </w:instrText>
      </w:r>
      <w:r w:rsidR="00A6794A">
        <w:rPr>
          <w:lang w:val="en-US"/>
        </w:rPr>
        <w:instrText>improved</w:instrText>
      </w:r>
      <w:r w:rsidR="00A6794A" w:rsidRPr="00AA43FB">
        <w:instrText xml:space="preserve"> </w:instrText>
      </w:r>
      <w:r w:rsidR="00A6794A">
        <w:rPr>
          <w:lang w:val="en-US"/>
        </w:rPr>
        <w:instrText>resource</w:instrText>
      </w:r>
      <w:r w:rsidR="00A6794A" w:rsidRPr="00AA43FB">
        <w:instrText xml:space="preserve"> </w:instrText>
      </w:r>
      <w:r w:rsidR="00A6794A">
        <w:rPr>
          <w:lang w:val="en-US"/>
        </w:rPr>
        <w:instrText>utilization</w:instrText>
      </w:r>
      <w:r w:rsidR="00A6794A" w:rsidRPr="00AA43FB">
        <w:instrText xml:space="preserve"> (</w:instrText>
      </w:r>
      <w:r w:rsidR="00A6794A">
        <w:rPr>
          <w:lang w:val="en-US"/>
        </w:rPr>
        <w:instrText>efficiency</w:instrText>
      </w:r>
      <w:r w:rsidR="00A6794A" w:rsidRPr="00AA43FB">
        <w:instrText xml:space="preserve">) </w:instrText>
      </w:r>
      <w:r w:rsidR="00A6794A">
        <w:rPr>
          <w:lang w:val="en-US"/>
        </w:rPr>
        <w:instrText>at</w:instrText>
      </w:r>
      <w:r w:rsidR="00A6794A" w:rsidRPr="00AA43FB">
        <w:instrText xml:space="preserve"> </w:instrText>
      </w:r>
      <w:r w:rsidR="00A6794A">
        <w:rPr>
          <w:lang w:val="en-US"/>
        </w:rPr>
        <w:instrText>the</w:instrText>
      </w:r>
      <w:r w:rsidR="00A6794A" w:rsidRPr="00AA43FB">
        <w:instrText xml:space="preserve"> </w:instrText>
      </w:r>
      <w:r w:rsidR="00A6794A">
        <w:rPr>
          <w:lang w:val="en-US"/>
        </w:rPr>
        <w:instrText>treatment</w:instrText>
      </w:r>
      <w:r w:rsidR="00A6794A" w:rsidRPr="00AA43FB">
        <w:instrText xml:space="preserve"> </w:instrText>
      </w:r>
      <w:r w:rsidR="00A6794A">
        <w:rPr>
          <w:lang w:val="en-US"/>
        </w:rPr>
        <w:instrText>facility</w:instrText>
      </w:r>
      <w:r w:rsidR="00A6794A" w:rsidRPr="00AA43FB">
        <w:instrText xml:space="preserve">. </w:instrText>
      </w:r>
      <w:r w:rsidR="00A6794A">
        <w:rPr>
          <w:lang w:val="en-US"/>
        </w:rPr>
        <w:instrText>The</w:instrText>
      </w:r>
      <w:r w:rsidR="00A6794A" w:rsidRPr="00AA43FB">
        <w:instrText xml:space="preserve"> </w:instrText>
      </w:r>
      <w:r w:rsidR="00A6794A">
        <w:rPr>
          <w:lang w:val="en-US"/>
        </w:rPr>
        <w:instrText>improved</w:instrText>
      </w:r>
      <w:r w:rsidR="00A6794A" w:rsidRPr="00AA43FB">
        <w:instrText xml:space="preserve"> </w:instrText>
      </w:r>
      <w:r w:rsidR="00A6794A">
        <w:rPr>
          <w:lang w:val="en-US"/>
        </w:rPr>
        <w:instrText>efficiency</w:instrText>
      </w:r>
      <w:r w:rsidR="00A6794A" w:rsidRPr="00AA43FB">
        <w:instrText xml:space="preserve"> </w:instrText>
      </w:r>
      <w:r w:rsidR="00A6794A">
        <w:rPr>
          <w:lang w:val="en-US"/>
        </w:rPr>
        <w:instrText>of</w:instrText>
      </w:r>
      <w:r w:rsidR="00A6794A" w:rsidRPr="00AA43FB">
        <w:instrText xml:space="preserve"> </w:instrText>
      </w:r>
      <w:r w:rsidR="00A6794A">
        <w:rPr>
          <w:lang w:val="en-US"/>
        </w:rPr>
        <w:instrText>delivering</w:instrText>
      </w:r>
      <w:r w:rsidR="00A6794A" w:rsidRPr="00AA43FB">
        <w:instrText xml:space="preserve"> </w:instrText>
      </w:r>
      <w:r w:rsidR="00A6794A">
        <w:rPr>
          <w:lang w:val="en-US"/>
        </w:rPr>
        <w:instrText>rituximab</w:instrText>
      </w:r>
      <w:r w:rsidR="00A6794A" w:rsidRPr="00AA43FB">
        <w:instrText>’</w:instrText>
      </w:r>
      <w:r w:rsidR="00A6794A">
        <w:rPr>
          <w:lang w:val="en-US"/>
        </w:rPr>
        <w:instrText>s</w:instrText>
      </w:r>
      <w:r w:rsidR="00A6794A" w:rsidRPr="00AA43FB">
        <w:instrText xml:space="preserve"> </w:instrText>
      </w:r>
      <w:r w:rsidR="00A6794A">
        <w:rPr>
          <w:lang w:val="en-US"/>
        </w:rPr>
        <w:instrText>benefit</w:instrText>
      </w:r>
      <w:r w:rsidR="00A6794A" w:rsidRPr="00AA43FB">
        <w:instrText xml:space="preserve"> </w:instrText>
      </w:r>
      <w:r w:rsidR="00A6794A">
        <w:rPr>
          <w:lang w:val="en-US"/>
        </w:rPr>
        <w:instrText>to</w:instrText>
      </w:r>
      <w:r w:rsidR="00A6794A" w:rsidRPr="00AA43FB">
        <w:instrText xml:space="preserve"> </w:instrText>
      </w:r>
      <w:r w:rsidR="00A6794A">
        <w:rPr>
          <w:lang w:val="en-US"/>
        </w:rPr>
        <w:instrText>patients</w:instrText>
      </w:r>
      <w:r w:rsidR="00A6794A" w:rsidRPr="00AA43FB">
        <w:instrText xml:space="preserve"> </w:instrText>
      </w:r>
      <w:r w:rsidR="00A6794A">
        <w:rPr>
          <w:lang w:val="en-US"/>
        </w:rPr>
        <w:instrText>may</w:instrText>
      </w:r>
      <w:r w:rsidR="00A6794A" w:rsidRPr="00AA43FB">
        <w:instrText xml:space="preserve"> </w:instrText>
      </w:r>
      <w:r w:rsidR="00A6794A">
        <w:rPr>
          <w:lang w:val="en-US"/>
        </w:rPr>
        <w:instrText>broaden</w:instrText>
      </w:r>
      <w:r w:rsidR="00A6794A" w:rsidRPr="00AA43FB">
        <w:instrText xml:space="preserve"> </w:instrText>
      </w:r>
      <w:r w:rsidR="00A6794A">
        <w:rPr>
          <w:lang w:val="en-US"/>
        </w:rPr>
        <w:instrText>patient</w:instrText>
      </w:r>
      <w:r w:rsidR="00A6794A" w:rsidRPr="00AA43FB">
        <w:instrText xml:space="preserve"> </w:instrText>
      </w:r>
      <w:r w:rsidR="00A6794A">
        <w:rPr>
          <w:lang w:val="en-US"/>
        </w:rPr>
        <w:instrText>access</w:instrText>
      </w:r>
      <w:r w:rsidR="00A6794A" w:rsidRPr="00AA43FB">
        <w:instrText xml:space="preserve"> </w:instrText>
      </w:r>
      <w:r w:rsidR="00A6794A">
        <w:rPr>
          <w:lang w:val="en-US"/>
        </w:rPr>
        <w:instrText>to</w:instrText>
      </w:r>
      <w:r w:rsidR="00A6794A" w:rsidRPr="00AA43FB">
        <w:instrText xml:space="preserve"> </w:instrText>
      </w:r>
      <w:r w:rsidR="00A6794A">
        <w:rPr>
          <w:lang w:val="en-US"/>
        </w:rPr>
        <w:instrText>rituximab</w:instrText>
      </w:r>
      <w:r w:rsidR="00A6794A" w:rsidRPr="00AA43FB">
        <w:instrText xml:space="preserve"> </w:instrText>
      </w:r>
      <w:r w:rsidR="00A6794A">
        <w:rPr>
          <w:lang w:val="en-US"/>
        </w:rPr>
        <w:instrText>therapy in areas with low levels of healthcare resources, including IV-chair capacity constraints. This article is a companion paper to G. Salles, et al., which is also published in this issue. Funding: F. Hoffmann-La Roche Ltd.","author":[{"dropping-particle":"","family":"Davies","given":"Andrew","non-dropping-particle":"","parse-names":false,"suffix":""},{"dropping-particle":"","family":"Berge","given":"Claude","non-dropping-particle":"","parse-names":false,"suffix":""},{"dropping-particle":"","family":"Boehnke","given":"Axel","non-dropping-particle":"","parse-names":false,"suffix":""},{"dropping-particle":"","family":"Dadabhoy","given":"Anjum","non-dropping-particle":"","parse-names":false,"suffix":""},{"dropping-particle":"","family":"Lugtenburg","given":"Pieternella","non-dropping-particle":"","parse-names":false,"suffix":""},{"dropping-particle":"","family":"Rule","given":"Simon","non-dropping-particle":"","parse-names":false,"suffix":""},{"dropping-particle":"","family":"Rummel","given":"Mathias","non-dropping-particle":"","parse-names":false,"suffix":""},{"dropping-particle":"","family":"McIntyre","given":"Christine","non-dropping-particle":"","parse-names":false,"suffix":""},{"dropping-particle":"","family":"Smith","given":"Rodney","non-dropping-particle":"","parse-names":false,"suffix":""},{"dropping-particle":"","family":"Badoux","given":"Xavier","non-dropping-particle":"","parse-names":false,"suffix":""}],"container-title":"Advances in Therapy","id":"ITEM-2","issue":"10","issued":{"date-parts":[["2017","10","1"]]},"page":"2210-2231","publisher":"Springer Healthcare","title":"Subcutaneous Rituximab for the Treatment of B-Cell Hematologic Malignancies: A Review of the Scientific Rationale and Clinical Development","type":"article","volume":"34"},"uris":["http://www.mendeley.com/documents/?uuid=c91e99c4-7e72-3803-909e-84f3e662a6e0"]},{"id":"ITEM-3","itemData":{"DOI":"10.1111/bjh.16227","ISSN":"0007-1048","abstract":"Rituximab is a standard treatment for non-Hodgkin diffuse large B-cell (DLBCL) and follicular (FL) lymphomas. A subcutaneous formulation was developed to improve the resource use of intravenous rituximab, with comparable efficacy and safety profiles except for increased administration-related reactions (ARRs). MabRella was a phase IIIb trial to assess the safety of switching from intravenous to subcutaneous administration of rituximab during first-line induction/maintenance for DLBCL or FL, focusing on ARRs. Efficacy, satisfaction and quality of life were also assessed. Patients received subcutaneous rituximab plus standard induction chemotherapy for DLBCL or FL for 4–7 cycles, and/or every 2 months maintenance monotherapy for FL for 6–12 cycles. The study included 140 patients: DLBCL, n = 29; FL, n = 111. Ninety-five percent of patients experienced adverse events, reaching grade ≥3 in 38·6% and were serious in 30·0%. AARs occurred in 48·6%, mostly (84·9%) at the injection site, with only 2·1% of patients reaching grade 3. The end-of-induction complete/unconfirmed complete response rate was 69·6%. After a median follow-up of 33·5 months, median disease-/event-/progression-free and overall survivals were not attained. The Rituximab Administration Satisfaction Questionnaire showed improvements in overall satisfaction and the EuroQoL-5D a good quality-of-life perception at induction/maintenance end. Therefore, switching to subcutaneous rituximab showed no new safety issues and maintained efficacy with improved satisfaction and quality of life.","author":[{"dropping-particle":"","family":"García‐Muñoz","given":"Ricardo","non-dropping-particle":"","parse-names":false,"suffix":""},{"dropping-particle":"","family":"Quero","given":"Cristina","non-dropping-particle":"","parse-names":false,"suffix":""},{"dropping-particle":"","family":"Pérez‐Persona","given":"Ernesto","non-dropping-particle":"","parse-names":false,"suffix":""},{"dropping-particle":"","family":"Domingo‐García","given":"Abel","non-dropping-particle":"","parse-names":false,"suffix":""},{"dropping-particle":"","family":"Pérez‐López","given":"Cristina","non-dropping-particle":"","parse-names":false,"suffix":""},{"dropping-particle":"","family":"Villaescusa‐de‐la‐Rosa","given":"Teresa","non-dropping-particle":"","parse-names":false,"suffix":""},{"dropping-particle":"","family":"Martínez‐Castro","given":"Ana M.","non-dropping-particle":"","parse-names":false,"suffix":""},{"dropping-particle":"","family":"Arguiñano‐Pérez","given":"José M.","non-dropping-particle":"","parse-names":false,"suffix":""},{"dropping-particle":"","family":"Parra‐Cuadrado","given":"Juan F.","non-dropping-particle":"","parse-names":false,"suffix":""},{"dropping-particle":"","family":"Panizo","given":"Carlos","non-dropping-particle":"","parse-names":false,"suffix":""}],"container-title":"British Journal of Haematology","id":"ITEM-3","issue":"5","issued":{"date-parts":[["2020","3","1"]]},"page":"661-673","publisher":"Blackwell Publishing Ltd","title":"Safety of switching from intravenous to subcutaneous rituximab during first‐line treatment of patients with non‐Hodgkin lymphoma: the Spanish population of the MabRella study","type":"article-journal","volume":"188"},"uris":["http://www.mendeley.com/documents/?uuid=89ca4d25-771e-3d22-9da5-61e99fb5ec3e"]},{"id":"ITEM-4","itemData":{"DOI":"10.3747/co.24.3470","ISSN":"17187729","abstract":"Rituximab is widely used for the treatment of non-Hodgkin lymphoma, being a key component in most therapeutic regimens. Administration of the intravenous (IV) formulation is lengthy and places a significant burden on health care resources and patient quality of life. A subcutaneous (sc) formulation that provides a fixed dose of rituximab is being examined in a number of studies. Results indicate that the pharmacokinetics are noninferior and response rates are comparable to those obtained with the IV formulation. Moreover, the sc formulation is preferred by patients and health care providers and reduces administration and chair time. Additional advantages include a lesser potential for dosing errors, shorter preparation time, reduced drug wastage, and fewer infusion-related reactions. Despite the success of the sc formulation</w:instrText>
      </w:r>
      <w:r w:rsidR="00A6794A" w:rsidRPr="00D3550C">
        <w:instrText xml:space="preserve">, </w:instrText>
      </w:r>
      <w:r w:rsidR="00A6794A">
        <w:rPr>
          <w:lang w:val="en-US"/>
        </w:rPr>
        <w:instrText>correct</w:instrText>
      </w:r>
      <w:r w:rsidR="00A6794A" w:rsidRPr="00D3550C">
        <w:instrText xml:space="preserve"> </w:instrText>
      </w:r>
      <w:r w:rsidR="00A6794A">
        <w:rPr>
          <w:lang w:val="en-US"/>
        </w:rPr>
        <w:instrText>administration</w:instrText>
      </w:r>
      <w:r w:rsidR="00A6794A" w:rsidRPr="00D3550C">
        <w:instrText xml:space="preserve"> </w:instrText>
      </w:r>
      <w:r w:rsidR="00A6794A">
        <w:rPr>
          <w:lang w:val="en-US"/>
        </w:rPr>
        <w:instrText>is</w:instrText>
      </w:r>
      <w:r w:rsidR="00A6794A" w:rsidRPr="00D3550C">
        <w:instrText xml:space="preserve"> </w:instrText>
      </w:r>
      <w:r w:rsidR="00A6794A">
        <w:rPr>
          <w:lang w:val="en-US"/>
        </w:rPr>
        <w:instrText>needed</w:instrText>
      </w:r>
      <w:r w:rsidR="00A6794A" w:rsidRPr="00D3550C">
        <w:instrText xml:space="preserve"> </w:instrText>
      </w:r>
      <w:r w:rsidR="00A6794A">
        <w:rPr>
          <w:lang w:val="en-US"/>
        </w:rPr>
        <w:instrText>to</w:instrText>
      </w:r>
      <w:r w:rsidR="00A6794A" w:rsidRPr="00D3550C">
        <w:instrText xml:space="preserve"> </w:instrText>
      </w:r>
      <w:r w:rsidR="00A6794A">
        <w:rPr>
          <w:lang w:val="en-US"/>
        </w:rPr>
        <w:instrText>reduce</w:instrText>
      </w:r>
      <w:r w:rsidR="00A6794A" w:rsidRPr="00D3550C">
        <w:instrText xml:space="preserve"> </w:instrText>
      </w:r>
      <w:r w:rsidR="00A6794A">
        <w:rPr>
          <w:lang w:val="en-US"/>
        </w:rPr>
        <w:instrText>administration</w:instrText>
      </w:r>
      <w:r w:rsidR="00A6794A" w:rsidRPr="00D3550C">
        <w:instrText>-</w:instrText>
      </w:r>
      <w:r w:rsidR="00A6794A">
        <w:rPr>
          <w:lang w:val="en-US"/>
        </w:rPr>
        <w:instrText>related</w:instrText>
      </w:r>
      <w:r w:rsidR="00A6794A" w:rsidRPr="00D3550C">
        <w:instrText xml:space="preserve"> </w:instrText>
      </w:r>
      <w:r w:rsidR="00A6794A">
        <w:rPr>
          <w:lang w:val="en-US"/>
        </w:rPr>
        <w:instrText>reactions</w:instrText>
      </w:r>
      <w:r w:rsidR="00A6794A" w:rsidRPr="00D3550C">
        <w:instrText xml:space="preserve">. </w:instrText>
      </w:r>
      <w:r w:rsidR="00A6794A">
        <w:rPr>
          <w:lang w:val="en-US"/>
        </w:rPr>
        <w:instrText>By</w:instrText>
      </w:r>
      <w:r w:rsidR="00A6794A" w:rsidRPr="00D3550C">
        <w:instrText xml:space="preserve"> </w:instrText>
      </w:r>
      <w:r w:rsidR="00A6794A">
        <w:rPr>
          <w:lang w:val="en-US"/>
        </w:rPr>
        <w:instrText>using</w:instrText>
      </w:r>
      <w:r w:rsidR="00A6794A" w:rsidRPr="00D3550C">
        <w:instrText xml:space="preserve"> </w:instrText>
      </w:r>
      <w:r w:rsidR="00A6794A">
        <w:rPr>
          <w:lang w:val="en-US"/>
        </w:rPr>
        <w:instrText>a</w:instrText>
      </w:r>
      <w:r w:rsidR="00A6794A" w:rsidRPr="00D3550C">
        <w:instrText xml:space="preserve"> </w:instrText>
      </w:r>
      <w:r w:rsidR="00A6794A">
        <w:rPr>
          <w:lang w:val="en-US"/>
        </w:rPr>
        <w:instrText>careful</w:instrText>
      </w:r>
      <w:r w:rsidR="00A6794A" w:rsidRPr="00D3550C">
        <w:instrText xml:space="preserve"> </w:instrText>
      </w:r>
      <w:r w:rsidR="00A6794A">
        <w:rPr>
          <w:lang w:val="en-US"/>
        </w:rPr>
        <w:instrText>procedure</w:instrText>
      </w:r>
      <w:r w:rsidR="00A6794A" w:rsidRPr="00D3550C">
        <w:instrText xml:space="preserve">, </w:instrText>
      </w:r>
      <w:r w:rsidR="00A6794A">
        <w:rPr>
          <w:lang w:val="en-US"/>
        </w:rPr>
        <w:instrText>the</w:instrText>
      </w:r>
      <w:r w:rsidR="00A6794A" w:rsidRPr="00D3550C">
        <w:instrText xml:space="preserve"> </w:instrText>
      </w:r>
      <w:r w:rsidR="00A6794A">
        <w:rPr>
          <w:lang w:val="en-US"/>
        </w:rPr>
        <w:instrText>sc</w:instrText>
      </w:r>
      <w:r w:rsidR="00A6794A" w:rsidRPr="00D3550C">
        <w:instrText xml:space="preserve"> </w:instrText>
      </w:r>
      <w:r w:rsidR="00A6794A">
        <w:rPr>
          <w:lang w:val="en-US"/>
        </w:rPr>
        <w:instrText>formulation</w:instrText>
      </w:r>
      <w:r w:rsidR="00A6794A" w:rsidRPr="00D3550C">
        <w:instrText xml:space="preserve"> </w:instrText>
      </w:r>
      <w:r w:rsidR="00A6794A">
        <w:rPr>
          <w:lang w:val="en-US"/>
        </w:rPr>
        <w:instrText>can</w:instrText>
      </w:r>
      <w:r w:rsidR="00A6794A" w:rsidRPr="00D3550C">
        <w:instrText xml:space="preserve"> </w:instrText>
      </w:r>
      <w:r w:rsidR="00A6794A">
        <w:rPr>
          <w:lang w:val="en-US"/>
        </w:rPr>
        <w:instrText>be</w:instrText>
      </w:r>
      <w:r w:rsidR="00A6794A" w:rsidRPr="00D3550C">
        <w:instrText xml:space="preserve"> </w:instrText>
      </w:r>
      <w:r w:rsidR="00A6794A">
        <w:rPr>
          <w:lang w:val="en-US"/>
        </w:rPr>
        <w:instrText>given</w:instrText>
      </w:r>
      <w:r w:rsidR="00A6794A" w:rsidRPr="00D3550C">
        <w:instrText xml:space="preserve"> </w:instrText>
      </w:r>
      <w:r w:rsidR="00A6794A">
        <w:rPr>
          <w:lang w:val="en-US"/>
        </w:rPr>
        <w:instrText>safely</w:instrText>
      </w:r>
      <w:r w:rsidR="00A6794A" w:rsidRPr="00D3550C">
        <w:instrText xml:space="preserve"> </w:instrText>
      </w:r>
      <w:r w:rsidR="00A6794A">
        <w:rPr>
          <w:lang w:val="en-US"/>
        </w:rPr>
        <w:instrText>and</w:instrText>
      </w:r>
      <w:r w:rsidR="00A6794A" w:rsidRPr="00D3550C">
        <w:instrText xml:space="preserve"> </w:instrText>
      </w:r>
      <w:r w:rsidR="00A6794A">
        <w:rPr>
          <w:lang w:val="en-US"/>
        </w:rPr>
        <w:instrText>effectively</w:instrText>
      </w:r>
      <w:r w:rsidR="00A6794A" w:rsidRPr="00D3550C">
        <w:instrText xml:space="preserve">, </w:instrText>
      </w:r>
      <w:r w:rsidR="00A6794A">
        <w:rPr>
          <w:lang w:val="en-US"/>
        </w:rPr>
        <w:instrText>potentially</w:instrText>
      </w:r>
      <w:r w:rsidR="00A6794A" w:rsidRPr="00D3550C">
        <w:instrText xml:space="preserve"> </w:instrText>
      </w:r>
      <w:r w:rsidR="00A6794A">
        <w:rPr>
          <w:lang w:val="en-US"/>
        </w:rPr>
        <w:instrText>reducing</w:instrText>
      </w:r>
      <w:r w:rsidR="00A6794A" w:rsidRPr="00D3550C">
        <w:instrText xml:space="preserve"> </w:instrText>
      </w:r>
      <w:r w:rsidR="00A6794A">
        <w:rPr>
          <w:lang w:val="en-US"/>
        </w:rPr>
        <w:instrText>the</w:instrText>
      </w:r>
      <w:r w:rsidR="00A6794A" w:rsidRPr="00D3550C">
        <w:instrText xml:space="preserve"> </w:instrText>
      </w:r>
      <w:r w:rsidR="00A6794A">
        <w:rPr>
          <w:lang w:val="en-US"/>
        </w:rPr>
        <w:instrText>burden</w:instrText>
      </w:r>
      <w:r w:rsidR="00A6794A" w:rsidRPr="00D3550C">
        <w:instrText xml:space="preserve"> </w:instrText>
      </w:r>
      <w:r w:rsidR="00A6794A">
        <w:rPr>
          <w:lang w:val="en-US"/>
        </w:rPr>
        <w:instrText>on</w:instrText>
      </w:r>
      <w:r w:rsidR="00A6794A" w:rsidRPr="00D3550C">
        <w:instrText xml:space="preserve"> </w:instrText>
      </w:r>
      <w:r w:rsidR="00A6794A">
        <w:rPr>
          <w:lang w:val="en-US"/>
        </w:rPr>
        <w:instrText>health</w:instrText>
      </w:r>
      <w:r w:rsidR="00A6794A" w:rsidRPr="00D3550C">
        <w:instrText xml:space="preserve"> </w:instrText>
      </w:r>
      <w:r w:rsidR="00A6794A">
        <w:rPr>
          <w:lang w:val="en-US"/>
        </w:rPr>
        <w:instrText>care</w:instrText>
      </w:r>
      <w:r w:rsidR="00A6794A" w:rsidRPr="00D3550C">
        <w:instrText xml:space="preserve"> </w:instrText>
      </w:r>
      <w:r w:rsidR="00A6794A">
        <w:rPr>
          <w:lang w:val="en-US"/>
        </w:rPr>
        <w:instrText>resources</w:instrText>
      </w:r>
      <w:r w:rsidR="00A6794A" w:rsidRPr="00D3550C">
        <w:instrText xml:space="preserve"> </w:instrText>
      </w:r>
      <w:r w:rsidR="00A6794A">
        <w:rPr>
          <w:lang w:val="en-US"/>
        </w:rPr>
        <w:instrText>and</w:instrText>
      </w:r>
      <w:r w:rsidR="00A6794A" w:rsidRPr="00D3550C">
        <w:instrText xml:space="preserve"> </w:instrText>
      </w:r>
      <w:r w:rsidR="00A6794A">
        <w:rPr>
          <w:lang w:val="en-US"/>
        </w:rPr>
        <w:instrText>improving</w:instrText>
      </w:r>
      <w:r w:rsidR="00A6794A" w:rsidRPr="00D3550C">
        <w:instrText xml:space="preserve"> </w:instrText>
      </w:r>
      <w:r w:rsidR="00A6794A">
        <w:rPr>
          <w:lang w:val="en-US"/>
        </w:rPr>
        <w:instrText>quality</w:instrText>
      </w:r>
      <w:r w:rsidR="00A6794A" w:rsidRPr="00D3550C">
        <w:instrText xml:space="preserve"> </w:instrText>
      </w:r>
      <w:r w:rsidR="00A6794A">
        <w:rPr>
          <w:lang w:val="en-US"/>
        </w:rPr>
        <w:instrText>of</w:instrText>
      </w:r>
      <w:r w:rsidR="00A6794A" w:rsidRPr="00D3550C">
        <w:instrText xml:space="preserve"> </w:instrText>
      </w:r>
      <w:r w:rsidR="00A6794A">
        <w:rPr>
          <w:lang w:val="en-US"/>
        </w:rPr>
        <w:instrText>life</w:instrText>
      </w:r>
      <w:r w:rsidR="00A6794A" w:rsidRPr="00D3550C">
        <w:instrText xml:space="preserve"> </w:instrText>
      </w:r>
      <w:r w:rsidR="00A6794A">
        <w:rPr>
          <w:lang w:val="en-US"/>
        </w:rPr>
        <w:instrText>for</w:instrText>
      </w:r>
      <w:r w:rsidR="00A6794A" w:rsidRPr="00D3550C">
        <w:instrText xml:space="preserve"> </w:instrText>
      </w:r>
      <w:r w:rsidR="00A6794A">
        <w:rPr>
          <w:lang w:val="en-US"/>
        </w:rPr>
        <w:instrText>patients</w:instrText>
      </w:r>
      <w:r w:rsidR="00A6794A" w:rsidRPr="00D3550C">
        <w:instrText>.","</w:instrText>
      </w:r>
      <w:r w:rsidR="00A6794A">
        <w:rPr>
          <w:lang w:val="en-US"/>
        </w:rPr>
        <w:instrText>author</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family</w:instrText>
      </w:r>
      <w:r w:rsidR="00A6794A" w:rsidRPr="00D3550C">
        <w:instrText>":"</w:instrText>
      </w:r>
      <w:r w:rsidR="00A6794A">
        <w:rPr>
          <w:lang w:val="en-US"/>
        </w:rPr>
        <w:instrText>Macdonald</w:instrText>
      </w:r>
      <w:r w:rsidR="00A6794A" w:rsidRPr="00D3550C">
        <w:instrText>","</w:instrText>
      </w:r>
      <w:r w:rsidR="00A6794A">
        <w:rPr>
          <w:lang w:val="en-US"/>
        </w:rPr>
        <w:instrText>given</w:instrText>
      </w:r>
      <w:r w:rsidR="00A6794A" w:rsidRPr="00D3550C">
        <w:instrText>":"</w:instrText>
      </w:r>
      <w:r w:rsidR="00A6794A">
        <w:rPr>
          <w:lang w:val="en-US"/>
        </w:rPr>
        <w:instrText>David</w:instrText>
      </w:r>
      <w:r w:rsidR="00A6794A" w:rsidRPr="00D3550C">
        <w:instrText>","</w:instrText>
      </w:r>
      <w:r w:rsidR="00A6794A">
        <w:rPr>
          <w:lang w:val="en-US"/>
        </w:rPr>
        <w:instrText>non</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parse</w:instrText>
      </w:r>
      <w:r w:rsidR="00A6794A" w:rsidRPr="00D3550C">
        <w:instrText>-</w:instrText>
      </w:r>
      <w:r w:rsidR="00A6794A">
        <w:rPr>
          <w:lang w:val="en-US"/>
        </w:rPr>
        <w:instrText>names</w:instrText>
      </w:r>
      <w:r w:rsidR="00A6794A" w:rsidRPr="00D3550C">
        <w:instrText>":</w:instrText>
      </w:r>
      <w:r w:rsidR="00A6794A">
        <w:rPr>
          <w:lang w:val="en-US"/>
        </w:rPr>
        <w:instrText>false</w:instrText>
      </w:r>
      <w:r w:rsidR="00A6794A" w:rsidRPr="00D3550C">
        <w:instrText>,"</w:instrText>
      </w:r>
      <w:r w:rsidR="00A6794A">
        <w:rPr>
          <w:lang w:val="en-US"/>
        </w:rPr>
        <w:instrText>suffix</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family</w:instrText>
      </w:r>
      <w:r w:rsidR="00A6794A" w:rsidRPr="00D3550C">
        <w:instrText>":"</w:instrText>
      </w:r>
      <w:r w:rsidR="00A6794A">
        <w:rPr>
          <w:lang w:val="en-US"/>
        </w:rPr>
        <w:instrText>Crosbie</w:instrText>
      </w:r>
      <w:r w:rsidR="00A6794A" w:rsidRPr="00D3550C">
        <w:instrText>","</w:instrText>
      </w:r>
      <w:r w:rsidR="00A6794A">
        <w:rPr>
          <w:lang w:val="en-US"/>
        </w:rPr>
        <w:instrText>given</w:instrText>
      </w:r>
      <w:r w:rsidR="00A6794A" w:rsidRPr="00D3550C">
        <w:instrText>":"</w:instrText>
      </w:r>
      <w:r w:rsidR="00A6794A">
        <w:rPr>
          <w:lang w:val="en-US"/>
        </w:rPr>
        <w:instrText>T</w:instrText>
      </w:r>
      <w:r w:rsidR="00A6794A" w:rsidRPr="00D3550C">
        <w:instrText>.","</w:instrText>
      </w:r>
      <w:r w:rsidR="00A6794A">
        <w:rPr>
          <w:lang w:val="en-US"/>
        </w:rPr>
        <w:instrText>non</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parse</w:instrText>
      </w:r>
      <w:r w:rsidR="00A6794A" w:rsidRPr="00D3550C">
        <w:instrText>-</w:instrText>
      </w:r>
      <w:r w:rsidR="00A6794A">
        <w:rPr>
          <w:lang w:val="en-US"/>
        </w:rPr>
        <w:instrText>names</w:instrText>
      </w:r>
      <w:r w:rsidR="00A6794A" w:rsidRPr="00D3550C">
        <w:instrText>":</w:instrText>
      </w:r>
      <w:r w:rsidR="00A6794A">
        <w:rPr>
          <w:lang w:val="en-US"/>
        </w:rPr>
        <w:instrText>false</w:instrText>
      </w:r>
      <w:r w:rsidR="00A6794A" w:rsidRPr="00D3550C">
        <w:instrText>,"</w:instrText>
      </w:r>
      <w:r w:rsidR="00A6794A">
        <w:rPr>
          <w:lang w:val="en-US"/>
        </w:rPr>
        <w:instrText>suffix</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family</w:instrText>
      </w:r>
      <w:r w:rsidR="00A6794A" w:rsidRPr="00D3550C">
        <w:instrText>":"</w:instrText>
      </w:r>
      <w:r w:rsidR="00A6794A">
        <w:rPr>
          <w:lang w:val="en-US"/>
        </w:rPr>
        <w:instrText>Christofides</w:instrText>
      </w:r>
      <w:r w:rsidR="00A6794A" w:rsidRPr="00D3550C">
        <w:instrText>","</w:instrText>
      </w:r>
      <w:r w:rsidR="00A6794A">
        <w:rPr>
          <w:lang w:val="en-US"/>
        </w:rPr>
        <w:instrText>given</w:instrText>
      </w:r>
      <w:r w:rsidR="00A6794A" w:rsidRPr="00D3550C">
        <w:instrText>":"</w:instrText>
      </w:r>
      <w:r w:rsidR="00A6794A">
        <w:rPr>
          <w:lang w:val="en-US"/>
        </w:rPr>
        <w:instrText>A</w:instrText>
      </w:r>
      <w:r w:rsidR="00A6794A" w:rsidRPr="00D3550C">
        <w:instrText>.","</w:instrText>
      </w:r>
      <w:r w:rsidR="00A6794A">
        <w:rPr>
          <w:lang w:val="en-US"/>
        </w:rPr>
        <w:instrText>non</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parse</w:instrText>
      </w:r>
      <w:r w:rsidR="00A6794A" w:rsidRPr="00D3550C">
        <w:instrText>-</w:instrText>
      </w:r>
      <w:r w:rsidR="00A6794A">
        <w:rPr>
          <w:lang w:val="en-US"/>
        </w:rPr>
        <w:instrText>names</w:instrText>
      </w:r>
      <w:r w:rsidR="00A6794A" w:rsidRPr="00D3550C">
        <w:instrText>":</w:instrText>
      </w:r>
      <w:r w:rsidR="00A6794A">
        <w:rPr>
          <w:lang w:val="en-US"/>
        </w:rPr>
        <w:instrText>false</w:instrText>
      </w:r>
      <w:r w:rsidR="00A6794A" w:rsidRPr="00D3550C">
        <w:instrText>,"</w:instrText>
      </w:r>
      <w:r w:rsidR="00A6794A">
        <w:rPr>
          <w:lang w:val="en-US"/>
        </w:rPr>
        <w:instrText>suffix</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family</w:instrText>
      </w:r>
      <w:r w:rsidR="00A6794A" w:rsidRPr="00D3550C">
        <w:instrText>":"</w:instrText>
      </w:r>
      <w:r w:rsidR="00A6794A">
        <w:rPr>
          <w:lang w:val="en-US"/>
        </w:rPr>
        <w:instrText>Assaily</w:instrText>
      </w:r>
      <w:r w:rsidR="00A6794A" w:rsidRPr="00D3550C">
        <w:instrText>","</w:instrText>
      </w:r>
      <w:r w:rsidR="00A6794A">
        <w:rPr>
          <w:lang w:val="en-US"/>
        </w:rPr>
        <w:instrText>given</w:instrText>
      </w:r>
      <w:r w:rsidR="00A6794A" w:rsidRPr="00D3550C">
        <w:instrText>":"</w:instrText>
      </w:r>
      <w:r w:rsidR="00A6794A">
        <w:rPr>
          <w:lang w:val="en-US"/>
        </w:rPr>
        <w:instrText>W</w:instrText>
      </w:r>
      <w:r w:rsidR="00A6794A" w:rsidRPr="00D3550C">
        <w:instrText>.","</w:instrText>
      </w:r>
      <w:r w:rsidR="00A6794A">
        <w:rPr>
          <w:lang w:val="en-US"/>
        </w:rPr>
        <w:instrText>non</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parse</w:instrText>
      </w:r>
      <w:r w:rsidR="00A6794A" w:rsidRPr="00D3550C">
        <w:instrText>-</w:instrText>
      </w:r>
      <w:r w:rsidR="00A6794A">
        <w:rPr>
          <w:lang w:val="en-US"/>
        </w:rPr>
        <w:instrText>names</w:instrText>
      </w:r>
      <w:r w:rsidR="00A6794A" w:rsidRPr="00D3550C">
        <w:instrText>":</w:instrText>
      </w:r>
      <w:r w:rsidR="00A6794A">
        <w:rPr>
          <w:lang w:val="en-US"/>
        </w:rPr>
        <w:instrText>false</w:instrText>
      </w:r>
      <w:r w:rsidR="00A6794A" w:rsidRPr="00D3550C">
        <w:instrText>,"</w:instrText>
      </w:r>
      <w:r w:rsidR="00A6794A">
        <w:rPr>
          <w:lang w:val="en-US"/>
        </w:rPr>
        <w:instrText>suffix</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family</w:instrText>
      </w:r>
      <w:r w:rsidR="00A6794A" w:rsidRPr="00D3550C">
        <w:instrText>":"</w:instrText>
      </w:r>
      <w:r w:rsidR="00A6794A">
        <w:rPr>
          <w:lang w:val="en-US"/>
        </w:rPr>
        <w:instrText>Wiernikowski</w:instrText>
      </w:r>
      <w:r w:rsidR="00A6794A" w:rsidRPr="00D3550C">
        <w:instrText>","</w:instrText>
      </w:r>
      <w:r w:rsidR="00A6794A">
        <w:rPr>
          <w:lang w:val="en-US"/>
        </w:rPr>
        <w:instrText>given</w:instrText>
      </w:r>
      <w:r w:rsidR="00A6794A" w:rsidRPr="00D3550C">
        <w:instrText>":"</w:instrText>
      </w:r>
      <w:r w:rsidR="00A6794A">
        <w:rPr>
          <w:lang w:val="en-US"/>
        </w:rPr>
        <w:instrText>J</w:instrText>
      </w:r>
      <w:r w:rsidR="00A6794A" w:rsidRPr="00D3550C">
        <w:instrText>.","</w:instrText>
      </w:r>
      <w:r w:rsidR="00A6794A">
        <w:rPr>
          <w:lang w:val="en-US"/>
        </w:rPr>
        <w:instrText>non</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parse</w:instrText>
      </w:r>
      <w:r w:rsidR="00A6794A" w:rsidRPr="00D3550C">
        <w:instrText>-</w:instrText>
      </w:r>
      <w:r w:rsidR="00A6794A">
        <w:rPr>
          <w:lang w:val="en-US"/>
        </w:rPr>
        <w:instrText>names</w:instrText>
      </w:r>
      <w:r w:rsidR="00A6794A" w:rsidRPr="00D3550C">
        <w:instrText>":</w:instrText>
      </w:r>
      <w:r w:rsidR="00A6794A">
        <w:rPr>
          <w:lang w:val="en-US"/>
        </w:rPr>
        <w:instrText>false</w:instrText>
      </w:r>
      <w:r w:rsidR="00A6794A" w:rsidRPr="00D3550C">
        <w:instrText>,"</w:instrText>
      </w:r>
      <w:r w:rsidR="00A6794A">
        <w:rPr>
          <w:lang w:val="en-US"/>
        </w:rPr>
        <w:instrText>suffix</w:instrText>
      </w:r>
      <w:r w:rsidR="00A6794A" w:rsidRPr="00D3550C">
        <w:instrText>":""}],"</w:instrText>
      </w:r>
      <w:r w:rsidR="00A6794A">
        <w:rPr>
          <w:lang w:val="en-US"/>
        </w:rPr>
        <w:instrText>container</w:instrText>
      </w:r>
      <w:r w:rsidR="00A6794A" w:rsidRPr="00D3550C">
        <w:instrText>-</w:instrText>
      </w:r>
      <w:r w:rsidR="00A6794A">
        <w:rPr>
          <w:lang w:val="en-US"/>
        </w:rPr>
        <w:instrText>title</w:instrText>
      </w:r>
      <w:r w:rsidR="00A6794A" w:rsidRPr="00D3550C">
        <w:instrText>":"</w:instrText>
      </w:r>
      <w:r w:rsidR="00A6794A">
        <w:rPr>
          <w:lang w:val="en-US"/>
        </w:rPr>
        <w:instrText>Current</w:instrText>
      </w:r>
      <w:r w:rsidR="00A6794A" w:rsidRPr="00D3550C">
        <w:instrText xml:space="preserve"> </w:instrText>
      </w:r>
      <w:r w:rsidR="00A6794A">
        <w:rPr>
          <w:lang w:val="en-US"/>
        </w:rPr>
        <w:instrText>Oncology</w:instrText>
      </w:r>
      <w:r w:rsidR="00A6794A" w:rsidRPr="00D3550C">
        <w:instrText>","</w:instrText>
      </w:r>
      <w:r w:rsidR="00A6794A">
        <w:rPr>
          <w:lang w:val="en-US"/>
        </w:rPr>
        <w:instrText>id</w:instrText>
      </w:r>
      <w:r w:rsidR="00A6794A" w:rsidRPr="00D3550C">
        <w:instrText>":"</w:instrText>
      </w:r>
      <w:r w:rsidR="00A6794A">
        <w:rPr>
          <w:lang w:val="en-US"/>
        </w:rPr>
        <w:instrText>ITEM</w:instrText>
      </w:r>
      <w:r w:rsidR="00A6794A" w:rsidRPr="00D3550C">
        <w:instrText>-4","</w:instrText>
      </w:r>
      <w:r w:rsidR="00A6794A">
        <w:rPr>
          <w:lang w:val="en-US"/>
        </w:rPr>
        <w:instrText>issue</w:instrText>
      </w:r>
      <w:r w:rsidR="00A6794A" w:rsidRPr="00D3550C">
        <w:instrText>":"1","</w:instrText>
      </w:r>
      <w:r w:rsidR="00A6794A">
        <w:rPr>
          <w:lang w:val="en-US"/>
        </w:rPr>
        <w:instrText>issued</w:instrText>
      </w:r>
      <w:r w:rsidR="00A6794A" w:rsidRPr="00D3550C">
        <w:instrText>":{"</w:instrText>
      </w:r>
      <w:r w:rsidR="00A6794A">
        <w:rPr>
          <w:lang w:val="en-US"/>
        </w:rPr>
        <w:instrText>date</w:instrText>
      </w:r>
      <w:r w:rsidR="00A6794A" w:rsidRPr="00D3550C">
        <w:instrText>-</w:instrText>
      </w:r>
      <w:r w:rsidR="00A6794A">
        <w:rPr>
          <w:lang w:val="en-US"/>
        </w:rPr>
        <w:instrText>parts</w:instrText>
      </w:r>
      <w:r w:rsidR="00A6794A" w:rsidRPr="00D3550C">
        <w:instrText>":[["2017"]]},"</w:instrText>
      </w:r>
      <w:r w:rsidR="00A6794A">
        <w:rPr>
          <w:lang w:val="en-US"/>
        </w:rPr>
        <w:instrText>page</w:instrText>
      </w:r>
      <w:r w:rsidR="00A6794A" w:rsidRPr="00D3550C">
        <w:instrText>":"33-39","</w:instrText>
      </w:r>
      <w:r w:rsidR="00A6794A">
        <w:rPr>
          <w:lang w:val="en-US"/>
        </w:rPr>
        <w:instrText>publisher</w:instrText>
      </w:r>
      <w:r w:rsidR="00A6794A" w:rsidRPr="00D3550C">
        <w:instrText>":"</w:instrText>
      </w:r>
      <w:r w:rsidR="00A6794A">
        <w:rPr>
          <w:lang w:val="en-US"/>
        </w:rPr>
        <w:instrText>Multimed</w:instrText>
      </w:r>
      <w:r w:rsidR="00A6794A" w:rsidRPr="00D3550C">
        <w:instrText xml:space="preserve"> </w:instrText>
      </w:r>
      <w:r w:rsidR="00A6794A">
        <w:rPr>
          <w:lang w:val="en-US"/>
        </w:rPr>
        <w:instrText>Inc</w:instrText>
      </w:r>
      <w:r w:rsidR="00A6794A" w:rsidRPr="00D3550C">
        <w:instrText>.","</w:instrText>
      </w:r>
      <w:r w:rsidR="00A6794A">
        <w:rPr>
          <w:lang w:val="en-US"/>
        </w:rPr>
        <w:instrText>title</w:instrText>
      </w:r>
      <w:r w:rsidR="00A6794A" w:rsidRPr="00D3550C">
        <w:instrText>":"</w:instrText>
      </w:r>
      <w:r w:rsidR="00A6794A">
        <w:rPr>
          <w:lang w:val="en-US"/>
        </w:rPr>
        <w:instrText>A</w:instrText>
      </w:r>
      <w:r w:rsidR="00A6794A" w:rsidRPr="00D3550C">
        <w:instrText xml:space="preserve"> </w:instrText>
      </w:r>
      <w:r w:rsidR="00A6794A">
        <w:rPr>
          <w:lang w:val="en-US"/>
        </w:rPr>
        <w:instrText>canadian</w:instrText>
      </w:r>
      <w:r w:rsidR="00A6794A" w:rsidRPr="00D3550C">
        <w:instrText xml:space="preserve"> </w:instrText>
      </w:r>
      <w:r w:rsidR="00A6794A">
        <w:rPr>
          <w:lang w:val="en-US"/>
        </w:rPr>
        <w:instrText>perspective</w:instrText>
      </w:r>
      <w:r w:rsidR="00A6794A" w:rsidRPr="00D3550C">
        <w:instrText xml:space="preserve"> </w:instrText>
      </w:r>
      <w:r w:rsidR="00A6794A">
        <w:rPr>
          <w:lang w:val="en-US"/>
        </w:rPr>
        <w:instrText>on</w:instrText>
      </w:r>
      <w:r w:rsidR="00A6794A" w:rsidRPr="00D3550C">
        <w:instrText xml:space="preserve"> </w:instrText>
      </w:r>
      <w:r w:rsidR="00A6794A">
        <w:rPr>
          <w:lang w:val="en-US"/>
        </w:rPr>
        <w:instrText>the</w:instrText>
      </w:r>
      <w:r w:rsidR="00A6794A" w:rsidRPr="00D3550C">
        <w:instrText xml:space="preserve"> </w:instrText>
      </w:r>
      <w:r w:rsidR="00A6794A">
        <w:rPr>
          <w:lang w:val="en-US"/>
        </w:rPr>
        <w:instrText>subcutaneous</w:instrText>
      </w:r>
      <w:r w:rsidR="00A6794A" w:rsidRPr="00D3550C">
        <w:instrText xml:space="preserve"> </w:instrText>
      </w:r>
      <w:r w:rsidR="00A6794A">
        <w:rPr>
          <w:lang w:val="en-US"/>
        </w:rPr>
        <w:instrText>administration</w:instrText>
      </w:r>
      <w:r w:rsidR="00A6794A" w:rsidRPr="00D3550C">
        <w:instrText xml:space="preserve"> </w:instrText>
      </w:r>
      <w:r w:rsidR="00A6794A">
        <w:rPr>
          <w:lang w:val="en-US"/>
        </w:rPr>
        <w:instrText>of</w:instrText>
      </w:r>
      <w:r w:rsidR="00A6794A" w:rsidRPr="00D3550C">
        <w:instrText xml:space="preserve"> </w:instrText>
      </w:r>
      <w:r w:rsidR="00A6794A">
        <w:rPr>
          <w:lang w:val="en-US"/>
        </w:rPr>
        <w:instrText>rituximab</w:instrText>
      </w:r>
      <w:r w:rsidR="00A6794A" w:rsidRPr="00D3550C">
        <w:instrText xml:space="preserve"> </w:instrText>
      </w:r>
      <w:r w:rsidR="00A6794A">
        <w:rPr>
          <w:lang w:val="en-US"/>
        </w:rPr>
        <w:instrText>in</w:instrText>
      </w:r>
      <w:r w:rsidR="00A6794A" w:rsidRPr="00D3550C">
        <w:instrText xml:space="preserve"> </w:instrText>
      </w:r>
      <w:r w:rsidR="00A6794A">
        <w:rPr>
          <w:lang w:val="en-US"/>
        </w:rPr>
        <w:instrText>non</w:instrText>
      </w:r>
      <w:r w:rsidR="00A6794A" w:rsidRPr="00D3550C">
        <w:instrText>-</w:instrText>
      </w:r>
      <w:r w:rsidR="00A6794A">
        <w:rPr>
          <w:lang w:val="en-US"/>
        </w:rPr>
        <w:instrText>Hodgkin</w:instrText>
      </w:r>
      <w:r w:rsidR="00A6794A" w:rsidRPr="00D3550C">
        <w:instrText xml:space="preserve"> </w:instrText>
      </w:r>
      <w:r w:rsidR="00A6794A">
        <w:rPr>
          <w:lang w:val="en-US"/>
        </w:rPr>
        <w:instrText>lymphoma</w:instrText>
      </w:r>
      <w:r w:rsidR="00A6794A" w:rsidRPr="00D3550C">
        <w:instrText>","</w:instrText>
      </w:r>
      <w:r w:rsidR="00A6794A">
        <w:rPr>
          <w:lang w:val="en-US"/>
        </w:rPr>
        <w:instrText>type</w:instrText>
      </w:r>
      <w:r w:rsidR="00A6794A" w:rsidRPr="00D3550C">
        <w:instrText>":"</w:instrText>
      </w:r>
      <w:r w:rsidR="00A6794A">
        <w:rPr>
          <w:lang w:val="en-US"/>
        </w:rPr>
        <w:instrText>article</w:instrText>
      </w:r>
      <w:r w:rsidR="00A6794A" w:rsidRPr="00D3550C">
        <w:instrText>","</w:instrText>
      </w:r>
      <w:r w:rsidR="00A6794A">
        <w:rPr>
          <w:lang w:val="en-US"/>
        </w:rPr>
        <w:instrText>volume</w:instrText>
      </w:r>
      <w:r w:rsidR="00A6794A" w:rsidRPr="00D3550C">
        <w:instrText>":"24"},"</w:instrText>
      </w:r>
      <w:r w:rsidR="00A6794A">
        <w:rPr>
          <w:lang w:val="en-US"/>
        </w:rPr>
        <w:instrText>uris</w:instrText>
      </w:r>
      <w:r w:rsidR="00A6794A" w:rsidRPr="00D3550C">
        <w:instrText>":["</w:instrText>
      </w:r>
      <w:r w:rsidR="00A6794A">
        <w:rPr>
          <w:lang w:val="en-US"/>
        </w:rPr>
        <w:instrText>http</w:instrText>
      </w:r>
      <w:r w:rsidR="00A6794A" w:rsidRPr="00D3550C">
        <w:instrText>://</w:instrText>
      </w:r>
      <w:r w:rsidR="00A6794A">
        <w:rPr>
          <w:lang w:val="en-US"/>
        </w:rPr>
        <w:instrText>www</w:instrText>
      </w:r>
      <w:r w:rsidR="00A6794A" w:rsidRPr="00D3550C">
        <w:instrText>.</w:instrText>
      </w:r>
      <w:r w:rsidR="00A6794A">
        <w:rPr>
          <w:lang w:val="en-US"/>
        </w:rPr>
        <w:instrText>mendeley</w:instrText>
      </w:r>
      <w:r w:rsidR="00A6794A" w:rsidRPr="00D3550C">
        <w:instrText>.</w:instrText>
      </w:r>
      <w:r w:rsidR="00A6794A">
        <w:rPr>
          <w:lang w:val="en-US"/>
        </w:rPr>
        <w:instrText>com</w:instrText>
      </w:r>
      <w:r w:rsidR="00A6794A" w:rsidRPr="00D3550C">
        <w:instrText>/</w:instrText>
      </w:r>
      <w:r w:rsidR="00A6794A">
        <w:rPr>
          <w:lang w:val="en-US"/>
        </w:rPr>
        <w:instrText>documents</w:instrText>
      </w:r>
      <w:r w:rsidR="00A6794A" w:rsidRPr="00D3550C">
        <w:instrText>/?</w:instrText>
      </w:r>
      <w:r w:rsidR="00A6794A">
        <w:rPr>
          <w:lang w:val="en-US"/>
        </w:rPr>
        <w:instrText>uuid</w:instrText>
      </w:r>
      <w:r w:rsidR="00A6794A" w:rsidRPr="00D3550C">
        <w:instrText>=0</w:instrText>
      </w:r>
      <w:r w:rsidR="00A6794A">
        <w:rPr>
          <w:lang w:val="en-US"/>
        </w:rPr>
        <w:instrText>dec</w:instrText>
      </w:r>
      <w:r w:rsidR="00A6794A" w:rsidRPr="00D3550C">
        <w:instrText>225</w:instrText>
      </w:r>
      <w:r w:rsidR="00A6794A">
        <w:rPr>
          <w:lang w:val="en-US"/>
        </w:rPr>
        <w:instrText>e</w:instrText>
      </w:r>
      <w:r w:rsidR="00A6794A" w:rsidRPr="00D3550C">
        <w:instrText>-8</w:instrText>
      </w:r>
      <w:r w:rsidR="00A6794A">
        <w:rPr>
          <w:lang w:val="en-US"/>
        </w:rPr>
        <w:instrText>a</w:instrText>
      </w:r>
      <w:r w:rsidR="00A6794A" w:rsidRPr="00D3550C">
        <w:instrText>47-3680-</w:instrText>
      </w:r>
      <w:r w:rsidR="00A6794A">
        <w:rPr>
          <w:lang w:val="en-US"/>
        </w:rPr>
        <w:instrText>ba</w:instrText>
      </w:r>
      <w:r w:rsidR="00A6794A" w:rsidRPr="00D3550C">
        <w:instrText>4</w:instrText>
      </w:r>
      <w:r w:rsidR="00A6794A">
        <w:rPr>
          <w:lang w:val="en-US"/>
        </w:rPr>
        <w:instrText>d</w:instrText>
      </w:r>
      <w:r w:rsidR="00A6794A" w:rsidRPr="00D3550C">
        <w:instrText>-891955</w:instrText>
      </w:r>
      <w:r w:rsidR="00A6794A">
        <w:rPr>
          <w:lang w:val="en-US"/>
        </w:rPr>
        <w:instrText>a</w:instrText>
      </w:r>
      <w:r w:rsidR="00A6794A" w:rsidRPr="00D3550C">
        <w:instrText>938</w:instrText>
      </w:r>
      <w:r w:rsidR="00A6794A">
        <w:rPr>
          <w:lang w:val="en-US"/>
        </w:rPr>
        <w:instrText>a</w:instrText>
      </w:r>
      <w:r w:rsidR="00A6794A" w:rsidRPr="00D3550C">
        <w:instrText>1"]}],"</w:instrText>
      </w:r>
      <w:r w:rsidR="00A6794A">
        <w:rPr>
          <w:lang w:val="en-US"/>
        </w:rPr>
        <w:instrText>mendeley</w:instrText>
      </w:r>
      <w:r w:rsidR="00A6794A" w:rsidRPr="00D3550C">
        <w:instrText>":{"</w:instrText>
      </w:r>
      <w:r w:rsidR="00A6794A">
        <w:rPr>
          <w:lang w:val="en-US"/>
        </w:rPr>
        <w:instrText>formattedCitation</w:instrText>
      </w:r>
      <w:r w:rsidR="00A6794A" w:rsidRPr="00D3550C">
        <w:instrText>":"[205–208]","</w:instrText>
      </w:r>
      <w:r w:rsidR="00A6794A">
        <w:rPr>
          <w:lang w:val="en-US"/>
        </w:rPr>
        <w:instrText>plainTextFormattedCitation</w:instrText>
      </w:r>
      <w:r w:rsidR="00A6794A" w:rsidRPr="00D3550C">
        <w:instrText>":"[205–208]","</w:instrText>
      </w:r>
      <w:r w:rsidR="00A6794A">
        <w:rPr>
          <w:lang w:val="en-US"/>
        </w:rPr>
        <w:instrText>previouslyFormattedCitation</w:instrText>
      </w:r>
      <w:r w:rsidR="00A6794A" w:rsidRPr="00D3550C">
        <w:instrText>":"[205–208]"},"</w:instrText>
      </w:r>
      <w:r w:rsidR="00A6794A">
        <w:rPr>
          <w:lang w:val="en-US"/>
        </w:rPr>
        <w:instrText>properties</w:instrText>
      </w:r>
      <w:r w:rsidR="00A6794A" w:rsidRPr="00D3550C">
        <w:instrText>":{"</w:instrText>
      </w:r>
      <w:r w:rsidR="00A6794A">
        <w:rPr>
          <w:lang w:val="en-US"/>
        </w:rPr>
        <w:instrText>noteIndex</w:instrText>
      </w:r>
      <w:r w:rsidR="00A6794A" w:rsidRPr="00D3550C">
        <w:instrText>":0},"</w:instrText>
      </w:r>
      <w:r w:rsidR="00A6794A">
        <w:rPr>
          <w:lang w:val="en-US"/>
        </w:rPr>
        <w:instrText>schema</w:instrText>
      </w:r>
      <w:r w:rsidR="00A6794A" w:rsidRPr="00D3550C">
        <w:instrText>":"</w:instrText>
      </w:r>
      <w:r w:rsidR="00A6794A">
        <w:rPr>
          <w:lang w:val="en-US"/>
        </w:rPr>
        <w:instrText>https</w:instrText>
      </w:r>
      <w:r w:rsidR="00A6794A" w:rsidRPr="00D3550C">
        <w:instrText>://</w:instrText>
      </w:r>
      <w:r w:rsidR="00A6794A">
        <w:rPr>
          <w:lang w:val="en-US"/>
        </w:rPr>
        <w:instrText>github</w:instrText>
      </w:r>
      <w:r w:rsidR="00A6794A" w:rsidRPr="00D3550C">
        <w:instrText>.</w:instrText>
      </w:r>
      <w:r w:rsidR="00A6794A">
        <w:rPr>
          <w:lang w:val="en-US"/>
        </w:rPr>
        <w:instrText>com</w:instrText>
      </w:r>
      <w:r w:rsidR="00A6794A" w:rsidRPr="00D3550C">
        <w:instrText>/</w:instrText>
      </w:r>
      <w:r w:rsidR="00A6794A">
        <w:rPr>
          <w:lang w:val="en-US"/>
        </w:rPr>
        <w:instrText>citation</w:instrText>
      </w:r>
      <w:r w:rsidR="00A6794A" w:rsidRPr="00D3550C">
        <w:instrText>-</w:instrText>
      </w:r>
      <w:r w:rsidR="00A6794A">
        <w:rPr>
          <w:lang w:val="en-US"/>
        </w:rPr>
        <w:instrText>style</w:instrText>
      </w:r>
      <w:r w:rsidR="00A6794A" w:rsidRPr="00D3550C">
        <w:instrText>-</w:instrText>
      </w:r>
      <w:r w:rsidR="00A6794A">
        <w:rPr>
          <w:lang w:val="en-US"/>
        </w:rPr>
        <w:instrText>language</w:instrText>
      </w:r>
      <w:r w:rsidR="00A6794A" w:rsidRPr="00D3550C">
        <w:instrText>/</w:instrText>
      </w:r>
      <w:r w:rsidR="00A6794A">
        <w:rPr>
          <w:lang w:val="en-US"/>
        </w:rPr>
        <w:instrText>schema</w:instrText>
      </w:r>
      <w:r w:rsidR="00A6794A" w:rsidRPr="00D3550C">
        <w:instrText>/</w:instrText>
      </w:r>
      <w:r w:rsidR="00A6794A">
        <w:rPr>
          <w:lang w:val="en-US"/>
        </w:rPr>
        <w:instrText>raw</w:instrText>
      </w:r>
      <w:r w:rsidR="00A6794A" w:rsidRPr="00D3550C">
        <w:instrText>/</w:instrText>
      </w:r>
      <w:r w:rsidR="00A6794A">
        <w:rPr>
          <w:lang w:val="en-US"/>
        </w:rPr>
        <w:instrText>master</w:instrText>
      </w:r>
      <w:r w:rsidR="00A6794A" w:rsidRPr="00D3550C">
        <w:instrText>/</w:instrText>
      </w:r>
      <w:r w:rsidR="00A6794A">
        <w:rPr>
          <w:lang w:val="en-US"/>
        </w:rPr>
        <w:instrText>csl</w:instrText>
      </w:r>
      <w:r w:rsidR="00A6794A" w:rsidRPr="00D3550C">
        <w:instrText>-</w:instrText>
      </w:r>
      <w:r w:rsidR="00A6794A">
        <w:rPr>
          <w:lang w:val="en-US"/>
        </w:rPr>
        <w:instrText>citation</w:instrText>
      </w:r>
      <w:r w:rsidR="00A6794A" w:rsidRPr="00D3550C">
        <w:instrText>.</w:instrText>
      </w:r>
      <w:r w:rsidR="00A6794A">
        <w:rPr>
          <w:lang w:val="en-US"/>
        </w:rPr>
        <w:instrText>json</w:instrText>
      </w:r>
      <w:r w:rsidR="00A6794A" w:rsidRPr="00D3550C">
        <w:instrText>"}</w:instrText>
      </w:r>
      <w:r w:rsidRPr="000322E4">
        <w:rPr>
          <w:lang w:val="en-US"/>
        </w:rPr>
        <w:fldChar w:fldCharType="separate"/>
      </w:r>
      <w:r w:rsidR="006E1902" w:rsidRPr="006E1902">
        <w:rPr>
          <w:noProof/>
        </w:rPr>
        <w:t>[205–208]</w:t>
      </w:r>
      <w:r w:rsidRPr="000322E4">
        <w:rPr>
          <w:lang w:val="en-US"/>
        </w:rPr>
        <w:fldChar w:fldCharType="end"/>
      </w:r>
    </w:p>
    <w:p w14:paraId="17C6498A" w14:textId="5B98B72E" w:rsidR="00CF578C" w:rsidRPr="001071EC" w:rsidRDefault="00CF578C" w:rsidP="00CF578C">
      <w:pPr>
        <w:numPr>
          <w:ilvl w:val="0"/>
          <w:numId w:val="39"/>
        </w:numPr>
        <w:spacing w:line="360" w:lineRule="auto"/>
        <w:jc w:val="both"/>
      </w:pPr>
      <w:r>
        <w:t>Полатузумаб</w:t>
      </w:r>
      <w:r w:rsidRPr="001071EC">
        <w:t xml:space="preserve"> </w:t>
      </w:r>
      <w:r>
        <w:t>ведотин</w:t>
      </w:r>
      <w:r w:rsidRPr="001071EC">
        <w:t xml:space="preserve"> 1,8 </w:t>
      </w:r>
      <w:r>
        <w:t>мг</w:t>
      </w:r>
      <w:r w:rsidRPr="001071EC">
        <w:t>/</w:t>
      </w:r>
      <w:r>
        <w:t>кг</w:t>
      </w:r>
      <w:r w:rsidRPr="001071EC">
        <w:t xml:space="preserve"> </w:t>
      </w:r>
      <w:r>
        <w:t>в</w:t>
      </w:r>
      <w:r w:rsidRPr="001071EC">
        <w:t>/</w:t>
      </w:r>
      <w:r>
        <w:t>в</w:t>
      </w:r>
      <w:r w:rsidRPr="001071EC">
        <w:t xml:space="preserve"> </w:t>
      </w:r>
      <w:r>
        <w:t>кап</w:t>
      </w:r>
      <w:r w:rsidRPr="001071EC">
        <w:t xml:space="preserve">., </w:t>
      </w:r>
      <w:r w:rsidR="00BA5C05">
        <w:t>день</w:t>
      </w:r>
      <w:r w:rsidR="00BA5C05" w:rsidRPr="001071EC">
        <w:t xml:space="preserve"> 1, </w:t>
      </w:r>
      <w:r w:rsidR="00697C42">
        <w:t>циклы</w:t>
      </w:r>
      <w:r w:rsidR="00697C42" w:rsidRPr="001071EC">
        <w:t xml:space="preserve"> 1-6</w:t>
      </w:r>
    </w:p>
    <w:p w14:paraId="381AE73D" w14:textId="65493950" w:rsidR="00CF578C" w:rsidRPr="00697C42" w:rsidRDefault="00CF578C" w:rsidP="00CF578C">
      <w:pPr>
        <w:numPr>
          <w:ilvl w:val="0"/>
          <w:numId w:val="39"/>
        </w:numPr>
        <w:spacing w:line="360" w:lineRule="auto"/>
        <w:jc w:val="both"/>
      </w:pPr>
      <w:r w:rsidRPr="000322E4">
        <w:t>Циклофосфамид</w:t>
      </w:r>
      <w:r w:rsidRPr="00697C42">
        <w:rPr>
          <w:bCs/>
        </w:rPr>
        <w:t>**</w:t>
      </w:r>
      <w:r w:rsidRPr="00697C42">
        <w:t xml:space="preserve"> 750 </w:t>
      </w:r>
      <w:r w:rsidRPr="000322E4">
        <w:t>мг</w:t>
      </w:r>
      <w:r w:rsidRPr="00697C42">
        <w:t>/</w:t>
      </w:r>
      <w:r w:rsidRPr="000322E4">
        <w:t>м</w:t>
      </w:r>
      <w:r w:rsidRPr="00697C42">
        <w:rPr>
          <w:vertAlign w:val="superscript"/>
        </w:rPr>
        <w:t>2</w:t>
      </w:r>
      <w:r w:rsidRPr="00697C42">
        <w:t xml:space="preserve"> </w:t>
      </w:r>
      <w:r w:rsidRPr="000322E4">
        <w:t>в</w:t>
      </w:r>
      <w:r w:rsidRPr="00697C42">
        <w:t>/</w:t>
      </w:r>
      <w:r w:rsidRPr="000322E4">
        <w:t>в</w:t>
      </w:r>
      <w:r w:rsidRPr="00697C42">
        <w:t xml:space="preserve"> </w:t>
      </w:r>
      <w:r w:rsidRPr="000322E4">
        <w:t>кап</w:t>
      </w:r>
      <w:r w:rsidRPr="00697C42">
        <w:t xml:space="preserve">., </w:t>
      </w:r>
      <w:r w:rsidRPr="000322E4">
        <w:t>день</w:t>
      </w:r>
      <w:r w:rsidRPr="00697C42">
        <w:t xml:space="preserve"> 1</w:t>
      </w:r>
      <w:r w:rsidR="00697C42">
        <w:t>, циклы 1-6</w:t>
      </w:r>
    </w:p>
    <w:p w14:paraId="0669EC95" w14:textId="105A43D3" w:rsidR="00697C42" w:rsidRDefault="00697C42" w:rsidP="00CF578C">
      <w:pPr>
        <w:numPr>
          <w:ilvl w:val="0"/>
          <w:numId w:val="39"/>
        </w:numPr>
        <w:spacing w:line="360" w:lineRule="auto"/>
        <w:jc w:val="both"/>
      </w:pPr>
      <w:r w:rsidRPr="000322E4">
        <w:t>Доксорубицин</w:t>
      </w:r>
      <w:r w:rsidRPr="004F2D3F">
        <w:rPr>
          <w:bCs/>
        </w:rPr>
        <w:t>**</w:t>
      </w:r>
      <w:r w:rsidRPr="004F2D3F">
        <w:t xml:space="preserve"> 50 </w:t>
      </w:r>
      <w:r w:rsidRPr="000322E4">
        <w:t>мг</w:t>
      </w:r>
      <w:r w:rsidRPr="004F2D3F">
        <w:t>/</w:t>
      </w:r>
      <w:r w:rsidRPr="000322E4">
        <w:t>м</w:t>
      </w:r>
      <w:r w:rsidRPr="004F2D3F">
        <w:rPr>
          <w:vertAlign w:val="superscript"/>
        </w:rPr>
        <w:t>2</w:t>
      </w:r>
      <w:r w:rsidRPr="004F2D3F">
        <w:t xml:space="preserve"> </w:t>
      </w:r>
      <w:r w:rsidRPr="000322E4">
        <w:t>в</w:t>
      </w:r>
      <w:r w:rsidRPr="004F2D3F">
        <w:t>/</w:t>
      </w:r>
      <w:r w:rsidRPr="000322E4">
        <w:t>в</w:t>
      </w:r>
      <w:r w:rsidRPr="004F2D3F">
        <w:t xml:space="preserve"> </w:t>
      </w:r>
      <w:r w:rsidRPr="000322E4">
        <w:t>кап</w:t>
      </w:r>
      <w:r w:rsidRPr="004F2D3F">
        <w:t xml:space="preserve">., </w:t>
      </w:r>
      <w:r w:rsidRPr="000322E4">
        <w:t>день</w:t>
      </w:r>
      <w:r w:rsidRPr="004F2D3F">
        <w:t xml:space="preserve"> 1</w:t>
      </w:r>
      <w:r>
        <w:t>, циклы 1-6</w:t>
      </w:r>
    </w:p>
    <w:p w14:paraId="023BC99F" w14:textId="67E1BE49" w:rsidR="00CF578C" w:rsidRPr="00697C42" w:rsidRDefault="00CF578C" w:rsidP="00CF578C">
      <w:pPr>
        <w:numPr>
          <w:ilvl w:val="0"/>
          <w:numId w:val="39"/>
        </w:numPr>
        <w:spacing w:line="360" w:lineRule="auto"/>
        <w:jc w:val="both"/>
      </w:pPr>
      <w:r w:rsidRPr="000322E4">
        <w:t>Преднизолон</w:t>
      </w:r>
      <w:r w:rsidRPr="00697C42">
        <w:rPr>
          <w:bCs/>
        </w:rPr>
        <w:t>**</w:t>
      </w:r>
      <w:r w:rsidRPr="00697C42">
        <w:t xml:space="preserve"> </w:t>
      </w:r>
      <w:r w:rsidR="00697C42">
        <w:t>100</w:t>
      </w:r>
      <w:r w:rsidRPr="00697C42">
        <w:t xml:space="preserve"> </w:t>
      </w:r>
      <w:r w:rsidRPr="000322E4">
        <w:t>мг</w:t>
      </w:r>
      <w:r w:rsidRPr="00697C42">
        <w:t xml:space="preserve"> </w:t>
      </w:r>
      <w:r w:rsidRPr="000322E4">
        <w:t>внутрь</w:t>
      </w:r>
      <w:r w:rsidRPr="00697C42">
        <w:t xml:space="preserve">, </w:t>
      </w:r>
      <w:r w:rsidRPr="000322E4">
        <w:t>дни</w:t>
      </w:r>
      <w:r w:rsidRPr="00697C42">
        <w:t xml:space="preserve"> 1-5</w:t>
      </w:r>
      <w:r w:rsidR="00697C42">
        <w:t>, циклы 1-6</w:t>
      </w:r>
    </w:p>
    <w:p w14:paraId="4AB27F33" w14:textId="77777777" w:rsidR="00CF578C" w:rsidRPr="001071EC" w:rsidRDefault="00CF578C" w:rsidP="00CF578C">
      <w:pPr>
        <w:spacing w:line="360" w:lineRule="auto"/>
        <w:ind w:left="360"/>
        <w:jc w:val="both"/>
      </w:pPr>
      <w:r w:rsidRPr="000322E4">
        <w:t>Лечение</w:t>
      </w:r>
      <w:r w:rsidRPr="001071EC">
        <w:t xml:space="preserve"> </w:t>
      </w:r>
      <w:r w:rsidRPr="000322E4">
        <w:t>возобновляется</w:t>
      </w:r>
      <w:r w:rsidRPr="001071EC">
        <w:t xml:space="preserve"> </w:t>
      </w:r>
      <w:r w:rsidRPr="000322E4">
        <w:t>на</w:t>
      </w:r>
      <w:r w:rsidRPr="001071EC">
        <w:t xml:space="preserve"> 22 </w:t>
      </w:r>
      <w:r w:rsidRPr="000322E4">
        <w:t>день</w:t>
      </w:r>
    </w:p>
    <w:p w14:paraId="5A1E03E5" w14:textId="77777777" w:rsidR="00CF578C" w:rsidRPr="001071EC" w:rsidRDefault="00CF578C" w:rsidP="00CF578C">
      <w:pPr>
        <w:spacing w:line="360" w:lineRule="auto"/>
        <w:jc w:val="both"/>
        <w:rPr>
          <w:i/>
          <w:iCs/>
        </w:rPr>
      </w:pPr>
    </w:p>
    <w:p w14:paraId="34ABADB4" w14:textId="77777777" w:rsidR="00666D68" w:rsidRPr="001071EC" w:rsidRDefault="00666D68" w:rsidP="008E3584">
      <w:pPr>
        <w:pStyle w:val="afd"/>
        <w:ind w:firstLine="0"/>
        <w:rPr>
          <w:b/>
          <w:bCs/>
          <w:u w:val="single"/>
        </w:rPr>
      </w:pPr>
      <w:r w:rsidRPr="000322E4">
        <w:rPr>
          <w:b/>
          <w:bCs/>
          <w:u w:val="single"/>
        </w:rPr>
        <w:lastRenderedPageBreak/>
        <w:t>А</w:t>
      </w:r>
      <w:r w:rsidRPr="001071EC">
        <w:rPr>
          <w:b/>
          <w:bCs/>
          <w:u w:val="single"/>
        </w:rPr>
        <w:t xml:space="preserve">3.1.2 </w:t>
      </w:r>
      <w:r w:rsidRPr="000322E4">
        <w:rPr>
          <w:b/>
          <w:bCs/>
          <w:u w:val="single"/>
        </w:rPr>
        <w:t>Программы</w:t>
      </w:r>
      <w:r w:rsidRPr="001071EC">
        <w:rPr>
          <w:b/>
          <w:bCs/>
          <w:u w:val="single"/>
        </w:rPr>
        <w:t xml:space="preserve"> </w:t>
      </w:r>
      <w:r w:rsidRPr="000322E4">
        <w:rPr>
          <w:b/>
          <w:bCs/>
          <w:u w:val="single"/>
        </w:rPr>
        <w:t>лечения</w:t>
      </w:r>
      <w:r w:rsidRPr="001071EC">
        <w:rPr>
          <w:b/>
          <w:bCs/>
          <w:u w:val="single"/>
        </w:rPr>
        <w:t xml:space="preserve"> </w:t>
      </w:r>
      <w:r w:rsidRPr="000322E4">
        <w:rPr>
          <w:b/>
          <w:bCs/>
          <w:u w:val="single"/>
        </w:rPr>
        <w:t>лимфомы</w:t>
      </w:r>
      <w:r w:rsidRPr="001071EC">
        <w:rPr>
          <w:b/>
          <w:bCs/>
          <w:u w:val="single"/>
        </w:rPr>
        <w:t xml:space="preserve"> </w:t>
      </w:r>
      <w:r w:rsidRPr="000322E4">
        <w:rPr>
          <w:b/>
          <w:bCs/>
          <w:u w:val="single"/>
        </w:rPr>
        <w:t>Беркитта</w:t>
      </w:r>
      <w:r w:rsidRPr="001071EC">
        <w:rPr>
          <w:b/>
          <w:bCs/>
          <w:u w:val="single"/>
        </w:rPr>
        <w:t xml:space="preserve"> </w:t>
      </w:r>
    </w:p>
    <w:p w14:paraId="39339A06" w14:textId="5599D59B" w:rsidR="00666D68" w:rsidRPr="000322E4" w:rsidRDefault="00666D68" w:rsidP="008E3584">
      <w:pPr>
        <w:spacing w:line="360" w:lineRule="auto"/>
        <w:jc w:val="both"/>
      </w:pPr>
      <w:r w:rsidRPr="000322E4">
        <w:rPr>
          <w:b/>
        </w:rPr>
        <w:t>ЛБ</w:t>
      </w:r>
      <w:r w:rsidRPr="001071EC">
        <w:rPr>
          <w:b/>
        </w:rPr>
        <w:t>-</w:t>
      </w:r>
      <w:r w:rsidRPr="000322E4">
        <w:rPr>
          <w:b/>
        </w:rPr>
        <w:t>М</w:t>
      </w:r>
      <w:r w:rsidRPr="001071EC">
        <w:rPr>
          <w:b/>
        </w:rPr>
        <w:t>-04</w:t>
      </w:r>
      <w:r w:rsidRPr="001071EC">
        <w:t xml:space="preserve"> </w:t>
      </w:r>
      <w:r w:rsidR="00E13065" w:rsidRPr="000322E4">
        <w:fldChar w:fldCharType="begin" w:fldLock="1"/>
      </w:r>
      <w:r w:rsidR="006A2B13">
        <w:rPr>
          <w:lang w:val="en-US"/>
        </w:rPr>
        <w:instrText>ADDIN</w:instrText>
      </w:r>
      <w:r w:rsidR="006A2B13" w:rsidRPr="006A2B13">
        <w:instrText xml:space="preserve"> </w:instrText>
      </w:r>
      <w:r w:rsidR="006A2B13">
        <w:rPr>
          <w:lang w:val="en-US"/>
        </w:rPr>
        <w:instrText>CSL</w:instrText>
      </w:r>
      <w:r w:rsidR="006A2B13" w:rsidRPr="006A2B13">
        <w:instrText>_</w:instrText>
      </w:r>
      <w:r w:rsidR="006A2B13">
        <w:rPr>
          <w:lang w:val="en-US"/>
        </w:rPr>
        <w:instrText>CITATION</w:instrText>
      </w:r>
      <w:r w:rsidR="006A2B13" w:rsidRPr="006A2B13">
        <w:instrText xml:space="preserve"> {"</w:instrText>
      </w:r>
      <w:r w:rsidR="006A2B13">
        <w:rPr>
          <w:lang w:val="en-US"/>
        </w:rPr>
        <w:instrText>citationItems</w:instrText>
      </w:r>
      <w:r w:rsidR="006A2B13" w:rsidRPr="006A2B13">
        <w:instrText>":[{"</w:instrText>
      </w:r>
      <w:r w:rsidR="006A2B13">
        <w:rPr>
          <w:lang w:val="en-US"/>
        </w:rPr>
        <w:instrText>id</w:instrText>
      </w:r>
      <w:r w:rsidR="006A2B13" w:rsidRPr="006A2B13">
        <w:instrText>":"</w:instrText>
      </w:r>
      <w:r w:rsidR="006A2B13">
        <w:rPr>
          <w:lang w:val="en-US"/>
        </w:rPr>
        <w:instrText>ITEM</w:instrText>
      </w:r>
      <w:r w:rsidR="006A2B13" w:rsidRPr="006A2B13">
        <w:instrText>-1","</w:instrText>
      </w:r>
      <w:r w:rsidR="006A2B13">
        <w:rPr>
          <w:lang w:val="en-US"/>
        </w:rPr>
        <w:instrText>itemData</w:instrText>
      </w:r>
      <w:r w:rsidR="006A2B13" w:rsidRPr="006A2B13">
        <w:instrText>":{"</w:instrText>
      </w:r>
      <w:r w:rsidR="006A2B13">
        <w:rPr>
          <w:lang w:val="en-US"/>
        </w:rPr>
        <w:instrText>author</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family</w:instrText>
      </w:r>
      <w:r w:rsidR="006A2B13" w:rsidRPr="006A2B13">
        <w:instrText>":"Барях","</w:instrText>
      </w:r>
      <w:r w:rsidR="006A2B13">
        <w:rPr>
          <w:lang w:val="en-US"/>
        </w:rPr>
        <w:instrText>given</w:instrText>
      </w:r>
      <w:r w:rsidR="006A2B13" w:rsidRPr="006A2B13">
        <w:instrText>":"Е.А.","</w:instrText>
      </w:r>
      <w:r w:rsidR="006A2B13">
        <w:rPr>
          <w:lang w:val="en-US"/>
        </w:rPr>
        <w:instrText>non</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parse</w:instrText>
      </w:r>
      <w:r w:rsidR="006A2B13" w:rsidRPr="006A2B13">
        <w:instrText>-</w:instrText>
      </w:r>
      <w:r w:rsidR="006A2B13">
        <w:rPr>
          <w:lang w:val="en-US"/>
        </w:rPr>
        <w:instrText>names</w:instrText>
      </w:r>
      <w:r w:rsidR="006A2B13" w:rsidRPr="006A2B13">
        <w:instrText>":</w:instrText>
      </w:r>
      <w:r w:rsidR="006A2B13">
        <w:rPr>
          <w:lang w:val="en-US"/>
        </w:rPr>
        <w:instrText>false</w:instrText>
      </w:r>
      <w:r w:rsidR="006A2B13" w:rsidRPr="006A2B13">
        <w:instrText>,"</w:instrText>
      </w:r>
      <w:r w:rsidR="006A2B13">
        <w:rPr>
          <w:lang w:val="en-US"/>
        </w:rPr>
        <w:instrText>suffix</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family</w:instrText>
      </w:r>
      <w:r w:rsidR="006A2B13" w:rsidRPr="006A2B13">
        <w:instrText>":"Кравченко","</w:instrText>
      </w:r>
      <w:r w:rsidR="006A2B13">
        <w:rPr>
          <w:lang w:val="en-US"/>
        </w:rPr>
        <w:instrText>given</w:instrText>
      </w:r>
      <w:r w:rsidR="006A2B13" w:rsidRPr="006A2B13">
        <w:instrText>":"С.К.","</w:instrText>
      </w:r>
      <w:r w:rsidR="006A2B13">
        <w:rPr>
          <w:lang w:val="en-US"/>
        </w:rPr>
        <w:instrText>non</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parse</w:instrText>
      </w:r>
      <w:r w:rsidR="006A2B13" w:rsidRPr="006A2B13">
        <w:instrText>-</w:instrText>
      </w:r>
      <w:r w:rsidR="006A2B13">
        <w:rPr>
          <w:lang w:val="en-US"/>
        </w:rPr>
        <w:instrText>names</w:instrText>
      </w:r>
      <w:r w:rsidR="006A2B13" w:rsidRPr="006A2B13">
        <w:instrText>":</w:instrText>
      </w:r>
      <w:r w:rsidR="006A2B13">
        <w:rPr>
          <w:lang w:val="en-US"/>
        </w:rPr>
        <w:instrText>false</w:instrText>
      </w:r>
      <w:r w:rsidR="006A2B13" w:rsidRPr="006A2B13">
        <w:instrText>,"</w:instrText>
      </w:r>
      <w:r w:rsidR="006A2B13">
        <w:rPr>
          <w:lang w:val="en-US"/>
        </w:rPr>
        <w:instrText>suffix</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family</w:instrText>
      </w:r>
      <w:r w:rsidR="006A2B13" w:rsidRPr="006A2B13">
        <w:instrText>":"Кременецкая","</w:instrText>
      </w:r>
      <w:r w:rsidR="006A2B13">
        <w:rPr>
          <w:lang w:val="en-US"/>
        </w:rPr>
        <w:instrText>given</w:instrText>
      </w:r>
      <w:r w:rsidR="006A2B13" w:rsidRPr="006A2B13">
        <w:instrText>":"А.М.","</w:instrText>
      </w:r>
      <w:r w:rsidR="006A2B13">
        <w:rPr>
          <w:lang w:val="en-US"/>
        </w:rPr>
        <w:instrText>non</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parse</w:instrText>
      </w:r>
      <w:r w:rsidR="006A2B13" w:rsidRPr="006A2B13">
        <w:instrText>-</w:instrText>
      </w:r>
      <w:r w:rsidR="006A2B13">
        <w:rPr>
          <w:lang w:val="en-US"/>
        </w:rPr>
        <w:instrText>names</w:instrText>
      </w:r>
      <w:r w:rsidR="006A2B13" w:rsidRPr="006A2B13">
        <w:instrText>":</w:instrText>
      </w:r>
      <w:r w:rsidR="006A2B13">
        <w:rPr>
          <w:lang w:val="en-US"/>
        </w:rPr>
        <w:instrText>false</w:instrText>
      </w:r>
      <w:r w:rsidR="006A2B13" w:rsidRPr="006A2B13">
        <w:instrText>,"</w:instrText>
      </w:r>
      <w:r w:rsidR="006A2B13">
        <w:rPr>
          <w:lang w:val="en-US"/>
        </w:rPr>
        <w:instrText>suffix</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family</w:instrText>
      </w:r>
      <w:r w:rsidR="006A2B13" w:rsidRPr="006A2B13">
        <w:instrText>":"Звонков","</w:instrText>
      </w:r>
      <w:r w:rsidR="006A2B13">
        <w:rPr>
          <w:lang w:val="en-US"/>
        </w:rPr>
        <w:instrText>given</w:instrText>
      </w:r>
      <w:r w:rsidR="006A2B13" w:rsidRPr="006A2B13">
        <w:instrText>":"Е.Е.","</w:instrText>
      </w:r>
      <w:r w:rsidR="006A2B13">
        <w:rPr>
          <w:lang w:val="en-US"/>
        </w:rPr>
        <w:instrText>non</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parse</w:instrText>
      </w:r>
      <w:r w:rsidR="006A2B13" w:rsidRPr="006A2B13">
        <w:instrText>-</w:instrText>
      </w:r>
      <w:r w:rsidR="006A2B13">
        <w:rPr>
          <w:lang w:val="en-US"/>
        </w:rPr>
        <w:instrText>names</w:instrText>
      </w:r>
      <w:r w:rsidR="006A2B13" w:rsidRPr="006A2B13">
        <w:instrText>":</w:instrText>
      </w:r>
      <w:r w:rsidR="006A2B13">
        <w:rPr>
          <w:lang w:val="en-US"/>
        </w:rPr>
        <w:instrText>false</w:instrText>
      </w:r>
      <w:r w:rsidR="006A2B13" w:rsidRPr="006A2B13">
        <w:instrText>,"</w:instrText>
      </w:r>
      <w:r w:rsidR="006A2B13">
        <w:rPr>
          <w:lang w:val="en-US"/>
        </w:rPr>
        <w:instrText>suffix</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family</w:instrText>
      </w:r>
      <w:r w:rsidR="006A2B13" w:rsidRPr="006A2B13">
        <w:instrText>":"Магомедова","</w:instrText>
      </w:r>
      <w:r w:rsidR="006A2B13">
        <w:rPr>
          <w:lang w:val="en-US"/>
        </w:rPr>
        <w:instrText>given</w:instrText>
      </w:r>
      <w:r w:rsidR="006A2B13" w:rsidRPr="006A2B13">
        <w:instrText>":"А.У.","</w:instrText>
      </w:r>
      <w:r w:rsidR="006A2B13">
        <w:rPr>
          <w:lang w:val="en-US"/>
        </w:rPr>
        <w:instrText>non</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parse</w:instrText>
      </w:r>
      <w:r w:rsidR="006A2B13" w:rsidRPr="006A2B13">
        <w:instrText>-</w:instrText>
      </w:r>
      <w:r w:rsidR="006A2B13">
        <w:rPr>
          <w:lang w:val="en-US"/>
        </w:rPr>
        <w:instrText>names</w:instrText>
      </w:r>
      <w:r w:rsidR="006A2B13" w:rsidRPr="006A2B13">
        <w:instrText>":</w:instrText>
      </w:r>
      <w:r w:rsidR="006A2B13">
        <w:rPr>
          <w:lang w:val="en-US"/>
        </w:rPr>
        <w:instrText>false</w:instrText>
      </w:r>
      <w:r w:rsidR="006A2B13" w:rsidRPr="006A2B13">
        <w:instrText>,"</w:instrText>
      </w:r>
      <w:r w:rsidR="006A2B13">
        <w:rPr>
          <w:lang w:val="en-US"/>
        </w:rPr>
        <w:instrText>suffix</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family</w:instrText>
      </w:r>
      <w:r w:rsidR="006A2B13" w:rsidRPr="006A2B13">
        <w:instrText>":"Обухова","</w:instrText>
      </w:r>
      <w:r w:rsidR="006A2B13">
        <w:rPr>
          <w:lang w:val="en-US"/>
        </w:rPr>
        <w:instrText>given</w:instrText>
      </w:r>
      <w:r w:rsidR="006A2B13" w:rsidRPr="006A2B13">
        <w:instrText>":"Т.Н.","</w:instrText>
      </w:r>
      <w:r w:rsidR="006A2B13">
        <w:rPr>
          <w:lang w:val="en-US"/>
        </w:rPr>
        <w:instrText>non</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parse</w:instrText>
      </w:r>
      <w:r w:rsidR="006A2B13" w:rsidRPr="006A2B13">
        <w:instrText>-</w:instrText>
      </w:r>
      <w:r w:rsidR="006A2B13">
        <w:rPr>
          <w:lang w:val="en-US"/>
        </w:rPr>
        <w:instrText>names</w:instrText>
      </w:r>
      <w:r w:rsidR="006A2B13" w:rsidRPr="006A2B13">
        <w:instrText>":</w:instrText>
      </w:r>
      <w:r w:rsidR="006A2B13">
        <w:rPr>
          <w:lang w:val="en-US"/>
        </w:rPr>
        <w:instrText>false</w:instrText>
      </w:r>
      <w:r w:rsidR="006A2B13" w:rsidRPr="006A2B13">
        <w:instrText>,"</w:instrText>
      </w:r>
      <w:r w:rsidR="006A2B13">
        <w:rPr>
          <w:lang w:val="en-US"/>
        </w:rPr>
        <w:instrText>suffix</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family</w:instrText>
      </w:r>
      <w:r w:rsidR="006A2B13" w:rsidRPr="006A2B13">
        <w:instrText>":"Попова","</w:instrText>
      </w:r>
      <w:r w:rsidR="006A2B13">
        <w:rPr>
          <w:lang w:val="en-US"/>
        </w:rPr>
        <w:instrText>given</w:instrText>
      </w:r>
      <w:r w:rsidR="006A2B13" w:rsidRPr="006A2B13">
        <w:instrText>":"Ю.Ю.","</w:instrText>
      </w:r>
      <w:r w:rsidR="006A2B13">
        <w:rPr>
          <w:lang w:val="en-US"/>
        </w:rPr>
        <w:instrText>non</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parse</w:instrText>
      </w:r>
      <w:r w:rsidR="006A2B13" w:rsidRPr="006A2B13">
        <w:instrText>-</w:instrText>
      </w:r>
      <w:r w:rsidR="006A2B13">
        <w:rPr>
          <w:lang w:val="en-US"/>
        </w:rPr>
        <w:instrText>names</w:instrText>
      </w:r>
      <w:r w:rsidR="006A2B13" w:rsidRPr="006A2B13">
        <w:instrText>":</w:instrText>
      </w:r>
      <w:r w:rsidR="006A2B13">
        <w:rPr>
          <w:lang w:val="en-US"/>
        </w:rPr>
        <w:instrText>false</w:instrText>
      </w:r>
      <w:r w:rsidR="006A2B13" w:rsidRPr="006A2B13">
        <w:instrText>,"</w:instrText>
      </w:r>
      <w:r w:rsidR="006A2B13">
        <w:rPr>
          <w:lang w:val="en-US"/>
        </w:rPr>
        <w:instrText>suffix</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family</w:instrText>
      </w:r>
      <w:r w:rsidR="006A2B13" w:rsidRPr="006A2B13">
        <w:instrText>":"Финк","</w:instrText>
      </w:r>
      <w:r w:rsidR="006A2B13">
        <w:rPr>
          <w:lang w:val="en-US"/>
        </w:rPr>
        <w:instrText>given</w:instrText>
      </w:r>
      <w:r w:rsidR="006A2B13" w:rsidRPr="006A2B13">
        <w:instrText>":"О.С.","</w:instrText>
      </w:r>
      <w:r w:rsidR="006A2B13">
        <w:rPr>
          <w:lang w:val="en-US"/>
        </w:rPr>
        <w:instrText>non</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parse</w:instrText>
      </w:r>
      <w:r w:rsidR="006A2B13" w:rsidRPr="006A2B13">
        <w:instrText>-</w:instrText>
      </w:r>
      <w:r w:rsidR="006A2B13">
        <w:rPr>
          <w:lang w:val="en-US"/>
        </w:rPr>
        <w:instrText>names</w:instrText>
      </w:r>
      <w:r w:rsidR="006A2B13" w:rsidRPr="006A2B13">
        <w:instrText>":</w:instrText>
      </w:r>
      <w:r w:rsidR="006A2B13">
        <w:rPr>
          <w:lang w:val="en-US"/>
        </w:rPr>
        <w:instrText>false</w:instrText>
      </w:r>
      <w:r w:rsidR="006A2B13" w:rsidRPr="006A2B13">
        <w:instrText>,"</w:instrText>
      </w:r>
      <w:r w:rsidR="006A2B13">
        <w:rPr>
          <w:lang w:val="en-US"/>
        </w:rPr>
        <w:instrText>suffix</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family</w:instrText>
      </w:r>
      <w:r w:rsidR="006A2B13" w:rsidRPr="006A2B13">
        <w:instrText>":"Клясова","</w:instrText>
      </w:r>
      <w:r w:rsidR="006A2B13">
        <w:rPr>
          <w:lang w:val="en-US"/>
        </w:rPr>
        <w:instrText>given</w:instrText>
      </w:r>
      <w:r w:rsidR="006A2B13" w:rsidRPr="006A2B13">
        <w:instrText>":"Г.А.","</w:instrText>
      </w:r>
      <w:r w:rsidR="006A2B13">
        <w:rPr>
          <w:lang w:val="en-US"/>
        </w:rPr>
        <w:instrText>non</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parse</w:instrText>
      </w:r>
      <w:r w:rsidR="006A2B13" w:rsidRPr="006A2B13">
        <w:instrText>-</w:instrText>
      </w:r>
      <w:r w:rsidR="006A2B13">
        <w:rPr>
          <w:lang w:val="en-US"/>
        </w:rPr>
        <w:instrText>names</w:instrText>
      </w:r>
      <w:r w:rsidR="006A2B13" w:rsidRPr="006A2B13">
        <w:instrText>":</w:instrText>
      </w:r>
      <w:r w:rsidR="006A2B13">
        <w:rPr>
          <w:lang w:val="en-US"/>
        </w:rPr>
        <w:instrText>false</w:instrText>
      </w:r>
      <w:r w:rsidR="006A2B13" w:rsidRPr="006A2B13">
        <w:instrText>,"</w:instrText>
      </w:r>
      <w:r w:rsidR="006A2B13">
        <w:rPr>
          <w:lang w:val="en-US"/>
        </w:rPr>
        <w:instrText>suffix</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family</w:instrText>
      </w:r>
      <w:r w:rsidR="006A2B13" w:rsidRPr="006A2B13">
        <w:instrText>":"Шулутко","</w:instrText>
      </w:r>
      <w:r w:rsidR="006A2B13">
        <w:rPr>
          <w:lang w:val="en-US"/>
        </w:rPr>
        <w:instrText>given</w:instrText>
      </w:r>
      <w:r w:rsidR="006A2B13" w:rsidRPr="006A2B13">
        <w:instrText>":"Е.М.","</w:instrText>
      </w:r>
      <w:r w:rsidR="006A2B13">
        <w:rPr>
          <w:lang w:val="en-US"/>
        </w:rPr>
        <w:instrText>non</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parse</w:instrText>
      </w:r>
      <w:r w:rsidR="006A2B13" w:rsidRPr="006A2B13">
        <w:instrText>-</w:instrText>
      </w:r>
      <w:r w:rsidR="006A2B13">
        <w:rPr>
          <w:lang w:val="en-US"/>
        </w:rPr>
        <w:instrText>names</w:instrText>
      </w:r>
      <w:r w:rsidR="006A2B13" w:rsidRPr="006A2B13">
        <w:instrText>":</w:instrText>
      </w:r>
      <w:r w:rsidR="006A2B13">
        <w:rPr>
          <w:lang w:val="en-US"/>
        </w:rPr>
        <w:instrText>false</w:instrText>
      </w:r>
      <w:r w:rsidR="006A2B13" w:rsidRPr="006A2B13">
        <w:instrText>,"</w:instrText>
      </w:r>
      <w:r w:rsidR="006A2B13">
        <w:rPr>
          <w:lang w:val="en-US"/>
        </w:rPr>
        <w:instrText>suffix</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family</w:instrText>
      </w:r>
      <w:r w:rsidR="006A2B13" w:rsidRPr="006A2B13">
        <w:instrText>":"Галстян","</w:instrText>
      </w:r>
      <w:r w:rsidR="006A2B13">
        <w:rPr>
          <w:lang w:val="en-US"/>
        </w:rPr>
        <w:instrText>given</w:instrText>
      </w:r>
      <w:r w:rsidR="006A2B13" w:rsidRPr="006A2B13">
        <w:instrText>":"Г.М.","</w:instrText>
      </w:r>
      <w:r w:rsidR="006A2B13">
        <w:rPr>
          <w:lang w:val="en-US"/>
        </w:rPr>
        <w:instrText>non</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parse</w:instrText>
      </w:r>
      <w:r w:rsidR="006A2B13" w:rsidRPr="006A2B13">
        <w:instrText>-</w:instrText>
      </w:r>
      <w:r w:rsidR="006A2B13">
        <w:rPr>
          <w:lang w:val="en-US"/>
        </w:rPr>
        <w:instrText>names</w:instrText>
      </w:r>
      <w:r w:rsidR="006A2B13" w:rsidRPr="006A2B13">
        <w:instrText>":</w:instrText>
      </w:r>
      <w:r w:rsidR="006A2B13">
        <w:rPr>
          <w:lang w:val="en-US"/>
        </w:rPr>
        <w:instrText>false</w:instrText>
      </w:r>
      <w:r w:rsidR="006A2B13" w:rsidRPr="006A2B13">
        <w:instrText>,"</w:instrText>
      </w:r>
      <w:r w:rsidR="006A2B13">
        <w:rPr>
          <w:lang w:val="en-US"/>
        </w:rPr>
        <w:instrText>suffix</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family</w:instrText>
      </w:r>
      <w:r w:rsidR="006A2B13" w:rsidRPr="006A2B13">
        <w:instrText>":"Капланская","</w:instrText>
      </w:r>
      <w:r w:rsidR="006A2B13">
        <w:rPr>
          <w:lang w:val="en-US"/>
        </w:rPr>
        <w:instrText>given</w:instrText>
      </w:r>
      <w:r w:rsidR="006A2B13" w:rsidRPr="006A2B13">
        <w:instrText>":"И.Б.","</w:instrText>
      </w:r>
      <w:r w:rsidR="006A2B13">
        <w:rPr>
          <w:lang w:val="en-US"/>
        </w:rPr>
        <w:instrText>non</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parse</w:instrText>
      </w:r>
      <w:r w:rsidR="006A2B13" w:rsidRPr="006A2B13">
        <w:instrText>-</w:instrText>
      </w:r>
      <w:r w:rsidR="006A2B13">
        <w:rPr>
          <w:lang w:val="en-US"/>
        </w:rPr>
        <w:instrText>names</w:instrText>
      </w:r>
      <w:r w:rsidR="006A2B13" w:rsidRPr="006A2B13">
        <w:instrText>":</w:instrText>
      </w:r>
      <w:r w:rsidR="006A2B13">
        <w:rPr>
          <w:lang w:val="en-US"/>
        </w:rPr>
        <w:instrText>false</w:instrText>
      </w:r>
      <w:r w:rsidR="006A2B13" w:rsidRPr="006A2B13">
        <w:instrText>,"</w:instrText>
      </w:r>
      <w:r w:rsidR="006A2B13">
        <w:rPr>
          <w:lang w:val="en-US"/>
        </w:rPr>
        <w:instrText>suffix</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family</w:instrText>
      </w:r>
      <w:r w:rsidR="006A2B13" w:rsidRPr="006A2B13">
        <w:instrText>":"Воробьев","</w:instrText>
      </w:r>
      <w:r w:rsidR="006A2B13">
        <w:rPr>
          <w:lang w:val="en-US"/>
        </w:rPr>
        <w:instrText>given</w:instrText>
      </w:r>
      <w:r w:rsidR="006A2B13" w:rsidRPr="006A2B13">
        <w:instrText>":"И.А.","</w:instrText>
      </w:r>
      <w:r w:rsidR="006A2B13">
        <w:rPr>
          <w:lang w:val="en-US"/>
        </w:rPr>
        <w:instrText>non</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parse</w:instrText>
      </w:r>
      <w:r w:rsidR="006A2B13" w:rsidRPr="006A2B13">
        <w:instrText>-</w:instrText>
      </w:r>
      <w:r w:rsidR="006A2B13">
        <w:rPr>
          <w:lang w:val="en-US"/>
        </w:rPr>
        <w:instrText>names</w:instrText>
      </w:r>
      <w:r w:rsidR="006A2B13" w:rsidRPr="006A2B13">
        <w:instrText>":</w:instrText>
      </w:r>
      <w:r w:rsidR="006A2B13">
        <w:rPr>
          <w:lang w:val="en-US"/>
        </w:rPr>
        <w:instrText>false</w:instrText>
      </w:r>
      <w:r w:rsidR="006A2B13" w:rsidRPr="006A2B13">
        <w:instrText>,"</w:instrText>
      </w:r>
      <w:r w:rsidR="006A2B13">
        <w:rPr>
          <w:lang w:val="en-US"/>
        </w:rPr>
        <w:instrText>suffix</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family</w:instrText>
      </w:r>
      <w:r w:rsidR="006A2B13" w:rsidRPr="006A2B13">
        <w:instrText>":"Воробьев","</w:instrText>
      </w:r>
      <w:r w:rsidR="006A2B13">
        <w:rPr>
          <w:lang w:val="en-US"/>
        </w:rPr>
        <w:instrText>given</w:instrText>
      </w:r>
      <w:r w:rsidR="006A2B13" w:rsidRPr="006A2B13">
        <w:instrText>":"А.И.","</w:instrText>
      </w:r>
      <w:r w:rsidR="006A2B13">
        <w:rPr>
          <w:lang w:val="en-US"/>
        </w:rPr>
        <w:instrText>non</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parse</w:instrText>
      </w:r>
      <w:r w:rsidR="006A2B13" w:rsidRPr="006A2B13">
        <w:instrText>-</w:instrText>
      </w:r>
      <w:r w:rsidR="006A2B13">
        <w:rPr>
          <w:lang w:val="en-US"/>
        </w:rPr>
        <w:instrText>names</w:instrText>
      </w:r>
      <w:r w:rsidR="006A2B13" w:rsidRPr="006A2B13">
        <w:instrText>":</w:instrText>
      </w:r>
      <w:r w:rsidR="006A2B13">
        <w:rPr>
          <w:lang w:val="en-US"/>
        </w:rPr>
        <w:instrText>false</w:instrText>
      </w:r>
      <w:r w:rsidR="006A2B13" w:rsidRPr="006A2B13">
        <w:instrText>,"</w:instrText>
      </w:r>
      <w:r w:rsidR="006A2B13">
        <w:rPr>
          <w:lang w:val="en-US"/>
        </w:rPr>
        <w:instrText>suffix</w:instrText>
      </w:r>
      <w:r w:rsidR="006A2B13" w:rsidRPr="006A2B13">
        <w:instrText>":""}],"</w:instrText>
      </w:r>
      <w:r w:rsidR="006A2B13">
        <w:rPr>
          <w:lang w:val="en-US"/>
        </w:rPr>
        <w:instrText>container</w:instrText>
      </w:r>
      <w:r w:rsidR="006A2B13" w:rsidRPr="006A2B13">
        <w:instrText>-</w:instrText>
      </w:r>
      <w:r w:rsidR="006A2B13">
        <w:rPr>
          <w:lang w:val="en-US"/>
        </w:rPr>
        <w:instrText>title</w:instrText>
      </w:r>
      <w:r w:rsidR="006A2B13" w:rsidRPr="006A2B13">
        <w:instrText>":"Клиническая онкогематология. Фундаментальные исследования и клиническая практика","</w:instrText>
      </w:r>
      <w:r w:rsidR="006A2B13">
        <w:rPr>
          <w:lang w:val="en-US"/>
        </w:rPr>
        <w:instrText>id</w:instrText>
      </w:r>
      <w:r w:rsidR="006A2B13" w:rsidRPr="006A2B13">
        <w:instrText>":"</w:instrText>
      </w:r>
      <w:r w:rsidR="006A2B13">
        <w:rPr>
          <w:lang w:val="en-US"/>
        </w:rPr>
        <w:instrText>ITEM</w:instrText>
      </w:r>
      <w:r w:rsidR="006A2B13" w:rsidRPr="006A2B13">
        <w:instrText>-1","</w:instrText>
      </w:r>
      <w:r w:rsidR="006A2B13">
        <w:rPr>
          <w:lang w:val="en-US"/>
        </w:rPr>
        <w:instrText>issue</w:instrText>
      </w:r>
      <w:r w:rsidR="006A2B13" w:rsidRPr="006A2B13">
        <w:instrText>":"2","</w:instrText>
      </w:r>
      <w:r w:rsidR="006A2B13">
        <w:rPr>
          <w:lang w:val="en-US"/>
        </w:rPr>
        <w:instrText>issued</w:instrText>
      </w:r>
      <w:r w:rsidR="006A2B13" w:rsidRPr="006A2B13">
        <w:instrText>":{"</w:instrText>
      </w:r>
      <w:r w:rsidR="006A2B13">
        <w:rPr>
          <w:lang w:val="en-US"/>
        </w:rPr>
        <w:instrText>date</w:instrText>
      </w:r>
      <w:r w:rsidR="006A2B13" w:rsidRPr="006A2B13">
        <w:instrText>-</w:instrText>
      </w:r>
      <w:r w:rsidR="006A2B13">
        <w:rPr>
          <w:lang w:val="en-US"/>
        </w:rPr>
        <w:instrText>parts</w:instrText>
      </w:r>
      <w:r w:rsidR="006A2B13" w:rsidRPr="006A2B13">
        <w:instrText>":[["2010"]]},"</w:instrText>
      </w:r>
      <w:r w:rsidR="006A2B13">
        <w:rPr>
          <w:lang w:val="en-US"/>
        </w:rPr>
        <w:instrText>page</w:instrText>
      </w:r>
      <w:r w:rsidR="006A2B13" w:rsidRPr="006A2B13">
        <w:instrText>":"138-143","</w:instrText>
      </w:r>
      <w:r w:rsidR="006A2B13">
        <w:rPr>
          <w:lang w:val="en-US"/>
        </w:rPr>
        <w:instrText>title</w:instrText>
      </w:r>
      <w:r w:rsidR="006A2B13" w:rsidRPr="006A2B13">
        <w:instrText>":"Лейкоз/лимфома Беркитта: клинические особенности, диагностические критерии, терапевтическая тактика","</w:instrText>
      </w:r>
      <w:r w:rsidR="006A2B13">
        <w:rPr>
          <w:lang w:val="en-US"/>
        </w:rPr>
        <w:instrText>type</w:instrText>
      </w:r>
      <w:r w:rsidR="006A2B13" w:rsidRPr="006A2B13">
        <w:instrText>":"</w:instrText>
      </w:r>
      <w:r w:rsidR="006A2B13">
        <w:rPr>
          <w:lang w:val="en-US"/>
        </w:rPr>
        <w:instrText>article</w:instrText>
      </w:r>
      <w:r w:rsidR="006A2B13" w:rsidRPr="006A2B13">
        <w:instrText>-</w:instrText>
      </w:r>
      <w:r w:rsidR="006A2B13">
        <w:rPr>
          <w:lang w:val="en-US"/>
        </w:rPr>
        <w:instrText>journal</w:instrText>
      </w:r>
      <w:r w:rsidR="006A2B13" w:rsidRPr="006A2B13">
        <w:instrText>","</w:instrText>
      </w:r>
      <w:r w:rsidR="006A2B13">
        <w:rPr>
          <w:lang w:val="en-US"/>
        </w:rPr>
        <w:instrText>volume</w:instrText>
      </w:r>
      <w:r w:rsidR="006A2B13" w:rsidRPr="006A2B13">
        <w:instrText>":"3"},"</w:instrText>
      </w:r>
      <w:r w:rsidR="006A2B13">
        <w:rPr>
          <w:lang w:val="en-US"/>
        </w:rPr>
        <w:instrText>uris</w:instrText>
      </w:r>
      <w:r w:rsidR="006A2B13" w:rsidRPr="006A2B13">
        <w:instrText>":["</w:instrText>
      </w:r>
      <w:r w:rsidR="006A2B13">
        <w:rPr>
          <w:lang w:val="en-US"/>
        </w:rPr>
        <w:instrText>http</w:instrText>
      </w:r>
      <w:r w:rsidR="006A2B13" w:rsidRPr="006A2B13">
        <w:instrText>://</w:instrText>
      </w:r>
      <w:r w:rsidR="006A2B13">
        <w:rPr>
          <w:lang w:val="en-US"/>
        </w:rPr>
        <w:instrText>www</w:instrText>
      </w:r>
      <w:r w:rsidR="006A2B13" w:rsidRPr="006A2B13">
        <w:instrText>.</w:instrText>
      </w:r>
      <w:r w:rsidR="006A2B13">
        <w:rPr>
          <w:lang w:val="en-US"/>
        </w:rPr>
        <w:instrText>mendeley</w:instrText>
      </w:r>
      <w:r w:rsidR="006A2B13" w:rsidRPr="006A2B13">
        <w:instrText>.</w:instrText>
      </w:r>
      <w:r w:rsidR="006A2B13">
        <w:rPr>
          <w:lang w:val="en-US"/>
        </w:rPr>
        <w:instrText>com</w:instrText>
      </w:r>
      <w:r w:rsidR="006A2B13" w:rsidRPr="006A2B13">
        <w:instrText>/</w:instrText>
      </w:r>
      <w:r w:rsidR="006A2B13">
        <w:rPr>
          <w:lang w:val="en-US"/>
        </w:rPr>
        <w:instrText>documents</w:instrText>
      </w:r>
      <w:r w:rsidR="006A2B13" w:rsidRPr="006A2B13">
        <w:instrText>/?</w:instrText>
      </w:r>
      <w:r w:rsidR="006A2B13">
        <w:rPr>
          <w:lang w:val="en-US"/>
        </w:rPr>
        <w:instrText>uuid</w:instrText>
      </w:r>
      <w:r w:rsidR="006A2B13" w:rsidRPr="006A2B13">
        <w:instrText>=</w:instrText>
      </w:r>
      <w:r w:rsidR="006A2B13">
        <w:rPr>
          <w:lang w:val="en-US"/>
        </w:rPr>
        <w:instrText>ca</w:instrText>
      </w:r>
      <w:r w:rsidR="006A2B13" w:rsidRPr="006A2B13">
        <w:instrText>97</w:instrText>
      </w:r>
      <w:r w:rsidR="006A2B13">
        <w:rPr>
          <w:lang w:val="en-US"/>
        </w:rPr>
        <w:instrText>d</w:instrText>
      </w:r>
      <w:r w:rsidR="006A2B13" w:rsidRPr="006A2B13">
        <w:instrText>2</w:instrText>
      </w:r>
      <w:r w:rsidR="006A2B13">
        <w:rPr>
          <w:lang w:val="en-US"/>
        </w:rPr>
        <w:instrText>c</w:instrText>
      </w:r>
      <w:r w:rsidR="006A2B13" w:rsidRPr="006A2B13">
        <w:instrText>7-6100-4926-</w:instrText>
      </w:r>
      <w:r w:rsidR="006A2B13">
        <w:rPr>
          <w:lang w:val="en-US"/>
        </w:rPr>
        <w:instrText>b</w:instrText>
      </w:r>
      <w:r w:rsidR="006A2B13" w:rsidRPr="006A2B13">
        <w:instrText>460-</w:instrText>
      </w:r>
      <w:r w:rsidR="006A2B13">
        <w:rPr>
          <w:lang w:val="en-US"/>
        </w:rPr>
        <w:instrText>c</w:instrText>
      </w:r>
      <w:r w:rsidR="006A2B13" w:rsidRPr="006A2B13">
        <w:instrText>64743</w:instrText>
      </w:r>
      <w:r w:rsidR="006A2B13">
        <w:rPr>
          <w:lang w:val="en-US"/>
        </w:rPr>
        <w:instrText>fdc</w:instrText>
      </w:r>
      <w:r w:rsidR="006A2B13" w:rsidRPr="006A2B13">
        <w:instrText>29</w:instrText>
      </w:r>
      <w:r w:rsidR="006A2B13">
        <w:rPr>
          <w:lang w:val="en-US"/>
        </w:rPr>
        <w:instrText>b</w:instrText>
      </w:r>
      <w:r w:rsidR="006A2B13" w:rsidRPr="006A2B13">
        <w:instrText>"]}],"</w:instrText>
      </w:r>
      <w:r w:rsidR="006A2B13">
        <w:rPr>
          <w:lang w:val="en-US"/>
        </w:rPr>
        <w:instrText>mendeley</w:instrText>
      </w:r>
      <w:r w:rsidR="006A2B13" w:rsidRPr="006A2B13">
        <w:instrText>":{"</w:instrText>
      </w:r>
      <w:r w:rsidR="006A2B13">
        <w:rPr>
          <w:lang w:val="en-US"/>
        </w:rPr>
        <w:instrText>formattedCitation</w:instrText>
      </w:r>
      <w:r w:rsidR="006A2B13" w:rsidRPr="006A2B13">
        <w:instrText>":"[142]","</w:instrText>
      </w:r>
      <w:r w:rsidR="006A2B13">
        <w:rPr>
          <w:lang w:val="en-US"/>
        </w:rPr>
        <w:instrText>plainTextFormattedCitation</w:instrText>
      </w:r>
      <w:r w:rsidR="006A2B13" w:rsidRPr="006A2B13">
        <w:instrText>":"[142]","</w:instrText>
      </w:r>
      <w:r w:rsidR="006A2B13">
        <w:rPr>
          <w:lang w:val="en-US"/>
        </w:rPr>
        <w:instrText>previouslyFormattedCitation</w:instrText>
      </w:r>
      <w:r w:rsidR="006A2B13" w:rsidRPr="006A2B13">
        <w:instrText>":"[142]"},"</w:instrText>
      </w:r>
      <w:r w:rsidR="006A2B13">
        <w:rPr>
          <w:lang w:val="en-US"/>
        </w:rPr>
        <w:instrText>properties</w:instrText>
      </w:r>
      <w:r w:rsidR="006A2B13" w:rsidRPr="006A2B13">
        <w:instrText>":{"</w:instrText>
      </w:r>
      <w:r w:rsidR="006A2B13">
        <w:rPr>
          <w:lang w:val="en-US"/>
        </w:rPr>
        <w:instrText>noteIndex</w:instrText>
      </w:r>
      <w:r w:rsidR="006A2B13" w:rsidRPr="006A2B13">
        <w:instrText>":0},"</w:instrText>
      </w:r>
      <w:r w:rsidR="006A2B13">
        <w:rPr>
          <w:lang w:val="en-US"/>
        </w:rPr>
        <w:instrText>schema</w:instrText>
      </w:r>
      <w:r w:rsidR="006A2B13" w:rsidRPr="006A2B13">
        <w:instrText>":"</w:instrText>
      </w:r>
      <w:r w:rsidR="006A2B13">
        <w:rPr>
          <w:lang w:val="en-US"/>
        </w:rPr>
        <w:instrText>https</w:instrText>
      </w:r>
      <w:r w:rsidR="006A2B13" w:rsidRPr="006A2B13">
        <w:instrText>://</w:instrText>
      </w:r>
      <w:r w:rsidR="006A2B13">
        <w:rPr>
          <w:lang w:val="en-US"/>
        </w:rPr>
        <w:instrText>github</w:instrText>
      </w:r>
      <w:r w:rsidR="006A2B13" w:rsidRPr="006A2B13">
        <w:instrText>.</w:instrText>
      </w:r>
      <w:r w:rsidR="006A2B13">
        <w:rPr>
          <w:lang w:val="en-US"/>
        </w:rPr>
        <w:instrText>com</w:instrText>
      </w:r>
      <w:r w:rsidR="006A2B13" w:rsidRPr="006A2B13">
        <w:instrText>/</w:instrText>
      </w:r>
      <w:r w:rsidR="006A2B13">
        <w:rPr>
          <w:lang w:val="en-US"/>
        </w:rPr>
        <w:instrText>citation</w:instrText>
      </w:r>
      <w:r w:rsidR="006A2B13" w:rsidRPr="006A2B13">
        <w:instrText>-</w:instrText>
      </w:r>
      <w:r w:rsidR="006A2B13">
        <w:rPr>
          <w:lang w:val="en-US"/>
        </w:rPr>
        <w:instrText>style</w:instrText>
      </w:r>
      <w:r w:rsidR="006A2B13" w:rsidRPr="006A2B13">
        <w:instrText>-</w:instrText>
      </w:r>
      <w:r w:rsidR="006A2B13">
        <w:rPr>
          <w:lang w:val="en-US"/>
        </w:rPr>
        <w:instrText>language</w:instrText>
      </w:r>
      <w:r w:rsidR="006A2B13" w:rsidRPr="006A2B13">
        <w:instrText>/</w:instrText>
      </w:r>
      <w:r w:rsidR="006A2B13">
        <w:rPr>
          <w:lang w:val="en-US"/>
        </w:rPr>
        <w:instrText>schema</w:instrText>
      </w:r>
      <w:r w:rsidR="006A2B13" w:rsidRPr="006A2B13">
        <w:instrText>/</w:instrText>
      </w:r>
      <w:r w:rsidR="006A2B13">
        <w:rPr>
          <w:lang w:val="en-US"/>
        </w:rPr>
        <w:instrText>raw</w:instrText>
      </w:r>
      <w:r w:rsidR="006A2B13" w:rsidRPr="006A2B13">
        <w:instrText>/</w:instrText>
      </w:r>
      <w:r w:rsidR="006A2B13">
        <w:rPr>
          <w:lang w:val="en-US"/>
        </w:rPr>
        <w:instrText>master</w:instrText>
      </w:r>
      <w:r w:rsidR="006A2B13" w:rsidRPr="006A2B13">
        <w:instrText>/</w:instrText>
      </w:r>
      <w:r w:rsidR="006A2B13">
        <w:rPr>
          <w:lang w:val="en-US"/>
        </w:rPr>
        <w:instrText>csl</w:instrText>
      </w:r>
      <w:r w:rsidR="006A2B13" w:rsidRPr="006A2B13">
        <w:instrText>-</w:instrText>
      </w:r>
      <w:r w:rsidR="006A2B13">
        <w:rPr>
          <w:lang w:val="en-US"/>
        </w:rPr>
        <w:instrText>citation</w:instrText>
      </w:r>
      <w:r w:rsidR="006A2B13" w:rsidRPr="006A2B13">
        <w:instrText>.</w:instrText>
      </w:r>
      <w:r w:rsidR="006A2B13">
        <w:rPr>
          <w:lang w:val="en-US"/>
        </w:rPr>
        <w:instrText>json</w:instrText>
      </w:r>
      <w:r w:rsidR="006A2B13" w:rsidRPr="006A2B13">
        <w:instrText>"}</w:instrText>
      </w:r>
      <w:r w:rsidR="00E13065" w:rsidRPr="000322E4">
        <w:fldChar w:fldCharType="separate"/>
      </w:r>
      <w:r w:rsidR="00A6794A" w:rsidRPr="00A6794A">
        <w:rPr>
          <w:noProof/>
        </w:rPr>
        <w:t>[142]</w:t>
      </w:r>
      <w:r w:rsidR="00E13065" w:rsidRPr="000322E4">
        <w:fldChar w:fldCharType="end"/>
      </w:r>
    </w:p>
    <w:p w14:paraId="0BA8A489" w14:textId="77777777" w:rsidR="00666D68" w:rsidRPr="000322E4" w:rsidRDefault="00666D68" w:rsidP="008E3584">
      <w:pPr>
        <w:spacing w:line="360" w:lineRule="auto"/>
        <w:jc w:val="both"/>
      </w:pPr>
      <w:r w:rsidRPr="000322E4">
        <w:t>Схема лечения: предфаза – А – С – А – С.</w:t>
      </w:r>
    </w:p>
    <w:p w14:paraId="5FBCD2C4" w14:textId="77777777" w:rsidR="00666D68" w:rsidRPr="000322E4" w:rsidRDefault="00666D68" w:rsidP="008E3584">
      <w:pPr>
        <w:spacing w:line="360" w:lineRule="auto"/>
        <w:jc w:val="both"/>
        <w:rPr>
          <w:b/>
        </w:rPr>
      </w:pPr>
      <w:r w:rsidRPr="000322E4">
        <w:rPr>
          <w:b/>
        </w:rPr>
        <w:t>Предфаза:</w:t>
      </w:r>
    </w:p>
    <w:p w14:paraId="69EE8F7A" w14:textId="77777777" w:rsidR="00666D68" w:rsidRPr="000322E4" w:rsidRDefault="00666D68" w:rsidP="00A265AD">
      <w:pPr>
        <w:widowControl w:val="0"/>
        <w:numPr>
          <w:ilvl w:val="0"/>
          <w:numId w:val="55"/>
        </w:numPr>
        <w:autoSpaceDE w:val="0"/>
        <w:autoSpaceDN w:val="0"/>
        <w:adjustRightInd w:val="0"/>
        <w:spacing w:line="360" w:lineRule="auto"/>
        <w:jc w:val="both"/>
      </w:pPr>
      <w:r w:rsidRPr="000322E4">
        <w:t>Циклофосфамид** 200 мг/м</w:t>
      </w:r>
      <w:r w:rsidRPr="000322E4">
        <w:rPr>
          <w:vertAlign w:val="superscript"/>
        </w:rPr>
        <w:t>2</w:t>
      </w:r>
      <w:r w:rsidRPr="000322E4">
        <w:t xml:space="preserve"> в/в, 1–5-й дни</w:t>
      </w:r>
    </w:p>
    <w:p w14:paraId="00033934" w14:textId="77777777" w:rsidR="00666D68" w:rsidRPr="000322E4" w:rsidRDefault="00666D68" w:rsidP="00A265AD">
      <w:pPr>
        <w:widowControl w:val="0"/>
        <w:numPr>
          <w:ilvl w:val="0"/>
          <w:numId w:val="55"/>
        </w:numPr>
        <w:autoSpaceDE w:val="0"/>
        <w:autoSpaceDN w:val="0"/>
        <w:adjustRightInd w:val="0"/>
        <w:spacing w:line="360" w:lineRule="auto"/>
        <w:jc w:val="both"/>
      </w:pPr>
      <w:r w:rsidRPr="000322E4">
        <w:t xml:space="preserve">Дексаметазон** </w:t>
      </w:r>
      <w:r w:rsidR="00FE2B46" w:rsidRPr="000322E4">
        <w:t>2</w:t>
      </w:r>
      <w:r w:rsidRPr="000322E4">
        <w:t>0 мг в/в, 1–5-й дни</w:t>
      </w:r>
    </w:p>
    <w:p w14:paraId="16B6395D" w14:textId="77777777" w:rsidR="00666D68" w:rsidRPr="000322E4" w:rsidRDefault="00666D68" w:rsidP="008E3584">
      <w:pPr>
        <w:spacing w:line="360" w:lineRule="auto"/>
        <w:jc w:val="both"/>
      </w:pPr>
      <w:r w:rsidRPr="000322E4">
        <w:rPr>
          <w:b/>
        </w:rPr>
        <w:t>Блок А</w:t>
      </w:r>
      <w:r w:rsidRPr="000322E4">
        <w:t>:</w:t>
      </w:r>
    </w:p>
    <w:p w14:paraId="67C36479" w14:textId="77777777" w:rsidR="00666D68" w:rsidRPr="000322E4" w:rsidRDefault="00666D68" w:rsidP="00A265AD">
      <w:pPr>
        <w:widowControl w:val="0"/>
        <w:numPr>
          <w:ilvl w:val="0"/>
          <w:numId w:val="54"/>
        </w:numPr>
        <w:autoSpaceDE w:val="0"/>
        <w:autoSpaceDN w:val="0"/>
        <w:adjustRightInd w:val="0"/>
        <w:spacing w:line="360" w:lineRule="auto"/>
        <w:jc w:val="both"/>
      </w:pPr>
      <w:r w:rsidRPr="000322E4">
        <w:t>Ифосфамид** 800 мг/м</w:t>
      </w:r>
      <w:r w:rsidRPr="000322E4">
        <w:rPr>
          <w:vertAlign w:val="superscript"/>
        </w:rPr>
        <w:t>2</w:t>
      </w:r>
      <w:r w:rsidRPr="000322E4">
        <w:t xml:space="preserve"> в/в, 1–5-й дни</w:t>
      </w:r>
    </w:p>
    <w:p w14:paraId="4DF26CC1" w14:textId="77777777" w:rsidR="00666D68" w:rsidRPr="000322E4" w:rsidRDefault="00666D68" w:rsidP="00A265AD">
      <w:pPr>
        <w:widowControl w:val="0"/>
        <w:numPr>
          <w:ilvl w:val="0"/>
          <w:numId w:val="54"/>
        </w:numPr>
        <w:autoSpaceDE w:val="0"/>
        <w:autoSpaceDN w:val="0"/>
        <w:adjustRightInd w:val="0"/>
        <w:spacing w:line="360" w:lineRule="auto"/>
        <w:jc w:val="both"/>
      </w:pPr>
      <w:r w:rsidRPr="000322E4">
        <w:t>Метотрексат** 1,5 г/м</w:t>
      </w:r>
      <w:r w:rsidRPr="000322E4">
        <w:rPr>
          <w:vertAlign w:val="superscript"/>
        </w:rPr>
        <w:t>2</w:t>
      </w:r>
      <w:r w:rsidRPr="000322E4">
        <w:t xml:space="preserve"> в/в (в течение 12 ч), 1-й день</w:t>
      </w:r>
    </w:p>
    <w:p w14:paraId="684314C2" w14:textId="77777777" w:rsidR="00666D68" w:rsidRPr="000322E4" w:rsidRDefault="00F35A3E" w:rsidP="00A265AD">
      <w:pPr>
        <w:widowControl w:val="0"/>
        <w:numPr>
          <w:ilvl w:val="0"/>
          <w:numId w:val="54"/>
        </w:numPr>
        <w:autoSpaceDE w:val="0"/>
        <w:autoSpaceDN w:val="0"/>
        <w:adjustRightInd w:val="0"/>
        <w:spacing w:line="360" w:lineRule="auto"/>
        <w:jc w:val="both"/>
      </w:pPr>
      <w:r w:rsidRPr="00F35A3E">
        <w:t>#</w:t>
      </w:r>
      <w:r w:rsidR="00666D68" w:rsidRPr="000322E4">
        <w:t xml:space="preserve">Винкристин** </w:t>
      </w:r>
      <w:r w:rsidR="00FE2B46" w:rsidRPr="000322E4">
        <w:t xml:space="preserve">2 мг </w:t>
      </w:r>
      <w:r w:rsidR="00E13065" w:rsidRPr="000322E4">
        <w:rPr>
          <w:sz w:val="26"/>
          <w:szCs w:val="26"/>
        </w:rPr>
        <w:t>в/в струйно в 1 день</w:t>
      </w:r>
    </w:p>
    <w:p w14:paraId="70803ED9" w14:textId="77777777" w:rsidR="00666D68" w:rsidRPr="000322E4" w:rsidRDefault="00666D68" w:rsidP="00A265AD">
      <w:pPr>
        <w:widowControl w:val="0"/>
        <w:numPr>
          <w:ilvl w:val="0"/>
          <w:numId w:val="54"/>
        </w:numPr>
        <w:autoSpaceDE w:val="0"/>
        <w:autoSpaceDN w:val="0"/>
        <w:adjustRightInd w:val="0"/>
        <w:spacing w:line="360" w:lineRule="auto"/>
        <w:jc w:val="both"/>
      </w:pPr>
      <w:r w:rsidRPr="000322E4">
        <w:t>Доксорубицин** 50 мг/м</w:t>
      </w:r>
      <w:r w:rsidRPr="000322E4">
        <w:rPr>
          <w:vertAlign w:val="superscript"/>
        </w:rPr>
        <w:t>2</w:t>
      </w:r>
      <w:r w:rsidRPr="000322E4">
        <w:t xml:space="preserve"> в/в, 3-й день</w:t>
      </w:r>
    </w:p>
    <w:p w14:paraId="02F80C03" w14:textId="77777777" w:rsidR="00666D68" w:rsidRPr="000322E4" w:rsidRDefault="00666D68" w:rsidP="00A265AD">
      <w:pPr>
        <w:widowControl w:val="0"/>
        <w:numPr>
          <w:ilvl w:val="0"/>
          <w:numId w:val="54"/>
        </w:numPr>
        <w:autoSpaceDE w:val="0"/>
        <w:autoSpaceDN w:val="0"/>
        <w:adjustRightInd w:val="0"/>
        <w:spacing w:line="360" w:lineRule="auto"/>
        <w:jc w:val="both"/>
      </w:pPr>
      <w:r w:rsidRPr="000322E4">
        <w:t>Цитарабин** 150 мг/м</w:t>
      </w:r>
      <w:r w:rsidRPr="000322E4">
        <w:rPr>
          <w:vertAlign w:val="superscript"/>
        </w:rPr>
        <w:t>2</w:t>
      </w:r>
      <w:r w:rsidRPr="000322E4">
        <w:t xml:space="preserve"> в/в каждые 12 ч, 4–5-й дни (всего 4 введения)</w:t>
      </w:r>
    </w:p>
    <w:p w14:paraId="00F18844" w14:textId="77777777" w:rsidR="00666D68" w:rsidRPr="000322E4" w:rsidRDefault="00666D68" w:rsidP="00A265AD">
      <w:pPr>
        <w:widowControl w:val="0"/>
        <w:numPr>
          <w:ilvl w:val="0"/>
          <w:numId w:val="54"/>
        </w:numPr>
        <w:autoSpaceDE w:val="0"/>
        <w:autoSpaceDN w:val="0"/>
        <w:adjustRightInd w:val="0"/>
        <w:spacing w:line="360" w:lineRule="auto"/>
        <w:jc w:val="both"/>
      </w:pPr>
      <w:r w:rsidRPr="000322E4">
        <w:t>Этопозид** 100 мг/м</w:t>
      </w:r>
      <w:r w:rsidRPr="000322E4">
        <w:rPr>
          <w:vertAlign w:val="superscript"/>
        </w:rPr>
        <w:t>2</w:t>
      </w:r>
      <w:r w:rsidRPr="000322E4">
        <w:t xml:space="preserve"> в/в, 4–5-й дни</w:t>
      </w:r>
    </w:p>
    <w:p w14:paraId="4D053C85" w14:textId="77777777" w:rsidR="00666D68" w:rsidRPr="000322E4" w:rsidRDefault="00666D68" w:rsidP="00A265AD">
      <w:pPr>
        <w:widowControl w:val="0"/>
        <w:numPr>
          <w:ilvl w:val="0"/>
          <w:numId w:val="54"/>
        </w:numPr>
        <w:autoSpaceDE w:val="0"/>
        <w:autoSpaceDN w:val="0"/>
        <w:adjustRightInd w:val="0"/>
        <w:spacing w:line="360" w:lineRule="auto"/>
        <w:jc w:val="both"/>
      </w:pPr>
      <w:r w:rsidRPr="000322E4">
        <w:t>Дексаметазон** 10 мг/м</w:t>
      </w:r>
      <w:r w:rsidRPr="000322E4">
        <w:rPr>
          <w:vertAlign w:val="superscript"/>
        </w:rPr>
        <w:t>2</w:t>
      </w:r>
      <w:r w:rsidRPr="000322E4">
        <w:t xml:space="preserve"> в/в, 1–5-й дни</w:t>
      </w:r>
    </w:p>
    <w:p w14:paraId="5CEFA468" w14:textId="77777777" w:rsidR="00666D68" w:rsidRPr="000322E4" w:rsidRDefault="00666D68" w:rsidP="008E3584">
      <w:pPr>
        <w:spacing w:line="360" w:lineRule="auto"/>
        <w:jc w:val="both"/>
        <w:rPr>
          <w:b/>
        </w:rPr>
      </w:pPr>
      <w:r w:rsidRPr="000322E4">
        <w:rPr>
          <w:b/>
        </w:rPr>
        <w:t>Блок С:</w:t>
      </w:r>
    </w:p>
    <w:p w14:paraId="70831EAB" w14:textId="77777777" w:rsidR="00666D68" w:rsidRPr="000322E4" w:rsidRDefault="00666D68" w:rsidP="00A265AD">
      <w:pPr>
        <w:widowControl w:val="0"/>
        <w:numPr>
          <w:ilvl w:val="0"/>
          <w:numId w:val="54"/>
        </w:numPr>
        <w:autoSpaceDE w:val="0"/>
        <w:autoSpaceDN w:val="0"/>
        <w:adjustRightInd w:val="0"/>
        <w:spacing w:line="360" w:lineRule="auto"/>
        <w:jc w:val="both"/>
      </w:pPr>
      <w:r w:rsidRPr="000322E4">
        <w:t>Метотрексат** 1,5 г/м</w:t>
      </w:r>
      <w:r w:rsidRPr="000322E4">
        <w:rPr>
          <w:vertAlign w:val="superscript"/>
        </w:rPr>
        <w:t>2</w:t>
      </w:r>
      <w:r w:rsidRPr="000322E4">
        <w:t xml:space="preserve"> в/в (в течение 12 ч), 1-й день</w:t>
      </w:r>
    </w:p>
    <w:p w14:paraId="713C6DBF" w14:textId="77777777" w:rsidR="00666D68" w:rsidRPr="000322E4" w:rsidRDefault="00666D68" w:rsidP="00A265AD">
      <w:pPr>
        <w:widowControl w:val="0"/>
        <w:numPr>
          <w:ilvl w:val="0"/>
          <w:numId w:val="54"/>
        </w:numPr>
        <w:autoSpaceDE w:val="0"/>
        <w:autoSpaceDN w:val="0"/>
        <w:adjustRightInd w:val="0"/>
        <w:spacing w:line="360" w:lineRule="auto"/>
        <w:jc w:val="both"/>
      </w:pPr>
      <w:r w:rsidRPr="000322E4">
        <w:t xml:space="preserve">Винбластин** </w:t>
      </w:r>
      <w:r w:rsidR="00FE2B46" w:rsidRPr="000322E4">
        <w:t xml:space="preserve">10 </w:t>
      </w:r>
      <w:r w:rsidRPr="000322E4">
        <w:t>мг в/в, 1-й день</w:t>
      </w:r>
    </w:p>
    <w:p w14:paraId="364B1A52" w14:textId="77777777" w:rsidR="00666D68" w:rsidRPr="000322E4" w:rsidRDefault="00666D68" w:rsidP="00A265AD">
      <w:pPr>
        <w:widowControl w:val="0"/>
        <w:numPr>
          <w:ilvl w:val="0"/>
          <w:numId w:val="54"/>
        </w:numPr>
        <w:autoSpaceDE w:val="0"/>
        <w:autoSpaceDN w:val="0"/>
        <w:adjustRightInd w:val="0"/>
        <w:spacing w:line="360" w:lineRule="auto"/>
        <w:jc w:val="both"/>
      </w:pPr>
      <w:r w:rsidRPr="000322E4">
        <w:t>Цитарабин** 2 г/м</w:t>
      </w:r>
      <w:r w:rsidRPr="000322E4">
        <w:rPr>
          <w:vertAlign w:val="superscript"/>
        </w:rPr>
        <w:t>2</w:t>
      </w:r>
      <w:r w:rsidRPr="000322E4">
        <w:t xml:space="preserve"> в/в каждые 12 ч, 2–3-й дни (всего 4 введения)</w:t>
      </w:r>
    </w:p>
    <w:p w14:paraId="7A3D7ED9" w14:textId="77777777" w:rsidR="00666D68" w:rsidRPr="000322E4" w:rsidRDefault="00666D68" w:rsidP="00A265AD">
      <w:pPr>
        <w:widowControl w:val="0"/>
        <w:numPr>
          <w:ilvl w:val="0"/>
          <w:numId w:val="54"/>
        </w:numPr>
        <w:autoSpaceDE w:val="0"/>
        <w:autoSpaceDN w:val="0"/>
        <w:adjustRightInd w:val="0"/>
        <w:spacing w:line="360" w:lineRule="auto"/>
        <w:jc w:val="both"/>
      </w:pPr>
      <w:r w:rsidRPr="000322E4">
        <w:t>Этопозид** 150 мг/м</w:t>
      </w:r>
      <w:r w:rsidRPr="000322E4">
        <w:rPr>
          <w:vertAlign w:val="superscript"/>
        </w:rPr>
        <w:t>2</w:t>
      </w:r>
      <w:r w:rsidRPr="000322E4">
        <w:t xml:space="preserve"> в/в, 3–5-й дни</w:t>
      </w:r>
    </w:p>
    <w:p w14:paraId="24383A7A" w14:textId="77777777" w:rsidR="00666D68" w:rsidRPr="000322E4" w:rsidRDefault="00666D68" w:rsidP="00A265AD">
      <w:pPr>
        <w:widowControl w:val="0"/>
        <w:numPr>
          <w:ilvl w:val="0"/>
          <w:numId w:val="54"/>
        </w:numPr>
        <w:autoSpaceDE w:val="0"/>
        <w:autoSpaceDN w:val="0"/>
        <w:adjustRightInd w:val="0"/>
        <w:spacing w:line="360" w:lineRule="auto"/>
        <w:jc w:val="both"/>
      </w:pPr>
      <w:r w:rsidRPr="000322E4">
        <w:t xml:space="preserve">Дексаметазон** </w:t>
      </w:r>
      <w:r w:rsidR="00FE2B46" w:rsidRPr="000322E4">
        <w:t xml:space="preserve">20 </w:t>
      </w:r>
      <w:r w:rsidRPr="000322E4">
        <w:t>мг в/в, 1–5-й дни</w:t>
      </w:r>
    </w:p>
    <w:p w14:paraId="1C2826AD" w14:textId="4320FF18" w:rsidR="00666D68" w:rsidRPr="000322E4" w:rsidRDefault="00666D68" w:rsidP="008E3584">
      <w:pPr>
        <w:spacing w:line="360" w:lineRule="auto"/>
        <w:jc w:val="both"/>
      </w:pPr>
      <w:r w:rsidRPr="000322E4">
        <w:t>Профилактику нейролейкемии проводят в 1-й день предфазы и в 1-й день каждого блока в виде интратекального введения ХТ: цитарабин** 30 мг, метотрексат** 15 мг</w:t>
      </w:r>
      <w:r w:rsidR="009F6F86">
        <w:t xml:space="preserve"> (кроме беременных женщин)</w:t>
      </w:r>
      <w:r w:rsidRPr="000322E4">
        <w:t>, преднизолон** 30 мг.</w:t>
      </w:r>
    </w:p>
    <w:p w14:paraId="4B6071D8" w14:textId="77777777" w:rsidR="00666D68" w:rsidRPr="000322E4" w:rsidRDefault="00666D68" w:rsidP="008E3584">
      <w:pPr>
        <w:spacing w:line="360" w:lineRule="auto"/>
        <w:jc w:val="both"/>
      </w:pPr>
      <w:r w:rsidRPr="000322E4">
        <w:t>Ритуксимаб** 375 мг/м</w:t>
      </w:r>
      <w:r w:rsidRPr="000322E4">
        <w:rPr>
          <w:vertAlign w:val="superscript"/>
        </w:rPr>
        <w:t>2</w:t>
      </w:r>
      <w:r w:rsidRPr="000322E4">
        <w:t xml:space="preserve"> вводят в 0-й день каждого блока (всего 4 введения) </w:t>
      </w:r>
    </w:p>
    <w:p w14:paraId="4DFC51BF" w14:textId="77777777" w:rsidR="00666D68" w:rsidRPr="000322E4" w:rsidRDefault="00666D68" w:rsidP="008E3584">
      <w:pPr>
        <w:spacing w:line="360" w:lineRule="auto"/>
        <w:jc w:val="both"/>
        <w:rPr>
          <w:b/>
        </w:rPr>
      </w:pPr>
    </w:p>
    <w:p w14:paraId="63D8E3E7" w14:textId="7B61E6E8" w:rsidR="00666D68" w:rsidRPr="0053335B" w:rsidRDefault="00666D68" w:rsidP="008E3584">
      <w:pPr>
        <w:spacing w:line="360" w:lineRule="auto"/>
        <w:jc w:val="both"/>
        <w:rPr>
          <w:b/>
        </w:rPr>
      </w:pPr>
      <w:r w:rsidRPr="000322E4">
        <w:rPr>
          <w:b/>
          <w:lang w:val="en-US"/>
        </w:rPr>
        <w:t>R-Hyper-CVAD/R-HMA</w:t>
      </w:r>
      <w:r w:rsidR="00B7749F" w:rsidRPr="000322E4">
        <w:rPr>
          <w:b/>
          <w:lang w:val="en-US"/>
        </w:rPr>
        <w:t xml:space="preserve"> </w:t>
      </w:r>
      <w:r w:rsidR="00B7749F" w:rsidRPr="000322E4">
        <w:rPr>
          <w:b/>
        </w:rPr>
        <w:fldChar w:fldCharType="begin" w:fldLock="1"/>
      </w:r>
      <w:r w:rsidR="00A6794A">
        <w:rPr>
          <w:b/>
          <w:lang w:val="en-US"/>
        </w:rPr>
        <w:instrText>ADDIN CSL_CITATION {"citationItems":[{"id":"ITEM-1","itemData":{"DOI":"10.1002/cncr.21776","ISSN":"0008543X","abstract":"BACKGROUND. Adult Burkitt-type lymphoma (BL) and acute lymphoblastic leukemia (B-ALL) are rare entities composing 1% to 5% of non-Hodgkin lymphomas NHL) or ALL. Prognosis of BL and B-ALL has been poor with conventional NHL or ALL regimens, but has improved with dose-intensive regimens. METHODS. To evaluate the addition of rituximab, a CD20 monoclonal antibody, to intensive chemotherapy in adults with BL or B-ALL, 31 patients with newly diagnosed BL or B-ALL received the hyper-fractionated cyclophosphamide, vincristine, doxorubicin, and dexamethasone (hyper-CVAD) regimen with rituximab. Their median age was 46 years; 29% were 60 years or older. Rituximab 375 mg/m2 was given on Days 1 and 11 of hyper-CVAD courses and on Days 1 and 8 of methotrexate and cytarabine courses. RESULTS. Complete remission (complete response [CR]) was achieved in 24 of 28 (86%) evaluable patients; 3 had a partial response, and 1 had resistant disease. There were no induction deaths. The 3-year overall survival (OS), event-free survival, and disease-free survival rates were 89%, 80%, and 88%, respectively. Nine elderly patients achieved CR with all of them in continuous CR (except 1 death in CR from infection), with a 3-year OS rate of 89%. Multivariate analysis of current and historical (those treated with hyper-CVAD alone) groups identified age and treatment with rituximab as favorable factors. CONCLUSIONS. The addition of rituximab to hyper-CVAD may improve outcome in adult BL or B-ALL, particularly in elderly patients. © 2006 American Cancer Society.","author":[{"dropping-particle":"","family":"Thomas","given":"Deborah A.","non-dropping-particle":"","parse-names":false,"suffix":""},{"dropping-particle":"","family":"Faderl","given":"Stefan","non-dropping-particle":"","parse-names":false,"suffix":""},{"dropping-particle":"","family":"O'Brien","given":"Susan","non-dropping-particle":"","parse-names":false,"suffix":""},{"dropping-particle":"","family":"Bueso-Ramos","given":"Carlos","non-dropping-particle":"","parse-names":false,"suffix":""},{"dropping-particle":"","family":"Cortes","given":"Jorge","non-dropping-particle":"","parse-names":false,"suffix":""},{"dropping-particle":"","family":"Garcia-Manero","given":"Guillermo","non-dropping-particle":"","parse-names":false,"suffix":""},{"dropping-particle":"","family":"Giles","given":"Francis J.","non-dropping-particle":"","parse-names":false,"suffix":""},{"dropping-particle":"","family":"Verstovsek","given":"Srdan","non-dropping-particle":"","parse-names":false,"suffix":""},{"dropping-particle":"","family":"Wierda","given":"William G.","non-dropping-particle":"","parse-names":false,"suffix</w:instrText>
      </w:r>
      <w:r w:rsidR="00A6794A" w:rsidRPr="00AA43FB">
        <w:rPr>
          <w:b/>
          <w:lang w:val="en-US"/>
        </w:rPr>
        <w:instrText>":""},{"</w:instrText>
      </w:r>
      <w:r w:rsidR="00A6794A">
        <w:rPr>
          <w:b/>
          <w:lang w:val="en-US"/>
        </w:rPr>
        <w:instrText>dropping</w:instrText>
      </w:r>
      <w:r w:rsidR="00A6794A" w:rsidRPr="00AA43FB">
        <w:rPr>
          <w:b/>
          <w:lang w:val="en-US"/>
        </w:rPr>
        <w:instrText>-</w:instrText>
      </w:r>
      <w:r w:rsidR="00A6794A">
        <w:rPr>
          <w:b/>
          <w:lang w:val="en-US"/>
        </w:rPr>
        <w:instrText>particle</w:instrText>
      </w:r>
      <w:r w:rsidR="00A6794A" w:rsidRPr="00AA43FB">
        <w:rPr>
          <w:b/>
          <w:lang w:val="en-US"/>
        </w:rPr>
        <w:instrText>":"","</w:instrText>
      </w:r>
      <w:r w:rsidR="00A6794A">
        <w:rPr>
          <w:b/>
          <w:lang w:val="en-US"/>
        </w:rPr>
        <w:instrText>family</w:instrText>
      </w:r>
      <w:r w:rsidR="00A6794A" w:rsidRPr="00AA43FB">
        <w:rPr>
          <w:b/>
          <w:lang w:val="en-US"/>
        </w:rPr>
        <w:instrText>":"</w:instrText>
      </w:r>
      <w:r w:rsidR="00A6794A">
        <w:rPr>
          <w:b/>
          <w:lang w:val="en-US"/>
        </w:rPr>
        <w:instrText>Pierce</w:instrText>
      </w:r>
      <w:r w:rsidR="00A6794A" w:rsidRPr="00AA43FB">
        <w:rPr>
          <w:b/>
          <w:lang w:val="en-US"/>
        </w:rPr>
        <w:instrText>","</w:instrText>
      </w:r>
      <w:r w:rsidR="00A6794A">
        <w:rPr>
          <w:b/>
          <w:lang w:val="en-US"/>
        </w:rPr>
        <w:instrText>given</w:instrText>
      </w:r>
      <w:r w:rsidR="00A6794A" w:rsidRPr="00AA43FB">
        <w:rPr>
          <w:b/>
          <w:lang w:val="en-US"/>
        </w:rPr>
        <w:instrText>":"</w:instrText>
      </w:r>
      <w:r w:rsidR="00A6794A">
        <w:rPr>
          <w:b/>
          <w:lang w:val="en-US"/>
        </w:rPr>
        <w:instrText>Sherry</w:instrText>
      </w:r>
      <w:r w:rsidR="00A6794A" w:rsidRPr="00AA43FB">
        <w:rPr>
          <w:b/>
          <w:lang w:val="en-US"/>
        </w:rPr>
        <w:instrText xml:space="preserve"> </w:instrText>
      </w:r>
      <w:r w:rsidR="00A6794A">
        <w:rPr>
          <w:b/>
          <w:lang w:val="en-US"/>
        </w:rPr>
        <w:instrText>A</w:instrText>
      </w:r>
      <w:r w:rsidR="00A6794A" w:rsidRPr="00AA43FB">
        <w:rPr>
          <w:b/>
          <w:lang w:val="en-US"/>
        </w:rPr>
        <w:instrText>.","</w:instrText>
      </w:r>
      <w:r w:rsidR="00A6794A">
        <w:rPr>
          <w:b/>
          <w:lang w:val="en-US"/>
        </w:rPr>
        <w:instrText>non</w:instrText>
      </w:r>
      <w:r w:rsidR="00A6794A" w:rsidRPr="00AA43FB">
        <w:rPr>
          <w:b/>
          <w:lang w:val="en-US"/>
        </w:rPr>
        <w:instrText>-</w:instrText>
      </w:r>
      <w:r w:rsidR="00A6794A">
        <w:rPr>
          <w:b/>
          <w:lang w:val="en-US"/>
        </w:rPr>
        <w:instrText>dropping</w:instrText>
      </w:r>
      <w:r w:rsidR="00A6794A" w:rsidRPr="00AA43FB">
        <w:rPr>
          <w:b/>
          <w:lang w:val="en-US"/>
        </w:rPr>
        <w:instrText>-</w:instrText>
      </w:r>
      <w:r w:rsidR="00A6794A">
        <w:rPr>
          <w:b/>
          <w:lang w:val="en-US"/>
        </w:rPr>
        <w:instrText>particle</w:instrText>
      </w:r>
      <w:r w:rsidR="00A6794A" w:rsidRPr="00AA43FB">
        <w:rPr>
          <w:b/>
          <w:lang w:val="en-US"/>
        </w:rPr>
        <w:instrText>":"","</w:instrText>
      </w:r>
      <w:r w:rsidR="00A6794A">
        <w:rPr>
          <w:b/>
          <w:lang w:val="en-US"/>
        </w:rPr>
        <w:instrText>parse</w:instrText>
      </w:r>
      <w:r w:rsidR="00A6794A" w:rsidRPr="00AA43FB">
        <w:rPr>
          <w:b/>
          <w:lang w:val="en-US"/>
        </w:rPr>
        <w:instrText>-</w:instrText>
      </w:r>
      <w:r w:rsidR="00A6794A">
        <w:rPr>
          <w:b/>
          <w:lang w:val="en-US"/>
        </w:rPr>
        <w:instrText>names</w:instrText>
      </w:r>
      <w:r w:rsidR="00A6794A" w:rsidRPr="00AA43FB">
        <w:rPr>
          <w:b/>
          <w:lang w:val="en-US"/>
        </w:rPr>
        <w:instrText>":</w:instrText>
      </w:r>
      <w:r w:rsidR="00A6794A">
        <w:rPr>
          <w:b/>
          <w:lang w:val="en-US"/>
        </w:rPr>
        <w:instrText>false</w:instrText>
      </w:r>
      <w:r w:rsidR="00A6794A" w:rsidRPr="00AA43FB">
        <w:rPr>
          <w:b/>
          <w:lang w:val="en-US"/>
        </w:rPr>
        <w:instrText>,"</w:instrText>
      </w:r>
      <w:r w:rsidR="00A6794A">
        <w:rPr>
          <w:b/>
          <w:lang w:val="en-US"/>
        </w:rPr>
        <w:instrText>suffix</w:instrText>
      </w:r>
      <w:r w:rsidR="00A6794A" w:rsidRPr="00AA43FB">
        <w:rPr>
          <w:b/>
          <w:lang w:val="en-US"/>
        </w:rPr>
        <w:instrText>":""},{"</w:instrText>
      </w:r>
      <w:r w:rsidR="00A6794A">
        <w:rPr>
          <w:b/>
          <w:lang w:val="en-US"/>
        </w:rPr>
        <w:instrText>dropping</w:instrText>
      </w:r>
      <w:r w:rsidR="00A6794A" w:rsidRPr="00AA43FB">
        <w:rPr>
          <w:b/>
          <w:lang w:val="en-US"/>
        </w:rPr>
        <w:instrText>-</w:instrText>
      </w:r>
      <w:r w:rsidR="00A6794A">
        <w:rPr>
          <w:b/>
          <w:lang w:val="en-US"/>
        </w:rPr>
        <w:instrText>particle</w:instrText>
      </w:r>
      <w:r w:rsidR="00A6794A" w:rsidRPr="00AA43FB">
        <w:rPr>
          <w:b/>
          <w:lang w:val="en-US"/>
        </w:rPr>
        <w:instrText>":"","</w:instrText>
      </w:r>
      <w:r w:rsidR="00A6794A">
        <w:rPr>
          <w:b/>
          <w:lang w:val="en-US"/>
        </w:rPr>
        <w:instrText>family</w:instrText>
      </w:r>
      <w:r w:rsidR="00A6794A" w:rsidRPr="00AA43FB">
        <w:rPr>
          <w:b/>
          <w:lang w:val="en-US"/>
        </w:rPr>
        <w:instrText>":"</w:instrText>
      </w:r>
      <w:r w:rsidR="00A6794A">
        <w:rPr>
          <w:b/>
          <w:lang w:val="en-US"/>
        </w:rPr>
        <w:instrText>Shan</w:instrText>
      </w:r>
      <w:r w:rsidR="00A6794A" w:rsidRPr="00AA43FB">
        <w:rPr>
          <w:b/>
          <w:lang w:val="en-US"/>
        </w:rPr>
        <w:instrText>","</w:instrText>
      </w:r>
      <w:r w:rsidR="00A6794A">
        <w:rPr>
          <w:b/>
          <w:lang w:val="en-US"/>
        </w:rPr>
        <w:instrText>given</w:instrText>
      </w:r>
      <w:r w:rsidR="00A6794A" w:rsidRPr="00AA43FB">
        <w:rPr>
          <w:b/>
          <w:lang w:val="en-US"/>
        </w:rPr>
        <w:instrText>":"</w:instrText>
      </w:r>
      <w:r w:rsidR="00A6794A">
        <w:rPr>
          <w:b/>
          <w:lang w:val="en-US"/>
        </w:rPr>
        <w:instrText>Jianqin</w:instrText>
      </w:r>
      <w:r w:rsidR="00A6794A" w:rsidRPr="00AA43FB">
        <w:rPr>
          <w:b/>
          <w:lang w:val="en-US"/>
        </w:rPr>
        <w:instrText>","</w:instrText>
      </w:r>
      <w:r w:rsidR="00A6794A">
        <w:rPr>
          <w:b/>
          <w:lang w:val="en-US"/>
        </w:rPr>
        <w:instrText>non</w:instrText>
      </w:r>
      <w:r w:rsidR="00A6794A" w:rsidRPr="00AA43FB">
        <w:rPr>
          <w:b/>
          <w:lang w:val="en-US"/>
        </w:rPr>
        <w:instrText>-</w:instrText>
      </w:r>
      <w:r w:rsidR="00A6794A">
        <w:rPr>
          <w:b/>
          <w:lang w:val="en-US"/>
        </w:rPr>
        <w:instrText>dropping</w:instrText>
      </w:r>
      <w:r w:rsidR="00A6794A" w:rsidRPr="00AA43FB">
        <w:rPr>
          <w:b/>
          <w:lang w:val="en-US"/>
        </w:rPr>
        <w:instrText>-</w:instrText>
      </w:r>
      <w:r w:rsidR="00A6794A">
        <w:rPr>
          <w:b/>
          <w:lang w:val="en-US"/>
        </w:rPr>
        <w:instrText>particle</w:instrText>
      </w:r>
      <w:r w:rsidR="00A6794A" w:rsidRPr="00D3550C">
        <w:rPr>
          <w:b/>
        </w:rPr>
        <w:instrText>":"","</w:instrText>
      </w:r>
      <w:r w:rsidR="00A6794A">
        <w:rPr>
          <w:b/>
          <w:lang w:val="en-US"/>
        </w:rPr>
        <w:instrText>parse</w:instrText>
      </w:r>
      <w:r w:rsidR="00A6794A" w:rsidRPr="00D3550C">
        <w:rPr>
          <w:b/>
        </w:rPr>
        <w:instrText>-</w:instrText>
      </w:r>
      <w:r w:rsidR="00A6794A">
        <w:rPr>
          <w:b/>
          <w:lang w:val="en-US"/>
        </w:rPr>
        <w:instrText>names</w:instrText>
      </w:r>
      <w:r w:rsidR="00A6794A" w:rsidRPr="00D3550C">
        <w:rPr>
          <w:b/>
        </w:rPr>
        <w:instrText>":</w:instrText>
      </w:r>
      <w:r w:rsidR="00A6794A">
        <w:rPr>
          <w:b/>
          <w:lang w:val="en-US"/>
        </w:rPr>
        <w:instrText>false</w:instrText>
      </w:r>
      <w:r w:rsidR="00A6794A" w:rsidRPr="00D3550C">
        <w:rPr>
          <w:b/>
        </w:rPr>
        <w:instrText>,"</w:instrText>
      </w:r>
      <w:r w:rsidR="00A6794A">
        <w:rPr>
          <w:b/>
          <w:lang w:val="en-US"/>
        </w:rPr>
        <w:instrText>suffix</w:instrText>
      </w:r>
      <w:r w:rsidR="00A6794A" w:rsidRPr="00D3550C">
        <w:rPr>
          <w:b/>
        </w:rPr>
        <w:instrText>":""},{"</w:instrText>
      </w:r>
      <w:r w:rsidR="00A6794A">
        <w:rPr>
          <w:b/>
          <w:lang w:val="en-US"/>
        </w:rPr>
        <w:instrText>dropping</w:instrText>
      </w:r>
      <w:r w:rsidR="00A6794A" w:rsidRPr="00D3550C">
        <w:rPr>
          <w:b/>
        </w:rPr>
        <w:instrText>-</w:instrText>
      </w:r>
      <w:r w:rsidR="00A6794A">
        <w:rPr>
          <w:b/>
          <w:lang w:val="en-US"/>
        </w:rPr>
        <w:instrText>particle</w:instrText>
      </w:r>
      <w:r w:rsidR="00A6794A" w:rsidRPr="00D3550C">
        <w:rPr>
          <w:b/>
        </w:rPr>
        <w:instrText>":"","</w:instrText>
      </w:r>
      <w:r w:rsidR="00A6794A">
        <w:rPr>
          <w:b/>
          <w:lang w:val="en-US"/>
        </w:rPr>
        <w:instrText>family</w:instrText>
      </w:r>
      <w:r w:rsidR="00A6794A" w:rsidRPr="00D3550C">
        <w:rPr>
          <w:b/>
        </w:rPr>
        <w:instrText>":"</w:instrText>
      </w:r>
      <w:r w:rsidR="00A6794A">
        <w:rPr>
          <w:b/>
          <w:lang w:val="en-US"/>
        </w:rPr>
        <w:instrText>Brandt</w:instrText>
      </w:r>
      <w:r w:rsidR="00A6794A" w:rsidRPr="00D3550C">
        <w:rPr>
          <w:b/>
        </w:rPr>
        <w:instrText>","</w:instrText>
      </w:r>
      <w:r w:rsidR="00A6794A">
        <w:rPr>
          <w:b/>
          <w:lang w:val="en-US"/>
        </w:rPr>
        <w:instrText>given</w:instrText>
      </w:r>
      <w:r w:rsidR="00A6794A" w:rsidRPr="00D3550C">
        <w:rPr>
          <w:b/>
        </w:rPr>
        <w:instrText>":"</w:instrText>
      </w:r>
      <w:r w:rsidR="00A6794A">
        <w:rPr>
          <w:b/>
          <w:lang w:val="en-US"/>
        </w:rPr>
        <w:instrText>Mark</w:instrText>
      </w:r>
      <w:r w:rsidR="00A6794A" w:rsidRPr="00D3550C">
        <w:rPr>
          <w:b/>
        </w:rPr>
        <w:instrText>","</w:instrText>
      </w:r>
      <w:r w:rsidR="00A6794A">
        <w:rPr>
          <w:b/>
          <w:lang w:val="en-US"/>
        </w:rPr>
        <w:instrText>non</w:instrText>
      </w:r>
      <w:r w:rsidR="00A6794A" w:rsidRPr="00D3550C">
        <w:rPr>
          <w:b/>
        </w:rPr>
        <w:instrText>-</w:instrText>
      </w:r>
      <w:r w:rsidR="00A6794A">
        <w:rPr>
          <w:b/>
          <w:lang w:val="en-US"/>
        </w:rPr>
        <w:instrText>dropping</w:instrText>
      </w:r>
      <w:r w:rsidR="00A6794A" w:rsidRPr="00D3550C">
        <w:rPr>
          <w:b/>
        </w:rPr>
        <w:instrText>-</w:instrText>
      </w:r>
      <w:r w:rsidR="00A6794A">
        <w:rPr>
          <w:b/>
          <w:lang w:val="en-US"/>
        </w:rPr>
        <w:instrText>particle</w:instrText>
      </w:r>
      <w:r w:rsidR="00A6794A" w:rsidRPr="00D3550C">
        <w:rPr>
          <w:b/>
        </w:rPr>
        <w:instrText>":"","</w:instrText>
      </w:r>
      <w:r w:rsidR="00A6794A">
        <w:rPr>
          <w:b/>
          <w:lang w:val="en-US"/>
        </w:rPr>
        <w:instrText>parse</w:instrText>
      </w:r>
      <w:r w:rsidR="00A6794A" w:rsidRPr="00D3550C">
        <w:rPr>
          <w:b/>
        </w:rPr>
        <w:instrText>-</w:instrText>
      </w:r>
      <w:r w:rsidR="00A6794A">
        <w:rPr>
          <w:b/>
          <w:lang w:val="en-US"/>
        </w:rPr>
        <w:instrText>names</w:instrText>
      </w:r>
      <w:r w:rsidR="00A6794A" w:rsidRPr="00D3550C">
        <w:rPr>
          <w:b/>
        </w:rPr>
        <w:instrText>":</w:instrText>
      </w:r>
      <w:r w:rsidR="00A6794A">
        <w:rPr>
          <w:b/>
          <w:lang w:val="en-US"/>
        </w:rPr>
        <w:instrText>false</w:instrText>
      </w:r>
      <w:r w:rsidR="00A6794A" w:rsidRPr="00D3550C">
        <w:rPr>
          <w:b/>
        </w:rPr>
        <w:instrText>,"</w:instrText>
      </w:r>
      <w:r w:rsidR="00A6794A">
        <w:rPr>
          <w:b/>
          <w:lang w:val="en-US"/>
        </w:rPr>
        <w:instrText>suffix</w:instrText>
      </w:r>
      <w:r w:rsidR="00A6794A" w:rsidRPr="00D3550C">
        <w:rPr>
          <w:b/>
        </w:rPr>
        <w:instrText>":""},{"</w:instrText>
      </w:r>
      <w:r w:rsidR="00A6794A">
        <w:rPr>
          <w:b/>
          <w:lang w:val="en-US"/>
        </w:rPr>
        <w:instrText>dropping</w:instrText>
      </w:r>
      <w:r w:rsidR="00A6794A" w:rsidRPr="00D3550C">
        <w:rPr>
          <w:b/>
        </w:rPr>
        <w:instrText>-</w:instrText>
      </w:r>
      <w:r w:rsidR="00A6794A">
        <w:rPr>
          <w:b/>
          <w:lang w:val="en-US"/>
        </w:rPr>
        <w:instrText>particle</w:instrText>
      </w:r>
      <w:r w:rsidR="00A6794A" w:rsidRPr="00D3550C">
        <w:rPr>
          <w:b/>
        </w:rPr>
        <w:instrText>":"","</w:instrText>
      </w:r>
      <w:r w:rsidR="00A6794A">
        <w:rPr>
          <w:b/>
          <w:lang w:val="en-US"/>
        </w:rPr>
        <w:instrText>family</w:instrText>
      </w:r>
      <w:r w:rsidR="00A6794A" w:rsidRPr="00D3550C">
        <w:rPr>
          <w:b/>
        </w:rPr>
        <w:instrText>":"</w:instrText>
      </w:r>
      <w:r w:rsidR="00A6794A">
        <w:rPr>
          <w:b/>
          <w:lang w:val="en-US"/>
        </w:rPr>
        <w:instrText>Hagemeister</w:instrText>
      </w:r>
      <w:r w:rsidR="00A6794A" w:rsidRPr="00D3550C">
        <w:rPr>
          <w:b/>
        </w:rPr>
        <w:instrText>","</w:instrText>
      </w:r>
      <w:r w:rsidR="00A6794A">
        <w:rPr>
          <w:b/>
          <w:lang w:val="en-US"/>
        </w:rPr>
        <w:instrText>given</w:instrText>
      </w:r>
      <w:r w:rsidR="00A6794A" w:rsidRPr="00D3550C">
        <w:rPr>
          <w:b/>
        </w:rPr>
        <w:instrText>":"</w:instrText>
      </w:r>
      <w:r w:rsidR="00A6794A">
        <w:rPr>
          <w:b/>
          <w:lang w:val="en-US"/>
        </w:rPr>
        <w:instrText>Fredrick</w:instrText>
      </w:r>
      <w:r w:rsidR="00A6794A" w:rsidRPr="00D3550C">
        <w:rPr>
          <w:b/>
        </w:rPr>
        <w:instrText xml:space="preserve"> </w:instrText>
      </w:r>
      <w:r w:rsidR="00A6794A">
        <w:rPr>
          <w:b/>
          <w:lang w:val="en-US"/>
        </w:rPr>
        <w:instrText>B</w:instrText>
      </w:r>
      <w:r w:rsidR="00A6794A" w:rsidRPr="00D3550C">
        <w:rPr>
          <w:b/>
        </w:rPr>
        <w:instrText>.","</w:instrText>
      </w:r>
      <w:r w:rsidR="00A6794A">
        <w:rPr>
          <w:b/>
          <w:lang w:val="en-US"/>
        </w:rPr>
        <w:instrText>non</w:instrText>
      </w:r>
      <w:r w:rsidR="00A6794A" w:rsidRPr="00D3550C">
        <w:rPr>
          <w:b/>
        </w:rPr>
        <w:instrText>-</w:instrText>
      </w:r>
      <w:r w:rsidR="00A6794A">
        <w:rPr>
          <w:b/>
          <w:lang w:val="en-US"/>
        </w:rPr>
        <w:instrText>dropping</w:instrText>
      </w:r>
      <w:r w:rsidR="00A6794A" w:rsidRPr="00D3550C">
        <w:rPr>
          <w:b/>
        </w:rPr>
        <w:instrText>-</w:instrText>
      </w:r>
      <w:r w:rsidR="00A6794A">
        <w:rPr>
          <w:b/>
          <w:lang w:val="en-US"/>
        </w:rPr>
        <w:instrText>particle</w:instrText>
      </w:r>
      <w:r w:rsidR="00A6794A" w:rsidRPr="00D3550C">
        <w:rPr>
          <w:b/>
        </w:rPr>
        <w:instrText>":"","</w:instrText>
      </w:r>
      <w:r w:rsidR="00A6794A">
        <w:rPr>
          <w:b/>
          <w:lang w:val="en-US"/>
        </w:rPr>
        <w:instrText>parse</w:instrText>
      </w:r>
      <w:r w:rsidR="00A6794A" w:rsidRPr="00D3550C">
        <w:rPr>
          <w:b/>
        </w:rPr>
        <w:instrText>-</w:instrText>
      </w:r>
      <w:r w:rsidR="00A6794A">
        <w:rPr>
          <w:b/>
          <w:lang w:val="en-US"/>
        </w:rPr>
        <w:instrText>names</w:instrText>
      </w:r>
      <w:r w:rsidR="00A6794A" w:rsidRPr="00D3550C">
        <w:rPr>
          <w:b/>
        </w:rPr>
        <w:instrText>":</w:instrText>
      </w:r>
      <w:r w:rsidR="00A6794A">
        <w:rPr>
          <w:b/>
          <w:lang w:val="en-US"/>
        </w:rPr>
        <w:instrText>false</w:instrText>
      </w:r>
      <w:r w:rsidR="00A6794A" w:rsidRPr="00D3550C">
        <w:rPr>
          <w:b/>
        </w:rPr>
        <w:instrText>,"</w:instrText>
      </w:r>
      <w:r w:rsidR="00A6794A">
        <w:rPr>
          <w:b/>
          <w:lang w:val="en-US"/>
        </w:rPr>
        <w:instrText>suffix</w:instrText>
      </w:r>
      <w:r w:rsidR="00A6794A" w:rsidRPr="00D3550C">
        <w:rPr>
          <w:b/>
        </w:rPr>
        <w:instrText>":""},{"</w:instrText>
      </w:r>
      <w:r w:rsidR="00A6794A">
        <w:rPr>
          <w:b/>
          <w:lang w:val="en-US"/>
        </w:rPr>
        <w:instrText>dropping</w:instrText>
      </w:r>
      <w:r w:rsidR="00A6794A" w:rsidRPr="00D3550C">
        <w:rPr>
          <w:b/>
        </w:rPr>
        <w:instrText>-</w:instrText>
      </w:r>
      <w:r w:rsidR="00A6794A">
        <w:rPr>
          <w:b/>
          <w:lang w:val="en-US"/>
        </w:rPr>
        <w:instrText>particle</w:instrText>
      </w:r>
      <w:r w:rsidR="00A6794A" w:rsidRPr="00D3550C">
        <w:rPr>
          <w:b/>
        </w:rPr>
        <w:instrText>":"","</w:instrText>
      </w:r>
      <w:r w:rsidR="00A6794A">
        <w:rPr>
          <w:b/>
          <w:lang w:val="en-US"/>
        </w:rPr>
        <w:instrText>family</w:instrText>
      </w:r>
      <w:r w:rsidR="00A6794A" w:rsidRPr="00D3550C">
        <w:rPr>
          <w:b/>
        </w:rPr>
        <w:instrText>":"</w:instrText>
      </w:r>
      <w:r w:rsidR="00A6794A">
        <w:rPr>
          <w:b/>
          <w:lang w:val="en-US"/>
        </w:rPr>
        <w:instrText>Keating</w:instrText>
      </w:r>
      <w:r w:rsidR="00A6794A" w:rsidRPr="00D3550C">
        <w:rPr>
          <w:b/>
        </w:rPr>
        <w:instrText>","</w:instrText>
      </w:r>
      <w:r w:rsidR="00A6794A">
        <w:rPr>
          <w:b/>
          <w:lang w:val="en-US"/>
        </w:rPr>
        <w:instrText>given</w:instrText>
      </w:r>
      <w:r w:rsidR="00A6794A" w:rsidRPr="00D3550C">
        <w:rPr>
          <w:b/>
        </w:rPr>
        <w:instrText>":"</w:instrText>
      </w:r>
      <w:r w:rsidR="00A6794A">
        <w:rPr>
          <w:b/>
          <w:lang w:val="en-US"/>
        </w:rPr>
        <w:instrText>Michael</w:instrText>
      </w:r>
      <w:r w:rsidR="00A6794A" w:rsidRPr="00D3550C">
        <w:rPr>
          <w:b/>
        </w:rPr>
        <w:instrText xml:space="preserve"> </w:instrText>
      </w:r>
      <w:r w:rsidR="00A6794A">
        <w:rPr>
          <w:b/>
          <w:lang w:val="en-US"/>
        </w:rPr>
        <w:instrText>J</w:instrText>
      </w:r>
      <w:r w:rsidR="00A6794A" w:rsidRPr="00D3550C">
        <w:rPr>
          <w:b/>
        </w:rPr>
        <w:instrText>.","</w:instrText>
      </w:r>
      <w:r w:rsidR="00A6794A">
        <w:rPr>
          <w:b/>
          <w:lang w:val="en-US"/>
        </w:rPr>
        <w:instrText>non</w:instrText>
      </w:r>
      <w:r w:rsidR="00A6794A" w:rsidRPr="00D3550C">
        <w:rPr>
          <w:b/>
        </w:rPr>
        <w:instrText>-</w:instrText>
      </w:r>
      <w:r w:rsidR="00A6794A">
        <w:rPr>
          <w:b/>
          <w:lang w:val="en-US"/>
        </w:rPr>
        <w:instrText>dropping</w:instrText>
      </w:r>
      <w:r w:rsidR="00A6794A" w:rsidRPr="00D3550C">
        <w:rPr>
          <w:b/>
        </w:rPr>
        <w:instrText>-</w:instrText>
      </w:r>
      <w:r w:rsidR="00A6794A">
        <w:rPr>
          <w:b/>
          <w:lang w:val="en-US"/>
        </w:rPr>
        <w:instrText>particle</w:instrText>
      </w:r>
      <w:r w:rsidR="00A6794A" w:rsidRPr="00D3550C">
        <w:rPr>
          <w:b/>
        </w:rPr>
        <w:instrText>":"","</w:instrText>
      </w:r>
      <w:r w:rsidR="00A6794A">
        <w:rPr>
          <w:b/>
          <w:lang w:val="en-US"/>
        </w:rPr>
        <w:instrText>parse</w:instrText>
      </w:r>
      <w:r w:rsidR="00A6794A" w:rsidRPr="00D3550C">
        <w:rPr>
          <w:b/>
        </w:rPr>
        <w:instrText>-</w:instrText>
      </w:r>
      <w:r w:rsidR="00A6794A">
        <w:rPr>
          <w:b/>
          <w:lang w:val="en-US"/>
        </w:rPr>
        <w:instrText>names</w:instrText>
      </w:r>
      <w:r w:rsidR="00A6794A" w:rsidRPr="00D3550C">
        <w:rPr>
          <w:b/>
        </w:rPr>
        <w:instrText>":</w:instrText>
      </w:r>
      <w:r w:rsidR="00A6794A">
        <w:rPr>
          <w:b/>
          <w:lang w:val="en-US"/>
        </w:rPr>
        <w:instrText>false</w:instrText>
      </w:r>
      <w:r w:rsidR="00A6794A" w:rsidRPr="00D3550C">
        <w:rPr>
          <w:b/>
        </w:rPr>
        <w:instrText>,"</w:instrText>
      </w:r>
      <w:r w:rsidR="00A6794A">
        <w:rPr>
          <w:b/>
          <w:lang w:val="en-US"/>
        </w:rPr>
        <w:instrText>suffix</w:instrText>
      </w:r>
      <w:r w:rsidR="00A6794A" w:rsidRPr="00D3550C">
        <w:rPr>
          <w:b/>
        </w:rPr>
        <w:instrText>":""},{"</w:instrText>
      </w:r>
      <w:r w:rsidR="00A6794A">
        <w:rPr>
          <w:b/>
          <w:lang w:val="en-US"/>
        </w:rPr>
        <w:instrText>dropping</w:instrText>
      </w:r>
      <w:r w:rsidR="00A6794A" w:rsidRPr="00D3550C">
        <w:rPr>
          <w:b/>
        </w:rPr>
        <w:instrText>-</w:instrText>
      </w:r>
      <w:r w:rsidR="00A6794A">
        <w:rPr>
          <w:b/>
          <w:lang w:val="en-US"/>
        </w:rPr>
        <w:instrText>particle</w:instrText>
      </w:r>
      <w:r w:rsidR="00A6794A" w:rsidRPr="00D3550C">
        <w:rPr>
          <w:b/>
        </w:rPr>
        <w:instrText>":"","</w:instrText>
      </w:r>
      <w:r w:rsidR="00A6794A">
        <w:rPr>
          <w:b/>
          <w:lang w:val="en-US"/>
        </w:rPr>
        <w:instrText>family</w:instrText>
      </w:r>
      <w:r w:rsidR="00A6794A" w:rsidRPr="00D3550C">
        <w:rPr>
          <w:b/>
        </w:rPr>
        <w:instrText>":"</w:instrText>
      </w:r>
      <w:r w:rsidR="00A6794A">
        <w:rPr>
          <w:b/>
          <w:lang w:val="en-US"/>
        </w:rPr>
        <w:instrText>Cabanillas</w:instrText>
      </w:r>
      <w:r w:rsidR="00A6794A" w:rsidRPr="00D3550C">
        <w:rPr>
          <w:b/>
        </w:rPr>
        <w:instrText>","</w:instrText>
      </w:r>
      <w:r w:rsidR="00A6794A">
        <w:rPr>
          <w:b/>
          <w:lang w:val="en-US"/>
        </w:rPr>
        <w:instrText>given</w:instrText>
      </w:r>
      <w:r w:rsidR="00A6794A" w:rsidRPr="00D3550C">
        <w:rPr>
          <w:b/>
        </w:rPr>
        <w:instrText>":"</w:instrText>
      </w:r>
      <w:r w:rsidR="00A6794A">
        <w:rPr>
          <w:b/>
          <w:lang w:val="en-US"/>
        </w:rPr>
        <w:instrText>Fernando</w:instrText>
      </w:r>
      <w:r w:rsidR="00A6794A" w:rsidRPr="00D3550C">
        <w:rPr>
          <w:b/>
        </w:rPr>
        <w:instrText>","</w:instrText>
      </w:r>
      <w:r w:rsidR="00A6794A">
        <w:rPr>
          <w:b/>
          <w:lang w:val="en-US"/>
        </w:rPr>
        <w:instrText>non</w:instrText>
      </w:r>
      <w:r w:rsidR="00A6794A" w:rsidRPr="00D3550C">
        <w:rPr>
          <w:b/>
        </w:rPr>
        <w:instrText>-</w:instrText>
      </w:r>
      <w:r w:rsidR="00A6794A">
        <w:rPr>
          <w:b/>
          <w:lang w:val="en-US"/>
        </w:rPr>
        <w:instrText>dropping</w:instrText>
      </w:r>
      <w:r w:rsidR="00A6794A" w:rsidRPr="00D3550C">
        <w:rPr>
          <w:b/>
        </w:rPr>
        <w:instrText>-</w:instrText>
      </w:r>
      <w:r w:rsidR="00A6794A">
        <w:rPr>
          <w:b/>
          <w:lang w:val="en-US"/>
        </w:rPr>
        <w:instrText>particle</w:instrText>
      </w:r>
      <w:r w:rsidR="00A6794A" w:rsidRPr="00D3550C">
        <w:rPr>
          <w:b/>
        </w:rPr>
        <w:instrText>":"","</w:instrText>
      </w:r>
      <w:r w:rsidR="00A6794A">
        <w:rPr>
          <w:b/>
          <w:lang w:val="en-US"/>
        </w:rPr>
        <w:instrText>parse</w:instrText>
      </w:r>
      <w:r w:rsidR="00A6794A" w:rsidRPr="00D3550C">
        <w:rPr>
          <w:b/>
        </w:rPr>
        <w:instrText>-</w:instrText>
      </w:r>
      <w:r w:rsidR="00A6794A">
        <w:rPr>
          <w:b/>
          <w:lang w:val="en-US"/>
        </w:rPr>
        <w:instrText>names</w:instrText>
      </w:r>
      <w:r w:rsidR="00A6794A" w:rsidRPr="00D3550C">
        <w:rPr>
          <w:b/>
        </w:rPr>
        <w:instrText>":</w:instrText>
      </w:r>
      <w:r w:rsidR="00A6794A">
        <w:rPr>
          <w:b/>
          <w:lang w:val="en-US"/>
        </w:rPr>
        <w:instrText>false</w:instrText>
      </w:r>
      <w:r w:rsidR="00A6794A" w:rsidRPr="00D3550C">
        <w:rPr>
          <w:b/>
        </w:rPr>
        <w:instrText>,"</w:instrText>
      </w:r>
      <w:r w:rsidR="00A6794A">
        <w:rPr>
          <w:b/>
          <w:lang w:val="en-US"/>
        </w:rPr>
        <w:instrText>suffix</w:instrText>
      </w:r>
      <w:r w:rsidR="00A6794A" w:rsidRPr="00D3550C">
        <w:rPr>
          <w:b/>
        </w:rPr>
        <w:instrText>":""},{"</w:instrText>
      </w:r>
      <w:r w:rsidR="00A6794A">
        <w:rPr>
          <w:b/>
          <w:lang w:val="en-US"/>
        </w:rPr>
        <w:instrText>dropping</w:instrText>
      </w:r>
      <w:r w:rsidR="00A6794A" w:rsidRPr="00D3550C">
        <w:rPr>
          <w:b/>
        </w:rPr>
        <w:instrText>-</w:instrText>
      </w:r>
      <w:r w:rsidR="00A6794A">
        <w:rPr>
          <w:b/>
          <w:lang w:val="en-US"/>
        </w:rPr>
        <w:instrText>particle</w:instrText>
      </w:r>
      <w:r w:rsidR="00A6794A" w:rsidRPr="00D3550C">
        <w:rPr>
          <w:b/>
        </w:rPr>
        <w:instrText>":"","</w:instrText>
      </w:r>
      <w:r w:rsidR="00A6794A">
        <w:rPr>
          <w:b/>
          <w:lang w:val="en-US"/>
        </w:rPr>
        <w:instrText>family</w:instrText>
      </w:r>
      <w:r w:rsidR="00A6794A" w:rsidRPr="00D3550C">
        <w:rPr>
          <w:b/>
        </w:rPr>
        <w:instrText>":"</w:instrText>
      </w:r>
      <w:r w:rsidR="00A6794A">
        <w:rPr>
          <w:b/>
          <w:lang w:val="en-US"/>
        </w:rPr>
        <w:instrText>Kantarjian</w:instrText>
      </w:r>
      <w:r w:rsidR="00A6794A" w:rsidRPr="00D3550C">
        <w:rPr>
          <w:b/>
        </w:rPr>
        <w:instrText>","</w:instrText>
      </w:r>
      <w:r w:rsidR="00A6794A">
        <w:rPr>
          <w:b/>
          <w:lang w:val="en-US"/>
        </w:rPr>
        <w:instrText>given</w:instrText>
      </w:r>
      <w:r w:rsidR="00A6794A" w:rsidRPr="00D3550C">
        <w:rPr>
          <w:b/>
        </w:rPr>
        <w:instrText>":"</w:instrText>
      </w:r>
      <w:r w:rsidR="00A6794A">
        <w:rPr>
          <w:b/>
          <w:lang w:val="en-US"/>
        </w:rPr>
        <w:instrText>Hagop</w:instrText>
      </w:r>
      <w:r w:rsidR="00A6794A" w:rsidRPr="00D3550C">
        <w:rPr>
          <w:b/>
        </w:rPr>
        <w:instrText>","</w:instrText>
      </w:r>
      <w:r w:rsidR="00A6794A">
        <w:rPr>
          <w:b/>
          <w:lang w:val="en-US"/>
        </w:rPr>
        <w:instrText>non</w:instrText>
      </w:r>
      <w:r w:rsidR="00A6794A" w:rsidRPr="00D3550C">
        <w:rPr>
          <w:b/>
        </w:rPr>
        <w:instrText>-</w:instrText>
      </w:r>
      <w:r w:rsidR="00A6794A">
        <w:rPr>
          <w:b/>
          <w:lang w:val="en-US"/>
        </w:rPr>
        <w:instrText>dropping</w:instrText>
      </w:r>
      <w:r w:rsidR="00A6794A" w:rsidRPr="00D3550C">
        <w:rPr>
          <w:b/>
        </w:rPr>
        <w:instrText>-</w:instrText>
      </w:r>
      <w:r w:rsidR="00A6794A">
        <w:rPr>
          <w:b/>
          <w:lang w:val="en-US"/>
        </w:rPr>
        <w:instrText>particle</w:instrText>
      </w:r>
      <w:r w:rsidR="00A6794A" w:rsidRPr="00D3550C">
        <w:rPr>
          <w:b/>
        </w:rPr>
        <w:instrText>":"","</w:instrText>
      </w:r>
      <w:r w:rsidR="00A6794A">
        <w:rPr>
          <w:b/>
          <w:lang w:val="en-US"/>
        </w:rPr>
        <w:instrText>parse</w:instrText>
      </w:r>
      <w:r w:rsidR="00A6794A" w:rsidRPr="00D3550C">
        <w:rPr>
          <w:b/>
        </w:rPr>
        <w:instrText>-</w:instrText>
      </w:r>
      <w:r w:rsidR="00A6794A">
        <w:rPr>
          <w:b/>
          <w:lang w:val="en-US"/>
        </w:rPr>
        <w:instrText>names</w:instrText>
      </w:r>
      <w:r w:rsidR="00A6794A" w:rsidRPr="00D3550C">
        <w:rPr>
          <w:b/>
        </w:rPr>
        <w:instrText>":</w:instrText>
      </w:r>
      <w:r w:rsidR="00A6794A">
        <w:rPr>
          <w:b/>
          <w:lang w:val="en-US"/>
        </w:rPr>
        <w:instrText>false</w:instrText>
      </w:r>
      <w:r w:rsidR="00A6794A" w:rsidRPr="00D3550C">
        <w:rPr>
          <w:b/>
        </w:rPr>
        <w:instrText>,"</w:instrText>
      </w:r>
      <w:r w:rsidR="00A6794A">
        <w:rPr>
          <w:b/>
          <w:lang w:val="en-US"/>
        </w:rPr>
        <w:instrText>suffix</w:instrText>
      </w:r>
      <w:r w:rsidR="00A6794A" w:rsidRPr="00D3550C">
        <w:rPr>
          <w:b/>
        </w:rPr>
        <w:instrText>":""}],"</w:instrText>
      </w:r>
      <w:r w:rsidR="00A6794A">
        <w:rPr>
          <w:b/>
          <w:lang w:val="en-US"/>
        </w:rPr>
        <w:instrText>container</w:instrText>
      </w:r>
      <w:r w:rsidR="00A6794A" w:rsidRPr="00D3550C">
        <w:rPr>
          <w:b/>
        </w:rPr>
        <w:instrText>-</w:instrText>
      </w:r>
      <w:r w:rsidR="00A6794A">
        <w:rPr>
          <w:b/>
          <w:lang w:val="en-US"/>
        </w:rPr>
        <w:instrText>title</w:instrText>
      </w:r>
      <w:r w:rsidR="00A6794A" w:rsidRPr="00D3550C">
        <w:rPr>
          <w:b/>
        </w:rPr>
        <w:instrText>":"</w:instrText>
      </w:r>
      <w:r w:rsidR="00A6794A">
        <w:rPr>
          <w:b/>
          <w:lang w:val="en-US"/>
        </w:rPr>
        <w:instrText>Cancer</w:instrText>
      </w:r>
      <w:r w:rsidR="00A6794A" w:rsidRPr="00D3550C">
        <w:rPr>
          <w:b/>
        </w:rPr>
        <w:instrText>","</w:instrText>
      </w:r>
      <w:r w:rsidR="00A6794A">
        <w:rPr>
          <w:b/>
          <w:lang w:val="en-US"/>
        </w:rPr>
        <w:instrText>id</w:instrText>
      </w:r>
      <w:r w:rsidR="00A6794A" w:rsidRPr="00D3550C">
        <w:rPr>
          <w:b/>
        </w:rPr>
        <w:instrText>":"</w:instrText>
      </w:r>
      <w:r w:rsidR="00A6794A">
        <w:rPr>
          <w:b/>
          <w:lang w:val="en-US"/>
        </w:rPr>
        <w:instrText>ITEM</w:instrText>
      </w:r>
      <w:r w:rsidR="00A6794A" w:rsidRPr="00D3550C">
        <w:rPr>
          <w:b/>
        </w:rPr>
        <w:instrText>-1","</w:instrText>
      </w:r>
      <w:r w:rsidR="00A6794A">
        <w:rPr>
          <w:b/>
          <w:lang w:val="en-US"/>
        </w:rPr>
        <w:instrText>issue</w:instrText>
      </w:r>
      <w:r w:rsidR="00A6794A" w:rsidRPr="00D3550C">
        <w:rPr>
          <w:b/>
        </w:rPr>
        <w:instrText>":"7","</w:instrText>
      </w:r>
      <w:r w:rsidR="00A6794A">
        <w:rPr>
          <w:b/>
          <w:lang w:val="en-US"/>
        </w:rPr>
        <w:instrText>issued</w:instrText>
      </w:r>
      <w:r w:rsidR="00A6794A" w:rsidRPr="00D3550C">
        <w:rPr>
          <w:b/>
        </w:rPr>
        <w:instrText>":{"</w:instrText>
      </w:r>
      <w:r w:rsidR="00A6794A">
        <w:rPr>
          <w:b/>
          <w:lang w:val="en-US"/>
        </w:rPr>
        <w:instrText>date</w:instrText>
      </w:r>
      <w:r w:rsidR="00A6794A" w:rsidRPr="00D3550C">
        <w:rPr>
          <w:b/>
        </w:rPr>
        <w:instrText>-</w:instrText>
      </w:r>
      <w:r w:rsidR="00A6794A">
        <w:rPr>
          <w:b/>
          <w:lang w:val="en-US"/>
        </w:rPr>
        <w:instrText>parts</w:instrText>
      </w:r>
      <w:r w:rsidR="00A6794A" w:rsidRPr="00D3550C">
        <w:rPr>
          <w:b/>
        </w:rPr>
        <w:instrText>":[["2006","4","1"]]},"</w:instrText>
      </w:r>
      <w:r w:rsidR="00A6794A">
        <w:rPr>
          <w:b/>
          <w:lang w:val="en-US"/>
        </w:rPr>
        <w:instrText>page</w:instrText>
      </w:r>
      <w:r w:rsidR="00A6794A" w:rsidRPr="00D3550C">
        <w:rPr>
          <w:b/>
        </w:rPr>
        <w:instrText>":"1569-1580","</w:instrText>
      </w:r>
      <w:r w:rsidR="00A6794A">
        <w:rPr>
          <w:b/>
          <w:lang w:val="en-US"/>
        </w:rPr>
        <w:instrText>title</w:instrText>
      </w:r>
      <w:r w:rsidR="00A6794A" w:rsidRPr="00D3550C">
        <w:rPr>
          <w:b/>
        </w:rPr>
        <w:instrText>":"</w:instrText>
      </w:r>
      <w:r w:rsidR="00A6794A">
        <w:rPr>
          <w:b/>
          <w:lang w:val="en-US"/>
        </w:rPr>
        <w:instrText>Chemoimmunotherapy</w:instrText>
      </w:r>
      <w:r w:rsidR="00A6794A" w:rsidRPr="00D3550C">
        <w:rPr>
          <w:b/>
        </w:rPr>
        <w:instrText xml:space="preserve"> </w:instrText>
      </w:r>
      <w:r w:rsidR="00A6794A">
        <w:rPr>
          <w:b/>
          <w:lang w:val="en-US"/>
        </w:rPr>
        <w:instrText>with</w:instrText>
      </w:r>
      <w:r w:rsidR="00A6794A" w:rsidRPr="00D3550C">
        <w:rPr>
          <w:b/>
        </w:rPr>
        <w:instrText xml:space="preserve"> </w:instrText>
      </w:r>
      <w:r w:rsidR="00A6794A">
        <w:rPr>
          <w:b/>
          <w:lang w:val="en-US"/>
        </w:rPr>
        <w:instrText>hyper</w:instrText>
      </w:r>
      <w:r w:rsidR="00A6794A" w:rsidRPr="00D3550C">
        <w:rPr>
          <w:b/>
        </w:rPr>
        <w:instrText>-</w:instrText>
      </w:r>
      <w:r w:rsidR="00A6794A">
        <w:rPr>
          <w:b/>
          <w:lang w:val="en-US"/>
        </w:rPr>
        <w:instrText>CVAD</w:instrText>
      </w:r>
      <w:r w:rsidR="00A6794A" w:rsidRPr="00D3550C">
        <w:rPr>
          <w:b/>
        </w:rPr>
        <w:instrText xml:space="preserve"> </w:instrText>
      </w:r>
      <w:r w:rsidR="00A6794A">
        <w:rPr>
          <w:b/>
          <w:lang w:val="en-US"/>
        </w:rPr>
        <w:instrText>plus</w:instrText>
      </w:r>
      <w:r w:rsidR="00A6794A" w:rsidRPr="00D3550C">
        <w:rPr>
          <w:b/>
        </w:rPr>
        <w:instrText xml:space="preserve"> </w:instrText>
      </w:r>
      <w:r w:rsidR="00A6794A">
        <w:rPr>
          <w:b/>
          <w:lang w:val="en-US"/>
        </w:rPr>
        <w:instrText>rituximab</w:instrText>
      </w:r>
      <w:r w:rsidR="00A6794A" w:rsidRPr="00D3550C">
        <w:rPr>
          <w:b/>
        </w:rPr>
        <w:instrText xml:space="preserve"> </w:instrText>
      </w:r>
      <w:r w:rsidR="00A6794A">
        <w:rPr>
          <w:b/>
          <w:lang w:val="en-US"/>
        </w:rPr>
        <w:instrText>for</w:instrText>
      </w:r>
      <w:r w:rsidR="00A6794A" w:rsidRPr="00D3550C">
        <w:rPr>
          <w:b/>
        </w:rPr>
        <w:instrText xml:space="preserve"> </w:instrText>
      </w:r>
      <w:r w:rsidR="00A6794A">
        <w:rPr>
          <w:b/>
          <w:lang w:val="en-US"/>
        </w:rPr>
        <w:instrText>the</w:instrText>
      </w:r>
      <w:r w:rsidR="00A6794A" w:rsidRPr="00D3550C">
        <w:rPr>
          <w:b/>
        </w:rPr>
        <w:instrText xml:space="preserve"> </w:instrText>
      </w:r>
      <w:r w:rsidR="00A6794A">
        <w:rPr>
          <w:b/>
          <w:lang w:val="en-US"/>
        </w:rPr>
        <w:instrText>treatment</w:instrText>
      </w:r>
      <w:r w:rsidR="00A6794A" w:rsidRPr="00D3550C">
        <w:rPr>
          <w:b/>
        </w:rPr>
        <w:instrText xml:space="preserve"> </w:instrText>
      </w:r>
      <w:r w:rsidR="00A6794A">
        <w:rPr>
          <w:b/>
          <w:lang w:val="en-US"/>
        </w:rPr>
        <w:instrText>of</w:instrText>
      </w:r>
      <w:r w:rsidR="00A6794A" w:rsidRPr="00D3550C">
        <w:rPr>
          <w:b/>
        </w:rPr>
        <w:instrText xml:space="preserve"> </w:instrText>
      </w:r>
      <w:r w:rsidR="00A6794A">
        <w:rPr>
          <w:b/>
          <w:lang w:val="en-US"/>
        </w:rPr>
        <w:instrText>adult</w:instrText>
      </w:r>
      <w:r w:rsidR="00A6794A" w:rsidRPr="00D3550C">
        <w:rPr>
          <w:b/>
        </w:rPr>
        <w:instrText xml:space="preserve"> </w:instrText>
      </w:r>
      <w:r w:rsidR="00A6794A">
        <w:rPr>
          <w:b/>
          <w:lang w:val="en-US"/>
        </w:rPr>
        <w:instrText>Burkitt</w:instrText>
      </w:r>
      <w:r w:rsidR="00A6794A" w:rsidRPr="00D3550C">
        <w:rPr>
          <w:b/>
        </w:rPr>
        <w:instrText xml:space="preserve"> </w:instrText>
      </w:r>
      <w:r w:rsidR="00A6794A">
        <w:rPr>
          <w:b/>
          <w:lang w:val="en-US"/>
        </w:rPr>
        <w:instrText>and</w:instrText>
      </w:r>
      <w:r w:rsidR="00A6794A" w:rsidRPr="00D3550C">
        <w:rPr>
          <w:b/>
        </w:rPr>
        <w:instrText xml:space="preserve"> </w:instrText>
      </w:r>
      <w:r w:rsidR="00A6794A">
        <w:rPr>
          <w:b/>
          <w:lang w:val="en-US"/>
        </w:rPr>
        <w:instrText>Burkitt</w:instrText>
      </w:r>
      <w:r w:rsidR="00A6794A" w:rsidRPr="00D3550C">
        <w:rPr>
          <w:b/>
        </w:rPr>
        <w:instrText>-</w:instrText>
      </w:r>
      <w:r w:rsidR="00A6794A">
        <w:rPr>
          <w:b/>
          <w:lang w:val="en-US"/>
        </w:rPr>
        <w:instrText>type</w:instrText>
      </w:r>
      <w:r w:rsidR="00A6794A" w:rsidRPr="00D3550C">
        <w:rPr>
          <w:b/>
        </w:rPr>
        <w:instrText xml:space="preserve"> </w:instrText>
      </w:r>
      <w:r w:rsidR="00A6794A">
        <w:rPr>
          <w:b/>
          <w:lang w:val="en-US"/>
        </w:rPr>
        <w:instrText>lymphoma</w:instrText>
      </w:r>
      <w:r w:rsidR="00A6794A" w:rsidRPr="00D3550C">
        <w:rPr>
          <w:b/>
        </w:rPr>
        <w:instrText xml:space="preserve"> </w:instrText>
      </w:r>
      <w:r w:rsidR="00A6794A">
        <w:rPr>
          <w:b/>
          <w:lang w:val="en-US"/>
        </w:rPr>
        <w:instrText>or</w:instrText>
      </w:r>
      <w:r w:rsidR="00A6794A" w:rsidRPr="00D3550C">
        <w:rPr>
          <w:b/>
        </w:rPr>
        <w:instrText xml:space="preserve"> </w:instrText>
      </w:r>
      <w:r w:rsidR="00A6794A">
        <w:rPr>
          <w:b/>
          <w:lang w:val="en-US"/>
        </w:rPr>
        <w:instrText>acute</w:instrText>
      </w:r>
      <w:r w:rsidR="00A6794A" w:rsidRPr="00D3550C">
        <w:rPr>
          <w:b/>
        </w:rPr>
        <w:instrText xml:space="preserve"> </w:instrText>
      </w:r>
      <w:r w:rsidR="00A6794A">
        <w:rPr>
          <w:b/>
          <w:lang w:val="en-US"/>
        </w:rPr>
        <w:instrText>lymphoblastic</w:instrText>
      </w:r>
      <w:r w:rsidR="00A6794A" w:rsidRPr="00D3550C">
        <w:rPr>
          <w:b/>
        </w:rPr>
        <w:instrText xml:space="preserve"> </w:instrText>
      </w:r>
      <w:r w:rsidR="00A6794A">
        <w:rPr>
          <w:b/>
          <w:lang w:val="en-US"/>
        </w:rPr>
        <w:instrText>leukemia</w:instrText>
      </w:r>
      <w:r w:rsidR="00A6794A" w:rsidRPr="00D3550C">
        <w:rPr>
          <w:b/>
        </w:rPr>
        <w:instrText>","</w:instrText>
      </w:r>
      <w:r w:rsidR="00A6794A">
        <w:rPr>
          <w:b/>
          <w:lang w:val="en-US"/>
        </w:rPr>
        <w:instrText>type</w:instrText>
      </w:r>
      <w:r w:rsidR="00A6794A" w:rsidRPr="00D3550C">
        <w:rPr>
          <w:b/>
        </w:rPr>
        <w:instrText>":"</w:instrText>
      </w:r>
      <w:r w:rsidR="00A6794A">
        <w:rPr>
          <w:b/>
          <w:lang w:val="en-US"/>
        </w:rPr>
        <w:instrText>article</w:instrText>
      </w:r>
      <w:r w:rsidR="00A6794A" w:rsidRPr="00D3550C">
        <w:rPr>
          <w:b/>
        </w:rPr>
        <w:instrText>-</w:instrText>
      </w:r>
      <w:r w:rsidR="00A6794A">
        <w:rPr>
          <w:b/>
          <w:lang w:val="en-US"/>
        </w:rPr>
        <w:instrText>journal</w:instrText>
      </w:r>
      <w:r w:rsidR="00A6794A" w:rsidRPr="00D3550C">
        <w:rPr>
          <w:b/>
        </w:rPr>
        <w:instrText>","</w:instrText>
      </w:r>
      <w:r w:rsidR="00A6794A">
        <w:rPr>
          <w:b/>
          <w:lang w:val="en-US"/>
        </w:rPr>
        <w:instrText>volume</w:instrText>
      </w:r>
      <w:r w:rsidR="00A6794A" w:rsidRPr="00D3550C">
        <w:rPr>
          <w:b/>
        </w:rPr>
        <w:instrText>":"106"},"</w:instrText>
      </w:r>
      <w:r w:rsidR="00A6794A">
        <w:rPr>
          <w:b/>
          <w:lang w:val="en-US"/>
        </w:rPr>
        <w:instrText>uris</w:instrText>
      </w:r>
      <w:r w:rsidR="00A6794A" w:rsidRPr="00D3550C">
        <w:rPr>
          <w:b/>
        </w:rPr>
        <w:instrText>":["</w:instrText>
      </w:r>
      <w:r w:rsidR="00A6794A">
        <w:rPr>
          <w:b/>
          <w:lang w:val="en-US"/>
        </w:rPr>
        <w:instrText>http</w:instrText>
      </w:r>
      <w:r w:rsidR="00A6794A" w:rsidRPr="00D3550C">
        <w:rPr>
          <w:b/>
        </w:rPr>
        <w:instrText>://</w:instrText>
      </w:r>
      <w:r w:rsidR="00A6794A">
        <w:rPr>
          <w:b/>
          <w:lang w:val="en-US"/>
        </w:rPr>
        <w:instrText>www</w:instrText>
      </w:r>
      <w:r w:rsidR="00A6794A" w:rsidRPr="00D3550C">
        <w:rPr>
          <w:b/>
        </w:rPr>
        <w:instrText>.</w:instrText>
      </w:r>
      <w:r w:rsidR="00A6794A">
        <w:rPr>
          <w:b/>
          <w:lang w:val="en-US"/>
        </w:rPr>
        <w:instrText>mendeley</w:instrText>
      </w:r>
      <w:r w:rsidR="00A6794A" w:rsidRPr="00D3550C">
        <w:rPr>
          <w:b/>
        </w:rPr>
        <w:instrText>.</w:instrText>
      </w:r>
      <w:r w:rsidR="00A6794A">
        <w:rPr>
          <w:b/>
          <w:lang w:val="en-US"/>
        </w:rPr>
        <w:instrText>com</w:instrText>
      </w:r>
      <w:r w:rsidR="00A6794A" w:rsidRPr="00D3550C">
        <w:rPr>
          <w:b/>
        </w:rPr>
        <w:instrText>/</w:instrText>
      </w:r>
      <w:r w:rsidR="00A6794A">
        <w:rPr>
          <w:b/>
          <w:lang w:val="en-US"/>
        </w:rPr>
        <w:instrText>documents</w:instrText>
      </w:r>
      <w:r w:rsidR="00A6794A" w:rsidRPr="00D3550C">
        <w:rPr>
          <w:b/>
        </w:rPr>
        <w:instrText>/?</w:instrText>
      </w:r>
      <w:r w:rsidR="00A6794A">
        <w:rPr>
          <w:b/>
          <w:lang w:val="en-US"/>
        </w:rPr>
        <w:instrText>uuid</w:instrText>
      </w:r>
      <w:r w:rsidR="00A6794A" w:rsidRPr="00D3550C">
        <w:rPr>
          <w:b/>
        </w:rPr>
        <w:instrText>=</w:instrText>
      </w:r>
      <w:r w:rsidR="00A6794A">
        <w:rPr>
          <w:b/>
          <w:lang w:val="en-US"/>
        </w:rPr>
        <w:instrText>c</w:instrText>
      </w:r>
      <w:r w:rsidR="00A6794A" w:rsidRPr="00D3550C">
        <w:rPr>
          <w:b/>
        </w:rPr>
        <w:instrText>756</w:instrText>
      </w:r>
      <w:r w:rsidR="00A6794A">
        <w:rPr>
          <w:b/>
          <w:lang w:val="en-US"/>
        </w:rPr>
        <w:instrText>ddd</w:instrText>
      </w:r>
      <w:r w:rsidR="00A6794A" w:rsidRPr="00D3550C">
        <w:rPr>
          <w:b/>
        </w:rPr>
        <w:instrText>9-37</w:instrText>
      </w:r>
      <w:r w:rsidR="00A6794A">
        <w:rPr>
          <w:b/>
          <w:lang w:val="en-US"/>
        </w:rPr>
        <w:instrText>f</w:instrText>
      </w:r>
      <w:r w:rsidR="00A6794A" w:rsidRPr="00D3550C">
        <w:rPr>
          <w:b/>
        </w:rPr>
        <w:instrText>2-3</w:instrText>
      </w:r>
      <w:r w:rsidR="00A6794A">
        <w:rPr>
          <w:b/>
          <w:lang w:val="en-US"/>
        </w:rPr>
        <w:instrText>b</w:instrText>
      </w:r>
      <w:r w:rsidR="00A6794A" w:rsidRPr="00D3550C">
        <w:rPr>
          <w:b/>
        </w:rPr>
        <w:instrText>3</w:instrText>
      </w:r>
      <w:r w:rsidR="00A6794A">
        <w:rPr>
          <w:b/>
          <w:lang w:val="en-US"/>
        </w:rPr>
        <w:instrText>f</w:instrText>
      </w:r>
      <w:r w:rsidR="00A6794A" w:rsidRPr="00D3550C">
        <w:rPr>
          <w:b/>
        </w:rPr>
        <w:instrText>-</w:instrText>
      </w:r>
      <w:r w:rsidR="00A6794A">
        <w:rPr>
          <w:b/>
          <w:lang w:val="en-US"/>
        </w:rPr>
        <w:instrText>bf</w:instrText>
      </w:r>
      <w:r w:rsidR="00A6794A" w:rsidRPr="00D3550C">
        <w:rPr>
          <w:b/>
        </w:rPr>
        <w:instrText>5</w:instrText>
      </w:r>
      <w:r w:rsidR="00A6794A">
        <w:rPr>
          <w:b/>
          <w:lang w:val="en-US"/>
        </w:rPr>
        <w:instrText>c</w:instrText>
      </w:r>
      <w:r w:rsidR="00A6794A" w:rsidRPr="00D3550C">
        <w:rPr>
          <w:b/>
        </w:rPr>
        <w:instrText>-53</w:instrText>
      </w:r>
      <w:r w:rsidR="00A6794A">
        <w:rPr>
          <w:b/>
          <w:lang w:val="en-US"/>
        </w:rPr>
        <w:instrText>ab</w:instrText>
      </w:r>
      <w:r w:rsidR="00A6794A" w:rsidRPr="00D3550C">
        <w:rPr>
          <w:b/>
        </w:rPr>
        <w:instrText>47</w:instrText>
      </w:r>
      <w:r w:rsidR="00A6794A">
        <w:rPr>
          <w:b/>
          <w:lang w:val="en-US"/>
        </w:rPr>
        <w:instrText>a</w:instrText>
      </w:r>
      <w:r w:rsidR="00A6794A" w:rsidRPr="00D3550C">
        <w:rPr>
          <w:b/>
        </w:rPr>
        <w:instrText>2</w:instrText>
      </w:r>
      <w:r w:rsidR="00A6794A">
        <w:rPr>
          <w:b/>
          <w:lang w:val="en-US"/>
        </w:rPr>
        <w:instrText>abef</w:instrText>
      </w:r>
      <w:r w:rsidR="00A6794A" w:rsidRPr="00D3550C">
        <w:rPr>
          <w:b/>
        </w:rPr>
        <w:instrText>"]}],"</w:instrText>
      </w:r>
      <w:r w:rsidR="00A6794A">
        <w:rPr>
          <w:b/>
          <w:lang w:val="en-US"/>
        </w:rPr>
        <w:instrText>mendeley</w:instrText>
      </w:r>
      <w:r w:rsidR="00A6794A" w:rsidRPr="00D3550C">
        <w:rPr>
          <w:b/>
        </w:rPr>
        <w:instrText>":{"</w:instrText>
      </w:r>
      <w:r w:rsidR="00A6794A">
        <w:rPr>
          <w:b/>
          <w:lang w:val="en-US"/>
        </w:rPr>
        <w:instrText>formattedCitation</w:instrText>
      </w:r>
      <w:r w:rsidR="00A6794A" w:rsidRPr="00D3550C">
        <w:rPr>
          <w:b/>
        </w:rPr>
        <w:instrText>":"[210]","</w:instrText>
      </w:r>
      <w:r w:rsidR="00A6794A">
        <w:rPr>
          <w:b/>
          <w:lang w:val="en-US"/>
        </w:rPr>
        <w:instrText>plainTextFormattedCitation</w:instrText>
      </w:r>
      <w:r w:rsidR="00A6794A" w:rsidRPr="00D3550C">
        <w:rPr>
          <w:b/>
        </w:rPr>
        <w:instrText>":"[210]","</w:instrText>
      </w:r>
      <w:r w:rsidR="00A6794A">
        <w:rPr>
          <w:b/>
          <w:lang w:val="en-US"/>
        </w:rPr>
        <w:instrText>previouslyFormattedCitation</w:instrText>
      </w:r>
      <w:r w:rsidR="00A6794A" w:rsidRPr="00D3550C">
        <w:rPr>
          <w:b/>
        </w:rPr>
        <w:instrText>":"[210]"},"</w:instrText>
      </w:r>
      <w:r w:rsidR="00A6794A">
        <w:rPr>
          <w:b/>
          <w:lang w:val="en-US"/>
        </w:rPr>
        <w:instrText>properties</w:instrText>
      </w:r>
      <w:r w:rsidR="00A6794A" w:rsidRPr="00D3550C">
        <w:rPr>
          <w:b/>
        </w:rPr>
        <w:instrText>":{"</w:instrText>
      </w:r>
      <w:r w:rsidR="00A6794A">
        <w:rPr>
          <w:b/>
          <w:lang w:val="en-US"/>
        </w:rPr>
        <w:instrText>noteIndex</w:instrText>
      </w:r>
      <w:r w:rsidR="00A6794A" w:rsidRPr="00D3550C">
        <w:rPr>
          <w:b/>
        </w:rPr>
        <w:instrText>":0},"</w:instrText>
      </w:r>
      <w:r w:rsidR="00A6794A">
        <w:rPr>
          <w:b/>
          <w:lang w:val="en-US"/>
        </w:rPr>
        <w:instrText>schema</w:instrText>
      </w:r>
      <w:r w:rsidR="00A6794A" w:rsidRPr="00D3550C">
        <w:rPr>
          <w:b/>
        </w:rPr>
        <w:instrText>":"</w:instrText>
      </w:r>
      <w:r w:rsidR="00A6794A">
        <w:rPr>
          <w:b/>
          <w:lang w:val="en-US"/>
        </w:rPr>
        <w:instrText>https</w:instrText>
      </w:r>
      <w:r w:rsidR="00A6794A" w:rsidRPr="00D3550C">
        <w:rPr>
          <w:b/>
        </w:rPr>
        <w:instrText>://</w:instrText>
      </w:r>
      <w:r w:rsidR="00A6794A">
        <w:rPr>
          <w:b/>
          <w:lang w:val="en-US"/>
        </w:rPr>
        <w:instrText>github</w:instrText>
      </w:r>
      <w:r w:rsidR="00A6794A" w:rsidRPr="00D3550C">
        <w:rPr>
          <w:b/>
        </w:rPr>
        <w:instrText>.</w:instrText>
      </w:r>
      <w:r w:rsidR="00A6794A">
        <w:rPr>
          <w:b/>
          <w:lang w:val="en-US"/>
        </w:rPr>
        <w:instrText>com</w:instrText>
      </w:r>
      <w:r w:rsidR="00A6794A" w:rsidRPr="00D3550C">
        <w:rPr>
          <w:b/>
        </w:rPr>
        <w:instrText>/</w:instrText>
      </w:r>
      <w:r w:rsidR="00A6794A">
        <w:rPr>
          <w:b/>
          <w:lang w:val="en-US"/>
        </w:rPr>
        <w:instrText>citation</w:instrText>
      </w:r>
      <w:r w:rsidR="00A6794A" w:rsidRPr="00D3550C">
        <w:rPr>
          <w:b/>
        </w:rPr>
        <w:instrText>-</w:instrText>
      </w:r>
      <w:r w:rsidR="00A6794A">
        <w:rPr>
          <w:b/>
          <w:lang w:val="en-US"/>
        </w:rPr>
        <w:instrText>style</w:instrText>
      </w:r>
      <w:r w:rsidR="00A6794A" w:rsidRPr="00D3550C">
        <w:rPr>
          <w:b/>
        </w:rPr>
        <w:instrText>-</w:instrText>
      </w:r>
      <w:r w:rsidR="00A6794A">
        <w:rPr>
          <w:b/>
          <w:lang w:val="en-US"/>
        </w:rPr>
        <w:instrText>language</w:instrText>
      </w:r>
      <w:r w:rsidR="00A6794A" w:rsidRPr="00D3550C">
        <w:rPr>
          <w:b/>
        </w:rPr>
        <w:instrText>/</w:instrText>
      </w:r>
      <w:r w:rsidR="00A6794A">
        <w:rPr>
          <w:b/>
          <w:lang w:val="en-US"/>
        </w:rPr>
        <w:instrText>schema</w:instrText>
      </w:r>
      <w:r w:rsidR="00A6794A" w:rsidRPr="00D3550C">
        <w:rPr>
          <w:b/>
        </w:rPr>
        <w:instrText>/</w:instrText>
      </w:r>
      <w:r w:rsidR="00A6794A">
        <w:rPr>
          <w:b/>
          <w:lang w:val="en-US"/>
        </w:rPr>
        <w:instrText>raw</w:instrText>
      </w:r>
      <w:r w:rsidR="00A6794A" w:rsidRPr="00D3550C">
        <w:rPr>
          <w:b/>
        </w:rPr>
        <w:instrText>/</w:instrText>
      </w:r>
      <w:r w:rsidR="00A6794A">
        <w:rPr>
          <w:b/>
          <w:lang w:val="en-US"/>
        </w:rPr>
        <w:instrText>master</w:instrText>
      </w:r>
      <w:r w:rsidR="00A6794A" w:rsidRPr="00D3550C">
        <w:rPr>
          <w:b/>
        </w:rPr>
        <w:instrText>/</w:instrText>
      </w:r>
      <w:r w:rsidR="00A6794A">
        <w:rPr>
          <w:b/>
          <w:lang w:val="en-US"/>
        </w:rPr>
        <w:instrText>csl</w:instrText>
      </w:r>
      <w:r w:rsidR="00A6794A" w:rsidRPr="00D3550C">
        <w:rPr>
          <w:b/>
        </w:rPr>
        <w:instrText>-</w:instrText>
      </w:r>
      <w:r w:rsidR="00A6794A">
        <w:rPr>
          <w:b/>
          <w:lang w:val="en-US"/>
        </w:rPr>
        <w:instrText>citation</w:instrText>
      </w:r>
      <w:r w:rsidR="00A6794A" w:rsidRPr="00D3550C">
        <w:rPr>
          <w:b/>
        </w:rPr>
        <w:instrText>.</w:instrText>
      </w:r>
      <w:r w:rsidR="00A6794A">
        <w:rPr>
          <w:b/>
          <w:lang w:val="en-US"/>
        </w:rPr>
        <w:instrText>json</w:instrText>
      </w:r>
      <w:r w:rsidR="00A6794A" w:rsidRPr="00D3550C">
        <w:rPr>
          <w:b/>
        </w:rPr>
        <w:instrText>"}</w:instrText>
      </w:r>
      <w:r w:rsidR="00B7749F" w:rsidRPr="000322E4">
        <w:rPr>
          <w:b/>
        </w:rPr>
        <w:fldChar w:fldCharType="separate"/>
      </w:r>
      <w:r w:rsidR="006E1902" w:rsidRPr="006E1902">
        <w:rPr>
          <w:noProof/>
        </w:rPr>
        <w:t>[210]</w:t>
      </w:r>
      <w:r w:rsidR="00B7749F" w:rsidRPr="000322E4">
        <w:rPr>
          <w:b/>
        </w:rPr>
        <w:fldChar w:fldCharType="end"/>
      </w:r>
    </w:p>
    <w:p w14:paraId="12ABF4C1" w14:textId="77777777" w:rsidR="00666D68" w:rsidRPr="0053335B" w:rsidRDefault="00666D68" w:rsidP="008E3584">
      <w:pPr>
        <w:spacing w:line="360" w:lineRule="auto"/>
        <w:jc w:val="both"/>
        <w:rPr>
          <w:b/>
        </w:rPr>
      </w:pPr>
      <w:r w:rsidRPr="000322E4">
        <w:rPr>
          <w:b/>
        </w:rPr>
        <w:t>Циклы</w:t>
      </w:r>
      <w:r w:rsidRPr="0053335B">
        <w:rPr>
          <w:b/>
        </w:rPr>
        <w:t xml:space="preserve"> 1, 3, 5, 7 (</w:t>
      </w:r>
      <w:r w:rsidRPr="00B972D6">
        <w:rPr>
          <w:b/>
          <w:lang w:val="en-US"/>
        </w:rPr>
        <w:t>Hyper</w:t>
      </w:r>
      <w:r w:rsidRPr="0053335B">
        <w:rPr>
          <w:b/>
        </w:rPr>
        <w:t>-</w:t>
      </w:r>
      <w:r w:rsidRPr="00B972D6">
        <w:rPr>
          <w:b/>
          <w:lang w:val="en-US"/>
        </w:rPr>
        <w:t>CVAD</w:t>
      </w:r>
      <w:r w:rsidRPr="0053335B">
        <w:rPr>
          <w:b/>
        </w:rPr>
        <w:t>):</w:t>
      </w:r>
    </w:p>
    <w:p w14:paraId="69D94FCD" w14:textId="77777777" w:rsidR="00B7749F" w:rsidRPr="0053335B" w:rsidRDefault="00B7749F" w:rsidP="00A265AD">
      <w:pPr>
        <w:widowControl w:val="0"/>
        <w:numPr>
          <w:ilvl w:val="0"/>
          <w:numId w:val="54"/>
        </w:numPr>
        <w:autoSpaceDE w:val="0"/>
        <w:autoSpaceDN w:val="0"/>
        <w:adjustRightInd w:val="0"/>
        <w:spacing w:line="360" w:lineRule="auto"/>
        <w:jc w:val="both"/>
      </w:pPr>
      <w:r w:rsidRPr="000322E4">
        <w:t>Ритуксимаб</w:t>
      </w:r>
      <w:r w:rsidRPr="0053335B">
        <w:t xml:space="preserve">** 375 </w:t>
      </w:r>
      <w:r w:rsidRPr="000322E4">
        <w:t>мг</w:t>
      </w:r>
      <w:r w:rsidRPr="0053335B">
        <w:t>/</w:t>
      </w:r>
      <w:r w:rsidRPr="000322E4">
        <w:t>м</w:t>
      </w:r>
      <w:r w:rsidRPr="0053335B">
        <w:rPr>
          <w:vertAlign w:val="superscript"/>
        </w:rPr>
        <w:t>2</w:t>
      </w:r>
      <w:r w:rsidRPr="0053335B">
        <w:t xml:space="preserve"> </w:t>
      </w:r>
      <w:r w:rsidRPr="000322E4">
        <w:t>в</w:t>
      </w:r>
      <w:r w:rsidRPr="0053335B">
        <w:t>/</w:t>
      </w:r>
      <w:r w:rsidRPr="000322E4">
        <w:t>в</w:t>
      </w:r>
      <w:r w:rsidRPr="0053335B">
        <w:t>, 1-</w:t>
      </w:r>
      <w:r w:rsidRPr="000322E4">
        <w:t>й</w:t>
      </w:r>
      <w:r w:rsidRPr="0053335B">
        <w:t>, 11-</w:t>
      </w:r>
      <w:r w:rsidRPr="000322E4">
        <w:t>й</w:t>
      </w:r>
      <w:r w:rsidRPr="0053335B">
        <w:t xml:space="preserve"> </w:t>
      </w:r>
      <w:r w:rsidRPr="000322E4">
        <w:t>дни</w:t>
      </w:r>
      <w:r w:rsidRPr="0053335B">
        <w:t xml:space="preserve"> (</w:t>
      </w:r>
      <w:r w:rsidRPr="000322E4">
        <w:t>циклы</w:t>
      </w:r>
      <w:r w:rsidRPr="0053335B">
        <w:t xml:space="preserve"> 1, 3)</w:t>
      </w:r>
    </w:p>
    <w:p w14:paraId="50D75472" w14:textId="77777777" w:rsidR="00666D68" w:rsidRPr="0053335B" w:rsidRDefault="00666D68" w:rsidP="00A265AD">
      <w:pPr>
        <w:widowControl w:val="0"/>
        <w:numPr>
          <w:ilvl w:val="0"/>
          <w:numId w:val="54"/>
        </w:numPr>
        <w:autoSpaceDE w:val="0"/>
        <w:autoSpaceDN w:val="0"/>
        <w:adjustRightInd w:val="0"/>
        <w:spacing w:line="360" w:lineRule="auto"/>
        <w:jc w:val="both"/>
      </w:pPr>
      <w:r w:rsidRPr="000322E4">
        <w:t>Циклофосфамид</w:t>
      </w:r>
      <w:r w:rsidRPr="0053335B">
        <w:t xml:space="preserve">** 300 </w:t>
      </w:r>
      <w:r w:rsidRPr="000322E4">
        <w:t>мг</w:t>
      </w:r>
      <w:r w:rsidRPr="0053335B">
        <w:t>/</w:t>
      </w:r>
      <w:r w:rsidRPr="000322E4">
        <w:t>м</w:t>
      </w:r>
      <w:r w:rsidRPr="0053335B">
        <w:rPr>
          <w:vertAlign w:val="superscript"/>
        </w:rPr>
        <w:t>2</w:t>
      </w:r>
      <w:r w:rsidRPr="0053335B">
        <w:t xml:space="preserve"> </w:t>
      </w:r>
      <w:r w:rsidRPr="000322E4">
        <w:t>в</w:t>
      </w:r>
      <w:r w:rsidRPr="0053335B">
        <w:t>/</w:t>
      </w:r>
      <w:r w:rsidRPr="000322E4">
        <w:t>в</w:t>
      </w:r>
      <w:r w:rsidRPr="0053335B">
        <w:t xml:space="preserve"> </w:t>
      </w:r>
      <w:r w:rsidRPr="000322E4">
        <w:t>каждые</w:t>
      </w:r>
      <w:r w:rsidRPr="0053335B">
        <w:t xml:space="preserve"> 12 </w:t>
      </w:r>
      <w:r w:rsidRPr="000322E4">
        <w:t>ч</w:t>
      </w:r>
      <w:r w:rsidRPr="0053335B">
        <w:t>, 1–3-</w:t>
      </w:r>
      <w:r w:rsidRPr="000322E4">
        <w:t>й</w:t>
      </w:r>
      <w:r w:rsidRPr="0053335B">
        <w:t xml:space="preserve"> </w:t>
      </w:r>
      <w:r w:rsidRPr="000322E4">
        <w:t>дни</w:t>
      </w:r>
      <w:r w:rsidRPr="0053335B">
        <w:t xml:space="preserve"> (</w:t>
      </w:r>
      <w:r w:rsidRPr="000322E4">
        <w:t>всего</w:t>
      </w:r>
      <w:r w:rsidRPr="0053335B">
        <w:t xml:space="preserve"> 6 </w:t>
      </w:r>
      <w:r w:rsidRPr="000322E4">
        <w:t>введений</w:t>
      </w:r>
      <w:r w:rsidRPr="0053335B">
        <w:t xml:space="preserve">) </w:t>
      </w:r>
    </w:p>
    <w:p w14:paraId="6FCF859C" w14:textId="77777777" w:rsidR="00666D68" w:rsidRPr="0053335B" w:rsidRDefault="00666D68" w:rsidP="00A265AD">
      <w:pPr>
        <w:widowControl w:val="0"/>
        <w:numPr>
          <w:ilvl w:val="0"/>
          <w:numId w:val="54"/>
        </w:numPr>
        <w:autoSpaceDE w:val="0"/>
        <w:autoSpaceDN w:val="0"/>
        <w:adjustRightInd w:val="0"/>
        <w:spacing w:line="360" w:lineRule="auto"/>
        <w:jc w:val="both"/>
      </w:pPr>
      <w:r w:rsidRPr="000322E4">
        <w:t>Дексаметазон</w:t>
      </w:r>
      <w:r w:rsidRPr="0053335B">
        <w:t xml:space="preserve">** 40 </w:t>
      </w:r>
      <w:r w:rsidRPr="000322E4">
        <w:t>мг</w:t>
      </w:r>
      <w:r w:rsidRPr="0053335B">
        <w:t xml:space="preserve"> </w:t>
      </w:r>
      <w:r w:rsidRPr="000322E4">
        <w:t>в</w:t>
      </w:r>
      <w:r w:rsidRPr="0053335B">
        <w:t>/</w:t>
      </w:r>
      <w:r w:rsidRPr="000322E4">
        <w:t>в</w:t>
      </w:r>
      <w:r w:rsidRPr="0053335B">
        <w:t xml:space="preserve"> </w:t>
      </w:r>
      <w:r w:rsidRPr="000322E4">
        <w:t>или</w:t>
      </w:r>
      <w:r w:rsidRPr="0053335B">
        <w:t xml:space="preserve"> </w:t>
      </w:r>
      <w:r w:rsidRPr="000322E4">
        <w:t>внутрь</w:t>
      </w:r>
      <w:r w:rsidRPr="0053335B">
        <w:t>, 1–4-</w:t>
      </w:r>
      <w:r w:rsidRPr="000322E4">
        <w:t>й</w:t>
      </w:r>
      <w:r w:rsidRPr="0053335B">
        <w:t>, 11–14-</w:t>
      </w:r>
      <w:r w:rsidRPr="000322E4">
        <w:t>й</w:t>
      </w:r>
      <w:r w:rsidRPr="0053335B">
        <w:t xml:space="preserve"> </w:t>
      </w:r>
      <w:r w:rsidRPr="000322E4">
        <w:t>дни</w:t>
      </w:r>
    </w:p>
    <w:p w14:paraId="0745969B" w14:textId="77777777" w:rsidR="00666D68" w:rsidRPr="0053335B" w:rsidRDefault="00666D68" w:rsidP="00A265AD">
      <w:pPr>
        <w:widowControl w:val="0"/>
        <w:numPr>
          <w:ilvl w:val="0"/>
          <w:numId w:val="54"/>
        </w:numPr>
        <w:autoSpaceDE w:val="0"/>
        <w:autoSpaceDN w:val="0"/>
        <w:adjustRightInd w:val="0"/>
        <w:spacing w:line="360" w:lineRule="auto"/>
        <w:jc w:val="both"/>
      </w:pPr>
      <w:r w:rsidRPr="000322E4">
        <w:t>Доксорубицин</w:t>
      </w:r>
      <w:r w:rsidRPr="0053335B">
        <w:t xml:space="preserve">** 50 </w:t>
      </w:r>
      <w:r w:rsidRPr="000322E4">
        <w:t>мг</w:t>
      </w:r>
      <w:r w:rsidRPr="0053335B">
        <w:t>/</w:t>
      </w:r>
      <w:r w:rsidRPr="000322E4">
        <w:t>м</w:t>
      </w:r>
      <w:r w:rsidRPr="0053335B">
        <w:rPr>
          <w:vertAlign w:val="superscript"/>
        </w:rPr>
        <w:t>2</w:t>
      </w:r>
      <w:r w:rsidRPr="0053335B">
        <w:t xml:space="preserve"> </w:t>
      </w:r>
      <w:r w:rsidRPr="000322E4">
        <w:t>в</w:t>
      </w:r>
      <w:r w:rsidRPr="0053335B">
        <w:t>/</w:t>
      </w:r>
      <w:r w:rsidRPr="000322E4">
        <w:t>в</w:t>
      </w:r>
      <w:r w:rsidRPr="0053335B">
        <w:t xml:space="preserve"> </w:t>
      </w:r>
      <w:r w:rsidRPr="000322E4">
        <w:t>непрерывной</w:t>
      </w:r>
      <w:r w:rsidRPr="0053335B">
        <w:t xml:space="preserve"> 24-</w:t>
      </w:r>
      <w:r w:rsidRPr="000322E4">
        <w:t>часовой</w:t>
      </w:r>
      <w:r w:rsidRPr="0053335B">
        <w:t xml:space="preserve"> </w:t>
      </w:r>
      <w:r w:rsidRPr="000322E4">
        <w:t>инфузией</w:t>
      </w:r>
      <w:r w:rsidRPr="0053335B">
        <w:t xml:space="preserve"> </w:t>
      </w:r>
      <w:r w:rsidRPr="000322E4">
        <w:t>в</w:t>
      </w:r>
      <w:r w:rsidRPr="0053335B">
        <w:t xml:space="preserve"> </w:t>
      </w:r>
      <w:r w:rsidRPr="000322E4">
        <w:t>центральный</w:t>
      </w:r>
      <w:r w:rsidRPr="0053335B">
        <w:t xml:space="preserve"> </w:t>
      </w:r>
      <w:r w:rsidRPr="000322E4">
        <w:t>катетер</w:t>
      </w:r>
      <w:r w:rsidRPr="0053335B">
        <w:t>, 4-</w:t>
      </w:r>
      <w:r w:rsidRPr="000322E4">
        <w:t>й</w:t>
      </w:r>
      <w:r w:rsidRPr="0053335B">
        <w:t xml:space="preserve"> </w:t>
      </w:r>
      <w:r w:rsidRPr="000322E4">
        <w:t>день</w:t>
      </w:r>
    </w:p>
    <w:p w14:paraId="13AF5F33" w14:textId="77777777" w:rsidR="00666D68" w:rsidRPr="0053335B" w:rsidRDefault="00666D68" w:rsidP="00A265AD">
      <w:pPr>
        <w:widowControl w:val="0"/>
        <w:numPr>
          <w:ilvl w:val="0"/>
          <w:numId w:val="54"/>
        </w:numPr>
        <w:autoSpaceDE w:val="0"/>
        <w:autoSpaceDN w:val="0"/>
        <w:adjustRightInd w:val="0"/>
        <w:spacing w:line="360" w:lineRule="auto"/>
        <w:jc w:val="both"/>
      </w:pPr>
      <w:r w:rsidRPr="000322E4">
        <w:t>Винкристин</w:t>
      </w:r>
      <w:r w:rsidRPr="0053335B">
        <w:t xml:space="preserve">** 2 </w:t>
      </w:r>
      <w:r w:rsidRPr="000322E4">
        <w:t>мг</w:t>
      </w:r>
      <w:r w:rsidRPr="0053335B">
        <w:t xml:space="preserve"> </w:t>
      </w:r>
      <w:r w:rsidRPr="000322E4">
        <w:t>в</w:t>
      </w:r>
      <w:r w:rsidRPr="0053335B">
        <w:t>/</w:t>
      </w:r>
      <w:r w:rsidRPr="000322E4">
        <w:t>в</w:t>
      </w:r>
      <w:r w:rsidRPr="0053335B">
        <w:t>, 4-</w:t>
      </w:r>
      <w:r w:rsidRPr="000322E4">
        <w:t>й</w:t>
      </w:r>
      <w:r w:rsidRPr="0053335B">
        <w:t>, 11-</w:t>
      </w:r>
      <w:r w:rsidRPr="000322E4">
        <w:t>й</w:t>
      </w:r>
      <w:r w:rsidRPr="0053335B">
        <w:t xml:space="preserve"> </w:t>
      </w:r>
      <w:r w:rsidRPr="000322E4">
        <w:t>дни</w:t>
      </w:r>
    </w:p>
    <w:p w14:paraId="49E3E56B" w14:textId="77777777" w:rsidR="00666D68" w:rsidRPr="0053335B" w:rsidRDefault="00666D68" w:rsidP="008E3584">
      <w:pPr>
        <w:spacing w:line="360" w:lineRule="auto"/>
        <w:jc w:val="both"/>
        <w:rPr>
          <w:b/>
        </w:rPr>
      </w:pPr>
      <w:r w:rsidRPr="000322E4">
        <w:rPr>
          <w:b/>
        </w:rPr>
        <w:t>Циклы</w:t>
      </w:r>
      <w:r w:rsidRPr="0053335B">
        <w:rPr>
          <w:b/>
        </w:rPr>
        <w:t xml:space="preserve"> 2, 4, 6, 8 (</w:t>
      </w:r>
      <w:r w:rsidRPr="00B972D6">
        <w:rPr>
          <w:b/>
          <w:lang w:val="en-US"/>
        </w:rPr>
        <w:t>HMA</w:t>
      </w:r>
      <w:r w:rsidRPr="0053335B">
        <w:rPr>
          <w:b/>
        </w:rPr>
        <w:t>):</w:t>
      </w:r>
    </w:p>
    <w:p w14:paraId="46E5150F" w14:textId="77777777" w:rsidR="00B7749F" w:rsidRPr="0053335B" w:rsidRDefault="00B7749F" w:rsidP="00A265AD">
      <w:pPr>
        <w:widowControl w:val="0"/>
        <w:numPr>
          <w:ilvl w:val="0"/>
          <w:numId w:val="54"/>
        </w:numPr>
        <w:autoSpaceDE w:val="0"/>
        <w:autoSpaceDN w:val="0"/>
        <w:adjustRightInd w:val="0"/>
        <w:spacing w:line="360" w:lineRule="auto"/>
        <w:jc w:val="both"/>
      </w:pPr>
      <w:r w:rsidRPr="000322E4">
        <w:lastRenderedPageBreak/>
        <w:t>Ритуксимаб</w:t>
      </w:r>
      <w:r w:rsidRPr="0053335B">
        <w:t xml:space="preserve">** 375 </w:t>
      </w:r>
      <w:r w:rsidRPr="000322E4">
        <w:t>мг</w:t>
      </w:r>
      <w:r w:rsidRPr="0053335B">
        <w:t>/</w:t>
      </w:r>
      <w:r w:rsidRPr="000322E4">
        <w:t>м</w:t>
      </w:r>
      <w:r w:rsidRPr="0053335B">
        <w:rPr>
          <w:vertAlign w:val="superscript"/>
        </w:rPr>
        <w:t>2</w:t>
      </w:r>
      <w:r w:rsidRPr="0053335B">
        <w:t xml:space="preserve"> </w:t>
      </w:r>
      <w:r w:rsidRPr="000322E4">
        <w:t>в</w:t>
      </w:r>
      <w:r w:rsidRPr="0053335B">
        <w:t>/</w:t>
      </w:r>
      <w:r w:rsidRPr="000322E4">
        <w:t>в</w:t>
      </w:r>
      <w:r w:rsidRPr="0053335B">
        <w:t>, 2-</w:t>
      </w:r>
      <w:r w:rsidRPr="000322E4">
        <w:t>й</w:t>
      </w:r>
      <w:r w:rsidRPr="0053335B">
        <w:t>, 8-</w:t>
      </w:r>
      <w:r w:rsidRPr="000322E4">
        <w:t>й</w:t>
      </w:r>
      <w:r w:rsidRPr="0053335B">
        <w:t xml:space="preserve"> (</w:t>
      </w:r>
      <w:r w:rsidRPr="000322E4">
        <w:t>циклы</w:t>
      </w:r>
      <w:r w:rsidRPr="0053335B">
        <w:t xml:space="preserve"> 2, 4)</w:t>
      </w:r>
    </w:p>
    <w:p w14:paraId="5D65BC76" w14:textId="77777777" w:rsidR="00666D68" w:rsidRPr="0053335B" w:rsidRDefault="00666D68" w:rsidP="00A265AD">
      <w:pPr>
        <w:widowControl w:val="0"/>
        <w:numPr>
          <w:ilvl w:val="0"/>
          <w:numId w:val="54"/>
        </w:numPr>
        <w:autoSpaceDE w:val="0"/>
        <w:autoSpaceDN w:val="0"/>
        <w:adjustRightInd w:val="0"/>
        <w:spacing w:line="360" w:lineRule="auto"/>
        <w:jc w:val="both"/>
      </w:pPr>
      <w:r w:rsidRPr="000322E4">
        <w:t>Метотрексат</w:t>
      </w:r>
      <w:r w:rsidRPr="0053335B">
        <w:t xml:space="preserve">** 1000 </w:t>
      </w:r>
      <w:r w:rsidRPr="000322E4">
        <w:t>мг</w:t>
      </w:r>
      <w:r w:rsidRPr="0053335B">
        <w:t xml:space="preserve"> </w:t>
      </w:r>
      <w:r w:rsidRPr="000322E4">
        <w:t>в</w:t>
      </w:r>
      <w:r w:rsidRPr="0053335B">
        <w:t>/</w:t>
      </w:r>
      <w:r w:rsidRPr="000322E4">
        <w:t>в</w:t>
      </w:r>
      <w:r w:rsidRPr="0053335B">
        <w:t xml:space="preserve"> </w:t>
      </w:r>
      <w:r w:rsidRPr="000322E4">
        <w:t>непрерывной</w:t>
      </w:r>
      <w:r w:rsidRPr="0053335B">
        <w:t xml:space="preserve"> 24-</w:t>
      </w:r>
      <w:r w:rsidRPr="000322E4">
        <w:t>часовой</w:t>
      </w:r>
      <w:r w:rsidRPr="0053335B">
        <w:t xml:space="preserve"> </w:t>
      </w:r>
      <w:r w:rsidRPr="000322E4">
        <w:t>инфузией</w:t>
      </w:r>
      <w:r w:rsidRPr="0053335B">
        <w:t>, 1-</w:t>
      </w:r>
      <w:r w:rsidRPr="000322E4">
        <w:t>й</w:t>
      </w:r>
      <w:r w:rsidRPr="0053335B">
        <w:t xml:space="preserve"> </w:t>
      </w:r>
      <w:r w:rsidRPr="000322E4">
        <w:t>день</w:t>
      </w:r>
    </w:p>
    <w:p w14:paraId="22FBD6CE" w14:textId="77777777" w:rsidR="00666D68" w:rsidRPr="0053335B" w:rsidRDefault="00666D68" w:rsidP="00A265AD">
      <w:pPr>
        <w:widowControl w:val="0"/>
        <w:numPr>
          <w:ilvl w:val="0"/>
          <w:numId w:val="54"/>
        </w:numPr>
        <w:autoSpaceDE w:val="0"/>
        <w:autoSpaceDN w:val="0"/>
        <w:adjustRightInd w:val="0"/>
        <w:spacing w:line="360" w:lineRule="auto"/>
        <w:jc w:val="both"/>
      </w:pPr>
      <w:r w:rsidRPr="000322E4">
        <w:t>Цитарабин</w:t>
      </w:r>
      <w:r w:rsidRPr="0053335B">
        <w:t xml:space="preserve">** 3 </w:t>
      </w:r>
      <w:r w:rsidRPr="000322E4">
        <w:t>г</w:t>
      </w:r>
      <w:r w:rsidRPr="0053335B">
        <w:t>/</w:t>
      </w:r>
      <w:r w:rsidRPr="000322E4">
        <w:t>м</w:t>
      </w:r>
      <w:r w:rsidRPr="0053335B">
        <w:rPr>
          <w:vertAlign w:val="superscript"/>
        </w:rPr>
        <w:t>2</w:t>
      </w:r>
      <w:r w:rsidRPr="0053335B">
        <w:t xml:space="preserve"> (</w:t>
      </w:r>
      <w:r w:rsidRPr="000322E4">
        <w:t>у</w:t>
      </w:r>
      <w:r w:rsidRPr="0053335B">
        <w:t xml:space="preserve"> </w:t>
      </w:r>
      <w:r w:rsidRPr="000322E4">
        <w:t>больных</w:t>
      </w:r>
      <w:r w:rsidRPr="0053335B">
        <w:t xml:space="preserve"> </w:t>
      </w:r>
      <w:r w:rsidRPr="000322E4">
        <w:t>старше</w:t>
      </w:r>
      <w:r w:rsidRPr="0053335B">
        <w:t xml:space="preserve"> 60 </w:t>
      </w:r>
      <w:r w:rsidRPr="000322E4">
        <w:t>лет</w:t>
      </w:r>
      <w:r w:rsidRPr="0053335B">
        <w:t xml:space="preserve"> – 1 </w:t>
      </w:r>
      <w:r w:rsidRPr="000322E4">
        <w:t>г</w:t>
      </w:r>
      <w:r w:rsidRPr="0053335B">
        <w:t>/</w:t>
      </w:r>
      <w:r w:rsidRPr="000322E4">
        <w:t>м</w:t>
      </w:r>
      <w:r w:rsidRPr="0053335B">
        <w:rPr>
          <w:vertAlign w:val="superscript"/>
        </w:rPr>
        <w:t>2</w:t>
      </w:r>
      <w:r w:rsidRPr="0053335B">
        <w:t xml:space="preserve">) </w:t>
      </w:r>
      <w:r w:rsidRPr="000322E4">
        <w:t>в</w:t>
      </w:r>
      <w:r w:rsidRPr="0053335B">
        <w:t>/</w:t>
      </w:r>
      <w:r w:rsidRPr="000322E4">
        <w:t>в</w:t>
      </w:r>
      <w:r w:rsidRPr="0053335B">
        <w:t xml:space="preserve"> </w:t>
      </w:r>
      <w:r w:rsidRPr="000322E4">
        <w:t>каждые</w:t>
      </w:r>
      <w:r w:rsidRPr="0053335B">
        <w:t xml:space="preserve"> 12 </w:t>
      </w:r>
      <w:r w:rsidRPr="000322E4">
        <w:t>ч</w:t>
      </w:r>
      <w:r w:rsidRPr="0053335B">
        <w:t>, 2–3-</w:t>
      </w:r>
      <w:r w:rsidRPr="000322E4">
        <w:t>й</w:t>
      </w:r>
      <w:r w:rsidRPr="0053335B">
        <w:t xml:space="preserve"> </w:t>
      </w:r>
      <w:r w:rsidRPr="000322E4">
        <w:t>дни</w:t>
      </w:r>
      <w:r w:rsidRPr="0053335B">
        <w:t xml:space="preserve"> (</w:t>
      </w:r>
      <w:r w:rsidRPr="000322E4">
        <w:t>всего</w:t>
      </w:r>
      <w:r w:rsidRPr="0053335B">
        <w:t xml:space="preserve"> 4 </w:t>
      </w:r>
      <w:r w:rsidRPr="000322E4">
        <w:t>введения</w:t>
      </w:r>
      <w:r w:rsidRPr="0053335B">
        <w:t>)</w:t>
      </w:r>
    </w:p>
    <w:p w14:paraId="326C71CE" w14:textId="7576B76B" w:rsidR="00666D68" w:rsidRDefault="00666D68" w:rsidP="00E47E08">
      <w:pPr>
        <w:widowControl w:val="0"/>
        <w:autoSpaceDE w:val="0"/>
        <w:autoSpaceDN w:val="0"/>
        <w:adjustRightInd w:val="0"/>
        <w:spacing w:line="360" w:lineRule="auto"/>
        <w:ind w:firstLine="709"/>
        <w:jc w:val="both"/>
      </w:pPr>
      <w:r w:rsidRPr="000322E4">
        <w:t>Профилактика</w:t>
      </w:r>
      <w:r w:rsidRPr="0053335B">
        <w:t xml:space="preserve"> </w:t>
      </w:r>
      <w:r w:rsidRPr="000322E4">
        <w:t>поражения</w:t>
      </w:r>
      <w:r w:rsidRPr="0053335B">
        <w:t xml:space="preserve"> </w:t>
      </w:r>
      <w:r w:rsidRPr="000322E4">
        <w:t>ЦНС</w:t>
      </w:r>
      <w:r w:rsidRPr="0053335B">
        <w:t xml:space="preserve"> </w:t>
      </w:r>
      <w:r w:rsidRPr="000322E4">
        <w:t>проводится</w:t>
      </w:r>
      <w:r w:rsidRPr="0053335B">
        <w:t xml:space="preserve"> </w:t>
      </w:r>
      <w:r w:rsidRPr="000322E4">
        <w:t>на</w:t>
      </w:r>
      <w:r w:rsidRPr="0053335B">
        <w:t xml:space="preserve"> </w:t>
      </w:r>
      <w:r w:rsidRPr="000322E4">
        <w:t>каждом</w:t>
      </w:r>
      <w:r w:rsidRPr="0053335B">
        <w:t xml:space="preserve"> </w:t>
      </w:r>
      <w:r w:rsidRPr="000322E4">
        <w:t>курсе</w:t>
      </w:r>
      <w:r w:rsidRPr="0053335B">
        <w:t xml:space="preserve">, </w:t>
      </w:r>
      <w:r w:rsidRPr="000322E4">
        <w:t>суммарно</w:t>
      </w:r>
      <w:r w:rsidRPr="0053335B">
        <w:t xml:space="preserve"> 16 </w:t>
      </w:r>
      <w:r w:rsidRPr="000322E4">
        <w:t>интратекальных</w:t>
      </w:r>
      <w:r w:rsidRPr="0053335B">
        <w:t xml:space="preserve"> </w:t>
      </w:r>
      <w:r w:rsidRPr="000322E4">
        <w:t>введений</w:t>
      </w:r>
      <w:r w:rsidRPr="0053335B">
        <w:t xml:space="preserve">: </w:t>
      </w:r>
      <w:r w:rsidRPr="000322E4">
        <w:t>метотрексат</w:t>
      </w:r>
      <w:r w:rsidRPr="0053335B">
        <w:t xml:space="preserve">** 12 </w:t>
      </w:r>
      <w:r w:rsidRPr="000322E4">
        <w:t>мг</w:t>
      </w:r>
      <w:r w:rsidRPr="0053335B">
        <w:t xml:space="preserve"> </w:t>
      </w:r>
      <w:r w:rsidRPr="000322E4">
        <w:t>интратекально</w:t>
      </w:r>
      <w:r w:rsidR="009F6F86">
        <w:t xml:space="preserve"> (кроме беременных женщин)</w:t>
      </w:r>
      <w:r w:rsidRPr="0053335B">
        <w:t>, 2-</w:t>
      </w:r>
      <w:r w:rsidRPr="000322E4">
        <w:t>й</w:t>
      </w:r>
      <w:r w:rsidRPr="0053335B">
        <w:t xml:space="preserve"> </w:t>
      </w:r>
      <w:r w:rsidRPr="000322E4">
        <w:t>день</w:t>
      </w:r>
      <w:r w:rsidRPr="0053335B">
        <w:t xml:space="preserve">, </w:t>
      </w:r>
      <w:r w:rsidRPr="000322E4">
        <w:t>цитарабин</w:t>
      </w:r>
      <w:r w:rsidRPr="0053335B">
        <w:t xml:space="preserve">** 100 </w:t>
      </w:r>
      <w:r w:rsidRPr="000322E4">
        <w:t>мг</w:t>
      </w:r>
      <w:r w:rsidRPr="0053335B">
        <w:t xml:space="preserve"> </w:t>
      </w:r>
      <w:r w:rsidRPr="000322E4">
        <w:t>интратекально</w:t>
      </w:r>
      <w:r w:rsidRPr="0053335B">
        <w:t>, 7-</w:t>
      </w:r>
      <w:r w:rsidRPr="000322E4">
        <w:t>й</w:t>
      </w:r>
      <w:r w:rsidRPr="0053335B">
        <w:t xml:space="preserve"> </w:t>
      </w:r>
      <w:r w:rsidRPr="000322E4">
        <w:t>день</w:t>
      </w:r>
    </w:p>
    <w:p w14:paraId="3203BBBB" w14:textId="01A88618" w:rsidR="00EB3D5F" w:rsidRPr="0053335B" w:rsidRDefault="00EB3D5F" w:rsidP="00E47E08">
      <w:pPr>
        <w:widowControl w:val="0"/>
        <w:autoSpaceDE w:val="0"/>
        <w:autoSpaceDN w:val="0"/>
        <w:adjustRightInd w:val="0"/>
        <w:spacing w:line="360" w:lineRule="auto"/>
        <w:ind w:firstLine="709"/>
        <w:jc w:val="both"/>
      </w:pPr>
      <w:r w:rsidRPr="00EB3D5F">
        <w:t>Филграстим 5 мкг/кг подкожно (п/к) через 24-72 часа после окончания введения химиопрепаратов и до восстановления нормального числа нейтрофилов после надира или пэгфилграстим 6 мг или эмпэгфилграстим 7,5 мг подкожно, однократно, не менее чем через 24 часа после окончания введения химиопрепаратов.</w:t>
      </w:r>
    </w:p>
    <w:p w14:paraId="0556C4EE" w14:textId="77777777" w:rsidR="00666D68" w:rsidRPr="0053335B" w:rsidRDefault="00666D68" w:rsidP="00CA442F">
      <w:pPr>
        <w:pStyle w:val="-51"/>
        <w:spacing w:line="360" w:lineRule="auto"/>
        <w:ind w:left="0"/>
        <w:rPr>
          <w:b/>
          <w:szCs w:val="24"/>
        </w:rPr>
      </w:pPr>
    </w:p>
    <w:p w14:paraId="6CCD90CF" w14:textId="77777777" w:rsidR="00666D68" w:rsidRPr="0053335B" w:rsidRDefault="00666D68" w:rsidP="008E3584">
      <w:pPr>
        <w:pStyle w:val="afd"/>
        <w:ind w:firstLine="0"/>
        <w:rPr>
          <w:b/>
          <w:bCs/>
          <w:u w:val="single"/>
        </w:rPr>
      </w:pPr>
      <w:r w:rsidRPr="000322E4">
        <w:rPr>
          <w:b/>
          <w:bCs/>
          <w:u w:val="single"/>
          <w:lang w:val="en-US"/>
        </w:rPr>
        <w:t>A</w:t>
      </w:r>
      <w:r w:rsidRPr="0053335B">
        <w:rPr>
          <w:b/>
          <w:bCs/>
          <w:u w:val="single"/>
        </w:rPr>
        <w:t xml:space="preserve">3.1.3 </w:t>
      </w:r>
      <w:r w:rsidRPr="000322E4">
        <w:rPr>
          <w:b/>
          <w:bCs/>
          <w:u w:val="single"/>
        </w:rPr>
        <w:t>Схемы</w:t>
      </w:r>
      <w:r w:rsidRPr="0053335B">
        <w:rPr>
          <w:b/>
          <w:bCs/>
          <w:u w:val="single"/>
        </w:rPr>
        <w:t xml:space="preserve"> </w:t>
      </w:r>
      <w:r w:rsidRPr="000322E4">
        <w:rPr>
          <w:b/>
          <w:bCs/>
          <w:u w:val="single"/>
        </w:rPr>
        <w:t>лечения</w:t>
      </w:r>
      <w:r w:rsidRPr="0053335B">
        <w:rPr>
          <w:b/>
          <w:bCs/>
          <w:u w:val="single"/>
        </w:rPr>
        <w:t xml:space="preserve"> </w:t>
      </w:r>
      <w:r w:rsidRPr="000322E4">
        <w:rPr>
          <w:b/>
          <w:bCs/>
          <w:u w:val="single"/>
        </w:rPr>
        <w:t>рецидивов</w:t>
      </w:r>
      <w:r w:rsidRPr="0053335B">
        <w:rPr>
          <w:b/>
          <w:bCs/>
          <w:u w:val="single"/>
        </w:rPr>
        <w:t xml:space="preserve"> </w:t>
      </w:r>
      <w:r w:rsidRPr="000322E4">
        <w:rPr>
          <w:b/>
          <w:bCs/>
          <w:u w:val="single"/>
        </w:rPr>
        <w:t>у</w:t>
      </w:r>
      <w:r w:rsidRPr="0053335B">
        <w:rPr>
          <w:b/>
          <w:bCs/>
          <w:u w:val="single"/>
        </w:rPr>
        <w:t xml:space="preserve"> </w:t>
      </w:r>
      <w:r w:rsidRPr="000322E4">
        <w:rPr>
          <w:b/>
          <w:bCs/>
          <w:u w:val="single"/>
        </w:rPr>
        <w:t>пациентов</w:t>
      </w:r>
      <w:r w:rsidRPr="0053335B">
        <w:rPr>
          <w:b/>
          <w:bCs/>
          <w:u w:val="single"/>
        </w:rPr>
        <w:t xml:space="preserve"> </w:t>
      </w:r>
      <w:r w:rsidRPr="000322E4">
        <w:rPr>
          <w:b/>
          <w:bCs/>
          <w:u w:val="single"/>
        </w:rPr>
        <w:t>с</w:t>
      </w:r>
      <w:r w:rsidRPr="0053335B">
        <w:rPr>
          <w:b/>
          <w:bCs/>
          <w:u w:val="single"/>
        </w:rPr>
        <w:t xml:space="preserve"> </w:t>
      </w:r>
      <w:r w:rsidRPr="000322E4">
        <w:rPr>
          <w:b/>
          <w:bCs/>
          <w:u w:val="single"/>
        </w:rPr>
        <w:t>агрессивными</w:t>
      </w:r>
      <w:r w:rsidRPr="0053335B">
        <w:rPr>
          <w:b/>
          <w:bCs/>
          <w:u w:val="single"/>
        </w:rPr>
        <w:t xml:space="preserve"> </w:t>
      </w:r>
      <w:r w:rsidRPr="000322E4">
        <w:rPr>
          <w:b/>
          <w:bCs/>
          <w:u w:val="single"/>
        </w:rPr>
        <w:t>нефолликулярными</w:t>
      </w:r>
      <w:r w:rsidRPr="0053335B">
        <w:rPr>
          <w:b/>
          <w:bCs/>
          <w:u w:val="single"/>
        </w:rPr>
        <w:t xml:space="preserve"> </w:t>
      </w:r>
      <w:r w:rsidRPr="000322E4">
        <w:rPr>
          <w:b/>
          <w:bCs/>
          <w:u w:val="single"/>
        </w:rPr>
        <w:t>В</w:t>
      </w:r>
      <w:r w:rsidRPr="0053335B">
        <w:rPr>
          <w:b/>
          <w:bCs/>
          <w:u w:val="single"/>
        </w:rPr>
        <w:t>-</w:t>
      </w:r>
      <w:r w:rsidRPr="000322E4">
        <w:rPr>
          <w:b/>
          <w:bCs/>
          <w:u w:val="single"/>
        </w:rPr>
        <w:t>клеточными</w:t>
      </w:r>
      <w:r w:rsidRPr="0053335B">
        <w:rPr>
          <w:b/>
          <w:bCs/>
          <w:u w:val="single"/>
        </w:rPr>
        <w:t xml:space="preserve"> </w:t>
      </w:r>
      <w:r w:rsidRPr="000322E4">
        <w:rPr>
          <w:b/>
          <w:bCs/>
          <w:u w:val="single"/>
        </w:rPr>
        <w:t>лимфомами</w:t>
      </w:r>
    </w:p>
    <w:p w14:paraId="253957CD" w14:textId="00DE2303" w:rsidR="00666D68" w:rsidRPr="000322E4" w:rsidRDefault="00666D68" w:rsidP="008E3584">
      <w:pPr>
        <w:spacing w:line="360" w:lineRule="auto"/>
        <w:jc w:val="both"/>
        <w:rPr>
          <w:b/>
          <w:bCs/>
        </w:rPr>
      </w:pPr>
      <w:r w:rsidRPr="00B972D6">
        <w:rPr>
          <w:b/>
          <w:bCs/>
          <w:lang w:val="en-US"/>
        </w:rPr>
        <w:t>DHAP</w:t>
      </w:r>
      <w:r w:rsidRPr="0053335B">
        <w:rPr>
          <w:b/>
          <w:bCs/>
        </w:rPr>
        <w:t xml:space="preserve"> </w:t>
      </w:r>
      <w:r w:rsidRPr="000322E4">
        <w:rPr>
          <w:lang w:val="en-US"/>
        </w:rPr>
        <w:fldChar w:fldCharType="begin" w:fldLock="1"/>
      </w:r>
      <w:r w:rsidR="006A2B13">
        <w:rPr>
          <w:lang w:val="en-US"/>
        </w:rPr>
        <w:instrText>ADDIN</w:instrText>
      </w:r>
      <w:r w:rsidR="006A2B13" w:rsidRPr="006A2B13">
        <w:instrText xml:space="preserve"> </w:instrText>
      </w:r>
      <w:r w:rsidR="006A2B13">
        <w:rPr>
          <w:lang w:val="en-US"/>
        </w:rPr>
        <w:instrText>CSL</w:instrText>
      </w:r>
      <w:r w:rsidR="006A2B13" w:rsidRPr="006A2B13">
        <w:instrText>_</w:instrText>
      </w:r>
      <w:r w:rsidR="006A2B13">
        <w:rPr>
          <w:lang w:val="en-US"/>
        </w:rPr>
        <w:instrText>CITATION</w:instrText>
      </w:r>
      <w:r w:rsidR="006A2B13" w:rsidRPr="006A2B13">
        <w:instrText xml:space="preserve"> {"</w:instrText>
      </w:r>
      <w:r w:rsidR="006A2B13">
        <w:rPr>
          <w:lang w:val="en-US"/>
        </w:rPr>
        <w:instrText>citationItems</w:instrText>
      </w:r>
      <w:r w:rsidR="006A2B13" w:rsidRPr="006A2B13">
        <w:instrText>":[{"</w:instrText>
      </w:r>
      <w:r w:rsidR="006A2B13">
        <w:rPr>
          <w:lang w:val="en-US"/>
        </w:rPr>
        <w:instrText>id</w:instrText>
      </w:r>
      <w:r w:rsidR="006A2B13" w:rsidRPr="006A2B13">
        <w:instrText>":"</w:instrText>
      </w:r>
      <w:r w:rsidR="006A2B13">
        <w:rPr>
          <w:lang w:val="en-US"/>
        </w:rPr>
        <w:instrText>ITEM</w:instrText>
      </w:r>
      <w:r w:rsidR="006A2B13" w:rsidRPr="006A2B13">
        <w:instrText>-1","</w:instrText>
      </w:r>
      <w:r w:rsidR="006A2B13">
        <w:rPr>
          <w:lang w:val="en-US"/>
        </w:rPr>
        <w:instrText>itemData</w:instrText>
      </w:r>
      <w:r w:rsidR="006A2B13" w:rsidRPr="006A2B13">
        <w:instrText>":{"</w:instrText>
      </w:r>
      <w:r w:rsidR="006A2B13">
        <w:rPr>
          <w:lang w:val="en-US"/>
        </w:rPr>
        <w:instrText>id</w:instrText>
      </w:r>
      <w:r w:rsidR="006A2B13" w:rsidRPr="006A2B13">
        <w:instrText>":"</w:instrText>
      </w:r>
      <w:r w:rsidR="006A2B13">
        <w:rPr>
          <w:lang w:val="en-US"/>
        </w:rPr>
        <w:instrText>ITEM</w:instrText>
      </w:r>
      <w:r w:rsidR="006A2B13" w:rsidRPr="006A2B13">
        <w:instrText>-1","</w:instrText>
      </w:r>
      <w:r w:rsidR="006A2B13">
        <w:rPr>
          <w:lang w:val="en-US"/>
        </w:rPr>
        <w:instrText>issued</w:instrText>
      </w:r>
      <w:r w:rsidR="006A2B13" w:rsidRPr="006A2B13">
        <w:instrText>":{"</w:instrText>
      </w:r>
      <w:r w:rsidR="006A2B13">
        <w:rPr>
          <w:lang w:val="en-US"/>
        </w:rPr>
        <w:instrText>date</w:instrText>
      </w:r>
      <w:r w:rsidR="006A2B13" w:rsidRPr="006A2B13">
        <w:instrText>-</w:instrText>
      </w:r>
      <w:r w:rsidR="006A2B13">
        <w:rPr>
          <w:lang w:val="en-US"/>
        </w:rPr>
        <w:instrText>parts</w:instrText>
      </w:r>
      <w:r w:rsidR="006A2B13" w:rsidRPr="006A2B13">
        <w:instrText>":[["2015"]]},"</w:instrText>
      </w:r>
      <w:r w:rsidR="006A2B13">
        <w:rPr>
          <w:lang w:val="en-US"/>
        </w:rPr>
        <w:instrText>title</w:instrText>
      </w:r>
      <w:r w:rsidR="006A2B13" w:rsidRPr="006A2B13">
        <w:instrText>":"</w:instrText>
      </w:r>
      <w:r w:rsidR="006A2B13">
        <w:rPr>
          <w:lang w:val="en-US"/>
        </w:rPr>
        <w:instrText>Guidelines</w:instrText>
      </w:r>
      <w:r w:rsidR="006A2B13" w:rsidRPr="006A2B13">
        <w:instrText xml:space="preserve"> </w:instrText>
      </w:r>
      <w:r w:rsidR="006A2B13">
        <w:rPr>
          <w:lang w:val="en-US"/>
        </w:rPr>
        <w:instrText>for</w:instrText>
      </w:r>
      <w:r w:rsidR="006A2B13" w:rsidRPr="006A2B13">
        <w:instrText xml:space="preserve"> </w:instrText>
      </w:r>
      <w:r w:rsidR="006A2B13">
        <w:rPr>
          <w:lang w:val="en-US"/>
        </w:rPr>
        <w:instrText>the</w:instrText>
      </w:r>
      <w:r w:rsidR="006A2B13" w:rsidRPr="006A2B13">
        <w:instrText xml:space="preserve"> </w:instrText>
      </w:r>
      <w:r w:rsidR="006A2B13">
        <w:rPr>
          <w:lang w:val="en-US"/>
        </w:rPr>
        <w:instrText>management</w:instrText>
      </w:r>
      <w:r w:rsidR="006A2B13" w:rsidRPr="006A2B13">
        <w:instrText xml:space="preserve"> </w:instrText>
      </w:r>
      <w:r w:rsidR="006A2B13">
        <w:rPr>
          <w:lang w:val="en-US"/>
        </w:rPr>
        <w:instrText>of</w:instrText>
      </w:r>
      <w:r w:rsidR="006A2B13" w:rsidRPr="006A2B13">
        <w:instrText xml:space="preserve"> </w:instrText>
      </w:r>
      <w:r w:rsidR="006A2B13">
        <w:rPr>
          <w:lang w:val="en-US"/>
        </w:rPr>
        <w:instrText>non</w:instrText>
      </w:r>
      <w:r w:rsidR="006A2B13" w:rsidRPr="006A2B13">
        <w:instrText>-­-</w:instrText>
      </w:r>
      <w:r w:rsidR="006A2B13">
        <w:rPr>
          <w:lang w:val="en-US"/>
        </w:rPr>
        <w:instrText>Hodgkin</w:instrText>
      </w:r>
      <w:r w:rsidR="006A2B13" w:rsidRPr="006A2B13">
        <w:instrText>'</w:instrText>
      </w:r>
      <w:r w:rsidR="006A2B13">
        <w:rPr>
          <w:lang w:val="en-US"/>
        </w:rPr>
        <w:instrText>s</w:instrText>
      </w:r>
      <w:r w:rsidR="006A2B13" w:rsidRPr="006A2B13">
        <w:instrText xml:space="preserve"> </w:instrText>
      </w:r>
      <w:r w:rsidR="006A2B13">
        <w:rPr>
          <w:lang w:val="en-US"/>
        </w:rPr>
        <w:instrText>and</w:instrText>
      </w:r>
      <w:r w:rsidR="006A2B13" w:rsidRPr="006A2B13">
        <w:instrText xml:space="preserve"> </w:instrText>
      </w:r>
      <w:r w:rsidR="006A2B13">
        <w:rPr>
          <w:lang w:val="en-US"/>
        </w:rPr>
        <w:instrText>Hodgkin</w:instrText>
      </w:r>
      <w:r w:rsidR="006A2B13" w:rsidRPr="006A2B13">
        <w:instrText>'</w:instrText>
      </w:r>
      <w:r w:rsidR="006A2B13">
        <w:rPr>
          <w:lang w:val="en-US"/>
        </w:rPr>
        <w:instrText>s</w:instrText>
      </w:r>
      <w:r w:rsidR="006A2B13" w:rsidRPr="006A2B13">
        <w:instrText xml:space="preserve"> </w:instrText>
      </w:r>
      <w:r w:rsidR="006A2B13">
        <w:rPr>
          <w:lang w:val="en-US"/>
        </w:rPr>
        <w:instrText>lymphoma</w:instrText>
      </w:r>
      <w:r w:rsidR="006A2B13" w:rsidRPr="006A2B13">
        <w:instrText xml:space="preserve"> </w:instrText>
      </w:r>
      <w:r w:rsidR="006A2B13">
        <w:rPr>
          <w:lang w:val="en-US"/>
        </w:rPr>
        <w:instrText>in</w:instrText>
      </w:r>
      <w:r w:rsidR="006A2B13" w:rsidRPr="006A2B13">
        <w:instrText xml:space="preserve"> </w:instrText>
      </w:r>
      <w:r w:rsidR="006A2B13">
        <w:rPr>
          <w:lang w:val="en-US"/>
        </w:rPr>
        <w:instrText>adults</w:instrText>
      </w:r>
      <w:r w:rsidR="006A2B13" w:rsidRPr="006A2B13">
        <w:instrText>","</w:instrText>
      </w:r>
      <w:r w:rsidR="006A2B13">
        <w:rPr>
          <w:lang w:val="en-US"/>
        </w:rPr>
        <w:instrText>type</w:instrText>
      </w:r>
      <w:r w:rsidR="006A2B13" w:rsidRPr="006A2B13">
        <w:instrText>":"</w:instrText>
      </w:r>
      <w:r w:rsidR="006A2B13">
        <w:rPr>
          <w:lang w:val="en-US"/>
        </w:rPr>
        <w:instrText>report</w:instrText>
      </w:r>
      <w:r w:rsidR="006A2B13" w:rsidRPr="006A2B13">
        <w:instrText>"},"</w:instrText>
      </w:r>
      <w:r w:rsidR="006A2B13">
        <w:rPr>
          <w:lang w:val="en-US"/>
        </w:rPr>
        <w:instrText>uris</w:instrText>
      </w:r>
      <w:r w:rsidR="006A2B13" w:rsidRPr="006A2B13">
        <w:instrText>":["</w:instrText>
      </w:r>
      <w:r w:rsidR="006A2B13">
        <w:rPr>
          <w:lang w:val="en-US"/>
        </w:rPr>
        <w:instrText>http</w:instrText>
      </w:r>
      <w:r w:rsidR="006A2B13" w:rsidRPr="006A2B13">
        <w:instrText>://</w:instrText>
      </w:r>
      <w:r w:rsidR="006A2B13">
        <w:rPr>
          <w:lang w:val="en-US"/>
        </w:rPr>
        <w:instrText>www</w:instrText>
      </w:r>
      <w:r w:rsidR="006A2B13" w:rsidRPr="006A2B13">
        <w:instrText>.</w:instrText>
      </w:r>
      <w:r w:rsidR="006A2B13">
        <w:rPr>
          <w:lang w:val="en-US"/>
        </w:rPr>
        <w:instrText>mendeley</w:instrText>
      </w:r>
      <w:r w:rsidR="006A2B13" w:rsidRPr="006A2B13">
        <w:instrText>.</w:instrText>
      </w:r>
      <w:r w:rsidR="006A2B13">
        <w:rPr>
          <w:lang w:val="en-US"/>
        </w:rPr>
        <w:instrText>com</w:instrText>
      </w:r>
      <w:r w:rsidR="006A2B13" w:rsidRPr="006A2B13">
        <w:instrText>/</w:instrText>
      </w:r>
      <w:r w:rsidR="006A2B13">
        <w:rPr>
          <w:lang w:val="en-US"/>
        </w:rPr>
        <w:instrText>documents</w:instrText>
      </w:r>
      <w:r w:rsidR="006A2B13" w:rsidRPr="006A2B13">
        <w:instrText>/?</w:instrText>
      </w:r>
      <w:r w:rsidR="006A2B13">
        <w:rPr>
          <w:lang w:val="en-US"/>
        </w:rPr>
        <w:instrText>uuid</w:instrText>
      </w:r>
      <w:r w:rsidR="006A2B13" w:rsidRPr="006A2B13">
        <w:instrText>=</w:instrText>
      </w:r>
      <w:r w:rsidR="006A2B13">
        <w:rPr>
          <w:lang w:val="en-US"/>
        </w:rPr>
        <w:instrText>a</w:instrText>
      </w:r>
      <w:r w:rsidR="006A2B13" w:rsidRPr="006A2B13">
        <w:instrText>380</w:instrText>
      </w:r>
      <w:r w:rsidR="006A2B13">
        <w:rPr>
          <w:lang w:val="en-US"/>
        </w:rPr>
        <w:instrText>ec</w:instrText>
      </w:r>
      <w:r w:rsidR="006A2B13" w:rsidRPr="006A2B13">
        <w:instrText>17-</w:instrText>
      </w:r>
      <w:r w:rsidR="006A2B13">
        <w:rPr>
          <w:lang w:val="en-US"/>
        </w:rPr>
        <w:instrText>d</w:instrText>
      </w:r>
      <w:r w:rsidR="006A2B13" w:rsidRPr="006A2B13">
        <w:instrText>736-3</w:instrText>
      </w:r>
      <w:r w:rsidR="006A2B13">
        <w:rPr>
          <w:lang w:val="en-US"/>
        </w:rPr>
        <w:instrText>ac</w:instrText>
      </w:r>
      <w:r w:rsidR="006A2B13" w:rsidRPr="006A2B13">
        <w:instrText>7-</w:instrText>
      </w:r>
      <w:r w:rsidR="006A2B13">
        <w:rPr>
          <w:lang w:val="en-US"/>
        </w:rPr>
        <w:instrText>b</w:instrText>
      </w:r>
      <w:r w:rsidR="006A2B13" w:rsidRPr="006A2B13">
        <w:instrText>3</w:instrText>
      </w:r>
      <w:r w:rsidR="006A2B13">
        <w:rPr>
          <w:lang w:val="en-US"/>
        </w:rPr>
        <w:instrText>e</w:instrText>
      </w:r>
      <w:r w:rsidR="006A2B13" w:rsidRPr="006A2B13">
        <w:instrText>2-6104</w:instrText>
      </w:r>
      <w:r w:rsidR="006A2B13">
        <w:rPr>
          <w:lang w:val="en-US"/>
        </w:rPr>
        <w:instrText>74fcc0a2"]},{"id":"ITEM-2","itemData":{"author":[{"dropping-particle":"","family":"Тумян","given":"Г.С.","non-dropping-particle":"","parse-names":false,"suffix":""},{"dropping-particle":"","family":"Кравченко","given":"С.К.","non-dropping-particle":"","parse-names":false,"suffix":""},{"dropping-particle":"","family":"Михайлова","given":"Н.Б.","non-dropping-particle":"","parse-names":false,"suffix":""},{"dropping-particle":"","family":"Барях","given":"Е.А.","non-dropping-particle":"","parse-names":false,"suffix":""},{"dropping-particle":"","family":"Птушкин","given":"В.В.","non-dropping-particle":"","parse-names":false,"suffix":""},{"dropping-particle":"","family":"Поддубная","given":"И.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Савченко.","id":"ITEM-2","issued":{"date-parts":[["2018"]]},"page":"58-68","title":"Диффузная В-клеточная крупноклеточная лимфома","type":"chapter"},"uris":["http://www.mendeley.com/documents/?uuid=cb7114f7-4655-4733-8df2-526cc4e32730"]}],"mendeley":{"formattedCitation":"[20,111]","plainTextFormattedCitation":"[20,111]","previouslyFormattedCitation":"[20,111]"},"properties":{"noteIndex":0},"schema":"https://github.com/citation-style-language/schema/raw/master/csl-citation.json"}</w:instrText>
      </w:r>
      <w:r w:rsidRPr="000322E4">
        <w:rPr>
          <w:lang w:val="en-US"/>
        </w:rPr>
        <w:fldChar w:fldCharType="separate"/>
      </w:r>
      <w:r w:rsidR="00A6794A" w:rsidRPr="00A6794A">
        <w:rPr>
          <w:noProof/>
          <w:lang w:val="en-US"/>
        </w:rPr>
        <w:t>[20,111]</w:t>
      </w:r>
      <w:r w:rsidRPr="000322E4">
        <w:rPr>
          <w:lang w:val="en-US"/>
        </w:rPr>
        <w:fldChar w:fldCharType="end"/>
      </w:r>
    </w:p>
    <w:p w14:paraId="23EA1E07" w14:textId="77777777" w:rsidR="00666D68" w:rsidRPr="000322E4" w:rsidRDefault="00666D68" w:rsidP="008E3584">
      <w:pPr>
        <w:numPr>
          <w:ilvl w:val="0"/>
          <w:numId w:val="46"/>
        </w:numPr>
        <w:spacing w:line="360" w:lineRule="auto"/>
        <w:jc w:val="both"/>
      </w:pPr>
      <w:r w:rsidRPr="000322E4">
        <w:t>Дексаметазон</w:t>
      </w:r>
      <w:r w:rsidRPr="000322E4">
        <w:rPr>
          <w:bCs/>
        </w:rPr>
        <w:t>**</w:t>
      </w:r>
      <w:r w:rsidRPr="000322E4">
        <w:t xml:space="preserve"> 40 мг в/в, дни 1-4</w:t>
      </w:r>
    </w:p>
    <w:p w14:paraId="678EC21D" w14:textId="77777777" w:rsidR="00666D68" w:rsidRPr="000322E4" w:rsidRDefault="00666D68" w:rsidP="008E3584">
      <w:pPr>
        <w:numPr>
          <w:ilvl w:val="0"/>
          <w:numId w:val="46"/>
        </w:numPr>
        <w:spacing w:line="360" w:lineRule="auto"/>
        <w:jc w:val="both"/>
      </w:pPr>
      <w:r w:rsidRPr="000322E4">
        <w:t>#Цисплатин</w:t>
      </w:r>
      <w:r w:rsidRPr="000322E4">
        <w:rPr>
          <w:bCs/>
        </w:rPr>
        <w:t>**</w:t>
      </w:r>
      <w:r w:rsidRPr="000322E4">
        <w:t xml:space="preserve"> 100 мг/м</w:t>
      </w:r>
      <w:r w:rsidRPr="000322E4">
        <w:rPr>
          <w:vertAlign w:val="superscript"/>
        </w:rPr>
        <w:t>2</w:t>
      </w:r>
      <w:r w:rsidRPr="000322E4">
        <w:t xml:space="preserve"> в/в кап. </w:t>
      </w:r>
      <w:r w:rsidR="00F414BF" w:rsidRPr="000322E4">
        <w:t>12</w:t>
      </w:r>
      <w:r w:rsidRPr="000322E4">
        <w:t xml:space="preserve">-часовая инфузия, день 1 </w:t>
      </w:r>
    </w:p>
    <w:p w14:paraId="6AB9CEFD" w14:textId="392CF074" w:rsidR="00666D68" w:rsidRDefault="00666D68" w:rsidP="008E3584">
      <w:pPr>
        <w:numPr>
          <w:ilvl w:val="0"/>
          <w:numId w:val="46"/>
        </w:numPr>
        <w:spacing w:line="360" w:lineRule="auto"/>
        <w:jc w:val="both"/>
      </w:pPr>
      <w:r w:rsidRPr="000322E4">
        <w:t>Цитарабин</w:t>
      </w:r>
      <w:r w:rsidRPr="000322E4">
        <w:rPr>
          <w:bCs/>
        </w:rPr>
        <w:t>**</w:t>
      </w:r>
      <w:r w:rsidRPr="000322E4">
        <w:t xml:space="preserve"> 2 г/м</w:t>
      </w:r>
      <w:r w:rsidRPr="000322E4">
        <w:rPr>
          <w:vertAlign w:val="superscript"/>
        </w:rPr>
        <w:t>2</w:t>
      </w:r>
      <w:r w:rsidRPr="000322E4">
        <w:t xml:space="preserve"> в/в кап.</w:t>
      </w:r>
      <w:r w:rsidR="00F414BF" w:rsidRPr="000322E4">
        <w:t xml:space="preserve"> 2 раза в день</w:t>
      </w:r>
      <w:r w:rsidR="00CF72A1" w:rsidRPr="000322E4">
        <w:t>, д</w:t>
      </w:r>
      <w:r w:rsidR="00F414BF" w:rsidRPr="000322E4">
        <w:t xml:space="preserve">ень </w:t>
      </w:r>
      <w:r w:rsidR="00CF72A1" w:rsidRPr="000322E4">
        <w:t>3</w:t>
      </w:r>
      <w:r w:rsidRPr="000322E4">
        <w:t xml:space="preserve"> </w:t>
      </w:r>
    </w:p>
    <w:p w14:paraId="0C1172A7" w14:textId="7EBE305B" w:rsidR="00EB3D5F" w:rsidRPr="000322E4" w:rsidRDefault="00EB3D5F" w:rsidP="008E3584">
      <w:pPr>
        <w:numPr>
          <w:ilvl w:val="0"/>
          <w:numId w:val="46"/>
        </w:numPr>
        <w:spacing w:line="360" w:lineRule="auto"/>
        <w:jc w:val="both"/>
      </w:pPr>
      <w:r w:rsidRPr="00EB3D5F">
        <w:t>Филграстим 5 мкг/кг подкожно (п/к) через 24-72 часа после окончания введения химиопрепаратов и до восстановления нормального числа нейтрофилов после надира или пэгфилграстим 6 мг или эмпэгфилграстим 7,5 мг подкожно, однократно, не менее чем через 24 часа после окончания введения химиопрепаратов.</w:t>
      </w:r>
    </w:p>
    <w:p w14:paraId="7546B4CC" w14:textId="77777777" w:rsidR="00666D68" w:rsidRPr="000322E4" w:rsidRDefault="00666D68" w:rsidP="008E3584">
      <w:pPr>
        <w:spacing w:line="360" w:lineRule="auto"/>
        <w:jc w:val="both"/>
      </w:pPr>
    </w:p>
    <w:p w14:paraId="3492DDBC" w14:textId="00AA49F5" w:rsidR="00666D68" w:rsidRPr="000322E4" w:rsidRDefault="00666D68" w:rsidP="008E3584">
      <w:pPr>
        <w:spacing w:line="360" w:lineRule="auto"/>
        <w:jc w:val="both"/>
        <w:rPr>
          <w:b/>
          <w:bCs/>
        </w:rPr>
      </w:pPr>
      <w:r w:rsidRPr="000322E4">
        <w:rPr>
          <w:b/>
          <w:bCs/>
          <w:lang w:val="en-US"/>
        </w:rPr>
        <w:t>ES</w:t>
      </w:r>
      <w:r w:rsidRPr="000322E4">
        <w:rPr>
          <w:b/>
          <w:bCs/>
        </w:rPr>
        <w:t xml:space="preserve">HAP </w:t>
      </w:r>
      <w:r w:rsidRPr="000322E4">
        <w:rPr>
          <w:lang w:val="en-US"/>
        </w:rPr>
        <w:fldChar w:fldCharType="begin" w:fldLock="1"/>
      </w:r>
      <w:r w:rsidR="006A2B13">
        <w:rPr>
          <w:lang w:val="en-US"/>
        </w:rPr>
        <w:instrText>ADDIN CSL_CITATION {"citationItems":[{"id":"ITEM-1","itemData":{"DOI":"10.1200/JCO.1994.12.6.1169","ISSN":"0732183X","abstract":"Purpose: This study attempted to determine the efficacy of the combination of etoposide (VP-16), methylprednisolone, and cytarabine (Ara-C) with or without cisplatin in relapsing and refractory adult lymphoma patients. Patients and Methods: The first 63 patients were randomized to receive VP-16 40 mg/m2/d for 4 days, methylprednisolone 500 mg intravenously daily for 5 days, and Ara-C 2 g/m2 intravenously over 2 to 3 hours on day 5 with or without cisplatin 25 mg/m2 IV administered by 24-hour infusion for 4 days (ESHA ± P). Markedly different responses between ESHA (33%) and ESHAP (75%) led to deletion of the ESHA arm. A total of 122 patients on the ESHAP regimen were studied. Results: Forty-five patients (37%) attained a complete remission (CR) and 33 (27%) attained a partial remission (PR), for a total response rate of 64%. The median duration of CR was 20 months, with 28% of remitters still in CR at 3 years. The overall median survival duration was 14 months; the survival rate at 3 years was 31%. Overall time to treatment failure (TTF) showed 10% of all patients to be alive and disease-free at 40 months. Response and survival rates were similar in patients with low-grade (n = 34), intermediate-grade (n = 67), transformed (n = 18), and high-grade (n = 3) lymphoma. The most significant factors for response and survival by multivariate analysis were the serum lactic dehydrogenase (LDH) level, tumor burden, and age (when analyzed as a continuous variable), while prior CR was highly significant by univariate analysis. A significant difference in survival was noted for patients with normal LDH levels and low- or intermediate-tumor burden or patients with low tumor burden and elevated LDH levels (55% 3-year survival rate) versus patients with elevated LDH levels and intermediate or high tumor burden (&lt; 20%). Major toxicities included myelosuppression, with a median granulocyte count of 500/μL and platelet count of 70,000/μL. Conclusion: ESHAP was found to be an active, tolerable chemotherapy regimen for relapsing and refractory lymphoma. Applying a prognostic model based on tumor burden and serum LDH level shows significant differences in survival in this patient population.","author":[{"dropping-particle":"","family":"Velasquez","given":"W. S.","non-dropping-particle":"","parse-names":false,"suffix":""},{"dropping-particle":"","family":"McLaughlin","given":"P.","non-dropping-particle":"","parse-names":false,"suffix":""},{"dropping-particle":"","family":"Tucker","given":"S.","non-dropping-particle":"","parse-names":false,"suffix":""},{"dropping-particle":"","family":"Hagemeister","given":"F. B.","non-dropping-particle":"","parse-names":false,"suffix":""},{"dropping-particle":"","family":"Swan","given":"F.","non-dropping-particle":"","parse-names":false,"suffix":""},{"dropping-particle":"","family":"Rodriguez","given":"M. A.","non-dropping-particle":"","parse-names":false,"suffix":""},{"dropping-particle":"","family":"Romaguera","given":"J.","non-dropping-particle":"","parse-names":false,"suffix":""},{"dropping-particle":"","family":"Rubenstein","given":"E.","non-dropping-particle":"","parse-names":false,"suffix":""},{"dropping-particle":"","family":"Cabanillas","given":"F.","non-dropping-particle":"","parse-names":false,"suffix":""}],"container-title":"Journal of Clinical Oncology","id":"ITEM-1","issue":"6","issued":{"date-parts":[["1994","6"]]},"page":"1169-1176","publisher":"American Society of Clinical Oncology","title":"ESHAP - An effective chemotherapy regimen in refractory and relapsing lymphoma: A 4-year follow-up study","type":"article-journal","volume":"12"},"uris":["http://www.mendeley.com/documents/?uuid=58c7db38-48ed-4e7d-873e-d735e5fdcf22"]}],"mendeley":{"formattedCitation":"[112]","plainTextFormattedCitation":"[112]","previouslyFormattedCitation":"[112]"},"properties":{"noteIndex":0},"schema":"https://github.com/citation-style-language/schema/raw/master/csl-citation.json"}</w:instrText>
      </w:r>
      <w:r w:rsidRPr="000322E4">
        <w:rPr>
          <w:lang w:val="en-US"/>
        </w:rPr>
        <w:fldChar w:fldCharType="separate"/>
      </w:r>
      <w:r w:rsidR="00A6794A" w:rsidRPr="00A6794A">
        <w:rPr>
          <w:noProof/>
        </w:rPr>
        <w:t>[112]</w:t>
      </w:r>
      <w:r w:rsidRPr="000322E4">
        <w:rPr>
          <w:lang w:val="en-US"/>
        </w:rPr>
        <w:fldChar w:fldCharType="end"/>
      </w:r>
    </w:p>
    <w:p w14:paraId="0151573B" w14:textId="77777777" w:rsidR="00666D68" w:rsidRPr="000322E4" w:rsidRDefault="00666D68" w:rsidP="008E3584">
      <w:pPr>
        <w:numPr>
          <w:ilvl w:val="0"/>
          <w:numId w:val="46"/>
        </w:numPr>
        <w:spacing w:line="360" w:lineRule="auto"/>
        <w:jc w:val="both"/>
      </w:pPr>
      <w:r w:rsidRPr="000322E4">
        <w:t>Этопозид</w:t>
      </w:r>
      <w:r w:rsidRPr="000322E4">
        <w:rPr>
          <w:bCs/>
        </w:rPr>
        <w:t>**</w:t>
      </w:r>
      <w:r w:rsidRPr="000322E4">
        <w:t xml:space="preserve"> 40 мг/м</w:t>
      </w:r>
      <w:r w:rsidRPr="000322E4">
        <w:rPr>
          <w:vertAlign w:val="superscript"/>
        </w:rPr>
        <w:t>2</w:t>
      </w:r>
      <w:r w:rsidRPr="000322E4">
        <w:t xml:space="preserve"> в/в кап., дни 1-4</w:t>
      </w:r>
    </w:p>
    <w:p w14:paraId="288C356C" w14:textId="77777777" w:rsidR="00666D68" w:rsidRPr="000322E4" w:rsidRDefault="00666D68" w:rsidP="008E3584">
      <w:pPr>
        <w:numPr>
          <w:ilvl w:val="0"/>
          <w:numId w:val="46"/>
        </w:numPr>
        <w:spacing w:line="360" w:lineRule="auto"/>
        <w:jc w:val="both"/>
      </w:pPr>
      <w:r w:rsidRPr="000322E4">
        <w:t>Метилпреднизолон</w:t>
      </w:r>
      <w:r w:rsidRPr="000322E4">
        <w:rPr>
          <w:bCs/>
        </w:rPr>
        <w:t>**</w:t>
      </w:r>
      <w:r w:rsidRPr="000322E4">
        <w:t xml:space="preserve"> 500 мг в/в кап., дни 1-5</w:t>
      </w:r>
    </w:p>
    <w:p w14:paraId="25EA328D" w14:textId="61520339" w:rsidR="00666D68" w:rsidRDefault="00666D68" w:rsidP="008E3584">
      <w:pPr>
        <w:numPr>
          <w:ilvl w:val="0"/>
          <w:numId w:val="46"/>
        </w:numPr>
        <w:spacing w:line="360" w:lineRule="auto"/>
        <w:ind w:left="714" w:hanging="357"/>
        <w:jc w:val="both"/>
      </w:pPr>
      <w:r w:rsidRPr="000322E4">
        <w:t>#Цисплатин</w:t>
      </w:r>
      <w:r w:rsidRPr="000322E4">
        <w:rPr>
          <w:bCs/>
        </w:rPr>
        <w:t>**</w:t>
      </w:r>
      <w:r w:rsidRPr="000322E4">
        <w:t xml:space="preserve"> 25 мг/м</w:t>
      </w:r>
      <w:r w:rsidRPr="000322E4">
        <w:rPr>
          <w:vertAlign w:val="superscript"/>
        </w:rPr>
        <w:t>2</w:t>
      </w:r>
      <w:r w:rsidRPr="000322E4">
        <w:t xml:space="preserve">/сут. в/в непрерывная инфузия, дни 1-4 </w:t>
      </w:r>
    </w:p>
    <w:p w14:paraId="22529EC4" w14:textId="634D2F7A" w:rsidR="00EB3D5F" w:rsidRPr="000322E4" w:rsidRDefault="00EB3D5F" w:rsidP="008E3584">
      <w:pPr>
        <w:numPr>
          <w:ilvl w:val="0"/>
          <w:numId w:val="46"/>
        </w:numPr>
        <w:spacing w:line="360" w:lineRule="auto"/>
        <w:ind w:left="714" w:hanging="357"/>
        <w:jc w:val="both"/>
      </w:pPr>
      <w:r w:rsidRPr="00EB3D5F">
        <w:t>Филграстим 5 мкг/кг подкожно (п/к) через 24-72 часа после окончания введения химиопрепаратов и до восстановления нормального числа нейтрофилов после надира или пэгфилграстим 6 мг или эмпэгфилграстим 7,5 мг подкожно, однократно, не менее чем через 24 часа после окончания введения химиопрепаратов.</w:t>
      </w:r>
    </w:p>
    <w:p w14:paraId="24A200B0" w14:textId="77777777" w:rsidR="00666D68" w:rsidRPr="000322E4" w:rsidRDefault="00666D68" w:rsidP="008E3584">
      <w:pPr>
        <w:spacing w:line="360" w:lineRule="auto"/>
        <w:jc w:val="both"/>
      </w:pPr>
    </w:p>
    <w:p w14:paraId="76011745" w14:textId="3A566625" w:rsidR="00666D68" w:rsidRPr="0049053C" w:rsidRDefault="00666D68" w:rsidP="008E3584">
      <w:pPr>
        <w:spacing w:line="360" w:lineRule="auto"/>
        <w:jc w:val="both"/>
        <w:rPr>
          <w:b/>
          <w:bCs/>
        </w:rPr>
      </w:pPr>
      <w:r w:rsidRPr="000322E4">
        <w:rPr>
          <w:b/>
          <w:bCs/>
        </w:rPr>
        <w:lastRenderedPageBreak/>
        <w:t xml:space="preserve">ICE </w:t>
      </w:r>
      <w:r w:rsidRPr="000322E4">
        <w:rPr>
          <w:lang w:val="en-US"/>
        </w:rPr>
        <w:fldChar w:fldCharType="begin" w:fldLock="1"/>
      </w:r>
      <w:r w:rsidR="006A2B13">
        <w:rPr>
          <w:lang w:val="en-US"/>
        </w:rPr>
        <w:instrText>ADDIN CSL_CITATION {"citationItems":[{"id":"ITEM-1","itemData":{"DOI":"10.1093/annonc/mdg702","ISSN":"09237534","PMID":"12736224","abstract":"Despite advances in the management of aggressive non-Hodgkin's lymphoma, the treatment of relapsed and primary refractory disease remains a major challenge. High-dose chemotherapy or radio-chemotherapy followed by autologous or allogeneic stem cell transplantation (SCT) is a potentially curative treatment approach; however, the applicability of this approach is restricted to patients responding to second-line chemotherapy. Thus, second-line therapy must be both efficacious and without stem cell or organ toxicity that would compromise the ability to proceed to SCT. The ifosfamide, carboplatin and etoposide (ICE) regimen was developed to address these challenges. In a series of prospective clinical trials, 222 patients were treated with the ICE regimen, with an overall response rate of 72%. The mobilization of stem cells with this regimen was excellent, with 86% of patients mobilizing at least 2.0 × 106 CD34+ cells/kg. The incidence of treatment-related toxicity precluding SCT after ICE is very low. Herein, we report the clinical results of this treatment program for 222 patients with 5-year median follow-up for surviving patients. Rituximab was subsequently added to the ICE regimen for patients with diffuse large B-cell lymphoma (DLBCL) to improve upon these favorable results. This resulted in an increased complete remission rate. Additional follow</w:instrText>
      </w:r>
      <w:r w:rsidR="006A2B13" w:rsidRPr="006A2B13">
        <w:instrText>-</w:instrText>
      </w:r>
      <w:r w:rsidR="006A2B13">
        <w:rPr>
          <w:lang w:val="en-US"/>
        </w:rPr>
        <w:instrText>up</w:instrText>
      </w:r>
      <w:r w:rsidR="006A2B13" w:rsidRPr="006A2B13">
        <w:instrText xml:space="preserve"> </w:instrText>
      </w:r>
      <w:r w:rsidR="006A2B13">
        <w:rPr>
          <w:lang w:val="en-US"/>
        </w:rPr>
        <w:instrText>is</w:instrText>
      </w:r>
      <w:r w:rsidR="006A2B13" w:rsidRPr="006A2B13">
        <w:instrText xml:space="preserve"> </w:instrText>
      </w:r>
      <w:r w:rsidR="006A2B13">
        <w:rPr>
          <w:lang w:val="en-US"/>
        </w:rPr>
        <w:instrText>necessary</w:instrText>
      </w:r>
      <w:r w:rsidR="006A2B13" w:rsidRPr="006A2B13">
        <w:instrText xml:space="preserve"> </w:instrText>
      </w:r>
      <w:r w:rsidR="006A2B13">
        <w:rPr>
          <w:lang w:val="en-US"/>
        </w:rPr>
        <w:instrText>to</w:instrText>
      </w:r>
      <w:r w:rsidR="006A2B13" w:rsidRPr="006A2B13">
        <w:instrText xml:space="preserve"> </w:instrText>
      </w:r>
      <w:r w:rsidR="006A2B13">
        <w:rPr>
          <w:lang w:val="en-US"/>
        </w:rPr>
        <w:instrText>determine</w:instrText>
      </w:r>
      <w:r w:rsidR="006A2B13" w:rsidRPr="006A2B13">
        <w:instrText xml:space="preserve"> </w:instrText>
      </w:r>
      <w:r w:rsidR="006A2B13">
        <w:rPr>
          <w:lang w:val="en-US"/>
        </w:rPr>
        <w:instrText>if</w:instrText>
      </w:r>
      <w:r w:rsidR="006A2B13" w:rsidRPr="006A2B13">
        <w:instrText xml:space="preserve"> </w:instrText>
      </w:r>
      <w:r w:rsidR="006A2B13">
        <w:rPr>
          <w:lang w:val="en-US"/>
        </w:rPr>
        <w:instrText>this</w:instrText>
      </w:r>
      <w:r w:rsidR="006A2B13" w:rsidRPr="006A2B13">
        <w:instrText xml:space="preserve"> </w:instrText>
      </w:r>
      <w:r w:rsidR="006A2B13">
        <w:rPr>
          <w:lang w:val="en-US"/>
        </w:rPr>
        <w:instrText>improvement</w:instrText>
      </w:r>
      <w:r w:rsidR="006A2B13" w:rsidRPr="006A2B13">
        <w:instrText xml:space="preserve"> </w:instrText>
      </w:r>
      <w:r w:rsidR="006A2B13">
        <w:rPr>
          <w:lang w:val="en-US"/>
        </w:rPr>
        <w:instrText>in</w:instrText>
      </w:r>
      <w:r w:rsidR="006A2B13" w:rsidRPr="006A2B13">
        <w:instrText xml:space="preserve"> </w:instrText>
      </w:r>
      <w:r w:rsidR="006A2B13">
        <w:rPr>
          <w:lang w:val="en-US"/>
        </w:rPr>
        <w:instrText>the</w:instrText>
      </w:r>
      <w:r w:rsidR="006A2B13" w:rsidRPr="006A2B13">
        <w:instrText xml:space="preserve"> </w:instrText>
      </w:r>
      <w:r w:rsidR="006A2B13">
        <w:rPr>
          <w:lang w:val="en-US"/>
        </w:rPr>
        <w:instrText>complete</w:instrText>
      </w:r>
      <w:r w:rsidR="006A2B13" w:rsidRPr="006A2B13">
        <w:instrText xml:space="preserve"> </w:instrText>
      </w:r>
      <w:r w:rsidR="006A2B13">
        <w:rPr>
          <w:lang w:val="en-US"/>
        </w:rPr>
        <w:instrText>remission</w:instrText>
      </w:r>
      <w:r w:rsidR="006A2B13" w:rsidRPr="006A2B13">
        <w:instrText xml:space="preserve"> </w:instrText>
      </w:r>
      <w:r w:rsidR="006A2B13">
        <w:rPr>
          <w:lang w:val="en-US"/>
        </w:rPr>
        <w:instrText>rate</w:instrText>
      </w:r>
      <w:r w:rsidR="006A2B13" w:rsidRPr="006A2B13">
        <w:instrText xml:space="preserve"> </w:instrText>
      </w:r>
      <w:r w:rsidR="006A2B13">
        <w:rPr>
          <w:lang w:val="en-US"/>
        </w:rPr>
        <w:instrText>will</w:instrText>
      </w:r>
      <w:r w:rsidR="006A2B13" w:rsidRPr="006A2B13">
        <w:instrText xml:space="preserve"> </w:instrText>
      </w:r>
      <w:r w:rsidR="006A2B13">
        <w:rPr>
          <w:lang w:val="en-US"/>
        </w:rPr>
        <w:instrText>confer</w:instrText>
      </w:r>
      <w:r w:rsidR="006A2B13" w:rsidRPr="006A2B13">
        <w:instrText xml:space="preserve"> </w:instrText>
      </w:r>
      <w:r w:rsidR="006A2B13">
        <w:rPr>
          <w:lang w:val="en-US"/>
        </w:rPr>
        <w:instrText>an</w:instrText>
      </w:r>
      <w:r w:rsidR="006A2B13" w:rsidRPr="006A2B13">
        <w:instrText xml:space="preserve"> </w:instrText>
      </w:r>
      <w:r w:rsidR="006A2B13">
        <w:rPr>
          <w:lang w:val="en-US"/>
        </w:rPr>
        <w:instrText>increase</w:instrText>
      </w:r>
      <w:r w:rsidR="006A2B13" w:rsidRPr="006A2B13">
        <w:instrText xml:space="preserve"> </w:instrText>
      </w:r>
      <w:r w:rsidR="006A2B13">
        <w:rPr>
          <w:lang w:val="en-US"/>
        </w:rPr>
        <w:instrText>in</w:instrText>
      </w:r>
      <w:r w:rsidR="006A2B13" w:rsidRPr="006A2B13">
        <w:instrText xml:space="preserve"> </w:instrText>
      </w:r>
      <w:r w:rsidR="006A2B13">
        <w:rPr>
          <w:lang w:val="en-US"/>
        </w:rPr>
        <w:instrText>the</w:instrText>
      </w:r>
      <w:r w:rsidR="006A2B13" w:rsidRPr="006A2B13">
        <w:instrText xml:space="preserve"> </w:instrText>
      </w:r>
      <w:r w:rsidR="006A2B13">
        <w:rPr>
          <w:lang w:val="en-US"/>
        </w:rPr>
        <w:instrText>overall</w:instrText>
      </w:r>
      <w:r w:rsidR="006A2B13" w:rsidRPr="006A2B13">
        <w:instrText xml:space="preserve"> </w:instrText>
      </w:r>
      <w:r w:rsidR="006A2B13">
        <w:rPr>
          <w:lang w:val="en-US"/>
        </w:rPr>
        <w:instrText>survival</w:instrText>
      </w:r>
      <w:r w:rsidR="006A2B13" w:rsidRPr="006A2B13">
        <w:instrText xml:space="preserve"> </w:instrText>
      </w:r>
      <w:r w:rsidR="006A2B13">
        <w:rPr>
          <w:lang w:val="en-US"/>
        </w:rPr>
        <w:instrText>following</w:instrText>
      </w:r>
      <w:r w:rsidR="006A2B13" w:rsidRPr="006A2B13">
        <w:instrText xml:space="preserve"> </w:instrText>
      </w:r>
      <w:r w:rsidR="006A2B13">
        <w:rPr>
          <w:lang w:val="en-US"/>
        </w:rPr>
        <w:instrText>SCT</w:instrText>
      </w:r>
      <w:r w:rsidR="006A2B13" w:rsidRPr="006A2B13">
        <w:instrText>.","</w:instrText>
      </w:r>
      <w:r w:rsidR="006A2B13">
        <w:rPr>
          <w:lang w:val="en-US"/>
        </w:rPr>
        <w:instrText>author</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family</w:instrText>
      </w:r>
      <w:r w:rsidR="006A2B13" w:rsidRPr="006A2B13">
        <w:instrText>":"</w:instrText>
      </w:r>
      <w:r w:rsidR="006A2B13">
        <w:rPr>
          <w:lang w:val="en-US"/>
        </w:rPr>
        <w:instrText>Zelenetz</w:instrText>
      </w:r>
      <w:r w:rsidR="006A2B13" w:rsidRPr="006A2B13">
        <w:instrText>","</w:instrText>
      </w:r>
      <w:r w:rsidR="006A2B13">
        <w:rPr>
          <w:lang w:val="en-US"/>
        </w:rPr>
        <w:instrText>given</w:instrText>
      </w:r>
      <w:r w:rsidR="006A2B13" w:rsidRPr="006A2B13">
        <w:instrText>":"</w:instrText>
      </w:r>
      <w:r w:rsidR="006A2B13">
        <w:rPr>
          <w:lang w:val="en-US"/>
        </w:rPr>
        <w:instrText>A</w:instrText>
      </w:r>
      <w:r w:rsidR="006A2B13" w:rsidRPr="006A2B13">
        <w:instrText xml:space="preserve">. </w:instrText>
      </w:r>
      <w:r w:rsidR="006A2B13">
        <w:rPr>
          <w:lang w:val="en-US"/>
        </w:rPr>
        <w:instrText>D</w:instrText>
      </w:r>
      <w:r w:rsidR="006A2B13" w:rsidRPr="006A2B13">
        <w:instrText>.","</w:instrText>
      </w:r>
      <w:r w:rsidR="006A2B13">
        <w:rPr>
          <w:lang w:val="en-US"/>
        </w:rPr>
        <w:instrText>non</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parse</w:instrText>
      </w:r>
      <w:r w:rsidR="006A2B13" w:rsidRPr="006A2B13">
        <w:instrText>-</w:instrText>
      </w:r>
      <w:r w:rsidR="006A2B13">
        <w:rPr>
          <w:lang w:val="en-US"/>
        </w:rPr>
        <w:instrText>names</w:instrText>
      </w:r>
      <w:r w:rsidR="006A2B13" w:rsidRPr="006A2B13">
        <w:instrText>":</w:instrText>
      </w:r>
      <w:r w:rsidR="006A2B13">
        <w:rPr>
          <w:lang w:val="en-US"/>
        </w:rPr>
        <w:instrText>false</w:instrText>
      </w:r>
      <w:r w:rsidR="006A2B13" w:rsidRPr="006A2B13">
        <w:instrText>,"</w:instrText>
      </w:r>
      <w:r w:rsidR="006A2B13">
        <w:rPr>
          <w:lang w:val="en-US"/>
        </w:rPr>
        <w:instrText>suffix</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family</w:instrText>
      </w:r>
      <w:r w:rsidR="006A2B13" w:rsidRPr="006A2B13">
        <w:instrText>":"</w:instrText>
      </w:r>
      <w:r w:rsidR="006A2B13">
        <w:rPr>
          <w:lang w:val="en-US"/>
        </w:rPr>
        <w:instrText>Hamlin</w:instrText>
      </w:r>
      <w:r w:rsidR="006A2B13" w:rsidRPr="006A2B13">
        <w:instrText>","</w:instrText>
      </w:r>
      <w:r w:rsidR="006A2B13">
        <w:rPr>
          <w:lang w:val="en-US"/>
        </w:rPr>
        <w:instrText>given</w:instrText>
      </w:r>
      <w:r w:rsidR="006A2B13" w:rsidRPr="006A2B13">
        <w:instrText>":"</w:instrText>
      </w:r>
      <w:r w:rsidR="006A2B13">
        <w:rPr>
          <w:lang w:val="en-US"/>
        </w:rPr>
        <w:instrText>P</w:instrText>
      </w:r>
      <w:r w:rsidR="006A2B13" w:rsidRPr="006A2B13">
        <w:instrText>.","</w:instrText>
      </w:r>
      <w:r w:rsidR="006A2B13">
        <w:rPr>
          <w:lang w:val="en-US"/>
        </w:rPr>
        <w:instrText>non</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parse</w:instrText>
      </w:r>
      <w:r w:rsidR="006A2B13" w:rsidRPr="006A2B13">
        <w:instrText>-</w:instrText>
      </w:r>
      <w:r w:rsidR="006A2B13">
        <w:rPr>
          <w:lang w:val="en-US"/>
        </w:rPr>
        <w:instrText>names</w:instrText>
      </w:r>
      <w:r w:rsidR="006A2B13" w:rsidRPr="006A2B13">
        <w:instrText>":</w:instrText>
      </w:r>
      <w:r w:rsidR="006A2B13">
        <w:rPr>
          <w:lang w:val="en-US"/>
        </w:rPr>
        <w:instrText>false</w:instrText>
      </w:r>
      <w:r w:rsidR="006A2B13" w:rsidRPr="006A2B13">
        <w:instrText>,"</w:instrText>
      </w:r>
      <w:r w:rsidR="006A2B13">
        <w:rPr>
          <w:lang w:val="en-US"/>
        </w:rPr>
        <w:instrText>suffix</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family</w:instrText>
      </w:r>
      <w:r w:rsidR="006A2B13" w:rsidRPr="006A2B13">
        <w:instrText>":"</w:instrText>
      </w:r>
      <w:r w:rsidR="006A2B13">
        <w:rPr>
          <w:lang w:val="en-US"/>
        </w:rPr>
        <w:instrText>Kewalramani</w:instrText>
      </w:r>
      <w:r w:rsidR="006A2B13" w:rsidRPr="006A2B13">
        <w:instrText>","</w:instrText>
      </w:r>
      <w:r w:rsidR="006A2B13">
        <w:rPr>
          <w:lang w:val="en-US"/>
        </w:rPr>
        <w:instrText>given</w:instrText>
      </w:r>
      <w:r w:rsidR="006A2B13" w:rsidRPr="006A2B13">
        <w:instrText>":"</w:instrText>
      </w:r>
      <w:r w:rsidR="006A2B13">
        <w:rPr>
          <w:lang w:val="en-US"/>
        </w:rPr>
        <w:instrText>T</w:instrText>
      </w:r>
      <w:r w:rsidR="006A2B13" w:rsidRPr="006A2B13">
        <w:instrText>.","</w:instrText>
      </w:r>
      <w:r w:rsidR="006A2B13">
        <w:rPr>
          <w:lang w:val="en-US"/>
        </w:rPr>
        <w:instrText>non</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parse</w:instrText>
      </w:r>
      <w:r w:rsidR="006A2B13" w:rsidRPr="006A2B13">
        <w:instrText>-</w:instrText>
      </w:r>
      <w:r w:rsidR="006A2B13">
        <w:rPr>
          <w:lang w:val="en-US"/>
        </w:rPr>
        <w:instrText>names</w:instrText>
      </w:r>
      <w:r w:rsidR="006A2B13" w:rsidRPr="006A2B13">
        <w:instrText>":</w:instrText>
      </w:r>
      <w:r w:rsidR="006A2B13">
        <w:rPr>
          <w:lang w:val="en-US"/>
        </w:rPr>
        <w:instrText>false</w:instrText>
      </w:r>
      <w:r w:rsidR="006A2B13" w:rsidRPr="006A2B13">
        <w:instrText>,"</w:instrText>
      </w:r>
      <w:r w:rsidR="006A2B13">
        <w:rPr>
          <w:lang w:val="en-US"/>
        </w:rPr>
        <w:instrText>suffix</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family</w:instrText>
      </w:r>
      <w:r w:rsidR="006A2B13" w:rsidRPr="006A2B13">
        <w:instrText>":"</w:instrText>
      </w:r>
      <w:r w:rsidR="006A2B13">
        <w:rPr>
          <w:lang w:val="en-US"/>
        </w:rPr>
        <w:instrText>Yahalom</w:instrText>
      </w:r>
      <w:r w:rsidR="006A2B13" w:rsidRPr="006A2B13">
        <w:instrText>","</w:instrText>
      </w:r>
      <w:r w:rsidR="006A2B13">
        <w:rPr>
          <w:lang w:val="en-US"/>
        </w:rPr>
        <w:instrText>given</w:instrText>
      </w:r>
      <w:r w:rsidR="006A2B13" w:rsidRPr="006A2B13">
        <w:instrText>":"</w:instrText>
      </w:r>
      <w:r w:rsidR="006A2B13">
        <w:rPr>
          <w:lang w:val="en-US"/>
        </w:rPr>
        <w:instrText>J</w:instrText>
      </w:r>
      <w:r w:rsidR="006A2B13" w:rsidRPr="006A2B13">
        <w:instrText>.","</w:instrText>
      </w:r>
      <w:r w:rsidR="006A2B13">
        <w:rPr>
          <w:lang w:val="en-US"/>
        </w:rPr>
        <w:instrText>non</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parse</w:instrText>
      </w:r>
      <w:r w:rsidR="006A2B13" w:rsidRPr="006A2B13">
        <w:instrText>-</w:instrText>
      </w:r>
      <w:r w:rsidR="006A2B13">
        <w:rPr>
          <w:lang w:val="en-US"/>
        </w:rPr>
        <w:instrText>names</w:instrText>
      </w:r>
      <w:r w:rsidR="006A2B13" w:rsidRPr="006A2B13">
        <w:instrText>":</w:instrText>
      </w:r>
      <w:r w:rsidR="006A2B13">
        <w:rPr>
          <w:lang w:val="en-US"/>
        </w:rPr>
        <w:instrText>false</w:instrText>
      </w:r>
      <w:r w:rsidR="006A2B13" w:rsidRPr="006A2B13">
        <w:instrText>,"</w:instrText>
      </w:r>
      <w:r w:rsidR="006A2B13">
        <w:rPr>
          <w:lang w:val="en-US"/>
        </w:rPr>
        <w:instrText>suffix</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family</w:instrText>
      </w:r>
      <w:r w:rsidR="006A2B13" w:rsidRPr="006A2B13">
        <w:instrText>":"</w:instrText>
      </w:r>
      <w:r w:rsidR="006A2B13">
        <w:rPr>
          <w:lang w:val="en-US"/>
        </w:rPr>
        <w:instrText>Nimer</w:instrText>
      </w:r>
      <w:r w:rsidR="006A2B13" w:rsidRPr="006A2B13">
        <w:instrText>","</w:instrText>
      </w:r>
      <w:r w:rsidR="006A2B13">
        <w:rPr>
          <w:lang w:val="en-US"/>
        </w:rPr>
        <w:instrText>given</w:instrText>
      </w:r>
      <w:r w:rsidR="006A2B13" w:rsidRPr="006A2B13">
        <w:instrText>":"</w:instrText>
      </w:r>
      <w:r w:rsidR="006A2B13">
        <w:rPr>
          <w:lang w:val="en-US"/>
        </w:rPr>
        <w:instrText>S</w:instrText>
      </w:r>
      <w:r w:rsidR="006A2B13" w:rsidRPr="006A2B13">
        <w:instrText>.","</w:instrText>
      </w:r>
      <w:r w:rsidR="006A2B13">
        <w:rPr>
          <w:lang w:val="en-US"/>
        </w:rPr>
        <w:instrText>non</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parse</w:instrText>
      </w:r>
      <w:r w:rsidR="006A2B13" w:rsidRPr="006A2B13">
        <w:instrText>-</w:instrText>
      </w:r>
      <w:r w:rsidR="006A2B13">
        <w:rPr>
          <w:lang w:val="en-US"/>
        </w:rPr>
        <w:instrText>names</w:instrText>
      </w:r>
      <w:r w:rsidR="006A2B13" w:rsidRPr="006A2B13">
        <w:instrText>":</w:instrText>
      </w:r>
      <w:r w:rsidR="006A2B13">
        <w:rPr>
          <w:lang w:val="en-US"/>
        </w:rPr>
        <w:instrText>false</w:instrText>
      </w:r>
      <w:r w:rsidR="006A2B13" w:rsidRPr="006A2B13">
        <w:instrText>,"</w:instrText>
      </w:r>
      <w:r w:rsidR="006A2B13">
        <w:rPr>
          <w:lang w:val="en-US"/>
        </w:rPr>
        <w:instrText>suffix</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family</w:instrText>
      </w:r>
      <w:r w:rsidR="006A2B13" w:rsidRPr="006A2B13">
        <w:instrText>":"</w:instrText>
      </w:r>
      <w:r w:rsidR="006A2B13">
        <w:rPr>
          <w:lang w:val="en-US"/>
        </w:rPr>
        <w:instrText>Moskowitz</w:instrText>
      </w:r>
      <w:r w:rsidR="006A2B13" w:rsidRPr="006A2B13">
        <w:instrText>","</w:instrText>
      </w:r>
      <w:r w:rsidR="006A2B13">
        <w:rPr>
          <w:lang w:val="en-US"/>
        </w:rPr>
        <w:instrText>given</w:instrText>
      </w:r>
      <w:r w:rsidR="006A2B13" w:rsidRPr="006A2B13">
        <w:instrText>":"</w:instrText>
      </w:r>
      <w:r w:rsidR="006A2B13">
        <w:rPr>
          <w:lang w:val="en-US"/>
        </w:rPr>
        <w:instrText>C</w:instrText>
      </w:r>
      <w:r w:rsidR="006A2B13" w:rsidRPr="006A2B13">
        <w:instrText xml:space="preserve">. </w:instrText>
      </w:r>
      <w:r w:rsidR="006A2B13">
        <w:rPr>
          <w:lang w:val="en-US"/>
        </w:rPr>
        <w:instrText>H</w:instrText>
      </w:r>
      <w:r w:rsidR="006A2B13" w:rsidRPr="006A2B13">
        <w:instrText>.","</w:instrText>
      </w:r>
      <w:r w:rsidR="006A2B13">
        <w:rPr>
          <w:lang w:val="en-US"/>
        </w:rPr>
        <w:instrText>non</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parse</w:instrText>
      </w:r>
      <w:r w:rsidR="006A2B13" w:rsidRPr="006A2B13">
        <w:instrText>-</w:instrText>
      </w:r>
      <w:r w:rsidR="006A2B13">
        <w:rPr>
          <w:lang w:val="en-US"/>
        </w:rPr>
        <w:instrText>names</w:instrText>
      </w:r>
      <w:r w:rsidR="006A2B13" w:rsidRPr="006A2B13">
        <w:instrText>":</w:instrText>
      </w:r>
      <w:r w:rsidR="006A2B13">
        <w:rPr>
          <w:lang w:val="en-US"/>
        </w:rPr>
        <w:instrText>false</w:instrText>
      </w:r>
      <w:r w:rsidR="006A2B13" w:rsidRPr="006A2B13">
        <w:instrText>,"</w:instrText>
      </w:r>
      <w:r w:rsidR="006A2B13">
        <w:rPr>
          <w:lang w:val="en-US"/>
        </w:rPr>
        <w:instrText>suffix</w:instrText>
      </w:r>
      <w:r w:rsidR="006A2B13" w:rsidRPr="006A2B13">
        <w:instrText>":""}],"</w:instrText>
      </w:r>
      <w:r w:rsidR="006A2B13">
        <w:rPr>
          <w:lang w:val="en-US"/>
        </w:rPr>
        <w:instrText>container</w:instrText>
      </w:r>
      <w:r w:rsidR="006A2B13" w:rsidRPr="006A2B13">
        <w:instrText>-</w:instrText>
      </w:r>
      <w:r w:rsidR="006A2B13">
        <w:rPr>
          <w:lang w:val="en-US"/>
        </w:rPr>
        <w:instrText>title</w:instrText>
      </w:r>
      <w:r w:rsidR="006A2B13" w:rsidRPr="006A2B13">
        <w:instrText>":"</w:instrText>
      </w:r>
      <w:r w:rsidR="006A2B13">
        <w:rPr>
          <w:lang w:val="en-US"/>
        </w:rPr>
        <w:instrText>Annals</w:instrText>
      </w:r>
      <w:r w:rsidR="006A2B13" w:rsidRPr="006A2B13">
        <w:instrText xml:space="preserve"> </w:instrText>
      </w:r>
      <w:r w:rsidR="006A2B13">
        <w:rPr>
          <w:lang w:val="en-US"/>
        </w:rPr>
        <w:instrText>of</w:instrText>
      </w:r>
      <w:r w:rsidR="006A2B13" w:rsidRPr="006A2B13">
        <w:instrText xml:space="preserve"> </w:instrText>
      </w:r>
      <w:r w:rsidR="006A2B13">
        <w:rPr>
          <w:lang w:val="en-US"/>
        </w:rPr>
        <w:instrText>Oncology</w:instrText>
      </w:r>
      <w:r w:rsidR="006A2B13" w:rsidRPr="006A2B13">
        <w:instrText>","</w:instrText>
      </w:r>
      <w:r w:rsidR="006A2B13">
        <w:rPr>
          <w:lang w:val="en-US"/>
        </w:rPr>
        <w:instrText>id</w:instrText>
      </w:r>
      <w:r w:rsidR="006A2B13" w:rsidRPr="006A2B13">
        <w:instrText>":"</w:instrText>
      </w:r>
      <w:r w:rsidR="006A2B13">
        <w:rPr>
          <w:lang w:val="en-US"/>
        </w:rPr>
        <w:instrText>ITEM</w:instrText>
      </w:r>
      <w:r w:rsidR="006A2B13" w:rsidRPr="006A2B13">
        <w:instrText>-1","</w:instrText>
      </w:r>
      <w:r w:rsidR="006A2B13">
        <w:rPr>
          <w:lang w:val="en-US"/>
        </w:rPr>
        <w:instrText>issue</w:instrText>
      </w:r>
      <w:r w:rsidR="006A2B13" w:rsidRPr="006A2B13">
        <w:instrText>":"</w:instrText>
      </w:r>
      <w:r w:rsidR="006A2B13">
        <w:rPr>
          <w:lang w:val="en-US"/>
        </w:rPr>
        <w:instrText>SUPPL</w:instrText>
      </w:r>
      <w:r w:rsidR="006A2B13" w:rsidRPr="006A2B13">
        <w:instrText>. 1","</w:instrText>
      </w:r>
      <w:r w:rsidR="006A2B13">
        <w:rPr>
          <w:lang w:val="en-US"/>
        </w:rPr>
        <w:instrText>issued</w:instrText>
      </w:r>
      <w:r w:rsidR="006A2B13" w:rsidRPr="006A2B13">
        <w:instrText>":{"</w:instrText>
      </w:r>
      <w:r w:rsidR="006A2B13">
        <w:rPr>
          <w:lang w:val="en-US"/>
        </w:rPr>
        <w:instrText>date</w:instrText>
      </w:r>
      <w:r w:rsidR="006A2B13" w:rsidRPr="006A2B13">
        <w:instrText>-</w:instrText>
      </w:r>
      <w:r w:rsidR="006A2B13">
        <w:rPr>
          <w:lang w:val="en-US"/>
        </w:rPr>
        <w:instrText>parts</w:instrText>
      </w:r>
      <w:r w:rsidR="006A2B13" w:rsidRPr="006A2B13">
        <w:instrText>":[["2003"]]},"</w:instrText>
      </w:r>
      <w:r w:rsidR="006A2B13">
        <w:rPr>
          <w:lang w:val="en-US"/>
        </w:rPr>
        <w:instrText>title</w:instrText>
      </w:r>
      <w:r w:rsidR="006A2B13" w:rsidRPr="006A2B13">
        <w:instrText>":"</w:instrText>
      </w:r>
      <w:r w:rsidR="006A2B13">
        <w:rPr>
          <w:lang w:val="en-US"/>
        </w:rPr>
        <w:instrText>Ifosfamide</w:instrText>
      </w:r>
      <w:r w:rsidR="006A2B13" w:rsidRPr="006A2B13">
        <w:instrText xml:space="preserve">, </w:instrText>
      </w:r>
      <w:r w:rsidR="006A2B13">
        <w:rPr>
          <w:lang w:val="en-US"/>
        </w:rPr>
        <w:instrText>carboplatin</w:instrText>
      </w:r>
      <w:r w:rsidR="006A2B13" w:rsidRPr="006A2B13">
        <w:instrText xml:space="preserve">, </w:instrText>
      </w:r>
      <w:r w:rsidR="006A2B13">
        <w:rPr>
          <w:lang w:val="en-US"/>
        </w:rPr>
        <w:instrText>etoposide</w:instrText>
      </w:r>
      <w:r w:rsidR="006A2B13" w:rsidRPr="006A2B13">
        <w:instrText xml:space="preserve"> (</w:instrText>
      </w:r>
      <w:r w:rsidR="006A2B13">
        <w:rPr>
          <w:lang w:val="en-US"/>
        </w:rPr>
        <w:instrText>ICE</w:instrText>
      </w:r>
      <w:r w:rsidR="006A2B13" w:rsidRPr="006A2B13">
        <w:instrText>)-</w:instrText>
      </w:r>
      <w:r w:rsidR="006A2B13">
        <w:rPr>
          <w:lang w:val="en-US"/>
        </w:rPr>
        <w:instrText>based</w:instrText>
      </w:r>
      <w:r w:rsidR="006A2B13" w:rsidRPr="006A2B13">
        <w:instrText xml:space="preserve"> </w:instrText>
      </w:r>
      <w:r w:rsidR="006A2B13">
        <w:rPr>
          <w:lang w:val="en-US"/>
        </w:rPr>
        <w:instrText>second</w:instrText>
      </w:r>
      <w:r w:rsidR="006A2B13" w:rsidRPr="006A2B13">
        <w:instrText>-</w:instrText>
      </w:r>
      <w:r w:rsidR="006A2B13">
        <w:rPr>
          <w:lang w:val="en-US"/>
        </w:rPr>
        <w:instrText>line</w:instrText>
      </w:r>
      <w:r w:rsidR="006A2B13" w:rsidRPr="006A2B13">
        <w:instrText xml:space="preserve"> </w:instrText>
      </w:r>
      <w:r w:rsidR="006A2B13">
        <w:rPr>
          <w:lang w:val="en-US"/>
        </w:rPr>
        <w:instrText>chemotherapy</w:instrText>
      </w:r>
      <w:r w:rsidR="006A2B13" w:rsidRPr="006A2B13">
        <w:instrText xml:space="preserve"> </w:instrText>
      </w:r>
      <w:r w:rsidR="006A2B13">
        <w:rPr>
          <w:lang w:val="en-US"/>
        </w:rPr>
        <w:instrText>for</w:instrText>
      </w:r>
      <w:r w:rsidR="006A2B13" w:rsidRPr="006A2B13">
        <w:instrText xml:space="preserve"> </w:instrText>
      </w:r>
      <w:r w:rsidR="006A2B13">
        <w:rPr>
          <w:lang w:val="en-US"/>
        </w:rPr>
        <w:instrText>the</w:instrText>
      </w:r>
      <w:r w:rsidR="006A2B13" w:rsidRPr="006A2B13">
        <w:instrText xml:space="preserve"> </w:instrText>
      </w:r>
      <w:r w:rsidR="006A2B13">
        <w:rPr>
          <w:lang w:val="en-US"/>
        </w:rPr>
        <w:instrText>management</w:instrText>
      </w:r>
      <w:r w:rsidR="006A2B13" w:rsidRPr="006A2B13">
        <w:instrText xml:space="preserve"> </w:instrText>
      </w:r>
      <w:r w:rsidR="006A2B13">
        <w:rPr>
          <w:lang w:val="en-US"/>
        </w:rPr>
        <w:instrText>of</w:instrText>
      </w:r>
      <w:r w:rsidR="006A2B13" w:rsidRPr="006A2B13">
        <w:instrText xml:space="preserve"> </w:instrText>
      </w:r>
      <w:r w:rsidR="006A2B13">
        <w:rPr>
          <w:lang w:val="en-US"/>
        </w:rPr>
        <w:instrText>relapsed</w:instrText>
      </w:r>
      <w:r w:rsidR="006A2B13" w:rsidRPr="006A2B13">
        <w:instrText xml:space="preserve"> </w:instrText>
      </w:r>
      <w:r w:rsidR="006A2B13">
        <w:rPr>
          <w:lang w:val="en-US"/>
        </w:rPr>
        <w:instrText>and</w:instrText>
      </w:r>
      <w:r w:rsidR="006A2B13" w:rsidRPr="006A2B13">
        <w:instrText xml:space="preserve"> </w:instrText>
      </w:r>
      <w:r w:rsidR="006A2B13">
        <w:rPr>
          <w:lang w:val="en-US"/>
        </w:rPr>
        <w:instrText>refractory</w:instrText>
      </w:r>
      <w:r w:rsidR="006A2B13" w:rsidRPr="006A2B13">
        <w:instrText xml:space="preserve"> </w:instrText>
      </w:r>
      <w:r w:rsidR="006A2B13">
        <w:rPr>
          <w:lang w:val="en-US"/>
        </w:rPr>
        <w:instrText>aggressive</w:instrText>
      </w:r>
      <w:r w:rsidR="006A2B13" w:rsidRPr="006A2B13">
        <w:instrText xml:space="preserve"> </w:instrText>
      </w:r>
      <w:r w:rsidR="006A2B13">
        <w:rPr>
          <w:lang w:val="en-US"/>
        </w:rPr>
        <w:instrText>non</w:instrText>
      </w:r>
      <w:r w:rsidR="006A2B13" w:rsidRPr="006A2B13">
        <w:instrText>-</w:instrText>
      </w:r>
      <w:r w:rsidR="006A2B13">
        <w:rPr>
          <w:lang w:val="en-US"/>
        </w:rPr>
        <w:instrText>Hodgkin</w:instrText>
      </w:r>
      <w:r w:rsidR="006A2B13" w:rsidRPr="006A2B13">
        <w:instrText>'</w:instrText>
      </w:r>
      <w:r w:rsidR="006A2B13">
        <w:rPr>
          <w:lang w:val="en-US"/>
        </w:rPr>
        <w:instrText>s</w:instrText>
      </w:r>
      <w:r w:rsidR="006A2B13" w:rsidRPr="006A2B13">
        <w:instrText xml:space="preserve"> </w:instrText>
      </w:r>
      <w:r w:rsidR="006A2B13">
        <w:rPr>
          <w:lang w:val="en-US"/>
        </w:rPr>
        <w:instrText>lymphoma</w:instrText>
      </w:r>
      <w:r w:rsidR="006A2B13" w:rsidRPr="006A2B13">
        <w:instrText>","</w:instrText>
      </w:r>
      <w:r w:rsidR="006A2B13">
        <w:rPr>
          <w:lang w:val="en-US"/>
        </w:rPr>
        <w:instrText>type</w:instrText>
      </w:r>
      <w:r w:rsidR="006A2B13" w:rsidRPr="006A2B13">
        <w:instrText>":"</w:instrText>
      </w:r>
      <w:r w:rsidR="006A2B13">
        <w:rPr>
          <w:lang w:val="en-US"/>
        </w:rPr>
        <w:instrText>article</w:instrText>
      </w:r>
      <w:r w:rsidR="006A2B13" w:rsidRPr="006A2B13">
        <w:instrText>-</w:instrText>
      </w:r>
      <w:r w:rsidR="006A2B13">
        <w:rPr>
          <w:lang w:val="en-US"/>
        </w:rPr>
        <w:instrText>journal</w:instrText>
      </w:r>
      <w:r w:rsidR="006A2B13" w:rsidRPr="006A2B13">
        <w:instrText>","</w:instrText>
      </w:r>
      <w:r w:rsidR="006A2B13">
        <w:rPr>
          <w:lang w:val="en-US"/>
        </w:rPr>
        <w:instrText>volume</w:instrText>
      </w:r>
      <w:r w:rsidR="006A2B13" w:rsidRPr="006A2B13">
        <w:instrText>":"14"},"</w:instrText>
      </w:r>
      <w:r w:rsidR="006A2B13">
        <w:rPr>
          <w:lang w:val="en-US"/>
        </w:rPr>
        <w:instrText>uris</w:instrText>
      </w:r>
      <w:r w:rsidR="006A2B13" w:rsidRPr="006A2B13">
        <w:instrText>":["</w:instrText>
      </w:r>
      <w:r w:rsidR="006A2B13">
        <w:rPr>
          <w:lang w:val="en-US"/>
        </w:rPr>
        <w:instrText>http</w:instrText>
      </w:r>
      <w:r w:rsidR="006A2B13" w:rsidRPr="006A2B13">
        <w:instrText>://</w:instrText>
      </w:r>
      <w:r w:rsidR="006A2B13">
        <w:rPr>
          <w:lang w:val="en-US"/>
        </w:rPr>
        <w:instrText>www</w:instrText>
      </w:r>
      <w:r w:rsidR="006A2B13" w:rsidRPr="006A2B13">
        <w:instrText>.</w:instrText>
      </w:r>
      <w:r w:rsidR="006A2B13">
        <w:rPr>
          <w:lang w:val="en-US"/>
        </w:rPr>
        <w:instrText>mendeley</w:instrText>
      </w:r>
      <w:r w:rsidR="006A2B13" w:rsidRPr="006A2B13">
        <w:instrText>.</w:instrText>
      </w:r>
      <w:r w:rsidR="006A2B13">
        <w:rPr>
          <w:lang w:val="en-US"/>
        </w:rPr>
        <w:instrText>com</w:instrText>
      </w:r>
      <w:r w:rsidR="006A2B13" w:rsidRPr="006A2B13">
        <w:instrText>/</w:instrText>
      </w:r>
      <w:r w:rsidR="006A2B13">
        <w:rPr>
          <w:lang w:val="en-US"/>
        </w:rPr>
        <w:instrText>documents</w:instrText>
      </w:r>
      <w:r w:rsidR="006A2B13" w:rsidRPr="006A2B13">
        <w:instrText>/?</w:instrText>
      </w:r>
      <w:r w:rsidR="006A2B13">
        <w:rPr>
          <w:lang w:val="en-US"/>
        </w:rPr>
        <w:instrText>uuid</w:instrText>
      </w:r>
      <w:r w:rsidR="006A2B13" w:rsidRPr="006A2B13">
        <w:instrText>=81</w:instrText>
      </w:r>
      <w:r w:rsidR="006A2B13">
        <w:rPr>
          <w:lang w:val="en-US"/>
        </w:rPr>
        <w:instrText>f</w:instrText>
      </w:r>
      <w:r w:rsidR="006A2B13" w:rsidRPr="006A2B13">
        <w:instrText>1024</w:instrText>
      </w:r>
      <w:r w:rsidR="006A2B13">
        <w:rPr>
          <w:lang w:val="en-US"/>
        </w:rPr>
        <w:instrText>b</w:instrText>
      </w:r>
      <w:r w:rsidR="006A2B13" w:rsidRPr="006A2B13">
        <w:instrText>-4652-3404-9</w:instrText>
      </w:r>
      <w:r w:rsidR="006A2B13">
        <w:rPr>
          <w:lang w:val="en-US"/>
        </w:rPr>
        <w:instrText>c</w:instrText>
      </w:r>
      <w:r w:rsidR="006A2B13" w:rsidRPr="006A2B13">
        <w:instrText>8</w:instrText>
      </w:r>
      <w:r w:rsidR="006A2B13">
        <w:rPr>
          <w:lang w:val="en-US"/>
        </w:rPr>
        <w:instrText>e</w:instrText>
      </w:r>
      <w:r w:rsidR="006A2B13" w:rsidRPr="006A2B13">
        <w:instrText>-9</w:instrText>
      </w:r>
      <w:r w:rsidR="006A2B13">
        <w:rPr>
          <w:lang w:val="en-US"/>
        </w:rPr>
        <w:instrText>f</w:instrText>
      </w:r>
      <w:r w:rsidR="006A2B13" w:rsidRPr="006A2B13">
        <w:instrText>2</w:instrText>
      </w:r>
      <w:r w:rsidR="006A2B13">
        <w:rPr>
          <w:lang w:val="en-US"/>
        </w:rPr>
        <w:instrText>c</w:instrText>
      </w:r>
      <w:r w:rsidR="006A2B13" w:rsidRPr="006A2B13">
        <w:instrText>8255711</w:instrText>
      </w:r>
      <w:r w:rsidR="006A2B13">
        <w:rPr>
          <w:lang w:val="en-US"/>
        </w:rPr>
        <w:instrText>f</w:instrText>
      </w:r>
      <w:r w:rsidR="006A2B13" w:rsidRPr="006A2B13">
        <w:instrText>"]}],"</w:instrText>
      </w:r>
      <w:r w:rsidR="006A2B13">
        <w:rPr>
          <w:lang w:val="en-US"/>
        </w:rPr>
        <w:instrText>mendeley</w:instrText>
      </w:r>
      <w:r w:rsidR="006A2B13" w:rsidRPr="006A2B13">
        <w:instrText>":{"</w:instrText>
      </w:r>
      <w:r w:rsidR="006A2B13">
        <w:rPr>
          <w:lang w:val="en-US"/>
        </w:rPr>
        <w:instrText>formattedCitation</w:instrText>
      </w:r>
      <w:r w:rsidR="006A2B13" w:rsidRPr="006A2B13">
        <w:instrText>":"[113]","</w:instrText>
      </w:r>
      <w:r w:rsidR="006A2B13">
        <w:rPr>
          <w:lang w:val="en-US"/>
        </w:rPr>
        <w:instrText>plainTextFormattedCitation</w:instrText>
      </w:r>
      <w:r w:rsidR="006A2B13" w:rsidRPr="006A2B13">
        <w:instrText>":"[113]","</w:instrText>
      </w:r>
      <w:r w:rsidR="006A2B13">
        <w:rPr>
          <w:lang w:val="en-US"/>
        </w:rPr>
        <w:instrText>previouslyFormattedCitation</w:instrText>
      </w:r>
      <w:r w:rsidR="006A2B13" w:rsidRPr="006A2B13">
        <w:instrText>":"[113]"},"</w:instrText>
      </w:r>
      <w:r w:rsidR="006A2B13">
        <w:rPr>
          <w:lang w:val="en-US"/>
        </w:rPr>
        <w:instrText>properties</w:instrText>
      </w:r>
      <w:r w:rsidR="006A2B13" w:rsidRPr="006A2B13">
        <w:instrText>":{"</w:instrText>
      </w:r>
      <w:r w:rsidR="006A2B13">
        <w:rPr>
          <w:lang w:val="en-US"/>
        </w:rPr>
        <w:instrText>noteIndex</w:instrText>
      </w:r>
      <w:r w:rsidR="006A2B13" w:rsidRPr="006A2B13">
        <w:instrText>":0},"</w:instrText>
      </w:r>
      <w:r w:rsidR="006A2B13">
        <w:rPr>
          <w:lang w:val="en-US"/>
        </w:rPr>
        <w:instrText>schema</w:instrText>
      </w:r>
      <w:r w:rsidR="006A2B13" w:rsidRPr="006A2B13">
        <w:instrText>":"</w:instrText>
      </w:r>
      <w:r w:rsidR="006A2B13">
        <w:rPr>
          <w:lang w:val="en-US"/>
        </w:rPr>
        <w:instrText>https</w:instrText>
      </w:r>
      <w:r w:rsidR="006A2B13" w:rsidRPr="006A2B13">
        <w:instrText>://</w:instrText>
      </w:r>
      <w:r w:rsidR="006A2B13">
        <w:rPr>
          <w:lang w:val="en-US"/>
        </w:rPr>
        <w:instrText>github</w:instrText>
      </w:r>
      <w:r w:rsidR="006A2B13" w:rsidRPr="006A2B13">
        <w:instrText>.</w:instrText>
      </w:r>
      <w:r w:rsidR="006A2B13">
        <w:rPr>
          <w:lang w:val="en-US"/>
        </w:rPr>
        <w:instrText>com</w:instrText>
      </w:r>
      <w:r w:rsidR="006A2B13" w:rsidRPr="006A2B13">
        <w:instrText>/</w:instrText>
      </w:r>
      <w:r w:rsidR="006A2B13">
        <w:rPr>
          <w:lang w:val="en-US"/>
        </w:rPr>
        <w:instrText>citation</w:instrText>
      </w:r>
      <w:r w:rsidR="006A2B13" w:rsidRPr="006A2B13">
        <w:instrText>-</w:instrText>
      </w:r>
      <w:r w:rsidR="006A2B13">
        <w:rPr>
          <w:lang w:val="en-US"/>
        </w:rPr>
        <w:instrText>style</w:instrText>
      </w:r>
      <w:r w:rsidR="006A2B13" w:rsidRPr="006A2B13">
        <w:instrText>-</w:instrText>
      </w:r>
      <w:r w:rsidR="006A2B13">
        <w:rPr>
          <w:lang w:val="en-US"/>
        </w:rPr>
        <w:instrText>language</w:instrText>
      </w:r>
      <w:r w:rsidR="006A2B13" w:rsidRPr="006A2B13">
        <w:instrText>/</w:instrText>
      </w:r>
      <w:r w:rsidR="006A2B13">
        <w:rPr>
          <w:lang w:val="en-US"/>
        </w:rPr>
        <w:instrText>schema</w:instrText>
      </w:r>
      <w:r w:rsidR="006A2B13" w:rsidRPr="006A2B13">
        <w:instrText>/</w:instrText>
      </w:r>
      <w:r w:rsidR="006A2B13">
        <w:rPr>
          <w:lang w:val="en-US"/>
        </w:rPr>
        <w:instrText>raw</w:instrText>
      </w:r>
      <w:r w:rsidR="006A2B13" w:rsidRPr="006A2B13">
        <w:instrText>/</w:instrText>
      </w:r>
      <w:r w:rsidR="006A2B13">
        <w:rPr>
          <w:lang w:val="en-US"/>
        </w:rPr>
        <w:instrText>master</w:instrText>
      </w:r>
      <w:r w:rsidR="006A2B13" w:rsidRPr="006A2B13">
        <w:instrText>/</w:instrText>
      </w:r>
      <w:r w:rsidR="006A2B13">
        <w:rPr>
          <w:lang w:val="en-US"/>
        </w:rPr>
        <w:instrText>csl</w:instrText>
      </w:r>
      <w:r w:rsidR="006A2B13" w:rsidRPr="006A2B13">
        <w:instrText>-</w:instrText>
      </w:r>
      <w:r w:rsidR="006A2B13">
        <w:rPr>
          <w:lang w:val="en-US"/>
        </w:rPr>
        <w:instrText>citation</w:instrText>
      </w:r>
      <w:r w:rsidR="006A2B13" w:rsidRPr="006A2B13">
        <w:instrText>.</w:instrText>
      </w:r>
      <w:r w:rsidR="006A2B13">
        <w:rPr>
          <w:lang w:val="en-US"/>
        </w:rPr>
        <w:instrText>json</w:instrText>
      </w:r>
      <w:r w:rsidR="006A2B13" w:rsidRPr="006A2B13">
        <w:instrText>"}</w:instrText>
      </w:r>
      <w:r w:rsidRPr="000322E4">
        <w:rPr>
          <w:lang w:val="en-US"/>
        </w:rPr>
        <w:fldChar w:fldCharType="separate"/>
      </w:r>
      <w:r w:rsidR="00A6794A" w:rsidRPr="00A6794A">
        <w:rPr>
          <w:noProof/>
        </w:rPr>
        <w:t>[113]</w:t>
      </w:r>
      <w:r w:rsidRPr="000322E4">
        <w:rPr>
          <w:lang w:val="en-US"/>
        </w:rPr>
        <w:fldChar w:fldCharType="end"/>
      </w:r>
    </w:p>
    <w:p w14:paraId="22E6A485" w14:textId="77777777" w:rsidR="00666D68" w:rsidRPr="005E26A0" w:rsidRDefault="00666D68" w:rsidP="008E3584">
      <w:pPr>
        <w:numPr>
          <w:ilvl w:val="0"/>
          <w:numId w:val="48"/>
        </w:numPr>
        <w:spacing w:line="360" w:lineRule="auto"/>
        <w:jc w:val="both"/>
      </w:pPr>
      <w:r w:rsidRPr="000322E4">
        <w:t>Этопозид</w:t>
      </w:r>
      <w:r w:rsidRPr="005E26A0">
        <w:rPr>
          <w:bCs/>
        </w:rPr>
        <w:t>**</w:t>
      </w:r>
      <w:r w:rsidRPr="005E26A0">
        <w:t xml:space="preserve"> 100 </w:t>
      </w:r>
      <w:r w:rsidRPr="000322E4">
        <w:t>мг</w:t>
      </w:r>
      <w:r w:rsidRPr="005E26A0">
        <w:t>/</w:t>
      </w:r>
      <w:r w:rsidRPr="000322E4">
        <w:t>м</w:t>
      </w:r>
      <w:r w:rsidRPr="005E26A0">
        <w:rPr>
          <w:vertAlign w:val="superscript"/>
        </w:rPr>
        <w:t>2</w:t>
      </w:r>
      <w:r w:rsidRPr="005E26A0">
        <w:t xml:space="preserve"> </w:t>
      </w:r>
      <w:r w:rsidRPr="000322E4">
        <w:t>в</w:t>
      </w:r>
      <w:r w:rsidRPr="005E26A0">
        <w:t>/</w:t>
      </w:r>
      <w:r w:rsidRPr="000322E4">
        <w:t>в</w:t>
      </w:r>
      <w:r w:rsidRPr="005E26A0">
        <w:t xml:space="preserve"> </w:t>
      </w:r>
      <w:r w:rsidRPr="000322E4">
        <w:t>кап</w:t>
      </w:r>
      <w:r w:rsidRPr="005E26A0">
        <w:t xml:space="preserve">., </w:t>
      </w:r>
      <w:r w:rsidRPr="000322E4">
        <w:t>дни</w:t>
      </w:r>
      <w:r w:rsidRPr="005E26A0">
        <w:t xml:space="preserve"> 1-3 </w:t>
      </w:r>
    </w:p>
    <w:p w14:paraId="05425A83" w14:textId="77777777" w:rsidR="00666D68" w:rsidRPr="005E26A0" w:rsidRDefault="00666D68" w:rsidP="008E3584">
      <w:pPr>
        <w:numPr>
          <w:ilvl w:val="0"/>
          <w:numId w:val="48"/>
        </w:numPr>
        <w:spacing w:line="360" w:lineRule="auto"/>
        <w:jc w:val="both"/>
      </w:pPr>
      <w:r w:rsidRPr="000322E4">
        <w:t>Ифосфамид</w:t>
      </w:r>
      <w:r w:rsidRPr="005E26A0">
        <w:rPr>
          <w:bCs/>
        </w:rPr>
        <w:t>**</w:t>
      </w:r>
      <w:r w:rsidRPr="005E26A0">
        <w:t xml:space="preserve"> 5000 </w:t>
      </w:r>
      <w:r w:rsidRPr="000322E4">
        <w:t>мг</w:t>
      </w:r>
      <w:r w:rsidRPr="005E26A0">
        <w:t>/</w:t>
      </w:r>
      <w:r w:rsidRPr="000322E4">
        <w:t>м</w:t>
      </w:r>
      <w:r w:rsidRPr="005E26A0">
        <w:rPr>
          <w:vertAlign w:val="superscript"/>
        </w:rPr>
        <w:t>2</w:t>
      </w:r>
      <w:r w:rsidRPr="005E26A0">
        <w:t xml:space="preserve"> </w:t>
      </w:r>
      <w:r w:rsidRPr="000322E4">
        <w:t>в</w:t>
      </w:r>
      <w:r w:rsidRPr="005E26A0">
        <w:t>/</w:t>
      </w:r>
      <w:r w:rsidRPr="000322E4">
        <w:t>в</w:t>
      </w:r>
      <w:r w:rsidRPr="005E26A0">
        <w:t xml:space="preserve"> 24-</w:t>
      </w:r>
      <w:r w:rsidRPr="000322E4">
        <w:t>часовая</w:t>
      </w:r>
      <w:r w:rsidRPr="005E26A0">
        <w:t xml:space="preserve"> </w:t>
      </w:r>
      <w:r w:rsidRPr="000322E4">
        <w:t>инфузия</w:t>
      </w:r>
      <w:r w:rsidRPr="005E26A0">
        <w:t xml:space="preserve">, </w:t>
      </w:r>
      <w:r w:rsidRPr="000322E4">
        <w:t>день</w:t>
      </w:r>
      <w:r w:rsidRPr="005E26A0">
        <w:t xml:space="preserve"> 2</w:t>
      </w:r>
    </w:p>
    <w:p w14:paraId="5D96FF0C" w14:textId="23234426" w:rsidR="00666D68" w:rsidRPr="005E26A0" w:rsidRDefault="00666D68" w:rsidP="008E3584">
      <w:pPr>
        <w:numPr>
          <w:ilvl w:val="0"/>
          <w:numId w:val="48"/>
        </w:numPr>
        <w:spacing w:line="360" w:lineRule="auto"/>
        <w:jc w:val="both"/>
      </w:pPr>
      <w:r w:rsidRPr="005E26A0">
        <w:t>#</w:t>
      </w:r>
      <w:r w:rsidRPr="000322E4">
        <w:t>Карбоплатин</w:t>
      </w:r>
      <w:r w:rsidRPr="005E26A0">
        <w:rPr>
          <w:bCs/>
        </w:rPr>
        <w:t>**</w:t>
      </w:r>
      <w:r w:rsidRPr="005E26A0">
        <w:t xml:space="preserve"> </w:t>
      </w:r>
      <w:r w:rsidRPr="008139BC">
        <w:rPr>
          <w:lang w:val="en-US"/>
        </w:rPr>
        <w:t>AU</w:t>
      </w:r>
      <w:r w:rsidRPr="000322E4">
        <w:t>С</w:t>
      </w:r>
      <w:r w:rsidRPr="005E26A0">
        <w:t xml:space="preserve"> 5 </w:t>
      </w:r>
      <w:r w:rsidRPr="000322E4">
        <w:t>с</w:t>
      </w:r>
      <w:r w:rsidRPr="005E26A0">
        <w:t xml:space="preserve"> </w:t>
      </w:r>
      <w:r w:rsidRPr="000322E4">
        <w:t>использованием</w:t>
      </w:r>
      <w:r w:rsidRPr="005E26A0">
        <w:t xml:space="preserve"> </w:t>
      </w:r>
      <w:r w:rsidRPr="000322E4">
        <w:t>формулы</w:t>
      </w:r>
      <w:r w:rsidRPr="005E26A0">
        <w:t xml:space="preserve"> </w:t>
      </w:r>
      <w:r w:rsidRPr="008139BC">
        <w:rPr>
          <w:lang w:val="en-US"/>
        </w:rPr>
        <w:t>Calvert</w:t>
      </w:r>
      <w:r w:rsidRPr="005E26A0">
        <w:t xml:space="preserve">; </w:t>
      </w:r>
      <w:r w:rsidRPr="000322E4">
        <w:t>максимально</w:t>
      </w:r>
      <w:r w:rsidRPr="005E26A0">
        <w:t xml:space="preserve"> 800 </w:t>
      </w:r>
      <w:r w:rsidRPr="000322E4">
        <w:t>мг</w:t>
      </w:r>
      <w:r w:rsidRPr="005E26A0">
        <w:t xml:space="preserve"> </w:t>
      </w:r>
      <w:r w:rsidRPr="000322E4">
        <w:t>в</w:t>
      </w:r>
      <w:r w:rsidRPr="005E26A0">
        <w:t>/</w:t>
      </w:r>
      <w:r w:rsidRPr="000322E4">
        <w:t>в</w:t>
      </w:r>
      <w:r w:rsidRPr="005E26A0">
        <w:t xml:space="preserve"> </w:t>
      </w:r>
      <w:r w:rsidRPr="000322E4">
        <w:t>кап</w:t>
      </w:r>
      <w:r w:rsidRPr="005E26A0">
        <w:t xml:space="preserve">., </w:t>
      </w:r>
      <w:r w:rsidRPr="000322E4">
        <w:t>день</w:t>
      </w:r>
      <w:r w:rsidRPr="005E26A0">
        <w:t xml:space="preserve"> 2 </w:t>
      </w:r>
    </w:p>
    <w:p w14:paraId="1AFA1DB4" w14:textId="08524934" w:rsidR="00EB3D5F" w:rsidRPr="002818CC" w:rsidRDefault="00EB3D5F" w:rsidP="008E3584">
      <w:pPr>
        <w:numPr>
          <w:ilvl w:val="0"/>
          <w:numId w:val="48"/>
        </w:numPr>
        <w:spacing w:line="360" w:lineRule="auto"/>
        <w:jc w:val="both"/>
      </w:pPr>
      <w:r>
        <w:t>Ф</w:t>
      </w:r>
      <w:r w:rsidRPr="00EB3D5F">
        <w:t>илграстим</w:t>
      </w:r>
      <w:r w:rsidRPr="002818CC">
        <w:t xml:space="preserve"> 5 </w:t>
      </w:r>
      <w:r w:rsidRPr="00EB3D5F">
        <w:t>мкг</w:t>
      </w:r>
      <w:r w:rsidRPr="002818CC">
        <w:t>/</w:t>
      </w:r>
      <w:r w:rsidRPr="00EB3D5F">
        <w:t>кг</w:t>
      </w:r>
      <w:r w:rsidRPr="002818CC">
        <w:t xml:space="preserve"> </w:t>
      </w:r>
      <w:r w:rsidRPr="00EB3D5F">
        <w:t>подкожно</w:t>
      </w:r>
      <w:r w:rsidRPr="002818CC">
        <w:t xml:space="preserve"> (</w:t>
      </w:r>
      <w:r w:rsidRPr="00EB3D5F">
        <w:t>п</w:t>
      </w:r>
      <w:r w:rsidRPr="002818CC">
        <w:t>/</w:t>
      </w:r>
      <w:r w:rsidRPr="00EB3D5F">
        <w:t>к</w:t>
      </w:r>
      <w:r w:rsidRPr="002818CC">
        <w:t xml:space="preserve">) </w:t>
      </w:r>
      <w:r w:rsidRPr="00EB3D5F">
        <w:t>через</w:t>
      </w:r>
      <w:r w:rsidRPr="002818CC">
        <w:t xml:space="preserve"> 24-72 </w:t>
      </w:r>
      <w:r w:rsidRPr="00EB3D5F">
        <w:t>часа</w:t>
      </w:r>
      <w:r w:rsidRPr="002818CC">
        <w:t xml:space="preserve"> </w:t>
      </w:r>
      <w:r w:rsidRPr="00EB3D5F">
        <w:t>после</w:t>
      </w:r>
      <w:r w:rsidRPr="002818CC">
        <w:t xml:space="preserve"> </w:t>
      </w:r>
      <w:r w:rsidRPr="00EB3D5F">
        <w:t>окончания</w:t>
      </w:r>
      <w:r w:rsidRPr="002818CC">
        <w:t xml:space="preserve"> </w:t>
      </w:r>
      <w:r w:rsidRPr="00EB3D5F">
        <w:t>введения</w:t>
      </w:r>
      <w:r w:rsidRPr="002818CC">
        <w:t xml:space="preserve"> </w:t>
      </w:r>
      <w:r w:rsidRPr="00EB3D5F">
        <w:t>химиопрепаратов</w:t>
      </w:r>
      <w:r w:rsidRPr="002818CC">
        <w:t xml:space="preserve"> </w:t>
      </w:r>
      <w:r w:rsidRPr="00EB3D5F">
        <w:t>и</w:t>
      </w:r>
      <w:r w:rsidRPr="002818CC">
        <w:t xml:space="preserve"> </w:t>
      </w:r>
      <w:r w:rsidRPr="00EB3D5F">
        <w:t>до</w:t>
      </w:r>
      <w:r w:rsidRPr="002818CC">
        <w:t xml:space="preserve"> </w:t>
      </w:r>
      <w:r w:rsidRPr="00EB3D5F">
        <w:t>восстановления</w:t>
      </w:r>
      <w:r w:rsidRPr="002818CC">
        <w:t xml:space="preserve"> </w:t>
      </w:r>
      <w:r w:rsidRPr="00EB3D5F">
        <w:t>нормального</w:t>
      </w:r>
      <w:r w:rsidRPr="002818CC">
        <w:t xml:space="preserve"> </w:t>
      </w:r>
      <w:r w:rsidRPr="00EB3D5F">
        <w:t>числа</w:t>
      </w:r>
      <w:r w:rsidRPr="002818CC">
        <w:t xml:space="preserve"> </w:t>
      </w:r>
      <w:r w:rsidRPr="00EB3D5F">
        <w:t>нейтрофилов</w:t>
      </w:r>
      <w:r w:rsidRPr="002818CC">
        <w:t xml:space="preserve"> </w:t>
      </w:r>
      <w:r w:rsidRPr="00EB3D5F">
        <w:t>после</w:t>
      </w:r>
      <w:r w:rsidRPr="002818CC">
        <w:t xml:space="preserve"> </w:t>
      </w:r>
      <w:r w:rsidRPr="00EB3D5F">
        <w:t>надира</w:t>
      </w:r>
      <w:r w:rsidRPr="002818CC">
        <w:t xml:space="preserve"> </w:t>
      </w:r>
      <w:r w:rsidRPr="00EB3D5F">
        <w:t>или</w:t>
      </w:r>
      <w:r w:rsidRPr="002818CC">
        <w:t xml:space="preserve"> </w:t>
      </w:r>
      <w:r w:rsidRPr="00EB3D5F">
        <w:t>пэгфилграстим</w:t>
      </w:r>
      <w:r w:rsidRPr="002818CC">
        <w:t xml:space="preserve"> 6 </w:t>
      </w:r>
      <w:r w:rsidRPr="00EB3D5F">
        <w:t>мг</w:t>
      </w:r>
      <w:r w:rsidRPr="002818CC">
        <w:t xml:space="preserve"> </w:t>
      </w:r>
      <w:r w:rsidRPr="00EB3D5F">
        <w:t>или</w:t>
      </w:r>
      <w:r w:rsidRPr="002818CC">
        <w:t xml:space="preserve"> </w:t>
      </w:r>
      <w:r w:rsidRPr="00EB3D5F">
        <w:t>эмпэгфилграстим</w:t>
      </w:r>
      <w:r w:rsidRPr="002818CC">
        <w:t xml:space="preserve"> 7,5 </w:t>
      </w:r>
      <w:r w:rsidRPr="00EB3D5F">
        <w:t>мг</w:t>
      </w:r>
      <w:r w:rsidRPr="002818CC">
        <w:t xml:space="preserve"> </w:t>
      </w:r>
      <w:r w:rsidRPr="00EB3D5F">
        <w:t>подкожно</w:t>
      </w:r>
      <w:r w:rsidRPr="002818CC">
        <w:t xml:space="preserve">, </w:t>
      </w:r>
      <w:r w:rsidRPr="00EB3D5F">
        <w:t>однократно</w:t>
      </w:r>
      <w:r w:rsidRPr="002818CC">
        <w:t xml:space="preserve">, </w:t>
      </w:r>
      <w:r w:rsidRPr="00EB3D5F">
        <w:t>не</w:t>
      </w:r>
      <w:r w:rsidRPr="002818CC">
        <w:t xml:space="preserve"> </w:t>
      </w:r>
      <w:r w:rsidRPr="00EB3D5F">
        <w:t>менее</w:t>
      </w:r>
      <w:r w:rsidRPr="002818CC">
        <w:t xml:space="preserve"> </w:t>
      </w:r>
      <w:r w:rsidRPr="00EB3D5F">
        <w:t>чем</w:t>
      </w:r>
      <w:r w:rsidRPr="002818CC">
        <w:t xml:space="preserve"> </w:t>
      </w:r>
      <w:r w:rsidRPr="00EB3D5F">
        <w:t>через</w:t>
      </w:r>
      <w:r w:rsidRPr="002818CC">
        <w:t xml:space="preserve"> 24 </w:t>
      </w:r>
      <w:r w:rsidRPr="00EB3D5F">
        <w:t>часа</w:t>
      </w:r>
      <w:r w:rsidRPr="002818CC">
        <w:t xml:space="preserve"> </w:t>
      </w:r>
      <w:r w:rsidRPr="00EB3D5F">
        <w:t>после</w:t>
      </w:r>
      <w:r w:rsidRPr="002818CC">
        <w:t xml:space="preserve"> </w:t>
      </w:r>
      <w:r w:rsidRPr="00EB3D5F">
        <w:t>окончания</w:t>
      </w:r>
      <w:r w:rsidRPr="002818CC">
        <w:t xml:space="preserve"> </w:t>
      </w:r>
      <w:r w:rsidRPr="00EB3D5F">
        <w:t>введения</w:t>
      </w:r>
      <w:r w:rsidRPr="002818CC">
        <w:t xml:space="preserve"> </w:t>
      </w:r>
      <w:r w:rsidRPr="00EB3D5F">
        <w:t>химиопрепаратов</w:t>
      </w:r>
      <w:r w:rsidRPr="002818CC">
        <w:t>.</w:t>
      </w:r>
    </w:p>
    <w:p w14:paraId="04C356B0" w14:textId="77777777" w:rsidR="00666D68" w:rsidRPr="002818CC" w:rsidRDefault="00666D68" w:rsidP="008E3584">
      <w:pPr>
        <w:spacing w:line="360" w:lineRule="auto"/>
        <w:jc w:val="both"/>
      </w:pPr>
    </w:p>
    <w:p w14:paraId="54E163EB" w14:textId="18EB8856" w:rsidR="00666D68" w:rsidRPr="002818CC" w:rsidRDefault="00666D68" w:rsidP="008E3584">
      <w:pPr>
        <w:spacing w:line="360" w:lineRule="auto"/>
        <w:jc w:val="both"/>
        <w:rPr>
          <w:b/>
          <w:bCs/>
        </w:rPr>
      </w:pPr>
      <w:r w:rsidRPr="008139BC">
        <w:rPr>
          <w:b/>
          <w:bCs/>
          <w:lang w:val="en-US"/>
        </w:rPr>
        <w:t>GD</w:t>
      </w:r>
      <w:r w:rsidRPr="000322E4">
        <w:rPr>
          <w:b/>
          <w:bCs/>
          <w:lang w:val="en-US"/>
        </w:rPr>
        <w:t>P</w:t>
      </w:r>
      <w:r w:rsidRPr="002818CC">
        <w:rPr>
          <w:b/>
          <w:bCs/>
        </w:rPr>
        <w:t xml:space="preserve"> </w:t>
      </w:r>
      <w:r w:rsidRPr="000322E4">
        <w:rPr>
          <w:lang w:val="en-US"/>
        </w:rPr>
        <w:fldChar w:fldCharType="begin" w:fldLock="1"/>
      </w:r>
      <w:r w:rsidR="006A2B13">
        <w:rPr>
          <w:lang w:val="en-US"/>
        </w:rPr>
        <w:instrText>ADDIN</w:instrText>
      </w:r>
      <w:r w:rsidR="006A2B13" w:rsidRPr="006A2B13">
        <w:instrText xml:space="preserve"> </w:instrText>
      </w:r>
      <w:r w:rsidR="006A2B13">
        <w:rPr>
          <w:lang w:val="en-US"/>
        </w:rPr>
        <w:instrText>CSL</w:instrText>
      </w:r>
      <w:r w:rsidR="006A2B13" w:rsidRPr="006A2B13">
        <w:instrText>_</w:instrText>
      </w:r>
      <w:r w:rsidR="006A2B13">
        <w:rPr>
          <w:lang w:val="en-US"/>
        </w:rPr>
        <w:instrText>CITATION</w:instrText>
      </w:r>
      <w:r w:rsidR="006A2B13" w:rsidRPr="006A2B13">
        <w:instrText xml:space="preserve"> {"</w:instrText>
      </w:r>
      <w:r w:rsidR="006A2B13">
        <w:rPr>
          <w:lang w:val="en-US"/>
        </w:rPr>
        <w:instrText>citationItems</w:instrText>
      </w:r>
      <w:r w:rsidR="006A2B13" w:rsidRPr="006A2B13">
        <w:instrText>":[{"</w:instrText>
      </w:r>
      <w:r w:rsidR="006A2B13">
        <w:rPr>
          <w:lang w:val="en-US"/>
        </w:rPr>
        <w:instrText>id</w:instrText>
      </w:r>
      <w:r w:rsidR="006A2B13" w:rsidRPr="006A2B13">
        <w:instrText>":"</w:instrText>
      </w:r>
      <w:r w:rsidR="006A2B13">
        <w:rPr>
          <w:lang w:val="en-US"/>
        </w:rPr>
        <w:instrText>ITEM</w:instrText>
      </w:r>
      <w:r w:rsidR="006A2B13" w:rsidRPr="006A2B13">
        <w:instrText>-1","</w:instrText>
      </w:r>
      <w:r w:rsidR="006A2B13">
        <w:rPr>
          <w:lang w:val="en-US"/>
        </w:rPr>
        <w:instrText>itemData</w:instrText>
      </w:r>
      <w:r w:rsidR="006A2B13" w:rsidRPr="006A2B13">
        <w:instrText>":{"</w:instrText>
      </w:r>
      <w:r w:rsidR="006A2B13">
        <w:rPr>
          <w:lang w:val="en-US"/>
        </w:rPr>
        <w:instrText>DOI</w:instrText>
      </w:r>
      <w:r w:rsidR="006A2B13" w:rsidRPr="006A2B13">
        <w:instrText>":"10.1002/</w:instrText>
      </w:r>
      <w:r w:rsidR="006A2B13">
        <w:rPr>
          <w:lang w:val="en-US"/>
        </w:rPr>
        <w:instrText>cncr</w:instrText>
      </w:r>
      <w:r w:rsidR="006A2B13" w:rsidRPr="006A2B13">
        <w:instrText>.20587","</w:instrText>
      </w:r>
      <w:r w:rsidR="006A2B13">
        <w:rPr>
          <w:lang w:val="en-US"/>
        </w:rPr>
        <w:instrText>ISSN</w:instrText>
      </w:r>
      <w:r w:rsidR="006A2B13" w:rsidRPr="006A2B13">
        <w:instrText>":"0008543</w:instrText>
      </w:r>
      <w:r w:rsidR="006A2B13">
        <w:rPr>
          <w:lang w:val="en-US"/>
        </w:rPr>
        <w:instrText>X</w:instrText>
      </w:r>
      <w:r w:rsidR="006A2B13" w:rsidRPr="006A2B13">
        <w:instrText>","</w:instrText>
      </w:r>
      <w:r w:rsidR="006A2B13">
        <w:rPr>
          <w:lang w:val="en-US"/>
        </w:rPr>
        <w:instrText>abstract</w:instrText>
      </w:r>
      <w:r w:rsidR="006A2B13" w:rsidRPr="006A2B13">
        <w:instrText>":"</w:instrText>
      </w:r>
      <w:r w:rsidR="006A2B13">
        <w:rPr>
          <w:lang w:val="en-US"/>
        </w:rPr>
        <w:instrText>BACKGROUND</w:instrText>
      </w:r>
      <w:r w:rsidR="006A2B13" w:rsidRPr="006A2B13">
        <w:instrText xml:space="preserve">. </w:instrText>
      </w:r>
      <w:r w:rsidR="006A2B13">
        <w:rPr>
          <w:lang w:val="en-US"/>
        </w:rPr>
        <w:instrText>Gemcitabine</w:instrText>
      </w:r>
      <w:r w:rsidR="006A2B13" w:rsidRPr="006A2B13">
        <w:instrText xml:space="preserve"> </w:instrText>
      </w:r>
      <w:r w:rsidR="006A2B13">
        <w:rPr>
          <w:lang w:val="en-US"/>
        </w:rPr>
        <w:instrText>has</w:instrText>
      </w:r>
      <w:r w:rsidR="006A2B13" w:rsidRPr="006A2B13">
        <w:instrText xml:space="preserve"> </w:instrText>
      </w:r>
      <w:r w:rsidR="006A2B13">
        <w:rPr>
          <w:lang w:val="en-US"/>
        </w:rPr>
        <w:instrText>been</w:instrText>
      </w:r>
      <w:r w:rsidR="006A2B13" w:rsidRPr="006A2B13">
        <w:instrText xml:space="preserve"> </w:instrText>
      </w:r>
      <w:r w:rsidR="006A2B13">
        <w:rPr>
          <w:lang w:val="en-US"/>
        </w:rPr>
        <w:instrText>shown</w:instrText>
      </w:r>
      <w:r w:rsidR="006A2B13" w:rsidRPr="006A2B13">
        <w:instrText xml:space="preserve"> </w:instrText>
      </w:r>
      <w:r w:rsidR="006A2B13">
        <w:rPr>
          <w:lang w:val="en-US"/>
        </w:rPr>
        <w:instrText>to</w:instrText>
      </w:r>
      <w:r w:rsidR="006A2B13" w:rsidRPr="006A2B13">
        <w:instrText xml:space="preserve"> </w:instrText>
      </w:r>
      <w:r w:rsidR="006A2B13">
        <w:rPr>
          <w:lang w:val="en-US"/>
        </w:rPr>
        <w:instrText>have</w:instrText>
      </w:r>
      <w:r w:rsidR="006A2B13" w:rsidRPr="006A2B13">
        <w:instrText xml:space="preserve"> </w:instrText>
      </w:r>
      <w:r w:rsidR="006A2B13">
        <w:rPr>
          <w:lang w:val="en-US"/>
        </w:rPr>
        <w:instrText>activity</w:instrText>
      </w:r>
      <w:r w:rsidR="006A2B13" w:rsidRPr="006A2B13">
        <w:instrText xml:space="preserve"> </w:instrText>
      </w:r>
      <w:r w:rsidR="006A2B13">
        <w:rPr>
          <w:lang w:val="en-US"/>
        </w:rPr>
        <w:instrText>as</w:instrText>
      </w:r>
      <w:r w:rsidR="006A2B13" w:rsidRPr="006A2B13">
        <w:instrText xml:space="preserve"> </w:instrText>
      </w:r>
      <w:r w:rsidR="006A2B13">
        <w:rPr>
          <w:lang w:val="en-US"/>
        </w:rPr>
        <w:instrText>a</w:instrText>
      </w:r>
      <w:r w:rsidR="006A2B13" w:rsidRPr="006A2B13">
        <w:instrText xml:space="preserve"> </w:instrText>
      </w:r>
      <w:r w:rsidR="006A2B13">
        <w:rPr>
          <w:lang w:val="en-US"/>
        </w:rPr>
        <w:instrText>single</w:instrText>
      </w:r>
      <w:r w:rsidR="006A2B13" w:rsidRPr="006A2B13">
        <w:instrText xml:space="preserve"> </w:instrText>
      </w:r>
      <w:r w:rsidR="006A2B13">
        <w:rPr>
          <w:lang w:val="en-US"/>
        </w:rPr>
        <w:instrText>agent</w:instrText>
      </w:r>
      <w:r w:rsidR="006A2B13" w:rsidRPr="006A2B13">
        <w:instrText xml:space="preserve"> </w:instrText>
      </w:r>
      <w:r w:rsidR="006A2B13">
        <w:rPr>
          <w:lang w:val="en-US"/>
        </w:rPr>
        <w:instrText>in</w:instrText>
      </w:r>
      <w:r w:rsidR="006A2B13" w:rsidRPr="006A2B13">
        <w:instrText xml:space="preserve"> </w:instrText>
      </w:r>
      <w:r w:rsidR="006A2B13">
        <w:rPr>
          <w:lang w:val="en-US"/>
        </w:rPr>
        <w:instrText>lymphoma</w:instrText>
      </w:r>
      <w:r w:rsidR="006A2B13" w:rsidRPr="006A2B13">
        <w:instrText xml:space="preserve"> </w:instrText>
      </w:r>
      <w:r w:rsidR="006A2B13">
        <w:rPr>
          <w:lang w:val="en-US"/>
        </w:rPr>
        <w:instrText>and</w:instrText>
      </w:r>
      <w:r w:rsidR="006A2B13" w:rsidRPr="006A2B13">
        <w:instrText xml:space="preserve">, </w:instrText>
      </w:r>
      <w:r w:rsidR="006A2B13">
        <w:rPr>
          <w:lang w:val="en-US"/>
        </w:rPr>
        <w:instrText>when</w:instrText>
      </w:r>
      <w:r w:rsidR="006A2B13" w:rsidRPr="006A2B13">
        <w:instrText xml:space="preserve"> </w:instrText>
      </w:r>
      <w:r w:rsidR="006A2B13">
        <w:rPr>
          <w:lang w:val="en-US"/>
        </w:rPr>
        <w:instrText>combined</w:instrText>
      </w:r>
      <w:r w:rsidR="006A2B13" w:rsidRPr="006A2B13">
        <w:instrText xml:space="preserve"> </w:instrText>
      </w:r>
      <w:r w:rsidR="006A2B13">
        <w:rPr>
          <w:lang w:val="en-US"/>
        </w:rPr>
        <w:instrText>with</w:instrText>
      </w:r>
      <w:r w:rsidR="006A2B13" w:rsidRPr="006A2B13">
        <w:instrText xml:space="preserve"> </w:instrText>
      </w:r>
      <w:r w:rsidR="006A2B13">
        <w:rPr>
          <w:lang w:val="en-US"/>
        </w:rPr>
        <w:instrText>cisplatin</w:instrText>
      </w:r>
      <w:r w:rsidR="006A2B13" w:rsidRPr="006A2B13">
        <w:instrText xml:space="preserve">, </w:instrText>
      </w:r>
      <w:r w:rsidR="006A2B13">
        <w:rPr>
          <w:lang w:val="en-US"/>
        </w:rPr>
        <w:instrText>is</w:instrText>
      </w:r>
      <w:r w:rsidR="006A2B13" w:rsidRPr="006A2B13">
        <w:instrText xml:space="preserve"> </w:instrText>
      </w:r>
      <w:r w:rsidR="006A2B13">
        <w:rPr>
          <w:lang w:val="en-US"/>
        </w:rPr>
        <w:instrText>effective</w:instrText>
      </w:r>
      <w:r w:rsidR="006A2B13" w:rsidRPr="006A2B13">
        <w:instrText xml:space="preserve"> </w:instrText>
      </w:r>
      <w:r w:rsidR="006A2B13">
        <w:rPr>
          <w:lang w:val="en-US"/>
        </w:rPr>
        <w:instrText>therapy</w:instrText>
      </w:r>
      <w:r w:rsidR="006A2B13" w:rsidRPr="006A2B13">
        <w:instrText xml:space="preserve"> </w:instrText>
      </w:r>
      <w:r w:rsidR="006A2B13">
        <w:rPr>
          <w:lang w:val="en-US"/>
        </w:rPr>
        <w:instrText>for</w:instrText>
      </w:r>
      <w:r w:rsidR="006A2B13" w:rsidRPr="006A2B13">
        <w:instrText xml:space="preserve"> </w:instrText>
      </w:r>
      <w:r w:rsidR="006A2B13">
        <w:rPr>
          <w:lang w:val="en-US"/>
        </w:rPr>
        <w:instrText>a</w:instrText>
      </w:r>
      <w:r w:rsidR="006A2B13" w:rsidRPr="006A2B13">
        <w:instrText xml:space="preserve"> </w:instrText>
      </w:r>
      <w:r w:rsidR="006A2B13">
        <w:rPr>
          <w:lang w:val="en-US"/>
        </w:rPr>
        <w:instrText>number</w:instrText>
      </w:r>
      <w:r w:rsidR="006A2B13" w:rsidRPr="006A2B13">
        <w:instrText xml:space="preserve"> </w:instrText>
      </w:r>
      <w:r w:rsidR="006A2B13">
        <w:rPr>
          <w:lang w:val="en-US"/>
        </w:rPr>
        <w:instrText>of</w:instrText>
      </w:r>
      <w:r w:rsidR="006A2B13" w:rsidRPr="006A2B13">
        <w:instrText xml:space="preserve"> </w:instrText>
      </w:r>
      <w:r w:rsidR="006A2B13">
        <w:rPr>
          <w:lang w:val="en-US"/>
        </w:rPr>
        <w:instrText>solid</w:instrText>
      </w:r>
      <w:r w:rsidR="006A2B13" w:rsidRPr="006A2B13">
        <w:instrText xml:space="preserve"> </w:instrText>
      </w:r>
      <w:r w:rsidR="006A2B13">
        <w:rPr>
          <w:lang w:val="en-US"/>
        </w:rPr>
        <w:instrText>tumors</w:instrText>
      </w:r>
      <w:r w:rsidR="006A2B13" w:rsidRPr="006A2B13">
        <w:instrText xml:space="preserve">. </w:instrText>
      </w:r>
      <w:r w:rsidR="006A2B13">
        <w:rPr>
          <w:lang w:val="en-US"/>
        </w:rPr>
        <w:instrText>The</w:instrText>
      </w:r>
      <w:r w:rsidR="006A2B13" w:rsidRPr="006A2B13">
        <w:instrText xml:space="preserve"> </w:instrText>
      </w:r>
      <w:r w:rsidR="006A2B13">
        <w:rPr>
          <w:lang w:val="en-US"/>
        </w:rPr>
        <w:instrText>authors</w:instrText>
      </w:r>
      <w:r w:rsidR="006A2B13" w:rsidRPr="006A2B13">
        <w:instrText xml:space="preserve"> </w:instrText>
      </w:r>
      <w:r w:rsidR="006A2B13">
        <w:rPr>
          <w:lang w:val="en-US"/>
        </w:rPr>
        <w:instrText>wished</w:instrText>
      </w:r>
      <w:r w:rsidR="006A2B13" w:rsidRPr="006A2B13">
        <w:instrText xml:space="preserve"> </w:instrText>
      </w:r>
      <w:r w:rsidR="006A2B13">
        <w:rPr>
          <w:lang w:val="en-US"/>
        </w:rPr>
        <w:instrText>to</w:instrText>
      </w:r>
      <w:r w:rsidR="006A2B13" w:rsidRPr="006A2B13">
        <w:instrText xml:space="preserve"> </w:instrText>
      </w:r>
      <w:r w:rsidR="006A2B13">
        <w:rPr>
          <w:lang w:val="en-US"/>
        </w:rPr>
        <w:instrText>determine</w:instrText>
      </w:r>
      <w:r w:rsidR="006A2B13" w:rsidRPr="006A2B13">
        <w:instrText xml:space="preserve"> </w:instrText>
      </w:r>
      <w:r w:rsidR="006A2B13">
        <w:rPr>
          <w:lang w:val="en-US"/>
        </w:rPr>
        <w:instrText>the</w:instrText>
      </w:r>
      <w:r w:rsidR="006A2B13" w:rsidRPr="006A2B13">
        <w:instrText xml:space="preserve"> </w:instrText>
      </w:r>
      <w:r w:rsidR="006A2B13">
        <w:rPr>
          <w:lang w:val="en-US"/>
        </w:rPr>
        <w:instrText>response</w:instrText>
      </w:r>
      <w:r w:rsidR="006A2B13" w:rsidRPr="006A2B13">
        <w:instrText xml:space="preserve"> </w:instrText>
      </w:r>
      <w:r w:rsidR="006A2B13">
        <w:rPr>
          <w:lang w:val="en-US"/>
        </w:rPr>
        <w:instrText>rate</w:instrText>
      </w:r>
      <w:r w:rsidR="006A2B13" w:rsidRPr="006A2B13">
        <w:instrText xml:space="preserve"> </w:instrText>
      </w:r>
      <w:r w:rsidR="006A2B13">
        <w:rPr>
          <w:lang w:val="en-US"/>
        </w:rPr>
        <w:instrText>and</w:instrText>
      </w:r>
      <w:r w:rsidR="006A2B13" w:rsidRPr="006A2B13">
        <w:instrText xml:space="preserve"> </w:instrText>
      </w:r>
      <w:r w:rsidR="006A2B13">
        <w:rPr>
          <w:lang w:val="en-US"/>
        </w:rPr>
        <w:instrText>toxicity</w:instrText>
      </w:r>
      <w:r w:rsidR="006A2B13" w:rsidRPr="006A2B13">
        <w:instrText xml:space="preserve"> </w:instrText>
      </w:r>
      <w:r w:rsidR="006A2B13">
        <w:rPr>
          <w:lang w:val="en-US"/>
        </w:rPr>
        <w:instrText>of</w:instrText>
      </w:r>
      <w:r w:rsidR="006A2B13" w:rsidRPr="006A2B13">
        <w:instrText xml:space="preserve"> </w:instrText>
      </w:r>
      <w:r w:rsidR="006A2B13">
        <w:rPr>
          <w:lang w:val="en-US"/>
        </w:rPr>
        <w:instrText>gemcitabine</w:instrText>
      </w:r>
      <w:r w:rsidR="006A2B13" w:rsidRPr="006A2B13">
        <w:instrText xml:space="preserve">, </w:instrText>
      </w:r>
      <w:r w:rsidR="006A2B13">
        <w:rPr>
          <w:lang w:val="en-US"/>
        </w:rPr>
        <w:instrText>dexamethasone</w:instrText>
      </w:r>
      <w:r w:rsidR="006A2B13" w:rsidRPr="006A2B13">
        <w:instrText xml:space="preserve">, </w:instrText>
      </w:r>
      <w:r w:rsidR="006A2B13">
        <w:rPr>
          <w:lang w:val="en-US"/>
        </w:rPr>
        <w:instrText>and</w:instrText>
      </w:r>
      <w:r w:rsidR="006A2B13" w:rsidRPr="006A2B13">
        <w:instrText xml:space="preserve"> </w:instrText>
      </w:r>
      <w:r w:rsidR="006A2B13">
        <w:rPr>
          <w:lang w:val="en-US"/>
        </w:rPr>
        <w:instrText>cisplatin</w:instrText>
      </w:r>
      <w:r w:rsidR="006A2B13" w:rsidRPr="006A2B13">
        <w:instrText xml:space="preserve"> </w:instrText>
      </w:r>
      <w:r w:rsidR="006A2B13">
        <w:rPr>
          <w:lang w:val="en-US"/>
        </w:rPr>
        <w:instrText>for</w:instrText>
      </w:r>
      <w:r w:rsidR="006A2B13" w:rsidRPr="006A2B13">
        <w:instrText xml:space="preserve"> </w:instrText>
      </w:r>
      <w:r w:rsidR="006A2B13">
        <w:rPr>
          <w:lang w:val="en-US"/>
        </w:rPr>
        <w:instrText>recurrent</w:instrText>
      </w:r>
      <w:r w:rsidR="006A2B13" w:rsidRPr="006A2B13">
        <w:instrText xml:space="preserve"> </w:instrText>
      </w:r>
      <w:r w:rsidR="006A2B13">
        <w:rPr>
          <w:lang w:val="en-US"/>
        </w:rPr>
        <w:instrText>or</w:instrText>
      </w:r>
      <w:r w:rsidR="006A2B13" w:rsidRPr="006A2B13">
        <w:instrText xml:space="preserve"> </w:instrText>
      </w:r>
      <w:r w:rsidR="006A2B13">
        <w:rPr>
          <w:lang w:val="en-US"/>
        </w:rPr>
        <w:instrText>refractory</w:instrText>
      </w:r>
      <w:r w:rsidR="006A2B13" w:rsidRPr="006A2B13">
        <w:instrText xml:space="preserve"> </w:instrText>
      </w:r>
      <w:r w:rsidR="006A2B13">
        <w:rPr>
          <w:lang w:val="en-US"/>
        </w:rPr>
        <w:instrText>non</w:instrText>
      </w:r>
      <w:r w:rsidR="006A2B13" w:rsidRPr="006A2B13">
        <w:instrText>-</w:instrText>
      </w:r>
      <w:r w:rsidR="006A2B13">
        <w:rPr>
          <w:lang w:val="en-US"/>
        </w:rPr>
        <w:instrText>Hodgkin</w:instrText>
      </w:r>
      <w:r w:rsidR="006A2B13" w:rsidRPr="006A2B13">
        <w:instrText xml:space="preserve"> </w:instrText>
      </w:r>
      <w:r w:rsidR="006A2B13">
        <w:rPr>
          <w:lang w:val="en-US"/>
        </w:rPr>
        <w:instrText>lymphoma</w:instrText>
      </w:r>
      <w:r w:rsidR="006A2B13" w:rsidRPr="006A2B13">
        <w:instrText xml:space="preserve"> (</w:instrText>
      </w:r>
      <w:r w:rsidR="006A2B13">
        <w:rPr>
          <w:lang w:val="en-US"/>
        </w:rPr>
        <w:instrText>NHL</w:instrText>
      </w:r>
      <w:r w:rsidR="006A2B13" w:rsidRPr="006A2B13">
        <w:instrText xml:space="preserve">). </w:instrText>
      </w:r>
      <w:r w:rsidR="006A2B13">
        <w:rPr>
          <w:lang w:val="en-US"/>
        </w:rPr>
        <w:instrText>METHODS</w:instrText>
      </w:r>
      <w:r w:rsidR="006A2B13" w:rsidRPr="006A2B13">
        <w:instrText xml:space="preserve">. </w:instrText>
      </w:r>
      <w:r w:rsidR="006A2B13">
        <w:rPr>
          <w:lang w:val="en-US"/>
        </w:rPr>
        <w:instrText>Patients</w:instrText>
      </w:r>
      <w:r w:rsidR="006A2B13" w:rsidRPr="006A2B13">
        <w:instrText xml:space="preserve"> </w:instrText>
      </w:r>
      <w:r w:rsidR="006A2B13">
        <w:rPr>
          <w:lang w:val="en-US"/>
        </w:rPr>
        <w:instrText>with</w:instrText>
      </w:r>
      <w:r w:rsidR="006A2B13" w:rsidRPr="006A2B13">
        <w:instrText xml:space="preserve"> </w:instrText>
      </w:r>
      <w:r w:rsidR="006A2B13">
        <w:rPr>
          <w:lang w:val="en-US"/>
        </w:rPr>
        <w:instrText>recurrent</w:instrText>
      </w:r>
      <w:r w:rsidR="006A2B13" w:rsidRPr="006A2B13">
        <w:instrText xml:space="preserve"> </w:instrText>
      </w:r>
      <w:r w:rsidR="006A2B13">
        <w:rPr>
          <w:lang w:val="en-US"/>
        </w:rPr>
        <w:instrText>or</w:instrText>
      </w:r>
      <w:r w:rsidR="006A2B13" w:rsidRPr="006A2B13">
        <w:instrText xml:space="preserve"> </w:instrText>
      </w:r>
      <w:r w:rsidR="006A2B13">
        <w:rPr>
          <w:lang w:val="en-US"/>
        </w:rPr>
        <w:instrText>refractory</w:instrText>
      </w:r>
      <w:r w:rsidR="006A2B13" w:rsidRPr="006A2B13">
        <w:instrText xml:space="preserve"> </w:instrText>
      </w:r>
      <w:r w:rsidR="006A2B13">
        <w:rPr>
          <w:lang w:val="en-US"/>
        </w:rPr>
        <w:instrText>diffuse</w:instrText>
      </w:r>
      <w:r w:rsidR="006A2B13" w:rsidRPr="006A2B13">
        <w:instrText xml:space="preserve"> </w:instrText>
      </w:r>
      <w:r w:rsidR="006A2B13">
        <w:rPr>
          <w:lang w:val="en-US"/>
        </w:rPr>
        <w:instrText>large</w:instrText>
      </w:r>
      <w:r w:rsidR="006A2B13" w:rsidRPr="006A2B13">
        <w:instrText xml:space="preserve"> </w:instrText>
      </w:r>
      <w:r w:rsidR="006A2B13">
        <w:rPr>
          <w:lang w:val="en-US"/>
        </w:rPr>
        <w:instrText>B</w:instrText>
      </w:r>
      <w:r w:rsidR="006A2B13" w:rsidRPr="006A2B13">
        <w:instrText>-</w:instrText>
      </w:r>
      <w:r w:rsidR="006A2B13">
        <w:rPr>
          <w:lang w:val="en-US"/>
        </w:rPr>
        <w:instrText>cell</w:instrText>
      </w:r>
      <w:r w:rsidR="006A2B13" w:rsidRPr="006A2B13">
        <w:instrText xml:space="preserve"> </w:instrText>
      </w:r>
      <w:r w:rsidR="006A2B13">
        <w:rPr>
          <w:lang w:val="en-US"/>
        </w:rPr>
        <w:instrText>NHL</w:instrText>
      </w:r>
      <w:r w:rsidR="006A2B13" w:rsidRPr="006A2B13">
        <w:instrText xml:space="preserve"> </w:instrText>
      </w:r>
      <w:r w:rsidR="006A2B13">
        <w:rPr>
          <w:lang w:val="en-US"/>
        </w:rPr>
        <w:instrText>or</w:instrText>
      </w:r>
      <w:r w:rsidR="006A2B13" w:rsidRPr="006A2B13">
        <w:instrText xml:space="preserve"> </w:instrText>
      </w:r>
      <w:r w:rsidR="006A2B13">
        <w:rPr>
          <w:lang w:val="en-US"/>
        </w:rPr>
        <w:instrText>variants</w:instrText>
      </w:r>
      <w:r w:rsidR="006A2B13" w:rsidRPr="006A2B13">
        <w:instrText xml:space="preserve"> (</w:instrText>
      </w:r>
      <w:r w:rsidR="006A2B13">
        <w:rPr>
          <w:lang w:val="en-US"/>
        </w:rPr>
        <w:instrText>REAL</w:instrText>
      </w:r>
      <w:r w:rsidR="006A2B13" w:rsidRPr="006A2B13">
        <w:instrText xml:space="preserve"> </w:instrText>
      </w:r>
      <w:r w:rsidR="006A2B13">
        <w:rPr>
          <w:lang w:val="en-US"/>
        </w:rPr>
        <w:instrText>classification</w:instrText>
      </w:r>
      <w:r w:rsidR="006A2B13" w:rsidRPr="006A2B13">
        <w:instrText xml:space="preserve">), </w:instrText>
      </w:r>
      <w:r w:rsidR="006A2B13">
        <w:rPr>
          <w:lang w:val="en-US"/>
        </w:rPr>
        <w:instrText>measurable</w:instrText>
      </w:r>
      <w:r w:rsidR="006A2B13" w:rsidRPr="006A2B13">
        <w:instrText xml:space="preserve"> </w:instrText>
      </w:r>
      <w:r w:rsidR="006A2B13">
        <w:rPr>
          <w:lang w:val="en-US"/>
        </w:rPr>
        <w:instrText>disease</w:instrText>
      </w:r>
      <w:r w:rsidR="006A2B13" w:rsidRPr="006A2B13">
        <w:instrText xml:space="preserve">, </w:instrText>
      </w:r>
      <w:r w:rsidR="006A2B13">
        <w:rPr>
          <w:lang w:val="en-US"/>
        </w:rPr>
        <w:instrText>and</w:instrText>
      </w:r>
      <w:r w:rsidR="006A2B13" w:rsidRPr="006A2B13">
        <w:instrText xml:space="preserve"> </w:instrText>
      </w:r>
      <w:r w:rsidR="006A2B13">
        <w:rPr>
          <w:lang w:val="en-US"/>
        </w:rPr>
        <w:instrText>one</w:instrText>
      </w:r>
      <w:r w:rsidR="006A2B13" w:rsidRPr="006A2B13">
        <w:instrText xml:space="preserve"> </w:instrText>
      </w:r>
      <w:r w:rsidR="006A2B13">
        <w:rPr>
          <w:lang w:val="en-US"/>
        </w:rPr>
        <w:instrText>previous</w:instrText>
      </w:r>
      <w:r w:rsidR="006A2B13" w:rsidRPr="006A2B13">
        <w:instrText xml:space="preserve"> </w:instrText>
      </w:r>
      <w:r w:rsidR="006A2B13">
        <w:rPr>
          <w:lang w:val="en-US"/>
        </w:rPr>
        <w:instrText>chemotherapy</w:instrText>
      </w:r>
      <w:r w:rsidR="006A2B13" w:rsidRPr="006A2B13">
        <w:instrText xml:space="preserve"> </w:instrText>
      </w:r>
      <w:r w:rsidR="006A2B13">
        <w:rPr>
          <w:lang w:val="en-US"/>
        </w:rPr>
        <w:instrText>regimen</w:instrText>
      </w:r>
      <w:r w:rsidR="006A2B13" w:rsidRPr="006A2B13">
        <w:instrText xml:space="preserve"> </w:instrText>
      </w:r>
      <w:r w:rsidR="006A2B13">
        <w:rPr>
          <w:lang w:val="en-US"/>
        </w:rPr>
        <w:instrText>were</w:instrText>
      </w:r>
      <w:r w:rsidR="006A2B13" w:rsidRPr="006A2B13">
        <w:instrText xml:space="preserve"> </w:instrText>
      </w:r>
      <w:r w:rsidR="006A2B13">
        <w:rPr>
          <w:lang w:val="en-US"/>
        </w:rPr>
        <w:instrText>eligible</w:instrText>
      </w:r>
      <w:r w:rsidR="006A2B13" w:rsidRPr="006A2B13">
        <w:instrText xml:space="preserve">. </w:instrText>
      </w:r>
      <w:r w:rsidR="006A2B13">
        <w:rPr>
          <w:lang w:val="en-US"/>
        </w:rPr>
        <w:instrText>Treatment</w:instrText>
      </w:r>
      <w:r w:rsidR="006A2B13" w:rsidRPr="006A2B13">
        <w:instrText xml:space="preserve"> </w:instrText>
      </w:r>
      <w:r w:rsidR="006A2B13">
        <w:rPr>
          <w:lang w:val="en-US"/>
        </w:rPr>
        <w:instrText>consisted</w:instrText>
      </w:r>
      <w:r w:rsidR="006A2B13" w:rsidRPr="006A2B13">
        <w:instrText xml:space="preserve"> </w:instrText>
      </w:r>
      <w:r w:rsidR="006A2B13">
        <w:rPr>
          <w:lang w:val="en-US"/>
        </w:rPr>
        <w:instrText>of</w:instrText>
      </w:r>
      <w:r w:rsidR="006A2B13" w:rsidRPr="006A2B13">
        <w:instrText xml:space="preserve"> </w:instrText>
      </w:r>
      <w:r w:rsidR="006A2B13">
        <w:rPr>
          <w:lang w:val="en-US"/>
        </w:rPr>
        <w:instrText>gemcitabine</w:instrText>
      </w:r>
      <w:r w:rsidR="006A2B13" w:rsidRPr="006A2B13">
        <w:instrText xml:space="preserve"> 1000 </w:instrText>
      </w:r>
      <w:r w:rsidR="006A2B13">
        <w:rPr>
          <w:lang w:val="en-US"/>
        </w:rPr>
        <w:instrText>mg</w:instrText>
      </w:r>
      <w:r w:rsidR="006A2B13" w:rsidRPr="006A2B13">
        <w:instrText>/</w:instrText>
      </w:r>
      <w:r w:rsidR="006A2B13">
        <w:rPr>
          <w:lang w:val="en-US"/>
        </w:rPr>
        <w:instrText>m</w:instrText>
      </w:r>
      <w:r w:rsidR="006A2B13" w:rsidRPr="006A2B13">
        <w:instrText xml:space="preserve">2 </w:instrText>
      </w:r>
      <w:r w:rsidR="006A2B13">
        <w:rPr>
          <w:lang w:val="en-US"/>
        </w:rPr>
        <w:instrText>intravenously</w:instrText>
      </w:r>
      <w:r w:rsidR="006A2B13" w:rsidRPr="006A2B13">
        <w:instrText xml:space="preserve"> (</w:instrText>
      </w:r>
      <w:r w:rsidR="006A2B13">
        <w:rPr>
          <w:lang w:val="en-US"/>
        </w:rPr>
        <w:instrText>i</w:instrText>
      </w:r>
      <w:r w:rsidR="006A2B13" w:rsidRPr="006A2B13">
        <w:instrText>.</w:instrText>
      </w:r>
      <w:r w:rsidR="006A2B13">
        <w:rPr>
          <w:lang w:val="en-US"/>
        </w:rPr>
        <w:instrText>v</w:instrText>
      </w:r>
      <w:r w:rsidR="006A2B13" w:rsidRPr="006A2B13">
        <w:instrText xml:space="preserve">.) </w:instrText>
      </w:r>
      <w:r w:rsidR="006A2B13">
        <w:rPr>
          <w:lang w:val="en-US"/>
        </w:rPr>
        <w:instrText>on</w:instrText>
      </w:r>
      <w:r w:rsidR="006A2B13" w:rsidRPr="006A2B13">
        <w:instrText xml:space="preserve"> </w:instrText>
      </w:r>
      <w:r w:rsidR="006A2B13">
        <w:rPr>
          <w:lang w:val="en-US"/>
        </w:rPr>
        <w:instrText>Days</w:instrText>
      </w:r>
      <w:r w:rsidR="006A2B13" w:rsidRPr="006A2B13">
        <w:instrText xml:space="preserve"> 1 </w:instrText>
      </w:r>
      <w:r w:rsidR="006A2B13">
        <w:rPr>
          <w:lang w:val="en-US"/>
        </w:rPr>
        <w:instrText>and</w:instrText>
      </w:r>
      <w:r w:rsidR="006A2B13" w:rsidRPr="006A2B13">
        <w:instrText xml:space="preserve"> 8, </w:instrText>
      </w:r>
      <w:r w:rsidR="006A2B13">
        <w:rPr>
          <w:lang w:val="en-US"/>
        </w:rPr>
        <w:instrText>dexamethasone</w:instrText>
      </w:r>
      <w:r w:rsidR="006A2B13" w:rsidRPr="006A2B13">
        <w:instrText xml:space="preserve"> 40 </w:instrText>
      </w:r>
      <w:r w:rsidR="006A2B13">
        <w:rPr>
          <w:lang w:val="en-US"/>
        </w:rPr>
        <w:instrText>mg</w:instrText>
      </w:r>
      <w:r w:rsidR="006A2B13" w:rsidRPr="006A2B13">
        <w:instrText xml:space="preserve"> </w:instrText>
      </w:r>
      <w:r w:rsidR="006A2B13">
        <w:rPr>
          <w:lang w:val="en-US"/>
        </w:rPr>
        <w:instrText>orally</w:instrText>
      </w:r>
      <w:r w:rsidR="006A2B13" w:rsidRPr="006A2B13">
        <w:instrText xml:space="preserve"> </w:instrText>
      </w:r>
      <w:r w:rsidR="006A2B13">
        <w:rPr>
          <w:lang w:val="en-US"/>
        </w:rPr>
        <w:instrText>on</w:instrText>
      </w:r>
      <w:r w:rsidR="006A2B13" w:rsidRPr="006A2B13">
        <w:instrText xml:space="preserve"> </w:instrText>
      </w:r>
      <w:r w:rsidR="006A2B13">
        <w:rPr>
          <w:lang w:val="en-US"/>
        </w:rPr>
        <w:instrText>Days</w:instrText>
      </w:r>
      <w:r w:rsidR="006A2B13" w:rsidRPr="006A2B13">
        <w:instrText xml:space="preserve"> 1-4, </w:instrText>
      </w:r>
      <w:r w:rsidR="006A2B13">
        <w:rPr>
          <w:lang w:val="en-US"/>
        </w:rPr>
        <w:instrText>and</w:instrText>
      </w:r>
      <w:r w:rsidR="006A2B13" w:rsidRPr="006A2B13">
        <w:instrText xml:space="preserve"> </w:instrText>
      </w:r>
      <w:r w:rsidR="006A2B13">
        <w:rPr>
          <w:lang w:val="en-US"/>
        </w:rPr>
        <w:instrText>cisplatin</w:instrText>
      </w:r>
      <w:r w:rsidR="006A2B13" w:rsidRPr="006A2B13">
        <w:instrText xml:space="preserve"> 75 </w:instrText>
      </w:r>
      <w:r w:rsidR="006A2B13">
        <w:rPr>
          <w:lang w:val="en-US"/>
        </w:rPr>
        <w:instrText>mg</w:instrText>
      </w:r>
      <w:r w:rsidR="006A2B13" w:rsidRPr="006A2B13">
        <w:instrText>/</w:instrText>
      </w:r>
      <w:r w:rsidR="006A2B13">
        <w:rPr>
          <w:lang w:val="en-US"/>
        </w:rPr>
        <w:instrText>m</w:instrText>
      </w:r>
      <w:r w:rsidR="006A2B13" w:rsidRPr="006A2B13">
        <w:instrText xml:space="preserve">2 </w:instrText>
      </w:r>
      <w:r w:rsidR="006A2B13">
        <w:rPr>
          <w:lang w:val="en-US"/>
        </w:rPr>
        <w:instrText>i</w:instrText>
      </w:r>
      <w:r w:rsidR="006A2B13" w:rsidRPr="006A2B13">
        <w:instrText>.</w:instrText>
      </w:r>
      <w:r w:rsidR="006A2B13">
        <w:rPr>
          <w:lang w:val="en-US"/>
        </w:rPr>
        <w:instrText>v</w:instrText>
      </w:r>
      <w:r w:rsidR="006A2B13" w:rsidRPr="006A2B13">
        <w:instrText xml:space="preserve">. </w:instrText>
      </w:r>
      <w:r w:rsidR="006A2B13">
        <w:rPr>
          <w:lang w:val="en-US"/>
        </w:rPr>
        <w:instrText>on</w:instrText>
      </w:r>
      <w:r w:rsidR="006A2B13" w:rsidRPr="006A2B13">
        <w:instrText xml:space="preserve"> </w:instrText>
      </w:r>
      <w:r w:rsidR="006A2B13">
        <w:rPr>
          <w:lang w:val="en-US"/>
        </w:rPr>
        <w:instrText>Day</w:instrText>
      </w:r>
      <w:r w:rsidR="006A2B13" w:rsidRPr="006A2B13">
        <w:instrText xml:space="preserve"> 1 (</w:instrText>
      </w:r>
      <w:r w:rsidR="006A2B13">
        <w:rPr>
          <w:lang w:val="en-US"/>
        </w:rPr>
        <w:instrText>GDP</w:instrText>
      </w:r>
      <w:r w:rsidR="006A2B13" w:rsidRPr="006A2B13">
        <w:instrText xml:space="preserve">), </w:instrText>
      </w:r>
      <w:r w:rsidR="006A2B13">
        <w:rPr>
          <w:lang w:val="en-US"/>
        </w:rPr>
        <w:instrText>every</w:instrText>
      </w:r>
      <w:r w:rsidR="006A2B13" w:rsidRPr="006A2B13">
        <w:instrText xml:space="preserve"> 21 </w:instrText>
      </w:r>
      <w:r w:rsidR="006A2B13">
        <w:rPr>
          <w:lang w:val="en-US"/>
        </w:rPr>
        <w:instrText>days</w:instrText>
      </w:r>
      <w:r w:rsidR="006A2B13" w:rsidRPr="006A2B13">
        <w:instrText xml:space="preserve"> </w:instrText>
      </w:r>
      <w:r w:rsidR="006A2B13">
        <w:rPr>
          <w:lang w:val="en-US"/>
        </w:rPr>
        <w:instrText>as</w:instrText>
      </w:r>
      <w:r w:rsidR="006A2B13" w:rsidRPr="006A2B13">
        <w:instrText xml:space="preserve"> </w:instrText>
      </w:r>
      <w:r w:rsidR="006A2B13">
        <w:rPr>
          <w:lang w:val="en-US"/>
        </w:rPr>
        <w:instrText>an</w:instrText>
      </w:r>
      <w:r w:rsidR="006A2B13" w:rsidRPr="006A2B13">
        <w:instrText xml:space="preserve"> </w:instrText>
      </w:r>
      <w:r w:rsidR="006A2B13">
        <w:rPr>
          <w:lang w:val="en-US"/>
        </w:rPr>
        <w:instrText>outpatient</w:instrText>
      </w:r>
      <w:r w:rsidR="006A2B13" w:rsidRPr="006A2B13">
        <w:instrText xml:space="preserve">. </w:instrText>
      </w:r>
      <w:r w:rsidR="006A2B13">
        <w:rPr>
          <w:lang w:val="en-US"/>
        </w:rPr>
        <w:instrText>The</w:instrText>
      </w:r>
      <w:r w:rsidR="006A2B13" w:rsidRPr="006A2B13">
        <w:instrText xml:space="preserve"> </w:instrText>
      </w:r>
      <w:r w:rsidR="006A2B13">
        <w:rPr>
          <w:lang w:val="en-US"/>
        </w:rPr>
        <w:instrText>primary</w:instrText>
      </w:r>
      <w:r w:rsidR="006A2B13" w:rsidRPr="006A2B13">
        <w:instrText xml:space="preserve"> </w:instrText>
      </w:r>
      <w:r w:rsidR="006A2B13">
        <w:rPr>
          <w:lang w:val="en-US"/>
        </w:rPr>
        <w:instrText>end</w:instrText>
      </w:r>
      <w:r w:rsidR="006A2B13" w:rsidRPr="006A2B13">
        <w:instrText xml:space="preserve"> </w:instrText>
      </w:r>
      <w:r w:rsidR="006A2B13">
        <w:rPr>
          <w:lang w:val="en-US"/>
        </w:rPr>
        <w:instrText>point</w:instrText>
      </w:r>
      <w:r w:rsidR="006A2B13" w:rsidRPr="006A2B13">
        <w:instrText xml:space="preserve"> </w:instrText>
      </w:r>
      <w:r w:rsidR="006A2B13">
        <w:rPr>
          <w:lang w:val="en-US"/>
        </w:rPr>
        <w:instrText>was</w:instrText>
      </w:r>
      <w:r w:rsidR="006A2B13" w:rsidRPr="006A2B13">
        <w:instrText xml:space="preserve"> </w:instrText>
      </w:r>
      <w:r w:rsidR="006A2B13">
        <w:rPr>
          <w:lang w:val="en-US"/>
        </w:rPr>
        <w:instrText>a</w:instrText>
      </w:r>
      <w:r w:rsidR="006A2B13" w:rsidRPr="006A2B13">
        <w:instrText xml:space="preserve"> </w:instrText>
      </w:r>
      <w:r w:rsidR="006A2B13">
        <w:rPr>
          <w:lang w:val="en-US"/>
        </w:rPr>
        <w:instrText>response</w:instrText>
      </w:r>
      <w:r w:rsidR="006A2B13" w:rsidRPr="006A2B13">
        <w:instrText xml:space="preserve"> </w:instrText>
      </w:r>
      <w:r w:rsidR="006A2B13">
        <w:rPr>
          <w:lang w:val="en-US"/>
        </w:rPr>
        <w:instrText>after</w:instrText>
      </w:r>
      <w:r w:rsidR="006A2B13" w:rsidRPr="006A2B13">
        <w:instrText xml:space="preserve"> </w:instrText>
      </w:r>
      <w:r w:rsidR="006A2B13">
        <w:rPr>
          <w:lang w:val="en-US"/>
        </w:rPr>
        <w:instrText>two</w:instrText>
      </w:r>
      <w:r w:rsidR="006A2B13" w:rsidRPr="006A2B13">
        <w:instrText xml:space="preserve"> </w:instrText>
      </w:r>
      <w:r w:rsidR="006A2B13">
        <w:rPr>
          <w:lang w:val="en-US"/>
        </w:rPr>
        <w:instrText>cycles</w:instrText>
      </w:r>
      <w:r w:rsidR="006A2B13" w:rsidRPr="006A2B13">
        <w:instrText xml:space="preserve">. </w:instrText>
      </w:r>
      <w:r w:rsidR="006A2B13">
        <w:rPr>
          <w:lang w:val="en-US"/>
        </w:rPr>
        <w:instrText>Patients</w:instrText>
      </w:r>
      <w:r w:rsidR="006A2B13" w:rsidRPr="006A2B13">
        <w:instrText xml:space="preserve"> </w:instrText>
      </w:r>
      <w:r w:rsidR="006A2B13">
        <w:rPr>
          <w:lang w:val="en-US"/>
        </w:rPr>
        <w:instrText>could</w:instrText>
      </w:r>
      <w:r w:rsidR="006A2B13" w:rsidRPr="006A2B13">
        <w:instrText xml:space="preserve"> </w:instrText>
      </w:r>
      <w:r w:rsidR="006A2B13">
        <w:rPr>
          <w:lang w:val="en-US"/>
        </w:rPr>
        <w:instrText>then</w:instrText>
      </w:r>
      <w:r w:rsidR="006A2B13" w:rsidRPr="006A2B13">
        <w:instrText xml:space="preserve"> </w:instrText>
      </w:r>
      <w:r w:rsidR="006A2B13">
        <w:rPr>
          <w:lang w:val="en-US"/>
        </w:rPr>
        <w:instrText>proceed</w:instrText>
      </w:r>
      <w:r w:rsidR="006A2B13" w:rsidRPr="006A2B13">
        <w:instrText xml:space="preserve"> </w:instrText>
      </w:r>
      <w:r w:rsidR="006A2B13">
        <w:rPr>
          <w:lang w:val="en-US"/>
        </w:rPr>
        <w:instrText>to</w:instrText>
      </w:r>
      <w:r w:rsidR="006A2B13" w:rsidRPr="006A2B13">
        <w:instrText xml:space="preserve"> </w:instrText>
      </w:r>
      <w:r w:rsidR="006A2B13">
        <w:rPr>
          <w:lang w:val="en-US"/>
        </w:rPr>
        <w:instrText>stem</w:instrText>
      </w:r>
      <w:r w:rsidR="006A2B13" w:rsidRPr="006A2B13">
        <w:instrText xml:space="preserve"> </w:instrText>
      </w:r>
      <w:r w:rsidR="006A2B13">
        <w:rPr>
          <w:lang w:val="en-US"/>
        </w:rPr>
        <w:instrText>cell</w:instrText>
      </w:r>
      <w:r w:rsidR="006A2B13" w:rsidRPr="006A2B13">
        <w:instrText xml:space="preserve"> </w:instrText>
      </w:r>
      <w:r w:rsidR="006A2B13">
        <w:rPr>
          <w:lang w:val="en-US"/>
        </w:rPr>
        <w:instrText>transplantation</w:instrText>
      </w:r>
      <w:r w:rsidR="006A2B13" w:rsidRPr="006A2B13">
        <w:instrText xml:space="preserve"> (</w:instrText>
      </w:r>
      <w:r w:rsidR="006A2B13">
        <w:rPr>
          <w:lang w:val="en-US"/>
        </w:rPr>
        <w:instrText>SCT</w:instrText>
      </w:r>
      <w:r w:rsidR="006A2B13" w:rsidRPr="006A2B13">
        <w:instrText xml:space="preserve">) </w:instrText>
      </w:r>
      <w:r w:rsidR="006A2B13">
        <w:rPr>
          <w:lang w:val="en-US"/>
        </w:rPr>
        <w:instrText>or</w:instrText>
      </w:r>
      <w:r w:rsidR="006A2B13" w:rsidRPr="006A2B13">
        <w:instrText xml:space="preserve"> </w:instrText>
      </w:r>
      <w:r w:rsidR="006A2B13">
        <w:rPr>
          <w:lang w:val="en-US"/>
        </w:rPr>
        <w:instrText>receive</w:instrText>
      </w:r>
      <w:r w:rsidR="006A2B13" w:rsidRPr="006A2B13">
        <w:instrText xml:space="preserve"> </w:instrText>
      </w:r>
      <w:r w:rsidR="006A2B13">
        <w:rPr>
          <w:lang w:val="en-US"/>
        </w:rPr>
        <w:instrText>up</w:instrText>
      </w:r>
      <w:r w:rsidR="006A2B13" w:rsidRPr="006A2B13">
        <w:instrText xml:space="preserve"> </w:instrText>
      </w:r>
      <w:r w:rsidR="006A2B13">
        <w:rPr>
          <w:lang w:val="en-US"/>
        </w:rPr>
        <w:instrText>to</w:instrText>
      </w:r>
      <w:r w:rsidR="006A2B13" w:rsidRPr="006A2B13">
        <w:instrText xml:space="preserve"> </w:instrText>
      </w:r>
      <w:r w:rsidR="006A2B13">
        <w:rPr>
          <w:lang w:val="en-US"/>
        </w:rPr>
        <w:instrText>six</w:instrText>
      </w:r>
      <w:r w:rsidR="006A2B13" w:rsidRPr="006A2B13">
        <w:instrText xml:space="preserve"> </w:instrText>
      </w:r>
      <w:r w:rsidR="006A2B13">
        <w:rPr>
          <w:lang w:val="en-US"/>
        </w:rPr>
        <w:instrText>treatment</w:instrText>
      </w:r>
      <w:r w:rsidR="006A2B13" w:rsidRPr="006A2B13">
        <w:instrText xml:space="preserve"> </w:instrText>
      </w:r>
      <w:r w:rsidR="006A2B13">
        <w:rPr>
          <w:lang w:val="en-US"/>
        </w:rPr>
        <w:instrText>cycles</w:instrText>
      </w:r>
      <w:r w:rsidR="006A2B13" w:rsidRPr="006A2B13">
        <w:instrText xml:space="preserve">. </w:instrText>
      </w:r>
      <w:r w:rsidR="006A2B13">
        <w:rPr>
          <w:lang w:val="en-US"/>
        </w:rPr>
        <w:instrText>RESULTS</w:instrText>
      </w:r>
      <w:r w:rsidR="006A2B13" w:rsidRPr="006A2B13">
        <w:instrText xml:space="preserve">. </w:instrText>
      </w:r>
      <w:r w:rsidR="006A2B13">
        <w:rPr>
          <w:lang w:val="en-US"/>
        </w:rPr>
        <w:instrText>Fifty-one eligible patients were evaluable for toxicity and response. The median age of the patients was 57 years (range, 18-84 years) and most had diffuse large-cell lymphoma. After 2 cycles, there were 8 complete responses (CR; 16%) and 17 partial responses (PR; 33%). There was an overall response rate (RR) of 49% (95% confidence interval = 37-63%). The RR afer completion of all protocol chemotherapy (including those who received &gt; 2 cycles of GDP) was 53% (11 CR, 16 PR). Grade 3 and 4 neutropenia occurred in 33% and 39% of patients, respectively. Grade 3 and 4 thrombocytopenia occurred in 24% and 4% of patients, respectively. Seven patients (14%) experienced febrile neutropenia. Of the 35 patients &lt; 66 years, 22 (63%) proceeded to SCT. CONCLUSIONS. GDP is an active regimen in B-cell NHL and can be administered with acceptable toxicity to outpatients. A Phase III trial comparing GDP with standard cisplatin-based chemotherapy is now ongoing through the National Cancer Institute of Canada Clinical Trials Group. © 2004 American Cancer Society.","author":[{"dropping-particle":"","family":"Crump","given":"Michael","non-dropping-particle":"","parse-names":false,"suffix":""},{"dropping-particle":"","family":"Baetz","given":"Tara","non-dropping-particle":"","parse-names":false,"suffix":""},{"dropping-particle":"","family":"Couban","given":"Stephen","non-dropping-particle":"","parse-names":false,"suffix":""},{"dropping-particle":"","family":"Belch","given":"Andrew","non-dropping-particle":"","parse-names":false,"suffix":""},{"dropping-particle":"","family":"Marcellus","given":"Deborah","non-dropping-particle":"","parse-names":false,"suffix":""},{"dropping-particle":"","family":"Howson-Jan","given":"Kang","non-dropping-particle":"","parse-names":false,"suffix":""},{"dropping-particle":"","family":"Imrie","given":"Kevin","non-dropping-particle":"","parse-names":false,"suffix":""},{"dropping-particle":"","family":"Myers","given":"Robert","non-dropping-particle":"","parse-names":false,"suffix":""},{"dropping-particle":"","family":"Adams","given":"Grenfell","non-dropping-particle":"","parse-names":false,"suffix":""},{"dropping-particle":"","family":"Ding","given":"Keyue","non-dropping-particle":"","parse-names":false,"suffix":""},{"dropping-particle":"","family":"Paul","given":"Nancy","non-dropping-particle":"","parse-names":false,"suffix":""},{"dropping-particle":"","family":"Shepherd","given":"Lois","non-dropping-particle":"","parse-names":false,"suffix":""},{"dropping-particle":"","family":"Iglesias","given":"Jose","non-dropping-particle":"","parse-names":false,"suffix":""},{"dropping-particle":"","family":"Meyer","given":"Ralph","non-dropping-particle":"","parse-names":false,"suffix":""}],"container-title":"Cancer","id":"ITEM-1","issue":"8","issued":{"date-parts":[["2004","10","15"]]},"page":"1835-1842","title":"Gemcitabine, dexamethasone, and cisplatin in patients with recurrent or refractory aggressive histology B-cell non-Hodgkin lymphoma: A phase II study by the National Cancer Institute of Canada Clinical Trials Group (NCIC-CTG)","type":"article-journal","volume":"101"},"uris":["http://www.mendeley.com/documents/?uuid=c4263650-1307-3d44-8329-df1ffbf659e1"]},{"id":"ITEM-2","itemData":{"DOI":"10.3109/10428194.2010.491137","ISSN":"10428194","abstract":"We conducted a multi-center phase II trial of gemcitabine (G), carboplatin (C), dexamethasone (D), and rituximab (R) in order to examine its safety and efficacy as an outpatient salvage regimen for lymphoma. Fifty-one patients received 24 21-day cycles of G (1000mg/m2, days 1 and 8), C (AUC5, day 1), D (40mg, daily days 14), and R (375mg/m2, day 8 for CD20-positive disease) and were evaluable for response. Characteristics included: median age 58 yeas (1979 years), stage III/IV 88, elevated LDH 33, median prior therapies 2, prior stem cell transplant 12, chemoresistant 62, median prior remission duration 2.5 months. The overall and complete response rates were 67 (95 confidence interval [CI] 5480) and 31 (95 CI 1944), respectively, with activity seen in a broad variety of histologies. Responses occurred in 16 of 17 (94, 95 CI 83100) transplant-eligible patients and 15 of 28 (54, 95 CI 3471) with chemoresistant disease. The median CD34 yield in patients attempting peripheral blood stem cell (PBSC) collection following this regimen was 10.9×106 CD34 cells/kg (range 5.024.1×10 6). Hematologic toxicity was common, but febrile neutropenia (2.5) and grade 4 non-hematologic adverse events (n2) were rare, with no treatment-related deaths. GCD(R) is a safe and effective outpatient regimen for relapsed lymphoma, and successfully mobilizes PBSCs. © 2010 Informa UK, Ltd.","author":[{"dropping-particle":"","family":"Gopal","given":"Ajay K.","non-dropping-particle":"","parse-names":false,"suffix":""},{"dropping-particle":"","family":"Press","given":"Oliver W.","non-dropping-particle":"","parse-names":false,"suffix":""},{"dropping-particle":"","family":"Shustov","given":"Andrei R.","non-dropping-particle":"","parse-names":false,"suffix":""},{"dropping-particle":"","family":"Petersdorf","given":"Stephen H.","non-dropping-particle":"","parse-names":false,"suffix":""},{"dropping-particle":"","family":"Gooley","given":"Ted A.","non-dropping-particle":"","parse-names":false,"suffix":""},{"dropping-particle":"","family":"Daniels","given":"Jasmine T.","non-dropping</w:instrText>
      </w:r>
      <w:r w:rsidR="006A2B13" w:rsidRPr="006A2B13">
        <w:instrText>-</w:instrText>
      </w:r>
      <w:r w:rsidR="006A2B13">
        <w:rPr>
          <w:lang w:val="en-US"/>
        </w:rPr>
        <w:instrText>particle</w:instrText>
      </w:r>
      <w:r w:rsidR="006A2B13" w:rsidRPr="006A2B13">
        <w:instrText>":"","</w:instrText>
      </w:r>
      <w:r w:rsidR="006A2B13">
        <w:rPr>
          <w:lang w:val="en-US"/>
        </w:rPr>
        <w:instrText>parse</w:instrText>
      </w:r>
      <w:r w:rsidR="006A2B13" w:rsidRPr="006A2B13">
        <w:instrText>-</w:instrText>
      </w:r>
      <w:r w:rsidR="006A2B13">
        <w:rPr>
          <w:lang w:val="en-US"/>
        </w:rPr>
        <w:instrText>names</w:instrText>
      </w:r>
      <w:r w:rsidR="006A2B13" w:rsidRPr="006A2B13">
        <w:instrText>":</w:instrText>
      </w:r>
      <w:r w:rsidR="006A2B13">
        <w:rPr>
          <w:lang w:val="en-US"/>
        </w:rPr>
        <w:instrText>false</w:instrText>
      </w:r>
      <w:r w:rsidR="006A2B13" w:rsidRPr="006A2B13">
        <w:instrText>,"</w:instrText>
      </w:r>
      <w:r w:rsidR="006A2B13">
        <w:rPr>
          <w:lang w:val="en-US"/>
        </w:rPr>
        <w:instrText>suffix</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family</w:instrText>
      </w:r>
      <w:r w:rsidR="006A2B13" w:rsidRPr="006A2B13">
        <w:instrText>":"</w:instrText>
      </w:r>
      <w:r w:rsidR="006A2B13">
        <w:rPr>
          <w:lang w:val="en-US"/>
        </w:rPr>
        <w:instrText>Garrison</w:instrText>
      </w:r>
      <w:r w:rsidR="006A2B13" w:rsidRPr="006A2B13">
        <w:instrText>","</w:instrText>
      </w:r>
      <w:r w:rsidR="006A2B13">
        <w:rPr>
          <w:lang w:val="en-US"/>
        </w:rPr>
        <w:instrText>given</w:instrText>
      </w:r>
      <w:r w:rsidR="006A2B13" w:rsidRPr="006A2B13">
        <w:instrText>":"</w:instrText>
      </w:r>
      <w:r w:rsidR="006A2B13">
        <w:rPr>
          <w:lang w:val="en-US"/>
        </w:rPr>
        <w:instrText>Mitchell</w:instrText>
      </w:r>
      <w:r w:rsidR="006A2B13" w:rsidRPr="006A2B13">
        <w:instrText xml:space="preserve"> </w:instrText>
      </w:r>
      <w:r w:rsidR="006A2B13">
        <w:rPr>
          <w:lang w:val="en-US"/>
        </w:rPr>
        <w:instrText>A</w:instrText>
      </w:r>
      <w:r w:rsidR="006A2B13" w:rsidRPr="006A2B13">
        <w:instrText>.","</w:instrText>
      </w:r>
      <w:r w:rsidR="006A2B13">
        <w:rPr>
          <w:lang w:val="en-US"/>
        </w:rPr>
        <w:instrText>non</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parse</w:instrText>
      </w:r>
      <w:r w:rsidR="006A2B13" w:rsidRPr="006A2B13">
        <w:instrText>-</w:instrText>
      </w:r>
      <w:r w:rsidR="006A2B13">
        <w:rPr>
          <w:lang w:val="en-US"/>
        </w:rPr>
        <w:instrText>names</w:instrText>
      </w:r>
      <w:r w:rsidR="006A2B13" w:rsidRPr="006A2B13">
        <w:instrText>":</w:instrText>
      </w:r>
      <w:r w:rsidR="006A2B13">
        <w:rPr>
          <w:lang w:val="en-US"/>
        </w:rPr>
        <w:instrText>false</w:instrText>
      </w:r>
      <w:r w:rsidR="006A2B13" w:rsidRPr="006A2B13">
        <w:instrText>,"</w:instrText>
      </w:r>
      <w:r w:rsidR="006A2B13">
        <w:rPr>
          <w:lang w:val="en-US"/>
        </w:rPr>
        <w:instrText>suffix</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family</w:instrText>
      </w:r>
      <w:r w:rsidR="006A2B13" w:rsidRPr="006A2B13">
        <w:instrText>":"</w:instrText>
      </w:r>
      <w:r w:rsidR="006A2B13">
        <w:rPr>
          <w:lang w:val="en-US"/>
        </w:rPr>
        <w:instrText>Gjerset</w:instrText>
      </w:r>
      <w:r w:rsidR="006A2B13" w:rsidRPr="006A2B13">
        <w:instrText>","</w:instrText>
      </w:r>
      <w:r w:rsidR="006A2B13">
        <w:rPr>
          <w:lang w:val="en-US"/>
        </w:rPr>
        <w:instrText>given</w:instrText>
      </w:r>
      <w:r w:rsidR="006A2B13" w:rsidRPr="006A2B13">
        <w:instrText>":"</w:instrText>
      </w:r>
      <w:r w:rsidR="006A2B13">
        <w:rPr>
          <w:lang w:val="en-US"/>
        </w:rPr>
        <w:instrText>George</w:instrText>
      </w:r>
      <w:r w:rsidR="006A2B13" w:rsidRPr="006A2B13">
        <w:instrText xml:space="preserve"> </w:instrText>
      </w:r>
      <w:r w:rsidR="006A2B13">
        <w:rPr>
          <w:lang w:val="en-US"/>
        </w:rPr>
        <w:instrText>F</w:instrText>
      </w:r>
      <w:r w:rsidR="006A2B13" w:rsidRPr="006A2B13">
        <w:instrText>.","</w:instrText>
      </w:r>
      <w:r w:rsidR="006A2B13">
        <w:rPr>
          <w:lang w:val="en-US"/>
        </w:rPr>
        <w:instrText>non</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parse</w:instrText>
      </w:r>
      <w:r w:rsidR="006A2B13" w:rsidRPr="006A2B13">
        <w:instrText>-</w:instrText>
      </w:r>
      <w:r w:rsidR="006A2B13">
        <w:rPr>
          <w:lang w:val="en-US"/>
        </w:rPr>
        <w:instrText>names</w:instrText>
      </w:r>
      <w:r w:rsidR="006A2B13" w:rsidRPr="006A2B13">
        <w:instrText>":</w:instrText>
      </w:r>
      <w:r w:rsidR="006A2B13">
        <w:rPr>
          <w:lang w:val="en-US"/>
        </w:rPr>
        <w:instrText>false</w:instrText>
      </w:r>
      <w:r w:rsidR="006A2B13" w:rsidRPr="006A2B13">
        <w:instrText>,"</w:instrText>
      </w:r>
      <w:r w:rsidR="006A2B13">
        <w:rPr>
          <w:lang w:val="en-US"/>
        </w:rPr>
        <w:instrText>suffix</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family</w:instrText>
      </w:r>
      <w:r w:rsidR="006A2B13" w:rsidRPr="006A2B13">
        <w:instrText>":"</w:instrText>
      </w:r>
      <w:r w:rsidR="006A2B13">
        <w:rPr>
          <w:lang w:val="en-US"/>
        </w:rPr>
        <w:instrText>Lonergan</w:instrText>
      </w:r>
      <w:r w:rsidR="006A2B13" w:rsidRPr="006A2B13">
        <w:instrText>","</w:instrText>
      </w:r>
      <w:r w:rsidR="006A2B13">
        <w:rPr>
          <w:lang w:val="en-US"/>
        </w:rPr>
        <w:instrText>given</w:instrText>
      </w:r>
      <w:r w:rsidR="006A2B13" w:rsidRPr="006A2B13">
        <w:instrText>":"</w:instrText>
      </w:r>
      <w:r w:rsidR="006A2B13">
        <w:rPr>
          <w:lang w:val="en-US"/>
        </w:rPr>
        <w:instrText>Matthew</w:instrText>
      </w:r>
      <w:r w:rsidR="006A2B13" w:rsidRPr="006A2B13">
        <w:instrText>","</w:instrText>
      </w:r>
      <w:r w:rsidR="006A2B13">
        <w:rPr>
          <w:lang w:val="en-US"/>
        </w:rPr>
        <w:instrText>non</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parse</w:instrText>
      </w:r>
      <w:r w:rsidR="006A2B13" w:rsidRPr="006A2B13">
        <w:instrText>-</w:instrText>
      </w:r>
      <w:r w:rsidR="006A2B13">
        <w:rPr>
          <w:lang w:val="en-US"/>
        </w:rPr>
        <w:instrText>names</w:instrText>
      </w:r>
      <w:r w:rsidR="006A2B13" w:rsidRPr="006A2B13">
        <w:instrText>":</w:instrText>
      </w:r>
      <w:r w:rsidR="006A2B13">
        <w:rPr>
          <w:lang w:val="en-US"/>
        </w:rPr>
        <w:instrText>false</w:instrText>
      </w:r>
      <w:r w:rsidR="006A2B13" w:rsidRPr="006A2B13">
        <w:instrText>,"</w:instrText>
      </w:r>
      <w:r w:rsidR="006A2B13">
        <w:rPr>
          <w:lang w:val="en-US"/>
        </w:rPr>
        <w:instrText>suffix</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family</w:instrText>
      </w:r>
      <w:r w:rsidR="006A2B13" w:rsidRPr="006A2B13">
        <w:instrText>":"</w:instrText>
      </w:r>
      <w:r w:rsidR="006A2B13">
        <w:rPr>
          <w:lang w:val="en-US"/>
        </w:rPr>
        <w:instrText>Murphy</w:instrText>
      </w:r>
      <w:r w:rsidR="006A2B13" w:rsidRPr="006A2B13">
        <w:instrText>","</w:instrText>
      </w:r>
      <w:r w:rsidR="006A2B13">
        <w:rPr>
          <w:lang w:val="en-US"/>
        </w:rPr>
        <w:instrText>given</w:instrText>
      </w:r>
      <w:r w:rsidR="006A2B13" w:rsidRPr="006A2B13">
        <w:instrText>":"</w:instrText>
      </w:r>
      <w:r w:rsidR="006A2B13">
        <w:rPr>
          <w:lang w:val="en-US"/>
        </w:rPr>
        <w:instrText>Anne</w:instrText>
      </w:r>
      <w:r w:rsidR="006A2B13" w:rsidRPr="006A2B13">
        <w:instrText xml:space="preserve"> </w:instrText>
      </w:r>
      <w:r w:rsidR="006A2B13">
        <w:rPr>
          <w:lang w:val="en-US"/>
        </w:rPr>
        <w:instrText>E</w:instrText>
      </w:r>
      <w:r w:rsidR="006A2B13" w:rsidRPr="006A2B13">
        <w:instrText>.","</w:instrText>
      </w:r>
      <w:r w:rsidR="006A2B13">
        <w:rPr>
          <w:lang w:val="en-US"/>
        </w:rPr>
        <w:instrText>non</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parse</w:instrText>
      </w:r>
      <w:r w:rsidR="006A2B13" w:rsidRPr="006A2B13">
        <w:instrText>-</w:instrText>
      </w:r>
      <w:r w:rsidR="006A2B13">
        <w:rPr>
          <w:lang w:val="en-US"/>
        </w:rPr>
        <w:instrText>names</w:instrText>
      </w:r>
      <w:r w:rsidR="006A2B13" w:rsidRPr="006A2B13">
        <w:instrText>":</w:instrText>
      </w:r>
      <w:r w:rsidR="006A2B13">
        <w:rPr>
          <w:lang w:val="en-US"/>
        </w:rPr>
        <w:instrText>false</w:instrText>
      </w:r>
      <w:r w:rsidR="006A2B13" w:rsidRPr="006A2B13">
        <w:instrText>,"</w:instrText>
      </w:r>
      <w:r w:rsidR="006A2B13">
        <w:rPr>
          <w:lang w:val="en-US"/>
        </w:rPr>
        <w:instrText>suffix</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family</w:instrText>
      </w:r>
      <w:r w:rsidR="006A2B13" w:rsidRPr="006A2B13">
        <w:instrText>":"</w:instrText>
      </w:r>
      <w:r w:rsidR="006A2B13">
        <w:rPr>
          <w:lang w:val="en-US"/>
        </w:rPr>
        <w:instrText>Smith</w:instrText>
      </w:r>
      <w:r w:rsidR="006A2B13" w:rsidRPr="006A2B13">
        <w:instrText>","</w:instrText>
      </w:r>
      <w:r w:rsidR="006A2B13">
        <w:rPr>
          <w:lang w:val="en-US"/>
        </w:rPr>
        <w:instrText>given</w:instrText>
      </w:r>
      <w:r w:rsidR="006A2B13" w:rsidRPr="006A2B13">
        <w:instrText>":"</w:instrText>
      </w:r>
      <w:r w:rsidR="006A2B13">
        <w:rPr>
          <w:lang w:val="en-US"/>
        </w:rPr>
        <w:instrText>Julie</w:instrText>
      </w:r>
      <w:r w:rsidR="006A2B13" w:rsidRPr="006A2B13">
        <w:instrText xml:space="preserve"> </w:instrText>
      </w:r>
      <w:r w:rsidR="006A2B13">
        <w:rPr>
          <w:lang w:val="en-US"/>
        </w:rPr>
        <w:instrText>C</w:instrText>
      </w:r>
      <w:r w:rsidR="006A2B13" w:rsidRPr="006A2B13">
        <w:instrText>.","</w:instrText>
      </w:r>
      <w:r w:rsidR="006A2B13">
        <w:rPr>
          <w:lang w:val="en-US"/>
        </w:rPr>
        <w:instrText>non</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parse</w:instrText>
      </w:r>
      <w:r w:rsidR="006A2B13" w:rsidRPr="006A2B13">
        <w:instrText>-</w:instrText>
      </w:r>
      <w:r w:rsidR="006A2B13">
        <w:rPr>
          <w:lang w:val="en-US"/>
        </w:rPr>
        <w:instrText>names</w:instrText>
      </w:r>
      <w:r w:rsidR="006A2B13" w:rsidRPr="006A2B13">
        <w:instrText>":</w:instrText>
      </w:r>
      <w:r w:rsidR="006A2B13">
        <w:rPr>
          <w:lang w:val="en-US"/>
        </w:rPr>
        <w:instrText>false</w:instrText>
      </w:r>
      <w:r w:rsidR="006A2B13" w:rsidRPr="006A2B13">
        <w:instrText>,"</w:instrText>
      </w:r>
      <w:r w:rsidR="006A2B13">
        <w:rPr>
          <w:lang w:val="en-US"/>
        </w:rPr>
        <w:instrText>suffix</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family</w:instrText>
      </w:r>
      <w:r w:rsidR="006A2B13" w:rsidRPr="006A2B13">
        <w:instrText>":"</w:instrText>
      </w:r>
      <w:r w:rsidR="006A2B13">
        <w:rPr>
          <w:lang w:val="en-US"/>
        </w:rPr>
        <w:instrText>Pagel</w:instrText>
      </w:r>
      <w:r w:rsidR="006A2B13" w:rsidRPr="006A2B13">
        <w:instrText>","</w:instrText>
      </w:r>
      <w:r w:rsidR="006A2B13">
        <w:rPr>
          <w:lang w:val="en-US"/>
        </w:rPr>
        <w:instrText>given</w:instrText>
      </w:r>
      <w:r w:rsidR="006A2B13" w:rsidRPr="006A2B13">
        <w:instrText>":"</w:instrText>
      </w:r>
      <w:r w:rsidR="006A2B13">
        <w:rPr>
          <w:lang w:val="en-US"/>
        </w:rPr>
        <w:instrText>John</w:instrText>
      </w:r>
      <w:r w:rsidR="006A2B13" w:rsidRPr="006A2B13">
        <w:instrText xml:space="preserve"> </w:instrText>
      </w:r>
      <w:r w:rsidR="006A2B13">
        <w:rPr>
          <w:lang w:val="en-US"/>
        </w:rPr>
        <w:instrText>M</w:instrText>
      </w:r>
      <w:r w:rsidR="006A2B13" w:rsidRPr="006A2B13">
        <w:instrText>.","</w:instrText>
      </w:r>
      <w:r w:rsidR="006A2B13">
        <w:rPr>
          <w:lang w:val="en-US"/>
        </w:rPr>
        <w:instrText>non</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parse</w:instrText>
      </w:r>
      <w:r w:rsidR="006A2B13" w:rsidRPr="006A2B13">
        <w:instrText>-</w:instrText>
      </w:r>
      <w:r w:rsidR="006A2B13">
        <w:rPr>
          <w:lang w:val="en-US"/>
        </w:rPr>
        <w:instrText>names</w:instrText>
      </w:r>
      <w:r w:rsidR="006A2B13" w:rsidRPr="006A2B13">
        <w:instrText>":</w:instrText>
      </w:r>
      <w:r w:rsidR="006A2B13">
        <w:rPr>
          <w:lang w:val="en-US"/>
        </w:rPr>
        <w:instrText>false</w:instrText>
      </w:r>
      <w:r w:rsidR="006A2B13" w:rsidRPr="006A2B13">
        <w:instrText>,"</w:instrText>
      </w:r>
      <w:r w:rsidR="006A2B13">
        <w:rPr>
          <w:lang w:val="en-US"/>
        </w:rPr>
        <w:instrText>suffix</w:instrText>
      </w:r>
      <w:r w:rsidR="006A2B13" w:rsidRPr="006A2B13">
        <w:instrText>":""}],"</w:instrText>
      </w:r>
      <w:r w:rsidR="006A2B13">
        <w:rPr>
          <w:lang w:val="en-US"/>
        </w:rPr>
        <w:instrText>container</w:instrText>
      </w:r>
      <w:r w:rsidR="006A2B13" w:rsidRPr="006A2B13">
        <w:instrText>-</w:instrText>
      </w:r>
      <w:r w:rsidR="006A2B13">
        <w:rPr>
          <w:lang w:val="en-US"/>
        </w:rPr>
        <w:instrText>title</w:instrText>
      </w:r>
      <w:r w:rsidR="006A2B13" w:rsidRPr="006A2B13">
        <w:instrText>":"</w:instrText>
      </w:r>
      <w:r w:rsidR="006A2B13">
        <w:rPr>
          <w:lang w:val="en-US"/>
        </w:rPr>
        <w:instrText>Leukemia</w:instrText>
      </w:r>
      <w:r w:rsidR="006A2B13" w:rsidRPr="006A2B13">
        <w:instrText xml:space="preserve"> </w:instrText>
      </w:r>
      <w:r w:rsidR="006A2B13">
        <w:rPr>
          <w:lang w:val="en-US"/>
        </w:rPr>
        <w:instrText>and</w:instrText>
      </w:r>
      <w:r w:rsidR="006A2B13" w:rsidRPr="006A2B13">
        <w:instrText xml:space="preserve"> </w:instrText>
      </w:r>
      <w:r w:rsidR="006A2B13">
        <w:rPr>
          <w:lang w:val="en-US"/>
        </w:rPr>
        <w:instrText>Lymphoma</w:instrText>
      </w:r>
      <w:r w:rsidR="006A2B13" w:rsidRPr="006A2B13">
        <w:instrText>","</w:instrText>
      </w:r>
      <w:r w:rsidR="006A2B13">
        <w:rPr>
          <w:lang w:val="en-US"/>
        </w:rPr>
        <w:instrText>id</w:instrText>
      </w:r>
      <w:r w:rsidR="006A2B13" w:rsidRPr="006A2B13">
        <w:instrText>":"</w:instrText>
      </w:r>
      <w:r w:rsidR="006A2B13">
        <w:rPr>
          <w:lang w:val="en-US"/>
        </w:rPr>
        <w:instrText>ITEM</w:instrText>
      </w:r>
      <w:r w:rsidR="006A2B13" w:rsidRPr="006A2B13">
        <w:instrText>-2","</w:instrText>
      </w:r>
      <w:r w:rsidR="006A2B13">
        <w:rPr>
          <w:lang w:val="en-US"/>
        </w:rPr>
        <w:instrText>issue</w:instrText>
      </w:r>
      <w:r w:rsidR="006A2B13" w:rsidRPr="006A2B13">
        <w:instrText>":"8","</w:instrText>
      </w:r>
      <w:r w:rsidR="006A2B13">
        <w:rPr>
          <w:lang w:val="en-US"/>
        </w:rPr>
        <w:instrText>issued</w:instrText>
      </w:r>
      <w:r w:rsidR="006A2B13" w:rsidRPr="006A2B13">
        <w:instrText>":{"</w:instrText>
      </w:r>
      <w:r w:rsidR="006A2B13">
        <w:rPr>
          <w:lang w:val="en-US"/>
        </w:rPr>
        <w:instrText>date</w:instrText>
      </w:r>
      <w:r w:rsidR="006A2B13" w:rsidRPr="006A2B13">
        <w:instrText>-</w:instrText>
      </w:r>
      <w:r w:rsidR="006A2B13">
        <w:rPr>
          <w:lang w:val="en-US"/>
        </w:rPr>
        <w:instrText>parts</w:instrText>
      </w:r>
      <w:r w:rsidR="006A2B13" w:rsidRPr="006A2B13">
        <w:instrText>":[["2010","8"]]},"</w:instrText>
      </w:r>
      <w:r w:rsidR="006A2B13">
        <w:rPr>
          <w:lang w:val="en-US"/>
        </w:rPr>
        <w:instrText>page</w:instrText>
      </w:r>
      <w:r w:rsidR="006A2B13" w:rsidRPr="006A2B13">
        <w:instrText>":"1523-1529","</w:instrText>
      </w:r>
      <w:r w:rsidR="006A2B13">
        <w:rPr>
          <w:lang w:val="en-US"/>
        </w:rPr>
        <w:instrText>title</w:instrText>
      </w:r>
      <w:r w:rsidR="006A2B13" w:rsidRPr="006A2B13">
        <w:instrText>":"</w:instrText>
      </w:r>
      <w:r w:rsidR="006A2B13">
        <w:rPr>
          <w:lang w:val="en-US"/>
        </w:rPr>
        <w:instrText>Efficacy</w:instrText>
      </w:r>
      <w:r w:rsidR="006A2B13" w:rsidRPr="006A2B13">
        <w:instrText xml:space="preserve"> </w:instrText>
      </w:r>
      <w:r w:rsidR="006A2B13">
        <w:rPr>
          <w:lang w:val="en-US"/>
        </w:rPr>
        <w:instrText>and</w:instrText>
      </w:r>
      <w:r w:rsidR="006A2B13" w:rsidRPr="006A2B13">
        <w:instrText xml:space="preserve"> </w:instrText>
      </w:r>
      <w:r w:rsidR="006A2B13">
        <w:rPr>
          <w:lang w:val="en-US"/>
        </w:rPr>
        <w:instrText>safety</w:instrText>
      </w:r>
      <w:r w:rsidR="006A2B13" w:rsidRPr="006A2B13">
        <w:instrText xml:space="preserve"> </w:instrText>
      </w:r>
      <w:r w:rsidR="006A2B13">
        <w:rPr>
          <w:lang w:val="en-US"/>
        </w:rPr>
        <w:instrText>of</w:instrText>
      </w:r>
      <w:r w:rsidR="006A2B13" w:rsidRPr="006A2B13">
        <w:instrText xml:space="preserve"> </w:instrText>
      </w:r>
      <w:r w:rsidR="006A2B13">
        <w:rPr>
          <w:lang w:val="en-US"/>
        </w:rPr>
        <w:instrText>gemcitabine</w:instrText>
      </w:r>
      <w:r w:rsidR="006A2B13" w:rsidRPr="006A2B13">
        <w:instrText xml:space="preserve">, </w:instrText>
      </w:r>
      <w:r w:rsidR="006A2B13">
        <w:rPr>
          <w:lang w:val="en-US"/>
        </w:rPr>
        <w:instrText>carboplatin</w:instrText>
      </w:r>
      <w:r w:rsidR="006A2B13" w:rsidRPr="006A2B13">
        <w:instrText xml:space="preserve">, </w:instrText>
      </w:r>
      <w:r w:rsidR="006A2B13">
        <w:rPr>
          <w:lang w:val="en-US"/>
        </w:rPr>
        <w:instrText>dexamethasone</w:instrText>
      </w:r>
      <w:r w:rsidR="006A2B13" w:rsidRPr="006A2B13">
        <w:instrText xml:space="preserve">, </w:instrText>
      </w:r>
      <w:r w:rsidR="006A2B13">
        <w:rPr>
          <w:lang w:val="en-US"/>
        </w:rPr>
        <w:instrText>and</w:instrText>
      </w:r>
      <w:r w:rsidR="006A2B13" w:rsidRPr="006A2B13">
        <w:instrText xml:space="preserve"> </w:instrText>
      </w:r>
      <w:r w:rsidR="006A2B13">
        <w:rPr>
          <w:lang w:val="en-US"/>
        </w:rPr>
        <w:instrText>rituximab</w:instrText>
      </w:r>
      <w:r w:rsidR="006A2B13" w:rsidRPr="006A2B13">
        <w:instrText xml:space="preserve"> </w:instrText>
      </w:r>
      <w:r w:rsidR="006A2B13">
        <w:rPr>
          <w:lang w:val="en-US"/>
        </w:rPr>
        <w:instrText>in</w:instrText>
      </w:r>
      <w:r w:rsidR="006A2B13" w:rsidRPr="006A2B13">
        <w:instrText xml:space="preserve"> </w:instrText>
      </w:r>
      <w:r w:rsidR="006A2B13">
        <w:rPr>
          <w:lang w:val="en-US"/>
        </w:rPr>
        <w:instrText>patients</w:instrText>
      </w:r>
      <w:r w:rsidR="006A2B13" w:rsidRPr="006A2B13">
        <w:instrText xml:space="preserve"> </w:instrText>
      </w:r>
      <w:r w:rsidR="006A2B13">
        <w:rPr>
          <w:lang w:val="en-US"/>
        </w:rPr>
        <w:instrText>with</w:instrText>
      </w:r>
      <w:r w:rsidR="006A2B13" w:rsidRPr="006A2B13">
        <w:instrText xml:space="preserve"> </w:instrText>
      </w:r>
      <w:r w:rsidR="006A2B13">
        <w:rPr>
          <w:lang w:val="en-US"/>
        </w:rPr>
        <w:instrText>relapsed</w:instrText>
      </w:r>
      <w:r w:rsidR="006A2B13" w:rsidRPr="006A2B13">
        <w:instrText>/</w:instrText>
      </w:r>
      <w:r w:rsidR="006A2B13">
        <w:rPr>
          <w:lang w:val="en-US"/>
        </w:rPr>
        <w:instrText>refractory</w:instrText>
      </w:r>
      <w:r w:rsidR="006A2B13" w:rsidRPr="006A2B13">
        <w:instrText xml:space="preserve"> </w:instrText>
      </w:r>
      <w:r w:rsidR="006A2B13">
        <w:rPr>
          <w:lang w:val="en-US"/>
        </w:rPr>
        <w:instrText>lymphoma</w:instrText>
      </w:r>
      <w:r w:rsidR="006A2B13" w:rsidRPr="006A2B13">
        <w:instrText xml:space="preserve">: </w:instrText>
      </w:r>
      <w:r w:rsidR="006A2B13">
        <w:rPr>
          <w:lang w:val="en-US"/>
        </w:rPr>
        <w:instrText>A</w:instrText>
      </w:r>
      <w:r w:rsidR="006A2B13" w:rsidRPr="006A2B13">
        <w:instrText xml:space="preserve"> </w:instrText>
      </w:r>
      <w:r w:rsidR="006A2B13">
        <w:rPr>
          <w:lang w:val="en-US"/>
        </w:rPr>
        <w:instrText>prospective</w:instrText>
      </w:r>
      <w:r w:rsidR="006A2B13" w:rsidRPr="006A2B13">
        <w:instrText xml:space="preserve"> </w:instrText>
      </w:r>
      <w:r w:rsidR="006A2B13">
        <w:rPr>
          <w:lang w:val="en-US"/>
        </w:rPr>
        <w:instrText>multi</w:instrText>
      </w:r>
      <w:r w:rsidR="006A2B13" w:rsidRPr="006A2B13">
        <w:instrText>-</w:instrText>
      </w:r>
      <w:r w:rsidR="006A2B13">
        <w:rPr>
          <w:lang w:val="en-US"/>
        </w:rPr>
        <w:instrText>center</w:instrText>
      </w:r>
      <w:r w:rsidR="006A2B13" w:rsidRPr="006A2B13">
        <w:instrText xml:space="preserve"> </w:instrText>
      </w:r>
      <w:r w:rsidR="006A2B13">
        <w:rPr>
          <w:lang w:val="en-US"/>
        </w:rPr>
        <w:instrText>phase</w:instrText>
      </w:r>
      <w:r w:rsidR="006A2B13" w:rsidRPr="006A2B13">
        <w:instrText xml:space="preserve"> </w:instrText>
      </w:r>
      <w:r w:rsidR="006A2B13">
        <w:rPr>
          <w:lang w:val="en-US"/>
        </w:rPr>
        <w:instrText>II</w:instrText>
      </w:r>
      <w:r w:rsidR="006A2B13" w:rsidRPr="006A2B13">
        <w:instrText xml:space="preserve"> </w:instrText>
      </w:r>
      <w:r w:rsidR="006A2B13">
        <w:rPr>
          <w:lang w:val="en-US"/>
        </w:rPr>
        <w:instrText>study</w:instrText>
      </w:r>
      <w:r w:rsidR="006A2B13" w:rsidRPr="006A2B13">
        <w:instrText xml:space="preserve"> </w:instrText>
      </w:r>
      <w:r w:rsidR="006A2B13">
        <w:rPr>
          <w:lang w:val="en-US"/>
        </w:rPr>
        <w:instrText>by</w:instrText>
      </w:r>
      <w:r w:rsidR="006A2B13" w:rsidRPr="006A2B13">
        <w:instrText xml:space="preserve"> </w:instrText>
      </w:r>
      <w:r w:rsidR="006A2B13">
        <w:rPr>
          <w:lang w:val="en-US"/>
        </w:rPr>
        <w:instrText>the</w:instrText>
      </w:r>
      <w:r w:rsidR="006A2B13" w:rsidRPr="006A2B13">
        <w:instrText xml:space="preserve"> </w:instrText>
      </w:r>
      <w:r w:rsidR="006A2B13">
        <w:rPr>
          <w:lang w:val="en-US"/>
        </w:rPr>
        <w:instrText>Puget</w:instrText>
      </w:r>
      <w:r w:rsidR="006A2B13" w:rsidRPr="006A2B13">
        <w:instrText xml:space="preserve"> </w:instrText>
      </w:r>
      <w:r w:rsidR="006A2B13">
        <w:rPr>
          <w:lang w:val="en-US"/>
        </w:rPr>
        <w:instrText>Sound</w:instrText>
      </w:r>
      <w:r w:rsidR="006A2B13" w:rsidRPr="006A2B13">
        <w:instrText xml:space="preserve"> </w:instrText>
      </w:r>
      <w:r w:rsidR="006A2B13">
        <w:rPr>
          <w:lang w:val="en-US"/>
        </w:rPr>
        <w:instrText>Oncology</w:instrText>
      </w:r>
      <w:r w:rsidR="006A2B13" w:rsidRPr="006A2B13">
        <w:instrText xml:space="preserve"> </w:instrText>
      </w:r>
      <w:r w:rsidR="006A2B13">
        <w:rPr>
          <w:lang w:val="en-US"/>
        </w:rPr>
        <w:instrText>Consortium</w:instrText>
      </w:r>
      <w:r w:rsidR="006A2B13" w:rsidRPr="006A2B13">
        <w:instrText>","</w:instrText>
      </w:r>
      <w:r w:rsidR="006A2B13">
        <w:rPr>
          <w:lang w:val="en-US"/>
        </w:rPr>
        <w:instrText>type</w:instrText>
      </w:r>
      <w:r w:rsidR="006A2B13" w:rsidRPr="006A2B13">
        <w:instrText>":"</w:instrText>
      </w:r>
      <w:r w:rsidR="006A2B13">
        <w:rPr>
          <w:lang w:val="en-US"/>
        </w:rPr>
        <w:instrText>article</w:instrText>
      </w:r>
      <w:r w:rsidR="006A2B13" w:rsidRPr="006A2B13">
        <w:instrText>-</w:instrText>
      </w:r>
      <w:r w:rsidR="006A2B13">
        <w:rPr>
          <w:lang w:val="en-US"/>
        </w:rPr>
        <w:instrText>journal</w:instrText>
      </w:r>
      <w:r w:rsidR="006A2B13" w:rsidRPr="006A2B13">
        <w:instrText>","</w:instrText>
      </w:r>
      <w:r w:rsidR="006A2B13">
        <w:rPr>
          <w:lang w:val="en-US"/>
        </w:rPr>
        <w:instrText>volume</w:instrText>
      </w:r>
      <w:r w:rsidR="006A2B13" w:rsidRPr="006A2B13">
        <w:instrText>":"51"},"</w:instrText>
      </w:r>
      <w:r w:rsidR="006A2B13">
        <w:rPr>
          <w:lang w:val="en-US"/>
        </w:rPr>
        <w:instrText>uris</w:instrText>
      </w:r>
      <w:r w:rsidR="006A2B13" w:rsidRPr="006A2B13">
        <w:instrText>":["</w:instrText>
      </w:r>
      <w:r w:rsidR="006A2B13">
        <w:rPr>
          <w:lang w:val="en-US"/>
        </w:rPr>
        <w:instrText>http</w:instrText>
      </w:r>
      <w:r w:rsidR="006A2B13" w:rsidRPr="006A2B13">
        <w:instrText>://</w:instrText>
      </w:r>
      <w:r w:rsidR="006A2B13">
        <w:rPr>
          <w:lang w:val="en-US"/>
        </w:rPr>
        <w:instrText>www</w:instrText>
      </w:r>
      <w:r w:rsidR="006A2B13" w:rsidRPr="006A2B13">
        <w:instrText>.</w:instrText>
      </w:r>
      <w:r w:rsidR="006A2B13">
        <w:rPr>
          <w:lang w:val="en-US"/>
        </w:rPr>
        <w:instrText>mendeley</w:instrText>
      </w:r>
      <w:r w:rsidR="006A2B13" w:rsidRPr="006A2B13">
        <w:instrText>.</w:instrText>
      </w:r>
      <w:r w:rsidR="006A2B13">
        <w:rPr>
          <w:lang w:val="en-US"/>
        </w:rPr>
        <w:instrText>com</w:instrText>
      </w:r>
      <w:r w:rsidR="006A2B13" w:rsidRPr="006A2B13">
        <w:instrText>/</w:instrText>
      </w:r>
      <w:r w:rsidR="006A2B13">
        <w:rPr>
          <w:lang w:val="en-US"/>
        </w:rPr>
        <w:instrText>documents</w:instrText>
      </w:r>
      <w:r w:rsidR="006A2B13" w:rsidRPr="006A2B13">
        <w:instrText>/?</w:instrText>
      </w:r>
      <w:r w:rsidR="006A2B13">
        <w:rPr>
          <w:lang w:val="en-US"/>
        </w:rPr>
        <w:instrText>uuid</w:instrText>
      </w:r>
      <w:r w:rsidR="006A2B13" w:rsidRPr="006A2B13">
        <w:instrText>=</w:instrText>
      </w:r>
      <w:r w:rsidR="006A2B13">
        <w:rPr>
          <w:lang w:val="en-US"/>
        </w:rPr>
        <w:instrText>d</w:instrText>
      </w:r>
      <w:r w:rsidR="006A2B13" w:rsidRPr="006A2B13">
        <w:instrText>780465</w:instrText>
      </w:r>
      <w:r w:rsidR="006A2B13">
        <w:rPr>
          <w:lang w:val="en-US"/>
        </w:rPr>
        <w:instrText>f</w:instrText>
      </w:r>
      <w:r w:rsidR="006A2B13" w:rsidRPr="006A2B13">
        <w:instrText>-</w:instrText>
      </w:r>
      <w:r w:rsidR="006A2B13">
        <w:rPr>
          <w:lang w:val="en-US"/>
        </w:rPr>
        <w:instrText>a</w:instrText>
      </w:r>
      <w:r w:rsidR="006A2B13" w:rsidRPr="006A2B13">
        <w:instrText>25</w:instrText>
      </w:r>
      <w:r w:rsidR="006A2B13">
        <w:rPr>
          <w:lang w:val="en-US"/>
        </w:rPr>
        <w:instrText>a</w:instrText>
      </w:r>
      <w:r w:rsidR="006A2B13" w:rsidRPr="006A2B13">
        <w:instrText>-33</w:instrText>
      </w:r>
      <w:r w:rsidR="006A2B13">
        <w:rPr>
          <w:lang w:val="en-US"/>
        </w:rPr>
        <w:instrText>fc</w:instrText>
      </w:r>
      <w:r w:rsidR="006A2B13" w:rsidRPr="006A2B13">
        <w:instrText>-</w:instrText>
      </w:r>
      <w:r w:rsidR="006A2B13">
        <w:rPr>
          <w:lang w:val="en-US"/>
        </w:rPr>
        <w:instrText>bd</w:instrText>
      </w:r>
      <w:r w:rsidR="006A2B13" w:rsidRPr="006A2B13">
        <w:instrText>81-4</w:instrText>
      </w:r>
      <w:r w:rsidR="006A2B13">
        <w:rPr>
          <w:lang w:val="en-US"/>
        </w:rPr>
        <w:instrText>ad</w:instrText>
      </w:r>
      <w:r w:rsidR="006A2B13" w:rsidRPr="006A2B13">
        <w:instrText>6855226</w:instrText>
      </w:r>
      <w:r w:rsidR="006A2B13">
        <w:rPr>
          <w:lang w:val="en-US"/>
        </w:rPr>
        <w:instrText>a</w:instrText>
      </w:r>
      <w:r w:rsidR="006A2B13" w:rsidRPr="006A2B13">
        <w:instrText>0"]}],"</w:instrText>
      </w:r>
      <w:r w:rsidR="006A2B13">
        <w:rPr>
          <w:lang w:val="en-US"/>
        </w:rPr>
        <w:instrText>mendeley</w:instrText>
      </w:r>
      <w:r w:rsidR="006A2B13" w:rsidRPr="006A2B13">
        <w:instrText>":{"</w:instrText>
      </w:r>
      <w:r w:rsidR="006A2B13">
        <w:rPr>
          <w:lang w:val="en-US"/>
        </w:rPr>
        <w:instrText>formattedCitation</w:instrText>
      </w:r>
      <w:r w:rsidR="006A2B13" w:rsidRPr="006A2B13">
        <w:instrText>":"[114,124]","</w:instrText>
      </w:r>
      <w:r w:rsidR="006A2B13">
        <w:rPr>
          <w:lang w:val="en-US"/>
        </w:rPr>
        <w:instrText>plainTextFormattedCitation</w:instrText>
      </w:r>
      <w:r w:rsidR="006A2B13" w:rsidRPr="006A2B13">
        <w:instrText>":"[114,124]","</w:instrText>
      </w:r>
      <w:r w:rsidR="006A2B13">
        <w:rPr>
          <w:lang w:val="en-US"/>
        </w:rPr>
        <w:instrText>previouslyFormattedCitation</w:instrText>
      </w:r>
      <w:r w:rsidR="006A2B13" w:rsidRPr="006A2B13">
        <w:instrText>":"[114,124]"},"</w:instrText>
      </w:r>
      <w:r w:rsidR="006A2B13">
        <w:rPr>
          <w:lang w:val="en-US"/>
        </w:rPr>
        <w:instrText>properties</w:instrText>
      </w:r>
      <w:r w:rsidR="006A2B13" w:rsidRPr="006A2B13">
        <w:instrText>":{"</w:instrText>
      </w:r>
      <w:r w:rsidR="006A2B13">
        <w:rPr>
          <w:lang w:val="en-US"/>
        </w:rPr>
        <w:instrText>noteIndex</w:instrText>
      </w:r>
      <w:r w:rsidR="006A2B13" w:rsidRPr="006A2B13">
        <w:instrText>":0},"</w:instrText>
      </w:r>
      <w:r w:rsidR="006A2B13">
        <w:rPr>
          <w:lang w:val="en-US"/>
        </w:rPr>
        <w:instrText>schema</w:instrText>
      </w:r>
      <w:r w:rsidR="006A2B13" w:rsidRPr="006A2B13">
        <w:instrText>":"</w:instrText>
      </w:r>
      <w:r w:rsidR="006A2B13">
        <w:rPr>
          <w:lang w:val="en-US"/>
        </w:rPr>
        <w:instrText>https</w:instrText>
      </w:r>
      <w:r w:rsidR="006A2B13" w:rsidRPr="006A2B13">
        <w:instrText>://</w:instrText>
      </w:r>
      <w:r w:rsidR="006A2B13">
        <w:rPr>
          <w:lang w:val="en-US"/>
        </w:rPr>
        <w:instrText>github</w:instrText>
      </w:r>
      <w:r w:rsidR="006A2B13" w:rsidRPr="006A2B13">
        <w:instrText>.</w:instrText>
      </w:r>
      <w:r w:rsidR="006A2B13">
        <w:rPr>
          <w:lang w:val="en-US"/>
        </w:rPr>
        <w:instrText>com</w:instrText>
      </w:r>
      <w:r w:rsidR="006A2B13" w:rsidRPr="006A2B13">
        <w:instrText>/</w:instrText>
      </w:r>
      <w:r w:rsidR="006A2B13">
        <w:rPr>
          <w:lang w:val="en-US"/>
        </w:rPr>
        <w:instrText>citation</w:instrText>
      </w:r>
      <w:r w:rsidR="006A2B13" w:rsidRPr="006A2B13">
        <w:instrText>-</w:instrText>
      </w:r>
      <w:r w:rsidR="006A2B13">
        <w:rPr>
          <w:lang w:val="en-US"/>
        </w:rPr>
        <w:instrText>style</w:instrText>
      </w:r>
      <w:r w:rsidR="006A2B13" w:rsidRPr="006A2B13">
        <w:instrText>-</w:instrText>
      </w:r>
      <w:r w:rsidR="006A2B13">
        <w:rPr>
          <w:lang w:val="en-US"/>
        </w:rPr>
        <w:instrText>language</w:instrText>
      </w:r>
      <w:r w:rsidR="006A2B13" w:rsidRPr="006A2B13">
        <w:instrText>/</w:instrText>
      </w:r>
      <w:r w:rsidR="006A2B13">
        <w:rPr>
          <w:lang w:val="en-US"/>
        </w:rPr>
        <w:instrText>schema</w:instrText>
      </w:r>
      <w:r w:rsidR="006A2B13" w:rsidRPr="006A2B13">
        <w:instrText>/</w:instrText>
      </w:r>
      <w:r w:rsidR="006A2B13">
        <w:rPr>
          <w:lang w:val="en-US"/>
        </w:rPr>
        <w:instrText>raw</w:instrText>
      </w:r>
      <w:r w:rsidR="006A2B13" w:rsidRPr="006A2B13">
        <w:instrText>/</w:instrText>
      </w:r>
      <w:r w:rsidR="006A2B13">
        <w:rPr>
          <w:lang w:val="en-US"/>
        </w:rPr>
        <w:instrText>master</w:instrText>
      </w:r>
      <w:r w:rsidR="006A2B13" w:rsidRPr="006A2B13">
        <w:instrText>/</w:instrText>
      </w:r>
      <w:r w:rsidR="006A2B13">
        <w:rPr>
          <w:lang w:val="en-US"/>
        </w:rPr>
        <w:instrText>csl</w:instrText>
      </w:r>
      <w:r w:rsidR="006A2B13" w:rsidRPr="006A2B13">
        <w:instrText>-</w:instrText>
      </w:r>
      <w:r w:rsidR="006A2B13">
        <w:rPr>
          <w:lang w:val="en-US"/>
        </w:rPr>
        <w:instrText>citation</w:instrText>
      </w:r>
      <w:r w:rsidR="006A2B13" w:rsidRPr="006A2B13">
        <w:instrText>.</w:instrText>
      </w:r>
      <w:r w:rsidR="006A2B13">
        <w:rPr>
          <w:lang w:val="en-US"/>
        </w:rPr>
        <w:instrText>json</w:instrText>
      </w:r>
      <w:r w:rsidR="006A2B13" w:rsidRPr="006A2B13">
        <w:instrText>"}</w:instrText>
      </w:r>
      <w:r w:rsidRPr="000322E4">
        <w:rPr>
          <w:lang w:val="en-US"/>
        </w:rPr>
        <w:fldChar w:fldCharType="separate"/>
      </w:r>
      <w:r w:rsidR="00A6794A" w:rsidRPr="00A6794A">
        <w:rPr>
          <w:noProof/>
        </w:rPr>
        <w:t>[114,124]</w:t>
      </w:r>
      <w:r w:rsidRPr="000322E4">
        <w:rPr>
          <w:lang w:val="en-US"/>
        </w:rPr>
        <w:fldChar w:fldCharType="end"/>
      </w:r>
    </w:p>
    <w:p w14:paraId="65C3213C" w14:textId="77777777" w:rsidR="00666D68" w:rsidRPr="002818CC" w:rsidRDefault="00666D68" w:rsidP="008E3584">
      <w:pPr>
        <w:numPr>
          <w:ilvl w:val="0"/>
          <w:numId w:val="50"/>
        </w:numPr>
        <w:spacing w:line="360" w:lineRule="auto"/>
        <w:jc w:val="both"/>
      </w:pPr>
      <w:r w:rsidRPr="002818CC">
        <w:t>#</w:t>
      </w:r>
      <w:r w:rsidRPr="000322E4">
        <w:t>Цисплатин</w:t>
      </w:r>
      <w:r w:rsidRPr="002818CC">
        <w:rPr>
          <w:bCs/>
        </w:rPr>
        <w:t>**</w:t>
      </w:r>
      <w:r w:rsidRPr="002818CC">
        <w:t xml:space="preserve"> 75 </w:t>
      </w:r>
      <w:r w:rsidRPr="000322E4">
        <w:t>мг</w:t>
      </w:r>
      <w:r w:rsidRPr="002818CC">
        <w:t>/</w:t>
      </w:r>
      <w:r w:rsidRPr="000322E4">
        <w:t>м</w:t>
      </w:r>
      <w:r w:rsidRPr="002818CC">
        <w:rPr>
          <w:vertAlign w:val="superscript"/>
        </w:rPr>
        <w:t>2</w:t>
      </w:r>
      <w:r w:rsidRPr="002818CC">
        <w:t xml:space="preserve"> </w:t>
      </w:r>
      <w:r w:rsidRPr="000322E4">
        <w:t>в</w:t>
      </w:r>
      <w:r w:rsidRPr="002818CC">
        <w:t>/</w:t>
      </w:r>
      <w:r w:rsidRPr="000322E4">
        <w:t>в</w:t>
      </w:r>
      <w:r w:rsidRPr="002818CC">
        <w:t xml:space="preserve"> </w:t>
      </w:r>
      <w:r w:rsidRPr="000322E4">
        <w:t>кап</w:t>
      </w:r>
      <w:r w:rsidRPr="002818CC">
        <w:t xml:space="preserve">., </w:t>
      </w:r>
      <w:r w:rsidRPr="000322E4">
        <w:t>день</w:t>
      </w:r>
      <w:r w:rsidRPr="002818CC">
        <w:t xml:space="preserve"> 1</w:t>
      </w:r>
    </w:p>
    <w:p w14:paraId="09DEE619" w14:textId="77777777" w:rsidR="00666D68" w:rsidRPr="002818CC" w:rsidRDefault="00290650" w:rsidP="008E3584">
      <w:pPr>
        <w:numPr>
          <w:ilvl w:val="0"/>
          <w:numId w:val="50"/>
        </w:numPr>
        <w:spacing w:line="360" w:lineRule="auto"/>
        <w:jc w:val="both"/>
      </w:pPr>
      <w:r w:rsidRPr="002818CC">
        <w:t>#</w:t>
      </w:r>
      <w:r w:rsidR="00666D68" w:rsidRPr="000322E4">
        <w:t>Гемцитабин</w:t>
      </w:r>
      <w:r w:rsidR="00666D68" w:rsidRPr="002818CC">
        <w:rPr>
          <w:bCs/>
        </w:rPr>
        <w:t>**</w:t>
      </w:r>
      <w:r w:rsidR="00666D68" w:rsidRPr="002818CC">
        <w:t xml:space="preserve"> 1000 </w:t>
      </w:r>
      <w:r w:rsidR="00666D68" w:rsidRPr="000322E4">
        <w:t>мг</w:t>
      </w:r>
      <w:r w:rsidR="00666D68" w:rsidRPr="002818CC">
        <w:t>/</w:t>
      </w:r>
      <w:r w:rsidR="00666D68" w:rsidRPr="000322E4">
        <w:t>м</w:t>
      </w:r>
      <w:r w:rsidR="00666D68" w:rsidRPr="002818CC">
        <w:rPr>
          <w:vertAlign w:val="superscript"/>
        </w:rPr>
        <w:t>2</w:t>
      </w:r>
      <w:r w:rsidR="00666D68" w:rsidRPr="002818CC">
        <w:t xml:space="preserve"> </w:t>
      </w:r>
      <w:r w:rsidR="00666D68" w:rsidRPr="000322E4">
        <w:t>в</w:t>
      </w:r>
      <w:r w:rsidR="00666D68" w:rsidRPr="002818CC">
        <w:t>/</w:t>
      </w:r>
      <w:r w:rsidR="00666D68" w:rsidRPr="000322E4">
        <w:t>в</w:t>
      </w:r>
      <w:r w:rsidR="00666D68" w:rsidRPr="002818CC">
        <w:t xml:space="preserve"> </w:t>
      </w:r>
      <w:r w:rsidR="00666D68" w:rsidRPr="000322E4">
        <w:t>кап</w:t>
      </w:r>
      <w:r w:rsidR="00666D68" w:rsidRPr="002818CC">
        <w:t xml:space="preserve">., </w:t>
      </w:r>
      <w:r w:rsidR="00666D68" w:rsidRPr="000322E4">
        <w:t>дни</w:t>
      </w:r>
      <w:r w:rsidR="00666D68" w:rsidRPr="002818CC">
        <w:t xml:space="preserve"> 1, 8 </w:t>
      </w:r>
    </w:p>
    <w:p w14:paraId="472E04C1" w14:textId="5AC08D40" w:rsidR="00666D68" w:rsidRPr="002818CC" w:rsidRDefault="00666D68" w:rsidP="008E3584">
      <w:pPr>
        <w:numPr>
          <w:ilvl w:val="0"/>
          <w:numId w:val="50"/>
        </w:numPr>
        <w:spacing w:line="360" w:lineRule="auto"/>
        <w:jc w:val="both"/>
      </w:pPr>
      <w:r w:rsidRPr="000322E4">
        <w:t>Дексаметазон</w:t>
      </w:r>
      <w:r w:rsidRPr="002818CC">
        <w:rPr>
          <w:bCs/>
        </w:rPr>
        <w:t>**</w:t>
      </w:r>
      <w:r w:rsidRPr="002818CC">
        <w:t xml:space="preserve"> 40 </w:t>
      </w:r>
      <w:r w:rsidRPr="000322E4">
        <w:t>мг</w:t>
      </w:r>
      <w:r w:rsidRPr="002818CC">
        <w:t xml:space="preserve"> </w:t>
      </w:r>
      <w:r w:rsidRPr="000322E4">
        <w:t>внутрь</w:t>
      </w:r>
      <w:r w:rsidRPr="002818CC">
        <w:t xml:space="preserve">, </w:t>
      </w:r>
      <w:r w:rsidRPr="000322E4">
        <w:t>дни</w:t>
      </w:r>
      <w:r w:rsidRPr="002818CC">
        <w:t xml:space="preserve"> 1-4</w:t>
      </w:r>
    </w:p>
    <w:p w14:paraId="27F7A825" w14:textId="62FA4963" w:rsidR="00EB3D5F" w:rsidRPr="002818CC" w:rsidRDefault="00EB3D5F" w:rsidP="008E3584">
      <w:pPr>
        <w:numPr>
          <w:ilvl w:val="0"/>
          <w:numId w:val="50"/>
        </w:numPr>
        <w:spacing w:line="360" w:lineRule="auto"/>
        <w:jc w:val="both"/>
      </w:pPr>
      <w:r>
        <w:t>Ф</w:t>
      </w:r>
      <w:r w:rsidRPr="00EB3D5F">
        <w:t>илграстим</w:t>
      </w:r>
      <w:r w:rsidRPr="002818CC">
        <w:t xml:space="preserve"> 5 </w:t>
      </w:r>
      <w:r w:rsidRPr="00EB3D5F">
        <w:t>мкг</w:t>
      </w:r>
      <w:r w:rsidRPr="002818CC">
        <w:t>/</w:t>
      </w:r>
      <w:r w:rsidRPr="00EB3D5F">
        <w:t>кг</w:t>
      </w:r>
      <w:r w:rsidRPr="002818CC">
        <w:t xml:space="preserve"> </w:t>
      </w:r>
      <w:r w:rsidRPr="00EB3D5F">
        <w:t>подкожно</w:t>
      </w:r>
      <w:r w:rsidRPr="002818CC">
        <w:t xml:space="preserve"> (</w:t>
      </w:r>
      <w:r w:rsidRPr="00EB3D5F">
        <w:t>п</w:t>
      </w:r>
      <w:r w:rsidRPr="002818CC">
        <w:t>/</w:t>
      </w:r>
      <w:r w:rsidRPr="00EB3D5F">
        <w:t>к</w:t>
      </w:r>
      <w:r w:rsidRPr="002818CC">
        <w:t xml:space="preserve">) </w:t>
      </w:r>
      <w:r w:rsidRPr="00EB3D5F">
        <w:t>через</w:t>
      </w:r>
      <w:r w:rsidRPr="002818CC">
        <w:t xml:space="preserve"> 24-72 </w:t>
      </w:r>
      <w:r w:rsidRPr="00EB3D5F">
        <w:t>часа</w:t>
      </w:r>
      <w:r w:rsidRPr="002818CC">
        <w:t xml:space="preserve"> </w:t>
      </w:r>
      <w:r w:rsidRPr="00EB3D5F">
        <w:t>после</w:t>
      </w:r>
      <w:r w:rsidRPr="002818CC">
        <w:t xml:space="preserve"> </w:t>
      </w:r>
      <w:r w:rsidRPr="00EB3D5F">
        <w:t>окончания</w:t>
      </w:r>
      <w:r w:rsidRPr="002818CC">
        <w:t xml:space="preserve"> </w:t>
      </w:r>
      <w:r w:rsidRPr="00EB3D5F">
        <w:t>введения</w:t>
      </w:r>
      <w:r w:rsidRPr="002818CC">
        <w:t xml:space="preserve"> </w:t>
      </w:r>
      <w:r w:rsidRPr="00EB3D5F">
        <w:t>химиопрепаратов</w:t>
      </w:r>
      <w:r w:rsidRPr="002818CC">
        <w:t xml:space="preserve"> </w:t>
      </w:r>
      <w:r w:rsidRPr="00EB3D5F">
        <w:t>и</w:t>
      </w:r>
      <w:r w:rsidRPr="002818CC">
        <w:t xml:space="preserve"> </w:t>
      </w:r>
      <w:r w:rsidRPr="00EB3D5F">
        <w:t>до</w:t>
      </w:r>
      <w:r w:rsidRPr="002818CC">
        <w:t xml:space="preserve"> </w:t>
      </w:r>
      <w:r w:rsidRPr="00EB3D5F">
        <w:t>восстановления</w:t>
      </w:r>
      <w:r w:rsidRPr="002818CC">
        <w:t xml:space="preserve"> </w:t>
      </w:r>
      <w:r w:rsidRPr="00EB3D5F">
        <w:t>нормального</w:t>
      </w:r>
      <w:r w:rsidRPr="002818CC">
        <w:t xml:space="preserve"> </w:t>
      </w:r>
      <w:r w:rsidRPr="00EB3D5F">
        <w:t>числа</w:t>
      </w:r>
      <w:r w:rsidRPr="002818CC">
        <w:t xml:space="preserve"> </w:t>
      </w:r>
      <w:r w:rsidRPr="00EB3D5F">
        <w:t>нейтрофилов</w:t>
      </w:r>
      <w:r w:rsidRPr="002818CC">
        <w:t xml:space="preserve"> </w:t>
      </w:r>
      <w:r w:rsidRPr="00EB3D5F">
        <w:t>после</w:t>
      </w:r>
      <w:r w:rsidRPr="002818CC">
        <w:t xml:space="preserve"> </w:t>
      </w:r>
      <w:r w:rsidRPr="00EB3D5F">
        <w:t>надира</w:t>
      </w:r>
      <w:r w:rsidRPr="002818CC">
        <w:t xml:space="preserve"> </w:t>
      </w:r>
      <w:r w:rsidRPr="00EB3D5F">
        <w:t>или</w:t>
      </w:r>
      <w:r w:rsidRPr="002818CC">
        <w:t xml:space="preserve"> </w:t>
      </w:r>
      <w:r w:rsidRPr="00EB3D5F">
        <w:t>пэгфилграстим</w:t>
      </w:r>
      <w:r w:rsidRPr="002818CC">
        <w:t xml:space="preserve"> 6 </w:t>
      </w:r>
      <w:r w:rsidRPr="00EB3D5F">
        <w:t>мг</w:t>
      </w:r>
      <w:r w:rsidRPr="002818CC">
        <w:t xml:space="preserve"> </w:t>
      </w:r>
      <w:r w:rsidRPr="00EB3D5F">
        <w:t>или</w:t>
      </w:r>
      <w:r w:rsidRPr="002818CC">
        <w:t xml:space="preserve"> </w:t>
      </w:r>
      <w:r w:rsidRPr="00EB3D5F">
        <w:t>эмпэгфилграстим</w:t>
      </w:r>
      <w:r w:rsidRPr="002818CC">
        <w:t xml:space="preserve"> 7,5 </w:t>
      </w:r>
      <w:r w:rsidRPr="00EB3D5F">
        <w:t>мг</w:t>
      </w:r>
      <w:r w:rsidRPr="002818CC">
        <w:t xml:space="preserve"> </w:t>
      </w:r>
      <w:r w:rsidRPr="00EB3D5F">
        <w:t>подкожно</w:t>
      </w:r>
      <w:r w:rsidRPr="002818CC">
        <w:t xml:space="preserve">, </w:t>
      </w:r>
      <w:r w:rsidRPr="00EB3D5F">
        <w:t>однократно</w:t>
      </w:r>
      <w:r w:rsidRPr="002818CC">
        <w:t xml:space="preserve">, </w:t>
      </w:r>
      <w:r w:rsidRPr="00EB3D5F">
        <w:t>не</w:t>
      </w:r>
      <w:r w:rsidRPr="002818CC">
        <w:t xml:space="preserve"> </w:t>
      </w:r>
      <w:r w:rsidRPr="00EB3D5F">
        <w:t>менее</w:t>
      </w:r>
      <w:r w:rsidRPr="002818CC">
        <w:t xml:space="preserve"> </w:t>
      </w:r>
      <w:r w:rsidRPr="00EB3D5F">
        <w:t>чем</w:t>
      </w:r>
      <w:r w:rsidRPr="002818CC">
        <w:t xml:space="preserve"> </w:t>
      </w:r>
      <w:r w:rsidRPr="00EB3D5F">
        <w:t>через</w:t>
      </w:r>
      <w:r w:rsidRPr="002818CC">
        <w:t xml:space="preserve"> 24 </w:t>
      </w:r>
      <w:r w:rsidRPr="00EB3D5F">
        <w:t>часа</w:t>
      </w:r>
      <w:r w:rsidRPr="002818CC">
        <w:t xml:space="preserve"> </w:t>
      </w:r>
      <w:r w:rsidRPr="00EB3D5F">
        <w:t>после</w:t>
      </w:r>
      <w:r w:rsidRPr="002818CC">
        <w:t xml:space="preserve"> </w:t>
      </w:r>
      <w:r w:rsidRPr="00EB3D5F">
        <w:t>окончания</w:t>
      </w:r>
      <w:r w:rsidRPr="002818CC">
        <w:t xml:space="preserve"> </w:t>
      </w:r>
      <w:r w:rsidRPr="00EB3D5F">
        <w:t>введения</w:t>
      </w:r>
      <w:r w:rsidRPr="002818CC">
        <w:t xml:space="preserve"> </w:t>
      </w:r>
      <w:r w:rsidRPr="00EB3D5F">
        <w:t>химиопрепаратов</w:t>
      </w:r>
      <w:r w:rsidRPr="002818CC">
        <w:t>.</w:t>
      </w:r>
    </w:p>
    <w:p w14:paraId="4B793861" w14:textId="77777777" w:rsidR="00666D68" w:rsidRPr="002818CC" w:rsidRDefault="00666D68" w:rsidP="008E3584">
      <w:pPr>
        <w:spacing w:line="360" w:lineRule="auto"/>
        <w:jc w:val="both"/>
      </w:pPr>
    </w:p>
    <w:p w14:paraId="0474BA08" w14:textId="7DF38F93" w:rsidR="00666D68" w:rsidRPr="002818CC" w:rsidRDefault="00666D68" w:rsidP="008E3584">
      <w:pPr>
        <w:spacing w:line="360" w:lineRule="auto"/>
        <w:jc w:val="both"/>
        <w:rPr>
          <w:b/>
          <w:bCs/>
        </w:rPr>
      </w:pPr>
      <w:r w:rsidRPr="000322E4">
        <w:rPr>
          <w:b/>
          <w:bCs/>
          <w:lang w:val="en-US"/>
        </w:rPr>
        <w:t>GemOx</w:t>
      </w:r>
      <w:r w:rsidRPr="002818CC">
        <w:rPr>
          <w:b/>
          <w:bCs/>
        </w:rPr>
        <w:t xml:space="preserve"> </w:t>
      </w:r>
      <w:r w:rsidRPr="000322E4">
        <w:rPr>
          <w:lang w:val="en-US"/>
        </w:rPr>
        <w:fldChar w:fldCharType="begin" w:fldLock="1"/>
      </w:r>
      <w:r w:rsidR="006A2B13">
        <w:rPr>
          <w:lang w:val="en-US"/>
        </w:rPr>
        <w:instrText>ADDIN</w:instrText>
      </w:r>
      <w:r w:rsidR="006A2B13" w:rsidRPr="006A2B13">
        <w:instrText xml:space="preserve"> </w:instrText>
      </w:r>
      <w:r w:rsidR="006A2B13">
        <w:rPr>
          <w:lang w:val="en-US"/>
        </w:rPr>
        <w:instrText>CSL</w:instrText>
      </w:r>
      <w:r w:rsidR="006A2B13" w:rsidRPr="006A2B13">
        <w:instrText>_</w:instrText>
      </w:r>
      <w:r w:rsidR="006A2B13">
        <w:rPr>
          <w:lang w:val="en-US"/>
        </w:rPr>
        <w:instrText>CITATION</w:instrText>
      </w:r>
      <w:r w:rsidR="006A2B13" w:rsidRPr="006A2B13">
        <w:instrText xml:space="preserve"> {"</w:instrText>
      </w:r>
      <w:r w:rsidR="006A2B13">
        <w:rPr>
          <w:lang w:val="en-US"/>
        </w:rPr>
        <w:instrText>citationItems</w:instrText>
      </w:r>
      <w:r w:rsidR="006A2B13" w:rsidRPr="006A2B13">
        <w:instrText>":[{"</w:instrText>
      </w:r>
      <w:r w:rsidR="006A2B13">
        <w:rPr>
          <w:lang w:val="en-US"/>
        </w:rPr>
        <w:instrText>id</w:instrText>
      </w:r>
      <w:r w:rsidR="006A2B13" w:rsidRPr="006A2B13">
        <w:instrText>":"</w:instrText>
      </w:r>
      <w:r w:rsidR="006A2B13">
        <w:rPr>
          <w:lang w:val="en-US"/>
        </w:rPr>
        <w:instrText>ITEM</w:instrText>
      </w:r>
      <w:r w:rsidR="006A2B13" w:rsidRPr="006A2B13">
        <w:instrText>-1","</w:instrText>
      </w:r>
      <w:r w:rsidR="006A2B13">
        <w:rPr>
          <w:lang w:val="en-US"/>
        </w:rPr>
        <w:instrText>itemData</w:instrText>
      </w:r>
      <w:r w:rsidR="006A2B13" w:rsidRPr="006A2B13">
        <w:instrText>":{"</w:instrText>
      </w:r>
      <w:r w:rsidR="006A2B13">
        <w:rPr>
          <w:lang w:val="en-US"/>
        </w:rPr>
        <w:instrText>DOI</w:instrText>
      </w:r>
      <w:r w:rsidR="006A2B13" w:rsidRPr="006A2B13">
        <w:instrText>":"10.1007/</w:instrText>
      </w:r>
      <w:r w:rsidR="006A2B13">
        <w:rPr>
          <w:lang w:val="en-US"/>
        </w:rPr>
        <w:instrText>s</w:instrText>
      </w:r>
      <w:r w:rsidR="006A2B13" w:rsidRPr="006A2B13">
        <w:instrText>00280-009-0941-9","</w:instrText>
      </w:r>
      <w:r w:rsidR="006A2B13">
        <w:rPr>
          <w:lang w:val="en-US"/>
        </w:rPr>
        <w:instrText>ISSN</w:instrText>
      </w:r>
      <w:r w:rsidR="006A2B13" w:rsidRPr="006A2B13">
        <w:instrText>":"03445704","</w:instrText>
      </w:r>
      <w:r w:rsidR="006A2B13">
        <w:rPr>
          <w:lang w:val="en-US"/>
        </w:rPr>
        <w:instrText>PMID</w:instrText>
      </w:r>
      <w:r w:rsidR="006A2B13" w:rsidRPr="006A2B13">
        <w:instrText>":"19219604","</w:instrText>
      </w:r>
      <w:r w:rsidR="006A2B13">
        <w:rPr>
          <w:lang w:val="en-US"/>
        </w:rPr>
        <w:instrText>abstract</w:instrText>
      </w:r>
      <w:r w:rsidR="006A2B13" w:rsidRPr="006A2B13">
        <w:instrText>":"</w:instrText>
      </w:r>
      <w:r w:rsidR="006A2B13">
        <w:rPr>
          <w:lang w:val="en-US"/>
        </w:rPr>
        <w:instrText>PURPOSE</w:instrText>
      </w:r>
      <w:r w:rsidR="006A2B13" w:rsidRPr="006A2B13">
        <w:instrText xml:space="preserve"> </w:instrText>
      </w:r>
      <w:r w:rsidR="006A2B13">
        <w:rPr>
          <w:lang w:val="en-US"/>
        </w:rPr>
        <w:instrText>To</w:instrText>
      </w:r>
      <w:r w:rsidR="006A2B13" w:rsidRPr="006A2B13">
        <w:instrText xml:space="preserve"> </w:instrText>
      </w:r>
      <w:r w:rsidR="006A2B13">
        <w:rPr>
          <w:lang w:val="en-US"/>
        </w:rPr>
        <w:instrText>determine</w:instrText>
      </w:r>
      <w:r w:rsidR="006A2B13" w:rsidRPr="006A2B13">
        <w:instrText xml:space="preserve"> </w:instrText>
      </w:r>
      <w:r w:rsidR="006A2B13">
        <w:rPr>
          <w:lang w:val="en-US"/>
        </w:rPr>
        <w:instrText>the</w:instrText>
      </w:r>
      <w:r w:rsidR="006A2B13" w:rsidRPr="006A2B13">
        <w:instrText xml:space="preserve"> </w:instrText>
      </w:r>
      <w:r w:rsidR="006A2B13">
        <w:rPr>
          <w:lang w:val="en-US"/>
        </w:rPr>
        <w:instrText>efficacy</w:instrText>
      </w:r>
      <w:r w:rsidR="006A2B13" w:rsidRPr="006A2B13">
        <w:instrText xml:space="preserve"> </w:instrText>
      </w:r>
      <w:r w:rsidR="006A2B13">
        <w:rPr>
          <w:lang w:val="en-US"/>
        </w:rPr>
        <w:instrText>and</w:instrText>
      </w:r>
      <w:r w:rsidR="006A2B13" w:rsidRPr="006A2B13">
        <w:instrText xml:space="preserve"> </w:instrText>
      </w:r>
      <w:r w:rsidR="006A2B13">
        <w:rPr>
          <w:lang w:val="en-US"/>
        </w:rPr>
        <w:instrText>safety</w:instrText>
      </w:r>
      <w:r w:rsidR="006A2B13" w:rsidRPr="006A2B13">
        <w:instrText xml:space="preserve"> </w:instrText>
      </w:r>
      <w:r w:rsidR="006A2B13">
        <w:rPr>
          <w:lang w:val="en-US"/>
        </w:rPr>
        <w:instrText>of</w:instrText>
      </w:r>
      <w:r w:rsidR="006A2B13" w:rsidRPr="006A2B13">
        <w:instrText xml:space="preserve"> </w:instrText>
      </w:r>
      <w:r w:rsidR="006A2B13">
        <w:rPr>
          <w:lang w:val="en-US"/>
        </w:rPr>
        <w:instrText>the</w:instrText>
      </w:r>
      <w:r w:rsidR="006A2B13" w:rsidRPr="006A2B13">
        <w:instrText xml:space="preserve"> </w:instrText>
      </w:r>
      <w:r w:rsidR="006A2B13">
        <w:rPr>
          <w:lang w:val="en-US"/>
        </w:rPr>
        <w:instrText>combination</w:instrText>
      </w:r>
      <w:r w:rsidR="006A2B13" w:rsidRPr="006A2B13">
        <w:instrText xml:space="preserve"> </w:instrText>
      </w:r>
      <w:r w:rsidR="006A2B13">
        <w:rPr>
          <w:lang w:val="en-US"/>
        </w:rPr>
        <w:instrText>of</w:instrText>
      </w:r>
      <w:r w:rsidR="006A2B13" w:rsidRPr="006A2B13">
        <w:instrText xml:space="preserve"> </w:instrText>
      </w:r>
      <w:r w:rsidR="006A2B13">
        <w:rPr>
          <w:lang w:val="en-US"/>
        </w:rPr>
        <w:instrText>gemcitabine</w:instrText>
      </w:r>
      <w:r w:rsidR="006A2B13" w:rsidRPr="006A2B13">
        <w:instrText xml:space="preserve"> </w:instrText>
      </w:r>
      <w:r w:rsidR="006A2B13">
        <w:rPr>
          <w:lang w:val="en-US"/>
        </w:rPr>
        <w:instrText>plus</w:instrText>
      </w:r>
      <w:r w:rsidR="006A2B13" w:rsidRPr="006A2B13">
        <w:instrText xml:space="preserve"> </w:instrText>
      </w:r>
      <w:r w:rsidR="006A2B13">
        <w:rPr>
          <w:lang w:val="en-US"/>
        </w:rPr>
        <w:instrText>oxaliplatin</w:instrText>
      </w:r>
      <w:r w:rsidR="006A2B13" w:rsidRPr="006A2B13">
        <w:instrText xml:space="preserve">, </w:instrText>
      </w:r>
      <w:r w:rsidR="006A2B13">
        <w:rPr>
          <w:lang w:val="en-US"/>
        </w:rPr>
        <w:instrText>with</w:instrText>
      </w:r>
      <w:r w:rsidR="006A2B13" w:rsidRPr="006A2B13">
        <w:instrText xml:space="preserve"> </w:instrText>
      </w:r>
      <w:r w:rsidR="006A2B13">
        <w:rPr>
          <w:lang w:val="en-US"/>
        </w:rPr>
        <w:instrText>and</w:instrText>
      </w:r>
      <w:r w:rsidR="006A2B13" w:rsidRPr="006A2B13">
        <w:instrText xml:space="preserve"> </w:instrText>
      </w:r>
      <w:r w:rsidR="006A2B13">
        <w:rPr>
          <w:lang w:val="en-US"/>
        </w:rPr>
        <w:instrText>without</w:instrText>
      </w:r>
      <w:r w:rsidR="006A2B13" w:rsidRPr="006A2B13">
        <w:instrText xml:space="preserve"> </w:instrText>
      </w:r>
      <w:r w:rsidR="006A2B13">
        <w:rPr>
          <w:lang w:val="en-US"/>
        </w:rPr>
        <w:instrText>rituximab</w:instrText>
      </w:r>
      <w:r w:rsidR="006A2B13" w:rsidRPr="006A2B13">
        <w:instrText xml:space="preserve">, </w:instrText>
      </w:r>
      <w:r w:rsidR="006A2B13">
        <w:rPr>
          <w:lang w:val="en-US"/>
        </w:rPr>
        <w:instrText>in</w:instrText>
      </w:r>
      <w:r w:rsidR="006A2B13" w:rsidRPr="006A2B13">
        <w:instrText xml:space="preserve"> </w:instrText>
      </w:r>
      <w:r w:rsidR="006A2B13">
        <w:rPr>
          <w:lang w:val="en-US"/>
        </w:rPr>
        <w:instrText>patients</w:instrText>
      </w:r>
      <w:r w:rsidR="006A2B13" w:rsidRPr="006A2B13">
        <w:instrText xml:space="preserve"> </w:instrText>
      </w:r>
      <w:r w:rsidR="006A2B13">
        <w:rPr>
          <w:lang w:val="en-US"/>
        </w:rPr>
        <w:instrText>with</w:instrText>
      </w:r>
      <w:r w:rsidR="006A2B13" w:rsidRPr="006A2B13">
        <w:instrText xml:space="preserve"> </w:instrText>
      </w:r>
      <w:r w:rsidR="006A2B13">
        <w:rPr>
          <w:lang w:val="en-US"/>
        </w:rPr>
        <w:instrText>relapsed</w:instrText>
      </w:r>
      <w:r w:rsidR="006A2B13" w:rsidRPr="006A2B13">
        <w:instrText>/</w:instrText>
      </w:r>
      <w:r w:rsidR="006A2B13">
        <w:rPr>
          <w:lang w:val="en-US"/>
        </w:rPr>
        <w:instrText>refractory</w:instrText>
      </w:r>
      <w:r w:rsidR="006A2B13" w:rsidRPr="006A2B13">
        <w:instrText xml:space="preserve"> </w:instrText>
      </w:r>
      <w:r w:rsidR="006A2B13">
        <w:rPr>
          <w:lang w:val="en-US"/>
        </w:rPr>
        <w:instrText>B</w:instrText>
      </w:r>
      <w:r w:rsidR="006A2B13" w:rsidRPr="006A2B13">
        <w:instrText>-</w:instrText>
      </w:r>
      <w:r w:rsidR="006A2B13">
        <w:rPr>
          <w:lang w:val="en-US"/>
        </w:rPr>
        <w:instrText>cell</w:instrText>
      </w:r>
      <w:r w:rsidR="006A2B13" w:rsidRPr="006A2B13">
        <w:instrText xml:space="preserve"> </w:instrText>
      </w:r>
      <w:r w:rsidR="006A2B13">
        <w:rPr>
          <w:lang w:val="en-US"/>
        </w:rPr>
        <w:instrText>lymphoma</w:instrText>
      </w:r>
      <w:r w:rsidR="006A2B13" w:rsidRPr="006A2B13">
        <w:instrText xml:space="preserve"> </w:instrText>
      </w:r>
      <w:r w:rsidR="006A2B13">
        <w:rPr>
          <w:lang w:val="en-US"/>
        </w:rPr>
        <w:instrText>unsuitable</w:instrText>
      </w:r>
      <w:r w:rsidR="006A2B13" w:rsidRPr="006A2B13">
        <w:instrText xml:space="preserve"> </w:instrText>
      </w:r>
      <w:r w:rsidR="006A2B13">
        <w:rPr>
          <w:lang w:val="en-US"/>
        </w:rPr>
        <w:instrText>for</w:instrText>
      </w:r>
      <w:r w:rsidR="006A2B13" w:rsidRPr="006A2B13">
        <w:instrText xml:space="preserve"> </w:instrText>
      </w:r>
      <w:r w:rsidR="006A2B13">
        <w:rPr>
          <w:lang w:val="en-US"/>
        </w:rPr>
        <w:instrText>high</w:instrText>
      </w:r>
      <w:r w:rsidR="006A2B13" w:rsidRPr="006A2B13">
        <w:instrText xml:space="preserve"> </w:instrText>
      </w:r>
      <w:r w:rsidR="006A2B13">
        <w:rPr>
          <w:lang w:val="en-US"/>
        </w:rPr>
        <w:instrText>dose</w:instrText>
      </w:r>
      <w:r w:rsidR="006A2B13" w:rsidRPr="006A2B13">
        <w:instrText xml:space="preserve"> </w:instrText>
      </w:r>
      <w:r w:rsidR="006A2B13">
        <w:rPr>
          <w:lang w:val="en-US"/>
        </w:rPr>
        <w:instrText>therapy</w:instrText>
      </w:r>
      <w:r w:rsidR="006A2B13" w:rsidRPr="006A2B13">
        <w:instrText xml:space="preserve">. </w:instrText>
      </w:r>
      <w:r w:rsidR="006A2B13">
        <w:rPr>
          <w:lang w:val="en-US"/>
        </w:rPr>
        <w:instrText>METHODS</w:instrText>
      </w:r>
      <w:r w:rsidR="006A2B13" w:rsidRPr="006A2B13">
        <w:instrText xml:space="preserve"> </w:instrText>
      </w:r>
      <w:r w:rsidR="006A2B13">
        <w:rPr>
          <w:lang w:val="en-US"/>
        </w:rPr>
        <w:instrText>Patients</w:instrText>
      </w:r>
      <w:r w:rsidR="006A2B13" w:rsidRPr="006A2B13">
        <w:instrText xml:space="preserve"> </w:instrText>
      </w:r>
      <w:r w:rsidR="006A2B13">
        <w:rPr>
          <w:lang w:val="en-US"/>
        </w:rPr>
        <w:instrText>were</w:instrText>
      </w:r>
      <w:r w:rsidR="006A2B13" w:rsidRPr="006A2B13">
        <w:instrText xml:space="preserve"> </w:instrText>
      </w:r>
      <w:r w:rsidR="006A2B13">
        <w:rPr>
          <w:lang w:val="en-US"/>
        </w:rPr>
        <w:instrText>prospectively</w:instrText>
      </w:r>
      <w:r w:rsidR="006A2B13" w:rsidRPr="006A2B13">
        <w:instrText xml:space="preserve"> </w:instrText>
      </w:r>
      <w:r w:rsidR="006A2B13">
        <w:rPr>
          <w:lang w:val="en-US"/>
        </w:rPr>
        <w:instrText>enrolled</w:instrText>
      </w:r>
      <w:r w:rsidR="006A2B13" w:rsidRPr="006A2B13">
        <w:instrText xml:space="preserve"> </w:instrText>
      </w:r>
      <w:r w:rsidR="006A2B13">
        <w:rPr>
          <w:lang w:val="en-US"/>
        </w:rPr>
        <w:instrText>in</w:instrText>
      </w:r>
      <w:r w:rsidR="006A2B13" w:rsidRPr="006A2B13">
        <w:instrText xml:space="preserve"> </w:instrText>
      </w:r>
      <w:r w:rsidR="006A2B13">
        <w:rPr>
          <w:lang w:val="en-US"/>
        </w:rPr>
        <w:instrText>two</w:instrText>
      </w:r>
      <w:r w:rsidR="006A2B13" w:rsidRPr="006A2B13">
        <w:instrText xml:space="preserve"> </w:instrText>
      </w:r>
      <w:r w:rsidR="006A2B13">
        <w:rPr>
          <w:lang w:val="en-US"/>
        </w:rPr>
        <w:instrText>subsequent</w:instrText>
      </w:r>
      <w:r w:rsidR="006A2B13" w:rsidRPr="006A2B13">
        <w:instrText xml:space="preserve"> </w:instrText>
      </w:r>
      <w:r w:rsidR="006A2B13">
        <w:rPr>
          <w:lang w:val="en-US"/>
        </w:rPr>
        <w:instrText>trials</w:instrText>
      </w:r>
      <w:r w:rsidR="006A2B13" w:rsidRPr="006A2B13">
        <w:instrText xml:space="preserve">, </w:instrText>
      </w:r>
      <w:r w:rsidR="006A2B13">
        <w:rPr>
          <w:lang w:val="en-US"/>
        </w:rPr>
        <w:instrText>GEMOX</w:instrText>
      </w:r>
      <w:r w:rsidR="006A2B13" w:rsidRPr="006A2B13">
        <w:instrText xml:space="preserve"> [</w:instrText>
      </w:r>
      <w:r w:rsidR="006A2B13">
        <w:rPr>
          <w:lang w:val="en-US"/>
        </w:rPr>
        <w:instrText>gemcitabine</w:instrText>
      </w:r>
      <w:r w:rsidR="006A2B13" w:rsidRPr="006A2B13">
        <w:instrText xml:space="preserve"> (1200 </w:instrText>
      </w:r>
      <w:r w:rsidR="006A2B13">
        <w:rPr>
          <w:lang w:val="en-US"/>
        </w:rPr>
        <w:instrText>mg</w:instrText>
      </w:r>
      <w:r w:rsidR="006A2B13" w:rsidRPr="006A2B13">
        <w:instrText>/</w:instrText>
      </w:r>
      <w:r w:rsidR="006A2B13">
        <w:rPr>
          <w:lang w:val="en-US"/>
        </w:rPr>
        <w:instrText>m</w:instrText>
      </w:r>
      <w:r w:rsidR="006A2B13" w:rsidRPr="006A2B13">
        <w:instrText xml:space="preserve">(2), </w:instrText>
      </w:r>
      <w:r w:rsidR="006A2B13">
        <w:rPr>
          <w:lang w:val="en-US"/>
        </w:rPr>
        <w:instrText>days</w:instrText>
      </w:r>
      <w:r w:rsidR="006A2B13" w:rsidRPr="006A2B13">
        <w:instrText xml:space="preserve"> 1 </w:instrText>
      </w:r>
      <w:r w:rsidR="006A2B13">
        <w:rPr>
          <w:lang w:val="en-US"/>
        </w:rPr>
        <w:instrText>and</w:instrText>
      </w:r>
      <w:r w:rsidR="006A2B13" w:rsidRPr="006A2B13">
        <w:instrText xml:space="preserve"> 8) </w:instrText>
      </w:r>
      <w:r w:rsidR="006A2B13">
        <w:rPr>
          <w:lang w:val="en-US"/>
        </w:rPr>
        <w:instrText>and</w:instrText>
      </w:r>
      <w:r w:rsidR="006A2B13" w:rsidRPr="006A2B13">
        <w:instrText xml:space="preserve"> </w:instrText>
      </w:r>
      <w:r w:rsidR="006A2B13">
        <w:rPr>
          <w:lang w:val="en-US"/>
        </w:rPr>
        <w:instrText>oxaliplatin</w:instrText>
      </w:r>
      <w:r w:rsidR="006A2B13" w:rsidRPr="006A2B13">
        <w:instrText xml:space="preserve"> (120 </w:instrText>
      </w:r>
      <w:r w:rsidR="006A2B13">
        <w:rPr>
          <w:lang w:val="en-US"/>
        </w:rPr>
        <w:instrText>mg</w:instrText>
      </w:r>
      <w:r w:rsidR="006A2B13" w:rsidRPr="006A2B13">
        <w:instrText>/</w:instrText>
      </w:r>
      <w:r w:rsidR="006A2B13">
        <w:rPr>
          <w:lang w:val="en-US"/>
        </w:rPr>
        <w:instrText>m</w:instrText>
      </w:r>
      <w:r w:rsidR="006A2B13" w:rsidRPr="006A2B13">
        <w:instrText xml:space="preserve">(2), </w:instrText>
      </w:r>
      <w:r w:rsidR="006A2B13">
        <w:rPr>
          <w:lang w:val="en-US"/>
        </w:rPr>
        <w:instrText>day</w:instrText>
      </w:r>
      <w:r w:rsidR="006A2B13" w:rsidRPr="006A2B13">
        <w:instrText xml:space="preserve"> 2), </w:instrText>
      </w:r>
      <w:r w:rsidR="006A2B13">
        <w:rPr>
          <w:lang w:val="en-US"/>
        </w:rPr>
        <w:instrText>three</w:instrText>
      </w:r>
      <w:r w:rsidR="006A2B13" w:rsidRPr="006A2B13">
        <w:instrText>-</w:instrText>
      </w:r>
      <w:r w:rsidR="006A2B13">
        <w:rPr>
          <w:lang w:val="en-US"/>
        </w:rPr>
        <w:instrText>weekly</w:instrText>
      </w:r>
      <w:r w:rsidR="006A2B13" w:rsidRPr="006A2B13">
        <w:instrText xml:space="preserve">] </w:instrText>
      </w:r>
      <w:r w:rsidR="006A2B13">
        <w:rPr>
          <w:lang w:val="en-US"/>
        </w:rPr>
        <w:instrText>and</w:instrText>
      </w:r>
      <w:r w:rsidR="006A2B13" w:rsidRPr="006A2B13">
        <w:instrText xml:space="preserve"> </w:instrText>
      </w:r>
      <w:r w:rsidR="006A2B13">
        <w:rPr>
          <w:lang w:val="en-US"/>
        </w:rPr>
        <w:instrText>R</w:instrText>
      </w:r>
      <w:r w:rsidR="006A2B13" w:rsidRPr="006A2B13">
        <w:instrText>-</w:instrText>
      </w:r>
      <w:r w:rsidR="006A2B13">
        <w:rPr>
          <w:lang w:val="en-US"/>
        </w:rPr>
        <w:instrText>GEMOX</w:instrText>
      </w:r>
      <w:r w:rsidR="006A2B13" w:rsidRPr="006A2B13">
        <w:instrText xml:space="preserve"> [</w:instrText>
      </w:r>
      <w:r w:rsidR="006A2B13">
        <w:rPr>
          <w:lang w:val="en-US"/>
        </w:rPr>
        <w:instrText>rituximab</w:instrText>
      </w:r>
      <w:r w:rsidR="006A2B13" w:rsidRPr="006A2B13">
        <w:instrText xml:space="preserve"> (375 </w:instrText>
      </w:r>
      <w:r w:rsidR="006A2B13">
        <w:rPr>
          <w:lang w:val="en-US"/>
        </w:rPr>
        <w:instrText>mg</w:instrText>
      </w:r>
      <w:r w:rsidR="006A2B13" w:rsidRPr="006A2B13">
        <w:instrText>/</w:instrText>
      </w:r>
      <w:r w:rsidR="006A2B13">
        <w:rPr>
          <w:lang w:val="en-US"/>
        </w:rPr>
        <w:instrText>m</w:instrText>
      </w:r>
      <w:r w:rsidR="006A2B13" w:rsidRPr="006A2B13">
        <w:instrText xml:space="preserve">(2), </w:instrText>
      </w:r>
      <w:r w:rsidR="006A2B13">
        <w:rPr>
          <w:lang w:val="en-US"/>
        </w:rPr>
        <w:instrText>day</w:instrText>
      </w:r>
      <w:r w:rsidR="006A2B13" w:rsidRPr="006A2B13">
        <w:instrText xml:space="preserve"> 1), </w:instrText>
      </w:r>
      <w:r w:rsidR="006A2B13">
        <w:rPr>
          <w:lang w:val="en-US"/>
        </w:rPr>
        <w:instrText>gemcitabine</w:instrText>
      </w:r>
      <w:r w:rsidR="006A2B13" w:rsidRPr="006A2B13">
        <w:instrText xml:space="preserve"> (1200 </w:instrText>
      </w:r>
      <w:r w:rsidR="006A2B13">
        <w:rPr>
          <w:lang w:val="en-US"/>
        </w:rPr>
        <w:instrText>mg</w:instrText>
      </w:r>
      <w:r w:rsidR="006A2B13" w:rsidRPr="006A2B13">
        <w:instrText>/</w:instrText>
      </w:r>
      <w:r w:rsidR="006A2B13">
        <w:rPr>
          <w:lang w:val="en-US"/>
        </w:rPr>
        <w:instrText>m</w:instrText>
      </w:r>
      <w:r w:rsidR="006A2B13" w:rsidRPr="006A2B13">
        <w:instrText xml:space="preserve">(2), </w:instrText>
      </w:r>
      <w:r w:rsidR="006A2B13">
        <w:rPr>
          <w:lang w:val="en-US"/>
        </w:rPr>
        <w:instrText>day</w:instrText>
      </w:r>
      <w:r w:rsidR="006A2B13" w:rsidRPr="006A2B13">
        <w:instrText xml:space="preserve"> 1) </w:instrText>
      </w:r>
      <w:r w:rsidR="006A2B13">
        <w:rPr>
          <w:lang w:val="en-US"/>
        </w:rPr>
        <w:instrText>and</w:instrText>
      </w:r>
      <w:r w:rsidR="006A2B13" w:rsidRPr="006A2B13">
        <w:instrText xml:space="preserve"> </w:instrText>
      </w:r>
      <w:r w:rsidR="006A2B13">
        <w:rPr>
          <w:lang w:val="en-US"/>
        </w:rPr>
        <w:instrText>oxaliplatin</w:instrText>
      </w:r>
      <w:r w:rsidR="006A2B13" w:rsidRPr="006A2B13">
        <w:instrText xml:space="preserve"> (120 </w:instrText>
      </w:r>
      <w:r w:rsidR="006A2B13">
        <w:rPr>
          <w:lang w:val="en-US"/>
        </w:rPr>
        <w:instrText>mg</w:instrText>
      </w:r>
      <w:r w:rsidR="006A2B13" w:rsidRPr="006A2B13">
        <w:instrText>/</w:instrText>
      </w:r>
      <w:r w:rsidR="006A2B13">
        <w:rPr>
          <w:lang w:val="en-US"/>
        </w:rPr>
        <w:instrText>m</w:instrText>
      </w:r>
      <w:r w:rsidR="006A2B13" w:rsidRPr="006A2B13">
        <w:instrText xml:space="preserve">(2), </w:instrText>
      </w:r>
      <w:r w:rsidR="006A2B13">
        <w:rPr>
          <w:lang w:val="en-US"/>
        </w:rPr>
        <w:instrText>day</w:instrText>
      </w:r>
      <w:r w:rsidR="006A2B13" w:rsidRPr="006A2B13">
        <w:instrText xml:space="preserve"> 2), </w:instrText>
      </w:r>
      <w:r w:rsidR="006A2B13">
        <w:rPr>
          <w:lang w:val="en-US"/>
        </w:rPr>
        <w:instrText>bi</w:instrText>
      </w:r>
      <w:r w:rsidR="006A2B13" w:rsidRPr="006A2B13">
        <w:instrText>-</w:instrText>
      </w:r>
      <w:r w:rsidR="006A2B13">
        <w:rPr>
          <w:lang w:val="en-US"/>
        </w:rPr>
        <w:instrText>weekly</w:instrText>
      </w:r>
      <w:r w:rsidR="006A2B13" w:rsidRPr="006A2B13">
        <w:instrText xml:space="preserve">], </w:instrText>
      </w:r>
      <w:r w:rsidR="006A2B13">
        <w:rPr>
          <w:lang w:val="en-US"/>
        </w:rPr>
        <w:instrText>up</w:instrText>
      </w:r>
      <w:r w:rsidR="006A2B13" w:rsidRPr="006A2B13">
        <w:instrText xml:space="preserve"> </w:instrText>
      </w:r>
      <w:r w:rsidR="006A2B13">
        <w:rPr>
          <w:lang w:val="en-US"/>
        </w:rPr>
        <w:instrText>to</w:instrText>
      </w:r>
      <w:r w:rsidR="006A2B13" w:rsidRPr="006A2B13">
        <w:instrText xml:space="preserve"> </w:instrText>
      </w:r>
      <w:r w:rsidR="006A2B13">
        <w:rPr>
          <w:lang w:val="en-US"/>
        </w:rPr>
        <w:instrText>six</w:instrText>
      </w:r>
      <w:r w:rsidR="006A2B13" w:rsidRPr="006A2B13">
        <w:instrText xml:space="preserve"> </w:instrText>
      </w:r>
      <w:r w:rsidR="006A2B13">
        <w:rPr>
          <w:lang w:val="en-US"/>
        </w:rPr>
        <w:instrText>courses</w:instrText>
      </w:r>
      <w:r w:rsidR="006A2B13" w:rsidRPr="006A2B13">
        <w:instrText xml:space="preserve">. </w:instrText>
      </w:r>
      <w:r w:rsidR="006A2B13">
        <w:rPr>
          <w:lang w:val="en-US"/>
        </w:rPr>
        <w:instrText>RESULTS</w:instrText>
      </w:r>
      <w:r w:rsidR="006A2B13" w:rsidRPr="006A2B13">
        <w:instrText xml:space="preserve"> </w:instrText>
      </w:r>
      <w:r w:rsidR="006A2B13">
        <w:rPr>
          <w:lang w:val="en-US"/>
        </w:rPr>
        <w:instrText>Sixty</w:instrText>
      </w:r>
      <w:r w:rsidR="006A2B13" w:rsidRPr="006A2B13">
        <w:instrText>-</w:instrText>
      </w:r>
      <w:r w:rsidR="006A2B13">
        <w:rPr>
          <w:lang w:val="en-US"/>
        </w:rPr>
        <w:instrText>two</w:instrText>
      </w:r>
      <w:r w:rsidR="006A2B13" w:rsidRPr="006A2B13">
        <w:instrText xml:space="preserve"> </w:instrText>
      </w:r>
      <w:r w:rsidR="006A2B13">
        <w:rPr>
          <w:lang w:val="en-US"/>
        </w:rPr>
        <w:instrText>patients</w:instrText>
      </w:r>
      <w:r w:rsidR="006A2B13" w:rsidRPr="006A2B13">
        <w:instrText xml:space="preserve"> </w:instrText>
      </w:r>
      <w:r w:rsidR="006A2B13">
        <w:rPr>
          <w:lang w:val="en-US"/>
        </w:rPr>
        <w:instrText>were</w:instrText>
      </w:r>
      <w:r w:rsidR="006A2B13" w:rsidRPr="006A2B13">
        <w:instrText xml:space="preserve"> </w:instrText>
      </w:r>
      <w:r w:rsidR="006A2B13">
        <w:rPr>
          <w:lang w:val="en-US"/>
        </w:rPr>
        <w:instrText>enrolled</w:instrText>
      </w:r>
      <w:r w:rsidR="006A2B13" w:rsidRPr="006A2B13">
        <w:instrText xml:space="preserve">: </w:instrText>
      </w:r>
      <w:r w:rsidR="006A2B13">
        <w:rPr>
          <w:lang w:val="en-US"/>
        </w:rPr>
        <w:instrText>GEMOX</w:instrText>
      </w:r>
      <w:r w:rsidR="006A2B13" w:rsidRPr="006A2B13">
        <w:instrText xml:space="preserve"> [</w:instrText>
      </w:r>
      <w:r w:rsidR="006A2B13">
        <w:rPr>
          <w:lang w:val="en-US"/>
        </w:rPr>
        <w:instrText>n</w:instrText>
      </w:r>
      <w:r w:rsidR="006A2B13" w:rsidRPr="006A2B13">
        <w:instrText xml:space="preserve"> = 30; </w:instrText>
      </w:r>
      <w:r w:rsidR="006A2B13">
        <w:rPr>
          <w:lang w:val="en-US"/>
        </w:rPr>
        <w:instrText>median</w:instrText>
      </w:r>
      <w:r w:rsidR="006A2B13" w:rsidRPr="006A2B13">
        <w:instrText xml:space="preserve"> </w:instrText>
      </w:r>
      <w:r w:rsidR="006A2B13">
        <w:rPr>
          <w:lang w:val="en-US"/>
        </w:rPr>
        <w:instrText>age</w:instrText>
      </w:r>
      <w:r w:rsidR="006A2B13" w:rsidRPr="006A2B13">
        <w:instrText xml:space="preserve">, 66 </w:instrText>
      </w:r>
      <w:r w:rsidR="006A2B13">
        <w:rPr>
          <w:lang w:val="en-US"/>
        </w:rPr>
        <w:instrText>years</w:instrText>
      </w:r>
      <w:r w:rsidR="006A2B13" w:rsidRPr="006A2B13">
        <w:instrText xml:space="preserve"> (</w:instrText>
      </w:r>
      <w:r w:rsidR="006A2B13">
        <w:rPr>
          <w:lang w:val="en-US"/>
        </w:rPr>
        <w:instrText>range</w:instrText>
      </w:r>
      <w:r w:rsidR="006A2B13" w:rsidRPr="006A2B13">
        <w:instrText xml:space="preserve">, 46-85); </w:instrText>
      </w:r>
      <w:r w:rsidR="006A2B13">
        <w:rPr>
          <w:lang w:val="en-US"/>
        </w:rPr>
        <w:instrText>previous</w:instrText>
      </w:r>
      <w:r w:rsidR="006A2B13" w:rsidRPr="006A2B13">
        <w:instrText xml:space="preserve"> </w:instrText>
      </w:r>
      <w:r w:rsidR="006A2B13">
        <w:rPr>
          <w:lang w:val="en-US"/>
        </w:rPr>
        <w:instrText>chemotherapy</w:instrText>
      </w:r>
      <w:r w:rsidR="006A2B13" w:rsidRPr="006A2B13">
        <w:instrText xml:space="preserve"> &gt; </w:instrText>
      </w:r>
      <w:r w:rsidR="006A2B13">
        <w:rPr>
          <w:lang w:val="en-US"/>
        </w:rPr>
        <w:instrText>or</w:instrText>
      </w:r>
      <w:r w:rsidR="006A2B13" w:rsidRPr="006A2B13">
        <w:instrText xml:space="preserve"> =2, 70%; </w:instrText>
      </w:r>
      <w:r w:rsidR="006A2B13">
        <w:rPr>
          <w:lang w:val="en-US"/>
        </w:rPr>
        <w:instrText>PS</w:instrText>
      </w:r>
      <w:r w:rsidR="006A2B13" w:rsidRPr="006A2B13">
        <w:instrText xml:space="preserve"> </w:instrText>
      </w:r>
      <w:r w:rsidR="006A2B13">
        <w:rPr>
          <w:lang w:val="en-US"/>
        </w:rPr>
        <w:instrText>ECOG</w:instrText>
      </w:r>
      <w:r w:rsidR="006A2B13" w:rsidRPr="006A2B13">
        <w:instrText xml:space="preserve"> &gt; </w:instrText>
      </w:r>
      <w:r w:rsidR="006A2B13">
        <w:rPr>
          <w:lang w:val="en-US"/>
        </w:rPr>
        <w:instrText>or</w:instrText>
      </w:r>
      <w:r w:rsidR="006A2B13" w:rsidRPr="006A2B13">
        <w:instrText xml:space="preserve"> = 2, 57%]; </w:instrText>
      </w:r>
      <w:r w:rsidR="006A2B13">
        <w:rPr>
          <w:lang w:val="en-US"/>
        </w:rPr>
        <w:instrText>R</w:instrText>
      </w:r>
      <w:r w:rsidR="006A2B13" w:rsidRPr="006A2B13">
        <w:instrText>-</w:instrText>
      </w:r>
      <w:r w:rsidR="006A2B13">
        <w:rPr>
          <w:lang w:val="en-US"/>
        </w:rPr>
        <w:instrText>GEMOX</w:instrText>
      </w:r>
      <w:r w:rsidR="006A2B13" w:rsidRPr="006A2B13">
        <w:instrText xml:space="preserve"> [</w:instrText>
      </w:r>
      <w:r w:rsidR="006A2B13">
        <w:rPr>
          <w:lang w:val="en-US"/>
        </w:rPr>
        <w:instrText>n</w:instrText>
      </w:r>
      <w:r w:rsidR="006A2B13" w:rsidRPr="006A2B13">
        <w:instrText xml:space="preserve"> = 32; </w:instrText>
      </w:r>
      <w:r w:rsidR="006A2B13">
        <w:rPr>
          <w:lang w:val="en-US"/>
        </w:rPr>
        <w:instrText>median</w:instrText>
      </w:r>
      <w:r w:rsidR="006A2B13" w:rsidRPr="006A2B13">
        <w:instrText xml:space="preserve"> </w:instrText>
      </w:r>
      <w:r w:rsidR="006A2B13">
        <w:rPr>
          <w:lang w:val="en-US"/>
        </w:rPr>
        <w:instrText>age</w:instrText>
      </w:r>
      <w:r w:rsidR="006A2B13" w:rsidRPr="006A2B13">
        <w:instrText xml:space="preserve">, 65 </w:instrText>
      </w:r>
      <w:r w:rsidR="006A2B13">
        <w:rPr>
          <w:lang w:val="en-US"/>
        </w:rPr>
        <w:instrText>years</w:instrText>
      </w:r>
      <w:r w:rsidR="006A2B13" w:rsidRPr="006A2B13">
        <w:instrText xml:space="preserve"> (</w:instrText>
      </w:r>
      <w:r w:rsidR="006A2B13">
        <w:rPr>
          <w:lang w:val="en-US"/>
        </w:rPr>
        <w:instrText>range</w:instrText>
      </w:r>
      <w:r w:rsidR="006A2B13" w:rsidRPr="006A2B13">
        <w:instrText xml:space="preserve"> 32-79); </w:instrText>
      </w:r>
      <w:r w:rsidR="006A2B13">
        <w:rPr>
          <w:lang w:val="en-US"/>
        </w:rPr>
        <w:instrText>previous</w:instrText>
      </w:r>
      <w:r w:rsidR="006A2B13" w:rsidRPr="006A2B13">
        <w:instrText xml:space="preserve"> </w:instrText>
      </w:r>
      <w:r w:rsidR="006A2B13">
        <w:rPr>
          <w:lang w:val="en-US"/>
        </w:rPr>
        <w:instrText>chemotherapy</w:instrText>
      </w:r>
      <w:r w:rsidR="006A2B13" w:rsidRPr="006A2B13">
        <w:instrText xml:space="preserve"> &gt; </w:instrText>
      </w:r>
      <w:r w:rsidR="006A2B13">
        <w:rPr>
          <w:lang w:val="en-US"/>
        </w:rPr>
        <w:instrText>or</w:instrText>
      </w:r>
      <w:r w:rsidR="006A2B13" w:rsidRPr="006A2B13">
        <w:instrText xml:space="preserve"> =2, 75%; </w:instrText>
      </w:r>
      <w:r w:rsidR="006A2B13">
        <w:rPr>
          <w:lang w:val="en-US"/>
        </w:rPr>
        <w:instrText>PS</w:instrText>
      </w:r>
      <w:r w:rsidR="006A2B13" w:rsidRPr="006A2B13">
        <w:instrText xml:space="preserve"> </w:instrText>
      </w:r>
      <w:r w:rsidR="006A2B13">
        <w:rPr>
          <w:lang w:val="en-US"/>
        </w:rPr>
        <w:instrText>ECOG</w:instrText>
      </w:r>
      <w:r w:rsidR="006A2B13" w:rsidRPr="006A2B13">
        <w:instrText xml:space="preserve"> &gt; </w:instrText>
      </w:r>
      <w:r w:rsidR="006A2B13">
        <w:rPr>
          <w:lang w:val="en-US"/>
        </w:rPr>
        <w:instrText>or</w:instrText>
      </w:r>
      <w:r w:rsidR="006A2B13" w:rsidRPr="006A2B13">
        <w:instrText xml:space="preserve"> = 2, 47%]. </w:instrText>
      </w:r>
      <w:r w:rsidR="006A2B13">
        <w:rPr>
          <w:lang w:val="en-US"/>
        </w:rPr>
        <w:instrText>Overall</w:instrText>
      </w:r>
      <w:r w:rsidR="006A2B13" w:rsidRPr="006A2B13">
        <w:instrText xml:space="preserve"> </w:instrText>
      </w:r>
      <w:r w:rsidR="006A2B13">
        <w:rPr>
          <w:lang w:val="en-US"/>
        </w:rPr>
        <w:instrText>and</w:instrText>
      </w:r>
      <w:r w:rsidR="006A2B13" w:rsidRPr="006A2B13">
        <w:instrText xml:space="preserve"> </w:instrText>
      </w:r>
      <w:r w:rsidR="006A2B13">
        <w:rPr>
          <w:lang w:val="en-US"/>
        </w:rPr>
        <w:instrText>complete</w:instrText>
      </w:r>
      <w:r w:rsidR="006A2B13" w:rsidRPr="006A2B13">
        <w:instrText xml:space="preserve"> </w:instrText>
      </w:r>
      <w:r w:rsidR="006A2B13">
        <w:rPr>
          <w:lang w:val="en-US"/>
        </w:rPr>
        <w:instrText>response</w:instrText>
      </w:r>
      <w:r w:rsidR="006A2B13" w:rsidRPr="006A2B13">
        <w:instrText xml:space="preserve"> </w:instrText>
      </w:r>
      <w:r w:rsidR="006A2B13">
        <w:rPr>
          <w:lang w:val="en-US"/>
        </w:rPr>
        <w:instrText>rates</w:instrText>
      </w:r>
      <w:r w:rsidR="006A2B13" w:rsidRPr="006A2B13">
        <w:instrText xml:space="preserve"> </w:instrText>
      </w:r>
      <w:r w:rsidR="006A2B13">
        <w:rPr>
          <w:lang w:val="en-US"/>
        </w:rPr>
        <w:instrText>were</w:instrText>
      </w:r>
      <w:r w:rsidR="006A2B13" w:rsidRPr="006A2B13">
        <w:instrText xml:space="preserve"> 57 </w:instrText>
      </w:r>
      <w:r w:rsidR="006A2B13">
        <w:rPr>
          <w:lang w:val="en-US"/>
        </w:rPr>
        <w:instrText>and</w:instrText>
      </w:r>
      <w:r w:rsidR="006A2B13" w:rsidRPr="006A2B13">
        <w:instrText xml:space="preserve"> 30% (95% </w:instrText>
      </w:r>
      <w:r w:rsidR="006A2B13">
        <w:rPr>
          <w:lang w:val="en-US"/>
        </w:rPr>
        <w:instrText>CI</w:instrText>
      </w:r>
      <w:r w:rsidR="006A2B13" w:rsidRPr="006A2B13">
        <w:instrText xml:space="preserve">, 15-49) </w:instrText>
      </w:r>
      <w:r w:rsidR="006A2B13">
        <w:rPr>
          <w:lang w:val="en-US"/>
        </w:rPr>
        <w:instrText>for</w:instrText>
      </w:r>
      <w:r w:rsidR="006A2B13" w:rsidRPr="006A2B13">
        <w:instrText xml:space="preserve"> </w:instrText>
      </w:r>
      <w:r w:rsidR="006A2B13">
        <w:rPr>
          <w:lang w:val="en-US"/>
        </w:rPr>
        <w:instrText>GEMOX</w:instrText>
      </w:r>
      <w:r w:rsidR="006A2B13" w:rsidRPr="006A2B13">
        <w:instrText xml:space="preserve"> </w:instrText>
      </w:r>
      <w:r w:rsidR="006A2B13">
        <w:rPr>
          <w:lang w:val="en-US"/>
        </w:rPr>
        <w:instrText>and</w:instrText>
      </w:r>
      <w:r w:rsidR="006A2B13" w:rsidRPr="006A2B13">
        <w:instrText xml:space="preserve"> 78 </w:instrText>
      </w:r>
      <w:r w:rsidR="006A2B13">
        <w:rPr>
          <w:lang w:val="en-US"/>
        </w:rPr>
        <w:instrText>and</w:instrText>
      </w:r>
      <w:r w:rsidR="006A2B13" w:rsidRPr="006A2B13">
        <w:instrText xml:space="preserve"> 50% (95% </w:instrText>
      </w:r>
      <w:r w:rsidR="006A2B13">
        <w:rPr>
          <w:lang w:val="en-US"/>
        </w:rPr>
        <w:instrText>CI</w:instrText>
      </w:r>
      <w:r w:rsidR="006A2B13" w:rsidRPr="006A2B13">
        <w:instrText xml:space="preserve">, 32-68) </w:instrText>
      </w:r>
      <w:r w:rsidR="006A2B13">
        <w:rPr>
          <w:lang w:val="en-US"/>
        </w:rPr>
        <w:instrText>in</w:instrText>
      </w:r>
      <w:r w:rsidR="006A2B13" w:rsidRPr="006A2B13">
        <w:instrText xml:space="preserve"> </w:instrText>
      </w:r>
      <w:r w:rsidR="006A2B13">
        <w:rPr>
          <w:lang w:val="en-US"/>
        </w:rPr>
        <w:instrText>R</w:instrText>
      </w:r>
      <w:r w:rsidR="006A2B13" w:rsidRPr="006A2B13">
        <w:instrText>-</w:instrText>
      </w:r>
      <w:r w:rsidR="006A2B13">
        <w:rPr>
          <w:lang w:val="en-US"/>
        </w:rPr>
        <w:instrText>GEMOX, respectively. Grade 3/4 neutropenia occurred in 57 and 47% of cycles and grade 3/4 thrombocytopenia in 26 and 17% of courses for GEMOX and R-GEMOX, respectively. At 42 months, the failure-free survival (FFS) was 7% (95% CI, 0-16) for GEMOX and 28% (95% CI, 9-47) for R-GEMOX (P = 0.014), with overall survivals of 7 (95% CI, 0-16) and 37% (95% CI, 20-55), respectively (P = 0.016). CONCLUSIONS Both regimes showed good tolerability and appealing response rates. FFS was more prolonged in R-GEMOX, but patients continuously relapsed without a clear plateau on survival curves.","author":[{"dropping-particle":"","family":"Corazzelli","given":"Gaetano","non-dropping-particle":"","parse-names":false,"suffix":""},{"dropping-particle":"","family":"Capobianco","given":"Gaetana","non-dropping-particle":"","parse-names":false,"suffix":""},{"dropping-particle":"","family":"Arcamone","given":"Manuela","non-dropping-particle":"","parse-names":false,"suffix":""},{"dropping-particle":"","family":"Ballerini","given":"Pier Ferruccio","non-dropping-particle":"","parse-names":false,"suffix":""},{"dropping-particle":"","family":"Iannitto","given":"Emilio","non-dropping-particle":"","parse-names":false,"suffix":""},{"dropping-particle":"","family":"Russo","given":"Filippo","non-dropping-particle":"","parse-names":false,"suffix":""},{"dropping-particle":"","family":"Frigeri","given":"Ferdinando","non-dropping-particle":"","parse-names":false,"suffix":""},{"dropping-particle":"","family":"Becchimanzi","given":"Cristina","non-dropping-particle":"","parse-names":false,"suffix":""},{"dropping-particle":"","family":"Marcacci","given":"Gianpaolo","non-dropping-particle":"","parse-names":false,"suffix":""},{"dropping-particle":"","family":"Chiara","given":"Annarosaria","non-dropping-particle":"De","parse-names":false,"suffix":""},{"dropping-particle":"","family":"Pinto","given":"Antonio","non-dropping-particle":"","parse-names":false,"suffix":""}],"container-title":"Cancer chemotherapy and pharmacology","id":"ITEM-1","issue":"5","issued":{"date-parts":[["2009","10"]]},"page":"907-16","title":"Long-term results of gemcitabine plus oxaliplatin with and without rituximab as salvage treatment for transplant-ineligible patients with refractory/relapsing B-cell lymphoma.","type":"article-journal","volume":"64"},"uris":["http://www.mendeley.com/documents/?uuid=94d56952-9f06-4fc1-a65e-4bfb5f2841d6"]},{"id":"ITEM-2","itemData":{"DOI":"10.3324/haematol.2013.090597","ISSN":"03906078","abstract":"A previous pilot study with rituximab, gemcitabine and oxaliplatin showed promising activity in patients with refractory/relapsed B-cell lymphoma. We, therefore, conducted a phase II study to determine whether these results could be reproduced in a multi-institutional setting. This phase II study included 49 patients with refractory (n=6) or relapsing (n=43) diffuse large B-cell lymphoma. The median age of the patients was 69 years. Prior treatment included rituximab in 31 (63%) and autologous transplantation in 17 (35%) patients. International Prognostic Index at enrollment was &gt;2 in 34 patients (71%). The primary endpoint was overall response rate after four cycles of treatment. Patients were planned to receive eight cycles if they reached at least partial remission after four cycles. After four cycles 21 patients (44%) were in complete remission and 8 (17%) in partial remission, resulting in an overall response rate of 61%. Factors significantly affecting overall response rate were early (&lt;1 year) progression/relapse (18% versus 54%; P=0.001) and prior exposure to rituximab (23% versus 65%; P=0.004). Five-year progression-free and overall survival rates were 12.8% and 13.9%, respectively. Rituximab, gemcitabine and oxaliplatin were well tolerated with grade 3-4 infectious episodes in 22% of the cycles. These results are the first confirmation from a multicenter study that rituximab, gemcitabine and oxaliplatin provide a consistent response rate in patients with refractory/relapsed diffuse large B-cell lymphoma. This therapy can now be considered as a platform for new combinations with targeted treatments. This trial was registered at clinicaltrial.gov under #NCT00169195. © 2013 Ferrata Storti Foundation.","author":[{"dropping-particle":"","family":"Mounier","given":"Nicolas","non-dropping-particle":"","parse-names":false,"suffix":""},{"dropping-particle":"","family":"Gnaoui","given":"Taoufik","non-dropping-particle":"El","parse-names":false,"suffix":""},{"dropping-particle":"","family":"Tilly","given":"Hervé","non-dropping-particle":"","parse-names":false,"suffix":""},{"dropping-particle":"","family":"Canioni","given":"Danièle","non-dropping-particle":"","parse-names":false,"suffix":""},{"dropping-particle":"","family":"Sebban","given":"Catherine","non-dropping-particle":"","parse-names":false,"suffix":""},{"dropping-particle":"","family":"Casasnovas","given":"René Olivier","non-dropping-particle":"","parse-names":false,"suffix":""},{"dropping-particle":"","family":"Delarue","given":"Richard","non-dropping-particle":"","parse-names":false,"suffix":""},{"dropping-particle":"","family":"Sonet","given":"Anne","non-dropping-particle":"","parse-names":false,"suffix":""},{"dropping-particle":"","family":"Beaussart","given":"Pauline","non-dropping-particle":"","parse-names":false,"suffix":""},{"dropping-particle":"","family":"Petrella","given":"Tony</w:instrText>
      </w:r>
      <w:r w:rsidR="006A2B13" w:rsidRPr="006A2B13">
        <w:instrText>","</w:instrText>
      </w:r>
      <w:r w:rsidR="006A2B13">
        <w:rPr>
          <w:lang w:val="en-US"/>
        </w:rPr>
        <w:instrText>non</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parse</w:instrText>
      </w:r>
      <w:r w:rsidR="006A2B13" w:rsidRPr="006A2B13">
        <w:instrText>-</w:instrText>
      </w:r>
      <w:r w:rsidR="006A2B13">
        <w:rPr>
          <w:lang w:val="en-US"/>
        </w:rPr>
        <w:instrText>names</w:instrText>
      </w:r>
      <w:r w:rsidR="006A2B13" w:rsidRPr="006A2B13">
        <w:instrText>":</w:instrText>
      </w:r>
      <w:r w:rsidR="006A2B13">
        <w:rPr>
          <w:lang w:val="en-US"/>
        </w:rPr>
        <w:instrText>false</w:instrText>
      </w:r>
      <w:r w:rsidR="006A2B13" w:rsidRPr="006A2B13">
        <w:instrText>,"</w:instrText>
      </w:r>
      <w:r w:rsidR="006A2B13">
        <w:rPr>
          <w:lang w:val="en-US"/>
        </w:rPr>
        <w:instrText>suffix</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family</w:instrText>
      </w:r>
      <w:r w:rsidR="006A2B13" w:rsidRPr="006A2B13">
        <w:instrText>":"</w:instrText>
      </w:r>
      <w:r w:rsidR="006A2B13">
        <w:rPr>
          <w:lang w:val="en-US"/>
        </w:rPr>
        <w:instrText>Castaigne</w:instrText>
      </w:r>
      <w:r w:rsidR="006A2B13" w:rsidRPr="006A2B13">
        <w:instrText>","</w:instrText>
      </w:r>
      <w:r w:rsidR="006A2B13">
        <w:rPr>
          <w:lang w:val="en-US"/>
        </w:rPr>
        <w:instrText>given</w:instrText>
      </w:r>
      <w:r w:rsidR="006A2B13" w:rsidRPr="006A2B13">
        <w:instrText>":"</w:instrText>
      </w:r>
      <w:r w:rsidR="006A2B13">
        <w:rPr>
          <w:lang w:val="en-US"/>
        </w:rPr>
        <w:instrText>Sylvie</w:instrText>
      </w:r>
      <w:r w:rsidR="006A2B13" w:rsidRPr="006A2B13">
        <w:instrText>","</w:instrText>
      </w:r>
      <w:r w:rsidR="006A2B13">
        <w:rPr>
          <w:lang w:val="en-US"/>
        </w:rPr>
        <w:instrText>non</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parse</w:instrText>
      </w:r>
      <w:r w:rsidR="006A2B13" w:rsidRPr="006A2B13">
        <w:instrText>-</w:instrText>
      </w:r>
      <w:r w:rsidR="006A2B13">
        <w:rPr>
          <w:lang w:val="en-US"/>
        </w:rPr>
        <w:instrText>names</w:instrText>
      </w:r>
      <w:r w:rsidR="006A2B13" w:rsidRPr="006A2B13">
        <w:instrText>":</w:instrText>
      </w:r>
      <w:r w:rsidR="006A2B13">
        <w:rPr>
          <w:lang w:val="en-US"/>
        </w:rPr>
        <w:instrText>false</w:instrText>
      </w:r>
      <w:r w:rsidR="006A2B13" w:rsidRPr="006A2B13">
        <w:instrText>,"</w:instrText>
      </w:r>
      <w:r w:rsidR="006A2B13">
        <w:rPr>
          <w:lang w:val="en-US"/>
        </w:rPr>
        <w:instrText>suffix</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family</w:instrText>
      </w:r>
      <w:r w:rsidR="006A2B13" w:rsidRPr="006A2B13">
        <w:instrText>":"</w:instrText>
      </w:r>
      <w:r w:rsidR="006A2B13">
        <w:rPr>
          <w:lang w:val="en-US"/>
        </w:rPr>
        <w:instrText>Bologna</w:instrText>
      </w:r>
      <w:r w:rsidR="006A2B13" w:rsidRPr="006A2B13">
        <w:instrText>","</w:instrText>
      </w:r>
      <w:r w:rsidR="006A2B13">
        <w:rPr>
          <w:lang w:val="en-US"/>
        </w:rPr>
        <w:instrText>given</w:instrText>
      </w:r>
      <w:r w:rsidR="006A2B13" w:rsidRPr="006A2B13">
        <w:instrText>":"</w:instrText>
      </w:r>
      <w:r w:rsidR="006A2B13">
        <w:rPr>
          <w:lang w:val="en-US"/>
        </w:rPr>
        <w:instrText>Serge</w:instrText>
      </w:r>
      <w:r w:rsidR="006A2B13" w:rsidRPr="006A2B13">
        <w:instrText>","</w:instrText>
      </w:r>
      <w:r w:rsidR="006A2B13">
        <w:rPr>
          <w:lang w:val="en-US"/>
        </w:rPr>
        <w:instrText>non</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parse</w:instrText>
      </w:r>
      <w:r w:rsidR="006A2B13" w:rsidRPr="006A2B13">
        <w:instrText>-</w:instrText>
      </w:r>
      <w:r w:rsidR="006A2B13">
        <w:rPr>
          <w:lang w:val="en-US"/>
        </w:rPr>
        <w:instrText>names</w:instrText>
      </w:r>
      <w:r w:rsidR="006A2B13" w:rsidRPr="006A2B13">
        <w:instrText>":</w:instrText>
      </w:r>
      <w:r w:rsidR="006A2B13">
        <w:rPr>
          <w:lang w:val="en-US"/>
        </w:rPr>
        <w:instrText>false</w:instrText>
      </w:r>
      <w:r w:rsidR="006A2B13" w:rsidRPr="006A2B13">
        <w:instrText>,"</w:instrText>
      </w:r>
      <w:r w:rsidR="006A2B13">
        <w:rPr>
          <w:lang w:val="en-US"/>
        </w:rPr>
        <w:instrText>suffix</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family</w:instrText>
      </w:r>
      <w:r w:rsidR="006A2B13" w:rsidRPr="006A2B13">
        <w:instrText>":"</w:instrText>
      </w:r>
      <w:r w:rsidR="006A2B13">
        <w:rPr>
          <w:lang w:val="en-US"/>
        </w:rPr>
        <w:instrText>Salles</w:instrText>
      </w:r>
      <w:r w:rsidR="006A2B13" w:rsidRPr="006A2B13">
        <w:instrText>","</w:instrText>
      </w:r>
      <w:r w:rsidR="006A2B13">
        <w:rPr>
          <w:lang w:val="en-US"/>
        </w:rPr>
        <w:instrText>given</w:instrText>
      </w:r>
      <w:r w:rsidR="006A2B13" w:rsidRPr="006A2B13">
        <w:instrText>":"</w:instrText>
      </w:r>
      <w:r w:rsidR="006A2B13">
        <w:rPr>
          <w:lang w:val="en-US"/>
        </w:rPr>
        <w:instrText>Gilles</w:instrText>
      </w:r>
      <w:r w:rsidR="006A2B13" w:rsidRPr="006A2B13">
        <w:instrText>","</w:instrText>
      </w:r>
      <w:r w:rsidR="006A2B13">
        <w:rPr>
          <w:lang w:val="en-US"/>
        </w:rPr>
        <w:instrText>non</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parse</w:instrText>
      </w:r>
      <w:r w:rsidR="006A2B13" w:rsidRPr="006A2B13">
        <w:instrText>-</w:instrText>
      </w:r>
      <w:r w:rsidR="006A2B13">
        <w:rPr>
          <w:lang w:val="en-US"/>
        </w:rPr>
        <w:instrText>names</w:instrText>
      </w:r>
      <w:r w:rsidR="006A2B13" w:rsidRPr="006A2B13">
        <w:instrText>":</w:instrText>
      </w:r>
      <w:r w:rsidR="006A2B13">
        <w:rPr>
          <w:lang w:val="en-US"/>
        </w:rPr>
        <w:instrText>false</w:instrText>
      </w:r>
      <w:r w:rsidR="006A2B13" w:rsidRPr="006A2B13">
        <w:instrText>,"</w:instrText>
      </w:r>
      <w:r w:rsidR="006A2B13">
        <w:rPr>
          <w:lang w:val="en-US"/>
        </w:rPr>
        <w:instrText>suffix</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family</w:instrText>
      </w:r>
      <w:r w:rsidR="006A2B13" w:rsidRPr="006A2B13">
        <w:instrText>":"</w:instrText>
      </w:r>
      <w:r w:rsidR="006A2B13">
        <w:rPr>
          <w:lang w:val="en-US"/>
        </w:rPr>
        <w:instrText>Rahmouni</w:instrText>
      </w:r>
      <w:r w:rsidR="006A2B13" w:rsidRPr="006A2B13">
        <w:instrText>","</w:instrText>
      </w:r>
      <w:r w:rsidR="006A2B13">
        <w:rPr>
          <w:lang w:val="en-US"/>
        </w:rPr>
        <w:instrText>given</w:instrText>
      </w:r>
      <w:r w:rsidR="006A2B13" w:rsidRPr="006A2B13">
        <w:instrText>":"</w:instrText>
      </w:r>
      <w:r w:rsidR="006A2B13">
        <w:rPr>
          <w:lang w:val="en-US"/>
        </w:rPr>
        <w:instrText>Alain</w:instrText>
      </w:r>
      <w:r w:rsidR="006A2B13" w:rsidRPr="006A2B13">
        <w:instrText>","</w:instrText>
      </w:r>
      <w:r w:rsidR="006A2B13">
        <w:rPr>
          <w:lang w:val="en-US"/>
        </w:rPr>
        <w:instrText>non</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parse</w:instrText>
      </w:r>
      <w:r w:rsidR="006A2B13" w:rsidRPr="006A2B13">
        <w:instrText>-</w:instrText>
      </w:r>
      <w:r w:rsidR="006A2B13">
        <w:rPr>
          <w:lang w:val="en-US"/>
        </w:rPr>
        <w:instrText>names</w:instrText>
      </w:r>
      <w:r w:rsidR="006A2B13" w:rsidRPr="006A2B13">
        <w:instrText>":</w:instrText>
      </w:r>
      <w:r w:rsidR="006A2B13">
        <w:rPr>
          <w:lang w:val="en-US"/>
        </w:rPr>
        <w:instrText>false</w:instrText>
      </w:r>
      <w:r w:rsidR="006A2B13" w:rsidRPr="006A2B13">
        <w:instrText>,"</w:instrText>
      </w:r>
      <w:r w:rsidR="006A2B13">
        <w:rPr>
          <w:lang w:val="en-US"/>
        </w:rPr>
        <w:instrText>suffix</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family</w:instrText>
      </w:r>
      <w:r w:rsidR="006A2B13" w:rsidRPr="006A2B13">
        <w:instrText>":"</w:instrText>
      </w:r>
      <w:r w:rsidR="006A2B13">
        <w:rPr>
          <w:lang w:val="en-US"/>
        </w:rPr>
        <w:instrText>Gaulard</w:instrText>
      </w:r>
      <w:r w:rsidR="006A2B13" w:rsidRPr="006A2B13">
        <w:instrText>","</w:instrText>
      </w:r>
      <w:r w:rsidR="006A2B13">
        <w:rPr>
          <w:lang w:val="en-US"/>
        </w:rPr>
        <w:instrText>given</w:instrText>
      </w:r>
      <w:r w:rsidR="006A2B13" w:rsidRPr="006A2B13">
        <w:instrText>":"</w:instrText>
      </w:r>
      <w:r w:rsidR="006A2B13">
        <w:rPr>
          <w:lang w:val="en-US"/>
        </w:rPr>
        <w:instrText>Philippe</w:instrText>
      </w:r>
      <w:r w:rsidR="006A2B13" w:rsidRPr="006A2B13">
        <w:instrText>","</w:instrText>
      </w:r>
      <w:r w:rsidR="006A2B13">
        <w:rPr>
          <w:lang w:val="en-US"/>
        </w:rPr>
        <w:instrText>non</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parse</w:instrText>
      </w:r>
      <w:r w:rsidR="006A2B13" w:rsidRPr="006A2B13">
        <w:instrText>-</w:instrText>
      </w:r>
      <w:r w:rsidR="006A2B13">
        <w:rPr>
          <w:lang w:val="en-US"/>
        </w:rPr>
        <w:instrText>names</w:instrText>
      </w:r>
      <w:r w:rsidR="006A2B13" w:rsidRPr="006A2B13">
        <w:instrText>":</w:instrText>
      </w:r>
      <w:r w:rsidR="006A2B13">
        <w:rPr>
          <w:lang w:val="en-US"/>
        </w:rPr>
        <w:instrText>false</w:instrText>
      </w:r>
      <w:r w:rsidR="006A2B13" w:rsidRPr="006A2B13">
        <w:instrText>,"</w:instrText>
      </w:r>
      <w:r w:rsidR="006A2B13">
        <w:rPr>
          <w:lang w:val="en-US"/>
        </w:rPr>
        <w:instrText>suffix</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family</w:instrText>
      </w:r>
      <w:r w:rsidR="006A2B13" w:rsidRPr="006A2B13">
        <w:instrText>":"</w:instrText>
      </w:r>
      <w:r w:rsidR="006A2B13">
        <w:rPr>
          <w:lang w:val="en-US"/>
        </w:rPr>
        <w:instrText>Haioun</w:instrText>
      </w:r>
      <w:r w:rsidR="006A2B13" w:rsidRPr="006A2B13">
        <w:instrText>","</w:instrText>
      </w:r>
      <w:r w:rsidR="006A2B13">
        <w:rPr>
          <w:lang w:val="en-US"/>
        </w:rPr>
        <w:instrText>given</w:instrText>
      </w:r>
      <w:r w:rsidR="006A2B13" w:rsidRPr="006A2B13">
        <w:instrText>":"</w:instrText>
      </w:r>
      <w:r w:rsidR="006A2B13">
        <w:rPr>
          <w:lang w:val="en-US"/>
        </w:rPr>
        <w:instrText>Corinne</w:instrText>
      </w:r>
      <w:r w:rsidR="006A2B13" w:rsidRPr="006A2B13">
        <w:instrText>","</w:instrText>
      </w:r>
      <w:r w:rsidR="006A2B13">
        <w:rPr>
          <w:lang w:val="en-US"/>
        </w:rPr>
        <w:instrText>non</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parse</w:instrText>
      </w:r>
      <w:r w:rsidR="006A2B13" w:rsidRPr="006A2B13">
        <w:instrText>-</w:instrText>
      </w:r>
      <w:r w:rsidR="006A2B13">
        <w:rPr>
          <w:lang w:val="en-US"/>
        </w:rPr>
        <w:instrText>names</w:instrText>
      </w:r>
      <w:r w:rsidR="006A2B13" w:rsidRPr="006A2B13">
        <w:instrText>":</w:instrText>
      </w:r>
      <w:r w:rsidR="006A2B13">
        <w:rPr>
          <w:lang w:val="en-US"/>
        </w:rPr>
        <w:instrText>false</w:instrText>
      </w:r>
      <w:r w:rsidR="006A2B13" w:rsidRPr="006A2B13">
        <w:instrText>,"</w:instrText>
      </w:r>
      <w:r w:rsidR="006A2B13">
        <w:rPr>
          <w:lang w:val="en-US"/>
        </w:rPr>
        <w:instrText>suffix</w:instrText>
      </w:r>
      <w:r w:rsidR="006A2B13" w:rsidRPr="006A2B13">
        <w:instrText>":""}],"</w:instrText>
      </w:r>
      <w:r w:rsidR="006A2B13">
        <w:rPr>
          <w:lang w:val="en-US"/>
        </w:rPr>
        <w:instrText>container</w:instrText>
      </w:r>
      <w:r w:rsidR="006A2B13" w:rsidRPr="006A2B13">
        <w:instrText>-</w:instrText>
      </w:r>
      <w:r w:rsidR="006A2B13">
        <w:rPr>
          <w:lang w:val="en-US"/>
        </w:rPr>
        <w:instrText>title</w:instrText>
      </w:r>
      <w:r w:rsidR="006A2B13" w:rsidRPr="006A2B13">
        <w:instrText>":"</w:instrText>
      </w:r>
      <w:r w:rsidR="006A2B13">
        <w:rPr>
          <w:lang w:val="en-US"/>
        </w:rPr>
        <w:instrText>Haematologica</w:instrText>
      </w:r>
      <w:r w:rsidR="006A2B13" w:rsidRPr="006A2B13">
        <w:instrText>","</w:instrText>
      </w:r>
      <w:r w:rsidR="006A2B13">
        <w:rPr>
          <w:lang w:val="en-US"/>
        </w:rPr>
        <w:instrText>id</w:instrText>
      </w:r>
      <w:r w:rsidR="006A2B13" w:rsidRPr="006A2B13">
        <w:instrText>":"</w:instrText>
      </w:r>
      <w:r w:rsidR="006A2B13">
        <w:rPr>
          <w:lang w:val="en-US"/>
        </w:rPr>
        <w:instrText>ITEM</w:instrText>
      </w:r>
      <w:r w:rsidR="006A2B13" w:rsidRPr="006A2B13">
        <w:instrText>-2","</w:instrText>
      </w:r>
      <w:r w:rsidR="006A2B13">
        <w:rPr>
          <w:lang w:val="en-US"/>
        </w:rPr>
        <w:instrText>issue</w:instrText>
      </w:r>
      <w:r w:rsidR="006A2B13" w:rsidRPr="006A2B13">
        <w:instrText>":"11","</w:instrText>
      </w:r>
      <w:r w:rsidR="006A2B13">
        <w:rPr>
          <w:lang w:val="en-US"/>
        </w:rPr>
        <w:instrText>issued</w:instrText>
      </w:r>
      <w:r w:rsidR="006A2B13" w:rsidRPr="006A2B13">
        <w:instrText>":{"</w:instrText>
      </w:r>
      <w:r w:rsidR="006A2B13">
        <w:rPr>
          <w:lang w:val="en-US"/>
        </w:rPr>
        <w:instrText>date</w:instrText>
      </w:r>
      <w:r w:rsidR="006A2B13" w:rsidRPr="006A2B13">
        <w:instrText>-</w:instrText>
      </w:r>
      <w:r w:rsidR="006A2B13">
        <w:rPr>
          <w:lang w:val="en-US"/>
        </w:rPr>
        <w:instrText>parts</w:instrText>
      </w:r>
      <w:r w:rsidR="006A2B13" w:rsidRPr="006A2B13">
        <w:instrText>":[["2013","11","1"]]},"</w:instrText>
      </w:r>
      <w:r w:rsidR="006A2B13">
        <w:rPr>
          <w:lang w:val="en-US"/>
        </w:rPr>
        <w:instrText>page</w:instrText>
      </w:r>
      <w:r w:rsidR="006A2B13" w:rsidRPr="006A2B13">
        <w:instrText>":"1726-1731","</w:instrText>
      </w:r>
      <w:r w:rsidR="006A2B13">
        <w:rPr>
          <w:lang w:val="en-US"/>
        </w:rPr>
        <w:instrText>title</w:instrText>
      </w:r>
      <w:r w:rsidR="006A2B13" w:rsidRPr="006A2B13">
        <w:instrText>":"</w:instrText>
      </w:r>
      <w:r w:rsidR="006A2B13">
        <w:rPr>
          <w:lang w:val="en-US"/>
        </w:rPr>
        <w:instrText>Rituximab</w:instrText>
      </w:r>
      <w:r w:rsidR="006A2B13" w:rsidRPr="006A2B13">
        <w:instrText xml:space="preserve"> </w:instrText>
      </w:r>
      <w:r w:rsidR="006A2B13">
        <w:rPr>
          <w:lang w:val="en-US"/>
        </w:rPr>
        <w:instrText>plus</w:instrText>
      </w:r>
      <w:r w:rsidR="006A2B13" w:rsidRPr="006A2B13">
        <w:instrText xml:space="preserve"> </w:instrText>
      </w:r>
      <w:r w:rsidR="006A2B13">
        <w:rPr>
          <w:lang w:val="en-US"/>
        </w:rPr>
        <w:instrText>gemcitabine</w:instrText>
      </w:r>
      <w:r w:rsidR="006A2B13" w:rsidRPr="006A2B13">
        <w:instrText xml:space="preserve"> </w:instrText>
      </w:r>
      <w:r w:rsidR="006A2B13">
        <w:rPr>
          <w:lang w:val="en-US"/>
        </w:rPr>
        <w:instrText>and</w:instrText>
      </w:r>
      <w:r w:rsidR="006A2B13" w:rsidRPr="006A2B13">
        <w:instrText xml:space="preserve"> </w:instrText>
      </w:r>
      <w:r w:rsidR="006A2B13">
        <w:rPr>
          <w:lang w:val="en-US"/>
        </w:rPr>
        <w:instrText>oxaliplatin</w:instrText>
      </w:r>
      <w:r w:rsidR="006A2B13" w:rsidRPr="006A2B13">
        <w:instrText xml:space="preserve"> </w:instrText>
      </w:r>
      <w:r w:rsidR="006A2B13">
        <w:rPr>
          <w:lang w:val="en-US"/>
        </w:rPr>
        <w:instrText>in</w:instrText>
      </w:r>
      <w:r w:rsidR="006A2B13" w:rsidRPr="006A2B13">
        <w:instrText xml:space="preserve"> </w:instrText>
      </w:r>
      <w:r w:rsidR="006A2B13">
        <w:rPr>
          <w:lang w:val="en-US"/>
        </w:rPr>
        <w:instrText>patients</w:instrText>
      </w:r>
      <w:r w:rsidR="006A2B13" w:rsidRPr="006A2B13">
        <w:instrText xml:space="preserve"> </w:instrText>
      </w:r>
      <w:r w:rsidR="006A2B13">
        <w:rPr>
          <w:lang w:val="en-US"/>
        </w:rPr>
        <w:instrText>with</w:instrText>
      </w:r>
      <w:r w:rsidR="006A2B13" w:rsidRPr="006A2B13">
        <w:instrText xml:space="preserve"> </w:instrText>
      </w:r>
      <w:r w:rsidR="006A2B13">
        <w:rPr>
          <w:lang w:val="en-US"/>
        </w:rPr>
        <w:instrText>refractory</w:instrText>
      </w:r>
      <w:r w:rsidR="006A2B13" w:rsidRPr="006A2B13">
        <w:instrText>/</w:instrText>
      </w:r>
      <w:r w:rsidR="006A2B13">
        <w:rPr>
          <w:lang w:val="en-US"/>
        </w:rPr>
        <w:instrText>relapsed</w:instrText>
      </w:r>
      <w:r w:rsidR="006A2B13" w:rsidRPr="006A2B13">
        <w:instrText xml:space="preserve"> </w:instrText>
      </w:r>
      <w:r w:rsidR="006A2B13">
        <w:rPr>
          <w:lang w:val="en-US"/>
        </w:rPr>
        <w:instrText>diffuse</w:instrText>
      </w:r>
      <w:r w:rsidR="006A2B13" w:rsidRPr="006A2B13">
        <w:instrText xml:space="preserve"> </w:instrText>
      </w:r>
      <w:r w:rsidR="006A2B13">
        <w:rPr>
          <w:lang w:val="en-US"/>
        </w:rPr>
        <w:instrText>large</w:instrText>
      </w:r>
      <w:r w:rsidR="006A2B13" w:rsidRPr="006A2B13">
        <w:instrText xml:space="preserve"> </w:instrText>
      </w:r>
      <w:r w:rsidR="006A2B13">
        <w:rPr>
          <w:lang w:val="en-US"/>
        </w:rPr>
        <w:instrText>B</w:instrText>
      </w:r>
      <w:r w:rsidR="006A2B13" w:rsidRPr="006A2B13">
        <w:instrText>-</w:instrText>
      </w:r>
      <w:r w:rsidR="006A2B13">
        <w:rPr>
          <w:lang w:val="en-US"/>
        </w:rPr>
        <w:instrText>cell</w:instrText>
      </w:r>
      <w:r w:rsidR="006A2B13" w:rsidRPr="006A2B13">
        <w:instrText xml:space="preserve"> </w:instrText>
      </w:r>
      <w:r w:rsidR="006A2B13">
        <w:rPr>
          <w:lang w:val="en-US"/>
        </w:rPr>
        <w:instrText>lymphoma</w:instrText>
      </w:r>
      <w:r w:rsidR="006A2B13" w:rsidRPr="006A2B13">
        <w:instrText xml:space="preserve"> </w:instrText>
      </w:r>
      <w:r w:rsidR="006A2B13">
        <w:rPr>
          <w:lang w:val="en-US"/>
        </w:rPr>
        <w:instrText>who</w:instrText>
      </w:r>
      <w:r w:rsidR="006A2B13" w:rsidRPr="006A2B13">
        <w:instrText xml:space="preserve"> </w:instrText>
      </w:r>
      <w:r w:rsidR="006A2B13">
        <w:rPr>
          <w:lang w:val="en-US"/>
        </w:rPr>
        <w:instrText>are</w:instrText>
      </w:r>
      <w:r w:rsidR="006A2B13" w:rsidRPr="006A2B13">
        <w:instrText xml:space="preserve"> </w:instrText>
      </w:r>
      <w:r w:rsidR="006A2B13">
        <w:rPr>
          <w:lang w:val="en-US"/>
        </w:rPr>
        <w:instrText>not</w:instrText>
      </w:r>
      <w:r w:rsidR="006A2B13" w:rsidRPr="006A2B13">
        <w:instrText xml:space="preserve"> </w:instrText>
      </w:r>
      <w:r w:rsidR="006A2B13">
        <w:rPr>
          <w:lang w:val="en-US"/>
        </w:rPr>
        <w:instrText>candidates</w:instrText>
      </w:r>
      <w:r w:rsidR="006A2B13" w:rsidRPr="006A2B13">
        <w:instrText xml:space="preserve"> </w:instrText>
      </w:r>
      <w:r w:rsidR="006A2B13">
        <w:rPr>
          <w:lang w:val="en-US"/>
        </w:rPr>
        <w:instrText>for</w:instrText>
      </w:r>
      <w:r w:rsidR="006A2B13" w:rsidRPr="006A2B13">
        <w:instrText xml:space="preserve"> </w:instrText>
      </w:r>
      <w:r w:rsidR="006A2B13">
        <w:rPr>
          <w:lang w:val="en-US"/>
        </w:rPr>
        <w:instrText>high</w:instrText>
      </w:r>
      <w:r w:rsidR="006A2B13" w:rsidRPr="006A2B13">
        <w:instrText>-</w:instrText>
      </w:r>
      <w:r w:rsidR="006A2B13">
        <w:rPr>
          <w:lang w:val="en-US"/>
        </w:rPr>
        <w:instrText>dose</w:instrText>
      </w:r>
      <w:r w:rsidR="006A2B13" w:rsidRPr="006A2B13">
        <w:instrText xml:space="preserve"> </w:instrText>
      </w:r>
      <w:r w:rsidR="006A2B13">
        <w:rPr>
          <w:lang w:val="en-US"/>
        </w:rPr>
        <w:instrText>therapy</w:instrText>
      </w:r>
      <w:r w:rsidR="006A2B13" w:rsidRPr="006A2B13">
        <w:instrText xml:space="preserve">. </w:instrText>
      </w:r>
      <w:r w:rsidR="006A2B13">
        <w:rPr>
          <w:lang w:val="en-US"/>
        </w:rPr>
        <w:instrText>A</w:instrText>
      </w:r>
      <w:r w:rsidR="006A2B13" w:rsidRPr="006A2B13">
        <w:instrText xml:space="preserve"> </w:instrText>
      </w:r>
      <w:r w:rsidR="006A2B13">
        <w:rPr>
          <w:lang w:val="en-US"/>
        </w:rPr>
        <w:instrText>phase</w:instrText>
      </w:r>
      <w:r w:rsidR="006A2B13" w:rsidRPr="006A2B13">
        <w:instrText xml:space="preserve"> </w:instrText>
      </w:r>
      <w:r w:rsidR="006A2B13">
        <w:rPr>
          <w:lang w:val="en-US"/>
        </w:rPr>
        <w:instrText>II</w:instrText>
      </w:r>
      <w:r w:rsidR="006A2B13" w:rsidRPr="006A2B13">
        <w:instrText xml:space="preserve"> </w:instrText>
      </w:r>
      <w:r w:rsidR="006A2B13">
        <w:rPr>
          <w:lang w:val="en-US"/>
        </w:rPr>
        <w:instrText>lymphoma</w:instrText>
      </w:r>
      <w:r w:rsidR="006A2B13" w:rsidRPr="006A2B13">
        <w:instrText xml:space="preserve"> </w:instrText>
      </w:r>
      <w:r w:rsidR="006A2B13">
        <w:rPr>
          <w:lang w:val="en-US"/>
        </w:rPr>
        <w:instrText>study</w:instrText>
      </w:r>
      <w:r w:rsidR="006A2B13" w:rsidRPr="006A2B13">
        <w:instrText xml:space="preserve"> </w:instrText>
      </w:r>
      <w:r w:rsidR="006A2B13">
        <w:rPr>
          <w:lang w:val="en-US"/>
        </w:rPr>
        <w:instrText>Association</w:instrText>
      </w:r>
      <w:r w:rsidR="006A2B13" w:rsidRPr="006A2B13">
        <w:instrText xml:space="preserve"> </w:instrText>
      </w:r>
      <w:r w:rsidR="006A2B13">
        <w:rPr>
          <w:lang w:val="en-US"/>
        </w:rPr>
        <w:instrText>trial</w:instrText>
      </w:r>
      <w:r w:rsidR="006A2B13" w:rsidRPr="006A2B13">
        <w:instrText>","</w:instrText>
      </w:r>
      <w:r w:rsidR="006A2B13">
        <w:rPr>
          <w:lang w:val="en-US"/>
        </w:rPr>
        <w:instrText>type</w:instrText>
      </w:r>
      <w:r w:rsidR="006A2B13" w:rsidRPr="006A2B13">
        <w:instrText>":"</w:instrText>
      </w:r>
      <w:r w:rsidR="006A2B13">
        <w:rPr>
          <w:lang w:val="en-US"/>
        </w:rPr>
        <w:instrText>article</w:instrText>
      </w:r>
      <w:r w:rsidR="006A2B13" w:rsidRPr="006A2B13">
        <w:instrText>-</w:instrText>
      </w:r>
      <w:r w:rsidR="006A2B13">
        <w:rPr>
          <w:lang w:val="en-US"/>
        </w:rPr>
        <w:instrText>journal</w:instrText>
      </w:r>
      <w:r w:rsidR="006A2B13" w:rsidRPr="006A2B13">
        <w:instrText>","</w:instrText>
      </w:r>
      <w:r w:rsidR="006A2B13">
        <w:rPr>
          <w:lang w:val="en-US"/>
        </w:rPr>
        <w:instrText>volume</w:instrText>
      </w:r>
      <w:r w:rsidR="006A2B13" w:rsidRPr="006A2B13">
        <w:instrText>":"98"},"</w:instrText>
      </w:r>
      <w:r w:rsidR="006A2B13">
        <w:rPr>
          <w:lang w:val="en-US"/>
        </w:rPr>
        <w:instrText>uris</w:instrText>
      </w:r>
      <w:r w:rsidR="006A2B13" w:rsidRPr="006A2B13">
        <w:instrText>":["</w:instrText>
      </w:r>
      <w:r w:rsidR="006A2B13">
        <w:rPr>
          <w:lang w:val="en-US"/>
        </w:rPr>
        <w:instrText>http</w:instrText>
      </w:r>
      <w:r w:rsidR="006A2B13" w:rsidRPr="006A2B13">
        <w:instrText>://</w:instrText>
      </w:r>
      <w:r w:rsidR="006A2B13">
        <w:rPr>
          <w:lang w:val="en-US"/>
        </w:rPr>
        <w:instrText>www</w:instrText>
      </w:r>
      <w:r w:rsidR="006A2B13" w:rsidRPr="006A2B13">
        <w:instrText>.</w:instrText>
      </w:r>
      <w:r w:rsidR="006A2B13">
        <w:rPr>
          <w:lang w:val="en-US"/>
        </w:rPr>
        <w:instrText>mendeley</w:instrText>
      </w:r>
      <w:r w:rsidR="006A2B13" w:rsidRPr="006A2B13">
        <w:instrText>.</w:instrText>
      </w:r>
      <w:r w:rsidR="006A2B13">
        <w:rPr>
          <w:lang w:val="en-US"/>
        </w:rPr>
        <w:instrText>com</w:instrText>
      </w:r>
      <w:r w:rsidR="006A2B13" w:rsidRPr="006A2B13">
        <w:instrText>/</w:instrText>
      </w:r>
      <w:r w:rsidR="006A2B13">
        <w:rPr>
          <w:lang w:val="en-US"/>
        </w:rPr>
        <w:instrText>documents</w:instrText>
      </w:r>
      <w:r w:rsidR="006A2B13" w:rsidRPr="006A2B13">
        <w:instrText>/?</w:instrText>
      </w:r>
      <w:r w:rsidR="006A2B13">
        <w:rPr>
          <w:lang w:val="en-US"/>
        </w:rPr>
        <w:instrText>uuid</w:instrText>
      </w:r>
      <w:r w:rsidR="006A2B13" w:rsidRPr="006A2B13">
        <w:instrText>=9</w:instrText>
      </w:r>
      <w:r w:rsidR="006A2B13">
        <w:rPr>
          <w:lang w:val="en-US"/>
        </w:rPr>
        <w:instrText>f</w:instrText>
      </w:r>
      <w:r w:rsidR="006A2B13" w:rsidRPr="006A2B13">
        <w:instrText>883</w:instrText>
      </w:r>
      <w:r w:rsidR="006A2B13">
        <w:rPr>
          <w:lang w:val="en-US"/>
        </w:rPr>
        <w:instrText>ea</w:instrText>
      </w:r>
      <w:r w:rsidR="006A2B13" w:rsidRPr="006A2B13">
        <w:instrText>0-57</w:instrText>
      </w:r>
      <w:r w:rsidR="006A2B13">
        <w:rPr>
          <w:lang w:val="en-US"/>
        </w:rPr>
        <w:instrText>fe</w:instrText>
      </w:r>
      <w:r w:rsidR="006A2B13" w:rsidRPr="006A2B13">
        <w:instrText>-3731-</w:instrText>
      </w:r>
      <w:r w:rsidR="006A2B13">
        <w:rPr>
          <w:lang w:val="en-US"/>
        </w:rPr>
        <w:instrText>ab</w:instrText>
      </w:r>
      <w:r w:rsidR="006A2B13" w:rsidRPr="006A2B13">
        <w:instrText>2</w:instrText>
      </w:r>
      <w:r w:rsidR="006A2B13">
        <w:rPr>
          <w:lang w:val="en-US"/>
        </w:rPr>
        <w:instrText>d</w:instrText>
      </w:r>
      <w:r w:rsidR="006A2B13" w:rsidRPr="006A2B13">
        <w:instrText>-2</w:instrText>
      </w:r>
      <w:r w:rsidR="006A2B13">
        <w:rPr>
          <w:lang w:val="en-US"/>
        </w:rPr>
        <w:instrText>c</w:instrText>
      </w:r>
      <w:r w:rsidR="006A2B13" w:rsidRPr="006A2B13">
        <w:instrText>5</w:instrText>
      </w:r>
      <w:r w:rsidR="006A2B13">
        <w:rPr>
          <w:lang w:val="en-US"/>
        </w:rPr>
        <w:instrText>d</w:instrText>
      </w:r>
      <w:r w:rsidR="006A2B13" w:rsidRPr="006A2B13">
        <w:instrText>5446927</w:instrText>
      </w:r>
      <w:r w:rsidR="006A2B13">
        <w:rPr>
          <w:lang w:val="en-US"/>
        </w:rPr>
        <w:instrText>a</w:instrText>
      </w:r>
      <w:r w:rsidR="006A2B13" w:rsidRPr="006A2B13">
        <w:instrText>"]}],"</w:instrText>
      </w:r>
      <w:r w:rsidR="006A2B13">
        <w:rPr>
          <w:lang w:val="en-US"/>
        </w:rPr>
        <w:instrText>mendeley</w:instrText>
      </w:r>
      <w:r w:rsidR="006A2B13" w:rsidRPr="006A2B13">
        <w:instrText>":{"</w:instrText>
      </w:r>
      <w:r w:rsidR="006A2B13">
        <w:rPr>
          <w:lang w:val="en-US"/>
        </w:rPr>
        <w:instrText>formattedCitation</w:instrText>
      </w:r>
      <w:r w:rsidR="006A2B13" w:rsidRPr="006A2B13">
        <w:instrText>":"[115,120]","</w:instrText>
      </w:r>
      <w:r w:rsidR="006A2B13">
        <w:rPr>
          <w:lang w:val="en-US"/>
        </w:rPr>
        <w:instrText>plainTextFormattedCitation</w:instrText>
      </w:r>
      <w:r w:rsidR="006A2B13" w:rsidRPr="006A2B13">
        <w:instrText>":"[115,120]","</w:instrText>
      </w:r>
      <w:r w:rsidR="006A2B13">
        <w:rPr>
          <w:lang w:val="en-US"/>
        </w:rPr>
        <w:instrText>previouslyFormattedCitation</w:instrText>
      </w:r>
      <w:r w:rsidR="006A2B13" w:rsidRPr="006A2B13">
        <w:instrText>":"[115,120]"},"</w:instrText>
      </w:r>
      <w:r w:rsidR="006A2B13">
        <w:rPr>
          <w:lang w:val="en-US"/>
        </w:rPr>
        <w:instrText>properties</w:instrText>
      </w:r>
      <w:r w:rsidR="006A2B13" w:rsidRPr="006A2B13">
        <w:instrText>":{"</w:instrText>
      </w:r>
      <w:r w:rsidR="006A2B13">
        <w:rPr>
          <w:lang w:val="en-US"/>
        </w:rPr>
        <w:instrText>noteIndex</w:instrText>
      </w:r>
      <w:r w:rsidR="006A2B13" w:rsidRPr="006A2B13">
        <w:instrText>":0},"</w:instrText>
      </w:r>
      <w:r w:rsidR="006A2B13">
        <w:rPr>
          <w:lang w:val="en-US"/>
        </w:rPr>
        <w:instrText>schema</w:instrText>
      </w:r>
      <w:r w:rsidR="006A2B13" w:rsidRPr="006A2B13">
        <w:instrText>":"</w:instrText>
      </w:r>
      <w:r w:rsidR="006A2B13">
        <w:rPr>
          <w:lang w:val="en-US"/>
        </w:rPr>
        <w:instrText>https</w:instrText>
      </w:r>
      <w:r w:rsidR="006A2B13" w:rsidRPr="006A2B13">
        <w:instrText>://</w:instrText>
      </w:r>
      <w:r w:rsidR="006A2B13">
        <w:rPr>
          <w:lang w:val="en-US"/>
        </w:rPr>
        <w:instrText>github</w:instrText>
      </w:r>
      <w:r w:rsidR="006A2B13" w:rsidRPr="006A2B13">
        <w:instrText>.</w:instrText>
      </w:r>
      <w:r w:rsidR="006A2B13">
        <w:rPr>
          <w:lang w:val="en-US"/>
        </w:rPr>
        <w:instrText>com</w:instrText>
      </w:r>
      <w:r w:rsidR="006A2B13" w:rsidRPr="006A2B13">
        <w:instrText>/</w:instrText>
      </w:r>
      <w:r w:rsidR="006A2B13">
        <w:rPr>
          <w:lang w:val="en-US"/>
        </w:rPr>
        <w:instrText>citation</w:instrText>
      </w:r>
      <w:r w:rsidR="006A2B13" w:rsidRPr="006A2B13">
        <w:instrText>-</w:instrText>
      </w:r>
      <w:r w:rsidR="006A2B13">
        <w:rPr>
          <w:lang w:val="en-US"/>
        </w:rPr>
        <w:instrText>style</w:instrText>
      </w:r>
      <w:r w:rsidR="006A2B13" w:rsidRPr="006A2B13">
        <w:instrText>-</w:instrText>
      </w:r>
      <w:r w:rsidR="006A2B13">
        <w:rPr>
          <w:lang w:val="en-US"/>
        </w:rPr>
        <w:instrText>language</w:instrText>
      </w:r>
      <w:r w:rsidR="006A2B13" w:rsidRPr="006A2B13">
        <w:instrText>/</w:instrText>
      </w:r>
      <w:r w:rsidR="006A2B13">
        <w:rPr>
          <w:lang w:val="en-US"/>
        </w:rPr>
        <w:instrText>schema</w:instrText>
      </w:r>
      <w:r w:rsidR="006A2B13" w:rsidRPr="006A2B13">
        <w:instrText>/</w:instrText>
      </w:r>
      <w:r w:rsidR="006A2B13">
        <w:rPr>
          <w:lang w:val="en-US"/>
        </w:rPr>
        <w:instrText>raw</w:instrText>
      </w:r>
      <w:r w:rsidR="006A2B13" w:rsidRPr="006A2B13">
        <w:instrText>/</w:instrText>
      </w:r>
      <w:r w:rsidR="006A2B13">
        <w:rPr>
          <w:lang w:val="en-US"/>
        </w:rPr>
        <w:instrText>master</w:instrText>
      </w:r>
      <w:r w:rsidR="006A2B13" w:rsidRPr="006A2B13">
        <w:instrText>/</w:instrText>
      </w:r>
      <w:r w:rsidR="006A2B13">
        <w:rPr>
          <w:lang w:val="en-US"/>
        </w:rPr>
        <w:instrText>csl</w:instrText>
      </w:r>
      <w:r w:rsidR="006A2B13" w:rsidRPr="006A2B13">
        <w:instrText>-</w:instrText>
      </w:r>
      <w:r w:rsidR="006A2B13">
        <w:rPr>
          <w:lang w:val="en-US"/>
        </w:rPr>
        <w:instrText>citation</w:instrText>
      </w:r>
      <w:r w:rsidR="006A2B13" w:rsidRPr="006A2B13">
        <w:instrText>.</w:instrText>
      </w:r>
      <w:r w:rsidR="006A2B13">
        <w:rPr>
          <w:lang w:val="en-US"/>
        </w:rPr>
        <w:instrText>json</w:instrText>
      </w:r>
      <w:r w:rsidR="006A2B13" w:rsidRPr="006A2B13">
        <w:instrText>"}</w:instrText>
      </w:r>
      <w:r w:rsidRPr="000322E4">
        <w:rPr>
          <w:lang w:val="en-US"/>
        </w:rPr>
        <w:fldChar w:fldCharType="separate"/>
      </w:r>
      <w:r w:rsidR="00A6794A" w:rsidRPr="00A6794A">
        <w:rPr>
          <w:noProof/>
        </w:rPr>
        <w:t>[115,120]</w:t>
      </w:r>
      <w:r w:rsidRPr="000322E4">
        <w:rPr>
          <w:lang w:val="en-US"/>
        </w:rPr>
        <w:fldChar w:fldCharType="end"/>
      </w:r>
    </w:p>
    <w:p w14:paraId="0D1181C0" w14:textId="77777777" w:rsidR="00666D68" w:rsidRPr="002818CC" w:rsidRDefault="00290650" w:rsidP="008E3584">
      <w:pPr>
        <w:numPr>
          <w:ilvl w:val="0"/>
          <w:numId w:val="51"/>
        </w:numPr>
        <w:spacing w:line="360" w:lineRule="auto"/>
        <w:jc w:val="both"/>
        <w:rPr>
          <w:b/>
          <w:bCs/>
        </w:rPr>
      </w:pPr>
      <w:r w:rsidRPr="002818CC">
        <w:t>#</w:t>
      </w:r>
      <w:r w:rsidR="00666D68" w:rsidRPr="000322E4">
        <w:t>Гемцитабин</w:t>
      </w:r>
      <w:r w:rsidR="00666D68" w:rsidRPr="002818CC">
        <w:rPr>
          <w:bCs/>
        </w:rPr>
        <w:t>**</w:t>
      </w:r>
      <w:r w:rsidR="00666D68" w:rsidRPr="002818CC">
        <w:t xml:space="preserve"> 1000 </w:t>
      </w:r>
      <w:r w:rsidR="00666D68" w:rsidRPr="000322E4">
        <w:t>мг</w:t>
      </w:r>
      <w:r w:rsidR="00666D68" w:rsidRPr="002818CC">
        <w:t>/</w:t>
      </w:r>
      <w:r w:rsidR="00666D68" w:rsidRPr="000322E4">
        <w:t>м</w:t>
      </w:r>
      <w:r w:rsidR="00666D68" w:rsidRPr="002818CC">
        <w:rPr>
          <w:vertAlign w:val="superscript"/>
        </w:rPr>
        <w:t>2</w:t>
      </w:r>
      <w:r w:rsidR="00666D68" w:rsidRPr="002818CC">
        <w:t xml:space="preserve"> </w:t>
      </w:r>
      <w:r w:rsidR="00666D68" w:rsidRPr="000322E4">
        <w:t>в</w:t>
      </w:r>
      <w:r w:rsidR="00666D68" w:rsidRPr="002818CC">
        <w:t>/</w:t>
      </w:r>
      <w:r w:rsidR="00666D68" w:rsidRPr="000322E4">
        <w:t>в</w:t>
      </w:r>
      <w:r w:rsidR="00666D68" w:rsidRPr="002818CC">
        <w:t xml:space="preserve"> </w:t>
      </w:r>
      <w:r w:rsidR="00666D68" w:rsidRPr="000322E4">
        <w:t>кап</w:t>
      </w:r>
      <w:r w:rsidR="00666D68" w:rsidRPr="002818CC">
        <w:t xml:space="preserve">., </w:t>
      </w:r>
      <w:r w:rsidR="00666D68" w:rsidRPr="000322E4">
        <w:t>день</w:t>
      </w:r>
      <w:r w:rsidR="00666D68" w:rsidRPr="002818CC">
        <w:t xml:space="preserve"> 1</w:t>
      </w:r>
    </w:p>
    <w:p w14:paraId="73AB691B" w14:textId="77777777" w:rsidR="00666D68" w:rsidRPr="002818CC" w:rsidRDefault="00666D68" w:rsidP="008E3584">
      <w:pPr>
        <w:numPr>
          <w:ilvl w:val="0"/>
          <w:numId w:val="51"/>
        </w:numPr>
        <w:spacing w:line="360" w:lineRule="auto"/>
        <w:jc w:val="both"/>
        <w:rPr>
          <w:b/>
          <w:bCs/>
        </w:rPr>
      </w:pPr>
      <w:r w:rsidRPr="002818CC">
        <w:t>#</w:t>
      </w:r>
      <w:r w:rsidRPr="000322E4">
        <w:t>Оксалиплатин</w:t>
      </w:r>
      <w:r w:rsidRPr="002818CC">
        <w:rPr>
          <w:bCs/>
        </w:rPr>
        <w:t>**</w:t>
      </w:r>
      <w:r w:rsidRPr="002818CC">
        <w:t xml:space="preserve"> 100 </w:t>
      </w:r>
      <w:r w:rsidRPr="000322E4">
        <w:t>мг</w:t>
      </w:r>
      <w:r w:rsidRPr="002818CC">
        <w:t>/</w:t>
      </w:r>
      <w:r w:rsidRPr="000322E4">
        <w:t>м</w:t>
      </w:r>
      <w:r w:rsidRPr="002818CC">
        <w:rPr>
          <w:vertAlign w:val="superscript"/>
        </w:rPr>
        <w:t>2</w:t>
      </w:r>
      <w:r w:rsidRPr="002818CC">
        <w:t xml:space="preserve"> </w:t>
      </w:r>
      <w:r w:rsidRPr="000322E4">
        <w:t>в</w:t>
      </w:r>
      <w:r w:rsidRPr="002818CC">
        <w:t>/</w:t>
      </w:r>
      <w:r w:rsidRPr="000322E4">
        <w:t>в</w:t>
      </w:r>
      <w:r w:rsidRPr="002818CC">
        <w:t xml:space="preserve"> </w:t>
      </w:r>
      <w:r w:rsidRPr="000322E4">
        <w:t>кап</w:t>
      </w:r>
      <w:r w:rsidRPr="002818CC">
        <w:t xml:space="preserve">., </w:t>
      </w:r>
      <w:r w:rsidRPr="000322E4">
        <w:t>день</w:t>
      </w:r>
      <w:r w:rsidRPr="002818CC">
        <w:t xml:space="preserve"> 1</w:t>
      </w:r>
    </w:p>
    <w:p w14:paraId="11EC2028" w14:textId="77777777" w:rsidR="00666D68" w:rsidRPr="002818CC" w:rsidRDefault="00666D68" w:rsidP="008E3584">
      <w:pPr>
        <w:spacing w:line="360" w:lineRule="auto"/>
        <w:jc w:val="both"/>
      </w:pPr>
    </w:p>
    <w:p w14:paraId="2A9A4F03" w14:textId="6B37E343" w:rsidR="00666D68" w:rsidRPr="00293AC8" w:rsidRDefault="00666D68" w:rsidP="008E3584">
      <w:pPr>
        <w:spacing w:line="360" w:lineRule="auto"/>
        <w:jc w:val="both"/>
        <w:rPr>
          <w:b/>
          <w:bCs/>
        </w:rPr>
      </w:pPr>
      <w:r w:rsidRPr="00B972D6">
        <w:rPr>
          <w:b/>
          <w:bCs/>
          <w:lang w:val="en-US"/>
        </w:rPr>
        <w:t>DHA</w:t>
      </w:r>
      <w:r w:rsidRPr="000322E4">
        <w:rPr>
          <w:b/>
          <w:bCs/>
          <w:lang w:val="en-US"/>
        </w:rPr>
        <w:t>X</w:t>
      </w:r>
      <w:r w:rsidRPr="002818CC">
        <w:rPr>
          <w:b/>
          <w:bCs/>
        </w:rPr>
        <w:t xml:space="preserve"> </w:t>
      </w:r>
      <w:r w:rsidRPr="000322E4">
        <w:rPr>
          <w:lang w:val="en-US"/>
        </w:rPr>
        <w:fldChar w:fldCharType="begin" w:fldLock="1"/>
      </w:r>
      <w:r w:rsidR="006A2B13">
        <w:rPr>
          <w:lang w:val="en-US"/>
        </w:rPr>
        <w:instrText>ADDIN</w:instrText>
      </w:r>
      <w:r w:rsidR="006A2B13" w:rsidRPr="006A2B13">
        <w:instrText xml:space="preserve"> </w:instrText>
      </w:r>
      <w:r w:rsidR="006A2B13">
        <w:rPr>
          <w:lang w:val="en-US"/>
        </w:rPr>
        <w:instrText>CSL</w:instrText>
      </w:r>
      <w:r w:rsidR="006A2B13" w:rsidRPr="006A2B13">
        <w:instrText>_</w:instrText>
      </w:r>
      <w:r w:rsidR="006A2B13">
        <w:rPr>
          <w:lang w:val="en-US"/>
        </w:rPr>
        <w:instrText>CITATION</w:instrText>
      </w:r>
      <w:r w:rsidR="006A2B13" w:rsidRPr="006A2B13">
        <w:instrText xml:space="preserve"> {"</w:instrText>
      </w:r>
      <w:r w:rsidR="006A2B13">
        <w:rPr>
          <w:lang w:val="en-US"/>
        </w:rPr>
        <w:instrText>citationItems</w:instrText>
      </w:r>
      <w:r w:rsidR="006A2B13" w:rsidRPr="006A2B13">
        <w:instrText>":[{"</w:instrText>
      </w:r>
      <w:r w:rsidR="006A2B13">
        <w:rPr>
          <w:lang w:val="en-US"/>
        </w:rPr>
        <w:instrText>id</w:instrText>
      </w:r>
      <w:r w:rsidR="006A2B13" w:rsidRPr="006A2B13">
        <w:instrText>":"</w:instrText>
      </w:r>
      <w:r w:rsidR="006A2B13">
        <w:rPr>
          <w:lang w:val="en-US"/>
        </w:rPr>
        <w:instrText>ITEM</w:instrText>
      </w:r>
      <w:r w:rsidR="006A2B13" w:rsidRPr="006A2B13">
        <w:instrText>-1","</w:instrText>
      </w:r>
      <w:r w:rsidR="006A2B13">
        <w:rPr>
          <w:lang w:val="en-US"/>
        </w:rPr>
        <w:instrText>itemData</w:instrText>
      </w:r>
      <w:r w:rsidR="006A2B13" w:rsidRPr="006A2B13">
        <w:instrText>":{"</w:instrText>
      </w:r>
      <w:r w:rsidR="006A2B13">
        <w:rPr>
          <w:lang w:val="en-US"/>
        </w:rPr>
        <w:instrText>DOI</w:instrText>
      </w:r>
      <w:r w:rsidR="006A2B13" w:rsidRPr="006A2B13">
        <w:instrText>":"10.1046/</w:instrText>
      </w:r>
      <w:r w:rsidR="006A2B13">
        <w:rPr>
          <w:lang w:val="en-US"/>
        </w:rPr>
        <w:instrText>j</w:instrText>
      </w:r>
      <w:r w:rsidR="006A2B13" w:rsidRPr="006A2B13">
        <w:instrText>.1365-2141.2001.03181.</w:instrText>
      </w:r>
      <w:r w:rsidR="006A2B13">
        <w:rPr>
          <w:lang w:val="en-US"/>
        </w:rPr>
        <w:instrText>x</w:instrText>
      </w:r>
      <w:r w:rsidR="006A2B13" w:rsidRPr="006A2B13">
        <w:instrText>","</w:instrText>
      </w:r>
      <w:r w:rsidR="006A2B13">
        <w:rPr>
          <w:lang w:val="en-US"/>
        </w:rPr>
        <w:instrText>ISSN</w:instrText>
      </w:r>
      <w:r w:rsidR="006A2B13" w:rsidRPr="006A2B13">
        <w:instrText>":"00071048","</w:instrText>
      </w:r>
      <w:r w:rsidR="006A2B13">
        <w:rPr>
          <w:lang w:val="en-US"/>
        </w:rPr>
        <w:instrText>abstract</w:instrText>
      </w:r>
      <w:r w:rsidR="006A2B13" w:rsidRPr="006A2B13">
        <w:instrText>":"</w:instrText>
      </w:r>
      <w:r w:rsidR="006A2B13">
        <w:rPr>
          <w:lang w:val="en-US"/>
        </w:rPr>
        <w:instrText>This</w:instrText>
      </w:r>
      <w:r w:rsidR="006A2B13" w:rsidRPr="006A2B13">
        <w:instrText xml:space="preserve"> </w:instrText>
      </w:r>
      <w:r w:rsidR="006A2B13">
        <w:rPr>
          <w:lang w:val="en-US"/>
        </w:rPr>
        <w:instrText>study</w:instrText>
      </w:r>
      <w:r w:rsidR="006A2B13" w:rsidRPr="006A2B13">
        <w:instrText xml:space="preserve"> </w:instrText>
      </w:r>
      <w:r w:rsidR="006A2B13">
        <w:rPr>
          <w:lang w:val="en-US"/>
        </w:rPr>
        <w:instrText>was</w:instrText>
      </w:r>
      <w:r w:rsidR="006A2B13" w:rsidRPr="006A2B13">
        <w:instrText xml:space="preserve"> </w:instrText>
      </w:r>
      <w:r w:rsidR="006A2B13">
        <w:rPr>
          <w:lang w:val="en-US"/>
        </w:rPr>
        <w:instrText>designed</w:instrText>
      </w:r>
      <w:r w:rsidR="006A2B13" w:rsidRPr="006A2B13">
        <w:instrText xml:space="preserve"> </w:instrText>
      </w:r>
      <w:r w:rsidR="006A2B13">
        <w:rPr>
          <w:lang w:val="en-US"/>
        </w:rPr>
        <w:instrText>to</w:instrText>
      </w:r>
      <w:r w:rsidR="006A2B13" w:rsidRPr="006A2B13">
        <w:instrText xml:space="preserve"> </w:instrText>
      </w:r>
      <w:r w:rsidR="006A2B13">
        <w:rPr>
          <w:lang w:val="en-US"/>
        </w:rPr>
        <w:instrText>assess</w:instrText>
      </w:r>
      <w:r w:rsidR="006A2B13" w:rsidRPr="006A2B13">
        <w:instrText xml:space="preserve"> </w:instrText>
      </w:r>
      <w:r w:rsidR="006A2B13">
        <w:rPr>
          <w:lang w:val="en-US"/>
        </w:rPr>
        <w:instrText>the</w:instrText>
      </w:r>
      <w:r w:rsidR="006A2B13" w:rsidRPr="006A2B13">
        <w:instrText xml:space="preserve"> </w:instrText>
      </w:r>
      <w:r w:rsidR="006A2B13">
        <w:rPr>
          <w:lang w:val="en-US"/>
        </w:rPr>
        <w:instrText>efficacy</w:instrText>
      </w:r>
      <w:r w:rsidR="006A2B13" w:rsidRPr="006A2B13">
        <w:instrText xml:space="preserve"> </w:instrText>
      </w:r>
      <w:r w:rsidR="006A2B13">
        <w:rPr>
          <w:lang w:val="en-US"/>
        </w:rPr>
        <w:instrText>and</w:instrText>
      </w:r>
      <w:r w:rsidR="006A2B13" w:rsidRPr="006A2B13">
        <w:instrText xml:space="preserve"> </w:instrText>
      </w:r>
      <w:r w:rsidR="006A2B13">
        <w:rPr>
          <w:lang w:val="en-US"/>
        </w:rPr>
        <w:instrText>safety</w:instrText>
      </w:r>
      <w:r w:rsidR="006A2B13" w:rsidRPr="006A2B13">
        <w:instrText xml:space="preserve"> </w:instrText>
      </w:r>
      <w:r w:rsidR="006A2B13">
        <w:rPr>
          <w:lang w:val="en-US"/>
        </w:rPr>
        <w:instrText>of</w:instrText>
      </w:r>
      <w:r w:rsidR="006A2B13" w:rsidRPr="006A2B13">
        <w:instrText xml:space="preserve"> </w:instrText>
      </w:r>
      <w:r w:rsidR="006A2B13">
        <w:rPr>
          <w:lang w:val="en-US"/>
        </w:rPr>
        <w:instrText>substituting</w:instrText>
      </w:r>
      <w:r w:rsidR="006A2B13" w:rsidRPr="006A2B13">
        <w:instrText xml:space="preserve"> </w:instrText>
      </w:r>
      <w:r w:rsidR="006A2B13">
        <w:rPr>
          <w:lang w:val="en-US"/>
        </w:rPr>
        <w:instrText>cisplatin</w:instrText>
      </w:r>
      <w:r w:rsidR="006A2B13" w:rsidRPr="006A2B13">
        <w:instrText xml:space="preserve"> </w:instrText>
      </w:r>
      <w:r w:rsidR="006A2B13">
        <w:rPr>
          <w:lang w:val="en-US"/>
        </w:rPr>
        <w:instrText>with</w:instrText>
      </w:r>
      <w:r w:rsidR="006A2B13" w:rsidRPr="006A2B13">
        <w:instrText xml:space="preserve"> </w:instrText>
      </w:r>
      <w:r w:rsidR="006A2B13">
        <w:rPr>
          <w:lang w:val="en-US"/>
        </w:rPr>
        <w:instrText>oxaliplatin</w:instrText>
      </w:r>
      <w:r w:rsidR="006A2B13" w:rsidRPr="006A2B13">
        <w:instrText xml:space="preserve"> </w:instrText>
      </w:r>
      <w:r w:rsidR="006A2B13">
        <w:rPr>
          <w:lang w:val="en-US"/>
        </w:rPr>
        <w:instrText>in</w:instrText>
      </w:r>
      <w:r w:rsidR="006A2B13" w:rsidRPr="006A2B13">
        <w:instrText xml:space="preserve"> </w:instrText>
      </w:r>
      <w:r w:rsidR="006A2B13">
        <w:rPr>
          <w:lang w:val="en-US"/>
        </w:rPr>
        <w:instrText>the</w:instrText>
      </w:r>
      <w:r w:rsidR="006A2B13" w:rsidRPr="006A2B13">
        <w:instrText xml:space="preserve"> </w:instrText>
      </w:r>
      <w:r w:rsidR="006A2B13">
        <w:rPr>
          <w:lang w:val="en-US"/>
        </w:rPr>
        <w:instrText>DHAP</w:instrText>
      </w:r>
      <w:r w:rsidR="006A2B13" w:rsidRPr="006A2B13">
        <w:instrText xml:space="preserve"> (</w:instrText>
      </w:r>
      <w:r w:rsidR="006A2B13">
        <w:rPr>
          <w:lang w:val="en-US"/>
        </w:rPr>
        <w:instrText>dexamethasone</w:instrText>
      </w:r>
      <w:r w:rsidR="006A2B13" w:rsidRPr="006A2B13">
        <w:instrText xml:space="preserve">, </w:instrText>
      </w:r>
      <w:r w:rsidR="006A2B13">
        <w:rPr>
          <w:lang w:val="en-US"/>
        </w:rPr>
        <w:instrText>cytarabine</w:instrText>
      </w:r>
      <w:r w:rsidR="006A2B13" w:rsidRPr="006A2B13">
        <w:instrText xml:space="preserve"> </w:instrText>
      </w:r>
      <w:r w:rsidR="006A2B13">
        <w:rPr>
          <w:lang w:val="en-US"/>
        </w:rPr>
        <w:instrText>and</w:instrText>
      </w:r>
      <w:r w:rsidR="006A2B13" w:rsidRPr="006A2B13">
        <w:instrText xml:space="preserve"> </w:instrText>
      </w:r>
      <w:r w:rsidR="006A2B13">
        <w:rPr>
          <w:lang w:val="en-US"/>
        </w:rPr>
        <w:instrText>cisplatin</w:instrText>
      </w:r>
      <w:r w:rsidR="006A2B13" w:rsidRPr="006A2B13">
        <w:instrText xml:space="preserve">) </w:instrText>
      </w:r>
      <w:r w:rsidR="006A2B13">
        <w:rPr>
          <w:lang w:val="en-US"/>
        </w:rPr>
        <w:instrText>regimen</w:instrText>
      </w:r>
      <w:r w:rsidR="006A2B13" w:rsidRPr="006A2B13">
        <w:instrText xml:space="preserve"> </w:instrText>
      </w:r>
      <w:r w:rsidR="006A2B13">
        <w:rPr>
          <w:lang w:val="en-US"/>
        </w:rPr>
        <w:instrText>for</w:instrText>
      </w:r>
      <w:r w:rsidR="006A2B13" w:rsidRPr="006A2B13">
        <w:instrText xml:space="preserve"> </w:instrText>
      </w:r>
      <w:r w:rsidR="006A2B13">
        <w:rPr>
          <w:lang w:val="en-US"/>
        </w:rPr>
        <w:instrText>patients</w:instrText>
      </w:r>
      <w:r w:rsidR="006A2B13" w:rsidRPr="006A2B13">
        <w:instrText xml:space="preserve"> </w:instrText>
      </w:r>
      <w:r w:rsidR="006A2B13">
        <w:rPr>
          <w:lang w:val="en-US"/>
        </w:rPr>
        <w:instrText>with</w:instrText>
      </w:r>
      <w:r w:rsidR="006A2B13" w:rsidRPr="006A2B13">
        <w:instrText xml:space="preserve"> </w:instrText>
      </w:r>
      <w:r w:rsidR="006A2B13">
        <w:rPr>
          <w:lang w:val="en-US"/>
        </w:rPr>
        <w:instrText>relapsed</w:instrText>
      </w:r>
      <w:r w:rsidR="006A2B13" w:rsidRPr="006A2B13">
        <w:instrText xml:space="preserve"> </w:instrText>
      </w:r>
      <w:r w:rsidR="006A2B13">
        <w:rPr>
          <w:lang w:val="en-US"/>
        </w:rPr>
        <w:instrText>or</w:instrText>
      </w:r>
      <w:r w:rsidR="006A2B13" w:rsidRPr="006A2B13">
        <w:instrText xml:space="preserve"> </w:instrText>
      </w:r>
      <w:r w:rsidR="006A2B13">
        <w:rPr>
          <w:lang w:val="en-US"/>
        </w:rPr>
        <w:instrText>refractory</w:instrText>
      </w:r>
      <w:r w:rsidR="006A2B13" w:rsidRPr="006A2B13">
        <w:instrText xml:space="preserve"> </w:instrText>
      </w:r>
      <w:r w:rsidR="006A2B13">
        <w:rPr>
          <w:lang w:val="en-US"/>
        </w:rPr>
        <w:instrText>non</w:instrText>
      </w:r>
      <w:r w:rsidR="006A2B13" w:rsidRPr="006A2B13">
        <w:instrText>-</w:instrText>
      </w:r>
      <w:r w:rsidR="006A2B13">
        <w:rPr>
          <w:lang w:val="en-US"/>
        </w:rPr>
        <w:instrText>Hodgkin</w:instrText>
      </w:r>
      <w:r w:rsidR="006A2B13" w:rsidRPr="006A2B13">
        <w:instrText>'</w:instrText>
      </w:r>
      <w:r w:rsidR="006A2B13">
        <w:rPr>
          <w:lang w:val="en-US"/>
        </w:rPr>
        <w:instrText>s</w:instrText>
      </w:r>
      <w:r w:rsidR="006A2B13" w:rsidRPr="006A2B13">
        <w:instrText xml:space="preserve"> </w:instrText>
      </w:r>
      <w:r w:rsidR="006A2B13">
        <w:rPr>
          <w:lang w:val="en-US"/>
        </w:rPr>
        <w:instrText>lymphoma</w:instrText>
      </w:r>
      <w:r w:rsidR="006A2B13" w:rsidRPr="006A2B13">
        <w:instrText xml:space="preserve">. </w:instrText>
      </w:r>
      <w:r w:rsidR="006A2B13">
        <w:rPr>
          <w:lang w:val="en-US"/>
        </w:rPr>
        <w:instrText>Twenty</w:instrText>
      </w:r>
      <w:r w:rsidR="006A2B13" w:rsidRPr="006A2B13">
        <w:instrText>-</w:instrText>
      </w:r>
      <w:r w:rsidR="006A2B13">
        <w:rPr>
          <w:lang w:val="en-US"/>
        </w:rPr>
        <w:instrText>four</w:instrText>
      </w:r>
      <w:r w:rsidR="006A2B13" w:rsidRPr="006A2B13">
        <w:instrText xml:space="preserve"> </w:instrText>
      </w:r>
      <w:r w:rsidR="006A2B13">
        <w:rPr>
          <w:lang w:val="en-US"/>
        </w:rPr>
        <w:instrText>evaluable</w:instrText>
      </w:r>
      <w:r w:rsidR="006A2B13" w:rsidRPr="006A2B13">
        <w:instrText xml:space="preserve"> </w:instrText>
      </w:r>
      <w:r w:rsidR="006A2B13">
        <w:rPr>
          <w:lang w:val="en-US"/>
        </w:rPr>
        <w:instrText>patients</w:instrText>
      </w:r>
      <w:r w:rsidR="006A2B13" w:rsidRPr="006A2B13">
        <w:instrText xml:space="preserve"> </w:instrText>
      </w:r>
      <w:r w:rsidR="006A2B13">
        <w:rPr>
          <w:lang w:val="en-US"/>
        </w:rPr>
        <w:instrText>with</w:instrText>
      </w:r>
      <w:r w:rsidR="006A2B13" w:rsidRPr="006A2B13">
        <w:instrText xml:space="preserve"> </w:instrText>
      </w:r>
      <w:r w:rsidR="006A2B13">
        <w:rPr>
          <w:lang w:val="en-US"/>
        </w:rPr>
        <w:instrText>intermediate</w:instrText>
      </w:r>
      <w:r w:rsidR="006A2B13" w:rsidRPr="006A2B13">
        <w:instrText xml:space="preserve"> </w:instrText>
      </w:r>
      <w:r w:rsidR="006A2B13">
        <w:rPr>
          <w:lang w:val="en-US"/>
        </w:rPr>
        <w:instrText>or</w:instrText>
      </w:r>
      <w:r w:rsidR="006A2B13" w:rsidRPr="006A2B13">
        <w:instrText xml:space="preserve"> </w:instrText>
      </w:r>
      <w:r w:rsidR="006A2B13">
        <w:rPr>
          <w:lang w:val="en-US"/>
        </w:rPr>
        <w:instrText>high</w:instrText>
      </w:r>
      <w:r w:rsidR="006A2B13" w:rsidRPr="006A2B13">
        <w:instrText>-</w:instrText>
      </w:r>
      <w:r w:rsidR="006A2B13">
        <w:rPr>
          <w:lang w:val="en-US"/>
        </w:rPr>
        <w:instrText>grade</w:instrText>
      </w:r>
      <w:r w:rsidR="006A2B13" w:rsidRPr="006A2B13">
        <w:instrText xml:space="preserve"> </w:instrText>
      </w:r>
      <w:r w:rsidR="006A2B13">
        <w:rPr>
          <w:lang w:val="en-US"/>
        </w:rPr>
        <w:instrText>non</w:instrText>
      </w:r>
      <w:r w:rsidR="006A2B13" w:rsidRPr="006A2B13">
        <w:instrText>-</w:instrText>
      </w:r>
      <w:r w:rsidR="006A2B13">
        <w:rPr>
          <w:lang w:val="en-US"/>
        </w:rPr>
        <w:instrText>Hodgkin</w:instrText>
      </w:r>
      <w:r w:rsidR="006A2B13" w:rsidRPr="006A2B13">
        <w:instrText>'</w:instrText>
      </w:r>
      <w:r w:rsidR="006A2B13">
        <w:rPr>
          <w:lang w:val="en-US"/>
        </w:rPr>
        <w:instrText>s</w:instrText>
      </w:r>
      <w:r w:rsidR="006A2B13" w:rsidRPr="006A2B13">
        <w:instrText xml:space="preserve"> </w:instrText>
      </w:r>
      <w:r w:rsidR="006A2B13">
        <w:rPr>
          <w:lang w:val="en-US"/>
        </w:rPr>
        <w:instrText>lymphoma</w:instrText>
      </w:r>
      <w:r w:rsidR="006A2B13" w:rsidRPr="006A2B13">
        <w:instrText xml:space="preserve"> </w:instrText>
      </w:r>
      <w:r w:rsidR="006A2B13">
        <w:rPr>
          <w:lang w:val="en-US"/>
        </w:rPr>
        <w:instrText>were</w:instrText>
      </w:r>
      <w:r w:rsidR="006A2B13" w:rsidRPr="006A2B13">
        <w:instrText xml:space="preserve"> </w:instrText>
      </w:r>
      <w:r w:rsidR="006A2B13">
        <w:rPr>
          <w:lang w:val="en-US"/>
        </w:rPr>
        <w:instrText>treated</w:instrText>
      </w:r>
      <w:r w:rsidR="006A2B13" w:rsidRPr="006A2B13">
        <w:instrText xml:space="preserve"> </w:instrText>
      </w:r>
      <w:r w:rsidR="006A2B13">
        <w:rPr>
          <w:lang w:val="en-US"/>
        </w:rPr>
        <w:instrText>at</w:instrText>
      </w:r>
      <w:r w:rsidR="006A2B13" w:rsidRPr="006A2B13">
        <w:instrText xml:space="preserve"> 3-</w:instrText>
      </w:r>
      <w:r w:rsidR="006A2B13">
        <w:rPr>
          <w:lang w:val="en-US"/>
        </w:rPr>
        <w:instrText>weekly</w:instrText>
      </w:r>
      <w:r w:rsidR="006A2B13" w:rsidRPr="006A2B13">
        <w:instrText xml:space="preserve"> </w:instrText>
      </w:r>
      <w:r w:rsidR="006A2B13">
        <w:rPr>
          <w:lang w:val="en-US"/>
        </w:rPr>
        <w:instrText>intervals</w:instrText>
      </w:r>
      <w:r w:rsidR="006A2B13" w:rsidRPr="006A2B13">
        <w:instrText xml:space="preserve"> </w:instrText>
      </w:r>
      <w:r w:rsidR="006A2B13">
        <w:rPr>
          <w:lang w:val="en-US"/>
        </w:rPr>
        <w:instrText>with</w:instrText>
      </w:r>
      <w:r w:rsidR="006A2B13" w:rsidRPr="006A2B13">
        <w:instrText xml:space="preserve"> </w:instrText>
      </w:r>
      <w:r w:rsidR="006A2B13">
        <w:rPr>
          <w:lang w:val="en-US"/>
        </w:rPr>
        <w:instrText>oxaliplatin</w:instrText>
      </w:r>
      <w:r w:rsidR="006A2B13" w:rsidRPr="006A2B13">
        <w:instrText xml:space="preserve"> (130 </w:instrText>
      </w:r>
      <w:r w:rsidR="006A2B13">
        <w:rPr>
          <w:lang w:val="en-US"/>
        </w:rPr>
        <w:instrText>mg</w:instrText>
      </w:r>
      <w:r w:rsidR="006A2B13" w:rsidRPr="006A2B13">
        <w:instrText>/</w:instrText>
      </w:r>
      <w:r w:rsidR="006A2B13">
        <w:rPr>
          <w:lang w:val="en-US"/>
        </w:rPr>
        <w:instrText>m</w:instrText>
      </w:r>
      <w:r w:rsidR="006A2B13" w:rsidRPr="006A2B13">
        <w:instrText xml:space="preserve">2, </w:instrText>
      </w:r>
      <w:r w:rsidR="006A2B13">
        <w:rPr>
          <w:lang w:val="en-US"/>
        </w:rPr>
        <w:instrText>d</w:instrText>
      </w:r>
      <w:r w:rsidR="006A2B13" w:rsidRPr="006A2B13">
        <w:instrText xml:space="preserve"> 1), </w:instrText>
      </w:r>
      <w:r w:rsidR="006A2B13">
        <w:rPr>
          <w:lang w:val="en-US"/>
        </w:rPr>
        <w:instrText>cytarabine</w:instrText>
      </w:r>
      <w:r w:rsidR="006A2B13" w:rsidRPr="006A2B13">
        <w:instrText xml:space="preserve"> (2 </w:instrText>
      </w:r>
      <w:r w:rsidR="006A2B13">
        <w:rPr>
          <w:lang w:val="en-US"/>
        </w:rPr>
        <w:instrText>g</w:instrText>
      </w:r>
      <w:r w:rsidR="006A2B13" w:rsidRPr="006A2B13">
        <w:instrText>/</w:instrText>
      </w:r>
      <w:r w:rsidR="006A2B13">
        <w:rPr>
          <w:lang w:val="en-US"/>
        </w:rPr>
        <w:instrText>m</w:instrText>
      </w:r>
      <w:r w:rsidR="006A2B13" w:rsidRPr="006A2B13">
        <w:instrText xml:space="preserve">2 </w:instrText>
      </w:r>
      <w:r w:rsidR="006A2B13">
        <w:rPr>
          <w:lang w:val="en-US"/>
        </w:rPr>
        <w:instrText>for</w:instrText>
      </w:r>
      <w:r w:rsidR="006A2B13" w:rsidRPr="006A2B13">
        <w:instrText xml:space="preserve"> </w:instrText>
      </w:r>
      <w:r w:rsidR="006A2B13">
        <w:rPr>
          <w:lang w:val="en-US"/>
        </w:rPr>
        <w:instrText>two</w:instrText>
      </w:r>
      <w:r w:rsidR="006A2B13" w:rsidRPr="006A2B13">
        <w:instrText xml:space="preserve"> </w:instrText>
      </w:r>
      <w:r w:rsidR="006A2B13">
        <w:rPr>
          <w:lang w:val="en-US"/>
        </w:rPr>
        <w:instrText>doses</w:instrText>
      </w:r>
      <w:r w:rsidR="006A2B13" w:rsidRPr="006A2B13">
        <w:instrText xml:space="preserve">, </w:instrText>
      </w:r>
      <w:r w:rsidR="006A2B13">
        <w:rPr>
          <w:lang w:val="en-US"/>
        </w:rPr>
        <w:instrText>d</w:instrText>
      </w:r>
      <w:r w:rsidR="006A2B13" w:rsidRPr="006A2B13">
        <w:instrText xml:space="preserve"> 2) </w:instrText>
      </w:r>
      <w:r w:rsidR="006A2B13">
        <w:rPr>
          <w:lang w:val="en-US"/>
        </w:rPr>
        <w:instrText>and</w:instrText>
      </w:r>
      <w:r w:rsidR="006A2B13" w:rsidRPr="006A2B13">
        <w:instrText xml:space="preserve"> </w:instrText>
      </w:r>
      <w:r w:rsidR="006A2B13">
        <w:rPr>
          <w:lang w:val="en-US"/>
        </w:rPr>
        <w:instrText>dexamethasone</w:instrText>
      </w:r>
      <w:r w:rsidR="006A2B13" w:rsidRPr="006A2B13">
        <w:instrText xml:space="preserve"> (40 </w:instrText>
      </w:r>
      <w:r w:rsidR="006A2B13">
        <w:rPr>
          <w:lang w:val="en-US"/>
        </w:rPr>
        <w:instrText>mg</w:instrText>
      </w:r>
      <w:r w:rsidR="006A2B13" w:rsidRPr="006A2B13">
        <w:instrText xml:space="preserve">, </w:instrText>
      </w:r>
      <w:r w:rsidR="006A2B13">
        <w:rPr>
          <w:lang w:val="en-US"/>
        </w:rPr>
        <w:instrText>d</w:instrText>
      </w:r>
      <w:r w:rsidR="006A2B13" w:rsidRPr="006A2B13">
        <w:instrText xml:space="preserve"> 1-4). </w:instrText>
      </w:r>
      <w:r w:rsidR="006A2B13">
        <w:rPr>
          <w:lang w:val="en-US"/>
        </w:rPr>
        <w:instrText>The</w:instrText>
      </w:r>
      <w:r w:rsidR="006A2B13" w:rsidRPr="006A2B13">
        <w:instrText xml:space="preserve"> </w:instrText>
      </w:r>
      <w:r w:rsidR="006A2B13">
        <w:rPr>
          <w:lang w:val="en-US"/>
        </w:rPr>
        <w:instrText>median</w:instrText>
      </w:r>
      <w:r w:rsidR="006A2B13" w:rsidRPr="006A2B13">
        <w:instrText xml:space="preserve"> </w:instrText>
      </w:r>
      <w:r w:rsidR="006A2B13">
        <w:rPr>
          <w:lang w:val="en-US"/>
        </w:rPr>
        <w:instrText>age</w:instrText>
      </w:r>
      <w:r w:rsidR="006A2B13" w:rsidRPr="006A2B13">
        <w:instrText xml:space="preserve"> </w:instrText>
      </w:r>
      <w:r w:rsidR="006A2B13">
        <w:rPr>
          <w:lang w:val="en-US"/>
        </w:rPr>
        <w:instrText>of</w:instrText>
      </w:r>
      <w:r w:rsidR="006A2B13" w:rsidRPr="006A2B13">
        <w:instrText xml:space="preserve"> </w:instrText>
      </w:r>
      <w:r w:rsidR="006A2B13">
        <w:rPr>
          <w:lang w:val="en-US"/>
        </w:rPr>
        <w:instrText>the</w:instrText>
      </w:r>
      <w:r w:rsidR="006A2B13" w:rsidRPr="006A2B13">
        <w:instrText xml:space="preserve"> </w:instrText>
      </w:r>
      <w:r w:rsidR="006A2B13">
        <w:rPr>
          <w:lang w:val="en-US"/>
        </w:rPr>
        <w:instrText>patients</w:instrText>
      </w:r>
      <w:r w:rsidR="006A2B13" w:rsidRPr="006A2B13">
        <w:instrText xml:space="preserve"> </w:instrText>
      </w:r>
      <w:r w:rsidR="006A2B13">
        <w:rPr>
          <w:lang w:val="en-US"/>
        </w:rPr>
        <w:instrText>was</w:instrText>
      </w:r>
      <w:r w:rsidR="006A2B13" w:rsidRPr="006A2B13">
        <w:instrText xml:space="preserve"> 58 (</w:instrText>
      </w:r>
      <w:r w:rsidR="006A2B13">
        <w:rPr>
          <w:lang w:val="en-US"/>
        </w:rPr>
        <w:instrText>range</w:instrText>
      </w:r>
      <w:r w:rsidR="006A2B13" w:rsidRPr="006A2B13">
        <w:instrText xml:space="preserve"> 18-70). </w:instrText>
      </w:r>
      <w:r w:rsidR="006A2B13">
        <w:rPr>
          <w:lang w:val="en-US"/>
        </w:rPr>
        <w:instrText>Histological</w:instrText>
      </w:r>
      <w:r w:rsidR="006A2B13" w:rsidRPr="006A2B13">
        <w:instrText xml:space="preserve"> </w:instrText>
      </w:r>
      <w:r w:rsidR="006A2B13">
        <w:rPr>
          <w:lang w:val="en-US"/>
        </w:rPr>
        <w:instrText>subtypes</w:instrText>
      </w:r>
      <w:r w:rsidR="006A2B13" w:rsidRPr="006A2B13">
        <w:instrText xml:space="preserve"> </w:instrText>
      </w:r>
      <w:r w:rsidR="006A2B13">
        <w:rPr>
          <w:lang w:val="en-US"/>
        </w:rPr>
        <w:instrText>were</w:instrText>
      </w:r>
      <w:r w:rsidR="006A2B13" w:rsidRPr="006A2B13">
        <w:instrText xml:space="preserve"> </w:instrText>
      </w:r>
      <w:r w:rsidR="006A2B13">
        <w:rPr>
          <w:lang w:val="en-US"/>
        </w:rPr>
        <w:instrText>diffuse</w:instrText>
      </w:r>
      <w:r w:rsidR="006A2B13" w:rsidRPr="006A2B13">
        <w:instrText xml:space="preserve"> </w:instrText>
      </w:r>
      <w:r w:rsidR="006A2B13">
        <w:rPr>
          <w:lang w:val="en-US"/>
        </w:rPr>
        <w:instrText>large</w:instrText>
      </w:r>
      <w:r w:rsidR="006A2B13" w:rsidRPr="006A2B13">
        <w:instrText xml:space="preserve"> </w:instrText>
      </w:r>
      <w:r w:rsidR="006A2B13">
        <w:rPr>
          <w:lang w:val="en-US"/>
        </w:rPr>
        <w:instrText>B</w:instrText>
      </w:r>
      <w:r w:rsidR="006A2B13" w:rsidRPr="006A2B13">
        <w:instrText xml:space="preserve"> </w:instrText>
      </w:r>
      <w:r w:rsidR="006A2B13">
        <w:rPr>
          <w:lang w:val="en-US"/>
        </w:rPr>
        <w:instrText>cell</w:instrText>
      </w:r>
      <w:r w:rsidR="006A2B13" w:rsidRPr="006A2B13">
        <w:instrText xml:space="preserve">, 20; </w:instrText>
      </w:r>
      <w:r w:rsidR="006A2B13">
        <w:rPr>
          <w:lang w:val="en-US"/>
        </w:rPr>
        <w:instrText>mantle</w:instrText>
      </w:r>
      <w:r w:rsidR="006A2B13" w:rsidRPr="006A2B13">
        <w:instrText xml:space="preserve"> </w:instrText>
      </w:r>
      <w:r w:rsidR="006A2B13">
        <w:rPr>
          <w:lang w:val="en-US"/>
        </w:rPr>
        <w:instrText>cell</w:instrText>
      </w:r>
      <w:r w:rsidR="006A2B13" w:rsidRPr="006A2B13">
        <w:instrText xml:space="preserve">, </w:instrText>
      </w:r>
      <w:r w:rsidR="006A2B13">
        <w:rPr>
          <w:lang w:val="en-US"/>
        </w:rPr>
        <w:instrText>two</w:instrText>
      </w:r>
      <w:r w:rsidR="006A2B13" w:rsidRPr="006A2B13">
        <w:instrText xml:space="preserve">; </w:instrText>
      </w:r>
      <w:r w:rsidR="006A2B13">
        <w:rPr>
          <w:lang w:val="en-US"/>
        </w:rPr>
        <w:instrText>anaplastic</w:instrText>
      </w:r>
      <w:r w:rsidR="006A2B13" w:rsidRPr="006A2B13">
        <w:instrText xml:space="preserve"> </w:instrText>
      </w:r>
      <w:r w:rsidR="006A2B13">
        <w:rPr>
          <w:lang w:val="en-US"/>
        </w:rPr>
        <w:instrText>large</w:instrText>
      </w:r>
      <w:r w:rsidR="006A2B13" w:rsidRPr="006A2B13">
        <w:instrText xml:space="preserve"> </w:instrText>
      </w:r>
      <w:r w:rsidR="006A2B13">
        <w:rPr>
          <w:lang w:val="en-US"/>
        </w:rPr>
        <w:instrText>cell</w:instrText>
      </w:r>
      <w:r w:rsidR="006A2B13" w:rsidRPr="006A2B13">
        <w:instrText xml:space="preserve">, </w:instrText>
      </w:r>
      <w:r w:rsidR="006A2B13">
        <w:rPr>
          <w:lang w:val="en-US"/>
        </w:rPr>
        <w:instrText>one</w:instrText>
      </w:r>
      <w:r w:rsidR="006A2B13" w:rsidRPr="006A2B13">
        <w:instrText xml:space="preserve">; </w:instrText>
      </w:r>
      <w:r w:rsidR="006A2B13">
        <w:rPr>
          <w:lang w:val="en-US"/>
        </w:rPr>
        <w:instrText>and</w:instrText>
      </w:r>
      <w:r w:rsidR="006A2B13" w:rsidRPr="006A2B13">
        <w:instrText xml:space="preserve"> </w:instrText>
      </w:r>
      <w:r w:rsidR="006A2B13">
        <w:rPr>
          <w:lang w:val="en-US"/>
        </w:rPr>
        <w:instrText>peripheral</w:instrText>
      </w:r>
      <w:r w:rsidR="006A2B13" w:rsidRPr="006A2B13">
        <w:instrText xml:space="preserve"> </w:instrText>
      </w:r>
      <w:r w:rsidR="006A2B13">
        <w:rPr>
          <w:lang w:val="en-US"/>
        </w:rPr>
        <w:instrText>T</w:instrText>
      </w:r>
      <w:r w:rsidR="006A2B13" w:rsidRPr="006A2B13">
        <w:instrText xml:space="preserve"> </w:instrText>
      </w:r>
      <w:r w:rsidR="006A2B13">
        <w:rPr>
          <w:lang w:val="en-US"/>
        </w:rPr>
        <w:instrText>cell</w:instrText>
      </w:r>
      <w:r w:rsidR="006A2B13" w:rsidRPr="006A2B13">
        <w:instrText xml:space="preserve">, </w:instrText>
      </w:r>
      <w:r w:rsidR="006A2B13">
        <w:rPr>
          <w:lang w:val="en-US"/>
        </w:rPr>
        <w:instrText>one</w:instrText>
      </w:r>
      <w:r w:rsidR="006A2B13" w:rsidRPr="006A2B13">
        <w:instrText xml:space="preserve">. </w:instrText>
      </w:r>
      <w:r w:rsidR="006A2B13">
        <w:rPr>
          <w:lang w:val="en-US"/>
        </w:rPr>
        <w:instrText>The</w:instrText>
      </w:r>
      <w:r w:rsidR="006A2B13" w:rsidRPr="006A2B13">
        <w:instrText xml:space="preserve"> </w:instrText>
      </w:r>
      <w:r w:rsidR="006A2B13">
        <w:rPr>
          <w:lang w:val="en-US"/>
        </w:rPr>
        <w:instrText>overall</w:instrText>
      </w:r>
      <w:r w:rsidR="006A2B13" w:rsidRPr="006A2B13">
        <w:instrText xml:space="preserve"> </w:instrText>
      </w:r>
      <w:r w:rsidR="006A2B13">
        <w:rPr>
          <w:lang w:val="en-US"/>
        </w:rPr>
        <w:instrText>objective</w:instrText>
      </w:r>
      <w:r w:rsidR="006A2B13" w:rsidRPr="006A2B13">
        <w:instrText xml:space="preserve"> </w:instrText>
      </w:r>
      <w:r w:rsidR="006A2B13">
        <w:rPr>
          <w:lang w:val="en-US"/>
        </w:rPr>
        <w:instrText>response</w:instrText>
      </w:r>
      <w:r w:rsidR="006A2B13" w:rsidRPr="006A2B13">
        <w:instrText xml:space="preserve"> </w:instrText>
      </w:r>
      <w:r w:rsidR="006A2B13">
        <w:rPr>
          <w:lang w:val="en-US"/>
        </w:rPr>
        <w:instrText>rate</w:instrText>
      </w:r>
      <w:r w:rsidR="006A2B13" w:rsidRPr="006A2B13">
        <w:instrText xml:space="preserve"> (</w:instrText>
      </w:r>
      <w:r w:rsidR="006A2B13">
        <w:rPr>
          <w:lang w:val="en-US"/>
        </w:rPr>
        <w:instrText>RR</w:instrText>
      </w:r>
      <w:r w:rsidR="006A2B13" w:rsidRPr="006A2B13">
        <w:instrText xml:space="preserve">) </w:instrText>
      </w:r>
      <w:r w:rsidR="006A2B13">
        <w:rPr>
          <w:lang w:val="en-US"/>
        </w:rPr>
        <w:instrText>was</w:instrText>
      </w:r>
      <w:r w:rsidR="006A2B13" w:rsidRPr="006A2B13">
        <w:instrText xml:space="preserve"> 50% [95% </w:instrText>
      </w:r>
      <w:r w:rsidR="006A2B13">
        <w:rPr>
          <w:lang w:val="en-US"/>
        </w:rPr>
        <w:instrText>confidence</w:instrText>
      </w:r>
      <w:r w:rsidR="006A2B13" w:rsidRPr="006A2B13">
        <w:instrText xml:space="preserve"> </w:instrText>
      </w:r>
      <w:r w:rsidR="006A2B13">
        <w:rPr>
          <w:lang w:val="en-US"/>
        </w:rPr>
        <w:instrText>interval</w:instrText>
      </w:r>
      <w:r w:rsidR="006A2B13" w:rsidRPr="006A2B13">
        <w:instrText xml:space="preserve"> (</w:instrText>
      </w:r>
      <w:r w:rsidR="006A2B13">
        <w:rPr>
          <w:lang w:val="en-US"/>
        </w:rPr>
        <w:instrText>CI</w:instrText>
      </w:r>
      <w:r w:rsidR="006A2B13" w:rsidRPr="006A2B13">
        <w:instrText xml:space="preserve">) = 29-71%] </w:instrText>
      </w:r>
      <w:r w:rsidR="006A2B13">
        <w:rPr>
          <w:lang w:val="en-US"/>
        </w:rPr>
        <w:instrText>including</w:instrText>
      </w:r>
      <w:r w:rsidR="006A2B13" w:rsidRPr="006A2B13">
        <w:instrText xml:space="preserve"> </w:instrText>
      </w:r>
      <w:r w:rsidR="006A2B13">
        <w:rPr>
          <w:lang w:val="en-US"/>
        </w:rPr>
        <w:instrText>four</w:instrText>
      </w:r>
      <w:r w:rsidR="006A2B13" w:rsidRPr="006A2B13">
        <w:instrText xml:space="preserve"> </w:instrText>
      </w:r>
      <w:r w:rsidR="006A2B13">
        <w:rPr>
          <w:lang w:val="en-US"/>
        </w:rPr>
        <w:instrText>complete</w:instrText>
      </w:r>
      <w:r w:rsidR="006A2B13" w:rsidRPr="006A2B13">
        <w:instrText xml:space="preserve"> </w:instrText>
      </w:r>
      <w:r w:rsidR="006A2B13">
        <w:rPr>
          <w:lang w:val="en-US"/>
        </w:rPr>
        <w:instrText>responses</w:instrText>
      </w:r>
      <w:r w:rsidR="006A2B13" w:rsidRPr="006A2B13">
        <w:instrText xml:space="preserve"> </w:instrText>
      </w:r>
      <w:r w:rsidR="006A2B13">
        <w:rPr>
          <w:lang w:val="en-US"/>
        </w:rPr>
        <w:instrText>and</w:instrText>
      </w:r>
      <w:r w:rsidR="006A2B13" w:rsidRPr="006A2B13">
        <w:instrText xml:space="preserve"> </w:instrText>
      </w:r>
      <w:r w:rsidR="006A2B13">
        <w:rPr>
          <w:lang w:val="en-US"/>
        </w:rPr>
        <w:instrText>eight</w:instrText>
      </w:r>
      <w:r w:rsidR="006A2B13" w:rsidRPr="006A2B13">
        <w:instrText xml:space="preserve"> </w:instrText>
      </w:r>
      <w:r w:rsidR="006A2B13">
        <w:rPr>
          <w:lang w:val="en-US"/>
        </w:rPr>
        <w:instrText>partial</w:instrText>
      </w:r>
      <w:r w:rsidR="006A2B13" w:rsidRPr="006A2B13">
        <w:instrText xml:space="preserve"> </w:instrText>
      </w:r>
      <w:r w:rsidR="006A2B13">
        <w:rPr>
          <w:lang w:val="en-US"/>
        </w:rPr>
        <w:instrText>responses</w:instrText>
      </w:r>
      <w:r w:rsidR="006A2B13" w:rsidRPr="006A2B13">
        <w:instrText xml:space="preserve">. </w:instrText>
      </w:r>
      <w:r w:rsidR="006A2B13">
        <w:rPr>
          <w:lang w:val="en-US"/>
        </w:rPr>
        <w:instrText>RR</w:instrText>
      </w:r>
      <w:r w:rsidR="006A2B13" w:rsidRPr="006A2B13">
        <w:instrText xml:space="preserve"> </w:instrText>
      </w:r>
      <w:r w:rsidR="006A2B13">
        <w:rPr>
          <w:lang w:val="en-US"/>
        </w:rPr>
        <w:instrText>for</w:instrText>
      </w:r>
      <w:r w:rsidR="006A2B13" w:rsidRPr="006A2B13">
        <w:instrText xml:space="preserve"> </w:instrText>
      </w:r>
      <w:r w:rsidR="006A2B13">
        <w:rPr>
          <w:lang w:val="en-US"/>
        </w:rPr>
        <w:instrText>those</w:instrText>
      </w:r>
      <w:r w:rsidR="006A2B13" w:rsidRPr="006A2B13">
        <w:instrText xml:space="preserve"> </w:instrText>
      </w:r>
      <w:r w:rsidR="006A2B13">
        <w:rPr>
          <w:lang w:val="en-US"/>
        </w:rPr>
        <w:instrText>patients</w:instrText>
      </w:r>
      <w:r w:rsidR="006A2B13" w:rsidRPr="006A2B13">
        <w:instrText xml:space="preserve"> </w:instrText>
      </w:r>
      <w:r w:rsidR="006A2B13">
        <w:rPr>
          <w:lang w:val="en-US"/>
        </w:rPr>
        <w:instrText>treated</w:instrText>
      </w:r>
      <w:r w:rsidR="006A2B13" w:rsidRPr="006A2B13">
        <w:instrText xml:space="preserve"> </w:instrText>
      </w:r>
      <w:r w:rsidR="006A2B13">
        <w:rPr>
          <w:lang w:val="en-US"/>
        </w:rPr>
        <w:instrText>at</w:instrText>
      </w:r>
      <w:r w:rsidR="006A2B13" w:rsidRPr="006A2B13">
        <w:instrText xml:space="preserve"> </w:instrText>
      </w:r>
      <w:r w:rsidR="006A2B13">
        <w:rPr>
          <w:lang w:val="en-US"/>
        </w:rPr>
        <w:instrText>first</w:instrText>
      </w:r>
      <w:r w:rsidR="006A2B13" w:rsidRPr="006A2B13">
        <w:instrText xml:space="preserve"> </w:instrText>
      </w:r>
      <w:r w:rsidR="006A2B13">
        <w:rPr>
          <w:lang w:val="en-US"/>
        </w:rPr>
        <w:instrText>relapse</w:instrText>
      </w:r>
      <w:r w:rsidR="006A2B13" w:rsidRPr="006A2B13">
        <w:instrText xml:space="preserve"> </w:instrText>
      </w:r>
      <w:r w:rsidR="006A2B13">
        <w:rPr>
          <w:lang w:val="en-US"/>
        </w:rPr>
        <w:instrText>was</w:instrText>
      </w:r>
      <w:r w:rsidR="006A2B13" w:rsidRPr="006A2B13">
        <w:instrText xml:space="preserve"> </w:instrText>
      </w:r>
      <w:r w:rsidR="006A2B13">
        <w:rPr>
          <w:lang w:val="en-US"/>
        </w:rPr>
        <w:instrText>higher</w:instrText>
      </w:r>
      <w:r w:rsidR="006A2B13" w:rsidRPr="006A2B13">
        <w:instrText xml:space="preserve"> </w:instrText>
      </w:r>
      <w:r w:rsidR="006A2B13">
        <w:rPr>
          <w:lang w:val="en-US"/>
        </w:rPr>
        <w:instrText>than</w:instrText>
      </w:r>
      <w:r w:rsidR="006A2B13" w:rsidRPr="006A2B13">
        <w:instrText xml:space="preserve"> </w:instrText>
      </w:r>
      <w:r w:rsidR="006A2B13">
        <w:rPr>
          <w:lang w:val="en-US"/>
        </w:rPr>
        <w:instrText>those</w:instrText>
      </w:r>
      <w:r w:rsidR="006A2B13" w:rsidRPr="006A2B13">
        <w:instrText xml:space="preserve"> </w:instrText>
      </w:r>
      <w:r w:rsidR="006A2B13">
        <w:rPr>
          <w:lang w:val="en-US"/>
        </w:rPr>
        <w:instrText>treated</w:instrText>
      </w:r>
      <w:r w:rsidR="006A2B13" w:rsidRPr="006A2B13">
        <w:instrText xml:space="preserve"> </w:instrText>
      </w:r>
      <w:r w:rsidR="006A2B13">
        <w:rPr>
          <w:lang w:val="en-US"/>
        </w:rPr>
        <w:instrText>at</w:instrText>
      </w:r>
      <w:r w:rsidR="006A2B13" w:rsidRPr="006A2B13">
        <w:instrText xml:space="preserve"> </w:instrText>
      </w:r>
      <w:r w:rsidR="006A2B13">
        <w:rPr>
          <w:lang w:val="en-US"/>
        </w:rPr>
        <w:instrText>second</w:instrText>
      </w:r>
      <w:r w:rsidR="006A2B13" w:rsidRPr="006A2B13">
        <w:instrText xml:space="preserve"> </w:instrText>
      </w:r>
      <w:r w:rsidR="006A2B13">
        <w:rPr>
          <w:lang w:val="en-US"/>
        </w:rPr>
        <w:instrText>and</w:instrText>
      </w:r>
      <w:r w:rsidR="006A2B13" w:rsidRPr="006A2B13">
        <w:instrText xml:space="preserve"> </w:instrText>
      </w:r>
      <w:r w:rsidR="006A2B13">
        <w:rPr>
          <w:lang w:val="en-US"/>
        </w:rPr>
        <w:instrText>subsequent</w:instrText>
      </w:r>
      <w:r w:rsidR="006A2B13" w:rsidRPr="006A2B13">
        <w:instrText xml:space="preserve"> </w:instrText>
      </w:r>
      <w:r w:rsidR="006A2B13">
        <w:rPr>
          <w:lang w:val="en-US"/>
        </w:rPr>
        <w:instrText>relapse</w:instrText>
      </w:r>
      <w:r w:rsidR="006A2B13" w:rsidRPr="006A2B13">
        <w:instrText xml:space="preserve"> (77% </w:instrText>
      </w:r>
      <w:r w:rsidR="006A2B13">
        <w:rPr>
          <w:lang w:val="en-US"/>
        </w:rPr>
        <w:instrText>versus</w:instrText>
      </w:r>
      <w:r w:rsidR="006A2B13" w:rsidRPr="006A2B13">
        <w:instrText xml:space="preserve"> 29%). </w:instrText>
      </w:r>
      <w:r w:rsidR="006A2B13">
        <w:rPr>
          <w:lang w:val="en-US"/>
        </w:rPr>
        <w:instrText>Grade</w:instrText>
      </w:r>
      <w:r w:rsidR="006A2B13" w:rsidRPr="006A2B13">
        <w:instrText xml:space="preserve"> 3 </w:instrText>
      </w:r>
      <w:r w:rsidR="006A2B13">
        <w:rPr>
          <w:lang w:val="en-US"/>
        </w:rPr>
        <w:instrText>and</w:instrText>
      </w:r>
      <w:r w:rsidR="006A2B13" w:rsidRPr="006A2B13">
        <w:instrText xml:space="preserve"> 4 </w:instrText>
      </w:r>
      <w:r w:rsidR="006A2B13">
        <w:rPr>
          <w:lang w:val="en-US"/>
        </w:rPr>
        <w:instrText>toxicity</w:instrText>
      </w:r>
      <w:r w:rsidR="006A2B13" w:rsidRPr="006A2B13">
        <w:instrText xml:space="preserve"> </w:instrText>
      </w:r>
      <w:r w:rsidR="006A2B13">
        <w:rPr>
          <w:lang w:val="en-US"/>
        </w:rPr>
        <w:instrText>was</w:instrText>
      </w:r>
      <w:r w:rsidR="006A2B13" w:rsidRPr="006A2B13">
        <w:instrText xml:space="preserve"> </w:instrText>
      </w:r>
      <w:r w:rsidR="006A2B13">
        <w:rPr>
          <w:lang w:val="en-US"/>
        </w:rPr>
        <w:instrText>mainly</w:instrText>
      </w:r>
      <w:r w:rsidR="006A2B13" w:rsidRPr="006A2B13">
        <w:instrText xml:space="preserve"> </w:instrText>
      </w:r>
      <w:r w:rsidR="006A2B13">
        <w:rPr>
          <w:lang w:val="en-US"/>
        </w:rPr>
        <w:instrText>haematological</w:instrText>
      </w:r>
      <w:r w:rsidR="006A2B13" w:rsidRPr="006A2B13">
        <w:instrText xml:space="preserve">: </w:instrText>
      </w:r>
      <w:r w:rsidR="006A2B13">
        <w:rPr>
          <w:lang w:val="en-US"/>
        </w:rPr>
        <w:instrText>anaemia</w:instrText>
      </w:r>
      <w:r w:rsidR="006A2B13" w:rsidRPr="006A2B13">
        <w:instrText xml:space="preserve"> 17%, </w:instrText>
      </w:r>
      <w:r w:rsidR="006A2B13">
        <w:rPr>
          <w:lang w:val="en-US"/>
        </w:rPr>
        <w:instrText>neutropenia</w:instrText>
      </w:r>
      <w:r w:rsidR="006A2B13" w:rsidRPr="006A2B13">
        <w:instrText xml:space="preserve"> 75% </w:instrText>
      </w:r>
      <w:r w:rsidR="006A2B13">
        <w:rPr>
          <w:lang w:val="en-US"/>
        </w:rPr>
        <w:instrText>and</w:instrText>
      </w:r>
      <w:r w:rsidR="006A2B13" w:rsidRPr="006A2B13">
        <w:instrText xml:space="preserve"> </w:instrText>
      </w:r>
      <w:r w:rsidR="006A2B13">
        <w:rPr>
          <w:lang w:val="en-US"/>
        </w:rPr>
        <w:instrText>thrombocytopenia</w:instrText>
      </w:r>
      <w:r w:rsidR="006A2B13" w:rsidRPr="006A2B13">
        <w:instrText xml:space="preserve"> 75%. </w:instrText>
      </w:r>
      <w:r w:rsidR="006A2B13">
        <w:rPr>
          <w:lang w:val="en-US"/>
        </w:rPr>
        <w:instrText>No</w:instrText>
      </w:r>
      <w:r w:rsidR="006A2B13" w:rsidRPr="006A2B13">
        <w:instrText xml:space="preserve"> </w:instrText>
      </w:r>
      <w:r w:rsidR="006A2B13">
        <w:rPr>
          <w:lang w:val="en-US"/>
        </w:rPr>
        <w:instrText>grade</w:instrText>
      </w:r>
      <w:r w:rsidR="006A2B13" w:rsidRPr="006A2B13">
        <w:instrText xml:space="preserve"> 4 </w:instrText>
      </w:r>
      <w:r w:rsidR="006A2B13">
        <w:rPr>
          <w:lang w:val="en-US"/>
        </w:rPr>
        <w:instrText>non</w:instrText>
      </w:r>
      <w:r w:rsidR="006A2B13" w:rsidRPr="006A2B13">
        <w:instrText>-</w:instrText>
      </w:r>
      <w:r w:rsidR="006A2B13">
        <w:rPr>
          <w:lang w:val="en-US"/>
        </w:rPr>
        <w:instrText>haematological</w:instrText>
      </w:r>
      <w:r w:rsidR="006A2B13" w:rsidRPr="006A2B13">
        <w:instrText xml:space="preserve"> </w:instrText>
      </w:r>
      <w:r w:rsidR="006A2B13">
        <w:rPr>
          <w:lang w:val="en-US"/>
        </w:rPr>
        <w:instrText>toxicity</w:instrText>
      </w:r>
      <w:r w:rsidR="006A2B13" w:rsidRPr="006A2B13">
        <w:instrText xml:space="preserve"> </w:instrText>
      </w:r>
      <w:r w:rsidR="006A2B13">
        <w:rPr>
          <w:lang w:val="en-US"/>
        </w:rPr>
        <w:instrText>was</w:instrText>
      </w:r>
      <w:r w:rsidR="006A2B13" w:rsidRPr="006A2B13">
        <w:instrText xml:space="preserve"> </w:instrText>
      </w:r>
      <w:r w:rsidR="006A2B13">
        <w:rPr>
          <w:lang w:val="en-US"/>
        </w:rPr>
        <w:instrText>reported</w:instrText>
      </w:r>
      <w:r w:rsidR="006A2B13" w:rsidRPr="006A2B13">
        <w:instrText xml:space="preserve">. </w:instrText>
      </w:r>
      <w:r w:rsidR="006A2B13">
        <w:rPr>
          <w:lang w:val="en-US"/>
        </w:rPr>
        <w:instrText>No</w:instrText>
      </w:r>
      <w:r w:rsidR="006A2B13" w:rsidRPr="006A2B13">
        <w:instrText xml:space="preserve"> </w:instrText>
      </w:r>
      <w:r w:rsidR="006A2B13">
        <w:rPr>
          <w:lang w:val="en-US"/>
        </w:rPr>
        <w:instrText>significant</w:instrText>
      </w:r>
      <w:r w:rsidR="006A2B13" w:rsidRPr="006A2B13">
        <w:instrText xml:space="preserve"> </w:instrText>
      </w:r>
      <w:r w:rsidR="006A2B13">
        <w:rPr>
          <w:lang w:val="en-US"/>
        </w:rPr>
        <w:instrText>renal</w:instrText>
      </w:r>
      <w:r w:rsidR="006A2B13" w:rsidRPr="006A2B13">
        <w:instrText xml:space="preserve"> </w:instrText>
      </w:r>
      <w:r w:rsidR="006A2B13">
        <w:rPr>
          <w:lang w:val="en-US"/>
        </w:rPr>
        <w:instrText>and</w:instrText>
      </w:r>
      <w:r w:rsidR="006A2B13" w:rsidRPr="006A2B13">
        <w:instrText xml:space="preserve"> </w:instrText>
      </w:r>
      <w:r w:rsidR="006A2B13">
        <w:rPr>
          <w:lang w:val="en-US"/>
        </w:rPr>
        <w:instrText>neurotoxicity</w:instrText>
      </w:r>
      <w:r w:rsidR="006A2B13" w:rsidRPr="006A2B13">
        <w:instrText xml:space="preserve"> </w:instrText>
      </w:r>
      <w:r w:rsidR="006A2B13">
        <w:rPr>
          <w:lang w:val="en-US"/>
        </w:rPr>
        <w:instrText>was</w:instrText>
      </w:r>
      <w:r w:rsidR="006A2B13" w:rsidRPr="006A2B13">
        <w:instrText xml:space="preserve"> </w:instrText>
      </w:r>
      <w:r w:rsidR="006A2B13">
        <w:rPr>
          <w:lang w:val="en-US"/>
        </w:rPr>
        <w:instrText>demonstrated</w:instrText>
      </w:r>
      <w:r w:rsidR="006A2B13" w:rsidRPr="006A2B13">
        <w:instrText xml:space="preserve">. </w:instrText>
      </w:r>
      <w:r w:rsidR="006A2B13">
        <w:rPr>
          <w:lang w:val="en-US"/>
        </w:rPr>
        <w:instrText>Median</w:instrText>
      </w:r>
      <w:r w:rsidR="006A2B13" w:rsidRPr="006A2B13">
        <w:instrText xml:space="preserve"> </w:instrText>
      </w:r>
      <w:r w:rsidR="006A2B13">
        <w:rPr>
          <w:lang w:val="en-US"/>
        </w:rPr>
        <w:instrText>survival</w:instrText>
      </w:r>
      <w:r w:rsidR="006A2B13" w:rsidRPr="006A2B13">
        <w:instrText xml:space="preserve"> </w:instrText>
      </w:r>
      <w:r w:rsidR="006A2B13">
        <w:rPr>
          <w:lang w:val="en-US"/>
        </w:rPr>
        <w:instrText>was</w:instrText>
      </w:r>
      <w:r w:rsidR="006A2B13" w:rsidRPr="006A2B13">
        <w:instrText xml:space="preserve"> 10.6 </w:instrText>
      </w:r>
      <w:r w:rsidR="006A2B13">
        <w:rPr>
          <w:lang w:val="en-US"/>
        </w:rPr>
        <w:instrText>months</w:instrText>
      </w:r>
      <w:r w:rsidR="006A2B13" w:rsidRPr="006A2B13">
        <w:instrText xml:space="preserve">. </w:instrText>
      </w:r>
      <w:r w:rsidR="006A2B13">
        <w:rPr>
          <w:lang w:val="en-US"/>
        </w:rPr>
        <w:instrText>Probabilities</w:instrText>
      </w:r>
      <w:r w:rsidR="006A2B13" w:rsidRPr="006A2B13">
        <w:instrText xml:space="preserve"> </w:instrText>
      </w:r>
      <w:r w:rsidR="006A2B13">
        <w:rPr>
          <w:lang w:val="en-US"/>
        </w:rPr>
        <w:instrText>of</w:instrText>
      </w:r>
      <w:r w:rsidR="006A2B13" w:rsidRPr="006A2B13">
        <w:instrText xml:space="preserve"> 1-</w:instrText>
      </w:r>
      <w:r w:rsidR="006A2B13">
        <w:rPr>
          <w:lang w:val="en-US"/>
        </w:rPr>
        <w:instrText>year</w:instrText>
      </w:r>
      <w:r w:rsidR="006A2B13" w:rsidRPr="006A2B13">
        <w:instrText xml:space="preserve"> </w:instrText>
      </w:r>
      <w:r w:rsidR="006A2B13">
        <w:rPr>
          <w:lang w:val="en-US"/>
        </w:rPr>
        <w:instrText>progression</w:instrText>
      </w:r>
      <w:r w:rsidR="006A2B13" w:rsidRPr="006A2B13">
        <w:instrText>-</w:instrText>
      </w:r>
      <w:r w:rsidR="006A2B13">
        <w:rPr>
          <w:lang w:val="en-US"/>
        </w:rPr>
        <w:instrText>free</w:instrText>
      </w:r>
      <w:r w:rsidR="006A2B13" w:rsidRPr="006A2B13">
        <w:instrText xml:space="preserve"> </w:instrText>
      </w:r>
      <w:r w:rsidR="006A2B13">
        <w:rPr>
          <w:lang w:val="en-US"/>
        </w:rPr>
        <w:instrText>survival</w:instrText>
      </w:r>
      <w:r w:rsidR="006A2B13" w:rsidRPr="006A2B13">
        <w:instrText xml:space="preserve"> </w:instrText>
      </w:r>
      <w:r w:rsidR="006A2B13">
        <w:rPr>
          <w:lang w:val="en-US"/>
        </w:rPr>
        <w:instrText>and</w:instrText>
      </w:r>
      <w:r w:rsidR="006A2B13" w:rsidRPr="006A2B13">
        <w:instrText xml:space="preserve"> </w:instrText>
      </w:r>
      <w:r w:rsidR="006A2B13">
        <w:rPr>
          <w:lang w:val="en-US"/>
        </w:rPr>
        <w:instrText>overall</w:instrText>
      </w:r>
      <w:r w:rsidR="006A2B13" w:rsidRPr="006A2B13">
        <w:instrText xml:space="preserve"> </w:instrText>
      </w:r>
      <w:r w:rsidR="006A2B13">
        <w:rPr>
          <w:lang w:val="en-US"/>
        </w:rPr>
        <w:instrText>survival</w:instrText>
      </w:r>
      <w:r w:rsidR="006A2B13" w:rsidRPr="006A2B13">
        <w:instrText xml:space="preserve"> </w:instrText>
      </w:r>
      <w:r w:rsidR="006A2B13">
        <w:rPr>
          <w:lang w:val="en-US"/>
        </w:rPr>
        <w:instrText>were</w:instrText>
      </w:r>
      <w:r w:rsidR="006A2B13" w:rsidRPr="006A2B13">
        <w:instrText xml:space="preserve"> 47% (95% </w:instrText>
      </w:r>
      <w:r w:rsidR="006A2B13">
        <w:rPr>
          <w:lang w:val="en-US"/>
        </w:rPr>
        <w:instrText>CI</w:instrText>
      </w:r>
      <w:r w:rsidR="006A2B13" w:rsidRPr="006A2B13">
        <w:instrText xml:space="preserve"> = 26-66%)</w:instrText>
      </w:r>
      <w:r w:rsidR="006A2B13">
        <w:rPr>
          <w:lang w:val="en-US"/>
        </w:rPr>
        <w:instrText xml:space="preserve"> and 50% (95% CI = 23-72%) respectively. In conclusion, dexamethasone, cytarabine and oxaliplatin (DHAX) is a novel combination in salvage therapy for relapsed or refractory non-Hodgkin's lymphoma. It has clinically significant activity with an acceptable toxicity profile. Lack of renal toxicity makes DHAX an attractive cytoreductive regimen before high-dose chemotherapy.","author":[{"dropping-particle":"","family":"Chau","given":"Ian","non-dropping-particle":"","parse-names":false,"suffix":""},{"dropping-particle":"","family":"Webb","given":"Andrew","non-dropping-particle":"","parse-names":false,"suffix":""},{"dropping-particle":"","family":"Cunningham","given":"David","non-dropping-particle</w:instrText>
      </w:r>
      <w:r w:rsidR="006A2B13" w:rsidRPr="006A2B13">
        <w:instrText>":"","</w:instrText>
      </w:r>
      <w:r w:rsidR="006A2B13">
        <w:rPr>
          <w:lang w:val="en-US"/>
        </w:rPr>
        <w:instrText>parse</w:instrText>
      </w:r>
      <w:r w:rsidR="006A2B13" w:rsidRPr="006A2B13">
        <w:instrText>-</w:instrText>
      </w:r>
      <w:r w:rsidR="006A2B13">
        <w:rPr>
          <w:lang w:val="en-US"/>
        </w:rPr>
        <w:instrText>names</w:instrText>
      </w:r>
      <w:r w:rsidR="006A2B13" w:rsidRPr="006A2B13">
        <w:instrText>":</w:instrText>
      </w:r>
      <w:r w:rsidR="006A2B13">
        <w:rPr>
          <w:lang w:val="en-US"/>
        </w:rPr>
        <w:instrText>false</w:instrText>
      </w:r>
      <w:r w:rsidR="006A2B13" w:rsidRPr="006A2B13">
        <w:instrText>,"</w:instrText>
      </w:r>
      <w:r w:rsidR="006A2B13">
        <w:rPr>
          <w:lang w:val="en-US"/>
        </w:rPr>
        <w:instrText>suffix</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family</w:instrText>
      </w:r>
      <w:r w:rsidR="006A2B13" w:rsidRPr="006A2B13">
        <w:instrText>":"</w:instrText>
      </w:r>
      <w:r w:rsidR="006A2B13">
        <w:rPr>
          <w:lang w:val="en-US"/>
        </w:rPr>
        <w:instrText>Hill</w:instrText>
      </w:r>
      <w:r w:rsidR="006A2B13" w:rsidRPr="006A2B13">
        <w:instrText>","</w:instrText>
      </w:r>
      <w:r w:rsidR="006A2B13">
        <w:rPr>
          <w:lang w:val="en-US"/>
        </w:rPr>
        <w:instrText>given</w:instrText>
      </w:r>
      <w:r w:rsidR="006A2B13" w:rsidRPr="006A2B13">
        <w:instrText>":"</w:instrText>
      </w:r>
      <w:r w:rsidR="006A2B13">
        <w:rPr>
          <w:lang w:val="en-US"/>
        </w:rPr>
        <w:instrText>Mark</w:instrText>
      </w:r>
      <w:r w:rsidR="006A2B13" w:rsidRPr="006A2B13">
        <w:instrText>","</w:instrText>
      </w:r>
      <w:r w:rsidR="006A2B13">
        <w:rPr>
          <w:lang w:val="en-US"/>
        </w:rPr>
        <w:instrText>non</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parse</w:instrText>
      </w:r>
      <w:r w:rsidR="006A2B13" w:rsidRPr="006A2B13">
        <w:instrText>-</w:instrText>
      </w:r>
      <w:r w:rsidR="006A2B13">
        <w:rPr>
          <w:lang w:val="en-US"/>
        </w:rPr>
        <w:instrText>names</w:instrText>
      </w:r>
      <w:r w:rsidR="006A2B13" w:rsidRPr="006A2B13">
        <w:instrText>":</w:instrText>
      </w:r>
      <w:r w:rsidR="006A2B13">
        <w:rPr>
          <w:lang w:val="en-US"/>
        </w:rPr>
        <w:instrText>false</w:instrText>
      </w:r>
      <w:r w:rsidR="006A2B13" w:rsidRPr="006A2B13">
        <w:instrText>,"</w:instrText>
      </w:r>
      <w:r w:rsidR="006A2B13">
        <w:rPr>
          <w:lang w:val="en-US"/>
        </w:rPr>
        <w:instrText>suffix</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family</w:instrText>
      </w:r>
      <w:r w:rsidR="006A2B13" w:rsidRPr="006A2B13">
        <w:instrText>":"</w:instrText>
      </w:r>
      <w:r w:rsidR="006A2B13">
        <w:rPr>
          <w:lang w:val="en-US"/>
        </w:rPr>
        <w:instrText>Rao</w:instrText>
      </w:r>
      <w:r w:rsidR="006A2B13" w:rsidRPr="006A2B13">
        <w:instrText>","</w:instrText>
      </w:r>
      <w:r w:rsidR="006A2B13">
        <w:rPr>
          <w:lang w:val="en-US"/>
        </w:rPr>
        <w:instrText>given</w:instrText>
      </w:r>
      <w:r w:rsidR="006A2B13" w:rsidRPr="006A2B13">
        <w:instrText>":"</w:instrText>
      </w:r>
      <w:r w:rsidR="006A2B13">
        <w:rPr>
          <w:lang w:val="en-US"/>
        </w:rPr>
        <w:instrText>Sheela</w:instrText>
      </w:r>
      <w:r w:rsidR="006A2B13" w:rsidRPr="006A2B13">
        <w:instrText>","</w:instrText>
      </w:r>
      <w:r w:rsidR="006A2B13">
        <w:rPr>
          <w:lang w:val="en-US"/>
        </w:rPr>
        <w:instrText>non</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parse</w:instrText>
      </w:r>
      <w:r w:rsidR="006A2B13" w:rsidRPr="006A2B13">
        <w:instrText>-</w:instrText>
      </w:r>
      <w:r w:rsidR="006A2B13">
        <w:rPr>
          <w:lang w:val="en-US"/>
        </w:rPr>
        <w:instrText>names</w:instrText>
      </w:r>
      <w:r w:rsidR="006A2B13" w:rsidRPr="006A2B13">
        <w:instrText>":</w:instrText>
      </w:r>
      <w:r w:rsidR="006A2B13">
        <w:rPr>
          <w:lang w:val="en-US"/>
        </w:rPr>
        <w:instrText>false</w:instrText>
      </w:r>
      <w:r w:rsidR="006A2B13" w:rsidRPr="006A2B13">
        <w:instrText>,"</w:instrText>
      </w:r>
      <w:r w:rsidR="006A2B13">
        <w:rPr>
          <w:lang w:val="en-US"/>
        </w:rPr>
        <w:instrText>suffix</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family</w:instrText>
      </w:r>
      <w:r w:rsidR="006A2B13" w:rsidRPr="006A2B13">
        <w:instrText>":"</w:instrText>
      </w:r>
      <w:r w:rsidR="006A2B13">
        <w:rPr>
          <w:lang w:val="en-US"/>
        </w:rPr>
        <w:instrText>Ageli</w:instrText>
      </w:r>
      <w:r w:rsidR="006A2B13" w:rsidRPr="006A2B13">
        <w:instrText>","</w:instrText>
      </w:r>
      <w:r w:rsidR="006A2B13">
        <w:rPr>
          <w:lang w:val="en-US"/>
        </w:rPr>
        <w:instrText>given</w:instrText>
      </w:r>
      <w:r w:rsidR="006A2B13" w:rsidRPr="006A2B13">
        <w:instrText>":"</w:instrText>
      </w:r>
      <w:r w:rsidR="006A2B13">
        <w:rPr>
          <w:lang w:val="en-US"/>
        </w:rPr>
        <w:instrText>Suad</w:instrText>
      </w:r>
      <w:r w:rsidR="006A2B13" w:rsidRPr="006A2B13">
        <w:instrText>","</w:instrText>
      </w:r>
      <w:r w:rsidR="006A2B13">
        <w:rPr>
          <w:lang w:val="en-US"/>
        </w:rPr>
        <w:instrText>non</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parse</w:instrText>
      </w:r>
      <w:r w:rsidR="006A2B13" w:rsidRPr="006A2B13">
        <w:instrText>-</w:instrText>
      </w:r>
      <w:r w:rsidR="006A2B13">
        <w:rPr>
          <w:lang w:val="en-US"/>
        </w:rPr>
        <w:instrText>names</w:instrText>
      </w:r>
      <w:r w:rsidR="006A2B13" w:rsidRPr="006A2B13">
        <w:instrText>":</w:instrText>
      </w:r>
      <w:r w:rsidR="006A2B13">
        <w:rPr>
          <w:lang w:val="en-US"/>
        </w:rPr>
        <w:instrText>false</w:instrText>
      </w:r>
      <w:r w:rsidR="006A2B13" w:rsidRPr="006A2B13">
        <w:instrText>,"</w:instrText>
      </w:r>
      <w:r w:rsidR="006A2B13">
        <w:rPr>
          <w:lang w:val="en-US"/>
        </w:rPr>
        <w:instrText>suffix</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family</w:instrText>
      </w:r>
      <w:r w:rsidR="006A2B13" w:rsidRPr="006A2B13">
        <w:instrText>":"</w:instrText>
      </w:r>
      <w:r w:rsidR="006A2B13">
        <w:rPr>
          <w:lang w:val="en-US"/>
        </w:rPr>
        <w:instrText>Norman</w:instrText>
      </w:r>
      <w:r w:rsidR="006A2B13" w:rsidRPr="006A2B13">
        <w:instrText>","</w:instrText>
      </w:r>
      <w:r w:rsidR="006A2B13">
        <w:rPr>
          <w:lang w:val="en-US"/>
        </w:rPr>
        <w:instrText>given</w:instrText>
      </w:r>
      <w:r w:rsidR="006A2B13" w:rsidRPr="006A2B13">
        <w:instrText>":"</w:instrText>
      </w:r>
      <w:r w:rsidR="006A2B13">
        <w:rPr>
          <w:lang w:val="en-US"/>
        </w:rPr>
        <w:instrText>Andrew</w:instrText>
      </w:r>
      <w:r w:rsidR="006A2B13" w:rsidRPr="006A2B13">
        <w:instrText>","</w:instrText>
      </w:r>
      <w:r w:rsidR="006A2B13">
        <w:rPr>
          <w:lang w:val="en-US"/>
        </w:rPr>
        <w:instrText>non</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parse</w:instrText>
      </w:r>
      <w:r w:rsidR="006A2B13" w:rsidRPr="006A2B13">
        <w:instrText>-</w:instrText>
      </w:r>
      <w:r w:rsidR="006A2B13">
        <w:rPr>
          <w:lang w:val="en-US"/>
        </w:rPr>
        <w:instrText>names</w:instrText>
      </w:r>
      <w:r w:rsidR="006A2B13" w:rsidRPr="006A2B13">
        <w:instrText>":</w:instrText>
      </w:r>
      <w:r w:rsidR="006A2B13">
        <w:rPr>
          <w:lang w:val="en-US"/>
        </w:rPr>
        <w:instrText>false</w:instrText>
      </w:r>
      <w:r w:rsidR="006A2B13" w:rsidRPr="006A2B13">
        <w:instrText>,"</w:instrText>
      </w:r>
      <w:r w:rsidR="006A2B13">
        <w:rPr>
          <w:lang w:val="en-US"/>
        </w:rPr>
        <w:instrText>suffix</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family</w:instrText>
      </w:r>
      <w:r w:rsidR="006A2B13" w:rsidRPr="006A2B13">
        <w:instrText>":"</w:instrText>
      </w:r>
      <w:r w:rsidR="006A2B13">
        <w:rPr>
          <w:lang w:val="en-US"/>
        </w:rPr>
        <w:instrText>Gill</w:instrText>
      </w:r>
      <w:r w:rsidR="006A2B13" w:rsidRPr="006A2B13">
        <w:instrText>","</w:instrText>
      </w:r>
      <w:r w:rsidR="006A2B13">
        <w:rPr>
          <w:lang w:val="en-US"/>
        </w:rPr>
        <w:instrText>given</w:instrText>
      </w:r>
      <w:r w:rsidR="006A2B13" w:rsidRPr="006A2B13">
        <w:instrText>":"</w:instrText>
      </w:r>
      <w:r w:rsidR="006A2B13">
        <w:rPr>
          <w:lang w:val="en-US"/>
        </w:rPr>
        <w:instrText>Kairen</w:instrText>
      </w:r>
      <w:r w:rsidR="006A2B13" w:rsidRPr="006A2B13">
        <w:instrText>","</w:instrText>
      </w:r>
      <w:r w:rsidR="006A2B13">
        <w:rPr>
          <w:lang w:val="en-US"/>
        </w:rPr>
        <w:instrText>non</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parse</w:instrText>
      </w:r>
      <w:r w:rsidR="006A2B13" w:rsidRPr="006A2B13">
        <w:instrText>-</w:instrText>
      </w:r>
      <w:r w:rsidR="006A2B13">
        <w:rPr>
          <w:lang w:val="en-US"/>
        </w:rPr>
        <w:instrText>names</w:instrText>
      </w:r>
      <w:r w:rsidR="006A2B13" w:rsidRPr="006A2B13">
        <w:instrText>":</w:instrText>
      </w:r>
      <w:r w:rsidR="006A2B13">
        <w:rPr>
          <w:lang w:val="en-US"/>
        </w:rPr>
        <w:instrText>false</w:instrText>
      </w:r>
      <w:r w:rsidR="006A2B13" w:rsidRPr="006A2B13">
        <w:instrText>,"</w:instrText>
      </w:r>
      <w:r w:rsidR="006A2B13">
        <w:rPr>
          <w:lang w:val="en-US"/>
        </w:rPr>
        <w:instrText>suffix</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family</w:instrText>
      </w:r>
      <w:r w:rsidR="006A2B13" w:rsidRPr="006A2B13">
        <w:instrText>":"</w:instrText>
      </w:r>
      <w:r w:rsidR="006A2B13">
        <w:rPr>
          <w:lang w:val="en-US"/>
        </w:rPr>
        <w:instrText>Howard</w:instrText>
      </w:r>
      <w:r w:rsidR="006A2B13" w:rsidRPr="006A2B13">
        <w:instrText>","</w:instrText>
      </w:r>
      <w:r w:rsidR="006A2B13">
        <w:rPr>
          <w:lang w:val="en-US"/>
        </w:rPr>
        <w:instrText>given</w:instrText>
      </w:r>
      <w:r w:rsidR="006A2B13" w:rsidRPr="006A2B13">
        <w:instrText>":"</w:instrText>
      </w:r>
      <w:r w:rsidR="006A2B13">
        <w:rPr>
          <w:lang w:val="en-US"/>
        </w:rPr>
        <w:instrText>Anne</w:instrText>
      </w:r>
      <w:r w:rsidR="006A2B13" w:rsidRPr="006A2B13">
        <w:instrText>","</w:instrText>
      </w:r>
      <w:r w:rsidR="006A2B13">
        <w:rPr>
          <w:lang w:val="en-US"/>
        </w:rPr>
        <w:instrText>non</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parse</w:instrText>
      </w:r>
      <w:r w:rsidR="006A2B13" w:rsidRPr="006A2B13">
        <w:instrText>-</w:instrText>
      </w:r>
      <w:r w:rsidR="006A2B13">
        <w:rPr>
          <w:lang w:val="en-US"/>
        </w:rPr>
        <w:instrText>names</w:instrText>
      </w:r>
      <w:r w:rsidR="006A2B13" w:rsidRPr="006A2B13">
        <w:instrText>":</w:instrText>
      </w:r>
      <w:r w:rsidR="006A2B13">
        <w:rPr>
          <w:lang w:val="en-US"/>
        </w:rPr>
        <w:instrText>false</w:instrText>
      </w:r>
      <w:r w:rsidR="006A2B13" w:rsidRPr="006A2B13">
        <w:instrText>,"</w:instrText>
      </w:r>
      <w:r w:rsidR="006A2B13">
        <w:rPr>
          <w:lang w:val="en-US"/>
        </w:rPr>
        <w:instrText>suffix</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family</w:instrText>
      </w:r>
      <w:r w:rsidR="006A2B13" w:rsidRPr="006A2B13">
        <w:instrText>":"</w:instrText>
      </w:r>
      <w:r w:rsidR="006A2B13">
        <w:rPr>
          <w:lang w:val="en-US"/>
        </w:rPr>
        <w:instrText>Catovsky</w:instrText>
      </w:r>
      <w:r w:rsidR="006A2B13" w:rsidRPr="006A2B13">
        <w:instrText>","</w:instrText>
      </w:r>
      <w:r w:rsidR="006A2B13">
        <w:rPr>
          <w:lang w:val="en-US"/>
        </w:rPr>
        <w:instrText>given</w:instrText>
      </w:r>
      <w:r w:rsidR="006A2B13" w:rsidRPr="006A2B13">
        <w:instrText>":"</w:instrText>
      </w:r>
      <w:r w:rsidR="006A2B13">
        <w:rPr>
          <w:lang w:val="en-US"/>
        </w:rPr>
        <w:instrText>Daniel</w:instrText>
      </w:r>
      <w:r w:rsidR="006A2B13" w:rsidRPr="006A2B13">
        <w:instrText>","</w:instrText>
      </w:r>
      <w:r w:rsidR="006A2B13">
        <w:rPr>
          <w:lang w:val="en-US"/>
        </w:rPr>
        <w:instrText>non</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parse</w:instrText>
      </w:r>
      <w:r w:rsidR="006A2B13" w:rsidRPr="006A2B13">
        <w:instrText>-</w:instrText>
      </w:r>
      <w:r w:rsidR="006A2B13">
        <w:rPr>
          <w:lang w:val="en-US"/>
        </w:rPr>
        <w:instrText>names</w:instrText>
      </w:r>
      <w:r w:rsidR="006A2B13" w:rsidRPr="006A2B13">
        <w:instrText>":</w:instrText>
      </w:r>
      <w:r w:rsidR="006A2B13">
        <w:rPr>
          <w:lang w:val="en-US"/>
        </w:rPr>
        <w:instrText>false</w:instrText>
      </w:r>
      <w:r w:rsidR="006A2B13" w:rsidRPr="006A2B13">
        <w:instrText>,"</w:instrText>
      </w:r>
      <w:r w:rsidR="006A2B13">
        <w:rPr>
          <w:lang w:val="en-US"/>
        </w:rPr>
        <w:instrText>suffix</w:instrText>
      </w:r>
      <w:r w:rsidR="006A2B13" w:rsidRPr="006A2B13">
        <w:instrText>":""}],"</w:instrText>
      </w:r>
      <w:r w:rsidR="006A2B13">
        <w:rPr>
          <w:lang w:val="en-US"/>
        </w:rPr>
        <w:instrText>container</w:instrText>
      </w:r>
      <w:r w:rsidR="006A2B13" w:rsidRPr="006A2B13">
        <w:instrText>-</w:instrText>
      </w:r>
      <w:r w:rsidR="006A2B13">
        <w:rPr>
          <w:lang w:val="en-US"/>
        </w:rPr>
        <w:instrText>title</w:instrText>
      </w:r>
      <w:r w:rsidR="006A2B13" w:rsidRPr="006A2B13">
        <w:instrText>":"</w:instrText>
      </w:r>
      <w:r w:rsidR="006A2B13">
        <w:rPr>
          <w:lang w:val="en-US"/>
        </w:rPr>
        <w:instrText>British</w:instrText>
      </w:r>
      <w:r w:rsidR="006A2B13" w:rsidRPr="006A2B13">
        <w:instrText xml:space="preserve"> </w:instrText>
      </w:r>
      <w:r w:rsidR="006A2B13">
        <w:rPr>
          <w:lang w:val="en-US"/>
        </w:rPr>
        <w:instrText>Journal</w:instrText>
      </w:r>
      <w:r w:rsidR="006A2B13" w:rsidRPr="006A2B13">
        <w:instrText xml:space="preserve"> </w:instrText>
      </w:r>
      <w:r w:rsidR="006A2B13">
        <w:rPr>
          <w:lang w:val="en-US"/>
        </w:rPr>
        <w:instrText>of</w:instrText>
      </w:r>
      <w:r w:rsidR="006A2B13" w:rsidRPr="006A2B13">
        <w:instrText xml:space="preserve"> </w:instrText>
      </w:r>
      <w:r w:rsidR="006A2B13">
        <w:rPr>
          <w:lang w:val="en-US"/>
        </w:rPr>
        <w:instrText>Haematology</w:instrText>
      </w:r>
      <w:r w:rsidR="006A2B13" w:rsidRPr="006A2B13">
        <w:instrText>","</w:instrText>
      </w:r>
      <w:r w:rsidR="006A2B13">
        <w:rPr>
          <w:lang w:val="en-US"/>
        </w:rPr>
        <w:instrText>id</w:instrText>
      </w:r>
      <w:r w:rsidR="006A2B13" w:rsidRPr="006A2B13">
        <w:instrText>":"</w:instrText>
      </w:r>
      <w:r w:rsidR="006A2B13">
        <w:rPr>
          <w:lang w:val="en-US"/>
        </w:rPr>
        <w:instrText>ITEM</w:instrText>
      </w:r>
      <w:r w:rsidR="006A2B13" w:rsidRPr="006A2B13">
        <w:instrText>-1","</w:instrText>
      </w:r>
      <w:r w:rsidR="006A2B13">
        <w:rPr>
          <w:lang w:val="en-US"/>
        </w:rPr>
        <w:instrText>issue</w:instrText>
      </w:r>
      <w:r w:rsidR="006A2B13" w:rsidRPr="006A2B13">
        <w:instrText>":"4","</w:instrText>
      </w:r>
      <w:r w:rsidR="006A2B13">
        <w:rPr>
          <w:lang w:val="en-US"/>
        </w:rPr>
        <w:instrText>issued</w:instrText>
      </w:r>
      <w:r w:rsidR="006A2B13" w:rsidRPr="006A2B13">
        <w:instrText>":{"</w:instrText>
      </w:r>
      <w:r w:rsidR="006A2B13">
        <w:rPr>
          <w:lang w:val="en-US"/>
        </w:rPr>
        <w:instrText>date</w:instrText>
      </w:r>
      <w:r w:rsidR="006A2B13" w:rsidRPr="006A2B13">
        <w:instrText>-</w:instrText>
      </w:r>
      <w:r w:rsidR="006A2B13">
        <w:rPr>
          <w:lang w:val="en-US"/>
        </w:rPr>
        <w:instrText>parts</w:instrText>
      </w:r>
      <w:r w:rsidR="006A2B13" w:rsidRPr="006A2B13">
        <w:instrText>":[["2001","12"]]},"</w:instrText>
      </w:r>
      <w:r w:rsidR="006A2B13">
        <w:rPr>
          <w:lang w:val="en-US"/>
        </w:rPr>
        <w:instrText>page</w:instrText>
      </w:r>
      <w:r w:rsidR="006A2B13" w:rsidRPr="006A2B13">
        <w:instrText>":"786-792","</w:instrText>
      </w:r>
      <w:r w:rsidR="006A2B13">
        <w:rPr>
          <w:lang w:val="en-US"/>
        </w:rPr>
        <w:instrText>title</w:instrText>
      </w:r>
      <w:r w:rsidR="006A2B13" w:rsidRPr="006A2B13">
        <w:instrText>":"</w:instrText>
      </w:r>
      <w:r w:rsidR="006A2B13">
        <w:rPr>
          <w:lang w:val="en-US"/>
        </w:rPr>
        <w:instrText>An</w:instrText>
      </w:r>
      <w:r w:rsidR="006A2B13" w:rsidRPr="006A2B13">
        <w:instrText xml:space="preserve"> </w:instrText>
      </w:r>
      <w:r w:rsidR="006A2B13">
        <w:rPr>
          <w:lang w:val="en-US"/>
        </w:rPr>
        <w:instrText>oxaliplatin</w:instrText>
      </w:r>
      <w:r w:rsidR="006A2B13" w:rsidRPr="006A2B13">
        <w:instrText>-</w:instrText>
      </w:r>
      <w:r w:rsidR="006A2B13">
        <w:rPr>
          <w:lang w:val="en-US"/>
        </w:rPr>
        <w:instrText>based</w:instrText>
      </w:r>
      <w:r w:rsidR="006A2B13" w:rsidRPr="006A2B13">
        <w:instrText xml:space="preserve"> </w:instrText>
      </w:r>
      <w:r w:rsidR="006A2B13">
        <w:rPr>
          <w:lang w:val="en-US"/>
        </w:rPr>
        <w:instrText>chemotherapy</w:instrText>
      </w:r>
      <w:r w:rsidR="006A2B13" w:rsidRPr="006A2B13">
        <w:instrText xml:space="preserve"> </w:instrText>
      </w:r>
      <w:r w:rsidR="006A2B13">
        <w:rPr>
          <w:lang w:val="en-US"/>
        </w:rPr>
        <w:instrText>in</w:instrText>
      </w:r>
      <w:r w:rsidR="006A2B13" w:rsidRPr="006A2B13">
        <w:instrText xml:space="preserve"> </w:instrText>
      </w:r>
      <w:r w:rsidR="006A2B13">
        <w:rPr>
          <w:lang w:val="en-US"/>
        </w:rPr>
        <w:instrText>patients</w:instrText>
      </w:r>
      <w:r w:rsidR="006A2B13" w:rsidRPr="006A2B13">
        <w:instrText xml:space="preserve"> </w:instrText>
      </w:r>
      <w:r w:rsidR="006A2B13">
        <w:rPr>
          <w:lang w:val="en-US"/>
        </w:rPr>
        <w:instrText>with</w:instrText>
      </w:r>
      <w:r w:rsidR="006A2B13" w:rsidRPr="006A2B13">
        <w:instrText xml:space="preserve"> </w:instrText>
      </w:r>
      <w:r w:rsidR="006A2B13">
        <w:rPr>
          <w:lang w:val="en-US"/>
        </w:rPr>
        <w:instrText>relapsed</w:instrText>
      </w:r>
      <w:r w:rsidR="006A2B13" w:rsidRPr="006A2B13">
        <w:instrText xml:space="preserve"> </w:instrText>
      </w:r>
      <w:r w:rsidR="006A2B13">
        <w:rPr>
          <w:lang w:val="en-US"/>
        </w:rPr>
        <w:instrText>or</w:instrText>
      </w:r>
      <w:r w:rsidR="006A2B13" w:rsidRPr="006A2B13">
        <w:instrText xml:space="preserve"> </w:instrText>
      </w:r>
      <w:r w:rsidR="006A2B13">
        <w:rPr>
          <w:lang w:val="en-US"/>
        </w:rPr>
        <w:instrText>refractory</w:instrText>
      </w:r>
      <w:r w:rsidR="006A2B13" w:rsidRPr="006A2B13">
        <w:instrText xml:space="preserve"> </w:instrText>
      </w:r>
      <w:r w:rsidR="006A2B13">
        <w:rPr>
          <w:lang w:val="en-US"/>
        </w:rPr>
        <w:instrText>intermediate</w:instrText>
      </w:r>
      <w:r w:rsidR="006A2B13" w:rsidRPr="006A2B13">
        <w:instrText xml:space="preserve"> </w:instrText>
      </w:r>
      <w:r w:rsidR="006A2B13">
        <w:rPr>
          <w:lang w:val="en-US"/>
        </w:rPr>
        <w:instrText>and</w:instrText>
      </w:r>
      <w:r w:rsidR="006A2B13" w:rsidRPr="006A2B13">
        <w:instrText xml:space="preserve"> </w:instrText>
      </w:r>
      <w:r w:rsidR="006A2B13">
        <w:rPr>
          <w:lang w:val="en-US"/>
        </w:rPr>
        <w:instrText>high</w:instrText>
      </w:r>
      <w:r w:rsidR="006A2B13" w:rsidRPr="006A2B13">
        <w:instrText>-</w:instrText>
      </w:r>
      <w:r w:rsidR="006A2B13">
        <w:rPr>
          <w:lang w:val="en-US"/>
        </w:rPr>
        <w:instrText>grade</w:instrText>
      </w:r>
      <w:r w:rsidR="006A2B13" w:rsidRPr="006A2B13">
        <w:instrText xml:space="preserve"> </w:instrText>
      </w:r>
      <w:r w:rsidR="006A2B13">
        <w:rPr>
          <w:lang w:val="en-US"/>
        </w:rPr>
        <w:instrText>non</w:instrText>
      </w:r>
      <w:r w:rsidR="006A2B13" w:rsidRPr="006A2B13">
        <w:instrText>-</w:instrText>
      </w:r>
      <w:r w:rsidR="006A2B13">
        <w:rPr>
          <w:lang w:val="en-US"/>
        </w:rPr>
        <w:instrText>Hodgkin</w:instrText>
      </w:r>
      <w:r w:rsidR="006A2B13" w:rsidRPr="006A2B13">
        <w:instrText>'</w:instrText>
      </w:r>
      <w:r w:rsidR="006A2B13">
        <w:rPr>
          <w:lang w:val="en-US"/>
        </w:rPr>
        <w:instrText>s</w:instrText>
      </w:r>
      <w:r w:rsidR="006A2B13" w:rsidRPr="006A2B13">
        <w:instrText xml:space="preserve"> </w:instrText>
      </w:r>
      <w:r w:rsidR="006A2B13">
        <w:rPr>
          <w:lang w:val="en-US"/>
        </w:rPr>
        <w:instrText>lymphoma</w:instrText>
      </w:r>
      <w:r w:rsidR="006A2B13" w:rsidRPr="006A2B13">
        <w:instrText>","</w:instrText>
      </w:r>
      <w:r w:rsidR="006A2B13">
        <w:rPr>
          <w:lang w:val="en-US"/>
        </w:rPr>
        <w:instrText>type</w:instrText>
      </w:r>
      <w:r w:rsidR="006A2B13" w:rsidRPr="006A2B13">
        <w:instrText>":"</w:instrText>
      </w:r>
      <w:r w:rsidR="006A2B13">
        <w:rPr>
          <w:lang w:val="en-US"/>
        </w:rPr>
        <w:instrText>article</w:instrText>
      </w:r>
      <w:r w:rsidR="006A2B13" w:rsidRPr="006A2B13">
        <w:instrText>-</w:instrText>
      </w:r>
      <w:r w:rsidR="006A2B13">
        <w:rPr>
          <w:lang w:val="en-US"/>
        </w:rPr>
        <w:instrText>journal</w:instrText>
      </w:r>
      <w:r w:rsidR="006A2B13" w:rsidRPr="006A2B13">
        <w:instrText>","</w:instrText>
      </w:r>
      <w:r w:rsidR="006A2B13">
        <w:rPr>
          <w:lang w:val="en-US"/>
        </w:rPr>
        <w:instrText>volume</w:instrText>
      </w:r>
      <w:r w:rsidR="006A2B13" w:rsidRPr="006A2B13">
        <w:instrText>":"115"},"</w:instrText>
      </w:r>
      <w:r w:rsidR="006A2B13">
        <w:rPr>
          <w:lang w:val="en-US"/>
        </w:rPr>
        <w:instrText>uris</w:instrText>
      </w:r>
      <w:r w:rsidR="006A2B13" w:rsidRPr="006A2B13">
        <w:instrText>":["</w:instrText>
      </w:r>
      <w:r w:rsidR="006A2B13">
        <w:rPr>
          <w:lang w:val="en-US"/>
        </w:rPr>
        <w:instrText>http</w:instrText>
      </w:r>
      <w:r w:rsidR="006A2B13" w:rsidRPr="006A2B13">
        <w:instrText>://</w:instrText>
      </w:r>
      <w:r w:rsidR="006A2B13">
        <w:rPr>
          <w:lang w:val="en-US"/>
        </w:rPr>
        <w:instrText>www</w:instrText>
      </w:r>
      <w:r w:rsidR="006A2B13" w:rsidRPr="006A2B13">
        <w:instrText>.</w:instrText>
      </w:r>
      <w:r w:rsidR="006A2B13">
        <w:rPr>
          <w:lang w:val="en-US"/>
        </w:rPr>
        <w:instrText>mendeley</w:instrText>
      </w:r>
      <w:r w:rsidR="006A2B13" w:rsidRPr="006A2B13">
        <w:instrText>.</w:instrText>
      </w:r>
      <w:r w:rsidR="006A2B13">
        <w:rPr>
          <w:lang w:val="en-US"/>
        </w:rPr>
        <w:instrText>com</w:instrText>
      </w:r>
      <w:r w:rsidR="006A2B13" w:rsidRPr="006A2B13">
        <w:instrText>/</w:instrText>
      </w:r>
      <w:r w:rsidR="006A2B13">
        <w:rPr>
          <w:lang w:val="en-US"/>
        </w:rPr>
        <w:instrText>documents</w:instrText>
      </w:r>
      <w:r w:rsidR="006A2B13" w:rsidRPr="006A2B13">
        <w:instrText>/?</w:instrText>
      </w:r>
      <w:r w:rsidR="006A2B13">
        <w:rPr>
          <w:lang w:val="en-US"/>
        </w:rPr>
        <w:instrText>uuid</w:instrText>
      </w:r>
      <w:r w:rsidR="006A2B13" w:rsidRPr="006A2B13">
        <w:instrText>=</w:instrText>
      </w:r>
      <w:r w:rsidR="006A2B13">
        <w:rPr>
          <w:lang w:val="en-US"/>
        </w:rPr>
        <w:instrText>f</w:instrText>
      </w:r>
      <w:r w:rsidR="006A2B13" w:rsidRPr="006A2B13">
        <w:instrText>4</w:instrText>
      </w:r>
      <w:r w:rsidR="006A2B13">
        <w:rPr>
          <w:lang w:val="en-US"/>
        </w:rPr>
        <w:instrText>c</w:instrText>
      </w:r>
      <w:r w:rsidR="006A2B13" w:rsidRPr="006A2B13">
        <w:instrText>05131-9586-3</w:instrText>
      </w:r>
      <w:r w:rsidR="006A2B13">
        <w:rPr>
          <w:lang w:val="en-US"/>
        </w:rPr>
        <w:instrText>f</w:instrText>
      </w:r>
      <w:r w:rsidR="006A2B13" w:rsidRPr="006A2B13">
        <w:instrText>40-</w:instrText>
      </w:r>
      <w:r w:rsidR="006A2B13">
        <w:rPr>
          <w:lang w:val="en-US"/>
        </w:rPr>
        <w:instrText>ad</w:instrText>
      </w:r>
      <w:r w:rsidR="006A2B13" w:rsidRPr="006A2B13">
        <w:instrText>46-6</w:instrText>
      </w:r>
      <w:r w:rsidR="006A2B13">
        <w:rPr>
          <w:lang w:val="en-US"/>
        </w:rPr>
        <w:instrText>e</w:instrText>
      </w:r>
      <w:r w:rsidR="006A2B13" w:rsidRPr="006A2B13">
        <w:instrText>84</w:instrText>
      </w:r>
      <w:r w:rsidR="006A2B13">
        <w:rPr>
          <w:lang w:val="en-US"/>
        </w:rPr>
        <w:instrText>e</w:instrText>
      </w:r>
      <w:r w:rsidR="006A2B13" w:rsidRPr="006A2B13">
        <w:instrText>6</w:instrText>
      </w:r>
      <w:r w:rsidR="006A2B13">
        <w:rPr>
          <w:lang w:val="en-US"/>
        </w:rPr>
        <w:instrText>b</w:instrText>
      </w:r>
      <w:r w:rsidR="006A2B13" w:rsidRPr="006A2B13">
        <w:instrText>61</w:instrText>
      </w:r>
      <w:r w:rsidR="006A2B13">
        <w:rPr>
          <w:lang w:val="en-US"/>
        </w:rPr>
        <w:instrText>c</w:instrText>
      </w:r>
      <w:r w:rsidR="006A2B13" w:rsidRPr="006A2B13">
        <w:instrText>46"]}],"</w:instrText>
      </w:r>
      <w:r w:rsidR="006A2B13">
        <w:rPr>
          <w:lang w:val="en-US"/>
        </w:rPr>
        <w:instrText>mendeley</w:instrText>
      </w:r>
      <w:r w:rsidR="006A2B13" w:rsidRPr="006A2B13">
        <w:instrText>":{"</w:instrText>
      </w:r>
      <w:r w:rsidR="006A2B13">
        <w:rPr>
          <w:lang w:val="en-US"/>
        </w:rPr>
        <w:instrText>formattedCitation</w:instrText>
      </w:r>
      <w:r w:rsidR="006A2B13" w:rsidRPr="006A2B13">
        <w:instrText>":"[116]","</w:instrText>
      </w:r>
      <w:r w:rsidR="006A2B13">
        <w:rPr>
          <w:lang w:val="en-US"/>
        </w:rPr>
        <w:instrText>plainTextFormattedCitation</w:instrText>
      </w:r>
      <w:r w:rsidR="006A2B13" w:rsidRPr="006A2B13">
        <w:instrText>":"[116]","</w:instrText>
      </w:r>
      <w:r w:rsidR="006A2B13">
        <w:rPr>
          <w:lang w:val="en-US"/>
        </w:rPr>
        <w:instrText>previouslyFormattedCitation</w:instrText>
      </w:r>
      <w:r w:rsidR="006A2B13" w:rsidRPr="006A2B13">
        <w:instrText>":"[116]"},"</w:instrText>
      </w:r>
      <w:r w:rsidR="006A2B13">
        <w:rPr>
          <w:lang w:val="en-US"/>
        </w:rPr>
        <w:instrText>properties</w:instrText>
      </w:r>
      <w:r w:rsidR="006A2B13" w:rsidRPr="006A2B13">
        <w:instrText>":{"</w:instrText>
      </w:r>
      <w:r w:rsidR="006A2B13">
        <w:rPr>
          <w:lang w:val="en-US"/>
        </w:rPr>
        <w:instrText>noteIndex</w:instrText>
      </w:r>
      <w:r w:rsidR="006A2B13" w:rsidRPr="006A2B13">
        <w:instrText>":0},"</w:instrText>
      </w:r>
      <w:r w:rsidR="006A2B13">
        <w:rPr>
          <w:lang w:val="en-US"/>
        </w:rPr>
        <w:instrText>schema</w:instrText>
      </w:r>
      <w:r w:rsidR="006A2B13" w:rsidRPr="006A2B13">
        <w:instrText>":"</w:instrText>
      </w:r>
      <w:r w:rsidR="006A2B13">
        <w:rPr>
          <w:lang w:val="en-US"/>
        </w:rPr>
        <w:instrText>https</w:instrText>
      </w:r>
      <w:r w:rsidR="006A2B13" w:rsidRPr="006A2B13">
        <w:instrText>://</w:instrText>
      </w:r>
      <w:r w:rsidR="006A2B13">
        <w:rPr>
          <w:lang w:val="en-US"/>
        </w:rPr>
        <w:instrText>github</w:instrText>
      </w:r>
      <w:r w:rsidR="006A2B13" w:rsidRPr="006A2B13">
        <w:instrText>.</w:instrText>
      </w:r>
      <w:r w:rsidR="006A2B13">
        <w:rPr>
          <w:lang w:val="en-US"/>
        </w:rPr>
        <w:instrText>com</w:instrText>
      </w:r>
      <w:r w:rsidR="006A2B13" w:rsidRPr="006A2B13">
        <w:instrText>/</w:instrText>
      </w:r>
      <w:r w:rsidR="006A2B13">
        <w:rPr>
          <w:lang w:val="en-US"/>
        </w:rPr>
        <w:instrText>citation</w:instrText>
      </w:r>
      <w:r w:rsidR="006A2B13" w:rsidRPr="006A2B13">
        <w:instrText>-</w:instrText>
      </w:r>
      <w:r w:rsidR="006A2B13">
        <w:rPr>
          <w:lang w:val="en-US"/>
        </w:rPr>
        <w:instrText>style</w:instrText>
      </w:r>
      <w:r w:rsidR="006A2B13" w:rsidRPr="006A2B13">
        <w:instrText>-</w:instrText>
      </w:r>
      <w:r w:rsidR="006A2B13">
        <w:rPr>
          <w:lang w:val="en-US"/>
        </w:rPr>
        <w:instrText>language</w:instrText>
      </w:r>
      <w:r w:rsidR="006A2B13" w:rsidRPr="006A2B13">
        <w:instrText>/</w:instrText>
      </w:r>
      <w:r w:rsidR="006A2B13">
        <w:rPr>
          <w:lang w:val="en-US"/>
        </w:rPr>
        <w:instrText>schema</w:instrText>
      </w:r>
      <w:r w:rsidR="006A2B13" w:rsidRPr="006A2B13">
        <w:instrText>/</w:instrText>
      </w:r>
      <w:r w:rsidR="006A2B13">
        <w:rPr>
          <w:lang w:val="en-US"/>
        </w:rPr>
        <w:instrText>raw</w:instrText>
      </w:r>
      <w:r w:rsidR="006A2B13" w:rsidRPr="006A2B13">
        <w:instrText>/</w:instrText>
      </w:r>
      <w:r w:rsidR="006A2B13">
        <w:rPr>
          <w:lang w:val="en-US"/>
        </w:rPr>
        <w:instrText>master</w:instrText>
      </w:r>
      <w:r w:rsidR="006A2B13" w:rsidRPr="006A2B13">
        <w:instrText>/</w:instrText>
      </w:r>
      <w:r w:rsidR="006A2B13">
        <w:rPr>
          <w:lang w:val="en-US"/>
        </w:rPr>
        <w:instrText>csl</w:instrText>
      </w:r>
      <w:r w:rsidR="006A2B13" w:rsidRPr="006A2B13">
        <w:instrText>-</w:instrText>
      </w:r>
      <w:r w:rsidR="006A2B13">
        <w:rPr>
          <w:lang w:val="en-US"/>
        </w:rPr>
        <w:instrText>citation</w:instrText>
      </w:r>
      <w:r w:rsidR="006A2B13" w:rsidRPr="006A2B13">
        <w:instrText>.</w:instrText>
      </w:r>
      <w:r w:rsidR="006A2B13">
        <w:rPr>
          <w:lang w:val="en-US"/>
        </w:rPr>
        <w:instrText>json</w:instrText>
      </w:r>
      <w:r w:rsidR="006A2B13" w:rsidRPr="006A2B13">
        <w:instrText>"}</w:instrText>
      </w:r>
      <w:r w:rsidRPr="000322E4">
        <w:rPr>
          <w:lang w:val="en-US"/>
        </w:rPr>
        <w:fldChar w:fldCharType="separate"/>
      </w:r>
      <w:r w:rsidR="00A6794A" w:rsidRPr="00A6794A">
        <w:rPr>
          <w:noProof/>
        </w:rPr>
        <w:t>[116]</w:t>
      </w:r>
      <w:r w:rsidRPr="000322E4">
        <w:rPr>
          <w:lang w:val="en-US"/>
        </w:rPr>
        <w:fldChar w:fldCharType="end"/>
      </w:r>
    </w:p>
    <w:p w14:paraId="7CD5ED91" w14:textId="77777777" w:rsidR="00666D68" w:rsidRPr="00293AC8" w:rsidRDefault="00666D68" w:rsidP="008E3584">
      <w:pPr>
        <w:numPr>
          <w:ilvl w:val="0"/>
          <w:numId w:val="46"/>
        </w:numPr>
        <w:spacing w:line="360" w:lineRule="auto"/>
        <w:jc w:val="both"/>
      </w:pPr>
      <w:r w:rsidRPr="000322E4">
        <w:t>Дексаметазон</w:t>
      </w:r>
      <w:r w:rsidRPr="00293AC8">
        <w:rPr>
          <w:bCs/>
        </w:rPr>
        <w:t>**</w:t>
      </w:r>
      <w:r w:rsidRPr="00293AC8">
        <w:t xml:space="preserve"> 40 </w:t>
      </w:r>
      <w:r w:rsidRPr="000322E4">
        <w:t>мг</w:t>
      </w:r>
      <w:r w:rsidRPr="00293AC8">
        <w:t xml:space="preserve"> </w:t>
      </w:r>
      <w:r w:rsidRPr="000322E4">
        <w:t>в</w:t>
      </w:r>
      <w:r w:rsidRPr="00293AC8">
        <w:t>/</w:t>
      </w:r>
      <w:r w:rsidRPr="000322E4">
        <w:t>в</w:t>
      </w:r>
      <w:r w:rsidRPr="00293AC8">
        <w:t xml:space="preserve">, </w:t>
      </w:r>
      <w:r w:rsidRPr="000322E4">
        <w:t>дни</w:t>
      </w:r>
      <w:r w:rsidRPr="00293AC8">
        <w:t xml:space="preserve"> 1-4</w:t>
      </w:r>
    </w:p>
    <w:p w14:paraId="3607DED2" w14:textId="77777777" w:rsidR="00666D68" w:rsidRPr="00293AC8" w:rsidRDefault="00666D68" w:rsidP="008E3584">
      <w:pPr>
        <w:numPr>
          <w:ilvl w:val="0"/>
          <w:numId w:val="46"/>
        </w:numPr>
        <w:spacing w:line="360" w:lineRule="auto"/>
        <w:jc w:val="both"/>
      </w:pPr>
      <w:r w:rsidRPr="00293AC8">
        <w:t>#</w:t>
      </w:r>
      <w:r w:rsidRPr="000322E4">
        <w:t>Оксалиплатин</w:t>
      </w:r>
      <w:r w:rsidRPr="00293AC8">
        <w:rPr>
          <w:bCs/>
        </w:rPr>
        <w:t>**</w:t>
      </w:r>
      <w:r w:rsidRPr="00293AC8">
        <w:t xml:space="preserve"> 130 </w:t>
      </w:r>
      <w:r w:rsidRPr="000322E4">
        <w:t>мг</w:t>
      </w:r>
      <w:r w:rsidRPr="00293AC8">
        <w:t>/</w:t>
      </w:r>
      <w:r w:rsidRPr="000322E4">
        <w:t>м</w:t>
      </w:r>
      <w:r w:rsidRPr="00293AC8">
        <w:rPr>
          <w:vertAlign w:val="superscript"/>
        </w:rPr>
        <w:t>2</w:t>
      </w:r>
      <w:r w:rsidRPr="00293AC8">
        <w:t xml:space="preserve"> </w:t>
      </w:r>
      <w:r w:rsidRPr="000322E4">
        <w:t>в</w:t>
      </w:r>
      <w:r w:rsidRPr="00293AC8">
        <w:t>/</w:t>
      </w:r>
      <w:r w:rsidRPr="000322E4">
        <w:t>в</w:t>
      </w:r>
      <w:r w:rsidRPr="00293AC8">
        <w:t xml:space="preserve"> </w:t>
      </w:r>
      <w:r w:rsidRPr="000322E4">
        <w:t>кап</w:t>
      </w:r>
      <w:r w:rsidRPr="00293AC8">
        <w:t xml:space="preserve">., </w:t>
      </w:r>
      <w:r w:rsidRPr="000322E4">
        <w:t>день</w:t>
      </w:r>
      <w:r w:rsidRPr="00293AC8">
        <w:t xml:space="preserve"> 1 </w:t>
      </w:r>
    </w:p>
    <w:p w14:paraId="66FBDD9A" w14:textId="77777777" w:rsidR="00666D68" w:rsidRPr="00293AC8" w:rsidRDefault="00666D68" w:rsidP="008E3584">
      <w:pPr>
        <w:numPr>
          <w:ilvl w:val="0"/>
          <w:numId w:val="46"/>
        </w:numPr>
        <w:spacing w:line="360" w:lineRule="auto"/>
        <w:jc w:val="both"/>
      </w:pPr>
      <w:r w:rsidRPr="000322E4">
        <w:t>Цитарабин</w:t>
      </w:r>
      <w:r w:rsidRPr="00293AC8">
        <w:rPr>
          <w:bCs/>
        </w:rPr>
        <w:t>**</w:t>
      </w:r>
      <w:r w:rsidRPr="00293AC8">
        <w:t xml:space="preserve"> 2 </w:t>
      </w:r>
      <w:r w:rsidRPr="000322E4">
        <w:t>г</w:t>
      </w:r>
      <w:r w:rsidRPr="00293AC8">
        <w:t>/</w:t>
      </w:r>
      <w:r w:rsidRPr="000322E4">
        <w:t>м</w:t>
      </w:r>
      <w:r w:rsidRPr="00293AC8">
        <w:rPr>
          <w:vertAlign w:val="superscript"/>
        </w:rPr>
        <w:t>2</w:t>
      </w:r>
      <w:r w:rsidRPr="00293AC8">
        <w:t xml:space="preserve"> </w:t>
      </w:r>
      <w:r w:rsidRPr="000322E4">
        <w:t>в</w:t>
      </w:r>
      <w:r w:rsidRPr="00293AC8">
        <w:t>/</w:t>
      </w:r>
      <w:r w:rsidRPr="000322E4">
        <w:t>в</w:t>
      </w:r>
      <w:r w:rsidRPr="00293AC8">
        <w:t xml:space="preserve"> </w:t>
      </w:r>
      <w:r w:rsidRPr="000322E4">
        <w:t>кап</w:t>
      </w:r>
      <w:r w:rsidRPr="00293AC8">
        <w:t xml:space="preserve">., </w:t>
      </w:r>
      <w:r w:rsidRPr="000322E4">
        <w:t>дни</w:t>
      </w:r>
      <w:r w:rsidRPr="00293AC8">
        <w:t xml:space="preserve"> 2, 3</w:t>
      </w:r>
    </w:p>
    <w:p w14:paraId="67714970" w14:textId="77777777" w:rsidR="00666D68" w:rsidRPr="00293AC8" w:rsidRDefault="00666D68" w:rsidP="008E3584">
      <w:pPr>
        <w:spacing w:line="360" w:lineRule="auto"/>
        <w:jc w:val="both"/>
      </w:pPr>
    </w:p>
    <w:p w14:paraId="001B4E7E" w14:textId="53F9511C" w:rsidR="00666D68" w:rsidRPr="000322E4" w:rsidRDefault="00666D68" w:rsidP="008E3584">
      <w:pPr>
        <w:spacing w:line="360" w:lineRule="auto"/>
        <w:jc w:val="both"/>
        <w:rPr>
          <w:b/>
        </w:rPr>
      </w:pPr>
      <w:r w:rsidRPr="000322E4">
        <w:rPr>
          <w:b/>
          <w:lang w:val="en-US"/>
        </w:rPr>
        <w:t>MINE</w:t>
      </w:r>
      <w:r w:rsidRPr="00293AC8">
        <w:rPr>
          <w:b/>
        </w:rPr>
        <w:t xml:space="preserve"> </w:t>
      </w:r>
      <w:r w:rsidRPr="000322E4">
        <w:rPr>
          <w:lang w:val="en-US"/>
        </w:rPr>
        <w:fldChar w:fldCharType="begin" w:fldLock="1"/>
      </w:r>
      <w:r w:rsidR="006A2B13">
        <w:rPr>
          <w:lang w:val="en-US"/>
        </w:rPr>
        <w:instrText>ADDIN</w:instrText>
      </w:r>
      <w:r w:rsidR="006A2B13" w:rsidRPr="006A2B13">
        <w:instrText xml:space="preserve"> </w:instrText>
      </w:r>
      <w:r w:rsidR="006A2B13">
        <w:rPr>
          <w:lang w:val="en-US"/>
        </w:rPr>
        <w:instrText>CSL</w:instrText>
      </w:r>
      <w:r w:rsidR="006A2B13" w:rsidRPr="006A2B13">
        <w:instrText>_</w:instrText>
      </w:r>
      <w:r w:rsidR="006A2B13">
        <w:rPr>
          <w:lang w:val="en-US"/>
        </w:rPr>
        <w:instrText>CITATION</w:instrText>
      </w:r>
      <w:r w:rsidR="006A2B13" w:rsidRPr="006A2B13">
        <w:instrText xml:space="preserve"> {"</w:instrText>
      </w:r>
      <w:r w:rsidR="006A2B13">
        <w:rPr>
          <w:lang w:val="en-US"/>
        </w:rPr>
        <w:instrText>citationItems</w:instrText>
      </w:r>
      <w:r w:rsidR="006A2B13" w:rsidRPr="006A2B13">
        <w:instrText>":[{"</w:instrText>
      </w:r>
      <w:r w:rsidR="006A2B13">
        <w:rPr>
          <w:lang w:val="en-US"/>
        </w:rPr>
        <w:instrText>id</w:instrText>
      </w:r>
      <w:r w:rsidR="006A2B13" w:rsidRPr="006A2B13">
        <w:instrText>":"</w:instrText>
      </w:r>
      <w:r w:rsidR="006A2B13">
        <w:rPr>
          <w:lang w:val="en-US"/>
        </w:rPr>
        <w:instrText>ITEM</w:instrText>
      </w:r>
      <w:r w:rsidR="006A2B13" w:rsidRPr="006A2B13">
        <w:instrText>-1","</w:instrText>
      </w:r>
      <w:r w:rsidR="006A2B13">
        <w:rPr>
          <w:lang w:val="en-US"/>
        </w:rPr>
        <w:instrText>itemData</w:instrText>
      </w:r>
      <w:r w:rsidR="006A2B13" w:rsidRPr="006A2B13">
        <w:instrText>":{"</w:instrText>
      </w:r>
      <w:r w:rsidR="006A2B13">
        <w:rPr>
          <w:lang w:val="en-US"/>
        </w:rPr>
        <w:instrText>DOI</w:instrText>
      </w:r>
      <w:r w:rsidR="006A2B13" w:rsidRPr="006A2B13">
        <w:instrText>":"10.3109/10428194.2015.1135437","</w:instrText>
      </w:r>
      <w:r w:rsidR="006A2B13">
        <w:rPr>
          <w:lang w:val="en-US"/>
        </w:rPr>
        <w:instrText>ISSN</w:instrText>
      </w:r>
      <w:r w:rsidR="006A2B13" w:rsidRPr="006A2B13">
        <w:instrText>":"10292403","</w:instrText>
      </w:r>
      <w:r w:rsidR="006A2B13">
        <w:rPr>
          <w:lang w:val="en-US"/>
        </w:rPr>
        <w:instrText>author</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family</w:instrText>
      </w:r>
      <w:r w:rsidR="006A2B13" w:rsidRPr="006A2B13">
        <w:instrText>":"</w:instrText>
      </w:r>
      <w:r w:rsidR="006A2B13">
        <w:rPr>
          <w:lang w:val="en-US"/>
        </w:rPr>
        <w:instrText>Amorim</w:instrText>
      </w:r>
      <w:r w:rsidR="006A2B13" w:rsidRPr="006A2B13">
        <w:instrText>","</w:instrText>
      </w:r>
      <w:r w:rsidR="006A2B13">
        <w:rPr>
          <w:lang w:val="en-US"/>
        </w:rPr>
        <w:instrText>given</w:instrText>
      </w:r>
      <w:r w:rsidR="006A2B13" w:rsidRPr="006A2B13">
        <w:instrText>":"</w:instrText>
      </w:r>
      <w:r w:rsidR="006A2B13">
        <w:rPr>
          <w:lang w:val="en-US"/>
        </w:rPr>
        <w:instrText>Sandy</w:instrText>
      </w:r>
      <w:r w:rsidR="006A2B13" w:rsidRPr="006A2B13">
        <w:instrText>","</w:instrText>
      </w:r>
      <w:r w:rsidR="006A2B13">
        <w:rPr>
          <w:lang w:val="en-US"/>
        </w:rPr>
        <w:instrText>non</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parse</w:instrText>
      </w:r>
      <w:r w:rsidR="006A2B13" w:rsidRPr="006A2B13">
        <w:instrText>-</w:instrText>
      </w:r>
      <w:r w:rsidR="006A2B13">
        <w:rPr>
          <w:lang w:val="en-US"/>
        </w:rPr>
        <w:instrText>names</w:instrText>
      </w:r>
      <w:r w:rsidR="006A2B13" w:rsidRPr="006A2B13">
        <w:instrText>":</w:instrText>
      </w:r>
      <w:r w:rsidR="006A2B13">
        <w:rPr>
          <w:lang w:val="en-US"/>
        </w:rPr>
        <w:instrText>false</w:instrText>
      </w:r>
      <w:r w:rsidR="006A2B13" w:rsidRPr="006A2B13">
        <w:instrText>,"</w:instrText>
      </w:r>
      <w:r w:rsidR="006A2B13">
        <w:rPr>
          <w:lang w:val="en-US"/>
        </w:rPr>
        <w:instrText>suffix</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family</w:instrText>
      </w:r>
      <w:r w:rsidR="006A2B13" w:rsidRPr="006A2B13">
        <w:instrText>":"</w:instrText>
      </w:r>
      <w:r w:rsidR="006A2B13">
        <w:rPr>
          <w:lang w:val="en-US"/>
        </w:rPr>
        <w:instrText>Fleury</w:instrText>
      </w:r>
      <w:r w:rsidR="006A2B13" w:rsidRPr="006A2B13">
        <w:instrText>","</w:instrText>
      </w:r>
      <w:r w:rsidR="006A2B13">
        <w:rPr>
          <w:lang w:val="en-US"/>
        </w:rPr>
        <w:instrText>given</w:instrText>
      </w:r>
      <w:r w:rsidR="006A2B13" w:rsidRPr="006A2B13">
        <w:instrText>":"</w:instrText>
      </w:r>
      <w:r w:rsidR="006A2B13">
        <w:rPr>
          <w:lang w:val="en-US"/>
        </w:rPr>
        <w:instrText>Isabelle</w:instrText>
      </w:r>
      <w:r w:rsidR="006A2B13" w:rsidRPr="006A2B13">
        <w:instrText>","</w:instrText>
      </w:r>
      <w:r w:rsidR="006A2B13">
        <w:rPr>
          <w:lang w:val="en-US"/>
        </w:rPr>
        <w:instrText>non</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parse</w:instrText>
      </w:r>
      <w:r w:rsidR="006A2B13" w:rsidRPr="006A2B13">
        <w:instrText>-</w:instrText>
      </w:r>
      <w:r w:rsidR="006A2B13">
        <w:rPr>
          <w:lang w:val="en-US"/>
        </w:rPr>
        <w:instrText>names</w:instrText>
      </w:r>
      <w:r w:rsidR="006A2B13" w:rsidRPr="006A2B13">
        <w:instrText>":</w:instrText>
      </w:r>
      <w:r w:rsidR="006A2B13">
        <w:rPr>
          <w:lang w:val="en-US"/>
        </w:rPr>
        <w:instrText>false</w:instrText>
      </w:r>
      <w:r w:rsidR="006A2B13" w:rsidRPr="006A2B13">
        <w:instrText>,"</w:instrText>
      </w:r>
      <w:r w:rsidR="006A2B13">
        <w:rPr>
          <w:lang w:val="en-US"/>
        </w:rPr>
        <w:instrText>suffix</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family</w:instrText>
      </w:r>
      <w:r w:rsidR="006A2B13" w:rsidRPr="006A2B13">
        <w:instrText>":"</w:instrText>
      </w:r>
      <w:r w:rsidR="006A2B13">
        <w:rPr>
          <w:lang w:val="en-US"/>
        </w:rPr>
        <w:instrText>Mounier</w:instrText>
      </w:r>
      <w:r w:rsidR="006A2B13" w:rsidRPr="006A2B13">
        <w:instrText>","</w:instrText>
      </w:r>
      <w:r w:rsidR="006A2B13">
        <w:rPr>
          <w:lang w:val="en-US"/>
        </w:rPr>
        <w:instrText>given</w:instrText>
      </w:r>
      <w:r w:rsidR="006A2B13" w:rsidRPr="006A2B13">
        <w:instrText>":"</w:instrText>
      </w:r>
      <w:r w:rsidR="006A2B13">
        <w:rPr>
          <w:lang w:val="en-US"/>
        </w:rPr>
        <w:instrText>Nicolas</w:instrText>
      </w:r>
      <w:r w:rsidR="006A2B13" w:rsidRPr="006A2B13">
        <w:instrText>","</w:instrText>
      </w:r>
      <w:r w:rsidR="006A2B13">
        <w:rPr>
          <w:lang w:val="en-US"/>
        </w:rPr>
        <w:instrText>non</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parse</w:instrText>
      </w:r>
      <w:r w:rsidR="006A2B13" w:rsidRPr="006A2B13">
        <w:instrText>-</w:instrText>
      </w:r>
      <w:r w:rsidR="006A2B13">
        <w:rPr>
          <w:lang w:val="en-US"/>
        </w:rPr>
        <w:instrText>names</w:instrText>
      </w:r>
      <w:r w:rsidR="006A2B13" w:rsidRPr="006A2B13">
        <w:instrText>":</w:instrText>
      </w:r>
      <w:r w:rsidR="006A2B13">
        <w:rPr>
          <w:lang w:val="en-US"/>
        </w:rPr>
        <w:instrText>false</w:instrText>
      </w:r>
      <w:r w:rsidR="006A2B13" w:rsidRPr="006A2B13">
        <w:instrText>,"</w:instrText>
      </w:r>
      <w:r w:rsidR="006A2B13">
        <w:rPr>
          <w:lang w:val="en-US"/>
        </w:rPr>
        <w:instrText>suffix</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family</w:instrText>
      </w:r>
      <w:r w:rsidR="006A2B13" w:rsidRPr="006A2B13">
        <w:instrText>":"</w:instrText>
      </w:r>
      <w:r w:rsidR="006A2B13">
        <w:rPr>
          <w:lang w:val="en-US"/>
        </w:rPr>
        <w:instrText>Harel</w:instrText>
      </w:r>
      <w:r w:rsidR="006A2B13" w:rsidRPr="006A2B13">
        <w:instrText>","</w:instrText>
      </w:r>
      <w:r w:rsidR="006A2B13">
        <w:rPr>
          <w:lang w:val="en-US"/>
        </w:rPr>
        <w:instrText>given</w:instrText>
      </w:r>
      <w:r w:rsidR="006A2B13" w:rsidRPr="006A2B13">
        <w:instrText>":"</w:instrText>
      </w:r>
      <w:r w:rsidR="006A2B13">
        <w:rPr>
          <w:lang w:val="en-US"/>
        </w:rPr>
        <w:instrText>St</w:instrText>
      </w:r>
      <w:r w:rsidR="006A2B13" w:rsidRPr="006A2B13">
        <w:instrText>é</w:instrText>
      </w:r>
      <w:r w:rsidR="006A2B13">
        <w:rPr>
          <w:lang w:val="en-US"/>
        </w:rPr>
        <w:instrText>phanie</w:instrText>
      </w:r>
      <w:r w:rsidR="006A2B13" w:rsidRPr="006A2B13">
        <w:instrText>","</w:instrText>
      </w:r>
      <w:r w:rsidR="006A2B13">
        <w:rPr>
          <w:lang w:val="en-US"/>
        </w:rPr>
        <w:instrText>non</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parse</w:instrText>
      </w:r>
      <w:r w:rsidR="006A2B13" w:rsidRPr="006A2B13">
        <w:instrText>-</w:instrText>
      </w:r>
      <w:r w:rsidR="006A2B13">
        <w:rPr>
          <w:lang w:val="en-US"/>
        </w:rPr>
        <w:instrText>names</w:instrText>
      </w:r>
      <w:r w:rsidR="006A2B13" w:rsidRPr="006A2B13">
        <w:instrText>":</w:instrText>
      </w:r>
      <w:r w:rsidR="006A2B13">
        <w:rPr>
          <w:lang w:val="en-US"/>
        </w:rPr>
        <w:instrText>false</w:instrText>
      </w:r>
      <w:r w:rsidR="006A2B13" w:rsidRPr="006A2B13">
        <w:instrText>,"</w:instrText>
      </w:r>
      <w:r w:rsidR="006A2B13">
        <w:rPr>
          <w:lang w:val="en-US"/>
        </w:rPr>
        <w:instrText>suffix</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family</w:instrText>
      </w:r>
      <w:r w:rsidR="006A2B13" w:rsidRPr="006A2B13">
        <w:instrText>":"</w:instrText>
      </w:r>
      <w:r w:rsidR="006A2B13">
        <w:rPr>
          <w:lang w:val="en-US"/>
        </w:rPr>
        <w:instrText>Brice</w:instrText>
      </w:r>
      <w:r w:rsidR="006A2B13" w:rsidRPr="006A2B13">
        <w:instrText>","</w:instrText>
      </w:r>
      <w:r w:rsidR="006A2B13">
        <w:rPr>
          <w:lang w:val="en-US"/>
        </w:rPr>
        <w:instrText>given</w:instrText>
      </w:r>
      <w:r w:rsidR="006A2B13" w:rsidRPr="006A2B13">
        <w:instrText>":"</w:instrText>
      </w:r>
      <w:r w:rsidR="006A2B13">
        <w:rPr>
          <w:lang w:val="en-US"/>
        </w:rPr>
        <w:instrText>Pauline</w:instrText>
      </w:r>
      <w:r w:rsidR="006A2B13" w:rsidRPr="006A2B13">
        <w:instrText>","</w:instrText>
      </w:r>
      <w:r w:rsidR="006A2B13">
        <w:rPr>
          <w:lang w:val="en-US"/>
        </w:rPr>
        <w:instrText>non</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parse</w:instrText>
      </w:r>
      <w:r w:rsidR="006A2B13" w:rsidRPr="006A2B13">
        <w:instrText>-</w:instrText>
      </w:r>
      <w:r w:rsidR="006A2B13">
        <w:rPr>
          <w:lang w:val="en-US"/>
        </w:rPr>
        <w:instrText>names</w:instrText>
      </w:r>
      <w:r w:rsidR="006A2B13" w:rsidRPr="006A2B13">
        <w:instrText>":</w:instrText>
      </w:r>
      <w:r w:rsidR="006A2B13">
        <w:rPr>
          <w:lang w:val="en-US"/>
        </w:rPr>
        <w:instrText>false</w:instrText>
      </w:r>
      <w:r w:rsidR="006A2B13" w:rsidRPr="006A2B13">
        <w:instrText>,"</w:instrText>
      </w:r>
      <w:r w:rsidR="006A2B13">
        <w:rPr>
          <w:lang w:val="en-US"/>
        </w:rPr>
        <w:instrText>suffix</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family</w:instrText>
      </w:r>
      <w:r w:rsidR="006A2B13" w:rsidRPr="006A2B13">
        <w:instrText>":"</w:instrText>
      </w:r>
      <w:r w:rsidR="006A2B13">
        <w:rPr>
          <w:lang w:val="en-US"/>
        </w:rPr>
        <w:instrText>Thieblemont</w:instrText>
      </w:r>
      <w:r w:rsidR="006A2B13" w:rsidRPr="006A2B13">
        <w:instrText>","</w:instrText>
      </w:r>
      <w:r w:rsidR="006A2B13">
        <w:rPr>
          <w:lang w:val="en-US"/>
        </w:rPr>
        <w:instrText>given</w:instrText>
      </w:r>
      <w:r w:rsidR="006A2B13" w:rsidRPr="006A2B13">
        <w:instrText>":"</w:instrText>
      </w:r>
      <w:r w:rsidR="006A2B13">
        <w:rPr>
          <w:lang w:val="en-US"/>
        </w:rPr>
        <w:instrText>Catherine</w:instrText>
      </w:r>
      <w:r w:rsidR="006A2B13" w:rsidRPr="006A2B13">
        <w:instrText>","</w:instrText>
      </w:r>
      <w:r w:rsidR="006A2B13">
        <w:rPr>
          <w:lang w:val="en-US"/>
        </w:rPr>
        <w:instrText>non</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parse</w:instrText>
      </w:r>
      <w:r w:rsidR="006A2B13" w:rsidRPr="006A2B13">
        <w:instrText>-</w:instrText>
      </w:r>
      <w:r w:rsidR="006A2B13">
        <w:rPr>
          <w:lang w:val="en-US"/>
        </w:rPr>
        <w:instrText>names</w:instrText>
      </w:r>
      <w:r w:rsidR="006A2B13" w:rsidRPr="006A2B13">
        <w:instrText>":</w:instrText>
      </w:r>
      <w:r w:rsidR="006A2B13">
        <w:rPr>
          <w:lang w:val="en-US"/>
        </w:rPr>
        <w:instrText>false</w:instrText>
      </w:r>
      <w:r w:rsidR="006A2B13" w:rsidRPr="006A2B13">
        <w:instrText>,"</w:instrText>
      </w:r>
      <w:r w:rsidR="006A2B13">
        <w:rPr>
          <w:lang w:val="en-US"/>
        </w:rPr>
        <w:instrText>suffix</w:instrText>
      </w:r>
      <w:r w:rsidR="006A2B13" w:rsidRPr="006A2B13">
        <w:instrText>":""}],"</w:instrText>
      </w:r>
      <w:r w:rsidR="006A2B13">
        <w:rPr>
          <w:lang w:val="en-US"/>
        </w:rPr>
        <w:instrText>container</w:instrText>
      </w:r>
      <w:r w:rsidR="006A2B13" w:rsidRPr="006A2B13">
        <w:instrText>-</w:instrText>
      </w:r>
      <w:r w:rsidR="006A2B13">
        <w:rPr>
          <w:lang w:val="en-US"/>
        </w:rPr>
        <w:instrText>title</w:instrText>
      </w:r>
      <w:r w:rsidR="006A2B13" w:rsidRPr="006A2B13">
        <w:instrText>":"</w:instrText>
      </w:r>
      <w:r w:rsidR="006A2B13">
        <w:rPr>
          <w:lang w:val="en-US"/>
        </w:rPr>
        <w:instrText>Leukemia</w:instrText>
      </w:r>
      <w:r w:rsidR="006A2B13" w:rsidRPr="006A2B13">
        <w:instrText xml:space="preserve"> </w:instrText>
      </w:r>
      <w:r w:rsidR="006A2B13">
        <w:rPr>
          <w:lang w:val="en-US"/>
        </w:rPr>
        <w:instrText>and</w:instrText>
      </w:r>
      <w:r w:rsidR="006A2B13" w:rsidRPr="006A2B13">
        <w:instrText xml:space="preserve"> </w:instrText>
      </w:r>
      <w:r w:rsidR="006A2B13">
        <w:rPr>
          <w:lang w:val="en-US"/>
        </w:rPr>
        <w:instrText>Lymphoma</w:instrText>
      </w:r>
      <w:r w:rsidR="006A2B13" w:rsidRPr="006A2B13">
        <w:instrText>","</w:instrText>
      </w:r>
      <w:r w:rsidR="006A2B13">
        <w:rPr>
          <w:lang w:val="en-US"/>
        </w:rPr>
        <w:instrText>id</w:instrText>
      </w:r>
      <w:r w:rsidR="006A2B13" w:rsidRPr="006A2B13">
        <w:instrText>":"</w:instrText>
      </w:r>
      <w:r w:rsidR="006A2B13">
        <w:rPr>
          <w:lang w:val="en-US"/>
        </w:rPr>
        <w:instrText>ITEM</w:instrText>
      </w:r>
      <w:r w:rsidR="006A2B13" w:rsidRPr="006A2B13">
        <w:instrText>-1","</w:instrText>
      </w:r>
      <w:r w:rsidR="006A2B13">
        <w:rPr>
          <w:lang w:val="en-US"/>
        </w:rPr>
        <w:instrText>issue</w:instrText>
      </w:r>
      <w:r w:rsidR="006A2B13" w:rsidRPr="006A2B13">
        <w:instrText>":"10","</w:instrText>
      </w:r>
      <w:r w:rsidR="006A2B13">
        <w:rPr>
          <w:lang w:val="en-US"/>
        </w:rPr>
        <w:instrText>issued</w:instrText>
      </w:r>
      <w:r w:rsidR="006A2B13" w:rsidRPr="006A2B13">
        <w:instrText>":{"</w:instrText>
      </w:r>
      <w:r w:rsidR="006A2B13">
        <w:rPr>
          <w:lang w:val="en-US"/>
        </w:rPr>
        <w:instrText>date</w:instrText>
      </w:r>
      <w:r w:rsidR="006A2B13" w:rsidRPr="006A2B13">
        <w:instrText>-</w:instrText>
      </w:r>
      <w:r w:rsidR="006A2B13">
        <w:rPr>
          <w:lang w:val="en-US"/>
        </w:rPr>
        <w:instrText>parts</w:instrText>
      </w:r>
      <w:r w:rsidR="006A2B13" w:rsidRPr="006A2B13">
        <w:instrText>":[["2016","10","2"]]},"</w:instrText>
      </w:r>
      <w:r w:rsidR="006A2B13">
        <w:rPr>
          <w:lang w:val="en-US"/>
        </w:rPr>
        <w:instrText>page</w:instrText>
      </w:r>
      <w:r w:rsidR="006A2B13" w:rsidRPr="006A2B13">
        <w:instrText>":"2425-2428","</w:instrText>
      </w:r>
      <w:r w:rsidR="006A2B13">
        <w:rPr>
          <w:lang w:val="en-US"/>
        </w:rPr>
        <w:instrText>publisher</w:instrText>
      </w:r>
      <w:r w:rsidR="006A2B13" w:rsidRPr="006A2B13">
        <w:instrText>":"</w:instrText>
      </w:r>
      <w:r w:rsidR="006A2B13">
        <w:rPr>
          <w:lang w:val="en-US"/>
        </w:rPr>
        <w:instrText>Taylor</w:instrText>
      </w:r>
      <w:r w:rsidR="006A2B13" w:rsidRPr="006A2B13">
        <w:instrText xml:space="preserve"> </w:instrText>
      </w:r>
      <w:r w:rsidR="006A2B13">
        <w:rPr>
          <w:lang w:val="en-US"/>
        </w:rPr>
        <w:instrText>and</w:instrText>
      </w:r>
      <w:r w:rsidR="006A2B13" w:rsidRPr="006A2B13">
        <w:instrText xml:space="preserve"> </w:instrText>
      </w:r>
      <w:r w:rsidR="006A2B13">
        <w:rPr>
          <w:lang w:val="en-US"/>
        </w:rPr>
        <w:instrText>Francis</w:instrText>
      </w:r>
      <w:r w:rsidR="006A2B13" w:rsidRPr="006A2B13">
        <w:instrText xml:space="preserve"> </w:instrText>
      </w:r>
      <w:r w:rsidR="006A2B13">
        <w:rPr>
          <w:lang w:val="en-US"/>
        </w:rPr>
        <w:instrText>Ltd</w:instrText>
      </w:r>
      <w:r w:rsidR="006A2B13" w:rsidRPr="006A2B13">
        <w:instrText>","</w:instrText>
      </w:r>
      <w:r w:rsidR="006A2B13">
        <w:rPr>
          <w:lang w:val="en-US"/>
        </w:rPr>
        <w:instrText>title</w:instrText>
      </w:r>
      <w:r w:rsidR="006A2B13" w:rsidRPr="006A2B13">
        <w:instrText>":"</w:instrText>
      </w:r>
      <w:r w:rsidR="006A2B13">
        <w:rPr>
          <w:lang w:val="en-US"/>
        </w:rPr>
        <w:instrText>Consolidation</w:instrText>
      </w:r>
      <w:r w:rsidR="006A2B13" w:rsidRPr="006A2B13">
        <w:instrText xml:space="preserve"> </w:instrText>
      </w:r>
      <w:r w:rsidR="006A2B13">
        <w:rPr>
          <w:lang w:val="en-US"/>
        </w:rPr>
        <w:instrText>therapy</w:instrText>
      </w:r>
      <w:r w:rsidR="006A2B13" w:rsidRPr="006A2B13">
        <w:instrText xml:space="preserve"> </w:instrText>
      </w:r>
      <w:r w:rsidR="006A2B13">
        <w:rPr>
          <w:lang w:val="en-US"/>
        </w:rPr>
        <w:instrText>with</w:instrText>
      </w:r>
      <w:r w:rsidR="006A2B13" w:rsidRPr="006A2B13">
        <w:instrText xml:space="preserve"> </w:instrText>
      </w:r>
      <w:r w:rsidR="006A2B13">
        <w:rPr>
          <w:lang w:val="en-US"/>
        </w:rPr>
        <w:instrText>mitoxantrone</w:instrText>
      </w:r>
      <w:r w:rsidR="006A2B13" w:rsidRPr="006A2B13">
        <w:instrText xml:space="preserve">, </w:instrText>
      </w:r>
      <w:r w:rsidR="006A2B13">
        <w:rPr>
          <w:lang w:val="en-US"/>
        </w:rPr>
        <w:instrText>ifosfamide</w:instrText>
      </w:r>
      <w:r w:rsidR="006A2B13" w:rsidRPr="006A2B13">
        <w:instrText xml:space="preserve"> </w:instrText>
      </w:r>
      <w:r w:rsidR="006A2B13">
        <w:rPr>
          <w:lang w:val="en-US"/>
        </w:rPr>
        <w:instrText>and</w:instrText>
      </w:r>
      <w:r w:rsidR="006A2B13" w:rsidRPr="006A2B13">
        <w:instrText xml:space="preserve"> </w:instrText>
      </w:r>
      <w:r w:rsidR="006A2B13">
        <w:rPr>
          <w:lang w:val="en-US"/>
        </w:rPr>
        <w:instrText>etoposide</w:instrText>
      </w:r>
      <w:r w:rsidR="006A2B13" w:rsidRPr="006A2B13">
        <w:instrText xml:space="preserve"> </w:instrText>
      </w:r>
      <w:r w:rsidR="006A2B13">
        <w:rPr>
          <w:lang w:val="en-US"/>
        </w:rPr>
        <w:instrText>with</w:instrText>
      </w:r>
      <w:r w:rsidR="006A2B13" w:rsidRPr="006A2B13">
        <w:instrText xml:space="preserve"> </w:instrText>
      </w:r>
      <w:r w:rsidR="006A2B13">
        <w:rPr>
          <w:lang w:val="en-US"/>
        </w:rPr>
        <w:instrText>or</w:instrText>
      </w:r>
      <w:r w:rsidR="006A2B13" w:rsidRPr="006A2B13">
        <w:instrText xml:space="preserve"> </w:instrText>
      </w:r>
      <w:r w:rsidR="006A2B13">
        <w:rPr>
          <w:lang w:val="en-US"/>
        </w:rPr>
        <w:instrText>without</w:instrText>
      </w:r>
      <w:r w:rsidR="006A2B13" w:rsidRPr="006A2B13">
        <w:instrText xml:space="preserve"> </w:instrText>
      </w:r>
      <w:r w:rsidR="006A2B13">
        <w:rPr>
          <w:lang w:val="en-US"/>
        </w:rPr>
        <w:instrText>rituximab</w:instrText>
      </w:r>
      <w:r w:rsidR="006A2B13" w:rsidRPr="006A2B13">
        <w:instrText xml:space="preserve"> </w:instrText>
      </w:r>
      <w:r w:rsidR="006A2B13">
        <w:rPr>
          <w:lang w:val="en-US"/>
        </w:rPr>
        <w:instrText>before</w:instrText>
      </w:r>
      <w:r w:rsidR="006A2B13" w:rsidRPr="006A2B13">
        <w:instrText xml:space="preserve"> </w:instrText>
      </w:r>
      <w:r w:rsidR="006A2B13">
        <w:rPr>
          <w:lang w:val="en-US"/>
        </w:rPr>
        <w:instrText>stem</w:instrText>
      </w:r>
      <w:r w:rsidR="006A2B13" w:rsidRPr="006A2B13">
        <w:instrText xml:space="preserve"> </w:instrText>
      </w:r>
      <w:r w:rsidR="006A2B13">
        <w:rPr>
          <w:lang w:val="en-US"/>
        </w:rPr>
        <w:instrText>cell</w:instrText>
      </w:r>
      <w:r w:rsidR="006A2B13" w:rsidRPr="006A2B13">
        <w:instrText xml:space="preserve"> </w:instrText>
      </w:r>
      <w:r w:rsidR="006A2B13">
        <w:rPr>
          <w:lang w:val="en-US"/>
        </w:rPr>
        <w:instrText>transplantation</w:instrText>
      </w:r>
      <w:r w:rsidR="006A2B13" w:rsidRPr="006A2B13">
        <w:instrText xml:space="preserve"> </w:instrText>
      </w:r>
      <w:r w:rsidR="006A2B13">
        <w:rPr>
          <w:lang w:val="en-US"/>
        </w:rPr>
        <w:instrText>in</w:instrText>
      </w:r>
      <w:r w:rsidR="006A2B13" w:rsidRPr="006A2B13">
        <w:instrText xml:space="preserve"> </w:instrText>
      </w:r>
      <w:r w:rsidR="006A2B13">
        <w:rPr>
          <w:lang w:val="en-US"/>
        </w:rPr>
        <w:instrText>relapsed</w:instrText>
      </w:r>
      <w:r w:rsidR="006A2B13" w:rsidRPr="006A2B13">
        <w:instrText xml:space="preserve"> </w:instrText>
      </w:r>
      <w:r w:rsidR="006A2B13">
        <w:rPr>
          <w:lang w:val="en-US"/>
        </w:rPr>
        <w:instrText>diffuse</w:instrText>
      </w:r>
      <w:r w:rsidR="006A2B13" w:rsidRPr="006A2B13">
        <w:instrText xml:space="preserve"> </w:instrText>
      </w:r>
      <w:r w:rsidR="006A2B13">
        <w:rPr>
          <w:lang w:val="en-US"/>
        </w:rPr>
        <w:instrText>large</w:instrText>
      </w:r>
      <w:r w:rsidR="006A2B13" w:rsidRPr="006A2B13">
        <w:instrText xml:space="preserve"> </w:instrText>
      </w:r>
      <w:r w:rsidR="006A2B13">
        <w:rPr>
          <w:lang w:val="en-US"/>
        </w:rPr>
        <w:instrText>B</w:instrText>
      </w:r>
      <w:r w:rsidR="006A2B13" w:rsidRPr="006A2B13">
        <w:instrText>-</w:instrText>
      </w:r>
      <w:r w:rsidR="006A2B13">
        <w:rPr>
          <w:lang w:val="en-US"/>
        </w:rPr>
        <w:instrText>cell</w:instrText>
      </w:r>
      <w:r w:rsidR="006A2B13" w:rsidRPr="006A2B13">
        <w:instrText xml:space="preserve"> </w:instrText>
      </w:r>
      <w:r w:rsidR="006A2B13">
        <w:rPr>
          <w:lang w:val="en-US"/>
        </w:rPr>
        <w:instrText>lymphoma</w:instrText>
      </w:r>
      <w:r w:rsidR="006A2B13" w:rsidRPr="006A2B13">
        <w:instrText xml:space="preserve"> </w:instrText>
      </w:r>
      <w:r w:rsidR="006A2B13">
        <w:rPr>
          <w:lang w:val="en-US"/>
        </w:rPr>
        <w:instrText>patients</w:instrText>
      </w:r>
      <w:r w:rsidR="006A2B13" w:rsidRPr="006A2B13">
        <w:instrText xml:space="preserve"> </w:instrText>
      </w:r>
      <w:r w:rsidR="006A2B13">
        <w:rPr>
          <w:lang w:val="en-US"/>
        </w:rPr>
        <w:instrText>failing</w:instrText>
      </w:r>
      <w:r w:rsidR="006A2B13" w:rsidRPr="006A2B13">
        <w:instrText xml:space="preserve"> </w:instrText>
      </w:r>
      <w:r w:rsidR="006A2B13">
        <w:rPr>
          <w:lang w:val="en-US"/>
        </w:rPr>
        <w:instrText>second</w:instrText>
      </w:r>
      <w:r w:rsidR="006A2B13" w:rsidRPr="006A2B13">
        <w:instrText>-</w:instrText>
      </w:r>
      <w:r w:rsidR="006A2B13">
        <w:rPr>
          <w:lang w:val="en-US"/>
        </w:rPr>
        <w:instrText>line</w:instrText>
      </w:r>
      <w:r w:rsidR="006A2B13" w:rsidRPr="006A2B13">
        <w:instrText xml:space="preserve"> </w:instrText>
      </w:r>
      <w:r w:rsidR="006A2B13">
        <w:rPr>
          <w:lang w:val="en-US"/>
        </w:rPr>
        <w:instrText>treatment</w:instrText>
      </w:r>
      <w:r w:rsidR="006A2B13" w:rsidRPr="006A2B13">
        <w:instrText>","</w:instrText>
      </w:r>
      <w:r w:rsidR="006A2B13">
        <w:rPr>
          <w:lang w:val="en-US"/>
        </w:rPr>
        <w:instrText>type</w:instrText>
      </w:r>
      <w:r w:rsidR="006A2B13" w:rsidRPr="006A2B13">
        <w:instrText>":"</w:instrText>
      </w:r>
      <w:r w:rsidR="006A2B13">
        <w:rPr>
          <w:lang w:val="en-US"/>
        </w:rPr>
        <w:instrText>article</w:instrText>
      </w:r>
      <w:r w:rsidR="006A2B13" w:rsidRPr="006A2B13">
        <w:instrText>","</w:instrText>
      </w:r>
      <w:r w:rsidR="006A2B13">
        <w:rPr>
          <w:lang w:val="en-US"/>
        </w:rPr>
        <w:instrText>volume</w:instrText>
      </w:r>
      <w:r w:rsidR="006A2B13" w:rsidRPr="006A2B13">
        <w:instrText>":"57"},"</w:instrText>
      </w:r>
      <w:r w:rsidR="006A2B13">
        <w:rPr>
          <w:lang w:val="en-US"/>
        </w:rPr>
        <w:instrText>uris</w:instrText>
      </w:r>
      <w:r w:rsidR="006A2B13" w:rsidRPr="006A2B13">
        <w:instrText>":["</w:instrText>
      </w:r>
      <w:r w:rsidR="006A2B13">
        <w:rPr>
          <w:lang w:val="en-US"/>
        </w:rPr>
        <w:instrText>http</w:instrText>
      </w:r>
      <w:r w:rsidR="006A2B13" w:rsidRPr="006A2B13">
        <w:instrText>://</w:instrText>
      </w:r>
      <w:r w:rsidR="006A2B13">
        <w:rPr>
          <w:lang w:val="en-US"/>
        </w:rPr>
        <w:instrText>www</w:instrText>
      </w:r>
      <w:r w:rsidR="006A2B13" w:rsidRPr="006A2B13">
        <w:instrText>.</w:instrText>
      </w:r>
      <w:r w:rsidR="006A2B13">
        <w:rPr>
          <w:lang w:val="en-US"/>
        </w:rPr>
        <w:instrText>mendeley</w:instrText>
      </w:r>
      <w:r w:rsidR="006A2B13" w:rsidRPr="006A2B13">
        <w:instrText>.</w:instrText>
      </w:r>
      <w:r w:rsidR="006A2B13">
        <w:rPr>
          <w:lang w:val="en-US"/>
        </w:rPr>
        <w:instrText>com</w:instrText>
      </w:r>
      <w:r w:rsidR="006A2B13" w:rsidRPr="006A2B13">
        <w:instrText>/</w:instrText>
      </w:r>
      <w:r w:rsidR="006A2B13">
        <w:rPr>
          <w:lang w:val="en-US"/>
        </w:rPr>
        <w:instrText>documents</w:instrText>
      </w:r>
      <w:r w:rsidR="006A2B13" w:rsidRPr="006A2B13">
        <w:instrText>/?</w:instrText>
      </w:r>
      <w:r w:rsidR="006A2B13">
        <w:rPr>
          <w:lang w:val="en-US"/>
        </w:rPr>
        <w:instrText>uuid</w:instrText>
      </w:r>
      <w:r w:rsidR="006A2B13" w:rsidRPr="006A2B13">
        <w:instrText>=</w:instrText>
      </w:r>
      <w:r w:rsidR="006A2B13">
        <w:rPr>
          <w:lang w:val="en-US"/>
        </w:rPr>
        <w:instrText>ba</w:instrText>
      </w:r>
      <w:r w:rsidR="006A2B13" w:rsidRPr="006A2B13">
        <w:instrText>15</w:instrText>
      </w:r>
      <w:r w:rsidR="006A2B13">
        <w:rPr>
          <w:lang w:val="en-US"/>
        </w:rPr>
        <w:instrText>de</w:instrText>
      </w:r>
      <w:r w:rsidR="006A2B13" w:rsidRPr="006A2B13">
        <w:instrText>37-26</w:instrText>
      </w:r>
      <w:r w:rsidR="006A2B13">
        <w:rPr>
          <w:lang w:val="en-US"/>
        </w:rPr>
        <w:instrText>c</w:instrText>
      </w:r>
      <w:r w:rsidR="006A2B13" w:rsidRPr="006A2B13">
        <w:instrText>3-3642-</w:instrText>
      </w:r>
      <w:r w:rsidR="006A2B13">
        <w:rPr>
          <w:lang w:val="en-US"/>
        </w:rPr>
        <w:instrText>b</w:instrText>
      </w:r>
      <w:r w:rsidR="006A2B13" w:rsidRPr="006A2B13">
        <w:instrText>509-</w:instrText>
      </w:r>
      <w:r w:rsidR="006A2B13">
        <w:rPr>
          <w:lang w:val="en-US"/>
        </w:rPr>
        <w:instrText>b</w:instrText>
      </w:r>
      <w:r w:rsidR="006A2B13" w:rsidRPr="006A2B13">
        <w:instrText>49</w:instrText>
      </w:r>
      <w:r w:rsidR="006A2B13">
        <w:rPr>
          <w:lang w:val="en-US"/>
        </w:rPr>
        <w:instrText>ecb</w:instrText>
      </w:r>
      <w:r w:rsidR="006A2B13" w:rsidRPr="006A2B13">
        <w:instrText>260</w:instrText>
      </w:r>
      <w:r w:rsidR="006A2B13">
        <w:rPr>
          <w:lang w:val="en-US"/>
        </w:rPr>
        <w:instrText>e</w:instrText>
      </w:r>
      <w:r w:rsidR="006A2B13" w:rsidRPr="006A2B13">
        <w:instrText>3</w:instrText>
      </w:r>
      <w:r w:rsidR="006A2B13">
        <w:rPr>
          <w:lang w:val="en-US"/>
        </w:rPr>
        <w:instrText>c</w:instrText>
      </w:r>
      <w:r w:rsidR="006A2B13" w:rsidRPr="006A2B13">
        <w:instrText>"]}],"</w:instrText>
      </w:r>
      <w:r w:rsidR="006A2B13">
        <w:rPr>
          <w:lang w:val="en-US"/>
        </w:rPr>
        <w:instrText>mendeley":{"formattedCitation":"[117]","plainTextFormattedCitation":"[117]","previouslyFormattedCitation":"[117]"},"properties":{"noteIndex":0},"schema":"https://github.com/citation-style-language/schema/raw/master/csl-citation.json"}</w:instrText>
      </w:r>
      <w:r w:rsidRPr="000322E4">
        <w:rPr>
          <w:lang w:val="en-US"/>
        </w:rPr>
        <w:fldChar w:fldCharType="separate"/>
      </w:r>
      <w:r w:rsidR="00A6794A" w:rsidRPr="00A6794A">
        <w:rPr>
          <w:noProof/>
          <w:lang w:val="en-US"/>
        </w:rPr>
        <w:t>[117]</w:t>
      </w:r>
      <w:r w:rsidRPr="000322E4">
        <w:rPr>
          <w:lang w:val="en-US"/>
        </w:rPr>
        <w:fldChar w:fldCharType="end"/>
      </w:r>
    </w:p>
    <w:p w14:paraId="329EF477" w14:textId="77777777" w:rsidR="00666D68" w:rsidRPr="000322E4" w:rsidRDefault="00666D68" w:rsidP="008E3584">
      <w:pPr>
        <w:numPr>
          <w:ilvl w:val="0"/>
          <w:numId w:val="47"/>
        </w:numPr>
        <w:spacing w:line="360" w:lineRule="auto"/>
        <w:jc w:val="both"/>
      </w:pPr>
      <w:r w:rsidRPr="000322E4">
        <w:t>Ифосфамид** 1500 мг/м</w:t>
      </w:r>
      <w:r w:rsidRPr="000322E4">
        <w:rPr>
          <w:vertAlign w:val="superscript"/>
        </w:rPr>
        <w:t>2</w:t>
      </w:r>
      <w:r w:rsidRPr="000322E4">
        <w:t xml:space="preserve"> в/в кап., день 1</w:t>
      </w:r>
    </w:p>
    <w:p w14:paraId="17155805" w14:textId="77777777" w:rsidR="00666D68" w:rsidRPr="000322E4" w:rsidRDefault="00666D68" w:rsidP="008E3584">
      <w:pPr>
        <w:numPr>
          <w:ilvl w:val="0"/>
          <w:numId w:val="47"/>
        </w:numPr>
        <w:spacing w:line="360" w:lineRule="auto"/>
        <w:jc w:val="both"/>
      </w:pPr>
      <w:r w:rsidRPr="000322E4">
        <w:t>Месна** 1000 мг/м</w:t>
      </w:r>
      <w:r w:rsidRPr="000322E4">
        <w:rPr>
          <w:vertAlign w:val="superscript"/>
        </w:rPr>
        <w:t>2</w:t>
      </w:r>
      <w:r w:rsidRPr="000322E4">
        <w:t xml:space="preserve"> в/в кап., дни 1-3</w:t>
      </w:r>
    </w:p>
    <w:p w14:paraId="28DE7110" w14:textId="77777777" w:rsidR="00666D68" w:rsidRPr="000322E4" w:rsidRDefault="00666D68" w:rsidP="008E3584">
      <w:pPr>
        <w:numPr>
          <w:ilvl w:val="0"/>
          <w:numId w:val="47"/>
        </w:numPr>
        <w:spacing w:line="360" w:lineRule="auto"/>
        <w:jc w:val="both"/>
      </w:pPr>
      <w:r w:rsidRPr="000322E4">
        <w:t>Этопозид** 150 мг/м</w:t>
      </w:r>
      <w:r w:rsidRPr="000322E4">
        <w:rPr>
          <w:vertAlign w:val="superscript"/>
        </w:rPr>
        <w:t>2</w:t>
      </w:r>
      <w:r w:rsidRPr="000322E4">
        <w:t xml:space="preserve"> в/в кап., дни 1-3</w:t>
      </w:r>
    </w:p>
    <w:p w14:paraId="78A443F5" w14:textId="30FF8CE2" w:rsidR="00666D68" w:rsidRDefault="00666D68" w:rsidP="008E3584">
      <w:pPr>
        <w:numPr>
          <w:ilvl w:val="0"/>
          <w:numId w:val="47"/>
        </w:numPr>
        <w:spacing w:line="360" w:lineRule="auto"/>
        <w:jc w:val="both"/>
      </w:pPr>
      <w:r w:rsidRPr="000322E4">
        <w:lastRenderedPageBreak/>
        <w:t>Митоксантрон** 12 мг/м</w:t>
      </w:r>
      <w:r w:rsidRPr="000322E4">
        <w:rPr>
          <w:vertAlign w:val="superscript"/>
        </w:rPr>
        <w:t>2</w:t>
      </w:r>
      <w:r w:rsidRPr="000322E4">
        <w:t xml:space="preserve"> в/в кап., день 1</w:t>
      </w:r>
    </w:p>
    <w:p w14:paraId="56CC84BB" w14:textId="7F0CD079" w:rsidR="00EB3D5F" w:rsidRPr="000322E4" w:rsidRDefault="00EB3D5F" w:rsidP="008E3584">
      <w:pPr>
        <w:numPr>
          <w:ilvl w:val="0"/>
          <w:numId w:val="47"/>
        </w:numPr>
        <w:spacing w:line="360" w:lineRule="auto"/>
        <w:jc w:val="both"/>
      </w:pPr>
      <w:r>
        <w:t>Ф</w:t>
      </w:r>
      <w:r w:rsidRPr="00EB3D5F">
        <w:t>илграстим 5</w:t>
      </w:r>
      <w:r>
        <w:t xml:space="preserve"> </w:t>
      </w:r>
      <w:r w:rsidRPr="00EB3D5F">
        <w:t>мкг/кг подкожно (п/к) через 24-72 часа после окончания введения химиопрепаратов и до восстановления нормального числа нейтрофилов после надира или пэгфилграстим 6 мг или эмпэгфилграстим 7,5 мг подкожно, однократно, не менее чем через 24 часа после окончания введения химиопрепаратов.</w:t>
      </w:r>
    </w:p>
    <w:p w14:paraId="50D00357" w14:textId="77777777" w:rsidR="00666D68" w:rsidRPr="000322E4" w:rsidRDefault="00666D68" w:rsidP="008E3584">
      <w:pPr>
        <w:spacing w:line="360" w:lineRule="auto"/>
        <w:jc w:val="both"/>
        <w:rPr>
          <w:b/>
          <w:bCs/>
        </w:rPr>
      </w:pPr>
    </w:p>
    <w:p w14:paraId="571D0BD4" w14:textId="6D47C55D" w:rsidR="00666D68" w:rsidRPr="00293AC8" w:rsidRDefault="00666D68" w:rsidP="008E3584">
      <w:pPr>
        <w:spacing w:line="360" w:lineRule="auto"/>
        <w:jc w:val="both"/>
        <w:rPr>
          <w:b/>
          <w:bCs/>
        </w:rPr>
      </w:pPr>
      <w:r w:rsidRPr="000322E4">
        <w:rPr>
          <w:b/>
          <w:bCs/>
          <w:lang w:val="en-US"/>
        </w:rPr>
        <w:t>BR</w:t>
      </w:r>
      <w:r w:rsidRPr="000322E4">
        <w:rPr>
          <w:b/>
          <w:bCs/>
        </w:rPr>
        <w:t xml:space="preserve"> </w:t>
      </w:r>
      <w:r w:rsidRPr="000322E4">
        <w:rPr>
          <w:lang w:val="en-US"/>
        </w:rPr>
        <w:fldChar w:fldCharType="begin" w:fldLock="1"/>
      </w:r>
      <w:r w:rsidR="006A2B13">
        <w:rPr>
          <w:lang w:val="en-US"/>
        </w:rPr>
        <w:instrText>ADDIN CSL_CITATION {"citationItems":[{"id":"ITEM-1","itemData":{"DOI":"10.1007/s00277-013-1879-x","ISSN":"09395555","abstract":"Patients with relapsed or refractory diffuse large B cell lymphoma (DLBCL) are treated with salvage regimens and may be considered for high-dose chemotherapy and autologous stem cell transplantation if disease is chemosensitive. Bendamustine is active in indolent B cell lymphomas and chronic lymphocytic leukemia but has not been extensively studied in aggressive lymphomas. This trial examines the combination of bendamustine and rituximab in patients with relapsed and refractory DLBCL. Patients received bendamustine at 90 mg/m2 (n = 2) or 120 mg/m2 (n = 57) on days 1 and 2 and rituximab at 375 mg/m2 on day 1 every 28 days for up to 6 cycles. The study evaluated objective response rate (ORR), duration of response (DOR), progression-free survival (PFS), and treatment safety. Fifty-nine patients were treated, and 48 were evaluable for response. Median age was 74; 89 % had stage III or IV disease, and 63 % had high revised International Prognostic Index scores; the median number of prior therapies was 1. Based on analysis using the intent-to-treat population, the ORR was 45.8 % (complete response, 15.3 %; partial response, 30.5 %). The median DOR was 17.3 months, and the median PFS was 3.6 months. Grade 3 or 4 hematological toxicities included neutropenia (36 %), leukopenia (29 %), thrombocytopenia (22 %), and anemia (12 %). The combination of bendamustine and rituximab showed modest activity in patients with relapsed and refractory DLBCL and has an acceptable toxicity profile. © 2013 The Author(s).","author":[{"dropping-particle":"","family":"Vacirca","given":"Jeffrey L.","non-dropping-particle":"","parse-names":false,"suffix":""},{"dropping-particle":"","family":"Acs","given":"Peter I.","non-dropping-particle":"","parse-names":false,"suffix":""},{"dropping-particle":"","family":"Tabbara","given":"Imad A.","non-dropping-particle":"","parse-names":false,"suffix":""},{"dropping-particle":"","family":"Rosen","given":"Peter J.","non-dropping-particle":"","parse-names":false,"suffix":""},{"dropping-particle":"","family":"Lee","given":"Peter","non-dropping-particle":"","parse-names":false,"suffix":""},{"dropping-particle":"","family":"Lynam","given":"Eric","non-dropping-particle":"","parse-names":false,"suffix":""}],"container-title":"Annals of Hematology","id":"ITEM-1","issue":"3","issued":{"date-parts":[["2014","3"]]},"page":"403-409","title":"Bendamustine combined with rituximab for patients with relapsed or refractory diffuse large B cell lymphoma","type":"article-journal","volume":"93"},"uris":["http://www.mendeley.com/documents/?uuid=0070ae13-9af0-3b16-960e-b2b285b056da"]},{"id":"ITEM-2","itemData":{"DOI":"10.1200/JCO.2012.46.5203","ISSN":"15277755","abstract":"Purpose Effective and less aggressive therapies are required for patients with relapsed or refractory diffuse large B-cell lymphoma (DLBCL) who are not eligible for or have undergone autologous stem-cell transplantation (ASCT). The present phase II study assessed the efficacy and safety of bendamustine plus rituximab (BR) in this population. Patients and Methods Patients with relapsed or refractory DLBCL treated with one to three prior chemotherapy regimens received rituximab 375 mg/m2 intravenous (IV) infusion on day 1 and bendamustine 120 mg/m2 by IV infusion on days 2 and 3 of each 21-day cycle for up to six cycles. The primary end point was overall response rate (ORR), and the secondary end points were complete response (CR) rate, progression-free survival (PFS), and safety. Results Sixty-Three patients were enrolled, and 59 received BR. The median age was 67 years (range, 36 to 75 years), and 62.7% of patients were 65 years of age or older. Fifty-seven patients (96.6%) were previously treated with rituximab-containing chemotherapy. The ORR was 62.7% (95% CI, 49.1% to 75.0%), with a CR rate of 37.3% (95% CI, 25.0% to 50.9%). The ORRs were comparable between patients - 65 years of age and less than 65 years (62.2% and 63.6%, respectively). The median PFS was 6.7 months (95% CI, 3.6 to 13.7 months). The most frequently observed grade 3 or 4 adverse events were hematologic: lymphopenia (78.0%), neutropenia (76.3%), leukopenia (72.9%), CD4 lymphopenia (66.1%), and thrombocytopenia (22.0%). Conclusion BR is a promising salvage regimen for patients with relapsed or refractory DLBCL after rituximab-containing chemotherapy, warranting further investigation.","author":[{"dropping-particle":"","family":"Ohmachi","given":"Ken","non-dropping-particle":"","parse-names":false,"suffix":""},{"dropping-particle":"","family":"Niitsu","given":"Nozomi","non-dropping-particle":"","parse-names":false,"suffix":""},{"dropping-particle":"","family":"Uchida","given":"Toshiki","non-dropping-particle":"","parse-names":false,"suffix":""},{"dropping-particle":"","family":"Kim","given":"Seok Jin","non-dropping-particle":"","parse-names":false,"suffix":""},{"dropping-particle":"","family":"Ando","given":"Kiyoshi","non-dropping-particle":"","parse-names":false,"suffix":""},{"dropping-particle":"","family":"Takahashi","given":"Naoki","non-dropping-particle":"","parse-names":false,"suffix":""},{"dropping-particle":"","family":"Takahashi","given":"Naoto","non-dropping-particle":"","parse-names":false,"suffix":""},{"dropping-particle":"","family":"Uike","given":"Naokuni","non-dropping-particle":"","parse-names":false,"suffix":""},{"dropping-particle":"","family":"Eom","given":"Hyeon Seok","non-dropping-particle":"","parse-names":false,"suffix":""},{"dropping-particle":"","family":"Chae","given":"Yee Soo","non-dropping-particle":"","parse-names":false,"suffix":""},{"dropping-particle":"","family":"Terauchi","given":</w:instrText>
      </w:r>
      <w:r w:rsidR="006A2B13" w:rsidRPr="006A2B13">
        <w:instrText>"</w:instrText>
      </w:r>
      <w:r w:rsidR="006A2B13">
        <w:rPr>
          <w:lang w:val="en-US"/>
        </w:rPr>
        <w:instrText>Takashi</w:instrText>
      </w:r>
      <w:r w:rsidR="006A2B13" w:rsidRPr="006A2B13">
        <w:instrText>","</w:instrText>
      </w:r>
      <w:r w:rsidR="006A2B13">
        <w:rPr>
          <w:lang w:val="en-US"/>
        </w:rPr>
        <w:instrText>non</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parse</w:instrText>
      </w:r>
      <w:r w:rsidR="006A2B13" w:rsidRPr="006A2B13">
        <w:instrText>-</w:instrText>
      </w:r>
      <w:r w:rsidR="006A2B13">
        <w:rPr>
          <w:lang w:val="en-US"/>
        </w:rPr>
        <w:instrText>names</w:instrText>
      </w:r>
      <w:r w:rsidR="006A2B13" w:rsidRPr="006A2B13">
        <w:instrText>":</w:instrText>
      </w:r>
      <w:r w:rsidR="006A2B13">
        <w:rPr>
          <w:lang w:val="en-US"/>
        </w:rPr>
        <w:instrText>false</w:instrText>
      </w:r>
      <w:r w:rsidR="006A2B13" w:rsidRPr="006A2B13">
        <w:instrText>,"</w:instrText>
      </w:r>
      <w:r w:rsidR="006A2B13">
        <w:rPr>
          <w:lang w:val="en-US"/>
        </w:rPr>
        <w:instrText>suffix</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family</w:instrText>
      </w:r>
      <w:r w:rsidR="006A2B13" w:rsidRPr="006A2B13">
        <w:instrText>":"</w:instrText>
      </w:r>
      <w:r w:rsidR="006A2B13">
        <w:rPr>
          <w:lang w:val="en-US"/>
        </w:rPr>
        <w:instrText>Tateishi</w:instrText>
      </w:r>
      <w:r w:rsidR="006A2B13" w:rsidRPr="006A2B13">
        <w:instrText>","</w:instrText>
      </w:r>
      <w:r w:rsidR="006A2B13">
        <w:rPr>
          <w:lang w:val="en-US"/>
        </w:rPr>
        <w:instrText>given</w:instrText>
      </w:r>
      <w:r w:rsidR="006A2B13" w:rsidRPr="006A2B13">
        <w:instrText>":"</w:instrText>
      </w:r>
      <w:r w:rsidR="006A2B13">
        <w:rPr>
          <w:lang w:val="en-US"/>
        </w:rPr>
        <w:instrText>Ukihide</w:instrText>
      </w:r>
      <w:r w:rsidR="006A2B13" w:rsidRPr="006A2B13">
        <w:instrText>","</w:instrText>
      </w:r>
      <w:r w:rsidR="006A2B13">
        <w:rPr>
          <w:lang w:val="en-US"/>
        </w:rPr>
        <w:instrText>non</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parse</w:instrText>
      </w:r>
      <w:r w:rsidR="006A2B13" w:rsidRPr="006A2B13">
        <w:instrText>-</w:instrText>
      </w:r>
      <w:r w:rsidR="006A2B13">
        <w:rPr>
          <w:lang w:val="en-US"/>
        </w:rPr>
        <w:instrText>names</w:instrText>
      </w:r>
      <w:r w:rsidR="006A2B13" w:rsidRPr="006A2B13">
        <w:instrText>":</w:instrText>
      </w:r>
      <w:r w:rsidR="006A2B13">
        <w:rPr>
          <w:lang w:val="en-US"/>
        </w:rPr>
        <w:instrText>false</w:instrText>
      </w:r>
      <w:r w:rsidR="006A2B13" w:rsidRPr="006A2B13">
        <w:instrText>,"</w:instrText>
      </w:r>
      <w:r w:rsidR="006A2B13">
        <w:rPr>
          <w:lang w:val="en-US"/>
        </w:rPr>
        <w:instrText>suffix</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family</w:instrText>
      </w:r>
      <w:r w:rsidR="006A2B13" w:rsidRPr="006A2B13">
        <w:instrText>":"</w:instrText>
      </w:r>
      <w:r w:rsidR="006A2B13">
        <w:rPr>
          <w:lang w:val="en-US"/>
        </w:rPr>
        <w:instrText>Tatsumi</w:instrText>
      </w:r>
      <w:r w:rsidR="006A2B13" w:rsidRPr="006A2B13">
        <w:instrText>","</w:instrText>
      </w:r>
      <w:r w:rsidR="006A2B13">
        <w:rPr>
          <w:lang w:val="en-US"/>
        </w:rPr>
        <w:instrText>given</w:instrText>
      </w:r>
      <w:r w:rsidR="006A2B13" w:rsidRPr="006A2B13">
        <w:instrText>":"</w:instrText>
      </w:r>
      <w:r w:rsidR="006A2B13">
        <w:rPr>
          <w:lang w:val="en-US"/>
        </w:rPr>
        <w:instrText>Mitsuaki</w:instrText>
      </w:r>
      <w:r w:rsidR="006A2B13" w:rsidRPr="006A2B13">
        <w:instrText>","</w:instrText>
      </w:r>
      <w:r w:rsidR="006A2B13">
        <w:rPr>
          <w:lang w:val="en-US"/>
        </w:rPr>
        <w:instrText>non</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parse</w:instrText>
      </w:r>
      <w:r w:rsidR="006A2B13" w:rsidRPr="006A2B13">
        <w:instrText>-</w:instrText>
      </w:r>
      <w:r w:rsidR="006A2B13">
        <w:rPr>
          <w:lang w:val="en-US"/>
        </w:rPr>
        <w:instrText>names</w:instrText>
      </w:r>
      <w:r w:rsidR="006A2B13" w:rsidRPr="006A2B13">
        <w:instrText>":</w:instrText>
      </w:r>
      <w:r w:rsidR="006A2B13">
        <w:rPr>
          <w:lang w:val="en-US"/>
        </w:rPr>
        <w:instrText>false</w:instrText>
      </w:r>
      <w:r w:rsidR="006A2B13" w:rsidRPr="006A2B13">
        <w:instrText>,"</w:instrText>
      </w:r>
      <w:r w:rsidR="006A2B13">
        <w:rPr>
          <w:lang w:val="en-US"/>
        </w:rPr>
        <w:instrText>suffix</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family</w:instrText>
      </w:r>
      <w:r w:rsidR="006A2B13" w:rsidRPr="006A2B13">
        <w:instrText>":"</w:instrText>
      </w:r>
      <w:r w:rsidR="006A2B13">
        <w:rPr>
          <w:lang w:val="en-US"/>
        </w:rPr>
        <w:instrText>Kim</w:instrText>
      </w:r>
      <w:r w:rsidR="006A2B13" w:rsidRPr="006A2B13">
        <w:instrText>","</w:instrText>
      </w:r>
      <w:r w:rsidR="006A2B13">
        <w:rPr>
          <w:lang w:val="en-US"/>
        </w:rPr>
        <w:instrText>given</w:instrText>
      </w:r>
      <w:r w:rsidR="006A2B13" w:rsidRPr="006A2B13">
        <w:instrText>":"</w:instrText>
      </w:r>
      <w:r w:rsidR="006A2B13">
        <w:rPr>
          <w:lang w:val="en-US"/>
        </w:rPr>
        <w:instrText>Won</w:instrText>
      </w:r>
      <w:r w:rsidR="006A2B13" w:rsidRPr="006A2B13">
        <w:instrText xml:space="preserve"> </w:instrText>
      </w:r>
      <w:r w:rsidR="006A2B13">
        <w:rPr>
          <w:lang w:val="en-US"/>
        </w:rPr>
        <w:instrText>Seog</w:instrText>
      </w:r>
      <w:r w:rsidR="006A2B13" w:rsidRPr="006A2B13">
        <w:instrText>","</w:instrText>
      </w:r>
      <w:r w:rsidR="006A2B13">
        <w:rPr>
          <w:lang w:val="en-US"/>
        </w:rPr>
        <w:instrText>non</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parse</w:instrText>
      </w:r>
      <w:r w:rsidR="006A2B13" w:rsidRPr="006A2B13">
        <w:instrText>-</w:instrText>
      </w:r>
      <w:r w:rsidR="006A2B13">
        <w:rPr>
          <w:lang w:val="en-US"/>
        </w:rPr>
        <w:instrText>names</w:instrText>
      </w:r>
      <w:r w:rsidR="006A2B13" w:rsidRPr="006A2B13">
        <w:instrText>":</w:instrText>
      </w:r>
      <w:r w:rsidR="006A2B13">
        <w:rPr>
          <w:lang w:val="en-US"/>
        </w:rPr>
        <w:instrText>false</w:instrText>
      </w:r>
      <w:r w:rsidR="006A2B13" w:rsidRPr="006A2B13">
        <w:instrText>,"</w:instrText>
      </w:r>
      <w:r w:rsidR="006A2B13">
        <w:rPr>
          <w:lang w:val="en-US"/>
        </w:rPr>
        <w:instrText>suffix</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family</w:instrText>
      </w:r>
      <w:r w:rsidR="006A2B13" w:rsidRPr="006A2B13">
        <w:instrText>":"</w:instrText>
      </w:r>
      <w:r w:rsidR="006A2B13">
        <w:rPr>
          <w:lang w:val="en-US"/>
        </w:rPr>
        <w:instrText>Tobinai</w:instrText>
      </w:r>
      <w:r w:rsidR="006A2B13" w:rsidRPr="006A2B13">
        <w:instrText>","</w:instrText>
      </w:r>
      <w:r w:rsidR="006A2B13">
        <w:rPr>
          <w:lang w:val="en-US"/>
        </w:rPr>
        <w:instrText>given</w:instrText>
      </w:r>
      <w:r w:rsidR="006A2B13" w:rsidRPr="006A2B13">
        <w:instrText>":"</w:instrText>
      </w:r>
      <w:r w:rsidR="006A2B13">
        <w:rPr>
          <w:lang w:val="en-US"/>
        </w:rPr>
        <w:instrText>Kensei</w:instrText>
      </w:r>
      <w:r w:rsidR="006A2B13" w:rsidRPr="006A2B13">
        <w:instrText>","</w:instrText>
      </w:r>
      <w:r w:rsidR="006A2B13">
        <w:rPr>
          <w:lang w:val="en-US"/>
        </w:rPr>
        <w:instrText>non</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parse</w:instrText>
      </w:r>
      <w:r w:rsidR="006A2B13" w:rsidRPr="006A2B13">
        <w:instrText>-</w:instrText>
      </w:r>
      <w:r w:rsidR="006A2B13">
        <w:rPr>
          <w:lang w:val="en-US"/>
        </w:rPr>
        <w:instrText>names</w:instrText>
      </w:r>
      <w:r w:rsidR="006A2B13" w:rsidRPr="006A2B13">
        <w:instrText>":</w:instrText>
      </w:r>
      <w:r w:rsidR="006A2B13">
        <w:rPr>
          <w:lang w:val="en-US"/>
        </w:rPr>
        <w:instrText>false</w:instrText>
      </w:r>
      <w:r w:rsidR="006A2B13" w:rsidRPr="006A2B13">
        <w:instrText>,"</w:instrText>
      </w:r>
      <w:r w:rsidR="006A2B13">
        <w:rPr>
          <w:lang w:val="en-US"/>
        </w:rPr>
        <w:instrText>suffix</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family</w:instrText>
      </w:r>
      <w:r w:rsidR="006A2B13" w:rsidRPr="006A2B13">
        <w:instrText>":"</w:instrText>
      </w:r>
      <w:r w:rsidR="006A2B13">
        <w:rPr>
          <w:lang w:val="en-US"/>
        </w:rPr>
        <w:instrText>Suh</w:instrText>
      </w:r>
      <w:r w:rsidR="006A2B13" w:rsidRPr="006A2B13">
        <w:instrText>","</w:instrText>
      </w:r>
      <w:r w:rsidR="006A2B13">
        <w:rPr>
          <w:lang w:val="en-US"/>
        </w:rPr>
        <w:instrText>given</w:instrText>
      </w:r>
      <w:r w:rsidR="006A2B13" w:rsidRPr="006A2B13">
        <w:instrText>":"</w:instrText>
      </w:r>
      <w:r w:rsidR="006A2B13">
        <w:rPr>
          <w:lang w:val="en-US"/>
        </w:rPr>
        <w:instrText>Cheolwon</w:instrText>
      </w:r>
      <w:r w:rsidR="006A2B13" w:rsidRPr="006A2B13">
        <w:instrText>","</w:instrText>
      </w:r>
      <w:r w:rsidR="006A2B13">
        <w:rPr>
          <w:lang w:val="en-US"/>
        </w:rPr>
        <w:instrText>non</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parse</w:instrText>
      </w:r>
      <w:r w:rsidR="006A2B13" w:rsidRPr="006A2B13">
        <w:instrText>-</w:instrText>
      </w:r>
      <w:r w:rsidR="006A2B13">
        <w:rPr>
          <w:lang w:val="en-US"/>
        </w:rPr>
        <w:instrText>names</w:instrText>
      </w:r>
      <w:r w:rsidR="006A2B13" w:rsidRPr="006A2B13">
        <w:instrText>":</w:instrText>
      </w:r>
      <w:r w:rsidR="006A2B13">
        <w:rPr>
          <w:lang w:val="en-US"/>
        </w:rPr>
        <w:instrText>false</w:instrText>
      </w:r>
      <w:r w:rsidR="006A2B13" w:rsidRPr="006A2B13">
        <w:instrText>,"</w:instrText>
      </w:r>
      <w:r w:rsidR="006A2B13">
        <w:rPr>
          <w:lang w:val="en-US"/>
        </w:rPr>
        <w:instrText>suffix</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family</w:instrText>
      </w:r>
      <w:r w:rsidR="006A2B13" w:rsidRPr="006A2B13">
        <w:instrText>":"</w:instrText>
      </w:r>
      <w:r w:rsidR="006A2B13">
        <w:rPr>
          <w:lang w:val="en-US"/>
        </w:rPr>
        <w:instrText>Ogura</w:instrText>
      </w:r>
      <w:r w:rsidR="006A2B13" w:rsidRPr="006A2B13">
        <w:instrText>","</w:instrText>
      </w:r>
      <w:r w:rsidR="006A2B13">
        <w:rPr>
          <w:lang w:val="en-US"/>
        </w:rPr>
        <w:instrText>given</w:instrText>
      </w:r>
      <w:r w:rsidR="006A2B13" w:rsidRPr="006A2B13">
        <w:instrText>":"</w:instrText>
      </w:r>
      <w:r w:rsidR="006A2B13">
        <w:rPr>
          <w:lang w:val="en-US"/>
        </w:rPr>
        <w:instrText>Michinori</w:instrText>
      </w:r>
      <w:r w:rsidR="006A2B13" w:rsidRPr="006A2B13">
        <w:instrText>","</w:instrText>
      </w:r>
      <w:r w:rsidR="006A2B13">
        <w:rPr>
          <w:lang w:val="en-US"/>
        </w:rPr>
        <w:instrText>non</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parse</w:instrText>
      </w:r>
      <w:r w:rsidR="006A2B13" w:rsidRPr="006A2B13">
        <w:instrText>-</w:instrText>
      </w:r>
      <w:r w:rsidR="006A2B13">
        <w:rPr>
          <w:lang w:val="en-US"/>
        </w:rPr>
        <w:instrText>names</w:instrText>
      </w:r>
      <w:r w:rsidR="006A2B13" w:rsidRPr="006A2B13">
        <w:instrText>":</w:instrText>
      </w:r>
      <w:r w:rsidR="006A2B13">
        <w:rPr>
          <w:lang w:val="en-US"/>
        </w:rPr>
        <w:instrText>false</w:instrText>
      </w:r>
      <w:r w:rsidR="006A2B13" w:rsidRPr="006A2B13">
        <w:instrText>,"</w:instrText>
      </w:r>
      <w:r w:rsidR="006A2B13">
        <w:rPr>
          <w:lang w:val="en-US"/>
        </w:rPr>
        <w:instrText>suffix</w:instrText>
      </w:r>
      <w:r w:rsidR="006A2B13" w:rsidRPr="006A2B13">
        <w:instrText>":""}],"</w:instrText>
      </w:r>
      <w:r w:rsidR="006A2B13">
        <w:rPr>
          <w:lang w:val="en-US"/>
        </w:rPr>
        <w:instrText>container</w:instrText>
      </w:r>
      <w:r w:rsidR="006A2B13" w:rsidRPr="006A2B13">
        <w:instrText>-</w:instrText>
      </w:r>
      <w:r w:rsidR="006A2B13">
        <w:rPr>
          <w:lang w:val="en-US"/>
        </w:rPr>
        <w:instrText>title</w:instrText>
      </w:r>
      <w:r w:rsidR="006A2B13" w:rsidRPr="006A2B13">
        <w:instrText>":"</w:instrText>
      </w:r>
      <w:r w:rsidR="006A2B13">
        <w:rPr>
          <w:lang w:val="en-US"/>
        </w:rPr>
        <w:instrText>Journal</w:instrText>
      </w:r>
      <w:r w:rsidR="006A2B13" w:rsidRPr="006A2B13">
        <w:instrText xml:space="preserve"> </w:instrText>
      </w:r>
      <w:r w:rsidR="006A2B13">
        <w:rPr>
          <w:lang w:val="en-US"/>
        </w:rPr>
        <w:instrText>of</w:instrText>
      </w:r>
      <w:r w:rsidR="006A2B13" w:rsidRPr="006A2B13">
        <w:instrText xml:space="preserve"> </w:instrText>
      </w:r>
      <w:r w:rsidR="006A2B13">
        <w:rPr>
          <w:lang w:val="en-US"/>
        </w:rPr>
        <w:instrText>Clinical</w:instrText>
      </w:r>
      <w:r w:rsidR="006A2B13" w:rsidRPr="006A2B13">
        <w:instrText xml:space="preserve"> </w:instrText>
      </w:r>
      <w:r w:rsidR="006A2B13">
        <w:rPr>
          <w:lang w:val="en-US"/>
        </w:rPr>
        <w:instrText>Oncology</w:instrText>
      </w:r>
      <w:r w:rsidR="006A2B13" w:rsidRPr="006A2B13">
        <w:instrText>","</w:instrText>
      </w:r>
      <w:r w:rsidR="006A2B13">
        <w:rPr>
          <w:lang w:val="en-US"/>
        </w:rPr>
        <w:instrText>id</w:instrText>
      </w:r>
      <w:r w:rsidR="006A2B13" w:rsidRPr="006A2B13">
        <w:instrText>":"</w:instrText>
      </w:r>
      <w:r w:rsidR="006A2B13">
        <w:rPr>
          <w:lang w:val="en-US"/>
        </w:rPr>
        <w:instrText>ITEM</w:instrText>
      </w:r>
      <w:r w:rsidR="006A2B13" w:rsidRPr="006A2B13">
        <w:instrText>-2","</w:instrText>
      </w:r>
      <w:r w:rsidR="006A2B13">
        <w:rPr>
          <w:lang w:val="en-US"/>
        </w:rPr>
        <w:instrText>issue</w:instrText>
      </w:r>
      <w:r w:rsidR="006A2B13" w:rsidRPr="006A2B13">
        <w:instrText>":"17","</w:instrText>
      </w:r>
      <w:r w:rsidR="006A2B13">
        <w:rPr>
          <w:lang w:val="en-US"/>
        </w:rPr>
        <w:instrText>issued</w:instrText>
      </w:r>
      <w:r w:rsidR="006A2B13" w:rsidRPr="006A2B13">
        <w:instrText>":{"</w:instrText>
      </w:r>
      <w:r w:rsidR="006A2B13">
        <w:rPr>
          <w:lang w:val="en-US"/>
        </w:rPr>
        <w:instrText>date</w:instrText>
      </w:r>
      <w:r w:rsidR="006A2B13" w:rsidRPr="006A2B13">
        <w:instrText>-</w:instrText>
      </w:r>
      <w:r w:rsidR="006A2B13">
        <w:rPr>
          <w:lang w:val="en-US"/>
        </w:rPr>
        <w:instrText>parts</w:instrText>
      </w:r>
      <w:r w:rsidR="006A2B13" w:rsidRPr="006A2B13">
        <w:instrText>":[["2013","6","10"]]},"</w:instrText>
      </w:r>
      <w:r w:rsidR="006A2B13">
        <w:rPr>
          <w:lang w:val="en-US"/>
        </w:rPr>
        <w:instrText>page</w:instrText>
      </w:r>
      <w:r w:rsidR="006A2B13" w:rsidRPr="006A2B13">
        <w:instrText>":"2103-2109","</w:instrText>
      </w:r>
      <w:r w:rsidR="006A2B13">
        <w:rPr>
          <w:lang w:val="en-US"/>
        </w:rPr>
        <w:instrText>publisher</w:instrText>
      </w:r>
      <w:r w:rsidR="006A2B13" w:rsidRPr="006A2B13">
        <w:instrText>":"</w:instrText>
      </w:r>
      <w:r w:rsidR="006A2B13">
        <w:rPr>
          <w:lang w:val="en-US"/>
        </w:rPr>
        <w:instrText>American</w:instrText>
      </w:r>
      <w:r w:rsidR="006A2B13" w:rsidRPr="006A2B13">
        <w:instrText xml:space="preserve"> </w:instrText>
      </w:r>
      <w:r w:rsidR="006A2B13">
        <w:rPr>
          <w:lang w:val="en-US"/>
        </w:rPr>
        <w:instrText>Society</w:instrText>
      </w:r>
      <w:r w:rsidR="006A2B13" w:rsidRPr="006A2B13">
        <w:instrText xml:space="preserve"> </w:instrText>
      </w:r>
      <w:r w:rsidR="006A2B13">
        <w:rPr>
          <w:lang w:val="en-US"/>
        </w:rPr>
        <w:instrText>of</w:instrText>
      </w:r>
      <w:r w:rsidR="006A2B13" w:rsidRPr="006A2B13">
        <w:instrText xml:space="preserve"> </w:instrText>
      </w:r>
      <w:r w:rsidR="006A2B13">
        <w:rPr>
          <w:lang w:val="en-US"/>
        </w:rPr>
        <w:instrText>Clinical</w:instrText>
      </w:r>
      <w:r w:rsidR="006A2B13" w:rsidRPr="006A2B13">
        <w:instrText xml:space="preserve"> </w:instrText>
      </w:r>
      <w:r w:rsidR="006A2B13">
        <w:rPr>
          <w:lang w:val="en-US"/>
        </w:rPr>
        <w:instrText>Oncology</w:instrText>
      </w:r>
      <w:r w:rsidR="006A2B13" w:rsidRPr="006A2B13">
        <w:instrText>","</w:instrText>
      </w:r>
      <w:r w:rsidR="006A2B13">
        <w:rPr>
          <w:lang w:val="en-US"/>
        </w:rPr>
        <w:instrText>title</w:instrText>
      </w:r>
      <w:r w:rsidR="006A2B13" w:rsidRPr="006A2B13">
        <w:instrText>":"</w:instrText>
      </w:r>
      <w:r w:rsidR="006A2B13">
        <w:rPr>
          <w:lang w:val="en-US"/>
        </w:rPr>
        <w:instrText>Multicenter</w:instrText>
      </w:r>
      <w:r w:rsidR="006A2B13" w:rsidRPr="006A2B13">
        <w:instrText xml:space="preserve"> </w:instrText>
      </w:r>
      <w:r w:rsidR="006A2B13">
        <w:rPr>
          <w:lang w:val="en-US"/>
        </w:rPr>
        <w:instrText>phase</w:instrText>
      </w:r>
      <w:r w:rsidR="006A2B13" w:rsidRPr="006A2B13">
        <w:instrText xml:space="preserve"> </w:instrText>
      </w:r>
      <w:r w:rsidR="006A2B13">
        <w:rPr>
          <w:lang w:val="en-US"/>
        </w:rPr>
        <w:instrText>II</w:instrText>
      </w:r>
      <w:r w:rsidR="006A2B13" w:rsidRPr="006A2B13">
        <w:instrText xml:space="preserve"> </w:instrText>
      </w:r>
      <w:r w:rsidR="006A2B13">
        <w:rPr>
          <w:lang w:val="en-US"/>
        </w:rPr>
        <w:instrText>study</w:instrText>
      </w:r>
      <w:r w:rsidR="006A2B13" w:rsidRPr="006A2B13">
        <w:instrText xml:space="preserve"> </w:instrText>
      </w:r>
      <w:r w:rsidR="006A2B13">
        <w:rPr>
          <w:lang w:val="en-US"/>
        </w:rPr>
        <w:instrText>of</w:instrText>
      </w:r>
      <w:r w:rsidR="006A2B13" w:rsidRPr="006A2B13">
        <w:instrText xml:space="preserve"> </w:instrText>
      </w:r>
      <w:r w:rsidR="006A2B13">
        <w:rPr>
          <w:lang w:val="en-US"/>
        </w:rPr>
        <w:instrText>bendamustine</w:instrText>
      </w:r>
      <w:r w:rsidR="006A2B13" w:rsidRPr="006A2B13">
        <w:instrText xml:space="preserve"> </w:instrText>
      </w:r>
      <w:r w:rsidR="006A2B13">
        <w:rPr>
          <w:lang w:val="en-US"/>
        </w:rPr>
        <w:instrText>plus</w:instrText>
      </w:r>
      <w:r w:rsidR="006A2B13" w:rsidRPr="006A2B13">
        <w:instrText xml:space="preserve"> </w:instrText>
      </w:r>
      <w:r w:rsidR="006A2B13">
        <w:rPr>
          <w:lang w:val="en-US"/>
        </w:rPr>
        <w:instrText>rituximab</w:instrText>
      </w:r>
      <w:r w:rsidR="006A2B13" w:rsidRPr="006A2B13">
        <w:instrText xml:space="preserve"> </w:instrText>
      </w:r>
      <w:r w:rsidR="006A2B13">
        <w:rPr>
          <w:lang w:val="en-US"/>
        </w:rPr>
        <w:instrText>in</w:instrText>
      </w:r>
      <w:r w:rsidR="006A2B13" w:rsidRPr="006A2B13">
        <w:instrText xml:space="preserve"> </w:instrText>
      </w:r>
      <w:r w:rsidR="006A2B13">
        <w:rPr>
          <w:lang w:val="en-US"/>
        </w:rPr>
        <w:instrText>patients</w:instrText>
      </w:r>
      <w:r w:rsidR="006A2B13" w:rsidRPr="006A2B13">
        <w:instrText xml:space="preserve"> </w:instrText>
      </w:r>
      <w:r w:rsidR="006A2B13">
        <w:rPr>
          <w:lang w:val="en-US"/>
        </w:rPr>
        <w:instrText>with</w:instrText>
      </w:r>
      <w:r w:rsidR="006A2B13" w:rsidRPr="006A2B13">
        <w:instrText xml:space="preserve"> </w:instrText>
      </w:r>
      <w:r w:rsidR="006A2B13">
        <w:rPr>
          <w:lang w:val="en-US"/>
        </w:rPr>
        <w:instrText>relapsed</w:instrText>
      </w:r>
      <w:r w:rsidR="006A2B13" w:rsidRPr="006A2B13">
        <w:instrText xml:space="preserve"> </w:instrText>
      </w:r>
      <w:r w:rsidR="006A2B13">
        <w:rPr>
          <w:lang w:val="en-US"/>
        </w:rPr>
        <w:instrText>or</w:instrText>
      </w:r>
      <w:r w:rsidR="006A2B13" w:rsidRPr="006A2B13">
        <w:instrText xml:space="preserve"> </w:instrText>
      </w:r>
      <w:r w:rsidR="006A2B13">
        <w:rPr>
          <w:lang w:val="en-US"/>
        </w:rPr>
        <w:instrText>refractory</w:instrText>
      </w:r>
      <w:r w:rsidR="006A2B13" w:rsidRPr="006A2B13">
        <w:instrText xml:space="preserve"> </w:instrText>
      </w:r>
      <w:r w:rsidR="006A2B13">
        <w:rPr>
          <w:lang w:val="en-US"/>
        </w:rPr>
        <w:instrText>diffuse</w:instrText>
      </w:r>
      <w:r w:rsidR="006A2B13" w:rsidRPr="006A2B13">
        <w:instrText xml:space="preserve"> </w:instrText>
      </w:r>
      <w:r w:rsidR="006A2B13">
        <w:rPr>
          <w:lang w:val="en-US"/>
        </w:rPr>
        <w:instrText>large</w:instrText>
      </w:r>
      <w:r w:rsidR="006A2B13" w:rsidRPr="006A2B13">
        <w:instrText xml:space="preserve"> </w:instrText>
      </w:r>
      <w:r w:rsidR="006A2B13">
        <w:rPr>
          <w:lang w:val="en-US"/>
        </w:rPr>
        <w:instrText>B</w:instrText>
      </w:r>
      <w:r w:rsidR="006A2B13" w:rsidRPr="006A2B13">
        <w:instrText>-</w:instrText>
      </w:r>
      <w:r w:rsidR="006A2B13">
        <w:rPr>
          <w:lang w:val="en-US"/>
        </w:rPr>
        <w:instrText>cell</w:instrText>
      </w:r>
      <w:r w:rsidR="006A2B13" w:rsidRPr="006A2B13">
        <w:instrText xml:space="preserve"> </w:instrText>
      </w:r>
      <w:r w:rsidR="006A2B13">
        <w:rPr>
          <w:lang w:val="en-US"/>
        </w:rPr>
        <w:instrText>lymphoma</w:instrText>
      </w:r>
      <w:r w:rsidR="006A2B13" w:rsidRPr="006A2B13">
        <w:instrText>","</w:instrText>
      </w:r>
      <w:r w:rsidR="006A2B13">
        <w:rPr>
          <w:lang w:val="en-US"/>
        </w:rPr>
        <w:instrText>type</w:instrText>
      </w:r>
      <w:r w:rsidR="006A2B13" w:rsidRPr="006A2B13">
        <w:instrText>":"</w:instrText>
      </w:r>
      <w:r w:rsidR="006A2B13">
        <w:rPr>
          <w:lang w:val="en-US"/>
        </w:rPr>
        <w:instrText>paper</w:instrText>
      </w:r>
      <w:r w:rsidR="006A2B13" w:rsidRPr="006A2B13">
        <w:instrText>-</w:instrText>
      </w:r>
      <w:r w:rsidR="006A2B13">
        <w:rPr>
          <w:lang w:val="en-US"/>
        </w:rPr>
        <w:instrText>conference</w:instrText>
      </w:r>
      <w:r w:rsidR="006A2B13" w:rsidRPr="006A2B13">
        <w:instrText>","</w:instrText>
      </w:r>
      <w:r w:rsidR="006A2B13">
        <w:rPr>
          <w:lang w:val="en-US"/>
        </w:rPr>
        <w:instrText>volume</w:instrText>
      </w:r>
      <w:r w:rsidR="006A2B13" w:rsidRPr="006A2B13">
        <w:instrText>":"31"},"</w:instrText>
      </w:r>
      <w:r w:rsidR="006A2B13">
        <w:rPr>
          <w:lang w:val="en-US"/>
        </w:rPr>
        <w:instrText>uris</w:instrText>
      </w:r>
      <w:r w:rsidR="006A2B13" w:rsidRPr="006A2B13">
        <w:instrText>":["</w:instrText>
      </w:r>
      <w:r w:rsidR="006A2B13">
        <w:rPr>
          <w:lang w:val="en-US"/>
        </w:rPr>
        <w:instrText>http</w:instrText>
      </w:r>
      <w:r w:rsidR="006A2B13" w:rsidRPr="006A2B13">
        <w:instrText>://</w:instrText>
      </w:r>
      <w:r w:rsidR="006A2B13">
        <w:rPr>
          <w:lang w:val="en-US"/>
        </w:rPr>
        <w:instrText>www</w:instrText>
      </w:r>
      <w:r w:rsidR="006A2B13" w:rsidRPr="006A2B13">
        <w:instrText>.</w:instrText>
      </w:r>
      <w:r w:rsidR="006A2B13">
        <w:rPr>
          <w:lang w:val="en-US"/>
        </w:rPr>
        <w:instrText>mendeley</w:instrText>
      </w:r>
      <w:r w:rsidR="006A2B13" w:rsidRPr="006A2B13">
        <w:instrText>.</w:instrText>
      </w:r>
      <w:r w:rsidR="006A2B13">
        <w:rPr>
          <w:lang w:val="en-US"/>
        </w:rPr>
        <w:instrText>com</w:instrText>
      </w:r>
      <w:r w:rsidR="006A2B13" w:rsidRPr="006A2B13">
        <w:instrText>/</w:instrText>
      </w:r>
      <w:r w:rsidR="006A2B13">
        <w:rPr>
          <w:lang w:val="en-US"/>
        </w:rPr>
        <w:instrText>documents</w:instrText>
      </w:r>
      <w:r w:rsidR="006A2B13" w:rsidRPr="006A2B13">
        <w:instrText>/?</w:instrText>
      </w:r>
      <w:r w:rsidR="006A2B13">
        <w:rPr>
          <w:lang w:val="en-US"/>
        </w:rPr>
        <w:instrText>uuid</w:instrText>
      </w:r>
      <w:r w:rsidR="006A2B13" w:rsidRPr="006A2B13">
        <w:instrText>=11818781-861</w:instrText>
      </w:r>
      <w:r w:rsidR="006A2B13">
        <w:rPr>
          <w:lang w:val="en-US"/>
        </w:rPr>
        <w:instrText>b</w:instrText>
      </w:r>
      <w:r w:rsidR="006A2B13" w:rsidRPr="006A2B13">
        <w:instrText>-36</w:instrText>
      </w:r>
      <w:r w:rsidR="006A2B13">
        <w:rPr>
          <w:lang w:val="en-US"/>
        </w:rPr>
        <w:instrText>f</w:instrText>
      </w:r>
      <w:r w:rsidR="006A2B13" w:rsidRPr="006A2B13">
        <w:instrText>3-</w:instrText>
      </w:r>
      <w:r w:rsidR="006A2B13">
        <w:rPr>
          <w:lang w:val="en-US"/>
        </w:rPr>
        <w:instrText>aa</w:instrText>
      </w:r>
      <w:r w:rsidR="006A2B13" w:rsidRPr="006A2B13">
        <w:instrText>08-86</w:instrText>
      </w:r>
      <w:r w:rsidR="006A2B13">
        <w:rPr>
          <w:lang w:val="en-US"/>
        </w:rPr>
        <w:instrText>cabb</w:instrText>
      </w:r>
      <w:r w:rsidR="006A2B13" w:rsidRPr="006A2B13">
        <w:instrText>13</w:instrText>
      </w:r>
      <w:r w:rsidR="006A2B13">
        <w:rPr>
          <w:lang w:val="en-US"/>
        </w:rPr>
        <w:instrText>c</w:instrText>
      </w:r>
      <w:r w:rsidR="006A2B13" w:rsidRPr="006A2B13">
        <w:instrText>19</w:instrText>
      </w:r>
      <w:r w:rsidR="006A2B13">
        <w:rPr>
          <w:lang w:val="en-US"/>
        </w:rPr>
        <w:instrText>e</w:instrText>
      </w:r>
      <w:r w:rsidR="006A2B13" w:rsidRPr="006A2B13">
        <w:instrText>"]}],"</w:instrText>
      </w:r>
      <w:r w:rsidR="006A2B13">
        <w:rPr>
          <w:lang w:val="en-US"/>
        </w:rPr>
        <w:instrText>mendeley</w:instrText>
      </w:r>
      <w:r w:rsidR="006A2B13" w:rsidRPr="006A2B13">
        <w:instrText>":{"</w:instrText>
      </w:r>
      <w:r w:rsidR="006A2B13">
        <w:rPr>
          <w:lang w:val="en-US"/>
        </w:rPr>
        <w:instrText>formattedCitation</w:instrText>
      </w:r>
      <w:r w:rsidR="006A2B13" w:rsidRPr="006A2B13">
        <w:instrText>":"[121,122]","</w:instrText>
      </w:r>
      <w:r w:rsidR="006A2B13">
        <w:rPr>
          <w:lang w:val="en-US"/>
        </w:rPr>
        <w:instrText>plainTextFormattedCitation</w:instrText>
      </w:r>
      <w:r w:rsidR="006A2B13" w:rsidRPr="006A2B13">
        <w:instrText>":"[121,122]","</w:instrText>
      </w:r>
      <w:r w:rsidR="006A2B13">
        <w:rPr>
          <w:lang w:val="en-US"/>
        </w:rPr>
        <w:instrText>previouslyFormattedCitation</w:instrText>
      </w:r>
      <w:r w:rsidR="006A2B13" w:rsidRPr="006A2B13">
        <w:instrText>":"[121,122]"},"</w:instrText>
      </w:r>
      <w:r w:rsidR="006A2B13">
        <w:rPr>
          <w:lang w:val="en-US"/>
        </w:rPr>
        <w:instrText>properties</w:instrText>
      </w:r>
      <w:r w:rsidR="006A2B13" w:rsidRPr="006A2B13">
        <w:instrText>":{"</w:instrText>
      </w:r>
      <w:r w:rsidR="006A2B13">
        <w:rPr>
          <w:lang w:val="en-US"/>
        </w:rPr>
        <w:instrText>noteIndex</w:instrText>
      </w:r>
      <w:r w:rsidR="006A2B13" w:rsidRPr="006A2B13">
        <w:instrText>":0},"</w:instrText>
      </w:r>
      <w:r w:rsidR="006A2B13">
        <w:rPr>
          <w:lang w:val="en-US"/>
        </w:rPr>
        <w:instrText>schema</w:instrText>
      </w:r>
      <w:r w:rsidR="006A2B13" w:rsidRPr="006A2B13">
        <w:instrText>":"</w:instrText>
      </w:r>
      <w:r w:rsidR="006A2B13">
        <w:rPr>
          <w:lang w:val="en-US"/>
        </w:rPr>
        <w:instrText>https</w:instrText>
      </w:r>
      <w:r w:rsidR="006A2B13" w:rsidRPr="006A2B13">
        <w:instrText>://</w:instrText>
      </w:r>
      <w:r w:rsidR="006A2B13">
        <w:rPr>
          <w:lang w:val="en-US"/>
        </w:rPr>
        <w:instrText>github</w:instrText>
      </w:r>
      <w:r w:rsidR="006A2B13" w:rsidRPr="006A2B13">
        <w:instrText>.</w:instrText>
      </w:r>
      <w:r w:rsidR="006A2B13">
        <w:rPr>
          <w:lang w:val="en-US"/>
        </w:rPr>
        <w:instrText>com</w:instrText>
      </w:r>
      <w:r w:rsidR="006A2B13" w:rsidRPr="006A2B13">
        <w:instrText>/</w:instrText>
      </w:r>
      <w:r w:rsidR="006A2B13">
        <w:rPr>
          <w:lang w:val="en-US"/>
        </w:rPr>
        <w:instrText>citation</w:instrText>
      </w:r>
      <w:r w:rsidR="006A2B13" w:rsidRPr="006A2B13">
        <w:instrText>-</w:instrText>
      </w:r>
      <w:r w:rsidR="006A2B13">
        <w:rPr>
          <w:lang w:val="en-US"/>
        </w:rPr>
        <w:instrText>style</w:instrText>
      </w:r>
      <w:r w:rsidR="006A2B13" w:rsidRPr="006A2B13">
        <w:instrText>-</w:instrText>
      </w:r>
      <w:r w:rsidR="006A2B13">
        <w:rPr>
          <w:lang w:val="en-US"/>
        </w:rPr>
        <w:instrText>language</w:instrText>
      </w:r>
      <w:r w:rsidR="006A2B13" w:rsidRPr="006A2B13">
        <w:instrText>/</w:instrText>
      </w:r>
      <w:r w:rsidR="006A2B13">
        <w:rPr>
          <w:lang w:val="en-US"/>
        </w:rPr>
        <w:instrText>schema</w:instrText>
      </w:r>
      <w:r w:rsidR="006A2B13" w:rsidRPr="006A2B13">
        <w:instrText>/</w:instrText>
      </w:r>
      <w:r w:rsidR="006A2B13">
        <w:rPr>
          <w:lang w:val="en-US"/>
        </w:rPr>
        <w:instrText>raw</w:instrText>
      </w:r>
      <w:r w:rsidR="006A2B13" w:rsidRPr="006A2B13">
        <w:instrText>/</w:instrText>
      </w:r>
      <w:r w:rsidR="006A2B13">
        <w:rPr>
          <w:lang w:val="en-US"/>
        </w:rPr>
        <w:instrText>master</w:instrText>
      </w:r>
      <w:r w:rsidR="006A2B13" w:rsidRPr="006A2B13">
        <w:instrText>/</w:instrText>
      </w:r>
      <w:r w:rsidR="006A2B13">
        <w:rPr>
          <w:lang w:val="en-US"/>
        </w:rPr>
        <w:instrText>csl</w:instrText>
      </w:r>
      <w:r w:rsidR="006A2B13" w:rsidRPr="006A2B13">
        <w:instrText>-</w:instrText>
      </w:r>
      <w:r w:rsidR="006A2B13">
        <w:rPr>
          <w:lang w:val="en-US"/>
        </w:rPr>
        <w:instrText>citation</w:instrText>
      </w:r>
      <w:r w:rsidR="006A2B13" w:rsidRPr="006A2B13">
        <w:instrText>.</w:instrText>
      </w:r>
      <w:r w:rsidR="006A2B13">
        <w:rPr>
          <w:lang w:val="en-US"/>
        </w:rPr>
        <w:instrText>json</w:instrText>
      </w:r>
      <w:r w:rsidR="006A2B13" w:rsidRPr="006A2B13">
        <w:instrText>"}</w:instrText>
      </w:r>
      <w:r w:rsidRPr="000322E4">
        <w:rPr>
          <w:lang w:val="en-US"/>
        </w:rPr>
        <w:fldChar w:fldCharType="separate"/>
      </w:r>
      <w:r w:rsidR="00A6794A" w:rsidRPr="00A6794A">
        <w:rPr>
          <w:noProof/>
        </w:rPr>
        <w:t>[121,122]</w:t>
      </w:r>
      <w:r w:rsidRPr="000322E4">
        <w:rPr>
          <w:lang w:val="en-US"/>
        </w:rPr>
        <w:fldChar w:fldCharType="end"/>
      </w:r>
      <w:r w:rsidRPr="00293AC8">
        <w:rPr>
          <w:b/>
          <w:bCs/>
        </w:rPr>
        <w:t xml:space="preserve"> </w:t>
      </w:r>
    </w:p>
    <w:p w14:paraId="105B9B16" w14:textId="77777777" w:rsidR="00666D68" w:rsidRPr="00293AC8" w:rsidRDefault="00666D68" w:rsidP="008E3584">
      <w:pPr>
        <w:numPr>
          <w:ilvl w:val="0"/>
          <w:numId w:val="40"/>
        </w:numPr>
        <w:spacing w:line="360" w:lineRule="auto"/>
        <w:jc w:val="both"/>
      </w:pPr>
      <w:r w:rsidRPr="000322E4">
        <w:t>Ритуксимаб</w:t>
      </w:r>
      <w:r w:rsidRPr="00293AC8">
        <w:rPr>
          <w:bCs/>
        </w:rPr>
        <w:t>**</w:t>
      </w:r>
      <w:r w:rsidRPr="00293AC8">
        <w:t xml:space="preserve"> </w:t>
      </w:r>
    </w:p>
    <w:p w14:paraId="25595104" w14:textId="77777777" w:rsidR="00666D68" w:rsidRPr="00293AC8" w:rsidRDefault="00666D68" w:rsidP="008E3584">
      <w:pPr>
        <w:numPr>
          <w:ilvl w:val="1"/>
          <w:numId w:val="40"/>
        </w:numPr>
        <w:spacing w:line="360" w:lineRule="auto"/>
        <w:jc w:val="both"/>
      </w:pPr>
      <w:r w:rsidRPr="00293AC8">
        <w:t xml:space="preserve">375 </w:t>
      </w:r>
      <w:r w:rsidRPr="000322E4">
        <w:t>мг</w:t>
      </w:r>
      <w:r w:rsidRPr="00293AC8">
        <w:t>/</w:t>
      </w:r>
      <w:r w:rsidRPr="000322E4">
        <w:t>м</w:t>
      </w:r>
      <w:r w:rsidRPr="00293AC8">
        <w:rPr>
          <w:vertAlign w:val="superscript"/>
        </w:rPr>
        <w:t>2</w:t>
      </w:r>
      <w:r w:rsidRPr="00293AC8">
        <w:t xml:space="preserve"> </w:t>
      </w:r>
      <w:r w:rsidRPr="000322E4">
        <w:t>в</w:t>
      </w:r>
      <w:r w:rsidRPr="00293AC8">
        <w:t>/</w:t>
      </w:r>
      <w:r w:rsidRPr="000322E4">
        <w:t>в</w:t>
      </w:r>
      <w:r w:rsidRPr="00293AC8">
        <w:t xml:space="preserve"> </w:t>
      </w:r>
      <w:r w:rsidRPr="000322E4">
        <w:t>кап</w:t>
      </w:r>
      <w:r w:rsidRPr="00293AC8">
        <w:t xml:space="preserve">., </w:t>
      </w:r>
      <w:r w:rsidRPr="000322E4">
        <w:t>день</w:t>
      </w:r>
      <w:r w:rsidRPr="00293AC8">
        <w:t xml:space="preserve"> 1 </w:t>
      </w:r>
      <w:r w:rsidRPr="000322E4">
        <w:t>все</w:t>
      </w:r>
      <w:r w:rsidRPr="00293AC8">
        <w:t xml:space="preserve"> </w:t>
      </w:r>
      <w:r w:rsidRPr="000322E4">
        <w:t>циклы</w:t>
      </w:r>
      <w:r w:rsidRPr="00293AC8">
        <w:t xml:space="preserve"> </w:t>
      </w:r>
      <w:r w:rsidRPr="000322E4">
        <w:t>курса</w:t>
      </w:r>
    </w:p>
    <w:p w14:paraId="6E85DEDE" w14:textId="77777777" w:rsidR="00666D68" w:rsidRPr="00293AC8" w:rsidRDefault="00666D68" w:rsidP="008E3584">
      <w:pPr>
        <w:spacing w:line="360" w:lineRule="auto"/>
        <w:ind w:left="1080" w:firstLine="336"/>
        <w:jc w:val="both"/>
      </w:pPr>
      <w:r w:rsidRPr="000322E4">
        <w:t>или</w:t>
      </w:r>
    </w:p>
    <w:p w14:paraId="20C3D161" w14:textId="5B32BA72" w:rsidR="00666D68" w:rsidRPr="00293AC8" w:rsidRDefault="00666D68" w:rsidP="008E3584">
      <w:pPr>
        <w:numPr>
          <w:ilvl w:val="1"/>
          <w:numId w:val="40"/>
        </w:numPr>
        <w:spacing w:line="360" w:lineRule="auto"/>
        <w:jc w:val="both"/>
      </w:pPr>
      <w:r w:rsidRPr="00293AC8">
        <w:t xml:space="preserve">375 </w:t>
      </w:r>
      <w:r w:rsidRPr="000322E4">
        <w:t>мг</w:t>
      </w:r>
      <w:r w:rsidRPr="00293AC8">
        <w:t>/</w:t>
      </w:r>
      <w:r w:rsidRPr="000322E4">
        <w:t>м</w:t>
      </w:r>
      <w:r w:rsidRPr="00293AC8">
        <w:rPr>
          <w:vertAlign w:val="superscript"/>
        </w:rPr>
        <w:t>2</w:t>
      </w:r>
      <w:r w:rsidRPr="00293AC8">
        <w:t xml:space="preserve"> </w:t>
      </w:r>
      <w:r w:rsidRPr="000322E4">
        <w:t>в</w:t>
      </w:r>
      <w:r w:rsidRPr="00293AC8">
        <w:t>/</w:t>
      </w:r>
      <w:r w:rsidRPr="000322E4">
        <w:t>в</w:t>
      </w:r>
      <w:r w:rsidRPr="00293AC8">
        <w:t xml:space="preserve"> </w:t>
      </w:r>
      <w:r w:rsidRPr="000322E4">
        <w:t>кап</w:t>
      </w:r>
      <w:r w:rsidRPr="00293AC8">
        <w:t xml:space="preserve">. 1 </w:t>
      </w:r>
      <w:r w:rsidRPr="000322E4">
        <w:t>цикл</w:t>
      </w:r>
      <w:r w:rsidRPr="00293AC8">
        <w:t xml:space="preserve">, </w:t>
      </w:r>
      <w:r w:rsidRPr="000322E4">
        <w:t>далее</w:t>
      </w:r>
      <w:r w:rsidRPr="00293AC8">
        <w:t xml:space="preserve"> </w:t>
      </w:r>
      <w:r w:rsidRPr="000322E4">
        <w:t>ритуксимаб</w:t>
      </w:r>
      <w:r w:rsidRPr="00293AC8">
        <w:t xml:space="preserve"> 1400 </w:t>
      </w:r>
      <w:r w:rsidRPr="000322E4">
        <w:t>мг</w:t>
      </w:r>
      <w:r w:rsidRPr="00293AC8">
        <w:t xml:space="preserve"> </w:t>
      </w:r>
      <w:r w:rsidRPr="000322E4">
        <w:t>п</w:t>
      </w:r>
      <w:r w:rsidRPr="00293AC8">
        <w:t>/</w:t>
      </w:r>
      <w:r w:rsidRPr="000322E4">
        <w:t>к</w:t>
      </w:r>
      <w:r w:rsidRPr="00293AC8">
        <w:t xml:space="preserve">, </w:t>
      </w:r>
      <w:r w:rsidRPr="000322E4">
        <w:t>день</w:t>
      </w:r>
      <w:r w:rsidRPr="00293AC8">
        <w:t xml:space="preserve"> 1 </w:t>
      </w:r>
      <w:r w:rsidRPr="000322E4">
        <w:rPr>
          <w:lang w:val="en-US"/>
        </w:rPr>
        <w:fldChar w:fldCharType="begin" w:fldLock="1"/>
      </w:r>
      <w:r w:rsidR="00A6794A">
        <w:rPr>
          <w:lang w:val="en-US"/>
        </w:rPr>
        <w:instrText>ADDIN</w:instrText>
      </w:r>
      <w:r w:rsidR="00A6794A" w:rsidRPr="00D3550C">
        <w:instrText xml:space="preserve"> </w:instrText>
      </w:r>
      <w:r w:rsidR="00A6794A">
        <w:rPr>
          <w:lang w:val="en-US"/>
        </w:rPr>
        <w:instrText>CSL</w:instrText>
      </w:r>
      <w:r w:rsidR="00A6794A" w:rsidRPr="00D3550C">
        <w:instrText>_</w:instrText>
      </w:r>
      <w:r w:rsidR="00A6794A">
        <w:rPr>
          <w:lang w:val="en-US"/>
        </w:rPr>
        <w:instrText>CITATION</w:instrText>
      </w:r>
      <w:r w:rsidR="00A6794A" w:rsidRPr="00D3550C">
        <w:instrText xml:space="preserve"> {"</w:instrText>
      </w:r>
      <w:r w:rsidR="00A6794A">
        <w:rPr>
          <w:lang w:val="en-US"/>
        </w:rPr>
        <w:instrText>citationItems</w:instrText>
      </w:r>
      <w:r w:rsidR="00A6794A" w:rsidRPr="00D3550C">
        <w:instrText>":[{"</w:instrText>
      </w:r>
      <w:r w:rsidR="00A6794A">
        <w:rPr>
          <w:lang w:val="en-US"/>
        </w:rPr>
        <w:instrText>id</w:instrText>
      </w:r>
      <w:r w:rsidR="00A6794A" w:rsidRPr="00D3550C">
        <w:instrText>":"</w:instrText>
      </w:r>
      <w:r w:rsidR="00A6794A">
        <w:rPr>
          <w:lang w:val="en-US"/>
        </w:rPr>
        <w:instrText>ITEM</w:instrText>
      </w:r>
      <w:r w:rsidR="00A6794A" w:rsidRPr="00D3550C">
        <w:instrText>-1","</w:instrText>
      </w:r>
      <w:r w:rsidR="00A6794A">
        <w:rPr>
          <w:lang w:val="en-US"/>
        </w:rPr>
        <w:instrText>itemData</w:instrText>
      </w:r>
      <w:r w:rsidR="00A6794A" w:rsidRPr="00D3550C">
        <w:instrText>":{"</w:instrText>
      </w:r>
      <w:r w:rsidR="00A6794A">
        <w:rPr>
          <w:lang w:val="en-US"/>
        </w:rPr>
        <w:instrText>ISSN</w:instrText>
      </w:r>
      <w:r w:rsidR="00A6794A" w:rsidRPr="00D3550C">
        <w:instrText>":"2150-0878","</w:instrText>
      </w:r>
      <w:r w:rsidR="00A6794A">
        <w:rPr>
          <w:lang w:val="en-US"/>
        </w:rPr>
        <w:instrText>PMID</w:instrText>
      </w:r>
      <w:r w:rsidR="00A6794A" w:rsidRPr="00D3550C">
        <w:instrText>":"31086689","</w:instrText>
      </w:r>
      <w:r w:rsidR="00A6794A">
        <w:rPr>
          <w:lang w:val="en-US"/>
        </w:rPr>
        <w:instrText>abstract</w:instrText>
      </w:r>
      <w:r w:rsidR="00A6794A" w:rsidRPr="00D3550C">
        <w:instrText>":"</w:instrText>
      </w:r>
      <w:r w:rsidR="00A6794A">
        <w:rPr>
          <w:lang w:val="en-US"/>
        </w:rPr>
        <w:instrText>Rituximab</w:instrText>
      </w:r>
      <w:r w:rsidR="00A6794A" w:rsidRPr="00D3550C">
        <w:instrText xml:space="preserve"> </w:instrText>
      </w:r>
      <w:r w:rsidR="00A6794A">
        <w:rPr>
          <w:lang w:val="en-US"/>
        </w:rPr>
        <w:instrText>and</w:instrText>
      </w:r>
      <w:r w:rsidR="00A6794A" w:rsidRPr="00D3550C">
        <w:instrText xml:space="preserve"> </w:instrText>
      </w:r>
      <w:r w:rsidR="00A6794A">
        <w:rPr>
          <w:lang w:val="en-US"/>
        </w:rPr>
        <w:instrText>hyaluronidase</w:instrText>
      </w:r>
      <w:r w:rsidR="00A6794A" w:rsidRPr="00D3550C">
        <w:instrText xml:space="preserve"> </w:instrText>
      </w:r>
      <w:r w:rsidR="00A6794A">
        <w:rPr>
          <w:lang w:val="en-US"/>
        </w:rPr>
        <w:instrText>human</w:instrText>
      </w:r>
      <w:r w:rsidR="00A6794A" w:rsidRPr="00D3550C">
        <w:instrText xml:space="preserve"> </w:instrText>
      </w:r>
      <w:r w:rsidR="00A6794A">
        <w:rPr>
          <w:lang w:val="en-US"/>
        </w:rPr>
        <w:instrText>is</w:instrText>
      </w:r>
      <w:r w:rsidR="00A6794A" w:rsidRPr="00D3550C">
        <w:instrText xml:space="preserve"> </w:instrText>
      </w:r>
      <w:r w:rsidR="00A6794A">
        <w:rPr>
          <w:lang w:val="en-US"/>
        </w:rPr>
        <w:instrText>a</w:instrText>
      </w:r>
      <w:r w:rsidR="00A6794A" w:rsidRPr="00D3550C">
        <w:instrText xml:space="preserve"> </w:instrText>
      </w:r>
      <w:r w:rsidR="00A6794A">
        <w:rPr>
          <w:lang w:val="en-US"/>
        </w:rPr>
        <w:instrText>new</w:instrText>
      </w:r>
      <w:r w:rsidR="00A6794A" w:rsidRPr="00D3550C">
        <w:instrText xml:space="preserve"> </w:instrText>
      </w:r>
      <w:r w:rsidR="00A6794A">
        <w:rPr>
          <w:lang w:val="en-US"/>
        </w:rPr>
        <w:instrText>subcutaneous</w:instrText>
      </w:r>
      <w:r w:rsidR="00A6794A" w:rsidRPr="00D3550C">
        <w:instrText xml:space="preserve"> </w:instrText>
      </w:r>
      <w:r w:rsidR="00A6794A">
        <w:rPr>
          <w:lang w:val="en-US"/>
        </w:rPr>
        <w:instrText>formulation</w:instrText>
      </w:r>
      <w:r w:rsidR="00A6794A" w:rsidRPr="00D3550C">
        <w:instrText xml:space="preserve"> </w:instrText>
      </w:r>
      <w:r w:rsidR="00A6794A">
        <w:rPr>
          <w:lang w:val="en-US"/>
        </w:rPr>
        <w:instrText>of</w:instrText>
      </w:r>
      <w:r w:rsidR="00A6794A" w:rsidRPr="00D3550C">
        <w:instrText xml:space="preserve"> </w:instrText>
      </w:r>
      <w:r w:rsidR="00A6794A">
        <w:rPr>
          <w:lang w:val="en-US"/>
        </w:rPr>
        <w:instrText>rituximab</w:instrText>
      </w:r>
      <w:r w:rsidR="00A6794A" w:rsidRPr="00D3550C">
        <w:instrText xml:space="preserve"> </w:instrText>
      </w:r>
      <w:r w:rsidR="00A6794A">
        <w:rPr>
          <w:lang w:val="en-US"/>
        </w:rPr>
        <w:instrText>that</w:instrText>
      </w:r>
      <w:r w:rsidR="00A6794A" w:rsidRPr="00D3550C">
        <w:instrText xml:space="preserve"> </w:instrText>
      </w:r>
      <w:r w:rsidR="00A6794A">
        <w:rPr>
          <w:lang w:val="en-US"/>
        </w:rPr>
        <w:instrText>was</w:instrText>
      </w:r>
      <w:r w:rsidR="00A6794A" w:rsidRPr="00D3550C">
        <w:instrText xml:space="preserve"> </w:instrText>
      </w:r>
      <w:r w:rsidR="00A6794A">
        <w:rPr>
          <w:lang w:val="en-US"/>
        </w:rPr>
        <w:instrText>recently</w:instrText>
      </w:r>
      <w:r w:rsidR="00A6794A" w:rsidRPr="00D3550C">
        <w:instrText xml:space="preserve"> </w:instrText>
      </w:r>
      <w:r w:rsidR="00A6794A">
        <w:rPr>
          <w:lang w:val="en-US"/>
        </w:rPr>
        <w:instrText>approved</w:instrText>
      </w:r>
      <w:r w:rsidR="00A6794A" w:rsidRPr="00D3550C">
        <w:instrText xml:space="preserve"> </w:instrText>
      </w:r>
      <w:r w:rsidR="00A6794A">
        <w:rPr>
          <w:lang w:val="en-US"/>
        </w:rPr>
        <w:instrText>by</w:instrText>
      </w:r>
      <w:r w:rsidR="00A6794A" w:rsidRPr="00D3550C">
        <w:instrText xml:space="preserve"> </w:instrText>
      </w:r>
      <w:r w:rsidR="00A6794A">
        <w:rPr>
          <w:lang w:val="en-US"/>
        </w:rPr>
        <w:instrText>the</w:instrText>
      </w:r>
      <w:r w:rsidR="00A6794A" w:rsidRPr="00D3550C">
        <w:instrText xml:space="preserve"> </w:instrText>
      </w:r>
      <w:r w:rsidR="00A6794A">
        <w:rPr>
          <w:lang w:val="en-US"/>
        </w:rPr>
        <w:instrText>US</w:instrText>
      </w:r>
      <w:r w:rsidR="00A6794A" w:rsidRPr="00D3550C">
        <w:instrText xml:space="preserve"> </w:instrText>
      </w:r>
      <w:r w:rsidR="00A6794A">
        <w:rPr>
          <w:lang w:val="en-US"/>
        </w:rPr>
        <w:instrText>Food</w:instrText>
      </w:r>
      <w:r w:rsidR="00A6794A" w:rsidRPr="00D3550C">
        <w:instrText xml:space="preserve"> </w:instrText>
      </w:r>
      <w:r w:rsidR="00A6794A">
        <w:rPr>
          <w:lang w:val="en-US"/>
        </w:rPr>
        <w:instrText>and</w:instrText>
      </w:r>
      <w:r w:rsidR="00A6794A" w:rsidRPr="00D3550C">
        <w:instrText xml:space="preserve"> </w:instrText>
      </w:r>
      <w:r w:rsidR="00A6794A">
        <w:rPr>
          <w:lang w:val="en-US"/>
        </w:rPr>
        <w:instrText>Drug</w:instrText>
      </w:r>
      <w:r w:rsidR="00A6794A" w:rsidRPr="00D3550C">
        <w:instrText xml:space="preserve"> </w:instrText>
      </w:r>
      <w:r w:rsidR="00A6794A">
        <w:rPr>
          <w:lang w:val="en-US"/>
        </w:rPr>
        <w:instrText>Administration</w:instrText>
      </w:r>
      <w:r w:rsidR="00A6794A" w:rsidRPr="00D3550C">
        <w:instrText xml:space="preserve"> </w:instrText>
      </w:r>
      <w:r w:rsidR="00A6794A">
        <w:rPr>
          <w:lang w:val="en-US"/>
        </w:rPr>
        <w:instrText>for</w:instrText>
      </w:r>
      <w:r w:rsidR="00A6794A" w:rsidRPr="00D3550C">
        <w:instrText xml:space="preserve"> </w:instrText>
      </w:r>
      <w:r w:rsidR="00A6794A">
        <w:rPr>
          <w:lang w:val="en-US"/>
        </w:rPr>
        <w:instrText>the</w:instrText>
      </w:r>
      <w:r w:rsidR="00A6794A" w:rsidRPr="00D3550C">
        <w:instrText xml:space="preserve"> </w:instrText>
      </w:r>
      <w:r w:rsidR="00A6794A">
        <w:rPr>
          <w:lang w:val="en-US"/>
        </w:rPr>
        <w:instrText>treatment</w:instrText>
      </w:r>
      <w:r w:rsidR="00A6794A" w:rsidRPr="00D3550C">
        <w:instrText xml:space="preserve"> </w:instrText>
      </w:r>
      <w:r w:rsidR="00A6794A">
        <w:rPr>
          <w:lang w:val="en-US"/>
        </w:rPr>
        <w:instrText>of</w:instrText>
      </w:r>
      <w:r w:rsidR="00A6794A" w:rsidRPr="00D3550C">
        <w:instrText xml:space="preserve"> </w:instrText>
      </w:r>
      <w:r w:rsidR="00A6794A">
        <w:rPr>
          <w:lang w:val="en-US"/>
        </w:rPr>
        <w:instrText>adults</w:instrText>
      </w:r>
      <w:r w:rsidR="00A6794A" w:rsidRPr="00D3550C">
        <w:instrText xml:space="preserve"> </w:instrText>
      </w:r>
      <w:r w:rsidR="00A6794A">
        <w:rPr>
          <w:lang w:val="en-US"/>
        </w:rPr>
        <w:instrText>with</w:instrText>
      </w:r>
      <w:r w:rsidR="00A6794A" w:rsidRPr="00D3550C">
        <w:instrText xml:space="preserve"> </w:instrText>
      </w:r>
      <w:r w:rsidR="00A6794A">
        <w:rPr>
          <w:lang w:val="en-US"/>
        </w:rPr>
        <w:instrText>follicular</w:instrText>
      </w:r>
      <w:r w:rsidR="00A6794A" w:rsidRPr="00D3550C">
        <w:instrText xml:space="preserve"> </w:instrText>
      </w:r>
      <w:r w:rsidR="00A6794A">
        <w:rPr>
          <w:lang w:val="en-US"/>
        </w:rPr>
        <w:instrText>lymphoma</w:instrText>
      </w:r>
      <w:r w:rsidR="00A6794A" w:rsidRPr="00D3550C">
        <w:instrText xml:space="preserve">, </w:instrText>
      </w:r>
      <w:r w:rsidR="00A6794A">
        <w:rPr>
          <w:lang w:val="en-US"/>
        </w:rPr>
        <w:instrText>diffuse</w:instrText>
      </w:r>
      <w:r w:rsidR="00A6794A" w:rsidRPr="00D3550C">
        <w:instrText xml:space="preserve"> </w:instrText>
      </w:r>
      <w:r w:rsidR="00A6794A">
        <w:rPr>
          <w:lang w:val="en-US"/>
        </w:rPr>
        <w:instrText>large</w:instrText>
      </w:r>
      <w:r w:rsidR="00A6794A" w:rsidRPr="00D3550C">
        <w:instrText xml:space="preserve"> </w:instrText>
      </w:r>
      <w:r w:rsidR="00A6794A">
        <w:rPr>
          <w:lang w:val="en-US"/>
        </w:rPr>
        <w:instrText>B</w:instrText>
      </w:r>
      <w:r w:rsidR="00A6794A" w:rsidRPr="00D3550C">
        <w:instrText>-</w:instrText>
      </w:r>
      <w:r w:rsidR="00A6794A">
        <w:rPr>
          <w:lang w:val="en-US"/>
        </w:rPr>
        <w:instrText>cell</w:instrText>
      </w:r>
      <w:r w:rsidR="00A6794A" w:rsidRPr="00D3550C">
        <w:instrText xml:space="preserve"> </w:instrText>
      </w:r>
      <w:r w:rsidR="00A6794A">
        <w:rPr>
          <w:lang w:val="en-US"/>
        </w:rPr>
        <w:instrText>lymphoma</w:instrText>
      </w:r>
      <w:r w:rsidR="00A6794A" w:rsidRPr="00D3550C">
        <w:instrText xml:space="preserve">, </w:instrText>
      </w:r>
      <w:r w:rsidR="00A6794A">
        <w:rPr>
          <w:lang w:val="en-US"/>
        </w:rPr>
        <w:instrText>and</w:instrText>
      </w:r>
      <w:r w:rsidR="00A6794A" w:rsidRPr="00D3550C">
        <w:instrText xml:space="preserve"> </w:instrText>
      </w:r>
      <w:r w:rsidR="00A6794A">
        <w:rPr>
          <w:lang w:val="en-US"/>
        </w:rPr>
        <w:instrText>chronic</w:instrText>
      </w:r>
      <w:r w:rsidR="00A6794A" w:rsidRPr="00D3550C">
        <w:instrText xml:space="preserve"> </w:instrText>
      </w:r>
      <w:r w:rsidR="00A6794A">
        <w:rPr>
          <w:lang w:val="en-US"/>
        </w:rPr>
        <w:instrText>lymphocytic</w:instrText>
      </w:r>
      <w:r w:rsidR="00A6794A" w:rsidRPr="00D3550C">
        <w:instrText xml:space="preserve"> </w:instrText>
      </w:r>
      <w:r w:rsidR="00A6794A">
        <w:rPr>
          <w:lang w:val="en-US"/>
        </w:rPr>
        <w:instrText>leukemia</w:instrText>
      </w:r>
      <w:r w:rsidR="00A6794A" w:rsidRPr="00D3550C">
        <w:instrText xml:space="preserve">. </w:instrText>
      </w:r>
      <w:r w:rsidR="00A6794A">
        <w:rPr>
          <w:lang w:val="en-US"/>
        </w:rPr>
        <w:instrText>With</w:instrText>
      </w:r>
      <w:r w:rsidR="00A6794A" w:rsidRPr="00D3550C">
        <w:instrText xml:space="preserve"> </w:instrText>
      </w:r>
      <w:r w:rsidR="00A6794A">
        <w:rPr>
          <w:lang w:val="en-US"/>
        </w:rPr>
        <w:instrText>data</w:instrText>
      </w:r>
      <w:r w:rsidR="00A6794A" w:rsidRPr="00D3550C">
        <w:instrText xml:space="preserve"> </w:instrText>
      </w:r>
      <w:r w:rsidR="00A6794A">
        <w:rPr>
          <w:lang w:val="en-US"/>
        </w:rPr>
        <w:instrText>to</w:instrText>
      </w:r>
      <w:r w:rsidR="00A6794A" w:rsidRPr="00D3550C">
        <w:instrText xml:space="preserve"> </w:instrText>
      </w:r>
      <w:r w:rsidR="00A6794A">
        <w:rPr>
          <w:lang w:val="en-US"/>
        </w:rPr>
        <w:instrText>support</w:instrText>
      </w:r>
      <w:r w:rsidR="00A6794A" w:rsidRPr="00D3550C">
        <w:instrText xml:space="preserve"> </w:instrText>
      </w:r>
      <w:r w:rsidR="00A6794A">
        <w:rPr>
          <w:lang w:val="en-US"/>
        </w:rPr>
        <w:instrText>noninferior</w:instrText>
      </w:r>
      <w:r w:rsidR="00A6794A" w:rsidRPr="00D3550C">
        <w:instrText xml:space="preserve"> </w:instrText>
      </w:r>
      <w:r w:rsidR="00A6794A">
        <w:rPr>
          <w:lang w:val="en-US"/>
        </w:rPr>
        <w:instrText>pharmacokinetics</w:instrText>
      </w:r>
      <w:r w:rsidR="00A6794A" w:rsidRPr="00D3550C">
        <w:instrText xml:space="preserve">, </w:instrText>
      </w:r>
      <w:r w:rsidR="00A6794A">
        <w:rPr>
          <w:lang w:val="en-US"/>
        </w:rPr>
        <w:instrText>similar</w:instrText>
      </w:r>
      <w:r w:rsidR="00A6794A" w:rsidRPr="00D3550C">
        <w:instrText xml:space="preserve"> </w:instrText>
      </w:r>
      <w:r w:rsidR="00A6794A">
        <w:rPr>
          <w:lang w:val="en-US"/>
        </w:rPr>
        <w:instrText>outcomes</w:instrText>
      </w:r>
      <w:r w:rsidR="00A6794A" w:rsidRPr="00D3550C">
        <w:instrText xml:space="preserve">, </w:instrText>
      </w:r>
      <w:r w:rsidR="00A6794A">
        <w:rPr>
          <w:lang w:val="en-US"/>
        </w:rPr>
        <w:instrText>and</w:instrText>
      </w:r>
      <w:r w:rsidR="00A6794A" w:rsidRPr="00D3550C">
        <w:instrText xml:space="preserve"> </w:instrText>
      </w:r>
      <w:r w:rsidR="00A6794A">
        <w:rPr>
          <w:lang w:val="en-US"/>
        </w:rPr>
        <w:instrText>comparable</w:instrText>
      </w:r>
      <w:r w:rsidR="00A6794A" w:rsidRPr="00D3550C">
        <w:instrText xml:space="preserve"> </w:instrText>
      </w:r>
      <w:r w:rsidR="00A6794A">
        <w:rPr>
          <w:lang w:val="en-US"/>
        </w:rPr>
        <w:instrText>adverse</w:instrText>
      </w:r>
      <w:r w:rsidR="00A6794A" w:rsidRPr="00D3550C">
        <w:instrText xml:space="preserve"> </w:instrText>
      </w:r>
      <w:r w:rsidR="00A6794A">
        <w:rPr>
          <w:lang w:val="en-US"/>
        </w:rPr>
        <w:instrText>events</w:instrText>
      </w:r>
      <w:r w:rsidR="00A6794A" w:rsidRPr="00D3550C">
        <w:instrText xml:space="preserve">, </w:instrText>
      </w:r>
      <w:r w:rsidR="00A6794A">
        <w:rPr>
          <w:lang w:val="en-US"/>
        </w:rPr>
        <w:instrText>rituximab</w:instrText>
      </w:r>
      <w:r w:rsidR="00A6794A" w:rsidRPr="00D3550C">
        <w:instrText xml:space="preserve"> </w:instrText>
      </w:r>
      <w:r w:rsidR="00A6794A">
        <w:rPr>
          <w:lang w:val="en-US"/>
        </w:rPr>
        <w:instrText>and</w:instrText>
      </w:r>
      <w:r w:rsidR="00A6794A" w:rsidRPr="00D3550C">
        <w:instrText xml:space="preserve"> </w:instrText>
      </w:r>
      <w:r w:rsidR="00A6794A">
        <w:rPr>
          <w:lang w:val="en-US"/>
        </w:rPr>
        <w:instrText>hyaluronidase</w:instrText>
      </w:r>
      <w:r w:rsidR="00A6794A" w:rsidRPr="00D3550C">
        <w:instrText xml:space="preserve"> </w:instrText>
      </w:r>
      <w:r w:rsidR="00A6794A">
        <w:rPr>
          <w:lang w:val="en-US"/>
        </w:rPr>
        <w:instrText>human</w:instrText>
      </w:r>
      <w:r w:rsidR="00A6794A" w:rsidRPr="00D3550C">
        <w:instrText xml:space="preserve"> </w:instrText>
      </w:r>
      <w:r w:rsidR="00A6794A">
        <w:rPr>
          <w:lang w:val="en-US"/>
        </w:rPr>
        <w:instrText>may</w:instrText>
      </w:r>
      <w:r w:rsidR="00A6794A" w:rsidRPr="00D3550C">
        <w:instrText xml:space="preserve"> </w:instrText>
      </w:r>
      <w:r w:rsidR="00A6794A">
        <w:rPr>
          <w:lang w:val="en-US"/>
        </w:rPr>
        <w:instrText>offer</w:instrText>
      </w:r>
      <w:r w:rsidR="00A6794A" w:rsidRPr="00D3550C">
        <w:instrText xml:space="preserve"> </w:instrText>
      </w:r>
      <w:r w:rsidR="00A6794A">
        <w:rPr>
          <w:lang w:val="en-US"/>
        </w:rPr>
        <w:instrText>a</w:instrText>
      </w:r>
      <w:r w:rsidR="00A6794A" w:rsidRPr="00D3550C">
        <w:instrText xml:space="preserve"> </w:instrText>
      </w:r>
      <w:r w:rsidR="00A6794A">
        <w:rPr>
          <w:lang w:val="en-US"/>
        </w:rPr>
        <w:instrText>suitable</w:instrText>
      </w:r>
      <w:r w:rsidR="00A6794A" w:rsidRPr="00D3550C">
        <w:instrText xml:space="preserve"> </w:instrText>
      </w:r>
      <w:r w:rsidR="00A6794A">
        <w:rPr>
          <w:lang w:val="en-US"/>
        </w:rPr>
        <w:instrText>alternative</w:instrText>
      </w:r>
      <w:r w:rsidR="00A6794A" w:rsidRPr="00D3550C">
        <w:instrText xml:space="preserve"> </w:instrText>
      </w:r>
      <w:r w:rsidR="00A6794A">
        <w:rPr>
          <w:lang w:val="en-US"/>
        </w:rPr>
        <w:instrText>to</w:instrText>
      </w:r>
      <w:r w:rsidR="00A6794A" w:rsidRPr="00D3550C">
        <w:instrText xml:space="preserve"> </w:instrText>
      </w:r>
      <w:r w:rsidR="00A6794A">
        <w:rPr>
          <w:lang w:val="en-US"/>
        </w:rPr>
        <w:instrText>intravenous</w:instrText>
      </w:r>
      <w:r w:rsidR="00A6794A" w:rsidRPr="00D3550C">
        <w:instrText xml:space="preserve"> </w:instrText>
      </w:r>
      <w:r w:rsidR="00A6794A">
        <w:rPr>
          <w:lang w:val="en-US"/>
        </w:rPr>
        <w:instrText>rituximab</w:instrText>
      </w:r>
      <w:r w:rsidR="00A6794A" w:rsidRPr="00D3550C">
        <w:instrText xml:space="preserve"> </w:instrText>
      </w:r>
      <w:r w:rsidR="00A6794A">
        <w:rPr>
          <w:lang w:val="en-US"/>
        </w:rPr>
        <w:instrText>that</w:instrText>
      </w:r>
      <w:r w:rsidR="00A6794A" w:rsidRPr="00D3550C">
        <w:instrText xml:space="preserve"> </w:instrText>
      </w:r>
      <w:r w:rsidR="00A6794A">
        <w:rPr>
          <w:lang w:val="en-US"/>
        </w:rPr>
        <w:instrText>could</w:instrText>
      </w:r>
      <w:r w:rsidR="00A6794A" w:rsidRPr="00D3550C">
        <w:instrText xml:space="preserve"> </w:instrText>
      </w:r>
      <w:r w:rsidR="00A6794A">
        <w:rPr>
          <w:lang w:val="en-US"/>
        </w:rPr>
        <w:instrText>improve</w:instrText>
      </w:r>
      <w:r w:rsidR="00A6794A" w:rsidRPr="00D3550C">
        <w:instrText xml:space="preserve"> </w:instrText>
      </w:r>
      <w:r w:rsidR="00A6794A">
        <w:rPr>
          <w:lang w:val="en-US"/>
        </w:rPr>
        <w:instrText>convenience</w:instrText>
      </w:r>
      <w:r w:rsidR="00A6794A" w:rsidRPr="00D3550C">
        <w:instrText xml:space="preserve"> </w:instrText>
      </w:r>
      <w:r w:rsidR="00A6794A">
        <w:rPr>
          <w:lang w:val="en-US"/>
        </w:rPr>
        <w:instrText>for</w:instrText>
      </w:r>
      <w:r w:rsidR="00A6794A" w:rsidRPr="00D3550C">
        <w:instrText xml:space="preserve"> </w:instrText>
      </w:r>
      <w:r w:rsidR="00A6794A">
        <w:rPr>
          <w:lang w:val="en-US"/>
        </w:rPr>
        <w:instrText>patients</w:instrText>
      </w:r>
      <w:r w:rsidR="00A6794A" w:rsidRPr="00D3550C">
        <w:instrText xml:space="preserve"> </w:instrText>
      </w:r>
      <w:r w:rsidR="00A6794A">
        <w:rPr>
          <w:lang w:val="en-US"/>
        </w:rPr>
        <w:instrText>and</w:instrText>
      </w:r>
      <w:r w:rsidR="00A6794A" w:rsidRPr="00D3550C">
        <w:instrText xml:space="preserve"> </w:instrText>
      </w:r>
      <w:r w:rsidR="00A6794A">
        <w:rPr>
          <w:lang w:val="en-US"/>
        </w:rPr>
        <w:instrText>better</w:instrText>
      </w:r>
      <w:r w:rsidR="00A6794A" w:rsidRPr="00D3550C">
        <w:instrText xml:space="preserve"> </w:instrText>
      </w:r>
      <w:r w:rsidR="00A6794A">
        <w:rPr>
          <w:lang w:val="en-US"/>
        </w:rPr>
        <w:instrText>utilize</w:instrText>
      </w:r>
      <w:r w:rsidR="00A6794A" w:rsidRPr="00D3550C">
        <w:instrText xml:space="preserve"> </w:instrText>
      </w:r>
      <w:r w:rsidR="00A6794A">
        <w:rPr>
          <w:lang w:val="en-US"/>
        </w:rPr>
        <w:instrText>health</w:instrText>
      </w:r>
      <w:r w:rsidR="00A6794A" w:rsidRPr="00D3550C">
        <w:instrText>-</w:instrText>
      </w:r>
      <w:r w:rsidR="00A6794A">
        <w:rPr>
          <w:lang w:val="en-US"/>
        </w:rPr>
        <w:instrText>care</w:instrText>
      </w:r>
      <w:r w:rsidR="00A6794A" w:rsidRPr="00D3550C">
        <w:instrText xml:space="preserve"> </w:instrText>
      </w:r>
      <w:r w:rsidR="00A6794A">
        <w:rPr>
          <w:lang w:val="en-US"/>
        </w:rPr>
        <w:instrText>resources</w:instrText>
      </w:r>
      <w:r w:rsidR="00A6794A" w:rsidRPr="00D3550C">
        <w:instrText>.","</w:instrText>
      </w:r>
      <w:r w:rsidR="00A6794A">
        <w:rPr>
          <w:lang w:val="en-US"/>
        </w:rPr>
        <w:instrText>author</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family</w:instrText>
      </w:r>
      <w:r w:rsidR="00A6794A" w:rsidRPr="00D3550C">
        <w:instrText>":"</w:instrText>
      </w:r>
      <w:r w:rsidR="00A6794A">
        <w:rPr>
          <w:lang w:val="en-US"/>
        </w:rPr>
        <w:instrText>Yelvington</w:instrText>
      </w:r>
      <w:r w:rsidR="00A6794A" w:rsidRPr="00D3550C">
        <w:instrText>","</w:instrText>
      </w:r>
      <w:r w:rsidR="00A6794A">
        <w:rPr>
          <w:lang w:val="en-US"/>
        </w:rPr>
        <w:instrText>given</w:instrText>
      </w:r>
      <w:r w:rsidR="00A6794A" w:rsidRPr="00D3550C">
        <w:instrText>":"</w:instrText>
      </w:r>
      <w:r w:rsidR="00A6794A">
        <w:rPr>
          <w:lang w:val="en-US"/>
        </w:rPr>
        <w:instrText>Bradley</w:instrText>
      </w:r>
      <w:r w:rsidR="00A6794A" w:rsidRPr="00D3550C">
        <w:instrText xml:space="preserve"> </w:instrText>
      </w:r>
      <w:r w:rsidR="00A6794A">
        <w:rPr>
          <w:lang w:val="en-US"/>
        </w:rPr>
        <w:instrText>J</w:instrText>
      </w:r>
      <w:r w:rsidR="00A6794A" w:rsidRPr="00D3550C">
        <w:instrText>","</w:instrText>
      </w:r>
      <w:r w:rsidR="00A6794A">
        <w:rPr>
          <w:lang w:val="en-US"/>
        </w:rPr>
        <w:instrText>non</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parse</w:instrText>
      </w:r>
      <w:r w:rsidR="00A6794A" w:rsidRPr="00D3550C">
        <w:instrText>-</w:instrText>
      </w:r>
      <w:r w:rsidR="00A6794A">
        <w:rPr>
          <w:lang w:val="en-US"/>
        </w:rPr>
        <w:instrText>names</w:instrText>
      </w:r>
      <w:r w:rsidR="00A6794A" w:rsidRPr="00D3550C">
        <w:instrText>":</w:instrText>
      </w:r>
      <w:r w:rsidR="00A6794A">
        <w:rPr>
          <w:lang w:val="en-US"/>
        </w:rPr>
        <w:instrText>false</w:instrText>
      </w:r>
      <w:r w:rsidR="00A6794A" w:rsidRPr="00D3550C">
        <w:instrText>,"</w:instrText>
      </w:r>
      <w:r w:rsidR="00A6794A">
        <w:rPr>
          <w:lang w:val="en-US"/>
        </w:rPr>
        <w:instrText>suffix</w:instrText>
      </w:r>
      <w:r w:rsidR="00A6794A" w:rsidRPr="00D3550C">
        <w:instrText>":""}],"</w:instrText>
      </w:r>
      <w:r w:rsidR="00A6794A">
        <w:rPr>
          <w:lang w:val="en-US"/>
        </w:rPr>
        <w:instrText>container</w:instrText>
      </w:r>
      <w:r w:rsidR="00A6794A" w:rsidRPr="00D3550C">
        <w:instrText>-</w:instrText>
      </w:r>
      <w:r w:rsidR="00A6794A">
        <w:rPr>
          <w:lang w:val="en-US"/>
        </w:rPr>
        <w:instrText>title</w:instrText>
      </w:r>
      <w:r w:rsidR="00A6794A" w:rsidRPr="00D3550C">
        <w:instrText>":"</w:instrText>
      </w:r>
      <w:r w:rsidR="00A6794A">
        <w:rPr>
          <w:lang w:val="en-US"/>
        </w:rPr>
        <w:instrText>Journal</w:instrText>
      </w:r>
      <w:r w:rsidR="00A6794A" w:rsidRPr="00D3550C">
        <w:instrText xml:space="preserve"> </w:instrText>
      </w:r>
      <w:r w:rsidR="00A6794A">
        <w:rPr>
          <w:lang w:val="en-US"/>
        </w:rPr>
        <w:instrText>of</w:instrText>
      </w:r>
      <w:r w:rsidR="00A6794A" w:rsidRPr="00D3550C">
        <w:instrText xml:space="preserve"> </w:instrText>
      </w:r>
      <w:r w:rsidR="00A6794A">
        <w:rPr>
          <w:lang w:val="en-US"/>
        </w:rPr>
        <w:instrText>the</w:instrText>
      </w:r>
      <w:r w:rsidR="00A6794A" w:rsidRPr="00D3550C">
        <w:instrText xml:space="preserve"> </w:instrText>
      </w:r>
      <w:r w:rsidR="00A6794A">
        <w:rPr>
          <w:lang w:val="en-US"/>
        </w:rPr>
        <w:instrText>advanced</w:instrText>
      </w:r>
      <w:r w:rsidR="00A6794A" w:rsidRPr="00D3550C">
        <w:instrText xml:space="preserve"> </w:instrText>
      </w:r>
      <w:r w:rsidR="00A6794A">
        <w:rPr>
          <w:lang w:val="en-US"/>
        </w:rPr>
        <w:instrText>practitioner</w:instrText>
      </w:r>
      <w:r w:rsidR="00A6794A" w:rsidRPr="00D3550C">
        <w:instrText xml:space="preserve"> </w:instrText>
      </w:r>
      <w:r w:rsidR="00A6794A">
        <w:rPr>
          <w:lang w:val="en-US"/>
        </w:rPr>
        <w:instrText>in</w:instrText>
      </w:r>
      <w:r w:rsidR="00A6794A" w:rsidRPr="00D3550C">
        <w:instrText xml:space="preserve"> </w:instrText>
      </w:r>
      <w:r w:rsidR="00A6794A">
        <w:rPr>
          <w:lang w:val="en-US"/>
        </w:rPr>
        <w:instrText>oncology</w:instrText>
      </w:r>
      <w:r w:rsidR="00A6794A" w:rsidRPr="00D3550C">
        <w:instrText>","</w:instrText>
      </w:r>
      <w:r w:rsidR="00A6794A">
        <w:rPr>
          <w:lang w:val="en-US"/>
        </w:rPr>
        <w:instrText>id</w:instrText>
      </w:r>
      <w:r w:rsidR="00A6794A" w:rsidRPr="00D3550C">
        <w:instrText>":"</w:instrText>
      </w:r>
      <w:r w:rsidR="00A6794A">
        <w:rPr>
          <w:lang w:val="en-US"/>
        </w:rPr>
        <w:instrText>ITEM</w:instrText>
      </w:r>
      <w:r w:rsidR="00A6794A" w:rsidRPr="00D3550C">
        <w:instrText>-1","</w:instrText>
      </w:r>
      <w:r w:rsidR="00A6794A">
        <w:rPr>
          <w:lang w:val="en-US"/>
        </w:rPr>
        <w:instrText>issue</w:instrText>
      </w:r>
      <w:r w:rsidR="00A6794A" w:rsidRPr="00D3550C">
        <w:instrText>":"5","</w:instrText>
      </w:r>
      <w:r w:rsidR="00A6794A">
        <w:rPr>
          <w:lang w:val="en-US"/>
        </w:rPr>
        <w:instrText>issued</w:instrText>
      </w:r>
      <w:r w:rsidR="00A6794A" w:rsidRPr="00D3550C">
        <w:instrText>":{"</w:instrText>
      </w:r>
      <w:r w:rsidR="00A6794A">
        <w:rPr>
          <w:lang w:val="en-US"/>
        </w:rPr>
        <w:instrText>date</w:instrText>
      </w:r>
      <w:r w:rsidR="00A6794A" w:rsidRPr="00D3550C">
        <w:instrText>-</w:instrText>
      </w:r>
      <w:r w:rsidR="00A6794A">
        <w:rPr>
          <w:lang w:val="en-US"/>
        </w:rPr>
        <w:instrText>parts</w:instrText>
      </w:r>
      <w:r w:rsidR="00A6794A" w:rsidRPr="00D3550C">
        <w:instrText>":[["2018"]]},"</w:instrText>
      </w:r>
      <w:r w:rsidR="00A6794A">
        <w:rPr>
          <w:lang w:val="en-US"/>
        </w:rPr>
        <w:instrText>page</w:instrText>
      </w:r>
      <w:r w:rsidR="00A6794A" w:rsidRPr="00D3550C">
        <w:instrText>":"530-534","</w:instrText>
      </w:r>
      <w:r w:rsidR="00A6794A">
        <w:rPr>
          <w:lang w:val="en-US"/>
        </w:rPr>
        <w:instrText>publisher</w:instrText>
      </w:r>
      <w:r w:rsidR="00A6794A" w:rsidRPr="00D3550C">
        <w:instrText>":"</w:instrText>
      </w:r>
      <w:r w:rsidR="00A6794A">
        <w:rPr>
          <w:lang w:val="en-US"/>
        </w:rPr>
        <w:instrText>Harborside</w:instrText>
      </w:r>
      <w:r w:rsidR="00A6794A" w:rsidRPr="00D3550C">
        <w:instrText xml:space="preserve"> </w:instrText>
      </w:r>
      <w:r w:rsidR="00A6794A">
        <w:rPr>
          <w:lang w:val="en-US"/>
        </w:rPr>
        <w:instrText>Press</w:instrText>
      </w:r>
      <w:r w:rsidR="00A6794A" w:rsidRPr="00D3550C">
        <w:instrText>","</w:instrText>
      </w:r>
      <w:r w:rsidR="00A6794A">
        <w:rPr>
          <w:lang w:val="en-US"/>
        </w:rPr>
        <w:instrText>title</w:instrText>
      </w:r>
      <w:r w:rsidR="00A6794A" w:rsidRPr="00D3550C">
        <w:instrText>":"</w:instrText>
      </w:r>
      <w:r w:rsidR="00A6794A">
        <w:rPr>
          <w:lang w:val="en-US"/>
        </w:rPr>
        <w:instrText>Subcutaneous</w:instrText>
      </w:r>
      <w:r w:rsidR="00A6794A" w:rsidRPr="00D3550C">
        <w:instrText xml:space="preserve"> </w:instrText>
      </w:r>
      <w:r w:rsidR="00A6794A">
        <w:rPr>
          <w:lang w:val="en-US"/>
        </w:rPr>
        <w:instrText>Rituximab</w:instrText>
      </w:r>
      <w:r w:rsidR="00A6794A" w:rsidRPr="00D3550C">
        <w:instrText xml:space="preserve"> </w:instrText>
      </w:r>
      <w:r w:rsidR="00A6794A">
        <w:rPr>
          <w:lang w:val="en-US"/>
        </w:rPr>
        <w:instrText>in</w:instrText>
      </w:r>
      <w:r w:rsidR="00A6794A" w:rsidRPr="00D3550C">
        <w:instrText xml:space="preserve"> </w:instrText>
      </w:r>
      <w:r w:rsidR="00A6794A">
        <w:rPr>
          <w:lang w:val="en-US"/>
        </w:rPr>
        <w:instrText>Follicular</w:instrText>
      </w:r>
      <w:r w:rsidR="00A6794A" w:rsidRPr="00D3550C">
        <w:instrText xml:space="preserve"> </w:instrText>
      </w:r>
      <w:r w:rsidR="00A6794A">
        <w:rPr>
          <w:lang w:val="en-US"/>
        </w:rPr>
        <w:instrText>Lymphoma</w:instrText>
      </w:r>
      <w:r w:rsidR="00A6794A" w:rsidRPr="00D3550C">
        <w:instrText xml:space="preserve">, </w:instrText>
      </w:r>
      <w:r w:rsidR="00A6794A">
        <w:rPr>
          <w:lang w:val="en-US"/>
        </w:rPr>
        <w:instrText>Chronic</w:instrText>
      </w:r>
      <w:r w:rsidR="00A6794A" w:rsidRPr="00D3550C">
        <w:instrText xml:space="preserve"> </w:instrText>
      </w:r>
      <w:r w:rsidR="00A6794A">
        <w:rPr>
          <w:lang w:val="en-US"/>
        </w:rPr>
        <w:instrText>Lymphocytic</w:instrText>
      </w:r>
      <w:r w:rsidR="00A6794A" w:rsidRPr="00D3550C">
        <w:instrText xml:space="preserve"> </w:instrText>
      </w:r>
      <w:r w:rsidR="00A6794A">
        <w:rPr>
          <w:lang w:val="en-US"/>
        </w:rPr>
        <w:instrText>Leukemia</w:instrText>
      </w:r>
      <w:r w:rsidR="00A6794A" w:rsidRPr="00D3550C">
        <w:instrText xml:space="preserve">, </w:instrText>
      </w:r>
      <w:r w:rsidR="00A6794A">
        <w:rPr>
          <w:lang w:val="en-US"/>
        </w:rPr>
        <w:instrText>and</w:instrText>
      </w:r>
      <w:r w:rsidR="00A6794A" w:rsidRPr="00D3550C">
        <w:instrText xml:space="preserve"> </w:instrText>
      </w:r>
      <w:r w:rsidR="00A6794A">
        <w:rPr>
          <w:lang w:val="en-US"/>
        </w:rPr>
        <w:instrText>Diffuse</w:instrText>
      </w:r>
      <w:r w:rsidR="00A6794A" w:rsidRPr="00D3550C">
        <w:instrText xml:space="preserve"> </w:instrText>
      </w:r>
      <w:r w:rsidR="00A6794A">
        <w:rPr>
          <w:lang w:val="en-US"/>
        </w:rPr>
        <w:instrText>Large</w:instrText>
      </w:r>
      <w:r w:rsidR="00A6794A" w:rsidRPr="00D3550C">
        <w:instrText xml:space="preserve"> </w:instrText>
      </w:r>
      <w:r w:rsidR="00A6794A">
        <w:rPr>
          <w:lang w:val="en-US"/>
        </w:rPr>
        <w:instrText>B</w:instrText>
      </w:r>
      <w:r w:rsidR="00A6794A" w:rsidRPr="00D3550C">
        <w:instrText>-</w:instrText>
      </w:r>
      <w:r w:rsidR="00A6794A">
        <w:rPr>
          <w:lang w:val="en-US"/>
        </w:rPr>
        <w:instrText>Cell</w:instrText>
      </w:r>
      <w:r w:rsidR="00A6794A" w:rsidRPr="00D3550C">
        <w:instrText xml:space="preserve"> </w:instrText>
      </w:r>
      <w:r w:rsidR="00A6794A">
        <w:rPr>
          <w:lang w:val="en-US"/>
        </w:rPr>
        <w:instrText>Lymphoma</w:instrText>
      </w:r>
      <w:r w:rsidR="00A6794A" w:rsidRPr="00D3550C">
        <w:instrText>.","</w:instrText>
      </w:r>
      <w:r w:rsidR="00A6794A">
        <w:rPr>
          <w:lang w:val="en-US"/>
        </w:rPr>
        <w:instrText>type</w:instrText>
      </w:r>
      <w:r w:rsidR="00A6794A" w:rsidRPr="00D3550C">
        <w:instrText>":"</w:instrText>
      </w:r>
      <w:r w:rsidR="00A6794A">
        <w:rPr>
          <w:lang w:val="en-US"/>
        </w:rPr>
        <w:instrText>article</w:instrText>
      </w:r>
      <w:r w:rsidR="00A6794A" w:rsidRPr="00D3550C">
        <w:instrText>-</w:instrText>
      </w:r>
      <w:r w:rsidR="00A6794A">
        <w:rPr>
          <w:lang w:val="en-US"/>
        </w:rPr>
        <w:instrText>journal</w:instrText>
      </w:r>
      <w:r w:rsidR="00A6794A" w:rsidRPr="00D3550C">
        <w:instrText>","</w:instrText>
      </w:r>
      <w:r w:rsidR="00A6794A">
        <w:rPr>
          <w:lang w:val="en-US"/>
        </w:rPr>
        <w:instrText>volume</w:instrText>
      </w:r>
      <w:r w:rsidR="00A6794A" w:rsidRPr="00D3550C">
        <w:instrText>":"9"},"</w:instrText>
      </w:r>
      <w:r w:rsidR="00A6794A">
        <w:rPr>
          <w:lang w:val="en-US"/>
        </w:rPr>
        <w:instrText>uris</w:instrText>
      </w:r>
      <w:r w:rsidR="00A6794A" w:rsidRPr="00D3550C">
        <w:instrText>":["</w:instrText>
      </w:r>
      <w:r w:rsidR="00A6794A">
        <w:rPr>
          <w:lang w:val="en-US"/>
        </w:rPr>
        <w:instrText>http</w:instrText>
      </w:r>
      <w:r w:rsidR="00A6794A" w:rsidRPr="00D3550C">
        <w:instrText>://</w:instrText>
      </w:r>
      <w:r w:rsidR="00A6794A">
        <w:rPr>
          <w:lang w:val="en-US"/>
        </w:rPr>
        <w:instrText>www</w:instrText>
      </w:r>
      <w:r w:rsidR="00A6794A" w:rsidRPr="00D3550C">
        <w:instrText>.</w:instrText>
      </w:r>
      <w:r w:rsidR="00A6794A">
        <w:rPr>
          <w:lang w:val="en-US"/>
        </w:rPr>
        <w:instrText>mendeley</w:instrText>
      </w:r>
      <w:r w:rsidR="00A6794A" w:rsidRPr="00D3550C">
        <w:instrText>.</w:instrText>
      </w:r>
      <w:r w:rsidR="00A6794A">
        <w:rPr>
          <w:lang w:val="en-US"/>
        </w:rPr>
        <w:instrText>com</w:instrText>
      </w:r>
      <w:r w:rsidR="00A6794A" w:rsidRPr="00D3550C">
        <w:instrText>/</w:instrText>
      </w:r>
      <w:r w:rsidR="00A6794A">
        <w:rPr>
          <w:lang w:val="en-US"/>
        </w:rPr>
        <w:instrText>documents</w:instrText>
      </w:r>
      <w:r w:rsidR="00A6794A" w:rsidRPr="00D3550C">
        <w:instrText>/?</w:instrText>
      </w:r>
      <w:r w:rsidR="00A6794A">
        <w:rPr>
          <w:lang w:val="en-US"/>
        </w:rPr>
        <w:instrText>uuid</w:instrText>
      </w:r>
      <w:r w:rsidR="00A6794A" w:rsidRPr="00D3550C">
        <w:instrText>=</w:instrText>
      </w:r>
      <w:r w:rsidR="00A6794A">
        <w:rPr>
          <w:lang w:val="en-US"/>
        </w:rPr>
        <w:instrText>fbb</w:instrText>
      </w:r>
      <w:r w:rsidR="00A6794A" w:rsidRPr="00D3550C">
        <w:instrText>0</w:instrText>
      </w:r>
      <w:r w:rsidR="00A6794A">
        <w:rPr>
          <w:lang w:val="en-US"/>
        </w:rPr>
        <w:instrText>b</w:instrText>
      </w:r>
      <w:r w:rsidR="00A6794A" w:rsidRPr="00D3550C">
        <w:instrText>8</w:instrText>
      </w:r>
      <w:r w:rsidR="00A6794A">
        <w:rPr>
          <w:lang w:val="en-US"/>
        </w:rPr>
        <w:instrText>f</w:instrText>
      </w:r>
      <w:r w:rsidR="00A6794A" w:rsidRPr="00D3550C">
        <w:instrText>4-6</w:instrText>
      </w:r>
      <w:r w:rsidR="00A6794A">
        <w:rPr>
          <w:lang w:val="en-US"/>
        </w:rPr>
        <w:instrText>b</w:instrText>
      </w:r>
      <w:r w:rsidR="00A6794A" w:rsidRPr="00D3550C">
        <w:instrText>58-3</w:instrText>
      </w:r>
      <w:r w:rsidR="00A6794A">
        <w:rPr>
          <w:lang w:val="en-US"/>
        </w:rPr>
        <w:instrText>a</w:instrText>
      </w:r>
      <w:r w:rsidR="00A6794A" w:rsidRPr="00D3550C">
        <w:instrText>10-</w:instrText>
      </w:r>
      <w:r w:rsidR="00A6794A">
        <w:rPr>
          <w:lang w:val="en-US"/>
        </w:rPr>
        <w:instrText>b</w:instrText>
      </w:r>
      <w:r w:rsidR="00A6794A" w:rsidRPr="00D3550C">
        <w:instrText>7</w:instrText>
      </w:r>
      <w:r w:rsidR="00A6794A">
        <w:rPr>
          <w:lang w:val="en-US"/>
        </w:rPr>
        <w:instrText>d</w:instrText>
      </w:r>
      <w:r w:rsidR="00A6794A" w:rsidRPr="00D3550C">
        <w:instrText>6-</w:instrText>
      </w:r>
      <w:r w:rsidR="00A6794A">
        <w:rPr>
          <w:lang w:val="en-US"/>
        </w:rPr>
        <w:instrText>af</w:instrText>
      </w:r>
      <w:r w:rsidR="00A6794A" w:rsidRPr="00D3550C">
        <w:instrText>3854030</w:instrText>
      </w:r>
      <w:r w:rsidR="00A6794A">
        <w:rPr>
          <w:lang w:val="en-US"/>
        </w:rPr>
        <w:instrText>be</w:instrText>
      </w:r>
      <w:r w:rsidR="00A6794A" w:rsidRPr="00D3550C">
        <w:instrText>8"]},{"</w:instrText>
      </w:r>
      <w:r w:rsidR="00A6794A">
        <w:rPr>
          <w:lang w:val="en-US"/>
        </w:rPr>
        <w:instrText>id</w:instrText>
      </w:r>
      <w:r w:rsidR="00A6794A" w:rsidRPr="00D3550C">
        <w:instrText>":"</w:instrText>
      </w:r>
      <w:r w:rsidR="00A6794A">
        <w:rPr>
          <w:lang w:val="en-US"/>
        </w:rPr>
        <w:instrText>ITEM</w:instrText>
      </w:r>
      <w:r w:rsidR="00A6794A" w:rsidRPr="00D3550C">
        <w:instrText>-2","</w:instrText>
      </w:r>
      <w:r w:rsidR="00A6794A">
        <w:rPr>
          <w:lang w:val="en-US"/>
        </w:rPr>
        <w:instrText>itemData</w:instrText>
      </w:r>
      <w:r w:rsidR="00A6794A" w:rsidRPr="00D3550C">
        <w:instrText>":{"</w:instrText>
      </w:r>
      <w:r w:rsidR="00A6794A">
        <w:rPr>
          <w:lang w:val="en-US"/>
        </w:rPr>
        <w:instrText>DOI</w:instrText>
      </w:r>
      <w:r w:rsidR="00A6794A" w:rsidRPr="00D3550C">
        <w:instrText>":"10.1007/</w:instrText>
      </w:r>
      <w:r w:rsidR="00A6794A">
        <w:rPr>
          <w:lang w:val="en-US"/>
        </w:rPr>
        <w:instrText>s</w:instrText>
      </w:r>
      <w:r w:rsidR="00A6794A" w:rsidRPr="00D3550C">
        <w:instrText>12325-017-0610-</w:instrText>
      </w:r>
      <w:r w:rsidR="00A6794A">
        <w:rPr>
          <w:lang w:val="en-US"/>
        </w:rPr>
        <w:instrText>z</w:instrText>
      </w:r>
      <w:r w:rsidR="00A6794A" w:rsidRPr="00D3550C">
        <w:instrText>","</w:instrText>
      </w:r>
      <w:r w:rsidR="00A6794A">
        <w:rPr>
          <w:lang w:val="en-US"/>
        </w:rPr>
        <w:instrText>ISSN</w:instrText>
      </w:r>
      <w:r w:rsidR="00A6794A" w:rsidRPr="00D3550C">
        <w:instrText>":"18658652","</w:instrText>
      </w:r>
      <w:r w:rsidR="00A6794A">
        <w:rPr>
          <w:lang w:val="en-US"/>
        </w:rPr>
        <w:instrText>abstract</w:instrText>
      </w:r>
      <w:r w:rsidR="00A6794A" w:rsidRPr="00D3550C">
        <w:instrText>":"</w:instrText>
      </w:r>
      <w:r w:rsidR="00A6794A">
        <w:rPr>
          <w:lang w:val="en-US"/>
        </w:rPr>
        <w:instrText>Abstract</w:instrText>
      </w:r>
      <w:r w:rsidR="00A6794A" w:rsidRPr="00D3550C">
        <w:instrText xml:space="preserve">: </w:instrText>
      </w:r>
      <w:r w:rsidR="00A6794A">
        <w:rPr>
          <w:lang w:val="en-US"/>
        </w:rPr>
        <w:instrText>Rituximab</w:instrText>
      </w:r>
      <w:r w:rsidR="00A6794A" w:rsidRPr="00D3550C">
        <w:instrText xml:space="preserve"> (</w:instrText>
      </w:r>
      <w:r w:rsidR="00A6794A">
        <w:rPr>
          <w:lang w:val="en-US"/>
        </w:rPr>
        <w:instrText>MabThera</w:instrText>
      </w:r>
      <w:r w:rsidR="00A6794A" w:rsidRPr="00D3550C">
        <w:instrText>®/</w:instrText>
      </w:r>
      <w:r w:rsidR="00A6794A">
        <w:rPr>
          <w:lang w:val="en-US"/>
        </w:rPr>
        <w:instrText>Rituxan</w:instrText>
      </w:r>
      <w:r w:rsidR="00A6794A" w:rsidRPr="00D3550C">
        <w:instrText xml:space="preserve">®), </w:instrText>
      </w:r>
      <w:r w:rsidR="00A6794A">
        <w:rPr>
          <w:lang w:val="en-US"/>
        </w:rPr>
        <w:instrText>a</w:instrText>
      </w:r>
      <w:r w:rsidR="00A6794A" w:rsidRPr="00D3550C">
        <w:instrText xml:space="preserve"> </w:instrText>
      </w:r>
      <w:r w:rsidR="00A6794A">
        <w:rPr>
          <w:lang w:val="en-US"/>
        </w:rPr>
        <w:instrText>chimeric</w:instrText>
      </w:r>
      <w:r w:rsidR="00A6794A" w:rsidRPr="00AA43FB">
        <w:instrText xml:space="preserve"> </w:instrText>
      </w:r>
      <w:r w:rsidR="00A6794A">
        <w:rPr>
          <w:lang w:val="en-US"/>
        </w:rPr>
        <w:instrText>murine</w:instrText>
      </w:r>
      <w:r w:rsidR="00A6794A" w:rsidRPr="00AA43FB">
        <w:instrText>/</w:instrText>
      </w:r>
      <w:r w:rsidR="00A6794A">
        <w:rPr>
          <w:lang w:val="en-US"/>
        </w:rPr>
        <w:instrText>human</w:instrText>
      </w:r>
      <w:r w:rsidR="00A6794A" w:rsidRPr="00AA43FB">
        <w:instrText xml:space="preserve"> </w:instrText>
      </w:r>
      <w:r w:rsidR="00A6794A">
        <w:rPr>
          <w:lang w:val="en-US"/>
        </w:rPr>
        <w:instrText>monoclonal</w:instrText>
      </w:r>
      <w:r w:rsidR="00A6794A" w:rsidRPr="00AA43FB">
        <w:instrText xml:space="preserve"> </w:instrText>
      </w:r>
      <w:r w:rsidR="00A6794A">
        <w:rPr>
          <w:lang w:val="en-US"/>
        </w:rPr>
        <w:instrText>antibody</w:instrText>
      </w:r>
      <w:r w:rsidR="00A6794A" w:rsidRPr="00AA43FB">
        <w:instrText xml:space="preserve"> </w:instrText>
      </w:r>
      <w:r w:rsidR="00A6794A">
        <w:rPr>
          <w:lang w:val="en-US"/>
        </w:rPr>
        <w:instrText>that</w:instrText>
      </w:r>
      <w:r w:rsidR="00A6794A" w:rsidRPr="00AA43FB">
        <w:instrText xml:space="preserve"> </w:instrText>
      </w:r>
      <w:r w:rsidR="00A6794A">
        <w:rPr>
          <w:lang w:val="en-US"/>
        </w:rPr>
        <w:instrText>binds</w:instrText>
      </w:r>
      <w:r w:rsidR="00A6794A" w:rsidRPr="00AA43FB">
        <w:instrText xml:space="preserve"> </w:instrText>
      </w:r>
      <w:r w:rsidR="00A6794A">
        <w:rPr>
          <w:lang w:val="en-US"/>
        </w:rPr>
        <w:instrText>specifically</w:instrText>
      </w:r>
      <w:r w:rsidR="00A6794A" w:rsidRPr="00AA43FB">
        <w:instrText xml:space="preserve"> </w:instrText>
      </w:r>
      <w:r w:rsidR="00A6794A">
        <w:rPr>
          <w:lang w:val="en-US"/>
        </w:rPr>
        <w:instrText>to</w:instrText>
      </w:r>
      <w:r w:rsidR="00A6794A" w:rsidRPr="00AA43FB">
        <w:instrText xml:space="preserve"> </w:instrText>
      </w:r>
      <w:r w:rsidR="00A6794A">
        <w:rPr>
          <w:lang w:val="en-US"/>
        </w:rPr>
        <w:instrText>the</w:instrText>
      </w:r>
      <w:r w:rsidR="00A6794A" w:rsidRPr="00AA43FB">
        <w:instrText xml:space="preserve"> </w:instrText>
      </w:r>
      <w:r w:rsidR="00A6794A">
        <w:rPr>
          <w:lang w:val="en-US"/>
        </w:rPr>
        <w:instrText>transmembrane</w:instrText>
      </w:r>
      <w:r w:rsidR="00A6794A" w:rsidRPr="00AA43FB">
        <w:instrText xml:space="preserve"> </w:instrText>
      </w:r>
      <w:r w:rsidR="00A6794A">
        <w:rPr>
          <w:lang w:val="en-US"/>
        </w:rPr>
        <w:instrText>antigen</w:instrText>
      </w:r>
      <w:r w:rsidR="00A6794A" w:rsidRPr="00AA43FB">
        <w:instrText xml:space="preserve"> </w:instrText>
      </w:r>
      <w:r w:rsidR="00A6794A">
        <w:rPr>
          <w:lang w:val="en-US"/>
        </w:rPr>
        <w:instrText>CD</w:instrText>
      </w:r>
      <w:r w:rsidR="00A6794A" w:rsidRPr="00AA43FB">
        <w:instrText xml:space="preserve">20, </w:instrText>
      </w:r>
      <w:r w:rsidR="00A6794A">
        <w:rPr>
          <w:lang w:val="en-US"/>
        </w:rPr>
        <w:instrText>was</w:instrText>
      </w:r>
      <w:r w:rsidR="00A6794A" w:rsidRPr="00AA43FB">
        <w:instrText xml:space="preserve"> </w:instrText>
      </w:r>
      <w:r w:rsidR="00A6794A">
        <w:rPr>
          <w:lang w:val="en-US"/>
        </w:rPr>
        <w:instrText>the</w:instrText>
      </w:r>
      <w:r w:rsidR="00A6794A" w:rsidRPr="00AA43FB">
        <w:instrText xml:space="preserve"> </w:instrText>
      </w:r>
      <w:r w:rsidR="00A6794A">
        <w:rPr>
          <w:lang w:val="en-US"/>
        </w:rPr>
        <w:instrText>first</w:instrText>
      </w:r>
      <w:r w:rsidR="00A6794A" w:rsidRPr="00AA43FB">
        <w:instrText xml:space="preserve"> </w:instrText>
      </w:r>
      <w:r w:rsidR="00A6794A">
        <w:rPr>
          <w:lang w:val="en-US"/>
        </w:rPr>
        <w:instrText>therapeutic</w:instrText>
      </w:r>
      <w:r w:rsidR="00A6794A" w:rsidRPr="00AA43FB">
        <w:instrText xml:space="preserve"> </w:instrText>
      </w:r>
      <w:r w:rsidR="00A6794A">
        <w:rPr>
          <w:lang w:val="en-US"/>
        </w:rPr>
        <w:instrText>antibody</w:instrText>
      </w:r>
      <w:r w:rsidR="00A6794A" w:rsidRPr="00AA43FB">
        <w:instrText xml:space="preserve"> </w:instrText>
      </w:r>
      <w:r w:rsidR="00A6794A">
        <w:rPr>
          <w:lang w:val="en-US"/>
        </w:rPr>
        <w:instrText>to</w:instrText>
      </w:r>
      <w:r w:rsidR="00A6794A" w:rsidRPr="00AA43FB">
        <w:instrText xml:space="preserve"> </w:instrText>
      </w:r>
      <w:r w:rsidR="00A6794A">
        <w:rPr>
          <w:lang w:val="en-US"/>
        </w:rPr>
        <w:instrText>enter</w:instrText>
      </w:r>
      <w:r w:rsidR="00A6794A" w:rsidRPr="00AA43FB">
        <w:instrText xml:space="preserve"> </w:instrText>
      </w:r>
      <w:r w:rsidR="00A6794A">
        <w:rPr>
          <w:lang w:val="en-US"/>
        </w:rPr>
        <w:instrText>clinical</w:instrText>
      </w:r>
      <w:r w:rsidR="00A6794A" w:rsidRPr="00AA43FB">
        <w:instrText xml:space="preserve"> </w:instrText>
      </w:r>
      <w:r w:rsidR="00A6794A">
        <w:rPr>
          <w:lang w:val="en-US"/>
        </w:rPr>
        <w:instrText>practice</w:instrText>
      </w:r>
      <w:r w:rsidR="00A6794A" w:rsidRPr="00AA43FB">
        <w:instrText xml:space="preserve"> </w:instrText>
      </w:r>
      <w:r w:rsidR="00A6794A">
        <w:rPr>
          <w:lang w:val="en-US"/>
        </w:rPr>
        <w:instrText>for</w:instrText>
      </w:r>
      <w:r w:rsidR="00A6794A" w:rsidRPr="00AA43FB">
        <w:instrText xml:space="preserve"> </w:instrText>
      </w:r>
      <w:r w:rsidR="00A6794A">
        <w:rPr>
          <w:lang w:val="en-US"/>
        </w:rPr>
        <w:instrText>the</w:instrText>
      </w:r>
      <w:r w:rsidR="00A6794A" w:rsidRPr="00AA43FB">
        <w:instrText xml:space="preserve"> </w:instrText>
      </w:r>
      <w:r w:rsidR="00A6794A">
        <w:rPr>
          <w:lang w:val="en-US"/>
        </w:rPr>
        <w:instrText>treatment</w:instrText>
      </w:r>
      <w:r w:rsidR="00A6794A" w:rsidRPr="00AA43FB">
        <w:instrText xml:space="preserve"> </w:instrText>
      </w:r>
      <w:r w:rsidR="00A6794A">
        <w:rPr>
          <w:lang w:val="en-US"/>
        </w:rPr>
        <w:instrText>of</w:instrText>
      </w:r>
      <w:r w:rsidR="00A6794A" w:rsidRPr="00AA43FB">
        <w:instrText xml:space="preserve"> </w:instrText>
      </w:r>
      <w:r w:rsidR="00A6794A">
        <w:rPr>
          <w:lang w:val="en-US"/>
        </w:rPr>
        <w:instrText>cancer</w:instrText>
      </w:r>
      <w:r w:rsidR="00A6794A" w:rsidRPr="00AA43FB">
        <w:instrText xml:space="preserve">. </w:instrText>
      </w:r>
      <w:r w:rsidR="00A6794A">
        <w:rPr>
          <w:lang w:val="en-US"/>
        </w:rPr>
        <w:instrText>As</w:instrText>
      </w:r>
      <w:r w:rsidR="00A6794A" w:rsidRPr="00AA43FB">
        <w:instrText xml:space="preserve"> </w:instrText>
      </w:r>
      <w:r w:rsidR="00A6794A">
        <w:rPr>
          <w:lang w:val="en-US"/>
        </w:rPr>
        <w:instrText>monotherapy</w:instrText>
      </w:r>
      <w:r w:rsidR="00A6794A" w:rsidRPr="00AA43FB">
        <w:instrText xml:space="preserve"> </w:instrText>
      </w:r>
      <w:r w:rsidR="00A6794A">
        <w:rPr>
          <w:lang w:val="en-US"/>
        </w:rPr>
        <w:instrText>and</w:instrText>
      </w:r>
      <w:r w:rsidR="00A6794A" w:rsidRPr="00AA43FB">
        <w:instrText xml:space="preserve"> </w:instrText>
      </w:r>
      <w:r w:rsidR="00A6794A">
        <w:rPr>
          <w:lang w:val="en-US"/>
        </w:rPr>
        <w:instrText>in</w:instrText>
      </w:r>
      <w:r w:rsidR="00A6794A" w:rsidRPr="00AA43FB">
        <w:instrText xml:space="preserve"> </w:instrText>
      </w:r>
      <w:r w:rsidR="00A6794A">
        <w:rPr>
          <w:lang w:val="en-US"/>
        </w:rPr>
        <w:instrText>combination</w:instrText>
      </w:r>
      <w:r w:rsidR="00A6794A" w:rsidRPr="00AA43FB">
        <w:instrText xml:space="preserve"> </w:instrText>
      </w:r>
      <w:r w:rsidR="00A6794A">
        <w:rPr>
          <w:lang w:val="en-US"/>
        </w:rPr>
        <w:instrText>with</w:instrText>
      </w:r>
      <w:r w:rsidR="00A6794A" w:rsidRPr="00AA43FB">
        <w:instrText xml:space="preserve"> </w:instrText>
      </w:r>
      <w:r w:rsidR="00A6794A">
        <w:rPr>
          <w:lang w:val="en-US"/>
        </w:rPr>
        <w:instrText>chemotherapy</w:instrText>
      </w:r>
      <w:r w:rsidR="00A6794A" w:rsidRPr="00AA43FB">
        <w:instrText xml:space="preserve">, </w:instrText>
      </w:r>
      <w:r w:rsidR="00A6794A">
        <w:rPr>
          <w:lang w:val="en-US"/>
        </w:rPr>
        <w:instrText>rituximab</w:instrText>
      </w:r>
      <w:r w:rsidR="00A6794A" w:rsidRPr="00AA43FB">
        <w:instrText xml:space="preserve"> </w:instrText>
      </w:r>
      <w:r w:rsidR="00A6794A">
        <w:rPr>
          <w:lang w:val="en-US"/>
        </w:rPr>
        <w:instrText>has</w:instrText>
      </w:r>
      <w:r w:rsidR="00A6794A" w:rsidRPr="00AA43FB">
        <w:instrText xml:space="preserve"> </w:instrText>
      </w:r>
      <w:r w:rsidR="00A6794A">
        <w:rPr>
          <w:lang w:val="en-US"/>
        </w:rPr>
        <w:instrText>been</w:instrText>
      </w:r>
      <w:r w:rsidR="00A6794A" w:rsidRPr="00AA43FB">
        <w:instrText xml:space="preserve"> </w:instrText>
      </w:r>
      <w:r w:rsidR="00A6794A">
        <w:rPr>
          <w:lang w:val="en-US"/>
        </w:rPr>
        <w:instrText>shown</w:instrText>
      </w:r>
      <w:r w:rsidR="00A6794A" w:rsidRPr="00AA43FB">
        <w:instrText xml:space="preserve"> </w:instrText>
      </w:r>
      <w:r w:rsidR="00A6794A">
        <w:rPr>
          <w:lang w:val="en-US"/>
        </w:rPr>
        <w:instrText>to</w:instrText>
      </w:r>
      <w:r w:rsidR="00A6794A" w:rsidRPr="00AA43FB">
        <w:instrText xml:space="preserve"> </w:instrText>
      </w:r>
      <w:r w:rsidR="00A6794A">
        <w:rPr>
          <w:lang w:val="en-US"/>
        </w:rPr>
        <w:instrText>prolong</w:instrText>
      </w:r>
      <w:r w:rsidR="00A6794A" w:rsidRPr="00AA43FB">
        <w:instrText xml:space="preserve"> </w:instrText>
      </w:r>
      <w:r w:rsidR="00A6794A">
        <w:rPr>
          <w:lang w:val="en-US"/>
        </w:rPr>
        <w:instrText>progression</w:instrText>
      </w:r>
      <w:r w:rsidR="00A6794A" w:rsidRPr="00AA43FB">
        <w:instrText>-</w:instrText>
      </w:r>
      <w:r w:rsidR="00A6794A">
        <w:rPr>
          <w:lang w:val="en-US"/>
        </w:rPr>
        <w:instrText>free</w:instrText>
      </w:r>
      <w:r w:rsidR="00A6794A" w:rsidRPr="00AA43FB">
        <w:instrText xml:space="preserve"> </w:instrText>
      </w:r>
      <w:r w:rsidR="00A6794A">
        <w:rPr>
          <w:lang w:val="en-US"/>
        </w:rPr>
        <w:instrText>survival</w:instrText>
      </w:r>
      <w:r w:rsidR="00A6794A" w:rsidRPr="00AA43FB">
        <w:instrText xml:space="preserve"> </w:instrText>
      </w:r>
      <w:r w:rsidR="00A6794A">
        <w:rPr>
          <w:lang w:val="en-US"/>
        </w:rPr>
        <w:instrText>and</w:instrText>
      </w:r>
      <w:r w:rsidR="00A6794A" w:rsidRPr="00AA43FB">
        <w:instrText xml:space="preserve">, </w:instrText>
      </w:r>
      <w:r w:rsidR="00A6794A">
        <w:rPr>
          <w:lang w:val="en-US"/>
        </w:rPr>
        <w:instrText>in</w:instrText>
      </w:r>
      <w:r w:rsidR="00A6794A" w:rsidRPr="00AA43FB">
        <w:instrText xml:space="preserve"> </w:instrText>
      </w:r>
      <w:r w:rsidR="00A6794A">
        <w:rPr>
          <w:lang w:val="en-US"/>
        </w:rPr>
        <w:instrText>some</w:instrText>
      </w:r>
      <w:r w:rsidR="00A6794A" w:rsidRPr="00AA43FB">
        <w:instrText xml:space="preserve"> </w:instrText>
      </w:r>
      <w:r w:rsidR="00A6794A">
        <w:rPr>
          <w:lang w:val="en-US"/>
        </w:rPr>
        <w:instrText>indications</w:instrText>
      </w:r>
      <w:r w:rsidR="00A6794A" w:rsidRPr="00AA43FB">
        <w:instrText xml:space="preserve"> </w:instrText>
      </w:r>
      <w:r w:rsidR="00A6794A">
        <w:rPr>
          <w:lang w:val="en-US"/>
        </w:rPr>
        <w:instrText>overall</w:instrText>
      </w:r>
      <w:r w:rsidR="00A6794A" w:rsidRPr="00AA43FB">
        <w:instrText xml:space="preserve"> </w:instrText>
      </w:r>
      <w:r w:rsidR="00A6794A">
        <w:rPr>
          <w:lang w:val="en-US"/>
        </w:rPr>
        <w:instrText>survival</w:instrText>
      </w:r>
      <w:r w:rsidR="00A6794A" w:rsidRPr="00AA43FB">
        <w:instrText xml:space="preserve">, </w:instrText>
      </w:r>
      <w:r w:rsidR="00A6794A">
        <w:rPr>
          <w:lang w:val="en-US"/>
        </w:rPr>
        <w:instrText>in</w:instrText>
      </w:r>
      <w:r w:rsidR="00A6794A" w:rsidRPr="00AA43FB">
        <w:instrText xml:space="preserve"> </w:instrText>
      </w:r>
      <w:r w:rsidR="00A6794A">
        <w:rPr>
          <w:lang w:val="en-US"/>
        </w:rPr>
        <w:instrText>patients</w:instrText>
      </w:r>
      <w:r w:rsidR="00A6794A" w:rsidRPr="00AA43FB">
        <w:instrText xml:space="preserve"> </w:instrText>
      </w:r>
      <w:r w:rsidR="00A6794A">
        <w:rPr>
          <w:lang w:val="en-US"/>
        </w:rPr>
        <w:instrText>with</w:instrText>
      </w:r>
      <w:r w:rsidR="00A6794A" w:rsidRPr="00AA43FB">
        <w:instrText xml:space="preserve"> </w:instrText>
      </w:r>
      <w:r w:rsidR="00A6794A">
        <w:rPr>
          <w:lang w:val="en-US"/>
        </w:rPr>
        <w:instrText>various</w:instrText>
      </w:r>
      <w:r w:rsidR="00A6794A" w:rsidRPr="00AA43FB">
        <w:instrText xml:space="preserve"> </w:instrText>
      </w:r>
      <w:r w:rsidR="00A6794A">
        <w:rPr>
          <w:lang w:val="en-US"/>
        </w:rPr>
        <w:instrText>B</w:instrText>
      </w:r>
      <w:r w:rsidR="00A6794A" w:rsidRPr="00AA43FB">
        <w:instrText>-</w:instrText>
      </w:r>
      <w:r w:rsidR="00A6794A">
        <w:rPr>
          <w:lang w:val="en-US"/>
        </w:rPr>
        <w:instrText>cell</w:instrText>
      </w:r>
      <w:r w:rsidR="00A6794A" w:rsidRPr="00AA43FB">
        <w:instrText xml:space="preserve"> </w:instrText>
      </w:r>
      <w:r w:rsidR="00A6794A">
        <w:rPr>
          <w:lang w:val="en-US"/>
        </w:rPr>
        <w:instrText>malignancies</w:instrText>
      </w:r>
      <w:r w:rsidR="00A6794A" w:rsidRPr="00AA43FB">
        <w:instrText xml:space="preserve">, </w:instrText>
      </w:r>
      <w:r w:rsidR="00A6794A">
        <w:rPr>
          <w:lang w:val="en-US"/>
        </w:rPr>
        <w:instrText>while</w:instrText>
      </w:r>
      <w:r w:rsidR="00A6794A" w:rsidRPr="00AA43FB">
        <w:instrText xml:space="preserve"> </w:instrText>
      </w:r>
      <w:r w:rsidR="00A6794A">
        <w:rPr>
          <w:lang w:val="en-US"/>
        </w:rPr>
        <w:instrText>having</w:instrText>
      </w:r>
      <w:r w:rsidR="00A6794A" w:rsidRPr="00AA43FB">
        <w:instrText xml:space="preserve"> </w:instrText>
      </w:r>
      <w:r w:rsidR="00A6794A">
        <w:rPr>
          <w:lang w:val="en-US"/>
        </w:rPr>
        <w:instrText>a</w:instrText>
      </w:r>
      <w:r w:rsidR="00A6794A" w:rsidRPr="00AA43FB">
        <w:instrText xml:space="preserve"> </w:instrText>
      </w:r>
      <w:r w:rsidR="00A6794A">
        <w:rPr>
          <w:lang w:val="en-US"/>
        </w:rPr>
        <w:instrText>well</w:instrText>
      </w:r>
      <w:r w:rsidR="00A6794A" w:rsidRPr="00AA43FB">
        <w:instrText>-</w:instrText>
      </w:r>
      <w:r w:rsidR="00A6794A">
        <w:rPr>
          <w:lang w:val="en-US"/>
        </w:rPr>
        <w:instrText>established</w:instrText>
      </w:r>
      <w:r w:rsidR="00A6794A" w:rsidRPr="00AA43FB">
        <w:instrText xml:space="preserve"> </w:instrText>
      </w:r>
      <w:r w:rsidR="00A6794A">
        <w:rPr>
          <w:lang w:val="en-US"/>
        </w:rPr>
        <w:instrText>and</w:instrText>
      </w:r>
      <w:r w:rsidR="00A6794A" w:rsidRPr="00AA43FB">
        <w:instrText xml:space="preserve"> </w:instrText>
      </w:r>
      <w:r w:rsidR="00A6794A">
        <w:rPr>
          <w:lang w:val="en-US"/>
        </w:rPr>
        <w:instrText>manageable</w:instrText>
      </w:r>
      <w:r w:rsidR="00A6794A" w:rsidRPr="00AA43FB">
        <w:instrText xml:space="preserve"> </w:instrText>
      </w:r>
      <w:r w:rsidR="00A6794A">
        <w:rPr>
          <w:lang w:val="en-US"/>
        </w:rPr>
        <w:instrText>safety</w:instrText>
      </w:r>
      <w:r w:rsidR="00A6794A" w:rsidRPr="00AA43FB">
        <w:instrText xml:space="preserve"> </w:instrText>
      </w:r>
      <w:r w:rsidR="00A6794A">
        <w:rPr>
          <w:lang w:val="en-US"/>
        </w:rPr>
        <w:instrText>profile</w:instrText>
      </w:r>
      <w:r w:rsidR="00A6794A" w:rsidRPr="00AA43FB">
        <w:instrText xml:space="preserve"> </w:instrText>
      </w:r>
      <w:r w:rsidR="00A6794A">
        <w:rPr>
          <w:lang w:val="en-US"/>
        </w:rPr>
        <w:instrText>and</w:instrText>
      </w:r>
      <w:r w:rsidR="00A6794A" w:rsidRPr="00AA43FB">
        <w:instrText xml:space="preserve"> </w:instrText>
      </w:r>
      <w:r w:rsidR="00A6794A">
        <w:rPr>
          <w:lang w:val="en-US"/>
        </w:rPr>
        <w:instrText>a</w:instrText>
      </w:r>
      <w:r w:rsidR="00A6794A" w:rsidRPr="00AA43FB">
        <w:instrText xml:space="preserve"> </w:instrText>
      </w:r>
      <w:r w:rsidR="00A6794A">
        <w:rPr>
          <w:lang w:val="en-US"/>
        </w:rPr>
        <w:instrText>wide</w:instrText>
      </w:r>
      <w:r w:rsidR="00A6794A" w:rsidRPr="00AA43FB">
        <w:instrText xml:space="preserve"> </w:instrText>
      </w:r>
      <w:r w:rsidR="00A6794A">
        <w:rPr>
          <w:lang w:val="en-US"/>
        </w:rPr>
        <w:instrText>therapeutic</w:instrText>
      </w:r>
      <w:r w:rsidR="00A6794A" w:rsidRPr="00AA43FB">
        <w:instrText xml:space="preserve"> </w:instrText>
      </w:r>
      <w:r w:rsidR="00A6794A">
        <w:rPr>
          <w:lang w:val="en-US"/>
        </w:rPr>
        <w:instrText>window</w:instrText>
      </w:r>
      <w:r w:rsidR="00A6794A" w:rsidRPr="00AA43FB">
        <w:instrText xml:space="preserve">. </w:instrText>
      </w:r>
      <w:r w:rsidR="00A6794A">
        <w:rPr>
          <w:lang w:val="en-US"/>
        </w:rPr>
        <w:instrText>As</w:instrText>
      </w:r>
      <w:r w:rsidR="00A6794A" w:rsidRPr="00AA43FB">
        <w:instrText xml:space="preserve"> </w:instrText>
      </w:r>
      <w:r w:rsidR="00A6794A">
        <w:rPr>
          <w:lang w:val="en-US"/>
        </w:rPr>
        <w:instrText>a</w:instrText>
      </w:r>
      <w:r w:rsidR="00A6794A" w:rsidRPr="00AA43FB">
        <w:instrText xml:space="preserve"> </w:instrText>
      </w:r>
      <w:r w:rsidR="00A6794A">
        <w:rPr>
          <w:lang w:val="en-US"/>
        </w:rPr>
        <w:instrText>result</w:instrText>
      </w:r>
      <w:r w:rsidR="00A6794A" w:rsidRPr="00AA43FB">
        <w:instrText xml:space="preserve">, </w:instrText>
      </w:r>
      <w:r w:rsidR="00A6794A">
        <w:rPr>
          <w:lang w:val="en-US"/>
        </w:rPr>
        <w:instrText>rituximab</w:instrText>
      </w:r>
      <w:r w:rsidR="00A6794A" w:rsidRPr="00AA43FB">
        <w:instrText xml:space="preserve"> </w:instrText>
      </w:r>
      <w:r w:rsidR="00A6794A">
        <w:rPr>
          <w:lang w:val="en-US"/>
        </w:rPr>
        <w:instrText>is</w:instrText>
      </w:r>
      <w:r w:rsidR="00A6794A" w:rsidRPr="00AA43FB">
        <w:instrText xml:space="preserve"> </w:instrText>
      </w:r>
      <w:r w:rsidR="00A6794A">
        <w:rPr>
          <w:lang w:val="en-US"/>
        </w:rPr>
        <w:instrText>considered</w:instrText>
      </w:r>
      <w:r w:rsidR="00A6794A" w:rsidRPr="00AA43FB">
        <w:instrText xml:space="preserve"> </w:instrText>
      </w:r>
      <w:r w:rsidR="00A6794A">
        <w:rPr>
          <w:lang w:val="en-US"/>
        </w:rPr>
        <w:instrText>to</w:instrText>
      </w:r>
      <w:r w:rsidR="00A6794A" w:rsidRPr="00AA43FB">
        <w:instrText xml:space="preserve"> </w:instrText>
      </w:r>
      <w:r w:rsidR="00A6794A">
        <w:rPr>
          <w:lang w:val="en-US"/>
        </w:rPr>
        <w:instrText>have</w:instrText>
      </w:r>
      <w:r w:rsidR="00A6794A" w:rsidRPr="00AA43FB">
        <w:instrText xml:space="preserve"> </w:instrText>
      </w:r>
      <w:r w:rsidR="00A6794A">
        <w:rPr>
          <w:lang w:val="en-US"/>
        </w:rPr>
        <w:instrText>revolutionized</w:instrText>
      </w:r>
      <w:r w:rsidR="00A6794A" w:rsidRPr="00AA43FB">
        <w:instrText xml:space="preserve"> </w:instrText>
      </w:r>
      <w:r w:rsidR="00A6794A">
        <w:rPr>
          <w:lang w:val="en-US"/>
        </w:rPr>
        <w:instrText>treatment</w:instrText>
      </w:r>
      <w:r w:rsidR="00A6794A" w:rsidRPr="00AA43FB">
        <w:instrText xml:space="preserve"> </w:instrText>
      </w:r>
      <w:r w:rsidR="00A6794A">
        <w:rPr>
          <w:lang w:val="en-US"/>
        </w:rPr>
        <w:instrText>practices</w:instrText>
      </w:r>
      <w:r w:rsidR="00A6794A" w:rsidRPr="00AA43FB">
        <w:instrText xml:space="preserve"> </w:instrText>
      </w:r>
      <w:r w:rsidR="00A6794A">
        <w:rPr>
          <w:lang w:val="en-US"/>
        </w:rPr>
        <w:instrText>for</w:instrText>
      </w:r>
      <w:r w:rsidR="00A6794A" w:rsidRPr="00AA43FB">
        <w:instrText xml:space="preserve"> </w:instrText>
      </w:r>
      <w:r w:rsidR="00A6794A">
        <w:rPr>
          <w:lang w:val="en-US"/>
        </w:rPr>
        <w:instrText>patients</w:instrText>
      </w:r>
      <w:r w:rsidR="00A6794A" w:rsidRPr="00AA43FB">
        <w:instrText xml:space="preserve"> </w:instrText>
      </w:r>
      <w:r w:rsidR="00A6794A">
        <w:rPr>
          <w:lang w:val="en-US"/>
        </w:rPr>
        <w:instrText>with</w:instrText>
      </w:r>
      <w:r w:rsidR="00A6794A" w:rsidRPr="00AA43FB">
        <w:instrText xml:space="preserve"> </w:instrText>
      </w:r>
      <w:r w:rsidR="00A6794A">
        <w:rPr>
          <w:lang w:val="en-US"/>
        </w:rPr>
        <w:instrText>B</w:instrText>
      </w:r>
      <w:r w:rsidR="00A6794A" w:rsidRPr="00AA43FB">
        <w:instrText>-</w:instrText>
      </w:r>
      <w:r w:rsidR="00A6794A">
        <w:rPr>
          <w:lang w:val="en-US"/>
        </w:rPr>
        <w:instrText>cell</w:instrText>
      </w:r>
      <w:r w:rsidR="00A6794A" w:rsidRPr="00AA43FB">
        <w:instrText xml:space="preserve"> </w:instrText>
      </w:r>
      <w:r w:rsidR="00A6794A">
        <w:rPr>
          <w:lang w:val="en-US"/>
        </w:rPr>
        <w:instrText>malignancies</w:instrText>
      </w:r>
      <w:r w:rsidR="00A6794A" w:rsidRPr="00AA43FB">
        <w:instrText xml:space="preserve">. </w:instrText>
      </w:r>
      <w:r w:rsidR="00A6794A">
        <w:rPr>
          <w:lang w:val="en-US"/>
        </w:rPr>
        <w:instrText>A</w:instrText>
      </w:r>
      <w:r w:rsidR="00A6794A" w:rsidRPr="00AA43FB">
        <w:instrText xml:space="preserve"> </w:instrText>
      </w:r>
      <w:r w:rsidR="00A6794A">
        <w:rPr>
          <w:lang w:val="en-US"/>
        </w:rPr>
        <w:instrText>subcutaneous</w:instrText>
      </w:r>
      <w:r w:rsidR="00A6794A" w:rsidRPr="00AA43FB">
        <w:instrText xml:space="preserve"> (</w:instrText>
      </w:r>
      <w:r w:rsidR="00A6794A">
        <w:rPr>
          <w:lang w:val="en-US"/>
        </w:rPr>
        <w:instrText>SC</w:instrText>
      </w:r>
      <w:r w:rsidR="00A6794A" w:rsidRPr="00AA43FB">
        <w:instrText xml:space="preserve">) </w:instrText>
      </w:r>
      <w:r w:rsidR="00A6794A">
        <w:rPr>
          <w:lang w:val="en-US"/>
        </w:rPr>
        <w:instrText>formulation</w:instrText>
      </w:r>
      <w:r w:rsidR="00A6794A" w:rsidRPr="00AA43FB">
        <w:instrText xml:space="preserve"> </w:instrText>
      </w:r>
      <w:r w:rsidR="00A6794A">
        <w:rPr>
          <w:lang w:val="en-US"/>
        </w:rPr>
        <w:instrText>of</w:instrText>
      </w:r>
      <w:r w:rsidR="00A6794A" w:rsidRPr="00AA43FB">
        <w:instrText xml:space="preserve"> </w:instrText>
      </w:r>
      <w:r w:rsidR="00A6794A">
        <w:rPr>
          <w:lang w:val="en-US"/>
        </w:rPr>
        <w:instrText>rituximab</w:instrText>
      </w:r>
      <w:r w:rsidR="00A6794A" w:rsidRPr="00AA43FB">
        <w:instrText xml:space="preserve"> </w:instrText>
      </w:r>
      <w:r w:rsidR="00A6794A">
        <w:rPr>
          <w:lang w:val="en-US"/>
        </w:rPr>
        <w:instrText>has</w:instrText>
      </w:r>
      <w:r w:rsidR="00A6794A" w:rsidRPr="00AA43FB">
        <w:instrText xml:space="preserve"> </w:instrText>
      </w:r>
      <w:r w:rsidR="00A6794A">
        <w:rPr>
          <w:lang w:val="en-US"/>
        </w:rPr>
        <w:instrText>been</w:instrText>
      </w:r>
      <w:r w:rsidR="00A6794A" w:rsidRPr="00AA43FB">
        <w:instrText xml:space="preserve"> </w:instrText>
      </w:r>
      <w:r w:rsidR="00A6794A">
        <w:rPr>
          <w:lang w:val="en-US"/>
        </w:rPr>
        <w:instrText>developed</w:instrText>
      </w:r>
      <w:r w:rsidR="00A6794A" w:rsidRPr="00AA43FB">
        <w:instrText xml:space="preserve">, </w:instrText>
      </w:r>
      <w:r w:rsidR="00A6794A">
        <w:rPr>
          <w:lang w:val="en-US"/>
        </w:rPr>
        <w:instrText>comprising</w:instrText>
      </w:r>
      <w:r w:rsidR="00A6794A" w:rsidRPr="00AA43FB">
        <w:instrText xml:space="preserve"> </w:instrText>
      </w:r>
      <w:r w:rsidR="00A6794A">
        <w:rPr>
          <w:lang w:val="en-US"/>
        </w:rPr>
        <w:instrText>the</w:instrText>
      </w:r>
      <w:r w:rsidR="00A6794A" w:rsidRPr="00AA43FB">
        <w:instrText xml:space="preserve"> </w:instrText>
      </w:r>
      <w:r w:rsidR="00A6794A">
        <w:rPr>
          <w:lang w:val="en-US"/>
        </w:rPr>
        <w:instrText>same</w:instrText>
      </w:r>
      <w:r w:rsidR="00A6794A" w:rsidRPr="00AA43FB">
        <w:instrText xml:space="preserve"> </w:instrText>
      </w:r>
      <w:r w:rsidR="00A6794A">
        <w:rPr>
          <w:lang w:val="en-US"/>
        </w:rPr>
        <w:instrText>monoclonal</w:instrText>
      </w:r>
      <w:r w:rsidR="00A6794A" w:rsidRPr="00AA43FB">
        <w:instrText xml:space="preserve"> </w:instrText>
      </w:r>
      <w:r w:rsidR="00A6794A">
        <w:rPr>
          <w:lang w:val="en-US"/>
        </w:rPr>
        <w:instrText>antibody</w:instrText>
      </w:r>
      <w:r w:rsidR="00A6794A" w:rsidRPr="00AA43FB">
        <w:instrText xml:space="preserve"> </w:instrText>
      </w:r>
      <w:r w:rsidR="00A6794A">
        <w:rPr>
          <w:lang w:val="en-US"/>
        </w:rPr>
        <w:instrText>as</w:instrText>
      </w:r>
      <w:r w:rsidR="00A6794A" w:rsidRPr="00AA43FB">
        <w:instrText xml:space="preserve"> </w:instrText>
      </w:r>
      <w:r w:rsidR="00A6794A">
        <w:rPr>
          <w:lang w:val="en-US"/>
        </w:rPr>
        <w:instrText>the</w:instrText>
      </w:r>
      <w:r w:rsidR="00A6794A" w:rsidRPr="00AA43FB">
        <w:instrText xml:space="preserve"> </w:instrText>
      </w:r>
      <w:r w:rsidR="00A6794A">
        <w:rPr>
          <w:lang w:val="en-US"/>
        </w:rPr>
        <w:instrText>originally</w:instrText>
      </w:r>
      <w:r w:rsidR="00A6794A" w:rsidRPr="00AA43FB">
        <w:instrText xml:space="preserve"> </w:instrText>
      </w:r>
      <w:r w:rsidR="00A6794A">
        <w:rPr>
          <w:lang w:val="en-US"/>
        </w:rPr>
        <w:instrText>marketed</w:instrText>
      </w:r>
      <w:r w:rsidR="00A6794A" w:rsidRPr="00AA43FB">
        <w:instrText xml:space="preserve"> </w:instrText>
      </w:r>
      <w:r w:rsidR="00A6794A">
        <w:rPr>
          <w:lang w:val="en-US"/>
        </w:rPr>
        <w:instrText>formulation</w:instrText>
      </w:r>
      <w:r w:rsidR="00A6794A" w:rsidRPr="00AA43FB">
        <w:instrText xml:space="preserve"> [</w:instrText>
      </w:r>
      <w:r w:rsidR="00A6794A">
        <w:rPr>
          <w:lang w:val="en-US"/>
        </w:rPr>
        <w:instrText>rituximab</w:instrText>
      </w:r>
      <w:r w:rsidR="00A6794A" w:rsidRPr="00AA43FB">
        <w:instrText xml:space="preserve"> </w:instrText>
      </w:r>
      <w:r w:rsidR="00A6794A">
        <w:rPr>
          <w:lang w:val="en-US"/>
        </w:rPr>
        <w:instrText>concentrate</w:instrText>
      </w:r>
      <w:r w:rsidR="00A6794A" w:rsidRPr="00AA43FB">
        <w:instrText xml:space="preserve"> </w:instrText>
      </w:r>
      <w:r w:rsidR="00A6794A">
        <w:rPr>
          <w:lang w:val="en-US"/>
        </w:rPr>
        <w:instrText>for</w:instrText>
      </w:r>
      <w:r w:rsidR="00A6794A" w:rsidRPr="00AA43FB">
        <w:instrText xml:space="preserve"> </w:instrText>
      </w:r>
      <w:r w:rsidR="00A6794A">
        <w:rPr>
          <w:lang w:val="en-US"/>
        </w:rPr>
        <w:instrText>solution</w:instrText>
      </w:r>
      <w:r w:rsidR="00A6794A" w:rsidRPr="00AA43FB">
        <w:instrText xml:space="preserve"> </w:instrText>
      </w:r>
      <w:r w:rsidR="00A6794A">
        <w:rPr>
          <w:lang w:val="en-US"/>
        </w:rPr>
        <w:instrText>for</w:instrText>
      </w:r>
      <w:r w:rsidR="00A6794A" w:rsidRPr="00AA43FB">
        <w:instrText xml:space="preserve"> </w:instrText>
      </w:r>
      <w:r w:rsidR="00A6794A">
        <w:rPr>
          <w:lang w:val="en-US"/>
        </w:rPr>
        <w:instrText>intravenous</w:instrText>
      </w:r>
      <w:r w:rsidR="00A6794A" w:rsidRPr="00AA43FB">
        <w:instrText xml:space="preserve"> (</w:instrText>
      </w:r>
      <w:r w:rsidR="00A6794A">
        <w:rPr>
          <w:lang w:val="en-US"/>
        </w:rPr>
        <w:instrText>IV</w:instrText>
      </w:r>
      <w:r w:rsidR="00A6794A" w:rsidRPr="00AA43FB">
        <w:instrText xml:space="preserve">) </w:instrText>
      </w:r>
      <w:r w:rsidR="00A6794A">
        <w:rPr>
          <w:lang w:val="en-US"/>
        </w:rPr>
        <w:instrText>infusion</w:instrText>
      </w:r>
      <w:r w:rsidR="00A6794A" w:rsidRPr="00AA43FB">
        <w:instrText xml:space="preserve">], </w:instrText>
      </w:r>
      <w:r w:rsidR="00A6794A">
        <w:rPr>
          <w:lang w:val="en-US"/>
        </w:rPr>
        <w:instrText>and</w:instrText>
      </w:r>
      <w:r w:rsidR="00A6794A" w:rsidRPr="00AA43FB">
        <w:instrText xml:space="preserve"> </w:instrText>
      </w:r>
      <w:r w:rsidR="00A6794A">
        <w:rPr>
          <w:lang w:val="en-US"/>
        </w:rPr>
        <w:instrText>has</w:instrText>
      </w:r>
      <w:r w:rsidR="00A6794A" w:rsidRPr="00AA43FB">
        <w:instrText xml:space="preserve"> </w:instrText>
      </w:r>
      <w:r w:rsidR="00A6794A">
        <w:rPr>
          <w:lang w:val="en-US"/>
        </w:rPr>
        <w:instrText>undergone</w:instrText>
      </w:r>
      <w:r w:rsidR="00A6794A" w:rsidRPr="00AA43FB">
        <w:instrText xml:space="preserve"> </w:instrText>
      </w:r>
      <w:r w:rsidR="00A6794A">
        <w:rPr>
          <w:lang w:val="en-US"/>
        </w:rPr>
        <w:instrText>a</w:instrText>
      </w:r>
      <w:r w:rsidR="00A6794A" w:rsidRPr="00AA43FB">
        <w:instrText xml:space="preserve"> </w:instrText>
      </w:r>
      <w:r w:rsidR="00A6794A">
        <w:rPr>
          <w:lang w:val="en-US"/>
        </w:rPr>
        <w:instrText>detailed</w:instrText>
      </w:r>
      <w:r w:rsidR="00A6794A" w:rsidRPr="00AA43FB">
        <w:instrText xml:space="preserve">, </w:instrText>
      </w:r>
      <w:r w:rsidR="00A6794A">
        <w:rPr>
          <w:lang w:val="en-US"/>
        </w:rPr>
        <w:instrText>sequential</w:instrText>
      </w:r>
      <w:r w:rsidR="00A6794A" w:rsidRPr="00AA43FB">
        <w:instrText xml:space="preserve"> </w:instrText>
      </w:r>
      <w:r w:rsidR="00A6794A">
        <w:rPr>
          <w:lang w:val="en-US"/>
        </w:rPr>
        <w:instrText>clinical</w:instrText>
      </w:r>
      <w:r w:rsidR="00A6794A" w:rsidRPr="00AA43FB">
        <w:instrText xml:space="preserve"> </w:instrText>
      </w:r>
      <w:r w:rsidR="00A6794A">
        <w:rPr>
          <w:lang w:val="en-US"/>
        </w:rPr>
        <w:instrText>development</w:instrText>
      </w:r>
      <w:r w:rsidR="00A6794A" w:rsidRPr="00AA43FB">
        <w:instrText xml:space="preserve"> </w:instrText>
      </w:r>
      <w:r w:rsidR="00A6794A">
        <w:rPr>
          <w:lang w:val="en-US"/>
        </w:rPr>
        <w:instrText>program</w:instrText>
      </w:r>
      <w:r w:rsidR="00A6794A" w:rsidRPr="00AA43FB">
        <w:instrText xml:space="preserve">. </w:instrText>
      </w:r>
      <w:r w:rsidR="00A6794A">
        <w:rPr>
          <w:lang w:val="en-US"/>
        </w:rPr>
        <w:instrText>This</w:instrText>
      </w:r>
      <w:r w:rsidR="00A6794A" w:rsidRPr="00AA43FB">
        <w:instrText xml:space="preserve"> </w:instrText>
      </w:r>
      <w:r w:rsidR="00A6794A">
        <w:rPr>
          <w:lang w:val="en-US"/>
        </w:rPr>
        <w:instrText>program</w:instrText>
      </w:r>
      <w:r w:rsidR="00A6794A" w:rsidRPr="00AA43FB">
        <w:instrText xml:space="preserve"> </w:instrText>
      </w:r>
      <w:r w:rsidR="00A6794A">
        <w:rPr>
          <w:lang w:val="en-US"/>
        </w:rPr>
        <w:instrText>demonstrated</w:instrText>
      </w:r>
      <w:r w:rsidR="00A6794A" w:rsidRPr="00AA43FB">
        <w:instrText xml:space="preserve"> </w:instrText>
      </w:r>
      <w:r w:rsidR="00A6794A">
        <w:rPr>
          <w:lang w:val="en-US"/>
        </w:rPr>
        <w:instrText>that</w:instrText>
      </w:r>
      <w:r w:rsidR="00A6794A" w:rsidRPr="00AA43FB">
        <w:instrText xml:space="preserve">, </w:instrText>
      </w:r>
      <w:r w:rsidR="00A6794A">
        <w:rPr>
          <w:lang w:val="en-US"/>
        </w:rPr>
        <w:instrText>at</w:instrText>
      </w:r>
      <w:r w:rsidR="00A6794A" w:rsidRPr="00AA43FB">
        <w:instrText xml:space="preserve"> </w:instrText>
      </w:r>
      <w:r w:rsidR="00A6794A">
        <w:rPr>
          <w:lang w:val="en-US"/>
        </w:rPr>
        <w:instrText>fixed</w:instrText>
      </w:r>
      <w:r w:rsidR="00A6794A" w:rsidRPr="00AA43FB">
        <w:instrText xml:space="preserve"> </w:instrText>
      </w:r>
      <w:r w:rsidR="00A6794A">
        <w:rPr>
          <w:lang w:val="en-US"/>
        </w:rPr>
        <w:instrText>doses</w:instrText>
      </w:r>
      <w:r w:rsidR="00A6794A" w:rsidRPr="00AA43FB">
        <w:instrText xml:space="preserve">, </w:instrText>
      </w:r>
      <w:r w:rsidR="00A6794A">
        <w:rPr>
          <w:lang w:val="en-US"/>
        </w:rPr>
        <w:instrText>rituximab</w:instrText>
      </w:r>
      <w:r w:rsidR="00A6794A" w:rsidRPr="00AA43FB">
        <w:instrText xml:space="preserve"> </w:instrText>
      </w:r>
      <w:r w:rsidR="00A6794A">
        <w:rPr>
          <w:lang w:val="en-US"/>
        </w:rPr>
        <w:instrText>SC</w:instrText>
      </w:r>
      <w:r w:rsidR="00A6794A" w:rsidRPr="00AA43FB">
        <w:instrText xml:space="preserve"> </w:instrText>
      </w:r>
      <w:r w:rsidR="00A6794A">
        <w:rPr>
          <w:lang w:val="en-US"/>
        </w:rPr>
        <w:instrText>achieves</w:instrText>
      </w:r>
      <w:r w:rsidR="00A6794A" w:rsidRPr="00AA43FB">
        <w:instrText xml:space="preserve"> </w:instrText>
      </w:r>
      <w:r w:rsidR="00A6794A">
        <w:rPr>
          <w:lang w:val="en-US"/>
        </w:rPr>
        <w:instrText>non</w:instrText>
      </w:r>
      <w:r w:rsidR="00A6794A" w:rsidRPr="00AA43FB">
        <w:instrText>-</w:instrText>
      </w:r>
      <w:r w:rsidR="00A6794A">
        <w:rPr>
          <w:lang w:val="en-US"/>
        </w:rPr>
        <w:instrText>inferior</w:instrText>
      </w:r>
      <w:r w:rsidR="00A6794A" w:rsidRPr="00AA43FB">
        <w:instrText xml:space="preserve"> </w:instrText>
      </w:r>
      <w:r w:rsidR="00A6794A">
        <w:rPr>
          <w:lang w:val="en-US"/>
        </w:rPr>
        <w:instrText>serum</w:instrText>
      </w:r>
      <w:r w:rsidR="00A6794A" w:rsidRPr="00AA43FB">
        <w:instrText xml:space="preserve"> </w:instrText>
      </w:r>
      <w:r w:rsidR="00A6794A">
        <w:rPr>
          <w:lang w:val="en-US"/>
        </w:rPr>
        <w:instrText>trough</w:instrText>
      </w:r>
      <w:r w:rsidR="00A6794A" w:rsidRPr="00AA43FB">
        <w:instrText xml:space="preserve"> </w:instrText>
      </w:r>
      <w:r w:rsidR="00A6794A">
        <w:rPr>
          <w:lang w:val="en-US"/>
        </w:rPr>
        <w:instrText>concentrations</w:instrText>
      </w:r>
      <w:r w:rsidR="00A6794A" w:rsidRPr="00AA43FB">
        <w:instrText xml:space="preserve"> </w:instrText>
      </w:r>
      <w:r w:rsidR="00A6794A">
        <w:rPr>
          <w:lang w:val="en-US"/>
        </w:rPr>
        <w:instrText>in</w:instrText>
      </w:r>
      <w:r w:rsidR="00A6794A" w:rsidRPr="00AA43FB">
        <w:instrText xml:space="preserve"> </w:instrText>
      </w:r>
      <w:r w:rsidR="00A6794A">
        <w:rPr>
          <w:lang w:val="en-US"/>
        </w:rPr>
        <w:instrText>patients</w:instrText>
      </w:r>
      <w:r w:rsidR="00A6794A" w:rsidRPr="00AA43FB">
        <w:instrText xml:space="preserve"> </w:instrText>
      </w:r>
      <w:r w:rsidR="00A6794A">
        <w:rPr>
          <w:lang w:val="en-US"/>
        </w:rPr>
        <w:instrText>with</w:instrText>
      </w:r>
      <w:r w:rsidR="00A6794A" w:rsidRPr="00AA43FB">
        <w:instrText xml:space="preserve"> </w:instrText>
      </w:r>
      <w:r w:rsidR="00A6794A">
        <w:rPr>
          <w:lang w:val="en-US"/>
        </w:rPr>
        <w:instrText>non</w:instrText>
      </w:r>
      <w:r w:rsidR="00A6794A" w:rsidRPr="00AA43FB">
        <w:instrText>-</w:instrText>
      </w:r>
      <w:r w:rsidR="00A6794A">
        <w:rPr>
          <w:lang w:val="en-US"/>
        </w:rPr>
        <w:instrText>Hodgkin</w:instrText>
      </w:r>
      <w:r w:rsidR="00A6794A" w:rsidRPr="00AA43FB">
        <w:instrText xml:space="preserve"> </w:instrText>
      </w:r>
      <w:r w:rsidR="00A6794A">
        <w:rPr>
          <w:lang w:val="en-US"/>
        </w:rPr>
        <w:instrText>lymphoma</w:instrText>
      </w:r>
      <w:r w:rsidR="00A6794A" w:rsidRPr="00AA43FB">
        <w:instrText xml:space="preserve"> </w:instrText>
      </w:r>
      <w:r w:rsidR="00A6794A">
        <w:rPr>
          <w:lang w:val="en-US"/>
        </w:rPr>
        <w:instrText>and</w:instrText>
      </w:r>
      <w:r w:rsidR="00A6794A" w:rsidRPr="00AA43FB">
        <w:instrText xml:space="preserve"> </w:instrText>
      </w:r>
      <w:r w:rsidR="00A6794A">
        <w:rPr>
          <w:lang w:val="en-US"/>
        </w:rPr>
        <w:instrText>chronic</w:instrText>
      </w:r>
      <w:r w:rsidR="00A6794A" w:rsidRPr="00AA43FB">
        <w:instrText xml:space="preserve"> </w:instrText>
      </w:r>
      <w:r w:rsidR="00A6794A">
        <w:rPr>
          <w:lang w:val="en-US"/>
        </w:rPr>
        <w:instrText>lymphocytic</w:instrText>
      </w:r>
      <w:r w:rsidR="00A6794A" w:rsidRPr="00AA43FB">
        <w:instrText xml:space="preserve"> </w:instrText>
      </w:r>
      <w:r w:rsidR="00A6794A">
        <w:rPr>
          <w:lang w:val="en-US"/>
        </w:rPr>
        <w:instrText>leukemia</w:instrText>
      </w:r>
      <w:r w:rsidR="00A6794A" w:rsidRPr="00AA43FB">
        <w:instrText xml:space="preserve">, </w:instrText>
      </w:r>
      <w:r w:rsidR="00A6794A">
        <w:rPr>
          <w:lang w:val="en-US"/>
        </w:rPr>
        <w:instrText>with</w:instrText>
      </w:r>
      <w:r w:rsidR="00A6794A" w:rsidRPr="00AA43FB">
        <w:instrText xml:space="preserve"> </w:instrText>
      </w:r>
      <w:r w:rsidR="00A6794A">
        <w:rPr>
          <w:lang w:val="en-US"/>
        </w:rPr>
        <w:instrText>comparable</w:instrText>
      </w:r>
      <w:r w:rsidR="00A6794A" w:rsidRPr="00AA43FB">
        <w:instrText xml:space="preserve"> </w:instrText>
      </w:r>
      <w:r w:rsidR="00A6794A">
        <w:rPr>
          <w:lang w:val="en-US"/>
        </w:rPr>
        <w:instrText>efficacy</w:instrText>
      </w:r>
      <w:r w:rsidR="00A6794A" w:rsidRPr="00AA43FB">
        <w:instrText xml:space="preserve"> </w:instrText>
      </w:r>
      <w:r w:rsidR="00A6794A">
        <w:rPr>
          <w:lang w:val="en-US"/>
        </w:rPr>
        <w:instrText>and</w:instrText>
      </w:r>
      <w:r w:rsidR="00A6794A" w:rsidRPr="00AA43FB">
        <w:instrText xml:space="preserve"> </w:instrText>
      </w:r>
      <w:r w:rsidR="00A6794A">
        <w:rPr>
          <w:lang w:val="en-US"/>
        </w:rPr>
        <w:instrText>safety</w:instrText>
      </w:r>
      <w:r w:rsidR="00A6794A" w:rsidRPr="00AA43FB">
        <w:instrText xml:space="preserve"> </w:instrText>
      </w:r>
      <w:r w:rsidR="00A6794A">
        <w:rPr>
          <w:lang w:val="en-US"/>
        </w:rPr>
        <w:instrText>relative</w:instrText>
      </w:r>
      <w:r w:rsidR="00A6794A" w:rsidRPr="00AA43FB">
        <w:instrText xml:space="preserve"> </w:instrText>
      </w:r>
      <w:r w:rsidR="00A6794A">
        <w:rPr>
          <w:lang w:val="en-US"/>
        </w:rPr>
        <w:instrText>to</w:instrText>
      </w:r>
      <w:r w:rsidR="00A6794A" w:rsidRPr="00AA43FB">
        <w:instrText xml:space="preserve"> </w:instrText>
      </w:r>
      <w:r w:rsidR="00A6794A">
        <w:rPr>
          <w:lang w:val="en-US"/>
        </w:rPr>
        <w:instrText>the</w:instrText>
      </w:r>
      <w:r w:rsidR="00A6794A" w:rsidRPr="00AA43FB">
        <w:instrText xml:space="preserve"> </w:instrText>
      </w:r>
      <w:r w:rsidR="00A6794A">
        <w:rPr>
          <w:lang w:val="en-US"/>
        </w:rPr>
        <w:instrText>IV</w:instrText>
      </w:r>
      <w:r w:rsidR="00A6794A" w:rsidRPr="00AA43FB">
        <w:instrText xml:space="preserve"> </w:instrText>
      </w:r>
      <w:r w:rsidR="00A6794A">
        <w:rPr>
          <w:lang w:val="en-US"/>
        </w:rPr>
        <w:instrText>formulation</w:instrText>
      </w:r>
      <w:r w:rsidR="00A6794A" w:rsidRPr="00AA43FB">
        <w:instrText xml:space="preserve">. </w:instrText>
      </w:r>
      <w:r w:rsidR="00A6794A">
        <w:rPr>
          <w:lang w:val="en-US"/>
        </w:rPr>
        <w:instrText>The</w:instrText>
      </w:r>
      <w:r w:rsidR="00A6794A" w:rsidRPr="00AA43FB">
        <w:instrText xml:space="preserve"> </w:instrText>
      </w:r>
      <w:r w:rsidR="00A6794A">
        <w:rPr>
          <w:lang w:val="en-US"/>
        </w:rPr>
        <w:instrText>added</w:instrText>
      </w:r>
      <w:r w:rsidR="00A6794A" w:rsidRPr="00AA43FB">
        <w:instrText xml:space="preserve"> </w:instrText>
      </w:r>
      <w:r w:rsidR="00A6794A">
        <w:rPr>
          <w:lang w:val="en-US"/>
        </w:rPr>
        <w:instrText>benefit</w:instrText>
      </w:r>
      <w:r w:rsidR="00A6794A" w:rsidRPr="00AA43FB">
        <w:instrText xml:space="preserve"> </w:instrText>
      </w:r>
      <w:r w:rsidR="00A6794A">
        <w:rPr>
          <w:lang w:val="en-US"/>
        </w:rPr>
        <w:instrText>of</w:instrText>
      </w:r>
      <w:r w:rsidR="00A6794A" w:rsidRPr="00AA43FB">
        <w:instrText xml:space="preserve"> </w:instrText>
      </w:r>
      <w:r w:rsidR="00A6794A">
        <w:rPr>
          <w:lang w:val="en-US"/>
        </w:rPr>
        <w:instrText>rituximab</w:instrText>
      </w:r>
      <w:r w:rsidR="00A6794A" w:rsidRPr="00AA43FB">
        <w:instrText xml:space="preserve"> </w:instrText>
      </w:r>
      <w:r w:rsidR="00A6794A">
        <w:rPr>
          <w:lang w:val="en-US"/>
        </w:rPr>
        <w:instrText>SC</w:instrText>
      </w:r>
      <w:r w:rsidR="00A6794A" w:rsidRPr="00AA43FB">
        <w:instrText xml:space="preserve"> </w:instrText>
      </w:r>
      <w:r w:rsidR="00A6794A">
        <w:rPr>
          <w:lang w:val="en-US"/>
        </w:rPr>
        <w:instrText>was</w:instrText>
      </w:r>
      <w:r w:rsidR="00A6794A" w:rsidRPr="00AA43FB">
        <w:instrText xml:space="preserve"> </w:instrText>
      </w:r>
      <w:r w:rsidR="00A6794A">
        <w:rPr>
          <w:lang w:val="en-US"/>
        </w:rPr>
        <w:instrText>demonstrated</w:instrText>
      </w:r>
      <w:r w:rsidR="00A6794A" w:rsidRPr="00AA43FB">
        <w:instrText xml:space="preserve"> </w:instrText>
      </w:r>
      <w:r w:rsidR="00A6794A">
        <w:rPr>
          <w:lang w:val="en-US"/>
        </w:rPr>
        <w:instrText>in</w:instrText>
      </w:r>
      <w:r w:rsidR="00A6794A" w:rsidRPr="00AA43FB">
        <w:instrText xml:space="preserve"> </w:instrText>
      </w:r>
      <w:r w:rsidR="00A6794A">
        <w:rPr>
          <w:lang w:val="en-US"/>
        </w:rPr>
        <w:instrText>dedicated</w:instrText>
      </w:r>
      <w:r w:rsidR="00A6794A" w:rsidRPr="00AA43FB">
        <w:instrText xml:space="preserve"> </w:instrText>
      </w:r>
      <w:r w:rsidR="00A6794A">
        <w:rPr>
          <w:lang w:val="en-US"/>
        </w:rPr>
        <w:instrText>studies</w:instrText>
      </w:r>
      <w:r w:rsidR="00A6794A" w:rsidRPr="00AA43FB">
        <w:instrText xml:space="preserve"> </w:instrText>
      </w:r>
      <w:r w:rsidR="00A6794A">
        <w:rPr>
          <w:lang w:val="en-US"/>
        </w:rPr>
        <w:instrText>showing</w:instrText>
      </w:r>
      <w:r w:rsidR="00A6794A" w:rsidRPr="00AA43FB">
        <w:instrText xml:space="preserve"> </w:instrText>
      </w:r>
      <w:r w:rsidR="00A6794A">
        <w:rPr>
          <w:lang w:val="en-US"/>
        </w:rPr>
        <w:instrText>that</w:instrText>
      </w:r>
      <w:r w:rsidR="00A6794A" w:rsidRPr="00AA43FB">
        <w:instrText xml:space="preserve"> </w:instrText>
      </w:r>
      <w:r w:rsidR="00A6794A">
        <w:rPr>
          <w:lang w:val="en-US"/>
        </w:rPr>
        <w:instrText>rituximab</w:instrText>
      </w:r>
      <w:r w:rsidR="00A6794A" w:rsidRPr="00AA43FB">
        <w:instrText xml:space="preserve"> </w:instrText>
      </w:r>
      <w:r w:rsidR="00A6794A">
        <w:rPr>
          <w:lang w:val="en-US"/>
        </w:rPr>
        <w:instrText>SC</w:instrText>
      </w:r>
      <w:r w:rsidR="00A6794A" w:rsidRPr="00AA43FB">
        <w:instrText xml:space="preserve"> </w:instrText>
      </w:r>
      <w:r w:rsidR="00A6794A">
        <w:rPr>
          <w:lang w:val="en-US"/>
        </w:rPr>
        <w:instrText>allows</w:instrText>
      </w:r>
      <w:r w:rsidR="00A6794A" w:rsidRPr="00AA43FB">
        <w:instrText xml:space="preserve"> </w:instrText>
      </w:r>
      <w:r w:rsidR="00A6794A">
        <w:rPr>
          <w:lang w:val="en-US"/>
        </w:rPr>
        <w:instrText>for</w:instrText>
      </w:r>
      <w:r w:rsidR="00A6794A" w:rsidRPr="00AA43FB">
        <w:instrText xml:space="preserve"> </w:instrText>
      </w:r>
      <w:r w:rsidR="00A6794A">
        <w:rPr>
          <w:lang w:val="en-US"/>
        </w:rPr>
        <w:instrText>simplified</w:instrText>
      </w:r>
      <w:r w:rsidR="00A6794A" w:rsidRPr="00AA43FB">
        <w:instrText xml:space="preserve"> </w:instrText>
      </w:r>
      <w:r w:rsidR="00A6794A">
        <w:rPr>
          <w:lang w:val="en-US"/>
        </w:rPr>
        <w:instrText>and</w:instrText>
      </w:r>
      <w:r w:rsidR="00A6794A" w:rsidRPr="00AA43FB">
        <w:instrText xml:space="preserve"> </w:instrText>
      </w:r>
      <w:r w:rsidR="00A6794A">
        <w:rPr>
          <w:lang w:val="en-US"/>
        </w:rPr>
        <w:instrText>shortened</w:instrText>
      </w:r>
      <w:r w:rsidR="00A6794A" w:rsidRPr="00AA43FB">
        <w:instrText xml:space="preserve"> </w:instrText>
      </w:r>
      <w:r w:rsidR="00A6794A">
        <w:rPr>
          <w:lang w:val="en-US"/>
        </w:rPr>
        <w:instrText>drug</w:instrText>
      </w:r>
      <w:r w:rsidR="00A6794A" w:rsidRPr="00AA43FB">
        <w:instrText xml:space="preserve"> </w:instrText>
      </w:r>
      <w:r w:rsidR="00A6794A">
        <w:rPr>
          <w:lang w:val="en-US"/>
        </w:rPr>
        <w:instrText>preparation</w:instrText>
      </w:r>
      <w:r w:rsidR="00A6794A" w:rsidRPr="00AA43FB">
        <w:instrText xml:space="preserve"> </w:instrText>
      </w:r>
      <w:r w:rsidR="00A6794A">
        <w:rPr>
          <w:lang w:val="en-US"/>
        </w:rPr>
        <w:instrText>and</w:instrText>
      </w:r>
      <w:r w:rsidR="00A6794A" w:rsidRPr="00AA43FB">
        <w:instrText xml:space="preserve"> </w:instrText>
      </w:r>
      <w:r w:rsidR="00A6794A">
        <w:rPr>
          <w:lang w:val="en-US"/>
        </w:rPr>
        <w:instrText>administration</w:instrText>
      </w:r>
      <w:r w:rsidR="00A6794A" w:rsidRPr="00AA43FB">
        <w:instrText xml:space="preserve"> </w:instrText>
      </w:r>
      <w:r w:rsidR="00A6794A">
        <w:rPr>
          <w:lang w:val="en-US"/>
        </w:rPr>
        <w:instrText>times</w:instrText>
      </w:r>
      <w:r w:rsidR="00A6794A" w:rsidRPr="00AA43FB">
        <w:instrText xml:space="preserve"> </w:instrText>
      </w:r>
      <w:r w:rsidR="00A6794A">
        <w:rPr>
          <w:lang w:val="en-US"/>
        </w:rPr>
        <w:instrText>resulting</w:instrText>
      </w:r>
      <w:r w:rsidR="00A6794A" w:rsidRPr="00AA43FB">
        <w:instrText xml:space="preserve"> </w:instrText>
      </w:r>
      <w:r w:rsidR="00A6794A">
        <w:rPr>
          <w:lang w:val="en-US"/>
        </w:rPr>
        <w:instrText>in</w:instrText>
      </w:r>
      <w:r w:rsidR="00A6794A" w:rsidRPr="00AA43FB">
        <w:instrText xml:space="preserve"> </w:instrText>
      </w:r>
      <w:r w:rsidR="00A6794A">
        <w:rPr>
          <w:lang w:val="en-US"/>
        </w:rPr>
        <w:instrText>a</w:instrText>
      </w:r>
      <w:r w:rsidR="00A6794A" w:rsidRPr="00AA43FB">
        <w:instrText xml:space="preserve"> </w:instrText>
      </w:r>
      <w:r w:rsidR="00A6794A">
        <w:rPr>
          <w:lang w:val="en-US"/>
        </w:rPr>
        <w:instrText>reduced</w:instrText>
      </w:r>
      <w:r w:rsidR="00A6794A" w:rsidRPr="00AA43FB">
        <w:instrText xml:space="preserve"> </w:instrText>
      </w:r>
      <w:r w:rsidR="00A6794A">
        <w:rPr>
          <w:lang w:val="en-US"/>
        </w:rPr>
        <w:instrText>treatment</w:instrText>
      </w:r>
      <w:r w:rsidR="00A6794A" w:rsidRPr="00AA43FB">
        <w:instrText xml:space="preserve"> </w:instrText>
      </w:r>
      <w:r w:rsidR="00A6794A">
        <w:rPr>
          <w:lang w:val="en-US"/>
        </w:rPr>
        <w:instrText>burden</w:instrText>
      </w:r>
      <w:r w:rsidR="00A6794A" w:rsidRPr="00AA43FB">
        <w:instrText xml:space="preserve"> </w:instrText>
      </w:r>
      <w:r w:rsidR="00A6794A">
        <w:rPr>
          <w:lang w:val="en-US"/>
        </w:rPr>
        <w:instrText>for</w:instrText>
      </w:r>
      <w:r w:rsidR="00A6794A" w:rsidRPr="00AA43FB">
        <w:instrText xml:space="preserve"> </w:instrText>
      </w:r>
      <w:r w:rsidR="00A6794A">
        <w:rPr>
          <w:lang w:val="en-US"/>
        </w:rPr>
        <w:instrText>patients</w:instrText>
      </w:r>
      <w:r w:rsidR="00A6794A" w:rsidRPr="00AA43FB">
        <w:instrText xml:space="preserve"> </w:instrText>
      </w:r>
      <w:r w:rsidR="00A6794A">
        <w:rPr>
          <w:lang w:val="en-US"/>
        </w:rPr>
        <w:instrText>as</w:instrText>
      </w:r>
      <w:r w:rsidR="00A6794A" w:rsidRPr="00AA43FB">
        <w:instrText xml:space="preserve"> </w:instrText>
      </w:r>
      <w:r w:rsidR="00A6794A">
        <w:rPr>
          <w:lang w:val="en-US"/>
        </w:rPr>
        <w:instrText>well</w:instrText>
      </w:r>
      <w:r w:rsidR="00A6794A" w:rsidRPr="00AA43FB">
        <w:instrText xml:space="preserve"> </w:instrText>
      </w:r>
      <w:r w:rsidR="00A6794A">
        <w:rPr>
          <w:lang w:val="en-US"/>
        </w:rPr>
        <w:instrText>as</w:instrText>
      </w:r>
      <w:r w:rsidR="00A6794A" w:rsidRPr="00AA43FB">
        <w:instrText xml:space="preserve"> </w:instrText>
      </w:r>
      <w:r w:rsidR="00A6794A">
        <w:rPr>
          <w:lang w:val="en-US"/>
        </w:rPr>
        <w:instrText>improved</w:instrText>
      </w:r>
      <w:r w:rsidR="00A6794A" w:rsidRPr="00AA43FB">
        <w:instrText xml:space="preserve"> </w:instrText>
      </w:r>
      <w:r w:rsidR="00A6794A">
        <w:rPr>
          <w:lang w:val="en-US"/>
        </w:rPr>
        <w:instrText>resource</w:instrText>
      </w:r>
      <w:r w:rsidR="00A6794A" w:rsidRPr="00AA43FB">
        <w:instrText xml:space="preserve"> </w:instrText>
      </w:r>
      <w:r w:rsidR="00A6794A">
        <w:rPr>
          <w:lang w:val="en-US"/>
        </w:rPr>
        <w:instrText>utilization</w:instrText>
      </w:r>
      <w:r w:rsidR="00A6794A" w:rsidRPr="00AA43FB">
        <w:instrText xml:space="preserve"> (</w:instrText>
      </w:r>
      <w:r w:rsidR="00A6794A">
        <w:rPr>
          <w:lang w:val="en-US"/>
        </w:rPr>
        <w:instrText>efficiency</w:instrText>
      </w:r>
      <w:r w:rsidR="00A6794A" w:rsidRPr="00AA43FB">
        <w:instrText xml:space="preserve">) </w:instrText>
      </w:r>
      <w:r w:rsidR="00A6794A">
        <w:rPr>
          <w:lang w:val="en-US"/>
        </w:rPr>
        <w:instrText>at</w:instrText>
      </w:r>
      <w:r w:rsidR="00A6794A" w:rsidRPr="00AA43FB">
        <w:instrText xml:space="preserve"> </w:instrText>
      </w:r>
      <w:r w:rsidR="00A6794A">
        <w:rPr>
          <w:lang w:val="en-US"/>
        </w:rPr>
        <w:instrText>the</w:instrText>
      </w:r>
      <w:r w:rsidR="00A6794A" w:rsidRPr="00AA43FB">
        <w:instrText xml:space="preserve"> </w:instrText>
      </w:r>
      <w:r w:rsidR="00A6794A">
        <w:rPr>
          <w:lang w:val="en-US"/>
        </w:rPr>
        <w:instrText>treatment</w:instrText>
      </w:r>
      <w:r w:rsidR="00A6794A" w:rsidRPr="00AA43FB">
        <w:instrText xml:space="preserve"> </w:instrText>
      </w:r>
      <w:r w:rsidR="00A6794A">
        <w:rPr>
          <w:lang w:val="en-US"/>
        </w:rPr>
        <w:instrText>facility</w:instrText>
      </w:r>
      <w:r w:rsidR="00A6794A" w:rsidRPr="00AA43FB">
        <w:instrText xml:space="preserve">. </w:instrText>
      </w:r>
      <w:r w:rsidR="00A6794A">
        <w:rPr>
          <w:lang w:val="en-US"/>
        </w:rPr>
        <w:instrText>The</w:instrText>
      </w:r>
      <w:r w:rsidR="00A6794A" w:rsidRPr="00AA43FB">
        <w:instrText xml:space="preserve"> </w:instrText>
      </w:r>
      <w:r w:rsidR="00A6794A">
        <w:rPr>
          <w:lang w:val="en-US"/>
        </w:rPr>
        <w:instrText>improved</w:instrText>
      </w:r>
      <w:r w:rsidR="00A6794A" w:rsidRPr="00AA43FB">
        <w:instrText xml:space="preserve"> </w:instrText>
      </w:r>
      <w:r w:rsidR="00A6794A">
        <w:rPr>
          <w:lang w:val="en-US"/>
        </w:rPr>
        <w:instrText>efficiency</w:instrText>
      </w:r>
      <w:r w:rsidR="00A6794A" w:rsidRPr="00AA43FB">
        <w:instrText xml:space="preserve"> </w:instrText>
      </w:r>
      <w:r w:rsidR="00A6794A">
        <w:rPr>
          <w:lang w:val="en-US"/>
        </w:rPr>
        <w:instrText>of</w:instrText>
      </w:r>
      <w:r w:rsidR="00A6794A" w:rsidRPr="00AA43FB">
        <w:instrText xml:space="preserve"> </w:instrText>
      </w:r>
      <w:r w:rsidR="00A6794A">
        <w:rPr>
          <w:lang w:val="en-US"/>
        </w:rPr>
        <w:instrText>delivering</w:instrText>
      </w:r>
      <w:r w:rsidR="00A6794A" w:rsidRPr="00AA43FB">
        <w:instrText xml:space="preserve"> </w:instrText>
      </w:r>
      <w:r w:rsidR="00A6794A">
        <w:rPr>
          <w:lang w:val="en-US"/>
        </w:rPr>
        <w:instrText>rituximab</w:instrText>
      </w:r>
      <w:r w:rsidR="00A6794A" w:rsidRPr="00AA43FB">
        <w:instrText>’</w:instrText>
      </w:r>
      <w:r w:rsidR="00A6794A">
        <w:rPr>
          <w:lang w:val="en-US"/>
        </w:rPr>
        <w:instrText>s</w:instrText>
      </w:r>
      <w:r w:rsidR="00A6794A" w:rsidRPr="00AA43FB">
        <w:instrText xml:space="preserve"> </w:instrText>
      </w:r>
      <w:r w:rsidR="00A6794A">
        <w:rPr>
          <w:lang w:val="en-US"/>
        </w:rPr>
        <w:instrText>benefit</w:instrText>
      </w:r>
      <w:r w:rsidR="00A6794A" w:rsidRPr="00AA43FB">
        <w:instrText xml:space="preserve"> </w:instrText>
      </w:r>
      <w:r w:rsidR="00A6794A">
        <w:rPr>
          <w:lang w:val="en-US"/>
        </w:rPr>
        <w:instrText>to</w:instrText>
      </w:r>
      <w:r w:rsidR="00A6794A" w:rsidRPr="00AA43FB">
        <w:instrText xml:space="preserve"> </w:instrText>
      </w:r>
      <w:r w:rsidR="00A6794A">
        <w:rPr>
          <w:lang w:val="en-US"/>
        </w:rPr>
        <w:instrText>patients</w:instrText>
      </w:r>
      <w:r w:rsidR="00A6794A" w:rsidRPr="00AA43FB">
        <w:instrText xml:space="preserve"> </w:instrText>
      </w:r>
      <w:r w:rsidR="00A6794A">
        <w:rPr>
          <w:lang w:val="en-US"/>
        </w:rPr>
        <w:instrText>may</w:instrText>
      </w:r>
      <w:r w:rsidR="00A6794A" w:rsidRPr="00AA43FB">
        <w:instrText xml:space="preserve"> </w:instrText>
      </w:r>
      <w:r w:rsidR="00A6794A">
        <w:rPr>
          <w:lang w:val="en-US"/>
        </w:rPr>
        <w:instrText>broaden</w:instrText>
      </w:r>
      <w:r w:rsidR="00A6794A" w:rsidRPr="00AA43FB">
        <w:instrText xml:space="preserve"> </w:instrText>
      </w:r>
      <w:r w:rsidR="00A6794A">
        <w:rPr>
          <w:lang w:val="en-US"/>
        </w:rPr>
        <w:instrText>patient</w:instrText>
      </w:r>
      <w:r w:rsidR="00A6794A" w:rsidRPr="00AA43FB">
        <w:instrText xml:space="preserve"> </w:instrText>
      </w:r>
      <w:r w:rsidR="00A6794A">
        <w:rPr>
          <w:lang w:val="en-US"/>
        </w:rPr>
        <w:instrText>access</w:instrText>
      </w:r>
      <w:r w:rsidR="00A6794A" w:rsidRPr="00AA43FB">
        <w:instrText xml:space="preserve"> </w:instrText>
      </w:r>
      <w:r w:rsidR="00A6794A">
        <w:rPr>
          <w:lang w:val="en-US"/>
        </w:rPr>
        <w:instrText>to</w:instrText>
      </w:r>
      <w:r w:rsidR="00A6794A" w:rsidRPr="00AA43FB">
        <w:instrText xml:space="preserve"> </w:instrText>
      </w:r>
      <w:r w:rsidR="00A6794A">
        <w:rPr>
          <w:lang w:val="en-US"/>
        </w:rPr>
        <w:instrText>rituximab</w:instrText>
      </w:r>
      <w:r w:rsidR="00A6794A" w:rsidRPr="00AA43FB">
        <w:instrText xml:space="preserve"> </w:instrText>
      </w:r>
      <w:r w:rsidR="00A6794A">
        <w:rPr>
          <w:lang w:val="en-US"/>
        </w:rPr>
        <w:instrText>therapy</w:instrText>
      </w:r>
      <w:r w:rsidR="00A6794A" w:rsidRPr="00AA43FB">
        <w:instrText xml:space="preserve"> </w:instrText>
      </w:r>
      <w:r w:rsidR="00A6794A">
        <w:rPr>
          <w:lang w:val="en-US"/>
        </w:rPr>
        <w:instrText>in</w:instrText>
      </w:r>
      <w:r w:rsidR="00A6794A" w:rsidRPr="00AA43FB">
        <w:instrText xml:space="preserve"> </w:instrText>
      </w:r>
      <w:r w:rsidR="00A6794A">
        <w:rPr>
          <w:lang w:val="en-US"/>
        </w:rPr>
        <w:instrText>areas with low levels of healthcare resources, including IV-chair capacity constraints. This article is a companion paper to G. Salles, et al., which is also published in this issue. Funding: F. Hoffmann-La Roche Ltd.","author":[{"dropping-particle":"","family":"Davies","given":"Andrew","non-dropping-particle":"","parse-names":false,"suffix":""},{"dropping-particle":"","family":"Berge","given":"Claude","non-dropping-particle":"","parse-names":false,"suffix":""},{"dropping-particle":"","family":"Boehnke","given":"Axel","non-dropping-particle":"","parse-names":false,"suffix":""},{"dropping-particle":"","family":"Dadabhoy","given":"Anjum","non-dropping-particle":"","parse-names":false,"suffix":""},{"dropping-particle":"","family":"Lugtenburg","given":"Pieternella","non-dropping-particle":"","parse-names":false,"suffix":""},{"dropping-particle":"","family":"Rule","given":"Simon","non-dropping-particle":"","parse-names":false,"suffix":""},{"dropping-particle":"","family":"Rummel","given":"Mathias","non-dropping-particle":"","parse-names":false,"suffix":""},{"dropping-particle":"","family":"McIntyre","given":"Christine","non-dropping-particle":"","parse-names":false,"suffix":""},{"dropping-particle":"","family":"Smith","given":"Rodney","non-dropping-particle":"","parse-names":false,"suffix":""},{"dropping-particle":"","family":"Badoux","given":"Xavier","non-dropping-particle":"","parse-names":false,"suffix":""}],"container-title":"Advances in Therapy","id":"ITEM-2","issue":"10","issued":{"date-parts":[["2017","10","1"]]},"page":"2210-2231","publisher":"Springer Healthcare","title":"Subcutaneous Rituximab for the Treatment of B-Cell Hematologic Malignancies: A Review of the Scientific Rationale and Clinical Development","type":"article","volume":"34"},"uris":["http://www.mendeley.com/documents/?uuid=c91e99c4-7e72-3803-909e-84f3e662a6e0"]},{"id":"ITEM-3","itemData":{"DOI":"10.1111/bjh.16227","ISSN":"0007-1048","abstract":"Rituximab is a standard treatment for non-Hodgkin diffuse large B-cell (DLBCL) and follicular (FL) lymphomas. A subcutaneous formulation was developed to improve the resource use of intravenous rituximab, with comparable efficacy and safety profiles except for increased administration-related reactions (ARRs). MabRella was a phase IIIb trial to assess the safety of switching from intravenous to subcutaneous administration of rituximab during first-line induction/maintenance for DLBCL or FL, focusing on ARRs. Efficacy, satisfaction and quality of life were also assessed. Patients received subcutaneous rituximab plus standard induction chemotherapy for DLBCL or FL for 4–7 cycles, and/or every 2 months maintenance monotherapy for FL for 6–12 cycles. The study included 140 patients: DLBCL, n = 29; FL, n = 111. Ninety-five percent of patients experienced adverse events, reaching grade ≥3 in 38·6% and were serious in 30·0%. AARs occurred in 48·6%, mostly (84·9%) at the injection site, with only 2·1% of patients reaching grade 3. The end-of-induction complete/unconfirmed complete response rate was 69·6%. After a median follow-up of 33·5 months, median disease-/event-/progression-free and overall survivals were not attained. The Rituximab Administration Satisfaction Questionnaire showed improvements in overall satisfaction and the EuroQoL-5D a good quality-of-life perception at induction/maintenance end. Therefore, switching to subcutaneous rituximab showed no new safety issues and maintained efficacy with improved satisfaction and quality of life.","author":[{"dropping-particle":"","family":"García‐Muñoz","given":"Ricardo","non-dropping-particle":"","parse-names":false,"suffix":""},{"dropping-particle":"","family":"Quero","given":"Cristina","non-dropping-particle":"","parse-names":false,"suffix":""},{"dropping-particle":"","family":"Pérez‐Persona","given":"Ernesto","non-dropping-particle":"","parse-names":false,"suffix":""},{"dropping-particle":"","family":"Domingo‐García","given":"Abel","non-dropping-particle":"","parse-names":false,"suffix":""},{"dropping-particle":"","family":"Pérez‐López","given":"Cristina","non-dropping-particle":"","parse-names":false,"suffix":""},{"dropping-particle":"","family":"Villaescusa‐de‐la‐Rosa","given":"Teresa","non-dropping-particle":"","parse-names":false,"suffix":""},{"dropping-particle":"","family":"Martínez‐Castro","given":"Ana M.","non-dropping-particle":"","parse-names":false,"suffix":""},{"dropping-particle":"","family":"Arguiñano‐Pérez","given":"José M.","non-dropping-particle":"","parse-names":false,"suffix":""},{"dropping-particle":"","family":"Parra‐Cuadrado","given":"Juan F.","non-dropping-particle":"","parse-names":false,"suffix":""},{"dropping-particle":"","family":"Panizo","given":"Carlos","non-dropping-particle":"","parse-names":false,"suffix":""}],"container-title":"British Journal of Haematology","id":"ITEM-3","issue":"5","issued":{"date-parts":[["2020","3","1"]]},"page":"661-673","publisher":"Blackwell Publishing Ltd","title":"Safety of switching from intravenous to subcutaneous rituximab during first‐line treatment of patients with non‐Hodgkin lymphoma: the Spanish population of the MabRella study","type":"article-journal","volume":"188"},"uris":["http://www.mendeley.com/documents/?uuid=89ca4d25-771e-3d22-9da5-61e99fb5ec3e"]},{"id":"ITEM-4","itemData":{"DOI":"10.3747/co.24.3470","ISSN":"17187729","abstract":"Rituximab is widely used for the treatment of non-Hodgkin lymphoma, being a key component in most therapeutic regimens. Administration of the intravenous (IV) formulation is lengthy and places a significant burden on health care resources and patient quality of life. A subcutaneous (sc) formulation that provides a fixed dose of rituximab is being examined in a number of studies. Results indicate that the pharmacokinetics are noninferior and response rates are comparable to those obtained with the IV formulation. Moreover, the sc formulation is preferred by patients and health care providers and reduces administration and chair time. Additional advantages include a lesser potential for dosing errors, shorter preparation time, reduced drug wastage, and fewer infusion-related reactions. Despite the success of the sc formulation</w:instrText>
      </w:r>
      <w:r w:rsidR="00A6794A" w:rsidRPr="00D3550C">
        <w:instrText xml:space="preserve">, </w:instrText>
      </w:r>
      <w:r w:rsidR="00A6794A">
        <w:rPr>
          <w:lang w:val="en-US"/>
        </w:rPr>
        <w:instrText>correct</w:instrText>
      </w:r>
      <w:r w:rsidR="00A6794A" w:rsidRPr="00D3550C">
        <w:instrText xml:space="preserve"> </w:instrText>
      </w:r>
      <w:r w:rsidR="00A6794A">
        <w:rPr>
          <w:lang w:val="en-US"/>
        </w:rPr>
        <w:instrText>administration</w:instrText>
      </w:r>
      <w:r w:rsidR="00A6794A" w:rsidRPr="00D3550C">
        <w:instrText xml:space="preserve"> </w:instrText>
      </w:r>
      <w:r w:rsidR="00A6794A">
        <w:rPr>
          <w:lang w:val="en-US"/>
        </w:rPr>
        <w:instrText>is</w:instrText>
      </w:r>
      <w:r w:rsidR="00A6794A" w:rsidRPr="00D3550C">
        <w:instrText xml:space="preserve"> </w:instrText>
      </w:r>
      <w:r w:rsidR="00A6794A">
        <w:rPr>
          <w:lang w:val="en-US"/>
        </w:rPr>
        <w:instrText>needed</w:instrText>
      </w:r>
      <w:r w:rsidR="00A6794A" w:rsidRPr="00D3550C">
        <w:instrText xml:space="preserve"> </w:instrText>
      </w:r>
      <w:r w:rsidR="00A6794A">
        <w:rPr>
          <w:lang w:val="en-US"/>
        </w:rPr>
        <w:instrText>to</w:instrText>
      </w:r>
      <w:r w:rsidR="00A6794A" w:rsidRPr="00D3550C">
        <w:instrText xml:space="preserve"> </w:instrText>
      </w:r>
      <w:r w:rsidR="00A6794A">
        <w:rPr>
          <w:lang w:val="en-US"/>
        </w:rPr>
        <w:instrText>reduce</w:instrText>
      </w:r>
      <w:r w:rsidR="00A6794A" w:rsidRPr="00D3550C">
        <w:instrText xml:space="preserve"> </w:instrText>
      </w:r>
      <w:r w:rsidR="00A6794A">
        <w:rPr>
          <w:lang w:val="en-US"/>
        </w:rPr>
        <w:instrText>administration</w:instrText>
      </w:r>
      <w:r w:rsidR="00A6794A" w:rsidRPr="00D3550C">
        <w:instrText>-</w:instrText>
      </w:r>
      <w:r w:rsidR="00A6794A">
        <w:rPr>
          <w:lang w:val="en-US"/>
        </w:rPr>
        <w:instrText>related</w:instrText>
      </w:r>
      <w:r w:rsidR="00A6794A" w:rsidRPr="00D3550C">
        <w:instrText xml:space="preserve"> </w:instrText>
      </w:r>
      <w:r w:rsidR="00A6794A">
        <w:rPr>
          <w:lang w:val="en-US"/>
        </w:rPr>
        <w:instrText>reactions</w:instrText>
      </w:r>
      <w:r w:rsidR="00A6794A" w:rsidRPr="00D3550C">
        <w:instrText xml:space="preserve">. </w:instrText>
      </w:r>
      <w:r w:rsidR="00A6794A">
        <w:rPr>
          <w:lang w:val="en-US"/>
        </w:rPr>
        <w:instrText>By</w:instrText>
      </w:r>
      <w:r w:rsidR="00A6794A" w:rsidRPr="00D3550C">
        <w:instrText xml:space="preserve"> </w:instrText>
      </w:r>
      <w:r w:rsidR="00A6794A">
        <w:rPr>
          <w:lang w:val="en-US"/>
        </w:rPr>
        <w:instrText>using</w:instrText>
      </w:r>
      <w:r w:rsidR="00A6794A" w:rsidRPr="00D3550C">
        <w:instrText xml:space="preserve"> </w:instrText>
      </w:r>
      <w:r w:rsidR="00A6794A">
        <w:rPr>
          <w:lang w:val="en-US"/>
        </w:rPr>
        <w:instrText>a</w:instrText>
      </w:r>
      <w:r w:rsidR="00A6794A" w:rsidRPr="00D3550C">
        <w:instrText xml:space="preserve"> </w:instrText>
      </w:r>
      <w:r w:rsidR="00A6794A">
        <w:rPr>
          <w:lang w:val="en-US"/>
        </w:rPr>
        <w:instrText>careful</w:instrText>
      </w:r>
      <w:r w:rsidR="00A6794A" w:rsidRPr="00D3550C">
        <w:instrText xml:space="preserve"> </w:instrText>
      </w:r>
      <w:r w:rsidR="00A6794A">
        <w:rPr>
          <w:lang w:val="en-US"/>
        </w:rPr>
        <w:instrText>procedure</w:instrText>
      </w:r>
      <w:r w:rsidR="00A6794A" w:rsidRPr="00D3550C">
        <w:instrText xml:space="preserve">, </w:instrText>
      </w:r>
      <w:r w:rsidR="00A6794A">
        <w:rPr>
          <w:lang w:val="en-US"/>
        </w:rPr>
        <w:instrText>the</w:instrText>
      </w:r>
      <w:r w:rsidR="00A6794A" w:rsidRPr="00D3550C">
        <w:instrText xml:space="preserve"> </w:instrText>
      </w:r>
      <w:r w:rsidR="00A6794A">
        <w:rPr>
          <w:lang w:val="en-US"/>
        </w:rPr>
        <w:instrText>sc</w:instrText>
      </w:r>
      <w:r w:rsidR="00A6794A" w:rsidRPr="00D3550C">
        <w:instrText xml:space="preserve"> </w:instrText>
      </w:r>
      <w:r w:rsidR="00A6794A">
        <w:rPr>
          <w:lang w:val="en-US"/>
        </w:rPr>
        <w:instrText>formulation</w:instrText>
      </w:r>
      <w:r w:rsidR="00A6794A" w:rsidRPr="00D3550C">
        <w:instrText xml:space="preserve"> </w:instrText>
      </w:r>
      <w:r w:rsidR="00A6794A">
        <w:rPr>
          <w:lang w:val="en-US"/>
        </w:rPr>
        <w:instrText>can</w:instrText>
      </w:r>
      <w:r w:rsidR="00A6794A" w:rsidRPr="00D3550C">
        <w:instrText xml:space="preserve"> </w:instrText>
      </w:r>
      <w:r w:rsidR="00A6794A">
        <w:rPr>
          <w:lang w:val="en-US"/>
        </w:rPr>
        <w:instrText>be</w:instrText>
      </w:r>
      <w:r w:rsidR="00A6794A" w:rsidRPr="00D3550C">
        <w:instrText xml:space="preserve"> </w:instrText>
      </w:r>
      <w:r w:rsidR="00A6794A">
        <w:rPr>
          <w:lang w:val="en-US"/>
        </w:rPr>
        <w:instrText>given</w:instrText>
      </w:r>
      <w:r w:rsidR="00A6794A" w:rsidRPr="00D3550C">
        <w:instrText xml:space="preserve"> </w:instrText>
      </w:r>
      <w:r w:rsidR="00A6794A">
        <w:rPr>
          <w:lang w:val="en-US"/>
        </w:rPr>
        <w:instrText>safely</w:instrText>
      </w:r>
      <w:r w:rsidR="00A6794A" w:rsidRPr="00D3550C">
        <w:instrText xml:space="preserve"> </w:instrText>
      </w:r>
      <w:r w:rsidR="00A6794A">
        <w:rPr>
          <w:lang w:val="en-US"/>
        </w:rPr>
        <w:instrText>and</w:instrText>
      </w:r>
      <w:r w:rsidR="00A6794A" w:rsidRPr="00D3550C">
        <w:instrText xml:space="preserve"> </w:instrText>
      </w:r>
      <w:r w:rsidR="00A6794A">
        <w:rPr>
          <w:lang w:val="en-US"/>
        </w:rPr>
        <w:instrText>effectively</w:instrText>
      </w:r>
      <w:r w:rsidR="00A6794A" w:rsidRPr="00D3550C">
        <w:instrText xml:space="preserve">, </w:instrText>
      </w:r>
      <w:r w:rsidR="00A6794A">
        <w:rPr>
          <w:lang w:val="en-US"/>
        </w:rPr>
        <w:instrText>potentially</w:instrText>
      </w:r>
      <w:r w:rsidR="00A6794A" w:rsidRPr="00D3550C">
        <w:instrText xml:space="preserve"> </w:instrText>
      </w:r>
      <w:r w:rsidR="00A6794A">
        <w:rPr>
          <w:lang w:val="en-US"/>
        </w:rPr>
        <w:instrText>reducing</w:instrText>
      </w:r>
      <w:r w:rsidR="00A6794A" w:rsidRPr="00D3550C">
        <w:instrText xml:space="preserve"> </w:instrText>
      </w:r>
      <w:r w:rsidR="00A6794A">
        <w:rPr>
          <w:lang w:val="en-US"/>
        </w:rPr>
        <w:instrText>the</w:instrText>
      </w:r>
      <w:r w:rsidR="00A6794A" w:rsidRPr="00D3550C">
        <w:instrText xml:space="preserve"> </w:instrText>
      </w:r>
      <w:r w:rsidR="00A6794A">
        <w:rPr>
          <w:lang w:val="en-US"/>
        </w:rPr>
        <w:instrText>burden</w:instrText>
      </w:r>
      <w:r w:rsidR="00A6794A" w:rsidRPr="00D3550C">
        <w:instrText xml:space="preserve"> </w:instrText>
      </w:r>
      <w:r w:rsidR="00A6794A">
        <w:rPr>
          <w:lang w:val="en-US"/>
        </w:rPr>
        <w:instrText>on</w:instrText>
      </w:r>
      <w:r w:rsidR="00A6794A" w:rsidRPr="00D3550C">
        <w:instrText xml:space="preserve"> </w:instrText>
      </w:r>
      <w:r w:rsidR="00A6794A">
        <w:rPr>
          <w:lang w:val="en-US"/>
        </w:rPr>
        <w:instrText>health</w:instrText>
      </w:r>
      <w:r w:rsidR="00A6794A" w:rsidRPr="00D3550C">
        <w:instrText xml:space="preserve"> </w:instrText>
      </w:r>
      <w:r w:rsidR="00A6794A">
        <w:rPr>
          <w:lang w:val="en-US"/>
        </w:rPr>
        <w:instrText>care</w:instrText>
      </w:r>
      <w:r w:rsidR="00A6794A" w:rsidRPr="00D3550C">
        <w:instrText xml:space="preserve"> </w:instrText>
      </w:r>
      <w:r w:rsidR="00A6794A">
        <w:rPr>
          <w:lang w:val="en-US"/>
        </w:rPr>
        <w:instrText>resources</w:instrText>
      </w:r>
      <w:r w:rsidR="00A6794A" w:rsidRPr="00D3550C">
        <w:instrText xml:space="preserve"> </w:instrText>
      </w:r>
      <w:r w:rsidR="00A6794A">
        <w:rPr>
          <w:lang w:val="en-US"/>
        </w:rPr>
        <w:instrText>and</w:instrText>
      </w:r>
      <w:r w:rsidR="00A6794A" w:rsidRPr="00D3550C">
        <w:instrText xml:space="preserve"> </w:instrText>
      </w:r>
      <w:r w:rsidR="00A6794A">
        <w:rPr>
          <w:lang w:val="en-US"/>
        </w:rPr>
        <w:instrText>improving</w:instrText>
      </w:r>
      <w:r w:rsidR="00A6794A" w:rsidRPr="00D3550C">
        <w:instrText xml:space="preserve"> </w:instrText>
      </w:r>
      <w:r w:rsidR="00A6794A">
        <w:rPr>
          <w:lang w:val="en-US"/>
        </w:rPr>
        <w:instrText>quality</w:instrText>
      </w:r>
      <w:r w:rsidR="00A6794A" w:rsidRPr="00D3550C">
        <w:instrText xml:space="preserve"> </w:instrText>
      </w:r>
      <w:r w:rsidR="00A6794A">
        <w:rPr>
          <w:lang w:val="en-US"/>
        </w:rPr>
        <w:instrText>of</w:instrText>
      </w:r>
      <w:r w:rsidR="00A6794A" w:rsidRPr="00D3550C">
        <w:instrText xml:space="preserve"> </w:instrText>
      </w:r>
      <w:r w:rsidR="00A6794A">
        <w:rPr>
          <w:lang w:val="en-US"/>
        </w:rPr>
        <w:instrText>life</w:instrText>
      </w:r>
      <w:r w:rsidR="00A6794A" w:rsidRPr="00D3550C">
        <w:instrText xml:space="preserve"> </w:instrText>
      </w:r>
      <w:r w:rsidR="00A6794A">
        <w:rPr>
          <w:lang w:val="en-US"/>
        </w:rPr>
        <w:instrText>for</w:instrText>
      </w:r>
      <w:r w:rsidR="00A6794A" w:rsidRPr="00D3550C">
        <w:instrText xml:space="preserve"> </w:instrText>
      </w:r>
      <w:r w:rsidR="00A6794A">
        <w:rPr>
          <w:lang w:val="en-US"/>
        </w:rPr>
        <w:instrText>patients</w:instrText>
      </w:r>
      <w:r w:rsidR="00A6794A" w:rsidRPr="00D3550C">
        <w:instrText>.","</w:instrText>
      </w:r>
      <w:r w:rsidR="00A6794A">
        <w:rPr>
          <w:lang w:val="en-US"/>
        </w:rPr>
        <w:instrText>author</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family</w:instrText>
      </w:r>
      <w:r w:rsidR="00A6794A" w:rsidRPr="00D3550C">
        <w:instrText>":"</w:instrText>
      </w:r>
      <w:r w:rsidR="00A6794A">
        <w:rPr>
          <w:lang w:val="en-US"/>
        </w:rPr>
        <w:instrText>Macdonald</w:instrText>
      </w:r>
      <w:r w:rsidR="00A6794A" w:rsidRPr="00D3550C">
        <w:instrText>","</w:instrText>
      </w:r>
      <w:r w:rsidR="00A6794A">
        <w:rPr>
          <w:lang w:val="en-US"/>
        </w:rPr>
        <w:instrText>given</w:instrText>
      </w:r>
      <w:r w:rsidR="00A6794A" w:rsidRPr="00D3550C">
        <w:instrText>":"</w:instrText>
      </w:r>
      <w:r w:rsidR="00A6794A">
        <w:rPr>
          <w:lang w:val="en-US"/>
        </w:rPr>
        <w:instrText>David</w:instrText>
      </w:r>
      <w:r w:rsidR="00A6794A" w:rsidRPr="00D3550C">
        <w:instrText>","</w:instrText>
      </w:r>
      <w:r w:rsidR="00A6794A">
        <w:rPr>
          <w:lang w:val="en-US"/>
        </w:rPr>
        <w:instrText>non</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parse</w:instrText>
      </w:r>
      <w:r w:rsidR="00A6794A" w:rsidRPr="00D3550C">
        <w:instrText>-</w:instrText>
      </w:r>
      <w:r w:rsidR="00A6794A">
        <w:rPr>
          <w:lang w:val="en-US"/>
        </w:rPr>
        <w:instrText>names</w:instrText>
      </w:r>
      <w:r w:rsidR="00A6794A" w:rsidRPr="00D3550C">
        <w:instrText>":</w:instrText>
      </w:r>
      <w:r w:rsidR="00A6794A">
        <w:rPr>
          <w:lang w:val="en-US"/>
        </w:rPr>
        <w:instrText>false</w:instrText>
      </w:r>
      <w:r w:rsidR="00A6794A" w:rsidRPr="00D3550C">
        <w:instrText>,"</w:instrText>
      </w:r>
      <w:r w:rsidR="00A6794A">
        <w:rPr>
          <w:lang w:val="en-US"/>
        </w:rPr>
        <w:instrText>suffix</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family</w:instrText>
      </w:r>
      <w:r w:rsidR="00A6794A" w:rsidRPr="00D3550C">
        <w:instrText>":"</w:instrText>
      </w:r>
      <w:r w:rsidR="00A6794A">
        <w:rPr>
          <w:lang w:val="en-US"/>
        </w:rPr>
        <w:instrText>Crosbie</w:instrText>
      </w:r>
      <w:r w:rsidR="00A6794A" w:rsidRPr="00D3550C">
        <w:instrText>","</w:instrText>
      </w:r>
      <w:r w:rsidR="00A6794A">
        <w:rPr>
          <w:lang w:val="en-US"/>
        </w:rPr>
        <w:instrText>given</w:instrText>
      </w:r>
      <w:r w:rsidR="00A6794A" w:rsidRPr="00D3550C">
        <w:instrText>":"</w:instrText>
      </w:r>
      <w:r w:rsidR="00A6794A">
        <w:rPr>
          <w:lang w:val="en-US"/>
        </w:rPr>
        <w:instrText>T</w:instrText>
      </w:r>
      <w:r w:rsidR="00A6794A" w:rsidRPr="00D3550C">
        <w:instrText>.","</w:instrText>
      </w:r>
      <w:r w:rsidR="00A6794A">
        <w:rPr>
          <w:lang w:val="en-US"/>
        </w:rPr>
        <w:instrText>non</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parse</w:instrText>
      </w:r>
      <w:r w:rsidR="00A6794A" w:rsidRPr="00D3550C">
        <w:instrText>-</w:instrText>
      </w:r>
      <w:r w:rsidR="00A6794A">
        <w:rPr>
          <w:lang w:val="en-US"/>
        </w:rPr>
        <w:instrText>names</w:instrText>
      </w:r>
      <w:r w:rsidR="00A6794A" w:rsidRPr="00D3550C">
        <w:instrText>":</w:instrText>
      </w:r>
      <w:r w:rsidR="00A6794A">
        <w:rPr>
          <w:lang w:val="en-US"/>
        </w:rPr>
        <w:instrText>false</w:instrText>
      </w:r>
      <w:r w:rsidR="00A6794A" w:rsidRPr="00D3550C">
        <w:instrText>,"</w:instrText>
      </w:r>
      <w:r w:rsidR="00A6794A">
        <w:rPr>
          <w:lang w:val="en-US"/>
        </w:rPr>
        <w:instrText>suffix</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family</w:instrText>
      </w:r>
      <w:r w:rsidR="00A6794A" w:rsidRPr="00D3550C">
        <w:instrText>":"</w:instrText>
      </w:r>
      <w:r w:rsidR="00A6794A">
        <w:rPr>
          <w:lang w:val="en-US"/>
        </w:rPr>
        <w:instrText>Christofides</w:instrText>
      </w:r>
      <w:r w:rsidR="00A6794A" w:rsidRPr="00D3550C">
        <w:instrText>","</w:instrText>
      </w:r>
      <w:r w:rsidR="00A6794A">
        <w:rPr>
          <w:lang w:val="en-US"/>
        </w:rPr>
        <w:instrText>given</w:instrText>
      </w:r>
      <w:r w:rsidR="00A6794A" w:rsidRPr="00D3550C">
        <w:instrText>":"</w:instrText>
      </w:r>
      <w:r w:rsidR="00A6794A">
        <w:rPr>
          <w:lang w:val="en-US"/>
        </w:rPr>
        <w:instrText>A</w:instrText>
      </w:r>
      <w:r w:rsidR="00A6794A" w:rsidRPr="00D3550C">
        <w:instrText>.","</w:instrText>
      </w:r>
      <w:r w:rsidR="00A6794A">
        <w:rPr>
          <w:lang w:val="en-US"/>
        </w:rPr>
        <w:instrText>non</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parse</w:instrText>
      </w:r>
      <w:r w:rsidR="00A6794A" w:rsidRPr="00D3550C">
        <w:instrText>-</w:instrText>
      </w:r>
      <w:r w:rsidR="00A6794A">
        <w:rPr>
          <w:lang w:val="en-US"/>
        </w:rPr>
        <w:instrText>names</w:instrText>
      </w:r>
      <w:r w:rsidR="00A6794A" w:rsidRPr="00D3550C">
        <w:instrText>":</w:instrText>
      </w:r>
      <w:r w:rsidR="00A6794A">
        <w:rPr>
          <w:lang w:val="en-US"/>
        </w:rPr>
        <w:instrText>false</w:instrText>
      </w:r>
      <w:r w:rsidR="00A6794A" w:rsidRPr="00D3550C">
        <w:instrText>,"</w:instrText>
      </w:r>
      <w:r w:rsidR="00A6794A">
        <w:rPr>
          <w:lang w:val="en-US"/>
        </w:rPr>
        <w:instrText>suffix</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family</w:instrText>
      </w:r>
      <w:r w:rsidR="00A6794A" w:rsidRPr="00D3550C">
        <w:instrText>":"</w:instrText>
      </w:r>
      <w:r w:rsidR="00A6794A">
        <w:rPr>
          <w:lang w:val="en-US"/>
        </w:rPr>
        <w:instrText>Assaily</w:instrText>
      </w:r>
      <w:r w:rsidR="00A6794A" w:rsidRPr="00D3550C">
        <w:instrText>","</w:instrText>
      </w:r>
      <w:r w:rsidR="00A6794A">
        <w:rPr>
          <w:lang w:val="en-US"/>
        </w:rPr>
        <w:instrText>given</w:instrText>
      </w:r>
      <w:r w:rsidR="00A6794A" w:rsidRPr="00D3550C">
        <w:instrText>":"</w:instrText>
      </w:r>
      <w:r w:rsidR="00A6794A">
        <w:rPr>
          <w:lang w:val="en-US"/>
        </w:rPr>
        <w:instrText>W</w:instrText>
      </w:r>
      <w:r w:rsidR="00A6794A" w:rsidRPr="00D3550C">
        <w:instrText>.","</w:instrText>
      </w:r>
      <w:r w:rsidR="00A6794A">
        <w:rPr>
          <w:lang w:val="en-US"/>
        </w:rPr>
        <w:instrText>non</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parse</w:instrText>
      </w:r>
      <w:r w:rsidR="00A6794A" w:rsidRPr="00D3550C">
        <w:instrText>-</w:instrText>
      </w:r>
      <w:r w:rsidR="00A6794A">
        <w:rPr>
          <w:lang w:val="en-US"/>
        </w:rPr>
        <w:instrText>names</w:instrText>
      </w:r>
      <w:r w:rsidR="00A6794A" w:rsidRPr="00D3550C">
        <w:instrText>":</w:instrText>
      </w:r>
      <w:r w:rsidR="00A6794A">
        <w:rPr>
          <w:lang w:val="en-US"/>
        </w:rPr>
        <w:instrText>false</w:instrText>
      </w:r>
      <w:r w:rsidR="00A6794A" w:rsidRPr="00D3550C">
        <w:instrText>,"</w:instrText>
      </w:r>
      <w:r w:rsidR="00A6794A">
        <w:rPr>
          <w:lang w:val="en-US"/>
        </w:rPr>
        <w:instrText>suffix</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family</w:instrText>
      </w:r>
      <w:r w:rsidR="00A6794A" w:rsidRPr="00D3550C">
        <w:instrText>":"</w:instrText>
      </w:r>
      <w:r w:rsidR="00A6794A">
        <w:rPr>
          <w:lang w:val="en-US"/>
        </w:rPr>
        <w:instrText>Wiernikowski</w:instrText>
      </w:r>
      <w:r w:rsidR="00A6794A" w:rsidRPr="00D3550C">
        <w:instrText>","</w:instrText>
      </w:r>
      <w:r w:rsidR="00A6794A">
        <w:rPr>
          <w:lang w:val="en-US"/>
        </w:rPr>
        <w:instrText>given</w:instrText>
      </w:r>
      <w:r w:rsidR="00A6794A" w:rsidRPr="00D3550C">
        <w:instrText>":"</w:instrText>
      </w:r>
      <w:r w:rsidR="00A6794A">
        <w:rPr>
          <w:lang w:val="en-US"/>
        </w:rPr>
        <w:instrText>J</w:instrText>
      </w:r>
      <w:r w:rsidR="00A6794A" w:rsidRPr="00D3550C">
        <w:instrText>.","</w:instrText>
      </w:r>
      <w:r w:rsidR="00A6794A">
        <w:rPr>
          <w:lang w:val="en-US"/>
        </w:rPr>
        <w:instrText>non</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parse</w:instrText>
      </w:r>
      <w:r w:rsidR="00A6794A" w:rsidRPr="00D3550C">
        <w:instrText>-</w:instrText>
      </w:r>
      <w:r w:rsidR="00A6794A">
        <w:rPr>
          <w:lang w:val="en-US"/>
        </w:rPr>
        <w:instrText>names</w:instrText>
      </w:r>
      <w:r w:rsidR="00A6794A" w:rsidRPr="00D3550C">
        <w:instrText>":</w:instrText>
      </w:r>
      <w:r w:rsidR="00A6794A">
        <w:rPr>
          <w:lang w:val="en-US"/>
        </w:rPr>
        <w:instrText>false</w:instrText>
      </w:r>
      <w:r w:rsidR="00A6794A" w:rsidRPr="00D3550C">
        <w:instrText>,"</w:instrText>
      </w:r>
      <w:r w:rsidR="00A6794A">
        <w:rPr>
          <w:lang w:val="en-US"/>
        </w:rPr>
        <w:instrText>suffix</w:instrText>
      </w:r>
      <w:r w:rsidR="00A6794A" w:rsidRPr="00D3550C">
        <w:instrText>":""}],"</w:instrText>
      </w:r>
      <w:r w:rsidR="00A6794A">
        <w:rPr>
          <w:lang w:val="en-US"/>
        </w:rPr>
        <w:instrText>container</w:instrText>
      </w:r>
      <w:r w:rsidR="00A6794A" w:rsidRPr="00D3550C">
        <w:instrText>-</w:instrText>
      </w:r>
      <w:r w:rsidR="00A6794A">
        <w:rPr>
          <w:lang w:val="en-US"/>
        </w:rPr>
        <w:instrText>title</w:instrText>
      </w:r>
      <w:r w:rsidR="00A6794A" w:rsidRPr="00D3550C">
        <w:instrText>":"</w:instrText>
      </w:r>
      <w:r w:rsidR="00A6794A">
        <w:rPr>
          <w:lang w:val="en-US"/>
        </w:rPr>
        <w:instrText>Current</w:instrText>
      </w:r>
      <w:r w:rsidR="00A6794A" w:rsidRPr="00D3550C">
        <w:instrText xml:space="preserve"> </w:instrText>
      </w:r>
      <w:r w:rsidR="00A6794A">
        <w:rPr>
          <w:lang w:val="en-US"/>
        </w:rPr>
        <w:instrText>Oncology</w:instrText>
      </w:r>
      <w:r w:rsidR="00A6794A" w:rsidRPr="00D3550C">
        <w:instrText>","</w:instrText>
      </w:r>
      <w:r w:rsidR="00A6794A">
        <w:rPr>
          <w:lang w:val="en-US"/>
        </w:rPr>
        <w:instrText>id</w:instrText>
      </w:r>
      <w:r w:rsidR="00A6794A" w:rsidRPr="00D3550C">
        <w:instrText>":"</w:instrText>
      </w:r>
      <w:r w:rsidR="00A6794A">
        <w:rPr>
          <w:lang w:val="en-US"/>
        </w:rPr>
        <w:instrText>ITEM</w:instrText>
      </w:r>
      <w:r w:rsidR="00A6794A" w:rsidRPr="00D3550C">
        <w:instrText>-4","</w:instrText>
      </w:r>
      <w:r w:rsidR="00A6794A">
        <w:rPr>
          <w:lang w:val="en-US"/>
        </w:rPr>
        <w:instrText>issue</w:instrText>
      </w:r>
      <w:r w:rsidR="00A6794A" w:rsidRPr="00D3550C">
        <w:instrText>":"1","</w:instrText>
      </w:r>
      <w:r w:rsidR="00A6794A">
        <w:rPr>
          <w:lang w:val="en-US"/>
        </w:rPr>
        <w:instrText>issued</w:instrText>
      </w:r>
      <w:r w:rsidR="00A6794A" w:rsidRPr="00D3550C">
        <w:instrText>":{"</w:instrText>
      </w:r>
      <w:r w:rsidR="00A6794A">
        <w:rPr>
          <w:lang w:val="en-US"/>
        </w:rPr>
        <w:instrText>date</w:instrText>
      </w:r>
      <w:r w:rsidR="00A6794A" w:rsidRPr="00D3550C">
        <w:instrText>-</w:instrText>
      </w:r>
      <w:r w:rsidR="00A6794A">
        <w:rPr>
          <w:lang w:val="en-US"/>
        </w:rPr>
        <w:instrText>parts</w:instrText>
      </w:r>
      <w:r w:rsidR="00A6794A" w:rsidRPr="00D3550C">
        <w:instrText>":[["2017"]]},"</w:instrText>
      </w:r>
      <w:r w:rsidR="00A6794A">
        <w:rPr>
          <w:lang w:val="en-US"/>
        </w:rPr>
        <w:instrText>page</w:instrText>
      </w:r>
      <w:r w:rsidR="00A6794A" w:rsidRPr="00D3550C">
        <w:instrText>":"33-39","</w:instrText>
      </w:r>
      <w:r w:rsidR="00A6794A">
        <w:rPr>
          <w:lang w:val="en-US"/>
        </w:rPr>
        <w:instrText>publisher</w:instrText>
      </w:r>
      <w:r w:rsidR="00A6794A" w:rsidRPr="00D3550C">
        <w:instrText>":"</w:instrText>
      </w:r>
      <w:r w:rsidR="00A6794A">
        <w:rPr>
          <w:lang w:val="en-US"/>
        </w:rPr>
        <w:instrText>Multimed</w:instrText>
      </w:r>
      <w:r w:rsidR="00A6794A" w:rsidRPr="00D3550C">
        <w:instrText xml:space="preserve"> </w:instrText>
      </w:r>
      <w:r w:rsidR="00A6794A">
        <w:rPr>
          <w:lang w:val="en-US"/>
        </w:rPr>
        <w:instrText>Inc</w:instrText>
      </w:r>
      <w:r w:rsidR="00A6794A" w:rsidRPr="00D3550C">
        <w:instrText>.","</w:instrText>
      </w:r>
      <w:r w:rsidR="00A6794A">
        <w:rPr>
          <w:lang w:val="en-US"/>
        </w:rPr>
        <w:instrText>title</w:instrText>
      </w:r>
      <w:r w:rsidR="00A6794A" w:rsidRPr="00D3550C">
        <w:instrText>":"</w:instrText>
      </w:r>
      <w:r w:rsidR="00A6794A">
        <w:rPr>
          <w:lang w:val="en-US"/>
        </w:rPr>
        <w:instrText>A</w:instrText>
      </w:r>
      <w:r w:rsidR="00A6794A" w:rsidRPr="00D3550C">
        <w:instrText xml:space="preserve"> </w:instrText>
      </w:r>
      <w:r w:rsidR="00A6794A">
        <w:rPr>
          <w:lang w:val="en-US"/>
        </w:rPr>
        <w:instrText>canadian</w:instrText>
      </w:r>
      <w:r w:rsidR="00A6794A" w:rsidRPr="00D3550C">
        <w:instrText xml:space="preserve"> </w:instrText>
      </w:r>
      <w:r w:rsidR="00A6794A">
        <w:rPr>
          <w:lang w:val="en-US"/>
        </w:rPr>
        <w:instrText>perspective</w:instrText>
      </w:r>
      <w:r w:rsidR="00A6794A" w:rsidRPr="00D3550C">
        <w:instrText xml:space="preserve"> </w:instrText>
      </w:r>
      <w:r w:rsidR="00A6794A">
        <w:rPr>
          <w:lang w:val="en-US"/>
        </w:rPr>
        <w:instrText>on</w:instrText>
      </w:r>
      <w:r w:rsidR="00A6794A" w:rsidRPr="00D3550C">
        <w:instrText xml:space="preserve"> </w:instrText>
      </w:r>
      <w:r w:rsidR="00A6794A">
        <w:rPr>
          <w:lang w:val="en-US"/>
        </w:rPr>
        <w:instrText>the</w:instrText>
      </w:r>
      <w:r w:rsidR="00A6794A" w:rsidRPr="00D3550C">
        <w:instrText xml:space="preserve"> </w:instrText>
      </w:r>
      <w:r w:rsidR="00A6794A">
        <w:rPr>
          <w:lang w:val="en-US"/>
        </w:rPr>
        <w:instrText>subcutaneous</w:instrText>
      </w:r>
      <w:r w:rsidR="00A6794A" w:rsidRPr="00D3550C">
        <w:instrText xml:space="preserve"> </w:instrText>
      </w:r>
      <w:r w:rsidR="00A6794A">
        <w:rPr>
          <w:lang w:val="en-US"/>
        </w:rPr>
        <w:instrText>administration</w:instrText>
      </w:r>
      <w:r w:rsidR="00A6794A" w:rsidRPr="00D3550C">
        <w:instrText xml:space="preserve"> </w:instrText>
      </w:r>
      <w:r w:rsidR="00A6794A">
        <w:rPr>
          <w:lang w:val="en-US"/>
        </w:rPr>
        <w:instrText>of</w:instrText>
      </w:r>
      <w:r w:rsidR="00A6794A" w:rsidRPr="00D3550C">
        <w:instrText xml:space="preserve"> </w:instrText>
      </w:r>
      <w:r w:rsidR="00A6794A">
        <w:rPr>
          <w:lang w:val="en-US"/>
        </w:rPr>
        <w:instrText>rituximab</w:instrText>
      </w:r>
      <w:r w:rsidR="00A6794A" w:rsidRPr="00D3550C">
        <w:instrText xml:space="preserve"> </w:instrText>
      </w:r>
      <w:r w:rsidR="00A6794A">
        <w:rPr>
          <w:lang w:val="en-US"/>
        </w:rPr>
        <w:instrText>in</w:instrText>
      </w:r>
      <w:r w:rsidR="00A6794A" w:rsidRPr="00D3550C">
        <w:instrText xml:space="preserve"> </w:instrText>
      </w:r>
      <w:r w:rsidR="00A6794A">
        <w:rPr>
          <w:lang w:val="en-US"/>
        </w:rPr>
        <w:instrText>non</w:instrText>
      </w:r>
      <w:r w:rsidR="00A6794A" w:rsidRPr="00D3550C">
        <w:instrText>-</w:instrText>
      </w:r>
      <w:r w:rsidR="00A6794A">
        <w:rPr>
          <w:lang w:val="en-US"/>
        </w:rPr>
        <w:instrText>Hodgkin</w:instrText>
      </w:r>
      <w:r w:rsidR="00A6794A" w:rsidRPr="00D3550C">
        <w:instrText xml:space="preserve"> </w:instrText>
      </w:r>
      <w:r w:rsidR="00A6794A">
        <w:rPr>
          <w:lang w:val="en-US"/>
        </w:rPr>
        <w:instrText>lymphoma</w:instrText>
      </w:r>
      <w:r w:rsidR="00A6794A" w:rsidRPr="00D3550C">
        <w:instrText>","</w:instrText>
      </w:r>
      <w:r w:rsidR="00A6794A">
        <w:rPr>
          <w:lang w:val="en-US"/>
        </w:rPr>
        <w:instrText>type</w:instrText>
      </w:r>
      <w:r w:rsidR="00A6794A" w:rsidRPr="00D3550C">
        <w:instrText>":"</w:instrText>
      </w:r>
      <w:r w:rsidR="00A6794A">
        <w:rPr>
          <w:lang w:val="en-US"/>
        </w:rPr>
        <w:instrText>article</w:instrText>
      </w:r>
      <w:r w:rsidR="00A6794A" w:rsidRPr="00D3550C">
        <w:instrText>","</w:instrText>
      </w:r>
      <w:r w:rsidR="00A6794A">
        <w:rPr>
          <w:lang w:val="en-US"/>
        </w:rPr>
        <w:instrText>volume</w:instrText>
      </w:r>
      <w:r w:rsidR="00A6794A" w:rsidRPr="00D3550C">
        <w:instrText>":"24"},"</w:instrText>
      </w:r>
      <w:r w:rsidR="00A6794A">
        <w:rPr>
          <w:lang w:val="en-US"/>
        </w:rPr>
        <w:instrText>uris</w:instrText>
      </w:r>
      <w:r w:rsidR="00A6794A" w:rsidRPr="00D3550C">
        <w:instrText>":["</w:instrText>
      </w:r>
      <w:r w:rsidR="00A6794A">
        <w:rPr>
          <w:lang w:val="en-US"/>
        </w:rPr>
        <w:instrText>http</w:instrText>
      </w:r>
      <w:r w:rsidR="00A6794A" w:rsidRPr="00D3550C">
        <w:instrText>://</w:instrText>
      </w:r>
      <w:r w:rsidR="00A6794A">
        <w:rPr>
          <w:lang w:val="en-US"/>
        </w:rPr>
        <w:instrText>www</w:instrText>
      </w:r>
      <w:r w:rsidR="00A6794A" w:rsidRPr="00D3550C">
        <w:instrText>.</w:instrText>
      </w:r>
      <w:r w:rsidR="00A6794A">
        <w:rPr>
          <w:lang w:val="en-US"/>
        </w:rPr>
        <w:instrText>mendeley</w:instrText>
      </w:r>
      <w:r w:rsidR="00A6794A" w:rsidRPr="00D3550C">
        <w:instrText>.</w:instrText>
      </w:r>
      <w:r w:rsidR="00A6794A">
        <w:rPr>
          <w:lang w:val="en-US"/>
        </w:rPr>
        <w:instrText>com</w:instrText>
      </w:r>
      <w:r w:rsidR="00A6794A" w:rsidRPr="00D3550C">
        <w:instrText>/</w:instrText>
      </w:r>
      <w:r w:rsidR="00A6794A">
        <w:rPr>
          <w:lang w:val="en-US"/>
        </w:rPr>
        <w:instrText>documents</w:instrText>
      </w:r>
      <w:r w:rsidR="00A6794A" w:rsidRPr="00D3550C">
        <w:instrText>/?</w:instrText>
      </w:r>
      <w:r w:rsidR="00A6794A">
        <w:rPr>
          <w:lang w:val="en-US"/>
        </w:rPr>
        <w:instrText>uuid</w:instrText>
      </w:r>
      <w:r w:rsidR="00A6794A" w:rsidRPr="00D3550C">
        <w:instrText>=0</w:instrText>
      </w:r>
      <w:r w:rsidR="00A6794A">
        <w:rPr>
          <w:lang w:val="en-US"/>
        </w:rPr>
        <w:instrText>dec</w:instrText>
      </w:r>
      <w:r w:rsidR="00A6794A" w:rsidRPr="00D3550C">
        <w:instrText>225</w:instrText>
      </w:r>
      <w:r w:rsidR="00A6794A">
        <w:rPr>
          <w:lang w:val="en-US"/>
        </w:rPr>
        <w:instrText>e</w:instrText>
      </w:r>
      <w:r w:rsidR="00A6794A" w:rsidRPr="00D3550C">
        <w:instrText>-8</w:instrText>
      </w:r>
      <w:r w:rsidR="00A6794A">
        <w:rPr>
          <w:lang w:val="en-US"/>
        </w:rPr>
        <w:instrText>a</w:instrText>
      </w:r>
      <w:r w:rsidR="00A6794A" w:rsidRPr="00D3550C">
        <w:instrText>47-3680-</w:instrText>
      </w:r>
      <w:r w:rsidR="00A6794A">
        <w:rPr>
          <w:lang w:val="en-US"/>
        </w:rPr>
        <w:instrText>ba</w:instrText>
      </w:r>
      <w:r w:rsidR="00A6794A" w:rsidRPr="00D3550C">
        <w:instrText>4</w:instrText>
      </w:r>
      <w:r w:rsidR="00A6794A">
        <w:rPr>
          <w:lang w:val="en-US"/>
        </w:rPr>
        <w:instrText>d</w:instrText>
      </w:r>
      <w:r w:rsidR="00A6794A" w:rsidRPr="00D3550C">
        <w:instrText>-891955</w:instrText>
      </w:r>
      <w:r w:rsidR="00A6794A">
        <w:rPr>
          <w:lang w:val="en-US"/>
        </w:rPr>
        <w:instrText>a</w:instrText>
      </w:r>
      <w:r w:rsidR="00A6794A" w:rsidRPr="00D3550C">
        <w:instrText>938</w:instrText>
      </w:r>
      <w:r w:rsidR="00A6794A">
        <w:rPr>
          <w:lang w:val="en-US"/>
        </w:rPr>
        <w:instrText>a</w:instrText>
      </w:r>
      <w:r w:rsidR="00A6794A" w:rsidRPr="00D3550C">
        <w:instrText>1"]}],"</w:instrText>
      </w:r>
      <w:r w:rsidR="00A6794A">
        <w:rPr>
          <w:lang w:val="en-US"/>
        </w:rPr>
        <w:instrText>mendeley</w:instrText>
      </w:r>
      <w:r w:rsidR="00A6794A" w:rsidRPr="00D3550C">
        <w:instrText>":{"</w:instrText>
      </w:r>
      <w:r w:rsidR="00A6794A">
        <w:rPr>
          <w:lang w:val="en-US"/>
        </w:rPr>
        <w:instrText>formattedCitation</w:instrText>
      </w:r>
      <w:r w:rsidR="00A6794A" w:rsidRPr="00D3550C">
        <w:instrText>":"[205–208]","</w:instrText>
      </w:r>
      <w:r w:rsidR="00A6794A">
        <w:rPr>
          <w:lang w:val="en-US"/>
        </w:rPr>
        <w:instrText>plainTextFormattedCitation</w:instrText>
      </w:r>
      <w:r w:rsidR="00A6794A" w:rsidRPr="00D3550C">
        <w:instrText>":"[205–208]","</w:instrText>
      </w:r>
      <w:r w:rsidR="00A6794A">
        <w:rPr>
          <w:lang w:val="en-US"/>
        </w:rPr>
        <w:instrText>previouslyFormattedCitation</w:instrText>
      </w:r>
      <w:r w:rsidR="00A6794A" w:rsidRPr="00D3550C">
        <w:instrText>":"[205–208]"},"</w:instrText>
      </w:r>
      <w:r w:rsidR="00A6794A">
        <w:rPr>
          <w:lang w:val="en-US"/>
        </w:rPr>
        <w:instrText>properties</w:instrText>
      </w:r>
      <w:r w:rsidR="00A6794A" w:rsidRPr="00D3550C">
        <w:instrText>":{"</w:instrText>
      </w:r>
      <w:r w:rsidR="00A6794A">
        <w:rPr>
          <w:lang w:val="en-US"/>
        </w:rPr>
        <w:instrText>noteIndex</w:instrText>
      </w:r>
      <w:r w:rsidR="00A6794A" w:rsidRPr="00D3550C">
        <w:instrText>":0},"</w:instrText>
      </w:r>
      <w:r w:rsidR="00A6794A">
        <w:rPr>
          <w:lang w:val="en-US"/>
        </w:rPr>
        <w:instrText>schema</w:instrText>
      </w:r>
      <w:r w:rsidR="00A6794A" w:rsidRPr="00D3550C">
        <w:instrText>":"</w:instrText>
      </w:r>
      <w:r w:rsidR="00A6794A">
        <w:rPr>
          <w:lang w:val="en-US"/>
        </w:rPr>
        <w:instrText>https</w:instrText>
      </w:r>
      <w:r w:rsidR="00A6794A" w:rsidRPr="00D3550C">
        <w:instrText>://</w:instrText>
      </w:r>
      <w:r w:rsidR="00A6794A">
        <w:rPr>
          <w:lang w:val="en-US"/>
        </w:rPr>
        <w:instrText>github</w:instrText>
      </w:r>
      <w:r w:rsidR="00A6794A" w:rsidRPr="00D3550C">
        <w:instrText>.</w:instrText>
      </w:r>
      <w:r w:rsidR="00A6794A">
        <w:rPr>
          <w:lang w:val="en-US"/>
        </w:rPr>
        <w:instrText>com</w:instrText>
      </w:r>
      <w:r w:rsidR="00A6794A" w:rsidRPr="00D3550C">
        <w:instrText>/</w:instrText>
      </w:r>
      <w:r w:rsidR="00A6794A">
        <w:rPr>
          <w:lang w:val="en-US"/>
        </w:rPr>
        <w:instrText>citation</w:instrText>
      </w:r>
      <w:r w:rsidR="00A6794A" w:rsidRPr="00D3550C">
        <w:instrText>-</w:instrText>
      </w:r>
      <w:r w:rsidR="00A6794A">
        <w:rPr>
          <w:lang w:val="en-US"/>
        </w:rPr>
        <w:instrText>style</w:instrText>
      </w:r>
      <w:r w:rsidR="00A6794A" w:rsidRPr="00D3550C">
        <w:instrText>-</w:instrText>
      </w:r>
      <w:r w:rsidR="00A6794A">
        <w:rPr>
          <w:lang w:val="en-US"/>
        </w:rPr>
        <w:instrText>language</w:instrText>
      </w:r>
      <w:r w:rsidR="00A6794A" w:rsidRPr="00D3550C">
        <w:instrText>/</w:instrText>
      </w:r>
      <w:r w:rsidR="00A6794A">
        <w:rPr>
          <w:lang w:val="en-US"/>
        </w:rPr>
        <w:instrText>schema</w:instrText>
      </w:r>
      <w:r w:rsidR="00A6794A" w:rsidRPr="00D3550C">
        <w:instrText>/</w:instrText>
      </w:r>
      <w:r w:rsidR="00A6794A">
        <w:rPr>
          <w:lang w:val="en-US"/>
        </w:rPr>
        <w:instrText>raw</w:instrText>
      </w:r>
      <w:r w:rsidR="00A6794A" w:rsidRPr="00D3550C">
        <w:instrText>/</w:instrText>
      </w:r>
      <w:r w:rsidR="00A6794A">
        <w:rPr>
          <w:lang w:val="en-US"/>
        </w:rPr>
        <w:instrText>master</w:instrText>
      </w:r>
      <w:r w:rsidR="00A6794A" w:rsidRPr="00D3550C">
        <w:instrText>/</w:instrText>
      </w:r>
      <w:r w:rsidR="00A6794A">
        <w:rPr>
          <w:lang w:val="en-US"/>
        </w:rPr>
        <w:instrText>csl</w:instrText>
      </w:r>
      <w:r w:rsidR="00A6794A" w:rsidRPr="00D3550C">
        <w:instrText>-</w:instrText>
      </w:r>
      <w:r w:rsidR="00A6794A">
        <w:rPr>
          <w:lang w:val="en-US"/>
        </w:rPr>
        <w:instrText>citation</w:instrText>
      </w:r>
      <w:r w:rsidR="00A6794A" w:rsidRPr="00D3550C">
        <w:instrText>.</w:instrText>
      </w:r>
      <w:r w:rsidR="00A6794A">
        <w:rPr>
          <w:lang w:val="en-US"/>
        </w:rPr>
        <w:instrText>json</w:instrText>
      </w:r>
      <w:r w:rsidR="00A6794A" w:rsidRPr="00D3550C">
        <w:instrText>"}</w:instrText>
      </w:r>
      <w:r w:rsidRPr="000322E4">
        <w:rPr>
          <w:lang w:val="en-US"/>
        </w:rPr>
        <w:fldChar w:fldCharType="separate"/>
      </w:r>
      <w:r w:rsidR="006E1902" w:rsidRPr="006E1902">
        <w:rPr>
          <w:noProof/>
        </w:rPr>
        <w:t>[205–208]</w:t>
      </w:r>
      <w:r w:rsidRPr="000322E4">
        <w:rPr>
          <w:lang w:val="en-US"/>
        </w:rPr>
        <w:fldChar w:fldCharType="end"/>
      </w:r>
    </w:p>
    <w:p w14:paraId="13442AEA" w14:textId="77777777" w:rsidR="00666D68" w:rsidRPr="00293AC8" w:rsidRDefault="00666D68" w:rsidP="008E3584">
      <w:pPr>
        <w:numPr>
          <w:ilvl w:val="0"/>
          <w:numId w:val="40"/>
        </w:numPr>
        <w:spacing w:line="360" w:lineRule="auto"/>
        <w:jc w:val="both"/>
      </w:pPr>
      <w:r w:rsidRPr="000322E4">
        <w:t>Бендамустин</w:t>
      </w:r>
      <w:r w:rsidRPr="00293AC8">
        <w:rPr>
          <w:bCs/>
        </w:rPr>
        <w:t>**</w:t>
      </w:r>
      <w:r w:rsidRPr="00293AC8">
        <w:t xml:space="preserve"> </w:t>
      </w:r>
      <w:r w:rsidR="001B6771" w:rsidRPr="00293AC8">
        <w:t>120</w:t>
      </w:r>
      <w:r w:rsidRPr="00293AC8">
        <w:t xml:space="preserve"> </w:t>
      </w:r>
      <w:r w:rsidRPr="000322E4">
        <w:t>мг</w:t>
      </w:r>
      <w:r w:rsidRPr="00293AC8">
        <w:t>/</w:t>
      </w:r>
      <w:r w:rsidRPr="000322E4">
        <w:t>м</w:t>
      </w:r>
      <w:r w:rsidRPr="00293AC8">
        <w:rPr>
          <w:vertAlign w:val="superscript"/>
        </w:rPr>
        <w:t>2</w:t>
      </w:r>
      <w:r w:rsidRPr="00293AC8">
        <w:t xml:space="preserve"> </w:t>
      </w:r>
      <w:r w:rsidRPr="000322E4">
        <w:t>в</w:t>
      </w:r>
      <w:r w:rsidRPr="00293AC8">
        <w:t>/</w:t>
      </w:r>
      <w:r w:rsidRPr="000322E4">
        <w:t>в</w:t>
      </w:r>
      <w:r w:rsidRPr="00293AC8">
        <w:t xml:space="preserve"> </w:t>
      </w:r>
      <w:r w:rsidRPr="000322E4">
        <w:t>кап</w:t>
      </w:r>
      <w:r w:rsidRPr="00293AC8">
        <w:t xml:space="preserve">., </w:t>
      </w:r>
      <w:r w:rsidRPr="000322E4">
        <w:t>дни</w:t>
      </w:r>
      <w:r w:rsidRPr="00293AC8">
        <w:t xml:space="preserve"> </w:t>
      </w:r>
      <w:r w:rsidR="001B6771" w:rsidRPr="00293AC8">
        <w:t>2</w:t>
      </w:r>
      <w:r w:rsidRPr="00293AC8">
        <w:t xml:space="preserve">, </w:t>
      </w:r>
      <w:r w:rsidR="001B6771" w:rsidRPr="00293AC8">
        <w:t>3</w:t>
      </w:r>
    </w:p>
    <w:p w14:paraId="392F2115" w14:textId="07D13CA6" w:rsidR="00666D68" w:rsidRDefault="00666D68" w:rsidP="008E3584">
      <w:pPr>
        <w:spacing w:line="360" w:lineRule="auto"/>
        <w:ind w:left="360"/>
        <w:jc w:val="both"/>
      </w:pPr>
      <w:r w:rsidRPr="000322E4">
        <w:t>Лечение</w:t>
      </w:r>
      <w:r w:rsidRPr="00293AC8">
        <w:t xml:space="preserve"> </w:t>
      </w:r>
      <w:r w:rsidRPr="000322E4">
        <w:t>возобновляется</w:t>
      </w:r>
      <w:r w:rsidRPr="00293AC8">
        <w:t xml:space="preserve"> </w:t>
      </w:r>
      <w:r w:rsidRPr="000322E4">
        <w:t>на</w:t>
      </w:r>
      <w:r w:rsidRPr="00293AC8">
        <w:t xml:space="preserve"> 21 </w:t>
      </w:r>
      <w:r w:rsidRPr="000322E4">
        <w:t>день</w:t>
      </w:r>
    </w:p>
    <w:p w14:paraId="245F6BEF" w14:textId="77777777" w:rsidR="00697C42" w:rsidRPr="001071EC" w:rsidRDefault="00697C42" w:rsidP="00697C42">
      <w:pPr>
        <w:spacing w:line="360" w:lineRule="auto"/>
        <w:jc w:val="both"/>
        <w:rPr>
          <w:b/>
          <w:bCs/>
        </w:rPr>
      </w:pPr>
    </w:p>
    <w:p w14:paraId="6A20A561" w14:textId="16BA94AB" w:rsidR="00697C42" w:rsidRPr="00293AC8" w:rsidRDefault="00697C42" w:rsidP="00697C42">
      <w:pPr>
        <w:spacing w:line="360" w:lineRule="auto"/>
        <w:jc w:val="both"/>
        <w:rPr>
          <w:b/>
          <w:bCs/>
        </w:rPr>
      </w:pPr>
      <w:r>
        <w:rPr>
          <w:b/>
          <w:bCs/>
          <w:lang w:val="en-US"/>
        </w:rPr>
        <w:t>Pola</w:t>
      </w:r>
      <w:r w:rsidRPr="001071EC">
        <w:rPr>
          <w:b/>
          <w:bCs/>
        </w:rPr>
        <w:t>-</w:t>
      </w:r>
      <w:r w:rsidRPr="000322E4">
        <w:rPr>
          <w:b/>
          <w:bCs/>
          <w:lang w:val="en-US"/>
        </w:rPr>
        <w:t>BR</w:t>
      </w:r>
      <w:r w:rsidRPr="000322E4">
        <w:rPr>
          <w:b/>
          <w:bCs/>
        </w:rPr>
        <w:t xml:space="preserve"> </w:t>
      </w:r>
      <w:r w:rsidRPr="000322E4">
        <w:rPr>
          <w:lang w:val="en-US"/>
        </w:rPr>
        <w:fldChar w:fldCharType="begin" w:fldLock="1"/>
      </w:r>
      <w:r w:rsidR="006A2B13">
        <w:rPr>
          <w:lang w:val="en-US"/>
        </w:rPr>
        <w:instrText>ADDIN</w:instrText>
      </w:r>
      <w:r w:rsidR="006A2B13" w:rsidRPr="006A2B13">
        <w:instrText xml:space="preserve"> </w:instrText>
      </w:r>
      <w:r w:rsidR="006A2B13">
        <w:rPr>
          <w:lang w:val="en-US"/>
        </w:rPr>
        <w:instrText>CSL</w:instrText>
      </w:r>
      <w:r w:rsidR="006A2B13" w:rsidRPr="006A2B13">
        <w:instrText>_</w:instrText>
      </w:r>
      <w:r w:rsidR="006A2B13">
        <w:rPr>
          <w:lang w:val="en-US"/>
        </w:rPr>
        <w:instrText>CITATION</w:instrText>
      </w:r>
      <w:r w:rsidR="006A2B13" w:rsidRPr="006A2B13">
        <w:instrText xml:space="preserve"> {"</w:instrText>
      </w:r>
      <w:r w:rsidR="006A2B13">
        <w:rPr>
          <w:lang w:val="en-US"/>
        </w:rPr>
        <w:instrText>citationItems</w:instrText>
      </w:r>
      <w:r w:rsidR="006A2B13" w:rsidRPr="006A2B13">
        <w:instrText>":[{"</w:instrText>
      </w:r>
      <w:r w:rsidR="006A2B13">
        <w:rPr>
          <w:lang w:val="en-US"/>
        </w:rPr>
        <w:instrText>id</w:instrText>
      </w:r>
      <w:r w:rsidR="006A2B13" w:rsidRPr="006A2B13">
        <w:instrText>":"</w:instrText>
      </w:r>
      <w:r w:rsidR="006A2B13">
        <w:rPr>
          <w:lang w:val="en-US"/>
        </w:rPr>
        <w:instrText>ITEM</w:instrText>
      </w:r>
      <w:r w:rsidR="006A2B13" w:rsidRPr="006A2B13">
        <w:instrText>-1","</w:instrText>
      </w:r>
      <w:r w:rsidR="006A2B13">
        <w:rPr>
          <w:lang w:val="en-US"/>
        </w:rPr>
        <w:instrText>itemData</w:instrText>
      </w:r>
      <w:r w:rsidR="006A2B13" w:rsidRPr="006A2B13">
        <w:instrText>":{"</w:instrText>
      </w:r>
      <w:r w:rsidR="006A2B13">
        <w:rPr>
          <w:lang w:val="en-US"/>
        </w:rPr>
        <w:instrText>DOI</w:instrText>
      </w:r>
      <w:r w:rsidR="006A2B13" w:rsidRPr="006A2B13">
        <w:instrText>":"10.1200/</w:instrText>
      </w:r>
      <w:r w:rsidR="006A2B13">
        <w:rPr>
          <w:lang w:val="en-US"/>
        </w:rPr>
        <w:instrText>JCO</w:instrText>
      </w:r>
      <w:r w:rsidR="006A2B13" w:rsidRPr="006A2B13">
        <w:instrText>.19.00172","</w:instrText>
      </w:r>
      <w:r w:rsidR="006A2B13">
        <w:rPr>
          <w:lang w:val="en-US"/>
        </w:rPr>
        <w:instrText>ISSN</w:instrText>
      </w:r>
      <w:r w:rsidR="006A2B13" w:rsidRPr="006A2B13">
        <w:instrText>":"1527-7755","</w:instrText>
      </w:r>
      <w:r w:rsidR="006A2B13">
        <w:rPr>
          <w:lang w:val="en-US"/>
        </w:rPr>
        <w:instrText>PMID</w:instrText>
      </w:r>
      <w:r w:rsidR="006A2B13" w:rsidRPr="006A2B13">
        <w:instrText>":"31693429","</w:instrText>
      </w:r>
      <w:r w:rsidR="006A2B13">
        <w:rPr>
          <w:lang w:val="en-US"/>
        </w:rPr>
        <w:instrText>abstract</w:instrText>
      </w:r>
      <w:r w:rsidR="006A2B13" w:rsidRPr="006A2B13">
        <w:instrText>":"</w:instrText>
      </w:r>
      <w:r w:rsidR="006A2B13">
        <w:rPr>
          <w:lang w:val="en-US"/>
        </w:rPr>
        <w:instrText>PURPOSE</w:instrText>
      </w:r>
      <w:r w:rsidR="006A2B13" w:rsidRPr="006A2B13">
        <w:instrText xml:space="preserve"> </w:instrText>
      </w:r>
      <w:r w:rsidR="006A2B13">
        <w:rPr>
          <w:lang w:val="en-US"/>
        </w:rPr>
        <w:instrText>Patients</w:instrText>
      </w:r>
      <w:r w:rsidR="006A2B13" w:rsidRPr="006A2B13">
        <w:instrText xml:space="preserve"> </w:instrText>
      </w:r>
      <w:r w:rsidR="006A2B13">
        <w:rPr>
          <w:lang w:val="en-US"/>
        </w:rPr>
        <w:instrText>with</w:instrText>
      </w:r>
      <w:r w:rsidR="006A2B13" w:rsidRPr="006A2B13">
        <w:instrText xml:space="preserve"> </w:instrText>
      </w:r>
      <w:r w:rsidR="006A2B13">
        <w:rPr>
          <w:lang w:val="en-US"/>
        </w:rPr>
        <w:instrText>transplantation</w:instrText>
      </w:r>
      <w:r w:rsidR="006A2B13" w:rsidRPr="006A2B13">
        <w:instrText>-</w:instrText>
      </w:r>
      <w:r w:rsidR="006A2B13">
        <w:rPr>
          <w:lang w:val="en-US"/>
        </w:rPr>
        <w:instrText>ineligible</w:instrText>
      </w:r>
      <w:r w:rsidR="006A2B13" w:rsidRPr="006A2B13">
        <w:instrText xml:space="preserve"> </w:instrText>
      </w:r>
      <w:r w:rsidR="006A2B13">
        <w:rPr>
          <w:lang w:val="en-US"/>
        </w:rPr>
        <w:instrText>relapsed</w:instrText>
      </w:r>
      <w:r w:rsidR="006A2B13" w:rsidRPr="006A2B13">
        <w:instrText>/</w:instrText>
      </w:r>
      <w:r w:rsidR="006A2B13">
        <w:rPr>
          <w:lang w:val="en-US"/>
        </w:rPr>
        <w:instrText>refractory</w:instrText>
      </w:r>
      <w:r w:rsidR="006A2B13" w:rsidRPr="006A2B13">
        <w:instrText xml:space="preserve"> (</w:instrText>
      </w:r>
      <w:r w:rsidR="006A2B13">
        <w:rPr>
          <w:lang w:val="en-US"/>
        </w:rPr>
        <w:instrText>R</w:instrText>
      </w:r>
      <w:r w:rsidR="006A2B13" w:rsidRPr="006A2B13">
        <w:instrText>/</w:instrText>
      </w:r>
      <w:r w:rsidR="006A2B13">
        <w:rPr>
          <w:lang w:val="en-US"/>
        </w:rPr>
        <w:instrText>R</w:instrText>
      </w:r>
      <w:r w:rsidR="006A2B13" w:rsidRPr="006A2B13">
        <w:instrText xml:space="preserve">) </w:instrText>
      </w:r>
      <w:r w:rsidR="006A2B13">
        <w:rPr>
          <w:lang w:val="en-US"/>
        </w:rPr>
        <w:instrText>diffuse</w:instrText>
      </w:r>
      <w:r w:rsidR="006A2B13" w:rsidRPr="006A2B13">
        <w:instrText xml:space="preserve"> </w:instrText>
      </w:r>
      <w:r w:rsidR="006A2B13">
        <w:rPr>
          <w:lang w:val="en-US"/>
        </w:rPr>
        <w:instrText>large</w:instrText>
      </w:r>
      <w:r w:rsidR="006A2B13" w:rsidRPr="006A2B13">
        <w:instrText xml:space="preserve"> </w:instrText>
      </w:r>
      <w:r w:rsidR="006A2B13">
        <w:rPr>
          <w:lang w:val="en-US"/>
        </w:rPr>
        <w:instrText>B</w:instrText>
      </w:r>
      <w:r w:rsidR="006A2B13" w:rsidRPr="006A2B13">
        <w:instrText>-</w:instrText>
      </w:r>
      <w:r w:rsidR="006A2B13">
        <w:rPr>
          <w:lang w:val="en-US"/>
        </w:rPr>
        <w:instrText>cell</w:instrText>
      </w:r>
      <w:r w:rsidR="006A2B13" w:rsidRPr="006A2B13">
        <w:instrText xml:space="preserve"> </w:instrText>
      </w:r>
      <w:r w:rsidR="006A2B13">
        <w:rPr>
          <w:lang w:val="en-US"/>
        </w:rPr>
        <w:instrText>lymphoma</w:instrText>
      </w:r>
      <w:r w:rsidR="006A2B13" w:rsidRPr="006A2B13">
        <w:instrText xml:space="preserve"> (</w:instrText>
      </w:r>
      <w:r w:rsidR="006A2B13">
        <w:rPr>
          <w:lang w:val="en-US"/>
        </w:rPr>
        <w:instrText>DLBCL</w:instrText>
      </w:r>
      <w:r w:rsidR="006A2B13" w:rsidRPr="006A2B13">
        <w:instrText xml:space="preserve">) </w:instrText>
      </w:r>
      <w:r w:rsidR="006A2B13">
        <w:rPr>
          <w:lang w:val="en-US"/>
        </w:rPr>
        <w:instrText>fare</w:instrText>
      </w:r>
      <w:r w:rsidR="006A2B13" w:rsidRPr="006A2B13">
        <w:instrText xml:space="preserve"> </w:instrText>
      </w:r>
      <w:r w:rsidR="006A2B13">
        <w:rPr>
          <w:lang w:val="en-US"/>
        </w:rPr>
        <w:instrText>poorly</w:instrText>
      </w:r>
      <w:r w:rsidR="006A2B13" w:rsidRPr="006A2B13">
        <w:instrText xml:space="preserve">, </w:instrText>
      </w:r>
      <w:r w:rsidR="006A2B13">
        <w:rPr>
          <w:lang w:val="en-US"/>
        </w:rPr>
        <w:instrText>with</w:instrText>
      </w:r>
      <w:r w:rsidR="006A2B13" w:rsidRPr="006A2B13">
        <w:instrText xml:space="preserve"> </w:instrText>
      </w:r>
      <w:r w:rsidR="006A2B13">
        <w:rPr>
          <w:lang w:val="en-US"/>
        </w:rPr>
        <w:instrText>limited</w:instrText>
      </w:r>
      <w:r w:rsidR="006A2B13" w:rsidRPr="006A2B13">
        <w:instrText xml:space="preserve"> </w:instrText>
      </w:r>
      <w:r w:rsidR="006A2B13">
        <w:rPr>
          <w:lang w:val="en-US"/>
        </w:rPr>
        <w:instrText>treatment</w:instrText>
      </w:r>
      <w:r w:rsidR="006A2B13" w:rsidRPr="006A2B13">
        <w:instrText xml:space="preserve"> </w:instrText>
      </w:r>
      <w:r w:rsidR="006A2B13">
        <w:rPr>
          <w:lang w:val="en-US"/>
        </w:rPr>
        <w:instrText>options</w:instrText>
      </w:r>
      <w:r w:rsidR="006A2B13" w:rsidRPr="006A2B13">
        <w:instrText xml:space="preserve">. </w:instrText>
      </w:r>
      <w:r w:rsidR="006A2B13">
        <w:rPr>
          <w:lang w:val="en-US"/>
        </w:rPr>
        <w:instrText>The</w:instrText>
      </w:r>
      <w:r w:rsidR="006A2B13" w:rsidRPr="006A2B13">
        <w:instrText xml:space="preserve"> </w:instrText>
      </w:r>
      <w:r w:rsidR="006A2B13">
        <w:rPr>
          <w:lang w:val="en-US"/>
        </w:rPr>
        <w:instrText>antibody</w:instrText>
      </w:r>
      <w:r w:rsidR="006A2B13" w:rsidRPr="006A2B13">
        <w:instrText>-</w:instrText>
      </w:r>
      <w:r w:rsidR="006A2B13">
        <w:rPr>
          <w:lang w:val="en-US"/>
        </w:rPr>
        <w:instrText>drug</w:instrText>
      </w:r>
      <w:r w:rsidR="006A2B13" w:rsidRPr="006A2B13">
        <w:instrText xml:space="preserve"> </w:instrText>
      </w:r>
      <w:r w:rsidR="006A2B13">
        <w:rPr>
          <w:lang w:val="en-US"/>
        </w:rPr>
        <w:instrText>conjugate</w:instrText>
      </w:r>
      <w:r w:rsidR="006A2B13" w:rsidRPr="006A2B13">
        <w:instrText xml:space="preserve"> </w:instrText>
      </w:r>
      <w:r w:rsidR="006A2B13">
        <w:rPr>
          <w:lang w:val="en-US"/>
        </w:rPr>
        <w:instrText>polatuzumab</w:instrText>
      </w:r>
      <w:r w:rsidR="006A2B13" w:rsidRPr="006A2B13">
        <w:instrText xml:space="preserve"> </w:instrText>
      </w:r>
      <w:r w:rsidR="006A2B13">
        <w:rPr>
          <w:lang w:val="en-US"/>
        </w:rPr>
        <w:instrText>vedotin</w:instrText>
      </w:r>
      <w:r w:rsidR="006A2B13" w:rsidRPr="006A2B13">
        <w:instrText xml:space="preserve"> </w:instrText>
      </w:r>
      <w:r w:rsidR="006A2B13">
        <w:rPr>
          <w:lang w:val="en-US"/>
        </w:rPr>
        <w:instrText>targets</w:instrText>
      </w:r>
      <w:r w:rsidR="006A2B13" w:rsidRPr="006A2B13">
        <w:instrText xml:space="preserve"> </w:instrText>
      </w:r>
      <w:r w:rsidR="006A2B13">
        <w:rPr>
          <w:lang w:val="en-US"/>
        </w:rPr>
        <w:instrText>CD</w:instrText>
      </w:r>
      <w:r w:rsidR="006A2B13" w:rsidRPr="006A2B13">
        <w:instrText>79</w:instrText>
      </w:r>
      <w:r w:rsidR="006A2B13">
        <w:rPr>
          <w:lang w:val="en-US"/>
        </w:rPr>
        <w:instrText>b</w:instrText>
      </w:r>
      <w:r w:rsidR="006A2B13" w:rsidRPr="006A2B13">
        <w:instrText xml:space="preserve">, </w:instrText>
      </w:r>
      <w:r w:rsidR="006A2B13">
        <w:rPr>
          <w:lang w:val="en-US"/>
        </w:rPr>
        <w:instrText>a</w:instrText>
      </w:r>
      <w:r w:rsidR="006A2B13" w:rsidRPr="006A2B13">
        <w:instrText xml:space="preserve"> </w:instrText>
      </w:r>
      <w:r w:rsidR="006A2B13">
        <w:rPr>
          <w:lang w:val="en-US"/>
        </w:rPr>
        <w:instrText>B</w:instrText>
      </w:r>
      <w:r w:rsidR="006A2B13" w:rsidRPr="006A2B13">
        <w:instrText>-</w:instrText>
      </w:r>
      <w:r w:rsidR="006A2B13">
        <w:rPr>
          <w:lang w:val="en-US"/>
        </w:rPr>
        <w:instrText>cell</w:instrText>
      </w:r>
      <w:r w:rsidR="006A2B13" w:rsidRPr="006A2B13">
        <w:instrText xml:space="preserve"> </w:instrText>
      </w:r>
      <w:r w:rsidR="006A2B13">
        <w:rPr>
          <w:lang w:val="en-US"/>
        </w:rPr>
        <w:instrText>receptor</w:instrText>
      </w:r>
      <w:r w:rsidR="006A2B13" w:rsidRPr="006A2B13">
        <w:instrText xml:space="preserve"> </w:instrText>
      </w:r>
      <w:r w:rsidR="006A2B13">
        <w:rPr>
          <w:lang w:val="en-US"/>
        </w:rPr>
        <w:instrText>component</w:instrText>
      </w:r>
      <w:r w:rsidR="006A2B13" w:rsidRPr="006A2B13">
        <w:instrText xml:space="preserve">. </w:instrText>
      </w:r>
      <w:r w:rsidR="006A2B13">
        <w:rPr>
          <w:lang w:val="en-US"/>
        </w:rPr>
        <w:instrText>METHODS</w:instrText>
      </w:r>
      <w:r w:rsidR="006A2B13" w:rsidRPr="006A2B13">
        <w:instrText xml:space="preserve"> </w:instrText>
      </w:r>
      <w:r w:rsidR="006A2B13">
        <w:rPr>
          <w:lang w:val="en-US"/>
        </w:rPr>
        <w:instrText>Safety</w:instrText>
      </w:r>
      <w:r w:rsidR="006A2B13" w:rsidRPr="006A2B13">
        <w:instrText xml:space="preserve"> </w:instrText>
      </w:r>
      <w:r w:rsidR="006A2B13">
        <w:rPr>
          <w:lang w:val="en-US"/>
        </w:rPr>
        <w:instrText>and</w:instrText>
      </w:r>
      <w:r w:rsidR="006A2B13" w:rsidRPr="006A2B13">
        <w:instrText xml:space="preserve"> </w:instrText>
      </w:r>
      <w:r w:rsidR="006A2B13">
        <w:rPr>
          <w:lang w:val="en-US"/>
        </w:rPr>
        <w:instrText>efficacy</w:instrText>
      </w:r>
      <w:r w:rsidR="006A2B13" w:rsidRPr="006A2B13">
        <w:instrText xml:space="preserve"> </w:instrText>
      </w:r>
      <w:r w:rsidR="006A2B13">
        <w:rPr>
          <w:lang w:val="en-US"/>
        </w:rPr>
        <w:instrText>of</w:instrText>
      </w:r>
      <w:r w:rsidR="006A2B13" w:rsidRPr="006A2B13">
        <w:instrText xml:space="preserve"> </w:instrText>
      </w:r>
      <w:r w:rsidR="006A2B13">
        <w:rPr>
          <w:lang w:val="en-US"/>
        </w:rPr>
        <w:instrText>polatuzumab</w:instrText>
      </w:r>
      <w:r w:rsidR="006A2B13" w:rsidRPr="006A2B13">
        <w:instrText xml:space="preserve"> </w:instrText>
      </w:r>
      <w:r w:rsidR="006A2B13">
        <w:rPr>
          <w:lang w:val="en-US"/>
        </w:rPr>
        <w:instrText>vedotin</w:instrText>
      </w:r>
      <w:r w:rsidR="006A2B13" w:rsidRPr="006A2B13">
        <w:instrText xml:space="preserve"> </w:instrText>
      </w:r>
      <w:r w:rsidR="006A2B13">
        <w:rPr>
          <w:lang w:val="en-US"/>
        </w:rPr>
        <w:instrText>with</w:instrText>
      </w:r>
      <w:r w:rsidR="006A2B13" w:rsidRPr="006A2B13">
        <w:instrText xml:space="preserve"> </w:instrText>
      </w:r>
      <w:r w:rsidR="006A2B13">
        <w:rPr>
          <w:lang w:val="en-US"/>
        </w:rPr>
        <w:instrText>bendamustine</w:instrText>
      </w:r>
      <w:r w:rsidR="006A2B13" w:rsidRPr="006A2B13">
        <w:instrText xml:space="preserve"> </w:instrText>
      </w:r>
      <w:r w:rsidR="006A2B13">
        <w:rPr>
          <w:lang w:val="en-US"/>
        </w:rPr>
        <w:instrText>and</w:instrText>
      </w:r>
      <w:r w:rsidR="006A2B13" w:rsidRPr="006A2B13">
        <w:instrText xml:space="preserve"> </w:instrText>
      </w:r>
      <w:r w:rsidR="006A2B13">
        <w:rPr>
          <w:lang w:val="en-US"/>
        </w:rPr>
        <w:instrText>obinutuzumab</w:instrText>
      </w:r>
      <w:r w:rsidR="006A2B13" w:rsidRPr="006A2B13">
        <w:instrText xml:space="preserve"> (</w:instrText>
      </w:r>
      <w:r w:rsidR="006A2B13">
        <w:rPr>
          <w:lang w:val="en-US"/>
        </w:rPr>
        <w:instrText>pola</w:instrText>
      </w:r>
      <w:r w:rsidR="006A2B13" w:rsidRPr="006A2B13">
        <w:instrText>-</w:instrText>
      </w:r>
      <w:r w:rsidR="006A2B13">
        <w:rPr>
          <w:lang w:val="en-US"/>
        </w:rPr>
        <w:instrText>BG</w:instrText>
      </w:r>
      <w:r w:rsidR="006A2B13" w:rsidRPr="006A2B13">
        <w:instrText xml:space="preserve">) </w:instrText>
      </w:r>
      <w:r w:rsidR="006A2B13">
        <w:rPr>
          <w:lang w:val="en-US"/>
        </w:rPr>
        <w:instrText>was</w:instrText>
      </w:r>
      <w:r w:rsidR="006A2B13" w:rsidRPr="006A2B13">
        <w:instrText xml:space="preserve"> </w:instrText>
      </w:r>
      <w:r w:rsidR="006A2B13">
        <w:rPr>
          <w:lang w:val="en-US"/>
        </w:rPr>
        <w:instrText>evaluated</w:instrText>
      </w:r>
      <w:r w:rsidR="006A2B13" w:rsidRPr="006A2B13">
        <w:instrText xml:space="preserve"> </w:instrText>
      </w:r>
      <w:r w:rsidR="006A2B13">
        <w:rPr>
          <w:lang w:val="en-US"/>
        </w:rPr>
        <w:instrText>in</w:instrText>
      </w:r>
      <w:r w:rsidR="006A2B13" w:rsidRPr="006A2B13">
        <w:instrText xml:space="preserve"> </w:instrText>
      </w:r>
      <w:r w:rsidR="006A2B13">
        <w:rPr>
          <w:lang w:val="en-US"/>
        </w:rPr>
        <w:instrText>a</w:instrText>
      </w:r>
      <w:r w:rsidR="006A2B13" w:rsidRPr="006A2B13">
        <w:instrText xml:space="preserve"> </w:instrText>
      </w:r>
      <w:r w:rsidR="006A2B13">
        <w:rPr>
          <w:lang w:val="en-US"/>
        </w:rPr>
        <w:instrText>single</w:instrText>
      </w:r>
      <w:r w:rsidR="006A2B13" w:rsidRPr="006A2B13">
        <w:instrText>-</w:instrText>
      </w:r>
      <w:r w:rsidR="006A2B13">
        <w:rPr>
          <w:lang w:val="en-US"/>
        </w:rPr>
        <w:instrText>arm</w:instrText>
      </w:r>
      <w:r w:rsidR="006A2B13" w:rsidRPr="006A2B13">
        <w:instrText xml:space="preserve"> </w:instrText>
      </w:r>
      <w:r w:rsidR="006A2B13">
        <w:rPr>
          <w:lang w:val="en-US"/>
        </w:rPr>
        <w:instrText>cohort</w:instrText>
      </w:r>
      <w:r w:rsidR="006A2B13" w:rsidRPr="006A2B13">
        <w:instrText xml:space="preserve">. </w:instrText>
      </w:r>
      <w:r w:rsidR="006A2B13">
        <w:rPr>
          <w:lang w:val="en-US"/>
        </w:rPr>
        <w:instrText>Polatuzumab</w:instrText>
      </w:r>
      <w:r w:rsidR="006A2B13" w:rsidRPr="006A2B13">
        <w:instrText xml:space="preserve"> </w:instrText>
      </w:r>
      <w:r w:rsidR="006A2B13">
        <w:rPr>
          <w:lang w:val="en-US"/>
        </w:rPr>
        <w:instrText>vedotin</w:instrText>
      </w:r>
      <w:r w:rsidR="006A2B13" w:rsidRPr="006A2B13">
        <w:instrText xml:space="preserve"> </w:instrText>
      </w:r>
      <w:r w:rsidR="006A2B13">
        <w:rPr>
          <w:lang w:val="en-US"/>
        </w:rPr>
        <w:instrText>combined</w:instrText>
      </w:r>
      <w:r w:rsidR="006A2B13" w:rsidRPr="006A2B13">
        <w:instrText xml:space="preserve"> </w:instrText>
      </w:r>
      <w:r w:rsidR="006A2B13">
        <w:rPr>
          <w:lang w:val="en-US"/>
        </w:rPr>
        <w:instrText>with</w:instrText>
      </w:r>
      <w:r w:rsidR="006A2B13" w:rsidRPr="006A2B13">
        <w:instrText xml:space="preserve"> </w:instrText>
      </w:r>
      <w:r w:rsidR="006A2B13">
        <w:rPr>
          <w:lang w:val="en-US"/>
        </w:rPr>
        <w:instrText>bendamustine</w:instrText>
      </w:r>
      <w:r w:rsidR="006A2B13" w:rsidRPr="006A2B13">
        <w:instrText xml:space="preserve"> </w:instrText>
      </w:r>
      <w:r w:rsidR="006A2B13">
        <w:rPr>
          <w:lang w:val="en-US"/>
        </w:rPr>
        <w:instrText>and</w:instrText>
      </w:r>
      <w:r w:rsidR="006A2B13" w:rsidRPr="006A2B13">
        <w:instrText xml:space="preserve"> </w:instrText>
      </w:r>
      <w:r w:rsidR="006A2B13">
        <w:rPr>
          <w:lang w:val="en-US"/>
        </w:rPr>
        <w:instrText>rituximab</w:instrText>
      </w:r>
      <w:r w:rsidR="006A2B13" w:rsidRPr="006A2B13">
        <w:instrText xml:space="preserve"> (</w:instrText>
      </w:r>
      <w:r w:rsidR="006A2B13">
        <w:rPr>
          <w:lang w:val="en-US"/>
        </w:rPr>
        <w:instrText>pola</w:instrText>
      </w:r>
      <w:r w:rsidR="006A2B13" w:rsidRPr="006A2B13">
        <w:instrText>-</w:instrText>
      </w:r>
      <w:r w:rsidR="006A2B13">
        <w:rPr>
          <w:lang w:val="en-US"/>
        </w:rPr>
        <w:instrText>BR</w:instrText>
      </w:r>
      <w:r w:rsidR="006A2B13" w:rsidRPr="006A2B13">
        <w:instrText xml:space="preserve">) </w:instrText>
      </w:r>
      <w:r w:rsidR="006A2B13">
        <w:rPr>
          <w:lang w:val="en-US"/>
        </w:rPr>
        <w:instrText>was</w:instrText>
      </w:r>
      <w:r w:rsidR="006A2B13" w:rsidRPr="006A2B13">
        <w:instrText xml:space="preserve"> </w:instrText>
      </w:r>
      <w:r w:rsidR="006A2B13">
        <w:rPr>
          <w:lang w:val="en-US"/>
        </w:rPr>
        <w:instrText>compared</w:instrText>
      </w:r>
      <w:r w:rsidR="006A2B13" w:rsidRPr="006A2B13">
        <w:instrText xml:space="preserve"> </w:instrText>
      </w:r>
      <w:r w:rsidR="006A2B13">
        <w:rPr>
          <w:lang w:val="en-US"/>
        </w:rPr>
        <w:instrText>with</w:instrText>
      </w:r>
      <w:r w:rsidR="006A2B13" w:rsidRPr="006A2B13">
        <w:instrText xml:space="preserve"> </w:instrText>
      </w:r>
      <w:r w:rsidR="006A2B13">
        <w:rPr>
          <w:lang w:val="en-US"/>
        </w:rPr>
        <w:instrText>bendamustine</w:instrText>
      </w:r>
      <w:r w:rsidR="006A2B13" w:rsidRPr="006A2B13">
        <w:instrText xml:space="preserve"> </w:instrText>
      </w:r>
      <w:r w:rsidR="006A2B13">
        <w:rPr>
          <w:lang w:val="en-US"/>
        </w:rPr>
        <w:instrText>and</w:instrText>
      </w:r>
      <w:r w:rsidR="006A2B13" w:rsidRPr="006A2B13">
        <w:instrText xml:space="preserve"> </w:instrText>
      </w:r>
      <w:r w:rsidR="006A2B13">
        <w:rPr>
          <w:lang w:val="en-US"/>
        </w:rPr>
        <w:instrText>rituximab</w:instrText>
      </w:r>
      <w:r w:rsidR="006A2B13" w:rsidRPr="006A2B13">
        <w:instrText xml:space="preserve"> (</w:instrText>
      </w:r>
      <w:r w:rsidR="006A2B13">
        <w:rPr>
          <w:lang w:val="en-US"/>
        </w:rPr>
        <w:instrText>BR</w:instrText>
      </w:r>
      <w:r w:rsidR="006A2B13" w:rsidRPr="006A2B13">
        <w:instrText xml:space="preserve">) </w:instrText>
      </w:r>
      <w:r w:rsidR="006A2B13">
        <w:rPr>
          <w:lang w:val="en-US"/>
        </w:rPr>
        <w:instrText>in</w:instrText>
      </w:r>
      <w:r w:rsidR="006A2B13" w:rsidRPr="006A2B13">
        <w:instrText xml:space="preserve"> </w:instrText>
      </w:r>
      <w:r w:rsidR="006A2B13">
        <w:rPr>
          <w:lang w:val="en-US"/>
        </w:rPr>
        <w:instrText>a</w:instrText>
      </w:r>
      <w:r w:rsidR="006A2B13" w:rsidRPr="006A2B13">
        <w:instrText xml:space="preserve"> </w:instrText>
      </w:r>
      <w:r w:rsidR="006A2B13">
        <w:rPr>
          <w:lang w:val="en-US"/>
        </w:rPr>
        <w:instrText>randomly</w:instrText>
      </w:r>
      <w:r w:rsidR="006A2B13" w:rsidRPr="006A2B13">
        <w:instrText xml:space="preserve"> </w:instrText>
      </w:r>
      <w:r w:rsidR="006A2B13">
        <w:rPr>
          <w:lang w:val="en-US"/>
        </w:rPr>
        <w:instrText>assigned</w:instrText>
      </w:r>
      <w:r w:rsidR="006A2B13" w:rsidRPr="006A2B13">
        <w:instrText xml:space="preserve"> </w:instrText>
      </w:r>
      <w:r w:rsidR="006A2B13">
        <w:rPr>
          <w:lang w:val="en-US"/>
        </w:rPr>
        <w:instrText>cohort</w:instrText>
      </w:r>
      <w:r w:rsidR="006A2B13" w:rsidRPr="006A2B13">
        <w:instrText xml:space="preserve"> </w:instrText>
      </w:r>
      <w:r w:rsidR="006A2B13">
        <w:rPr>
          <w:lang w:val="en-US"/>
        </w:rPr>
        <w:instrText>of</w:instrText>
      </w:r>
      <w:r w:rsidR="006A2B13" w:rsidRPr="006A2B13">
        <w:instrText xml:space="preserve"> </w:instrText>
      </w:r>
      <w:r w:rsidR="006A2B13">
        <w:rPr>
          <w:lang w:val="en-US"/>
        </w:rPr>
        <w:instrText>patients</w:instrText>
      </w:r>
      <w:r w:rsidR="006A2B13" w:rsidRPr="006A2B13">
        <w:instrText xml:space="preserve"> </w:instrText>
      </w:r>
      <w:r w:rsidR="006A2B13">
        <w:rPr>
          <w:lang w:val="en-US"/>
        </w:rPr>
        <w:instrText>with</w:instrText>
      </w:r>
      <w:r w:rsidR="006A2B13" w:rsidRPr="006A2B13">
        <w:instrText xml:space="preserve"> </w:instrText>
      </w:r>
      <w:r w:rsidR="006A2B13">
        <w:rPr>
          <w:lang w:val="en-US"/>
        </w:rPr>
        <w:instrText>transplantation</w:instrText>
      </w:r>
      <w:r w:rsidR="006A2B13" w:rsidRPr="006A2B13">
        <w:instrText>-</w:instrText>
      </w:r>
      <w:r w:rsidR="006A2B13">
        <w:rPr>
          <w:lang w:val="en-US"/>
        </w:rPr>
        <w:instrText>ineligible</w:instrText>
      </w:r>
      <w:r w:rsidR="006A2B13" w:rsidRPr="006A2B13">
        <w:instrText xml:space="preserve"> </w:instrText>
      </w:r>
      <w:r w:rsidR="006A2B13">
        <w:rPr>
          <w:lang w:val="en-US"/>
        </w:rPr>
        <w:instrText>R</w:instrText>
      </w:r>
      <w:r w:rsidR="006A2B13" w:rsidRPr="006A2B13">
        <w:instrText>/</w:instrText>
      </w:r>
      <w:r w:rsidR="006A2B13">
        <w:rPr>
          <w:lang w:val="en-US"/>
        </w:rPr>
        <w:instrText>R</w:instrText>
      </w:r>
      <w:r w:rsidR="006A2B13" w:rsidRPr="006A2B13">
        <w:instrText xml:space="preserve"> </w:instrText>
      </w:r>
      <w:r w:rsidR="006A2B13">
        <w:rPr>
          <w:lang w:val="en-US"/>
        </w:rPr>
        <w:instrText>DLBCL</w:instrText>
      </w:r>
      <w:r w:rsidR="006A2B13" w:rsidRPr="006A2B13">
        <w:instrText xml:space="preserve"> (</w:instrText>
      </w:r>
      <w:r w:rsidR="006A2B13">
        <w:rPr>
          <w:lang w:val="en-US"/>
        </w:rPr>
        <w:instrText>primary</w:instrText>
      </w:r>
      <w:r w:rsidR="006A2B13" w:rsidRPr="006A2B13">
        <w:instrText xml:space="preserve"> </w:instrText>
      </w:r>
      <w:r w:rsidR="006A2B13">
        <w:rPr>
          <w:lang w:val="en-US"/>
        </w:rPr>
        <w:instrText>end</w:instrText>
      </w:r>
      <w:r w:rsidR="006A2B13" w:rsidRPr="006A2B13">
        <w:instrText xml:space="preserve"> </w:instrText>
      </w:r>
      <w:r w:rsidR="006A2B13">
        <w:rPr>
          <w:lang w:val="en-US"/>
        </w:rPr>
        <w:instrText>point</w:instrText>
      </w:r>
      <w:r w:rsidR="006A2B13" w:rsidRPr="006A2B13">
        <w:instrText xml:space="preserve">: </w:instrText>
      </w:r>
      <w:r w:rsidR="006A2B13">
        <w:rPr>
          <w:lang w:val="en-US"/>
        </w:rPr>
        <w:instrText>independent</w:instrText>
      </w:r>
      <w:r w:rsidR="006A2B13" w:rsidRPr="006A2B13">
        <w:instrText xml:space="preserve"> </w:instrText>
      </w:r>
      <w:r w:rsidR="006A2B13">
        <w:rPr>
          <w:lang w:val="en-US"/>
        </w:rPr>
        <w:instrText>review</w:instrText>
      </w:r>
      <w:r w:rsidR="006A2B13" w:rsidRPr="006A2B13">
        <w:instrText xml:space="preserve"> </w:instrText>
      </w:r>
      <w:r w:rsidR="006A2B13">
        <w:rPr>
          <w:lang w:val="en-US"/>
        </w:rPr>
        <w:instrText>committee</w:instrText>
      </w:r>
      <w:r w:rsidR="006A2B13" w:rsidRPr="006A2B13">
        <w:instrText xml:space="preserve"> [</w:instrText>
      </w:r>
      <w:r w:rsidR="006A2B13">
        <w:rPr>
          <w:lang w:val="en-US"/>
        </w:rPr>
        <w:instrText>IRC</w:instrText>
      </w:r>
      <w:r w:rsidR="006A2B13" w:rsidRPr="006A2B13">
        <w:instrText xml:space="preserve">] </w:instrText>
      </w:r>
      <w:r w:rsidR="006A2B13">
        <w:rPr>
          <w:lang w:val="en-US"/>
        </w:rPr>
        <w:instrText>assessed</w:instrText>
      </w:r>
      <w:r w:rsidR="006A2B13" w:rsidRPr="006A2B13">
        <w:instrText xml:space="preserve"> </w:instrText>
      </w:r>
      <w:r w:rsidR="006A2B13">
        <w:rPr>
          <w:lang w:val="en-US"/>
        </w:rPr>
        <w:instrText>complete</w:instrText>
      </w:r>
      <w:r w:rsidR="006A2B13" w:rsidRPr="006A2B13">
        <w:instrText xml:space="preserve"> </w:instrText>
      </w:r>
      <w:r w:rsidR="006A2B13">
        <w:rPr>
          <w:lang w:val="en-US"/>
        </w:rPr>
        <w:instrText>response</w:instrText>
      </w:r>
      <w:r w:rsidR="006A2B13" w:rsidRPr="006A2B13">
        <w:instrText xml:space="preserve"> [</w:instrText>
      </w:r>
      <w:r w:rsidR="006A2B13">
        <w:rPr>
          <w:lang w:val="en-US"/>
        </w:rPr>
        <w:instrText>CR</w:instrText>
      </w:r>
      <w:r w:rsidR="006A2B13" w:rsidRPr="006A2B13">
        <w:instrText xml:space="preserve">] </w:instrText>
      </w:r>
      <w:r w:rsidR="006A2B13">
        <w:rPr>
          <w:lang w:val="en-US"/>
        </w:rPr>
        <w:instrText>rate</w:instrText>
      </w:r>
      <w:r w:rsidR="006A2B13" w:rsidRPr="006A2B13">
        <w:instrText xml:space="preserve"> </w:instrText>
      </w:r>
      <w:r w:rsidR="006A2B13">
        <w:rPr>
          <w:lang w:val="en-US"/>
        </w:rPr>
        <w:instrText>at</w:instrText>
      </w:r>
      <w:r w:rsidR="006A2B13" w:rsidRPr="006A2B13">
        <w:instrText xml:space="preserve"> </w:instrText>
      </w:r>
      <w:r w:rsidR="006A2B13">
        <w:rPr>
          <w:lang w:val="en-US"/>
        </w:rPr>
        <w:instrText>the</w:instrText>
      </w:r>
      <w:r w:rsidR="006A2B13" w:rsidRPr="006A2B13">
        <w:instrText xml:space="preserve"> </w:instrText>
      </w:r>
      <w:r w:rsidR="006A2B13">
        <w:rPr>
          <w:lang w:val="en-US"/>
        </w:rPr>
        <w:instrText>end</w:instrText>
      </w:r>
      <w:r w:rsidR="006A2B13" w:rsidRPr="006A2B13">
        <w:instrText xml:space="preserve"> </w:instrText>
      </w:r>
      <w:r w:rsidR="006A2B13">
        <w:rPr>
          <w:lang w:val="en-US"/>
        </w:rPr>
        <w:instrText>of</w:instrText>
      </w:r>
      <w:r w:rsidR="006A2B13" w:rsidRPr="006A2B13">
        <w:instrText xml:space="preserve"> </w:instrText>
      </w:r>
      <w:r w:rsidR="006A2B13">
        <w:rPr>
          <w:lang w:val="en-US"/>
        </w:rPr>
        <w:instrText>treatment</w:instrText>
      </w:r>
      <w:r w:rsidR="006A2B13" w:rsidRPr="006A2B13">
        <w:instrText xml:space="preserve">). </w:instrText>
      </w:r>
      <w:r w:rsidR="006A2B13">
        <w:rPr>
          <w:lang w:val="en-US"/>
        </w:rPr>
        <w:instrText>Duration</w:instrText>
      </w:r>
      <w:r w:rsidR="006A2B13" w:rsidRPr="006A2B13">
        <w:instrText xml:space="preserve"> </w:instrText>
      </w:r>
      <w:r w:rsidR="006A2B13">
        <w:rPr>
          <w:lang w:val="en-US"/>
        </w:rPr>
        <w:instrText>of</w:instrText>
      </w:r>
      <w:r w:rsidR="006A2B13" w:rsidRPr="006A2B13">
        <w:instrText xml:space="preserve"> </w:instrText>
      </w:r>
      <w:r w:rsidR="006A2B13">
        <w:rPr>
          <w:lang w:val="en-US"/>
        </w:rPr>
        <w:instrText>response</w:instrText>
      </w:r>
      <w:r w:rsidR="006A2B13" w:rsidRPr="006A2B13">
        <w:instrText xml:space="preserve">, </w:instrText>
      </w:r>
      <w:r w:rsidR="006A2B13">
        <w:rPr>
          <w:lang w:val="en-US"/>
        </w:rPr>
        <w:instrText>progression</w:instrText>
      </w:r>
      <w:r w:rsidR="006A2B13" w:rsidRPr="006A2B13">
        <w:instrText>-</w:instrText>
      </w:r>
      <w:r w:rsidR="006A2B13">
        <w:rPr>
          <w:lang w:val="en-US"/>
        </w:rPr>
        <w:instrText>free</w:instrText>
      </w:r>
      <w:r w:rsidR="006A2B13" w:rsidRPr="006A2B13">
        <w:instrText xml:space="preserve"> </w:instrText>
      </w:r>
      <w:r w:rsidR="006A2B13">
        <w:rPr>
          <w:lang w:val="en-US"/>
        </w:rPr>
        <w:instrText>survival</w:instrText>
      </w:r>
      <w:r w:rsidR="006A2B13" w:rsidRPr="006A2B13">
        <w:instrText xml:space="preserve"> (</w:instrText>
      </w:r>
      <w:r w:rsidR="006A2B13">
        <w:rPr>
          <w:lang w:val="en-US"/>
        </w:rPr>
        <w:instrText>PFS</w:instrText>
      </w:r>
      <w:r w:rsidR="006A2B13" w:rsidRPr="006A2B13">
        <w:instrText xml:space="preserve">), </w:instrText>
      </w:r>
      <w:r w:rsidR="006A2B13">
        <w:rPr>
          <w:lang w:val="en-US"/>
        </w:rPr>
        <w:instrText>and</w:instrText>
      </w:r>
      <w:r w:rsidR="006A2B13" w:rsidRPr="006A2B13">
        <w:instrText xml:space="preserve"> </w:instrText>
      </w:r>
      <w:r w:rsidR="006A2B13">
        <w:rPr>
          <w:lang w:val="en-US"/>
        </w:rPr>
        <w:instrText>overall</w:instrText>
      </w:r>
      <w:r w:rsidR="006A2B13" w:rsidRPr="006A2B13">
        <w:instrText xml:space="preserve"> </w:instrText>
      </w:r>
      <w:r w:rsidR="006A2B13">
        <w:rPr>
          <w:lang w:val="en-US"/>
        </w:rPr>
        <w:instrText>survival</w:instrText>
      </w:r>
      <w:r w:rsidR="006A2B13" w:rsidRPr="006A2B13">
        <w:instrText xml:space="preserve"> (</w:instrText>
      </w:r>
      <w:r w:rsidR="006A2B13">
        <w:rPr>
          <w:lang w:val="en-US"/>
        </w:rPr>
        <w:instrText>OS</w:instrText>
      </w:r>
      <w:r w:rsidR="006A2B13" w:rsidRPr="006A2B13">
        <w:instrText xml:space="preserve">) </w:instrText>
      </w:r>
      <w:r w:rsidR="006A2B13">
        <w:rPr>
          <w:lang w:val="en-US"/>
        </w:rPr>
        <w:instrText>were</w:instrText>
      </w:r>
      <w:r w:rsidR="006A2B13" w:rsidRPr="006A2B13">
        <w:instrText xml:space="preserve"> </w:instrText>
      </w:r>
      <w:r w:rsidR="006A2B13">
        <w:rPr>
          <w:lang w:val="en-US"/>
        </w:rPr>
        <w:instrText>analyzed</w:instrText>
      </w:r>
      <w:r w:rsidR="006A2B13" w:rsidRPr="006A2B13">
        <w:instrText xml:space="preserve"> </w:instrText>
      </w:r>
      <w:r w:rsidR="006A2B13">
        <w:rPr>
          <w:lang w:val="en-US"/>
        </w:rPr>
        <w:instrText>using</w:instrText>
      </w:r>
      <w:r w:rsidR="006A2B13" w:rsidRPr="006A2B13">
        <w:instrText xml:space="preserve"> </w:instrText>
      </w:r>
      <w:r w:rsidR="006A2B13">
        <w:rPr>
          <w:lang w:val="en-US"/>
        </w:rPr>
        <w:instrText>Kaplan</w:instrText>
      </w:r>
      <w:r w:rsidR="006A2B13" w:rsidRPr="006A2B13">
        <w:instrText>–</w:instrText>
      </w:r>
      <w:r w:rsidR="006A2B13">
        <w:rPr>
          <w:lang w:val="en-US"/>
        </w:rPr>
        <w:instrText>Meier</w:instrText>
      </w:r>
      <w:r w:rsidR="006A2B13" w:rsidRPr="006A2B13">
        <w:instrText xml:space="preserve"> </w:instrText>
      </w:r>
      <w:r w:rsidR="006A2B13">
        <w:rPr>
          <w:lang w:val="en-US"/>
        </w:rPr>
        <w:instrText>and</w:instrText>
      </w:r>
      <w:r w:rsidR="006A2B13" w:rsidRPr="006A2B13">
        <w:instrText xml:space="preserve"> </w:instrText>
      </w:r>
      <w:r w:rsidR="006A2B13">
        <w:rPr>
          <w:lang w:val="en-US"/>
        </w:rPr>
        <w:instrText>Cox</w:instrText>
      </w:r>
      <w:r w:rsidR="006A2B13" w:rsidRPr="006A2B13">
        <w:instrText xml:space="preserve"> </w:instrText>
      </w:r>
      <w:r w:rsidR="006A2B13">
        <w:rPr>
          <w:lang w:val="en-US"/>
        </w:rPr>
        <w:instrText>regression</w:instrText>
      </w:r>
      <w:r w:rsidR="006A2B13" w:rsidRPr="006A2B13">
        <w:instrText xml:space="preserve"> </w:instrText>
      </w:r>
      <w:r w:rsidR="006A2B13">
        <w:rPr>
          <w:lang w:val="en-US"/>
        </w:rPr>
        <w:instrText>methods</w:instrText>
      </w:r>
      <w:r w:rsidR="006A2B13" w:rsidRPr="006A2B13">
        <w:instrText xml:space="preserve">. </w:instrText>
      </w:r>
      <w:r w:rsidR="006A2B13">
        <w:rPr>
          <w:lang w:val="en-US"/>
        </w:rPr>
        <w:instrText>RESULTS</w:instrText>
      </w:r>
      <w:r w:rsidR="006A2B13" w:rsidRPr="006A2B13">
        <w:instrText xml:space="preserve"> </w:instrText>
      </w:r>
      <w:r w:rsidR="006A2B13">
        <w:rPr>
          <w:lang w:val="en-US"/>
        </w:rPr>
        <w:instrText>Pola</w:instrText>
      </w:r>
      <w:r w:rsidR="006A2B13" w:rsidRPr="006A2B13">
        <w:instrText>-</w:instrText>
      </w:r>
      <w:r w:rsidR="006A2B13">
        <w:rPr>
          <w:lang w:val="en-US"/>
        </w:rPr>
        <w:instrText>BG</w:instrText>
      </w:r>
      <w:r w:rsidR="006A2B13" w:rsidRPr="006A2B13">
        <w:instrText xml:space="preserve"> </w:instrText>
      </w:r>
      <w:r w:rsidR="006A2B13">
        <w:rPr>
          <w:lang w:val="en-US"/>
        </w:rPr>
        <w:instrText>and</w:instrText>
      </w:r>
      <w:r w:rsidR="006A2B13" w:rsidRPr="006A2B13">
        <w:instrText xml:space="preserve"> </w:instrText>
      </w:r>
      <w:r w:rsidR="006A2B13">
        <w:rPr>
          <w:lang w:val="en-US"/>
        </w:rPr>
        <w:instrText>pola</w:instrText>
      </w:r>
      <w:r w:rsidR="006A2B13" w:rsidRPr="006A2B13">
        <w:instrText>-</w:instrText>
      </w:r>
      <w:r w:rsidR="006A2B13">
        <w:rPr>
          <w:lang w:val="en-US"/>
        </w:rPr>
        <w:instrText>BR</w:instrText>
      </w:r>
      <w:r w:rsidR="006A2B13" w:rsidRPr="006A2B13">
        <w:instrText xml:space="preserve"> </w:instrText>
      </w:r>
      <w:r w:rsidR="006A2B13">
        <w:rPr>
          <w:lang w:val="en-US"/>
        </w:rPr>
        <w:instrText>had</w:instrText>
      </w:r>
      <w:r w:rsidR="006A2B13" w:rsidRPr="006A2B13">
        <w:instrText xml:space="preserve"> </w:instrText>
      </w:r>
      <w:r w:rsidR="006A2B13">
        <w:rPr>
          <w:lang w:val="en-US"/>
        </w:rPr>
        <w:instrText>a</w:instrText>
      </w:r>
      <w:r w:rsidR="006A2B13" w:rsidRPr="006A2B13">
        <w:instrText xml:space="preserve"> </w:instrText>
      </w:r>
      <w:r w:rsidR="006A2B13">
        <w:rPr>
          <w:lang w:val="en-US"/>
        </w:rPr>
        <w:instrText>tolerable</w:instrText>
      </w:r>
      <w:r w:rsidR="006A2B13" w:rsidRPr="006A2B13">
        <w:instrText xml:space="preserve"> </w:instrText>
      </w:r>
      <w:r w:rsidR="006A2B13">
        <w:rPr>
          <w:lang w:val="en-US"/>
        </w:rPr>
        <w:instrText>safety</w:instrText>
      </w:r>
      <w:r w:rsidR="006A2B13" w:rsidRPr="006A2B13">
        <w:instrText xml:space="preserve"> </w:instrText>
      </w:r>
      <w:r w:rsidR="006A2B13">
        <w:rPr>
          <w:lang w:val="en-US"/>
        </w:rPr>
        <w:instrText>profile</w:instrText>
      </w:r>
      <w:r w:rsidR="006A2B13" w:rsidRPr="006A2B13">
        <w:instrText xml:space="preserve">. </w:instrText>
      </w:r>
      <w:r w:rsidR="006A2B13">
        <w:rPr>
          <w:lang w:val="en-US"/>
        </w:rPr>
        <w:instrText>The</w:instrText>
      </w:r>
      <w:r w:rsidR="006A2B13" w:rsidRPr="006A2B13">
        <w:instrText xml:space="preserve"> </w:instrText>
      </w:r>
      <w:r w:rsidR="006A2B13">
        <w:rPr>
          <w:lang w:val="en-US"/>
        </w:rPr>
        <w:instrText>phase</w:instrText>
      </w:r>
      <w:r w:rsidR="006A2B13" w:rsidRPr="006A2B13">
        <w:instrText xml:space="preserve"> </w:instrText>
      </w:r>
      <w:r w:rsidR="006A2B13">
        <w:rPr>
          <w:lang w:val="en-US"/>
        </w:rPr>
        <w:instrText>Ib</w:instrText>
      </w:r>
      <w:r w:rsidR="006A2B13" w:rsidRPr="006A2B13">
        <w:instrText>/</w:instrText>
      </w:r>
      <w:r w:rsidR="006A2B13">
        <w:rPr>
          <w:lang w:val="en-US"/>
        </w:rPr>
        <w:instrText>II</w:instrText>
      </w:r>
      <w:r w:rsidR="006A2B13" w:rsidRPr="006A2B13">
        <w:instrText xml:space="preserve"> </w:instrText>
      </w:r>
      <w:r w:rsidR="006A2B13">
        <w:rPr>
          <w:lang w:val="en-US"/>
        </w:rPr>
        <w:instrText>pola</w:instrText>
      </w:r>
      <w:r w:rsidR="006A2B13" w:rsidRPr="006A2B13">
        <w:instrText>-</w:instrText>
      </w:r>
      <w:r w:rsidR="006A2B13">
        <w:rPr>
          <w:lang w:val="en-US"/>
        </w:rPr>
        <w:instrText>BG</w:instrText>
      </w:r>
      <w:r w:rsidR="006A2B13" w:rsidRPr="006A2B13">
        <w:instrText xml:space="preserve"> </w:instrText>
      </w:r>
      <w:r w:rsidR="006A2B13">
        <w:rPr>
          <w:lang w:val="en-US"/>
        </w:rPr>
        <w:instrText>cohort</w:instrText>
      </w:r>
      <w:r w:rsidR="006A2B13" w:rsidRPr="006A2B13">
        <w:instrText xml:space="preserve"> (</w:instrText>
      </w:r>
      <w:r w:rsidR="006A2B13">
        <w:rPr>
          <w:lang w:val="en-US"/>
        </w:rPr>
        <w:instrText>n</w:instrText>
      </w:r>
      <w:r w:rsidR="006A2B13" w:rsidRPr="006A2B13">
        <w:instrText xml:space="preserve"> = 27) </w:instrText>
      </w:r>
      <w:r w:rsidR="006A2B13">
        <w:rPr>
          <w:lang w:val="en-US"/>
        </w:rPr>
        <w:instrText>had</w:instrText>
      </w:r>
      <w:r w:rsidR="006A2B13" w:rsidRPr="006A2B13">
        <w:instrText xml:space="preserve"> </w:instrText>
      </w:r>
      <w:r w:rsidR="006A2B13">
        <w:rPr>
          <w:lang w:val="en-US"/>
        </w:rPr>
        <w:instrText>a</w:instrText>
      </w:r>
      <w:r w:rsidR="006A2B13" w:rsidRPr="006A2B13">
        <w:instrText xml:space="preserve"> </w:instrText>
      </w:r>
      <w:r w:rsidR="006A2B13">
        <w:rPr>
          <w:lang w:val="en-US"/>
        </w:rPr>
        <w:instrText>CR</w:instrText>
      </w:r>
      <w:r w:rsidR="006A2B13" w:rsidRPr="006A2B13">
        <w:instrText xml:space="preserve"> </w:instrText>
      </w:r>
      <w:r w:rsidR="006A2B13">
        <w:rPr>
          <w:lang w:val="en-US"/>
        </w:rPr>
        <w:instrText>rate</w:instrText>
      </w:r>
      <w:r w:rsidR="006A2B13" w:rsidRPr="006A2B13">
        <w:instrText xml:space="preserve"> </w:instrText>
      </w:r>
      <w:r w:rsidR="006A2B13">
        <w:rPr>
          <w:lang w:val="en-US"/>
        </w:rPr>
        <w:instrText>of</w:instrText>
      </w:r>
      <w:r w:rsidR="006A2B13" w:rsidRPr="006A2B13">
        <w:instrText xml:space="preserve"> 29.6% </w:instrText>
      </w:r>
      <w:r w:rsidR="006A2B13">
        <w:rPr>
          <w:lang w:val="en-US"/>
        </w:rPr>
        <w:instrText>and</w:instrText>
      </w:r>
      <w:r w:rsidR="006A2B13" w:rsidRPr="006A2B13">
        <w:instrText xml:space="preserve"> </w:instrText>
      </w:r>
      <w:r w:rsidR="006A2B13">
        <w:rPr>
          <w:lang w:val="en-US"/>
        </w:rPr>
        <w:instrText>a</w:instrText>
      </w:r>
      <w:r w:rsidR="006A2B13" w:rsidRPr="006A2B13">
        <w:instrText xml:space="preserve"> </w:instrText>
      </w:r>
      <w:r w:rsidR="006A2B13">
        <w:rPr>
          <w:lang w:val="en-US"/>
        </w:rPr>
        <w:instrText>median</w:instrText>
      </w:r>
      <w:r w:rsidR="006A2B13" w:rsidRPr="006A2B13">
        <w:instrText xml:space="preserve"> </w:instrText>
      </w:r>
      <w:r w:rsidR="006A2B13">
        <w:rPr>
          <w:lang w:val="en-US"/>
        </w:rPr>
        <w:instrText>OS</w:instrText>
      </w:r>
      <w:r w:rsidR="006A2B13" w:rsidRPr="006A2B13">
        <w:instrText xml:space="preserve"> </w:instrText>
      </w:r>
      <w:r w:rsidR="006A2B13">
        <w:rPr>
          <w:lang w:val="en-US"/>
        </w:rPr>
        <w:instrText>of</w:instrText>
      </w:r>
      <w:r w:rsidR="006A2B13" w:rsidRPr="006A2B13">
        <w:instrText xml:space="preserve"> 10.8 </w:instrText>
      </w:r>
      <w:r w:rsidR="006A2B13">
        <w:rPr>
          <w:lang w:val="en-US"/>
        </w:rPr>
        <w:instrText>months</w:instrText>
      </w:r>
      <w:r w:rsidR="006A2B13" w:rsidRPr="006A2B13">
        <w:instrText xml:space="preserve"> (</w:instrText>
      </w:r>
      <w:r w:rsidR="006A2B13">
        <w:rPr>
          <w:lang w:val="en-US"/>
        </w:rPr>
        <w:instrText>median</w:instrText>
      </w:r>
      <w:r w:rsidR="006A2B13" w:rsidRPr="006A2B13">
        <w:instrText xml:space="preserve"> </w:instrText>
      </w:r>
      <w:r w:rsidR="006A2B13">
        <w:rPr>
          <w:lang w:val="en-US"/>
        </w:rPr>
        <w:instrText>follow</w:instrText>
      </w:r>
      <w:r w:rsidR="006A2B13" w:rsidRPr="006A2B13">
        <w:instrText>-</w:instrText>
      </w:r>
      <w:r w:rsidR="006A2B13">
        <w:rPr>
          <w:lang w:val="en-US"/>
        </w:rPr>
        <w:instrText>up</w:instrText>
      </w:r>
      <w:r w:rsidR="006A2B13" w:rsidRPr="006A2B13">
        <w:instrText xml:space="preserve">, 27.0 </w:instrText>
      </w:r>
      <w:r w:rsidR="006A2B13">
        <w:rPr>
          <w:lang w:val="en-US"/>
        </w:rPr>
        <w:instrText>months</w:instrText>
      </w:r>
      <w:r w:rsidR="006A2B13" w:rsidRPr="006A2B13">
        <w:instrText xml:space="preserve">). </w:instrText>
      </w:r>
      <w:r w:rsidR="006A2B13">
        <w:rPr>
          <w:lang w:val="en-US"/>
        </w:rPr>
        <w:instrText>In</w:instrText>
      </w:r>
      <w:r w:rsidR="006A2B13" w:rsidRPr="006A2B13">
        <w:instrText xml:space="preserve"> </w:instrText>
      </w:r>
      <w:r w:rsidR="006A2B13">
        <w:rPr>
          <w:lang w:val="en-US"/>
        </w:rPr>
        <w:instrText>the</w:instrText>
      </w:r>
      <w:r w:rsidR="006A2B13" w:rsidRPr="006A2B13">
        <w:instrText xml:space="preserve"> </w:instrText>
      </w:r>
      <w:r w:rsidR="006A2B13">
        <w:rPr>
          <w:lang w:val="en-US"/>
        </w:rPr>
        <w:instrText>randomly</w:instrText>
      </w:r>
      <w:r w:rsidR="006A2B13" w:rsidRPr="006A2B13">
        <w:instrText xml:space="preserve"> </w:instrText>
      </w:r>
      <w:r w:rsidR="006A2B13">
        <w:rPr>
          <w:lang w:val="en-US"/>
        </w:rPr>
        <w:instrText>assigned</w:instrText>
      </w:r>
      <w:r w:rsidR="006A2B13" w:rsidRPr="006A2B13">
        <w:instrText xml:space="preserve"> </w:instrText>
      </w:r>
      <w:r w:rsidR="006A2B13">
        <w:rPr>
          <w:lang w:val="en-US"/>
        </w:rPr>
        <w:instrText>cohort</w:instrText>
      </w:r>
      <w:r w:rsidR="006A2B13" w:rsidRPr="006A2B13">
        <w:instrText xml:space="preserve"> (</w:instrText>
      </w:r>
      <w:r w:rsidR="006A2B13">
        <w:rPr>
          <w:lang w:val="en-US"/>
        </w:rPr>
        <w:instrText>n</w:instrText>
      </w:r>
      <w:r w:rsidR="006A2B13" w:rsidRPr="006A2B13">
        <w:instrText xml:space="preserve"> = 80; 40 </w:instrText>
      </w:r>
      <w:r w:rsidR="006A2B13">
        <w:rPr>
          <w:lang w:val="en-US"/>
        </w:rPr>
        <w:instrText>per</w:instrText>
      </w:r>
      <w:r w:rsidR="006A2B13" w:rsidRPr="006A2B13">
        <w:instrText xml:space="preserve"> </w:instrText>
      </w:r>
      <w:r w:rsidR="006A2B13">
        <w:rPr>
          <w:lang w:val="en-US"/>
        </w:rPr>
        <w:instrText>arm</w:instrText>
      </w:r>
      <w:r w:rsidR="006A2B13" w:rsidRPr="006A2B13">
        <w:instrText xml:space="preserve">), </w:instrText>
      </w:r>
      <w:r w:rsidR="006A2B13">
        <w:rPr>
          <w:lang w:val="en-US"/>
        </w:rPr>
        <w:instrText>pola</w:instrText>
      </w:r>
      <w:r w:rsidR="006A2B13" w:rsidRPr="006A2B13">
        <w:instrText>-</w:instrText>
      </w:r>
      <w:r w:rsidR="006A2B13">
        <w:rPr>
          <w:lang w:val="en-US"/>
        </w:rPr>
        <w:instrText>BR</w:instrText>
      </w:r>
      <w:r w:rsidR="006A2B13" w:rsidRPr="006A2B13">
        <w:instrText xml:space="preserve"> </w:instrText>
      </w:r>
      <w:r w:rsidR="006A2B13">
        <w:rPr>
          <w:lang w:val="en-US"/>
        </w:rPr>
        <w:instrText>patients</w:instrText>
      </w:r>
      <w:r w:rsidR="006A2B13" w:rsidRPr="006A2B13">
        <w:instrText xml:space="preserve"> </w:instrText>
      </w:r>
      <w:r w:rsidR="006A2B13">
        <w:rPr>
          <w:lang w:val="en-US"/>
        </w:rPr>
        <w:instrText>had</w:instrText>
      </w:r>
      <w:r w:rsidR="006A2B13" w:rsidRPr="006A2B13">
        <w:instrText xml:space="preserve"> </w:instrText>
      </w:r>
      <w:r w:rsidR="006A2B13">
        <w:rPr>
          <w:lang w:val="en-US"/>
        </w:rPr>
        <w:instrText>a</w:instrText>
      </w:r>
      <w:r w:rsidR="006A2B13" w:rsidRPr="006A2B13">
        <w:instrText xml:space="preserve"> </w:instrText>
      </w:r>
      <w:r w:rsidR="006A2B13">
        <w:rPr>
          <w:lang w:val="en-US"/>
        </w:rPr>
        <w:instrText>significantly</w:instrText>
      </w:r>
      <w:r w:rsidR="006A2B13" w:rsidRPr="006A2B13">
        <w:instrText xml:space="preserve"> </w:instrText>
      </w:r>
      <w:r w:rsidR="006A2B13">
        <w:rPr>
          <w:lang w:val="en-US"/>
        </w:rPr>
        <w:instrText>higher</w:instrText>
      </w:r>
      <w:r w:rsidR="006A2B13" w:rsidRPr="006A2B13">
        <w:instrText xml:space="preserve"> </w:instrText>
      </w:r>
      <w:r w:rsidR="006A2B13">
        <w:rPr>
          <w:lang w:val="en-US"/>
        </w:rPr>
        <w:instrText>IRC</w:instrText>
      </w:r>
      <w:r w:rsidR="006A2B13" w:rsidRPr="006A2B13">
        <w:instrText>-</w:instrText>
      </w:r>
      <w:r w:rsidR="006A2B13">
        <w:rPr>
          <w:lang w:val="en-US"/>
        </w:rPr>
        <w:instrText>assessed</w:instrText>
      </w:r>
      <w:r w:rsidR="006A2B13" w:rsidRPr="006A2B13">
        <w:instrText xml:space="preserve"> </w:instrText>
      </w:r>
      <w:r w:rsidR="006A2B13">
        <w:rPr>
          <w:lang w:val="en-US"/>
        </w:rPr>
        <w:instrText>CR</w:instrText>
      </w:r>
      <w:r w:rsidR="006A2B13" w:rsidRPr="006A2B13">
        <w:instrText xml:space="preserve"> </w:instrText>
      </w:r>
      <w:r w:rsidR="006A2B13">
        <w:rPr>
          <w:lang w:val="en-US"/>
        </w:rPr>
        <w:instrText>rate</w:instrText>
      </w:r>
      <w:r w:rsidR="006A2B13" w:rsidRPr="006A2B13">
        <w:instrText xml:space="preserve"> (40.0% </w:instrText>
      </w:r>
      <w:r w:rsidR="006A2B13">
        <w:rPr>
          <w:lang w:val="en-US"/>
        </w:rPr>
        <w:instrText>v</w:instrText>
      </w:r>
      <w:r w:rsidR="006A2B13" w:rsidRPr="006A2B13">
        <w:instrText xml:space="preserve"> 17.5%; </w:instrText>
      </w:r>
      <w:r w:rsidR="006A2B13">
        <w:rPr>
          <w:lang w:val="en-US"/>
        </w:rPr>
        <w:instrText>P</w:instrText>
      </w:r>
      <w:r w:rsidR="006A2B13" w:rsidRPr="006A2B13">
        <w:instrText xml:space="preserve"> = .026) </w:instrText>
      </w:r>
      <w:r w:rsidR="006A2B13">
        <w:rPr>
          <w:lang w:val="en-US"/>
        </w:rPr>
        <w:instrText>and</w:instrText>
      </w:r>
      <w:r w:rsidR="006A2B13" w:rsidRPr="006A2B13">
        <w:instrText xml:space="preserve"> </w:instrText>
      </w:r>
      <w:r w:rsidR="006A2B13">
        <w:rPr>
          <w:lang w:val="en-US"/>
        </w:rPr>
        <w:instrText>longer</w:instrText>
      </w:r>
      <w:r w:rsidR="006A2B13" w:rsidRPr="006A2B13">
        <w:instrText xml:space="preserve"> </w:instrText>
      </w:r>
      <w:r w:rsidR="006A2B13">
        <w:rPr>
          <w:lang w:val="en-US"/>
        </w:rPr>
        <w:instrText>IRC</w:instrText>
      </w:r>
      <w:r w:rsidR="006A2B13" w:rsidRPr="006A2B13">
        <w:instrText>-</w:instrText>
      </w:r>
      <w:r w:rsidR="006A2B13">
        <w:rPr>
          <w:lang w:val="en-US"/>
        </w:rPr>
        <w:instrText>assessed</w:instrText>
      </w:r>
      <w:r w:rsidR="006A2B13" w:rsidRPr="006A2B13">
        <w:instrText xml:space="preserve"> </w:instrText>
      </w:r>
      <w:r w:rsidR="006A2B13">
        <w:rPr>
          <w:lang w:val="en-US"/>
        </w:rPr>
        <w:instrText>PFS</w:instrText>
      </w:r>
      <w:r w:rsidR="006A2B13" w:rsidRPr="006A2B13">
        <w:instrText xml:space="preserve"> (</w:instrText>
      </w:r>
      <w:r w:rsidR="006A2B13">
        <w:rPr>
          <w:lang w:val="en-US"/>
        </w:rPr>
        <w:instrText>median</w:instrText>
      </w:r>
      <w:r w:rsidR="006A2B13" w:rsidRPr="006A2B13">
        <w:instrText xml:space="preserve">, 9.5 </w:instrText>
      </w:r>
      <w:r w:rsidR="006A2B13">
        <w:rPr>
          <w:lang w:val="en-US"/>
        </w:rPr>
        <w:instrText>v</w:instrText>
      </w:r>
      <w:r w:rsidR="006A2B13" w:rsidRPr="006A2B13">
        <w:instrText xml:space="preserve"> 3.7 </w:instrText>
      </w:r>
      <w:r w:rsidR="006A2B13">
        <w:rPr>
          <w:lang w:val="en-US"/>
        </w:rPr>
        <w:instrText>months</w:instrText>
      </w:r>
      <w:r w:rsidR="006A2B13" w:rsidRPr="006A2B13">
        <w:instrText xml:space="preserve">; </w:instrText>
      </w:r>
      <w:r w:rsidR="006A2B13">
        <w:rPr>
          <w:lang w:val="en-US"/>
        </w:rPr>
        <w:instrText>hazard</w:instrText>
      </w:r>
      <w:r w:rsidR="006A2B13" w:rsidRPr="006A2B13">
        <w:instrText xml:space="preserve"> </w:instrText>
      </w:r>
      <w:r w:rsidR="006A2B13">
        <w:rPr>
          <w:lang w:val="en-US"/>
        </w:rPr>
        <w:instrText>ratio</w:instrText>
      </w:r>
      <w:r w:rsidR="006A2B13" w:rsidRPr="006A2B13">
        <w:instrText xml:space="preserve"> [</w:instrText>
      </w:r>
      <w:r w:rsidR="006A2B13">
        <w:rPr>
          <w:lang w:val="en-US"/>
        </w:rPr>
        <w:instrText>HR</w:instrText>
      </w:r>
      <w:r w:rsidR="006A2B13" w:rsidRPr="006A2B13">
        <w:instrText>], 0.36,</w:instrText>
      </w:r>
      <w:r w:rsidR="006A2B13" w:rsidRPr="00AA43FB">
        <w:instrText xml:space="preserve"> 95% </w:instrText>
      </w:r>
      <w:r w:rsidR="006A2B13">
        <w:rPr>
          <w:lang w:val="en-US"/>
        </w:rPr>
        <w:instrText>CI</w:instrText>
      </w:r>
      <w:r w:rsidR="006A2B13" w:rsidRPr="00AA43FB">
        <w:instrText xml:space="preserve">, 0.21 </w:instrText>
      </w:r>
      <w:r w:rsidR="006A2B13">
        <w:rPr>
          <w:lang w:val="en-US"/>
        </w:rPr>
        <w:instrText>to</w:instrText>
      </w:r>
      <w:r w:rsidR="006A2B13" w:rsidRPr="00AA43FB">
        <w:instrText xml:space="preserve"> 0.63; </w:instrText>
      </w:r>
      <w:r w:rsidR="006A2B13">
        <w:rPr>
          <w:lang w:val="en-US"/>
        </w:rPr>
        <w:instrText>P</w:instrText>
      </w:r>
      <w:r w:rsidR="006A2B13" w:rsidRPr="00AA43FB">
        <w:instrText xml:space="preserve">, .001) </w:instrText>
      </w:r>
      <w:r w:rsidR="006A2B13">
        <w:rPr>
          <w:lang w:val="en-US"/>
        </w:rPr>
        <w:instrText>and</w:instrText>
      </w:r>
      <w:r w:rsidR="006A2B13" w:rsidRPr="00AA43FB">
        <w:instrText xml:space="preserve"> </w:instrText>
      </w:r>
      <w:r w:rsidR="006A2B13">
        <w:rPr>
          <w:lang w:val="en-US"/>
        </w:rPr>
        <w:instrText>OS</w:instrText>
      </w:r>
      <w:r w:rsidR="006A2B13" w:rsidRPr="00AA43FB">
        <w:instrText xml:space="preserve"> (</w:instrText>
      </w:r>
      <w:r w:rsidR="006A2B13">
        <w:rPr>
          <w:lang w:val="en-US"/>
        </w:rPr>
        <w:instrText>median</w:instrText>
      </w:r>
      <w:r w:rsidR="006A2B13" w:rsidRPr="00AA43FB">
        <w:instrText xml:space="preserve">, 12.4 </w:instrText>
      </w:r>
      <w:r w:rsidR="006A2B13">
        <w:rPr>
          <w:lang w:val="en-US"/>
        </w:rPr>
        <w:instrText>v</w:instrText>
      </w:r>
      <w:r w:rsidR="006A2B13" w:rsidRPr="00AA43FB">
        <w:instrText xml:space="preserve"> 4.7 </w:instrText>
      </w:r>
      <w:r w:rsidR="006A2B13">
        <w:rPr>
          <w:lang w:val="en-US"/>
        </w:rPr>
        <w:instrText>months</w:instrText>
      </w:r>
      <w:r w:rsidR="006A2B13" w:rsidRPr="00AA43FB">
        <w:instrText xml:space="preserve">; </w:instrText>
      </w:r>
      <w:r w:rsidR="006A2B13">
        <w:rPr>
          <w:lang w:val="en-US"/>
        </w:rPr>
        <w:instrText>HR</w:instrText>
      </w:r>
      <w:r w:rsidR="006A2B13" w:rsidRPr="00AA43FB">
        <w:instrText xml:space="preserve">, 0.42; 95% </w:instrText>
      </w:r>
      <w:r w:rsidR="006A2B13">
        <w:rPr>
          <w:lang w:val="en-US"/>
        </w:rPr>
        <w:instrText>CI</w:instrText>
      </w:r>
      <w:r w:rsidR="006A2B13" w:rsidRPr="00AA43FB">
        <w:instrText xml:space="preserve">, 0.24 </w:instrText>
      </w:r>
      <w:r w:rsidR="006A2B13">
        <w:rPr>
          <w:lang w:val="en-US"/>
        </w:rPr>
        <w:instrText>to</w:instrText>
      </w:r>
      <w:r w:rsidR="006A2B13" w:rsidRPr="00AA43FB">
        <w:instrText xml:space="preserve"> 0.75; </w:instrText>
      </w:r>
      <w:r w:rsidR="006A2B13">
        <w:rPr>
          <w:lang w:val="en-US"/>
        </w:rPr>
        <w:instrText>P</w:instrText>
      </w:r>
      <w:r w:rsidR="006A2B13" w:rsidRPr="00AA43FB">
        <w:instrText xml:space="preserve"> = .002; </w:instrText>
      </w:r>
      <w:r w:rsidR="006A2B13">
        <w:rPr>
          <w:lang w:val="en-US"/>
        </w:rPr>
        <w:instrText>median</w:instrText>
      </w:r>
      <w:r w:rsidR="006A2B13" w:rsidRPr="00AA43FB">
        <w:instrText xml:space="preserve"> </w:instrText>
      </w:r>
      <w:r w:rsidR="006A2B13">
        <w:rPr>
          <w:lang w:val="en-US"/>
        </w:rPr>
        <w:instrText>followup</w:instrText>
      </w:r>
      <w:r w:rsidR="006A2B13" w:rsidRPr="00AA43FB">
        <w:instrText xml:space="preserve">, 22.3 </w:instrText>
      </w:r>
      <w:r w:rsidR="006A2B13">
        <w:rPr>
          <w:lang w:val="en-US"/>
        </w:rPr>
        <w:instrText>months</w:instrText>
      </w:r>
      <w:r w:rsidR="006A2B13" w:rsidRPr="00AA43FB">
        <w:instrText xml:space="preserve">). </w:instrText>
      </w:r>
      <w:r w:rsidR="006A2B13">
        <w:rPr>
          <w:lang w:val="en-US"/>
        </w:rPr>
        <w:instrText>Pola</w:instrText>
      </w:r>
      <w:r w:rsidR="006A2B13" w:rsidRPr="00AA43FB">
        <w:instrText>-</w:instrText>
      </w:r>
      <w:r w:rsidR="006A2B13">
        <w:rPr>
          <w:lang w:val="en-US"/>
        </w:rPr>
        <w:instrText>BR</w:instrText>
      </w:r>
      <w:r w:rsidR="006A2B13" w:rsidRPr="00AA43FB">
        <w:instrText xml:space="preserve"> </w:instrText>
      </w:r>
      <w:r w:rsidR="006A2B13">
        <w:rPr>
          <w:lang w:val="en-US"/>
        </w:rPr>
        <w:instrText>patients</w:instrText>
      </w:r>
      <w:r w:rsidR="006A2B13" w:rsidRPr="00AA43FB">
        <w:instrText xml:space="preserve"> </w:instrText>
      </w:r>
      <w:r w:rsidR="006A2B13">
        <w:rPr>
          <w:lang w:val="en-US"/>
        </w:rPr>
        <w:instrText>had</w:instrText>
      </w:r>
      <w:r w:rsidR="006A2B13" w:rsidRPr="00AA43FB">
        <w:instrText xml:space="preserve"> </w:instrText>
      </w:r>
      <w:r w:rsidR="006A2B13">
        <w:rPr>
          <w:lang w:val="en-US"/>
        </w:rPr>
        <w:instrText>higher</w:instrText>
      </w:r>
      <w:r w:rsidR="006A2B13" w:rsidRPr="00AA43FB">
        <w:instrText xml:space="preserve"> </w:instrText>
      </w:r>
      <w:r w:rsidR="006A2B13">
        <w:rPr>
          <w:lang w:val="en-US"/>
        </w:rPr>
        <w:instrText>rates</w:instrText>
      </w:r>
      <w:r w:rsidR="006A2B13" w:rsidRPr="00AA43FB">
        <w:instrText xml:space="preserve"> </w:instrText>
      </w:r>
      <w:r w:rsidR="006A2B13">
        <w:rPr>
          <w:lang w:val="en-US"/>
        </w:rPr>
        <w:instrText>of</w:instrText>
      </w:r>
      <w:r w:rsidR="006A2B13" w:rsidRPr="00AA43FB">
        <w:instrText xml:space="preserve"> </w:instrText>
      </w:r>
      <w:r w:rsidR="006A2B13">
        <w:rPr>
          <w:lang w:val="en-US"/>
        </w:rPr>
        <w:instrText>grade</w:instrText>
      </w:r>
      <w:r w:rsidR="006A2B13" w:rsidRPr="00AA43FB">
        <w:instrText xml:space="preserve"> 3-4 </w:instrText>
      </w:r>
      <w:r w:rsidR="006A2B13">
        <w:rPr>
          <w:lang w:val="en-US"/>
        </w:rPr>
        <w:instrText>neutropenia</w:instrText>
      </w:r>
      <w:r w:rsidR="006A2B13" w:rsidRPr="00AA43FB">
        <w:instrText xml:space="preserve"> (46.2% </w:instrText>
      </w:r>
      <w:r w:rsidR="006A2B13">
        <w:rPr>
          <w:lang w:val="en-US"/>
        </w:rPr>
        <w:instrText>v</w:instrText>
      </w:r>
      <w:r w:rsidR="006A2B13" w:rsidRPr="00AA43FB">
        <w:instrText xml:space="preserve"> 33.3%), </w:instrText>
      </w:r>
      <w:r w:rsidR="006A2B13">
        <w:rPr>
          <w:lang w:val="en-US"/>
        </w:rPr>
        <w:instrText>anemia</w:instrText>
      </w:r>
      <w:r w:rsidR="006A2B13" w:rsidRPr="00AA43FB">
        <w:instrText xml:space="preserve"> (28.2% </w:instrText>
      </w:r>
      <w:r w:rsidR="006A2B13">
        <w:rPr>
          <w:lang w:val="en-US"/>
        </w:rPr>
        <w:instrText>v</w:instrText>
      </w:r>
      <w:r w:rsidR="006A2B13" w:rsidRPr="00AA43FB">
        <w:instrText xml:space="preserve"> 17.9%), </w:instrText>
      </w:r>
      <w:r w:rsidR="006A2B13">
        <w:rPr>
          <w:lang w:val="en-US"/>
        </w:rPr>
        <w:instrText>and</w:instrText>
      </w:r>
      <w:r w:rsidR="006A2B13" w:rsidRPr="00AA43FB">
        <w:instrText xml:space="preserve"> </w:instrText>
      </w:r>
      <w:r w:rsidR="006A2B13">
        <w:rPr>
          <w:lang w:val="en-US"/>
        </w:rPr>
        <w:instrText>thrombocytopenia</w:instrText>
      </w:r>
      <w:r w:rsidR="006A2B13" w:rsidRPr="00AA43FB">
        <w:instrText xml:space="preserve"> (41% </w:instrText>
      </w:r>
      <w:r w:rsidR="006A2B13">
        <w:rPr>
          <w:lang w:val="en-US"/>
        </w:rPr>
        <w:instrText>v</w:instrText>
      </w:r>
      <w:r w:rsidR="006A2B13" w:rsidRPr="00AA43FB">
        <w:instrText xml:space="preserve"> 23.1%), </w:instrText>
      </w:r>
      <w:r w:rsidR="006A2B13">
        <w:rPr>
          <w:lang w:val="en-US"/>
        </w:rPr>
        <w:instrText>but</w:instrText>
      </w:r>
      <w:r w:rsidR="006A2B13" w:rsidRPr="00AA43FB">
        <w:instrText xml:space="preserve"> </w:instrText>
      </w:r>
      <w:r w:rsidR="006A2B13">
        <w:rPr>
          <w:lang w:val="en-US"/>
        </w:rPr>
        <w:instrText>similar</w:instrText>
      </w:r>
      <w:r w:rsidR="006A2B13" w:rsidRPr="00AA43FB">
        <w:instrText xml:space="preserve"> </w:instrText>
      </w:r>
      <w:r w:rsidR="006A2B13">
        <w:rPr>
          <w:lang w:val="en-US"/>
        </w:rPr>
        <w:instrText>grade</w:instrText>
      </w:r>
      <w:r w:rsidR="006A2B13" w:rsidRPr="00AA43FB">
        <w:instrText xml:space="preserve"> 3-4 </w:instrText>
      </w:r>
      <w:r w:rsidR="006A2B13">
        <w:rPr>
          <w:lang w:val="en-US"/>
        </w:rPr>
        <w:instrText>infections</w:instrText>
      </w:r>
      <w:r w:rsidR="006A2B13" w:rsidRPr="00AA43FB">
        <w:instrText xml:space="preserve"> (23.1% </w:instrText>
      </w:r>
      <w:r w:rsidR="006A2B13">
        <w:rPr>
          <w:lang w:val="en-US"/>
        </w:rPr>
        <w:instrText>v</w:instrText>
      </w:r>
      <w:r w:rsidR="006A2B13" w:rsidRPr="00AA43FB">
        <w:instrText xml:space="preserve"> 20.5%), </w:instrText>
      </w:r>
      <w:r w:rsidR="006A2B13">
        <w:rPr>
          <w:lang w:val="en-US"/>
        </w:rPr>
        <w:instrText>versus</w:instrText>
      </w:r>
      <w:r w:rsidR="006A2B13" w:rsidRPr="00AA43FB">
        <w:instrText xml:space="preserve"> </w:instrText>
      </w:r>
      <w:r w:rsidR="006A2B13">
        <w:rPr>
          <w:lang w:val="en-US"/>
        </w:rPr>
        <w:instrText>the</w:instrText>
      </w:r>
      <w:r w:rsidR="006A2B13" w:rsidRPr="00AA43FB">
        <w:instrText xml:space="preserve"> </w:instrText>
      </w:r>
      <w:r w:rsidR="006A2B13">
        <w:rPr>
          <w:lang w:val="en-US"/>
        </w:rPr>
        <w:instrText>BR</w:instrText>
      </w:r>
      <w:r w:rsidR="006A2B13" w:rsidRPr="00AA43FB">
        <w:instrText xml:space="preserve"> </w:instrText>
      </w:r>
      <w:r w:rsidR="006A2B13">
        <w:rPr>
          <w:lang w:val="en-US"/>
        </w:rPr>
        <w:instrText>group</w:instrText>
      </w:r>
      <w:r w:rsidR="006A2B13" w:rsidRPr="00AA43FB">
        <w:instrText xml:space="preserve">. </w:instrText>
      </w:r>
      <w:r w:rsidR="006A2B13">
        <w:rPr>
          <w:lang w:val="en-US"/>
        </w:rPr>
        <w:instrText>Peripheral</w:instrText>
      </w:r>
      <w:r w:rsidR="006A2B13" w:rsidRPr="00AA43FB">
        <w:instrText xml:space="preserve"> </w:instrText>
      </w:r>
      <w:r w:rsidR="006A2B13">
        <w:rPr>
          <w:lang w:val="en-US"/>
        </w:rPr>
        <w:instrText>neuropathy</w:instrText>
      </w:r>
      <w:r w:rsidR="006A2B13" w:rsidRPr="00AA43FB">
        <w:instrText xml:space="preserve"> </w:instrText>
      </w:r>
      <w:r w:rsidR="006A2B13">
        <w:rPr>
          <w:lang w:val="en-US"/>
        </w:rPr>
        <w:instrText>associated</w:instrText>
      </w:r>
      <w:r w:rsidR="006A2B13" w:rsidRPr="00AA43FB">
        <w:instrText xml:space="preserve"> </w:instrText>
      </w:r>
      <w:r w:rsidR="006A2B13">
        <w:rPr>
          <w:lang w:val="en-US"/>
        </w:rPr>
        <w:instrText>with</w:instrText>
      </w:r>
      <w:r w:rsidR="006A2B13" w:rsidRPr="00AA43FB">
        <w:instrText xml:space="preserve"> </w:instrText>
      </w:r>
      <w:r w:rsidR="006A2B13">
        <w:rPr>
          <w:lang w:val="en-US"/>
        </w:rPr>
        <w:instrText>polatuzumab</w:instrText>
      </w:r>
      <w:r w:rsidR="006A2B13" w:rsidRPr="00AA43FB">
        <w:instrText xml:space="preserve"> </w:instrText>
      </w:r>
      <w:r w:rsidR="006A2B13">
        <w:rPr>
          <w:lang w:val="en-US"/>
        </w:rPr>
        <w:instrText>vedotin</w:instrText>
      </w:r>
      <w:r w:rsidR="006A2B13" w:rsidRPr="00AA43FB">
        <w:instrText xml:space="preserve"> (43.6% </w:instrText>
      </w:r>
      <w:r w:rsidR="006A2B13">
        <w:rPr>
          <w:lang w:val="en-US"/>
        </w:rPr>
        <w:instrText>of</w:instrText>
      </w:r>
      <w:r w:rsidR="006A2B13" w:rsidRPr="00AA43FB">
        <w:instrText xml:space="preserve"> </w:instrText>
      </w:r>
      <w:r w:rsidR="006A2B13">
        <w:rPr>
          <w:lang w:val="en-US"/>
        </w:rPr>
        <w:instrText>patients</w:instrText>
      </w:r>
      <w:r w:rsidR="006A2B13" w:rsidRPr="00AA43FB">
        <w:instrText xml:space="preserve">) </w:instrText>
      </w:r>
      <w:r w:rsidR="006A2B13">
        <w:rPr>
          <w:lang w:val="en-US"/>
        </w:rPr>
        <w:instrText>was</w:instrText>
      </w:r>
      <w:r w:rsidR="006A2B13" w:rsidRPr="00AA43FB">
        <w:instrText xml:space="preserve"> </w:instrText>
      </w:r>
      <w:r w:rsidR="006A2B13">
        <w:rPr>
          <w:lang w:val="en-US"/>
        </w:rPr>
        <w:instrText>grade</w:instrText>
      </w:r>
      <w:r w:rsidR="006A2B13" w:rsidRPr="00AA43FB">
        <w:instrText xml:space="preserve"> 1-2 </w:instrText>
      </w:r>
      <w:r w:rsidR="006A2B13">
        <w:rPr>
          <w:lang w:val="en-US"/>
        </w:rPr>
        <w:instrText>and</w:instrText>
      </w:r>
      <w:r w:rsidR="006A2B13" w:rsidRPr="00AA43FB">
        <w:instrText xml:space="preserve"> </w:instrText>
      </w:r>
      <w:r w:rsidR="006A2B13">
        <w:rPr>
          <w:lang w:val="en-US"/>
        </w:rPr>
        <w:instrText>resolved</w:instrText>
      </w:r>
      <w:r w:rsidR="006A2B13" w:rsidRPr="00AA43FB">
        <w:instrText xml:space="preserve"> </w:instrText>
      </w:r>
      <w:r w:rsidR="006A2B13">
        <w:rPr>
          <w:lang w:val="en-US"/>
        </w:rPr>
        <w:instrText>in</w:instrText>
      </w:r>
      <w:r w:rsidR="006A2B13" w:rsidRPr="00AA43FB">
        <w:instrText xml:space="preserve"> </w:instrText>
      </w:r>
      <w:r w:rsidR="006A2B13">
        <w:rPr>
          <w:lang w:val="en-US"/>
        </w:rPr>
        <w:instrText>most</w:instrText>
      </w:r>
      <w:r w:rsidR="006A2B13" w:rsidRPr="00AA43FB">
        <w:instrText xml:space="preserve"> </w:instrText>
      </w:r>
      <w:r w:rsidR="006A2B13">
        <w:rPr>
          <w:lang w:val="en-US"/>
        </w:rPr>
        <w:instrText>patients</w:instrText>
      </w:r>
      <w:r w:rsidR="006A2B13" w:rsidRPr="00AA43FB">
        <w:instrText xml:space="preserve">. </w:instrText>
      </w:r>
      <w:r w:rsidR="006A2B13">
        <w:rPr>
          <w:lang w:val="en-US"/>
        </w:rPr>
        <w:instrText>CONCLUSION</w:instrText>
      </w:r>
      <w:r w:rsidR="006A2B13" w:rsidRPr="00AA43FB">
        <w:instrText xml:space="preserve"> </w:instrText>
      </w:r>
      <w:r w:rsidR="006A2B13">
        <w:rPr>
          <w:lang w:val="en-US"/>
        </w:rPr>
        <w:instrText>Polatuzumab</w:instrText>
      </w:r>
      <w:r w:rsidR="006A2B13" w:rsidRPr="00AA43FB">
        <w:instrText xml:space="preserve"> </w:instrText>
      </w:r>
      <w:r w:rsidR="006A2B13">
        <w:rPr>
          <w:lang w:val="en-US"/>
        </w:rPr>
        <w:instrText>vedotin</w:instrText>
      </w:r>
      <w:r w:rsidR="006A2B13" w:rsidRPr="00AA43FB">
        <w:instrText xml:space="preserve"> </w:instrText>
      </w:r>
      <w:r w:rsidR="006A2B13">
        <w:rPr>
          <w:lang w:val="en-US"/>
        </w:rPr>
        <w:instrText>combined</w:instrText>
      </w:r>
      <w:r w:rsidR="006A2B13" w:rsidRPr="00AA43FB">
        <w:instrText xml:space="preserve"> </w:instrText>
      </w:r>
      <w:r w:rsidR="006A2B13">
        <w:rPr>
          <w:lang w:val="en-US"/>
        </w:rPr>
        <w:instrText>with</w:instrText>
      </w:r>
      <w:r w:rsidR="006A2B13" w:rsidRPr="00AA43FB">
        <w:instrText xml:space="preserve"> </w:instrText>
      </w:r>
      <w:r w:rsidR="006A2B13">
        <w:rPr>
          <w:lang w:val="en-US"/>
        </w:rPr>
        <w:instrText>BR</w:instrText>
      </w:r>
      <w:r w:rsidR="006A2B13" w:rsidRPr="00AA43FB">
        <w:instrText xml:space="preserve"> </w:instrText>
      </w:r>
      <w:r w:rsidR="006A2B13">
        <w:rPr>
          <w:lang w:val="en-US"/>
        </w:rPr>
        <w:instrText>resulted</w:instrText>
      </w:r>
      <w:r w:rsidR="006A2B13" w:rsidRPr="00AA43FB">
        <w:instrText xml:space="preserve"> </w:instrText>
      </w:r>
      <w:r w:rsidR="006A2B13">
        <w:rPr>
          <w:lang w:val="en-US"/>
        </w:rPr>
        <w:instrText>in</w:instrText>
      </w:r>
      <w:r w:rsidR="006A2B13" w:rsidRPr="00AA43FB">
        <w:instrText xml:space="preserve"> </w:instrText>
      </w:r>
      <w:r w:rsidR="006A2B13">
        <w:rPr>
          <w:lang w:val="en-US"/>
        </w:rPr>
        <w:instrText>a</w:instrText>
      </w:r>
      <w:r w:rsidR="006A2B13" w:rsidRPr="00AA43FB">
        <w:instrText xml:space="preserve"> </w:instrText>
      </w:r>
      <w:r w:rsidR="006A2B13">
        <w:rPr>
          <w:lang w:val="en-US"/>
        </w:rPr>
        <w:instrText>significantly</w:instrText>
      </w:r>
      <w:r w:rsidR="006A2B13" w:rsidRPr="00AA43FB">
        <w:instrText xml:space="preserve"> </w:instrText>
      </w:r>
      <w:r w:rsidR="006A2B13">
        <w:rPr>
          <w:lang w:val="en-US"/>
        </w:rPr>
        <w:instrText>higher</w:instrText>
      </w:r>
      <w:r w:rsidR="006A2B13" w:rsidRPr="00AA43FB">
        <w:instrText xml:space="preserve"> </w:instrText>
      </w:r>
      <w:r w:rsidR="006A2B13">
        <w:rPr>
          <w:lang w:val="en-US"/>
        </w:rPr>
        <w:instrText>CR</w:instrText>
      </w:r>
      <w:r w:rsidR="006A2B13" w:rsidRPr="00AA43FB">
        <w:instrText xml:space="preserve"> </w:instrText>
      </w:r>
      <w:r w:rsidR="006A2B13">
        <w:rPr>
          <w:lang w:val="en-US"/>
        </w:rPr>
        <w:instrText>rate</w:instrText>
      </w:r>
      <w:r w:rsidR="006A2B13" w:rsidRPr="00AA43FB">
        <w:instrText xml:space="preserve"> </w:instrText>
      </w:r>
      <w:r w:rsidR="006A2B13">
        <w:rPr>
          <w:lang w:val="en-US"/>
        </w:rPr>
        <w:instrText>and</w:instrText>
      </w:r>
      <w:r w:rsidR="006A2B13" w:rsidRPr="00AA43FB">
        <w:instrText xml:space="preserve"> </w:instrText>
      </w:r>
      <w:r w:rsidR="006A2B13">
        <w:rPr>
          <w:lang w:val="en-US"/>
        </w:rPr>
        <w:instrText>reduced</w:instrText>
      </w:r>
      <w:r w:rsidR="006A2B13" w:rsidRPr="00AA43FB">
        <w:instrText xml:space="preserve"> </w:instrText>
      </w:r>
      <w:r w:rsidR="006A2B13">
        <w:rPr>
          <w:lang w:val="en-US"/>
        </w:rPr>
        <w:instrText>the</w:instrText>
      </w:r>
      <w:r w:rsidR="006A2B13" w:rsidRPr="00AA43FB">
        <w:instrText xml:space="preserve"> </w:instrText>
      </w:r>
      <w:r w:rsidR="006A2B13">
        <w:rPr>
          <w:lang w:val="en-US"/>
        </w:rPr>
        <w:instrText>risk</w:instrText>
      </w:r>
      <w:r w:rsidR="006A2B13" w:rsidRPr="00AA43FB">
        <w:instrText xml:space="preserve"> </w:instrText>
      </w:r>
      <w:r w:rsidR="006A2B13">
        <w:rPr>
          <w:lang w:val="en-US"/>
        </w:rPr>
        <w:instrText>of</w:instrText>
      </w:r>
      <w:r w:rsidR="006A2B13" w:rsidRPr="00AA43FB">
        <w:instrText xml:space="preserve"> </w:instrText>
      </w:r>
      <w:r w:rsidR="006A2B13">
        <w:rPr>
          <w:lang w:val="en-US"/>
        </w:rPr>
        <w:instrText>death</w:instrText>
      </w:r>
      <w:r w:rsidR="006A2B13" w:rsidRPr="00AA43FB">
        <w:instrText xml:space="preserve"> </w:instrText>
      </w:r>
      <w:r w:rsidR="006A2B13">
        <w:rPr>
          <w:lang w:val="en-US"/>
        </w:rPr>
        <w:instrText>by</w:instrText>
      </w:r>
      <w:r w:rsidR="006A2B13" w:rsidRPr="00AA43FB">
        <w:instrText xml:space="preserve"> 58% </w:instrText>
      </w:r>
      <w:r w:rsidR="006A2B13">
        <w:rPr>
          <w:lang w:val="en-US"/>
        </w:rPr>
        <w:instrText>compared</w:instrText>
      </w:r>
      <w:r w:rsidR="006A2B13" w:rsidRPr="00AA43FB">
        <w:instrText xml:space="preserve"> </w:instrText>
      </w:r>
      <w:r w:rsidR="006A2B13">
        <w:rPr>
          <w:lang w:val="en-US"/>
        </w:rPr>
        <w:instrText>with</w:instrText>
      </w:r>
      <w:r w:rsidR="006A2B13" w:rsidRPr="00AA43FB">
        <w:instrText xml:space="preserve"> </w:instrText>
      </w:r>
      <w:r w:rsidR="006A2B13">
        <w:rPr>
          <w:lang w:val="en-US"/>
        </w:rPr>
        <w:instrText>BR</w:instrText>
      </w:r>
      <w:r w:rsidR="006A2B13" w:rsidRPr="00AA43FB">
        <w:instrText xml:space="preserve"> </w:instrText>
      </w:r>
      <w:r w:rsidR="006A2B13">
        <w:rPr>
          <w:lang w:val="en-US"/>
        </w:rPr>
        <w:instrText>in</w:instrText>
      </w:r>
      <w:r w:rsidR="006A2B13" w:rsidRPr="00AA43FB">
        <w:instrText xml:space="preserve"> </w:instrText>
      </w:r>
      <w:r w:rsidR="006A2B13">
        <w:rPr>
          <w:lang w:val="en-US"/>
        </w:rPr>
        <w:instrText>patients</w:instrText>
      </w:r>
      <w:r w:rsidR="006A2B13" w:rsidRPr="00AA43FB">
        <w:instrText xml:space="preserve"> </w:instrText>
      </w:r>
      <w:r w:rsidR="006A2B13">
        <w:rPr>
          <w:lang w:val="en-US"/>
        </w:rPr>
        <w:instrText>with</w:instrText>
      </w:r>
      <w:r w:rsidR="006A2B13" w:rsidRPr="00AA43FB">
        <w:instrText xml:space="preserve"> </w:instrText>
      </w:r>
      <w:r w:rsidR="006A2B13">
        <w:rPr>
          <w:lang w:val="en-US"/>
        </w:rPr>
        <w:instrText>transplantation</w:instrText>
      </w:r>
      <w:r w:rsidR="006A2B13" w:rsidRPr="00AA43FB">
        <w:instrText>-</w:instrText>
      </w:r>
      <w:r w:rsidR="006A2B13">
        <w:rPr>
          <w:lang w:val="en-US"/>
        </w:rPr>
        <w:instrText>ineligible</w:instrText>
      </w:r>
      <w:r w:rsidR="006A2B13" w:rsidRPr="00AA43FB">
        <w:instrText xml:space="preserve"> </w:instrText>
      </w:r>
      <w:r w:rsidR="006A2B13">
        <w:rPr>
          <w:lang w:val="en-US"/>
        </w:rPr>
        <w:instrText>R</w:instrText>
      </w:r>
      <w:r w:rsidR="006A2B13" w:rsidRPr="00AA43FB">
        <w:instrText>/</w:instrText>
      </w:r>
      <w:r w:rsidR="006A2B13">
        <w:rPr>
          <w:lang w:val="en-US"/>
        </w:rPr>
        <w:instrText>R</w:instrText>
      </w:r>
      <w:r w:rsidR="006A2B13" w:rsidRPr="00AA43FB">
        <w:instrText xml:space="preserve"> </w:instrText>
      </w:r>
      <w:r w:rsidR="006A2B13">
        <w:rPr>
          <w:lang w:val="en-US"/>
        </w:rPr>
        <w:instrText>DLBCL</w:instrText>
      </w:r>
      <w:r w:rsidR="006A2B13" w:rsidRPr="00AA43FB">
        <w:instrText>.","</w:instrText>
      </w:r>
      <w:r w:rsidR="006A2B13">
        <w:rPr>
          <w:lang w:val="en-US"/>
        </w:rPr>
        <w:instrText>author</w:instrText>
      </w:r>
      <w:r w:rsidR="006A2B13" w:rsidRPr="00AA43FB">
        <w:instrText>":[{"</w:instrText>
      </w:r>
      <w:r w:rsidR="006A2B13">
        <w:rPr>
          <w:lang w:val="en-US"/>
        </w:rPr>
        <w:instrText>dropping</w:instrText>
      </w:r>
      <w:r w:rsidR="006A2B13" w:rsidRPr="00AA43FB">
        <w:instrText>-</w:instrText>
      </w:r>
      <w:r w:rsidR="006A2B13">
        <w:rPr>
          <w:lang w:val="en-US"/>
        </w:rPr>
        <w:instrText>particle</w:instrText>
      </w:r>
      <w:r w:rsidR="006A2B13" w:rsidRPr="00AA43FB">
        <w:instrText>":"","</w:instrText>
      </w:r>
      <w:r w:rsidR="006A2B13">
        <w:rPr>
          <w:lang w:val="en-US"/>
        </w:rPr>
        <w:instrText>family</w:instrText>
      </w:r>
      <w:r w:rsidR="006A2B13" w:rsidRPr="00AA43FB">
        <w:instrText>":"</w:instrText>
      </w:r>
      <w:r w:rsidR="006A2B13">
        <w:rPr>
          <w:lang w:val="en-US"/>
        </w:rPr>
        <w:instrText>Sehn</w:instrText>
      </w:r>
      <w:r w:rsidR="006A2B13" w:rsidRPr="00AA43FB">
        <w:instrText>","</w:instrText>
      </w:r>
      <w:r w:rsidR="006A2B13">
        <w:rPr>
          <w:lang w:val="en-US"/>
        </w:rPr>
        <w:instrText>given</w:instrText>
      </w:r>
      <w:r w:rsidR="006A2B13" w:rsidRPr="00AA43FB">
        <w:instrText>":"</w:instrText>
      </w:r>
      <w:r w:rsidR="006A2B13">
        <w:rPr>
          <w:lang w:val="en-US"/>
        </w:rPr>
        <w:instrText>Laurie</w:instrText>
      </w:r>
      <w:r w:rsidR="006A2B13" w:rsidRPr="00AA43FB">
        <w:instrText xml:space="preserve"> </w:instrText>
      </w:r>
      <w:r w:rsidR="006A2B13">
        <w:rPr>
          <w:lang w:val="en-US"/>
        </w:rPr>
        <w:instrText>H</w:instrText>
      </w:r>
      <w:r w:rsidR="006A2B13" w:rsidRPr="00AA43FB">
        <w:instrText>.","</w:instrText>
      </w:r>
      <w:r w:rsidR="006A2B13">
        <w:rPr>
          <w:lang w:val="en-US"/>
        </w:rPr>
        <w:instrText>non</w:instrText>
      </w:r>
      <w:r w:rsidR="006A2B13" w:rsidRPr="00AA43FB">
        <w:instrText>-</w:instrText>
      </w:r>
      <w:r w:rsidR="006A2B13">
        <w:rPr>
          <w:lang w:val="en-US"/>
        </w:rPr>
        <w:instrText>dropping</w:instrText>
      </w:r>
      <w:r w:rsidR="006A2B13" w:rsidRPr="00AA43FB">
        <w:instrText>-</w:instrText>
      </w:r>
      <w:r w:rsidR="006A2B13">
        <w:rPr>
          <w:lang w:val="en-US"/>
        </w:rPr>
        <w:instrText>particle</w:instrText>
      </w:r>
      <w:r w:rsidR="006A2B13" w:rsidRPr="00AA43FB">
        <w:instrText>":"","</w:instrText>
      </w:r>
      <w:r w:rsidR="006A2B13">
        <w:rPr>
          <w:lang w:val="en-US"/>
        </w:rPr>
        <w:instrText>parse</w:instrText>
      </w:r>
      <w:r w:rsidR="006A2B13" w:rsidRPr="00AA43FB">
        <w:instrText>-</w:instrText>
      </w:r>
      <w:r w:rsidR="006A2B13">
        <w:rPr>
          <w:lang w:val="en-US"/>
        </w:rPr>
        <w:instrText>names</w:instrText>
      </w:r>
      <w:r w:rsidR="006A2B13" w:rsidRPr="00AA43FB">
        <w:instrText>":</w:instrText>
      </w:r>
      <w:r w:rsidR="006A2B13">
        <w:rPr>
          <w:lang w:val="en-US"/>
        </w:rPr>
        <w:instrText>false</w:instrText>
      </w:r>
      <w:r w:rsidR="006A2B13" w:rsidRPr="00AA43FB">
        <w:instrText>,"</w:instrText>
      </w:r>
      <w:r w:rsidR="006A2B13">
        <w:rPr>
          <w:lang w:val="en-US"/>
        </w:rPr>
        <w:instrText>suffix</w:instrText>
      </w:r>
      <w:r w:rsidR="006A2B13" w:rsidRPr="00AA43FB">
        <w:instrText>":""},{"</w:instrText>
      </w:r>
      <w:r w:rsidR="006A2B13">
        <w:rPr>
          <w:lang w:val="en-US"/>
        </w:rPr>
        <w:instrText>dropping</w:instrText>
      </w:r>
      <w:r w:rsidR="006A2B13" w:rsidRPr="00AA43FB">
        <w:instrText>-</w:instrText>
      </w:r>
      <w:r w:rsidR="006A2B13">
        <w:rPr>
          <w:lang w:val="en-US"/>
        </w:rPr>
        <w:instrText>particle</w:instrText>
      </w:r>
      <w:r w:rsidR="006A2B13" w:rsidRPr="00AA43FB">
        <w:instrText>":"","</w:instrText>
      </w:r>
      <w:r w:rsidR="006A2B13">
        <w:rPr>
          <w:lang w:val="en-US"/>
        </w:rPr>
        <w:instrText>family</w:instrText>
      </w:r>
      <w:r w:rsidR="006A2B13" w:rsidRPr="00AA43FB">
        <w:instrText>":"</w:instrText>
      </w:r>
      <w:r w:rsidR="006A2B13">
        <w:rPr>
          <w:lang w:val="en-US"/>
        </w:rPr>
        <w:instrText>Herrera</w:instrText>
      </w:r>
      <w:r w:rsidR="006A2B13" w:rsidRPr="00AA43FB">
        <w:instrText>","</w:instrText>
      </w:r>
      <w:r w:rsidR="006A2B13">
        <w:rPr>
          <w:lang w:val="en-US"/>
        </w:rPr>
        <w:instrText>given</w:instrText>
      </w:r>
      <w:r w:rsidR="006A2B13" w:rsidRPr="00AA43FB">
        <w:instrText>":"</w:instrText>
      </w:r>
      <w:r w:rsidR="006A2B13">
        <w:rPr>
          <w:lang w:val="en-US"/>
        </w:rPr>
        <w:instrText>Alex</w:instrText>
      </w:r>
      <w:r w:rsidR="006A2B13" w:rsidRPr="00AA43FB">
        <w:instrText xml:space="preserve"> </w:instrText>
      </w:r>
      <w:r w:rsidR="006A2B13">
        <w:rPr>
          <w:lang w:val="en-US"/>
        </w:rPr>
        <w:instrText>F</w:instrText>
      </w:r>
      <w:r w:rsidR="006A2B13" w:rsidRPr="00AA43FB">
        <w:instrText>.","</w:instrText>
      </w:r>
      <w:r w:rsidR="006A2B13">
        <w:rPr>
          <w:lang w:val="en-US"/>
        </w:rPr>
        <w:instrText>non</w:instrText>
      </w:r>
      <w:r w:rsidR="006A2B13" w:rsidRPr="00AA43FB">
        <w:instrText>-</w:instrText>
      </w:r>
      <w:r w:rsidR="006A2B13">
        <w:rPr>
          <w:lang w:val="en-US"/>
        </w:rPr>
        <w:instrText>dropping</w:instrText>
      </w:r>
      <w:r w:rsidR="006A2B13" w:rsidRPr="00AA43FB">
        <w:instrText>-</w:instrText>
      </w:r>
      <w:r w:rsidR="006A2B13">
        <w:rPr>
          <w:lang w:val="en-US"/>
        </w:rPr>
        <w:instrText>particle</w:instrText>
      </w:r>
      <w:r w:rsidR="006A2B13" w:rsidRPr="00AA43FB">
        <w:instrText>":"","</w:instrText>
      </w:r>
      <w:r w:rsidR="006A2B13">
        <w:rPr>
          <w:lang w:val="en-US"/>
        </w:rPr>
        <w:instrText>parse</w:instrText>
      </w:r>
      <w:r w:rsidR="006A2B13" w:rsidRPr="00AA43FB">
        <w:instrText>-</w:instrText>
      </w:r>
      <w:r w:rsidR="006A2B13">
        <w:rPr>
          <w:lang w:val="en-US"/>
        </w:rPr>
        <w:instrText>names</w:instrText>
      </w:r>
      <w:r w:rsidR="006A2B13" w:rsidRPr="00AA43FB">
        <w:instrText>":</w:instrText>
      </w:r>
      <w:r w:rsidR="006A2B13">
        <w:rPr>
          <w:lang w:val="en-US"/>
        </w:rPr>
        <w:instrText>false</w:instrText>
      </w:r>
      <w:r w:rsidR="006A2B13" w:rsidRPr="00AA43FB">
        <w:instrText>,"</w:instrText>
      </w:r>
      <w:r w:rsidR="006A2B13">
        <w:rPr>
          <w:lang w:val="en-US"/>
        </w:rPr>
        <w:instrText>suffix</w:instrText>
      </w:r>
      <w:r w:rsidR="006A2B13" w:rsidRPr="00AA43FB">
        <w:instrText>":""},{"</w:instrText>
      </w:r>
      <w:r w:rsidR="006A2B13">
        <w:rPr>
          <w:lang w:val="en-US"/>
        </w:rPr>
        <w:instrText>dropping</w:instrText>
      </w:r>
      <w:r w:rsidR="006A2B13" w:rsidRPr="00AA43FB">
        <w:instrText>-</w:instrText>
      </w:r>
      <w:r w:rsidR="006A2B13">
        <w:rPr>
          <w:lang w:val="en-US"/>
        </w:rPr>
        <w:instrText>particle</w:instrText>
      </w:r>
      <w:r w:rsidR="006A2B13" w:rsidRPr="00AA43FB">
        <w:instrText>":"","</w:instrText>
      </w:r>
      <w:r w:rsidR="006A2B13">
        <w:rPr>
          <w:lang w:val="en-US"/>
        </w:rPr>
        <w:instrText>family</w:instrText>
      </w:r>
      <w:r w:rsidR="006A2B13" w:rsidRPr="00AA43FB">
        <w:instrText>":"</w:instrText>
      </w:r>
      <w:r w:rsidR="006A2B13">
        <w:rPr>
          <w:lang w:val="en-US"/>
        </w:rPr>
        <w:instrText>Flowers</w:instrText>
      </w:r>
      <w:r w:rsidR="006A2B13" w:rsidRPr="00AA43FB">
        <w:instrText>","</w:instrText>
      </w:r>
      <w:r w:rsidR="006A2B13">
        <w:rPr>
          <w:lang w:val="en-US"/>
        </w:rPr>
        <w:instrText>given</w:instrText>
      </w:r>
      <w:r w:rsidR="006A2B13" w:rsidRPr="00AA43FB">
        <w:instrText>":"</w:instrText>
      </w:r>
      <w:r w:rsidR="006A2B13">
        <w:rPr>
          <w:lang w:val="en-US"/>
        </w:rPr>
        <w:instrText>Christopher</w:instrText>
      </w:r>
      <w:r w:rsidR="006A2B13" w:rsidRPr="00AA43FB">
        <w:instrText xml:space="preserve"> </w:instrText>
      </w:r>
      <w:r w:rsidR="006A2B13">
        <w:rPr>
          <w:lang w:val="en-US"/>
        </w:rPr>
        <w:instrText>R</w:instrText>
      </w:r>
      <w:r w:rsidR="006A2B13" w:rsidRPr="00AA43FB">
        <w:instrText>.","</w:instrText>
      </w:r>
      <w:r w:rsidR="006A2B13">
        <w:rPr>
          <w:lang w:val="en-US"/>
        </w:rPr>
        <w:instrText>non</w:instrText>
      </w:r>
      <w:r w:rsidR="006A2B13" w:rsidRPr="00AA43FB">
        <w:instrText>-</w:instrText>
      </w:r>
      <w:r w:rsidR="006A2B13">
        <w:rPr>
          <w:lang w:val="en-US"/>
        </w:rPr>
        <w:instrText>dropping</w:instrText>
      </w:r>
      <w:r w:rsidR="006A2B13" w:rsidRPr="00AA43FB">
        <w:instrText>-</w:instrText>
      </w:r>
      <w:r w:rsidR="006A2B13">
        <w:rPr>
          <w:lang w:val="en-US"/>
        </w:rPr>
        <w:instrText>particle</w:instrText>
      </w:r>
      <w:r w:rsidR="006A2B13" w:rsidRPr="00AA43FB">
        <w:instrText>":"","</w:instrText>
      </w:r>
      <w:r w:rsidR="006A2B13">
        <w:rPr>
          <w:lang w:val="en-US"/>
        </w:rPr>
        <w:instrText>parse</w:instrText>
      </w:r>
      <w:r w:rsidR="006A2B13" w:rsidRPr="00AA43FB">
        <w:instrText>-</w:instrText>
      </w:r>
      <w:r w:rsidR="006A2B13">
        <w:rPr>
          <w:lang w:val="en-US"/>
        </w:rPr>
        <w:instrText>names</w:instrText>
      </w:r>
      <w:r w:rsidR="006A2B13" w:rsidRPr="00AA43FB">
        <w:instrText>":</w:instrText>
      </w:r>
      <w:r w:rsidR="006A2B13">
        <w:rPr>
          <w:lang w:val="en-US"/>
        </w:rPr>
        <w:instrText>false</w:instrText>
      </w:r>
      <w:r w:rsidR="006A2B13" w:rsidRPr="00AA43FB">
        <w:instrText>,"</w:instrText>
      </w:r>
      <w:r w:rsidR="006A2B13">
        <w:rPr>
          <w:lang w:val="en-US"/>
        </w:rPr>
        <w:instrText>suffix</w:instrText>
      </w:r>
      <w:r w:rsidR="006A2B13" w:rsidRPr="00AA43FB">
        <w:instrText>":""},{"</w:instrText>
      </w:r>
      <w:r w:rsidR="006A2B13">
        <w:rPr>
          <w:lang w:val="en-US"/>
        </w:rPr>
        <w:instrText>dropping</w:instrText>
      </w:r>
      <w:r w:rsidR="006A2B13" w:rsidRPr="00AA43FB">
        <w:instrText>-</w:instrText>
      </w:r>
      <w:r w:rsidR="006A2B13">
        <w:rPr>
          <w:lang w:val="en-US"/>
        </w:rPr>
        <w:instrText>particle</w:instrText>
      </w:r>
      <w:r w:rsidR="006A2B13" w:rsidRPr="00AA43FB">
        <w:instrText>":"","</w:instrText>
      </w:r>
      <w:r w:rsidR="006A2B13">
        <w:rPr>
          <w:lang w:val="en-US"/>
        </w:rPr>
        <w:instrText>family</w:instrText>
      </w:r>
      <w:r w:rsidR="006A2B13" w:rsidRPr="00AA43FB">
        <w:instrText>":"</w:instrText>
      </w:r>
      <w:r w:rsidR="006A2B13">
        <w:rPr>
          <w:lang w:val="en-US"/>
        </w:rPr>
        <w:instrText>Kamdar</w:instrText>
      </w:r>
      <w:r w:rsidR="006A2B13" w:rsidRPr="00AA43FB">
        <w:instrText>","</w:instrText>
      </w:r>
      <w:r w:rsidR="006A2B13">
        <w:rPr>
          <w:lang w:val="en-US"/>
        </w:rPr>
        <w:instrText>given</w:instrText>
      </w:r>
      <w:r w:rsidR="006A2B13" w:rsidRPr="00AA43FB">
        <w:instrText>":"</w:instrText>
      </w:r>
      <w:r w:rsidR="006A2B13">
        <w:rPr>
          <w:lang w:val="en-US"/>
        </w:rPr>
        <w:instrText>Manali</w:instrText>
      </w:r>
      <w:r w:rsidR="006A2B13" w:rsidRPr="00AA43FB">
        <w:instrText xml:space="preserve"> </w:instrText>
      </w:r>
      <w:r w:rsidR="006A2B13">
        <w:rPr>
          <w:lang w:val="en-US"/>
        </w:rPr>
        <w:instrText>K</w:instrText>
      </w:r>
      <w:r w:rsidR="006A2B13" w:rsidRPr="00AA43FB">
        <w:instrText>.","</w:instrText>
      </w:r>
      <w:r w:rsidR="006A2B13">
        <w:rPr>
          <w:lang w:val="en-US"/>
        </w:rPr>
        <w:instrText>non</w:instrText>
      </w:r>
      <w:r w:rsidR="006A2B13" w:rsidRPr="00AA43FB">
        <w:instrText>-</w:instrText>
      </w:r>
      <w:r w:rsidR="006A2B13">
        <w:rPr>
          <w:lang w:val="en-US"/>
        </w:rPr>
        <w:instrText>dropping</w:instrText>
      </w:r>
      <w:r w:rsidR="006A2B13" w:rsidRPr="00AA43FB">
        <w:instrText>-</w:instrText>
      </w:r>
      <w:r w:rsidR="006A2B13">
        <w:rPr>
          <w:lang w:val="en-US"/>
        </w:rPr>
        <w:instrText>particle</w:instrText>
      </w:r>
      <w:r w:rsidR="006A2B13" w:rsidRPr="00AA43FB">
        <w:instrText>":"","</w:instrText>
      </w:r>
      <w:r w:rsidR="006A2B13">
        <w:rPr>
          <w:lang w:val="en-US"/>
        </w:rPr>
        <w:instrText>parse</w:instrText>
      </w:r>
      <w:r w:rsidR="006A2B13" w:rsidRPr="00AA43FB">
        <w:instrText>-</w:instrText>
      </w:r>
      <w:r w:rsidR="006A2B13">
        <w:rPr>
          <w:lang w:val="en-US"/>
        </w:rPr>
        <w:instrText>names</w:instrText>
      </w:r>
      <w:r w:rsidR="006A2B13" w:rsidRPr="00AA43FB">
        <w:instrText>":</w:instrText>
      </w:r>
      <w:r w:rsidR="006A2B13">
        <w:rPr>
          <w:lang w:val="en-US"/>
        </w:rPr>
        <w:instrText>false</w:instrText>
      </w:r>
      <w:r w:rsidR="006A2B13" w:rsidRPr="00AA43FB">
        <w:instrText>,"</w:instrText>
      </w:r>
      <w:r w:rsidR="006A2B13">
        <w:rPr>
          <w:lang w:val="en-US"/>
        </w:rPr>
        <w:instrText>suffix</w:instrText>
      </w:r>
      <w:r w:rsidR="006A2B13" w:rsidRPr="00AA43FB">
        <w:instrText>":""},{"</w:instrText>
      </w:r>
      <w:r w:rsidR="006A2B13">
        <w:rPr>
          <w:lang w:val="en-US"/>
        </w:rPr>
        <w:instrText>dropping</w:instrText>
      </w:r>
      <w:r w:rsidR="006A2B13" w:rsidRPr="00AA43FB">
        <w:instrText>-</w:instrText>
      </w:r>
      <w:r w:rsidR="006A2B13">
        <w:rPr>
          <w:lang w:val="en-US"/>
        </w:rPr>
        <w:instrText>particle</w:instrText>
      </w:r>
      <w:r w:rsidR="006A2B13" w:rsidRPr="00AA43FB">
        <w:instrText>":"","</w:instrText>
      </w:r>
      <w:r w:rsidR="006A2B13">
        <w:rPr>
          <w:lang w:val="en-US"/>
        </w:rPr>
        <w:instrText>family</w:instrText>
      </w:r>
      <w:r w:rsidR="006A2B13" w:rsidRPr="00AA43FB">
        <w:instrText>":"</w:instrText>
      </w:r>
      <w:r w:rsidR="006A2B13">
        <w:rPr>
          <w:lang w:val="en-US"/>
        </w:rPr>
        <w:instrText>McMillan</w:instrText>
      </w:r>
      <w:r w:rsidR="006A2B13" w:rsidRPr="00AA43FB">
        <w:instrText>","</w:instrText>
      </w:r>
      <w:r w:rsidR="006A2B13">
        <w:rPr>
          <w:lang w:val="en-US"/>
        </w:rPr>
        <w:instrText>given</w:instrText>
      </w:r>
      <w:r w:rsidR="006A2B13" w:rsidRPr="00AA43FB">
        <w:instrText>":"</w:instrText>
      </w:r>
      <w:r w:rsidR="006A2B13">
        <w:rPr>
          <w:lang w:val="en-US"/>
        </w:rPr>
        <w:instrText>Andrew</w:instrText>
      </w:r>
      <w:r w:rsidR="006A2B13" w:rsidRPr="00AA43FB">
        <w:instrText>","</w:instrText>
      </w:r>
      <w:r w:rsidR="006A2B13">
        <w:rPr>
          <w:lang w:val="en-US"/>
        </w:rPr>
        <w:instrText>non</w:instrText>
      </w:r>
      <w:r w:rsidR="006A2B13" w:rsidRPr="00AA43FB">
        <w:instrText>-</w:instrText>
      </w:r>
      <w:r w:rsidR="006A2B13">
        <w:rPr>
          <w:lang w:val="en-US"/>
        </w:rPr>
        <w:instrText>dropping</w:instrText>
      </w:r>
      <w:r w:rsidR="006A2B13" w:rsidRPr="00AA43FB">
        <w:instrText>-</w:instrText>
      </w:r>
      <w:r w:rsidR="006A2B13">
        <w:rPr>
          <w:lang w:val="en-US"/>
        </w:rPr>
        <w:instrText>particle</w:instrText>
      </w:r>
      <w:r w:rsidR="006A2B13" w:rsidRPr="00AA43FB">
        <w:instrText>":"","</w:instrText>
      </w:r>
      <w:r w:rsidR="006A2B13">
        <w:rPr>
          <w:lang w:val="en-US"/>
        </w:rPr>
        <w:instrText>parse</w:instrText>
      </w:r>
      <w:r w:rsidR="006A2B13" w:rsidRPr="00AA43FB">
        <w:instrText>-</w:instrText>
      </w:r>
      <w:r w:rsidR="006A2B13">
        <w:rPr>
          <w:lang w:val="en-US"/>
        </w:rPr>
        <w:instrText>names</w:instrText>
      </w:r>
      <w:r w:rsidR="006A2B13" w:rsidRPr="00AA43FB">
        <w:instrText>":</w:instrText>
      </w:r>
      <w:r w:rsidR="006A2B13">
        <w:rPr>
          <w:lang w:val="en-US"/>
        </w:rPr>
        <w:instrText>false</w:instrText>
      </w:r>
      <w:r w:rsidR="006A2B13" w:rsidRPr="00AA43FB">
        <w:instrText>,"</w:instrText>
      </w:r>
      <w:r w:rsidR="006A2B13">
        <w:rPr>
          <w:lang w:val="en-US"/>
        </w:rPr>
        <w:instrText>suffix</w:instrText>
      </w:r>
      <w:r w:rsidR="006A2B13" w:rsidRPr="00AA43FB">
        <w:instrText>":""},{"</w:instrText>
      </w:r>
      <w:r w:rsidR="006A2B13">
        <w:rPr>
          <w:lang w:val="en-US"/>
        </w:rPr>
        <w:instrText>dropping</w:instrText>
      </w:r>
      <w:r w:rsidR="006A2B13" w:rsidRPr="00AA43FB">
        <w:instrText>-</w:instrText>
      </w:r>
      <w:r w:rsidR="006A2B13">
        <w:rPr>
          <w:lang w:val="en-US"/>
        </w:rPr>
        <w:instrText>particle</w:instrText>
      </w:r>
      <w:r w:rsidR="006A2B13" w:rsidRPr="00AA43FB">
        <w:instrText>":"","</w:instrText>
      </w:r>
      <w:r w:rsidR="006A2B13">
        <w:rPr>
          <w:lang w:val="en-US"/>
        </w:rPr>
        <w:instrText>family</w:instrText>
      </w:r>
      <w:r w:rsidR="006A2B13" w:rsidRPr="00AA43FB">
        <w:instrText>":"</w:instrText>
      </w:r>
      <w:r w:rsidR="006A2B13">
        <w:rPr>
          <w:lang w:val="en-US"/>
        </w:rPr>
        <w:instrText>Hertzberg</w:instrText>
      </w:r>
      <w:r w:rsidR="006A2B13" w:rsidRPr="00AA43FB">
        <w:instrText>","</w:instrText>
      </w:r>
      <w:r w:rsidR="006A2B13">
        <w:rPr>
          <w:lang w:val="en-US"/>
        </w:rPr>
        <w:instrText>given</w:instrText>
      </w:r>
      <w:r w:rsidR="006A2B13" w:rsidRPr="00AA43FB">
        <w:instrText>":"</w:instrText>
      </w:r>
      <w:r w:rsidR="006A2B13">
        <w:rPr>
          <w:lang w:val="en-US"/>
        </w:rPr>
        <w:instrText>Mark</w:instrText>
      </w:r>
      <w:r w:rsidR="006A2B13" w:rsidRPr="00AA43FB">
        <w:instrText>","</w:instrText>
      </w:r>
      <w:r w:rsidR="006A2B13">
        <w:rPr>
          <w:lang w:val="en-US"/>
        </w:rPr>
        <w:instrText>non</w:instrText>
      </w:r>
      <w:r w:rsidR="006A2B13" w:rsidRPr="00AA43FB">
        <w:instrText>-</w:instrText>
      </w:r>
      <w:r w:rsidR="006A2B13">
        <w:rPr>
          <w:lang w:val="en-US"/>
        </w:rPr>
        <w:instrText>dropping</w:instrText>
      </w:r>
      <w:r w:rsidR="006A2B13" w:rsidRPr="00AA43FB">
        <w:instrText>-</w:instrText>
      </w:r>
      <w:r w:rsidR="006A2B13">
        <w:rPr>
          <w:lang w:val="en-US"/>
        </w:rPr>
        <w:instrText>particle</w:instrText>
      </w:r>
      <w:r w:rsidR="006A2B13" w:rsidRPr="00AA43FB">
        <w:instrText>":"","</w:instrText>
      </w:r>
      <w:r w:rsidR="006A2B13">
        <w:rPr>
          <w:lang w:val="en-US"/>
        </w:rPr>
        <w:instrText>parse</w:instrText>
      </w:r>
      <w:r w:rsidR="006A2B13" w:rsidRPr="00AA43FB">
        <w:instrText>-</w:instrText>
      </w:r>
      <w:r w:rsidR="006A2B13">
        <w:rPr>
          <w:lang w:val="en-US"/>
        </w:rPr>
        <w:instrText>names</w:instrText>
      </w:r>
      <w:r w:rsidR="006A2B13" w:rsidRPr="00AA43FB">
        <w:instrText>":</w:instrText>
      </w:r>
      <w:r w:rsidR="006A2B13">
        <w:rPr>
          <w:lang w:val="en-US"/>
        </w:rPr>
        <w:instrText>false</w:instrText>
      </w:r>
      <w:r w:rsidR="006A2B13" w:rsidRPr="00AA43FB">
        <w:instrText>,"</w:instrText>
      </w:r>
      <w:r w:rsidR="006A2B13">
        <w:rPr>
          <w:lang w:val="en-US"/>
        </w:rPr>
        <w:instrText>suffix</w:instrText>
      </w:r>
      <w:r w:rsidR="006A2B13" w:rsidRPr="00AA43FB">
        <w:instrText>":""},{"</w:instrText>
      </w:r>
      <w:r w:rsidR="006A2B13">
        <w:rPr>
          <w:lang w:val="en-US"/>
        </w:rPr>
        <w:instrText>dropping</w:instrText>
      </w:r>
      <w:r w:rsidR="006A2B13" w:rsidRPr="00AA43FB">
        <w:instrText>-</w:instrText>
      </w:r>
      <w:r w:rsidR="006A2B13">
        <w:rPr>
          <w:lang w:val="en-US"/>
        </w:rPr>
        <w:instrText>particle</w:instrText>
      </w:r>
      <w:r w:rsidR="006A2B13" w:rsidRPr="00AA43FB">
        <w:instrText>":"","</w:instrText>
      </w:r>
      <w:r w:rsidR="006A2B13">
        <w:rPr>
          <w:lang w:val="en-US"/>
        </w:rPr>
        <w:instrText>family</w:instrText>
      </w:r>
      <w:r w:rsidR="006A2B13" w:rsidRPr="00AA43FB">
        <w:instrText>":"</w:instrText>
      </w:r>
      <w:r w:rsidR="006A2B13">
        <w:rPr>
          <w:lang w:val="en-US"/>
        </w:rPr>
        <w:instrText>Assouline</w:instrText>
      </w:r>
      <w:r w:rsidR="006A2B13" w:rsidRPr="00AA43FB">
        <w:instrText>","</w:instrText>
      </w:r>
      <w:r w:rsidR="006A2B13">
        <w:rPr>
          <w:lang w:val="en-US"/>
        </w:rPr>
        <w:instrText>given</w:instrText>
      </w:r>
      <w:r w:rsidR="006A2B13" w:rsidRPr="00AA43FB">
        <w:instrText>":"</w:instrText>
      </w:r>
      <w:r w:rsidR="006A2B13">
        <w:rPr>
          <w:lang w:val="en-US"/>
        </w:rPr>
        <w:instrText>Sarit</w:instrText>
      </w:r>
      <w:r w:rsidR="006A2B13" w:rsidRPr="00AA43FB">
        <w:instrText>","</w:instrText>
      </w:r>
      <w:r w:rsidR="006A2B13">
        <w:rPr>
          <w:lang w:val="en-US"/>
        </w:rPr>
        <w:instrText>non</w:instrText>
      </w:r>
      <w:r w:rsidR="006A2B13" w:rsidRPr="00AA43FB">
        <w:instrText>-</w:instrText>
      </w:r>
      <w:r w:rsidR="006A2B13">
        <w:rPr>
          <w:lang w:val="en-US"/>
        </w:rPr>
        <w:instrText>dropping</w:instrText>
      </w:r>
      <w:r w:rsidR="006A2B13" w:rsidRPr="00AA43FB">
        <w:instrText>-</w:instrText>
      </w:r>
      <w:r w:rsidR="006A2B13">
        <w:rPr>
          <w:lang w:val="en-US"/>
        </w:rPr>
        <w:instrText>particle</w:instrText>
      </w:r>
      <w:r w:rsidR="006A2B13" w:rsidRPr="00AA43FB">
        <w:instrText>":"","</w:instrText>
      </w:r>
      <w:r w:rsidR="006A2B13">
        <w:rPr>
          <w:lang w:val="en-US"/>
        </w:rPr>
        <w:instrText>parse</w:instrText>
      </w:r>
      <w:r w:rsidR="006A2B13" w:rsidRPr="00AA43FB">
        <w:instrText>-</w:instrText>
      </w:r>
      <w:r w:rsidR="006A2B13">
        <w:rPr>
          <w:lang w:val="en-US"/>
        </w:rPr>
        <w:instrText>names</w:instrText>
      </w:r>
      <w:r w:rsidR="006A2B13" w:rsidRPr="00AA43FB">
        <w:instrText>":</w:instrText>
      </w:r>
      <w:r w:rsidR="006A2B13">
        <w:rPr>
          <w:lang w:val="en-US"/>
        </w:rPr>
        <w:instrText>false</w:instrText>
      </w:r>
      <w:r w:rsidR="006A2B13" w:rsidRPr="00AA43FB">
        <w:instrText>,"</w:instrText>
      </w:r>
      <w:r w:rsidR="006A2B13">
        <w:rPr>
          <w:lang w:val="en-US"/>
        </w:rPr>
        <w:instrText>suffix</w:instrText>
      </w:r>
      <w:r w:rsidR="006A2B13" w:rsidRPr="00AA43FB">
        <w:instrText>":""},{"</w:instrText>
      </w:r>
      <w:r w:rsidR="006A2B13">
        <w:rPr>
          <w:lang w:val="en-US"/>
        </w:rPr>
        <w:instrText>dropping</w:instrText>
      </w:r>
      <w:r w:rsidR="006A2B13" w:rsidRPr="00AA43FB">
        <w:instrText>-</w:instrText>
      </w:r>
      <w:r w:rsidR="006A2B13">
        <w:rPr>
          <w:lang w:val="en-US"/>
        </w:rPr>
        <w:instrText>particle</w:instrText>
      </w:r>
      <w:r w:rsidR="006A2B13" w:rsidRPr="00AA43FB">
        <w:instrText>":"","</w:instrText>
      </w:r>
      <w:r w:rsidR="006A2B13">
        <w:rPr>
          <w:lang w:val="en-US"/>
        </w:rPr>
        <w:instrText>family</w:instrText>
      </w:r>
      <w:r w:rsidR="006A2B13" w:rsidRPr="00AA43FB">
        <w:instrText>":"</w:instrText>
      </w:r>
      <w:r w:rsidR="006A2B13">
        <w:rPr>
          <w:lang w:val="en-US"/>
        </w:rPr>
        <w:instrText>Kim</w:instrText>
      </w:r>
      <w:r w:rsidR="006A2B13" w:rsidRPr="00AA43FB">
        <w:instrText>","</w:instrText>
      </w:r>
      <w:r w:rsidR="006A2B13">
        <w:rPr>
          <w:lang w:val="en-US"/>
        </w:rPr>
        <w:instrText>given</w:instrText>
      </w:r>
      <w:r w:rsidR="006A2B13" w:rsidRPr="00AA43FB">
        <w:instrText>":"</w:instrText>
      </w:r>
      <w:r w:rsidR="006A2B13">
        <w:rPr>
          <w:lang w:val="en-US"/>
        </w:rPr>
        <w:instrText>Tae</w:instrText>
      </w:r>
      <w:r w:rsidR="006A2B13" w:rsidRPr="00AA43FB">
        <w:instrText xml:space="preserve"> </w:instrText>
      </w:r>
      <w:r w:rsidR="006A2B13">
        <w:rPr>
          <w:lang w:val="en-US"/>
        </w:rPr>
        <w:instrText>Min","non-dropping-particle":"","parse-names":false,"suffix":""},{"dropping-particle":"","family":"Kim","given":"Won Seog","non-dropping-particle":"","parse-names":false,"suffix":""},</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family</w:instrText>
      </w:r>
      <w:r w:rsidR="006A2B13" w:rsidRPr="006A2B13">
        <w:instrText>":"</w:instrText>
      </w:r>
      <w:r w:rsidR="006A2B13">
        <w:rPr>
          <w:lang w:val="en-US"/>
        </w:rPr>
        <w:instrText>Ozcan</w:instrText>
      </w:r>
      <w:r w:rsidR="006A2B13" w:rsidRPr="006A2B13">
        <w:instrText>","</w:instrText>
      </w:r>
      <w:r w:rsidR="006A2B13">
        <w:rPr>
          <w:lang w:val="en-US"/>
        </w:rPr>
        <w:instrText>given</w:instrText>
      </w:r>
      <w:r w:rsidR="006A2B13" w:rsidRPr="006A2B13">
        <w:instrText>":"</w:instrText>
      </w:r>
      <w:r w:rsidR="006A2B13">
        <w:rPr>
          <w:lang w:val="en-US"/>
        </w:rPr>
        <w:instrText>Muhit</w:instrText>
      </w:r>
      <w:r w:rsidR="006A2B13" w:rsidRPr="006A2B13">
        <w:instrText>","</w:instrText>
      </w:r>
      <w:r w:rsidR="006A2B13">
        <w:rPr>
          <w:lang w:val="en-US"/>
        </w:rPr>
        <w:instrText>non</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parse</w:instrText>
      </w:r>
      <w:r w:rsidR="006A2B13" w:rsidRPr="006A2B13">
        <w:instrText>-</w:instrText>
      </w:r>
      <w:r w:rsidR="006A2B13">
        <w:rPr>
          <w:lang w:val="en-US"/>
        </w:rPr>
        <w:instrText>names</w:instrText>
      </w:r>
      <w:r w:rsidR="006A2B13" w:rsidRPr="006A2B13">
        <w:instrText>":</w:instrText>
      </w:r>
      <w:r w:rsidR="006A2B13">
        <w:rPr>
          <w:lang w:val="en-US"/>
        </w:rPr>
        <w:instrText>false</w:instrText>
      </w:r>
      <w:r w:rsidR="006A2B13" w:rsidRPr="006A2B13">
        <w:instrText>,"</w:instrText>
      </w:r>
      <w:r w:rsidR="006A2B13">
        <w:rPr>
          <w:lang w:val="en-US"/>
        </w:rPr>
        <w:instrText>suffix</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family</w:instrText>
      </w:r>
      <w:r w:rsidR="006A2B13" w:rsidRPr="006A2B13">
        <w:instrText>":"</w:instrText>
      </w:r>
      <w:r w:rsidR="006A2B13">
        <w:rPr>
          <w:lang w:val="en-US"/>
        </w:rPr>
        <w:instrText>Hirata</w:instrText>
      </w:r>
      <w:r w:rsidR="006A2B13" w:rsidRPr="006A2B13">
        <w:instrText>","</w:instrText>
      </w:r>
      <w:r w:rsidR="006A2B13">
        <w:rPr>
          <w:lang w:val="en-US"/>
        </w:rPr>
        <w:instrText>given</w:instrText>
      </w:r>
      <w:r w:rsidR="006A2B13" w:rsidRPr="006A2B13">
        <w:instrText>":"</w:instrText>
      </w:r>
      <w:r w:rsidR="006A2B13">
        <w:rPr>
          <w:lang w:val="en-US"/>
        </w:rPr>
        <w:instrText>Jamie</w:instrText>
      </w:r>
      <w:r w:rsidR="006A2B13" w:rsidRPr="006A2B13">
        <w:instrText>","</w:instrText>
      </w:r>
      <w:r w:rsidR="006A2B13">
        <w:rPr>
          <w:lang w:val="en-US"/>
        </w:rPr>
        <w:instrText>non</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parse</w:instrText>
      </w:r>
      <w:r w:rsidR="006A2B13" w:rsidRPr="006A2B13">
        <w:instrText>-</w:instrText>
      </w:r>
      <w:r w:rsidR="006A2B13">
        <w:rPr>
          <w:lang w:val="en-US"/>
        </w:rPr>
        <w:instrText>names</w:instrText>
      </w:r>
      <w:r w:rsidR="006A2B13" w:rsidRPr="006A2B13">
        <w:instrText>":</w:instrText>
      </w:r>
      <w:r w:rsidR="006A2B13">
        <w:rPr>
          <w:lang w:val="en-US"/>
        </w:rPr>
        <w:instrText>false</w:instrText>
      </w:r>
      <w:r w:rsidR="006A2B13" w:rsidRPr="006A2B13">
        <w:instrText>,"</w:instrText>
      </w:r>
      <w:r w:rsidR="006A2B13">
        <w:rPr>
          <w:lang w:val="en-US"/>
        </w:rPr>
        <w:instrText>suffix</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family</w:instrText>
      </w:r>
      <w:r w:rsidR="006A2B13" w:rsidRPr="006A2B13">
        <w:instrText>":"</w:instrText>
      </w:r>
      <w:r w:rsidR="006A2B13">
        <w:rPr>
          <w:lang w:val="en-US"/>
        </w:rPr>
        <w:instrText>Penuel</w:instrText>
      </w:r>
      <w:r w:rsidR="006A2B13" w:rsidRPr="006A2B13">
        <w:instrText>","</w:instrText>
      </w:r>
      <w:r w:rsidR="006A2B13">
        <w:rPr>
          <w:lang w:val="en-US"/>
        </w:rPr>
        <w:instrText>given</w:instrText>
      </w:r>
      <w:r w:rsidR="006A2B13" w:rsidRPr="006A2B13">
        <w:instrText>":"</w:instrText>
      </w:r>
      <w:r w:rsidR="006A2B13">
        <w:rPr>
          <w:lang w:val="en-US"/>
        </w:rPr>
        <w:instrText>Elicia</w:instrText>
      </w:r>
      <w:r w:rsidR="006A2B13" w:rsidRPr="006A2B13">
        <w:instrText>","</w:instrText>
      </w:r>
      <w:r w:rsidR="006A2B13">
        <w:rPr>
          <w:lang w:val="en-US"/>
        </w:rPr>
        <w:instrText>non</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parse</w:instrText>
      </w:r>
      <w:r w:rsidR="006A2B13" w:rsidRPr="006A2B13">
        <w:instrText>-</w:instrText>
      </w:r>
      <w:r w:rsidR="006A2B13">
        <w:rPr>
          <w:lang w:val="en-US"/>
        </w:rPr>
        <w:instrText>names</w:instrText>
      </w:r>
      <w:r w:rsidR="006A2B13" w:rsidRPr="006A2B13">
        <w:instrText>":</w:instrText>
      </w:r>
      <w:r w:rsidR="006A2B13">
        <w:rPr>
          <w:lang w:val="en-US"/>
        </w:rPr>
        <w:instrText>false</w:instrText>
      </w:r>
      <w:r w:rsidR="006A2B13" w:rsidRPr="006A2B13">
        <w:instrText>,"</w:instrText>
      </w:r>
      <w:r w:rsidR="006A2B13">
        <w:rPr>
          <w:lang w:val="en-US"/>
        </w:rPr>
        <w:instrText>suffix</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family</w:instrText>
      </w:r>
      <w:r w:rsidR="006A2B13" w:rsidRPr="006A2B13">
        <w:instrText>":"</w:instrText>
      </w:r>
      <w:r w:rsidR="006A2B13">
        <w:rPr>
          <w:lang w:val="en-US"/>
        </w:rPr>
        <w:instrText>Paulson</w:instrText>
      </w:r>
      <w:r w:rsidR="006A2B13" w:rsidRPr="006A2B13">
        <w:instrText>","</w:instrText>
      </w:r>
      <w:r w:rsidR="006A2B13">
        <w:rPr>
          <w:lang w:val="en-US"/>
        </w:rPr>
        <w:instrText>given</w:instrText>
      </w:r>
      <w:r w:rsidR="006A2B13" w:rsidRPr="006A2B13">
        <w:instrText>":"</w:instrText>
      </w:r>
      <w:r w:rsidR="006A2B13">
        <w:rPr>
          <w:lang w:val="en-US"/>
        </w:rPr>
        <w:instrText>Joseph</w:instrText>
      </w:r>
      <w:r w:rsidR="006A2B13" w:rsidRPr="006A2B13">
        <w:instrText xml:space="preserve"> </w:instrText>
      </w:r>
      <w:r w:rsidR="006A2B13">
        <w:rPr>
          <w:lang w:val="en-US"/>
        </w:rPr>
        <w:instrText>N</w:instrText>
      </w:r>
      <w:r w:rsidR="006A2B13" w:rsidRPr="006A2B13">
        <w:instrText>.","</w:instrText>
      </w:r>
      <w:r w:rsidR="006A2B13">
        <w:rPr>
          <w:lang w:val="en-US"/>
        </w:rPr>
        <w:instrText>non</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parse</w:instrText>
      </w:r>
      <w:r w:rsidR="006A2B13" w:rsidRPr="006A2B13">
        <w:instrText>-</w:instrText>
      </w:r>
      <w:r w:rsidR="006A2B13">
        <w:rPr>
          <w:lang w:val="en-US"/>
        </w:rPr>
        <w:instrText>names</w:instrText>
      </w:r>
      <w:r w:rsidR="006A2B13" w:rsidRPr="006A2B13">
        <w:instrText>":</w:instrText>
      </w:r>
      <w:r w:rsidR="006A2B13">
        <w:rPr>
          <w:lang w:val="en-US"/>
        </w:rPr>
        <w:instrText>false</w:instrText>
      </w:r>
      <w:r w:rsidR="006A2B13" w:rsidRPr="006A2B13">
        <w:instrText>,"</w:instrText>
      </w:r>
      <w:r w:rsidR="006A2B13">
        <w:rPr>
          <w:lang w:val="en-US"/>
        </w:rPr>
        <w:instrText>suffix</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family</w:instrText>
      </w:r>
      <w:r w:rsidR="006A2B13" w:rsidRPr="006A2B13">
        <w:instrText>":"</w:instrText>
      </w:r>
      <w:r w:rsidR="006A2B13">
        <w:rPr>
          <w:lang w:val="en-US"/>
        </w:rPr>
        <w:instrText>Cheng</w:instrText>
      </w:r>
      <w:r w:rsidR="006A2B13" w:rsidRPr="006A2B13">
        <w:instrText>","</w:instrText>
      </w:r>
      <w:r w:rsidR="006A2B13">
        <w:rPr>
          <w:lang w:val="en-US"/>
        </w:rPr>
        <w:instrText>given</w:instrText>
      </w:r>
      <w:r w:rsidR="006A2B13" w:rsidRPr="006A2B13">
        <w:instrText>":"</w:instrText>
      </w:r>
      <w:r w:rsidR="006A2B13">
        <w:rPr>
          <w:lang w:val="en-US"/>
        </w:rPr>
        <w:instrText>Ji</w:instrText>
      </w:r>
      <w:r w:rsidR="006A2B13" w:rsidRPr="006A2B13">
        <w:instrText>","</w:instrText>
      </w:r>
      <w:r w:rsidR="006A2B13">
        <w:rPr>
          <w:lang w:val="en-US"/>
        </w:rPr>
        <w:instrText>non</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parse</w:instrText>
      </w:r>
      <w:r w:rsidR="006A2B13" w:rsidRPr="006A2B13">
        <w:instrText>-</w:instrText>
      </w:r>
      <w:r w:rsidR="006A2B13">
        <w:rPr>
          <w:lang w:val="en-US"/>
        </w:rPr>
        <w:instrText>names</w:instrText>
      </w:r>
      <w:r w:rsidR="006A2B13" w:rsidRPr="006A2B13">
        <w:instrText>":</w:instrText>
      </w:r>
      <w:r w:rsidR="006A2B13">
        <w:rPr>
          <w:lang w:val="en-US"/>
        </w:rPr>
        <w:instrText>false</w:instrText>
      </w:r>
      <w:r w:rsidR="006A2B13" w:rsidRPr="006A2B13">
        <w:instrText>,"</w:instrText>
      </w:r>
      <w:r w:rsidR="006A2B13">
        <w:rPr>
          <w:lang w:val="en-US"/>
        </w:rPr>
        <w:instrText>suffix</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family</w:instrText>
      </w:r>
      <w:r w:rsidR="006A2B13" w:rsidRPr="006A2B13">
        <w:instrText>":"</w:instrText>
      </w:r>
      <w:r w:rsidR="006A2B13">
        <w:rPr>
          <w:lang w:val="en-US"/>
        </w:rPr>
        <w:instrText>Ku</w:instrText>
      </w:r>
      <w:r w:rsidR="006A2B13" w:rsidRPr="006A2B13">
        <w:instrText>","</w:instrText>
      </w:r>
      <w:r w:rsidR="006A2B13">
        <w:rPr>
          <w:lang w:val="en-US"/>
        </w:rPr>
        <w:instrText>given</w:instrText>
      </w:r>
      <w:r w:rsidR="006A2B13" w:rsidRPr="006A2B13">
        <w:instrText>":"</w:instrText>
      </w:r>
      <w:r w:rsidR="006A2B13">
        <w:rPr>
          <w:lang w:val="en-US"/>
        </w:rPr>
        <w:instrText>Grace</w:instrText>
      </w:r>
      <w:r w:rsidR="006A2B13" w:rsidRPr="006A2B13">
        <w:instrText>","</w:instrText>
      </w:r>
      <w:r w:rsidR="006A2B13">
        <w:rPr>
          <w:lang w:val="en-US"/>
        </w:rPr>
        <w:instrText>non</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parse</w:instrText>
      </w:r>
      <w:r w:rsidR="006A2B13" w:rsidRPr="006A2B13">
        <w:instrText>-</w:instrText>
      </w:r>
      <w:r w:rsidR="006A2B13">
        <w:rPr>
          <w:lang w:val="en-US"/>
        </w:rPr>
        <w:instrText>names</w:instrText>
      </w:r>
      <w:r w:rsidR="006A2B13" w:rsidRPr="006A2B13">
        <w:instrText>":</w:instrText>
      </w:r>
      <w:r w:rsidR="006A2B13">
        <w:rPr>
          <w:lang w:val="en-US"/>
        </w:rPr>
        <w:instrText>false</w:instrText>
      </w:r>
      <w:r w:rsidR="006A2B13" w:rsidRPr="006A2B13">
        <w:instrText>,"</w:instrText>
      </w:r>
      <w:r w:rsidR="006A2B13">
        <w:rPr>
          <w:lang w:val="en-US"/>
        </w:rPr>
        <w:instrText>suffix</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family</w:instrText>
      </w:r>
      <w:r w:rsidR="006A2B13" w:rsidRPr="006A2B13">
        <w:instrText>":"</w:instrText>
      </w:r>
      <w:r w:rsidR="006A2B13">
        <w:rPr>
          <w:lang w:val="en-US"/>
        </w:rPr>
        <w:instrText>Matasar</w:instrText>
      </w:r>
      <w:r w:rsidR="006A2B13" w:rsidRPr="006A2B13">
        <w:instrText>","</w:instrText>
      </w:r>
      <w:r w:rsidR="006A2B13">
        <w:rPr>
          <w:lang w:val="en-US"/>
        </w:rPr>
        <w:instrText>given</w:instrText>
      </w:r>
      <w:r w:rsidR="006A2B13" w:rsidRPr="006A2B13">
        <w:instrText>":"</w:instrText>
      </w:r>
      <w:r w:rsidR="006A2B13">
        <w:rPr>
          <w:lang w:val="en-US"/>
        </w:rPr>
        <w:instrText>Matthew</w:instrText>
      </w:r>
      <w:r w:rsidR="006A2B13" w:rsidRPr="006A2B13">
        <w:instrText xml:space="preserve"> </w:instrText>
      </w:r>
      <w:r w:rsidR="006A2B13">
        <w:rPr>
          <w:lang w:val="en-US"/>
        </w:rPr>
        <w:instrText>J</w:instrText>
      </w:r>
      <w:r w:rsidR="006A2B13" w:rsidRPr="006A2B13">
        <w:instrText>.","</w:instrText>
      </w:r>
      <w:r w:rsidR="006A2B13">
        <w:rPr>
          <w:lang w:val="en-US"/>
        </w:rPr>
        <w:instrText>non</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parse</w:instrText>
      </w:r>
      <w:r w:rsidR="006A2B13" w:rsidRPr="006A2B13">
        <w:instrText>-</w:instrText>
      </w:r>
      <w:r w:rsidR="006A2B13">
        <w:rPr>
          <w:lang w:val="en-US"/>
        </w:rPr>
        <w:instrText>names</w:instrText>
      </w:r>
      <w:r w:rsidR="006A2B13" w:rsidRPr="006A2B13">
        <w:instrText>":</w:instrText>
      </w:r>
      <w:r w:rsidR="006A2B13">
        <w:rPr>
          <w:lang w:val="en-US"/>
        </w:rPr>
        <w:instrText>false</w:instrText>
      </w:r>
      <w:r w:rsidR="006A2B13" w:rsidRPr="006A2B13">
        <w:instrText>,"</w:instrText>
      </w:r>
      <w:r w:rsidR="006A2B13">
        <w:rPr>
          <w:lang w:val="en-US"/>
        </w:rPr>
        <w:instrText>suffix</w:instrText>
      </w:r>
      <w:r w:rsidR="006A2B13" w:rsidRPr="006A2B13">
        <w:instrText>":""}],"</w:instrText>
      </w:r>
      <w:r w:rsidR="006A2B13">
        <w:rPr>
          <w:lang w:val="en-US"/>
        </w:rPr>
        <w:instrText>container</w:instrText>
      </w:r>
      <w:r w:rsidR="006A2B13" w:rsidRPr="006A2B13">
        <w:instrText>-</w:instrText>
      </w:r>
      <w:r w:rsidR="006A2B13">
        <w:rPr>
          <w:lang w:val="en-US"/>
        </w:rPr>
        <w:instrText>title</w:instrText>
      </w:r>
      <w:r w:rsidR="006A2B13" w:rsidRPr="006A2B13">
        <w:instrText>":"</w:instrText>
      </w:r>
      <w:r w:rsidR="006A2B13">
        <w:rPr>
          <w:lang w:val="en-US"/>
        </w:rPr>
        <w:instrText>Journal</w:instrText>
      </w:r>
      <w:r w:rsidR="006A2B13" w:rsidRPr="006A2B13">
        <w:instrText xml:space="preserve"> </w:instrText>
      </w:r>
      <w:r w:rsidR="006A2B13">
        <w:rPr>
          <w:lang w:val="en-US"/>
        </w:rPr>
        <w:instrText>of</w:instrText>
      </w:r>
      <w:r w:rsidR="006A2B13" w:rsidRPr="006A2B13">
        <w:instrText xml:space="preserve"> </w:instrText>
      </w:r>
      <w:r w:rsidR="006A2B13">
        <w:rPr>
          <w:lang w:val="en-US"/>
        </w:rPr>
        <w:instrText>clinical</w:instrText>
      </w:r>
      <w:r w:rsidR="006A2B13" w:rsidRPr="006A2B13">
        <w:instrText xml:space="preserve"> </w:instrText>
      </w:r>
      <w:r w:rsidR="006A2B13">
        <w:rPr>
          <w:lang w:val="en-US"/>
        </w:rPr>
        <w:instrText>oncology</w:instrText>
      </w:r>
      <w:r w:rsidR="006A2B13" w:rsidRPr="006A2B13">
        <w:instrText xml:space="preserve"> : </w:instrText>
      </w:r>
      <w:r w:rsidR="006A2B13">
        <w:rPr>
          <w:lang w:val="en-US"/>
        </w:rPr>
        <w:instrText>official</w:instrText>
      </w:r>
      <w:r w:rsidR="006A2B13" w:rsidRPr="006A2B13">
        <w:instrText xml:space="preserve"> </w:instrText>
      </w:r>
      <w:r w:rsidR="006A2B13">
        <w:rPr>
          <w:lang w:val="en-US"/>
        </w:rPr>
        <w:instrText>journal</w:instrText>
      </w:r>
      <w:r w:rsidR="006A2B13" w:rsidRPr="006A2B13">
        <w:instrText xml:space="preserve"> </w:instrText>
      </w:r>
      <w:r w:rsidR="006A2B13">
        <w:rPr>
          <w:lang w:val="en-US"/>
        </w:rPr>
        <w:instrText>of</w:instrText>
      </w:r>
      <w:r w:rsidR="006A2B13" w:rsidRPr="006A2B13">
        <w:instrText xml:space="preserve"> </w:instrText>
      </w:r>
      <w:r w:rsidR="006A2B13">
        <w:rPr>
          <w:lang w:val="en-US"/>
        </w:rPr>
        <w:instrText>the</w:instrText>
      </w:r>
      <w:r w:rsidR="006A2B13" w:rsidRPr="006A2B13">
        <w:instrText xml:space="preserve"> </w:instrText>
      </w:r>
      <w:r w:rsidR="006A2B13">
        <w:rPr>
          <w:lang w:val="en-US"/>
        </w:rPr>
        <w:instrText>American</w:instrText>
      </w:r>
      <w:r w:rsidR="006A2B13" w:rsidRPr="006A2B13">
        <w:instrText xml:space="preserve"> </w:instrText>
      </w:r>
      <w:r w:rsidR="006A2B13">
        <w:rPr>
          <w:lang w:val="en-US"/>
        </w:rPr>
        <w:instrText>Society</w:instrText>
      </w:r>
      <w:r w:rsidR="006A2B13" w:rsidRPr="006A2B13">
        <w:instrText xml:space="preserve"> </w:instrText>
      </w:r>
      <w:r w:rsidR="006A2B13">
        <w:rPr>
          <w:lang w:val="en-US"/>
        </w:rPr>
        <w:instrText>of</w:instrText>
      </w:r>
      <w:r w:rsidR="006A2B13" w:rsidRPr="006A2B13">
        <w:instrText xml:space="preserve"> </w:instrText>
      </w:r>
      <w:r w:rsidR="006A2B13">
        <w:rPr>
          <w:lang w:val="en-US"/>
        </w:rPr>
        <w:instrText>Clinical</w:instrText>
      </w:r>
      <w:r w:rsidR="006A2B13" w:rsidRPr="006A2B13">
        <w:instrText xml:space="preserve"> </w:instrText>
      </w:r>
      <w:r w:rsidR="006A2B13">
        <w:rPr>
          <w:lang w:val="en-US"/>
        </w:rPr>
        <w:instrText>Oncology</w:instrText>
      </w:r>
      <w:r w:rsidR="006A2B13" w:rsidRPr="006A2B13">
        <w:instrText>","</w:instrText>
      </w:r>
      <w:r w:rsidR="006A2B13">
        <w:rPr>
          <w:lang w:val="en-US"/>
        </w:rPr>
        <w:instrText>id</w:instrText>
      </w:r>
      <w:r w:rsidR="006A2B13" w:rsidRPr="006A2B13">
        <w:instrText>":"</w:instrText>
      </w:r>
      <w:r w:rsidR="006A2B13">
        <w:rPr>
          <w:lang w:val="en-US"/>
        </w:rPr>
        <w:instrText>ITEM</w:instrText>
      </w:r>
      <w:r w:rsidR="006A2B13" w:rsidRPr="006A2B13">
        <w:instrText>-1","</w:instrText>
      </w:r>
      <w:r w:rsidR="006A2B13">
        <w:rPr>
          <w:lang w:val="en-US"/>
        </w:rPr>
        <w:instrText>issue</w:instrText>
      </w:r>
      <w:r w:rsidR="006A2B13" w:rsidRPr="006A2B13">
        <w:instrText>":"2","</w:instrText>
      </w:r>
      <w:r w:rsidR="006A2B13">
        <w:rPr>
          <w:lang w:val="en-US"/>
        </w:rPr>
        <w:instrText>issued</w:instrText>
      </w:r>
      <w:r w:rsidR="006A2B13" w:rsidRPr="006A2B13">
        <w:instrText>":{"</w:instrText>
      </w:r>
      <w:r w:rsidR="006A2B13">
        <w:rPr>
          <w:lang w:val="en-US"/>
        </w:rPr>
        <w:instrText>date</w:instrText>
      </w:r>
      <w:r w:rsidR="006A2B13" w:rsidRPr="006A2B13">
        <w:instrText>-</w:instrText>
      </w:r>
      <w:r w:rsidR="006A2B13">
        <w:rPr>
          <w:lang w:val="en-US"/>
        </w:rPr>
        <w:instrText>parts</w:instrText>
      </w:r>
      <w:r w:rsidR="006A2B13" w:rsidRPr="006A2B13">
        <w:instrText>":[["2020"]]},"</w:instrText>
      </w:r>
      <w:r w:rsidR="006A2B13">
        <w:rPr>
          <w:lang w:val="en-US"/>
        </w:rPr>
        <w:instrText>page</w:instrText>
      </w:r>
      <w:r w:rsidR="006A2B13" w:rsidRPr="006A2B13">
        <w:instrText>":"155-165","</w:instrText>
      </w:r>
      <w:r w:rsidR="006A2B13">
        <w:rPr>
          <w:lang w:val="en-US"/>
        </w:rPr>
        <w:instrText>publisher</w:instrText>
      </w:r>
      <w:r w:rsidR="006A2B13" w:rsidRPr="006A2B13">
        <w:instrText>":"</w:instrText>
      </w:r>
      <w:r w:rsidR="006A2B13">
        <w:rPr>
          <w:lang w:val="en-US"/>
        </w:rPr>
        <w:instrText>J</w:instrText>
      </w:r>
      <w:r w:rsidR="006A2B13" w:rsidRPr="006A2B13">
        <w:instrText xml:space="preserve"> </w:instrText>
      </w:r>
      <w:r w:rsidR="006A2B13">
        <w:rPr>
          <w:lang w:val="en-US"/>
        </w:rPr>
        <w:instrText>Clin</w:instrText>
      </w:r>
      <w:r w:rsidR="006A2B13" w:rsidRPr="006A2B13">
        <w:instrText xml:space="preserve"> </w:instrText>
      </w:r>
      <w:r w:rsidR="006A2B13">
        <w:rPr>
          <w:lang w:val="en-US"/>
        </w:rPr>
        <w:instrText>Oncol</w:instrText>
      </w:r>
      <w:r w:rsidR="006A2B13" w:rsidRPr="006A2B13">
        <w:instrText>","</w:instrText>
      </w:r>
      <w:r w:rsidR="006A2B13">
        <w:rPr>
          <w:lang w:val="en-US"/>
        </w:rPr>
        <w:instrText>title</w:instrText>
      </w:r>
      <w:r w:rsidR="006A2B13" w:rsidRPr="006A2B13">
        <w:instrText>":"</w:instrText>
      </w:r>
      <w:r w:rsidR="006A2B13">
        <w:rPr>
          <w:lang w:val="en-US"/>
        </w:rPr>
        <w:instrText>Polatuzumab</w:instrText>
      </w:r>
      <w:r w:rsidR="006A2B13" w:rsidRPr="006A2B13">
        <w:instrText xml:space="preserve"> </w:instrText>
      </w:r>
      <w:r w:rsidR="006A2B13">
        <w:rPr>
          <w:lang w:val="en-US"/>
        </w:rPr>
        <w:instrText>Vedotin</w:instrText>
      </w:r>
      <w:r w:rsidR="006A2B13" w:rsidRPr="006A2B13">
        <w:instrText xml:space="preserve"> </w:instrText>
      </w:r>
      <w:r w:rsidR="006A2B13">
        <w:rPr>
          <w:lang w:val="en-US"/>
        </w:rPr>
        <w:instrText>in</w:instrText>
      </w:r>
      <w:r w:rsidR="006A2B13" w:rsidRPr="006A2B13">
        <w:instrText xml:space="preserve"> </w:instrText>
      </w:r>
      <w:r w:rsidR="006A2B13">
        <w:rPr>
          <w:lang w:val="en-US"/>
        </w:rPr>
        <w:instrText>Relapsed</w:instrText>
      </w:r>
      <w:r w:rsidR="006A2B13" w:rsidRPr="006A2B13">
        <w:instrText xml:space="preserve"> </w:instrText>
      </w:r>
      <w:r w:rsidR="006A2B13">
        <w:rPr>
          <w:lang w:val="en-US"/>
        </w:rPr>
        <w:instrText>or</w:instrText>
      </w:r>
      <w:r w:rsidR="006A2B13" w:rsidRPr="006A2B13">
        <w:instrText xml:space="preserve"> </w:instrText>
      </w:r>
      <w:r w:rsidR="006A2B13">
        <w:rPr>
          <w:lang w:val="en-US"/>
        </w:rPr>
        <w:instrText>Refractory</w:instrText>
      </w:r>
      <w:r w:rsidR="006A2B13" w:rsidRPr="006A2B13">
        <w:instrText xml:space="preserve"> </w:instrText>
      </w:r>
      <w:r w:rsidR="006A2B13">
        <w:rPr>
          <w:lang w:val="en-US"/>
        </w:rPr>
        <w:instrText>Diffuse</w:instrText>
      </w:r>
      <w:r w:rsidR="006A2B13" w:rsidRPr="006A2B13">
        <w:instrText xml:space="preserve"> </w:instrText>
      </w:r>
      <w:r w:rsidR="006A2B13">
        <w:rPr>
          <w:lang w:val="en-US"/>
        </w:rPr>
        <w:instrText>Large</w:instrText>
      </w:r>
      <w:r w:rsidR="006A2B13" w:rsidRPr="006A2B13">
        <w:instrText xml:space="preserve"> </w:instrText>
      </w:r>
      <w:r w:rsidR="006A2B13">
        <w:rPr>
          <w:lang w:val="en-US"/>
        </w:rPr>
        <w:instrText>B</w:instrText>
      </w:r>
      <w:r w:rsidR="006A2B13" w:rsidRPr="006A2B13">
        <w:instrText>-</w:instrText>
      </w:r>
      <w:r w:rsidR="006A2B13">
        <w:rPr>
          <w:lang w:val="en-US"/>
        </w:rPr>
        <w:instrText>Cell</w:instrText>
      </w:r>
      <w:r w:rsidR="006A2B13" w:rsidRPr="006A2B13">
        <w:instrText xml:space="preserve"> </w:instrText>
      </w:r>
      <w:r w:rsidR="006A2B13">
        <w:rPr>
          <w:lang w:val="en-US"/>
        </w:rPr>
        <w:instrText>Lymphoma</w:instrText>
      </w:r>
      <w:r w:rsidR="006A2B13" w:rsidRPr="006A2B13">
        <w:instrText>","</w:instrText>
      </w:r>
      <w:r w:rsidR="006A2B13">
        <w:rPr>
          <w:lang w:val="en-US"/>
        </w:rPr>
        <w:instrText>type</w:instrText>
      </w:r>
      <w:r w:rsidR="006A2B13" w:rsidRPr="006A2B13">
        <w:instrText>":"</w:instrText>
      </w:r>
      <w:r w:rsidR="006A2B13">
        <w:rPr>
          <w:lang w:val="en-US"/>
        </w:rPr>
        <w:instrText>article</w:instrText>
      </w:r>
      <w:r w:rsidR="006A2B13" w:rsidRPr="006A2B13">
        <w:instrText>-</w:instrText>
      </w:r>
      <w:r w:rsidR="006A2B13">
        <w:rPr>
          <w:lang w:val="en-US"/>
        </w:rPr>
        <w:instrText>journal</w:instrText>
      </w:r>
      <w:r w:rsidR="006A2B13" w:rsidRPr="006A2B13">
        <w:instrText>","</w:instrText>
      </w:r>
      <w:r w:rsidR="006A2B13">
        <w:rPr>
          <w:lang w:val="en-US"/>
        </w:rPr>
        <w:instrText>volume</w:instrText>
      </w:r>
      <w:r w:rsidR="006A2B13" w:rsidRPr="006A2B13">
        <w:instrText>":"38"},"</w:instrText>
      </w:r>
      <w:r w:rsidR="006A2B13">
        <w:rPr>
          <w:lang w:val="en-US"/>
        </w:rPr>
        <w:instrText>uris</w:instrText>
      </w:r>
      <w:r w:rsidR="006A2B13" w:rsidRPr="006A2B13">
        <w:instrText>":["</w:instrText>
      </w:r>
      <w:r w:rsidR="006A2B13">
        <w:rPr>
          <w:lang w:val="en-US"/>
        </w:rPr>
        <w:instrText>http</w:instrText>
      </w:r>
      <w:r w:rsidR="006A2B13" w:rsidRPr="006A2B13">
        <w:instrText>://</w:instrText>
      </w:r>
      <w:r w:rsidR="006A2B13">
        <w:rPr>
          <w:lang w:val="en-US"/>
        </w:rPr>
        <w:instrText>www</w:instrText>
      </w:r>
      <w:r w:rsidR="006A2B13" w:rsidRPr="006A2B13">
        <w:instrText>.</w:instrText>
      </w:r>
      <w:r w:rsidR="006A2B13">
        <w:rPr>
          <w:lang w:val="en-US"/>
        </w:rPr>
        <w:instrText>mendeley</w:instrText>
      </w:r>
      <w:r w:rsidR="006A2B13" w:rsidRPr="006A2B13">
        <w:instrText>.</w:instrText>
      </w:r>
      <w:r w:rsidR="006A2B13">
        <w:rPr>
          <w:lang w:val="en-US"/>
        </w:rPr>
        <w:instrText>com</w:instrText>
      </w:r>
      <w:r w:rsidR="006A2B13" w:rsidRPr="006A2B13">
        <w:instrText>/</w:instrText>
      </w:r>
      <w:r w:rsidR="006A2B13">
        <w:rPr>
          <w:lang w:val="en-US"/>
        </w:rPr>
        <w:instrText>documents</w:instrText>
      </w:r>
      <w:r w:rsidR="006A2B13" w:rsidRPr="006A2B13">
        <w:instrText>/?</w:instrText>
      </w:r>
      <w:r w:rsidR="006A2B13">
        <w:rPr>
          <w:lang w:val="en-US"/>
        </w:rPr>
        <w:instrText>uuid</w:instrText>
      </w:r>
      <w:r w:rsidR="006A2B13" w:rsidRPr="006A2B13">
        <w:instrText>=6</w:instrText>
      </w:r>
      <w:r w:rsidR="006A2B13">
        <w:rPr>
          <w:lang w:val="en-US"/>
        </w:rPr>
        <w:instrText>b</w:instrText>
      </w:r>
      <w:r w:rsidR="006A2B13" w:rsidRPr="006A2B13">
        <w:instrText>1</w:instrText>
      </w:r>
      <w:r w:rsidR="006A2B13">
        <w:rPr>
          <w:lang w:val="en-US"/>
        </w:rPr>
        <w:instrText>b</w:instrText>
      </w:r>
      <w:r w:rsidR="006A2B13" w:rsidRPr="006A2B13">
        <w:instrText>2170-</w:instrText>
      </w:r>
      <w:r w:rsidR="006A2B13">
        <w:rPr>
          <w:lang w:val="en-US"/>
        </w:rPr>
        <w:instrText>b</w:instrText>
      </w:r>
      <w:r w:rsidR="006A2B13" w:rsidRPr="006A2B13">
        <w:instrText>9</w:instrText>
      </w:r>
      <w:r w:rsidR="006A2B13">
        <w:rPr>
          <w:lang w:val="en-US"/>
        </w:rPr>
        <w:instrText>e</w:instrText>
      </w:r>
      <w:r w:rsidR="006A2B13" w:rsidRPr="006A2B13">
        <w:instrText>0-3861-</w:instrText>
      </w:r>
      <w:r w:rsidR="006A2B13">
        <w:rPr>
          <w:lang w:val="en-US"/>
        </w:rPr>
        <w:instrText>a</w:instrText>
      </w:r>
      <w:r w:rsidR="006A2B13" w:rsidRPr="006A2B13">
        <w:instrText>028-</w:instrText>
      </w:r>
      <w:r w:rsidR="006A2B13">
        <w:rPr>
          <w:lang w:val="en-US"/>
        </w:rPr>
        <w:instrText>bfe</w:instrText>
      </w:r>
      <w:r w:rsidR="006A2B13" w:rsidRPr="006A2B13">
        <w:instrText>3</w:instrText>
      </w:r>
      <w:r w:rsidR="006A2B13">
        <w:rPr>
          <w:lang w:val="en-US"/>
        </w:rPr>
        <w:instrText>ad</w:instrText>
      </w:r>
      <w:r w:rsidR="006A2B13" w:rsidRPr="006A2B13">
        <w:instrText>6448</w:instrText>
      </w:r>
      <w:r w:rsidR="006A2B13">
        <w:rPr>
          <w:lang w:val="en-US"/>
        </w:rPr>
        <w:instrText>a</w:instrText>
      </w:r>
      <w:r w:rsidR="006A2B13" w:rsidRPr="006A2B13">
        <w:instrText>6"]}],"</w:instrText>
      </w:r>
      <w:r w:rsidR="006A2B13">
        <w:rPr>
          <w:lang w:val="en-US"/>
        </w:rPr>
        <w:instrText>mendeley</w:instrText>
      </w:r>
      <w:r w:rsidR="006A2B13" w:rsidRPr="006A2B13">
        <w:instrText>":{"</w:instrText>
      </w:r>
      <w:r w:rsidR="006A2B13">
        <w:rPr>
          <w:lang w:val="en-US"/>
        </w:rPr>
        <w:instrText>formattedCitation</w:instrText>
      </w:r>
      <w:r w:rsidR="006A2B13" w:rsidRPr="006A2B13">
        <w:instrText>":"[126]","</w:instrText>
      </w:r>
      <w:r w:rsidR="006A2B13">
        <w:rPr>
          <w:lang w:val="en-US"/>
        </w:rPr>
        <w:instrText>plainTextFormattedCitation</w:instrText>
      </w:r>
      <w:r w:rsidR="006A2B13" w:rsidRPr="006A2B13">
        <w:instrText>":"[126]","</w:instrText>
      </w:r>
      <w:r w:rsidR="006A2B13">
        <w:rPr>
          <w:lang w:val="en-US"/>
        </w:rPr>
        <w:instrText>previouslyFormattedCitation</w:instrText>
      </w:r>
      <w:r w:rsidR="006A2B13" w:rsidRPr="006A2B13">
        <w:instrText>":"[126]"},"</w:instrText>
      </w:r>
      <w:r w:rsidR="006A2B13">
        <w:rPr>
          <w:lang w:val="en-US"/>
        </w:rPr>
        <w:instrText>properties</w:instrText>
      </w:r>
      <w:r w:rsidR="006A2B13" w:rsidRPr="006A2B13">
        <w:instrText>":{"</w:instrText>
      </w:r>
      <w:r w:rsidR="006A2B13">
        <w:rPr>
          <w:lang w:val="en-US"/>
        </w:rPr>
        <w:instrText>noteIndex</w:instrText>
      </w:r>
      <w:r w:rsidR="006A2B13" w:rsidRPr="006A2B13">
        <w:instrText>":0},"</w:instrText>
      </w:r>
      <w:r w:rsidR="006A2B13">
        <w:rPr>
          <w:lang w:val="en-US"/>
        </w:rPr>
        <w:instrText>schema</w:instrText>
      </w:r>
      <w:r w:rsidR="006A2B13" w:rsidRPr="006A2B13">
        <w:instrText>":"</w:instrText>
      </w:r>
      <w:r w:rsidR="006A2B13">
        <w:rPr>
          <w:lang w:val="en-US"/>
        </w:rPr>
        <w:instrText>https</w:instrText>
      </w:r>
      <w:r w:rsidR="006A2B13" w:rsidRPr="006A2B13">
        <w:instrText>://</w:instrText>
      </w:r>
      <w:r w:rsidR="006A2B13">
        <w:rPr>
          <w:lang w:val="en-US"/>
        </w:rPr>
        <w:instrText>github</w:instrText>
      </w:r>
      <w:r w:rsidR="006A2B13" w:rsidRPr="006A2B13">
        <w:instrText>.</w:instrText>
      </w:r>
      <w:r w:rsidR="006A2B13">
        <w:rPr>
          <w:lang w:val="en-US"/>
        </w:rPr>
        <w:instrText>com</w:instrText>
      </w:r>
      <w:r w:rsidR="006A2B13" w:rsidRPr="006A2B13">
        <w:instrText>/</w:instrText>
      </w:r>
      <w:r w:rsidR="006A2B13">
        <w:rPr>
          <w:lang w:val="en-US"/>
        </w:rPr>
        <w:instrText>citation</w:instrText>
      </w:r>
      <w:r w:rsidR="006A2B13" w:rsidRPr="006A2B13">
        <w:instrText>-</w:instrText>
      </w:r>
      <w:r w:rsidR="006A2B13">
        <w:rPr>
          <w:lang w:val="en-US"/>
        </w:rPr>
        <w:instrText>style</w:instrText>
      </w:r>
      <w:r w:rsidR="006A2B13" w:rsidRPr="006A2B13">
        <w:instrText>-</w:instrText>
      </w:r>
      <w:r w:rsidR="006A2B13">
        <w:rPr>
          <w:lang w:val="en-US"/>
        </w:rPr>
        <w:instrText>language</w:instrText>
      </w:r>
      <w:r w:rsidR="006A2B13" w:rsidRPr="006A2B13">
        <w:instrText>/</w:instrText>
      </w:r>
      <w:r w:rsidR="006A2B13">
        <w:rPr>
          <w:lang w:val="en-US"/>
        </w:rPr>
        <w:instrText>schema</w:instrText>
      </w:r>
      <w:r w:rsidR="006A2B13" w:rsidRPr="006A2B13">
        <w:instrText>/</w:instrText>
      </w:r>
      <w:r w:rsidR="006A2B13">
        <w:rPr>
          <w:lang w:val="en-US"/>
        </w:rPr>
        <w:instrText>raw</w:instrText>
      </w:r>
      <w:r w:rsidR="006A2B13" w:rsidRPr="006A2B13">
        <w:instrText>/</w:instrText>
      </w:r>
      <w:r w:rsidR="006A2B13">
        <w:rPr>
          <w:lang w:val="en-US"/>
        </w:rPr>
        <w:instrText>master</w:instrText>
      </w:r>
      <w:r w:rsidR="006A2B13" w:rsidRPr="006A2B13">
        <w:instrText>/</w:instrText>
      </w:r>
      <w:r w:rsidR="006A2B13">
        <w:rPr>
          <w:lang w:val="en-US"/>
        </w:rPr>
        <w:instrText>csl</w:instrText>
      </w:r>
      <w:r w:rsidR="006A2B13" w:rsidRPr="006A2B13">
        <w:instrText>-</w:instrText>
      </w:r>
      <w:r w:rsidR="006A2B13">
        <w:rPr>
          <w:lang w:val="en-US"/>
        </w:rPr>
        <w:instrText>citation</w:instrText>
      </w:r>
      <w:r w:rsidR="006A2B13" w:rsidRPr="006A2B13">
        <w:instrText>.</w:instrText>
      </w:r>
      <w:r w:rsidR="006A2B13">
        <w:rPr>
          <w:lang w:val="en-US"/>
        </w:rPr>
        <w:instrText>json</w:instrText>
      </w:r>
      <w:r w:rsidR="006A2B13" w:rsidRPr="006A2B13">
        <w:instrText>"}</w:instrText>
      </w:r>
      <w:r w:rsidRPr="000322E4">
        <w:rPr>
          <w:lang w:val="en-US"/>
        </w:rPr>
        <w:fldChar w:fldCharType="separate"/>
      </w:r>
      <w:r w:rsidR="00A6794A" w:rsidRPr="00A6794A">
        <w:rPr>
          <w:noProof/>
        </w:rPr>
        <w:t>[126]</w:t>
      </w:r>
      <w:r w:rsidRPr="000322E4">
        <w:rPr>
          <w:lang w:val="en-US"/>
        </w:rPr>
        <w:fldChar w:fldCharType="end"/>
      </w:r>
      <w:r w:rsidRPr="00293AC8">
        <w:rPr>
          <w:b/>
          <w:bCs/>
        </w:rPr>
        <w:t xml:space="preserve"> </w:t>
      </w:r>
    </w:p>
    <w:p w14:paraId="7DC47F1B" w14:textId="4ED9A2BA" w:rsidR="00697C42" w:rsidRDefault="00697C42" w:rsidP="00697C42">
      <w:pPr>
        <w:numPr>
          <w:ilvl w:val="0"/>
          <w:numId w:val="40"/>
        </w:numPr>
        <w:spacing w:line="360" w:lineRule="auto"/>
        <w:jc w:val="both"/>
      </w:pPr>
      <w:r>
        <w:t>Полатузумаб ведотин 1,8 мг/кг в/в кап., день 1</w:t>
      </w:r>
    </w:p>
    <w:p w14:paraId="0175793F" w14:textId="6D054211" w:rsidR="00697C42" w:rsidRPr="00293AC8" w:rsidRDefault="00697C42" w:rsidP="00697C42">
      <w:pPr>
        <w:numPr>
          <w:ilvl w:val="0"/>
          <w:numId w:val="40"/>
        </w:numPr>
        <w:spacing w:line="360" w:lineRule="auto"/>
        <w:jc w:val="both"/>
      </w:pPr>
      <w:r w:rsidRPr="000322E4">
        <w:t>Ритуксимаб</w:t>
      </w:r>
      <w:r w:rsidRPr="00293AC8">
        <w:rPr>
          <w:bCs/>
        </w:rPr>
        <w:t>**</w:t>
      </w:r>
      <w:r w:rsidRPr="00293AC8">
        <w:t xml:space="preserve"> </w:t>
      </w:r>
    </w:p>
    <w:p w14:paraId="12B92042" w14:textId="77777777" w:rsidR="00697C42" w:rsidRPr="00293AC8" w:rsidRDefault="00697C42" w:rsidP="00697C42">
      <w:pPr>
        <w:numPr>
          <w:ilvl w:val="1"/>
          <w:numId w:val="40"/>
        </w:numPr>
        <w:spacing w:line="360" w:lineRule="auto"/>
        <w:jc w:val="both"/>
      </w:pPr>
      <w:r w:rsidRPr="00293AC8">
        <w:t xml:space="preserve">375 </w:t>
      </w:r>
      <w:r w:rsidRPr="000322E4">
        <w:t>мг</w:t>
      </w:r>
      <w:r w:rsidRPr="00293AC8">
        <w:t>/</w:t>
      </w:r>
      <w:r w:rsidRPr="000322E4">
        <w:t>м</w:t>
      </w:r>
      <w:r w:rsidRPr="00293AC8">
        <w:rPr>
          <w:vertAlign w:val="superscript"/>
        </w:rPr>
        <w:t>2</w:t>
      </w:r>
      <w:r w:rsidRPr="00293AC8">
        <w:t xml:space="preserve"> </w:t>
      </w:r>
      <w:r w:rsidRPr="000322E4">
        <w:t>в</w:t>
      </w:r>
      <w:r w:rsidRPr="00293AC8">
        <w:t>/</w:t>
      </w:r>
      <w:r w:rsidRPr="000322E4">
        <w:t>в</w:t>
      </w:r>
      <w:r w:rsidRPr="00293AC8">
        <w:t xml:space="preserve"> </w:t>
      </w:r>
      <w:r w:rsidRPr="000322E4">
        <w:t>кап</w:t>
      </w:r>
      <w:r w:rsidRPr="00293AC8">
        <w:t xml:space="preserve">., </w:t>
      </w:r>
      <w:r w:rsidRPr="000322E4">
        <w:t>день</w:t>
      </w:r>
      <w:r w:rsidRPr="00293AC8">
        <w:t xml:space="preserve"> 1 </w:t>
      </w:r>
      <w:r w:rsidRPr="000322E4">
        <w:t>все</w:t>
      </w:r>
      <w:r w:rsidRPr="00293AC8">
        <w:t xml:space="preserve"> </w:t>
      </w:r>
      <w:r w:rsidRPr="000322E4">
        <w:t>циклы</w:t>
      </w:r>
      <w:r w:rsidRPr="00293AC8">
        <w:t xml:space="preserve"> </w:t>
      </w:r>
      <w:r w:rsidRPr="000322E4">
        <w:t>курса</w:t>
      </w:r>
    </w:p>
    <w:p w14:paraId="63174A8F" w14:textId="77777777" w:rsidR="00697C42" w:rsidRPr="00293AC8" w:rsidRDefault="00697C42" w:rsidP="00697C42">
      <w:pPr>
        <w:spacing w:line="360" w:lineRule="auto"/>
        <w:ind w:left="1080" w:firstLine="336"/>
        <w:jc w:val="both"/>
      </w:pPr>
      <w:r w:rsidRPr="000322E4">
        <w:t>или</w:t>
      </w:r>
    </w:p>
    <w:p w14:paraId="0F943957" w14:textId="1F38EDE2" w:rsidR="00697C42" w:rsidRPr="00293AC8" w:rsidRDefault="00697C42" w:rsidP="00697C42">
      <w:pPr>
        <w:numPr>
          <w:ilvl w:val="1"/>
          <w:numId w:val="40"/>
        </w:numPr>
        <w:spacing w:line="360" w:lineRule="auto"/>
        <w:jc w:val="both"/>
      </w:pPr>
      <w:r w:rsidRPr="00293AC8">
        <w:t xml:space="preserve">375 </w:t>
      </w:r>
      <w:r w:rsidRPr="000322E4">
        <w:t>мг</w:t>
      </w:r>
      <w:r w:rsidRPr="00293AC8">
        <w:t>/</w:t>
      </w:r>
      <w:r w:rsidRPr="000322E4">
        <w:t>м</w:t>
      </w:r>
      <w:r w:rsidRPr="00293AC8">
        <w:rPr>
          <w:vertAlign w:val="superscript"/>
        </w:rPr>
        <w:t>2</w:t>
      </w:r>
      <w:r w:rsidRPr="00293AC8">
        <w:t xml:space="preserve"> </w:t>
      </w:r>
      <w:r w:rsidRPr="000322E4">
        <w:t>в</w:t>
      </w:r>
      <w:r w:rsidRPr="00293AC8">
        <w:t>/</w:t>
      </w:r>
      <w:r w:rsidRPr="000322E4">
        <w:t>в</w:t>
      </w:r>
      <w:r w:rsidRPr="00293AC8">
        <w:t xml:space="preserve"> </w:t>
      </w:r>
      <w:r w:rsidRPr="000322E4">
        <w:t>кап</w:t>
      </w:r>
      <w:r w:rsidRPr="00293AC8">
        <w:t xml:space="preserve">. 1 </w:t>
      </w:r>
      <w:r w:rsidRPr="000322E4">
        <w:t>цикл</w:t>
      </w:r>
      <w:r w:rsidRPr="00293AC8">
        <w:t xml:space="preserve">, </w:t>
      </w:r>
      <w:r w:rsidRPr="000322E4">
        <w:t>далее</w:t>
      </w:r>
      <w:r w:rsidRPr="00293AC8">
        <w:t xml:space="preserve"> </w:t>
      </w:r>
      <w:r w:rsidRPr="000322E4">
        <w:t>ритуксимаб</w:t>
      </w:r>
      <w:r w:rsidRPr="00293AC8">
        <w:t xml:space="preserve"> 1400 </w:t>
      </w:r>
      <w:r w:rsidRPr="000322E4">
        <w:t>мг</w:t>
      </w:r>
      <w:r w:rsidRPr="00293AC8">
        <w:t xml:space="preserve"> </w:t>
      </w:r>
      <w:r w:rsidRPr="000322E4">
        <w:t>п</w:t>
      </w:r>
      <w:r w:rsidRPr="00293AC8">
        <w:t>/</w:t>
      </w:r>
      <w:r w:rsidRPr="000322E4">
        <w:t>к</w:t>
      </w:r>
      <w:r w:rsidRPr="00293AC8">
        <w:t xml:space="preserve">, </w:t>
      </w:r>
      <w:r w:rsidRPr="000322E4">
        <w:t>день</w:t>
      </w:r>
      <w:r w:rsidRPr="00293AC8">
        <w:t xml:space="preserve"> 1 </w:t>
      </w:r>
      <w:r w:rsidRPr="000322E4">
        <w:rPr>
          <w:lang w:val="en-US"/>
        </w:rPr>
        <w:fldChar w:fldCharType="begin" w:fldLock="1"/>
      </w:r>
      <w:r w:rsidR="00A6794A">
        <w:rPr>
          <w:lang w:val="en-US"/>
        </w:rPr>
        <w:instrText>ADDIN</w:instrText>
      </w:r>
      <w:r w:rsidR="00A6794A" w:rsidRPr="00D3550C">
        <w:instrText xml:space="preserve"> </w:instrText>
      </w:r>
      <w:r w:rsidR="00A6794A">
        <w:rPr>
          <w:lang w:val="en-US"/>
        </w:rPr>
        <w:instrText>CSL</w:instrText>
      </w:r>
      <w:r w:rsidR="00A6794A" w:rsidRPr="00D3550C">
        <w:instrText>_</w:instrText>
      </w:r>
      <w:r w:rsidR="00A6794A">
        <w:rPr>
          <w:lang w:val="en-US"/>
        </w:rPr>
        <w:instrText>CITATION</w:instrText>
      </w:r>
      <w:r w:rsidR="00A6794A" w:rsidRPr="00D3550C">
        <w:instrText xml:space="preserve"> {"</w:instrText>
      </w:r>
      <w:r w:rsidR="00A6794A">
        <w:rPr>
          <w:lang w:val="en-US"/>
        </w:rPr>
        <w:instrText>citationItems</w:instrText>
      </w:r>
      <w:r w:rsidR="00A6794A" w:rsidRPr="00D3550C">
        <w:instrText>":[{"</w:instrText>
      </w:r>
      <w:r w:rsidR="00A6794A">
        <w:rPr>
          <w:lang w:val="en-US"/>
        </w:rPr>
        <w:instrText>id</w:instrText>
      </w:r>
      <w:r w:rsidR="00A6794A" w:rsidRPr="00D3550C">
        <w:instrText>":"</w:instrText>
      </w:r>
      <w:r w:rsidR="00A6794A">
        <w:rPr>
          <w:lang w:val="en-US"/>
        </w:rPr>
        <w:instrText>ITEM</w:instrText>
      </w:r>
      <w:r w:rsidR="00A6794A" w:rsidRPr="00D3550C">
        <w:instrText>-1","</w:instrText>
      </w:r>
      <w:r w:rsidR="00A6794A">
        <w:rPr>
          <w:lang w:val="en-US"/>
        </w:rPr>
        <w:instrText>itemData</w:instrText>
      </w:r>
      <w:r w:rsidR="00A6794A" w:rsidRPr="00D3550C">
        <w:instrText>":{"</w:instrText>
      </w:r>
      <w:r w:rsidR="00A6794A">
        <w:rPr>
          <w:lang w:val="en-US"/>
        </w:rPr>
        <w:instrText>ISSN</w:instrText>
      </w:r>
      <w:r w:rsidR="00A6794A" w:rsidRPr="00D3550C">
        <w:instrText>":"2150-0878","</w:instrText>
      </w:r>
      <w:r w:rsidR="00A6794A">
        <w:rPr>
          <w:lang w:val="en-US"/>
        </w:rPr>
        <w:instrText>PMID</w:instrText>
      </w:r>
      <w:r w:rsidR="00A6794A" w:rsidRPr="00D3550C">
        <w:instrText>":"31086689","</w:instrText>
      </w:r>
      <w:r w:rsidR="00A6794A">
        <w:rPr>
          <w:lang w:val="en-US"/>
        </w:rPr>
        <w:instrText>abstract</w:instrText>
      </w:r>
      <w:r w:rsidR="00A6794A" w:rsidRPr="00D3550C">
        <w:instrText>":"</w:instrText>
      </w:r>
      <w:r w:rsidR="00A6794A">
        <w:rPr>
          <w:lang w:val="en-US"/>
        </w:rPr>
        <w:instrText>Rituximab</w:instrText>
      </w:r>
      <w:r w:rsidR="00A6794A" w:rsidRPr="00D3550C">
        <w:instrText xml:space="preserve"> </w:instrText>
      </w:r>
      <w:r w:rsidR="00A6794A">
        <w:rPr>
          <w:lang w:val="en-US"/>
        </w:rPr>
        <w:instrText>and</w:instrText>
      </w:r>
      <w:r w:rsidR="00A6794A" w:rsidRPr="00D3550C">
        <w:instrText xml:space="preserve"> </w:instrText>
      </w:r>
      <w:r w:rsidR="00A6794A">
        <w:rPr>
          <w:lang w:val="en-US"/>
        </w:rPr>
        <w:instrText>hyaluronidase</w:instrText>
      </w:r>
      <w:r w:rsidR="00A6794A" w:rsidRPr="00D3550C">
        <w:instrText xml:space="preserve"> </w:instrText>
      </w:r>
      <w:r w:rsidR="00A6794A">
        <w:rPr>
          <w:lang w:val="en-US"/>
        </w:rPr>
        <w:instrText>human</w:instrText>
      </w:r>
      <w:r w:rsidR="00A6794A" w:rsidRPr="00D3550C">
        <w:instrText xml:space="preserve"> </w:instrText>
      </w:r>
      <w:r w:rsidR="00A6794A">
        <w:rPr>
          <w:lang w:val="en-US"/>
        </w:rPr>
        <w:instrText>is</w:instrText>
      </w:r>
      <w:r w:rsidR="00A6794A" w:rsidRPr="00D3550C">
        <w:instrText xml:space="preserve"> </w:instrText>
      </w:r>
      <w:r w:rsidR="00A6794A">
        <w:rPr>
          <w:lang w:val="en-US"/>
        </w:rPr>
        <w:instrText>a</w:instrText>
      </w:r>
      <w:r w:rsidR="00A6794A" w:rsidRPr="00D3550C">
        <w:instrText xml:space="preserve"> </w:instrText>
      </w:r>
      <w:r w:rsidR="00A6794A">
        <w:rPr>
          <w:lang w:val="en-US"/>
        </w:rPr>
        <w:instrText>new</w:instrText>
      </w:r>
      <w:r w:rsidR="00A6794A" w:rsidRPr="00D3550C">
        <w:instrText xml:space="preserve"> </w:instrText>
      </w:r>
      <w:r w:rsidR="00A6794A">
        <w:rPr>
          <w:lang w:val="en-US"/>
        </w:rPr>
        <w:instrText>subcutaneous</w:instrText>
      </w:r>
      <w:r w:rsidR="00A6794A" w:rsidRPr="00D3550C">
        <w:instrText xml:space="preserve"> </w:instrText>
      </w:r>
      <w:r w:rsidR="00A6794A">
        <w:rPr>
          <w:lang w:val="en-US"/>
        </w:rPr>
        <w:instrText>formulation</w:instrText>
      </w:r>
      <w:r w:rsidR="00A6794A" w:rsidRPr="00D3550C">
        <w:instrText xml:space="preserve"> </w:instrText>
      </w:r>
      <w:r w:rsidR="00A6794A">
        <w:rPr>
          <w:lang w:val="en-US"/>
        </w:rPr>
        <w:instrText>of</w:instrText>
      </w:r>
      <w:r w:rsidR="00A6794A" w:rsidRPr="00D3550C">
        <w:instrText xml:space="preserve"> </w:instrText>
      </w:r>
      <w:r w:rsidR="00A6794A">
        <w:rPr>
          <w:lang w:val="en-US"/>
        </w:rPr>
        <w:instrText>rituximab</w:instrText>
      </w:r>
      <w:r w:rsidR="00A6794A" w:rsidRPr="00D3550C">
        <w:instrText xml:space="preserve"> </w:instrText>
      </w:r>
      <w:r w:rsidR="00A6794A">
        <w:rPr>
          <w:lang w:val="en-US"/>
        </w:rPr>
        <w:instrText>that</w:instrText>
      </w:r>
      <w:r w:rsidR="00A6794A" w:rsidRPr="00D3550C">
        <w:instrText xml:space="preserve"> </w:instrText>
      </w:r>
      <w:r w:rsidR="00A6794A">
        <w:rPr>
          <w:lang w:val="en-US"/>
        </w:rPr>
        <w:instrText>was</w:instrText>
      </w:r>
      <w:r w:rsidR="00A6794A" w:rsidRPr="00D3550C">
        <w:instrText xml:space="preserve"> </w:instrText>
      </w:r>
      <w:r w:rsidR="00A6794A">
        <w:rPr>
          <w:lang w:val="en-US"/>
        </w:rPr>
        <w:instrText>recently</w:instrText>
      </w:r>
      <w:r w:rsidR="00A6794A" w:rsidRPr="00D3550C">
        <w:instrText xml:space="preserve"> </w:instrText>
      </w:r>
      <w:r w:rsidR="00A6794A">
        <w:rPr>
          <w:lang w:val="en-US"/>
        </w:rPr>
        <w:instrText>approved</w:instrText>
      </w:r>
      <w:r w:rsidR="00A6794A" w:rsidRPr="00D3550C">
        <w:instrText xml:space="preserve"> </w:instrText>
      </w:r>
      <w:r w:rsidR="00A6794A">
        <w:rPr>
          <w:lang w:val="en-US"/>
        </w:rPr>
        <w:instrText>by</w:instrText>
      </w:r>
      <w:r w:rsidR="00A6794A" w:rsidRPr="00D3550C">
        <w:instrText xml:space="preserve"> </w:instrText>
      </w:r>
      <w:r w:rsidR="00A6794A">
        <w:rPr>
          <w:lang w:val="en-US"/>
        </w:rPr>
        <w:instrText>the</w:instrText>
      </w:r>
      <w:r w:rsidR="00A6794A" w:rsidRPr="00D3550C">
        <w:instrText xml:space="preserve"> </w:instrText>
      </w:r>
      <w:r w:rsidR="00A6794A">
        <w:rPr>
          <w:lang w:val="en-US"/>
        </w:rPr>
        <w:instrText>US</w:instrText>
      </w:r>
      <w:r w:rsidR="00A6794A" w:rsidRPr="00D3550C">
        <w:instrText xml:space="preserve"> </w:instrText>
      </w:r>
      <w:r w:rsidR="00A6794A">
        <w:rPr>
          <w:lang w:val="en-US"/>
        </w:rPr>
        <w:instrText>Food</w:instrText>
      </w:r>
      <w:r w:rsidR="00A6794A" w:rsidRPr="00D3550C">
        <w:instrText xml:space="preserve"> </w:instrText>
      </w:r>
      <w:r w:rsidR="00A6794A">
        <w:rPr>
          <w:lang w:val="en-US"/>
        </w:rPr>
        <w:instrText>and</w:instrText>
      </w:r>
      <w:r w:rsidR="00A6794A" w:rsidRPr="00D3550C">
        <w:instrText xml:space="preserve"> </w:instrText>
      </w:r>
      <w:r w:rsidR="00A6794A">
        <w:rPr>
          <w:lang w:val="en-US"/>
        </w:rPr>
        <w:instrText>Drug</w:instrText>
      </w:r>
      <w:r w:rsidR="00A6794A" w:rsidRPr="00D3550C">
        <w:instrText xml:space="preserve"> </w:instrText>
      </w:r>
      <w:r w:rsidR="00A6794A">
        <w:rPr>
          <w:lang w:val="en-US"/>
        </w:rPr>
        <w:instrText>Administration</w:instrText>
      </w:r>
      <w:r w:rsidR="00A6794A" w:rsidRPr="00D3550C">
        <w:instrText xml:space="preserve"> </w:instrText>
      </w:r>
      <w:r w:rsidR="00A6794A">
        <w:rPr>
          <w:lang w:val="en-US"/>
        </w:rPr>
        <w:instrText>for</w:instrText>
      </w:r>
      <w:r w:rsidR="00A6794A" w:rsidRPr="00D3550C">
        <w:instrText xml:space="preserve"> </w:instrText>
      </w:r>
      <w:r w:rsidR="00A6794A">
        <w:rPr>
          <w:lang w:val="en-US"/>
        </w:rPr>
        <w:instrText>the</w:instrText>
      </w:r>
      <w:r w:rsidR="00A6794A" w:rsidRPr="00D3550C">
        <w:instrText xml:space="preserve"> </w:instrText>
      </w:r>
      <w:r w:rsidR="00A6794A">
        <w:rPr>
          <w:lang w:val="en-US"/>
        </w:rPr>
        <w:instrText>treatment</w:instrText>
      </w:r>
      <w:r w:rsidR="00A6794A" w:rsidRPr="00D3550C">
        <w:instrText xml:space="preserve"> </w:instrText>
      </w:r>
      <w:r w:rsidR="00A6794A">
        <w:rPr>
          <w:lang w:val="en-US"/>
        </w:rPr>
        <w:instrText>of</w:instrText>
      </w:r>
      <w:r w:rsidR="00A6794A" w:rsidRPr="00D3550C">
        <w:instrText xml:space="preserve"> </w:instrText>
      </w:r>
      <w:r w:rsidR="00A6794A">
        <w:rPr>
          <w:lang w:val="en-US"/>
        </w:rPr>
        <w:instrText>adults</w:instrText>
      </w:r>
      <w:r w:rsidR="00A6794A" w:rsidRPr="00D3550C">
        <w:instrText xml:space="preserve"> </w:instrText>
      </w:r>
      <w:r w:rsidR="00A6794A">
        <w:rPr>
          <w:lang w:val="en-US"/>
        </w:rPr>
        <w:instrText>with</w:instrText>
      </w:r>
      <w:r w:rsidR="00A6794A" w:rsidRPr="00D3550C">
        <w:instrText xml:space="preserve"> </w:instrText>
      </w:r>
      <w:r w:rsidR="00A6794A">
        <w:rPr>
          <w:lang w:val="en-US"/>
        </w:rPr>
        <w:instrText>follicular</w:instrText>
      </w:r>
      <w:r w:rsidR="00A6794A" w:rsidRPr="00D3550C">
        <w:instrText xml:space="preserve"> </w:instrText>
      </w:r>
      <w:r w:rsidR="00A6794A">
        <w:rPr>
          <w:lang w:val="en-US"/>
        </w:rPr>
        <w:instrText>lymphoma</w:instrText>
      </w:r>
      <w:r w:rsidR="00A6794A" w:rsidRPr="00D3550C">
        <w:instrText xml:space="preserve">, </w:instrText>
      </w:r>
      <w:r w:rsidR="00A6794A">
        <w:rPr>
          <w:lang w:val="en-US"/>
        </w:rPr>
        <w:instrText>diffuse</w:instrText>
      </w:r>
      <w:r w:rsidR="00A6794A" w:rsidRPr="00D3550C">
        <w:instrText xml:space="preserve"> </w:instrText>
      </w:r>
      <w:r w:rsidR="00A6794A">
        <w:rPr>
          <w:lang w:val="en-US"/>
        </w:rPr>
        <w:instrText>large</w:instrText>
      </w:r>
      <w:r w:rsidR="00A6794A" w:rsidRPr="00D3550C">
        <w:instrText xml:space="preserve"> </w:instrText>
      </w:r>
      <w:r w:rsidR="00A6794A">
        <w:rPr>
          <w:lang w:val="en-US"/>
        </w:rPr>
        <w:instrText>B</w:instrText>
      </w:r>
      <w:r w:rsidR="00A6794A" w:rsidRPr="00D3550C">
        <w:instrText>-</w:instrText>
      </w:r>
      <w:r w:rsidR="00A6794A">
        <w:rPr>
          <w:lang w:val="en-US"/>
        </w:rPr>
        <w:instrText>cell</w:instrText>
      </w:r>
      <w:r w:rsidR="00A6794A" w:rsidRPr="00D3550C">
        <w:instrText xml:space="preserve"> </w:instrText>
      </w:r>
      <w:r w:rsidR="00A6794A">
        <w:rPr>
          <w:lang w:val="en-US"/>
        </w:rPr>
        <w:instrText>lymphoma</w:instrText>
      </w:r>
      <w:r w:rsidR="00A6794A" w:rsidRPr="00D3550C">
        <w:instrText xml:space="preserve">, </w:instrText>
      </w:r>
      <w:r w:rsidR="00A6794A">
        <w:rPr>
          <w:lang w:val="en-US"/>
        </w:rPr>
        <w:instrText>and</w:instrText>
      </w:r>
      <w:r w:rsidR="00A6794A" w:rsidRPr="00D3550C">
        <w:instrText xml:space="preserve"> </w:instrText>
      </w:r>
      <w:r w:rsidR="00A6794A">
        <w:rPr>
          <w:lang w:val="en-US"/>
        </w:rPr>
        <w:instrText>chronic</w:instrText>
      </w:r>
      <w:r w:rsidR="00A6794A" w:rsidRPr="00D3550C">
        <w:instrText xml:space="preserve"> </w:instrText>
      </w:r>
      <w:r w:rsidR="00A6794A">
        <w:rPr>
          <w:lang w:val="en-US"/>
        </w:rPr>
        <w:instrText>lymphocytic</w:instrText>
      </w:r>
      <w:r w:rsidR="00A6794A" w:rsidRPr="00D3550C">
        <w:instrText xml:space="preserve"> </w:instrText>
      </w:r>
      <w:r w:rsidR="00A6794A">
        <w:rPr>
          <w:lang w:val="en-US"/>
        </w:rPr>
        <w:instrText>leukemia</w:instrText>
      </w:r>
      <w:r w:rsidR="00A6794A" w:rsidRPr="00D3550C">
        <w:instrText xml:space="preserve">. </w:instrText>
      </w:r>
      <w:r w:rsidR="00A6794A">
        <w:rPr>
          <w:lang w:val="en-US"/>
        </w:rPr>
        <w:instrText>With</w:instrText>
      </w:r>
      <w:r w:rsidR="00A6794A" w:rsidRPr="00D3550C">
        <w:instrText xml:space="preserve"> </w:instrText>
      </w:r>
      <w:r w:rsidR="00A6794A">
        <w:rPr>
          <w:lang w:val="en-US"/>
        </w:rPr>
        <w:instrText>data</w:instrText>
      </w:r>
      <w:r w:rsidR="00A6794A" w:rsidRPr="00D3550C">
        <w:instrText xml:space="preserve"> </w:instrText>
      </w:r>
      <w:r w:rsidR="00A6794A">
        <w:rPr>
          <w:lang w:val="en-US"/>
        </w:rPr>
        <w:instrText>to</w:instrText>
      </w:r>
      <w:r w:rsidR="00A6794A" w:rsidRPr="00D3550C">
        <w:instrText xml:space="preserve"> </w:instrText>
      </w:r>
      <w:r w:rsidR="00A6794A">
        <w:rPr>
          <w:lang w:val="en-US"/>
        </w:rPr>
        <w:instrText>support</w:instrText>
      </w:r>
      <w:r w:rsidR="00A6794A" w:rsidRPr="00D3550C">
        <w:instrText xml:space="preserve"> </w:instrText>
      </w:r>
      <w:r w:rsidR="00A6794A">
        <w:rPr>
          <w:lang w:val="en-US"/>
        </w:rPr>
        <w:instrText>noninferior</w:instrText>
      </w:r>
      <w:r w:rsidR="00A6794A" w:rsidRPr="00D3550C">
        <w:instrText xml:space="preserve"> </w:instrText>
      </w:r>
      <w:r w:rsidR="00A6794A">
        <w:rPr>
          <w:lang w:val="en-US"/>
        </w:rPr>
        <w:instrText>pharmacokinetics</w:instrText>
      </w:r>
      <w:r w:rsidR="00A6794A" w:rsidRPr="00D3550C">
        <w:instrText xml:space="preserve">, </w:instrText>
      </w:r>
      <w:r w:rsidR="00A6794A">
        <w:rPr>
          <w:lang w:val="en-US"/>
        </w:rPr>
        <w:instrText>similar</w:instrText>
      </w:r>
      <w:r w:rsidR="00A6794A" w:rsidRPr="00D3550C">
        <w:instrText xml:space="preserve"> </w:instrText>
      </w:r>
      <w:r w:rsidR="00A6794A">
        <w:rPr>
          <w:lang w:val="en-US"/>
        </w:rPr>
        <w:instrText>outcomes</w:instrText>
      </w:r>
      <w:r w:rsidR="00A6794A" w:rsidRPr="00D3550C">
        <w:instrText xml:space="preserve">, </w:instrText>
      </w:r>
      <w:r w:rsidR="00A6794A">
        <w:rPr>
          <w:lang w:val="en-US"/>
        </w:rPr>
        <w:instrText>and</w:instrText>
      </w:r>
      <w:r w:rsidR="00A6794A" w:rsidRPr="00D3550C">
        <w:instrText xml:space="preserve"> </w:instrText>
      </w:r>
      <w:r w:rsidR="00A6794A">
        <w:rPr>
          <w:lang w:val="en-US"/>
        </w:rPr>
        <w:instrText>comparable</w:instrText>
      </w:r>
      <w:r w:rsidR="00A6794A" w:rsidRPr="00D3550C">
        <w:instrText xml:space="preserve"> </w:instrText>
      </w:r>
      <w:r w:rsidR="00A6794A">
        <w:rPr>
          <w:lang w:val="en-US"/>
        </w:rPr>
        <w:instrText>adverse</w:instrText>
      </w:r>
      <w:r w:rsidR="00A6794A" w:rsidRPr="00D3550C">
        <w:instrText xml:space="preserve"> </w:instrText>
      </w:r>
      <w:r w:rsidR="00A6794A">
        <w:rPr>
          <w:lang w:val="en-US"/>
        </w:rPr>
        <w:instrText>events</w:instrText>
      </w:r>
      <w:r w:rsidR="00A6794A" w:rsidRPr="00D3550C">
        <w:instrText xml:space="preserve">, </w:instrText>
      </w:r>
      <w:r w:rsidR="00A6794A">
        <w:rPr>
          <w:lang w:val="en-US"/>
        </w:rPr>
        <w:instrText>rituximab</w:instrText>
      </w:r>
      <w:r w:rsidR="00A6794A" w:rsidRPr="00D3550C">
        <w:instrText xml:space="preserve"> </w:instrText>
      </w:r>
      <w:r w:rsidR="00A6794A">
        <w:rPr>
          <w:lang w:val="en-US"/>
        </w:rPr>
        <w:instrText>and</w:instrText>
      </w:r>
      <w:r w:rsidR="00A6794A" w:rsidRPr="00D3550C">
        <w:instrText xml:space="preserve"> </w:instrText>
      </w:r>
      <w:r w:rsidR="00A6794A">
        <w:rPr>
          <w:lang w:val="en-US"/>
        </w:rPr>
        <w:instrText>hyaluronidase</w:instrText>
      </w:r>
      <w:r w:rsidR="00A6794A" w:rsidRPr="00D3550C">
        <w:instrText xml:space="preserve"> </w:instrText>
      </w:r>
      <w:r w:rsidR="00A6794A">
        <w:rPr>
          <w:lang w:val="en-US"/>
        </w:rPr>
        <w:instrText>human</w:instrText>
      </w:r>
      <w:r w:rsidR="00A6794A" w:rsidRPr="00D3550C">
        <w:instrText xml:space="preserve"> </w:instrText>
      </w:r>
      <w:r w:rsidR="00A6794A">
        <w:rPr>
          <w:lang w:val="en-US"/>
        </w:rPr>
        <w:instrText>may</w:instrText>
      </w:r>
      <w:r w:rsidR="00A6794A" w:rsidRPr="00D3550C">
        <w:instrText xml:space="preserve"> </w:instrText>
      </w:r>
      <w:r w:rsidR="00A6794A">
        <w:rPr>
          <w:lang w:val="en-US"/>
        </w:rPr>
        <w:instrText>offer</w:instrText>
      </w:r>
      <w:r w:rsidR="00A6794A" w:rsidRPr="00D3550C">
        <w:instrText xml:space="preserve"> </w:instrText>
      </w:r>
      <w:r w:rsidR="00A6794A">
        <w:rPr>
          <w:lang w:val="en-US"/>
        </w:rPr>
        <w:instrText>a</w:instrText>
      </w:r>
      <w:r w:rsidR="00A6794A" w:rsidRPr="00D3550C">
        <w:instrText xml:space="preserve"> </w:instrText>
      </w:r>
      <w:r w:rsidR="00A6794A">
        <w:rPr>
          <w:lang w:val="en-US"/>
        </w:rPr>
        <w:instrText>suitable</w:instrText>
      </w:r>
      <w:r w:rsidR="00A6794A" w:rsidRPr="00D3550C">
        <w:instrText xml:space="preserve"> </w:instrText>
      </w:r>
      <w:r w:rsidR="00A6794A">
        <w:rPr>
          <w:lang w:val="en-US"/>
        </w:rPr>
        <w:instrText>alternative</w:instrText>
      </w:r>
      <w:r w:rsidR="00A6794A" w:rsidRPr="00D3550C">
        <w:instrText xml:space="preserve"> </w:instrText>
      </w:r>
      <w:r w:rsidR="00A6794A">
        <w:rPr>
          <w:lang w:val="en-US"/>
        </w:rPr>
        <w:instrText>to</w:instrText>
      </w:r>
      <w:r w:rsidR="00A6794A" w:rsidRPr="00D3550C">
        <w:instrText xml:space="preserve"> </w:instrText>
      </w:r>
      <w:r w:rsidR="00A6794A">
        <w:rPr>
          <w:lang w:val="en-US"/>
        </w:rPr>
        <w:instrText>intravenous</w:instrText>
      </w:r>
      <w:r w:rsidR="00A6794A" w:rsidRPr="00D3550C">
        <w:instrText xml:space="preserve"> </w:instrText>
      </w:r>
      <w:r w:rsidR="00A6794A">
        <w:rPr>
          <w:lang w:val="en-US"/>
        </w:rPr>
        <w:instrText>rituximab</w:instrText>
      </w:r>
      <w:r w:rsidR="00A6794A" w:rsidRPr="00D3550C">
        <w:instrText xml:space="preserve"> </w:instrText>
      </w:r>
      <w:r w:rsidR="00A6794A">
        <w:rPr>
          <w:lang w:val="en-US"/>
        </w:rPr>
        <w:instrText>that</w:instrText>
      </w:r>
      <w:r w:rsidR="00A6794A" w:rsidRPr="00D3550C">
        <w:instrText xml:space="preserve"> </w:instrText>
      </w:r>
      <w:r w:rsidR="00A6794A">
        <w:rPr>
          <w:lang w:val="en-US"/>
        </w:rPr>
        <w:instrText>could</w:instrText>
      </w:r>
      <w:r w:rsidR="00A6794A" w:rsidRPr="00D3550C">
        <w:instrText xml:space="preserve"> </w:instrText>
      </w:r>
      <w:r w:rsidR="00A6794A">
        <w:rPr>
          <w:lang w:val="en-US"/>
        </w:rPr>
        <w:instrText>improve</w:instrText>
      </w:r>
      <w:r w:rsidR="00A6794A" w:rsidRPr="00D3550C">
        <w:instrText xml:space="preserve"> </w:instrText>
      </w:r>
      <w:r w:rsidR="00A6794A">
        <w:rPr>
          <w:lang w:val="en-US"/>
        </w:rPr>
        <w:instrText>convenience</w:instrText>
      </w:r>
      <w:r w:rsidR="00A6794A" w:rsidRPr="00D3550C">
        <w:instrText xml:space="preserve"> </w:instrText>
      </w:r>
      <w:r w:rsidR="00A6794A">
        <w:rPr>
          <w:lang w:val="en-US"/>
        </w:rPr>
        <w:instrText>for</w:instrText>
      </w:r>
      <w:r w:rsidR="00A6794A" w:rsidRPr="00D3550C">
        <w:instrText xml:space="preserve"> </w:instrText>
      </w:r>
      <w:r w:rsidR="00A6794A">
        <w:rPr>
          <w:lang w:val="en-US"/>
        </w:rPr>
        <w:instrText>patients</w:instrText>
      </w:r>
      <w:r w:rsidR="00A6794A" w:rsidRPr="00D3550C">
        <w:instrText xml:space="preserve"> </w:instrText>
      </w:r>
      <w:r w:rsidR="00A6794A">
        <w:rPr>
          <w:lang w:val="en-US"/>
        </w:rPr>
        <w:instrText>and</w:instrText>
      </w:r>
      <w:r w:rsidR="00A6794A" w:rsidRPr="00D3550C">
        <w:instrText xml:space="preserve"> </w:instrText>
      </w:r>
      <w:r w:rsidR="00A6794A">
        <w:rPr>
          <w:lang w:val="en-US"/>
        </w:rPr>
        <w:instrText>better</w:instrText>
      </w:r>
      <w:r w:rsidR="00A6794A" w:rsidRPr="00D3550C">
        <w:instrText xml:space="preserve"> </w:instrText>
      </w:r>
      <w:r w:rsidR="00A6794A">
        <w:rPr>
          <w:lang w:val="en-US"/>
        </w:rPr>
        <w:instrText>utilize</w:instrText>
      </w:r>
      <w:r w:rsidR="00A6794A" w:rsidRPr="00D3550C">
        <w:instrText xml:space="preserve"> </w:instrText>
      </w:r>
      <w:r w:rsidR="00A6794A">
        <w:rPr>
          <w:lang w:val="en-US"/>
        </w:rPr>
        <w:instrText>health</w:instrText>
      </w:r>
      <w:r w:rsidR="00A6794A" w:rsidRPr="00D3550C">
        <w:instrText>-</w:instrText>
      </w:r>
      <w:r w:rsidR="00A6794A">
        <w:rPr>
          <w:lang w:val="en-US"/>
        </w:rPr>
        <w:instrText>care</w:instrText>
      </w:r>
      <w:r w:rsidR="00A6794A" w:rsidRPr="00D3550C">
        <w:instrText xml:space="preserve"> </w:instrText>
      </w:r>
      <w:r w:rsidR="00A6794A">
        <w:rPr>
          <w:lang w:val="en-US"/>
        </w:rPr>
        <w:instrText>resources</w:instrText>
      </w:r>
      <w:r w:rsidR="00A6794A" w:rsidRPr="00D3550C">
        <w:instrText>.","</w:instrText>
      </w:r>
      <w:r w:rsidR="00A6794A">
        <w:rPr>
          <w:lang w:val="en-US"/>
        </w:rPr>
        <w:instrText>author</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family</w:instrText>
      </w:r>
      <w:r w:rsidR="00A6794A" w:rsidRPr="00D3550C">
        <w:instrText>":"</w:instrText>
      </w:r>
      <w:r w:rsidR="00A6794A">
        <w:rPr>
          <w:lang w:val="en-US"/>
        </w:rPr>
        <w:instrText>Yelvington</w:instrText>
      </w:r>
      <w:r w:rsidR="00A6794A" w:rsidRPr="00D3550C">
        <w:instrText>","</w:instrText>
      </w:r>
      <w:r w:rsidR="00A6794A">
        <w:rPr>
          <w:lang w:val="en-US"/>
        </w:rPr>
        <w:instrText>given</w:instrText>
      </w:r>
      <w:r w:rsidR="00A6794A" w:rsidRPr="00D3550C">
        <w:instrText>":"</w:instrText>
      </w:r>
      <w:r w:rsidR="00A6794A">
        <w:rPr>
          <w:lang w:val="en-US"/>
        </w:rPr>
        <w:instrText>Bradley</w:instrText>
      </w:r>
      <w:r w:rsidR="00A6794A" w:rsidRPr="00D3550C">
        <w:instrText xml:space="preserve"> </w:instrText>
      </w:r>
      <w:r w:rsidR="00A6794A">
        <w:rPr>
          <w:lang w:val="en-US"/>
        </w:rPr>
        <w:instrText>J</w:instrText>
      </w:r>
      <w:r w:rsidR="00A6794A" w:rsidRPr="00D3550C">
        <w:instrText>","</w:instrText>
      </w:r>
      <w:r w:rsidR="00A6794A">
        <w:rPr>
          <w:lang w:val="en-US"/>
        </w:rPr>
        <w:instrText>non</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parse</w:instrText>
      </w:r>
      <w:r w:rsidR="00A6794A" w:rsidRPr="00D3550C">
        <w:instrText>-</w:instrText>
      </w:r>
      <w:r w:rsidR="00A6794A">
        <w:rPr>
          <w:lang w:val="en-US"/>
        </w:rPr>
        <w:instrText>names</w:instrText>
      </w:r>
      <w:r w:rsidR="00A6794A" w:rsidRPr="00D3550C">
        <w:instrText>":</w:instrText>
      </w:r>
      <w:r w:rsidR="00A6794A">
        <w:rPr>
          <w:lang w:val="en-US"/>
        </w:rPr>
        <w:instrText>false</w:instrText>
      </w:r>
      <w:r w:rsidR="00A6794A" w:rsidRPr="00D3550C">
        <w:instrText>,"</w:instrText>
      </w:r>
      <w:r w:rsidR="00A6794A">
        <w:rPr>
          <w:lang w:val="en-US"/>
        </w:rPr>
        <w:instrText>suffix</w:instrText>
      </w:r>
      <w:r w:rsidR="00A6794A" w:rsidRPr="00D3550C">
        <w:instrText>":""}],"</w:instrText>
      </w:r>
      <w:r w:rsidR="00A6794A">
        <w:rPr>
          <w:lang w:val="en-US"/>
        </w:rPr>
        <w:instrText>container</w:instrText>
      </w:r>
      <w:r w:rsidR="00A6794A" w:rsidRPr="00D3550C">
        <w:instrText>-</w:instrText>
      </w:r>
      <w:r w:rsidR="00A6794A">
        <w:rPr>
          <w:lang w:val="en-US"/>
        </w:rPr>
        <w:instrText>title</w:instrText>
      </w:r>
      <w:r w:rsidR="00A6794A" w:rsidRPr="00D3550C">
        <w:instrText>":"</w:instrText>
      </w:r>
      <w:r w:rsidR="00A6794A">
        <w:rPr>
          <w:lang w:val="en-US"/>
        </w:rPr>
        <w:instrText>Journal</w:instrText>
      </w:r>
      <w:r w:rsidR="00A6794A" w:rsidRPr="00D3550C">
        <w:instrText xml:space="preserve"> </w:instrText>
      </w:r>
      <w:r w:rsidR="00A6794A">
        <w:rPr>
          <w:lang w:val="en-US"/>
        </w:rPr>
        <w:instrText>of</w:instrText>
      </w:r>
      <w:r w:rsidR="00A6794A" w:rsidRPr="00D3550C">
        <w:instrText xml:space="preserve"> </w:instrText>
      </w:r>
      <w:r w:rsidR="00A6794A">
        <w:rPr>
          <w:lang w:val="en-US"/>
        </w:rPr>
        <w:instrText>the</w:instrText>
      </w:r>
      <w:r w:rsidR="00A6794A" w:rsidRPr="00D3550C">
        <w:instrText xml:space="preserve"> </w:instrText>
      </w:r>
      <w:r w:rsidR="00A6794A">
        <w:rPr>
          <w:lang w:val="en-US"/>
        </w:rPr>
        <w:instrText>advanced</w:instrText>
      </w:r>
      <w:r w:rsidR="00A6794A" w:rsidRPr="00D3550C">
        <w:instrText xml:space="preserve"> </w:instrText>
      </w:r>
      <w:r w:rsidR="00A6794A">
        <w:rPr>
          <w:lang w:val="en-US"/>
        </w:rPr>
        <w:instrText>practitioner</w:instrText>
      </w:r>
      <w:r w:rsidR="00A6794A" w:rsidRPr="00D3550C">
        <w:instrText xml:space="preserve"> </w:instrText>
      </w:r>
      <w:r w:rsidR="00A6794A">
        <w:rPr>
          <w:lang w:val="en-US"/>
        </w:rPr>
        <w:instrText>in</w:instrText>
      </w:r>
      <w:r w:rsidR="00A6794A" w:rsidRPr="00D3550C">
        <w:instrText xml:space="preserve"> </w:instrText>
      </w:r>
      <w:r w:rsidR="00A6794A">
        <w:rPr>
          <w:lang w:val="en-US"/>
        </w:rPr>
        <w:instrText>oncology</w:instrText>
      </w:r>
      <w:r w:rsidR="00A6794A" w:rsidRPr="00D3550C">
        <w:instrText>","</w:instrText>
      </w:r>
      <w:r w:rsidR="00A6794A">
        <w:rPr>
          <w:lang w:val="en-US"/>
        </w:rPr>
        <w:instrText>id</w:instrText>
      </w:r>
      <w:r w:rsidR="00A6794A" w:rsidRPr="00D3550C">
        <w:instrText>":"</w:instrText>
      </w:r>
      <w:r w:rsidR="00A6794A">
        <w:rPr>
          <w:lang w:val="en-US"/>
        </w:rPr>
        <w:instrText>ITEM</w:instrText>
      </w:r>
      <w:r w:rsidR="00A6794A" w:rsidRPr="00D3550C">
        <w:instrText>-1","</w:instrText>
      </w:r>
      <w:r w:rsidR="00A6794A">
        <w:rPr>
          <w:lang w:val="en-US"/>
        </w:rPr>
        <w:instrText>issue</w:instrText>
      </w:r>
      <w:r w:rsidR="00A6794A" w:rsidRPr="00D3550C">
        <w:instrText>":"5","</w:instrText>
      </w:r>
      <w:r w:rsidR="00A6794A">
        <w:rPr>
          <w:lang w:val="en-US"/>
        </w:rPr>
        <w:instrText>issued</w:instrText>
      </w:r>
      <w:r w:rsidR="00A6794A" w:rsidRPr="00D3550C">
        <w:instrText>":{"</w:instrText>
      </w:r>
      <w:r w:rsidR="00A6794A">
        <w:rPr>
          <w:lang w:val="en-US"/>
        </w:rPr>
        <w:instrText>date</w:instrText>
      </w:r>
      <w:r w:rsidR="00A6794A" w:rsidRPr="00D3550C">
        <w:instrText>-</w:instrText>
      </w:r>
      <w:r w:rsidR="00A6794A">
        <w:rPr>
          <w:lang w:val="en-US"/>
        </w:rPr>
        <w:instrText>parts</w:instrText>
      </w:r>
      <w:r w:rsidR="00A6794A" w:rsidRPr="00D3550C">
        <w:instrText>":[["2018"]]},"</w:instrText>
      </w:r>
      <w:r w:rsidR="00A6794A">
        <w:rPr>
          <w:lang w:val="en-US"/>
        </w:rPr>
        <w:instrText>page</w:instrText>
      </w:r>
      <w:r w:rsidR="00A6794A" w:rsidRPr="00D3550C">
        <w:instrText>":"530-534","</w:instrText>
      </w:r>
      <w:r w:rsidR="00A6794A">
        <w:rPr>
          <w:lang w:val="en-US"/>
        </w:rPr>
        <w:instrText>publisher</w:instrText>
      </w:r>
      <w:r w:rsidR="00A6794A" w:rsidRPr="00D3550C">
        <w:instrText>":"</w:instrText>
      </w:r>
      <w:r w:rsidR="00A6794A">
        <w:rPr>
          <w:lang w:val="en-US"/>
        </w:rPr>
        <w:instrText>Harborside</w:instrText>
      </w:r>
      <w:r w:rsidR="00A6794A" w:rsidRPr="00D3550C">
        <w:instrText xml:space="preserve"> </w:instrText>
      </w:r>
      <w:r w:rsidR="00A6794A">
        <w:rPr>
          <w:lang w:val="en-US"/>
        </w:rPr>
        <w:instrText>Press</w:instrText>
      </w:r>
      <w:r w:rsidR="00A6794A" w:rsidRPr="00D3550C">
        <w:instrText>","</w:instrText>
      </w:r>
      <w:r w:rsidR="00A6794A">
        <w:rPr>
          <w:lang w:val="en-US"/>
        </w:rPr>
        <w:instrText>title</w:instrText>
      </w:r>
      <w:r w:rsidR="00A6794A" w:rsidRPr="00D3550C">
        <w:instrText>":"</w:instrText>
      </w:r>
      <w:r w:rsidR="00A6794A">
        <w:rPr>
          <w:lang w:val="en-US"/>
        </w:rPr>
        <w:instrText>Subcutaneous</w:instrText>
      </w:r>
      <w:r w:rsidR="00A6794A" w:rsidRPr="00D3550C">
        <w:instrText xml:space="preserve"> </w:instrText>
      </w:r>
      <w:r w:rsidR="00A6794A">
        <w:rPr>
          <w:lang w:val="en-US"/>
        </w:rPr>
        <w:instrText>Rituximab</w:instrText>
      </w:r>
      <w:r w:rsidR="00A6794A" w:rsidRPr="00D3550C">
        <w:instrText xml:space="preserve"> </w:instrText>
      </w:r>
      <w:r w:rsidR="00A6794A">
        <w:rPr>
          <w:lang w:val="en-US"/>
        </w:rPr>
        <w:instrText>in</w:instrText>
      </w:r>
      <w:r w:rsidR="00A6794A" w:rsidRPr="00D3550C">
        <w:instrText xml:space="preserve"> </w:instrText>
      </w:r>
      <w:r w:rsidR="00A6794A">
        <w:rPr>
          <w:lang w:val="en-US"/>
        </w:rPr>
        <w:instrText>Follicular</w:instrText>
      </w:r>
      <w:r w:rsidR="00A6794A" w:rsidRPr="00D3550C">
        <w:instrText xml:space="preserve"> </w:instrText>
      </w:r>
      <w:r w:rsidR="00A6794A">
        <w:rPr>
          <w:lang w:val="en-US"/>
        </w:rPr>
        <w:instrText>Lymphoma</w:instrText>
      </w:r>
      <w:r w:rsidR="00A6794A" w:rsidRPr="00D3550C">
        <w:instrText xml:space="preserve">, </w:instrText>
      </w:r>
      <w:r w:rsidR="00A6794A">
        <w:rPr>
          <w:lang w:val="en-US"/>
        </w:rPr>
        <w:instrText>Chronic</w:instrText>
      </w:r>
      <w:r w:rsidR="00A6794A" w:rsidRPr="00D3550C">
        <w:instrText xml:space="preserve"> </w:instrText>
      </w:r>
      <w:r w:rsidR="00A6794A">
        <w:rPr>
          <w:lang w:val="en-US"/>
        </w:rPr>
        <w:instrText>Lymphocytic</w:instrText>
      </w:r>
      <w:r w:rsidR="00A6794A" w:rsidRPr="00D3550C">
        <w:instrText xml:space="preserve"> </w:instrText>
      </w:r>
      <w:r w:rsidR="00A6794A">
        <w:rPr>
          <w:lang w:val="en-US"/>
        </w:rPr>
        <w:instrText>Leukemia</w:instrText>
      </w:r>
      <w:r w:rsidR="00A6794A" w:rsidRPr="00D3550C">
        <w:instrText xml:space="preserve">, </w:instrText>
      </w:r>
      <w:r w:rsidR="00A6794A">
        <w:rPr>
          <w:lang w:val="en-US"/>
        </w:rPr>
        <w:instrText>and</w:instrText>
      </w:r>
      <w:r w:rsidR="00A6794A" w:rsidRPr="00D3550C">
        <w:instrText xml:space="preserve"> </w:instrText>
      </w:r>
      <w:r w:rsidR="00A6794A">
        <w:rPr>
          <w:lang w:val="en-US"/>
        </w:rPr>
        <w:instrText>Diffuse</w:instrText>
      </w:r>
      <w:r w:rsidR="00A6794A" w:rsidRPr="00D3550C">
        <w:instrText xml:space="preserve"> </w:instrText>
      </w:r>
      <w:r w:rsidR="00A6794A">
        <w:rPr>
          <w:lang w:val="en-US"/>
        </w:rPr>
        <w:instrText>Large</w:instrText>
      </w:r>
      <w:r w:rsidR="00A6794A" w:rsidRPr="00D3550C">
        <w:instrText xml:space="preserve"> </w:instrText>
      </w:r>
      <w:r w:rsidR="00A6794A">
        <w:rPr>
          <w:lang w:val="en-US"/>
        </w:rPr>
        <w:instrText>B</w:instrText>
      </w:r>
      <w:r w:rsidR="00A6794A" w:rsidRPr="00D3550C">
        <w:instrText>-</w:instrText>
      </w:r>
      <w:r w:rsidR="00A6794A">
        <w:rPr>
          <w:lang w:val="en-US"/>
        </w:rPr>
        <w:instrText>Cell</w:instrText>
      </w:r>
      <w:r w:rsidR="00A6794A" w:rsidRPr="00D3550C">
        <w:instrText xml:space="preserve"> </w:instrText>
      </w:r>
      <w:r w:rsidR="00A6794A">
        <w:rPr>
          <w:lang w:val="en-US"/>
        </w:rPr>
        <w:instrText>Lymphoma</w:instrText>
      </w:r>
      <w:r w:rsidR="00A6794A" w:rsidRPr="00D3550C">
        <w:instrText>.","</w:instrText>
      </w:r>
      <w:r w:rsidR="00A6794A">
        <w:rPr>
          <w:lang w:val="en-US"/>
        </w:rPr>
        <w:instrText>type</w:instrText>
      </w:r>
      <w:r w:rsidR="00A6794A" w:rsidRPr="00D3550C">
        <w:instrText>":"</w:instrText>
      </w:r>
      <w:r w:rsidR="00A6794A">
        <w:rPr>
          <w:lang w:val="en-US"/>
        </w:rPr>
        <w:instrText>article</w:instrText>
      </w:r>
      <w:r w:rsidR="00A6794A" w:rsidRPr="00D3550C">
        <w:instrText>-</w:instrText>
      </w:r>
      <w:r w:rsidR="00A6794A">
        <w:rPr>
          <w:lang w:val="en-US"/>
        </w:rPr>
        <w:instrText>journal</w:instrText>
      </w:r>
      <w:r w:rsidR="00A6794A" w:rsidRPr="00D3550C">
        <w:instrText>","</w:instrText>
      </w:r>
      <w:r w:rsidR="00A6794A">
        <w:rPr>
          <w:lang w:val="en-US"/>
        </w:rPr>
        <w:instrText>volume</w:instrText>
      </w:r>
      <w:r w:rsidR="00A6794A" w:rsidRPr="00D3550C">
        <w:instrText>":"9"},"</w:instrText>
      </w:r>
      <w:r w:rsidR="00A6794A">
        <w:rPr>
          <w:lang w:val="en-US"/>
        </w:rPr>
        <w:instrText>uris</w:instrText>
      </w:r>
      <w:r w:rsidR="00A6794A" w:rsidRPr="00D3550C">
        <w:instrText>":["</w:instrText>
      </w:r>
      <w:r w:rsidR="00A6794A">
        <w:rPr>
          <w:lang w:val="en-US"/>
        </w:rPr>
        <w:instrText>http</w:instrText>
      </w:r>
      <w:r w:rsidR="00A6794A" w:rsidRPr="00D3550C">
        <w:instrText>://</w:instrText>
      </w:r>
      <w:r w:rsidR="00A6794A">
        <w:rPr>
          <w:lang w:val="en-US"/>
        </w:rPr>
        <w:instrText>www</w:instrText>
      </w:r>
      <w:r w:rsidR="00A6794A" w:rsidRPr="00D3550C">
        <w:instrText>.</w:instrText>
      </w:r>
      <w:r w:rsidR="00A6794A">
        <w:rPr>
          <w:lang w:val="en-US"/>
        </w:rPr>
        <w:instrText>mendeley</w:instrText>
      </w:r>
      <w:r w:rsidR="00A6794A" w:rsidRPr="00D3550C">
        <w:instrText>.</w:instrText>
      </w:r>
      <w:r w:rsidR="00A6794A">
        <w:rPr>
          <w:lang w:val="en-US"/>
        </w:rPr>
        <w:instrText>com</w:instrText>
      </w:r>
      <w:r w:rsidR="00A6794A" w:rsidRPr="00D3550C">
        <w:instrText>/</w:instrText>
      </w:r>
      <w:r w:rsidR="00A6794A">
        <w:rPr>
          <w:lang w:val="en-US"/>
        </w:rPr>
        <w:instrText>documents</w:instrText>
      </w:r>
      <w:r w:rsidR="00A6794A" w:rsidRPr="00D3550C">
        <w:instrText>/?</w:instrText>
      </w:r>
      <w:r w:rsidR="00A6794A">
        <w:rPr>
          <w:lang w:val="en-US"/>
        </w:rPr>
        <w:instrText>uuid</w:instrText>
      </w:r>
      <w:r w:rsidR="00A6794A" w:rsidRPr="00D3550C">
        <w:instrText>=</w:instrText>
      </w:r>
      <w:r w:rsidR="00A6794A">
        <w:rPr>
          <w:lang w:val="en-US"/>
        </w:rPr>
        <w:instrText>fbb</w:instrText>
      </w:r>
      <w:r w:rsidR="00A6794A" w:rsidRPr="00D3550C">
        <w:instrText>0</w:instrText>
      </w:r>
      <w:r w:rsidR="00A6794A">
        <w:rPr>
          <w:lang w:val="en-US"/>
        </w:rPr>
        <w:instrText>b</w:instrText>
      </w:r>
      <w:r w:rsidR="00A6794A" w:rsidRPr="00D3550C">
        <w:instrText>8</w:instrText>
      </w:r>
      <w:r w:rsidR="00A6794A">
        <w:rPr>
          <w:lang w:val="en-US"/>
        </w:rPr>
        <w:instrText>f</w:instrText>
      </w:r>
      <w:r w:rsidR="00A6794A" w:rsidRPr="00D3550C">
        <w:instrText>4-6</w:instrText>
      </w:r>
      <w:r w:rsidR="00A6794A">
        <w:rPr>
          <w:lang w:val="en-US"/>
        </w:rPr>
        <w:instrText>b</w:instrText>
      </w:r>
      <w:r w:rsidR="00A6794A" w:rsidRPr="00D3550C">
        <w:instrText>58-3</w:instrText>
      </w:r>
      <w:r w:rsidR="00A6794A">
        <w:rPr>
          <w:lang w:val="en-US"/>
        </w:rPr>
        <w:instrText>a</w:instrText>
      </w:r>
      <w:r w:rsidR="00A6794A" w:rsidRPr="00D3550C">
        <w:instrText>10-</w:instrText>
      </w:r>
      <w:r w:rsidR="00A6794A">
        <w:rPr>
          <w:lang w:val="en-US"/>
        </w:rPr>
        <w:instrText>b</w:instrText>
      </w:r>
      <w:r w:rsidR="00A6794A" w:rsidRPr="00D3550C">
        <w:instrText>7</w:instrText>
      </w:r>
      <w:r w:rsidR="00A6794A">
        <w:rPr>
          <w:lang w:val="en-US"/>
        </w:rPr>
        <w:instrText>d</w:instrText>
      </w:r>
      <w:r w:rsidR="00A6794A" w:rsidRPr="00D3550C">
        <w:instrText>6-</w:instrText>
      </w:r>
      <w:r w:rsidR="00A6794A">
        <w:rPr>
          <w:lang w:val="en-US"/>
        </w:rPr>
        <w:instrText>af</w:instrText>
      </w:r>
      <w:r w:rsidR="00A6794A" w:rsidRPr="00D3550C">
        <w:instrText>3854030</w:instrText>
      </w:r>
      <w:r w:rsidR="00A6794A">
        <w:rPr>
          <w:lang w:val="en-US"/>
        </w:rPr>
        <w:instrText>be</w:instrText>
      </w:r>
      <w:r w:rsidR="00A6794A" w:rsidRPr="00D3550C">
        <w:instrText>8"]},{"</w:instrText>
      </w:r>
      <w:r w:rsidR="00A6794A">
        <w:rPr>
          <w:lang w:val="en-US"/>
        </w:rPr>
        <w:instrText>id</w:instrText>
      </w:r>
      <w:r w:rsidR="00A6794A" w:rsidRPr="00D3550C">
        <w:instrText>":"</w:instrText>
      </w:r>
      <w:r w:rsidR="00A6794A">
        <w:rPr>
          <w:lang w:val="en-US"/>
        </w:rPr>
        <w:instrText>ITEM</w:instrText>
      </w:r>
      <w:r w:rsidR="00A6794A" w:rsidRPr="00D3550C">
        <w:instrText>-2","</w:instrText>
      </w:r>
      <w:r w:rsidR="00A6794A">
        <w:rPr>
          <w:lang w:val="en-US"/>
        </w:rPr>
        <w:instrText>itemData</w:instrText>
      </w:r>
      <w:r w:rsidR="00A6794A" w:rsidRPr="00D3550C">
        <w:instrText>":{"</w:instrText>
      </w:r>
      <w:r w:rsidR="00A6794A">
        <w:rPr>
          <w:lang w:val="en-US"/>
        </w:rPr>
        <w:instrText>DOI</w:instrText>
      </w:r>
      <w:r w:rsidR="00A6794A" w:rsidRPr="00D3550C">
        <w:instrText>":"10.1007/</w:instrText>
      </w:r>
      <w:r w:rsidR="00A6794A">
        <w:rPr>
          <w:lang w:val="en-US"/>
        </w:rPr>
        <w:instrText>s</w:instrText>
      </w:r>
      <w:r w:rsidR="00A6794A" w:rsidRPr="00D3550C">
        <w:instrText>12325-017-0610-</w:instrText>
      </w:r>
      <w:r w:rsidR="00A6794A">
        <w:rPr>
          <w:lang w:val="en-US"/>
        </w:rPr>
        <w:instrText>z</w:instrText>
      </w:r>
      <w:r w:rsidR="00A6794A" w:rsidRPr="00D3550C">
        <w:instrText>","</w:instrText>
      </w:r>
      <w:r w:rsidR="00A6794A">
        <w:rPr>
          <w:lang w:val="en-US"/>
        </w:rPr>
        <w:instrText>ISSN</w:instrText>
      </w:r>
      <w:r w:rsidR="00A6794A" w:rsidRPr="00D3550C">
        <w:instrText>":"18658652","</w:instrText>
      </w:r>
      <w:r w:rsidR="00A6794A">
        <w:rPr>
          <w:lang w:val="en-US"/>
        </w:rPr>
        <w:instrText>abstract</w:instrText>
      </w:r>
      <w:r w:rsidR="00A6794A" w:rsidRPr="00D3550C">
        <w:instrText>":"</w:instrText>
      </w:r>
      <w:r w:rsidR="00A6794A">
        <w:rPr>
          <w:lang w:val="en-US"/>
        </w:rPr>
        <w:instrText>Abstract</w:instrText>
      </w:r>
      <w:r w:rsidR="00A6794A" w:rsidRPr="00AA43FB">
        <w:instrText xml:space="preserve">: </w:instrText>
      </w:r>
      <w:r w:rsidR="00A6794A">
        <w:rPr>
          <w:lang w:val="en-US"/>
        </w:rPr>
        <w:instrText>Rituximab</w:instrText>
      </w:r>
      <w:r w:rsidR="00A6794A" w:rsidRPr="00AA43FB">
        <w:instrText xml:space="preserve"> (</w:instrText>
      </w:r>
      <w:r w:rsidR="00A6794A">
        <w:rPr>
          <w:lang w:val="en-US"/>
        </w:rPr>
        <w:instrText>MabThera</w:instrText>
      </w:r>
      <w:r w:rsidR="00A6794A" w:rsidRPr="00AA43FB">
        <w:instrText>®/</w:instrText>
      </w:r>
      <w:r w:rsidR="00A6794A">
        <w:rPr>
          <w:lang w:val="en-US"/>
        </w:rPr>
        <w:instrText>Rituxan</w:instrText>
      </w:r>
      <w:r w:rsidR="00A6794A" w:rsidRPr="00AA43FB">
        <w:instrText xml:space="preserve">®), </w:instrText>
      </w:r>
      <w:r w:rsidR="00A6794A">
        <w:rPr>
          <w:lang w:val="en-US"/>
        </w:rPr>
        <w:instrText>a</w:instrText>
      </w:r>
      <w:r w:rsidR="00A6794A" w:rsidRPr="00AA43FB">
        <w:instrText xml:space="preserve"> </w:instrText>
      </w:r>
      <w:r w:rsidR="00A6794A">
        <w:rPr>
          <w:lang w:val="en-US"/>
        </w:rPr>
        <w:instrText>chimeric</w:instrText>
      </w:r>
      <w:r w:rsidR="00A6794A" w:rsidRPr="00AA43FB">
        <w:instrText xml:space="preserve"> </w:instrText>
      </w:r>
      <w:r w:rsidR="00A6794A">
        <w:rPr>
          <w:lang w:val="en-US"/>
        </w:rPr>
        <w:instrText>murine</w:instrText>
      </w:r>
      <w:r w:rsidR="00A6794A" w:rsidRPr="00AA43FB">
        <w:instrText>/</w:instrText>
      </w:r>
      <w:r w:rsidR="00A6794A">
        <w:rPr>
          <w:lang w:val="en-US"/>
        </w:rPr>
        <w:instrText>human</w:instrText>
      </w:r>
      <w:r w:rsidR="00A6794A" w:rsidRPr="00AA43FB">
        <w:instrText xml:space="preserve"> </w:instrText>
      </w:r>
      <w:r w:rsidR="00A6794A">
        <w:rPr>
          <w:lang w:val="en-US"/>
        </w:rPr>
        <w:instrText>monoclonal</w:instrText>
      </w:r>
      <w:r w:rsidR="00A6794A" w:rsidRPr="00AA43FB">
        <w:instrText xml:space="preserve"> </w:instrText>
      </w:r>
      <w:r w:rsidR="00A6794A">
        <w:rPr>
          <w:lang w:val="en-US"/>
        </w:rPr>
        <w:instrText>antibody</w:instrText>
      </w:r>
      <w:r w:rsidR="00A6794A" w:rsidRPr="00AA43FB">
        <w:instrText xml:space="preserve"> </w:instrText>
      </w:r>
      <w:r w:rsidR="00A6794A">
        <w:rPr>
          <w:lang w:val="en-US"/>
        </w:rPr>
        <w:instrText>that</w:instrText>
      </w:r>
      <w:r w:rsidR="00A6794A" w:rsidRPr="00AA43FB">
        <w:instrText xml:space="preserve"> </w:instrText>
      </w:r>
      <w:r w:rsidR="00A6794A">
        <w:rPr>
          <w:lang w:val="en-US"/>
        </w:rPr>
        <w:instrText>binds</w:instrText>
      </w:r>
      <w:r w:rsidR="00A6794A" w:rsidRPr="00AA43FB">
        <w:instrText xml:space="preserve"> </w:instrText>
      </w:r>
      <w:r w:rsidR="00A6794A">
        <w:rPr>
          <w:lang w:val="en-US"/>
        </w:rPr>
        <w:instrText>specifically</w:instrText>
      </w:r>
      <w:r w:rsidR="00A6794A" w:rsidRPr="00AA43FB">
        <w:instrText xml:space="preserve"> </w:instrText>
      </w:r>
      <w:r w:rsidR="00A6794A">
        <w:rPr>
          <w:lang w:val="en-US"/>
        </w:rPr>
        <w:instrText>to</w:instrText>
      </w:r>
      <w:r w:rsidR="00A6794A" w:rsidRPr="00AA43FB">
        <w:instrText xml:space="preserve"> </w:instrText>
      </w:r>
      <w:r w:rsidR="00A6794A">
        <w:rPr>
          <w:lang w:val="en-US"/>
        </w:rPr>
        <w:instrText>the</w:instrText>
      </w:r>
      <w:r w:rsidR="00A6794A" w:rsidRPr="00AA43FB">
        <w:instrText xml:space="preserve"> </w:instrText>
      </w:r>
      <w:r w:rsidR="00A6794A">
        <w:rPr>
          <w:lang w:val="en-US"/>
        </w:rPr>
        <w:instrText>transmembrane</w:instrText>
      </w:r>
      <w:r w:rsidR="00A6794A" w:rsidRPr="00AA43FB">
        <w:instrText xml:space="preserve"> </w:instrText>
      </w:r>
      <w:r w:rsidR="00A6794A">
        <w:rPr>
          <w:lang w:val="en-US"/>
        </w:rPr>
        <w:instrText>antigen</w:instrText>
      </w:r>
      <w:r w:rsidR="00A6794A" w:rsidRPr="00AA43FB">
        <w:instrText xml:space="preserve"> </w:instrText>
      </w:r>
      <w:r w:rsidR="00A6794A">
        <w:rPr>
          <w:lang w:val="en-US"/>
        </w:rPr>
        <w:instrText>CD</w:instrText>
      </w:r>
      <w:r w:rsidR="00A6794A" w:rsidRPr="00AA43FB">
        <w:instrText xml:space="preserve">20, </w:instrText>
      </w:r>
      <w:r w:rsidR="00A6794A">
        <w:rPr>
          <w:lang w:val="en-US"/>
        </w:rPr>
        <w:instrText>was</w:instrText>
      </w:r>
      <w:r w:rsidR="00A6794A" w:rsidRPr="00AA43FB">
        <w:instrText xml:space="preserve"> </w:instrText>
      </w:r>
      <w:r w:rsidR="00A6794A">
        <w:rPr>
          <w:lang w:val="en-US"/>
        </w:rPr>
        <w:instrText>the</w:instrText>
      </w:r>
      <w:r w:rsidR="00A6794A" w:rsidRPr="00AA43FB">
        <w:instrText xml:space="preserve"> </w:instrText>
      </w:r>
      <w:r w:rsidR="00A6794A">
        <w:rPr>
          <w:lang w:val="en-US"/>
        </w:rPr>
        <w:instrText>first</w:instrText>
      </w:r>
      <w:r w:rsidR="00A6794A" w:rsidRPr="00AA43FB">
        <w:instrText xml:space="preserve"> </w:instrText>
      </w:r>
      <w:r w:rsidR="00A6794A">
        <w:rPr>
          <w:lang w:val="en-US"/>
        </w:rPr>
        <w:instrText>therapeutic</w:instrText>
      </w:r>
      <w:r w:rsidR="00A6794A" w:rsidRPr="00AA43FB">
        <w:instrText xml:space="preserve"> </w:instrText>
      </w:r>
      <w:r w:rsidR="00A6794A">
        <w:rPr>
          <w:lang w:val="en-US"/>
        </w:rPr>
        <w:instrText>antibody</w:instrText>
      </w:r>
      <w:r w:rsidR="00A6794A" w:rsidRPr="00AA43FB">
        <w:instrText xml:space="preserve"> </w:instrText>
      </w:r>
      <w:r w:rsidR="00A6794A">
        <w:rPr>
          <w:lang w:val="en-US"/>
        </w:rPr>
        <w:instrText>to</w:instrText>
      </w:r>
      <w:r w:rsidR="00A6794A" w:rsidRPr="00AA43FB">
        <w:instrText xml:space="preserve"> </w:instrText>
      </w:r>
      <w:r w:rsidR="00A6794A">
        <w:rPr>
          <w:lang w:val="en-US"/>
        </w:rPr>
        <w:instrText>enter</w:instrText>
      </w:r>
      <w:r w:rsidR="00A6794A" w:rsidRPr="00AA43FB">
        <w:instrText xml:space="preserve"> </w:instrText>
      </w:r>
      <w:r w:rsidR="00A6794A">
        <w:rPr>
          <w:lang w:val="en-US"/>
        </w:rPr>
        <w:instrText>clinical</w:instrText>
      </w:r>
      <w:r w:rsidR="00A6794A" w:rsidRPr="00AA43FB">
        <w:instrText xml:space="preserve"> </w:instrText>
      </w:r>
      <w:r w:rsidR="00A6794A">
        <w:rPr>
          <w:lang w:val="en-US"/>
        </w:rPr>
        <w:instrText>practice</w:instrText>
      </w:r>
      <w:r w:rsidR="00A6794A" w:rsidRPr="00AA43FB">
        <w:instrText xml:space="preserve"> </w:instrText>
      </w:r>
      <w:r w:rsidR="00A6794A">
        <w:rPr>
          <w:lang w:val="en-US"/>
        </w:rPr>
        <w:instrText>for</w:instrText>
      </w:r>
      <w:r w:rsidR="00A6794A" w:rsidRPr="00AA43FB">
        <w:instrText xml:space="preserve"> </w:instrText>
      </w:r>
      <w:r w:rsidR="00A6794A">
        <w:rPr>
          <w:lang w:val="en-US"/>
        </w:rPr>
        <w:instrText>the</w:instrText>
      </w:r>
      <w:r w:rsidR="00A6794A" w:rsidRPr="00AA43FB">
        <w:instrText xml:space="preserve"> </w:instrText>
      </w:r>
      <w:r w:rsidR="00A6794A">
        <w:rPr>
          <w:lang w:val="en-US"/>
        </w:rPr>
        <w:instrText>treatment</w:instrText>
      </w:r>
      <w:r w:rsidR="00A6794A" w:rsidRPr="00AA43FB">
        <w:instrText xml:space="preserve"> </w:instrText>
      </w:r>
      <w:r w:rsidR="00A6794A">
        <w:rPr>
          <w:lang w:val="en-US"/>
        </w:rPr>
        <w:instrText>of</w:instrText>
      </w:r>
      <w:r w:rsidR="00A6794A" w:rsidRPr="00AA43FB">
        <w:instrText xml:space="preserve"> </w:instrText>
      </w:r>
      <w:r w:rsidR="00A6794A">
        <w:rPr>
          <w:lang w:val="en-US"/>
        </w:rPr>
        <w:instrText>cancer</w:instrText>
      </w:r>
      <w:r w:rsidR="00A6794A" w:rsidRPr="00AA43FB">
        <w:instrText xml:space="preserve">. </w:instrText>
      </w:r>
      <w:r w:rsidR="00A6794A">
        <w:rPr>
          <w:lang w:val="en-US"/>
        </w:rPr>
        <w:instrText>As</w:instrText>
      </w:r>
      <w:r w:rsidR="00A6794A" w:rsidRPr="00AA43FB">
        <w:instrText xml:space="preserve"> </w:instrText>
      </w:r>
      <w:r w:rsidR="00A6794A">
        <w:rPr>
          <w:lang w:val="en-US"/>
        </w:rPr>
        <w:instrText>monotherapy</w:instrText>
      </w:r>
      <w:r w:rsidR="00A6794A" w:rsidRPr="00AA43FB">
        <w:instrText xml:space="preserve"> </w:instrText>
      </w:r>
      <w:r w:rsidR="00A6794A">
        <w:rPr>
          <w:lang w:val="en-US"/>
        </w:rPr>
        <w:instrText>and</w:instrText>
      </w:r>
      <w:r w:rsidR="00A6794A" w:rsidRPr="00AA43FB">
        <w:instrText xml:space="preserve"> </w:instrText>
      </w:r>
      <w:r w:rsidR="00A6794A">
        <w:rPr>
          <w:lang w:val="en-US"/>
        </w:rPr>
        <w:instrText>in</w:instrText>
      </w:r>
      <w:r w:rsidR="00A6794A" w:rsidRPr="00AA43FB">
        <w:instrText xml:space="preserve"> </w:instrText>
      </w:r>
      <w:r w:rsidR="00A6794A">
        <w:rPr>
          <w:lang w:val="en-US"/>
        </w:rPr>
        <w:instrText>combination</w:instrText>
      </w:r>
      <w:r w:rsidR="00A6794A" w:rsidRPr="00AA43FB">
        <w:instrText xml:space="preserve"> </w:instrText>
      </w:r>
      <w:r w:rsidR="00A6794A">
        <w:rPr>
          <w:lang w:val="en-US"/>
        </w:rPr>
        <w:instrText>with</w:instrText>
      </w:r>
      <w:r w:rsidR="00A6794A" w:rsidRPr="00AA43FB">
        <w:instrText xml:space="preserve"> </w:instrText>
      </w:r>
      <w:r w:rsidR="00A6794A">
        <w:rPr>
          <w:lang w:val="en-US"/>
        </w:rPr>
        <w:instrText>chemotherapy</w:instrText>
      </w:r>
      <w:r w:rsidR="00A6794A" w:rsidRPr="00AA43FB">
        <w:instrText xml:space="preserve">, </w:instrText>
      </w:r>
      <w:r w:rsidR="00A6794A">
        <w:rPr>
          <w:lang w:val="en-US"/>
        </w:rPr>
        <w:instrText>rituximab</w:instrText>
      </w:r>
      <w:r w:rsidR="00A6794A" w:rsidRPr="00AA43FB">
        <w:instrText xml:space="preserve"> </w:instrText>
      </w:r>
      <w:r w:rsidR="00A6794A">
        <w:rPr>
          <w:lang w:val="en-US"/>
        </w:rPr>
        <w:instrText>has</w:instrText>
      </w:r>
      <w:r w:rsidR="00A6794A" w:rsidRPr="00AA43FB">
        <w:instrText xml:space="preserve"> </w:instrText>
      </w:r>
      <w:r w:rsidR="00A6794A">
        <w:rPr>
          <w:lang w:val="en-US"/>
        </w:rPr>
        <w:instrText>been</w:instrText>
      </w:r>
      <w:r w:rsidR="00A6794A" w:rsidRPr="00AA43FB">
        <w:instrText xml:space="preserve"> </w:instrText>
      </w:r>
      <w:r w:rsidR="00A6794A">
        <w:rPr>
          <w:lang w:val="en-US"/>
        </w:rPr>
        <w:instrText>shown</w:instrText>
      </w:r>
      <w:r w:rsidR="00A6794A" w:rsidRPr="00AA43FB">
        <w:instrText xml:space="preserve"> </w:instrText>
      </w:r>
      <w:r w:rsidR="00A6794A">
        <w:rPr>
          <w:lang w:val="en-US"/>
        </w:rPr>
        <w:instrText>to</w:instrText>
      </w:r>
      <w:r w:rsidR="00A6794A" w:rsidRPr="00AA43FB">
        <w:instrText xml:space="preserve"> </w:instrText>
      </w:r>
      <w:r w:rsidR="00A6794A">
        <w:rPr>
          <w:lang w:val="en-US"/>
        </w:rPr>
        <w:instrText>prolong</w:instrText>
      </w:r>
      <w:r w:rsidR="00A6794A" w:rsidRPr="00AA43FB">
        <w:instrText xml:space="preserve"> </w:instrText>
      </w:r>
      <w:r w:rsidR="00A6794A">
        <w:rPr>
          <w:lang w:val="en-US"/>
        </w:rPr>
        <w:instrText>progression</w:instrText>
      </w:r>
      <w:r w:rsidR="00A6794A" w:rsidRPr="00AA43FB">
        <w:instrText>-</w:instrText>
      </w:r>
      <w:r w:rsidR="00A6794A">
        <w:rPr>
          <w:lang w:val="en-US"/>
        </w:rPr>
        <w:instrText>free</w:instrText>
      </w:r>
      <w:r w:rsidR="00A6794A" w:rsidRPr="00AA43FB">
        <w:instrText xml:space="preserve"> </w:instrText>
      </w:r>
      <w:r w:rsidR="00A6794A">
        <w:rPr>
          <w:lang w:val="en-US"/>
        </w:rPr>
        <w:instrText>survival</w:instrText>
      </w:r>
      <w:r w:rsidR="00A6794A" w:rsidRPr="00AA43FB">
        <w:instrText xml:space="preserve"> </w:instrText>
      </w:r>
      <w:r w:rsidR="00A6794A">
        <w:rPr>
          <w:lang w:val="en-US"/>
        </w:rPr>
        <w:instrText>and</w:instrText>
      </w:r>
      <w:r w:rsidR="00A6794A" w:rsidRPr="00AA43FB">
        <w:instrText xml:space="preserve">, </w:instrText>
      </w:r>
      <w:r w:rsidR="00A6794A">
        <w:rPr>
          <w:lang w:val="en-US"/>
        </w:rPr>
        <w:instrText>in</w:instrText>
      </w:r>
      <w:r w:rsidR="00A6794A" w:rsidRPr="00AA43FB">
        <w:instrText xml:space="preserve"> </w:instrText>
      </w:r>
      <w:r w:rsidR="00A6794A">
        <w:rPr>
          <w:lang w:val="en-US"/>
        </w:rPr>
        <w:instrText>some</w:instrText>
      </w:r>
      <w:r w:rsidR="00A6794A" w:rsidRPr="00AA43FB">
        <w:instrText xml:space="preserve"> </w:instrText>
      </w:r>
      <w:r w:rsidR="00A6794A">
        <w:rPr>
          <w:lang w:val="en-US"/>
        </w:rPr>
        <w:instrText>indications</w:instrText>
      </w:r>
      <w:r w:rsidR="00A6794A" w:rsidRPr="00AA43FB">
        <w:instrText xml:space="preserve"> </w:instrText>
      </w:r>
      <w:r w:rsidR="00A6794A">
        <w:rPr>
          <w:lang w:val="en-US"/>
        </w:rPr>
        <w:instrText>overall</w:instrText>
      </w:r>
      <w:r w:rsidR="00A6794A" w:rsidRPr="00AA43FB">
        <w:instrText xml:space="preserve"> </w:instrText>
      </w:r>
      <w:r w:rsidR="00A6794A">
        <w:rPr>
          <w:lang w:val="en-US"/>
        </w:rPr>
        <w:instrText>survival</w:instrText>
      </w:r>
      <w:r w:rsidR="00A6794A" w:rsidRPr="00AA43FB">
        <w:instrText xml:space="preserve">, </w:instrText>
      </w:r>
      <w:r w:rsidR="00A6794A">
        <w:rPr>
          <w:lang w:val="en-US"/>
        </w:rPr>
        <w:instrText>in</w:instrText>
      </w:r>
      <w:r w:rsidR="00A6794A" w:rsidRPr="00AA43FB">
        <w:instrText xml:space="preserve"> </w:instrText>
      </w:r>
      <w:r w:rsidR="00A6794A">
        <w:rPr>
          <w:lang w:val="en-US"/>
        </w:rPr>
        <w:instrText>patients</w:instrText>
      </w:r>
      <w:r w:rsidR="00A6794A" w:rsidRPr="00AA43FB">
        <w:instrText xml:space="preserve"> </w:instrText>
      </w:r>
      <w:r w:rsidR="00A6794A">
        <w:rPr>
          <w:lang w:val="en-US"/>
        </w:rPr>
        <w:instrText>with</w:instrText>
      </w:r>
      <w:r w:rsidR="00A6794A" w:rsidRPr="00AA43FB">
        <w:instrText xml:space="preserve"> </w:instrText>
      </w:r>
      <w:r w:rsidR="00A6794A">
        <w:rPr>
          <w:lang w:val="en-US"/>
        </w:rPr>
        <w:instrText>various</w:instrText>
      </w:r>
      <w:r w:rsidR="00A6794A" w:rsidRPr="00AA43FB">
        <w:instrText xml:space="preserve"> </w:instrText>
      </w:r>
      <w:r w:rsidR="00A6794A">
        <w:rPr>
          <w:lang w:val="en-US"/>
        </w:rPr>
        <w:instrText>B</w:instrText>
      </w:r>
      <w:r w:rsidR="00A6794A" w:rsidRPr="00AA43FB">
        <w:instrText>-</w:instrText>
      </w:r>
      <w:r w:rsidR="00A6794A">
        <w:rPr>
          <w:lang w:val="en-US"/>
        </w:rPr>
        <w:instrText>cell</w:instrText>
      </w:r>
      <w:r w:rsidR="00A6794A" w:rsidRPr="00AA43FB">
        <w:instrText xml:space="preserve"> </w:instrText>
      </w:r>
      <w:r w:rsidR="00A6794A">
        <w:rPr>
          <w:lang w:val="en-US"/>
        </w:rPr>
        <w:instrText>malignancies</w:instrText>
      </w:r>
      <w:r w:rsidR="00A6794A" w:rsidRPr="00AA43FB">
        <w:instrText xml:space="preserve">, </w:instrText>
      </w:r>
      <w:r w:rsidR="00A6794A">
        <w:rPr>
          <w:lang w:val="en-US"/>
        </w:rPr>
        <w:instrText>while</w:instrText>
      </w:r>
      <w:r w:rsidR="00A6794A" w:rsidRPr="00AA43FB">
        <w:instrText xml:space="preserve"> </w:instrText>
      </w:r>
      <w:r w:rsidR="00A6794A">
        <w:rPr>
          <w:lang w:val="en-US"/>
        </w:rPr>
        <w:instrText>having</w:instrText>
      </w:r>
      <w:r w:rsidR="00A6794A" w:rsidRPr="00AA43FB">
        <w:instrText xml:space="preserve"> </w:instrText>
      </w:r>
      <w:r w:rsidR="00A6794A">
        <w:rPr>
          <w:lang w:val="en-US"/>
        </w:rPr>
        <w:instrText>a</w:instrText>
      </w:r>
      <w:r w:rsidR="00A6794A" w:rsidRPr="00AA43FB">
        <w:instrText xml:space="preserve"> </w:instrText>
      </w:r>
      <w:r w:rsidR="00A6794A">
        <w:rPr>
          <w:lang w:val="en-US"/>
        </w:rPr>
        <w:instrText>well</w:instrText>
      </w:r>
      <w:r w:rsidR="00A6794A" w:rsidRPr="00AA43FB">
        <w:instrText>-</w:instrText>
      </w:r>
      <w:r w:rsidR="00A6794A">
        <w:rPr>
          <w:lang w:val="en-US"/>
        </w:rPr>
        <w:instrText>established</w:instrText>
      </w:r>
      <w:r w:rsidR="00A6794A" w:rsidRPr="00AA43FB">
        <w:instrText xml:space="preserve"> </w:instrText>
      </w:r>
      <w:r w:rsidR="00A6794A">
        <w:rPr>
          <w:lang w:val="en-US"/>
        </w:rPr>
        <w:instrText>and</w:instrText>
      </w:r>
      <w:r w:rsidR="00A6794A" w:rsidRPr="00AA43FB">
        <w:instrText xml:space="preserve"> </w:instrText>
      </w:r>
      <w:r w:rsidR="00A6794A">
        <w:rPr>
          <w:lang w:val="en-US"/>
        </w:rPr>
        <w:instrText>manageable</w:instrText>
      </w:r>
      <w:r w:rsidR="00A6794A" w:rsidRPr="00AA43FB">
        <w:instrText xml:space="preserve"> </w:instrText>
      </w:r>
      <w:r w:rsidR="00A6794A">
        <w:rPr>
          <w:lang w:val="en-US"/>
        </w:rPr>
        <w:instrText>safety</w:instrText>
      </w:r>
      <w:r w:rsidR="00A6794A" w:rsidRPr="00AA43FB">
        <w:instrText xml:space="preserve"> </w:instrText>
      </w:r>
      <w:r w:rsidR="00A6794A">
        <w:rPr>
          <w:lang w:val="en-US"/>
        </w:rPr>
        <w:instrText>profile</w:instrText>
      </w:r>
      <w:r w:rsidR="00A6794A" w:rsidRPr="00AA43FB">
        <w:instrText xml:space="preserve"> </w:instrText>
      </w:r>
      <w:r w:rsidR="00A6794A">
        <w:rPr>
          <w:lang w:val="en-US"/>
        </w:rPr>
        <w:instrText>and</w:instrText>
      </w:r>
      <w:r w:rsidR="00A6794A" w:rsidRPr="00AA43FB">
        <w:instrText xml:space="preserve"> </w:instrText>
      </w:r>
      <w:r w:rsidR="00A6794A">
        <w:rPr>
          <w:lang w:val="en-US"/>
        </w:rPr>
        <w:instrText>a</w:instrText>
      </w:r>
      <w:r w:rsidR="00A6794A" w:rsidRPr="00AA43FB">
        <w:instrText xml:space="preserve"> </w:instrText>
      </w:r>
      <w:r w:rsidR="00A6794A">
        <w:rPr>
          <w:lang w:val="en-US"/>
        </w:rPr>
        <w:instrText>wide</w:instrText>
      </w:r>
      <w:r w:rsidR="00A6794A" w:rsidRPr="00AA43FB">
        <w:instrText xml:space="preserve"> </w:instrText>
      </w:r>
      <w:r w:rsidR="00A6794A">
        <w:rPr>
          <w:lang w:val="en-US"/>
        </w:rPr>
        <w:instrText>therapeutic</w:instrText>
      </w:r>
      <w:r w:rsidR="00A6794A" w:rsidRPr="00AA43FB">
        <w:instrText xml:space="preserve"> </w:instrText>
      </w:r>
      <w:r w:rsidR="00A6794A">
        <w:rPr>
          <w:lang w:val="en-US"/>
        </w:rPr>
        <w:instrText>window</w:instrText>
      </w:r>
      <w:r w:rsidR="00A6794A" w:rsidRPr="00AA43FB">
        <w:instrText xml:space="preserve">. </w:instrText>
      </w:r>
      <w:r w:rsidR="00A6794A">
        <w:rPr>
          <w:lang w:val="en-US"/>
        </w:rPr>
        <w:instrText>As</w:instrText>
      </w:r>
      <w:r w:rsidR="00A6794A" w:rsidRPr="00AA43FB">
        <w:instrText xml:space="preserve"> </w:instrText>
      </w:r>
      <w:r w:rsidR="00A6794A">
        <w:rPr>
          <w:lang w:val="en-US"/>
        </w:rPr>
        <w:instrText>a</w:instrText>
      </w:r>
      <w:r w:rsidR="00A6794A" w:rsidRPr="00AA43FB">
        <w:instrText xml:space="preserve"> </w:instrText>
      </w:r>
      <w:r w:rsidR="00A6794A">
        <w:rPr>
          <w:lang w:val="en-US"/>
        </w:rPr>
        <w:instrText>result</w:instrText>
      </w:r>
      <w:r w:rsidR="00A6794A" w:rsidRPr="00AA43FB">
        <w:instrText xml:space="preserve">, </w:instrText>
      </w:r>
      <w:r w:rsidR="00A6794A">
        <w:rPr>
          <w:lang w:val="en-US"/>
        </w:rPr>
        <w:instrText>rituximab</w:instrText>
      </w:r>
      <w:r w:rsidR="00A6794A" w:rsidRPr="00AA43FB">
        <w:instrText xml:space="preserve"> </w:instrText>
      </w:r>
      <w:r w:rsidR="00A6794A">
        <w:rPr>
          <w:lang w:val="en-US"/>
        </w:rPr>
        <w:instrText>is</w:instrText>
      </w:r>
      <w:r w:rsidR="00A6794A" w:rsidRPr="00AA43FB">
        <w:instrText xml:space="preserve"> </w:instrText>
      </w:r>
      <w:r w:rsidR="00A6794A">
        <w:rPr>
          <w:lang w:val="en-US"/>
        </w:rPr>
        <w:instrText>considered</w:instrText>
      </w:r>
      <w:r w:rsidR="00A6794A" w:rsidRPr="00AA43FB">
        <w:instrText xml:space="preserve"> </w:instrText>
      </w:r>
      <w:r w:rsidR="00A6794A">
        <w:rPr>
          <w:lang w:val="en-US"/>
        </w:rPr>
        <w:instrText>to</w:instrText>
      </w:r>
      <w:r w:rsidR="00A6794A" w:rsidRPr="00AA43FB">
        <w:instrText xml:space="preserve"> </w:instrText>
      </w:r>
      <w:r w:rsidR="00A6794A">
        <w:rPr>
          <w:lang w:val="en-US"/>
        </w:rPr>
        <w:instrText>have</w:instrText>
      </w:r>
      <w:r w:rsidR="00A6794A" w:rsidRPr="00AA43FB">
        <w:instrText xml:space="preserve"> </w:instrText>
      </w:r>
      <w:r w:rsidR="00A6794A">
        <w:rPr>
          <w:lang w:val="en-US"/>
        </w:rPr>
        <w:instrText>revolutionized</w:instrText>
      </w:r>
      <w:r w:rsidR="00A6794A" w:rsidRPr="00AA43FB">
        <w:instrText xml:space="preserve"> </w:instrText>
      </w:r>
      <w:r w:rsidR="00A6794A">
        <w:rPr>
          <w:lang w:val="en-US"/>
        </w:rPr>
        <w:instrText>treatment</w:instrText>
      </w:r>
      <w:r w:rsidR="00A6794A" w:rsidRPr="00AA43FB">
        <w:instrText xml:space="preserve"> </w:instrText>
      </w:r>
      <w:r w:rsidR="00A6794A">
        <w:rPr>
          <w:lang w:val="en-US"/>
        </w:rPr>
        <w:instrText>practices</w:instrText>
      </w:r>
      <w:r w:rsidR="00A6794A" w:rsidRPr="00AA43FB">
        <w:instrText xml:space="preserve"> </w:instrText>
      </w:r>
      <w:r w:rsidR="00A6794A">
        <w:rPr>
          <w:lang w:val="en-US"/>
        </w:rPr>
        <w:instrText>for</w:instrText>
      </w:r>
      <w:r w:rsidR="00A6794A" w:rsidRPr="00AA43FB">
        <w:instrText xml:space="preserve"> </w:instrText>
      </w:r>
      <w:r w:rsidR="00A6794A">
        <w:rPr>
          <w:lang w:val="en-US"/>
        </w:rPr>
        <w:instrText>patients</w:instrText>
      </w:r>
      <w:r w:rsidR="00A6794A" w:rsidRPr="00AA43FB">
        <w:instrText xml:space="preserve"> </w:instrText>
      </w:r>
      <w:r w:rsidR="00A6794A">
        <w:rPr>
          <w:lang w:val="en-US"/>
        </w:rPr>
        <w:instrText>with</w:instrText>
      </w:r>
      <w:r w:rsidR="00A6794A" w:rsidRPr="00AA43FB">
        <w:instrText xml:space="preserve"> </w:instrText>
      </w:r>
      <w:r w:rsidR="00A6794A">
        <w:rPr>
          <w:lang w:val="en-US"/>
        </w:rPr>
        <w:instrText>B</w:instrText>
      </w:r>
      <w:r w:rsidR="00A6794A" w:rsidRPr="00AA43FB">
        <w:instrText>-</w:instrText>
      </w:r>
      <w:r w:rsidR="00A6794A">
        <w:rPr>
          <w:lang w:val="en-US"/>
        </w:rPr>
        <w:instrText>cell</w:instrText>
      </w:r>
      <w:r w:rsidR="00A6794A" w:rsidRPr="00AA43FB">
        <w:instrText xml:space="preserve"> </w:instrText>
      </w:r>
      <w:r w:rsidR="00A6794A">
        <w:rPr>
          <w:lang w:val="en-US"/>
        </w:rPr>
        <w:instrText>malignancies</w:instrText>
      </w:r>
      <w:r w:rsidR="00A6794A" w:rsidRPr="00AA43FB">
        <w:instrText xml:space="preserve">. </w:instrText>
      </w:r>
      <w:r w:rsidR="00A6794A">
        <w:rPr>
          <w:lang w:val="en-US"/>
        </w:rPr>
        <w:instrText>A</w:instrText>
      </w:r>
      <w:r w:rsidR="00A6794A" w:rsidRPr="00AA43FB">
        <w:instrText xml:space="preserve"> </w:instrText>
      </w:r>
      <w:r w:rsidR="00A6794A">
        <w:rPr>
          <w:lang w:val="en-US"/>
        </w:rPr>
        <w:instrText>subcutaneous</w:instrText>
      </w:r>
      <w:r w:rsidR="00A6794A" w:rsidRPr="00AA43FB">
        <w:instrText xml:space="preserve"> (</w:instrText>
      </w:r>
      <w:r w:rsidR="00A6794A">
        <w:rPr>
          <w:lang w:val="en-US"/>
        </w:rPr>
        <w:instrText>SC</w:instrText>
      </w:r>
      <w:r w:rsidR="00A6794A" w:rsidRPr="00AA43FB">
        <w:instrText xml:space="preserve">) </w:instrText>
      </w:r>
      <w:r w:rsidR="00A6794A">
        <w:rPr>
          <w:lang w:val="en-US"/>
        </w:rPr>
        <w:instrText>formulation</w:instrText>
      </w:r>
      <w:r w:rsidR="00A6794A" w:rsidRPr="00AA43FB">
        <w:instrText xml:space="preserve"> </w:instrText>
      </w:r>
      <w:r w:rsidR="00A6794A">
        <w:rPr>
          <w:lang w:val="en-US"/>
        </w:rPr>
        <w:instrText>of</w:instrText>
      </w:r>
      <w:r w:rsidR="00A6794A" w:rsidRPr="00AA43FB">
        <w:instrText xml:space="preserve"> </w:instrText>
      </w:r>
      <w:r w:rsidR="00A6794A">
        <w:rPr>
          <w:lang w:val="en-US"/>
        </w:rPr>
        <w:instrText>rituximab</w:instrText>
      </w:r>
      <w:r w:rsidR="00A6794A" w:rsidRPr="00AA43FB">
        <w:instrText xml:space="preserve"> </w:instrText>
      </w:r>
      <w:r w:rsidR="00A6794A">
        <w:rPr>
          <w:lang w:val="en-US"/>
        </w:rPr>
        <w:instrText>has</w:instrText>
      </w:r>
      <w:r w:rsidR="00A6794A" w:rsidRPr="00AA43FB">
        <w:instrText xml:space="preserve"> </w:instrText>
      </w:r>
      <w:r w:rsidR="00A6794A">
        <w:rPr>
          <w:lang w:val="en-US"/>
        </w:rPr>
        <w:instrText>been</w:instrText>
      </w:r>
      <w:r w:rsidR="00A6794A" w:rsidRPr="00AA43FB">
        <w:instrText xml:space="preserve"> </w:instrText>
      </w:r>
      <w:r w:rsidR="00A6794A">
        <w:rPr>
          <w:lang w:val="en-US"/>
        </w:rPr>
        <w:instrText>developed</w:instrText>
      </w:r>
      <w:r w:rsidR="00A6794A" w:rsidRPr="00AA43FB">
        <w:instrText xml:space="preserve">, </w:instrText>
      </w:r>
      <w:r w:rsidR="00A6794A">
        <w:rPr>
          <w:lang w:val="en-US"/>
        </w:rPr>
        <w:instrText>comprising</w:instrText>
      </w:r>
      <w:r w:rsidR="00A6794A" w:rsidRPr="00AA43FB">
        <w:instrText xml:space="preserve"> </w:instrText>
      </w:r>
      <w:r w:rsidR="00A6794A">
        <w:rPr>
          <w:lang w:val="en-US"/>
        </w:rPr>
        <w:instrText>the</w:instrText>
      </w:r>
      <w:r w:rsidR="00A6794A" w:rsidRPr="00AA43FB">
        <w:instrText xml:space="preserve"> </w:instrText>
      </w:r>
      <w:r w:rsidR="00A6794A">
        <w:rPr>
          <w:lang w:val="en-US"/>
        </w:rPr>
        <w:instrText>same</w:instrText>
      </w:r>
      <w:r w:rsidR="00A6794A" w:rsidRPr="00AA43FB">
        <w:instrText xml:space="preserve"> </w:instrText>
      </w:r>
      <w:r w:rsidR="00A6794A">
        <w:rPr>
          <w:lang w:val="en-US"/>
        </w:rPr>
        <w:instrText>monoclonal</w:instrText>
      </w:r>
      <w:r w:rsidR="00A6794A" w:rsidRPr="00AA43FB">
        <w:instrText xml:space="preserve"> </w:instrText>
      </w:r>
      <w:r w:rsidR="00A6794A">
        <w:rPr>
          <w:lang w:val="en-US"/>
        </w:rPr>
        <w:instrText>antibody</w:instrText>
      </w:r>
      <w:r w:rsidR="00A6794A" w:rsidRPr="00AA43FB">
        <w:instrText xml:space="preserve"> </w:instrText>
      </w:r>
      <w:r w:rsidR="00A6794A">
        <w:rPr>
          <w:lang w:val="en-US"/>
        </w:rPr>
        <w:instrText>as</w:instrText>
      </w:r>
      <w:r w:rsidR="00A6794A" w:rsidRPr="00AA43FB">
        <w:instrText xml:space="preserve"> </w:instrText>
      </w:r>
      <w:r w:rsidR="00A6794A">
        <w:rPr>
          <w:lang w:val="en-US"/>
        </w:rPr>
        <w:instrText>the</w:instrText>
      </w:r>
      <w:r w:rsidR="00A6794A" w:rsidRPr="00AA43FB">
        <w:instrText xml:space="preserve"> </w:instrText>
      </w:r>
      <w:r w:rsidR="00A6794A">
        <w:rPr>
          <w:lang w:val="en-US"/>
        </w:rPr>
        <w:instrText>originally</w:instrText>
      </w:r>
      <w:r w:rsidR="00A6794A" w:rsidRPr="00AA43FB">
        <w:instrText xml:space="preserve"> </w:instrText>
      </w:r>
      <w:r w:rsidR="00A6794A">
        <w:rPr>
          <w:lang w:val="en-US"/>
        </w:rPr>
        <w:instrText>marketed</w:instrText>
      </w:r>
      <w:r w:rsidR="00A6794A" w:rsidRPr="00AA43FB">
        <w:instrText xml:space="preserve"> </w:instrText>
      </w:r>
      <w:r w:rsidR="00A6794A">
        <w:rPr>
          <w:lang w:val="en-US"/>
        </w:rPr>
        <w:instrText>formulation</w:instrText>
      </w:r>
      <w:r w:rsidR="00A6794A" w:rsidRPr="00AA43FB">
        <w:instrText xml:space="preserve"> [</w:instrText>
      </w:r>
      <w:r w:rsidR="00A6794A">
        <w:rPr>
          <w:lang w:val="en-US"/>
        </w:rPr>
        <w:instrText>rituximab</w:instrText>
      </w:r>
      <w:r w:rsidR="00A6794A" w:rsidRPr="00AA43FB">
        <w:instrText xml:space="preserve"> </w:instrText>
      </w:r>
      <w:r w:rsidR="00A6794A">
        <w:rPr>
          <w:lang w:val="en-US"/>
        </w:rPr>
        <w:instrText>concentrate</w:instrText>
      </w:r>
      <w:r w:rsidR="00A6794A" w:rsidRPr="00AA43FB">
        <w:instrText xml:space="preserve"> </w:instrText>
      </w:r>
      <w:r w:rsidR="00A6794A">
        <w:rPr>
          <w:lang w:val="en-US"/>
        </w:rPr>
        <w:instrText>for</w:instrText>
      </w:r>
      <w:r w:rsidR="00A6794A" w:rsidRPr="00AA43FB">
        <w:instrText xml:space="preserve"> </w:instrText>
      </w:r>
      <w:r w:rsidR="00A6794A">
        <w:rPr>
          <w:lang w:val="en-US"/>
        </w:rPr>
        <w:instrText>solution</w:instrText>
      </w:r>
      <w:r w:rsidR="00A6794A" w:rsidRPr="00AA43FB">
        <w:instrText xml:space="preserve"> </w:instrText>
      </w:r>
      <w:r w:rsidR="00A6794A">
        <w:rPr>
          <w:lang w:val="en-US"/>
        </w:rPr>
        <w:instrText>for</w:instrText>
      </w:r>
      <w:r w:rsidR="00A6794A" w:rsidRPr="00AA43FB">
        <w:instrText xml:space="preserve"> </w:instrText>
      </w:r>
      <w:r w:rsidR="00A6794A">
        <w:rPr>
          <w:lang w:val="en-US"/>
        </w:rPr>
        <w:instrText>intravenous</w:instrText>
      </w:r>
      <w:r w:rsidR="00A6794A" w:rsidRPr="00AA43FB">
        <w:instrText xml:space="preserve"> (</w:instrText>
      </w:r>
      <w:r w:rsidR="00A6794A">
        <w:rPr>
          <w:lang w:val="en-US"/>
        </w:rPr>
        <w:instrText>IV</w:instrText>
      </w:r>
      <w:r w:rsidR="00A6794A" w:rsidRPr="00AA43FB">
        <w:instrText xml:space="preserve">) </w:instrText>
      </w:r>
      <w:r w:rsidR="00A6794A">
        <w:rPr>
          <w:lang w:val="en-US"/>
        </w:rPr>
        <w:instrText>infusion</w:instrText>
      </w:r>
      <w:r w:rsidR="00A6794A" w:rsidRPr="00AA43FB">
        <w:instrText xml:space="preserve">], </w:instrText>
      </w:r>
      <w:r w:rsidR="00A6794A">
        <w:rPr>
          <w:lang w:val="en-US"/>
        </w:rPr>
        <w:instrText>and</w:instrText>
      </w:r>
      <w:r w:rsidR="00A6794A" w:rsidRPr="00AA43FB">
        <w:instrText xml:space="preserve"> </w:instrText>
      </w:r>
      <w:r w:rsidR="00A6794A">
        <w:rPr>
          <w:lang w:val="en-US"/>
        </w:rPr>
        <w:instrText>has</w:instrText>
      </w:r>
      <w:r w:rsidR="00A6794A" w:rsidRPr="00AA43FB">
        <w:instrText xml:space="preserve"> </w:instrText>
      </w:r>
      <w:r w:rsidR="00A6794A">
        <w:rPr>
          <w:lang w:val="en-US"/>
        </w:rPr>
        <w:instrText>undergone</w:instrText>
      </w:r>
      <w:r w:rsidR="00A6794A" w:rsidRPr="00AA43FB">
        <w:instrText xml:space="preserve"> </w:instrText>
      </w:r>
      <w:r w:rsidR="00A6794A">
        <w:rPr>
          <w:lang w:val="en-US"/>
        </w:rPr>
        <w:instrText>a</w:instrText>
      </w:r>
      <w:r w:rsidR="00A6794A" w:rsidRPr="00AA43FB">
        <w:instrText xml:space="preserve"> </w:instrText>
      </w:r>
      <w:r w:rsidR="00A6794A">
        <w:rPr>
          <w:lang w:val="en-US"/>
        </w:rPr>
        <w:instrText>detailed</w:instrText>
      </w:r>
      <w:r w:rsidR="00A6794A" w:rsidRPr="00AA43FB">
        <w:instrText xml:space="preserve">, </w:instrText>
      </w:r>
      <w:r w:rsidR="00A6794A">
        <w:rPr>
          <w:lang w:val="en-US"/>
        </w:rPr>
        <w:instrText>sequential</w:instrText>
      </w:r>
      <w:r w:rsidR="00A6794A" w:rsidRPr="00AA43FB">
        <w:instrText xml:space="preserve"> </w:instrText>
      </w:r>
      <w:r w:rsidR="00A6794A">
        <w:rPr>
          <w:lang w:val="en-US"/>
        </w:rPr>
        <w:instrText>clinical</w:instrText>
      </w:r>
      <w:r w:rsidR="00A6794A" w:rsidRPr="00AA43FB">
        <w:instrText xml:space="preserve"> </w:instrText>
      </w:r>
      <w:r w:rsidR="00A6794A">
        <w:rPr>
          <w:lang w:val="en-US"/>
        </w:rPr>
        <w:instrText>development</w:instrText>
      </w:r>
      <w:r w:rsidR="00A6794A" w:rsidRPr="00AA43FB">
        <w:instrText xml:space="preserve"> </w:instrText>
      </w:r>
      <w:r w:rsidR="00A6794A">
        <w:rPr>
          <w:lang w:val="en-US"/>
        </w:rPr>
        <w:instrText>program</w:instrText>
      </w:r>
      <w:r w:rsidR="00A6794A" w:rsidRPr="00AA43FB">
        <w:instrText xml:space="preserve">. </w:instrText>
      </w:r>
      <w:r w:rsidR="00A6794A">
        <w:rPr>
          <w:lang w:val="en-US"/>
        </w:rPr>
        <w:instrText>This</w:instrText>
      </w:r>
      <w:r w:rsidR="00A6794A" w:rsidRPr="00AA43FB">
        <w:instrText xml:space="preserve"> </w:instrText>
      </w:r>
      <w:r w:rsidR="00A6794A">
        <w:rPr>
          <w:lang w:val="en-US"/>
        </w:rPr>
        <w:instrText>program</w:instrText>
      </w:r>
      <w:r w:rsidR="00A6794A" w:rsidRPr="00AA43FB">
        <w:instrText xml:space="preserve"> </w:instrText>
      </w:r>
      <w:r w:rsidR="00A6794A">
        <w:rPr>
          <w:lang w:val="en-US"/>
        </w:rPr>
        <w:instrText>demonstrated</w:instrText>
      </w:r>
      <w:r w:rsidR="00A6794A" w:rsidRPr="00AA43FB">
        <w:instrText xml:space="preserve"> </w:instrText>
      </w:r>
      <w:r w:rsidR="00A6794A">
        <w:rPr>
          <w:lang w:val="en-US"/>
        </w:rPr>
        <w:instrText>that</w:instrText>
      </w:r>
      <w:r w:rsidR="00A6794A" w:rsidRPr="00AA43FB">
        <w:instrText xml:space="preserve">, </w:instrText>
      </w:r>
      <w:r w:rsidR="00A6794A">
        <w:rPr>
          <w:lang w:val="en-US"/>
        </w:rPr>
        <w:instrText>at</w:instrText>
      </w:r>
      <w:r w:rsidR="00A6794A" w:rsidRPr="00AA43FB">
        <w:instrText xml:space="preserve"> </w:instrText>
      </w:r>
      <w:r w:rsidR="00A6794A">
        <w:rPr>
          <w:lang w:val="en-US"/>
        </w:rPr>
        <w:instrText>fixed</w:instrText>
      </w:r>
      <w:r w:rsidR="00A6794A" w:rsidRPr="00AA43FB">
        <w:instrText xml:space="preserve"> </w:instrText>
      </w:r>
      <w:r w:rsidR="00A6794A">
        <w:rPr>
          <w:lang w:val="en-US"/>
        </w:rPr>
        <w:instrText>doses</w:instrText>
      </w:r>
      <w:r w:rsidR="00A6794A" w:rsidRPr="00AA43FB">
        <w:instrText xml:space="preserve">, </w:instrText>
      </w:r>
      <w:r w:rsidR="00A6794A">
        <w:rPr>
          <w:lang w:val="en-US"/>
        </w:rPr>
        <w:instrText>rituximab</w:instrText>
      </w:r>
      <w:r w:rsidR="00A6794A" w:rsidRPr="00AA43FB">
        <w:instrText xml:space="preserve"> </w:instrText>
      </w:r>
      <w:r w:rsidR="00A6794A">
        <w:rPr>
          <w:lang w:val="en-US"/>
        </w:rPr>
        <w:instrText>SC</w:instrText>
      </w:r>
      <w:r w:rsidR="00A6794A" w:rsidRPr="00AA43FB">
        <w:instrText xml:space="preserve"> </w:instrText>
      </w:r>
      <w:r w:rsidR="00A6794A">
        <w:rPr>
          <w:lang w:val="en-US"/>
        </w:rPr>
        <w:instrText>achieves</w:instrText>
      </w:r>
      <w:r w:rsidR="00A6794A" w:rsidRPr="00AA43FB">
        <w:instrText xml:space="preserve"> </w:instrText>
      </w:r>
      <w:r w:rsidR="00A6794A">
        <w:rPr>
          <w:lang w:val="en-US"/>
        </w:rPr>
        <w:instrText>non</w:instrText>
      </w:r>
      <w:r w:rsidR="00A6794A" w:rsidRPr="00AA43FB">
        <w:instrText>-</w:instrText>
      </w:r>
      <w:r w:rsidR="00A6794A">
        <w:rPr>
          <w:lang w:val="en-US"/>
        </w:rPr>
        <w:instrText>inferior</w:instrText>
      </w:r>
      <w:r w:rsidR="00A6794A" w:rsidRPr="00AA43FB">
        <w:instrText xml:space="preserve"> </w:instrText>
      </w:r>
      <w:r w:rsidR="00A6794A">
        <w:rPr>
          <w:lang w:val="en-US"/>
        </w:rPr>
        <w:instrText>serum</w:instrText>
      </w:r>
      <w:r w:rsidR="00A6794A" w:rsidRPr="00AA43FB">
        <w:instrText xml:space="preserve"> </w:instrText>
      </w:r>
      <w:r w:rsidR="00A6794A">
        <w:rPr>
          <w:lang w:val="en-US"/>
        </w:rPr>
        <w:instrText>trough</w:instrText>
      </w:r>
      <w:r w:rsidR="00A6794A" w:rsidRPr="00AA43FB">
        <w:instrText xml:space="preserve"> </w:instrText>
      </w:r>
      <w:r w:rsidR="00A6794A">
        <w:rPr>
          <w:lang w:val="en-US"/>
        </w:rPr>
        <w:instrText>concentrations</w:instrText>
      </w:r>
      <w:r w:rsidR="00A6794A" w:rsidRPr="00AA43FB">
        <w:instrText xml:space="preserve"> </w:instrText>
      </w:r>
      <w:r w:rsidR="00A6794A">
        <w:rPr>
          <w:lang w:val="en-US"/>
        </w:rPr>
        <w:instrText>in</w:instrText>
      </w:r>
      <w:r w:rsidR="00A6794A" w:rsidRPr="00AA43FB">
        <w:instrText xml:space="preserve"> </w:instrText>
      </w:r>
      <w:r w:rsidR="00A6794A">
        <w:rPr>
          <w:lang w:val="en-US"/>
        </w:rPr>
        <w:instrText>patients</w:instrText>
      </w:r>
      <w:r w:rsidR="00A6794A" w:rsidRPr="00AA43FB">
        <w:instrText xml:space="preserve"> </w:instrText>
      </w:r>
      <w:r w:rsidR="00A6794A">
        <w:rPr>
          <w:lang w:val="en-US"/>
        </w:rPr>
        <w:instrText>with</w:instrText>
      </w:r>
      <w:r w:rsidR="00A6794A" w:rsidRPr="00AA43FB">
        <w:instrText xml:space="preserve"> </w:instrText>
      </w:r>
      <w:r w:rsidR="00A6794A">
        <w:rPr>
          <w:lang w:val="en-US"/>
        </w:rPr>
        <w:instrText>non</w:instrText>
      </w:r>
      <w:r w:rsidR="00A6794A" w:rsidRPr="00AA43FB">
        <w:instrText>-</w:instrText>
      </w:r>
      <w:r w:rsidR="00A6794A">
        <w:rPr>
          <w:lang w:val="en-US"/>
        </w:rPr>
        <w:instrText>Hodgkin</w:instrText>
      </w:r>
      <w:r w:rsidR="00A6794A" w:rsidRPr="00AA43FB">
        <w:instrText xml:space="preserve"> </w:instrText>
      </w:r>
      <w:r w:rsidR="00A6794A">
        <w:rPr>
          <w:lang w:val="en-US"/>
        </w:rPr>
        <w:instrText>lymphoma</w:instrText>
      </w:r>
      <w:r w:rsidR="00A6794A" w:rsidRPr="00AA43FB">
        <w:instrText xml:space="preserve"> </w:instrText>
      </w:r>
      <w:r w:rsidR="00A6794A">
        <w:rPr>
          <w:lang w:val="en-US"/>
        </w:rPr>
        <w:instrText>and</w:instrText>
      </w:r>
      <w:r w:rsidR="00A6794A" w:rsidRPr="00AA43FB">
        <w:instrText xml:space="preserve"> </w:instrText>
      </w:r>
      <w:r w:rsidR="00A6794A">
        <w:rPr>
          <w:lang w:val="en-US"/>
        </w:rPr>
        <w:instrText>chronic</w:instrText>
      </w:r>
      <w:r w:rsidR="00A6794A" w:rsidRPr="00AA43FB">
        <w:instrText xml:space="preserve"> </w:instrText>
      </w:r>
      <w:r w:rsidR="00A6794A">
        <w:rPr>
          <w:lang w:val="en-US"/>
        </w:rPr>
        <w:instrText>lymphocytic</w:instrText>
      </w:r>
      <w:r w:rsidR="00A6794A" w:rsidRPr="00AA43FB">
        <w:instrText xml:space="preserve"> </w:instrText>
      </w:r>
      <w:r w:rsidR="00A6794A">
        <w:rPr>
          <w:lang w:val="en-US"/>
        </w:rPr>
        <w:instrText>leukemia</w:instrText>
      </w:r>
      <w:r w:rsidR="00A6794A" w:rsidRPr="00AA43FB">
        <w:instrText xml:space="preserve">, </w:instrText>
      </w:r>
      <w:r w:rsidR="00A6794A">
        <w:rPr>
          <w:lang w:val="en-US"/>
        </w:rPr>
        <w:instrText>with</w:instrText>
      </w:r>
      <w:r w:rsidR="00A6794A" w:rsidRPr="00AA43FB">
        <w:instrText xml:space="preserve"> </w:instrText>
      </w:r>
      <w:r w:rsidR="00A6794A">
        <w:rPr>
          <w:lang w:val="en-US"/>
        </w:rPr>
        <w:instrText>comparable</w:instrText>
      </w:r>
      <w:r w:rsidR="00A6794A" w:rsidRPr="00AA43FB">
        <w:instrText xml:space="preserve"> </w:instrText>
      </w:r>
      <w:r w:rsidR="00A6794A">
        <w:rPr>
          <w:lang w:val="en-US"/>
        </w:rPr>
        <w:instrText>efficacy</w:instrText>
      </w:r>
      <w:r w:rsidR="00A6794A" w:rsidRPr="00AA43FB">
        <w:instrText xml:space="preserve"> </w:instrText>
      </w:r>
      <w:r w:rsidR="00A6794A">
        <w:rPr>
          <w:lang w:val="en-US"/>
        </w:rPr>
        <w:instrText>and</w:instrText>
      </w:r>
      <w:r w:rsidR="00A6794A" w:rsidRPr="00AA43FB">
        <w:instrText xml:space="preserve"> </w:instrText>
      </w:r>
      <w:r w:rsidR="00A6794A">
        <w:rPr>
          <w:lang w:val="en-US"/>
        </w:rPr>
        <w:instrText>safety</w:instrText>
      </w:r>
      <w:r w:rsidR="00A6794A" w:rsidRPr="00AA43FB">
        <w:instrText xml:space="preserve"> </w:instrText>
      </w:r>
      <w:r w:rsidR="00A6794A">
        <w:rPr>
          <w:lang w:val="en-US"/>
        </w:rPr>
        <w:instrText>relative</w:instrText>
      </w:r>
      <w:r w:rsidR="00A6794A" w:rsidRPr="00AA43FB">
        <w:instrText xml:space="preserve"> </w:instrText>
      </w:r>
      <w:r w:rsidR="00A6794A">
        <w:rPr>
          <w:lang w:val="en-US"/>
        </w:rPr>
        <w:instrText>to</w:instrText>
      </w:r>
      <w:r w:rsidR="00A6794A" w:rsidRPr="00AA43FB">
        <w:instrText xml:space="preserve"> </w:instrText>
      </w:r>
      <w:r w:rsidR="00A6794A">
        <w:rPr>
          <w:lang w:val="en-US"/>
        </w:rPr>
        <w:instrText>the</w:instrText>
      </w:r>
      <w:r w:rsidR="00A6794A" w:rsidRPr="00AA43FB">
        <w:instrText xml:space="preserve"> </w:instrText>
      </w:r>
      <w:r w:rsidR="00A6794A">
        <w:rPr>
          <w:lang w:val="en-US"/>
        </w:rPr>
        <w:instrText>IV</w:instrText>
      </w:r>
      <w:r w:rsidR="00A6794A" w:rsidRPr="00AA43FB">
        <w:instrText xml:space="preserve"> </w:instrText>
      </w:r>
      <w:r w:rsidR="00A6794A">
        <w:rPr>
          <w:lang w:val="en-US"/>
        </w:rPr>
        <w:instrText>formulation</w:instrText>
      </w:r>
      <w:r w:rsidR="00A6794A" w:rsidRPr="00AA43FB">
        <w:instrText xml:space="preserve">. </w:instrText>
      </w:r>
      <w:r w:rsidR="00A6794A">
        <w:rPr>
          <w:lang w:val="en-US"/>
        </w:rPr>
        <w:instrText>The</w:instrText>
      </w:r>
      <w:r w:rsidR="00A6794A" w:rsidRPr="00AA43FB">
        <w:instrText xml:space="preserve"> </w:instrText>
      </w:r>
      <w:r w:rsidR="00A6794A">
        <w:rPr>
          <w:lang w:val="en-US"/>
        </w:rPr>
        <w:instrText>added</w:instrText>
      </w:r>
      <w:r w:rsidR="00A6794A" w:rsidRPr="00AA43FB">
        <w:instrText xml:space="preserve"> </w:instrText>
      </w:r>
      <w:r w:rsidR="00A6794A">
        <w:rPr>
          <w:lang w:val="en-US"/>
        </w:rPr>
        <w:instrText>benefit</w:instrText>
      </w:r>
      <w:r w:rsidR="00A6794A" w:rsidRPr="00AA43FB">
        <w:instrText xml:space="preserve"> </w:instrText>
      </w:r>
      <w:r w:rsidR="00A6794A">
        <w:rPr>
          <w:lang w:val="en-US"/>
        </w:rPr>
        <w:instrText>of</w:instrText>
      </w:r>
      <w:r w:rsidR="00A6794A" w:rsidRPr="00AA43FB">
        <w:instrText xml:space="preserve"> </w:instrText>
      </w:r>
      <w:r w:rsidR="00A6794A">
        <w:rPr>
          <w:lang w:val="en-US"/>
        </w:rPr>
        <w:instrText>rituximab</w:instrText>
      </w:r>
      <w:r w:rsidR="00A6794A" w:rsidRPr="00AA43FB">
        <w:instrText xml:space="preserve"> </w:instrText>
      </w:r>
      <w:r w:rsidR="00A6794A">
        <w:rPr>
          <w:lang w:val="en-US"/>
        </w:rPr>
        <w:instrText>SC</w:instrText>
      </w:r>
      <w:r w:rsidR="00A6794A" w:rsidRPr="00AA43FB">
        <w:instrText xml:space="preserve"> </w:instrText>
      </w:r>
      <w:r w:rsidR="00A6794A">
        <w:rPr>
          <w:lang w:val="en-US"/>
        </w:rPr>
        <w:instrText>was</w:instrText>
      </w:r>
      <w:r w:rsidR="00A6794A" w:rsidRPr="00AA43FB">
        <w:instrText xml:space="preserve"> </w:instrText>
      </w:r>
      <w:r w:rsidR="00A6794A">
        <w:rPr>
          <w:lang w:val="en-US"/>
        </w:rPr>
        <w:instrText>demonstrated</w:instrText>
      </w:r>
      <w:r w:rsidR="00A6794A" w:rsidRPr="00AA43FB">
        <w:instrText xml:space="preserve"> </w:instrText>
      </w:r>
      <w:r w:rsidR="00A6794A">
        <w:rPr>
          <w:lang w:val="en-US"/>
        </w:rPr>
        <w:instrText>in</w:instrText>
      </w:r>
      <w:r w:rsidR="00A6794A" w:rsidRPr="00AA43FB">
        <w:instrText xml:space="preserve"> </w:instrText>
      </w:r>
      <w:r w:rsidR="00A6794A">
        <w:rPr>
          <w:lang w:val="en-US"/>
        </w:rPr>
        <w:instrText>dedicated</w:instrText>
      </w:r>
      <w:r w:rsidR="00A6794A" w:rsidRPr="00AA43FB">
        <w:instrText xml:space="preserve"> </w:instrText>
      </w:r>
      <w:r w:rsidR="00A6794A">
        <w:rPr>
          <w:lang w:val="en-US"/>
        </w:rPr>
        <w:instrText>studies</w:instrText>
      </w:r>
      <w:r w:rsidR="00A6794A" w:rsidRPr="00AA43FB">
        <w:instrText xml:space="preserve"> </w:instrText>
      </w:r>
      <w:r w:rsidR="00A6794A">
        <w:rPr>
          <w:lang w:val="en-US"/>
        </w:rPr>
        <w:instrText>showing</w:instrText>
      </w:r>
      <w:r w:rsidR="00A6794A" w:rsidRPr="00AA43FB">
        <w:instrText xml:space="preserve"> </w:instrText>
      </w:r>
      <w:r w:rsidR="00A6794A">
        <w:rPr>
          <w:lang w:val="en-US"/>
        </w:rPr>
        <w:instrText>that</w:instrText>
      </w:r>
      <w:r w:rsidR="00A6794A" w:rsidRPr="00AA43FB">
        <w:instrText xml:space="preserve"> </w:instrText>
      </w:r>
      <w:r w:rsidR="00A6794A">
        <w:rPr>
          <w:lang w:val="en-US"/>
        </w:rPr>
        <w:instrText>rituximab</w:instrText>
      </w:r>
      <w:r w:rsidR="00A6794A" w:rsidRPr="00AA43FB">
        <w:instrText xml:space="preserve"> </w:instrText>
      </w:r>
      <w:r w:rsidR="00A6794A">
        <w:rPr>
          <w:lang w:val="en-US"/>
        </w:rPr>
        <w:instrText>SC</w:instrText>
      </w:r>
      <w:r w:rsidR="00A6794A" w:rsidRPr="00AA43FB">
        <w:instrText xml:space="preserve"> </w:instrText>
      </w:r>
      <w:r w:rsidR="00A6794A">
        <w:rPr>
          <w:lang w:val="en-US"/>
        </w:rPr>
        <w:instrText>allows</w:instrText>
      </w:r>
      <w:r w:rsidR="00A6794A" w:rsidRPr="00AA43FB">
        <w:instrText xml:space="preserve"> </w:instrText>
      </w:r>
      <w:r w:rsidR="00A6794A">
        <w:rPr>
          <w:lang w:val="en-US"/>
        </w:rPr>
        <w:instrText>for</w:instrText>
      </w:r>
      <w:r w:rsidR="00A6794A" w:rsidRPr="00AA43FB">
        <w:instrText xml:space="preserve"> </w:instrText>
      </w:r>
      <w:r w:rsidR="00A6794A">
        <w:rPr>
          <w:lang w:val="en-US"/>
        </w:rPr>
        <w:instrText>simplified</w:instrText>
      </w:r>
      <w:r w:rsidR="00A6794A" w:rsidRPr="00AA43FB">
        <w:instrText xml:space="preserve"> </w:instrText>
      </w:r>
      <w:r w:rsidR="00A6794A">
        <w:rPr>
          <w:lang w:val="en-US"/>
        </w:rPr>
        <w:instrText>and</w:instrText>
      </w:r>
      <w:r w:rsidR="00A6794A" w:rsidRPr="00AA43FB">
        <w:instrText xml:space="preserve"> </w:instrText>
      </w:r>
      <w:r w:rsidR="00A6794A">
        <w:rPr>
          <w:lang w:val="en-US"/>
        </w:rPr>
        <w:instrText>shortened</w:instrText>
      </w:r>
      <w:r w:rsidR="00A6794A" w:rsidRPr="00AA43FB">
        <w:instrText xml:space="preserve"> </w:instrText>
      </w:r>
      <w:r w:rsidR="00A6794A">
        <w:rPr>
          <w:lang w:val="en-US"/>
        </w:rPr>
        <w:instrText>drug</w:instrText>
      </w:r>
      <w:r w:rsidR="00A6794A" w:rsidRPr="00AA43FB">
        <w:instrText xml:space="preserve"> </w:instrText>
      </w:r>
      <w:r w:rsidR="00A6794A">
        <w:rPr>
          <w:lang w:val="en-US"/>
        </w:rPr>
        <w:instrText>preparation</w:instrText>
      </w:r>
      <w:r w:rsidR="00A6794A" w:rsidRPr="00AA43FB">
        <w:instrText xml:space="preserve"> </w:instrText>
      </w:r>
      <w:r w:rsidR="00A6794A">
        <w:rPr>
          <w:lang w:val="en-US"/>
        </w:rPr>
        <w:instrText>and</w:instrText>
      </w:r>
      <w:r w:rsidR="00A6794A" w:rsidRPr="00AA43FB">
        <w:instrText xml:space="preserve"> </w:instrText>
      </w:r>
      <w:r w:rsidR="00A6794A">
        <w:rPr>
          <w:lang w:val="en-US"/>
        </w:rPr>
        <w:instrText>administration</w:instrText>
      </w:r>
      <w:r w:rsidR="00A6794A" w:rsidRPr="00AA43FB">
        <w:instrText xml:space="preserve"> </w:instrText>
      </w:r>
      <w:r w:rsidR="00A6794A">
        <w:rPr>
          <w:lang w:val="en-US"/>
        </w:rPr>
        <w:instrText>times</w:instrText>
      </w:r>
      <w:r w:rsidR="00A6794A" w:rsidRPr="00AA43FB">
        <w:instrText xml:space="preserve"> </w:instrText>
      </w:r>
      <w:r w:rsidR="00A6794A">
        <w:rPr>
          <w:lang w:val="en-US"/>
        </w:rPr>
        <w:instrText>resulting</w:instrText>
      </w:r>
      <w:r w:rsidR="00A6794A" w:rsidRPr="00AA43FB">
        <w:instrText xml:space="preserve"> </w:instrText>
      </w:r>
      <w:r w:rsidR="00A6794A">
        <w:rPr>
          <w:lang w:val="en-US"/>
        </w:rPr>
        <w:instrText>in</w:instrText>
      </w:r>
      <w:r w:rsidR="00A6794A" w:rsidRPr="00AA43FB">
        <w:instrText xml:space="preserve"> </w:instrText>
      </w:r>
      <w:r w:rsidR="00A6794A">
        <w:rPr>
          <w:lang w:val="en-US"/>
        </w:rPr>
        <w:instrText>a</w:instrText>
      </w:r>
      <w:r w:rsidR="00A6794A" w:rsidRPr="00AA43FB">
        <w:instrText xml:space="preserve"> </w:instrText>
      </w:r>
      <w:r w:rsidR="00A6794A">
        <w:rPr>
          <w:lang w:val="en-US"/>
        </w:rPr>
        <w:instrText>reduced</w:instrText>
      </w:r>
      <w:r w:rsidR="00A6794A" w:rsidRPr="00AA43FB">
        <w:instrText xml:space="preserve"> </w:instrText>
      </w:r>
      <w:r w:rsidR="00A6794A">
        <w:rPr>
          <w:lang w:val="en-US"/>
        </w:rPr>
        <w:instrText>treatment</w:instrText>
      </w:r>
      <w:r w:rsidR="00A6794A" w:rsidRPr="00AA43FB">
        <w:instrText xml:space="preserve"> </w:instrText>
      </w:r>
      <w:r w:rsidR="00A6794A">
        <w:rPr>
          <w:lang w:val="en-US"/>
        </w:rPr>
        <w:instrText>burden</w:instrText>
      </w:r>
      <w:r w:rsidR="00A6794A" w:rsidRPr="00AA43FB">
        <w:instrText xml:space="preserve"> </w:instrText>
      </w:r>
      <w:r w:rsidR="00A6794A">
        <w:rPr>
          <w:lang w:val="en-US"/>
        </w:rPr>
        <w:instrText>for</w:instrText>
      </w:r>
      <w:r w:rsidR="00A6794A" w:rsidRPr="00AA43FB">
        <w:instrText xml:space="preserve"> </w:instrText>
      </w:r>
      <w:r w:rsidR="00A6794A">
        <w:rPr>
          <w:lang w:val="en-US"/>
        </w:rPr>
        <w:instrText>patients</w:instrText>
      </w:r>
      <w:r w:rsidR="00A6794A" w:rsidRPr="00AA43FB">
        <w:instrText xml:space="preserve"> </w:instrText>
      </w:r>
      <w:r w:rsidR="00A6794A">
        <w:rPr>
          <w:lang w:val="en-US"/>
        </w:rPr>
        <w:instrText>as</w:instrText>
      </w:r>
      <w:r w:rsidR="00A6794A" w:rsidRPr="00AA43FB">
        <w:instrText xml:space="preserve"> </w:instrText>
      </w:r>
      <w:r w:rsidR="00A6794A">
        <w:rPr>
          <w:lang w:val="en-US"/>
        </w:rPr>
        <w:instrText>well</w:instrText>
      </w:r>
      <w:r w:rsidR="00A6794A" w:rsidRPr="00AA43FB">
        <w:instrText xml:space="preserve"> </w:instrText>
      </w:r>
      <w:r w:rsidR="00A6794A">
        <w:rPr>
          <w:lang w:val="en-US"/>
        </w:rPr>
        <w:instrText>as</w:instrText>
      </w:r>
      <w:r w:rsidR="00A6794A" w:rsidRPr="00AA43FB">
        <w:instrText xml:space="preserve"> </w:instrText>
      </w:r>
      <w:r w:rsidR="00A6794A">
        <w:rPr>
          <w:lang w:val="en-US"/>
        </w:rPr>
        <w:instrText>improved</w:instrText>
      </w:r>
      <w:r w:rsidR="00A6794A" w:rsidRPr="00AA43FB">
        <w:instrText xml:space="preserve"> </w:instrText>
      </w:r>
      <w:r w:rsidR="00A6794A">
        <w:rPr>
          <w:lang w:val="en-US"/>
        </w:rPr>
        <w:instrText>resource</w:instrText>
      </w:r>
      <w:r w:rsidR="00A6794A" w:rsidRPr="00AA43FB">
        <w:instrText xml:space="preserve"> </w:instrText>
      </w:r>
      <w:r w:rsidR="00A6794A">
        <w:rPr>
          <w:lang w:val="en-US"/>
        </w:rPr>
        <w:instrText>utilization</w:instrText>
      </w:r>
      <w:r w:rsidR="00A6794A" w:rsidRPr="00AA43FB">
        <w:instrText xml:space="preserve"> (</w:instrText>
      </w:r>
      <w:r w:rsidR="00A6794A">
        <w:rPr>
          <w:lang w:val="en-US"/>
        </w:rPr>
        <w:instrText>efficiency</w:instrText>
      </w:r>
      <w:r w:rsidR="00A6794A" w:rsidRPr="00AA43FB">
        <w:instrText xml:space="preserve">) </w:instrText>
      </w:r>
      <w:r w:rsidR="00A6794A">
        <w:rPr>
          <w:lang w:val="en-US"/>
        </w:rPr>
        <w:instrText>at</w:instrText>
      </w:r>
      <w:r w:rsidR="00A6794A" w:rsidRPr="00AA43FB">
        <w:instrText xml:space="preserve"> </w:instrText>
      </w:r>
      <w:r w:rsidR="00A6794A">
        <w:rPr>
          <w:lang w:val="en-US"/>
        </w:rPr>
        <w:instrText>the</w:instrText>
      </w:r>
      <w:r w:rsidR="00A6794A" w:rsidRPr="00AA43FB">
        <w:instrText xml:space="preserve"> </w:instrText>
      </w:r>
      <w:r w:rsidR="00A6794A">
        <w:rPr>
          <w:lang w:val="en-US"/>
        </w:rPr>
        <w:instrText>treatment</w:instrText>
      </w:r>
      <w:r w:rsidR="00A6794A" w:rsidRPr="00AA43FB">
        <w:instrText xml:space="preserve"> </w:instrText>
      </w:r>
      <w:r w:rsidR="00A6794A">
        <w:rPr>
          <w:lang w:val="en-US"/>
        </w:rPr>
        <w:instrText>facility</w:instrText>
      </w:r>
      <w:r w:rsidR="00A6794A" w:rsidRPr="00AA43FB">
        <w:instrText xml:space="preserve">. </w:instrText>
      </w:r>
      <w:r w:rsidR="00A6794A">
        <w:rPr>
          <w:lang w:val="en-US"/>
        </w:rPr>
        <w:instrText>The</w:instrText>
      </w:r>
      <w:r w:rsidR="00A6794A" w:rsidRPr="00AA43FB">
        <w:instrText xml:space="preserve"> </w:instrText>
      </w:r>
      <w:r w:rsidR="00A6794A">
        <w:rPr>
          <w:lang w:val="en-US"/>
        </w:rPr>
        <w:instrText>improved</w:instrText>
      </w:r>
      <w:r w:rsidR="00A6794A" w:rsidRPr="00AA43FB">
        <w:instrText xml:space="preserve"> </w:instrText>
      </w:r>
      <w:r w:rsidR="00A6794A">
        <w:rPr>
          <w:lang w:val="en-US"/>
        </w:rPr>
        <w:instrText>efficiency</w:instrText>
      </w:r>
      <w:r w:rsidR="00A6794A" w:rsidRPr="00AA43FB">
        <w:instrText xml:space="preserve"> </w:instrText>
      </w:r>
      <w:r w:rsidR="00A6794A">
        <w:rPr>
          <w:lang w:val="en-US"/>
        </w:rPr>
        <w:instrText>of</w:instrText>
      </w:r>
      <w:r w:rsidR="00A6794A" w:rsidRPr="00AA43FB">
        <w:instrText xml:space="preserve"> </w:instrText>
      </w:r>
      <w:r w:rsidR="00A6794A">
        <w:rPr>
          <w:lang w:val="en-US"/>
        </w:rPr>
        <w:instrText>delivering</w:instrText>
      </w:r>
      <w:r w:rsidR="00A6794A" w:rsidRPr="00AA43FB">
        <w:instrText xml:space="preserve"> </w:instrText>
      </w:r>
      <w:r w:rsidR="00A6794A">
        <w:rPr>
          <w:lang w:val="en-US"/>
        </w:rPr>
        <w:instrText>rituximab</w:instrText>
      </w:r>
      <w:r w:rsidR="00A6794A" w:rsidRPr="00AA43FB">
        <w:instrText>’</w:instrText>
      </w:r>
      <w:r w:rsidR="00A6794A">
        <w:rPr>
          <w:lang w:val="en-US"/>
        </w:rPr>
        <w:instrText>s</w:instrText>
      </w:r>
      <w:r w:rsidR="00A6794A" w:rsidRPr="00AA43FB">
        <w:instrText xml:space="preserve"> </w:instrText>
      </w:r>
      <w:r w:rsidR="00A6794A">
        <w:rPr>
          <w:lang w:val="en-US"/>
        </w:rPr>
        <w:instrText>benefit</w:instrText>
      </w:r>
      <w:r w:rsidR="00A6794A" w:rsidRPr="00AA43FB">
        <w:instrText xml:space="preserve"> </w:instrText>
      </w:r>
      <w:r w:rsidR="00A6794A">
        <w:rPr>
          <w:lang w:val="en-US"/>
        </w:rPr>
        <w:instrText>to</w:instrText>
      </w:r>
      <w:r w:rsidR="00A6794A" w:rsidRPr="00AA43FB">
        <w:instrText xml:space="preserve"> </w:instrText>
      </w:r>
      <w:r w:rsidR="00A6794A">
        <w:rPr>
          <w:lang w:val="en-US"/>
        </w:rPr>
        <w:instrText>patients</w:instrText>
      </w:r>
      <w:r w:rsidR="00A6794A" w:rsidRPr="00AA43FB">
        <w:instrText xml:space="preserve"> </w:instrText>
      </w:r>
      <w:r w:rsidR="00A6794A">
        <w:rPr>
          <w:lang w:val="en-US"/>
        </w:rPr>
        <w:instrText>may</w:instrText>
      </w:r>
      <w:r w:rsidR="00A6794A" w:rsidRPr="00AA43FB">
        <w:instrText xml:space="preserve"> </w:instrText>
      </w:r>
      <w:r w:rsidR="00A6794A">
        <w:rPr>
          <w:lang w:val="en-US"/>
        </w:rPr>
        <w:instrText>broaden</w:instrText>
      </w:r>
      <w:r w:rsidR="00A6794A" w:rsidRPr="00AA43FB">
        <w:instrText xml:space="preserve"> </w:instrText>
      </w:r>
      <w:r w:rsidR="00A6794A">
        <w:rPr>
          <w:lang w:val="en-US"/>
        </w:rPr>
        <w:instrText>patient</w:instrText>
      </w:r>
      <w:r w:rsidR="00A6794A" w:rsidRPr="00AA43FB">
        <w:instrText xml:space="preserve"> </w:instrText>
      </w:r>
      <w:r w:rsidR="00A6794A">
        <w:rPr>
          <w:lang w:val="en-US"/>
        </w:rPr>
        <w:instrText>access</w:instrText>
      </w:r>
      <w:r w:rsidR="00A6794A" w:rsidRPr="00AA43FB">
        <w:instrText xml:space="preserve"> </w:instrText>
      </w:r>
      <w:r w:rsidR="00A6794A">
        <w:rPr>
          <w:lang w:val="en-US"/>
        </w:rPr>
        <w:instrText>to</w:instrText>
      </w:r>
      <w:r w:rsidR="00A6794A" w:rsidRPr="00AA43FB">
        <w:instrText xml:space="preserve"> </w:instrText>
      </w:r>
      <w:r w:rsidR="00A6794A">
        <w:rPr>
          <w:lang w:val="en-US"/>
        </w:rPr>
        <w:instrText>rituximab</w:instrText>
      </w:r>
      <w:r w:rsidR="00A6794A" w:rsidRPr="00AA43FB">
        <w:instrText xml:space="preserve"> </w:instrText>
      </w:r>
      <w:r w:rsidR="00A6794A">
        <w:rPr>
          <w:lang w:val="en-US"/>
        </w:rPr>
        <w:instrText>therapy</w:instrText>
      </w:r>
      <w:r w:rsidR="00A6794A" w:rsidRPr="00AA43FB">
        <w:instrText xml:space="preserve"> </w:instrText>
      </w:r>
      <w:r w:rsidR="00A6794A">
        <w:rPr>
          <w:lang w:val="en-US"/>
        </w:rPr>
        <w:instrText>in</w:instrText>
      </w:r>
      <w:r w:rsidR="00A6794A" w:rsidRPr="00AA43FB">
        <w:instrText xml:space="preserve"> </w:instrText>
      </w:r>
      <w:r w:rsidR="00A6794A">
        <w:rPr>
          <w:lang w:val="en-US"/>
        </w:rPr>
        <w:instrText>areas with low levels of healthcare resources, including IV-chair capacity constraints. This article is a companion paper to G. Salles, et al., which is also published in this issue. Funding: F. Hoffmann-La Roche Ltd.","author":[{"dropping-particle":"","family":"Davies","given":"Andrew","non-dropping-particle":"","parse-names":false,"suffix":""},{"dropping-particle":"","family":"Berge","given":"Claude","non-dropping-particle":"","parse-names":false,"suffix":""},{"dropping-particle":"","family":"Boehnke","given":"Axel","non-dropping-particle":"","parse-names":false,"suffix":""},{"dropping-particle":"","family":"Dadabhoy","given":"Anjum","non-dropping-particle":"","parse-names":false,"suffix":""},{"dropping-particle":"","family":"Lugtenburg","given":"Pieternella","non-dropping-particle":"","parse-names":false,"suffix":""},{"dropping-particle":"","family":"Rule","given":"Simon","non-dropping-particle":"","parse-names":false,"suffix":""},{"dropping-particle":"","family":"Rummel","given":"Mathias","non-dropping-particle":"","parse-names":false,"suffix":""},{"dropping-particle":"","family":"McIntyre","given":"Christine","non-dropping-particle":"","parse-names":false,"suffix":""},{"dropping-particle":"","family":"Smith","given":"Rodney","non-dropping-particle":"","parse-names":false,"suffix":""},{"dropping-particle":"","family":"Badoux","given":"Xavier","non-dropping-particle":"","parse-names":false,"suffix":""}],"container-title":"Advances in Therapy","id":"ITEM-2","issue":"10","issued":{"date-parts":[["2017","10","1"]]},"page":"2210-2231","publisher":"Springer Healthcare","title":"Subcutaneous Rituximab for the Treatment of B-Cell Hematologic Malignancies: A Review of the Scientific Rationale and Clinical Development","type":"article","volume":"34"},"uris":["http://www.mendeley.com/documents/?uuid=c91e99c4-7e72-3803-909e-84f3e662a6e0"]},{"id":"ITEM-3","itemData":{"DOI":"10.1111/bjh.16227","ISSN":"0007-1048","abstract":"Rituximab is a standard treatment for non-Hodgkin diffuse large B-cell (DLBCL) and follicular (FL) lymphomas. A subcutaneous formulation was developed to improve the resource use of intravenous rituximab, with comparable efficacy and safety profiles except for increased administration-related reactions (ARRs). MabRella was a phase IIIb trial to assess the safety of switching from intravenous to subcutaneous administration of rituximab during first-line induction/maintenance for DLBCL or FL, focusing on ARRs. Efficacy, satisfaction and quality of life were also assessed. Patients received subcutaneous rituximab plus standard induction chemotherapy for DLBCL or FL for 4–7 cycles, and/or every 2 months maintenance monotherapy for FL for 6–12 cycles. The study included 140 patients: DLBCL, n = 29; FL, n = 111. Ninety-five percent of patients experienced adverse events, reaching grade ≥3 in 38·6% and were serious in 30·0%. AARs occurred in 48·6%, mostly (84·9%) at the injection site, with only 2·1% of patients reaching grade 3. The end-of-induction complete/unconfirmed complete response rate was 69·6%. After a median follow-up of 33·5 months, median disease-/event-/progression-free and overall survivals were not attained. The Rituximab Administration Satisfaction Questionnaire showed improvements in overall satisfaction and the EuroQoL-5D a good quality-of-life perception at induction/maintenance end. Therefore, switching to subcutaneous rituximab showed no new safety issues and maintained efficacy with improved satisfaction and quality of life.","author":[{"dropping-particle":"","family":"García‐Muñoz","given":"Ricardo","non-dropping-particle":"","parse-names":false,"suffix":""},{"dropping-particle":"","family":"Quero","given":"Cristina","non-dropping-particle":"","parse-names":false,"suffix":""},{"dropping-particle":"","family":"Pérez‐Persona","given":"Ernesto","non-dropping-particle":"","parse-names":false,"suffix":""},{"dropping-particle":"","family":"Domingo‐García","given":"Abel","non-dropping-particle":"","parse-names":false,"suffix":""},{"dropping-particle":"","family":"Pérez‐López","given":"Cristina","non-dropping-particle":"","parse-names":false,"suffix":""},{"dropping-particle":"","family":"Villaescusa‐de‐la‐Rosa","given":"Teresa","non-dropping-particle":"","parse-names":false,"suffix":""},{"dropping-particle":"","family":"Martínez‐Castro","given":"Ana M.","non-dropping-particle":"","parse-names":false,"suffix":""},{"dropping-particle":"","family":"Arguiñano‐Pérez","given":"José M.","non-dropping-particle":"","parse-names":false,"suffix":""},{"dropping-particle":"","family":"Parra‐Cuadrado","given":"Juan F.","non-dropping-particle":"","parse-names":false,"suffix":""},{"dropping-particle":"","family":"Panizo","given":"Carlos","non-dropping-particle":"","parse-names":false,"suffix":""}],"container-title":"British Journal of Haematology","id":"ITEM-3","issue":"5","issued":{"date-parts":[["2020","3","1"]]},"page":"661-673","publisher":"Blackwell Publishing Ltd","title":"Safety of switching from intravenous to subcutaneous rituximab during first‐line treatment of patients with non‐Hodgkin lymphoma: the Spanish population of the MabRella study","type":"article-journal","volume":"188"},"uris":["http://www.mendeley.com/documents/?uuid=89ca4d25-771e-3d22-9da5-61e99fb5ec3e"]},{"id":"ITEM-4","itemData":{"DOI":"10.3747/co.24.3470","ISSN":"17187729","abstract":"Rituximab is widely used for the treatment of non-Hodgkin lymphoma, being a key component in most therapeutic regimens. Administration of the intravenous (IV) formulation is lengthy and places a significant burden on health care resources and patient quality of life. A subcutaneous (sc) formulation that provides a fixed dose of rituximab is being examined in a number of studies. Results indicate that the pharmacokinetics are noninferior and response rates are comparable to those obtained with the IV formulation. Moreover, the sc formulation is preferred by patients and health care providers and reduces administration and chair time. Additional advantages include a lesser potential for dosing errors, shorter preparation time, reduced drug wastage, and fewer infusion-related reactions. Despite the success of the sc formulation</w:instrText>
      </w:r>
      <w:r w:rsidR="00A6794A" w:rsidRPr="00D3550C">
        <w:instrText xml:space="preserve">, </w:instrText>
      </w:r>
      <w:r w:rsidR="00A6794A">
        <w:rPr>
          <w:lang w:val="en-US"/>
        </w:rPr>
        <w:instrText>correct</w:instrText>
      </w:r>
      <w:r w:rsidR="00A6794A" w:rsidRPr="00D3550C">
        <w:instrText xml:space="preserve"> </w:instrText>
      </w:r>
      <w:r w:rsidR="00A6794A">
        <w:rPr>
          <w:lang w:val="en-US"/>
        </w:rPr>
        <w:instrText>administration</w:instrText>
      </w:r>
      <w:r w:rsidR="00A6794A" w:rsidRPr="00D3550C">
        <w:instrText xml:space="preserve"> </w:instrText>
      </w:r>
      <w:r w:rsidR="00A6794A">
        <w:rPr>
          <w:lang w:val="en-US"/>
        </w:rPr>
        <w:instrText>is</w:instrText>
      </w:r>
      <w:r w:rsidR="00A6794A" w:rsidRPr="00D3550C">
        <w:instrText xml:space="preserve"> </w:instrText>
      </w:r>
      <w:r w:rsidR="00A6794A">
        <w:rPr>
          <w:lang w:val="en-US"/>
        </w:rPr>
        <w:instrText>needed</w:instrText>
      </w:r>
      <w:r w:rsidR="00A6794A" w:rsidRPr="00D3550C">
        <w:instrText xml:space="preserve"> </w:instrText>
      </w:r>
      <w:r w:rsidR="00A6794A">
        <w:rPr>
          <w:lang w:val="en-US"/>
        </w:rPr>
        <w:instrText>to</w:instrText>
      </w:r>
      <w:r w:rsidR="00A6794A" w:rsidRPr="00D3550C">
        <w:instrText xml:space="preserve"> </w:instrText>
      </w:r>
      <w:r w:rsidR="00A6794A">
        <w:rPr>
          <w:lang w:val="en-US"/>
        </w:rPr>
        <w:instrText>reduce</w:instrText>
      </w:r>
      <w:r w:rsidR="00A6794A" w:rsidRPr="00D3550C">
        <w:instrText xml:space="preserve"> </w:instrText>
      </w:r>
      <w:r w:rsidR="00A6794A">
        <w:rPr>
          <w:lang w:val="en-US"/>
        </w:rPr>
        <w:instrText>administration</w:instrText>
      </w:r>
      <w:r w:rsidR="00A6794A" w:rsidRPr="00D3550C">
        <w:instrText>-</w:instrText>
      </w:r>
      <w:r w:rsidR="00A6794A">
        <w:rPr>
          <w:lang w:val="en-US"/>
        </w:rPr>
        <w:instrText>related</w:instrText>
      </w:r>
      <w:r w:rsidR="00A6794A" w:rsidRPr="00D3550C">
        <w:instrText xml:space="preserve"> </w:instrText>
      </w:r>
      <w:r w:rsidR="00A6794A">
        <w:rPr>
          <w:lang w:val="en-US"/>
        </w:rPr>
        <w:instrText>reactions</w:instrText>
      </w:r>
      <w:r w:rsidR="00A6794A" w:rsidRPr="00D3550C">
        <w:instrText xml:space="preserve">. </w:instrText>
      </w:r>
      <w:r w:rsidR="00A6794A">
        <w:rPr>
          <w:lang w:val="en-US"/>
        </w:rPr>
        <w:instrText>By</w:instrText>
      </w:r>
      <w:r w:rsidR="00A6794A" w:rsidRPr="00D3550C">
        <w:instrText xml:space="preserve"> </w:instrText>
      </w:r>
      <w:r w:rsidR="00A6794A">
        <w:rPr>
          <w:lang w:val="en-US"/>
        </w:rPr>
        <w:instrText>using</w:instrText>
      </w:r>
      <w:r w:rsidR="00A6794A" w:rsidRPr="00D3550C">
        <w:instrText xml:space="preserve"> </w:instrText>
      </w:r>
      <w:r w:rsidR="00A6794A">
        <w:rPr>
          <w:lang w:val="en-US"/>
        </w:rPr>
        <w:instrText>a</w:instrText>
      </w:r>
      <w:r w:rsidR="00A6794A" w:rsidRPr="00D3550C">
        <w:instrText xml:space="preserve"> </w:instrText>
      </w:r>
      <w:r w:rsidR="00A6794A">
        <w:rPr>
          <w:lang w:val="en-US"/>
        </w:rPr>
        <w:instrText>careful</w:instrText>
      </w:r>
      <w:r w:rsidR="00A6794A" w:rsidRPr="00D3550C">
        <w:instrText xml:space="preserve"> </w:instrText>
      </w:r>
      <w:r w:rsidR="00A6794A">
        <w:rPr>
          <w:lang w:val="en-US"/>
        </w:rPr>
        <w:instrText>procedure</w:instrText>
      </w:r>
      <w:r w:rsidR="00A6794A" w:rsidRPr="00D3550C">
        <w:instrText xml:space="preserve">, </w:instrText>
      </w:r>
      <w:r w:rsidR="00A6794A">
        <w:rPr>
          <w:lang w:val="en-US"/>
        </w:rPr>
        <w:instrText>the</w:instrText>
      </w:r>
      <w:r w:rsidR="00A6794A" w:rsidRPr="00D3550C">
        <w:instrText xml:space="preserve"> </w:instrText>
      </w:r>
      <w:r w:rsidR="00A6794A">
        <w:rPr>
          <w:lang w:val="en-US"/>
        </w:rPr>
        <w:instrText>sc</w:instrText>
      </w:r>
      <w:r w:rsidR="00A6794A" w:rsidRPr="00D3550C">
        <w:instrText xml:space="preserve"> </w:instrText>
      </w:r>
      <w:r w:rsidR="00A6794A">
        <w:rPr>
          <w:lang w:val="en-US"/>
        </w:rPr>
        <w:instrText>formulation</w:instrText>
      </w:r>
      <w:r w:rsidR="00A6794A" w:rsidRPr="00D3550C">
        <w:instrText xml:space="preserve"> </w:instrText>
      </w:r>
      <w:r w:rsidR="00A6794A">
        <w:rPr>
          <w:lang w:val="en-US"/>
        </w:rPr>
        <w:instrText>can</w:instrText>
      </w:r>
      <w:r w:rsidR="00A6794A" w:rsidRPr="00D3550C">
        <w:instrText xml:space="preserve"> </w:instrText>
      </w:r>
      <w:r w:rsidR="00A6794A">
        <w:rPr>
          <w:lang w:val="en-US"/>
        </w:rPr>
        <w:instrText>be</w:instrText>
      </w:r>
      <w:r w:rsidR="00A6794A" w:rsidRPr="00D3550C">
        <w:instrText xml:space="preserve"> </w:instrText>
      </w:r>
      <w:r w:rsidR="00A6794A">
        <w:rPr>
          <w:lang w:val="en-US"/>
        </w:rPr>
        <w:instrText>given</w:instrText>
      </w:r>
      <w:r w:rsidR="00A6794A" w:rsidRPr="00D3550C">
        <w:instrText xml:space="preserve"> </w:instrText>
      </w:r>
      <w:r w:rsidR="00A6794A">
        <w:rPr>
          <w:lang w:val="en-US"/>
        </w:rPr>
        <w:instrText>safely</w:instrText>
      </w:r>
      <w:r w:rsidR="00A6794A" w:rsidRPr="00D3550C">
        <w:instrText xml:space="preserve"> </w:instrText>
      </w:r>
      <w:r w:rsidR="00A6794A">
        <w:rPr>
          <w:lang w:val="en-US"/>
        </w:rPr>
        <w:instrText>and</w:instrText>
      </w:r>
      <w:r w:rsidR="00A6794A" w:rsidRPr="00D3550C">
        <w:instrText xml:space="preserve"> </w:instrText>
      </w:r>
      <w:r w:rsidR="00A6794A">
        <w:rPr>
          <w:lang w:val="en-US"/>
        </w:rPr>
        <w:instrText>effectively</w:instrText>
      </w:r>
      <w:r w:rsidR="00A6794A" w:rsidRPr="00D3550C">
        <w:instrText xml:space="preserve">, </w:instrText>
      </w:r>
      <w:r w:rsidR="00A6794A">
        <w:rPr>
          <w:lang w:val="en-US"/>
        </w:rPr>
        <w:instrText>potentially</w:instrText>
      </w:r>
      <w:r w:rsidR="00A6794A" w:rsidRPr="00D3550C">
        <w:instrText xml:space="preserve"> </w:instrText>
      </w:r>
      <w:r w:rsidR="00A6794A">
        <w:rPr>
          <w:lang w:val="en-US"/>
        </w:rPr>
        <w:instrText>reducing</w:instrText>
      </w:r>
      <w:r w:rsidR="00A6794A" w:rsidRPr="00D3550C">
        <w:instrText xml:space="preserve"> </w:instrText>
      </w:r>
      <w:r w:rsidR="00A6794A">
        <w:rPr>
          <w:lang w:val="en-US"/>
        </w:rPr>
        <w:instrText>the</w:instrText>
      </w:r>
      <w:r w:rsidR="00A6794A" w:rsidRPr="00D3550C">
        <w:instrText xml:space="preserve"> </w:instrText>
      </w:r>
      <w:r w:rsidR="00A6794A">
        <w:rPr>
          <w:lang w:val="en-US"/>
        </w:rPr>
        <w:instrText>burden</w:instrText>
      </w:r>
      <w:r w:rsidR="00A6794A" w:rsidRPr="00D3550C">
        <w:instrText xml:space="preserve"> </w:instrText>
      </w:r>
      <w:r w:rsidR="00A6794A">
        <w:rPr>
          <w:lang w:val="en-US"/>
        </w:rPr>
        <w:instrText>on</w:instrText>
      </w:r>
      <w:r w:rsidR="00A6794A" w:rsidRPr="00D3550C">
        <w:instrText xml:space="preserve"> </w:instrText>
      </w:r>
      <w:r w:rsidR="00A6794A">
        <w:rPr>
          <w:lang w:val="en-US"/>
        </w:rPr>
        <w:instrText>health</w:instrText>
      </w:r>
      <w:r w:rsidR="00A6794A" w:rsidRPr="00D3550C">
        <w:instrText xml:space="preserve"> </w:instrText>
      </w:r>
      <w:r w:rsidR="00A6794A">
        <w:rPr>
          <w:lang w:val="en-US"/>
        </w:rPr>
        <w:instrText>care</w:instrText>
      </w:r>
      <w:r w:rsidR="00A6794A" w:rsidRPr="00D3550C">
        <w:instrText xml:space="preserve"> </w:instrText>
      </w:r>
      <w:r w:rsidR="00A6794A">
        <w:rPr>
          <w:lang w:val="en-US"/>
        </w:rPr>
        <w:instrText>resources</w:instrText>
      </w:r>
      <w:r w:rsidR="00A6794A" w:rsidRPr="00D3550C">
        <w:instrText xml:space="preserve"> </w:instrText>
      </w:r>
      <w:r w:rsidR="00A6794A">
        <w:rPr>
          <w:lang w:val="en-US"/>
        </w:rPr>
        <w:instrText>and</w:instrText>
      </w:r>
      <w:r w:rsidR="00A6794A" w:rsidRPr="00D3550C">
        <w:instrText xml:space="preserve"> </w:instrText>
      </w:r>
      <w:r w:rsidR="00A6794A">
        <w:rPr>
          <w:lang w:val="en-US"/>
        </w:rPr>
        <w:instrText>improving</w:instrText>
      </w:r>
      <w:r w:rsidR="00A6794A" w:rsidRPr="00D3550C">
        <w:instrText xml:space="preserve"> </w:instrText>
      </w:r>
      <w:r w:rsidR="00A6794A">
        <w:rPr>
          <w:lang w:val="en-US"/>
        </w:rPr>
        <w:instrText>quality</w:instrText>
      </w:r>
      <w:r w:rsidR="00A6794A" w:rsidRPr="00D3550C">
        <w:instrText xml:space="preserve"> </w:instrText>
      </w:r>
      <w:r w:rsidR="00A6794A">
        <w:rPr>
          <w:lang w:val="en-US"/>
        </w:rPr>
        <w:instrText>of</w:instrText>
      </w:r>
      <w:r w:rsidR="00A6794A" w:rsidRPr="00D3550C">
        <w:instrText xml:space="preserve"> </w:instrText>
      </w:r>
      <w:r w:rsidR="00A6794A">
        <w:rPr>
          <w:lang w:val="en-US"/>
        </w:rPr>
        <w:instrText>life</w:instrText>
      </w:r>
      <w:r w:rsidR="00A6794A" w:rsidRPr="00D3550C">
        <w:instrText xml:space="preserve"> </w:instrText>
      </w:r>
      <w:r w:rsidR="00A6794A">
        <w:rPr>
          <w:lang w:val="en-US"/>
        </w:rPr>
        <w:instrText>for</w:instrText>
      </w:r>
      <w:r w:rsidR="00A6794A" w:rsidRPr="00D3550C">
        <w:instrText xml:space="preserve"> </w:instrText>
      </w:r>
      <w:r w:rsidR="00A6794A">
        <w:rPr>
          <w:lang w:val="en-US"/>
        </w:rPr>
        <w:instrText>patients</w:instrText>
      </w:r>
      <w:r w:rsidR="00A6794A" w:rsidRPr="00D3550C">
        <w:instrText>.","</w:instrText>
      </w:r>
      <w:r w:rsidR="00A6794A">
        <w:rPr>
          <w:lang w:val="en-US"/>
        </w:rPr>
        <w:instrText>author</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family</w:instrText>
      </w:r>
      <w:r w:rsidR="00A6794A" w:rsidRPr="00D3550C">
        <w:instrText>":"</w:instrText>
      </w:r>
      <w:r w:rsidR="00A6794A">
        <w:rPr>
          <w:lang w:val="en-US"/>
        </w:rPr>
        <w:instrText>Macdonald</w:instrText>
      </w:r>
      <w:r w:rsidR="00A6794A" w:rsidRPr="00D3550C">
        <w:instrText>","</w:instrText>
      </w:r>
      <w:r w:rsidR="00A6794A">
        <w:rPr>
          <w:lang w:val="en-US"/>
        </w:rPr>
        <w:instrText>given</w:instrText>
      </w:r>
      <w:r w:rsidR="00A6794A" w:rsidRPr="00D3550C">
        <w:instrText>":"</w:instrText>
      </w:r>
      <w:r w:rsidR="00A6794A">
        <w:rPr>
          <w:lang w:val="en-US"/>
        </w:rPr>
        <w:instrText>David</w:instrText>
      </w:r>
      <w:r w:rsidR="00A6794A" w:rsidRPr="00D3550C">
        <w:instrText>","</w:instrText>
      </w:r>
      <w:r w:rsidR="00A6794A">
        <w:rPr>
          <w:lang w:val="en-US"/>
        </w:rPr>
        <w:instrText>non</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parse</w:instrText>
      </w:r>
      <w:r w:rsidR="00A6794A" w:rsidRPr="00D3550C">
        <w:instrText>-</w:instrText>
      </w:r>
      <w:r w:rsidR="00A6794A">
        <w:rPr>
          <w:lang w:val="en-US"/>
        </w:rPr>
        <w:instrText>names</w:instrText>
      </w:r>
      <w:r w:rsidR="00A6794A" w:rsidRPr="00D3550C">
        <w:instrText>":</w:instrText>
      </w:r>
      <w:r w:rsidR="00A6794A">
        <w:rPr>
          <w:lang w:val="en-US"/>
        </w:rPr>
        <w:instrText>false</w:instrText>
      </w:r>
      <w:r w:rsidR="00A6794A" w:rsidRPr="00D3550C">
        <w:instrText>,"</w:instrText>
      </w:r>
      <w:r w:rsidR="00A6794A">
        <w:rPr>
          <w:lang w:val="en-US"/>
        </w:rPr>
        <w:instrText>suffix</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family</w:instrText>
      </w:r>
      <w:r w:rsidR="00A6794A" w:rsidRPr="00D3550C">
        <w:instrText>":"</w:instrText>
      </w:r>
      <w:r w:rsidR="00A6794A">
        <w:rPr>
          <w:lang w:val="en-US"/>
        </w:rPr>
        <w:instrText>Crosbie</w:instrText>
      </w:r>
      <w:r w:rsidR="00A6794A" w:rsidRPr="00D3550C">
        <w:instrText>","</w:instrText>
      </w:r>
      <w:r w:rsidR="00A6794A">
        <w:rPr>
          <w:lang w:val="en-US"/>
        </w:rPr>
        <w:instrText>given</w:instrText>
      </w:r>
      <w:r w:rsidR="00A6794A" w:rsidRPr="00D3550C">
        <w:instrText>":"</w:instrText>
      </w:r>
      <w:r w:rsidR="00A6794A">
        <w:rPr>
          <w:lang w:val="en-US"/>
        </w:rPr>
        <w:instrText>T</w:instrText>
      </w:r>
      <w:r w:rsidR="00A6794A" w:rsidRPr="00D3550C">
        <w:instrText>.","</w:instrText>
      </w:r>
      <w:r w:rsidR="00A6794A">
        <w:rPr>
          <w:lang w:val="en-US"/>
        </w:rPr>
        <w:instrText>non</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parse</w:instrText>
      </w:r>
      <w:r w:rsidR="00A6794A" w:rsidRPr="00D3550C">
        <w:instrText>-</w:instrText>
      </w:r>
      <w:r w:rsidR="00A6794A">
        <w:rPr>
          <w:lang w:val="en-US"/>
        </w:rPr>
        <w:instrText>names</w:instrText>
      </w:r>
      <w:r w:rsidR="00A6794A" w:rsidRPr="00D3550C">
        <w:instrText>":</w:instrText>
      </w:r>
      <w:r w:rsidR="00A6794A">
        <w:rPr>
          <w:lang w:val="en-US"/>
        </w:rPr>
        <w:instrText>false</w:instrText>
      </w:r>
      <w:r w:rsidR="00A6794A" w:rsidRPr="00D3550C">
        <w:instrText>,"</w:instrText>
      </w:r>
      <w:r w:rsidR="00A6794A">
        <w:rPr>
          <w:lang w:val="en-US"/>
        </w:rPr>
        <w:instrText>suffix</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family</w:instrText>
      </w:r>
      <w:r w:rsidR="00A6794A" w:rsidRPr="00D3550C">
        <w:instrText>":"</w:instrText>
      </w:r>
      <w:r w:rsidR="00A6794A">
        <w:rPr>
          <w:lang w:val="en-US"/>
        </w:rPr>
        <w:instrText>Christofides</w:instrText>
      </w:r>
      <w:r w:rsidR="00A6794A" w:rsidRPr="00D3550C">
        <w:instrText>","</w:instrText>
      </w:r>
      <w:r w:rsidR="00A6794A">
        <w:rPr>
          <w:lang w:val="en-US"/>
        </w:rPr>
        <w:instrText>given</w:instrText>
      </w:r>
      <w:r w:rsidR="00A6794A" w:rsidRPr="00D3550C">
        <w:instrText>":"</w:instrText>
      </w:r>
      <w:r w:rsidR="00A6794A">
        <w:rPr>
          <w:lang w:val="en-US"/>
        </w:rPr>
        <w:instrText>A</w:instrText>
      </w:r>
      <w:r w:rsidR="00A6794A" w:rsidRPr="00D3550C">
        <w:instrText>.","</w:instrText>
      </w:r>
      <w:r w:rsidR="00A6794A">
        <w:rPr>
          <w:lang w:val="en-US"/>
        </w:rPr>
        <w:instrText>non</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parse</w:instrText>
      </w:r>
      <w:r w:rsidR="00A6794A" w:rsidRPr="00D3550C">
        <w:instrText>-</w:instrText>
      </w:r>
      <w:r w:rsidR="00A6794A">
        <w:rPr>
          <w:lang w:val="en-US"/>
        </w:rPr>
        <w:instrText>names</w:instrText>
      </w:r>
      <w:r w:rsidR="00A6794A" w:rsidRPr="00D3550C">
        <w:instrText>":</w:instrText>
      </w:r>
      <w:r w:rsidR="00A6794A">
        <w:rPr>
          <w:lang w:val="en-US"/>
        </w:rPr>
        <w:instrText>false</w:instrText>
      </w:r>
      <w:r w:rsidR="00A6794A" w:rsidRPr="00D3550C">
        <w:instrText>,"</w:instrText>
      </w:r>
      <w:r w:rsidR="00A6794A">
        <w:rPr>
          <w:lang w:val="en-US"/>
        </w:rPr>
        <w:instrText>suffix</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family</w:instrText>
      </w:r>
      <w:r w:rsidR="00A6794A" w:rsidRPr="00D3550C">
        <w:instrText>":"</w:instrText>
      </w:r>
      <w:r w:rsidR="00A6794A">
        <w:rPr>
          <w:lang w:val="en-US"/>
        </w:rPr>
        <w:instrText>Assaily</w:instrText>
      </w:r>
      <w:r w:rsidR="00A6794A" w:rsidRPr="00D3550C">
        <w:instrText>","</w:instrText>
      </w:r>
      <w:r w:rsidR="00A6794A">
        <w:rPr>
          <w:lang w:val="en-US"/>
        </w:rPr>
        <w:instrText>given</w:instrText>
      </w:r>
      <w:r w:rsidR="00A6794A" w:rsidRPr="00D3550C">
        <w:instrText>":"</w:instrText>
      </w:r>
      <w:r w:rsidR="00A6794A">
        <w:rPr>
          <w:lang w:val="en-US"/>
        </w:rPr>
        <w:instrText>W</w:instrText>
      </w:r>
      <w:r w:rsidR="00A6794A" w:rsidRPr="00D3550C">
        <w:instrText>.","</w:instrText>
      </w:r>
      <w:r w:rsidR="00A6794A">
        <w:rPr>
          <w:lang w:val="en-US"/>
        </w:rPr>
        <w:instrText>non</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parse</w:instrText>
      </w:r>
      <w:r w:rsidR="00A6794A" w:rsidRPr="00D3550C">
        <w:instrText>-</w:instrText>
      </w:r>
      <w:r w:rsidR="00A6794A">
        <w:rPr>
          <w:lang w:val="en-US"/>
        </w:rPr>
        <w:instrText>names</w:instrText>
      </w:r>
      <w:r w:rsidR="00A6794A" w:rsidRPr="00D3550C">
        <w:instrText>":</w:instrText>
      </w:r>
      <w:r w:rsidR="00A6794A">
        <w:rPr>
          <w:lang w:val="en-US"/>
        </w:rPr>
        <w:instrText>false</w:instrText>
      </w:r>
      <w:r w:rsidR="00A6794A" w:rsidRPr="00D3550C">
        <w:instrText>,"</w:instrText>
      </w:r>
      <w:r w:rsidR="00A6794A">
        <w:rPr>
          <w:lang w:val="en-US"/>
        </w:rPr>
        <w:instrText>suffix</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family</w:instrText>
      </w:r>
      <w:r w:rsidR="00A6794A" w:rsidRPr="00D3550C">
        <w:instrText>":"</w:instrText>
      </w:r>
      <w:r w:rsidR="00A6794A">
        <w:rPr>
          <w:lang w:val="en-US"/>
        </w:rPr>
        <w:instrText>Wiernikowski</w:instrText>
      </w:r>
      <w:r w:rsidR="00A6794A" w:rsidRPr="00D3550C">
        <w:instrText>","</w:instrText>
      </w:r>
      <w:r w:rsidR="00A6794A">
        <w:rPr>
          <w:lang w:val="en-US"/>
        </w:rPr>
        <w:instrText>given</w:instrText>
      </w:r>
      <w:r w:rsidR="00A6794A" w:rsidRPr="00D3550C">
        <w:instrText>":"</w:instrText>
      </w:r>
      <w:r w:rsidR="00A6794A">
        <w:rPr>
          <w:lang w:val="en-US"/>
        </w:rPr>
        <w:instrText>J</w:instrText>
      </w:r>
      <w:r w:rsidR="00A6794A" w:rsidRPr="00D3550C">
        <w:instrText>.","</w:instrText>
      </w:r>
      <w:r w:rsidR="00A6794A">
        <w:rPr>
          <w:lang w:val="en-US"/>
        </w:rPr>
        <w:instrText>non</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parse</w:instrText>
      </w:r>
      <w:r w:rsidR="00A6794A" w:rsidRPr="00D3550C">
        <w:instrText>-</w:instrText>
      </w:r>
      <w:r w:rsidR="00A6794A">
        <w:rPr>
          <w:lang w:val="en-US"/>
        </w:rPr>
        <w:instrText>names</w:instrText>
      </w:r>
      <w:r w:rsidR="00A6794A" w:rsidRPr="00D3550C">
        <w:instrText>":</w:instrText>
      </w:r>
      <w:r w:rsidR="00A6794A">
        <w:rPr>
          <w:lang w:val="en-US"/>
        </w:rPr>
        <w:instrText>false</w:instrText>
      </w:r>
      <w:r w:rsidR="00A6794A" w:rsidRPr="00D3550C">
        <w:instrText>,"</w:instrText>
      </w:r>
      <w:r w:rsidR="00A6794A">
        <w:rPr>
          <w:lang w:val="en-US"/>
        </w:rPr>
        <w:instrText>suffix</w:instrText>
      </w:r>
      <w:r w:rsidR="00A6794A" w:rsidRPr="00D3550C">
        <w:instrText>":""}],"</w:instrText>
      </w:r>
      <w:r w:rsidR="00A6794A">
        <w:rPr>
          <w:lang w:val="en-US"/>
        </w:rPr>
        <w:instrText>container</w:instrText>
      </w:r>
      <w:r w:rsidR="00A6794A" w:rsidRPr="00D3550C">
        <w:instrText>-</w:instrText>
      </w:r>
      <w:r w:rsidR="00A6794A">
        <w:rPr>
          <w:lang w:val="en-US"/>
        </w:rPr>
        <w:instrText>title</w:instrText>
      </w:r>
      <w:r w:rsidR="00A6794A" w:rsidRPr="00D3550C">
        <w:instrText>":"</w:instrText>
      </w:r>
      <w:r w:rsidR="00A6794A">
        <w:rPr>
          <w:lang w:val="en-US"/>
        </w:rPr>
        <w:instrText>Current</w:instrText>
      </w:r>
      <w:r w:rsidR="00A6794A" w:rsidRPr="00D3550C">
        <w:instrText xml:space="preserve"> </w:instrText>
      </w:r>
      <w:r w:rsidR="00A6794A">
        <w:rPr>
          <w:lang w:val="en-US"/>
        </w:rPr>
        <w:instrText>Oncology</w:instrText>
      </w:r>
      <w:r w:rsidR="00A6794A" w:rsidRPr="00D3550C">
        <w:instrText>","</w:instrText>
      </w:r>
      <w:r w:rsidR="00A6794A">
        <w:rPr>
          <w:lang w:val="en-US"/>
        </w:rPr>
        <w:instrText>id</w:instrText>
      </w:r>
      <w:r w:rsidR="00A6794A" w:rsidRPr="00D3550C">
        <w:instrText>":"</w:instrText>
      </w:r>
      <w:r w:rsidR="00A6794A">
        <w:rPr>
          <w:lang w:val="en-US"/>
        </w:rPr>
        <w:instrText>ITEM</w:instrText>
      </w:r>
      <w:r w:rsidR="00A6794A" w:rsidRPr="00D3550C">
        <w:instrText>-4","</w:instrText>
      </w:r>
      <w:r w:rsidR="00A6794A">
        <w:rPr>
          <w:lang w:val="en-US"/>
        </w:rPr>
        <w:instrText>issue</w:instrText>
      </w:r>
      <w:r w:rsidR="00A6794A" w:rsidRPr="00D3550C">
        <w:instrText>":"1","</w:instrText>
      </w:r>
      <w:r w:rsidR="00A6794A">
        <w:rPr>
          <w:lang w:val="en-US"/>
        </w:rPr>
        <w:instrText>issued</w:instrText>
      </w:r>
      <w:r w:rsidR="00A6794A" w:rsidRPr="00D3550C">
        <w:instrText>":{"</w:instrText>
      </w:r>
      <w:r w:rsidR="00A6794A">
        <w:rPr>
          <w:lang w:val="en-US"/>
        </w:rPr>
        <w:instrText>date</w:instrText>
      </w:r>
      <w:r w:rsidR="00A6794A" w:rsidRPr="00D3550C">
        <w:instrText>-</w:instrText>
      </w:r>
      <w:r w:rsidR="00A6794A">
        <w:rPr>
          <w:lang w:val="en-US"/>
        </w:rPr>
        <w:instrText>parts</w:instrText>
      </w:r>
      <w:r w:rsidR="00A6794A" w:rsidRPr="00D3550C">
        <w:instrText>":[["2017"]]},"</w:instrText>
      </w:r>
      <w:r w:rsidR="00A6794A">
        <w:rPr>
          <w:lang w:val="en-US"/>
        </w:rPr>
        <w:instrText>page</w:instrText>
      </w:r>
      <w:r w:rsidR="00A6794A" w:rsidRPr="00D3550C">
        <w:instrText>":"33-39","</w:instrText>
      </w:r>
      <w:r w:rsidR="00A6794A">
        <w:rPr>
          <w:lang w:val="en-US"/>
        </w:rPr>
        <w:instrText>publisher</w:instrText>
      </w:r>
      <w:r w:rsidR="00A6794A" w:rsidRPr="00D3550C">
        <w:instrText>":"</w:instrText>
      </w:r>
      <w:r w:rsidR="00A6794A">
        <w:rPr>
          <w:lang w:val="en-US"/>
        </w:rPr>
        <w:instrText>Multimed</w:instrText>
      </w:r>
      <w:r w:rsidR="00A6794A" w:rsidRPr="00D3550C">
        <w:instrText xml:space="preserve"> </w:instrText>
      </w:r>
      <w:r w:rsidR="00A6794A">
        <w:rPr>
          <w:lang w:val="en-US"/>
        </w:rPr>
        <w:instrText>Inc</w:instrText>
      </w:r>
      <w:r w:rsidR="00A6794A" w:rsidRPr="00D3550C">
        <w:instrText>.","</w:instrText>
      </w:r>
      <w:r w:rsidR="00A6794A">
        <w:rPr>
          <w:lang w:val="en-US"/>
        </w:rPr>
        <w:instrText>title</w:instrText>
      </w:r>
      <w:r w:rsidR="00A6794A" w:rsidRPr="00D3550C">
        <w:instrText>":"</w:instrText>
      </w:r>
      <w:r w:rsidR="00A6794A">
        <w:rPr>
          <w:lang w:val="en-US"/>
        </w:rPr>
        <w:instrText>A</w:instrText>
      </w:r>
      <w:r w:rsidR="00A6794A" w:rsidRPr="00D3550C">
        <w:instrText xml:space="preserve"> </w:instrText>
      </w:r>
      <w:r w:rsidR="00A6794A">
        <w:rPr>
          <w:lang w:val="en-US"/>
        </w:rPr>
        <w:instrText>canadian</w:instrText>
      </w:r>
      <w:r w:rsidR="00A6794A" w:rsidRPr="00D3550C">
        <w:instrText xml:space="preserve"> </w:instrText>
      </w:r>
      <w:r w:rsidR="00A6794A">
        <w:rPr>
          <w:lang w:val="en-US"/>
        </w:rPr>
        <w:instrText>perspective</w:instrText>
      </w:r>
      <w:r w:rsidR="00A6794A" w:rsidRPr="00D3550C">
        <w:instrText xml:space="preserve"> </w:instrText>
      </w:r>
      <w:r w:rsidR="00A6794A">
        <w:rPr>
          <w:lang w:val="en-US"/>
        </w:rPr>
        <w:instrText>on</w:instrText>
      </w:r>
      <w:r w:rsidR="00A6794A" w:rsidRPr="00D3550C">
        <w:instrText xml:space="preserve"> </w:instrText>
      </w:r>
      <w:r w:rsidR="00A6794A">
        <w:rPr>
          <w:lang w:val="en-US"/>
        </w:rPr>
        <w:instrText>the</w:instrText>
      </w:r>
      <w:r w:rsidR="00A6794A" w:rsidRPr="00D3550C">
        <w:instrText xml:space="preserve"> </w:instrText>
      </w:r>
      <w:r w:rsidR="00A6794A">
        <w:rPr>
          <w:lang w:val="en-US"/>
        </w:rPr>
        <w:instrText>subcutaneous</w:instrText>
      </w:r>
      <w:r w:rsidR="00A6794A" w:rsidRPr="00D3550C">
        <w:instrText xml:space="preserve"> </w:instrText>
      </w:r>
      <w:r w:rsidR="00A6794A">
        <w:rPr>
          <w:lang w:val="en-US"/>
        </w:rPr>
        <w:instrText>administration</w:instrText>
      </w:r>
      <w:r w:rsidR="00A6794A" w:rsidRPr="00D3550C">
        <w:instrText xml:space="preserve"> </w:instrText>
      </w:r>
      <w:r w:rsidR="00A6794A">
        <w:rPr>
          <w:lang w:val="en-US"/>
        </w:rPr>
        <w:instrText>of</w:instrText>
      </w:r>
      <w:r w:rsidR="00A6794A" w:rsidRPr="00D3550C">
        <w:instrText xml:space="preserve"> </w:instrText>
      </w:r>
      <w:r w:rsidR="00A6794A">
        <w:rPr>
          <w:lang w:val="en-US"/>
        </w:rPr>
        <w:instrText>rituximab</w:instrText>
      </w:r>
      <w:r w:rsidR="00A6794A" w:rsidRPr="00D3550C">
        <w:instrText xml:space="preserve"> </w:instrText>
      </w:r>
      <w:r w:rsidR="00A6794A">
        <w:rPr>
          <w:lang w:val="en-US"/>
        </w:rPr>
        <w:instrText>in</w:instrText>
      </w:r>
      <w:r w:rsidR="00A6794A" w:rsidRPr="00D3550C">
        <w:instrText xml:space="preserve"> </w:instrText>
      </w:r>
      <w:r w:rsidR="00A6794A">
        <w:rPr>
          <w:lang w:val="en-US"/>
        </w:rPr>
        <w:instrText>non</w:instrText>
      </w:r>
      <w:r w:rsidR="00A6794A" w:rsidRPr="00D3550C">
        <w:instrText>-</w:instrText>
      </w:r>
      <w:r w:rsidR="00A6794A">
        <w:rPr>
          <w:lang w:val="en-US"/>
        </w:rPr>
        <w:instrText>Hodgkin</w:instrText>
      </w:r>
      <w:r w:rsidR="00A6794A" w:rsidRPr="00D3550C">
        <w:instrText xml:space="preserve"> </w:instrText>
      </w:r>
      <w:r w:rsidR="00A6794A">
        <w:rPr>
          <w:lang w:val="en-US"/>
        </w:rPr>
        <w:instrText>lymphoma</w:instrText>
      </w:r>
      <w:r w:rsidR="00A6794A" w:rsidRPr="00D3550C">
        <w:instrText>","</w:instrText>
      </w:r>
      <w:r w:rsidR="00A6794A">
        <w:rPr>
          <w:lang w:val="en-US"/>
        </w:rPr>
        <w:instrText>type</w:instrText>
      </w:r>
      <w:r w:rsidR="00A6794A" w:rsidRPr="00D3550C">
        <w:instrText>":"</w:instrText>
      </w:r>
      <w:r w:rsidR="00A6794A">
        <w:rPr>
          <w:lang w:val="en-US"/>
        </w:rPr>
        <w:instrText>article</w:instrText>
      </w:r>
      <w:r w:rsidR="00A6794A" w:rsidRPr="00D3550C">
        <w:instrText>","</w:instrText>
      </w:r>
      <w:r w:rsidR="00A6794A">
        <w:rPr>
          <w:lang w:val="en-US"/>
        </w:rPr>
        <w:instrText>volume</w:instrText>
      </w:r>
      <w:r w:rsidR="00A6794A" w:rsidRPr="00D3550C">
        <w:instrText>":"24"},"</w:instrText>
      </w:r>
      <w:r w:rsidR="00A6794A">
        <w:rPr>
          <w:lang w:val="en-US"/>
        </w:rPr>
        <w:instrText>uris</w:instrText>
      </w:r>
      <w:r w:rsidR="00A6794A" w:rsidRPr="00D3550C">
        <w:instrText>":["</w:instrText>
      </w:r>
      <w:r w:rsidR="00A6794A">
        <w:rPr>
          <w:lang w:val="en-US"/>
        </w:rPr>
        <w:instrText>http</w:instrText>
      </w:r>
      <w:r w:rsidR="00A6794A" w:rsidRPr="00D3550C">
        <w:instrText>://</w:instrText>
      </w:r>
      <w:r w:rsidR="00A6794A">
        <w:rPr>
          <w:lang w:val="en-US"/>
        </w:rPr>
        <w:instrText>www</w:instrText>
      </w:r>
      <w:r w:rsidR="00A6794A" w:rsidRPr="00D3550C">
        <w:instrText>.</w:instrText>
      </w:r>
      <w:r w:rsidR="00A6794A">
        <w:rPr>
          <w:lang w:val="en-US"/>
        </w:rPr>
        <w:instrText>mendeley</w:instrText>
      </w:r>
      <w:r w:rsidR="00A6794A" w:rsidRPr="00D3550C">
        <w:instrText>.</w:instrText>
      </w:r>
      <w:r w:rsidR="00A6794A">
        <w:rPr>
          <w:lang w:val="en-US"/>
        </w:rPr>
        <w:instrText>com</w:instrText>
      </w:r>
      <w:r w:rsidR="00A6794A" w:rsidRPr="00D3550C">
        <w:instrText>/</w:instrText>
      </w:r>
      <w:r w:rsidR="00A6794A">
        <w:rPr>
          <w:lang w:val="en-US"/>
        </w:rPr>
        <w:instrText>documents</w:instrText>
      </w:r>
      <w:r w:rsidR="00A6794A" w:rsidRPr="00D3550C">
        <w:instrText>/?</w:instrText>
      </w:r>
      <w:r w:rsidR="00A6794A">
        <w:rPr>
          <w:lang w:val="en-US"/>
        </w:rPr>
        <w:instrText>uuid</w:instrText>
      </w:r>
      <w:r w:rsidR="00A6794A" w:rsidRPr="00D3550C">
        <w:instrText>=0</w:instrText>
      </w:r>
      <w:r w:rsidR="00A6794A">
        <w:rPr>
          <w:lang w:val="en-US"/>
        </w:rPr>
        <w:instrText>dec</w:instrText>
      </w:r>
      <w:r w:rsidR="00A6794A" w:rsidRPr="00D3550C">
        <w:instrText>225</w:instrText>
      </w:r>
      <w:r w:rsidR="00A6794A">
        <w:rPr>
          <w:lang w:val="en-US"/>
        </w:rPr>
        <w:instrText>e</w:instrText>
      </w:r>
      <w:r w:rsidR="00A6794A" w:rsidRPr="00D3550C">
        <w:instrText>-8</w:instrText>
      </w:r>
      <w:r w:rsidR="00A6794A">
        <w:rPr>
          <w:lang w:val="en-US"/>
        </w:rPr>
        <w:instrText>a</w:instrText>
      </w:r>
      <w:r w:rsidR="00A6794A" w:rsidRPr="00D3550C">
        <w:instrText>47-3680-</w:instrText>
      </w:r>
      <w:r w:rsidR="00A6794A">
        <w:rPr>
          <w:lang w:val="en-US"/>
        </w:rPr>
        <w:instrText>ba</w:instrText>
      </w:r>
      <w:r w:rsidR="00A6794A" w:rsidRPr="00D3550C">
        <w:instrText>4</w:instrText>
      </w:r>
      <w:r w:rsidR="00A6794A">
        <w:rPr>
          <w:lang w:val="en-US"/>
        </w:rPr>
        <w:instrText>d</w:instrText>
      </w:r>
      <w:r w:rsidR="00A6794A" w:rsidRPr="00D3550C">
        <w:instrText>-891955</w:instrText>
      </w:r>
      <w:r w:rsidR="00A6794A">
        <w:rPr>
          <w:lang w:val="en-US"/>
        </w:rPr>
        <w:instrText>a</w:instrText>
      </w:r>
      <w:r w:rsidR="00A6794A" w:rsidRPr="00D3550C">
        <w:instrText>938</w:instrText>
      </w:r>
      <w:r w:rsidR="00A6794A">
        <w:rPr>
          <w:lang w:val="en-US"/>
        </w:rPr>
        <w:instrText>a</w:instrText>
      </w:r>
      <w:r w:rsidR="00A6794A" w:rsidRPr="00D3550C">
        <w:instrText>1"]}],"</w:instrText>
      </w:r>
      <w:r w:rsidR="00A6794A">
        <w:rPr>
          <w:lang w:val="en-US"/>
        </w:rPr>
        <w:instrText>mendeley</w:instrText>
      </w:r>
      <w:r w:rsidR="00A6794A" w:rsidRPr="00D3550C">
        <w:instrText>":{"</w:instrText>
      </w:r>
      <w:r w:rsidR="00A6794A">
        <w:rPr>
          <w:lang w:val="en-US"/>
        </w:rPr>
        <w:instrText>formattedCitation</w:instrText>
      </w:r>
      <w:r w:rsidR="00A6794A" w:rsidRPr="00D3550C">
        <w:instrText>":"[205–208]","</w:instrText>
      </w:r>
      <w:r w:rsidR="00A6794A">
        <w:rPr>
          <w:lang w:val="en-US"/>
        </w:rPr>
        <w:instrText>plainTextFormattedCitation</w:instrText>
      </w:r>
      <w:r w:rsidR="00A6794A" w:rsidRPr="00D3550C">
        <w:instrText>":"[205–208]","</w:instrText>
      </w:r>
      <w:r w:rsidR="00A6794A">
        <w:rPr>
          <w:lang w:val="en-US"/>
        </w:rPr>
        <w:instrText>previouslyFormattedCitation</w:instrText>
      </w:r>
      <w:r w:rsidR="00A6794A" w:rsidRPr="00D3550C">
        <w:instrText>":"[205–208]"},"</w:instrText>
      </w:r>
      <w:r w:rsidR="00A6794A">
        <w:rPr>
          <w:lang w:val="en-US"/>
        </w:rPr>
        <w:instrText>properties</w:instrText>
      </w:r>
      <w:r w:rsidR="00A6794A" w:rsidRPr="00D3550C">
        <w:instrText>":{"</w:instrText>
      </w:r>
      <w:r w:rsidR="00A6794A">
        <w:rPr>
          <w:lang w:val="en-US"/>
        </w:rPr>
        <w:instrText>noteIndex</w:instrText>
      </w:r>
      <w:r w:rsidR="00A6794A" w:rsidRPr="00D3550C">
        <w:instrText>":0},"</w:instrText>
      </w:r>
      <w:r w:rsidR="00A6794A">
        <w:rPr>
          <w:lang w:val="en-US"/>
        </w:rPr>
        <w:instrText>schema</w:instrText>
      </w:r>
      <w:r w:rsidR="00A6794A" w:rsidRPr="00D3550C">
        <w:instrText>":"</w:instrText>
      </w:r>
      <w:r w:rsidR="00A6794A">
        <w:rPr>
          <w:lang w:val="en-US"/>
        </w:rPr>
        <w:instrText>https</w:instrText>
      </w:r>
      <w:r w:rsidR="00A6794A" w:rsidRPr="00D3550C">
        <w:instrText>://</w:instrText>
      </w:r>
      <w:r w:rsidR="00A6794A">
        <w:rPr>
          <w:lang w:val="en-US"/>
        </w:rPr>
        <w:instrText>github</w:instrText>
      </w:r>
      <w:r w:rsidR="00A6794A" w:rsidRPr="00D3550C">
        <w:instrText>.</w:instrText>
      </w:r>
      <w:r w:rsidR="00A6794A">
        <w:rPr>
          <w:lang w:val="en-US"/>
        </w:rPr>
        <w:instrText>com</w:instrText>
      </w:r>
      <w:r w:rsidR="00A6794A" w:rsidRPr="00D3550C">
        <w:instrText>/</w:instrText>
      </w:r>
      <w:r w:rsidR="00A6794A">
        <w:rPr>
          <w:lang w:val="en-US"/>
        </w:rPr>
        <w:instrText>citation</w:instrText>
      </w:r>
      <w:r w:rsidR="00A6794A" w:rsidRPr="00D3550C">
        <w:instrText>-</w:instrText>
      </w:r>
      <w:r w:rsidR="00A6794A">
        <w:rPr>
          <w:lang w:val="en-US"/>
        </w:rPr>
        <w:instrText>style</w:instrText>
      </w:r>
      <w:r w:rsidR="00A6794A" w:rsidRPr="00D3550C">
        <w:instrText>-</w:instrText>
      </w:r>
      <w:r w:rsidR="00A6794A">
        <w:rPr>
          <w:lang w:val="en-US"/>
        </w:rPr>
        <w:instrText>language</w:instrText>
      </w:r>
      <w:r w:rsidR="00A6794A" w:rsidRPr="00D3550C">
        <w:instrText>/</w:instrText>
      </w:r>
      <w:r w:rsidR="00A6794A">
        <w:rPr>
          <w:lang w:val="en-US"/>
        </w:rPr>
        <w:instrText>schema</w:instrText>
      </w:r>
      <w:r w:rsidR="00A6794A" w:rsidRPr="00D3550C">
        <w:instrText>/</w:instrText>
      </w:r>
      <w:r w:rsidR="00A6794A">
        <w:rPr>
          <w:lang w:val="en-US"/>
        </w:rPr>
        <w:instrText>raw</w:instrText>
      </w:r>
      <w:r w:rsidR="00A6794A" w:rsidRPr="00D3550C">
        <w:instrText>/</w:instrText>
      </w:r>
      <w:r w:rsidR="00A6794A">
        <w:rPr>
          <w:lang w:val="en-US"/>
        </w:rPr>
        <w:instrText>master</w:instrText>
      </w:r>
      <w:r w:rsidR="00A6794A" w:rsidRPr="00D3550C">
        <w:instrText>/</w:instrText>
      </w:r>
      <w:r w:rsidR="00A6794A">
        <w:rPr>
          <w:lang w:val="en-US"/>
        </w:rPr>
        <w:instrText>csl</w:instrText>
      </w:r>
      <w:r w:rsidR="00A6794A" w:rsidRPr="00D3550C">
        <w:instrText>-</w:instrText>
      </w:r>
      <w:r w:rsidR="00A6794A">
        <w:rPr>
          <w:lang w:val="en-US"/>
        </w:rPr>
        <w:instrText>citation</w:instrText>
      </w:r>
      <w:r w:rsidR="00A6794A" w:rsidRPr="00D3550C">
        <w:instrText>.</w:instrText>
      </w:r>
      <w:r w:rsidR="00A6794A">
        <w:rPr>
          <w:lang w:val="en-US"/>
        </w:rPr>
        <w:instrText>json</w:instrText>
      </w:r>
      <w:r w:rsidR="00A6794A" w:rsidRPr="00D3550C">
        <w:instrText>"}</w:instrText>
      </w:r>
      <w:r w:rsidRPr="000322E4">
        <w:rPr>
          <w:lang w:val="en-US"/>
        </w:rPr>
        <w:fldChar w:fldCharType="separate"/>
      </w:r>
      <w:r w:rsidR="006E1902" w:rsidRPr="006E1902">
        <w:rPr>
          <w:noProof/>
        </w:rPr>
        <w:t>[205–208]</w:t>
      </w:r>
      <w:r w:rsidRPr="000322E4">
        <w:rPr>
          <w:lang w:val="en-US"/>
        </w:rPr>
        <w:fldChar w:fldCharType="end"/>
      </w:r>
    </w:p>
    <w:p w14:paraId="44687142" w14:textId="107E520A" w:rsidR="00697C42" w:rsidRDefault="00697C42" w:rsidP="00697C42">
      <w:pPr>
        <w:numPr>
          <w:ilvl w:val="0"/>
          <w:numId w:val="40"/>
        </w:numPr>
        <w:spacing w:line="360" w:lineRule="auto"/>
        <w:jc w:val="both"/>
      </w:pPr>
      <w:r w:rsidRPr="000322E4">
        <w:t>Бендамустин</w:t>
      </w:r>
      <w:r w:rsidRPr="00293AC8">
        <w:rPr>
          <w:bCs/>
        </w:rPr>
        <w:t>**</w:t>
      </w:r>
      <w:r w:rsidRPr="00293AC8">
        <w:t xml:space="preserve"> 120 </w:t>
      </w:r>
      <w:r w:rsidRPr="000322E4">
        <w:t>мг</w:t>
      </w:r>
      <w:r w:rsidRPr="00293AC8">
        <w:t>/</w:t>
      </w:r>
      <w:r w:rsidRPr="000322E4">
        <w:t>м</w:t>
      </w:r>
      <w:r w:rsidRPr="00293AC8">
        <w:rPr>
          <w:vertAlign w:val="superscript"/>
        </w:rPr>
        <w:t>2</w:t>
      </w:r>
      <w:r w:rsidRPr="00293AC8">
        <w:t xml:space="preserve"> </w:t>
      </w:r>
      <w:r w:rsidRPr="000322E4">
        <w:t>в</w:t>
      </w:r>
      <w:r w:rsidRPr="00293AC8">
        <w:t>/</w:t>
      </w:r>
      <w:r w:rsidRPr="000322E4">
        <w:t>в</w:t>
      </w:r>
      <w:r w:rsidRPr="00293AC8">
        <w:t xml:space="preserve"> </w:t>
      </w:r>
      <w:r w:rsidRPr="000322E4">
        <w:t>кап</w:t>
      </w:r>
      <w:r w:rsidRPr="00293AC8">
        <w:t xml:space="preserve">., </w:t>
      </w:r>
      <w:r w:rsidRPr="000322E4">
        <w:t>дни</w:t>
      </w:r>
      <w:r w:rsidRPr="00293AC8">
        <w:t xml:space="preserve"> 2, 3</w:t>
      </w:r>
    </w:p>
    <w:p w14:paraId="75CDC2B8" w14:textId="11D65E19" w:rsidR="00697C42" w:rsidRPr="00293AC8" w:rsidRDefault="00697C42" w:rsidP="00697C42">
      <w:pPr>
        <w:spacing w:line="360" w:lineRule="auto"/>
        <w:ind w:left="360"/>
        <w:jc w:val="both"/>
      </w:pPr>
      <w:r w:rsidRPr="000322E4">
        <w:t>Лечение</w:t>
      </w:r>
      <w:r w:rsidRPr="00293AC8">
        <w:t xml:space="preserve"> </w:t>
      </w:r>
      <w:r w:rsidRPr="000322E4">
        <w:t>возобновляется</w:t>
      </w:r>
      <w:r w:rsidRPr="00293AC8">
        <w:t xml:space="preserve"> </w:t>
      </w:r>
      <w:r w:rsidRPr="000322E4">
        <w:t>на</w:t>
      </w:r>
      <w:r w:rsidRPr="00293AC8">
        <w:t xml:space="preserve"> 21 </w:t>
      </w:r>
      <w:r w:rsidRPr="000322E4">
        <w:t>день</w:t>
      </w:r>
      <w:r w:rsidR="00CE6A32">
        <w:t>. Всего 6 циклов.</w:t>
      </w:r>
    </w:p>
    <w:p w14:paraId="601506CE" w14:textId="77777777" w:rsidR="00666D68" w:rsidRPr="00293AC8" w:rsidRDefault="00666D68" w:rsidP="008E3584">
      <w:pPr>
        <w:spacing w:line="360" w:lineRule="auto"/>
        <w:jc w:val="both"/>
      </w:pPr>
    </w:p>
    <w:p w14:paraId="21B3076C" w14:textId="10C9336F" w:rsidR="00666D68" w:rsidRPr="000322E4" w:rsidRDefault="00666D68" w:rsidP="008E3584">
      <w:pPr>
        <w:spacing w:line="360" w:lineRule="auto"/>
        <w:jc w:val="both"/>
        <w:rPr>
          <w:b/>
          <w:bCs/>
        </w:rPr>
      </w:pPr>
      <w:r w:rsidRPr="000322E4">
        <w:rPr>
          <w:b/>
          <w:bCs/>
          <w:lang w:val="en-US"/>
        </w:rPr>
        <w:t>CEPP</w:t>
      </w:r>
      <w:r w:rsidRPr="00293AC8">
        <w:rPr>
          <w:b/>
          <w:bCs/>
        </w:rPr>
        <w:t xml:space="preserve"> </w:t>
      </w:r>
      <w:r w:rsidRPr="000322E4">
        <w:rPr>
          <w:lang w:val="en-US"/>
        </w:rPr>
        <w:fldChar w:fldCharType="begin" w:fldLock="1"/>
      </w:r>
      <w:r w:rsidR="006A2B13">
        <w:rPr>
          <w:lang w:val="en-US"/>
        </w:rPr>
        <w:instrText>ADDIN</w:instrText>
      </w:r>
      <w:r w:rsidR="006A2B13" w:rsidRPr="006A2B13">
        <w:instrText xml:space="preserve"> </w:instrText>
      </w:r>
      <w:r w:rsidR="006A2B13">
        <w:rPr>
          <w:lang w:val="en-US"/>
        </w:rPr>
        <w:instrText>CSL</w:instrText>
      </w:r>
      <w:r w:rsidR="006A2B13" w:rsidRPr="006A2B13">
        <w:instrText>_</w:instrText>
      </w:r>
      <w:r w:rsidR="006A2B13">
        <w:rPr>
          <w:lang w:val="en-US"/>
        </w:rPr>
        <w:instrText>CITATION</w:instrText>
      </w:r>
      <w:r w:rsidR="006A2B13" w:rsidRPr="006A2B13">
        <w:instrText xml:space="preserve"> {"</w:instrText>
      </w:r>
      <w:r w:rsidR="006A2B13">
        <w:rPr>
          <w:lang w:val="en-US"/>
        </w:rPr>
        <w:instrText>citationItems</w:instrText>
      </w:r>
      <w:r w:rsidR="006A2B13" w:rsidRPr="006A2B13">
        <w:instrText>":[{"</w:instrText>
      </w:r>
      <w:r w:rsidR="006A2B13">
        <w:rPr>
          <w:lang w:val="en-US"/>
        </w:rPr>
        <w:instrText>id</w:instrText>
      </w:r>
      <w:r w:rsidR="006A2B13" w:rsidRPr="006A2B13">
        <w:instrText>":"</w:instrText>
      </w:r>
      <w:r w:rsidR="006A2B13">
        <w:rPr>
          <w:lang w:val="en-US"/>
        </w:rPr>
        <w:instrText>ITEM</w:instrText>
      </w:r>
      <w:r w:rsidR="006A2B13" w:rsidRPr="006A2B13">
        <w:instrText>-1","</w:instrText>
      </w:r>
      <w:r w:rsidR="006A2B13">
        <w:rPr>
          <w:lang w:val="en-US"/>
        </w:rPr>
        <w:instrText>itemData</w:instrText>
      </w:r>
      <w:r w:rsidR="006A2B13" w:rsidRPr="006A2B13">
        <w:instrText>":{"</w:instrText>
      </w:r>
      <w:r w:rsidR="006A2B13">
        <w:rPr>
          <w:lang w:val="en-US"/>
        </w:rPr>
        <w:instrText>DOI</w:instrText>
      </w:r>
      <w:r w:rsidR="006A2B13" w:rsidRPr="006A2B13">
        <w:instrText>":"10.1182/</w:instrText>
      </w:r>
      <w:r w:rsidR="006A2B13">
        <w:rPr>
          <w:lang w:val="en-US"/>
        </w:rPr>
        <w:instrText>blood</w:instrText>
      </w:r>
      <w:r w:rsidR="006A2B13" w:rsidRPr="006A2B13">
        <w:instrText>.</w:instrText>
      </w:r>
      <w:r w:rsidR="006A2B13">
        <w:rPr>
          <w:lang w:val="en-US"/>
        </w:rPr>
        <w:instrText>v</w:instrText>
      </w:r>
      <w:r w:rsidR="006A2B13" w:rsidRPr="006A2B13">
        <w:instrText>76.7.1293.</w:instrText>
      </w:r>
      <w:r w:rsidR="006A2B13">
        <w:rPr>
          <w:lang w:val="en-US"/>
        </w:rPr>
        <w:instrText>bloodjournal</w:instrText>
      </w:r>
      <w:r w:rsidR="006A2B13" w:rsidRPr="006A2B13">
        <w:instrText>7671293","</w:instrText>
      </w:r>
      <w:r w:rsidR="006A2B13">
        <w:rPr>
          <w:lang w:val="en-US"/>
        </w:rPr>
        <w:instrText>ISSN</w:instrText>
      </w:r>
      <w:r w:rsidR="006A2B13" w:rsidRPr="006A2B13">
        <w:instrText>":"00064971","</w:instrText>
      </w:r>
      <w:r w:rsidR="006A2B13">
        <w:rPr>
          <w:lang w:val="en-US"/>
        </w:rPr>
        <w:instrText>PMID</w:instrText>
      </w:r>
      <w:r w:rsidR="006A2B13" w:rsidRPr="006A2B13">
        <w:instrText>":"2207307","</w:instrText>
      </w:r>
      <w:r w:rsidR="006A2B13">
        <w:rPr>
          <w:lang w:val="en-US"/>
        </w:rPr>
        <w:instrText>abstract</w:instrText>
      </w:r>
      <w:r w:rsidR="006A2B13" w:rsidRPr="006A2B13">
        <w:instrText>":"</w:instrText>
      </w:r>
      <w:r w:rsidR="006A2B13">
        <w:rPr>
          <w:lang w:val="en-US"/>
        </w:rPr>
        <w:instrText>Eighty</w:instrText>
      </w:r>
      <w:r w:rsidR="006A2B13" w:rsidRPr="006A2B13">
        <w:instrText>-</w:instrText>
      </w:r>
      <w:r w:rsidR="006A2B13">
        <w:rPr>
          <w:lang w:val="en-US"/>
        </w:rPr>
        <w:instrText>three</w:instrText>
      </w:r>
      <w:r w:rsidR="006A2B13" w:rsidRPr="006A2B13">
        <w:instrText xml:space="preserve"> </w:instrText>
      </w:r>
      <w:r w:rsidR="006A2B13">
        <w:rPr>
          <w:lang w:val="en-US"/>
        </w:rPr>
        <w:instrText>patients</w:instrText>
      </w:r>
      <w:r w:rsidR="006A2B13" w:rsidRPr="006A2B13">
        <w:instrText xml:space="preserve"> </w:instrText>
      </w:r>
      <w:r w:rsidR="006A2B13">
        <w:rPr>
          <w:lang w:val="en-US"/>
        </w:rPr>
        <w:instrText>with</w:instrText>
      </w:r>
      <w:r w:rsidR="006A2B13" w:rsidRPr="006A2B13">
        <w:instrText xml:space="preserve"> </w:instrText>
      </w:r>
      <w:r w:rsidR="006A2B13">
        <w:rPr>
          <w:lang w:val="en-US"/>
        </w:rPr>
        <w:instrText>intermediate</w:instrText>
      </w:r>
      <w:r w:rsidR="006A2B13" w:rsidRPr="006A2B13">
        <w:instrText xml:space="preserve">- </w:instrText>
      </w:r>
      <w:r w:rsidR="006A2B13">
        <w:rPr>
          <w:lang w:val="en-US"/>
        </w:rPr>
        <w:instrText>or</w:instrText>
      </w:r>
      <w:r w:rsidR="006A2B13" w:rsidRPr="006A2B13">
        <w:instrText xml:space="preserve"> </w:instrText>
      </w:r>
      <w:r w:rsidR="006A2B13">
        <w:rPr>
          <w:lang w:val="en-US"/>
        </w:rPr>
        <w:instrText>high</w:instrText>
      </w:r>
      <w:r w:rsidR="006A2B13" w:rsidRPr="006A2B13">
        <w:instrText>-</w:instrText>
      </w:r>
      <w:r w:rsidR="006A2B13">
        <w:rPr>
          <w:lang w:val="en-US"/>
        </w:rPr>
        <w:instrText>grade</w:instrText>
      </w:r>
      <w:r w:rsidR="006A2B13" w:rsidRPr="006A2B13">
        <w:instrText xml:space="preserve"> </w:instrText>
      </w:r>
      <w:r w:rsidR="006A2B13">
        <w:rPr>
          <w:lang w:val="en-US"/>
        </w:rPr>
        <w:instrText>non</w:instrText>
      </w:r>
      <w:r w:rsidR="006A2B13" w:rsidRPr="006A2B13">
        <w:instrText>-</w:instrText>
      </w:r>
      <w:r w:rsidR="006A2B13">
        <w:rPr>
          <w:lang w:val="en-US"/>
        </w:rPr>
        <w:instrText>Hodgkin</w:instrText>
      </w:r>
      <w:r w:rsidR="006A2B13" w:rsidRPr="006A2B13">
        <w:instrText>'</w:instrText>
      </w:r>
      <w:r w:rsidR="006A2B13">
        <w:rPr>
          <w:lang w:val="en-US"/>
        </w:rPr>
        <w:instrText>s</w:instrText>
      </w:r>
      <w:r w:rsidR="006A2B13" w:rsidRPr="006A2B13">
        <w:instrText xml:space="preserve"> </w:instrText>
      </w:r>
      <w:r w:rsidR="006A2B13">
        <w:rPr>
          <w:lang w:val="en-US"/>
        </w:rPr>
        <w:instrText>lymphoma</w:instrText>
      </w:r>
      <w:r w:rsidR="006A2B13" w:rsidRPr="006A2B13">
        <w:instrText xml:space="preserve"> </w:instrText>
      </w:r>
      <w:r w:rsidR="006A2B13">
        <w:rPr>
          <w:lang w:val="en-US"/>
        </w:rPr>
        <w:instrText>were</w:instrText>
      </w:r>
      <w:r w:rsidR="006A2B13" w:rsidRPr="006A2B13">
        <w:instrText xml:space="preserve"> </w:instrText>
      </w:r>
      <w:r w:rsidR="006A2B13">
        <w:rPr>
          <w:lang w:val="en-US"/>
        </w:rPr>
        <w:instrText>treated</w:instrText>
      </w:r>
      <w:r w:rsidR="006A2B13" w:rsidRPr="006A2B13">
        <w:instrText xml:space="preserve"> </w:instrText>
      </w:r>
      <w:r w:rsidR="006A2B13">
        <w:rPr>
          <w:lang w:val="en-US"/>
        </w:rPr>
        <w:instrText>with</w:instrText>
      </w:r>
      <w:r w:rsidR="006A2B13" w:rsidRPr="006A2B13">
        <w:instrText xml:space="preserve"> </w:instrText>
      </w:r>
      <w:r w:rsidR="006A2B13">
        <w:rPr>
          <w:lang w:val="en-US"/>
        </w:rPr>
        <w:instrText>CEPP</w:instrText>
      </w:r>
      <w:r w:rsidR="006A2B13" w:rsidRPr="006A2B13">
        <w:instrText>(</w:instrText>
      </w:r>
      <w:r w:rsidR="006A2B13">
        <w:rPr>
          <w:lang w:val="en-US"/>
        </w:rPr>
        <w:instrText>B</w:instrText>
      </w:r>
      <w:r w:rsidR="006A2B13" w:rsidRPr="006A2B13">
        <w:instrText>) (</w:instrText>
      </w:r>
      <w:r w:rsidR="006A2B13">
        <w:rPr>
          <w:lang w:val="en-US"/>
        </w:rPr>
        <w:instrText>cyclophosphamide</w:instrText>
      </w:r>
      <w:r w:rsidR="006A2B13" w:rsidRPr="006A2B13">
        <w:instrText xml:space="preserve">, </w:instrText>
      </w:r>
      <w:r w:rsidR="006A2B13">
        <w:rPr>
          <w:lang w:val="en-US"/>
        </w:rPr>
        <w:instrText>etoposide</w:instrText>
      </w:r>
      <w:r w:rsidR="006A2B13" w:rsidRPr="006A2B13">
        <w:instrText xml:space="preserve"> [</w:instrText>
      </w:r>
      <w:r w:rsidR="006A2B13">
        <w:rPr>
          <w:lang w:val="en-US"/>
        </w:rPr>
        <w:instrText>VP</w:instrText>
      </w:r>
      <w:r w:rsidR="006A2B13" w:rsidRPr="006A2B13">
        <w:instrText xml:space="preserve">-16], </w:instrText>
      </w:r>
      <w:r w:rsidR="006A2B13">
        <w:rPr>
          <w:lang w:val="en-US"/>
        </w:rPr>
        <w:instrText>procarbazine</w:instrText>
      </w:r>
      <w:r w:rsidR="006A2B13" w:rsidRPr="006A2B13">
        <w:instrText xml:space="preserve">, </w:instrText>
      </w:r>
      <w:r w:rsidR="006A2B13">
        <w:rPr>
          <w:lang w:val="en-US"/>
        </w:rPr>
        <w:instrText>and</w:instrText>
      </w:r>
      <w:r w:rsidR="006A2B13" w:rsidRPr="006A2B13">
        <w:instrText xml:space="preserve"> </w:instrText>
      </w:r>
      <w:r w:rsidR="006A2B13">
        <w:rPr>
          <w:lang w:val="en-US"/>
        </w:rPr>
        <w:instrText>prednisone</w:instrText>
      </w:r>
      <w:r w:rsidR="006A2B13" w:rsidRPr="006A2B13">
        <w:instrText xml:space="preserve"> </w:instrText>
      </w:r>
      <w:r w:rsidR="006A2B13">
        <w:rPr>
          <w:lang w:val="en-US"/>
        </w:rPr>
        <w:instrText>with</w:instrText>
      </w:r>
      <w:r w:rsidR="006A2B13" w:rsidRPr="006A2B13">
        <w:instrText xml:space="preserve"> </w:instrText>
      </w:r>
      <w:r w:rsidR="006A2B13">
        <w:rPr>
          <w:lang w:val="en-US"/>
        </w:rPr>
        <w:instrText>or</w:instrText>
      </w:r>
      <w:r w:rsidR="006A2B13" w:rsidRPr="006A2B13">
        <w:instrText xml:space="preserve"> </w:instrText>
      </w:r>
      <w:r w:rsidR="006A2B13">
        <w:rPr>
          <w:lang w:val="en-US"/>
        </w:rPr>
        <w:instrText>without</w:instrText>
      </w:r>
      <w:r w:rsidR="006A2B13" w:rsidRPr="006A2B13">
        <w:instrText xml:space="preserve"> </w:instrText>
      </w:r>
      <w:r w:rsidR="006A2B13">
        <w:rPr>
          <w:lang w:val="en-US"/>
        </w:rPr>
        <w:instrText>bleomycin</w:instrText>
      </w:r>
      <w:r w:rsidR="006A2B13" w:rsidRPr="006A2B13">
        <w:instrText xml:space="preserve">) </w:instrText>
      </w:r>
      <w:r w:rsidR="006A2B13">
        <w:rPr>
          <w:lang w:val="en-US"/>
        </w:rPr>
        <w:instrText>chemotherapy</w:instrText>
      </w:r>
      <w:r w:rsidR="006A2B13" w:rsidRPr="006A2B13">
        <w:instrText xml:space="preserve"> </w:instrText>
      </w:r>
      <w:r w:rsidR="006A2B13">
        <w:rPr>
          <w:lang w:val="en-US"/>
        </w:rPr>
        <w:instrText>at</w:instrText>
      </w:r>
      <w:r w:rsidR="006A2B13" w:rsidRPr="006A2B13">
        <w:instrText xml:space="preserve"> </w:instrText>
      </w:r>
      <w:r w:rsidR="006A2B13">
        <w:rPr>
          <w:lang w:val="en-US"/>
        </w:rPr>
        <w:instrText>Stanford</w:instrText>
      </w:r>
      <w:r w:rsidR="006A2B13" w:rsidRPr="006A2B13">
        <w:instrText xml:space="preserve"> </w:instrText>
      </w:r>
      <w:r w:rsidR="006A2B13">
        <w:rPr>
          <w:lang w:val="en-US"/>
        </w:rPr>
        <w:instrText>University</w:instrText>
      </w:r>
      <w:r w:rsidR="006A2B13" w:rsidRPr="006A2B13">
        <w:instrText xml:space="preserve"> </w:instrText>
      </w:r>
      <w:r w:rsidR="006A2B13">
        <w:rPr>
          <w:lang w:val="en-US"/>
        </w:rPr>
        <w:instrText>Medical</w:instrText>
      </w:r>
      <w:r w:rsidR="006A2B13" w:rsidRPr="006A2B13">
        <w:instrText xml:space="preserve"> </w:instrText>
      </w:r>
      <w:r w:rsidR="006A2B13">
        <w:rPr>
          <w:lang w:val="en-US"/>
        </w:rPr>
        <w:instrText>Center</w:instrText>
      </w:r>
      <w:r w:rsidR="006A2B13" w:rsidRPr="006A2B13">
        <w:instrText xml:space="preserve"> (</w:instrText>
      </w:r>
      <w:r w:rsidR="006A2B13">
        <w:rPr>
          <w:lang w:val="en-US"/>
        </w:rPr>
        <w:instrText>Stanford</w:instrText>
      </w:r>
      <w:r w:rsidR="006A2B13" w:rsidRPr="006A2B13">
        <w:instrText xml:space="preserve">, </w:instrText>
      </w:r>
      <w:r w:rsidR="006A2B13">
        <w:rPr>
          <w:lang w:val="en-US"/>
        </w:rPr>
        <w:instrText>CA</w:instrText>
      </w:r>
      <w:r w:rsidR="006A2B13" w:rsidRPr="006A2B13">
        <w:instrText xml:space="preserve">) </w:instrText>
      </w:r>
      <w:r w:rsidR="006A2B13">
        <w:rPr>
          <w:lang w:val="en-US"/>
        </w:rPr>
        <w:instrText>from</w:instrText>
      </w:r>
      <w:r w:rsidR="006A2B13" w:rsidRPr="006A2B13">
        <w:instrText xml:space="preserve"> </w:instrText>
      </w:r>
      <w:r w:rsidR="006A2B13">
        <w:rPr>
          <w:lang w:val="en-US"/>
        </w:rPr>
        <w:instrText>January</w:instrText>
      </w:r>
      <w:r w:rsidR="006A2B13" w:rsidRPr="006A2B13">
        <w:instrText xml:space="preserve"> 1982 </w:instrText>
      </w:r>
      <w:r w:rsidR="006A2B13">
        <w:rPr>
          <w:lang w:val="en-US"/>
        </w:rPr>
        <w:instrText>through</w:instrText>
      </w:r>
      <w:r w:rsidR="006A2B13" w:rsidRPr="006A2B13">
        <w:instrText xml:space="preserve"> </w:instrText>
      </w:r>
      <w:r w:rsidR="006A2B13">
        <w:rPr>
          <w:lang w:val="en-US"/>
        </w:rPr>
        <w:instrText>June</w:instrText>
      </w:r>
      <w:r w:rsidR="006A2B13" w:rsidRPr="006A2B13">
        <w:instrText xml:space="preserve"> 1989. </w:instrText>
      </w:r>
      <w:r w:rsidR="006A2B13">
        <w:rPr>
          <w:lang w:val="en-US"/>
        </w:rPr>
        <w:instrText>Sixty</w:instrText>
      </w:r>
      <w:r w:rsidR="006A2B13" w:rsidRPr="006A2B13">
        <w:instrText>-</w:instrText>
      </w:r>
      <w:r w:rsidR="006A2B13">
        <w:rPr>
          <w:lang w:val="en-US"/>
        </w:rPr>
        <w:instrText>nine</w:instrText>
      </w:r>
      <w:r w:rsidR="006A2B13" w:rsidRPr="006A2B13">
        <w:instrText xml:space="preserve"> </w:instrText>
      </w:r>
      <w:r w:rsidR="006A2B13">
        <w:rPr>
          <w:lang w:val="en-US"/>
        </w:rPr>
        <w:instrText>received</w:instrText>
      </w:r>
      <w:r w:rsidR="006A2B13" w:rsidRPr="006A2B13">
        <w:instrText xml:space="preserve"> </w:instrText>
      </w:r>
      <w:r w:rsidR="006A2B13">
        <w:rPr>
          <w:lang w:val="en-US"/>
        </w:rPr>
        <w:instrText>CEPP</w:instrText>
      </w:r>
      <w:r w:rsidR="006A2B13" w:rsidRPr="006A2B13">
        <w:instrText>(</w:instrText>
      </w:r>
      <w:r w:rsidR="006A2B13">
        <w:rPr>
          <w:lang w:val="en-US"/>
        </w:rPr>
        <w:instrText>B</w:instrText>
      </w:r>
      <w:r w:rsidR="006A2B13" w:rsidRPr="006A2B13">
        <w:instrText xml:space="preserve">) </w:instrText>
      </w:r>
      <w:r w:rsidR="006A2B13">
        <w:rPr>
          <w:lang w:val="en-US"/>
        </w:rPr>
        <w:instrText>as</w:instrText>
      </w:r>
      <w:r w:rsidR="006A2B13" w:rsidRPr="006A2B13">
        <w:instrText xml:space="preserve"> </w:instrText>
      </w:r>
      <w:r w:rsidR="006A2B13">
        <w:rPr>
          <w:lang w:val="en-US"/>
        </w:rPr>
        <w:instrText>second</w:instrText>
      </w:r>
      <w:r w:rsidR="006A2B13" w:rsidRPr="006A2B13">
        <w:instrText>-</w:instrText>
      </w:r>
      <w:r w:rsidR="006A2B13">
        <w:rPr>
          <w:lang w:val="en-US"/>
        </w:rPr>
        <w:instrText>line</w:instrText>
      </w:r>
      <w:r w:rsidR="006A2B13" w:rsidRPr="006A2B13">
        <w:instrText xml:space="preserve"> </w:instrText>
      </w:r>
      <w:r w:rsidR="006A2B13">
        <w:rPr>
          <w:lang w:val="en-US"/>
        </w:rPr>
        <w:instrText>or</w:instrText>
      </w:r>
      <w:r w:rsidR="006A2B13" w:rsidRPr="006A2B13">
        <w:instrText xml:space="preserve"> </w:instrText>
      </w:r>
      <w:r w:rsidR="006A2B13">
        <w:rPr>
          <w:lang w:val="en-US"/>
        </w:rPr>
        <w:instrText>subsequent</w:instrText>
      </w:r>
      <w:r w:rsidR="006A2B13" w:rsidRPr="006A2B13">
        <w:instrText xml:space="preserve"> </w:instrText>
      </w:r>
      <w:r w:rsidR="006A2B13">
        <w:rPr>
          <w:lang w:val="en-US"/>
        </w:rPr>
        <w:instrText>therapy</w:instrText>
      </w:r>
      <w:r w:rsidR="006A2B13" w:rsidRPr="006A2B13">
        <w:instrText xml:space="preserve"> </w:instrText>
      </w:r>
      <w:r w:rsidR="006A2B13">
        <w:rPr>
          <w:lang w:val="en-US"/>
        </w:rPr>
        <w:instrText>after</w:instrText>
      </w:r>
      <w:r w:rsidR="006A2B13" w:rsidRPr="006A2B13">
        <w:instrText xml:space="preserve"> </w:instrText>
      </w:r>
      <w:r w:rsidR="006A2B13">
        <w:rPr>
          <w:lang w:val="en-US"/>
        </w:rPr>
        <w:instrText>relapse</w:instrText>
      </w:r>
      <w:r w:rsidR="006A2B13" w:rsidRPr="006A2B13">
        <w:instrText xml:space="preserve"> </w:instrText>
      </w:r>
      <w:r w:rsidR="006A2B13">
        <w:rPr>
          <w:lang w:val="en-US"/>
        </w:rPr>
        <w:instrText>from</w:instrText>
      </w:r>
      <w:r w:rsidR="006A2B13" w:rsidRPr="006A2B13">
        <w:instrText xml:space="preserve"> </w:instrText>
      </w:r>
      <w:r w:rsidR="006A2B13">
        <w:rPr>
          <w:lang w:val="en-US"/>
        </w:rPr>
        <w:instrText>previous</w:instrText>
      </w:r>
      <w:r w:rsidR="006A2B13" w:rsidRPr="006A2B13">
        <w:instrText xml:space="preserve"> </w:instrText>
      </w:r>
      <w:r w:rsidR="006A2B13">
        <w:rPr>
          <w:lang w:val="en-US"/>
        </w:rPr>
        <w:instrText>combination</w:instrText>
      </w:r>
      <w:r w:rsidR="006A2B13" w:rsidRPr="006A2B13">
        <w:instrText xml:space="preserve"> </w:instrText>
      </w:r>
      <w:r w:rsidR="006A2B13">
        <w:rPr>
          <w:lang w:val="en-US"/>
        </w:rPr>
        <w:instrText>chemotherapy</w:instrText>
      </w:r>
      <w:r w:rsidR="006A2B13" w:rsidRPr="006A2B13">
        <w:instrText xml:space="preserve">, </w:instrText>
      </w:r>
      <w:r w:rsidR="006A2B13">
        <w:rPr>
          <w:lang w:val="en-US"/>
        </w:rPr>
        <w:instrText>and</w:instrText>
      </w:r>
      <w:r w:rsidR="006A2B13" w:rsidRPr="006A2B13">
        <w:instrText xml:space="preserve"> 14 </w:instrText>
      </w:r>
      <w:r w:rsidR="006A2B13">
        <w:rPr>
          <w:lang w:val="en-US"/>
        </w:rPr>
        <w:instrText>patients</w:instrText>
      </w:r>
      <w:r w:rsidR="006A2B13" w:rsidRPr="006A2B13">
        <w:instrText xml:space="preserve"> </w:instrText>
      </w:r>
      <w:r w:rsidR="006A2B13">
        <w:rPr>
          <w:lang w:val="en-US"/>
        </w:rPr>
        <w:instrText>received</w:instrText>
      </w:r>
      <w:r w:rsidR="006A2B13" w:rsidRPr="006A2B13">
        <w:instrText xml:space="preserve"> </w:instrText>
      </w:r>
      <w:r w:rsidR="006A2B13">
        <w:rPr>
          <w:lang w:val="en-US"/>
        </w:rPr>
        <w:instrText>CEPP</w:instrText>
      </w:r>
      <w:r w:rsidR="006A2B13" w:rsidRPr="006A2B13">
        <w:instrText>(</w:instrText>
      </w:r>
      <w:r w:rsidR="006A2B13">
        <w:rPr>
          <w:lang w:val="en-US"/>
        </w:rPr>
        <w:instrText>B</w:instrText>
      </w:r>
      <w:r w:rsidR="006A2B13" w:rsidRPr="006A2B13">
        <w:instrText xml:space="preserve">) </w:instrText>
      </w:r>
      <w:r w:rsidR="006A2B13">
        <w:rPr>
          <w:lang w:val="en-US"/>
        </w:rPr>
        <w:instrText>as</w:instrText>
      </w:r>
      <w:r w:rsidR="006A2B13" w:rsidRPr="006A2B13">
        <w:instrText xml:space="preserve"> </w:instrText>
      </w:r>
      <w:r w:rsidR="006A2B13">
        <w:rPr>
          <w:lang w:val="en-US"/>
        </w:rPr>
        <w:instrText>first</w:instrText>
      </w:r>
      <w:r w:rsidR="006A2B13" w:rsidRPr="006A2B13">
        <w:instrText>-</w:instrText>
      </w:r>
      <w:r w:rsidR="006A2B13">
        <w:rPr>
          <w:lang w:val="en-US"/>
        </w:rPr>
        <w:instrText>line</w:instrText>
      </w:r>
      <w:r w:rsidR="006A2B13" w:rsidRPr="006A2B13">
        <w:instrText xml:space="preserve"> </w:instrText>
      </w:r>
      <w:r w:rsidR="006A2B13">
        <w:rPr>
          <w:lang w:val="en-US"/>
        </w:rPr>
        <w:instrText>therapy</w:instrText>
      </w:r>
      <w:r w:rsidR="006A2B13" w:rsidRPr="006A2B13">
        <w:instrText xml:space="preserve">. </w:instrText>
      </w:r>
      <w:r w:rsidR="006A2B13">
        <w:rPr>
          <w:lang w:val="en-US"/>
        </w:rPr>
        <w:instrText>Of</w:instrText>
      </w:r>
      <w:r w:rsidR="006A2B13" w:rsidRPr="006A2B13">
        <w:instrText xml:space="preserve"> 75 </w:instrText>
      </w:r>
      <w:r w:rsidR="006A2B13">
        <w:rPr>
          <w:lang w:val="en-US"/>
        </w:rPr>
        <w:instrText>patients</w:instrText>
      </w:r>
      <w:r w:rsidR="006A2B13" w:rsidRPr="006A2B13">
        <w:instrText xml:space="preserve"> </w:instrText>
      </w:r>
      <w:r w:rsidR="006A2B13">
        <w:rPr>
          <w:lang w:val="en-US"/>
        </w:rPr>
        <w:instrText>evaluable</w:instrText>
      </w:r>
      <w:r w:rsidR="006A2B13" w:rsidRPr="006A2B13">
        <w:instrText xml:space="preserve"> </w:instrText>
      </w:r>
      <w:r w:rsidR="006A2B13">
        <w:rPr>
          <w:lang w:val="en-US"/>
        </w:rPr>
        <w:instrText>for</w:instrText>
      </w:r>
      <w:r w:rsidR="006A2B13" w:rsidRPr="006A2B13">
        <w:instrText xml:space="preserve"> </w:instrText>
      </w:r>
      <w:r w:rsidR="006A2B13">
        <w:rPr>
          <w:lang w:val="en-US"/>
        </w:rPr>
        <w:instrText>response</w:instrText>
      </w:r>
      <w:r w:rsidR="006A2B13" w:rsidRPr="006A2B13">
        <w:instrText xml:space="preserve">, 30 </w:instrText>
      </w:r>
      <w:r w:rsidR="006A2B13">
        <w:rPr>
          <w:lang w:val="en-US"/>
        </w:rPr>
        <w:instrText>patients</w:instrText>
      </w:r>
      <w:r w:rsidR="006A2B13" w:rsidRPr="006A2B13">
        <w:instrText xml:space="preserve"> (40%) </w:instrText>
      </w:r>
      <w:r w:rsidR="006A2B13">
        <w:rPr>
          <w:lang w:val="en-US"/>
        </w:rPr>
        <w:instrText>achieved</w:instrText>
      </w:r>
      <w:r w:rsidR="006A2B13" w:rsidRPr="006A2B13">
        <w:instrText xml:space="preserve"> </w:instrText>
      </w:r>
      <w:r w:rsidR="006A2B13">
        <w:rPr>
          <w:lang w:val="en-US"/>
        </w:rPr>
        <w:instrText>a</w:instrText>
      </w:r>
      <w:r w:rsidR="006A2B13" w:rsidRPr="006A2B13">
        <w:instrText xml:space="preserve"> </w:instrText>
      </w:r>
      <w:r w:rsidR="006A2B13">
        <w:rPr>
          <w:lang w:val="en-US"/>
        </w:rPr>
        <w:instrText>complete</w:instrText>
      </w:r>
      <w:r w:rsidR="006A2B13" w:rsidRPr="006A2B13">
        <w:instrText xml:space="preserve"> </w:instrText>
      </w:r>
      <w:r w:rsidR="006A2B13">
        <w:rPr>
          <w:lang w:val="en-US"/>
        </w:rPr>
        <w:instrText>response</w:instrText>
      </w:r>
      <w:r w:rsidR="006A2B13" w:rsidRPr="006A2B13">
        <w:instrText xml:space="preserve"> (</w:instrText>
      </w:r>
      <w:r w:rsidR="006A2B13">
        <w:rPr>
          <w:lang w:val="en-US"/>
        </w:rPr>
        <w:instrText>CR</w:instrText>
      </w:r>
      <w:r w:rsidR="006A2B13" w:rsidRPr="006A2B13">
        <w:instrText xml:space="preserve">) </w:instrText>
      </w:r>
      <w:r w:rsidR="006A2B13">
        <w:rPr>
          <w:lang w:val="en-US"/>
        </w:rPr>
        <w:instrText>and</w:instrText>
      </w:r>
      <w:r w:rsidR="006A2B13" w:rsidRPr="006A2B13">
        <w:instrText xml:space="preserve"> 24 </w:instrText>
      </w:r>
      <w:r w:rsidR="006A2B13">
        <w:rPr>
          <w:lang w:val="en-US"/>
        </w:rPr>
        <w:instrText>patients</w:instrText>
      </w:r>
      <w:r w:rsidR="006A2B13" w:rsidRPr="006A2B13">
        <w:instrText xml:space="preserve"> (32%) </w:instrText>
      </w:r>
      <w:r w:rsidR="006A2B13">
        <w:rPr>
          <w:lang w:val="en-US"/>
        </w:rPr>
        <w:instrText>achieved</w:instrText>
      </w:r>
      <w:r w:rsidR="006A2B13" w:rsidRPr="006A2B13">
        <w:instrText xml:space="preserve"> </w:instrText>
      </w:r>
      <w:r w:rsidR="006A2B13">
        <w:rPr>
          <w:lang w:val="en-US"/>
        </w:rPr>
        <w:instrText>a</w:instrText>
      </w:r>
      <w:r w:rsidR="006A2B13" w:rsidRPr="006A2B13">
        <w:instrText xml:space="preserve"> </w:instrText>
      </w:r>
      <w:r w:rsidR="006A2B13">
        <w:rPr>
          <w:lang w:val="en-US"/>
        </w:rPr>
        <w:instrText>partial</w:instrText>
      </w:r>
      <w:r w:rsidR="006A2B13" w:rsidRPr="006A2B13">
        <w:instrText xml:space="preserve"> </w:instrText>
      </w:r>
      <w:r w:rsidR="006A2B13">
        <w:rPr>
          <w:lang w:val="en-US"/>
        </w:rPr>
        <w:instrText>response</w:instrText>
      </w:r>
      <w:r w:rsidR="006A2B13" w:rsidRPr="006A2B13">
        <w:instrText xml:space="preserve"> (</w:instrText>
      </w:r>
      <w:r w:rsidR="006A2B13">
        <w:rPr>
          <w:lang w:val="en-US"/>
        </w:rPr>
        <w:instrText>PR</w:instrText>
      </w:r>
      <w:r w:rsidR="006A2B13" w:rsidRPr="006A2B13">
        <w:instrText xml:space="preserve">), </w:instrText>
      </w:r>
      <w:r w:rsidR="006A2B13">
        <w:rPr>
          <w:lang w:val="en-US"/>
        </w:rPr>
        <w:instrText>providing</w:instrText>
      </w:r>
      <w:r w:rsidR="006A2B13" w:rsidRPr="006A2B13">
        <w:instrText xml:space="preserve"> </w:instrText>
      </w:r>
      <w:r w:rsidR="006A2B13">
        <w:rPr>
          <w:lang w:val="en-US"/>
        </w:rPr>
        <w:instrText>an</w:instrText>
      </w:r>
      <w:r w:rsidR="006A2B13" w:rsidRPr="006A2B13">
        <w:instrText xml:space="preserve"> </w:instrText>
      </w:r>
      <w:r w:rsidR="006A2B13">
        <w:rPr>
          <w:lang w:val="en-US"/>
        </w:rPr>
        <w:instrText>overall</w:instrText>
      </w:r>
      <w:r w:rsidR="006A2B13" w:rsidRPr="006A2B13">
        <w:instrText xml:space="preserve"> </w:instrText>
      </w:r>
      <w:r w:rsidR="006A2B13">
        <w:rPr>
          <w:lang w:val="en-US"/>
        </w:rPr>
        <w:instrText>response</w:instrText>
      </w:r>
      <w:r w:rsidR="006A2B13" w:rsidRPr="006A2B13">
        <w:instrText xml:space="preserve"> </w:instrText>
      </w:r>
      <w:r w:rsidR="006A2B13">
        <w:rPr>
          <w:lang w:val="en-US"/>
        </w:rPr>
        <w:instrText>rate</w:instrText>
      </w:r>
      <w:r w:rsidR="006A2B13" w:rsidRPr="006A2B13">
        <w:instrText xml:space="preserve"> </w:instrText>
      </w:r>
      <w:r w:rsidR="006A2B13">
        <w:rPr>
          <w:lang w:val="en-US"/>
        </w:rPr>
        <w:instrText>of</w:instrText>
      </w:r>
      <w:r w:rsidR="006A2B13" w:rsidRPr="006A2B13">
        <w:instrText xml:space="preserve"> 72%. </w:instrText>
      </w:r>
      <w:r w:rsidR="006A2B13">
        <w:rPr>
          <w:lang w:val="en-US"/>
        </w:rPr>
        <w:instrText>Complete</w:instrText>
      </w:r>
      <w:r w:rsidR="006A2B13" w:rsidRPr="006A2B13">
        <w:instrText xml:space="preserve"> </w:instrText>
      </w:r>
      <w:r w:rsidR="006A2B13">
        <w:rPr>
          <w:lang w:val="en-US"/>
        </w:rPr>
        <w:instrText>responses</w:instrText>
      </w:r>
      <w:r w:rsidR="006A2B13" w:rsidRPr="006A2B13">
        <w:instrText xml:space="preserve"> </w:instrText>
      </w:r>
      <w:r w:rsidR="006A2B13">
        <w:rPr>
          <w:lang w:val="en-US"/>
        </w:rPr>
        <w:instrText>were</w:instrText>
      </w:r>
      <w:r w:rsidR="006A2B13" w:rsidRPr="006A2B13">
        <w:instrText xml:space="preserve"> </w:instrText>
      </w:r>
      <w:r w:rsidR="006A2B13">
        <w:rPr>
          <w:lang w:val="en-US"/>
        </w:rPr>
        <w:instrText>recorded</w:instrText>
      </w:r>
      <w:r w:rsidR="006A2B13" w:rsidRPr="006A2B13">
        <w:instrText xml:space="preserve"> </w:instrText>
      </w:r>
      <w:r w:rsidR="006A2B13">
        <w:rPr>
          <w:lang w:val="en-US"/>
        </w:rPr>
        <w:instrText>on</w:instrText>
      </w:r>
      <w:r w:rsidR="006A2B13" w:rsidRPr="006A2B13">
        <w:instrText xml:space="preserve"> 21 </w:instrText>
      </w:r>
      <w:r w:rsidR="006A2B13">
        <w:rPr>
          <w:lang w:val="en-US"/>
        </w:rPr>
        <w:instrText>of</w:instrText>
      </w:r>
      <w:r w:rsidR="006A2B13" w:rsidRPr="006A2B13">
        <w:instrText xml:space="preserve"> 61 (34%) </w:instrText>
      </w:r>
      <w:r w:rsidR="006A2B13">
        <w:rPr>
          <w:lang w:val="en-US"/>
        </w:rPr>
        <w:instrText>patients</w:instrText>
      </w:r>
      <w:r w:rsidR="006A2B13" w:rsidRPr="006A2B13">
        <w:instrText xml:space="preserve"> </w:instrText>
      </w:r>
      <w:r w:rsidR="006A2B13">
        <w:rPr>
          <w:lang w:val="en-US"/>
        </w:rPr>
        <w:instrText>with</w:instrText>
      </w:r>
      <w:r w:rsidR="006A2B13" w:rsidRPr="006A2B13">
        <w:instrText xml:space="preserve"> </w:instrText>
      </w:r>
      <w:r w:rsidR="006A2B13">
        <w:rPr>
          <w:lang w:val="en-US"/>
        </w:rPr>
        <w:instrText>recurrent</w:instrText>
      </w:r>
      <w:r w:rsidR="006A2B13" w:rsidRPr="006A2B13">
        <w:instrText xml:space="preserve"> </w:instrText>
      </w:r>
      <w:r w:rsidR="006A2B13">
        <w:rPr>
          <w:lang w:val="en-US"/>
        </w:rPr>
        <w:instrText>disease</w:instrText>
      </w:r>
      <w:r w:rsidR="006A2B13" w:rsidRPr="006A2B13">
        <w:instrText xml:space="preserve"> </w:instrText>
      </w:r>
      <w:r w:rsidR="006A2B13">
        <w:rPr>
          <w:lang w:val="en-US"/>
        </w:rPr>
        <w:instrText>and</w:instrText>
      </w:r>
      <w:r w:rsidR="006A2B13" w:rsidRPr="006A2B13">
        <w:instrText xml:space="preserve"> 9 </w:instrText>
      </w:r>
      <w:r w:rsidR="006A2B13">
        <w:rPr>
          <w:lang w:val="en-US"/>
        </w:rPr>
        <w:instrText>of</w:instrText>
      </w:r>
      <w:r w:rsidR="006A2B13" w:rsidRPr="006A2B13">
        <w:instrText xml:space="preserve"> </w:instrText>
      </w:r>
      <w:r w:rsidR="006A2B13">
        <w:rPr>
          <w:lang w:val="en-US"/>
        </w:rPr>
        <w:instrText>the</w:instrText>
      </w:r>
      <w:r w:rsidR="006A2B13" w:rsidRPr="006A2B13">
        <w:instrText xml:space="preserve"> 14 </w:instrText>
      </w:r>
      <w:r w:rsidR="006A2B13">
        <w:rPr>
          <w:lang w:val="en-US"/>
        </w:rPr>
        <w:instrText>patients</w:instrText>
      </w:r>
      <w:r w:rsidR="006A2B13" w:rsidRPr="006A2B13">
        <w:instrText xml:space="preserve"> </w:instrText>
      </w:r>
      <w:r w:rsidR="006A2B13">
        <w:rPr>
          <w:lang w:val="en-US"/>
        </w:rPr>
        <w:instrText>who</w:instrText>
      </w:r>
      <w:r w:rsidR="006A2B13" w:rsidRPr="006A2B13">
        <w:instrText xml:space="preserve"> </w:instrText>
      </w:r>
      <w:r w:rsidR="006A2B13">
        <w:rPr>
          <w:lang w:val="en-US"/>
        </w:rPr>
        <w:instrText>received</w:instrText>
      </w:r>
      <w:r w:rsidR="006A2B13" w:rsidRPr="006A2B13">
        <w:instrText xml:space="preserve"> </w:instrText>
      </w:r>
      <w:r w:rsidR="006A2B13">
        <w:rPr>
          <w:lang w:val="en-US"/>
        </w:rPr>
        <w:instrText>CEPP</w:instrText>
      </w:r>
      <w:r w:rsidR="006A2B13" w:rsidRPr="006A2B13">
        <w:instrText>(</w:instrText>
      </w:r>
      <w:r w:rsidR="006A2B13">
        <w:rPr>
          <w:lang w:val="en-US"/>
        </w:rPr>
        <w:instrText>B</w:instrText>
      </w:r>
      <w:r w:rsidR="006A2B13" w:rsidRPr="006A2B13">
        <w:instrText xml:space="preserve">) </w:instrText>
      </w:r>
      <w:r w:rsidR="006A2B13">
        <w:rPr>
          <w:lang w:val="en-US"/>
        </w:rPr>
        <w:instrText>as</w:instrText>
      </w:r>
      <w:r w:rsidR="006A2B13" w:rsidRPr="006A2B13">
        <w:instrText xml:space="preserve"> </w:instrText>
      </w:r>
      <w:r w:rsidR="006A2B13">
        <w:rPr>
          <w:lang w:val="en-US"/>
        </w:rPr>
        <w:instrText>first</w:instrText>
      </w:r>
      <w:r w:rsidR="006A2B13" w:rsidRPr="006A2B13">
        <w:instrText xml:space="preserve"> </w:instrText>
      </w:r>
      <w:r w:rsidR="006A2B13">
        <w:rPr>
          <w:lang w:val="en-US"/>
        </w:rPr>
        <w:instrText>line</w:instrText>
      </w:r>
      <w:r w:rsidR="006A2B13" w:rsidRPr="006A2B13">
        <w:instrText xml:space="preserve"> </w:instrText>
      </w:r>
      <w:r w:rsidR="006A2B13">
        <w:rPr>
          <w:lang w:val="en-US"/>
        </w:rPr>
        <w:instrText>therapy</w:instrText>
      </w:r>
      <w:r w:rsidR="006A2B13" w:rsidRPr="006A2B13">
        <w:instrText xml:space="preserve"> (64%). </w:instrText>
      </w:r>
      <w:r w:rsidR="006A2B13">
        <w:rPr>
          <w:lang w:val="en-US"/>
        </w:rPr>
        <w:instrText>Myelosuppression</w:instrText>
      </w:r>
      <w:r w:rsidR="006A2B13" w:rsidRPr="006A2B13">
        <w:instrText xml:space="preserve"> </w:instrText>
      </w:r>
      <w:r w:rsidR="006A2B13">
        <w:rPr>
          <w:lang w:val="en-US"/>
        </w:rPr>
        <w:instrText>was</w:instrText>
      </w:r>
      <w:r w:rsidR="006A2B13" w:rsidRPr="006A2B13">
        <w:instrText xml:space="preserve"> </w:instrText>
      </w:r>
      <w:r w:rsidR="006A2B13">
        <w:rPr>
          <w:lang w:val="en-US"/>
        </w:rPr>
        <w:instrText>the</w:instrText>
      </w:r>
      <w:r w:rsidR="006A2B13" w:rsidRPr="006A2B13">
        <w:instrText xml:space="preserve"> </w:instrText>
      </w:r>
      <w:r w:rsidR="006A2B13">
        <w:rPr>
          <w:lang w:val="en-US"/>
        </w:rPr>
        <w:instrText>major</w:instrText>
      </w:r>
      <w:r w:rsidR="006A2B13" w:rsidRPr="006A2B13">
        <w:instrText xml:space="preserve"> </w:instrText>
      </w:r>
      <w:r w:rsidR="006A2B13">
        <w:rPr>
          <w:lang w:val="en-US"/>
        </w:rPr>
        <w:instrText>side</w:instrText>
      </w:r>
      <w:r w:rsidR="006A2B13" w:rsidRPr="006A2B13">
        <w:instrText xml:space="preserve"> </w:instrText>
      </w:r>
      <w:r w:rsidR="006A2B13">
        <w:rPr>
          <w:lang w:val="en-US"/>
        </w:rPr>
        <w:instrText>effect</w:instrText>
      </w:r>
      <w:r w:rsidR="006A2B13" w:rsidRPr="006A2B13">
        <w:instrText xml:space="preserve"> </w:instrText>
      </w:r>
      <w:r w:rsidR="006A2B13">
        <w:rPr>
          <w:lang w:val="en-US"/>
        </w:rPr>
        <w:instrText>of</w:instrText>
      </w:r>
      <w:r w:rsidR="006A2B13" w:rsidRPr="006A2B13">
        <w:instrText xml:space="preserve"> </w:instrText>
      </w:r>
      <w:r w:rsidR="006A2B13">
        <w:rPr>
          <w:lang w:val="en-US"/>
        </w:rPr>
        <w:instrText>treatment</w:instrText>
      </w:r>
      <w:r w:rsidR="006A2B13" w:rsidRPr="006A2B13">
        <w:instrText xml:space="preserve">, </w:instrText>
      </w:r>
      <w:r w:rsidR="006A2B13">
        <w:rPr>
          <w:lang w:val="en-US"/>
        </w:rPr>
        <w:instrText>resulting</w:instrText>
      </w:r>
      <w:r w:rsidR="006A2B13" w:rsidRPr="006A2B13">
        <w:instrText xml:space="preserve"> </w:instrText>
      </w:r>
      <w:r w:rsidR="006A2B13">
        <w:rPr>
          <w:lang w:val="en-US"/>
        </w:rPr>
        <w:instrText>in</w:instrText>
      </w:r>
      <w:r w:rsidR="006A2B13" w:rsidRPr="006A2B13">
        <w:instrText xml:space="preserve"> </w:instrText>
      </w:r>
      <w:r w:rsidR="006A2B13">
        <w:rPr>
          <w:lang w:val="en-US"/>
        </w:rPr>
        <w:instrText>eight</w:instrText>
      </w:r>
      <w:r w:rsidR="006A2B13" w:rsidRPr="006A2B13">
        <w:instrText xml:space="preserve"> </w:instrText>
      </w:r>
      <w:r w:rsidR="006A2B13">
        <w:rPr>
          <w:lang w:val="en-US"/>
        </w:rPr>
        <w:instrText>neutropenic</w:instrText>
      </w:r>
      <w:r w:rsidR="006A2B13" w:rsidRPr="006A2B13">
        <w:instrText>-</w:instrText>
      </w:r>
      <w:r w:rsidR="006A2B13">
        <w:rPr>
          <w:lang w:val="en-US"/>
        </w:rPr>
        <w:instrText>febrile</w:instrText>
      </w:r>
      <w:r w:rsidR="006A2B13" w:rsidRPr="006A2B13">
        <w:instrText xml:space="preserve"> </w:instrText>
      </w:r>
      <w:r w:rsidR="006A2B13">
        <w:rPr>
          <w:lang w:val="en-US"/>
        </w:rPr>
        <w:instrText>episodes</w:instrText>
      </w:r>
      <w:r w:rsidR="006A2B13" w:rsidRPr="006A2B13">
        <w:instrText xml:space="preserve"> </w:instrText>
      </w:r>
      <w:r w:rsidR="006A2B13">
        <w:rPr>
          <w:lang w:val="en-US"/>
        </w:rPr>
        <w:instrText>from</w:instrText>
      </w:r>
      <w:r w:rsidR="006A2B13" w:rsidRPr="006A2B13">
        <w:instrText xml:space="preserve"> </w:instrText>
      </w:r>
      <w:r w:rsidR="006A2B13">
        <w:rPr>
          <w:lang w:val="en-US"/>
        </w:rPr>
        <w:instrText>a</w:instrText>
      </w:r>
      <w:r w:rsidR="006A2B13" w:rsidRPr="006A2B13">
        <w:instrText xml:space="preserve"> </w:instrText>
      </w:r>
      <w:r w:rsidR="006A2B13">
        <w:rPr>
          <w:lang w:val="en-US"/>
        </w:rPr>
        <w:instrText>total</w:instrText>
      </w:r>
      <w:r w:rsidR="006A2B13" w:rsidRPr="006A2B13">
        <w:instrText xml:space="preserve"> </w:instrText>
      </w:r>
      <w:r w:rsidR="006A2B13">
        <w:rPr>
          <w:lang w:val="en-US"/>
        </w:rPr>
        <w:instrText>of</w:instrText>
      </w:r>
      <w:r w:rsidR="006A2B13" w:rsidRPr="006A2B13">
        <w:instrText xml:space="preserve"> 253 </w:instrText>
      </w:r>
      <w:r w:rsidR="006A2B13">
        <w:rPr>
          <w:lang w:val="en-US"/>
        </w:rPr>
        <w:instrText>courses</w:instrText>
      </w:r>
      <w:r w:rsidR="006A2B13" w:rsidRPr="006A2B13">
        <w:instrText xml:space="preserve">. </w:instrText>
      </w:r>
      <w:r w:rsidR="006A2B13">
        <w:rPr>
          <w:lang w:val="en-US"/>
        </w:rPr>
        <w:instrText>A</w:instrText>
      </w:r>
      <w:r w:rsidR="006A2B13" w:rsidRPr="006A2B13">
        <w:instrText xml:space="preserve"> </w:instrText>
      </w:r>
      <w:r w:rsidR="006A2B13">
        <w:rPr>
          <w:lang w:val="en-US"/>
        </w:rPr>
        <w:instrText>single</w:instrText>
      </w:r>
      <w:r w:rsidR="006A2B13" w:rsidRPr="006A2B13">
        <w:instrText xml:space="preserve"> </w:instrText>
      </w:r>
      <w:r w:rsidR="006A2B13">
        <w:rPr>
          <w:lang w:val="en-US"/>
        </w:rPr>
        <w:instrText>fatal</w:instrText>
      </w:r>
      <w:r w:rsidR="006A2B13" w:rsidRPr="006A2B13">
        <w:instrText xml:space="preserve"> </w:instrText>
      </w:r>
      <w:r w:rsidR="006A2B13">
        <w:rPr>
          <w:lang w:val="en-US"/>
        </w:rPr>
        <w:instrText>toxic</w:instrText>
      </w:r>
      <w:r w:rsidR="006A2B13" w:rsidRPr="006A2B13">
        <w:instrText xml:space="preserve"> </w:instrText>
      </w:r>
      <w:r w:rsidR="006A2B13">
        <w:rPr>
          <w:lang w:val="en-US"/>
        </w:rPr>
        <w:instrText>event</w:instrText>
      </w:r>
      <w:r w:rsidR="006A2B13" w:rsidRPr="006A2B13">
        <w:instrText xml:space="preserve"> </w:instrText>
      </w:r>
      <w:r w:rsidR="006A2B13">
        <w:rPr>
          <w:lang w:val="en-US"/>
        </w:rPr>
        <w:instrText>occurred</w:instrText>
      </w:r>
      <w:r w:rsidR="006A2B13" w:rsidRPr="006A2B13">
        <w:instrText xml:space="preserve"> </w:instrText>
      </w:r>
      <w:r w:rsidR="006A2B13">
        <w:rPr>
          <w:lang w:val="en-US"/>
        </w:rPr>
        <w:instrText>on</w:instrText>
      </w:r>
      <w:r w:rsidR="006A2B13" w:rsidRPr="006A2B13">
        <w:instrText xml:space="preserve"> </w:instrText>
      </w:r>
      <w:r w:rsidR="006A2B13">
        <w:rPr>
          <w:lang w:val="en-US"/>
        </w:rPr>
        <w:instrText>a</w:instrText>
      </w:r>
      <w:r w:rsidR="006A2B13" w:rsidRPr="006A2B13">
        <w:instrText xml:space="preserve"> </w:instrText>
      </w:r>
      <w:r w:rsidR="006A2B13">
        <w:rPr>
          <w:lang w:val="en-US"/>
        </w:rPr>
        <w:instrText>patient</w:instrText>
      </w:r>
      <w:r w:rsidR="006A2B13" w:rsidRPr="006A2B13">
        <w:instrText xml:space="preserve"> </w:instrText>
      </w:r>
      <w:r w:rsidR="006A2B13">
        <w:rPr>
          <w:lang w:val="en-US"/>
        </w:rPr>
        <w:instrText>who</w:instrText>
      </w:r>
      <w:r w:rsidR="006A2B13" w:rsidRPr="006A2B13">
        <w:instrText xml:space="preserve"> </w:instrText>
      </w:r>
      <w:r w:rsidR="006A2B13">
        <w:rPr>
          <w:lang w:val="en-US"/>
        </w:rPr>
        <w:instrText>developed</w:instrText>
      </w:r>
      <w:r w:rsidR="006A2B13" w:rsidRPr="006A2B13">
        <w:instrText xml:space="preserve"> </w:instrText>
      </w:r>
      <w:r w:rsidR="006A2B13">
        <w:rPr>
          <w:lang w:val="en-US"/>
        </w:rPr>
        <w:instrText>adult</w:instrText>
      </w:r>
      <w:r w:rsidR="006A2B13" w:rsidRPr="006A2B13">
        <w:instrText xml:space="preserve"> </w:instrText>
      </w:r>
      <w:r w:rsidR="006A2B13">
        <w:rPr>
          <w:lang w:val="en-US"/>
        </w:rPr>
        <w:instrText>respiratory</w:instrText>
      </w:r>
      <w:r w:rsidR="006A2B13" w:rsidRPr="006A2B13">
        <w:instrText xml:space="preserve"> </w:instrText>
      </w:r>
      <w:r w:rsidR="006A2B13">
        <w:rPr>
          <w:lang w:val="en-US"/>
        </w:rPr>
        <w:instrText>distress</w:instrText>
      </w:r>
      <w:r w:rsidR="006A2B13" w:rsidRPr="006A2B13">
        <w:instrText xml:space="preserve"> </w:instrText>
      </w:r>
      <w:r w:rsidR="006A2B13">
        <w:rPr>
          <w:lang w:val="en-US"/>
        </w:rPr>
        <w:instrText>syndrome</w:instrText>
      </w:r>
      <w:r w:rsidR="006A2B13" w:rsidRPr="006A2B13">
        <w:instrText xml:space="preserve">. </w:instrText>
      </w:r>
      <w:r w:rsidR="006A2B13">
        <w:rPr>
          <w:lang w:val="en-US"/>
        </w:rPr>
        <w:instrText>Overall</w:instrText>
      </w:r>
      <w:r w:rsidR="006A2B13" w:rsidRPr="006A2B13">
        <w:instrText xml:space="preserve">, </w:instrText>
      </w:r>
      <w:r w:rsidR="006A2B13">
        <w:rPr>
          <w:lang w:val="en-US"/>
        </w:rPr>
        <w:instrText>CEPP</w:instrText>
      </w:r>
      <w:r w:rsidR="006A2B13" w:rsidRPr="006A2B13">
        <w:instrText>(</w:instrText>
      </w:r>
      <w:r w:rsidR="006A2B13">
        <w:rPr>
          <w:lang w:val="en-US"/>
        </w:rPr>
        <w:instrText>B</w:instrText>
      </w:r>
      <w:r w:rsidR="006A2B13" w:rsidRPr="006A2B13">
        <w:instrText xml:space="preserve">) </w:instrText>
      </w:r>
      <w:r w:rsidR="006A2B13">
        <w:rPr>
          <w:lang w:val="en-US"/>
        </w:rPr>
        <w:instrText>was</w:instrText>
      </w:r>
      <w:r w:rsidR="006A2B13" w:rsidRPr="006A2B13">
        <w:instrText xml:space="preserve"> </w:instrText>
      </w:r>
      <w:r w:rsidR="006A2B13">
        <w:rPr>
          <w:lang w:val="en-US"/>
        </w:rPr>
        <w:instrText>well</w:instrText>
      </w:r>
      <w:r w:rsidR="006A2B13" w:rsidRPr="006A2B13">
        <w:instrText>-</w:instrText>
      </w:r>
      <w:r w:rsidR="006A2B13">
        <w:rPr>
          <w:lang w:val="en-US"/>
        </w:rPr>
        <w:instrText>tolerated</w:instrText>
      </w:r>
      <w:r w:rsidR="006A2B13" w:rsidRPr="006A2B13">
        <w:instrText xml:space="preserve"> </w:instrText>
      </w:r>
      <w:r w:rsidR="006A2B13">
        <w:rPr>
          <w:lang w:val="en-US"/>
        </w:rPr>
        <w:instrText>and</w:instrText>
      </w:r>
      <w:r w:rsidR="006A2B13" w:rsidRPr="006A2B13">
        <w:instrText xml:space="preserve"> </w:instrText>
      </w:r>
      <w:r w:rsidR="006A2B13">
        <w:rPr>
          <w:lang w:val="en-US"/>
        </w:rPr>
        <w:instrText>proved</w:instrText>
      </w:r>
      <w:r w:rsidR="006A2B13" w:rsidRPr="006A2B13">
        <w:instrText xml:space="preserve"> </w:instrText>
      </w:r>
      <w:r w:rsidR="006A2B13">
        <w:rPr>
          <w:lang w:val="en-US"/>
        </w:rPr>
        <w:instrText>to</w:instrText>
      </w:r>
      <w:r w:rsidR="006A2B13" w:rsidRPr="006A2B13">
        <w:instrText xml:space="preserve"> </w:instrText>
      </w:r>
      <w:r w:rsidR="006A2B13">
        <w:rPr>
          <w:lang w:val="en-US"/>
        </w:rPr>
        <w:instrText>be</w:instrText>
      </w:r>
      <w:r w:rsidR="006A2B13" w:rsidRPr="006A2B13">
        <w:instrText xml:space="preserve"> </w:instrText>
      </w:r>
      <w:r w:rsidR="006A2B13">
        <w:rPr>
          <w:lang w:val="en-US"/>
        </w:rPr>
        <w:instrText>effective</w:instrText>
      </w:r>
      <w:r w:rsidR="006A2B13" w:rsidRPr="006A2B13">
        <w:instrText xml:space="preserve"> </w:instrText>
      </w:r>
      <w:r w:rsidR="006A2B13">
        <w:rPr>
          <w:lang w:val="en-US"/>
        </w:rPr>
        <w:instrText>palliative</w:instrText>
      </w:r>
      <w:r w:rsidR="006A2B13" w:rsidRPr="006A2B13">
        <w:instrText xml:space="preserve"> </w:instrText>
      </w:r>
      <w:r w:rsidR="006A2B13">
        <w:rPr>
          <w:lang w:val="en-US"/>
        </w:rPr>
        <w:instrText>therapy</w:instrText>
      </w:r>
      <w:r w:rsidR="006A2B13" w:rsidRPr="006A2B13">
        <w:instrText xml:space="preserve"> </w:instrText>
      </w:r>
      <w:r w:rsidR="006A2B13">
        <w:rPr>
          <w:lang w:val="en-US"/>
        </w:rPr>
        <w:instrText>for</w:instrText>
      </w:r>
      <w:r w:rsidR="006A2B13" w:rsidRPr="006A2B13">
        <w:instrText xml:space="preserve"> </w:instrText>
      </w:r>
      <w:r w:rsidR="006A2B13">
        <w:rPr>
          <w:lang w:val="en-US"/>
        </w:rPr>
        <w:instrText>patients</w:instrText>
      </w:r>
      <w:r w:rsidR="006A2B13" w:rsidRPr="006A2B13">
        <w:instrText xml:space="preserve"> </w:instrText>
      </w:r>
      <w:r w:rsidR="006A2B13">
        <w:rPr>
          <w:lang w:val="en-US"/>
        </w:rPr>
        <w:instrText>with</w:instrText>
      </w:r>
      <w:r w:rsidR="006A2B13" w:rsidRPr="006A2B13">
        <w:instrText xml:space="preserve"> </w:instrText>
      </w:r>
      <w:r w:rsidR="006A2B13">
        <w:rPr>
          <w:lang w:val="en-US"/>
        </w:rPr>
        <w:instrText>non</w:instrText>
      </w:r>
      <w:r w:rsidR="006A2B13" w:rsidRPr="006A2B13">
        <w:instrText>-</w:instrText>
      </w:r>
      <w:r w:rsidR="006A2B13">
        <w:rPr>
          <w:lang w:val="en-US"/>
        </w:rPr>
        <w:instrText>Hodgkin</w:instrText>
      </w:r>
      <w:r w:rsidR="006A2B13" w:rsidRPr="006A2B13">
        <w:instrText>'</w:instrText>
      </w:r>
      <w:r w:rsidR="006A2B13">
        <w:rPr>
          <w:lang w:val="en-US"/>
        </w:rPr>
        <w:instrText>s</w:instrText>
      </w:r>
      <w:r w:rsidR="006A2B13" w:rsidRPr="006A2B13">
        <w:instrText xml:space="preserve"> </w:instrText>
      </w:r>
      <w:r w:rsidR="006A2B13">
        <w:rPr>
          <w:lang w:val="en-US"/>
        </w:rPr>
        <w:instrText>lymphoma</w:instrText>
      </w:r>
      <w:r w:rsidR="006A2B13" w:rsidRPr="006A2B13">
        <w:instrText xml:space="preserve"> </w:instrText>
      </w:r>
      <w:r w:rsidR="006A2B13">
        <w:rPr>
          <w:lang w:val="en-US"/>
        </w:rPr>
        <w:instrText>after</w:instrText>
      </w:r>
      <w:r w:rsidR="006A2B13" w:rsidRPr="006A2B13">
        <w:instrText xml:space="preserve"> </w:instrText>
      </w:r>
      <w:r w:rsidR="006A2B13">
        <w:rPr>
          <w:lang w:val="en-US"/>
        </w:rPr>
        <w:instrText>relapse</w:instrText>
      </w:r>
      <w:r w:rsidR="006A2B13" w:rsidRPr="006A2B13">
        <w:instrText xml:space="preserve">. </w:instrText>
      </w:r>
      <w:r w:rsidR="006A2B13">
        <w:rPr>
          <w:lang w:val="en-US"/>
        </w:rPr>
        <w:instrText>As</w:instrText>
      </w:r>
      <w:r w:rsidR="006A2B13" w:rsidRPr="006A2B13">
        <w:instrText xml:space="preserve"> </w:instrText>
      </w:r>
      <w:r w:rsidR="006A2B13">
        <w:rPr>
          <w:lang w:val="en-US"/>
        </w:rPr>
        <w:instrText>such</w:instrText>
      </w:r>
      <w:r w:rsidR="006A2B13" w:rsidRPr="006A2B13">
        <w:instrText xml:space="preserve">, </w:instrText>
      </w:r>
      <w:r w:rsidR="006A2B13">
        <w:rPr>
          <w:lang w:val="en-US"/>
        </w:rPr>
        <w:instrText>CEPP</w:instrText>
      </w:r>
      <w:r w:rsidR="006A2B13" w:rsidRPr="006A2B13">
        <w:instrText>(</w:instrText>
      </w:r>
      <w:r w:rsidR="006A2B13">
        <w:rPr>
          <w:lang w:val="en-US"/>
        </w:rPr>
        <w:instrText>B</w:instrText>
      </w:r>
      <w:r w:rsidR="006A2B13" w:rsidRPr="006A2B13">
        <w:instrText xml:space="preserve">) </w:instrText>
      </w:r>
      <w:r w:rsidR="006A2B13">
        <w:rPr>
          <w:lang w:val="en-US"/>
        </w:rPr>
        <w:instrText>may</w:instrText>
      </w:r>
      <w:r w:rsidR="006A2B13" w:rsidRPr="006A2B13">
        <w:instrText xml:space="preserve"> </w:instrText>
      </w:r>
      <w:r w:rsidR="006A2B13">
        <w:rPr>
          <w:lang w:val="en-US"/>
        </w:rPr>
        <w:instrText>be</w:instrText>
      </w:r>
      <w:r w:rsidR="006A2B13" w:rsidRPr="006A2B13">
        <w:instrText xml:space="preserve"> </w:instrText>
      </w:r>
      <w:r w:rsidR="006A2B13">
        <w:rPr>
          <w:lang w:val="en-US"/>
        </w:rPr>
        <w:instrText>considered for cytoreduction before ablative therapy and bone marrow transplantation. CEPP(B) may also be considered for initial therapy in selected patients who cannot tolerate doxorubicin-containing regimens.","author":[{"dropping-particle":"","family":"Chao","given":"N. J.","non-dropping-particle":"","parse-names":false,"suffix":""},{"dropping-particle":"","family":"Rosenberg","given":"S. A.","non-dropping-particle":"","parse-names":false,"suffix":""},{"dropping-particle":"","family":"Horning","given":"S. J.","non-dropping-particle":"","parse-names":false,"suffix":""}],"container-title":"Blood","id":"ITEM-1","issue":"7","issued":{"date-parts":[["1990"]]},"page":"1293-1298","title":"CEPP(B): An effective and well-tolerated regimen in poor-risk, aggressive non-Hodgkin's lymphoma","type":"article-journal","volume":"76"},"uris":["http://www.mendeley.com/documents/?uuid=8a216bfd-7651-3d0e-b380-02003a5766a8"]}],"mendeley":{"formattedCitation":"[123]","plainTextFormattedCitation":"[123]","previouslyFormattedCitation":"[123]"},"properties":{"noteIndex":0},"schema":"https://github.com/citation-style-language/schema/raw/master/csl-citation.json"}</w:instrText>
      </w:r>
      <w:r w:rsidRPr="000322E4">
        <w:rPr>
          <w:lang w:val="en-US"/>
        </w:rPr>
        <w:fldChar w:fldCharType="separate"/>
      </w:r>
      <w:r w:rsidR="00A6794A" w:rsidRPr="00A6794A">
        <w:rPr>
          <w:noProof/>
        </w:rPr>
        <w:t>[123]</w:t>
      </w:r>
      <w:r w:rsidRPr="000322E4">
        <w:rPr>
          <w:lang w:val="en-US"/>
        </w:rPr>
        <w:fldChar w:fldCharType="end"/>
      </w:r>
    </w:p>
    <w:p w14:paraId="6C307400" w14:textId="77777777" w:rsidR="00666D68" w:rsidRPr="000322E4" w:rsidRDefault="00666D68" w:rsidP="008E3584">
      <w:pPr>
        <w:pStyle w:val="afe"/>
        <w:numPr>
          <w:ilvl w:val="0"/>
          <w:numId w:val="45"/>
        </w:numPr>
        <w:contextualSpacing w:val="0"/>
      </w:pPr>
      <w:r w:rsidRPr="000322E4">
        <w:t>Циклофосфамид** 600 мг/м</w:t>
      </w:r>
      <w:r w:rsidRPr="000322E4">
        <w:rPr>
          <w:vertAlign w:val="superscript"/>
        </w:rPr>
        <w:t>2</w:t>
      </w:r>
      <w:r w:rsidRPr="000322E4">
        <w:t xml:space="preserve"> в/в кап., дни 1, 8</w:t>
      </w:r>
    </w:p>
    <w:p w14:paraId="19DF25EE" w14:textId="77777777" w:rsidR="00666D68" w:rsidRPr="000322E4" w:rsidRDefault="00666D68" w:rsidP="008E3584">
      <w:pPr>
        <w:pStyle w:val="afe"/>
        <w:numPr>
          <w:ilvl w:val="0"/>
          <w:numId w:val="45"/>
        </w:numPr>
        <w:contextualSpacing w:val="0"/>
      </w:pPr>
      <w:r w:rsidRPr="000322E4">
        <w:t>Этопозид** 70 мг/м</w:t>
      </w:r>
      <w:r w:rsidRPr="000322E4">
        <w:rPr>
          <w:vertAlign w:val="superscript"/>
        </w:rPr>
        <w:t>2</w:t>
      </w:r>
      <w:r w:rsidRPr="000322E4">
        <w:t xml:space="preserve"> в/в кап., дни 1-3</w:t>
      </w:r>
    </w:p>
    <w:p w14:paraId="20BECDBD" w14:textId="77777777" w:rsidR="00666D68" w:rsidRPr="000322E4" w:rsidRDefault="00666D68" w:rsidP="008E3584">
      <w:pPr>
        <w:pStyle w:val="afe"/>
        <w:numPr>
          <w:ilvl w:val="0"/>
          <w:numId w:val="45"/>
        </w:numPr>
        <w:contextualSpacing w:val="0"/>
      </w:pPr>
      <w:r w:rsidRPr="000322E4">
        <w:t>Прокарбазин** 60 мг/м</w:t>
      </w:r>
      <w:r w:rsidRPr="000322E4">
        <w:rPr>
          <w:vertAlign w:val="superscript"/>
        </w:rPr>
        <w:t>2</w:t>
      </w:r>
      <w:r w:rsidRPr="000322E4">
        <w:t xml:space="preserve"> внутрь, дни 1-10</w:t>
      </w:r>
    </w:p>
    <w:p w14:paraId="52E7A0ED" w14:textId="77777777" w:rsidR="00666D68" w:rsidRPr="000322E4" w:rsidRDefault="00666D68" w:rsidP="008E3584">
      <w:pPr>
        <w:pStyle w:val="afe"/>
        <w:numPr>
          <w:ilvl w:val="0"/>
          <w:numId w:val="45"/>
        </w:numPr>
        <w:contextualSpacing w:val="0"/>
      </w:pPr>
      <w:r w:rsidRPr="000322E4">
        <w:t>Преднизолон** 60 мг/м</w:t>
      </w:r>
      <w:r w:rsidRPr="000322E4">
        <w:rPr>
          <w:vertAlign w:val="superscript"/>
        </w:rPr>
        <w:t>2</w:t>
      </w:r>
      <w:r w:rsidRPr="000322E4">
        <w:t xml:space="preserve"> внутрь, дни 1-10</w:t>
      </w:r>
    </w:p>
    <w:p w14:paraId="1B159910" w14:textId="77777777" w:rsidR="00666D68" w:rsidRPr="000322E4" w:rsidRDefault="00666D68" w:rsidP="008E3584">
      <w:pPr>
        <w:spacing w:line="360" w:lineRule="auto"/>
        <w:jc w:val="both"/>
      </w:pPr>
      <w:r w:rsidRPr="000322E4">
        <w:t>Начало курса на 28 день</w:t>
      </w:r>
    </w:p>
    <w:p w14:paraId="269DC30C" w14:textId="77777777" w:rsidR="00666D68" w:rsidRPr="000322E4" w:rsidRDefault="00666D68" w:rsidP="008E3584">
      <w:pPr>
        <w:spacing w:line="360" w:lineRule="auto"/>
        <w:jc w:val="both"/>
      </w:pPr>
    </w:p>
    <w:p w14:paraId="0D505ABC" w14:textId="5C1F6AD2" w:rsidR="00666D68" w:rsidRPr="000322E4" w:rsidRDefault="00D2304E" w:rsidP="008E3584">
      <w:pPr>
        <w:spacing w:line="360" w:lineRule="auto"/>
        <w:jc w:val="both"/>
      </w:pPr>
      <w:r w:rsidRPr="005C347F">
        <w:rPr>
          <w:b/>
          <w:bCs/>
        </w:rPr>
        <w:t>#</w:t>
      </w:r>
      <w:r w:rsidR="00666D68" w:rsidRPr="000322E4">
        <w:rPr>
          <w:b/>
          <w:bCs/>
        </w:rPr>
        <w:t xml:space="preserve">Гемцитабин** + </w:t>
      </w:r>
      <w:r w:rsidRPr="005C347F">
        <w:rPr>
          <w:b/>
          <w:bCs/>
        </w:rPr>
        <w:t>#</w:t>
      </w:r>
      <w:r w:rsidR="00666D68" w:rsidRPr="000322E4">
        <w:rPr>
          <w:b/>
          <w:bCs/>
        </w:rPr>
        <w:t xml:space="preserve">винорелбин** </w:t>
      </w:r>
      <w:r w:rsidR="00666D68" w:rsidRPr="000322E4">
        <w:rPr>
          <w:lang w:val="en-US"/>
        </w:rPr>
        <w:fldChar w:fldCharType="begin" w:fldLock="1"/>
      </w:r>
      <w:r w:rsidR="006A2B13">
        <w:rPr>
          <w:lang w:val="en-US"/>
        </w:rPr>
        <w:instrText>ADDIN</w:instrText>
      </w:r>
      <w:r w:rsidR="006A2B13" w:rsidRPr="006A2B13">
        <w:instrText xml:space="preserve"> </w:instrText>
      </w:r>
      <w:r w:rsidR="006A2B13">
        <w:rPr>
          <w:lang w:val="en-US"/>
        </w:rPr>
        <w:instrText>CSL</w:instrText>
      </w:r>
      <w:r w:rsidR="006A2B13" w:rsidRPr="006A2B13">
        <w:instrText>_</w:instrText>
      </w:r>
      <w:r w:rsidR="006A2B13">
        <w:rPr>
          <w:lang w:val="en-US"/>
        </w:rPr>
        <w:instrText>CITATION</w:instrText>
      </w:r>
      <w:r w:rsidR="006A2B13" w:rsidRPr="006A2B13">
        <w:instrText xml:space="preserve"> {"</w:instrText>
      </w:r>
      <w:r w:rsidR="006A2B13">
        <w:rPr>
          <w:lang w:val="en-US"/>
        </w:rPr>
        <w:instrText>citationItems</w:instrText>
      </w:r>
      <w:r w:rsidR="006A2B13" w:rsidRPr="006A2B13">
        <w:instrText>":[{"</w:instrText>
      </w:r>
      <w:r w:rsidR="006A2B13">
        <w:rPr>
          <w:lang w:val="en-US"/>
        </w:rPr>
        <w:instrText>id</w:instrText>
      </w:r>
      <w:r w:rsidR="006A2B13" w:rsidRPr="006A2B13">
        <w:instrText>":"</w:instrText>
      </w:r>
      <w:r w:rsidR="006A2B13">
        <w:rPr>
          <w:lang w:val="en-US"/>
        </w:rPr>
        <w:instrText>ITEM</w:instrText>
      </w:r>
      <w:r w:rsidR="006A2B13" w:rsidRPr="006A2B13">
        <w:instrText>-1","</w:instrText>
      </w:r>
      <w:r w:rsidR="006A2B13">
        <w:rPr>
          <w:lang w:val="en-US"/>
        </w:rPr>
        <w:instrText>itemData</w:instrText>
      </w:r>
      <w:r w:rsidR="006A2B13" w:rsidRPr="006A2B13">
        <w:instrText>":{"</w:instrText>
      </w:r>
      <w:r w:rsidR="006A2B13">
        <w:rPr>
          <w:lang w:val="en-US"/>
        </w:rPr>
        <w:instrText>DOI</w:instrText>
      </w:r>
      <w:r w:rsidR="006A2B13" w:rsidRPr="006A2B13">
        <w:instrText>":"10.1111/</w:instrText>
      </w:r>
      <w:r w:rsidR="006A2B13">
        <w:rPr>
          <w:lang w:val="en-US"/>
        </w:rPr>
        <w:instrText>j</w:instrText>
      </w:r>
      <w:r w:rsidR="006A2B13" w:rsidRPr="006A2B13">
        <w:instrText>.1600-0609.2005.00482.</w:instrText>
      </w:r>
      <w:r w:rsidR="006A2B13">
        <w:rPr>
          <w:lang w:val="en-US"/>
        </w:rPr>
        <w:instrText>x</w:instrText>
      </w:r>
      <w:r w:rsidR="006A2B13" w:rsidRPr="006A2B13">
        <w:instrText>","</w:instrText>
      </w:r>
      <w:r w:rsidR="006A2B13">
        <w:rPr>
          <w:lang w:val="en-US"/>
        </w:rPr>
        <w:instrText>ISSN</w:instrText>
      </w:r>
      <w:r w:rsidR="006A2B13" w:rsidRPr="006A2B13">
        <w:instrText>":"09024441","</w:instrText>
      </w:r>
      <w:r w:rsidR="006A2B13">
        <w:rPr>
          <w:lang w:val="en-US"/>
        </w:rPr>
        <w:instrText>abstract</w:instrText>
      </w:r>
      <w:r w:rsidR="006A2B13" w:rsidRPr="006A2B13">
        <w:instrText>":"</w:instrText>
      </w:r>
      <w:r w:rsidR="006A2B13">
        <w:rPr>
          <w:lang w:val="en-US"/>
        </w:rPr>
        <w:instrText>To</w:instrText>
      </w:r>
      <w:r w:rsidR="006A2B13" w:rsidRPr="006A2B13">
        <w:instrText xml:space="preserve"> </w:instrText>
      </w:r>
      <w:r w:rsidR="006A2B13">
        <w:rPr>
          <w:lang w:val="en-US"/>
        </w:rPr>
        <w:instrText>investigate</w:instrText>
      </w:r>
      <w:r w:rsidR="006A2B13" w:rsidRPr="006A2B13">
        <w:instrText xml:space="preserve"> </w:instrText>
      </w:r>
      <w:r w:rsidR="006A2B13">
        <w:rPr>
          <w:lang w:val="en-US"/>
        </w:rPr>
        <w:instrText>the</w:instrText>
      </w:r>
      <w:r w:rsidR="006A2B13" w:rsidRPr="006A2B13">
        <w:instrText xml:space="preserve"> </w:instrText>
      </w:r>
      <w:r w:rsidR="006A2B13">
        <w:rPr>
          <w:lang w:val="en-US"/>
        </w:rPr>
        <w:instrText>efficacy</w:instrText>
      </w:r>
      <w:r w:rsidR="006A2B13" w:rsidRPr="006A2B13">
        <w:instrText xml:space="preserve"> </w:instrText>
      </w:r>
      <w:r w:rsidR="006A2B13">
        <w:rPr>
          <w:lang w:val="en-US"/>
        </w:rPr>
        <w:instrText>and</w:instrText>
      </w:r>
      <w:r w:rsidR="006A2B13" w:rsidRPr="006A2B13">
        <w:instrText xml:space="preserve"> </w:instrText>
      </w:r>
      <w:r w:rsidR="006A2B13">
        <w:rPr>
          <w:lang w:val="en-US"/>
        </w:rPr>
        <w:instrText>toxicity</w:instrText>
      </w:r>
      <w:r w:rsidR="006A2B13" w:rsidRPr="006A2B13">
        <w:instrText xml:space="preserve"> </w:instrText>
      </w:r>
      <w:r w:rsidR="006A2B13">
        <w:rPr>
          <w:lang w:val="en-US"/>
        </w:rPr>
        <w:instrText>of</w:instrText>
      </w:r>
      <w:r w:rsidR="006A2B13" w:rsidRPr="006A2B13">
        <w:instrText xml:space="preserve"> </w:instrText>
      </w:r>
      <w:r w:rsidR="006A2B13">
        <w:rPr>
          <w:lang w:val="en-US"/>
        </w:rPr>
        <w:instrText>the</w:instrText>
      </w:r>
      <w:r w:rsidR="006A2B13" w:rsidRPr="006A2B13">
        <w:instrText xml:space="preserve"> </w:instrText>
      </w:r>
      <w:r w:rsidR="006A2B13">
        <w:rPr>
          <w:lang w:val="en-US"/>
        </w:rPr>
        <w:instrText>combination</w:instrText>
      </w:r>
      <w:r w:rsidR="006A2B13" w:rsidRPr="006A2B13">
        <w:instrText xml:space="preserve"> </w:instrText>
      </w:r>
      <w:r w:rsidR="006A2B13">
        <w:rPr>
          <w:lang w:val="en-US"/>
        </w:rPr>
        <w:instrText>of</w:instrText>
      </w:r>
      <w:r w:rsidR="006A2B13" w:rsidRPr="006A2B13">
        <w:instrText xml:space="preserve"> </w:instrText>
      </w:r>
      <w:r w:rsidR="006A2B13">
        <w:rPr>
          <w:lang w:val="en-US"/>
        </w:rPr>
        <w:instrText>gemcitabine</w:instrText>
      </w:r>
      <w:r w:rsidR="006A2B13" w:rsidRPr="006A2B13">
        <w:instrText xml:space="preserve"> </w:instrText>
      </w:r>
      <w:r w:rsidR="006A2B13">
        <w:rPr>
          <w:lang w:val="en-US"/>
        </w:rPr>
        <w:instrText>and</w:instrText>
      </w:r>
      <w:r w:rsidR="006A2B13" w:rsidRPr="006A2B13">
        <w:instrText xml:space="preserve"> </w:instrText>
      </w:r>
      <w:r w:rsidR="006A2B13">
        <w:rPr>
          <w:lang w:val="en-US"/>
        </w:rPr>
        <w:instrText>vinorelbine</w:instrText>
      </w:r>
      <w:r w:rsidR="006A2B13" w:rsidRPr="006A2B13">
        <w:instrText xml:space="preserve"> </w:instrText>
      </w:r>
      <w:r w:rsidR="006A2B13">
        <w:rPr>
          <w:lang w:val="en-US"/>
        </w:rPr>
        <w:instrText>in</w:instrText>
      </w:r>
      <w:r w:rsidR="006A2B13" w:rsidRPr="006A2B13">
        <w:instrText xml:space="preserve"> </w:instrText>
      </w:r>
      <w:r w:rsidR="006A2B13">
        <w:rPr>
          <w:lang w:val="en-US"/>
        </w:rPr>
        <w:instrText>patients</w:instrText>
      </w:r>
      <w:r w:rsidR="006A2B13" w:rsidRPr="006A2B13">
        <w:instrText xml:space="preserve"> </w:instrText>
      </w:r>
      <w:r w:rsidR="006A2B13">
        <w:rPr>
          <w:lang w:val="en-US"/>
        </w:rPr>
        <w:instrText>with</w:instrText>
      </w:r>
      <w:r w:rsidR="006A2B13" w:rsidRPr="006A2B13">
        <w:instrText xml:space="preserve"> </w:instrText>
      </w:r>
      <w:r w:rsidR="006A2B13">
        <w:rPr>
          <w:lang w:val="en-US"/>
        </w:rPr>
        <w:instrText>relapsed</w:instrText>
      </w:r>
      <w:r w:rsidR="006A2B13" w:rsidRPr="006A2B13">
        <w:instrText xml:space="preserve"> </w:instrText>
      </w:r>
      <w:r w:rsidR="006A2B13">
        <w:rPr>
          <w:lang w:val="en-US"/>
        </w:rPr>
        <w:instrText>or</w:instrText>
      </w:r>
      <w:r w:rsidR="006A2B13" w:rsidRPr="006A2B13">
        <w:instrText xml:space="preserve"> </w:instrText>
      </w:r>
      <w:r w:rsidR="006A2B13">
        <w:rPr>
          <w:lang w:val="en-US"/>
        </w:rPr>
        <w:instrText>refractory</w:instrText>
      </w:r>
      <w:r w:rsidR="006A2B13" w:rsidRPr="006A2B13">
        <w:instrText xml:space="preserve"> </w:instrText>
      </w:r>
      <w:r w:rsidR="006A2B13">
        <w:rPr>
          <w:lang w:val="en-US"/>
        </w:rPr>
        <w:instrText>diffuse</w:instrText>
      </w:r>
      <w:r w:rsidR="006A2B13" w:rsidRPr="006A2B13">
        <w:instrText xml:space="preserve"> </w:instrText>
      </w:r>
      <w:r w:rsidR="006A2B13">
        <w:rPr>
          <w:lang w:val="en-US"/>
        </w:rPr>
        <w:instrText>large</w:instrText>
      </w:r>
      <w:r w:rsidR="006A2B13" w:rsidRPr="006A2B13">
        <w:instrText xml:space="preserve"> </w:instrText>
      </w:r>
      <w:r w:rsidR="006A2B13">
        <w:rPr>
          <w:lang w:val="en-US"/>
        </w:rPr>
        <w:instrText>B</w:instrText>
      </w:r>
      <w:r w:rsidR="006A2B13" w:rsidRPr="006A2B13">
        <w:instrText>-</w:instrText>
      </w:r>
      <w:r w:rsidR="006A2B13">
        <w:rPr>
          <w:lang w:val="en-US"/>
        </w:rPr>
        <w:instrText>cell</w:instrText>
      </w:r>
      <w:r w:rsidR="006A2B13" w:rsidRPr="006A2B13">
        <w:instrText xml:space="preserve"> </w:instrText>
      </w:r>
      <w:r w:rsidR="006A2B13">
        <w:rPr>
          <w:lang w:val="en-US"/>
        </w:rPr>
        <w:instrText>lymphoma</w:instrText>
      </w:r>
      <w:r w:rsidR="006A2B13" w:rsidRPr="006A2B13">
        <w:instrText xml:space="preserve"> (</w:instrText>
      </w:r>
      <w:r w:rsidR="006A2B13">
        <w:rPr>
          <w:lang w:val="en-US"/>
        </w:rPr>
        <w:instrText>DLBL</w:instrText>
      </w:r>
      <w:r w:rsidR="006A2B13" w:rsidRPr="006A2B13">
        <w:instrText xml:space="preserve">), 22 </w:instrText>
      </w:r>
      <w:r w:rsidR="006A2B13">
        <w:rPr>
          <w:lang w:val="en-US"/>
        </w:rPr>
        <w:instrText>patients</w:instrText>
      </w:r>
      <w:r w:rsidR="006A2B13" w:rsidRPr="006A2B13">
        <w:instrText xml:space="preserve"> </w:instrText>
      </w:r>
      <w:r w:rsidR="006A2B13">
        <w:rPr>
          <w:lang w:val="en-US"/>
        </w:rPr>
        <w:instrText>with</w:instrText>
      </w:r>
      <w:r w:rsidR="006A2B13" w:rsidRPr="006A2B13">
        <w:instrText xml:space="preserve"> </w:instrText>
      </w:r>
      <w:r w:rsidR="006A2B13">
        <w:rPr>
          <w:lang w:val="en-US"/>
        </w:rPr>
        <w:instrText>relapsed</w:instrText>
      </w:r>
      <w:r w:rsidR="006A2B13" w:rsidRPr="006A2B13">
        <w:instrText xml:space="preserve"> </w:instrText>
      </w:r>
      <w:r w:rsidR="006A2B13">
        <w:rPr>
          <w:lang w:val="en-US"/>
        </w:rPr>
        <w:instrText>or</w:instrText>
      </w:r>
      <w:r w:rsidR="006A2B13" w:rsidRPr="006A2B13">
        <w:instrText xml:space="preserve"> </w:instrText>
      </w:r>
      <w:r w:rsidR="006A2B13">
        <w:rPr>
          <w:lang w:val="en-US"/>
        </w:rPr>
        <w:instrText>refractory</w:instrText>
      </w:r>
      <w:r w:rsidR="006A2B13" w:rsidRPr="006A2B13">
        <w:instrText xml:space="preserve"> </w:instrText>
      </w:r>
      <w:r w:rsidR="006A2B13">
        <w:rPr>
          <w:lang w:val="en-US"/>
        </w:rPr>
        <w:instrText>DLBL</w:instrText>
      </w:r>
      <w:r w:rsidR="006A2B13" w:rsidRPr="006A2B13">
        <w:instrText xml:space="preserve"> </w:instrText>
      </w:r>
      <w:r w:rsidR="006A2B13">
        <w:rPr>
          <w:lang w:val="en-US"/>
        </w:rPr>
        <w:instrText>were</w:instrText>
      </w:r>
      <w:r w:rsidR="006A2B13" w:rsidRPr="006A2B13">
        <w:instrText xml:space="preserve"> </w:instrText>
      </w:r>
      <w:r w:rsidR="006A2B13">
        <w:rPr>
          <w:lang w:val="en-US"/>
        </w:rPr>
        <w:instrText>treated</w:instrText>
      </w:r>
      <w:r w:rsidR="006A2B13" w:rsidRPr="006A2B13">
        <w:instrText xml:space="preserve"> </w:instrText>
      </w:r>
      <w:r w:rsidR="006A2B13">
        <w:rPr>
          <w:lang w:val="en-US"/>
        </w:rPr>
        <w:instrText>with</w:instrText>
      </w:r>
      <w:r w:rsidR="006A2B13" w:rsidRPr="006A2B13">
        <w:instrText xml:space="preserve"> </w:instrText>
      </w:r>
      <w:r w:rsidR="006A2B13">
        <w:rPr>
          <w:lang w:val="en-US"/>
        </w:rPr>
        <w:instrText>gemcitabine</w:instrText>
      </w:r>
      <w:r w:rsidR="006A2B13" w:rsidRPr="006A2B13">
        <w:instrText xml:space="preserve"> 1000 </w:instrText>
      </w:r>
      <w:r w:rsidR="006A2B13">
        <w:rPr>
          <w:lang w:val="en-US"/>
        </w:rPr>
        <w:instrText>mg</w:instrText>
      </w:r>
      <w:r w:rsidR="006A2B13" w:rsidRPr="006A2B13">
        <w:instrText>/</w:instrText>
      </w:r>
      <w:r w:rsidR="006A2B13">
        <w:rPr>
          <w:lang w:val="en-US"/>
        </w:rPr>
        <w:instrText>m</w:instrText>
      </w:r>
      <w:r w:rsidR="006A2B13" w:rsidRPr="006A2B13">
        <w:instrText xml:space="preserve">2 </w:instrText>
      </w:r>
      <w:r w:rsidR="006A2B13">
        <w:rPr>
          <w:lang w:val="en-US"/>
        </w:rPr>
        <w:instrText>and</w:instrText>
      </w:r>
      <w:r w:rsidR="006A2B13" w:rsidRPr="006A2B13">
        <w:instrText xml:space="preserve"> </w:instrText>
      </w:r>
      <w:r w:rsidR="006A2B13">
        <w:rPr>
          <w:lang w:val="en-US"/>
        </w:rPr>
        <w:instrText>vinorelbine</w:instrText>
      </w:r>
      <w:r w:rsidR="006A2B13" w:rsidRPr="006A2B13">
        <w:instrText xml:space="preserve"> 30 </w:instrText>
      </w:r>
      <w:r w:rsidR="006A2B13">
        <w:rPr>
          <w:lang w:val="en-US"/>
        </w:rPr>
        <w:instrText>mg</w:instrText>
      </w:r>
      <w:r w:rsidR="006A2B13" w:rsidRPr="006A2B13">
        <w:instrText>/</w:instrText>
      </w:r>
      <w:r w:rsidR="006A2B13">
        <w:rPr>
          <w:lang w:val="en-US"/>
        </w:rPr>
        <w:instrText>m</w:instrText>
      </w:r>
      <w:r w:rsidR="006A2B13" w:rsidRPr="006A2B13">
        <w:instrText xml:space="preserve">2 </w:instrText>
      </w:r>
      <w:r w:rsidR="006A2B13">
        <w:rPr>
          <w:lang w:val="en-US"/>
        </w:rPr>
        <w:instrText>on</w:instrText>
      </w:r>
      <w:r w:rsidR="006A2B13" w:rsidRPr="006A2B13">
        <w:instrText xml:space="preserve"> </w:instrText>
      </w:r>
      <w:r w:rsidR="006A2B13">
        <w:rPr>
          <w:lang w:val="en-US"/>
        </w:rPr>
        <w:instrText>days</w:instrText>
      </w:r>
      <w:r w:rsidR="006A2B13" w:rsidRPr="006A2B13">
        <w:instrText xml:space="preserve"> 1 </w:instrText>
      </w:r>
      <w:r w:rsidR="006A2B13">
        <w:rPr>
          <w:lang w:val="en-US"/>
        </w:rPr>
        <w:instrText>and</w:instrText>
      </w:r>
      <w:r w:rsidR="006A2B13" w:rsidRPr="006A2B13">
        <w:instrText xml:space="preserve"> 8 </w:instrText>
      </w:r>
      <w:r w:rsidR="006A2B13">
        <w:rPr>
          <w:lang w:val="en-US"/>
        </w:rPr>
        <w:instrText>every</w:instrText>
      </w:r>
      <w:r w:rsidR="006A2B13" w:rsidRPr="006A2B13">
        <w:instrText xml:space="preserve"> 3 </w:instrText>
      </w:r>
      <w:r w:rsidR="006A2B13">
        <w:rPr>
          <w:lang w:val="en-US"/>
        </w:rPr>
        <w:instrText>wk</w:instrText>
      </w:r>
      <w:r w:rsidR="006A2B13" w:rsidRPr="006A2B13">
        <w:instrText xml:space="preserve"> </w:instrText>
      </w:r>
      <w:r w:rsidR="006A2B13">
        <w:rPr>
          <w:lang w:val="en-US"/>
        </w:rPr>
        <w:instrText>for</w:instrText>
      </w:r>
      <w:r w:rsidR="006A2B13" w:rsidRPr="006A2B13">
        <w:instrText xml:space="preserve"> </w:instrText>
      </w:r>
      <w:r w:rsidR="006A2B13">
        <w:rPr>
          <w:lang w:val="en-US"/>
        </w:rPr>
        <w:instrText>a</w:instrText>
      </w:r>
      <w:r w:rsidR="006A2B13" w:rsidRPr="006A2B13">
        <w:instrText xml:space="preserve"> </w:instrText>
      </w:r>
      <w:r w:rsidR="006A2B13">
        <w:rPr>
          <w:lang w:val="en-US"/>
        </w:rPr>
        <w:instrText>maximum</w:instrText>
      </w:r>
      <w:r w:rsidR="006A2B13" w:rsidRPr="006A2B13">
        <w:instrText xml:space="preserve"> </w:instrText>
      </w:r>
      <w:r w:rsidR="006A2B13">
        <w:rPr>
          <w:lang w:val="en-US"/>
        </w:rPr>
        <w:instrText>of</w:instrText>
      </w:r>
      <w:r w:rsidR="006A2B13" w:rsidRPr="006A2B13">
        <w:instrText xml:space="preserve"> </w:instrText>
      </w:r>
      <w:r w:rsidR="006A2B13">
        <w:rPr>
          <w:lang w:val="en-US"/>
        </w:rPr>
        <w:instrText>six</w:instrText>
      </w:r>
      <w:r w:rsidR="006A2B13" w:rsidRPr="006A2B13">
        <w:instrText xml:space="preserve"> </w:instrText>
      </w:r>
      <w:r w:rsidR="006A2B13">
        <w:rPr>
          <w:lang w:val="en-US"/>
        </w:rPr>
        <w:instrText>cycles</w:instrText>
      </w:r>
      <w:r w:rsidR="006A2B13" w:rsidRPr="006A2B13">
        <w:instrText xml:space="preserve">. </w:instrText>
      </w:r>
      <w:r w:rsidR="006A2B13">
        <w:rPr>
          <w:lang w:val="en-US"/>
        </w:rPr>
        <w:instrText>Fourteen</w:instrText>
      </w:r>
      <w:r w:rsidR="006A2B13" w:rsidRPr="006A2B13">
        <w:instrText xml:space="preserve"> </w:instrText>
      </w:r>
      <w:r w:rsidR="006A2B13">
        <w:rPr>
          <w:lang w:val="en-US"/>
        </w:rPr>
        <w:instrText>patients</w:instrText>
      </w:r>
      <w:r w:rsidR="006A2B13" w:rsidRPr="006A2B13">
        <w:instrText xml:space="preserve"> </w:instrText>
      </w:r>
      <w:r w:rsidR="006A2B13">
        <w:rPr>
          <w:lang w:val="en-US"/>
        </w:rPr>
        <w:instrText>were</w:instrText>
      </w:r>
      <w:r w:rsidR="006A2B13" w:rsidRPr="006A2B13">
        <w:instrText xml:space="preserve"> </w:instrText>
      </w:r>
      <w:r w:rsidR="006A2B13">
        <w:rPr>
          <w:lang w:val="en-US"/>
        </w:rPr>
        <w:instrText>considered</w:instrText>
      </w:r>
      <w:r w:rsidR="006A2B13" w:rsidRPr="006A2B13">
        <w:instrText xml:space="preserve"> </w:instrText>
      </w:r>
      <w:r w:rsidR="006A2B13">
        <w:rPr>
          <w:lang w:val="en-US"/>
        </w:rPr>
        <w:instrText>chemosensitive</w:instrText>
      </w:r>
      <w:r w:rsidR="006A2B13" w:rsidRPr="006A2B13">
        <w:instrText xml:space="preserve"> </w:instrText>
      </w:r>
      <w:r w:rsidR="006A2B13">
        <w:rPr>
          <w:lang w:val="en-US"/>
        </w:rPr>
        <w:instrText>while</w:instrText>
      </w:r>
      <w:r w:rsidR="006A2B13" w:rsidRPr="006A2B13">
        <w:instrText xml:space="preserve"> </w:instrText>
      </w:r>
      <w:r w:rsidR="006A2B13">
        <w:rPr>
          <w:lang w:val="en-US"/>
        </w:rPr>
        <w:instrText>eight</w:instrText>
      </w:r>
      <w:r w:rsidR="006A2B13" w:rsidRPr="006A2B13">
        <w:instrText xml:space="preserve"> </w:instrText>
      </w:r>
      <w:r w:rsidR="006A2B13">
        <w:rPr>
          <w:lang w:val="en-US"/>
        </w:rPr>
        <w:instrText>patients</w:instrText>
      </w:r>
      <w:r w:rsidR="006A2B13" w:rsidRPr="006A2B13">
        <w:instrText xml:space="preserve"> </w:instrText>
      </w:r>
      <w:r w:rsidR="006A2B13">
        <w:rPr>
          <w:lang w:val="en-US"/>
        </w:rPr>
        <w:instrText>were</w:instrText>
      </w:r>
      <w:r w:rsidR="006A2B13" w:rsidRPr="006A2B13">
        <w:instrText xml:space="preserve"> </w:instrText>
      </w:r>
      <w:r w:rsidR="006A2B13">
        <w:rPr>
          <w:lang w:val="en-US"/>
        </w:rPr>
        <w:instrText>considered</w:instrText>
      </w:r>
      <w:r w:rsidR="006A2B13" w:rsidRPr="006A2B13">
        <w:instrText xml:space="preserve"> </w:instrText>
      </w:r>
      <w:r w:rsidR="006A2B13">
        <w:rPr>
          <w:lang w:val="en-US"/>
        </w:rPr>
        <w:instrText>chemoresistant</w:instrText>
      </w:r>
      <w:r w:rsidR="006A2B13" w:rsidRPr="006A2B13">
        <w:instrText xml:space="preserve"> </w:instrText>
      </w:r>
      <w:r w:rsidR="006A2B13">
        <w:rPr>
          <w:lang w:val="en-US"/>
        </w:rPr>
        <w:instrText>to</w:instrText>
      </w:r>
      <w:r w:rsidR="006A2B13" w:rsidRPr="006A2B13">
        <w:instrText xml:space="preserve"> </w:instrText>
      </w:r>
      <w:r w:rsidR="006A2B13">
        <w:rPr>
          <w:lang w:val="en-US"/>
        </w:rPr>
        <w:instrText>the</w:instrText>
      </w:r>
      <w:r w:rsidR="006A2B13" w:rsidRPr="006A2B13">
        <w:instrText xml:space="preserve"> </w:instrText>
      </w:r>
      <w:r w:rsidR="006A2B13">
        <w:rPr>
          <w:lang w:val="en-US"/>
        </w:rPr>
        <w:instrText>last</w:instrText>
      </w:r>
      <w:r w:rsidR="006A2B13" w:rsidRPr="006A2B13">
        <w:instrText xml:space="preserve"> </w:instrText>
      </w:r>
      <w:r w:rsidR="006A2B13">
        <w:rPr>
          <w:lang w:val="en-US"/>
        </w:rPr>
        <w:instrText>treatment</w:instrText>
      </w:r>
      <w:r w:rsidR="006A2B13" w:rsidRPr="006A2B13">
        <w:instrText xml:space="preserve"> </w:instrText>
      </w:r>
      <w:r w:rsidR="006A2B13">
        <w:rPr>
          <w:lang w:val="en-US"/>
        </w:rPr>
        <w:instrText>regimen</w:instrText>
      </w:r>
      <w:r w:rsidR="006A2B13" w:rsidRPr="006A2B13">
        <w:instrText xml:space="preserve">. </w:instrText>
      </w:r>
      <w:r w:rsidR="006A2B13">
        <w:rPr>
          <w:lang w:val="en-US"/>
        </w:rPr>
        <w:instrText>All</w:instrText>
      </w:r>
      <w:r w:rsidR="006A2B13" w:rsidRPr="006A2B13">
        <w:instrText xml:space="preserve"> 22 </w:instrText>
      </w:r>
      <w:r w:rsidR="006A2B13">
        <w:rPr>
          <w:lang w:val="en-US"/>
        </w:rPr>
        <w:instrText>patients</w:instrText>
      </w:r>
      <w:r w:rsidR="006A2B13" w:rsidRPr="006A2B13">
        <w:instrText xml:space="preserve"> </w:instrText>
      </w:r>
      <w:r w:rsidR="006A2B13">
        <w:rPr>
          <w:lang w:val="en-US"/>
        </w:rPr>
        <w:instrText>were</w:instrText>
      </w:r>
      <w:r w:rsidR="006A2B13" w:rsidRPr="006A2B13">
        <w:instrText xml:space="preserve"> </w:instrText>
      </w:r>
      <w:r w:rsidR="006A2B13">
        <w:rPr>
          <w:lang w:val="en-US"/>
        </w:rPr>
        <w:instrText>assessed</w:instrText>
      </w:r>
      <w:r w:rsidR="006A2B13" w:rsidRPr="006A2B13">
        <w:instrText xml:space="preserve"> </w:instrText>
      </w:r>
      <w:r w:rsidR="006A2B13">
        <w:rPr>
          <w:lang w:val="en-US"/>
        </w:rPr>
        <w:instrText>for</w:instrText>
      </w:r>
      <w:r w:rsidR="006A2B13" w:rsidRPr="006A2B13">
        <w:instrText xml:space="preserve"> </w:instrText>
      </w:r>
      <w:r w:rsidR="006A2B13">
        <w:rPr>
          <w:lang w:val="en-US"/>
        </w:rPr>
        <w:instrText>response</w:instrText>
      </w:r>
      <w:r w:rsidR="006A2B13" w:rsidRPr="006A2B13">
        <w:instrText xml:space="preserve"> </w:instrText>
      </w:r>
      <w:r w:rsidR="006A2B13">
        <w:rPr>
          <w:lang w:val="en-US"/>
        </w:rPr>
        <w:instrText>to</w:instrText>
      </w:r>
      <w:r w:rsidR="006A2B13" w:rsidRPr="006A2B13">
        <w:instrText xml:space="preserve"> </w:instrText>
      </w:r>
      <w:r w:rsidR="006A2B13">
        <w:rPr>
          <w:lang w:val="en-US"/>
        </w:rPr>
        <w:instrText>treatment</w:instrText>
      </w:r>
      <w:r w:rsidR="006A2B13" w:rsidRPr="006A2B13">
        <w:instrText xml:space="preserve">. </w:instrText>
      </w:r>
      <w:r w:rsidR="006A2B13">
        <w:rPr>
          <w:lang w:val="en-US"/>
        </w:rPr>
        <w:instrText>Three</w:instrText>
      </w:r>
      <w:r w:rsidR="006A2B13" w:rsidRPr="006A2B13">
        <w:instrText xml:space="preserve"> </w:instrText>
      </w:r>
      <w:r w:rsidR="006A2B13">
        <w:rPr>
          <w:lang w:val="en-US"/>
        </w:rPr>
        <w:instrText>patients</w:instrText>
      </w:r>
      <w:r w:rsidR="006A2B13" w:rsidRPr="006A2B13">
        <w:instrText xml:space="preserve"> (14%) </w:instrText>
      </w:r>
      <w:r w:rsidR="006A2B13">
        <w:rPr>
          <w:lang w:val="en-US"/>
        </w:rPr>
        <w:instrText>achieved</w:instrText>
      </w:r>
      <w:r w:rsidR="006A2B13" w:rsidRPr="006A2B13">
        <w:instrText xml:space="preserve"> </w:instrText>
      </w:r>
      <w:r w:rsidR="006A2B13">
        <w:rPr>
          <w:lang w:val="en-US"/>
        </w:rPr>
        <w:instrText>complete</w:instrText>
      </w:r>
      <w:r w:rsidR="006A2B13" w:rsidRPr="006A2B13">
        <w:instrText xml:space="preserve"> </w:instrText>
      </w:r>
      <w:r w:rsidR="006A2B13">
        <w:rPr>
          <w:lang w:val="en-US"/>
        </w:rPr>
        <w:instrText>remission</w:instrText>
      </w:r>
      <w:r w:rsidR="006A2B13" w:rsidRPr="006A2B13">
        <w:instrText xml:space="preserve"> </w:instrText>
      </w:r>
      <w:r w:rsidR="006A2B13">
        <w:rPr>
          <w:lang w:val="en-US"/>
        </w:rPr>
        <w:instrText>and</w:instrText>
      </w:r>
      <w:r w:rsidR="006A2B13" w:rsidRPr="006A2B13">
        <w:instrText xml:space="preserve"> </w:instrText>
      </w:r>
      <w:r w:rsidR="006A2B13">
        <w:rPr>
          <w:lang w:val="en-US"/>
        </w:rPr>
        <w:instrText>eight</w:instrText>
      </w:r>
      <w:r w:rsidR="006A2B13" w:rsidRPr="006A2B13">
        <w:instrText xml:space="preserve"> </w:instrText>
      </w:r>
      <w:r w:rsidR="006A2B13">
        <w:rPr>
          <w:lang w:val="en-US"/>
        </w:rPr>
        <w:instrText>patients</w:instrText>
      </w:r>
      <w:r w:rsidR="006A2B13" w:rsidRPr="006A2B13">
        <w:instrText xml:space="preserve"> (36%) </w:instrText>
      </w:r>
      <w:r w:rsidR="006A2B13">
        <w:rPr>
          <w:lang w:val="en-US"/>
        </w:rPr>
        <w:instrText>had</w:instrText>
      </w:r>
      <w:r w:rsidR="006A2B13" w:rsidRPr="006A2B13">
        <w:instrText xml:space="preserve"> </w:instrText>
      </w:r>
      <w:r w:rsidR="006A2B13">
        <w:rPr>
          <w:lang w:val="en-US"/>
        </w:rPr>
        <w:instrText>partial</w:instrText>
      </w:r>
      <w:r w:rsidR="006A2B13" w:rsidRPr="006A2B13">
        <w:instrText xml:space="preserve"> </w:instrText>
      </w:r>
      <w:r w:rsidR="006A2B13">
        <w:rPr>
          <w:lang w:val="en-US"/>
        </w:rPr>
        <w:instrText>remission</w:instrText>
      </w:r>
      <w:r w:rsidR="006A2B13" w:rsidRPr="006A2B13">
        <w:instrText xml:space="preserve"> </w:instrText>
      </w:r>
      <w:r w:rsidR="006A2B13">
        <w:rPr>
          <w:lang w:val="en-US"/>
        </w:rPr>
        <w:instrText>of</w:instrText>
      </w:r>
      <w:r w:rsidR="006A2B13" w:rsidRPr="006A2B13">
        <w:instrText xml:space="preserve"> </w:instrText>
      </w:r>
      <w:r w:rsidR="006A2B13">
        <w:rPr>
          <w:lang w:val="en-US"/>
        </w:rPr>
        <w:instrText>their</w:instrText>
      </w:r>
      <w:r w:rsidR="006A2B13" w:rsidRPr="006A2B13">
        <w:instrText xml:space="preserve"> </w:instrText>
      </w:r>
      <w:r w:rsidR="006A2B13">
        <w:rPr>
          <w:lang w:val="en-US"/>
        </w:rPr>
        <w:instrText>disease</w:instrText>
      </w:r>
      <w:r w:rsidR="006A2B13" w:rsidRPr="006A2B13">
        <w:instrText xml:space="preserve">, </w:instrText>
      </w:r>
      <w:r w:rsidR="006A2B13">
        <w:rPr>
          <w:lang w:val="en-US"/>
        </w:rPr>
        <w:instrText>with</w:instrText>
      </w:r>
      <w:r w:rsidR="006A2B13" w:rsidRPr="006A2B13">
        <w:instrText xml:space="preserve"> </w:instrText>
      </w:r>
      <w:r w:rsidR="006A2B13">
        <w:rPr>
          <w:lang w:val="en-US"/>
        </w:rPr>
        <w:instrText>an</w:instrText>
      </w:r>
      <w:r w:rsidR="006A2B13" w:rsidRPr="006A2B13">
        <w:instrText xml:space="preserve"> </w:instrText>
      </w:r>
      <w:r w:rsidR="006A2B13">
        <w:rPr>
          <w:lang w:val="en-US"/>
        </w:rPr>
        <w:instrText>overall</w:instrText>
      </w:r>
      <w:r w:rsidR="006A2B13" w:rsidRPr="006A2B13">
        <w:instrText xml:space="preserve"> </w:instrText>
      </w:r>
      <w:r w:rsidR="006A2B13">
        <w:rPr>
          <w:lang w:val="en-US"/>
        </w:rPr>
        <w:instrText>response</w:instrText>
      </w:r>
      <w:r w:rsidR="006A2B13" w:rsidRPr="006A2B13">
        <w:instrText xml:space="preserve"> </w:instrText>
      </w:r>
      <w:r w:rsidR="006A2B13">
        <w:rPr>
          <w:lang w:val="en-US"/>
        </w:rPr>
        <w:instrText>rate</w:instrText>
      </w:r>
      <w:r w:rsidR="006A2B13" w:rsidRPr="006A2B13">
        <w:instrText xml:space="preserve"> </w:instrText>
      </w:r>
      <w:r w:rsidR="006A2B13">
        <w:rPr>
          <w:lang w:val="en-US"/>
        </w:rPr>
        <w:instrText>of</w:instrText>
      </w:r>
      <w:r w:rsidR="006A2B13" w:rsidRPr="006A2B13">
        <w:instrText xml:space="preserve"> 50%. </w:instrText>
      </w:r>
      <w:r w:rsidR="006A2B13">
        <w:rPr>
          <w:lang w:val="en-US"/>
        </w:rPr>
        <w:instrText>With</w:instrText>
      </w:r>
      <w:r w:rsidR="006A2B13" w:rsidRPr="006A2B13">
        <w:instrText xml:space="preserve"> </w:instrText>
      </w:r>
      <w:r w:rsidR="006A2B13">
        <w:rPr>
          <w:lang w:val="en-US"/>
        </w:rPr>
        <w:instrText>a</w:instrText>
      </w:r>
      <w:r w:rsidR="006A2B13" w:rsidRPr="006A2B13">
        <w:instrText xml:space="preserve"> </w:instrText>
      </w:r>
      <w:r w:rsidR="006A2B13">
        <w:rPr>
          <w:lang w:val="en-US"/>
        </w:rPr>
        <w:instrText>median</w:instrText>
      </w:r>
      <w:r w:rsidR="006A2B13" w:rsidRPr="006A2B13">
        <w:instrText xml:space="preserve"> </w:instrText>
      </w:r>
      <w:r w:rsidR="006A2B13">
        <w:rPr>
          <w:lang w:val="en-US"/>
        </w:rPr>
        <w:instrText>follow</w:instrText>
      </w:r>
      <w:r w:rsidR="006A2B13" w:rsidRPr="006A2B13">
        <w:instrText xml:space="preserve"> </w:instrText>
      </w:r>
      <w:r w:rsidR="006A2B13">
        <w:rPr>
          <w:lang w:val="en-US"/>
        </w:rPr>
        <w:instrText>up</w:instrText>
      </w:r>
      <w:r w:rsidR="006A2B13" w:rsidRPr="006A2B13">
        <w:instrText xml:space="preserve"> </w:instrText>
      </w:r>
      <w:r w:rsidR="006A2B13">
        <w:rPr>
          <w:lang w:val="en-US"/>
        </w:rPr>
        <w:instrText>of</w:instrText>
      </w:r>
      <w:r w:rsidR="006A2B13" w:rsidRPr="006A2B13">
        <w:instrText xml:space="preserve"> 44 </w:instrText>
      </w:r>
      <w:r w:rsidR="006A2B13">
        <w:rPr>
          <w:lang w:val="en-US"/>
        </w:rPr>
        <w:instrText>months</w:instrText>
      </w:r>
      <w:r w:rsidR="006A2B13" w:rsidRPr="006A2B13">
        <w:instrText xml:space="preserve">, </w:instrText>
      </w:r>
      <w:r w:rsidR="006A2B13">
        <w:rPr>
          <w:lang w:val="en-US"/>
        </w:rPr>
        <w:instrText>the</w:instrText>
      </w:r>
      <w:r w:rsidR="006A2B13" w:rsidRPr="006A2B13">
        <w:instrText xml:space="preserve"> </w:instrText>
      </w:r>
      <w:r w:rsidR="006A2B13">
        <w:rPr>
          <w:lang w:val="en-US"/>
        </w:rPr>
        <w:instrText>median</w:instrText>
      </w:r>
      <w:r w:rsidR="006A2B13" w:rsidRPr="006A2B13">
        <w:instrText xml:space="preserve"> </w:instrText>
      </w:r>
      <w:r w:rsidR="006A2B13">
        <w:rPr>
          <w:lang w:val="en-US"/>
        </w:rPr>
        <w:instrText>time</w:instrText>
      </w:r>
      <w:r w:rsidR="006A2B13" w:rsidRPr="006A2B13">
        <w:instrText xml:space="preserve"> </w:instrText>
      </w:r>
      <w:r w:rsidR="006A2B13">
        <w:rPr>
          <w:lang w:val="en-US"/>
        </w:rPr>
        <w:instrText>to</w:instrText>
      </w:r>
      <w:r w:rsidR="006A2B13" w:rsidRPr="006A2B13">
        <w:instrText xml:space="preserve"> </w:instrText>
      </w:r>
      <w:r w:rsidR="006A2B13">
        <w:rPr>
          <w:lang w:val="en-US"/>
        </w:rPr>
        <w:instrText>progression</w:instrText>
      </w:r>
      <w:r w:rsidR="006A2B13" w:rsidRPr="006A2B13">
        <w:instrText xml:space="preserve"> (</w:instrText>
      </w:r>
      <w:r w:rsidR="006A2B13">
        <w:rPr>
          <w:lang w:val="en-US"/>
        </w:rPr>
        <w:instrText>TTP</w:instrText>
      </w:r>
      <w:r w:rsidR="006A2B13" w:rsidRPr="006A2B13">
        <w:instrText xml:space="preserve">) </w:instrText>
      </w:r>
      <w:r w:rsidR="006A2B13">
        <w:rPr>
          <w:lang w:val="en-US"/>
        </w:rPr>
        <w:instrText>for</w:instrText>
      </w:r>
      <w:r w:rsidR="006A2B13" w:rsidRPr="006A2B13">
        <w:instrText xml:space="preserve"> </w:instrText>
      </w:r>
      <w:r w:rsidR="006A2B13">
        <w:rPr>
          <w:lang w:val="en-US"/>
        </w:rPr>
        <w:instrText>all</w:instrText>
      </w:r>
      <w:r w:rsidR="006A2B13" w:rsidRPr="006A2B13">
        <w:instrText xml:space="preserve"> </w:instrText>
      </w:r>
      <w:r w:rsidR="006A2B13">
        <w:rPr>
          <w:lang w:val="en-US"/>
        </w:rPr>
        <w:instrText>patients</w:instrText>
      </w:r>
      <w:r w:rsidR="006A2B13" w:rsidRPr="006A2B13">
        <w:instrText xml:space="preserve"> </w:instrText>
      </w:r>
      <w:r w:rsidR="006A2B13">
        <w:rPr>
          <w:lang w:val="en-US"/>
        </w:rPr>
        <w:instrText>was</w:instrText>
      </w:r>
      <w:r w:rsidR="006A2B13" w:rsidRPr="006A2B13">
        <w:instrText xml:space="preserve"> 8.1 </w:instrText>
      </w:r>
      <w:r w:rsidR="006A2B13">
        <w:rPr>
          <w:lang w:val="en-US"/>
        </w:rPr>
        <w:instrText>months</w:instrText>
      </w:r>
      <w:r w:rsidR="006A2B13" w:rsidRPr="006A2B13">
        <w:instrText xml:space="preserve"> </w:instrText>
      </w:r>
      <w:r w:rsidR="006A2B13">
        <w:rPr>
          <w:lang w:val="en-US"/>
        </w:rPr>
        <w:instrText>while</w:instrText>
      </w:r>
      <w:r w:rsidR="006A2B13" w:rsidRPr="006A2B13">
        <w:instrText xml:space="preserve"> </w:instrText>
      </w:r>
      <w:r w:rsidR="006A2B13">
        <w:rPr>
          <w:lang w:val="en-US"/>
        </w:rPr>
        <w:instrText>the</w:instrText>
      </w:r>
      <w:r w:rsidR="006A2B13" w:rsidRPr="006A2B13">
        <w:instrText xml:space="preserve"> </w:instrText>
      </w:r>
      <w:r w:rsidR="006A2B13">
        <w:rPr>
          <w:lang w:val="en-US"/>
        </w:rPr>
        <w:instrText>median</w:instrText>
      </w:r>
      <w:r w:rsidR="006A2B13" w:rsidRPr="006A2B13">
        <w:instrText xml:space="preserve"> </w:instrText>
      </w:r>
      <w:r w:rsidR="006A2B13">
        <w:rPr>
          <w:lang w:val="en-US"/>
        </w:rPr>
        <w:instrText>overall</w:instrText>
      </w:r>
      <w:r w:rsidR="006A2B13" w:rsidRPr="006A2B13">
        <w:instrText xml:space="preserve"> </w:instrText>
      </w:r>
      <w:r w:rsidR="006A2B13">
        <w:rPr>
          <w:lang w:val="en-US"/>
        </w:rPr>
        <w:instrText>survival</w:instrText>
      </w:r>
      <w:r w:rsidR="006A2B13" w:rsidRPr="006A2B13">
        <w:instrText xml:space="preserve"> (</w:instrText>
      </w:r>
      <w:r w:rsidR="006A2B13">
        <w:rPr>
          <w:lang w:val="en-US"/>
        </w:rPr>
        <w:instrText>OS</w:instrText>
      </w:r>
      <w:r w:rsidR="006A2B13" w:rsidRPr="006A2B13">
        <w:instrText xml:space="preserve">) </w:instrText>
      </w:r>
      <w:r w:rsidR="006A2B13">
        <w:rPr>
          <w:lang w:val="en-US"/>
        </w:rPr>
        <w:instrText>was</w:instrText>
      </w:r>
      <w:r w:rsidR="006A2B13" w:rsidRPr="006A2B13">
        <w:instrText xml:space="preserve"> 12.9 </w:instrText>
      </w:r>
      <w:r w:rsidR="006A2B13">
        <w:rPr>
          <w:lang w:val="en-US"/>
        </w:rPr>
        <w:instrText>months</w:instrText>
      </w:r>
      <w:r w:rsidR="006A2B13" w:rsidRPr="006A2B13">
        <w:instrText xml:space="preserve">. </w:instrText>
      </w:r>
      <w:r w:rsidR="006A2B13">
        <w:rPr>
          <w:lang w:val="en-US"/>
        </w:rPr>
        <w:instrText>Toxicity</w:instrText>
      </w:r>
      <w:r w:rsidR="006A2B13" w:rsidRPr="006A2B13">
        <w:instrText xml:space="preserve"> </w:instrText>
      </w:r>
      <w:r w:rsidR="006A2B13">
        <w:rPr>
          <w:lang w:val="en-US"/>
        </w:rPr>
        <w:instrText>was</w:instrText>
      </w:r>
      <w:r w:rsidR="006A2B13" w:rsidRPr="006A2B13">
        <w:instrText xml:space="preserve"> </w:instrText>
      </w:r>
      <w:r w:rsidR="006A2B13">
        <w:rPr>
          <w:lang w:val="en-US"/>
        </w:rPr>
        <w:instrText>minimal</w:instrText>
      </w:r>
      <w:r w:rsidR="006A2B13" w:rsidRPr="006A2B13">
        <w:instrText xml:space="preserve"> </w:instrText>
      </w:r>
      <w:r w:rsidR="006A2B13">
        <w:rPr>
          <w:lang w:val="en-US"/>
        </w:rPr>
        <w:instrText>and</w:instrText>
      </w:r>
      <w:r w:rsidR="006A2B13" w:rsidRPr="006A2B13">
        <w:instrText xml:space="preserve"> </w:instrText>
      </w:r>
      <w:r w:rsidR="006A2B13">
        <w:rPr>
          <w:lang w:val="en-US"/>
        </w:rPr>
        <w:instrText>all</w:instrText>
      </w:r>
      <w:r w:rsidR="006A2B13" w:rsidRPr="006A2B13">
        <w:instrText xml:space="preserve"> </w:instrText>
      </w:r>
      <w:r w:rsidR="006A2B13">
        <w:rPr>
          <w:lang w:val="en-US"/>
        </w:rPr>
        <w:instrText>patients</w:instrText>
      </w:r>
      <w:r w:rsidR="006A2B13" w:rsidRPr="006A2B13">
        <w:instrText xml:space="preserve"> </w:instrText>
      </w:r>
      <w:r w:rsidR="006A2B13">
        <w:rPr>
          <w:lang w:val="en-US"/>
        </w:rPr>
        <w:instrText>were</w:instrText>
      </w:r>
      <w:r w:rsidR="006A2B13" w:rsidRPr="006A2B13">
        <w:instrText xml:space="preserve"> </w:instrText>
      </w:r>
      <w:r w:rsidR="006A2B13">
        <w:rPr>
          <w:lang w:val="en-US"/>
        </w:rPr>
        <w:instrText>treated</w:instrText>
      </w:r>
      <w:r w:rsidR="006A2B13" w:rsidRPr="006A2B13">
        <w:instrText xml:space="preserve"> </w:instrText>
      </w:r>
      <w:r w:rsidR="006A2B13">
        <w:rPr>
          <w:lang w:val="en-US"/>
        </w:rPr>
        <w:instrText>on</w:instrText>
      </w:r>
      <w:r w:rsidR="006A2B13" w:rsidRPr="006A2B13">
        <w:instrText xml:space="preserve"> </w:instrText>
      </w:r>
      <w:r w:rsidR="006A2B13">
        <w:rPr>
          <w:lang w:val="en-US"/>
        </w:rPr>
        <w:instrText>an</w:instrText>
      </w:r>
      <w:r w:rsidR="006A2B13" w:rsidRPr="006A2B13">
        <w:instrText xml:space="preserve"> </w:instrText>
      </w:r>
      <w:r w:rsidR="006A2B13">
        <w:rPr>
          <w:lang w:val="en-US"/>
        </w:rPr>
        <w:instrText>outpatient</w:instrText>
      </w:r>
      <w:r w:rsidR="006A2B13" w:rsidRPr="006A2B13">
        <w:instrText xml:space="preserve"> </w:instrText>
      </w:r>
      <w:r w:rsidR="006A2B13">
        <w:rPr>
          <w:lang w:val="en-US"/>
        </w:rPr>
        <w:instrText>basis</w:instrText>
      </w:r>
      <w:r w:rsidR="006A2B13" w:rsidRPr="006A2B13">
        <w:instrText xml:space="preserve">. </w:instrText>
      </w:r>
      <w:r w:rsidR="006A2B13">
        <w:rPr>
          <w:lang w:val="en-US"/>
        </w:rPr>
        <w:instrText>The</w:instrText>
      </w:r>
      <w:r w:rsidR="006A2B13" w:rsidRPr="006A2B13">
        <w:instrText xml:space="preserve"> </w:instrText>
      </w:r>
      <w:r w:rsidR="006A2B13">
        <w:rPr>
          <w:lang w:val="en-US"/>
        </w:rPr>
        <w:instrText>combination</w:instrText>
      </w:r>
      <w:r w:rsidR="006A2B13" w:rsidRPr="006A2B13">
        <w:instrText xml:space="preserve"> </w:instrText>
      </w:r>
      <w:r w:rsidR="006A2B13">
        <w:rPr>
          <w:lang w:val="en-US"/>
        </w:rPr>
        <w:instrText>of</w:instrText>
      </w:r>
      <w:r w:rsidR="006A2B13" w:rsidRPr="006A2B13">
        <w:instrText xml:space="preserve"> </w:instrText>
      </w:r>
      <w:r w:rsidR="006A2B13">
        <w:rPr>
          <w:lang w:val="en-US"/>
        </w:rPr>
        <w:instrText>gemcitabine</w:instrText>
      </w:r>
      <w:r w:rsidR="006A2B13" w:rsidRPr="006A2B13">
        <w:instrText xml:space="preserve"> </w:instrText>
      </w:r>
      <w:r w:rsidR="006A2B13">
        <w:rPr>
          <w:lang w:val="en-US"/>
        </w:rPr>
        <w:instrText>and</w:instrText>
      </w:r>
      <w:r w:rsidR="006A2B13" w:rsidRPr="006A2B13">
        <w:instrText xml:space="preserve"> </w:instrText>
      </w:r>
      <w:r w:rsidR="006A2B13">
        <w:rPr>
          <w:lang w:val="en-US"/>
        </w:rPr>
        <w:instrText>vinorelbine</w:instrText>
      </w:r>
      <w:r w:rsidR="006A2B13" w:rsidRPr="006A2B13">
        <w:instrText xml:space="preserve"> </w:instrText>
      </w:r>
      <w:r w:rsidR="006A2B13">
        <w:rPr>
          <w:lang w:val="en-US"/>
        </w:rPr>
        <w:instrText>is</w:instrText>
      </w:r>
      <w:r w:rsidR="006A2B13" w:rsidRPr="006A2B13">
        <w:instrText xml:space="preserve"> </w:instrText>
      </w:r>
      <w:r w:rsidR="006A2B13">
        <w:rPr>
          <w:lang w:val="en-US"/>
        </w:rPr>
        <w:instrText>an</w:instrText>
      </w:r>
      <w:r w:rsidR="006A2B13" w:rsidRPr="006A2B13">
        <w:instrText xml:space="preserve"> </w:instrText>
      </w:r>
      <w:r w:rsidR="006A2B13">
        <w:rPr>
          <w:lang w:val="en-US"/>
        </w:rPr>
        <w:instrText>effective</w:instrText>
      </w:r>
      <w:r w:rsidR="006A2B13" w:rsidRPr="006A2B13">
        <w:instrText xml:space="preserve"> </w:instrText>
      </w:r>
      <w:r w:rsidR="006A2B13">
        <w:rPr>
          <w:lang w:val="en-US"/>
        </w:rPr>
        <w:instrText>and</w:instrText>
      </w:r>
      <w:r w:rsidR="006A2B13" w:rsidRPr="006A2B13">
        <w:instrText xml:space="preserve"> </w:instrText>
      </w:r>
      <w:r w:rsidR="006A2B13">
        <w:rPr>
          <w:lang w:val="en-US"/>
        </w:rPr>
        <w:instrText>well</w:instrText>
      </w:r>
      <w:r w:rsidR="006A2B13" w:rsidRPr="006A2B13">
        <w:instrText>-</w:instrText>
      </w:r>
      <w:r w:rsidR="006A2B13">
        <w:rPr>
          <w:lang w:val="en-US"/>
        </w:rPr>
        <w:instrText>tolerated</w:instrText>
      </w:r>
      <w:r w:rsidR="006A2B13" w:rsidRPr="006A2B13">
        <w:instrText xml:space="preserve"> </w:instrText>
      </w:r>
      <w:r w:rsidR="006A2B13">
        <w:rPr>
          <w:lang w:val="en-US"/>
        </w:rPr>
        <w:instrText>regimen</w:instrText>
      </w:r>
      <w:r w:rsidR="006A2B13" w:rsidRPr="006A2B13">
        <w:instrText xml:space="preserve"> </w:instrText>
      </w:r>
      <w:r w:rsidR="006A2B13">
        <w:rPr>
          <w:lang w:val="en-US"/>
        </w:rPr>
        <w:instrText>for</w:instrText>
      </w:r>
      <w:r w:rsidR="006A2B13" w:rsidRPr="006A2B13">
        <w:instrText xml:space="preserve"> </w:instrText>
      </w:r>
      <w:r w:rsidR="006A2B13">
        <w:rPr>
          <w:lang w:val="en-US"/>
        </w:rPr>
        <w:instrText>patients</w:instrText>
      </w:r>
      <w:r w:rsidR="006A2B13" w:rsidRPr="006A2B13">
        <w:instrText xml:space="preserve"> </w:instrText>
      </w:r>
      <w:r w:rsidR="006A2B13">
        <w:rPr>
          <w:lang w:val="en-US"/>
        </w:rPr>
        <w:instrText>with</w:instrText>
      </w:r>
      <w:r w:rsidR="006A2B13" w:rsidRPr="006A2B13">
        <w:instrText xml:space="preserve"> </w:instrText>
      </w:r>
      <w:r w:rsidR="006A2B13">
        <w:rPr>
          <w:lang w:val="en-US"/>
        </w:rPr>
        <w:instrText>relapsed</w:instrText>
      </w:r>
      <w:r w:rsidR="006A2B13" w:rsidRPr="006A2B13">
        <w:instrText xml:space="preserve"> </w:instrText>
      </w:r>
      <w:r w:rsidR="006A2B13">
        <w:rPr>
          <w:lang w:val="en-US"/>
        </w:rPr>
        <w:instrText>of</w:instrText>
      </w:r>
      <w:r w:rsidR="006A2B13" w:rsidRPr="006A2B13">
        <w:instrText xml:space="preserve"> </w:instrText>
      </w:r>
      <w:r w:rsidR="006A2B13">
        <w:rPr>
          <w:lang w:val="en-US"/>
        </w:rPr>
        <w:instrText>refractory</w:instrText>
      </w:r>
      <w:r w:rsidR="006A2B13" w:rsidRPr="006A2B13">
        <w:instrText xml:space="preserve"> </w:instrText>
      </w:r>
      <w:r w:rsidR="006A2B13">
        <w:rPr>
          <w:lang w:val="en-US"/>
        </w:rPr>
        <w:instrText>DLBL</w:instrText>
      </w:r>
      <w:r w:rsidR="006A2B13" w:rsidRPr="006A2B13">
        <w:instrText xml:space="preserve">. © </w:instrText>
      </w:r>
      <w:r w:rsidR="006A2B13">
        <w:rPr>
          <w:lang w:val="en-US"/>
        </w:rPr>
        <w:instrText>Blackwell</w:instrText>
      </w:r>
      <w:r w:rsidR="006A2B13" w:rsidRPr="006A2B13">
        <w:instrText xml:space="preserve"> </w:instrText>
      </w:r>
      <w:r w:rsidR="006A2B13">
        <w:rPr>
          <w:lang w:val="en-US"/>
        </w:rPr>
        <w:instrText>Munksgaard</w:instrText>
      </w:r>
      <w:r w:rsidR="006A2B13" w:rsidRPr="006A2B13">
        <w:instrText xml:space="preserve"> 2005.","</w:instrText>
      </w:r>
      <w:r w:rsidR="006A2B13">
        <w:rPr>
          <w:lang w:val="en-US"/>
        </w:rPr>
        <w:instrText>author</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family</w:instrText>
      </w:r>
      <w:r w:rsidR="006A2B13" w:rsidRPr="006A2B13">
        <w:instrText>":"</w:instrText>
      </w:r>
      <w:r w:rsidR="006A2B13">
        <w:rPr>
          <w:lang w:val="en-US"/>
        </w:rPr>
        <w:instrText>Papageorgiou</w:instrText>
      </w:r>
      <w:r w:rsidR="006A2B13" w:rsidRPr="006A2B13">
        <w:instrText>","</w:instrText>
      </w:r>
      <w:r w:rsidR="006A2B13">
        <w:rPr>
          <w:lang w:val="en-US"/>
        </w:rPr>
        <w:instrText>given</w:instrText>
      </w:r>
      <w:r w:rsidR="006A2B13" w:rsidRPr="006A2B13">
        <w:instrText>":"</w:instrText>
      </w:r>
      <w:r w:rsidR="006A2B13">
        <w:rPr>
          <w:lang w:val="en-US"/>
        </w:rPr>
        <w:instrText>Efstathios</w:instrText>
      </w:r>
      <w:r w:rsidR="006A2B13" w:rsidRPr="006A2B13">
        <w:instrText xml:space="preserve"> </w:instrText>
      </w:r>
      <w:r w:rsidR="006A2B13">
        <w:rPr>
          <w:lang w:val="en-US"/>
        </w:rPr>
        <w:instrText>S</w:instrText>
      </w:r>
      <w:r w:rsidR="006A2B13" w:rsidRPr="006A2B13">
        <w:instrText>.","</w:instrText>
      </w:r>
      <w:r w:rsidR="006A2B13">
        <w:rPr>
          <w:lang w:val="en-US"/>
        </w:rPr>
        <w:instrText>non</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parse</w:instrText>
      </w:r>
      <w:r w:rsidR="006A2B13" w:rsidRPr="006A2B13">
        <w:instrText>-</w:instrText>
      </w:r>
      <w:r w:rsidR="006A2B13">
        <w:rPr>
          <w:lang w:val="en-US"/>
        </w:rPr>
        <w:instrText>names</w:instrText>
      </w:r>
      <w:r w:rsidR="006A2B13" w:rsidRPr="006A2B13">
        <w:instrText>":</w:instrText>
      </w:r>
      <w:r w:rsidR="006A2B13">
        <w:rPr>
          <w:lang w:val="en-US"/>
        </w:rPr>
        <w:instrText>false</w:instrText>
      </w:r>
      <w:r w:rsidR="006A2B13" w:rsidRPr="006A2B13">
        <w:instrText>,"</w:instrText>
      </w:r>
      <w:r w:rsidR="006A2B13">
        <w:rPr>
          <w:lang w:val="en-US"/>
        </w:rPr>
        <w:instrText>suffix</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family</w:instrText>
      </w:r>
      <w:r w:rsidR="006A2B13" w:rsidRPr="006A2B13">
        <w:instrText>":"</w:instrText>
      </w:r>
      <w:r w:rsidR="006A2B13">
        <w:rPr>
          <w:lang w:val="en-US"/>
        </w:rPr>
        <w:instrText>Tsirigotis</w:instrText>
      </w:r>
      <w:r w:rsidR="006A2B13" w:rsidRPr="006A2B13">
        <w:instrText>","</w:instrText>
      </w:r>
      <w:r w:rsidR="006A2B13">
        <w:rPr>
          <w:lang w:val="en-US"/>
        </w:rPr>
        <w:instrText>given</w:instrText>
      </w:r>
      <w:r w:rsidR="006A2B13" w:rsidRPr="006A2B13">
        <w:instrText>":"</w:instrText>
      </w:r>
      <w:r w:rsidR="006A2B13">
        <w:rPr>
          <w:lang w:val="en-US"/>
        </w:rPr>
        <w:instrText>Panagiotis</w:instrText>
      </w:r>
      <w:r w:rsidR="006A2B13" w:rsidRPr="006A2B13">
        <w:instrText>","</w:instrText>
      </w:r>
      <w:r w:rsidR="006A2B13">
        <w:rPr>
          <w:lang w:val="en-US"/>
        </w:rPr>
        <w:instrText>non</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parse</w:instrText>
      </w:r>
      <w:r w:rsidR="006A2B13" w:rsidRPr="006A2B13">
        <w:instrText>-</w:instrText>
      </w:r>
      <w:r w:rsidR="006A2B13">
        <w:rPr>
          <w:lang w:val="en-US"/>
        </w:rPr>
        <w:instrText>names</w:instrText>
      </w:r>
      <w:r w:rsidR="006A2B13" w:rsidRPr="006A2B13">
        <w:instrText>":</w:instrText>
      </w:r>
      <w:r w:rsidR="006A2B13">
        <w:rPr>
          <w:lang w:val="en-US"/>
        </w:rPr>
        <w:instrText>false</w:instrText>
      </w:r>
      <w:r w:rsidR="006A2B13" w:rsidRPr="006A2B13">
        <w:instrText>,"</w:instrText>
      </w:r>
      <w:r w:rsidR="006A2B13">
        <w:rPr>
          <w:lang w:val="en-US"/>
        </w:rPr>
        <w:instrText>suffix</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family</w:instrText>
      </w:r>
      <w:r w:rsidR="006A2B13" w:rsidRPr="006A2B13">
        <w:instrText>":"</w:instrText>
      </w:r>
      <w:r w:rsidR="006A2B13">
        <w:rPr>
          <w:lang w:val="en-US"/>
        </w:rPr>
        <w:instrText>Dimopoulos</w:instrText>
      </w:r>
      <w:r w:rsidR="006A2B13" w:rsidRPr="006A2B13">
        <w:instrText>","</w:instrText>
      </w:r>
      <w:r w:rsidR="006A2B13">
        <w:rPr>
          <w:lang w:val="en-US"/>
        </w:rPr>
        <w:instrText>given</w:instrText>
      </w:r>
      <w:r w:rsidR="006A2B13" w:rsidRPr="006A2B13">
        <w:instrText>":"</w:instrText>
      </w:r>
      <w:r w:rsidR="006A2B13">
        <w:rPr>
          <w:lang w:val="en-US"/>
        </w:rPr>
        <w:instrText>Meletios</w:instrText>
      </w:r>
      <w:r w:rsidR="006A2B13" w:rsidRPr="006A2B13">
        <w:instrText>","</w:instrText>
      </w:r>
      <w:r w:rsidR="006A2B13">
        <w:rPr>
          <w:lang w:val="en-US"/>
        </w:rPr>
        <w:instrText>non</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parse</w:instrText>
      </w:r>
      <w:r w:rsidR="006A2B13" w:rsidRPr="006A2B13">
        <w:instrText>-</w:instrText>
      </w:r>
      <w:r w:rsidR="006A2B13">
        <w:rPr>
          <w:lang w:val="en-US"/>
        </w:rPr>
        <w:instrText>names</w:instrText>
      </w:r>
      <w:r w:rsidR="006A2B13" w:rsidRPr="006A2B13">
        <w:instrText>":</w:instrText>
      </w:r>
      <w:r w:rsidR="006A2B13">
        <w:rPr>
          <w:lang w:val="en-US"/>
        </w:rPr>
        <w:instrText>false</w:instrText>
      </w:r>
      <w:r w:rsidR="006A2B13" w:rsidRPr="006A2B13">
        <w:instrText>,"</w:instrText>
      </w:r>
      <w:r w:rsidR="006A2B13">
        <w:rPr>
          <w:lang w:val="en-US"/>
        </w:rPr>
        <w:instrText>suffix</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family</w:instrText>
      </w:r>
      <w:r w:rsidR="006A2B13" w:rsidRPr="006A2B13">
        <w:instrText>":"</w:instrText>
      </w:r>
      <w:r w:rsidR="006A2B13">
        <w:rPr>
          <w:lang w:val="en-US"/>
        </w:rPr>
        <w:instrText>Pavlidis</w:instrText>
      </w:r>
      <w:r w:rsidR="006A2B13" w:rsidRPr="006A2B13">
        <w:instrText>","</w:instrText>
      </w:r>
      <w:r w:rsidR="006A2B13">
        <w:rPr>
          <w:lang w:val="en-US"/>
        </w:rPr>
        <w:instrText>given</w:instrText>
      </w:r>
      <w:r w:rsidR="006A2B13" w:rsidRPr="006A2B13">
        <w:instrText>":"</w:instrText>
      </w:r>
      <w:r w:rsidR="006A2B13">
        <w:rPr>
          <w:lang w:val="en-US"/>
        </w:rPr>
        <w:instrText>Nikolaos</w:instrText>
      </w:r>
      <w:r w:rsidR="006A2B13" w:rsidRPr="006A2B13">
        <w:instrText>","</w:instrText>
      </w:r>
      <w:r w:rsidR="006A2B13">
        <w:rPr>
          <w:lang w:val="en-US"/>
        </w:rPr>
        <w:instrText>non</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parse</w:instrText>
      </w:r>
      <w:r w:rsidR="006A2B13" w:rsidRPr="006A2B13">
        <w:instrText>-</w:instrText>
      </w:r>
      <w:r w:rsidR="006A2B13">
        <w:rPr>
          <w:lang w:val="en-US"/>
        </w:rPr>
        <w:instrText>names</w:instrText>
      </w:r>
      <w:r w:rsidR="006A2B13" w:rsidRPr="006A2B13">
        <w:instrText>":</w:instrText>
      </w:r>
      <w:r w:rsidR="006A2B13">
        <w:rPr>
          <w:lang w:val="en-US"/>
        </w:rPr>
        <w:instrText>false</w:instrText>
      </w:r>
      <w:r w:rsidR="006A2B13" w:rsidRPr="006A2B13">
        <w:instrText>,"</w:instrText>
      </w:r>
      <w:r w:rsidR="006A2B13">
        <w:rPr>
          <w:lang w:val="en-US"/>
        </w:rPr>
        <w:instrText>suffix</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family</w:instrText>
      </w:r>
      <w:r w:rsidR="006A2B13" w:rsidRPr="006A2B13">
        <w:instrText>":"</w:instrText>
      </w:r>
      <w:r w:rsidR="006A2B13">
        <w:rPr>
          <w:lang w:val="en-US"/>
        </w:rPr>
        <w:instrText>Fountzilas</w:instrText>
      </w:r>
      <w:r w:rsidR="006A2B13" w:rsidRPr="006A2B13">
        <w:instrText>","</w:instrText>
      </w:r>
      <w:r w:rsidR="006A2B13">
        <w:rPr>
          <w:lang w:val="en-US"/>
        </w:rPr>
        <w:instrText>given</w:instrText>
      </w:r>
      <w:r w:rsidR="006A2B13" w:rsidRPr="006A2B13">
        <w:instrText>":"</w:instrText>
      </w:r>
      <w:r w:rsidR="006A2B13">
        <w:rPr>
          <w:lang w:val="en-US"/>
        </w:rPr>
        <w:instrText>George</w:instrText>
      </w:r>
      <w:r w:rsidR="006A2B13" w:rsidRPr="006A2B13">
        <w:instrText>","</w:instrText>
      </w:r>
      <w:r w:rsidR="006A2B13">
        <w:rPr>
          <w:lang w:val="en-US"/>
        </w:rPr>
        <w:instrText>non</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parse</w:instrText>
      </w:r>
      <w:r w:rsidR="006A2B13" w:rsidRPr="006A2B13">
        <w:instrText>-</w:instrText>
      </w:r>
      <w:r w:rsidR="006A2B13">
        <w:rPr>
          <w:lang w:val="en-US"/>
        </w:rPr>
        <w:instrText>names</w:instrText>
      </w:r>
      <w:r w:rsidR="006A2B13" w:rsidRPr="006A2B13">
        <w:instrText>":</w:instrText>
      </w:r>
      <w:r w:rsidR="006A2B13">
        <w:rPr>
          <w:lang w:val="en-US"/>
        </w:rPr>
        <w:instrText>false</w:instrText>
      </w:r>
      <w:r w:rsidR="006A2B13" w:rsidRPr="006A2B13">
        <w:instrText>,"</w:instrText>
      </w:r>
      <w:r w:rsidR="006A2B13">
        <w:rPr>
          <w:lang w:val="en-US"/>
        </w:rPr>
        <w:instrText>suffix</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family</w:instrText>
      </w:r>
      <w:r w:rsidR="006A2B13" w:rsidRPr="006A2B13">
        <w:instrText>":"</w:instrText>
      </w:r>
      <w:r w:rsidR="006A2B13">
        <w:rPr>
          <w:lang w:val="en-US"/>
        </w:rPr>
        <w:instrText>Papageorgiou</w:instrText>
      </w:r>
      <w:r w:rsidR="006A2B13" w:rsidRPr="006A2B13">
        <w:instrText>","</w:instrText>
      </w:r>
      <w:r w:rsidR="006A2B13">
        <w:rPr>
          <w:lang w:val="en-US"/>
        </w:rPr>
        <w:instrText>given</w:instrText>
      </w:r>
      <w:r w:rsidR="006A2B13" w:rsidRPr="006A2B13">
        <w:instrText>":"</w:instrText>
      </w:r>
      <w:r w:rsidR="006A2B13">
        <w:rPr>
          <w:lang w:val="en-US"/>
        </w:rPr>
        <w:instrText>Sotirios</w:instrText>
      </w:r>
      <w:r w:rsidR="006A2B13" w:rsidRPr="006A2B13">
        <w:instrText>","</w:instrText>
      </w:r>
      <w:r w:rsidR="006A2B13">
        <w:rPr>
          <w:lang w:val="en-US"/>
        </w:rPr>
        <w:instrText>non</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parse</w:instrText>
      </w:r>
      <w:r w:rsidR="006A2B13" w:rsidRPr="006A2B13">
        <w:instrText>-</w:instrText>
      </w:r>
      <w:r w:rsidR="006A2B13">
        <w:rPr>
          <w:lang w:val="en-US"/>
        </w:rPr>
        <w:instrText>names</w:instrText>
      </w:r>
      <w:r w:rsidR="006A2B13" w:rsidRPr="006A2B13">
        <w:instrText>":</w:instrText>
      </w:r>
      <w:r w:rsidR="006A2B13">
        <w:rPr>
          <w:lang w:val="en-US"/>
        </w:rPr>
        <w:instrText>false</w:instrText>
      </w:r>
      <w:r w:rsidR="006A2B13" w:rsidRPr="006A2B13">
        <w:instrText>,"</w:instrText>
      </w:r>
      <w:r w:rsidR="006A2B13">
        <w:rPr>
          <w:lang w:val="en-US"/>
        </w:rPr>
        <w:instrText>suffix</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family</w:instrText>
      </w:r>
      <w:r w:rsidR="006A2B13" w:rsidRPr="006A2B13">
        <w:instrText>":"</w:instrText>
      </w:r>
      <w:r w:rsidR="006A2B13">
        <w:rPr>
          <w:lang w:val="en-US"/>
        </w:rPr>
        <w:instrText>Economopoulos</w:instrText>
      </w:r>
      <w:r w:rsidR="006A2B13" w:rsidRPr="006A2B13">
        <w:instrText>","</w:instrText>
      </w:r>
      <w:r w:rsidR="006A2B13">
        <w:rPr>
          <w:lang w:val="en-US"/>
        </w:rPr>
        <w:instrText>given</w:instrText>
      </w:r>
      <w:r w:rsidR="006A2B13" w:rsidRPr="006A2B13">
        <w:instrText>":"</w:instrText>
      </w:r>
      <w:r w:rsidR="006A2B13">
        <w:rPr>
          <w:lang w:val="en-US"/>
        </w:rPr>
        <w:instrText>Theofanis</w:instrText>
      </w:r>
      <w:r w:rsidR="006A2B13" w:rsidRPr="006A2B13">
        <w:instrText>","</w:instrText>
      </w:r>
      <w:r w:rsidR="006A2B13">
        <w:rPr>
          <w:lang w:val="en-US"/>
        </w:rPr>
        <w:instrText>non</w:instrText>
      </w:r>
      <w:r w:rsidR="006A2B13" w:rsidRPr="006A2B13">
        <w:instrText>-</w:instrText>
      </w:r>
      <w:r w:rsidR="006A2B13">
        <w:rPr>
          <w:lang w:val="en-US"/>
        </w:rPr>
        <w:instrText>dropping</w:instrText>
      </w:r>
      <w:r w:rsidR="006A2B13" w:rsidRPr="006A2B13">
        <w:instrText>-</w:instrText>
      </w:r>
      <w:r w:rsidR="006A2B13">
        <w:rPr>
          <w:lang w:val="en-US"/>
        </w:rPr>
        <w:instrText>particle</w:instrText>
      </w:r>
      <w:r w:rsidR="006A2B13" w:rsidRPr="006A2B13">
        <w:instrText>":"","</w:instrText>
      </w:r>
      <w:r w:rsidR="006A2B13">
        <w:rPr>
          <w:lang w:val="en-US"/>
        </w:rPr>
        <w:instrText>parse</w:instrText>
      </w:r>
      <w:r w:rsidR="006A2B13" w:rsidRPr="006A2B13">
        <w:instrText>-</w:instrText>
      </w:r>
      <w:r w:rsidR="006A2B13">
        <w:rPr>
          <w:lang w:val="en-US"/>
        </w:rPr>
        <w:instrText>names</w:instrText>
      </w:r>
      <w:r w:rsidR="006A2B13" w:rsidRPr="006A2B13">
        <w:instrText>":</w:instrText>
      </w:r>
      <w:r w:rsidR="006A2B13">
        <w:rPr>
          <w:lang w:val="en-US"/>
        </w:rPr>
        <w:instrText>false</w:instrText>
      </w:r>
      <w:r w:rsidR="006A2B13" w:rsidRPr="006A2B13">
        <w:instrText>,"</w:instrText>
      </w:r>
      <w:r w:rsidR="006A2B13">
        <w:rPr>
          <w:lang w:val="en-US"/>
        </w:rPr>
        <w:instrText>suffix</w:instrText>
      </w:r>
      <w:r w:rsidR="006A2B13" w:rsidRPr="006A2B13">
        <w:instrText>":""}],"</w:instrText>
      </w:r>
      <w:r w:rsidR="006A2B13">
        <w:rPr>
          <w:lang w:val="en-US"/>
        </w:rPr>
        <w:instrText>container</w:instrText>
      </w:r>
      <w:r w:rsidR="006A2B13" w:rsidRPr="006A2B13">
        <w:instrText>-</w:instrText>
      </w:r>
      <w:r w:rsidR="006A2B13">
        <w:rPr>
          <w:lang w:val="en-US"/>
        </w:rPr>
        <w:instrText>title</w:instrText>
      </w:r>
      <w:r w:rsidR="006A2B13" w:rsidRPr="006A2B13">
        <w:instrText>":"</w:instrText>
      </w:r>
      <w:r w:rsidR="006A2B13">
        <w:rPr>
          <w:lang w:val="en-US"/>
        </w:rPr>
        <w:instrText>European</w:instrText>
      </w:r>
      <w:r w:rsidR="006A2B13" w:rsidRPr="006A2B13">
        <w:instrText xml:space="preserve"> </w:instrText>
      </w:r>
      <w:r w:rsidR="006A2B13">
        <w:rPr>
          <w:lang w:val="en-US"/>
        </w:rPr>
        <w:instrText>Journal</w:instrText>
      </w:r>
      <w:r w:rsidR="006A2B13" w:rsidRPr="006A2B13">
        <w:instrText xml:space="preserve"> </w:instrText>
      </w:r>
      <w:r w:rsidR="006A2B13">
        <w:rPr>
          <w:lang w:val="en-US"/>
        </w:rPr>
        <w:instrText>of</w:instrText>
      </w:r>
      <w:r w:rsidR="006A2B13" w:rsidRPr="006A2B13">
        <w:instrText xml:space="preserve"> </w:instrText>
      </w:r>
      <w:r w:rsidR="006A2B13">
        <w:rPr>
          <w:lang w:val="en-US"/>
        </w:rPr>
        <w:instrText>Haematology</w:instrText>
      </w:r>
      <w:r w:rsidR="006A2B13" w:rsidRPr="006A2B13">
        <w:instrText>","</w:instrText>
      </w:r>
      <w:r w:rsidR="006A2B13">
        <w:rPr>
          <w:lang w:val="en-US"/>
        </w:rPr>
        <w:instrText>id</w:instrText>
      </w:r>
      <w:r w:rsidR="006A2B13" w:rsidRPr="006A2B13">
        <w:instrText>":"</w:instrText>
      </w:r>
      <w:r w:rsidR="006A2B13">
        <w:rPr>
          <w:lang w:val="en-US"/>
        </w:rPr>
        <w:instrText>ITEM</w:instrText>
      </w:r>
      <w:r w:rsidR="006A2B13" w:rsidRPr="006A2B13">
        <w:instrText>-1","</w:instrText>
      </w:r>
      <w:r w:rsidR="006A2B13">
        <w:rPr>
          <w:lang w:val="en-US"/>
        </w:rPr>
        <w:instrText>issue</w:instrText>
      </w:r>
      <w:r w:rsidR="006A2B13" w:rsidRPr="006A2B13">
        <w:instrText>":"2","</w:instrText>
      </w:r>
      <w:r w:rsidR="006A2B13">
        <w:rPr>
          <w:lang w:val="en-US"/>
        </w:rPr>
        <w:instrText>issued</w:instrText>
      </w:r>
      <w:r w:rsidR="006A2B13" w:rsidRPr="006A2B13">
        <w:instrText>":{"</w:instrText>
      </w:r>
      <w:r w:rsidR="006A2B13">
        <w:rPr>
          <w:lang w:val="en-US"/>
        </w:rPr>
        <w:instrText>date</w:instrText>
      </w:r>
      <w:r w:rsidR="006A2B13" w:rsidRPr="006A2B13">
        <w:instrText>-</w:instrText>
      </w:r>
      <w:r w:rsidR="006A2B13">
        <w:rPr>
          <w:lang w:val="en-US"/>
        </w:rPr>
        <w:instrText>parts</w:instrText>
      </w:r>
      <w:r w:rsidR="006A2B13" w:rsidRPr="006A2B13">
        <w:instrText>":[["2005","8"]]},"</w:instrText>
      </w:r>
      <w:r w:rsidR="006A2B13">
        <w:rPr>
          <w:lang w:val="en-US"/>
        </w:rPr>
        <w:instrText>page</w:instrText>
      </w:r>
      <w:r w:rsidR="006A2B13" w:rsidRPr="006A2B13">
        <w:instrText>":"124-129","</w:instrText>
      </w:r>
      <w:r w:rsidR="006A2B13">
        <w:rPr>
          <w:lang w:val="en-US"/>
        </w:rPr>
        <w:instrText>title</w:instrText>
      </w:r>
      <w:r w:rsidR="006A2B13" w:rsidRPr="006A2B13">
        <w:instrText>":"</w:instrText>
      </w:r>
      <w:r w:rsidR="006A2B13">
        <w:rPr>
          <w:lang w:val="en-US"/>
        </w:rPr>
        <w:instrText>Combination</w:instrText>
      </w:r>
      <w:r w:rsidR="006A2B13" w:rsidRPr="006A2B13">
        <w:instrText xml:space="preserve"> </w:instrText>
      </w:r>
      <w:r w:rsidR="006A2B13">
        <w:rPr>
          <w:lang w:val="en-US"/>
        </w:rPr>
        <w:instrText>chemotherapy</w:instrText>
      </w:r>
      <w:r w:rsidR="006A2B13" w:rsidRPr="006A2B13">
        <w:instrText xml:space="preserve"> </w:instrText>
      </w:r>
      <w:r w:rsidR="006A2B13">
        <w:rPr>
          <w:lang w:val="en-US"/>
        </w:rPr>
        <w:instrText>with</w:instrText>
      </w:r>
      <w:r w:rsidR="006A2B13" w:rsidRPr="006A2B13">
        <w:instrText xml:space="preserve"> </w:instrText>
      </w:r>
      <w:r w:rsidR="006A2B13">
        <w:rPr>
          <w:lang w:val="en-US"/>
        </w:rPr>
        <w:instrText>gemcitabine</w:instrText>
      </w:r>
      <w:r w:rsidR="006A2B13" w:rsidRPr="006A2B13">
        <w:instrText xml:space="preserve"> </w:instrText>
      </w:r>
      <w:r w:rsidR="006A2B13">
        <w:rPr>
          <w:lang w:val="en-US"/>
        </w:rPr>
        <w:instrText>and</w:instrText>
      </w:r>
      <w:r w:rsidR="006A2B13" w:rsidRPr="006A2B13">
        <w:instrText xml:space="preserve"> </w:instrText>
      </w:r>
      <w:r w:rsidR="006A2B13">
        <w:rPr>
          <w:lang w:val="en-US"/>
        </w:rPr>
        <w:instrText>vinorelbine</w:instrText>
      </w:r>
      <w:r w:rsidR="006A2B13" w:rsidRPr="006A2B13">
        <w:instrText xml:space="preserve"> </w:instrText>
      </w:r>
      <w:r w:rsidR="006A2B13">
        <w:rPr>
          <w:lang w:val="en-US"/>
        </w:rPr>
        <w:instrText>in</w:instrText>
      </w:r>
      <w:r w:rsidR="006A2B13" w:rsidRPr="006A2B13">
        <w:instrText xml:space="preserve"> </w:instrText>
      </w:r>
      <w:r w:rsidR="006A2B13">
        <w:rPr>
          <w:lang w:val="en-US"/>
        </w:rPr>
        <w:instrText>the</w:instrText>
      </w:r>
      <w:r w:rsidR="006A2B13" w:rsidRPr="006A2B13">
        <w:instrText xml:space="preserve"> </w:instrText>
      </w:r>
      <w:r w:rsidR="006A2B13">
        <w:rPr>
          <w:lang w:val="en-US"/>
        </w:rPr>
        <w:instrText>treatment</w:instrText>
      </w:r>
      <w:r w:rsidR="006A2B13" w:rsidRPr="006A2B13">
        <w:instrText xml:space="preserve"> </w:instrText>
      </w:r>
      <w:r w:rsidR="006A2B13">
        <w:rPr>
          <w:lang w:val="en-US"/>
        </w:rPr>
        <w:instrText>of</w:instrText>
      </w:r>
      <w:r w:rsidR="006A2B13" w:rsidRPr="006A2B13">
        <w:instrText xml:space="preserve"> </w:instrText>
      </w:r>
      <w:r w:rsidR="006A2B13">
        <w:rPr>
          <w:lang w:val="en-US"/>
        </w:rPr>
        <w:instrText>relapsed</w:instrText>
      </w:r>
      <w:r w:rsidR="006A2B13" w:rsidRPr="006A2B13">
        <w:instrText xml:space="preserve"> </w:instrText>
      </w:r>
      <w:r w:rsidR="006A2B13">
        <w:rPr>
          <w:lang w:val="en-US"/>
        </w:rPr>
        <w:instrText>or</w:instrText>
      </w:r>
      <w:r w:rsidR="006A2B13" w:rsidRPr="006A2B13">
        <w:instrText xml:space="preserve"> </w:instrText>
      </w:r>
      <w:r w:rsidR="006A2B13">
        <w:rPr>
          <w:lang w:val="en-US"/>
        </w:rPr>
        <w:instrText>refractory</w:instrText>
      </w:r>
      <w:r w:rsidR="006A2B13" w:rsidRPr="006A2B13">
        <w:instrText xml:space="preserve"> </w:instrText>
      </w:r>
      <w:r w:rsidR="006A2B13">
        <w:rPr>
          <w:lang w:val="en-US"/>
        </w:rPr>
        <w:instrText>diffuse</w:instrText>
      </w:r>
      <w:r w:rsidR="006A2B13" w:rsidRPr="006A2B13">
        <w:instrText xml:space="preserve"> </w:instrText>
      </w:r>
      <w:r w:rsidR="006A2B13">
        <w:rPr>
          <w:lang w:val="en-US"/>
        </w:rPr>
        <w:instrText>large</w:instrText>
      </w:r>
      <w:r w:rsidR="006A2B13" w:rsidRPr="006A2B13">
        <w:instrText xml:space="preserve"> </w:instrText>
      </w:r>
      <w:r w:rsidR="006A2B13">
        <w:rPr>
          <w:lang w:val="en-US"/>
        </w:rPr>
        <w:instrText>B</w:instrText>
      </w:r>
      <w:r w:rsidR="006A2B13" w:rsidRPr="006A2B13">
        <w:instrText>-</w:instrText>
      </w:r>
      <w:r w:rsidR="006A2B13">
        <w:rPr>
          <w:lang w:val="en-US"/>
        </w:rPr>
        <w:instrText>cell</w:instrText>
      </w:r>
      <w:r w:rsidR="006A2B13" w:rsidRPr="006A2B13">
        <w:instrText xml:space="preserve"> </w:instrText>
      </w:r>
      <w:r w:rsidR="006A2B13">
        <w:rPr>
          <w:lang w:val="en-US"/>
        </w:rPr>
        <w:instrText>lymphoma</w:instrText>
      </w:r>
      <w:r w:rsidR="006A2B13" w:rsidRPr="006A2B13">
        <w:instrText xml:space="preserve">: </w:instrText>
      </w:r>
      <w:r w:rsidR="006A2B13">
        <w:rPr>
          <w:lang w:val="en-US"/>
        </w:rPr>
        <w:instrText>A</w:instrText>
      </w:r>
      <w:r w:rsidR="006A2B13" w:rsidRPr="006A2B13">
        <w:instrText xml:space="preserve"> </w:instrText>
      </w:r>
      <w:r w:rsidR="006A2B13">
        <w:rPr>
          <w:lang w:val="en-US"/>
        </w:rPr>
        <w:instrText>phase</w:instrText>
      </w:r>
      <w:r w:rsidR="006A2B13" w:rsidRPr="006A2B13">
        <w:instrText>-</w:instrText>
      </w:r>
      <w:r w:rsidR="006A2B13">
        <w:rPr>
          <w:lang w:val="en-US"/>
        </w:rPr>
        <w:instrText>II</w:instrText>
      </w:r>
      <w:r w:rsidR="006A2B13" w:rsidRPr="006A2B13">
        <w:instrText xml:space="preserve"> </w:instrText>
      </w:r>
      <w:r w:rsidR="006A2B13">
        <w:rPr>
          <w:lang w:val="en-US"/>
        </w:rPr>
        <w:instrText>trial</w:instrText>
      </w:r>
      <w:r w:rsidR="006A2B13" w:rsidRPr="006A2B13">
        <w:instrText xml:space="preserve"> </w:instrText>
      </w:r>
      <w:r w:rsidR="006A2B13">
        <w:rPr>
          <w:lang w:val="en-US"/>
        </w:rPr>
        <w:instrText>by</w:instrText>
      </w:r>
      <w:r w:rsidR="006A2B13" w:rsidRPr="006A2B13">
        <w:instrText xml:space="preserve"> </w:instrText>
      </w:r>
      <w:r w:rsidR="006A2B13">
        <w:rPr>
          <w:lang w:val="en-US"/>
        </w:rPr>
        <w:instrText>the</w:instrText>
      </w:r>
      <w:r w:rsidR="006A2B13" w:rsidRPr="006A2B13">
        <w:instrText xml:space="preserve"> </w:instrText>
      </w:r>
      <w:r w:rsidR="006A2B13">
        <w:rPr>
          <w:lang w:val="en-US"/>
        </w:rPr>
        <w:instrText>Hellenic</w:instrText>
      </w:r>
      <w:r w:rsidR="006A2B13" w:rsidRPr="006A2B13">
        <w:instrText xml:space="preserve"> </w:instrText>
      </w:r>
      <w:r w:rsidR="006A2B13">
        <w:rPr>
          <w:lang w:val="en-US"/>
        </w:rPr>
        <w:instrText>Cooperative</w:instrText>
      </w:r>
      <w:r w:rsidR="006A2B13" w:rsidRPr="006A2B13">
        <w:instrText xml:space="preserve"> </w:instrText>
      </w:r>
      <w:r w:rsidR="006A2B13">
        <w:rPr>
          <w:lang w:val="en-US"/>
        </w:rPr>
        <w:instrText>Oncology</w:instrText>
      </w:r>
      <w:r w:rsidR="006A2B13" w:rsidRPr="006A2B13">
        <w:instrText xml:space="preserve"> </w:instrText>
      </w:r>
      <w:r w:rsidR="006A2B13">
        <w:rPr>
          <w:lang w:val="en-US"/>
        </w:rPr>
        <w:instrText>Group</w:instrText>
      </w:r>
      <w:r w:rsidR="006A2B13" w:rsidRPr="006A2B13">
        <w:instrText>","</w:instrText>
      </w:r>
      <w:r w:rsidR="006A2B13">
        <w:rPr>
          <w:lang w:val="en-US"/>
        </w:rPr>
        <w:instrText>type</w:instrText>
      </w:r>
      <w:r w:rsidR="006A2B13" w:rsidRPr="006A2B13">
        <w:instrText>":"</w:instrText>
      </w:r>
      <w:r w:rsidR="006A2B13">
        <w:rPr>
          <w:lang w:val="en-US"/>
        </w:rPr>
        <w:instrText>article</w:instrText>
      </w:r>
      <w:r w:rsidR="006A2B13" w:rsidRPr="006A2B13">
        <w:instrText>-</w:instrText>
      </w:r>
      <w:r w:rsidR="006A2B13">
        <w:rPr>
          <w:lang w:val="en-US"/>
        </w:rPr>
        <w:instrText>journal</w:instrText>
      </w:r>
      <w:r w:rsidR="006A2B13" w:rsidRPr="006A2B13">
        <w:instrText>","</w:instrText>
      </w:r>
      <w:r w:rsidR="006A2B13">
        <w:rPr>
          <w:lang w:val="en-US"/>
        </w:rPr>
        <w:instrText>volume</w:instrText>
      </w:r>
      <w:r w:rsidR="006A2B13" w:rsidRPr="006A2B13">
        <w:instrText>":"75"},"</w:instrText>
      </w:r>
      <w:r w:rsidR="006A2B13">
        <w:rPr>
          <w:lang w:val="en-US"/>
        </w:rPr>
        <w:instrText>uris</w:instrText>
      </w:r>
      <w:r w:rsidR="006A2B13" w:rsidRPr="006A2B13">
        <w:instrText>":["</w:instrText>
      </w:r>
      <w:r w:rsidR="006A2B13">
        <w:rPr>
          <w:lang w:val="en-US"/>
        </w:rPr>
        <w:instrText>http</w:instrText>
      </w:r>
      <w:r w:rsidR="006A2B13" w:rsidRPr="006A2B13">
        <w:instrText>://</w:instrText>
      </w:r>
      <w:r w:rsidR="006A2B13">
        <w:rPr>
          <w:lang w:val="en-US"/>
        </w:rPr>
        <w:instrText>www</w:instrText>
      </w:r>
      <w:r w:rsidR="006A2B13" w:rsidRPr="006A2B13">
        <w:instrText>.</w:instrText>
      </w:r>
      <w:r w:rsidR="006A2B13">
        <w:rPr>
          <w:lang w:val="en-US"/>
        </w:rPr>
        <w:instrText>mendeley</w:instrText>
      </w:r>
      <w:r w:rsidR="006A2B13" w:rsidRPr="006A2B13">
        <w:instrText>.</w:instrText>
      </w:r>
      <w:r w:rsidR="006A2B13">
        <w:rPr>
          <w:lang w:val="en-US"/>
        </w:rPr>
        <w:instrText>com</w:instrText>
      </w:r>
      <w:r w:rsidR="006A2B13" w:rsidRPr="006A2B13">
        <w:instrText>/</w:instrText>
      </w:r>
      <w:r w:rsidR="006A2B13">
        <w:rPr>
          <w:lang w:val="en-US"/>
        </w:rPr>
        <w:instrText>documents</w:instrText>
      </w:r>
      <w:r w:rsidR="006A2B13" w:rsidRPr="006A2B13">
        <w:instrText>/?</w:instrText>
      </w:r>
      <w:r w:rsidR="006A2B13">
        <w:rPr>
          <w:lang w:val="en-US"/>
        </w:rPr>
        <w:instrText>uuid</w:instrText>
      </w:r>
      <w:r w:rsidR="006A2B13" w:rsidRPr="006A2B13">
        <w:instrText>=1</w:instrText>
      </w:r>
      <w:r w:rsidR="006A2B13">
        <w:rPr>
          <w:lang w:val="en-US"/>
        </w:rPr>
        <w:instrText>c</w:instrText>
      </w:r>
      <w:r w:rsidR="006A2B13" w:rsidRPr="006A2B13">
        <w:instrText>1506</w:instrText>
      </w:r>
      <w:r w:rsidR="006A2B13">
        <w:rPr>
          <w:lang w:val="en-US"/>
        </w:rPr>
        <w:instrText>a</w:instrText>
      </w:r>
      <w:r w:rsidR="006A2B13" w:rsidRPr="006A2B13">
        <w:instrText>1-5</w:instrText>
      </w:r>
      <w:r w:rsidR="006A2B13">
        <w:rPr>
          <w:lang w:val="en-US"/>
        </w:rPr>
        <w:instrText>edd</w:instrText>
      </w:r>
      <w:r w:rsidR="006A2B13" w:rsidRPr="006A2B13">
        <w:instrText>-3390-84</w:instrText>
      </w:r>
      <w:r w:rsidR="006A2B13">
        <w:rPr>
          <w:lang w:val="en-US"/>
        </w:rPr>
        <w:instrText>b</w:instrText>
      </w:r>
      <w:r w:rsidR="006A2B13" w:rsidRPr="006A2B13">
        <w:instrText>3-4</w:instrText>
      </w:r>
      <w:r w:rsidR="006A2B13">
        <w:rPr>
          <w:lang w:val="en-US"/>
        </w:rPr>
        <w:instrText>cf</w:instrText>
      </w:r>
      <w:r w:rsidR="006A2B13" w:rsidRPr="006A2B13">
        <w:instrText>10928</w:instrText>
      </w:r>
      <w:r w:rsidR="006A2B13">
        <w:rPr>
          <w:lang w:val="en-US"/>
        </w:rPr>
        <w:instrText>adb</w:instrText>
      </w:r>
      <w:r w:rsidR="006A2B13" w:rsidRPr="006A2B13">
        <w:instrText>2"]}],"</w:instrText>
      </w:r>
      <w:r w:rsidR="006A2B13">
        <w:rPr>
          <w:lang w:val="en-US"/>
        </w:rPr>
        <w:instrText>mendeley</w:instrText>
      </w:r>
      <w:r w:rsidR="006A2B13" w:rsidRPr="006A2B13">
        <w:instrText>":{"</w:instrText>
      </w:r>
      <w:r w:rsidR="006A2B13">
        <w:rPr>
          <w:lang w:val="en-US"/>
        </w:rPr>
        <w:instrText>formattedCitation</w:instrText>
      </w:r>
      <w:r w:rsidR="006A2B13" w:rsidRPr="006A2B13">
        <w:instrText>":"[125]","</w:instrText>
      </w:r>
      <w:r w:rsidR="006A2B13">
        <w:rPr>
          <w:lang w:val="en-US"/>
        </w:rPr>
        <w:instrText>plainTextFormattedCitation</w:instrText>
      </w:r>
      <w:r w:rsidR="006A2B13" w:rsidRPr="006A2B13">
        <w:instrText>":"[125]","</w:instrText>
      </w:r>
      <w:r w:rsidR="006A2B13">
        <w:rPr>
          <w:lang w:val="en-US"/>
        </w:rPr>
        <w:instrText>previouslyFormattedCitation</w:instrText>
      </w:r>
      <w:r w:rsidR="006A2B13" w:rsidRPr="006A2B13">
        <w:instrText>":"[125]"},"</w:instrText>
      </w:r>
      <w:r w:rsidR="006A2B13">
        <w:rPr>
          <w:lang w:val="en-US"/>
        </w:rPr>
        <w:instrText>properties</w:instrText>
      </w:r>
      <w:r w:rsidR="006A2B13" w:rsidRPr="006A2B13">
        <w:instrText>":{"</w:instrText>
      </w:r>
      <w:r w:rsidR="006A2B13">
        <w:rPr>
          <w:lang w:val="en-US"/>
        </w:rPr>
        <w:instrText>noteIndex</w:instrText>
      </w:r>
      <w:r w:rsidR="006A2B13" w:rsidRPr="006A2B13">
        <w:instrText>":0},"</w:instrText>
      </w:r>
      <w:r w:rsidR="006A2B13">
        <w:rPr>
          <w:lang w:val="en-US"/>
        </w:rPr>
        <w:instrText>schema</w:instrText>
      </w:r>
      <w:r w:rsidR="006A2B13" w:rsidRPr="006A2B13">
        <w:instrText>":"</w:instrText>
      </w:r>
      <w:r w:rsidR="006A2B13">
        <w:rPr>
          <w:lang w:val="en-US"/>
        </w:rPr>
        <w:instrText>https</w:instrText>
      </w:r>
      <w:r w:rsidR="006A2B13" w:rsidRPr="006A2B13">
        <w:instrText>://</w:instrText>
      </w:r>
      <w:r w:rsidR="006A2B13">
        <w:rPr>
          <w:lang w:val="en-US"/>
        </w:rPr>
        <w:instrText>github</w:instrText>
      </w:r>
      <w:r w:rsidR="006A2B13" w:rsidRPr="006A2B13">
        <w:instrText>.</w:instrText>
      </w:r>
      <w:r w:rsidR="006A2B13">
        <w:rPr>
          <w:lang w:val="en-US"/>
        </w:rPr>
        <w:instrText>com</w:instrText>
      </w:r>
      <w:r w:rsidR="006A2B13" w:rsidRPr="006A2B13">
        <w:instrText>/</w:instrText>
      </w:r>
      <w:r w:rsidR="006A2B13">
        <w:rPr>
          <w:lang w:val="en-US"/>
        </w:rPr>
        <w:instrText>citation</w:instrText>
      </w:r>
      <w:r w:rsidR="006A2B13" w:rsidRPr="006A2B13">
        <w:instrText>-</w:instrText>
      </w:r>
      <w:r w:rsidR="006A2B13">
        <w:rPr>
          <w:lang w:val="en-US"/>
        </w:rPr>
        <w:instrText>style</w:instrText>
      </w:r>
      <w:r w:rsidR="006A2B13" w:rsidRPr="006A2B13">
        <w:instrText>-</w:instrText>
      </w:r>
      <w:r w:rsidR="006A2B13">
        <w:rPr>
          <w:lang w:val="en-US"/>
        </w:rPr>
        <w:instrText>language</w:instrText>
      </w:r>
      <w:r w:rsidR="006A2B13" w:rsidRPr="006A2B13">
        <w:instrText>/</w:instrText>
      </w:r>
      <w:r w:rsidR="006A2B13">
        <w:rPr>
          <w:lang w:val="en-US"/>
        </w:rPr>
        <w:instrText>schema</w:instrText>
      </w:r>
      <w:r w:rsidR="006A2B13" w:rsidRPr="006A2B13">
        <w:instrText>/</w:instrText>
      </w:r>
      <w:r w:rsidR="006A2B13">
        <w:rPr>
          <w:lang w:val="en-US"/>
        </w:rPr>
        <w:instrText>raw</w:instrText>
      </w:r>
      <w:r w:rsidR="006A2B13" w:rsidRPr="006A2B13">
        <w:instrText>/</w:instrText>
      </w:r>
      <w:r w:rsidR="006A2B13">
        <w:rPr>
          <w:lang w:val="en-US"/>
        </w:rPr>
        <w:instrText>master</w:instrText>
      </w:r>
      <w:r w:rsidR="006A2B13" w:rsidRPr="006A2B13">
        <w:instrText>/</w:instrText>
      </w:r>
      <w:r w:rsidR="006A2B13">
        <w:rPr>
          <w:lang w:val="en-US"/>
        </w:rPr>
        <w:instrText>csl</w:instrText>
      </w:r>
      <w:r w:rsidR="006A2B13" w:rsidRPr="006A2B13">
        <w:instrText>-</w:instrText>
      </w:r>
      <w:r w:rsidR="006A2B13">
        <w:rPr>
          <w:lang w:val="en-US"/>
        </w:rPr>
        <w:instrText>citation</w:instrText>
      </w:r>
      <w:r w:rsidR="006A2B13" w:rsidRPr="006A2B13">
        <w:instrText>.</w:instrText>
      </w:r>
      <w:r w:rsidR="006A2B13">
        <w:rPr>
          <w:lang w:val="en-US"/>
        </w:rPr>
        <w:instrText>json</w:instrText>
      </w:r>
      <w:r w:rsidR="006A2B13" w:rsidRPr="006A2B13">
        <w:instrText>"}</w:instrText>
      </w:r>
      <w:r w:rsidR="00666D68" w:rsidRPr="000322E4">
        <w:rPr>
          <w:lang w:val="en-US"/>
        </w:rPr>
        <w:fldChar w:fldCharType="separate"/>
      </w:r>
      <w:r w:rsidR="00A6794A" w:rsidRPr="00A6794A">
        <w:rPr>
          <w:noProof/>
        </w:rPr>
        <w:t>[125]</w:t>
      </w:r>
      <w:r w:rsidR="00666D68" w:rsidRPr="000322E4">
        <w:rPr>
          <w:lang w:val="en-US"/>
        </w:rPr>
        <w:fldChar w:fldCharType="end"/>
      </w:r>
    </w:p>
    <w:p w14:paraId="5EB59AB0" w14:textId="77777777" w:rsidR="00666D68" w:rsidRPr="000322E4" w:rsidRDefault="00D2304E" w:rsidP="008E3584">
      <w:pPr>
        <w:numPr>
          <w:ilvl w:val="0"/>
          <w:numId w:val="49"/>
        </w:numPr>
        <w:spacing w:line="360" w:lineRule="auto"/>
        <w:jc w:val="both"/>
      </w:pPr>
      <w:r w:rsidRPr="00D2304E">
        <w:lastRenderedPageBreak/>
        <w:t>#</w:t>
      </w:r>
      <w:r w:rsidR="00666D68" w:rsidRPr="000322E4">
        <w:t>Гемцитабин** 1000 мг/м</w:t>
      </w:r>
      <w:r w:rsidR="00666D68" w:rsidRPr="000322E4">
        <w:rPr>
          <w:vertAlign w:val="superscript"/>
        </w:rPr>
        <w:t>2</w:t>
      </w:r>
      <w:r w:rsidR="00666D68" w:rsidRPr="000322E4">
        <w:t xml:space="preserve"> в/в кап., дни 1 и 8 </w:t>
      </w:r>
    </w:p>
    <w:p w14:paraId="77FC3B35" w14:textId="77777777" w:rsidR="00666D68" w:rsidRPr="000322E4" w:rsidRDefault="00290650" w:rsidP="008E3584">
      <w:pPr>
        <w:numPr>
          <w:ilvl w:val="0"/>
          <w:numId w:val="49"/>
        </w:numPr>
        <w:spacing w:line="360" w:lineRule="auto"/>
        <w:jc w:val="both"/>
      </w:pPr>
      <w:r w:rsidRPr="00290650">
        <w:t>#</w:t>
      </w:r>
      <w:r w:rsidR="00666D68" w:rsidRPr="000322E4">
        <w:t>Винорелбин** 30 мг/м</w:t>
      </w:r>
      <w:r w:rsidR="00666D68" w:rsidRPr="000322E4">
        <w:rPr>
          <w:vertAlign w:val="superscript"/>
        </w:rPr>
        <w:t>2</w:t>
      </w:r>
      <w:r w:rsidR="00666D68" w:rsidRPr="000322E4">
        <w:t xml:space="preserve"> в/в, дни 1 и 8</w:t>
      </w:r>
    </w:p>
    <w:p w14:paraId="22786853" w14:textId="77777777" w:rsidR="00666D68" w:rsidRPr="000322E4" w:rsidRDefault="00666D68" w:rsidP="008E3584">
      <w:pPr>
        <w:numPr>
          <w:ilvl w:val="0"/>
          <w:numId w:val="49"/>
        </w:numPr>
        <w:spacing w:line="360" w:lineRule="auto"/>
        <w:jc w:val="both"/>
      </w:pPr>
      <w:r w:rsidRPr="000322E4">
        <w:t>Лечение возобновляется на 22 день. Всего не более 6 циклов</w:t>
      </w:r>
    </w:p>
    <w:p w14:paraId="00470C9A" w14:textId="77777777" w:rsidR="00666D68" w:rsidRPr="000322E4" w:rsidRDefault="00666D68" w:rsidP="008E3584">
      <w:pPr>
        <w:spacing w:line="360" w:lineRule="auto"/>
        <w:jc w:val="both"/>
        <w:rPr>
          <w:b/>
          <w:bCs/>
        </w:rPr>
      </w:pPr>
    </w:p>
    <w:p w14:paraId="40BB1842" w14:textId="77777777" w:rsidR="00666D68" w:rsidRPr="000322E4" w:rsidRDefault="00666D68" w:rsidP="008E3584">
      <w:pPr>
        <w:pStyle w:val="afd"/>
        <w:ind w:firstLine="0"/>
        <w:rPr>
          <w:b/>
          <w:bCs/>
          <w:u w:val="single"/>
        </w:rPr>
      </w:pPr>
      <w:r w:rsidRPr="000322E4">
        <w:rPr>
          <w:b/>
          <w:bCs/>
          <w:u w:val="single"/>
          <w:lang w:val="en-US"/>
        </w:rPr>
        <w:t>A</w:t>
      </w:r>
      <w:r w:rsidRPr="000322E4">
        <w:rPr>
          <w:b/>
          <w:bCs/>
          <w:u w:val="single"/>
        </w:rPr>
        <w:t xml:space="preserve">3.1.5 Схемы лечения пациентов </w:t>
      </w:r>
      <w:r w:rsidRPr="000322E4">
        <w:rPr>
          <w:b/>
          <w:bCs/>
          <w:u w:val="single"/>
          <w:lang w:val="en-US"/>
        </w:rPr>
        <w:t>c</w:t>
      </w:r>
      <w:r w:rsidRPr="000322E4">
        <w:rPr>
          <w:b/>
          <w:bCs/>
          <w:u w:val="single"/>
        </w:rPr>
        <w:t xml:space="preserve"> ПЛЦНС</w:t>
      </w:r>
    </w:p>
    <w:p w14:paraId="649E6B2D" w14:textId="4A7CA5AA" w:rsidR="00666D68" w:rsidRPr="000322E4" w:rsidRDefault="00666D68" w:rsidP="008E3584">
      <w:pPr>
        <w:spacing w:line="360" w:lineRule="auto"/>
        <w:jc w:val="both"/>
        <w:rPr>
          <w:b/>
          <w:bCs/>
        </w:rPr>
      </w:pPr>
      <w:r w:rsidRPr="000322E4">
        <w:rPr>
          <w:b/>
          <w:bCs/>
        </w:rPr>
        <w:t xml:space="preserve">Монотерапия высокими дозами метотрексата </w:t>
      </w:r>
      <w:r w:rsidRPr="000322E4">
        <w:rPr>
          <w:b/>
          <w:bCs/>
        </w:rPr>
        <w:fldChar w:fldCharType="begin" w:fldLock="1"/>
      </w:r>
      <w:r w:rsidR="00A6794A">
        <w:rPr>
          <w:b/>
          <w:bCs/>
        </w:rPr>
        <w:instrText>ADDIN CSL_CITATION {"citationItems":[{"id":"ITEM-1","itemData":{"DOI":"10.1200/JCO.2003.03.036","ISSN":"0732-183X","abstract":"&lt;p&gt;Purpose: A multicenter, phase II study of single-agent, intravenous methotrexate in newly diagnosed non-AIDS-related primary CNS lymphoma was conducted in the New Approaches to Brain Tumor Therapy (NABTT) CNS Consortium.&lt;/p&gt;","author":[{"dropping-particle":"","family":"Batchelor","given":"Tracy","non-dropping-particle":"","parse-names":false,"suffix":""},{"dropping-particle":"","family":"Carson","given":"Kathryn","non-dropping-particle":"","parse-names":false,"suffix":""},{"dropping-particle":"","family":"O’Neill","given":"Alison","non-dropping-particle":"","parse-names":false,"suffix":""},{"dropping-particle":"","family":"Grossman","given":"Stuart A.","non-dropping-particle":"","parse-names":false,"suffix":""},{"dropping-particle":"","family":"Alavi","given":"Jane","non-dropping-particle":"","parse-names":false,"suffix":""},{"dropping-particle":"","family":"New","given":"Pamela","non-dropping-particle":"","parse-names":false,"suffix":""},{"dropping-particle":"","family":"Hochberg","given":"Fred","non-dropping-particle":"","parse-names":false,"suffix":""},{"dropping-particle":"","family":"Priet","given":"Regina","non-dropping-particle":"","parse-names":false,"suffix":""}],"container-title":"Journal of Clinical Oncology","id":"ITEM-1","issue":"6","issued":{"date-parts":[["2003","3","15"]]},"page":"1044-1049","publisher":"American Society of Clinical Oncology","title":"Treatment of Primary CNS Lymphoma With Methotrexate and Deferred Radiotherapy: A Report of NABTT 96–07","type":"article-journal","volume":"21"},"uris":["http://www.mendeley.com/documents/?uuid=90a727b8-e20a-33d7-8950-7b27e3db26c5"]},{"id":"ITEM-2","itemData":{"DOI":"10.1215/15228517-2008-067","ISSN":"1522-8517","abstract":"The introduction of methotrexate (MTX)-based chemotherapy has improved median survival for patients with primary CNS lymphoma (PCNSL). Older age is a negative prognostic marker in patients with PCNSL and may increase the likelihood of MTX toxicity. We studied the response and adverse effects of intravenous high-dose MTX in patients who were 70 or more years of age at the time of diagnosis. We identified 31 patients at our institution diagnosed with PCNSL at age &gt; or =70 years (median, 74 years) who were treated with high-dose MTX (3.5-8 g/m(2)) as initial therapy from 1992 through 2006. The best response to MTX was determined by contrast-enhanced MRI. Toxicity was analyzed by chart review. These 31 patients received a total of 303 cycles of MTX (median, eight cycles per patient). Overall, 87.9% of the cycles required dose reduction because of impaired creatinine clearance. In 30 evaluable patients, the overall radiographic response rate was 96.7%, with 18 complete responses (60%) and 11 partial responses (36.7%). Progression-free survival and overall survival were 7.1 months and 37 months, respectively. Grade I-IV toxicities were observed in 27 of 31 patients and included gastrointestinal disturbances in 58% (3.2% grade III), hematological complications in 80.6% (6.5% grade III), and renal toxicity in 29% (0% grade III/IV). High-dose MTX is associated with a high proportion of radiographic responses and a low proportion of grade III/IV toxicity in patients 70 or more years of age. High-dose MTX should be considered as a feasible treatment option in elderly patients with PCNSL.","author":[{"dropping-particle":"","family":"Zhu","given":"Jay-Jiguang","non-dropping-particle":"","parse-names":false,"suffix":""},{"dropping-particle":"","family":"Gerstner","given":"Elizabeth R.","non-dropping-particle":"","parse-names":false,"suffix":""},{"dropping-particle":"","family":"Engler","given":"David A.","non-dropping-particle":"","parse-names":false,"suffix":""},{"dropping-particle":"","family":"Mrugala","given":"Maciej M.","non-dropping-particle":"","parse-names":false,"suffix":""},{"dropping-particle":"","family":"Nugent","given":"Whitney","non-dropping-particle":"","parse-names":false,"suffix":""},{"dropping-particle":"","family":"Nierenberg","given":"Kristin","non-dropping-particle":"","parse-names":false,"suffix":""},{"dropping-particle":"","family":"Hochberg","given":"Fred H.","non-dropping-particle":"","parse-names":false,"suffix":""},{"dropping-particle":"","family":"Betensky","given":"Rebecca A.","non-dropping-particle":"","parse-names":false,"suffix":""},{"dropping-particle":"","family":"Batchelor","given":"Tracy T.","non-dropping-particle":"","parse-names":false,"suffix":""}],"container-title":"Neuro-Oncology","id":"ITEM-2","issue":"2","issued":{"date-parts":[["2009","4","1"]]},"page":"211-215","publisher":"Oxford University Press (OUP)","title":"High-dose methotrexate for elderly patients with primary CNS lymphoma","type":"article-journal","volume":"11"},"uris":["http://www.mendeley.com/documents/?uuid=a25fea46-d826-34da-82ab-5772b959d509"]}],"mendeley":{"formattedCitation":"[211,212]","plainTextFormattedCitation":"[211,212]","previouslyFormattedCitation":"[211,212]"},"properties":{"noteIndex":0},"schema":"https://github.com/citation-style-language/schema/raw/master/csl-citation.json"}</w:instrText>
      </w:r>
      <w:r w:rsidRPr="000322E4">
        <w:rPr>
          <w:b/>
          <w:bCs/>
        </w:rPr>
        <w:fldChar w:fldCharType="separate"/>
      </w:r>
      <w:r w:rsidR="006E1902" w:rsidRPr="006E1902">
        <w:rPr>
          <w:bCs/>
          <w:noProof/>
        </w:rPr>
        <w:t>[211,212]</w:t>
      </w:r>
      <w:r w:rsidRPr="000322E4">
        <w:rPr>
          <w:b/>
          <w:bCs/>
        </w:rPr>
        <w:fldChar w:fldCharType="end"/>
      </w:r>
      <w:r w:rsidRPr="000322E4">
        <w:rPr>
          <w:b/>
          <w:bCs/>
        </w:rPr>
        <w:t>:</w:t>
      </w:r>
    </w:p>
    <w:p w14:paraId="2C82855A" w14:textId="77777777" w:rsidR="00666D68" w:rsidRPr="000322E4" w:rsidRDefault="00666D68" w:rsidP="008E3584">
      <w:pPr>
        <w:numPr>
          <w:ilvl w:val="0"/>
          <w:numId w:val="52"/>
        </w:numPr>
        <w:spacing w:line="360" w:lineRule="auto"/>
        <w:jc w:val="both"/>
      </w:pPr>
      <w:r w:rsidRPr="000322E4">
        <w:t>Метотрексат** 8000 мг/м</w:t>
      </w:r>
      <w:r w:rsidRPr="000322E4">
        <w:rPr>
          <w:vertAlign w:val="superscript"/>
        </w:rPr>
        <w:t>2</w:t>
      </w:r>
      <w:r w:rsidRPr="000322E4">
        <w:t xml:space="preserve"> в/в кап. в течение 4 часов.       </w:t>
      </w:r>
    </w:p>
    <w:p w14:paraId="264285AB" w14:textId="77777777" w:rsidR="00666D68" w:rsidRPr="000322E4" w:rsidRDefault="00666D68" w:rsidP="008E3584">
      <w:pPr>
        <w:spacing w:line="360" w:lineRule="auto"/>
        <w:ind w:left="720"/>
        <w:jc w:val="both"/>
      </w:pPr>
      <w:r w:rsidRPr="000322E4">
        <w:t xml:space="preserve">Возобновление лечения на 15 день, всего 8 циклов  </w:t>
      </w:r>
    </w:p>
    <w:p w14:paraId="610EBEE5" w14:textId="77777777" w:rsidR="00666D68" w:rsidRPr="000322E4" w:rsidRDefault="00666D68" w:rsidP="008E3584">
      <w:pPr>
        <w:spacing w:line="360" w:lineRule="auto"/>
        <w:ind w:left="720"/>
        <w:jc w:val="both"/>
      </w:pPr>
      <w:r w:rsidRPr="000322E4">
        <w:t>или</w:t>
      </w:r>
    </w:p>
    <w:p w14:paraId="0DBE45DD" w14:textId="77777777" w:rsidR="00666D68" w:rsidRPr="000322E4" w:rsidRDefault="00666D68" w:rsidP="008E3584">
      <w:pPr>
        <w:numPr>
          <w:ilvl w:val="0"/>
          <w:numId w:val="52"/>
        </w:numPr>
        <w:spacing w:line="360" w:lineRule="auto"/>
        <w:jc w:val="both"/>
      </w:pPr>
      <w:r w:rsidRPr="000322E4">
        <w:t>Метотрексат</w:t>
      </w:r>
      <w:r w:rsidRPr="000322E4">
        <w:rPr>
          <w:bCs/>
        </w:rPr>
        <w:t>**</w:t>
      </w:r>
      <w:r w:rsidRPr="000322E4">
        <w:t xml:space="preserve"> 3500 мг/м</w:t>
      </w:r>
      <w:r w:rsidRPr="000322E4">
        <w:rPr>
          <w:vertAlign w:val="superscript"/>
        </w:rPr>
        <w:t>2</w:t>
      </w:r>
      <w:r w:rsidRPr="000322E4">
        <w:t xml:space="preserve"> в/в кап.  Возобновление лечения на 22 день, всего 4 цикла, с последующей лучевой терапией</w:t>
      </w:r>
    </w:p>
    <w:p w14:paraId="578AEDA0" w14:textId="77777777" w:rsidR="00666D68" w:rsidRPr="000322E4" w:rsidRDefault="00666D68" w:rsidP="008E3584">
      <w:pPr>
        <w:pStyle w:val="TableParagraph"/>
        <w:tabs>
          <w:tab w:val="left" w:pos="580"/>
          <w:tab w:val="left" w:pos="581"/>
        </w:tabs>
        <w:autoSpaceDE w:val="0"/>
        <w:spacing w:line="360" w:lineRule="auto"/>
        <w:ind w:left="158"/>
        <w:jc w:val="both"/>
        <w:rPr>
          <w:szCs w:val="24"/>
          <w:lang w:val="ru-RU"/>
        </w:rPr>
      </w:pPr>
    </w:p>
    <w:p w14:paraId="07CAF1C3" w14:textId="4469ABEC" w:rsidR="00666D68" w:rsidRPr="000322E4" w:rsidRDefault="00666D68" w:rsidP="008E3584">
      <w:pPr>
        <w:spacing w:line="360" w:lineRule="auto"/>
        <w:jc w:val="both"/>
        <w:rPr>
          <w:b/>
          <w:bCs/>
        </w:rPr>
      </w:pPr>
      <w:r w:rsidRPr="000322E4">
        <w:rPr>
          <w:b/>
          <w:bCs/>
        </w:rPr>
        <w:t xml:space="preserve">MT-R </w:t>
      </w:r>
      <w:r w:rsidRPr="000322E4">
        <w:rPr>
          <w:b/>
          <w:bCs/>
        </w:rPr>
        <w:fldChar w:fldCharType="begin" w:fldLock="1"/>
      </w:r>
      <w:r w:rsidR="00021E2A">
        <w:rPr>
          <w:b/>
          <w:bCs/>
        </w:rPr>
        <w:instrText>ADDIN CSL_CITATION {"citationItems":[{"id":"ITEM-1","itemData":{"DOI":"10.1200/JCO.2012.46.9957","ISSN":"0732183X","abstract":"Purpose Concerns regarding neurocognitive toxicity of whole-brain radiotherapy (WBRT) have motivated development of alternative, dose-intensive chemotherapeutic strategies as consolidation in primary CNS lymphoma (PCNSL). We performed a multicenter study of high-dose consolidation, without WBRT, in PCNSL. Objectives were to determine: one, rate of complete response (CR) after remission induction therapy with methotrexate, temozolomide, and rituximab (MT-R); two, feasibility of a two-step approach using high-dose consolidation with etoposide plus cytarabine (EA); three, progression-free survival (PFS); and four, correlation between clinical and molecular prognostic factors and outcome. Patients and Methods Forty-four patients with newly diagnosed PCNSL were treated with induction MT-R, and patients who achieved CR received EA consolidation. We performed a prospective analysis of molecular prognostic biomarkers in PCNSL in the setting of a clinical trial. Results The rate of CR to MT-R was 66%. The overall 2-year PFS was 0.57, with median follow-up of 4.9 years. The 2-year time to progression was 0.59, and for patients who completed consolidation, it was 0.77. Patients age &gt; 60 years did as well as younger patients, and the most significant clinical prognostic variable was treatment delay. High BCL6 expression correlated with shorter survival. Conclusion CALGB 50202 demonstrates for the first time to our knowledge that dose-intensive consolidation for PCNSL is feasible in the multicenter setting and yields rates of PFS and OS at least comparable to those of regimens involving WBRT. On the basis of these encouraging results, an intergroup study has been activated comparing EA consolidation with myeloablative chemotherapy in this randomized trial in PCNSL, in which neither arm involves WBRT. Copyright © 2013 American Society of Clinical Oncology. All rights reserved.","author":[{"dropping-particle":"","family":"Rubenstein","given":"James L.","non-dropping-particle":"","parse-names":false,"suffix":""},{"dropping-particle":"","family":"Hsi","given":"Eric D.","non-dropping-particle":"","parse-names":false,"suffix":""},{"dropping-particle":"","family":"Johnson","given":"Jeffrey L.","non-dropping-particle":"","parse-names":false,"suffix":""},{"dropping-particle":"","family":"Jung","given":"Sin Ho","non-dropping-particle":"","parse-names":false,"suffix":""},{"dropping-particle":"","family":"Nakashima","given":"Megan O.","non-dropping-particle":"","parse-names":false,"suffix":""},{"dropping-particle":"","family":"Grant","given":"Barbara","non-dropping-particle":"","parse-names":false,"suffix":""},{"dropping-particle":"","family":"Cheson","given":"Bruce D.","non-dropping-particle":"","parse-names":false,"suffix":""},{"dropping-particle":"","family":"Kaplan","given":"Lawrence D.","non-dropping-particle":"","parse-names":false,"suffix":""}],"container-title":"Journal of Clinical Oncology","id":"ITEM-1","issue":"25","issued":{"date-parts":[["2013","9","1"]]},"page":"3061-3068","title":"Intensive chemotherapy and immunotherapy in patients with newly diagnosed primary CNS lymphoma: CALGB 50202 (Alliance 50202)","type":"article-journal","volume":"31"},"uris":["http://www.mendeley.com/documents/?uuid=7fd13872-59f9-3663-b3dd-f3fd86080132"]}],"mendeley":{"formattedCitation":"[95]","plainTextFormattedCitation":"[95]","previouslyFormattedCitation":"[95]"},"properties":{"noteIndex":0},"schema":"https://github.com/citation-style-language/schema/raw/master/csl-citation.json"}</w:instrText>
      </w:r>
      <w:r w:rsidRPr="000322E4">
        <w:rPr>
          <w:b/>
          <w:bCs/>
        </w:rPr>
        <w:fldChar w:fldCharType="separate"/>
      </w:r>
      <w:r w:rsidR="009D170B" w:rsidRPr="009D170B">
        <w:rPr>
          <w:bCs/>
          <w:noProof/>
        </w:rPr>
        <w:t>[95]</w:t>
      </w:r>
      <w:r w:rsidRPr="000322E4">
        <w:rPr>
          <w:b/>
          <w:bCs/>
        </w:rPr>
        <w:fldChar w:fldCharType="end"/>
      </w:r>
    </w:p>
    <w:p w14:paraId="0FA98921" w14:textId="77777777" w:rsidR="00666D68" w:rsidRPr="000322E4" w:rsidRDefault="00666D68" w:rsidP="008E3584">
      <w:pPr>
        <w:numPr>
          <w:ilvl w:val="0"/>
          <w:numId w:val="52"/>
        </w:numPr>
        <w:spacing w:line="360" w:lineRule="auto"/>
        <w:jc w:val="both"/>
      </w:pPr>
      <w:r w:rsidRPr="000322E4">
        <w:t>Метотрексат</w:t>
      </w:r>
      <w:r w:rsidRPr="000322E4">
        <w:rPr>
          <w:bCs/>
        </w:rPr>
        <w:t>**</w:t>
      </w:r>
      <w:r w:rsidRPr="000322E4">
        <w:t xml:space="preserve"> 8000 мг/м</w:t>
      </w:r>
      <w:r w:rsidRPr="000322E4">
        <w:rPr>
          <w:vertAlign w:val="superscript"/>
        </w:rPr>
        <w:t>2</w:t>
      </w:r>
      <w:r w:rsidRPr="000322E4">
        <w:t xml:space="preserve"> в/в кап. в течение 4 часов, день 1</w:t>
      </w:r>
    </w:p>
    <w:p w14:paraId="75FE6ECF" w14:textId="77777777" w:rsidR="00666D68" w:rsidRPr="000322E4" w:rsidRDefault="00666D68" w:rsidP="008E3584">
      <w:pPr>
        <w:numPr>
          <w:ilvl w:val="0"/>
          <w:numId w:val="52"/>
        </w:numPr>
        <w:spacing w:line="360" w:lineRule="auto"/>
        <w:jc w:val="both"/>
      </w:pPr>
      <w:r w:rsidRPr="000322E4">
        <w:t>Ритуксимаб</w:t>
      </w:r>
      <w:r w:rsidRPr="000322E4">
        <w:rPr>
          <w:bCs/>
        </w:rPr>
        <w:t>**</w:t>
      </w:r>
      <w:r w:rsidRPr="000322E4">
        <w:t xml:space="preserve"> 375 мг/м</w:t>
      </w:r>
      <w:r w:rsidRPr="000322E4">
        <w:rPr>
          <w:vertAlign w:val="superscript"/>
        </w:rPr>
        <w:t>2</w:t>
      </w:r>
      <w:r w:rsidRPr="000322E4">
        <w:t xml:space="preserve"> в/в кап., день 3</w:t>
      </w:r>
    </w:p>
    <w:p w14:paraId="3CEDE167" w14:textId="77777777" w:rsidR="00666D68" w:rsidRPr="000322E4" w:rsidRDefault="001E7C83" w:rsidP="008E3584">
      <w:pPr>
        <w:numPr>
          <w:ilvl w:val="0"/>
          <w:numId w:val="52"/>
        </w:numPr>
        <w:spacing w:line="360" w:lineRule="auto"/>
        <w:jc w:val="both"/>
      </w:pPr>
      <w:r w:rsidRPr="001E7C83">
        <w:t>#</w:t>
      </w:r>
      <w:r w:rsidR="00666D68" w:rsidRPr="000322E4">
        <w:t>Темозоломид</w:t>
      </w:r>
      <w:r w:rsidR="00666D68" w:rsidRPr="000322E4">
        <w:rPr>
          <w:bCs/>
        </w:rPr>
        <w:t>**</w:t>
      </w:r>
      <w:r w:rsidR="00666D68" w:rsidRPr="000322E4">
        <w:t xml:space="preserve"> 150 мг/м</w:t>
      </w:r>
      <w:r w:rsidR="00666D68" w:rsidRPr="000322E4">
        <w:rPr>
          <w:vertAlign w:val="superscript"/>
        </w:rPr>
        <w:t>2</w:t>
      </w:r>
      <w:r w:rsidR="00666D68" w:rsidRPr="000322E4">
        <w:t xml:space="preserve"> внутрь, дни 7-11  </w:t>
      </w:r>
    </w:p>
    <w:p w14:paraId="0CECFCF8" w14:textId="77777777" w:rsidR="00666D68" w:rsidRPr="000322E4" w:rsidRDefault="00666D68" w:rsidP="008E3584">
      <w:pPr>
        <w:spacing w:line="360" w:lineRule="auto"/>
        <w:ind w:left="720"/>
        <w:jc w:val="both"/>
      </w:pPr>
      <w:r w:rsidRPr="000322E4">
        <w:t>Возобновление лечения на 15 день Всего 6</w:t>
      </w:r>
      <w:r w:rsidRPr="000322E4">
        <w:rPr>
          <w:spacing w:val="1"/>
        </w:rPr>
        <w:t xml:space="preserve"> </w:t>
      </w:r>
      <w:r w:rsidRPr="000322E4">
        <w:t>циклов</w:t>
      </w:r>
    </w:p>
    <w:p w14:paraId="7AB173AE" w14:textId="77777777" w:rsidR="00666D68" w:rsidRPr="000322E4" w:rsidRDefault="00666D68" w:rsidP="008E3584">
      <w:pPr>
        <w:spacing w:line="360" w:lineRule="auto"/>
        <w:jc w:val="both"/>
        <w:rPr>
          <w:b/>
        </w:rPr>
      </w:pPr>
    </w:p>
    <w:p w14:paraId="04AFE642" w14:textId="1AB18F7F" w:rsidR="005F44A0" w:rsidRPr="000322E4" w:rsidRDefault="005F44A0" w:rsidP="005F44A0">
      <w:pPr>
        <w:spacing w:line="360" w:lineRule="auto"/>
        <w:jc w:val="both"/>
        <w:rPr>
          <w:b/>
          <w:bCs/>
        </w:rPr>
      </w:pPr>
      <w:r w:rsidRPr="000322E4">
        <w:rPr>
          <w:b/>
          <w:bCs/>
        </w:rPr>
        <w:t xml:space="preserve">Метотрексат** + цитарабин** </w:t>
      </w:r>
      <w:r w:rsidRPr="000322E4">
        <w:fldChar w:fldCharType="begin" w:fldLock="1"/>
      </w:r>
      <w:r w:rsidR="00021E2A">
        <w:instrText>ADDIN CSL_CITATION {"citationItems":[{"id":"ITEM-1","itemData":{"DOI":"10.1016/S0140-6736(09)61416-1","ISSN":"01406736","abstract":"Background: Chemotherapy with high-dose methotrexate is the conventional approach to treat primary CNS lymphomas, but superiority of polychemotherapy compared with high-dose methotrexate alone is unproven. We assessed the effect of adding high-dose cytarabine to methotrexate in patients with newly diagnosed primary CNS lymphoma. Methods: This open, randomised, phase 2 trial was undertaken in 24 centres in six countries. 79 patients with non-Hodgkin lymphoma exclusively localised into the CNS, cranial nerves, or eyes, aged 18-75 years, and with Eastern Cooperative Oncology Group performance status of 3 or lower and measurable disease were centrally randomly assigned by computer to receive four courses of either methotrexate 3·5 g/m2 on day 1 (n=40) or methotrexate 3·5 g/m2 on day 1 plus cytarabine 2 g/m2 twice a day on days 2-3 (n=39). Both regimens were administered every 3 weeks and were followed by whole-brain irradiation. The primary endpoint was complete remission rate after chemotherapy. Analysis was by intention to treat. This study is registered with ClinicalTrials.gov, number NCT00210314. Findings: All randomly assigned participants were analysed. After chemotherapy, seven patients given methotrexate and 18 given methotrexate plus cytarabine achieved a complete remission, with a complete remission rate of 18% (95% CI 6-30) and 46% (31-61), respectively, (p=0·006). Nine patients receiving methotrexate and nine receiving methotrexate plus cytarabine achieved a partial response, with an overall response rate of 40% (25-55) and 69% (55-83), respectively, (p=0·009). Grade 3-4 haematological toxicity was more common in the methotrexate plus cytarabine group than in the methotrexate group (36 [92%] vs six [15%]). Four patients died of toxic effects (three vs one). Interpretation: In patients aged 75 years and younger with primary CNS lymphoma, the addition of high-dose cytarabine to high-dose methotrexate provides improved outcome with acceptable toxicity compared with high-dose methotrexate alone. Funding: Swiss Cancer League. © 2009 Elsevier Ltd. All rights reserved.","author":[{"dropping-particle":"","family":"Ferreri","given":"Andrés JM","non-dropping-particle":"","parse-names":false,"suffix":""},{"dropping-particle":"","family":"Reni","given":"Michele","non-dropping-particle":"","parse-names":false,"suffix":""},{"dropping-particle":"","family":"Foppoli","given":"Marco","non-dropping-particle":"","parse-names":false,"suffix":""},{"dropping-particle":"","family":"Martelli","given":"Maurizio","non-dropping-particle":"","parse-names":false,"suffix":""},{"dropping-particle":"","family":"Pangalis","given":"Gerasimus A.","non-dropping-particle":"","parse-names":false,"suffix":""},{"dropping-particle":"","family":"Frezzato","given":"Maurizio","non-dropping-particle":"","parse-names":false,"suffix":""},{"dropping-particle":"","family":"Cabras","given":"Maria Giuseppina","non-dropping-particle":"","parse-names":false,"suffix":""},{"dropping-particle":"","family":"Fabbri","given":"Alberto","non-dropping-particle":"","parse-names":false,"suffix":""},{"dropping-particle":"","family":"Corazzelli","given":"Gaetano","non-dropping-particle":"","parse-names":false,"suffix":""},{"dropping-particle":"","family":"Ilariucci","given":"Fiorella","non-dropping-particle":"","parse-names":false,"suffix":""},{"dropping-particle":"","family":"Rossi","given":"Giuseppe","non-dropping-particle":"","parse-names":false,"suffix":""},{"dropping-particle":"","family":"Soffietti","given":"Riccardo","non-dropping-particle":"","parse-names":false,"suffix":""},{"dropping-particle":"","family":"Stelitano","given":"Caterina","non-dropping-particle":"","parse-names":false,"suffix":""},{"dropping-particle":"","family":"Vallisa","given":"Daniele","non-dropping-particle":"","parse-names":false,"suffix":""},{"dropping-particle":"","family":"Zaja","given":"Francesco","non-dropping-particle":"","parse-names":false,"suffix":""},{"dropping-particle":"","family":"Zoppegno","given":"Lucía","non-dropping-particle":"","parse-names":false,"suffix":""},{"dropping-particle":"","family":"Aondio","given":"Gian Marco","non-dropping-particle":"","parse-names":false,"suffix":""},{"dropping-particle":"","family":"Avvisati","given":"Giuseppe","non-dropping-particle":"","parse-names":false,"suffix":""},{"dropping-particle":"","family":"Balzarotti","given":"Monica","non-dropping-particle":"","parse-names":false,"suffix":""},{"dropping-particle":"","family":"Brandes","given":"Alba A.","non-dropping-particle":"","parse-names":false,"suffix":""},{"dropping-particle":"","family":"Fajardo","given":"José","non-dropping-particle":"","parse-names":false,"suffix":""},{"dropping-particle":"","family":"Gomez","given":"Henry","non-dropping-particle":"","parse-names":false,"suffix":""},{"dropping-particle":"","family":"Guarini","given":"Attilio","non-dropping-particle":"","parse-names":false,"suffix":""},{"dropping-particle":"","family":"Pinotti","given":"Graziella","non-dropping-particle":"","parse-names":false,"suffix":""},{"dropping-particle":"","family":"Rigacci","given":"Luigi","non-dropping-particle":"","parse-names":false,"suffix":""},{"dropping-particle":"","family":"Uhlmann","given":"Catrina","non-dropping-particle":"","parse-names":false,"suffix":""},{"dropping-particle":"","family":"Picozzi","given":"Piero","non-dropping-particle":"","parse-names":false,"suffix":""},{"dropping-particle":"","family":"Vezzulli","given":"Paolo","non-dropping-particle":"","parse-names":false,"suffix":""},{"dropping-particle":"","family":"Ponzoni","given":"Maurilio","non-dropping-particle":"","parse-names":false,"suffix":""},{"dropping-particle":"","family":"Zucca","given":"Emanuele","non-dropping-particle":"","parse-names":false,"suffix":""},{"dropping-particle":"","family":"Caligaris-Cappio","given":"Federico","non-dropping-particle":"","parse-names":false,"suffix":""},{"dropping-particle":"","family":"Cavalli","given":"Franco","non-dropping-particle":"","parse-names":false,"suffix":""}],"container-title":"The Lancet","id":"ITEM-1","issue":"9700","issued":{"date-parts":[["2009"]]},"page":"1512-1520","title":"High-dose cytarabine plus high-dose methotrexate versus high-dose methotrexate alone in patients with primary CNS lymphoma: a randomised phase 2 trial","type":"article-journal","volume":"374"},"uris":["http://www.mendeley.com/documents/?uuid=ff6c34eb-65ed-333e-878d-5d30c9dd2ebd"]}],"mendeley":{"formattedCitation":"[94]","plainTextFormattedCitation":"[94]","previouslyFormattedCitation":"[94]"},"properties":{"noteIndex":0},"schema":"https://github.com/citation-style-language/schema/raw/master/csl-citation.json"}</w:instrText>
      </w:r>
      <w:r w:rsidRPr="000322E4">
        <w:fldChar w:fldCharType="separate"/>
      </w:r>
      <w:r w:rsidR="009D170B" w:rsidRPr="009D170B">
        <w:rPr>
          <w:noProof/>
        </w:rPr>
        <w:t>[94]</w:t>
      </w:r>
      <w:r w:rsidRPr="000322E4">
        <w:fldChar w:fldCharType="end"/>
      </w:r>
    </w:p>
    <w:p w14:paraId="6B2111D2" w14:textId="77777777" w:rsidR="005F44A0" w:rsidRPr="000322E4" w:rsidRDefault="005F44A0" w:rsidP="005F44A0">
      <w:pPr>
        <w:numPr>
          <w:ilvl w:val="0"/>
          <w:numId w:val="52"/>
        </w:numPr>
        <w:spacing w:line="360" w:lineRule="auto"/>
        <w:jc w:val="both"/>
      </w:pPr>
      <w:r w:rsidRPr="000322E4">
        <w:t>Метотрексат</w:t>
      </w:r>
      <w:r w:rsidRPr="000322E4">
        <w:rPr>
          <w:bCs/>
        </w:rPr>
        <w:t>**</w:t>
      </w:r>
      <w:r w:rsidRPr="000322E4">
        <w:t xml:space="preserve"> 3500 мг/м</w:t>
      </w:r>
      <w:r w:rsidRPr="000322E4">
        <w:rPr>
          <w:vertAlign w:val="superscript"/>
        </w:rPr>
        <w:t>2</w:t>
      </w:r>
      <w:r w:rsidRPr="000322E4">
        <w:t xml:space="preserve"> в/в кап., день 1</w:t>
      </w:r>
    </w:p>
    <w:p w14:paraId="6EB586B1" w14:textId="77777777" w:rsidR="005F44A0" w:rsidRPr="000322E4" w:rsidRDefault="005F44A0" w:rsidP="005F44A0">
      <w:pPr>
        <w:numPr>
          <w:ilvl w:val="0"/>
          <w:numId w:val="52"/>
        </w:numPr>
        <w:spacing w:line="360" w:lineRule="auto"/>
        <w:jc w:val="both"/>
      </w:pPr>
      <w:r w:rsidRPr="000322E4">
        <w:t>Цитарабин</w:t>
      </w:r>
      <w:r w:rsidRPr="000322E4">
        <w:rPr>
          <w:bCs/>
        </w:rPr>
        <w:t>**</w:t>
      </w:r>
      <w:r w:rsidRPr="000322E4">
        <w:t xml:space="preserve"> 2000 мг/м</w:t>
      </w:r>
      <w:r w:rsidRPr="000322E4">
        <w:rPr>
          <w:vertAlign w:val="superscript"/>
        </w:rPr>
        <w:t>2</w:t>
      </w:r>
      <w:r w:rsidRPr="000322E4">
        <w:t xml:space="preserve"> в/в кап. 2 раза в день, дни 2-3</w:t>
      </w:r>
    </w:p>
    <w:p w14:paraId="44FD3999" w14:textId="77777777" w:rsidR="005F44A0" w:rsidRPr="000322E4" w:rsidRDefault="005F44A0" w:rsidP="005F44A0">
      <w:pPr>
        <w:spacing w:line="360" w:lineRule="auto"/>
        <w:ind w:left="720"/>
        <w:jc w:val="both"/>
      </w:pPr>
      <w:r w:rsidRPr="000322E4">
        <w:t xml:space="preserve">Возобновление на 22 день Всего 4 циклов </w:t>
      </w:r>
    </w:p>
    <w:p w14:paraId="419781D1" w14:textId="77777777" w:rsidR="005F44A0" w:rsidRPr="000322E4" w:rsidRDefault="005F44A0" w:rsidP="008E3584">
      <w:pPr>
        <w:spacing w:line="360" w:lineRule="auto"/>
        <w:jc w:val="both"/>
        <w:rPr>
          <w:b/>
          <w:bCs/>
        </w:rPr>
      </w:pPr>
    </w:p>
    <w:p w14:paraId="6C5C0398" w14:textId="3A5B60FB" w:rsidR="00666D68" w:rsidRPr="000322E4" w:rsidRDefault="00666D68" w:rsidP="008E3584">
      <w:pPr>
        <w:spacing w:line="360" w:lineRule="auto"/>
        <w:jc w:val="both"/>
        <w:rPr>
          <w:b/>
          <w:bCs/>
        </w:rPr>
      </w:pPr>
      <w:r w:rsidRPr="000322E4">
        <w:rPr>
          <w:b/>
          <w:bCs/>
        </w:rPr>
        <w:t xml:space="preserve">MATRix </w:t>
      </w:r>
      <w:r w:rsidRPr="000322E4">
        <w:rPr>
          <w:b/>
          <w:bCs/>
          <w:lang w:val="en-US"/>
        </w:rPr>
        <w:fldChar w:fldCharType="begin" w:fldLock="1"/>
      </w:r>
      <w:r w:rsidR="00021E2A">
        <w:rPr>
          <w:b/>
          <w:bCs/>
          <w:lang w:val="en-US"/>
        </w:rPr>
        <w:instrText>ADDIN</w:instrText>
      </w:r>
      <w:r w:rsidR="00021E2A" w:rsidRPr="00320416">
        <w:rPr>
          <w:b/>
          <w:bCs/>
        </w:rPr>
        <w:instrText xml:space="preserve"> </w:instrText>
      </w:r>
      <w:r w:rsidR="00021E2A">
        <w:rPr>
          <w:b/>
          <w:bCs/>
          <w:lang w:val="en-US"/>
        </w:rPr>
        <w:instrText>CSL</w:instrText>
      </w:r>
      <w:r w:rsidR="00021E2A" w:rsidRPr="00320416">
        <w:rPr>
          <w:b/>
          <w:bCs/>
        </w:rPr>
        <w:instrText>_</w:instrText>
      </w:r>
      <w:r w:rsidR="00021E2A">
        <w:rPr>
          <w:b/>
          <w:bCs/>
          <w:lang w:val="en-US"/>
        </w:rPr>
        <w:instrText>CITATION</w:instrText>
      </w:r>
      <w:r w:rsidR="00021E2A" w:rsidRPr="00320416">
        <w:rPr>
          <w:b/>
          <w:bCs/>
        </w:rPr>
        <w:instrText xml:space="preserve"> {"</w:instrText>
      </w:r>
      <w:r w:rsidR="00021E2A">
        <w:rPr>
          <w:b/>
          <w:bCs/>
          <w:lang w:val="en-US"/>
        </w:rPr>
        <w:instrText>citationItems</w:instrText>
      </w:r>
      <w:r w:rsidR="00021E2A" w:rsidRPr="00320416">
        <w:rPr>
          <w:b/>
          <w:bCs/>
        </w:rPr>
        <w:instrText>":[{"</w:instrText>
      </w:r>
      <w:r w:rsidR="00021E2A">
        <w:rPr>
          <w:b/>
          <w:bCs/>
          <w:lang w:val="en-US"/>
        </w:rPr>
        <w:instrText>id</w:instrText>
      </w:r>
      <w:r w:rsidR="00021E2A" w:rsidRPr="00320416">
        <w:rPr>
          <w:b/>
          <w:bCs/>
        </w:rPr>
        <w:instrText>":"</w:instrText>
      </w:r>
      <w:r w:rsidR="00021E2A">
        <w:rPr>
          <w:b/>
          <w:bCs/>
          <w:lang w:val="en-US"/>
        </w:rPr>
        <w:instrText>ITEM</w:instrText>
      </w:r>
      <w:r w:rsidR="00021E2A" w:rsidRPr="00320416">
        <w:rPr>
          <w:b/>
          <w:bCs/>
        </w:rPr>
        <w:instrText>-1","</w:instrText>
      </w:r>
      <w:r w:rsidR="00021E2A">
        <w:rPr>
          <w:b/>
          <w:bCs/>
          <w:lang w:val="en-US"/>
        </w:rPr>
        <w:instrText>itemData</w:instrText>
      </w:r>
      <w:r w:rsidR="00021E2A" w:rsidRPr="00320416">
        <w:rPr>
          <w:b/>
          <w:bCs/>
        </w:rPr>
        <w:instrText>":{"</w:instrText>
      </w:r>
      <w:r w:rsidR="00021E2A">
        <w:rPr>
          <w:b/>
          <w:bCs/>
          <w:lang w:val="en-US"/>
        </w:rPr>
        <w:instrText>DOI</w:instrText>
      </w:r>
      <w:r w:rsidR="00021E2A" w:rsidRPr="00320416">
        <w:rPr>
          <w:b/>
          <w:bCs/>
        </w:rPr>
        <w:instrText>":"10.1016/</w:instrText>
      </w:r>
      <w:r w:rsidR="00021E2A">
        <w:rPr>
          <w:b/>
          <w:bCs/>
          <w:lang w:val="en-US"/>
        </w:rPr>
        <w:instrText>S</w:instrText>
      </w:r>
      <w:r w:rsidR="00021E2A" w:rsidRPr="00320416">
        <w:rPr>
          <w:b/>
          <w:bCs/>
        </w:rPr>
        <w:instrText>2352-3026(16)00036-3","</w:instrText>
      </w:r>
      <w:r w:rsidR="00021E2A">
        <w:rPr>
          <w:b/>
          <w:bCs/>
          <w:lang w:val="en-US"/>
        </w:rPr>
        <w:instrText>ISSN</w:instrText>
      </w:r>
      <w:r w:rsidR="00021E2A" w:rsidRPr="00320416">
        <w:rPr>
          <w:b/>
          <w:bCs/>
        </w:rPr>
        <w:instrText>":"23523026","</w:instrText>
      </w:r>
      <w:r w:rsidR="00021E2A">
        <w:rPr>
          <w:b/>
          <w:bCs/>
          <w:lang w:val="en-US"/>
        </w:rPr>
        <w:instrText>abstract</w:instrText>
      </w:r>
      <w:r w:rsidR="00021E2A" w:rsidRPr="00320416">
        <w:rPr>
          <w:b/>
          <w:bCs/>
        </w:rPr>
        <w:instrText>":"</w:instrText>
      </w:r>
      <w:r w:rsidR="00021E2A">
        <w:rPr>
          <w:b/>
          <w:bCs/>
          <w:lang w:val="en-US"/>
        </w:rPr>
        <w:instrText>Background</w:instrText>
      </w:r>
      <w:r w:rsidR="00021E2A" w:rsidRPr="00320416">
        <w:rPr>
          <w:b/>
          <w:bCs/>
        </w:rPr>
        <w:instrText xml:space="preserve">: </w:instrText>
      </w:r>
      <w:r w:rsidR="00021E2A">
        <w:rPr>
          <w:b/>
          <w:bCs/>
          <w:lang w:val="en-US"/>
        </w:rPr>
        <w:instrText>Standard</w:instrText>
      </w:r>
      <w:r w:rsidR="00021E2A" w:rsidRPr="00320416">
        <w:rPr>
          <w:b/>
          <w:bCs/>
        </w:rPr>
        <w:instrText xml:space="preserve"> </w:instrText>
      </w:r>
      <w:r w:rsidR="00021E2A">
        <w:rPr>
          <w:b/>
          <w:bCs/>
          <w:lang w:val="en-US"/>
        </w:rPr>
        <w:instrText>treatment</w:instrText>
      </w:r>
      <w:r w:rsidR="00021E2A" w:rsidRPr="00320416">
        <w:rPr>
          <w:b/>
          <w:bCs/>
        </w:rPr>
        <w:instrText xml:space="preserve"> </w:instrText>
      </w:r>
      <w:r w:rsidR="00021E2A">
        <w:rPr>
          <w:b/>
          <w:bCs/>
          <w:lang w:val="en-US"/>
        </w:rPr>
        <w:instrText>for</w:instrText>
      </w:r>
      <w:r w:rsidR="00021E2A" w:rsidRPr="00320416">
        <w:rPr>
          <w:b/>
          <w:bCs/>
        </w:rPr>
        <w:instrText xml:space="preserve"> </w:instrText>
      </w:r>
      <w:r w:rsidR="00021E2A">
        <w:rPr>
          <w:b/>
          <w:bCs/>
          <w:lang w:val="en-US"/>
        </w:rPr>
        <w:instrText>patients</w:instrText>
      </w:r>
      <w:r w:rsidR="00021E2A" w:rsidRPr="00320416">
        <w:rPr>
          <w:b/>
          <w:bCs/>
        </w:rPr>
        <w:instrText xml:space="preserve"> </w:instrText>
      </w:r>
      <w:r w:rsidR="00021E2A">
        <w:rPr>
          <w:b/>
          <w:bCs/>
          <w:lang w:val="en-US"/>
        </w:rPr>
        <w:instrText>with</w:instrText>
      </w:r>
      <w:r w:rsidR="00021E2A" w:rsidRPr="00320416">
        <w:rPr>
          <w:b/>
          <w:bCs/>
        </w:rPr>
        <w:instrText xml:space="preserve"> </w:instrText>
      </w:r>
      <w:r w:rsidR="00021E2A">
        <w:rPr>
          <w:b/>
          <w:bCs/>
          <w:lang w:val="en-US"/>
        </w:rPr>
        <w:instrText>primary</w:instrText>
      </w:r>
      <w:r w:rsidR="00021E2A" w:rsidRPr="00320416">
        <w:rPr>
          <w:b/>
          <w:bCs/>
        </w:rPr>
        <w:instrText xml:space="preserve"> </w:instrText>
      </w:r>
      <w:r w:rsidR="00021E2A">
        <w:rPr>
          <w:b/>
          <w:bCs/>
          <w:lang w:val="en-US"/>
        </w:rPr>
        <w:instrText>CNS</w:instrText>
      </w:r>
      <w:r w:rsidR="00021E2A" w:rsidRPr="00320416">
        <w:rPr>
          <w:b/>
          <w:bCs/>
        </w:rPr>
        <w:instrText xml:space="preserve"> </w:instrText>
      </w:r>
      <w:r w:rsidR="00021E2A">
        <w:rPr>
          <w:b/>
          <w:bCs/>
          <w:lang w:val="en-US"/>
        </w:rPr>
        <w:instrText>lymphoma</w:instrText>
      </w:r>
      <w:r w:rsidR="00021E2A" w:rsidRPr="00320416">
        <w:rPr>
          <w:b/>
          <w:bCs/>
        </w:rPr>
        <w:instrText xml:space="preserve"> </w:instrText>
      </w:r>
      <w:r w:rsidR="00021E2A">
        <w:rPr>
          <w:b/>
          <w:bCs/>
          <w:lang w:val="en-US"/>
        </w:rPr>
        <w:instrText>remains</w:instrText>
      </w:r>
      <w:r w:rsidR="00021E2A" w:rsidRPr="00320416">
        <w:rPr>
          <w:b/>
          <w:bCs/>
        </w:rPr>
        <w:instrText xml:space="preserve"> </w:instrText>
      </w:r>
      <w:r w:rsidR="00021E2A">
        <w:rPr>
          <w:b/>
          <w:bCs/>
          <w:lang w:val="en-US"/>
        </w:rPr>
        <w:instrText>to</w:instrText>
      </w:r>
      <w:r w:rsidR="00021E2A" w:rsidRPr="00320416">
        <w:rPr>
          <w:b/>
          <w:bCs/>
        </w:rPr>
        <w:instrText xml:space="preserve"> </w:instrText>
      </w:r>
      <w:r w:rsidR="00021E2A">
        <w:rPr>
          <w:b/>
          <w:bCs/>
          <w:lang w:val="en-US"/>
        </w:rPr>
        <w:instrText>be</w:instrText>
      </w:r>
      <w:r w:rsidR="00021E2A" w:rsidRPr="00320416">
        <w:rPr>
          <w:b/>
          <w:bCs/>
        </w:rPr>
        <w:instrText xml:space="preserve"> </w:instrText>
      </w:r>
      <w:r w:rsidR="00021E2A">
        <w:rPr>
          <w:b/>
          <w:bCs/>
          <w:lang w:val="en-US"/>
        </w:rPr>
        <w:instrText>defined</w:instrText>
      </w:r>
      <w:r w:rsidR="00021E2A" w:rsidRPr="00320416">
        <w:rPr>
          <w:b/>
          <w:bCs/>
        </w:rPr>
        <w:instrText xml:space="preserve">. </w:instrText>
      </w:r>
      <w:r w:rsidR="00021E2A">
        <w:rPr>
          <w:b/>
          <w:bCs/>
          <w:lang w:val="en-US"/>
        </w:rPr>
        <w:instrText>Active</w:instrText>
      </w:r>
      <w:r w:rsidR="00021E2A" w:rsidRPr="00320416">
        <w:rPr>
          <w:b/>
          <w:bCs/>
        </w:rPr>
        <w:instrText xml:space="preserve"> </w:instrText>
      </w:r>
      <w:r w:rsidR="00021E2A">
        <w:rPr>
          <w:b/>
          <w:bCs/>
          <w:lang w:val="en-US"/>
        </w:rPr>
        <w:instrText>therapies</w:instrText>
      </w:r>
      <w:r w:rsidR="00021E2A" w:rsidRPr="00320416">
        <w:rPr>
          <w:b/>
          <w:bCs/>
        </w:rPr>
        <w:instrText xml:space="preserve"> </w:instrText>
      </w:r>
      <w:r w:rsidR="00021E2A">
        <w:rPr>
          <w:b/>
          <w:bCs/>
          <w:lang w:val="en-US"/>
        </w:rPr>
        <w:instrText>are</w:instrText>
      </w:r>
      <w:r w:rsidR="00021E2A" w:rsidRPr="00320416">
        <w:rPr>
          <w:b/>
          <w:bCs/>
        </w:rPr>
        <w:instrText xml:space="preserve"> </w:instrText>
      </w:r>
      <w:r w:rsidR="00021E2A">
        <w:rPr>
          <w:b/>
          <w:bCs/>
          <w:lang w:val="en-US"/>
        </w:rPr>
        <w:instrText>often</w:instrText>
      </w:r>
      <w:r w:rsidR="00021E2A" w:rsidRPr="00320416">
        <w:rPr>
          <w:b/>
          <w:bCs/>
        </w:rPr>
        <w:instrText xml:space="preserve"> </w:instrText>
      </w:r>
      <w:r w:rsidR="00021E2A">
        <w:rPr>
          <w:b/>
          <w:bCs/>
          <w:lang w:val="en-US"/>
        </w:rPr>
        <w:instrText>associated</w:instrText>
      </w:r>
      <w:r w:rsidR="00021E2A" w:rsidRPr="00320416">
        <w:rPr>
          <w:b/>
          <w:bCs/>
        </w:rPr>
        <w:instrText xml:space="preserve"> </w:instrText>
      </w:r>
      <w:r w:rsidR="00021E2A">
        <w:rPr>
          <w:b/>
          <w:bCs/>
          <w:lang w:val="en-US"/>
        </w:rPr>
        <w:instrText>with</w:instrText>
      </w:r>
      <w:r w:rsidR="00021E2A" w:rsidRPr="00320416">
        <w:rPr>
          <w:b/>
          <w:bCs/>
        </w:rPr>
        <w:instrText xml:space="preserve"> </w:instrText>
      </w:r>
      <w:r w:rsidR="00021E2A">
        <w:rPr>
          <w:b/>
          <w:bCs/>
          <w:lang w:val="en-US"/>
        </w:rPr>
        <w:instrText>increased</w:instrText>
      </w:r>
      <w:r w:rsidR="00021E2A" w:rsidRPr="00320416">
        <w:rPr>
          <w:b/>
          <w:bCs/>
        </w:rPr>
        <w:instrText xml:space="preserve"> </w:instrText>
      </w:r>
      <w:r w:rsidR="00021E2A">
        <w:rPr>
          <w:b/>
          <w:bCs/>
          <w:lang w:val="en-US"/>
        </w:rPr>
        <w:instrText>risk</w:instrText>
      </w:r>
      <w:r w:rsidR="00021E2A" w:rsidRPr="00320416">
        <w:rPr>
          <w:b/>
          <w:bCs/>
        </w:rPr>
        <w:instrText xml:space="preserve"> </w:instrText>
      </w:r>
      <w:r w:rsidR="00021E2A">
        <w:rPr>
          <w:b/>
          <w:bCs/>
          <w:lang w:val="en-US"/>
        </w:rPr>
        <w:instrText>of</w:instrText>
      </w:r>
      <w:r w:rsidR="00021E2A" w:rsidRPr="00320416">
        <w:rPr>
          <w:b/>
          <w:bCs/>
        </w:rPr>
        <w:instrText xml:space="preserve"> </w:instrText>
      </w:r>
      <w:r w:rsidR="00021E2A">
        <w:rPr>
          <w:b/>
          <w:bCs/>
          <w:lang w:val="en-US"/>
        </w:rPr>
        <w:instrText>haematological</w:instrText>
      </w:r>
      <w:r w:rsidR="00021E2A" w:rsidRPr="00320416">
        <w:rPr>
          <w:b/>
          <w:bCs/>
        </w:rPr>
        <w:instrText xml:space="preserve"> </w:instrText>
      </w:r>
      <w:r w:rsidR="00021E2A">
        <w:rPr>
          <w:b/>
          <w:bCs/>
          <w:lang w:val="en-US"/>
        </w:rPr>
        <w:instrText>or</w:instrText>
      </w:r>
      <w:r w:rsidR="00021E2A" w:rsidRPr="00320416">
        <w:rPr>
          <w:b/>
          <w:bCs/>
        </w:rPr>
        <w:instrText xml:space="preserve"> </w:instrText>
      </w:r>
      <w:r w:rsidR="00021E2A">
        <w:rPr>
          <w:b/>
          <w:bCs/>
          <w:lang w:val="en-US"/>
        </w:rPr>
        <w:instrText>neurological</w:instrText>
      </w:r>
      <w:r w:rsidR="00021E2A" w:rsidRPr="00320416">
        <w:rPr>
          <w:b/>
          <w:bCs/>
        </w:rPr>
        <w:instrText xml:space="preserve"> </w:instrText>
      </w:r>
      <w:r w:rsidR="00021E2A">
        <w:rPr>
          <w:b/>
          <w:bCs/>
          <w:lang w:val="en-US"/>
        </w:rPr>
        <w:instrText>toxicity</w:instrText>
      </w:r>
      <w:r w:rsidR="00021E2A" w:rsidRPr="00320416">
        <w:rPr>
          <w:b/>
          <w:bCs/>
        </w:rPr>
        <w:instrText xml:space="preserve">. </w:instrText>
      </w:r>
      <w:r w:rsidR="00021E2A">
        <w:rPr>
          <w:b/>
          <w:bCs/>
          <w:lang w:val="en-US"/>
        </w:rPr>
        <w:instrText>In</w:instrText>
      </w:r>
      <w:r w:rsidR="00021E2A" w:rsidRPr="00320416">
        <w:rPr>
          <w:b/>
          <w:bCs/>
        </w:rPr>
        <w:instrText xml:space="preserve"> </w:instrText>
      </w:r>
      <w:r w:rsidR="00021E2A">
        <w:rPr>
          <w:b/>
          <w:bCs/>
          <w:lang w:val="en-US"/>
        </w:rPr>
        <w:instrText>this</w:instrText>
      </w:r>
      <w:r w:rsidR="00021E2A" w:rsidRPr="00320416">
        <w:rPr>
          <w:b/>
          <w:bCs/>
        </w:rPr>
        <w:instrText xml:space="preserve"> </w:instrText>
      </w:r>
      <w:r w:rsidR="00021E2A">
        <w:rPr>
          <w:b/>
          <w:bCs/>
          <w:lang w:val="en-US"/>
        </w:rPr>
        <w:instrText>trial</w:instrText>
      </w:r>
      <w:r w:rsidR="00021E2A" w:rsidRPr="00320416">
        <w:rPr>
          <w:b/>
          <w:bCs/>
        </w:rPr>
        <w:instrText xml:space="preserve">, </w:instrText>
      </w:r>
      <w:r w:rsidR="00021E2A">
        <w:rPr>
          <w:b/>
          <w:bCs/>
          <w:lang w:val="en-US"/>
        </w:rPr>
        <w:instrText>we</w:instrText>
      </w:r>
      <w:r w:rsidR="00021E2A" w:rsidRPr="00320416">
        <w:rPr>
          <w:b/>
          <w:bCs/>
        </w:rPr>
        <w:instrText xml:space="preserve"> </w:instrText>
      </w:r>
      <w:r w:rsidR="00021E2A">
        <w:rPr>
          <w:b/>
          <w:bCs/>
          <w:lang w:val="en-US"/>
        </w:rPr>
        <w:instrText>addressed</w:instrText>
      </w:r>
      <w:r w:rsidR="00021E2A" w:rsidRPr="00320416">
        <w:rPr>
          <w:b/>
          <w:bCs/>
        </w:rPr>
        <w:instrText xml:space="preserve"> </w:instrText>
      </w:r>
      <w:r w:rsidR="00021E2A">
        <w:rPr>
          <w:b/>
          <w:bCs/>
          <w:lang w:val="en-US"/>
        </w:rPr>
        <w:instrText>the</w:instrText>
      </w:r>
      <w:r w:rsidR="00021E2A" w:rsidRPr="00320416">
        <w:rPr>
          <w:b/>
          <w:bCs/>
        </w:rPr>
        <w:instrText xml:space="preserve"> </w:instrText>
      </w:r>
      <w:r w:rsidR="00021E2A">
        <w:rPr>
          <w:b/>
          <w:bCs/>
          <w:lang w:val="en-US"/>
        </w:rPr>
        <w:instrText>tolerability</w:instrText>
      </w:r>
      <w:r w:rsidR="00021E2A" w:rsidRPr="00320416">
        <w:rPr>
          <w:b/>
          <w:bCs/>
        </w:rPr>
        <w:instrText xml:space="preserve"> </w:instrText>
      </w:r>
      <w:r w:rsidR="00021E2A">
        <w:rPr>
          <w:b/>
          <w:bCs/>
          <w:lang w:val="en-US"/>
        </w:rPr>
        <w:instrText>and</w:instrText>
      </w:r>
      <w:r w:rsidR="00021E2A" w:rsidRPr="00320416">
        <w:rPr>
          <w:b/>
          <w:bCs/>
        </w:rPr>
        <w:instrText xml:space="preserve"> </w:instrText>
      </w:r>
      <w:r w:rsidR="00021E2A">
        <w:rPr>
          <w:b/>
          <w:bCs/>
          <w:lang w:val="en-US"/>
        </w:rPr>
        <w:instrText>efficacy</w:instrText>
      </w:r>
      <w:r w:rsidR="00021E2A" w:rsidRPr="00320416">
        <w:rPr>
          <w:b/>
          <w:bCs/>
        </w:rPr>
        <w:instrText xml:space="preserve"> </w:instrText>
      </w:r>
      <w:r w:rsidR="00021E2A">
        <w:rPr>
          <w:b/>
          <w:bCs/>
          <w:lang w:val="en-US"/>
        </w:rPr>
        <w:instrText>of</w:instrText>
      </w:r>
      <w:r w:rsidR="00021E2A" w:rsidRPr="00320416">
        <w:rPr>
          <w:b/>
          <w:bCs/>
        </w:rPr>
        <w:instrText xml:space="preserve"> </w:instrText>
      </w:r>
      <w:r w:rsidR="00021E2A">
        <w:rPr>
          <w:b/>
          <w:bCs/>
          <w:lang w:val="en-US"/>
        </w:rPr>
        <w:instrText>adding</w:instrText>
      </w:r>
      <w:r w:rsidR="00021E2A" w:rsidRPr="00320416">
        <w:rPr>
          <w:b/>
          <w:bCs/>
        </w:rPr>
        <w:instrText xml:space="preserve"> </w:instrText>
      </w:r>
      <w:r w:rsidR="00021E2A">
        <w:rPr>
          <w:b/>
          <w:bCs/>
          <w:lang w:val="en-US"/>
        </w:rPr>
        <w:instrText>rituximab</w:instrText>
      </w:r>
      <w:r w:rsidR="00021E2A" w:rsidRPr="00320416">
        <w:rPr>
          <w:b/>
          <w:bCs/>
        </w:rPr>
        <w:instrText xml:space="preserve"> </w:instrText>
      </w:r>
      <w:r w:rsidR="00021E2A">
        <w:rPr>
          <w:b/>
          <w:bCs/>
          <w:lang w:val="en-US"/>
        </w:rPr>
        <w:instrText>with</w:instrText>
      </w:r>
      <w:r w:rsidR="00021E2A" w:rsidRPr="00320416">
        <w:rPr>
          <w:b/>
          <w:bCs/>
        </w:rPr>
        <w:instrText xml:space="preserve"> </w:instrText>
      </w:r>
      <w:r w:rsidR="00021E2A">
        <w:rPr>
          <w:b/>
          <w:bCs/>
          <w:lang w:val="en-US"/>
        </w:rPr>
        <w:instrText>or</w:instrText>
      </w:r>
      <w:r w:rsidR="00021E2A" w:rsidRPr="00320416">
        <w:rPr>
          <w:b/>
          <w:bCs/>
        </w:rPr>
        <w:instrText xml:space="preserve"> </w:instrText>
      </w:r>
      <w:r w:rsidR="00021E2A">
        <w:rPr>
          <w:b/>
          <w:bCs/>
          <w:lang w:val="en-US"/>
        </w:rPr>
        <w:instrText>without</w:instrText>
      </w:r>
      <w:r w:rsidR="00021E2A" w:rsidRPr="00320416">
        <w:rPr>
          <w:b/>
          <w:bCs/>
        </w:rPr>
        <w:instrText xml:space="preserve"> </w:instrText>
      </w:r>
      <w:r w:rsidR="00021E2A">
        <w:rPr>
          <w:b/>
          <w:bCs/>
          <w:lang w:val="en-US"/>
        </w:rPr>
        <w:instrText>thiotepa</w:instrText>
      </w:r>
      <w:r w:rsidR="00021E2A" w:rsidRPr="00320416">
        <w:rPr>
          <w:b/>
          <w:bCs/>
        </w:rPr>
        <w:instrText xml:space="preserve"> </w:instrText>
      </w:r>
      <w:r w:rsidR="00021E2A">
        <w:rPr>
          <w:b/>
          <w:bCs/>
          <w:lang w:val="en-US"/>
        </w:rPr>
        <w:instrText>to</w:instrText>
      </w:r>
      <w:r w:rsidR="00021E2A" w:rsidRPr="00320416">
        <w:rPr>
          <w:b/>
          <w:bCs/>
        </w:rPr>
        <w:instrText xml:space="preserve"> </w:instrText>
      </w:r>
      <w:r w:rsidR="00021E2A">
        <w:rPr>
          <w:b/>
          <w:bCs/>
          <w:lang w:val="en-US"/>
        </w:rPr>
        <w:instrText>methotrexate</w:instrText>
      </w:r>
      <w:r w:rsidR="00021E2A" w:rsidRPr="00320416">
        <w:rPr>
          <w:b/>
          <w:bCs/>
        </w:rPr>
        <w:instrText>-</w:instrText>
      </w:r>
      <w:r w:rsidR="00021E2A">
        <w:rPr>
          <w:b/>
          <w:bCs/>
          <w:lang w:val="en-US"/>
        </w:rPr>
        <w:instrText>cytarabine</w:instrText>
      </w:r>
      <w:r w:rsidR="00021E2A" w:rsidRPr="00320416">
        <w:rPr>
          <w:b/>
          <w:bCs/>
        </w:rPr>
        <w:instrText xml:space="preserve"> </w:instrText>
      </w:r>
      <w:r w:rsidR="00021E2A">
        <w:rPr>
          <w:b/>
          <w:bCs/>
          <w:lang w:val="en-US"/>
        </w:rPr>
        <w:instrText>combination</w:instrText>
      </w:r>
      <w:r w:rsidR="00021E2A" w:rsidRPr="00320416">
        <w:rPr>
          <w:b/>
          <w:bCs/>
        </w:rPr>
        <w:instrText xml:space="preserve"> </w:instrText>
      </w:r>
      <w:r w:rsidR="00021E2A">
        <w:rPr>
          <w:b/>
          <w:bCs/>
          <w:lang w:val="en-US"/>
        </w:rPr>
        <w:instrText>therapy</w:instrText>
      </w:r>
      <w:r w:rsidR="00021E2A" w:rsidRPr="00320416">
        <w:rPr>
          <w:b/>
          <w:bCs/>
        </w:rPr>
        <w:instrText xml:space="preserve"> (</w:instrText>
      </w:r>
      <w:r w:rsidR="00021E2A">
        <w:rPr>
          <w:b/>
          <w:bCs/>
          <w:lang w:val="en-US"/>
        </w:rPr>
        <w:instrText>the</w:instrText>
      </w:r>
      <w:r w:rsidR="00021E2A" w:rsidRPr="00320416">
        <w:rPr>
          <w:b/>
          <w:bCs/>
        </w:rPr>
        <w:instrText xml:space="preserve"> </w:instrText>
      </w:r>
      <w:r w:rsidR="00021E2A">
        <w:rPr>
          <w:b/>
          <w:bCs/>
          <w:lang w:val="en-US"/>
        </w:rPr>
        <w:instrText>MATRix</w:instrText>
      </w:r>
      <w:r w:rsidR="00021E2A" w:rsidRPr="00320416">
        <w:rPr>
          <w:b/>
          <w:bCs/>
        </w:rPr>
        <w:instrText xml:space="preserve"> </w:instrText>
      </w:r>
      <w:r w:rsidR="00021E2A">
        <w:rPr>
          <w:b/>
          <w:bCs/>
          <w:lang w:val="en-US"/>
        </w:rPr>
        <w:instrText>regimen</w:instrText>
      </w:r>
      <w:r w:rsidR="00021E2A" w:rsidRPr="00320416">
        <w:rPr>
          <w:b/>
          <w:bCs/>
        </w:rPr>
        <w:instrText xml:space="preserve">), </w:instrText>
      </w:r>
      <w:r w:rsidR="00021E2A">
        <w:rPr>
          <w:b/>
          <w:bCs/>
          <w:lang w:val="en-US"/>
        </w:rPr>
        <w:instrText>followed</w:instrText>
      </w:r>
      <w:r w:rsidR="00021E2A" w:rsidRPr="00320416">
        <w:rPr>
          <w:b/>
          <w:bCs/>
        </w:rPr>
        <w:instrText xml:space="preserve"> </w:instrText>
      </w:r>
      <w:r w:rsidR="00021E2A">
        <w:rPr>
          <w:b/>
          <w:bCs/>
          <w:lang w:val="en-US"/>
        </w:rPr>
        <w:instrText>by</w:instrText>
      </w:r>
      <w:r w:rsidR="00021E2A" w:rsidRPr="00320416">
        <w:rPr>
          <w:b/>
          <w:bCs/>
        </w:rPr>
        <w:instrText xml:space="preserve"> </w:instrText>
      </w:r>
      <w:r w:rsidR="00021E2A">
        <w:rPr>
          <w:b/>
          <w:bCs/>
          <w:lang w:val="en-US"/>
        </w:rPr>
        <w:instrText>a</w:instrText>
      </w:r>
      <w:r w:rsidR="00021E2A" w:rsidRPr="00320416">
        <w:rPr>
          <w:b/>
          <w:bCs/>
        </w:rPr>
        <w:instrText xml:space="preserve"> </w:instrText>
      </w:r>
      <w:r w:rsidR="00021E2A">
        <w:rPr>
          <w:b/>
          <w:bCs/>
          <w:lang w:val="en-US"/>
        </w:rPr>
        <w:instrText>second</w:instrText>
      </w:r>
      <w:r w:rsidR="00021E2A" w:rsidRPr="00320416">
        <w:rPr>
          <w:b/>
          <w:bCs/>
        </w:rPr>
        <w:instrText xml:space="preserve"> </w:instrText>
      </w:r>
      <w:r w:rsidR="00021E2A">
        <w:rPr>
          <w:b/>
          <w:bCs/>
          <w:lang w:val="en-US"/>
        </w:rPr>
        <w:instrText>randomisation</w:instrText>
      </w:r>
      <w:r w:rsidR="00021E2A" w:rsidRPr="00320416">
        <w:rPr>
          <w:b/>
          <w:bCs/>
        </w:rPr>
        <w:instrText xml:space="preserve"> </w:instrText>
      </w:r>
      <w:r w:rsidR="00021E2A">
        <w:rPr>
          <w:b/>
          <w:bCs/>
          <w:lang w:val="en-US"/>
        </w:rPr>
        <w:instrText>comparing</w:instrText>
      </w:r>
      <w:r w:rsidR="00021E2A" w:rsidRPr="00320416">
        <w:rPr>
          <w:b/>
          <w:bCs/>
        </w:rPr>
        <w:instrText xml:space="preserve"> </w:instrText>
      </w:r>
      <w:r w:rsidR="00021E2A">
        <w:rPr>
          <w:b/>
          <w:bCs/>
          <w:lang w:val="en-US"/>
        </w:rPr>
        <w:instrText>consolidation</w:instrText>
      </w:r>
      <w:r w:rsidR="00021E2A" w:rsidRPr="00320416">
        <w:rPr>
          <w:b/>
          <w:bCs/>
        </w:rPr>
        <w:instrText xml:space="preserve"> </w:instrText>
      </w:r>
      <w:r w:rsidR="00021E2A">
        <w:rPr>
          <w:b/>
          <w:bCs/>
          <w:lang w:val="en-US"/>
        </w:rPr>
        <w:instrText>with</w:instrText>
      </w:r>
      <w:r w:rsidR="00021E2A" w:rsidRPr="00320416">
        <w:rPr>
          <w:b/>
          <w:bCs/>
        </w:rPr>
        <w:instrText xml:space="preserve"> </w:instrText>
      </w:r>
      <w:r w:rsidR="00021E2A">
        <w:rPr>
          <w:b/>
          <w:bCs/>
          <w:lang w:val="en-US"/>
        </w:rPr>
        <w:instrText>whole</w:instrText>
      </w:r>
      <w:r w:rsidR="00021E2A" w:rsidRPr="00320416">
        <w:rPr>
          <w:b/>
          <w:bCs/>
        </w:rPr>
        <w:instrText>-</w:instrText>
      </w:r>
      <w:r w:rsidR="00021E2A">
        <w:rPr>
          <w:b/>
          <w:bCs/>
          <w:lang w:val="en-US"/>
        </w:rPr>
        <w:instrText>brain</w:instrText>
      </w:r>
      <w:r w:rsidR="00021E2A" w:rsidRPr="00320416">
        <w:rPr>
          <w:b/>
          <w:bCs/>
        </w:rPr>
        <w:instrText xml:space="preserve"> </w:instrText>
      </w:r>
      <w:r w:rsidR="00021E2A">
        <w:rPr>
          <w:b/>
          <w:bCs/>
          <w:lang w:val="en-US"/>
        </w:rPr>
        <w:instrText>radiotherapy</w:instrText>
      </w:r>
      <w:r w:rsidR="00021E2A" w:rsidRPr="00320416">
        <w:rPr>
          <w:b/>
          <w:bCs/>
        </w:rPr>
        <w:instrText xml:space="preserve"> </w:instrText>
      </w:r>
      <w:r w:rsidR="00021E2A">
        <w:rPr>
          <w:b/>
          <w:bCs/>
          <w:lang w:val="en-US"/>
        </w:rPr>
        <w:instrText>or</w:instrText>
      </w:r>
      <w:r w:rsidR="00021E2A" w:rsidRPr="00320416">
        <w:rPr>
          <w:b/>
          <w:bCs/>
        </w:rPr>
        <w:instrText xml:space="preserve"> </w:instrText>
      </w:r>
      <w:r w:rsidR="00021E2A">
        <w:rPr>
          <w:b/>
          <w:bCs/>
          <w:lang w:val="en-US"/>
        </w:rPr>
        <w:instrText>autologous</w:instrText>
      </w:r>
      <w:r w:rsidR="00021E2A" w:rsidRPr="00320416">
        <w:rPr>
          <w:b/>
          <w:bCs/>
        </w:rPr>
        <w:instrText xml:space="preserve"> </w:instrText>
      </w:r>
      <w:r w:rsidR="00021E2A">
        <w:rPr>
          <w:b/>
          <w:bCs/>
          <w:lang w:val="en-US"/>
        </w:rPr>
        <w:instrText>stem</w:instrText>
      </w:r>
      <w:r w:rsidR="00021E2A" w:rsidRPr="00320416">
        <w:rPr>
          <w:b/>
          <w:bCs/>
        </w:rPr>
        <w:instrText xml:space="preserve"> </w:instrText>
      </w:r>
      <w:r w:rsidR="00021E2A">
        <w:rPr>
          <w:b/>
          <w:bCs/>
          <w:lang w:val="en-US"/>
        </w:rPr>
        <w:instrText>cell</w:instrText>
      </w:r>
      <w:r w:rsidR="00021E2A" w:rsidRPr="00320416">
        <w:rPr>
          <w:b/>
          <w:bCs/>
        </w:rPr>
        <w:instrText xml:space="preserve"> </w:instrText>
      </w:r>
      <w:r w:rsidR="00021E2A">
        <w:rPr>
          <w:b/>
          <w:bCs/>
          <w:lang w:val="en-US"/>
        </w:rPr>
        <w:instrText>transplantation</w:instrText>
      </w:r>
      <w:r w:rsidR="00021E2A" w:rsidRPr="00320416">
        <w:rPr>
          <w:b/>
          <w:bCs/>
        </w:rPr>
        <w:instrText xml:space="preserve"> </w:instrText>
      </w:r>
      <w:r w:rsidR="00021E2A">
        <w:rPr>
          <w:b/>
          <w:bCs/>
          <w:lang w:val="en-US"/>
        </w:rPr>
        <w:instrText>in</w:instrText>
      </w:r>
      <w:r w:rsidR="00021E2A" w:rsidRPr="00320416">
        <w:rPr>
          <w:b/>
          <w:bCs/>
        </w:rPr>
        <w:instrText xml:space="preserve"> </w:instrText>
      </w:r>
      <w:r w:rsidR="00021E2A">
        <w:rPr>
          <w:b/>
          <w:bCs/>
          <w:lang w:val="en-US"/>
        </w:rPr>
        <w:instrText>patients</w:instrText>
      </w:r>
      <w:r w:rsidR="00021E2A" w:rsidRPr="00320416">
        <w:rPr>
          <w:b/>
          <w:bCs/>
        </w:rPr>
        <w:instrText xml:space="preserve"> </w:instrText>
      </w:r>
      <w:r w:rsidR="00021E2A">
        <w:rPr>
          <w:b/>
          <w:bCs/>
          <w:lang w:val="en-US"/>
        </w:rPr>
        <w:instrText>with</w:instrText>
      </w:r>
      <w:r w:rsidR="00021E2A" w:rsidRPr="00320416">
        <w:rPr>
          <w:b/>
          <w:bCs/>
        </w:rPr>
        <w:instrText xml:space="preserve"> </w:instrText>
      </w:r>
      <w:r w:rsidR="00021E2A">
        <w:rPr>
          <w:b/>
          <w:bCs/>
          <w:lang w:val="en-US"/>
        </w:rPr>
        <w:instrText>primary</w:instrText>
      </w:r>
      <w:r w:rsidR="00021E2A" w:rsidRPr="00320416">
        <w:rPr>
          <w:b/>
          <w:bCs/>
        </w:rPr>
        <w:instrText xml:space="preserve"> </w:instrText>
      </w:r>
      <w:r w:rsidR="00021E2A">
        <w:rPr>
          <w:b/>
          <w:bCs/>
          <w:lang w:val="en-US"/>
        </w:rPr>
        <w:instrText>CNS</w:instrText>
      </w:r>
      <w:r w:rsidR="00021E2A" w:rsidRPr="00320416">
        <w:rPr>
          <w:b/>
          <w:bCs/>
        </w:rPr>
        <w:instrText xml:space="preserve"> </w:instrText>
      </w:r>
      <w:r w:rsidR="00021E2A">
        <w:rPr>
          <w:b/>
          <w:bCs/>
          <w:lang w:val="en-US"/>
        </w:rPr>
        <w:instrText>lymphoma</w:instrText>
      </w:r>
      <w:r w:rsidR="00021E2A" w:rsidRPr="00320416">
        <w:rPr>
          <w:b/>
          <w:bCs/>
        </w:rPr>
        <w:instrText xml:space="preserve">. </w:instrText>
      </w:r>
      <w:r w:rsidR="00021E2A">
        <w:rPr>
          <w:b/>
          <w:bCs/>
          <w:lang w:val="en-US"/>
        </w:rPr>
        <w:instrText>We</w:instrText>
      </w:r>
      <w:r w:rsidR="00021E2A" w:rsidRPr="00320416">
        <w:rPr>
          <w:b/>
          <w:bCs/>
        </w:rPr>
        <w:instrText xml:space="preserve"> </w:instrText>
      </w:r>
      <w:r w:rsidR="00021E2A">
        <w:rPr>
          <w:b/>
          <w:bCs/>
          <w:lang w:val="en-US"/>
        </w:rPr>
        <w:instrText>report</w:instrText>
      </w:r>
      <w:r w:rsidR="00021E2A" w:rsidRPr="00320416">
        <w:rPr>
          <w:b/>
          <w:bCs/>
        </w:rPr>
        <w:instrText xml:space="preserve"> </w:instrText>
      </w:r>
      <w:r w:rsidR="00021E2A">
        <w:rPr>
          <w:b/>
          <w:bCs/>
          <w:lang w:val="en-US"/>
        </w:rPr>
        <w:instrText>the</w:instrText>
      </w:r>
      <w:r w:rsidR="00021E2A" w:rsidRPr="00320416">
        <w:rPr>
          <w:b/>
          <w:bCs/>
        </w:rPr>
        <w:instrText xml:space="preserve"> </w:instrText>
      </w:r>
      <w:r w:rsidR="00021E2A">
        <w:rPr>
          <w:b/>
          <w:bCs/>
          <w:lang w:val="en-US"/>
        </w:rPr>
        <w:instrText>results</w:instrText>
      </w:r>
      <w:r w:rsidR="00021E2A" w:rsidRPr="00320416">
        <w:rPr>
          <w:b/>
          <w:bCs/>
        </w:rPr>
        <w:instrText xml:space="preserve"> </w:instrText>
      </w:r>
      <w:r w:rsidR="00021E2A">
        <w:rPr>
          <w:b/>
          <w:bCs/>
          <w:lang w:val="en-US"/>
        </w:rPr>
        <w:instrText>of</w:instrText>
      </w:r>
      <w:r w:rsidR="00021E2A" w:rsidRPr="00320416">
        <w:rPr>
          <w:b/>
          <w:bCs/>
        </w:rPr>
        <w:instrText xml:space="preserve"> </w:instrText>
      </w:r>
      <w:r w:rsidR="00021E2A">
        <w:rPr>
          <w:b/>
          <w:bCs/>
          <w:lang w:val="en-US"/>
        </w:rPr>
        <w:instrText>the</w:instrText>
      </w:r>
      <w:r w:rsidR="00021E2A" w:rsidRPr="00320416">
        <w:rPr>
          <w:b/>
          <w:bCs/>
        </w:rPr>
        <w:instrText xml:space="preserve"> </w:instrText>
      </w:r>
      <w:r w:rsidR="00021E2A">
        <w:rPr>
          <w:b/>
          <w:bCs/>
          <w:lang w:val="en-US"/>
        </w:rPr>
        <w:instrText>first</w:instrText>
      </w:r>
      <w:r w:rsidR="00021E2A" w:rsidRPr="00320416">
        <w:rPr>
          <w:b/>
          <w:bCs/>
        </w:rPr>
        <w:instrText xml:space="preserve"> </w:instrText>
      </w:r>
      <w:r w:rsidR="00021E2A">
        <w:rPr>
          <w:b/>
          <w:bCs/>
          <w:lang w:val="en-US"/>
        </w:rPr>
        <w:instrText>randomisation</w:instrText>
      </w:r>
      <w:r w:rsidR="00021E2A" w:rsidRPr="00320416">
        <w:rPr>
          <w:b/>
          <w:bCs/>
        </w:rPr>
        <w:instrText xml:space="preserve"> </w:instrText>
      </w:r>
      <w:r w:rsidR="00021E2A">
        <w:rPr>
          <w:b/>
          <w:bCs/>
          <w:lang w:val="en-US"/>
        </w:rPr>
        <w:instrText>in</w:instrText>
      </w:r>
      <w:r w:rsidR="00021E2A" w:rsidRPr="00320416">
        <w:rPr>
          <w:b/>
          <w:bCs/>
        </w:rPr>
        <w:instrText xml:space="preserve"> </w:instrText>
      </w:r>
      <w:r w:rsidR="00021E2A">
        <w:rPr>
          <w:b/>
          <w:bCs/>
          <w:lang w:val="en-US"/>
        </w:rPr>
        <w:instrText>this</w:instrText>
      </w:r>
      <w:r w:rsidR="00021E2A" w:rsidRPr="00320416">
        <w:rPr>
          <w:b/>
          <w:bCs/>
        </w:rPr>
        <w:instrText xml:space="preserve"> </w:instrText>
      </w:r>
      <w:r w:rsidR="00021E2A">
        <w:rPr>
          <w:b/>
          <w:bCs/>
          <w:lang w:val="en-US"/>
        </w:rPr>
        <w:instrText>Article</w:instrText>
      </w:r>
      <w:r w:rsidR="00021E2A" w:rsidRPr="00320416">
        <w:rPr>
          <w:b/>
          <w:bCs/>
        </w:rPr>
        <w:instrText xml:space="preserve">. </w:instrText>
      </w:r>
      <w:r w:rsidR="00021E2A">
        <w:rPr>
          <w:b/>
          <w:bCs/>
          <w:lang w:val="en-US"/>
        </w:rPr>
        <w:instrText>Methods</w:instrText>
      </w:r>
      <w:r w:rsidR="00021E2A" w:rsidRPr="00320416">
        <w:rPr>
          <w:b/>
          <w:bCs/>
        </w:rPr>
        <w:instrText xml:space="preserve">: </w:instrText>
      </w:r>
      <w:r w:rsidR="00021E2A">
        <w:rPr>
          <w:b/>
          <w:bCs/>
          <w:lang w:val="en-US"/>
        </w:rPr>
        <w:instrText>For</w:instrText>
      </w:r>
      <w:r w:rsidR="00021E2A" w:rsidRPr="00320416">
        <w:rPr>
          <w:b/>
          <w:bCs/>
        </w:rPr>
        <w:instrText xml:space="preserve"> </w:instrText>
      </w:r>
      <w:r w:rsidR="00021E2A">
        <w:rPr>
          <w:b/>
          <w:bCs/>
          <w:lang w:val="en-US"/>
        </w:rPr>
        <w:instrText>the</w:instrText>
      </w:r>
      <w:r w:rsidR="00021E2A" w:rsidRPr="00320416">
        <w:rPr>
          <w:b/>
          <w:bCs/>
        </w:rPr>
        <w:instrText xml:space="preserve"> </w:instrText>
      </w:r>
      <w:r w:rsidR="00021E2A">
        <w:rPr>
          <w:b/>
          <w:bCs/>
          <w:lang w:val="en-US"/>
        </w:rPr>
        <w:instrText>international</w:instrText>
      </w:r>
      <w:r w:rsidR="00021E2A" w:rsidRPr="00320416">
        <w:rPr>
          <w:b/>
          <w:bCs/>
        </w:rPr>
        <w:instrText xml:space="preserve"> </w:instrText>
      </w:r>
      <w:r w:rsidR="00021E2A">
        <w:rPr>
          <w:b/>
          <w:bCs/>
          <w:lang w:val="en-US"/>
        </w:rPr>
        <w:instrText>randomised</w:instrText>
      </w:r>
      <w:r w:rsidR="00021E2A" w:rsidRPr="00320416">
        <w:rPr>
          <w:b/>
          <w:bCs/>
        </w:rPr>
        <w:instrText xml:space="preserve"> </w:instrText>
      </w:r>
      <w:r w:rsidR="00021E2A">
        <w:rPr>
          <w:b/>
          <w:bCs/>
          <w:lang w:val="en-US"/>
        </w:rPr>
        <w:instrText>phase</w:instrText>
      </w:r>
      <w:r w:rsidR="00021E2A" w:rsidRPr="00320416">
        <w:rPr>
          <w:b/>
          <w:bCs/>
        </w:rPr>
        <w:instrText xml:space="preserve"> 2 </w:instrText>
      </w:r>
      <w:r w:rsidR="00021E2A">
        <w:rPr>
          <w:b/>
          <w:bCs/>
          <w:lang w:val="en-US"/>
        </w:rPr>
        <w:instrText>International</w:instrText>
      </w:r>
      <w:r w:rsidR="00021E2A" w:rsidRPr="00320416">
        <w:rPr>
          <w:b/>
          <w:bCs/>
        </w:rPr>
        <w:instrText xml:space="preserve"> </w:instrText>
      </w:r>
      <w:r w:rsidR="00021E2A">
        <w:rPr>
          <w:b/>
          <w:bCs/>
          <w:lang w:val="en-US"/>
        </w:rPr>
        <w:instrText>Extranodal</w:instrText>
      </w:r>
      <w:r w:rsidR="00021E2A" w:rsidRPr="00320416">
        <w:rPr>
          <w:b/>
          <w:bCs/>
        </w:rPr>
        <w:instrText xml:space="preserve"> </w:instrText>
      </w:r>
      <w:r w:rsidR="00021E2A">
        <w:rPr>
          <w:b/>
          <w:bCs/>
          <w:lang w:val="en-US"/>
        </w:rPr>
        <w:instrText>Lymphoma</w:instrText>
      </w:r>
      <w:r w:rsidR="00021E2A" w:rsidRPr="00320416">
        <w:rPr>
          <w:b/>
          <w:bCs/>
        </w:rPr>
        <w:instrText xml:space="preserve"> </w:instrText>
      </w:r>
      <w:r w:rsidR="00021E2A">
        <w:rPr>
          <w:b/>
          <w:bCs/>
          <w:lang w:val="en-US"/>
        </w:rPr>
        <w:instrText>Study</w:instrText>
      </w:r>
      <w:r w:rsidR="00021E2A" w:rsidRPr="00320416">
        <w:rPr>
          <w:b/>
          <w:bCs/>
        </w:rPr>
        <w:instrText xml:space="preserve"> </w:instrText>
      </w:r>
      <w:r w:rsidR="00021E2A">
        <w:rPr>
          <w:b/>
          <w:bCs/>
          <w:lang w:val="en-US"/>
        </w:rPr>
        <w:instrText>Group</w:instrText>
      </w:r>
      <w:r w:rsidR="00021E2A" w:rsidRPr="00320416">
        <w:rPr>
          <w:b/>
          <w:bCs/>
        </w:rPr>
        <w:instrText>-32 (</w:instrText>
      </w:r>
      <w:r w:rsidR="00021E2A">
        <w:rPr>
          <w:b/>
          <w:bCs/>
          <w:lang w:val="en-US"/>
        </w:rPr>
        <w:instrText>IELSG</w:instrText>
      </w:r>
      <w:r w:rsidR="00021E2A" w:rsidRPr="00320416">
        <w:rPr>
          <w:b/>
          <w:bCs/>
        </w:rPr>
        <w:instrText xml:space="preserve">32) </w:instrText>
      </w:r>
      <w:r w:rsidR="00021E2A">
        <w:rPr>
          <w:b/>
          <w:bCs/>
          <w:lang w:val="en-US"/>
        </w:rPr>
        <w:instrText>trial</w:instrText>
      </w:r>
      <w:r w:rsidR="00021E2A" w:rsidRPr="00320416">
        <w:rPr>
          <w:b/>
          <w:bCs/>
        </w:rPr>
        <w:instrText xml:space="preserve">, </w:instrText>
      </w:r>
      <w:r w:rsidR="00021E2A">
        <w:rPr>
          <w:b/>
          <w:bCs/>
          <w:lang w:val="en-US"/>
        </w:rPr>
        <w:instrText>HIV</w:instrText>
      </w:r>
      <w:r w:rsidR="00021E2A" w:rsidRPr="00320416">
        <w:rPr>
          <w:b/>
          <w:bCs/>
        </w:rPr>
        <w:instrText>-</w:instrText>
      </w:r>
      <w:r w:rsidR="00021E2A">
        <w:rPr>
          <w:b/>
          <w:bCs/>
          <w:lang w:val="en-US"/>
        </w:rPr>
        <w:instrText>negative</w:instrText>
      </w:r>
      <w:r w:rsidR="00021E2A" w:rsidRPr="00320416">
        <w:rPr>
          <w:b/>
          <w:bCs/>
        </w:rPr>
        <w:instrText xml:space="preserve"> </w:instrText>
      </w:r>
      <w:r w:rsidR="00021E2A">
        <w:rPr>
          <w:b/>
          <w:bCs/>
          <w:lang w:val="en-US"/>
        </w:rPr>
        <w:instrText>patients</w:instrText>
      </w:r>
      <w:r w:rsidR="00021E2A" w:rsidRPr="00320416">
        <w:rPr>
          <w:b/>
          <w:bCs/>
        </w:rPr>
        <w:instrText xml:space="preserve"> (</w:instrText>
      </w:r>
      <w:r w:rsidR="00021E2A">
        <w:rPr>
          <w:b/>
          <w:bCs/>
          <w:lang w:val="en-US"/>
        </w:rPr>
        <w:instrText>aged</w:instrText>
      </w:r>
      <w:r w:rsidR="00021E2A" w:rsidRPr="00320416">
        <w:rPr>
          <w:b/>
          <w:bCs/>
        </w:rPr>
        <w:instrText xml:space="preserve"> 18-70 </w:instrText>
      </w:r>
      <w:r w:rsidR="00021E2A">
        <w:rPr>
          <w:b/>
          <w:bCs/>
          <w:lang w:val="en-US"/>
        </w:rPr>
        <w:instrText>years</w:instrText>
      </w:r>
      <w:r w:rsidR="00021E2A" w:rsidRPr="00320416">
        <w:rPr>
          <w:b/>
          <w:bCs/>
        </w:rPr>
        <w:instrText xml:space="preserve">) </w:instrText>
      </w:r>
      <w:r w:rsidR="00021E2A">
        <w:rPr>
          <w:b/>
          <w:bCs/>
          <w:lang w:val="en-US"/>
        </w:rPr>
        <w:instrText>with</w:instrText>
      </w:r>
      <w:r w:rsidR="00021E2A" w:rsidRPr="00320416">
        <w:rPr>
          <w:b/>
          <w:bCs/>
        </w:rPr>
        <w:instrText xml:space="preserve"> </w:instrText>
      </w:r>
      <w:r w:rsidR="00021E2A">
        <w:rPr>
          <w:b/>
          <w:bCs/>
          <w:lang w:val="en-US"/>
        </w:rPr>
        <w:instrText>newly</w:instrText>
      </w:r>
      <w:r w:rsidR="00021E2A" w:rsidRPr="00320416">
        <w:rPr>
          <w:b/>
          <w:bCs/>
        </w:rPr>
        <w:instrText xml:space="preserve"> </w:instrText>
      </w:r>
      <w:r w:rsidR="00021E2A">
        <w:rPr>
          <w:b/>
          <w:bCs/>
          <w:lang w:val="en-US"/>
        </w:rPr>
        <w:instrText>diagnosed</w:instrText>
      </w:r>
      <w:r w:rsidR="00021E2A" w:rsidRPr="00320416">
        <w:rPr>
          <w:b/>
          <w:bCs/>
        </w:rPr>
        <w:instrText xml:space="preserve"> </w:instrText>
      </w:r>
      <w:r w:rsidR="00021E2A">
        <w:rPr>
          <w:b/>
          <w:bCs/>
          <w:lang w:val="en-US"/>
        </w:rPr>
        <w:instrText>primary</w:instrText>
      </w:r>
      <w:r w:rsidR="00021E2A" w:rsidRPr="00320416">
        <w:rPr>
          <w:b/>
          <w:bCs/>
        </w:rPr>
        <w:instrText xml:space="preserve"> </w:instrText>
      </w:r>
      <w:r w:rsidR="00021E2A">
        <w:rPr>
          <w:b/>
          <w:bCs/>
          <w:lang w:val="en-US"/>
        </w:rPr>
        <w:instrText>CNS</w:instrText>
      </w:r>
      <w:r w:rsidR="00021E2A" w:rsidRPr="00320416">
        <w:rPr>
          <w:b/>
          <w:bCs/>
        </w:rPr>
        <w:instrText xml:space="preserve"> </w:instrText>
      </w:r>
      <w:r w:rsidR="00021E2A">
        <w:rPr>
          <w:b/>
          <w:bCs/>
          <w:lang w:val="en-US"/>
        </w:rPr>
        <w:instrText>lymphoma</w:instrText>
      </w:r>
      <w:r w:rsidR="00021E2A" w:rsidRPr="00320416">
        <w:rPr>
          <w:b/>
          <w:bCs/>
        </w:rPr>
        <w:instrText xml:space="preserve"> </w:instrText>
      </w:r>
      <w:r w:rsidR="00021E2A">
        <w:rPr>
          <w:b/>
          <w:bCs/>
          <w:lang w:val="en-US"/>
        </w:rPr>
        <w:instrText>and</w:instrText>
      </w:r>
      <w:r w:rsidR="00021E2A" w:rsidRPr="00320416">
        <w:rPr>
          <w:b/>
          <w:bCs/>
        </w:rPr>
        <w:instrText xml:space="preserve"> </w:instrText>
      </w:r>
      <w:r w:rsidR="00021E2A">
        <w:rPr>
          <w:b/>
          <w:bCs/>
          <w:lang w:val="en-US"/>
        </w:rPr>
        <w:instrText>measurable</w:instrText>
      </w:r>
      <w:r w:rsidR="00021E2A" w:rsidRPr="00320416">
        <w:rPr>
          <w:b/>
          <w:bCs/>
        </w:rPr>
        <w:instrText xml:space="preserve"> </w:instrText>
      </w:r>
      <w:r w:rsidR="00021E2A">
        <w:rPr>
          <w:b/>
          <w:bCs/>
          <w:lang w:val="en-US"/>
        </w:rPr>
        <w:instrText>disease</w:instrText>
      </w:r>
      <w:r w:rsidR="00021E2A" w:rsidRPr="00320416">
        <w:rPr>
          <w:b/>
          <w:bCs/>
        </w:rPr>
        <w:instrText xml:space="preserve"> </w:instrText>
      </w:r>
      <w:r w:rsidR="00021E2A">
        <w:rPr>
          <w:b/>
          <w:bCs/>
          <w:lang w:val="en-US"/>
        </w:rPr>
        <w:instrText>were</w:instrText>
      </w:r>
      <w:r w:rsidR="00021E2A" w:rsidRPr="00320416">
        <w:rPr>
          <w:b/>
          <w:bCs/>
        </w:rPr>
        <w:instrText xml:space="preserve"> </w:instrText>
      </w:r>
      <w:r w:rsidR="00021E2A">
        <w:rPr>
          <w:b/>
          <w:bCs/>
          <w:lang w:val="en-US"/>
        </w:rPr>
        <w:instrText>enrolled</w:instrText>
      </w:r>
      <w:r w:rsidR="00021E2A" w:rsidRPr="00320416">
        <w:rPr>
          <w:b/>
          <w:bCs/>
        </w:rPr>
        <w:instrText xml:space="preserve"> </w:instrText>
      </w:r>
      <w:r w:rsidR="00021E2A">
        <w:rPr>
          <w:b/>
          <w:bCs/>
          <w:lang w:val="en-US"/>
        </w:rPr>
        <w:instrText>from</w:instrText>
      </w:r>
      <w:r w:rsidR="00021E2A" w:rsidRPr="00320416">
        <w:rPr>
          <w:b/>
          <w:bCs/>
        </w:rPr>
        <w:instrText xml:space="preserve"> 53 </w:instrText>
      </w:r>
      <w:r w:rsidR="00021E2A">
        <w:rPr>
          <w:b/>
          <w:bCs/>
          <w:lang w:val="en-US"/>
        </w:rPr>
        <w:instrText>cancer</w:instrText>
      </w:r>
      <w:r w:rsidR="00021E2A" w:rsidRPr="00320416">
        <w:rPr>
          <w:b/>
          <w:bCs/>
        </w:rPr>
        <w:instrText xml:space="preserve"> </w:instrText>
      </w:r>
      <w:r w:rsidR="00021E2A">
        <w:rPr>
          <w:b/>
          <w:bCs/>
          <w:lang w:val="en-US"/>
        </w:rPr>
        <w:instrText>centres</w:instrText>
      </w:r>
      <w:r w:rsidR="00021E2A" w:rsidRPr="00320416">
        <w:rPr>
          <w:b/>
          <w:bCs/>
        </w:rPr>
        <w:instrText xml:space="preserve"> </w:instrText>
      </w:r>
      <w:r w:rsidR="00021E2A">
        <w:rPr>
          <w:b/>
          <w:bCs/>
          <w:lang w:val="en-US"/>
        </w:rPr>
        <w:instrText>in</w:instrText>
      </w:r>
      <w:r w:rsidR="00021E2A" w:rsidRPr="00320416">
        <w:rPr>
          <w:b/>
          <w:bCs/>
        </w:rPr>
        <w:instrText xml:space="preserve"> </w:instrText>
      </w:r>
      <w:r w:rsidR="00021E2A">
        <w:rPr>
          <w:b/>
          <w:bCs/>
          <w:lang w:val="en-US"/>
        </w:rPr>
        <w:instrText>five</w:instrText>
      </w:r>
      <w:r w:rsidR="00021E2A" w:rsidRPr="00320416">
        <w:rPr>
          <w:b/>
          <w:bCs/>
        </w:rPr>
        <w:instrText xml:space="preserve"> </w:instrText>
      </w:r>
      <w:r w:rsidR="00021E2A">
        <w:rPr>
          <w:b/>
          <w:bCs/>
          <w:lang w:val="en-US"/>
        </w:rPr>
        <w:instrText>European</w:instrText>
      </w:r>
      <w:r w:rsidR="00021E2A" w:rsidRPr="00320416">
        <w:rPr>
          <w:b/>
          <w:bCs/>
        </w:rPr>
        <w:instrText xml:space="preserve"> </w:instrText>
      </w:r>
      <w:r w:rsidR="00021E2A">
        <w:rPr>
          <w:b/>
          <w:bCs/>
          <w:lang w:val="en-US"/>
        </w:rPr>
        <w:instrText>countries</w:instrText>
      </w:r>
      <w:r w:rsidR="00021E2A" w:rsidRPr="00320416">
        <w:rPr>
          <w:b/>
          <w:bCs/>
        </w:rPr>
        <w:instrText xml:space="preserve"> (</w:instrText>
      </w:r>
      <w:r w:rsidR="00021E2A">
        <w:rPr>
          <w:b/>
          <w:bCs/>
          <w:lang w:val="en-US"/>
        </w:rPr>
        <w:instrText>Denmark</w:instrText>
      </w:r>
      <w:r w:rsidR="00021E2A" w:rsidRPr="00320416">
        <w:rPr>
          <w:b/>
          <w:bCs/>
        </w:rPr>
        <w:instrText xml:space="preserve">, </w:instrText>
      </w:r>
      <w:r w:rsidR="00021E2A">
        <w:rPr>
          <w:b/>
          <w:bCs/>
          <w:lang w:val="en-US"/>
        </w:rPr>
        <w:instrText>Germany</w:instrText>
      </w:r>
      <w:r w:rsidR="00021E2A" w:rsidRPr="00320416">
        <w:rPr>
          <w:b/>
          <w:bCs/>
        </w:rPr>
        <w:instrText xml:space="preserve">, </w:instrText>
      </w:r>
      <w:r w:rsidR="00021E2A">
        <w:rPr>
          <w:b/>
          <w:bCs/>
          <w:lang w:val="en-US"/>
        </w:rPr>
        <w:instrText>Italy</w:instrText>
      </w:r>
      <w:r w:rsidR="00021E2A" w:rsidRPr="00320416">
        <w:rPr>
          <w:b/>
          <w:bCs/>
        </w:rPr>
        <w:instrText xml:space="preserve">, </w:instrText>
      </w:r>
      <w:r w:rsidR="00021E2A">
        <w:rPr>
          <w:b/>
          <w:bCs/>
          <w:lang w:val="en-US"/>
        </w:rPr>
        <w:instrText>Switzerland</w:instrText>
      </w:r>
      <w:r w:rsidR="00021E2A" w:rsidRPr="00320416">
        <w:rPr>
          <w:b/>
          <w:bCs/>
        </w:rPr>
        <w:instrText xml:space="preserve">, </w:instrText>
      </w:r>
      <w:r w:rsidR="00021E2A">
        <w:rPr>
          <w:b/>
          <w:bCs/>
          <w:lang w:val="en-US"/>
        </w:rPr>
        <w:instrText>and</w:instrText>
      </w:r>
      <w:r w:rsidR="00021E2A" w:rsidRPr="00320416">
        <w:rPr>
          <w:b/>
          <w:bCs/>
        </w:rPr>
        <w:instrText xml:space="preserve"> </w:instrText>
      </w:r>
      <w:r w:rsidR="00021E2A">
        <w:rPr>
          <w:b/>
          <w:bCs/>
          <w:lang w:val="en-US"/>
        </w:rPr>
        <w:instrText>the</w:instrText>
      </w:r>
      <w:r w:rsidR="00021E2A" w:rsidRPr="00320416">
        <w:rPr>
          <w:b/>
          <w:bCs/>
        </w:rPr>
        <w:instrText xml:space="preserve"> </w:instrText>
      </w:r>
      <w:r w:rsidR="00021E2A">
        <w:rPr>
          <w:b/>
          <w:bCs/>
          <w:lang w:val="en-US"/>
        </w:rPr>
        <w:instrText>UK</w:instrText>
      </w:r>
      <w:r w:rsidR="00021E2A" w:rsidRPr="00320416">
        <w:rPr>
          <w:b/>
          <w:bCs/>
        </w:rPr>
        <w:instrText xml:space="preserve">) </w:instrText>
      </w:r>
      <w:r w:rsidR="00021E2A">
        <w:rPr>
          <w:b/>
          <w:bCs/>
          <w:lang w:val="en-US"/>
        </w:rPr>
        <w:instrText>and</w:instrText>
      </w:r>
      <w:r w:rsidR="00021E2A" w:rsidRPr="00320416">
        <w:rPr>
          <w:b/>
          <w:bCs/>
        </w:rPr>
        <w:instrText xml:space="preserve"> </w:instrText>
      </w:r>
      <w:r w:rsidR="00021E2A">
        <w:rPr>
          <w:b/>
          <w:bCs/>
          <w:lang w:val="en-US"/>
        </w:rPr>
        <w:instrText>randomly</w:instrText>
      </w:r>
      <w:r w:rsidR="00021E2A" w:rsidRPr="00320416">
        <w:rPr>
          <w:b/>
          <w:bCs/>
        </w:rPr>
        <w:instrText xml:space="preserve"> </w:instrText>
      </w:r>
      <w:r w:rsidR="00021E2A">
        <w:rPr>
          <w:b/>
          <w:bCs/>
          <w:lang w:val="en-US"/>
        </w:rPr>
        <w:instrText>assigned</w:instrText>
      </w:r>
      <w:r w:rsidR="00021E2A" w:rsidRPr="00320416">
        <w:rPr>
          <w:b/>
          <w:bCs/>
        </w:rPr>
        <w:instrText xml:space="preserve"> (1:1:1) </w:instrText>
      </w:r>
      <w:r w:rsidR="00021E2A">
        <w:rPr>
          <w:b/>
          <w:bCs/>
          <w:lang w:val="en-US"/>
        </w:rPr>
        <w:instrText>to</w:instrText>
      </w:r>
      <w:r w:rsidR="00021E2A" w:rsidRPr="00320416">
        <w:rPr>
          <w:b/>
          <w:bCs/>
        </w:rPr>
        <w:instrText xml:space="preserve"> </w:instrText>
      </w:r>
      <w:r w:rsidR="00021E2A">
        <w:rPr>
          <w:b/>
          <w:bCs/>
          <w:lang w:val="en-US"/>
        </w:rPr>
        <w:instrText>receive</w:instrText>
      </w:r>
      <w:r w:rsidR="00021E2A" w:rsidRPr="00320416">
        <w:rPr>
          <w:b/>
          <w:bCs/>
        </w:rPr>
        <w:instrText xml:space="preserve"> </w:instrText>
      </w:r>
      <w:r w:rsidR="00021E2A">
        <w:rPr>
          <w:b/>
          <w:bCs/>
          <w:lang w:val="en-US"/>
        </w:rPr>
        <w:instrText>four</w:instrText>
      </w:r>
      <w:r w:rsidR="00021E2A" w:rsidRPr="00320416">
        <w:rPr>
          <w:b/>
          <w:bCs/>
        </w:rPr>
        <w:instrText xml:space="preserve"> </w:instrText>
      </w:r>
      <w:r w:rsidR="00021E2A">
        <w:rPr>
          <w:b/>
          <w:bCs/>
          <w:lang w:val="en-US"/>
        </w:rPr>
        <w:instrText>courses</w:instrText>
      </w:r>
      <w:r w:rsidR="00021E2A" w:rsidRPr="00320416">
        <w:rPr>
          <w:b/>
          <w:bCs/>
        </w:rPr>
        <w:instrText xml:space="preserve"> </w:instrText>
      </w:r>
      <w:r w:rsidR="00021E2A">
        <w:rPr>
          <w:b/>
          <w:bCs/>
          <w:lang w:val="en-US"/>
        </w:rPr>
        <w:instrText>of</w:instrText>
      </w:r>
      <w:r w:rsidR="00021E2A" w:rsidRPr="00320416">
        <w:rPr>
          <w:b/>
          <w:bCs/>
        </w:rPr>
        <w:instrText xml:space="preserve"> </w:instrText>
      </w:r>
      <w:r w:rsidR="00021E2A">
        <w:rPr>
          <w:b/>
          <w:bCs/>
          <w:lang w:val="en-US"/>
        </w:rPr>
        <w:instrText>methotrexate</w:instrText>
      </w:r>
      <w:r w:rsidR="00021E2A" w:rsidRPr="00320416">
        <w:rPr>
          <w:b/>
          <w:bCs/>
        </w:rPr>
        <w:instrText xml:space="preserve"> 3·5 </w:instrText>
      </w:r>
      <w:r w:rsidR="00021E2A">
        <w:rPr>
          <w:b/>
          <w:bCs/>
          <w:lang w:val="en-US"/>
        </w:rPr>
        <w:instrText>g</w:instrText>
      </w:r>
      <w:r w:rsidR="00021E2A" w:rsidRPr="00320416">
        <w:rPr>
          <w:b/>
          <w:bCs/>
        </w:rPr>
        <w:instrText>/</w:instrText>
      </w:r>
      <w:r w:rsidR="00021E2A">
        <w:rPr>
          <w:b/>
          <w:bCs/>
          <w:lang w:val="en-US"/>
        </w:rPr>
        <w:instrText>m</w:instrText>
      </w:r>
      <w:r w:rsidR="00021E2A" w:rsidRPr="00320416">
        <w:rPr>
          <w:b/>
          <w:bCs/>
        </w:rPr>
        <w:instrText xml:space="preserve">2 </w:instrText>
      </w:r>
      <w:r w:rsidR="00021E2A">
        <w:rPr>
          <w:b/>
          <w:bCs/>
          <w:lang w:val="en-US"/>
        </w:rPr>
        <w:instrText>on</w:instrText>
      </w:r>
      <w:r w:rsidR="00021E2A" w:rsidRPr="00320416">
        <w:rPr>
          <w:b/>
          <w:bCs/>
        </w:rPr>
        <w:instrText xml:space="preserve"> </w:instrText>
      </w:r>
      <w:r w:rsidR="00021E2A">
        <w:rPr>
          <w:b/>
          <w:bCs/>
          <w:lang w:val="en-US"/>
        </w:rPr>
        <w:instrText>day</w:instrText>
      </w:r>
      <w:r w:rsidR="00021E2A" w:rsidRPr="00320416">
        <w:rPr>
          <w:b/>
          <w:bCs/>
        </w:rPr>
        <w:instrText xml:space="preserve"> 1 </w:instrText>
      </w:r>
      <w:r w:rsidR="00021E2A">
        <w:rPr>
          <w:b/>
          <w:bCs/>
          <w:lang w:val="en-US"/>
        </w:rPr>
        <w:instrText>plus</w:instrText>
      </w:r>
      <w:r w:rsidR="00021E2A" w:rsidRPr="00320416">
        <w:rPr>
          <w:b/>
          <w:bCs/>
        </w:rPr>
        <w:instrText xml:space="preserve"> </w:instrText>
      </w:r>
      <w:r w:rsidR="00021E2A">
        <w:rPr>
          <w:b/>
          <w:bCs/>
          <w:lang w:val="en-US"/>
        </w:rPr>
        <w:instrText>cytarabine</w:instrText>
      </w:r>
      <w:r w:rsidR="00021E2A" w:rsidRPr="00320416">
        <w:rPr>
          <w:b/>
          <w:bCs/>
        </w:rPr>
        <w:instrText xml:space="preserve"> 2 </w:instrText>
      </w:r>
      <w:r w:rsidR="00021E2A">
        <w:rPr>
          <w:b/>
          <w:bCs/>
          <w:lang w:val="en-US"/>
        </w:rPr>
        <w:instrText>g</w:instrText>
      </w:r>
      <w:r w:rsidR="00021E2A" w:rsidRPr="00320416">
        <w:rPr>
          <w:b/>
          <w:bCs/>
        </w:rPr>
        <w:instrText>/</w:instrText>
      </w:r>
      <w:r w:rsidR="00021E2A">
        <w:rPr>
          <w:b/>
          <w:bCs/>
          <w:lang w:val="en-US"/>
        </w:rPr>
        <w:instrText>m</w:instrText>
      </w:r>
      <w:r w:rsidR="00021E2A" w:rsidRPr="00320416">
        <w:rPr>
          <w:b/>
          <w:bCs/>
        </w:rPr>
        <w:instrText xml:space="preserve">2 </w:instrText>
      </w:r>
      <w:r w:rsidR="00021E2A">
        <w:rPr>
          <w:b/>
          <w:bCs/>
          <w:lang w:val="en-US"/>
        </w:rPr>
        <w:instrText>twice</w:instrText>
      </w:r>
      <w:r w:rsidR="00021E2A" w:rsidRPr="00320416">
        <w:rPr>
          <w:b/>
          <w:bCs/>
        </w:rPr>
        <w:instrText xml:space="preserve"> </w:instrText>
      </w:r>
      <w:r w:rsidR="00021E2A">
        <w:rPr>
          <w:b/>
          <w:bCs/>
          <w:lang w:val="en-US"/>
        </w:rPr>
        <w:instrText>daily</w:instrText>
      </w:r>
      <w:r w:rsidR="00021E2A" w:rsidRPr="00320416">
        <w:rPr>
          <w:b/>
          <w:bCs/>
        </w:rPr>
        <w:instrText xml:space="preserve"> </w:instrText>
      </w:r>
      <w:r w:rsidR="00021E2A">
        <w:rPr>
          <w:b/>
          <w:bCs/>
          <w:lang w:val="en-US"/>
        </w:rPr>
        <w:instrText>on</w:instrText>
      </w:r>
      <w:r w:rsidR="00021E2A" w:rsidRPr="00320416">
        <w:rPr>
          <w:b/>
          <w:bCs/>
        </w:rPr>
        <w:instrText xml:space="preserve"> </w:instrText>
      </w:r>
      <w:r w:rsidR="00021E2A">
        <w:rPr>
          <w:b/>
          <w:bCs/>
          <w:lang w:val="en-US"/>
        </w:rPr>
        <w:instrText>days</w:instrText>
      </w:r>
      <w:r w:rsidR="00021E2A" w:rsidRPr="00320416">
        <w:rPr>
          <w:b/>
          <w:bCs/>
        </w:rPr>
        <w:instrText xml:space="preserve"> 2 </w:instrText>
      </w:r>
      <w:r w:rsidR="00021E2A">
        <w:rPr>
          <w:b/>
          <w:bCs/>
          <w:lang w:val="en-US"/>
        </w:rPr>
        <w:instrText>and</w:instrText>
      </w:r>
      <w:r w:rsidR="00021E2A" w:rsidRPr="00320416">
        <w:rPr>
          <w:b/>
          <w:bCs/>
        </w:rPr>
        <w:instrText xml:space="preserve"> 3 (</w:instrText>
      </w:r>
      <w:r w:rsidR="00021E2A">
        <w:rPr>
          <w:b/>
          <w:bCs/>
          <w:lang w:val="en-US"/>
        </w:rPr>
        <w:instrText>group</w:instrText>
      </w:r>
      <w:r w:rsidR="00021E2A" w:rsidRPr="00320416">
        <w:rPr>
          <w:b/>
          <w:bCs/>
        </w:rPr>
        <w:instrText xml:space="preserve"> </w:instrText>
      </w:r>
      <w:r w:rsidR="00021E2A">
        <w:rPr>
          <w:b/>
          <w:bCs/>
          <w:lang w:val="en-US"/>
        </w:rPr>
        <w:instrText>A</w:instrText>
      </w:r>
      <w:r w:rsidR="00021E2A" w:rsidRPr="00320416">
        <w:rPr>
          <w:b/>
          <w:bCs/>
        </w:rPr>
        <w:instrText xml:space="preserve">); </w:instrText>
      </w:r>
      <w:r w:rsidR="00021E2A">
        <w:rPr>
          <w:b/>
          <w:bCs/>
          <w:lang w:val="en-US"/>
        </w:rPr>
        <w:instrText>or</w:instrText>
      </w:r>
      <w:r w:rsidR="00021E2A" w:rsidRPr="00320416">
        <w:rPr>
          <w:b/>
          <w:bCs/>
        </w:rPr>
        <w:instrText xml:space="preserve"> </w:instrText>
      </w:r>
      <w:r w:rsidR="00021E2A">
        <w:rPr>
          <w:b/>
          <w:bCs/>
          <w:lang w:val="en-US"/>
        </w:rPr>
        <w:instrText>the</w:instrText>
      </w:r>
      <w:r w:rsidR="00021E2A" w:rsidRPr="00320416">
        <w:rPr>
          <w:b/>
          <w:bCs/>
        </w:rPr>
        <w:instrText xml:space="preserve"> </w:instrText>
      </w:r>
      <w:r w:rsidR="00021E2A">
        <w:rPr>
          <w:b/>
          <w:bCs/>
          <w:lang w:val="en-US"/>
        </w:rPr>
        <w:instrText>same</w:instrText>
      </w:r>
      <w:r w:rsidR="00021E2A" w:rsidRPr="00320416">
        <w:rPr>
          <w:b/>
          <w:bCs/>
        </w:rPr>
        <w:instrText xml:space="preserve"> </w:instrText>
      </w:r>
      <w:r w:rsidR="00021E2A">
        <w:rPr>
          <w:b/>
          <w:bCs/>
          <w:lang w:val="en-US"/>
        </w:rPr>
        <w:instrText>combination</w:instrText>
      </w:r>
      <w:r w:rsidR="00021E2A" w:rsidRPr="00320416">
        <w:rPr>
          <w:b/>
          <w:bCs/>
        </w:rPr>
        <w:instrText xml:space="preserve"> </w:instrText>
      </w:r>
      <w:r w:rsidR="00021E2A">
        <w:rPr>
          <w:b/>
          <w:bCs/>
          <w:lang w:val="en-US"/>
        </w:rPr>
        <w:instrText>plus</w:instrText>
      </w:r>
      <w:r w:rsidR="00021E2A" w:rsidRPr="00320416">
        <w:rPr>
          <w:b/>
          <w:bCs/>
        </w:rPr>
        <w:instrText xml:space="preserve"> </w:instrText>
      </w:r>
      <w:r w:rsidR="00021E2A">
        <w:rPr>
          <w:b/>
          <w:bCs/>
          <w:lang w:val="en-US"/>
        </w:rPr>
        <w:instrText>two</w:instrText>
      </w:r>
      <w:r w:rsidR="00021E2A" w:rsidRPr="00320416">
        <w:rPr>
          <w:b/>
          <w:bCs/>
        </w:rPr>
        <w:instrText xml:space="preserve"> </w:instrText>
      </w:r>
      <w:r w:rsidR="00021E2A">
        <w:rPr>
          <w:b/>
          <w:bCs/>
          <w:lang w:val="en-US"/>
        </w:rPr>
        <w:instrText>doses</w:instrText>
      </w:r>
      <w:r w:rsidR="00021E2A" w:rsidRPr="00320416">
        <w:rPr>
          <w:b/>
          <w:bCs/>
        </w:rPr>
        <w:instrText xml:space="preserve"> </w:instrText>
      </w:r>
      <w:r w:rsidR="00021E2A">
        <w:rPr>
          <w:b/>
          <w:bCs/>
          <w:lang w:val="en-US"/>
        </w:rPr>
        <w:instrText>of</w:instrText>
      </w:r>
      <w:r w:rsidR="00021E2A" w:rsidRPr="00320416">
        <w:rPr>
          <w:b/>
          <w:bCs/>
        </w:rPr>
        <w:instrText xml:space="preserve"> </w:instrText>
      </w:r>
      <w:r w:rsidR="00021E2A">
        <w:rPr>
          <w:b/>
          <w:bCs/>
          <w:lang w:val="en-US"/>
        </w:rPr>
        <w:instrText>rituximab</w:instrText>
      </w:r>
      <w:r w:rsidR="00021E2A" w:rsidRPr="00320416">
        <w:rPr>
          <w:b/>
          <w:bCs/>
        </w:rPr>
        <w:instrText xml:space="preserve"> 375 </w:instrText>
      </w:r>
      <w:r w:rsidR="00021E2A">
        <w:rPr>
          <w:b/>
          <w:bCs/>
          <w:lang w:val="en-US"/>
        </w:rPr>
        <w:instrText>mg</w:instrText>
      </w:r>
      <w:r w:rsidR="00021E2A" w:rsidRPr="00320416">
        <w:rPr>
          <w:b/>
          <w:bCs/>
        </w:rPr>
        <w:instrText>/</w:instrText>
      </w:r>
      <w:r w:rsidR="00021E2A">
        <w:rPr>
          <w:b/>
          <w:bCs/>
          <w:lang w:val="en-US"/>
        </w:rPr>
        <w:instrText>m</w:instrText>
      </w:r>
      <w:r w:rsidR="00021E2A" w:rsidRPr="00320416">
        <w:rPr>
          <w:b/>
          <w:bCs/>
        </w:rPr>
        <w:instrText xml:space="preserve">2 </w:instrText>
      </w:r>
      <w:r w:rsidR="00021E2A">
        <w:rPr>
          <w:b/>
          <w:bCs/>
          <w:lang w:val="en-US"/>
        </w:rPr>
        <w:instrText>on</w:instrText>
      </w:r>
      <w:r w:rsidR="00021E2A" w:rsidRPr="00320416">
        <w:rPr>
          <w:b/>
          <w:bCs/>
        </w:rPr>
        <w:instrText xml:space="preserve"> </w:instrText>
      </w:r>
      <w:r w:rsidR="00021E2A">
        <w:rPr>
          <w:b/>
          <w:bCs/>
          <w:lang w:val="en-US"/>
        </w:rPr>
        <w:instrText>days</w:instrText>
      </w:r>
      <w:r w:rsidR="00021E2A" w:rsidRPr="00320416">
        <w:rPr>
          <w:b/>
          <w:bCs/>
        </w:rPr>
        <w:instrText xml:space="preserve"> -5 </w:instrText>
      </w:r>
      <w:r w:rsidR="00021E2A">
        <w:rPr>
          <w:b/>
          <w:bCs/>
          <w:lang w:val="en-US"/>
        </w:rPr>
        <w:instrText>and</w:instrText>
      </w:r>
      <w:r w:rsidR="00021E2A" w:rsidRPr="00320416">
        <w:rPr>
          <w:b/>
          <w:bCs/>
        </w:rPr>
        <w:instrText xml:space="preserve"> 0 (</w:instrText>
      </w:r>
      <w:r w:rsidR="00021E2A">
        <w:rPr>
          <w:b/>
          <w:bCs/>
          <w:lang w:val="en-US"/>
        </w:rPr>
        <w:instrText>group</w:instrText>
      </w:r>
      <w:r w:rsidR="00021E2A" w:rsidRPr="00320416">
        <w:rPr>
          <w:b/>
          <w:bCs/>
        </w:rPr>
        <w:instrText xml:space="preserve"> </w:instrText>
      </w:r>
      <w:r w:rsidR="00021E2A">
        <w:rPr>
          <w:b/>
          <w:bCs/>
          <w:lang w:val="en-US"/>
        </w:rPr>
        <w:instrText>B</w:instrText>
      </w:r>
      <w:r w:rsidR="00021E2A" w:rsidRPr="00320416">
        <w:rPr>
          <w:b/>
          <w:bCs/>
        </w:rPr>
        <w:instrText xml:space="preserve">); </w:instrText>
      </w:r>
      <w:r w:rsidR="00021E2A">
        <w:rPr>
          <w:b/>
          <w:bCs/>
          <w:lang w:val="en-US"/>
        </w:rPr>
        <w:instrText>or</w:instrText>
      </w:r>
      <w:r w:rsidR="00021E2A" w:rsidRPr="00320416">
        <w:rPr>
          <w:b/>
          <w:bCs/>
        </w:rPr>
        <w:instrText xml:space="preserve"> </w:instrText>
      </w:r>
      <w:r w:rsidR="00021E2A">
        <w:rPr>
          <w:b/>
          <w:bCs/>
          <w:lang w:val="en-US"/>
        </w:rPr>
        <w:instrText>the</w:instrText>
      </w:r>
      <w:r w:rsidR="00021E2A" w:rsidRPr="00320416">
        <w:rPr>
          <w:b/>
          <w:bCs/>
        </w:rPr>
        <w:instrText xml:space="preserve"> </w:instrText>
      </w:r>
      <w:r w:rsidR="00021E2A">
        <w:rPr>
          <w:b/>
          <w:bCs/>
          <w:lang w:val="en-US"/>
        </w:rPr>
        <w:instrText>same</w:instrText>
      </w:r>
      <w:r w:rsidR="00021E2A" w:rsidRPr="00320416">
        <w:rPr>
          <w:b/>
          <w:bCs/>
        </w:rPr>
        <w:instrText xml:space="preserve"> </w:instrText>
      </w:r>
      <w:r w:rsidR="00021E2A">
        <w:rPr>
          <w:b/>
          <w:bCs/>
          <w:lang w:val="en-US"/>
        </w:rPr>
        <w:instrText>methotrexate</w:instrText>
      </w:r>
      <w:r w:rsidR="00021E2A" w:rsidRPr="00320416">
        <w:rPr>
          <w:b/>
          <w:bCs/>
        </w:rPr>
        <w:instrText>-</w:instrText>
      </w:r>
      <w:r w:rsidR="00021E2A">
        <w:rPr>
          <w:b/>
          <w:bCs/>
          <w:lang w:val="en-US"/>
        </w:rPr>
        <w:instrText>cytarabine</w:instrText>
      </w:r>
      <w:r w:rsidR="00021E2A" w:rsidRPr="00320416">
        <w:rPr>
          <w:b/>
          <w:bCs/>
        </w:rPr>
        <w:instrText>-</w:instrText>
      </w:r>
      <w:r w:rsidR="00021E2A">
        <w:rPr>
          <w:b/>
          <w:bCs/>
          <w:lang w:val="en-US"/>
        </w:rPr>
        <w:instrText>rituximab</w:instrText>
      </w:r>
      <w:r w:rsidR="00021E2A" w:rsidRPr="00AA43FB">
        <w:rPr>
          <w:b/>
          <w:bCs/>
        </w:rPr>
        <w:instrText xml:space="preserve"> </w:instrText>
      </w:r>
      <w:r w:rsidR="00021E2A">
        <w:rPr>
          <w:b/>
          <w:bCs/>
          <w:lang w:val="en-US"/>
        </w:rPr>
        <w:instrText>combination</w:instrText>
      </w:r>
      <w:r w:rsidR="00021E2A" w:rsidRPr="00AA43FB">
        <w:rPr>
          <w:b/>
          <w:bCs/>
        </w:rPr>
        <w:instrText xml:space="preserve"> </w:instrText>
      </w:r>
      <w:r w:rsidR="00021E2A">
        <w:rPr>
          <w:b/>
          <w:bCs/>
          <w:lang w:val="en-US"/>
        </w:rPr>
        <w:instrText>plus</w:instrText>
      </w:r>
      <w:r w:rsidR="00021E2A" w:rsidRPr="00AA43FB">
        <w:rPr>
          <w:b/>
          <w:bCs/>
        </w:rPr>
        <w:instrText xml:space="preserve"> </w:instrText>
      </w:r>
      <w:r w:rsidR="00021E2A">
        <w:rPr>
          <w:b/>
          <w:bCs/>
          <w:lang w:val="en-US"/>
        </w:rPr>
        <w:instrText>thiotepa</w:instrText>
      </w:r>
      <w:r w:rsidR="00021E2A" w:rsidRPr="00AA43FB">
        <w:rPr>
          <w:b/>
          <w:bCs/>
        </w:rPr>
        <w:instrText xml:space="preserve"> 30 </w:instrText>
      </w:r>
      <w:r w:rsidR="00021E2A">
        <w:rPr>
          <w:b/>
          <w:bCs/>
          <w:lang w:val="en-US"/>
        </w:rPr>
        <w:instrText>mg</w:instrText>
      </w:r>
      <w:r w:rsidR="00021E2A" w:rsidRPr="00AA43FB">
        <w:rPr>
          <w:b/>
          <w:bCs/>
        </w:rPr>
        <w:instrText>/</w:instrText>
      </w:r>
      <w:r w:rsidR="00021E2A">
        <w:rPr>
          <w:b/>
          <w:bCs/>
          <w:lang w:val="en-US"/>
        </w:rPr>
        <w:instrText>m</w:instrText>
      </w:r>
      <w:r w:rsidR="00021E2A" w:rsidRPr="00AA43FB">
        <w:rPr>
          <w:b/>
          <w:bCs/>
        </w:rPr>
        <w:instrText xml:space="preserve">2 </w:instrText>
      </w:r>
      <w:r w:rsidR="00021E2A">
        <w:rPr>
          <w:b/>
          <w:bCs/>
          <w:lang w:val="en-US"/>
        </w:rPr>
        <w:instrText>on</w:instrText>
      </w:r>
      <w:r w:rsidR="00021E2A" w:rsidRPr="00AA43FB">
        <w:rPr>
          <w:b/>
          <w:bCs/>
        </w:rPr>
        <w:instrText xml:space="preserve"> </w:instrText>
      </w:r>
      <w:r w:rsidR="00021E2A">
        <w:rPr>
          <w:b/>
          <w:bCs/>
          <w:lang w:val="en-US"/>
        </w:rPr>
        <w:instrText>day</w:instrText>
      </w:r>
      <w:r w:rsidR="00021E2A" w:rsidRPr="00AA43FB">
        <w:rPr>
          <w:b/>
          <w:bCs/>
        </w:rPr>
        <w:instrText xml:space="preserve"> 4 (</w:instrText>
      </w:r>
      <w:r w:rsidR="00021E2A">
        <w:rPr>
          <w:b/>
          <w:bCs/>
          <w:lang w:val="en-US"/>
        </w:rPr>
        <w:instrText>group</w:instrText>
      </w:r>
      <w:r w:rsidR="00021E2A" w:rsidRPr="00AA43FB">
        <w:rPr>
          <w:b/>
          <w:bCs/>
        </w:rPr>
        <w:instrText xml:space="preserve"> </w:instrText>
      </w:r>
      <w:r w:rsidR="00021E2A">
        <w:rPr>
          <w:b/>
          <w:bCs/>
          <w:lang w:val="en-US"/>
        </w:rPr>
        <w:instrText>C</w:instrText>
      </w:r>
      <w:r w:rsidR="00021E2A" w:rsidRPr="00AA43FB">
        <w:rPr>
          <w:b/>
          <w:bCs/>
        </w:rPr>
        <w:instrText xml:space="preserve">), </w:instrText>
      </w:r>
      <w:r w:rsidR="00021E2A">
        <w:rPr>
          <w:b/>
          <w:bCs/>
          <w:lang w:val="en-US"/>
        </w:rPr>
        <w:instrText>with</w:instrText>
      </w:r>
      <w:r w:rsidR="00021E2A" w:rsidRPr="00AA43FB">
        <w:rPr>
          <w:b/>
          <w:bCs/>
        </w:rPr>
        <w:instrText xml:space="preserve"> </w:instrText>
      </w:r>
      <w:r w:rsidR="00021E2A">
        <w:rPr>
          <w:b/>
          <w:bCs/>
          <w:lang w:val="en-US"/>
        </w:rPr>
        <w:instrText>the</w:instrText>
      </w:r>
      <w:r w:rsidR="00021E2A" w:rsidRPr="00AA43FB">
        <w:rPr>
          <w:b/>
          <w:bCs/>
        </w:rPr>
        <w:instrText xml:space="preserve"> </w:instrText>
      </w:r>
      <w:r w:rsidR="00021E2A">
        <w:rPr>
          <w:b/>
          <w:bCs/>
          <w:lang w:val="en-US"/>
        </w:rPr>
        <w:instrText>three</w:instrText>
      </w:r>
      <w:r w:rsidR="00021E2A" w:rsidRPr="00AA43FB">
        <w:rPr>
          <w:b/>
          <w:bCs/>
        </w:rPr>
        <w:instrText xml:space="preserve"> </w:instrText>
      </w:r>
      <w:r w:rsidR="00021E2A">
        <w:rPr>
          <w:b/>
          <w:bCs/>
          <w:lang w:val="en-US"/>
        </w:rPr>
        <w:instrText>groups</w:instrText>
      </w:r>
      <w:r w:rsidR="00021E2A" w:rsidRPr="00AA43FB">
        <w:rPr>
          <w:b/>
          <w:bCs/>
        </w:rPr>
        <w:instrText xml:space="preserve"> </w:instrText>
      </w:r>
      <w:r w:rsidR="00021E2A">
        <w:rPr>
          <w:b/>
          <w:bCs/>
          <w:lang w:val="en-US"/>
        </w:rPr>
        <w:instrText>repeating</w:instrText>
      </w:r>
      <w:r w:rsidR="00021E2A" w:rsidRPr="00AA43FB">
        <w:rPr>
          <w:b/>
          <w:bCs/>
        </w:rPr>
        <w:instrText xml:space="preserve"> </w:instrText>
      </w:r>
      <w:r w:rsidR="00021E2A">
        <w:rPr>
          <w:b/>
          <w:bCs/>
          <w:lang w:val="en-US"/>
        </w:rPr>
        <w:instrText>treatment</w:instrText>
      </w:r>
      <w:r w:rsidR="00021E2A" w:rsidRPr="00AA43FB">
        <w:rPr>
          <w:b/>
          <w:bCs/>
        </w:rPr>
        <w:instrText xml:space="preserve"> </w:instrText>
      </w:r>
      <w:r w:rsidR="00021E2A">
        <w:rPr>
          <w:b/>
          <w:bCs/>
          <w:lang w:val="en-US"/>
        </w:rPr>
        <w:instrText>every</w:instrText>
      </w:r>
      <w:r w:rsidR="00021E2A" w:rsidRPr="00AA43FB">
        <w:rPr>
          <w:b/>
          <w:bCs/>
        </w:rPr>
        <w:instrText xml:space="preserve"> 3 </w:instrText>
      </w:r>
      <w:r w:rsidR="00021E2A">
        <w:rPr>
          <w:b/>
          <w:bCs/>
          <w:lang w:val="en-US"/>
        </w:rPr>
        <w:instrText>weeks</w:instrText>
      </w:r>
      <w:r w:rsidR="00021E2A" w:rsidRPr="00AA43FB">
        <w:rPr>
          <w:b/>
          <w:bCs/>
        </w:rPr>
        <w:instrText xml:space="preserve">. </w:instrText>
      </w:r>
      <w:r w:rsidR="00021E2A">
        <w:rPr>
          <w:b/>
          <w:bCs/>
          <w:lang w:val="en-US"/>
        </w:rPr>
        <w:instrText>Patients</w:instrText>
      </w:r>
      <w:r w:rsidR="00021E2A" w:rsidRPr="00AA43FB">
        <w:rPr>
          <w:b/>
          <w:bCs/>
        </w:rPr>
        <w:instrText xml:space="preserve"> </w:instrText>
      </w:r>
      <w:r w:rsidR="00021E2A">
        <w:rPr>
          <w:b/>
          <w:bCs/>
          <w:lang w:val="en-US"/>
        </w:rPr>
        <w:instrText>with</w:instrText>
      </w:r>
      <w:r w:rsidR="00021E2A" w:rsidRPr="00AA43FB">
        <w:rPr>
          <w:b/>
          <w:bCs/>
        </w:rPr>
        <w:instrText xml:space="preserve"> </w:instrText>
      </w:r>
      <w:r w:rsidR="00021E2A">
        <w:rPr>
          <w:b/>
          <w:bCs/>
          <w:lang w:val="en-US"/>
        </w:rPr>
        <w:instrText>responsive</w:instrText>
      </w:r>
      <w:r w:rsidR="00021E2A" w:rsidRPr="00AA43FB">
        <w:rPr>
          <w:b/>
          <w:bCs/>
        </w:rPr>
        <w:instrText xml:space="preserve"> </w:instrText>
      </w:r>
      <w:r w:rsidR="00021E2A">
        <w:rPr>
          <w:b/>
          <w:bCs/>
          <w:lang w:val="en-US"/>
        </w:rPr>
        <w:instrText>or</w:instrText>
      </w:r>
      <w:r w:rsidR="00021E2A" w:rsidRPr="00AA43FB">
        <w:rPr>
          <w:b/>
          <w:bCs/>
        </w:rPr>
        <w:instrText xml:space="preserve"> </w:instrText>
      </w:r>
      <w:r w:rsidR="00021E2A">
        <w:rPr>
          <w:b/>
          <w:bCs/>
          <w:lang w:val="en-US"/>
        </w:rPr>
        <w:instrText>stable</w:instrText>
      </w:r>
      <w:r w:rsidR="00021E2A" w:rsidRPr="00AA43FB">
        <w:rPr>
          <w:b/>
          <w:bCs/>
        </w:rPr>
        <w:instrText xml:space="preserve"> </w:instrText>
      </w:r>
      <w:r w:rsidR="00021E2A">
        <w:rPr>
          <w:b/>
          <w:bCs/>
          <w:lang w:val="en-US"/>
        </w:rPr>
        <w:instrText>disease</w:instrText>
      </w:r>
      <w:r w:rsidR="00021E2A" w:rsidRPr="00AA43FB">
        <w:rPr>
          <w:b/>
          <w:bCs/>
        </w:rPr>
        <w:instrText xml:space="preserve"> </w:instrText>
      </w:r>
      <w:r w:rsidR="00021E2A">
        <w:rPr>
          <w:b/>
          <w:bCs/>
          <w:lang w:val="en-US"/>
        </w:rPr>
        <w:instrText>after</w:instrText>
      </w:r>
      <w:r w:rsidR="00021E2A" w:rsidRPr="00AA43FB">
        <w:rPr>
          <w:b/>
          <w:bCs/>
        </w:rPr>
        <w:instrText xml:space="preserve"> </w:instrText>
      </w:r>
      <w:r w:rsidR="00021E2A">
        <w:rPr>
          <w:b/>
          <w:bCs/>
          <w:lang w:val="en-US"/>
        </w:rPr>
        <w:instrText>the</w:instrText>
      </w:r>
      <w:r w:rsidR="00021E2A" w:rsidRPr="00AA43FB">
        <w:rPr>
          <w:b/>
          <w:bCs/>
        </w:rPr>
        <w:instrText xml:space="preserve"> </w:instrText>
      </w:r>
      <w:r w:rsidR="00021E2A">
        <w:rPr>
          <w:b/>
          <w:bCs/>
          <w:lang w:val="en-US"/>
        </w:rPr>
        <w:instrText>first</w:instrText>
      </w:r>
      <w:r w:rsidR="00021E2A" w:rsidRPr="00AA43FB">
        <w:rPr>
          <w:b/>
          <w:bCs/>
        </w:rPr>
        <w:instrText xml:space="preserve"> </w:instrText>
      </w:r>
      <w:r w:rsidR="00021E2A">
        <w:rPr>
          <w:b/>
          <w:bCs/>
          <w:lang w:val="en-US"/>
        </w:rPr>
        <w:instrText>stage</w:instrText>
      </w:r>
      <w:r w:rsidR="00021E2A" w:rsidRPr="00AA43FB">
        <w:rPr>
          <w:b/>
          <w:bCs/>
        </w:rPr>
        <w:instrText xml:space="preserve"> </w:instrText>
      </w:r>
      <w:r w:rsidR="00021E2A">
        <w:rPr>
          <w:b/>
          <w:bCs/>
          <w:lang w:val="en-US"/>
        </w:rPr>
        <w:instrText>were</w:instrText>
      </w:r>
      <w:r w:rsidR="00021E2A" w:rsidRPr="00AA43FB">
        <w:rPr>
          <w:b/>
          <w:bCs/>
        </w:rPr>
        <w:instrText xml:space="preserve"> </w:instrText>
      </w:r>
      <w:r w:rsidR="00021E2A">
        <w:rPr>
          <w:b/>
          <w:bCs/>
          <w:lang w:val="en-US"/>
        </w:rPr>
        <w:instrText>then</w:instrText>
      </w:r>
      <w:r w:rsidR="00021E2A" w:rsidRPr="00AA43FB">
        <w:rPr>
          <w:b/>
          <w:bCs/>
        </w:rPr>
        <w:instrText xml:space="preserve"> </w:instrText>
      </w:r>
      <w:r w:rsidR="00021E2A">
        <w:rPr>
          <w:b/>
          <w:bCs/>
          <w:lang w:val="en-US"/>
        </w:rPr>
        <w:instrText>randomly</w:instrText>
      </w:r>
      <w:r w:rsidR="00021E2A" w:rsidRPr="00AA43FB">
        <w:rPr>
          <w:b/>
          <w:bCs/>
        </w:rPr>
        <w:instrText xml:space="preserve"> </w:instrText>
      </w:r>
      <w:r w:rsidR="00021E2A">
        <w:rPr>
          <w:b/>
          <w:bCs/>
          <w:lang w:val="en-US"/>
        </w:rPr>
        <w:instrText>allocated</w:instrText>
      </w:r>
      <w:r w:rsidR="00021E2A" w:rsidRPr="00AA43FB">
        <w:rPr>
          <w:b/>
          <w:bCs/>
        </w:rPr>
        <w:instrText xml:space="preserve"> </w:instrText>
      </w:r>
      <w:r w:rsidR="00021E2A">
        <w:rPr>
          <w:b/>
          <w:bCs/>
          <w:lang w:val="en-US"/>
        </w:rPr>
        <w:instrText>between</w:instrText>
      </w:r>
      <w:r w:rsidR="00021E2A" w:rsidRPr="00AA43FB">
        <w:rPr>
          <w:b/>
          <w:bCs/>
        </w:rPr>
        <w:instrText xml:space="preserve"> </w:instrText>
      </w:r>
      <w:r w:rsidR="00021E2A">
        <w:rPr>
          <w:b/>
          <w:bCs/>
          <w:lang w:val="en-US"/>
        </w:rPr>
        <w:instrText>whole</w:instrText>
      </w:r>
      <w:r w:rsidR="00021E2A" w:rsidRPr="00AA43FB">
        <w:rPr>
          <w:b/>
          <w:bCs/>
        </w:rPr>
        <w:instrText>-</w:instrText>
      </w:r>
      <w:r w:rsidR="00021E2A">
        <w:rPr>
          <w:b/>
          <w:bCs/>
          <w:lang w:val="en-US"/>
        </w:rPr>
        <w:instrText>brain</w:instrText>
      </w:r>
      <w:r w:rsidR="00021E2A" w:rsidRPr="00AA43FB">
        <w:rPr>
          <w:b/>
          <w:bCs/>
        </w:rPr>
        <w:instrText xml:space="preserve"> </w:instrText>
      </w:r>
      <w:r w:rsidR="00021E2A">
        <w:rPr>
          <w:b/>
          <w:bCs/>
          <w:lang w:val="en-US"/>
        </w:rPr>
        <w:instrText>radiotherapy</w:instrText>
      </w:r>
      <w:r w:rsidR="00021E2A" w:rsidRPr="00AA43FB">
        <w:rPr>
          <w:b/>
          <w:bCs/>
        </w:rPr>
        <w:instrText xml:space="preserve"> </w:instrText>
      </w:r>
      <w:r w:rsidR="00021E2A">
        <w:rPr>
          <w:b/>
          <w:bCs/>
          <w:lang w:val="en-US"/>
        </w:rPr>
        <w:instrText>and</w:instrText>
      </w:r>
      <w:r w:rsidR="00021E2A" w:rsidRPr="00AA43FB">
        <w:rPr>
          <w:b/>
          <w:bCs/>
        </w:rPr>
        <w:instrText xml:space="preserve"> </w:instrText>
      </w:r>
      <w:r w:rsidR="00021E2A">
        <w:rPr>
          <w:b/>
          <w:bCs/>
          <w:lang w:val="en-US"/>
        </w:rPr>
        <w:instrText>autologous</w:instrText>
      </w:r>
      <w:r w:rsidR="00021E2A" w:rsidRPr="00AA43FB">
        <w:rPr>
          <w:b/>
          <w:bCs/>
        </w:rPr>
        <w:instrText xml:space="preserve"> </w:instrText>
      </w:r>
      <w:r w:rsidR="00021E2A">
        <w:rPr>
          <w:b/>
          <w:bCs/>
          <w:lang w:val="en-US"/>
        </w:rPr>
        <w:instrText>stem</w:instrText>
      </w:r>
      <w:r w:rsidR="00021E2A" w:rsidRPr="00AA43FB">
        <w:rPr>
          <w:b/>
          <w:bCs/>
        </w:rPr>
        <w:instrText xml:space="preserve"> </w:instrText>
      </w:r>
      <w:r w:rsidR="00021E2A">
        <w:rPr>
          <w:b/>
          <w:bCs/>
          <w:lang w:val="en-US"/>
        </w:rPr>
        <w:instrText>cell</w:instrText>
      </w:r>
      <w:r w:rsidR="00021E2A" w:rsidRPr="00AA43FB">
        <w:rPr>
          <w:b/>
          <w:bCs/>
        </w:rPr>
        <w:instrText xml:space="preserve"> </w:instrText>
      </w:r>
      <w:r w:rsidR="00021E2A">
        <w:rPr>
          <w:b/>
          <w:bCs/>
          <w:lang w:val="en-US"/>
        </w:rPr>
        <w:instrText>transplantation</w:instrText>
      </w:r>
      <w:r w:rsidR="00021E2A" w:rsidRPr="00AA43FB">
        <w:rPr>
          <w:b/>
          <w:bCs/>
        </w:rPr>
        <w:instrText xml:space="preserve">. </w:instrText>
      </w:r>
      <w:r w:rsidR="00021E2A">
        <w:rPr>
          <w:b/>
          <w:bCs/>
          <w:lang w:val="en-US"/>
        </w:rPr>
        <w:instrText>A</w:instrText>
      </w:r>
      <w:r w:rsidR="00021E2A" w:rsidRPr="00AA43FB">
        <w:rPr>
          <w:b/>
          <w:bCs/>
        </w:rPr>
        <w:instrText xml:space="preserve"> </w:instrText>
      </w:r>
      <w:r w:rsidR="00021E2A">
        <w:rPr>
          <w:b/>
          <w:bCs/>
          <w:lang w:val="en-US"/>
        </w:rPr>
        <w:instrText>permuted</w:instrText>
      </w:r>
      <w:r w:rsidR="00021E2A" w:rsidRPr="00AA43FB">
        <w:rPr>
          <w:b/>
          <w:bCs/>
        </w:rPr>
        <w:instrText xml:space="preserve"> </w:instrText>
      </w:r>
      <w:r w:rsidR="00021E2A">
        <w:rPr>
          <w:b/>
          <w:bCs/>
          <w:lang w:val="en-US"/>
        </w:rPr>
        <w:instrText>blocks</w:instrText>
      </w:r>
      <w:r w:rsidR="00021E2A" w:rsidRPr="00AA43FB">
        <w:rPr>
          <w:b/>
          <w:bCs/>
        </w:rPr>
        <w:instrText xml:space="preserve"> </w:instrText>
      </w:r>
      <w:r w:rsidR="00021E2A">
        <w:rPr>
          <w:b/>
          <w:bCs/>
          <w:lang w:val="en-US"/>
        </w:rPr>
        <w:instrText>randomised</w:instrText>
      </w:r>
      <w:r w:rsidR="00021E2A" w:rsidRPr="00AA43FB">
        <w:rPr>
          <w:b/>
          <w:bCs/>
        </w:rPr>
        <w:instrText xml:space="preserve"> </w:instrText>
      </w:r>
      <w:r w:rsidR="00021E2A">
        <w:rPr>
          <w:b/>
          <w:bCs/>
          <w:lang w:val="en-US"/>
        </w:rPr>
        <w:instrText>design</w:instrText>
      </w:r>
      <w:r w:rsidR="00021E2A" w:rsidRPr="00AA43FB">
        <w:rPr>
          <w:b/>
          <w:bCs/>
        </w:rPr>
        <w:instrText xml:space="preserve"> (</w:instrText>
      </w:r>
      <w:r w:rsidR="00021E2A">
        <w:rPr>
          <w:b/>
          <w:bCs/>
          <w:lang w:val="en-US"/>
        </w:rPr>
        <w:instrText>block</w:instrText>
      </w:r>
      <w:r w:rsidR="00021E2A" w:rsidRPr="00AA43FB">
        <w:rPr>
          <w:b/>
          <w:bCs/>
        </w:rPr>
        <w:instrText xml:space="preserve"> </w:instrText>
      </w:r>
      <w:r w:rsidR="00021E2A">
        <w:rPr>
          <w:b/>
          <w:bCs/>
          <w:lang w:val="en-US"/>
        </w:rPr>
        <w:instrText>size</w:instrText>
      </w:r>
      <w:r w:rsidR="00021E2A" w:rsidRPr="00AA43FB">
        <w:rPr>
          <w:b/>
          <w:bCs/>
        </w:rPr>
        <w:instrText xml:space="preserve"> </w:instrText>
      </w:r>
      <w:r w:rsidR="00021E2A">
        <w:rPr>
          <w:b/>
          <w:bCs/>
          <w:lang w:val="en-US"/>
        </w:rPr>
        <w:instrText>four</w:instrText>
      </w:r>
      <w:r w:rsidR="00021E2A" w:rsidRPr="00AA43FB">
        <w:rPr>
          <w:b/>
          <w:bCs/>
        </w:rPr>
        <w:instrText xml:space="preserve">) </w:instrText>
      </w:r>
      <w:r w:rsidR="00021E2A">
        <w:rPr>
          <w:b/>
          <w:bCs/>
          <w:lang w:val="en-US"/>
        </w:rPr>
        <w:instrText>was</w:instrText>
      </w:r>
      <w:r w:rsidR="00021E2A" w:rsidRPr="00AA43FB">
        <w:rPr>
          <w:b/>
          <w:bCs/>
        </w:rPr>
        <w:instrText xml:space="preserve"> </w:instrText>
      </w:r>
      <w:r w:rsidR="00021E2A">
        <w:rPr>
          <w:b/>
          <w:bCs/>
          <w:lang w:val="en-US"/>
        </w:rPr>
        <w:instrText>used</w:instrText>
      </w:r>
      <w:r w:rsidR="00021E2A" w:rsidRPr="00AA43FB">
        <w:rPr>
          <w:b/>
          <w:bCs/>
        </w:rPr>
        <w:instrText xml:space="preserve"> </w:instrText>
      </w:r>
      <w:r w:rsidR="00021E2A">
        <w:rPr>
          <w:b/>
          <w:bCs/>
          <w:lang w:val="en-US"/>
        </w:rPr>
        <w:instrText>for</w:instrText>
      </w:r>
      <w:r w:rsidR="00021E2A" w:rsidRPr="00AA43FB">
        <w:rPr>
          <w:b/>
          <w:bCs/>
        </w:rPr>
        <w:instrText xml:space="preserve"> </w:instrText>
      </w:r>
      <w:r w:rsidR="00021E2A">
        <w:rPr>
          <w:b/>
          <w:bCs/>
          <w:lang w:val="en-US"/>
        </w:rPr>
        <w:instrText>both</w:instrText>
      </w:r>
      <w:r w:rsidR="00021E2A" w:rsidRPr="00AA43FB">
        <w:rPr>
          <w:b/>
          <w:bCs/>
        </w:rPr>
        <w:instrText xml:space="preserve"> </w:instrText>
      </w:r>
      <w:r w:rsidR="00021E2A">
        <w:rPr>
          <w:b/>
          <w:bCs/>
          <w:lang w:val="en-US"/>
        </w:rPr>
        <w:instrText>randomisations</w:instrText>
      </w:r>
      <w:r w:rsidR="00021E2A" w:rsidRPr="00AA43FB">
        <w:rPr>
          <w:b/>
          <w:bCs/>
        </w:rPr>
        <w:instrText xml:space="preserve">, </w:instrText>
      </w:r>
      <w:r w:rsidR="00021E2A">
        <w:rPr>
          <w:b/>
          <w:bCs/>
          <w:lang w:val="en-US"/>
        </w:rPr>
        <w:instrText>and</w:instrText>
      </w:r>
      <w:r w:rsidR="00021E2A" w:rsidRPr="00AA43FB">
        <w:rPr>
          <w:b/>
          <w:bCs/>
        </w:rPr>
        <w:instrText xml:space="preserve"> </w:instrText>
      </w:r>
      <w:r w:rsidR="00021E2A">
        <w:rPr>
          <w:b/>
          <w:bCs/>
          <w:lang w:val="en-US"/>
        </w:rPr>
        <w:instrText>a</w:instrText>
      </w:r>
      <w:r w:rsidR="00021E2A" w:rsidRPr="00AA43FB">
        <w:rPr>
          <w:b/>
          <w:bCs/>
        </w:rPr>
        <w:instrText xml:space="preserve"> </w:instrText>
      </w:r>
      <w:r w:rsidR="00021E2A">
        <w:rPr>
          <w:b/>
          <w:bCs/>
          <w:lang w:val="en-US"/>
        </w:rPr>
        <w:instrText>computer</w:instrText>
      </w:r>
      <w:r w:rsidR="00021E2A" w:rsidRPr="00AA43FB">
        <w:rPr>
          <w:b/>
          <w:bCs/>
        </w:rPr>
        <w:instrText>-</w:instrText>
      </w:r>
      <w:r w:rsidR="00021E2A">
        <w:rPr>
          <w:b/>
          <w:bCs/>
          <w:lang w:val="en-US"/>
        </w:rPr>
        <w:instrText>generated</w:instrText>
      </w:r>
      <w:r w:rsidR="00021E2A" w:rsidRPr="00AA43FB">
        <w:rPr>
          <w:b/>
          <w:bCs/>
        </w:rPr>
        <w:instrText xml:space="preserve"> </w:instrText>
      </w:r>
      <w:r w:rsidR="00021E2A">
        <w:rPr>
          <w:b/>
          <w:bCs/>
          <w:lang w:val="en-US"/>
        </w:rPr>
        <w:instrText>randomisation</w:instrText>
      </w:r>
      <w:r w:rsidR="00021E2A" w:rsidRPr="00AA43FB">
        <w:rPr>
          <w:b/>
          <w:bCs/>
        </w:rPr>
        <w:instrText xml:space="preserve"> </w:instrText>
      </w:r>
      <w:r w:rsidR="00021E2A">
        <w:rPr>
          <w:b/>
          <w:bCs/>
          <w:lang w:val="en-US"/>
        </w:rPr>
        <w:instrText>list</w:instrText>
      </w:r>
      <w:r w:rsidR="00021E2A" w:rsidRPr="00AA43FB">
        <w:rPr>
          <w:b/>
          <w:bCs/>
        </w:rPr>
        <w:instrText xml:space="preserve"> </w:instrText>
      </w:r>
      <w:r w:rsidR="00021E2A">
        <w:rPr>
          <w:b/>
          <w:bCs/>
          <w:lang w:val="en-US"/>
        </w:rPr>
        <w:instrText>was</w:instrText>
      </w:r>
      <w:r w:rsidR="00021E2A" w:rsidRPr="00AA43FB">
        <w:rPr>
          <w:b/>
          <w:bCs/>
        </w:rPr>
        <w:instrText xml:space="preserve"> </w:instrText>
      </w:r>
      <w:r w:rsidR="00021E2A">
        <w:rPr>
          <w:b/>
          <w:bCs/>
          <w:lang w:val="en-US"/>
        </w:rPr>
        <w:instrText>used</w:instrText>
      </w:r>
      <w:r w:rsidR="00021E2A" w:rsidRPr="00AA43FB">
        <w:rPr>
          <w:b/>
          <w:bCs/>
        </w:rPr>
        <w:instrText xml:space="preserve"> </w:instrText>
      </w:r>
      <w:r w:rsidR="00021E2A">
        <w:rPr>
          <w:b/>
          <w:bCs/>
          <w:lang w:val="en-US"/>
        </w:rPr>
        <w:instrText>within</w:instrText>
      </w:r>
      <w:r w:rsidR="00021E2A" w:rsidRPr="00AA43FB">
        <w:rPr>
          <w:b/>
          <w:bCs/>
        </w:rPr>
        <w:instrText xml:space="preserve"> </w:instrText>
      </w:r>
      <w:r w:rsidR="00021E2A">
        <w:rPr>
          <w:b/>
          <w:bCs/>
          <w:lang w:val="en-US"/>
        </w:rPr>
        <w:instrText>each</w:instrText>
      </w:r>
      <w:r w:rsidR="00021E2A" w:rsidRPr="00AA43FB">
        <w:rPr>
          <w:b/>
          <w:bCs/>
        </w:rPr>
        <w:instrText xml:space="preserve"> </w:instrText>
      </w:r>
      <w:r w:rsidR="00021E2A">
        <w:rPr>
          <w:b/>
          <w:bCs/>
          <w:lang w:val="en-US"/>
        </w:rPr>
        <w:instrText>stratum</w:instrText>
      </w:r>
      <w:r w:rsidR="00021E2A" w:rsidRPr="00AA43FB">
        <w:rPr>
          <w:b/>
          <w:bCs/>
        </w:rPr>
        <w:instrText xml:space="preserve"> </w:instrText>
      </w:r>
      <w:r w:rsidR="00021E2A">
        <w:rPr>
          <w:b/>
          <w:bCs/>
          <w:lang w:val="en-US"/>
        </w:rPr>
        <w:instrText>to</w:instrText>
      </w:r>
      <w:r w:rsidR="00021E2A" w:rsidRPr="00AA43FB">
        <w:rPr>
          <w:b/>
          <w:bCs/>
        </w:rPr>
        <w:instrText xml:space="preserve"> </w:instrText>
      </w:r>
      <w:r w:rsidR="00021E2A">
        <w:rPr>
          <w:b/>
          <w:bCs/>
          <w:lang w:val="en-US"/>
        </w:rPr>
        <w:instrText>preserve</w:instrText>
      </w:r>
      <w:r w:rsidR="00021E2A" w:rsidRPr="00AA43FB">
        <w:rPr>
          <w:b/>
          <w:bCs/>
        </w:rPr>
        <w:instrText xml:space="preserve"> </w:instrText>
      </w:r>
      <w:r w:rsidR="00021E2A">
        <w:rPr>
          <w:b/>
          <w:bCs/>
          <w:lang w:val="en-US"/>
        </w:rPr>
        <w:instrText>allocation</w:instrText>
      </w:r>
      <w:r w:rsidR="00021E2A" w:rsidRPr="00AA43FB">
        <w:rPr>
          <w:b/>
          <w:bCs/>
        </w:rPr>
        <w:instrText xml:space="preserve"> </w:instrText>
      </w:r>
      <w:r w:rsidR="00021E2A">
        <w:rPr>
          <w:b/>
          <w:bCs/>
          <w:lang w:val="en-US"/>
        </w:rPr>
        <w:instrText>concealment</w:instrText>
      </w:r>
      <w:r w:rsidR="00021E2A" w:rsidRPr="00AA43FB">
        <w:rPr>
          <w:b/>
          <w:bCs/>
        </w:rPr>
        <w:instrText xml:space="preserve">. </w:instrText>
      </w:r>
      <w:r w:rsidR="00021E2A">
        <w:rPr>
          <w:b/>
          <w:bCs/>
          <w:lang w:val="en-US"/>
        </w:rPr>
        <w:instrText>Randomisation</w:instrText>
      </w:r>
      <w:r w:rsidR="00021E2A" w:rsidRPr="00AA43FB">
        <w:rPr>
          <w:b/>
          <w:bCs/>
        </w:rPr>
        <w:instrText xml:space="preserve"> </w:instrText>
      </w:r>
      <w:r w:rsidR="00021E2A">
        <w:rPr>
          <w:b/>
          <w:bCs/>
          <w:lang w:val="en-US"/>
        </w:rPr>
        <w:instrText>was</w:instrText>
      </w:r>
      <w:r w:rsidR="00021E2A" w:rsidRPr="00AA43FB">
        <w:rPr>
          <w:b/>
          <w:bCs/>
        </w:rPr>
        <w:instrText xml:space="preserve"> </w:instrText>
      </w:r>
      <w:r w:rsidR="00021E2A">
        <w:rPr>
          <w:b/>
          <w:bCs/>
          <w:lang w:val="en-US"/>
        </w:rPr>
        <w:instrText>stratified</w:instrText>
      </w:r>
      <w:r w:rsidR="00021E2A" w:rsidRPr="00AA43FB">
        <w:rPr>
          <w:b/>
          <w:bCs/>
        </w:rPr>
        <w:instrText xml:space="preserve"> </w:instrText>
      </w:r>
      <w:r w:rsidR="00021E2A">
        <w:rPr>
          <w:b/>
          <w:bCs/>
          <w:lang w:val="en-US"/>
        </w:rPr>
        <w:instrText>by</w:instrText>
      </w:r>
      <w:r w:rsidR="00021E2A" w:rsidRPr="00AA43FB">
        <w:rPr>
          <w:b/>
          <w:bCs/>
        </w:rPr>
        <w:instrText xml:space="preserve"> </w:instrText>
      </w:r>
      <w:r w:rsidR="00021E2A">
        <w:rPr>
          <w:b/>
          <w:bCs/>
          <w:lang w:val="en-US"/>
        </w:rPr>
        <w:instrText>IELSG</w:instrText>
      </w:r>
      <w:r w:rsidR="00021E2A" w:rsidRPr="00AA43FB">
        <w:rPr>
          <w:b/>
          <w:bCs/>
        </w:rPr>
        <w:instrText xml:space="preserve"> </w:instrText>
      </w:r>
      <w:r w:rsidR="00021E2A">
        <w:rPr>
          <w:b/>
          <w:bCs/>
          <w:lang w:val="en-US"/>
        </w:rPr>
        <w:instrText>risk</w:instrText>
      </w:r>
      <w:r w:rsidR="00021E2A" w:rsidRPr="00AA43FB">
        <w:rPr>
          <w:b/>
          <w:bCs/>
        </w:rPr>
        <w:instrText xml:space="preserve"> </w:instrText>
      </w:r>
      <w:r w:rsidR="00021E2A">
        <w:rPr>
          <w:b/>
          <w:bCs/>
          <w:lang w:val="en-US"/>
        </w:rPr>
        <w:instrText>score</w:instrText>
      </w:r>
      <w:r w:rsidR="00021E2A" w:rsidRPr="00AA43FB">
        <w:rPr>
          <w:b/>
          <w:bCs/>
        </w:rPr>
        <w:instrText xml:space="preserve"> (</w:instrText>
      </w:r>
      <w:r w:rsidR="00021E2A">
        <w:rPr>
          <w:b/>
          <w:bCs/>
          <w:lang w:val="en-US"/>
        </w:rPr>
        <w:instrText>low</w:instrText>
      </w:r>
      <w:r w:rsidR="00021E2A" w:rsidRPr="00AA43FB">
        <w:rPr>
          <w:b/>
          <w:bCs/>
        </w:rPr>
        <w:instrText xml:space="preserve"> </w:instrText>
      </w:r>
      <w:r w:rsidR="00021E2A">
        <w:rPr>
          <w:b/>
          <w:bCs/>
          <w:lang w:val="en-US"/>
        </w:rPr>
        <w:instrText>vs</w:instrText>
      </w:r>
      <w:r w:rsidR="00021E2A" w:rsidRPr="00AA43FB">
        <w:rPr>
          <w:b/>
          <w:bCs/>
        </w:rPr>
        <w:instrText xml:space="preserve"> </w:instrText>
      </w:r>
      <w:r w:rsidR="00021E2A">
        <w:rPr>
          <w:b/>
          <w:bCs/>
          <w:lang w:val="en-US"/>
        </w:rPr>
        <w:instrText>intermediate</w:instrText>
      </w:r>
      <w:r w:rsidR="00021E2A" w:rsidRPr="00AA43FB">
        <w:rPr>
          <w:b/>
          <w:bCs/>
        </w:rPr>
        <w:instrText xml:space="preserve"> </w:instrText>
      </w:r>
      <w:r w:rsidR="00021E2A">
        <w:rPr>
          <w:b/>
          <w:bCs/>
          <w:lang w:val="en-US"/>
        </w:rPr>
        <w:instrText>vs</w:instrText>
      </w:r>
      <w:r w:rsidR="00021E2A" w:rsidRPr="00AA43FB">
        <w:rPr>
          <w:b/>
          <w:bCs/>
        </w:rPr>
        <w:instrText xml:space="preserve"> </w:instrText>
      </w:r>
      <w:r w:rsidR="00021E2A">
        <w:rPr>
          <w:b/>
          <w:bCs/>
          <w:lang w:val="en-US"/>
        </w:rPr>
        <w:instrText>high</w:instrText>
      </w:r>
      <w:r w:rsidR="00021E2A" w:rsidRPr="00AA43FB">
        <w:rPr>
          <w:b/>
          <w:bCs/>
        </w:rPr>
        <w:instrText xml:space="preserve">). </w:instrText>
      </w:r>
      <w:r w:rsidR="00021E2A">
        <w:rPr>
          <w:b/>
          <w:bCs/>
          <w:lang w:val="en-US"/>
        </w:rPr>
        <w:instrText>No</w:instrText>
      </w:r>
      <w:r w:rsidR="00021E2A" w:rsidRPr="00AA43FB">
        <w:rPr>
          <w:b/>
          <w:bCs/>
        </w:rPr>
        <w:instrText xml:space="preserve"> </w:instrText>
      </w:r>
      <w:r w:rsidR="00021E2A">
        <w:rPr>
          <w:b/>
          <w:bCs/>
          <w:lang w:val="en-US"/>
        </w:rPr>
        <w:instrText>masking</w:instrText>
      </w:r>
      <w:r w:rsidR="00021E2A" w:rsidRPr="00AA43FB">
        <w:rPr>
          <w:b/>
          <w:bCs/>
        </w:rPr>
        <w:instrText xml:space="preserve"> </w:instrText>
      </w:r>
      <w:r w:rsidR="00021E2A">
        <w:rPr>
          <w:b/>
          <w:bCs/>
          <w:lang w:val="en-US"/>
        </w:rPr>
        <w:instrText>after</w:instrText>
      </w:r>
      <w:r w:rsidR="00021E2A" w:rsidRPr="00AA43FB">
        <w:rPr>
          <w:b/>
          <w:bCs/>
        </w:rPr>
        <w:instrText xml:space="preserve"> </w:instrText>
      </w:r>
      <w:r w:rsidR="00021E2A">
        <w:rPr>
          <w:b/>
          <w:bCs/>
          <w:lang w:val="en-US"/>
        </w:rPr>
        <w:instrText>assignment</w:instrText>
      </w:r>
      <w:r w:rsidR="00021E2A" w:rsidRPr="00AA43FB">
        <w:rPr>
          <w:b/>
          <w:bCs/>
        </w:rPr>
        <w:instrText xml:space="preserve"> </w:instrText>
      </w:r>
      <w:r w:rsidR="00021E2A">
        <w:rPr>
          <w:b/>
          <w:bCs/>
          <w:lang w:val="en-US"/>
        </w:rPr>
        <w:instrText>to</w:instrText>
      </w:r>
      <w:r w:rsidR="00021E2A" w:rsidRPr="00AA43FB">
        <w:rPr>
          <w:b/>
          <w:bCs/>
        </w:rPr>
        <w:instrText xml:space="preserve"> </w:instrText>
      </w:r>
      <w:r w:rsidR="00021E2A">
        <w:rPr>
          <w:b/>
          <w:bCs/>
          <w:lang w:val="en-US"/>
        </w:rPr>
        <w:instrText>intervention</w:instrText>
      </w:r>
      <w:r w:rsidR="00021E2A" w:rsidRPr="00AA43FB">
        <w:rPr>
          <w:b/>
          <w:bCs/>
        </w:rPr>
        <w:instrText xml:space="preserve"> </w:instrText>
      </w:r>
      <w:r w:rsidR="00021E2A">
        <w:rPr>
          <w:b/>
          <w:bCs/>
          <w:lang w:val="en-US"/>
        </w:rPr>
        <w:instrText>was</w:instrText>
      </w:r>
      <w:r w:rsidR="00021E2A" w:rsidRPr="00AA43FB">
        <w:rPr>
          <w:b/>
          <w:bCs/>
        </w:rPr>
        <w:instrText xml:space="preserve"> </w:instrText>
      </w:r>
      <w:r w:rsidR="00021E2A">
        <w:rPr>
          <w:b/>
          <w:bCs/>
          <w:lang w:val="en-US"/>
        </w:rPr>
        <w:instrText>used</w:instrText>
      </w:r>
      <w:r w:rsidR="00021E2A" w:rsidRPr="00AA43FB">
        <w:rPr>
          <w:b/>
          <w:bCs/>
        </w:rPr>
        <w:instrText xml:space="preserve">. </w:instrText>
      </w:r>
      <w:r w:rsidR="00021E2A">
        <w:rPr>
          <w:b/>
          <w:bCs/>
          <w:lang w:val="en-US"/>
        </w:rPr>
        <w:instrText>The</w:instrText>
      </w:r>
      <w:r w:rsidR="00021E2A" w:rsidRPr="00AA43FB">
        <w:rPr>
          <w:b/>
          <w:bCs/>
        </w:rPr>
        <w:instrText xml:space="preserve"> </w:instrText>
      </w:r>
      <w:r w:rsidR="00021E2A">
        <w:rPr>
          <w:b/>
          <w:bCs/>
          <w:lang w:val="en-US"/>
        </w:rPr>
        <w:instrText>primary</w:instrText>
      </w:r>
      <w:r w:rsidR="00021E2A" w:rsidRPr="00AA43FB">
        <w:rPr>
          <w:b/>
          <w:bCs/>
        </w:rPr>
        <w:instrText xml:space="preserve"> </w:instrText>
      </w:r>
      <w:r w:rsidR="00021E2A">
        <w:rPr>
          <w:b/>
          <w:bCs/>
          <w:lang w:val="en-US"/>
        </w:rPr>
        <w:instrText>endpoint</w:instrText>
      </w:r>
      <w:r w:rsidR="00021E2A" w:rsidRPr="00AA43FB">
        <w:rPr>
          <w:b/>
          <w:bCs/>
        </w:rPr>
        <w:instrText xml:space="preserve"> </w:instrText>
      </w:r>
      <w:r w:rsidR="00021E2A">
        <w:rPr>
          <w:b/>
          <w:bCs/>
          <w:lang w:val="en-US"/>
        </w:rPr>
        <w:instrText>of</w:instrText>
      </w:r>
      <w:r w:rsidR="00021E2A" w:rsidRPr="00AA43FB">
        <w:rPr>
          <w:b/>
          <w:bCs/>
        </w:rPr>
        <w:instrText xml:space="preserve"> </w:instrText>
      </w:r>
      <w:r w:rsidR="00021E2A">
        <w:rPr>
          <w:b/>
          <w:bCs/>
          <w:lang w:val="en-US"/>
        </w:rPr>
        <w:instrText>the</w:instrText>
      </w:r>
      <w:r w:rsidR="00021E2A" w:rsidRPr="00AA43FB">
        <w:rPr>
          <w:b/>
          <w:bCs/>
        </w:rPr>
        <w:instrText xml:space="preserve"> </w:instrText>
      </w:r>
      <w:r w:rsidR="00021E2A">
        <w:rPr>
          <w:b/>
          <w:bCs/>
          <w:lang w:val="en-US"/>
        </w:rPr>
        <w:instrText>first</w:instrText>
      </w:r>
      <w:r w:rsidR="00021E2A" w:rsidRPr="00AA43FB">
        <w:rPr>
          <w:b/>
          <w:bCs/>
        </w:rPr>
        <w:instrText xml:space="preserve"> </w:instrText>
      </w:r>
      <w:r w:rsidR="00021E2A">
        <w:rPr>
          <w:b/>
          <w:bCs/>
          <w:lang w:val="en-US"/>
        </w:rPr>
        <w:instrText>randomisation</w:instrText>
      </w:r>
      <w:r w:rsidR="00021E2A" w:rsidRPr="00AA43FB">
        <w:rPr>
          <w:b/>
          <w:bCs/>
        </w:rPr>
        <w:instrText xml:space="preserve"> </w:instrText>
      </w:r>
      <w:r w:rsidR="00021E2A">
        <w:rPr>
          <w:b/>
          <w:bCs/>
          <w:lang w:val="en-US"/>
        </w:rPr>
        <w:instrText>was</w:instrText>
      </w:r>
      <w:r w:rsidR="00021E2A" w:rsidRPr="00AA43FB">
        <w:rPr>
          <w:b/>
          <w:bCs/>
        </w:rPr>
        <w:instrText xml:space="preserve"> </w:instrText>
      </w:r>
      <w:r w:rsidR="00021E2A">
        <w:rPr>
          <w:b/>
          <w:bCs/>
          <w:lang w:val="en-US"/>
        </w:rPr>
        <w:instrText>the</w:instrText>
      </w:r>
      <w:r w:rsidR="00021E2A" w:rsidRPr="00AA43FB">
        <w:rPr>
          <w:b/>
          <w:bCs/>
        </w:rPr>
        <w:instrText xml:space="preserve"> </w:instrText>
      </w:r>
      <w:r w:rsidR="00021E2A">
        <w:rPr>
          <w:b/>
          <w:bCs/>
          <w:lang w:val="en-US"/>
        </w:rPr>
        <w:instrText>complete</w:instrText>
      </w:r>
      <w:r w:rsidR="00021E2A" w:rsidRPr="00AA43FB">
        <w:rPr>
          <w:b/>
          <w:bCs/>
        </w:rPr>
        <w:instrText xml:space="preserve"> </w:instrText>
      </w:r>
      <w:r w:rsidR="00021E2A">
        <w:rPr>
          <w:b/>
          <w:bCs/>
          <w:lang w:val="en-US"/>
        </w:rPr>
        <w:instrText>remission</w:instrText>
      </w:r>
      <w:r w:rsidR="00021E2A" w:rsidRPr="00AA43FB">
        <w:rPr>
          <w:b/>
          <w:bCs/>
        </w:rPr>
        <w:instrText xml:space="preserve"> </w:instrText>
      </w:r>
      <w:r w:rsidR="00021E2A">
        <w:rPr>
          <w:b/>
          <w:bCs/>
          <w:lang w:val="en-US"/>
        </w:rPr>
        <w:instrText>rate</w:instrText>
      </w:r>
      <w:r w:rsidR="00021E2A" w:rsidRPr="00AA43FB">
        <w:rPr>
          <w:b/>
          <w:bCs/>
        </w:rPr>
        <w:instrText xml:space="preserve">, </w:instrText>
      </w:r>
      <w:r w:rsidR="00021E2A">
        <w:rPr>
          <w:b/>
          <w:bCs/>
          <w:lang w:val="en-US"/>
        </w:rPr>
        <w:instrText>analysed</w:instrText>
      </w:r>
      <w:r w:rsidR="00021E2A" w:rsidRPr="00AA43FB">
        <w:rPr>
          <w:b/>
          <w:bCs/>
        </w:rPr>
        <w:instrText xml:space="preserve"> </w:instrText>
      </w:r>
      <w:r w:rsidR="00021E2A">
        <w:rPr>
          <w:b/>
          <w:bCs/>
          <w:lang w:val="en-US"/>
        </w:rPr>
        <w:instrText>by</w:instrText>
      </w:r>
      <w:r w:rsidR="00021E2A" w:rsidRPr="00AA43FB">
        <w:rPr>
          <w:b/>
          <w:bCs/>
        </w:rPr>
        <w:instrText xml:space="preserve"> </w:instrText>
      </w:r>
      <w:r w:rsidR="00021E2A">
        <w:rPr>
          <w:b/>
          <w:bCs/>
          <w:lang w:val="en-US"/>
        </w:rPr>
        <w:instrText>modified</w:instrText>
      </w:r>
      <w:r w:rsidR="00021E2A" w:rsidRPr="00AA43FB">
        <w:rPr>
          <w:b/>
          <w:bCs/>
        </w:rPr>
        <w:instrText xml:space="preserve"> </w:instrText>
      </w:r>
      <w:r w:rsidR="00021E2A">
        <w:rPr>
          <w:b/>
          <w:bCs/>
          <w:lang w:val="en-US"/>
        </w:rPr>
        <w:instrText>intention</w:instrText>
      </w:r>
      <w:r w:rsidR="00021E2A" w:rsidRPr="00AA43FB">
        <w:rPr>
          <w:b/>
          <w:bCs/>
        </w:rPr>
        <w:instrText xml:space="preserve"> </w:instrText>
      </w:r>
      <w:r w:rsidR="00021E2A">
        <w:rPr>
          <w:b/>
          <w:bCs/>
          <w:lang w:val="en-US"/>
        </w:rPr>
        <w:instrText>to</w:instrText>
      </w:r>
      <w:r w:rsidR="00021E2A" w:rsidRPr="00AA43FB">
        <w:rPr>
          <w:b/>
          <w:bCs/>
        </w:rPr>
        <w:instrText xml:space="preserve"> </w:instrText>
      </w:r>
      <w:r w:rsidR="00021E2A">
        <w:rPr>
          <w:b/>
          <w:bCs/>
          <w:lang w:val="en-US"/>
        </w:rPr>
        <w:instrText>treat</w:instrText>
      </w:r>
      <w:r w:rsidR="00021E2A" w:rsidRPr="00AA43FB">
        <w:rPr>
          <w:b/>
          <w:bCs/>
        </w:rPr>
        <w:instrText xml:space="preserve">. </w:instrText>
      </w:r>
      <w:r w:rsidR="00021E2A">
        <w:rPr>
          <w:b/>
          <w:bCs/>
          <w:lang w:val="en-US"/>
        </w:rPr>
        <w:instrText>This</w:instrText>
      </w:r>
      <w:r w:rsidR="00021E2A" w:rsidRPr="00AA43FB">
        <w:rPr>
          <w:b/>
          <w:bCs/>
        </w:rPr>
        <w:instrText xml:space="preserve"> </w:instrText>
      </w:r>
      <w:r w:rsidR="00021E2A">
        <w:rPr>
          <w:b/>
          <w:bCs/>
          <w:lang w:val="en-US"/>
        </w:rPr>
        <w:instrText>study</w:instrText>
      </w:r>
      <w:r w:rsidR="00021E2A" w:rsidRPr="00AA43FB">
        <w:rPr>
          <w:b/>
          <w:bCs/>
        </w:rPr>
        <w:instrText xml:space="preserve"> </w:instrText>
      </w:r>
      <w:r w:rsidR="00021E2A">
        <w:rPr>
          <w:b/>
          <w:bCs/>
          <w:lang w:val="en-US"/>
        </w:rPr>
        <w:instrText>is</w:instrText>
      </w:r>
      <w:r w:rsidR="00021E2A" w:rsidRPr="00AA43FB">
        <w:rPr>
          <w:b/>
          <w:bCs/>
        </w:rPr>
        <w:instrText xml:space="preserve"> </w:instrText>
      </w:r>
      <w:r w:rsidR="00021E2A">
        <w:rPr>
          <w:b/>
          <w:bCs/>
          <w:lang w:val="en-US"/>
        </w:rPr>
        <w:instrText>registered</w:instrText>
      </w:r>
      <w:r w:rsidR="00021E2A" w:rsidRPr="00AA43FB">
        <w:rPr>
          <w:b/>
          <w:bCs/>
        </w:rPr>
        <w:instrText xml:space="preserve"> </w:instrText>
      </w:r>
      <w:r w:rsidR="00021E2A">
        <w:rPr>
          <w:b/>
          <w:bCs/>
          <w:lang w:val="en-US"/>
        </w:rPr>
        <w:instrText>with</w:instrText>
      </w:r>
      <w:r w:rsidR="00021E2A" w:rsidRPr="00AA43FB">
        <w:rPr>
          <w:b/>
          <w:bCs/>
        </w:rPr>
        <w:instrText xml:space="preserve"> </w:instrText>
      </w:r>
      <w:r w:rsidR="00021E2A">
        <w:rPr>
          <w:b/>
          <w:bCs/>
          <w:lang w:val="en-US"/>
        </w:rPr>
        <w:instrText>ClinicalTrials</w:instrText>
      </w:r>
      <w:r w:rsidR="00021E2A" w:rsidRPr="00AA43FB">
        <w:rPr>
          <w:b/>
          <w:bCs/>
        </w:rPr>
        <w:instrText>.</w:instrText>
      </w:r>
      <w:r w:rsidR="00021E2A">
        <w:rPr>
          <w:b/>
          <w:bCs/>
          <w:lang w:val="en-US"/>
        </w:rPr>
        <w:instrText>gov</w:instrText>
      </w:r>
      <w:r w:rsidR="00021E2A" w:rsidRPr="00AA43FB">
        <w:rPr>
          <w:b/>
          <w:bCs/>
        </w:rPr>
        <w:instrText xml:space="preserve">, </w:instrText>
      </w:r>
      <w:r w:rsidR="00021E2A">
        <w:rPr>
          <w:b/>
          <w:bCs/>
          <w:lang w:val="en-US"/>
        </w:rPr>
        <w:instrText>number</w:instrText>
      </w:r>
      <w:r w:rsidR="00021E2A" w:rsidRPr="00AA43FB">
        <w:rPr>
          <w:b/>
          <w:bCs/>
        </w:rPr>
        <w:instrText xml:space="preserve"> </w:instrText>
      </w:r>
      <w:r w:rsidR="00021E2A">
        <w:rPr>
          <w:b/>
          <w:bCs/>
          <w:lang w:val="en-US"/>
        </w:rPr>
        <w:instrText>NCT</w:instrText>
      </w:r>
      <w:r w:rsidR="00021E2A" w:rsidRPr="00AA43FB">
        <w:rPr>
          <w:b/>
          <w:bCs/>
        </w:rPr>
        <w:instrText xml:space="preserve">01011920. </w:instrText>
      </w:r>
      <w:r w:rsidR="00021E2A">
        <w:rPr>
          <w:b/>
          <w:bCs/>
          <w:lang w:val="en-US"/>
        </w:rPr>
        <w:instrText>Findings</w:instrText>
      </w:r>
      <w:r w:rsidR="00021E2A" w:rsidRPr="00AA43FB">
        <w:rPr>
          <w:b/>
          <w:bCs/>
        </w:rPr>
        <w:instrText xml:space="preserve">: </w:instrText>
      </w:r>
      <w:r w:rsidR="00021E2A">
        <w:rPr>
          <w:b/>
          <w:bCs/>
          <w:lang w:val="en-US"/>
        </w:rPr>
        <w:instrText>Between</w:instrText>
      </w:r>
      <w:r w:rsidR="00021E2A" w:rsidRPr="00AA43FB">
        <w:rPr>
          <w:b/>
          <w:bCs/>
        </w:rPr>
        <w:instrText xml:space="preserve"> </w:instrText>
      </w:r>
      <w:r w:rsidR="00021E2A">
        <w:rPr>
          <w:b/>
          <w:bCs/>
          <w:lang w:val="en-US"/>
        </w:rPr>
        <w:instrText>Feb</w:instrText>
      </w:r>
      <w:r w:rsidR="00021E2A" w:rsidRPr="00AA43FB">
        <w:rPr>
          <w:b/>
          <w:bCs/>
        </w:rPr>
        <w:instrText xml:space="preserve"> 19, 2010, </w:instrText>
      </w:r>
      <w:r w:rsidR="00021E2A">
        <w:rPr>
          <w:b/>
          <w:bCs/>
          <w:lang w:val="en-US"/>
        </w:rPr>
        <w:instrText>and</w:instrText>
      </w:r>
      <w:r w:rsidR="00021E2A" w:rsidRPr="00AA43FB">
        <w:rPr>
          <w:b/>
          <w:bCs/>
        </w:rPr>
        <w:instrText xml:space="preserve"> </w:instrText>
      </w:r>
      <w:r w:rsidR="00021E2A">
        <w:rPr>
          <w:b/>
          <w:bCs/>
          <w:lang w:val="en-US"/>
        </w:rPr>
        <w:instrText>Aug</w:instrText>
      </w:r>
      <w:r w:rsidR="00021E2A" w:rsidRPr="00AA43FB">
        <w:rPr>
          <w:b/>
          <w:bCs/>
        </w:rPr>
        <w:instrText xml:space="preserve"> 27, 2014, 227 </w:instrText>
      </w:r>
      <w:r w:rsidR="00021E2A">
        <w:rPr>
          <w:b/>
          <w:bCs/>
          <w:lang w:val="en-US"/>
        </w:rPr>
        <w:instrText>eligible</w:instrText>
      </w:r>
      <w:r w:rsidR="00021E2A" w:rsidRPr="00AA43FB">
        <w:rPr>
          <w:b/>
          <w:bCs/>
        </w:rPr>
        <w:instrText xml:space="preserve"> </w:instrText>
      </w:r>
      <w:r w:rsidR="00021E2A">
        <w:rPr>
          <w:b/>
          <w:bCs/>
          <w:lang w:val="en-US"/>
        </w:rPr>
        <w:instrText>patients</w:instrText>
      </w:r>
      <w:r w:rsidR="00021E2A" w:rsidRPr="00AA43FB">
        <w:rPr>
          <w:b/>
          <w:bCs/>
        </w:rPr>
        <w:instrText xml:space="preserve"> </w:instrText>
      </w:r>
      <w:r w:rsidR="00021E2A">
        <w:rPr>
          <w:b/>
          <w:bCs/>
          <w:lang w:val="en-US"/>
        </w:rPr>
        <w:instrText>were</w:instrText>
      </w:r>
      <w:r w:rsidR="00021E2A" w:rsidRPr="00AA43FB">
        <w:rPr>
          <w:b/>
          <w:bCs/>
        </w:rPr>
        <w:instrText xml:space="preserve"> </w:instrText>
      </w:r>
      <w:r w:rsidR="00021E2A">
        <w:rPr>
          <w:b/>
          <w:bCs/>
          <w:lang w:val="en-US"/>
        </w:rPr>
        <w:instrText>recruited</w:instrText>
      </w:r>
      <w:r w:rsidR="00021E2A" w:rsidRPr="00AA43FB">
        <w:rPr>
          <w:b/>
          <w:bCs/>
        </w:rPr>
        <w:instrText xml:space="preserve">. 219 </w:instrText>
      </w:r>
      <w:r w:rsidR="00021E2A">
        <w:rPr>
          <w:b/>
          <w:bCs/>
          <w:lang w:val="en-US"/>
        </w:rPr>
        <w:instrText>of</w:instrText>
      </w:r>
      <w:r w:rsidR="00021E2A" w:rsidRPr="00AA43FB">
        <w:rPr>
          <w:b/>
          <w:bCs/>
        </w:rPr>
        <w:instrText xml:space="preserve"> </w:instrText>
      </w:r>
      <w:r w:rsidR="00021E2A">
        <w:rPr>
          <w:b/>
          <w:bCs/>
          <w:lang w:val="en-US"/>
        </w:rPr>
        <w:instrText>these</w:instrText>
      </w:r>
      <w:r w:rsidR="00021E2A" w:rsidRPr="00AA43FB">
        <w:rPr>
          <w:b/>
          <w:bCs/>
        </w:rPr>
        <w:instrText xml:space="preserve"> 227 </w:instrText>
      </w:r>
      <w:r w:rsidR="00021E2A">
        <w:rPr>
          <w:b/>
          <w:bCs/>
          <w:lang w:val="en-US"/>
        </w:rPr>
        <w:instrText>enrolled</w:instrText>
      </w:r>
      <w:r w:rsidR="00021E2A" w:rsidRPr="00AA43FB">
        <w:rPr>
          <w:b/>
          <w:bCs/>
        </w:rPr>
        <w:instrText xml:space="preserve"> </w:instrText>
      </w:r>
      <w:r w:rsidR="00021E2A">
        <w:rPr>
          <w:b/>
          <w:bCs/>
          <w:lang w:val="en-US"/>
        </w:rPr>
        <w:instrText>patients</w:instrText>
      </w:r>
      <w:r w:rsidR="00021E2A" w:rsidRPr="00AA43FB">
        <w:rPr>
          <w:b/>
          <w:bCs/>
        </w:rPr>
        <w:instrText xml:space="preserve"> </w:instrText>
      </w:r>
      <w:r w:rsidR="00021E2A">
        <w:rPr>
          <w:b/>
          <w:bCs/>
          <w:lang w:val="en-US"/>
        </w:rPr>
        <w:instrText>were</w:instrText>
      </w:r>
      <w:r w:rsidR="00021E2A" w:rsidRPr="00AA43FB">
        <w:rPr>
          <w:b/>
          <w:bCs/>
        </w:rPr>
        <w:instrText xml:space="preserve"> </w:instrText>
      </w:r>
      <w:r w:rsidR="00021E2A">
        <w:rPr>
          <w:b/>
          <w:bCs/>
          <w:lang w:val="en-US"/>
        </w:rPr>
        <w:instrText>assessable</w:instrText>
      </w:r>
      <w:r w:rsidR="00021E2A" w:rsidRPr="00AA43FB">
        <w:rPr>
          <w:b/>
          <w:bCs/>
        </w:rPr>
        <w:instrText xml:space="preserve">. </w:instrText>
      </w:r>
      <w:r w:rsidR="00021E2A">
        <w:rPr>
          <w:b/>
          <w:bCs/>
          <w:lang w:val="en-US"/>
        </w:rPr>
        <w:instrText>At</w:instrText>
      </w:r>
      <w:r w:rsidR="00021E2A" w:rsidRPr="00AA43FB">
        <w:rPr>
          <w:b/>
          <w:bCs/>
        </w:rPr>
        <w:instrText xml:space="preserve"> </w:instrText>
      </w:r>
      <w:r w:rsidR="00021E2A">
        <w:rPr>
          <w:b/>
          <w:bCs/>
          <w:lang w:val="en-US"/>
        </w:rPr>
        <w:instrText>median</w:instrText>
      </w:r>
      <w:r w:rsidR="00021E2A" w:rsidRPr="00AA43FB">
        <w:rPr>
          <w:b/>
          <w:bCs/>
        </w:rPr>
        <w:instrText xml:space="preserve"> </w:instrText>
      </w:r>
      <w:r w:rsidR="00021E2A">
        <w:rPr>
          <w:b/>
          <w:bCs/>
          <w:lang w:val="en-US"/>
        </w:rPr>
        <w:instrText>follow</w:instrText>
      </w:r>
      <w:r w:rsidR="00021E2A" w:rsidRPr="00AA43FB">
        <w:rPr>
          <w:b/>
          <w:bCs/>
        </w:rPr>
        <w:instrText>-</w:instrText>
      </w:r>
      <w:r w:rsidR="00021E2A">
        <w:rPr>
          <w:b/>
          <w:bCs/>
          <w:lang w:val="en-US"/>
        </w:rPr>
        <w:instrText>up</w:instrText>
      </w:r>
      <w:r w:rsidR="00021E2A" w:rsidRPr="00AA43FB">
        <w:rPr>
          <w:b/>
          <w:bCs/>
        </w:rPr>
        <w:instrText xml:space="preserve"> </w:instrText>
      </w:r>
      <w:r w:rsidR="00021E2A">
        <w:rPr>
          <w:b/>
          <w:bCs/>
          <w:lang w:val="en-US"/>
        </w:rPr>
        <w:instrText>of</w:instrText>
      </w:r>
      <w:r w:rsidR="00021E2A" w:rsidRPr="00AA43FB">
        <w:rPr>
          <w:b/>
          <w:bCs/>
        </w:rPr>
        <w:instrText xml:space="preserve"> 30 </w:instrText>
      </w:r>
      <w:r w:rsidR="00021E2A">
        <w:rPr>
          <w:b/>
          <w:bCs/>
          <w:lang w:val="en-US"/>
        </w:rPr>
        <w:instrText>months</w:instrText>
      </w:r>
      <w:r w:rsidR="00021E2A" w:rsidRPr="00AA43FB">
        <w:rPr>
          <w:b/>
          <w:bCs/>
        </w:rPr>
        <w:instrText xml:space="preserve"> (</w:instrText>
      </w:r>
      <w:r w:rsidR="00021E2A">
        <w:rPr>
          <w:b/>
          <w:bCs/>
          <w:lang w:val="en-US"/>
        </w:rPr>
        <w:instrText>IQR</w:instrText>
      </w:r>
      <w:r w:rsidR="00021E2A" w:rsidRPr="00AA43FB">
        <w:rPr>
          <w:b/>
          <w:bCs/>
        </w:rPr>
        <w:instrText xml:space="preserve"> 22-38), </w:instrText>
      </w:r>
      <w:r w:rsidR="00021E2A">
        <w:rPr>
          <w:b/>
          <w:bCs/>
          <w:lang w:val="en-US"/>
        </w:rPr>
        <w:instrText>patients</w:instrText>
      </w:r>
      <w:r w:rsidR="00021E2A" w:rsidRPr="00AA43FB">
        <w:rPr>
          <w:b/>
          <w:bCs/>
        </w:rPr>
        <w:instrText xml:space="preserve"> </w:instrText>
      </w:r>
      <w:r w:rsidR="00021E2A">
        <w:rPr>
          <w:b/>
          <w:bCs/>
          <w:lang w:val="en-US"/>
        </w:rPr>
        <w:instrText>treated</w:instrText>
      </w:r>
      <w:r w:rsidR="00021E2A" w:rsidRPr="00AA43FB">
        <w:rPr>
          <w:b/>
          <w:bCs/>
        </w:rPr>
        <w:instrText xml:space="preserve"> </w:instrText>
      </w:r>
      <w:r w:rsidR="00021E2A">
        <w:rPr>
          <w:b/>
          <w:bCs/>
          <w:lang w:val="en-US"/>
        </w:rPr>
        <w:instrText>with</w:instrText>
      </w:r>
      <w:r w:rsidR="00021E2A" w:rsidRPr="00AA43FB">
        <w:rPr>
          <w:b/>
          <w:bCs/>
        </w:rPr>
        <w:instrText xml:space="preserve"> </w:instrText>
      </w:r>
      <w:r w:rsidR="00021E2A">
        <w:rPr>
          <w:b/>
          <w:bCs/>
          <w:lang w:val="en-US"/>
        </w:rPr>
        <w:instrText>rituximab</w:instrText>
      </w:r>
      <w:r w:rsidR="00021E2A" w:rsidRPr="00AA43FB">
        <w:rPr>
          <w:b/>
          <w:bCs/>
        </w:rPr>
        <w:instrText xml:space="preserve"> </w:instrText>
      </w:r>
      <w:r w:rsidR="00021E2A">
        <w:rPr>
          <w:b/>
          <w:bCs/>
          <w:lang w:val="en-US"/>
        </w:rPr>
        <w:instrText>and</w:instrText>
      </w:r>
      <w:r w:rsidR="00021E2A" w:rsidRPr="00AA43FB">
        <w:rPr>
          <w:b/>
          <w:bCs/>
        </w:rPr>
        <w:instrText xml:space="preserve"> </w:instrText>
      </w:r>
      <w:r w:rsidR="00021E2A">
        <w:rPr>
          <w:b/>
          <w:bCs/>
          <w:lang w:val="en-US"/>
        </w:rPr>
        <w:instrText>thiotepa</w:instrText>
      </w:r>
      <w:r w:rsidR="00021E2A" w:rsidRPr="00AA43FB">
        <w:rPr>
          <w:b/>
          <w:bCs/>
        </w:rPr>
        <w:instrText xml:space="preserve"> </w:instrText>
      </w:r>
      <w:r w:rsidR="00021E2A">
        <w:rPr>
          <w:b/>
          <w:bCs/>
          <w:lang w:val="en-US"/>
        </w:rPr>
        <w:instrText>had</w:instrText>
      </w:r>
      <w:r w:rsidR="00021E2A" w:rsidRPr="00AA43FB">
        <w:rPr>
          <w:b/>
          <w:bCs/>
        </w:rPr>
        <w:instrText xml:space="preserve"> </w:instrText>
      </w:r>
      <w:r w:rsidR="00021E2A">
        <w:rPr>
          <w:b/>
          <w:bCs/>
          <w:lang w:val="en-US"/>
        </w:rPr>
        <w:instrText>a</w:instrText>
      </w:r>
      <w:r w:rsidR="00021E2A" w:rsidRPr="00AA43FB">
        <w:rPr>
          <w:b/>
          <w:bCs/>
        </w:rPr>
        <w:instrText xml:space="preserve"> </w:instrText>
      </w:r>
      <w:r w:rsidR="00021E2A">
        <w:rPr>
          <w:b/>
          <w:bCs/>
          <w:lang w:val="en-US"/>
        </w:rPr>
        <w:instrText>complete</w:instrText>
      </w:r>
      <w:r w:rsidR="00021E2A" w:rsidRPr="00AA43FB">
        <w:rPr>
          <w:b/>
          <w:bCs/>
        </w:rPr>
        <w:instrText xml:space="preserve"> </w:instrText>
      </w:r>
      <w:r w:rsidR="00021E2A">
        <w:rPr>
          <w:b/>
          <w:bCs/>
          <w:lang w:val="en-US"/>
        </w:rPr>
        <w:instrText>remission</w:instrText>
      </w:r>
      <w:r w:rsidR="00021E2A" w:rsidRPr="00AA43FB">
        <w:rPr>
          <w:b/>
          <w:bCs/>
        </w:rPr>
        <w:instrText xml:space="preserve"> </w:instrText>
      </w:r>
      <w:r w:rsidR="00021E2A">
        <w:rPr>
          <w:b/>
          <w:bCs/>
          <w:lang w:val="en-US"/>
        </w:rPr>
        <w:instrText>rate</w:instrText>
      </w:r>
      <w:r w:rsidR="00021E2A" w:rsidRPr="00AA43FB">
        <w:rPr>
          <w:b/>
          <w:bCs/>
        </w:rPr>
        <w:instrText xml:space="preserve"> </w:instrText>
      </w:r>
      <w:r w:rsidR="00021E2A">
        <w:rPr>
          <w:b/>
          <w:bCs/>
          <w:lang w:val="en-US"/>
        </w:rPr>
        <w:instrText>of</w:instrText>
      </w:r>
      <w:r w:rsidR="00021E2A" w:rsidRPr="00AA43FB">
        <w:rPr>
          <w:b/>
          <w:bCs/>
        </w:rPr>
        <w:instrText xml:space="preserve"> 49% (95% </w:instrText>
      </w:r>
      <w:r w:rsidR="00021E2A">
        <w:rPr>
          <w:b/>
          <w:bCs/>
          <w:lang w:val="en-US"/>
        </w:rPr>
        <w:instrText>CI</w:instrText>
      </w:r>
      <w:r w:rsidR="00021E2A" w:rsidRPr="00AA43FB">
        <w:rPr>
          <w:b/>
          <w:bCs/>
        </w:rPr>
        <w:instrText xml:space="preserve"> 38-60), </w:instrText>
      </w:r>
      <w:r w:rsidR="00021E2A">
        <w:rPr>
          <w:b/>
          <w:bCs/>
          <w:lang w:val="en-US"/>
        </w:rPr>
        <w:instrText>compared</w:instrText>
      </w:r>
      <w:r w:rsidR="00021E2A" w:rsidRPr="00AA43FB">
        <w:rPr>
          <w:b/>
          <w:bCs/>
        </w:rPr>
        <w:instrText xml:space="preserve"> </w:instrText>
      </w:r>
      <w:r w:rsidR="00021E2A">
        <w:rPr>
          <w:b/>
          <w:bCs/>
          <w:lang w:val="en-US"/>
        </w:rPr>
        <w:instrText>with</w:instrText>
      </w:r>
      <w:r w:rsidR="00021E2A" w:rsidRPr="00AA43FB">
        <w:rPr>
          <w:b/>
          <w:bCs/>
        </w:rPr>
        <w:instrText xml:space="preserve"> 23% (14-31) </w:instrText>
      </w:r>
      <w:r w:rsidR="00021E2A">
        <w:rPr>
          <w:b/>
          <w:bCs/>
          <w:lang w:val="en-US"/>
        </w:rPr>
        <w:instrText>of</w:instrText>
      </w:r>
      <w:r w:rsidR="00021E2A" w:rsidRPr="00AA43FB">
        <w:rPr>
          <w:b/>
          <w:bCs/>
        </w:rPr>
        <w:instrText xml:space="preserve"> </w:instrText>
      </w:r>
      <w:r w:rsidR="00021E2A">
        <w:rPr>
          <w:b/>
          <w:bCs/>
          <w:lang w:val="en-US"/>
        </w:rPr>
        <w:instrText>those</w:instrText>
      </w:r>
      <w:r w:rsidR="00021E2A" w:rsidRPr="00AA43FB">
        <w:rPr>
          <w:b/>
          <w:bCs/>
        </w:rPr>
        <w:instrText xml:space="preserve"> </w:instrText>
      </w:r>
      <w:r w:rsidR="00021E2A">
        <w:rPr>
          <w:b/>
          <w:bCs/>
          <w:lang w:val="en-US"/>
        </w:rPr>
        <w:instrText>treated</w:instrText>
      </w:r>
      <w:r w:rsidR="00021E2A" w:rsidRPr="00AA43FB">
        <w:rPr>
          <w:b/>
          <w:bCs/>
        </w:rPr>
        <w:instrText xml:space="preserve"> </w:instrText>
      </w:r>
      <w:r w:rsidR="00021E2A">
        <w:rPr>
          <w:b/>
          <w:bCs/>
          <w:lang w:val="en-US"/>
        </w:rPr>
        <w:instrText>with</w:instrText>
      </w:r>
      <w:r w:rsidR="00021E2A" w:rsidRPr="00AA43FB">
        <w:rPr>
          <w:b/>
          <w:bCs/>
        </w:rPr>
        <w:instrText xml:space="preserve"> </w:instrText>
      </w:r>
      <w:r w:rsidR="00021E2A">
        <w:rPr>
          <w:b/>
          <w:bCs/>
          <w:lang w:val="en-US"/>
        </w:rPr>
        <w:instrText>methotrexate</w:instrText>
      </w:r>
      <w:r w:rsidR="00021E2A" w:rsidRPr="00AA43FB">
        <w:rPr>
          <w:b/>
          <w:bCs/>
        </w:rPr>
        <w:instrText>-</w:instrText>
      </w:r>
      <w:r w:rsidR="00021E2A">
        <w:rPr>
          <w:b/>
          <w:bCs/>
          <w:lang w:val="en-US"/>
        </w:rPr>
        <w:instrText>cytarabine</w:instrText>
      </w:r>
      <w:r w:rsidR="00021E2A" w:rsidRPr="00AA43FB">
        <w:rPr>
          <w:b/>
          <w:bCs/>
        </w:rPr>
        <w:instrText xml:space="preserve"> </w:instrText>
      </w:r>
      <w:r w:rsidR="00021E2A">
        <w:rPr>
          <w:b/>
          <w:bCs/>
          <w:lang w:val="en-US"/>
        </w:rPr>
        <w:instrText>alone</w:instrText>
      </w:r>
      <w:r w:rsidR="00021E2A" w:rsidRPr="00AA43FB">
        <w:rPr>
          <w:b/>
          <w:bCs/>
        </w:rPr>
        <w:instrText xml:space="preserve"> (</w:instrText>
      </w:r>
      <w:r w:rsidR="00021E2A">
        <w:rPr>
          <w:b/>
          <w:bCs/>
          <w:lang w:val="en-US"/>
        </w:rPr>
        <w:instrText>hazard</w:instrText>
      </w:r>
      <w:r w:rsidR="00021E2A" w:rsidRPr="00AA43FB">
        <w:rPr>
          <w:b/>
          <w:bCs/>
        </w:rPr>
        <w:instrText xml:space="preserve"> </w:instrText>
      </w:r>
      <w:r w:rsidR="00021E2A">
        <w:rPr>
          <w:b/>
          <w:bCs/>
          <w:lang w:val="en-US"/>
        </w:rPr>
        <w:instrText>ratio</w:instrText>
      </w:r>
      <w:r w:rsidR="00021E2A" w:rsidRPr="00AA43FB">
        <w:rPr>
          <w:b/>
          <w:bCs/>
        </w:rPr>
        <w:instrText xml:space="preserve"> 0·46, 95% </w:instrText>
      </w:r>
      <w:r w:rsidR="00021E2A">
        <w:rPr>
          <w:b/>
          <w:bCs/>
          <w:lang w:val="en-US"/>
        </w:rPr>
        <w:instrText>CI</w:instrText>
      </w:r>
      <w:r w:rsidR="00021E2A" w:rsidRPr="00AA43FB">
        <w:rPr>
          <w:b/>
          <w:bCs/>
        </w:rPr>
        <w:instrText xml:space="preserve"> 0·28-0·74) </w:instrText>
      </w:r>
      <w:r w:rsidR="00021E2A">
        <w:rPr>
          <w:b/>
          <w:bCs/>
          <w:lang w:val="en-US"/>
        </w:rPr>
        <w:instrText>and</w:instrText>
      </w:r>
      <w:r w:rsidR="00021E2A" w:rsidRPr="00AA43FB">
        <w:rPr>
          <w:b/>
          <w:bCs/>
        </w:rPr>
        <w:instrText xml:space="preserve"> 30% (21-42) </w:instrText>
      </w:r>
      <w:r w:rsidR="00021E2A">
        <w:rPr>
          <w:b/>
          <w:bCs/>
          <w:lang w:val="en-US"/>
        </w:rPr>
        <w:instrText>of</w:instrText>
      </w:r>
      <w:r w:rsidR="00021E2A" w:rsidRPr="00AA43FB">
        <w:rPr>
          <w:b/>
          <w:bCs/>
        </w:rPr>
        <w:instrText xml:space="preserve"> </w:instrText>
      </w:r>
      <w:r w:rsidR="00021E2A">
        <w:rPr>
          <w:b/>
          <w:bCs/>
          <w:lang w:val="en-US"/>
        </w:rPr>
        <w:instrText>those</w:instrText>
      </w:r>
      <w:r w:rsidR="00021E2A" w:rsidRPr="00AA43FB">
        <w:rPr>
          <w:b/>
          <w:bCs/>
        </w:rPr>
        <w:instrText xml:space="preserve"> </w:instrText>
      </w:r>
      <w:r w:rsidR="00021E2A">
        <w:rPr>
          <w:b/>
          <w:bCs/>
          <w:lang w:val="en-US"/>
        </w:rPr>
        <w:instrText>treated</w:instrText>
      </w:r>
      <w:r w:rsidR="00021E2A" w:rsidRPr="00AA43FB">
        <w:rPr>
          <w:b/>
          <w:bCs/>
        </w:rPr>
        <w:instrText xml:space="preserve"> </w:instrText>
      </w:r>
      <w:r w:rsidR="00021E2A">
        <w:rPr>
          <w:b/>
          <w:bCs/>
          <w:lang w:val="en-US"/>
        </w:rPr>
        <w:instrText>with</w:instrText>
      </w:r>
      <w:r w:rsidR="00021E2A" w:rsidRPr="00AA43FB">
        <w:rPr>
          <w:b/>
          <w:bCs/>
        </w:rPr>
        <w:instrText xml:space="preserve"> </w:instrText>
      </w:r>
      <w:r w:rsidR="00021E2A">
        <w:rPr>
          <w:b/>
          <w:bCs/>
          <w:lang w:val="en-US"/>
        </w:rPr>
        <w:instrText>methotrexate</w:instrText>
      </w:r>
      <w:r w:rsidR="00021E2A" w:rsidRPr="00AA43FB">
        <w:rPr>
          <w:b/>
          <w:bCs/>
        </w:rPr>
        <w:instrText>-</w:instrText>
      </w:r>
      <w:r w:rsidR="00021E2A">
        <w:rPr>
          <w:b/>
          <w:bCs/>
          <w:lang w:val="en-US"/>
        </w:rPr>
        <w:instrText>cytarabine</w:instrText>
      </w:r>
      <w:r w:rsidR="00021E2A" w:rsidRPr="00AA43FB">
        <w:rPr>
          <w:b/>
          <w:bCs/>
        </w:rPr>
        <w:instrText xml:space="preserve"> </w:instrText>
      </w:r>
      <w:r w:rsidR="00021E2A">
        <w:rPr>
          <w:b/>
          <w:bCs/>
          <w:lang w:val="en-US"/>
        </w:rPr>
        <w:instrText>plus</w:instrText>
      </w:r>
      <w:r w:rsidR="00021E2A" w:rsidRPr="00AA43FB">
        <w:rPr>
          <w:b/>
          <w:bCs/>
        </w:rPr>
        <w:instrText xml:space="preserve"> </w:instrText>
      </w:r>
      <w:r w:rsidR="00021E2A">
        <w:rPr>
          <w:b/>
          <w:bCs/>
          <w:lang w:val="en-US"/>
        </w:rPr>
        <w:instrText>ri</w:instrText>
      </w:r>
      <w:r w:rsidR="00021E2A" w:rsidRPr="00AA43FB">
        <w:rPr>
          <w:b/>
          <w:bCs/>
        </w:rPr>
        <w:instrText>…","</w:instrText>
      </w:r>
      <w:r w:rsidR="00021E2A">
        <w:rPr>
          <w:b/>
          <w:bCs/>
          <w:lang w:val="en-US"/>
        </w:rPr>
        <w:instrText>author</w:instrText>
      </w:r>
      <w:r w:rsidR="00021E2A" w:rsidRPr="00AA43FB">
        <w:rPr>
          <w:b/>
          <w:bCs/>
        </w:rPr>
        <w:instrText>":[{"</w:instrText>
      </w:r>
      <w:r w:rsidR="00021E2A">
        <w:rPr>
          <w:b/>
          <w:bCs/>
          <w:lang w:val="en-US"/>
        </w:rPr>
        <w:instrText>dropping</w:instrText>
      </w:r>
      <w:r w:rsidR="00021E2A" w:rsidRPr="00AA43FB">
        <w:rPr>
          <w:b/>
          <w:bCs/>
        </w:rPr>
        <w:instrText>-</w:instrText>
      </w:r>
      <w:r w:rsidR="00021E2A">
        <w:rPr>
          <w:b/>
          <w:bCs/>
          <w:lang w:val="en-US"/>
        </w:rPr>
        <w:instrText>particle</w:instrText>
      </w:r>
      <w:r w:rsidR="00021E2A" w:rsidRPr="00AA43FB">
        <w:rPr>
          <w:b/>
          <w:bCs/>
        </w:rPr>
        <w:instrText>":"","</w:instrText>
      </w:r>
      <w:r w:rsidR="00021E2A">
        <w:rPr>
          <w:b/>
          <w:bCs/>
          <w:lang w:val="en-US"/>
        </w:rPr>
        <w:instrText>family</w:instrText>
      </w:r>
      <w:r w:rsidR="00021E2A" w:rsidRPr="00AA43FB">
        <w:rPr>
          <w:b/>
          <w:bCs/>
        </w:rPr>
        <w:instrText>":"</w:instrText>
      </w:r>
      <w:r w:rsidR="00021E2A">
        <w:rPr>
          <w:b/>
          <w:bCs/>
          <w:lang w:val="en-US"/>
        </w:rPr>
        <w:instrText>Ferreri</w:instrText>
      </w:r>
      <w:r w:rsidR="00021E2A" w:rsidRPr="00AA43FB">
        <w:rPr>
          <w:b/>
          <w:bCs/>
        </w:rPr>
        <w:instrText>","</w:instrText>
      </w:r>
      <w:r w:rsidR="00021E2A">
        <w:rPr>
          <w:b/>
          <w:bCs/>
          <w:lang w:val="en-US"/>
        </w:rPr>
        <w:instrText>given</w:instrText>
      </w:r>
      <w:r w:rsidR="00021E2A" w:rsidRPr="00AA43FB">
        <w:rPr>
          <w:b/>
          <w:bCs/>
        </w:rPr>
        <w:instrText>":"</w:instrText>
      </w:r>
      <w:r w:rsidR="00021E2A">
        <w:rPr>
          <w:b/>
          <w:bCs/>
          <w:lang w:val="en-US"/>
        </w:rPr>
        <w:instrText>Andr</w:instrText>
      </w:r>
      <w:r w:rsidR="00021E2A" w:rsidRPr="00AA43FB">
        <w:rPr>
          <w:b/>
          <w:bCs/>
        </w:rPr>
        <w:instrText>é</w:instrText>
      </w:r>
      <w:r w:rsidR="00021E2A">
        <w:rPr>
          <w:b/>
          <w:bCs/>
          <w:lang w:val="en-US"/>
        </w:rPr>
        <w:instrText>s</w:instrText>
      </w:r>
      <w:r w:rsidR="00021E2A" w:rsidRPr="00AA43FB">
        <w:rPr>
          <w:b/>
          <w:bCs/>
        </w:rPr>
        <w:instrText xml:space="preserve"> </w:instrText>
      </w:r>
      <w:r w:rsidR="00021E2A">
        <w:rPr>
          <w:b/>
          <w:bCs/>
          <w:lang w:val="en-US"/>
        </w:rPr>
        <w:instrText>J</w:instrText>
      </w:r>
      <w:r w:rsidR="00021E2A" w:rsidRPr="00AA43FB">
        <w:rPr>
          <w:b/>
          <w:bCs/>
        </w:rPr>
        <w:instrText>.</w:instrText>
      </w:r>
      <w:r w:rsidR="00021E2A">
        <w:rPr>
          <w:b/>
          <w:bCs/>
          <w:lang w:val="en-US"/>
        </w:rPr>
        <w:instrText>M</w:instrText>
      </w:r>
      <w:r w:rsidR="00021E2A" w:rsidRPr="00AA43FB">
        <w:rPr>
          <w:b/>
          <w:bCs/>
        </w:rPr>
        <w:instrText>.","</w:instrText>
      </w:r>
      <w:r w:rsidR="00021E2A">
        <w:rPr>
          <w:b/>
          <w:bCs/>
          <w:lang w:val="en-US"/>
        </w:rPr>
        <w:instrText>non</w:instrText>
      </w:r>
      <w:r w:rsidR="00021E2A" w:rsidRPr="00AA43FB">
        <w:rPr>
          <w:b/>
          <w:bCs/>
        </w:rPr>
        <w:instrText>-</w:instrText>
      </w:r>
      <w:r w:rsidR="00021E2A">
        <w:rPr>
          <w:b/>
          <w:bCs/>
          <w:lang w:val="en-US"/>
        </w:rPr>
        <w:instrText>dropping</w:instrText>
      </w:r>
      <w:r w:rsidR="00021E2A" w:rsidRPr="00AA43FB">
        <w:rPr>
          <w:b/>
          <w:bCs/>
        </w:rPr>
        <w:instrText>-</w:instrText>
      </w:r>
      <w:r w:rsidR="00021E2A">
        <w:rPr>
          <w:b/>
          <w:bCs/>
          <w:lang w:val="en-US"/>
        </w:rPr>
        <w:instrText>particle</w:instrText>
      </w:r>
      <w:r w:rsidR="00021E2A" w:rsidRPr="00AA43FB">
        <w:rPr>
          <w:b/>
          <w:bCs/>
        </w:rPr>
        <w:instrText>":"","</w:instrText>
      </w:r>
      <w:r w:rsidR="00021E2A">
        <w:rPr>
          <w:b/>
          <w:bCs/>
          <w:lang w:val="en-US"/>
        </w:rPr>
        <w:instrText>parse</w:instrText>
      </w:r>
      <w:r w:rsidR="00021E2A" w:rsidRPr="00AA43FB">
        <w:rPr>
          <w:b/>
          <w:bCs/>
        </w:rPr>
        <w:instrText>-</w:instrText>
      </w:r>
      <w:r w:rsidR="00021E2A">
        <w:rPr>
          <w:b/>
          <w:bCs/>
          <w:lang w:val="en-US"/>
        </w:rPr>
        <w:instrText>names</w:instrText>
      </w:r>
      <w:r w:rsidR="00021E2A" w:rsidRPr="00AA43FB">
        <w:rPr>
          <w:b/>
          <w:bCs/>
        </w:rPr>
        <w:instrText>":</w:instrText>
      </w:r>
      <w:r w:rsidR="00021E2A">
        <w:rPr>
          <w:b/>
          <w:bCs/>
          <w:lang w:val="en-US"/>
        </w:rPr>
        <w:instrText>false</w:instrText>
      </w:r>
      <w:r w:rsidR="00021E2A" w:rsidRPr="00AA43FB">
        <w:rPr>
          <w:b/>
          <w:bCs/>
        </w:rPr>
        <w:instrText>,"</w:instrText>
      </w:r>
      <w:r w:rsidR="00021E2A">
        <w:rPr>
          <w:b/>
          <w:bCs/>
          <w:lang w:val="en-US"/>
        </w:rPr>
        <w:instrText>suffix</w:instrText>
      </w:r>
      <w:r w:rsidR="00021E2A" w:rsidRPr="00AA43FB">
        <w:rPr>
          <w:b/>
          <w:bCs/>
        </w:rPr>
        <w:instrText>":""},{"</w:instrText>
      </w:r>
      <w:r w:rsidR="00021E2A">
        <w:rPr>
          <w:b/>
          <w:bCs/>
          <w:lang w:val="en-US"/>
        </w:rPr>
        <w:instrText>dropping</w:instrText>
      </w:r>
      <w:r w:rsidR="00021E2A" w:rsidRPr="00AA43FB">
        <w:rPr>
          <w:b/>
          <w:bCs/>
        </w:rPr>
        <w:instrText>-</w:instrText>
      </w:r>
      <w:r w:rsidR="00021E2A">
        <w:rPr>
          <w:b/>
          <w:bCs/>
          <w:lang w:val="en-US"/>
        </w:rPr>
        <w:instrText>particle</w:instrText>
      </w:r>
      <w:r w:rsidR="00021E2A" w:rsidRPr="00AA43FB">
        <w:rPr>
          <w:b/>
          <w:bCs/>
        </w:rPr>
        <w:instrText>":"","</w:instrText>
      </w:r>
      <w:r w:rsidR="00021E2A">
        <w:rPr>
          <w:b/>
          <w:bCs/>
          <w:lang w:val="en-US"/>
        </w:rPr>
        <w:instrText>family</w:instrText>
      </w:r>
      <w:r w:rsidR="00021E2A" w:rsidRPr="00AA43FB">
        <w:rPr>
          <w:b/>
          <w:bCs/>
        </w:rPr>
        <w:instrText>":"</w:instrText>
      </w:r>
      <w:r w:rsidR="00021E2A">
        <w:rPr>
          <w:b/>
          <w:bCs/>
          <w:lang w:val="en-US"/>
        </w:rPr>
        <w:instrText>Cwynarski</w:instrText>
      </w:r>
      <w:r w:rsidR="00021E2A" w:rsidRPr="00AA43FB">
        <w:rPr>
          <w:b/>
          <w:bCs/>
        </w:rPr>
        <w:instrText>","</w:instrText>
      </w:r>
      <w:r w:rsidR="00021E2A">
        <w:rPr>
          <w:b/>
          <w:bCs/>
          <w:lang w:val="en-US"/>
        </w:rPr>
        <w:instrText>given</w:instrText>
      </w:r>
      <w:r w:rsidR="00021E2A" w:rsidRPr="00AA43FB">
        <w:rPr>
          <w:b/>
          <w:bCs/>
        </w:rPr>
        <w:instrText>":"</w:instrText>
      </w:r>
      <w:r w:rsidR="00021E2A">
        <w:rPr>
          <w:b/>
          <w:bCs/>
          <w:lang w:val="en-US"/>
        </w:rPr>
        <w:instrText>Kate</w:instrText>
      </w:r>
      <w:r w:rsidR="00021E2A" w:rsidRPr="00AA43FB">
        <w:rPr>
          <w:b/>
          <w:bCs/>
        </w:rPr>
        <w:instrText>","</w:instrText>
      </w:r>
      <w:r w:rsidR="00021E2A">
        <w:rPr>
          <w:b/>
          <w:bCs/>
          <w:lang w:val="en-US"/>
        </w:rPr>
        <w:instrText>non</w:instrText>
      </w:r>
      <w:r w:rsidR="00021E2A" w:rsidRPr="00AA43FB">
        <w:rPr>
          <w:b/>
          <w:bCs/>
        </w:rPr>
        <w:instrText>-</w:instrText>
      </w:r>
      <w:r w:rsidR="00021E2A">
        <w:rPr>
          <w:b/>
          <w:bCs/>
          <w:lang w:val="en-US"/>
        </w:rPr>
        <w:instrText>dropping</w:instrText>
      </w:r>
      <w:r w:rsidR="00021E2A" w:rsidRPr="00AA43FB">
        <w:rPr>
          <w:b/>
          <w:bCs/>
        </w:rPr>
        <w:instrText>-</w:instrText>
      </w:r>
      <w:r w:rsidR="00021E2A">
        <w:rPr>
          <w:b/>
          <w:bCs/>
          <w:lang w:val="en-US"/>
        </w:rPr>
        <w:instrText>particle</w:instrText>
      </w:r>
      <w:r w:rsidR="00021E2A" w:rsidRPr="00AA43FB">
        <w:rPr>
          <w:b/>
          <w:bCs/>
        </w:rPr>
        <w:instrText>":"","</w:instrText>
      </w:r>
      <w:r w:rsidR="00021E2A">
        <w:rPr>
          <w:b/>
          <w:bCs/>
          <w:lang w:val="en-US"/>
        </w:rPr>
        <w:instrText>parse</w:instrText>
      </w:r>
      <w:r w:rsidR="00021E2A" w:rsidRPr="00AA43FB">
        <w:rPr>
          <w:b/>
          <w:bCs/>
        </w:rPr>
        <w:instrText>-</w:instrText>
      </w:r>
      <w:r w:rsidR="00021E2A">
        <w:rPr>
          <w:b/>
          <w:bCs/>
          <w:lang w:val="en-US"/>
        </w:rPr>
        <w:instrText>names</w:instrText>
      </w:r>
      <w:r w:rsidR="00021E2A" w:rsidRPr="00AA43FB">
        <w:rPr>
          <w:b/>
          <w:bCs/>
        </w:rPr>
        <w:instrText>":</w:instrText>
      </w:r>
      <w:r w:rsidR="00021E2A">
        <w:rPr>
          <w:b/>
          <w:bCs/>
          <w:lang w:val="en-US"/>
        </w:rPr>
        <w:instrText>false</w:instrText>
      </w:r>
      <w:r w:rsidR="00021E2A" w:rsidRPr="00AA43FB">
        <w:rPr>
          <w:b/>
          <w:bCs/>
        </w:rPr>
        <w:instrText>,"</w:instrText>
      </w:r>
      <w:r w:rsidR="00021E2A">
        <w:rPr>
          <w:b/>
          <w:bCs/>
          <w:lang w:val="en-US"/>
        </w:rPr>
        <w:instrText>suffix</w:instrText>
      </w:r>
      <w:r w:rsidR="00021E2A" w:rsidRPr="00AA43FB">
        <w:rPr>
          <w:b/>
          <w:bCs/>
        </w:rPr>
        <w:instrText>":""},{"</w:instrText>
      </w:r>
      <w:r w:rsidR="00021E2A">
        <w:rPr>
          <w:b/>
          <w:bCs/>
          <w:lang w:val="en-US"/>
        </w:rPr>
        <w:instrText>dropping</w:instrText>
      </w:r>
      <w:r w:rsidR="00021E2A" w:rsidRPr="00AA43FB">
        <w:rPr>
          <w:b/>
          <w:bCs/>
        </w:rPr>
        <w:instrText>-</w:instrText>
      </w:r>
      <w:r w:rsidR="00021E2A">
        <w:rPr>
          <w:b/>
          <w:bCs/>
          <w:lang w:val="en-US"/>
        </w:rPr>
        <w:instrText>particle</w:instrText>
      </w:r>
      <w:r w:rsidR="00021E2A" w:rsidRPr="00AA43FB">
        <w:rPr>
          <w:b/>
          <w:bCs/>
        </w:rPr>
        <w:instrText>":"","</w:instrText>
      </w:r>
      <w:r w:rsidR="00021E2A">
        <w:rPr>
          <w:b/>
          <w:bCs/>
          <w:lang w:val="en-US"/>
        </w:rPr>
        <w:instrText>family</w:instrText>
      </w:r>
      <w:r w:rsidR="00021E2A" w:rsidRPr="00AA43FB">
        <w:rPr>
          <w:b/>
          <w:bCs/>
        </w:rPr>
        <w:instrText>":"</w:instrText>
      </w:r>
      <w:r w:rsidR="00021E2A">
        <w:rPr>
          <w:b/>
          <w:bCs/>
          <w:lang w:val="en-US"/>
        </w:rPr>
        <w:instrText>Pulczynski</w:instrText>
      </w:r>
      <w:r w:rsidR="00021E2A" w:rsidRPr="00AA43FB">
        <w:rPr>
          <w:b/>
          <w:bCs/>
        </w:rPr>
        <w:instrText>","</w:instrText>
      </w:r>
      <w:r w:rsidR="00021E2A">
        <w:rPr>
          <w:b/>
          <w:bCs/>
          <w:lang w:val="en-US"/>
        </w:rPr>
        <w:instrText>given</w:instrText>
      </w:r>
      <w:r w:rsidR="00021E2A" w:rsidRPr="00AA43FB">
        <w:rPr>
          <w:b/>
          <w:bCs/>
        </w:rPr>
        <w:instrText>":"</w:instrText>
      </w:r>
      <w:r w:rsidR="00021E2A">
        <w:rPr>
          <w:b/>
          <w:bCs/>
          <w:lang w:val="en-US"/>
        </w:rPr>
        <w:instrText>Elisa</w:instrText>
      </w:r>
      <w:r w:rsidR="00021E2A" w:rsidRPr="00AA43FB">
        <w:rPr>
          <w:b/>
          <w:bCs/>
        </w:rPr>
        <w:instrText>","</w:instrText>
      </w:r>
      <w:r w:rsidR="00021E2A">
        <w:rPr>
          <w:b/>
          <w:bCs/>
          <w:lang w:val="en-US"/>
        </w:rPr>
        <w:instrText>non</w:instrText>
      </w:r>
      <w:r w:rsidR="00021E2A" w:rsidRPr="00AA43FB">
        <w:rPr>
          <w:b/>
          <w:bCs/>
        </w:rPr>
        <w:instrText>-</w:instrText>
      </w:r>
      <w:r w:rsidR="00021E2A">
        <w:rPr>
          <w:b/>
          <w:bCs/>
          <w:lang w:val="en-US"/>
        </w:rPr>
        <w:instrText>dropping</w:instrText>
      </w:r>
      <w:r w:rsidR="00021E2A" w:rsidRPr="00AA43FB">
        <w:rPr>
          <w:b/>
          <w:bCs/>
        </w:rPr>
        <w:instrText>-</w:instrText>
      </w:r>
      <w:r w:rsidR="00021E2A">
        <w:rPr>
          <w:b/>
          <w:bCs/>
          <w:lang w:val="en-US"/>
        </w:rPr>
        <w:instrText>particle</w:instrText>
      </w:r>
      <w:r w:rsidR="00021E2A" w:rsidRPr="00AA43FB">
        <w:rPr>
          <w:b/>
          <w:bCs/>
        </w:rPr>
        <w:instrText>":"","</w:instrText>
      </w:r>
      <w:r w:rsidR="00021E2A">
        <w:rPr>
          <w:b/>
          <w:bCs/>
          <w:lang w:val="en-US"/>
        </w:rPr>
        <w:instrText>parse</w:instrText>
      </w:r>
      <w:r w:rsidR="00021E2A" w:rsidRPr="00AA43FB">
        <w:rPr>
          <w:b/>
          <w:bCs/>
        </w:rPr>
        <w:instrText>-</w:instrText>
      </w:r>
      <w:r w:rsidR="00021E2A">
        <w:rPr>
          <w:b/>
          <w:bCs/>
          <w:lang w:val="en-US"/>
        </w:rPr>
        <w:instrText>names</w:instrText>
      </w:r>
      <w:r w:rsidR="00021E2A" w:rsidRPr="00AA43FB">
        <w:rPr>
          <w:b/>
          <w:bCs/>
        </w:rPr>
        <w:instrText>":</w:instrText>
      </w:r>
      <w:r w:rsidR="00021E2A">
        <w:rPr>
          <w:b/>
          <w:bCs/>
          <w:lang w:val="en-US"/>
        </w:rPr>
        <w:instrText>false,"suffix":""},{"dropping-particle":"","family":"Ponzoni","given":"Maurilio","non-dropping-particle":"","parse-names":false,"suffix":""},{"dropping-particle":"","family":"Deckert","given":"Martina","non-dropping-particle":"","parse-names":false,"suffix":""},{"dropping-particle":"","family":"Politi","given":"Letterio S.","non-dropping-particle":"","parse-names":false,"suffix":""},{"dropping-particle":"","family":"Torri","given":"Valter","non-dropping-particle":"","parse-names":false,"suffix":""},{"dropping-particle":"","family":"Fox","given":"Christopher P.","non-dropping-particle":"","parse-names":false,"suffix":""},{"dropping-particle":"La","family":"Rosée","given":"Paul","non-dropping-particle":"","parse-names":false,"suffix":""},{"dropping-particle":"","family":"Schorb","given":"Elisabeth","non-dropping-particle":"","parse-names":false,"suffix":""},{"dropping-particle":"","family":"Ambrosetti","given":"Achille","non-dropping-particle":"","parse-names":false,"suffix":""},{"dropping-particle":"","family":"Roth","given":"Alexander","non-dropping-particle":"","parse-names":false,"suffix":""},{"dropping-particle":"","family":"Hemmaway","given":"Claire","non-dropping-particle":"","parse-names":false,"suffix":""},{"dropping-particle":"","family":"Ferrari","given":"Angela","non-dropping-particle":"","parse-names":false,"suffix":""},{"dropping-particle":"","family":"Linton","given":"Kim M.","non-dropping-particle":"","parse-names":false,"suffix":""},{"dropping-particle":"","family":"Rudà","given":"Roberta","non-dropping-particle":"","parse-names":false,"suffix":""},{"dropping-particle":"","family":"Binder","given":"Mascha","non-dropping-particle":"","parse-names":false,"suffix":""},{"dropping-particle":"","family":"Pukrop","given":"Tobias","non-dropping-particle":"","parse-names":false,"suffix":""},{"dropping-particle":"","family":"Balzarotti","given":"Monica","non-dropping-particle":"","parse-names":false,"suffix":""},{"dropping-particle":"","family":"Fabbri","given":"Alberto","non-dropping-particle":"","parse-names":false,"suffix":""},{"dropping-particle":"","family":"Johnson","given":"Peter","non-dropping-particle":"","parse-names":false,"suffix":""},{"dropping-particle":"","family":"Gørløv","given":"Jette Sønderskov","non-dropping-particle":"","parse-names":false,"suffix":""},{"dropping-particle":"","family":"Hess","given":"Georg","non-dropping-particle":"","parse-names":false,"suffix":""},{"dropping-particle":"","family":"Panse","given":"Jens","non-dropping-particle":"","parse-names":false,"suffix":""},{"dropping-particle":"","family":"Pisani","given":"Francesco","non-dropping-particle":"","parse-names":false,"suffix":""},{"dropping-particle":"","family":"Tucci","given":"Alessandra","non-dropping-particle":"","parse-names":false,"suffix":""},{"dropping-particle":"","family":"Stilgenbauer","given":"Stephan","non-dropping-particle":"","parse-names":false,"suffix":""},{"dropping-particle":"","family":"Hertenstein","given":"Bernd","non-dropping-particle":"","parse-names":false,"suffix":""},{"dropping-particle":"","family":"Keller","given":"Ulrich","non-dropping-particle":"","parse-names":false,"suffix":""},{"dropping-particle":"","family":"Krause","given":"Stefan W.","non-dropping-particle":"","parse-names":false,"suffix":""},{"dropping-particle":"","family":"Levis","given":"Alessandro","non-dropping-particle":"","parse-names":false,"suffix":""</w:instrText>
      </w:r>
      <w:r w:rsidR="00021E2A" w:rsidRPr="00320416">
        <w:rPr>
          <w:b/>
          <w:bCs/>
        </w:rPr>
        <w:instrText>},{"</w:instrText>
      </w:r>
      <w:r w:rsidR="00021E2A">
        <w:rPr>
          <w:b/>
          <w:bCs/>
          <w:lang w:val="en-US"/>
        </w:rPr>
        <w:instrText>dropping</w:instrText>
      </w:r>
      <w:r w:rsidR="00021E2A" w:rsidRPr="00320416">
        <w:rPr>
          <w:b/>
          <w:bCs/>
        </w:rPr>
        <w:instrText>-</w:instrText>
      </w:r>
      <w:r w:rsidR="00021E2A">
        <w:rPr>
          <w:b/>
          <w:bCs/>
          <w:lang w:val="en-US"/>
        </w:rPr>
        <w:instrText>particle</w:instrText>
      </w:r>
      <w:r w:rsidR="00021E2A" w:rsidRPr="00320416">
        <w:rPr>
          <w:b/>
          <w:bCs/>
        </w:rPr>
        <w:instrText>":"","</w:instrText>
      </w:r>
      <w:r w:rsidR="00021E2A">
        <w:rPr>
          <w:b/>
          <w:bCs/>
          <w:lang w:val="en-US"/>
        </w:rPr>
        <w:instrText>family</w:instrText>
      </w:r>
      <w:r w:rsidR="00021E2A" w:rsidRPr="00320416">
        <w:rPr>
          <w:b/>
          <w:bCs/>
        </w:rPr>
        <w:instrText>":"</w:instrText>
      </w:r>
      <w:r w:rsidR="00021E2A">
        <w:rPr>
          <w:b/>
          <w:bCs/>
          <w:lang w:val="en-US"/>
        </w:rPr>
        <w:instrText>Schmoll</w:instrText>
      </w:r>
      <w:r w:rsidR="00021E2A" w:rsidRPr="00320416">
        <w:rPr>
          <w:b/>
          <w:bCs/>
        </w:rPr>
        <w:instrText>","</w:instrText>
      </w:r>
      <w:r w:rsidR="00021E2A">
        <w:rPr>
          <w:b/>
          <w:bCs/>
          <w:lang w:val="en-US"/>
        </w:rPr>
        <w:instrText>given</w:instrText>
      </w:r>
      <w:r w:rsidR="00021E2A" w:rsidRPr="00320416">
        <w:rPr>
          <w:b/>
          <w:bCs/>
        </w:rPr>
        <w:instrText>":"</w:instrText>
      </w:r>
      <w:r w:rsidR="00021E2A">
        <w:rPr>
          <w:b/>
          <w:bCs/>
          <w:lang w:val="en-US"/>
        </w:rPr>
        <w:instrText>Hans</w:instrText>
      </w:r>
      <w:r w:rsidR="00021E2A" w:rsidRPr="00320416">
        <w:rPr>
          <w:b/>
          <w:bCs/>
        </w:rPr>
        <w:instrText xml:space="preserve"> </w:instrText>
      </w:r>
      <w:r w:rsidR="00021E2A">
        <w:rPr>
          <w:b/>
          <w:bCs/>
          <w:lang w:val="en-US"/>
        </w:rPr>
        <w:instrText>J</w:instrText>
      </w:r>
      <w:r w:rsidR="00021E2A" w:rsidRPr="00320416">
        <w:rPr>
          <w:b/>
          <w:bCs/>
        </w:rPr>
        <w:instrText>.","</w:instrText>
      </w:r>
      <w:r w:rsidR="00021E2A">
        <w:rPr>
          <w:b/>
          <w:bCs/>
          <w:lang w:val="en-US"/>
        </w:rPr>
        <w:instrText>non</w:instrText>
      </w:r>
      <w:r w:rsidR="00021E2A" w:rsidRPr="00320416">
        <w:rPr>
          <w:b/>
          <w:bCs/>
        </w:rPr>
        <w:instrText>-</w:instrText>
      </w:r>
      <w:r w:rsidR="00021E2A">
        <w:rPr>
          <w:b/>
          <w:bCs/>
          <w:lang w:val="en-US"/>
        </w:rPr>
        <w:instrText>dropping</w:instrText>
      </w:r>
      <w:r w:rsidR="00021E2A" w:rsidRPr="00320416">
        <w:rPr>
          <w:b/>
          <w:bCs/>
        </w:rPr>
        <w:instrText>-</w:instrText>
      </w:r>
      <w:r w:rsidR="00021E2A">
        <w:rPr>
          <w:b/>
          <w:bCs/>
          <w:lang w:val="en-US"/>
        </w:rPr>
        <w:instrText>particle</w:instrText>
      </w:r>
      <w:r w:rsidR="00021E2A" w:rsidRPr="00320416">
        <w:rPr>
          <w:b/>
          <w:bCs/>
        </w:rPr>
        <w:instrText>":"","</w:instrText>
      </w:r>
      <w:r w:rsidR="00021E2A">
        <w:rPr>
          <w:b/>
          <w:bCs/>
          <w:lang w:val="en-US"/>
        </w:rPr>
        <w:instrText>parse</w:instrText>
      </w:r>
      <w:r w:rsidR="00021E2A" w:rsidRPr="00320416">
        <w:rPr>
          <w:b/>
          <w:bCs/>
        </w:rPr>
        <w:instrText>-</w:instrText>
      </w:r>
      <w:r w:rsidR="00021E2A">
        <w:rPr>
          <w:b/>
          <w:bCs/>
          <w:lang w:val="en-US"/>
        </w:rPr>
        <w:instrText>names</w:instrText>
      </w:r>
      <w:r w:rsidR="00021E2A" w:rsidRPr="00320416">
        <w:rPr>
          <w:b/>
          <w:bCs/>
        </w:rPr>
        <w:instrText>":</w:instrText>
      </w:r>
      <w:r w:rsidR="00021E2A">
        <w:rPr>
          <w:b/>
          <w:bCs/>
          <w:lang w:val="en-US"/>
        </w:rPr>
        <w:instrText>false</w:instrText>
      </w:r>
      <w:r w:rsidR="00021E2A" w:rsidRPr="00320416">
        <w:rPr>
          <w:b/>
          <w:bCs/>
        </w:rPr>
        <w:instrText>,"</w:instrText>
      </w:r>
      <w:r w:rsidR="00021E2A">
        <w:rPr>
          <w:b/>
          <w:bCs/>
          <w:lang w:val="en-US"/>
        </w:rPr>
        <w:instrText>suffix</w:instrText>
      </w:r>
      <w:r w:rsidR="00021E2A" w:rsidRPr="00320416">
        <w:rPr>
          <w:b/>
          <w:bCs/>
        </w:rPr>
        <w:instrText>":""},{"</w:instrText>
      </w:r>
      <w:r w:rsidR="00021E2A">
        <w:rPr>
          <w:b/>
          <w:bCs/>
          <w:lang w:val="en-US"/>
        </w:rPr>
        <w:instrText>dropping</w:instrText>
      </w:r>
      <w:r w:rsidR="00021E2A" w:rsidRPr="00320416">
        <w:rPr>
          <w:b/>
          <w:bCs/>
        </w:rPr>
        <w:instrText>-</w:instrText>
      </w:r>
      <w:r w:rsidR="00021E2A">
        <w:rPr>
          <w:b/>
          <w:bCs/>
          <w:lang w:val="en-US"/>
        </w:rPr>
        <w:instrText>particle</w:instrText>
      </w:r>
      <w:r w:rsidR="00021E2A" w:rsidRPr="00320416">
        <w:rPr>
          <w:b/>
          <w:bCs/>
        </w:rPr>
        <w:instrText>":"","</w:instrText>
      </w:r>
      <w:r w:rsidR="00021E2A">
        <w:rPr>
          <w:b/>
          <w:bCs/>
          <w:lang w:val="en-US"/>
        </w:rPr>
        <w:instrText>family</w:instrText>
      </w:r>
      <w:r w:rsidR="00021E2A" w:rsidRPr="00320416">
        <w:rPr>
          <w:b/>
          <w:bCs/>
        </w:rPr>
        <w:instrText>":"</w:instrText>
      </w:r>
      <w:r w:rsidR="00021E2A">
        <w:rPr>
          <w:b/>
          <w:bCs/>
          <w:lang w:val="en-US"/>
        </w:rPr>
        <w:instrText>Cavalli</w:instrText>
      </w:r>
      <w:r w:rsidR="00021E2A" w:rsidRPr="00320416">
        <w:rPr>
          <w:b/>
          <w:bCs/>
        </w:rPr>
        <w:instrText>","</w:instrText>
      </w:r>
      <w:r w:rsidR="00021E2A">
        <w:rPr>
          <w:b/>
          <w:bCs/>
          <w:lang w:val="en-US"/>
        </w:rPr>
        <w:instrText>given</w:instrText>
      </w:r>
      <w:r w:rsidR="00021E2A" w:rsidRPr="00320416">
        <w:rPr>
          <w:b/>
          <w:bCs/>
        </w:rPr>
        <w:instrText>":"</w:instrText>
      </w:r>
      <w:r w:rsidR="00021E2A">
        <w:rPr>
          <w:b/>
          <w:bCs/>
          <w:lang w:val="en-US"/>
        </w:rPr>
        <w:instrText>Franco</w:instrText>
      </w:r>
      <w:r w:rsidR="00021E2A" w:rsidRPr="00320416">
        <w:rPr>
          <w:b/>
          <w:bCs/>
        </w:rPr>
        <w:instrText>","</w:instrText>
      </w:r>
      <w:r w:rsidR="00021E2A">
        <w:rPr>
          <w:b/>
          <w:bCs/>
          <w:lang w:val="en-US"/>
        </w:rPr>
        <w:instrText>non</w:instrText>
      </w:r>
      <w:r w:rsidR="00021E2A" w:rsidRPr="00320416">
        <w:rPr>
          <w:b/>
          <w:bCs/>
        </w:rPr>
        <w:instrText>-</w:instrText>
      </w:r>
      <w:r w:rsidR="00021E2A">
        <w:rPr>
          <w:b/>
          <w:bCs/>
          <w:lang w:val="en-US"/>
        </w:rPr>
        <w:instrText>dropping</w:instrText>
      </w:r>
      <w:r w:rsidR="00021E2A" w:rsidRPr="00320416">
        <w:rPr>
          <w:b/>
          <w:bCs/>
        </w:rPr>
        <w:instrText>-</w:instrText>
      </w:r>
      <w:r w:rsidR="00021E2A">
        <w:rPr>
          <w:b/>
          <w:bCs/>
          <w:lang w:val="en-US"/>
        </w:rPr>
        <w:instrText>particle</w:instrText>
      </w:r>
      <w:r w:rsidR="00021E2A" w:rsidRPr="00320416">
        <w:rPr>
          <w:b/>
          <w:bCs/>
        </w:rPr>
        <w:instrText>":"","</w:instrText>
      </w:r>
      <w:r w:rsidR="00021E2A">
        <w:rPr>
          <w:b/>
          <w:bCs/>
          <w:lang w:val="en-US"/>
        </w:rPr>
        <w:instrText>parse</w:instrText>
      </w:r>
      <w:r w:rsidR="00021E2A" w:rsidRPr="00320416">
        <w:rPr>
          <w:b/>
          <w:bCs/>
        </w:rPr>
        <w:instrText>-</w:instrText>
      </w:r>
      <w:r w:rsidR="00021E2A">
        <w:rPr>
          <w:b/>
          <w:bCs/>
          <w:lang w:val="en-US"/>
        </w:rPr>
        <w:instrText>names</w:instrText>
      </w:r>
      <w:r w:rsidR="00021E2A" w:rsidRPr="00320416">
        <w:rPr>
          <w:b/>
          <w:bCs/>
        </w:rPr>
        <w:instrText>":</w:instrText>
      </w:r>
      <w:r w:rsidR="00021E2A">
        <w:rPr>
          <w:b/>
          <w:bCs/>
          <w:lang w:val="en-US"/>
        </w:rPr>
        <w:instrText>false</w:instrText>
      </w:r>
      <w:r w:rsidR="00021E2A" w:rsidRPr="00320416">
        <w:rPr>
          <w:b/>
          <w:bCs/>
        </w:rPr>
        <w:instrText>,"</w:instrText>
      </w:r>
      <w:r w:rsidR="00021E2A">
        <w:rPr>
          <w:b/>
          <w:bCs/>
          <w:lang w:val="en-US"/>
        </w:rPr>
        <w:instrText>suffix</w:instrText>
      </w:r>
      <w:r w:rsidR="00021E2A" w:rsidRPr="00320416">
        <w:rPr>
          <w:b/>
          <w:bCs/>
        </w:rPr>
        <w:instrText>":""},{"</w:instrText>
      </w:r>
      <w:r w:rsidR="00021E2A">
        <w:rPr>
          <w:b/>
          <w:bCs/>
          <w:lang w:val="en-US"/>
        </w:rPr>
        <w:instrText>dropping</w:instrText>
      </w:r>
      <w:r w:rsidR="00021E2A" w:rsidRPr="00320416">
        <w:rPr>
          <w:b/>
          <w:bCs/>
        </w:rPr>
        <w:instrText>-</w:instrText>
      </w:r>
      <w:r w:rsidR="00021E2A">
        <w:rPr>
          <w:b/>
          <w:bCs/>
          <w:lang w:val="en-US"/>
        </w:rPr>
        <w:instrText>particle</w:instrText>
      </w:r>
      <w:r w:rsidR="00021E2A" w:rsidRPr="00320416">
        <w:rPr>
          <w:b/>
          <w:bCs/>
        </w:rPr>
        <w:instrText>":"","</w:instrText>
      </w:r>
      <w:r w:rsidR="00021E2A">
        <w:rPr>
          <w:b/>
          <w:bCs/>
          <w:lang w:val="en-US"/>
        </w:rPr>
        <w:instrText>family</w:instrText>
      </w:r>
      <w:r w:rsidR="00021E2A" w:rsidRPr="00320416">
        <w:rPr>
          <w:b/>
          <w:bCs/>
        </w:rPr>
        <w:instrText>":"</w:instrText>
      </w:r>
      <w:r w:rsidR="00021E2A">
        <w:rPr>
          <w:b/>
          <w:bCs/>
          <w:lang w:val="en-US"/>
        </w:rPr>
        <w:instrText>Finke</w:instrText>
      </w:r>
      <w:r w:rsidR="00021E2A" w:rsidRPr="00320416">
        <w:rPr>
          <w:b/>
          <w:bCs/>
        </w:rPr>
        <w:instrText>","</w:instrText>
      </w:r>
      <w:r w:rsidR="00021E2A">
        <w:rPr>
          <w:b/>
          <w:bCs/>
          <w:lang w:val="en-US"/>
        </w:rPr>
        <w:instrText>given</w:instrText>
      </w:r>
      <w:r w:rsidR="00021E2A" w:rsidRPr="00320416">
        <w:rPr>
          <w:b/>
          <w:bCs/>
        </w:rPr>
        <w:instrText>":"</w:instrText>
      </w:r>
      <w:r w:rsidR="00021E2A">
        <w:rPr>
          <w:b/>
          <w:bCs/>
          <w:lang w:val="en-US"/>
        </w:rPr>
        <w:instrText>J</w:instrText>
      </w:r>
      <w:r w:rsidR="00021E2A" w:rsidRPr="00320416">
        <w:rPr>
          <w:b/>
          <w:bCs/>
        </w:rPr>
        <w:instrText>ü</w:instrText>
      </w:r>
      <w:r w:rsidR="00021E2A">
        <w:rPr>
          <w:b/>
          <w:bCs/>
          <w:lang w:val="en-US"/>
        </w:rPr>
        <w:instrText>rgen</w:instrText>
      </w:r>
      <w:r w:rsidR="00021E2A" w:rsidRPr="00320416">
        <w:rPr>
          <w:b/>
          <w:bCs/>
        </w:rPr>
        <w:instrText>","</w:instrText>
      </w:r>
      <w:r w:rsidR="00021E2A">
        <w:rPr>
          <w:b/>
          <w:bCs/>
          <w:lang w:val="en-US"/>
        </w:rPr>
        <w:instrText>non</w:instrText>
      </w:r>
      <w:r w:rsidR="00021E2A" w:rsidRPr="00320416">
        <w:rPr>
          <w:b/>
          <w:bCs/>
        </w:rPr>
        <w:instrText>-</w:instrText>
      </w:r>
      <w:r w:rsidR="00021E2A">
        <w:rPr>
          <w:b/>
          <w:bCs/>
          <w:lang w:val="en-US"/>
        </w:rPr>
        <w:instrText>dropping</w:instrText>
      </w:r>
      <w:r w:rsidR="00021E2A" w:rsidRPr="00320416">
        <w:rPr>
          <w:b/>
          <w:bCs/>
        </w:rPr>
        <w:instrText>-</w:instrText>
      </w:r>
      <w:r w:rsidR="00021E2A">
        <w:rPr>
          <w:b/>
          <w:bCs/>
          <w:lang w:val="en-US"/>
        </w:rPr>
        <w:instrText>particle</w:instrText>
      </w:r>
      <w:r w:rsidR="00021E2A" w:rsidRPr="00320416">
        <w:rPr>
          <w:b/>
          <w:bCs/>
        </w:rPr>
        <w:instrText>":"","</w:instrText>
      </w:r>
      <w:r w:rsidR="00021E2A">
        <w:rPr>
          <w:b/>
          <w:bCs/>
          <w:lang w:val="en-US"/>
        </w:rPr>
        <w:instrText>parse</w:instrText>
      </w:r>
      <w:r w:rsidR="00021E2A" w:rsidRPr="00320416">
        <w:rPr>
          <w:b/>
          <w:bCs/>
        </w:rPr>
        <w:instrText>-</w:instrText>
      </w:r>
      <w:r w:rsidR="00021E2A">
        <w:rPr>
          <w:b/>
          <w:bCs/>
          <w:lang w:val="en-US"/>
        </w:rPr>
        <w:instrText>names</w:instrText>
      </w:r>
      <w:r w:rsidR="00021E2A" w:rsidRPr="00320416">
        <w:rPr>
          <w:b/>
          <w:bCs/>
        </w:rPr>
        <w:instrText>":</w:instrText>
      </w:r>
      <w:r w:rsidR="00021E2A">
        <w:rPr>
          <w:b/>
          <w:bCs/>
          <w:lang w:val="en-US"/>
        </w:rPr>
        <w:instrText>false</w:instrText>
      </w:r>
      <w:r w:rsidR="00021E2A" w:rsidRPr="00320416">
        <w:rPr>
          <w:b/>
          <w:bCs/>
        </w:rPr>
        <w:instrText>,"</w:instrText>
      </w:r>
      <w:r w:rsidR="00021E2A">
        <w:rPr>
          <w:b/>
          <w:bCs/>
          <w:lang w:val="en-US"/>
        </w:rPr>
        <w:instrText>suffix</w:instrText>
      </w:r>
      <w:r w:rsidR="00021E2A" w:rsidRPr="00320416">
        <w:rPr>
          <w:b/>
          <w:bCs/>
        </w:rPr>
        <w:instrText>":""},{"</w:instrText>
      </w:r>
      <w:r w:rsidR="00021E2A">
        <w:rPr>
          <w:b/>
          <w:bCs/>
          <w:lang w:val="en-US"/>
        </w:rPr>
        <w:instrText>dropping</w:instrText>
      </w:r>
      <w:r w:rsidR="00021E2A" w:rsidRPr="00320416">
        <w:rPr>
          <w:b/>
          <w:bCs/>
        </w:rPr>
        <w:instrText>-</w:instrText>
      </w:r>
      <w:r w:rsidR="00021E2A">
        <w:rPr>
          <w:b/>
          <w:bCs/>
          <w:lang w:val="en-US"/>
        </w:rPr>
        <w:instrText>particle</w:instrText>
      </w:r>
      <w:r w:rsidR="00021E2A" w:rsidRPr="00320416">
        <w:rPr>
          <w:b/>
          <w:bCs/>
        </w:rPr>
        <w:instrText>":"","</w:instrText>
      </w:r>
      <w:r w:rsidR="00021E2A">
        <w:rPr>
          <w:b/>
          <w:bCs/>
          <w:lang w:val="en-US"/>
        </w:rPr>
        <w:instrText>family</w:instrText>
      </w:r>
      <w:r w:rsidR="00021E2A" w:rsidRPr="00320416">
        <w:rPr>
          <w:b/>
          <w:bCs/>
        </w:rPr>
        <w:instrText>":"</w:instrText>
      </w:r>
      <w:r w:rsidR="00021E2A">
        <w:rPr>
          <w:b/>
          <w:bCs/>
          <w:lang w:val="en-US"/>
        </w:rPr>
        <w:instrText>Reni</w:instrText>
      </w:r>
      <w:r w:rsidR="00021E2A" w:rsidRPr="00320416">
        <w:rPr>
          <w:b/>
          <w:bCs/>
        </w:rPr>
        <w:instrText>","</w:instrText>
      </w:r>
      <w:r w:rsidR="00021E2A">
        <w:rPr>
          <w:b/>
          <w:bCs/>
          <w:lang w:val="en-US"/>
        </w:rPr>
        <w:instrText>given</w:instrText>
      </w:r>
      <w:r w:rsidR="00021E2A" w:rsidRPr="00320416">
        <w:rPr>
          <w:b/>
          <w:bCs/>
        </w:rPr>
        <w:instrText>":"</w:instrText>
      </w:r>
      <w:r w:rsidR="00021E2A">
        <w:rPr>
          <w:b/>
          <w:bCs/>
          <w:lang w:val="en-US"/>
        </w:rPr>
        <w:instrText>Michele</w:instrText>
      </w:r>
      <w:r w:rsidR="00021E2A" w:rsidRPr="00320416">
        <w:rPr>
          <w:b/>
          <w:bCs/>
        </w:rPr>
        <w:instrText>","</w:instrText>
      </w:r>
      <w:r w:rsidR="00021E2A">
        <w:rPr>
          <w:b/>
          <w:bCs/>
          <w:lang w:val="en-US"/>
        </w:rPr>
        <w:instrText>non</w:instrText>
      </w:r>
      <w:r w:rsidR="00021E2A" w:rsidRPr="00320416">
        <w:rPr>
          <w:b/>
          <w:bCs/>
        </w:rPr>
        <w:instrText>-</w:instrText>
      </w:r>
      <w:r w:rsidR="00021E2A">
        <w:rPr>
          <w:b/>
          <w:bCs/>
          <w:lang w:val="en-US"/>
        </w:rPr>
        <w:instrText>dropping</w:instrText>
      </w:r>
      <w:r w:rsidR="00021E2A" w:rsidRPr="00320416">
        <w:rPr>
          <w:b/>
          <w:bCs/>
        </w:rPr>
        <w:instrText>-</w:instrText>
      </w:r>
      <w:r w:rsidR="00021E2A">
        <w:rPr>
          <w:b/>
          <w:bCs/>
          <w:lang w:val="en-US"/>
        </w:rPr>
        <w:instrText>particle</w:instrText>
      </w:r>
      <w:r w:rsidR="00021E2A" w:rsidRPr="00320416">
        <w:rPr>
          <w:b/>
          <w:bCs/>
        </w:rPr>
        <w:instrText>":"","</w:instrText>
      </w:r>
      <w:r w:rsidR="00021E2A">
        <w:rPr>
          <w:b/>
          <w:bCs/>
          <w:lang w:val="en-US"/>
        </w:rPr>
        <w:instrText>parse</w:instrText>
      </w:r>
      <w:r w:rsidR="00021E2A" w:rsidRPr="00320416">
        <w:rPr>
          <w:b/>
          <w:bCs/>
        </w:rPr>
        <w:instrText>-</w:instrText>
      </w:r>
      <w:r w:rsidR="00021E2A">
        <w:rPr>
          <w:b/>
          <w:bCs/>
          <w:lang w:val="en-US"/>
        </w:rPr>
        <w:instrText>names</w:instrText>
      </w:r>
      <w:r w:rsidR="00021E2A" w:rsidRPr="00320416">
        <w:rPr>
          <w:b/>
          <w:bCs/>
        </w:rPr>
        <w:instrText>":</w:instrText>
      </w:r>
      <w:r w:rsidR="00021E2A">
        <w:rPr>
          <w:b/>
          <w:bCs/>
          <w:lang w:val="en-US"/>
        </w:rPr>
        <w:instrText>false</w:instrText>
      </w:r>
      <w:r w:rsidR="00021E2A" w:rsidRPr="00320416">
        <w:rPr>
          <w:b/>
          <w:bCs/>
        </w:rPr>
        <w:instrText>,"</w:instrText>
      </w:r>
      <w:r w:rsidR="00021E2A">
        <w:rPr>
          <w:b/>
          <w:bCs/>
          <w:lang w:val="en-US"/>
        </w:rPr>
        <w:instrText>suffix</w:instrText>
      </w:r>
      <w:r w:rsidR="00021E2A" w:rsidRPr="00320416">
        <w:rPr>
          <w:b/>
          <w:bCs/>
        </w:rPr>
        <w:instrText>":""},{"</w:instrText>
      </w:r>
      <w:r w:rsidR="00021E2A">
        <w:rPr>
          <w:b/>
          <w:bCs/>
          <w:lang w:val="en-US"/>
        </w:rPr>
        <w:instrText>dropping</w:instrText>
      </w:r>
      <w:r w:rsidR="00021E2A" w:rsidRPr="00320416">
        <w:rPr>
          <w:b/>
          <w:bCs/>
        </w:rPr>
        <w:instrText>-</w:instrText>
      </w:r>
      <w:r w:rsidR="00021E2A">
        <w:rPr>
          <w:b/>
          <w:bCs/>
          <w:lang w:val="en-US"/>
        </w:rPr>
        <w:instrText>particle</w:instrText>
      </w:r>
      <w:r w:rsidR="00021E2A" w:rsidRPr="00320416">
        <w:rPr>
          <w:b/>
          <w:bCs/>
        </w:rPr>
        <w:instrText>":"","</w:instrText>
      </w:r>
      <w:r w:rsidR="00021E2A">
        <w:rPr>
          <w:b/>
          <w:bCs/>
          <w:lang w:val="en-US"/>
        </w:rPr>
        <w:instrText>family</w:instrText>
      </w:r>
      <w:r w:rsidR="00021E2A" w:rsidRPr="00320416">
        <w:rPr>
          <w:b/>
          <w:bCs/>
        </w:rPr>
        <w:instrText>":"</w:instrText>
      </w:r>
      <w:r w:rsidR="00021E2A">
        <w:rPr>
          <w:b/>
          <w:bCs/>
          <w:lang w:val="en-US"/>
        </w:rPr>
        <w:instrText>Zucca</w:instrText>
      </w:r>
      <w:r w:rsidR="00021E2A" w:rsidRPr="00320416">
        <w:rPr>
          <w:b/>
          <w:bCs/>
        </w:rPr>
        <w:instrText>","</w:instrText>
      </w:r>
      <w:r w:rsidR="00021E2A">
        <w:rPr>
          <w:b/>
          <w:bCs/>
          <w:lang w:val="en-US"/>
        </w:rPr>
        <w:instrText>given</w:instrText>
      </w:r>
      <w:r w:rsidR="00021E2A" w:rsidRPr="00320416">
        <w:rPr>
          <w:b/>
          <w:bCs/>
        </w:rPr>
        <w:instrText>":"</w:instrText>
      </w:r>
      <w:r w:rsidR="00021E2A">
        <w:rPr>
          <w:b/>
          <w:bCs/>
          <w:lang w:val="en-US"/>
        </w:rPr>
        <w:instrText>Emanuele</w:instrText>
      </w:r>
      <w:r w:rsidR="00021E2A" w:rsidRPr="00320416">
        <w:rPr>
          <w:b/>
          <w:bCs/>
        </w:rPr>
        <w:instrText>","</w:instrText>
      </w:r>
      <w:r w:rsidR="00021E2A">
        <w:rPr>
          <w:b/>
          <w:bCs/>
          <w:lang w:val="en-US"/>
        </w:rPr>
        <w:instrText>non</w:instrText>
      </w:r>
      <w:r w:rsidR="00021E2A" w:rsidRPr="00320416">
        <w:rPr>
          <w:b/>
          <w:bCs/>
        </w:rPr>
        <w:instrText>-</w:instrText>
      </w:r>
      <w:r w:rsidR="00021E2A">
        <w:rPr>
          <w:b/>
          <w:bCs/>
          <w:lang w:val="en-US"/>
        </w:rPr>
        <w:instrText>dropping</w:instrText>
      </w:r>
      <w:r w:rsidR="00021E2A" w:rsidRPr="00320416">
        <w:rPr>
          <w:b/>
          <w:bCs/>
        </w:rPr>
        <w:instrText>-</w:instrText>
      </w:r>
      <w:r w:rsidR="00021E2A">
        <w:rPr>
          <w:b/>
          <w:bCs/>
          <w:lang w:val="en-US"/>
        </w:rPr>
        <w:instrText>particle</w:instrText>
      </w:r>
      <w:r w:rsidR="00021E2A" w:rsidRPr="00320416">
        <w:rPr>
          <w:b/>
          <w:bCs/>
        </w:rPr>
        <w:instrText>":"","</w:instrText>
      </w:r>
      <w:r w:rsidR="00021E2A">
        <w:rPr>
          <w:b/>
          <w:bCs/>
          <w:lang w:val="en-US"/>
        </w:rPr>
        <w:instrText>parse</w:instrText>
      </w:r>
      <w:r w:rsidR="00021E2A" w:rsidRPr="00320416">
        <w:rPr>
          <w:b/>
          <w:bCs/>
        </w:rPr>
        <w:instrText>-</w:instrText>
      </w:r>
      <w:r w:rsidR="00021E2A">
        <w:rPr>
          <w:b/>
          <w:bCs/>
          <w:lang w:val="en-US"/>
        </w:rPr>
        <w:instrText>names</w:instrText>
      </w:r>
      <w:r w:rsidR="00021E2A" w:rsidRPr="00320416">
        <w:rPr>
          <w:b/>
          <w:bCs/>
        </w:rPr>
        <w:instrText>":</w:instrText>
      </w:r>
      <w:r w:rsidR="00021E2A">
        <w:rPr>
          <w:b/>
          <w:bCs/>
          <w:lang w:val="en-US"/>
        </w:rPr>
        <w:instrText>false</w:instrText>
      </w:r>
      <w:r w:rsidR="00021E2A" w:rsidRPr="00320416">
        <w:rPr>
          <w:b/>
          <w:bCs/>
        </w:rPr>
        <w:instrText>,"</w:instrText>
      </w:r>
      <w:r w:rsidR="00021E2A">
        <w:rPr>
          <w:b/>
          <w:bCs/>
          <w:lang w:val="en-US"/>
        </w:rPr>
        <w:instrText>suffix</w:instrText>
      </w:r>
      <w:r w:rsidR="00021E2A" w:rsidRPr="00320416">
        <w:rPr>
          <w:b/>
          <w:bCs/>
        </w:rPr>
        <w:instrText>":""},{"</w:instrText>
      </w:r>
      <w:r w:rsidR="00021E2A">
        <w:rPr>
          <w:b/>
          <w:bCs/>
          <w:lang w:val="en-US"/>
        </w:rPr>
        <w:instrText>dropping</w:instrText>
      </w:r>
      <w:r w:rsidR="00021E2A" w:rsidRPr="00320416">
        <w:rPr>
          <w:b/>
          <w:bCs/>
        </w:rPr>
        <w:instrText>-</w:instrText>
      </w:r>
      <w:r w:rsidR="00021E2A">
        <w:rPr>
          <w:b/>
          <w:bCs/>
          <w:lang w:val="en-US"/>
        </w:rPr>
        <w:instrText>particle</w:instrText>
      </w:r>
      <w:r w:rsidR="00021E2A" w:rsidRPr="00320416">
        <w:rPr>
          <w:b/>
          <w:bCs/>
        </w:rPr>
        <w:instrText>":"","</w:instrText>
      </w:r>
      <w:r w:rsidR="00021E2A">
        <w:rPr>
          <w:b/>
          <w:bCs/>
          <w:lang w:val="en-US"/>
        </w:rPr>
        <w:instrText>family</w:instrText>
      </w:r>
      <w:r w:rsidR="00021E2A" w:rsidRPr="00320416">
        <w:rPr>
          <w:b/>
          <w:bCs/>
        </w:rPr>
        <w:instrText>":"</w:instrText>
      </w:r>
      <w:r w:rsidR="00021E2A">
        <w:rPr>
          <w:b/>
          <w:bCs/>
          <w:lang w:val="en-US"/>
        </w:rPr>
        <w:instrText>Illerhaus</w:instrText>
      </w:r>
      <w:r w:rsidR="00021E2A" w:rsidRPr="00320416">
        <w:rPr>
          <w:b/>
          <w:bCs/>
        </w:rPr>
        <w:instrText>","</w:instrText>
      </w:r>
      <w:r w:rsidR="00021E2A">
        <w:rPr>
          <w:b/>
          <w:bCs/>
          <w:lang w:val="en-US"/>
        </w:rPr>
        <w:instrText>given</w:instrText>
      </w:r>
      <w:r w:rsidR="00021E2A" w:rsidRPr="00320416">
        <w:rPr>
          <w:b/>
          <w:bCs/>
        </w:rPr>
        <w:instrText>":"</w:instrText>
      </w:r>
      <w:r w:rsidR="00021E2A">
        <w:rPr>
          <w:b/>
          <w:bCs/>
          <w:lang w:val="en-US"/>
        </w:rPr>
        <w:instrText>Gerald</w:instrText>
      </w:r>
      <w:r w:rsidR="00021E2A" w:rsidRPr="00320416">
        <w:rPr>
          <w:b/>
          <w:bCs/>
        </w:rPr>
        <w:instrText>","</w:instrText>
      </w:r>
      <w:r w:rsidR="00021E2A">
        <w:rPr>
          <w:b/>
          <w:bCs/>
          <w:lang w:val="en-US"/>
        </w:rPr>
        <w:instrText>non</w:instrText>
      </w:r>
      <w:r w:rsidR="00021E2A" w:rsidRPr="00320416">
        <w:rPr>
          <w:b/>
          <w:bCs/>
        </w:rPr>
        <w:instrText>-</w:instrText>
      </w:r>
      <w:r w:rsidR="00021E2A">
        <w:rPr>
          <w:b/>
          <w:bCs/>
          <w:lang w:val="en-US"/>
        </w:rPr>
        <w:instrText>dropping</w:instrText>
      </w:r>
      <w:r w:rsidR="00021E2A" w:rsidRPr="00320416">
        <w:rPr>
          <w:b/>
          <w:bCs/>
        </w:rPr>
        <w:instrText>-</w:instrText>
      </w:r>
      <w:r w:rsidR="00021E2A">
        <w:rPr>
          <w:b/>
          <w:bCs/>
          <w:lang w:val="en-US"/>
        </w:rPr>
        <w:instrText>particle</w:instrText>
      </w:r>
      <w:r w:rsidR="00021E2A" w:rsidRPr="00320416">
        <w:rPr>
          <w:b/>
          <w:bCs/>
        </w:rPr>
        <w:instrText>":"","</w:instrText>
      </w:r>
      <w:r w:rsidR="00021E2A">
        <w:rPr>
          <w:b/>
          <w:bCs/>
          <w:lang w:val="en-US"/>
        </w:rPr>
        <w:instrText>parse</w:instrText>
      </w:r>
      <w:r w:rsidR="00021E2A" w:rsidRPr="00320416">
        <w:rPr>
          <w:b/>
          <w:bCs/>
        </w:rPr>
        <w:instrText>-</w:instrText>
      </w:r>
      <w:r w:rsidR="00021E2A">
        <w:rPr>
          <w:b/>
          <w:bCs/>
          <w:lang w:val="en-US"/>
        </w:rPr>
        <w:instrText>names</w:instrText>
      </w:r>
      <w:r w:rsidR="00021E2A" w:rsidRPr="00320416">
        <w:rPr>
          <w:b/>
          <w:bCs/>
        </w:rPr>
        <w:instrText>":</w:instrText>
      </w:r>
      <w:r w:rsidR="00021E2A">
        <w:rPr>
          <w:b/>
          <w:bCs/>
          <w:lang w:val="en-US"/>
        </w:rPr>
        <w:instrText>false</w:instrText>
      </w:r>
      <w:r w:rsidR="00021E2A" w:rsidRPr="00320416">
        <w:rPr>
          <w:b/>
          <w:bCs/>
        </w:rPr>
        <w:instrText>,"</w:instrText>
      </w:r>
      <w:r w:rsidR="00021E2A">
        <w:rPr>
          <w:b/>
          <w:bCs/>
          <w:lang w:val="en-US"/>
        </w:rPr>
        <w:instrText>suffix</w:instrText>
      </w:r>
      <w:r w:rsidR="00021E2A" w:rsidRPr="00320416">
        <w:rPr>
          <w:b/>
          <w:bCs/>
        </w:rPr>
        <w:instrText>":""}],"</w:instrText>
      </w:r>
      <w:r w:rsidR="00021E2A">
        <w:rPr>
          <w:b/>
          <w:bCs/>
          <w:lang w:val="en-US"/>
        </w:rPr>
        <w:instrText>container</w:instrText>
      </w:r>
      <w:r w:rsidR="00021E2A" w:rsidRPr="00320416">
        <w:rPr>
          <w:b/>
          <w:bCs/>
        </w:rPr>
        <w:instrText>-</w:instrText>
      </w:r>
      <w:r w:rsidR="00021E2A">
        <w:rPr>
          <w:b/>
          <w:bCs/>
          <w:lang w:val="en-US"/>
        </w:rPr>
        <w:instrText>title</w:instrText>
      </w:r>
      <w:r w:rsidR="00021E2A" w:rsidRPr="00320416">
        <w:rPr>
          <w:b/>
          <w:bCs/>
        </w:rPr>
        <w:instrText>":"</w:instrText>
      </w:r>
      <w:r w:rsidR="00021E2A">
        <w:rPr>
          <w:b/>
          <w:bCs/>
          <w:lang w:val="en-US"/>
        </w:rPr>
        <w:instrText>The</w:instrText>
      </w:r>
      <w:r w:rsidR="00021E2A" w:rsidRPr="00320416">
        <w:rPr>
          <w:b/>
          <w:bCs/>
        </w:rPr>
        <w:instrText xml:space="preserve"> </w:instrText>
      </w:r>
      <w:r w:rsidR="00021E2A">
        <w:rPr>
          <w:b/>
          <w:bCs/>
          <w:lang w:val="en-US"/>
        </w:rPr>
        <w:instrText>Lancet</w:instrText>
      </w:r>
      <w:r w:rsidR="00021E2A" w:rsidRPr="00320416">
        <w:rPr>
          <w:b/>
          <w:bCs/>
        </w:rPr>
        <w:instrText xml:space="preserve"> </w:instrText>
      </w:r>
      <w:r w:rsidR="00021E2A">
        <w:rPr>
          <w:b/>
          <w:bCs/>
          <w:lang w:val="en-US"/>
        </w:rPr>
        <w:instrText>Haematology</w:instrText>
      </w:r>
      <w:r w:rsidR="00021E2A" w:rsidRPr="00320416">
        <w:rPr>
          <w:b/>
          <w:bCs/>
        </w:rPr>
        <w:instrText>","</w:instrText>
      </w:r>
      <w:r w:rsidR="00021E2A">
        <w:rPr>
          <w:b/>
          <w:bCs/>
          <w:lang w:val="en-US"/>
        </w:rPr>
        <w:instrText>id</w:instrText>
      </w:r>
      <w:r w:rsidR="00021E2A" w:rsidRPr="00320416">
        <w:rPr>
          <w:b/>
          <w:bCs/>
        </w:rPr>
        <w:instrText>":"</w:instrText>
      </w:r>
      <w:r w:rsidR="00021E2A">
        <w:rPr>
          <w:b/>
          <w:bCs/>
          <w:lang w:val="en-US"/>
        </w:rPr>
        <w:instrText>ITEM</w:instrText>
      </w:r>
      <w:r w:rsidR="00021E2A" w:rsidRPr="00320416">
        <w:rPr>
          <w:b/>
          <w:bCs/>
        </w:rPr>
        <w:instrText>-1","</w:instrText>
      </w:r>
      <w:r w:rsidR="00021E2A">
        <w:rPr>
          <w:b/>
          <w:bCs/>
          <w:lang w:val="en-US"/>
        </w:rPr>
        <w:instrText>issue</w:instrText>
      </w:r>
      <w:r w:rsidR="00021E2A" w:rsidRPr="00320416">
        <w:rPr>
          <w:b/>
          <w:bCs/>
        </w:rPr>
        <w:instrText>":"5","</w:instrText>
      </w:r>
      <w:r w:rsidR="00021E2A">
        <w:rPr>
          <w:b/>
          <w:bCs/>
          <w:lang w:val="en-US"/>
        </w:rPr>
        <w:instrText>issued</w:instrText>
      </w:r>
      <w:r w:rsidR="00021E2A" w:rsidRPr="00320416">
        <w:rPr>
          <w:b/>
          <w:bCs/>
        </w:rPr>
        <w:instrText>":{"</w:instrText>
      </w:r>
      <w:r w:rsidR="00021E2A">
        <w:rPr>
          <w:b/>
          <w:bCs/>
          <w:lang w:val="en-US"/>
        </w:rPr>
        <w:instrText>date</w:instrText>
      </w:r>
      <w:r w:rsidR="00021E2A" w:rsidRPr="00320416">
        <w:rPr>
          <w:b/>
          <w:bCs/>
        </w:rPr>
        <w:instrText>-</w:instrText>
      </w:r>
      <w:r w:rsidR="00021E2A">
        <w:rPr>
          <w:b/>
          <w:bCs/>
          <w:lang w:val="en-US"/>
        </w:rPr>
        <w:instrText>parts</w:instrText>
      </w:r>
      <w:r w:rsidR="00021E2A" w:rsidRPr="00320416">
        <w:rPr>
          <w:b/>
          <w:bCs/>
        </w:rPr>
        <w:instrText>":[["2016","5","1"]]},"</w:instrText>
      </w:r>
      <w:r w:rsidR="00021E2A">
        <w:rPr>
          <w:b/>
          <w:bCs/>
          <w:lang w:val="en-US"/>
        </w:rPr>
        <w:instrText>page</w:instrText>
      </w:r>
      <w:r w:rsidR="00021E2A" w:rsidRPr="00320416">
        <w:rPr>
          <w:b/>
          <w:bCs/>
        </w:rPr>
        <w:instrText>":"</w:instrText>
      </w:r>
      <w:r w:rsidR="00021E2A">
        <w:rPr>
          <w:b/>
          <w:bCs/>
          <w:lang w:val="en-US"/>
        </w:rPr>
        <w:instrText>e</w:instrText>
      </w:r>
      <w:r w:rsidR="00021E2A" w:rsidRPr="00320416">
        <w:rPr>
          <w:b/>
          <w:bCs/>
        </w:rPr>
        <w:instrText>217-</w:instrText>
      </w:r>
      <w:r w:rsidR="00021E2A">
        <w:rPr>
          <w:b/>
          <w:bCs/>
          <w:lang w:val="en-US"/>
        </w:rPr>
        <w:instrText>e</w:instrText>
      </w:r>
      <w:r w:rsidR="00021E2A" w:rsidRPr="00320416">
        <w:rPr>
          <w:b/>
          <w:bCs/>
        </w:rPr>
        <w:instrText>227","</w:instrText>
      </w:r>
      <w:r w:rsidR="00021E2A">
        <w:rPr>
          <w:b/>
          <w:bCs/>
          <w:lang w:val="en-US"/>
        </w:rPr>
        <w:instrText>publisher</w:instrText>
      </w:r>
      <w:r w:rsidR="00021E2A" w:rsidRPr="00320416">
        <w:rPr>
          <w:b/>
          <w:bCs/>
        </w:rPr>
        <w:instrText>":"</w:instrText>
      </w:r>
      <w:r w:rsidR="00021E2A">
        <w:rPr>
          <w:b/>
          <w:bCs/>
          <w:lang w:val="en-US"/>
        </w:rPr>
        <w:instrText>Elsevier</w:instrText>
      </w:r>
      <w:r w:rsidR="00021E2A" w:rsidRPr="00320416">
        <w:rPr>
          <w:b/>
          <w:bCs/>
        </w:rPr>
        <w:instrText xml:space="preserve"> </w:instrText>
      </w:r>
      <w:r w:rsidR="00021E2A">
        <w:rPr>
          <w:b/>
          <w:bCs/>
          <w:lang w:val="en-US"/>
        </w:rPr>
        <w:instrText>Ltd</w:instrText>
      </w:r>
      <w:r w:rsidR="00021E2A" w:rsidRPr="00320416">
        <w:rPr>
          <w:b/>
          <w:bCs/>
        </w:rPr>
        <w:instrText>","</w:instrText>
      </w:r>
      <w:r w:rsidR="00021E2A">
        <w:rPr>
          <w:b/>
          <w:bCs/>
          <w:lang w:val="en-US"/>
        </w:rPr>
        <w:instrText>title</w:instrText>
      </w:r>
      <w:r w:rsidR="00021E2A" w:rsidRPr="00320416">
        <w:rPr>
          <w:b/>
          <w:bCs/>
        </w:rPr>
        <w:instrText>":"</w:instrText>
      </w:r>
      <w:r w:rsidR="00021E2A">
        <w:rPr>
          <w:b/>
          <w:bCs/>
          <w:lang w:val="en-US"/>
        </w:rPr>
        <w:instrText>Chemoimmunotherapy</w:instrText>
      </w:r>
      <w:r w:rsidR="00021E2A" w:rsidRPr="00320416">
        <w:rPr>
          <w:b/>
          <w:bCs/>
        </w:rPr>
        <w:instrText xml:space="preserve"> </w:instrText>
      </w:r>
      <w:r w:rsidR="00021E2A">
        <w:rPr>
          <w:b/>
          <w:bCs/>
          <w:lang w:val="en-US"/>
        </w:rPr>
        <w:instrText>with</w:instrText>
      </w:r>
      <w:r w:rsidR="00021E2A" w:rsidRPr="00320416">
        <w:rPr>
          <w:b/>
          <w:bCs/>
        </w:rPr>
        <w:instrText xml:space="preserve"> </w:instrText>
      </w:r>
      <w:r w:rsidR="00021E2A">
        <w:rPr>
          <w:b/>
          <w:bCs/>
          <w:lang w:val="en-US"/>
        </w:rPr>
        <w:instrText>methotrexate</w:instrText>
      </w:r>
      <w:r w:rsidR="00021E2A" w:rsidRPr="00320416">
        <w:rPr>
          <w:b/>
          <w:bCs/>
        </w:rPr>
        <w:instrText xml:space="preserve">, </w:instrText>
      </w:r>
      <w:r w:rsidR="00021E2A">
        <w:rPr>
          <w:b/>
          <w:bCs/>
          <w:lang w:val="en-US"/>
        </w:rPr>
        <w:instrText>cytarabine</w:instrText>
      </w:r>
      <w:r w:rsidR="00021E2A" w:rsidRPr="00320416">
        <w:rPr>
          <w:b/>
          <w:bCs/>
        </w:rPr>
        <w:instrText xml:space="preserve">, </w:instrText>
      </w:r>
      <w:r w:rsidR="00021E2A">
        <w:rPr>
          <w:b/>
          <w:bCs/>
          <w:lang w:val="en-US"/>
        </w:rPr>
        <w:instrText>thiotepa</w:instrText>
      </w:r>
      <w:r w:rsidR="00021E2A" w:rsidRPr="00320416">
        <w:rPr>
          <w:b/>
          <w:bCs/>
        </w:rPr>
        <w:instrText xml:space="preserve">, </w:instrText>
      </w:r>
      <w:r w:rsidR="00021E2A">
        <w:rPr>
          <w:b/>
          <w:bCs/>
          <w:lang w:val="en-US"/>
        </w:rPr>
        <w:instrText>and</w:instrText>
      </w:r>
      <w:r w:rsidR="00021E2A" w:rsidRPr="00320416">
        <w:rPr>
          <w:b/>
          <w:bCs/>
        </w:rPr>
        <w:instrText xml:space="preserve"> </w:instrText>
      </w:r>
      <w:r w:rsidR="00021E2A">
        <w:rPr>
          <w:b/>
          <w:bCs/>
          <w:lang w:val="en-US"/>
        </w:rPr>
        <w:instrText>rituximab</w:instrText>
      </w:r>
      <w:r w:rsidR="00021E2A" w:rsidRPr="00320416">
        <w:rPr>
          <w:b/>
          <w:bCs/>
        </w:rPr>
        <w:instrText xml:space="preserve"> (</w:instrText>
      </w:r>
      <w:r w:rsidR="00021E2A">
        <w:rPr>
          <w:b/>
          <w:bCs/>
          <w:lang w:val="en-US"/>
        </w:rPr>
        <w:instrText>MATRix</w:instrText>
      </w:r>
      <w:r w:rsidR="00021E2A" w:rsidRPr="00320416">
        <w:rPr>
          <w:b/>
          <w:bCs/>
        </w:rPr>
        <w:instrText xml:space="preserve"> </w:instrText>
      </w:r>
      <w:r w:rsidR="00021E2A">
        <w:rPr>
          <w:b/>
          <w:bCs/>
          <w:lang w:val="en-US"/>
        </w:rPr>
        <w:instrText>regimen</w:instrText>
      </w:r>
      <w:r w:rsidR="00021E2A" w:rsidRPr="00320416">
        <w:rPr>
          <w:b/>
          <w:bCs/>
        </w:rPr>
        <w:instrText xml:space="preserve">) </w:instrText>
      </w:r>
      <w:r w:rsidR="00021E2A">
        <w:rPr>
          <w:b/>
          <w:bCs/>
          <w:lang w:val="en-US"/>
        </w:rPr>
        <w:instrText>in</w:instrText>
      </w:r>
      <w:r w:rsidR="00021E2A" w:rsidRPr="00320416">
        <w:rPr>
          <w:b/>
          <w:bCs/>
        </w:rPr>
        <w:instrText xml:space="preserve"> </w:instrText>
      </w:r>
      <w:r w:rsidR="00021E2A">
        <w:rPr>
          <w:b/>
          <w:bCs/>
          <w:lang w:val="en-US"/>
        </w:rPr>
        <w:instrText>patients</w:instrText>
      </w:r>
      <w:r w:rsidR="00021E2A" w:rsidRPr="00320416">
        <w:rPr>
          <w:b/>
          <w:bCs/>
        </w:rPr>
        <w:instrText xml:space="preserve"> </w:instrText>
      </w:r>
      <w:r w:rsidR="00021E2A">
        <w:rPr>
          <w:b/>
          <w:bCs/>
          <w:lang w:val="en-US"/>
        </w:rPr>
        <w:instrText>with</w:instrText>
      </w:r>
      <w:r w:rsidR="00021E2A" w:rsidRPr="00320416">
        <w:rPr>
          <w:b/>
          <w:bCs/>
        </w:rPr>
        <w:instrText xml:space="preserve"> </w:instrText>
      </w:r>
      <w:r w:rsidR="00021E2A">
        <w:rPr>
          <w:b/>
          <w:bCs/>
          <w:lang w:val="en-US"/>
        </w:rPr>
        <w:instrText>primary</w:instrText>
      </w:r>
      <w:r w:rsidR="00021E2A" w:rsidRPr="00320416">
        <w:rPr>
          <w:b/>
          <w:bCs/>
        </w:rPr>
        <w:instrText xml:space="preserve"> </w:instrText>
      </w:r>
      <w:r w:rsidR="00021E2A">
        <w:rPr>
          <w:b/>
          <w:bCs/>
          <w:lang w:val="en-US"/>
        </w:rPr>
        <w:instrText>CNS</w:instrText>
      </w:r>
      <w:r w:rsidR="00021E2A" w:rsidRPr="00320416">
        <w:rPr>
          <w:b/>
          <w:bCs/>
        </w:rPr>
        <w:instrText xml:space="preserve"> </w:instrText>
      </w:r>
      <w:r w:rsidR="00021E2A">
        <w:rPr>
          <w:b/>
          <w:bCs/>
          <w:lang w:val="en-US"/>
        </w:rPr>
        <w:instrText>lymphoma</w:instrText>
      </w:r>
      <w:r w:rsidR="00021E2A" w:rsidRPr="00320416">
        <w:rPr>
          <w:b/>
          <w:bCs/>
        </w:rPr>
        <w:instrText xml:space="preserve">: </w:instrText>
      </w:r>
      <w:r w:rsidR="00021E2A">
        <w:rPr>
          <w:b/>
          <w:bCs/>
          <w:lang w:val="en-US"/>
        </w:rPr>
        <w:instrText>Results</w:instrText>
      </w:r>
      <w:r w:rsidR="00021E2A" w:rsidRPr="00320416">
        <w:rPr>
          <w:b/>
          <w:bCs/>
        </w:rPr>
        <w:instrText xml:space="preserve"> </w:instrText>
      </w:r>
      <w:r w:rsidR="00021E2A">
        <w:rPr>
          <w:b/>
          <w:bCs/>
          <w:lang w:val="en-US"/>
        </w:rPr>
        <w:instrText>of</w:instrText>
      </w:r>
      <w:r w:rsidR="00021E2A" w:rsidRPr="00320416">
        <w:rPr>
          <w:b/>
          <w:bCs/>
        </w:rPr>
        <w:instrText xml:space="preserve"> </w:instrText>
      </w:r>
      <w:r w:rsidR="00021E2A">
        <w:rPr>
          <w:b/>
          <w:bCs/>
          <w:lang w:val="en-US"/>
        </w:rPr>
        <w:instrText>the</w:instrText>
      </w:r>
      <w:r w:rsidR="00021E2A" w:rsidRPr="00320416">
        <w:rPr>
          <w:b/>
          <w:bCs/>
        </w:rPr>
        <w:instrText xml:space="preserve"> </w:instrText>
      </w:r>
      <w:r w:rsidR="00021E2A">
        <w:rPr>
          <w:b/>
          <w:bCs/>
          <w:lang w:val="en-US"/>
        </w:rPr>
        <w:instrText>first</w:instrText>
      </w:r>
      <w:r w:rsidR="00021E2A" w:rsidRPr="00320416">
        <w:rPr>
          <w:b/>
          <w:bCs/>
        </w:rPr>
        <w:instrText xml:space="preserve"> </w:instrText>
      </w:r>
      <w:r w:rsidR="00021E2A">
        <w:rPr>
          <w:b/>
          <w:bCs/>
          <w:lang w:val="en-US"/>
        </w:rPr>
        <w:instrText>randomisation</w:instrText>
      </w:r>
      <w:r w:rsidR="00021E2A" w:rsidRPr="00320416">
        <w:rPr>
          <w:b/>
          <w:bCs/>
        </w:rPr>
        <w:instrText xml:space="preserve"> </w:instrText>
      </w:r>
      <w:r w:rsidR="00021E2A">
        <w:rPr>
          <w:b/>
          <w:bCs/>
          <w:lang w:val="en-US"/>
        </w:rPr>
        <w:instrText>of</w:instrText>
      </w:r>
      <w:r w:rsidR="00021E2A" w:rsidRPr="00320416">
        <w:rPr>
          <w:b/>
          <w:bCs/>
        </w:rPr>
        <w:instrText xml:space="preserve"> </w:instrText>
      </w:r>
      <w:r w:rsidR="00021E2A">
        <w:rPr>
          <w:b/>
          <w:bCs/>
          <w:lang w:val="en-US"/>
        </w:rPr>
        <w:instrText>the</w:instrText>
      </w:r>
      <w:r w:rsidR="00021E2A" w:rsidRPr="00320416">
        <w:rPr>
          <w:b/>
          <w:bCs/>
        </w:rPr>
        <w:instrText xml:space="preserve"> </w:instrText>
      </w:r>
      <w:r w:rsidR="00021E2A">
        <w:rPr>
          <w:b/>
          <w:bCs/>
          <w:lang w:val="en-US"/>
        </w:rPr>
        <w:instrText>International</w:instrText>
      </w:r>
      <w:r w:rsidR="00021E2A" w:rsidRPr="00320416">
        <w:rPr>
          <w:b/>
          <w:bCs/>
        </w:rPr>
        <w:instrText xml:space="preserve"> </w:instrText>
      </w:r>
      <w:r w:rsidR="00021E2A">
        <w:rPr>
          <w:b/>
          <w:bCs/>
          <w:lang w:val="en-US"/>
        </w:rPr>
        <w:instrText>Extranodal</w:instrText>
      </w:r>
      <w:r w:rsidR="00021E2A" w:rsidRPr="00320416">
        <w:rPr>
          <w:b/>
          <w:bCs/>
        </w:rPr>
        <w:instrText xml:space="preserve"> </w:instrText>
      </w:r>
      <w:r w:rsidR="00021E2A">
        <w:rPr>
          <w:b/>
          <w:bCs/>
          <w:lang w:val="en-US"/>
        </w:rPr>
        <w:instrText>Lymphoma</w:instrText>
      </w:r>
      <w:r w:rsidR="00021E2A" w:rsidRPr="00320416">
        <w:rPr>
          <w:b/>
          <w:bCs/>
        </w:rPr>
        <w:instrText xml:space="preserve"> </w:instrText>
      </w:r>
      <w:r w:rsidR="00021E2A">
        <w:rPr>
          <w:b/>
          <w:bCs/>
          <w:lang w:val="en-US"/>
        </w:rPr>
        <w:instrText>Study</w:instrText>
      </w:r>
      <w:r w:rsidR="00021E2A" w:rsidRPr="00320416">
        <w:rPr>
          <w:b/>
          <w:bCs/>
        </w:rPr>
        <w:instrText xml:space="preserve"> </w:instrText>
      </w:r>
      <w:r w:rsidR="00021E2A">
        <w:rPr>
          <w:b/>
          <w:bCs/>
          <w:lang w:val="en-US"/>
        </w:rPr>
        <w:instrText>Group</w:instrText>
      </w:r>
      <w:r w:rsidR="00021E2A" w:rsidRPr="00320416">
        <w:rPr>
          <w:b/>
          <w:bCs/>
        </w:rPr>
        <w:instrText>-32 (</w:instrText>
      </w:r>
      <w:r w:rsidR="00021E2A">
        <w:rPr>
          <w:b/>
          <w:bCs/>
          <w:lang w:val="en-US"/>
        </w:rPr>
        <w:instrText>IELSG</w:instrText>
      </w:r>
      <w:r w:rsidR="00021E2A" w:rsidRPr="00320416">
        <w:rPr>
          <w:b/>
          <w:bCs/>
        </w:rPr>
        <w:instrText xml:space="preserve">32) </w:instrText>
      </w:r>
      <w:r w:rsidR="00021E2A">
        <w:rPr>
          <w:b/>
          <w:bCs/>
          <w:lang w:val="en-US"/>
        </w:rPr>
        <w:instrText>phase</w:instrText>
      </w:r>
      <w:r w:rsidR="00021E2A" w:rsidRPr="00320416">
        <w:rPr>
          <w:b/>
          <w:bCs/>
        </w:rPr>
        <w:instrText xml:space="preserve"> 2 </w:instrText>
      </w:r>
      <w:r w:rsidR="00021E2A">
        <w:rPr>
          <w:b/>
          <w:bCs/>
          <w:lang w:val="en-US"/>
        </w:rPr>
        <w:instrText>trial</w:instrText>
      </w:r>
      <w:r w:rsidR="00021E2A" w:rsidRPr="00320416">
        <w:rPr>
          <w:b/>
          <w:bCs/>
        </w:rPr>
        <w:instrText>","</w:instrText>
      </w:r>
      <w:r w:rsidR="00021E2A">
        <w:rPr>
          <w:b/>
          <w:bCs/>
          <w:lang w:val="en-US"/>
        </w:rPr>
        <w:instrText>type</w:instrText>
      </w:r>
      <w:r w:rsidR="00021E2A" w:rsidRPr="00320416">
        <w:rPr>
          <w:b/>
          <w:bCs/>
        </w:rPr>
        <w:instrText>":"</w:instrText>
      </w:r>
      <w:r w:rsidR="00021E2A">
        <w:rPr>
          <w:b/>
          <w:bCs/>
          <w:lang w:val="en-US"/>
        </w:rPr>
        <w:instrText>article</w:instrText>
      </w:r>
      <w:r w:rsidR="00021E2A" w:rsidRPr="00320416">
        <w:rPr>
          <w:b/>
          <w:bCs/>
        </w:rPr>
        <w:instrText>-</w:instrText>
      </w:r>
      <w:r w:rsidR="00021E2A">
        <w:rPr>
          <w:b/>
          <w:bCs/>
          <w:lang w:val="en-US"/>
        </w:rPr>
        <w:instrText>journal</w:instrText>
      </w:r>
      <w:r w:rsidR="00021E2A" w:rsidRPr="00320416">
        <w:rPr>
          <w:b/>
          <w:bCs/>
        </w:rPr>
        <w:instrText>","</w:instrText>
      </w:r>
      <w:r w:rsidR="00021E2A">
        <w:rPr>
          <w:b/>
          <w:bCs/>
          <w:lang w:val="en-US"/>
        </w:rPr>
        <w:instrText>volume</w:instrText>
      </w:r>
      <w:r w:rsidR="00021E2A" w:rsidRPr="00320416">
        <w:rPr>
          <w:b/>
          <w:bCs/>
        </w:rPr>
        <w:instrText>":"3"},"</w:instrText>
      </w:r>
      <w:r w:rsidR="00021E2A">
        <w:rPr>
          <w:b/>
          <w:bCs/>
          <w:lang w:val="en-US"/>
        </w:rPr>
        <w:instrText>uris</w:instrText>
      </w:r>
      <w:r w:rsidR="00021E2A" w:rsidRPr="00320416">
        <w:rPr>
          <w:b/>
          <w:bCs/>
        </w:rPr>
        <w:instrText>":["</w:instrText>
      </w:r>
      <w:r w:rsidR="00021E2A">
        <w:rPr>
          <w:b/>
          <w:bCs/>
          <w:lang w:val="en-US"/>
        </w:rPr>
        <w:instrText>http</w:instrText>
      </w:r>
      <w:r w:rsidR="00021E2A" w:rsidRPr="00320416">
        <w:rPr>
          <w:b/>
          <w:bCs/>
        </w:rPr>
        <w:instrText>://</w:instrText>
      </w:r>
      <w:r w:rsidR="00021E2A">
        <w:rPr>
          <w:b/>
          <w:bCs/>
          <w:lang w:val="en-US"/>
        </w:rPr>
        <w:instrText>www</w:instrText>
      </w:r>
      <w:r w:rsidR="00021E2A" w:rsidRPr="00320416">
        <w:rPr>
          <w:b/>
          <w:bCs/>
        </w:rPr>
        <w:instrText>.</w:instrText>
      </w:r>
      <w:r w:rsidR="00021E2A">
        <w:rPr>
          <w:b/>
          <w:bCs/>
          <w:lang w:val="en-US"/>
        </w:rPr>
        <w:instrText>mendeley</w:instrText>
      </w:r>
      <w:r w:rsidR="00021E2A" w:rsidRPr="00320416">
        <w:rPr>
          <w:b/>
          <w:bCs/>
        </w:rPr>
        <w:instrText>.</w:instrText>
      </w:r>
      <w:r w:rsidR="00021E2A">
        <w:rPr>
          <w:b/>
          <w:bCs/>
          <w:lang w:val="en-US"/>
        </w:rPr>
        <w:instrText>com</w:instrText>
      </w:r>
      <w:r w:rsidR="00021E2A" w:rsidRPr="00320416">
        <w:rPr>
          <w:b/>
          <w:bCs/>
        </w:rPr>
        <w:instrText>/</w:instrText>
      </w:r>
      <w:r w:rsidR="00021E2A">
        <w:rPr>
          <w:b/>
          <w:bCs/>
          <w:lang w:val="en-US"/>
        </w:rPr>
        <w:instrText>documents</w:instrText>
      </w:r>
      <w:r w:rsidR="00021E2A" w:rsidRPr="00320416">
        <w:rPr>
          <w:b/>
          <w:bCs/>
        </w:rPr>
        <w:instrText>/?</w:instrText>
      </w:r>
      <w:r w:rsidR="00021E2A">
        <w:rPr>
          <w:b/>
          <w:bCs/>
          <w:lang w:val="en-US"/>
        </w:rPr>
        <w:instrText>uuid</w:instrText>
      </w:r>
      <w:r w:rsidR="00021E2A" w:rsidRPr="00320416">
        <w:rPr>
          <w:b/>
          <w:bCs/>
        </w:rPr>
        <w:instrText>=</w:instrText>
      </w:r>
      <w:r w:rsidR="00021E2A">
        <w:rPr>
          <w:b/>
          <w:bCs/>
          <w:lang w:val="en-US"/>
        </w:rPr>
        <w:instrText>dba</w:instrText>
      </w:r>
      <w:r w:rsidR="00021E2A" w:rsidRPr="00320416">
        <w:rPr>
          <w:b/>
          <w:bCs/>
        </w:rPr>
        <w:instrText>9195</w:instrText>
      </w:r>
      <w:r w:rsidR="00021E2A">
        <w:rPr>
          <w:b/>
          <w:bCs/>
          <w:lang w:val="en-US"/>
        </w:rPr>
        <w:instrText>b</w:instrText>
      </w:r>
      <w:r w:rsidR="00021E2A" w:rsidRPr="00320416">
        <w:rPr>
          <w:b/>
          <w:bCs/>
        </w:rPr>
        <w:instrText>-19</w:instrText>
      </w:r>
      <w:r w:rsidR="00021E2A">
        <w:rPr>
          <w:b/>
          <w:bCs/>
          <w:lang w:val="en-US"/>
        </w:rPr>
        <w:instrText>f</w:instrText>
      </w:r>
      <w:r w:rsidR="00021E2A" w:rsidRPr="00320416">
        <w:rPr>
          <w:b/>
          <w:bCs/>
        </w:rPr>
        <w:instrText>7-3</w:instrText>
      </w:r>
      <w:r w:rsidR="00021E2A">
        <w:rPr>
          <w:b/>
          <w:bCs/>
          <w:lang w:val="en-US"/>
        </w:rPr>
        <w:instrText>b</w:instrText>
      </w:r>
      <w:r w:rsidR="00021E2A" w:rsidRPr="00320416">
        <w:rPr>
          <w:b/>
          <w:bCs/>
        </w:rPr>
        <w:instrText>8</w:instrText>
      </w:r>
      <w:r w:rsidR="00021E2A">
        <w:rPr>
          <w:b/>
          <w:bCs/>
          <w:lang w:val="en-US"/>
        </w:rPr>
        <w:instrText>c</w:instrText>
      </w:r>
      <w:r w:rsidR="00021E2A" w:rsidRPr="00320416">
        <w:rPr>
          <w:b/>
          <w:bCs/>
        </w:rPr>
        <w:instrText>-</w:instrText>
      </w:r>
      <w:r w:rsidR="00021E2A">
        <w:rPr>
          <w:b/>
          <w:bCs/>
          <w:lang w:val="en-US"/>
        </w:rPr>
        <w:instrText>bc</w:instrText>
      </w:r>
      <w:r w:rsidR="00021E2A" w:rsidRPr="00320416">
        <w:rPr>
          <w:b/>
          <w:bCs/>
        </w:rPr>
        <w:instrText>61-</w:instrText>
      </w:r>
      <w:r w:rsidR="00021E2A">
        <w:rPr>
          <w:b/>
          <w:bCs/>
          <w:lang w:val="en-US"/>
        </w:rPr>
        <w:instrText>a</w:instrText>
      </w:r>
      <w:r w:rsidR="00021E2A" w:rsidRPr="00320416">
        <w:rPr>
          <w:b/>
          <w:bCs/>
        </w:rPr>
        <w:instrText>75828657</w:instrText>
      </w:r>
      <w:r w:rsidR="00021E2A">
        <w:rPr>
          <w:b/>
          <w:bCs/>
          <w:lang w:val="en-US"/>
        </w:rPr>
        <w:instrText>f</w:instrText>
      </w:r>
      <w:r w:rsidR="00021E2A" w:rsidRPr="00320416">
        <w:rPr>
          <w:b/>
          <w:bCs/>
        </w:rPr>
        <w:instrText>4</w:instrText>
      </w:r>
      <w:r w:rsidR="00021E2A">
        <w:rPr>
          <w:b/>
          <w:bCs/>
          <w:lang w:val="en-US"/>
        </w:rPr>
        <w:instrText>a</w:instrText>
      </w:r>
      <w:r w:rsidR="00021E2A" w:rsidRPr="00320416">
        <w:rPr>
          <w:b/>
          <w:bCs/>
        </w:rPr>
        <w:instrText>"]}],"</w:instrText>
      </w:r>
      <w:r w:rsidR="00021E2A">
        <w:rPr>
          <w:b/>
          <w:bCs/>
          <w:lang w:val="en-US"/>
        </w:rPr>
        <w:instrText>mendeley</w:instrText>
      </w:r>
      <w:r w:rsidR="00021E2A" w:rsidRPr="00320416">
        <w:rPr>
          <w:b/>
          <w:bCs/>
        </w:rPr>
        <w:instrText>":{"</w:instrText>
      </w:r>
      <w:r w:rsidR="00021E2A">
        <w:rPr>
          <w:b/>
          <w:bCs/>
          <w:lang w:val="en-US"/>
        </w:rPr>
        <w:instrText>formattedCitation</w:instrText>
      </w:r>
      <w:r w:rsidR="00021E2A" w:rsidRPr="00320416">
        <w:rPr>
          <w:b/>
          <w:bCs/>
        </w:rPr>
        <w:instrText>":"[104]","</w:instrText>
      </w:r>
      <w:r w:rsidR="00021E2A">
        <w:rPr>
          <w:b/>
          <w:bCs/>
          <w:lang w:val="en-US"/>
        </w:rPr>
        <w:instrText>plainTextFormattedCitation</w:instrText>
      </w:r>
      <w:r w:rsidR="00021E2A" w:rsidRPr="00320416">
        <w:rPr>
          <w:b/>
          <w:bCs/>
        </w:rPr>
        <w:instrText>":"[104]","</w:instrText>
      </w:r>
      <w:r w:rsidR="00021E2A">
        <w:rPr>
          <w:b/>
          <w:bCs/>
          <w:lang w:val="en-US"/>
        </w:rPr>
        <w:instrText>previouslyFormattedCitation</w:instrText>
      </w:r>
      <w:r w:rsidR="00021E2A" w:rsidRPr="00320416">
        <w:rPr>
          <w:b/>
          <w:bCs/>
        </w:rPr>
        <w:instrText>":"[104]"},"</w:instrText>
      </w:r>
      <w:r w:rsidR="00021E2A">
        <w:rPr>
          <w:b/>
          <w:bCs/>
          <w:lang w:val="en-US"/>
        </w:rPr>
        <w:instrText>properties</w:instrText>
      </w:r>
      <w:r w:rsidR="00021E2A" w:rsidRPr="00320416">
        <w:rPr>
          <w:b/>
          <w:bCs/>
        </w:rPr>
        <w:instrText>":{"</w:instrText>
      </w:r>
      <w:r w:rsidR="00021E2A">
        <w:rPr>
          <w:b/>
          <w:bCs/>
          <w:lang w:val="en-US"/>
        </w:rPr>
        <w:instrText>noteIndex</w:instrText>
      </w:r>
      <w:r w:rsidR="00021E2A" w:rsidRPr="00320416">
        <w:rPr>
          <w:b/>
          <w:bCs/>
        </w:rPr>
        <w:instrText>":0},"</w:instrText>
      </w:r>
      <w:r w:rsidR="00021E2A">
        <w:rPr>
          <w:b/>
          <w:bCs/>
          <w:lang w:val="en-US"/>
        </w:rPr>
        <w:instrText>schema</w:instrText>
      </w:r>
      <w:r w:rsidR="00021E2A" w:rsidRPr="00320416">
        <w:rPr>
          <w:b/>
          <w:bCs/>
        </w:rPr>
        <w:instrText>":"</w:instrText>
      </w:r>
      <w:r w:rsidR="00021E2A">
        <w:rPr>
          <w:b/>
          <w:bCs/>
          <w:lang w:val="en-US"/>
        </w:rPr>
        <w:instrText>https</w:instrText>
      </w:r>
      <w:r w:rsidR="00021E2A" w:rsidRPr="00320416">
        <w:rPr>
          <w:b/>
          <w:bCs/>
        </w:rPr>
        <w:instrText>://</w:instrText>
      </w:r>
      <w:r w:rsidR="00021E2A">
        <w:rPr>
          <w:b/>
          <w:bCs/>
          <w:lang w:val="en-US"/>
        </w:rPr>
        <w:instrText>github</w:instrText>
      </w:r>
      <w:r w:rsidR="00021E2A" w:rsidRPr="00320416">
        <w:rPr>
          <w:b/>
          <w:bCs/>
        </w:rPr>
        <w:instrText>.</w:instrText>
      </w:r>
      <w:r w:rsidR="00021E2A">
        <w:rPr>
          <w:b/>
          <w:bCs/>
          <w:lang w:val="en-US"/>
        </w:rPr>
        <w:instrText>com</w:instrText>
      </w:r>
      <w:r w:rsidR="00021E2A" w:rsidRPr="00320416">
        <w:rPr>
          <w:b/>
          <w:bCs/>
        </w:rPr>
        <w:instrText>/</w:instrText>
      </w:r>
      <w:r w:rsidR="00021E2A">
        <w:rPr>
          <w:b/>
          <w:bCs/>
          <w:lang w:val="en-US"/>
        </w:rPr>
        <w:instrText>citation</w:instrText>
      </w:r>
      <w:r w:rsidR="00021E2A" w:rsidRPr="00320416">
        <w:rPr>
          <w:b/>
          <w:bCs/>
        </w:rPr>
        <w:instrText>-</w:instrText>
      </w:r>
      <w:r w:rsidR="00021E2A">
        <w:rPr>
          <w:b/>
          <w:bCs/>
          <w:lang w:val="en-US"/>
        </w:rPr>
        <w:instrText>style</w:instrText>
      </w:r>
      <w:r w:rsidR="00021E2A" w:rsidRPr="00320416">
        <w:rPr>
          <w:b/>
          <w:bCs/>
        </w:rPr>
        <w:instrText>-</w:instrText>
      </w:r>
      <w:r w:rsidR="00021E2A">
        <w:rPr>
          <w:b/>
          <w:bCs/>
          <w:lang w:val="en-US"/>
        </w:rPr>
        <w:instrText>language</w:instrText>
      </w:r>
      <w:r w:rsidR="00021E2A" w:rsidRPr="00320416">
        <w:rPr>
          <w:b/>
          <w:bCs/>
        </w:rPr>
        <w:instrText>/</w:instrText>
      </w:r>
      <w:r w:rsidR="00021E2A">
        <w:rPr>
          <w:b/>
          <w:bCs/>
          <w:lang w:val="en-US"/>
        </w:rPr>
        <w:instrText>schema</w:instrText>
      </w:r>
      <w:r w:rsidR="00021E2A" w:rsidRPr="00320416">
        <w:rPr>
          <w:b/>
          <w:bCs/>
        </w:rPr>
        <w:instrText>/</w:instrText>
      </w:r>
      <w:r w:rsidR="00021E2A">
        <w:rPr>
          <w:b/>
          <w:bCs/>
          <w:lang w:val="en-US"/>
        </w:rPr>
        <w:instrText>raw</w:instrText>
      </w:r>
      <w:r w:rsidR="00021E2A" w:rsidRPr="00320416">
        <w:rPr>
          <w:b/>
          <w:bCs/>
        </w:rPr>
        <w:instrText>/</w:instrText>
      </w:r>
      <w:r w:rsidR="00021E2A">
        <w:rPr>
          <w:b/>
          <w:bCs/>
          <w:lang w:val="en-US"/>
        </w:rPr>
        <w:instrText>master</w:instrText>
      </w:r>
      <w:r w:rsidR="00021E2A" w:rsidRPr="00320416">
        <w:rPr>
          <w:b/>
          <w:bCs/>
        </w:rPr>
        <w:instrText>/</w:instrText>
      </w:r>
      <w:r w:rsidR="00021E2A">
        <w:rPr>
          <w:b/>
          <w:bCs/>
          <w:lang w:val="en-US"/>
        </w:rPr>
        <w:instrText>csl</w:instrText>
      </w:r>
      <w:r w:rsidR="00021E2A" w:rsidRPr="00320416">
        <w:rPr>
          <w:b/>
          <w:bCs/>
        </w:rPr>
        <w:instrText>-</w:instrText>
      </w:r>
      <w:r w:rsidR="00021E2A">
        <w:rPr>
          <w:b/>
          <w:bCs/>
          <w:lang w:val="en-US"/>
        </w:rPr>
        <w:instrText>citation</w:instrText>
      </w:r>
      <w:r w:rsidR="00021E2A" w:rsidRPr="00320416">
        <w:rPr>
          <w:b/>
          <w:bCs/>
        </w:rPr>
        <w:instrText>.</w:instrText>
      </w:r>
      <w:r w:rsidR="00021E2A">
        <w:rPr>
          <w:b/>
          <w:bCs/>
          <w:lang w:val="en-US"/>
        </w:rPr>
        <w:instrText>json</w:instrText>
      </w:r>
      <w:r w:rsidR="00021E2A" w:rsidRPr="00320416">
        <w:rPr>
          <w:b/>
          <w:bCs/>
        </w:rPr>
        <w:instrText>"}</w:instrText>
      </w:r>
      <w:r w:rsidRPr="000322E4">
        <w:rPr>
          <w:b/>
          <w:bCs/>
          <w:lang w:val="en-US"/>
        </w:rPr>
        <w:fldChar w:fldCharType="separate"/>
      </w:r>
      <w:r w:rsidR="009D170B" w:rsidRPr="009D170B">
        <w:rPr>
          <w:bCs/>
          <w:noProof/>
        </w:rPr>
        <w:t>[104]</w:t>
      </w:r>
      <w:r w:rsidRPr="000322E4">
        <w:rPr>
          <w:b/>
          <w:bCs/>
          <w:lang w:val="en-US"/>
        </w:rPr>
        <w:fldChar w:fldCharType="end"/>
      </w:r>
    </w:p>
    <w:p w14:paraId="2102C1CD" w14:textId="77777777" w:rsidR="00666D68" w:rsidRPr="000322E4" w:rsidRDefault="00666D68" w:rsidP="008E3584">
      <w:pPr>
        <w:numPr>
          <w:ilvl w:val="0"/>
          <w:numId w:val="52"/>
        </w:numPr>
        <w:spacing w:line="360" w:lineRule="auto"/>
        <w:jc w:val="both"/>
      </w:pPr>
      <w:r w:rsidRPr="000322E4">
        <w:t>Ритуксимаб</w:t>
      </w:r>
      <w:r w:rsidRPr="000322E4">
        <w:rPr>
          <w:bCs/>
        </w:rPr>
        <w:t>**</w:t>
      </w:r>
      <w:r w:rsidRPr="000322E4">
        <w:t xml:space="preserve"> 375 мг/м</w:t>
      </w:r>
      <w:r w:rsidRPr="000322E4">
        <w:rPr>
          <w:vertAlign w:val="superscript"/>
        </w:rPr>
        <w:t>2</w:t>
      </w:r>
      <w:r w:rsidRPr="000322E4">
        <w:t xml:space="preserve"> в/в кап., день -5 и 0</w:t>
      </w:r>
    </w:p>
    <w:p w14:paraId="01D19863" w14:textId="77777777" w:rsidR="00666D68" w:rsidRPr="000322E4" w:rsidRDefault="00666D68" w:rsidP="008E3584">
      <w:pPr>
        <w:numPr>
          <w:ilvl w:val="0"/>
          <w:numId w:val="52"/>
        </w:numPr>
        <w:spacing w:line="360" w:lineRule="auto"/>
        <w:jc w:val="both"/>
      </w:pPr>
      <w:r w:rsidRPr="000322E4">
        <w:t>Метотрексат</w:t>
      </w:r>
      <w:r w:rsidRPr="000322E4">
        <w:rPr>
          <w:bCs/>
        </w:rPr>
        <w:t>**</w:t>
      </w:r>
      <w:r w:rsidRPr="000322E4">
        <w:t xml:space="preserve"> 3500 мг/м</w:t>
      </w:r>
      <w:r w:rsidRPr="000322E4">
        <w:rPr>
          <w:vertAlign w:val="superscript"/>
        </w:rPr>
        <w:t>2</w:t>
      </w:r>
      <w:r w:rsidRPr="000322E4">
        <w:t xml:space="preserve"> в/в кап., день 1</w:t>
      </w:r>
    </w:p>
    <w:p w14:paraId="60CFC94E" w14:textId="77777777" w:rsidR="00666D68" w:rsidRPr="000322E4" w:rsidRDefault="00666D68" w:rsidP="008E3584">
      <w:pPr>
        <w:numPr>
          <w:ilvl w:val="0"/>
          <w:numId w:val="52"/>
        </w:numPr>
        <w:spacing w:line="360" w:lineRule="auto"/>
        <w:jc w:val="both"/>
      </w:pPr>
      <w:r w:rsidRPr="000322E4">
        <w:t>Цитарабин</w:t>
      </w:r>
      <w:r w:rsidRPr="000322E4">
        <w:rPr>
          <w:bCs/>
        </w:rPr>
        <w:t>**</w:t>
      </w:r>
      <w:r w:rsidRPr="000322E4">
        <w:t xml:space="preserve"> 2000 мг/м</w:t>
      </w:r>
      <w:r w:rsidRPr="000322E4">
        <w:rPr>
          <w:vertAlign w:val="superscript"/>
        </w:rPr>
        <w:t>2</w:t>
      </w:r>
      <w:r w:rsidRPr="000322E4">
        <w:t xml:space="preserve"> в/в кап. 2 раза в день, дни 2-3</w:t>
      </w:r>
    </w:p>
    <w:p w14:paraId="1E6AB026" w14:textId="77777777" w:rsidR="00666D68" w:rsidRPr="000322E4" w:rsidRDefault="00666D68" w:rsidP="008E3584">
      <w:pPr>
        <w:numPr>
          <w:ilvl w:val="0"/>
          <w:numId w:val="52"/>
        </w:numPr>
        <w:spacing w:line="360" w:lineRule="auto"/>
        <w:jc w:val="both"/>
      </w:pPr>
      <w:r w:rsidRPr="000322E4">
        <w:t>Тиотепа</w:t>
      </w:r>
      <w:r w:rsidRPr="000322E4">
        <w:rPr>
          <w:bCs/>
        </w:rPr>
        <w:t>**</w:t>
      </w:r>
      <w:r w:rsidRPr="000322E4">
        <w:t xml:space="preserve"> 30 мг/м</w:t>
      </w:r>
      <w:r w:rsidRPr="000322E4">
        <w:rPr>
          <w:vertAlign w:val="superscript"/>
        </w:rPr>
        <w:t>2</w:t>
      </w:r>
      <w:r w:rsidRPr="000322E4">
        <w:t xml:space="preserve"> в/в, день 4   </w:t>
      </w:r>
    </w:p>
    <w:p w14:paraId="7DF4611E" w14:textId="77777777" w:rsidR="00666D68" w:rsidRPr="000322E4" w:rsidRDefault="00666D68" w:rsidP="008E3584">
      <w:pPr>
        <w:spacing w:line="360" w:lineRule="auto"/>
        <w:ind w:left="720"/>
        <w:jc w:val="both"/>
      </w:pPr>
      <w:r w:rsidRPr="000322E4">
        <w:t xml:space="preserve">Возобновление на 22 день Всего 4 циклов </w:t>
      </w:r>
    </w:p>
    <w:p w14:paraId="233EA866" w14:textId="77777777" w:rsidR="00666D68" w:rsidRPr="000322E4" w:rsidRDefault="00666D68" w:rsidP="008E3584">
      <w:pPr>
        <w:spacing w:line="360" w:lineRule="auto"/>
        <w:jc w:val="both"/>
      </w:pPr>
    </w:p>
    <w:p w14:paraId="35CF0521" w14:textId="310E3697" w:rsidR="00666D68" w:rsidRPr="000322E4" w:rsidRDefault="00D2304E" w:rsidP="008E3584">
      <w:pPr>
        <w:spacing w:line="360" w:lineRule="auto"/>
        <w:jc w:val="both"/>
        <w:rPr>
          <w:b/>
          <w:bCs/>
        </w:rPr>
      </w:pPr>
      <w:r w:rsidRPr="005C347F">
        <w:rPr>
          <w:b/>
          <w:bCs/>
        </w:rPr>
        <w:t>#</w:t>
      </w:r>
      <w:r w:rsidR="00666D68" w:rsidRPr="000322E4">
        <w:rPr>
          <w:b/>
          <w:bCs/>
        </w:rPr>
        <w:t>Темозоломид** + ритуксимаб**</w:t>
      </w:r>
      <w:r w:rsidR="003D6DE3" w:rsidRPr="000322E4">
        <w:rPr>
          <w:b/>
          <w:bCs/>
        </w:rPr>
        <w:t xml:space="preserve"> </w:t>
      </w:r>
      <w:r w:rsidR="003D6DE3" w:rsidRPr="000322E4">
        <w:fldChar w:fldCharType="begin" w:fldLock="1"/>
      </w:r>
      <w:r w:rsidR="00021E2A">
        <w:instrText>ADDIN CSL_CITATION {"citationItems":[{"id":"ITEM-1","itemData":{"DOI":"10.1002/cncr.20339","ISSN":"0008-543X","abstract":"BACKGROUND. Methotrexate-based and alkylator-based chemotherapy regimens are associated with renal and bone marrow toxicities, which limit their use in patients with central nervous system (CNS) lymphomas. The authors report their experience with an immunochemotherapy regimen consisting of rituximab and temozolomide in patients with primary or metastatic CNS lymphoma. METHODS. Seven patients who had received rituximab and temozolomide were identified from the database of the brain tumor clinic at the authors' institution: three patients had developed recurrent primary CNS lymphoma (PCNSL), one patient had newly diagnosed PCNSL but had poor renal function, and three other patients with systemic non-Hodgkin lymphoma developed recurrent lymphoma in the brain only. Patients were scheduled to receive 4 cycles of induction rituximab on Day 1 and temozolomide on Days 1-5 of a 28-day cycle. Thereafter, their treatment included a total of up to 8 maintenance cycles of temozolomide alone on Days 1-5 of a 28-day cycle. A gadolinium-enhanced magnetic resonance image of the head was obtained after every two cycles of treatment. RESULTS. All patients received rituximab without toxicity. Of the 4 patients who received induction temozolomide at doses &gt; 150 mg/m2 daily on Days 1-5, 2 experienced Grade 2 leukopenia and thrombocytopenia. Five patients achieved a radiographic complete response, and two patients had partial responses after induction treatment. The median response duration was 6 months (range 3-12+ months), and the median survival was 8 months (range 3+-12+ months). CONCLUSIONS. Although median survival was short, immunochemotherapy with rituximab and temozolomide was well tolerated and exhibited efficacy in this elderly and heavily pretreated cohort. The data obtained in the current study suggest that the optimal induction dose combination consists of rituximab 375 mg/m2 on Day 1 and temozolomide 150 mg/m2 daily on Days 1-5. © 2004 American Cancer Society.","author":[{"dropping-particle":"","family":"Wong","given":"Eric T.","non-dropping-particle":"","parse-names":false,"suffix":""},{"dropping-particle":"","family":"Tishler","given":"Roy","non-dropping-particle":"","parse-names":false,"suffix":""},{"dropping-particle":"","family":"Barron","given":"Loretta","non-dropping-particle":"","parse-names":false,"suffix":""},{"dropping-particle":"","family":"Wu","given":"Julian K.","non-dropping-particle":"","parse-names":false,"suffix":""}],"container-title":"Cancer","id":"ITEM-1","issue":"1","issued":{"date-parts":[["2004","7","1"]]},"page":"139-145","title":"Immunochemotherapy with rituximab and temozolomide for central nervous system lymphomas","type":"article-journal","volume":"101"},"uris":["http://www.mendeley.com/documents/?uuid=d5d8adba-c9a5-3b37-a941-79d220a16009"]}],"mendeley":{"formattedCitation":"[101]","plainTextFormattedCitation":"[101]","previouslyFormattedCitation":"[101]"},"properties":{"noteIndex":0},"schema":"https://github.com/citation-style-language/schema/raw/master/csl-citation.json"}</w:instrText>
      </w:r>
      <w:r w:rsidR="003D6DE3" w:rsidRPr="000322E4">
        <w:fldChar w:fldCharType="separate"/>
      </w:r>
      <w:r w:rsidR="009D170B" w:rsidRPr="009D170B">
        <w:rPr>
          <w:noProof/>
        </w:rPr>
        <w:t>[101]</w:t>
      </w:r>
      <w:r w:rsidR="003D6DE3" w:rsidRPr="000322E4">
        <w:fldChar w:fldCharType="end"/>
      </w:r>
    </w:p>
    <w:p w14:paraId="6204A60B" w14:textId="77777777" w:rsidR="00666D68" w:rsidRPr="000322E4" w:rsidRDefault="00666D68" w:rsidP="008E3584">
      <w:pPr>
        <w:numPr>
          <w:ilvl w:val="0"/>
          <w:numId w:val="52"/>
        </w:numPr>
        <w:spacing w:line="360" w:lineRule="auto"/>
        <w:jc w:val="both"/>
      </w:pPr>
      <w:r w:rsidRPr="000322E4">
        <w:t>Ритуксимаб</w:t>
      </w:r>
      <w:r w:rsidRPr="000322E4">
        <w:rPr>
          <w:bCs/>
        </w:rPr>
        <w:t>**</w:t>
      </w:r>
      <w:r w:rsidRPr="000322E4">
        <w:t xml:space="preserve"> </w:t>
      </w:r>
      <w:r w:rsidR="00B85809" w:rsidRPr="000322E4">
        <w:t>375</w:t>
      </w:r>
      <w:r w:rsidRPr="000322E4">
        <w:t xml:space="preserve"> мг/м</w:t>
      </w:r>
      <w:r w:rsidRPr="000322E4">
        <w:rPr>
          <w:vertAlign w:val="superscript"/>
        </w:rPr>
        <w:t>2</w:t>
      </w:r>
      <w:r w:rsidRPr="000322E4">
        <w:t xml:space="preserve"> в/в кап., д</w:t>
      </w:r>
      <w:r w:rsidR="00B85809" w:rsidRPr="000322E4">
        <w:t xml:space="preserve">ень </w:t>
      </w:r>
      <w:r w:rsidRPr="000322E4">
        <w:t>1</w:t>
      </w:r>
      <w:r w:rsidR="005B7DE0" w:rsidRPr="000322E4">
        <w:t xml:space="preserve"> (1-4 циклы)</w:t>
      </w:r>
    </w:p>
    <w:p w14:paraId="6762D2C7" w14:textId="77777777" w:rsidR="005B7DE0" w:rsidRPr="000322E4" w:rsidRDefault="001E7C83" w:rsidP="008E3584">
      <w:pPr>
        <w:numPr>
          <w:ilvl w:val="0"/>
          <w:numId w:val="52"/>
        </w:numPr>
        <w:spacing w:line="360" w:lineRule="auto"/>
        <w:jc w:val="both"/>
      </w:pPr>
      <w:r w:rsidRPr="001E7C83">
        <w:t>#</w:t>
      </w:r>
      <w:r w:rsidR="00666D68" w:rsidRPr="000322E4">
        <w:t>Темозоломид</w:t>
      </w:r>
      <w:r w:rsidR="00666D68" w:rsidRPr="000322E4">
        <w:rPr>
          <w:bCs/>
        </w:rPr>
        <w:t>**</w:t>
      </w:r>
      <w:r w:rsidR="00666D68" w:rsidRPr="000322E4">
        <w:t xml:space="preserve"> 150 мг/м</w:t>
      </w:r>
      <w:r w:rsidR="00666D68" w:rsidRPr="000322E4">
        <w:rPr>
          <w:vertAlign w:val="superscript"/>
        </w:rPr>
        <w:t>2</w:t>
      </w:r>
      <w:r w:rsidR="00666D68" w:rsidRPr="000322E4">
        <w:t xml:space="preserve"> внутрь, дни 1-</w:t>
      </w:r>
      <w:r w:rsidR="005B7DE0" w:rsidRPr="000322E4">
        <w:t>5</w:t>
      </w:r>
      <w:r w:rsidR="00666D68" w:rsidRPr="000322E4">
        <w:t xml:space="preserve"> </w:t>
      </w:r>
    </w:p>
    <w:p w14:paraId="553D13E1" w14:textId="77777777" w:rsidR="00666D68" w:rsidRPr="000322E4" w:rsidRDefault="00666D68" w:rsidP="008E3584">
      <w:pPr>
        <w:numPr>
          <w:ilvl w:val="0"/>
          <w:numId w:val="52"/>
        </w:numPr>
        <w:spacing w:line="360" w:lineRule="auto"/>
        <w:jc w:val="both"/>
      </w:pPr>
      <w:r w:rsidRPr="000322E4">
        <w:t>Возобновление лечения на 2</w:t>
      </w:r>
      <w:r w:rsidR="005B7DE0" w:rsidRPr="000322E4">
        <w:t>9</w:t>
      </w:r>
      <w:r w:rsidRPr="000322E4">
        <w:t xml:space="preserve"> день.  Всего </w:t>
      </w:r>
      <w:r w:rsidR="005B7DE0" w:rsidRPr="000322E4">
        <w:t>до 12</w:t>
      </w:r>
      <w:r w:rsidRPr="000322E4">
        <w:t xml:space="preserve"> циклов</w:t>
      </w:r>
    </w:p>
    <w:p w14:paraId="233074AF" w14:textId="77777777" w:rsidR="00666D68" w:rsidRPr="000322E4" w:rsidRDefault="00666D68" w:rsidP="008E3584">
      <w:pPr>
        <w:spacing w:line="360" w:lineRule="auto"/>
        <w:jc w:val="both"/>
      </w:pPr>
    </w:p>
    <w:p w14:paraId="14F91E2A" w14:textId="77777777" w:rsidR="00666D68" w:rsidRPr="000322E4" w:rsidRDefault="00666D68" w:rsidP="008E3584">
      <w:pPr>
        <w:pStyle w:val="afd"/>
        <w:ind w:firstLine="0"/>
        <w:rPr>
          <w:b/>
          <w:bCs/>
          <w:u w:val="single"/>
        </w:rPr>
      </w:pPr>
      <w:r w:rsidRPr="000322E4">
        <w:rPr>
          <w:b/>
          <w:bCs/>
          <w:u w:val="single"/>
        </w:rPr>
        <w:t>3.1.6 Схема терапии агрессивных нефолликулярных В-клеточных лимфом у пациентов до 18 лет</w:t>
      </w:r>
    </w:p>
    <w:p w14:paraId="3406FAC3" w14:textId="539A2829" w:rsidR="00666D68" w:rsidRPr="002818CC" w:rsidRDefault="00666D68" w:rsidP="008E3584">
      <w:pPr>
        <w:pStyle w:val="afd"/>
        <w:rPr>
          <w:b/>
          <w:bCs/>
        </w:rPr>
      </w:pPr>
      <w:r w:rsidRPr="000322E4">
        <w:rPr>
          <w:b/>
          <w:bCs/>
        </w:rPr>
        <w:t xml:space="preserve">Протокол </w:t>
      </w:r>
      <w:r w:rsidRPr="000322E4">
        <w:rPr>
          <w:b/>
          <w:bCs/>
          <w:lang w:val="en-US"/>
        </w:rPr>
        <w:t>B</w:t>
      </w:r>
      <w:r w:rsidRPr="000322E4">
        <w:rPr>
          <w:b/>
          <w:bCs/>
        </w:rPr>
        <w:t>-</w:t>
      </w:r>
      <w:r w:rsidRPr="000322E4">
        <w:rPr>
          <w:b/>
          <w:bCs/>
          <w:lang w:val="en-US"/>
        </w:rPr>
        <w:t>NHL</w:t>
      </w:r>
      <w:r w:rsidRPr="000322E4">
        <w:rPr>
          <w:b/>
          <w:bCs/>
        </w:rPr>
        <w:t>-2010</w:t>
      </w:r>
      <w:r w:rsidRPr="000322E4">
        <w:rPr>
          <w:b/>
          <w:bCs/>
          <w:lang w:val="en-US"/>
        </w:rPr>
        <w:t>M</w:t>
      </w:r>
      <w:r w:rsidRPr="000322E4">
        <w:rPr>
          <w:b/>
          <w:bCs/>
        </w:rPr>
        <w:t xml:space="preserve"> </w:t>
      </w:r>
      <w:r w:rsidRPr="000322E4">
        <w:rPr>
          <w:b/>
          <w:bCs/>
          <w:lang w:val="en-US"/>
        </w:rPr>
        <w:fldChar w:fldCharType="begin" w:fldLock="1"/>
      </w:r>
      <w:r w:rsidR="00A6794A">
        <w:rPr>
          <w:b/>
          <w:bCs/>
          <w:lang w:val="en-US"/>
        </w:rPr>
        <w:instrText>ADDIN</w:instrText>
      </w:r>
      <w:r w:rsidR="00A6794A" w:rsidRPr="00D3550C">
        <w:rPr>
          <w:b/>
          <w:bCs/>
        </w:rPr>
        <w:instrText xml:space="preserve"> </w:instrText>
      </w:r>
      <w:r w:rsidR="00A6794A">
        <w:rPr>
          <w:b/>
          <w:bCs/>
          <w:lang w:val="en-US"/>
        </w:rPr>
        <w:instrText>CSL</w:instrText>
      </w:r>
      <w:r w:rsidR="00A6794A" w:rsidRPr="00D3550C">
        <w:rPr>
          <w:b/>
          <w:bCs/>
        </w:rPr>
        <w:instrText>_</w:instrText>
      </w:r>
      <w:r w:rsidR="00A6794A">
        <w:rPr>
          <w:b/>
          <w:bCs/>
          <w:lang w:val="en-US"/>
        </w:rPr>
        <w:instrText>CITATION</w:instrText>
      </w:r>
      <w:r w:rsidR="00A6794A" w:rsidRPr="00D3550C">
        <w:rPr>
          <w:b/>
          <w:bCs/>
        </w:rPr>
        <w:instrText xml:space="preserve"> {"</w:instrText>
      </w:r>
      <w:r w:rsidR="00A6794A">
        <w:rPr>
          <w:b/>
          <w:bCs/>
          <w:lang w:val="en-US"/>
        </w:rPr>
        <w:instrText>citationItems</w:instrText>
      </w:r>
      <w:r w:rsidR="00A6794A" w:rsidRPr="00D3550C">
        <w:rPr>
          <w:b/>
          <w:bCs/>
        </w:rPr>
        <w:instrText>":[{"</w:instrText>
      </w:r>
      <w:r w:rsidR="00A6794A">
        <w:rPr>
          <w:b/>
          <w:bCs/>
          <w:lang w:val="en-US"/>
        </w:rPr>
        <w:instrText>id</w:instrText>
      </w:r>
      <w:r w:rsidR="00A6794A" w:rsidRPr="00D3550C">
        <w:rPr>
          <w:b/>
          <w:bCs/>
        </w:rPr>
        <w:instrText>":"</w:instrText>
      </w:r>
      <w:r w:rsidR="00A6794A">
        <w:rPr>
          <w:b/>
          <w:bCs/>
          <w:lang w:val="en-US"/>
        </w:rPr>
        <w:instrText>ITEM</w:instrText>
      </w:r>
      <w:r w:rsidR="00A6794A" w:rsidRPr="00D3550C">
        <w:rPr>
          <w:b/>
          <w:bCs/>
        </w:rPr>
        <w:instrText>-1","</w:instrText>
      </w:r>
      <w:r w:rsidR="00A6794A">
        <w:rPr>
          <w:b/>
          <w:bCs/>
          <w:lang w:val="en-US"/>
        </w:rPr>
        <w:instrText>itemData</w:instrText>
      </w:r>
      <w:r w:rsidR="00A6794A" w:rsidRPr="00D3550C">
        <w:rPr>
          <w:b/>
          <w:bCs/>
        </w:rPr>
        <w:instrText>":{"</w:instrText>
      </w:r>
      <w:r w:rsidR="00A6794A">
        <w:rPr>
          <w:b/>
          <w:bCs/>
          <w:lang w:val="en-US"/>
        </w:rPr>
        <w:instrText>DOI</w:instrText>
      </w:r>
      <w:r w:rsidR="00A6794A" w:rsidRPr="00D3550C">
        <w:rPr>
          <w:b/>
          <w:bCs/>
        </w:rPr>
        <w:instrText>":"10.1111/</w:instrText>
      </w:r>
      <w:r w:rsidR="00A6794A">
        <w:rPr>
          <w:b/>
          <w:bCs/>
          <w:lang w:val="en-US"/>
        </w:rPr>
        <w:instrText>bjh</w:instrText>
      </w:r>
      <w:r w:rsidR="00A6794A" w:rsidRPr="00D3550C">
        <w:rPr>
          <w:b/>
          <w:bCs/>
        </w:rPr>
        <w:instrText>.15944","</w:instrText>
      </w:r>
      <w:r w:rsidR="00A6794A">
        <w:rPr>
          <w:b/>
          <w:bCs/>
          <w:lang w:val="en-US"/>
        </w:rPr>
        <w:instrText>ISSN</w:instrText>
      </w:r>
      <w:r w:rsidR="00A6794A" w:rsidRPr="00D3550C">
        <w:rPr>
          <w:b/>
          <w:bCs/>
        </w:rPr>
        <w:instrText>":"13652141","</w:instrText>
      </w:r>
      <w:r w:rsidR="00A6794A">
        <w:rPr>
          <w:b/>
          <w:bCs/>
          <w:lang w:val="en-US"/>
        </w:rPr>
        <w:instrText>abstract</w:instrText>
      </w:r>
      <w:r w:rsidR="00A6794A" w:rsidRPr="00D3550C">
        <w:rPr>
          <w:b/>
          <w:bCs/>
        </w:rPr>
        <w:instrText>":"</w:instrText>
      </w:r>
      <w:r w:rsidR="00A6794A">
        <w:rPr>
          <w:b/>
          <w:bCs/>
          <w:lang w:val="en-US"/>
        </w:rPr>
        <w:instrText>The</w:instrText>
      </w:r>
      <w:r w:rsidR="00A6794A" w:rsidRPr="00D3550C">
        <w:rPr>
          <w:b/>
          <w:bCs/>
        </w:rPr>
        <w:instrText xml:space="preserve"> </w:instrText>
      </w:r>
      <w:r w:rsidR="00A6794A">
        <w:rPr>
          <w:b/>
          <w:bCs/>
          <w:lang w:val="en-US"/>
        </w:rPr>
        <w:instrText>value</w:instrText>
      </w:r>
      <w:r w:rsidR="00A6794A" w:rsidRPr="00D3550C">
        <w:rPr>
          <w:b/>
          <w:bCs/>
        </w:rPr>
        <w:instrText xml:space="preserve"> </w:instrText>
      </w:r>
      <w:r w:rsidR="00A6794A">
        <w:rPr>
          <w:b/>
          <w:bCs/>
          <w:lang w:val="en-US"/>
        </w:rPr>
        <w:instrText>of</w:instrText>
      </w:r>
      <w:r w:rsidR="00A6794A" w:rsidRPr="00D3550C">
        <w:rPr>
          <w:b/>
          <w:bCs/>
        </w:rPr>
        <w:instrText xml:space="preserve"> </w:instrText>
      </w:r>
      <w:r w:rsidR="00A6794A">
        <w:rPr>
          <w:b/>
          <w:bCs/>
          <w:lang w:val="en-US"/>
        </w:rPr>
        <w:instrText>adding</w:instrText>
      </w:r>
      <w:r w:rsidR="00A6794A" w:rsidRPr="00D3550C">
        <w:rPr>
          <w:b/>
          <w:bCs/>
        </w:rPr>
        <w:instrText xml:space="preserve"> </w:instrText>
      </w:r>
      <w:r w:rsidR="00A6794A">
        <w:rPr>
          <w:b/>
          <w:bCs/>
          <w:lang w:val="en-US"/>
        </w:rPr>
        <w:instrText>rituximab</w:instrText>
      </w:r>
      <w:r w:rsidR="00A6794A" w:rsidRPr="00D3550C">
        <w:rPr>
          <w:b/>
          <w:bCs/>
        </w:rPr>
        <w:instrText xml:space="preserve"> </w:instrText>
      </w:r>
      <w:r w:rsidR="00A6794A">
        <w:rPr>
          <w:b/>
          <w:bCs/>
          <w:lang w:val="en-US"/>
        </w:rPr>
        <w:instrText>to</w:instrText>
      </w:r>
      <w:r w:rsidR="00A6794A" w:rsidRPr="00D3550C">
        <w:rPr>
          <w:b/>
          <w:bCs/>
        </w:rPr>
        <w:instrText xml:space="preserve"> </w:instrText>
      </w:r>
      <w:r w:rsidR="00A6794A">
        <w:rPr>
          <w:b/>
          <w:bCs/>
          <w:lang w:val="en-US"/>
        </w:rPr>
        <w:instrText>chemotherapy</w:instrText>
      </w:r>
      <w:r w:rsidR="00A6794A" w:rsidRPr="00D3550C">
        <w:rPr>
          <w:b/>
          <w:bCs/>
        </w:rPr>
        <w:instrText xml:space="preserve"> </w:instrText>
      </w:r>
      <w:r w:rsidR="00A6794A">
        <w:rPr>
          <w:b/>
          <w:bCs/>
          <w:lang w:val="en-US"/>
        </w:rPr>
        <w:instrText>in</w:instrText>
      </w:r>
      <w:r w:rsidR="00A6794A" w:rsidRPr="00D3550C">
        <w:rPr>
          <w:b/>
          <w:bCs/>
        </w:rPr>
        <w:instrText xml:space="preserve"> </w:instrText>
      </w:r>
      <w:r w:rsidR="00A6794A">
        <w:rPr>
          <w:b/>
          <w:bCs/>
          <w:lang w:val="en-US"/>
        </w:rPr>
        <w:instrText>children</w:instrText>
      </w:r>
      <w:r w:rsidR="00A6794A" w:rsidRPr="00D3550C">
        <w:rPr>
          <w:b/>
          <w:bCs/>
        </w:rPr>
        <w:instrText xml:space="preserve"> </w:instrText>
      </w:r>
      <w:r w:rsidR="00A6794A">
        <w:rPr>
          <w:b/>
          <w:bCs/>
          <w:lang w:val="en-US"/>
        </w:rPr>
        <w:instrText>with</w:instrText>
      </w:r>
      <w:r w:rsidR="00A6794A" w:rsidRPr="00D3550C">
        <w:rPr>
          <w:b/>
          <w:bCs/>
        </w:rPr>
        <w:instrText xml:space="preserve"> </w:instrText>
      </w:r>
      <w:r w:rsidR="00A6794A">
        <w:rPr>
          <w:b/>
          <w:bCs/>
          <w:lang w:val="en-US"/>
        </w:rPr>
        <w:instrText>aggressive</w:instrText>
      </w:r>
      <w:r w:rsidR="00A6794A" w:rsidRPr="00D3550C">
        <w:rPr>
          <w:b/>
          <w:bCs/>
        </w:rPr>
        <w:instrText xml:space="preserve"> </w:instrText>
      </w:r>
      <w:r w:rsidR="00A6794A">
        <w:rPr>
          <w:b/>
          <w:bCs/>
          <w:lang w:val="en-US"/>
        </w:rPr>
        <w:instrText>B</w:instrText>
      </w:r>
      <w:r w:rsidR="00A6794A" w:rsidRPr="00D3550C">
        <w:rPr>
          <w:b/>
          <w:bCs/>
        </w:rPr>
        <w:instrText>-</w:instrText>
      </w:r>
      <w:r w:rsidR="00A6794A">
        <w:rPr>
          <w:b/>
          <w:bCs/>
          <w:lang w:val="en-US"/>
        </w:rPr>
        <w:instrText>cell</w:instrText>
      </w:r>
      <w:r w:rsidR="00A6794A" w:rsidRPr="00D3550C">
        <w:rPr>
          <w:b/>
          <w:bCs/>
        </w:rPr>
        <w:instrText xml:space="preserve"> </w:instrText>
      </w:r>
      <w:r w:rsidR="00A6794A">
        <w:rPr>
          <w:b/>
          <w:bCs/>
          <w:lang w:val="en-US"/>
        </w:rPr>
        <w:instrText>non</w:instrText>
      </w:r>
      <w:r w:rsidR="00A6794A" w:rsidRPr="00D3550C">
        <w:rPr>
          <w:b/>
          <w:bCs/>
        </w:rPr>
        <w:instrText>-</w:instrText>
      </w:r>
      <w:r w:rsidR="00A6794A">
        <w:rPr>
          <w:b/>
          <w:bCs/>
          <w:lang w:val="en-US"/>
        </w:rPr>
        <w:instrText>Hodgkin</w:instrText>
      </w:r>
      <w:r w:rsidR="00A6794A" w:rsidRPr="00D3550C">
        <w:rPr>
          <w:b/>
          <w:bCs/>
        </w:rPr>
        <w:instrText xml:space="preserve"> </w:instrText>
      </w:r>
      <w:r w:rsidR="00A6794A">
        <w:rPr>
          <w:b/>
          <w:bCs/>
          <w:lang w:val="en-US"/>
        </w:rPr>
        <w:instrText>lymphoma</w:instrText>
      </w:r>
      <w:r w:rsidR="00A6794A" w:rsidRPr="00D3550C">
        <w:rPr>
          <w:b/>
          <w:bCs/>
        </w:rPr>
        <w:instrText xml:space="preserve"> (</w:instrText>
      </w:r>
      <w:r w:rsidR="00A6794A">
        <w:rPr>
          <w:b/>
          <w:bCs/>
          <w:lang w:val="en-US"/>
        </w:rPr>
        <w:instrText>B</w:instrText>
      </w:r>
      <w:r w:rsidR="00A6794A" w:rsidRPr="00D3550C">
        <w:rPr>
          <w:b/>
          <w:bCs/>
        </w:rPr>
        <w:instrText>-</w:instrText>
      </w:r>
      <w:r w:rsidR="00A6794A">
        <w:rPr>
          <w:b/>
          <w:bCs/>
          <w:lang w:val="en-US"/>
        </w:rPr>
        <w:instrText>NHL</w:instrText>
      </w:r>
      <w:r w:rsidR="00A6794A" w:rsidRPr="00D3550C">
        <w:rPr>
          <w:b/>
          <w:bCs/>
        </w:rPr>
        <w:instrText xml:space="preserve">) </w:instrText>
      </w:r>
      <w:r w:rsidR="00A6794A">
        <w:rPr>
          <w:b/>
          <w:bCs/>
          <w:lang w:val="en-US"/>
        </w:rPr>
        <w:instrText>is</w:instrText>
      </w:r>
      <w:r w:rsidR="00A6794A" w:rsidRPr="00D3550C">
        <w:rPr>
          <w:b/>
          <w:bCs/>
        </w:rPr>
        <w:instrText xml:space="preserve"> </w:instrText>
      </w:r>
      <w:r w:rsidR="00A6794A">
        <w:rPr>
          <w:b/>
          <w:bCs/>
          <w:lang w:val="en-US"/>
        </w:rPr>
        <w:instrText>still</w:instrText>
      </w:r>
      <w:r w:rsidR="00A6794A" w:rsidRPr="00D3550C">
        <w:rPr>
          <w:b/>
          <w:bCs/>
        </w:rPr>
        <w:instrText xml:space="preserve"> </w:instrText>
      </w:r>
      <w:r w:rsidR="00A6794A">
        <w:rPr>
          <w:b/>
          <w:bCs/>
          <w:lang w:val="en-US"/>
        </w:rPr>
        <w:instrText>insufficiently</w:instrText>
      </w:r>
      <w:r w:rsidR="00A6794A" w:rsidRPr="00D3550C">
        <w:rPr>
          <w:b/>
          <w:bCs/>
        </w:rPr>
        <w:instrText xml:space="preserve"> </w:instrText>
      </w:r>
      <w:r w:rsidR="00A6794A">
        <w:rPr>
          <w:b/>
          <w:bCs/>
          <w:lang w:val="en-US"/>
        </w:rPr>
        <w:instrText>studied</w:instrText>
      </w:r>
      <w:r w:rsidR="00A6794A" w:rsidRPr="00D3550C">
        <w:rPr>
          <w:b/>
          <w:bCs/>
        </w:rPr>
        <w:instrText xml:space="preserve">. </w:instrText>
      </w:r>
      <w:r w:rsidR="00A6794A">
        <w:rPr>
          <w:b/>
          <w:bCs/>
          <w:lang w:val="en-US"/>
        </w:rPr>
        <w:instrText>We</w:instrText>
      </w:r>
      <w:r w:rsidR="00A6794A" w:rsidRPr="00D3550C">
        <w:rPr>
          <w:b/>
          <w:bCs/>
        </w:rPr>
        <w:instrText xml:space="preserve"> </w:instrText>
      </w:r>
      <w:r w:rsidR="00A6794A">
        <w:rPr>
          <w:b/>
          <w:bCs/>
          <w:lang w:val="en-US"/>
        </w:rPr>
        <w:instrText>enrolled</w:instrText>
      </w:r>
      <w:r w:rsidR="00A6794A" w:rsidRPr="00D3550C">
        <w:rPr>
          <w:b/>
          <w:bCs/>
        </w:rPr>
        <w:instrText xml:space="preserve"> 231 </w:instrText>
      </w:r>
      <w:r w:rsidR="00A6794A">
        <w:rPr>
          <w:b/>
          <w:bCs/>
          <w:lang w:val="en-US"/>
        </w:rPr>
        <w:instrText>patients</w:instrText>
      </w:r>
      <w:r w:rsidR="00A6794A" w:rsidRPr="00D3550C">
        <w:rPr>
          <w:b/>
          <w:bCs/>
        </w:rPr>
        <w:instrText xml:space="preserve"> [</w:instrText>
      </w:r>
      <w:r w:rsidR="00A6794A">
        <w:rPr>
          <w:b/>
          <w:bCs/>
          <w:lang w:val="en-US"/>
        </w:rPr>
        <w:instrText>mean</w:instrText>
      </w:r>
      <w:r w:rsidR="00A6794A" w:rsidRPr="00D3550C">
        <w:rPr>
          <w:b/>
          <w:bCs/>
        </w:rPr>
        <w:instrText xml:space="preserve"> </w:instrText>
      </w:r>
      <w:r w:rsidR="00A6794A">
        <w:rPr>
          <w:b/>
          <w:bCs/>
          <w:lang w:val="en-US"/>
        </w:rPr>
        <w:instrText>age</w:instrText>
      </w:r>
      <w:r w:rsidR="00A6794A" w:rsidRPr="00D3550C">
        <w:rPr>
          <w:b/>
          <w:bCs/>
        </w:rPr>
        <w:instrText xml:space="preserve"> 9</w:instrText>
      </w:r>
      <w:r w:rsidR="00A6794A">
        <w:rPr>
          <w:b/>
          <w:bCs/>
          <w:lang w:val="en-US"/>
        </w:rPr>
        <w:instrText> years</w:instrText>
      </w:r>
      <w:r w:rsidR="00A6794A" w:rsidRPr="00D3550C">
        <w:rPr>
          <w:b/>
          <w:bCs/>
        </w:rPr>
        <w:instrText xml:space="preserve"> </w:instrText>
      </w:r>
      <w:r w:rsidR="00A6794A">
        <w:rPr>
          <w:b/>
          <w:bCs/>
          <w:lang w:val="en-US"/>
        </w:rPr>
        <w:instrText>old</w:instrText>
      </w:r>
      <w:r w:rsidR="00A6794A" w:rsidRPr="00D3550C">
        <w:rPr>
          <w:b/>
          <w:bCs/>
        </w:rPr>
        <w:instrText xml:space="preserve"> (</w:instrText>
      </w:r>
      <w:r w:rsidR="00A6794A">
        <w:rPr>
          <w:b/>
          <w:bCs/>
          <w:lang w:val="en-US"/>
        </w:rPr>
        <w:instrText>range</w:instrText>
      </w:r>
      <w:r w:rsidR="00A6794A" w:rsidRPr="00D3550C">
        <w:rPr>
          <w:b/>
          <w:bCs/>
        </w:rPr>
        <w:instrText xml:space="preserve"> 2–17); </w:instrText>
      </w:r>
      <w:r w:rsidR="00A6794A">
        <w:rPr>
          <w:b/>
          <w:bCs/>
          <w:lang w:val="en-US"/>
        </w:rPr>
        <w:instrText>male</w:instrText>
      </w:r>
      <w:r w:rsidR="00A6794A" w:rsidRPr="00D3550C">
        <w:rPr>
          <w:b/>
          <w:bCs/>
        </w:rPr>
        <w:instrText>:</w:instrText>
      </w:r>
      <w:r w:rsidR="00A6794A">
        <w:rPr>
          <w:b/>
          <w:bCs/>
          <w:lang w:val="en-US"/>
        </w:rPr>
        <w:instrText>female</w:instrText>
      </w:r>
      <w:r w:rsidR="00A6794A" w:rsidRPr="00D3550C">
        <w:rPr>
          <w:b/>
          <w:bCs/>
        </w:rPr>
        <w:instrText xml:space="preserve"> </w:instrText>
      </w:r>
      <w:r w:rsidR="00A6794A">
        <w:rPr>
          <w:b/>
          <w:bCs/>
          <w:lang w:val="en-US"/>
        </w:rPr>
        <w:instrText>ratio</w:instrText>
      </w:r>
      <w:r w:rsidR="00A6794A" w:rsidRPr="00D3550C">
        <w:rPr>
          <w:b/>
          <w:bCs/>
        </w:rPr>
        <w:instrText xml:space="preserve"> 3·4:1] </w:instrText>
      </w:r>
      <w:r w:rsidR="00A6794A">
        <w:rPr>
          <w:b/>
          <w:bCs/>
          <w:lang w:val="en-US"/>
        </w:rPr>
        <w:instrText>with</w:instrText>
      </w:r>
      <w:r w:rsidR="00A6794A" w:rsidRPr="00D3550C">
        <w:rPr>
          <w:b/>
          <w:bCs/>
        </w:rPr>
        <w:instrText xml:space="preserve"> </w:instrText>
      </w:r>
      <w:r w:rsidR="00A6794A">
        <w:rPr>
          <w:b/>
          <w:bCs/>
          <w:lang w:val="en-US"/>
        </w:rPr>
        <w:instrText>Burkitt</w:instrText>
      </w:r>
      <w:r w:rsidR="00A6794A" w:rsidRPr="00D3550C">
        <w:rPr>
          <w:b/>
          <w:bCs/>
        </w:rPr>
        <w:instrText xml:space="preserve"> (</w:instrText>
      </w:r>
      <w:r w:rsidR="00A6794A">
        <w:rPr>
          <w:b/>
          <w:bCs/>
          <w:lang w:val="en-US"/>
        </w:rPr>
        <w:instrText>BL</w:instrText>
      </w:r>
      <w:r w:rsidR="00A6794A" w:rsidRPr="00D3550C">
        <w:rPr>
          <w:b/>
          <w:bCs/>
        </w:rPr>
        <w:instrText xml:space="preserve">, 179 </w:instrText>
      </w:r>
      <w:r w:rsidR="00A6794A">
        <w:rPr>
          <w:b/>
          <w:bCs/>
          <w:lang w:val="en-US"/>
        </w:rPr>
        <w:instrText>patients</w:instrText>
      </w:r>
      <w:r w:rsidR="00A6794A" w:rsidRPr="00D3550C">
        <w:rPr>
          <w:b/>
          <w:bCs/>
        </w:rPr>
        <w:instrText xml:space="preserve">, 76·7%), </w:instrText>
      </w:r>
      <w:r w:rsidR="00A6794A">
        <w:rPr>
          <w:b/>
          <w:bCs/>
          <w:lang w:val="en-US"/>
        </w:rPr>
        <w:instrText>diffuse</w:instrText>
      </w:r>
      <w:r w:rsidR="00A6794A" w:rsidRPr="00D3550C">
        <w:rPr>
          <w:b/>
          <w:bCs/>
        </w:rPr>
        <w:instrText xml:space="preserve"> </w:instrText>
      </w:r>
      <w:r w:rsidR="00A6794A">
        <w:rPr>
          <w:b/>
          <w:bCs/>
          <w:lang w:val="en-US"/>
        </w:rPr>
        <w:instrText>large</w:instrText>
      </w:r>
      <w:r w:rsidR="00A6794A" w:rsidRPr="00D3550C">
        <w:rPr>
          <w:b/>
          <w:bCs/>
        </w:rPr>
        <w:instrText xml:space="preserve"> </w:instrText>
      </w:r>
      <w:r w:rsidR="00A6794A">
        <w:rPr>
          <w:b/>
          <w:bCs/>
          <w:lang w:val="en-US"/>
        </w:rPr>
        <w:instrText>B</w:instrText>
      </w:r>
      <w:r w:rsidR="00A6794A" w:rsidRPr="00D3550C">
        <w:rPr>
          <w:b/>
          <w:bCs/>
        </w:rPr>
        <w:instrText>-</w:instrText>
      </w:r>
      <w:r w:rsidR="00A6794A">
        <w:rPr>
          <w:b/>
          <w:bCs/>
          <w:lang w:val="en-US"/>
        </w:rPr>
        <w:instrText>cell</w:instrText>
      </w:r>
      <w:r w:rsidR="00A6794A" w:rsidRPr="00D3550C">
        <w:rPr>
          <w:b/>
          <w:bCs/>
        </w:rPr>
        <w:instrText xml:space="preserve"> (32 </w:instrText>
      </w:r>
      <w:r w:rsidR="00A6794A">
        <w:rPr>
          <w:b/>
          <w:bCs/>
          <w:lang w:val="en-US"/>
        </w:rPr>
        <w:instrText>patients</w:instrText>
      </w:r>
      <w:r w:rsidR="00A6794A" w:rsidRPr="00D3550C">
        <w:rPr>
          <w:b/>
          <w:bCs/>
        </w:rPr>
        <w:instrText xml:space="preserve">, 14%), </w:instrText>
      </w:r>
      <w:r w:rsidR="00A6794A">
        <w:rPr>
          <w:b/>
          <w:bCs/>
          <w:lang w:val="en-US"/>
        </w:rPr>
        <w:instrText>primary</w:instrText>
      </w:r>
      <w:r w:rsidR="00A6794A" w:rsidRPr="00D3550C">
        <w:rPr>
          <w:b/>
          <w:bCs/>
        </w:rPr>
        <w:instrText xml:space="preserve"> </w:instrText>
      </w:r>
      <w:r w:rsidR="00A6794A">
        <w:rPr>
          <w:b/>
          <w:bCs/>
          <w:lang w:val="en-US"/>
        </w:rPr>
        <w:instrText>mediastinal</w:instrText>
      </w:r>
      <w:r w:rsidR="00A6794A" w:rsidRPr="00D3550C">
        <w:rPr>
          <w:b/>
          <w:bCs/>
        </w:rPr>
        <w:instrText xml:space="preserve"> </w:instrText>
      </w:r>
      <w:r w:rsidR="00A6794A">
        <w:rPr>
          <w:b/>
          <w:bCs/>
          <w:lang w:val="en-US"/>
        </w:rPr>
        <w:instrText>B</w:instrText>
      </w:r>
      <w:r w:rsidR="00A6794A" w:rsidRPr="00D3550C">
        <w:rPr>
          <w:b/>
          <w:bCs/>
        </w:rPr>
        <w:instrText>-</w:instrText>
      </w:r>
      <w:r w:rsidR="00A6794A">
        <w:rPr>
          <w:b/>
          <w:bCs/>
          <w:lang w:val="en-US"/>
        </w:rPr>
        <w:instrText>cell</w:instrText>
      </w:r>
      <w:r w:rsidR="00A6794A" w:rsidRPr="00D3550C">
        <w:rPr>
          <w:b/>
          <w:bCs/>
        </w:rPr>
        <w:instrText xml:space="preserve"> (14 </w:instrText>
      </w:r>
      <w:r w:rsidR="00A6794A">
        <w:rPr>
          <w:b/>
          <w:bCs/>
          <w:lang w:val="en-US"/>
        </w:rPr>
        <w:instrText>patients</w:instrText>
      </w:r>
      <w:r w:rsidR="00A6794A" w:rsidRPr="00D3550C">
        <w:rPr>
          <w:b/>
          <w:bCs/>
        </w:rPr>
        <w:instrText xml:space="preserve">, 6%), </w:instrText>
      </w:r>
      <w:r w:rsidR="00A6794A">
        <w:rPr>
          <w:b/>
          <w:bCs/>
          <w:lang w:val="en-US"/>
        </w:rPr>
        <w:instrText>and</w:instrText>
      </w:r>
      <w:r w:rsidR="00A6794A" w:rsidRPr="00D3550C">
        <w:rPr>
          <w:b/>
          <w:bCs/>
        </w:rPr>
        <w:instrText xml:space="preserve"> </w:instrText>
      </w:r>
      <w:r w:rsidR="00A6794A">
        <w:rPr>
          <w:b/>
          <w:bCs/>
          <w:lang w:val="en-US"/>
        </w:rPr>
        <w:instrText>other</w:instrText>
      </w:r>
      <w:r w:rsidR="00A6794A" w:rsidRPr="00D3550C">
        <w:rPr>
          <w:b/>
          <w:bCs/>
        </w:rPr>
        <w:instrText xml:space="preserve"> (6 </w:instrText>
      </w:r>
      <w:r w:rsidR="00A6794A">
        <w:rPr>
          <w:b/>
          <w:bCs/>
          <w:lang w:val="en-US"/>
        </w:rPr>
        <w:instrText>patients</w:instrText>
      </w:r>
      <w:r w:rsidR="00A6794A" w:rsidRPr="00D3550C">
        <w:rPr>
          <w:b/>
          <w:bCs/>
        </w:rPr>
        <w:instrText xml:space="preserve">, 2·6%) </w:instrText>
      </w:r>
      <w:r w:rsidR="00A6794A">
        <w:rPr>
          <w:b/>
          <w:bCs/>
          <w:lang w:val="en-US"/>
        </w:rPr>
        <w:instrText>B</w:instrText>
      </w:r>
      <w:r w:rsidR="00A6794A" w:rsidRPr="00D3550C">
        <w:rPr>
          <w:b/>
          <w:bCs/>
        </w:rPr>
        <w:instrText>-</w:instrText>
      </w:r>
      <w:r w:rsidR="00A6794A">
        <w:rPr>
          <w:b/>
          <w:bCs/>
          <w:lang w:val="en-US"/>
        </w:rPr>
        <w:instrText>cell</w:instrText>
      </w:r>
      <w:r w:rsidR="00A6794A" w:rsidRPr="00D3550C">
        <w:rPr>
          <w:b/>
          <w:bCs/>
        </w:rPr>
        <w:instrText xml:space="preserve"> </w:instrText>
      </w:r>
      <w:r w:rsidR="00A6794A">
        <w:rPr>
          <w:b/>
          <w:bCs/>
          <w:lang w:val="en-US"/>
        </w:rPr>
        <w:instrText>lymphomas</w:instrText>
      </w:r>
      <w:r w:rsidR="00A6794A" w:rsidRPr="00D3550C">
        <w:rPr>
          <w:b/>
          <w:bCs/>
        </w:rPr>
        <w:instrText xml:space="preserve"> </w:instrText>
      </w:r>
      <w:r w:rsidR="00A6794A">
        <w:rPr>
          <w:b/>
          <w:bCs/>
          <w:lang w:val="en-US"/>
        </w:rPr>
        <w:instrText>in</w:instrText>
      </w:r>
      <w:r w:rsidR="00A6794A" w:rsidRPr="00D3550C">
        <w:rPr>
          <w:b/>
          <w:bCs/>
        </w:rPr>
        <w:instrText xml:space="preserve"> </w:instrText>
      </w:r>
      <w:r w:rsidR="00A6794A">
        <w:rPr>
          <w:b/>
          <w:bCs/>
          <w:lang w:val="en-US"/>
        </w:rPr>
        <w:instrText>a</w:instrText>
      </w:r>
      <w:r w:rsidR="00A6794A" w:rsidRPr="00D3550C">
        <w:rPr>
          <w:b/>
          <w:bCs/>
        </w:rPr>
        <w:instrText xml:space="preserve"> </w:instrText>
      </w:r>
      <w:r w:rsidR="00A6794A">
        <w:rPr>
          <w:b/>
          <w:bCs/>
          <w:lang w:val="en-US"/>
        </w:rPr>
        <w:instrText>prospective</w:instrText>
      </w:r>
      <w:r w:rsidR="00A6794A" w:rsidRPr="00D3550C">
        <w:rPr>
          <w:b/>
          <w:bCs/>
        </w:rPr>
        <w:instrText xml:space="preserve"> </w:instrText>
      </w:r>
      <w:r w:rsidR="00A6794A">
        <w:rPr>
          <w:b/>
          <w:bCs/>
          <w:lang w:val="en-US"/>
        </w:rPr>
        <w:instrText>study</w:instrText>
      </w:r>
      <w:r w:rsidR="00A6794A" w:rsidRPr="00D3550C">
        <w:rPr>
          <w:b/>
          <w:bCs/>
        </w:rPr>
        <w:instrText xml:space="preserve"> </w:instrText>
      </w:r>
      <w:r w:rsidR="00A6794A">
        <w:rPr>
          <w:b/>
          <w:bCs/>
          <w:lang w:val="en-US"/>
        </w:rPr>
        <w:instrText>of</w:instrText>
      </w:r>
      <w:r w:rsidR="00A6794A" w:rsidRPr="00D3550C">
        <w:rPr>
          <w:b/>
          <w:bCs/>
        </w:rPr>
        <w:instrText xml:space="preserve"> </w:instrText>
      </w:r>
      <w:r w:rsidR="00A6794A">
        <w:rPr>
          <w:b/>
          <w:bCs/>
          <w:lang w:val="en-US"/>
        </w:rPr>
        <w:instrText>immuno</w:instrText>
      </w:r>
      <w:r w:rsidR="00A6794A" w:rsidRPr="00D3550C">
        <w:rPr>
          <w:b/>
          <w:bCs/>
        </w:rPr>
        <w:instrText>-</w:instrText>
      </w:r>
      <w:r w:rsidR="00A6794A">
        <w:rPr>
          <w:b/>
          <w:bCs/>
          <w:lang w:val="en-US"/>
        </w:rPr>
        <w:instrText>chemotherapy</w:instrText>
      </w:r>
      <w:r w:rsidR="00A6794A" w:rsidRPr="00D3550C">
        <w:rPr>
          <w:b/>
          <w:bCs/>
        </w:rPr>
        <w:instrText xml:space="preserve">. </w:instrText>
      </w:r>
      <w:r w:rsidR="00A6794A">
        <w:rPr>
          <w:b/>
          <w:bCs/>
          <w:lang w:val="en-US"/>
        </w:rPr>
        <w:instrText>Stages</w:instrText>
      </w:r>
      <w:r w:rsidR="00A6794A" w:rsidRPr="00D3550C">
        <w:rPr>
          <w:b/>
          <w:bCs/>
        </w:rPr>
        <w:instrText xml:space="preserve"> </w:instrText>
      </w:r>
      <w:r w:rsidR="00A6794A">
        <w:rPr>
          <w:b/>
          <w:bCs/>
          <w:lang w:val="en-US"/>
        </w:rPr>
        <w:instrText>were</w:instrText>
      </w:r>
      <w:r w:rsidR="00A6794A" w:rsidRPr="00D3550C">
        <w:rPr>
          <w:b/>
          <w:bCs/>
        </w:rPr>
        <w:instrText xml:space="preserve"> </w:instrText>
      </w:r>
      <w:r w:rsidR="00A6794A">
        <w:rPr>
          <w:b/>
          <w:bCs/>
          <w:lang w:val="en-US"/>
        </w:rPr>
        <w:instrText>I</w:instrText>
      </w:r>
      <w:r w:rsidR="00A6794A" w:rsidRPr="00D3550C">
        <w:rPr>
          <w:b/>
          <w:bCs/>
        </w:rPr>
        <w:instrText>–</w:instrText>
      </w:r>
      <w:r w:rsidR="00A6794A">
        <w:rPr>
          <w:b/>
          <w:bCs/>
          <w:lang w:val="en-US"/>
        </w:rPr>
        <w:instrText>II</w:instrText>
      </w:r>
      <w:r w:rsidR="00A6794A" w:rsidRPr="00D3550C">
        <w:rPr>
          <w:b/>
          <w:bCs/>
        </w:rPr>
        <w:instrText xml:space="preserve"> </w:instrText>
      </w:r>
      <w:r w:rsidR="00A6794A">
        <w:rPr>
          <w:b/>
          <w:bCs/>
          <w:lang w:val="en-US"/>
        </w:rPr>
        <w:instrText>in</w:instrText>
      </w:r>
      <w:r w:rsidR="00A6794A" w:rsidRPr="00D3550C">
        <w:rPr>
          <w:b/>
          <w:bCs/>
        </w:rPr>
        <w:instrText xml:space="preserve"> 32% </w:instrText>
      </w:r>
      <w:r w:rsidR="00A6794A">
        <w:rPr>
          <w:b/>
          <w:bCs/>
          <w:lang w:val="en-US"/>
        </w:rPr>
        <w:instrText>and</w:instrText>
      </w:r>
      <w:r w:rsidR="00A6794A" w:rsidRPr="00D3550C">
        <w:rPr>
          <w:b/>
          <w:bCs/>
        </w:rPr>
        <w:instrText xml:space="preserve"> </w:instrText>
      </w:r>
      <w:r w:rsidR="00A6794A">
        <w:rPr>
          <w:b/>
          <w:bCs/>
          <w:lang w:val="en-US"/>
        </w:rPr>
        <w:instrText>III</w:instrText>
      </w:r>
      <w:r w:rsidR="00A6794A" w:rsidRPr="00D3550C">
        <w:rPr>
          <w:b/>
          <w:bCs/>
        </w:rPr>
        <w:instrText>–</w:instrText>
      </w:r>
      <w:r w:rsidR="00A6794A">
        <w:rPr>
          <w:b/>
          <w:bCs/>
          <w:lang w:val="en-US"/>
        </w:rPr>
        <w:instrText>IV</w:instrText>
      </w:r>
      <w:r w:rsidR="00A6794A" w:rsidRPr="00D3550C">
        <w:rPr>
          <w:b/>
          <w:bCs/>
        </w:rPr>
        <w:instrText xml:space="preserve"> </w:instrText>
      </w:r>
      <w:r w:rsidR="00A6794A">
        <w:rPr>
          <w:b/>
          <w:bCs/>
          <w:lang w:val="en-US"/>
        </w:rPr>
        <w:instrText>in</w:instrText>
      </w:r>
      <w:r w:rsidR="00A6794A" w:rsidRPr="00D3550C">
        <w:rPr>
          <w:b/>
          <w:bCs/>
        </w:rPr>
        <w:instrText xml:space="preserve"> 68% </w:instrText>
      </w:r>
      <w:r w:rsidR="00A6794A">
        <w:rPr>
          <w:b/>
          <w:bCs/>
          <w:lang w:val="en-US"/>
        </w:rPr>
        <w:instrText>of</w:instrText>
      </w:r>
      <w:r w:rsidR="00A6794A" w:rsidRPr="00D3550C">
        <w:rPr>
          <w:b/>
          <w:bCs/>
        </w:rPr>
        <w:instrText xml:space="preserve"> </w:instrText>
      </w:r>
      <w:r w:rsidR="00A6794A">
        <w:rPr>
          <w:b/>
          <w:bCs/>
          <w:lang w:val="en-US"/>
        </w:rPr>
        <w:instrText>the</w:instrText>
      </w:r>
      <w:r w:rsidR="00A6794A" w:rsidRPr="00D3550C">
        <w:rPr>
          <w:b/>
          <w:bCs/>
        </w:rPr>
        <w:instrText xml:space="preserve"> </w:instrText>
      </w:r>
      <w:r w:rsidR="00A6794A">
        <w:rPr>
          <w:b/>
          <w:bCs/>
          <w:lang w:val="en-US"/>
        </w:rPr>
        <w:instrText>patients</w:instrText>
      </w:r>
      <w:r w:rsidR="00A6794A" w:rsidRPr="00D3550C">
        <w:rPr>
          <w:b/>
          <w:bCs/>
        </w:rPr>
        <w:instrText xml:space="preserve">. </w:instrText>
      </w:r>
      <w:r w:rsidR="00A6794A">
        <w:rPr>
          <w:b/>
          <w:bCs/>
          <w:lang w:val="en-US"/>
        </w:rPr>
        <w:instrText>Four</w:instrText>
      </w:r>
      <w:r w:rsidR="00A6794A" w:rsidRPr="00D3550C">
        <w:rPr>
          <w:b/>
          <w:bCs/>
        </w:rPr>
        <w:instrText xml:space="preserve"> </w:instrText>
      </w:r>
      <w:r w:rsidR="00A6794A">
        <w:rPr>
          <w:b/>
          <w:bCs/>
          <w:lang w:val="en-US"/>
        </w:rPr>
        <w:instrText>doses</w:instrText>
      </w:r>
      <w:r w:rsidR="00A6794A" w:rsidRPr="00D3550C">
        <w:rPr>
          <w:b/>
          <w:bCs/>
        </w:rPr>
        <w:instrText xml:space="preserve"> </w:instrText>
      </w:r>
      <w:r w:rsidR="00A6794A">
        <w:rPr>
          <w:b/>
          <w:bCs/>
          <w:lang w:val="en-US"/>
        </w:rPr>
        <w:instrText>of</w:instrText>
      </w:r>
      <w:r w:rsidR="00A6794A" w:rsidRPr="00D3550C">
        <w:rPr>
          <w:b/>
          <w:bCs/>
        </w:rPr>
        <w:instrText xml:space="preserve"> 375</w:instrText>
      </w:r>
      <w:r w:rsidR="00A6794A">
        <w:rPr>
          <w:b/>
          <w:bCs/>
          <w:lang w:val="en-US"/>
        </w:rPr>
        <w:instrText> mg</w:instrText>
      </w:r>
      <w:r w:rsidR="00A6794A" w:rsidRPr="00D3550C">
        <w:rPr>
          <w:b/>
          <w:bCs/>
        </w:rPr>
        <w:instrText>/</w:instrText>
      </w:r>
      <w:r w:rsidR="00A6794A">
        <w:rPr>
          <w:b/>
          <w:bCs/>
          <w:lang w:val="en-US"/>
        </w:rPr>
        <w:instrText>m</w:instrText>
      </w:r>
      <w:r w:rsidR="00A6794A" w:rsidRPr="00D3550C">
        <w:rPr>
          <w:b/>
          <w:bCs/>
        </w:rPr>
        <w:instrText xml:space="preserve">2 </w:instrText>
      </w:r>
      <w:r w:rsidR="00A6794A">
        <w:rPr>
          <w:b/>
          <w:bCs/>
          <w:lang w:val="en-US"/>
        </w:rPr>
        <w:instrText>rituximab</w:instrText>
      </w:r>
      <w:r w:rsidR="00A6794A" w:rsidRPr="00D3550C">
        <w:rPr>
          <w:b/>
          <w:bCs/>
        </w:rPr>
        <w:instrText xml:space="preserve"> </w:instrText>
      </w:r>
      <w:r w:rsidR="00A6794A">
        <w:rPr>
          <w:b/>
          <w:bCs/>
          <w:lang w:val="en-US"/>
        </w:rPr>
        <w:instrText>were</w:instrText>
      </w:r>
      <w:r w:rsidR="00A6794A" w:rsidRPr="00D3550C">
        <w:rPr>
          <w:b/>
          <w:bCs/>
        </w:rPr>
        <w:instrText xml:space="preserve"> </w:instrText>
      </w:r>
      <w:r w:rsidR="00A6794A">
        <w:rPr>
          <w:b/>
          <w:bCs/>
          <w:lang w:val="en-US"/>
        </w:rPr>
        <w:instrText>added</w:instrText>
      </w:r>
      <w:r w:rsidR="00A6794A" w:rsidRPr="00D3550C">
        <w:rPr>
          <w:b/>
          <w:bCs/>
        </w:rPr>
        <w:instrText xml:space="preserve"> </w:instrText>
      </w:r>
      <w:r w:rsidR="00A6794A">
        <w:rPr>
          <w:b/>
          <w:bCs/>
          <w:lang w:val="en-US"/>
        </w:rPr>
        <w:instrText>to</w:instrText>
      </w:r>
      <w:r w:rsidR="00A6794A" w:rsidRPr="00D3550C">
        <w:rPr>
          <w:b/>
          <w:bCs/>
        </w:rPr>
        <w:instrText xml:space="preserve"> </w:instrText>
      </w:r>
      <w:r w:rsidR="00A6794A">
        <w:rPr>
          <w:b/>
          <w:bCs/>
          <w:lang w:val="en-US"/>
        </w:rPr>
        <w:instrText>the</w:instrText>
      </w:r>
      <w:r w:rsidR="00A6794A" w:rsidRPr="00D3550C">
        <w:rPr>
          <w:b/>
          <w:bCs/>
        </w:rPr>
        <w:instrText xml:space="preserve"> </w:instrText>
      </w:r>
      <w:r w:rsidR="00A6794A">
        <w:rPr>
          <w:b/>
          <w:bCs/>
          <w:lang w:val="en-US"/>
        </w:rPr>
        <w:instrText>Berlin</w:instrText>
      </w:r>
      <w:r w:rsidR="00A6794A" w:rsidRPr="00D3550C">
        <w:rPr>
          <w:b/>
          <w:bCs/>
        </w:rPr>
        <w:instrText>-</w:instrText>
      </w:r>
      <w:r w:rsidR="00A6794A">
        <w:rPr>
          <w:b/>
          <w:bCs/>
          <w:lang w:val="en-US"/>
        </w:rPr>
        <w:instrText>Frankfurt</w:instrText>
      </w:r>
      <w:r w:rsidR="00A6794A" w:rsidRPr="00D3550C">
        <w:rPr>
          <w:b/>
          <w:bCs/>
        </w:rPr>
        <w:instrText>-</w:instrText>
      </w:r>
      <w:r w:rsidR="00A6794A">
        <w:rPr>
          <w:b/>
          <w:bCs/>
          <w:lang w:val="en-US"/>
        </w:rPr>
        <w:instrText>Munster</w:instrText>
      </w:r>
      <w:r w:rsidR="00A6794A" w:rsidRPr="00D3550C">
        <w:rPr>
          <w:b/>
          <w:bCs/>
        </w:rPr>
        <w:instrText>-</w:instrText>
      </w:r>
      <w:r w:rsidR="00A6794A">
        <w:rPr>
          <w:b/>
          <w:bCs/>
          <w:lang w:val="en-US"/>
        </w:rPr>
        <w:instrText>NHL</w:instrText>
      </w:r>
      <w:r w:rsidR="00A6794A" w:rsidRPr="00D3550C">
        <w:rPr>
          <w:b/>
          <w:bCs/>
        </w:rPr>
        <w:instrText>-90-</w:instrText>
      </w:r>
      <w:r w:rsidR="00A6794A">
        <w:rPr>
          <w:b/>
          <w:bCs/>
          <w:lang w:val="en-US"/>
        </w:rPr>
        <w:instrText>like</w:instrText>
      </w:r>
      <w:r w:rsidR="00A6794A" w:rsidRPr="00D3550C">
        <w:rPr>
          <w:b/>
          <w:bCs/>
        </w:rPr>
        <w:instrText xml:space="preserve"> </w:instrText>
      </w:r>
      <w:r w:rsidR="00A6794A">
        <w:rPr>
          <w:b/>
          <w:bCs/>
          <w:lang w:val="en-US"/>
        </w:rPr>
        <w:instrText>chemotherapy</w:instrText>
      </w:r>
      <w:r w:rsidR="00A6794A" w:rsidRPr="00D3550C">
        <w:rPr>
          <w:b/>
          <w:bCs/>
        </w:rPr>
        <w:instrText xml:space="preserve">, </w:instrText>
      </w:r>
      <w:r w:rsidR="00A6794A">
        <w:rPr>
          <w:b/>
          <w:bCs/>
          <w:lang w:val="en-US"/>
        </w:rPr>
        <w:instrText>with</w:instrText>
      </w:r>
      <w:r w:rsidR="00A6794A" w:rsidRPr="00D3550C">
        <w:rPr>
          <w:b/>
          <w:bCs/>
        </w:rPr>
        <w:instrText xml:space="preserve"> </w:instrText>
      </w:r>
      <w:r w:rsidR="00A6794A">
        <w:rPr>
          <w:b/>
          <w:bCs/>
          <w:lang w:val="en-US"/>
        </w:rPr>
        <w:instrText>methotrexate</w:instrText>
      </w:r>
      <w:r w:rsidR="00A6794A" w:rsidRPr="00D3550C">
        <w:rPr>
          <w:b/>
          <w:bCs/>
        </w:rPr>
        <w:instrText xml:space="preserve"> </w:instrText>
      </w:r>
      <w:r w:rsidR="00A6794A">
        <w:rPr>
          <w:b/>
          <w:bCs/>
          <w:lang w:val="en-US"/>
        </w:rPr>
        <w:instrText>being</w:instrText>
      </w:r>
      <w:r w:rsidR="00A6794A" w:rsidRPr="00D3550C">
        <w:rPr>
          <w:b/>
          <w:bCs/>
        </w:rPr>
        <w:instrText xml:space="preserve"> </w:instrText>
      </w:r>
      <w:r w:rsidR="00A6794A">
        <w:rPr>
          <w:b/>
          <w:bCs/>
          <w:lang w:val="en-US"/>
        </w:rPr>
        <w:instrText>reduced</w:instrText>
      </w:r>
      <w:r w:rsidR="00A6794A" w:rsidRPr="00D3550C">
        <w:rPr>
          <w:b/>
          <w:bCs/>
        </w:rPr>
        <w:instrText xml:space="preserve"> </w:instrText>
      </w:r>
      <w:r w:rsidR="00A6794A">
        <w:rPr>
          <w:b/>
          <w:bCs/>
          <w:lang w:val="en-US"/>
        </w:rPr>
        <w:instrText>or</w:instrText>
      </w:r>
      <w:r w:rsidR="00A6794A" w:rsidRPr="00D3550C">
        <w:rPr>
          <w:b/>
          <w:bCs/>
        </w:rPr>
        <w:instrText xml:space="preserve"> </w:instrText>
      </w:r>
      <w:r w:rsidR="00A6794A">
        <w:rPr>
          <w:b/>
          <w:bCs/>
          <w:lang w:val="en-US"/>
        </w:rPr>
        <w:instrText>omitted</w:instrText>
      </w:r>
      <w:r w:rsidR="00A6794A" w:rsidRPr="00D3550C">
        <w:rPr>
          <w:b/>
          <w:bCs/>
        </w:rPr>
        <w:instrText xml:space="preserve"> </w:instrText>
      </w:r>
      <w:r w:rsidR="00A6794A">
        <w:rPr>
          <w:b/>
          <w:bCs/>
          <w:lang w:val="en-US"/>
        </w:rPr>
        <w:instrText>in</w:instrText>
      </w:r>
      <w:r w:rsidR="00A6794A" w:rsidRPr="00D3550C">
        <w:rPr>
          <w:b/>
          <w:bCs/>
        </w:rPr>
        <w:instrText xml:space="preserve"> </w:instrText>
      </w:r>
      <w:r w:rsidR="00A6794A">
        <w:rPr>
          <w:b/>
          <w:bCs/>
          <w:lang w:val="en-US"/>
        </w:rPr>
        <w:instrText>the</w:instrText>
      </w:r>
      <w:r w:rsidR="00A6794A" w:rsidRPr="00D3550C">
        <w:rPr>
          <w:b/>
          <w:bCs/>
        </w:rPr>
        <w:instrText xml:space="preserve"> </w:instrText>
      </w:r>
      <w:r w:rsidR="00A6794A">
        <w:rPr>
          <w:b/>
          <w:bCs/>
          <w:lang w:val="en-US"/>
        </w:rPr>
        <w:instrText>first</w:instrText>
      </w:r>
      <w:r w:rsidR="00A6794A" w:rsidRPr="00D3550C">
        <w:rPr>
          <w:b/>
          <w:bCs/>
        </w:rPr>
        <w:instrText xml:space="preserve"> 2 </w:instrText>
      </w:r>
      <w:r w:rsidR="00A6794A">
        <w:rPr>
          <w:b/>
          <w:bCs/>
          <w:lang w:val="en-US"/>
        </w:rPr>
        <w:instrText>induction</w:instrText>
      </w:r>
      <w:r w:rsidR="00A6794A" w:rsidRPr="00D3550C">
        <w:rPr>
          <w:b/>
          <w:bCs/>
        </w:rPr>
        <w:instrText xml:space="preserve"> </w:instrText>
      </w:r>
      <w:r w:rsidR="00A6794A">
        <w:rPr>
          <w:b/>
          <w:bCs/>
          <w:lang w:val="en-US"/>
        </w:rPr>
        <w:instrText>blocks</w:instrText>
      </w:r>
      <w:r w:rsidR="00A6794A" w:rsidRPr="00D3550C">
        <w:rPr>
          <w:b/>
          <w:bCs/>
        </w:rPr>
        <w:instrText xml:space="preserve">. </w:instrText>
      </w:r>
      <w:r w:rsidR="00A6794A">
        <w:rPr>
          <w:b/>
          <w:bCs/>
          <w:lang w:val="en-US"/>
        </w:rPr>
        <w:instrText>The</w:instrText>
      </w:r>
      <w:r w:rsidR="00A6794A" w:rsidRPr="00D3550C">
        <w:rPr>
          <w:b/>
          <w:bCs/>
        </w:rPr>
        <w:instrText xml:space="preserve"> </w:instrText>
      </w:r>
      <w:r w:rsidR="00A6794A">
        <w:rPr>
          <w:b/>
          <w:bCs/>
          <w:lang w:val="en-US"/>
        </w:rPr>
        <w:instrText>complete</w:instrText>
      </w:r>
      <w:r w:rsidR="00A6794A" w:rsidRPr="00D3550C">
        <w:rPr>
          <w:b/>
          <w:bCs/>
        </w:rPr>
        <w:instrText xml:space="preserve"> </w:instrText>
      </w:r>
      <w:r w:rsidR="00A6794A">
        <w:rPr>
          <w:b/>
          <w:bCs/>
          <w:lang w:val="en-US"/>
        </w:rPr>
        <w:instrText>remission</w:instrText>
      </w:r>
      <w:r w:rsidR="00A6794A" w:rsidRPr="00D3550C">
        <w:rPr>
          <w:b/>
          <w:bCs/>
        </w:rPr>
        <w:instrText xml:space="preserve"> </w:instrText>
      </w:r>
      <w:r w:rsidR="00A6794A">
        <w:rPr>
          <w:b/>
          <w:bCs/>
          <w:lang w:val="en-US"/>
        </w:rPr>
        <w:instrText>rate</w:instrText>
      </w:r>
      <w:r w:rsidR="00A6794A" w:rsidRPr="00D3550C">
        <w:rPr>
          <w:b/>
          <w:bCs/>
        </w:rPr>
        <w:instrText xml:space="preserve"> </w:instrText>
      </w:r>
      <w:r w:rsidR="00A6794A">
        <w:rPr>
          <w:b/>
          <w:bCs/>
          <w:lang w:val="en-US"/>
        </w:rPr>
        <w:instrText>was</w:instrText>
      </w:r>
      <w:r w:rsidR="00A6794A" w:rsidRPr="00D3550C">
        <w:rPr>
          <w:b/>
          <w:bCs/>
        </w:rPr>
        <w:instrText xml:space="preserve"> 100% </w:instrText>
      </w:r>
      <w:r w:rsidR="00A6794A">
        <w:rPr>
          <w:b/>
          <w:bCs/>
          <w:lang w:val="en-US"/>
        </w:rPr>
        <w:instrText>in</w:instrText>
      </w:r>
      <w:r w:rsidR="00A6794A" w:rsidRPr="00D3550C">
        <w:rPr>
          <w:b/>
          <w:bCs/>
        </w:rPr>
        <w:instrText xml:space="preserve"> </w:instrText>
      </w:r>
      <w:r w:rsidR="00A6794A">
        <w:rPr>
          <w:b/>
          <w:bCs/>
          <w:lang w:val="en-US"/>
        </w:rPr>
        <w:instrText>limited</w:instrText>
      </w:r>
      <w:r w:rsidR="00A6794A" w:rsidRPr="00D3550C">
        <w:rPr>
          <w:b/>
          <w:bCs/>
        </w:rPr>
        <w:instrText>-</w:instrText>
      </w:r>
      <w:r w:rsidR="00A6794A">
        <w:rPr>
          <w:b/>
          <w:bCs/>
          <w:lang w:val="en-US"/>
        </w:rPr>
        <w:instrText>stage</w:instrText>
      </w:r>
      <w:r w:rsidR="00A6794A" w:rsidRPr="00D3550C">
        <w:rPr>
          <w:b/>
          <w:bCs/>
        </w:rPr>
        <w:instrText xml:space="preserve"> </w:instrText>
      </w:r>
      <w:r w:rsidR="00A6794A">
        <w:rPr>
          <w:b/>
          <w:bCs/>
          <w:lang w:val="en-US"/>
        </w:rPr>
        <w:instrText>and</w:instrText>
      </w:r>
      <w:r w:rsidR="00A6794A" w:rsidRPr="00D3550C">
        <w:rPr>
          <w:b/>
          <w:bCs/>
        </w:rPr>
        <w:instrText xml:space="preserve"> 91·4% </w:instrText>
      </w:r>
      <w:r w:rsidR="00A6794A">
        <w:rPr>
          <w:b/>
          <w:bCs/>
          <w:lang w:val="en-US"/>
        </w:rPr>
        <w:instrText>in</w:instrText>
      </w:r>
      <w:r w:rsidR="00A6794A" w:rsidRPr="00D3550C">
        <w:rPr>
          <w:b/>
          <w:bCs/>
        </w:rPr>
        <w:instrText xml:space="preserve"> </w:instrText>
      </w:r>
      <w:r w:rsidR="00A6794A">
        <w:rPr>
          <w:b/>
          <w:bCs/>
          <w:lang w:val="en-US"/>
        </w:rPr>
        <w:instrText>advanced</w:instrText>
      </w:r>
      <w:r w:rsidR="00A6794A" w:rsidRPr="00D3550C">
        <w:rPr>
          <w:b/>
          <w:bCs/>
        </w:rPr>
        <w:instrText>-</w:instrText>
      </w:r>
      <w:r w:rsidR="00A6794A">
        <w:rPr>
          <w:b/>
          <w:bCs/>
          <w:lang w:val="en-US"/>
        </w:rPr>
        <w:instrText>stage</w:instrText>
      </w:r>
      <w:r w:rsidR="00A6794A" w:rsidRPr="00D3550C">
        <w:rPr>
          <w:b/>
          <w:bCs/>
        </w:rPr>
        <w:instrText xml:space="preserve"> </w:instrText>
      </w:r>
      <w:r w:rsidR="00A6794A">
        <w:rPr>
          <w:b/>
          <w:bCs/>
          <w:lang w:val="en-US"/>
        </w:rPr>
        <w:instrText>patients</w:instrText>
      </w:r>
      <w:r w:rsidR="00A6794A" w:rsidRPr="00D3550C">
        <w:rPr>
          <w:b/>
          <w:bCs/>
        </w:rPr>
        <w:instrText xml:space="preserve">. </w:instrText>
      </w:r>
      <w:r w:rsidR="00A6794A">
        <w:rPr>
          <w:b/>
          <w:bCs/>
          <w:lang w:val="en-US"/>
        </w:rPr>
        <w:instrText>Five</w:instrText>
      </w:r>
      <w:r w:rsidR="00A6794A" w:rsidRPr="00D3550C">
        <w:rPr>
          <w:b/>
          <w:bCs/>
        </w:rPr>
        <w:instrText xml:space="preserve"> </w:instrText>
      </w:r>
      <w:r w:rsidR="00A6794A">
        <w:rPr>
          <w:b/>
          <w:bCs/>
          <w:lang w:val="en-US"/>
        </w:rPr>
        <w:instrText>advanced</w:instrText>
      </w:r>
      <w:r w:rsidR="00A6794A" w:rsidRPr="00D3550C">
        <w:rPr>
          <w:b/>
          <w:bCs/>
        </w:rPr>
        <w:instrText>-</w:instrText>
      </w:r>
      <w:r w:rsidR="00A6794A">
        <w:rPr>
          <w:b/>
          <w:bCs/>
          <w:lang w:val="en-US"/>
        </w:rPr>
        <w:instrText>stage</w:instrText>
      </w:r>
      <w:r w:rsidR="00A6794A" w:rsidRPr="00D3550C">
        <w:rPr>
          <w:b/>
          <w:bCs/>
        </w:rPr>
        <w:instrText xml:space="preserve"> </w:instrText>
      </w:r>
      <w:r w:rsidR="00A6794A">
        <w:rPr>
          <w:b/>
          <w:bCs/>
          <w:lang w:val="en-US"/>
        </w:rPr>
        <w:instrText>patients</w:instrText>
      </w:r>
      <w:r w:rsidR="00A6794A" w:rsidRPr="00D3550C">
        <w:rPr>
          <w:b/>
          <w:bCs/>
        </w:rPr>
        <w:instrText xml:space="preserve"> (2·2%) </w:instrText>
      </w:r>
      <w:r w:rsidR="00A6794A">
        <w:rPr>
          <w:b/>
          <w:bCs/>
          <w:lang w:val="en-US"/>
        </w:rPr>
        <w:instrText>died</w:instrText>
      </w:r>
      <w:r w:rsidR="00A6794A" w:rsidRPr="00D3550C">
        <w:rPr>
          <w:b/>
          <w:bCs/>
        </w:rPr>
        <w:instrText xml:space="preserve"> </w:instrText>
      </w:r>
      <w:r w:rsidR="00A6794A">
        <w:rPr>
          <w:b/>
          <w:bCs/>
          <w:lang w:val="en-US"/>
        </w:rPr>
        <w:instrText>in</w:instrText>
      </w:r>
      <w:r w:rsidR="00A6794A" w:rsidRPr="00D3550C">
        <w:rPr>
          <w:b/>
          <w:bCs/>
        </w:rPr>
        <w:instrText xml:space="preserve"> </w:instrText>
      </w:r>
      <w:r w:rsidR="00A6794A">
        <w:rPr>
          <w:b/>
          <w:bCs/>
          <w:lang w:val="en-US"/>
        </w:rPr>
        <w:instrText>induction</w:instrText>
      </w:r>
      <w:r w:rsidR="00A6794A" w:rsidRPr="00D3550C">
        <w:rPr>
          <w:b/>
          <w:bCs/>
        </w:rPr>
        <w:instrText xml:space="preserve"> </w:instrText>
      </w:r>
      <w:r w:rsidR="00A6794A">
        <w:rPr>
          <w:b/>
          <w:bCs/>
          <w:lang w:val="en-US"/>
        </w:rPr>
        <w:instrText>and</w:instrText>
      </w:r>
      <w:r w:rsidR="00A6794A" w:rsidRPr="00D3550C">
        <w:rPr>
          <w:b/>
          <w:bCs/>
        </w:rPr>
        <w:instrText xml:space="preserve"> 1 </w:instrText>
      </w:r>
      <w:r w:rsidR="00A6794A">
        <w:rPr>
          <w:b/>
          <w:bCs/>
          <w:lang w:val="en-US"/>
        </w:rPr>
        <w:instrText>patient</w:instrText>
      </w:r>
      <w:r w:rsidR="00A6794A" w:rsidRPr="00D3550C">
        <w:rPr>
          <w:b/>
          <w:bCs/>
        </w:rPr>
        <w:instrText xml:space="preserve"> </w:instrText>
      </w:r>
      <w:r w:rsidR="00A6794A">
        <w:rPr>
          <w:b/>
          <w:bCs/>
          <w:lang w:val="en-US"/>
        </w:rPr>
        <w:instrText>with</w:instrText>
      </w:r>
      <w:r w:rsidR="00A6794A" w:rsidRPr="00D3550C">
        <w:rPr>
          <w:b/>
          <w:bCs/>
        </w:rPr>
        <w:instrText xml:space="preserve"> </w:instrText>
      </w:r>
      <w:r w:rsidR="00A6794A">
        <w:rPr>
          <w:b/>
          <w:bCs/>
          <w:lang w:val="en-US"/>
        </w:rPr>
        <w:instrText>stage</w:instrText>
      </w:r>
      <w:r w:rsidR="00A6794A" w:rsidRPr="00D3550C">
        <w:rPr>
          <w:b/>
          <w:bCs/>
        </w:rPr>
        <w:instrText xml:space="preserve"> 2 </w:instrText>
      </w:r>
      <w:r w:rsidR="00A6794A">
        <w:rPr>
          <w:b/>
          <w:bCs/>
          <w:lang w:val="en-US"/>
        </w:rPr>
        <w:instrText>B</w:instrText>
      </w:r>
      <w:r w:rsidR="00A6794A" w:rsidRPr="00D3550C">
        <w:rPr>
          <w:b/>
          <w:bCs/>
        </w:rPr>
        <w:instrText>-</w:instrText>
      </w:r>
      <w:r w:rsidR="00A6794A">
        <w:rPr>
          <w:b/>
          <w:bCs/>
          <w:lang w:val="en-US"/>
        </w:rPr>
        <w:instrText>NHL</w:instrText>
      </w:r>
      <w:r w:rsidR="00A6794A" w:rsidRPr="00D3550C">
        <w:rPr>
          <w:b/>
          <w:bCs/>
        </w:rPr>
        <w:instrText xml:space="preserve"> </w:instrText>
      </w:r>
      <w:r w:rsidR="00A6794A">
        <w:rPr>
          <w:b/>
          <w:bCs/>
          <w:lang w:val="en-US"/>
        </w:rPr>
        <w:instrText>died</w:instrText>
      </w:r>
      <w:r w:rsidR="00A6794A" w:rsidRPr="00D3550C">
        <w:rPr>
          <w:b/>
          <w:bCs/>
        </w:rPr>
        <w:instrText xml:space="preserve"> </w:instrText>
      </w:r>
      <w:r w:rsidR="00A6794A">
        <w:rPr>
          <w:b/>
          <w:bCs/>
          <w:lang w:val="en-US"/>
        </w:rPr>
        <w:instrText>in</w:instrText>
      </w:r>
      <w:r w:rsidR="00A6794A" w:rsidRPr="00D3550C">
        <w:rPr>
          <w:b/>
          <w:bCs/>
        </w:rPr>
        <w:instrText xml:space="preserve"> </w:instrText>
      </w:r>
      <w:r w:rsidR="00A6794A">
        <w:rPr>
          <w:b/>
          <w:bCs/>
          <w:lang w:val="en-US"/>
        </w:rPr>
        <w:instrText>remission</w:instrText>
      </w:r>
      <w:r w:rsidR="00A6794A" w:rsidRPr="00D3550C">
        <w:rPr>
          <w:b/>
          <w:bCs/>
        </w:rPr>
        <w:instrText xml:space="preserve">; 11 </w:instrText>
      </w:r>
      <w:r w:rsidR="00A6794A">
        <w:rPr>
          <w:b/>
          <w:bCs/>
          <w:lang w:val="en-US"/>
        </w:rPr>
        <w:instrText>patients</w:instrText>
      </w:r>
      <w:r w:rsidR="00A6794A" w:rsidRPr="00D3550C">
        <w:rPr>
          <w:b/>
          <w:bCs/>
        </w:rPr>
        <w:instrText xml:space="preserve"> </w:instrText>
      </w:r>
      <w:r w:rsidR="00A6794A">
        <w:rPr>
          <w:b/>
          <w:bCs/>
          <w:lang w:val="en-US"/>
        </w:rPr>
        <w:instrText>in</w:instrText>
      </w:r>
      <w:r w:rsidR="00A6794A" w:rsidRPr="00D3550C">
        <w:rPr>
          <w:b/>
          <w:bCs/>
        </w:rPr>
        <w:instrText xml:space="preserve"> </w:instrText>
      </w:r>
      <w:r w:rsidR="00A6794A">
        <w:rPr>
          <w:b/>
          <w:bCs/>
          <w:lang w:val="en-US"/>
        </w:rPr>
        <w:instrText>the</w:instrText>
      </w:r>
      <w:r w:rsidR="00A6794A" w:rsidRPr="00D3550C">
        <w:rPr>
          <w:b/>
          <w:bCs/>
        </w:rPr>
        <w:instrText xml:space="preserve"> </w:instrText>
      </w:r>
      <w:r w:rsidR="00A6794A">
        <w:rPr>
          <w:b/>
          <w:bCs/>
          <w:lang w:val="en-US"/>
        </w:rPr>
        <w:instrText>high</w:instrText>
      </w:r>
      <w:r w:rsidR="00A6794A" w:rsidRPr="00D3550C">
        <w:rPr>
          <w:b/>
          <w:bCs/>
        </w:rPr>
        <w:instrText>-</w:instrText>
      </w:r>
      <w:r w:rsidR="00A6794A">
        <w:rPr>
          <w:b/>
          <w:bCs/>
          <w:lang w:val="en-US"/>
        </w:rPr>
        <w:instrText>risk</w:instrText>
      </w:r>
      <w:r w:rsidR="00A6794A" w:rsidRPr="00D3550C">
        <w:rPr>
          <w:b/>
          <w:bCs/>
        </w:rPr>
        <w:instrText xml:space="preserve"> </w:instrText>
      </w:r>
      <w:r w:rsidR="00A6794A">
        <w:rPr>
          <w:b/>
          <w:bCs/>
          <w:lang w:val="en-US"/>
        </w:rPr>
        <w:instrText>group</w:instrText>
      </w:r>
      <w:r w:rsidR="00A6794A" w:rsidRPr="00D3550C">
        <w:rPr>
          <w:b/>
          <w:bCs/>
        </w:rPr>
        <w:instrText xml:space="preserve"> </w:instrText>
      </w:r>
      <w:r w:rsidR="00A6794A">
        <w:rPr>
          <w:b/>
          <w:bCs/>
          <w:lang w:val="en-US"/>
        </w:rPr>
        <w:instrText>progressed</w:instrText>
      </w:r>
      <w:r w:rsidR="00A6794A" w:rsidRPr="00D3550C">
        <w:rPr>
          <w:b/>
          <w:bCs/>
        </w:rPr>
        <w:instrText xml:space="preserve"> </w:instrText>
      </w:r>
      <w:r w:rsidR="00A6794A">
        <w:rPr>
          <w:b/>
          <w:bCs/>
          <w:lang w:val="en-US"/>
        </w:rPr>
        <w:instrText>on</w:instrText>
      </w:r>
      <w:r w:rsidR="00A6794A" w:rsidRPr="00D3550C">
        <w:rPr>
          <w:b/>
          <w:bCs/>
        </w:rPr>
        <w:instrText xml:space="preserve"> </w:instrText>
      </w:r>
      <w:r w:rsidR="00A6794A">
        <w:rPr>
          <w:b/>
          <w:bCs/>
          <w:lang w:val="en-US"/>
        </w:rPr>
        <w:instrText>therapy</w:instrText>
      </w:r>
      <w:r w:rsidR="00A6794A" w:rsidRPr="00D3550C">
        <w:rPr>
          <w:b/>
          <w:bCs/>
        </w:rPr>
        <w:instrText xml:space="preserve"> (3 </w:instrText>
      </w:r>
      <w:r w:rsidR="00A6794A">
        <w:rPr>
          <w:b/>
          <w:bCs/>
          <w:lang w:val="en-US"/>
        </w:rPr>
        <w:instrText>non</w:instrText>
      </w:r>
      <w:r w:rsidR="00A6794A" w:rsidRPr="00D3550C">
        <w:rPr>
          <w:b/>
          <w:bCs/>
        </w:rPr>
        <w:instrText>-</w:instrText>
      </w:r>
      <w:r w:rsidR="00A6794A">
        <w:rPr>
          <w:b/>
          <w:bCs/>
          <w:lang w:val="en-US"/>
        </w:rPr>
        <w:instrText>BL</w:instrText>
      </w:r>
      <w:r w:rsidR="00A6794A" w:rsidRPr="00D3550C">
        <w:rPr>
          <w:b/>
          <w:bCs/>
        </w:rPr>
        <w:instrText xml:space="preserve"> </w:instrText>
      </w:r>
      <w:r w:rsidR="00A6794A">
        <w:rPr>
          <w:b/>
          <w:bCs/>
          <w:lang w:val="en-US"/>
        </w:rPr>
        <w:instrText>are</w:instrText>
      </w:r>
      <w:r w:rsidR="00A6794A" w:rsidRPr="00D3550C">
        <w:rPr>
          <w:b/>
          <w:bCs/>
        </w:rPr>
        <w:instrText xml:space="preserve"> </w:instrText>
      </w:r>
      <w:r w:rsidR="00A6794A">
        <w:rPr>
          <w:b/>
          <w:bCs/>
          <w:lang w:val="en-US"/>
        </w:rPr>
        <w:instrText>alive</w:instrText>
      </w:r>
      <w:r w:rsidR="00A6794A" w:rsidRPr="00D3550C">
        <w:rPr>
          <w:b/>
          <w:bCs/>
        </w:rPr>
        <w:instrText xml:space="preserve"> </w:instrText>
      </w:r>
      <w:r w:rsidR="00A6794A">
        <w:rPr>
          <w:b/>
          <w:bCs/>
          <w:lang w:val="en-US"/>
        </w:rPr>
        <w:instrText>after</w:instrText>
      </w:r>
      <w:r w:rsidR="00A6794A" w:rsidRPr="00D3550C">
        <w:rPr>
          <w:b/>
          <w:bCs/>
        </w:rPr>
        <w:instrText xml:space="preserve"> </w:instrText>
      </w:r>
      <w:r w:rsidR="00A6794A">
        <w:rPr>
          <w:b/>
          <w:bCs/>
          <w:lang w:val="en-US"/>
        </w:rPr>
        <w:instrText>salvage</w:instrText>
      </w:r>
      <w:r w:rsidR="00A6794A" w:rsidRPr="00D3550C">
        <w:rPr>
          <w:b/>
          <w:bCs/>
        </w:rPr>
        <w:instrText xml:space="preserve">) </w:instrText>
      </w:r>
      <w:r w:rsidR="00A6794A">
        <w:rPr>
          <w:b/>
          <w:bCs/>
          <w:lang w:val="en-US"/>
        </w:rPr>
        <w:instrText>and</w:instrText>
      </w:r>
      <w:r w:rsidR="00A6794A" w:rsidRPr="00D3550C">
        <w:rPr>
          <w:b/>
          <w:bCs/>
        </w:rPr>
        <w:instrText xml:space="preserve"> 5 </w:instrText>
      </w:r>
      <w:r w:rsidR="00A6794A">
        <w:rPr>
          <w:b/>
          <w:bCs/>
          <w:lang w:val="en-US"/>
        </w:rPr>
        <w:instrText>relapsed</w:instrText>
      </w:r>
      <w:r w:rsidR="00A6794A" w:rsidRPr="00D3550C">
        <w:rPr>
          <w:b/>
          <w:bCs/>
        </w:rPr>
        <w:instrText xml:space="preserve">. </w:instrText>
      </w:r>
      <w:r w:rsidR="00A6794A">
        <w:rPr>
          <w:b/>
          <w:bCs/>
          <w:lang w:val="en-US"/>
        </w:rPr>
        <w:instrText>Sixteen</w:instrText>
      </w:r>
      <w:r w:rsidR="00A6794A" w:rsidRPr="00D3550C">
        <w:rPr>
          <w:b/>
          <w:bCs/>
        </w:rPr>
        <w:instrText xml:space="preserve"> </w:instrText>
      </w:r>
      <w:r w:rsidR="00A6794A">
        <w:rPr>
          <w:b/>
          <w:bCs/>
          <w:lang w:val="en-US"/>
        </w:rPr>
        <w:instrText>patients</w:instrText>
      </w:r>
      <w:r w:rsidR="00A6794A" w:rsidRPr="00D3550C">
        <w:rPr>
          <w:b/>
          <w:bCs/>
        </w:rPr>
        <w:instrText xml:space="preserve"> (9·7%) </w:instrText>
      </w:r>
      <w:r w:rsidR="00A6794A">
        <w:rPr>
          <w:b/>
          <w:bCs/>
          <w:lang w:val="en-US"/>
        </w:rPr>
        <w:instrText>with</w:instrText>
      </w:r>
      <w:r w:rsidR="00A6794A" w:rsidRPr="00D3550C">
        <w:rPr>
          <w:b/>
          <w:bCs/>
        </w:rPr>
        <w:instrText xml:space="preserve"> </w:instrText>
      </w:r>
      <w:r w:rsidR="00A6794A">
        <w:rPr>
          <w:b/>
          <w:bCs/>
          <w:lang w:val="en-US"/>
        </w:rPr>
        <w:instrText>advanced</w:instrText>
      </w:r>
      <w:r w:rsidR="00A6794A" w:rsidRPr="00D3550C">
        <w:rPr>
          <w:b/>
          <w:bCs/>
        </w:rPr>
        <w:instrText xml:space="preserve"> </w:instrText>
      </w:r>
      <w:r w:rsidR="00A6794A">
        <w:rPr>
          <w:b/>
          <w:bCs/>
          <w:lang w:val="en-US"/>
        </w:rPr>
        <w:instrText>stage</w:instrText>
      </w:r>
      <w:r w:rsidR="00A6794A" w:rsidRPr="00D3550C">
        <w:rPr>
          <w:b/>
          <w:bCs/>
        </w:rPr>
        <w:instrText xml:space="preserve"> </w:instrText>
      </w:r>
      <w:r w:rsidR="00A6794A">
        <w:rPr>
          <w:b/>
          <w:bCs/>
          <w:lang w:val="en-US"/>
        </w:rPr>
        <w:instrText>disease</w:instrText>
      </w:r>
      <w:r w:rsidR="00A6794A" w:rsidRPr="00D3550C">
        <w:rPr>
          <w:b/>
          <w:bCs/>
        </w:rPr>
        <w:instrText xml:space="preserve"> </w:instrText>
      </w:r>
      <w:r w:rsidR="00A6794A">
        <w:rPr>
          <w:b/>
          <w:bCs/>
          <w:lang w:val="en-US"/>
        </w:rPr>
        <w:instrText>proceeded</w:instrText>
      </w:r>
      <w:r w:rsidR="00A6794A" w:rsidRPr="00D3550C">
        <w:rPr>
          <w:b/>
          <w:bCs/>
        </w:rPr>
        <w:instrText xml:space="preserve"> </w:instrText>
      </w:r>
      <w:r w:rsidR="00A6794A">
        <w:rPr>
          <w:b/>
          <w:bCs/>
          <w:lang w:val="en-US"/>
        </w:rPr>
        <w:instrText>to</w:instrText>
      </w:r>
      <w:r w:rsidR="00A6794A" w:rsidRPr="00D3550C">
        <w:rPr>
          <w:b/>
          <w:bCs/>
        </w:rPr>
        <w:instrText xml:space="preserve"> </w:instrText>
      </w:r>
      <w:r w:rsidR="00A6794A">
        <w:rPr>
          <w:b/>
          <w:bCs/>
          <w:lang w:val="en-US"/>
        </w:rPr>
        <w:instrText>transplant</w:instrText>
      </w:r>
      <w:r w:rsidR="00A6794A" w:rsidRPr="00D3550C">
        <w:rPr>
          <w:b/>
          <w:bCs/>
        </w:rPr>
        <w:instrText xml:space="preserve">. </w:instrText>
      </w:r>
      <w:r w:rsidR="00A6794A">
        <w:rPr>
          <w:b/>
          <w:bCs/>
          <w:lang w:val="en-US"/>
        </w:rPr>
        <w:instrText>With</w:instrText>
      </w:r>
      <w:r w:rsidR="00A6794A" w:rsidRPr="00D3550C">
        <w:rPr>
          <w:b/>
          <w:bCs/>
        </w:rPr>
        <w:instrText xml:space="preserve"> </w:instrText>
      </w:r>
      <w:r w:rsidR="00A6794A">
        <w:rPr>
          <w:b/>
          <w:bCs/>
          <w:lang w:val="en-US"/>
        </w:rPr>
        <w:instrText>a</w:instrText>
      </w:r>
      <w:r w:rsidR="00A6794A" w:rsidRPr="00D3550C">
        <w:rPr>
          <w:b/>
          <w:bCs/>
        </w:rPr>
        <w:instrText xml:space="preserve"> </w:instrText>
      </w:r>
      <w:r w:rsidR="00A6794A">
        <w:rPr>
          <w:b/>
          <w:bCs/>
          <w:lang w:val="en-US"/>
        </w:rPr>
        <w:instrText>median</w:instrText>
      </w:r>
      <w:r w:rsidR="00A6794A" w:rsidRPr="00D3550C">
        <w:rPr>
          <w:b/>
          <w:bCs/>
        </w:rPr>
        <w:instrText xml:space="preserve"> </w:instrText>
      </w:r>
      <w:r w:rsidR="00A6794A">
        <w:rPr>
          <w:b/>
          <w:bCs/>
          <w:lang w:val="en-US"/>
        </w:rPr>
        <w:instrText>follow</w:instrText>
      </w:r>
      <w:r w:rsidR="00A6794A" w:rsidRPr="00D3550C">
        <w:rPr>
          <w:b/>
          <w:bCs/>
        </w:rPr>
        <w:instrText>-</w:instrText>
      </w:r>
      <w:r w:rsidR="00A6794A">
        <w:rPr>
          <w:b/>
          <w:bCs/>
          <w:lang w:val="en-US"/>
        </w:rPr>
        <w:instrText>up</w:instrText>
      </w:r>
      <w:r w:rsidR="00A6794A" w:rsidRPr="00D3550C">
        <w:rPr>
          <w:b/>
          <w:bCs/>
        </w:rPr>
        <w:instrText xml:space="preserve"> </w:instrText>
      </w:r>
      <w:r w:rsidR="00A6794A">
        <w:rPr>
          <w:b/>
          <w:bCs/>
          <w:lang w:val="en-US"/>
        </w:rPr>
        <w:instrText>of</w:instrText>
      </w:r>
      <w:r w:rsidR="00A6794A" w:rsidRPr="00D3550C">
        <w:rPr>
          <w:b/>
          <w:bCs/>
        </w:rPr>
        <w:instrText xml:space="preserve"> 46</w:instrText>
      </w:r>
      <w:r w:rsidR="00A6794A">
        <w:rPr>
          <w:b/>
          <w:bCs/>
          <w:lang w:val="en-US"/>
        </w:rPr>
        <w:instrText> months</w:instrText>
      </w:r>
      <w:r w:rsidR="00A6794A" w:rsidRPr="00D3550C">
        <w:rPr>
          <w:b/>
          <w:bCs/>
        </w:rPr>
        <w:instrText>, 98·5</w:instrText>
      </w:r>
      <w:r w:rsidR="00A6794A">
        <w:rPr>
          <w:b/>
          <w:bCs/>
          <w:lang w:val="en-US"/>
        </w:rPr>
        <w:instrText> ± 1% of patients with limited disease and 88·1 ± 2% (88·1% in Risk Group 3; 82·6% in Risk Group 4) in advanced stages are alive. This study confirmed that combined immunochemotherapy for B-lymphomas is highly effective in children, despite reducing the intensity of the induction blocks.","author":[{"dropping-particle":"","family":"Maschan","given":"Alexey","non-dropping-particle":"","parse-names":false,"suffix":""},{"dropping-particle":"","family":"Myakova","given":"Natalia","non-dropping-particle":"","parse-names":false,"suffix":""},{"dropping-particle":"","family":"Aleinikova","given":"Olga","non-dropping-particle":"","parse-names":false,"suffix":""},{"dropping-particle":"","family":"Abugova","given":"Yulia","non-dropping-particle":"","parse-names":false,"suffix":""},{"dropping-particle":"","family":"Ponomareva","given":"Natalia","non-dropping-particle":"","parse-names":false,"suffix":""},{"dropping-particle":"","family":"Belogurova","given":"Margarita","non-dropping-particle":"","parse-names":false,"suffix":""},{"dropping-particle":"","family":"Fechina","given":"Larisa","non-dropping-particle":"","parse-names":false,"suffix":""},{"dropping-particle":"","family":"Fedorova","given":"Alina","non-dropping-particle":"","parse-names":false,"suffix":""},{"dropping-particle":"","family":"Grigor'eva","given":"Natalia","non-dropping-particle":"","parse-names":false,"suffix":""},{"dropping-particle":"","family":"Lebedev","given":"Vladimir","non-dropping-particle":"","parse-names":false,"suffix":""},{"dropping-particle":"","family":"Nikonova","given":"Olga","non-dropping-particle":"","parse-names":false,"suffix":""},{"dropping-particle":"","family":"Shamardina","given":"Anastassia","non-dropping-particle":"","parse-names":false,"suffix":""},{"dropping-particle":"","family":"Sharapova","given":"Guzel","non-dropping-particle":"","parse-names":false,"suffix":""},{"dropping-particle":"","family":"Smirnova","given":"Nadezhda","non-dropping-particle":"","parse-names":false,"suffix":""},{"dropping-particle":"","family":"Rudneva","given":"Anastassia","non-dropping-particle":"","parse-names":false,"suffix":""},{"dropping-particle":"","family":"Volchkov","given":"Egor","non-dropping-particle":"","parse-names":false,"suffix":""},{"dropping-particle":"","family":"Samochatova","given":"Elena","non-dropping-particle":"","parse-names":false,"suffix":""}],"container-title":"British Journal of Haematology","id":"ITEM-1","issue":"3","issued":{"date-parts":[["2019","8","1"]]},"page":"477-483","publisher":"Blackwell Publishing Ltd","title":"Rituximab and reduced-intensity chemotherapy in children and adolescents with mature B-cell lymphoma: interim results for 231 patients enrolled in the second Russian-Belorussian multicentre study B-NHL-2010M","type":"article-journal","volume":"186"},"uris":["http://www.mendeley.com/documents/?uuid=d785740a-3410-3e67-a0c7-4d516bcdcf16"]},{"id":"ITEM-2","itemData":{"DOI":"10.1097/MPH.0b013e31829d4900","ISSN":"15363678","abstract":"Pediatric mature B-cell non-Hodgkin lymphomas (B-NHLs) are highly aggressive malignant tumors that are curable with chemotherapy (ChT). High-dose methotrexate (MTX) is considered indispensable for successful treatment, but this therapy frequently induces severe mucositis and infectious complications, especially in induction, which can cause treatment failure. A prospective multicenter trial of combined immunochemotherapy for advanced-stage B-NHL with rituximab and the modified NHL-BFM-90 protocol was conducted. The major differences from the original protocol were a decrease in the dose of MTX from 5000 to 1000 mg/m2/24 h in the first 2 ChT blocks and the addition of rituximab at 375 mg/m2 to each of the first 4 blocks of ChT. Eighty-three newly diagnosed patients with a median age of 8.84 years with Burkitt lymphoma/leukemia and diffuse large B-cell lymphomas stage III to IV were included. Four patients died during induction ChT due to tumor lysis syndrome and infection. Two additional patients died subsequently due to tumor resistance. Complete remission was achieved in 77 (92.8%) patients; 2 patients relapsed at 1 and 3 months, and 2 developed secondary malignancies at 1 and 6.5 years, respectively, after the completion of therapy. The overall survival probability was 82%±8% with a median follow-up of 65.2 months. Combined therapy with rituximab and intensive ChT with a reduced MTX dose of 1 g/m in the 2 induction courses was feasible and produced high cure rates in patients with pediatric advanced-stage mature B-NHL. Copyright © 2014 by Lippincott Williams &amp; Wilkins.","author":[{"dropping-particle":"V.","family":"Samochatova","given":"Elena","non-dropping-particle":"","parse-names":false,"suffix":""},{"dropping-particle":"","family":"Maschan","given":"Alexey A.","non-dropping-particle":"","parse-names":false,"suffix":""},{"dropping-particle":"","family":"Shelikhova","given":"Larisa N.","non-dropping-particle":"","parse-names":false,"suffix":""},{"dropping-particle":"V.","family":"Myakova","given":"Natalia","non-dropping-particle":"","parse-names":false,"suffix":""},{"dropping-particle":"","family":"Belogurova","given":"Margarita B.","non-dropping-particle":"","parse-names":false,"suffix":""},{"dropping-particle":"","family":"Khlebnikova","given":"Olga P.","non-dropping-particle":"","parse-names":false,"suffix":""},{"dropping-particle":"V.","family":"Shamardina</w:instrText>
      </w:r>
      <w:r w:rsidR="00A6794A" w:rsidRPr="00D3550C">
        <w:rPr>
          <w:b/>
          <w:bCs/>
        </w:rPr>
        <w:instrText>","</w:instrText>
      </w:r>
      <w:r w:rsidR="00A6794A">
        <w:rPr>
          <w:b/>
          <w:bCs/>
          <w:lang w:val="en-US"/>
        </w:rPr>
        <w:instrText>given</w:instrText>
      </w:r>
      <w:r w:rsidR="00A6794A" w:rsidRPr="00D3550C">
        <w:rPr>
          <w:b/>
          <w:bCs/>
        </w:rPr>
        <w:instrText>":"</w:instrText>
      </w:r>
      <w:r w:rsidR="00A6794A">
        <w:rPr>
          <w:b/>
          <w:bCs/>
          <w:lang w:val="en-US"/>
        </w:rPr>
        <w:instrText>Anastasia</w:instrText>
      </w:r>
      <w:r w:rsidR="00A6794A" w:rsidRPr="00D3550C">
        <w:rPr>
          <w:b/>
          <w:bCs/>
        </w:rPr>
        <w:instrText>","</w:instrText>
      </w:r>
      <w:r w:rsidR="00A6794A">
        <w:rPr>
          <w:b/>
          <w:bCs/>
          <w:lang w:val="en-US"/>
        </w:rPr>
        <w:instrText>non</w:instrText>
      </w:r>
      <w:r w:rsidR="00A6794A" w:rsidRPr="00D3550C">
        <w:rPr>
          <w:b/>
          <w:bCs/>
        </w:rPr>
        <w:instrText>-</w:instrText>
      </w:r>
      <w:r w:rsidR="00A6794A">
        <w:rPr>
          <w:b/>
          <w:bCs/>
          <w:lang w:val="en-US"/>
        </w:rPr>
        <w:instrText>dropping</w:instrText>
      </w:r>
      <w:r w:rsidR="00A6794A" w:rsidRPr="00D3550C">
        <w:rPr>
          <w:b/>
          <w:bCs/>
        </w:rPr>
        <w:instrText>-</w:instrText>
      </w:r>
      <w:r w:rsidR="00A6794A">
        <w:rPr>
          <w:b/>
          <w:bCs/>
          <w:lang w:val="en-US"/>
        </w:rPr>
        <w:instrText>particle</w:instrText>
      </w:r>
      <w:r w:rsidR="00A6794A" w:rsidRPr="00D3550C">
        <w:rPr>
          <w:b/>
          <w:bCs/>
        </w:rPr>
        <w:instrText>":"","</w:instrText>
      </w:r>
      <w:r w:rsidR="00A6794A">
        <w:rPr>
          <w:b/>
          <w:bCs/>
          <w:lang w:val="en-US"/>
        </w:rPr>
        <w:instrText>parse</w:instrText>
      </w:r>
      <w:r w:rsidR="00A6794A" w:rsidRPr="00D3550C">
        <w:rPr>
          <w:b/>
          <w:bCs/>
        </w:rPr>
        <w:instrText>-</w:instrText>
      </w:r>
      <w:r w:rsidR="00A6794A">
        <w:rPr>
          <w:b/>
          <w:bCs/>
          <w:lang w:val="en-US"/>
        </w:rPr>
        <w:instrText>names</w:instrText>
      </w:r>
      <w:r w:rsidR="00A6794A" w:rsidRPr="00D3550C">
        <w:rPr>
          <w:b/>
          <w:bCs/>
        </w:rPr>
        <w:instrText>":</w:instrText>
      </w:r>
      <w:r w:rsidR="00A6794A">
        <w:rPr>
          <w:b/>
          <w:bCs/>
          <w:lang w:val="en-US"/>
        </w:rPr>
        <w:instrText>false</w:instrText>
      </w:r>
      <w:r w:rsidR="00A6794A" w:rsidRPr="00D3550C">
        <w:rPr>
          <w:b/>
          <w:bCs/>
        </w:rPr>
        <w:instrText>,"</w:instrText>
      </w:r>
      <w:r w:rsidR="00A6794A">
        <w:rPr>
          <w:b/>
          <w:bCs/>
          <w:lang w:val="en-US"/>
        </w:rPr>
        <w:instrText>suffix</w:instrText>
      </w:r>
      <w:r w:rsidR="00A6794A" w:rsidRPr="00D3550C">
        <w:rPr>
          <w:b/>
          <w:bCs/>
        </w:rPr>
        <w:instrText>":""},{"</w:instrText>
      </w:r>
      <w:r w:rsidR="00A6794A">
        <w:rPr>
          <w:b/>
          <w:bCs/>
          <w:lang w:val="en-US"/>
        </w:rPr>
        <w:instrText>dropping</w:instrText>
      </w:r>
      <w:r w:rsidR="00A6794A" w:rsidRPr="00D3550C">
        <w:rPr>
          <w:b/>
          <w:bCs/>
        </w:rPr>
        <w:instrText>-</w:instrText>
      </w:r>
      <w:r w:rsidR="00A6794A">
        <w:rPr>
          <w:b/>
          <w:bCs/>
          <w:lang w:val="en-US"/>
        </w:rPr>
        <w:instrText>particle</w:instrText>
      </w:r>
      <w:r w:rsidR="00A6794A" w:rsidRPr="00D3550C">
        <w:rPr>
          <w:b/>
          <w:bCs/>
        </w:rPr>
        <w:instrText>":"</w:instrText>
      </w:r>
      <w:r w:rsidR="00A6794A">
        <w:rPr>
          <w:b/>
          <w:bCs/>
          <w:lang w:val="en-US"/>
        </w:rPr>
        <w:instrText>V</w:instrText>
      </w:r>
      <w:r w:rsidR="00A6794A" w:rsidRPr="00D3550C">
        <w:rPr>
          <w:b/>
          <w:bCs/>
        </w:rPr>
        <w:instrText>.","</w:instrText>
      </w:r>
      <w:r w:rsidR="00A6794A">
        <w:rPr>
          <w:b/>
          <w:bCs/>
          <w:lang w:val="en-US"/>
        </w:rPr>
        <w:instrText>family</w:instrText>
      </w:r>
      <w:r w:rsidR="00A6794A" w:rsidRPr="00D3550C">
        <w:rPr>
          <w:b/>
          <w:bCs/>
        </w:rPr>
        <w:instrText>":"</w:instrText>
      </w:r>
      <w:r w:rsidR="00A6794A">
        <w:rPr>
          <w:b/>
          <w:bCs/>
          <w:lang w:val="en-US"/>
        </w:rPr>
        <w:instrText>Ryskal</w:instrText>
      </w:r>
      <w:r w:rsidR="00A6794A" w:rsidRPr="00D3550C">
        <w:rPr>
          <w:b/>
          <w:bCs/>
        </w:rPr>
        <w:instrText>","</w:instrText>
      </w:r>
      <w:r w:rsidR="00A6794A">
        <w:rPr>
          <w:b/>
          <w:bCs/>
          <w:lang w:val="en-US"/>
        </w:rPr>
        <w:instrText>given</w:instrText>
      </w:r>
      <w:r w:rsidR="00A6794A" w:rsidRPr="00D3550C">
        <w:rPr>
          <w:b/>
          <w:bCs/>
        </w:rPr>
        <w:instrText>":"</w:instrText>
      </w:r>
      <w:r w:rsidR="00A6794A">
        <w:rPr>
          <w:b/>
          <w:bCs/>
          <w:lang w:val="en-US"/>
        </w:rPr>
        <w:instrText>Olga</w:instrText>
      </w:r>
      <w:r w:rsidR="00A6794A" w:rsidRPr="00D3550C">
        <w:rPr>
          <w:b/>
          <w:bCs/>
        </w:rPr>
        <w:instrText>","</w:instrText>
      </w:r>
      <w:r w:rsidR="00A6794A">
        <w:rPr>
          <w:b/>
          <w:bCs/>
          <w:lang w:val="en-US"/>
        </w:rPr>
        <w:instrText>non</w:instrText>
      </w:r>
      <w:r w:rsidR="00A6794A" w:rsidRPr="00D3550C">
        <w:rPr>
          <w:b/>
          <w:bCs/>
        </w:rPr>
        <w:instrText>-</w:instrText>
      </w:r>
      <w:r w:rsidR="00A6794A">
        <w:rPr>
          <w:b/>
          <w:bCs/>
          <w:lang w:val="en-US"/>
        </w:rPr>
        <w:instrText>dropping</w:instrText>
      </w:r>
      <w:r w:rsidR="00A6794A" w:rsidRPr="00D3550C">
        <w:rPr>
          <w:b/>
          <w:bCs/>
        </w:rPr>
        <w:instrText>-</w:instrText>
      </w:r>
      <w:r w:rsidR="00A6794A">
        <w:rPr>
          <w:b/>
          <w:bCs/>
          <w:lang w:val="en-US"/>
        </w:rPr>
        <w:instrText>particle</w:instrText>
      </w:r>
      <w:r w:rsidR="00A6794A" w:rsidRPr="00D3550C">
        <w:rPr>
          <w:b/>
          <w:bCs/>
        </w:rPr>
        <w:instrText>":"","</w:instrText>
      </w:r>
      <w:r w:rsidR="00A6794A">
        <w:rPr>
          <w:b/>
          <w:bCs/>
          <w:lang w:val="en-US"/>
        </w:rPr>
        <w:instrText>parse</w:instrText>
      </w:r>
      <w:r w:rsidR="00A6794A" w:rsidRPr="00D3550C">
        <w:rPr>
          <w:b/>
          <w:bCs/>
        </w:rPr>
        <w:instrText>-</w:instrText>
      </w:r>
      <w:r w:rsidR="00A6794A">
        <w:rPr>
          <w:b/>
          <w:bCs/>
          <w:lang w:val="en-US"/>
        </w:rPr>
        <w:instrText>names</w:instrText>
      </w:r>
      <w:r w:rsidR="00A6794A" w:rsidRPr="00D3550C">
        <w:rPr>
          <w:b/>
          <w:bCs/>
        </w:rPr>
        <w:instrText>":</w:instrText>
      </w:r>
      <w:r w:rsidR="00A6794A">
        <w:rPr>
          <w:b/>
          <w:bCs/>
          <w:lang w:val="en-US"/>
        </w:rPr>
        <w:instrText>false</w:instrText>
      </w:r>
      <w:r w:rsidR="00A6794A" w:rsidRPr="00D3550C">
        <w:rPr>
          <w:b/>
          <w:bCs/>
        </w:rPr>
        <w:instrText>,"</w:instrText>
      </w:r>
      <w:r w:rsidR="00A6794A">
        <w:rPr>
          <w:b/>
          <w:bCs/>
          <w:lang w:val="en-US"/>
        </w:rPr>
        <w:instrText>suffix</w:instrText>
      </w:r>
      <w:r w:rsidR="00A6794A" w:rsidRPr="00D3550C">
        <w:rPr>
          <w:b/>
          <w:bCs/>
        </w:rPr>
        <w:instrText>":""},{"</w:instrText>
      </w:r>
      <w:r w:rsidR="00A6794A">
        <w:rPr>
          <w:b/>
          <w:bCs/>
          <w:lang w:val="en-US"/>
        </w:rPr>
        <w:instrText>dropping</w:instrText>
      </w:r>
      <w:r w:rsidR="00A6794A" w:rsidRPr="00D3550C">
        <w:rPr>
          <w:b/>
          <w:bCs/>
        </w:rPr>
        <w:instrText>-</w:instrText>
      </w:r>
      <w:r w:rsidR="00A6794A">
        <w:rPr>
          <w:b/>
          <w:bCs/>
          <w:lang w:val="en-US"/>
        </w:rPr>
        <w:instrText>particle</w:instrText>
      </w:r>
      <w:r w:rsidR="00A6794A" w:rsidRPr="00D3550C">
        <w:rPr>
          <w:b/>
          <w:bCs/>
        </w:rPr>
        <w:instrText>":"</w:instrText>
      </w:r>
      <w:r w:rsidR="00A6794A">
        <w:rPr>
          <w:b/>
          <w:bCs/>
          <w:lang w:val="en-US"/>
        </w:rPr>
        <w:instrText>V</w:instrText>
      </w:r>
      <w:r w:rsidR="00A6794A" w:rsidRPr="00D3550C">
        <w:rPr>
          <w:b/>
          <w:bCs/>
        </w:rPr>
        <w:instrText>.","</w:instrText>
      </w:r>
      <w:r w:rsidR="00A6794A">
        <w:rPr>
          <w:b/>
          <w:bCs/>
          <w:lang w:val="en-US"/>
        </w:rPr>
        <w:instrText>family</w:instrText>
      </w:r>
      <w:r w:rsidR="00A6794A" w:rsidRPr="00D3550C">
        <w:rPr>
          <w:b/>
          <w:bCs/>
        </w:rPr>
        <w:instrText>":"</w:instrText>
      </w:r>
      <w:r w:rsidR="00A6794A">
        <w:rPr>
          <w:b/>
          <w:bCs/>
          <w:lang w:val="en-US"/>
        </w:rPr>
        <w:instrText>Roumiantseva</w:instrText>
      </w:r>
      <w:r w:rsidR="00A6794A" w:rsidRPr="00D3550C">
        <w:rPr>
          <w:b/>
          <w:bCs/>
        </w:rPr>
        <w:instrText>","</w:instrText>
      </w:r>
      <w:r w:rsidR="00A6794A">
        <w:rPr>
          <w:b/>
          <w:bCs/>
          <w:lang w:val="en-US"/>
        </w:rPr>
        <w:instrText>given</w:instrText>
      </w:r>
      <w:r w:rsidR="00A6794A" w:rsidRPr="00D3550C">
        <w:rPr>
          <w:b/>
          <w:bCs/>
        </w:rPr>
        <w:instrText>":"</w:instrText>
      </w:r>
      <w:r w:rsidR="00A6794A">
        <w:rPr>
          <w:b/>
          <w:bCs/>
          <w:lang w:val="en-US"/>
        </w:rPr>
        <w:instrText>Julia</w:instrText>
      </w:r>
      <w:r w:rsidR="00A6794A" w:rsidRPr="00D3550C">
        <w:rPr>
          <w:b/>
          <w:bCs/>
        </w:rPr>
        <w:instrText>","</w:instrText>
      </w:r>
      <w:r w:rsidR="00A6794A">
        <w:rPr>
          <w:b/>
          <w:bCs/>
          <w:lang w:val="en-US"/>
        </w:rPr>
        <w:instrText>non</w:instrText>
      </w:r>
      <w:r w:rsidR="00A6794A" w:rsidRPr="00D3550C">
        <w:rPr>
          <w:b/>
          <w:bCs/>
        </w:rPr>
        <w:instrText>-</w:instrText>
      </w:r>
      <w:r w:rsidR="00A6794A">
        <w:rPr>
          <w:b/>
          <w:bCs/>
          <w:lang w:val="en-US"/>
        </w:rPr>
        <w:instrText>dropping</w:instrText>
      </w:r>
      <w:r w:rsidR="00A6794A" w:rsidRPr="00D3550C">
        <w:rPr>
          <w:b/>
          <w:bCs/>
        </w:rPr>
        <w:instrText>-</w:instrText>
      </w:r>
      <w:r w:rsidR="00A6794A">
        <w:rPr>
          <w:b/>
          <w:bCs/>
          <w:lang w:val="en-US"/>
        </w:rPr>
        <w:instrText>particle</w:instrText>
      </w:r>
      <w:r w:rsidR="00A6794A" w:rsidRPr="00D3550C">
        <w:rPr>
          <w:b/>
          <w:bCs/>
        </w:rPr>
        <w:instrText>":"","</w:instrText>
      </w:r>
      <w:r w:rsidR="00A6794A">
        <w:rPr>
          <w:b/>
          <w:bCs/>
          <w:lang w:val="en-US"/>
        </w:rPr>
        <w:instrText>parse</w:instrText>
      </w:r>
      <w:r w:rsidR="00A6794A" w:rsidRPr="00D3550C">
        <w:rPr>
          <w:b/>
          <w:bCs/>
        </w:rPr>
        <w:instrText>-</w:instrText>
      </w:r>
      <w:r w:rsidR="00A6794A">
        <w:rPr>
          <w:b/>
          <w:bCs/>
          <w:lang w:val="en-US"/>
        </w:rPr>
        <w:instrText>names</w:instrText>
      </w:r>
      <w:r w:rsidR="00A6794A" w:rsidRPr="00D3550C">
        <w:rPr>
          <w:b/>
          <w:bCs/>
        </w:rPr>
        <w:instrText>":</w:instrText>
      </w:r>
      <w:r w:rsidR="00A6794A">
        <w:rPr>
          <w:b/>
          <w:bCs/>
          <w:lang w:val="en-US"/>
        </w:rPr>
        <w:instrText>false</w:instrText>
      </w:r>
      <w:r w:rsidR="00A6794A" w:rsidRPr="00D3550C">
        <w:rPr>
          <w:b/>
          <w:bCs/>
        </w:rPr>
        <w:instrText>,"</w:instrText>
      </w:r>
      <w:r w:rsidR="00A6794A">
        <w:rPr>
          <w:b/>
          <w:bCs/>
          <w:lang w:val="en-US"/>
        </w:rPr>
        <w:instrText>suffix</w:instrText>
      </w:r>
      <w:r w:rsidR="00A6794A" w:rsidRPr="00D3550C">
        <w:rPr>
          <w:b/>
          <w:bCs/>
        </w:rPr>
        <w:instrText>":""},{"</w:instrText>
      </w:r>
      <w:r w:rsidR="00A6794A">
        <w:rPr>
          <w:b/>
          <w:bCs/>
          <w:lang w:val="en-US"/>
        </w:rPr>
        <w:instrText>dropping</w:instrText>
      </w:r>
      <w:r w:rsidR="00A6794A" w:rsidRPr="00D3550C">
        <w:rPr>
          <w:b/>
          <w:bCs/>
        </w:rPr>
        <w:instrText>-</w:instrText>
      </w:r>
      <w:r w:rsidR="00A6794A">
        <w:rPr>
          <w:b/>
          <w:bCs/>
          <w:lang w:val="en-US"/>
        </w:rPr>
        <w:instrText>particle</w:instrText>
      </w:r>
      <w:r w:rsidR="00A6794A" w:rsidRPr="00D3550C">
        <w:rPr>
          <w:b/>
          <w:bCs/>
        </w:rPr>
        <w:instrText>":"","</w:instrText>
      </w:r>
      <w:r w:rsidR="00A6794A">
        <w:rPr>
          <w:b/>
          <w:bCs/>
          <w:lang w:val="en-US"/>
        </w:rPr>
        <w:instrText>family</w:instrText>
      </w:r>
      <w:r w:rsidR="00A6794A" w:rsidRPr="00D3550C">
        <w:rPr>
          <w:b/>
          <w:bCs/>
        </w:rPr>
        <w:instrText>":"</w:instrText>
      </w:r>
      <w:r w:rsidR="00A6794A">
        <w:rPr>
          <w:b/>
          <w:bCs/>
          <w:lang w:val="en-US"/>
        </w:rPr>
        <w:instrText>Konovalov</w:instrText>
      </w:r>
      <w:r w:rsidR="00A6794A" w:rsidRPr="00D3550C">
        <w:rPr>
          <w:b/>
          <w:bCs/>
        </w:rPr>
        <w:instrText>","</w:instrText>
      </w:r>
      <w:r w:rsidR="00A6794A">
        <w:rPr>
          <w:b/>
          <w:bCs/>
          <w:lang w:val="en-US"/>
        </w:rPr>
        <w:instrText>given</w:instrText>
      </w:r>
      <w:r w:rsidR="00A6794A" w:rsidRPr="00D3550C">
        <w:rPr>
          <w:b/>
          <w:bCs/>
        </w:rPr>
        <w:instrText>":"</w:instrText>
      </w:r>
      <w:r w:rsidR="00A6794A">
        <w:rPr>
          <w:b/>
          <w:bCs/>
          <w:lang w:val="en-US"/>
        </w:rPr>
        <w:instrText>Dmitriy</w:instrText>
      </w:r>
      <w:r w:rsidR="00A6794A" w:rsidRPr="00D3550C">
        <w:rPr>
          <w:b/>
          <w:bCs/>
        </w:rPr>
        <w:instrText xml:space="preserve"> </w:instrText>
      </w:r>
      <w:r w:rsidR="00A6794A">
        <w:rPr>
          <w:b/>
          <w:bCs/>
          <w:lang w:val="en-US"/>
        </w:rPr>
        <w:instrText>M</w:instrText>
      </w:r>
      <w:r w:rsidR="00A6794A" w:rsidRPr="00D3550C">
        <w:rPr>
          <w:b/>
          <w:bCs/>
        </w:rPr>
        <w:instrText>.","</w:instrText>
      </w:r>
      <w:r w:rsidR="00A6794A">
        <w:rPr>
          <w:b/>
          <w:bCs/>
          <w:lang w:val="en-US"/>
        </w:rPr>
        <w:instrText>non</w:instrText>
      </w:r>
      <w:r w:rsidR="00A6794A" w:rsidRPr="00D3550C">
        <w:rPr>
          <w:b/>
          <w:bCs/>
        </w:rPr>
        <w:instrText>-</w:instrText>
      </w:r>
      <w:r w:rsidR="00A6794A">
        <w:rPr>
          <w:b/>
          <w:bCs/>
          <w:lang w:val="en-US"/>
        </w:rPr>
        <w:instrText>dropping</w:instrText>
      </w:r>
      <w:r w:rsidR="00A6794A" w:rsidRPr="00D3550C">
        <w:rPr>
          <w:b/>
          <w:bCs/>
        </w:rPr>
        <w:instrText>-</w:instrText>
      </w:r>
      <w:r w:rsidR="00A6794A">
        <w:rPr>
          <w:b/>
          <w:bCs/>
          <w:lang w:val="en-US"/>
        </w:rPr>
        <w:instrText>particle</w:instrText>
      </w:r>
      <w:r w:rsidR="00A6794A" w:rsidRPr="00D3550C">
        <w:rPr>
          <w:b/>
          <w:bCs/>
        </w:rPr>
        <w:instrText>":"","</w:instrText>
      </w:r>
      <w:r w:rsidR="00A6794A">
        <w:rPr>
          <w:b/>
          <w:bCs/>
          <w:lang w:val="en-US"/>
        </w:rPr>
        <w:instrText>parse</w:instrText>
      </w:r>
      <w:r w:rsidR="00A6794A" w:rsidRPr="00D3550C">
        <w:rPr>
          <w:b/>
          <w:bCs/>
        </w:rPr>
        <w:instrText>-</w:instrText>
      </w:r>
      <w:r w:rsidR="00A6794A">
        <w:rPr>
          <w:b/>
          <w:bCs/>
          <w:lang w:val="en-US"/>
        </w:rPr>
        <w:instrText>names</w:instrText>
      </w:r>
      <w:r w:rsidR="00A6794A" w:rsidRPr="00D3550C">
        <w:rPr>
          <w:b/>
          <w:bCs/>
        </w:rPr>
        <w:instrText>":</w:instrText>
      </w:r>
      <w:r w:rsidR="00A6794A">
        <w:rPr>
          <w:b/>
          <w:bCs/>
          <w:lang w:val="en-US"/>
        </w:rPr>
        <w:instrText>false</w:instrText>
      </w:r>
      <w:r w:rsidR="00A6794A" w:rsidRPr="00D3550C">
        <w:rPr>
          <w:b/>
          <w:bCs/>
        </w:rPr>
        <w:instrText>,"</w:instrText>
      </w:r>
      <w:r w:rsidR="00A6794A">
        <w:rPr>
          <w:b/>
          <w:bCs/>
          <w:lang w:val="en-US"/>
        </w:rPr>
        <w:instrText>suffix</w:instrText>
      </w:r>
      <w:r w:rsidR="00A6794A" w:rsidRPr="00D3550C">
        <w:rPr>
          <w:b/>
          <w:bCs/>
        </w:rPr>
        <w:instrText>":""},{"</w:instrText>
      </w:r>
      <w:r w:rsidR="00A6794A">
        <w:rPr>
          <w:b/>
          <w:bCs/>
          <w:lang w:val="en-US"/>
        </w:rPr>
        <w:instrText>dropping</w:instrText>
      </w:r>
      <w:r w:rsidR="00A6794A" w:rsidRPr="00D3550C">
        <w:rPr>
          <w:b/>
          <w:bCs/>
        </w:rPr>
        <w:instrText>-</w:instrText>
      </w:r>
      <w:r w:rsidR="00A6794A">
        <w:rPr>
          <w:b/>
          <w:bCs/>
          <w:lang w:val="en-US"/>
        </w:rPr>
        <w:instrText>particle</w:instrText>
      </w:r>
      <w:r w:rsidR="00A6794A" w:rsidRPr="00D3550C">
        <w:rPr>
          <w:b/>
          <w:bCs/>
        </w:rPr>
        <w:instrText>":"","</w:instrText>
      </w:r>
      <w:r w:rsidR="00A6794A">
        <w:rPr>
          <w:b/>
          <w:bCs/>
          <w:lang w:val="en-US"/>
        </w:rPr>
        <w:instrText>family</w:instrText>
      </w:r>
      <w:r w:rsidR="00A6794A" w:rsidRPr="00D3550C">
        <w:rPr>
          <w:b/>
          <w:bCs/>
        </w:rPr>
        <w:instrText>":"</w:instrText>
      </w:r>
      <w:r w:rsidR="00A6794A">
        <w:rPr>
          <w:b/>
          <w:bCs/>
          <w:lang w:val="en-US"/>
        </w:rPr>
        <w:instrText>Dubrovina</w:instrText>
      </w:r>
      <w:r w:rsidR="00A6794A" w:rsidRPr="00D3550C">
        <w:rPr>
          <w:b/>
          <w:bCs/>
        </w:rPr>
        <w:instrText>","</w:instrText>
      </w:r>
      <w:r w:rsidR="00A6794A">
        <w:rPr>
          <w:b/>
          <w:bCs/>
          <w:lang w:val="en-US"/>
        </w:rPr>
        <w:instrText>given</w:instrText>
      </w:r>
      <w:r w:rsidR="00A6794A" w:rsidRPr="00D3550C">
        <w:rPr>
          <w:b/>
          <w:bCs/>
        </w:rPr>
        <w:instrText>":"</w:instrText>
      </w:r>
      <w:r w:rsidR="00A6794A">
        <w:rPr>
          <w:b/>
          <w:bCs/>
          <w:lang w:val="en-US"/>
        </w:rPr>
        <w:instrText>Maria</w:instrText>
      </w:r>
      <w:r w:rsidR="00A6794A" w:rsidRPr="00D3550C">
        <w:rPr>
          <w:b/>
          <w:bCs/>
        </w:rPr>
        <w:instrText xml:space="preserve"> </w:instrText>
      </w:r>
      <w:r w:rsidR="00A6794A">
        <w:rPr>
          <w:b/>
          <w:bCs/>
          <w:lang w:val="en-US"/>
        </w:rPr>
        <w:instrText>E</w:instrText>
      </w:r>
      <w:r w:rsidR="00A6794A" w:rsidRPr="00D3550C">
        <w:rPr>
          <w:b/>
          <w:bCs/>
        </w:rPr>
        <w:instrText>.","</w:instrText>
      </w:r>
      <w:r w:rsidR="00A6794A">
        <w:rPr>
          <w:b/>
          <w:bCs/>
          <w:lang w:val="en-US"/>
        </w:rPr>
        <w:instrText>non</w:instrText>
      </w:r>
      <w:r w:rsidR="00A6794A" w:rsidRPr="00D3550C">
        <w:rPr>
          <w:b/>
          <w:bCs/>
        </w:rPr>
        <w:instrText>-</w:instrText>
      </w:r>
      <w:r w:rsidR="00A6794A">
        <w:rPr>
          <w:b/>
          <w:bCs/>
          <w:lang w:val="en-US"/>
        </w:rPr>
        <w:instrText>dropping</w:instrText>
      </w:r>
      <w:r w:rsidR="00A6794A" w:rsidRPr="00D3550C">
        <w:rPr>
          <w:b/>
          <w:bCs/>
        </w:rPr>
        <w:instrText>-</w:instrText>
      </w:r>
      <w:r w:rsidR="00A6794A">
        <w:rPr>
          <w:b/>
          <w:bCs/>
          <w:lang w:val="en-US"/>
        </w:rPr>
        <w:instrText>particle</w:instrText>
      </w:r>
      <w:r w:rsidR="00A6794A" w:rsidRPr="00D3550C">
        <w:rPr>
          <w:b/>
          <w:bCs/>
        </w:rPr>
        <w:instrText>":"","</w:instrText>
      </w:r>
      <w:r w:rsidR="00A6794A">
        <w:rPr>
          <w:b/>
          <w:bCs/>
          <w:lang w:val="en-US"/>
        </w:rPr>
        <w:instrText>parse</w:instrText>
      </w:r>
      <w:r w:rsidR="00A6794A" w:rsidRPr="00D3550C">
        <w:rPr>
          <w:b/>
          <w:bCs/>
        </w:rPr>
        <w:instrText>-</w:instrText>
      </w:r>
      <w:r w:rsidR="00A6794A">
        <w:rPr>
          <w:b/>
          <w:bCs/>
          <w:lang w:val="en-US"/>
        </w:rPr>
        <w:instrText>names</w:instrText>
      </w:r>
      <w:r w:rsidR="00A6794A" w:rsidRPr="00D3550C">
        <w:rPr>
          <w:b/>
          <w:bCs/>
        </w:rPr>
        <w:instrText>":</w:instrText>
      </w:r>
      <w:r w:rsidR="00A6794A">
        <w:rPr>
          <w:b/>
          <w:bCs/>
          <w:lang w:val="en-US"/>
        </w:rPr>
        <w:instrText>false</w:instrText>
      </w:r>
      <w:r w:rsidR="00A6794A" w:rsidRPr="00D3550C">
        <w:rPr>
          <w:b/>
          <w:bCs/>
        </w:rPr>
        <w:instrText>,"</w:instrText>
      </w:r>
      <w:r w:rsidR="00A6794A">
        <w:rPr>
          <w:b/>
          <w:bCs/>
          <w:lang w:val="en-US"/>
        </w:rPr>
        <w:instrText>suffix</w:instrText>
      </w:r>
      <w:r w:rsidR="00A6794A" w:rsidRPr="00D3550C">
        <w:rPr>
          <w:b/>
          <w:bCs/>
        </w:rPr>
        <w:instrText>":""},{"</w:instrText>
      </w:r>
      <w:r w:rsidR="00A6794A">
        <w:rPr>
          <w:b/>
          <w:bCs/>
          <w:lang w:val="en-US"/>
        </w:rPr>
        <w:instrText>dropping</w:instrText>
      </w:r>
      <w:r w:rsidR="00A6794A" w:rsidRPr="00D3550C">
        <w:rPr>
          <w:b/>
          <w:bCs/>
        </w:rPr>
        <w:instrText>-</w:instrText>
      </w:r>
      <w:r w:rsidR="00A6794A">
        <w:rPr>
          <w:b/>
          <w:bCs/>
          <w:lang w:val="en-US"/>
        </w:rPr>
        <w:instrText>particle</w:instrText>
      </w:r>
      <w:r w:rsidR="00A6794A" w:rsidRPr="00D3550C">
        <w:rPr>
          <w:b/>
          <w:bCs/>
        </w:rPr>
        <w:instrText>":"","</w:instrText>
      </w:r>
      <w:r w:rsidR="00A6794A">
        <w:rPr>
          <w:b/>
          <w:bCs/>
          <w:lang w:val="en-US"/>
        </w:rPr>
        <w:instrText>family</w:instrText>
      </w:r>
      <w:r w:rsidR="00A6794A" w:rsidRPr="00D3550C">
        <w:rPr>
          <w:b/>
          <w:bCs/>
        </w:rPr>
        <w:instrText>":"</w:instrText>
      </w:r>
      <w:r w:rsidR="00A6794A">
        <w:rPr>
          <w:b/>
          <w:bCs/>
          <w:lang w:val="en-US"/>
        </w:rPr>
        <w:instrText>Rumyantsev</w:instrText>
      </w:r>
      <w:r w:rsidR="00A6794A" w:rsidRPr="00D3550C">
        <w:rPr>
          <w:b/>
          <w:bCs/>
        </w:rPr>
        <w:instrText>","</w:instrText>
      </w:r>
      <w:r w:rsidR="00A6794A">
        <w:rPr>
          <w:b/>
          <w:bCs/>
          <w:lang w:val="en-US"/>
        </w:rPr>
        <w:instrText>given</w:instrText>
      </w:r>
      <w:r w:rsidR="00A6794A" w:rsidRPr="00D3550C">
        <w:rPr>
          <w:b/>
          <w:bCs/>
        </w:rPr>
        <w:instrText>":"</w:instrText>
      </w:r>
      <w:r w:rsidR="00A6794A">
        <w:rPr>
          <w:b/>
          <w:bCs/>
          <w:lang w:val="en-US"/>
        </w:rPr>
        <w:instrText>Alexander</w:instrText>
      </w:r>
      <w:r w:rsidR="00A6794A" w:rsidRPr="00D3550C">
        <w:rPr>
          <w:b/>
          <w:bCs/>
        </w:rPr>
        <w:instrText xml:space="preserve"> </w:instrText>
      </w:r>
      <w:r w:rsidR="00A6794A">
        <w:rPr>
          <w:b/>
          <w:bCs/>
          <w:lang w:val="en-US"/>
        </w:rPr>
        <w:instrText>G</w:instrText>
      </w:r>
      <w:r w:rsidR="00A6794A" w:rsidRPr="00D3550C">
        <w:rPr>
          <w:b/>
          <w:bCs/>
        </w:rPr>
        <w:instrText>.","</w:instrText>
      </w:r>
      <w:r w:rsidR="00A6794A">
        <w:rPr>
          <w:b/>
          <w:bCs/>
          <w:lang w:val="en-US"/>
        </w:rPr>
        <w:instrText>non</w:instrText>
      </w:r>
      <w:r w:rsidR="00A6794A" w:rsidRPr="00D3550C">
        <w:rPr>
          <w:b/>
          <w:bCs/>
        </w:rPr>
        <w:instrText>-</w:instrText>
      </w:r>
      <w:r w:rsidR="00A6794A">
        <w:rPr>
          <w:b/>
          <w:bCs/>
          <w:lang w:val="en-US"/>
        </w:rPr>
        <w:instrText>dropping</w:instrText>
      </w:r>
      <w:r w:rsidR="00A6794A" w:rsidRPr="00D3550C">
        <w:rPr>
          <w:b/>
          <w:bCs/>
        </w:rPr>
        <w:instrText>-</w:instrText>
      </w:r>
      <w:r w:rsidR="00A6794A">
        <w:rPr>
          <w:b/>
          <w:bCs/>
          <w:lang w:val="en-US"/>
        </w:rPr>
        <w:instrText>particle</w:instrText>
      </w:r>
      <w:r w:rsidR="00A6794A" w:rsidRPr="00D3550C">
        <w:rPr>
          <w:b/>
          <w:bCs/>
        </w:rPr>
        <w:instrText>":"","</w:instrText>
      </w:r>
      <w:r w:rsidR="00A6794A">
        <w:rPr>
          <w:b/>
          <w:bCs/>
          <w:lang w:val="en-US"/>
        </w:rPr>
        <w:instrText>parse</w:instrText>
      </w:r>
      <w:r w:rsidR="00A6794A" w:rsidRPr="00D3550C">
        <w:rPr>
          <w:b/>
          <w:bCs/>
        </w:rPr>
        <w:instrText>-</w:instrText>
      </w:r>
      <w:r w:rsidR="00A6794A">
        <w:rPr>
          <w:b/>
          <w:bCs/>
          <w:lang w:val="en-US"/>
        </w:rPr>
        <w:instrText>names</w:instrText>
      </w:r>
      <w:r w:rsidR="00A6794A" w:rsidRPr="00D3550C">
        <w:rPr>
          <w:b/>
          <w:bCs/>
        </w:rPr>
        <w:instrText>":</w:instrText>
      </w:r>
      <w:r w:rsidR="00A6794A">
        <w:rPr>
          <w:b/>
          <w:bCs/>
          <w:lang w:val="en-US"/>
        </w:rPr>
        <w:instrText>false</w:instrText>
      </w:r>
      <w:r w:rsidR="00A6794A" w:rsidRPr="00D3550C">
        <w:rPr>
          <w:b/>
          <w:bCs/>
        </w:rPr>
        <w:instrText>,"</w:instrText>
      </w:r>
      <w:r w:rsidR="00A6794A">
        <w:rPr>
          <w:b/>
          <w:bCs/>
          <w:lang w:val="en-US"/>
        </w:rPr>
        <w:instrText>suffix</w:instrText>
      </w:r>
      <w:r w:rsidR="00A6794A" w:rsidRPr="00D3550C">
        <w:rPr>
          <w:b/>
          <w:bCs/>
        </w:rPr>
        <w:instrText>":""}],"</w:instrText>
      </w:r>
      <w:r w:rsidR="00A6794A">
        <w:rPr>
          <w:b/>
          <w:bCs/>
          <w:lang w:val="en-US"/>
        </w:rPr>
        <w:instrText>container</w:instrText>
      </w:r>
      <w:r w:rsidR="00A6794A" w:rsidRPr="00D3550C">
        <w:rPr>
          <w:b/>
          <w:bCs/>
        </w:rPr>
        <w:instrText>-</w:instrText>
      </w:r>
      <w:r w:rsidR="00A6794A">
        <w:rPr>
          <w:b/>
          <w:bCs/>
          <w:lang w:val="en-US"/>
        </w:rPr>
        <w:instrText>title</w:instrText>
      </w:r>
      <w:r w:rsidR="00A6794A" w:rsidRPr="00D3550C">
        <w:rPr>
          <w:b/>
          <w:bCs/>
        </w:rPr>
        <w:instrText>":"</w:instrText>
      </w:r>
      <w:r w:rsidR="00A6794A">
        <w:rPr>
          <w:b/>
          <w:bCs/>
          <w:lang w:val="en-US"/>
        </w:rPr>
        <w:instrText>Journal</w:instrText>
      </w:r>
      <w:r w:rsidR="00A6794A" w:rsidRPr="00D3550C">
        <w:rPr>
          <w:b/>
          <w:bCs/>
        </w:rPr>
        <w:instrText xml:space="preserve"> </w:instrText>
      </w:r>
      <w:r w:rsidR="00A6794A">
        <w:rPr>
          <w:b/>
          <w:bCs/>
          <w:lang w:val="en-US"/>
        </w:rPr>
        <w:instrText>of</w:instrText>
      </w:r>
      <w:r w:rsidR="00A6794A" w:rsidRPr="00D3550C">
        <w:rPr>
          <w:b/>
          <w:bCs/>
        </w:rPr>
        <w:instrText xml:space="preserve"> </w:instrText>
      </w:r>
      <w:r w:rsidR="00A6794A">
        <w:rPr>
          <w:b/>
          <w:bCs/>
          <w:lang w:val="en-US"/>
        </w:rPr>
        <w:instrText>Pediatric</w:instrText>
      </w:r>
      <w:r w:rsidR="00A6794A" w:rsidRPr="00D3550C">
        <w:rPr>
          <w:b/>
          <w:bCs/>
        </w:rPr>
        <w:instrText xml:space="preserve"> </w:instrText>
      </w:r>
      <w:r w:rsidR="00A6794A">
        <w:rPr>
          <w:b/>
          <w:bCs/>
          <w:lang w:val="en-US"/>
        </w:rPr>
        <w:instrText>Hematology</w:instrText>
      </w:r>
      <w:r w:rsidR="00A6794A" w:rsidRPr="00D3550C">
        <w:rPr>
          <w:b/>
          <w:bCs/>
        </w:rPr>
        <w:instrText>/</w:instrText>
      </w:r>
      <w:r w:rsidR="00A6794A">
        <w:rPr>
          <w:b/>
          <w:bCs/>
          <w:lang w:val="en-US"/>
        </w:rPr>
        <w:instrText>Oncology</w:instrText>
      </w:r>
      <w:r w:rsidR="00A6794A" w:rsidRPr="00D3550C">
        <w:rPr>
          <w:b/>
          <w:bCs/>
        </w:rPr>
        <w:instrText>","</w:instrText>
      </w:r>
      <w:r w:rsidR="00A6794A">
        <w:rPr>
          <w:b/>
          <w:bCs/>
          <w:lang w:val="en-US"/>
        </w:rPr>
        <w:instrText>id</w:instrText>
      </w:r>
      <w:r w:rsidR="00A6794A" w:rsidRPr="00D3550C">
        <w:rPr>
          <w:b/>
          <w:bCs/>
        </w:rPr>
        <w:instrText>":"</w:instrText>
      </w:r>
      <w:r w:rsidR="00A6794A">
        <w:rPr>
          <w:b/>
          <w:bCs/>
          <w:lang w:val="en-US"/>
        </w:rPr>
        <w:instrText>ITEM</w:instrText>
      </w:r>
      <w:r w:rsidR="00A6794A" w:rsidRPr="00D3550C">
        <w:rPr>
          <w:b/>
          <w:bCs/>
        </w:rPr>
        <w:instrText>-2","</w:instrText>
      </w:r>
      <w:r w:rsidR="00A6794A">
        <w:rPr>
          <w:b/>
          <w:bCs/>
          <w:lang w:val="en-US"/>
        </w:rPr>
        <w:instrText>issue</w:instrText>
      </w:r>
      <w:r w:rsidR="00A6794A" w:rsidRPr="00D3550C">
        <w:rPr>
          <w:b/>
          <w:bCs/>
        </w:rPr>
        <w:instrText>":"5","</w:instrText>
      </w:r>
      <w:r w:rsidR="00A6794A">
        <w:rPr>
          <w:b/>
          <w:bCs/>
          <w:lang w:val="en-US"/>
        </w:rPr>
        <w:instrText>issued</w:instrText>
      </w:r>
      <w:r w:rsidR="00A6794A" w:rsidRPr="00D3550C">
        <w:rPr>
          <w:b/>
          <w:bCs/>
        </w:rPr>
        <w:instrText>":{"</w:instrText>
      </w:r>
      <w:r w:rsidR="00A6794A">
        <w:rPr>
          <w:b/>
          <w:bCs/>
          <w:lang w:val="en-US"/>
        </w:rPr>
        <w:instrText>date</w:instrText>
      </w:r>
      <w:r w:rsidR="00A6794A" w:rsidRPr="00D3550C">
        <w:rPr>
          <w:b/>
          <w:bCs/>
        </w:rPr>
        <w:instrText>-</w:instrText>
      </w:r>
      <w:r w:rsidR="00A6794A">
        <w:rPr>
          <w:b/>
          <w:bCs/>
          <w:lang w:val="en-US"/>
        </w:rPr>
        <w:instrText>parts</w:instrText>
      </w:r>
      <w:r w:rsidR="00A6794A" w:rsidRPr="00D3550C">
        <w:rPr>
          <w:b/>
          <w:bCs/>
        </w:rPr>
        <w:instrText>":[["2014","7"]]},"</w:instrText>
      </w:r>
      <w:r w:rsidR="00A6794A">
        <w:rPr>
          <w:b/>
          <w:bCs/>
          <w:lang w:val="en-US"/>
        </w:rPr>
        <w:instrText>page</w:instrText>
      </w:r>
      <w:r w:rsidR="00A6794A" w:rsidRPr="00D3550C">
        <w:rPr>
          <w:b/>
          <w:bCs/>
        </w:rPr>
        <w:instrText>":"395-401","</w:instrText>
      </w:r>
      <w:r w:rsidR="00A6794A">
        <w:rPr>
          <w:b/>
          <w:bCs/>
          <w:lang w:val="en-US"/>
        </w:rPr>
        <w:instrText>publisher</w:instrText>
      </w:r>
      <w:r w:rsidR="00A6794A" w:rsidRPr="00D3550C">
        <w:rPr>
          <w:b/>
          <w:bCs/>
        </w:rPr>
        <w:instrText>":"</w:instrText>
      </w:r>
      <w:r w:rsidR="00A6794A">
        <w:rPr>
          <w:b/>
          <w:bCs/>
          <w:lang w:val="en-US"/>
        </w:rPr>
        <w:instrText>Lippincott</w:instrText>
      </w:r>
      <w:r w:rsidR="00A6794A" w:rsidRPr="00D3550C">
        <w:rPr>
          <w:b/>
          <w:bCs/>
        </w:rPr>
        <w:instrText xml:space="preserve"> </w:instrText>
      </w:r>
      <w:r w:rsidR="00A6794A">
        <w:rPr>
          <w:b/>
          <w:bCs/>
          <w:lang w:val="en-US"/>
        </w:rPr>
        <w:instrText>Williams</w:instrText>
      </w:r>
      <w:r w:rsidR="00A6794A" w:rsidRPr="00D3550C">
        <w:rPr>
          <w:b/>
          <w:bCs/>
        </w:rPr>
        <w:instrText xml:space="preserve"> </w:instrText>
      </w:r>
      <w:r w:rsidR="00A6794A">
        <w:rPr>
          <w:b/>
          <w:bCs/>
          <w:lang w:val="en-US"/>
        </w:rPr>
        <w:instrText>and</w:instrText>
      </w:r>
      <w:r w:rsidR="00A6794A" w:rsidRPr="00D3550C">
        <w:rPr>
          <w:b/>
          <w:bCs/>
        </w:rPr>
        <w:instrText xml:space="preserve"> </w:instrText>
      </w:r>
      <w:r w:rsidR="00A6794A">
        <w:rPr>
          <w:b/>
          <w:bCs/>
          <w:lang w:val="en-US"/>
        </w:rPr>
        <w:instrText>Wilkins</w:instrText>
      </w:r>
      <w:r w:rsidR="00A6794A" w:rsidRPr="00D3550C">
        <w:rPr>
          <w:b/>
          <w:bCs/>
        </w:rPr>
        <w:instrText>","</w:instrText>
      </w:r>
      <w:r w:rsidR="00A6794A">
        <w:rPr>
          <w:b/>
          <w:bCs/>
          <w:lang w:val="en-US"/>
        </w:rPr>
        <w:instrText>title</w:instrText>
      </w:r>
      <w:r w:rsidR="00A6794A" w:rsidRPr="00D3550C">
        <w:rPr>
          <w:b/>
          <w:bCs/>
        </w:rPr>
        <w:instrText>":"</w:instrText>
      </w:r>
      <w:r w:rsidR="00A6794A">
        <w:rPr>
          <w:b/>
          <w:bCs/>
          <w:lang w:val="en-US"/>
        </w:rPr>
        <w:instrText>Therapy</w:instrText>
      </w:r>
      <w:r w:rsidR="00A6794A" w:rsidRPr="00D3550C">
        <w:rPr>
          <w:b/>
          <w:bCs/>
        </w:rPr>
        <w:instrText xml:space="preserve"> </w:instrText>
      </w:r>
      <w:r w:rsidR="00A6794A">
        <w:rPr>
          <w:b/>
          <w:bCs/>
          <w:lang w:val="en-US"/>
        </w:rPr>
        <w:instrText>of</w:instrText>
      </w:r>
      <w:r w:rsidR="00A6794A" w:rsidRPr="00D3550C">
        <w:rPr>
          <w:b/>
          <w:bCs/>
        </w:rPr>
        <w:instrText xml:space="preserve"> </w:instrText>
      </w:r>
      <w:r w:rsidR="00A6794A">
        <w:rPr>
          <w:b/>
          <w:bCs/>
          <w:lang w:val="en-US"/>
        </w:rPr>
        <w:instrText>advanced</w:instrText>
      </w:r>
      <w:r w:rsidR="00A6794A" w:rsidRPr="00D3550C">
        <w:rPr>
          <w:b/>
          <w:bCs/>
        </w:rPr>
        <w:instrText>-</w:instrText>
      </w:r>
      <w:r w:rsidR="00A6794A">
        <w:rPr>
          <w:b/>
          <w:bCs/>
          <w:lang w:val="en-US"/>
        </w:rPr>
        <w:instrText>stage</w:instrText>
      </w:r>
      <w:r w:rsidR="00A6794A" w:rsidRPr="00D3550C">
        <w:rPr>
          <w:b/>
          <w:bCs/>
        </w:rPr>
        <w:instrText xml:space="preserve"> </w:instrText>
      </w:r>
      <w:r w:rsidR="00A6794A">
        <w:rPr>
          <w:b/>
          <w:bCs/>
          <w:lang w:val="en-US"/>
        </w:rPr>
        <w:instrText>mature</w:instrText>
      </w:r>
      <w:r w:rsidR="00A6794A" w:rsidRPr="00D3550C">
        <w:rPr>
          <w:b/>
          <w:bCs/>
        </w:rPr>
        <w:instrText xml:space="preserve"> </w:instrText>
      </w:r>
      <w:r w:rsidR="00A6794A">
        <w:rPr>
          <w:b/>
          <w:bCs/>
          <w:lang w:val="en-US"/>
        </w:rPr>
        <w:instrText>b</w:instrText>
      </w:r>
      <w:r w:rsidR="00A6794A" w:rsidRPr="00D3550C">
        <w:rPr>
          <w:b/>
          <w:bCs/>
        </w:rPr>
        <w:instrText>-</w:instrText>
      </w:r>
      <w:r w:rsidR="00A6794A">
        <w:rPr>
          <w:b/>
          <w:bCs/>
          <w:lang w:val="en-US"/>
        </w:rPr>
        <w:instrText>cell</w:instrText>
      </w:r>
      <w:r w:rsidR="00A6794A" w:rsidRPr="00D3550C">
        <w:rPr>
          <w:b/>
          <w:bCs/>
        </w:rPr>
        <w:instrText xml:space="preserve"> </w:instrText>
      </w:r>
      <w:r w:rsidR="00A6794A">
        <w:rPr>
          <w:b/>
          <w:bCs/>
          <w:lang w:val="en-US"/>
        </w:rPr>
        <w:instrText>lymphoma</w:instrText>
      </w:r>
      <w:r w:rsidR="00A6794A" w:rsidRPr="00D3550C">
        <w:rPr>
          <w:b/>
          <w:bCs/>
        </w:rPr>
        <w:instrText xml:space="preserve"> </w:instrText>
      </w:r>
      <w:r w:rsidR="00A6794A">
        <w:rPr>
          <w:b/>
          <w:bCs/>
          <w:lang w:val="en-US"/>
        </w:rPr>
        <w:instrText>and</w:instrText>
      </w:r>
      <w:r w:rsidR="00A6794A" w:rsidRPr="00D3550C">
        <w:rPr>
          <w:b/>
          <w:bCs/>
        </w:rPr>
        <w:instrText xml:space="preserve"> </w:instrText>
      </w:r>
      <w:r w:rsidR="00A6794A">
        <w:rPr>
          <w:b/>
          <w:bCs/>
          <w:lang w:val="en-US"/>
        </w:rPr>
        <w:instrText>leukemia</w:instrText>
      </w:r>
      <w:r w:rsidR="00A6794A" w:rsidRPr="00D3550C">
        <w:rPr>
          <w:b/>
          <w:bCs/>
        </w:rPr>
        <w:instrText xml:space="preserve"> </w:instrText>
      </w:r>
      <w:r w:rsidR="00A6794A">
        <w:rPr>
          <w:b/>
          <w:bCs/>
          <w:lang w:val="en-US"/>
        </w:rPr>
        <w:instrText>in</w:instrText>
      </w:r>
      <w:r w:rsidR="00A6794A" w:rsidRPr="00D3550C">
        <w:rPr>
          <w:b/>
          <w:bCs/>
        </w:rPr>
        <w:instrText xml:space="preserve"> </w:instrText>
      </w:r>
      <w:r w:rsidR="00A6794A">
        <w:rPr>
          <w:b/>
          <w:bCs/>
          <w:lang w:val="en-US"/>
        </w:rPr>
        <w:instrText>children</w:instrText>
      </w:r>
      <w:r w:rsidR="00A6794A" w:rsidRPr="00D3550C">
        <w:rPr>
          <w:b/>
          <w:bCs/>
        </w:rPr>
        <w:instrText xml:space="preserve"> </w:instrText>
      </w:r>
      <w:r w:rsidR="00A6794A">
        <w:rPr>
          <w:b/>
          <w:bCs/>
          <w:lang w:val="en-US"/>
        </w:rPr>
        <w:instrText>and</w:instrText>
      </w:r>
      <w:r w:rsidR="00A6794A" w:rsidRPr="00D3550C">
        <w:rPr>
          <w:b/>
          <w:bCs/>
        </w:rPr>
        <w:instrText xml:space="preserve"> </w:instrText>
      </w:r>
      <w:r w:rsidR="00A6794A">
        <w:rPr>
          <w:b/>
          <w:bCs/>
          <w:lang w:val="en-US"/>
        </w:rPr>
        <w:instrText>adolescents</w:instrText>
      </w:r>
      <w:r w:rsidR="00A6794A" w:rsidRPr="00D3550C">
        <w:rPr>
          <w:b/>
          <w:bCs/>
        </w:rPr>
        <w:instrText xml:space="preserve"> </w:instrText>
      </w:r>
      <w:r w:rsidR="00A6794A">
        <w:rPr>
          <w:b/>
          <w:bCs/>
          <w:lang w:val="en-US"/>
        </w:rPr>
        <w:instrText>with</w:instrText>
      </w:r>
      <w:r w:rsidR="00A6794A" w:rsidRPr="00D3550C">
        <w:rPr>
          <w:b/>
          <w:bCs/>
        </w:rPr>
        <w:instrText xml:space="preserve"> </w:instrText>
      </w:r>
      <w:r w:rsidR="00A6794A">
        <w:rPr>
          <w:b/>
          <w:bCs/>
          <w:lang w:val="en-US"/>
        </w:rPr>
        <w:instrText>rituximab</w:instrText>
      </w:r>
      <w:r w:rsidR="00A6794A" w:rsidRPr="00D3550C">
        <w:rPr>
          <w:b/>
          <w:bCs/>
        </w:rPr>
        <w:instrText xml:space="preserve"> </w:instrText>
      </w:r>
      <w:r w:rsidR="00A6794A">
        <w:rPr>
          <w:b/>
          <w:bCs/>
          <w:lang w:val="en-US"/>
        </w:rPr>
        <w:instrText>and</w:instrText>
      </w:r>
      <w:r w:rsidR="00A6794A" w:rsidRPr="00D3550C">
        <w:rPr>
          <w:b/>
          <w:bCs/>
        </w:rPr>
        <w:instrText xml:space="preserve"> </w:instrText>
      </w:r>
      <w:r w:rsidR="00A6794A">
        <w:rPr>
          <w:b/>
          <w:bCs/>
          <w:lang w:val="en-US"/>
        </w:rPr>
        <w:instrText>reduced</w:instrText>
      </w:r>
      <w:r w:rsidR="00A6794A" w:rsidRPr="00D3550C">
        <w:rPr>
          <w:b/>
          <w:bCs/>
        </w:rPr>
        <w:instrText xml:space="preserve"> </w:instrText>
      </w:r>
      <w:r w:rsidR="00A6794A">
        <w:rPr>
          <w:b/>
          <w:bCs/>
          <w:lang w:val="en-US"/>
        </w:rPr>
        <w:instrText>intensity</w:instrText>
      </w:r>
      <w:r w:rsidR="00A6794A" w:rsidRPr="00D3550C">
        <w:rPr>
          <w:b/>
          <w:bCs/>
        </w:rPr>
        <w:instrText xml:space="preserve"> </w:instrText>
      </w:r>
      <w:r w:rsidR="00A6794A">
        <w:rPr>
          <w:b/>
          <w:bCs/>
          <w:lang w:val="en-US"/>
        </w:rPr>
        <w:instrText>induction</w:instrText>
      </w:r>
      <w:r w:rsidR="00A6794A" w:rsidRPr="00D3550C">
        <w:rPr>
          <w:b/>
          <w:bCs/>
        </w:rPr>
        <w:instrText xml:space="preserve"> </w:instrText>
      </w:r>
      <w:r w:rsidR="00A6794A">
        <w:rPr>
          <w:b/>
          <w:bCs/>
          <w:lang w:val="en-US"/>
        </w:rPr>
        <w:instrText>chemotherapy</w:instrText>
      </w:r>
      <w:r w:rsidR="00A6794A" w:rsidRPr="00D3550C">
        <w:rPr>
          <w:b/>
          <w:bCs/>
        </w:rPr>
        <w:instrText xml:space="preserve"> (</w:instrText>
      </w:r>
      <w:r w:rsidR="00A6794A">
        <w:rPr>
          <w:b/>
          <w:bCs/>
          <w:lang w:val="en-US"/>
        </w:rPr>
        <w:instrText>B</w:instrText>
      </w:r>
      <w:r w:rsidR="00A6794A" w:rsidRPr="00D3550C">
        <w:rPr>
          <w:b/>
          <w:bCs/>
        </w:rPr>
        <w:instrText>-</w:instrText>
      </w:r>
      <w:r w:rsidR="00A6794A">
        <w:rPr>
          <w:b/>
          <w:bCs/>
          <w:lang w:val="en-US"/>
        </w:rPr>
        <w:instrText>NHL</w:instrText>
      </w:r>
      <w:r w:rsidR="00A6794A" w:rsidRPr="00D3550C">
        <w:rPr>
          <w:b/>
          <w:bCs/>
        </w:rPr>
        <w:instrText xml:space="preserve"> 2004</w:instrText>
      </w:r>
      <w:r w:rsidR="00A6794A">
        <w:rPr>
          <w:b/>
          <w:bCs/>
          <w:lang w:val="en-US"/>
        </w:rPr>
        <w:instrText>M</w:instrText>
      </w:r>
      <w:r w:rsidR="00A6794A" w:rsidRPr="00D3550C">
        <w:rPr>
          <w:b/>
          <w:bCs/>
        </w:rPr>
        <w:instrText xml:space="preserve"> </w:instrText>
      </w:r>
      <w:r w:rsidR="00A6794A">
        <w:rPr>
          <w:b/>
          <w:bCs/>
          <w:lang w:val="en-US"/>
        </w:rPr>
        <w:instrText>protocol</w:instrText>
      </w:r>
      <w:r w:rsidR="00A6794A" w:rsidRPr="00D3550C">
        <w:rPr>
          <w:b/>
          <w:bCs/>
        </w:rPr>
        <w:instrText xml:space="preserve">): </w:instrText>
      </w:r>
      <w:r w:rsidR="00A6794A">
        <w:rPr>
          <w:b/>
          <w:bCs/>
          <w:lang w:val="en-US"/>
        </w:rPr>
        <w:instrText>The</w:instrText>
      </w:r>
      <w:r w:rsidR="00A6794A" w:rsidRPr="00D3550C">
        <w:rPr>
          <w:b/>
          <w:bCs/>
        </w:rPr>
        <w:instrText xml:space="preserve"> </w:instrText>
      </w:r>
      <w:r w:rsidR="00A6794A">
        <w:rPr>
          <w:b/>
          <w:bCs/>
          <w:lang w:val="en-US"/>
        </w:rPr>
        <w:instrText>results</w:instrText>
      </w:r>
      <w:r w:rsidR="00A6794A" w:rsidRPr="00D3550C">
        <w:rPr>
          <w:b/>
          <w:bCs/>
        </w:rPr>
        <w:instrText xml:space="preserve"> </w:instrText>
      </w:r>
      <w:r w:rsidR="00A6794A">
        <w:rPr>
          <w:b/>
          <w:bCs/>
          <w:lang w:val="en-US"/>
        </w:rPr>
        <w:instrText>of</w:instrText>
      </w:r>
      <w:r w:rsidR="00A6794A" w:rsidRPr="00D3550C">
        <w:rPr>
          <w:b/>
          <w:bCs/>
        </w:rPr>
        <w:instrText xml:space="preserve"> </w:instrText>
      </w:r>
      <w:r w:rsidR="00A6794A">
        <w:rPr>
          <w:b/>
          <w:bCs/>
          <w:lang w:val="en-US"/>
        </w:rPr>
        <w:instrText>a</w:instrText>
      </w:r>
      <w:r w:rsidR="00A6794A" w:rsidRPr="00D3550C">
        <w:rPr>
          <w:b/>
          <w:bCs/>
        </w:rPr>
        <w:instrText xml:space="preserve"> </w:instrText>
      </w:r>
      <w:r w:rsidR="00A6794A">
        <w:rPr>
          <w:b/>
          <w:bCs/>
          <w:lang w:val="en-US"/>
        </w:rPr>
        <w:instrText>multicenter</w:instrText>
      </w:r>
      <w:r w:rsidR="00A6794A" w:rsidRPr="00D3550C">
        <w:rPr>
          <w:b/>
          <w:bCs/>
        </w:rPr>
        <w:instrText xml:space="preserve"> </w:instrText>
      </w:r>
      <w:r w:rsidR="00A6794A">
        <w:rPr>
          <w:b/>
          <w:bCs/>
          <w:lang w:val="en-US"/>
        </w:rPr>
        <w:instrText>study</w:instrText>
      </w:r>
      <w:r w:rsidR="00A6794A" w:rsidRPr="00D3550C">
        <w:rPr>
          <w:b/>
          <w:bCs/>
        </w:rPr>
        <w:instrText>","</w:instrText>
      </w:r>
      <w:r w:rsidR="00A6794A">
        <w:rPr>
          <w:b/>
          <w:bCs/>
          <w:lang w:val="en-US"/>
        </w:rPr>
        <w:instrText>type</w:instrText>
      </w:r>
      <w:r w:rsidR="00A6794A" w:rsidRPr="00D3550C">
        <w:rPr>
          <w:b/>
          <w:bCs/>
        </w:rPr>
        <w:instrText>":"</w:instrText>
      </w:r>
      <w:r w:rsidR="00A6794A">
        <w:rPr>
          <w:b/>
          <w:bCs/>
          <w:lang w:val="en-US"/>
        </w:rPr>
        <w:instrText>article</w:instrText>
      </w:r>
      <w:r w:rsidR="00A6794A" w:rsidRPr="00D3550C">
        <w:rPr>
          <w:b/>
          <w:bCs/>
        </w:rPr>
        <w:instrText>-</w:instrText>
      </w:r>
      <w:r w:rsidR="00A6794A">
        <w:rPr>
          <w:b/>
          <w:bCs/>
          <w:lang w:val="en-US"/>
        </w:rPr>
        <w:instrText>journal</w:instrText>
      </w:r>
      <w:r w:rsidR="00A6794A" w:rsidRPr="00D3550C">
        <w:rPr>
          <w:b/>
          <w:bCs/>
        </w:rPr>
        <w:instrText>","</w:instrText>
      </w:r>
      <w:r w:rsidR="00A6794A">
        <w:rPr>
          <w:b/>
          <w:bCs/>
          <w:lang w:val="en-US"/>
        </w:rPr>
        <w:instrText>volume</w:instrText>
      </w:r>
      <w:r w:rsidR="00A6794A" w:rsidRPr="00D3550C">
        <w:rPr>
          <w:b/>
          <w:bCs/>
        </w:rPr>
        <w:instrText>":"36"},"</w:instrText>
      </w:r>
      <w:r w:rsidR="00A6794A">
        <w:rPr>
          <w:b/>
          <w:bCs/>
          <w:lang w:val="en-US"/>
        </w:rPr>
        <w:instrText>uris</w:instrText>
      </w:r>
      <w:r w:rsidR="00A6794A" w:rsidRPr="00D3550C">
        <w:rPr>
          <w:b/>
          <w:bCs/>
        </w:rPr>
        <w:instrText>":["</w:instrText>
      </w:r>
      <w:r w:rsidR="00A6794A">
        <w:rPr>
          <w:b/>
          <w:bCs/>
          <w:lang w:val="en-US"/>
        </w:rPr>
        <w:instrText>http</w:instrText>
      </w:r>
      <w:r w:rsidR="00A6794A" w:rsidRPr="00D3550C">
        <w:rPr>
          <w:b/>
          <w:bCs/>
        </w:rPr>
        <w:instrText>://</w:instrText>
      </w:r>
      <w:r w:rsidR="00A6794A">
        <w:rPr>
          <w:b/>
          <w:bCs/>
          <w:lang w:val="en-US"/>
        </w:rPr>
        <w:instrText>www</w:instrText>
      </w:r>
      <w:r w:rsidR="00A6794A" w:rsidRPr="00D3550C">
        <w:rPr>
          <w:b/>
          <w:bCs/>
        </w:rPr>
        <w:instrText>.</w:instrText>
      </w:r>
      <w:r w:rsidR="00A6794A">
        <w:rPr>
          <w:b/>
          <w:bCs/>
          <w:lang w:val="en-US"/>
        </w:rPr>
        <w:instrText>mendeley</w:instrText>
      </w:r>
      <w:r w:rsidR="00A6794A" w:rsidRPr="00D3550C">
        <w:rPr>
          <w:b/>
          <w:bCs/>
        </w:rPr>
        <w:instrText>.</w:instrText>
      </w:r>
      <w:r w:rsidR="00A6794A">
        <w:rPr>
          <w:b/>
          <w:bCs/>
          <w:lang w:val="en-US"/>
        </w:rPr>
        <w:instrText>com</w:instrText>
      </w:r>
      <w:r w:rsidR="00A6794A" w:rsidRPr="00D3550C">
        <w:rPr>
          <w:b/>
          <w:bCs/>
        </w:rPr>
        <w:instrText>/</w:instrText>
      </w:r>
      <w:r w:rsidR="00A6794A">
        <w:rPr>
          <w:b/>
          <w:bCs/>
          <w:lang w:val="en-US"/>
        </w:rPr>
        <w:instrText>documents</w:instrText>
      </w:r>
      <w:r w:rsidR="00A6794A" w:rsidRPr="00D3550C">
        <w:rPr>
          <w:b/>
          <w:bCs/>
        </w:rPr>
        <w:instrText>/?</w:instrText>
      </w:r>
      <w:r w:rsidR="00A6794A">
        <w:rPr>
          <w:b/>
          <w:bCs/>
          <w:lang w:val="en-US"/>
        </w:rPr>
        <w:instrText>uuid</w:instrText>
      </w:r>
      <w:r w:rsidR="00A6794A" w:rsidRPr="00D3550C">
        <w:rPr>
          <w:b/>
          <w:bCs/>
        </w:rPr>
        <w:instrText>=90</w:instrText>
      </w:r>
      <w:r w:rsidR="00A6794A">
        <w:rPr>
          <w:b/>
          <w:bCs/>
          <w:lang w:val="en-US"/>
        </w:rPr>
        <w:instrText>ee</w:instrText>
      </w:r>
      <w:r w:rsidR="00A6794A" w:rsidRPr="00D3550C">
        <w:rPr>
          <w:b/>
          <w:bCs/>
        </w:rPr>
        <w:instrText>3</w:instrText>
      </w:r>
      <w:r w:rsidR="00A6794A">
        <w:rPr>
          <w:b/>
          <w:bCs/>
          <w:lang w:val="en-US"/>
        </w:rPr>
        <w:instrText>a</w:instrText>
      </w:r>
      <w:r w:rsidR="00A6794A" w:rsidRPr="00D3550C">
        <w:rPr>
          <w:b/>
          <w:bCs/>
        </w:rPr>
        <w:instrText>65-</w:instrText>
      </w:r>
      <w:r w:rsidR="00A6794A">
        <w:rPr>
          <w:b/>
          <w:bCs/>
          <w:lang w:val="en-US"/>
        </w:rPr>
        <w:instrText>a</w:instrText>
      </w:r>
      <w:r w:rsidR="00A6794A" w:rsidRPr="00D3550C">
        <w:rPr>
          <w:b/>
          <w:bCs/>
        </w:rPr>
        <w:instrText>097-317</w:instrText>
      </w:r>
      <w:r w:rsidR="00A6794A">
        <w:rPr>
          <w:b/>
          <w:bCs/>
          <w:lang w:val="en-US"/>
        </w:rPr>
        <w:instrText>a</w:instrText>
      </w:r>
      <w:r w:rsidR="00A6794A" w:rsidRPr="00D3550C">
        <w:rPr>
          <w:b/>
          <w:bCs/>
        </w:rPr>
        <w:instrText>-8</w:instrText>
      </w:r>
      <w:r w:rsidR="00A6794A">
        <w:rPr>
          <w:b/>
          <w:bCs/>
          <w:lang w:val="en-US"/>
        </w:rPr>
        <w:instrText>e</w:instrText>
      </w:r>
      <w:r w:rsidR="00A6794A" w:rsidRPr="00D3550C">
        <w:rPr>
          <w:b/>
          <w:bCs/>
        </w:rPr>
        <w:instrText>02-011967</w:instrText>
      </w:r>
      <w:r w:rsidR="00A6794A">
        <w:rPr>
          <w:b/>
          <w:bCs/>
          <w:lang w:val="en-US"/>
        </w:rPr>
        <w:instrText>dfc</w:instrText>
      </w:r>
      <w:r w:rsidR="00A6794A" w:rsidRPr="00D3550C">
        <w:rPr>
          <w:b/>
          <w:bCs/>
        </w:rPr>
        <w:instrText>794"]}],"</w:instrText>
      </w:r>
      <w:r w:rsidR="00A6794A">
        <w:rPr>
          <w:b/>
          <w:bCs/>
          <w:lang w:val="en-US"/>
        </w:rPr>
        <w:instrText>mendeley</w:instrText>
      </w:r>
      <w:r w:rsidR="00A6794A" w:rsidRPr="00D3550C">
        <w:rPr>
          <w:b/>
          <w:bCs/>
        </w:rPr>
        <w:instrText>":{"</w:instrText>
      </w:r>
      <w:r w:rsidR="00A6794A">
        <w:rPr>
          <w:b/>
          <w:bCs/>
          <w:lang w:val="en-US"/>
        </w:rPr>
        <w:instrText>formattedCitation</w:instrText>
      </w:r>
      <w:r w:rsidR="00A6794A" w:rsidRPr="00D3550C">
        <w:rPr>
          <w:b/>
          <w:bCs/>
        </w:rPr>
        <w:instrText>":"[105,213]","</w:instrText>
      </w:r>
      <w:r w:rsidR="00A6794A">
        <w:rPr>
          <w:b/>
          <w:bCs/>
          <w:lang w:val="en-US"/>
        </w:rPr>
        <w:instrText>plainTextFormattedCitation</w:instrText>
      </w:r>
      <w:r w:rsidR="00A6794A" w:rsidRPr="00D3550C">
        <w:rPr>
          <w:b/>
          <w:bCs/>
        </w:rPr>
        <w:instrText>":"[105,213]","</w:instrText>
      </w:r>
      <w:r w:rsidR="00A6794A">
        <w:rPr>
          <w:b/>
          <w:bCs/>
          <w:lang w:val="en-US"/>
        </w:rPr>
        <w:instrText>previouslyFormattedCitation</w:instrText>
      </w:r>
      <w:r w:rsidR="00A6794A" w:rsidRPr="00D3550C">
        <w:rPr>
          <w:b/>
          <w:bCs/>
        </w:rPr>
        <w:instrText>":"[105,213]"},"</w:instrText>
      </w:r>
      <w:r w:rsidR="00A6794A">
        <w:rPr>
          <w:b/>
          <w:bCs/>
          <w:lang w:val="en-US"/>
        </w:rPr>
        <w:instrText>properties</w:instrText>
      </w:r>
      <w:r w:rsidR="00A6794A" w:rsidRPr="00D3550C">
        <w:rPr>
          <w:b/>
          <w:bCs/>
        </w:rPr>
        <w:instrText>":{"</w:instrText>
      </w:r>
      <w:r w:rsidR="00A6794A">
        <w:rPr>
          <w:b/>
          <w:bCs/>
          <w:lang w:val="en-US"/>
        </w:rPr>
        <w:instrText>noteIndex</w:instrText>
      </w:r>
      <w:r w:rsidR="00A6794A" w:rsidRPr="00D3550C">
        <w:rPr>
          <w:b/>
          <w:bCs/>
        </w:rPr>
        <w:instrText>":0},"</w:instrText>
      </w:r>
      <w:r w:rsidR="00A6794A">
        <w:rPr>
          <w:b/>
          <w:bCs/>
          <w:lang w:val="en-US"/>
        </w:rPr>
        <w:instrText>schema</w:instrText>
      </w:r>
      <w:r w:rsidR="00A6794A" w:rsidRPr="00D3550C">
        <w:rPr>
          <w:b/>
          <w:bCs/>
        </w:rPr>
        <w:instrText>":"</w:instrText>
      </w:r>
      <w:r w:rsidR="00A6794A">
        <w:rPr>
          <w:b/>
          <w:bCs/>
          <w:lang w:val="en-US"/>
        </w:rPr>
        <w:instrText>https</w:instrText>
      </w:r>
      <w:r w:rsidR="00A6794A" w:rsidRPr="00D3550C">
        <w:rPr>
          <w:b/>
          <w:bCs/>
        </w:rPr>
        <w:instrText>://</w:instrText>
      </w:r>
      <w:r w:rsidR="00A6794A">
        <w:rPr>
          <w:b/>
          <w:bCs/>
          <w:lang w:val="en-US"/>
        </w:rPr>
        <w:instrText>github</w:instrText>
      </w:r>
      <w:r w:rsidR="00A6794A" w:rsidRPr="00D3550C">
        <w:rPr>
          <w:b/>
          <w:bCs/>
        </w:rPr>
        <w:instrText>.</w:instrText>
      </w:r>
      <w:r w:rsidR="00A6794A">
        <w:rPr>
          <w:b/>
          <w:bCs/>
          <w:lang w:val="en-US"/>
        </w:rPr>
        <w:instrText>com</w:instrText>
      </w:r>
      <w:r w:rsidR="00A6794A" w:rsidRPr="00D3550C">
        <w:rPr>
          <w:b/>
          <w:bCs/>
        </w:rPr>
        <w:instrText>/</w:instrText>
      </w:r>
      <w:r w:rsidR="00A6794A">
        <w:rPr>
          <w:b/>
          <w:bCs/>
          <w:lang w:val="en-US"/>
        </w:rPr>
        <w:instrText>citation</w:instrText>
      </w:r>
      <w:r w:rsidR="00A6794A" w:rsidRPr="00D3550C">
        <w:rPr>
          <w:b/>
          <w:bCs/>
        </w:rPr>
        <w:instrText>-</w:instrText>
      </w:r>
      <w:r w:rsidR="00A6794A">
        <w:rPr>
          <w:b/>
          <w:bCs/>
          <w:lang w:val="en-US"/>
        </w:rPr>
        <w:instrText>style</w:instrText>
      </w:r>
      <w:r w:rsidR="00A6794A" w:rsidRPr="00D3550C">
        <w:rPr>
          <w:b/>
          <w:bCs/>
        </w:rPr>
        <w:instrText>-</w:instrText>
      </w:r>
      <w:r w:rsidR="00A6794A">
        <w:rPr>
          <w:b/>
          <w:bCs/>
          <w:lang w:val="en-US"/>
        </w:rPr>
        <w:instrText>language</w:instrText>
      </w:r>
      <w:r w:rsidR="00A6794A" w:rsidRPr="00D3550C">
        <w:rPr>
          <w:b/>
          <w:bCs/>
        </w:rPr>
        <w:instrText>/</w:instrText>
      </w:r>
      <w:r w:rsidR="00A6794A">
        <w:rPr>
          <w:b/>
          <w:bCs/>
          <w:lang w:val="en-US"/>
        </w:rPr>
        <w:instrText>schema</w:instrText>
      </w:r>
      <w:r w:rsidR="00A6794A" w:rsidRPr="00D3550C">
        <w:rPr>
          <w:b/>
          <w:bCs/>
        </w:rPr>
        <w:instrText>/</w:instrText>
      </w:r>
      <w:r w:rsidR="00A6794A">
        <w:rPr>
          <w:b/>
          <w:bCs/>
          <w:lang w:val="en-US"/>
        </w:rPr>
        <w:instrText>raw</w:instrText>
      </w:r>
      <w:r w:rsidR="00A6794A" w:rsidRPr="00D3550C">
        <w:rPr>
          <w:b/>
          <w:bCs/>
        </w:rPr>
        <w:instrText>/</w:instrText>
      </w:r>
      <w:r w:rsidR="00A6794A">
        <w:rPr>
          <w:b/>
          <w:bCs/>
          <w:lang w:val="en-US"/>
        </w:rPr>
        <w:instrText>master</w:instrText>
      </w:r>
      <w:r w:rsidR="00A6794A" w:rsidRPr="00D3550C">
        <w:rPr>
          <w:b/>
          <w:bCs/>
        </w:rPr>
        <w:instrText>/</w:instrText>
      </w:r>
      <w:r w:rsidR="00A6794A">
        <w:rPr>
          <w:b/>
          <w:bCs/>
          <w:lang w:val="en-US"/>
        </w:rPr>
        <w:instrText>csl</w:instrText>
      </w:r>
      <w:r w:rsidR="00A6794A" w:rsidRPr="00D3550C">
        <w:rPr>
          <w:b/>
          <w:bCs/>
        </w:rPr>
        <w:instrText>-</w:instrText>
      </w:r>
      <w:r w:rsidR="00A6794A">
        <w:rPr>
          <w:b/>
          <w:bCs/>
          <w:lang w:val="en-US"/>
        </w:rPr>
        <w:instrText>citation</w:instrText>
      </w:r>
      <w:r w:rsidR="00A6794A" w:rsidRPr="00D3550C">
        <w:rPr>
          <w:b/>
          <w:bCs/>
        </w:rPr>
        <w:instrText>.</w:instrText>
      </w:r>
      <w:r w:rsidR="00A6794A">
        <w:rPr>
          <w:b/>
          <w:bCs/>
          <w:lang w:val="en-US"/>
        </w:rPr>
        <w:instrText>json</w:instrText>
      </w:r>
      <w:r w:rsidR="00A6794A" w:rsidRPr="00D3550C">
        <w:rPr>
          <w:b/>
          <w:bCs/>
        </w:rPr>
        <w:instrText>"}</w:instrText>
      </w:r>
      <w:r w:rsidRPr="000322E4">
        <w:rPr>
          <w:b/>
          <w:bCs/>
          <w:lang w:val="en-US"/>
        </w:rPr>
        <w:fldChar w:fldCharType="separate"/>
      </w:r>
      <w:r w:rsidR="006E1902" w:rsidRPr="006E1902">
        <w:rPr>
          <w:bCs/>
          <w:noProof/>
        </w:rPr>
        <w:t>[105,213]</w:t>
      </w:r>
      <w:r w:rsidRPr="000322E4">
        <w:rPr>
          <w:b/>
          <w:bCs/>
          <w:lang w:val="en-US"/>
        </w:rPr>
        <w:fldChar w:fldCharType="end"/>
      </w:r>
    </w:p>
    <w:p w14:paraId="0ACEEBF3" w14:textId="77777777" w:rsidR="00666D68" w:rsidRPr="002818CC" w:rsidRDefault="00666D68" w:rsidP="008E3584">
      <w:pPr>
        <w:spacing w:line="360" w:lineRule="auto"/>
        <w:contextualSpacing/>
        <w:jc w:val="both"/>
        <w:rPr>
          <w:bCs/>
        </w:rPr>
      </w:pPr>
      <w:r w:rsidRPr="000322E4">
        <w:rPr>
          <w:bCs/>
          <w:noProof/>
        </w:rPr>
        <w:drawing>
          <wp:inline distT="0" distB="0" distL="0" distR="0" wp14:anchorId="22EF560D" wp14:editId="52C4E82B">
            <wp:extent cx="5581015" cy="2078355"/>
            <wp:effectExtent l="0" t="0" r="0" b="4445"/>
            <wp:docPr id="29" name="Рисунок 29" descr="Изображение выглядит как клавиатур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Снимок экрана 2020-03-25 в 15.30.32.png"/>
                    <pic:cNvPicPr/>
                  </pic:nvPicPr>
                  <pic:blipFill>
                    <a:blip r:embed="rId10"/>
                    <a:stretch>
                      <a:fillRect/>
                    </a:stretch>
                  </pic:blipFill>
                  <pic:spPr>
                    <a:xfrm>
                      <a:off x="0" y="0"/>
                      <a:ext cx="5581015" cy="2078355"/>
                    </a:xfrm>
                    <a:prstGeom prst="rect">
                      <a:avLst/>
                    </a:prstGeom>
                  </pic:spPr>
                </pic:pic>
              </a:graphicData>
            </a:graphic>
          </wp:inline>
        </w:drawing>
      </w:r>
    </w:p>
    <w:p w14:paraId="3F3E8C57" w14:textId="77777777" w:rsidR="00666D68" w:rsidRPr="002818CC" w:rsidRDefault="00666D68" w:rsidP="008E3584">
      <w:pPr>
        <w:spacing w:line="360" w:lineRule="auto"/>
        <w:contextualSpacing/>
        <w:jc w:val="both"/>
        <w:rPr>
          <w:bCs/>
        </w:rPr>
      </w:pPr>
      <w:r w:rsidRPr="000322E4">
        <w:rPr>
          <w:bCs/>
          <w:lang w:val="en-US"/>
        </w:rPr>
        <w:t>RG</w:t>
      </w:r>
      <w:r w:rsidRPr="002818CC">
        <w:rPr>
          <w:bCs/>
        </w:rPr>
        <w:t xml:space="preserve"> – </w:t>
      </w:r>
      <w:r w:rsidRPr="000322E4">
        <w:rPr>
          <w:bCs/>
        </w:rPr>
        <w:t>группа</w:t>
      </w:r>
      <w:r w:rsidRPr="002818CC">
        <w:rPr>
          <w:bCs/>
        </w:rPr>
        <w:t xml:space="preserve"> </w:t>
      </w:r>
      <w:r w:rsidRPr="000322E4">
        <w:rPr>
          <w:bCs/>
        </w:rPr>
        <w:t>риска</w:t>
      </w:r>
      <w:r w:rsidRPr="002818CC">
        <w:rPr>
          <w:bCs/>
        </w:rPr>
        <w:t xml:space="preserve"> (</w:t>
      </w:r>
      <w:r w:rsidRPr="000322E4">
        <w:rPr>
          <w:bCs/>
        </w:rPr>
        <w:t>см</w:t>
      </w:r>
      <w:r w:rsidRPr="002818CC">
        <w:rPr>
          <w:bCs/>
        </w:rPr>
        <w:t xml:space="preserve">. </w:t>
      </w:r>
      <w:r w:rsidRPr="000322E4">
        <w:rPr>
          <w:bCs/>
        </w:rPr>
        <w:t>раздел</w:t>
      </w:r>
      <w:r w:rsidRPr="002818CC">
        <w:rPr>
          <w:bCs/>
        </w:rPr>
        <w:t xml:space="preserve"> 7.5), </w:t>
      </w:r>
      <w:r w:rsidRPr="000322E4">
        <w:rPr>
          <w:bCs/>
          <w:lang w:val="en-US"/>
        </w:rPr>
        <w:t>Cred</w:t>
      </w:r>
      <w:r w:rsidRPr="002818CC">
        <w:rPr>
          <w:bCs/>
        </w:rPr>
        <w:t xml:space="preserve"> – </w:t>
      </w:r>
      <w:r w:rsidRPr="000322E4">
        <w:rPr>
          <w:bCs/>
        </w:rPr>
        <w:t>циторедукция</w:t>
      </w:r>
      <w:r w:rsidRPr="002818CC">
        <w:rPr>
          <w:bCs/>
        </w:rPr>
        <w:t xml:space="preserve">, </w:t>
      </w:r>
      <w:r w:rsidRPr="000322E4">
        <w:rPr>
          <w:bCs/>
          <w:lang w:val="en-US"/>
        </w:rPr>
        <w:t>r</w:t>
      </w:r>
      <w:r w:rsidRPr="002818CC">
        <w:rPr>
          <w:bCs/>
        </w:rPr>
        <w:t xml:space="preserve"> – </w:t>
      </w:r>
      <w:r w:rsidRPr="000322E4">
        <w:rPr>
          <w:bCs/>
        </w:rPr>
        <w:t>ритуксимаб</w:t>
      </w:r>
      <w:r w:rsidRPr="002818CC">
        <w:rPr>
          <w:bCs/>
        </w:rPr>
        <w:t xml:space="preserve">, </w:t>
      </w:r>
      <w:r w:rsidRPr="000322E4">
        <w:rPr>
          <w:bCs/>
          <w:lang w:val="en-US"/>
        </w:rPr>
        <w:t>RT</w:t>
      </w:r>
      <w:r w:rsidRPr="002818CC">
        <w:rPr>
          <w:bCs/>
        </w:rPr>
        <w:t xml:space="preserve"> – </w:t>
      </w:r>
      <w:r w:rsidRPr="000322E4">
        <w:rPr>
          <w:bCs/>
        </w:rPr>
        <w:t>остаточная</w:t>
      </w:r>
      <w:r w:rsidRPr="002818CC">
        <w:rPr>
          <w:bCs/>
        </w:rPr>
        <w:t xml:space="preserve"> </w:t>
      </w:r>
      <w:r w:rsidRPr="000322E4">
        <w:rPr>
          <w:bCs/>
        </w:rPr>
        <w:t>опухолевая</w:t>
      </w:r>
      <w:r w:rsidRPr="002818CC">
        <w:rPr>
          <w:bCs/>
        </w:rPr>
        <w:t xml:space="preserve"> </w:t>
      </w:r>
      <w:r w:rsidRPr="000322E4">
        <w:rPr>
          <w:bCs/>
        </w:rPr>
        <w:t>масса</w:t>
      </w:r>
      <w:r w:rsidRPr="002818CC">
        <w:rPr>
          <w:bCs/>
        </w:rPr>
        <w:t xml:space="preserve"> (</w:t>
      </w:r>
      <w:r w:rsidRPr="000322E4">
        <w:rPr>
          <w:bCs/>
        </w:rPr>
        <w:t>подтвержденная</w:t>
      </w:r>
      <w:r w:rsidRPr="002818CC">
        <w:rPr>
          <w:bCs/>
        </w:rPr>
        <w:t xml:space="preserve"> </w:t>
      </w:r>
      <w:r w:rsidRPr="000322E4">
        <w:rPr>
          <w:bCs/>
        </w:rPr>
        <w:t>ПЭТ</w:t>
      </w:r>
      <w:r w:rsidRPr="002818CC">
        <w:rPr>
          <w:bCs/>
        </w:rPr>
        <w:t>/</w:t>
      </w:r>
      <w:r w:rsidRPr="000322E4">
        <w:rPr>
          <w:bCs/>
        </w:rPr>
        <w:t>КТ</w:t>
      </w:r>
      <w:r w:rsidRPr="002818CC">
        <w:rPr>
          <w:bCs/>
        </w:rPr>
        <w:t xml:space="preserve"> </w:t>
      </w:r>
      <w:r w:rsidRPr="000322E4">
        <w:rPr>
          <w:bCs/>
        </w:rPr>
        <w:t>и</w:t>
      </w:r>
      <w:r w:rsidRPr="002818CC">
        <w:rPr>
          <w:bCs/>
        </w:rPr>
        <w:t>/</w:t>
      </w:r>
      <w:r w:rsidRPr="000322E4">
        <w:rPr>
          <w:bCs/>
        </w:rPr>
        <w:t>или</w:t>
      </w:r>
      <w:r w:rsidRPr="002818CC">
        <w:rPr>
          <w:bCs/>
        </w:rPr>
        <w:t xml:space="preserve"> </w:t>
      </w:r>
      <w:r w:rsidRPr="000322E4">
        <w:rPr>
          <w:bCs/>
        </w:rPr>
        <w:t>биопсией</w:t>
      </w:r>
      <w:r w:rsidRPr="002818CC">
        <w:rPr>
          <w:bCs/>
        </w:rPr>
        <w:t xml:space="preserve">), </w:t>
      </w:r>
      <w:r w:rsidRPr="000322E4">
        <w:rPr>
          <w:bCs/>
          <w:lang w:val="en-US"/>
        </w:rPr>
        <w:t>noRT</w:t>
      </w:r>
      <w:r w:rsidRPr="002818CC">
        <w:rPr>
          <w:bCs/>
        </w:rPr>
        <w:t xml:space="preserve"> – </w:t>
      </w:r>
      <w:r w:rsidRPr="000322E4">
        <w:rPr>
          <w:bCs/>
        </w:rPr>
        <w:t>отсутствие</w:t>
      </w:r>
      <w:r w:rsidRPr="002818CC">
        <w:rPr>
          <w:bCs/>
        </w:rPr>
        <w:t xml:space="preserve"> </w:t>
      </w:r>
      <w:r w:rsidRPr="000322E4">
        <w:rPr>
          <w:bCs/>
        </w:rPr>
        <w:t>остаточной</w:t>
      </w:r>
      <w:r w:rsidRPr="002818CC">
        <w:rPr>
          <w:bCs/>
        </w:rPr>
        <w:t xml:space="preserve"> </w:t>
      </w:r>
      <w:r w:rsidRPr="000322E4">
        <w:rPr>
          <w:bCs/>
        </w:rPr>
        <w:t>опухолевой</w:t>
      </w:r>
      <w:r w:rsidRPr="002818CC">
        <w:rPr>
          <w:bCs/>
        </w:rPr>
        <w:t xml:space="preserve"> </w:t>
      </w:r>
      <w:r w:rsidRPr="000322E4">
        <w:rPr>
          <w:bCs/>
        </w:rPr>
        <w:t>массы</w:t>
      </w:r>
      <w:r w:rsidRPr="002818CC">
        <w:rPr>
          <w:bCs/>
        </w:rPr>
        <w:t xml:space="preserve">, </w:t>
      </w:r>
      <w:r w:rsidRPr="000322E4">
        <w:rPr>
          <w:bCs/>
          <w:lang w:val="en-US"/>
        </w:rPr>
        <w:t>SCT</w:t>
      </w:r>
      <w:r w:rsidRPr="002818CC">
        <w:rPr>
          <w:bCs/>
        </w:rPr>
        <w:t xml:space="preserve"> – </w:t>
      </w:r>
      <w:r w:rsidRPr="000322E4">
        <w:rPr>
          <w:bCs/>
        </w:rPr>
        <w:t>трансплантация</w:t>
      </w:r>
      <w:r w:rsidRPr="002818CC">
        <w:rPr>
          <w:bCs/>
        </w:rPr>
        <w:t xml:space="preserve"> </w:t>
      </w:r>
      <w:r w:rsidRPr="000322E4">
        <w:rPr>
          <w:bCs/>
        </w:rPr>
        <w:t>аутологичных</w:t>
      </w:r>
      <w:r w:rsidRPr="002818CC">
        <w:rPr>
          <w:bCs/>
        </w:rPr>
        <w:t xml:space="preserve"> </w:t>
      </w:r>
      <w:r w:rsidRPr="000322E4">
        <w:rPr>
          <w:bCs/>
        </w:rPr>
        <w:t>гемопоэтических</w:t>
      </w:r>
      <w:r w:rsidRPr="002818CC">
        <w:rPr>
          <w:bCs/>
        </w:rPr>
        <w:t xml:space="preserve"> </w:t>
      </w:r>
      <w:r w:rsidRPr="000322E4">
        <w:rPr>
          <w:bCs/>
        </w:rPr>
        <w:t>стволовых</w:t>
      </w:r>
      <w:r w:rsidRPr="002818CC">
        <w:rPr>
          <w:bCs/>
        </w:rPr>
        <w:t xml:space="preserve"> </w:t>
      </w:r>
      <w:r w:rsidRPr="000322E4">
        <w:rPr>
          <w:bCs/>
        </w:rPr>
        <w:t>клеток</w:t>
      </w:r>
    </w:p>
    <w:p w14:paraId="5D9AAEE2" w14:textId="77777777" w:rsidR="00666D68" w:rsidRPr="002818CC" w:rsidRDefault="00666D68" w:rsidP="008E3584">
      <w:pPr>
        <w:spacing w:line="360" w:lineRule="auto"/>
        <w:contextualSpacing/>
        <w:jc w:val="both"/>
        <w:rPr>
          <w:b/>
          <w:bCs/>
          <w:u w:val="single"/>
        </w:rPr>
      </w:pPr>
    </w:p>
    <w:tbl>
      <w:tblPr>
        <w:tblStyle w:val="aff9"/>
        <w:tblW w:w="6516" w:type="dxa"/>
        <w:tblLook w:val="04A0" w:firstRow="1" w:lastRow="0" w:firstColumn="1" w:lastColumn="0" w:noHBand="0" w:noVBand="1"/>
      </w:tblPr>
      <w:tblGrid>
        <w:gridCol w:w="6516"/>
      </w:tblGrid>
      <w:tr w:rsidR="00666D68" w:rsidRPr="002818CC" w14:paraId="70F09D8B" w14:textId="77777777" w:rsidTr="00CA64E2">
        <w:tc>
          <w:tcPr>
            <w:tcW w:w="6516" w:type="dxa"/>
          </w:tcPr>
          <w:p w14:paraId="123406AC" w14:textId="77777777" w:rsidR="00666D68" w:rsidRPr="002818CC" w:rsidRDefault="00666D68" w:rsidP="008E3584">
            <w:pPr>
              <w:spacing w:line="360" w:lineRule="auto"/>
              <w:contextualSpacing/>
              <w:jc w:val="both"/>
              <w:rPr>
                <w:b/>
              </w:rPr>
            </w:pPr>
            <w:r w:rsidRPr="000322E4">
              <w:rPr>
                <w:b/>
              </w:rPr>
              <w:t>Циторедукция</w:t>
            </w:r>
          </w:p>
        </w:tc>
      </w:tr>
      <w:tr w:rsidR="00666D68" w:rsidRPr="002818CC" w14:paraId="0712E24A" w14:textId="77777777" w:rsidTr="00CA64E2">
        <w:trPr>
          <w:trHeight w:val="838"/>
        </w:trPr>
        <w:tc>
          <w:tcPr>
            <w:tcW w:w="6516" w:type="dxa"/>
          </w:tcPr>
          <w:p w14:paraId="59D8CC04" w14:textId="77777777" w:rsidR="00666D68" w:rsidRPr="002818CC" w:rsidRDefault="00666D68" w:rsidP="008E3584">
            <w:pPr>
              <w:spacing w:line="360" w:lineRule="auto"/>
              <w:contextualSpacing/>
              <w:jc w:val="both"/>
            </w:pPr>
            <w:r w:rsidRPr="000322E4">
              <w:t>Дексаметозон</w:t>
            </w:r>
            <w:r w:rsidRPr="002818CC">
              <w:t xml:space="preserve">** </w:t>
            </w:r>
            <w:r w:rsidRPr="000322E4">
              <w:t>внутрь</w:t>
            </w:r>
            <w:r w:rsidRPr="002818CC">
              <w:t xml:space="preserve"> 10 </w:t>
            </w:r>
            <w:r w:rsidRPr="000322E4">
              <w:t>мг</w:t>
            </w:r>
            <w:r w:rsidRPr="002818CC">
              <w:t>/</w:t>
            </w:r>
            <w:r w:rsidRPr="000322E4">
              <w:t>м</w:t>
            </w:r>
            <w:r w:rsidRPr="002818CC">
              <w:rPr>
                <w:vertAlign w:val="superscript"/>
              </w:rPr>
              <w:t xml:space="preserve">2  </w:t>
            </w:r>
            <w:r w:rsidRPr="002818CC">
              <w:t xml:space="preserve">1-5 </w:t>
            </w:r>
            <w:r w:rsidRPr="000322E4">
              <w:t>дни</w:t>
            </w:r>
          </w:p>
          <w:p w14:paraId="6D178C4B" w14:textId="77777777" w:rsidR="00666D68" w:rsidRPr="002818CC" w:rsidRDefault="00666D68" w:rsidP="008E3584">
            <w:pPr>
              <w:spacing w:line="360" w:lineRule="auto"/>
              <w:contextualSpacing/>
              <w:jc w:val="both"/>
            </w:pPr>
            <w:r w:rsidRPr="000322E4">
              <w:t>Циклофосфамид</w:t>
            </w:r>
            <w:r w:rsidRPr="002818CC">
              <w:t xml:space="preserve">** </w:t>
            </w:r>
            <w:r w:rsidRPr="000322E4">
              <w:t>в</w:t>
            </w:r>
            <w:r w:rsidRPr="002818CC">
              <w:t>/</w:t>
            </w:r>
            <w:r w:rsidRPr="000322E4">
              <w:t>в</w:t>
            </w:r>
            <w:r w:rsidRPr="002818CC">
              <w:t xml:space="preserve"> 1 </w:t>
            </w:r>
            <w:r w:rsidRPr="000322E4">
              <w:t>ч</w:t>
            </w:r>
            <w:r w:rsidRPr="002818CC">
              <w:t xml:space="preserve"> 200 </w:t>
            </w:r>
            <w:r w:rsidRPr="000322E4">
              <w:t>мг</w:t>
            </w:r>
            <w:r w:rsidRPr="002818CC">
              <w:t>/</w:t>
            </w:r>
            <w:r w:rsidRPr="000322E4">
              <w:t>м</w:t>
            </w:r>
            <w:r w:rsidRPr="002818CC">
              <w:rPr>
                <w:vertAlign w:val="superscript"/>
              </w:rPr>
              <w:t>2</w:t>
            </w:r>
            <w:r w:rsidRPr="002818CC">
              <w:t xml:space="preserve"> 1, 2 </w:t>
            </w:r>
            <w:r w:rsidRPr="000322E4">
              <w:t>дни</w:t>
            </w:r>
          </w:p>
          <w:p w14:paraId="3B6E0717" w14:textId="77777777" w:rsidR="00666D68" w:rsidRPr="002818CC" w:rsidRDefault="00666D68" w:rsidP="008E3584">
            <w:pPr>
              <w:spacing w:line="360" w:lineRule="auto"/>
              <w:contextualSpacing/>
              <w:jc w:val="both"/>
            </w:pPr>
            <w:r w:rsidRPr="000322E4">
              <w:rPr>
                <w:lang w:val="en-US"/>
              </w:rPr>
              <w:t>Mtx</w:t>
            </w:r>
            <w:r w:rsidRPr="002818CC">
              <w:t>/</w:t>
            </w:r>
            <w:r w:rsidRPr="000322E4">
              <w:rPr>
                <w:lang w:val="en-US"/>
              </w:rPr>
              <w:t>AraC</w:t>
            </w:r>
            <w:r w:rsidRPr="002818CC">
              <w:t>/</w:t>
            </w:r>
            <w:r w:rsidRPr="000322E4">
              <w:rPr>
                <w:lang w:val="en-US"/>
              </w:rPr>
              <w:t>Pred</w:t>
            </w:r>
            <w:r w:rsidRPr="002818CC">
              <w:rPr>
                <w:vertAlign w:val="superscript"/>
              </w:rPr>
              <w:t>†</w:t>
            </w:r>
            <w:r w:rsidRPr="002818CC">
              <w:t xml:space="preserve"> </w:t>
            </w:r>
            <w:r w:rsidRPr="000322E4">
              <w:t>э</w:t>
            </w:r>
            <w:r w:rsidRPr="002818CC">
              <w:t>/</w:t>
            </w:r>
            <w:r w:rsidRPr="000322E4">
              <w:t>л</w:t>
            </w:r>
            <w:r w:rsidRPr="002818CC">
              <w:t xml:space="preserve"> </w:t>
            </w:r>
            <w:r w:rsidRPr="000322E4">
              <w:t>в</w:t>
            </w:r>
            <w:r w:rsidRPr="002818CC">
              <w:t xml:space="preserve"> </w:t>
            </w:r>
            <w:r w:rsidRPr="000322E4">
              <w:t>возрастных</w:t>
            </w:r>
            <w:r w:rsidRPr="002818CC">
              <w:t xml:space="preserve"> </w:t>
            </w:r>
            <w:r w:rsidRPr="000322E4">
              <w:t>дозах</w:t>
            </w:r>
          </w:p>
        </w:tc>
      </w:tr>
    </w:tbl>
    <w:p w14:paraId="7A7FD7B1" w14:textId="77777777" w:rsidR="00666D68" w:rsidRPr="002818CC" w:rsidRDefault="00666D68" w:rsidP="008E3584">
      <w:pPr>
        <w:spacing w:line="360" w:lineRule="auto"/>
        <w:contextualSpacing/>
        <w:jc w:val="both"/>
        <w:rPr>
          <w:bCs/>
        </w:rPr>
      </w:pPr>
    </w:p>
    <w:tbl>
      <w:tblPr>
        <w:tblStyle w:val="aff9"/>
        <w:tblW w:w="6516" w:type="dxa"/>
        <w:tblLook w:val="04A0" w:firstRow="1" w:lastRow="0" w:firstColumn="1" w:lastColumn="0" w:noHBand="0" w:noVBand="1"/>
      </w:tblPr>
      <w:tblGrid>
        <w:gridCol w:w="6516"/>
      </w:tblGrid>
      <w:tr w:rsidR="00666D68" w:rsidRPr="002818CC" w14:paraId="4FFEDDA9" w14:textId="77777777" w:rsidTr="00CA64E2">
        <w:tc>
          <w:tcPr>
            <w:tcW w:w="6516" w:type="dxa"/>
          </w:tcPr>
          <w:p w14:paraId="1582A4F4" w14:textId="77777777" w:rsidR="00666D68" w:rsidRPr="002818CC" w:rsidRDefault="00666D68" w:rsidP="008E3584">
            <w:pPr>
              <w:spacing w:line="360" w:lineRule="auto"/>
              <w:contextualSpacing/>
              <w:jc w:val="both"/>
              <w:rPr>
                <w:b/>
              </w:rPr>
            </w:pPr>
            <w:r w:rsidRPr="000322E4">
              <w:rPr>
                <w:b/>
              </w:rPr>
              <w:t>Ритуксимаб</w:t>
            </w:r>
            <w:r w:rsidRPr="002818CC">
              <w:rPr>
                <w:b/>
              </w:rPr>
              <w:t>**</w:t>
            </w:r>
          </w:p>
        </w:tc>
      </w:tr>
      <w:tr w:rsidR="00666D68" w:rsidRPr="002818CC" w14:paraId="7F36FE56" w14:textId="77777777" w:rsidTr="00CA64E2">
        <w:trPr>
          <w:trHeight w:val="838"/>
        </w:trPr>
        <w:tc>
          <w:tcPr>
            <w:tcW w:w="6516" w:type="dxa"/>
          </w:tcPr>
          <w:p w14:paraId="7F8A7EFF" w14:textId="77777777" w:rsidR="00666D68" w:rsidRPr="002818CC" w:rsidRDefault="00666D68" w:rsidP="008E3584">
            <w:pPr>
              <w:spacing w:line="360" w:lineRule="auto"/>
              <w:contextualSpacing/>
              <w:jc w:val="both"/>
              <w:rPr>
                <w:bCs/>
              </w:rPr>
            </w:pPr>
            <w:r w:rsidRPr="000322E4">
              <w:t>Ритуксимаб</w:t>
            </w:r>
            <w:r w:rsidRPr="002818CC">
              <w:t xml:space="preserve"> 375 </w:t>
            </w:r>
            <w:r w:rsidRPr="000322E4">
              <w:rPr>
                <w:bCs/>
              </w:rPr>
              <w:t>мг</w:t>
            </w:r>
            <w:r w:rsidRPr="002818CC">
              <w:rPr>
                <w:bCs/>
              </w:rPr>
              <w:t>/</w:t>
            </w:r>
            <w:r w:rsidRPr="000322E4">
              <w:rPr>
                <w:bCs/>
              </w:rPr>
              <w:t>м</w:t>
            </w:r>
            <w:r w:rsidRPr="002818CC">
              <w:rPr>
                <w:bCs/>
                <w:vertAlign w:val="superscript"/>
              </w:rPr>
              <w:t>2</w:t>
            </w:r>
            <w:r w:rsidRPr="002818CC">
              <w:rPr>
                <w:bCs/>
              </w:rPr>
              <w:t xml:space="preserve"> </w:t>
            </w:r>
            <w:r w:rsidRPr="000322E4">
              <w:rPr>
                <w:bCs/>
              </w:rPr>
              <w:t>в</w:t>
            </w:r>
            <w:r w:rsidRPr="002818CC">
              <w:rPr>
                <w:bCs/>
              </w:rPr>
              <w:t>/</w:t>
            </w:r>
            <w:r w:rsidRPr="000322E4">
              <w:rPr>
                <w:bCs/>
              </w:rPr>
              <w:t>в</w:t>
            </w:r>
            <w:r w:rsidRPr="002818CC">
              <w:rPr>
                <w:bCs/>
              </w:rPr>
              <w:t xml:space="preserve"> </w:t>
            </w:r>
            <w:r w:rsidRPr="000322E4">
              <w:t>в</w:t>
            </w:r>
            <w:r w:rsidRPr="002818CC">
              <w:t xml:space="preserve"> </w:t>
            </w:r>
            <w:r w:rsidRPr="000322E4">
              <w:t>течение</w:t>
            </w:r>
            <w:r w:rsidRPr="002818CC">
              <w:t xml:space="preserve"> 4 </w:t>
            </w:r>
            <w:r w:rsidRPr="000322E4">
              <w:t>часов</w:t>
            </w:r>
            <w:r w:rsidRPr="002818CC">
              <w:t xml:space="preserve">: 1 </w:t>
            </w:r>
            <w:r w:rsidRPr="000322E4">
              <w:t>введение</w:t>
            </w:r>
            <w:r w:rsidRPr="002818CC">
              <w:t xml:space="preserve"> </w:t>
            </w:r>
            <w:r w:rsidRPr="000322E4">
              <w:t>за</w:t>
            </w:r>
            <w:r w:rsidRPr="002818CC">
              <w:t xml:space="preserve"> 24 </w:t>
            </w:r>
            <w:r w:rsidRPr="000322E4">
              <w:t>часа</w:t>
            </w:r>
            <w:r w:rsidRPr="002818CC">
              <w:t xml:space="preserve"> </w:t>
            </w:r>
            <w:r w:rsidRPr="000322E4">
              <w:t>до</w:t>
            </w:r>
            <w:r w:rsidRPr="002818CC">
              <w:t xml:space="preserve"> </w:t>
            </w:r>
            <w:r w:rsidRPr="000322E4">
              <w:t>блока</w:t>
            </w:r>
            <w:r w:rsidRPr="002818CC">
              <w:t xml:space="preserve"> </w:t>
            </w:r>
            <w:r w:rsidRPr="000322E4">
              <w:rPr>
                <w:lang w:val="en-US"/>
              </w:rPr>
              <w:t>A</w:t>
            </w:r>
            <w:r w:rsidRPr="002818CC">
              <w:t xml:space="preserve">0 </w:t>
            </w:r>
            <w:r w:rsidRPr="000322E4">
              <w:t>или</w:t>
            </w:r>
            <w:r w:rsidRPr="002818CC">
              <w:t xml:space="preserve"> </w:t>
            </w:r>
            <w:r w:rsidRPr="000322E4">
              <w:rPr>
                <w:lang w:val="en-US"/>
              </w:rPr>
              <w:t>A</w:t>
            </w:r>
            <w:r w:rsidRPr="002818CC">
              <w:t xml:space="preserve">1, </w:t>
            </w:r>
            <w:r w:rsidRPr="000322E4">
              <w:t>далее</w:t>
            </w:r>
            <w:r w:rsidRPr="002818CC">
              <w:t xml:space="preserve"> – </w:t>
            </w:r>
            <w:r w:rsidRPr="000322E4">
              <w:t>каждые</w:t>
            </w:r>
            <w:r w:rsidRPr="002818CC">
              <w:t xml:space="preserve"> 2 </w:t>
            </w:r>
            <w:r w:rsidRPr="000322E4">
              <w:t>недели</w:t>
            </w:r>
            <w:r w:rsidRPr="002818CC">
              <w:t xml:space="preserve">, </w:t>
            </w:r>
            <w:r w:rsidRPr="000322E4">
              <w:t>независимо</w:t>
            </w:r>
            <w:r w:rsidRPr="002818CC">
              <w:t xml:space="preserve"> </w:t>
            </w:r>
            <w:r w:rsidRPr="000322E4">
              <w:t>от</w:t>
            </w:r>
            <w:r w:rsidRPr="002818CC">
              <w:t xml:space="preserve"> </w:t>
            </w:r>
            <w:r w:rsidRPr="000322E4">
              <w:t>проводимой</w:t>
            </w:r>
            <w:r w:rsidRPr="002818CC">
              <w:t xml:space="preserve"> </w:t>
            </w:r>
            <w:r w:rsidRPr="000322E4">
              <w:t>цитостатической</w:t>
            </w:r>
            <w:r w:rsidRPr="002818CC">
              <w:t xml:space="preserve"> </w:t>
            </w:r>
            <w:r w:rsidRPr="000322E4">
              <w:t>терапии</w:t>
            </w:r>
            <w:r w:rsidRPr="002818CC">
              <w:t xml:space="preserve"> – 2 </w:t>
            </w:r>
            <w:r w:rsidRPr="000322E4">
              <w:t>введения</w:t>
            </w:r>
            <w:r w:rsidRPr="002818CC">
              <w:t xml:space="preserve"> </w:t>
            </w:r>
            <w:r w:rsidRPr="000322E4">
              <w:t>для</w:t>
            </w:r>
            <w:r w:rsidRPr="002818CC">
              <w:t xml:space="preserve"> </w:t>
            </w:r>
            <w:r w:rsidRPr="000322E4">
              <w:t>групп</w:t>
            </w:r>
            <w:r w:rsidRPr="002818CC">
              <w:t xml:space="preserve"> </w:t>
            </w:r>
            <w:r w:rsidRPr="000322E4">
              <w:rPr>
                <w:lang w:val="en-US"/>
              </w:rPr>
              <w:t>RG</w:t>
            </w:r>
            <w:r w:rsidRPr="002818CC">
              <w:t xml:space="preserve">1 </w:t>
            </w:r>
            <w:r w:rsidRPr="000322E4">
              <w:t>и</w:t>
            </w:r>
            <w:r w:rsidRPr="002818CC">
              <w:t xml:space="preserve"> </w:t>
            </w:r>
            <w:r w:rsidRPr="000322E4">
              <w:rPr>
                <w:lang w:val="en-US"/>
              </w:rPr>
              <w:t>RG</w:t>
            </w:r>
            <w:r w:rsidRPr="002818CC">
              <w:t xml:space="preserve">2, </w:t>
            </w:r>
            <w:r w:rsidRPr="000322E4">
              <w:t>четыре</w:t>
            </w:r>
            <w:r w:rsidRPr="002818CC">
              <w:t xml:space="preserve"> </w:t>
            </w:r>
            <w:r w:rsidRPr="000322E4">
              <w:t>введения</w:t>
            </w:r>
            <w:r w:rsidRPr="002818CC">
              <w:t xml:space="preserve"> </w:t>
            </w:r>
            <w:r w:rsidRPr="000322E4">
              <w:t>для</w:t>
            </w:r>
            <w:r w:rsidRPr="002818CC">
              <w:t xml:space="preserve"> </w:t>
            </w:r>
            <w:r w:rsidRPr="000322E4">
              <w:t>групп</w:t>
            </w:r>
            <w:r w:rsidRPr="002818CC">
              <w:t xml:space="preserve"> </w:t>
            </w:r>
            <w:r w:rsidRPr="000322E4">
              <w:rPr>
                <w:lang w:val="en-US"/>
              </w:rPr>
              <w:t>RG</w:t>
            </w:r>
            <w:r w:rsidRPr="002818CC">
              <w:t xml:space="preserve">3 </w:t>
            </w:r>
            <w:r w:rsidRPr="000322E4">
              <w:t>и</w:t>
            </w:r>
            <w:r w:rsidRPr="002818CC">
              <w:t xml:space="preserve"> </w:t>
            </w:r>
            <w:r w:rsidRPr="000322E4">
              <w:rPr>
                <w:lang w:val="en-US"/>
              </w:rPr>
              <w:t>RG</w:t>
            </w:r>
            <w:r w:rsidRPr="002818CC">
              <w:t>4</w:t>
            </w:r>
          </w:p>
        </w:tc>
      </w:tr>
    </w:tbl>
    <w:p w14:paraId="7BC81343" w14:textId="77777777" w:rsidR="00666D68" w:rsidRPr="002818CC" w:rsidRDefault="00666D68" w:rsidP="008E3584">
      <w:pPr>
        <w:spacing w:line="360" w:lineRule="auto"/>
        <w:contextualSpacing/>
        <w:jc w:val="both"/>
        <w:rPr>
          <w:b/>
          <w:u w:val="single"/>
        </w:rPr>
      </w:pPr>
    </w:p>
    <w:tbl>
      <w:tblPr>
        <w:tblStyle w:val="aff9"/>
        <w:tblW w:w="6516" w:type="dxa"/>
        <w:tblLook w:val="04A0" w:firstRow="1" w:lastRow="0" w:firstColumn="1" w:lastColumn="0" w:noHBand="0" w:noVBand="1"/>
      </w:tblPr>
      <w:tblGrid>
        <w:gridCol w:w="6516"/>
      </w:tblGrid>
      <w:tr w:rsidR="00666D68" w:rsidRPr="002818CC" w14:paraId="713CB1B0" w14:textId="77777777" w:rsidTr="00CA64E2">
        <w:tc>
          <w:tcPr>
            <w:tcW w:w="6516" w:type="dxa"/>
          </w:tcPr>
          <w:p w14:paraId="4597F271" w14:textId="77777777" w:rsidR="00666D68" w:rsidRPr="002818CC" w:rsidRDefault="00666D68" w:rsidP="008E3584">
            <w:pPr>
              <w:spacing w:line="360" w:lineRule="auto"/>
              <w:contextualSpacing/>
              <w:jc w:val="both"/>
              <w:rPr>
                <w:b/>
              </w:rPr>
            </w:pPr>
            <w:r w:rsidRPr="000322E4">
              <w:rPr>
                <w:b/>
                <w:lang w:val="en-US"/>
              </w:rPr>
              <w:t>A</w:t>
            </w:r>
            <w:r w:rsidRPr="002818CC">
              <w:rPr>
                <w:b/>
              </w:rPr>
              <w:t>0</w:t>
            </w:r>
          </w:p>
        </w:tc>
      </w:tr>
      <w:tr w:rsidR="00666D68" w:rsidRPr="00BD230E" w14:paraId="08836CC8" w14:textId="77777777" w:rsidTr="00CA64E2">
        <w:tc>
          <w:tcPr>
            <w:tcW w:w="6516" w:type="dxa"/>
          </w:tcPr>
          <w:p w14:paraId="4079A892" w14:textId="77777777" w:rsidR="00666D68" w:rsidRPr="002818CC" w:rsidRDefault="00666D68" w:rsidP="008E3584">
            <w:pPr>
              <w:spacing w:line="360" w:lineRule="auto"/>
              <w:contextualSpacing/>
              <w:jc w:val="both"/>
            </w:pPr>
            <w:r w:rsidRPr="000322E4">
              <w:t>Дексаметазон</w:t>
            </w:r>
            <w:r w:rsidRPr="002818CC">
              <w:t xml:space="preserve">** </w:t>
            </w:r>
            <w:r w:rsidRPr="000322E4">
              <w:t>внутрь</w:t>
            </w:r>
            <w:r w:rsidRPr="002818CC">
              <w:t xml:space="preserve"> 10 </w:t>
            </w:r>
            <w:r w:rsidRPr="000322E4">
              <w:t>мг</w:t>
            </w:r>
            <w:r w:rsidRPr="002818CC">
              <w:t>/</w:t>
            </w:r>
            <w:r w:rsidRPr="000322E4">
              <w:t>м</w:t>
            </w:r>
            <w:r w:rsidRPr="002818CC">
              <w:rPr>
                <w:vertAlign w:val="superscript"/>
              </w:rPr>
              <w:t xml:space="preserve">2 </w:t>
            </w:r>
            <w:r w:rsidRPr="002818CC">
              <w:t xml:space="preserve">1-5 </w:t>
            </w:r>
            <w:r w:rsidRPr="000322E4">
              <w:t>дни</w:t>
            </w:r>
          </w:p>
          <w:p w14:paraId="1644B7CB" w14:textId="77777777" w:rsidR="00666D68" w:rsidRPr="002818CC" w:rsidRDefault="00666D68" w:rsidP="008E3584">
            <w:pPr>
              <w:spacing w:line="360" w:lineRule="auto"/>
              <w:contextualSpacing/>
              <w:jc w:val="both"/>
            </w:pPr>
            <w:r w:rsidRPr="000322E4">
              <w:t>Ифосфамид</w:t>
            </w:r>
            <w:r w:rsidRPr="002818CC">
              <w:t xml:space="preserve">** 1 </w:t>
            </w:r>
            <w:r w:rsidRPr="000322E4">
              <w:t>ч</w:t>
            </w:r>
            <w:r w:rsidRPr="002818CC">
              <w:t xml:space="preserve"> </w:t>
            </w:r>
            <w:r w:rsidRPr="000322E4">
              <w:t>в</w:t>
            </w:r>
            <w:r w:rsidRPr="002818CC">
              <w:t>/</w:t>
            </w:r>
            <w:r w:rsidRPr="000322E4">
              <w:t>в</w:t>
            </w:r>
            <w:r w:rsidRPr="002818CC">
              <w:t xml:space="preserve"> 800 </w:t>
            </w:r>
            <w:r w:rsidRPr="000322E4">
              <w:t>мг</w:t>
            </w:r>
            <w:r w:rsidRPr="002818CC">
              <w:t>/</w:t>
            </w:r>
            <w:r w:rsidRPr="000322E4">
              <w:t>м</w:t>
            </w:r>
            <w:r w:rsidRPr="002818CC">
              <w:rPr>
                <w:vertAlign w:val="superscript"/>
              </w:rPr>
              <w:t>2</w:t>
            </w:r>
            <w:r w:rsidRPr="002818CC">
              <w:t xml:space="preserve"> 1-5 </w:t>
            </w:r>
            <w:r w:rsidRPr="000322E4">
              <w:t>дни</w:t>
            </w:r>
          </w:p>
          <w:p w14:paraId="654B968C" w14:textId="77777777" w:rsidR="00666D68" w:rsidRPr="002818CC" w:rsidRDefault="00666D68" w:rsidP="008E3584">
            <w:pPr>
              <w:spacing w:line="360" w:lineRule="auto"/>
              <w:contextualSpacing/>
              <w:jc w:val="both"/>
            </w:pPr>
            <w:r w:rsidRPr="000322E4">
              <w:t>Винкристин</w:t>
            </w:r>
            <w:r w:rsidRPr="002818CC">
              <w:t xml:space="preserve">** </w:t>
            </w:r>
            <w:r w:rsidRPr="000322E4">
              <w:t>в</w:t>
            </w:r>
            <w:r w:rsidRPr="002818CC">
              <w:t>/</w:t>
            </w:r>
            <w:r w:rsidRPr="000322E4">
              <w:t>в</w:t>
            </w:r>
            <w:r w:rsidRPr="002818CC">
              <w:t xml:space="preserve"> 1,5 </w:t>
            </w:r>
            <w:r w:rsidRPr="000322E4">
              <w:t>мг</w:t>
            </w:r>
            <w:r w:rsidRPr="002818CC">
              <w:t>/</w:t>
            </w:r>
            <w:r w:rsidRPr="000322E4">
              <w:t>м</w:t>
            </w:r>
            <w:r w:rsidRPr="002818CC">
              <w:rPr>
                <w:vertAlign w:val="superscript"/>
              </w:rPr>
              <w:t>2</w:t>
            </w:r>
            <w:r w:rsidRPr="002818CC">
              <w:t xml:space="preserve"> 1 </w:t>
            </w:r>
            <w:r w:rsidRPr="000322E4">
              <w:t>день</w:t>
            </w:r>
          </w:p>
          <w:p w14:paraId="1FDB74B8" w14:textId="77777777" w:rsidR="00666D68" w:rsidRPr="002818CC" w:rsidRDefault="00666D68" w:rsidP="008E3584">
            <w:pPr>
              <w:spacing w:line="360" w:lineRule="auto"/>
              <w:contextualSpacing/>
              <w:jc w:val="both"/>
            </w:pPr>
            <w:r w:rsidRPr="000322E4">
              <w:t>Цитарабин</w:t>
            </w:r>
            <w:r w:rsidRPr="002818CC">
              <w:t xml:space="preserve">** 1 </w:t>
            </w:r>
            <w:r w:rsidRPr="000322E4">
              <w:t>ч</w:t>
            </w:r>
            <w:r w:rsidRPr="002818CC">
              <w:t xml:space="preserve"> </w:t>
            </w:r>
            <w:r w:rsidRPr="000322E4">
              <w:t>в</w:t>
            </w:r>
            <w:r w:rsidRPr="002818CC">
              <w:t>/</w:t>
            </w:r>
            <w:r w:rsidRPr="000322E4">
              <w:t>в</w:t>
            </w:r>
            <w:r w:rsidRPr="002818CC">
              <w:t xml:space="preserve"> 150 </w:t>
            </w:r>
            <w:r w:rsidRPr="000322E4">
              <w:t>мг</w:t>
            </w:r>
            <w:r w:rsidRPr="002818CC">
              <w:t>/</w:t>
            </w:r>
            <w:r w:rsidRPr="000322E4">
              <w:t>м</w:t>
            </w:r>
            <w:r w:rsidRPr="002818CC">
              <w:rPr>
                <w:vertAlign w:val="superscript"/>
              </w:rPr>
              <w:t>2</w:t>
            </w:r>
            <w:r w:rsidRPr="002818CC">
              <w:t xml:space="preserve"> 2 </w:t>
            </w:r>
            <w:r w:rsidRPr="000322E4">
              <w:t>р</w:t>
            </w:r>
            <w:r w:rsidRPr="002818CC">
              <w:t>/</w:t>
            </w:r>
            <w:r w:rsidRPr="000322E4">
              <w:t>д</w:t>
            </w:r>
            <w:r w:rsidRPr="002818CC">
              <w:t xml:space="preserve"> 4, 5 </w:t>
            </w:r>
            <w:r w:rsidRPr="000322E4">
              <w:t>дни</w:t>
            </w:r>
          </w:p>
          <w:p w14:paraId="411973FC" w14:textId="77777777" w:rsidR="00666D68" w:rsidRPr="00BD230E" w:rsidRDefault="00666D68" w:rsidP="008E3584">
            <w:pPr>
              <w:spacing w:line="360" w:lineRule="auto"/>
              <w:contextualSpacing/>
              <w:jc w:val="both"/>
            </w:pPr>
            <w:r w:rsidRPr="000322E4">
              <w:lastRenderedPageBreak/>
              <w:t>Этопозид</w:t>
            </w:r>
            <w:r w:rsidRPr="00BD230E">
              <w:t xml:space="preserve">** 1 </w:t>
            </w:r>
            <w:r w:rsidRPr="000322E4">
              <w:t>ч</w:t>
            </w:r>
            <w:r w:rsidRPr="00BD230E">
              <w:t xml:space="preserve"> </w:t>
            </w:r>
            <w:r w:rsidRPr="000322E4">
              <w:t>в</w:t>
            </w:r>
            <w:r w:rsidRPr="00BD230E">
              <w:t>/</w:t>
            </w:r>
            <w:r w:rsidRPr="000322E4">
              <w:t>в</w:t>
            </w:r>
            <w:r w:rsidRPr="00BD230E">
              <w:t xml:space="preserve"> 100 </w:t>
            </w:r>
            <w:r w:rsidRPr="000322E4">
              <w:t>мг</w:t>
            </w:r>
            <w:r w:rsidRPr="00BD230E">
              <w:t>/</w:t>
            </w:r>
            <w:r w:rsidRPr="000322E4">
              <w:t>м</w:t>
            </w:r>
            <w:r w:rsidRPr="00BD230E">
              <w:rPr>
                <w:vertAlign w:val="superscript"/>
              </w:rPr>
              <w:t>2</w:t>
            </w:r>
            <w:r w:rsidRPr="00BD230E">
              <w:t xml:space="preserve"> 4, 5        </w:t>
            </w:r>
          </w:p>
        </w:tc>
      </w:tr>
      <w:tr w:rsidR="00666D68" w:rsidRPr="00BD230E" w14:paraId="19C6C95C" w14:textId="77777777" w:rsidTr="00CA64E2">
        <w:tc>
          <w:tcPr>
            <w:tcW w:w="6516" w:type="dxa"/>
          </w:tcPr>
          <w:p w14:paraId="34F0ED27" w14:textId="77777777" w:rsidR="00666D68" w:rsidRPr="00BD230E" w:rsidRDefault="00666D68" w:rsidP="008E3584">
            <w:pPr>
              <w:spacing w:line="360" w:lineRule="auto"/>
              <w:contextualSpacing/>
              <w:jc w:val="both"/>
            </w:pPr>
            <w:r w:rsidRPr="000322E4">
              <w:rPr>
                <w:lang w:val="en-US"/>
              </w:rPr>
              <w:lastRenderedPageBreak/>
              <w:t>Mtx</w:t>
            </w:r>
            <w:r w:rsidRPr="00BD230E">
              <w:t>/</w:t>
            </w:r>
            <w:r w:rsidRPr="000322E4">
              <w:rPr>
                <w:lang w:val="en-US"/>
              </w:rPr>
              <w:t>AraC</w:t>
            </w:r>
            <w:r w:rsidRPr="00BD230E">
              <w:t>/</w:t>
            </w:r>
            <w:r w:rsidRPr="000322E4">
              <w:rPr>
                <w:lang w:val="en-US"/>
              </w:rPr>
              <w:t>Pred</w:t>
            </w:r>
            <w:r w:rsidRPr="00BD230E">
              <w:rPr>
                <w:vertAlign w:val="superscript"/>
              </w:rPr>
              <w:t>†</w:t>
            </w:r>
            <w:r w:rsidRPr="00BD230E">
              <w:t xml:space="preserve"> </w:t>
            </w:r>
            <w:r w:rsidRPr="000322E4">
              <w:t>э</w:t>
            </w:r>
            <w:r w:rsidRPr="00BD230E">
              <w:t>/</w:t>
            </w:r>
            <w:r w:rsidRPr="000322E4">
              <w:t>л</w:t>
            </w:r>
            <w:r w:rsidRPr="00BD230E">
              <w:t xml:space="preserve"> </w:t>
            </w:r>
            <w:r w:rsidRPr="000322E4">
              <w:t>в</w:t>
            </w:r>
            <w:r w:rsidRPr="00BD230E">
              <w:t xml:space="preserve"> </w:t>
            </w:r>
            <w:r w:rsidRPr="000322E4">
              <w:t>возрастных</w:t>
            </w:r>
            <w:r w:rsidRPr="00BD230E">
              <w:t xml:space="preserve"> </w:t>
            </w:r>
            <w:r w:rsidRPr="000322E4">
              <w:t>дозах</w:t>
            </w:r>
          </w:p>
        </w:tc>
      </w:tr>
    </w:tbl>
    <w:p w14:paraId="7A27A03E" w14:textId="77777777" w:rsidR="00666D68" w:rsidRPr="00BD230E" w:rsidRDefault="00666D68" w:rsidP="008E3584">
      <w:pPr>
        <w:spacing w:line="360" w:lineRule="auto"/>
        <w:contextualSpacing/>
        <w:jc w:val="both"/>
        <w:rPr>
          <w:bCs/>
        </w:rPr>
      </w:pPr>
    </w:p>
    <w:tbl>
      <w:tblPr>
        <w:tblStyle w:val="aff9"/>
        <w:tblW w:w="6516" w:type="dxa"/>
        <w:tblLook w:val="04A0" w:firstRow="1" w:lastRow="0" w:firstColumn="1" w:lastColumn="0" w:noHBand="0" w:noVBand="1"/>
      </w:tblPr>
      <w:tblGrid>
        <w:gridCol w:w="6516"/>
      </w:tblGrid>
      <w:tr w:rsidR="00666D68" w:rsidRPr="00BD230E" w14:paraId="47BFDE41" w14:textId="77777777" w:rsidTr="00CA64E2">
        <w:tc>
          <w:tcPr>
            <w:tcW w:w="6516" w:type="dxa"/>
          </w:tcPr>
          <w:p w14:paraId="5D3B51D9" w14:textId="77777777" w:rsidR="00666D68" w:rsidRPr="00BD230E" w:rsidRDefault="00666D68" w:rsidP="008E3584">
            <w:pPr>
              <w:spacing w:line="360" w:lineRule="auto"/>
              <w:contextualSpacing/>
              <w:jc w:val="both"/>
              <w:rPr>
                <w:b/>
              </w:rPr>
            </w:pPr>
            <w:r w:rsidRPr="000322E4">
              <w:rPr>
                <w:b/>
                <w:lang w:val="en-US"/>
              </w:rPr>
              <w:t>A</w:t>
            </w:r>
            <w:r w:rsidRPr="00BD230E">
              <w:rPr>
                <w:b/>
              </w:rPr>
              <w:t>1</w:t>
            </w:r>
          </w:p>
        </w:tc>
      </w:tr>
      <w:tr w:rsidR="00666D68" w:rsidRPr="000322E4" w14:paraId="1E4D9976" w14:textId="77777777" w:rsidTr="00CA64E2">
        <w:tc>
          <w:tcPr>
            <w:tcW w:w="6516" w:type="dxa"/>
          </w:tcPr>
          <w:p w14:paraId="26BE3716" w14:textId="77777777" w:rsidR="00666D68" w:rsidRPr="00BD230E" w:rsidRDefault="00666D68" w:rsidP="008E3584">
            <w:pPr>
              <w:spacing w:line="360" w:lineRule="auto"/>
              <w:contextualSpacing/>
              <w:jc w:val="both"/>
            </w:pPr>
            <w:r w:rsidRPr="000322E4">
              <w:t>Дексаметазон</w:t>
            </w:r>
            <w:r w:rsidRPr="00BD230E">
              <w:t xml:space="preserve">** </w:t>
            </w:r>
            <w:r w:rsidRPr="000322E4">
              <w:t>внутрь</w:t>
            </w:r>
            <w:r w:rsidRPr="00BD230E">
              <w:t xml:space="preserve"> 10 </w:t>
            </w:r>
            <w:r w:rsidRPr="000322E4">
              <w:t>мг</w:t>
            </w:r>
            <w:r w:rsidRPr="00BD230E">
              <w:t>/</w:t>
            </w:r>
            <w:r w:rsidRPr="000322E4">
              <w:t>м</w:t>
            </w:r>
            <w:r w:rsidRPr="00BD230E">
              <w:rPr>
                <w:vertAlign w:val="superscript"/>
              </w:rPr>
              <w:t xml:space="preserve">2 </w:t>
            </w:r>
            <w:r w:rsidRPr="00BD230E">
              <w:t xml:space="preserve"> 1-5 </w:t>
            </w:r>
            <w:r w:rsidRPr="000322E4">
              <w:t>дни</w:t>
            </w:r>
          </w:p>
          <w:p w14:paraId="6A5407CE" w14:textId="77777777" w:rsidR="00666D68" w:rsidRPr="00BD230E" w:rsidRDefault="00666D68" w:rsidP="008E3584">
            <w:pPr>
              <w:spacing w:line="360" w:lineRule="auto"/>
              <w:contextualSpacing/>
              <w:jc w:val="both"/>
            </w:pPr>
            <w:r w:rsidRPr="000322E4">
              <w:t>Ифосфамид</w:t>
            </w:r>
            <w:r w:rsidRPr="00BD230E">
              <w:t xml:space="preserve">** 1 </w:t>
            </w:r>
            <w:r w:rsidRPr="000322E4">
              <w:t>ч</w:t>
            </w:r>
            <w:r w:rsidRPr="00BD230E">
              <w:t xml:space="preserve"> </w:t>
            </w:r>
            <w:r w:rsidRPr="000322E4">
              <w:t>в</w:t>
            </w:r>
            <w:r w:rsidRPr="00BD230E">
              <w:t>/</w:t>
            </w:r>
            <w:r w:rsidRPr="000322E4">
              <w:t>в</w:t>
            </w:r>
            <w:r w:rsidRPr="00BD230E">
              <w:t xml:space="preserve"> 800 </w:t>
            </w:r>
            <w:r w:rsidRPr="000322E4">
              <w:t>мг</w:t>
            </w:r>
            <w:r w:rsidRPr="00BD230E">
              <w:t>/</w:t>
            </w:r>
            <w:r w:rsidRPr="000322E4">
              <w:t>м</w:t>
            </w:r>
            <w:r w:rsidRPr="00BD230E">
              <w:rPr>
                <w:vertAlign w:val="superscript"/>
              </w:rPr>
              <w:t>2</w:t>
            </w:r>
            <w:r w:rsidRPr="00BD230E">
              <w:t xml:space="preserve"> 1-5 </w:t>
            </w:r>
            <w:r w:rsidRPr="000322E4">
              <w:t>дни</w:t>
            </w:r>
          </w:p>
          <w:p w14:paraId="34BC483F" w14:textId="77777777" w:rsidR="00666D68" w:rsidRPr="00BD230E" w:rsidRDefault="00666D68" w:rsidP="008E3584">
            <w:pPr>
              <w:spacing w:line="360" w:lineRule="auto"/>
              <w:contextualSpacing/>
              <w:jc w:val="both"/>
            </w:pPr>
            <w:r w:rsidRPr="000322E4">
              <w:t>Винкристин</w:t>
            </w:r>
            <w:r w:rsidRPr="00BD230E">
              <w:t xml:space="preserve">** </w:t>
            </w:r>
            <w:r w:rsidRPr="000322E4">
              <w:t>в</w:t>
            </w:r>
            <w:r w:rsidRPr="00BD230E">
              <w:t>/</w:t>
            </w:r>
            <w:r w:rsidRPr="000322E4">
              <w:t>в</w:t>
            </w:r>
            <w:r w:rsidRPr="00BD230E">
              <w:t xml:space="preserve"> 1,5 </w:t>
            </w:r>
            <w:r w:rsidRPr="000322E4">
              <w:t>мг</w:t>
            </w:r>
            <w:r w:rsidRPr="00BD230E">
              <w:t>/</w:t>
            </w:r>
            <w:r w:rsidRPr="000322E4">
              <w:t>м</w:t>
            </w:r>
            <w:r w:rsidRPr="00BD230E">
              <w:rPr>
                <w:vertAlign w:val="superscript"/>
              </w:rPr>
              <w:t>2</w:t>
            </w:r>
            <w:r w:rsidRPr="00BD230E">
              <w:t xml:space="preserve"> 1 </w:t>
            </w:r>
            <w:r w:rsidRPr="000322E4">
              <w:t>день</w:t>
            </w:r>
          </w:p>
          <w:p w14:paraId="362C6DA2" w14:textId="77777777" w:rsidR="00666D68" w:rsidRPr="00BD230E" w:rsidRDefault="00666D68" w:rsidP="008E3584">
            <w:pPr>
              <w:spacing w:line="360" w:lineRule="auto"/>
              <w:contextualSpacing/>
              <w:jc w:val="both"/>
            </w:pPr>
            <w:r w:rsidRPr="000322E4">
              <w:t>Метотрексат</w:t>
            </w:r>
            <w:r w:rsidRPr="00BD230E">
              <w:t xml:space="preserve">** 24 </w:t>
            </w:r>
            <w:r w:rsidRPr="000322E4">
              <w:t>ч</w:t>
            </w:r>
            <w:r w:rsidRPr="00BD230E">
              <w:t xml:space="preserve">. </w:t>
            </w:r>
            <w:r w:rsidRPr="000322E4">
              <w:t>в</w:t>
            </w:r>
            <w:r w:rsidRPr="00BD230E">
              <w:t>/</w:t>
            </w:r>
            <w:r w:rsidRPr="000322E4">
              <w:t>в</w:t>
            </w:r>
            <w:r w:rsidRPr="00BD230E">
              <w:t xml:space="preserve"> 1 </w:t>
            </w:r>
            <w:r w:rsidRPr="000322E4">
              <w:t>г</w:t>
            </w:r>
            <w:r w:rsidRPr="00BD230E">
              <w:t>/</w:t>
            </w:r>
            <w:r w:rsidRPr="000322E4">
              <w:t>м</w:t>
            </w:r>
            <w:r w:rsidRPr="00BD230E">
              <w:rPr>
                <w:vertAlign w:val="superscript"/>
              </w:rPr>
              <w:t>2</w:t>
            </w:r>
            <w:r w:rsidRPr="00BD230E">
              <w:t xml:space="preserve"> 1 </w:t>
            </w:r>
            <w:r w:rsidRPr="000322E4">
              <w:t>день</w:t>
            </w:r>
          </w:p>
          <w:p w14:paraId="6176A409" w14:textId="77777777" w:rsidR="00666D68" w:rsidRPr="000322E4" w:rsidRDefault="00666D68" w:rsidP="008E3584">
            <w:pPr>
              <w:spacing w:line="360" w:lineRule="auto"/>
              <w:contextualSpacing/>
              <w:jc w:val="both"/>
            </w:pPr>
            <w:r w:rsidRPr="000322E4">
              <w:t>Кальция</w:t>
            </w:r>
            <w:r w:rsidRPr="00B972D6">
              <w:t xml:space="preserve"> </w:t>
            </w:r>
            <w:r w:rsidRPr="000322E4">
              <w:t>фолинат</w:t>
            </w:r>
            <w:r w:rsidRPr="00B972D6">
              <w:t>**</w:t>
            </w:r>
            <w:r w:rsidRPr="00B972D6">
              <w:rPr>
                <w:vertAlign w:val="superscript"/>
              </w:rPr>
              <w:t>‡</w:t>
            </w:r>
            <w:r w:rsidRPr="00B972D6">
              <w:t xml:space="preserve"> </w:t>
            </w:r>
            <w:r w:rsidRPr="000322E4">
              <w:t>в</w:t>
            </w:r>
            <w:r w:rsidRPr="00B972D6">
              <w:t>/</w:t>
            </w:r>
            <w:r w:rsidRPr="000322E4">
              <w:t>в</w:t>
            </w:r>
            <w:r w:rsidRPr="00B972D6">
              <w:t xml:space="preserve"> 15 </w:t>
            </w:r>
            <w:r w:rsidRPr="000322E4">
              <w:t>мг</w:t>
            </w:r>
            <w:r w:rsidRPr="00B972D6">
              <w:t>/</w:t>
            </w:r>
            <w:r w:rsidRPr="000322E4">
              <w:t>м</w:t>
            </w:r>
            <w:r w:rsidRPr="00B972D6">
              <w:rPr>
                <w:vertAlign w:val="superscript"/>
              </w:rPr>
              <w:t>2</w:t>
            </w:r>
            <w:r w:rsidRPr="00B972D6">
              <w:t xml:space="preserve">  </w:t>
            </w:r>
            <w:r w:rsidRPr="000322E4">
              <w:t>через</w:t>
            </w:r>
            <w:r w:rsidRPr="00B972D6">
              <w:t xml:space="preserve"> 42, 48, 54 </w:t>
            </w:r>
            <w:r w:rsidRPr="000322E4">
              <w:t>час</w:t>
            </w:r>
            <w:r w:rsidRPr="00B972D6">
              <w:t xml:space="preserve"> </w:t>
            </w:r>
            <w:r w:rsidRPr="000322E4">
              <w:t>от</w:t>
            </w:r>
            <w:r w:rsidRPr="00B972D6">
              <w:t xml:space="preserve"> </w:t>
            </w:r>
            <w:r w:rsidRPr="000322E4">
              <w:t>начала</w:t>
            </w:r>
            <w:r w:rsidRPr="00B972D6">
              <w:t xml:space="preserve"> </w:t>
            </w:r>
            <w:r w:rsidRPr="000322E4">
              <w:t>инфузии метотрексата**</w:t>
            </w:r>
          </w:p>
          <w:p w14:paraId="1F7FD25A" w14:textId="77777777" w:rsidR="00666D68" w:rsidRPr="000322E4" w:rsidRDefault="00666D68" w:rsidP="008E3584">
            <w:pPr>
              <w:spacing w:line="360" w:lineRule="auto"/>
              <w:contextualSpacing/>
              <w:jc w:val="both"/>
            </w:pPr>
            <w:r w:rsidRPr="000322E4">
              <w:t>Цитарабин** 1 ч в/в 150 мг/м</w:t>
            </w:r>
            <w:r w:rsidRPr="000322E4">
              <w:rPr>
                <w:vertAlign w:val="superscript"/>
              </w:rPr>
              <w:t>2</w:t>
            </w:r>
            <w:r w:rsidRPr="000322E4">
              <w:t xml:space="preserve"> 2 р/д  4, 5 дни</w:t>
            </w:r>
          </w:p>
          <w:p w14:paraId="05B57B73" w14:textId="77777777" w:rsidR="00666D68" w:rsidRPr="000322E4" w:rsidRDefault="00666D68" w:rsidP="008E3584">
            <w:pPr>
              <w:spacing w:line="360" w:lineRule="auto"/>
              <w:contextualSpacing/>
              <w:jc w:val="both"/>
            </w:pPr>
            <w:r w:rsidRPr="000322E4">
              <w:t>Этопозид** 1 ч в/в 100 мг/м</w:t>
            </w:r>
            <w:r w:rsidRPr="000322E4">
              <w:rPr>
                <w:vertAlign w:val="superscript"/>
              </w:rPr>
              <w:t>2</w:t>
            </w:r>
            <w:r w:rsidRPr="000322E4">
              <w:t xml:space="preserve"> 4, 5        </w:t>
            </w:r>
          </w:p>
        </w:tc>
      </w:tr>
      <w:tr w:rsidR="00666D68" w:rsidRPr="000322E4" w14:paraId="348051E8" w14:textId="77777777" w:rsidTr="00CA64E2">
        <w:tc>
          <w:tcPr>
            <w:tcW w:w="6516" w:type="dxa"/>
          </w:tcPr>
          <w:p w14:paraId="2204FD90" w14:textId="77777777" w:rsidR="00666D68" w:rsidRPr="000322E4" w:rsidRDefault="00666D68" w:rsidP="008E3584">
            <w:pPr>
              <w:spacing w:line="360" w:lineRule="auto"/>
              <w:contextualSpacing/>
              <w:jc w:val="both"/>
            </w:pPr>
            <w:r w:rsidRPr="000322E4">
              <w:rPr>
                <w:lang w:val="en-US"/>
              </w:rPr>
              <w:t>Mtx</w:t>
            </w:r>
            <w:r w:rsidRPr="000322E4">
              <w:t>/</w:t>
            </w:r>
            <w:r w:rsidRPr="000322E4">
              <w:rPr>
                <w:lang w:val="en-US"/>
              </w:rPr>
              <w:t>AraC</w:t>
            </w:r>
            <w:r w:rsidRPr="000322E4">
              <w:t>/</w:t>
            </w:r>
            <w:r w:rsidRPr="000322E4">
              <w:rPr>
                <w:lang w:val="en-US"/>
              </w:rPr>
              <w:t>Pred</w:t>
            </w:r>
            <w:r w:rsidRPr="000322E4">
              <w:rPr>
                <w:vertAlign w:val="superscript"/>
              </w:rPr>
              <w:t>†</w:t>
            </w:r>
            <w:r w:rsidRPr="000322E4">
              <w:t xml:space="preserve"> э/л в возрастных дозах</w:t>
            </w:r>
          </w:p>
        </w:tc>
      </w:tr>
    </w:tbl>
    <w:p w14:paraId="39D30DE5" w14:textId="77777777" w:rsidR="00666D68" w:rsidRPr="000322E4" w:rsidRDefault="00666D68" w:rsidP="008E3584">
      <w:pPr>
        <w:spacing w:line="360" w:lineRule="auto"/>
        <w:contextualSpacing/>
        <w:jc w:val="both"/>
        <w:rPr>
          <w:bCs/>
        </w:rPr>
      </w:pPr>
    </w:p>
    <w:tbl>
      <w:tblPr>
        <w:tblStyle w:val="aff9"/>
        <w:tblW w:w="6516" w:type="dxa"/>
        <w:tblLook w:val="04A0" w:firstRow="1" w:lastRow="0" w:firstColumn="1" w:lastColumn="0" w:noHBand="0" w:noVBand="1"/>
      </w:tblPr>
      <w:tblGrid>
        <w:gridCol w:w="6516"/>
      </w:tblGrid>
      <w:tr w:rsidR="00666D68" w:rsidRPr="000322E4" w14:paraId="630C792B" w14:textId="77777777" w:rsidTr="00CA64E2">
        <w:tc>
          <w:tcPr>
            <w:tcW w:w="6516" w:type="dxa"/>
          </w:tcPr>
          <w:p w14:paraId="70C8D125" w14:textId="77777777" w:rsidR="00666D68" w:rsidRPr="000322E4" w:rsidRDefault="00666D68" w:rsidP="008E3584">
            <w:pPr>
              <w:spacing w:line="360" w:lineRule="auto"/>
              <w:contextualSpacing/>
              <w:jc w:val="both"/>
              <w:rPr>
                <w:b/>
              </w:rPr>
            </w:pPr>
            <w:r w:rsidRPr="000322E4">
              <w:rPr>
                <w:b/>
                <w:lang w:val="en-US"/>
              </w:rPr>
              <w:t>AA</w:t>
            </w:r>
          </w:p>
        </w:tc>
      </w:tr>
      <w:tr w:rsidR="00666D68" w:rsidRPr="000322E4" w14:paraId="7C811B70" w14:textId="77777777" w:rsidTr="00CA64E2">
        <w:tc>
          <w:tcPr>
            <w:tcW w:w="6516" w:type="dxa"/>
          </w:tcPr>
          <w:p w14:paraId="709142DB" w14:textId="77777777" w:rsidR="00666D68" w:rsidRPr="000322E4" w:rsidRDefault="00666D68" w:rsidP="008E3584">
            <w:pPr>
              <w:spacing w:line="360" w:lineRule="auto"/>
              <w:contextualSpacing/>
              <w:jc w:val="both"/>
            </w:pPr>
            <w:r w:rsidRPr="000322E4">
              <w:t>Дексаметазон** внутрь 10 мг/м</w:t>
            </w:r>
            <w:r w:rsidRPr="000322E4">
              <w:rPr>
                <w:vertAlign w:val="superscript"/>
              </w:rPr>
              <w:t xml:space="preserve">2 </w:t>
            </w:r>
            <w:r w:rsidRPr="000322E4">
              <w:t xml:space="preserve"> 1-5 дни</w:t>
            </w:r>
          </w:p>
          <w:p w14:paraId="0FBEBC67" w14:textId="77777777" w:rsidR="00666D68" w:rsidRPr="000322E4" w:rsidRDefault="00666D68" w:rsidP="008E3584">
            <w:pPr>
              <w:spacing w:line="360" w:lineRule="auto"/>
              <w:contextualSpacing/>
              <w:jc w:val="both"/>
            </w:pPr>
            <w:r w:rsidRPr="000322E4">
              <w:t>Ифосфамид** 1 ч в/в 800 мг/м</w:t>
            </w:r>
            <w:r w:rsidRPr="000322E4">
              <w:rPr>
                <w:vertAlign w:val="superscript"/>
              </w:rPr>
              <w:t>2</w:t>
            </w:r>
            <w:r w:rsidRPr="000322E4">
              <w:t xml:space="preserve"> 1-5 дни</w:t>
            </w:r>
          </w:p>
          <w:p w14:paraId="234E842D" w14:textId="77777777" w:rsidR="00666D68" w:rsidRPr="000322E4" w:rsidRDefault="00666D68" w:rsidP="008E3584">
            <w:pPr>
              <w:spacing w:line="360" w:lineRule="auto"/>
              <w:contextualSpacing/>
              <w:jc w:val="both"/>
            </w:pPr>
            <w:r w:rsidRPr="000322E4">
              <w:t>Винкристин** в/в 1,5 мг/м</w:t>
            </w:r>
            <w:r w:rsidRPr="000322E4">
              <w:rPr>
                <w:vertAlign w:val="superscript"/>
              </w:rPr>
              <w:t>2</w:t>
            </w:r>
            <w:r w:rsidRPr="000322E4">
              <w:t xml:space="preserve"> 1 день</w:t>
            </w:r>
          </w:p>
          <w:p w14:paraId="16317423" w14:textId="77777777" w:rsidR="00666D68" w:rsidRPr="000322E4" w:rsidRDefault="00666D68" w:rsidP="008E3584">
            <w:pPr>
              <w:spacing w:line="360" w:lineRule="auto"/>
              <w:contextualSpacing/>
              <w:jc w:val="both"/>
            </w:pPr>
            <w:r w:rsidRPr="000322E4">
              <w:t>Метотрексат** 24 ч. в/в 5 г/м</w:t>
            </w:r>
            <w:r w:rsidRPr="000322E4">
              <w:rPr>
                <w:vertAlign w:val="superscript"/>
              </w:rPr>
              <w:t>2</w:t>
            </w:r>
            <w:r w:rsidRPr="000322E4">
              <w:t xml:space="preserve"> 1 день</w:t>
            </w:r>
          </w:p>
          <w:p w14:paraId="024128A1" w14:textId="77777777" w:rsidR="00666D68" w:rsidRPr="000322E4" w:rsidRDefault="00666D68" w:rsidP="008E3584">
            <w:pPr>
              <w:spacing w:line="360" w:lineRule="auto"/>
              <w:contextualSpacing/>
              <w:jc w:val="both"/>
            </w:pPr>
            <w:r w:rsidRPr="000322E4">
              <w:t>Кальция фолинат**</w:t>
            </w:r>
            <w:r w:rsidRPr="000322E4">
              <w:rPr>
                <w:vertAlign w:val="superscript"/>
              </w:rPr>
              <w:t>‡</w:t>
            </w:r>
            <w:r w:rsidRPr="000322E4">
              <w:t xml:space="preserve"> в/в 15 мг/м</w:t>
            </w:r>
            <w:r w:rsidRPr="000322E4">
              <w:rPr>
                <w:vertAlign w:val="superscript"/>
              </w:rPr>
              <w:t>2</w:t>
            </w:r>
            <w:r w:rsidRPr="000322E4">
              <w:t xml:space="preserve">  через 42, 48, 54 час от начала инфузии метотрексата**</w:t>
            </w:r>
          </w:p>
          <w:p w14:paraId="18C047A9" w14:textId="77777777" w:rsidR="00666D68" w:rsidRPr="000322E4" w:rsidRDefault="00666D68" w:rsidP="008E3584">
            <w:pPr>
              <w:spacing w:line="360" w:lineRule="auto"/>
              <w:contextualSpacing/>
              <w:jc w:val="both"/>
            </w:pPr>
            <w:r w:rsidRPr="000322E4">
              <w:t>Цитарабин** 1 ч в/в 150 мг/м</w:t>
            </w:r>
            <w:r w:rsidRPr="000322E4">
              <w:rPr>
                <w:vertAlign w:val="superscript"/>
              </w:rPr>
              <w:t>2</w:t>
            </w:r>
            <w:r w:rsidRPr="000322E4">
              <w:t xml:space="preserve"> 2 р/д  4, 5 дни</w:t>
            </w:r>
          </w:p>
          <w:p w14:paraId="2389E774" w14:textId="77777777" w:rsidR="00666D68" w:rsidRPr="000322E4" w:rsidRDefault="00666D68" w:rsidP="008E3584">
            <w:pPr>
              <w:spacing w:line="360" w:lineRule="auto"/>
              <w:contextualSpacing/>
              <w:jc w:val="both"/>
            </w:pPr>
            <w:r w:rsidRPr="000322E4">
              <w:t>Этопозид** 1 ч в/в 100 мг/м</w:t>
            </w:r>
            <w:r w:rsidRPr="000322E4">
              <w:rPr>
                <w:vertAlign w:val="superscript"/>
              </w:rPr>
              <w:t>2</w:t>
            </w:r>
            <w:r w:rsidRPr="000322E4">
              <w:t xml:space="preserve"> 4, 5        </w:t>
            </w:r>
          </w:p>
        </w:tc>
      </w:tr>
      <w:tr w:rsidR="00666D68" w:rsidRPr="000322E4" w14:paraId="16ECC3CA" w14:textId="77777777" w:rsidTr="00CA64E2">
        <w:tc>
          <w:tcPr>
            <w:tcW w:w="6516" w:type="dxa"/>
          </w:tcPr>
          <w:p w14:paraId="000690C7" w14:textId="77777777" w:rsidR="00666D68" w:rsidRPr="000322E4" w:rsidRDefault="00666D68" w:rsidP="008E3584">
            <w:pPr>
              <w:spacing w:line="360" w:lineRule="auto"/>
              <w:contextualSpacing/>
              <w:jc w:val="both"/>
            </w:pPr>
            <w:r w:rsidRPr="000322E4">
              <w:rPr>
                <w:lang w:val="en-US"/>
              </w:rPr>
              <w:t>Mtx</w:t>
            </w:r>
            <w:r w:rsidRPr="000322E4">
              <w:t>/</w:t>
            </w:r>
            <w:r w:rsidRPr="000322E4">
              <w:rPr>
                <w:lang w:val="en-US"/>
              </w:rPr>
              <w:t>AraC</w:t>
            </w:r>
            <w:r w:rsidRPr="000322E4">
              <w:t>/</w:t>
            </w:r>
            <w:r w:rsidRPr="000322E4">
              <w:rPr>
                <w:lang w:val="en-US"/>
              </w:rPr>
              <w:t>Pred</w:t>
            </w:r>
            <w:r w:rsidRPr="000322E4">
              <w:rPr>
                <w:vertAlign w:val="superscript"/>
              </w:rPr>
              <w:t>†</w:t>
            </w:r>
            <w:r w:rsidRPr="000322E4">
              <w:t xml:space="preserve"> э/л в возрастных дозах</w:t>
            </w:r>
          </w:p>
        </w:tc>
      </w:tr>
    </w:tbl>
    <w:p w14:paraId="141FD748" w14:textId="77777777" w:rsidR="00666D68" w:rsidRPr="000322E4" w:rsidRDefault="00666D68" w:rsidP="008E3584">
      <w:pPr>
        <w:spacing w:line="360" w:lineRule="auto"/>
        <w:contextualSpacing/>
        <w:jc w:val="both"/>
        <w:rPr>
          <w:b/>
          <w:u w:val="single"/>
        </w:rPr>
      </w:pPr>
    </w:p>
    <w:tbl>
      <w:tblPr>
        <w:tblStyle w:val="aff9"/>
        <w:tblW w:w="6516" w:type="dxa"/>
        <w:tblLook w:val="04A0" w:firstRow="1" w:lastRow="0" w:firstColumn="1" w:lastColumn="0" w:noHBand="0" w:noVBand="1"/>
      </w:tblPr>
      <w:tblGrid>
        <w:gridCol w:w="6516"/>
      </w:tblGrid>
      <w:tr w:rsidR="00666D68" w:rsidRPr="000322E4" w14:paraId="27AF0037" w14:textId="77777777" w:rsidTr="00CA64E2">
        <w:tc>
          <w:tcPr>
            <w:tcW w:w="6516" w:type="dxa"/>
          </w:tcPr>
          <w:p w14:paraId="24929D73" w14:textId="77777777" w:rsidR="00666D68" w:rsidRPr="000322E4" w:rsidRDefault="00666D68" w:rsidP="008E3584">
            <w:pPr>
              <w:spacing w:line="360" w:lineRule="auto"/>
              <w:contextualSpacing/>
              <w:jc w:val="both"/>
              <w:rPr>
                <w:b/>
              </w:rPr>
            </w:pPr>
            <w:r w:rsidRPr="000322E4">
              <w:rPr>
                <w:b/>
              </w:rPr>
              <w:t>В1</w:t>
            </w:r>
          </w:p>
        </w:tc>
      </w:tr>
      <w:tr w:rsidR="00666D68" w:rsidRPr="000322E4" w14:paraId="1C70EDB9" w14:textId="77777777" w:rsidTr="00CA64E2">
        <w:tc>
          <w:tcPr>
            <w:tcW w:w="6516" w:type="dxa"/>
          </w:tcPr>
          <w:p w14:paraId="7FA81186" w14:textId="77777777" w:rsidR="00666D68" w:rsidRPr="000322E4" w:rsidRDefault="00666D68" w:rsidP="008E3584">
            <w:pPr>
              <w:spacing w:line="360" w:lineRule="auto"/>
              <w:contextualSpacing/>
              <w:jc w:val="both"/>
            </w:pPr>
            <w:r w:rsidRPr="000322E4">
              <w:t>Дексаметазон** внутрь 10 мг/м</w:t>
            </w:r>
            <w:r w:rsidRPr="000322E4">
              <w:rPr>
                <w:vertAlign w:val="superscript"/>
              </w:rPr>
              <w:t xml:space="preserve">2 </w:t>
            </w:r>
            <w:r w:rsidRPr="000322E4">
              <w:t>1-5 дни</w:t>
            </w:r>
          </w:p>
          <w:p w14:paraId="6DB52FD2" w14:textId="77777777" w:rsidR="00666D68" w:rsidRPr="000322E4" w:rsidRDefault="00666D68" w:rsidP="008E3584">
            <w:pPr>
              <w:spacing w:line="360" w:lineRule="auto"/>
              <w:contextualSpacing/>
              <w:jc w:val="both"/>
            </w:pPr>
            <w:r w:rsidRPr="000322E4">
              <w:t>Циклофосфамид** в/в 200 мг/м</w:t>
            </w:r>
            <w:r w:rsidRPr="000322E4">
              <w:rPr>
                <w:vertAlign w:val="superscript"/>
              </w:rPr>
              <w:t xml:space="preserve">2 </w:t>
            </w:r>
            <w:r w:rsidRPr="000322E4">
              <w:t xml:space="preserve">1-5 дни </w:t>
            </w:r>
          </w:p>
          <w:p w14:paraId="5AF88C17" w14:textId="77777777" w:rsidR="00666D68" w:rsidRPr="000322E4" w:rsidRDefault="00666D68" w:rsidP="008E3584">
            <w:pPr>
              <w:spacing w:line="360" w:lineRule="auto"/>
              <w:contextualSpacing/>
              <w:jc w:val="both"/>
            </w:pPr>
            <w:r w:rsidRPr="000322E4">
              <w:t>Винкристин** в/в 1,5 мг/м</w:t>
            </w:r>
            <w:r w:rsidRPr="000322E4">
              <w:rPr>
                <w:vertAlign w:val="superscript"/>
              </w:rPr>
              <w:t>2</w:t>
            </w:r>
            <w:r w:rsidRPr="000322E4">
              <w:t xml:space="preserve"> 1 день</w:t>
            </w:r>
          </w:p>
          <w:p w14:paraId="0C23317D" w14:textId="77777777" w:rsidR="00666D68" w:rsidRPr="000322E4" w:rsidRDefault="00666D68" w:rsidP="008E3584">
            <w:pPr>
              <w:spacing w:line="360" w:lineRule="auto"/>
              <w:contextualSpacing/>
              <w:jc w:val="both"/>
            </w:pPr>
            <w:r w:rsidRPr="000322E4">
              <w:t>Метотрексат**  24 ч в/в 1 г/м</w:t>
            </w:r>
            <w:r w:rsidRPr="000322E4">
              <w:rPr>
                <w:vertAlign w:val="superscript"/>
              </w:rPr>
              <w:t>2</w:t>
            </w:r>
            <w:r w:rsidRPr="000322E4">
              <w:t xml:space="preserve"> 1 день</w:t>
            </w:r>
          </w:p>
          <w:p w14:paraId="3D2E47CD" w14:textId="77777777" w:rsidR="00666D68" w:rsidRPr="000322E4" w:rsidRDefault="00666D68" w:rsidP="008E3584">
            <w:pPr>
              <w:spacing w:line="360" w:lineRule="auto"/>
              <w:contextualSpacing/>
              <w:jc w:val="both"/>
            </w:pPr>
            <w:r w:rsidRPr="000322E4">
              <w:t>Кальция фолинат**</w:t>
            </w:r>
            <w:r w:rsidRPr="000322E4">
              <w:rPr>
                <w:vertAlign w:val="superscript"/>
              </w:rPr>
              <w:t>‡</w:t>
            </w:r>
            <w:r w:rsidRPr="000322E4">
              <w:t xml:space="preserve">  в/в 15 мг/м</w:t>
            </w:r>
            <w:r w:rsidRPr="000322E4">
              <w:rPr>
                <w:vertAlign w:val="superscript"/>
              </w:rPr>
              <w:t>2</w:t>
            </w:r>
            <w:r w:rsidRPr="000322E4">
              <w:t xml:space="preserve"> через 42, 48, 54 час от начала инфузии метотрексата</w:t>
            </w:r>
            <w:r w:rsidRPr="000322E4">
              <w:rPr>
                <w:bCs/>
              </w:rPr>
              <w:t>**</w:t>
            </w:r>
          </w:p>
          <w:p w14:paraId="33855093" w14:textId="77777777" w:rsidR="00666D68" w:rsidRPr="000322E4" w:rsidRDefault="00666D68" w:rsidP="008E3584">
            <w:pPr>
              <w:spacing w:line="360" w:lineRule="auto"/>
              <w:contextualSpacing/>
              <w:jc w:val="both"/>
            </w:pPr>
            <w:r w:rsidRPr="000322E4">
              <w:t>Доксорубицин** в/в 25 мг/м</w:t>
            </w:r>
            <w:r w:rsidRPr="000322E4">
              <w:rPr>
                <w:vertAlign w:val="superscript"/>
              </w:rPr>
              <w:t xml:space="preserve">2 </w:t>
            </w:r>
            <w:r w:rsidRPr="000322E4">
              <w:t>4, 5 дни</w:t>
            </w:r>
          </w:p>
        </w:tc>
      </w:tr>
      <w:tr w:rsidR="00666D68" w:rsidRPr="000322E4" w14:paraId="00F14BB2" w14:textId="77777777" w:rsidTr="00CA64E2">
        <w:tc>
          <w:tcPr>
            <w:tcW w:w="6516" w:type="dxa"/>
          </w:tcPr>
          <w:p w14:paraId="335C8F46" w14:textId="77777777" w:rsidR="00666D68" w:rsidRPr="000322E4" w:rsidRDefault="00666D68" w:rsidP="008E3584">
            <w:pPr>
              <w:spacing w:line="360" w:lineRule="auto"/>
              <w:contextualSpacing/>
              <w:jc w:val="both"/>
            </w:pPr>
            <w:r w:rsidRPr="000322E4">
              <w:rPr>
                <w:lang w:val="en-US"/>
              </w:rPr>
              <w:t>Mtx</w:t>
            </w:r>
            <w:r w:rsidRPr="000322E4">
              <w:t>/</w:t>
            </w:r>
            <w:r w:rsidRPr="000322E4">
              <w:rPr>
                <w:lang w:val="en-US"/>
              </w:rPr>
              <w:t>AraC</w:t>
            </w:r>
            <w:r w:rsidRPr="000322E4">
              <w:t>/</w:t>
            </w:r>
            <w:r w:rsidRPr="000322E4">
              <w:rPr>
                <w:lang w:val="en-US"/>
              </w:rPr>
              <w:t>Pred</w:t>
            </w:r>
            <w:r w:rsidRPr="000322E4">
              <w:rPr>
                <w:vertAlign w:val="superscript"/>
              </w:rPr>
              <w:t>†</w:t>
            </w:r>
            <w:r w:rsidRPr="000322E4">
              <w:t xml:space="preserve"> э/л в возрастных дозах</w:t>
            </w:r>
          </w:p>
        </w:tc>
      </w:tr>
    </w:tbl>
    <w:p w14:paraId="43F1A848" w14:textId="77777777" w:rsidR="00666D68" w:rsidRPr="000322E4" w:rsidRDefault="00666D68" w:rsidP="008E3584">
      <w:pPr>
        <w:spacing w:line="360" w:lineRule="auto"/>
        <w:contextualSpacing/>
        <w:jc w:val="both"/>
      </w:pPr>
    </w:p>
    <w:tbl>
      <w:tblPr>
        <w:tblStyle w:val="aff9"/>
        <w:tblW w:w="6516" w:type="dxa"/>
        <w:tblLook w:val="04A0" w:firstRow="1" w:lastRow="0" w:firstColumn="1" w:lastColumn="0" w:noHBand="0" w:noVBand="1"/>
      </w:tblPr>
      <w:tblGrid>
        <w:gridCol w:w="6516"/>
      </w:tblGrid>
      <w:tr w:rsidR="00666D68" w:rsidRPr="000322E4" w14:paraId="0E729645" w14:textId="77777777" w:rsidTr="00CA64E2">
        <w:tc>
          <w:tcPr>
            <w:tcW w:w="6516" w:type="dxa"/>
          </w:tcPr>
          <w:p w14:paraId="28D1A9FA" w14:textId="77777777" w:rsidR="00666D68" w:rsidRPr="000322E4" w:rsidRDefault="00666D68" w:rsidP="008E3584">
            <w:pPr>
              <w:spacing w:line="360" w:lineRule="auto"/>
              <w:contextualSpacing/>
              <w:jc w:val="both"/>
              <w:rPr>
                <w:b/>
              </w:rPr>
            </w:pPr>
            <w:r w:rsidRPr="000322E4">
              <w:rPr>
                <w:b/>
              </w:rPr>
              <w:t>В2</w:t>
            </w:r>
          </w:p>
        </w:tc>
      </w:tr>
      <w:tr w:rsidR="00666D68" w:rsidRPr="000322E4" w14:paraId="7A40347C" w14:textId="77777777" w:rsidTr="00CA64E2">
        <w:tc>
          <w:tcPr>
            <w:tcW w:w="6516" w:type="dxa"/>
          </w:tcPr>
          <w:p w14:paraId="5CFB7C41" w14:textId="77777777" w:rsidR="00666D68" w:rsidRPr="000322E4" w:rsidRDefault="00666D68" w:rsidP="008E3584">
            <w:pPr>
              <w:spacing w:line="360" w:lineRule="auto"/>
              <w:contextualSpacing/>
              <w:jc w:val="both"/>
            </w:pPr>
            <w:r w:rsidRPr="000322E4">
              <w:t>Дексаметазон** внутрь 10 мг/м</w:t>
            </w:r>
            <w:r w:rsidRPr="000322E4">
              <w:rPr>
                <w:vertAlign w:val="superscript"/>
              </w:rPr>
              <w:t xml:space="preserve">2 </w:t>
            </w:r>
            <w:r w:rsidRPr="000322E4">
              <w:t>1-5 дни</w:t>
            </w:r>
          </w:p>
          <w:p w14:paraId="36DAA361" w14:textId="77777777" w:rsidR="00666D68" w:rsidRPr="000322E4" w:rsidRDefault="00666D68" w:rsidP="008E3584">
            <w:pPr>
              <w:spacing w:line="360" w:lineRule="auto"/>
              <w:contextualSpacing/>
              <w:jc w:val="both"/>
            </w:pPr>
            <w:r w:rsidRPr="000322E4">
              <w:t>Циклофосфамид** в/в 200 мг/м</w:t>
            </w:r>
            <w:r w:rsidRPr="000322E4">
              <w:rPr>
                <w:vertAlign w:val="superscript"/>
              </w:rPr>
              <w:t xml:space="preserve">2 </w:t>
            </w:r>
            <w:r w:rsidRPr="000322E4">
              <w:t xml:space="preserve">1-5 дни </w:t>
            </w:r>
          </w:p>
          <w:p w14:paraId="7CBA8AF0" w14:textId="77777777" w:rsidR="00666D68" w:rsidRPr="000322E4" w:rsidRDefault="00666D68" w:rsidP="008E3584">
            <w:pPr>
              <w:spacing w:line="360" w:lineRule="auto"/>
              <w:contextualSpacing/>
              <w:jc w:val="both"/>
            </w:pPr>
            <w:r w:rsidRPr="000322E4">
              <w:t>Винкристин** в/в 1,5 мг/м</w:t>
            </w:r>
            <w:r w:rsidRPr="000322E4">
              <w:rPr>
                <w:vertAlign w:val="superscript"/>
              </w:rPr>
              <w:t>2</w:t>
            </w:r>
            <w:r w:rsidRPr="000322E4">
              <w:t xml:space="preserve"> 1 день</w:t>
            </w:r>
          </w:p>
          <w:p w14:paraId="1B711D10" w14:textId="77777777" w:rsidR="00666D68" w:rsidRPr="000322E4" w:rsidRDefault="00666D68" w:rsidP="008E3584">
            <w:pPr>
              <w:spacing w:line="360" w:lineRule="auto"/>
              <w:contextualSpacing/>
              <w:jc w:val="both"/>
            </w:pPr>
            <w:r w:rsidRPr="000322E4">
              <w:t>Метотрексат**  24 ч в/в 2 г/м</w:t>
            </w:r>
            <w:r w:rsidRPr="000322E4">
              <w:rPr>
                <w:vertAlign w:val="superscript"/>
              </w:rPr>
              <w:t>2</w:t>
            </w:r>
            <w:r w:rsidRPr="000322E4">
              <w:t xml:space="preserve"> 1 день</w:t>
            </w:r>
          </w:p>
          <w:p w14:paraId="5D74BCA9" w14:textId="77777777" w:rsidR="00666D68" w:rsidRPr="000322E4" w:rsidRDefault="00666D68" w:rsidP="008E3584">
            <w:pPr>
              <w:spacing w:line="360" w:lineRule="auto"/>
              <w:contextualSpacing/>
              <w:jc w:val="both"/>
            </w:pPr>
            <w:r w:rsidRPr="000322E4">
              <w:t>Кальция фолинат**</w:t>
            </w:r>
            <w:r w:rsidRPr="000322E4">
              <w:rPr>
                <w:vertAlign w:val="superscript"/>
              </w:rPr>
              <w:t>‡</w:t>
            </w:r>
            <w:r w:rsidRPr="000322E4">
              <w:t xml:space="preserve">  в/в 15 мг/м</w:t>
            </w:r>
            <w:r w:rsidRPr="000322E4">
              <w:rPr>
                <w:vertAlign w:val="superscript"/>
              </w:rPr>
              <w:t>2</w:t>
            </w:r>
            <w:r w:rsidRPr="000322E4">
              <w:t xml:space="preserve"> через 42, 48, 54 час от начала инфузии метотрексата</w:t>
            </w:r>
            <w:r w:rsidRPr="000322E4">
              <w:rPr>
                <w:bCs/>
              </w:rPr>
              <w:t>**</w:t>
            </w:r>
          </w:p>
          <w:p w14:paraId="62769508" w14:textId="77777777" w:rsidR="00666D68" w:rsidRPr="000322E4" w:rsidRDefault="00666D68" w:rsidP="008E3584">
            <w:pPr>
              <w:spacing w:line="360" w:lineRule="auto"/>
              <w:contextualSpacing/>
              <w:jc w:val="both"/>
            </w:pPr>
            <w:r w:rsidRPr="000322E4">
              <w:t>Доксорубицин** в/в 25 мг/м</w:t>
            </w:r>
            <w:r w:rsidRPr="000322E4">
              <w:rPr>
                <w:vertAlign w:val="superscript"/>
              </w:rPr>
              <w:t xml:space="preserve">2 </w:t>
            </w:r>
            <w:r w:rsidRPr="000322E4">
              <w:t>4, 5 дни</w:t>
            </w:r>
          </w:p>
        </w:tc>
      </w:tr>
      <w:tr w:rsidR="00666D68" w:rsidRPr="000322E4" w14:paraId="5540B4FF" w14:textId="77777777" w:rsidTr="00CA64E2">
        <w:tc>
          <w:tcPr>
            <w:tcW w:w="6516" w:type="dxa"/>
          </w:tcPr>
          <w:p w14:paraId="0C2A7E6C" w14:textId="77777777" w:rsidR="00666D68" w:rsidRPr="000322E4" w:rsidRDefault="00666D68" w:rsidP="008E3584">
            <w:pPr>
              <w:spacing w:line="360" w:lineRule="auto"/>
              <w:contextualSpacing/>
              <w:jc w:val="both"/>
            </w:pPr>
            <w:r w:rsidRPr="000322E4">
              <w:rPr>
                <w:lang w:val="en-US"/>
              </w:rPr>
              <w:t>Mtx</w:t>
            </w:r>
            <w:r w:rsidRPr="000322E4">
              <w:t>/</w:t>
            </w:r>
            <w:r w:rsidRPr="000322E4">
              <w:rPr>
                <w:lang w:val="en-US"/>
              </w:rPr>
              <w:t>AraC</w:t>
            </w:r>
            <w:r w:rsidRPr="000322E4">
              <w:t>/</w:t>
            </w:r>
            <w:r w:rsidRPr="000322E4">
              <w:rPr>
                <w:lang w:val="en-US"/>
              </w:rPr>
              <w:t>Pred</w:t>
            </w:r>
            <w:r w:rsidRPr="000322E4">
              <w:rPr>
                <w:vertAlign w:val="superscript"/>
              </w:rPr>
              <w:t>†</w:t>
            </w:r>
            <w:r w:rsidRPr="000322E4">
              <w:t xml:space="preserve"> э/л в возрастных дозах</w:t>
            </w:r>
          </w:p>
        </w:tc>
      </w:tr>
    </w:tbl>
    <w:p w14:paraId="2E6C8A95" w14:textId="77777777" w:rsidR="00666D68" w:rsidRPr="000322E4" w:rsidRDefault="00666D68" w:rsidP="008E3584">
      <w:pPr>
        <w:spacing w:line="360" w:lineRule="auto"/>
        <w:contextualSpacing/>
        <w:jc w:val="both"/>
      </w:pPr>
    </w:p>
    <w:tbl>
      <w:tblPr>
        <w:tblStyle w:val="aff9"/>
        <w:tblW w:w="6516" w:type="dxa"/>
        <w:tblLook w:val="04A0" w:firstRow="1" w:lastRow="0" w:firstColumn="1" w:lastColumn="0" w:noHBand="0" w:noVBand="1"/>
      </w:tblPr>
      <w:tblGrid>
        <w:gridCol w:w="6516"/>
      </w:tblGrid>
      <w:tr w:rsidR="00666D68" w:rsidRPr="000322E4" w14:paraId="37241869" w14:textId="77777777" w:rsidTr="00CA64E2">
        <w:tc>
          <w:tcPr>
            <w:tcW w:w="6516" w:type="dxa"/>
          </w:tcPr>
          <w:p w14:paraId="150D37D8" w14:textId="77777777" w:rsidR="00666D68" w:rsidRPr="000322E4" w:rsidRDefault="00666D68" w:rsidP="008E3584">
            <w:pPr>
              <w:spacing w:line="360" w:lineRule="auto"/>
              <w:contextualSpacing/>
              <w:jc w:val="both"/>
              <w:rPr>
                <w:b/>
                <w:lang w:val="en-US"/>
              </w:rPr>
            </w:pPr>
            <w:r w:rsidRPr="000322E4">
              <w:rPr>
                <w:b/>
              </w:rPr>
              <w:t>В</w:t>
            </w:r>
            <w:r w:rsidRPr="000322E4">
              <w:rPr>
                <w:b/>
                <w:lang w:val="en-US"/>
              </w:rPr>
              <w:t>B</w:t>
            </w:r>
          </w:p>
        </w:tc>
      </w:tr>
      <w:tr w:rsidR="00666D68" w:rsidRPr="000322E4" w14:paraId="2483F33B" w14:textId="77777777" w:rsidTr="00CA64E2">
        <w:tc>
          <w:tcPr>
            <w:tcW w:w="6516" w:type="dxa"/>
          </w:tcPr>
          <w:p w14:paraId="7EC93DCC" w14:textId="77777777" w:rsidR="00666D68" w:rsidRPr="000322E4" w:rsidRDefault="00666D68" w:rsidP="008E3584">
            <w:pPr>
              <w:spacing w:line="360" w:lineRule="auto"/>
              <w:contextualSpacing/>
              <w:jc w:val="both"/>
            </w:pPr>
            <w:r w:rsidRPr="000322E4">
              <w:t>Дексаметазон** внутрь 10 мг/м</w:t>
            </w:r>
            <w:r w:rsidRPr="000322E4">
              <w:rPr>
                <w:vertAlign w:val="superscript"/>
              </w:rPr>
              <w:t xml:space="preserve">2 </w:t>
            </w:r>
            <w:r w:rsidRPr="000322E4">
              <w:t>1-5 дни</w:t>
            </w:r>
          </w:p>
          <w:p w14:paraId="0954AA28" w14:textId="77777777" w:rsidR="00666D68" w:rsidRPr="000322E4" w:rsidRDefault="00666D68" w:rsidP="008E3584">
            <w:pPr>
              <w:spacing w:line="360" w:lineRule="auto"/>
              <w:contextualSpacing/>
              <w:jc w:val="both"/>
            </w:pPr>
            <w:r w:rsidRPr="000322E4">
              <w:t>Циклофосфамид** в/в 200 мг/м</w:t>
            </w:r>
            <w:r w:rsidRPr="000322E4">
              <w:rPr>
                <w:vertAlign w:val="superscript"/>
              </w:rPr>
              <w:t xml:space="preserve">2 </w:t>
            </w:r>
            <w:r w:rsidRPr="000322E4">
              <w:t xml:space="preserve">1-5 дни </w:t>
            </w:r>
          </w:p>
          <w:p w14:paraId="10107B81" w14:textId="77777777" w:rsidR="00666D68" w:rsidRPr="000322E4" w:rsidRDefault="00666D68" w:rsidP="008E3584">
            <w:pPr>
              <w:spacing w:line="360" w:lineRule="auto"/>
              <w:contextualSpacing/>
              <w:jc w:val="both"/>
            </w:pPr>
            <w:r w:rsidRPr="000322E4">
              <w:t>Винкристин** в/в 1,5 мг/м</w:t>
            </w:r>
            <w:r w:rsidRPr="000322E4">
              <w:rPr>
                <w:vertAlign w:val="superscript"/>
              </w:rPr>
              <w:t>2</w:t>
            </w:r>
            <w:r w:rsidRPr="000322E4">
              <w:t xml:space="preserve"> 1 день</w:t>
            </w:r>
          </w:p>
          <w:p w14:paraId="635EB577" w14:textId="77777777" w:rsidR="00666D68" w:rsidRPr="000322E4" w:rsidRDefault="00666D68" w:rsidP="008E3584">
            <w:pPr>
              <w:spacing w:line="360" w:lineRule="auto"/>
              <w:contextualSpacing/>
              <w:jc w:val="both"/>
            </w:pPr>
            <w:r w:rsidRPr="000322E4">
              <w:t>Метотрексат**  24 ч в/в 5 г/м</w:t>
            </w:r>
            <w:r w:rsidRPr="000322E4">
              <w:rPr>
                <w:vertAlign w:val="superscript"/>
              </w:rPr>
              <w:t>2</w:t>
            </w:r>
            <w:r w:rsidRPr="000322E4">
              <w:t xml:space="preserve"> 1 день</w:t>
            </w:r>
          </w:p>
          <w:p w14:paraId="43647983" w14:textId="77777777" w:rsidR="00666D68" w:rsidRPr="000322E4" w:rsidRDefault="00666D68" w:rsidP="008E3584">
            <w:pPr>
              <w:spacing w:line="360" w:lineRule="auto"/>
              <w:contextualSpacing/>
              <w:jc w:val="both"/>
            </w:pPr>
            <w:r w:rsidRPr="000322E4">
              <w:t>Кальция фолинат**</w:t>
            </w:r>
            <w:r w:rsidRPr="000322E4">
              <w:rPr>
                <w:vertAlign w:val="superscript"/>
              </w:rPr>
              <w:t>‡</w:t>
            </w:r>
            <w:r w:rsidRPr="000322E4">
              <w:t xml:space="preserve">  в/в 15 мг/м</w:t>
            </w:r>
            <w:r w:rsidRPr="000322E4">
              <w:rPr>
                <w:vertAlign w:val="superscript"/>
              </w:rPr>
              <w:t>2</w:t>
            </w:r>
            <w:r w:rsidRPr="000322E4">
              <w:t xml:space="preserve"> через 42, 48, 54 час от начала инфузии метотрексата</w:t>
            </w:r>
            <w:r w:rsidRPr="000322E4">
              <w:rPr>
                <w:bCs/>
              </w:rPr>
              <w:t>**</w:t>
            </w:r>
          </w:p>
          <w:p w14:paraId="009663EC" w14:textId="77777777" w:rsidR="00666D68" w:rsidRPr="000322E4" w:rsidRDefault="00666D68" w:rsidP="008E3584">
            <w:pPr>
              <w:spacing w:line="360" w:lineRule="auto"/>
              <w:contextualSpacing/>
              <w:jc w:val="both"/>
            </w:pPr>
            <w:r w:rsidRPr="000322E4">
              <w:t>Доксорубицин** в/в 25 мг/м</w:t>
            </w:r>
            <w:r w:rsidRPr="000322E4">
              <w:rPr>
                <w:vertAlign w:val="superscript"/>
              </w:rPr>
              <w:t xml:space="preserve">2 </w:t>
            </w:r>
            <w:r w:rsidRPr="000322E4">
              <w:t>4, 5 дни</w:t>
            </w:r>
          </w:p>
        </w:tc>
      </w:tr>
      <w:tr w:rsidR="00666D68" w:rsidRPr="000322E4" w14:paraId="0CD51764" w14:textId="77777777" w:rsidTr="00CA64E2">
        <w:tc>
          <w:tcPr>
            <w:tcW w:w="6516" w:type="dxa"/>
          </w:tcPr>
          <w:p w14:paraId="7516F580" w14:textId="77777777" w:rsidR="00666D68" w:rsidRPr="000322E4" w:rsidRDefault="00666D68" w:rsidP="008E3584">
            <w:pPr>
              <w:spacing w:line="360" w:lineRule="auto"/>
              <w:contextualSpacing/>
              <w:jc w:val="both"/>
            </w:pPr>
            <w:r w:rsidRPr="000322E4">
              <w:rPr>
                <w:lang w:val="en-US"/>
              </w:rPr>
              <w:t>Mtx</w:t>
            </w:r>
            <w:r w:rsidRPr="000322E4">
              <w:t>/</w:t>
            </w:r>
            <w:r w:rsidRPr="000322E4">
              <w:rPr>
                <w:lang w:val="en-US"/>
              </w:rPr>
              <w:t>AraC</w:t>
            </w:r>
            <w:r w:rsidRPr="000322E4">
              <w:t>/</w:t>
            </w:r>
            <w:r w:rsidRPr="000322E4">
              <w:rPr>
                <w:lang w:val="en-US"/>
              </w:rPr>
              <w:t>Pred</w:t>
            </w:r>
            <w:r w:rsidRPr="000322E4">
              <w:rPr>
                <w:vertAlign w:val="superscript"/>
              </w:rPr>
              <w:t>†</w:t>
            </w:r>
            <w:r w:rsidRPr="000322E4">
              <w:t xml:space="preserve"> э/л в возрастных дозах</w:t>
            </w:r>
          </w:p>
        </w:tc>
      </w:tr>
    </w:tbl>
    <w:p w14:paraId="65EF1824" w14:textId="77777777" w:rsidR="00666D68" w:rsidRPr="000322E4" w:rsidRDefault="00666D68" w:rsidP="008E3584">
      <w:pPr>
        <w:spacing w:line="360" w:lineRule="auto"/>
        <w:contextualSpacing/>
        <w:jc w:val="both"/>
        <w:rPr>
          <w:b/>
          <w:u w:val="single"/>
        </w:rPr>
      </w:pPr>
    </w:p>
    <w:tbl>
      <w:tblPr>
        <w:tblStyle w:val="aff9"/>
        <w:tblW w:w="6516" w:type="dxa"/>
        <w:tblLayout w:type="fixed"/>
        <w:tblLook w:val="04A0" w:firstRow="1" w:lastRow="0" w:firstColumn="1" w:lastColumn="0" w:noHBand="0" w:noVBand="1"/>
      </w:tblPr>
      <w:tblGrid>
        <w:gridCol w:w="6516"/>
      </w:tblGrid>
      <w:tr w:rsidR="00666D68" w:rsidRPr="000322E4" w14:paraId="1C25BF28" w14:textId="77777777" w:rsidTr="00CA64E2">
        <w:tc>
          <w:tcPr>
            <w:tcW w:w="6516" w:type="dxa"/>
          </w:tcPr>
          <w:p w14:paraId="207DFB7D" w14:textId="77777777" w:rsidR="00666D68" w:rsidRPr="000322E4" w:rsidRDefault="00666D68" w:rsidP="008E3584">
            <w:pPr>
              <w:spacing w:line="360" w:lineRule="auto"/>
              <w:contextualSpacing/>
              <w:jc w:val="both"/>
              <w:rPr>
                <w:b/>
                <w:lang w:val="en-US"/>
              </w:rPr>
            </w:pPr>
            <w:r w:rsidRPr="000322E4">
              <w:rPr>
                <w:b/>
                <w:lang w:val="en-US"/>
              </w:rPr>
              <w:t>CC</w:t>
            </w:r>
          </w:p>
        </w:tc>
      </w:tr>
      <w:tr w:rsidR="00666D68" w:rsidRPr="000322E4" w14:paraId="7F0E4881" w14:textId="77777777" w:rsidTr="00CA64E2">
        <w:tc>
          <w:tcPr>
            <w:tcW w:w="6516" w:type="dxa"/>
          </w:tcPr>
          <w:p w14:paraId="6F2325B7" w14:textId="77777777" w:rsidR="00666D68" w:rsidRPr="000322E4" w:rsidRDefault="00666D68" w:rsidP="008E3584">
            <w:pPr>
              <w:spacing w:line="360" w:lineRule="auto"/>
              <w:contextualSpacing/>
              <w:jc w:val="both"/>
            </w:pPr>
            <w:r w:rsidRPr="000322E4">
              <w:t>Дексаметазон</w:t>
            </w:r>
            <w:r w:rsidRPr="000322E4">
              <w:rPr>
                <w:bCs/>
              </w:rPr>
              <w:t xml:space="preserve">** внутрь </w:t>
            </w:r>
            <w:r w:rsidRPr="000322E4">
              <w:t>20 мг/м</w:t>
            </w:r>
            <w:r w:rsidRPr="000322E4">
              <w:rPr>
                <w:vertAlign w:val="superscript"/>
              </w:rPr>
              <w:t xml:space="preserve">2 </w:t>
            </w:r>
            <w:r w:rsidRPr="000322E4">
              <w:t>1 день</w:t>
            </w:r>
          </w:p>
          <w:p w14:paraId="326AC28F" w14:textId="77777777" w:rsidR="00666D68" w:rsidRPr="000322E4" w:rsidRDefault="00666D68" w:rsidP="008E3584">
            <w:pPr>
              <w:spacing w:line="360" w:lineRule="auto"/>
              <w:contextualSpacing/>
              <w:jc w:val="both"/>
            </w:pPr>
            <w:r w:rsidRPr="000322E4">
              <w:t>Винкристин</w:t>
            </w:r>
            <w:r w:rsidRPr="000322E4">
              <w:rPr>
                <w:bCs/>
              </w:rPr>
              <w:t>**</w:t>
            </w:r>
            <w:r w:rsidRPr="000322E4">
              <w:t xml:space="preserve"> в/в 1,5 мг/м</w:t>
            </w:r>
            <w:r w:rsidRPr="000322E4">
              <w:rPr>
                <w:vertAlign w:val="superscript"/>
              </w:rPr>
              <w:t>2</w:t>
            </w:r>
            <w:r w:rsidRPr="000322E4">
              <w:t xml:space="preserve"> 1 день</w:t>
            </w:r>
          </w:p>
          <w:p w14:paraId="44B6C323" w14:textId="77777777" w:rsidR="00666D68" w:rsidRPr="000322E4" w:rsidRDefault="00666D68" w:rsidP="008E3584">
            <w:pPr>
              <w:spacing w:line="360" w:lineRule="auto"/>
              <w:contextualSpacing/>
              <w:jc w:val="both"/>
            </w:pPr>
            <w:r w:rsidRPr="000322E4">
              <w:t>Цитарабин</w:t>
            </w:r>
            <w:r w:rsidRPr="000322E4">
              <w:rPr>
                <w:bCs/>
              </w:rPr>
              <w:t>**</w:t>
            </w:r>
            <w:r w:rsidRPr="000322E4">
              <w:t xml:space="preserve"> в/в 3 ч 2000 мг/м</w:t>
            </w:r>
            <w:r w:rsidRPr="000322E4">
              <w:rPr>
                <w:vertAlign w:val="superscript"/>
              </w:rPr>
              <w:t>2</w:t>
            </w:r>
            <w:r w:rsidRPr="000322E4">
              <w:t xml:space="preserve"> 2 р/д 1, 2 дни</w:t>
            </w:r>
          </w:p>
          <w:p w14:paraId="3268F1BA" w14:textId="77777777" w:rsidR="00666D68" w:rsidRPr="000322E4" w:rsidRDefault="00666D68" w:rsidP="008E3584">
            <w:pPr>
              <w:spacing w:line="360" w:lineRule="auto"/>
              <w:contextualSpacing/>
              <w:jc w:val="both"/>
            </w:pPr>
            <w:r w:rsidRPr="000322E4">
              <w:t>Этопозид</w:t>
            </w:r>
            <w:r w:rsidRPr="000322E4">
              <w:rPr>
                <w:bCs/>
              </w:rPr>
              <w:t>**</w:t>
            </w:r>
            <w:r w:rsidRPr="000322E4">
              <w:t xml:space="preserve"> в/в 1 ч  </w:t>
            </w:r>
            <w:r w:rsidR="003D6DE3" w:rsidRPr="000322E4">
              <w:t xml:space="preserve">100 </w:t>
            </w:r>
            <w:r w:rsidRPr="000322E4">
              <w:t>мг/м</w:t>
            </w:r>
            <w:r w:rsidRPr="000322E4">
              <w:rPr>
                <w:vertAlign w:val="superscript"/>
              </w:rPr>
              <w:t>2</w:t>
            </w:r>
            <w:r w:rsidRPr="000322E4">
              <w:t xml:space="preserve">  3, 4, 5 дни</w:t>
            </w:r>
          </w:p>
        </w:tc>
      </w:tr>
      <w:tr w:rsidR="00666D68" w:rsidRPr="000322E4" w14:paraId="470FEF67" w14:textId="77777777" w:rsidTr="00CA64E2">
        <w:tc>
          <w:tcPr>
            <w:tcW w:w="6516" w:type="dxa"/>
          </w:tcPr>
          <w:p w14:paraId="62007832" w14:textId="77777777" w:rsidR="00666D68" w:rsidRPr="000322E4" w:rsidRDefault="00666D68" w:rsidP="008E3584">
            <w:pPr>
              <w:spacing w:line="360" w:lineRule="auto"/>
              <w:contextualSpacing/>
              <w:jc w:val="both"/>
            </w:pPr>
            <w:r w:rsidRPr="000322E4">
              <w:rPr>
                <w:lang w:val="en-US"/>
              </w:rPr>
              <w:t>Mtx</w:t>
            </w:r>
            <w:r w:rsidRPr="000322E4">
              <w:t>/</w:t>
            </w:r>
            <w:r w:rsidRPr="000322E4">
              <w:rPr>
                <w:lang w:val="en-US"/>
              </w:rPr>
              <w:t>AraC</w:t>
            </w:r>
            <w:r w:rsidRPr="000322E4">
              <w:t>/</w:t>
            </w:r>
            <w:r w:rsidRPr="000322E4">
              <w:rPr>
                <w:lang w:val="en-US"/>
              </w:rPr>
              <w:t>Pred</w:t>
            </w:r>
            <w:r w:rsidRPr="000322E4">
              <w:rPr>
                <w:vertAlign w:val="superscript"/>
              </w:rPr>
              <w:t>†</w:t>
            </w:r>
            <w:r w:rsidRPr="000322E4">
              <w:t xml:space="preserve"> э/л в возрастных дозах</w:t>
            </w:r>
          </w:p>
        </w:tc>
      </w:tr>
    </w:tbl>
    <w:p w14:paraId="49602912" w14:textId="77777777" w:rsidR="00666D68" w:rsidRPr="000322E4" w:rsidRDefault="00666D68" w:rsidP="008E3584">
      <w:pPr>
        <w:spacing w:line="360" w:lineRule="auto"/>
        <w:contextualSpacing/>
        <w:jc w:val="both"/>
        <w:rPr>
          <w:vertAlign w:val="superscript"/>
        </w:rPr>
      </w:pPr>
    </w:p>
    <w:tbl>
      <w:tblPr>
        <w:tblStyle w:val="aff9"/>
        <w:tblW w:w="6516" w:type="dxa"/>
        <w:tblLayout w:type="fixed"/>
        <w:tblLook w:val="04A0" w:firstRow="1" w:lastRow="0" w:firstColumn="1" w:lastColumn="0" w:noHBand="0" w:noVBand="1"/>
      </w:tblPr>
      <w:tblGrid>
        <w:gridCol w:w="6516"/>
      </w:tblGrid>
      <w:tr w:rsidR="00666D68" w:rsidRPr="000322E4" w14:paraId="6F6E31FF" w14:textId="77777777" w:rsidTr="00CA64E2">
        <w:tc>
          <w:tcPr>
            <w:tcW w:w="6516" w:type="dxa"/>
          </w:tcPr>
          <w:p w14:paraId="09146B8A" w14:textId="77777777" w:rsidR="00666D68" w:rsidRPr="000322E4" w:rsidRDefault="00666D68" w:rsidP="008E3584">
            <w:pPr>
              <w:spacing w:line="360" w:lineRule="auto"/>
              <w:contextualSpacing/>
              <w:jc w:val="both"/>
              <w:rPr>
                <w:b/>
                <w:lang w:val="en-US"/>
              </w:rPr>
            </w:pPr>
            <w:r w:rsidRPr="000322E4">
              <w:rPr>
                <w:b/>
                <w:lang w:val="en-US"/>
              </w:rPr>
              <w:t>ICE</w:t>
            </w:r>
          </w:p>
        </w:tc>
      </w:tr>
      <w:tr w:rsidR="00666D68" w:rsidRPr="000322E4" w14:paraId="589B0EF0" w14:textId="77777777" w:rsidTr="00CA64E2">
        <w:tc>
          <w:tcPr>
            <w:tcW w:w="6516" w:type="dxa"/>
          </w:tcPr>
          <w:p w14:paraId="7180EB8F" w14:textId="77777777" w:rsidR="00666D68" w:rsidRPr="000322E4" w:rsidRDefault="00666D68" w:rsidP="008E3584">
            <w:pPr>
              <w:spacing w:line="360" w:lineRule="auto"/>
              <w:contextualSpacing/>
              <w:jc w:val="both"/>
            </w:pPr>
            <w:r w:rsidRPr="000322E4">
              <w:t>Ифосфамид** 1800 мг/м</w:t>
            </w:r>
            <w:r w:rsidRPr="000322E4">
              <w:rPr>
                <w:vertAlign w:val="superscript"/>
              </w:rPr>
              <w:t>2</w:t>
            </w:r>
            <w:r w:rsidRPr="000322E4">
              <w:t>/сут, дни 1-5</w:t>
            </w:r>
          </w:p>
          <w:p w14:paraId="79D9CAC0" w14:textId="77777777" w:rsidR="00666D68" w:rsidRPr="000322E4" w:rsidRDefault="00666D68" w:rsidP="008E3584">
            <w:pPr>
              <w:spacing w:line="360" w:lineRule="auto"/>
              <w:contextualSpacing/>
              <w:jc w:val="both"/>
            </w:pPr>
            <w:r w:rsidRPr="000322E4">
              <w:t>#Карбоплатин** 500 мг/м</w:t>
            </w:r>
            <w:r w:rsidRPr="000322E4">
              <w:rPr>
                <w:vertAlign w:val="superscript"/>
              </w:rPr>
              <w:t>2</w:t>
            </w:r>
            <w:r w:rsidRPr="000322E4">
              <w:t>, день 1</w:t>
            </w:r>
          </w:p>
          <w:p w14:paraId="3344270E" w14:textId="77777777" w:rsidR="00666D68" w:rsidRPr="000322E4" w:rsidRDefault="00666D68" w:rsidP="008E3584">
            <w:pPr>
              <w:spacing w:line="360" w:lineRule="auto"/>
              <w:contextualSpacing/>
              <w:jc w:val="both"/>
            </w:pPr>
            <w:r w:rsidRPr="000322E4">
              <w:t>Этопозид** 150 мг/м</w:t>
            </w:r>
            <w:r w:rsidRPr="000322E4">
              <w:rPr>
                <w:vertAlign w:val="superscript"/>
              </w:rPr>
              <w:t>2</w:t>
            </w:r>
            <w:r w:rsidRPr="000322E4">
              <w:t>, дни 1-3</w:t>
            </w:r>
          </w:p>
        </w:tc>
      </w:tr>
      <w:tr w:rsidR="00666D68" w:rsidRPr="000322E4" w14:paraId="3A874AD3" w14:textId="77777777" w:rsidTr="00CA64E2">
        <w:tc>
          <w:tcPr>
            <w:tcW w:w="6516" w:type="dxa"/>
          </w:tcPr>
          <w:p w14:paraId="4F98F8A2" w14:textId="77777777" w:rsidR="00666D68" w:rsidRPr="000322E4" w:rsidRDefault="00666D68" w:rsidP="008E3584">
            <w:pPr>
              <w:spacing w:line="360" w:lineRule="auto"/>
              <w:contextualSpacing/>
              <w:jc w:val="both"/>
            </w:pPr>
            <w:r w:rsidRPr="000322E4">
              <w:rPr>
                <w:lang w:val="en-US"/>
              </w:rPr>
              <w:t>Mtx</w:t>
            </w:r>
            <w:r w:rsidRPr="000322E4">
              <w:t>/</w:t>
            </w:r>
            <w:r w:rsidRPr="000322E4">
              <w:rPr>
                <w:lang w:val="en-US"/>
              </w:rPr>
              <w:t>AraC</w:t>
            </w:r>
            <w:r w:rsidRPr="000322E4">
              <w:t>/</w:t>
            </w:r>
            <w:r w:rsidRPr="000322E4">
              <w:rPr>
                <w:lang w:val="en-US"/>
              </w:rPr>
              <w:t>Pred</w:t>
            </w:r>
            <w:r w:rsidRPr="000322E4">
              <w:rPr>
                <w:vertAlign w:val="superscript"/>
              </w:rPr>
              <w:t>†</w:t>
            </w:r>
            <w:r w:rsidRPr="000322E4">
              <w:t xml:space="preserve"> э/л в возрастных дозах</w:t>
            </w:r>
          </w:p>
        </w:tc>
      </w:tr>
    </w:tbl>
    <w:p w14:paraId="734E50AC" w14:textId="77777777" w:rsidR="00666D68" w:rsidRPr="000322E4" w:rsidRDefault="00666D68" w:rsidP="008E3584">
      <w:pPr>
        <w:spacing w:line="360" w:lineRule="auto"/>
        <w:contextualSpacing/>
        <w:jc w:val="both"/>
        <w:rPr>
          <w:vertAlign w:val="superscript"/>
        </w:rPr>
      </w:pPr>
    </w:p>
    <w:p w14:paraId="1E79D664" w14:textId="77777777" w:rsidR="00666D68" w:rsidRPr="000322E4" w:rsidRDefault="00666D68" w:rsidP="008E3584">
      <w:pPr>
        <w:spacing w:line="360" w:lineRule="auto"/>
        <w:contextualSpacing/>
        <w:jc w:val="both"/>
      </w:pPr>
      <w:r w:rsidRPr="000322E4">
        <w:rPr>
          <w:vertAlign w:val="superscript"/>
        </w:rPr>
        <w:lastRenderedPageBreak/>
        <w:t>†</w:t>
      </w:r>
      <w:r w:rsidRPr="000322E4">
        <w:t xml:space="preserve">    метотрексат</w:t>
      </w:r>
      <w:r w:rsidRPr="000322E4">
        <w:rPr>
          <w:bCs/>
        </w:rPr>
        <w:t>**</w:t>
      </w:r>
      <w:r w:rsidRPr="000322E4">
        <w:t>/цитарабин</w:t>
      </w:r>
      <w:r w:rsidRPr="000322E4">
        <w:rPr>
          <w:bCs/>
        </w:rPr>
        <w:t>**</w:t>
      </w:r>
      <w:r w:rsidRPr="000322E4">
        <w:t>/преднизолон</w:t>
      </w:r>
      <w:r w:rsidRPr="000322E4">
        <w:rPr>
          <w:bCs/>
        </w:rPr>
        <w:t>**</w:t>
      </w:r>
      <w:r w:rsidRPr="000322E4">
        <w:t>, обычно 1 раз на блоке или 2 раза при инициальном поражении ЦНС.</w:t>
      </w:r>
    </w:p>
    <w:p w14:paraId="43227034" w14:textId="77777777" w:rsidR="00666D68" w:rsidRPr="000322E4" w:rsidRDefault="00666D68" w:rsidP="008E3584">
      <w:pPr>
        <w:spacing w:line="360" w:lineRule="auto"/>
        <w:contextualSpacing/>
        <w:jc w:val="both"/>
      </w:pPr>
      <w:r w:rsidRPr="000322E4">
        <w:rPr>
          <w:vertAlign w:val="superscript"/>
        </w:rPr>
        <w:t>‡</w:t>
      </w:r>
      <w:r w:rsidRPr="000322E4">
        <w:t xml:space="preserve">  доза кальция фолината</w:t>
      </w:r>
      <w:r w:rsidRPr="000322E4">
        <w:rPr>
          <w:bCs/>
        </w:rPr>
        <w:t>**</w:t>
      </w:r>
      <w:r w:rsidRPr="000322E4">
        <w:t xml:space="preserve"> определяется по концентрации метотрексата</w:t>
      </w:r>
      <w:r w:rsidRPr="000322E4">
        <w:rPr>
          <w:bCs/>
        </w:rPr>
        <w:t>**</w:t>
      </w:r>
      <w:r w:rsidRPr="000322E4">
        <w:t xml:space="preserve"> в сыворотке</w:t>
      </w:r>
    </w:p>
    <w:p w14:paraId="1B37455F" w14:textId="77777777" w:rsidR="00666D68" w:rsidRPr="000322E4" w:rsidRDefault="00666D68" w:rsidP="008E3584">
      <w:pPr>
        <w:spacing w:line="360" w:lineRule="auto"/>
        <w:contextualSpacing/>
        <w:jc w:val="both"/>
      </w:pPr>
      <w:r w:rsidRPr="000322E4">
        <w:t xml:space="preserve">Интервалы между началом курсов (блоков) не должны быть больше 18-21 дня. Для выполнения интервалов можно использовать Г-КСФ </w:t>
      </w:r>
    </w:p>
    <w:bookmarkEnd w:id="89"/>
    <w:p w14:paraId="326D161E" w14:textId="77777777" w:rsidR="00666D68" w:rsidRPr="000322E4" w:rsidRDefault="00666D68" w:rsidP="008E3584">
      <w:pPr>
        <w:spacing w:line="360" w:lineRule="auto"/>
        <w:jc w:val="both"/>
      </w:pPr>
    </w:p>
    <w:p w14:paraId="1DF6571D" w14:textId="77777777" w:rsidR="00A519D4" w:rsidRPr="000322E4" w:rsidRDefault="00A519D4" w:rsidP="008E3584">
      <w:pPr>
        <w:pStyle w:val="2"/>
        <w:spacing w:before="0"/>
      </w:pPr>
      <w:bookmarkStart w:id="93" w:name="_Toc96601272"/>
      <w:bookmarkEnd w:id="90"/>
      <w:r w:rsidRPr="000322E4">
        <w:t>Приложение А3.</w:t>
      </w:r>
      <w:r w:rsidR="00CF74E8" w:rsidRPr="000322E4">
        <w:t>2</w:t>
      </w:r>
      <w:r w:rsidRPr="000322E4">
        <w:t>. Рекомендации по редукции доз или увеличению промежутков при проведении миелосупрессивной цитостатической терапии</w:t>
      </w:r>
      <w:bookmarkEnd w:id="91"/>
      <w:bookmarkEnd w:id="93"/>
    </w:p>
    <w:p w14:paraId="0E78C1B0" w14:textId="77777777" w:rsidR="00A519D4" w:rsidRPr="000322E4" w:rsidRDefault="004957AB" w:rsidP="008E3584">
      <w:pPr>
        <w:spacing w:line="360" w:lineRule="auto"/>
        <w:ind w:firstLine="567"/>
        <w:jc w:val="both"/>
        <w:rPr>
          <w:rFonts w:cstheme="minorHAnsi"/>
          <w:b/>
        </w:rPr>
      </w:pPr>
      <w:r w:rsidRPr="000322E4">
        <w:t>Миелосупрессивную цитостатическую терапиию</w:t>
      </w:r>
      <w:r w:rsidRPr="000322E4">
        <w:rPr>
          <w:rFonts w:cstheme="minorHAnsi"/>
          <w:bCs/>
        </w:rPr>
        <w:t xml:space="preserve"> </w:t>
      </w:r>
      <w:r w:rsidR="00A519D4" w:rsidRPr="000322E4">
        <w:rPr>
          <w:rFonts w:cstheme="minorHAnsi"/>
          <w:bCs/>
        </w:rPr>
        <w:t xml:space="preserve">следует проводить в полных дозах в соответствии со схемой, если в день введения </w:t>
      </w:r>
      <w:r w:rsidR="00CE3F35" w:rsidRPr="000322E4">
        <w:rPr>
          <w:rFonts w:cstheme="minorHAnsi"/>
          <w:bCs/>
        </w:rPr>
        <w:t>цитостатических</w:t>
      </w:r>
      <w:r w:rsidRPr="000322E4">
        <w:rPr>
          <w:rFonts w:cstheme="minorHAnsi"/>
          <w:bCs/>
        </w:rPr>
        <w:t xml:space="preserve"> препаратов </w:t>
      </w:r>
      <w:r w:rsidR="00A519D4" w:rsidRPr="000322E4">
        <w:rPr>
          <w:rFonts w:cstheme="minorHAnsi"/>
          <w:bCs/>
        </w:rPr>
        <w:t>уровень нейтрофилов &gt;1 </w:t>
      </w:r>
      <w:r w:rsidR="00A519D4" w:rsidRPr="000322E4">
        <w:t>× 10</w:t>
      </w:r>
      <w:r w:rsidR="00A519D4" w:rsidRPr="000322E4">
        <w:rPr>
          <w:vertAlign w:val="superscript"/>
        </w:rPr>
        <w:t>9</w:t>
      </w:r>
      <w:r w:rsidR="00A519D4" w:rsidRPr="000322E4">
        <w:t>/л</w:t>
      </w:r>
      <w:r w:rsidR="00A519D4" w:rsidRPr="000322E4">
        <w:rPr>
          <w:rFonts w:cstheme="minorHAnsi"/>
          <w:bCs/>
        </w:rPr>
        <w:t xml:space="preserve"> и тромбоцитов &gt;100</w:t>
      </w:r>
      <w:r w:rsidR="00A519D4" w:rsidRPr="000322E4">
        <w:rPr>
          <w:lang w:val="en-US"/>
        </w:rPr>
        <w:t> </w:t>
      </w:r>
      <w:r w:rsidR="00A519D4" w:rsidRPr="000322E4">
        <w:t>×</w:t>
      </w:r>
      <w:r w:rsidR="00A519D4" w:rsidRPr="000322E4">
        <w:rPr>
          <w:lang w:val="en-US"/>
        </w:rPr>
        <w:t> </w:t>
      </w:r>
      <w:r w:rsidR="00A519D4" w:rsidRPr="000322E4">
        <w:t>10</w:t>
      </w:r>
      <w:r w:rsidR="00A519D4" w:rsidRPr="000322E4">
        <w:rPr>
          <w:vertAlign w:val="superscript"/>
        </w:rPr>
        <w:t>9</w:t>
      </w:r>
      <w:r w:rsidR="00A519D4" w:rsidRPr="000322E4">
        <w:rPr>
          <w:rFonts w:cstheme="minorHAnsi"/>
          <w:bCs/>
        </w:rPr>
        <w:t>, но только в том случае, если пик падения уже пройден.</w:t>
      </w:r>
    </w:p>
    <w:p w14:paraId="49AB41B9" w14:textId="77777777" w:rsidR="00A519D4" w:rsidRPr="000322E4" w:rsidRDefault="00A519D4" w:rsidP="008E3584">
      <w:pPr>
        <w:spacing w:line="360" w:lineRule="auto"/>
        <w:ind w:firstLine="567"/>
        <w:jc w:val="both"/>
        <w:rPr>
          <w:rFonts w:cstheme="minorHAnsi"/>
        </w:rPr>
      </w:pPr>
      <w:r w:rsidRPr="000322E4">
        <w:rPr>
          <w:rFonts w:cstheme="minorHAnsi"/>
        </w:rPr>
        <w:t xml:space="preserve">Если необходимый уровень нейтрофилов не достигается к плановому дню введения </w:t>
      </w:r>
      <w:r w:rsidR="004957AB" w:rsidRPr="000322E4">
        <w:rPr>
          <w:rFonts w:cstheme="minorHAnsi"/>
          <w:bCs/>
        </w:rPr>
        <w:t>лекарственных препаратов</w:t>
      </w:r>
      <w:r w:rsidRPr="000322E4">
        <w:rPr>
          <w:rFonts w:cstheme="minorHAnsi"/>
        </w:rPr>
        <w:t xml:space="preserve">, введение колониестимулирующих факторов продолжается в прежних дозах до достижения уровня нейтрофилов </w:t>
      </w:r>
      <w:r w:rsidRPr="000322E4">
        <w:rPr>
          <w:rFonts w:cstheme="minorHAnsi"/>
          <w:bCs/>
        </w:rPr>
        <w:t>&gt;1</w:t>
      </w:r>
      <w:r w:rsidRPr="000322E4">
        <w:rPr>
          <w:lang w:val="en-US"/>
        </w:rPr>
        <w:t> </w:t>
      </w:r>
      <w:r w:rsidRPr="000322E4">
        <w:t>×</w:t>
      </w:r>
      <w:r w:rsidRPr="000322E4">
        <w:rPr>
          <w:lang w:val="en-US"/>
        </w:rPr>
        <w:t> </w:t>
      </w:r>
      <w:r w:rsidRPr="000322E4">
        <w:t>10</w:t>
      </w:r>
      <w:r w:rsidRPr="000322E4">
        <w:rPr>
          <w:vertAlign w:val="superscript"/>
        </w:rPr>
        <w:t>9</w:t>
      </w:r>
      <w:r w:rsidRPr="000322E4">
        <w:rPr>
          <w:rFonts w:cstheme="minorHAnsi"/>
          <w:bCs/>
        </w:rPr>
        <w:t xml:space="preserve"> </w:t>
      </w:r>
      <w:r w:rsidRPr="000322E4">
        <w:rPr>
          <w:rFonts w:cstheme="minorHAnsi"/>
        </w:rPr>
        <w:t xml:space="preserve">при ежедневном контроле анализов крови, </w:t>
      </w:r>
      <w:r w:rsidRPr="000322E4">
        <w:rPr>
          <w:rFonts w:cstheme="minorHAnsi"/>
          <w:bCs/>
        </w:rPr>
        <w:t xml:space="preserve">далее </w:t>
      </w:r>
      <w:r w:rsidRPr="000322E4">
        <w:rPr>
          <w:rFonts w:cstheme="minorHAnsi"/>
        </w:rPr>
        <w:t>исследование крови повторяется через день. Лечение возобновляется при достижении вышеуказанных параметров.</w:t>
      </w:r>
    </w:p>
    <w:p w14:paraId="4A05264E" w14:textId="77777777" w:rsidR="00A519D4" w:rsidRPr="000322E4" w:rsidRDefault="00A519D4" w:rsidP="008E3584">
      <w:pPr>
        <w:spacing w:line="360" w:lineRule="auto"/>
        <w:ind w:firstLine="567"/>
        <w:jc w:val="both"/>
        <w:rPr>
          <w:rFonts w:cstheme="minorHAnsi"/>
        </w:rPr>
      </w:pPr>
      <w:r w:rsidRPr="000322E4">
        <w:rPr>
          <w:rFonts w:cstheme="minorHAnsi"/>
        </w:rPr>
        <w:t>В том случае, если показатели крови восстанавливаются в течение последующих 14 дней, следующий цикл проводится в полных дозах.</w:t>
      </w:r>
    </w:p>
    <w:p w14:paraId="429B5ED8" w14:textId="77777777" w:rsidR="00A519D4" w:rsidRPr="000322E4" w:rsidRDefault="00A519D4" w:rsidP="008E3584">
      <w:pPr>
        <w:spacing w:line="360" w:lineRule="auto"/>
        <w:ind w:firstLine="567"/>
        <w:jc w:val="both"/>
        <w:rPr>
          <w:rFonts w:cstheme="minorHAnsi"/>
        </w:rPr>
      </w:pPr>
      <w:r w:rsidRPr="000322E4">
        <w:rPr>
          <w:rFonts w:cstheme="minorHAnsi"/>
        </w:rPr>
        <w:t>В случае, если показатели крови не восстанавливаются дольше дополнительных 14 дней, а также в случае повторной отсрочки курса вследствие миелотоксичности более 10 дней, проводится снижение доз препаратов до 75% от исходной дозы (кроме доз винкристина, блеомицина и преднизолона).</w:t>
      </w:r>
    </w:p>
    <w:p w14:paraId="5D925C82" w14:textId="0ACA2144" w:rsidR="00A519D4" w:rsidRDefault="00A519D4" w:rsidP="008E3584">
      <w:pPr>
        <w:spacing w:line="360" w:lineRule="auto"/>
        <w:ind w:firstLine="567"/>
        <w:jc w:val="both"/>
        <w:rPr>
          <w:rFonts w:cstheme="minorHAnsi"/>
        </w:rPr>
      </w:pPr>
      <w:r w:rsidRPr="000322E4">
        <w:rPr>
          <w:rFonts w:cstheme="minorHAnsi"/>
        </w:rPr>
        <w:t xml:space="preserve">Если к плановому дню введения </w:t>
      </w:r>
      <w:r w:rsidR="00CE3F35" w:rsidRPr="000322E4">
        <w:rPr>
          <w:rFonts w:cstheme="minorHAnsi"/>
        </w:rPr>
        <w:t xml:space="preserve">цитостатических </w:t>
      </w:r>
      <w:r w:rsidRPr="000322E4">
        <w:rPr>
          <w:rFonts w:cstheme="minorHAnsi"/>
        </w:rPr>
        <w:t>препаратов необходимый уровень тромбоцитов не достигается, в дальнейшем исследование крови повторяется на 3, 7, 10 и 14 дни; лечение возобновляется при достижении вышеуказанных параметров. Если показатели крови восстанавливаются в течение дополнительных 14 дней, цикл проводится в полных дозах. В случае, если показатели крови не восстанавливаются дольше дополнительных 14 дней, в следующем цикле производится редукция доз по той же схеме, как и при длительной нейтропении.</w:t>
      </w:r>
    </w:p>
    <w:p w14:paraId="076ADA5D" w14:textId="60C318AC" w:rsidR="0049053C" w:rsidRDefault="0049053C" w:rsidP="008E3584">
      <w:pPr>
        <w:spacing w:line="360" w:lineRule="auto"/>
        <w:ind w:firstLine="567"/>
        <w:jc w:val="both"/>
        <w:rPr>
          <w:rFonts w:cstheme="minorHAnsi"/>
        </w:rPr>
      </w:pPr>
    </w:p>
    <w:p w14:paraId="1977C6CF" w14:textId="7155245D" w:rsidR="0049053C" w:rsidRPr="001F2346" w:rsidRDefault="0049053C" w:rsidP="0049053C">
      <w:pPr>
        <w:pStyle w:val="2"/>
        <w:spacing w:before="0"/>
      </w:pPr>
      <w:bookmarkStart w:id="94" w:name="_Toc66096871"/>
      <w:bookmarkStart w:id="95" w:name="_Toc96601273"/>
      <w:r w:rsidRPr="001F2346">
        <w:t>Приложение А3.3.</w:t>
      </w:r>
      <w:bookmarkStart w:id="96" w:name="_Toc64475918"/>
      <w:bookmarkStart w:id="97" w:name="_Toc44926599"/>
      <w:r w:rsidRPr="001F2346">
        <w:t xml:space="preserve"> Трансплантация аутологичных гемопоэтических стволовых клеток</w:t>
      </w:r>
      <w:bookmarkEnd w:id="94"/>
      <w:bookmarkEnd w:id="95"/>
      <w:bookmarkEnd w:id="96"/>
    </w:p>
    <w:p w14:paraId="2312AEEB" w14:textId="77777777" w:rsidR="0049053C" w:rsidRPr="0049053C" w:rsidRDefault="0049053C" w:rsidP="0049053C">
      <w:pPr>
        <w:pStyle w:val="1ff0"/>
        <w:ind w:firstLine="0"/>
        <w:rPr>
          <w:i/>
          <w:iCs/>
          <w:u w:val="single"/>
        </w:rPr>
      </w:pPr>
      <w:r w:rsidRPr="0049053C">
        <w:rPr>
          <w:i/>
          <w:iCs/>
          <w:u w:val="single"/>
        </w:rPr>
        <w:t>Мобилизация и сбор гемопоэтических стволовых клеток крови</w:t>
      </w:r>
      <w:bookmarkEnd w:id="97"/>
    </w:p>
    <w:p w14:paraId="1ECD3E4C" w14:textId="77777777" w:rsidR="0049053C" w:rsidRPr="00BA4F0F" w:rsidRDefault="0049053C" w:rsidP="0049053C">
      <w:pPr>
        <w:pStyle w:val="1ff0"/>
      </w:pPr>
      <w:r w:rsidRPr="00BA4F0F">
        <w:lastRenderedPageBreak/>
        <w:t>Мобилизация – резкое увеличение количества гемопоэтических стволовых клеток (ГСК) в периферической крови под воздействием ростовых факторов.</w:t>
      </w:r>
    </w:p>
    <w:p w14:paraId="00DA8788" w14:textId="77777777" w:rsidR="0049053C" w:rsidRPr="00BA4F0F" w:rsidRDefault="0049053C" w:rsidP="0049053C">
      <w:pPr>
        <w:pStyle w:val="1ff0"/>
      </w:pPr>
      <w:r w:rsidRPr="00BA4F0F">
        <w:t xml:space="preserve">Разработано несколько схем мобилизации ГСК, используемых в онкогематологии, в каждой из которых применяется Г-КСФ. </w:t>
      </w:r>
    </w:p>
    <w:p w14:paraId="5A8E0EF2" w14:textId="77777777" w:rsidR="0049053C" w:rsidRPr="00BA4F0F" w:rsidRDefault="0049053C" w:rsidP="0049053C">
      <w:pPr>
        <w:pStyle w:val="1ff0"/>
      </w:pPr>
      <w:bookmarkStart w:id="98" w:name="_Toc44926601"/>
    </w:p>
    <w:p w14:paraId="16E05001" w14:textId="5C0A4F7D" w:rsidR="0049053C" w:rsidRPr="00BA4F0F" w:rsidRDefault="0049053C" w:rsidP="0049053C">
      <w:pPr>
        <w:pStyle w:val="1ff0"/>
        <w:rPr>
          <w:b/>
        </w:rPr>
      </w:pPr>
      <w:r w:rsidRPr="00BA4F0F">
        <w:rPr>
          <w:b/>
        </w:rPr>
        <w:t>Алгоритм принятия решения перед мобилизацией ГСК</w:t>
      </w:r>
      <w:bookmarkEnd w:id="98"/>
      <w:r>
        <w:rPr>
          <w:b/>
        </w:rPr>
        <w:t>:</w:t>
      </w:r>
    </w:p>
    <w:p w14:paraId="3669FF7F" w14:textId="77777777" w:rsidR="0049053C" w:rsidRPr="00BA4F0F" w:rsidRDefault="0049053C" w:rsidP="00FE0193">
      <w:pPr>
        <w:pStyle w:val="1ff0"/>
        <w:numPr>
          <w:ilvl w:val="0"/>
          <w:numId w:val="89"/>
        </w:numPr>
      </w:pPr>
      <w:r w:rsidRPr="00BA4F0F">
        <w:t>оценка статуса больного (наличие показаний для трансплантации аутологичных гемопоэтических стволовых клеток (ауто-ТГСК), стандартное обследование для исключения факторов, препятствующих проведению высокодозного лечения, коморбидность, согласие больного, изучение предшествующей терапии - количество курсов и сроки окончания лечения, использование лучевой терапии)</w:t>
      </w:r>
    </w:p>
    <w:p w14:paraId="1B7B6968" w14:textId="77777777" w:rsidR="0049053C" w:rsidRPr="00BA4F0F" w:rsidRDefault="0049053C" w:rsidP="00FE0193">
      <w:pPr>
        <w:pStyle w:val="1ff0"/>
        <w:numPr>
          <w:ilvl w:val="0"/>
          <w:numId w:val="89"/>
        </w:numPr>
      </w:pPr>
      <w:r w:rsidRPr="00BA4F0F">
        <w:t>оценка статуса болезни - глубина противоопухолевого ответа, наличие ремиссии, сроки ее достижения;</w:t>
      </w:r>
    </w:p>
    <w:p w14:paraId="68876C15" w14:textId="77777777" w:rsidR="0049053C" w:rsidRPr="00BA4F0F" w:rsidRDefault="0049053C" w:rsidP="00FE0193">
      <w:pPr>
        <w:pStyle w:val="1ff0"/>
        <w:numPr>
          <w:ilvl w:val="0"/>
          <w:numId w:val="89"/>
        </w:numPr>
      </w:pPr>
      <w:r w:rsidRPr="00BA4F0F">
        <w:t>оценка состояния кроветворения (гистологическое исследование костного мозга позволит выявить угнетение ростков кроветворения, а также инфильтрацию костного мозга опухолевыми клетками)</w:t>
      </w:r>
    </w:p>
    <w:p w14:paraId="2E4A4F66" w14:textId="77777777" w:rsidR="0049053C" w:rsidRPr="00BA4F0F" w:rsidRDefault="0049053C" w:rsidP="0049053C">
      <w:pPr>
        <w:pStyle w:val="1ff0"/>
      </w:pPr>
      <w:r w:rsidRPr="00BA4F0F">
        <w:t>Наиболее доступным иммунологическим маркером кроветворных предшественников является экспрессия антигена СD34. Эта молекула присутствует как на наиболее примитивных стволовых клетках, так и на дифференцированных предшественниках, однако на зрелых гемопоэтических клетках экспрессии CD34 нет.</w:t>
      </w:r>
    </w:p>
    <w:p w14:paraId="73D4D9DD" w14:textId="39BA9DAA" w:rsidR="0049053C" w:rsidRPr="00BA4F0F" w:rsidRDefault="0049053C" w:rsidP="0049053C">
      <w:pPr>
        <w:pStyle w:val="1ff0"/>
      </w:pPr>
      <w:r w:rsidRPr="00BA4F0F">
        <w:t xml:space="preserve">Именно суммарный пул CD34+ клеток определяет сроки восстановления кроветворения после трансплантации </w:t>
      </w:r>
      <w:r w:rsidRPr="00BA4F0F">
        <w:fldChar w:fldCharType="begin" w:fldLock="1"/>
      </w:r>
      <w:r w:rsidR="00A6794A">
        <w:instrText>ADDIN CSL_CITATION {"citationItems":[{"id":"ITEM-1","itemData":{"DOI":"10.1182/blood.v87.1.1.bloodjournal8711","ISSN":"00064971","PMID":"8547630","author":[{"dropping-particle":"","family":"Krause","given":"Diane S.","non-dropping-particle":"","parse-names":false,"suffix":""},{"dropping-particle":"","family":"Fackler","given":"Mary Jo","non-dropping-particle":"","parse-names":false,"suffix":""},{"dropping-particle":"","family":"Civin","given":"Curt I.","non-dropping-particle":"","parse-names":false,"suffix":""},{"dropping-particle":"","family":"May","given":"W. Stratford","non-dropping-particle":"","parse-names":false,"suffix":""}],"container-title":"Blood","id":"ITEM-1","issue":"1","issued":{"date-parts":[["1996","1"]]},"page":"1-13","publisher":"American Society of Hematology","title":"CD34: Structure, biology, and clinical utility","type":"article","volume":"87"},"uris":["http://www.mendeley.com/documents/?uuid=e4a53186-d5a2-35ce-9c02-67bfa05e0886","http://www.mendeley.com/documents/?uuid=1a71f447-44fb-4b59-ac8a-1da92d0990b3","http://www.mendeley.com/documents/?uuid=518c4307-6db7-4716-894c-8d6c14cf80db","http://www.mendeley.com/documents/?uuid=c05ac1ea-efeb-4341-9a99-2e75eb37db1e","http://www.mendeley.com/documents/?uuid=95496d3c-b097-411f-9ec4-45c1036c6a68","http://www.mendeley.com/documents/?uuid=f461ab1d-9e2e-41ce-99d7-7c0f5d907eb5","http://www.mendeley.com/documents/?uuid=6bac5d54-b1f3-4ac8-a201-bb7356545600"]},{"id":"ITEM-2","itemData":{"DOI":"10.1016/j.bbmt.2013.10.013","ISSN":"10838791","abstract":"Autologous hematopoietic stem cell transplantation (aHSCT) is a well-established treatment for malignancies such as multiple myeloma (MM) and lymphomas. Various changes in the field over the past decade, including the frequent use of tandem aHSCT in MM, the advent of novel therapies for the treatment of MM and lymphoma, and the addition of new stem cell mobilization techniques, have led to the need to reassess current stem cell mobilization strategies. Mobilization failures with traditional strategies are common and result in delays in treatment and increased cost and resource utilization. Recently, plerixafor-containing strategies have been shown to significantly reduce mobilization failure rates, but the ideal method to maximize stem cell yields and minimize costs associated with collection has not yet been determined. A panel of experts convened to discuss the currently available data on autologous hematopoietic stem cell mobilization and transplantation and to devise guidelines to optimize mobilization strategies. Herein is a summary of their discussion and consensus. © 2014 American Society for Blood and Marrow Transplantation.","author":[{"dropping-particle":"","family":"Giralt","given":"Sergio","non-dropping-particle":"","parse-names":false,"suffix":""},{"dropping-particle":"","family":"Costa","given":"Luciano","non-dropping-particle":"","parse-names":false,"suffix":""},{"dropping-particle":"","family":"Schriber","given":"Jeffrey","non-dropping-particle":"","parse-names":false,"suffix":""},{"dropping-particle":"","family":"DiPersio","given":"John","non-dropping-particle":"","parse-names":false,"suffix":""},{"dropping-particle":"","family":"Maziarz","given":"Richard","non-dropping-particle":"","parse-names":false,"suffix":""},{"dropping-particle":"","family":"McCarty","given":"John","non-dropping-particle":"","parse-names":false,"suffix":""},{"dropping-particle":"","family":"Shaughnessy","given":"Paul","non-dropping-particle":"","parse-names":false,"suffix":""},{"dropping-particle":"","family":"Snyder","given":"Edward","non-dropping-particle":"","parse-names":false,"suffix":""},{"dropping-particle":"","family":"Bensinger","given":"William","non-dropping-particle":"","parse-names":false,"suffix":""},{"dropping-particle":"","family":"Copelan","given":"Edward","non-dropping-particle":"","parse-names":false,"suffix":""},{"dropping-particle":"","family":"Hosing","given":"Chitra","non-dropping-particle":"","parse-names":false,"suffix":""},{"dropping-particle":"","family":"Negrin","given":"Robert","non-dropping-particle":"","parse-names":false,"suffix":""},{"dropping-particle":"","family":"Petersen","given":"Finn Bo","non-dropping-particle":"","parse-names":false,"suffix":""},{"dropping-particle":"","family":"Rondelli","given":"Damiano","non-dropping-particle":"","parse-names":false,"suffix":""},{"dropping-particle":"","family":"Soiffer","given":"Robert","non-dropping-particle":"","parse-names":false,"suffix":""},{"dropping-particle":"","family":"Leather","given":"Helen","non-dropping-particle":"","parse-names":false,"suffix":""},{"dropping-particle":"","family":"Pazzalia","given":"Amy","non-dropping-particle":"","parse-names":false,"suffix":""},{"dropping-particle":"","family":"Devine","given":"Steven","non-dropping-particle":"","parse-names":false,"suffix":""}],"container-title":"Biology of Blood and Marrow Transplantation","id":"ITEM-2","issue":"3","issued":{"date-parts":[["2014","3"]]},"page":"295-308","publisher":"Elsevier","title":"Optimizing autologous stem cell mobilization strategies to improve patient outcomes: Consensus guidelines and recommendations","type":"article","volume":"20"},"uris":["http://www.mendeley.com/documents/?uuid=f0ad3abd-ce55-3df5-b4f9-e8598b8d0fa8","http://www.mendeley.com/documents/?uuid=aa3272db-ed0f-40c1-949a-b78843f4ce67","http://www.mendeley.com/documents/?uuid=cf158ac3-8f92-4973-85ea-fed641e1f9aa","http://www.mendeley.com/documents/?uuid=312e78a3-0bac-4bd4-bc5d-4ab2db1ceb87","http://www.mendeley.com/documents/?uuid=e4bbc320-ed80-4839-8759-9919ec753098","http://www.mendeley.com/documents/?uuid=43c5883b-a94a-435d-a102-5bbe11f4e704","http://www.mendeley.com/documents/?uuid=43ce11fb-9802-4761-b036-0d546f3d6abf"]}],"mendeley":{"formattedCitation":"[215,216]","plainTextFormattedCitation":"[215,216]","previouslyFormattedCitation":"[215,216]"},"properties":{"noteIndex":0},"schema":"https://github.com/citation-style-language/schema/raw/master/csl-citation.json"}</w:instrText>
      </w:r>
      <w:r w:rsidRPr="00BA4F0F">
        <w:fldChar w:fldCharType="separate"/>
      </w:r>
      <w:r w:rsidR="006E1902" w:rsidRPr="006E1902">
        <w:rPr>
          <w:noProof/>
        </w:rPr>
        <w:t>[215,216]</w:t>
      </w:r>
      <w:r w:rsidRPr="00BA4F0F">
        <w:fldChar w:fldCharType="end"/>
      </w:r>
      <w:r w:rsidRPr="00BA4F0F">
        <w:t>. Неоднократно предпринимались попытки установить количество CD34+ клеток, необходимое для быстрого и успешного восстановления гемопоэза после трансплантации</w:t>
      </w:r>
      <w:r w:rsidRPr="00BA4F0F">
        <w:fldChar w:fldCharType="begin" w:fldLock="1"/>
      </w:r>
      <w:r w:rsidR="00A6794A">
        <w:instrText>ADDIN CSL_CITATION {"citationItems":[{"id":"ITEM-1","itemData":{"DOI":"10.1016/j.bbmt.2010.11.021","ISSN":"10838791","abstract":"Autologous hematopoietic stem cell transplantation (ASCT) is an established treatment for patients with hematologic malignancies, yet the impact of transplanted CD34 + cell dose on clinical outcomes is unresolved. We conducted post hoc analyses of transplanted CD34 + cell dose and hematopoietic recovery following ASCT in 438 patients with non-Hodgkin lymphoma (NHL) or multiple myeloma (MM), using data from 2 multicenter phase 3 clinical studies that compared plerixafor plus granulocyte-colony stimulating factor (G-CSF) versus placebo plus G-CSF as stem cell mobilization regimens. Days to engraftment and the proportion of patients who reached predetermined blood count thresholds were compared across 3 CD34 + cell dose levels: 2-4 × 10 6 cells/kg, 4-6 × 10 6 cells/kg, and &gt;6 × 10 6 cells/kg, regardless of mobilization treatment. Short-term neutrophil and platelet engraftment times were similar regardless of cell dose. A significant linear trend was observed between transplanted CD34 + cell dose and the proportion of patients with platelet count &gt;150 × 10 9/L at 100 days (P &lt; .001), 6 months (P = 026), and 12 months (P = 020) in patients with NHL, and at 100 days in patients with MM (P = 004). A linear trend was also observed between transplanted cell dose and the proportion of patients with platelet count &gt;100 × 10 9/L at 100 days (P &lt; .001) and 6 months (P = 023) in patients with NHL. A higher cell dose was associated with a lower percentage of NHL patients requiring red blood cell transfusions (P = 006). Our analyses confirm previous findings that transplanted CD34 + cell dose may be associated with better long-term platelet recovery after ASCT. © 2011 American Society for Blood and Marrow Transplantation.","author":[{"dropping-particle":"","family":"Stiff","given":"Patrick J.","non-dropping-particle":"","parse-names":false,"suffix":""},{"dropping-particle":"","family":"Micallef","given":"Ivana","non-dropping-particle":"","parse-names":false,"suffix":""},{"dropping-particle":"","family":"Nademanee","given":"Auayporn P.","non-dropping-particle":"","parse-names":false,"suffix":""},{"dropping-particle":"","family":"Stadtmauer","given":"Edward A.","non-dropping-particle":"","parse-names":false,"suffix":""},{"dropping-particle":"","family":"Maziarz","given":"Richard T.","non-dropping-particle":"","parse-names":false,"suffix":""},{"dropping-particle":"","family":"Bolwell","given":"Brian J.","non-dropping-particle":"","parse-names":false,"suffix":""},{"dropping-particle":"","family":"Bridger","given":"Gary","non-dropping-particle":"","parse-names":false,"suffix":""},{"dropping-particle":"","family":"Marulkar","given":"Sachin","non-dropping-particle":"","parse-names":false,"suffix":""},{"dropping-particle":"","family":"Hsu","given":"Frank J.","non-dropping-particle":"","parse-names":false,"suffix":""},{"dropping-particle":"","family":"DiPersio","given":"John F.","non-dropping-particle":"","parse-names":false,"suffix":""}],"container-title":"Biology of Blood and Marrow Transplantation","id":"ITEM-1","issue":"8","issued":{"date-parts":[["2011","8"]]},"page":"1146-1153","publisher":"Biol Blood Marrow Transplant","title":"Transplanted CD34 + Cell Dose Is Associated with Long-Term Platelet Count Recovery following Autologous Peripheral Blood Stem Cell Transplant in Patients with Non-Hodgkin Lymphoma or Multiple Myeloma","type":"article-journal","volume":"17"},"uris":["http://www.mendeley.com/documents/?uuid=48a19164-f2f4-3c72-92ac-75035529f84f","http://www.mendeley.com/documents/?uuid=0a6d07c9-82c9-4733-a748-4fde4ac355bf","http://www.mendeley.com/documents/?uuid=bf0d8f8a-f914-4a58-91b3-f9ddad3e5687","http://www.mendeley.com/documents/?uuid=b1384089-6533-4d2c-bd79-0f7357070e64","http://www.mendeley.com/documents/?uuid=58d20dd0-b39a-406e-8082-76a20c05645c","http://www.mendeley.com/documents/?uuid=cfbf2990-7580-4b9a-af63-5c87bebbc637","http://www.mendeley.com/documents/?uuid=aeec743f-aab0-4ef2-b5a9-bcb8a120b592"]},{"id":"ITEM-2","itemData":{"DOI":"10.1200/JCO.1995.13.3.705","ISSN":"0732183X","abstract":"Purpose: (1) To study the ability of mobilized peripheral-blood progenitor cells (PBPC) collected in a single large-volume leukapheresis performed on a predetermined date to accelerate engraftment after high-dose cyclophosphamide and thiotepa; (2) to establish the minimum dose of PBPC associated with early engraftment; and (3) to identify parameters predictive of collection of large numbers of PBPC. Patients and Methods: Twenty-three patients with breast cancer received cyclophosphamide (4 g/m2) and granulocyte-macrophage colony- stimulating factor ([GM-CSF] 5 μg/kg/d x 15 days) for PBPC mobilization. A single leukapheresis was performed 15 days after cyclophosphamide administration. Then, patients received high-dose cyclophosphamide and thiotepa followed by reinfusion of PBPC and 4-hydroperoxycyclophosphamide (4HC)-purged bone marrow. PBPC concentration was measured in serial peripheral-blood samples and in the leukapheresis product. Correlation analysis between PBPC dose and engraftment and between leukapheresis yield and patient characteristics was attempted. Results: A single leukapheresis processed a median 36 L (range, 24 to 46) blood and collected 5 x 106 CD34+ cells/kg (&lt; 0.3 to 24) and 6.2 x 105 colony-forming units granulocyte- macrophage (CFU-GM)/kg (&lt; 0.001 to 29). All sixteen patients (70%) reinfused with ≥ 2.9 x 106 CD34+ cells/kg reached a level of greater than 1,000 leukocytes/μL by day 13 and greater than 50,000 platelets/μL by day 15. All of these patients had a percentage of peripheral-blood CD34+ cells ≥ 0.5%, and all but one, a level of greater than 100,000 platelets/μL, on the day of leukapheresis. The bone marrow CD34+ cell percentage at study entry predicted the number of CD34+ cells collected after PBPC mobilization (R2 = .42, P = .002). All patients with ≥ 2.5% bone marrow CD34+ cells experienced early engraftment. Conclusion: Reinfusion of PBPC collected in a single leukapheresis accelerates engraftment in the majority of patients. Pretreatment bone marrow CD34+ cell content determines PBPC mobilization capacity and may help select hematopoietic rescue strategies.","author":[{"dropping-particle":"","family":"Passos-Coelho","given":"J. L.","non-dropping-particle":"","parse-names":false,"suffix":""},{"dropping-particle":"","family":"Braine","given":"H. G.","non-dropping-particle":"","parse-names":false,"suffix":""},{"dropping-particle":"","family":"Davis","given":"J. M.","non-dropping-particle":"","parse-names":false,"suffix":""},{"dropping-particle":"","family":"Huelskamp","given":"A. M.","non-dropping-particle":"","parse-names":false,"suffix":""},{"dropping-particle":"","family":"Schepers","given":"K. G.","non-dropping-particle":"","parse-names":false,"suffix":""},{"dropping-particle":"","family":"Ohly","given":"K.","non-dropping-particle":"","parse-names":false,"suffix":""},{"dropping-particle":"","family":"Clarke","given":"B.","non-dropping-particle":"","parse-names":false,"suffix":""},{"dropping-particle":"","family":"Wright","given":"S. K.","non-dropping-particle":"","parse-names":false,"suffix":""},{"dropping-particle":"","family":"Noga","given":"S. J.","non-dropping-particle":"","parse-names":false,"suffix":""},{"dropping-particle":"","family":"Davidson","given":"N. E.","non-dropping-particle":"","parse-names":false,"suffix":""},{"dropping-particle":"","family":"Kennedy","given":"M. J.","non-dropping-particle":"","parse-names":false,"suffix":""}],"container-title":"Journal of Clinical Oncology","id":"ITEM-2","issue":"3","issued":{"date-parts":[["1995"]]},"page":"705-714","publisher":"American Society of Clinical Oncology","title":"Predictive factors for peripheral-blood progenitor-cell collections using a single large-volume leukapheresis after cyclophosphamide and granulocyte- macrophage colony-stimulating factor mobilization","type":"article-journal","volume":"13"},"uris":["http://www.mendeley.com/documents/?uuid=9f936e14-dfc0-3b69-9eaa-703ea91a9517","http://www.mendeley.com/documents/?uuid=9bed808d-d71c-46a0-b6d7-9d6ce13e9c7d","http://www.mendeley.com/documents/?uuid=3706d09b-9023-490d-be3b-1e194d3fc1e4","http://www.mendeley.com/documents/?uuid=b899bbef-369f-4f35-8bd0-80f8725dd530","http://www.mendeley.com/documents/?uuid=32153687-438a-4c6a-ac63-3b5dbfa89f35","http://www.mendeley.com/documents/?uuid=69a86837-0dbe-4f8c-a0e9-040b7ce7c64b","http://www.mendeley.com/documents/?uuid=0a886e27-4a35-4e92-a56e-e7808e952669"]},{"id":"ITEM-3","itemData":{"ISSN":"0301-472X","PMID":"7681782","abstract":"High-dose conditioning therapy followed by autografting with blood stem cells rather than bone marrow has become an increasingly used transplantation modality for patients with chemosensitive malignancies. We treated 10 patients with malignant lymphoma in sensitive relapse with recombinant human granulocyte colony-stimulating factor (rhG-CSF) following salvage therapy. rhG-CSF was given subcutaneously (5 micrograms/kg/day) starting 24 hours after chemotherapy and stem cell collection was performed by repeated leukaphereses during leukocyte recovery. The yield of myeloid progenitors varied between 0.79 and 38.36 x 10(4) CFU-GM/kg body weight (median 4.1 x 10(4). A strong correlation was found between the number of granulocyte-macrophage colony-forming cells (CFU-GM) plus blast-forming erythroid cells (BFU-E) and CD34-positive (CD34+) cells (R = 0.80; p &lt; 0.001). The majority of CD34+ cells (&gt; 95%) strongly coexpressed human lymphocyte antigen-DR (HLA-DR) and CD38, whereas CD33 varied between 20% and 94%. Costaining of CD34+ cells for CD19 above the control level could not be detected, suggesting that early B lymphoid progenitors are not expanded or released into the circulation by rhG-CSF. Following total body irradiation (TBI)/cyclophosphamide or the CBV regimen (cyclophosphamide, BCNU, VP-16), all patients achieved complete engraftment with a median of 14 days for 1.0 x 10(9)/L white blood cells (WBC), 15 days for 0.5 x 10(9)/L polymorphonuclear cells (PMN) and 22 days for 20 x 10(9)/L platelets. The quantity of CFU-GM/kg transplanted was predictive for neutrophil and platelet recovery. The strongest correlation, however, was found between the number of CD34+ cells/kg autografted and platelet recovery (R = -0.86; p &lt; 0.001). The patients transplanted with more than 5 x 10(6)/kg CD34+ cells reached an unsubstituted platelet count &gt; 20 x 10(9)/L within 8 to 12 days. Our data demonstrate that rapid and complete engraftment can be achieved following myeloablative conditioning therapy with rhG-CSF-exposed blood stem cells without the need for additional bone marrow support or growth factor administration posttransplantation.","author":[{"dropping-particle":"","family":"Hohaus","given":"S","non-dropping-particle":"","parse-names":false,"suffix":""},{"dropping-particle":"","family":"Goldschmidt","given":"H","non-dropping-particle":"","parse-names":false,"suffix":""},{"dropping-particle":"","family":"Ehrhardt","given":"R","non-dropping-particle":"","parse-names":false,"suffix":""},{"dropping-particle":"","family":"Haas","given":"R","non-dropping-particle":"","parse-names":false,"suffix":""}],"container-title":"Experimental hematology","id":"ITEM-3","issue":"4","issued":{"date-parts":[["1993","4"]]},"page":"508-14","title":"Successful autografting following myeloablative conditioning therapy with blood stem cells mobilized by chemotherapy plus rhG-CSF.","type":"article-journal","volume":"21"},"uris":["http://www.mendeley.com/documents/?uuid=93812be1-7e65-3951-a468-4e3845502bab","http://www.mendeley.com/documents/?uuid=5b122eed-6453-4084-bfc7-422828bb1ccd","http://www.mendeley.com/documents/?uuid=b7c9c36c-a1b4-443e-870d-da0340dfc5f8","http://www.mendeley.com/documents/?uuid=80050e51-5010-4c71-a36b-97f1521bf43a","http://www.mendeley.com/documents/?uuid=38148a1c-e077-4358-ba14-0dc030862937","http://www.mendeley.com/documents/?uuid=7bc7df1c-3342-4a37-b645-1fd9957bd694","http://www.mendeley.com/documents/?uuid=841a47c1-56d9-4183-95e4-12fced0a860d"]},{"id":"ITEM-4","itemData":{"DOI":"10.1016/j.bbmt.2013.10.013","ISSN":"10838791","abstract":"Autologous hematopoietic stem cell transplantation (aHSCT) is a well-established treatment for malignancies such as multiple myeloma (MM) and lymphomas. Various changes in the field over the past decade, including the frequent use of tandem aHSCT in MM, the advent of novel therapies for the treatment of MM and lymphoma, and the addition of new stem cell mobilization techniques, have led to the need to reassess current stem cell mobilization strategies. Mobilization failures with traditional strategies are common and result in delays in treatment and increased cost and resource utilization. Recently, plerixafor-containing strategies have been shown to significantly reduce mobilization failure rates, but the ideal method to maximize stem cell yields and minimize costs associated with collection has not yet been determined. A panel of experts convened to discuss the currently available data on autologous hematopoietic stem cell mobilization and transplantation and to devise guidelines to optimize mobilization strategies. Herein is a summary of their discussion and consensus. © 2014 American Society for Blood and Marrow Transplantation.","author":[{"dropping-particle":"","family":"Giralt","given":"Sergio","non-dropping-particle":"","parse-names":false,"suffix":""},{"dropping-particle":"","family":"Costa","given":"Luciano","non-dropping-particle":"","parse-names":false,"suffix":""},{"dropping-particle":"","family":"Schriber","given":"Jeffrey","non-dropping-particle":"","parse-names":false,"suffix":""},{"dropping-particle":"","family":"DiPersio","given":"John","non-dropping-particle":"","parse-names":false,"suffix":""},{"dropping-particle":"","family":"Maziarz","given":"Richard","non-dropping-particle":"","parse-names":false,"suffix":""},{"dropping-particle":"","family":"McCarty","given":"John","non-dropping-particle":"","parse-names":false,"suffix":""},{"dropping-particle":"","family":"Shaughnessy","given":"Paul","non-dropping-particle":"","parse-names":false,"suffix":""},{"dropping-particle":"","family":"Snyder","given":"Edward","non-dropping-particle":"","parse-names":false,"suffix":""},{"dropping-particle":"","family":"Bensinger","given":"William","non-dropping-particle":"","parse-names":false,"suffix":""},{"dropping-particle":"","family":"Copelan","given":"Edward","non-dropping-particle":"","parse-names":false,"suffix":""},{"dropping-particle":"","family":"Hosing","given":"Chitra","non-dropping-particle":"","parse-names":false,"suffix":""},{"dropping-particle":"","family":"Negrin","given":"Robert","non-dropping-particle":"","parse-names":false,"suffix":""},{"dropping-particle":"","family":"Petersen","given":"Finn Bo","non-dropping-particle":"","parse-names":false,"suffix":""},{"dropping-particle":"","family":"Rondelli","given":"Damiano","non-dropping-particle":"","parse-names":false,"suffix":""},{"dropping-particle":"","family":"Soiffer","given":"Robert","non-dropping-particle":"","parse-names":false,"suffix":""},{"dropping-particle":"","family":"Leather","given":"Helen","non-dropping-particle":"","parse-names":false,"suffix":""},{"dropping-particle":"","family":"Pazzalia","given":"Amy","non-dropping-particle":"","parse-names":false,"suffix":""},{"dropping-particle":"","family":"Devine","given":"Steven","non-dropping-particle":"","parse-names":false,"suffix":""}],"container-title":"Biology of Blood and Marrow Transplantation","id":"ITEM-4","issue":"3","issued":{"date-parts":[["2014","3"]]},"page":"295-308","publisher":"Elsevier","title":"Optimizing autologous stem cell mobilization strategies to improve patient outcomes: Consensus guidelines and recommendations","type":"article","volume":"20"},"uris":["http://www.mendeley.com/documents/?uuid=43ce11fb-9802-4761-b036-0d546f3d6abf","http://www.mendeley.com/documents/?uuid=43c5883b-a94a-435d-a102-5bbe11f4e704","http://www.mendeley.com/documents/?uuid=e4bbc320-ed80-4839-8759-9919ec753098","http://www.mendeley.com/documents/?uuid=312e78a3-0bac-4bd4-bc5d-4ab2db1ceb87","http://www.mendeley.com/documents/?uuid=cf158ac3-8f92-4973-85ea-fed641e1f9aa","http://www.mendeley.com/documents/?uuid=aa3272db-ed0f-40c1-949a-b78843f4ce67","http://www.mendeley.com/documents/?uuid=f0ad3abd-ce55-3df5-b4f9-e8598b8d0fa8"]}],"mendeley":{"formattedCitation":"[216–219]","plainTextFormattedCitation":"[216–219]","previouslyFormattedCitation":"[216–219]"},"properties":{"noteIndex":0},"schema":"https://github.com/citation-style-language/schema/raw/master/csl-citation.json"}</w:instrText>
      </w:r>
      <w:r w:rsidRPr="00BA4F0F">
        <w:fldChar w:fldCharType="separate"/>
      </w:r>
      <w:r w:rsidR="006E1902" w:rsidRPr="006E1902">
        <w:rPr>
          <w:noProof/>
        </w:rPr>
        <w:t>[216–219]</w:t>
      </w:r>
      <w:r w:rsidRPr="00BA4F0F">
        <w:fldChar w:fldCharType="end"/>
      </w:r>
      <w:r w:rsidRPr="00BA4F0F">
        <w:t xml:space="preserve">. </w:t>
      </w:r>
    </w:p>
    <w:p w14:paraId="47B6DD02" w14:textId="71A8B863" w:rsidR="0049053C" w:rsidRPr="00BA4F0F" w:rsidRDefault="0049053C" w:rsidP="0049053C">
      <w:pPr>
        <w:pStyle w:val="1ff0"/>
      </w:pPr>
      <w:r w:rsidRPr="00BA4F0F">
        <w:t>В настоящее время принято считать, что минимальным количеством клеток, необходимым для проведения одной аутологичной трансплантации, является 2×10</w:t>
      </w:r>
      <w:r w:rsidRPr="00BA4F0F">
        <w:rPr>
          <w:vertAlign w:val="superscript"/>
        </w:rPr>
        <w:t xml:space="preserve">6 </w:t>
      </w:r>
      <w:r w:rsidRPr="00BA4F0F">
        <w:t>CD34+ клеток/кг веса больного, а оптимальным количеством – значение 3</w:t>
      </w:r>
      <w:r>
        <w:t>-</w:t>
      </w:r>
      <w:r w:rsidRPr="00BA4F0F">
        <w:t>5 × 10</w:t>
      </w:r>
      <w:r w:rsidRPr="00BA4F0F">
        <w:rPr>
          <w:vertAlign w:val="superscript"/>
        </w:rPr>
        <w:t xml:space="preserve">6 </w:t>
      </w:r>
      <w:r w:rsidRPr="00BA4F0F">
        <w:t>CD34+ клеток/кг. В некоторых работах представлено, что при использовании трансплантата, содержащего более 5х10</w:t>
      </w:r>
      <w:r w:rsidRPr="00BA4F0F">
        <w:rPr>
          <w:vertAlign w:val="superscript"/>
        </w:rPr>
        <w:t xml:space="preserve">6 </w:t>
      </w:r>
      <w:r w:rsidRPr="00BA4F0F">
        <w:t xml:space="preserve">CD34+клеток/кг, отмечается меньшая длительность нейтропении и тромбоцитопении. </w:t>
      </w:r>
    </w:p>
    <w:p w14:paraId="4D497AF4" w14:textId="04B53A0E" w:rsidR="0049053C" w:rsidRPr="00BA4F0F" w:rsidRDefault="0049053C" w:rsidP="0049053C">
      <w:pPr>
        <w:pStyle w:val="1ff0"/>
      </w:pPr>
      <w:r w:rsidRPr="00BA4F0F">
        <w:t xml:space="preserve">Однако тщательно спланированных проспективных рандомизированных исследований не проводилось, поэтому определить влияние высоких доз CD34+ клеток на кинетику приживления не представляется возможным </w:t>
      </w:r>
      <w:r w:rsidRPr="00BA4F0F">
        <w:fldChar w:fldCharType="begin" w:fldLock="1"/>
      </w:r>
      <w:r w:rsidR="00A6794A">
        <w:instrText>ADDIN CSL_CITATION {"citationItems":[{"id":"ITEM-1","itemData":{"DOI":"10.1016/j.bbmt.2013.10.013","ISSN":"10838791","abstract":"Autologous hematopoietic stem cell transplantation (aHSCT) is a well-established treatment for malignancies such as multiple myeloma (MM) and lymphomas. Various changes in the field over the past decade, including the frequent use of tandem aHSCT in MM, the advent of novel therapies for the treatment of MM and lymphoma, and the addition of new stem cell mobilization techniques, have led to the need to reassess current stem cell mobilization strategies. Mobilization failures with traditional strategies are common and result in delays in treatment and increased cost and resource utilization. Recently, plerixafor-containing strategies have been shown to significantly reduce mobilization failure rates, but the ideal method to maximize stem cell yields and minimize costs associated with collection has not yet been determined. A panel of experts convened to discuss the currently available data on autologous hematopoietic stem cell mobilization and transplantation and to devise guidelines to optimize mobilization strategies. Herein is a summary of their discussion and consensus. © 2014 American Society for Blood and Marrow Transplantation.","author":[{"dropping-particle":"","family":"Giralt","given":"Sergio","non-dropping-particle":"","parse-names":false,"suffix":""},{"dropping-particle":"","family":"Costa","given":"Luciano","non-dropping-particle":"","parse-names":false,"suffix":""},{"dropping-particle":"","family":"Schriber","given":"Jeffrey","non-dropping-particle":"","parse-names":false,"suffix":""},{"dropping-particle":"","family":"DiPersio","given":"John","non-dropping-particle":"","parse-names":false,"suffix":""},{"dropping-particle":"","family":"Maziarz","given":"Richard","non-dropping-particle":"","parse-names":false,"suffix":""},{"dropping-particle":"","family":"McCarty","given":"John","non-dropping-particle":"","parse-names":false,"suffix":""},{"dropping-particle":"","family":"Shaughnessy","given":"Paul","non-dropping-particle":"","parse-names":false,"suffix":""},{"dropping-particle":"","family":"Snyder","given":"Edward","non-dropping-particle":"","parse-names":false,"suffix":""},{"dropping-particle":"","family":"Bensinger","given":"William","non-dropping-particle":"","parse-names":false,"suffix":""},{"dropping-particle":"","family":"Copelan","given":"Edward","non-dropping-particle":"","parse-names":false,"suffix":""},{"dropping-particle":"","family":"Hosing","given":"Chitra","non-dropping-particle":"","parse-names":false,"suffix":""},{"dropping-particle":"","family":"Negrin","given":"Robert","non-dropping-particle":"","parse-names":false,"suffix":""},{"dropping-particle":"","family":"Petersen","given":"Finn Bo","non-dropping-particle":"","parse-names":false,"suffix":""},{"dropping-particle":"","family":"Rondelli","given":"Damiano","non-dropping-particle":"","parse-names":false,"suffix":""},{"dropping-particle":"","family":"Soiffer","given":"Robert","non-dropping-particle":"","parse-names":false,"suffix":""},{"dropping-particle":"","family":"Leather","given":"Helen","non-dropping-particle":"","parse-names":false,"suffix":""},{"dropping-particle":"","family":"Pazzalia","given":"Amy","non-dropping-particle":"","parse-names":false,"suffix":""},{"dropping-particle":"","family":"Devine","given":"Steven","non-dropping-particle":"","parse-names":false,"suffix":""}],"container-title":"Biology of Blood and Marrow Transplantation","id":"ITEM-1","issue":"3","issued":{"date-parts":[["2014","3"]]},"page":"295-308","publisher":"Elsevier","title":"Optimizing autologous stem cell mobilization strategies to improve patient outcomes: Consensus guidelines and recommendations","type":"article","volume":"20"},"uris":["http://www.mendeley.com/documents/?uuid=43ce11fb-9802-4761-b036-0d546f3d6abf","http://www.mendeley.com/documents/?uuid=43c5883b-a94a-435d-a102-5bbe11f4e704","http://www.mendeley.com/documents/?uuid=e4bbc320-ed80-4839-8759-9919ec753098","http://www.mendeley.com/documents/?uuid=312e78a3-0bac-4bd4-bc5d-4ab2db1ceb87","http://www.mendeley.com/documents/?uuid=cf158ac3-8f92-4973-85ea-fed641e1f9aa","http://www.mendeley.com/documents/?uuid=aa3272db-ed0f-40c1-949a-b78843f4ce67","http://www.mendeley.com/documents/?uuid=f0ad3abd-ce55-3df5-b4f9-e8598b8d0fa8"]}],"mendeley":{"formattedCitation":"[216]","plainTextFormattedCitation":"[216]","previouslyFormattedCitation":"[216]"},"properties":{"noteIndex":0},"schema":"https://github.com/citation-style-language/schema/raw/master/csl-citation.json"}</w:instrText>
      </w:r>
      <w:r w:rsidRPr="00BA4F0F">
        <w:fldChar w:fldCharType="separate"/>
      </w:r>
      <w:r w:rsidR="006E1902" w:rsidRPr="006E1902">
        <w:rPr>
          <w:noProof/>
        </w:rPr>
        <w:t>[216]</w:t>
      </w:r>
      <w:r w:rsidRPr="00BA4F0F">
        <w:fldChar w:fldCharType="end"/>
      </w:r>
      <w:r w:rsidRPr="00BA4F0F">
        <w:t>.</w:t>
      </w:r>
    </w:p>
    <w:p w14:paraId="16FECBB1" w14:textId="77777777" w:rsidR="0049053C" w:rsidRPr="00BA4F0F" w:rsidRDefault="0049053C" w:rsidP="0049053C">
      <w:pPr>
        <w:pStyle w:val="1ff0"/>
      </w:pPr>
      <w:bookmarkStart w:id="99" w:name="_Toc44926602"/>
    </w:p>
    <w:p w14:paraId="47D9121A" w14:textId="77777777" w:rsidR="0049053C" w:rsidRPr="00BA4F0F" w:rsidRDefault="0049053C" w:rsidP="0049053C">
      <w:pPr>
        <w:pStyle w:val="1ff0"/>
        <w:rPr>
          <w:b/>
          <w:bCs/>
        </w:rPr>
      </w:pPr>
      <w:r w:rsidRPr="00BA4F0F">
        <w:rPr>
          <w:b/>
          <w:bCs/>
        </w:rPr>
        <w:lastRenderedPageBreak/>
        <w:t>Факторы риска неэффективной мобилизации ГСК</w:t>
      </w:r>
      <w:bookmarkEnd w:id="99"/>
    </w:p>
    <w:p w14:paraId="6D985040" w14:textId="07BAF680" w:rsidR="0049053C" w:rsidRPr="00BA4F0F" w:rsidRDefault="0049053C" w:rsidP="0049053C">
      <w:pPr>
        <w:pStyle w:val="1ff0"/>
      </w:pPr>
      <w:r w:rsidRPr="00BA4F0F">
        <w:t xml:space="preserve">Несмотря на совершенствование методик и появление новых препаратов, неудача мобилизации ГСК остается проблемой для пациентов с онкогематологическими заболеваниями </w:t>
      </w:r>
      <w:r w:rsidRPr="00BA4F0F">
        <w:fldChar w:fldCharType="begin" w:fldLock="1"/>
      </w:r>
      <w:r w:rsidR="00A6794A">
        <w:instrText>ADDIN CSL_CITATION {"citationItems":[{"id":"ITEM-1","itemData":{"author":[{"dropping-particle":"","family":"Покровская О.С., Менделеева Л.П., Гальцева И.В., Варламова Е.Ю., Капланская И.Б., Воробьев И.А., Грецов Е.М., Калинин Н.Н., Варламова С.В., Клясова Г.А., Тихонова Л.Ю.","given":"Савченко В.Г.","non-dropping-particle":"","parse-names":false,"suffix":""}],"container-title":"Проблемы гематологии и переливания","id":"ITEM-1","issued":{"date-parts":[["2003"]]},"page":"55-56","title":"Мобилизация гемопоэтических клеток крови у больных миеломной болезнью","type":"article-journal"},"uris":["http://www.mendeley.com/documents/?uuid=ffac3994-c2e2-36fa-a30d-0feb13f9a7fd","http://www.mendeley.com/documents/?uuid=8770f689-e379-4f05-bd8a-15cddd1006fb"]}],"mendeley":{"formattedCitation":"[220]","plainTextFormattedCitation":"[220]","previouslyFormattedCitation":"[220]"},"properties":{"noteIndex":0},"schema":"https://github.com/citation-style-language/schema/raw/master/csl-citation.json"}</w:instrText>
      </w:r>
      <w:r w:rsidRPr="00BA4F0F">
        <w:fldChar w:fldCharType="separate"/>
      </w:r>
      <w:r w:rsidR="006E1902" w:rsidRPr="006E1902">
        <w:rPr>
          <w:noProof/>
        </w:rPr>
        <w:t>[220]</w:t>
      </w:r>
      <w:r w:rsidRPr="00BA4F0F">
        <w:fldChar w:fldCharType="end"/>
      </w:r>
      <w:r w:rsidRPr="00BA4F0F">
        <w:t>. Группа итальянских исследователей GITIMO определила критерии доказанного и вероятного риска неудачи мобилизации ГСК у больных ММ и НХЛ.</w:t>
      </w:r>
    </w:p>
    <w:p w14:paraId="074B9B2B" w14:textId="77777777" w:rsidR="0049053C" w:rsidRPr="00BA4F0F" w:rsidRDefault="0049053C" w:rsidP="0049053C">
      <w:pPr>
        <w:pStyle w:val="1ff0"/>
      </w:pPr>
      <w:r w:rsidRPr="00BA4F0F">
        <w:t>К факторам доказанного риска неудачи относятся два параметра: если показатели циркулирующих в крови СD34+ не достигают 20 клеток в 1 мкл. на 4-6-й дни после старта Г–КСФ или же заготовлено менее 2х10</w:t>
      </w:r>
      <w:r w:rsidRPr="00BA4F0F">
        <w:rPr>
          <w:vertAlign w:val="superscript"/>
        </w:rPr>
        <w:t xml:space="preserve">6 </w:t>
      </w:r>
      <w:r w:rsidRPr="00BA4F0F">
        <w:t>CD34+ клеток/кг за 3 лейкафереза.</w:t>
      </w:r>
    </w:p>
    <w:p w14:paraId="7A8C7418" w14:textId="7191EF58" w:rsidR="0049053C" w:rsidRPr="00BA4F0F" w:rsidRDefault="0049053C" w:rsidP="0049053C">
      <w:pPr>
        <w:pStyle w:val="1ff0"/>
      </w:pPr>
      <w:r w:rsidRPr="00BA4F0F">
        <w:t xml:space="preserve">Критериями вероятного риска неудачи мобилизации ГСК является наличие предшествующей неэффективной мобилизации ГСК; длительной ХТ или лучевой терапии, использование флюдарабина, мелфалана, леналидомида на предыдущих этапах лечения; продвинутая фаза болезни, потребовавшая проведения как минимум двух линий ХТ. Клеточность костного мозга менее 30% на момент мобилизации и возраст старше 65 лет также являются факторами риска неэффективной мобилизации </w:t>
      </w:r>
      <w:r w:rsidRPr="00BA4F0F">
        <w:fldChar w:fldCharType="begin" w:fldLock="1"/>
      </w:r>
      <w:r w:rsidR="00A6794A">
        <w:instrText>ADDIN CSL_CITATION {"citationItems":[{"id":"ITEM-1","itemData":{"DOI":"10.1038/bmt.2011.82","ISSN":"02683369","abstract":"Many lymphoma and myeloma patients fail to undergo ASCT owing to poor mobilization. Identification of poor mobilizers (PMs) would provide a tool for early intervention with new mobilization agents. The Gruppo italianoTrapianto di Midollo Osseo working group proposed a definition of PMs applicable to clinical trials and clinical practice. The analytic hierarchy process, a method for group decision making, was used in setting prioritized criteria. Lymphoma or myeloma patients were defined as 'proven PM' when: (1) after adequate mobilization (G-CSF 10 μg/kg if used alone or ≥5 μg/kg after chemotherapy) circulating CD34 + cell peak is &lt;20/μL up to 6 days after mobilization with G-CSF or up to 20 days after chemotherapy and G-CSF or (2) they yielded &lt;2.0 × 10 6 CD34 + cells per kg in ≤3 apheresis. Patients were defined as predicted PMs if: (1) they failed a previous collection attempt (not otherwise specified); (2) they previously received extensive radiotherapy or full courses of therapy affecting SC mobilization; and (3) they met two of the following criteria: advanced disease (≥2 lines of chemotherapy), refractory disease, extensive BM involvement or cellularity &lt;30% at the time of mobilization; age ≥65 years. This definition of proven and predicted PMs should be validated in clinical trials and common clinical practice. © 2012 Macmillan Publishers Limited All rights reserved.","author":[{"dropping-particle":"","family":"Olivieri","given":"A.","non-dropping-particle":"","parse-names":false,"suffix":""},{"dropping-particle":"","family":"Marchetti","given":"M.","non-dropping-particle":"","parse-names":false,"suffix":""},{"dropping-particle":"","family":"Lemoli","given":"R.","non-dropping-particle":"","parse-names":false,"suffix":""},{"dropping-particle":"","family":"Tarella","given":"C.","non-dropping-particle":"","parse-names":false,"suffix":""},{"dropping-particle":"","family":"Iacone","given":"A.","non-dropping-particle":"","parse-names":false,"suffix":""},{"dropping-particle":"","family":"Lanza","given":"F.","non-dropping-particle":"","parse-names":false,"suffix":""},{"dropping-particle":"","family":"Rambaldi","given":"A.","non-dropping-particle":"","parse-names":false,"suffix":""},{"dropping-particle":"","family":"Bosi","given":"A.","non-dropping-particle":"","parse-names":false,"suffix":""}],"container-title":"Bone Marrow Transplantation","id":"ITEM-1","issue":"3","issued":{"date-parts":[["2012","3"]]},"page":"342-351","publisher":"Bone Marrow Transplant","title":"Proposed definition of 'poor mobilizer' in lymphoma and multiple myeloma: An analytic hierarchy process by ad hoc working group Gruppo ItalianoTrapianto di Midollo Osseo","type":"article-journal","volume":"47"},"uris":["http://www.mendeley.com/documents/?uuid=ba171d2e-11ed-30e4-8419-628863ccc7d5","http://www.mendeley.com/documents/?uuid=889b327f-5a75-4546-9a08-eda1f05160e3","http://www.mendeley.com/documents/?uuid=8da75729-e2dd-4c45-a604-256ab831ad9d","http://www.mendeley.com/documents/?uuid=5f9c85d8-eabb-4b72-a615-ad332ceb6a28","http://www.mendeley.com/documents/?uuid=77a1aded-f417-40b5-92fe-c81e7ab18493","http://www.mendeley.com/documents/?uuid=8ccbbe36-8201-44c0-91bf-f8fc6344c830","http://www.mendeley.com/documents/?uuid=39d3b635-3780-462d-8abb-b71c080a2618"]}],"mendeley":{"formattedCitation":"[221]","plainTextFormattedCitation":"[221]","previouslyFormattedCitation":"[221]"},"properties":{"noteIndex":0},"schema":"https://github.com/citation-style-language/schema/raw/master/csl-citation.json"}</w:instrText>
      </w:r>
      <w:r w:rsidRPr="00BA4F0F">
        <w:fldChar w:fldCharType="separate"/>
      </w:r>
      <w:r w:rsidR="006E1902" w:rsidRPr="006E1902">
        <w:rPr>
          <w:noProof/>
        </w:rPr>
        <w:t>[221]</w:t>
      </w:r>
      <w:r w:rsidRPr="00BA4F0F">
        <w:fldChar w:fldCharType="end"/>
      </w:r>
      <w:r w:rsidRPr="00BA4F0F">
        <w:t>.</w:t>
      </w:r>
    </w:p>
    <w:p w14:paraId="794EB4C0" w14:textId="77777777" w:rsidR="0049053C" w:rsidRPr="00BA4F0F" w:rsidRDefault="0049053C" w:rsidP="0049053C">
      <w:pPr>
        <w:pStyle w:val="1ff0"/>
      </w:pPr>
      <w:r w:rsidRPr="00BA4F0F">
        <w:t>В случае недостаточного количества заготовленных ГСК обсуждается вопрос об эскалации дозы ростового фактора, проведении повторной мобилизации по другой схеме, эксфузии костного мозга. В настоящее время трансплантация ГСК, полученных из периферической крови, вытесняет трансплантацию костного мозга. Это связанно с тем, что методы сбора клеток из периферической крови менее инвазивны, а восстановление гемопоэза после трансплантации ГСК происходит быстрее, чем после трансплантации костного мозга.</w:t>
      </w:r>
    </w:p>
    <w:p w14:paraId="5B7929A7" w14:textId="77777777" w:rsidR="0049053C" w:rsidRPr="00BA4F0F" w:rsidRDefault="0049053C" w:rsidP="0049053C">
      <w:pPr>
        <w:pStyle w:val="1ff0"/>
      </w:pPr>
      <w:r w:rsidRPr="00BA4F0F">
        <w:t>Цель мобилизации – заготовка адекватного количества CD34+клеток, достаточного для выполнения одной или двух трансплантаций.</w:t>
      </w:r>
    </w:p>
    <w:p w14:paraId="523FC7E7" w14:textId="77777777" w:rsidR="0049053C" w:rsidRPr="00BA4F0F" w:rsidRDefault="0049053C" w:rsidP="0049053C">
      <w:pPr>
        <w:pStyle w:val="1ff0"/>
      </w:pPr>
      <w:r w:rsidRPr="00BA4F0F">
        <w:t>Далее представлена подробная характеристика препаратов, стимулирующих выброс ГСК в периферическую кровь.</w:t>
      </w:r>
    </w:p>
    <w:p w14:paraId="73E4D9C2" w14:textId="77777777" w:rsidR="0049053C" w:rsidRPr="00BA4F0F" w:rsidRDefault="0049053C" w:rsidP="0049053C">
      <w:pPr>
        <w:pStyle w:val="1ff0"/>
      </w:pPr>
      <w:bookmarkStart w:id="100" w:name="_Toc44926603"/>
    </w:p>
    <w:p w14:paraId="2D82D672" w14:textId="77777777" w:rsidR="0049053C" w:rsidRPr="00BA4F0F" w:rsidRDefault="0049053C" w:rsidP="0049053C">
      <w:pPr>
        <w:pStyle w:val="1ff0"/>
        <w:rPr>
          <w:b/>
          <w:bCs/>
        </w:rPr>
      </w:pPr>
      <w:r w:rsidRPr="00BA4F0F">
        <w:rPr>
          <w:b/>
          <w:bCs/>
        </w:rPr>
        <w:t>Препараты, используемые для мобилизации ГСК.</w:t>
      </w:r>
      <w:bookmarkEnd w:id="100"/>
    </w:p>
    <w:p w14:paraId="0F69ADB5" w14:textId="77777777" w:rsidR="0049053C" w:rsidRPr="00BA4F0F" w:rsidRDefault="0049053C" w:rsidP="0049053C">
      <w:pPr>
        <w:pStyle w:val="1ff0"/>
        <w:rPr>
          <w:u w:val="single"/>
        </w:rPr>
      </w:pPr>
      <w:r w:rsidRPr="00BA4F0F">
        <w:rPr>
          <w:u w:val="single"/>
        </w:rPr>
        <w:t>Гранулоцитарный колониестимулирующий фактор</w:t>
      </w:r>
    </w:p>
    <w:p w14:paraId="6439A782" w14:textId="77777777" w:rsidR="0049053C" w:rsidRPr="00BA4F0F" w:rsidRDefault="0049053C" w:rsidP="0049053C">
      <w:pPr>
        <w:pStyle w:val="1ff0"/>
      </w:pPr>
      <w:r w:rsidRPr="00BA4F0F">
        <w:t xml:space="preserve">Г-КСФ – гликопротеин, ускоряющий пролиферацию гранулоцитарных клеток-предшественников нейтрофильного ростка костного мозга, дифференцировку в направлении зрелых нейтрофилов и их выход из костного мозга в периферическую кровь. Применение Г-КСФ как после курса химиотерапии (ХТ), так и независимо от </w:t>
      </w:r>
      <w:r w:rsidRPr="00BA4F0F">
        <w:lastRenderedPageBreak/>
        <w:t xml:space="preserve">нее, приводит к мобилизации в периферическую кровь клеток-предшественниц гемопоэза. </w:t>
      </w:r>
    </w:p>
    <w:p w14:paraId="12DC0D42" w14:textId="77777777" w:rsidR="0049053C" w:rsidRPr="00BA4F0F" w:rsidRDefault="0049053C" w:rsidP="0049053C">
      <w:pPr>
        <w:pStyle w:val="1ff0"/>
      </w:pPr>
      <w:r w:rsidRPr="00BA4F0F">
        <w:t xml:space="preserve">Г-КСФ значительно увеличивает число нейтрофилов в периферической крови уже в первые 24 часа после введения. После окончания применения Г-КСФ число нейтрофилов в периферической крови снижается на 50% в течение 1-2 дней и возвращается к нормальным значениям в течение 1-7 дней. </w:t>
      </w:r>
    </w:p>
    <w:p w14:paraId="1EF54717" w14:textId="6EE95E9D" w:rsidR="0049053C" w:rsidRPr="00BA4F0F" w:rsidRDefault="0049053C" w:rsidP="0049053C">
      <w:pPr>
        <w:pStyle w:val="1ff0"/>
      </w:pPr>
      <w:r w:rsidRPr="00BA4F0F">
        <w:t xml:space="preserve">Изучение фармакокинетики Г-КСФ показало, что препарат быстро выводится из организма, что требует применения многократных инъекций. С целью пролонгации действия разработана иммобилизованная на полиэтиленгликоле (ПЭГ) форма Г-КСФ. В иммобилизованном препарате ПЭГ присоединяется ковалентной связью к N-концевому пептиду молекулы, увеличивая ее размер, что приводит к замедлению почечного клиренса. Время циркуляции в крови пэгилированной формы увеличивается с 3,5 ч. до 42ч. После одной инъекции препарата высокий уровень нейтрофилов поддерживается в крови в течение 9 дней </w:t>
      </w:r>
      <w:r w:rsidRPr="00BA4F0F">
        <w:fldChar w:fldCharType="begin" w:fldLock="1"/>
      </w:r>
      <w:r w:rsidR="00A6794A">
        <w:instrText>ADDIN CSL_CITATION {"citationItems":[{"id":"ITEM-1","itemData":{"DOI":"10.2165/11586040-000000000-00000","ISSN":"03125963","abstract":"Pegfilgrastim is a sustained-duration form of filgrastim, a recombinant methionyl form of human granulocyte colony-stimulating factor (G-CSF), to which a 20kDa polyethylene glycol molecule is covalently bound to the N-terminal methionine residue. Similar to filgrastim, pegfilgrastim increases the proliferation and differentiation of neutrophils from committed progenitor cells, induces maturation, and enhances the survival and function of mature neutrophils, resulting in dose-dependent increases in neutrophils.After subcutaneous administration, pegfilgrastim exhibits nonlinear pharmacokinetics and exposure to pegfilgrastim increases in more than a dose-proportional manner, suggesting that the clearance of pegfilgrastim decreases with increased dosing. Filgrastim is primarily eliminated by the kidney and neutrophilsneutrophil precursors; the latter presumably involves binding of the growth factor to the G-CSF receptor on the cell surface, internalization of the growth factor-receptor complexes via endocytosis, and subsequent degradation inside the cells. Pegylation of filgrastim renders renal clearance insignificant, which was demonstrated in bilaterally nephrectomized rats and confirmed in subjects with renal impairment. As a result, the neutrophil-mediated clearance is the predominant elimination pathway for pegfilgrastim.During chemotherapy-induced neutropenia, the clearance of pegfilgrastim is significantly reduced and the concentration of pegfilgrastim is sustained until onset of neutrophil recovery. Pegfilgrastim concentrations are sustained longer in patients with profound neutropenia. Evidence supports the use of a postnadir absolute neutrophil count (ANC) of ≥1×109/L as a surrogate marker threshold for the clearance of pegfilgrastim to subtherapeutic levels. After repeated administration of pegfilgrastim, the peak concentrations of pegfilgrastim decrease, likely due to increased neutrophil and neutrophil precursor mass.A pharmacokinetic-pharmacodynamic model was developed to describe the pharmacokinetic and ANC profiles of pegfilgrastim; the analysis supported that 100μgkg was an adequate weight-based dose of pegfilgrastim and predicted that 6mg would be an optimal fixed dose of pegfilgrastim to simplify treatment. Data from a pivotal study confirmed that a once-per-chemotherapy-cycle injection of pegfilgrastim at 6mg was as safe and effective as 11 daily injections of filgrastim at 5μgkg in reducing neutropenia and its complications in patients …","author":[{"dropping-particle":"","family":"Yang","given":"Bing Bing","non-dropping-particle":"","parse-names":false,"suffix":""},{"dropping-particle":"","family":"Kido","given":"Anna","non-dropping-particle":"","parse-names":false,"suffix":""}],"container-title":"Clinical Pharmacokinetics","id":"ITEM-1","issue":"5","issued":{"date-parts":[["2011"]]},"page":"295-306","publisher":"Clin Pharmacokinet","title":"Pharmacokinetics and pharmacodynamics of pegfilgrastim","type":"article","volume":"50"},"uris":["http://www.mendeley.com/documents/?uuid=445b8605-4444-3286-9533-f890634da33f","http://www.mendeley.com/documents/?uuid=8c131309-d633-4467-9e52-e36f2f6739d8","http://www.mendeley.com/documents/?uuid=d0ae95d8-455a-466d-b2b7-1cf20c6911c3","http://www.mendeley.com/documents/?uuid=350f69c3-8670-4b28-9ce6-bbf7bbe95719","http://www.mendeley.com/documents/?uuid=aed192a7-bd44-4087-8c83-7bb80ed986b5","http://www.mendeley.com/documents/?uuid=4fb6ef40-750e-4e26-80f5-5d3e68016e6f","http://www.mendeley.com/documents/?uuid=ec9d7c0f-5da5-47cd-a932-c0af1a9d94a0"]}],"mendeley":{"formattedCitation":"[222]","plainTextFormattedCitation":"[222]","previouslyFormattedCitation":"[222]"},"properties":{"noteIndex":0},"schema":"https://github.com/citation-style-language/schema/raw/master/csl-citation.json"}</w:instrText>
      </w:r>
      <w:r w:rsidRPr="00BA4F0F">
        <w:fldChar w:fldCharType="separate"/>
      </w:r>
      <w:r w:rsidR="006E1902" w:rsidRPr="006E1902">
        <w:rPr>
          <w:noProof/>
        </w:rPr>
        <w:t>[222]</w:t>
      </w:r>
      <w:r w:rsidRPr="00BA4F0F">
        <w:fldChar w:fldCharType="end"/>
      </w:r>
      <w:r w:rsidRPr="00BA4F0F">
        <w:t>.</w:t>
      </w:r>
    </w:p>
    <w:p w14:paraId="3B2B4485" w14:textId="0FA8A67D" w:rsidR="0049053C" w:rsidRPr="00BA4F0F" w:rsidRDefault="0049053C" w:rsidP="0049053C">
      <w:pPr>
        <w:pStyle w:val="1ff0"/>
      </w:pPr>
      <w:r w:rsidRPr="00BA4F0F">
        <w:t xml:space="preserve">Г-КСФ вводится в дозе 5 или 10 мкг/кг/сутки подкожно в зависимости от режима мобилизации ГСК. Пегилированный Г-КСФ вводится однократно в дозе 12 мг подкожно </w:t>
      </w:r>
      <w:r w:rsidRPr="00BA4F0F">
        <w:fldChar w:fldCharType="begin" w:fldLock="1"/>
      </w:r>
      <w:r w:rsidR="00A6794A">
        <w:instrText>ADDIN CSL_CITATION {"citationItems":[{"id":"ITEM-1","itemData":{"DOI":"10.1111/j.1537-2995.2012.03579.x","ISSN":"00411132","abstract":"Background: Plerixafor enhances the ability of filgrastim (FIL) to mobilize CD34+ cells but adds cost to the mobilization. We hypothesized that replacing weight-based FIL with flat-dose pegfilgrastim (PEG) in a validated cost-based mobilization algorithm for patient-adapted use of plerixafor would add convenience without increased cost. Study design and methods: A single-center retrospective analysis compared two consecutive cohorts undergoing FIL or PEG mobilization before autologous hematopoietic stem cell transplantation for multiple myeloma or lymphoma. FIL dose was 10 Âμg/kg/day continuing until completion of collection and a 12-mg flat dose of PEG. Peripheral blood CD34+ cells (PB-CD34+) enumeration was performed on the fourth day after initiation of growth factor. Subjects surpassing a certain target-specific threshold of PB-CD34+ started apheresis immediately while subjects with lower PB-CD34+ received plerixafor with apheresis starting on the fifth day. Results: Overall 68 of 74 in the FIL group and 52 of 57 patients in the PEG group met the mobilization target. Only one patient in each cohort required remobilization. Median PB-CD34+ on Day 4 was significantly higher in patients in the PEG group (18.1 × 106 vs. 28.7 × 106 cells/L, p = 0.01). Consequently, patients in the PEG group were less likely to require administration of plerixafor (67.5% vs. 45.6%, p = 0.01). Cohorts had near identical mean number of apheresis sessions and comparable CD34+ yield. The estimated cost associated with growth factor was higher in patients in the PEG group, but it was counterbalanced by lower cost associated with use of plerixafor. Conclusion: Single administration of 12 mg of PEG is associated with better CD34+ mobilization than FIL allowing for effective, convenient mobilization with less frequent use of plerixafor. © 2012 American Association of Blood Banks.","author":[{"dropping-particle":"","family":"Costa","given":"Luciano J.","non-dropping-particle":"","parse-names":false,"suffix":""},{"dropping-particle":"","family":"Kramer","given":"Cindy","non-dropping-particle":"","parse-names":false,"suffix":""},{"dropping-particle":"","family":"Hogan","given":"Kathy R.","non-dropping-particle":"","parse-names":false,"suffix":""},{"dropping-particle":"","family":"Butcher","given":"Coleen D.","non-dropping-particle":"","parse-names":false,"suffix":""},{"dropping-particle":"","family":"Littleton","given":"Amanda L.","non-dropping-particle":"","parse-names":false,"suffix":""},{"dropping-particle":"","family":"Shoptaw","given":"Katie B.","non-dropping-particle":"","parse-names":false,"suffix":""},{"dropping-particle":"","family":"Kang","given":"Yubin","non-dropping-particle":"","parse-names":false,"suffix":""},{"dropping-particle":"","family":"Stuart","given":"Robert K.","non-dropping-particle":"","parse-names":false,"suffix":""}],"container-title":"Transfusion","id":"ITEM-1","issue":"11","issued":{"date-parts":[["2012","11"]]},"page":"2375-2381","publisher":"Transfusion","title":"Pegfilgrastim-versus filgrastim-based autologous hematopoietic stem cell mobilization in the setting of preemptive use of plerixafor: Efficacy and cost analysis","type":"article-journal","volume":"52"},"uris":["http://www.mendeley.com/documents/?uuid=c9b6d466-e5cf-3a1f-9950-47a4a1f2595f","http://www.mendeley.com/documents/?uuid=5869ab33-84d0-4d40-9e0a-c68492375302","http://www.mendeley.com/documents/?uuid=da79130c-3245-4bb6-b0b1-d1a74f3c45ce","http://www.mendeley.com/documents/?uuid=23c5daaf-4836-423a-a293-5308de4b05a8","http://www.mendeley.com/documents/?uuid=5bc9223b-2a8e-4a1d-a5ea-925322f33fc0","http://www.mendeley.com/documents/?uuid=cfca06c2-6f99-4d09-bcd1-d6e958d0398f","http://www.mendeley.com/documents/?uuid=f71837f6-2c18-4b5c-aa96-74199fe38ec4"]}],"mendeley":{"formattedCitation":"[223]","plainTextFormattedCitation":"[223]","previouslyFormattedCitation":"[223]"},"properties":{"noteIndex":0},"schema":"https://github.com/citation-style-language/schema/raw/master/csl-citation.json"}</w:instrText>
      </w:r>
      <w:r w:rsidRPr="00BA4F0F">
        <w:fldChar w:fldCharType="separate"/>
      </w:r>
      <w:r w:rsidR="006E1902" w:rsidRPr="006E1902">
        <w:rPr>
          <w:noProof/>
        </w:rPr>
        <w:t>[223]</w:t>
      </w:r>
      <w:r w:rsidRPr="00BA4F0F">
        <w:fldChar w:fldCharType="end"/>
      </w:r>
      <w:r w:rsidRPr="00BA4F0F">
        <w:t>.</w:t>
      </w:r>
    </w:p>
    <w:p w14:paraId="26485045" w14:textId="77777777" w:rsidR="0049053C" w:rsidRPr="00BA4F0F" w:rsidRDefault="0049053C" w:rsidP="0049053C">
      <w:pPr>
        <w:pStyle w:val="1ff0"/>
      </w:pPr>
      <w:r w:rsidRPr="00BA4F0F">
        <w:t>На фоне терапии Г-КСФ отмечается увеличение размеров селезенки. Во время клинических исследований у 31% больных с тяжелой хронической нейтропенией пальпаторно обнаруживалась спленомегалия. При рентгенографии увеличение селезенки выявлялось вскоре после назначения Г-КСФ и далее имело тенденцию к стабилизации. Установлено, что уменьшение дозы препарата останавливало спленомегалию; спленэктомия потребовалась 3% больных. Необходимо регулярно контролировать размеры селезенки при проведении мобилизации ГКС.</w:t>
      </w:r>
    </w:p>
    <w:p w14:paraId="3F3C2389" w14:textId="0DAEEAB9" w:rsidR="0049053C" w:rsidRPr="00BA4F0F" w:rsidRDefault="0049053C" w:rsidP="0049053C">
      <w:pPr>
        <w:pStyle w:val="1ff0"/>
      </w:pPr>
      <w:r w:rsidRPr="00BA4F0F">
        <w:t xml:space="preserve">Эффективность и безопасность Г-КСФ у пациентов с тяжелыми нарушениями функции почек или печени не изучена, поэтому при использовании препарата у данной категории больных нужно соблюдать осторожность </w:t>
      </w:r>
      <w:r w:rsidRPr="00BA4F0F">
        <w:fldChar w:fldCharType="begin" w:fldLock="1"/>
      </w:r>
      <w:r w:rsidR="00A6794A">
        <w:instrText>ADDIN CSL_CITATION {"citationItems":[{"id":"ITEM-1","itemData":{"DOI":"10.1007/s00520-017-3854-x","ISSN":"14337339","abstract":"Purpose: Filgrastim (NEUPOGEN®) is the originator recombinant human granulocyte colony-stimulating factor widely used for preventing neutropenia-related infections and mobilizing hematopoietic stem cells. This report presents findings of a systematic literature review and meta-analysis of efficacy and safety of originator filgrastim to update previous reports. Methods: A literature search of electronic databases, congress abstracts, and bibliographies of recent reviews was conducted to identify English-language reports of clinical trials and observational studies evaluating filgrastim in its US-approved indications up to February 2015. Two independent reviewers assessed titles/abstracts and full texts of publications, and extracted data from studies that compared originator filgrastim vs placebo or no treatment. For outcomes with sufficient homogeneous data reported across studies, meta-analysis was performed and relative risk (RR) determined. Data were summarized descriptively for all other evaluated outcomes. Results: A total of 1194 unique articles evaluating originator filgrastim were identified, with 25 meeting eligibility criteria for data extraction: 18 randomized controlled trials, 2 nonrandomized clinical trials, and 5 observational studies. In chemotherapy-induced neutropenia (CIN), filgrastim vs placebo or no treatment significantly reduced febrile neutropenia incidence (RR 0.63, 95% CI 0.53–0.75) and grade 3 or 4 neutropenia incidence (RR 0.50, 95% CI 0.37–0.68). The most commonly reported adverse event (AE) with filgrastim was bone pain (RR 2.61, 95% CI 1.29–5.27 in CIN). Additional efficacy and safety outcomes are described within indications. Conclusions: This systematic literature review and meta-analysis confirms and updates previous reports on the efficacy and safety of originator filgrastim. Bone pain was the commonly reported AE associated with filgrastim use.","author":[{"dropping-particle":"","family":"Dale","given":"David C.","non-dropping-particle":"","parse-names":false,"suffix":""},{"dropping-particle":"","family":"Crawford","given":"Jeffrey","non-dropping-particle":"","parse-names":false,"suffix":""},{"dropping-particle":"","family":"Klippel","given":"Zandra","non-dropping-particle":"","parse-names":false,"suffix":""},{"dropping-particle":"","family":"Reiner","given":"Maureen","non-dropping-particle":"","parse-names":false,"suffix":""},{"dropping-particle":"","family":"Osslund","given":"Timothy","non-dropping-particle":"","parse-names":false,"suffix":""},{"dropping-particle":"","family":"Fan","given":"Ellen","non-dropping-particle":"","parse-names":false,"suffix":""},{"dropping-particle":"","family":"Morrow","given":"Phuong Khanh","non-dropping-particle":"","parse-names":false,"suffix":""},{"dropping-particle":"","family":"Allcott","given":"Kim","non-dropping-particle":"","parse-names":false,"suffix":""},{"dropping-particle":"","family":"Lyman","given":"Gary H.","non-dropping-particle":"","parse-names":false,"suffix":""}],"container-title":"Supportive Care in Cancer","id":"ITEM-1","issue":"1","issued":{"date-parts":[["2018","1"]]},"page":"7-20","publisher":"Springer Verlag","title":"A systematic literature review of the efficacy, effectiveness, and safety of filgrastim","type":"article","volume":"26"},"uris":["http://www.mendeley.com/documents/?uuid=550ab93e-65c6-3635-bdec-ce1335957f6b","http://www.mendeley.com/documents/?uuid=81154266-ebc4-4411-a600-130a38d299b0","http://www.mendeley.com/documents/?uuid=c2be01fc-c6e8-4713-b92d-b16c6c5c4162","http://www.mendeley.com/documents/?uuid=51012d54-9729-4c59-8188-bd27dd02ced0","http://www.mendeley.com/documents/?uuid=7b228875-1c78-4dc7-aa5d-6018d173c1d5","http://www.mendeley.com/documents/?uuid=330cd959-497b-4a4c-b7a0-3a2c812989a6","http://www.mendeley.com/documents/?uuid=5ddce061-fa65-466f-9706-626067ecf30d"]}],"mendeley":{"formattedCitation":"[224]","plainTextFormattedCitation":"[224]","previouslyFormattedCitation":"[224]"},"properties":{"noteIndex":0},"schema":"https://github.com/citation-style-language/schema/raw/master/csl-citation.json"}</w:instrText>
      </w:r>
      <w:r w:rsidRPr="00BA4F0F">
        <w:fldChar w:fldCharType="separate"/>
      </w:r>
      <w:r w:rsidR="006E1902" w:rsidRPr="006E1902">
        <w:rPr>
          <w:noProof/>
        </w:rPr>
        <w:t>[224]</w:t>
      </w:r>
      <w:r w:rsidRPr="00BA4F0F">
        <w:fldChar w:fldCharType="end"/>
      </w:r>
      <w:r w:rsidRPr="00BA4F0F">
        <w:t xml:space="preserve">. </w:t>
      </w:r>
    </w:p>
    <w:p w14:paraId="776CF0A5" w14:textId="77777777" w:rsidR="0049053C" w:rsidRPr="00BA4F0F" w:rsidRDefault="0049053C" w:rsidP="0049053C">
      <w:pPr>
        <w:pStyle w:val="1ff0"/>
      </w:pPr>
      <w:r w:rsidRPr="00BA4F0F">
        <w:t>Нежелательные явления после назначения встречаются в 30% случаев, как у пациентов, так и у здоровых доноров.</w:t>
      </w:r>
    </w:p>
    <w:p w14:paraId="2958E6F6" w14:textId="7C954AAD" w:rsidR="0049053C" w:rsidRPr="00BA4F0F" w:rsidRDefault="0049053C" w:rsidP="0049053C">
      <w:pPr>
        <w:pStyle w:val="1ff0"/>
      </w:pPr>
      <w:r w:rsidRPr="00BA4F0F">
        <w:t xml:space="preserve">Наиболее частые осложнения: боли в костях, головные боли, общая слабость. Реже встречаются миалгии, тревога, бессонница, гипергидроз, лихорадка, тошнота, кожные реакции в месте введения </w:t>
      </w:r>
      <w:r w:rsidRPr="00BA4F0F">
        <w:fldChar w:fldCharType="begin" w:fldLock="1"/>
      </w:r>
      <w:r w:rsidR="00A6794A">
        <w:instrText>ADDIN CSL_CITATION {"citationItems":[{"id":"ITEM-1","itemData":{"DOI":"10.1200/JCO.2015.62.3488","ISSN":"15277755","PMID":"26169616","abstract":"Purpose To update the 2006 American Society of Clinical Oncology guideline on the use of hematopoietic colony-stimulating factors (CSFs). Methods The American Society of Clinical Oncology convened an Update Committee and conducted a systematic review of randomized clinical trials, meta-analyses, and systematic reviews from October 2005 through September 2014. Guideline recommendations were based on the review of the evidence by the Update Committee. Results Changes to previous recommendations include the addition of tbo-filgrastim and filgrastim-sndz, moderation of the recommendation regarding routine use of CSFs in older patients with diffuse aggressive lymphoma, and addition of recommendations against routine dose-dense chemotherapy in lymphoma and in favor of high- dose-intensity chemotherapy in urothelial cancer. The Update Committee did not address recommendations regarding use of CSFs in acute myeloid leukemia or myelodysplastic syndromes in adults. Recommendations Prophylactic use of CSFs to reduce the risk of febrile neutropenia is warranted when the risk of febrile neutropenia is approximately 20% or higher and no other equally effective and safe regimen that does not require CSFs is available. Primary prophylaxis is recommended for the prevention of febrile neutropenia in patients who are at high risk on the basis of age, medical history, disease characteristics, and myelotoxicity of the chemotherapy regimen. Dose-dense regimens that require CSFs should only be used within an appropriately designed clinical trial or if supported by convincing efficacy data. Current recommendations for the management of patients exposed to lethal doses of total-body radiotherapy, but not doses high enough to lead to certain death as a result of injury to other organs, include the prompt administration of CSFs.","author":[{"dropping-particle":"","family":"Smith","given":"Thomas J.","non-dropping-particle":"","parse-names":false,"suffix":""},{"dropping-particle":"","family":"Bohlke","given":"Kari","non-dropping-particle":"","parse-names":false,"suffix":""},{"dropping-particle":"","family":"Lyman","given":"Gary H.","non-dropping-particle":"","parse-names":false,"suffix":""},{"dropping-particle":"","family":"Carson","given":"Kenneth R.","non-dropping-particle":"","parse-names":false,"suffix":""},{"dropping-particle":"","family":"Crawford","given":"Jeffrey","non-dropping-particle":"","parse-names":false,"suffix":""},{"dropping-particle":"","family":"Cross","given":"Scott J.","non-dropping-particle":"","parse-names":false,"suffix":""},{"dropping-particle":"","family":"Goldberg","given":"John M.","non-dropping-particle":"","parse-names":false,"suffix":""},{"dropping-particle":"","family":"Khatcheressian","given":"James L.","non-dropping-particle":"","parse-names":false,"suffix":""},{"dropping-particle":"","family":"Leighl","given":"Natasha B.","non-dropping-particle":"","parse-names":false,"suffix":""},{"dropping-particle":"","family":"Perkins","given":"Cheryl L.","non-dropping-particle":"","parse-names":false,"suffix":""},{"dropping-particle":"","family":"Somlo","given":"George","non-dropping-particle":"","parse-names":false,"suffix":""},{"dropping-particle":"","family":"Wade","given":"James L.","non-dropping-particle":"","parse-names":false,"suffix":""},{"dropping-particle":"","family":"Wozniak","given":"Antoinette J.","non-dropping-particle":"","parse-names":false,"suffix":""},{"dropping-particle":"","family":"Armitage","given":"James O.","non-dropping-particle":"","parse-names":false,"suffix":""}],"container-title":"Journal of Clinical Oncology","id":"ITEM-1","issue":"28","issued":{"date-parts":[["2015","10"]]},"page":"3199-3212","publisher":"American Society of Clinical Oncology","title":"Recommendations for the use of WBC growth factors: American society of clinical oncology clinical practice guideline update","type":"article-journal","volume":"33"},"uris":["http://www.mendeley.com/documents/?uuid=996f59f3-1fa6-3fdf-aac4-35481ffe75e2","http://www.mendeley.com/documents/?uuid=77b4204a-c7e8-425a-b269-9b71b8f10079","http://www.mendeley.com/documents/?uuid=baf8a5c7-f217-426b-bdd6-7823d15881a5","http://www.mendeley.com/documents/?uuid=029b05a4-3aab-45bc-848d-3c17ab334b1a","http://www.mendeley.com/documents/?uuid=c4b68753-8af0-43d3-9c09-5a220cdb4e31","http://www.mendeley.com/documents/?uuid=aea3c5b8-ada6-45f7-8bc1-f029c0318fdc","http://www.mendeley.com/documents/?uuid=0f204161-3323-434c-b1c0-eb5ffafca3ca"]}],"mendeley":{"formattedCitation":"[225]","plainTextFormattedCitation":"[225]","previouslyFormattedCitation":"[225]"},"properties":{"noteIndex":0},"schema":"https://github.com/citation-style-language/schema/raw/master/csl-citation.json"}</w:instrText>
      </w:r>
      <w:r w:rsidRPr="00BA4F0F">
        <w:fldChar w:fldCharType="separate"/>
      </w:r>
      <w:r w:rsidR="006E1902" w:rsidRPr="006E1902">
        <w:rPr>
          <w:noProof/>
        </w:rPr>
        <w:t>[225]</w:t>
      </w:r>
      <w:r w:rsidRPr="00BA4F0F">
        <w:fldChar w:fldCharType="end"/>
      </w:r>
      <w:r w:rsidRPr="00BA4F0F">
        <w:t xml:space="preserve">. </w:t>
      </w:r>
    </w:p>
    <w:p w14:paraId="52A134B9" w14:textId="77777777" w:rsidR="0049053C" w:rsidRPr="00BA4F0F" w:rsidRDefault="0049053C" w:rsidP="0049053C">
      <w:pPr>
        <w:pStyle w:val="1ff0"/>
      </w:pPr>
      <w:r w:rsidRPr="00BA4F0F">
        <w:t xml:space="preserve">Оссалгии связаны с изменением метаболизма костной ткани под действием Г-КСФ. Боли могут быть интенсивными, пульсирующего характера, чаще локализованы </w:t>
      </w:r>
      <w:r w:rsidRPr="00BA4F0F">
        <w:lastRenderedPageBreak/>
        <w:t>в позвоночнике, костях таза. Выраженный болевой синдром в костях во время мобилизации ГСК требует адекватной аналгезии.</w:t>
      </w:r>
    </w:p>
    <w:p w14:paraId="0D707061" w14:textId="77777777" w:rsidR="0049053C" w:rsidRPr="00BA4F0F" w:rsidRDefault="0049053C" w:rsidP="0049053C">
      <w:pPr>
        <w:pStyle w:val="1ff0"/>
        <w:rPr>
          <w:b/>
        </w:rPr>
      </w:pPr>
    </w:p>
    <w:p w14:paraId="2D94048B" w14:textId="77777777" w:rsidR="0049053C" w:rsidRPr="00BA4F0F" w:rsidRDefault="0049053C" w:rsidP="0049053C">
      <w:pPr>
        <w:pStyle w:val="1ff0"/>
        <w:rPr>
          <w:u w:val="single"/>
        </w:rPr>
      </w:pPr>
      <w:r w:rsidRPr="00BA4F0F">
        <w:rPr>
          <w:u w:val="single"/>
        </w:rPr>
        <w:t>Плериксафор</w:t>
      </w:r>
    </w:p>
    <w:p w14:paraId="227F1107" w14:textId="77777777" w:rsidR="0049053C" w:rsidRPr="00BA4F0F" w:rsidRDefault="0049053C" w:rsidP="0049053C">
      <w:pPr>
        <w:pStyle w:val="1ff0"/>
      </w:pPr>
      <w:r w:rsidRPr="00BA4F0F">
        <w:t xml:space="preserve">Клетки стромы костного мозга секретируют стромальный фактор роста-1α (SDF-1α, CXCL12). Рецептором SDF-1α является CXCR4, который присутствует на поверхности ГСК. Взаимодействие между SDF-1α и его рецептором CXCR4 является необходимым для «удержания» стволовой клетки в костном мозге. </w:t>
      </w:r>
    </w:p>
    <w:p w14:paraId="7FBD0CC9" w14:textId="70B6918B" w:rsidR="0049053C" w:rsidRPr="00BA4F0F" w:rsidRDefault="0049053C" w:rsidP="0049053C">
      <w:pPr>
        <w:pStyle w:val="1ff0"/>
      </w:pPr>
      <w:r w:rsidRPr="00BA4F0F">
        <w:t>Плериксафор –</w:t>
      </w:r>
      <w:r>
        <w:t xml:space="preserve"> </w:t>
      </w:r>
      <w:r w:rsidRPr="00BA4F0F">
        <w:t xml:space="preserve">селективный обратимый антагонист хемокинового рецептора CXCR4. Он блокирует CXCR4 за счет связывания с фактором SDF-1α, в результате чего ГСК «отрывается» от стромы костного мозга и выходит в периферическую кровь. </w:t>
      </w:r>
    </w:p>
    <w:p w14:paraId="12A073A8" w14:textId="3CF0816A" w:rsidR="0049053C" w:rsidRPr="00BA4F0F" w:rsidRDefault="0049053C" w:rsidP="0049053C">
      <w:pPr>
        <w:pStyle w:val="1ff0"/>
      </w:pPr>
      <w:r w:rsidRPr="00BA4F0F">
        <w:t xml:space="preserve">Считается, что индуцированный плериксафором лейкоцитоз и увеличение количества циркулирующих гемопоэтических прогениторных клеток является результатом нарушения связи между CXCR4 и его лигандом, которое приводит к появлению в системном кровотоке как зрелых, так и полипотентных клеток. CD34+ клетки, мобилизованные с помощью плериксафора, являются функциональными и способными к приживлению, с долгосрочным потенциалом восстановления популяции </w:t>
      </w:r>
      <w:r w:rsidRPr="00BA4F0F">
        <w:fldChar w:fldCharType="begin" w:fldLock="1"/>
      </w:r>
      <w:r w:rsidR="00A6794A">
        <w:instrText>ADDIN CSL_CITATION {"citationItems":[{"id":"ITEM-1","itemData":{"DOI":"10.1097/MOH.0000000000000200","ISSN":"15317048","abstract":"Purpose of review Nowadays, plerixafor is approved for patients who fail to mobilize sufficient CD34+ cells for an autologous stem cell transplantation. Plerixafor is effective in the majority of these patients, who otherwise could not be treated adequately. We discussed in this review the current status of the optimal use of plerixafor in different clinical diagnoses and settings. Recent findings Plerixafor seems to be more effective in patients with multiple myeloma than in lymphoma. Even patients who had very low circulating CD34+ cells before administration of plerixafor have an important benefit. Several strategies in different clinical settings showed an effective response after administration of plerixafor, without the superiority of one strategy. Plerixafor is well tolerated with acceptable toxicity; however, it is an expensive drug. Summary Plerixafor is an effective drug in patients who fail to mobilize with conventional strategy. No strategy seems superior for the optimal use of plerixafor. More studies focusing on the kinetics and cost-effectiveness are needed.","author":[{"dropping-particle":"","family":"Bilgin","given":"Yavuz M.","non-dropping-particle":"","parse-names":false,"suffix":""},{"dropping-particle":"","family":"Greef","given":"Georgine E.","non-dropping-particle":"De","parse-names":false,"suffix":""}],"container-title":"Current Opinion in Hematology","id":"ITEM-1","issue":"1","issued":{"date-parts":[["2016"]]},"page":"67-71","publisher":"Lippincott Williams and Wilkins","title":"Plerixafor for stem cell mobilization: The current status","type":"article","volume":"23"},"uris":["http://www.mendeley.com/documents/?uuid=772496d3-3f49-3543-8e45-953927e66576","http://www.mendeley.com/documents/?uuid=0e6ef96a-3564-45dd-86c9-2dcce383b7dc","http://www.mendeley.com/documents/?uuid=80ac083b-a6cc-43ec-ac5c-5dd1106427cb","http://www.mendeley.com/documents/?uuid=d683afc4-05d3-4238-aa1a-cbd32aa0e13a","http://www.mendeley.com/documents/?uuid=b4dd41b8-108e-46be-ac3b-33a16d49ba72","http://www.mendeley.com/documents/?uuid=4631457b-a0e4-4adb-98c7-81b6f793c719","http://www.mendeley.com/documents/?uuid=2945107f-96a2-4ce6-a467-54c0b3287fab"]}],"mendeley":{"formattedCitation":"[226]","plainTextFormattedCitation":"[226]","previouslyFormattedCitation":"[226]"},"properties":{"noteIndex":0},"schema":"https://github.com/citation-style-language/schema/raw/master/csl-citation.json"}</w:instrText>
      </w:r>
      <w:r w:rsidRPr="00BA4F0F">
        <w:fldChar w:fldCharType="separate"/>
      </w:r>
      <w:r w:rsidR="006E1902" w:rsidRPr="006E1902">
        <w:rPr>
          <w:noProof/>
        </w:rPr>
        <w:t>[226]</w:t>
      </w:r>
      <w:r w:rsidRPr="00BA4F0F">
        <w:fldChar w:fldCharType="end"/>
      </w:r>
      <w:r w:rsidRPr="00BA4F0F">
        <w:t>.</w:t>
      </w:r>
    </w:p>
    <w:p w14:paraId="3081B898" w14:textId="77777777" w:rsidR="0049053C" w:rsidRPr="00BA4F0F" w:rsidRDefault="0049053C" w:rsidP="0049053C">
      <w:pPr>
        <w:pStyle w:val="1ff0"/>
      </w:pPr>
      <w:r w:rsidRPr="00BA4F0F">
        <w:t>Плериксафор применяется для усиления мобилизации гемопоэтических стволовых клеток в периферический кровоток с целью их сбора и последующей ауто-ТГСК пациентам с лимфомой и множественной миеломой в сочетании с Г-КСФ.</w:t>
      </w:r>
    </w:p>
    <w:p w14:paraId="2BB07F72" w14:textId="77777777" w:rsidR="0049053C" w:rsidRPr="00BA4F0F" w:rsidRDefault="0049053C" w:rsidP="0049053C">
      <w:pPr>
        <w:pStyle w:val="1ff0"/>
      </w:pPr>
      <w:r w:rsidRPr="00BA4F0F">
        <w:t>Рекомендованная доза плериксафора составляет 0,24 мг/кг/сут. Препарат вводят подкожно за 6-11 ч до начала афереза после предварительной 4-дневной терапии Г-КСФ. В клинических исследованиях препарат обычно использовался в течение 2-4 дней подряд (до 7 дней непрерывного применения).</w:t>
      </w:r>
    </w:p>
    <w:p w14:paraId="2D160DD5" w14:textId="77777777" w:rsidR="0049053C" w:rsidRPr="00BA4F0F" w:rsidRDefault="0049053C" w:rsidP="0049053C">
      <w:pPr>
        <w:pStyle w:val="1ff0"/>
      </w:pPr>
      <w:r w:rsidRPr="00BA4F0F">
        <w:t>У пациентов с нарушением функции почек при скорости клубочковой фильтрации (СКФ) менее 50 мл/мин дозу плериксафора следует уменьшить на 1/3 до 0,16 мг/кг/сут. Клинические данные по применению скорректированной дозы препарата ограничены. Имеющийся опыт клинического применения плериксафора не позволяет дать рекомендаций по дозированию препарата при СКФ менее 20 мл/мин.</w:t>
      </w:r>
    </w:p>
    <w:p w14:paraId="02FEA083" w14:textId="7879FF7C" w:rsidR="0049053C" w:rsidRPr="00BA4F0F" w:rsidRDefault="0049053C" w:rsidP="0049053C">
      <w:pPr>
        <w:pStyle w:val="1ff0"/>
      </w:pPr>
      <w:r w:rsidRPr="00BA4F0F">
        <w:t>Наиболее частые осложнения</w:t>
      </w:r>
      <w:r>
        <w:t xml:space="preserve"> плериксафора</w:t>
      </w:r>
      <w:r w:rsidRPr="00BA4F0F">
        <w:t>: скелетно-мышечная боль, головные боли, головокружение, бессонница, общая слабость, диарея, тошнота. Также встречаются метеоризм, запор, сухость во рту, гипергидроз, кожные реакции в месте введения</w:t>
      </w:r>
    </w:p>
    <w:p w14:paraId="7D6086AC" w14:textId="77777777" w:rsidR="0049053C" w:rsidRPr="00BA4F0F" w:rsidRDefault="0049053C" w:rsidP="0049053C">
      <w:pPr>
        <w:pStyle w:val="1ff0"/>
      </w:pPr>
      <w:bookmarkStart w:id="101" w:name="_Toc44926604"/>
    </w:p>
    <w:p w14:paraId="7B1B6BF4" w14:textId="77777777" w:rsidR="0049053C" w:rsidRPr="00143DAF" w:rsidRDefault="0049053C" w:rsidP="0049053C">
      <w:pPr>
        <w:pStyle w:val="1ff0"/>
        <w:ind w:firstLine="0"/>
        <w:rPr>
          <w:rFonts w:eastAsiaTheme="minorHAnsi"/>
          <w:i/>
          <w:iCs/>
          <w:u w:val="single"/>
        </w:rPr>
      </w:pPr>
      <w:bookmarkStart w:id="102" w:name="_Toc64475919"/>
      <w:r w:rsidRPr="00143DAF">
        <w:rPr>
          <w:rFonts w:eastAsiaTheme="minorHAnsi"/>
          <w:i/>
          <w:iCs/>
          <w:u w:val="single"/>
        </w:rPr>
        <w:lastRenderedPageBreak/>
        <w:t>Режимы мобилизации ГСК</w:t>
      </w:r>
      <w:bookmarkEnd w:id="101"/>
      <w:bookmarkEnd w:id="102"/>
    </w:p>
    <w:p w14:paraId="66095DB5" w14:textId="77777777" w:rsidR="0049053C" w:rsidRPr="00BA4F0F" w:rsidRDefault="0049053C" w:rsidP="0049053C">
      <w:pPr>
        <w:pStyle w:val="1ff0"/>
      </w:pPr>
      <w:r w:rsidRPr="00BA4F0F">
        <w:t>В настоящее время в онкогематологии широкое распространение получили следующие режимы мобилизации ГСК:</w:t>
      </w:r>
    </w:p>
    <w:p w14:paraId="105CE284" w14:textId="77777777" w:rsidR="0049053C" w:rsidRPr="00BA4F0F" w:rsidRDefault="0049053C" w:rsidP="00FE0193">
      <w:pPr>
        <w:pStyle w:val="1ff0"/>
        <w:numPr>
          <w:ilvl w:val="0"/>
          <w:numId w:val="90"/>
        </w:numPr>
      </w:pPr>
      <w:r w:rsidRPr="00BA4F0F">
        <w:t>Г-КСФ в монорежиме</w:t>
      </w:r>
    </w:p>
    <w:p w14:paraId="566A9BCC" w14:textId="77777777" w:rsidR="0049053C" w:rsidRPr="00BA4F0F" w:rsidRDefault="0049053C" w:rsidP="00FE0193">
      <w:pPr>
        <w:pStyle w:val="1ff0"/>
        <w:numPr>
          <w:ilvl w:val="0"/>
          <w:numId w:val="90"/>
        </w:numPr>
      </w:pPr>
      <w:r w:rsidRPr="00BA4F0F">
        <w:t>Г-КСФ после миелосупрессивной химиотерапии (ХТ + Г-КСФ)</w:t>
      </w:r>
    </w:p>
    <w:p w14:paraId="52E7C3A4" w14:textId="77777777" w:rsidR="0049053C" w:rsidRPr="00BA4F0F" w:rsidRDefault="0049053C" w:rsidP="00FE0193">
      <w:pPr>
        <w:pStyle w:val="1ff0"/>
        <w:numPr>
          <w:ilvl w:val="0"/>
          <w:numId w:val="90"/>
        </w:numPr>
      </w:pPr>
      <w:r w:rsidRPr="00BA4F0F">
        <w:t>Г-КСФ в сочетании с плериксафором</w:t>
      </w:r>
    </w:p>
    <w:p w14:paraId="20493EF3" w14:textId="77777777" w:rsidR="0049053C" w:rsidRPr="00BA4F0F" w:rsidRDefault="0049053C" w:rsidP="0049053C">
      <w:pPr>
        <w:pStyle w:val="1ff0"/>
        <w:rPr>
          <w:u w:val="single"/>
        </w:rPr>
      </w:pPr>
      <w:bookmarkStart w:id="103" w:name="_Toc44926605"/>
    </w:p>
    <w:p w14:paraId="3500B7FC" w14:textId="77777777" w:rsidR="0049053C" w:rsidRPr="00BA4F0F" w:rsidRDefault="0049053C" w:rsidP="0049053C">
      <w:pPr>
        <w:pStyle w:val="1ff0"/>
        <w:rPr>
          <w:u w:val="single"/>
        </w:rPr>
      </w:pPr>
      <w:r w:rsidRPr="00BA4F0F">
        <w:rPr>
          <w:u w:val="single"/>
        </w:rPr>
        <w:t>Г-КСФ в монорежиме</w:t>
      </w:r>
      <w:bookmarkEnd w:id="103"/>
    </w:p>
    <w:p w14:paraId="779F11DD" w14:textId="77777777" w:rsidR="0049053C" w:rsidRPr="00BA4F0F" w:rsidRDefault="0049053C" w:rsidP="0049053C">
      <w:pPr>
        <w:pStyle w:val="1ff0"/>
      </w:pPr>
      <w:r w:rsidRPr="00BA4F0F">
        <w:t>Данный режим также называют «мобилизация на стабильном состоянии кроветворения», так как у пациента не развивается миелотоксический агранулоцитоз (МТА).</w:t>
      </w:r>
    </w:p>
    <w:p w14:paraId="2C7D4AE4" w14:textId="77777777" w:rsidR="0049053C" w:rsidRPr="00BA4F0F" w:rsidRDefault="0049053C" w:rsidP="0049053C">
      <w:pPr>
        <w:pStyle w:val="1ff0"/>
        <w:rPr>
          <w:b/>
        </w:rPr>
      </w:pPr>
      <w:r w:rsidRPr="00BA4F0F">
        <w:rPr>
          <w:b/>
        </w:rPr>
        <w:t xml:space="preserve">Показания </w:t>
      </w:r>
    </w:p>
    <w:p w14:paraId="1602ABC4" w14:textId="70EAFA3D" w:rsidR="0049053C" w:rsidRPr="00BA4F0F" w:rsidRDefault="0049053C" w:rsidP="00FE0193">
      <w:pPr>
        <w:pStyle w:val="1ff0"/>
        <w:numPr>
          <w:ilvl w:val="0"/>
          <w:numId w:val="91"/>
        </w:numPr>
      </w:pPr>
      <w:r w:rsidRPr="00BA4F0F">
        <w:t>Мобилизация ГСК у пациентов с онкогематологическими заболеваниями;</w:t>
      </w:r>
    </w:p>
    <w:p w14:paraId="1063D001" w14:textId="77777777" w:rsidR="0049053C" w:rsidRPr="00BA4F0F" w:rsidRDefault="0049053C" w:rsidP="00FE0193">
      <w:pPr>
        <w:pStyle w:val="1ff0"/>
        <w:numPr>
          <w:ilvl w:val="0"/>
          <w:numId w:val="91"/>
        </w:numPr>
      </w:pPr>
      <w:r w:rsidRPr="00BA4F0F">
        <w:t>Повторная мобилизация после неудачи первой мобилизации ГСК схемами, включающими миелосупрессивные препараты.</w:t>
      </w:r>
    </w:p>
    <w:p w14:paraId="602F63D8" w14:textId="77777777" w:rsidR="0049053C" w:rsidRPr="00BA4F0F" w:rsidRDefault="0049053C" w:rsidP="0049053C">
      <w:pPr>
        <w:pStyle w:val="1ff0"/>
        <w:rPr>
          <w:b/>
        </w:rPr>
      </w:pPr>
      <w:r w:rsidRPr="00BA4F0F">
        <w:rPr>
          <w:b/>
        </w:rPr>
        <w:t>Схема мобилизации ГСК</w:t>
      </w:r>
    </w:p>
    <w:p w14:paraId="15163920" w14:textId="560F8B07" w:rsidR="0049053C" w:rsidRPr="00BA4F0F" w:rsidRDefault="0049053C" w:rsidP="0049053C">
      <w:pPr>
        <w:pStyle w:val="1ff0"/>
      </w:pPr>
      <w:r w:rsidRPr="00BA4F0F">
        <w:t xml:space="preserve">Г-КСФ назначают в дозе 10 мкг/кг/сутки, вводят подкожно утром (или по 5 мкг 2 раза в сутки). Лейкаферез начинается на четвертый день введения Г-КСФ при наличии адекватного количества </w:t>
      </w:r>
      <w:r w:rsidRPr="00BA4F0F">
        <w:rPr>
          <w:lang w:val="en-US"/>
        </w:rPr>
        <w:t>CD</w:t>
      </w:r>
      <w:r w:rsidRPr="00BA4F0F">
        <w:t xml:space="preserve">34+ клеток в периферической крови. При их количестве более 10-20 клеток/мкл начинают сепарацию клеток. Если </w:t>
      </w:r>
      <w:r w:rsidRPr="00BA4F0F">
        <w:rPr>
          <w:lang w:val="en-US"/>
        </w:rPr>
        <w:t>CD</w:t>
      </w:r>
      <w:r w:rsidRPr="00BA4F0F">
        <w:t xml:space="preserve">34+ в периферической крови менее 10 клеток/мкл, необходимо отказаться от лейкафереза и повторить подсчет клеток на следующий день. Число сеансов лейкафереза зависит от результатов сбора ГСК, для заготовки оптимального  количества CD34+ клеток необходимо 2 - 4 процедуры (от 1 до 5). В заключительный день проведения лейкафереза Г-КСФ не вводится (таблица </w:t>
      </w:r>
      <w:r w:rsidR="00650324">
        <w:t>А3.3.</w:t>
      </w:r>
      <w:r w:rsidRPr="00BA4F0F">
        <w:t>1).</w:t>
      </w:r>
    </w:p>
    <w:p w14:paraId="109A4A6F" w14:textId="77777777" w:rsidR="0049053C" w:rsidRPr="00BA4F0F" w:rsidRDefault="0049053C" w:rsidP="0049053C">
      <w:pPr>
        <w:pStyle w:val="1ff0"/>
      </w:pPr>
    </w:p>
    <w:p w14:paraId="0A263495" w14:textId="21981AA1" w:rsidR="0049053C" w:rsidRPr="00BA4F0F" w:rsidRDefault="0049053C" w:rsidP="0049053C">
      <w:pPr>
        <w:pStyle w:val="1ff0"/>
      </w:pPr>
      <w:r w:rsidRPr="00BA4F0F">
        <w:t xml:space="preserve">Таблица </w:t>
      </w:r>
      <w:r w:rsidR="00650324">
        <w:t>А3.3.</w:t>
      </w:r>
      <w:r w:rsidRPr="00BA4F0F">
        <w:t xml:space="preserve">1. Схема мобилизации ГСК «Г-КСФ в монорежиме» </w:t>
      </w:r>
    </w:p>
    <w:tbl>
      <w:tblPr>
        <w:tblStyle w:val="1f3"/>
        <w:tblW w:w="8930" w:type="dxa"/>
        <w:tblInd w:w="108" w:type="dxa"/>
        <w:tblLook w:val="04A0" w:firstRow="1" w:lastRow="0" w:firstColumn="1" w:lastColumn="0" w:noHBand="0" w:noVBand="1"/>
      </w:tblPr>
      <w:tblGrid>
        <w:gridCol w:w="1583"/>
        <w:gridCol w:w="1142"/>
        <w:gridCol w:w="1139"/>
        <w:gridCol w:w="1139"/>
        <w:gridCol w:w="1142"/>
        <w:gridCol w:w="1143"/>
        <w:gridCol w:w="1642"/>
      </w:tblGrid>
      <w:tr w:rsidR="0049053C" w:rsidRPr="00BA4F0F" w14:paraId="48386CBA" w14:textId="77777777" w:rsidTr="003D0E86">
        <w:tc>
          <w:tcPr>
            <w:tcW w:w="1583" w:type="dxa"/>
          </w:tcPr>
          <w:p w14:paraId="76BBEAB4" w14:textId="77777777" w:rsidR="0049053C" w:rsidRPr="00BA4F0F" w:rsidRDefault="0049053C" w:rsidP="00650324">
            <w:pPr>
              <w:spacing w:line="360" w:lineRule="auto"/>
            </w:pPr>
            <w:r w:rsidRPr="00BA4F0F">
              <w:t>Дни</w:t>
            </w:r>
          </w:p>
        </w:tc>
        <w:tc>
          <w:tcPr>
            <w:tcW w:w="1142" w:type="dxa"/>
          </w:tcPr>
          <w:p w14:paraId="2227EC89" w14:textId="77777777" w:rsidR="0049053C" w:rsidRPr="00BA4F0F" w:rsidRDefault="0049053C" w:rsidP="00650324">
            <w:pPr>
              <w:spacing w:line="360" w:lineRule="auto"/>
            </w:pPr>
            <w:r w:rsidRPr="00BA4F0F">
              <w:t>1</w:t>
            </w:r>
          </w:p>
        </w:tc>
        <w:tc>
          <w:tcPr>
            <w:tcW w:w="1139" w:type="dxa"/>
          </w:tcPr>
          <w:p w14:paraId="70AA0208" w14:textId="77777777" w:rsidR="0049053C" w:rsidRPr="00BA4F0F" w:rsidRDefault="0049053C" w:rsidP="00650324">
            <w:pPr>
              <w:spacing w:line="360" w:lineRule="auto"/>
            </w:pPr>
            <w:r w:rsidRPr="00BA4F0F">
              <w:t>2</w:t>
            </w:r>
          </w:p>
        </w:tc>
        <w:tc>
          <w:tcPr>
            <w:tcW w:w="1139" w:type="dxa"/>
          </w:tcPr>
          <w:p w14:paraId="451CEAF0" w14:textId="77777777" w:rsidR="0049053C" w:rsidRPr="00BA4F0F" w:rsidRDefault="0049053C" w:rsidP="00650324">
            <w:pPr>
              <w:spacing w:line="360" w:lineRule="auto"/>
            </w:pPr>
            <w:r w:rsidRPr="00BA4F0F">
              <w:t>3</w:t>
            </w:r>
          </w:p>
        </w:tc>
        <w:tc>
          <w:tcPr>
            <w:tcW w:w="1142" w:type="dxa"/>
          </w:tcPr>
          <w:p w14:paraId="016DC0C0" w14:textId="77777777" w:rsidR="0049053C" w:rsidRPr="00BA4F0F" w:rsidRDefault="0049053C" w:rsidP="00650324">
            <w:pPr>
              <w:spacing w:line="360" w:lineRule="auto"/>
            </w:pPr>
            <w:r w:rsidRPr="00BA4F0F">
              <w:t>4</w:t>
            </w:r>
          </w:p>
        </w:tc>
        <w:tc>
          <w:tcPr>
            <w:tcW w:w="1143" w:type="dxa"/>
          </w:tcPr>
          <w:p w14:paraId="6A8824C5" w14:textId="77777777" w:rsidR="0049053C" w:rsidRPr="00BA4F0F" w:rsidRDefault="0049053C" w:rsidP="00650324">
            <w:pPr>
              <w:spacing w:line="360" w:lineRule="auto"/>
            </w:pPr>
            <w:r w:rsidRPr="00BA4F0F">
              <w:t>5</w:t>
            </w:r>
          </w:p>
        </w:tc>
        <w:tc>
          <w:tcPr>
            <w:tcW w:w="1642" w:type="dxa"/>
          </w:tcPr>
          <w:p w14:paraId="03F77B0E" w14:textId="77777777" w:rsidR="0049053C" w:rsidRPr="00BA4F0F" w:rsidRDefault="0049053C" w:rsidP="00650324">
            <w:pPr>
              <w:spacing w:line="360" w:lineRule="auto"/>
            </w:pPr>
            <w:r w:rsidRPr="00BA4F0F">
              <w:t>6</w:t>
            </w:r>
          </w:p>
        </w:tc>
      </w:tr>
      <w:tr w:rsidR="0049053C" w:rsidRPr="00BA4F0F" w14:paraId="5B0C89AB" w14:textId="77777777" w:rsidTr="003D0E86">
        <w:tc>
          <w:tcPr>
            <w:tcW w:w="1583" w:type="dxa"/>
          </w:tcPr>
          <w:p w14:paraId="37AFEE97" w14:textId="77777777" w:rsidR="0049053C" w:rsidRPr="00BA4F0F" w:rsidRDefault="0049053C" w:rsidP="00650324">
            <w:pPr>
              <w:spacing w:line="360" w:lineRule="auto"/>
            </w:pPr>
            <w:r w:rsidRPr="00BA4F0F">
              <w:t xml:space="preserve">Г-КСФ, </w:t>
            </w:r>
          </w:p>
          <w:p w14:paraId="7360FA95" w14:textId="77777777" w:rsidR="0049053C" w:rsidRPr="00BA4F0F" w:rsidRDefault="0049053C" w:rsidP="00650324">
            <w:pPr>
              <w:spacing w:line="360" w:lineRule="auto"/>
            </w:pPr>
            <w:r w:rsidRPr="00BA4F0F">
              <w:t>10 мкг/кг</w:t>
            </w:r>
          </w:p>
        </w:tc>
        <w:tc>
          <w:tcPr>
            <w:tcW w:w="1142" w:type="dxa"/>
          </w:tcPr>
          <w:p w14:paraId="6A7A1D43" w14:textId="77777777" w:rsidR="0049053C" w:rsidRPr="00BA4F0F" w:rsidRDefault="0049053C" w:rsidP="00650324">
            <w:pPr>
              <w:spacing w:line="360" w:lineRule="auto"/>
            </w:pPr>
            <w:r w:rsidRPr="00BA4F0F">
              <w:t>Х</w:t>
            </w:r>
          </w:p>
        </w:tc>
        <w:tc>
          <w:tcPr>
            <w:tcW w:w="1139" w:type="dxa"/>
          </w:tcPr>
          <w:p w14:paraId="69C18C59" w14:textId="77777777" w:rsidR="0049053C" w:rsidRPr="00BA4F0F" w:rsidRDefault="0049053C" w:rsidP="00650324">
            <w:pPr>
              <w:spacing w:line="360" w:lineRule="auto"/>
            </w:pPr>
            <w:r w:rsidRPr="00BA4F0F">
              <w:t>Х</w:t>
            </w:r>
          </w:p>
        </w:tc>
        <w:tc>
          <w:tcPr>
            <w:tcW w:w="1139" w:type="dxa"/>
          </w:tcPr>
          <w:p w14:paraId="41321995" w14:textId="77777777" w:rsidR="0049053C" w:rsidRPr="00BA4F0F" w:rsidRDefault="0049053C" w:rsidP="00650324">
            <w:pPr>
              <w:spacing w:line="360" w:lineRule="auto"/>
            </w:pPr>
            <w:r w:rsidRPr="00BA4F0F">
              <w:t>Х</w:t>
            </w:r>
          </w:p>
        </w:tc>
        <w:tc>
          <w:tcPr>
            <w:tcW w:w="1142" w:type="dxa"/>
          </w:tcPr>
          <w:p w14:paraId="3A0C4E82" w14:textId="77777777" w:rsidR="0049053C" w:rsidRPr="00BA4F0F" w:rsidRDefault="0049053C" w:rsidP="00650324">
            <w:pPr>
              <w:spacing w:line="360" w:lineRule="auto"/>
            </w:pPr>
            <w:r w:rsidRPr="00BA4F0F">
              <w:t>Х</w:t>
            </w:r>
          </w:p>
        </w:tc>
        <w:tc>
          <w:tcPr>
            <w:tcW w:w="1143" w:type="dxa"/>
          </w:tcPr>
          <w:p w14:paraId="052CA1DA" w14:textId="77777777" w:rsidR="0049053C" w:rsidRPr="00BA4F0F" w:rsidRDefault="0049053C" w:rsidP="00650324">
            <w:pPr>
              <w:spacing w:line="360" w:lineRule="auto"/>
            </w:pPr>
            <w:r w:rsidRPr="00BA4F0F">
              <w:t>Х</w:t>
            </w:r>
          </w:p>
        </w:tc>
        <w:tc>
          <w:tcPr>
            <w:tcW w:w="1642" w:type="dxa"/>
          </w:tcPr>
          <w:p w14:paraId="1C49ECC2" w14:textId="77777777" w:rsidR="0049053C" w:rsidRPr="00BA4F0F" w:rsidRDefault="0049053C" w:rsidP="00650324">
            <w:pPr>
              <w:spacing w:line="360" w:lineRule="auto"/>
            </w:pPr>
            <w:r w:rsidRPr="00BA4F0F">
              <w:t>отмена</w:t>
            </w:r>
          </w:p>
        </w:tc>
      </w:tr>
      <w:tr w:rsidR="0049053C" w:rsidRPr="00BA4F0F" w14:paraId="45C2D40E" w14:textId="77777777" w:rsidTr="003D0E86">
        <w:tc>
          <w:tcPr>
            <w:tcW w:w="1583" w:type="dxa"/>
          </w:tcPr>
          <w:p w14:paraId="0B0A51FF" w14:textId="77777777" w:rsidR="0049053C" w:rsidRPr="00BA4F0F" w:rsidRDefault="0049053C" w:rsidP="00650324">
            <w:pPr>
              <w:spacing w:line="360" w:lineRule="auto"/>
            </w:pPr>
            <w:r w:rsidRPr="00BA4F0F">
              <w:t>Лейкаферез</w:t>
            </w:r>
          </w:p>
        </w:tc>
        <w:tc>
          <w:tcPr>
            <w:tcW w:w="1142" w:type="dxa"/>
          </w:tcPr>
          <w:p w14:paraId="25F85431" w14:textId="77777777" w:rsidR="0049053C" w:rsidRPr="00BA4F0F" w:rsidRDefault="0049053C" w:rsidP="00650324">
            <w:pPr>
              <w:spacing w:line="360" w:lineRule="auto"/>
            </w:pPr>
          </w:p>
        </w:tc>
        <w:tc>
          <w:tcPr>
            <w:tcW w:w="1139" w:type="dxa"/>
          </w:tcPr>
          <w:p w14:paraId="42C2AA40" w14:textId="77777777" w:rsidR="0049053C" w:rsidRPr="00BA4F0F" w:rsidRDefault="0049053C" w:rsidP="00650324">
            <w:pPr>
              <w:spacing w:line="360" w:lineRule="auto"/>
            </w:pPr>
          </w:p>
        </w:tc>
        <w:tc>
          <w:tcPr>
            <w:tcW w:w="1139" w:type="dxa"/>
          </w:tcPr>
          <w:p w14:paraId="410A39E8" w14:textId="77777777" w:rsidR="0049053C" w:rsidRPr="00BA4F0F" w:rsidRDefault="0049053C" w:rsidP="00650324">
            <w:pPr>
              <w:spacing w:line="360" w:lineRule="auto"/>
            </w:pPr>
          </w:p>
        </w:tc>
        <w:tc>
          <w:tcPr>
            <w:tcW w:w="1142" w:type="dxa"/>
          </w:tcPr>
          <w:p w14:paraId="405C5F42" w14:textId="77777777" w:rsidR="0049053C" w:rsidRPr="00BA4F0F" w:rsidRDefault="0049053C" w:rsidP="00650324">
            <w:pPr>
              <w:spacing w:line="360" w:lineRule="auto"/>
              <w:rPr>
                <w:lang w:val="en-US"/>
              </w:rPr>
            </w:pPr>
            <w:r w:rsidRPr="00BA4F0F">
              <w:rPr>
                <w:lang w:val="en-US"/>
              </w:rPr>
              <w:t>V</w:t>
            </w:r>
          </w:p>
        </w:tc>
        <w:tc>
          <w:tcPr>
            <w:tcW w:w="1143" w:type="dxa"/>
          </w:tcPr>
          <w:p w14:paraId="32BF48FC" w14:textId="77777777" w:rsidR="0049053C" w:rsidRPr="00BA4F0F" w:rsidRDefault="0049053C" w:rsidP="00650324">
            <w:pPr>
              <w:spacing w:line="360" w:lineRule="auto"/>
              <w:rPr>
                <w:lang w:val="en-US"/>
              </w:rPr>
            </w:pPr>
            <w:r w:rsidRPr="00BA4F0F">
              <w:rPr>
                <w:lang w:val="en-US"/>
              </w:rPr>
              <w:t>V</w:t>
            </w:r>
          </w:p>
        </w:tc>
        <w:tc>
          <w:tcPr>
            <w:tcW w:w="1642" w:type="dxa"/>
          </w:tcPr>
          <w:p w14:paraId="6F5FB580" w14:textId="77777777" w:rsidR="0049053C" w:rsidRPr="00BA4F0F" w:rsidRDefault="0049053C" w:rsidP="00650324">
            <w:pPr>
              <w:spacing w:line="360" w:lineRule="auto"/>
              <w:rPr>
                <w:lang w:val="en-US"/>
              </w:rPr>
            </w:pPr>
            <w:r w:rsidRPr="00BA4F0F">
              <w:rPr>
                <w:lang w:val="en-US"/>
              </w:rPr>
              <w:t>V</w:t>
            </w:r>
          </w:p>
        </w:tc>
      </w:tr>
    </w:tbl>
    <w:p w14:paraId="5E4DEDEF" w14:textId="77777777" w:rsidR="0049053C" w:rsidRPr="00BA4F0F" w:rsidRDefault="0049053C" w:rsidP="0049053C">
      <w:pPr>
        <w:pStyle w:val="11"/>
        <w:spacing w:before="0"/>
      </w:pPr>
      <w:bookmarkStart w:id="104" w:name="_Toc44926606"/>
    </w:p>
    <w:p w14:paraId="6EADC349" w14:textId="77777777" w:rsidR="0049053C" w:rsidRPr="00650324" w:rsidRDefault="0049053C" w:rsidP="00650324">
      <w:pPr>
        <w:pStyle w:val="1ff0"/>
        <w:rPr>
          <w:u w:val="single"/>
        </w:rPr>
      </w:pPr>
      <w:r w:rsidRPr="00650324">
        <w:rPr>
          <w:u w:val="single"/>
        </w:rPr>
        <w:t>Г-КСФ после миелосупрессивной химиотерапии</w:t>
      </w:r>
      <w:bookmarkEnd w:id="104"/>
    </w:p>
    <w:p w14:paraId="1B29C314" w14:textId="77777777" w:rsidR="0049053C" w:rsidRPr="00BA4F0F" w:rsidRDefault="0049053C" w:rsidP="00650324">
      <w:pPr>
        <w:pStyle w:val="1ff0"/>
        <w:rPr>
          <w:b/>
          <w:i/>
          <w:lang w:val="en-US"/>
        </w:rPr>
      </w:pPr>
      <w:r w:rsidRPr="00BA4F0F">
        <w:rPr>
          <w:b/>
          <w:i/>
          <w:lang w:val="en-US"/>
        </w:rPr>
        <w:lastRenderedPageBreak/>
        <w:t xml:space="preserve">Показания </w:t>
      </w:r>
    </w:p>
    <w:p w14:paraId="2C2D9DF9" w14:textId="77777777" w:rsidR="0049053C" w:rsidRPr="00BA4F0F" w:rsidRDefault="0049053C" w:rsidP="00650324">
      <w:pPr>
        <w:pStyle w:val="1ff0"/>
        <w:rPr>
          <w:b/>
        </w:rPr>
      </w:pPr>
      <w:r w:rsidRPr="00BA4F0F">
        <w:t>Мобилизация ГСК у пациентов с онкогематологическими заболеваниями</w:t>
      </w:r>
    </w:p>
    <w:p w14:paraId="6D122CC6" w14:textId="77777777" w:rsidR="0049053C" w:rsidRPr="00BA4F0F" w:rsidRDefault="0049053C" w:rsidP="00650324">
      <w:pPr>
        <w:pStyle w:val="1ff0"/>
        <w:rPr>
          <w:b/>
          <w:i/>
        </w:rPr>
      </w:pPr>
    </w:p>
    <w:p w14:paraId="6D4CA788" w14:textId="77777777" w:rsidR="0049053C" w:rsidRPr="00BA4F0F" w:rsidRDefault="0049053C" w:rsidP="00650324">
      <w:pPr>
        <w:pStyle w:val="1ff0"/>
        <w:rPr>
          <w:b/>
          <w:i/>
        </w:rPr>
      </w:pPr>
      <w:r w:rsidRPr="00BA4F0F">
        <w:rPr>
          <w:b/>
          <w:i/>
        </w:rPr>
        <w:t>Схема мобилизации ГСК «ХТ + Г-КСФ»</w:t>
      </w:r>
    </w:p>
    <w:p w14:paraId="30C3F322" w14:textId="77777777" w:rsidR="0049053C" w:rsidRPr="00BA4F0F" w:rsidRDefault="0049053C" w:rsidP="00650324">
      <w:pPr>
        <w:pStyle w:val="1ff0"/>
      </w:pPr>
      <w:r w:rsidRPr="00BA4F0F">
        <w:t>Миелосупрессивная ХТ стимулирует пролиферацию стволовых клеток и клеток-предшественниц, что приводит к увеличению выброса ГСК из костного мозга в кровь. Принцип данного режима мобилизации ГСК: пациенту вводится химиопрепарат (или несколько препаратов) согласно соответствующему протоколу лечения, а затем, после развития МТА, начинается стимуляция лейкопоэза Г-КСФ в дозе 5 мг/кг/сут.</w:t>
      </w:r>
    </w:p>
    <w:p w14:paraId="68533A63" w14:textId="77777777" w:rsidR="0049053C" w:rsidRPr="00BA4F0F" w:rsidRDefault="0049053C" w:rsidP="00650324">
      <w:pPr>
        <w:pStyle w:val="1ff0"/>
      </w:pPr>
      <w:r w:rsidRPr="00BA4F0F">
        <w:t xml:space="preserve">При условии восстановления лейкоцитов периферической крови и адекватного количества среди них </w:t>
      </w:r>
      <w:r w:rsidRPr="00BA4F0F">
        <w:rPr>
          <w:lang w:val="en-US"/>
        </w:rPr>
        <w:t>CD</w:t>
      </w:r>
      <w:r w:rsidRPr="00BA4F0F">
        <w:t xml:space="preserve">34+ клеток начинаются процедуры сбора ГСК (как правило, на 6-8 день введения Г-КСФ). </w:t>
      </w:r>
    </w:p>
    <w:p w14:paraId="5BF3DC67" w14:textId="53E73DBA" w:rsidR="0049053C" w:rsidRPr="00BA4F0F" w:rsidRDefault="0049053C" w:rsidP="00650324">
      <w:pPr>
        <w:pStyle w:val="1ff0"/>
      </w:pPr>
      <w:r w:rsidRPr="00BA4F0F">
        <w:t xml:space="preserve">На рисунке </w:t>
      </w:r>
      <w:r w:rsidR="00650324">
        <w:t>А3.3.</w:t>
      </w:r>
      <w:r w:rsidRPr="00BA4F0F">
        <w:t xml:space="preserve">1 представлен алгоритм определения показаний к проведению первого лейкафереза. Количество лейкаферезов зависит от результата сбора ГСК (от 1 до 5). В заключительный день проведения лейкафереза Г-КСФ не вводится. </w:t>
      </w:r>
    </w:p>
    <w:p w14:paraId="355B3F99" w14:textId="77777777" w:rsidR="0049053C" w:rsidRPr="00BA4F0F" w:rsidRDefault="0049053C" w:rsidP="0049053C">
      <w:pPr>
        <w:jc w:val="center"/>
      </w:pPr>
      <w:r w:rsidRPr="00BA4F0F">
        <w:rPr>
          <w:noProof/>
        </w:rPr>
        <w:drawing>
          <wp:inline distT="0" distB="0" distL="0" distR="0" wp14:anchorId="72FCE3A2" wp14:editId="6AB5A9AC">
            <wp:extent cx="4177990" cy="2665737"/>
            <wp:effectExtent l="0" t="0" r="0" b="1270"/>
            <wp:docPr id="1" name="Picture 3"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Изображение выглядит как текст&#10;&#10;Автоматически созданное описание"/>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76702" cy="2664915"/>
                    </a:xfrm>
                    <a:prstGeom prst="rect">
                      <a:avLst/>
                    </a:prstGeom>
                    <a:noFill/>
                    <a:ln>
                      <a:noFill/>
                    </a:ln>
                    <a:effectLst/>
                  </pic:spPr>
                </pic:pic>
              </a:graphicData>
            </a:graphic>
          </wp:inline>
        </w:drawing>
      </w:r>
    </w:p>
    <w:p w14:paraId="08A3A4CE" w14:textId="525C5179" w:rsidR="0049053C" w:rsidRPr="00BA4F0F" w:rsidRDefault="0049053C" w:rsidP="00650324">
      <w:pPr>
        <w:spacing w:line="360" w:lineRule="auto"/>
        <w:jc w:val="center"/>
        <w:rPr>
          <w:i/>
        </w:rPr>
      </w:pPr>
      <w:r w:rsidRPr="00BA4F0F">
        <w:t xml:space="preserve">Рисунок </w:t>
      </w:r>
      <w:r w:rsidR="00650324">
        <w:t>А3.3.</w:t>
      </w:r>
      <w:r w:rsidRPr="00BA4F0F">
        <w:t xml:space="preserve">1. Алгоритм определения показаний к проведению первого лейкафереза при мобилизации ГСК в режиме «ХТ+ Г-КСФ». </w:t>
      </w:r>
      <w:r w:rsidRPr="00BA4F0F">
        <w:rPr>
          <w:i/>
        </w:rPr>
        <w:t>ХТ – химиотерапия, МТА – миелотоксический агранулоцитоз</w:t>
      </w:r>
    </w:p>
    <w:p w14:paraId="08F62C9C" w14:textId="77777777" w:rsidR="0049053C" w:rsidRPr="00BA4F0F" w:rsidRDefault="0049053C" w:rsidP="0049053C">
      <w:pPr>
        <w:ind w:firstLine="709"/>
      </w:pPr>
    </w:p>
    <w:p w14:paraId="671A11DE" w14:textId="2667B7A6" w:rsidR="0049053C" w:rsidRPr="00BA4F0F" w:rsidRDefault="0049053C" w:rsidP="00650324">
      <w:pPr>
        <w:pStyle w:val="1ff0"/>
      </w:pPr>
      <w:r w:rsidRPr="00BA4F0F">
        <w:t xml:space="preserve">Выбор химиотерапевтических препаратов зависит от конкретной нозологии и протокола терапии. При агрессивных лимфопролиферативных заболеваниях мобилизация клеток осуществляется после блоков ЛБ-М-04, </w:t>
      </w:r>
      <w:r w:rsidRPr="00BA4F0F">
        <w:rPr>
          <w:lang w:val="en-US"/>
        </w:rPr>
        <w:t>DA</w:t>
      </w:r>
      <w:r w:rsidRPr="00BA4F0F">
        <w:t>-</w:t>
      </w:r>
      <w:r w:rsidRPr="00BA4F0F">
        <w:rPr>
          <w:lang w:val="en-US"/>
        </w:rPr>
        <w:t>R</w:t>
      </w:r>
      <w:r w:rsidRPr="00BA4F0F">
        <w:t>-</w:t>
      </w:r>
      <w:r w:rsidRPr="00BA4F0F">
        <w:rPr>
          <w:lang w:val="en-US"/>
        </w:rPr>
        <w:t>EPOCH</w:t>
      </w:r>
      <w:r w:rsidRPr="00BA4F0F">
        <w:t xml:space="preserve">, </w:t>
      </w:r>
      <w:r w:rsidRPr="00BA4F0F">
        <w:rPr>
          <w:lang w:val="en-US"/>
        </w:rPr>
        <w:t>ESGAP</w:t>
      </w:r>
      <w:r w:rsidRPr="00BA4F0F">
        <w:t xml:space="preserve">, </w:t>
      </w:r>
      <w:r w:rsidRPr="00BA4F0F">
        <w:rPr>
          <w:lang w:val="en-US"/>
        </w:rPr>
        <w:t>IGEV</w:t>
      </w:r>
      <w:r w:rsidRPr="00BA4F0F">
        <w:t xml:space="preserve">, </w:t>
      </w:r>
      <w:r w:rsidRPr="00BA4F0F">
        <w:rPr>
          <w:lang w:val="en-US"/>
        </w:rPr>
        <w:t>NHL</w:t>
      </w:r>
      <w:r w:rsidRPr="00BA4F0F">
        <w:t>-</w:t>
      </w:r>
      <w:r w:rsidRPr="00BA4F0F">
        <w:rPr>
          <w:lang w:val="en-US"/>
        </w:rPr>
        <w:t>BFM</w:t>
      </w:r>
      <w:r w:rsidRPr="00BA4F0F">
        <w:t xml:space="preserve">-90, </w:t>
      </w:r>
      <w:r w:rsidRPr="00BA4F0F">
        <w:rPr>
          <w:lang w:val="en-US"/>
        </w:rPr>
        <w:t>SMILE</w:t>
      </w:r>
      <w:r w:rsidRPr="00BA4F0F">
        <w:t xml:space="preserve">, </w:t>
      </w:r>
      <w:r w:rsidRPr="00BA4F0F">
        <w:rPr>
          <w:lang w:val="en-US"/>
        </w:rPr>
        <w:t>TL</w:t>
      </w:r>
      <w:r w:rsidRPr="00BA4F0F">
        <w:t>-</w:t>
      </w:r>
      <w:r w:rsidRPr="00BA4F0F">
        <w:rPr>
          <w:lang w:val="en-US"/>
        </w:rPr>
        <w:t>REZ</w:t>
      </w:r>
      <w:r w:rsidRPr="00BA4F0F">
        <w:t xml:space="preserve">-09, R-HМA, R-BAC, </w:t>
      </w:r>
      <w:r w:rsidRPr="00BA4F0F">
        <w:rPr>
          <w:lang w:val="en-US"/>
        </w:rPr>
        <w:t>DHAP</w:t>
      </w:r>
      <w:r w:rsidRPr="00BA4F0F">
        <w:t xml:space="preserve">, </w:t>
      </w:r>
      <w:r w:rsidRPr="00BA4F0F">
        <w:rPr>
          <w:lang w:val="en-US"/>
        </w:rPr>
        <w:t>R</w:t>
      </w:r>
      <w:r w:rsidRPr="00BA4F0F">
        <w:t>-</w:t>
      </w:r>
      <w:r w:rsidRPr="00BA4F0F">
        <w:rPr>
          <w:lang w:val="en-US"/>
        </w:rPr>
        <w:t>ICE</w:t>
      </w:r>
      <w:r w:rsidRPr="00BA4F0F">
        <w:t>.</w:t>
      </w:r>
    </w:p>
    <w:p w14:paraId="39E4CC32" w14:textId="77777777" w:rsidR="0049053C" w:rsidRPr="00BA4F0F" w:rsidRDefault="0049053C" w:rsidP="00650324">
      <w:pPr>
        <w:pStyle w:val="1ff0"/>
      </w:pPr>
      <w:r w:rsidRPr="00BA4F0F">
        <w:lastRenderedPageBreak/>
        <w:t>Если период МТА осложнился тяжелым инфекционным процессом и к моменту сбора ГСК сохраняются осложнения, угрожающие жизни, от лейкафереза следует воздержаться. Если состояние стабилизировано, мобилизация и сбор ГСК продолжаются.</w:t>
      </w:r>
    </w:p>
    <w:p w14:paraId="197A7102" w14:textId="05C821EF" w:rsidR="0049053C" w:rsidRPr="00BA4F0F" w:rsidRDefault="00DF7D52" w:rsidP="00650324">
      <w:pPr>
        <w:pStyle w:val="1ff0"/>
      </w:pPr>
      <w:r w:rsidRPr="00DF7D52">
        <w:t>Ц</w:t>
      </w:r>
      <w:r w:rsidR="0049053C" w:rsidRPr="00BA4F0F">
        <w:t>иклофосфамид применяется как в качестве противоопухолевого средства, так и для усиления эффекта мобилизации ГСК. Применяются высокие дозы циклофосфана (6-7 г/м</w:t>
      </w:r>
      <w:r w:rsidR="0049053C" w:rsidRPr="00BA4F0F">
        <w:rPr>
          <w:vertAlign w:val="superscript"/>
        </w:rPr>
        <w:t>2</w:t>
      </w:r>
      <w:r w:rsidR="0049053C" w:rsidRPr="00BA4F0F">
        <w:t>), промежуточные (3-4 г/м</w:t>
      </w:r>
      <w:r w:rsidR="0049053C" w:rsidRPr="00BA4F0F">
        <w:rPr>
          <w:vertAlign w:val="superscript"/>
        </w:rPr>
        <w:t>2</w:t>
      </w:r>
      <w:r w:rsidR="0049053C" w:rsidRPr="00BA4F0F">
        <w:t>), и низкие (1,2-2 г/м</w:t>
      </w:r>
      <w:r w:rsidR="0049053C" w:rsidRPr="00BA4F0F">
        <w:rPr>
          <w:vertAlign w:val="superscript"/>
        </w:rPr>
        <w:t>2</w:t>
      </w:r>
      <w:r w:rsidR="0049053C" w:rsidRPr="00BA4F0F">
        <w:t>). По данным ретроспективного исследования, сравнивающего эффективность и переносимость высоких и промежуточных доз циклофосфана, оказалось, что доза 4 г/м</w:t>
      </w:r>
      <w:r w:rsidR="0049053C" w:rsidRPr="00BA4F0F">
        <w:rPr>
          <w:vertAlign w:val="superscript"/>
        </w:rPr>
        <w:t>2</w:t>
      </w:r>
      <w:r w:rsidR="0049053C" w:rsidRPr="00BA4F0F">
        <w:t xml:space="preserve"> является оптимальной. При использовании данной дозы удавалось собрать необходимое для двух трансплантаций количество </w:t>
      </w:r>
      <w:r w:rsidR="0049053C" w:rsidRPr="00BA4F0F">
        <w:rPr>
          <w:lang w:val="en-US"/>
        </w:rPr>
        <w:t>CD</w:t>
      </w:r>
      <w:r w:rsidR="0049053C" w:rsidRPr="00BA4F0F">
        <w:t>34+ клеток, при этом тромбоцитопения была кратковременной, что способствовало меньшей потребности в заместительно</w:t>
      </w:r>
      <w:r w:rsidR="0049053C" w:rsidRPr="00BA4F0F">
        <w:tab/>
        <w:t xml:space="preserve">й трансфузионной терапии, по сравнению с применением высоких доз циклофосфана </w:t>
      </w:r>
      <w:r w:rsidR="0049053C" w:rsidRPr="00BA4F0F">
        <w:fldChar w:fldCharType="begin" w:fldLock="1"/>
      </w:r>
      <w:r w:rsidR="00A6794A">
        <w:instrText>ADDIN CSL_CITATION {"citationItems":[{"id":"ITEM-1","itemData":{"author":[{"dropping-particle":"","family":"Покровская","given":"О.С.","non-dropping-particle":"","parse-names":false,"suffix":""}],"id":"ITEM-1","issued":{"date-parts":[["2011"]]},"number-of-pages":"29","title":"Кроветворная ткань и стромальное микроокружение в процессе интенсивной терапии и мобилизации гемопоэтических стволовых клеток у больных множественной миеломой: Автореф. дис.канд.мед.наук.","type":"book","volume":"153"},"uris":["http://www.mendeley.com/documents/?uuid=31091715-13d1-4b36-acd3-bca783c58345","http://www.mendeley.com/documents/?uuid=a016ab64-5d26-4905-b085-fc6d0ca143d0","http://www.mendeley.com/documents/?uuid=6158326c-b49e-4b3d-9638-c661a40fa88b","http://www.mendeley.com/documents/?uuid=4a2a3881-134d-4851-9770-aa58ad4c9728","http://www.mendeley.com/documents/?uuid=179afc56-227d-482c-af90-308ef68f889a","http://www.mendeley.com/documents/?uuid=171c99f1-9907-4fc7-9260-90f70ac873fa","http://www.mendeley.com/documents/?uuid=df9a843f-a2d8-42ee-9e40-dfba104520d3"]}],"mendeley":{"formattedCitation":"[227]","plainTextFormattedCitation":"[227]","previouslyFormattedCitation":"[227]"},"properties":{"noteIndex":0},"schema":"https://github.com/citation-style-language/schema/raw/master/csl-citation.json"}</w:instrText>
      </w:r>
      <w:r w:rsidR="0049053C" w:rsidRPr="00BA4F0F">
        <w:fldChar w:fldCharType="separate"/>
      </w:r>
      <w:r w:rsidR="006E1902" w:rsidRPr="006E1902">
        <w:rPr>
          <w:noProof/>
        </w:rPr>
        <w:t>[227]</w:t>
      </w:r>
      <w:r w:rsidR="0049053C" w:rsidRPr="00BA4F0F">
        <w:fldChar w:fldCharType="end"/>
      </w:r>
      <w:r w:rsidR="0049053C" w:rsidRPr="00BA4F0F">
        <w:t xml:space="preserve">. </w:t>
      </w:r>
    </w:p>
    <w:p w14:paraId="094E2136" w14:textId="69CA7802" w:rsidR="0049053C" w:rsidRPr="00BA4F0F" w:rsidRDefault="0049053C" w:rsidP="00650324">
      <w:pPr>
        <w:pStyle w:val="1ff0"/>
      </w:pPr>
      <w:r w:rsidRPr="00BA4F0F">
        <w:t>Стандартная схема мобилизации ГСК, применяемая в настоя</w:t>
      </w:r>
      <w:r w:rsidR="009E3472">
        <w:t xml:space="preserve">щее время: </w:t>
      </w:r>
      <w:r w:rsidR="009E3472" w:rsidRPr="00DF7D52">
        <w:rPr>
          <w:color w:val="000000" w:themeColor="text1"/>
        </w:rPr>
        <w:t>циклофосфамид</w:t>
      </w:r>
      <w:r w:rsidRPr="00DF7D52">
        <w:rPr>
          <w:color w:val="000000" w:themeColor="text1"/>
        </w:rPr>
        <w:t xml:space="preserve"> 4 </w:t>
      </w:r>
      <w:r w:rsidRPr="00BA4F0F">
        <w:t>г/м</w:t>
      </w:r>
      <w:r w:rsidRPr="00BA4F0F">
        <w:rPr>
          <w:vertAlign w:val="superscript"/>
        </w:rPr>
        <w:t>2</w:t>
      </w:r>
      <w:r w:rsidRPr="00BA4F0F">
        <w:t xml:space="preserve"> + Г-КСФ в дозе 5 мкг/кг/сут (табл. </w:t>
      </w:r>
      <w:r w:rsidR="00650324">
        <w:t>А3.3.</w:t>
      </w:r>
      <w:r w:rsidRPr="00BA4F0F">
        <w:t>2).</w:t>
      </w:r>
    </w:p>
    <w:p w14:paraId="155CD309" w14:textId="77777777" w:rsidR="0049053C" w:rsidRPr="00BA4F0F" w:rsidRDefault="0049053C" w:rsidP="00650324">
      <w:pPr>
        <w:pStyle w:val="1ff0"/>
      </w:pPr>
      <w:r w:rsidRPr="00BA4F0F">
        <w:t>Ориентировочно через 7 дней после введения химиопрепарата отмечается развитие МТА, что является показанием для назначения Г-КСФ в дозе 5 мкг/кг/сут. В случае если МТА не развивается, доза Г-КСФ увеличивается до 10 мкг/кг/сут. На 6-8 день введения Г-КСФ начинаются процедуры лейкафереза. Медиана даты первого сбора ГСК – 15 день после введения циклофосфамида.</w:t>
      </w:r>
    </w:p>
    <w:p w14:paraId="2518BF83" w14:textId="77777777" w:rsidR="0049053C" w:rsidRPr="00BA4F0F" w:rsidRDefault="0049053C" w:rsidP="00650324">
      <w:pPr>
        <w:pStyle w:val="1ff0"/>
      </w:pPr>
    </w:p>
    <w:p w14:paraId="4177C3C1" w14:textId="33624345" w:rsidR="0049053C" w:rsidRPr="00BA4F0F" w:rsidRDefault="0049053C" w:rsidP="00650324">
      <w:pPr>
        <w:pStyle w:val="1ff0"/>
        <w:rPr>
          <w:bCs/>
        </w:rPr>
      </w:pPr>
      <w:r w:rsidRPr="00BA4F0F">
        <w:rPr>
          <w:bCs/>
        </w:rPr>
        <w:t xml:space="preserve">Таблица </w:t>
      </w:r>
      <w:r w:rsidR="00650324">
        <w:rPr>
          <w:bCs/>
        </w:rPr>
        <w:t>А3.3.</w:t>
      </w:r>
      <w:r w:rsidRPr="00BA4F0F">
        <w:rPr>
          <w:bCs/>
        </w:rPr>
        <w:t>2. Высокодозный циклофосфамид 4 г/м</w:t>
      </w:r>
      <w:r w:rsidRPr="00BA4F0F">
        <w:rPr>
          <w:bCs/>
          <w:vertAlign w:val="superscript"/>
        </w:rPr>
        <w:t xml:space="preserve">2 </w:t>
      </w:r>
      <w:r w:rsidRPr="00BA4F0F">
        <w:rPr>
          <w:bCs/>
        </w:rPr>
        <w:t>+ Г-КСФ 5 мкг/кг с сопроводительной терапией.</w:t>
      </w:r>
    </w:p>
    <w:tbl>
      <w:tblPr>
        <w:tblStyle w:val="aff9"/>
        <w:tblW w:w="0" w:type="auto"/>
        <w:tblLook w:val="04A0" w:firstRow="1" w:lastRow="0" w:firstColumn="1" w:lastColumn="0" w:noHBand="0" w:noVBand="1"/>
      </w:tblPr>
      <w:tblGrid>
        <w:gridCol w:w="2831"/>
        <w:gridCol w:w="3270"/>
        <w:gridCol w:w="2678"/>
      </w:tblGrid>
      <w:tr w:rsidR="0049053C" w:rsidRPr="00BA4F0F" w14:paraId="6AC3A923" w14:textId="77777777" w:rsidTr="003D0E86">
        <w:tc>
          <w:tcPr>
            <w:tcW w:w="2943" w:type="dxa"/>
          </w:tcPr>
          <w:p w14:paraId="2A9DA1AD" w14:textId="77777777" w:rsidR="0049053C" w:rsidRPr="00BA4F0F" w:rsidRDefault="0049053C" w:rsidP="00650324">
            <w:pPr>
              <w:spacing w:line="360" w:lineRule="auto"/>
              <w:rPr>
                <w:b/>
              </w:rPr>
            </w:pPr>
            <w:r w:rsidRPr="00BA4F0F">
              <w:rPr>
                <w:b/>
              </w:rPr>
              <w:t xml:space="preserve">Препарат </w:t>
            </w:r>
          </w:p>
        </w:tc>
        <w:tc>
          <w:tcPr>
            <w:tcW w:w="3686" w:type="dxa"/>
          </w:tcPr>
          <w:p w14:paraId="7C502629" w14:textId="77777777" w:rsidR="0049053C" w:rsidRPr="00BA4F0F" w:rsidRDefault="0049053C" w:rsidP="00650324">
            <w:pPr>
              <w:spacing w:line="360" w:lineRule="auto"/>
              <w:rPr>
                <w:b/>
              </w:rPr>
            </w:pPr>
            <w:r w:rsidRPr="00BA4F0F">
              <w:rPr>
                <w:b/>
              </w:rPr>
              <w:t>Дозировка, путь введения</w:t>
            </w:r>
          </w:p>
        </w:tc>
        <w:tc>
          <w:tcPr>
            <w:tcW w:w="2942" w:type="dxa"/>
          </w:tcPr>
          <w:p w14:paraId="29D4FB91" w14:textId="77777777" w:rsidR="0049053C" w:rsidRPr="00BA4F0F" w:rsidRDefault="0049053C" w:rsidP="00650324">
            <w:pPr>
              <w:spacing w:line="360" w:lineRule="auto"/>
              <w:rPr>
                <w:b/>
              </w:rPr>
            </w:pPr>
            <w:r w:rsidRPr="00BA4F0F">
              <w:rPr>
                <w:b/>
              </w:rPr>
              <w:t>День введения</w:t>
            </w:r>
          </w:p>
        </w:tc>
      </w:tr>
      <w:tr w:rsidR="0049053C" w:rsidRPr="00BA4F0F" w14:paraId="299CE5E2" w14:textId="77777777" w:rsidTr="003D0E86">
        <w:tc>
          <w:tcPr>
            <w:tcW w:w="2943" w:type="dxa"/>
          </w:tcPr>
          <w:p w14:paraId="6F3C9E25" w14:textId="77777777" w:rsidR="0049053C" w:rsidRPr="00BA4F0F" w:rsidRDefault="0049053C" w:rsidP="00650324">
            <w:pPr>
              <w:spacing w:line="360" w:lineRule="auto"/>
            </w:pPr>
            <w:r w:rsidRPr="00BA4F0F">
              <w:t>Внутривенные инфузии:</w:t>
            </w:r>
          </w:p>
        </w:tc>
        <w:tc>
          <w:tcPr>
            <w:tcW w:w="6628" w:type="dxa"/>
            <w:gridSpan w:val="2"/>
          </w:tcPr>
          <w:p w14:paraId="038BEA01" w14:textId="77777777" w:rsidR="0049053C" w:rsidRPr="00BA4F0F" w:rsidRDefault="0049053C" w:rsidP="00650324">
            <w:pPr>
              <w:spacing w:line="360" w:lineRule="auto"/>
            </w:pPr>
          </w:p>
        </w:tc>
      </w:tr>
      <w:tr w:rsidR="0049053C" w:rsidRPr="00BA4F0F" w14:paraId="3C681CAD" w14:textId="77777777" w:rsidTr="003D0E86">
        <w:tc>
          <w:tcPr>
            <w:tcW w:w="2943" w:type="dxa"/>
          </w:tcPr>
          <w:p w14:paraId="032BC774" w14:textId="77777777" w:rsidR="0049053C" w:rsidRPr="00BA4F0F" w:rsidRDefault="0049053C" w:rsidP="00650324">
            <w:pPr>
              <w:spacing w:line="360" w:lineRule="auto"/>
            </w:pPr>
            <w:r w:rsidRPr="00BA4F0F">
              <w:t>Циклофосфамид</w:t>
            </w:r>
          </w:p>
        </w:tc>
        <w:tc>
          <w:tcPr>
            <w:tcW w:w="3686" w:type="dxa"/>
          </w:tcPr>
          <w:p w14:paraId="418F5108" w14:textId="77777777" w:rsidR="0049053C" w:rsidRPr="00BA4F0F" w:rsidRDefault="0049053C" w:rsidP="00650324">
            <w:pPr>
              <w:spacing w:line="360" w:lineRule="auto"/>
            </w:pPr>
            <w:r w:rsidRPr="00BA4F0F">
              <w:t>4 г/м</w:t>
            </w:r>
            <w:r w:rsidRPr="00BA4F0F">
              <w:rPr>
                <w:vertAlign w:val="superscript"/>
              </w:rPr>
              <w:t>2</w:t>
            </w:r>
            <w:r w:rsidRPr="00BA4F0F">
              <w:t xml:space="preserve"> в/в капельно 5 раз в сутки (по 0,8 г/м</w:t>
            </w:r>
            <w:r w:rsidRPr="00BA4F0F">
              <w:rPr>
                <w:vertAlign w:val="superscript"/>
              </w:rPr>
              <w:t>2</w:t>
            </w:r>
            <w:r w:rsidRPr="00BA4F0F">
              <w:t>)</w:t>
            </w:r>
          </w:p>
        </w:tc>
        <w:tc>
          <w:tcPr>
            <w:tcW w:w="2942" w:type="dxa"/>
          </w:tcPr>
          <w:p w14:paraId="322479F9" w14:textId="77777777" w:rsidR="0049053C" w:rsidRPr="00BA4F0F" w:rsidRDefault="0049053C" w:rsidP="00650324">
            <w:pPr>
              <w:spacing w:line="360" w:lineRule="auto"/>
            </w:pPr>
            <w:r w:rsidRPr="00BA4F0F">
              <w:t>+1</w:t>
            </w:r>
          </w:p>
        </w:tc>
      </w:tr>
      <w:tr w:rsidR="0049053C" w:rsidRPr="00BA4F0F" w14:paraId="1D70094C" w14:textId="77777777" w:rsidTr="003D0E86">
        <w:tc>
          <w:tcPr>
            <w:tcW w:w="2943" w:type="dxa"/>
          </w:tcPr>
          <w:p w14:paraId="0120DCD0" w14:textId="77777777" w:rsidR="0049053C" w:rsidRPr="00BA4F0F" w:rsidRDefault="0049053C" w:rsidP="00650324">
            <w:pPr>
              <w:spacing w:line="360" w:lineRule="auto"/>
            </w:pPr>
            <w:r w:rsidRPr="00BA4F0F">
              <w:t>Уромитексан</w:t>
            </w:r>
          </w:p>
        </w:tc>
        <w:tc>
          <w:tcPr>
            <w:tcW w:w="3686" w:type="dxa"/>
          </w:tcPr>
          <w:p w14:paraId="64C3C15F" w14:textId="77777777" w:rsidR="0049053C" w:rsidRPr="00BA4F0F" w:rsidRDefault="0049053C" w:rsidP="00650324">
            <w:pPr>
              <w:spacing w:line="360" w:lineRule="auto"/>
            </w:pPr>
            <w:r w:rsidRPr="00BA4F0F">
              <w:t>2,4 мг/м</w:t>
            </w:r>
            <w:r w:rsidRPr="00BA4F0F">
              <w:rPr>
                <w:vertAlign w:val="superscript"/>
              </w:rPr>
              <w:t>2</w:t>
            </w:r>
            <w:r w:rsidRPr="00BA4F0F">
              <w:t xml:space="preserve"> в/в через инфузомат на 24 часа</w:t>
            </w:r>
          </w:p>
        </w:tc>
        <w:tc>
          <w:tcPr>
            <w:tcW w:w="2942" w:type="dxa"/>
          </w:tcPr>
          <w:p w14:paraId="44DE40FD" w14:textId="77777777" w:rsidR="0049053C" w:rsidRPr="00BA4F0F" w:rsidRDefault="0049053C" w:rsidP="00650324">
            <w:pPr>
              <w:spacing w:line="360" w:lineRule="auto"/>
            </w:pPr>
            <w:r w:rsidRPr="00BA4F0F">
              <w:t>+1</w:t>
            </w:r>
          </w:p>
        </w:tc>
      </w:tr>
      <w:tr w:rsidR="0049053C" w:rsidRPr="00BA4F0F" w14:paraId="7CCABF9F" w14:textId="77777777" w:rsidTr="003D0E86">
        <w:tc>
          <w:tcPr>
            <w:tcW w:w="2943" w:type="dxa"/>
          </w:tcPr>
          <w:p w14:paraId="6E2164D9" w14:textId="77777777" w:rsidR="0049053C" w:rsidRPr="00BA4F0F" w:rsidRDefault="0049053C" w:rsidP="00650324">
            <w:pPr>
              <w:spacing w:line="360" w:lineRule="auto"/>
            </w:pPr>
            <w:r w:rsidRPr="00BA4F0F">
              <w:t xml:space="preserve">Солевые растворы </w:t>
            </w:r>
          </w:p>
        </w:tc>
        <w:tc>
          <w:tcPr>
            <w:tcW w:w="3686" w:type="dxa"/>
          </w:tcPr>
          <w:p w14:paraId="1226DA89" w14:textId="77777777" w:rsidR="0049053C" w:rsidRPr="00BA4F0F" w:rsidRDefault="0049053C" w:rsidP="00650324">
            <w:pPr>
              <w:spacing w:line="360" w:lineRule="auto"/>
            </w:pPr>
            <w:r w:rsidRPr="00BA4F0F">
              <w:t>3л/м</w:t>
            </w:r>
            <w:r w:rsidRPr="00BA4F0F">
              <w:rPr>
                <w:vertAlign w:val="superscript"/>
              </w:rPr>
              <w:t xml:space="preserve">2 </w:t>
            </w:r>
            <w:r w:rsidRPr="00BA4F0F">
              <w:t>в/в капельно 4 раза в сутки</w:t>
            </w:r>
            <w:r w:rsidRPr="00BA4F0F">
              <w:rPr>
                <w:vertAlign w:val="superscript"/>
              </w:rPr>
              <w:t>*</w:t>
            </w:r>
          </w:p>
        </w:tc>
        <w:tc>
          <w:tcPr>
            <w:tcW w:w="2942" w:type="dxa"/>
          </w:tcPr>
          <w:p w14:paraId="779A7D6D" w14:textId="77777777" w:rsidR="0049053C" w:rsidRPr="00BA4F0F" w:rsidRDefault="0049053C" w:rsidP="00650324">
            <w:pPr>
              <w:spacing w:line="360" w:lineRule="auto"/>
            </w:pPr>
            <w:r w:rsidRPr="00BA4F0F">
              <w:t>+1 - +5 (далее по показаниям)</w:t>
            </w:r>
          </w:p>
        </w:tc>
      </w:tr>
      <w:tr w:rsidR="0049053C" w:rsidRPr="00BA4F0F" w14:paraId="327603B4" w14:textId="77777777" w:rsidTr="003D0E86">
        <w:tc>
          <w:tcPr>
            <w:tcW w:w="2943" w:type="dxa"/>
          </w:tcPr>
          <w:p w14:paraId="09262EE0" w14:textId="77777777" w:rsidR="0049053C" w:rsidRPr="00BA4F0F" w:rsidRDefault="0049053C" w:rsidP="00650324">
            <w:pPr>
              <w:spacing w:line="360" w:lineRule="auto"/>
            </w:pPr>
            <w:r w:rsidRPr="00BA4F0F">
              <w:t>Противорвотные средства:</w:t>
            </w:r>
          </w:p>
          <w:p w14:paraId="18E10172" w14:textId="77777777" w:rsidR="0049053C" w:rsidRPr="00BA4F0F" w:rsidRDefault="0049053C" w:rsidP="00650324">
            <w:pPr>
              <w:spacing w:line="360" w:lineRule="auto"/>
            </w:pPr>
            <w:r w:rsidRPr="00BA4F0F">
              <w:lastRenderedPageBreak/>
              <w:t xml:space="preserve">ондансетрон </w:t>
            </w:r>
          </w:p>
        </w:tc>
        <w:tc>
          <w:tcPr>
            <w:tcW w:w="3686" w:type="dxa"/>
          </w:tcPr>
          <w:p w14:paraId="0B01437D" w14:textId="77777777" w:rsidR="0049053C" w:rsidRPr="00BA4F0F" w:rsidRDefault="0049053C" w:rsidP="00650324">
            <w:pPr>
              <w:spacing w:line="360" w:lineRule="auto"/>
            </w:pPr>
            <w:r w:rsidRPr="00BA4F0F">
              <w:lastRenderedPageBreak/>
              <w:t xml:space="preserve">8 мг в/в капельно 3 раза в сутки </w:t>
            </w:r>
          </w:p>
        </w:tc>
        <w:tc>
          <w:tcPr>
            <w:tcW w:w="2942" w:type="dxa"/>
          </w:tcPr>
          <w:p w14:paraId="4A86DA6A" w14:textId="77777777" w:rsidR="0049053C" w:rsidRPr="00BA4F0F" w:rsidRDefault="0049053C" w:rsidP="00650324">
            <w:pPr>
              <w:spacing w:line="360" w:lineRule="auto"/>
            </w:pPr>
            <w:r w:rsidRPr="00BA4F0F">
              <w:t>-1 - +2 (далее по показаниям)</w:t>
            </w:r>
          </w:p>
        </w:tc>
      </w:tr>
      <w:tr w:rsidR="0049053C" w:rsidRPr="00BA4F0F" w14:paraId="76373843" w14:textId="77777777" w:rsidTr="003D0E86">
        <w:tc>
          <w:tcPr>
            <w:tcW w:w="2943" w:type="dxa"/>
          </w:tcPr>
          <w:p w14:paraId="7478D925" w14:textId="77777777" w:rsidR="0049053C" w:rsidRPr="00BA4F0F" w:rsidRDefault="0049053C" w:rsidP="00650324">
            <w:pPr>
              <w:spacing w:line="360" w:lineRule="auto"/>
            </w:pPr>
            <w:r w:rsidRPr="00BA4F0F">
              <w:t>Гепарин</w:t>
            </w:r>
          </w:p>
        </w:tc>
        <w:tc>
          <w:tcPr>
            <w:tcW w:w="3686" w:type="dxa"/>
          </w:tcPr>
          <w:p w14:paraId="5B2F4897" w14:textId="77777777" w:rsidR="0049053C" w:rsidRPr="00BA4F0F" w:rsidRDefault="0049053C" w:rsidP="00650324">
            <w:pPr>
              <w:spacing w:line="360" w:lineRule="auto"/>
            </w:pPr>
            <w:r w:rsidRPr="00BA4F0F">
              <w:t>12000 ЕД в/в через инфузомат на 24 часа</w:t>
            </w:r>
          </w:p>
        </w:tc>
        <w:tc>
          <w:tcPr>
            <w:tcW w:w="2942" w:type="dxa"/>
          </w:tcPr>
          <w:p w14:paraId="4000B547" w14:textId="77777777" w:rsidR="0049053C" w:rsidRPr="00BA4F0F" w:rsidRDefault="0049053C" w:rsidP="00650324">
            <w:pPr>
              <w:spacing w:line="360" w:lineRule="auto"/>
            </w:pPr>
            <w:r w:rsidRPr="00BA4F0F">
              <w:t xml:space="preserve">-1 - +14 </w:t>
            </w:r>
          </w:p>
        </w:tc>
      </w:tr>
      <w:tr w:rsidR="0049053C" w:rsidRPr="00BA4F0F" w14:paraId="6DC0867B" w14:textId="77777777" w:rsidTr="003D0E86">
        <w:tc>
          <w:tcPr>
            <w:tcW w:w="2943" w:type="dxa"/>
          </w:tcPr>
          <w:p w14:paraId="3F764984" w14:textId="77777777" w:rsidR="0049053C" w:rsidRPr="00BA4F0F" w:rsidRDefault="0049053C" w:rsidP="00650324">
            <w:pPr>
              <w:spacing w:line="360" w:lineRule="auto"/>
            </w:pPr>
            <w:r w:rsidRPr="00BA4F0F">
              <w:t>Допамин 4%</w:t>
            </w:r>
          </w:p>
        </w:tc>
        <w:tc>
          <w:tcPr>
            <w:tcW w:w="3686" w:type="dxa"/>
          </w:tcPr>
          <w:p w14:paraId="37EF2B70" w14:textId="77777777" w:rsidR="0049053C" w:rsidRPr="00BA4F0F" w:rsidRDefault="0049053C" w:rsidP="00650324">
            <w:pPr>
              <w:spacing w:line="360" w:lineRule="auto"/>
            </w:pPr>
            <w:r w:rsidRPr="00BA4F0F">
              <w:t>0,5 мг в/в через инфузомат на 24 часа</w:t>
            </w:r>
          </w:p>
        </w:tc>
        <w:tc>
          <w:tcPr>
            <w:tcW w:w="2942" w:type="dxa"/>
          </w:tcPr>
          <w:p w14:paraId="6D624366" w14:textId="77777777" w:rsidR="0049053C" w:rsidRPr="00BA4F0F" w:rsidRDefault="0049053C" w:rsidP="00650324">
            <w:pPr>
              <w:spacing w:line="360" w:lineRule="auto"/>
            </w:pPr>
            <w:r w:rsidRPr="00BA4F0F">
              <w:t>-1 - +1</w:t>
            </w:r>
          </w:p>
        </w:tc>
      </w:tr>
      <w:tr w:rsidR="0049053C" w:rsidRPr="00BA4F0F" w14:paraId="1DC305BE" w14:textId="77777777" w:rsidTr="003D0E86">
        <w:tc>
          <w:tcPr>
            <w:tcW w:w="2943" w:type="dxa"/>
          </w:tcPr>
          <w:p w14:paraId="0DF40237" w14:textId="77777777" w:rsidR="0049053C" w:rsidRPr="00BA4F0F" w:rsidRDefault="0049053C" w:rsidP="00650324">
            <w:pPr>
              <w:spacing w:line="360" w:lineRule="auto"/>
            </w:pPr>
            <w:r w:rsidRPr="00BA4F0F">
              <w:t>Фуросемид</w:t>
            </w:r>
          </w:p>
        </w:tc>
        <w:tc>
          <w:tcPr>
            <w:tcW w:w="3686" w:type="dxa"/>
          </w:tcPr>
          <w:p w14:paraId="6505B040" w14:textId="77777777" w:rsidR="0049053C" w:rsidRPr="00BA4F0F" w:rsidRDefault="0049053C" w:rsidP="00650324">
            <w:pPr>
              <w:spacing w:line="360" w:lineRule="auto"/>
            </w:pPr>
            <w:r w:rsidRPr="00BA4F0F">
              <w:t>20 мг в/в струйно 3 раза в сутки</w:t>
            </w:r>
          </w:p>
        </w:tc>
        <w:tc>
          <w:tcPr>
            <w:tcW w:w="2942" w:type="dxa"/>
          </w:tcPr>
          <w:p w14:paraId="264770E7" w14:textId="77777777" w:rsidR="0049053C" w:rsidRPr="00BA4F0F" w:rsidRDefault="0049053C" w:rsidP="00650324">
            <w:pPr>
              <w:spacing w:line="360" w:lineRule="auto"/>
            </w:pPr>
            <w:r w:rsidRPr="00BA4F0F">
              <w:t>+1 - +3</w:t>
            </w:r>
          </w:p>
        </w:tc>
      </w:tr>
      <w:tr w:rsidR="0049053C" w:rsidRPr="00BA4F0F" w14:paraId="659C5655" w14:textId="77777777" w:rsidTr="003D0E86">
        <w:tc>
          <w:tcPr>
            <w:tcW w:w="2943" w:type="dxa"/>
          </w:tcPr>
          <w:p w14:paraId="5DC009DC" w14:textId="77777777" w:rsidR="0049053C" w:rsidRPr="00BA4F0F" w:rsidRDefault="0049053C" w:rsidP="00650324">
            <w:pPr>
              <w:spacing w:line="360" w:lineRule="auto"/>
            </w:pPr>
            <w:r w:rsidRPr="00BA4F0F">
              <w:t>Таблетированные препараты:</w:t>
            </w:r>
          </w:p>
        </w:tc>
        <w:tc>
          <w:tcPr>
            <w:tcW w:w="6628" w:type="dxa"/>
            <w:gridSpan w:val="2"/>
          </w:tcPr>
          <w:p w14:paraId="2B4733D6" w14:textId="77777777" w:rsidR="0049053C" w:rsidRPr="00BA4F0F" w:rsidRDefault="0049053C" w:rsidP="00650324">
            <w:pPr>
              <w:spacing w:line="360" w:lineRule="auto"/>
            </w:pPr>
          </w:p>
        </w:tc>
      </w:tr>
      <w:tr w:rsidR="0049053C" w:rsidRPr="00BA4F0F" w14:paraId="596AA33B" w14:textId="77777777" w:rsidTr="003D0E86">
        <w:tc>
          <w:tcPr>
            <w:tcW w:w="2943" w:type="dxa"/>
          </w:tcPr>
          <w:p w14:paraId="39A8E08F" w14:textId="77777777" w:rsidR="0049053C" w:rsidRPr="00BA4F0F" w:rsidRDefault="0049053C" w:rsidP="00650324">
            <w:pPr>
              <w:spacing w:line="360" w:lineRule="auto"/>
            </w:pPr>
            <w:r w:rsidRPr="00BA4F0F">
              <w:t>Аллопуринол</w:t>
            </w:r>
          </w:p>
        </w:tc>
        <w:tc>
          <w:tcPr>
            <w:tcW w:w="3686" w:type="dxa"/>
          </w:tcPr>
          <w:p w14:paraId="1EBB9416" w14:textId="77777777" w:rsidR="0049053C" w:rsidRPr="00BA4F0F" w:rsidRDefault="0049053C" w:rsidP="00650324">
            <w:pPr>
              <w:spacing w:line="360" w:lineRule="auto"/>
            </w:pPr>
            <w:r w:rsidRPr="00BA4F0F">
              <w:t>200 мг/м</w:t>
            </w:r>
            <w:r w:rsidRPr="00BA4F0F">
              <w:rPr>
                <w:vertAlign w:val="superscript"/>
              </w:rPr>
              <w:t>2</w:t>
            </w:r>
            <w:r w:rsidRPr="00BA4F0F">
              <w:t xml:space="preserve"> внутрь </w:t>
            </w:r>
          </w:p>
        </w:tc>
        <w:tc>
          <w:tcPr>
            <w:tcW w:w="2942" w:type="dxa"/>
          </w:tcPr>
          <w:p w14:paraId="1D2CC412" w14:textId="77777777" w:rsidR="0049053C" w:rsidRPr="00BA4F0F" w:rsidRDefault="0049053C" w:rsidP="00650324">
            <w:pPr>
              <w:spacing w:line="360" w:lineRule="auto"/>
            </w:pPr>
            <w:r w:rsidRPr="00BA4F0F">
              <w:t xml:space="preserve">+1 - +3 </w:t>
            </w:r>
          </w:p>
        </w:tc>
      </w:tr>
      <w:tr w:rsidR="0049053C" w:rsidRPr="00BA4F0F" w14:paraId="6265271A" w14:textId="77777777" w:rsidTr="003D0E86">
        <w:tc>
          <w:tcPr>
            <w:tcW w:w="2943" w:type="dxa"/>
          </w:tcPr>
          <w:p w14:paraId="6B04ED37" w14:textId="77777777" w:rsidR="0049053C" w:rsidRPr="00BA4F0F" w:rsidRDefault="0049053C" w:rsidP="00650324">
            <w:pPr>
              <w:spacing w:line="360" w:lineRule="auto"/>
            </w:pPr>
            <w:r w:rsidRPr="00BA4F0F">
              <w:t>Противосудорожные средства:</w:t>
            </w:r>
          </w:p>
          <w:p w14:paraId="370D4E91" w14:textId="77777777" w:rsidR="0049053C" w:rsidRPr="00BA4F0F" w:rsidRDefault="0049053C" w:rsidP="00650324">
            <w:pPr>
              <w:spacing w:line="360" w:lineRule="auto"/>
            </w:pPr>
            <w:r w:rsidRPr="00BA4F0F">
              <w:t>карбамазепин</w:t>
            </w:r>
          </w:p>
        </w:tc>
        <w:tc>
          <w:tcPr>
            <w:tcW w:w="3686" w:type="dxa"/>
          </w:tcPr>
          <w:p w14:paraId="148BE69F" w14:textId="77777777" w:rsidR="0049053C" w:rsidRPr="00BA4F0F" w:rsidRDefault="0049053C" w:rsidP="00650324">
            <w:pPr>
              <w:spacing w:line="360" w:lineRule="auto"/>
            </w:pPr>
          </w:p>
          <w:p w14:paraId="561B2259" w14:textId="77777777" w:rsidR="0049053C" w:rsidRPr="00BA4F0F" w:rsidRDefault="0049053C" w:rsidP="00650324">
            <w:pPr>
              <w:spacing w:line="360" w:lineRule="auto"/>
            </w:pPr>
          </w:p>
          <w:p w14:paraId="6A01A033" w14:textId="77777777" w:rsidR="0049053C" w:rsidRPr="00BA4F0F" w:rsidRDefault="0049053C" w:rsidP="00650324">
            <w:pPr>
              <w:spacing w:line="360" w:lineRule="auto"/>
            </w:pPr>
            <w:r w:rsidRPr="00BA4F0F">
              <w:t xml:space="preserve">200 мг внутрь на ночь </w:t>
            </w:r>
          </w:p>
        </w:tc>
        <w:tc>
          <w:tcPr>
            <w:tcW w:w="2942" w:type="dxa"/>
          </w:tcPr>
          <w:p w14:paraId="5B6BA5A2" w14:textId="77777777" w:rsidR="0049053C" w:rsidRPr="00BA4F0F" w:rsidRDefault="0049053C" w:rsidP="00650324">
            <w:pPr>
              <w:spacing w:line="360" w:lineRule="auto"/>
            </w:pPr>
          </w:p>
          <w:p w14:paraId="4BBE2146" w14:textId="77777777" w:rsidR="0049053C" w:rsidRPr="00BA4F0F" w:rsidRDefault="0049053C" w:rsidP="00650324">
            <w:pPr>
              <w:spacing w:line="360" w:lineRule="auto"/>
            </w:pPr>
          </w:p>
          <w:p w14:paraId="580F6A12" w14:textId="77777777" w:rsidR="0049053C" w:rsidRPr="00BA4F0F" w:rsidRDefault="0049053C" w:rsidP="00650324">
            <w:pPr>
              <w:spacing w:line="360" w:lineRule="auto"/>
            </w:pPr>
            <w:r w:rsidRPr="00BA4F0F">
              <w:t>-1 - +1</w:t>
            </w:r>
          </w:p>
        </w:tc>
      </w:tr>
      <w:tr w:rsidR="0049053C" w:rsidRPr="00BA4F0F" w14:paraId="3D93B2CF" w14:textId="77777777" w:rsidTr="003D0E86">
        <w:tc>
          <w:tcPr>
            <w:tcW w:w="2943" w:type="dxa"/>
          </w:tcPr>
          <w:p w14:paraId="5D9A063B" w14:textId="77777777" w:rsidR="0049053C" w:rsidRPr="00BA4F0F" w:rsidRDefault="0049053C" w:rsidP="00650324">
            <w:pPr>
              <w:spacing w:line="360" w:lineRule="auto"/>
            </w:pPr>
            <w:r w:rsidRPr="00BA4F0F">
              <w:t xml:space="preserve">Обработка полости рта растворами антисептиков </w:t>
            </w:r>
          </w:p>
        </w:tc>
        <w:tc>
          <w:tcPr>
            <w:tcW w:w="3686" w:type="dxa"/>
          </w:tcPr>
          <w:p w14:paraId="78EDF3F3" w14:textId="77777777" w:rsidR="0049053C" w:rsidRPr="00BA4F0F" w:rsidRDefault="0049053C" w:rsidP="00650324">
            <w:pPr>
              <w:spacing w:line="360" w:lineRule="auto"/>
            </w:pPr>
            <w:r w:rsidRPr="00BA4F0F">
              <w:t>многократно</w:t>
            </w:r>
          </w:p>
        </w:tc>
        <w:tc>
          <w:tcPr>
            <w:tcW w:w="2942" w:type="dxa"/>
          </w:tcPr>
          <w:p w14:paraId="5BB4AE68" w14:textId="77777777" w:rsidR="0049053C" w:rsidRPr="00BA4F0F" w:rsidRDefault="0049053C" w:rsidP="00650324">
            <w:pPr>
              <w:spacing w:line="360" w:lineRule="auto"/>
            </w:pPr>
            <w:r w:rsidRPr="00BA4F0F">
              <w:t>весь период мобилизации</w:t>
            </w:r>
          </w:p>
        </w:tc>
      </w:tr>
      <w:tr w:rsidR="0049053C" w:rsidRPr="00BA4F0F" w14:paraId="1DF7D365" w14:textId="77777777" w:rsidTr="003D0E86">
        <w:tc>
          <w:tcPr>
            <w:tcW w:w="2943" w:type="dxa"/>
          </w:tcPr>
          <w:p w14:paraId="663F7FAC" w14:textId="77777777" w:rsidR="0049053C" w:rsidRPr="00BA4F0F" w:rsidRDefault="0049053C" w:rsidP="00650324">
            <w:pPr>
              <w:spacing w:line="360" w:lineRule="auto"/>
            </w:pPr>
            <w:r w:rsidRPr="00BA4F0F">
              <w:t>Стимуляция:</w:t>
            </w:r>
          </w:p>
        </w:tc>
        <w:tc>
          <w:tcPr>
            <w:tcW w:w="6628" w:type="dxa"/>
            <w:gridSpan w:val="2"/>
          </w:tcPr>
          <w:p w14:paraId="2D11C679" w14:textId="77777777" w:rsidR="0049053C" w:rsidRPr="00BA4F0F" w:rsidRDefault="0049053C" w:rsidP="00650324">
            <w:pPr>
              <w:spacing w:line="360" w:lineRule="auto"/>
            </w:pPr>
          </w:p>
        </w:tc>
      </w:tr>
      <w:tr w:rsidR="0049053C" w:rsidRPr="00BA4F0F" w14:paraId="586FB6EA" w14:textId="77777777" w:rsidTr="003D0E86">
        <w:tc>
          <w:tcPr>
            <w:tcW w:w="2943" w:type="dxa"/>
          </w:tcPr>
          <w:p w14:paraId="47758F73" w14:textId="77777777" w:rsidR="0049053C" w:rsidRPr="00BA4F0F" w:rsidRDefault="0049053C" w:rsidP="00650324">
            <w:pPr>
              <w:spacing w:line="360" w:lineRule="auto"/>
            </w:pPr>
            <w:r w:rsidRPr="00BA4F0F">
              <w:t>Г-КСФ</w:t>
            </w:r>
          </w:p>
        </w:tc>
        <w:tc>
          <w:tcPr>
            <w:tcW w:w="3686" w:type="dxa"/>
          </w:tcPr>
          <w:p w14:paraId="040D0CBE" w14:textId="77777777" w:rsidR="0049053C" w:rsidRPr="00BA4F0F" w:rsidRDefault="0049053C" w:rsidP="00650324">
            <w:pPr>
              <w:spacing w:line="360" w:lineRule="auto"/>
            </w:pPr>
            <w:r w:rsidRPr="00BA4F0F">
              <w:t>5 мкг/кг в сутки подкожно</w:t>
            </w:r>
            <w:r w:rsidRPr="00BA4F0F">
              <w:rPr>
                <w:vertAlign w:val="superscript"/>
              </w:rPr>
              <w:t>**</w:t>
            </w:r>
          </w:p>
        </w:tc>
        <w:tc>
          <w:tcPr>
            <w:tcW w:w="2942" w:type="dxa"/>
          </w:tcPr>
          <w:p w14:paraId="03AE7FF6" w14:textId="77777777" w:rsidR="0049053C" w:rsidRPr="00BA4F0F" w:rsidRDefault="0049053C" w:rsidP="00650324">
            <w:pPr>
              <w:spacing w:line="360" w:lineRule="auto"/>
            </w:pPr>
            <w:r w:rsidRPr="00BA4F0F">
              <w:t>с момента снижения числа лейкоцитов менее 1х10</w:t>
            </w:r>
            <w:r w:rsidRPr="00BA4F0F">
              <w:rPr>
                <w:vertAlign w:val="superscript"/>
              </w:rPr>
              <w:t>9</w:t>
            </w:r>
            <w:r w:rsidRPr="00BA4F0F">
              <w:t>/л.</w:t>
            </w:r>
          </w:p>
        </w:tc>
      </w:tr>
    </w:tbl>
    <w:p w14:paraId="7F991EB4" w14:textId="77777777" w:rsidR="00650324" w:rsidRDefault="0049053C" w:rsidP="00650324">
      <w:pPr>
        <w:pStyle w:val="1ff0"/>
        <w:rPr>
          <w:i/>
        </w:rPr>
      </w:pPr>
      <w:r w:rsidRPr="00BA4F0F">
        <w:rPr>
          <w:i/>
        </w:rPr>
        <w:t xml:space="preserve">Примечание: </w:t>
      </w:r>
    </w:p>
    <w:p w14:paraId="50C911D6" w14:textId="512E7DB3" w:rsidR="0049053C" w:rsidRPr="00BA4F0F" w:rsidRDefault="0049053C" w:rsidP="00650324">
      <w:pPr>
        <w:pStyle w:val="1ff0"/>
      </w:pPr>
      <w:r w:rsidRPr="00BA4F0F">
        <w:rPr>
          <w:i/>
          <w:vertAlign w:val="superscript"/>
        </w:rPr>
        <w:t>*</w:t>
      </w:r>
      <w:r w:rsidRPr="00BA4F0F">
        <w:rPr>
          <w:i/>
        </w:rPr>
        <w:t xml:space="preserve"> </w:t>
      </w:r>
      <w:r w:rsidRPr="00BA4F0F">
        <w:t xml:space="preserve">с +3 дня терапии объем вводимых растворов уменьшается в 2 раза. </w:t>
      </w:r>
    </w:p>
    <w:p w14:paraId="4CBE2EFC" w14:textId="303BE810" w:rsidR="0049053C" w:rsidRPr="00BA4F0F" w:rsidRDefault="0049053C" w:rsidP="00650324">
      <w:pPr>
        <w:pStyle w:val="1ff0"/>
      </w:pPr>
      <w:r w:rsidRPr="00BA4F0F">
        <w:rPr>
          <w:vertAlign w:val="superscript"/>
        </w:rPr>
        <w:t>**</w:t>
      </w:r>
      <w:r w:rsidRPr="00BA4F0F">
        <w:t xml:space="preserve"> при отсутствии снижения числа лейкоцитов возможно увеличение дозы Г-КСФ до 10 мкг/кг/сут.</w:t>
      </w:r>
    </w:p>
    <w:p w14:paraId="371D5722" w14:textId="77777777" w:rsidR="0049053C" w:rsidRPr="00BA4F0F" w:rsidRDefault="0049053C" w:rsidP="00650324">
      <w:pPr>
        <w:pStyle w:val="1ff0"/>
        <w:rPr>
          <w:b/>
        </w:rPr>
      </w:pPr>
    </w:p>
    <w:p w14:paraId="7BA4882B" w14:textId="77777777" w:rsidR="0049053C" w:rsidRPr="00BA4F0F" w:rsidRDefault="0049053C" w:rsidP="00650324">
      <w:pPr>
        <w:pStyle w:val="1ff0"/>
        <w:rPr>
          <w:u w:val="single"/>
        </w:rPr>
      </w:pPr>
      <w:bookmarkStart w:id="105" w:name="_Toc44926607"/>
      <w:r w:rsidRPr="00BA4F0F">
        <w:rPr>
          <w:u w:val="single"/>
        </w:rPr>
        <w:t>Г-КСФ в сочетании с плериксафором</w:t>
      </w:r>
      <w:bookmarkEnd w:id="105"/>
    </w:p>
    <w:p w14:paraId="7208CB22" w14:textId="77777777" w:rsidR="0049053C" w:rsidRPr="00C63399" w:rsidRDefault="0049053C" w:rsidP="00650324">
      <w:pPr>
        <w:pStyle w:val="1ff0"/>
        <w:rPr>
          <w:b/>
          <w:i/>
        </w:rPr>
      </w:pPr>
      <w:r w:rsidRPr="00C63399">
        <w:rPr>
          <w:b/>
          <w:i/>
        </w:rPr>
        <w:t>Показания</w:t>
      </w:r>
    </w:p>
    <w:p w14:paraId="5665DEBF" w14:textId="176AC8AF" w:rsidR="0049053C" w:rsidRPr="00BA4F0F" w:rsidRDefault="0049053C" w:rsidP="00650324">
      <w:pPr>
        <w:pStyle w:val="1ff0"/>
      </w:pPr>
      <w:r w:rsidRPr="00BA4F0F">
        <w:t>Повторная мобилизация после неудачи первой мобилизации ГСК схемами, включающими миелосупрессивные препараты в сочетании с Г-КСФ или применения Г-КСФ в монорежиме у пациентов с лимфомами;</w:t>
      </w:r>
    </w:p>
    <w:p w14:paraId="1D1F27EB" w14:textId="76A1A0E3" w:rsidR="0049053C" w:rsidRPr="00BA4F0F" w:rsidRDefault="0049053C" w:rsidP="00650324">
      <w:pPr>
        <w:pStyle w:val="1ff0"/>
      </w:pPr>
      <w:r w:rsidRPr="00BA4F0F">
        <w:t>Неудовлетворительные результаты текущей мобилизации у пациентов с лимфомами.</w:t>
      </w:r>
    </w:p>
    <w:p w14:paraId="4F4B36BD" w14:textId="77777777" w:rsidR="0049053C" w:rsidRPr="00BA4F0F" w:rsidRDefault="0049053C" w:rsidP="00650324">
      <w:pPr>
        <w:pStyle w:val="1ff0"/>
      </w:pPr>
      <w:r w:rsidRPr="00BA4F0F">
        <w:t>Неудовлетворительные результаты текущей мобилизации:</w:t>
      </w:r>
    </w:p>
    <w:p w14:paraId="137FDEBC" w14:textId="03711D28" w:rsidR="0049053C" w:rsidRPr="00BA4F0F" w:rsidRDefault="0049053C" w:rsidP="00FE0193">
      <w:pPr>
        <w:pStyle w:val="1ff0"/>
        <w:numPr>
          <w:ilvl w:val="0"/>
          <w:numId w:val="92"/>
        </w:numPr>
      </w:pPr>
      <w:r w:rsidRPr="00BA4F0F">
        <w:lastRenderedPageBreak/>
        <w:t>количество CD34+ клеток в периферической крови в день предполагаемого первого лейкафереза менее 10 клеток/мкл (при планируемой одной аутотрансплантации) и 10-20 клеток/мкл (при планируемой тандемной аутотрансплантации);</w:t>
      </w:r>
    </w:p>
    <w:p w14:paraId="2B907F41" w14:textId="25782F8B" w:rsidR="0049053C" w:rsidRPr="00BA4F0F" w:rsidRDefault="0049053C" w:rsidP="00FE0193">
      <w:pPr>
        <w:pStyle w:val="1ff0"/>
        <w:numPr>
          <w:ilvl w:val="0"/>
          <w:numId w:val="92"/>
        </w:numPr>
      </w:pPr>
      <w:r w:rsidRPr="00BA4F0F">
        <w:t>за первый лейкаферез заготовлено менее 30-50% от необходимого количества CD34+ клеток.</w:t>
      </w:r>
    </w:p>
    <w:p w14:paraId="616EB9DA" w14:textId="77777777" w:rsidR="0049053C" w:rsidRPr="00BA4F0F" w:rsidRDefault="0049053C" w:rsidP="00650324">
      <w:pPr>
        <w:pStyle w:val="1ff0"/>
        <w:rPr>
          <w:b/>
        </w:rPr>
      </w:pPr>
    </w:p>
    <w:p w14:paraId="6FDCC6D8" w14:textId="77777777" w:rsidR="0049053C" w:rsidRPr="00BA4F0F" w:rsidRDefault="0049053C" w:rsidP="00650324">
      <w:pPr>
        <w:pStyle w:val="1ff0"/>
        <w:rPr>
          <w:b/>
          <w:i/>
        </w:rPr>
      </w:pPr>
      <w:r w:rsidRPr="00BA4F0F">
        <w:rPr>
          <w:b/>
          <w:i/>
        </w:rPr>
        <w:t>Схема мобилизации ГСК</w:t>
      </w:r>
    </w:p>
    <w:p w14:paraId="03C546D5" w14:textId="313E112C" w:rsidR="0049053C" w:rsidRPr="00BA4F0F" w:rsidRDefault="0049053C" w:rsidP="00650324">
      <w:pPr>
        <w:pStyle w:val="1ff0"/>
      </w:pPr>
      <w:r w:rsidRPr="00BA4F0F">
        <w:t xml:space="preserve">Г-КСФ назначают в дозе 10 мкг/кг/сутки, вводят подкожно утром. На четвертый день введения Г-КСФ плериксафор назначается за 12 часов до лейкафереза в дозе 240 мкг/кг подкожно. По результатам лейкафереза решается вопрос о необходимости повторного введения плериксафора (таблица </w:t>
      </w:r>
      <w:r w:rsidR="00650324">
        <w:t>А3.3.</w:t>
      </w:r>
      <w:r w:rsidRPr="00BA4F0F">
        <w:t>3). Возможно применение нескольких введений плериксафора.</w:t>
      </w:r>
    </w:p>
    <w:p w14:paraId="423AFE52" w14:textId="77777777" w:rsidR="0049053C" w:rsidRPr="00BA4F0F" w:rsidRDefault="0049053C" w:rsidP="00650324">
      <w:pPr>
        <w:pStyle w:val="1ff0"/>
      </w:pPr>
    </w:p>
    <w:p w14:paraId="6C3B5851" w14:textId="647BF275" w:rsidR="0049053C" w:rsidRPr="00BA4F0F" w:rsidRDefault="0049053C" w:rsidP="00650324">
      <w:pPr>
        <w:pStyle w:val="1ff0"/>
      </w:pPr>
      <w:r w:rsidRPr="00BA4F0F">
        <w:t xml:space="preserve">Таблица </w:t>
      </w:r>
      <w:r w:rsidR="00650324">
        <w:t>А3.3.</w:t>
      </w:r>
      <w:r w:rsidRPr="00BA4F0F">
        <w:t xml:space="preserve">3. Схема мобилизации ГСК «Г-КСФ + плериксафор» </w:t>
      </w:r>
    </w:p>
    <w:tbl>
      <w:tblPr>
        <w:tblStyle w:val="1f3"/>
        <w:tblW w:w="0" w:type="auto"/>
        <w:jc w:val="center"/>
        <w:tblLook w:val="04A0" w:firstRow="1" w:lastRow="0" w:firstColumn="1" w:lastColumn="0" w:noHBand="0" w:noVBand="1"/>
      </w:tblPr>
      <w:tblGrid>
        <w:gridCol w:w="1651"/>
        <w:gridCol w:w="1133"/>
        <w:gridCol w:w="1129"/>
        <w:gridCol w:w="1129"/>
        <w:gridCol w:w="1132"/>
        <w:gridCol w:w="1133"/>
        <w:gridCol w:w="1133"/>
      </w:tblGrid>
      <w:tr w:rsidR="0049053C" w:rsidRPr="00BA4F0F" w14:paraId="495529A1" w14:textId="77777777" w:rsidTr="003D0E86">
        <w:trPr>
          <w:jc w:val="center"/>
        </w:trPr>
        <w:tc>
          <w:tcPr>
            <w:tcW w:w="1651" w:type="dxa"/>
          </w:tcPr>
          <w:p w14:paraId="3BB81509" w14:textId="77777777" w:rsidR="0049053C" w:rsidRPr="00BA4F0F" w:rsidRDefault="0049053C" w:rsidP="00650324">
            <w:pPr>
              <w:spacing w:line="360" w:lineRule="auto"/>
            </w:pPr>
            <w:r w:rsidRPr="00BA4F0F">
              <w:t>Дни</w:t>
            </w:r>
          </w:p>
        </w:tc>
        <w:tc>
          <w:tcPr>
            <w:tcW w:w="1133" w:type="dxa"/>
          </w:tcPr>
          <w:p w14:paraId="200BCC9E" w14:textId="77777777" w:rsidR="0049053C" w:rsidRPr="00BA4F0F" w:rsidRDefault="0049053C" w:rsidP="00650324">
            <w:pPr>
              <w:spacing w:line="360" w:lineRule="auto"/>
            </w:pPr>
            <w:r w:rsidRPr="00BA4F0F">
              <w:t>1</w:t>
            </w:r>
          </w:p>
        </w:tc>
        <w:tc>
          <w:tcPr>
            <w:tcW w:w="1129" w:type="dxa"/>
          </w:tcPr>
          <w:p w14:paraId="7FB594C6" w14:textId="77777777" w:rsidR="0049053C" w:rsidRPr="00BA4F0F" w:rsidRDefault="0049053C" w:rsidP="00650324">
            <w:pPr>
              <w:spacing w:line="360" w:lineRule="auto"/>
            </w:pPr>
            <w:r w:rsidRPr="00BA4F0F">
              <w:t>2</w:t>
            </w:r>
          </w:p>
        </w:tc>
        <w:tc>
          <w:tcPr>
            <w:tcW w:w="1129" w:type="dxa"/>
          </w:tcPr>
          <w:p w14:paraId="741965CA" w14:textId="77777777" w:rsidR="0049053C" w:rsidRPr="00BA4F0F" w:rsidRDefault="0049053C" w:rsidP="00650324">
            <w:pPr>
              <w:spacing w:line="360" w:lineRule="auto"/>
            </w:pPr>
            <w:r w:rsidRPr="00BA4F0F">
              <w:t>3</w:t>
            </w:r>
          </w:p>
        </w:tc>
        <w:tc>
          <w:tcPr>
            <w:tcW w:w="1132" w:type="dxa"/>
          </w:tcPr>
          <w:p w14:paraId="0D62EBF3" w14:textId="77777777" w:rsidR="0049053C" w:rsidRPr="00BA4F0F" w:rsidRDefault="0049053C" w:rsidP="00650324">
            <w:pPr>
              <w:spacing w:line="360" w:lineRule="auto"/>
            </w:pPr>
            <w:r w:rsidRPr="00BA4F0F">
              <w:t>4</w:t>
            </w:r>
          </w:p>
        </w:tc>
        <w:tc>
          <w:tcPr>
            <w:tcW w:w="1133" w:type="dxa"/>
          </w:tcPr>
          <w:p w14:paraId="27027C9B" w14:textId="77777777" w:rsidR="0049053C" w:rsidRPr="00BA4F0F" w:rsidRDefault="0049053C" w:rsidP="00650324">
            <w:pPr>
              <w:spacing w:line="360" w:lineRule="auto"/>
            </w:pPr>
            <w:r w:rsidRPr="00BA4F0F">
              <w:t>5</w:t>
            </w:r>
          </w:p>
        </w:tc>
        <w:tc>
          <w:tcPr>
            <w:tcW w:w="1133" w:type="dxa"/>
          </w:tcPr>
          <w:p w14:paraId="25730A0C" w14:textId="77777777" w:rsidR="0049053C" w:rsidRPr="00BA4F0F" w:rsidRDefault="0049053C" w:rsidP="00650324">
            <w:pPr>
              <w:spacing w:line="360" w:lineRule="auto"/>
            </w:pPr>
            <w:r w:rsidRPr="00BA4F0F">
              <w:t>6</w:t>
            </w:r>
          </w:p>
        </w:tc>
      </w:tr>
      <w:tr w:rsidR="0049053C" w:rsidRPr="00BA4F0F" w14:paraId="14C3FB9D" w14:textId="77777777" w:rsidTr="003D0E86">
        <w:trPr>
          <w:jc w:val="center"/>
        </w:trPr>
        <w:tc>
          <w:tcPr>
            <w:tcW w:w="1651" w:type="dxa"/>
          </w:tcPr>
          <w:p w14:paraId="632AD2F6" w14:textId="77777777" w:rsidR="0049053C" w:rsidRPr="00BA4F0F" w:rsidRDefault="0049053C" w:rsidP="00650324">
            <w:pPr>
              <w:spacing w:line="360" w:lineRule="auto"/>
            </w:pPr>
            <w:r w:rsidRPr="00BA4F0F">
              <w:t xml:space="preserve">Г-КСФ, </w:t>
            </w:r>
          </w:p>
          <w:p w14:paraId="7CEC2086" w14:textId="77777777" w:rsidR="0049053C" w:rsidRPr="00BA4F0F" w:rsidRDefault="0049053C" w:rsidP="00650324">
            <w:pPr>
              <w:spacing w:line="360" w:lineRule="auto"/>
            </w:pPr>
            <w:r w:rsidRPr="00BA4F0F">
              <w:t>10 мкг/кг</w:t>
            </w:r>
          </w:p>
        </w:tc>
        <w:tc>
          <w:tcPr>
            <w:tcW w:w="1133" w:type="dxa"/>
          </w:tcPr>
          <w:p w14:paraId="09A8A9DF" w14:textId="77777777" w:rsidR="0049053C" w:rsidRPr="00BA4F0F" w:rsidRDefault="0049053C" w:rsidP="00650324">
            <w:pPr>
              <w:spacing w:line="360" w:lineRule="auto"/>
            </w:pPr>
            <w:r w:rsidRPr="00BA4F0F">
              <w:t>Х</w:t>
            </w:r>
          </w:p>
        </w:tc>
        <w:tc>
          <w:tcPr>
            <w:tcW w:w="1129" w:type="dxa"/>
          </w:tcPr>
          <w:p w14:paraId="268986C9" w14:textId="77777777" w:rsidR="0049053C" w:rsidRPr="00BA4F0F" w:rsidRDefault="0049053C" w:rsidP="00650324">
            <w:pPr>
              <w:spacing w:line="360" w:lineRule="auto"/>
            </w:pPr>
            <w:r w:rsidRPr="00BA4F0F">
              <w:t>Х</w:t>
            </w:r>
          </w:p>
        </w:tc>
        <w:tc>
          <w:tcPr>
            <w:tcW w:w="1129" w:type="dxa"/>
          </w:tcPr>
          <w:p w14:paraId="05049E65" w14:textId="77777777" w:rsidR="0049053C" w:rsidRPr="00BA4F0F" w:rsidRDefault="0049053C" w:rsidP="00650324">
            <w:pPr>
              <w:spacing w:line="360" w:lineRule="auto"/>
            </w:pPr>
            <w:r w:rsidRPr="00BA4F0F">
              <w:t>Х</w:t>
            </w:r>
          </w:p>
        </w:tc>
        <w:tc>
          <w:tcPr>
            <w:tcW w:w="1132" w:type="dxa"/>
          </w:tcPr>
          <w:p w14:paraId="1D3D4636" w14:textId="77777777" w:rsidR="0049053C" w:rsidRPr="00BA4F0F" w:rsidRDefault="0049053C" w:rsidP="00650324">
            <w:pPr>
              <w:spacing w:line="360" w:lineRule="auto"/>
            </w:pPr>
            <w:r w:rsidRPr="00BA4F0F">
              <w:t>Х</w:t>
            </w:r>
          </w:p>
        </w:tc>
        <w:tc>
          <w:tcPr>
            <w:tcW w:w="1133" w:type="dxa"/>
          </w:tcPr>
          <w:p w14:paraId="52BB3DF6" w14:textId="77777777" w:rsidR="0049053C" w:rsidRPr="00BA4F0F" w:rsidRDefault="0049053C" w:rsidP="00650324">
            <w:pPr>
              <w:spacing w:line="360" w:lineRule="auto"/>
            </w:pPr>
            <w:r w:rsidRPr="00BA4F0F">
              <w:t>Х</w:t>
            </w:r>
          </w:p>
        </w:tc>
        <w:tc>
          <w:tcPr>
            <w:tcW w:w="1133" w:type="dxa"/>
          </w:tcPr>
          <w:p w14:paraId="7444F6FB" w14:textId="77777777" w:rsidR="0049053C" w:rsidRPr="00BA4F0F" w:rsidRDefault="0049053C" w:rsidP="00650324">
            <w:pPr>
              <w:spacing w:line="360" w:lineRule="auto"/>
            </w:pPr>
          </w:p>
        </w:tc>
      </w:tr>
      <w:tr w:rsidR="0049053C" w:rsidRPr="00BA4F0F" w14:paraId="094EDAF8" w14:textId="77777777" w:rsidTr="003D0E86">
        <w:trPr>
          <w:jc w:val="center"/>
        </w:trPr>
        <w:tc>
          <w:tcPr>
            <w:tcW w:w="1651" w:type="dxa"/>
          </w:tcPr>
          <w:p w14:paraId="3D987666" w14:textId="77777777" w:rsidR="0049053C" w:rsidRPr="00BA4F0F" w:rsidRDefault="0049053C" w:rsidP="00650324">
            <w:pPr>
              <w:spacing w:line="360" w:lineRule="auto"/>
            </w:pPr>
            <w:r w:rsidRPr="00BA4F0F">
              <w:t>Плериксафор, 240 мкг/кг</w:t>
            </w:r>
          </w:p>
        </w:tc>
        <w:tc>
          <w:tcPr>
            <w:tcW w:w="1133" w:type="dxa"/>
          </w:tcPr>
          <w:p w14:paraId="1D030205" w14:textId="77777777" w:rsidR="0049053C" w:rsidRPr="00BA4F0F" w:rsidRDefault="0049053C" w:rsidP="00650324">
            <w:pPr>
              <w:spacing w:line="360" w:lineRule="auto"/>
            </w:pPr>
          </w:p>
        </w:tc>
        <w:tc>
          <w:tcPr>
            <w:tcW w:w="1129" w:type="dxa"/>
          </w:tcPr>
          <w:p w14:paraId="177140ED" w14:textId="77777777" w:rsidR="0049053C" w:rsidRPr="00BA4F0F" w:rsidRDefault="0049053C" w:rsidP="00650324">
            <w:pPr>
              <w:spacing w:line="360" w:lineRule="auto"/>
            </w:pPr>
          </w:p>
        </w:tc>
        <w:tc>
          <w:tcPr>
            <w:tcW w:w="1129" w:type="dxa"/>
          </w:tcPr>
          <w:p w14:paraId="6ED48608" w14:textId="77777777" w:rsidR="0049053C" w:rsidRPr="00BA4F0F" w:rsidRDefault="0049053C" w:rsidP="00650324">
            <w:pPr>
              <w:spacing w:line="360" w:lineRule="auto"/>
            </w:pPr>
          </w:p>
        </w:tc>
        <w:tc>
          <w:tcPr>
            <w:tcW w:w="1132" w:type="dxa"/>
          </w:tcPr>
          <w:p w14:paraId="6A26DB1D" w14:textId="77777777" w:rsidR="0049053C" w:rsidRPr="00BA4F0F" w:rsidRDefault="0049053C" w:rsidP="00650324">
            <w:pPr>
              <w:spacing w:line="360" w:lineRule="auto"/>
            </w:pPr>
            <w:r w:rsidRPr="00BA4F0F">
              <w:t>Х</w:t>
            </w:r>
          </w:p>
        </w:tc>
        <w:tc>
          <w:tcPr>
            <w:tcW w:w="1133" w:type="dxa"/>
          </w:tcPr>
          <w:p w14:paraId="6FB0CB43" w14:textId="77777777" w:rsidR="0049053C" w:rsidRPr="00BA4F0F" w:rsidRDefault="0049053C" w:rsidP="00650324">
            <w:pPr>
              <w:spacing w:line="360" w:lineRule="auto"/>
            </w:pPr>
            <w:r w:rsidRPr="00BA4F0F">
              <w:t>(Х)</w:t>
            </w:r>
          </w:p>
        </w:tc>
        <w:tc>
          <w:tcPr>
            <w:tcW w:w="1133" w:type="dxa"/>
          </w:tcPr>
          <w:p w14:paraId="6C72C079" w14:textId="77777777" w:rsidR="0049053C" w:rsidRPr="00BA4F0F" w:rsidRDefault="0049053C" w:rsidP="00650324">
            <w:pPr>
              <w:spacing w:line="360" w:lineRule="auto"/>
            </w:pPr>
          </w:p>
        </w:tc>
      </w:tr>
      <w:tr w:rsidR="0049053C" w:rsidRPr="00BA4F0F" w14:paraId="16F4189E" w14:textId="77777777" w:rsidTr="003D0E86">
        <w:trPr>
          <w:jc w:val="center"/>
        </w:trPr>
        <w:tc>
          <w:tcPr>
            <w:tcW w:w="1651" w:type="dxa"/>
          </w:tcPr>
          <w:p w14:paraId="31331D0F" w14:textId="77777777" w:rsidR="0049053C" w:rsidRPr="00BA4F0F" w:rsidRDefault="0049053C" w:rsidP="00650324">
            <w:pPr>
              <w:spacing w:line="360" w:lineRule="auto"/>
            </w:pPr>
            <w:r w:rsidRPr="00BA4F0F">
              <w:t>Лейкаферез</w:t>
            </w:r>
          </w:p>
        </w:tc>
        <w:tc>
          <w:tcPr>
            <w:tcW w:w="1133" w:type="dxa"/>
          </w:tcPr>
          <w:p w14:paraId="10EE8E6F" w14:textId="77777777" w:rsidR="0049053C" w:rsidRPr="00BA4F0F" w:rsidRDefault="0049053C" w:rsidP="00650324">
            <w:pPr>
              <w:spacing w:line="360" w:lineRule="auto"/>
            </w:pPr>
          </w:p>
        </w:tc>
        <w:tc>
          <w:tcPr>
            <w:tcW w:w="1129" w:type="dxa"/>
          </w:tcPr>
          <w:p w14:paraId="2ADB04D4" w14:textId="77777777" w:rsidR="0049053C" w:rsidRPr="00BA4F0F" w:rsidRDefault="0049053C" w:rsidP="00650324">
            <w:pPr>
              <w:spacing w:line="360" w:lineRule="auto"/>
            </w:pPr>
          </w:p>
        </w:tc>
        <w:tc>
          <w:tcPr>
            <w:tcW w:w="1129" w:type="dxa"/>
          </w:tcPr>
          <w:p w14:paraId="2F54FDF3" w14:textId="77777777" w:rsidR="0049053C" w:rsidRPr="00BA4F0F" w:rsidRDefault="0049053C" w:rsidP="00650324">
            <w:pPr>
              <w:spacing w:line="360" w:lineRule="auto"/>
            </w:pPr>
          </w:p>
        </w:tc>
        <w:tc>
          <w:tcPr>
            <w:tcW w:w="1132" w:type="dxa"/>
          </w:tcPr>
          <w:p w14:paraId="6A9F314F" w14:textId="77777777" w:rsidR="0049053C" w:rsidRPr="00BA4F0F" w:rsidRDefault="0049053C" w:rsidP="00650324">
            <w:pPr>
              <w:spacing w:line="360" w:lineRule="auto"/>
            </w:pPr>
          </w:p>
        </w:tc>
        <w:tc>
          <w:tcPr>
            <w:tcW w:w="1133" w:type="dxa"/>
          </w:tcPr>
          <w:p w14:paraId="7833A253" w14:textId="77777777" w:rsidR="0049053C" w:rsidRPr="00BA4F0F" w:rsidRDefault="0049053C" w:rsidP="00650324">
            <w:pPr>
              <w:spacing w:line="360" w:lineRule="auto"/>
              <w:rPr>
                <w:lang w:val="en-US"/>
              </w:rPr>
            </w:pPr>
            <w:r w:rsidRPr="00BA4F0F">
              <w:rPr>
                <w:lang w:val="en-US"/>
              </w:rPr>
              <w:t>V</w:t>
            </w:r>
          </w:p>
        </w:tc>
        <w:tc>
          <w:tcPr>
            <w:tcW w:w="1133" w:type="dxa"/>
          </w:tcPr>
          <w:p w14:paraId="6FE7494E" w14:textId="77777777" w:rsidR="0049053C" w:rsidRPr="00BA4F0F" w:rsidRDefault="0049053C" w:rsidP="00650324">
            <w:pPr>
              <w:spacing w:line="360" w:lineRule="auto"/>
              <w:rPr>
                <w:lang w:val="en-US"/>
              </w:rPr>
            </w:pPr>
            <w:r w:rsidRPr="00BA4F0F">
              <w:rPr>
                <w:lang w:val="en-US"/>
              </w:rPr>
              <w:t>V</w:t>
            </w:r>
          </w:p>
        </w:tc>
      </w:tr>
    </w:tbl>
    <w:p w14:paraId="2D6132CD" w14:textId="77777777" w:rsidR="0049053C" w:rsidRPr="00BA4F0F" w:rsidRDefault="0049053C" w:rsidP="00650324">
      <w:pPr>
        <w:pStyle w:val="1ff0"/>
      </w:pPr>
    </w:p>
    <w:p w14:paraId="04E6AE4E" w14:textId="77777777" w:rsidR="0049053C" w:rsidRPr="00BA4F0F" w:rsidRDefault="0049053C" w:rsidP="00650324">
      <w:pPr>
        <w:pStyle w:val="1ff0"/>
        <w:rPr>
          <w:u w:val="single"/>
        </w:rPr>
      </w:pPr>
      <w:bookmarkStart w:id="106" w:name="_Toc44926608"/>
      <w:r w:rsidRPr="00BA4F0F">
        <w:rPr>
          <w:u w:val="single"/>
        </w:rPr>
        <w:t>Сравнительная характеристика режимов мобилизации ГСК</w:t>
      </w:r>
      <w:bookmarkEnd w:id="106"/>
    </w:p>
    <w:p w14:paraId="20B992EC" w14:textId="77777777" w:rsidR="0049053C" w:rsidRPr="00BA4F0F" w:rsidRDefault="0049053C" w:rsidP="00650324">
      <w:pPr>
        <w:pStyle w:val="1ff0"/>
      </w:pPr>
      <w:r w:rsidRPr="00BA4F0F">
        <w:t xml:space="preserve">Проспективных рандомизированных исследований, сравнивающих методы мобилизации (только ростовой фактор или сочетание Г-КСФ с миелосупрессивной химиотерапией) на одном и том же контингенте больных не проводилось, а прямое сравнение различных исследований затруднено. В связи с этим оптимальный метод мобилизации ГСК определить невозможно. </w:t>
      </w:r>
    </w:p>
    <w:p w14:paraId="0A461E23" w14:textId="58E39065" w:rsidR="0049053C" w:rsidRPr="00BA4F0F" w:rsidRDefault="0049053C" w:rsidP="00650324">
      <w:pPr>
        <w:pStyle w:val="1ff0"/>
      </w:pPr>
      <w:r w:rsidRPr="00BA4F0F">
        <w:t xml:space="preserve">У каждого режима мобилизации ГСК есть определенные преимущества и недостатки, поэтому существует индивидуальный подход в выборе лечебной схемы в каждой конкретной ситуации (таблица </w:t>
      </w:r>
      <w:r w:rsidR="00650324">
        <w:t>А3.3.</w:t>
      </w:r>
      <w:r w:rsidRPr="00BA4F0F">
        <w:t xml:space="preserve">4). Так, при использовании Г-КСФ в монорежиме уменьшаются сроки госпитализации, не наблюдаются осложнения, характерные для периода МТА, нет потребности в трансфузионной терапии. Применение этого режима является относительно безопасным у больных с диализ-зависимой почечной недостаточностью, пациентов с кардиальной патологией. </w:t>
      </w:r>
    </w:p>
    <w:p w14:paraId="3EFED33F" w14:textId="77777777" w:rsidR="0049053C" w:rsidRPr="00BA4F0F" w:rsidRDefault="0049053C" w:rsidP="00650324">
      <w:pPr>
        <w:pStyle w:val="1ff0"/>
      </w:pPr>
      <w:r w:rsidRPr="00BA4F0F">
        <w:lastRenderedPageBreak/>
        <w:t xml:space="preserve">Но у больных с длительным анамнезом лечения велика вероятность неудовлетворительного результата сбора ГСК. Использование режима «ХТ+ Г-КСФ» часто позволяет заготовить адекватное количество клеток, однако сопряжено с развитием инфекционных и токсических осложнений в период МТА, требует назначения массивной сопроводительной терапии, что удлиняет сроки госпитализации. </w:t>
      </w:r>
    </w:p>
    <w:p w14:paraId="50FAEA02" w14:textId="77777777" w:rsidR="0049053C" w:rsidRPr="00BA4F0F" w:rsidRDefault="0049053C" w:rsidP="00650324">
      <w:pPr>
        <w:pStyle w:val="1ff0"/>
      </w:pPr>
    </w:p>
    <w:p w14:paraId="44F02B90" w14:textId="510D14B3" w:rsidR="0049053C" w:rsidRPr="00BA4F0F" w:rsidRDefault="0049053C" w:rsidP="00650324">
      <w:pPr>
        <w:pStyle w:val="1ff0"/>
      </w:pPr>
      <w:r w:rsidRPr="00BA4F0F">
        <w:t xml:space="preserve">Таблица </w:t>
      </w:r>
      <w:r w:rsidR="00650324">
        <w:t>А3.3.</w:t>
      </w:r>
      <w:r w:rsidRPr="00BA4F0F">
        <w:t>4. Сравнительная характеристика режимов мобилизации ГСК</w:t>
      </w:r>
    </w:p>
    <w:tbl>
      <w:tblPr>
        <w:tblStyle w:val="1f3"/>
        <w:tblW w:w="0" w:type="auto"/>
        <w:tblInd w:w="108" w:type="dxa"/>
        <w:tblLook w:val="04A0" w:firstRow="1" w:lastRow="0" w:firstColumn="1" w:lastColumn="0" w:noHBand="0" w:noVBand="1"/>
      </w:tblPr>
      <w:tblGrid>
        <w:gridCol w:w="1800"/>
        <w:gridCol w:w="3640"/>
        <w:gridCol w:w="3231"/>
      </w:tblGrid>
      <w:tr w:rsidR="0049053C" w:rsidRPr="00BA4F0F" w14:paraId="04796AD7" w14:textId="77777777" w:rsidTr="003D0E86">
        <w:trPr>
          <w:trHeight w:val="896"/>
        </w:trPr>
        <w:tc>
          <w:tcPr>
            <w:tcW w:w="1843" w:type="dxa"/>
          </w:tcPr>
          <w:p w14:paraId="4CC40F2D" w14:textId="77777777" w:rsidR="0049053C" w:rsidRPr="00BA4F0F" w:rsidRDefault="0049053C" w:rsidP="00650324">
            <w:pPr>
              <w:spacing w:line="360" w:lineRule="auto"/>
            </w:pPr>
            <w:r w:rsidRPr="00BA4F0F">
              <w:rPr>
                <w:b/>
                <w:bCs/>
              </w:rPr>
              <w:t>Режим мобилизации</w:t>
            </w:r>
          </w:p>
        </w:tc>
        <w:tc>
          <w:tcPr>
            <w:tcW w:w="3969" w:type="dxa"/>
          </w:tcPr>
          <w:p w14:paraId="1886FF5A" w14:textId="77777777" w:rsidR="0049053C" w:rsidRPr="00BA4F0F" w:rsidRDefault="0049053C" w:rsidP="00650324">
            <w:pPr>
              <w:spacing w:line="360" w:lineRule="auto"/>
              <w:ind w:left="720"/>
              <w:contextualSpacing/>
            </w:pPr>
            <w:r w:rsidRPr="00BA4F0F">
              <w:rPr>
                <w:b/>
                <w:bCs/>
              </w:rPr>
              <w:t>Преимущества</w:t>
            </w:r>
          </w:p>
        </w:tc>
        <w:tc>
          <w:tcPr>
            <w:tcW w:w="3544" w:type="dxa"/>
          </w:tcPr>
          <w:p w14:paraId="0DFED68C" w14:textId="77777777" w:rsidR="0049053C" w:rsidRPr="00BA4F0F" w:rsidRDefault="0049053C" w:rsidP="00650324">
            <w:pPr>
              <w:spacing w:line="360" w:lineRule="auto"/>
              <w:ind w:left="720"/>
              <w:contextualSpacing/>
            </w:pPr>
            <w:r w:rsidRPr="00BA4F0F">
              <w:rPr>
                <w:b/>
                <w:bCs/>
              </w:rPr>
              <w:t>Недостатки</w:t>
            </w:r>
          </w:p>
        </w:tc>
      </w:tr>
      <w:tr w:rsidR="0049053C" w:rsidRPr="00BA4F0F" w14:paraId="7DCB2E7D" w14:textId="77777777" w:rsidTr="003D0E86">
        <w:tc>
          <w:tcPr>
            <w:tcW w:w="1843" w:type="dxa"/>
          </w:tcPr>
          <w:p w14:paraId="41047380" w14:textId="77777777" w:rsidR="0049053C" w:rsidRPr="00BA4F0F" w:rsidRDefault="0049053C" w:rsidP="00650324">
            <w:pPr>
              <w:spacing w:line="360" w:lineRule="auto"/>
              <w:rPr>
                <w:b/>
              </w:rPr>
            </w:pPr>
            <w:r w:rsidRPr="00BA4F0F">
              <w:rPr>
                <w:b/>
              </w:rPr>
              <w:t>Г-КСФ в монорежиме</w:t>
            </w:r>
          </w:p>
        </w:tc>
        <w:tc>
          <w:tcPr>
            <w:tcW w:w="3969" w:type="dxa"/>
          </w:tcPr>
          <w:p w14:paraId="62CFD495" w14:textId="77777777" w:rsidR="0049053C" w:rsidRPr="00BA4F0F" w:rsidRDefault="0049053C" w:rsidP="00650324">
            <w:pPr>
              <w:spacing w:line="360" w:lineRule="auto"/>
            </w:pPr>
            <w:r w:rsidRPr="00BA4F0F">
              <w:t>Уменьшение сроков госпитализации, четко планируемые сроки лейкаферезов, отсутствие антибиотикотерапии, заместительной трансфузионной терапии</w:t>
            </w:r>
          </w:p>
          <w:p w14:paraId="5A1B4539" w14:textId="77777777" w:rsidR="0049053C" w:rsidRPr="00BA4F0F" w:rsidRDefault="0049053C" w:rsidP="00650324">
            <w:pPr>
              <w:spacing w:line="360" w:lineRule="auto"/>
            </w:pPr>
          </w:p>
        </w:tc>
        <w:tc>
          <w:tcPr>
            <w:tcW w:w="3544" w:type="dxa"/>
          </w:tcPr>
          <w:p w14:paraId="633B8787" w14:textId="77777777" w:rsidR="0049053C" w:rsidRPr="00BA4F0F" w:rsidRDefault="0049053C" w:rsidP="00650324">
            <w:pPr>
              <w:spacing w:line="360" w:lineRule="auto"/>
            </w:pPr>
            <w:r w:rsidRPr="00BA4F0F">
              <w:t>Неэффективна у предлеченных больных</w:t>
            </w:r>
          </w:p>
        </w:tc>
      </w:tr>
      <w:tr w:rsidR="0049053C" w:rsidRPr="00BA4F0F" w14:paraId="33808F45" w14:textId="77777777" w:rsidTr="003D0E86">
        <w:tc>
          <w:tcPr>
            <w:tcW w:w="1843" w:type="dxa"/>
          </w:tcPr>
          <w:p w14:paraId="76C3798D" w14:textId="77777777" w:rsidR="0049053C" w:rsidRPr="00BA4F0F" w:rsidRDefault="0049053C" w:rsidP="00650324">
            <w:pPr>
              <w:spacing w:line="360" w:lineRule="auto"/>
              <w:rPr>
                <w:b/>
              </w:rPr>
            </w:pPr>
            <w:r w:rsidRPr="00BA4F0F">
              <w:rPr>
                <w:b/>
              </w:rPr>
              <w:t>ХТ+ Г-КСФ</w:t>
            </w:r>
          </w:p>
        </w:tc>
        <w:tc>
          <w:tcPr>
            <w:tcW w:w="3969" w:type="dxa"/>
          </w:tcPr>
          <w:p w14:paraId="441B1813" w14:textId="77777777" w:rsidR="0049053C" w:rsidRPr="00BA4F0F" w:rsidRDefault="0049053C" w:rsidP="00650324">
            <w:pPr>
              <w:spacing w:line="360" w:lineRule="auto"/>
            </w:pPr>
            <w:r w:rsidRPr="00BA4F0F">
              <w:t>Высокая эффективность  мобилизации</w:t>
            </w:r>
          </w:p>
        </w:tc>
        <w:tc>
          <w:tcPr>
            <w:tcW w:w="3544" w:type="dxa"/>
          </w:tcPr>
          <w:p w14:paraId="5E77627F" w14:textId="77777777" w:rsidR="0049053C" w:rsidRPr="00BA4F0F" w:rsidRDefault="0049053C" w:rsidP="00650324">
            <w:pPr>
              <w:spacing w:line="360" w:lineRule="auto"/>
            </w:pPr>
            <w:r w:rsidRPr="00BA4F0F">
              <w:t>Цитопения</w:t>
            </w:r>
          </w:p>
          <w:p w14:paraId="250A9AEC" w14:textId="77777777" w:rsidR="0049053C" w:rsidRPr="00BA4F0F" w:rsidRDefault="0049053C" w:rsidP="00650324">
            <w:pPr>
              <w:spacing w:line="360" w:lineRule="auto"/>
            </w:pPr>
            <w:r w:rsidRPr="00BA4F0F">
              <w:t xml:space="preserve">Инфекционные осложнения </w:t>
            </w:r>
          </w:p>
          <w:p w14:paraId="22E62215" w14:textId="77777777" w:rsidR="0049053C" w:rsidRPr="00BA4F0F" w:rsidRDefault="0049053C" w:rsidP="00650324">
            <w:pPr>
              <w:spacing w:line="360" w:lineRule="auto"/>
            </w:pPr>
            <w:r w:rsidRPr="00BA4F0F">
              <w:t>Трансфузии компонентов крови</w:t>
            </w:r>
          </w:p>
          <w:p w14:paraId="71B64B01" w14:textId="77777777" w:rsidR="0049053C" w:rsidRPr="00BA4F0F" w:rsidRDefault="0049053C" w:rsidP="00650324">
            <w:pPr>
              <w:spacing w:line="360" w:lineRule="auto"/>
            </w:pPr>
            <w:r w:rsidRPr="00BA4F0F">
              <w:t>Нет четкого планирования сроков лейкаферезов</w:t>
            </w:r>
          </w:p>
          <w:p w14:paraId="79685B39" w14:textId="77777777" w:rsidR="0049053C" w:rsidRPr="00BA4F0F" w:rsidRDefault="0049053C" w:rsidP="00650324">
            <w:pPr>
              <w:spacing w:line="360" w:lineRule="auto"/>
            </w:pPr>
            <w:r w:rsidRPr="00BA4F0F">
              <w:t>Небезопасна при коморбидности</w:t>
            </w:r>
          </w:p>
        </w:tc>
      </w:tr>
    </w:tbl>
    <w:p w14:paraId="660523C1" w14:textId="77777777" w:rsidR="0049053C" w:rsidRPr="00BA4F0F" w:rsidRDefault="0049053C" w:rsidP="00650324">
      <w:pPr>
        <w:pStyle w:val="1ff0"/>
      </w:pPr>
      <w:r w:rsidRPr="00BA4F0F">
        <w:t>ХТ – химиотерапия, ЛЛТ – локальная лучевая терапия</w:t>
      </w:r>
    </w:p>
    <w:p w14:paraId="6E398D36" w14:textId="77777777" w:rsidR="0049053C" w:rsidRPr="00BA4F0F" w:rsidRDefault="0049053C" w:rsidP="00650324">
      <w:pPr>
        <w:pStyle w:val="1ff0"/>
      </w:pPr>
      <w:r w:rsidRPr="00BA4F0F">
        <w:t xml:space="preserve">Продолжаются многочисленные исследования, направленные на оптимизацию режимов мобилизации стволовых клеток, обсуждаются возможности применения новых ростовых факторов, апробируются различные дозы цитостатических препаратов. </w:t>
      </w:r>
    </w:p>
    <w:p w14:paraId="30EB3240" w14:textId="77777777" w:rsidR="0049053C" w:rsidRPr="00BA4F0F" w:rsidRDefault="0049053C" w:rsidP="00650324">
      <w:pPr>
        <w:pStyle w:val="1ff0"/>
      </w:pPr>
      <w:bookmarkStart w:id="107" w:name="_Toc44926609"/>
    </w:p>
    <w:p w14:paraId="49F38ECD" w14:textId="77777777" w:rsidR="0049053C" w:rsidRPr="00BA4F0F" w:rsidRDefault="0049053C" w:rsidP="00650324">
      <w:pPr>
        <w:pStyle w:val="1ff0"/>
        <w:rPr>
          <w:b/>
        </w:rPr>
      </w:pPr>
      <w:r w:rsidRPr="00BA4F0F">
        <w:rPr>
          <w:b/>
        </w:rPr>
        <w:t>Особенности сопроводительной терапии при мобилизации ГСК</w:t>
      </w:r>
      <w:bookmarkEnd w:id="107"/>
    </w:p>
    <w:p w14:paraId="1FBA283D" w14:textId="77777777" w:rsidR="0049053C" w:rsidRPr="00BA4F0F" w:rsidRDefault="0049053C" w:rsidP="00650324">
      <w:pPr>
        <w:pStyle w:val="1ff0"/>
        <w:rPr>
          <w:u w:val="single"/>
        </w:rPr>
      </w:pPr>
      <w:r w:rsidRPr="00BA4F0F">
        <w:rPr>
          <w:u w:val="single"/>
        </w:rPr>
        <w:t>Г-КСФ в монорежиме и Г-КСФ в сочетании с плериксафором</w:t>
      </w:r>
    </w:p>
    <w:p w14:paraId="43A676DD" w14:textId="77777777" w:rsidR="0049053C" w:rsidRPr="00BA4F0F" w:rsidRDefault="0049053C" w:rsidP="00650324">
      <w:pPr>
        <w:pStyle w:val="1ff0"/>
      </w:pPr>
      <w:r w:rsidRPr="00BA4F0F">
        <w:lastRenderedPageBreak/>
        <w:t>Если есть сложности с доступом к периферическим венам, перед началом сбора ГСК устанавливается перфузионный катетер в центральную вену;</w:t>
      </w:r>
    </w:p>
    <w:p w14:paraId="642AD9CB" w14:textId="77777777" w:rsidR="0049053C" w:rsidRPr="00BA4F0F" w:rsidRDefault="0049053C" w:rsidP="00650324">
      <w:pPr>
        <w:pStyle w:val="1ff0"/>
      </w:pPr>
      <w:r w:rsidRPr="00BA4F0F">
        <w:t>С целью профилактики тромботических осложнений проводится введение низкомолекулярных гепаринов (эноксапарин 40 мг или эквивалент) в профилактической дозе подкожно один раз в сутки на фоне введения Г-КСФ и в течение 2-3 суток после его отмены;</w:t>
      </w:r>
    </w:p>
    <w:p w14:paraId="5AF234F5" w14:textId="77777777" w:rsidR="0049053C" w:rsidRPr="00BA4F0F" w:rsidRDefault="0049053C" w:rsidP="00650324">
      <w:pPr>
        <w:pStyle w:val="1ff0"/>
      </w:pPr>
      <w:r w:rsidRPr="00BA4F0F">
        <w:t xml:space="preserve">Адекватное обезболивание при болевом синдроме в костях, вызванном введением Г-КСФ. Предпочтение отдается наркотическим аналгетикам (промедол 10 мг в/в, трамадол 100 мг в/в, фентанил 25 мкг/час трансдермально), при отсутствии миелотксического агранулоцитоза возможно использование нестероидных противовоспалительных препаратов. </w:t>
      </w:r>
    </w:p>
    <w:p w14:paraId="18E690A5" w14:textId="77777777" w:rsidR="0049053C" w:rsidRPr="00BA4F0F" w:rsidRDefault="0049053C" w:rsidP="00650324">
      <w:pPr>
        <w:pStyle w:val="1ff0"/>
        <w:rPr>
          <w:b/>
        </w:rPr>
      </w:pPr>
    </w:p>
    <w:p w14:paraId="6047C429" w14:textId="77777777" w:rsidR="0049053C" w:rsidRPr="00BA4F0F" w:rsidRDefault="0049053C" w:rsidP="00650324">
      <w:pPr>
        <w:pStyle w:val="1ff0"/>
        <w:rPr>
          <w:u w:val="single"/>
        </w:rPr>
      </w:pPr>
      <w:r w:rsidRPr="00BA4F0F">
        <w:rPr>
          <w:u w:val="single"/>
        </w:rPr>
        <w:t>Режим «ХТ + Г-КСФ»</w:t>
      </w:r>
    </w:p>
    <w:p w14:paraId="3C3D37E7" w14:textId="77777777" w:rsidR="0049053C" w:rsidRPr="00BA4F0F" w:rsidRDefault="0049053C" w:rsidP="00FE0193">
      <w:pPr>
        <w:pStyle w:val="1ff0"/>
        <w:numPr>
          <w:ilvl w:val="0"/>
          <w:numId w:val="93"/>
        </w:numPr>
      </w:pPr>
      <w:r w:rsidRPr="00BA4F0F">
        <w:t>Необходима установка центрального венозного катетера (ЦВК) для обеспечения сосудистого доступа. Если есть сложности с доступом к периферическим венам, перед началом сбора ГСК центральный катетер меняют на перфузионный;</w:t>
      </w:r>
    </w:p>
    <w:p w14:paraId="13967F0C" w14:textId="77777777" w:rsidR="0049053C" w:rsidRPr="00BA4F0F" w:rsidRDefault="0049053C" w:rsidP="00FE0193">
      <w:pPr>
        <w:pStyle w:val="1ff0"/>
        <w:numPr>
          <w:ilvl w:val="0"/>
          <w:numId w:val="93"/>
        </w:numPr>
      </w:pPr>
      <w:r w:rsidRPr="00BA4F0F">
        <w:t>Круглосуточное введение гепарина с целью профилактики тромботических осложнений. Начальная доза гепарина 12 000 ЕД/сут., далее - под контролем АЧТВ (АЧТВ 1,5-2 нормы);</w:t>
      </w:r>
    </w:p>
    <w:p w14:paraId="0F94B8F1" w14:textId="344032D9" w:rsidR="0049053C" w:rsidRPr="00BA4F0F" w:rsidRDefault="0049053C" w:rsidP="00FE0193">
      <w:pPr>
        <w:pStyle w:val="1ff0"/>
        <w:numPr>
          <w:ilvl w:val="0"/>
          <w:numId w:val="93"/>
        </w:numPr>
      </w:pPr>
      <w:r w:rsidRPr="00BA4F0F">
        <w:t>Введение химиопрепаратов сопровождается массивной гидратацией из расчета 1,5-3 л/м</w:t>
      </w:r>
      <w:r w:rsidRPr="00BA4F0F">
        <w:rPr>
          <w:vertAlign w:val="superscript"/>
        </w:rPr>
        <w:t>2</w:t>
      </w:r>
      <w:r w:rsidRPr="00BA4F0F">
        <w:t>, гипоурикемической терапией аллопуринолом 400</w:t>
      </w:r>
      <w:r w:rsidR="00650324">
        <w:t>-</w:t>
      </w:r>
      <w:r w:rsidRPr="00BA4F0F">
        <w:t>600 мг/сут. (за исключением схем, содержащих метотрексат), диуретической терапией (фуросемид 20 мг болюсно 3 р/сут)</w:t>
      </w:r>
    </w:p>
    <w:p w14:paraId="5787B743" w14:textId="77777777" w:rsidR="0049053C" w:rsidRPr="00BA4F0F" w:rsidRDefault="0049053C" w:rsidP="00FE0193">
      <w:pPr>
        <w:pStyle w:val="1ff0"/>
        <w:numPr>
          <w:ilvl w:val="0"/>
          <w:numId w:val="93"/>
        </w:numPr>
      </w:pPr>
      <w:r w:rsidRPr="00BA4F0F">
        <w:t>При наличии в схеме ХТ ифосфамида, циклофосфамида для защиты слизистой мочевого пузыря и мочевыводящих путей назначается уромитексан в дозе 2,4 г/м</w:t>
      </w:r>
      <w:r w:rsidRPr="00BA4F0F">
        <w:rPr>
          <w:vertAlign w:val="superscript"/>
        </w:rPr>
        <w:t>2</w:t>
      </w:r>
      <w:r w:rsidRPr="00BA4F0F">
        <w:t xml:space="preserve"> круглосуточно в день введения цитостатика;</w:t>
      </w:r>
    </w:p>
    <w:p w14:paraId="0C8E6AA5" w14:textId="77777777" w:rsidR="0049053C" w:rsidRPr="00BA4F0F" w:rsidRDefault="0049053C" w:rsidP="00FE0193">
      <w:pPr>
        <w:pStyle w:val="1ff0"/>
        <w:numPr>
          <w:ilvl w:val="0"/>
          <w:numId w:val="93"/>
        </w:numPr>
      </w:pPr>
      <w:r w:rsidRPr="00BA4F0F">
        <w:t>При наличии в схеме ХТ метотрексата через 12 ч. после окончания его введения назначается лейковорин в дозе 25 мг внутрь и внутривенно 6 раз в сутки 4 дня или до достижения концентрации метотрексата в крови менее 0,1 мкмоль/л.</w:t>
      </w:r>
    </w:p>
    <w:p w14:paraId="4E9E0598" w14:textId="1DEB8A06" w:rsidR="0049053C" w:rsidRPr="00BA4F0F" w:rsidRDefault="0049053C" w:rsidP="00FE0193">
      <w:pPr>
        <w:pStyle w:val="1ff0"/>
        <w:numPr>
          <w:ilvl w:val="0"/>
          <w:numId w:val="93"/>
        </w:numPr>
      </w:pPr>
      <w:r w:rsidRPr="00BA4F0F">
        <w:t>Противосудорожная профилактика, если применяется бусульфан, циклофосфан (карбамазепин 200 мг</w:t>
      </w:r>
      <w:r w:rsidR="00650324">
        <w:t xml:space="preserve"> </w:t>
      </w:r>
      <w:r w:rsidRPr="00BA4F0F">
        <w:t>+ диазепам 10 мг);</w:t>
      </w:r>
    </w:p>
    <w:p w14:paraId="1F498744" w14:textId="77777777" w:rsidR="0049053C" w:rsidRPr="00BA4F0F" w:rsidRDefault="0049053C" w:rsidP="00FE0193">
      <w:pPr>
        <w:pStyle w:val="1ff0"/>
        <w:numPr>
          <w:ilvl w:val="0"/>
          <w:numId w:val="93"/>
        </w:numPr>
      </w:pPr>
      <w:r w:rsidRPr="00BA4F0F">
        <w:lastRenderedPageBreak/>
        <w:t>Противорвотная терапия по стандартным схемам (ондансетрон 8 мг, метоклопрамид 10 мг и тд.);</w:t>
      </w:r>
    </w:p>
    <w:p w14:paraId="62D6F685" w14:textId="77777777" w:rsidR="0049053C" w:rsidRPr="00BA4F0F" w:rsidRDefault="0049053C" w:rsidP="00FE0193">
      <w:pPr>
        <w:pStyle w:val="1ff0"/>
        <w:numPr>
          <w:ilvl w:val="0"/>
          <w:numId w:val="93"/>
        </w:numPr>
      </w:pPr>
      <w:r w:rsidRPr="00BA4F0F">
        <w:t xml:space="preserve">Противоязвенная терапия по стандартным схемам (омепразол 20 мг или ранитидин 150 мг) </w:t>
      </w:r>
    </w:p>
    <w:p w14:paraId="6BBC3CB5" w14:textId="77777777" w:rsidR="0049053C" w:rsidRPr="00BA4F0F" w:rsidRDefault="0049053C" w:rsidP="00FE0193">
      <w:pPr>
        <w:pStyle w:val="1ff0"/>
        <w:numPr>
          <w:ilvl w:val="0"/>
          <w:numId w:val="93"/>
        </w:numPr>
      </w:pPr>
      <w:r w:rsidRPr="00BA4F0F">
        <w:t>Овариопротекция проводится женщинам фертильного возраста по показаниям</w:t>
      </w:r>
    </w:p>
    <w:p w14:paraId="2F71D747" w14:textId="77777777" w:rsidR="0049053C" w:rsidRPr="00BA4F0F" w:rsidRDefault="0049053C" w:rsidP="00650324">
      <w:pPr>
        <w:pStyle w:val="1ff0"/>
        <w:rPr>
          <w:b/>
        </w:rPr>
      </w:pPr>
      <w:bookmarkStart w:id="108" w:name="_Toc44926610"/>
    </w:p>
    <w:p w14:paraId="3D5C8B72" w14:textId="77777777" w:rsidR="0049053C" w:rsidRPr="00BA4F0F" w:rsidRDefault="0049053C" w:rsidP="00650324">
      <w:pPr>
        <w:pStyle w:val="1ff0"/>
        <w:rPr>
          <w:b/>
        </w:rPr>
      </w:pPr>
      <w:r w:rsidRPr="00BA4F0F">
        <w:rPr>
          <w:b/>
        </w:rPr>
        <w:t>Лейкаферез и криоконсервирование</w:t>
      </w:r>
      <w:bookmarkEnd w:id="108"/>
    </w:p>
    <w:p w14:paraId="225E6749" w14:textId="6048ED90" w:rsidR="0049053C" w:rsidRPr="00BA4F0F" w:rsidRDefault="0049053C" w:rsidP="00650324">
      <w:pPr>
        <w:pStyle w:val="1ff0"/>
        <w:rPr>
          <w:u w:val="single"/>
        </w:rPr>
      </w:pPr>
      <w:bookmarkStart w:id="109" w:name="_Toc44926611"/>
      <w:r w:rsidRPr="00BA4F0F">
        <w:rPr>
          <w:u w:val="single"/>
        </w:rPr>
        <w:t>Лейкаферез</w:t>
      </w:r>
      <w:bookmarkEnd w:id="109"/>
    </w:p>
    <w:p w14:paraId="1AAD3151" w14:textId="4D290D09" w:rsidR="0049053C" w:rsidRPr="00BA4F0F" w:rsidRDefault="0049053C" w:rsidP="00650324">
      <w:pPr>
        <w:pStyle w:val="1ff0"/>
      </w:pPr>
      <w:r w:rsidRPr="00BA4F0F">
        <w:t xml:space="preserve">Лейкаферез – полуселективный метод экстракорпоральной гемокоррекции, основанный на разделении плазмы и клеток крови под воздействием центробежной силы и выделении из крови фракции лейкоцитов </w:t>
      </w:r>
      <w:r w:rsidRPr="00BA4F0F">
        <w:fldChar w:fldCharType="begin" w:fldLock="1"/>
      </w:r>
      <w:r w:rsidR="00A6794A">
        <w:instrText>ADDIN CSL_CITATION {"citationItems":[{"id":"ITEM-1","itemData":{"author":[{"dropping-particle":"","family":"Афанасьева О.И., Воинов В.А.","given":"Гольдфарб Ю.С.","non-dropping-particle":"","parse-names":false,"suffix":""}],"id":"ITEM-1","issued":{"date-parts":[["2016"]]},"page":"7-15","publisher-place":"СПб","title":"Экстракорпоральная гемокоррекция: терминология, языковые соответствия","type":"paper-conference"},"uris":["http://www.mendeley.com/documents/?uuid=dd794081-f883-4721-812b-15ca1118ea10","http://www.mendeley.com/documents/?uuid=e6fbe91e-84b6-4e21-8e03-046ee3f21147","http://www.mendeley.com/documents/?uuid=97018312-9d9b-48d4-8675-1e409d0ed713","http://www.mendeley.com/documents/?uuid=282ee115-b097-474e-a9bb-520be3f26e12","http://www.mendeley.com/documents/?uuid=27217d21-2275-40b2-ad81-407c9211ec51","http://www.mendeley.com/documents/?uuid=caa1a6ba-88e1-4c61-a222-974128ef3624","http://www.mendeley.com/documents/?uuid=3b79c5e9-e873-4ee1-a644-2cc9d177aaa6"]}],"mendeley":{"formattedCitation":"[228]","plainTextFormattedCitation":"[228]","previouslyFormattedCitation":"[228]"},"properties":{"noteIndex":0},"schema":"https://github.com/citation-style-language/schema/raw/master/csl-citation.json"}</w:instrText>
      </w:r>
      <w:r w:rsidRPr="00BA4F0F">
        <w:fldChar w:fldCharType="separate"/>
      </w:r>
      <w:r w:rsidR="006E1902" w:rsidRPr="006E1902">
        <w:rPr>
          <w:noProof/>
        </w:rPr>
        <w:t>[228]</w:t>
      </w:r>
      <w:r w:rsidRPr="00BA4F0F">
        <w:fldChar w:fldCharType="end"/>
      </w:r>
      <w:r w:rsidRPr="00BA4F0F">
        <w:t xml:space="preserve">. </w:t>
      </w:r>
    </w:p>
    <w:p w14:paraId="0149A315" w14:textId="46DB77AC" w:rsidR="0049053C" w:rsidRPr="00BA4F0F" w:rsidRDefault="0049053C" w:rsidP="00650324">
      <w:pPr>
        <w:pStyle w:val="1ff0"/>
      </w:pPr>
      <w:r w:rsidRPr="00BA4F0F">
        <w:t xml:space="preserve">Как уже упоминалось выше, основным критерием, позволяющим прогнозировать успешный сбор ГСК, является содержание СD34+ клеток в периферической крови в день проведения предполагаемого первого лейкафереза. Если сбор ГСК начат рано, потребуются большее количество процедур, что приводит к увеличению финансовых и трудозатрат. Кроме того, увеличение числа лейкаферезов приводит к возрастанию общего объема заготовленного продукта. Соответственно, применяется большее количество криопротектора (диметилсульфоксида – ДМСО), который при дальнейшем внутривенном введении во время ауто-ТГСК может вызывать побочные явления </w:t>
      </w:r>
      <w:r w:rsidRPr="00BA4F0F">
        <w:fldChar w:fldCharType="begin" w:fldLock="1"/>
      </w:r>
      <w:r w:rsidR="00A6794A">
        <w:instrText>ADDIN CSL_CITATION {"citationItems":[{"id":"ITEM-1","itemData":{"DOI":"10.1016/j.tmrv.2018.05.005","ISSN":"15329496","abstract":"Adverse events (AEs) associated with blood transfusions, including component-specific red cell, platelet, and plasma products, have been extensively surveyed. In contrast, surveillance of AEs associated with hematopoietic stem cell (HSC) products in HSC transplantation (HSCT) has been less rigorous, even though HSC products include a diversity of immature and mature hematopoietic cells, substantial plasma, and dimethyl sulfoxide (DMSO) in the case of cryopreserved HSC products. HSC infusion-related AEs have been attributed to DMSO toxicity, but AEs associated with the infusion of noncryopreserved HSC products are not uncommon. To quantify the frequencies, types, and risk factors of HSC infusion-related AEs, we implemented national surveillance for AEs observed within 24 hours after infusion. Herein we report on 1125 HSCTs, including 570 peripheral blood stem cell transplantations (PBSCTs) (290 autologous [auto-] and 280 allogeneic [allo-]), 332 allo-bone marrow transplantations (allo-BMTs) and 223 allo-cord blood transplantations (allo-CBTs). Unexpectedly, incidences of grade ≥ 2 AEs were most frequent in allo-BMTs (37.7%) with no DMSO in any product compared with auto-/allo-PBSCTs (20.9%, P &lt;.001) and allo-CBTs (19.3%, P &lt;.001) typically cryopreserved with DMSO. Hypertension was most often noted in BMTs, whereas nausea/vomiting, fever, and allergic reactions were most frequent in allo-PBSCTs. In a multivariate analysis, a history of transfusion reactions was a risk factor for overall AEs in all HSCTs (odds ratio [OR] = 1.459, P =.045). For grade ≥ 2 AEs in allo-HSCTs, a history of transfusion reactions (OR = 1.551, P =.044) for overall AEs, and high infusion volume (OR = 7.544, P =.005) and allo-PBSCTs (versus BMTs, OR = 9.948, P =.002) for allergic reactions were identified as risk factors. These findings suggest that some factors unrelated to DMSO, such as allo-antigens, contribute to HSC infusion-related AEs. As severe AEs, a total of 117 grade ≥ 3 AEs were reported in 1125 HSCTs, including life-threatening complications in 3 (0.3%) HSCTs: 1 allo-CBT (anaphylaxis) and 2 allo-PBSCTs (hypoxia, kidney injury) with cryopreserved product. Our data show that HSC infusion risks vary by product, can be severe, and should be monitored with the same rigor as modern transfusion hemovigilance programs.","author":[{"dropping-particle":"","family":"Ikeda","given":"Kazuhiko","non-dropping-particle":"","parse-names":false,"suffix":""},{"dropping-particle":"","family":"Ohto","given":"Hitoshi","non-dropping-particle":"","parse-names":false,"suffix":""},{"dropping-particle":"","family":"Okuyama","given":"Yoshiki","non-dropping-particle":"","parse-names":false,"suffix":""},{"dropping-particle":"","family":"Yamada-Fujiwara","given":"Minami","non-dropping-particle":"","parse-names":false,"suffix":""},{"dropping-particle":"","family":"Kanamori","given":"Heiwa","non-dropping-particle":"","parse-names":false,"suffix":""},{"dropping-particle":"","family":"Fujiwara","given":"Shin ichiro","non-dropping-particle":"","parse-names":false,"suffix":""},{"dropping-particle":"","family":"Muroi","given":"Kazuo","non-dropping-particle":"","parse-names":false,"suffix":""},{"dropping-particle":"","family":"Mori","given":"Takehiko","non-dropping-particle":"","parse-names":false,"suffix":""},{"dropping-particle":"","family":"Kasama","given":"Kinuyo","non-dropping-particle":"","parse-names":false,"suffix":""},{"dropping-particle":"","family":"Iseki","given":"Tohru","non-dropping-particle":"","parse-names":false,"suffix":""},{"dropping-particle":"","family":"Nagamura-Inoue","given":"Tokiko","non-dropping-particle":"","parse-names":false,"suffix":""},{"dropping-particle":"","family":"Fujii","given":"Nobuharu","non-dropping-particle":"","parse-names":false,"suffix":""},{"dropping-particle":"","family":"Ashida","given":"Takashi","non-dropping-particle":"","parse-names":false,"suffix":""},{"dropping-particle":"","family":"Kameda","given":"Kazuaki","non-dropping-particle":"","parse-names":false,"suffix":""},{"dropping-particle":"","family":"Kanda","given":"Junya","non-dropping-particle":"","parse-names":false,"suffix":""},{"dropping-particle":"","family":"Hirose","given":"Asao","non-dropping-particle":"","parse-names":false,"suffix":""},{"dropping-particle":"","family":"Takahashi","given":"Tsutomu","non-dropping-particle":"","parse-names":false,"suffix":""},{"dropping-particle":"","family":"Nagai","given":"Kazuhiro","non-dropping-particle":"","parse-names":false,"suffix":""},{"dropping-particle":"","family":"Minakawa","given":"Keiji","non-dropping-particle":"","parse-names":false,"suffix":""},{"dropping-particle":"","family":"Tanosaki","given":"Ryuji","non-dropping-particle":"","parse-names":false,"suffix":""}],"container-title":"Transfusion Medicine Reviews","id":"ITEM-1","issue":"3","issued":{"date-parts":[["2018","7"]]},"page":"186-194","publisher":"W.B. Saunders","title":"Adverse Events Associated With Infusion of Hematopoietic Stem Cell Products: A Prospective and Multicenter Surveillance Study","type":"article","volume":"32"},"uris":["http://www.mendeley.com/documents/?uuid=2e13cd0a-f7bd-3f0b-9f56-84feb90b58e3","http://www.mendeley.com/documents/?uuid=a903b5b4-4cb1-456e-bc41-559a068a0277","http://www.mendeley.com/documents/?uuid=201cecad-134f-4334-bb07-0660edb2e18c","http://www.mendeley.com/documents/?uuid=cc644c52-3cf9-41a4-b48f-f140f5d4382f","http://www.mendeley.com/documents/?uuid=f5fc6f3f-947c-4a93-beef-6bc30e68b9fb","http://www.mendeley.com/documents/?uuid=6bcbd89e-0776-47b7-ab98-6c90c4abb14e","http://www.mendeley.com/documents/?uuid=bfeee95e-b93a-4f49-832f-3b7dd952e5b5"]}],"mendeley":{"formattedCitation":"[229]","plainTextFormattedCitation":"[229]","previouslyFormattedCitation":"[229]"},"properties":{"noteIndex":0},"schema":"https://github.com/citation-style-language/schema/raw/master/csl-citation.json"}</w:instrText>
      </w:r>
      <w:r w:rsidRPr="00BA4F0F">
        <w:fldChar w:fldCharType="separate"/>
      </w:r>
      <w:r w:rsidR="006E1902" w:rsidRPr="006E1902">
        <w:rPr>
          <w:noProof/>
        </w:rPr>
        <w:t>[229]</w:t>
      </w:r>
      <w:r w:rsidRPr="00BA4F0F">
        <w:fldChar w:fldCharType="end"/>
      </w:r>
      <w:r w:rsidRPr="00BA4F0F">
        <w:t>.</w:t>
      </w:r>
    </w:p>
    <w:p w14:paraId="01020804" w14:textId="77777777" w:rsidR="0049053C" w:rsidRPr="00BA4F0F" w:rsidRDefault="0049053C" w:rsidP="00650324">
      <w:pPr>
        <w:pStyle w:val="1ff0"/>
      </w:pPr>
      <w:r w:rsidRPr="00BA4F0F">
        <w:t>Оценивая число клеток-предшественников, следует уделить особое внимание методу количественного определения. Результаты проточного цитометрического анализа числа CD34+клеток различаются в зависимости от конкретной методологии, и следует с осторожностью относиться к рекомендациям по их числу, основанным на исследованиях, проведенных в других лабораториях.</w:t>
      </w:r>
    </w:p>
    <w:p w14:paraId="45FA3B73" w14:textId="77777777" w:rsidR="0049053C" w:rsidRPr="00BA4F0F" w:rsidRDefault="0049053C" w:rsidP="00650324">
      <w:pPr>
        <w:pStyle w:val="1ff0"/>
      </w:pPr>
      <w:r w:rsidRPr="00BA4F0F">
        <w:t xml:space="preserve">В день первого предполагаемого сбора выполняется общий анализ крови и подсчет </w:t>
      </w:r>
      <w:r w:rsidRPr="00BA4F0F">
        <w:rPr>
          <w:lang w:val="en-US"/>
        </w:rPr>
        <w:t>CD</w:t>
      </w:r>
      <w:r w:rsidRPr="00BA4F0F">
        <w:t xml:space="preserve">34+ в крови методом проточной цитометрии. </w:t>
      </w:r>
    </w:p>
    <w:p w14:paraId="2BC78062" w14:textId="77777777" w:rsidR="0049053C" w:rsidRPr="00BA4F0F" w:rsidRDefault="0049053C" w:rsidP="00650324">
      <w:pPr>
        <w:pStyle w:val="1ff0"/>
      </w:pPr>
      <w:r w:rsidRPr="00BA4F0F">
        <w:t xml:space="preserve">Подсчет абсолютного количества </w:t>
      </w:r>
      <w:r w:rsidRPr="00BA4F0F">
        <w:rPr>
          <w:lang w:val="en-US"/>
        </w:rPr>
        <w:t>CD</w:t>
      </w:r>
      <w:r w:rsidRPr="00BA4F0F">
        <w:t xml:space="preserve">34+ ГСК в крови проводится по формуле: </w:t>
      </w:r>
    </w:p>
    <w:p w14:paraId="1F94F36A" w14:textId="77777777" w:rsidR="0049053C" w:rsidRPr="00BA4F0F" w:rsidRDefault="0049053C" w:rsidP="00325BC4">
      <w:pPr>
        <w:pStyle w:val="1ff0"/>
        <w:jc w:val="center"/>
      </w:pPr>
      <w:r w:rsidRPr="00BA4F0F">
        <w:t xml:space="preserve">Абсолютное содержание </w:t>
      </w:r>
      <w:r w:rsidRPr="00BA4F0F">
        <w:rPr>
          <w:lang w:val="en-US"/>
        </w:rPr>
        <w:t>CD</w:t>
      </w:r>
      <w:r w:rsidRPr="00BA4F0F">
        <w:t>34+ клеток в крови (клеток/мкл) =</w:t>
      </w:r>
    </w:p>
    <w:p w14:paraId="304AEBBF" w14:textId="77777777" w:rsidR="0049053C" w:rsidRPr="00BA4F0F" w:rsidRDefault="0049053C" w:rsidP="00325BC4">
      <w:pPr>
        <w:pStyle w:val="1ff0"/>
        <w:jc w:val="center"/>
      </w:pPr>
      <w:r w:rsidRPr="00BA4F0F">
        <w:t xml:space="preserve">доля </w:t>
      </w:r>
      <w:r w:rsidRPr="00BA4F0F">
        <w:rPr>
          <w:lang w:val="en-US"/>
        </w:rPr>
        <w:t>CD</w:t>
      </w:r>
      <w:r w:rsidRPr="00BA4F0F">
        <w:t>34+ клеток (%) × количество лейкоцитов (10</w:t>
      </w:r>
      <w:r w:rsidRPr="00BA4F0F">
        <w:rPr>
          <w:vertAlign w:val="superscript"/>
        </w:rPr>
        <w:t>9</w:t>
      </w:r>
      <w:r w:rsidRPr="00BA4F0F">
        <w:t>/л) × 10</w:t>
      </w:r>
    </w:p>
    <w:p w14:paraId="4542C7BE" w14:textId="77777777" w:rsidR="0049053C" w:rsidRPr="00BA4F0F" w:rsidRDefault="0049053C" w:rsidP="00650324">
      <w:pPr>
        <w:pStyle w:val="1ff0"/>
      </w:pPr>
      <w:r w:rsidRPr="00BA4F0F">
        <w:t xml:space="preserve">При содержании </w:t>
      </w:r>
      <w:r w:rsidRPr="00BA4F0F">
        <w:rPr>
          <w:lang w:val="en-US"/>
        </w:rPr>
        <w:t>CD</w:t>
      </w:r>
      <w:r w:rsidRPr="00BA4F0F">
        <w:t>34+ клеток в периферической крови более 10-20 в 1 мкл. можно начинать первый лейкаферез.</w:t>
      </w:r>
    </w:p>
    <w:p w14:paraId="2DF59732" w14:textId="77777777" w:rsidR="0049053C" w:rsidRPr="00BA4F0F" w:rsidRDefault="0049053C" w:rsidP="00650324">
      <w:pPr>
        <w:pStyle w:val="1ff0"/>
      </w:pPr>
      <w:r w:rsidRPr="00BA4F0F">
        <w:t xml:space="preserve">Если абсолютное количество </w:t>
      </w:r>
      <w:r w:rsidRPr="00BA4F0F">
        <w:rPr>
          <w:lang w:val="en-US"/>
        </w:rPr>
        <w:t>CD</w:t>
      </w:r>
      <w:r w:rsidRPr="00BA4F0F">
        <w:t>34+ клеток в крови более 20 в 1 мкл., высока вероятность заготовки трансплантата за 1-2 процедуры лейкафкереза.</w:t>
      </w:r>
    </w:p>
    <w:p w14:paraId="41B62478" w14:textId="77777777" w:rsidR="0049053C" w:rsidRPr="00BA4F0F" w:rsidRDefault="0049053C" w:rsidP="00650324">
      <w:pPr>
        <w:pStyle w:val="1ff0"/>
      </w:pPr>
      <w:r w:rsidRPr="00BA4F0F">
        <w:lastRenderedPageBreak/>
        <w:t xml:space="preserve">При обнаружении </w:t>
      </w:r>
      <w:r w:rsidRPr="00BA4F0F">
        <w:rPr>
          <w:lang w:val="en-US"/>
        </w:rPr>
        <w:t>CD</w:t>
      </w:r>
      <w:r w:rsidRPr="00BA4F0F">
        <w:t>34+ клеток в крови в количе</w:t>
      </w:r>
      <w:r w:rsidRPr="00BA4F0F">
        <w:rPr>
          <w:lang w:val="en-US"/>
        </w:rPr>
        <w:t>c</w:t>
      </w:r>
      <w:r w:rsidRPr="00BA4F0F">
        <w:t xml:space="preserve">тве 10-20 в 1 мкл. обычно необходимо 2-4 процедуры лейкафереза. </w:t>
      </w:r>
    </w:p>
    <w:p w14:paraId="03A1D821" w14:textId="77777777" w:rsidR="0049053C" w:rsidRPr="00BA4F0F" w:rsidRDefault="0049053C" w:rsidP="00650324">
      <w:pPr>
        <w:pStyle w:val="1ff0"/>
      </w:pPr>
      <w:r w:rsidRPr="00BA4F0F">
        <w:t xml:space="preserve">Если содержание </w:t>
      </w:r>
      <w:r w:rsidRPr="00BA4F0F">
        <w:rPr>
          <w:lang w:val="en-US"/>
        </w:rPr>
        <w:t>CD</w:t>
      </w:r>
      <w:r w:rsidRPr="00BA4F0F">
        <w:t>34+ клеток менее 10 в 1 мкл., желательно воздержаться от сбора клеток в этот день и повторить анализ на следующий день.</w:t>
      </w:r>
    </w:p>
    <w:p w14:paraId="72ED16DE" w14:textId="77777777" w:rsidR="0049053C" w:rsidRPr="00BA4F0F" w:rsidRDefault="0049053C" w:rsidP="00650324">
      <w:pPr>
        <w:pStyle w:val="1ff0"/>
      </w:pPr>
      <w:r w:rsidRPr="00BA4F0F">
        <w:t xml:space="preserve">При содержании </w:t>
      </w:r>
      <w:r w:rsidRPr="00BA4F0F">
        <w:rPr>
          <w:lang w:val="en-US"/>
        </w:rPr>
        <w:t>CD</w:t>
      </w:r>
      <w:r w:rsidRPr="00BA4F0F">
        <w:t>34+ клеток менее 5 в 1 мкл. необходимо обсудить вопрос об отказе от продолжения мобилизации или же возможности применения плериксафора.</w:t>
      </w:r>
    </w:p>
    <w:p w14:paraId="0C933B49" w14:textId="77777777" w:rsidR="0049053C" w:rsidRPr="00BA4F0F" w:rsidRDefault="0049053C" w:rsidP="00650324">
      <w:pPr>
        <w:pStyle w:val="1ff0"/>
      </w:pPr>
      <w:r w:rsidRPr="00BA4F0F">
        <w:t>Процедура лейкафереза может осуществлятъся как в автоматическом, так и в полуавтоматическом режиме. При количестве лейкоцитов более 20 ×10</w:t>
      </w:r>
      <w:r w:rsidRPr="00BA4F0F">
        <w:rPr>
          <w:vertAlign w:val="superscript"/>
        </w:rPr>
        <w:t>9</w:t>
      </w:r>
      <w:r w:rsidRPr="00BA4F0F">
        <w:t xml:space="preserve">/л предпочтителен полуавтоматический режим для возможности ручной регулировки границы раздела сред. </w:t>
      </w:r>
    </w:p>
    <w:p w14:paraId="07562415" w14:textId="77777777" w:rsidR="0049053C" w:rsidRPr="00BA4F0F" w:rsidRDefault="0049053C" w:rsidP="00650324">
      <w:pPr>
        <w:pStyle w:val="1ff0"/>
      </w:pPr>
      <w:r w:rsidRPr="00BA4F0F">
        <w:t>Абсолютными противопоказаниями для проведения процедуры лейкафереза являются тяжелые соматические заболевания в стадии декомпенсации, угрожающие жизни состояния.</w:t>
      </w:r>
    </w:p>
    <w:p w14:paraId="0EB2F4D3" w14:textId="77777777" w:rsidR="0049053C" w:rsidRPr="00BA4F0F" w:rsidRDefault="0049053C" w:rsidP="00650324">
      <w:pPr>
        <w:pStyle w:val="1ff0"/>
      </w:pPr>
      <w:r w:rsidRPr="00BA4F0F">
        <w:t>Примерами относительных противопоказаний может быть значимое снижение гемоглобина или тромбоцитов, что компенсируется трансфузионной поддержкой до процедуры. Непосредственно перед процедурой необходимо измерить артериальное давление, оценить общее состояние пациента, ознакомиться с результатами биохимического анализа крови и коагулограммы.</w:t>
      </w:r>
    </w:p>
    <w:p w14:paraId="0267092A" w14:textId="77777777" w:rsidR="0049053C" w:rsidRPr="00BA4F0F" w:rsidRDefault="0049053C" w:rsidP="00650324">
      <w:pPr>
        <w:pStyle w:val="1ff0"/>
      </w:pPr>
      <w:r w:rsidRPr="00BA4F0F">
        <w:t>Процедура сбора ГСК длится около 3-4 часов. Во время проведения лейкафереза при развитии гипокальцемии (проявляется парестезией губ, языка, кончиков пальцев) необходимо замедлить скорость возврата крови. Для профилактики цитратной реакции рекомендуется введение 10 мл 10% раствора кальция глюконата или 5 мл 10% раствора кальция хлорида на каждые 200 мл цитратного раствора при массе тела пациента &lt; 60 кг или на каждые 400 мл при массе тела &gt; 70 кг.</w:t>
      </w:r>
    </w:p>
    <w:p w14:paraId="45D740D0" w14:textId="7E02953E" w:rsidR="0049053C" w:rsidRPr="00BA4F0F" w:rsidRDefault="0049053C" w:rsidP="00650324">
      <w:pPr>
        <w:pStyle w:val="1ff0"/>
      </w:pPr>
      <w:r w:rsidRPr="00BA4F0F">
        <w:t>Из полученного продукта берут пробу ГСК для определения содержания С</w:t>
      </w:r>
      <w:r w:rsidRPr="00BA4F0F">
        <w:rPr>
          <w:lang w:val="en-US"/>
        </w:rPr>
        <w:t>D</w:t>
      </w:r>
      <w:r w:rsidRPr="00BA4F0F">
        <w:t xml:space="preserve">34+ клеток при помощи проточного цитофлуориметра. Существует множество рекомендуемых схем по подсчету </w:t>
      </w:r>
      <w:r w:rsidRPr="00BA4F0F">
        <w:rPr>
          <w:lang w:val="en-US"/>
        </w:rPr>
        <w:t>CD</w:t>
      </w:r>
      <w:r w:rsidRPr="00BA4F0F">
        <w:t xml:space="preserve">34+ ГСК, наиболее известен </w:t>
      </w:r>
      <w:r w:rsidRPr="00BA4F0F">
        <w:rPr>
          <w:lang w:val="en-US"/>
        </w:rPr>
        <w:t>ISHAGE</w:t>
      </w:r>
      <w:r w:rsidRPr="00BA4F0F">
        <w:t xml:space="preserve">-протокол (International Society of Hematotherapy and Graft Engineering) </w:t>
      </w:r>
      <w:r w:rsidRPr="00BA4F0F">
        <w:fldChar w:fldCharType="begin" w:fldLock="1"/>
      </w:r>
      <w:r w:rsidR="00A6794A">
        <w:instrText>ADDIN CSL_CITATION {"citationItems":[{"id":"ITEM-1","itemData":{"DOI":"10.1089/scd.1.1996.5.213","ISSN":"15258165","abstract":"The increased use of Peripheral Blood Stem Cells (PBSC) to reconstitute hematopoiesis in autotransplant and, more recently, allotransplant settings has not been associated with a consensus means to quality control the PBSC product. Since the small population of cells that bear the CD34 antigen are thought to be responsible for multilineage engraftment, graft assessment by flow cytometric quantitation of CD34+ cells should provide a rapid, reliable, and reproducible assay. Unfortunately, although a number of flow cytometric assays for CD34 enumeration have been described, the lack of a standardized method has led to the generation of widely divergent data. Furthermore, none of these assays has been validated as to interlaboratory reproducibility and suitability for widespread clinical application. In early 1995, the International Society of Hematotherapy and Graft Engineering (ISHAGE) established a Stem Cell Enumeration Committee, the mandate of which was to validate a simple, rapid, and sensitive flow cytometric method to quantitate CD34+ cells in peripheral blood and apheresis products. We also sought to establish its utility on a variety of flow cytometers in clinical laboratories and its reproducibility between transplant centers. Here, we describe the four-parameter flow methodology adopted by ISHAGE for validation in a multicenter study in North America.","author":[{"dropping-particle":"","family":"Sutherland","given":"D. Robert","non-dropping-particle":"","parse-names":false,"suffix":""},{"dropping-particle":"","family":"Anderson","given":"Lori","non-dropping-particle":"","parse-names":false,"suffix":""},{"dropping-particle":"","family":"Keeney","given":"Michael","non-dropping-particle":"","parse-names":false,"suffix":""},{"dropping-particle":"","family":"Nayar","given":"Rakash","non-dropping-particle":"","parse-names":false,"suffix":""},{"dropping-particle":"","family":"Chin-Yee","given":"Ian","non-dropping-particle":"","parse-names":false,"suffix":""}],"container-title":"Journal of Hematotherapy and Stem Cell Research","id":"ITEM-1","issue":"3","issued":{"date-parts":[["1996","6"]]},"page":"213-226","publisher":"J Hematother","title":"The ISHAGE guidelines for CD34+ cell determination by flow cytometry","type":"article","volume":"5"},"uris":["http://www.mendeley.com/documents/?uuid=af6aeaab-986b-3c29-a268-8b3298a087ff","http://www.mendeley.com/documents/?uuid=9e9b6059-b96a-40ee-8392-9fa21aa556d8","http://www.mendeley.com/documents/?uuid=396368c5-3715-4315-9d9f-b0f985c72f2e","http://www.mendeley.com/documents/?uuid=832a537d-2a1a-436d-b363-a2a1b60dd4aa","http://www.mendeley.com/documents/?uuid=d76426e4-3e5f-4355-ae7b-509de6e06dd4","http://www.mendeley.com/documents/?uuid=022d11d0-3e2a-46a4-9f7c-deed4443ec90","http://www.mendeley.com/documents/?uuid=3b63824f-4c14-4eba-b990-62e0bcaea90c"]}],"mendeley":{"formattedCitation":"[230]","plainTextFormattedCitation":"[230]","previouslyFormattedCitation":"[230]"},"properties":{"noteIndex":0},"schema":"https://github.com/citation-style-language/schema/raw/master/csl-citation.json"}</w:instrText>
      </w:r>
      <w:r w:rsidRPr="00BA4F0F">
        <w:fldChar w:fldCharType="separate"/>
      </w:r>
      <w:r w:rsidR="006E1902" w:rsidRPr="006E1902">
        <w:rPr>
          <w:noProof/>
        </w:rPr>
        <w:t>[230]</w:t>
      </w:r>
      <w:r w:rsidRPr="00BA4F0F">
        <w:fldChar w:fldCharType="end"/>
      </w:r>
      <w:r w:rsidRPr="00BA4F0F">
        <w:t xml:space="preserve">. </w:t>
      </w:r>
    </w:p>
    <w:p w14:paraId="6DDE3A03" w14:textId="77777777" w:rsidR="0049053C" w:rsidRPr="00BA4F0F" w:rsidRDefault="0049053C" w:rsidP="00650324">
      <w:pPr>
        <w:pStyle w:val="1ff0"/>
      </w:pPr>
      <w:r w:rsidRPr="00BA4F0F">
        <w:t xml:space="preserve">Таким образом, для успешного сбора ГСК важны своевременное начало первой процедуры лейкафереза и отлаженная лабораторная методика, включающая цитофлуориметрический анализ. </w:t>
      </w:r>
    </w:p>
    <w:p w14:paraId="01647CC1" w14:textId="77777777" w:rsidR="0049053C" w:rsidRPr="00BA4F0F" w:rsidRDefault="0049053C" w:rsidP="00650324">
      <w:pPr>
        <w:pStyle w:val="1ff0"/>
        <w:rPr>
          <w:u w:val="single"/>
        </w:rPr>
      </w:pPr>
      <w:bookmarkStart w:id="110" w:name="_Toc44926612"/>
    </w:p>
    <w:p w14:paraId="0712AEBD" w14:textId="77777777" w:rsidR="0049053C" w:rsidRPr="00BA4F0F" w:rsidRDefault="0049053C" w:rsidP="00650324">
      <w:pPr>
        <w:pStyle w:val="1ff0"/>
        <w:rPr>
          <w:u w:val="single"/>
        </w:rPr>
      </w:pPr>
      <w:r w:rsidRPr="00BA4F0F">
        <w:rPr>
          <w:u w:val="single"/>
        </w:rPr>
        <w:t>Криоконсервирование трансплантата</w:t>
      </w:r>
      <w:bookmarkEnd w:id="110"/>
    </w:p>
    <w:p w14:paraId="72C64C18" w14:textId="77777777" w:rsidR="0049053C" w:rsidRPr="00BA4F0F" w:rsidRDefault="0049053C" w:rsidP="00650324">
      <w:pPr>
        <w:pStyle w:val="1ff0"/>
      </w:pPr>
      <w:r w:rsidRPr="00BA4F0F">
        <w:lastRenderedPageBreak/>
        <w:t xml:space="preserve">Параллельно с подсчетом CD34+ клеток проводится фракционирование полученного продукта лейкафереза. Сначала маркируют полимерный двухкамерный контейнер (первая камера - «плазма», вторая - «гемопоэтические стволовые клетки»), переносят лейкоконцентрат в контейнер для ГСК в асептических условиях и проводят центрифугирование (2000 об/мин) в течение 15 мин. </w:t>
      </w:r>
    </w:p>
    <w:p w14:paraId="3C622C58" w14:textId="77777777" w:rsidR="0049053C" w:rsidRPr="00BA4F0F" w:rsidRDefault="0049053C" w:rsidP="00650324">
      <w:pPr>
        <w:pStyle w:val="1ff0"/>
      </w:pPr>
      <w:r w:rsidRPr="00BA4F0F">
        <w:t xml:space="preserve">Фракционирование проводят в асептических условиях, например, в условиях ламинарного шкафа биологической безопасности </w:t>
      </w:r>
      <w:r w:rsidRPr="00BA4F0F">
        <w:rPr>
          <w:lang w:val="en-US"/>
        </w:rPr>
        <w:t>II</w:t>
      </w:r>
      <w:r w:rsidRPr="00BA4F0F">
        <w:t xml:space="preserve"> класса. Далее осуществляется подсчет </w:t>
      </w:r>
      <w:r w:rsidRPr="00BA4F0F">
        <w:rPr>
          <w:lang w:val="en-US"/>
        </w:rPr>
        <w:t>CD</w:t>
      </w:r>
      <w:r w:rsidRPr="00BA4F0F">
        <w:t>34+ клеток в полученном лейкоконцентрате. Получив долю CD34+ клеток от всех лейкоцитов в лейкоконцентрате, подсчитывают количество CD34+ клеток на 1 кг массы тела пациента.</w:t>
      </w:r>
    </w:p>
    <w:p w14:paraId="1D4BF254" w14:textId="77777777" w:rsidR="0049053C" w:rsidRPr="00BA4F0F" w:rsidRDefault="0049053C" w:rsidP="00650324">
      <w:pPr>
        <w:pStyle w:val="1ff0"/>
      </w:pPr>
      <w:r w:rsidRPr="00BA4F0F">
        <w:t xml:space="preserve">Процесс криоконсервирования включает несколько этапов. Сначала проводят расчет необходимого количества раствора ДМСО, который нужно добавить к ГСК. Полученный биоматериал с криопротектором переносят в контейнер для криоконсервирования и тщательно удаляют пузыри воздуха. </w:t>
      </w:r>
    </w:p>
    <w:p w14:paraId="059C4980" w14:textId="77777777" w:rsidR="0049053C" w:rsidRPr="00BA4F0F" w:rsidRDefault="0049053C" w:rsidP="00650324">
      <w:pPr>
        <w:pStyle w:val="1ff0"/>
      </w:pPr>
      <w:r w:rsidRPr="00BA4F0F">
        <w:t xml:space="preserve">Заморозку и хранение биоматериала производят в емкости с парами жидкого азота. </w:t>
      </w:r>
    </w:p>
    <w:p w14:paraId="57BC63D4" w14:textId="77777777" w:rsidR="0049053C" w:rsidRPr="00BA4F0F" w:rsidRDefault="0049053C" w:rsidP="00650324">
      <w:pPr>
        <w:pStyle w:val="1ff0"/>
        <w:rPr>
          <w:b/>
        </w:rPr>
      </w:pPr>
      <w:bookmarkStart w:id="111" w:name="_Toc44926613"/>
    </w:p>
    <w:p w14:paraId="714E9BEC" w14:textId="77777777" w:rsidR="0049053C" w:rsidRPr="00BA4F0F" w:rsidRDefault="0049053C" w:rsidP="00650324">
      <w:pPr>
        <w:pStyle w:val="1ff0"/>
        <w:rPr>
          <w:b/>
        </w:rPr>
      </w:pPr>
      <w:r w:rsidRPr="00BA4F0F">
        <w:rPr>
          <w:b/>
        </w:rPr>
        <w:t>Обследование пациентов перед мобилизацией и сбором ГСК</w:t>
      </w:r>
      <w:bookmarkEnd w:id="111"/>
    </w:p>
    <w:p w14:paraId="6FC099C1" w14:textId="77777777" w:rsidR="0049053C" w:rsidRPr="00BA4F0F" w:rsidRDefault="0049053C" w:rsidP="00650324">
      <w:pPr>
        <w:pStyle w:val="1ff0"/>
      </w:pPr>
      <w:r w:rsidRPr="00BA4F0F">
        <w:t>Перед началом мобилизации гемопоэтических стволовых клеток необходимо определить фазу заболевания, оценить соматический статус пациента и состояние кроветворения. Для этого всем пациентам проводится рутинный комплекс обследования, включающий как лабораторные, так и инструментальные методы.</w:t>
      </w:r>
    </w:p>
    <w:p w14:paraId="4AD7660B" w14:textId="77777777" w:rsidR="0049053C" w:rsidRPr="00BA4F0F" w:rsidRDefault="0049053C" w:rsidP="00650324">
      <w:pPr>
        <w:pStyle w:val="1ff0"/>
        <w:rPr>
          <w:u w:val="single"/>
        </w:rPr>
      </w:pPr>
      <w:bookmarkStart w:id="112" w:name="_Toc44926614"/>
    </w:p>
    <w:p w14:paraId="4472813F" w14:textId="77777777" w:rsidR="0049053C" w:rsidRPr="00BA4F0F" w:rsidRDefault="0049053C" w:rsidP="00650324">
      <w:pPr>
        <w:pStyle w:val="1ff0"/>
        <w:rPr>
          <w:u w:val="single"/>
        </w:rPr>
      </w:pPr>
      <w:r w:rsidRPr="00BA4F0F">
        <w:rPr>
          <w:u w:val="single"/>
        </w:rPr>
        <w:t>Общие методы обследования</w:t>
      </w:r>
      <w:bookmarkEnd w:id="112"/>
    </w:p>
    <w:p w14:paraId="77D53223" w14:textId="77777777" w:rsidR="0049053C" w:rsidRPr="00BA4F0F" w:rsidRDefault="0049053C" w:rsidP="00FE0193">
      <w:pPr>
        <w:pStyle w:val="1ff0"/>
        <w:numPr>
          <w:ilvl w:val="0"/>
          <w:numId w:val="94"/>
        </w:numPr>
      </w:pPr>
      <w:r w:rsidRPr="00BA4F0F">
        <w:t>Развернутый анализ крови.</w:t>
      </w:r>
    </w:p>
    <w:p w14:paraId="48F16A44" w14:textId="77777777" w:rsidR="0049053C" w:rsidRPr="00BA4F0F" w:rsidRDefault="0049053C" w:rsidP="00FE0193">
      <w:pPr>
        <w:pStyle w:val="1ff0"/>
        <w:numPr>
          <w:ilvl w:val="0"/>
          <w:numId w:val="94"/>
        </w:numPr>
      </w:pPr>
      <w:r w:rsidRPr="00BA4F0F">
        <w:t>Биохимический анализ крови с обязательным определением: уровней общего белка, альбумина, креатинина, мочевой кислоты, калия, кальция, активности ЛДГ.</w:t>
      </w:r>
    </w:p>
    <w:p w14:paraId="70868ECA" w14:textId="77777777" w:rsidR="0049053C" w:rsidRPr="00BA4F0F" w:rsidRDefault="0049053C" w:rsidP="00FE0193">
      <w:pPr>
        <w:pStyle w:val="1ff0"/>
        <w:numPr>
          <w:ilvl w:val="0"/>
          <w:numId w:val="94"/>
        </w:numPr>
      </w:pPr>
      <w:r w:rsidRPr="00BA4F0F">
        <w:t>Общий анализ мочи.</w:t>
      </w:r>
    </w:p>
    <w:p w14:paraId="7520BE49" w14:textId="77777777" w:rsidR="0049053C" w:rsidRPr="00BA4F0F" w:rsidRDefault="0049053C" w:rsidP="00FE0193">
      <w:pPr>
        <w:pStyle w:val="1ff0"/>
        <w:numPr>
          <w:ilvl w:val="0"/>
          <w:numId w:val="94"/>
        </w:numPr>
      </w:pPr>
      <w:r w:rsidRPr="00BA4F0F">
        <w:t>Глюкоза крови.</w:t>
      </w:r>
    </w:p>
    <w:p w14:paraId="0430EDBC" w14:textId="77777777" w:rsidR="0049053C" w:rsidRPr="00BA4F0F" w:rsidRDefault="0049053C" w:rsidP="00FE0193">
      <w:pPr>
        <w:pStyle w:val="1ff0"/>
        <w:numPr>
          <w:ilvl w:val="0"/>
          <w:numId w:val="94"/>
        </w:numPr>
      </w:pPr>
      <w:r w:rsidRPr="00BA4F0F">
        <w:t>Определение скорости клубочковой фильтрации.</w:t>
      </w:r>
    </w:p>
    <w:p w14:paraId="641CF879" w14:textId="77777777" w:rsidR="0049053C" w:rsidRPr="00BA4F0F" w:rsidRDefault="0049053C" w:rsidP="00FE0193">
      <w:pPr>
        <w:pStyle w:val="1ff0"/>
        <w:numPr>
          <w:ilvl w:val="0"/>
          <w:numId w:val="94"/>
        </w:numPr>
      </w:pPr>
      <w:r w:rsidRPr="00BA4F0F">
        <w:t>Коагулограмма (протромбин, международное нормализованное отношение, активированное частичное тромбопластиновое время, фибриноген, тромбиновое время, антитромбин III, плазминоген).</w:t>
      </w:r>
    </w:p>
    <w:p w14:paraId="4675161E" w14:textId="77777777" w:rsidR="0049053C" w:rsidRPr="00BA4F0F" w:rsidRDefault="0049053C" w:rsidP="00FE0193">
      <w:pPr>
        <w:pStyle w:val="1ff0"/>
        <w:numPr>
          <w:ilvl w:val="0"/>
          <w:numId w:val="94"/>
        </w:numPr>
      </w:pPr>
      <w:r w:rsidRPr="00BA4F0F">
        <w:lastRenderedPageBreak/>
        <w:t>Пункция костного мозга с подсчетом миелограммы.</w:t>
      </w:r>
    </w:p>
    <w:p w14:paraId="14DE66C6" w14:textId="77777777" w:rsidR="0049053C" w:rsidRPr="00BA4F0F" w:rsidRDefault="0049053C" w:rsidP="00FE0193">
      <w:pPr>
        <w:pStyle w:val="1ff0"/>
        <w:numPr>
          <w:ilvl w:val="0"/>
          <w:numId w:val="94"/>
        </w:numPr>
      </w:pPr>
      <w:r w:rsidRPr="00BA4F0F">
        <w:t>Гистологическое исследование биопсийного материала костного мозга для оценки состояния кроветворения.</w:t>
      </w:r>
    </w:p>
    <w:p w14:paraId="331986A8" w14:textId="77777777" w:rsidR="0049053C" w:rsidRPr="00BA4F0F" w:rsidRDefault="0049053C" w:rsidP="00FE0193">
      <w:pPr>
        <w:pStyle w:val="1ff0"/>
        <w:numPr>
          <w:ilvl w:val="0"/>
          <w:numId w:val="94"/>
        </w:numPr>
      </w:pPr>
      <w:r w:rsidRPr="00BA4F0F">
        <w:t>Гистологическое исследование биопсийного материала костного мозга с применением иммуногистохимических методов для оценки состояния кроветворения и инфильтрации костного мозга опухолевыми клетками.</w:t>
      </w:r>
    </w:p>
    <w:p w14:paraId="754FB4DE" w14:textId="77777777" w:rsidR="0049053C" w:rsidRPr="00BA4F0F" w:rsidRDefault="0049053C" w:rsidP="00FE0193">
      <w:pPr>
        <w:pStyle w:val="1ff0"/>
        <w:numPr>
          <w:ilvl w:val="0"/>
          <w:numId w:val="94"/>
        </w:numPr>
      </w:pPr>
      <w:r w:rsidRPr="00BA4F0F">
        <w:t>Иммунофенотипическое исследование костного мозга методом проточной цитометрии для определения маркеров минимальной остаточной болезни.</w:t>
      </w:r>
    </w:p>
    <w:p w14:paraId="0DDAA0B0" w14:textId="77777777" w:rsidR="0049053C" w:rsidRPr="00BA4F0F" w:rsidRDefault="0049053C" w:rsidP="00FE0193">
      <w:pPr>
        <w:pStyle w:val="1ff0"/>
        <w:numPr>
          <w:ilvl w:val="0"/>
          <w:numId w:val="94"/>
        </w:numPr>
      </w:pPr>
      <w:r w:rsidRPr="00BA4F0F">
        <w:t>Определение группы крови (</w:t>
      </w:r>
      <w:r w:rsidRPr="00BA4F0F">
        <w:rPr>
          <w:lang w:val="en-US"/>
        </w:rPr>
        <w:t>ABO</w:t>
      </w:r>
      <w:r w:rsidRPr="00BA4F0F">
        <w:t>, Резус, фенотип по антигенам C, c, E, e, Cw, K, k, а также определение антиэритроцитарных антител).</w:t>
      </w:r>
    </w:p>
    <w:p w14:paraId="1753331E" w14:textId="77777777" w:rsidR="0049053C" w:rsidRPr="00BA4F0F" w:rsidRDefault="0049053C" w:rsidP="00FE0193">
      <w:pPr>
        <w:pStyle w:val="1ff0"/>
        <w:numPr>
          <w:ilvl w:val="0"/>
          <w:numId w:val="94"/>
        </w:numPr>
      </w:pPr>
      <w:r w:rsidRPr="00BA4F0F">
        <w:t>Исследование на маркеры вирусов гепатитов</w:t>
      </w:r>
      <w:r w:rsidRPr="00BA4F0F">
        <w:rPr>
          <w:lang w:val="en-US"/>
        </w:rPr>
        <w:t> B</w:t>
      </w:r>
      <w:r w:rsidRPr="00BA4F0F">
        <w:t xml:space="preserve"> и </w:t>
      </w:r>
      <w:r w:rsidRPr="00BA4F0F">
        <w:rPr>
          <w:lang w:val="en-US"/>
        </w:rPr>
        <w:t>C</w:t>
      </w:r>
      <w:r w:rsidRPr="00BA4F0F">
        <w:t xml:space="preserve">, ВИЧ, </w:t>
      </w:r>
      <w:r w:rsidRPr="00BA4F0F">
        <w:rPr>
          <w:lang w:val="en-US"/>
        </w:rPr>
        <w:t>RW</w:t>
      </w:r>
      <w:r w:rsidRPr="00BA4F0F">
        <w:t>.</w:t>
      </w:r>
    </w:p>
    <w:p w14:paraId="6DDCBBB2" w14:textId="77777777" w:rsidR="0049053C" w:rsidRPr="00BA4F0F" w:rsidRDefault="0049053C" w:rsidP="00FE0193">
      <w:pPr>
        <w:pStyle w:val="1ff0"/>
        <w:numPr>
          <w:ilvl w:val="0"/>
          <w:numId w:val="94"/>
        </w:numPr>
      </w:pPr>
      <w:r w:rsidRPr="00BA4F0F">
        <w:t>Электрокардиограмма.</w:t>
      </w:r>
    </w:p>
    <w:p w14:paraId="4819858A" w14:textId="77777777" w:rsidR="0049053C" w:rsidRPr="00BA4F0F" w:rsidRDefault="0049053C" w:rsidP="00FE0193">
      <w:pPr>
        <w:pStyle w:val="1ff0"/>
        <w:numPr>
          <w:ilvl w:val="0"/>
          <w:numId w:val="94"/>
        </w:numPr>
      </w:pPr>
      <w:r w:rsidRPr="00BA4F0F">
        <w:t>Эхокардиография.</w:t>
      </w:r>
    </w:p>
    <w:p w14:paraId="1624CBF0" w14:textId="77777777" w:rsidR="0049053C" w:rsidRPr="00BA4F0F" w:rsidRDefault="0049053C" w:rsidP="00FE0193">
      <w:pPr>
        <w:pStyle w:val="1ff0"/>
        <w:numPr>
          <w:ilvl w:val="0"/>
          <w:numId w:val="94"/>
        </w:numPr>
      </w:pPr>
      <w:r w:rsidRPr="00BA4F0F">
        <w:t>Холтеровское мониторирование сердечного ритма – при выявлении нарушений ритма и проводимости на ЭКГ.</w:t>
      </w:r>
    </w:p>
    <w:p w14:paraId="1CB070A2" w14:textId="77777777" w:rsidR="0049053C" w:rsidRPr="00BA4F0F" w:rsidRDefault="0049053C" w:rsidP="00FE0193">
      <w:pPr>
        <w:pStyle w:val="1ff0"/>
        <w:numPr>
          <w:ilvl w:val="0"/>
          <w:numId w:val="94"/>
        </w:numPr>
      </w:pPr>
      <w:r w:rsidRPr="00BA4F0F">
        <w:t>УЗИ брюшной полости (комплексное).</w:t>
      </w:r>
    </w:p>
    <w:p w14:paraId="37DDC467" w14:textId="77777777" w:rsidR="0049053C" w:rsidRPr="00BA4F0F" w:rsidRDefault="0049053C" w:rsidP="00FE0193">
      <w:pPr>
        <w:pStyle w:val="1ff0"/>
        <w:numPr>
          <w:ilvl w:val="0"/>
          <w:numId w:val="94"/>
        </w:numPr>
      </w:pPr>
      <w:r w:rsidRPr="00BA4F0F">
        <w:t>Ультразвуковая допплерография сосудов (артерий и вен) нижних конечностей - при необходимости.</w:t>
      </w:r>
    </w:p>
    <w:p w14:paraId="51C47D2E" w14:textId="77777777" w:rsidR="0049053C" w:rsidRPr="00BA4F0F" w:rsidRDefault="0049053C" w:rsidP="00FE0193">
      <w:pPr>
        <w:pStyle w:val="1ff0"/>
        <w:numPr>
          <w:ilvl w:val="0"/>
          <w:numId w:val="94"/>
        </w:numPr>
      </w:pPr>
      <w:r w:rsidRPr="00BA4F0F">
        <w:t>Эзофагогастродуоденоскопия с биопсией – при наличии диспепсических расстройств или язвенной болезни желудка/ двенадцатиперстной кишки в анамнезе.</w:t>
      </w:r>
    </w:p>
    <w:p w14:paraId="7A033EC6" w14:textId="77777777" w:rsidR="0049053C" w:rsidRPr="00BA4F0F" w:rsidRDefault="0049053C" w:rsidP="00FE0193">
      <w:pPr>
        <w:pStyle w:val="1ff0"/>
        <w:numPr>
          <w:ilvl w:val="0"/>
          <w:numId w:val="94"/>
        </w:numPr>
      </w:pPr>
      <w:r w:rsidRPr="00BA4F0F">
        <w:t>МРТ головного мозга.</w:t>
      </w:r>
    </w:p>
    <w:p w14:paraId="698C35CD" w14:textId="77777777" w:rsidR="0049053C" w:rsidRPr="00BA4F0F" w:rsidRDefault="0049053C" w:rsidP="00FE0193">
      <w:pPr>
        <w:pStyle w:val="1ff0"/>
        <w:numPr>
          <w:ilvl w:val="0"/>
          <w:numId w:val="94"/>
        </w:numPr>
      </w:pPr>
      <w:r w:rsidRPr="00BA4F0F">
        <w:t>КТ органов грудной полости.</w:t>
      </w:r>
    </w:p>
    <w:p w14:paraId="42F8EDB0" w14:textId="77777777" w:rsidR="0049053C" w:rsidRPr="00BA4F0F" w:rsidRDefault="0049053C" w:rsidP="00FE0193">
      <w:pPr>
        <w:pStyle w:val="1ff0"/>
        <w:numPr>
          <w:ilvl w:val="0"/>
          <w:numId w:val="94"/>
        </w:numPr>
      </w:pPr>
      <w:r w:rsidRPr="00BA4F0F">
        <w:t>Люмбальная пункция с последующим цитологическим, комплексным иммунохимическим и иммунофенотипическим исследованием ликвора при подозрении на вовлечение в патологический процесс центральной нервной системы.</w:t>
      </w:r>
    </w:p>
    <w:p w14:paraId="62C34836" w14:textId="77777777" w:rsidR="0049053C" w:rsidRPr="00BA4F0F" w:rsidRDefault="0049053C" w:rsidP="00FE0193">
      <w:pPr>
        <w:pStyle w:val="1ff0"/>
        <w:numPr>
          <w:ilvl w:val="0"/>
          <w:numId w:val="94"/>
        </w:numPr>
      </w:pPr>
      <w:r w:rsidRPr="00BA4F0F">
        <w:t>Осмотр гинеколога и УЗИ органов малого таза - для женщин.</w:t>
      </w:r>
    </w:p>
    <w:p w14:paraId="15E25536" w14:textId="77777777" w:rsidR="0049053C" w:rsidRPr="00BA4F0F" w:rsidRDefault="0049053C" w:rsidP="00FE0193">
      <w:pPr>
        <w:pStyle w:val="1ff0"/>
        <w:numPr>
          <w:ilvl w:val="0"/>
          <w:numId w:val="94"/>
        </w:numPr>
      </w:pPr>
      <w:r w:rsidRPr="00BA4F0F">
        <w:t>Позитронно-эмиссионная томография, совмещенная с КТ.</w:t>
      </w:r>
    </w:p>
    <w:p w14:paraId="26EBC14D" w14:textId="77777777" w:rsidR="0049053C" w:rsidRPr="00BA4F0F" w:rsidRDefault="0049053C" w:rsidP="00FE0193">
      <w:pPr>
        <w:pStyle w:val="1ff0"/>
        <w:numPr>
          <w:ilvl w:val="0"/>
          <w:numId w:val="94"/>
        </w:numPr>
      </w:pPr>
      <w:r w:rsidRPr="00BA4F0F">
        <w:t>Исследование клональности (В/Т в зависимости от варианта заболевания) в периферической крови, костном мозге методом полимеразной цепной реакции.</w:t>
      </w:r>
    </w:p>
    <w:p w14:paraId="3D6361CB" w14:textId="77777777" w:rsidR="0049053C" w:rsidRPr="00BA4F0F" w:rsidRDefault="0049053C" w:rsidP="00FE0193">
      <w:pPr>
        <w:pStyle w:val="1ff0"/>
        <w:numPr>
          <w:ilvl w:val="0"/>
          <w:numId w:val="94"/>
        </w:numPr>
      </w:pPr>
      <w:r w:rsidRPr="00BA4F0F">
        <w:t>Определение уровня поликлональных иммуноглобулинов (A, G,M).</w:t>
      </w:r>
    </w:p>
    <w:p w14:paraId="28AB72C7" w14:textId="77777777" w:rsidR="0049053C" w:rsidRPr="00BA4F0F" w:rsidRDefault="0049053C" w:rsidP="00FE0193">
      <w:pPr>
        <w:pStyle w:val="1ff0"/>
        <w:numPr>
          <w:ilvl w:val="0"/>
          <w:numId w:val="94"/>
        </w:numPr>
      </w:pPr>
      <w:r w:rsidRPr="00BA4F0F">
        <w:lastRenderedPageBreak/>
        <w:t>КТ органов грудной полости с контрастированием при первичном вовлечении средостения.</w:t>
      </w:r>
    </w:p>
    <w:p w14:paraId="545F0173" w14:textId="77777777" w:rsidR="0049053C" w:rsidRPr="00BA4F0F" w:rsidRDefault="0049053C" w:rsidP="00FE0193">
      <w:pPr>
        <w:pStyle w:val="1ff0"/>
        <w:numPr>
          <w:ilvl w:val="0"/>
          <w:numId w:val="94"/>
        </w:numPr>
      </w:pPr>
      <w:r w:rsidRPr="00BA4F0F">
        <w:t>УЗИ периферических лимфоузлов.</w:t>
      </w:r>
    </w:p>
    <w:p w14:paraId="5BC78BB7" w14:textId="77777777" w:rsidR="0049053C" w:rsidRPr="00BA4F0F" w:rsidRDefault="0049053C" w:rsidP="00FE0193">
      <w:pPr>
        <w:pStyle w:val="1ff0"/>
        <w:numPr>
          <w:ilvl w:val="0"/>
          <w:numId w:val="94"/>
        </w:numPr>
      </w:pPr>
      <w:r w:rsidRPr="00BA4F0F">
        <w:t>Активность лактатдегидрогеназы.</w:t>
      </w:r>
    </w:p>
    <w:p w14:paraId="1147DDC0" w14:textId="77777777" w:rsidR="0049053C" w:rsidRPr="00BA4F0F" w:rsidRDefault="0049053C" w:rsidP="00FE0193">
      <w:pPr>
        <w:pStyle w:val="1ff0"/>
        <w:numPr>
          <w:ilvl w:val="0"/>
          <w:numId w:val="94"/>
        </w:numPr>
      </w:pPr>
      <w:r w:rsidRPr="00BA4F0F">
        <w:t>КТ грудной полости/ брюшной полости/ таза – для оценки противоопухолевого ответа при отсутствии возможности выполнить ПЭТ/КТ или наличии противопоказаний.</w:t>
      </w:r>
    </w:p>
    <w:p w14:paraId="23B4DC9D" w14:textId="25637074" w:rsidR="0049053C" w:rsidRPr="00325BC4" w:rsidRDefault="00325BC4" w:rsidP="00650324">
      <w:pPr>
        <w:pStyle w:val="1ff0"/>
        <w:rPr>
          <w:bCs/>
        </w:rPr>
      </w:pPr>
      <w:r w:rsidRPr="00325BC4">
        <w:rPr>
          <w:bCs/>
        </w:rPr>
        <w:t>Пациентам с ПЛЦНС необходимо дополнительно выполнить:</w:t>
      </w:r>
    </w:p>
    <w:p w14:paraId="6C80484D" w14:textId="77777777" w:rsidR="0049053C" w:rsidRPr="00BA4F0F" w:rsidRDefault="0049053C" w:rsidP="00FE0193">
      <w:pPr>
        <w:pStyle w:val="1ff0"/>
        <w:numPr>
          <w:ilvl w:val="0"/>
          <w:numId w:val="95"/>
        </w:numPr>
      </w:pPr>
      <w:r w:rsidRPr="00BA4F0F">
        <w:t>Электроэнцефалограмма.</w:t>
      </w:r>
    </w:p>
    <w:p w14:paraId="1062A6F0" w14:textId="77777777" w:rsidR="0049053C" w:rsidRPr="00BA4F0F" w:rsidRDefault="0049053C" w:rsidP="00FE0193">
      <w:pPr>
        <w:pStyle w:val="1ff0"/>
        <w:numPr>
          <w:ilvl w:val="0"/>
          <w:numId w:val="95"/>
        </w:numPr>
      </w:pPr>
      <w:r w:rsidRPr="00BA4F0F">
        <w:t>МРТ головного мозга с внутривенным контрастированием.</w:t>
      </w:r>
    </w:p>
    <w:p w14:paraId="33AB0D7F" w14:textId="77777777" w:rsidR="0049053C" w:rsidRPr="00BA4F0F" w:rsidRDefault="0049053C" w:rsidP="00FE0193">
      <w:pPr>
        <w:pStyle w:val="1ff0"/>
        <w:numPr>
          <w:ilvl w:val="0"/>
          <w:numId w:val="95"/>
        </w:numPr>
      </w:pPr>
      <w:r w:rsidRPr="00BA4F0F">
        <w:t>Консультация невролога.</w:t>
      </w:r>
    </w:p>
    <w:p w14:paraId="44317F7A" w14:textId="77777777" w:rsidR="0049053C" w:rsidRPr="00BA4F0F" w:rsidRDefault="0049053C" w:rsidP="00FE0193">
      <w:pPr>
        <w:pStyle w:val="1ff0"/>
        <w:numPr>
          <w:ilvl w:val="0"/>
          <w:numId w:val="95"/>
        </w:numPr>
      </w:pPr>
      <w:r w:rsidRPr="00BA4F0F">
        <w:t>Позитронно-эмиссионная томография, совмещенная с КТ.</w:t>
      </w:r>
    </w:p>
    <w:p w14:paraId="39F449F5" w14:textId="77777777" w:rsidR="0049053C" w:rsidRPr="00BA4F0F" w:rsidRDefault="0049053C" w:rsidP="00650324">
      <w:pPr>
        <w:pStyle w:val="1ff0"/>
        <w:rPr>
          <w:u w:val="single"/>
        </w:rPr>
      </w:pPr>
      <w:bookmarkStart w:id="113" w:name="_Toc44926616"/>
    </w:p>
    <w:p w14:paraId="6BC5FF4A" w14:textId="77777777" w:rsidR="0049053C" w:rsidRPr="00BA4F0F" w:rsidRDefault="0049053C" w:rsidP="00650324">
      <w:pPr>
        <w:pStyle w:val="1ff0"/>
        <w:rPr>
          <w:b/>
        </w:rPr>
      </w:pPr>
      <w:bookmarkStart w:id="114" w:name="_Toc44926621"/>
      <w:bookmarkEnd w:id="113"/>
      <w:r w:rsidRPr="00BA4F0F">
        <w:rPr>
          <w:b/>
        </w:rPr>
        <w:t>Противопоказания к выполнению ауто-ТГСК</w:t>
      </w:r>
      <w:bookmarkEnd w:id="114"/>
    </w:p>
    <w:p w14:paraId="25DF9812" w14:textId="77777777" w:rsidR="0049053C" w:rsidRPr="00BA4F0F" w:rsidRDefault="0049053C" w:rsidP="00650324">
      <w:pPr>
        <w:pStyle w:val="1ff0"/>
        <w:rPr>
          <w:u w:val="single"/>
        </w:rPr>
      </w:pPr>
      <w:bookmarkStart w:id="115" w:name="_Toc44926622"/>
      <w:r w:rsidRPr="00BA4F0F">
        <w:rPr>
          <w:u w:val="single"/>
        </w:rPr>
        <w:t>Абсолютные противопоказания к выполнению ауто-ТГСК</w:t>
      </w:r>
      <w:bookmarkEnd w:id="115"/>
    </w:p>
    <w:p w14:paraId="0DD9AA75" w14:textId="14A84818" w:rsidR="0049053C" w:rsidRPr="00BA4F0F" w:rsidRDefault="0049053C" w:rsidP="00FE0193">
      <w:pPr>
        <w:pStyle w:val="1ff0"/>
        <w:numPr>
          <w:ilvl w:val="0"/>
          <w:numId w:val="96"/>
        </w:numPr>
      </w:pPr>
      <w:r w:rsidRPr="00BA4F0F">
        <w:t>прогрессия/рецидив основного заболевания;</w:t>
      </w:r>
    </w:p>
    <w:p w14:paraId="726CFBA7" w14:textId="0C4AC8E7" w:rsidR="0049053C" w:rsidRPr="00BA4F0F" w:rsidRDefault="0049053C" w:rsidP="00FE0193">
      <w:pPr>
        <w:pStyle w:val="1ff0"/>
        <w:numPr>
          <w:ilvl w:val="0"/>
          <w:numId w:val="96"/>
        </w:numPr>
      </w:pPr>
      <w:r w:rsidRPr="00BA4F0F">
        <w:t>инфекционные заболевания в стадии обострения;</w:t>
      </w:r>
    </w:p>
    <w:p w14:paraId="59FF3BDD" w14:textId="2C0A05D5" w:rsidR="0049053C" w:rsidRPr="00BA4F0F" w:rsidRDefault="0049053C" w:rsidP="00FE0193">
      <w:pPr>
        <w:pStyle w:val="1ff0"/>
        <w:numPr>
          <w:ilvl w:val="0"/>
          <w:numId w:val="96"/>
        </w:numPr>
      </w:pPr>
      <w:r w:rsidRPr="00BA4F0F">
        <w:t>заболевания опорно-двигательного аппарата, системы кровообращения, органов пищеварения и дыхания, мочеполовой, эндокринной и нервной систем, а также заболевания других органов и систем в стадии обострения и сопровождающиеся стойким расстройством функций;</w:t>
      </w:r>
    </w:p>
    <w:p w14:paraId="2FA8736A" w14:textId="53CC9806" w:rsidR="0049053C" w:rsidRPr="00BA4F0F" w:rsidRDefault="0049053C" w:rsidP="00FE0193">
      <w:pPr>
        <w:pStyle w:val="1ff0"/>
        <w:numPr>
          <w:ilvl w:val="0"/>
          <w:numId w:val="96"/>
        </w:numPr>
      </w:pPr>
      <w:r w:rsidRPr="00BA4F0F">
        <w:t>наличие «вторых» злокачественных новообразований вне ремиссии;</w:t>
      </w:r>
    </w:p>
    <w:p w14:paraId="6C607316" w14:textId="3B3C3469" w:rsidR="0049053C" w:rsidRPr="00BA4F0F" w:rsidRDefault="0049053C" w:rsidP="00FE0193">
      <w:pPr>
        <w:pStyle w:val="1ff0"/>
        <w:numPr>
          <w:ilvl w:val="0"/>
          <w:numId w:val="96"/>
        </w:numPr>
      </w:pPr>
      <w:r w:rsidRPr="00BA4F0F">
        <w:t>терапия иммуносупрессивными или иными лекарственными препаратами, которые могут повлиять на способность к самоподдержанию собственной популяции и полипотентность гемопоэтических стволовых клеток;</w:t>
      </w:r>
    </w:p>
    <w:p w14:paraId="4B2BFB11" w14:textId="705EEC9E" w:rsidR="0049053C" w:rsidRPr="00BA4F0F" w:rsidRDefault="0049053C" w:rsidP="00FE0193">
      <w:pPr>
        <w:pStyle w:val="1ff0"/>
        <w:numPr>
          <w:ilvl w:val="0"/>
          <w:numId w:val="96"/>
        </w:numPr>
      </w:pPr>
      <w:r w:rsidRPr="00BA4F0F">
        <w:t>психические расстройства и расстройства поведения в состоянии обострения и (или) представляющие опасность для больного и окружающих;</w:t>
      </w:r>
    </w:p>
    <w:p w14:paraId="714BA08D" w14:textId="496427A9" w:rsidR="0049053C" w:rsidRPr="00BA4F0F" w:rsidRDefault="0049053C" w:rsidP="00FE0193">
      <w:pPr>
        <w:pStyle w:val="1ff0"/>
        <w:numPr>
          <w:ilvl w:val="0"/>
          <w:numId w:val="96"/>
        </w:numPr>
      </w:pPr>
      <w:r w:rsidRPr="00BA4F0F">
        <w:t>психические расстройства и расстройства поведения, вызванные употреблением психоактивных веществ;</w:t>
      </w:r>
    </w:p>
    <w:p w14:paraId="7D5B3835" w14:textId="4D65D814" w:rsidR="0049053C" w:rsidRPr="00BA4F0F" w:rsidRDefault="0049053C" w:rsidP="00FE0193">
      <w:pPr>
        <w:pStyle w:val="1ff0"/>
        <w:numPr>
          <w:ilvl w:val="0"/>
          <w:numId w:val="96"/>
        </w:numPr>
      </w:pPr>
      <w:r w:rsidRPr="00BA4F0F">
        <w:t>кахексия;</w:t>
      </w:r>
    </w:p>
    <w:p w14:paraId="2F88342E" w14:textId="68A51CE6" w:rsidR="0049053C" w:rsidRPr="00BA4F0F" w:rsidRDefault="0049053C" w:rsidP="00FE0193">
      <w:pPr>
        <w:pStyle w:val="1ff0"/>
        <w:numPr>
          <w:ilvl w:val="0"/>
          <w:numId w:val="96"/>
        </w:numPr>
      </w:pPr>
      <w:r w:rsidRPr="00BA4F0F">
        <w:t>беременность;</w:t>
      </w:r>
    </w:p>
    <w:p w14:paraId="174683FB" w14:textId="78B4CE6A" w:rsidR="0049053C" w:rsidRPr="00BA4F0F" w:rsidRDefault="0049053C" w:rsidP="00FE0193">
      <w:pPr>
        <w:pStyle w:val="1ff0"/>
        <w:numPr>
          <w:ilvl w:val="0"/>
          <w:numId w:val="96"/>
        </w:numPr>
      </w:pPr>
      <w:r w:rsidRPr="00BA4F0F">
        <w:lastRenderedPageBreak/>
        <w:t>ранний послеоперационный период с наличием потенциальных рисков инфицирования послеоперационных ран в период миелотоксического агранулоцитоза.</w:t>
      </w:r>
    </w:p>
    <w:p w14:paraId="074201AA" w14:textId="3235502E" w:rsidR="0049053C" w:rsidRPr="00BA4F0F" w:rsidRDefault="0049053C" w:rsidP="00FE0193">
      <w:pPr>
        <w:pStyle w:val="1ff0"/>
        <w:numPr>
          <w:ilvl w:val="0"/>
          <w:numId w:val="96"/>
        </w:numPr>
      </w:pPr>
      <w:r w:rsidRPr="00BA4F0F">
        <w:t>отсутствие подписанного информированного согласия на выполнение трансплантации.</w:t>
      </w:r>
    </w:p>
    <w:p w14:paraId="0A468332" w14:textId="77777777" w:rsidR="0049053C" w:rsidRPr="00BA4F0F" w:rsidRDefault="0049053C" w:rsidP="00650324">
      <w:pPr>
        <w:pStyle w:val="1ff0"/>
      </w:pPr>
      <w:bookmarkStart w:id="116" w:name="_Toc44926623"/>
    </w:p>
    <w:p w14:paraId="4E23BDA0" w14:textId="77777777" w:rsidR="0049053C" w:rsidRPr="00BA4F0F" w:rsidRDefault="0049053C" w:rsidP="00650324">
      <w:pPr>
        <w:pStyle w:val="1ff0"/>
        <w:rPr>
          <w:u w:val="single"/>
        </w:rPr>
      </w:pPr>
      <w:r w:rsidRPr="00BA4F0F">
        <w:rPr>
          <w:u w:val="single"/>
        </w:rPr>
        <w:t>Относительные противопоказания к выполнению ауто-ТГСК</w:t>
      </w:r>
      <w:bookmarkEnd w:id="116"/>
    </w:p>
    <w:p w14:paraId="4C2E8043" w14:textId="329B7791" w:rsidR="0049053C" w:rsidRPr="00BA4F0F" w:rsidRDefault="0049053C" w:rsidP="00FE0193">
      <w:pPr>
        <w:pStyle w:val="1ff0"/>
        <w:numPr>
          <w:ilvl w:val="0"/>
          <w:numId w:val="97"/>
        </w:numPr>
      </w:pPr>
      <w:r w:rsidRPr="00BA4F0F">
        <w:t>инфекционные заболевания вне обострения (очаги инфекций, требующие санации);</w:t>
      </w:r>
    </w:p>
    <w:p w14:paraId="2EFB5BB7" w14:textId="6446301D" w:rsidR="0049053C" w:rsidRPr="00BA4F0F" w:rsidRDefault="0049053C" w:rsidP="00FE0193">
      <w:pPr>
        <w:pStyle w:val="1ff0"/>
        <w:numPr>
          <w:ilvl w:val="0"/>
          <w:numId w:val="97"/>
        </w:numPr>
      </w:pPr>
      <w:r w:rsidRPr="00BA4F0F">
        <w:t>заболевания опорно-двигательного аппарата, системы кровообращения, органов пищеварения и дыхания, мочеполовой, эндокринной и нервной систем, а также заболевания других органов и систем в стадии компенсации;</w:t>
      </w:r>
    </w:p>
    <w:p w14:paraId="7BFA38FE" w14:textId="5F6DF3B4" w:rsidR="0049053C" w:rsidRPr="00BA4F0F" w:rsidRDefault="0049053C" w:rsidP="00FE0193">
      <w:pPr>
        <w:pStyle w:val="1ff0"/>
        <w:numPr>
          <w:ilvl w:val="0"/>
          <w:numId w:val="97"/>
        </w:numPr>
      </w:pPr>
      <w:r w:rsidRPr="00BA4F0F">
        <w:t>возраст старше 65 лет.</w:t>
      </w:r>
    </w:p>
    <w:p w14:paraId="49696D59" w14:textId="4940D39B" w:rsidR="0049053C" w:rsidRPr="00BA4F0F" w:rsidRDefault="0049053C" w:rsidP="00FE0193">
      <w:pPr>
        <w:pStyle w:val="1ff0"/>
        <w:numPr>
          <w:ilvl w:val="0"/>
          <w:numId w:val="97"/>
        </w:numPr>
      </w:pPr>
      <w:r w:rsidRPr="00BA4F0F">
        <w:t>наличие в крови маркеров вируса иммунодефицита человека;</w:t>
      </w:r>
    </w:p>
    <w:p w14:paraId="6C94B995" w14:textId="77777777" w:rsidR="0049053C" w:rsidRPr="00BA4F0F" w:rsidRDefault="0049053C" w:rsidP="00650324">
      <w:pPr>
        <w:pStyle w:val="1ff0"/>
        <w:rPr>
          <w:b/>
        </w:rPr>
      </w:pPr>
      <w:bookmarkStart w:id="117" w:name="_Toc44926624"/>
    </w:p>
    <w:p w14:paraId="20A0898F" w14:textId="77777777" w:rsidR="0049053C" w:rsidRPr="00BA4F0F" w:rsidRDefault="0049053C" w:rsidP="00650324">
      <w:pPr>
        <w:pStyle w:val="1ff0"/>
        <w:rPr>
          <w:b/>
        </w:rPr>
      </w:pPr>
      <w:r w:rsidRPr="00BA4F0F">
        <w:rPr>
          <w:b/>
        </w:rPr>
        <w:t>Обследование пациентов перед ауто-ТГСК</w:t>
      </w:r>
      <w:bookmarkEnd w:id="117"/>
    </w:p>
    <w:p w14:paraId="49C9F350" w14:textId="77777777" w:rsidR="0049053C" w:rsidRPr="00BA4F0F" w:rsidRDefault="0049053C" w:rsidP="00650324">
      <w:pPr>
        <w:pStyle w:val="1ff0"/>
      </w:pPr>
      <w:r w:rsidRPr="00BA4F0F">
        <w:t>Перед выполнением трансплантации аутологичных гемопоэтических стволовых клеток необходимо определить фазу заболевания, оценить соматический статус пациента и состояние кроветворения. Для этого всем пациентам проводится рутинный комплекс обследования, включающий как лабораторные, так и инструментальные методы.</w:t>
      </w:r>
    </w:p>
    <w:p w14:paraId="63881F06" w14:textId="77777777" w:rsidR="0049053C" w:rsidRPr="00BA4F0F" w:rsidRDefault="0049053C" w:rsidP="00650324">
      <w:pPr>
        <w:pStyle w:val="1ff0"/>
        <w:rPr>
          <w:u w:val="single"/>
        </w:rPr>
      </w:pPr>
      <w:bookmarkStart w:id="118" w:name="_Toc44926625"/>
    </w:p>
    <w:p w14:paraId="781B16A6" w14:textId="77777777" w:rsidR="0049053C" w:rsidRPr="00BA4F0F" w:rsidRDefault="0049053C" w:rsidP="00650324">
      <w:pPr>
        <w:pStyle w:val="1ff0"/>
        <w:rPr>
          <w:u w:val="single"/>
        </w:rPr>
      </w:pPr>
      <w:r w:rsidRPr="00BA4F0F">
        <w:rPr>
          <w:u w:val="single"/>
        </w:rPr>
        <w:t>Общие методы обследования</w:t>
      </w:r>
      <w:bookmarkEnd w:id="118"/>
    </w:p>
    <w:p w14:paraId="4240C69B" w14:textId="77777777" w:rsidR="0049053C" w:rsidRPr="00BA4F0F" w:rsidRDefault="0049053C" w:rsidP="00FE0193">
      <w:pPr>
        <w:pStyle w:val="1ff0"/>
        <w:numPr>
          <w:ilvl w:val="0"/>
          <w:numId w:val="98"/>
        </w:numPr>
      </w:pPr>
      <w:r w:rsidRPr="00BA4F0F">
        <w:t>Развернутый анализ крови.</w:t>
      </w:r>
    </w:p>
    <w:p w14:paraId="4A0FFC27" w14:textId="77777777" w:rsidR="0049053C" w:rsidRPr="00BA4F0F" w:rsidRDefault="0049053C" w:rsidP="00FE0193">
      <w:pPr>
        <w:pStyle w:val="1ff0"/>
        <w:numPr>
          <w:ilvl w:val="0"/>
          <w:numId w:val="98"/>
        </w:numPr>
      </w:pPr>
      <w:r w:rsidRPr="00BA4F0F">
        <w:t>Биохимический анализ крови с обязательным определением: уровней общего белка, альбумина, креатинина, мочевой кислоты, калия, кальция, активности ЛДГ.</w:t>
      </w:r>
    </w:p>
    <w:p w14:paraId="624947D2" w14:textId="77777777" w:rsidR="0049053C" w:rsidRPr="00BA4F0F" w:rsidRDefault="0049053C" w:rsidP="00FE0193">
      <w:pPr>
        <w:pStyle w:val="1ff0"/>
        <w:numPr>
          <w:ilvl w:val="0"/>
          <w:numId w:val="98"/>
        </w:numPr>
      </w:pPr>
      <w:r w:rsidRPr="00BA4F0F">
        <w:t>Общий анализ мочи.</w:t>
      </w:r>
    </w:p>
    <w:p w14:paraId="30553375" w14:textId="77777777" w:rsidR="0049053C" w:rsidRPr="00BA4F0F" w:rsidRDefault="0049053C" w:rsidP="00FE0193">
      <w:pPr>
        <w:pStyle w:val="1ff0"/>
        <w:numPr>
          <w:ilvl w:val="0"/>
          <w:numId w:val="98"/>
        </w:numPr>
      </w:pPr>
      <w:r w:rsidRPr="00BA4F0F">
        <w:t>Глюкоза крови.</w:t>
      </w:r>
    </w:p>
    <w:p w14:paraId="4FA3E61F" w14:textId="77777777" w:rsidR="0049053C" w:rsidRPr="00BA4F0F" w:rsidRDefault="0049053C" w:rsidP="00FE0193">
      <w:pPr>
        <w:pStyle w:val="1ff0"/>
        <w:numPr>
          <w:ilvl w:val="0"/>
          <w:numId w:val="98"/>
        </w:numPr>
      </w:pPr>
      <w:r w:rsidRPr="00BA4F0F">
        <w:t>Определение скорости клубочковой фильтрации.</w:t>
      </w:r>
    </w:p>
    <w:p w14:paraId="5DC00C33" w14:textId="77777777" w:rsidR="0049053C" w:rsidRPr="00BA4F0F" w:rsidRDefault="0049053C" w:rsidP="00FE0193">
      <w:pPr>
        <w:pStyle w:val="1ff0"/>
        <w:numPr>
          <w:ilvl w:val="0"/>
          <w:numId w:val="98"/>
        </w:numPr>
      </w:pPr>
      <w:r w:rsidRPr="00BA4F0F">
        <w:t>Коагулограмма (протромбин, международное нормализованное отношение, активированное частичное тромбопластиновое время, фибриноген, тромбиновое время, антитромбин III, плазминоген).</w:t>
      </w:r>
    </w:p>
    <w:p w14:paraId="2BA0F1AC" w14:textId="77777777" w:rsidR="0049053C" w:rsidRPr="00BA4F0F" w:rsidRDefault="0049053C" w:rsidP="00FE0193">
      <w:pPr>
        <w:pStyle w:val="1ff0"/>
        <w:numPr>
          <w:ilvl w:val="0"/>
          <w:numId w:val="98"/>
        </w:numPr>
      </w:pPr>
      <w:r w:rsidRPr="00BA4F0F">
        <w:lastRenderedPageBreak/>
        <w:t>Пункция костного мозга с подсчетом миелограммы.</w:t>
      </w:r>
    </w:p>
    <w:p w14:paraId="58641199" w14:textId="77777777" w:rsidR="0049053C" w:rsidRPr="00BA4F0F" w:rsidRDefault="0049053C" w:rsidP="00FE0193">
      <w:pPr>
        <w:pStyle w:val="1ff0"/>
        <w:numPr>
          <w:ilvl w:val="0"/>
          <w:numId w:val="98"/>
        </w:numPr>
      </w:pPr>
      <w:r w:rsidRPr="00BA4F0F">
        <w:t>Гистологическое исследование биопсийного материала костного мозга для оценки кроветворения.</w:t>
      </w:r>
    </w:p>
    <w:p w14:paraId="12040AAE" w14:textId="77777777" w:rsidR="0049053C" w:rsidRPr="00BA4F0F" w:rsidRDefault="0049053C" w:rsidP="00FE0193">
      <w:pPr>
        <w:pStyle w:val="1ff0"/>
        <w:numPr>
          <w:ilvl w:val="0"/>
          <w:numId w:val="98"/>
        </w:numPr>
      </w:pPr>
      <w:r w:rsidRPr="00BA4F0F">
        <w:t>Гистологическое исследование биопсийного материала костного мозга с применением иммуногистохимических методов для оценки состояния кроветворения и инфильтрации костного мозга опухолевыми клетками.</w:t>
      </w:r>
    </w:p>
    <w:p w14:paraId="401A5E7F" w14:textId="77777777" w:rsidR="0049053C" w:rsidRPr="00BA4F0F" w:rsidRDefault="0049053C" w:rsidP="00FE0193">
      <w:pPr>
        <w:pStyle w:val="1ff0"/>
        <w:numPr>
          <w:ilvl w:val="0"/>
          <w:numId w:val="98"/>
        </w:numPr>
      </w:pPr>
      <w:r w:rsidRPr="00BA4F0F">
        <w:t>Иммунофенотипическое исследование костного мозга методом проточной цитометрии для определения маркеров минимальной остаточной болезни.</w:t>
      </w:r>
    </w:p>
    <w:p w14:paraId="4EA80B32" w14:textId="77777777" w:rsidR="0049053C" w:rsidRPr="00BA4F0F" w:rsidRDefault="0049053C" w:rsidP="00FE0193">
      <w:pPr>
        <w:pStyle w:val="1ff0"/>
        <w:numPr>
          <w:ilvl w:val="0"/>
          <w:numId w:val="98"/>
        </w:numPr>
      </w:pPr>
      <w:r w:rsidRPr="00BA4F0F">
        <w:t>Определение группы крови (</w:t>
      </w:r>
      <w:r w:rsidRPr="00BA4F0F">
        <w:rPr>
          <w:lang w:val="en-US"/>
        </w:rPr>
        <w:t>ABO</w:t>
      </w:r>
      <w:r w:rsidRPr="00BA4F0F">
        <w:t>, Резус, фенотип по антигенам C, c, E, e, Cw, K, k, а также определение антиэритроцитарных антител).</w:t>
      </w:r>
    </w:p>
    <w:p w14:paraId="1FC26DEF" w14:textId="77777777" w:rsidR="0049053C" w:rsidRPr="00BA4F0F" w:rsidRDefault="0049053C" w:rsidP="00FE0193">
      <w:pPr>
        <w:pStyle w:val="1ff0"/>
        <w:numPr>
          <w:ilvl w:val="0"/>
          <w:numId w:val="98"/>
        </w:numPr>
      </w:pPr>
      <w:r w:rsidRPr="00BA4F0F">
        <w:t>Исследование на маркеры вирусов гепатитов</w:t>
      </w:r>
      <w:r w:rsidRPr="00BA4F0F">
        <w:rPr>
          <w:lang w:val="en-US"/>
        </w:rPr>
        <w:t> B</w:t>
      </w:r>
      <w:r w:rsidRPr="00BA4F0F">
        <w:t xml:space="preserve"> и </w:t>
      </w:r>
      <w:r w:rsidRPr="00BA4F0F">
        <w:rPr>
          <w:lang w:val="en-US"/>
        </w:rPr>
        <w:t>C</w:t>
      </w:r>
      <w:r w:rsidRPr="00BA4F0F">
        <w:t xml:space="preserve">, ВИЧ, </w:t>
      </w:r>
      <w:r w:rsidRPr="00BA4F0F">
        <w:rPr>
          <w:lang w:val="en-US"/>
        </w:rPr>
        <w:t>RW</w:t>
      </w:r>
      <w:r w:rsidRPr="00BA4F0F">
        <w:t>, ЦМВ, ЭБВ, при возможности токсоплазмы.</w:t>
      </w:r>
    </w:p>
    <w:p w14:paraId="01002B77" w14:textId="77777777" w:rsidR="0049053C" w:rsidRPr="00BA4F0F" w:rsidRDefault="0049053C" w:rsidP="00FE0193">
      <w:pPr>
        <w:pStyle w:val="1ff0"/>
        <w:numPr>
          <w:ilvl w:val="0"/>
          <w:numId w:val="98"/>
        </w:numPr>
      </w:pPr>
      <w:r w:rsidRPr="00BA4F0F">
        <w:t>Электрокардиограмма.</w:t>
      </w:r>
    </w:p>
    <w:p w14:paraId="7E902C33" w14:textId="77777777" w:rsidR="0049053C" w:rsidRPr="00BA4F0F" w:rsidRDefault="0049053C" w:rsidP="00FE0193">
      <w:pPr>
        <w:pStyle w:val="1ff0"/>
        <w:numPr>
          <w:ilvl w:val="0"/>
          <w:numId w:val="98"/>
        </w:numPr>
      </w:pPr>
      <w:r w:rsidRPr="00BA4F0F">
        <w:t>Эхокардиография.</w:t>
      </w:r>
    </w:p>
    <w:p w14:paraId="7BFC94AA" w14:textId="77777777" w:rsidR="0049053C" w:rsidRPr="00BA4F0F" w:rsidRDefault="0049053C" w:rsidP="00FE0193">
      <w:pPr>
        <w:pStyle w:val="1ff0"/>
        <w:numPr>
          <w:ilvl w:val="0"/>
          <w:numId w:val="98"/>
        </w:numPr>
      </w:pPr>
      <w:r w:rsidRPr="00BA4F0F">
        <w:t>Функция внешнего дыхания.</w:t>
      </w:r>
    </w:p>
    <w:p w14:paraId="23E037F8" w14:textId="77777777" w:rsidR="0049053C" w:rsidRPr="00BA4F0F" w:rsidRDefault="0049053C" w:rsidP="00FE0193">
      <w:pPr>
        <w:pStyle w:val="1ff0"/>
        <w:numPr>
          <w:ilvl w:val="0"/>
          <w:numId w:val="98"/>
        </w:numPr>
      </w:pPr>
      <w:r w:rsidRPr="00BA4F0F">
        <w:t>Холтеровское мониторирование сердечного ритма – при выявлении нарушений ритма и проводимости на ЭКГ.</w:t>
      </w:r>
    </w:p>
    <w:p w14:paraId="6BCFE275" w14:textId="77777777" w:rsidR="0049053C" w:rsidRPr="00BA4F0F" w:rsidRDefault="0049053C" w:rsidP="00FE0193">
      <w:pPr>
        <w:pStyle w:val="1ff0"/>
        <w:numPr>
          <w:ilvl w:val="0"/>
          <w:numId w:val="98"/>
        </w:numPr>
      </w:pPr>
      <w:r w:rsidRPr="00BA4F0F">
        <w:t>УЗИ брюшной полости (комплексное).</w:t>
      </w:r>
    </w:p>
    <w:p w14:paraId="212F99A4" w14:textId="77777777" w:rsidR="0049053C" w:rsidRPr="00BA4F0F" w:rsidRDefault="0049053C" w:rsidP="00FE0193">
      <w:pPr>
        <w:pStyle w:val="1ff0"/>
        <w:numPr>
          <w:ilvl w:val="0"/>
          <w:numId w:val="98"/>
        </w:numPr>
      </w:pPr>
      <w:r w:rsidRPr="00BA4F0F">
        <w:t>Ультразвуковая допплерография сосудов (артерий и вен) нижних конечностей - при необходимости.</w:t>
      </w:r>
    </w:p>
    <w:p w14:paraId="3A25FB3A" w14:textId="77777777" w:rsidR="0049053C" w:rsidRPr="00BA4F0F" w:rsidRDefault="0049053C" w:rsidP="00FE0193">
      <w:pPr>
        <w:pStyle w:val="1ff0"/>
        <w:numPr>
          <w:ilvl w:val="0"/>
          <w:numId w:val="98"/>
        </w:numPr>
      </w:pPr>
      <w:r w:rsidRPr="00BA4F0F">
        <w:t>Эзофагогастродуоденоскопия с биопсией – при наличии диспепсических расстройств или язвенной болезни желудка/ двенадцатиперстной кишки в анамнезе.</w:t>
      </w:r>
    </w:p>
    <w:p w14:paraId="5E23A0F5" w14:textId="77777777" w:rsidR="0049053C" w:rsidRPr="00BA4F0F" w:rsidRDefault="0049053C" w:rsidP="00FE0193">
      <w:pPr>
        <w:pStyle w:val="1ff0"/>
        <w:numPr>
          <w:ilvl w:val="0"/>
          <w:numId w:val="98"/>
        </w:numPr>
      </w:pPr>
      <w:r w:rsidRPr="00BA4F0F">
        <w:t>МРТ головного мозга, придаточных пазух носа с целью выявления скрытых очагов инфекций.</w:t>
      </w:r>
    </w:p>
    <w:p w14:paraId="17E2BC62" w14:textId="77777777" w:rsidR="0049053C" w:rsidRPr="00BA4F0F" w:rsidRDefault="0049053C" w:rsidP="00FE0193">
      <w:pPr>
        <w:pStyle w:val="1ff0"/>
        <w:numPr>
          <w:ilvl w:val="0"/>
          <w:numId w:val="98"/>
        </w:numPr>
      </w:pPr>
      <w:r w:rsidRPr="00BA4F0F">
        <w:t>КТ органов грудной полости.</w:t>
      </w:r>
    </w:p>
    <w:p w14:paraId="7061CC39" w14:textId="77777777" w:rsidR="0049053C" w:rsidRPr="00BA4F0F" w:rsidRDefault="0049053C" w:rsidP="00FE0193">
      <w:pPr>
        <w:pStyle w:val="1ff0"/>
        <w:numPr>
          <w:ilvl w:val="0"/>
          <w:numId w:val="98"/>
        </w:numPr>
      </w:pPr>
      <w:r w:rsidRPr="00BA4F0F">
        <w:t>Люмбальная пункция с последующим цитологическим, комплексным иммунохимическим и иммунофенотипическим исследованием ликвора при подозрении на вовлечение в патологический процесс центральной нервной системы.</w:t>
      </w:r>
    </w:p>
    <w:p w14:paraId="72E491A0" w14:textId="77777777" w:rsidR="0049053C" w:rsidRPr="00BA4F0F" w:rsidRDefault="0049053C" w:rsidP="00FE0193">
      <w:pPr>
        <w:pStyle w:val="1ff0"/>
        <w:numPr>
          <w:ilvl w:val="0"/>
          <w:numId w:val="98"/>
        </w:numPr>
      </w:pPr>
      <w:r w:rsidRPr="00BA4F0F">
        <w:t>Осмотр стоматолога.</w:t>
      </w:r>
    </w:p>
    <w:p w14:paraId="45B3AF1F" w14:textId="77777777" w:rsidR="0049053C" w:rsidRPr="00BA4F0F" w:rsidRDefault="0049053C" w:rsidP="00FE0193">
      <w:pPr>
        <w:pStyle w:val="1ff0"/>
        <w:numPr>
          <w:ilvl w:val="0"/>
          <w:numId w:val="98"/>
        </w:numPr>
      </w:pPr>
      <w:r w:rsidRPr="00BA4F0F">
        <w:t>Осмотр гинеколога и УЗИ органов малого таза - для женщин.</w:t>
      </w:r>
    </w:p>
    <w:p w14:paraId="797684ED" w14:textId="77777777" w:rsidR="0049053C" w:rsidRPr="00BA4F0F" w:rsidRDefault="0049053C" w:rsidP="00FE0193">
      <w:pPr>
        <w:pStyle w:val="1ff0"/>
        <w:numPr>
          <w:ilvl w:val="0"/>
          <w:numId w:val="98"/>
        </w:numPr>
      </w:pPr>
      <w:r w:rsidRPr="00BA4F0F">
        <w:t>Позитронно-эмиссионная томография, совмещенная с КТ.</w:t>
      </w:r>
    </w:p>
    <w:p w14:paraId="52D67347" w14:textId="77777777" w:rsidR="0049053C" w:rsidRPr="00BA4F0F" w:rsidRDefault="0049053C" w:rsidP="00FE0193">
      <w:pPr>
        <w:pStyle w:val="1ff0"/>
        <w:numPr>
          <w:ilvl w:val="0"/>
          <w:numId w:val="98"/>
        </w:numPr>
      </w:pPr>
      <w:r w:rsidRPr="00BA4F0F">
        <w:lastRenderedPageBreak/>
        <w:t>Исследование клональности (В/Т в зависимости от варианта заболевания) в периферической крови, костном мозге методом полимеразной цепной реакции.</w:t>
      </w:r>
    </w:p>
    <w:p w14:paraId="08115C50" w14:textId="77777777" w:rsidR="0049053C" w:rsidRPr="00BA4F0F" w:rsidRDefault="0049053C" w:rsidP="00FE0193">
      <w:pPr>
        <w:pStyle w:val="1ff0"/>
        <w:numPr>
          <w:ilvl w:val="0"/>
          <w:numId w:val="98"/>
        </w:numPr>
      </w:pPr>
      <w:r w:rsidRPr="00BA4F0F">
        <w:t>Определение уровня поликлональных иммуноглобулинов (A, G,M).</w:t>
      </w:r>
    </w:p>
    <w:p w14:paraId="1D0F23A9" w14:textId="77777777" w:rsidR="0049053C" w:rsidRPr="00BA4F0F" w:rsidRDefault="0049053C" w:rsidP="00FE0193">
      <w:pPr>
        <w:pStyle w:val="1ff0"/>
        <w:numPr>
          <w:ilvl w:val="0"/>
          <w:numId w:val="98"/>
        </w:numPr>
      </w:pPr>
      <w:r w:rsidRPr="00BA4F0F">
        <w:t>КТ органов грудной полости с контрастированием при первичном вовлечении средостения.</w:t>
      </w:r>
    </w:p>
    <w:p w14:paraId="68D7BF84" w14:textId="77777777" w:rsidR="0049053C" w:rsidRPr="00BA4F0F" w:rsidRDefault="0049053C" w:rsidP="00FE0193">
      <w:pPr>
        <w:pStyle w:val="1ff0"/>
        <w:numPr>
          <w:ilvl w:val="0"/>
          <w:numId w:val="98"/>
        </w:numPr>
      </w:pPr>
      <w:r w:rsidRPr="00BA4F0F">
        <w:t>УЗИ периферических лимфоузлов.</w:t>
      </w:r>
    </w:p>
    <w:p w14:paraId="37DB22D7" w14:textId="77777777" w:rsidR="0049053C" w:rsidRPr="00BA4F0F" w:rsidRDefault="0049053C" w:rsidP="00FE0193">
      <w:pPr>
        <w:pStyle w:val="1ff0"/>
        <w:numPr>
          <w:ilvl w:val="0"/>
          <w:numId w:val="98"/>
        </w:numPr>
      </w:pPr>
      <w:r w:rsidRPr="00BA4F0F">
        <w:t>Активность лактатдегидрогеназы.</w:t>
      </w:r>
    </w:p>
    <w:p w14:paraId="6CD45D8E" w14:textId="77777777" w:rsidR="0049053C" w:rsidRPr="00BA4F0F" w:rsidRDefault="0049053C" w:rsidP="00FE0193">
      <w:pPr>
        <w:pStyle w:val="1ff0"/>
        <w:numPr>
          <w:ilvl w:val="0"/>
          <w:numId w:val="98"/>
        </w:numPr>
      </w:pPr>
      <w:r w:rsidRPr="00BA4F0F">
        <w:t>КТ грудной полости/ брюшной полости/ таза – для оценки противоопухолевого ответа при отсутствии возможности выполнить ПЭТ/КТ или наличии противопоказаний.</w:t>
      </w:r>
    </w:p>
    <w:p w14:paraId="22527F0F" w14:textId="77777777" w:rsidR="00325BC4" w:rsidRPr="00325BC4" w:rsidRDefault="00325BC4" w:rsidP="00325BC4">
      <w:pPr>
        <w:pStyle w:val="1ff0"/>
      </w:pPr>
      <w:r w:rsidRPr="00325BC4">
        <w:t>Пациентам с ПЛЦНС необходимо дополнительно выполнить:</w:t>
      </w:r>
    </w:p>
    <w:p w14:paraId="41E80023" w14:textId="77777777" w:rsidR="0049053C" w:rsidRPr="00BA4F0F" w:rsidRDefault="0049053C" w:rsidP="00FE0193">
      <w:pPr>
        <w:pStyle w:val="1ff0"/>
        <w:numPr>
          <w:ilvl w:val="0"/>
          <w:numId w:val="99"/>
        </w:numPr>
      </w:pPr>
      <w:r w:rsidRPr="00BA4F0F">
        <w:t>Электроэнцефалограмма</w:t>
      </w:r>
    </w:p>
    <w:p w14:paraId="7C5A1A33" w14:textId="77777777" w:rsidR="0049053C" w:rsidRPr="00BA4F0F" w:rsidRDefault="0049053C" w:rsidP="00FE0193">
      <w:pPr>
        <w:pStyle w:val="1ff0"/>
        <w:numPr>
          <w:ilvl w:val="0"/>
          <w:numId w:val="99"/>
        </w:numPr>
      </w:pPr>
      <w:r w:rsidRPr="00BA4F0F">
        <w:t xml:space="preserve">МРТ головного мозга с внутривенным контрастированием. </w:t>
      </w:r>
    </w:p>
    <w:p w14:paraId="27AC0E6A" w14:textId="77777777" w:rsidR="0049053C" w:rsidRPr="00BA4F0F" w:rsidRDefault="0049053C" w:rsidP="00FE0193">
      <w:pPr>
        <w:pStyle w:val="1ff0"/>
        <w:numPr>
          <w:ilvl w:val="0"/>
          <w:numId w:val="99"/>
        </w:numPr>
      </w:pPr>
      <w:r w:rsidRPr="00BA4F0F">
        <w:t>Консультация невролога</w:t>
      </w:r>
    </w:p>
    <w:p w14:paraId="0EB1C3F7" w14:textId="77777777" w:rsidR="0049053C" w:rsidRPr="00BA4F0F" w:rsidRDefault="0049053C" w:rsidP="00FE0193">
      <w:pPr>
        <w:pStyle w:val="1ff0"/>
        <w:numPr>
          <w:ilvl w:val="0"/>
          <w:numId w:val="99"/>
        </w:numPr>
      </w:pPr>
      <w:r w:rsidRPr="00BA4F0F">
        <w:t>Позитронно-эмиссионная томография, совмещенная с КТ.</w:t>
      </w:r>
    </w:p>
    <w:p w14:paraId="54B78AD5" w14:textId="77777777" w:rsidR="0049053C" w:rsidRPr="00BA4F0F" w:rsidRDefault="0049053C" w:rsidP="00650324">
      <w:pPr>
        <w:pStyle w:val="1ff0"/>
        <w:rPr>
          <w:b/>
        </w:rPr>
      </w:pPr>
      <w:bookmarkStart w:id="119" w:name="_Toc44926627"/>
    </w:p>
    <w:p w14:paraId="2055FEBF" w14:textId="77777777" w:rsidR="0049053C" w:rsidRPr="00BA4F0F" w:rsidRDefault="0049053C" w:rsidP="00650324">
      <w:pPr>
        <w:pStyle w:val="1ff0"/>
        <w:rPr>
          <w:b/>
        </w:rPr>
      </w:pPr>
      <w:r w:rsidRPr="00BA4F0F">
        <w:rPr>
          <w:b/>
        </w:rPr>
        <w:t>Режимы предтрансплантационной подготовки при ауто-ТГСК</w:t>
      </w:r>
      <w:bookmarkEnd w:id="119"/>
      <w:r w:rsidRPr="00BA4F0F">
        <w:rPr>
          <w:b/>
        </w:rPr>
        <w:t xml:space="preserve"> </w:t>
      </w:r>
    </w:p>
    <w:p w14:paraId="1E1AB869" w14:textId="77777777" w:rsidR="0049053C" w:rsidRPr="00BA4F0F" w:rsidRDefault="0049053C" w:rsidP="00650324">
      <w:pPr>
        <w:pStyle w:val="1ff0"/>
      </w:pPr>
      <w:r w:rsidRPr="00BA4F0F">
        <w:t>Цель высокодозной химиотерапии - устранение оставшихся после противоопухолевой терапии опухолевых клеток с минимальным токсическим воздействием на системы органов.</w:t>
      </w:r>
    </w:p>
    <w:p w14:paraId="02215184" w14:textId="3773FD11" w:rsidR="0049053C" w:rsidRPr="006E60A8" w:rsidRDefault="0049053C" w:rsidP="00650324">
      <w:pPr>
        <w:pStyle w:val="1ff0"/>
      </w:pPr>
      <w:r w:rsidRPr="00BA4F0F">
        <w:t xml:space="preserve">Для предтрансплантационной подготовки используют режим </w:t>
      </w:r>
      <w:r w:rsidRPr="00D46F1E">
        <w:rPr>
          <w:color w:val="000000" w:themeColor="text1"/>
        </w:rPr>
        <w:t xml:space="preserve">кондиционирования BEAM, который, состоит из </w:t>
      </w:r>
      <w:r w:rsidR="009E3472" w:rsidRPr="00D46F1E">
        <w:rPr>
          <w:color w:val="000000" w:themeColor="text1"/>
        </w:rPr>
        <w:t>кармустин</w:t>
      </w:r>
      <w:r w:rsidR="00D46F1E" w:rsidRPr="00D46F1E">
        <w:rPr>
          <w:color w:val="000000" w:themeColor="text1"/>
        </w:rPr>
        <w:t>а</w:t>
      </w:r>
      <w:r w:rsidR="009E3472" w:rsidRPr="00D46F1E">
        <w:rPr>
          <w:color w:val="000000" w:themeColor="text1"/>
        </w:rPr>
        <w:t xml:space="preserve"> </w:t>
      </w:r>
      <w:r w:rsidRPr="00D46F1E">
        <w:rPr>
          <w:color w:val="000000" w:themeColor="text1"/>
        </w:rPr>
        <w:t>(300 мг / м</w:t>
      </w:r>
      <w:r w:rsidRPr="00D46F1E">
        <w:rPr>
          <w:color w:val="000000" w:themeColor="text1"/>
          <w:vertAlign w:val="superscript"/>
        </w:rPr>
        <w:t>2</w:t>
      </w:r>
      <w:r w:rsidRPr="00D46F1E">
        <w:rPr>
          <w:color w:val="000000" w:themeColor="text1"/>
        </w:rPr>
        <w:t xml:space="preserve"> × 1, день-6), </w:t>
      </w:r>
      <w:r w:rsidR="009E3472" w:rsidRPr="00D46F1E">
        <w:rPr>
          <w:color w:val="000000" w:themeColor="text1"/>
        </w:rPr>
        <w:t>этопозид</w:t>
      </w:r>
      <w:r w:rsidR="00D46F1E" w:rsidRPr="00D46F1E">
        <w:rPr>
          <w:color w:val="000000" w:themeColor="text1"/>
        </w:rPr>
        <w:t>а</w:t>
      </w:r>
      <w:r w:rsidR="009E3472" w:rsidRPr="00D46F1E">
        <w:rPr>
          <w:color w:val="000000" w:themeColor="text1"/>
        </w:rPr>
        <w:t xml:space="preserve"> </w:t>
      </w:r>
      <w:r w:rsidRPr="00D46F1E">
        <w:rPr>
          <w:color w:val="000000" w:themeColor="text1"/>
        </w:rPr>
        <w:t>(200 мг / м</w:t>
      </w:r>
      <w:r w:rsidRPr="00D46F1E">
        <w:rPr>
          <w:color w:val="000000" w:themeColor="text1"/>
          <w:vertAlign w:val="superscript"/>
        </w:rPr>
        <w:t>2</w:t>
      </w:r>
      <w:r w:rsidRPr="00D46F1E">
        <w:rPr>
          <w:color w:val="000000" w:themeColor="text1"/>
        </w:rPr>
        <w:t xml:space="preserve">, дни от -5 до -2), </w:t>
      </w:r>
      <w:r w:rsidR="009E3472" w:rsidRPr="00D46F1E">
        <w:rPr>
          <w:color w:val="000000" w:themeColor="text1"/>
        </w:rPr>
        <w:t>цитарабин</w:t>
      </w:r>
      <w:r w:rsidR="00D46F1E" w:rsidRPr="00D46F1E">
        <w:rPr>
          <w:color w:val="000000" w:themeColor="text1"/>
        </w:rPr>
        <w:t>а</w:t>
      </w:r>
      <w:r w:rsidRPr="00D46F1E">
        <w:rPr>
          <w:color w:val="000000" w:themeColor="text1"/>
        </w:rPr>
        <w:t xml:space="preserve"> (200 мг/м</w:t>
      </w:r>
      <w:r w:rsidRPr="00D46F1E">
        <w:rPr>
          <w:color w:val="000000" w:themeColor="text1"/>
          <w:vertAlign w:val="superscript"/>
        </w:rPr>
        <w:t xml:space="preserve">2 </w:t>
      </w:r>
      <w:r w:rsidRPr="00D46F1E">
        <w:rPr>
          <w:color w:val="000000" w:themeColor="text1"/>
        </w:rPr>
        <w:t xml:space="preserve">х дважды в день, дни от -5 до - 2), </w:t>
      </w:r>
      <w:r w:rsidR="009E3472" w:rsidRPr="00D46F1E">
        <w:rPr>
          <w:color w:val="000000" w:themeColor="text1"/>
        </w:rPr>
        <w:t>мелфалан</w:t>
      </w:r>
      <w:r w:rsidR="00D46F1E" w:rsidRPr="00D46F1E">
        <w:rPr>
          <w:color w:val="000000" w:themeColor="text1"/>
        </w:rPr>
        <w:t>а</w:t>
      </w:r>
      <w:r w:rsidRPr="00D46F1E">
        <w:rPr>
          <w:color w:val="000000" w:themeColor="text1"/>
        </w:rPr>
        <w:t xml:space="preserve"> (140 мг / м</w:t>
      </w:r>
      <w:r w:rsidRPr="00D46F1E">
        <w:rPr>
          <w:color w:val="000000" w:themeColor="text1"/>
          <w:vertAlign w:val="superscript"/>
        </w:rPr>
        <w:t>2</w:t>
      </w:r>
      <w:r w:rsidRPr="00D46F1E">
        <w:rPr>
          <w:color w:val="000000" w:themeColor="text1"/>
        </w:rPr>
        <w:t xml:space="preserve">/ день × 1, дни -1) </w:t>
      </w:r>
      <w:r w:rsidRPr="00D46F1E">
        <w:rPr>
          <w:color w:val="000000" w:themeColor="text1"/>
        </w:rPr>
        <w:fldChar w:fldCharType="begin" w:fldLock="1"/>
      </w:r>
      <w:r w:rsidR="00A6794A">
        <w:rPr>
          <w:color w:val="000000" w:themeColor="text1"/>
        </w:rPr>
        <w:instrText>ADDIN CSL_CITATION {"citationItems":[{"id":"ITEM-1","itemData":{"ISBN":"9783030022778","author":[{"dropping-particle":"","family":"Enric Carreras","given":"Dufour Carlo","non-dropping-particle":"","parse-names":false,"suffix":""},{"dropping-particle":"","family":"Mohty Mohamad","given":"Kröger Nicolaus","non-dropping-particle":"","parse-names":false,"suffix":""}],"id":"ITEM-1","issued":{"date-parts":[["2019"]]},"number-of-pages":"702","title":"Hematopoietic Stem Cell Transplantation and Cellular Therapies","type":"book"},"uris":["http://www.mendeley.com/documents/?uuid=891fa663-7797-4301-8893-3b0a5d75b173","http://www.mendeley.com/documents/?uuid=b2895edd-cfbd-4cbf-8d9b-e50422d61d71"]},{"id":"ITEM-2","itemData":{"DOI":"10.5114/wo.2018.77046","ISSN":"1428-2526","PMID":"30150889","abstract":"Introduction BEAM (carmustine, etoposide, cytarabine, melphalan) is the most frequently used high-dose chemotherapy regimen for patients with lymphoma referred for autologous haematopoietic cell transplantation (autoHCT). Recently, a novel conditioning protocol containing bendamustine instead of carmustine (BeEAM) has been proposed to potentially increase the efficacy. Aim of the study The aim of this study was to retrospectively compare the safety profile of BEAM and BeEAM based on single-centre experience. Material and methods A total of 237 consecutive patients with lymphoma treated with either BEAM (n = 174) or BeEAM (n = 63), between the years 2011 and 2016, were included in the analysis. Clinical characteristics of both groups were comparable. Patients with Hodgkin's lymphoma (HL) constituted 49% of the BEAM group and 40% of the BeEAM group. Results Median time to neutrophil &gt; 0.5 × 109/l recovery was 10 days in both groups (p = 0.29), while median time to platelet &gt; 50 × 109/l recovery was 13 and 14 days after BEAM and BeEAM, respectively (p = 0.12). The toxicity profile was comparable except for arterial hypertension and severe hypokalaemia, which occurred more frequently after BeEAM compared to BEAM (p = 0.02 and p = 0.004, respectively). The rate of early mortality was 1.7% and 1.6%, respectively. The probabilities of the overall and progression-free survival were comparable for both groups (p = 0.73 and p = 0.55, respectively). Conclusions Administration of bendamustine instead of carmustine as part of conditioning does not affect the engraftment or the toxicity profile of the regimen. Therefore, BeEAM may be safely used in patients with lymphoma undergoing autoHCT. Its efficacy requires evaluation in prospective studies.","author":[{"dropping-particle":"","family":"Frankiewicz","given":"Andrzej","non-dropping-particle":"","parse-names":false,"suffix":""},{"dropping-particle":"","family":"Saduś-Wojciechowska","given":"Maria","non-dropping-particle":"","parse-names":false,"suffix":""},{"dropping-particle":"","family":"Najda","given":"Jacek","non-dropping-particle":"","parse-names":false,"suffix":""},{"dropping-particle":"","family":"Czerw","given":"Tomasz","non-dropping-particle":"","parse-names":false,"suffix":""},{"dropping-particle":"","family":"Mendrek","given":"Włodzimierz","non-dropping-particle":"","parse-names":false,"suffix":""},{"dropping-particle":"","family":"Sobczyk-Kruszelnicka","given":"Małgorzata","non-dropping-particle":"","parse-names":false,"suffix":""},{"dropping-particle":"","family":"Soska","given":"Katarzyna","non-dropping-particle":"","parse-names":false,"suffix":""},{"dropping-particle":"","family":"Ociepa","given":"Małgorzata","non-dropping-particle":"","parse-names":false,"suffix":""},{"dropping-particle":"","family":"Hołowiecki","given":"Jerzy","non-dropping-particle":"","parse-names":false,"suffix":""},{"dropping-particle":"","family":"Giebel","given":"Sebastian","non-dropping-particle":"","parse-names":false,"suffix":""}],"container-title":"Contemporary oncology (Poznan, Poland)","id":"ITEM-2","issue":"2","issued":{"date-parts":[["2018"]]},"page":"113-117","publisher":"Termedia Publishing","title":"Comparable safety profile of BeEAM (bendamustine, etoposide, cytarabine, melphalan) and BEAM (carmustine, etoposide, cytarabine, melphalan) as conditioning before autologous haematopoietic cell transplantation.","type":"article-journal","volume":"22"},"uris":["http://www.mendeley.com/documents/?uuid=5cbf9ec0-cb46-34bb-9da8-ba263a19a7fa","http://www.mendeley.com/documents/?uuid=fae33e18-ab1d-4ae6-86c6-c9c239bca9c9"]},{"id":"ITEM-3","itemData":{"ISSN":"0268-3369","PMID":"9313877","author":[{"dropping-particle":"","family":"Caballero","given":"M. D.","non-dropping-particle":"","parse-names":false,"suffix":""},{"dropping-particle":"","family":"Rubio","given":"V.","non-dropping-particle":"","parse-names":false,"suffix":""},{"dropping-particle":"","family":"Rifon","given":"J.","non-dropping-particle":"","parse-names":false,"suffix":""},{"dropping-particle":"","family":"Heras","given":"I.","non-dropping-particle":"","parse-names":false,"suffix":""},{"dropping-particle":"","family":"García-Sanz","given":"R.","non-dropping-particle":"","parse-names":false,"suffix":""},{"dropping-particle":"","family":"Vázquez","given":"L.","non-dropping-particle":"","parse-names":false,"suffix":""},{"dropping-particle":"","family":"Vidriales","given":"B.","non-dropping-particle":"","parse-names":false,"suffix":""},{"dropping-particle":"","family":"Cañizo","given":"M. C.","non-dropping-particle":"Del","parse-names":false,"suffix":""},{"dropping-particle":"","family":"Corral","given":"M.","non-dropping-particle":"","parse-names":false,"suffix":""},{"dropping-particle":"","family":"Gonzalez","given":"M.","non-dropping-particle":"","parse-names":false,"suffix":""},{"dropping-particle":"","family":"León","given":"A.","non-dropping-particle":"","parse-names":false,"suffix":""},{"dropping-particle":"","family":"Jean-Paul","given":"E.","non-dropping-particle":"","parse-names":false,"suffix":""},{"dropping-particle":"","family":"Rocha","given":"E.","non-dropping-particle":"","parse-names":false,"suffix":""},{"dropping-particle":"","family":"Moraleda","given":"J. M.","non-dropping-particle":"","parse-names":false,"suffix":""},{"dropping-particle":"","family":"San Miguel","given":"J. F.","non-dropping-particle":"","parse-names":false,"suffix":""}],"container-title":"Bone marrow transplantation","id":"ITEM-3","issue":"6","issued":{"date-parts":[["1997","9","2"]]},"publisher":"Bone Marrow Transplant","title":"BEAM chemotherapy followed by autologous stem cell support in lymphoma patients: analysis of efficacy, toxicity and prognostic factors","type":"article-journal","volume":"20"},"uris":["http://www.mendeley.com/documents/?uuid=fd968b64-ae15-463a-81f8-6f36410e0f73"]}],"mendeley":{"formattedCitation":"[231–233]","plainTextFormattedCitation":"[231–233]","previouslyFormattedCitation":"[231–233]"},"properties":{"noteIndex":0},"schema":"https://github.com/citation-style-language/schema/raw/master/csl-citation.json"}</w:instrText>
      </w:r>
      <w:r w:rsidRPr="00D46F1E">
        <w:rPr>
          <w:color w:val="000000" w:themeColor="text1"/>
        </w:rPr>
        <w:fldChar w:fldCharType="separate"/>
      </w:r>
      <w:r w:rsidR="006E1902" w:rsidRPr="006E1902">
        <w:rPr>
          <w:noProof/>
          <w:color w:val="000000" w:themeColor="text1"/>
        </w:rPr>
        <w:t>[231–233]</w:t>
      </w:r>
      <w:r w:rsidRPr="00D46F1E">
        <w:rPr>
          <w:color w:val="000000" w:themeColor="text1"/>
        </w:rPr>
        <w:fldChar w:fldCharType="end"/>
      </w:r>
      <w:r w:rsidRPr="00D46F1E">
        <w:rPr>
          <w:color w:val="000000" w:themeColor="text1"/>
        </w:rPr>
        <w:t xml:space="preserve">. Схемы введения </w:t>
      </w:r>
      <w:r w:rsidRPr="006E60A8">
        <w:t xml:space="preserve">препаратов и дозы представлены в таблице </w:t>
      </w:r>
      <w:r w:rsidR="00325BC4">
        <w:t>А3.3.</w:t>
      </w:r>
      <w:r w:rsidRPr="006E60A8">
        <w:t>5.</w:t>
      </w:r>
    </w:p>
    <w:p w14:paraId="5340DF5D" w14:textId="77777777" w:rsidR="0049053C" w:rsidRPr="006E60A8" w:rsidRDefault="0049053C" w:rsidP="00650324">
      <w:pPr>
        <w:pStyle w:val="1ff0"/>
      </w:pPr>
      <w:r w:rsidRPr="006E60A8">
        <w:t>Ранняя токсичность режима BEAM включает тяжелый мукозит, тошноту и рвоту, диарею, гепатотоксичность, нефротоксичность и неинфекционные легочные осложнения.</w:t>
      </w:r>
    </w:p>
    <w:p w14:paraId="7AC5C548" w14:textId="77777777" w:rsidR="0049053C" w:rsidRPr="006E60A8" w:rsidRDefault="0049053C" w:rsidP="00650324">
      <w:pPr>
        <w:pStyle w:val="1ff0"/>
      </w:pPr>
      <w:r w:rsidRPr="006E60A8">
        <w:t>Поздняя токсичность включает легочные осложнения, такие как хронический интерстициальный фиброз и снижение диффузионной способности легких (21%), инфекция (30%), метаболический синдром (17%), сердечно-сосудистые осложнения (12%), вторичные опухоли (20%).</w:t>
      </w:r>
    </w:p>
    <w:p w14:paraId="102E4B7A" w14:textId="77777777" w:rsidR="0049053C" w:rsidRPr="006E60A8" w:rsidRDefault="0049053C" w:rsidP="00650324">
      <w:pPr>
        <w:pStyle w:val="1ff0"/>
        <w:rPr>
          <w:b/>
        </w:rPr>
      </w:pPr>
    </w:p>
    <w:p w14:paraId="5B124596" w14:textId="6546A6B6" w:rsidR="0049053C" w:rsidRPr="00BA4F0F" w:rsidRDefault="0049053C" w:rsidP="00650324">
      <w:pPr>
        <w:pStyle w:val="1ff0"/>
      </w:pPr>
      <w:r w:rsidRPr="006E60A8">
        <w:lastRenderedPageBreak/>
        <w:t xml:space="preserve">Таблица </w:t>
      </w:r>
      <w:r w:rsidR="00325BC4">
        <w:t>А3.3.</w:t>
      </w:r>
      <w:r w:rsidRPr="006E60A8">
        <w:t xml:space="preserve">5. Схема предтрансплантационного кондиционирования </w:t>
      </w:r>
      <w:r w:rsidRPr="006E60A8">
        <w:rPr>
          <w:lang w:val="en-US"/>
        </w:rPr>
        <w:t>BEAM</w:t>
      </w:r>
      <w:r w:rsidRPr="006E60A8">
        <w:t xml:space="preserve"> </w:t>
      </w:r>
      <w:r w:rsidRPr="006E60A8">
        <w:rPr>
          <w:lang w:val="en-US"/>
        </w:rPr>
        <w:fldChar w:fldCharType="begin" w:fldLock="1"/>
      </w:r>
      <w:r w:rsidR="00A6794A">
        <w:rPr>
          <w:lang w:val="en-US"/>
        </w:rPr>
        <w:instrText>ADDIN</w:instrText>
      </w:r>
      <w:r w:rsidR="00A6794A" w:rsidRPr="00D3550C">
        <w:instrText xml:space="preserve"> </w:instrText>
      </w:r>
      <w:r w:rsidR="00A6794A">
        <w:rPr>
          <w:lang w:val="en-US"/>
        </w:rPr>
        <w:instrText>CSL</w:instrText>
      </w:r>
      <w:r w:rsidR="00A6794A" w:rsidRPr="00D3550C">
        <w:instrText>_</w:instrText>
      </w:r>
      <w:r w:rsidR="00A6794A">
        <w:rPr>
          <w:lang w:val="en-US"/>
        </w:rPr>
        <w:instrText>CITATION</w:instrText>
      </w:r>
      <w:r w:rsidR="00A6794A" w:rsidRPr="00D3550C">
        <w:instrText xml:space="preserve"> {"</w:instrText>
      </w:r>
      <w:r w:rsidR="00A6794A">
        <w:rPr>
          <w:lang w:val="en-US"/>
        </w:rPr>
        <w:instrText>citationItems</w:instrText>
      </w:r>
      <w:r w:rsidR="00A6794A" w:rsidRPr="00D3550C">
        <w:instrText>":[{"</w:instrText>
      </w:r>
      <w:r w:rsidR="00A6794A">
        <w:rPr>
          <w:lang w:val="en-US"/>
        </w:rPr>
        <w:instrText>id</w:instrText>
      </w:r>
      <w:r w:rsidR="00A6794A" w:rsidRPr="00D3550C">
        <w:instrText>":"</w:instrText>
      </w:r>
      <w:r w:rsidR="00A6794A">
        <w:rPr>
          <w:lang w:val="en-US"/>
        </w:rPr>
        <w:instrText>ITEM</w:instrText>
      </w:r>
      <w:r w:rsidR="00A6794A" w:rsidRPr="00D3550C">
        <w:instrText>-1","</w:instrText>
      </w:r>
      <w:r w:rsidR="00A6794A">
        <w:rPr>
          <w:lang w:val="en-US"/>
        </w:rPr>
        <w:instrText>itemData</w:instrText>
      </w:r>
      <w:r w:rsidR="00A6794A" w:rsidRPr="00D3550C">
        <w:instrText>":{"</w:instrText>
      </w:r>
      <w:r w:rsidR="00A6794A">
        <w:rPr>
          <w:lang w:val="en-US"/>
        </w:rPr>
        <w:instrText>DOI</w:instrText>
      </w:r>
      <w:r w:rsidR="00A6794A" w:rsidRPr="00D3550C">
        <w:instrText>":"10.1200/</w:instrText>
      </w:r>
      <w:r w:rsidR="00A6794A">
        <w:rPr>
          <w:lang w:val="en-US"/>
        </w:rPr>
        <w:instrText>JCO</w:instrText>
      </w:r>
      <w:r w:rsidR="00A6794A" w:rsidRPr="00D3550C">
        <w:instrText>.1995.13.3.588","</w:instrText>
      </w:r>
      <w:r w:rsidR="00A6794A">
        <w:rPr>
          <w:lang w:val="en-US"/>
        </w:rPr>
        <w:instrText>ISSN</w:instrText>
      </w:r>
      <w:r w:rsidR="00A6794A" w:rsidRPr="00D3550C">
        <w:instrText>":"0732-183</w:instrText>
      </w:r>
      <w:r w:rsidR="00A6794A">
        <w:rPr>
          <w:lang w:val="en-US"/>
        </w:rPr>
        <w:instrText>X</w:instrText>
      </w:r>
      <w:r w:rsidR="00A6794A" w:rsidRPr="00D3550C">
        <w:instrText>","</w:instrText>
      </w:r>
      <w:r w:rsidR="00A6794A">
        <w:rPr>
          <w:lang w:val="en-US"/>
        </w:rPr>
        <w:instrText>PMID</w:instrText>
      </w:r>
      <w:r w:rsidR="00A6794A" w:rsidRPr="00D3550C">
        <w:instrText>":"7884420","</w:instrText>
      </w:r>
      <w:r w:rsidR="00A6794A">
        <w:rPr>
          <w:lang w:val="en-US"/>
        </w:rPr>
        <w:instrText>abstract</w:instrText>
      </w:r>
      <w:r w:rsidR="00A6794A" w:rsidRPr="00D3550C">
        <w:instrText>":"</w:instrText>
      </w:r>
      <w:r w:rsidR="00A6794A">
        <w:rPr>
          <w:lang w:val="en-US"/>
        </w:rPr>
        <w:instrText>PURPOSE</w:instrText>
      </w:r>
      <w:r w:rsidR="00A6794A" w:rsidRPr="00D3550C">
        <w:instrText xml:space="preserve"> </w:instrText>
      </w:r>
      <w:r w:rsidR="00A6794A">
        <w:rPr>
          <w:lang w:val="en-US"/>
        </w:rPr>
        <w:instrText>To</w:instrText>
      </w:r>
      <w:r w:rsidR="00A6794A" w:rsidRPr="00D3550C">
        <w:instrText xml:space="preserve"> </w:instrText>
      </w:r>
      <w:r w:rsidR="00A6794A">
        <w:rPr>
          <w:lang w:val="en-US"/>
        </w:rPr>
        <w:instrText>evaluate</w:instrText>
      </w:r>
      <w:r w:rsidR="00A6794A" w:rsidRPr="00D3550C">
        <w:instrText xml:space="preserve"> </w:instrText>
      </w:r>
      <w:r w:rsidR="00A6794A">
        <w:rPr>
          <w:lang w:val="en-US"/>
        </w:rPr>
        <w:instrText>the</w:instrText>
      </w:r>
      <w:r w:rsidR="00A6794A" w:rsidRPr="00D3550C">
        <w:instrText xml:space="preserve"> </w:instrText>
      </w:r>
      <w:r w:rsidR="00A6794A">
        <w:rPr>
          <w:lang w:val="en-US"/>
        </w:rPr>
        <w:instrText>outcome</w:instrText>
      </w:r>
      <w:r w:rsidR="00A6794A" w:rsidRPr="00D3550C">
        <w:instrText xml:space="preserve"> </w:instrText>
      </w:r>
      <w:r w:rsidR="00A6794A">
        <w:rPr>
          <w:lang w:val="en-US"/>
        </w:rPr>
        <w:instrText>of</w:instrText>
      </w:r>
      <w:r w:rsidR="00A6794A" w:rsidRPr="00D3550C">
        <w:instrText xml:space="preserve"> </w:instrText>
      </w:r>
      <w:r w:rsidR="00A6794A">
        <w:rPr>
          <w:lang w:val="en-US"/>
        </w:rPr>
        <w:instrText>patients</w:instrText>
      </w:r>
      <w:r w:rsidR="00A6794A" w:rsidRPr="00D3550C">
        <w:instrText xml:space="preserve"> </w:instrText>
      </w:r>
      <w:r w:rsidR="00A6794A">
        <w:rPr>
          <w:lang w:val="en-US"/>
        </w:rPr>
        <w:instrText>with</w:instrText>
      </w:r>
      <w:r w:rsidR="00A6794A" w:rsidRPr="00D3550C">
        <w:instrText xml:space="preserve"> </w:instrText>
      </w:r>
      <w:r w:rsidR="00A6794A">
        <w:rPr>
          <w:lang w:val="en-US"/>
        </w:rPr>
        <w:instrText>relapsed</w:instrText>
      </w:r>
      <w:r w:rsidR="00A6794A" w:rsidRPr="00D3550C">
        <w:instrText xml:space="preserve"> </w:instrText>
      </w:r>
      <w:r w:rsidR="00A6794A">
        <w:rPr>
          <w:lang w:val="en-US"/>
        </w:rPr>
        <w:instrText>or</w:instrText>
      </w:r>
      <w:r w:rsidR="00A6794A" w:rsidRPr="00D3550C">
        <w:instrText xml:space="preserve"> </w:instrText>
      </w:r>
      <w:r w:rsidR="00A6794A">
        <w:rPr>
          <w:lang w:val="en-US"/>
        </w:rPr>
        <w:instrText>resistant</w:instrText>
      </w:r>
      <w:r w:rsidR="00A6794A" w:rsidRPr="00D3550C">
        <w:instrText xml:space="preserve"> </w:instrText>
      </w:r>
      <w:r w:rsidR="00A6794A">
        <w:rPr>
          <w:lang w:val="en-US"/>
        </w:rPr>
        <w:instrText>non</w:instrText>
      </w:r>
      <w:r w:rsidR="00A6794A" w:rsidRPr="00D3550C">
        <w:instrText>-</w:instrText>
      </w:r>
      <w:r w:rsidR="00A6794A">
        <w:rPr>
          <w:lang w:val="en-US"/>
        </w:rPr>
        <w:instrText>Hodgkin</w:instrText>
      </w:r>
      <w:r w:rsidR="00A6794A" w:rsidRPr="00D3550C">
        <w:instrText>'</w:instrText>
      </w:r>
      <w:r w:rsidR="00A6794A">
        <w:rPr>
          <w:lang w:val="en-US"/>
        </w:rPr>
        <w:instrText>s</w:instrText>
      </w:r>
      <w:r w:rsidR="00A6794A" w:rsidRPr="00D3550C">
        <w:instrText xml:space="preserve"> </w:instrText>
      </w:r>
      <w:r w:rsidR="00A6794A">
        <w:rPr>
          <w:lang w:val="en-US"/>
        </w:rPr>
        <w:instrText>lymphoma</w:instrText>
      </w:r>
      <w:r w:rsidR="00A6794A" w:rsidRPr="00D3550C">
        <w:instrText xml:space="preserve"> (</w:instrText>
      </w:r>
      <w:r w:rsidR="00A6794A">
        <w:rPr>
          <w:lang w:val="en-US"/>
        </w:rPr>
        <w:instrText>NHL</w:instrText>
      </w:r>
      <w:r w:rsidR="00A6794A" w:rsidRPr="00D3550C">
        <w:instrText xml:space="preserve">) </w:instrText>
      </w:r>
      <w:r w:rsidR="00A6794A">
        <w:rPr>
          <w:lang w:val="en-US"/>
        </w:rPr>
        <w:instrText>undergoing</w:instrText>
      </w:r>
      <w:r w:rsidR="00A6794A" w:rsidRPr="00D3550C">
        <w:instrText xml:space="preserve"> </w:instrText>
      </w:r>
      <w:r w:rsidR="00A6794A">
        <w:rPr>
          <w:lang w:val="en-US"/>
        </w:rPr>
        <w:instrText>high</w:instrText>
      </w:r>
      <w:r w:rsidR="00A6794A" w:rsidRPr="00D3550C">
        <w:instrText>-</w:instrText>
      </w:r>
      <w:r w:rsidR="00A6794A">
        <w:rPr>
          <w:lang w:val="en-US"/>
        </w:rPr>
        <w:instrText>dose</w:instrText>
      </w:r>
      <w:r w:rsidR="00A6794A" w:rsidRPr="00D3550C">
        <w:instrText xml:space="preserve"> </w:instrText>
      </w:r>
      <w:r w:rsidR="00A6794A">
        <w:rPr>
          <w:lang w:val="en-US"/>
        </w:rPr>
        <w:instrText>chemotherapy</w:instrText>
      </w:r>
      <w:r w:rsidR="00A6794A" w:rsidRPr="00D3550C">
        <w:instrText xml:space="preserve"> </w:instrText>
      </w:r>
      <w:r w:rsidR="00A6794A">
        <w:rPr>
          <w:lang w:val="en-US"/>
        </w:rPr>
        <w:instrText>and</w:instrText>
      </w:r>
      <w:r w:rsidR="00A6794A" w:rsidRPr="00D3550C">
        <w:instrText xml:space="preserve"> </w:instrText>
      </w:r>
      <w:r w:rsidR="00A6794A">
        <w:rPr>
          <w:lang w:val="en-US"/>
        </w:rPr>
        <w:instrText>autologous</w:instrText>
      </w:r>
      <w:r w:rsidR="00A6794A" w:rsidRPr="00D3550C">
        <w:instrText xml:space="preserve"> </w:instrText>
      </w:r>
      <w:r w:rsidR="00A6794A">
        <w:rPr>
          <w:lang w:val="en-US"/>
        </w:rPr>
        <w:instrText>bone</w:instrText>
      </w:r>
      <w:r w:rsidR="00A6794A" w:rsidRPr="00D3550C">
        <w:instrText xml:space="preserve"> </w:instrText>
      </w:r>
      <w:r w:rsidR="00A6794A">
        <w:rPr>
          <w:lang w:val="en-US"/>
        </w:rPr>
        <w:instrText>marrow</w:instrText>
      </w:r>
      <w:r w:rsidR="00A6794A" w:rsidRPr="00D3550C">
        <w:instrText xml:space="preserve"> </w:instrText>
      </w:r>
      <w:r w:rsidR="00A6794A">
        <w:rPr>
          <w:lang w:val="en-US"/>
        </w:rPr>
        <w:instrText>transplantation</w:instrText>
      </w:r>
      <w:r w:rsidR="00A6794A" w:rsidRPr="00D3550C">
        <w:instrText xml:space="preserve"> (</w:instrText>
      </w:r>
      <w:r w:rsidR="00A6794A">
        <w:rPr>
          <w:lang w:val="en-US"/>
        </w:rPr>
        <w:instrText>ABMT</w:instrText>
      </w:r>
      <w:r w:rsidR="00A6794A" w:rsidRPr="00D3550C">
        <w:instrText xml:space="preserve">) </w:instrText>
      </w:r>
      <w:r w:rsidR="00A6794A">
        <w:rPr>
          <w:lang w:val="en-US"/>
        </w:rPr>
        <w:instrText>and</w:instrText>
      </w:r>
      <w:r w:rsidR="00A6794A" w:rsidRPr="00D3550C">
        <w:instrText xml:space="preserve"> </w:instrText>
      </w:r>
      <w:r w:rsidR="00A6794A">
        <w:rPr>
          <w:lang w:val="en-US"/>
        </w:rPr>
        <w:instrText>to</w:instrText>
      </w:r>
      <w:r w:rsidR="00A6794A" w:rsidRPr="00D3550C">
        <w:instrText xml:space="preserve"> </w:instrText>
      </w:r>
      <w:r w:rsidR="00A6794A">
        <w:rPr>
          <w:lang w:val="en-US"/>
        </w:rPr>
        <w:instrText>determine</w:instrText>
      </w:r>
      <w:r w:rsidR="00A6794A" w:rsidRPr="00D3550C">
        <w:instrText xml:space="preserve"> </w:instrText>
      </w:r>
      <w:r w:rsidR="00A6794A">
        <w:rPr>
          <w:lang w:val="en-US"/>
        </w:rPr>
        <w:instrText>the</w:instrText>
      </w:r>
      <w:r w:rsidR="00A6794A" w:rsidRPr="00D3550C">
        <w:instrText xml:space="preserve"> </w:instrText>
      </w:r>
      <w:r w:rsidR="00A6794A">
        <w:rPr>
          <w:lang w:val="en-US"/>
        </w:rPr>
        <w:instrText>main</w:instrText>
      </w:r>
      <w:r w:rsidR="00A6794A" w:rsidRPr="00D3550C">
        <w:instrText xml:space="preserve"> </w:instrText>
      </w:r>
      <w:r w:rsidR="00A6794A">
        <w:rPr>
          <w:lang w:val="en-US"/>
        </w:rPr>
        <w:instrText>prognostic</w:instrText>
      </w:r>
      <w:r w:rsidR="00A6794A" w:rsidRPr="00D3550C">
        <w:instrText xml:space="preserve"> </w:instrText>
      </w:r>
      <w:r w:rsidR="00A6794A">
        <w:rPr>
          <w:lang w:val="en-US"/>
        </w:rPr>
        <w:instrText>factors</w:instrText>
      </w:r>
      <w:r w:rsidR="00A6794A" w:rsidRPr="00D3550C">
        <w:instrText xml:space="preserve">. </w:instrText>
      </w:r>
      <w:r w:rsidR="00A6794A">
        <w:rPr>
          <w:lang w:val="en-US"/>
        </w:rPr>
        <w:instrText>PATIENTS</w:instrText>
      </w:r>
      <w:r w:rsidR="00A6794A" w:rsidRPr="00D3550C">
        <w:instrText xml:space="preserve"> </w:instrText>
      </w:r>
      <w:r w:rsidR="00A6794A">
        <w:rPr>
          <w:lang w:val="en-US"/>
        </w:rPr>
        <w:instrText>AND</w:instrText>
      </w:r>
      <w:r w:rsidR="00A6794A" w:rsidRPr="00D3550C">
        <w:instrText xml:space="preserve"> </w:instrText>
      </w:r>
      <w:r w:rsidR="00A6794A">
        <w:rPr>
          <w:lang w:val="en-US"/>
        </w:rPr>
        <w:instrText>METHODS</w:instrText>
      </w:r>
      <w:r w:rsidR="00A6794A" w:rsidRPr="00D3550C">
        <w:instrText xml:space="preserve"> </w:instrText>
      </w:r>
      <w:r w:rsidR="00A6794A">
        <w:rPr>
          <w:lang w:val="en-US"/>
        </w:rPr>
        <w:instrText>One</w:instrText>
      </w:r>
      <w:r w:rsidR="00A6794A" w:rsidRPr="00D3550C">
        <w:instrText xml:space="preserve"> </w:instrText>
      </w:r>
      <w:r w:rsidR="00A6794A">
        <w:rPr>
          <w:lang w:val="en-US"/>
        </w:rPr>
        <w:instrText>hundred</w:instrText>
      </w:r>
      <w:r w:rsidR="00A6794A" w:rsidRPr="00D3550C">
        <w:instrText xml:space="preserve"> </w:instrText>
      </w:r>
      <w:r w:rsidR="00A6794A">
        <w:rPr>
          <w:lang w:val="en-US"/>
        </w:rPr>
        <w:instrText>seven</w:instrText>
      </w:r>
      <w:r w:rsidR="00A6794A" w:rsidRPr="00D3550C">
        <w:instrText xml:space="preserve"> </w:instrText>
      </w:r>
      <w:r w:rsidR="00A6794A">
        <w:rPr>
          <w:lang w:val="en-US"/>
        </w:rPr>
        <w:instrText>patients</w:instrText>
      </w:r>
      <w:r w:rsidR="00A6794A" w:rsidRPr="00D3550C">
        <w:instrText xml:space="preserve"> </w:instrText>
      </w:r>
      <w:r w:rsidR="00A6794A">
        <w:rPr>
          <w:lang w:val="en-US"/>
        </w:rPr>
        <w:instrText>with</w:instrText>
      </w:r>
      <w:r w:rsidR="00A6794A" w:rsidRPr="00D3550C">
        <w:instrText xml:space="preserve"> </w:instrText>
      </w:r>
      <w:r w:rsidR="00A6794A">
        <w:rPr>
          <w:lang w:val="en-US"/>
        </w:rPr>
        <w:instrText>relapsed</w:instrText>
      </w:r>
      <w:r w:rsidR="00A6794A" w:rsidRPr="00D3550C">
        <w:instrText xml:space="preserve"> </w:instrText>
      </w:r>
      <w:r w:rsidR="00A6794A">
        <w:rPr>
          <w:lang w:val="en-US"/>
        </w:rPr>
        <w:instrText>or</w:instrText>
      </w:r>
      <w:r w:rsidR="00A6794A" w:rsidRPr="00D3550C">
        <w:instrText xml:space="preserve"> </w:instrText>
      </w:r>
      <w:r w:rsidR="00A6794A">
        <w:rPr>
          <w:lang w:val="en-US"/>
        </w:rPr>
        <w:instrText>resistant</w:instrText>
      </w:r>
      <w:r w:rsidR="00A6794A" w:rsidRPr="00D3550C">
        <w:instrText xml:space="preserve"> </w:instrText>
      </w:r>
      <w:r w:rsidR="00A6794A">
        <w:rPr>
          <w:lang w:val="en-US"/>
        </w:rPr>
        <w:instrText>intermediate</w:instrText>
      </w:r>
      <w:r w:rsidR="00A6794A" w:rsidRPr="00D3550C">
        <w:instrText>-/</w:instrText>
      </w:r>
      <w:r w:rsidR="00A6794A">
        <w:rPr>
          <w:lang w:val="en-US"/>
        </w:rPr>
        <w:instrText>high</w:instrText>
      </w:r>
      <w:r w:rsidR="00A6794A" w:rsidRPr="00D3550C">
        <w:instrText>-</w:instrText>
      </w:r>
      <w:r w:rsidR="00A6794A">
        <w:rPr>
          <w:lang w:val="en-US"/>
        </w:rPr>
        <w:instrText>grade</w:instrText>
      </w:r>
      <w:r w:rsidR="00A6794A" w:rsidRPr="00D3550C">
        <w:instrText xml:space="preserve"> </w:instrText>
      </w:r>
      <w:r w:rsidR="00A6794A">
        <w:rPr>
          <w:lang w:val="en-US"/>
        </w:rPr>
        <w:instrText>NHL</w:instrText>
      </w:r>
      <w:r w:rsidR="00A6794A" w:rsidRPr="00D3550C">
        <w:instrText xml:space="preserve"> </w:instrText>
      </w:r>
      <w:r w:rsidR="00A6794A">
        <w:rPr>
          <w:lang w:val="en-US"/>
        </w:rPr>
        <w:instrText>underwent</w:instrText>
      </w:r>
      <w:r w:rsidR="00A6794A" w:rsidRPr="00D3550C">
        <w:instrText xml:space="preserve"> </w:instrText>
      </w:r>
      <w:r w:rsidR="00A6794A">
        <w:rPr>
          <w:lang w:val="en-US"/>
        </w:rPr>
        <w:instrText>high</w:instrText>
      </w:r>
      <w:r w:rsidR="00A6794A" w:rsidRPr="00D3550C">
        <w:instrText>-</w:instrText>
      </w:r>
      <w:r w:rsidR="00A6794A">
        <w:rPr>
          <w:lang w:val="en-US"/>
        </w:rPr>
        <w:instrText>dose</w:instrText>
      </w:r>
      <w:r w:rsidR="00A6794A" w:rsidRPr="00D3550C">
        <w:instrText xml:space="preserve"> </w:instrText>
      </w:r>
      <w:r w:rsidR="00A6794A">
        <w:rPr>
          <w:lang w:val="en-US"/>
        </w:rPr>
        <w:instrText>carmustine</w:instrText>
      </w:r>
      <w:r w:rsidR="00A6794A" w:rsidRPr="00D3550C">
        <w:instrText xml:space="preserve">, </w:instrText>
      </w:r>
      <w:r w:rsidR="00A6794A">
        <w:rPr>
          <w:lang w:val="en-US"/>
        </w:rPr>
        <w:instrText>etoposide</w:instrText>
      </w:r>
      <w:r w:rsidR="00A6794A" w:rsidRPr="00D3550C">
        <w:instrText xml:space="preserve">, </w:instrText>
      </w:r>
      <w:r w:rsidR="00A6794A">
        <w:rPr>
          <w:lang w:val="en-US"/>
        </w:rPr>
        <w:instrText>cytarabine</w:instrText>
      </w:r>
      <w:r w:rsidR="00A6794A" w:rsidRPr="00D3550C">
        <w:instrText xml:space="preserve">, </w:instrText>
      </w:r>
      <w:r w:rsidR="00A6794A">
        <w:rPr>
          <w:lang w:val="en-US"/>
        </w:rPr>
        <w:instrText>and</w:instrText>
      </w:r>
      <w:r w:rsidR="00A6794A" w:rsidRPr="00D3550C">
        <w:instrText xml:space="preserve"> </w:instrText>
      </w:r>
      <w:r w:rsidR="00A6794A">
        <w:rPr>
          <w:lang w:val="en-US"/>
        </w:rPr>
        <w:instrText>melphalan</w:instrText>
      </w:r>
      <w:r w:rsidR="00A6794A" w:rsidRPr="00D3550C">
        <w:instrText xml:space="preserve"> (</w:instrText>
      </w:r>
      <w:r w:rsidR="00A6794A">
        <w:rPr>
          <w:lang w:val="en-US"/>
        </w:rPr>
        <w:instrText>BEAM</w:instrText>
      </w:r>
      <w:r w:rsidR="00A6794A" w:rsidRPr="00D3550C">
        <w:instrText xml:space="preserve">) </w:instrText>
      </w:r>
      <w:r w:rsidR="00A6794A">
        <w:rPr>
          <w:lang w:val="en-US"/>
        </w:rPr>
        <w:instrText>chemotherapy</w:instrText>
      </w:r>
      <w:r w:rsidR="00A6794A" w:rsidRPr="00D3550C">
        <w:instrText xml:space="preserve"> </w:instrText>
      </w:r>
      <w:r w:rsidR="00A6794A">
        <w:rPr>
          <w:lang w:val="en-US"/>
        </w:rPr>
        <w:instrText>and</w:instrText>
      </w:r>
      <w:r w:rsidR="00A6794A" w:rsidRPr="00D3550C">
        <w:instrText xml:space="preserve"> </w:instrText>
      </w:r>
      <w:r w:rsidR="00A6794A">
        <w:rPr>
          <w:lang w:val="en-US"/>
        </w:rPr>
        <w:instrText>ABMT</w:instrText>
      </w:r>
      <w:r w:rsidR="00A6794A" w:rsidRPr="00D3550C">
        <w:instrText xml:space="preserve"> </w:instrText>
      </w:r>
      <w:r w:rsidR="00A6794A">
        <w:rPr>
          <w:lang w:val="en-US"/>
        </w:rPr>
        <w:instrText>at</w:instrText>
      </w:r>
      <w:r w:rsidR="00A6794A" w:rsidRPr="00D3550C">
        <w:instrText xml:space="preserve"> </w:instrText>
      </w:r>
      <w:r w:rsidR="00A6794A">
        <w:rPr>
          <w:lang w:val="en-US"/>
        </w:rPr>
        <w:instrText>University</w:instrText>
      </w:r>
      <w:r w:rsidR="00A6794A" w:rsidRPr="00D3550C">
        <w:instrText xml:space="preserve"> </w:instrText>
      </w:r>
      <w:r w:rsidR="00A6794A">
        <w:rPr>
          <w:lang w:val="en-US"/>
        </w:rPr>
        <w:instrText>College</w:instrText>
      </w:r>
      <w:r w:rsidR="00A6794A" w:rsidRPr="00D3550C">
        <w:instrText xml:space="preserve"> </w:instrText>
      </w:r>
      <w:r w:rsidR="00A6794A">
        <w:rPr>
          <w:lang w:val="en-US"/>
        </w:rPr>
        <w:instrText>Hospitals</w:instrText>
      </w:r>
      <w:r w:rsidR="00A6794A" w:rsidRPr="00D3550C">
        <w:instrText xml:space="preserve"> </w:instrText>
      </w:r>
      <w:r w:rsidR="00A6794A">
        <w:rPr>
          <w:lang w:val="en-US"/>
        </w:rPr>
        <w:instrText>between</w:instrText>
      </w:r>
      <w:r w:rsidR="00A6794A" w:rsidRPr="00D3550C">
        <w:instrText xml:space="preserve"> </w:instrText>
      </w:r>
      <w:r w:rsidR="00A6794A">
        <w:rPr>
          <w:lang w:val="en-US"/>
        </w:rPr>
        <w:instrText>September</w:instrText>
      </w:r>
      <w:r w:rsidR="00A6794A" w:rsidRPr="00D3550C">
        <w:instrText xml:space="preserve"> 1981 </w:instrText>
      </w:r>
      <w:r w:rsidR="00A6794A">
        <w:rPr>
          <w:lang w:val="en-US"/>
        </w:rPr>
        <w:instrText>and</w:instrText>
      </w:r>
      <w:r w:rsidR="00A6794A" w:rsidRPr="00D3550C">
        <w:instrText xml:space="preserve"> </w:instrText>
      </w:r>
      <w:r w:rsidR="00A6794A">
        <w:rPr>
          <w:lang w:val="en-US"/>
        </w:rPr>
        <w:instrText>February</w:instrText>
      </w:r>
      <w:r w:rsidR="00A6794A" w:rsidRPr="00D3550C">
        <w:instrText xml:space="preserve"> 1993. </w:instrText>
      </w:r>
      <w:r w:rsidR="00A6794A">
        <w:rPr>
          <w:lang w:val="en-US"/>
        </w:rPr>
        <w:instrText>The</w:instrText>
      </w:r>
      <w:r w:rsidR="00A6794A" w:rsidRPr="00D3550C">
        <w:instrText xml:space="preserve"> </w:instrText>
      </w:r>
      <w:r w:rsidR="00A6794A">
        <w:rPr>
          <w:lang w:val="en-US"/>
        </w:rPr>
        <w:instrText>minimum</w:instrText>
      </w:r>
      <w:r w:rsidR="00A6794A" w:rsidRPr="00D3550C">
        <w:instrText xml:space="preserve"> </w:instrText>
      </w:r>
      <w:r w:rsidR="00A6794A">
        <w:rPr>
          <w:lang w:val="en-US"/>
        </w:rPr>
        <w:instrText>follow</w:instrText>
      </w:r>
      <w:r w:rsidR="00A6794A" w:rsidRPr="00D3550C">
        <w:instrText>-</w:instrText>
      </w:r>
      <w:r w:rsidR="00A6794A">
        <w:rPr>
          <w:lang w:val="en-US"/>
        </w:rPr>
        <w:instrText>up</w:instrText>
      </w:r>
      <w:r w:rsidR="00A6794A" w:rsidRPr="00D3550C">
        <w:instrText xml:space="preserve"> </w:instrText>
      </w:r>
      <w:r w:rsidR="00A6794A">
        <w:rPr>
          <w:lang w:val="en-US"/>
        </w:rPr>
        <w:instrText>duration</w:instrText>
      </w:r>
      <w:r w:rsidR="00A6794A" w:rsidRPr="00D3550C">
        <w:instrText xml:space="preserve"> </w:instrText>
      </w:r>
      <w:r w:rsidR="00A6794A">
        <w:rPr>
          <w:lang w:val="en-US"/>
        </w:rPr>
        <w:instrText>of</w:instrText>
      </w:r>
      <w:r w:rsidR="00A6794A" w:rsidRPr="00D3550C">
        <w:instrText xml:space="preserve"> </w:instrText>
      </w:r>
      <w:r w:rsidR="00A6794A">
        <w:rPr>
          <w:lang w:val="en-US"/>
        </w:rPr>
        <w:instrText>all</w:instrText>
      </w:r>
      <w:r w:rsidR="00A6794A" w:rsidRPr="00D3550C">
        <w:instrText xml:space="preserve"> </w:instrText>
      </w:r>
      <w:r w:rsidR="00A6794A">
        <w:rPr>
          <w:lang w:val="en-US"/>
        </w:rPr>
        <w:instrText>patients</w:instrText>
      </w:r>
      <w:r w:rsidR="00A6794A" w:rsidRPr="00D3550C">
        <w:instrText xml:space="preserve"> </w:instrText>
      </w:r>
      <w:r w:rsidR="00A6794A">
        <w:rPr>
          <w:lang w:val="en-US"/>
        </w:rPr>
        <w:instrText>is</w:instrText>
      </w:r>
      <w:r w:rsidR="00A6794A" w:rsidRPr="00D3550C">
        <w:instrText xml:space="preserve"> 6 </w:instrText>
      </w:r>
      <w:r w:rsidR="00A6794A">
        <w:rPr>
          <w:lang w:val="en-US"/>
        </w:rPr>
        <w:instrText>months</w:instrText>
      </w:r>
      <w:r w:rsidR="00A6794A" w:rsidRPr="00D3550C">
        <w:instrText xml:space="preserve">. </w:instrText>
      </w:r>
      <w:r w:rsidR="00A6794A">
        <w:rPr>
          <w:lang w:val="en-US"/>
        </w:rPr>
        <w:instrText>RESULTS</w:instrText>
      </w:r>
      <w:r w:rsidR="00A6794A" w:rsidRPr="00D3550C">
        <w:instrText xml:space="preserve"> </w:instrText>
      </w:r>
      <w:r w:rsidR="00A6794A">
        <w:rPr>
          <w:lang w:val="en-US"/>
        </w:rPr>
        <w:instrText>At</w:instrText>
      </w:r>
      <w:r w:rsidR="00A6794A" w:rsidRPr="00D3550C">
        <w:instrText xml:space="preserve"> 3 </w:instrText>
      </w:r>
      <w:r w:rsidR="00A6794A">
        <w:rPr>
          <w:lang w:val="en-US"/>
        </w:rPr>
        <w:instrText>months</w:instrText>
      </w:r>
      <w:r w:rsidR="00A6794A" w:rsidRPr="00D3550C">
        <w:instrText xml:space="preserve">, </w:instrText>
      </w:r>
      <w:r w:rsidR="00A6794A">
        <w:rPr>
          <w:lang w:val="en-US"/>
        </w:rPr>
        <w:instrText>the</w:instrText>
      </w:r>
      <w:r w:rsidR="00A6794A" w:rsidRPr="00D3550C">
        <w:instrText xml:space="preserve"> </w:instrText>
      </w:r>
      <w:r w:rsidR="00A6794A">
        <w:rPr>
          <w:lang w:val="en-US"/>
        </w:rPr>
        <w:instrText>overall</w:instrText>
      </w:r>
      <w:r w:rsidR="00A6794A" w:rsidRPr="00D3550C">
        <w:instrText xml:space="preserve"> </w:instrText>
      </w:r>
      <w:r w:rsidR="00A6794A">
        <w:rPr>
          <w:lang w:val="en-US"/>
        </w:rPr>
        <w:instrText>response</w:instrText>
      </w:r>
      <w:r w:rsidR="00A6794A" w:rsidRPr="00D3550C">
        <w:instrText xml:space="preserve"> </w:instrText>
      </w:r>
      <w:r w:rsidR="00A6794A">
        <w:rPr>
          <w:lang w:val="en-US"/>
        </w:rPr>
        <w:instrText>rate</w:instrText>
      </w:r>
      <w:r w:rsidR="00A6794A" w:rsidRPr="00D3550C">
        <w:instrText xml:space="preserve"> </w:instrText>
      </w:r>
      <w:r w:rsidR="00A6794A">
        <w:rPr>
          <w:lang w:val="en-US"/>
        </w:rPr>
        <w:instrText>to</w:instrText>
      </w:r>
      <w:r w:rsidR="00A6794A" w:rsidRPr="00D3550C">
        <w:instrText xml:space="preserve"> </w:instrText>
      </w:r>
      <w:r w:rsidR="00A6794A">
        <w:rPr>
          <w:lang w:val="en-US"/>
        </w:rPr>
        <w:instrText>BEAM</w:instrText>
      </w:r>
      <w:r w:rsidR="00A6794A" w:rsidRPr="00D3550C">
        <w:instrText xml:space="preserve"> </w:instrText>
      </w:r>
      <w:r w:rsidR="00A6794A">
        <w:rPr>
          <w:lang w:val="en-US"/>
        </w:rPr>
        <w:instrText>and</w:instrText>
      </w:r>
      <w:r w:rsidR="00A6794A" w:rsidRPr="00D3550C">
        <w:instrText xml:space="preserve"> </w:instrText>
      </w:r>
      <w:r w:rsidR="00A6794A">
        <w:rPr>
          <w:lang w:val="en-US"/>
        </w:rPr>
        <w:instrText>ABMT</w:instrText>
      </w:r>
      <w:r w:rsidR="00A6794A" w:rsidRPr="00D3550C">
        <w:instrText xml:space="preserve"> </w:instrText>
      </w:r>
      <w:r w:rsidR="00A6794A">
        <w:rPr>
          <w:lang w:val="en-US"/>
        </w:rPr>
        <w:instrText>was</w:instrText>
      </w:r>
      <w:r w:rsidR="00A6794A" w:rsidRPr="00D3550C">
        <w:instrText xml:space="preserve"> 73% (41% </w:instrText>
      </w:r>
      <w:r w:rsidR="00A6794A">
        <w:rPr>
          <w:lang w:val="en-US"/>
        </w:rPr>
        <w:instrText>complete</w:instrText>
      </w:r>
      <w:r w:rsidR="00A6794A" w:rsidRPr="00D3550C">
        <w:instrText xml:space="preserve"> </w:instrText>
      </w:r>
      <w:r w:rsidR="00A6794A">
        <w:rPr>
          <w:lang w:val="en-US"/>
        </w:rPr>
        <w:instrText>response</w:instrText>
      </w:r>
      <w:r w:rsidR="00A6794A" w:rsidRPr="00D3550C">
        <w:instrText xml:space="preserve"> </w:instrText>
      </w:r>
      <w:r w:rsidR="00A6794A">
        <w:rPr>
          <w:lang w:val="en-US"/>
        </w:rPr>
        <w:instrText>and</w:instrText>
      </w:r>
      <w:r w:rsidR="00A6794A" w:rsidRPr="00D3550C">
        <w:instrText xml:space="preserve"> 32% </w:instrText>
      </w:r>
      <w:r w:rsidR="00A6794A">
        <w:rPr>
          <w:lang w:val="en-US"/>
        </w:rPr>
        <w:instrText>partial</w:instrText>
      </w:r>
      <w:r w:rsidR="00A6794A" w:rsidRPr="00D3550C">
        <w:instrText xml:space="preserve"> </w:instrText>
      </w:r>
      <w:r w:rsidR="00A6794A">
        <w:rPr>
          <w:lang w:val="en-US"/>
        </w:rPr>
        <w:instrText>response</w:instrText>
      </w:r>
      <w:r w:rsidR="00A6794A" w:rsidRPr="00D3550C">
        <w:instrText xml:space="preserve">). </w:instrText>
      </w:r>
      <w:r w:rsidR="00A6794A">
        <w:rPr>
          <w:lang w:val="en-US"/>
        </w:rPr>
        <w:instrText>The</w:instrText>
      </w:r>
      <w:r w:rsidR="00A6794A" w:rsidRPr="00D3550C">
        <w:instrText xml:space="preserve"> 5-</w:instrText>
      </w:r>
      <w:r w:rsidR="00A6794A">
        <w:rPr>
          <w:lang w:val="en-US"/>
        </w:rPr>
        <w:instrText>year</w:instrText>
      </w:r>
      <w:r w:rsidR="00A6794A" w:rsidRPr="00D3550C">
        <w:instrText xml:space="preserve"> </w:instrText>
      </w:r>
      <w:r w:rsidR="00A6794A">
        <w:rPr>
          <w:lang w:val="en-US"/>
        </w:rPr>
        <w:instrText>actuarial</w:instrText>
      </w:r>
      <w:r w:rsidR="00A6794A" w:rsidRPr="00D3550C">
        <w:instrText xml:space="preserve"> </w:instrText>
      </w:r>
      <w:r w:rsidR="00A6794A">
        <w:rPr>
          <w:lang w:val="en-US"/>
        </w:rPr>
        <w:instrText>overall</w:instrText>
      </w:r>
      <w:r w:rsidR="00A6794A" w:rsidRPr="00D3550C">
        <w:instrText xml:space="preserve"> </w:instrText>
      </w:r>
      <w:r w:rsidR="00A6794A">
        <w:rPr>
          <w:lang w:val="en-US"/>
        </w:rPr>
        <w:instrText>survival</w:instrText>
      </w:r>
      <w:r w:rsidR="00A6794A" w:rsidRPr="00D3550C">
        <w:instrText xml:space="preserve"> </w:instrText>
      </w:r>
      <w:r w:rsidR="00A6794A">
        <w:rPr>
          <w:lang w:val="en-US"/>
        </w:rPr>
        <w:instrText>and</w:instrText>
      </w:r>
      <w:r w:rsidR="00A6794A" w:rsidRPr="00D3550C">
        <w:instrText xml:space="preserve"> </w:instrText>
      </w:r>
      <w:r w:rsidR="00A6794A">
        <w:rPr>
          <w:lang w:val="en-US"/>
        </w:rPr>
        <w:instrText>progression</w:instrText>
      </w:r>
      <w:r w:rsidR="00A6794A" w:rsidRPr="00D3550C">
        <w:instrText>-</w:instrText>
      </w:r>
      <w:r w:rsidR="00A6794A">
        <w:rPr>
          <w:lang w:val="en-US"/>
        </w:rPr>
        <w:instrText>free</w:instrText>
      </w:r>
      <w:r w:rsidR="00A6794A" w:rsidRPr="00D3550C">
        <w:instrText xml:space="preserve"> </w:instrText>
      </w:r>
      <w:r w:rsidR="00A6794A">
        <w:rPr>
          <w:lang w:val="en-US"/>
        </w:rPr>
        <w:instrText>survival</w:instrText>
      </w:r>
      <w:r w:rsidR="00A6794A" w:rsidRPr="00D3550C">
        <w:instrText xml:space="preserve"> </w:instrText>
      </w:r>
      <w:r w:rsidR="00A6794A">
        <w:rPr>
          <w:lang w:val="en-US"/>
        </w:rPr>
        <w:instrText>rates</w:instrText>
      </w:r>
      <w:r w:rsidR="00A6794A" w:rsidRPr="00D3550C">
        <w:instrText xml:space="preserve"> </w:instrText>
      </w:r>
      <w:r w:rsidR="00A6794A">
        <w:rPr>
          <w:lang w:val="en-US"/>
        </w:rPr>
        <w:instrText>were</w:instrText>
      </w:r>
      <w:r w:rsidR="00A6794A" w:rsidRPr="00D3550C">
        <w:instrText xml:space="preserve"> 41% </w:instrText>
      </w:r>
      <w:r w:rsidR="00A6794A">
        <w:rPr>
          <w:lang w:val="en-US"/>
        </w:rPr>
        <w:instrText>and</w:instrText>
      </w:r>
      <w:r w:rsidR="00A6794A" w:rsidRPr="00D3550C">
        <w:instrText xml:space="preserve"> 35%, </w:instrText>
      </w:r>
      <w:r w:rsidR="00A6794A">
        <w:rPr>
          <w:lang w:val="en-US"/>
        </w:rPr>
        <w:instrText>respectively</w:instrText>
      </w:r>
      <w:r w:rsidR="00A6794A" w:rsidRPr="00D3550C">
        <w:instrText xml:space="preserve">. </w:instrText>
      </w:r>
      <w:r w:rsidR="00A6794A">
        <w:rPr>
          <w:lang w:val="en-US"/>
        </w:rPr>
        <w:instrText>The</w:instrText>
      </w:r>
      <w:r w:rsidR="00A6794A" w:rsidRPr="00D3550C">
        <w:instrText xml:space="preserve"> </w:instrText>
      </w:r>
      <w:r w:rsidR="00A6794A">
        <w:rPr>
          <w:lang w:val="en-US"/>
        </w:rPr>
        <w:instrText>early</w:instrText>
      </w:r>
      <w:r w:rsidR="00A6794A" w:rsidRPr="00D3550C">
        <w:instrText xml:space="preserve"> </w:instrText>
      </w:r>
      <w:r w:rsidR="00A6794A">
        <w:rPr>
          <w:lang w:val="en-US"/>
        </w:rPr>
        <w:instrText>procedure</w:instrText>
      </w:r>
      <w:r w:rsidR="00A6794A" w:rsidRPr="00D3550C">
        <w:instrText>-</w:instrText>
      </w:r>
      <w:r w:rsidR="00A6794A">
        <w:rPr>
          <w:lang w:val="en-US"/>
        </w:rPr>
        <w:instrText>related</w:instrText>
      </w:r>
      <w:r w:rsidR="00A6794A" w:rsidRPr="00D3550C">
        <w:instrText xml:space="preserve"> </w:instrText>
      </w:r>
      <w:r w:rsidR="00A6794A">
        <w:rPr>
          <w:lang w:val="en-US"/>
        </w:rPr>
        <w:instrText>mortality</w:instrText>
      </w:r>
      <w:r w:rsidR="00A6794A" w:rsidRPr="00D3550C">
        <w:instrText xml:space="preserve"> </w:instrText>
      </w:r>
      <w:r w:rsidR="00A6794A">
        <w:rPr>
          <w:lang w:val="en-US"/>
        </w:rPr>
        <w:instrText>rate</w:instrText>
      </w:r>
      <w:r w:rsidR="00A6794A" w:rsidRPr="00D3550C">
        <w:instrText xml:space="preserve"> </w:instrText>
      </w:r>
      <w:r w:rsidR="00A6794A">
        <w:rPr>
          <w:lang w:val="en-US"/>
        </w:rPr>
        <w:instrText>was</w:instrText>
      </w:r>
      <w:r w:rsidR="00A6794A" w:rsidRPr="00D3550C">
        <w:instrText xml:space="preserve"> 7% (</w:instrText>
      </w:r>
      <w:r w:rsidR="00A6794A">
        <w:rPr>
          <w:lang w:val="en-US"/>
        </w:rPr>
        <w:instrText>eight</w:instrText>
      </w:r>
      <w:r w:rsidR="00A6794A" w:rsidRPr="00D3550C">
        <w:instrText xml:space="preserve"> </w:instrText>
      </w:r>
      <w:r w:rsidR="00A6794A">
        <w:rPr>
          <w:lang w:val="en-US"/>
        </w:rPr>
        <w:instrText>of</w:instrText>
      </w:r>
      <w:r w:rsidR="00A6794A" w:rsidRPr="00D3550C">
        <w:instrText xml:space="preserve"> 107 </w:instrText>
      </w:r>
      <w:r w:rsidR="00A6794A">
        <w:rPr>
          <w:lang w:val="en-US"/>
        </w:rPr>
        <w:instrText>patients</w:instrText>
      </w:r>
      <w:r w:rsidR="00A6794A" w:rsidRPr="00D3550C">
        <w:instrText xml:space="preserve">). </w:instrText>
      </w:r>
      <w:r w:rsidR="00A6794A">
        <w:rPr>
          <w:lang w:val="en-US"/>
        </w:rPr>
        <w:instrText>On</w:instrText>
      </w:r>
      <w:r w:rsidR="00A6794A" w:rsidRPr="00D3550C">
        <w:instrText xml:space="preserve"> </w:instrText>
      </w:r>
      <w:r w:rsidR="00A6794A">
        <w:rPr>
          <w:lang w:val="en-US"/>
        </w:rPr>
        <w:instrText>multivariate</w:instrText>
      </w:r>
      <w:r w:rsidR="00A6794A" w:rsidRPr="00D3550C">
        <w:instrText xml:space="preserve"> </w:instrText>
      </w:r>
      <w:r w:rsidR="00A6794A">
        <w:rPr>
          <w:lang w:val="en-US"/>
        </w:rPr>
        <w:instrText>analysis</w:instrText>
      </w:r>
      <w:r w:rsidR="00A6794A" w:rsidRPr="00D3550C">
        <w:instrText xml:space="preserve">, </w:instrText>
      </w:r>
      <w:r w:rsidR="00A6794A">
        <w:rPr>
          <w:lang w:val="en-US"/>
        </w:rPr>
        <w:instrText>the</w:instrText>
      </w:r>
      <w:r w:rsidR="00A6794A" w:rsidRPr="00D3550C">
        <w:instrText xml:space="preserve"> </w:instrText>
      </w:r>
      <w:r w:rsidR="00A6794A">
        <w:rPr>
          <w:lang w:val="en-US"/>
        </w:rPr>
        <w:instrText>main</w:instrText>
      </w:r>
      <w:r w:rsidR="00A6794A" w:rsidRPr="00D3550C">
        <w:instrText xml:space="preserve"> </w:instrText>
      </w:r>
      <w:r w:rsidR="00A6794A">
        <w:rPr>
          <w:lang w:val="en-US"/>
        </w:rPr>
        <w:instrText>prognostic</w:instrText>
      </w:r>
      <w:r w:rsidR="00A6794A" w:rsidRPr="00D3550C">
        <w:instrText xml:space="preserve"> </w:instrText>
      </w:r>
      <w:r w:rsidR="00A6794A">
        <w:rPr>
          <w:lang w:val="en-US"/>
        </w:rPr>
        <w:instrText>factor</w:instrText>
      </w:r>
      <w:r w:rsidR="00A6794A" w:rsidRPr="00D3550C">
        <w:instrText xml:space="preserve"> </w:instrText>
      </w:r>
      <w:r w:rsidR="00A6794A">
        <w:rPr>
          <w:lang w:val="en-US"/>
        </w:rPr>
        <w:instrText>was</w:instrText>
      </w:r>
      <w:r w:rsidR="00A6794A" w:rsidRPr="00D3550C">
        <w:instrText xml:space="preserve"> </w:instrText>
      </w:r>
      <w:r w:rsidR="00A6794A">
        <w:rPr>
          <w:lang w:val="en-US"/>
        </w:rPr>
        <w:instrText>disease</w:instrText>
      </w:r>
      <w:r w:rsidR="00A6794A" w:rsidRPr="00D3550C">
        <w:instrText xml:space="preserve"> </w:instrText>
      </w:r>
      <w:r w:rsidR="00A6794A">
        <w:rPr>
          <w:lang w:val="en-US"/>
        </w:rPr>
        <w:instrText>status</w:instrText>
      </w:r>
      <w:r w:rsidR="00A6794A" w:rsidRPr="00D3550C">
        <w:instrText xml:space="preserve"> </w:instrText>
      </w:r>
      <w:r w:rsidR="00A6794A">
        <w:rPr>
          <w:lang w:val="en-US"/>
        </w:rPr>
        <w:instrText>at</w:instrText>
      </w:r>
      <w:r w:rsidR="00A6794A" w:rsidRPr="00D3550C">
        <w:instrText xml:space="preserve"> </w:instrText>
      </w:r>
      <w:r w:rsidR="00A6794A">
        <w:rPr>
          <w:lang w:val="en-US"/>
        </w:rPr>
        <w:instrText>the</w:instrText>
      </w:r>
      <w:r w:rsidR="00A6794A" w:rsidRPr="00D3550C">
        <w:instrText xml:space="preserve"> </w:instrText>
      </w:r>
      <w:r w:rsidR="00A6794A">
        <w:rPr>
          <w:lang w:val="en-US"/>
        </w:rPr>
        <w:instrText>time</w:instrText>
      </w:r>
      <w:r w:rsidR="00A6794A" w:rsidRPr="00D3550C">
        <w:instrText xml:space="preserve"> </w:instrText>
      </w:r>
      <w:r w:rsidR="00A6794A">
        <w:rPr>
          <w:lang w:val="en-US"/>
        </w:rPr>
        <w:instrText>of</w:instrText>
      </w:r>
      <w:r w:rsidR="00A6794A" w:rsidRPr="00D3550C">
        <w:instrText xml:space="preserve"> </w:instrText>
      </w:r>
      <w:r w:rsidR="00A6794A">
        <w:rPr>
          <w:lang w:val="en-US"/>
        </w:rPr>
        <w:instrText>ABMT</w:instrText>
      </w:r>
      <w:r w:rsidR="00A6794A" w:rsidRPr="00D3550C">
        <w:instrText xml:space="preserve">. </w:instrText>
      </w:r>
      <w:r w:rsidR="00A6794A">
        <w:rPr>
          <w:lang w:val="en-US"/>
        </w:rPr>
        <w:instrText>Patients</w:instrText>
      </w:r>
      <w:r w:rsidR="00A6794A" w:rsidRPr="00D3550C">
        <w:instrText xml:space="preserve"> </w:instrText>
      </w:r>
      <w:r w:rsidR="00A6794A">
        <w:rPr>
          <w:lang w:val="en-US"/>
        </w:rPr>
        <w:instrText>with</w:instrText>
      </w:r>
      <w:r w:rsidR="00A6794A" w:rsidRPr="00D3550C">
        <w:instrText xml:space="preserve"> </w:instrText>
      </w:r>
      <w:r w:rsidR="00A6794A">
        <w:rPr>
          <w:lang w:val="en-US"/>
        </w:rPr>
        <w:instrText>chemosensitive</w:instrText>
      </w:r>
      <w:r w:rsidR="00A6794A" w:rsidRPr="00D3550C">
        <w:instrText xml:space="preserve"> </w:instrText>
      </w:r>
      <w:r w:rsidR="00A6794A">
        <w:rPr>
          <w:lang w:val="en-US"/>
        </w:rPr>
        <w:instrText>disease</w:instrText>
      </w:r>
      <w:r w:rsidR="00A6794A" w:rsidRPr="00D3550C">
        <w:instrText xml:space="preserve"> </w:instrText>
      </w:r>
      <w:r w:rsidR="00A6794A">
        <w:rPr>
          <w:lang w:val="en-US"/>
        </w:rPr>
        <w:instrText>had</w:instrText>
      </w:r>
      <w:r w:rsidR="00A6794A" w:rsidRPr="00D3550C">
        <w:instrText xml:space="preserve"> </w:instrText>
      </w:r>
      <w:r w:rsidR="00A6794A">
        <w:rPr>
          <w:lang w:val="en-US"/>
        </w:rPr>
        <w:instrText>an</w:instrText>
      </w:r>
      <w:r w:rsidR="00A6794A" w:rsidRPr="00D3550C">
        <w:instrText xml:space="preserve"> </w:instrText>
      </w:r>
      <w:r w:rsidR="00A6794A">
        <w:rPr>
          <w:lang w:val="en-US"/>
        </w:rPr>
        <w:instrText>actuarial</w:instrText>
      </w:r>
      <w:r w:rsidR="00A6794A" w:rsidRPr="00D3550C">
        <w:instrText xml:space="preserve"> 5-</w:instrText>
      </w:r>
      <w:r w:rsidR="00A6794A">
        <w:rPr>
          <w:lang w:val="en-US"/>
        </w:rPr>
        <w:instrText>year</w:instrText>
      </w:r>
      <w:r w:rsidR="00A6794A" w:rsidRPr="00D3550C">
        <w:instrText xml:space="preserve"> </w:instrText>
      </w:r>
      <w:r w:rsidR="00A6794A">
        <w:rPr>
          <w:lang w:val="en-US"/>
        </w:rPr>
        <w:instrText>survival</w:instrText>
      </w:r>
      <w:r w:rsidR="00A6794A" w:rsidRPr="00D3550C">
        <w:instrText xml:space="preserve"> </w:instrText>
      </w:r>
      <w:r w:rsidR="00A6794A">
        <w:rPr>
          <w:lang w:val="en-US"/>
        </w:rPr>
        <w:instrText>rate</w:instrText>
      </w:r>
      <w:r w:rsidR="00A6794A" w:rsidRPr="00D3550C">
        <w:instrText xml:space="preserve"> </w:instrText>
      </w:r>
      <w:r w:rsidR="00A6794A">
        <w:rPr>
          <w:lang w:val="en-US"/>
        </w:rPr>
        <w:instrText>of</w:instrText>
      </w:r>
      <w:r w:rsidR="00A6794A" w:rsidRPr="00D3550C">
        <w:instrText xml:space="preserve"> 49% </w:instrText>
      </w:r>
      <w:r w:rsidR="00A6794A">
        <w:rPr>
          <w:lang w:val="en-US"/>
        </w:rPr>
        <w:instrText>at</w:instrText>
      </w:r>
      <w:r w:rsidR="00A6794A" w:rsidRPr="00D3550C">
        <w:instrText xml:space="preserve"> 5 </w:instrText>
      </w:r>
      <w:r w:rsidR="00A6794A">
        <w:rPr>
          <w:lang w:val="en-US"/>
        </w:rPr>
        <w:instrText>years</w:instrText>
      </w:r>
      <w:r w:rsidR="00A6794A" w:rsidRPr="00D3550C">
        <w:instrText xml:space="preserve"> </w:instrText>
      </w:r>
      <w:r w:rsidR="00A6794A">
        <w:rPr>
          <w:lang w:val="en-US"/>
        </w:rPr>
        <w:instrText>compared</w:instrText>
      </w:r>
      <w:r w:rsidR="00A6794A" w:rsidRPr="00D3550C">
        <w:instrText xml:space="preserve"> </w:instrText>
      </w:r>
      <w:r w:rsidR="00A6794A">
        <w:rPr>
          <w:lang w:val="en-US"/>
        </w:rPr>
        <w:instrText>with</w:instrText>
      </w:r>
      <w:r w:rsidR="00A6794A" w:rsidRPr="00D3550C">
        <w:instrText xml:space="preserve"> 13% </w:instrText>
      </w:r>
      <w:r w:rsidR="00A6794A">
        <w:rPr>
          <w:lang w:val="en-US"/>
        </w:rPr>
        <w:instrText>for</w:instrText>
      </w:r>
      <w:r w:rsidR="00A6794A" w:rsidRPr="00D3550C">
        <w:instrText xml:space="preserve"> </w:instrText>
      </w:r>
      <w:r w:rsidR="00A6794A">
        <w:rPr>
          <w:lang w:val="en-US"/>
        </w:rPr>
        <w:instrText>those</w:instrText>
      </w:r>
      <w:r w:rsidR="00A6794A" w:rsidRPr="00D3550C">
        <w:instrText xml:space="preserve"> </w:instrText>
      </w:r>
      <w:r w:rsidR="00A6794A">
        <w:rPr>
          <w:lang w:val="en-US"/>
        </w:rPr>
        <w:instrText>with</w:instrText>
      </w:r>
      <w:r w:rsidR="00A6794A" w:rsidRPr="00D3550C">
        <w:instrText xml:space="preserve"> </w:instrText>
      </w:r>
      <w:r w:rsidR="00A6794A">
        <w:rPr>
          <w:lang w:val="en-US"/>
        </w:rPr>
        <w:instrText>chemoresistant</w:instrText>
      </w:r>
      <w:r w:rsidR="00A6794A" w:rsidRPr="00D3550C">
        <w:instrText xml:space="preserve"> </w:instrText>
      </w:r>
      <w:r w:rsidR="00A6794A">
        <w:rPr>
          <w:lang w:val="en-US"/>
        </w:rPr>
        <w:instrText>disease</w:instrText>
      </w:r>
      <w:r w:rsidR="00A6794A" w:rsidRPr="00D3550C">
        <w:instrText xml:space="preserve"> (</w:instrText>
      </w:r>
      <w:r w:rsidR="00A6794A">
        <w:rPr>
          <w:lang w:val="en-US"/>
        </w:rPr>
        <w:instrText>P</w:instrText>
      </w:r>
      <w:r w:rsidR="00A6794A" w:rsidRPr="00D3550C">
        <w:instrText xml:space="preserve"> &lt; .001). </w:instrText>
      </w:r>
      <w:r w:rsidR="00A6794A">
        <w:rPr>
          <w:lang w:val="en-US"/>
        </w:rPr>
        <w:instrText>For</w:instrText>
      </w:r>
      <w:r w:rsidR="00A6794A" w:rsidRPr="00D3550C">
        <w:instrText xml:space="preserve"> </w:instrText>
      </w:r>
      <w:r w:rsidR="00A6794A">
        <w:rPr>
          <w:lang w:val="en-US"/>
        </w:rPr>
        <w:instrText>patients</w:instrText>
      </w:r>
      <w:r w:rsidR="00A6794A" w:rsidRPr="00D3550C">
        <w:instrText xml:space="preserve"> </w:instrText>
      </w:r>
      <w:r w:rsidR="00A6794A">
        <w:rPr>
          <w:lang w:val="en-US"/>
        </w:rPr>
        <w:instrText>considered</w:instrText>
      </w:r>
      <w:r w:rsidR="00A6794A" w:rsidRPr="00D3550C">
        <w:instrText xml:space="preserve"> </w:instrText>
      </w:r>
      <w:r w:rsidR="00A6794A">
        <w:rPr>
          <w:lang w:val="en-US"/>
        </w:rPr>
        <w:instrText>to</w:instrText>
      </w:r>
      <w:r w:rsidR="00A6794A" w:rsidRPr="00D3550C">
        <w:instrText xml:space="preserve"> </w:instrText>
      </w:r>
      <w:r w:rsidR="00A6794A">
        <w:rPr>
          <w:lang w:val="en-US"/>
        </w:rPr>
        <w:instrText>have</w:instrText>
      </w:r>
      <w:r w:rsidR="00A6794A" w:rsidRPr="00D3550C">
        <w:instrText xml:space="preserve"> </w:instrText>
      </w:r>
      <w:r w:rsidR="00A6794A">
        <w:rPr>
          <w:lang w:val="en-US"/>
        </w:rPr>
        <w:instrText>chemosensitive</w:instrText>
      </w:r>
      <w:r w:rsidR="00A6794A" w:rsidRPr="00D3550C">
        <w:instrText xml:space="preserve"> </w:instrText>
      </w:r>
      <w:r w:rsidR="00A6794A">
        <w:rPr>
          <w:lang w:val="en-US"/>
        </w:rPr>
        <w:instrText>disease</w:instrText>
      </w:r>
      <w:r w:rsidR="00A6794A" w:rsidRPr="00D3550C">
        <w:instrText xml:space="preserve"> </w:instrText>
      </w:r>
      <w:r w:rsidR="00A6794A">
        <w:rPr>
          <w:lang w:val="en-US"/>
        </w:rPr>
        <w:instrText>at</w:instrText>
      </w:r>
      <w:r w:rsidR="00A6794A" w:rsidRPr="00D3550C">
        <w:instrText xml:space="preserve"> </w:instrText>
      </w:r>
      <w:r w:rsidR="00A6794A">
        <w:rPr>
          <w:lang w:val="en-US"/>
        </w:rPr>
        <w:instrText>the</w:instrText>
      </w:r>
      <w:r w:rsidR="00A6794A" w:rsidRPr="00D3550C">
        <w:instrText xml:space="preserve"> </w:instrText>
      </w:r>
      <w:r w:rsidR="00A6794A">
        <w:rPr>
          <w:lang w:val="en-US"/>
        </w:rPr>
        <w:instrText>time</w:instrText>
      </w:r>
      <w:r w:rsidR="00A6794A" w:rsidRPr="00D3550C">
        <w:instrText xml:space="preserve"> </w:instrText>
      </w:r>
      <w:r w:rsidR="00A6794A">
        <w:rPr>
          <w:lang w:val="en-US"/>
        </w:rPr>
        <w:instrText>of</w:instrText>
      </w:r>
      <w:r w:rsidR="00A6794A" w:rsidRPr="00D3550C">
        <w:instrText xml:space="preserve"> </w:instrText>
      </w:r>
      <w:r w:rsidR="00A6794A">
        <w:rPr>
          <w:lang w:val="en-US"/>
        </w:rPr>
        <w:instrText>transplantation</w:instrText>
      </w:r>
      <w:r w:rsidR="00A6794A" w:rsidRPr="00D3550C">
        <w:instrText xml:space="preserve">, </w:instrText>
      </w:r>
      <w:r w:rsidR="00A6794A">
        <w:rPr>
          <w:lang w:val="en-US"/>
        </w:rPr>
        <w:instrText>there</w:instrText>
      </w:r>
      <w:r w:rsidR="00A6794A" w:rsidRPr="00D3550C">
        <w:instrText xml:space="preserve"> </w:instrText>
      </w:r>
      <w:r w:rsidR="00A6794A">
        <w:rPr>
          <w:lang w:val="en-US"/>
        </w:rPr>
        <w:instrText>is</w:instrText>
      </w:r>
      <w:r w:rsidR="00A6794A" w:rsidRPr="00D3550C">
        <w:instrText xml:space="preserve"> </w:instrText>
      </w:r>
      <w:r w:rsidR="00A6794A">
        <w:rPr>
          <w:lang w:val="en-US"/>
        </w:rPr>
        <w:instrText>a</w:instrText>
      </w:r>
      <w:r w:rsidR="00A6794A" w:rsidRPr="00D3550C">
        <w:instrText xml:space="preserve"> </w:instrText>
      </w:r>
      <w:r w:rsidR="00A6794A">
        <w:rPr>
          <w:lang w:val="en-US"/>
        </w:rPr>
        <w:instrText>significant</w:instrText>
      </w:r>
      <w:r w:rsidR="00A6794A" w:rsidRPr="00D3550C">
        <w:instrText xml:space="preserve"> </w:instrText>
      </w:r>
      <w:r w:rsidR="00A6794A">
        <w:rPr>
          <w:lang w:val="en-US"/>
        </w:rPr>
        <w:instrText>difference</w:instrText>
      </w:r>
      <w:r w:rsidR="00A6794A" w:rsidRPr="00D3550C">
        <w:instrText xml:space="preserve"> </w:instrText>
      </w:r>
      <w:r w:rsidR="00A6794A">
        <w:rPr>
          <w:lang w:val="en-US"/>
        </w:rPr>
        <w:instrText>in</w:instrText>
      </w:r>
      <w:r w:rsidR="00A6794A" w:rsidRPr="00D3550C">
        <w:instrText xml:space="preserve"> </w:instrText>
      </w:r>
      <w:r w:rsidR="00A6794A">
        <w:rPr>
          <w:lang w:val="en-US"/>
        </w:rPr>
        <w:instrText>the</w:instrText>
      </w:r>
      <w:r w:rsidR="00A6794A" w:rsidRPr="00D3550C">
        <w:instrText xml:space="preserve"> </w:instrText>
      </w:r>
      <w:r w:rsidR="00A6794A">
        <w:rPr>
          <w:lang w:val="en-US"/>
        </w:rPr>
        <w:instrText>actuarial</w:instrText>
      </w:r>
      <w:r w:rsidR="00A6794A" w:rsidRPr="00D3550C">
        <w:instrText xml:space="preserve"> </w:instrText>
      </w:r>
      <w:r w:rsidR="00A6794A">
        <w:rPr>
          <w:lang w:val="en-US"/>
        </w:rPr>
        <w:instrText>progression</w:instrText>
      </w:r>
      <w:r w:rsidR="00A6794A" w:rsidRPr="00D3550C">
        <w:instrText>-</w:instrText>
      </w:r>
      <w:r w:rsidR="00A6794A">
        <w:rPr>
          <w:lang w:val="en-US"/>
        </w:rPr>
        <w:instrText>free</w:instrText>
      </w:r>
      <w:r w:rsidR="00A6794A" w:rsidRPr="00D3550C">
        <w:instrText xml:space="preserve"> </w:instrText>
      </w:r>
      <w:r w:rsidR="00A6794A">
        <w:rPr>
          <w:lang w:val="en-US"/>
        </w:rPr>
        <w:instrText>survival</w:instrText>
      </w:r>
      <w:r w:rsidR="00A6794A" w:rsidRPr="00D3550C">
        <w:instrText xml:space="preserve"> </w:instrText>
      </w:r>
      <w:r w:rsidR="00A6794A">
        <w:rPr>
          <w:lang w:val="en-US"/>
        </w:rPr>
        <w:instrText>rates</w:instrText>
      </w:r>
      <w:r w:rsidR="00A6794A" w:rsidRPr="00D3550C">
        <w:instrText xml:space="preserve"> </w:instrText>
      </w:r>
      <w:r w:rsidR="00A6794A">
        <w:rPr>
          <w:lang w:val="en-US"/>
        </w:rPr>
        <w:instrText>for</w:instrText>
      </w:r>
      <w:r w:rsidR="00A6794A" w:rsidRPr="00D3550C">
        <w:instrText xml:space="preserve"> </w:instrText>
      </w:r>
      <w:r w:rsidR="00A6794A">
        <w:rPr>
          <w:lang w:val="en-US"/>
        </w:rPr>
        <w:instrText>those</w:instrText>
      </w:r>
      <w:r w:rsidR="00A6794A" w:rsidRPr="00D3550C">
        <w:instrText xml:space="preserve"> </w:instrText>
      </w:r>
      <w:r w:rsidR="00A6794A">
        <w:rPr>
          <w:lang w:val="en-US"/>
        </w:rPr>
        <w:instrText>who</w:instrText>
      </w:r>
      <w:r w:rsidR="00A6794A" w:rsidRPr="00D3550C">
        <w:instrText xml:space="preserve"> </w:instrText>
      </w:r>
      <w:r w:rsidR="00A6794A">
        <w:rPr>
          <w:lang w:val="en-US"/>
        </w:rPr>
        <w:instrText>received</w:instrText>
      </w:r>
      <w:r w:rsidR="00A6794A" w:rsidRPr="00D3550C">
        <w:instrText xml:space="preserve"> </w:instrText>
      </w:r>
      <w:r w:rsidR="00A6794A">
        <w:rPr>
          <w:lang w:val="en-US"/>
        </w:rPr>
        <w:instrText>high</w:instrText>
      </w:r>
      <w:r w:rsidR="00A6794A" w:rsidRPr="00D3550C">
        <w:instrText>-</w:instrText>
      </w:r>
      <w:r w:rsidR="00A6794A">
        <w:rPr>
          <w:lang w:val="en-US"/>
        </w:rPr>
        <w:instrText>dose</w:instrText>
      </w:r>
      <w:r w:rsidR="00A6794A" w:rsidRPr="00D3550C">
        <w:instrText xml:space="preserve"> </w:instrText>
      </w:r>
      <w:r w:rsidR="00A6794A">
        <w:rPr>
          <w:lang w:val="en-US"/>
        </w:rPr>
        <w:instrText>therapy</w:instrText>
      </w:r>
      <w:r w:rsidR="00A6794A" w:rsidRPr="00D3550C">
        <w:instrText xml:space="preserve"> </w:instrText>
      </w:r>
      <w:r w:rsidR="00A6794A">
        <w:rPr>
          <w:lang w:val="en-US"/>
        </w:rPr>
        <w:instrText>after</w:instrText>
      </w:r>
      <w:r w:rsidR="00A6794A" w:rsidRPr="00D3550C">
        <w:instrText xml:space="preserve"> </w:instrText>
      </w:r>
      <w:r w:rsidR="00A6794A">
        <w:rPr>
          <w:lang w:val="en-US"/>
        </w:rPr>
        <w:instrText>attaining</w:instrText>
      </w:r>
      <w:r w:rsidR="00A6794A" w:rsidRPr="00D3550C">
        <w:instrText xml:space="preserve"> </w:instrText>
      </w:r>
      <w:r w:rsidR="00A6794A">
        <w:rPr>
          <w:lang w:val="en-US"/>
        </w:rPr>
        <w:instrText>a</w:instrText>
      </w:r>
      <w:r w:rsidR="00A6794A" w:rsidRPr="00D3550C">
        <w:instrText xml:space="preserve"> </w:instrText>
      </w:r>
      <w:r w:rsidR="00A6794A">
        <w:rPr>
          <w:lang w:val="en-US"/>
        </w:rPr>
        <w:instrText>partial</w:instrText>
      </w:r>
      <w:r w:rsidR="00A6794A" w:rsidRPr="00D3550C">
        <w:instrText xml:space="preserve"> </w:instrText>
      </w:r>
      <w:r w:rsidR="00A6794A">
        <w:rPr>
          <w:lang w:val="en-US"/>
        </w:rPr>
        <w:instrText>response</w:instrText>
      </w:r>
      <w:r w:rsidR="00A6794A" w:rsidRPr="00D3550C">
        <w:instrText xml:space="preserve"> </w:instrText>
      </w:r>
      <w:r w:rsidR="00A6794A">
        <w:rPr>
          <w:lang w:val="en-US"/>
        </w:rPr>
        <w:instrText>to</w:instrText>
      </w:r>
      <w:r w:rsidR="00A6794A" w:rsidRPr="00D3550C">
        <w:instrText xml:space="preserve"> </w:instrText>
      </w:r>
      <w:r w:rsidR="00A6794A">
        <w:rPr>
          <w:lang w:val="en-US"/>
        </w:rPr>
        <w:instrText>first</w:instrText>
      </w:r>
      <w:r w:rsidR="00A6794A" w:rsidRPr="00D3550C">
        <w:instrText>-</w:instrText>
      </w:r>
      <w:r w:rsidR="00A6794A">
        <w:rPr>
          <w:lang w:val="en-US"/>
        </w:rPr>
        <w:instrText>line</w:instrText>
      </w:r>
      <w:r w:rsidR="00A6794A" w:rsidRPr="00D3550C">
        <w:instrText xml:space="preserve"> </w:instrText>
      </w:r>
      <w:r w:rsidR="00A6794A">
        <w:rPr>
          <w:lang w:val="en-US"/>
        </w:rPr>
        <w:instrText>therapy</w:instrText>
      </w:r>
      <w:r w:rsidR="00A6794A" w:rsidRPr="00D3550C">
        <w:instrText xml:space="preserve"> (69% </w:instrText>
      </w:r>
      <w:r w:rsidR="00A6794A">
        <w:rPr>
          <w:lang w:val="en-US"/>
        </w:rPr>
        <w:instrText>at</w:instrText>
      </w:r>
      <w:r w:rsidR="00A6794A" w:rsidRPr="00D3550C">
        <w:instrText xml:space="preserve"> 5 </w:instrText>
      </w:r>
      <w:r w:rsidR="00A6794A">
        <w:rPr>
          <w:lang w:val="en-US"/>
        </w:rPr>
        <w:instrText>years</w:instrText>
      </w:r>
      <w:r w:rsidR="00A6794A" w:rsidRPr="00D3550C">
        <w:instrText xml:space="preserve">) </w:instrText>
      </w:r>
      <w:r w:rsidR="00A6794A">
        <w:rPr>
          <w:lang w:val="en-US"/>
        </w:rPr>
        <w:instrText>as</w:instrText>
      </w:r>
      <w:r w:rsidR="00A6794A" w:rsidRPr="00D3550C">
        <w:instrText xml:space="preserve"> </w:instrText>
      </w:r>
      <w:r w:rsidR="00A6794A">
        <w:rPr>
          <w:lang w:val="en-US"/>
        </w:rPr>
        <w:instrText>compared</w:instrText>
      </w:r>
      <w:r w:rsidR="00A6794A" w:rsidRPr="00D3550C">
        <w:instrText xml:space="preserve"> </w:instrText>
      </w:r>
      <w:r w:rsidR="00A6794A">
        <w:rPr>
          <w:lang w:val="en-US"/>
        </w:rPr>
        <w:instrText>with</w:instrText>
      </w:r>
      <w:r w:rsidR="00A6794A" w:rsidRPr="00D3550C">
        <w:instrText xml:space="preserve"> </w:instrText>
      </w:r>
      <w:r w:rsidR="00A6794A">
        <w:rPr>
          <w:lang w:val="en-US"/>
        </w:rPr>
        <w:instrText>those</w:instrText>
      </w:r>
      <w:r w:rsidR="00A6794A" w:rsidRPr="00D3550C">
        <w:instrText xml:space="preserve"> </w:instrText>
      </w:r>
      <w:r w:rsidR="00A6794A">
        <w:rPr>
          <w:lang w:val="en-US"/>
        </w:rPr>
        <w:instrText>with</w:instrText>
      </w:r>
      <w:r w:rsidR="00A6794A" w:rsidRPr="00D3550C">
        <w:instrText xml:space="preserve"> </w:instrText>
      </w:r>
      <w:r w:rsidR="00A6794A">
        <w:rPr>
          <w:lang w:val="en-US"/>
        </w:rPr>
        <w:instrText>sensitive</w:instrText>
      </w:r>
      <w:r w:rsidR="00A6794A" w:rsidRPr="00D3550C">
        <w:instrText xml:space="preserve"> </w:instrText>
      </w:r>
      <w:r w:rsidR="00A6794A">
        <w:rPr>
          <w:lang w:val="en-US"/>
        </w:rPr>
        <w:instrText>but</w:instrText>
      </w:r>
      <w:r w:rsidR="00A6794A" w:rsidRPr="00D3550C">
        <w:instrText xml:space="preserve"> </w:instrText>
      </w:r>
      <w:r w:rsidR="00A6794A">
        <w:rPr>
          <w:lang w:val="en-US"/>
        </w:rPr>
        <w:instrText>relapsed</w:instrText>
      </w:r>
      <w:r w:rsidR="00A6794A" w:rsidRPr="00D3550C">
        <w:instrText xml:space="preserve"> </w:instrText>
      </w:r>
      <w:r w:rsidR="00A6794A">
        <w:rPr>
          <w:lang w:val="en-US"/>
        </w:rPr>
        <w:instrText>disease</w:instrText>
      </w:r>
      <w:r w:rsidR="00A6794A" w:rsidRPr="00D3550C">
        <w:instrText xml:space="preserve"> (32% </w:instrText>
      </w:r>
      <w:r w:rsidR="00A6794A">
        <w:rPr>
          <w:lang w:val="en-US"/>
        </w:rPr>
        <w:instrText>at</w:instrText>
      </w:r>
      <w:r w:rsidR="00A6794A" w:rsidRPr="00D3550C">
        <w:instrText xml:space="preserve"> 5 </w:instrText>
      </w:r>
      <w:r w:rsidR="00A6794A">
        <w:rPr>
          <w:lang w:val="en-US"/>
        </w:rPr>
        <w:instrText>years</w:instrText>
      </w:r>
      <w:r w:rsidR="00A6794A" w:rsidRPr="00D3550C">
        <w:instrText>) (</w:instrText>
      </w:r>
      <w:r w:rsidR="00A6794A">
        <w:rPr>
          <w:lang w:val="en-US"/>
        </w:rPr>
        <w:instrText>P</w:instrText>
      </w:r>
      <w:r w:rsidR="00A6794A" w:rsidRPr="00D3550C">
        <w:instrText xml:space="preserve"> = .003). </w:instrText>
      </w:r>
      <w:r w:rsidR="00A6794A">
        <w:rPr>
          <w:lang w:val="en-US"/>
        </w:rPr>
        <w:instrText>CONCLUSION</w:instrText>
      </w:r>
      <w:r w:rsidR="00A6794A" w:rsidRPr="00D3550C">
        <w:instrText xml:space="preserve"> </w:instrText>
      </w:r>
      <w:r w:rsidR="00A6794A">
        <w:rPr>
          <w:lang w:val="en-US"/>
        </w:rPr>
        <w:instrText>Patients</w:instrText>
      </w:r>
      <w:r w:rsidR="00A6794A" w:rsidRPr="00D3550C">
        <w:instrText xml:space="preserve"> </w:instrText>
      </w:r>
      <w:r w:rsidR="00A6794A">
        <w:rPr>
          <w:lang w:val="en-US"/>
        </w:rPr>
        <w:instrText>with</w:instrText>
      </w:r>
      <w:r w:rsidR="00A6794A" w:rsidRPr="00D3550C">
        <w:instrText xml:space="preserve"> </w:instrText>
      </w:r>
      <w:r w:rsidR="00A6794A">
        <w:rPr>
          <w:lang w:val="en-US"/>
        </w:rPr>
        <w:instrText>chemosensitive</w:instrText>
      </w:r>
      <w:r w:rsidR="00A6794A" w:rsidRPr="00D3550C">
        <w:instrText xml:space="preserve"> </w:instrText>
      </w:r>
      <w:r w:rsidR="00A6794A">
        <w:rPr>
          <w:lang w:val="en-US"/>
        </w:rPr>
        <w:instrText>disease</w:instrText>
      </w:r>
      <w:r w:rsidR="00A6794A" w:rsidRPr="00D3550C">
        <w:instrText xml:space="preserve"> </w:instrText>
      </w:r>
      <w:r w:rsidR="00A6794A">
        <w:rPr>
          <w:lang w:val="en-US"/>
        </w:rPr>
        <w:instrText>benefit</w:instrText>
      </w:r>
      <w:r w:rsidR="00A6794A" w:rsidRPr="00D3550C">
        <w:instrText xml:space="preserve"> </w:instrText>
      </w:r>
      <w:r w:rsidR="00A6794A">
        <w:rPr>
          <w:lang w:val="en-US"/>
        </w:rPr>
        <w:instrText>most</w:instrText>
      </w:r>
      <w:r w:rsidR="00A6794A" w:rsidRPr="00D3550C">
        <w:instrText xml:space="preserve"> </w:instrText>
      </w:r>
      <w:r w:rsidR="00A6794A">
        <w:rPr>
          <w:lang w:val="en-US"/>
        </w:rPr>
        <w:instrText>from</w:instrText>
      </w:r>
      <w:r w:rsidR="00A6794A" w:rsidRPr="00D3550C">
        <w:instrText xml:space="preserve"> </w:instrText>
      </w:r>
      <w:r w:rsidR="00A6794A">
        <w:rPr>
          <w:lang w:val="en-US"/>
        </w:rPr>
        <w:instrText>high</w:instrText>
      </w:r>
      <w:r w:rsidR="00A6794A" w:rsidRPr="00D3550C">
        <w:instrText>-</w:instrText>
      </w:r>
      <w:r w:rsidR="00A6794A">
        <w:rPr>
          <w:lang w:val="en-US"/>
        </w:rPr>
        <w:instrText>dose</w:instrText>
      </w:r>
      <w:r w:rsidR="00A6794A" w:rsidRPr="00D3550C">
        <w:instrText xml:space="preserve"> </w:instrText>
      </w:r>
      <w:r w:rsidR="00A6794A">
        <w:rPr>
          <w:lang w:val="en-US"/>
        </w:rPr>
        <w:instrText>chemotherapy</w:instrText>
      </w:r>
      <w:r w:rsidR="00A6794A" w:rsidRPr="00D3550C">
        <w:instrText xml:space="preserve">, </w:instrText>
      </w:r>
      <w:r w:rsidR="00A6794A">
        <w:rPr>
          <w:lang w:val="en-US"/>
        </w:rPr>
        <w:instrText>and</w:instrText>
      </w:r>
      <w:r w:rsidR="00A6794A" w:rsidRPr="00D3550C">
        <w:instrText xml:space="preserve"> </w:instrText>
      </w:r>
      <w:r w:rsidR="00A6794A">
        <w:rPr>
          <w:lang w:val="en-US"/>
        </w:rPr>
        <w:instrText>those</w:instrText>
      </w:r>
      <w:r w:rsidR="00A6794A" w:rsidRPr="00D3550C">
        <w:instrText xml:space="preserve"> </w:instrText>
      </w:r>
      <w:r w:rsidR="00A6794A">
        <w:rPr>
          <w:lang w:val="en-US"/>
        </w:rPr>
        <w:instrText>who</w:instrText>
      </w:r>
      <w:r w:rsidR="00A6794A" w:rsidRPr="00D3550C">
        <w:instrText xml:space="preserve"> </w:instrText>
      </w:r>
      <w:r w:rsidR="00A6794A">
        <w:rPr>
          <w:lang w:val="en-US"/>
        </w:rPr>
        <w:instrText>receive</w:instrText>
      </w:r>
      <w:r w:rsidR="00A6794A" w:rsidRPr="00D3550C">
        <w:instrText xml:space="preserve"> </w:instrText>
      </w:r>
      <w:r w:rsidR="00A6794A">
        <w:rPr>
          <w:lang w:val="en-US"/>
        </w:rPr>
        <w:instrText>such</w:instrText>
      </w:r>
      <w:r w:rsidR="00A6794A" w:rsidRPr="00D3550C">
        <w:instrText xml:space="preserve"> </w:instrText>
      </w:r>
      <w:r w:rsidR="00A6794A">
        <w:rPr>
          <w:lang w:val="en-US"/>
        </w:rPr>
        <w:instrText>therapy</w:instrText>
      </w:r>
      <w:r w:rsidR="00A6794A" w:rsidRPr="00D3550C">
        <w:instrText xml:space="preserve"> </w:instrText>
      </w:r>
      <w:r w:rsidR="00A6794A">
        <w:rPr>
          <w:lang w:val="en-US"/>
        </w:rPr>
        <w:instrText>early</w:instrText>
      </w:r>
      <w:r w:rsidR="00A6794A" w:rsidRPr="00D3550C">
        <w:instrText xml:space="preserve"> </w:instrText>
      </w:r>
      <w:r w:rsidR="00A6794A">
        <w:rPr>
          <w:lang w:val="en-US"/>
        </w:rPr>
        <w:instrText>after</w:instrText>
      </w:r>
      <w:r w:rsidR="00A6794A" w:rsidRPr="00D3550C">
        <w:instrText xml:space="preserve"> </w:instrText>
      </w:r>
      <w:r w:rsidR="00A6794A">
        <w:rPr>
          <w:lang w:val="en-US"/>
        </w:rPr>
        <w:instrText>achieving</w:instrText>
      </w:r>
      <w:r w:rsidR="00A6794A" w:rsidRPr="00D3550C">
        <w:instrText xml:space="preserve"> </w:instrText>
      </w:r>
      <w:r w:rsidR="00A6794A">
        <w:rPr>
          <w:lang w:val="en-US"/>
        </w:rPr>
        <w:instrText>a</w:instrText>
      </w:r>
      <w:r w:rsidR="00A6794A" w:rsidRPr="00D3550C">
        <w:instrText xml:space="preserve"> </w:instrText>
      </w:r>
      <w:r w:rsidR="00A6794A">
        <w:rPr>
          <w:lang w:val="en-US"/>
        </w:rPr>
        <w:instrText>partial</w:instrText>
      </w:r>
      <w:r w:rsidR="00A6794A" w:rsidRPr="00D3550C">
        <w:instrText xml:space="preserve"> </w:instrText>
      </w:r>
      <w:r w:rsidR="00A6794A">
        <w:rPr>
          <w:lang w:val="en-US"/>
        </w:rPr>
        <w:instrText>response</w:instrText>
      </w:r>
      <w:r w:rsidR="00A6794A" w:rsidRPr="00D3550C">
        <w:instrText xml:space="preserve"> </w:instrText>
      </w:r>
      <w:r w:rsidR="00A6794A">
        <w:rPr>
          <w:lang w:val="en-US"/>
        </w:rPr>
        <w:instrText>to</w:instrText>
      </w:r>
      <w:r w:rsidR="00A6794A" w:rsidRPr="00D3550C">
        <w:instrText xml:space="preserve"> </w:instrText>
      </w:r>
      <w:r w:rsidR="00A6794A">
        <w:rPr>
          <w:lang w:val="en-US"/>
        </w:rPr>
        <w:instrText>first</w:instrText>
      </w:r>
      <w:r w:rsidR="00A6794A" w:rsidRPr="00D3550C">
        <w:instrText>-</w:instrText>
      </w:r>
      <w:r w:rsidR="00A6794A">
        <w:rPr>
          <w:lang w:val="en-US"/>
        </w:rPr>
        <w:instrText>line</w:instrText>
      </w:r>
      <w:r w:rsidR="00A6794A" w:rsidRPr="00D3550C">
        <w:instrText xml:space="preserve"> </w:instrText>
      </w:r>
      <w:r w:rsidR="00A6794A">
        <w:rPr>
          <w:lang w:val="en-US"/>
        </w:rPr>
        <w:instrText>therapy</w:instrText>
      </w:r>
      <w:r w:rsidR="00A6794A" w:rsidRPr="00D3550C">
        <w:instrText xml:space="preserve"> </w:instrText>
      </w:r>
      <w:r w:rsidR="00A6794A">
        <w:rPr>
          <w:lang w:val="en-US"/>
        </w:rPr>
        <w:instrText>have</w:instrText>
      </w:r>
      <w:r w:rsidR="00A6794A" w:rsidRPr="00D3550C">
        <w:instrText xml:space="preserve"> </w:instrText>
      </w:r>
      <w:r w:rsidR="00A6794A">
        <w:rPr>
          <w:lang w:val="en-US"/>
        </w:rPr>
        <w:instrText>a</w:instrText>
      </w:r>
      <w:r w:rsidR="00A6794A" w:rsidRPr="00D3550C">
        <w:instrText xml:space="preserve"> </w:instrText>
      </w:r>
      <w:r w:rsidR="00A6794A">
        <w:rPr>
          <w:lang w:val="en-US"/>
        </w:rPr>
        <w:instrText>high</w:instrText>
      </w:r>
      <w:r w:rsidR="00A6794A" w:rsidRPr="00D3550C">
        <w:instrText xml:space="preserve"> </w:instrText>
      </w:r>
      <w:r w:rsidR="00A6794A">
        <w:rPr>
          <w:lang w:val="en-US"/>
        </w:rPr>
        <w:instrText>rate</w:instrText>
      </w:r>
      <w:r w:rsidR="00A6794A" w:rsidRPr="00D3550C">
        <w:instrText xml:space="preserve"> </w:instrText>
      </w:r>
      <w:r w:rsidR="00A6794A">
        <w:rPr>
          <w:lang w:val="en-US"/>
        </w:rPr>
        <w:instrText>of</w:instrText>
      </w:r>
      <w:r w:rsidR="00A6794A" w:rsidRPr="00D3550C">
        <w:instrText xml:space="preserve"> </w:instrText>
      </w:r>
      <w:r w:rsidR="00A6794A">
        <w:rPr>
          <w:lang w:val="en-US"/>
        </w:rPr>
        <w:instrText>cure</w:instrText>
      </w:r>
      <w:r w:rsidR="00A6794A" w:rsidRPr="00D3550C">
        <w:instrText>.","</w:instrText>
      </w:r>
      <w:r w:rsidR="00A6794A">
        <w:rPr>
          <w:lang w:val="en-US"/>
        </w:rPr>
        <w:instrText>author</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family</w:instrText>
      </w:r>
      <w:r w:rsidR="00A6794A" w:rsidRPr="00D3550C">
        <w:instrText>":"</w:instrText>
      </w:r>
      <w:r w:rsidR="00A6794A">
        <w:rPr>
          <w:lang w:val="en-US"/>
        </w:rPr>
        <w:instrText>Mills</w:instrText>
      </w:r>
      <w:r w:rsidR="00A6794A" w:rsidRPr="00D3550C">
        <w:instrText>","</w:instrText>
      </w:r>
      <w:r w:rsidR="00A6794A">
        <w:rPr>
          <w:lang w:val="en-US"/>
        </w:rPr>
        <w:instrText>given</w:instrText>
      </w:r>
      <w:r w:rsidR="00A6794A" w:rsidRPr="00D3550C">
        <w:instrText>":"</w:instrText>
      </w:r>
      <w:r w:rsidR="00A6794A">
        <w:rPr>
          <w:lang w:val="en-US"/>
        </w:rPr>
        <w:instrText>W</w:instrText>
      </w:r>
      <w:r w:rsidR="00A6794A" w:rsidRPr="00D3550C">
        <w:instrText>","</w:instrText>
      </w:r>
      <w:r w:rsidR="00A6794A">
        <w:rPr>
          <w:lang w:val="en-US"/>
        </w:rPr>
        <w:instrText>non</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parse</w:instrText>
      </w:r>
      <w:r w:rsidR="00A6794A" w:rsidRPr="00D3550C">
        <w:instrText>-</w:instrText>
      </w:r>
      <w:r w:rsidR="00A6794A">
        <w:rPr>
          <w:lang w:val="en-US"/>
        </w:rPr>
        <w:instrText>names</w:instrText>
      </w:r>
      <w:r w:rsidR="00A6794A" w:rsidRPr="00D3550C">
        <w:instrText>":</w:instrText>
      </w:r>
      <w:r w:rsidR="00A6794A">
        <w:rPr>
          <w:lang w:val="en-US"/>
        </w:rPr>
        <w:instrText>false</w:instrText>
      </w:r>
      <w:r w:rsidR="00A6794A" w:rsidRPr="00D3550C">
        <w:instrText>,"</w:instrText>
      </w:r>
      <w:r w:rsidR="00A6794A">
        <w:rPr>
          <w:lang w:val="en-US"/>
        </w:rPr>
        <w:instrText>suffix</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family</w:instrText>
      </w:r>
      <w:r w:rsidR="00A6794A" w:rsidRPr="00D3550C">
        <w:instrText>":"</w:instrText>
      </w:r>
      <w:r w:rsidR="00A6794A">
        <w:rPr>
          <w:lang w:val="en-US"/>
        </w:rPr>
        <w:instrText>Chopra</w:instrText>
      </w:r>
      <w:r w:rsidR="00A6794A" w:rsidRPr="00D3550C">
        <w:instrText>","</w:instrText>
      </w:r>
      <w:r w:rsidR="00A6794A">
        <w:rPr>
          <w:lang w:val="en-US"/>
        </w:rPr>
        <w:instrText>given</w:instrText>
      </w:r>
      <w:r w:rsidR="00A6794A" w:rsidRPr="00D3550C">
        <w:instrText>":"</w:instrText>
      </w:r>
      <w:r w:rsidR="00A6794A">
        <w:rPr>
          <w:lang w:val="en-US"/>
        </w:rPr>
        <w:instrText>R</w:instrText>
      </w:r>
      <w:r w:rsidR="00A6794A" w:rsidRPr="00D3550C">
        <w:instrText>","</w:instrText>
      </w:r>
      <w:r w:rsidR="00A6794A">
        <w:rPr>
          <w:lang w:val="en-US"/>
        </w:rPr>
        <w:instrText>non</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parse</w:instrText>
      </w:r>
      <w:r w:rsidR="00A6794A" w:rsidRPr="00D3550C">
        <w:instrText>-</w:instrText>
      </w:r>
      <w:r w:rsidR="00A6794A">
        <w:rPr>
          <w:lang w:val="en-US"/>
        </w:rPr>
        <w:instrText>names</w:instrText>
      </w:r>
      <w:r w:rsidR="00A6794A" w:rsidRPr="00D3550C">
        <w:instrText>":</w:instrText>
      </w:r>
      <w:r w:rsidR="00A6794A">
        <w:rPr>
          <w:lang w:val="en-US"/>
        </w:rPr>
        <w:instrText>false</w:instrText>
      </w:r>
      <w:r w:rsidR="00A6794A" w:rsidRPr="00D3550C">
        <w:instrText>,"</w:instrText>
      </w:r>
      <w:r w:rsidR="00A6794A">
        <w:rPr>
          <w:lang w:val="en-US"/>
        </w:rPr>
        <w:instrText>suffix</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family</w:instrText>
      </w:r>
      <w:r w:rsidR="00A6794A" w:rsidRPr="00D3550C">
        <w:instrText>":"</w:instrText>
      </w:r>
      <w:r w:rsidR="00A6794A">
        <w:rPr>
          <w:lang w:val="en-US"/>
        </w:rPr>
        <w:instrText>McMillan</w:instrText>
      </w:r>
      <w:r w:rsidR="00A6794A" w:rsidRPr="00D3550C">
        <w:instrText>","</w:instrText>
      </w:r>
      <w:r w:rsidR="00A6794A">
        <w:rPr>
          <w:lang w:val="en-US"/>
        </w:rPr>
        <w:instrText>given</w:instrText>
      </w:r>
      <w:r w:rsidR="00A6794A" w:rsidRPr="00D3550C">
        <w:instrText>":"</w:instrText>
      </w:r>
      <w:r w:rsidR="00A6794A">
        <w:rPr>
          <w:lang w:val="en-US"/>
        </w:rPr>
        <w:instrText>A</w:instrText>
      </w:r>
      <w:r w:rsidR="00A6794A" w:rsidRPr="00D3550C">
        <w:instrText>","</w:instrText>
      </w:r>
      <w:r w:rsidR="00A6794A">
        <w:rPr>
          <w:lang w:val="en-US"/>
        </w:rPr>
        <w:instrText>non</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parse</w:instrText>
      </w:r>
      <w:r w:rsidR="00A6794A" w:rsidRPr="00D3550C">
        <w:instrText>-</w:instrText>
      </w:r>
      <w:r w:rsidR="00A6794A">
        <w:rPr>
          <w:lang w:val="en-US"/>
        </w:rPr>
        <w:instrText>names</w:instrText>
      </w:r>
      <w:r w:rsidR="00A6794A" w:rsidRPr="00D3550C">
        <w:instrText>":</w:instrText>
      </w:r>
      <w:r w:rsidR="00A6794A">
        <w:rPr>
          <w:lang w:val="en-US"/>
        </w:rPr>
        <w:instrText>false</w:instrText>
      </w:r>
      <w:r w:rsidR="00A6794A" w:rsidRPr="00D3550C">
        <w:instrText>,"</w:instrText>
      </w:r>
      <w:r w:rsidR="00A6794A">
        <w:rPr>
          <w:lang w:val="en-US"/>
        </w:rPr>
        <w:instrText>suffix</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family</w:instrText>
      </w:r>
      <w:r w:rsidR="00A6794A" w:rsidRPr="00D3550C">
        <w:instrText>":"</w:instrText>
      </w:r>
      <w:r w:rsidR="00A6794A">
        <w:rPr>
          <w:lang w:val="en-US"/>
        </w:rPr>
        <w:instrText>Pearce</w:instrText>
      </w:r>
      <w:r w:rsidR="00A6794A" w:rsidRPr="00D3550C">
        <w:instrText>","</w:instrText>
      </w:r>
      <w:r w:rsidR="00A6794A">
        <w:rPr>
          <w:lang w:val="en-US"/>
        </w:rPr>
        <w:instrText>given</w:instrText>
      </w:r>
      <w:r w:rsidR="00A6794A" w:rsidRPr="00D3550C">
        <w:instrText>":"</w:instrText>
      </w:r>
      <w:r w:rsidR="00A6794A">
        <w:rPr>
          <w:lang w:val="en-US"/>
        </w:rPr>
        <w:instrText>R</w:instrText>
      </w:r>
      <w:r w:rsidR="00A6794A" w:rsidRPr="00D3550C">
        <w:instrText>","</w:instrText>
      </w:r>
      <w:r w:rsidR="00A6794A">
        <w:rPr>
          <w:lang w:val="en-US"/>
        </w:rPr>
        <w:instrText>non</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parse</w:instrText>
      </w:r>
      <w:r w:rsidR="00A6794A" w:rsidRPr="00D3550C">
        <w:instrText>-</w:instrText>
      </w:r>
      <w:r w:rsidR="00A6794A">
        <w:rPr>
          <w:lang w:val="en-US"/>
        </w:rPr>
        <w:instrText>names</w:instrText>
      </w:r>
      <w:r w:rsidR="00A6794A" w:rsidRPr="00D3550C">
        <w:instrText>":</w:instrText>
      </w:r>
      <w:r w:rsidR="00A6794A">
        <w:rPr>
          <w:lang w:val="en-US"/>
        </w:rPr>
        <w:instrText>false</w:instrText>
      </w:r>
      <w:r w:rsidR="00A6794A" w:rsidRPr="00D3550C">
        <w:instrText>,"</w:instrText>
      </w:r>
      <w:r w:rsidR="00A6794A">
        <w:rPr>
          <w:lang w:val="en-US"/>
        </w:rPr>
        <w:instrText>suffix</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family</w:instrText>
      </w:r>
      <w:r w:rsidR="00A6794A" w:rsidRPr="00D3550C">
        <w:instrText>":"</w:instrText>
      </w:r>
      <w:r w:rsidR="00A6794A">
        <w:rPr>
          <w:lang w:val="en-US"/>
        </w:rPr>
        <w:instrText>Linch</w:instrText>
      </w:r>
      <w:r w:rsidR="00A6794A" w:rsidRPr="00D3550C">
        <w:instrText>","</w:instrText>
      </w:r>
      <w:r w:rsidR="00A6794A">
        <w:rPr>
          <w:lang w:val="en-US"/>
        </w:rPr>
        <w:instrText>given</w:instrText>
      </w:r>
      <w:r w:rsidR="00A6794A" w:rsidRPr="00D3550C">
        <w:instrText>":"</w:instrText>
      </w:r>
      <w:r w:rsidR="00A6794A">
        <w:rPr>
          <w:lang w:val="en-US"/>
        </w:rPr>
        <w:instrText>D</w:instrText>
      </w:r>
      <w:r w:rsidR="00A6794A" w:rsidRPr="00D3550C">
        <w:instrText xml:space="preserve"> </w:instrText>
      </w:r>
      <w:r w:rsidR="00A6794A">
        <w:rPr>
          <w:lang w:val="en-US"/>
        </w:rPr>
        <w:instrText>C</w:instrText>
      </w:r>
      <w:r w:rsidR="00A6794A" w:rsidRPr="00D3550C">
        <w:instrText>","</w:instrText>
      </w:r>
      <w:r w:rsidR="00A6794A">
        <w:rPr>
          <w:lang w:val="en-US"/>
        </w:rPr>
        <w:instrText>non</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parse</w:instrText>
      </w:r>
      <w:r w:rsidR="00A6794A" w:rsidRPr="00D3550C">
        <w:instrText>-</w:instrText>
      </w:r>
      <w:r w:rsidR="00A6794A">
        <w:rPr>
          <w:lang w:val="en-US"/>
        </w:rPr>
        <w:instrText>names</w:instrText>
      </w:r>
      <w:r w:rsidR="00A6794A" w:rsidRPr="00D3550C">
        <w:instrText>":</w:instrText>
      </w:r>
      <w:r w:rsidR="00A6794A">
        <w:rPr>
          <w:lang w:val="en-US"/>
        </w:rPr>
        <w:instrText>false</w:instrText>
      </w:r>
      <w:r w:rsidR="00A6794A" w:rsidRPr="00D3550C">
        <w:instrText>,"</w:instrText>
      </w:r>
      <w:r w:rsidR="00A6794A">
        <w:rPr>
          <w:lang w:val="en-US"/>
        </w:rPr>
        <w:instrText>suffix</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family</w:instrText>
      </w:r>
      <w:r w:rsidR="00A6794A" w:rsidRPr="00D3550C">
        <w:instrText>":"</w:instrText>
      </w:r>
      <w:r w:rsidR="00A6794A">
        <w:rPr>
          <w:lang w:val="en-US"/>
        </w:rPr>
        <w:instrText>Goldstone</w:instrText>
      </w:r>
      <w:r w:rsidR="00A6794A" w:rsidRPr="00D3550C">
        <w:instrText>","</w:instrText>
      </w:r>
      <w:r w:rsidR="00A6794A">
        <w:rPr>
          <w:lang w:val="en-US"/>
        </w:rPr>
        <w:instrText>given</w:instrText>
      </w:r>
      <w:r w:rsidR="00A6794A" w:rsidRPr="00D3550C">
        <w:instrText>":"</w:instrText>
      </w:r>
      <w:r w:rsidR="00A6794A">
        <w:rPr>
          <w:lang w:val="en-US"/>
        </w:rPr>
        <w:instrText>A</w:instrText>
      </w:r>
      <w:r w:rsidR="00A6794A" w:rsidRPr="00D3550C">
        <w:instrText xml:space="preserve"> </w:instrText>
      </w:r>
      <w:r w:rsidR="00A6794A">
        <w:rPr>
          <w:lang w:val="en-US"/>
        </w:rPr>
        <w:instrText>H</w:instrText>
      </w:r>
      <w:r w:rsidR="00A6794A" w:rsidRPr="00D3550C">
        <w:instrText>","</w:instrText>
      </w:r>
      <w:r w:rsidR="00A6794A">
        <w:rPr>
          <w:lang w:val="en-US"/>
        </w:rPr>
        <w:instrText>non</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parse</w:instrText>
      </w:r>
      <w:r w:rsidR="00A6794A" w:rsidRPr="00D3550C">
        <w:instrText>-</w:instrText>
      </w:r>
      <w:r w:rsidR="00A6794A">
        <w:rPr>
          <w:lang w:val="en-US"/>
        </w:rPr>
        <w:instrText>names</w:instrText>
      </w:r>
      <w:r w:rsidR="00A6794A" w:rsidRPr="00D3550C">
        <w:instrText>":</w:instrText>
      </w:r>
      <w:r w:rsidR="00A6794A">
        <w:rPr>
          <w:lang w:val="en-US"/>
        </w:rPr>
        <w:instrText>false</w:instrText>
      </w:r>
      <w:r w:rsidR="00A6794A" w:rsidRPr="00D3550C">
        <w:instrText>,"</w:instrText>
      </w:r>
      <w:r w:rsidR="00A6794A">
        <w:rPr>
          <w:lang w:val="en-US"/>
        </w:rPr>
        <w:instrText>suffix</w:instrText>
      </w:r>
      <w:r w:rsidR="00A6794A" w:rsidRPr="00D3550C">
        <w:instrText>":""}],"</w:instrText>
      </w:r>
      <w:r w:rsidR="00A6794A">
        <w:rPr>
          <w:lang w:val="en-US"/>
        </w:rPr>
        <w:instrText>container</w:instrText>
      </w:r>
      <w:r w:rsidR="00A6794A" w:rsidRPr="00D3550C">
        <w:instrText>-</w:instrText>
      </w:r>
      <w:r w:rsidR="00A6794A">
        <w:rPr>
          <w:lang w:val="en-US"/>
        </w:rPr>
        <w:instrText>title</w:instrText>
      </w:r>
      <w:r w:rsidR="00A6794A" w:rsidRPr="00D3550C">
        <w:instrText>":"</w:instrText>
      </w:r>
      <w:r w:rsidR="00A6794A">
        <w:rPr>
          <w:lang w:val="en-US"/>
        </w:rPr>
        <w:instrText>Journal</w:instrText>
      </w:r>
      <w:r w:rsidR="00A6794A" w:rsidRPr="00D3550C">
        <w:instrText xml:space="preserve"> </w:instrText>
      </w:r>
      <w:r w:rsidR="00A6794A">
        <w:rPr>
          <w:lang w:val="en-US"/>
        </w:rPr>
        <w:instrText>of</w:instrText>
      </w:r>
      <w:r w:rsidR="00A6794A" w:rsidRPr="00D3550C">
        <w:instrText xml:space="preserve"> </w:instrText>
      </w:r>
      <w:r w:rsidR="00A6794A">
        <w:rPr>
          <w:lang w:val="en-US"/>
        </w:rPr>
        <w:instrText>clinical</w:instrText>
      </w:r>
      <w:r w:rsidR="00A6794A" w:rsidRPr="00D3550C">
        <w:instrText xml:space="preserve"> </w:instrText>
      </w:r>
      <w:r w:rsidR="00A6794A">
        <w:rPr>
          <w:lang w:val="en-US"/>
        </w:rPr>
        <w:instrText>oncology</w:instrText>
      </w:r>
      <w:r w:rsidR="00A6794A" w:rsidRPr="00D3550C">
        <w:instrText xml:space="preserve"> : </w:instrText>
      </w:r>
      <w:r w:rsidR="00A6794A">
        <w:rPr>
          <w:lang w:val="en-US"/>
        </w:rPr>
        <w:instrText>official</w:instrText>
      </w:r>
      <w:r w:rsidR="00A6794A" w:rsidRPr="00D3550C">
        <w:instrText xml:space="preserve"> </w:instrText>
      </w:r>
      <w:r w:rsidR="00A6794A">
        <w:rPr>
          <w:lang w:val="en-US"/>
        </w:rPr>
        <w:instrText>journal</w:instrText>
      </w:r>
      <w:r w:rsidR="00A6794A" w:rsidRPr="00D3550C">
        <w:instrText xml:space="preserve"> </w:instrText>
      </w:r>
      <w:r w:rsidR="00A6794A">
        <w:rPr>
          <w:lang w:val="en-US"/>
        </w:rPr>
        <w:instrText>of</w:instrText>
      </w:r>
      <w:r w:rsidR="00A6794A" w:rsidRPr="00D3550C">
        <w:instrText xml:space="preserve"> </w:instrText>
      </w:r>
      <w:r w:rsidR="00A6794A">
        <w:rPr>
          <w:lang w:val="en-US"/>
        </w:rPr>
        <w:instrText>the</w:instrText>
      </w:r>
      <w:r w:rsidR="00A6794A" w:rsidRPr="00D3550C">
        <w:instrText xml:space="preserve"> </w:instrText>
      </w:r>
      <w:r w:rsidR="00A6794A">
        <w:rPr>
          <w:lang w:val="en-US"/>
        </w:rPr>
        <w:instrText>American</w:instrText>
      </w:r>
      <w:r w:rsidR="00A6794A" w:rsidRPr="00D3550C">
        <w:instrText xml:space="preserve"> </w:instrText>
      </w:r>
      <w:r w:rsidR="00A6794A">
        <w:rPr>
          <w:lang w:val="en-US"/>
        </w:rPr>
        <w:instrText>Society</w:instrText>
      </w:r>
      <w:r w:rsidR="00A6794A" w:rsidRPr="00D3550C">
        <w:instrText xml:space="preserve"> </w:instrText>
      </w:r>
      <w:r w:rsidR="00A6794A">
        <w:rPr>
          <w:lang w:val="en-US"/>
        </w:rPr>
        <w:instrText>of</w:instrText>
      </w:r>
      <w:r w:rsidR="00A6794A" w:rsidRPr="00D3550C">
        <w:instrText xml:space="preserve"> </w:instrText>
      </w:r>
      <w:r w:rsidR="00A6794A">
        <w:rPr>
          <w:lang w:val="en-US"/>
        </w:rPr>
        <w:instrText>Clinical</w:instrText>
      </w:r>
      <w:r w:rsidR="00A6794A" w:rsidRPr="00D3550C">
        <w:instrText xml:space="preserve"> </w:instrText>
      </w:r>
      <w:r w:rsidR="00A6794A">
        <w:rPr>
          <w:lang w:val="en-US"/>
        </w:rPr>
        <w:instrText>Oncology</w:instrText>
      </w:r>
      <w:r w:rsidR="00A6794A" w:rsidRPr="00D3550C">
        <w:instrText>","</w:instrText>
      </w:r>
      <w:r w:rsidR="00A6794A">
        <w:rPr>
          <w:lang w:val="en-US"/>
        </w:rPr>
        <w:instrText>id</w:instrText>
      </w:r>
      <w:r w:rsidR="00A6794A" w:rsidRPr="00D3550C">
        <w:instrText>":"</w:instrText>
      </w:r>
      <w:r w:rsidR="00A6794A">
        <w:rPr>
          <w:lang w:val="en-US"/>
        </w:rPr>
        <w:instrText>ITEM</w:instrText>
      </w:r>
      <w:r w:rsidR="00A6794A" w:rsidRPr="00D3550C">
        <w:instrText>-1","</w:instrText>
      </w:r>
      <w:r w:rsidR="00A6794A">
        <w:rPr>
          <w:lang w:val="en-US"/>
        </w:rPr>
        <w:instrText>issue</w:instrText>
      </w:r>
      <w:r w:rsidR="00A6794A" w:rsidRPr="00D3550C">
        <w:instrText>":"3","</w:instrText>
      </w:r>
      <w:r w:rsidR="00A6794A">
        <w:rPr>
          <w:lang w:val="en-US"/>
        </w:rPr>
        <w:instrText>issued</w:instrText>
      </w:r>
      <w:r w:rsidR="00A6794A" w:rsidRPr="00D3550C">
        <w:instrText>":{"</w:instrText>
      </w:r>
      <w:r w:rsidR="00A6794A">
        <w:rPr>
          <w:lang w:val="en-US"/>
        </w:rPr>
        <w:instrText>date</w:instrText>
      </w:r>
      <w:r w:rsidR="00A6794A" w:rsidRPr="00D3550C">
        <w:instrText>-</w:instrText>
      </w:r>
      <w:r w:rsidR="00A6794A">
        <w:rPr>
          <w:lang w:val="en-US"/>
        </w:rPr>
        <w:instrText>parts</w:instrText>
      </w:r>
      <w:r w:rsidR="00A6794A" w:rsidRPr="00D3550C">
        <w:instrText>":[["1995","3"]]},"</w:instrText>
      </w:r>
      <w:r w:rsidR="00A6794A">
        <w:rPr>
          <w:lang w:val="en-US"/>
        </w:rPr>
        <w:instrText>page</w:instrText>
      </w:r>
      <w:r w:rsidR="00A6794A" w:rsidRPr="00D3550C">
        <w:instrText>":"588-95","</w:instrText>
      </w:r>
      <w:r w:rsidR="00A6794A">
        <w:rPr>
          <w:lang w:val="en-US"/>
        </w:rPr>
        <w:instrText>publisher</w:instrText>
      </w:r>
      <w:r w:rsidR="00A6794A" w:rsidRPr="00D3550C">
        <w:instrText>":"</w:instrText>
      </w:r>
      <w:r w:rsidR="00A6794A">
        <w:rPr>
          <w:lang w:val="en-US"/>
        </w:rPr>
        <w:instrText>J</w:instrText>
      </w:r>
      <w:r w:rsidR="00A6794A" w:rsidRPr="00D3550C">
        <w:instrText xml:space="preserve"> </w:instrText>
      </w:r>
      <w:r w:rsidR="00A6794A">
        <w:rPr>
          <w:lang w:val="en-US"/>
        </w:rPr>
        <w:instrText>Clin</w:instrText>
      </w:r>
      <w:r w:rsidR="00A6794A" w:rsidRPr="00D3550C">
        <w:instrText xml:space="preserve"> </w:instrText>
      </w:r>
      <w:r w:rsidR="00A6794A">
        <w:rPr>
          <w:lang w:val="en-US"/>
        </w:rPr>
        <w:instrText>Oncol</w:instrText>
      </w:r>
      <w:r w:rsidR="00A6794A" w:rsidRPr="00D3550C">
        <w:instrText>","</w:instrText>
      </w:r>
      <w:r w:rsidR="00A6794A">
        <w:rPr>
          <w:lang w:val="en-US"/>
        </w:rPr>
        <w:instrText>title</w:instrText>
      </w:r>
      <w:r w:rsidR="00A6794A" w:rsidRPr="00D3550C">
        <w:instrText>":"</w:instrText>
      </w:r>
      <w:r w:rsidR="00A6794A">
        <w:rPr>
          <w:lang w:val="en-US"/>
        </w:rPr>
        <w:instrText>BEAM</w:instrText>
      </w:r>
      <w:r w:rsidR="00A6794A" w:rsidRPr="00D3550C">
        <w:instrText xml:space="preserve"> </w:instrText>
      </w:r>
      <w:r w:rsidR="00A6794A">
        <w:rPr>
          <w:lang w:val="en-US"/>
        </w:rPr>
        <w:instrText>chemotherapy</w:instrText>
      </w:r>
      <w:r w:rsidR="00A6794A" w:rsidRPr="00D3550C">
        <w:instrText xml:space="preserve"> </w:instrText>
      </w:r>
      <w:r w:rsidR="00A6794A">
        <w:rPr>
          <w:lang w:val="en-US"/>
        </w:rPr>
        <w:instrText>and</w:instrText>
      </w:r>
      <w:r w:rsidR="00A6794A" w:rsidRPr="00D3550C">
        <w:instrText xml:space="preserve"> </w:instrText>
      </w:r>
      <w:r w:rsidR="00A6794A">
        <w:rPr>
          <w:lang w:val="en-US"/>
        </w:rPr>
        <w:instrText>autologous</w:instrText>
      </w:r>
      <w:r w:rsidR="00A6794A" w:rsidRPr="00D3550C">
        <w:instrText xml:space="preserve"> </w:instrText>
      </w:r>
      <w:r w:rsidR="00A6794A">
        <w:rPr>
          <w:lang w:val="en-US"/>
        </w:rPr>
        <w:instrText>bone</w:instrText>
      </w:r>
      <w:r w:rsidR="00A6794A" w:rsidRPr="00D3550C">
        <w:instrText xml:space="preserve"> </w:instrText>
      </w:r>
      <w:r w:rsidR="00A6794A">
        <w:rPr>
          <w:lang w:val="en-US"/>
        </w:rPr>
        <w:instrText>marrow</w:instrText>
      </w:r>
      <w:r w:rsidR="00A6794A" w:rsidRPr="00D3550C">
        <w:instrText xml:space="preserve"> </w:instrText>
      </w:r>
      <w:r w:rsidR="00A6794A">
        <w:rPr>
          <w:lang w:val="en-US"/>
        </w:rPr>
        <w:instrText>transplantation</w:instrText>
      </w:r>
      <w:r w:rsidR="00A6794A" w:rsidRPr="00D3550C">
        <w:instrText xml:space="preserve"> </w:instrText>
      </w:r>
      <w:r w:rsidR="00A6794A">
        <w:rPr>
          <w:lang w:val="en-US"/>
        </w:rPr>
        <w:instrText>for</w:instrText>
      </w:r>
      <w:r w:rsidR="00A6794A" w:rsidRPr="00D3550C">
        <w:instrText xml:space="preserve"> </w:instrText>
      </w:r>
      <w:r w:rsidR="00A6794A">
        <w:rPr>
          <w:lang w:val="en-US"/>
        </w:rPr>
        <w:instrText>patients</w:instrText>
      </w:r>
      <w:r w:rsidR="00A6794A" w:rsidRPr="00D3550C">
        <w:instrText xml:space="preserve"> </w:instrText>
      </w:r>
      <w:r w:rsidR="00A6794A">
        <w:rPr>
          <w:lang w:val="en-US"/>
        </w:rPr>
        <w:instrText>with</w:instrText>
      </w:r>
      <w:r w:rsidR="00A6794A" w:rsidRPr="00D3550C">
        <w:instrText xml:space="preserve"> </w:instrText>
      </w:r>
      <w:r w:rsidR="00A6794A">
        <w:rPr>
          <w:lang w:val="en-US"/>
        </w:rPr>
        <w:instrText>relapsed</w:instrText>
      </w:r>
      <w:r w:rsidR="00A6794A" w:rsidRPr="00D3550C">
        <w:instrText xml:space="preserve"> </w:instrText>
      </w:r>
      <w:r w:rsidR="00A6794A">
        <w:rPr>
          <w:lang w:val="en-US"/>
        </w:rPr>
        <w:instrText>or</w:instrText>
      </w:r>
      <w:r w:rsidR="00A6794A" w:rsidRPr="00D3550C">
        <w:instrText xml:space="preserve"> </w:instrText>
      </w:r>
      <w:r w:rsidR="00A6794A">
        <w:rPr>
          <w:lang w:val="en-US"/>
        </w:rPr>
        <w:instrText>refractory</w:instrText>
      </w:r>
      <w:r w:rsidR="00A6794A" w:rsidRPr="00D3550C">
        <w:instrText xml:space="preserve"> </w:instrText>
      </w:r>
      <w:r w:rsidR="00A6794A">
        <w:rPr>
          <w:lang w:val="en-US"/>
        </w:rPr>
        <w:instrText>non</w:instrText>
      </w:r>
      <w:r w:rsidR="00A6794A" w:rsidRPr="00D3550C">
        <w:instrText>-</w:instrText>
      </w:r>
      <w:r w:rsidR="00A6794A">
        <w:rPr>
          <w:lang w:val="en-US"/>
        </w:rPr>
        <w:instrText>Hodgkin</w:instrText>
      </w:r>
      <w:r w:rsidR="00A6794A" w:rsidRPr="00D3550C">
        <w:instrText>'</w:instrText>
      </w:r>
      <w:r w:rsidR="00A6794A">
        <w:rPr>
          <w:lang w:val="en-US"/>
        </w:rPr>
        <w:instrText>s</w:instrText>
      </w:r>
      <w:r w:rsidR="00A6794A" w:rsidRPr="00D3550C">
        <w:instrText xml:space="preserve"> </w:instrText>
      </w:r>
      <w:r w:rsidR="00A6794A">
        <w:rPr>
          <w:lang w:val="en-US"/>
        </w:rPr>
        <w:instrText>lymphoma</w:instrText>
      </w:r>
      <w:r w:rsidR="00A6794A" w:rsidRPr="00D3550C">
        <w:instrText>.","</w:instrText>
      </w:r>
      <w:r w:rsidR="00A6794A">
        <w:rPr>
          <w:lang w:val="en-US"/>
        </w:rPr>
        <w:instrText>type</w:instrText>
      </w:r>
      <w:r w:rsidR="00A6794A" w:rsidRPr="00D3550C">
        <w:instrText>":"</w:instrText>
      </w:r>
      <w:r w:rsidR="00A6794A">
        <w:rPr>
          <w:lang w:val="en-US"/>
        </w:rPr>
        <w:instrText>article-journal","volume":"13"},"uris":["http://www.mendeley.com/documents/?uuid=31ee3b3b-7e9b-351f-9bed-caba68be2117","http://www.mendeley.com/documents/?uuid=d7dd3d81-9258-4d54-8bba-a07894a41483"]},{"id":"ITEM-2","itemData":{"ISSN":"2234-943X","PMID":"31552193","author":[{"dropping-particle":"","family":"Colita","given":"Andrei","non-dropping-particle":"","parse-names":false,"suffix":""},{"dropping-particle":"","family":"Colita","given":"Anca","non-dropping-particle":"","parse-names":false,"suffix":""},{"dropping-particle":"","family":"Bumbea","given":"Horia","non-dropping-particle":"","parse-names":false,"suffix":""},{"dropping-particle":"","family":"Croitoru","given":"Adina","non-dropping-particle":"","parse-names":false,"suffix":""},{"dropping-particle":"","family":"Orban","given":"Carmen","non-dropping-particle":"","parse-names":false,"suffix":""},{"dropping-particle":"","family":"Lipan","given":"Lavinia Eugenia","non-dropping-particle":"","parse-names":false,"suffix":""},{"dropping-particle":"","family":"Craciun","given":"Oana-Gabriela","non-dropping-particle":"","parse-names":false,"suffix":""},{"dropping-particle":"","family":"Soare","given":"Dan","non-dropping-particle":"","parse-names":false,"suffix":""},{"dropping-particle":"","family":"Ghimici","given":"Cecilia","non-dropping-particle":"","parse-names":false,"suffix":""},{"dropping-particle":"","family":"Manolache","given":"Raluca","non-dropping-particle":"","parse-names":false,"suffix":""},{"dropping-particle":"","family":"Gelatu","given":"Ionel","non-dropping-particle":"","parse-names":false,"suffix":""},{"dropping-particle":"","family":"Vladareanu","given":"Ana-Maria","non-dropping-particle":"","parse-names":false,"suffix":""},{"dropping-particle":"","family":"Pasca","given":"Sergiu","non-dropping-particle":"","parse-names":false,"suffix":""},{"dropping-particle":"","family":"Teodorescu","given":"Patric","non-dropping-particle":"","parse-names":false,"suffix":""},{"dropping-particle":"","family":"Dima","given":"Delia","non-dropping-particle":"","parse-names":false,"suffix":""},{"dropping-particle":"","family":"Lupu","given":"Anca","non-dropping-particle":"","parse-names":false,"suffix":""},{"dropping-particle":"","family":"Coriu","given":"Daniel","non-dropping-particle":"","parse-names":false,"suffix":""},{"dropping-particle":"","family":"Tomuleasa","given":"Ciprian","non-dropping-particle":"","parse-names":false,"suffix":""},{"dropping-particle":"","family":"Tanase","given":"Alina","non-dropping-particle":"","parse-names":false,"suffix":""}],"container-title":"Frontiers in oncology","id":"ITEM-2","issued":{"date-parts":[["2019","9","10"]]},"page":"892","publisher":"Front Oncol","title":"LEAM vs. BEAM vs. CLV Conditioning Regimen for Autologous Stem Cell Transplantation in Malignant Lymphomas. Retrospective Comparison of Toxicity and Efficacy on 222 Patients in the First 100 Days After Transplant, On Behalf of the Romanian Society for Bon","type":"article-journal","volume":"9"},"uris":["http://www.mendeley.com/documents/?uuid=c53df651-72c5-4bae-be62-d061ccde0a8e"]},{"id":"ITEM-3","itemData":{"ISBN":"9783030022778","author":[{"dropping-particle":"","family":"Enric Carreras","given":"Dufour Carlo","non-dropping-particle":"","parse-names":false,"suffix":""},{"dropping-particle":"","family":"Mohty Mohamad","given":"Kröger Nicolaus","non-dropping-particle":"","parse-names":false,"suffix":""}],"id":"ITEM-3","issued":{"date-parts":[["2019"]]},"number-of-pages":"702","title":"Hematopoietic Stem Cell Transplantation and Cellular Therapies","type":"book"},"uris":["http://www.mendeley.com/documents/?uuid=b2895edd-cfbd-4cbf-8d9b-e50422d61d71","http://www.mendeley.com/documents/?uuid=891fa663-7797-4301-8893-3b0a5d75b173"]},{"id":"ITEM-4","itemData":{"DOI":"10.5114/wo.2018.77046","ISSN":"1428-2526","PMID":"30150889","abstract":"Introduction BEAM (carmustine, etoposide, cytarabine, melphalan) is the most frequently used high-dose chemotherapy regimen for patients with lymphoma referred for autologous haematopoietic cell transplantation (autoHCT). Recently, a novel conditioning protocol containing bendamustine instead of carmustine (BeEAM) has been proposed to potentially increase the efficacy. Aim of the study The aim of this study was to retrospectively compare the safety profile of BEAM and BeEAM based on single-centre experience. Material and methods A total of 237 consecutive patients with lymphoma treated with either BEAM (n = 174) or BeEAM (n = 63), between the years 2011 and 2016, were included in the analysis. Clinical characteristics of both groups were comparable. Patients with Hodgkin's lymphoma (HL) constituted 49% of the BEAM group and 40% of the BeEAM group. Results Median time to neutrophil &gt; 0.5 × 109/l recovery was 10 days in both groups (p = 0.29), while median time to platelet &gt; 50 × 109/l recovery was 13 and 14 days after BEAM and BeEAM, respectively (p = 0.12). The toxicity profile was comparable except for arterial hypertension and severe hypokalaemia, which occurred more frequently after BeEAM compared to BEAM (p = 0.02 and p = 0.004, respectively). The rate of early mortality was 1.7% and 1.6%, respectively. The probabilities of the overall and progression-free survival were comparable for both groups (p = 0.73 and p = 0.55, respectively). Conclusions Administration of bendamustine instead of carmustine as part of conditioning does not affect the engraftment or the toxicity profile of the regimen. Therefore, BeEAM may be safely used in patients with lymphoma undergoing autoHCT. Its efficacy requires evaluation in prospective studies.","author":[{"dropping-particle":"","family":"Frankiewicz","given":"Andrzej","non-dropping-particle":"","parse-names":false,"suffix":""},{"dropping-particle":"","family":"Saduś-Wojciechowska","given":"Maria","non-dropping-particle":"","parse-names":false,"suffix":""},{"dropping-particle":"","family":"Najda","given":"Jacek","non-dropping-particle":"","parse-names":false,"suffix":""},{"dropping-particle":"","family":"Czerw","given":"Tomasz","non-dropping-particle":"","parse-names":false,"suffix":""},{"dropping-particle":"","family":"Mendrek","given":"Włodzimierz","non-dropping-particle":"","parse-names":false,"suffix":""},{"dropping-particle":"","family":"Sobczyk-Kruszelnicka","given":"Małgorzata","non-dropping-particle":"","parse-names":false,"suffix":""},{"dropping-particle":"","family":"Soska","given":"Katarzyna","non-dropping-particle":"","parse-names":false,"suffix":""},{"dropping-particle":"","family":"Ociepa","given":"Małgorzata","non-dropping-particle":"","parse-names":false,"suffix":""},{"dropping-particle":"","family":"Hołowiecki","given":"Jerzy","non-dropping-particle":"","parse-names":false,"suffix":""},{"dropping-particle":"","family":"Giebel","given":"Sebastian","non-dropping-particle":"","parse-names":false,"suffix":""}],"container-title":"Contemporary oncology (Poznan, Poland)","id":"ITEM-4","issue":"2","issued":{"date-parts":[["2018"]]},"page":"113-117","publisher":"Termedia Publishing","title":"Comparable safety profile of BeEAM (bendamustine, etoposide, cytarabine, melphalan) and BEAM (carmustine, etoposide, cytarabine, melphalan) as conditioning before autologous haematopoietic cell transplantation.","type":"article-journal","volume":"22"},"uris":["http://www.mendeley.com/documents/?uuid=fae33e18-ab1d-4ae6-86c6-c9c239bca9c9","http://www.mendeley.com/documents/?uuid=5cbf9ec0-cb46-34bb-9da8-ba263a19a7fa","http://www.mendeley.com/documents/?uuid=16329f66-6ee6-49a6-bcf0-a4309ffb9b19"]},{"id":"ITEM-5","itemData":{"ISSN":"0268-3369","PMID":"9313877","author":[{"dropping-particle":"","family":"Caballero","given":"M. D.","non-dropping-particle":"","parse-names":false,"suffix":""},{"dropping-particle":"","family":"Rubio","given":"V.","non-dropping-particle":"","parse-names":false,"suffix":""},{"dropping-particle":"","family":"Rifon","given":"J.","non-dropping-particle":"","parse-names":false,"suffix":""},{"dropping-particle":"","family":"Heras","given":"I.","non-dropping-particle":"","parse-names":false,"suffix":""},{"dropping-particle":"","family":"García-Sanz","given":"R.","non-dropping-particle":"","parse-names":false,"suffix":""},{"dropping-particle":"","family":"Vázquez","given":"L.","non-dropping-particle":"","parse-names":false,"suffix":""},{"dropping-particle":"","family":"Vidriales","given":"B.","non-dropping-particle":"","parse-names":false,"suffix":""},{"dropping-particle":"","family":"Cañizo","given":"M. C.","non-dropping-particle":"Del","parse-names":false,"suffix":"</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family</w:instrText>
      </w:r>
      <w:r w:rsidR="00A6794A" w:rsidRPr="00D3550C">
        <w:instrText>":"</w:instrText>
      </w:r>
      <w:r w:rsidR="00A6794A">
        <w:rPr>
          <w:lang w:val="en-US"/>
        </w:rPr>
        <w:instrText>Corral</w:instrText>
      </w:r>
      <w:r w:rsidR="00A6794A" w:rsidRPr="00D3550C">
        <w:instrText>","</w:instrText>
      </w:r>
      <w:r w:rsidR="00A6794A">
        <w:rPr>
          <w:lang w:val="en-US"/>
        </w:rPr>
        <w:instrText>given</w:instrText>
      </w:r>
      <w:r w:rsidR="00A6794A" w:rsidRPr="00D3550C">
        <w:instrText>":"</w:instrText>
      </w:r>
      <w:r w:rsidR="00A6794A">
        <w:rPr>
          <w:lang w:val="en-US"/>
        </w:rPr>
        <w:instrText>M</w:instrText>
      </w:r>
      <w:r w:rsidR="00A6794A" w:rsidRPr="00D3550C">
        <w:instrText>.","</w:instrText>
      </w:r>
      <w:r w:rsidR="00A6794A">
        <w:rPr>
          <w:lang w:val="en-US"/>
        </w:rPr>
        <w:instrText>non</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parse</w:instrText>
      </w:r>
      <w:r w:rsidR="00A6794A" w:rsidRPr="00D3550C">
        <w:instrText>-</w:instrText>
      </w:r>
      <w:r w:rsidR="00A6794A">
        <w:rPr>
          <w:lang w:val="en-US"/>
        </w:rPr>
        <w:instrText>names</w:instrText>
      </w:r>
      <w:r w:rsidR="00A6794A" w:rsidRPr="00D3550C">
        <w:instrText>":</w:instrText>
      </w:r>
      <w:r w:rsidR="00A6794A">
        <w:rPr>
          <w:lang w:val="en-US"/>
        </w:rPr>
        <w:instrText>false</w:instrText>
      </w:r>
      <w:r w:rsidR="00A6794A" w:rsidRPr="00D3550C">
        <w:instrText>,"</w:instrText>
      </w:r>
      <w:r w:rsidR="00A6794A">
        <w:rPr>
          <w:lang w:val="en-US"/>
        </w:rPr>
        <w:instrText>suffix</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family</w:instrText>
      </w:r>
      <w:r w:rsidR="00A6794A" w:rsidRPr="00D3550C">
        <w:instrText>":"</w:instrText>
      </w:r>
      <w:r w:rsidR="00A6794A">
        <w:rPr>
          <w:lang w:val="en-US"/>
        </w:rPr>
        <w:instrText>Gonzalez</w:instrText>
      </w:r>
      <w:r w:rsidR="00A6794A" w:rsidRPr="00D3550C">
        <w:instrText>","</w:instrText>
      </w:r>
      <w:r w:rsidR="00A6794A">
        <w:rPr>
          <w:lang w:val="en-US"/>
        </w:rPr>
        <w:instrText>given</w:instrText>
      </w:r>
      <w:r w:rsidR="00A6794A" w:rsidRPr="00D3550C">
        <w:instrText>":"</w:instrText>
      </w:r>
      <w:r w:rsidR="00A6794A">
        <w:rPr>
          <w:lang w:val="en-US"/>
        </w:rPr>
        <w:instrText>M</w:instrText>
      </w:r>
      <w:r w:rsidR="00A6794A" w:rsidRPr="00D3550C">
        <w:instrText>.","</w:instrText>
      </w:r>
      <w:r w:rsidR="00A6794A">
        <w:rPr>
          <w:lang w:val="en-US"/>
        </w:rPr>
        <w:instrText>non</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parse</w:instrText>
      </w:r>
      <w:r w:rsidR="00A6794A" w:rsidRPr="00D3550C">
        <w:instrText>-</w:instrText>
      </w:r>
      <w:r w:rsidR="00A6794A">
        <w:rPr>
          <w:lang w:val="en-US"/>
        </w:rPr>
        <w:instrText>names</w:instrText>
      </w:r>
      <w:r w:rsidR="00A6794A" w:rsidRPr="00D3550C">
        <w:instrText>":</w:instrText>
      </w:r>
      <w:r w:rsidR="00A6794A">
        <w:rPr>
          <w:lang w:val="en-US"/>
        </w:rPr>
        <w:instrText>false</w:instrText>
      </w:r>
      <w:r w:rsidR="00A6794A" w:rsidRPr="00D3550C">
        <w:instrText>,"</w:instrText>
      </w:r>
      <w:r w:rsidR="00A6794A">
        <w:rPr>
          <w:lang w:val="en-US"/>
        </w:rPr>
        <w:instrText>suffix</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family</w:instrText>
      </w:r>
      <w:r w:rsidR="00A6794A" w:rsidRPr="00D3550C">
        <w:instrText>":"</w:instrText>
      </w:r>
      <w:r w:rsidR="00A6794A">
        <w:rPr>
          <w:lang w:val="en-US"/>
        </w:rPr>
        <w:instrText>Le</w:instrText>
      </w:r>
      <w:r w:rsidR="00A6794A" w:rsidRPr="00D3550C">
        <w:instrText>ó</w:instrText>
      </w:r>
      <w:r w:rsidR="00A6794A">
        <w:rPr>
          <w:lang w:val="en-US"/>
        </w:rPr>
        <w:instrText>n</w:instrText>
      </w:r>
      <w:r w:rsidR="00A6794A" w:rsidRPr="00D3550C">
        <w:instrText>","</w:instrText>
      </w:r>
      <w:r w:rsidR="00A6794A">
        <w:rPr>
          <w:lang w:val="en-US"/>
        </w:rPr>
        <w:instrText>given</w:instrText>
      </w:r>
      <w:r w:rsidR="00A6794A" w:rsidRPr="00D3550C">
        <w:instrText>":"</w:instrText>
      </w:r>
      <w:r w:rsidR="00A6794A">
        <w:rPr>
          <w:lang w:val="en-US"/>
        </w:rPr>
        <w:instrText>A</w:instrText>
      </w:r>
      <w:r w:rsidR="00A6794A" w:rsidRPr="00D3550C">
        <w:instrText>.","</w:instrText>
      </w:r>
      <w:r w:rsidR="00A6794A">
        <w:rPr>
          <w:lang w:val="en-US"/>
        </w:rPr>
        <w:instrText>non</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parse</w:instrText>
      </w:r>
      <w:r w:rsidR="00A6794A" w:rsidRPr="00D3550C">
        <w:instrText>-</w:instrText>
      </w:r>
      <w:r w:rsidR="00A6794A">
        <w:rPr>
          <w:lang w:val="en-US"/>
        </w:rPr>
        <w:instrText>names</w:instrText>
      </w:r>
      <w:r w:rsidR="00A6794A" w:rsidRPr="00D3550C">
        <w:instrText>":</w:instrText>
      </w:r>
      <w:r w:rsidR="00A6794A">
        <w:rPr>
          <w:lang w:val="en-US"/>
        </w:rPr>
        <w:instrText>false</w:instrText>
      </w:r>
      <w:r w:rsidR="00A6794A" w:rsidRPr="00D3550C">
        <w:instrText>,"</w:instrText>
      </w:r>
      <w:r w:rsidR="00A6794A">
        <w:rPr>
          <w:lang w:val="en-US"/>
        </w:rPr>
        <w:instrText>suffix</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family</w:instrText>
      </w:r>
      <w:r w:rsidR="00A6794A" w:rsidRPr="00D3550C">
        <w:instrText>":"</w:instrText>
      </w:r>
      <w:r w:rsidR="00A6794A">
        <w:rPr>
          <w:lang w:val="en-US"/>
        </w:rPr>
        <w:instrText>Jean</w:instrText>
      </w:r>
      <w:r w:rsidR="00A6794A" w:rsidRPr="00D3550C">
        <w:instrText>-</w:instrText>
      </w:r>
      <w:r w:rsidR="00A6794A">
        <w:rPr>
          <w:lang w:val="en-US"/>
        </w:rPr>
        <w:instrText>Paul</w:instrText>
      </w:r>
      <w:r w:rsidR="00A6794A" w:rsidRPr="00D3550C">
        <w:instrText>","</w:instrText>
      </w:r>
      <w:r w:rsidR="00A6794A">
        <w:rPr>
          <w:lang w:val="en-US"/>
        </w:rPr>
        <w:instrText>given</w:instrText>
      </w:r>
      <w:r w:rsidR="00A6794A" w:rsidRPr="00D3550C">
        <w:instrText>":"</w:instrText>
      </w:r>
      <w:r w:rsidR="00A6794A">
        <w:rPr>
          <w:lang w:val="en-US"/>
        </w:rPr>
        <w:instrText>E</w:instrText>
      </w:r>
      <w:r w:rsidR="00A6794A" w:rsidRPr="00D3550C">
        <w:instrText>.","</w:instrText>
      </w:r>
      <w:r w:rsidR="00A6794A">
        <w:rPr>
          <w:lang w:val="en-US"/>
        </w:rPr>
        <w:instrText>non</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parse</w:instrText>
      </w:r>
      <w:r w:rsidR="00A6794A" w:rsidRPr="00D3550C">
        <w:instrText>-</w:instrText>
      </w:r>
      <w:r w:rsidR="00A6794A">
        <w:rPr>
          <w:lang w:val="en-US"/>
        </w:rPr>
        <w:instrText>names</w:instrText>
      </w:r>
      <w:r w:rsidR="00A6794A" w:rsidRPr="00D3550C">
        <w:instrText>":</w:instrText>
      </w:r>
      <w:r w:rsidR="00A6794A">
        <w:rPr>
          <w:lang w:val="en-US"/>
        </w:rPr>
        <w:instrText>false</w:instrText>
      </w:r>
      <w:r w:rsidR="00A6794A" w:rsidRPr="00D3550C">
        <w:instrText>,"</w:instrText>
      </w:r>
      <w:r w:rsidR="00A6794A">
        <w:rPr>
          <w:lang w:val="en-US"/>
        </w:rPr>
        <w:instrText>suffix</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family</w:instrText>
      </w:r>
      <w:r w:rsidR="00A6794A" w:rsidRPr="00D3550C">
        <w:instrText>":"</w:instrText>
      </w:r>
      <w:r w:rsidR="00A6794A">
        <w:rPr>
          <w:lang w:val="en-US"/>
        </w:rPr>
        <w:instrText>Rocha</w:instrText>
      </w:r>
      <w:r w:rsidR="00A6794A" w:rsidRPr="00D3550C">
        <w:instrText>","</w:instrText>
      </w:r>
      <w:r w:rsidR="00A6794A">
        <w:rPr>
          <w:lang w:val="en-US"/>
        </w:rPr>
        <w:instrText>given</w:instrText>
      </w:r>
      <w:r w:rsidR="00A6794A" w:rsidRPr="00D3550C">
        <w:instrText>":"</w:instrText>
      </w:r>
      <w:r w:rsidR="00A6794A">
        <w:rPr>
          <w:lang w:val="en-US"/>
        </w:rPr>
        <w:instrText>E</w:instrText>
      </w:r>
      <w:r w:rsidR="00A6794A" w:rsidRPr="00D3550C">
        <w:instrText>.","</w:instrText>
      </w:r>
      <w:r w:rsidR="00A6794A">
        <w:rPr>
          <w:lang w:val="en-US"/>
        </w:rPr>
        <w:instrText>non</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parse</w:instrText>
      </w:r>
      <w:r w:rsidR="00A6794A" w:rsidRPr="00D3550C">
        <w:instrText>-</w:instrText>
      </w:r>
      <w:r w:rsidR="00A6794A">
        <w:rPr>
          <w:lang w:val="en-US"/>
        </w:rPr>
        <w:instrText>names</w:instrText>
      </w:r>
      <w:r w:rsidR="00A6794A" w:rsidRPr="00D3550C">
        <w:instrText>":</w:instrText>
      </w:r>
      <w:r w:rsidR="00A6794A">
        <w:rPr>
          <w:lang w:val="en-US"/>
        </w:rPr>
        <w:instrText>false</w:instrText>
      </w:r>
      <w:r w:rsidR="00A6794A" w:rsidRPr="00D3550C">
        <w:instrText>,"</w:instrText>
      </w:r>
      <w:r w:rsidR="00A6794A">
        <w:rPr>
          <w:lang w:val="en-US"/>
        </w:rPr>
        <w:instrText>suffix</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family</w:instrText>
      </w:r>
      <w:r w:rsidR="00A6794A" w:rsidRPr="00D3550C">
        <w:instrText>":"</w:instrText>
      </w:r>
      <w:r w:rsidR="00A6794A">
        <w:rPr>
          <w:lang w:val="en-US"/>
        </w:rPr>
        <w:instrText>Moraleda</w:instrText>
      </w:r>
      <w:r w:rsidR="00A6794A" w:rsidRPr="00D3550C">
        <w:instrText>","</w:instrText>
      </w:r>
      <w:r w:rsidR="00A6794A">
        <w:rPr>
          <w:lang w:val="en-US"/>
        </w:rPr>
        <w:instrText>given</w:instrText>
      </w:r>
      <w:r w:rsidR="00A6794A" w:rsidRPr="00D3550C">
        <w:instrText>":"</w:instrText>
      </w:r>
      <w:r w:rsidR="00A6794A">
        <w:rPr>
          <w:lang w:val="en-US"/>
        </w:rPr>
        <w:instrText>J</w:instrText>
      </w:r>
      <w:r w:rsidR="00A6794A" w:rsidRPr="00D3550C">
        <w:instrText xml:space="preserve">. </w:instrText>
      </w:r>
      <w:r w:rsidR="00A6794A">
        <w:rPr>
          <w:lang w:val="en-US"/>
        </w:rPr>
        <w:instrText>M</w:instrText>
      </w:r>
      <w:r w:rsidR="00A6794A" w:rsidRPr="00D3550C">
        <w:instrText>.","</w:instrText>
      </w:r>
      <w:r w:rsidR="00A6794A">
        <w:rPr>
          <w:lang w:val="en-US"/>
        </w:rPr>
        <w:instrText>non</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parse</w:instrText>
      </w:r>
      <w:r w:rsidR="00A6794A" w:rsidRPr="00D3550C">
        <w:instrText>-</w:instrText>
      </w:r>
      <w:r w:rsidR="00A6794A">
        <w:rPr>
          <w:lang w:val="en-US"/>
        </w:rPr>
        <w:instrText>names</w:instrText>
      </w:r>
      <w:r w:rsidR="00A6794A" w:rsidRPr="00D3550C">
        <w:instrText>":</w:instrText>
      </w:r>
      <w:r w:rsidR="00A6794A">
        <w:rPr>
          <w:lang w:val="en-US"/>
        </w:rPr>
        <w:instrText>false</w:instrText>
      </w:r>
      <w:r w:rsidR="00A6794A" w:rsidRPr="00D3550C">
        <w:instrText>,"</w:instrText>
      </w:r>
      <w:r w:rsidR="00A6794A">
        <w:rPr>
          <w:lang w:val="en-US"/>
        </w:rPr>
        <w:instrText>suffix</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family</w:instrText>
      </w:r>
      <w:r w:rsidR="00A6794A" w:rsidRPr="00D3550C">
        <w:instrText>":"</w:instrText>
      </w:r>
      <w:r w:rsidR="00A6794A">
        <w:rPr>
          <w:lang w:val="en-US"/>
        </w:rPr>
        <w:instrText>San</w:instrText>
      </w:r>
      <w:r w:rsidR="00A6794A" w:rsidRPr="00D3550C">
        <w:instrText xml:space="preserve"> </w:instrText>
      </w:r>
      <w:r w:rsidR="00A6794A">
        <w:rPr>
          <w:lang w:val="en-US"/>
        </w:rPr>
        <w:instrText>Miguel</w:instrText>
      </w:r>
      <w:r w:rsidR="00A6794A" w:rsidRPr="00D3550C">
        <w:instrText>","</w:instrText>
      </w:r>
      <w:r w:rsidR="00A6794A">
        <w:rPr>
          <w:lang w:val="en-US"/>
        </w:rPr>
        <w:instrText>given</w:instrText>
      </w:r>
      <w:r w:rsidR="00A6794A" w:rsidRPr="00D3550C">
        <w:instrText>":"</w:instrText>
      </w:r>
      <w:r w:rsidR="00A6794A">
        <w:rPr>
          <w:lang w:val="en-US"/>
        </w:rPr>
        <w:instrText>J</w:instrText>
      </w:r>
      <w:r w:rsidR="00A6794A" w:rsidRPr="00D3550C">
        <w:instrText xml:space="preserve">. </w:instrText>
      </w:r>
      <w:r w:rsidR="00A6794A">
        <w:rPr>
          <w:lang w:val="en-US"/>
        </w:rPr>
        <w:instrText>F</w:instrText>
      </w:r>
      <w:r w:rsidR="00A6794A" w:rsidRPr="00D3550C">
        <w:instrText>.","</w:instrText>
      </w:r>
      <w:r w:rsidR="00A6794A">
        <w:rPr>
          <w:lang w:val="en-US"/>
        </w:rPr>
        <w:instrText>non</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parse</w:instrText>
      </w:r>
      <w:r w:rsidR="00A6794A" w:rsidRPr="00D3550C">
        <w:instrText>-</w:instrText>
      </w:r>
      <w:r w:rsidR="00A6794A">
        <w:rPr>
          <w:lang w:val="en-US"/>
        </w:rPr>
        <w:instrText>names</w:instrText>
      </w:r>
      <w:r w:rsidR="00A6794A" w:rsidRPr="00D3550C">
        <w:instrText>":</w:instrText>
      </w:r>
      <w:r w:rsidR="00A6794A">
        <w:rPr>
          <w:lang w:val="en-US"/>
        </w:rPr>
        <w:instrText>false</w:instrText>
      </w:r>
      <w:r w:rsidR="00A6794A" w:rsidRPr="00D3550C">
        <w:instrText>,"</w:instrText>
      </w:r>
      <w:r w:rsidR="00A6794A">
        <w:rPr>
          <w:lang w:val="en-US"/>
        </w:rPr>
        <w:instrText>suffix</w:instrText>
      </w:r>
      <w:r w:rsidR="00A6794A" w:rsidRPr="00D3550C">
        <w:instrText>":""}],"</w:instrText>
      </w:r>
      <w:r w:rsidR="00A6794A">
        <w:rPr>
          <w:lang w:val="en-US"/>
        </w:rPr>
        <w:instrText>container</w:instrText>
      </w:r>
      <w:r w:rsidR="00A6794A" w:rsidRPr="00D3550C">
        <w:instrText>-</w:instrText>
      </w:r>
      <w:r w:rsidR="00A6794A">
        <w:rPr>
          <w:lang w:val="en-US"/>
        </w:rPr>
        <w:instrText>title</w:instrText>
      </w:r>
      <w:r w:rsidR="00A6794A" w:rsidRPr="00D3550C">
        <w:instrText>":"</w:instrText>
      </w:r>
      <w:r w:rsidR="00A6794A">
        <w:rPr>
          <w:lang w:val="en-US"/>
        </w:rPr>
        <w:instrText>Bone</w:instrText>
      </w:r>
      <w:r w:rsidR="00A6794A" w:rsidRPr="00D3550C">
        <w:instrText xml:space="preserve"> </w:instrText>
      </w:r>
      <w:r w:rsidR="00A6794A">
        <w:rPr>
          <w:lang w:val="en-US"/>
        </w:rPr>
        <w:instrText>marrow</w:instrText>
      </w:r>
      <w:r w:rsidR="00A6794A" w:rsidRPr="00D3550C">
        <w:instrText xml:space="preserve"> </w:instrText>
      </w:r>
      <w:r w:rsidR="00A6794A">
        <w:rPr>
          <w:lang w:val="en-US"/>
        </w:rPr>
        <w:instrText>transplantation</w:instrText>
      </w:r>
      <w:r w:rsidR="00A6794A" w:rsidRPr="00D3550C">
        <w:instrText>","</w:instrText>
      </w:r>
      <w:r w:rsidR="00A6794A">
        <w:rPr>
          <w:lang w:val="en-US"/>
        </w:rPr>
        <w:instrText>id</w:instrText>
      </w:r>
      <w:r w:rsidR="00A6794A" w:rsidRPr="00D3550C">
        <w:instrText>":"</w:instrText>
      </w:r>
      <w:r w:rsidR="00A6794A">
        <w:rPr>
          <w:lang w:val="en-US"/>
        </w:rPr>
        <w:instrText>ITEM</w:instrText>
      </w:r>
      <w:r w:rsidR="00A6794A" w:rsidRPr="00D3550C">
        <w:instrText>-5","</w:instrText>
      </w:r>
      <w:r w:rsidR="00A6794A">
        <w:rPr>
          <w:lang w:val="en-US"/>
        </w:rPr>
        <w:instrText>issue</w:instrText>
      </w:r>
      <w:r w:rsidR="00A6794A" w:rsidRPr="00D3550C">
        <w:instrText>":"6","</w:instrText>
      </w:r>
      <w:r w:rsidR="00A6794A">
        <w:rPr>
          <w:lang w:val="en-US"/>
        </w:rPr>
        <w:instrText>issued</w:instrText>
      </w:r>
      <w:r w:rsidR="00A6794A" w:rsidRPr="00D3550C">
        <w:instrText>":{"</w:instrText>
      </w:r>
      <w:r w:rsidR="00A6794A">
        <w:rPr>
          <w:lang w:val="en-US"/>
        </w:rPr>
        <w:instrText>date</w:instrText>
      </w:r>
      <w:r w:rsidR="00A6794A" w:rsidRPr="00D3550C">
        <w:instrText>-</w:instrText>
      </w:r>
      <w:r w:rsidR="00A6794A">
        <w:rPr>
          <w:lang w:val="en-US"/>
        </w:rPr>
        <w:instrText>parts</w:instrText>
      </w:r>
      <w:r w:rsidR="00A6794A" w:rsidRPr="00D3550C">
        <w:instrText>":[["1997","9","2"]]},"</w:instrText>
      </w:r>
      <w:r w:rsidR="00A6794A">
        <w:rPr>
          <w:lang w:val="en-US"/>
        </w:rPr>
        <w:instrText>publisher</w:instrText>
      </w:r>
      <w:r w:rsidR="00A6794A" w:rsidRPr="00D3550C">
        <w:instrText>":"</w:instrText>
      </w:r>
      <w:r w:rsidR="00A6794A">
        <w:rPr>
          <w:lang w:val="en-US"/>
        </w:rPr>
        <w:instrText>Bone</w:instrText>
      </w:r>
      <w:r w:rsidR="00A6794A" w:rsidRPr="00D3550C">
        <w:instrText xml:space="preserve"> </w:instrText>
      </w:r>
      <w:r w:rsidR="00A6794A">
        <w:rPr>
          <w:lang w:val="en-US"/>
        </w:rPr>
        <w:instrText>Marrow</w:instrText>
      </w:r>
      <w:r w:rsidR="00A6794A" w:rsidRPr="00D3550C">
        <w:instrText xml:space="preserve"> </w:instrText>
      </w:r>
      <w:r w:rsidR="00A6794A">
        <w:rPr>
          <w:lang w:val="en-US"/>
        </w:rPr>
        <w:instrText>Transplant</w:instrText>
      </w:r>
      <w:r w:rsidR="00A6794A" w:rsidRPr="00D3550C">
        <w:instrText>","</w:instrText>
      </w:r>
      <w:r w:rsidR="00A6794A">
        <w:rPr>
          <w:lang w:val="en-US"/>
        </w:rPr>
        <w:instrText>title</w:instrText>
      </w:r>
      <w:r w:rsidR="00A6794A" w:rsidRPr="00D3550C">
        <w:instrText>":"</w:instrText>
      </w:r>
      <w:r w:rsidR="00A6794A">
        <w:rPr>
          <w:lang w:val="en-US"/>
        </w:rPr>
        <w:instrText>BEAM</w:instrText>
      </w:r>
      <w:r w:rsidR="00A6794A" w:rsidRPr="00D3550C">
        <w:instrText xml:space="preserve"> </w:instrText>
      </w:r>
      <w:r w:rsidR="00A6794A">
        <w:rPr>
          <w:lang w:val="en-US"/>
        </w:rPr>
        <w:instrText>chemotherapy</w:instrText>
      </w:r>
      <w:r w:rsidR="00A6794A" w:rsidRPr="00D3550C">
        <w:instrText xml:space="preserve"> </w:instrText>
      </w:r>
      <w:r w:rsidR="00A6794A">
        <w:rPr>
          <w:lang w:val="en-US"/>
        </w:rPr>
        <w:instrText>followed</w:instrText>
      </w:r>
      <w:r w:rsidR="00A6794A" w:rsidRPr="00D3550C">
        <w:instrText xml:space="preserve"> </w:instrText>
      </w:r>
      <w:r w:rsidR="00A6794A">
        <w:rPr>
          <w:lang w:val="en-US"/>
        </w:rPr>
        <w:instrText>by</w:instrText>
      </w:r>
      <w:r w:rsidR="00A6794A" w:rsidRPr="00D3550C">
        <w:instrText xml:space="preserve"> </w:instrText>
      </w:r>
      <w:r w:rsidR="00A6794A">
        <w:rPr>
          <w:lang w:val="en-US"/>
        </w:rPr>
        <w:instrText>autologous</w:instrText>
      </w:r>
      <w:r w:rsidR="00A6794A" w:rsidRPr="00D3550C">
        <w:instrText xml:space="preserve"> </w:instrText>
      </w:r>
      <w:r w:rsidR="00A6794A">
        <w:rPr>
          <w:lang w:val="en-US"/>
        </w:rPr>
        <w:instrText>stem</w:instrText>
      </w:r>
      <w:r w:rsidR="00A6794A" w:rsidRPr="00D3550C">
        <w:instrText xml:space="preserve"> </w:instrText>
      </w:r>
      <w:r w:rsidR="00A6794A">
        <w:rPr>
          <w:lang w:val="en-US"/>
        </w:rPr>
        <w:instrText>cell</w:instrText>
      </w:r>
      <w:r w:rsidR="00A6794A" w:rsidRPr="00D3550C">
        <w:instrText xml:space="preserve"> </w:instrText>
      </w:r>
      <w:r w:rsidR="00A6794A">
        <w:rPr>
          <w:lang w:val="en-US"/>
        </w:rPr>
        <w:instrText>support</w:instrText>
      </w:r>
      <w:r w:rsidR="00A6794A" w:rsidRPr="00D3550C">
        <w:instrText xml:space="preserve"> </w:instrText>
      </w:r>
      <w:r w:rsidR="00A6794A">
        <w:rPr>
          <w:lang w:val="en-US"/>
        </w:rPr>
        <w:instrText>in</w:instrText>
      </w:r>
      <w:r w:rsidR="00A6794A" w:rsidRPr="00D3550C">
        <w:instrText xml:space="preserve"> </w:instrText>
      </w:r>
      <w:r w:rsidR="00A6794A">
        <w:rPr>
          <w:lang w:val="en-US"/>
        </w:rPr>
        <w:instrText>lymphoma</w:instrText>
      </w:r>
      <w:r w:rsidR="00A6794A" w:rsidRPr="00D3550C">
        <w:instrText xml:space="preserve"> </w:instrText>
      </w:r>
      <w:r w:rsidR="00A6794A">
        <w:rPr>
          <w:lang w:val="en-US"/>
        </w:rPr>
        <w:instrText>patients</w:instrText>
      </w:r>
      <w:r w:rsidR="00A6794A" w:rsidRPr="00D3550C">
        <w:instrText xml:space="preserve">: </w:instrText>
      </w:r>
      <w:r w:rsidR="00A6794A">
        <w:rPr>
          <w:lang w:val="en-US"/>
        </w:rPr>
        <w:instrText>analysis</w:instrText>
      </w:r>
      <w:r w:rsidR="00A6794A" w:rsidRPr="00D3550C">
        <w:instrText xml:space="preserve"> </w:instrText>
      </w:r>
      <w:r w:rsidR="00A6794A">
        <w:rPr>
          <w:lang w:val="en-US"/>
        </w:rPr>
        <w:instrText>of</w:instrText>
      </w:r>
      <w:r w:rsidR="00A6794A" w:rsidRPr="00D3550C">
        <w:instrText xml:space="preserve"> </w:instrText>
      </w:r>
      <w:r w:rsidR="00A6794A">
        <w:rPr>
          <w:lang w:val="en-US"/>
        </w:rPr>
        <w:instrText>efficacy</w:instrText>
      </w:r>
      <w:r w:rsidR="00A6794A" w:rsidRPr="00D3550C">
        <w:instrText xml:space="preserve">, </w:instrText>
      </w:r>
      <w:r w:rsidR="00A6794A">
        <w:rPr>
          <w:lang w:val="en-US"/>
        </w:rPr>
        <w:instrText>toxicity</w:instrText>
      </w:r>
      <w:r w:rsidR="00A6794A" w:rsidRPr="00D3550C">
        <w:instrText xml:space="preserve"> </w:instrText>
      </w:r>
      <w:r w:rsidR="00A6794A">
        <w:rPr>
          <w:lang w:val="en-US"/>
        </w:rPr>
        <w:instrText>and</w:instrText>
      </w:r>
      <w:r w:rsidR="00A6794A" w:rsidRPr="00D3550C">
        <w:instrText xml:space="preserve"> </w:instrText>
      </w:r>
      <w:r w:rsidR="00A6794A">
        <w:rPr>
          <w:lang w:val="en-US"/>
        </w:rPr>
        <w:instrText>prognostic</w:instrText>
      </w:r>
      <w:r w:rsidR="00A6794A" w:rsidRPr="00D3550C">
        <w:instrText xml:space="preserve"> </w:instrText>
      </w:r>
      <w:r w:rsidR="00A6794A">
        <w:rPr>
          <w:lang w:val="en-US"/>
        </w:rPr>
        <w:instrText>factors</w:instrText>
      </w:r>
      <w:r w:rsidR="00A6794A" w:rsidRPr="00D3550C">
        <w:instrText>","</w:instrText>
      </w:r>
      <w:r w:rsidR="00A6794A">
        <w:rPr>
          <w:lang w:val="en-US"/>
        </w:rPr>
        <w:instrText>type</w:instrText>
      </w:r>
      <w:r w:rsidR="00A6794A" w:rsidRPr="00D3550C">
        <w:instrText>":"</w:instrText>
      </w:r>
      <w:r w:rsidR="00A6794A">
        <w:rPr>
          <w:lang w:val="en-US"/>
        </w:rPr>
        <w:instrText>article</w:instrText>
      </w:r>
      <w:r w:rsidR="00A6794A" w:rsidRPr="00D3550C">
        <w:instrText>-</w:instrText>
      </w:r>
      <w:r w:rsidR="00A6794A">
        <w:rPr>
          <w:lang w:val="en-US"/>
        </w:rPr>
        <w:instrText>journal</w:instrText>
      </w:r>
      <w:r w:rsidR="00A6794A" w:rsidRPr="00D3550C">
        <w:instrText>","</w:instrText>
      </w:r>
      <w:r w:rsidR="00A6794A">
        <w:rPr>
          <w:lang w:val="en-US"/>
        </w:rPr>
        <w:instrText>volume</w:instrText>
      </w:r>
      <w:r w:rsidR="00A6794A" w:rsidRPr="00D3550C">
        <w:instrText>":"20"},"</w:instrText>
      </w:r>
      <w:r w:rsidR="00A6794A">
        <w:rPr>
          <w:lang w:val="en-US"/>
        </w:rPr>
        <w:instrText>uris</w:instrText>
      </w:r>
      <w:r w:rsidR="00A6794A" w:rsidRPr="00D3550C">
        <w:instrText>":["</w:instrText>
      </w:r>
      <w:r w:rsidR="00A6794A">
        <w:rPr>
          <w:lang w:val="en-US"/>
        </w:rPr>
        <w:instrText>http</w:instrText>
      </w:r>
      <w:r w:rsidR="00A6794A" w:rsidRPr="00D3550C">
        <w:instrText>://</w:instrText>
      </w:r>
      <w:r w:rsidR="00A6794A">
        <w:rPr>
          <w:lang w:val="en-US"/>
        </w:rPr>
        <w:instrText>www</w:instrText>
      </w:r>
      <w:r w:rsidR="00A6794A" w:rsidRPr="00D3550C">
        <w:instrText>.</w:instrText>
      </w:r>
      <w:r w:rsidR="00A6794A">
        <w:rPr>
          <w:lang w:val="en-US"/>
        </w:rPr>
        <w:instrText>mendeley</w:instrText>
      </w:r>
      <w:r w:rsidR="00A6794A" w:rsidRPr="00D3550C">
        <w:instrText>.</w:instrText>
      </w:r>
      <w:r w:rsidR="00A6794A">
        <w:rPr>
          <w:lang w:val="en-US"/>
        </w:rPr>
        <w:instrText>com</w:instrText>
      </w:r>
      <w:r w:rsidR="00A6794A" w:rsidRPr="00D3550C">
        <w:instrText>/</w:instrText>
      </w:r>
      <w:r w:rsidR="00A6794A">
        <w:rPr>
          <w:lang w:val="en-US"/>
        </w:rPr>
        <w:instrText>documents</w:instrText>
      </w:r>
      <w:r w:rsidR="00A6794A" w:rsidRPr="00D3550C">
        <w:instrText>/?</w:instrText>
      </w:r>
      <w:r w:rsidR="00A6794A">
        <w:rPr>
          <w:lang w:val="en-US"/>
        </w:rPr>
        <w:instrText>uuid</w:instrText>
      </w:r>
      <w:r w:rsidR="00A6794A" w:rsidRPr="00D3550C">
        <w:instrText>=</w:instrText>
      </w:r>
      <w:r w:rsidR="00A6794A">
        <w:rPr>
          <w:lang w:val="en-US"/>
        </w:rPr>
        <w:instrText>fd</w:instrText>
      </w:r>
      <w:r w:rsidR="00A6794A" w:rsidRPr="00D3550C">
        <w:instrText>968</w:instrText>
      </w:r>
      <w:r w:rsidR="00A6794A">
        <w:rPr>
          <w:lang w:val="en-US"/>
        </w:rPr>
        <w:instrText>b</w:instrText>
      </w:r>
      <w:r w:rsidR="00A6794A" w:rsidRPr="00D3550C">
        <w:instrText>64-</w:instrText>
      </w:r>
      <w:r w:rsidR="00A6794A">
        <w:rPr>
          <w:lang w:val="en-US"/>
        </w:rPr>
        <w:instrText>ae</w:instrText>
      </w:r>
      <w:r w:rsidR="00A6794A" w:rsidRPr="00D3550C">
        <w:instrText>15-463</w:instrText>
      </w:r>
      <w:r w:rsidR="00A6794A">
        <w:rPr>
          <w:lang w:val="en-US"/>
        </w:rPr>
        <w:instrText>a</w:instrText>
      </w:r>
      <w:r w:rsidR="00A6794A" w:rsidRPr="00D3550C">
        <w:instrText>-81</w:instrText>
      </w:r>
      <w:r w:rsidR="00A6794A">
        <w:rPr>
          <w:lang w:val="en-US"/>
        </w:rPr>
        <w:instrText>f</w:instrText>
      </w:r>
      <w:r w:rsidR="00A6794A" w:rsidRPr="00D3550C">
        <w:instrText>8-6</w:instrText>
      </w:r>
      <w:r w:rsidR="00A6794A">
        <w:rPr>
          <w:lang w:val="en-US"/>
        </w:rPr>
        <w:instrText>f</w:instrText>
      </w:r>
      <w:r w:rsidR="00A6794A" w:rsidRPr="00D3550C">
        <w:instrText>36410</w:instrText>
      </w:r>
      <w:r w:rsidR="00A6794A">
        <w:rPr>
          <w:lang w:val="en-US"/>
        </w:rPr>
        <w:instrText>e</w:instrText>
      </w:r>
      <w:r w:rsidR="00A6794A" w:rsidRPr="00D3550C">
        <w:instrText>0</w:instrText>
      </w:r>
      <w:r w:rsidR="00A6794A">
        <w:rPr>
          <w:lang w:val="en-US"/>
        </w:rPr>
        <w:instrText>f</w:instrText>
      </w:r>
      <w:r w:rsidR="00A6794A" w:rsidRPr="00D3550C">
        <w:instrText>73"]}],"</w:instrText>
      </w:r>
      <w:r w:rsidR="00A6794A">
        <w:rPr>
          <w:lang w:val="en-US"/>
        </w:rPr>
        <w:instrText>mendeley</w:instrText>
      </w:r>
      <w:r w:rsidR="00A6794A" w:rsidRPr="00D3550C">
        <w:instrText>":{"</w:instrText>
      </w:r>
      <w:r w:rsidR="00A6794A">
        <w:rPr>
          <w:lang w:val="en-US"/>
        </w:rPr>
        <w:instrText>formattedCitation</w:instrText>
      </w:r>
      <w:r w:rsidR="00A6794A" w:rsidRPr="00D3550C">
        <w:instrText>":"[231–235]","</w:instrText>
      </w:r>
      <w:r w:rsidR="00A6794A">
        <w:rPr>
          <w:lang w:val="en-US"/>
        </w:rPr>
        <w:instrText>plainTextFormattedCitation</w:instrText>
      </w:r>
      <w:r w:rsidR="00A6794A" w:rsidRPr="00D3550C">
        <w:instrText>":"[231–235]","</w:instrText>
      </w:r>
      <w:r w:rsidR="00A6794A">
        <w:rPr>
          <w:lang w:val="en-US"/>
        </w:rPr>
        <w:instrText>previouslyFormattedCitation</w:instrText>
      </w:r>
      <w:r w:rsidR="00A6794A" w:rsidRPr="00D3550C">
        <w:instrText>":"[231–235]"},"</w:instrText>
      </w:r>
      <w:r w:rsidR="00A6794A">
        <w:rPr>
          <w:lang w:val="en-US"/>
        </w:rPr>
        <w:instrText>properties</w:instrText>
      </w:r>
      <w:r w:rsidR="00A6794A" w:rsidRPr="00D3550C">
        <w:instrText>":{"</w:instrText>
      </w:r>
      <w:r w:rsidR="00A6794A">
        <w:rPr>
          <w:lang w:val="en-US"/>
        </w:rPr>
        <w:instrText>noteIndex</w:instrText>
      </w:r>
      <w:r w:rsidR="00A6794A" w:rsidRPr="00D3550C">
        <w:instrText>":0},"</w:instrText>
      </w:r>
      <w:r w:rsidR="00A6794A">
        <w:rPr>
          <w:lang w:val="en-US"/>
        </w:rPr>
        <w:instrText>schema</w:instrText>
      </w:r>
      <w:r w:rsidR="00A6794A" w:rsidRPr="00D3550C">
        <w:instrText>":"</w:instrText>
      </w:r>
      <w:r w:rsidR="00A6794A">
        <w:rPr>
          <w:lang w:val="en-US"/>
        </w:rPr>
        <w:instrText>https</w:instrText>
      </w:r>
      <w:r w:rsidR="00A6794A" w:rsidRPr="00D3550C">
        <w:instrText>://</w:instrText>
      </w:r>
      <w:r w:rsidR="00A6794A">
        <w:rPr>
          <w:lang w:val="en-US"/>
        </w:rPr>
        <w:instrText>github</w:instrText>
      </w:r>
      <w:r w:rsidR="00A6794A" w:rsidRPr="00D3550C">
        <w:instrText>.</w:instrText>
      </w:r>
      <w:r w:rsidR="00A6794A">
        <w:rPr>
          <w:lang w:val="en-US"/>
        </w:rPr>
        <w:instrText>com</w:instrText>
      </w:r>
      <w:r w:rsidR="00A6794A" w:rsidRPr="00D3550C">
        <w:instrText>/</w:instrText>
      </w:r>
      <w:r w:rsidR="00A6794A">
        <w:rPr>
          <w:lang w:val="en-US"/>
        </w:rPr>
        <w:instrText>citation</w:instrText>
      </w:r>
      <w:r w:rsidR="00A6794A" w:rsidRPr="00D3550C">
        <w:instrText>-</w:instrText>
      </w:r>
      <w:r w:rsidR="00A6794A">
        <w:rPr>
          <w:lang w:val="en-US"/>
        </w:rPr>
        <w:instrText>style</w:instrText>
      </w:r>
      <w:r w:rsidR="00A6794A" w:rsidRPr="00D3550C">
        <w:instrText>-</w:instrText>
      </w:r>
      <w:r w:rsidR="00A6794A">
        <w:rPr>
          <w:lang w:val="en-US"/>
        </w:rPr>
        <w:instrText>language</w:instrText>
      </w:r>
      <w:r w:rsidR="00A6794A" w:rsidRPr="00D3550C">
        <w:instrText>/</w:instrText>
      </w:r>
      <w:r w:rsidR="00A6794A">
        <w:rPr>
          <w:lang w:val="en-US"/>
        </w:rPr>
        <w:instrText>schema</w:instrText>
      </w:r>
      <w:r w:rsidR="00A6794A" w:rsidRPr="00D3550C">
        <w:instrText>/</w:instrText>
      </w:r>
      <w:r w:rsidR="00A6794A">
        <w:rPr>
          <w:lang w:val="en-US"/>
        </w:rPr>
        <w:instrText>raw</w:instrText>
      </w:r>
      <w:r w:rsidR="00A6794A" w:rsidRPr="00D3550C">
        <w:instrText>/</w:instrText>
      </w:r>
      <w:r w:rsidR="00A6794A">
        <w:rPr>
          <w:lang w:val="en-US"/>
        </w:rPr>
        <w:instrText>master</w:instrText>
      </w:r>
      <w:r w:rsidR="00A6794A" w:rsidRPr="00D3550C">
        <w:instrText>/</w:instrText>
      </w:r>
      <w:r w:rsidR="00A6794A">
        <w:rPr>
          <w:lang w:val="en-US"/>
        </w:rPr>
        <w:instrText>csl</w:instrText>
      </w:r>
      <w:r w:rsidR="00A6794A" w:rsidRPr="00D3550C">
        <w:instrText>-</w:instrText>
      </w:r>
      <w:r w:rsidR="00A6794A">
        <w:rPr>
          <w:lang w:val="en-US"/>
        </w:rPr>
        <w:instrText>citation</w:instrText>
      </w:r>
      <w:r w:rsidR="00A6794A" w:rsidRPr="00D3550C">
        <w:instrText>.</w:instrText>
      </w:r>
      <w:r w:rsidR="00A6794A">
        <w:rPr>
          <w:lang w:val="en-US"/>
        </w:rPr>
        <w:instrText>json</w:instrText>
      </w:r>
      <w:r w:rsidR="00A6794A" w:rsidRPr="00D3550C">
        <w:instrText>"}</w:instrText>
      </w:r>
      <w:r w:rsidRPr="006E60A8">
        <w:rPr>
          <w:lang w:val="en-US"/>
        </w:rPr>
        <w:fldChar w:fldCharType="separate"/>
      </w:r>
      <w:r w:rsidR="006E1902" w:rsidRPr="006E1902">
        <w:rPr>
          <w:noProof/>
        </w:rPr>
        <w:t>[231–235]</w:t>
      </w:r>
      <w:r w:rsidRPr="006E60A8">
        <w:rPr>
          <w:lang w:val="en-US"/>
        </w:rPr>
        <w:fldChar w:fldCharType="end"/>
      </w:r>
    </w:p>
    <w:tbl>
      <w:tblPr>
        <w:tblStyle w:val="aff9"/>
        <w:tblW w:w="0" w:type="auto"/>
        <w:tblInd w:w="108" w:type="dxa"/>
        <w:tblLayout w:type="fixed"/>
        <w:tblLook w:val="04A0" w:firstRow="1" w:lastRow="0" w:firstColumn="1" w:lastColumn="0" w:noHBand="0" w:noVBand="1"/>
      </w:tblPr>
      <w:tblGrid>
        <w:gridCol w:w="1418"/>
        <w:gridCol w:w="1701"/>
        <w:gridCol w:w="1134"/>
        <w:gridCol w:w="1276"/>
        <w:gridCol w:w="1275"/>
        <w:gridCol w:w="2659"/>
      </w:tblGrid>
      <w:tr w:rsidR="0049053C" w:rsidRPr="00BA4F0F" w14:paraId="3D653911" w14:textId="77777777" w:rsidTr="003D0E86">
        <w:tc>
          <w:tcPr>
            <w:tcW w:w="1418" w:type="dxa"/>
          </w:tcPr>
          <w:p w14:paraId="67046328" w14:textId="77777777" w:rsidR="0049053C" w:rsidRPr="00BA4F0F" w:rsidRDefault="0049053C" w:rsidP="00325BC4">
            <w:pPr>
              <w:pStyle w:val="afe"/>
              <w:ind w:left="0" w:firstLine="0"/>
              <w:rPr>
                <w:rFonts w:cs="Times New Roman"/>
                <w:szCs w:val="24"/>
              </w:rPr>
            </w:pPr>
            <w:r w:rsidRPr="00BA4F0F">
              <w:rPr>
                <w:rFonts w:cs="Times New Roman"/>
                <w:szCs w:val="24"/>
              </w:rPr>
              <w:t>Препарат</w:t>
            </w:r>
          </w:p>
        </w:tc>
        <w:tc>
          <w:tcPr>
            <w:tcW w:w="1701" w:type="dxa"/>
          </w:tcPr>
          <w:p w14:paraId="2E5CE34D" w14:textId="77777777" w:rsidR="0049053C" w:rsidRPr="00BA4F0F" w:rsidRDefault="0049053C" w:rsidP="00325BC4">
            <w:pPr>
              <w:pStyle w:val="afe"/>
              <w:ind w:left="0" w:firstLine="0"/>
              <w:rPr>
                <w:rFonts w:cs="Times New Roman"/>
                <w:szCs w:val="24"/>
              </w:rPr>
            </w:pPr>
            <w:r w:rsidRPr="00BA4F0F">
              <w:rPr>
                <w:rFonts w:cs="Times New Roman"/>
                <w:szCs w:val="24"/>
              </w:rPr>
              <w:t>Дни введения перед ауто-ТГСК</w:t>
            </w:r>
          </w:p>
        </w:tc>
        <w:tc>
          <w:tcPr>
            <w:tcW w:w="1134" w:type="dxa"/>
          </w:tcPr>
          <w:p w14:paraId="3C88DEC9" w14:textId="77777777" w:rsidR="0049053C" w:rsidRPr="00BA4F0F" w:rsidRDefault="0049053C" w:rsidP="00325BC4">
            <w:pPr>
              <w:pStyle w:val="afe"/>
              <w:ind w:left="0" w:firstLine="0"/>
              <w:rPr>
                <w:rFonts w:cs="Times New Roman"/>
                <w:szCs w:val="24"/>
              </w:rPr>
            </w:pPr>
            <w:r w:rsidRPr="00BA4F0F">
              <w:rPr>
                <w:rFonts w:cs="Times New Roman"/>
                <w:szCs w:val="24"/>
              </w:rPr>
              <w:t>Разовая доза</w:t>
            </w:r>
          </w:p>
        </w:tc>
        <w:tc>
          <w:tcPr>
            <w:tcW w:w="1276" w:type="dxa"/>
          </w:tcPr>
          <w:p w14:paraId="69D78861" w14:textId="77777777" w:rsidR="0049053C" w:rsidRPr="00BA4F0F" w:rsidRDefault="0049053C" w:rsidP="00325BC4">
            <w:pPr>
              <w:pStyle w:val="afe"/>
              <w:ind w:left="0" w:firstLine="0"/>
              <w:rPr>
                <w:rFonts w:cs="Times New Roman"/>
                <w:szCs w:val="24"/>
              </w:rPr>
            </w:pPr>
            <w:r w:rsidRPr="00BA4F0F">
              <w:rPr>
                <w:rFonts w:cs="Times New Roman"/>
                <w:szCs w:val="24"/>
              </w:rPr>
              <w:t>Суточная доза</w:t>
            </w:r>
          </w:p>
        </w:tc>
        <w:tc>
          <w:tcPr>
            <w:tcW w:w="1275" w:type="dxa"/>
          </w:tcPr>
          <w:p w14:paraId="0C97D665" w14:textId="77777777" w:rsidR="0049053C" w:rsidRPr="00BA4F0F" w:rsidRDefault="0049053C" w:rsidP="00325BC4">
            <w:pPr>
              <w:pStyle w:val="afe"/>
              <w:ind w:left="0" w:firstLine="0"/>
              <w:rPr>
                <w:rFonts w:cs="Times New Roman"/>
                <w:szCs w:val="24"/>
              </w:rPr>
            </w:pPr>
            <w:r w:rsidRPr="00BA4F0F">
              <w:rPr>
                <w:rFonts w:cs="Times New Roman"/>
                <w:szCs w:val="24"/>
              </w:rPr>
              <w:t>Курсовая доза</w:t>
            </w:r>
          </w:p>
        </w:tc>
        <w:tc>
          <w:tcPr>
            <w:tcW w:w="2659" w:type="dxa"/>
          </w:tcPr>
          <w:p w14:paraId="38089C69" w14:textId="77777777" w:rsidR="0049053C" w:rsidRPr="00BA4F0F" w:rsidRDefault="0049053C" w:rsidP="00325BC4">
            <w:pPr>
              <w:pStyle w:val="afe"/>
              <w:ind w:left="0" w:firstLine="0"/>
              <w:rPr>
                <w:rFonts w:cs="Times New Roman"/>
                <w:szCs w:val="24"/>
              </w:rPr>
            </w:pPr>
            <w:r w:rsidRPr="00BA4F0F">
              <w:rPr>
                <w:rFonts w:cs="Times New Roman"/>
                <w:szCs w:val="24"/>
              </w:rPr>
              <w:t>Особенности введения</w:t>
            </w:r>
          </w:p>
        </w:tc>
      </w:tr>
      <w:tr w:rsidR="0049053C" w:rsidRPr="00BA4F0F" w14:paraId="2593A7F8" w14:textId="77777777" w:rsidTr="003D0E86">
        <w:tc>
          <w:tcPr>
            <w:tcW w:w="1418" w:type="dxa"/>
          </w:tcPr>
          <w:p w14:paraId="6F4B219B" w14:textId="77777777" w:rsidR="0049053C" w:rsidRPr="00BA4F0F" w:rsidRDefault="0049053C" w:rsidP="00325BC4">
            <w:pPr>
              <w:pStyle w:val="afe"/>
              <w:ind w:left="0" w:firstLine="0"/>
              <w:jc w:val="center"/>
              <w:rPr>
                <w:rFonts w:cs="Times New Roman"/>
                <w:szCs w:val="24"/>
              </w:rPr>
            </w:pPr>
            <w:r w:rsidRPr="00BA4F0F">
              <w:rPr>
                <w:rFonts w:cs="Times New Roman"/>
                <w:szCs w:val="24"/>
              </w:rPr>
              <w:t>Кармустин</w:t>
            </w:r>
          </w:p>
        </w:tc>
        <w:tc>
          <w:tcPr>
            <w:tcW w:w="1701" w:type="dxa"/>
          </w:tcPr>
          <w:p w14:paraId="30552EBF" w14:textId="77777777" w:rsidR="0049053C" w:rsidRPr="00BA4F0F" w:rsidRDefault="0049053C" w:rsidP="00325BC4">
            <w:pPr>
              <w:pStyle w:val="afe"/>
              <w:ind w:left="0" w:firstLine="0"/>
              <w:jc w:val="center"/>
              <w:rPr>
                <w:rFonts w:cs="Times New Roman"/>
                <w:szCs w:val="24"/>
              </w:rPr>
            </w:pPr>
            <w:r w:rsidRPr="00BA4F0F">
              <w:rPr>
                <w:rFonts w:cs="Times New Roman"/>
                <w:szCs w:val="24"/>
              </w:rPr>
              <w:t>-6 день</w:t>
            </w:r>
          </w:p>
        </w:tc>
        <w:tc>
          <w:tcPr>
            <w:tcW w:w="1134" w:type="dxa"/>
          </w:tcPr>
          <w:p w14:paraId="4EEF1D8B" w14:textId="77777777" w:rsidR="0049053C" w:rsidRPr="00BA4F0F" w:rsidRDefault="0049053C" w:rsidP="00325BC4">
            <w:pPr>
              <w:pStyle w:val="afe"/>
              <w:ind w:left="0" w:firstLine="0"/>
              <w:jc w:val="center"/>
              <w:rPr>
                <w:rFonts w:cs="Times New Roman"/>
                <w:szCs w:val="24"/>
              </w:rPr>
            </w:pPr>
            <w:r w:rsidRPr="00BA4F0F">
              <w:rPr>
                <w:rFonts w:cs="Times New Roman"/>
                <w:szCs w:val="24"/>
              </w:rPr>
              <w:t>300мг/м</w:t>
            </w:r>
            <w:r w:rsidRPr="00BA4F0F">
              <w:rPr>
                <w:rFonts w:cs="Times New Roman"/>
                <w:szCs w:val="24"/>
                <w:vertAlign w:val="superscript"/>
              </w:rPr>
              <w:t>2</w:t>
            </w:r>
          </w:p>
        </w:tc>
        <w:tc>
          <w:tcPr>
            <w:tcW w:w="1276" w:type="dxa"/>
          </w:tcPr>
          <w:p w14:paraId="464D3443" w14:textId="77777777" w:rsidR="0049053C" w:rsidRPr="00BA4F0F" w:rsidRDefault="0049053C" w:rsidP="00325BC4">
            <w:pPr>
              <w:pStyle w:val="afe"/>
              <w:ind w:left="0" w:firstLine="0"/>
              <w:jc w:val="center"/>
              <w:rPr>
                <w:rFonts w:cs="Times New Roman"/>
                <w:szCs w:val="24"/>
              </w:rPr>
            </w:pPr>
            <w:r w:rsidRPr="00BA4F0F">
              <w:rPr>
                <w:rFonts w:cs="Times New Roman"/>
                <w:szCs w:val="24"/>
              </w:rPr>
              <w:t>300 мг/м</w:t>
            </w:r>
            <w:r w:rsidRPr="00BA4F0F">
              <w:rPr>
                <w:rFonts w:cs="Times New Roman"/>
                <w:szCs w:val="24"/>
                <w:vertAlign w:val="superscript"/>
              </w:rPr>
              <w:t>2</w:t>
            </w:r>
          </w:p>
        </w:tc>
        <w:tc>
          <w:tcPr>
            <w:tcW w:w="1275" w:type="dxa"/>
          </w:tcPr>
          <w:p w14:paraId="1ADAD538" w14:textId="77777777" w:rsidR="0049053C" w:rsidRPr="00BA4F0F" w:rsidRDefault="0049053C" w:rsidP="00325BC4">
            <w:pPr>
              <w:pStyle w:val="afe"/>
              <w:ind w:left="0" w:firstLine="0"/>
              <w:jc w:val="center"/>
              <w:rPr>
                <w:rFonts w:cs="Times New Roman"/>
                <w:szCs w:val="24"/>
              </w:rPr>
            </w:pPr>
            <w:r w:rsidRPr="00BA4F0F">
              <w:rPr>
                <w:rFonts w:cs="Times New Roman"/>
                <w:szCs w:val="24"/>
              </w:rPr>
              <w:t>300 мг/м</w:t>
            </w:r>
            <w:r w:rsidRPr="00BA4F0F">
              <w:rPr>
                <w:rFonts w:cs="Times New Roman"/>
                <w:szCs w:val="24"/>
                <w:vertAlign w:val="superscript"/>
              </w:rPr>
              <w:t>2</w:t>
            </w:r>
          </w:p>
        </w:tc>
        <w:tc>
          <w:tcPr>
            <w:tcW w:w="2659" w:type="dxa"/>
          </w:tcPr>
          <w:p w14:paraId="583287E1" w14:textId="77777777" w:rsidR="0049053C" w:rsidRPr="00BA4F0F" w:rsidRDefault="0049053C" w:rsidP="00325BC4">
            <w:pPr>
              <w:pStyle w:val="afe"/>
              <w:ind w:left="0" w:firstLine="0"/>
              <w:rPr>
                <w:rFonts w:cs="Times New Roman"/>
                <w:szCs w:val="24"/>
              </w:rPr>
            </w:pPr>
            <w:r w:rsidRPr="00BA4F0F">
              <w:rPr>
                <w:rFonts w:cs="Times New Roman"/>
                <w:szCs w:val="24"/>
              </w:rPr>
              <w:t xml:space="preserve">Вводится в/в в виде инфузии в течение 2 ч в 500 мл 0,9% </w:t>
            </w:r>
            <w:r w:rsidRPr="00BA4F0F">
              <w:rPr>
                <w:rFonts w:cs="Times New Roman"/>
                <w:szCs w:val="24"/>
                <w:lang w:val="en-US"/>
              </w:rPr>
              <w:t>NaCl</w:t>
            </w:r>
          </w:p>
        </w:tc>
      </w:tr>
      <w:tr w:rsidR="0049053C" w:rsidRPr="00BA4F0F" w14:paraId="73C1A720" w14:textId="77777777" w:rsidTr="003D0E86">
        <w:tc>
          <w:tcPr>
            <w:tcW w:w="1418" w:type="dxa"/>
          </w:tcPr>
          <w:p w14:paraId="2C9F97C8" w14:textId="77777777" w:rsidR="0049053C" w:rsidRPr="00BA4F0F" w:rsidRDefault="0049053C" w:rsidP="00325BC4">
            <w:pPr>
              <w:pStyle w:val="afe"/>
              <w:ind w:left="0" w:firstLine="0"/>
              <w:jc w:val="center"/>
              <w:rPr>
                <w:rFonts w:cs="Times New Roman"/>
                <w:szCs w:val="24"/>
              </w:rPr>
            </w:pPr>
            <w:r w:rsidRPr="00BA4F0F">
              <w:rPr>
                <w:rFonts w:cs="Times New Roman"/>
                <w:szCs w:val="24"/>
              </w:rPr>
              <w:t>Этопозид</w:t>
            </w:r>
          </w:p>
        </w:tc>
        <w:tc>
          <w:tcPr>
            <w:tcW w:w="1701" w:type="dxa"/>
          </w:tcPr>
          <w:p w14:paraId="018EA076" w14:textId="77777777" w:rsidR="0049053C" w:rsidRPr="00BA4F0F" w:rsidRDefault="0049053C" w:rsidP="00325BC4">
            <w:pPr>
              <w:pStyle w:val="afe"/>
              <w:ind w:left="0" w:firstLine="0"/>
              <w:jc w:val="center"/>
              <w:rPr>
                <w:rFonts w:cs="Times New Roman"/>
                <w:szCs w:val="24"/>
              </w:rPr>
            </w:pPr>
            <w:r w:rsidRPr="00BA4F0F">
              <w:rPr>
                <w:rFonts w:cs="Times New Roman"/>
                <w:szCs w:val="24"/>
              </w:rPr>
              <w:t>-5, -4, -3, -2 дни</w:t>
            </w:r>
          </w:p>
        </w:tc>
        <w:tc>
          <w:tcPr>
            <w:tcW w:w="1134" w:type="dxa"/>
          </w:tcPr>
          <w:p w14:paraId="57AE894F" w14:textId="77777777" w:rsidR="0049053C" w:rsidRPr="00BA4F0F" w:rsidRDefault="0049053C" w:rsidP="00325BC4">
            <w:pPr>
              <w:pStyle w:val="afe"/>
              <w:ind w:left="0" w:firstLine="0"/>
              <w:jc w:val="center"/>
              <w:rPr>
                <w:rFonts w:cs="Times New Roman"/>
                <w:szCs w:val="24"/>
              </w:rPr>
            </w:pPr>
            <w:r w:rsidRPr="00BA4F0F">
              <w:rPr>
                <w:rFonts w:cs="Times New Roman"/>
                <w:szCs w:val="24"/>
              </w:rPr>
              <w:t>200мг/м</w:t>
            </w:r>
            <w:r w:rsidRPr="00BA4F0F">
              <w:rPr>
                <w:rFonts w:cs="Times New Roman"/>
                <w:szCs w:val="24"/>
                <w:vertAlign w:val="superscript"/>
              </w:rPr>
              <w:t>2</w:t>
            </w:r>
          </w:p>
        </w:tc>
        <w:tc>
          <w:tcPr>
            <w:tcW w:w="1276" w:type="dxa"/>
          </w:tcPr>
          <w:p w14:paraId="5DD68F9D" w14:textId="77777777" w:rsidR="0049053C" w:rsidRPr="00BA4F0F" w:rsidRDefault="0049053C" w:rsidP="00325BC4">
            <w:pPr>
              <w:pStyle w:val="afe"/>
              <w:ind w:left="0" w:firstLine="0"/>
              <w:jc w:val="center"/>
              <w:rPr>
                <w:rFonts w:cs="Times New Roman"/>
                <w:szCs w:val="24"/>
              </w:rPr>
            </w:pPr>
            <w:r w:rsidRPr="00BA4F0F">
              <w:rPr>
                <w:rFonts w:cs="Times New Roman"/>
                <w:szCs w:val="24"/>
              </w:rPr>
              <w:t>200 мг/м</w:t>
            </w:r>
            <w:r w:rsidRPr="00BA4F0F">
              <w:rPr>
                <w:rFonts w:cs="Times New Roman"/>
                <w:szCs w:val="24"/>
                <w:vertAlign w:val="superscript"/>
              </w:rPr>
              <w:t>2</w:t>
            </w:r>
          </w:p>
        </w:tc>
        <w:tc>
          <w:tcPr>
            <w:tcW w:w="1275" w:type="dxa"/>
          </w:tcPr>
          <w:p w14:paraId="0B505F44" w14:textId="77777777" w:rsidR="0049053C" w:rsidRPr="00BA4F0F" w:rsidRDefault="0049053C" w:rsidP="00325BC4">
            <w:pPr>
              <w:pStyle w:val="afe"/>
              <w:ind w:left="0" w:firstLine="0"/>
              <w:jc w:val="center"/>
              <w:rPr>
                <w:rFonts w:cs="Times New Roman"/>
                <w:szCs w:val="24"/>
              </w:rPr>
            </w:pPr>
            <w:r w:rsidRPr="00BA4F0F">
              <w:rPr>
                <w:rFonts w:cs="Times New Roman"/>
                <w:szCs w:val="24"/>
              </w:rPr>
              <w:t>800 мг/м</w:t>
            </w:r>
            <w:r w:rsidRPr="00BA4F0F">
              <w:rPr>
                <w:rFonts w:cs="Times New Roman"/>
                <w:szCs w:val="24"/>
                <w:vertAlign w:val="superscript"/>
              </w:rPr>
              <w:t>2</w:t>
            </w:r>
          </w:p>
        </w:tc>
        <w:tc>
          <w:tcPr>
            <w:tcW w:w="2659" w:type="dxa"/>
          </w:tcPr>
          <w:p w14:paraId="25637664" w14:textId="77777777" w:rsidR="0049053C" w:rsidRPr="00BA4F0F" w:rsidRDefault="0049053C" w:rsidP="00325BC4">
            <w:pPr>
              <w:pStyle w:val="afe"/>
              <w:ind w:left="0" w:firstLine="0"/>
              <w:rPr>
                <w:rFonts w:cs="Times New Roman"/>
                <w:szCs w:val="24"/>
              </w:rPr>
            </w:pPr>
            <w:r w:rsidRPr="00BA4F0F">
              <w:rPr>
                <w:rFonts w:cs="Times New Roman"/>
                <w:szCs w:val="24"/>
              </w:rPr>
              <w:t xml:space="preserve">Вводится в/в в виде инфузии в течение 30 минут в 500 мл 0,9% </w:t>
            </w:r>
            <w:r w:rsidRPr="00BA4F0F">
              <w:rPr>
                <w:rFonts w:cs="Times New Roman"/>
                <w:szCs w:val="24"/>
                <w:lang w:val="en-US"/>
              </w:rPr>
              <w:t>NaCl</w:t>
            </w:r>
          </w:p>
        </w:tc>
      </w:tr>
      <w:tr w:rsidR="0049053C" w:rsidRPr="00BA4F0F" w14:paraId="1345B164" w14:textId="77777777" w:rsidTr="003D0E86">
        <w:tc>
          <w:tcPr>
            <w:tcW w:w="1418" w:type="dxa"/>
          </w:tcPr>
          <w:p w14:paraId="67357DCB" w14:textId="77777777" w:rsidR="0049053C" w:rsidRPr="00BA4F0F" w:rsidRDefault="0049053C" w:rsidP="00325BC4">
            <w:pPr>
              <w:pStyle w:val="afe"/>
              <w:ind w:left="0" w:firstLine="0"/>
              <w:jc w:val="center"/>
              <w:rPr>
                <w:rFonts w:cs="Times New Roman"/>
                <w:szCs w:val="24"/>
              </w:rPr>
            </w:pPr>
            <w:r w:rsidRPr="00BA4F0F">
              <w:rPr>
                <w:rFonts w:cs="Times New Roman"/>
                <w:szCs w:val="24"/>
              </w:rPr>
              <w:t>Цитарабин</w:t>
            </w:r>
          </w:p>
        </w:tc>
        <w:tc>
          <w:tcPr>
            <w:tcW w:w="1701" w:type="dxa"/>
          </w:tcPr>
          <w:p w14:paraId="0A27C8AA" w14:textId="77777777" w:rsidR="0049053C" w:rsidRPr="00BA4F0F" w:rsidRDefault="0049053C" w:rsidP="00325BC4">
            <w:pPr>
              <w:pStyle w:val="afe"/>
              <w:ind w:left="0" w:firstLine="0"/>
              <w:jc w:val="center"/>
              <w:rPr>
                <w:rFonts w:cs="Times New Roman"/>
                <w:szCs w:val="24"/>
              </w:rPr>
            </w:pPr>
            <w:r w:rsidRPr="00BA4F0F">
              <w:rPr>
                <w:rFonts w:cs="Times New Roman"/>
                <w:szCs w:val="24"/>
              </w:rPr>
              <w:t>-5, -4, -3, -2 дни</w:t>
            </w:r>
          </w:p>
        </w:tc>
        <w:tc>
          <w:tcPr>
            <w:tcW w:w="1134" w:type="dxa"/>
          </w:tcPr>
          <w:p w14:paraId="3349D529" w14:textId="77777777" w:rsidR="0049053C" w:rsidRPr="00BA4F0F" w:rsidRDefault="0049053C" w:rsidP="00325BC4">
            <w:pPr>
              <w:pStyle w:val="afe"/>
              <w:ind w:left="0" w:firstLine="0"/>
              <w:jc w:val="center"/>
              <w:rPr>
                <w:rFonts w:cs="Times New Roman"/>
                <w:szCs w:val="24"/>
              </w:rPr>
            </w:pPr>
            <w:r w:rsidRPr="00BA4F0F">
              <w:rPr>
                <w:rFonts w:cs="Times New Roman"/>
                <w:szCs w:val="24"/>
              </w:rPr>
              <w:t>200мг/м</w:t>
            </w:r>
            <w:r w:rsidRPr="00BA4F0F">
              <w:rPr>
                <w:rFonts w:cs="Times New Roman"/>
                <w:szCs w:val="24"/>
                <w:vertAlign w:val="superscript"/>
              </w:rPr>
              <w:t>2</w:t>
            </w:r>
          </w:p>
        </w:tc>
        <w:tc>
          <w:tcPr>
            <w:tcW w:w="1276" w:type="dxa"/>
          </w:tcPr>
          <w:p w14:paraId="32835099" w14:textId="77777777" w:rsidR="0049053C" w:rsidRPr="00BA4F0F" w:rsidRDefault="0049053C" w:rsidP="00325BC4">
            <w:pPr>
              <w:pStyle w:val="afe"/>
              <w:ind w:left="0" w:firstLine="0"/>
              <w:jc w:val="center"/>
              <w:rPr>
                <w:rFonts w:cs="Times New Roman"/>
                <w:szCs w:val="24"/>
              </w:rPr>
            </w:pPr>
            <w:r w:rsidRPr="00BA4F0F">
              <w:rPr>
                <w:rFonts w:cs="Times New Roman"/>
                <w:szCs w:val="24"/>
              </w:rPr>
              <w:t>400 мг/ м</w:t>
            </w:r>
            <w:r w:rsidRPr="00BA4F0F">
              <w:rPr>
                <w:rFonts w:cs="Times New Roman"/>
                <w:szCs w:val="24"/>
                <w:vertAlign w:val="superscript"/>
              </w:rPr>
              <w:t>2</w:t>
            </w:r>
          </w:p>
        </w:tc>
        <w:tc>
          <w:tcPr>
            <w:tcW w:w="1275" w:type="dxa"/>
          </w:tcPr>
          <w:p w14:paraId="72B7DB17" w14:textId="77777777" w:rsidR="0049053C" w:rsidRPr="00BA4F0F" w:rsidRDefault="0049053C" w:rsidP="00325BC4">
            <w:pPr>
              <w:pStyle w:val="afe"/>
              <w:ind w:left="0" w:firstLine="0"/>
              <w:jc w:val="center"/>
              <w:rPr>
                <w:rFonts w:cs="Times New Roman"/>
                <w:szCs w:val="24"/>
              </w:rPr>
            </w:pPr>
            <w:r w:rsidRPr="00BA4F0F">
              <w:rPr>
                <w:rFonts w:cs="Times New Roman"/>
                <w:szCs w:val="24"/>
              </w:rPr>
              <w:t>1600 мг/м</w:t>
            </w:r>
            <w:r w:rsidRPr="00BA4F0F">
              <w:rPr>
                <w:rFonts w:cs="Times New Roman"/>
                <w:szCs w:val="24"/>
                <w:vertAlign w:val="superscript"/>
              </w:rPr>
              <w:t>2</w:t>
            </w:r>
          </w:p>
        </w:tc>
        <w:tc>
          <w:tcPr>
            <w:tcW w:w="2659" w:type="dxa"/>
          </w:tcPr>
          <w:p w14:paraId="125CF593" w14:textId="77777777" w:rsidR="0049053C" w:rsidRPr="00BA4F0F" w:rsidRDefault="0049053C" w:rsidP="00325BC4">
            <w:pPr>
              <w:pStyle w:val="afe"/>
              <w:ind w:left="0" w:firstLine="0"/>
              <w:rPr>
                <w:rFonts w:cs="Times New Roman"/>
                <w:szCs w:val="24"/>
              </w:rPr>
            </w:pPr>
            <w:r w:rsidRPr="00BA4F0F">
              <w:rPr>
                <w:rFonts w:cs="Times New Roman"/>
                <w:szCs w:val="24"/>
              </w:rPr>
              <w:t xml:space="preserve">Вводится в/в в виде инфузии в течение 30 минут в 500 мл 0,9% </w:t>
            </w:r>
            <w:r w:rsidRPr="00BA4F0F">
              <w:rPr>
                <w:rFonts w:cs="Times New Roman"/>
                <w:szCs w:val="24"/>
                <w:lang w:val="en-US"/>
              </w:rPr>
              <w:t>NaCl</w:t>
            </w:r>
          </w:p>
        </w:tc>
      </w:tr>
      <w:tr w:rsidR="0049053C" w:rsidRPr="00BA4F0F" w14:paraId="67314BFF" w14:textId="77777777" w:rsidTr="003D0E86">
        <w:tc>
          <w:tcPr>
            <w:tcW w:w="1418" w:type="dxa"/>
          </w:tcPr>
          <w:p w14:paraId="73B30A83" w14:textId="77777777" w:rsidR="0049053C" w:rsidRPr="00BA4F0F" w:rsidRDefault="0049053C" w:rsidP="00325BC4">
            <w:pPr>
              <w:pStyle w:val="afe"/>
              <w:ind w:left="0" w:firstLine="0"/>
              <w:jc w:val="center"/>
              <w:rPr>
                <w:rFonts w:cs="Times New Roman"/>
                <w:szCs w:val="24"/>
              </w:rPr>
            </w:pPr>
            <w:r w:rsidRPr="00BA4F0F">
              <w:rPr>
                <w:rFonts w:cs="Times New Roman"/>
                <w:szCs w:val="24"/>
              </w:rPr>
              <w:t>Мелфалан</w:t>
            </w:r>
          </w:p>
        </w:tc>
        <w:tc>
          <w:tcPr>
            <w:tcW w:w="1701" w:type="dxa"/>
          </w:tcPr>
          <w:p w14:paraId="36A744D8" w14:textId="77777777" w:rsidR="0049053C" w:rsidRPr="00BA4F0F" w:rsidRDefault="0049053C" w:rsidP="00325BC4">
            <w:pPr>
              <w:pStyle w:val="afe"/>
              <w:ind w:left="0" w:firstLine="0"/>
              <w:jc w:val="center"/>
              <w:rPr>
                <w:rFonts w:cs="Times New Roman"/>
                <w:szCs w:val="24"/>
              </w:rPr>
            </w:pPr>
            <w:r w:rsidRPr="00BA4F0F">
              <w:rPr>
                <w:rFonts w:cs="Times New Roman"/>
                <w:szCs w:val="24"/>
              </w:rPr>
              <w:t>- 1 день</w:t>
            </w:r>
          </w:p>
        </w:tc>
        <w:tc>
          <w:tcPr>
            <w:tcW w:w="1134" w:type="dxa"/>
          </w:tcPr>
          <w:p w14:paraId="4A08D2AF" w14:textId="77777777" w:rsidR="0049053C" w:rsidRPr="00BA4F0F" w:rsidRDefault="0049053C" w:rsidP="00325BC4">
            <w:pPr>
              <w:pStyle w:val="afe"/>
              <w:ind w:left="0" w:firstLine="0"/>
              <w:jc w:val="center"/>
              <w:rPr>
                <w:rFonts w:cs="Times New Roman"/>
                <w:szCs w:val="24"/>
              </w:rPr>
            </w:pPr>
            <w:r w:rsidRPr="00BA4F0F">
              <w:rPr>
                <w:rFonts w:cs="Times New Roman"/>
                <w:szCs w:val="24"/>
              </w:rPr>
              <w:t>140мг/м</w:t>
            </w:r>
            <w:r w:rsidRPr="00BA4F0F">
              <w:rPr>
                <w:rFonts w:cs="Times New Roman"/>
                <w:szCs w:val="24"/>
                <w:vertAlign w:val="superscript"/>
              </w:rPr>
              <w:t>2</w:t>
            </w:r>
          </w:p>
        </w:tc>
        <w:tc>
          <w:tcPr>
            <w:tcW w:w="1276" w:type="dxa"/>
          </w:tcPr>
          <w:p w14:paraId="4F87509A" w14:textId="77777777" w:rsidR="0049053C" w:rsidRPr="00BA4F0F" w:rsidRDefault="0049053C" w:rsidP="00325BC4">
            <w:pPr>
              <w:pStyle w:val="afe"/>
              <w:ind w:left="0" w:firstLine="0"/>
              <w:jc w:val="center"/>
              <w:rPr>
                <w:rFonts w:cs="Times New Roman"/>
                <w:szCs w:val="24"/>
              </w:rPr>
            </w:pPr>
            <w:r w:rsidRPr="00BA4F0F">
              <w:rPr>
                <w:rFonts w:cs="Times New Roman"/>
                <w:szCs w:val="24"/>
              </w:rPr>
              <w:t>140 мг/м</w:t>
            </w:r>
            <w:r w:rsidRPr="00BA4F0F">
              <w:rPr>
                <w:rFonts w:cs="Times New Roman"/>
                <w:szCs w:val="24"/>
                <w:vertAlign w:val="superscript"/>
              </w:rPr>
              <w:t>2</w:t>
            </w:r>
          </w:p>
        </w:tc>
        <w:tc>
          <w:tcPr>
            <w:tcW w:w="1275" w:type="dxa"/>
          </w:tcPr>
          <w:p w14:paraId="152BF34C" w14:textId="77777777" w:rsidR="0049053C" w:rsidRPr="00BA4F0F" w:rsidRDefault="0049053C" w:rsidP="00325BC4">
            <w:pPr>
              <w:pStyle w:val="afe"/>
              <w:ind w:left="0" w:firstLine="0"/>
              <w:jc w:val="center"/>
              <w:rPr>
                <w:rFonts w:cs="Times New Roman"/>
                <w:szCs w:val="24"/>
              </w:rPr>
            </w:pPr>
            <w:r w:rsidRPr="00BA4F0F">
              <w:rPr>
                <w:rFonts w:cs="Times New Roman"/>
                <w:szCs w:val="24"/>
              </w:rPr>
              <w:t>140 мг/м</w:t>
            </w:r>
            <w:r w:rsidRPr="00BA4F0F">
              <w:rPr>
                <w:rFonts w:cs="Times New Roman"/>
                <w:szCs w:val="24"/>
                <w:vertAlign w:val="superscript"/>
              </w:rPr>
              <w:t>2</w:t>
            </w:r>
          </w:p>
        </w:tc>
        <w:tc>
          <w:tcPr>
            <w:tcW w:w="2659" w:type="dxa"/>
          </w:tcPr>
          <w:p w14:paraId="52216BCC" w14:textId="77777777" w:rsidR="0049053C" w:rsidRPr="00BA4F0F" w:rsidRDefault="0049053C" w:rsidP="00325BC4">
            <w:pPr>
              <w:pStyle w:val="afe"/>
              <w:ind w:left="0" w:firstLine="0"/>
              <w:rPr>
                <w:rFonts w:cs="Times New Roman"/>
                <w:szCs w:val="24"/>
              </w:rPr>
            </w:pPr>
            <w:r w:rsidRPr="00BA4F0F">
              <w:rPr>
                <w:rFonts w:cs="Times New Roman"/>
                <w:szCs w:val="24"/>
              </w:rPr>
              <w:t xml:space="preserve">Вводится в/в в виде инфузии в течение 1ч в 500 мл 0,9% </w:t>
            </w:r>
            <w:r w:rsidRPr="00BA4F0F">
              <w:rPr>
                <w:rFonts w:cs="Times New Roman"/>
                <w:szCs w:val="24"/>
                <w:lang w:val="en-US"/>
              </w:rPr>
              <w:t>NaCl</w:t>
            </w:r>
          </w:p>
        </w:tc>
      </w:tr>
    </w:tbl>
    <w:p w14:paraId="693D5C23" w14:textId="41B110EB" w:rsidR="0049053C" w:rsidRPr="006E60A8" w:rsidRDefault="0049053C" w:rsidP="00325BC4">
      <w:pPr>
        <w:pStyle w:val="1ff0"/>
      </w:pPr>
      <w:r w:rsidRPr="00BA4F0F">
        <w:t xml:space="preserve">Для снижения токсичности режима предтрансплантационной подготовки </w:t>
      </w:r>
      <w:r w:rsidRPr="00BA4F0F">
        <w:rPr>
          <w:lang w:val="en-US"/>
        </w:rPr>
        <w:t>BEAM</w:t>
      </w:r>
      <w:r w:rsidRPr="00BA4F0F">
        <w:t xml:space="preserve"> в ряде случаев вместо кармустина используется ломустин (</w:t>
      </w:r>
      <w:r w:rsidRPr="00BA4F0F">
        <w:rPr>
          <w:lang w:val="en-US"/>
        </w:rPr>
        <w:t>CEAM</w:t>
      </w:r>
      <w:r w:rsidRPr="00BA4F0F">
        <w:t xml:space="preserve"> / </w:t>
      </w:r>
      <w:r w:rsidRPr="00BA4F0F">
        <w:rPr>
          <w:lang w:val="en-US"/>
        </w:rPr>
        <w:t>LEAM</w:t>
      </w:r>
      <w:r w:rsidRPr="00BA4F0F">
        <w:t xml:space="preserve">). Схема </w:t>
      </w:r>
      <w:r w:rsidRPr="006E60A8">
        <w:t xml:space="preserve">введения препаратов и дозы представлены в таблице </w:t>
      </w:r>
      <w:r w:rsidR="00325BC4">
        <w:t>А3.3.</w:t>
      </w:r>
      <w:r w:rsidRPr="006E60A8">
        <w:t>6.</w:t>
      </w:r>
    </w:p>
    <w:p w14:paraId="72049722" w14:textId="77777777" w:rsidR="0049053C" w:rsidRPr="006E60A8" w:rsidRDefault="0049053C" w:rsidP="00325BC4">
      <w:pPr>
        <w:pStyle w:val="1ff0"/>
        <w:rPr>
          <w:b/>
        </w:rPr>
      </w:pPr>
    </w:p>
    <w:p w14:paraId="3526ED30" w14:textId="68D21B99" w:rsidR="0049053C" w:rsidRPr="00193D82" w:rsidRDefault="0049053C" w:rsidP="00325BC4">
      <w:pPr>
        <w:pStyle w:val="1ff0"/>
      </w:pPr>
      <w:r w:rsidRPr="006E60A8">
        <w:t xml:space="preserve">Таблица </w:t>
      </w:r>
      <w:r w:rsidR="00325BC4">
        <w:t>А3.3.</w:t>
      </w:r>
      <w:r w:rsidRPr="006E60A8">
        <w:t xml:space="preserve">6. Схема предтрансплантационного кондиционирования </w:t>
      </w:r>
      <w:r w:rsidRPr="006E60A8">
        <w:rPr>
          <w:lang w:val="en-US"/>
        </w:rPr>
        <w:t>CEAM</w:t>
      </w:r>
      <w:r w:rsidRPr="006E60A8">
        <w:t>/</w:t>
      </w:r>
      <w:r w:rsidRPr="006E60A8">
        <w:rPr>
          <w:lang w:val="en-US"/>
        </w:rPr>
        <w:t>LEAM</w:t>
      </w:r>
      <w:r w:rsidRPr="00BA4F0F">
        <w:rPr>
          <w:b/>
        </w:rPr>
        <w:t xml:space="preserve"> </w:t>
      </w:r>
      <w:r w:rsidRPr="00BA4F0F">
        <w:fldChar w:fldCharType="begin" w:fldLock="1"/>
      </w:r>
      <w:r w:rsidR="00A6794A">
        <w:rPr>
          <w:lang w:val="en-US"/>
        </w:rPr>
        <w:instrText>ADDIN</w:instrText>
      </w:r>
      <w:r w:rsidR="00A6794A" w:rsidRPr="00D3550C">
        <w:instrText xml:space="preserve"> </w:instrText>
      </w:r>
      <w:r w:rsidR="00A6794A">
        <w:rPr>
          <w:lang w:val="en-US"/>
        </w:rPr>
        <w:instrText>CSL</w:instrText>
      </w:r>
      <w:r w:rsidR="00A6794A" w:rsidRPr="00D3550C">
        <w:instrText>_</w:instrText>
      </w:r>
      <w:r w:rsidR="00A6794A">
        <w:rPr>
          <w:lang w:val="en-US"/>
        </w:rPr>
        <w:instrText>CITATION</w:instrText>
      </w:r>
      <w:r w:rsidR="00A6794A" w:rsidRPr="00D3550C">
        <w:instrText xml:space="preserve"> {"</w:instrText>
      </w:r>
      <w:r w:rsidR="00A6794A">
        <w:rPr>
          <w:lang w:val="en-US"/>
        </w:rPr>
        <w:instrText>citationItems</w:instrText>
      </w:r>
      <w:r w:rsidR="00A6794A" w:rsidRPr="00D3550C">
        <w:instrText>":[{"</w:instrText>
      </w:r>
      <w:r w:rsidR="00A6794A">
        <w:rPr>
          <w:lang w:val="en-US"/>
        </w:rPr>
        <w:instrText>id</w:instrText>
      </w:r>
      <w:r w:rsidR="00A6794A" w:rsidRPr="00D3550C">
        <w:instrText>":"</w:instrText>
      </w:r>
      <w:r w:rsidR="00A6794A">
        <w:rPr>
          <w:lang w:val="en-US"/>
        </w:rPr>
        <w:instrText>ITEM</w:instrText>
      </w:r>
      <w:r w:rsidR="00A6794A" w:rsidRPr="00D3550C">
        <w:instrText>-1","</w:instrText>
      </w:r>
      <w:r w:rsidR="00A6794A">
        <w:rPr>
          <w:lang w:val="en-US"/>
        </w:rPr>
        <w:instrText>itemData</w:instrText>
      </w:r>
      <w:r w:rsidR="00A6794A" w:rsidRPr="00D3550C">
        <w:instrText>":{"</w:instrText>
      </w:r>
      <w:r w:rsidR="00A6794A">
        <w:rPr>
          <w:lang w:val="en-US"/>
        </w:rPr>
        <w:instrText>DOI</w:instrText>
      </w:r>
      <w:r w:rsidR="00A6794A" w:rsidRPr="00D3550C">
        <w:instrText>":"10.1186/2193-1801-2-489","</w:instrText>
      </w:r>
      <w:r w:rsidR="00A6794A">
        <w:rPr>
          <w:lang w:val="en-US"/>
        </w:rPr>
        <w:instrText>ISSN</w:instrText>
      </w:r>
      <w:r w:rsidR="00A6794A" w:rsidRPr="00D3550C">
        <w:instrText>":"2193-1801","</w:instrText>
      </w:r>
      <w:r w:rsidR="00A6794A">
        <w:rPr>
          <w:lang w:val="en-US"/>
        </w:rPr>
        <w:instrText>PMID</w:instrText>
      </w:r>
      <w:r w:rsidR="00A6794A" w:rsidRPr="00D3550C">
        <w:instrText>":"25674395","</w:instrText>
      </w:r>
      <w:r w:rsidR="00A6794A">
        <w:rPr>
          <w:lang w:val="en-US"/>
        </w:rPr>
        <w:instrText>abstract</w:instrText>
      </w:r>
      <w:r w:rsidR="00A6794A" w:rsidRPr="00D3550C">
        <w:instrText>":"</w:instrText>
      </w:r>
      <w:r w:rsidR="00A6794A">
        <w:rPr>
          <w:lang w:val="en-US"/>
        </w:rPr>
        <w:instrText>BEAM</w:instrText>
      </w:r>
      <w:r w:rsidR="00A6794A" w:rsidRPr="00D3550C">
        <w:instrText xml:space="preserve"> (</w:instrText>
      </w:r>
      <w:r w:rsidR="00A6794A">
        <w:rPr>
          <w:lang w:val="en-US"/>
        </w:rPr>
        <w:instrText>BCNU</w:instrText>
      </w:r>
      <w:r w:rsidR="00A6794A" w:rsidRPr="00D3550C">
        <w:instrText xml:space="preserve">, </w:instrText>
      </w:r>
      <w:r w:rsidR="00A6794A">
        <w:rPr>
          <w:lang w:val="en-US"/>
        </w:rPr>
        <w:instrText>etoposide</w:instrText>
      </w:r>
      <w:r w:rsidR="00A6794A" w:rsidRPr="00D3550C">
        <w:instrText xml:space="preserve">, </w:instrText>
      </w:r>
      <w:r w:rsidR="00A6794A">
        <w:rPr>
          <w:lang w:val="en-US"/>
        </w:rPr>
        <w:instrText>cytrabine</w:instrText>
      </w:r>
      <w:r w:rsidR="00A6794A" w:rsidRPr="00D3550C">
        <w:instrText xml:space="preserve">, </w:instrText>
      </w:r>
      <w:r w:rsidR="00A6794A">
        <w:rPr>
          <w:lang w:val="en-US"/>
        </w:rPr>
        <w:instrText>melphalan</w:instrText>
      </w:r>
      <w:r w:rsidR="00A6794A" w:rsidRPr="00D3550C">
        <w:instrText xml:space="preserve">) </w:instrText>
      </w:r>
      <w:r w:rsidR="00A6794A">
        <w:rPr>
          <w:lang w:val="en-US"/>
        </w:rPr>
        <w:instrText>is</w:instrText>
      </w:r>
      <w:r w:rsidR="00A6794A" w:rsidRPr="00D3550C">
        <w:instrText xml:space="preserve"> </w:instrText>
      </w:r>
      <w:r w:rsidR="00A6794A">
        <w:rPr>
          <w:lang w:val="en-US"/>
        </w:rPr>
        <w:instrText>the</w:instrText>
      </w:r>
      <w:r w:rsidR="00A6794A" w:rsidRPr="00D3550C">
        <w:instrText xml:space="preserve"> </w:instrText>
      </w:r>
      <w:r w:rsidR="00A6794A">
        <w:rPr>
          <w:lang w:val="en-US"/>
        </w:rPr>
        <w:instrText>most</w:instrText>
      </w:r>
      <w:r w:rsidR="00A6794A" w:rsidRPr="00D3550C">
        <w:instrText xml:space="preserve"> </w:instrText>
      </w:r>
      <w:r w:rsidR="00A6794A">
        <w:rPr>
          <w:lang w:val="en-US"/>
        </w:rPr>
        <w:instrText>widely</w:instrText>
      </w:r>
      <w:r w:rsidR="00A6794A" w:rsidRPr="00D3550C">
        <w:instrText xml:space="preserve"> </w:instrText>
      </w:r>
      <w:r w:rsidR="00A6794A">
        <w:rPr>
          <w:lang w:val="en-US"/>
        </w:rPr>
        <w:instrText>used</w:instrText>
      </w:r>
      <w:r w:rsidR="00A6794A" w:rsidRPr="00D3550C">
        <w:instrText xml:space="preserve"> </w:instrText>
      </w:r>
      <w:r w:rsidR="00A6794A">
        <w:rPr>
          <w:lang w:val="en-US"/>
        </w:rPr>
        <w:instrText>high</w:instrText>
      </w:r>
      <w:r w:rsidR="00A6794A" w:rsidRPr="00D3550C">
        <w:instrText xml:space="preserve"> </w:instrText>
      </w:r>
      <w:r w:rsidR="00A6794A">
        <w:rPr>
          <w:lang w:val="en-US"/>
        </w:rPr>
        <w:instrText>dose</w:instrText>
      </w:r>
      <w:r w:rsidR="00A6794A" w:rsidRPr="00D3550C">
        <w:instrText xml:space="preserve"> </w:instrText>
      </w:r>
      <w:r w:rsidR="00A6794A">
        <w:rPr>
          <w:lang w:val="en-US"/>
        </w:rPr>
        <w:instrText>chemotherapy</w:instrText>
      </w:r>
      <w:r w:rsidR="00A6794A" w:rsidRPr="00D3550C">
        <w:instrText xml:space="preserve"> </w:instrText>
      </w:r>
      <w:r w:rsidR="00A6794A">
        <w:rPr>
          <w:lang w:val="en-US"/>
        </w:rPr>
        <w:instrText>regimen</w:instrText>
      </w:r>
      <w:r w:rsidR="00A6794A" w:rsidRPr="00D3550C">
        <w:instrText xml:space="preserve"> </w:instrText>
      </w:r>
      <w:r w:rsidR="00A6794A">
        <w:rPr>
          <w:lang w:val="en-US"/>
        </w:rPr>
        <w:instrText>for</w:instrText>
      </w:r>
      <w:r w:rsidR="00A6794A" w:rsidRPr="00D3550C">
        <w:instrText xml:space="preserve"> </w:instrText>
      </w:r>
      <w:r w:rsidR="00A6794A">
        <w:rPr>
          <w:lang w:val="en-US"/>
        </w:rPr>
        <w:instrText>autologous</w:instrText>
      </w:r>
      <w:r w:rsidR="00A6794A" w:rsidRPr="00D3550C">
        <w:instrText xml:space="preserve"> </w:instrText>
      </w:r>
      <w:r w:rsidR="00A6794A">
        <w:rPr>
          <w:lang w:val="en-US"/>
        </w:rPr>
        <w:instrText>transplant</w:instrText>
      </w:r>
      <w:r w:rsidR="00A6794A" w:rsidRPr="00D3550C">
        <w:instrText xml:space="preserve"> </w:instrText>
      </w:r>
      <w:r w:rsidR="00A6794A">
        <w:rPr>
          <w:lang w:val="en-US"/>
        </w:rPr>
        <w:instrText>in</w:instrText>
      </w:r>
      <w:r w:rsidR="00A6794A" w:rsidRPr="00D3550C">
        <w:instrText xml:space="preserve"> </w:instrText>
      </w:r>
      <w:r w:rsidR="00A6794A">
        <w:rPr>
          <w:lang w:val="en-US"/>
        </w:rPr>
        <w:instrText>lymphoid</w:instrText>
      </w:r>
      <w:r w:rsidR="00A6794A" w:rsidRPr="00D3550C">
        <w:instrText xml:space="preserve"> </w:instrText>
      </w:r>
      <w:r w:rsidR="00A6794A">
        <w:rPr>
          <w:lang w:val="en-US"/>
        </w:rPr>
        <w:instrText>malignancies</w:instrText>
      </w:r>
      <w:r w:rsidR="00A6794A" w:rsidRPr="00D3550C">
        <w:instrText xml:space="preserve">. </w:instrText>
      </w:r>
      <w:r w:rsidR="00A6794A">
        <w:rPr>
          <w:lang w:val="en-US"/>
        </w:rPr>
        <w:instrText>We</w:instrText>
      </w:r>
      <w:r w:rsidR="00A6794A" w:rsidRPr="00D3550C">
        <w:instrText xml:space="preserve"> </w:instrText>
      </w:r>
      <w:r w:rsidR="00A6794A">
        <w:rPr>
          <w:lang w:val="en-US"/>
        </w:rPr>
        <w:instrText>report</w:instrText>
      </w:r>
      <w:r w:rsidR="00A6794A" w:rsidRPr="00D3550C">
        <w:instrText xml:space="preserve"> </w:instrText>
      </w:r>
      <w:r w:rsidR="00A6794A">
        <w:rPr>
          <w:lang w:val="en-US"/>
        </w:rPr>
        <w:instrText>our</w:instrText>
      </w:r>
      <w:r w:rsidR="00A6794A" w:rsidRPr="00D3550C">
        <w:instrText xml:space="preserve"> </w:instrText>
      </w:r>
      <w:r w:rsidR="00A6794A">
        <w:rPr>
          <w:lang w:val="en-US"/>
        </w:rPr>
        <w:instrText>early</w:instrText>
      </w:r>
      <w:r w:rsidR="00A6794A" w:rsidRPr="00D3550C">
        <w:instrText xml:space="preserve"> </w:instrText>
      </w:r>
      <w:r w:rsidR="00A6794A">
        <w:rPr>
          <w:lang w:val="en-US"/>
        </w:rPr>
        <w:instrText>experience</w:instrText>
      </w:r>
      <w:r w:rsidR="00A6794A" w:rsidRPr="00D3550C">
        <w:instrText xml:space="preserve"> </w:instrText>
      </w:r>
      <w:r w:rsidR="00A6794A">
        <w:rPr>
          <w:lang w:val="en-US"/>
        </w:rPr>
        <w:instrText>with</w:instrText>
      </w:r>
      <w:r w:rsidR="00A6794A" w:rsidRPr="00D3550C">
        <w:instrText xml:space="preserve"> </w:instrText>
      </w:r>
      <w:r w:rsidR="00A6794A">
        <w:rPr>
          <w:lang w:val="en-US"/>
        </w:rPr>
        <w:instrText>an</w:instrText>
      </w:r>
      <w:r w:rsidR="00A6794A" w:rsidRPr="00D3550C">
        <w:instrText xml:space="preserve"> </w:instrText>
      </w:r>
      <w:r w:rsidR="00A6794A">
        <w:rPr>
          <w:lang w:val="en-US"/>
        </w:rPr>
        <w:instrText>alternative</w:instrText>
      </w:r>
      <w:r w:rsidR="00A6794A" w:rsidRPr="00D3550C">
        <w:instrText xml:space="preserve"> </w:instrText>
      </w:r>
      <w:r w:rsidR="00A6794A">
        <w:rPr>
          <w:lang w:val="en-US"/>
        </w:rPr>
        <w:instrText>regimen</w:instrText>
      </w:r>
      <w:r w:rsidR="00A6794A" w:rsidRPr="00D3550C">
        <w:instrText xml:space="preserve"> </w:instrText>
      </w:r>
      <w:r w:rsidR="00A6794A">
        <w:rPr>
          <w:lang w:val="en-US"/>
        </w:rPr>
        <w:instrText>LEAM</w:instrText>
      </w:r>
      <w:r w:rsidR="00A6794A" w:rsidRPr="00D3550C">
        <w:instrText xml:space="preserve"> </w:instrText>
      </w:r>
      <w:r w:rsidR="00A6794A">
        <w:rPr>
          <w:lang w:val="en-US"/>
        </w:rPr>
        <w:instrText>where</w:instrText>
      </w:r>
      <w:r w:rsidR="00A6794A" w:rsidRPr="00D3550C">
        <w:instrText xml:space="preserve"> </w:instrText>
      </w:r>
      <w:r w:rsidR="00A6794A">
        <w:rPr>
          <w:lang w:val="en-US"/>
        </w:rPr>
        <w:instrText>BCNU</w:instrText>
      </w:r>
      <w:r w:rsidR="00A6794A" w:rsidRPr="00D3550C">
        <w:instrText xml:space="preserve"> </w:instrText>
      </w:r>
      <w:r w:rsidR="00A6794A">
        <w:rPr>
          <w:lang w:val="en-US"/>
        </w:rPr>
        <w:instrText>was</w:instrText>
      </w:r>
      <w:r w:rsidR="00A6794A" w:rsidRPr="00D3550C">
        <w:instrText xml:space="preserve"> </w:instrText>
      </w:r>
      <w:r w:rsidR="00A6794A">
        <w:rPr>
          <w:lang w:val="en-US"/>
        </w:rPr>
        <w:instrText>replaced</w:instrText>
      </w:r>
      <w:r w:rsidR="00A6794A" w:rsidRPr="00D3550C">
        <w:instrText xml:space="preserve"> </w:instrText>
      </w:r>
      <w:r w:rsidR="00A6794A">
        <w:rPr>
          <w:lang w:val="en-US"/>
        </w:rPr>
        <w:instrText>with</w:instrText>
      </w:r>
      <w:r w:rsidR="00A6794A" w:rsidRPr="00D3550C">
        <w:instrText xml:space="preserve"> </w:instrText>
      </w:r>
      <w:r w:rsidR="00A6794A">
        <w:rPr>
          <w:lang w:val="en-US"/>
        </w:rPr>
        <w:instrText>the</w:instrText>
      </w:r>
      <w:r w:rsidR="00A6794A" w:rsidRPr="00D3550C">
        <w:instrText xml:space="preserve"> </w:instrText>
      </w:r>
      <w:r w:rsidR="00A6794A">
        <w:rPr>
          <w:lang w:val="en-US"/>
        </w:rPr>
        <w:instrText>oral</w:instrText>
      </w:r>
      <w:r w:rsidR="00A6794A" w:rsidRPr="00D3550C">
        <w:instrText xml:space="preserve"> </w:instrText>
      </w:r>
      <w:r w:rsidR="00A6794A">
        <w:rPr>
          <w:lang w:val="en-US"/>
        </w:rPr>
        <w:instrText>analogue</w:instrText>
      </w:r>
      <w:r w:rsidR="00A6794A" w:rsidRPr="00D3550C">
        <w:instrText xml:space="preserve"> </w:instrText>
      </w:r>
      <w:r w:rsidR="00A6794A">
        <w:rPr>
          <w:lang w:val="en-US"/>
        </w:rPr>
        <w:instrText>CCNU</w:instrText>
      </w:r>
      <w:r w:rsidR="00A6794A" w:rsidRPr="00D3550C">
        <w:instrText xml:space="preserve"> (</w:instrText>
      </w:r>
      <w:r w:rsidR="00A6794A">
        <w:rPr>
          <w:lang w:val="en-US"/>
        </w:rPr>
        <w:instrText>lomustine</w:instrText>
      </w:r>
      <w:r w:rsidR="00A6794A" w:rsidRPr="00D3550C">
        <w:instrText xml:space="preserve">) </w:instrText>
      </w:r>
      <w:r w:rsidR="00A6794A">
        <w:rPr>
          <w:lang w:val="en-US"/>
        </w:rPr>
        <w:instrText>to</w:instrText>
      </w:r>
      <w:r w:rsidR="00A6794A" w:rsidRPr="00D3550C">
        <w:instrText xml:space="preserve"> </w:instrText>
      </w:r>
      <w:r w:rsidR="00A6794A">
        <w:rPr>
          <w:lang w:val="en-US"/>
        </w:rPr>
        <w:instrText>tide</w:instrText>
      </w:r>
      <w:r w:rsidR="00A6794A" w:rsidRPr="00D3550C">
        <w:instrText xml:space="preserve"> </w:instrText>
      </w:r>
      <w:r w:rsidR="00A6794A">
        <w:rPr>
          <w:lang w:val="en-US"/>
        </w:rPr>
        <w:instrText>over</w:instrText>
      </w:r>
      <w:r w:rsidR="00A6794A" w:rsidRPr="00D3550C">
        <w:instrText xml:space="preserve"> </w:instrText>
      </w:r>
      <w:r w:rsidR="00A6794A">
        <w:rPr>
          <w:lang w:val="en-US"/>
        </w:rPr>
        <w:instrText>the</w:instrText>
      </w:r>
      <w:r w:rsidR="00A6794A" w:rsidRPr="00D3550C">
        <w:instrText xml:space="preserve"> </w:instrText>
      </w:r>
      <w:r w:rsidR="00A6794A">
        <w:rPr>
          <w:lang w:val="en-US"/>
        </w:rPr>
        <w:instrText>non</w:instrText>
      </w:r>
      <w:r w:rsidR="00A6794A" w:rsidRPr="00D3550C">
        <w:instrText>-</w:instrText>
      </w:r>
      <w:r w:rsidR="00A6794A">
        <w:rPr>
          <w:lang w:val="en-US"/>
        </w:rPr>
        <w:instrText>availability</w:instrText>
      </w:r>
      <w:r w:rsidR="00A6794A" w:rsidRPr="00D3550C">
        <w:instrText xml:space="preserve"> </w:instrText>
      </w:r>
      <w:r w:rsidR="00A6794A">
        <w:rPr>
          <w:lang w:val="en-US"/>
        </w:rPr>
        <w:instrText>of</w:instrText>
      </w:r>
      <w:r w:rsidR="00A6794A" w:rsidRPr="00D3550C">
        <w:instrText xml:space="preserve"> </w:instrText>
      </w:r>
      <w:r w:rsidR="00A6794A">
        <w:rPr>
          <w:lang w:val="en-US"/>
        </w:rPr>
        <w:instrText>BCNU</w:instrText>
      </w:r>
      <w:r w:rsidR="00A6794A" w:rsidRPr="00D3550C">
        <w:instrText xml:space="preserve">. </w:instrText>
      </w:r>
      <w:r w:rsidR="00A6794A">
        <w:rPr>
          <w:lang w:val="en-US"/>
        </w:rPr>
        <w:instrText>Fifty</w:instrText>
      </w:r>
      <w:r w:rsidR="00A6794A" w:rsidRPr="00D3550C">
        <w:instrText xml:space="preserve"> </w:instrText>
      </w:r>
      <w:r w:rsidR="00A6794A">
        <w:rPr>
          <w:lang w:val="en-US"/>
        </w:rPr>
        <w:instrText>one</w:instrText>
      </w:r>
      <w:r w:rsidR="00A6794A" w:rsidRPr="00D3550C">
        <w:instrText xml:space="preserve"> </w:instrText>
      </w:r>
      <w:r w:rsidR="00A6794A">
        <w:rPr>
          <w:lang w:val="en-US"/>
        </w:rPr>
        <w:instrText>patients</w:instrText>
      </w:r>
      <w:r w:rsidR="00A6794A" w:rsidRPr="00D3550C">
        <w:instrText xml:space="preserve"> </w:instrText>
      </w:r>
      <w:r w:rsidR="00A6794A">
        <w:rPr>
          <w:lang w:val="en-US"/>
        </w:rPr>
        <w:instrText>of</w:instrText>
      </w:r>
      <w:r w:rsidR="00A6794A" w:rsidRPr="00D3550C">
        <w:instrText xml:space="preserve"> </w:instrText>
      </w:r>
      <w:r w:rsidR="00A6794A">
        <w:rPr>
          <w:lang w:val="en-US"/>
        </w:rPr>
        <w:instrText>relapsed</w:instrText>
      </w:r>
      <w:r w:rsidR="00A6794A" w:rsidRPr="00D3550C">
        <w:instrText xml:space="preserve"> </w:instrText>
      </w:r>
      <w:r w:rsidR="00A6794A">
        <w:rPr>
          <w:lang w:val="en-US"/>
        </w:rPr>
        <w:instrText>or</w:instrText>
      </w:r>
      <w:r w:rsidR="00A6794A" w:rsidRPr="00D3550C">
        <w:instrText xml:space="preserve"> </w:instrText>
      </w:r>
      <w:r w:rsidR="00A6794A">
        <w:rPr>
          <w:lang w:val="en-US"/>
        </w:rPr>
        <w:instrText>refractory</w:instrText>
      </w:r>
      <w:r w:rsidR="00A6794A" w:rsidRPr="00D3550C">
        <w:instrText xml:space="preserve"> </w:instrText>
      </w:r>
      <w:r w:rsidR="00A6794A">
        <w:rPr>
          <w:lang w:val="en-US"/>
        </w:rPr>
        <w:instrText>lymphoma</w:instrText>
      </w:r>
      <w:r w:rsidR="00A6794A" w:rsidRPr="00D3550C">
        <w:instrText xml:space="preserve"> </w:instrText>
      </w:r>
      <w:r w:rsidR="00A6794A">
        <w:rPr>
          <w:lang w:val="en-US"/>
        </w:rPr>
        <w:instrText>who</w:instrText>
      </w:r>
      <w:r w:rsidR="00A6794A" w:rsidRPr="00D3550C">
        <w:instrText xml:space="preserve"> </w:instrText>
      </w:r>
      <w:r w:rsidR="00A6794A">
        <w:rPr>
          <w:lang w:val="en-US"/>
        </w:rPr>
        <w:instrText>received</w:instrText>
      </w:r>
      <w:r w:rsidR="00A6794A" w:rsidRPr="00D3550C">
        <w:instrText xml:space="preserve"> </w:instrText>
      </w:r>
      <w:r w:rsidR="00A6794A">
        <w:rPr>
          <w:lang w:val="en-US"/>
        </w:rPr>
        <w:instrText>BEAM</w:instrText>
      </w:r>
      <w:r w:rsidR="00A6794A" w:rsidRPr="00D3550C">
        <w:instrText xml:space="preserve"> (</w:instrText>
      </w:r>
      <w:r w:rsidR="00A6794A">
        <w:rPr>
          <w:lang w:val="en-US"/>
        </w:rPr>
        <w:instrText>n</w:instrText>
      </w:r>
      <w:r w:rsidR="00A6794A" w:rsidRPr="00D3550C">
        <w:instrText xml:space="preserve">= 34) </w:instrText>
      </w:r>
      <w:r w:rsidR="00A6794A">
        <w:rPr>
          <w:lang w:val="en-US"/>
        </w:rPr>
        <w:instrText>and</w:instrText>
      </w:r>
      <w:r w:rsidR="00A6794A" w:rsidRPr="00D3550C">
        <w:instrText xml:space="preserve"> </w:instrText>
      </w:r>
      <w:r w:rsidR="00A6794A">
        <w:rPr>
          <w:lang w:val="en-US"/>
        </w:rPr>
        <w:instrText>LEAM</w:instrText>
      </w:r>
      <w:r w:rsidR="00A6794A" w:rsidRPr="00D3550C">
        <w:instrText xml:space="preserve"> (</w:instrText>
      </w:r>
      <w:r w:rsidR="00A6794A">
        <w:rPr>
          <w:lang w:val="en-US"/>
        </w:rPr>
        <w:instrText>n</w:instrText>
      </w:r>
      <w:r w:rsidR="00A6794A" w:rsidRPr="00D3550C">
        <w:instrText xml:space="preserve">= 17) </w:instrText>
      </w:r>
      <w:r w:rsidR="00A6794A">
        <w:rPr>
          <w:lang w:val="en-US"/>
        </w:rPr>
        <w:instrText>from</w:instrText>
      </w:r>
      <w:r w:rsidR="00A6794A" w:rsidRPr="00D3550C">
        <w:instrText xml:space="preserve"> </w:instrText>
      </w:r>
      <w:r w:rsidR="00A6794A">
        <w:rPr>
          <w:lang w:val="en-US"/>
        </w:rPr>
        <w:instrText>September</w:instrText>
      </w:r>
      <w:r w:rsidR="00A6794A" w:rsidRPr="00D3550C">
        <w:instrText xml:space="preserve"> 2001 </w:instrText>
      </w:r>
      <w:r w:rsidR="00A6794A">
        <w:rPr>
          <w:lang w:val="en-US"/>
        </w:rPr>
        <w:instrText>to</w:instrText>
      </w:r>
      <w:r w:rsidR="00A6794A" w:rsidRPr="00D3550C">
        <w:instrText xml:space="preserve"> </w:instrText>
      </w:r>
      <w:r w:rsidR="00A6794A">
        <w:rPr>
          <w:lang w:val="en-US"/>
        </w:rPr>
        <w:instrText>February</w:instrText>
      </w:r>
      <w:r w:rsidR="00A6794A" w:rsidRPr="00D3550C">
        <w:instrText xml:space="preserve"> 2012 </w:instrText>
      </w:r>
      <w:r w:rsidR="00A6794A">
        <w:rPr>
          <w:lang w:val="en-US"/>
        </w:rPr>
        <w:instrText>were</w:instrText>
      </w:r>
      <w:r w:rsidR="00A6794A" w:rsidRPr="00D3550C">
        <w:instrText xml:space="preserve"> </w:instrText>
      </w:r>
      <w:r w:rsidR="00A6794A">
        <w:rPr>
          <w:lang w:val="en-US"/>
        </w:rPr>
        <w:instrText>analyzed</w:instrText>
      </w:r>
      <w:r w:rsidR="00A6794A" w:rsidRPr="00D3550C">
        <w:instrText xml:space="preserve">. </w:instrText>
      </w:r>
      <w:r w:rsidR="00A6794A">
        <w:rPr>
          <w:lang w:val="en-US"/>
        </w:rPr>
        <w:instrText>From</w:instrText>
      </w:r>
      <w:r w:rsidR="00A6794A" w:rsidRPr="00D3550C">
        <w:instrText xml:space="preserve"> </w:instrText>
      </w:r>
      <w:r w:rsidR="00A6794A">
        <w:rPr>
          <w:lang w:val="en-US"/>
        </w:rPr>
        <w:instrText>October</w:instrText>
      </w:r>
      <w:r w:rsidR="00A6794A" w:rsidRPr="00D3550C">
        <w:instrText xml:space="preserve"> 2009 </w:instrText>
      </w:r>
      <w:r w:rsidR="00A6794A">
        <w:rPr>
          <w:lang w:val="en-US"/>
        </w:rPr>
        <w:instrText>onwards LEAM was used as the conditioning regimen instead of conventional BEAM. Patients in the LEAM group had more chemorefractory disease (35% vs 9%, p = 0.045) and high risk comorbidity score (24% vs 0%, p = 0.019). Grade 3 and 4 oral mucositis (67.6% vs. 64.7%, p = 0.834) and diarrhea (47% vs. 41.1%, p = 0.691) were similar. No difference was noted between the two groups in terms of engraftment, documented infections, antibiotic use, cumulative toxicity risk, length of hospital stay and 100 day transplant related mortality. The estimated 2 year overall survival (61.7% vs. 62.7%, p = 0.928) and event free survival (44.6% vs. 41.1%, p = 0.510) of the regimens BEAM and LEAM respectively were comparable. Thus LEAM appeared equivalent to BEAM in terms of toxicity and efficacy and can be used as an alternative to BEAM.","author":[{"dropping-particle":"","family":"Sharma","given":"Atul","non-dropping-particle":"","parse-names":false,"suffix":""},{"dropping-particle":"","family":"Kayal","given":"Smita","non-dropping-particle":"","parse-names":false,"suffix":""},{"dropping-particle":"","family":"Iqbal","given":"Sobuhi","non-dropping-particle":"","parse-names":false,"suffix":""},{"dropping-particle":"","family":"Malik","given":"Prabhat Singh","non-dropping-particle":"","parse-names":false,"suffix":""},{"dropping-particle":"","family":"Raina","given":"Vinod","non-dropping-particle":"","parse-names":false,"suffix":""}],"container-title":"SpringerPlus","id":"ITEM-1","issued":{"date-parts":[["2013"]]},"page":"489","publisher":"Springerplus","title":"Comparison of BEAM vs. LEAM regimen in autologous transplant for lymphoma at AIIMS.","type":"article-journal","volume":"2"},"uris":["http://www.mendeley.com/documents/?uuid=21a4d437-7f12-381a-b742-56143dfb3da9","http://www.mendeley.com/documents/?uuid=101407b9-4546-4cbb-9ac0-735f0dacc33c"]},{"id":"ITEM-2","itemData":{"DOI":"10.1038/sj.bmt.1705544","ISSN":"0268-3369","PMID":"17115062","abstract":"High-dose chemotherapy followed by autologous stem cell transplantation (ASCT) is a recognized treatment option for patients with relapsed Hodgkin's lymphoma. We have analysed 67 patients who underwent ASCT after LACE (lomustine (CCNU), cytarabine (Ara-C), cyclophosphamide, etoposide) conditioning for relapsed (n=61) or primary refractory (n=6) Hodgkin's lymphoma. The 100-day treatment-related mortality was 3%. With a median follow-up of 67 months (range 3.3-161.0) the probabilities of overall survival (OS) and progression-free survival (PFS) at 5 years were 68 and 64%, respectively. Probabilities for OS and PFS at 5 years for patients with chemosensitive relapse (n=40) were 81 and 78% versus 50 and 35%, respectively, for patients (n=27) with chemoresistant relapse (P=0.012 for OS, P=0.002 for PFS). In multivariate analysis mixed cellularity classical or lymphocyte-depleted classical histology subtype and haemoglobin level of 10 g/dl or less at the time of ASCT were identified as risk factors for worse OS, whereas stage III or IV disease at diagnosis and disease status at ASCT other than complete or partial remission predicted inferior PFS. LACE followed by ASCT is an effective treatment for the majority of patients with chemosensitive relapsed Hodgkin's lymphoma and a proportion of chemorefractory patients also benefit.","author":[{"dropping-particle":"","family":"Perz","given":"J B","non-dropping-particle":"","parse-names":false,"suffix":""},{"dropping-particle":"","family":"Giles","given":"C","non-dropping-particle":"","parse-names":false,"suffix":""},{"dropping-particle":"","family":"Szydlo","given":"R","non-dropping-particle":"","parse-names":false,"suffix":""},{"dropping-particle":"","family":"O'Shea","given":"D","non-dropping-particle":"","parse-names":false,"suffix":""},{"dropping-particle":"","family":"Sanz","given":"J","non-dropping-particle":"","parse-names":false,"suffix":""},{"dropping-particle":"","family":"Chaidos","given":"A","non-dropping-particle":"","parse-names":false,"suffix":""},{"dropping-particle":"","family":"Wagner","given":"S","non-dropping-particle":"","parse-names":false,"suffix":""},{"dropping-particle":"","family":"Davis","given":"J","non-dropping-particle":"","parse-names":false,"suffix":""},{"dropping-particle":"","family":"Loaiza","given":"S","non-dropping-particle":"","parse-names":false,"suffix":""},{"dropping-particle":"","family":"Marin","given":"D","non-dropping-particle":"","parse-names":false,"suffix":""},{"dropping-particle":"","family":"Apperley","given":"J","non-dropping-particle":"","parse-names":false,"suffix":""},{"dropping-particle":"","family":"Olavarria","given":"E","non-dropping-particle":"","parse-names":false,"suffix":""},{"dropping-particle":"","family":"Rahemtulla","given":"A","non-dropping-particle":"","parse-names":false,"suffix":""},{"dropping-particle":"","family":"Lampert","given":"I","non-dropping-particle":"","parse-names":false,"suffix":""},{"dropping-particle":"","family":"Naresh","given":"K","non-dropping-particle":"","parse-names":false,"suffix":""},{"dropping-particle":"","family":"Samson","given":"D","non-dropping-particle":"","parse-names":false,"suffix":""},{"dropping-particle":"","family":"MacDonald","given":"D","non-dropping-particle":"","parse-names":false,"suffix":""},{"dropping-particle":"","family":"Kanfer","given":"E J","non-dropping-particle":"","parse-names":false,"suffix":""}],"container-title":"Bone marrow transplantation","id":"ITEM-2","issue":"1","issued":{"date-parts":[["2007","1"]]},"page":"41-7","publisher":"Bone Marrow Transplant","title":"LACE-conditioned autologous stem cell transplantation for relapsed or refractory Hodgkin's lymphoma: treatment outcome and risk factor analysis in 67 patients from a single centre.","type":"article-journal","volume":"39"},"uris":["http://www.mendeley.com/documents/?uuid=a8c80dd3-9f3f-3bd3-8ad8-c4b068fdf579","http://www.mendeley.com/documents/?uuid=1b0196ad-e3d1-415d-9222-3686ef87b016"]},{"id":"ITEM-3","itemData":{"DOI":"10.6002/ect.2011.0092","ISSN":"2146-8427","PMID":"22432762","abstract":"OBJECTIVES A BEAM regimen including carmustine (BiCNU: bis-chloroethyl nitrosourea), etoposide, cytarabine (cytosine arabinoside), and melphalan is a widely used conditioning regimen for autologous stem cell transplant in patients with Hodgkin lymphoma. We report the results of noncryopreserved autologous stem cell transplant of 45 patients with Hodgkin lymphoma given an alternative regimen, modified BEAM-like regimen (CEAM regimen: lomustine, etoposide, cytarabine, and melphalan), in which carmustine (BiCNU IV) was substituted by oral lomustine (CCNU: 2 chloroethyl cyclohexyl nitrosourea). PATIENTS AND METHODS Forty-five eligible patients with relapsed/refractory Hodgkin lymphoma were consecutively enrolled and underwent conditioning regimen with BEAM-like regimen protocol as follows: Lomustine 200 mg/m(2) on day -3; etoposide 1000 mg/m(2) on day -3 and -2; cytarabine 1000 mg/m(2) on days -3, -2; and Melphalan 140 mg/m(2) on day -1. RESULTS All 45 patients showed engraftment of infused stem cell, and there was no graft failure in the study group. The median mononuclear cell dose was 3.4 × 10(8). The median time to absolute neutrophil count &gt; 0.5 × 10(9)/L was 11 days, and the median time to platelet count &gt; 20 × 10(9) was 14 days. Grade 2 and grade 3 mucositis was seen in 64.5% our patients. Transplant-related mortality at 100 days occurred in 1 patient (2.2%). With a median follow-up of 27 months, median disease-free survival was 20 months, mean overall survival was 27 months, and median overall survival has not yet been reached. CONCLUSIONS These data demonstrate the safety and feasibility of BEAM-like regimen as a new and modified regimen; longer follow-up is required to evaluate fully efficacy and long-term safety of our method.","author":[{"dropping-particle":"","family":"Ramzi","given":"Mani","non-dropping-particle":"","parse-names":false,"suffix":""},{"dropping-particle":"","family":"Mohamadian","given":"Mohsen","non-dropping-particle":"","parse-names":false,"suffix":""},{"dropping-particle":"","family":"Vojdani","given":"Reza","non-dropping-particle":"","parse-names":false,"suffix":""},{"dropping-particle":"","family":"Dehghani","given":"Mehdi","non-dropping-particle":"","parse-names":false,"suffix":""},{"dropping-particle":"","family":"Nourani","given":"Habib","non-dropping-particle":"","parse-names":false,"suffix":""},{"dropping-particle":"","family":"Zakerinia","given":"Maryam","non-dropping-particle":"","parse-names":false,"suffix":""},{"dropping-particle":"","family":"Haghighinejad","given":"Hoorvash","non-dropping-particle":"","parse-names":false,"suffix":""}],"container-title":"Experimental and clinical transplantation : official journal of the Middle East Society for Organ Transplantation","id":"ITEM-3","issue":"2","issued":{"date-parts":[["2012","4"]]},"page":"163-7","publisher":"Exp Clin Transplant","title":"Autologous noncryopreserved hematopoietic stem cell transplant with CEAM as a modified conditioning regimen in patients with Hodgkin lymphoma: a single-center experience with a new protocol.","type":"article-journal","volume":"10"},"uris":["http://www.mendeley.com/documents/?uuid=4fa47866-15e7-323f-bafd-68fc7216a752","http://www.mendeley.com/documents/?uuid=9ca20e06-5e69-4a38-956e-4d81d8214f0a"]},{"id":"ITEM-4","itemData":{"ISSN":"2234-943X","PMID":"31552193","author":[{"dropping-particle":"","family":"Colita","given":"Andrei","non-dropping-particle":"","parse-names":false,"suffix":""},{"dropping-particle":"","family":"Colita","given":"Anca","non-dropping-particle":"","parse-names":false,"suffix":""},{"dropping-particle":"","family":"Bumbea","given":"Horia","non-dropping-particle":"","parse-names":false,"suffix":""},{"dropping-particle":"","family":"Croitoru","given":"Adina","non-dropping-particle":"","parse-names":false,"suffix":""},{"dropping-particle":"","family":"Orban","given":"Carmen","non-dropping-particle":"","parse-names":false,"suffix":""},{"dropping-particle":"","family":"Lipan","given":"Lavinia Eugenia","non-dropping-particle":"","parse-names":false,"suffix":""},{"dropping-particle":"","family":"Craciun","given":"Oana-Gabriela","non-dropping-particle":"","parse-names":false,"suffix":""},{"dropping-particle":"","family":"Soare","given":"Dan","non-dropping-particle":"","parse-names":false,"suffix":""},{"dropping-particle":"","family":"Ghimici","given":"Cecilia","non-dropping-particle":"","parse-names":false,"suffix":""},{"dropping-particle":"","family":"Manolache","given":"Raluca","non-dropping-particle":"","parse-names":false,"suffix":""},{"dropping-particle":"","family":"Gelatu","given":"Ionel","non-dropping-particle":"","parse-names":false,"suffix":""},{"dropping-particle":"","family":"Vladareanu","given":"Ana-Maria","non-dropping-particle":"","parse-names":false,"suffix":""},{"dropping-particle":"","family":"Pasca","given":"Sergiu","non-dropping-particle":"","parse-names":false,"suffix":""},{"dropping-particle":"","family":"Teodorescu","given":"Patric","non-dropping-particle":"","parse-names":false,"suffix":""},{"dropping-particle":"","family":"Dima","given":"Delia","non-dropping-particle":"","parse-names":false,"suffix":""},{"dropping-particle":"","family":"Lupu","given":"Anca","non-dropping-particle":"","parse-names":false,"suffix":""},{"dropping-particle":"","family":"Coriu","given":"Daniel","non-dropping-particle":"","parse-names":false,"suffix":""},{"dropping-particle":"","family":"Tomuleasa","given":"Ciprian","non-dropping-particle":"","parse-names":false,"suffix":""},{"dropping-particle":"","family":"Tanase","given":"Alina","non-dropping-particle":"","parse-names":false,"suffix":""}],"container-title":"Frontiers in</w:instrText>
      </w:r>
      <w:r w:rsidR="00A6794A" w:rsidRPr="00D3550C">
        <w:instrText xml:space="preserve"> </w:instrText>
      </w:r>
      <w:r w:rsidR="00A6794A">
        <w:rPr>
          <w:lang w:val="en-US"/>
        </w:rPr>
        <w:instrText>oncology</w:instrText>
      </w:r>
      <w:r w:rsidR="00A6794A" w:rsidRPr="00D3550C">
        <w:instrText>","</w:instrText>
      </w:r>
      <w:r w:rsidR="00A6794A">
        <w:rPr>
          <w:lang w:val="en-US"/>
        </w:rPr>
        <w:instrText>id</w:instrText>
      </w:r>
      <w:r w:rsidR="00A6794A" w:rsidRPr="00D3550C">
        <w:instrText>":"</w:instrText>
      </w:r>
      <w:r w:rsidR="00A6794A">
        <w:rPr>
          <w:lang w:val="en-US"/>
        </w:rPr>
        <w:instrText>ITEM</w:instrText>
      </w:r>
      <w:r w:rsidR="00A6794A" w:rsidRPr="00D3550C">
        <w:instrText>-4","</w:instrText>
      </w:r>
      <w:r w:rsidR="00A6794A">
        <w:rPr>
          <w:lang w:val="en-US"/>
        </w:rPr>
        <w:instrText>issued</w:instrText>
      </w:r>
      <w:r w:rsidR="00A6794A" w:rsidRPr="00D3550C">
        <w:instrText>":{"</w:instrText>
      </w:r>
      <w:r w:rsidR="00A6794A">
        <w:rPr>
          <w:lang w:val="en-US"/>
        </w:rPr>
        <w:instrText>date</w:instrText>
      </w:r>
      <w:r w:rsidR="00A6794A" w:rsidRPr="00D3550C">
        <w:instrText>-</w:instrText>
      </w:r>
      <w:r w:rsidR="00A6794A">
        <w:rPr>
          <w:lang w:val="en-US"/>
        </w:rPr>
        <w:instrText>parts</w:instrText>
      </w:r>
      <w:r w:rsidR="00A6794A" w:rsidRPr="00D3550C">
        <w:instrText>":[["2019","9","10"]]},"</w:instrText>
      </w:r>
      <w:r w:rsidR="00A6794A">
        <w:rPr>
          <w:lang w:val="en-US"/>
        </w:rPr>
        <w:instrText>page</w:instrText>
      </w:r>
      <w:r w:rsidR="00A6794A" w:rsidRPr="00D3550C">
        <w:instrText>":"892","</w:instrText>
      </w:r>
      <w:r w:rsidR="00A6794A">
        <w:rPr>
          <w:lang w:val="en-US"/>
        </w:rPr>
        <w:instrText>publisher</w:instrText>
      </w:r>
      <w:r w:rsidR="00A6794A" w:rsidRPr="00D3550C">
        <w:instrText>":"</w:instrText>
      </w:r>
      <w:r w:rsidR="00A6794A">
        <w:rPr>
          <w:lang w:val="en-US"/>
        </w:rPr>
        <w:instrText>Front</w:instrText>
      </w:r>
      <w:r w:rsidR="00A6794A" w:rsidRPr="00D3550C">
        <w:instrText xml:space="preserve"> </w:instrText>
      </w:r>
      <w:r w:rsidR="00A6794A">
        <w:rPr>
          <w:lang w:val="en-US"/>
        </w:rPr>
        <w:instrText>Oncol</w:instrText>
      </w:r>
      <w:r w:rsidR="00A6794A" w:rsidRPr="00D3550C">
        <w:instrText>","</w:instrText>
      </w:r>
      <w:r w:rsidR="00A6794A">
        <w:rPr>
          <w:lang w:val="en-US"/>
        </w:rPr>
        <w:instrText>title</w:instrText>
      </w:r>
      <w:r w:rsidR="00A6794A" w:rsidRPr="00D3550C">
        <w:instrText>":"</w:instrText>
      </w:r>
      <w:r w:rsidR="00A6794A">
        <w:rPr>
          <w:lang w:val="en-US"/>
        </w:rPr>
        <w:instrText>LEAM</w:instrText>
      </w:r>
      <w:r w:rsidR="00A6794A" w:rsidRPr="00D3550C">
        <w:instrText xml:space="preserve"> </w:instrText>
      </w:r>
      <w:r w:rsidR="00A6794A">
        <w:rPr>
          <w:lang w:val="en-US"/>
        </w:rPr>
        <w:instrText>vs</w:instrText>
      </w:r>
      <w:r w:rsidR="00A6794A" w:rsidRPr="00D3550C">
        <w:instrText xml:space="preserve">. </w:instrText>
      </w:r>
      <w:r w:rsidR="00A6794A">
        <w:rPr>
          <w:lang w:val="en-US"/>
        </w:rPr>
        <w:instrText>BEAM</w:instrText>
      </w:r>
      <w:r w:rsidR="00A6794A" w:rsidRPr="00D3550C">
        <w:instrText xml:space="preserve"> </w:instrText>
      </w:r>
      <w:r w:rsidR="00A6794A">
        <w:rPr>
          <w:lang w:val="en-US"/>
        </w:rPr>
        <w:instrText>vs</w:instrText>
      </w:r>
      <w:r w:rsidR="00A6794A" w:rsidRPr="00D3550C">
        <w:instrText xml:space="preserve">. </w:instrText>
      </w:r>
      <w:r w:rsidR="00A6794A">
        <w:rPr>
          <w:lang w:val="en-US"/>
        </w:rPr>
        <w:instrText>CLV</w:instrText>
      </w:r>
      <w:r w:rsidR="00A6794A" w:rsidRPr="00D3550C">
        <w:instrText xml:space="preserve"> </w:instrText>
      </w:r>
      <w:r w:rsidR="00A6794A">
        <w:rPr>
          <w:lang w:val="en-US"/>
        </w:rPr>
        <w:instrText>Conditioning</w:instrText>
      </w:r>
      <w:r w:rsidR="00A6794A" w:rsidRPr="00D3550C">
        <w:instrText xml:space="preserve"> </w:instrText>
      </w:r>
      <w:r w:rsidR="00A6794A">
        <w:rPr>
          <w:lang w:val="en-US"/>
        </w:rPr>
        <w:instrText>Regimen</w:instrText>
      </w:r>
      <w:r w:rsidR="00A6794A" w:rsidRPr="00D3550C">
        <w:instrText xml:space="preserve"> </w:instrText>
      </w:r>
      <w:r w:rsidR="00A6794A">
        <w:rPr>
          <w:lang w:val="en-US"/>
        </w:rPr>
        <w:instrText>for</w:instrText>
      </w:r>
      <w:r w:rsidR="00A6794A" w:rsidRPr="00D3550C">
        <w:instrText xml:space="preserve"> </w:instrText>
      </w:r>
      <w:r w:rsidR="00A6794A">
        <w:rPr>
          <w:lang w:val="en-US"/>
        </w:rPr>
        <w:instrText>Autologous</w:instrText>
      </w:r>
      <w:r w:rsidR="00A6794A" w:rsidRPr="00D3550C">
        <w:instrText xml:space="preserve"> </w:instrText>
      </w:r>
      <w:r w:rsidR="00A6794A">
        <w:rPr>
          <w:lang w:val="en-US"/>
        </w:rPr>
        <w:instrText>Stem</w:instrText>
      </w:r>
      <w:r w:rsidR="00A6794A" w:rsidRPr="00D3550C">
        <w:instrText xml:space="preserve"> </w:instrText>
      </w:r>
      <w:r w:rsidR="00A6794A">
        <w:rPr>
          <w:lang w:val="en-US"/>
        </w:rPr>
        <w:instrText>Cell</w:instrText>
      </w:r>
      <w:r w:rsidR="00A6794A" w:rsidRPr="00D3550C">
        <w:instrText xml:space="preserve"> </w:instrText>
      </w:r>
      <w:r w:rsidR="00A6794A">
        <w:rPr>
          <w:lang w:val="en-US"/>
        </w:rPr>
        <w:instrText>Transplantation</w:instrText>
      </w:r>
      <w:r w:rsidR="00A6794A" w:rsidRPr="00D3550C">
        <w:instrText xml:space="preserve"> </w:instrText>
      </w:r>
      <w:r w:rsidR="00A6794A">
        <w:rPr>
          <w:lang w:val="en-US"/>
        </w:rPr>
        <w:instrText>in</w:instrText>
      </w:r>
      <w:r w:rsidR="00A6794A" w:rsidRPr="00D3550C">
        <w:instrText xml:space="preserve"> </w:instrText>
      </w:r>
      <w:r w:rsidR="00A6794A">
        <w:rPr>
          <w:lang w:val="en-US"/>
        </w:rPr>
        <w:instrText>Malignant</w:instrText>
      </w:r>
      <w:r w:rsidR="00A6794A" w:rsidRPr="00D3550C">
        <w:instrText xml:space="preserve"> </w:instrText>
      </w:r>
      <w:r w:rsidR="00A6794A">
        <w:rPr>
          <w:lang w:val="en-US"/>
        </w:rPr>
        <w:instrText>Lymphomas</w:instrText>
      </w:r>
      <w:r w:rsidR="00A6794A" w:rsidRPr="00D3550C">
        <w:instrText xml:space="preserve">. </w:instrText>
      </w:r>
      <w:r w:rsidR="00A6794A">
        <w:rPr>
          <w:lang w:val="en-US"/>
        </w:rPr>
        <w:instrText>Retrospective</w:instrText>
      </w:r>
      <w:r w:rsidR="00A6794A" w:rsidRPr="00D3550C">
        <w:instrText xml:space="preserve"> </w:instrText>
      </w:r>
      <w:r w:rsidR="00A6794A">
        <w:rPr>
          <w:lang w:val="en-US"/>
        </w:rPr>
        <w:instrText>Comparison</w:instrText>
      </w:r>
      <w:r w:rsidR="00A6794A" w:rsidRPr="00D3550C">
        <w:instrText xml:space="preserve"> </w:instrText>
      </w:r>
      <w:r w:rsidR="00A6794A">
        <w:rPr>
          <w:lang w:val="en-US"/>
        </w:rPr>
        <w:instrText>of</w:instrText>
      </w:r>
      <w:r w:rsidR="00A6794A" w:rsidRPr="00D3550C">
        <w:instrText xml:space="preserve"> </w:instrText>
      </w:r>
      <w:r w:rsidR="00A6794A">
        <w:rPr>
          <w:lang w:val="en-US"/>
        </w:rPr>
        <w:instrText>Toxicity</w:instrText>
      </w:r>
      <w:r w:rsidR="00A6794A" w:rsidRPr="00D3550C">
        <w:instrText xml:space="preserve"> </w:instrText>
      </w:r>
      <w:r w:rsidR="00A6794A">
        <w:rPr>
          <w:lang w:val="en-US"/>
        </w:rPr>
        <w:instrText>and</w:instrText>
      </w:r>
      <w:r w:rsidR="00A6794A" w:rsidRPr="00D3550C">
        <w:instrText xml:space="preserve"> </w:instrText>
      </w:r>
      <w:r w:rsidR="00A6794A">
        <w:rPr>
          <w:lang w:val="en-US"/>
        </w:rPr>
        <w:instrText>Efficacy</w:instrText>
      </w:r>
      <w:r w:rsidR="00A6794A" w:rsidRPr="00D3550C">
        <w:instrText xml:space="preserve"> </w:instrText>
      </w:r>
      <w:r w:rsidR="00A6794A">
        <w:rPr>
          <w:lang w:val="en-US"/>
        </w:rPr>
        <w:instrText>on</w:instrText>
      </w:r>
      <w:r w:rsidR="00A6794A" w:rsidRPr="00D3550C">
        <w:instrText xml:space="preserve"> 222 </w:instrText>
      </w:r>
      <w:r w:rsidR="00A6794A">
        <w:rPr>
          <w:lang w:val="en-US"/>
        </w:rPr>
        <w:instrText>Patients</w:instrText>
      </w:r>
      <w:r w:rsidR="00A6794A" w:rsidRPr="00D3550C">
        <w:instrText xml:space="preserve"> </w:instrText>
      </w:r>
      <w:r w:rsidR="00A6794A">
        <w:rPr>
          <w:lang w:val="en-US"/>
        </w:rPr>
        <w:instrText>in</w:instrText>
      </w:r>
      <w:r w:rsidR="00A6794A" w:rsidRPr="00D3550C">
        <w:instrText xml:space="preserve"> </w:instrText>
      </w:r>
      <w:r w:rsidR="00A6794A">
        <w:rPr>
          <w:lang w:val="en-US"/>
        </w:rPr>
        <w:instrText>the</w:instrText>
      </w:r>
      <w:r w:rsidR="00A6794A" w:rsidRPr="00D3550C">
        <w:instrText xml:space="preserve"> </w:instrText>
      </w:r>
      <w:r w:rsidR="00A6794A">
        <w:rPr>
          <w:lang w:val="en-US"/>
        </w:rPr>
        <w:instrText>First</w:instrText>
      </w:r>
      <w:r w:rsidR="00A6794A" w:rsidRPr="00D3550C">
        <w:instrText xml:space="preserve"> 100 </w:instrText>
      </w:r>
      <w:r w:rsidR="00A6794A">
        <w:rPr>
          <w:lang w:val="en-US"/>
        </w:rPr>
        <w:instrText>Days</w:instrText>
      </w:r>
      <w:r w:rsidR="00A6794A" w:rsidRPr="00D3550C">
        <w:instrText xml:space="preserve"> </w:instrText>
      </w:r>
      <w:r w:rsidR="00A6794A">
        <w:rPr>
          <w:lang w:val="en-US"/>
        </w:rPr>
        <w:instrText>After</w:instrText>
      </w:r>
      <w:r w:rsidR="00A6794A" w:rsidRPr="00D3550C">
        <w:instrText xml:space="preserve"> </w:instrText>
      </w:r>
      <w:r w:rsidR="00A6794A">
        <w:rPr>
          <w:lang w:val="en-US"/>
        </w:rPr>
        <w:instrText>Transplant</w:instrText>
      </w:r>
      <w:r w:rsidR="00A6794A" w:rsidRPr="00D3550C">
        <w:instrText xml:space="preserve">, </w:instrText>
      </w:r>
      <w:r w:rsidR="00A6794A">
        <w:rPr>
          <w:lang w:val="en-US"/>
        </w:rPr>
        <w:instrText>On</w:instrText>
      </w:r>
      <w:r w:rsidR="00A6794A" w:rsidRPr="00D3550C">
        <w:instrText xml:space="preserve"> </w:instrText>
      </w:r>
      <w:r w:rsidR="00A6794A">
        <w:rPr>
          <w:lang w:val="en-US"/>
        </w:rPr>
        <w:instrText>Behalf</w:instrText>
      </w:r>
      <w:r w:rsidR="00A6794A" w:rsidRPr="00D3550C">
        <w:instrText xml:space="preserve"> </w:instrText>
      </w:r>
      <w:r w:rsidR="00A6794A">
        <w:rPr>
          <w:lang w:val="en-US"/>
        </w:rPr>
        <w:instrText>of</w:instrText>
      </w:r>
      <w:r w:rsidR="00A6794A" w:rsidRPr="00D3550C">
        <w:instrText xml:space="preserve"> </w:instrText>
      </w:r>
      <w:r w:rsidR="00A6794A">
        <w:rPr>
          <w:lang w:val="en-US"/>
        </w:rPr>
        <w:instrText>the</w:instrText>
      </w:r>
      <w:r w:rsidR="00A6794A" w:rsidRPr="00D3550C">
        <w:instrText xml:space="preserve"> </w:instrText>
      </w:r>
      <w:r w:rsidR="00A6794A">
        <w:rPr>
          <w:lang w:val="en-US"/>
        </w:rPr>
        <w:instrText>Romanian</w:instrText>
      </w:r>
      <w:r w:rsidR="00A6794A" w:rsidRPr="00D3550C">
        <w:instrText xml:space="preserve"> </w:instrText>
      </w:r>
      <w:r w:rsidR="00A6794A">
        <w:rPr>
          <w:lang w:val="en-US"/>
        </w:rPr>
        <w:instrText>Society</w:instrText>
      </w:r>
      <w:r w:rsidR="00A6794A" w:rsidRPr="00D3550C">
        <w:instrText xml:space="preserve"> </w:instrText>
      </w:r>
      <w:r w:rsidR="00A6794A">
        <w:rPr>
          <w:lang w:val="en-US"/>
        </w:rPr>
        <w:instrText>for</w:instrText>
      </w:r>
      <w:r w:rsidR="00A6794A" w:rsidRPr="00D3550C">
        <w:instrText xml:space="preserve"> </w:instrText>
      </w:r>
      <w:r w:rsidR="00A6794A">
        <w:rPr>
          <w:lang w:val="en-US"/>
        </w:rPr>
        <w:instrText>Bon</w:instrText>
      </w:r>
      <w:r w:rsidR="00A6794A" w:rsidRPr="00D3550C">
        <w:instrText>","</w:instrText>
      </w:r>
      <w:r w:rsidR="00A6794A">
        <w:rPr>
          <w:lang w:val="en-US"/>
        </w:rPr>
        <w:instrText>type</w:instrText>
      </w:r>
      <w:r w:rsidR="00A6794A" w:rsidRPr="00D3550C">
        <w:instrText>":"</w:instrText>
      </w:r>
      <w:r w:rsidR="00A6794A">
        <w:rPr>
          <w:lang w:val="en-US"/>
        </w:rPr>
        <w:instrText>article</w:instrText>
      </w:r>
      <w:r w:rsidR="00A6794A" w:rsidRPr="00D3550C">
        <w:instrText>-</w:instrText>
      </w:r>
      <w:r w:rsidR="00A6794A">
        <w:rPr>
          <w:lang w:val="en-US"/>
        </w:rPr>
        <w:instrText>journal</w:instrText>
      </w:r>
      <w:r w:rsidR="00A6794A" w:rsidRPr="00D3550C">
        <w:instrText>","</w:instrText>
      </w:r>
      <w:r w:rsidR="00A6794A">
        <w:rPr>
          <w:lang w:val="en-US"/>
        </w:rPr>
        <w:instrText>volume</w:instrText>
      </w:r>
      <w:r w:rsidR="00A6794A" w:rsidRPr="00D3550C">
        <w:instrText>":"9"},"</w:instrText>
      </w:r>
      <w:r w:rsidR="00A6794A">
        <w:rPr>
          <w:lang w:val="en-US"/>
        </w:rPr>
        <w:instrText>uris</w:instrText>
      </w:r>
      <w:r w:rsidR="00A6794A" w:rsidRPr="00D3550C">
        <w:instrText>":["</w:instrText>
      </w:r>
      <w:r w:rsidR="00A6794A">
        <w:rPr>
          <w:lang w:val="en-US"/>
        </w:rPr>
        <w:instrText>http</w:instrText>
      </w:r>
      <w:r w:rsidR="00A6794A" w:rsidRPr="00D3550C">
        <w:instrText>://</w:instrText>
      </w:r>
      <w:r w:rsidR="00A6794A">
        <w:rPr>
          <w:lang w:val="en-US"/>
        </w:rPr>
        <w:instrText>www</w:instrText>
      </w:r>
      <w:r w:rsidR="00A6794A" w:rsidRPr="00D3550C">
        <w:instrText>.</w:instrText>
      </w:r>
      <w:r w:rsidR="00A6794A">
        <w:rPr>
          <w:lang w:val="en-US"/>
        </w:rPr>
        <w:instrText>mendeley</w:instrText>
      </w:r>
      <w:r w:rsidR="00A6794A" w:rsidRPr="00D3550C">
        <w:instrText>.</w:instrText>
      </w:r>
      <w:r w:rsidR="00A6794A">
        <w:rPr>
          <w:lang w:val="en-US"/>
        </w:rPr>
        <w:instrText>com</w:instrText>
      </w:r>
      <w:r w:rsidR="00A6794A" w:rsidRPr="00D3550C">
        <w:instrText>/</w:instrText>
      </w:r>
      <w:r w:rsidR="00A6794A">
        <w:rPr>
          <w:lang w:val="en-US"/>
        </w:rPr>
        <w:instrText>documents</w:instrText>
      </w:r>
      <w:r w:rsidR="00A6794A" w:rsidRPr="00D3550C">
        <w:instrText>/?</w:instrText>
      </w:r>
      <w:r w:rsidR="00A6794A">
        <w:rPr>
          <w:lang w:val="en-US"/>
        </w:rPr>
        <w:instrText>uuid</w:instrText>
      </w:r>
      <w:r w:rsidR="00A6794A" w:rsidRPr="00D3550C">
        <w:instrText>=</w:instrText>
      </w:r>
      <w:r w:rsidR="00A6794A">
        <w:rPr>
          <w:lang w:val="en-US"/>
        </w:rPr>
        <w:instrText>c</w:instrText>
      </w:r>
      <w:r w:rsidR="00A6794A" w:rsidRPr="00D3550C">
        <w:instrText>53</w:instrText>
      </w:r>
      <w:r w:rsidR="00A6794A">
        <w:rPr>
          <w:lang w:val="en-US"/>
        </w:rPr>
        <w:instrText>df</w:instrText>
      </w:r>
      <w:r w:rsidR="00A6794A" w:rsidRPr="00D3550C">
        <w:instrText>651-72</w:instrText>
      </w:r>
      <w:r w:rsidR="00A6794A">
        <w:rPr>
          <w:lang w:val="en-US"/>
        </w:rPr>
        <w:instrText>c</w:instrText>
      </w:r>
      <w:r w:rsidR="00A6794A" w:rsidRPr="00D3550C">
        <w:instrText>5-4</w:instrText>
      </w:r>
      <w:r w:rsidR="00A6794A">
        <w:rPr>
          <w:lang w:val="en-US"/>
        </w:rPr>
        <w:instrText>bae</w:instrText>
      </w:r>
      <w:r w:rsidR="00A6794A" w:rsidRPr="00D3550C">
        <w:instrText>-</w:instrText>
      </w:r>
      <w:r w:rsidR="00A6794A">
        <w:rPr>
          <w:lang w:val="en-US"/>
        </w:rPr>
        <w:instrText>be</w:instrText>
      </w:r>
      <w:r w:rsidR="00A6794A" w:rsidRPr="00D3550C">
        <w:instrText>62-</w:instrText>
      </w:r>
      <w:r w:rsidR="00A6794A">
        <w:rPr>
          <w:lang w:val="en-US"/>
        </w:rPr>
        <w:instrText>d</w:instrText>
      </w:r>
      <w:r w:rsidR="00A6794A" w:rsidRPr="00D3550C">
        <w:instrText>061</w:instrText>
      </w:r>
      <w:r w:rsidR="00A6794A">
        <w:rPr>
          <w:lang w:val="en-US"/>
        </w:rPr>
        <w:instrText>ccde</w:instrText>
      </w:r>
      <w:r w:rsidR="00A6794A" w:rsidRPr="00D3550C">
        <w:instrText>0</w:instrText>
      </w:r>
      <w:r w:rsidR="00A6794A">
        <w:rPr>
          <w:lang w:val="en-US"/>
        </w:rPr>
        <w:instrText>a</w:instrText>
      </w:r>
      <w:r w:rsidR="00A6794A" w:rsidRPr="00D3550C">
        <w:instrText>8</w:instrText>
      </w:r>
      <w:r w:rsidR="00A6794A">
        <w:rPr>
          <w:lang w:val="en-US"/>
        </w:rPr>
        <w:instrText>e</w:instrText>
      </w:r>
      <w:r w:rsidR="00A6794A" w:rsidRPr="00D3550C">
        <w:instrText>"]},{"</w:instrText>
      </w:r>
      <w:r w:rsidR="00A6794A">
        <w:rPr>
          <w:lang w:val="en-US"/>
        </w:rPr>
        <w:instrText>id</w:instrText>
      </w:r>
      <w:r w:rsidR="00A6794A" w:rsidRPr="00D3550C">
        <w:instrText>":"</w:instrText>
      </w:r>
      <w:r w:rsidR="00A6794A">
        <w:rPr>
          <w:lang w:val="en-US"/>
        </w:rPr>
        <w:instrText>ITEM</w:instrText>
      </w:r>
      <w:r w:rsidR="00A6794A" w:rsidRPr="00D3550C">
        <w:instrText>-5","</w:instrText>
      </w:r>
      <w:r w:rsidR="00A6794A">
        <w:rPr>
          <w:lang w:val="en-US"/>
        </w:rPr>
        <w:instrText>itemData</w:instrText>
      </w:r>
      <w:r w:rsidR="00A6794A" w:rsidRPr="00D3550C">
        <w:instrText>":{"</w:instrText>
      </w:r>
      <w:r w:rsidR="00A6794A">
        <w:rPr>
          <w:lang w:val="en-US"/>
        </w:rPr>
        <w:instrText>ISBN</w:instrText>
      </w:r>
      <w:r w:rsidR="00A6794A" w:rsidRPr="00D3550C">
        <w:instrText>":"9783030022778","</w:instrText>
      </w:r>
      <w:r w:rsidR="00A6794A">
        <w:rPr>
          <w:lang w:val="en-US"/>
        </w:rPr>
        <w:instrText>author</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family</w:instrText>
      </w:r>
      <w:r w:rsidR="00A6794A" w:rsidRPr="00D3550C">
        <w:instrText>":"</w:instrText>
      </w:r>
      <w:r w:rsidR="00A6794A">
        <w:rPr>
          <w:lang w:val="en-US"/>
        </w:rPr>
        <w:instrText>Enric</w:instrText>
      </w:r>
      <w:r w:rsidR="00A6794A" w:rsidRPr="00D3550C">
        <w:instrText xml:space="preserve"> </w:instrText>
      </w:r>
      <w:r w:rsidR="00A6794A">
        <w:rPr>
          <w:lang w:val="en-US"/>
        </w:rPr>
        <w:instrText>Carreras</w:instrText>
      </w:r>
      <w:r w:rsidR="00A6794A" w:rsidRPr="00D3550C">
        <w:instrText>","</w:instrText>
      </w:r>
      <w:r w:rsidR="00A6794A">
        <w:rPr>
          <w:lang w:val="en-US"/>
        </w:rPr>
        <w:instrText>given</w:instrText>
      </w:r>
      <w:r w:rsidR="00A6794A" w:rsidRPr="00D3550C">
        <w:instrText>":"</w:instrText>
      </w:r>
      <w:r w:rsidR="00A6794A">
        <w:rPr>
          <w:lang w:val="en-US"/>
        </w:rPr>
        <w:instrText>Dufour</w:instrText>
      </w:r>
      <w:r w:rsidR="00A6794A" w:rsidRPr="00D3550C">
        <w:instrText xml:space="preserve"> </w:instrText>
      </w:r>
      <w:r w:rsidR="00A6794A">
        <w:rPr>
          <w:lang w:val="en-US"/>
        </w:rPr>
        <w:instrText>Carlo</w:instrText>
      </w:r>
      <w:r w:rsidR="00A6794A" w:rsidRPr="00D3550C">
        <w:instrText>","</w:instrText>
      </w:r>
      <w:r w:rsidR="00A6794A">
        <w:rPr>
          <w:lang w:val="en-US"/>
        </w:rPr>
        <w:instrText>non</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parse</w:instrText>
      </w:r>
      <w:r w:rsidR="00A6794A" w:rsidRPr="00D3550C">
        <w:instrText>-</w:instrText>
      </w:r>
      <w:r w:rsidR="00A6794A">
        <w:rPr>
          <w:lang w:val="en-US"/>
        </w:rPr>
        <w:instrText>names</w:instrText>
      </w:r>
      <w:r w:rsidR="00A6794A" w:rsidRPr="00D3550C">
        <w:instrText>":</w:instrText>
      </w:r>
      <w:r w:rsidR="00A6794A">
        <w:rPr>
          <w:lang w:val="en-US"/>
        </w:rPr>
        <w:instrText>false</w:instrText>
      </w:r>
      <w:r w:rsidR="00A6794A" w:rsidRPr="00D3550C">
        <w:instrText>,"</w:instrText>
      </w:r>
      <w:r w:rsidR="00A6794A">
        <w:rPr>
          <w:lang w:val="en-US"/>
        </w:rPr>
        <w:instrText>suffix</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family</w:instrText>
      </w:r>
      <w:r w:rsidR="00A6794A" w:rsidRPr="00D3550C">
        <w:instrText>":"</w:instrText>
      </w:r>
      <w:r w:rsidR="00A6794A">
        <w:rPr>
          <w:lang w:val="en-US"/>
        </w:rPr>
        <w:instrText>Mohty</w:instrText>
      </w:r>
      <w:r w:rsidR="00A6794A" w:rsidRPr="00D3550C">
        <w:instrText xml:space="preserve"> </w:instrText>
      </w:r>
      <w:r w:rsidR="00A6794A">
        <w:rPr>
          <w:lang w:val="en-US"/>
        </w:rPr>
        <w:instrText>Mohamad</w:instrText>
      </w:r>
      <w:r w:rsidR="00A6794A" w:rsidRPr="00D3550C">
        <w:instrText>","</w:instrText>
      </w:r>
      <w:r w:rsidR="00A6794A">
        <w:rPr>
          <w:lang w:val="en-US"/>
        </w:rPr>
        <w:instrText>given</w:instrText>
      </w:r>
      <w:r w:rsidR="00A6794A" w:rsidRPr="00D3550C">
        <w:instrText>":"</w:instrText>
      </w:r>
      <w:r w:rsidR="00A6794A">
        <w:rPr>
          <w:lang w:val="en-US"/>
        </w:rPr>
        <w:instrText>Kr</w:instrText>
      </w:r>
      <w:r w:rsidR="00A6794A" w:rsidRPr="00D3550C">
        <w:instrText>ö</w:instrText>
      </w:r>
      <w:r w:rsidR="00A6794A">
        <w:rPr>
          <w:lang w:val="en-US"/>
        </w:rPr>
        <w:instrText>ger</w:instrText>
      </w:r>
      <w:r w:rsidR="00A6794A" w:rsidRPr="00D3550C">
        <w:instrText xml:space="preserve"> </w:instrText>
      </w:r>
      <w:r w:rsidR="00A6794A">
        <w:rPr>
          <w:lang w:val="en-US"/>
        </w:rPr>
        <w:instrText>Nicolaus</w:instrText>
      </w:r>
      <w:r w:rsidR="00A6794A" w:rsidRPr="00D3550C">
        <w:instrText>","</w:instrText>
      </w:r>
      <w:r w:rsidR="00A6794A">
        <w:rPr>
          <w:lang w:val="en-US"/>
        </w:rPr>
        <w:instrText>non</w:instrText>
      </w:r>
      <w:r w:rsidR="00A6794A" w:rsidRPr="00D3550C">
        <w:instrText>-</w:instrText>
      </w:r>
      <w:r w:rsidR="00A6794A">
        <w:rPr>
          <w:lang w:val="en-US"/>
        </w:rPr>
        <w:instrText>dropping</w:instrText>
      </w:r>
      <w:r w:rsidR="00A6794A" w:rsidRPr="00D3550C">
        <w:instrText>-</w:instrText>
      </w:r>
      <w:r w:rsidR="00A6794A">
        <w:rPr>
          <w:lang w:val="en-US"/>
        </w:rPr>
        <w:instrText>particle</w:instrText>
      </w:r>
      <w:r w:rsidR="00A6794A" w:rsidRPr="00D3550C">
        <w:instrText>":"","</w:instrText>
      </w:r>
      <w:r w:rsidR="00A6794A">
        <w:rPr>
          <w:lang w:val="en-US"/>
        </w:rPr>
        <w:instrText>parse</w:instrText>
      </w:r>
      <w:r w:rsidR="00A6794A" w:rsidRPr="00D3550C">
        <w:instrText>-</w:instrText>
      </w:r>
      <w:r w:rsidR="00A6794A">
        <w:rPr>
          <w:lang w:val="en-US"/>
        </w:rPr>
        <w:instrText>names</w:instrText>
      </w:r>
      <w:r w:rsidR="00A6794A" w:rsidRPr="00D3550C">
        <w:instrText>":</w:instrText>
      </w:r>
      <w:r w:rsidR="00A6794A">
        <w:rPr>
          <w:lang w:val="en-US"/>
        </w:rPr>
        <w:instrText>false</w:instrText>
      </w:r>
      <w:r w:rsidR="00A6794A" w:rsidRPr="00D3550C">
        <w:instrText>,"</w:instrText>
      </w:r>
      <w:r w:rsidR="00A6794A">
        <w:rPr>
          <w:lang w:val="en-US"/>
        </w:rPr>
        <w:instrText>suffix</w:instrText>
      </w:r>
      <w:r w:rsidR="00A6794A" w:rsidRPr="00D3550C">
        <w:instrText>":""}],"</w:instrText>
      </w:r>
      <w:r w:rsidR="00A6794A">
        <w:rPr>
          <w:lang w:val="en-US"/>
        </w:rPr>
        <w:instrText>id</w:instrText>
      </w:r>
      <w:r w:rsidR="00A6794A" w:rsidRPr="00D3550C">
        <w:instrText>":"</w:instrText>
      </w:r>
      <w:r w:rsidR="00A6794A">
        <w:rPr>
          <w:lang w:val="en-US"/>
        </w:rPr>
        <w:instrText>ITEM</w:instrText>
      </w:r>
      <w:r w:rsidR="00A6794A" w:rsidRPr="00D3550C">
        <w:instrText>-5","</w:instrText>
      </w:r>
      <w:r w:rsidR="00A6794A">
        <w:rPr>
          <w:lang w:val="en-US"/>
        </w:rPr>
        <w:instrText>issued</w:instrText>
      </w:r>
      <w:r w:rsidR="00A6794A" w:rsidRPr="00D3550C">
        <w:instrText>":{"</w:instrText>
      </w:r>
      <w:r w:rsidR="00A6794A">
        <w:rPr>
          <w:lang w:val="en-US"/>
        </w:rPr>
        <w:instrText>date</w:instrText>
      </w:r>
      <w:r w:rsidR="00A6794A" w:rsidRPr="00D3550C">
        <w:instrText>-</w:instrText>
      </w:r>
      <w:r w:rsidR="00A6794A">
        <w:rPr>
          <w:lang w:val="en-US"/>
        </w:rPr>
        <w:instrText>parts</w:instrText>
      </w:r>
      <w:r w:rsidR="00A6794A" w:rsidRPr="00D3550C">
        <w:instrText>":[["2019"]]},"</w:instrText>
      </w:r>
      <w:r w:rsidR="00A6794A">
        <w:rPr>
          <w:lang w:val="en-US"/>
        </w:rPr>
        <w:instrText>number</w:instrText>
      </w:r>
      <w:r w:rsidR="00A6794A" w:rsidRPr="00D3550C">
        <w:instrText>-</w:instrText>
      </w:r>
      <w:r w:rsidR="00A6794A">
        <w:rPr>
          <w:lang w:val="en-US"/>
        </w:rPr>
        <w:instrText>of</w:instrText>
      </w:r>
      <w:r w:rsidR="00A6794A" w:rsidRPr="00D3550C">
        <w:instrText>-</w:instrText>
      </w:r>
      <w:r w:rsidR="00A6794A">
        <w:rPr>
          <w:lang w:val="en-US"/>
        </w:rPr>
        <w:instrText>pages</w:instrText>
      </w:r>
      <w:r w:rsidR="00A6794A" w:rsidRPr="00D3550C">
        <w:instrText>":"702","</w:instrText>
      </w:r>
      <w:r w:rsidR="00A6794A">
        <w:rPr>
          <w:lang w:val="en-US"/>
        </w:rPr>
        <w:instrText>title</w:instrText>
      </w:r>
      <w:r w:rsidR="00A6794A" w:rsidRPr="00D3550C">
        <w:instrText>":"</w:instrText>
      </w:r>
      <w:r w:rsidR="00A6794A">
        <w:rPr>
          <w:lang w:val="en-US"/>
        </w:rPr>
        <w:instrText>Hematopoietic</w:instrText>
      </w:r>
      <w:r w:rsidR="00A6794A" w:rsidRPr="00D3550C">
        <w:instrText xml:space="preserve"> </w:instrText>
      </w:r>
      <w:r w:rsidR="00A6794A">
        <w:rPr>
          <w:lang w:val="en-US"/>
        </w:rPr>
        <w:instrText>Stem</w:instrText>
      </w:r>
      <w:r w:rsidR="00A6794A" w:rsidRPr="00D3550C">
        <w:instrText xml:space="preserve"> </w:instrText>
      </w:r>
      <w:r w:rsidR="00A6794A">
        <w:rPr>
          <w:lang w:val="en-US"/>
        </w:rPr>
        <w:instrText>Cell</w:instrText>
      </w:r>
      <w:r w:rsidR="00A6794A" w:rsidRPr="00D3550C">
        <w:instrText xml:space="preserve"> </w:instrText>
      </w:r>
      <w:r w:rsidR="00A6794A">
        <w:rPr>
          <w:lang w:val="en-US"/>
        </w:rPr>
        <w:instrText>Transplantation</w:instrText>
      </w:r>
      <w:r w:rsidR="00A6794A" w:rsidRPr="00D3550C">
        <w:instrText xml:space="preserve"> </w:instrText>
      </w:r>
      <w:r w:rsidR="00A6794A">
        <w:rPr>
          <w:lang w:val="en-US"/>
        </w:rPr>
        <w:instrText>and</w:instrText>
      </w:r>
      <w:r w:rsidR="00A6794A" w:rsidRPr="00D3550C">
        <w:instrText xml:space="preserve"> </w:instrText>
      </w:r>
      <w:r w:rsidR="00A6794A">
        <w:rPr>
          <w:lang w:val="en-US"/>
        </w:rPr>
        <w:instrText>Cellular</w:instrText>
      </w:r>
      <w:r w:rsidR="00A6794A" w:rsidRPr="00D3550C">
        <w:instrText xml:space="preserve"> </w:instrText>
      </w:r>
      <w:r w:rsidR="00A6794A">
        <w:rPr>
          <w:lang w:val="en-US"/>
        </w:rPr>
        <w:instrText>Therapies</w:instrText>
      </w:r>
      <w:r w:rsidR="00A6794A" w:rsidRPr="00D3550C">
        <w:instrText>","</w:instrText>
      </w:r>
      <w:r w:rsidR="00A6794A">
        <w:rPr>
          <w:lang w:val="en-US"/>
        </w:rPr>
        <w:instrText>type</w:instrText>
      </w:r>
      <w:r w:rsidR="00A6794A" w:rsidRPr="00D3550C">
        <w:instrText>":"</w:instrText>
      </w:r>
      <w:r w:rsidR="00A6794A">
        <w:rPr>
          <w:lang w:val="en-US"/>
        </w:rPr>
        <w:instrText>book</w:instrText>
      </w:r>
      <w:r w:rsidR="00A6794A" w:rsidRPr="00D3550C">
        <w:instrText>"},"</w:instrText>
      </w:r>
      <w:r w:rsidR="00A6794A">
        <w:rPr>
          <w:lang w:val="en-US"/>
        </w:rPr>
        <w:instrText>uris</w:instrText>
      </w:r>
      <w:r w:rsidR="00A6794A" w:rsidRPr="00D3550C">
        <w:instrText>":["</w:instrText>
      </w:r>
      <w:r w:rsidR="00A6794A">
        <w:rPr>
          <w:lang w:val="en-US"/>
        </w:rPr>
        <w:instrText>http</w:instrText>
      </w:r>
      <w:r w:rsidR="00A6794A" w:rsidRPr="00D3550C">
        <w:instrText>://</w:instrText>
      </w:r>
      <w:r w:rsidR="00A6794A">
        <w:rPr>
          <w:lang w:val="en-US"/>
        </w:rPr>
        <w:instrText>www</w:instrText>
      </w:r>
      <w:r w:rsidR="00A6794A" w:rsidRPr="00D3550C">
        <w:instrText>.</w:instrText>
      </w:r>
      <w:r w:rsidR="00A6794A">
        <w:rPr>
          <w:lang w:val="en-US"/>
        </w:rPr>
        <w:instrText>mendeley</w:instrText>
      </w:r>
      <w:r w:rsidR="00A6794A" w:rsidRPr="00D3550C">
        <w:instrText>.</w:instrText>
      </w:r>
      <w:r w:rsidR="00A6794A">
        <w:rPr>
          <w:lang w:val="en-US"/>
        </w:rPr>
        <w:instrText>com</w:instrText>
      </w:r>
      <w:r w:rsidR="00A6794A" w:rsidRPr="00D3550C">
        <w:instrText>/</w:instrText>
      </w:r>
      <w:r w:rsidR="00A6794A">
        <w:rPr>
          <w:lang w:val="en-US"/>
        </w:rPr>
        <w:instrText>documents</w:instrText>
      </w:r>
      <w:r w:rsidR="00A6794A" w:rsidRPr="00D3550C">
        <w:instrText>/?</w:instrText>
      </w:r>
      <w:r w:rsidR="00A6794A">
        <w:rPr>
          <w:lang w:val="en-US"/>
        </w:rPr>
        <w:instrText>uuid</w:instrText>
      </w:r>
      <w:r w:rsidR="00A6794A" w:rsidRPr="00D3550C">
        <w:instrText>=</w:instrText>
      </w:r>
      <w:r w:rsidR="00A6794A">
        <w:rPr>
          <w:lang w:val="en-US"/>
        </w:rPr>
        <w:instrText>b</w:instrText>
      </w:r>
      <w:r w:rsidR="00A6794A" w:rsidRPr="00D3550C">
        <w:instrText>2895</w:instrText>
      </w:r>
      <w:r w:rsidR="00A6794A">
        <w:rPr>
          <w:lang w:val="en-US"/>
        </w:rPr>
        <w:instrText>edd</w:instrText>
      </w:r>
      <w:r w:rsidR="00A6794A" w:rsidRPr="00D3550C">
        <w:instrText>-</w:instrText>
      </w:r>
      <w:r w:rsidR="00A6794A">
        <w:rPr>
          <w:lang w:val="en-US"/>
        </w:rPr>
        <w:instrText>cfbd</w:instrText>
      </w:r>
      <w:r w:rsidR="00A6794A" w:rsidRPr="00D3550C">
        <w:instrText>-4</w:instrText>
      </w:r>
      <w:r w:rsidR="00A6794A">
        <w:rPr>
          <w:lang w:val="en-US"/>
        </w:rPr>
        <w:instrText>cbf</w:instrText>
      </w:r>
      <w:r w:rsidR="00A6794A" w:rsidRPr="00D3550C">
        <w:instrText>-8</w:instrText>
      </w:r>
      <w:r w:rsidR="00A6794A">
        <w:rPr>
          <w:lang w:val="en-US"/>
        </w:rPr>
        <w:instrText>d</w:instrText>
      </w:r>
      <w:r w:rsidR="00A6794A" w:rsidRPr="00D3550C">
        <w:instrText>9</w:instrText>
      </w:r>
      <w:r w:rsidR="00A6794A">
        <w:rPr>
          <w:lang w:val="en-US"/>
        </w:rPr>
        <w:instrText>b</w:instrText>
      </w:r>
      <w:r w:rsidR="00A6794A" w:rsidRPr="00D3550C">
        <w:instrText>-</w:instrText>
      </w:r>
      <w:r w:rsidR="00A6794A">
        <w:rPr>
          <w:lang w:val="en-US"/>
        </w:rPr>
        <w:instrText>e</w:instrText>
      </w:r>
      <w:r w:rsidR="00A6794A" w:rsidRPr="00D3550C">
        <w:instrText>50422</w:instrText>
      </w:r>
      <w:r w:rsidR="00A6794A">
        <w:rPr>
          <w:lang w:val="en-US"/>
        </w:rPr>
        <w:instrText>d</w:instrText>
      </w:r>
      <w:r w:rsidR="00A6794A" w:rsidRPr="00D3550C">
        <w:instrText>61</w:instrText>
      </w:r>
      <w:r w:rsidR="00A6794A">
        <w:rPr>
          <w:lang w:val="en-US"/>
        </w:rPr>
        <w:instrText>d</w:instrText>
      </w:r>
      <w:r w:rsidR="00A6794A" w:rsidRPr="00D3550C">
        <w:instrText>71","</w:instrText>
      </w:r>
      <w:r w:rsidR="00A6794A">
        <w:rPr>
          <w:lang w:val="en-US"/>
        </w:rPr>
        <w:instrText>http</w:instrText>
      </w:r>
      <w:r w:rsidR="00A6794A" w:rsidRPr="00D3550C">
        <w:instrText>://</w:instrText>
      </w:r>
      <w:r w:rsidR="00A6794A">
        <w:rPr>
          <w:lang w:val="en-US"/>
        </w:rPr>
        <w:instrText>www</w:instrText>
      </w:r>
      <w:r w:rsidR="00A6794A" w:rsidRPr="00D3550C">
        <w:instrText>.</w:instrText>
      </w:r>
      <w:r w:rsidR="00A6794A">
        <w:rPr>
          <w:lang w:val="en-US"/>
        </w:rPr>
        <w:instrText>mendeley</w:instrText>
      </w:r>
      <w:r w:rsidR="00A6794A" w:rsidRPr="00D3550C">
        <w:instrText>.</w:instrText>
      </w:r>
      <w:r w:rsidR="00A6794A">
        <w:rPr>
          <w:lang w:val="en-US"/>
        </w:rPr>
        <w:instrText>com</w:instrText>
      </w:r>
      <w:r w:rsidR="00A6794A" w:rsidRPr="00D3550C">
        <w:instrText>/</w:instrText>
      </w:r>
      <w:r w:rsidR="00A6794A">
        <w:rPr>
          <w:lang w:val="en-US"/>
        </w:rPr>
        <w:instrText>documents</w:instrText>
      </w:r>
      <w:r w:rsidR="00A6794A" w:rsidRPr="00D3550C">
        <w:instrText>/?</w:instrText>
      </w:r>
      <w:r w:rsidR="00A6794A">
        <w:rPr>
          <w:lang w:val="en-US"/>
        </w:rPr>
        <w:instrText>uuid</w:instrText>
      </w:r>
      <w:r w:rsidR="00A6794A" w:rsidRPr="00D3550C">
        <w:instrText>=891</w:instrText>
      </w:r>
      <w:r w:rsidR="00A6794A">
        <w:rPr>
          <w:lang w:val="en-US"/>
        </w:rPr>
        <w:instrText>fa</w:instrText>
      </w:r>
      <w:r w:rsidR="00A6794A" w:rsidRPr="00D3550C">
        <w:instrText>663-7797-4301-8893-3</w:instrText>
      </w:r>
      <w:r w:rsidR="00A6794A">
        <w:rPr>
          <w:lang w:val="en-US"/>
        </w:rPr>
        <w:instrText>b</w:instrText>
      </w:r>
      <w:r w:rsidR="00A6794A" w:rsidRPr="00D3550C">
        <w:instrText>0</w:instrText>
      </w:r>
      <w:r w:rsidR="00A6794A">
        <w:rPr>
          <w:lang w:val="en-US"/>
        </w:rPr>
        <w:instrText>a</w:instrText>
      </w:r>
      <w:r w:rsidR="00A6794A" w:rsidRPr="00D3550C">
        <w:instrText>5</w:instrText>
      </w:r>
      <w:r w:rsidR="00A6794A">
        <w:rPr>
          <w:lang w:val="en-US"/>
        </w:rPr>
        <w:instrText>d</w:instrText>
      </w:r>
      <w:r w:rsidR="00A6794A" w:rsidRPr="00D3550C">
        <w:instrText>75</w:instrText>
      </w:r>
      <w:r w:rsidR="00A6794A">
        <w:rPr>
          <w:lang w:val="en-US"/>
        </w:rPr>
        <w:instrText>b</w:instrText>
      </w:r>
      <w:r w:rsidR="00A6794A" w:rsidRPr="00D3550C">
        <w:instrText>173","</w:instrText>
      </w:r>
      <w:r w:rsidR="00A6794A">
        <w:rPr>
          <w:lang w:val="en-US"/>
        </w:rPr>
        <w:instrText>http</w:instrText>
      </w:r>
      <w:r w:rsidR="00A6794A" w:rsidRPr="00D3550C">
        <w:instrText>://</w:instrText>
      </w:r>
      <w:r w:rsidR="00A6794A">
        <w:rPr>
          <w:lang w:val="en-US"/>
        </w:rPr>
        <w:instrText>www</w:instrText>
      </w:r>
      <w:r w:rsidR="00A6794A" w:rsidRPr="00D3550C">
        <w:instrText>.</w:instrText>
      </w:r>
      <w:r w:rsidR="00A6794A">
        <w:rPr>
          <w:lang w:val="en-US"/>
        </w:rPr>
        <w:instrText>mendeley</w:instrText>
      </w:r>
      <w:r w:rsidR="00A6794A" w:rsidRPr="00D3550C">
        <w:instrText>.</w:instrText>
      </w:r>
      <w:r w:rsidR="00A6794A">
        <w:rPr>
          <w:lang w:val="en-US"/>
        </w:rPr>
        <w:instrText>com</w:instrText>
      </w:r>
      <w:r w:rsidR="00A6794A" w:rsidRPr="00D3550C">
        <w:instrText>/</w:instrText>
      </w:r>
      <w:r w:rsidR="00A6794A">
        <w:rPr>
          <w:lang w:val="en-US"/>
        </w:rPr>
        <w:instrText>documents</w:instrText>
      </w:r>
      <w:r w:rsidR="00A6794A" w:rsidRPr="00D3550C">
        <w:instrText>/?</w:instrText>
      </w:r>
      <w:r w:rsidR="00A6794A">
        <w:rPr>
          <w:lang w:val="en-US"/>
        </w:rPr>
        <w:instrText>uuid</w:instrText>
      </w:r>
      <w:r w:rsidR="00A6794A" w:rsidRPr="00D3550C">
        <w:instrText>=</w:instrText>
      </w:r>
      <w:r w:rsidR="00A6794A">
        <w:rPr>
          <w:lang w:val="en-US"/>
        </w:rPr>
        <w:instrText>a</w:instrText>
      </w:r>
      <w:r w:rsidR="00A6794A" w:rsidRPr="00D3550C">
        <w:instrText>3640929-94</w:instrText>
      </w:r>
      <w:r w:rsidR="00A6794A">
        <w:rPr>
          <w:lang w:val="en-US"/>
        </w:rPr>
        <w:instrText>cd</w:instrText>
      </w:r>
      <w:r w:rsidR="00A6794A" w:rsidRPr="00D3550C">
        <w:instrText>-4</w:instrText>
      </w:r>
      <w:r w:rsidR="00A6794A">
        <w:rPr>
          <w:lang w:val="en-US"/>
        </w:rPr>
        <w:instrText>fb</w:instrText>
      </w:r>
      <w:r w:rsidR="00A6794A" w:rsidRPr="00D3550C">
        <w:instrText>4-896</w:instrText>
      </w:r>
      <w:r w:rsidR="00A6794A">
        <w:rPr>
          <w:lang w:val="en-US"/>
        </w:rPr>
        <w:instrText>e</w:instrText>
      </w:r>
      <w:r w:rsidR="00A6794A" w:rsidRPr="00D3550C">
        <w:instrText>-6145</w:instrText>
      </w:r>
      <w:r w:rsidR="00A6794A">
        <w:rPr>
          <w:lang w:val="en-US"/>
        </w:rPr>
        <w:instrText>e</w:instrText>
      </w:r>
      <w:r w:rsidR="00A6794A" w:rsidRPr="00D3550C">
        <w:instrText>0</w:instrText>
      </w:r>
      <w:r w:rsidR="00A6794A">
        <w:rPr>
          <w:lang w:val="en-US"/>
        </w:rPr>
        <w:instrText>e</w:instrText>
      </w:r>
      <w:r w:rsidR="00A6794A" w:rsidRPr="00D3550C">
        <w:instrText>14</w:instrText>
      </w:r>
      <w:r w:rsidR="00A6794A">
        <w:rPr>
          <w:lang w:val="en-US"/>
        </w:rPr>
        <w:instrText>c</w:instrText>
      </w:r>
      <w:r w:rsidR="00A6794A" w:rsidRPr="00D3550C">
        <w:instrText>8</w:instrText>
      </w:r>
      <w:r w:rsidR="00A6794A">
        <w:rPr>
          <w:lang w:val="en-US"/>
        </w:rPr>
        <w:instrText>e</w:instrText>
      </w:r>
      <w:r w:rsidR="00A6794A" w:rsidRPr="00D3550C">
        <w:instrText>"]}],"</w:instrText>
      </w:r>
      <w:r w:rsidR="00A6794A">
        <w:rPr>
          <w:lang w:val="en-US"/>
        </w:rPr>
        <w:instrText>mendeley</w:instrText>
      </w:r>
      <w:r w:rsidR="00A6794A" w:rsidRPr="00D3550C">
        <w:instrText>":{"</w:instrText>
      </w:r>
      <w:r w:rsidR="00A6794A">
        <w:rPr>
          <w:lang w:val="en-US"/>
        </w:rPr>
        <w:instrText>formattedCitation</w:instrText>
      </w:r>
      <w:r w:rsidR="00A6794A" w:rsidRPr="00D3550C">
        <w:instrText>":"[231,235–238]","</w:instrText>
      </w:r>
      <w:r w:rsidR="00A6794A">
        <w:rPr>
          <w:lang w:val="en-US"/>
        </w:rPr>
        <w:instrText>plainTextFormattedCitation</w:instrText>
      </w:r>
      <w:r w:rsidR="00A6794A" w:rsidRPr="00D3550C">
        <w:instrText>":"[231,235–238]","</w:instrText>
      </w:r>
      <w:r w:rsidR="00A6794A">
        <w:rPr>
          <w:lang w:val="en-US"/>
        </w:rPr>
        <w:instrText>previouslyFormattedCitation</w:instrText>
      </w:r>
      <w:r w:rsidR="00A6794A" w:rsidRPr="00D3550C">
        <w:instrText>":"[231,235–238]"},"</w:instrText>
      </w:r>
      <w:r w:rsidR="00A6794A">
        <w:rPr>
          <w:lang w:val="en-US"/>
        </w:rPr>
        <w:instrText>properties</w:instrText>
      </w:r>
      <w:r w:rsidR="00A6794A" w:rsidRPr="00D3550C">
        <w:instrText>":{"</w:instrText>
      </w:r>
      <w:r w:rsidR="00A6794A">
        <w:rPr>
          <w:lang w:val="en-US"/>
        </w:rPr>
        <w:instrText>noteIndex</w:instrText>
      </w:r>
      <w:r w:rsidR="00A6794A" w:rsidRPr="00D3550C">
        <w:instrText>":0},"</w:instrText>
      </w:r>
      <w:r w:rsidR="00A6794A">
        <w:rPr>
          <w:lang w:val="en-US"/>
        </w:rPr>
        <w:instrText>schema</w:instrText>
      </w:r>
      <w:r w:rsidR="00A6794A" w:rsidRPr="00D3550C">
        <w:instrText>":"</w:instrText>
      </w:r>
      <w:r w:rsidR="00A6794A">
        <w:rPr>
          <w:lang w:val="en-US"/>
        </w:rPr>
        <w:instrText>https</w:instrText>
      </w:r>
      <w:r w:rsidR="00A6794A" w:rsidRPr="00D3550C">
        <w:instrText>://</w:instrText>
      </w:r>
      <w:r w:rsidR="00A6794A">
        <w:rPr>
          <w:lang w:val="en-US"/>
        </w:rPr>
        <w:instrText>github</w:instrText>
      </w:r>
      <w:r w:rsidR="00A6794A" w:rsidRPr="00D3550C">
        <w:instrText>.</w:instrText>
      </w:r>
      <w:r w:rsidR="00A6794A">
        <w:rPr>
          <w:lang w:val="en-US"/>
        </w:rPr>
        <w:instrText>com</w:instrText>
      </w:r>
      <w:r w:rsidR="00A6794A" w:rsidRPr="00D3550C">
        <w:instrText>/</w:instrText>
      </w:r>
      <w:r w:rsidR="00A6794A">
        <w:rPr>
          <w:lang w:val="en-US"/>
        </w:rPr>
        <w:instrText>citation</w:instrText>
      </w:r>
      <w:r w:rsidR="00A6794A" w:rsidRPr="00D3550C">
        <w:instrText>-</w:instrText>
      </w:r>
      <w:r w:rsidR="00A6794A">
        <w:rPr>
          <w:lang w:val="en-US"/>
        </w:rPr>
        <w:instrText>style</w:instrText>
      </w:r>
      <w:r w:rsidR="00A6794A" w:rsidRPr="00D3550C">
        <w:instrText>-</w:instrText>
      </w:r>
      <w:r w:rsidR="00A6794A">
        <w:rPr>
          <w:lang w:val="en-US"/>
        </w:rPr>
        <w:instrText>language</w:instrText>
      </w:r>
      <w:r w:rsidR="00A6794A" w:rsidRPr="00D3550C">
        <w:instrText>/</w:instrText>
      </w:r>
      <w:r w:rsidR="00A6794A">
        <w:rPr>
          <w:lang w:val="en-US"/>
        </w:rPr>
        <w:instrText>schema</w:instrText>
      </w:r>
      <w:r w:rsidR="00A6794A" w:rsidRPr="00D3550C">
        <w:instrText>/</w:instrText>
      </w:r>
      <w:r w:rsidR="00A6794A">
        <w:rPr>
          <w:lang w:val="en-US"/>
        </w:rPr>
        <w:instrText>raw</w:instrText>
      </w:r>
      <w:r w:rsidR="00A6794A" w:rsidRPr="00D3550C">
        <w:instrText>/</w:instrText>
      </w:r>
      <w:r w:rsidR="00A6794A">
        <w:rPr>
          <w:lang w:val="en-US"/>
        </w:rPr>
        <w:instrText>master</w:instrText>
      </w:r>
      <w:r w:rsidR="00A6794A" w:rsidRPr="00D3550C">
        <w:instrText>/</w:instrText>
      </w:r>
      <w:r w:rsidR="00A6794A">
        <w:rPr>
          <w:lang w:val="en-US"/>
        </w:rPr>
        <w:instrText>csl</w:instrText>
      </w:r>
      <w:r w:rsidR="00A6794A" w:rsidRPr="00D3550C">
        <w:instrText>-</w:instrText>
      </w:r>
      <w:r w:rsidR="00A6794A">
        <w:rPr>
          <w:lang w:val="en-US"/>
        </w:rPr>
        <w:instrText>citation</w:instrText>
      </w:r>
      <w:r w:rsidR="00A6794A" w:rsidRPr="00D3550C">
        <w:instrText>.</w:instrText>
      </w:r>
      <w:r w:rsidR="00A6794A">
        <w:rPr>
          <w:lang w:val="en-US"/>
        </w:rPr>
        <w:instrText>json</w:instrText>
      </w:r>
      <w:r w:rsidR="00A6794A" w:rsidRPr="00D3550C">
        <w:instrText>"}</w:instrText>
      </w:r>
      <w:r w:rsidRPr="00BA4F0F">
        <w:fldChar w:fldCharType="separate"/>
      </w:r>
      <w:r w:rsidR="006E1902" w:rsidRPr="006E1902">
        <w:rPr>
          <w:noProof/>
        </w:rPr>
        <w:t>[231,235–238]</w:t>
      </w:r>
      <w:r w:rsidRPr="00BA4F0F">
        <w:fldChar w:fldCharType="end"/>
      </w:r>
    </w:p>
    <w:tbl>
      <w:tblPr>
        <w:tblStyle w:val="aff9"/>
        <w:tblW w:w="0" w:type="auto"/>
        <w:tblInd w:w="108" w:type="dxa"/>
        <w:tblLayout w:type="fixed"/>
        <w:tblLook w:val="04A0" w:firstRow="1" w:lastRow="0" w:firstColumn="1" w:lastColumn="0" w:noHBand="0" w:noVBand="1"/>
      </w:tblPr>
      <w:tblGrid>
        <w:gridCol w:w="1418"/>
        <w:gridCol w:w="1701"/>
        <w:gridCol w:w="1134"/>
        <w:gridCol w:w="1276"/>
        <w:gridCol w:w="1275"/>
        <w:gridCol w:w="2659"/>
      </w:tblGrid>
      <w:tr w:rsidR="0049053C" w:rsidRPr="00BA4F0F" w14:paraId="4A400FE6" w14:textId="77777777" w:rsidTr="003D0E86">
        <w:tc>
          <w:tcPr>
            <w:tcW w:w="1418" w:type="dxa"/>
          </w:tcPr>
          <w:p w14:paraId="31660B67" w14:textId="77777777" w:rsidR="0049053C" w:rsidRPr="00193D82" w:rsidRDefault="0049053C" w:rsidP="003D0E86">
            <w:pPr>
              <w:pStyle w:val="afe"/>
              <w:ind w:left="0" w:firstLine="0"/>
              <w:rPr>
                <w:rFonts w:cs="Times New Roman"/>
                <w:szCs w:val="24"/>
              </w:rPr>
            </w:pPr>
            <w:r w:rsidRPr="00BA4F0F">
              <w:rPr>
                <w:rFonts w:cs="Times New Roman"/>
                <w:szCs w:val="24"/>
              </w:rPr>
              <w:t>Препарат</w:t>
            </w:r>
          </w:p>
        </w:tc>
        <w:tc>
          <w:tcPr>
            <w:tcW w:w="1701" w:type="dxa"/>
          </w:tcPr>
          <w:p w14:paraId="32D03467" w14:textId="77777777" w:rsidR="0049053C" w:rsidRPr="00193D82" w:rsidRDefault="0049053C" w:rsidP="003D0E86">
            <w:pPr>
              <w:pStyle w:val="afe"/>
              <w:ind w:left="0" w:firstLine="0"/>
              <w:rPr>
                <w:rFonts w:cs="Times New Roman"/>
                <w:szCs w:val="24"/>
              </w:rPr>
            </w:pPr>
            <w:r w:rsidRPr="00BA4F0F">
              <w:rPr>
                <w:rFonts w:cs="Times New Roman"/>
                <w:szCs w:val="24"/>
              </w:rPr>
              <w:t>Дни</w:t>
            </w:r>
            <w:r w:rsidRPr="00193D82">
              <w:rPr>
                <w:rFonts w:cs="Times New Roman"/>
                <w:szCs w:val="24"/>
              </w:rPr>
              <w:t xml:space="preserve"> </w:t>
            </w:r>
            <w:r w:rsidRPr="00BA4F0F">
              <w:rPr>
                <w:rFonts w:cs="Times New Roman"/>
                <w:szCs w:val="24"/>
              </w:rPr>
              <w:t>введения</w:t>
            </w:r>
            <w:r w:rsidRPr="00193D82">
              <w:rPr>
                <w:rFonts w:cs="Times New Roman"/>
                <w:szCs w:val="24"/>
              </w:rPr>
              <w:t xml:space="preserve"> </w:t>
            </w:r>
            <w:r w:rsidRPr="00BA4F0F">
              <w:rPr>
                <w:rFonts w:cs="Times New Roman"/>
                <w:szCs w:val="24"/>
              </w:rPr>
              <w:t>перед</w:t>
            </w:r>
            <w:r w:rsidRPr="00193D82">
              <w:rPr>
                <w:rFonts w:cs="Times New Roman"/>
                <w:szCs w:val="24"/>
              </w:rPr>
              <w:t xml:space="preserve"> </w:t>
            </w:r>
            <w:r w:rsidRPr="00BA4F0F">
              <w:rPr>
                <w:rFonts w:cs="Times New Roman"/>
                <w:szCs w:val="24"/>
              </w:rPr>
              <w:t>ауто</w:t>
            </w:r>
            <w:r w:rsidRPr="00193D82">
              <w:rPr>
                <w:rFonts w:cs="Times New Roman"/>
                <w:szCs w:val="24"/>
              </w:rPr>
              <w:t>-</w:t>
            </w:r>
            <w:r w:rsidRPr="00BA4F0F">
              <w:rPr>
                <w:rFonts w:cs="Times New Roman"/>
                <w:szCs w:val="24"/>
              </w:rPr>
              <w:t>ТГСК</w:t>
            </w:r>
          </w:p>
        </w:tc>
        <w:tc>
          <w:tcPr>
            <w:tcW w:w="1134" w:type="dxa"/>
          </w:tcPr>
          <w:p w14:paraId="78771FEB" w14:textId="77777777" w:rsidR="0049053C" w:rsidRPr="00193D82" w:rsidRDefault="0049053C" w:rsidP="003D0E86">
            <w:pPr>
              <w:pStyle w:val="afe"/>
              <w:ind w:left="0" w:firstLine="0"/>
              <w:rPr>
                <w:rFonts w:cs="Times New Roman"/>
                <w:szCs w:val="24"/>
              </w:rPr>
            </w:pPr>
            <w:r w:rsidRPr="00BA4F0F">
              <w:rPr>
                <w:rFonts w:cs="Times New Roman"/>
                <w:szCs w:val="24"/>
              </w:rPr>
              <w:t>Разовая</w:t>
            </w:r>
            <w:r w:rsidRPr="00193D82">
              <w:rPr>
                <w:rFonts w:cs="Times New Roman"/>
                <w:szCs w:val="24"/>
              </w:rPr>
              <w:t xml:space="preserve"> </w:t>
            </w:r>
            <w:r w:rsidRPr="00BA4F0F">
              <w:rPr>
                <w:rFonts w:cs="Times New Roman"/>
                <w:szCs w:val="24"/>
              </w:rPr>
              <w:t>доза</w:t>
            </w:r>
          </w:p>
        </w:tc>
        <w:tc>
          <w:tcPr>
            <w:tcW w:w="1276" w:type="dxa"/>
          </w:tcPr>
          <w:p w14:paraId="0D1065AC" w14:textId="77777777" w:rsidR="0049053C" w:rsidRPr="00193D82" w:rsidRDefault="0049053C" w:rsidP="003D0E86">
            <w:pPr>
              <w:pStyle w:val="afe"/>
              <w:ind w:left="0" w:firstLine="0"/>
              <w:rPr>
                <w:rFonts w:cs="Times New Roman"/>
                <w:szCs w:val="24"/>
              </w:rPr>
            </w:pPr>
            <w:r w:rsidRPr="00BA4F0F">
              <w:rPr>
                <w:rFonts w:cs="Times New Roman"/>
                <w:szCs w:val="24"/>
              </w:rPr>
              <w:t>Суточная</w:t>
            </w:r>
            <w:r w:rsidRPr="00193D82">
              <w:rPr>
                <w:rFonts w:cs="Times New Roman"/>
                <w:szCs w:val="24"/>
              </w:rPr>
              <w:t xml:space="preserve"> </w:t>
            </w:r>
            <w:r w:rsidRPr="00BA4F0F">
              <w:rPr>
                <w:rFonts w:cs="Times New Roman"/>
                <w:szCs w:val="24"/>
              </w:rPr>
              <w:t>доза</w:t>
            </w:r>
          </w:p>
        </w:tc>
        <w:tc>
          <w:tcPr>
            <w:tcW w:w="1275" w:type="dxa"/>
          </w:tcPr>
          <w:p w14:paraId="49192F28" w14:textId="77777777" w:rsidR="0049053C" w:rsidRPr="00BA4F0F" w:rsidRDefault="0049053C" w:rsidP="003D0E86">
            <w:pPr>
              <w:pStyle w:val="afe"/>
              <w:ind w:left="0" w:firstLine="0"/>
              <w:rPr>
                <w:rFonts w:cs="Times New Roman"/>
                <w:szCs w:val="24"/>
              </w:rPr>
            </w:pPr>
            <w:r w:rsidRPr="00BA4F0F">
              <w:rPr>
                <w:rFonts w:cs="Times New Roman"/>
                <w:szCs w:val="24"/>
              </w:rPr>
              <w:t>Курсовая доза</w:t>
            </w:r>
          </w:p>
        </w:tc>
        <w:tc>
          <w:tcPr>
            <w:tcW w:w="2659" w:type="dxa"/>
          </w:tcPr>
          <w:p w14:paraId="6632E9CB" w14:textId="77777777" w:rsidR="0049053C" w:rsidRPr="00BA4F0F" w:rsidRDefault="0049053C" w:rsidP="003D0E86">
            <w:pPr>
              <w:pStyle w:val="afe"/>
              <w:ind w:left="0" w:firstLine="0"/>
              <w:rPr>
                <w:rFonts w:cs="Times New Roman"/>
                <w:szCs w:val="24"/>
              </w:rPr>
            </w:pPr>
            <w:r w:rsidRPr="00BA4F0F">
              <w:rPr>
                <w:rFonts w:cs="Times New Roman"/>
                <w:szCs w:val="24"/>
              </w:rPr>
              <w:t>Особенности введения</w:t>
            </w:r>
          </w:p>
        </w:tc>
      </w:tr>
      <w:tr w:rsidR="0049053C" w:rsidRPr="00BA4F0F" w14:paraId="0011196C" w14:textId="77777777" w:rsidTr="003D0E86">
        <w:tc>
          <w:tcPr>
            <w:tcW w:w="1418" w:type="dxa"/>
          </w:tcPr>
          <w:p w14:paraId="16AECDC3" w14:textId="77777777" w:rsidR="0049053C" w:rsidRPr="00BA4F0F" w:rsidRDefault="0049053C" w:rsidP="003D0E86">
            <w:pPr>
              <w:pStyle w:val="afe"/>
              <w:ind w:left="0" w:firstLine="0"/>
              <w:jc w:val="center"/>
              <w:rPr>
                <w:rFonts w:cs="Times New Roman"/>
                <w:szCs w:val="24"/>
              </w:rPr>
            </w:pPr>
            <w:r w:rsidRPr="00BA4F0F">
              <w:rPr>
                <w:rFonts w:cs="Times New Roman"/>
                <w:szCs w:val="24"/>
              </w:rPr>
              <w:t>Ломустин</w:t>
            </w:r>
          </w:p>
        </w:tc>
        <w:tc>
          <w:tcPr>
            <w:tcW w:w="1701" w:type="dxa"/>
          </w:tcPr>
          <w:p w14:paraId="4B187832" w14:textId="77777777" w:rsidR="0049053C" w:rsidRPr="00BA4F0F" w:rsidRDefault="0049053C" w:rsidP="003D0E86">
            <w:pPr>
              <w:pStyle w:val="afe"/>
              <w:ind w:left="0" w:firstLine="0"/>
              <w:jc w:val="center"/>
              <w:rPr>
                <w:rFonts w:cs="Times New Roman"/>
                <w:szCs w:val="24"/>
              </w:rPr>
            </w:pPr>
            <w:r w:rsidRPr="00BA4F0F">
              <w:rPr>
                <w:rFonts w:cs="Times New Roman"/>
                <w:szCs w:val="24"/>
              </w:rPr>
              <w:t>-6 день</w:t>
            </w:r>
          </w:p>
        </w:tc>
        <w:tc>
          <w:tcPr>
            <w:tcW w:w="1134" w:type="dxa"/>
          </w:tcPr>
          <w:p w14:paraId="04C80583" w14:textId="77777777" w:rsidR="0049053C" w:rsidRPr="00BA4F0F" w:rsidRDefault="0049053C" w:rsidP="003D0E86">
            <w:pPr>
              <w:pStyle w:val="afe"/>
              <w:ind w:left="0" w:firstLine="0"/>
              <w:jc w:val="center"/>
              <w:rPr>
                <w:rFonts w:cs="Times New Roman"/>
                <w:szCs w:val="24"/>
              </w:rPr>
            </w:pPr>
            <w:r w:rsidRPr="00BA4F0F">
              <w:rPr>
                <w:rFonts w:cs="Times New Roman"/>
                <w:szCs w:val="24"/>
              </w:rPr>
              <w:t>200мг/м</w:t>
            </w:r>
            <w:r w:rsidRPr="00BA4F0F">
              <w:rPr>
                <w:rFonts w:cs="Times New Roman"/>
                <w:szCs w:val="24"/>
                <w:vertAlign w:val="superscript"/>
              </w:rPr>
              <w:t>2</w:t>
            </w:r>
          </w:p>
        </w:tc>
        <w:tc>
          <w:tcPr>
            <w:tcW w:w="1276" w:type="dxa"/>
          </w:tcPr>
          <w:p w14:paraId="088822EC" w14:textId="77777777" w:rsidR="0049053C" w:rsidRPr="00BA4F0F" w:rsidRDefault="0049053C" w:rsidP="003D0E86">
            <w:pPr>
              <w:pStyle w:val="afe"/>
              <w:ind w:left="0" w:firstLine="0"/>
              <w:jc w:val="center"/>
              <w:rPr>
                <w:rFonts w:cs="Times New Roman"/>
                <w:szCs w:val="24"/>
              </w:rPr>
            </w:pPr>
            <w:r w:rsidRPr="00BA4F0F">
              <w:rPr>
                <w:rFonts w:cs="Times New Roman"/>
                <w:szCs w:val="24"/>
              </w:rPr>
              <w:t>200 мг/м</w:t>
            </w:r>
            <w:r w:rsidRPr="00BA4F0F">
              <w:rPr>
                <w:rFonts w:cs="Times New Roman"/>
                <w:szCs w:val="24"/>
                <w:vertAlign w:val="superscript"/>
              </w:rPr>
              <w:t>2</w:t>
            </w:r>
          </w:p>
        </w:tc>
        <w:tc>
          <w:tcPr>
            <w:tcW w:w="1275" w:type="dxa"/>
          </w:tcPr>
          <w:p w14:paraId="69B07147" w14:textId="77777777" w:rsidR="0049053C" w:rsidRPr="00BA4F0F" w:rsidRDefault="0049053C" w:rsidP="003D0E86">
            <w:pPr>
              <w:pStyle w:val="afe"/>
              <w:ind w:left="0" w:firstLine="0"/>
              <w:jc w:val="center"/>
              <w:rPr>
                <w:rFonts w:cs="Times New Roman"/>
                <w:szCs w:val="24"/>
              </w:rPr>
            </w:pPr>
            <w:r w:rsidRPr="00BA4F0F">
              <w:rPr>
                <w:rFonts w:cs="Times New Roman"/>
                <w:szCs w:val="24"/>
              </w:rPr>
              <w:t>200 мг/м</w:t>
            </w:r>
            <w:r w:rsidRPr="00BA4F0F">
              <w:rPr>
                <w:rFonts w:cs="Times New Roman"/>
                <w:szCs w:val="24"/>
                <w:vertAlign w:val="superscript"/>
              </w:rPr>
              <w:t>2</w:t>
            </w:r>
          </w:p>
        </w:tc>
        <w:tc>
          <w:tcPr>
            <w:tcW w:w="2659" w:type="dxa"/>
          </w:tcPr>
          <w:p w14:paraId="30F69DD1" w14:textId="77777777" w:rsidR="0049053C" w:rsidRPr="00BA4F0F" w:rsidRDefault="0049053C" w:rsidP="003D0E86">
            <w:pPr>
              <w:pStyle w:val="afe"/>
              <w:ind w:left="0" w:firstLine="0"/>
              <w:rPr>
                <w:rFonts w:cs="Times New Roman"/>
                <w:szCs w:val="24"/>
              </w:rPr>
            </w:pPr>
            <w:r w:rsidRPr="00BA4F0F">
              <w:rPr>
                <w:rFonts w:cs="Times New Roman"/>
                <w:szCs w:val="24"/>
              </w:rPr>
              <w:t>Внутрь</w:t>
            </w:r>
          </w:p>
        </w:tc>
      </w:tr>
      <w:tr w:rsidR="0049053C" w:rsidRPr="00BA4F0F" w14:paraId="21A18DB6" w14:textId="77777777" w:rsidTr="003D0E86">
        <w:tc>
          <w:tcPr>
            <w:tcW w:w="1418" w:type="dxa"/>
          </w:tcPr>
          <w:p w14:paraId="2B08E415" w14:textId="77777777" w:rsidR="0049053C" w:rsidRPr="00BA4F0F" w:rsidRDefault="0049053C" w:rsidP="003D0E86">
            <w:pPr>
              <w:pStyle w:val="afe"/>
              <w:ind w:left="0" w:firstLine="0"/>
              <w:jc w:val="center"/>
              <w:rPr>
                <w:rFonts w:cs="Times New Roman"/>
                <w:szCs w:val="24"/>
              </w:rPr>
            </w:pPr>
            <w:r w:rsidRPr="00BA4F0F">
              <w:rPr>
                <w:rFonts w:cs="Times New Roman"/>
                <w:szCs w:val="24"/>
              </w:rPr>
              <w:t>Этопозид</w:t>
            </w:r>
          </w:p>
        </w:tc>
        <w:tc>
          <w:tcPr>
            <w:tcW w:w="1701" w:type="dxa"/>
          </w:tcPr>
          <w:p w14:paraId="0F22B4AD" w14:textId="77777777" w:rsidR="0049053C" w:rsidRPr="00BA4F0F" w:rsidRDefault="0049053C" w:rsidP="003D0E86">
            <w:pPr>
              <w:pStyle w:val="afe"/>
              <w:ind w:left="0" w:firstLine="0"/>
              <w:jc w:val="center"/>
              <w:rPr>
                <w:rFonts w:cs="Times New Roman"/>
                <w:szCs w:val="24"/>
              </w:rPr>
            </w:pPr>
            <w:r w:rsidRPr="00BA4F0F">
              <w:rPr>
                <w:rFonts w:cs="Times New Roman"/>
                <w:szCs w:val="24"/>
              </w:rPr>
              <w:t>-5, -4, -3, -2 дни</w:t>
            </w:r>
          </w:p>
        </w:tc>
        <w:tc>
          <w:tcPr>
            <w:tcW w:w="1134" w:type="dxa"/>
          </w:tcPr>
          <w:p w14:paraId="417A170E" w14:textId="77777777" w:rsidR="0049053C" w:rsidRPr="00BA4F0F" w:rsidRDefault="0049053C" w:rsidP="003D0E86">
            <w:pPr>
              <w:pStyle w:val="afe"/>
              <w:ind w:left="0" w:firstLine="0"/>
              <w:jc w:val="center"/>
              <w:rPr>
                <w:rFonts w:cs="Times New Roman"/>
                <w:szCs w:val="24"/>
              </w:rPr>
            </w:pPr>
            <w:r w:rsidRPr="00BA4F0F">
              <w:rPr>
                <w:rFonts w:cs="Times New Roman"/>
                <w:szCs w:val="24"/>
              </w:rPr>
              <w:t>200мг/м</w:t>
            </w:r>
            <w:r w:rsidRPr="00BA4F0F">
              <w:rPr>
                <w:rFonts w:cs="Times New Roman"/>
                <w:szCs w:val="24"/>
                <w:vertAlign w:val="superscript"/>
              </w:rPr>
              <w:t>2</w:t>
            </w:r>
          </w:p>
        </w:tc>
        <w:tc>
          <w:tcPr>
            <w:tcW w:w="1276" w:type="dxa"/>
          </w:tcPr>
          <w:p w14:paraId="03D3557F" w14:textId="77777777" w:rsidR="0049053C" w:rsidRPr="00BA4F0F" w:rsidRDefault="0049053C" w:rsidP="003D0E86">
            <w:pPr>
              <w:pStyle w:val="afe"/>
              <w:ind w:left="0" w:firstLine="0"/>
              <w:jc w:val="center"/>
              <w:rPr>
                <w:rFonts w:cs="Times New Roman"/>
                <w:szCs w:val="24"/>
              </w:rPr>
            </w:pPr>
            <w:r w:rsidRPr="00BA4F0F">
              <w:rPr>
                <w:rFonts w:cs="Times New Roman"/>
                <w:szCs w:val="24"/>
              </w:rPr>
              <w:t>200 мг/м</w:t>
            </w:r>
            <w:r w:rsidRPr="00BA4F0F">
              <w:rPr>
                <w:rFonts w:cs="Times New Roman"/>
                <w:szCs w:val="24"/>
                <w:vertAlign w:val="superscript"/>
              </w:rPr>
              <w:t>2</w:t>
            </w:r>
          </w:p>
        </w:tc>
        <w:tc>
          <w:tcPr>
            <w:tcW w:w="1275" w:type="dxa"/>
          </w:tcPr>
          <w:p w14:paraId="5D83A1B5" w14:textId="77777777" w:rsidR="0049053C" w:rsidRPr="00BA4F0F" w:rsidRDefault="0049053C" w:rsidP="003D0E86">
            <w:pPr>
              <w:pStyle w:val="afe"/>
              <w:ind w:left="0" w:firstLine="0"/>
              <w:jc w:val="center"/>
              <w:rPr>
                <w:rFonts w:cs="Times New Roman"/>
                <w:szCs w:val="24"/>
              </w:rPr>
            </w:pPr>
            <w:r w:rsidRPr="00BA4F0F">
              <w:rPr>
                <w:rFonts w:cs="Times New Roman"/>
                <w:szCs w:val="24"/>
              </w:rPr>
              <w:t>800 мг/м</w:t>
            </w:r>
            <w:r w:rsidRPr="00BA4F0F">
              <w:rPr>
                <w:rFonts w:cs="Times New Roman"/>
                <w:szCs w:val="24"/>
                <w:vertAlign w:val="superscript"/>
              </w:rPr>
              <w:t>2</w:t>
            </w:r>
          </w:p>
        </w:tc>
        <w:tc>
          <w:tcPr>
            <w:tcW w:w="2659" w:type="dxa"/>
          </w:tcPr>
          <w:p w14:paraId="1DDF7BEA" w14:textId="77777777" w:rsidR="0049053C" w:rsidRPr="00BA4F0F" w:rsidRDefault="0049053C" w:rsidP="003D0E86">
            <w:pPr>
              <w:pStyle w:val="afe"/>
              <w:ind w:left="0" w:firstLine="0"/>
              <w:rPr>
                <w:rFonts w:cs="Times New Roman"/>
                <w:szCs w:val="24"/>
              </w:rPr>
            </w:pPr>
            <w:r w:rsidRPr="00BA4F0F">
              <w:rPr>
                <w:rFonts w:cs="Times New Roman"/>
                <w:szCs w:val="24"/>
              </w:rPr>
              <w:t xml:space="preserve">Вводится в/в в виде инфузии в течение 30 минут в 500 мл 0,9% </w:t>
            </w:r>
            <w:r w:rsidRPr="00BA4F0F">
              <w:rPr>
                <w:rFonts w:cs="Times New Roman"/>
                <w:szCs w:val="24"/>
                <w:lang w:val="en-US"/>
              </w:rPr>
              <w:t>NaCl</w:t>
            </w:r>
          </w:p>
        </w:tc>
      </w:tr>
      <w:tr w:rsidR="0049053C" w:rsidRPr="00BA4F0F" w14:paraId="284055AA" w14:textId="77777777" w:rsidTr="003D0E86">
        <w:tc>
          <w:tcPr>
            <w:tcW w:w="1418" w:type="dxa"/>
          </w:tcPr>
          <w:p w14:paraId="4DC64074" w14:textId="77777777" w:rsidR="0049053C" w:rsidRPr="00BA4F0F" w:rsidRDefault="0049053C" w:rsidP="003D0E86">
            <w:pPr>
              <w:pStyle w:val="afe"/>
              <w:ind w:left="0" w:firstLine="0"/>
              <w:jc w:val="center"/>
              <w:rPr>
                <w:rFonts w:cs="Times New Roman"/>
                <w:szCs w:val="24"/>
              </w:rPr>
            </w:pPr>
            <w:r w:rsidRPr="00BA4F0F">
              <w:rPr>
                <w:rFonts w:cs="Times New Roman"/>
                <w:szCs w:val="24"/>
              </w:rPr>
              <w:lastRenderedPageBreak/>
              <w:t>Цитарабин</w:t>
            </w:r>
          </w:p>
        </w:tc>
        <w:tc>
          <w:tcPr>
            <w:tcW w:w="1701" w:type="dxa"/>
          </w:tcPr>
          <w:p w14:paraId="49A38AF7" w14:textId="77777777" w:rsidR="0049053C" w:rsidRPr="00BA4F0F" w:rsidRDefault="0049053C" w:rsidP="003D0E86">
            <w:pPr>
              <w:pStyle w:val="afe"/>
              <w:ind w:left="0" w:firstLine="0"/>
              <w:jc w:val="center"/>
              <w:rPr>
                <w:rFonts w:cs="Times New Roman"/>
                <w:szCs w:val="24"/>
              </w:rPr>
            </w:pPr>
            <w:r w:rsidRPr="00BA4F0F">
              <w:rPr>
                <w:rFonts w:cs="Times New Roman"/>
                <w:szCs w:val="24"/>
              </w:rPr>
              <w:t>-5, -4, -3, -2 дни</w:t>
            </w:r>
          </w:p>
        </w:tc>
        <w:tc>
          <w:tcPr>
            <w:tcW w:w="1134" w:type="dxa"/>
          </w:tcPr>
          <w:p w14:paraId="221703FE" w14:textId="77777777" w:rsidR="0049053C" w:rsidRPr="00BA4F0F" w:rsidRDefault="0049053C" w:rsidP="003D0E86">
            <w:pPr>
              <w:pStyle w:val="afe"/>
              <w:ind w:left="0" w:firstLine="0"/>
              <w:jc w:val="center"/>
              <w:rPr>
                <w:rFonts w:cs="Times New Roman"/>
                <w:szCs w:val="24"/>
              </w:rPr>
            </w:pPr>
            <w:r w:rsidRPr="00BA4F0F">
              <w:rPr>
                <w:rFonts w:cs="Times New Roman"/>
                <w:szCs w:val="24"/>
              </w:rPr>
              <w:t>200мг/м</w:t>
            </w:r>
            <w:r w:rsidRPr="00BA4F0F">
              <w:rPr>
                <w:rFonts w:cs="Times New Roman"/>
                <w:szCs w:val="24"/>
                <w:vertAlign w:val="superscript"/>
              </w:rPr>
              <w:t>2</w:t>
            </w:r>
          </w:p>
        </w:tc>
        <w:tc>
          <w:tcPr>
            <w:tcW w:w="1276" w:type="dxa"/>
          </w:tcPr>
          <w:p w14:paraId="6800EE14" w14:textId="77777777" w:rsidR="0049053C" w:rsidRPr="00BA4F0F" w:rsidRDefault="0049053C" w:rsidP="003D0E86">
            <w:pPr>
              <w:pStyle w:val="afe"/>
              <w:ind w:left="0" w:firstLine="0"/>
              <w:jc w:val="center"/>
              <w:rPr>
                <w:rFonts w:cs="Times New Roman"/>
                <w:szCs w:val="24"/>
              </w:rPr>
            </w:pPr>
            <w:r w:rsidRPr="00BA4F0F">
              <w:rPr>
                <w:rFonts w:cs="Times New Roman"/>
                <w:szCs w:val="24"/>
              </w:rPr>
              <w:t>400 мг/ м</w:t>
            </w:r>
            <w:r w:rsidRPr="00BA4F0F">
              <w:rPr>
                <w:rFonts w:cs="Times New Roman"/>
                <w:szCs w:val="24"/>
                <w:vertAlign w:val="superscript"/>
              </w:rPr>
              <w:t>2</w:t>
            </w:r>
          </w:p>
        </w:tc>
        <w:tc>
          <w:tcPr>
            <w:tcW w:w="1275" w:type="dxa"/>
          </w:tcPr>
          <w:p w14:paraId="06BA680F" w14:textId="77777777" w:rsidR="0049053C" w:rsidRPr="00BA4F0F" w:rsidRDefault="0049053C" w:rsidP="003D0E86">
            <w:pPr>
              <w:pStyle w:val="afe"/>
              <w:ind w:left="0" w:firstLine="0"/>
              <w:jc w:val="center"/>
              <w:rPr>
                <w:rFonts w:cs="Times New Roman"/>
                <w:szCs w:val="24"/>
              </w:rPr>
            </w:pPr>
            <w:r w:rsidRPr="00BA4F0F">
              <w:rPr>
                <w:rFonts w:cs="Times New Roman"/>
                <w:szCs w:val="24"/>
              </w:rPr>
              <w:t>1600 мг/м</w:t>
            </w:r>
            <w:r w:rsidRPr="00BA4F0F">
              <w:rPr>
                <w:rFonts w:cs="Times New Roman"/>
                <w:szCs w:val="24"/>
                <w:vertAlign w:val="superscript"/>
              </w:rPr>
              <w:t>2</w:t>
            </w:r>
          </w:p>
        </w:tc>
        <w:tc>
          <w:tcPr>
            <w:tcW w:w="2659" w:type="dxa"/>
          </w:tcPr>
          <w:p w14:paraId="3836C56A" w14:textId="77777777" w:rsidR="0049053C" w:rsidRPr="00BA4F0F" w:rsidRDefault="0049053C" w:rsidP="003D0E86">
            <w:pPr>
              <w:pStyle w:val="afe"/>
              <w:ind w:left="0" w:firstLine="0"/>
              <w:rPr>
                <w:rFonts w:cs="Times New Roman"/>
                <w:szCs w:val="24"/>
              </w:rPr>
            </w:pPr>
            <w:r w:rsidRPr="00BA4F0F">
              <w:rPr>
                <w:rFonts w:cs="Times New Roman"/>
                <w:szCs w:val="24"/>
              </w:rPr>
              <w:t xml:space="preserve">Вводится в/в в виде инфузии в течение 30 минут в 500 мл 0,9% </w:t>
            </w:r>
            <w:r w:rsidRPr="00BA4F0F">
              <w:rPr>
                <w:rFonts w:cs="Times New Roman"/>
                <w:szCs w:val="24"/>
                <w:lang w:val="en-US"/>
              </w:rPr>
              <w:t>NaCl</w:t>
            </w:r>
          </w:p>
        </w:tc>
      </w:tr>
      <w:tr w:rsidR="0049053C" w:rsidRPr="00BA4F0F" w14:paraId="7863D70A" w14:textId="77777777" w:rsidTr="003D0E86">
        <w:tc>
          <w:tcPr>
            <w:tcW w:w="1418" w:type="dxa"/>
          </w:tcPr>
          <w:p w14:paraId="472332A6" w14:textId="77777777" w:rsidR="0049053C" w:rsidRPr="00BA4F0F" w:rsidRDefault="0049053C" w:rsidP="003D0E86">
            <w:pPr>
              <w:pStyle w:val="afe"/>
              <w:ind w:left="0" w:firstLine="0"/>
              <w:jc w:val="center"/>
              <w:rPr>
                <w:rFonts w:cs="Times New Roman"/>
                <w:szCs w:val="24"/>
              </w:rPr>
            </w:pPr>
            <w:r w:rsidRPr="00BA4F0F">
              <w:rPr>
                <w:rFonts w:cs="Times New Roman"/>
                <w:szCs w:val="24"/>
              </w:rPr>
              <w:t>Мелфалан</w:t>
            </w:r>
          </w:p>
        </w:tc>
        <w:tc>
          <w:tcPr>
            <w:tcW w:w="1701" w:type="dxa"/>
          </w:tcPr>
          <w:p w14:paraId="2C5AE69E" w14:textId="77777777" w:rsidR="0049053C" w:rsidRPr="00BA4F0F" w:rsidRDefault="0049053C" w:rsidP="003D0E86">
            <w:pPr>
              <w:pStyle w:val="afe"/>
              <w:ind w:left="0" w:firstLine="0"/>
              <w:jc w:val="center"/>
              <w:rPr>
                <w:rFonts w:cs="Times New Roman"/>
                <w:szCs w:val="24"/>
              </w:rPr>
            </w:pPr>
            <w:r w:rsidRPr="00BA4F0F">
              <w:rPr>
                <w:rFonts w:cs="Times New Roman"/>
                <w:szCs w:val="24"/>
              </w:rPr>
              <w:t>- 1 день</w:t>
            </w:r>
          </w:p>
        </w:tc>
        <w:tc>
          <w:tcPr>
            <w:tcW w:w="1134" w:type="dxa"/>
          </w:tcPr>
          <w:p w14:paraId="364E0CD9" w14:textId="77777777" w:rsidR="0049053C" w:rsidRPr="00BA4F0F" w:rsidRDefault="0049053C" w:rsidP="003D0E86">
            <w:pPr>
              <w:pStyle w:val="afe"/>
              <w:ind w:left="0" w:firstLine="0"/>
              <w:jc w:val="center"/>
              <w:rPr>
                <w:rFonts w:cs="Times New Roman"/>
                <w:szCs w:val="24"/>
              </w:rPr>
            </w:pPr>
            <w:r w:rsidRPr="00BA4F0F">
              <w:rPr>
                <w:rFonts w:cs="Times New Roman"/>
                <w:szCs w:val="24"/>
              </w:rPr>
              <w:t>140мг/м</w:t>
            </w:r>
            <w:r w:rsidRPr="00BA4F0F">
              <w:rPr>
                <w:rFonts w:cs="Times New Roman"/>
                <w:szCs w:val="24"/>
                <w:vertAlign w:val="superscript"/>
              </w:rPr>
              <w:t>2</w:t>
            </w:r>
          </w:p>
        </w:tc>
        <w:tc>
          <w:tcPr>
            <w:tcW w:w="1276" w:type="dxa"/>
          </w:tcPr>
          <w:p w14:paraId="6B4FA550" w14:textId="77777777" w:rsidR="0049053C" w:rsidRPr="00BA4F0F" w:rsidRDefault="0049053C" w:rsidP="003D0E86">
            <w:pPr>
              <w:pStyle w:val="afe"/>
              <w:ind w:left="0" w:firstLine="0"/>
              <w:jc w:val="center"/>
              <w:rPr>
                <w:rFonts w:cs="Times New Roman"/>
                <w:szCs w:val="24"/>
              </w:rPr>
            </w:pPr>
            <w:r w:rsidRPr="00BA4F0F">
              <w:rPr>
                <w:rFonts w:cs="Times New Roman"/>
                <w:szCs w:val="24"/>
              </w:rPr>
              <w:t>140 мг/м</w:t>
            </w:r>
            <w:r w:rsidRPr="00BA4F0F">
              <w:rPr>
                <w:rFonts w:cs="Times New Roman"/>
                <w:szCs w:val="24"/>
                <w:vertAlign w:val="superscript"/>
              </w:rPr>
              <w:t>2</w:t>
            </w:r>
          </w:p>
        </w:tc>
        <w:tc>
          <w:tcPr>
            <w:tcW w:w="1275" w:type="dxa"/>
          </w:tcPr>
          <w:p w14:paraId="6985EF03" w14:textId="77777777" w:rsidR="0049053C" w:rsidRPr="00BA4F0F" w:rsidRDefault="0049053C" w:rsidP="003D0E86">
            <w:pPr>
              <w:pStyle w:val="afe"/>
              <w:ind w:left="0" w:firstLine="0"/>
              <w:jc w:val="center"/>
              <w:rPr>
                <w:rFonts w:cs="Times New Roman"/>
                <w:szCs w:val="24"/>
              </w:rPr>
            </w:pPr>
            <w:r w:rsidRPr="00BA4F0F">
              <w:rPr>
                <w:rFonts w:cs="Times New Roman"/>
                <w:szCs w:val="24"/>
              </w:rPr>
              <w:t>140 мг/м</w:t>
            </w:r>
            <w:r w:rsidRPr="00BA4F0F">
              <w:rPr>
                <w:rFonts w:cs="Times New Roman"/>
                <w:szCs w:val="24"/>
                <w:vertAlign w:val="superscript"/>
              </w:rPr>
              <w:t>2</w:t>
            </w:r>
          </w:p>
        </w:tc>
        <w:tc>
          <w:tcPr>
            <w:tcW w:w="2659" w:type="dxa"/>
          </w:tcPr>
          <w:p w14:paraId="522F3728" w14:textId="77777777" w:rsidR="0049053C" w:rsidRPr="00BA4F0F" w:rsidRDefault="0049053C" w:rsidP="003D0E86">
            <w:pPr>
              <w:pStyle w:val="afe"/>
              <w:ind w:left="0" w:firstLine="0"/>
              <w:rPr>
                <w:rFonts w:cs="Times New Roman"/>
                <w:szCs w:val="24"/>
              </w:rPr>
            </w:pPr>
            <w:r w:rsidRPr="00BA4F0F">
              <w:rPr>
                <w:rFonts w:cs="Times New Roman"/>
                <w:szCs w:val="24"/>
              </w:rPr>
              <w:t xml:space="preserve">Вводится в/в в виде инфузии в течение 1ч в 500 мл 0,9% </w:t>
            </w:r>
            <w:r w:rsidRPr="00BA4F0F">
              <w:rPr>
                <w:rFonts w:cs="Times New Roman"/>
                <w:szCs w:val="24"/>
                <w:lang w:val="en-US"/>
              </w:rPr>
              <w:t>NaCl</w:t>
            </w:r>
          </w:p>
        </w:tc>
      </w:tr>
    </w:tbl>
    <w:p w14:paraId="293D8ED9" w14:textId="77777777" w:rsidR="0049053C" w:rsidRPr="00BA4F0F" w:rsidRDefault="0049053C" w:rsidP="0049053C">
      <w:pPr>
        <w:ind w:firstLine="426"/>
      </w:pPr>
    </w:p>
    <w:p w14:paraId="399DEA2F" w14:textId="7625AF97" w:rsidR="0049053C" w:rsidRPr="006E60A8" w:rsidRDefault="0049053C" w:rsidP="00A27C6F">
      <w:pPr>
        <w:pStyle w:val="1ff0"/>
      </w:pPr>
      <w:r w:rsidRPr="00BA4F0F">
        <w:t xml:space="preserve">В ряде клинических исследований была подтверждена эффективность режима предтрансплантационного кондиционирования </w:t>
      </w:r>
      <w:r w:rsidRPr="00BA4F0F">
        <w:rPr>
          <w:lang w:val="en-US"/>
        </w:rPr>
        <w:t>Benda</w:t>
      </w:r>
      <w:r w:rsidRPr="00BA4F0F">
        <w:t>-</w:t>
      </w:r>
      <w:r w:rsidRPr="00BA4F0F">
        <w:rPr>
          <w:lang w:val="en-US"/>
        </w:rPr>
        <w:t>EAM</w:t>
      </w:r>
      <w:r w:rsidRPr="00BA4F0F">
        <w:t xml:space="preserve"> при </w:t>
      </w:r>
      <w:r w:rsidRPr="006E60A8">
        <w:t xml:space="preserve">лимфопролиферативных заболеваниях. Схема введения препаратов и дозы представлены в таблице </w:t>
      </w:r>
      <w:r w:rsidR="00A27C6F">
        <w:t>А3.3.</w:t>
      </w:r>
      <w:r w:rsidRPr="006E60A8">
        <w:t>7.</w:t>
      </w:r>
    </w:p>
    <w:p w14:paraId="7A2DCE42" w14:textId="77777777" w:rsidR="0049053C" w:rsidRPr="006E60A8" w:rsidRDefault="0049053C" w:rsidP="00A27C6F">
      <w:pPr>
        <w:pStyle w:val="1ff0"/>
        <w:rPr>
          <w:b/>
        </w:rPr>
      </w:pPr>
    </w:p>
    <w:p w14:paraId="4A4EBB3A" w14:textId="07FD47D9" w:rsidR="0049053C" w:rsidRPr="00BA4F0F" w:rsidRDefault="0049053C" w:rsidP="00A27C6F">
      <w:pPr>
        <w:pStyle w:val="1ff0"/>
      </w:pPr>
      <w:r w:rsidRPr="006E60A8">
        <w:t xml:space="preserve">Таблица </w:t>
      </w:r>
      <w:r w:rsidR="00A27C6F">
        <w:t>А3.3.</w:t>
      </w:r>
      <w:r w:rsidRPr="006E60A8">
        <w:t>7. Схема предтрансплантационного кондиционирования Benda-EAM</w:t>
      </w:r>
      <w:r w:rsidRPr="00BA4F0F">
        <w:t xml:space="preserve"> </w:t>
      </w:r>
      <w:r w:rsidRPr="00BA4F0F">
        <w:fldChar w:fldCharType="begin" w:fldLock="1"/>
      </w:r>
      <w:r w:rsidR="00A6794A">
        <w:instrText>ADDIN CSL_CITATION {"citationItems":[{"id":"ITEM-1","itemData":{"DOI":"10.1038/s41409-019-0572-7","ISSN":"0268-3369","author":[{"dropping-particle":"","family":"Visani","given":"Giuseppe","non-dropping-particle":"","parse-names":false,"suffix":""},{"dropping-particle":"","family":"Loscocco","given":"Federica","non-dropping-particle":"","parse-names":false,"suffix":""},{"dropping-particle":"","family":"Bagaloni","given":"Irene","non-dropping-particle":"","parse-names":false,"suffix":""},{"dropping-particle":"","family":"Ruzzo","given":"Annamaria","non-dropping-particle":"","parse-names":false,"suffix":""},{"dropping-particle":"","family":"Fuligni","given":"Fabio","non-dropping-particle":"","parse-names":false,"suffix":""},{"dropping-particle":"","family":"Graziano","given":"Francesco","non-dropping-particle":"","parse-names":false,"suffix":""},{"dropping-particle":"","family":"Magnani","given":"Mauro","non-dropping-particle":"","parse-names":false,"suffix":""},{"dropping-particle":"","family":"Isidori","given":"Alessandro","non-dropping-particle":"","parse-names":false,"suffix":""}],"container-title":"Bone Marrow Transplantation","id":"ITEM-1","issue":"4","issued":{"date-parts":[["2020","4"]]},"page":"818-820","publisher":"Nature Publishing Group","title":"XRCC1 399GG genotype predicts significantly longer overall survival in resistant lymphoma patients treated with Benda-EAM and ASCT","type":"article-journal","volume":"55"},"uris":["http://www.mendeley.com/documents/?uuid=91fbd7c4-108e-3fa6-a12d-7807a539235e","http://www.mendeley.com/documents/?uuid=e90b652d-5001-4921-8b90-45d74510ea4a"]},{"id":"ITEM-2","itemData":{"DOI":"10.1182/blood-2011-04-351924","ISSN":"1528-0020","PMID":"21816830","abstract":"We designed a phase 1-2 study to evaluate the safety and the efficacy of increasing doses of bendamustine (160 mg/m², 180 mg/m², and 200 mg/m² given on days -7 and -6) coupled with fixed doses of etoposide, cytarabine, and melphalan (BeEAM regimen) as the conditioning regimen to autologous stem cell transplantation for resistant/relapsed lymphoma patients. Forty-three patients (median age, 47 years) with non-Hodgkin (n = 28) or Hodgkin (n = 15) lymphoma were consecutively treated. Nine patients entered the phase 1 study; no patients experienced a dose-limiting toxicity. Thirty-four additional patients were then treated in the phase 2. A median number of 6 × 10⁶ CD34(+) cells/kg (range, 2.4-15.5) were reinfused. All patients engrafted, with a median time to absolute neutrophil count &gt; 0.5 × 10⁹/L of 10 days. The 100-day transplantation-related mortality was 0%. After a median follow-up of 18 months, 35 of 43 patients (81%) are in complete remission, whereas 6 of 43 relapsed and 2 of 43 did not respond. Disease type (non-Hodgkin lymphomas vs Hodgkin disease) and disease status at transplantation (chemosensitive vs chemoresistant) significantly influenced DFS (P = .01; P = .007). Remarkably, 4 of 43 (9%) patients achieved the first complete remission after receiving the high-dose therapy with autologous stem cell transplantation. In conclusion, the new BeEAM regimen is safe and effective for heavily pretreated lymphoma patients. The study was registered at European Medicines Agency (EudraCT number 2008-002736-15).","author":[{"dropping-particle":"","family":"Visani","given":"Giuseppe","non-dropping-particle":"","parse-names":false,"suffix":""},{"dropping-particle":"","family":"Malerba","given":"Lara","non-dropping-particle":"","parse-names":false,"suffix":""},{"dropping-particle":"","family":"Stefani","given":"Pietro Maria","non-dropping-particle":"","parse-names":false,"suffix":""},{"dropping-particle":"","family":"Capria","given":"Saveria","non-dropping-particle":"","parse-names":false,"suffix":""},{"dropping-particle":"","family":"Galieni","given":"Piero","non-dropping-particle":"","parse-names":false,"suffix":""},{"dropping-particle":"","family":"Gaudio","given":"Francesco","non-dropping-particle":"","parse-names":false,"suffix":""},{"dropping-particle":"","family":"Specchia","given":"Giorgina","non-dropping-particle":"","parse-names":false,"suffix":""},{"dropping-particle":"","family":"Meloni","given":"Giovanna","non-dropping-particle":"","parse-names":false,"suffix":""},{"dropping-particle":"","family":"Gherlinzoni","given":"Filippo","non-dropping-particle":"","parse-names":false,"suffix":""},{"dropping-particle":"","family":"Giardini","given":"Claudio","non-dropping-particle":"","parse-names":false,"suffix":""},{"dropping-particle":"","family":"Falcioni","given":"Sadia","non-dropping-particle":"","parse-names":false,"suffix":""},{"dropping-particle":"","family":"Cuberli","given":"Francesca","non-dropping-particle":"","parse-names":false,"suffix":""},{"dropping-particle":"","family":"Gobbi","given":"Marco","non-dropping-particle":"","parse-names":false,"suffix":""},{"dropping-particle":"","family":"Sarina","given":"Barbara","non-dropping-particle":"","parse-names":false,"suffix":""},{"dropping-particle":"","family":"Santoro","given":"Armando","non-dropping-particle":"","parse-names":false,"suffix":""},{"dropping-particle":"","family":"Ferrara","given":"Felicetto","non-dropping-particle":"","parse-names":false,"suffix":""},{"dropping-particle":"","family":"Rocchi","given":"Marco","non-dropping-particle":"","parse-names":false,"suffix":""},{"dropping-particle":"","family":"Ocio","given":"Enrique M","non-dropping-particle":"","parse-names":false,"suffix":""},{"dropping-particle":"","family":"Caballero","given":"Maria Dolores","non-dropping-particle":"","parse-names":false,"suffix":""},{"dropping-particle":"","family":"Isidori","given":"Alessandro","non-dropping-particle":"","parse-names":false,"suffix":""}],"container-title":"Blood","id":"ITEM-2","issue":"12","issued":{"date-parts":[["2011","9","22"]]},"page":"3419-25","title":"BeEAM (bendamustine, etoposide, cytarabine, melphalan) before autologous stem cell transplantation is safe and effective for resistant/relapsed lymphoma patients.","type":"article-journal","volume":"118"},"uris":["http://www.mendeley.com/documents/?uuid=ab79b1d2-22d1-3d69-b3cc-3774a11bbd10"]}],"mendeley":{"formattedCitation":"[239,240]","plainTextFormattedCitation":"[239,240]","previouslyFormattedCitation":"[239,240]"},"properties":{"noteIndex":0},"schema":"https://github.com/citation-style-language/schema/raw/master/csl-citation.json"}</w:instrText>
      </w:r>
      <w:r w:rsidRPr="00BA4F0F">
        <w:fldChar w:fldCharType="separate"/>
      </w:r>
      <w:r w:rsidR="006E1902" w:rsidRPr="006E1902">
        <w:rPr>
          <w:noProof/>
        </w:rPr>
        <w:t>[239,240]</w:t>
      </w:r>
      <w:r w:rsidRPr="00BA4F0F">
        <w:fldChar w:fldCharType="end"/>
      </w:r>
    </w:p>
    <w:tbl>
      <w:tblPr>
        <w:tblStyle w:val="aff9"/>
        <w:tblW w:w="0" w:type="auto"/>
        <w:tblInd w:w="108" w:type="dxa"/>
        <w:tblLayout w:type="fixed"/>
        <w:tblLook w:val="04A0" w:firstRow="1" w:lastRow="0" w:firstColumn="1" w:lastColumn="0" w:noHBand="0" w:noVBand="1"/>
      </w:tblPr>
      <w:tblGrid>
        <w:gridCol w:w="1418"/>
        <w:gridCol w:w="1701"/>
        <w:gridCol w:w="1134"/>
        <w:gridCol w:w="1276"/>
        <w:gridCol w:w="1275"/>
        <w:gridCol w:w="2659"/>
      </w:tblGrid>
      <w:tr w:rsidR="0049053C" w:rsidRPr="00BA4F0F" w14:paraId="48C9DA42" w14:textId="77777777" w:rsidTr="003D0E86">
        <w:tc>
          <w:tcPr>
            <w:tcW w:w="1418" w:type="dxa"/>
          </w:tcPr>
          <w:p w14:paraId="497186A6" w14:textId="77777777" w:rsidR="0049053C" w:rsidRPr="00BA4F0F" w:rsidRDefault="0049053C" w:rsidP="003D0E86">
            <w:pPr>
              <w:pStyle w:val="afe"/>
              <w:ind w:left="0" w:firstLine="0"/>
              <w:rPr>
                <w:rFonts w:cs="Times New Roman"/>
                <w:szCs w:val="24"/>
              </w:rPr>
            </w:pPr>
            <w:r w:rsidRPr="00BA4F0F">
              <w:rPr>
                <w:rFonts w:cs="Times New Roman"/>
                <w:szCs w:val="24"/>
              </w:rPr>
              <w:t>Препарат</w:t>
            </w:r>
          </w:p>
        </w:tc>
        <w:tc>
          <w:tcPr>
            <w:tcW w:w="1701" w:type="dxa"/>
          </w:tcPr>
          <w:p w14:paraId="23475B55" w14:textId="77777777" w:rsidR="0049053C" w:rsidRPr="00BA4F0F" w:rsidRDefault="0049053C" w:rsidP="003D0E86">
            <w:pPr>
              <w:pStyle w:val="afe"/>
              <w:ind w:left="0" w:firstLine="0"/>
              <w:rPr>
                <w:rFonts w:cs="Times New Roman"/>
                <w:szCs w:val="24"/>
              </w:rPr>
            </w:pPr>
            <w:r w:rsidRPr="00BA4F0F">
              <w:rPr>
                <w:rFonts w:cs="Times New Roman"/>
                <w:szCs w:val="24"/>
              </w:rPr>
              <w:t>Дни введения перед ауто-ТГСК</w:t>
            </w:r>
          </w:p>
        </w:tc>
        <w:tc>
          <w:tcPr>
            <w:tcW w:w="1134" w:type="dxa"/>
          </w:tcPr>
          <w:p w14:paraId="03879B3B" w14:textId="77777777" w:rsidR="0049053C" w:rsidRPr="00BA4F0F" w:rsidRDefault="0049053C" w:rsidP="003D0E86">
            <w:pPr>
              <w:pStyle w:val="afe"/>
              <w:ind w:left="0" w:firstLine="0"/>
              <w:rPr>
                <w:rFonts w:cs="Times New Roman"/>
                <w:szCs w:val="24"/>
              </w:rPr>
            </w:pPr>
            <w:r w:rsidRPr="00BA4F0F">
              <w:rPr>
                <w:rFonts w:cs="Times New Roman"/>
                <w:szCs w:val="24"/>
              </w:rPr>
              <w:t>Разовая доза</w:t>
            </w:r>
          </w:p>
        </w:tc>
        <w:tc>
          <w:tcPr>
            <w:tcW w:w="1276" w:type="dxa"/>
          </w:tcPr>
          <w:p w14:paraId="045AE7A0" w14:textId="77777777" w:rsidR="0049053C" w:rsidRPr="00BA4F0F" w:rsidRDefault="0049053C" w:rsidP="003D0E86">
            <w:pPr>
              <w:pStyle w:val="afe"/>
              <w:ind w:left="0" w:firstLine="0"/>
              <w:rPr>
                <w:rFonts w:cs="Times New Roman"/>
                <w:szCs w:val="24"/>
              </w:rPr>
            </w:pPr>
            <w:r w:rsidRPr="00BA4F0F">
              <w:rPr>
                <w:rFonts w:cs="Times New Roman"/>
                <w:szCs w:val="24"/>
              </w:rPr>
              <w:t>Суточная доза</w:t>
            </w:r>
          </w:p>
        </w:tc>
        <w:tc>
          <w:tcPr>
            <w:tcW w:w="1275" w:type="dxa"/>
          </w:tcPr>
          <w:p w14:paraId="2E7499A7" w14:textId="77777777" w:rsidR="0049053C" w:rsidRPr="00BA4F0F" w:rsidRDefault="0049053C" w:rsidP="003D0E86">
            <w:pPr>
              <w:pStyle w:val="afe"/>
              <w:ind w:left="0" w:firstLine="0"/>
              <w:rPr>
                <w:rFonts w:cs="Times New Roman"/>
                <w:szCs w:val="24"/>
              </w:rPr>
            </w:pPr>
            <w:r w:rsidRPr="00BA4F0F">
              <w:rPr>
                <w:rFonts w:cs="Times New Roman"/>
                <w:szCs w:val="24"/>
              </w:rPr>
              <w:t>Курсовая доза</w:t>
            </w:r>
          </w:p>
        </w:tc>
        <w:tc>
          <w:tcPr>
            <w:tcW w:w="2659" w:type="dxa"/>
          </w:tcPr>
          <w:p w14:paraId="4A375BCE" w14:textId="77777777" w:rsidR="0049053C" w:rsidRPr="00BA4F0F" w:rsidRDefault="0049053C" w:rsidP="003D0E86">
            <w:pPr>
              <w:pStyle w:val="afe"/>
              <w:ind w:left="0" w:firstLine="0"/>
              <w:rPr>
                <w:rFonts w:cs="Times New Roman"/>
                <w:szCs w:val="24"/>
              </w:rPr>
            </w:pPr>
            <w:r w:rsidRPr="00BA4F0F">
              <w:rPr>
                <w:rFonts w:cs="Times New Roman"/>
                <w:szCs w:val="24"/>
              </w:rPr>
              <w:t>Особенности введения</w:t>
            </w:r>
          </w:p>
        </w:tc>
      </w:tr>
      <w:tr w:rsidR="0049053C" w:rsidRPr="00BA4F0F" w14:paraId="4E4FA4C7" w14:textId="77777777" w:rsidTr="003D0E86">
        <w:tc>
          <w:tcPr>
            <w:tcW w:w="1418" w:type="dxa"/>
          </w:tcPr>
          <w:p w14:paraId="02C6E973" w14:textId="77777777" w:rsidR="0049053C" w:rsidRPr="00BA4F0F" w:rsidRDefault="0049053C" w:rsidP="003D0E86">
            <w:pPr>
              <w:pStyle w:val="afe"/>
              <w:ind w:left="0" w:firstLine="0"/>
              <w:jc w:val="center"/>
              <w:rPr>
                <w:rFonts w:cs="Times New Roman"/>
                <w:szCs w:val="24"/>
              </w:rPr>
            </w:pPr>
            <w:r w:rsidRPr="00BA4F0F">
              <w:rPr>
                <w:rFonts w:cs="Times New Roman"/>
                <w:szCs w:val="24"/>
              </w:rPr>
              <w:t>Бендамустин</w:t>
            </w:r>
          </w:p>
        </w:tc>
        <w:tc>
          <w:tcPr>
            <w:tcW w:w="1701" w:type="dxa"/>
          </w:tcPr>
          <w:p w14:paraId="23F6A198" w14:textId="77777777" w:rsidR="0049053C" w:rsidRPr="00BA4F0F" w:rsidRDefault="0049053C" w:rsidP="003D0E86">
            <w:pPr>
              <w:pStyle w:val="afe"/>
              <w:ind w:left="0" w:firstLine="0"/>
              <w:jc w:val="center"/>
              <w:rPr>
                <w:rFonts w:cs="Times New Roman"/>
                <w:szCs w:val="24"/>
              </w:rPr>
            </w:pPr>
            <w:r w:rsidRPr="00BA4F0F">
              <w:rPr>
                <w:rFonts w:cs="Times New Roman"/>
                <w:szCs w:val="24"/>
              </w:rPr>
              <w:t>-7, -6 день</w:t>
            </w:r>
          </w:p>
        </w:tc>
        <w:tc>
          <w:tcPr>
            <w:tcW w:w="1134" w:type="dxa"/>
          </w:tcPr>
          <w:p w14:paraId="47A1FC44" w14:textId="77777777" w:rsidR="0049053C" w:rsidRPr="00BA4F0F" w:rsidRDefault="0049053C" w:rsidP="003D0E86">
            <w:pPr>
              <w:pStyle w:val="afe"/>
              <w:ind w:left="0" w:firstLine="0"/>
              <w:jc w:val="center"/>
              <w:rPr>
                <w:rFonts w:cs="Times New Roman"/>
                <w:szCs w:val="24"/>
              </w:rPr>
            </w:pPr>
            <w:r w:rsidRPr="00BA4F0F">
              <w:rPr>
                <w:rFonts w:cs="Times New Roman"/>
                <w:szCs w:val="24"/>
              </w:rPr>
              <w:t>200мг/м</w:t>
            </w:r>
            <w:r w:rsidRPr="00BA4F0F">
              <w:rPr>
                <w:rFonts w:cs="Times New Roman"/>
                <w:szCs w:val="24"/>
                <w:vertAlign w:val="superscript"/>
              </w:rPr>
              <w:t>2</w:t>
            </w:r>
          </w:p>
        </w:tc>
        <w:tc>
          <w:tcPr>
            <w:tcW w:w="1276" w:type="dxa"/>
          </w:tcPr>
          <w:p w14:paraId="2C57A874" w14:textId="77777777" w:rsidR="0049053C" w:rsidRPr="00BA4F0F" w:rsidRDefault="0049053C" w:rsidP="003D0E86">
            <w:pPr>
              <w:pStyle w:val="afe"/>
              <w:ind w:left="0" w:firstLine="0"/>
              <w:jc w:val="center"/>
              <w:rPr>
                <w:rFonts w:cs="Times New Roman"/>
                <w:szCs w:val="24"/>
              </w:rPr>
            </w:pPr>
            <w:r w:rsidRPr="00BA4F0F">
              <w:rPr>
                <w:rFonts w:cs="Times New Roman"/>
                <w:szCs w:val="24"/>
              </w:rPr>
              <w:t>200 мг/м</w:t>
            </w:r>
            <w:r w:rsidRPr="00BA4F0F">
              <w:rPr>
                <w:rFonts w:cs="Times New Roman"/>
                <w:szCs w:val="24"/>
                <w:vertAlign w:val="superscript"/>
              </w:rPr>
              <w:t>2</w:t>
            </w:r>
          </w:p>
        </w:tc>
        <w:tc>
          <w:tcPr>
            <w:tcW w:w="1275" w:type="dxa"/>
          </w:tcPr>
          <w:p w14:paraId="39E62542" w14:textId="77777777" w:rsidR="0049053C" w:rsidRPr="00BA4F0F" w:rsidRDefault="0049053C" w:rsidP="003D0E86">
            <w:pPr>
              <w:pStyle w:val="afe"/>
              <w:ind w:left="0" w:firstLine="0"/>
              <w:jc w:val="center"/>
              <w:rPr>
                <w:rFonts w:cs="Times New Roman"/>
                <w:szCs w:val="24"/>
              </w:rPr>
            </w:pPr>
            <w:r w:rsidRPr="00BA4F0F">
              <w:rPr>
                <w:rFonts w:cs="Times New Roman"/>
                <w:szCs w:val="24"/>
              </w:rPr>
              <w:t>400 мг/м</w:t>
            </w:r>
            <w:r w:rsidRPr="00BA4F0F">
              <w:rPr>
                <w:rFonts w:cs="Times New Roman"/>
                <w:szCs w:val="24"/>
                <w:vertAlign w:val="superscript"/>
              </w:rPr>
              <w:t>2</w:t>
            </w:r>
          </w:p>
        </w:tc>
        <w:tc>
          <w:tcPr>
            <w:tcW w:w="2659" w:type="dxa"/>
          </w:tcPr>
          <w:p w14:paraId="4D303AE1" w14:textId="77777777" w:rsidR="0049053C" w:rsidRPr="00BA4F0F" w:rsidRDefault="0049053C" w:rsidP="003D0E86">
            <w:pPr>
              <w:pStyle w:val="afe"/>
              <w:ind w:left="0" w:firstLine="0"/>
              <w:rPr>
                <w:rFonts w:cs="Times New Roman"/>
                <w:szCs w:val="24"/>
              </w:rPr>
            </w:pPr>
            <w:r w:rsidRPr="00BA4F0F">
              <w:rPr>
                <w:rFonts w:cs="Times New Roman"/>
                <w:szCs w:val="24"/>
              </w:rPr>
              <w:t xml:space="preserve">Вводится в/в в виде инфузии в течение 30-60 минут в 500 мл 0,9% </w:t>
            </w:r>
            <w:r w:rsidRPr="00BA4F0F">
              <w:rPr>
                <w:rFonts w:cs="Times New Roman"/>
                <w:szCs w:val="24"/>
                <w:lang w:val="en-US"/>
              </w:rPr>
              <w:t>NaCl</w:t>
            </w:r>
          </w:p>
        </w:tc>
      </w:tr>
      <w:tr w:rsidR="0049053C" w:rsidRPr="00BA4F0F" w14:paraId="08EE1352" w14:textId="77777777" w:rsidTr="003D0E86">
        <w:tc>
          <w:tcPr>
            <w:tcW w:w="1418" w:type="dxa"/>
          </w:tcPr>
          <w:p w14:paraId="6071345E" w14:textId="77777777" w:rsidR="0049053C" w:rsidRPr="00BA4F0F" w:rsidRDefault="0049053C" w:rsidP="003D0E86">
            <w:pPr>
              <w:pStyle w:val="afe"/>
              <w:ind w:left="0" w:firstLine="0"/>
              <w:jc w:val="center"/>
              <w:rPr>
                <w:rFonts w:cs="Times New Roman"/>
                <w:szCs w:val="24"/>
              </w:rPr>
            </w:pPr>
            <w:r w:rsidRPr="00BA4F0F">
              <w:rPr>
                <w:rFonts w:cs="Times New Roman"/>
                <w:szCs w:val="24"/>
              </w:rPr>
              <w:t>Этопозид</w:t>
            </w:r>
          </w:p>
        </w:tc>
        <w:tc>
          <w:tcPr>
            <w:tcW w:w="1701" w:type="dxa"/>
          </w:tcPr>
          <w:p w14:paraId="71F2DE53" w14:textId="77777777" w:rsidR="0049053C" w:rsidRPr="00BA4F0F" w:rsidRDefault="0049053C" w:rsidP="003D0E86">
            <w:pPr>
              <w:pStyle w:val="afe"/>
              <w:ind w:left="0" w:firstLine="0"/>
              <w:jc w:val="center"/>
              <w:rPr>
                <w:rFonts w:cs="Times New Roman"/>
                <w:szCs w:val="24"/>
              </w:rPr>
            </w:pPr>
            <w:r w:rsidRPr="00BA4F0F">
              <w:rPr>
                <w:rFonts w:cs="Times New Roman"/>
                <w:szCs w:val="24"/>
              </w:rPr>
              <w:t>-5, -4, -3, -2 дни</w:t>
            </w:r>
          </w:p>
        </w:tc>
        <w:tc>
          <w:tcPr>
            <w:tcW w:w="1134" w:type="dxa"/>
          </w:tcPr>
          <w:p w14:paraId="0D4810BD" w14:textId="77777777" w:rsidR="0049053C" w:rsidRPr="00BA4F0F" w:rsidRDefault="0049053C" w:rsidP="003D0E86">
            <w:pPr>
              <w:pStyle w:val="afe"/>
              <w:ind w:left="0" w:firstLine="0"/>
              <w:jc w:val="center"/>
              <w:rPr>
                <w:rFonts w:cs="Times New Roman"/>
                <w:szCs w:val="24"/>
              </w:rPr>
            </w:pPr>
            <w:r w:rsidRPr="00BA4F0F">
              <w:rPr>
                <w:rFonts w:cs="Times New Roman"/>
                <w:szCs w:val="24"/>
              </w:rPr>
              <w:t>200мг/м</w:t>
            </w:r>
            <w:r w:rsidRPr="00BA4F0F">
              <w:rPr>
                <w:rFonts w:cs="Times New Roman"/>
                <w:szCs w:val="24"/>
                <w:vertAlign w:val="superscript"/>
              </w:rPr>
              <w:t>2</w:t>
            </w:r>
          </w:p>
        </w:tc>
        <w:tc>
          <w:tcPr>
            <w:tcW w:w="1276" w:type="dxa"/>
          </w:tcPr>
          <w:p w14:paraId="20B6DC6F" w14:textId="77777777" w:rsidR="0049053C" w:rsidRPr="00BA4F0F" w:rsidRDefault="0049053C" w:rsidP="003D0E86">
            <w:pPr>
              <w:pStyle w:val="afe"/>
              <w:ind w:left="0" w:firstLine="0"/>
              <w:jc w:val="center"/>
              <w:rPr>
                <w:rFonts w:cs="Times New Roman"/>
                <w:szCs w:val="24"/>
              </w:rPr>
            </w:pPr>
            <w:r w:rsidRPr="00BA4F0F">
              <w:rPr>
                <w:rFonts w:cs="Times New Roman"/>
                <w:szCs w:val="24"/>
              </w:rPr>
              <w:t>200 мг/м</w:t>
            </w:r>
            <w:r w:rsidRPr="00BA4F0F">
              <w:rPr>
                <w:rFonts w:cs="Times New Roman"/>
                <w:szCs w:val="24"/>
                <w:vertAlign w:val="superscript"/>
              </w:rPr>
              <w:t>2</w:t>
            </w:r>
          </w:p>
        </w:tc>
        <w:tc>
          <w:tcPr>
            <w:tcW w:w="1275" w:type="dxa"/>
          </w:tcPr>
          <w:p w14:paraId="22334387" w14:textId="77777777" w:rsidR="0049053C" w:rsidRPr="00BA4F0F" w:rsidRDefault="0049053C" w:rsidP="003D0E86">
            <w:pPr>
              <w:pStyle w:val="afe"/>
              <w:ind w:left="0" w:firstLine="0"/>
              <w:jc w:val="center"/>
              <w:rPr>
                <w:rFonts w:cs="Times New Roman"/>
                <w:szCs w:val="24"/>
              </w:rPr>
            </w:pPr>
            <w:r w:rsidRPr="00BA4F0F">
              <w:rPr>
                <w:rFonts w:cs="Times New Roman"/>
                <w:szCs w:val="24"/>
              </w:rPr>
              <w:t>800 мг/м</w:t>
            </w:r>
            <w:r w:rsidRPr="00BA4F0F">
              <w:rPr>
                <w:rFonts w:cs="Times New Roman"/>
                <w:szCs w:val="24"/>
                <w:vertAlign w:val="superscript"/>
              </w:rPr>
              <w:t>2</w:t>
            </w:r>
          </w:p>
        </w:tc>
        <w:tc>
          <w:tcPr>
            <w:tcW w:w="2659" w:type="dxa"/>
          </w:tcPr>
          <w:p w14:paraId="23B2442C" w14:textId="77777777" w:rsidR="0049053C" w:rsidRPr="00BA4F0F" w:rsidRDefault="0049053C" w:rsidP="003D0E86">
            <w:pPr>
              <w:pStyle w:val="afe"/>
              <w:ind w:left="0" w:firstLine="0"/>
              <w:rPr>
                <w:rFonts w:cs="Times New Roman"/>
                <w:szCs w:val="24"/>
              </w:rPr>
            </w:pPr>
            <w:r w:rsidRPr="00BA4F0F">
              <w:rPr>
                <w:rFonts w:cs="Times New Roman"/>
                <w:szCs w:val="24"/>
              </w:rPr>
              <w:t xml:space="preserve">Вводится в/в в виде инфузии в течение 30 минут в 500 мл 0,9% </w:t>
            </w:r>
            <w:r w:rsidRPr="00BA4F0F">
              <w:rPr>
                <w:rFonts w:cs="Times New Roman"/>
                <w:szCs w:val="24"/>
                <w:lang w:val="en-US"/>
              </w:rPr>
              <w:t>NaCl</w:t>
            </w:r>
          </w:p>
        </w:tc>
      </w:tr>
      <w:tr w:rsidR="0049053C" w:rsidRPr="00BA4F0F" w14:paraId="5B858CDB" w14:textId="77777777" w:rsidTr="003D0E86">
        <w:tc>
          <w:tcPr>
            <w:tcW w:w="1418" w:type="dxa"/>
          </w:tcPr>
          <w:p w14:paraId="3067E145" w14:textId="77777777" w:rsidR="0049053C" w:rsidRPr="00BA4F0F" w:rsidRDefault="0049053C" w:rsidP="003D0E86">
            <w:pPr>
              <w:pStyle w:val="afe"/>
              <w:ind w:left="0" w:firstLine="0"/>
              <w:jc w:val="center"/>
              <w:rPr>
                <w:rFonts w:cs="Times New Roman"/>
                <w:szCs w:val="24"/>
              </w:rPr>
            </w:pPr>
            <w:r w:rsidRPr="00BA4F0F">
              <w:rPr>
                <w:rFonts w:cs="Times New Roman"/>
                <w:szCs w:val="24"/>
              </w:rPr>
              <w:t>Цитарабин</w:t>
            </w:r>
          </w:p>
        </w:tc>
        <w:tc>
          <w:tcPr>
            <w:tcW w:w="1701" w:type="dxa"/>
          </w:tcPr>
          <w:p w14:paraId="1C39DB8D" w14:textId="77777777" w:rsidR="0049053C" w:rsidRPr="00BA4F0F" w:rsidRDefault="0049053C" w:rsidP="003D0E86">
            <w:pPr>
              <w:pStyle w:val="afe"/>
              <w:ind w:left="0" w:firstLine="0"/>
              <w:jc w:val="center"/>
              <w:rPr>
                <w:rFonts w:cs="Times New Roman"/>
                <w:szCs w:val="24"/>
              </w:rPr>
            </w:pPr>
            <w:r w:rsidRPr="00BA4F0F">
              <w:rPr>
                <w:rFonts w:cs="Times New Roman"/>
                <w:szCs w:val="24"/>
              </w:rPr>
              <w:t>-5, -4, -3, -2 дни</w:t>
            </w:r>
          </w:p>
        </w:tc>
        <w:tc>
          <w:tcPr>
            <w:tcW w:w="1134" w:type="dxa"/>
          </w:tcPr>
          <w:p w14:paraId="72A86EA3" w14:textId="77777777" w:rsidR="0049053C" w:rsidRPr="00BA4F0F" w:rsidRDefault="0049053C" w:rsidP="003D0E86">
            <w:pPr>
              <w:pStyle w:val="afe"/>
              <w:ind w:left="0" w:firstLine="0"/>
              <w:jc w:val="center"/>
              <w:rPr>
                <w:rFonts w:cs="Times New Roman"/>
                <w:szCs w:val="24"/>
              </w:rPr>
            </w:pPr>
            <w:r w:rsidRPr="00BA4F0F">
              <w:rPr>
                <w:rFonts w:cs="Times New Roman"/>
                <w:szCs w:val="24"/>
              </w:rPr>
              <w:t>200мг/м</w:t>
            </w:r>
            <w:r w:rsidRPr="00BA4F0F">
              <w:rPr>
                <w:rFonts w:cs="Times New Roman"/>
                <w:szCs w:val="24"/>
                <w:vertAlign w:val="superscript"/>
              </w:rPr>
              <w:t>2</w:t>
            </w:r>
          </w:p>
        </w:tc>
        <w:tc>
          <w:tcPr>
            <w:tcW w:w="1276" w:type="dxa"/>
          </w:tcPr>
          <w:p w14:paraId="42A948D1" w14:textId="77777777" w:rsidR="0049053C" w:rsidRPr="00BA4F0F" w:rsidRDefault="0049053C" w:rsidP="003D0E86">
            <w:pPr>
              <w:pStyle w:val="afe"/>
              <w:ind w:left="0" w:firstLine="0"/>
              <w:jc w:val="center"/>
              <w:rPr>
                <w:rFonts w:cs="Times New Roman"/>
                <w:szCs w:val="24"/>
              </w:rPr>
            </w:pPr>
            <w:r w:rsidRPr="00BA4F0F">
              <w:rPr>
                <w:rFonts w:cs="Times New Roman"/>
                <w:szCs w:val="24"/>
              </w:rPr>
              <w:t>400 мг/ м</w:t>
            </w:r>
            <w:r w:rsidRPr="00BA4F0F">
              <w:rPr>
                <w:rFonts w:cs="Times New Roman"/>
                <w:szCs w:val="24"/>
                <w:vertAlign w:val="superscript"/>
              </w:rPr>
              <w:t>2</w:t>
            </w:r>
          </w:p>
        </w:tc>
        <w:tc>
          <w:tcPr>
            <w:tcW w:w="1275" w:type="dxa"/>
          </w:tcPr>
          <w:p w14:paraId="735B5F73" w14:textId="77777777" w:rsidR="0049053C" w:rsidRPr="00BA4F0F" w:rsidRDefault="0049053C" w:rsidP="003D0E86">
            <w:pPr>
              <w:pStyle w:val="afe"/>
              <w:ind w:left="0" w:firstLine="0"/>
              <w:jc w:val="center"/>
              <w:rPr>
                <w:rFonts w:cs="Times New Roman"/>
                <w:szCs w:val="24"/>
              </w:rPr>
            </w:pPr>
            <w:r w:rsidRPr="00BA4F0F">
              <w:rPr>
                <w:rFonts w:cs="Times New Roman"/>
                <w:szCs w:val="24"/>
              </w:rPr>
              <w:t>1600 мг/м</w:t>
            </w:r>
            <w:r w:rsidRPr="00BA4F0F">
              <w:rPr>
                <w:rFonts w:cs="Times New Roman"/>
                <w:szCs w:val="24"/>
                <w:vertAlign w:val="superscript"/>
              </w:rPr>
              <w:t>2</w:t>
            </w:r>
          </w:p>
        </w:tc>
        <w:tc>
          <w:tcPr>
            <w:tcW w:w="2659" w:type="dxa"/>
          </w:tcPr>
          <w:p w14:paraId="1369C3B4" w14:textId="77777777" w:rsidR="0049053C" w:rsidRPr="00BA4F0F" w:rsidRDefault="0049053C" w:rsidP="003D0E86">
            <w:pPr>
              <w:pStyle w:val="afe"/>
              <w:ind w:left="0" w:firstLine="0"/>
              <w:rPr>
                <w:rFonts w:cs="Times New Roman"/>
                <w:szCs w:val="24"/>
              </w:rPr>
            </w:pPr>
            <w:r w:rsidRPr="00BA4F0F">
              <w:rPr>
                <w:rFonts w:cs="Times New Roman"/>
                <w:szCs w:val="24"/>
              </w:rPr>
              <w:t xml:space="preserve">Вводится в/в в виде инфузии в течение 30 минут в 500 мл 0,9% </w:t>
            </w:r>
            <w:r w:rsidRPr="00BA4F0F">
              <w:rPr>
                <w:rFonts w:cs="Times New Roman"/>
                <w:szCs w:val="24"/>
                <w:lang w:val="en-US"/>
              </w:rPr>
              <w:t>NaCl</w:t>
            </w:r>
          </w:p>
        </w:tc>
      </w:tr>
      <w:tr w:rsidR="0049053C" w:rsidRPr="00BA4F0F" w14:paraId="3BEE8F64" w14:textId="77777777" w:rsidTr="003D0E86">
        <w:tc>
          <w:tcPr>
            <w:tcW w:w="1418" w:type="dxa"/>
          </w:tcPr>
          <w:p w14:paraId="2D799DCD" w14:textId="77777777" w:rsidR="0049053C" w:rsidRPr="00BA4F0F" w:rsidRDefault="0049053C" w:rsidP="003D0E86">
            <w:pPr>
              <w:pStyle w:val="afe"/>
              <w:ind w:left="0" w:firstLine="0"/>
              <w:jc w:val="center"/>
              <w:rPr>
                <w:rFonts w:cs="Times New Roman"/>
                <w:szCs w:val="24"/>
              </w:rPr>
            </w:pPr>
            <w:r w:rsidRPr="00BA4F0F">
              <w:rPr>
                <w:rFonts w:cs="Times New Roman"/>
                <w:szCs w:val="24"/>
              </w:rPr>
              <w:t>Мелфалан</w:t>
            </w:r>
          </w:p>
        </w:tc>
        <w:tc>
          <w:tcPr>
            <w:tcW w:w="1701" w:type="dxa"/>
          </w:tcPr>
          <w:p w14:paraId="2DA79F0F" w14:textId="77777777" w:rsidR="0049053C" w:rsidRPr="00BA4F0F" w:rsidRDefault="0049053C" w:rsidP="003D0E86">
            <w:pPr>
              <w:pStyle w:val="afe"/>
              <w:ind w:left="0" w:firstLine="0"/>
              <w:jc w:val="center"/>
              <w:rPr>
                <w:rFonts w:cs="Times New Roman"/>
                <w:szCs w:val="24"/>
              </w:rPr>
            </w:pPr>
            <w:r w:rsidRPr="00BA4F0F">
              <w:rPr>
                <w:rFonts w:cs="Times New Roman"/>
                <w:szCs w:val="24"/>
              </w:rPr>
              <w:t>- 1 день</w:t>
            </w:r>
          </w:p>
        </w:tc>
        <w:tc>
          <w:tcPr>
            <w:tcW w:w="1134" w:type="dxa"/>
          </w:tcPr>
          <w:p w14:paraId="128DD745" w14:textId="77777777" w:rsidR="0049053C" w:rsidRPr="00BA4F0F" w:rsidRDefault="0049053C" w:rsidP="003D0E86">
            <w:pPr>
              <w:pStyle w:val="afe"/>
              <w:ind w:left="0" w:firstLine="0"/>
              <w:jc w:val="center"/>
              <w:rPr>
                <w:rFonts w:cs="Times New Roman"/>
                <w:szCs w:val="24"/>
              </w:rPr>
            </w:pPr>
            <w:r w:rsidRPr="00BA4F0F">
              <w:rPr>
                <w:rFonts w:cs="Times New Roman"/>
                <w:szCs w:val="24"/>
              </w:rPr>
              <w:t>140мг/м</w:t>
            </w:r>
            <w:r w:rsidRPr="00BA4F0F">
              <w:rPr>
                <w:rFonts w:cs="Times New Roman"/>
                <w:szCs w:val="24"/>
                <w:vertAlign w:val="superscript"/>
              </w:rPr>
              <w:t>2</w:t>
            </w:r>
          </w:p>
        </w:tc>
        <w:tc>
          <w:tcPr>
            <w:tcW w:w="1276" w:type="dxa"/>
          </w:tcPr>
          <w:p w14:paraId="66883D38" w14:textId="77777777" w:rsidR="0049053C" w:rsidRPr="00BA4F0F" w:rsidRDefault="0049053C" w:rsidP="003D0E86">
            <w:pPr>
              <w:pStyle w:val="afe"/>
              <w:ind w:left="0" w:firstLine="0"/>
              <w:jc w:val="center"/>
              <w:rPr>
                <w:rFonts w:cs="Times New Roman"/>
                <w:szCs w:val="24"/>
              </w:rPr>
            </w:pPr>
            <w:r w:rsidRPr="00BA4F0F">
              <w:rPr>
                <w:rFonts w:cs="Times New Roman"/>
                <w:szCs w:val="24"/>
              </w:rPr>
              <w:t>140 мг/м</w:t>
            </w:r>
            <w:r w:rsidRPr="00BA4F0F">
              <w:rPr>
                <w:rFonts w:cs="Times New Roman"/>
                <w:szCs w:val="24"/>
                <w:vertAlign w:val="superscript"/>
              </w:rPr>
              <w:t>2</w:t>
            </w:r>
          </w:p>
        </w:tc>
        <w:tc>
          <w:tcPr>
            <w:tcW w:w="1275" w:type="dxa"/>
          </w:tcPr>
          <w:p w14:paraId="13A16E4E" w14:textId="77777777" w:rsidR="0049053C" w:rsidRPr="00BA4F0F" w:rsidRDefault="0049053C" w:rsidP="003D0E86">
            <w:pPr>
              <w:pStyle w:val="afe"/>
              <w:ind w:left="0" w:firstLine="0"/>
              <w:jc w:val="center"/>
              <w:rPr>
                <w:rFonts w:cs="Times New Roman"/>
                <w:szCs w:val="24"/>
              </w:rPr>
            </w:pPr>
            <w:r w:rsidRPr="00BA4F0F">
              <w:rPr>
                <w:rFonts w:cs="Times New Roman"/>
                <w:szCs w:val="24"/>
              </w:rPr>
              <w:t>140 мг/м</w:t>
            </w:r>
            <w:r w:rsidRPr="00BA4F0F">
              <w:rPr>
                <w:rFonts w:cs="Times New Roman"/>
                <w:szCs w:val="24"/>
                <w:vertAlign w:val="superscript"/>
              </w:rPr>
              <w:t>2</w:t>
            </w:r>
          </w:p>
        </w:tc>
        <w:tc>
          <w:tcPr>
            <w:tcW w:w="2659" w:type="dxa"/>
          </w:tcPr>
          <w:p w14:paraId="33115B76" w14:textId="77777777" w:rsidR="0049053C" w:rsidRPr="00BA4F0F" w:rsidRDefault="0049053C" w:rsidP="003D0E86">
            <w:pPr>
              <w:pStyle w:val="afe"/>
              <w:ind w:left="0" w:firstLine="0"/>
              <w:rPr>
                <w:rFonts w:cs="Times New Roman"/>
                <w:szCs w:val="24"/>
              </w:rPr>
            </w:pPr>
            <w:r w:rsidRPr="00BA4F0F">
              <w:rPr>
                <w:rFonts w:cs="Times New Roman"/>
                <w:szCs w:val="24"/>
              </w:rPr>
              <w:t xml:space="preserve">Вводится в/в в виде инфузии в течение 1ч в 500 мл 0,9% </w:t>
            </w:r>
            <w:r w:rsidRPr="00BA4F0F">
              <w:rPr>
                <w:rFonts w:cs="Times New Roman"/>
                <w:szCs w:val="24"/>
                <w:lang w:val="en-US"/>
              </w:rPr>
              <w:t>NaCl</w:t>
            </w:r>
          </w:p>
        </w:tc>
      </w:tr>
    </w:tbl>
    <w:p w14:paraId="49FFBAC8" w14:textId="77777777" w:rsidR="0049053C" w:rsidRPr="00BA4F0F" w:rsidRDefault="0049053C" w:rsidP="0049053C">
      <w:pPr>
        <w:pStyle w:val="afe"/>
        <w:ind w:left="0"/>
        <w:rPr>
          <w:rFonts w:cs="Times New Roman"/>
          <w:szCs w:val="24"/>
          <w:u w:val="single"/>
        </w:rPr>
      </w:pPr>
      <w:bookmarkStart w:id="120" w:name="_Toc44926630"/>
    </w:p>
    <w:p w14:paraId="72AD611F" w14:textId="77777777" w:rsidR="0049053C" w:rsidRPr="00947E67" w:rsidRDefault="0049053C" w:rsidP="00947E67">
      <w:pPr>
        <w:pStyle w:val="1ff0"/>
        <w:rPr>
          <w:u w:val="single"/>
        </w:rPr>
      </w:pPr>
      <w:r w:rsidRPr="00947E67">
        <w:rPr>
          <w:u w:val="single"/>
        </w:rPr>
        <w:lastRenderedPageBreak/>
        <w:t>Режим кондиционирования при первичной лимфоме центральной нервной системы</w:t>
      </w:r>
      <w:bookmarkEnd w:id="120"/>
    </w:p>
    <w:p w14:paraId="0073D3A2" w14:textId="0331F38D" w:rsidR="0049053C" w:rsidRPr="006E60A8" w:rsidRDefault="0049053C" w:rsidP="00947E67">
      <w:pPr>
        <w:pStyle w:val="1ff0"/>
      </w:pPr>
      <w:r w:rsidRPr="006E60A8">
        <w:t xml:space="preserve">Высокодозная химиотерапия и трансплантация аутологичных стволовых клеток являются терапевтическим вариантом для пациентов с первичной лимфомой центральной нервной системы. Для предтрансплантационной подготовки у этой категории больных используется режим ТВС </w:t>
      </w:r>
      <w:r w:rsidRPr="006E60A8">
        <w:fldChar w:fldCharType="begin" w:fldLock="1"/>
      </w:r>
      <w:r w:rsidR="00A6794A">
        <w:instrText>ADDIN CSL_CITATION {"citationItems":[{"id":"ITEM-1","itemData":{"DOI":"10.1182/blood-2014-10-604561","ISSN":"1528-0020","PMID":"25568347","abstract":"High-dose methotrexate-based chemotherapy is the mainstay of treatment of primary central nervous system lymphoma (PCNSL), but relapses remain frequent. High-dose chemotherapy (HDC) with autologous stem-cell transplant (ASCT) may provide an alternative to address chemoresistance and overcome the blood-brain barrier. In this single-center phase-2 study, newly diagnosed PCNSL patients received 5 to 7 cycles of chemotherapy with rituximab, methotrexate (3.5 g/m(2)), procarbazine, and vincristine (R-MPV). Those with a complete or partial response proceeded with consolidation HDC with thiotepa, cyclophosphamide, and busulfan, followed by ASCT and no radiotherapy. Primary end point was 1-year progression-free survival (PFS), N = 32. Median age was 57, and median Karnofsky performance status 80. Following R-MPV, objective response rate was 97%, and 26 (81%) patients proceeded with HDC-ASCT. Among all patients, median PFS and overall survival (OS) were not reached (median follow-up: 45 months). Two-year PFS was 79% (95% confidence interval [CI], 58-90), with no events observed beyond 2 years. Two-year OS was 81% (95% CI, 63-91). In transplanted patients, 2-year PFS and OS were 81%. There were 3 treatment-related deaths. Prospective neuropsychological evaluations suggested relatively stable cognitive functions posttransplant. In conclusion, this treatment was associated with excellent disease control and survival, an acceptable toxicity profile, and no evidence of neurotoxicity thus far. This trial was registered at www.clinicaltrials.gov as NCT00596154.","author":[{"dropping-particle":"","family":"Omuro","given":"Antonio","non-dropping-particle":"","parse-names":false,"suffix":""},{"dropping-particle":"","family":"Correa","given":"Denise D","non-dropping-particle":"","parse-names":false,"suffix":""},{"dropping-particle":"","family":"DeAngelis","given":"Lisa M","non-dropping-particle":"","parse-names":false,"suffix":""},{"dropping-particle":"","family":"Moskowitz","given":"Craig H","non-dropping-particle":"","parse-names":false,"suffix":""},{"dropping-particle":"","family":"Matasar","given":"Matthew J","non-dropping-particle":"","parse-names":false,"suffix":""},{"dropping-particle":"","family":"Kaley","given":"Thomas J","non-dropping-particle":"","parse-names":false,"suffix":""},{"dropping-particle":"","family":"Gavrilovic","given":"Igor T","non-dropping-particle":"","parse-names":false,"suffix":""},{"dropping-particle":"","family":"Nolan","given":"Craig","non-dropping-particle":"","parse-names":false,"suffix":""},{"dropping-particle":"","family":"Pentsova","given":"Elena","non-dropping-particle":"","parse-names":false,"suffix":""},{"dropping-particle":"","family":"Grommes","given":"Christian C","non-dropping-particle":"","parse-names":false,"suffix":""},{"dropping-particle":"","family":"Panageas","given":"Katherine S","non-dropping-particle":"","parse-names":false,"suffix":""},{"dropping-particle":"","family":"Baser","given":"Raymond E","non-dropping-particle":"","parse-names":false,"suffix":""},{"dropping-particle":"","family":"Faivre","given":"Geraldine","non-dropping-particle":"","parse-names":false,"suffix":""},{"dropping-particle":"","family":"Abrey","given":"Lauren E","non-dropping-particle":"","parse-names":false,"suffix":""},{"dropping-particle":"","family":"Sauter","given":"Craig S","non-dropping-particle":"","parse-names":false,"suffix":""}],"container-title":"Blood","id":"ITEM-1","issue":"9","issued":{"date-parts":[["2015","2"]]},"page":"1403-10","publisher":"Blood","title":"R-MPV followed by high-dose chemotherapy with TBC and autologous stem-cell transplant for newly diagnosed primary CNS lymphoma.","type":"article-journal","volume":"125"},"uris":["http://www.mendeley.com/documents/?uuid=96a35543-c64e-3517-8495-88bc3fe86794","http://www.mendeley.com/documents/?uuid=ab45ab29-739e-4a8a-aaa0-8773ad1eaf4c"]},{"id":"ITEM-2","itemData":{"DOI":"10.1002/cncr.30695","ISSN":"1097-0142","PMID":"28369839","abstract":"BACKGROUND High-dose chemotherapy and autologous stem cell transplantation (HDC-ASCT) is a therapeutic option for patients with primary central nervous system lymphoma (PCNSL). To the authors' knowledge, data are limited regarding its use among patients in first complete remission (CR1) with the CNS-directed conditioning regimen of thiotepa, busulfan, and cyclophosphamide (TBC). METHODS A retrospective analysis of patients with PCNSL in CR1 who underwent transplantation using a TBC-based conditioning regimen at 2 academic institutions was performed. RESULTS Forty-six consecutive patients who underwent HDC-ASCT while in CR1 were identified. The most common induction regimen was high-dose methotrexate plus temozolomide and rituximab (59%). No patients received whole-brain radiotherapy. A total of 40 patients (87%) received cytarabine before undergoing ASCT as either induction intensification, early consolidation therapy, or mobilization. The median time from diagnosis to transplantation was 6 months (range, 4-15 months). The median age of the patients at the time of transplantation was 59 years (range, 27-69 years). With a median follow-up of 2.7 years after ASCT (range, 6 months-7.5 years), the Kaplan-Meier estimates of 2-year overall survival and progression-free survival were 95% (95% confidence interval [95% CI], 80%-99%) and 92% (95% CI, 77%-97%), respectively. The most common toxicities were severe mucositis (35%) and bacterial infections occurring within 100 days of transplantation (35%). The estimated 2-year nonrecurrence mortality rate was 2.9% (95% CI, 0.2%-13.4%). CONCLUSIONS HDC-ASCT with a CNS-directed conditioning regimen such as TBC should be considered for patients with PCNSL who are in CR1 because this approach is associated with encouraging disease control and survival in this select patient population. Cancer 2017;123:3073-79. © 2017 American Cancer Society.","author":[{"dropping-particle":"","family":"DeFilipp","given":"Zachariah","non-dropping-particle":"","parse-names":false,"suffix":""},{"dropping-particle":"","family":"Li","given":"Shuli","non-dropping-particle":"","parse-names":false,"suffix":""},{"dropping-particle":"","family":"El-Jawahri","given":"Areej","non-dropping-particle":"","parse-names":false,"suffix":""},{"dropping-particle":"","family":"Armand","given":"Philippe","non-dropping-particle":"","parse-names":false,"suffix":""},{"dropping-particle":"","family":"Nayak","given":"Lakshmi","non-dropping-particle":"","parse-names":false,"suffix":""},{"dropping-particle":"","family":"Wang","given":"Nancy","non-dropping-particle":"","parse-names":false,"suffix":""},{"dropping-particle":"","family":"Batchelor","given":"Tracy T","non-dropping-particle":"","parse-names":false,"suffix":""},{"dropping-particle":"","family":"Chen","given":"Yi-Bin","non-dropping-particle":"","parse-names":false,"suffix":""}],"container-title":"Cancer","id":"ITEM-2","issue":"16","issued":{"date-parts":[["2017","8"]]},"page":"3073-3079","publisher":"Cancer","title":"High-dose chemotherapy with thiotepa, busulfan, and cyclophosphamide and autologous stem cell transplantation for patients with primary central nervous system lymphoma in first complete remission.","type":"article-journal","volume":"123"},"uris":["http://www.mendeley.com/documents/?uuid=9217952f-6a7c-3a85-9d41-7ae5e40e2299","http://www.mendeley.com/documents/?uuid=d5e38da9-0866-40ee-a896-af461fd862df"]}],"mendeley":{"formattedCitation":"[241,242]","plainTextFormattedCitation":"[241,242]","previouslyFormattedCitation":"[241,242]"},"properties":{"noteIndex":0},"schema":"https://github.com/citation-style-language/schema/raw/master/csl-citation.json"}</w:instrText>
      </w:r>
      <w:r w:rsidRPr="006E60A8">
        <w:fldChar w:fldCharType="separate"/>
      </w:r>
      <w:r w:rsidR="006E1902" w:rsidRPr="006E1902">
        <w:rPr>
          <w:noProof/>
        </w:rPr>
        <w:t>[241,242]</w:t>
      </w:r>
      <w:r w:rsidRPr="006E60A8">
        <w:fldChar w:fldCharType="end"/>
      </w:r>
      <w:r w:rsidRPr="006E60A8">
        <w:t xml:space="preserve">. Схема введения препаратов и дозы представлены в таблице </w:t>
      </w:r>
      <w:r w:rsidR="00947E67">
        <w:t>А3.3.</w:t>
      </w:r>
      <w:r w:rsidRPr="006E60A8">
        <w:t>8.</w:t>
      </w:r>
    </w:p>
    <w:p w14:paraId="768A9A95" w14:textId="77777777" w:rsidR="0049053C" w:rsidRPr="006E60A8" w:rsidRDefault="0049053C" w:rsidP="0049053C">
      <w:pPr>
        <w:rPr>
          <w:b/>
        </w:rPr>
      </w:pPr>
    </w:p>
    <w:p w14:paraId="3E5930D4" w14:textId="3E7A889C" w:rsidR="0049053C" w:rsidRPr="00BA4F0F" w:rsidRDefault="0049053C" w:rsidP="0049053C">
      <w:r w:rsidRPr="006E60A8">
        <w:t xml:space="preserve">Таблица </w:t>
      </w:r>
      <w:r w:rsidR="00947E67">
        <w:t>А3.3.</w:t>
      </w:r>
      <w:r w:rsidRPr="006E60A8">
        <w:t xml:space="preserve">8. Схема предтрансплантационного кондиционирования </w:t>
      </w:r>
      <w:r w:rsidRPr="006E60A8">
        <w:rPr>
          <w:lang w:val="en-US"/>
        </w:rPr>
        <w:t>TBC</w:t>
      </w:r>
    </w:p>
    <w:tbl>
      <w:tblPr>
        <w:tblStyle w:val="aff9"/>
        <w:tblW w:w="0" w:type="auto"/>
        <w:tblInd w:w="108" w:type="dxa"/>
        <w:tblLayout w:type="fixed"/>
        <w:tblLook w:val="04A0" w:firstRow="1" w:lastRow="0" w:firstColumn="1" w:lastColumn="0" w:noHBand="0" w:noVBand="1"/>
      </w:tblPr>
      <w:tblGrid>
        <w:gridCol w:w="1418"/>
        <w:gridCol w:w="1701"/>
        <w:gridCol w:w="1134"/>
        <w:gridCol w:w="1276"/>
        <w:gridCol w:w="1275"/>
        <w:gridCol w:w="2659"/>
      </w:tblGrid>
      <w:tr w:rsidR="0049053C" w:rsidRPr="00BA4F0F" w14:paraId="2F62C81B" w14:textId="77777777" w:rsidTr="003D0E86">
        <w:tc>
          <w:tcPr>
            <w:tcW w:w="1418" w:type="dxa"/>
          </w:tcPr>
          <w:p w14:paraId="7EB30D34" w14:textId="77777777" w:rsidR="0049053C" w:rsidRPr="00BA4F0F" w:rsidRDefault="0049053C" w:rsidP="003D0E86">
            <w:pPr>
              <w:pStyle w:val="afe"/>
              <w:ind w:left="0" w:firstLine="0"/>
              <w:rPr>
                <w:rFonts w:cs="Times New Roman"/>
                <w:szCs w:val="24"/>
              </w:rPr>
            </w:pPr>
            <w:r w:rsidRPr="00BA4F0F">
              <w:rPr>
                <w:rFonts w:cs="Times New Roman"/>
                <w:szCs w:val="24"/>
              </w:rPr>
              <w:t>Препарат</w:t>
            </w:r>
          </w:p>
        </w:tc>
        <w:tc>
          <w:tcPr>
            <w:tcW w:w="1701" w:type="dxa"/>
          </w:tcPr>
          <w:p w14:paraId="360E7C14" w14:textId="77777777" w:rsidR="0049053C" w:rsidRPr="00BA4F0F" w:rsidRDefault="0049053C" w:rsidP="003D0E86">
            <w:pPr>
              <w:pStyle w:val="afe"/>
              <w:ind w:left="0" w:firstLine="0"/>
              <w:rPr>
                <w:rFonts w:cs="Times New Roman"/>
                <w:szCs w:val="24"/>
              </w:rPr>
            </w:pPr>
            <w:r w:rsidRPr="00BA4F0F">
              <w:rPr>
                <w:rFonts w:cs="Times New Roman"/>
                <w:szCs w:val="24"/>
              </w:rPr>
              <w:t>Дни введения перед ауто-ТГСК</w:t>
            </w:r>
          </w:p>
        </w:tc>
        <w:tc>
          <w:tcPr>
            <w:tcW w:w="1134" w:type="dxa"/>
          </w:tcPr>
          <w:p w14:paraId="64BACC3A" w14:textId="77777777" w:rsidR="0049053C" w:rsidRPr="00BA4F0F" w:rsidRDefault="0049053C" w:rsidP="003D0E86">
            <w:pPr>
              <w:pStyle w:val="afe"/>
              <w:ind w:left="0" w:firstLine="0"/>
              <w:rPr>
                <w:rFonts w:cs="Times New Roman"/>
                <w:szCs w:val="24"/>
              </w:rPr>
            </w:pPr>
            <w:r w:rsidRPr="00BA4F0F">
              <w:rPr>
                <w:rFonts w:cs="Times New Roman"/>
                <w:szCs w:val="24"/>
              </w:rPr>
              <w:t>Разовая доза</w:t>
            </w:r>
          </w:p>
        </w:tc>
        <w:tc>
          <w:tcPr>
            <w:tcW w:w="1276" w:type="dxa"/>
          </w:tcPr>
          <w:p w14:paraId="6D39B96A" w14:textId="77777777" w:rsidR="0049053C" w:rsidRPr="00BA4F0F" w:rsidRDefault="0049053C" w:rsidP="003D0E86">
            <w:pPr>
              <w:pStyle w:val="afe"/>
              <w:ind w:left="0" w:firstLine="0"/>
              <w:rPr>
                <w:rFonts w:cs="Times New Roman"/>
                <w:szCs w:val="24"/>
              </w:rPr>
            </w:pPr>
            <w:r w:rsidRPr="00BA4F0F">
              <w:rPr>
                <w:rFonts w:cs="Times New Roman"/>
                <w:szCs w:val="24"/>
              </w:rPr>
              <w:t>Суточная доза</w:t>
            </w:r>
          </w:p>
        </w:tc>
        <w:tc>
          <w:tcPr>
            <w:tcW w:w="1275" w:type="dxa"/>
          </w:tcPr>
          <w:p w14:paraId="5A8B0A5F" w14:textId="77777777" w:rsidR="0049053C" w:rsidRPr="00BA4F0F" w:rsidRDefault="0049053C" w:rsidP="003D0E86">
            <w:pPr>
              <w:pStyle w:val="afe"/>
              <w:ind w:left="0" w:firstLine="0"/>
              <w:rPr>
                <w:rFonts w:cs="Times New Roman"/>
                <w:szCs w:val="24"/>
              </w:rPr>
            </w:pPr>
            <w:r w:rsidRPr="00BA4F0F">
              <w:rPr>
                <w:rFonts w:cs="Times New Roman"/>
                <w:szCs w:val="24"/>
              </w:rPr>
              <w:t>Курсовая доза</w:t>
            </w:r>
          </w:p>
        </w:tc>
        <w:tc>
          <w:tcPr>
            <w:tcW w:w="2659" w:type="dxa"/>
          </w:tcPr>
          <w:p w14:paraId="2319C9E3" w14:textId="77777777" w:rsidR="0049053C" w:rsidRPr="00BA4F0F" w:rsidRDefault="0049053C" w:rsidP="003D0E86">
            <w:pPr>
              <w:pStyle w:val="afe"/>
              <w:ind w:left="0" w:firstLine="0"/>
              <w:rPr>
                <w:rFonts w:cs="Times New Roman"/>
                <w:szCs w:val="24"/>
              </w:rPr>
            </w:pPr>
            <w:r w:rsidRPr="00BA4F0F">
              <w:rPr>
                <w:rFonts w:cs="Times New Roman"/>
                <w:szCs w:val="24"/>
              </w:rPr>
              <w:t>Особенности введения</w:t>
            </w:r>
          </w:p>
        </w:tc>
      </w:tr>
      <w:tr w:rsidR="0049053C" w:rsidRPr="00BA4F0F" w14:paraId="04396076" w14:textId="77777777" w:rsidTr="003D0E86">
        <w:tc>
          <w:tcPr>
            <w:tcW w:w="1418" w:type="dxa"/>
          </w:tcPr>
          <w:p w14:paraId="7BA387F3" w14:textId="77777777" w:rsidR="0049053C" w:rsidRPr="00BA4F0F" w:rsidRDefault="0049053C" w:rsidP="003D0E86">
            <w:pPr>
              <w:pStyle w:val="afe"/>
              <w:ind w:left="0" w:firstLine="0"/>
              <w:jc w:val="center"/>
              <w:rPr>
                <w:rFonts w:cs="Times New Roman"/>
                <w:szCs w:val="24"/>
              </w:rPr>
            </w:pPr>
            <w:r w:rsidRPr="00BA4F0F">
              <w:rPr>
                <w:rFonts w:cs="Times New Roman"/>
                <w:szCs w:val="24"/>
              </w:rPr>
              <w:t>Тиотепа</w:t>
            </w:r>
          </w:p>
        </w:tc>
        <w:tc>
          <w:tcPr>
            <w:tcW w:w="1701" w:type="dxa"/>
          </w:tcPr>
          <w:p w14:paraId="4BA374CE" w14:textId="77777777" w:rsidR="0049053C" w:rsidRPr="00BA4F0F" w:rsidRDefault="0049053C" w:rsidP="003D0E86">
            <w:pPr>
              <w:pStyle w:val="afe"/>
              <w:ind w:left="0" w:firstLine="0"/>
              <w:jc w:val="center"/>
              <w:rPr>
                <w:rFonts w:cs="Times New Roman"/>
                <w:szCs w:val="24"/>
              </w:rPr>
            </w:pPr>
            <w:r w:rsidRPr="00BA4F0F">
              <w:rPr>
                <w:rFonts w:cs="Times New Roman"/>
                <w:szCs w:val="24"/>
              </w:rPr>
              <w:t>-9, -8, -7 дни</w:t>
            </w:r>
          </w:p>
        </w:tc>
        <w:tc>
          <w:tcPr>
            <w:tcW w:w="1134" w:type="dxa"/>
          </w:tcPr>
          <w:p w14:paraId="58C4E2AB" w14:textId="77777777" w:rsidR="0049053C" w:rsidRPr="00BA4F0F" w:rsidRDefault="0049053C" w:rsidP="003D0E86">
            <w:pPr>
              <w:pStyle w:val="afe"/>
              <w:ind w:left="0" w:firstLine="0"/>
              <w:jc w:val="center"/>
              <w:rPr>
                <w:rFonts w:cs="Times New Roman"/>
                <w:szCs w:val="24"/>
              </w:rPr>
            </w:pPr>
            <w:r w:rsidRPr="00BA4F0F">
              <w:rPr>
                <w:rFonts w:cs="Times New Roman"/>
                <w:szCs w:val="24"/>
              </w:rPr>
              <w:t>250мг/м</w:t>
            </w:r>
            <w:r w:rsidRPr="00BA4F0F">
              <w:rPr>
                <w:rFonts w:cs="Times New Roman"/>
                <w:szCs w:val="24"/>
                <w:vertAlign w:val="superscript"/>
              </w:rPr>
              <w:t>2</w:t>
            </w:r>
          </w:p>
        </w:tc>
        <w:tc>
          <w:tcPr>
            <w:tcW w:w="1276" w:type="dxa"/>
          </w:tcPr>
          <w:p w14:paraId="1438A02D" w14:textId="77777777" w:rsidR="0049053C" w:rsidRPr="00BA4F0F" w:rsidRDefault="0049053C" w:rsidP="003D0E86">
            <w:pPr>
              <w:pStyle w:val="afe"/>
              <w:ind w:left="0" w:firstLine="0"/>
              <w:jc w:val="center"/>
              <w:rPr>
                <w:rFonts w:cs="Times New Roman"/>
                <w:szCs w:val="24"/>
              </w:rPr>
            </w:pPr>
            <w:r w:rsidRPr="00BA4F0F">
              <w:rPr>
                <w:rFonts w:cs="Times New Roman"/>
                <w:szCs w:val="24"/>
              </w:rPr>
              <w:t>250 мг/м</w:t>
            </w:r>
            <w:r w:rsidRPr="00BA4F0F">
              <w:rPr>
                <w:rFonts w:cs="Times New Roman"/>
                <w:szCs w:val="24"/>
                <w:vertAlign w:val="superscript"/>
              </w:rPr>
              <w:t>2</w:t>
            </w:r>
          </w:p>
        </w:tc>
        <w:tc>
          <w:tcPr>
            <w:tcW w:w="1275" w:type="dxa"/>
          </w:tcPr>
          <w:p w14:paraId="5B65A0F5" w14:textId="77777777" w:rsidR="0049053C" w:rsidRPr="00BA4F0F" w:rsidRDefault="0049053C" w:rsidP="003D0E86">
            <w:pPr>
              <w:pStyle w:val="afe"/>
              <w:ind w:left="0" w:firstLine="0"/>
              <w:jc w:val="center"/>
              <w:rPr>
                <w:rFonts w:cs="Times New Roman"/>
                <w:szCs w:val="24"/>
              </w:rPr>
            </w:pPr>
            <w:r w:rsidRPr="00BA4F0F">
              <w:rPr>
                <w:rFonts w:cs="Times New Roman"/>
                <w:szCs w:val="24"/>
              </w:rPr>
              <w:t>750 мг/м</w:t>
            </w:r>
            <w:r w:rsidRPr="00BA4F0F">
              <w:rPr>
                <w:rFonts w:cs="Times New Roman"/>
                <w:szCs w:val="24"/>
                <w:vertAlign w:val="superscript"/>
              </w:rPr>
              <w:t>2</w:t>
            </w:r>
          </w:p>
        </w:tc>
        <w:tc>
          <w:tcPr>
            <w:tcW w:w="2659" w:type="dxa"/>
          </w:tcPr>
          <w:p w14:paraId="64DCC333" w14:textId="77777777" w:rsidR="0049053C" w:rsidRPr="00BA4F0F" w:rsidRDefault="0049053C" w:rsidP="003D0E86">
            <w:pPr>
              <w:pStyle w:val="afe"/>
              <w:ind w:left="0" w:firstLine="0"/>
              <w:rPr>
                <w:rFonts w:cs="Times New Roman"/>
                <w:szCs w:val="24"/>
              </w:rPr>
            </w:pPr>
            <w:r w:rsidRPr="00BA4F0F">
              <w:rPr>
                <w:rFonts w:cs="Times New Roman"/>
                <w:szCs w:val="24"/>
              </w:rPr>
              <w:t>Вводится в/в в виде инфузии</w:t>
            </w:r>
          </w:p>
        </w:tc>
      </w:tr>
      <w:tr w:rsidR="0049053C" w:rsidRPr="00BA4F0F" w14:paraId="1B839E9F" w14:textId="77777777" w:rsidTr="003D0E86">
        <w:tc>
          <w:tcPr>
            <w:tcW w:w="1418" w:type="dxa"/>
          </w:tcPr>
          <w:p w14:paraId="283635AF" w14:textId="77777777" w:rsidR="0049053C" w:rsidRPr="00BA4F0F" w:rsidRDefault="0049053C" w:rsidP="003D0E86">
            <w:pPr>
              <w:pStyle w:val="afe"/>
              <w:ind w:left="0" w:firstLine="0"/>
              <w:jc w:val="center"/>
              <w:rPr>
                <w:rFonts w:cs="Times New Roman"/>
                <w:szCs w:val="24"/>
              </w:rPr>
            </w:pPr>
            <w:r w:rsidRPr="00BA4F0F">
              <w:rPr>
                <w:rFonts w:cs="Times New Roman"/>
                <w:szCs w:val="24"/>
              </w:rPr>
              <w:t>Бусульфан</w:t>
            </w:r>
          </w:p>
        </w:tc>
        <w:tc>
          <w:tcPr>
            <w:tcW w:w="1701" w:type="dxa"/>
          </w:tcPr>
          <w:p w14:paraId="42B6317F" w14:textId="77777777" w:rsidR="0049053C" w:rsidRPr="00BA4F0F" w:rsidRDefault="0049053C" w:rsidP="003D0E86">
            <w:pPr>
              <w:pStyle w:val="afe"/>
              <w:ind w:left="0" w:firstLine="0"/>
              <w:jc w:val="center"/>
              <w:rPr>
                <w:rFonts w:cs="Times New Roman"/>
                <w:szCs w:val="24"/>
              </w:rPr>
            </w:pPr>
            <w:r w:rsidRPr="00BA4F0F">
              <w:rPr>
                <w:rFonts w:cs="Times New Roman"/>
                <w:szCs w:val="24"/>
              </w:rPr>
              <w:t>-6, -5, -4 дни</w:t>
            </w:r>
          </w:p>
        </w:tc>
        <w:tc>
          <w:tcPr>
            <w:tcW w:w="1134" w:type="dxa"/>
          </w:tcPr>
          <w:p w14:paraId="6295B472" w14:textId="77777777" w:rsidR="0049053C" w:rsidRPr="00BA4F0F" w:rsidRDefault="0049053C" w:rsidP="003D0E86">
            <w:pPr>
              <w:pStyle w:val="afe"/>
              <w:ind w:left="0" w:firstLine="0"/>
              <w:jc w:val="center"/>
              <w:rPr>
                <w:rFonts w:cs="Times New Roman"/>
                <w:szCs w:val="24"/>
              </w:rPr>
            </w:pPr>
            <w:r w:rsidRPr="00BA4F0F">
              <w:rPr>
                <w:rFonts w:cs="Times New Roman"/>
                <w:szCs w:val="24"/>
              </w:rPr>
              <w:t>0,8 мг/кг</w:t>
            </w:r>
          </w:p>
        </w:tc>
        <w:tc>
          <w:tcPr>
            <w:tcW w:w="1276" w:type="dxa"/>
          </w:tcPr>
          <w:p w14:paraId="2438550E" w14:textId="77777777" w:rsidR="0049053C" w:rsidRPr="00BA4F0F" w:rsidRDefault="0049053C" w:rsidP="003D0E86">
            <w:pPr>
              <w:pStyle w:val="afe"/>
              <w:ind w:left="0" w:firstLine="0"/>
              <w:jc w:val="center"/>
              <w:rPr>
                <w:rFonts w:cs="Times New Roman"/>
                <w:szCs w:val="24"/>
              </w:rPr>
            </w:pPr>
            <w:r w:rsidRPr="00BA4F0F">
              <w:rPr>
                <w:rFonts w:cs="Times New Roman"/>
                <w:szCs w:val="24"/>
              </w:rPr>
              <w:t>3,2 мг/кг</w:t>
            </w:r>
          </w:p>
        </w:tc>
        <w:tc>
          <w:tcPr>
            <w:tcW w:w="1275" w:type="dxa"/>
          </w:tcPr>
          <w:p w14:paraId="2023B32F" w14:textId="77777777" w:rsidR="0049053C" w:rsidRPr="00BA4F0F" w:rsidRDefault="0049053C" w:rsidP="003D0E86">
            <w:pPr>
              <w:pStyle w:val="afe"/>
              <w:ind w:left="0" w:firstLine="0"/>
              <w:jc w:val="center"/>
              <w:rPr>
                <w:rFonts w:cs="Times New Roman"/>
                <w:szCs w:val="24"/>
              </w:rPr>
            </w:pPr>
            <w:r w:rsidRPr="00BA4F0F">
              <w:rPr>
                <w:rFonts w:cs="Times New Roman"/>
                <w:szCs w:val="24"/>
              </w:rPr>
              <w:t>9,6 мг/кг</w:t>
            </w:r>
          </w:p>
        </w:tc>
        <w:tc>
          <w:tcPr>
            <w:tcW w:w="2659" w:type="dxa"/>
          </w:tcPr>
          <w:p w14:paraId="149DD54A" w14:textId="77777777" w:rsidR="0049053C" w:rsidRPr="00BA4F0F" w:rsidRDefault="0049053C" w:rsidP="003D0E86">
            <w:pPr>
              <w:pStyle w:val="afe"/>
              <w:ind w:left="0" w:firstLine="0"/>
              <w:rPr>
                <w:rFonts w:cs="Times New Roman"/>
                <w:szCs w:val="24"/>
              </w:rPr>
            </w:pPr>
            <w:r w:rsidRPr="00BA4F0F">
              <w:rPr>
                <w:rFonts w:cs="Times New Roman"/>
                <w:szCs w:val="24"/>
              </w:rPr>
              <w:t xml:space="preserve">Вводится в/в в виде инфузии. </w:t>
            </w:r>
          </w:p>
          <w:p w14:paraId="060C28BD" w14:textId="77777777" w:rsidR="0049053C" w:rsidRPr="00BA4F0F" w:rsidRDefault="0049053C" w:rsidP="003D0E86">
            <w:pPr>
              <w:pStyle w:val="afe"/>
              <w:ind w:left="0" w:firstLine="0"/>
              <w:rPr>
                <w:rFonts w:cs="Times New Roman"/>
                <w:szCs w:val="24"/>
              </w:rPr>
            </w:pPr>
            <w:r w:rsidRPr="00BA4F0F">
              <w:rPr>
                <w:rFonts w:cs="Times New Roman"/>
                <w:szCs w:val="24"/>
              </w:rPr>
              <w:t>(при отсутствии в/в формы возможно заменить пероральной).</w:t>
            </w:r>
          </w:p>
        </w:tc>
      </w:tr>
      <w:tr w:rsidR="0049053C" w:rsidRPr="00BA4F0F" w14:paraId="62903E5C" w14:textId="77777777" w:rsidTr="003D0E86">
        <w:tc>
          <w:tcPr>
            <w:tcW w:w="1418" w:type="dxa"/>
          </w:tcPr>
          <w:p w14:paraId="236909F0" w14:textId="77777777" w:rsidR="0049053C" w:rsidRPr="00BA4F0F" w:rsidRDefault="0049053C" w:rsidP="003D0E86">
            <w:pPr>
              <w:pStyle w:val="afe"/>
              <w:ind w:left="0" w:firstLine="0"/>
              <w:jc w:val="center"/>
              <w:rPr>
                <w:rFonts w:cs="Times New Roman"/>
                <w:szCs w:val="24"/>
              </w:rPr>
            </w:pPr>
            <w:r w:rsidRPr="00BA4F0F">
              <w:rPr>
                <w:rFonts w:cs="Times New Roman"/>
                <w:szCs w:val="24"/>
              </w:rPr>
              <w:t>Циклофосфан</w:t>
            </w:r>
          </w:p>
        </w:tc>
        <w:tc>
          <w:tcPr>
            <w:tcW w:w="1701" w:type="dxa"/>
          </w:tcPr>
          <w:p w14:paraId="0FAEFD4E" w14:textId="77777777" w:rsidR="0049053C" w:rsidRPr="00BA4F0F" w:rsidRDefault="0049053C" w:rsidP="003D0E86">
            <w:pPr>
              <w:pStyle w:val="afe"/>
              <w:ind w:left="0" w:firstLine="0"/>
              <w:jc w:val="center"/>
              <w:rPr>
                <w:rFonts w:cs="Times New Roman"/>
                <w:szCs w:val="24"/>
              </w:rPr>
            </w:pPr>
            <w:r w:rsidRPr="00BA4F0F">
              <w:rPr>
                <w:rFonts w:cs="Times New Roman"/>
                <w:szCs w:val="24"/>
              </w:rPr>
              <w:t>-3, -2 дни</w:t>
            </w:r>
          </w:p>
        </w:tc>
        <w:tc>
          <w:tcPr>
            <w:tcW w:w="1134" w:type="dxa"/>
          </w:tcPr>
          <w:p w14:paraId="473846E4" w14:textId="77777777" w:rsidR="0049053C" w:rsidRPr="00BA4F0F" w:rsidRDefault="0049053C" w:rsidP="003D0E86">
            <w:pPr>
              <w:pStyle w:val="afe"/>
              <w:ind w:left="0" w:firstLine="0"/>
              <w:jc w:val="center"/>
              <w:rPr>
                <w:rFonts w:cs="Times New Roman"/>
                <w:szCs w:val="24"/>
              </w:rPr>
            </w:pPr>
            <w:r w:rsidRPr="00BA4F0F">
              <w:rPr>
                <w:rFonts w:cs="Times New Roman"/>
                <w:szCs w:val="24"/>
              </w:rPr>
              <w:t>20 мг/кг</w:t>
            </w:r>
          </w:p>
        </w:tc>
        <w:tc>
          <w:tcPr>
            <w:tcW w:w="1276" w:type="dxa"/>
          </w:tcPr>
          <w:p w14:paraId="55048373" w14:textId="77777777" w:rsidR="0049053C" w:rsidRPr="00BA4F0F" w:rsidRDefault="0049053C" w:rsidP="003D0E86">
            <w:pPr>
              <w:pStyle w:val="afe"/>
              <w:ind w:left="0" w:firstLine="0"/>
              <w:jc w:val="center"/>
              <w:rPr>
                <w:rFonts w:cs="Times New Roman"/>
                <w:szCs w:val="24"/>
              </w:rPr>
            </w:pPr>
            <w:r w:rsidRPr="00BA4F0F">
              <w:rPr>
                <w:rFonts w:cs="Times New Roman"/>
                <w:szCs w:val="24"/>
              </w:rPr>
              <w:t>60 мг/кг</w:t>
            </w:r>
          </w:p>
        </w:tc>
        <w:tc>
          <w:tcPr>
            <w:tcW w:w="1275" w:type="dxa"/>
          </w:tcPr>
          <w:p w14:paraId="2933BED3" w14:textId="77777777" w:rsidR="0049053C" w:rsidRPr="00BA4F0F" w:rsidRDefault="0049053C" w:rsidP="003D0E86">
            <w:pPr>
              <w:pStyle w:val="afe"/>
              <w:ind w:left="0" w:firstLine="0"/>
              <w:jc w:val="center"/>
              <w:rPr>
                <w:rFonts w:cs="Times New Roman"/>
                <w:szCs w:val="24"/>
              </w:rPr>
            </w:pPr>
            <w:r w:rsidRPr="00BA4F0F">
              <w:rPr>
                <w:rFonts w:cs="Times New Roman"/>
                <w:szCs w:val="24"/>
              </w:rPr>
              <w:t>120 мг/кг</w:t>
            </w:r>
          </w:p>
        </w:tc>
        <w:tc>
          <w:tcPr>
            <w:tcW w:w="2659" w:type="dxa"/>
          </w:tcPr>
          <w:p w14:paraId="412C7BA5" w14:textId="77777777" w:rsidR="0049053C" w:rsidRPr="00BA4F0F" w:rsidRDefault="0049053C" w:rsidP="003D0E86">
            <w:pPr>
              <w:pStyle w:val="afe"/>
              <w:ind w:left="0" w:firstLine="0"/>
              <w:rPr>
                <w:rFonts w:cs="Times New Roman"/>
                <w:szCs w:val="24"/>
              </w:rPr>
            </w:pPr>
            <w:r w:rsidRPr="00BA4F0F">
              <w:rPr>
                <w:rFonts w:cs="Times New Roman"/>
                <w:szCs w:val="24"/>
              </w:rPr>
              <w:t>Вводится в/в в виде инфузии.</w:t>
            </w:r>
          </w:p>
        </w:tc>
      </w:tr>
    </w:tbl>
    <w:p w14:paraId="52B52BF5" w14:textId="77777777" w:rsidR="0049053C" w:rsidRPr="00BA4F0F" w:rsidRDefault="0049053C" w:rsidP="0049053C">
      <w:pPr>
        <w:rPr>
          <w:b/>
          <w:highlight w:val="green"/>
        </w:rPr>
      </w:pPr>
      <w:bookmarkStart w:id="121" w:name="_Toc44926632"/>
    </w:p>
    <w:p w14:paraId="222CB30F" w14:textId="77777777" w:rsidR="00934537" w:rsidRDefault="00934537" w:rsidP="00934537">
      <w:pPr>
        <w:pStyle w:val="1ff0"/>
        <w:ind w:firstLine="0"/>
        <w:rPr>
          <w:i/>
          <w:iCs/>
          <w:u w:val="single"/>
        </w:rPr>
      </w:pPr>
    </w:p>
    <w:p w14:paraId="0B643C5C" w14:textId="4BE4C37F" w:rsidR="0049053C" w:rsidRPr="00934537" w:rsidRDefault="0049053C" w:rsidP="00934537">
      <w:pPr>
        <w:pStyle w:val="1ff0"/>
        <w:ind w:firstLine="0"/>
        <w:rPr>
          <w:i/>
          <w:iCs/>
          <w:u w:val="single"/>
        </w:rPr>
      </w:pPr>
      <w:r w:rsidRPr="00934537">
        <w:rPr>
          <w:i/>
          <w:iCs/>
          <w:u w:val="single"/>
        </w:rPr>
        <w:t>Инфузия аутологичных гемопоэтических стволовых клеток.</w:t>
      </w:r>
      <w:bookmarkEnd w:id="121"/>
    </w:p>
    <w:p w14:paraId="1F6C4D8C" w14:textId="77777777" w:rsidR="0049053C" w:rsidRPr="00BA4F0F" w:rsidRDefault="0049053C" w:rsidP="00934537">
      <w:pPr>
        <w:pStyle w:val="1ff0"/>
      </w:pPr>
      <w:r w:rsidRPr="00BA4F0F">
        <w:t>Инфузия гемопоэтических стволовых клеток осуществляется в центральный венозный катетер с соблюдением принципов асептики и антисептики.</w:t>
      </w:r>
    </w:p>
    <w:p w14:paraId="18E7A936" w14:textId="27DE0AB6" w:rsidR="0049053C" w:rsidRPr="00BA4F0F" w:rsidRDefault="0049053C" w:rsidP="00934537">
      <w:pPr>
        <w:pStyle w:val="1ff0"/>
      </w:pPr>
      <w:r w:rsidRPr="00BA4F0F">
        <w:t>Временной интервал после оканчание химиотерапии до инфузии ГСК не менее 24</w:t>
      </w:r>
      <w:r w:rsidR="00934537">
        <w:t> </w:t>
      </w:r>
      <w:r w:rsidRPr="00BA4F0F">
        <w:t>ч.</w:t>
      </w:r>
    </w:p>
    <w:p w14:paraId="0A533CAF" w14:textId="77777777" w:rsidR="0049053C" w:rsidRPr="00BA4F0F" w:rsidRDefault="0049053C" w:rsidP="00934537">
      <w:pPr>
        <w:pStyle w:val="1ff0"/>
      </w:pPr>
      <w:r w:rsidRPr="00BA4F0F">
        <w:t>Перед началом процедуры трансплантации врач обязан осмотреть криоконсервированные мешки, содержащие ГСК, убедиться в целостности упаковки и отсутствии повреждений, сравнить идентификационные данные, указанные на упаковке с данными пациента.</w:t>
      </w:r>
    </w:p>
    <w:p w14:paraId="364BC4AA" w14:textId="77777777" w:rsidR="0049053C" w:rsidRPr="00BA4F0F" w:rsidRDefault="0049053C" w:rsidP="00934537">
      <w:pPr>
        <w:pStyle w:val="1ff0"/>
      </w:pPr>
      <w:r w:rsidRPr="00BA4F0F">
        <w:t>Для первого введения выбирают мешок с максимальной клеточностью. При манипуляциях с мешком запрещается использовать металлические предметы (зажимы, пинцеты и т.</w:t>
      </w:r>
      <w:r>
        <w:t> </w:t>
      </w:r>
      <w:r w:rsidRPr="00BA4F0F">
        <w:t xml:space="preserve">д.). При наличии нескольких пакетов криоконсервированных </w:t>
      </w:r>
      <w:r w:rsidRPr="00BA4F0F">
        <w:lastRenderedPageBreak/>
        <w:t>ГСК между инфузиями целесообразно делать перерывы. В ряде случаев допустимо введение ГСК в течение 2 дней (пожилые, ослабленные пациенты).</w:t>
      </w:r>
    </w:p>
    <w:p w14:paraId="13C4855A" w14:textId="77777777" w:rsidR="0049053C" w:rsidRPr="00BA4F0F" w:rsidRDefault="0049053C" w:rsidP="00934537">
      <w:pPr>
        <w:pStyle w:val="1ff0"/>
      </w:pPr>
      <w:r w:rsidRPr="00BA4F0F">
        <w:t>Криоконсервированные ГСК размораживают на водяной бане или программном размораживателе при температуре 37</w:t>
      </w:r>
      <w:r w:rsidRPr="00BA4F0F">
        <w:rPr>
          <w:vertAlign w:val="superscript"/>
        </w:rPr>
        <w:t>о</w:t>
      </w:r>
      <w:r w:rsidRPr="00BA4F0F">
        <w:t>С. После разморозки врач должен убедиться в том, что в мешке отсутствуют фрагменты льда или сгустки. После этого врач присоединяет мешок к системе для инфузии.</w:t>
      </w:r>
    </w:p>
    <w:p w14:paraId="753C8E21" w14:textId="77777777" w:rsidR="0049053C" w:rsidRPr="00BA4F0F" w:rsidRDefault="0049053C" w:rsidP="00934537">
      <w:pPr>
        <w:pStyle w:val="1ff0"/>
      </w:pPr>
      <w:r w:rsidRPr="00BA4F0F">
        <w:t>В ряде случаев перед введением лейкоконцентрата в центральный венозный катетер проводится премедикация, для которой используется промедол в стандартной дозировке.</w:t>
      </w:r>
    </w:p>
    <w:p w14:paraId="2F259049" w14:textId="77777777" w:rsidR="0049053C" w:rsidRPr="00BA4F0F" w:rsidRDefault="0049053C" w:rsidP="00934537">
      <w:pPr>
        <w:pStyle w:val="1ff0"/>
      </w:pPr>
      <w:r w:rsidRPr="00BA4F0F">
        <w:t xml:space="preserve">Начальная скорость введения ГСК составляет 3-5 мл/мин (4-5 минут), после чего скорость можно увеличить до максимально возможной. Во время и после инфузий ГСК осуществляется мониторинг жизненно-важных показателей: АД, ЧСС, ЧД. </w:t>
      </w:r>
    </w:p>
    <w:p w14:paraId="4F1D0394" w14:textId="77777777" w:rsidR="0049053C" w:rsidRPr="00BA4F0F" w:rsidRDefault="0049053C" w:rsidP="00934537">
      <w:pPr>
        <w:pStyle w:val="1ff0"/>
      </w:pPr>
      <w:r w:rsidRPr="00BA4F0F">
        <w:t xml:space="preserve">В случае развития гемолиза, инфузия следующего мешка приостанавливается до купирования осложнений. </w:t>
      </w:r>
    </w:p>
    <w:p w14:paraId="271F3469" w14:textId="77777777" w:rsidR="0049053C" w:rsidRPr="00BA4F0F" w:rsidRDefault="0049053C" w:rsidP="00934537">
      <w:pPr>
        <w:pStyle w:val="1ff0"/>
      </w:pPr>
      <w:r w:rsidRPr="00BA4F0F">
        <w:t xml:space="preserve">После завершения инфузии ход ЦВК промывают физиологическим раствором. </w:t>
      </w:r>
    </w:p>
    <w:p w14:paraId="732A6C58" w14:textId="77777777" w:rsidR="0049053C" w:rsidRPr="00BA4F0F" w:rsidRDefault="0049053C" w:rsidP="00934537">
      <w:pPr>
        <w:pStyle w:val="1ff0"/>
      </w:pPr>
      <w:r w:rsidRPr="00BA4F0F">
        <w:t>Через 2 часа после завершения инфузии выполняют биохимическое исследование крови (оценка электролитов), оценивают цвет мочи для исключения гемолиза.</w:t>
      </w:r>
    </w:p>
    <w:p w14:paraId="3D8B61C2" w14:textId="77777777" w:rsidR="0049053C" w:rsidRPr="00BA4F0F" w:rsidRDefault="0049053C" w:rsidP="00934537">
      <w:pPr>
        <w:pStyle w:val="1ff0"/>
      </w:pPr>
      <w:r w:rsidRPr="00BA4F0F">
        <w:t xml:space="preserve">В истории болезни оформляется протокол операции, с указанием этапов введения ГСК, временных интервалов и состояния пациента. </w:t>
      </w:r>
    </w:p>
    <w:p w14:paraId="273217A2" w14:textId="77777777" w:rsidR="0049053C" w:rsidRPr="00BA4F0F" w:rsidRDefault="0049053C" w:rsidP="00934537">
      <w:pPr>
        <w:pStyle w:val="1ff0"/>
      </w:pPr>
      <w:r w:rsidRPr="00BA4F0F">
        <w:t xml:space="preserve">На следующий день выполняется общий анализ мочи. </w:t>
      </w:r>
    </w:p>
    <w:p w14:paraId="47C1789E" w14:textId="77777777" w:rsidR="0049053C" w:rsidRPr="00BA4F0F" w:rsidRDefault="0049053C" w:rsidP="00934537">
      <w:pPr>
        <w:pStyle w:val="1ff0"/>
        <w:rPr>
          <w:rFonts w:eastAsiaTheme="majorEastAsia"/>
          <w:bCs/>
        </w:rPr>
      </w:pPr>
      <w:bookmarkStart w:id="122" w:name="_Toc44926633"/>
    </w:p>
    <w:p w14:paraId="643D2C46" w14:textId="77777777" w:rsidR="0049053C" w:rsidRPr="00BA4F0F" w:rsidRDefault="0049053C" w:rsidP="00934537">
      <w:pPr>
        <w:pStyle w:val="1ff0"/>
        <w:ind w:firstLine="0"/>
        <w:rPr>
          <w:i/>
          <w:u w:val="single"/>
        </w:rPr>
      </w:pPr>
      <w:r w:rsidRPr="00BA4F0F">
        <w:rPr>
          <w:i/>
          <w:u w:val="single"/>
        </w:rPr>
        <w:t>Сопроводительная терапия при ауто-ТГСК.</w:t>
      </w:r>
      <w:bookmarkEnd w:id="122"/>
    </w:p>
    <w:p w14:paraId="19D86255" w14:textId="77777777" w:rsidR="0049053C" w:rsidRPr="00934537" w:rsidRDefault="0049053C" w:rsidP="00934537">
      <w:pPr>
        <w:pStyle w:val="1ff0"/>
        <w:rPr>
          <w:b/>
          <w:bCs/>
        </w:rPr>
      </w:pPr>
      <w:bookmarkStart w:id="123" w:name="_Toc44926634"/>
      <w:r w:rsidRPr="00934537">
        <w:rPr>
          <w:b/>
          <w:bCs/>
        </w:rPr>
        <w:t>Инфузионная терапия</w:t>
      </w:r>
      <w:bookmarkEnd w:id="123"/>
    </w:p>
    <w:p w14:paraId="1D4115BF" w14:textId="77777777" w:rsidR="0049053C" w:rsidRPr="00BA4F0F" w:rsidRDefault="0049053C" w:rsidP="00934537">
      <w:pPr>
        <w:pStyle w:val="1ff0"/>
      </w:pPr>
      <w:r w:rsidRPr="00BA4F0F">
        <w:t>С целью уменьшения токсичности кондиционирования и профилактики синдрома лизиса опухоли всем пациентам проводится инфузионная терапия.</w:t>
      </w:r>
    </w:p>
    <w:p w14:paraId="4D3EBCB4" w14:textId="5326E0AC" w:rsidR="0049053C" w:rsidRPr="00BA4F0F" w:rsidRDefault="0049053C" w:rsidP="00934537">
      <w:pPr>
        <w:pStyle w:val="1ff0"/>
      </w:pPr>
      <w:r w:rsidRPr="00BA4F0F">
        <w:t>Все инфузии проводятся в центральный венозный катетер</w:t>
      </w:r>
      <w:r w:rsidR="00270790">
        <w:t>.</w:t>
      </w:r>
    </w:p>
    <w:p w14:paraId="7ADA2632" w14:textId="2C0B1A03" w:rsidR="0049053C" w:rsidRPr="00BA4F0F" w:rsidRDefault="0049053C" w:rsidP="00934537">
      <w:pPr>
        <w:pStyle w:val="1ff0"/>
      </w:pPr>
      <w:r w:rsidRPr="00BA4F0F">
        <w:t>На этапе предтрансплантационного кондиционирования объем инфузионной терапии составляет 2-3 литра в сутки, после трансплантации объем инфузий должен составлять не менее 1,5 литров в сутки, водная нагрузка распределяется равномерно в течение суток. Чаще всего применяются кристаллоидные растворы: изотонический раствор хлорида натрия</w:t>
      </w:r>
      <w:r w:rsidR="00270790">
        <w:t>**</w:t>
      </w:r>
      <w:r w:rsidRPr="00BA4F0F">
        <w:t xml:space="preserve">, раствор 5% </w:t>
      </w:r>
      <w:r w:rsidR="00270790">
        <w:t>декстрозы**</w:t>
      </w:r>
      <w:r w:rsidRPr="00BA4F0F">
        <w:t xml:space="preserve">, раствор Рингера, калия и магния аспарагинат. Для коррекции ацидоза используют 5% раствор натрия гидрокарбоната. </w:t>
      </w:r>
      <w:r w:rsidRPr="00BA4F0F">
        <w:lastRenderedPageBreak/>
        <w:t>В случае выраженной гипоальбумиемии, отечного синдрома безбелкового генеза применяются коллоидные растворы (5-20% растворы альбумина человеческого).</w:t>
      </w:r>
    </w:p>
    <w:p w14:paraId="1DF84015" w14:textId="599D50B7" w:rsidR="0049053C" w:rsidRPr="00BA4F0F" w:rsidRDefault="0049053C" w:rsidP="00934537">
      <w:pPr>
        <w:pStyle w:val="1ff0"/>
      </w:pPr>
      <w:r w:rsidRPr="00BA4F0F">
        <w:t xml:space="preserve">В состав солевого раствора, как правило, входят раствор 5% </w:t>
      </w:r>
      <w:r w:rsidR="00270790">
        <w:t>декстрозы**</w:t>
      </w:r>
      <w:r w:rsidRPr="00BA4F0F">
        <w:t xml:space="preserve"> и 4% хлорида калия (</w:t>
      </w:r>
      <w:r w:rsidRPr="00BA4F0F">
        <w:rPr>
          <w:lang w:val="en-US"/>
        </w:rPr>
        <w:t>KCl</w:t>
      </w:r>
      <w:r w:rsidRPr="00BA4F0F">
        <w:t xml:space="preserve">). На этапе предтрансплантационного кондиционирования суточное количество 4% </w:t>
      </w:r>
      <w:r w:rsidRPr="00BA4F0F">
        <w:rPr>
          <w:lang w:val="en-US"/>
        </w:rPr>
        <w:t>KCl</w:t>
      </w:r>
      <w:r w:rsidRPr="00BA4F0F">
        <w:t xml:space="preserve"> составляет 120-150 мл, в дальнейшем доза титруется в зависимости от концентрации калия в крови. При значительной гипокалиемии, которая может быть обусловлена выраженной диарей, рвотой, применяется круглосуточное введение 4% раствора </w:t>
      </w:r>
      <w:r w:rsidRPr="00BA4F0F">
        <w:rPr>
          <w:lang w:val="en-US"/>
        </w:rPr>
        <w:t>KCl</w:t>
      </w:r>
      <w:r w:rsidRPr="00BA4F0F">
        <w:t>, скорость инфузии корректируется с учетом данных биохимического анализа крови.</w:t>
      </w:r>
    </w:p>
    <w:p w14:paraId="57BF191B" w14:textId="77777777" w:rsidR="0049053C" w:rsidRPr="00BA4F0F" w:rsidRDefault="0049053C" w:rsidP="00934537">
      <w:pPr>
        <w:pStyle w:val="1ff0"/>
      </w:pPr>
      <w:r w:rsidRPr="00BA4F0F">
        <w:t>У пациентов на гемодиализе объем солевых растворов не должен превышать 1 литр в сутки, при этом хлорид калия назначается только при развитии гипокалиемии.</w:t>
      </w:r>
    </w:p>
    <w:p w14:paraId="5932F27B" w14:textId="77777777" w:rsidR="0049053C" w:rsidRPr="00BA4F0F" w:rsidRDefault="0049053C" w:rsidP="00934537">
      <w:pPr>
        <w:pStyle w:val="1ff0"/>
      </w:pPr>
      <w:r w:rsidRPr="00BA4F0F">
        <w:t>Для оценки состояния водного баланса, предотвращения объемной перегрузки следует ежедневно взвешивать пациента, контролировать центральное венозное давление, артериальное давление, диурез и баланс жидкости.</w:t>
      </w:r>
    </w:p>
    <w:p w14:paraId="128D3213" w14:textId="77777777" w:rsidR="0049053C" w:rsidRPr="00BA4F0F" w:rsidRDefault="0049053C" w:rsidP="00934537">
      <w:pPr>
        <w:pStyle w:val="1ff0"/>
      </w:pPr>
      <w:r w:rsidRPr="00BA4F0F">
        <w:t>При развитии фебрильной лихорадки объем инфузионной терапии должен быть увеличен до 3-4 литров в сутки под контролем водного баланса.</w:t>
      </w:r>
    </w:p>
    <w:p w14:paraId="4DC6D121" w14:textId="77777777" w:rsidR="0049053C" w:rsidRPr="00BA4F0F" w:rsidRDefault="0049053C" w:rsidP="00934537">
      <w:pPr>
        <w:pStyle w:val="1ff0"/>
      </w:pPr>
      <w:r w:rsidRPr="00BA4F0F">
        <w:t>Регулярный контроль электролитов (калия, натрия, кальция, хлора, магния) необходим для коррекции инфузионной терапии, при выраженной гипокальциемии, гипомагниемии назначается внутривенное введение препаратов кальция, магния.</w:t>
      </w:r>
    </w:p>
    <w:p w14:paraId="5F51AABD" w14:textId="032E73C5" w:rsidR="0049053C" w:rsidRPr="00BA4F0F" w:rsidRDefault="0049053C" w:rsidP="00934537">
      <w:pPr>
        <w:pStyle w:val="1ff0"/>
      </w:pPr>
      <w:r w:rsidRPr="00BA4F0F">
        <w:t>Во время предтрансплантационного кондиционирования проводится гипоурикемическая терапия аллопуринолом в суточной дозе 200 мг/м</w:t>
      </w:r>
      <w:r w:rsidRPr="00BA4F0F">
        <w:rPr>
          <w:vertAlign w:val="superscript"/>
        </w:rPr>
        <w:t>2</w:t>
      </w:r>
      <w:r w:rsidRPr="00BA4F0F">
        <w:t>.</w:t>
      </w:r>
    </w:p>
    <w:p w14:paraId="5B100700" w14:textId="77777777" w:rsidR="0049053C" w:rsidRPr="00BA4F0F" w:rsidRDefault="0049053C" w:rsidP="00934537">
      <w:pPr>
        <w:pStyle w:val="1ff0"/>
      </w:pPr>
      <w:r w:rsidRPr="00BA4F0F">
        <w:t>Во время предтрансплантационного кондиционирования рекомендуется назначение мочегонных средств для форсированного диуреза (фуросемид 20-60 мг/сут).</w:t>
      </w:r>
    </w:p>
    <w:p w14:paraId="10E96BE3" w14:textId="77777777" w:rsidR="0049053C" w:rsidRPr="00BA4F0F" w:rsidRDefault="0049053C" w:rsidP="00934537">
      <w:pPr>
        <w:pStyle w:val="1ff0"/>
      </w:pPr>
      <w:bookmarkStart w:id="124" w:name="_Toc44926635"/>
    </w:p>
    <w:p w14:paraId="65DC919E" w14:textId="77777777" w:rsidR="0049053C" w:rsidRPr="00270790" w:rsidRDefault="0049053C" w:rsidP="00934537">
      <w:pPr>
        <w:pStyle w:val="1ff0"/>
        <w:rPr>
          <w:b/>
          <w:bCs/>
        </w:rPr>
      </w:pPr>
      <w:bookmarkStart w:id="125" w:name="_Toc44926637"/>
      <w:bookmarkEnd w:id="124"/>
      <w:r w:rsidRPr="00270790">
        <w:rPr>
          <w:b/>
          <w:bCs/>
        </w:rPr>
        <w:t>Антисекреторная терапия</w:t>
      </w:r>
      <w:bookmarkEnd w:id="125"/>
    </w:p>
    <w:p w14:paraId="59CB5667" w14:textId="0C6D3E8E" w:rsidR="0049053C" w:rsidRPr="00BA4F0F" w:rsidRDefault="0049053C" w:rsidP="00934537">
      <w:pPr>
        <w:pStyle w:val="1ff0"/>
        <w:rPr>
          <w:rFonts w:eastAsia="Arial Unicode MS"/>
          <w:color w:val="000000"/>
          <w:spacing w:val="4"/>
          <w:u w:color="000000"/>
        </w:rPr>
      </w:pPr>
      <w:r w:rsidRPr="00BA4F0F">
        <w:rPr>
          <w:rFonts w:eastAsia="Arial Unicode MS"/>
          <w:color w:val="000000"/>
          <w:spacing w:val="4"/>
          <w:u w:color="000000"/>
          <w:shd w:val="clear" w:color="auto" w:fill="FFFFFF"/>
        </w:rPr>
        <w:t>В настоящее время с антисекреторной целью применяются два класса п</w:t>
      </w:r>
      <w:r w:rsidRPr="00BA4F0F">
        <w:rPr>
          <w:rFonts w:eastAsia="Arial Unicode MS"/>
          <w:color w:val="000000"/>
          <w:spacing w:val="4"/>
          <w:u w:color="000000"/>
        </w:rPr>
        <w:t xml:space="preserve">репаратов: ингибиторы протонной помпы и блокаторы Н2-гистаминовых рецепторов </w:t>
      </w:r>
      <w:r w:rsidRPr="00BA4F0F">
        <w:rPr>
          <w:rFonts w:eastAsia="Arial Unicode MS"/>
          <w:color w:val="000000"/>
          <w:spacing w:val="4"/>
          <w:u w:color="000000"/>
        </w:rPr>
        <w:fldChar w:fldCharType="begin" w:fldLock="1"/>
      </w:r>
      <w:r w:rsidR="00A6794A">
        <w:rPr>
          <w:rFonts w:eastAsia="Arial Unicode MS"/>
          <w:color w:val="000000"/>
          <w:spacing w:val="4"/>
          <w:u w:color="000000"/>
        </w:rPr>
        <w:instrText>ADDIN CSL_CITATION {"citationItems":[{"id":"ITEM-1","itemData":{"PMID":"24833682","author":[{"dropping-particle":"","family":"Narum","given":"Sigrid","non-dropping-particle":"","parse-names":false,"suffix":""},{"dropping-particle":"","family":"Westergren","given":"Tone","non-dropping-particle":"","parse-names":false,"suffix":""},{"dropping-particle":"","family":"Klemp","given":"Marianne","non-dropping-particle":"","parse-names":false,"suffix":""}],"container-title":"BMJ Open","id":"ITEM-1","issue":"5","issued":{"date-parts":[["2014","5","1"]]},"page":"e004587","title":"Corticosteroids and risk of gastrointestinal bleeding: A systematic review and meta-analysis","type":"article-journal","volume":"4"},"uris":["http://www.mendeley.com/documents/?uuid=926ef8e8-8aa3-4855-829a-14142b61de3e"]},{"id":"ITEM-2","itemData":{"DOI":"10.1111/j.1365-2796.1994.tb00855.x","ISSN":"0954-6820","PMID":"7989897","abstract":"OBJECTIVES This meta-analysis was performed to determine whether corticosteroid therapy induces the development of peptic ulcer and other putative complications of steroid therapy. DESIGN A retrospective investigation in which we analysed all the randomized, double-blind, controlled trials (RDBCT) in which steroids had been administered that we were able to identify. The number of episodes of peptic ulcer, dermatological effects, sepsis, diabetes, hypertension, osteoporosis, psychosis and tuberculosis reported in both the placebo and steroid groups were compared. SETTING The international medical literature was analysed for any RDBCT in which any steroid or ACTH had been administered in any dosage for any duration, and any putative complication of steroid therapy was reported. SUBJECTS Of 1857 articles, 93 satisfied our requirements and were analysed by the meta-analytic techniques of Peto, DerSimonian and Laird. A total of 6602 patients were included. MAIN OUTCOME MEASURES The relative frequencies of each of these eight 'complications' were compared in the placebo and steroid groups using conventional statistics and meta-analysis. The relative frequencies of 'annualized' subgroups of patients who received treatment for 1 to 7 days, 1 week to 1 month, 1 to 3 months and more than 3 months, were similarly analysed. RESULTS Nine of 3267 patients in the placebo group (0.3%) and 13 of 3335 patients in the steroid group (0.4%) were reported to develop peptic ulcer (P &gt; 0.05). The dermatological cosmetic effects of steroid therapy were observed more frequently in the steroid group (P &lt; 0.001), as was diabetes (P &lt; 0.001), hypertension (P &lt; 0.01) and psychosis (P &lt; 0.001). Sepsis, osteoporosis and tuberculosis all occurred more frequently in the steroid than in the placebo group, but the differences are not statistically significant. CONCLUSIONS Peptic ulcer is a rare complication of corticosteroid therapy that should not be considered a contraindication when steroid therapy is indicated.","author":[{"dropping-particle":"","family":"Conn","given":"H O","non-dropping-particle":"","parse-names":false,"suffix":""},{"dropping-particle":"","family":"Poynard","given":"T","non-dropping-particle":"","parse-names":false,"suffix":""}],"container-title":"Journal of internal medicine","id":"ITEM-2","issue":"6","issued":{"date-parts":[["1994","12"]]},"page":"619-32","publisher":"J Intern Med","title":"Corticosteroids and peptic ulcer: meta-analysis of adverse events during steroid therapy.","type":"article-journal","volume":"236"},"uris":["http://www.mendeley.com/documents/?uuid=84af1729-7cf0-45a4-828e-6c0ee9132476"]}],"mendeley":{"formattedCitation":"[143,243]","plainTextFormattedCitation":"[143,243]","previouslyFormattedCitation":"[143,243]"},"properties":{"noteIndex":0},"schema":"https://github.com/citation-style-language/schema/raw/master/csl-citation.json"}</w:instrText>
      </w:r>
      <w:r w:rsidRPr="00BA4F0F">
        <w:rPr>
          <w:rFonts w:eastAsia="Arial Unicode MS"/>
          <w:color w:val="000000"/>
          <w:spacing w:val="4"/>
          <w:u w:color="000000"/>
        </w:rPr>
        <w:fldChar w:fldCharType="separate"/>
      </w:r>
      <w:r w:rsidR="006E1902" w:rsidRPr="006E1902">
        <w:rPr>
          <w:rFonts w:eastAsia="Arial Unicode MS"/>
          <w:noProof/>
          <w:color w:val="000000"/>
          <w:spacing w:val="4"/>
          <w:u w:color="000000"/>
        </w:rPr>
        <w:t>[143,243]</w:t>
      </w:r>
      <w:r w:rsidRPr="00BA4F0F">
        <w:rPr>
          <w:rFonts w:eastAsia="Arial Unicode MS"/>
          <w:color w:val="000000"/>
          <w:spacing w:val="4"/>
          <w:u w:color="000000"/>
        </w:rPr>
        <w:fldChar w:fldCharType="end"/>
      </w:r>
      <w:r w:rsidRPr="00BA4F0F">
        <w:rPr>
          <w:rFonts w:eastAsia="Arial Unicode MS"/>
          <w:color w:val="000000"/>
          <w:spacing w:val="4"/>
          <w:u w:color="000000"/>
        </w:rPr>
        <w:t>.</w:t>
      </w:r>
    </w:p>
    <w:p w14:paraId="68BE9EDB" w14:textId="77777777" w:rsidR="0049053C" w:rsidRPr="00BA4F0F" w:rsidRDefault="0049053C" w:rsidP="00934537">
      <w:pPr>
        <w:pStyle w:val="1ff0"/>
        <w:rPr>
          <w:u w:val="single"/>
        </w:rPr>
      </w:pPr>
    </w:p>
    <w:p w14:paraId="73E137E8" w14:textId="77777777" w:rsidR="0049053C" w:rsidRPr="00BA4F0F" w:rsidRDefault="0049053C" w:rsidP="00934537">
      <w:pPr>
        <w:pStyle w:val="1ff0"/>
        <w:rPr>
          <w:u w:val="single"/>
        </w:rPr>
      </w:pPr>
      <w:r w:rsidRPr="00BA4F0F">
        <w:rPr>
          <w:u w:val="single"/>
        </w:rPr>
        <w:t>Ингибиторы протонной помпы (ИПП)</w:t>
      </w:r>
    </w:p>
    <w:p w14:paraId="5DDE1FC2" w14:textId="77777777" w:rsidR="0049053C" w:rsidRPr="00BA4F0F" w:rsidRDefault="0049053C" w:rsidP="00934537">
      <w:pPr>
        <w:pStyle w:val="1ff0"/>
        <w:rPr>
          <w:rFonts w:eastAsia="Arial Unicode MS"/>
          <w:color w:val="000000"/>
          <w:spacing w:val="4"/>
          <w:u w:color="000000"/>
        </w:rPr>
      </w:pPr>
      <w:r w:rsidRPr="00BA4F0F">
        <w:rPr>
          <w:rFonts w:eastAsia="Arial Unicode MS"/>
          <w:color w:val="000000"/>
          <w:spacing w:val="4"/>
          <w:u w:color="000000"/>
        </w:rPr>
        <w:t>Ингибиторы протоновой помпы (ингибиторы протонового насоса, блокаторы протонного насоса, блокаторы Н+/К+-АТФазы, блокаторы водородной помпы) — антисекреторные лекарственные препараты, блокирующие Н+/К+-</w:t>
      </w:r>
      <w:r w:rsidRPr="00BA4F0F">
        <w:rPr>
          <w:rFonts w:eastAsia="Arial Unicode MS"/>
          <w:color w:val="000000"/>
          <w:spacing w:val="4"/>
          <w:u w:color="000000"/>
        </w:rPr>
        <w:lastRenderedPageBreak/>
        <w:t>АТФазу обкладочных (париетальных) клеток слизистой оболочки желудка и уменьшающие секрецию соляной кислоты.</w:t>
      </w:r>
    </w:p>
    <w:p w14:paraId="2D754AD1" w14:textId="5B60AAF3" w:rsidR="0049053C" w:rsidRPr="00BA4F0F" w:rsidRDefault="0049053C" w:rsidP="00934537">
      <w:pPr>
        <w:pStyle w:val="1ff0"/>
        <w:rPr>
          <w:rFonts w:eastAsia="Arial Unicode MS"/>
          <w:color w:val="000000"/>
          <w:spacing w:val="4"/>
          <w:u w:color="000000"/>
        </w:rPr>
      </w:pPr>
      <w:r w:rsidRPr="00BA4F0F">
        <w:rPr>
          <w:rFonts w:eastAsia="Arial Unicode MS"/>
          <w:color w:val="000000"/>
          <w:spacing w:val="4"/>
          <w:u w:color="000000"/>
        </w:rPr>
        <w:t>ИПП, после прохождения желудка, попадают в тонкую кишку, где растворяются, после чего по кровотоку поступают в печень, а затем проникают через мембрану в париетальные клетки слизистой оболочки желудка, где концентрируются в секреторных канальцах. Здесь, при кислом значении рН, ингибиторы протонного насоса активируются. В этой форме ИПП образуют прочные ковалентные связи с меркаптогруппами цистеиновых остатков Н+/К+-АТФазы, что блокирует действие протонной помпы, она становится необратимо исключенной из процесса секреции соляной кислоты. Влияние ИПП на последнюю стадию процесса образования соляной кислоты в желудке является дозозависимым и обеспечивает высокоэффективное ингибирование базальной и стимулированной секреции соляной кислоты независимо от фактора его вызывающего</w:t>
      </w:r>
      <w:r w:rsidRPr="00BA4F0F">
        <w:rPr>
          <w:rFonts w:eastAsia="Arial Unicode MS"/>
          <w:color w:val="000000"/>
          <w:spacing w:val="4"/>
          <w:u w:color="000000"/>
        </w:rPr>
        <w:fldChar w:fldCharType="begin" w:fldLock="1"/>
      </w:r>
      <w:r w:rsidR="00021E2A">
        <w:rPr>
          <w:rFonts w:eastAsia="Arial Unicode MS"/>
          <w:color w:val="000000"/>
          <w:spacing w:val="4"/>
          <w:u w:color="000000"/>
        </w:rPr>
        <w:instrText>ADDIN CSL_CITATION {"citationItems":[{"id":"ITEM-1","itemData":{"author":[{"dropping-particle":"","family":"Ивашкин","given":"В.Т.","non-dropping-particle":"","parse-names":false,"suffix":""},{"dropping-particle":"","family":"Маев","given":"И.В.","non-dropping-particle":"","parse-names":false,"suffix":""},{"dropping-particle":"","family":"Царьков","given":"П.В.","non-dropping-particle":"","parse-names":false,"suffix":""},{"dropping-particle":"","family":"Королев","given":"М.П.","non-dropping-particle":"","parse-names":false,"suffix":""},{"dropping-particle":"","family":"Андреев","given":"Д.Н.","non-dropping-particle":"","parse-names":false,"suffix":""},{"dropping-particle":"","family":"Баранская","given":"Е.К.","non-dropping-particle":"","parse-names":false,"suffix":""},{"dropping-particle":"","family":"Бурков","given":"С.Г.","non-dropping-particle":"","parse-names":false,"suffix":""},{"dropping-particle":"","family":"Деринов","given":"А.А.","non-dropping-particle":"","parse-names":false,"suffix":""},{"dropping-particle":"","family":"Ефетов","given":"С.К.","non-dropping-particle":"","parse-names":false,"suffix":""},{"dropping-particle":"","family":"Лапина","given":"Т.Л.","non-dropping-particle":"","parse-names":false,"suffix":""},{"dropping-particle":"","family":"Павлов","given":"П.В.","non-dropping-particle":"","parse-names":false,"suffix":""},{"dropping-particle":"","family":"Пирогов","given":"С.С.","non-dropping-particle":"","parse-names":false,"suffix":""},{"dropping-particle":"","family":"Ткачев","given":"А.В.","non-dropping-particle":"","parse-names":false,"suffix":""},{"dropping-particle":"","family":"Трухманов","given":"А.С.","non-dropping-particle":"","parse-names":false,"suffix":""},{"dropping-particle":"","family":"Федоров","given":"Е.Д.","non-dropping-particle":"","parse-names":false,"suffix":""},{"dropping-particle":"","family":"Шептулин","given":"А.А.","non-dropping-particle":"","parse-names":false,"suffix":""}],"container-title":"Российский журнал гастроэнтерологии, гепатологии, колопроктологии.","id":"ITEM-1","issue":"1","issued":{"date-parts":[["2020"]]},"page":"49-70","title":"Диагностика и лечение язвенной болезни у взрослых (Клинические рекомендации Российской гастроэнтерологической ассоциации, Российского общества колоректальных хирургов и Российского эндоскопического общества).","type":"article-journal","volume":"30"},"uris":["http://www.mendeley.com/documents/?uuid=858a1835-2f3b-419a-91b4-8a8e3ef10cc9"]}],"mendeley":{"formattedCitation":"[145]","plainTextFormattedCitation":"[145]","previouslyFormattedCitation":"[145]"},"properties":{"noteIndex":0},"schema":"https://github.com/citation-style-language/schema/raw/master/csl-citation.json"}</w:instrText>
      </w:r>
      <w:r w:rsidRPr="00BA4F0F">
        <w:rPr>
          <w:rFonts w:eastAsia="Arial Unicode MS"/>
          <w:color w:val="000000"/>
          <w:spacing w:val="4"/>
          <w:u w:color="000000"/>
        </w:rPr>
        <w:fldChar w:fldCharType="separate"/>
      </w:r>
      <w:r w:rsidR="009D170B" w:rsidRPr="009D170B">
        <w:rPr>
          <w:rFonts w:eastAsia="Arial Unicode MS"/>
          <w:noProof/>
          <w:color w:val="000000"/>
          <w:spacing w:val="4"/>
          <w:u w:color="000000"/>
        </w:rPr>
        <w:t>[145]</w:t>
      </w:r>
      <w:r w:rsidRPr="00BA4F0F">
        <w:rPr>
          <w:rFonts w:eastAsia="Arial Unicode MS"/>
          <w:color w:val="000000"/>
          <w:spacing w:val="4"/>
          <w:u w:color="000000"/>
        </w:rPr>
        <w:fldChar w:fldCharType="end"/>
      </w:r>
      <w:r w:rsidRPr="00BA4F0F">
        <w:rPr>
          <w:rFonts w:eastAsia="Arial Unicode MS"/>
          <w:color w:val="000000"/>
          <w:spacing w:val="4"/>
          <w:u w:color="000000"/>
        </w:rPr>
        <w:t>.</w:t>
      </w:r>
    </w:p>
    <w:p w14:paraId="0E3E4740" w14:textId="2E90008C" w:rsidR="0049053C" w:rsidRPr="00BA4F0F" w:rsidRDefault="0049053C" w:rsidP="00934537">
      <w:pPr>
        <w:pStyle w:val="1ff0"/>
        <w:rPr>
          <w:rFonts w:eastAsia="Arial Unicode MS"/>
          <w:color w:val="000000"/>
          <w:spacing w:val="4"/>
          <w:u w:color="000000"/>
        </w:rPr>
      </w:pPr>
      <w:r w:rsidRPr="00BA4F0F">
        <w:rPr>
          <w:rFonts w:eastAsia="Arial Unicode MS"/>
          <w:color w:val="000000"/>
          <w:spacing w:val="4"/>
          <w:u w:color="000000"/>
        </w:rPr>
        <w:t xml:space="preserve">Пациентам во время проведения курсов специфической противоопухолевой терапии, рекомендован прием ИПП в указанных в таблице </w:t>
      </w:r>
      <w:r w:rsidR="002F75C7">
        <w:rPr>
          <w:rFonts w:eastAsia="Arial Unicode MS"/>
          <w:color w:val="000000"/>
          <w:spacing w:val="4"/>
          <w:u w:color="000000"/>
        </w:rPr>
        <w:t>А3.3.</w:t>
      </w:r>
      <w:r>
        <w:rPr>
          <w:rFonts w:eastAsia="Arial Unicode MS"/>
          <w:color w:val="000000"/>
          <w:spacing w:val="4"/>
          <w:u w:color="000000"/>
        </w:rPr>
        <w:t>9</w:t>
      </w:r>
      <w:r w:rsidRPr="00BA4F0F">
        <w:rPr>
          <w:rFonts w:eastAsia="Arial Unicode MS"/>
          <w:color w:val="000000"/>
          <w:spacing w:val="4"/>
          <w:u w:color="000000"/>
        </w:rPr>
        <w:t xml:space="preserve"> дозах. </w:t>
      </w:r>
    </w:p>
    <w:p w14:paraId="064029A9" w14:textId="77777777" w:rsidR="0049053C" w:rsidRPr="00BA4F0F" w:rsidRDefault="0049053C" w:rsidP="00934537">
      <w:pPr>
        <w:pStyle w:val="1ff0"/>
        <w:rPr>
          <w:rFonts w:eastAsia="Arial Unicode MS"/>
          <w:color w:val="000000"/>
          <w:spacing w:val="4"/>
          <w:u w:color="000000"/>
        </w:rPr>
      </w:pPr>
    </w:p>
    <w:p w14:paraId="668AEFD7" w14:textId="6263A866" w:rsidR="0049053C" w:rsidRPr="00BA4F0F" w:rsidRDefault="0049053C" w:rsidP="00934537">
      <w:pPr>
        <w:pStyle w:val="1ff0"/>
        <w:rPr>
          <w:rFonts w:eastAsia="Arial Unicode MS"/>
          <w:color w:val="000000"/>
          <w:spacing w:val="4"/>
          <w:u w:color="000000"/>
        </w:rPr>
      </w:pPr>
      <w:r w:rsidRPr="006E1ADA">
        <w:rPr>
          <w:rFonts w:eastAsia="Arial Unicode MS"/>
          <w:color w:val="000000"/>
          <w:spacing w:val="4"/>
          <w:u w:color="000000"/>
        </w:rPr>
        <w:t xml:space="preserve">Таблица </w:t>
      </w:r>
      <w:r w:rsidR="002F75C7">
        <w:rPr>
          <w:rFonts w:eastAsia="Arial Unicode MS"/>
          <w:color w:val="000000"/>
          <w:spacing w:val="4"/>
          <w:u w:color="000000"/>
        </w:rPr>
        <w:t>А3.3.</w:t>
      </w:r>
      <w:r w:rsidRPr="006E1ADA">
        <w:rPr>
          <w:rFonts w:eastAsia="Arial Unicode MS"/>
          <w:color w:val="000000"/>
          <w:spacing w:val="4"/>
          <w:u w:color="000000"/>
        </w:rPr>
        <w:t>9. Режим дозирования ИПП с профилактической целью</w:t>
      </w:r>
    </w:p>
    <w:tbl>
      <w:tblPr>
        <w:tblStyle w:val="31"/>
        <w:tblW w:w="0" w:type="auto"/>
        <w:jc w:val="center"/>
        <w:tblLook w:val="04A0" w:firstRow="1" w:lastRow="0" w:firstColumn="1" w:lastColumn="0" w:noHBand="0" w:noVBand="1"/>
      </w:tblPr>
      <w:tblGrid>
        <w:gridCol w:w="2220"/>
        <w:gridCol w:w="1857"/>
        <w:gridCol w:w="4200"/>
      </w:tblGrid>
      <w:tr w:rsidR="0049053C" w:rsidRPr="00BA4F0F" w14:paraId="6F57EF0D" w14:textId="77777777" w:rsidTr="003D0E86">
        <w:trPr>
          <w:jc w:val="center"/>
        </w:trPr>
        <w:tc>
          <w:tcPr>
            <w:tcW w:w="2220" w:type="dxa"/>
          </w:tcPr>
          <w:p w14:paraId="7B1FF4D3" w14:textId="77777777" w:rsidR="0049053C" w:rsidRPr="00BA4F0F" w:rsidRDefault="0049053C" w:rsidP="002F75C7">
            <w:pPr>
              <w:tabs>
                <w:tab w:val="left" w:pos="0"/>
              </w:tabs>
              <w:spacing w:line="360" w:lineRule="auto"/>
              <w:jc w:val="center"/>
              <w:rPr>
                <w:b/>
              </w:rPr>
            </w:pPr>
            <w:r w:rsidRPr="00BA4F0F">
              <w:rPr>
                <w:b/>
              </w:rPr>
              <w:t>Препарат</w:t>
            </w:r>
          </w:p>
        </w:tc>
        <w:tc>
          <w:tcPr>
            <w:tcW w:w="1857" w:type="dxa"/>
          </w:tcPr>
          <w:p w14:paraId="14004E2C" w14:textId="77777777" w:rsidR="0049053C" w:rsidRPr="00BA4F0F" w:rsidRDefault="0049053C" w:rsidP="002F75C7">
            <w:pPr>
              <w:tabs>
                <w:tab w:val="left" w:pos="0"/>
              </w:tabs>
              <w:spacing w:line="360" w:lineRule="auto"/>
              <w:jc w:val="center"/>
              <w:rPr>
                <w:b/>
              </w:rPr>
            </w:pPr>
            <w:r w:rsidRPr="00BA4F0F">
              <w:rPr>
                <w:b/>
              </w:rPr>
              <w:t>Суточная доза, мг</w:t>
            </w:r>
          </w:p>
        </w:tc>
        <w:tc>
          <w:tcPr>
            <w:tcW w:w="4200" w:type="dxa"/>
          </w:tcPr>
          <w:p w14:paraId="6AC3A9DA" w14:textId="77777777" w:rsidR="0049053C" w:rsidRPr="00BA4F0F" w:rsidRDefault="0049053C" w:rsidP="002F75C7">
            <w:pPr>
              <w:tabs>
                <w:tab w:val="left" w:pos="0"/>
              </w:tabs>
              <w:spacing w:line="360" w:lineRule="auto"/>
              <w:jc w:val="center"/>
              <w:rPr>
                <w:b/>
              </w:rPr>
            </w:pPr>
            <w:r w:rsidRPr="00BA4F0F">
              <w:rPr>
                <w:b/>
              </w:rPr>
              <w:t>Режим дозирования</w:t>
            </w:r>
          </w:p>
        </w:tc>
      </w:tr>
      <w:tr w:rsidR="0049053C" w:rsidRPr="00BA4F0F" w14:paraId="794C54D7" w14:textId="77777777" w:rsidTr="003D0E86">
        <w:trPr>
          <w:jc w:val="center"/>
        </w:trPr>
        <w:tc>
          <w:tcPr>
            <w:tcW w:w="2220" w:type="dxa"/>
          </w:tcPr>
          <w:p w14:paraId="1B7AC447" w14:textId="77777777" w:rsidR="0049053C" w:rsidRPr="00BA4F0F" w:rsidRDefault="0049053C" w:rsidP="002F75C7">
            <w:pPr>
              <w:tabs>
                <w:tab w:val="left" w:pos="0"/>
              </w:tabs>
              <w:spacing w:line="360" w:lineRule="auto"/>
            </w:pPr>
            <w:r w:rsidRPr="00BA4F0F">
              <w:t>Омепразол</w:t>
            </w:r>
          </w:p>
        </w:tc>
        <w:tc>
          <w:tcPr>
            <w:tcW w:w="1857" w:type="dxa"/>
          </w:tcPr>
          <w:p w14:paraId="4FC8A9B0" w14:textId="77777777" w:rsidR="0049053C" w:rsidRPr="00BA4F0F" w:rsidRDefault="0049053C" w:rsidP="002F75C7">
            <w:pPr>
              <w:tabs>
                <w:tab w:val="left" w:pos="0"/>
              </w:tabs>
              <w:spacing w:line="360" w:lineRule="auto"/>
            </w:pPr>
            <w:r w:rsidRPr="00BA4F0F">
              <w:t xml:space="preserve">20 </w:t>
            </w:r>
          </w:p>
          <w:p w14:paraId="6022B33B" w14:textId="77777777" w:rsidR="0049053C" w:rsidRPr="00BA4F0F" w:rsidRDefault="0049053C" w:rsidP="002F75C7">
            <w:pPr>
              <w:tabs>
                <w:tab w:val="left" w:pos="0"/>
              </w:tabs>
              <w:spacing w:line="360" w:lineRule="auto"/>
            </w:pPr>
            <w:r w:rsidRPr="00BA4F0F">
              <w:t>40</w:t>
            </w:r>
          </w:p>
        </w:tc>
        <w:tc>
          <w:tcPr>
            <w:tcW w:w="4200" w:type="dxa"/>
          </w:tcPr>
          <w:p w14:paraId="2E42C6A9" w14:textId="77777777" w:rsidR="0049053C" w:rsidRPr="00BA4F0F" w:rsidRDefault="0049053C" w:rsidP="002F75C7">
            <w:pPr>
              <w:tabs>
                <w:tab w:val="left" w:pos="0"/>
              </w:tabs>
              <w:spacing w:line="360" w:lineRule="auto"/>
            </w:pPr>
            <w:r w:rsidRPr="00BA4F0F">
              <w:t>Внутрь, 1 раз в сутки;</w:t>
            </w:r>
          </w:p>
          <w:p w14:paraId="52CC0E45" w14:textId="77777777" w:rsidR="0049053C" w:rsidRPr="00BA4F0F" w:rsidRDefault="0049053C" w:rsidP="002F75C7">
            <w:pPr>
              <w:tabs>
                <w:tab w:val="left" w:pos="0"/>
              </w:tabs>
              <w:spacing w:line="360" w:lineRule="auto"/>
            </w:pPr>
            <w:r w:rsidRPr="00BA4F0F">
              <w:t xml:space="preserve"> в/в, 1 раз в сутки</w:t>
            </w:r>
          </w:p>
        </w:tc>
      </w:tr>
      <w:tr w:rsidR="0049053C" w:rsidRPr="00BA4F0F" w14:paraId="39FE1320" w14:textId="77777777" w:rsidTr="003D0E86">
        <w:trPr>
          <w:jc w:val="center"/>
        </w:trPr>
        <w:tc>
          <w:tcPr>
            <w:tcW w:w="2220" w:type="dxa"/>
          </w:tcPr>
          <w:p w14:paraId="005FABE7" w14:textId="77777777" w:rsidR="0049053C" w:rsidRPr="00BA4F0F" w:rsidRDefault="0049053C" w:rsidP="002F75C7">
            <w:pPr>
              <w:tabs>
                <w:tab w:val="left" w:pos="0"/>
              </w:tabs>
              <w:spacing w:line="360" w:lineRule="auto"/>
            </w:pPr>
            <w:r w:rsidRPr="00BA4F0F">
              <w:t>Лансопразол</w:t>
            </w:r>
          </w:p>
        </w:tc>
        <w:tc>
          <w:tcPr>
            <w:tcW w:w="1857" w:type="dxa"/>
          </w:tcPr>
          <w:p w14:paraId="715270B1" w14:textId="77777777" w:rsidR="0049053C" w:rsidRPr="00BA4F0F" w:rsidRDefault="0049053C" w:rsidP="002F75C7">
            <w:pPr>
              <w:tabs>
                <w:tab w:val="left" w:pos="0"/>
              </w:tabs>
              <w:spacing w:line="360" w:lineRule="auto"/>
            </w:pPr>
            <w:r w:rsidRPr="00BA4F0F">
              <w:t xml:space="preserve">30 </w:t>
            </w:r>
          </w:p>
        </w:tc>
        <w:tc>
          <w:tcPr>
            <w:tcW w:w="4200" w:type="dxa"/>
          </w:tcPr>
          <w:p w14:paraId="02BA23DA" w14:textId="77777777" w:rsidR="0049053C" w:rsidRPr="00BA4F0F" w:rsidRDefault="0049053C" w:rsidP="002F75C7">
            <w:pPr>
              <w:spacing w:line="360" w:lineRule="auto"/>
            </w:pPr>
            <w:r w:rsidRPr="00BA4F0F">
              <w:t>Внутрь, 1 раз в сутки</w:t>
            </w:r>
          </w:p>
        </w:tc>
      </w:tr>
      <w:tr w:rsidR="0049053C" w:rsidRPr="00BA4F0F" w14:paraId="3C109602" w14:textId="77777777" w:rsidTr="003D0E86">
        <w:trPr>
          <w:jc w:val="center"/>
        </w:trPr>
        <w:tc>
          <w:tcPr>
            <w:tcW w:w="2220" w:type="dxa"/>
          </w:tcPr>
          <w:p w14:paraId="63307D8E" w14:textId="77777777" w:rsidR="0049053C" w:rsidRPr="00BA4F0F" w:rsidRDefault="0049053C" w:rsidP="002F75C7">
            <w:pPr>
              <w:tabs>
                <w:tab w:val="left" w:pos="0"/>
              </w:tabs>
              <w:spacing w:line="360" w:lineRule="auto"/>
            </w:pPr>
            <w:r w:rsidRPr="00BA4F0F">
              <w:t>Пантопразол</w:t>
            </w:r>
          </w:p>
        </w:tc>
        <w:tc>
          <w:tcPr>
            <w:tcW w:w="1857" w:type="dxa"/>
          </w:tcPr>
          <w:p w14:paraId="564D93A4" w14:textId="77777777" w:rsidR="0049053C" w:rsidRPr="00BA4F0F" w:rsidRDefault="0049053C" w:rsidP="002F75C7">
            <w:pPr>
              <w:tabs>
                <w:tab w:val="left" w:pos="0"/>
              </w:tabs>
              <w:spacing w:line="360" w:lineRule="auto"/>
            </w:pPr>
            <w:r w:rsidRPr="00BA4F0F">
              <w:t xml:space="preserve">40 </w:t>
            </w:r>
          </w:p>
        </w:tc>
        <w:tc>
          <w:tcPr>
            <w:tcW w:w="4200" w:type="dxa"/>
          </w:tcPr>
          <w:p w14:paraId="7925D95C" w14:textId="77777777" w:rsidR="0049053C" w:rsidRPr="00BA4F0F" w:rsidRDefault="0049053C" w:rsidP="002F75C7">
            <w:pPr>
              <w:spacing w:line="360" w:lineRule="auto"/>
            </w:pPr>
            <w:r w:rsidRPr="00BA4F0F">
              <w:t>Внутрь, 1 раз в сутки</w:t>
            </w:r>
          </w:p>
        </w:tc>
      </w:tr>
      <w:tr w:rsidR="0049053C" w:rsidRPr="00BA4F0F" w14:paraId="03776FE4" w14:textId="77777777" w:rsidTr="003D0E86">
        <w:trPr>
          <w:jc w:val="center"/>
        </w:trPr>
        <w:tc>
          <w:tcPr>
            <w:tcW w:w="2220" w:type="dxa"/>
          </w:tcPr>
          <w:p w14:paraId="6357A0AB" w14:textId="77777777" w:rsidR="0049053C" w:rsidRPr="00BA4F0F" w:rsidRDefault="0049053C" w:rsidP="002F75C7">
            <w:pPr>
              <w:tabs>
                <w:tab w:val="left" w:pos="0"/>
              </w:tabs>
              <w:spacing w:line="360" w:lineRule="auto"/>
            </w:pPr>
            <w:r w:rsidRPr="00BA4F0F">
              <w:t>Рабепразол</w:t>
            </w:r>
          </w:p>
        </w:tc>
        <w:tc>
          <w:tcPr>
            <w:tcW w:w="1857" w:type="dxa"/>
          </w:tcPr>
          <w:p w14:paraId="33BBA713" w14:textId="77777777" w:rsidR="0049053C" w:rsidRPr="00BA4F0F" w:rsidRDefault="0049053C" w:rsidP="002F75C7">
            <w:pPr>
              <w:tabs>
                <w:tab w:val="left" w:pos="0"/>
              </w:tabs>
              <w:spacing w:line="360" w:lineRule="auto"/>
            </w:pPr>
            <w:r w:rsidRPr="00BA4F0F">
              <w:t>20</w:t>
            </w:r>
          </w:p>
        </w:tc>
        <w:tc>
          <w:tcPr>
            <w:tcW w:w="4200" w:type="dxa"/>
          </w:tcPr>
          <w:p w14:paraId="41054D68" w14:textId="77777777" w:rsidR="0049053C" w:rsidRPr="00BA4F0F" w:rsidRDefault="0049053C" w:rsidP="002F75C7">
            <w:pPr>
              <w:spacing w:line="360" w:lineRule="auto"/>
            </w:pPr>
            <w:r w:rsidRPr="00BA4F0F">
              <w:t>Внутрь, 1 раз в сутки</w:t>
            </w:r>
          </w:p>
        </w:tc>
      </w:tr>
      <w:tr w:rsidR="0049053C" w:rsidRPr="00BA4F0F" w14:paraId="4E3A4C4C" w14:textId="77777777" w:rsidTr="003D0E86">
        <w:trPr>
          <w:jc w:val="center"/>
        </w:trPr>
        <w:tc>
          <w:tcPr>
            <w:tcW w:w="2220" w:type="dxa"/>
          </w:tcPr>
          <w:p w14:paraId="180C40E4" w14:textId="77777777" w:rsidR="0049053C" w:rsidRPr="00BA4F0F" w:rsidRDefault="0049053C" w:rsidP="002F75C7">
            <w:pPr>
              <w:tabs>
                <w:tab w:val="left" w:pos="0"/>
              </w:tabs>
              <w:spacing w:line="360" w:lineRule="auto"/>
            </w:pPr>
            <w:r w:rsidRPr="00BA4F0F">
              <w:t>Эзомепразол</w:t>
            </w:r>
          </w:p>
        </w:tc>
        <w:tc>
          <w:tcPr>
            <w:tcW w:w="1857" w:type="dxa"/>
          </w:tcPr>
          <w:p w14:paraId="2922341C" w14:textId="77777777" w:rsidR="0049053C" w:rsidRPr="00BA4F0F" w:rsidRDefault="0049053C" w:rsidP="002F75C7">
            <w:pPr>
              <w:tabs>
                <w:tab w:val="left" w:pos="0"/>
              </w:tabs>
              <w:spacing w:line="360" w:lineRule="auto"/>
            </w:pPr>
            <w:r w:rsidRPr="00BA4F0F">
              <w:t>20</w:t>
            </w:r>
          </w:p>
        </w:tc>
        <w:tc>
          <w:tcPr>
            <w:tcW w:w="4200" w:type="dxa"/>
          </w:tcPr>
          <w:p w14:paraId="2035E260" w14:textId="77777777" w:rsidR="0049053C" w:rsidRPr="00BA4F0F" w:rsidRDefault="0049053C" w:rsidP="002F75C7">
            <w:pPr>
              <w:spacing w:line="360" w:lineRule="auto"/>
            </w:pPr>
            <w:r w:rsidRPr="00BA4F0F">
              <w:t>Внутрь или в/в, 1 раз в сутки</w:t>
            </w:r>
          </w:p>
        </w:tc>
      </w:tr>
    </w:tbl>
    <w:p w14:paraId="2D8DEE21" w14:textId="77777777" w:rsidR="0049053C" w:rsidRPr="00BA4F0F" w:rsidRDefault="0049053C" w:rsidP="0049053C">
      <w:pPr>
        <w:shd w:val="clear" w:color="auto" w:fill="FFFFFF"/>
        <w:tabs>
          <w:tab w:val="left" w:pos="0"/>
          <w:tab w:val="left" w:pos="394"/>
        </w:tabs>
        <w:ind w:firstLine="709"/>
        <w:rPr>
          <w:rFonts w:eastAsia="Arial Unicode MS"/>
          <w:color w:val="000000"/>
          <w:spacing w:val="4"/>
          <w:u w:color="000000"/>
        </w:rPr>
      </w:pPr>
    </w:p>
    <w:p w14:paraId="38F53EC2" w14:textId="77777777" w:rsidR="0049053C" w:rsidRPr="00BA4F0F" w:rsidRDefault="0049053C" w:rsidP="002F75C7">
      <w:pPr>
        <w:pStyle w:val="1ff0"/>
        <w:rPr>
          <w:rFonts w:eastAsia="Arial Unicode MS"/>
          <w:u w:color="000000"/>
        </w:rPr>
      </w:pPr>
      <w:r w:rsidRPr="00BA4F0F">
        <w:rPr>
          <w:rFonts w:eastAsia="Arial Unicode MS"/>
          <w:u w:color="000000"/>
        </w:rPr>
        <w:t>Время суток и прием пищи не влияют на активность ИПП. Коррекции дозы при почечной недостаточности не требуется. При невозможности перорального приема ИПП вводятся внутривенно.</w:t>
      </w:r>
    </w:p>
    <w:p w14:paraId="337558FE" w14:textId="62B00409" w:rsidR="0049053C" w:rsidRPr="00BA4F0F" w:rsidRDefault="0049053C" w:rsidP="002F75C7">
      <w:pPr>
        <w:pStyle w:val="1ff0"/>
      </w:pPr>
      <w:r w:rsidRPr="00BA4F0F">
        <w:t xml:space="preserve">В 1990 г. Burget и соавторы опубликовали результаты мета-анализа 300 работ, установившего, что язвы желудка и двенадцатиперстной кишки рубцуются практически во всех случаях, если рН внутрижелудочного содержимого поддерживается более 3 в течение суток на протяжении 18 часов </w:t>
      </w:r>
      <w:r w:rsidRPr="00BA4F0F">
        <w:fldChar w:fldCharType="begin" w:fldLock="1"/>
      </w:r>
      <w:r w:rsidR="00021E2A">
        <w:instrText>ADDIN CSL_CITATION {"citationItems":[{"id":"ITEM-1","itemData":{"DOI":"10.1016/0016-5085(90)91015-X","ISSN":"00165085","PMID":"2142113","abstract":"The optimal degree and duration of suppression of gastric acidity required for the healing of peptic ulcers has never been established. Although very potent inhibitors of acid secretion are now available, the need for this degree of suppression has not been shown, and there is a possibility of adverse effects because of pronounced acid inhibition. Therefore, a model has been constructed that defines the relationship between duodenal ulcer healing and antisecretory therapy. Acid suppression data were obtained directly from investigators as raw data from 24-hour studies of acid secretion. Twenty-one experiments from seven investigators provided 490 24-hour studies using 19 different treatment regimens. Healing data were collected from a metaanalysis of published clinical trials of duodenal ulcer healing. A total of 144 published trials in 14,208 patients provided healing data at several endoscopic endpoints for the 19 drug regimens for which acidity data were provided. Weighted least-squares polynomial regression analysis was used to define those parameters of antisecretory therapy that contributed most to duodenal ulcer healing and to define the shape of the response surface. A highly significant correlation (r = 0.9814) was found between healing and the degree of acid suppression, the duration of acid suppression, and the length of therapy. The shape of the contour expressing this relationship shows that healing increases as the duration of suppression increases and as gastric pH increases. However, suppression that increased pH beyond 3.0 was not found to increase ulcer healing further. It is concluded that a longer duration of antisecretory effect and/or a longer duration of therapy are of greater importance than potency for duodenal ulcer healing. © 1990.","author":[{"dropping-particle":"","family":"Burget","given":"Douglas W.","non-dropping-particle":"","parse-names":false,"suffix":""},{"dropping-particle":"","family":"Chiverton","given":"Stephen G.","non-dropping-particle":"","parse-names":false,"suffix":""},{"dropping-particle":"","family":"Hunt","given":"Richard H.","non-dropping-particle":"","parse-names":false,"suffix":""}],"container-title":"Gastroenterology","id":"ITEM-1","issue":"2","issued":{"date-parts":[["1990","8"]]},"page":"345-351","publisher":"Gastroenterology","title":"Is there an optimal degree of acid suppression for healing of duodenal ulcers? A model of the relationship between ulcer healing and acid suppression","type":"article-journal","volume":"99"},"uris":["http://www.mendeley.com/documents/?uuid=55c5fe56-6faa-4e55-bfe2-e8e5c51854a2"]}],"mendeley":{"formattedCitation":"[144]","plainTextFormattedCitation":"[144]","previouslyFormattedCitation":"[144]"},"properties":{"noteIndex":0},"schema":"https://github.com/citation-style-language/schema/raw/master/csl-citation.json"}</w:instrText>
      </w:r>
      <w:r w:rsidRPr="00BA4F0F">
        <w:fldChar w:fldCharType="separate"/>
      </w:r>
      <w:r w:rsidR="009D170B" w:rsidRPr="009D170B">
        <w:rPr>
          <w:noProof/>
        </w:rPr>
        <w:t>[144]</w:t>
      </w:r>
      <w:r w:rsidRPr="00BA4F0F">
        <w:fldChar w:fldCharType="end"/>
      </w:r>
      <w:r w:rsidRPr="00BA4F0F">
        <w:t xml:space="preserve">. С учетом указанного правила в качестве противоязвенной терапии в настоящее время могут рассматриваться антациды, Н2-блокаторы и ИПП. Согласно одному из последних </w:t>
      </w:r>
      <w:r w:rsidRPr="00BA4F0F">
        <w:lastRenderedPageBreak/>
        <w:t xml:space="preserve">мета-анализов, при использовании ИПП или Н2-блокаторов достоверно эффективнее достигается рубцевание язвенного дефекта, а также снижается риск повторного кровотечения, по сравнению с плацебо </w:t>
      </w:r>
      <w:r w:rsidRPr="00BA4F0F">
        <w:fldChar w:fldCharType="begin" w:fldLock="1"/>
      </w:r>
      <w:r w:rsidR="00021E2A">
        <w:instrText>ADDIN CSL_CITATION {"citationItems":[{"id":"ITEM-1","itemData":{"DOI":"10.1016/S2468-1253(18)30037-2","ISSN":"24681253","PMID":"29475806","abstract":"Background: Gastroprotectant drugs are used for the prevention and treatment of peptic ulcer disease and might reduce its associated complications, but reliable estimates of the effects of gastroprotectants in different clinical settings are scarce. We aimed to examine the effects of proton-pump inhibitors (PPIs), prostaglandin analogues, and histamine-2 receptor antagonists (H2RAs) in different clinical circumstances by doing meta-analyses of tabular data from all relevant unconfounded randomised trials of gastroprotectant drugs. Methods: We searched MEDLINE and Embase from Jan 1, 1950, to Dec 31, 2015, to identify unconfounded, randomised trials of a gastroprotectant drug (defined as a PPI, prostaglandin analogue, or H2RA) versus control, or versus another gastroprotectant. Two independent researchers reviewed the search results and extracted the prespecified outcomes and key characteristics for each trial. We did meta-analyses of the effects of gastroprotectant drugs on ulcer development, bleeding, and mortality overall, according to the class of gastroprotectant, and according to the individual drug within a gastroprotectant class. Findings: We identified comparisons of gastroprotectant versus control in 849 trials (142 485 participants): 580 prevention trials (110 626 participants), 233 healing trials (24 033 participants), and 36 trials for the treatment of acute upper gastrointestinal bleeding (7826 participants). Comparisons of one gastroprotectant drug versus another were available in 345 trials (64 905 participants), comprising 160 prevention trials (32 959 participants), 167 healing trials (28 306 participants), and 18 trials for treatment of acute upper gastrointestinal bleeding (3640 participants). The median number of patients in each trial was 78 (IQR 44·0–210·5) and the median duration was 1·4 months (0·9–2·8). In prevention trials, gastroprotectant drugs reduced development of endoscopic ulcers (odds ratio [OR] 0·27, 95% CI 0·25–0·29; p&lt;0·0001), symptomatic ulcers (0·25, 0·22–0·29; p&lt;0·0001), and upper gastrointestinal bleeding (0·40, 0·32–0·50; p&lt;0·0001), but did not significantly reduce mortality (0·85, 0·69–1·04; p=0·11). Larger proportional reductions in upper gastrointestinal bleeding were observed for PPIs than for other gastroprotectant drugs (PPIs 0·21, 99% CI 0·12–0·36; prostaglandin analogues 0·63, 0·35–1·12; H2RAs 0·49, 0·30–0·80; phet=0·0005). Gastroprotectant drugs were effective in preventing bleeding irrespective of the u…","author":[{"dropping-particle":"","family":"Scally","given":"Benjamin","non-dropping-particle":"","parse-names":false,"suffix":""},{"dropping-particle":"","family":"Emberson","given":"Jonathan R.","non-dropping-particle":"","parse-names":false,"suffix":""},{"dropping-particle":"","family":"Spata","given":"Enti","non-dropping-particle":"","parse-names":false,"suffix":""},{"dropping-particle":"","family":"Reith","given":"Christina","non-dropping-particle":"","parse-names":false,"suffix":""},{"dropping-particle":"","family":"Davies","given":"Kelly","non-dropping-particle":"","parse-names":false,"suffix":""},{"dropping-particle":"","family":"Halls","given":"Heather","non-dropping-particle":"","parse-names":false,"suffix":""},{"dropping-particle":"","family":"Holland","given":"Lisa","non-dropping-particle":"","parse-names":false,"suffix":""},{"dropping-particle":"","family":"Wilson","given":"Kate","non-dropping-particle":"","parse-names":false,"suffix":""},{"dropping-particle":"","family":"Bhala","given":"Neeraj","non-dropping-particle":"","parse-names":false,"suffix":""},{"dropping-particle":"","family":"Hawkey","given":"Christopher","non-dropping-particle":"","parse-names":false,"suffix":""},{"dropping-particle":"","family":"Hochberg","given":"Marc","non-dropping-particle":"","parse-names":false,"suffix":""},{"dropping-particle":"","family":"Hunt","given":"Richard","non-dropping-particle":"","parse-names":false,"suffix":""},{"dropping-particle":"","family":"Laine","given":"Loren","non-dropping-particle":"","parse-names":false,"suffix":""},{"dropping-particle":"","family":"Lanas","given":"Angel","non-dropping-particle":"","parse-names":false,"suffix":""},{"dropping-particle":"","family":"Patrono","given":"Carlo","non-dropping-particle":"","parse-names":false,"suffix":""},{"dropping-particle":"","family":"Baigent","given":"Colin","non-dropping-particle":"","parse-names":false,"suffix":""}],"container-title":"The Lancet Gastroenterology and Hepatology","id":"ITEM-1","issue":"4","issued":{"date-parts":[["2018","4","1"]]},"page":"231-241","publisher":"Elsevier Ltd","title":"Effects of gastroprotectant drugs for the prevention and treatment of peptic ulcer disease and its complications: a meta-analysis of randomised trials","type":"article-journal","volume":"3"},"uris":["http://www.mendeley.com/documents/?uuid=f1962b3a-e3e6-3474-95a8-4fc5245efa04"]}],"mendeley":{"formattedCitation":"[146]","plainTextFormattedCitation":"[146]","previouslyFormattedCitation":"[146]"},"properties":{"noteIndex":0},"schema":"https://github.com/citation-style-language/schema/raw/master/csl-citation.json"}</w:instrText>
      </w:r>
      <w:r w:rsidRPr="00BA4F0F">
        <w:fldChar w:fldCharType="separate"/>
      </w:r>
      <w:r w:rsidR="009D170B" w:rsidRPr="009D170B">
        <w:rPr>
          <w:noProof/>
        </w:rPr>
        <w:t>[146]</w:t>
      </w:r>
      <w:r w:rsidRPr="00BA4F0F">
        <w:fldChar w:fldCharType="end"/>
      </w:r>
      <w:r w:rsidRPr="00BA4F0F">
        <w:t xml:space="preserve">. Лишь препараты этих двух групп позволяют достигать и поддерживать необходимую рН-среду желудка, при которой происходит заживление гастродуоденальных язв. </w:t>
      </w:r>
    </w:p>
    <w:p w14:paraId="37E3CAD0" w14:textId="418DA894" w:rsidR="0049053C" w:rsidRPr="00BA4F0F" w:rsidRDefault="0049053C" w:rsidP="002F75C7">
      <w:pPr>
        <w:pStyle w:val="1ff0"/>
      </w:pPr>
      <w:r w:rsidRPr="00BA4F0F">
        <w:t xml:space="preserve">В настоящее время ИПП являются средством базисной терапии. Результаты рандомизированных сравнительных исследований свидетельствуют о высокой эффективности ИПП по сравнению с Н2-блокаторами </w:t>
      </w:r>
      <w:r w:rsidRPr="00BA4F0F">
        <w:fldChar w:fldCharType="begin" w:fldLock="1"/>
      </w:r>
      <w:r w:rsidR="00A6794A">
        <w:instrText>ADDIN CSL_CITATION {"citationItems":[{"id":"ITEM-1","itemData":{"DOI":"10.4103/1319-3767.199117","ISSN":"1319-3767","abstract":"Background/Aim: To compare the efficacy and tolerance of different proton pump inhibitors (PPIs) in different doses for patients with duodenal ulcers. Materials and Methods: An electronic database was searched to collect all randomized clinical trials (RCTs), and a pairwise and network meta-analysis were performed. Results: A total of 24 RCTs involving 6188 patients were included. The network meta-analysis showed that there were no significant differences for the 4-week healing rate of duodenal ulcer treated with different PPI regimens except pantoprazle 40 mg/d versus lansoprazole 15 mg/d [Relative risk (RR) = 3.57; 95% confidence interval (CI) = 1.36-10.31)] and lansoprazole 30 mg/d versus lansoprazole 15 mg/d (RR = 2.45; 95% CI = 1.01-6.14). In comparison with H2receptor antagonists (H2RA), pantoprazole 40 mg/d and lansoprazole 30 mg/d significantly increase the healing rate (RR = 2.96; 95% CI = 1.78-5.14 and RR = 2.04; 95% CI = 1.13-3.53, respectively). There was no significant difference for the rate of adverse events between different regimens, including H2RA for a duration of 4-week of follow up. Conclusion: There was no significant difference for the efficacy and tolerance between the ordinary doses of different PPIs with the exception of lansoprazle 15 mg/d.","author":[{"dropping-particle":"","family":"Hu","given":"Zhan-Hong","non-dropping-particle":"","parse-names":false,"suffix":""},{"dropping-particle":"","family":"Shi","given":"Ai-Ming","non-dropping-particle":"","parse-names":false,"suffix":""},{"dropping-particle":"","family":"Hu","given":"Duan-Min","non-dropping-particle":"","parse-names":false,"suffix":""},{"dropping-particle":"","family":"Bao","given":"Jun-Jie","non-dropping-particle":"","parse-names":false,"suffix":""}],"container-title":"Saudi Journal of Gastroenterology","id":"ITEM-1","issue":"1","issued":{"date-parts":[["2017","1","1"]]},"page":"11","publisher":"Medknow Publications","title":"Efficacy of proton pump inhibitors for patients with duodenal ulcers: A pairwise and network meta-analysis of randomized controlled trials","type":"article-journal","volume":"23"},"uris":["http://www.mendeley.com/documents/?uuid=d523d0fc-026a-365d-b2ac-773ed8aed036"]}],"mendeley":{"formattedCitation":"[244]","plainTextFormattedCitation":"[244]","previouslyFormattedCitation":"[244]"},"properties":{"noteIndex":0},"schema":"https://github.com/citation-style-language/schema/raw/master/csl-citation.json"}</w:instrText>
      </w:r>
      <w:r w:rsidRPr="00BA4F0F">
        <w:fldChar w:fldCharType="separate"/>
      </w:r>
      <w:r w:rsidR="006E1902" w:rsidRPr="006E1902">
        <w:rPr>
          <w:noProof/>
        </w:rPr>
        <w:t>[244]</w:t>
      </w:r>
      <w:r w:rsidRPr="00BA4F0F">
        <w:fldChar w:fldCharType="end"/>
      </w:r>
      <w:r w:rsidRPr="00BA4F0F">
        <w:t>. ИПП практически в 1,5 раза эффективнее Н2-блокаторов в отношении эпителизации язвенного дефекта</w:t>
      </w:r>
      <w:r w:rsidRPr="00BA4F0F">
        <w:fldChar w:fldCharType="begin" w:fldLock="1"/>
      </w:r>
      <w:r w:rsidR="00021E2A">
        <w:instrText>ADDIN CSL_CITATION {"citationItems":[{"id":"ITEM-1","itemData":{"DOI":"10.1016/S2468-1253(18)30037-2","ISSN":"24681253","PMID":"29475806","abstract":"Background: Gastroprotectant drugs are used for the prevention and treatment of peptic ulcer disease and might reduce its associated complications, but reliable estimates of the effects of gastroprotectants in different clinical settings are scarce. We aimed to examine the effects of proton-pump inhibitors (PPIs), prostaglandin analogues, and histamine-2 receptor antagonists (H2RAs) in different clinical circumstances by doing meta-analyses of tabular data from all relevant unconfounded randomised trials of gastroprotectant drugs. Methods: We searched MEDLINE and Embase from Jan 1, 1950, to Dec 31, 2015, to identify unconfounded, randomised trials of a gastroprotectant drug (defined as a PPI, prostaglandin analogue, or H2RA) versus control, or versus another gastroprotectant. Two independent researchers reviewed the search results and extracted the prespecified outcomes and key characteristics for each trial. We did meta-analyses of the effects of gastroprotectant drugs on ulcer development, bleeding, and mortality overall, according to the class of gastroprotectant, and according to the individual drug within a gastroprotectant class. Findings: We identified comparisons of gastroprotectant versus control in 849 trials (142 485 participants): 580 prevention trials (110 626 participants), 233 healing trials (24 033 participants), and 36 trials for the treatment of acute upper gastrointestinal bleeding (7826 participants). Comparisons of one gastroprotectant drug versus another were available in 345 trials (64 905 participants), comprising 160 prevention trials (32 959 participants), 167 healing trials (28 306 participants), and 18 trials for treatment of acute upper gastrointestinal bleeding (3640 participants). The median number of patients in each trial was 78 (IQR 44·0–210·5) and the median duration was 1·4 months (0·9–2·8). In prevention trials, gastroprotectant drugs reduced development of endoscopic ulcers (odds ratio [OR] 0·27, 95% CI 0·25–0·29; p&lt;0·0001), symptomatic ulcers (0·25, 0·22–0·29; p&lt;0·0001), and upper gastrointestinal bleeding (0·40, 0·32–0·50; p&lt;0·0001), but did not significantly reduce mortality (0·85, 0·69–1·04; p=0·11). Larger proportional reductions in upper gastrointestinal bleeding were observed for PPIs than for other gastroprotectant drugs (PPIs 0·21, 99% CI 0·12–0·36; prostaglandin analogues 0·63, 0·35–1·12; H2RAs 0·49, 0·30–0·80; phet=0·0005). Gastroprotectant drugs were effective in preventing bleeding irrespective of the u…","author":[{"dropping-particle":"","family":"Scally","given":"Benjamin","non-dropping-particle":"","parse-names":false,"suffix":""},{"dropping-particle":"","family":"Emberson","given":"Jonathan R.","non-dropping-particle":"","parse-names":false,"suffix":""},{"dropping-particle":"","family":"Spata","given":"Enti","non-dropping-particle":"","parse-names":false,"suffix":""},{"dropping-particle":"","family":"Reith","given":"Christina","non-dropping-particle":"","parse-names":false,"suffix":""},{"dropping-particle":"","family":"Davies","given":"Kelly","non-dropping-particle":"","parse-names":false,"suffix":""},{"dropping-particle":"","family":"Halls","given":"Heather","non-dropping-particle":"","parse-names":false,"suffix":""},{"dropping-particle":"","family":"Holland","given":"Lisa","non-dropping-particle":"","parse-names":false,"suffix":""},{"dropping-particle":"","family":"Wilson","given":"Kate","non-dropping-particle":"","parse-names":false,"suffix":""},{"dropping-particle":"","family":"Bhala","given":"Neeraj","non-dropping-particle":"","parse-names":false,"suffix":""},{"dropping-particle":"","family":"Hawkey","given":"Christopher","non-dropping-particle":"","parse-names":false,"suffix":""},{"dropping-particle":"","family":"Hochberg","given":"Marc","non-dropping-particle":"","parse-names":false,"suffix":""},{"dropping-particle":"","family":"Hunt","given":"Richard","non-dropping-particle":"","parse-names":false,"suffix":""},{"dropping-particle":"","family":"Laine","given":"Loren","non-dropping-particle":"","parse-names":false,"suffix":""},{"dropping-particle":"","family":"Lanas","given":"Angel","non-dropping-particle":"","parse-names":false,"suffix":""},{"dropping-particle":"","family":"Patrono","given":"Carlo","non-dropping-particle":"","parse-names":false,"suffix":""},{"dropping-particle":"","family":"Baigent","given":"Colin","non-dropping-particle":"","parse-names":false,"suffix":""}],"container-title":"The Lancet Gastroenterology and Hepatology","id":"ITEM-1","issue":"4","issued":{"date-parts":[["2018","4","1"]]},"page":"231-241","publisher":"Elsevier Ltd","title":"Effects of gastroprotectant drugs for the prevention and treatment of peptic ulcer disease and its complications: a meta-analysis of randomised trials","type":"article-journal","volume":"3"},"uris":["http://www.mendeley.com/documents/?uuid=f1962b3a-e3e6-3474-95a8-4fc5245efa04"]}],"mendeley":{"formattedCitation":"[146]","plainTextFormattedCitation":"[146]","previouslyFormattedCitation":"[146]"},"properties":{"noteIndex":0},"schema":"https://github.com/citation-style-language/schema/raw/master/csl-citation.json"}</w:instrText>
      </w:r>
      <w:r w:rsidRPr="00BA4F0F">
        <w:fldChar w:fldCharType="separate"/>
      </w:r>
      <w:r w:rsidR="009D170B" w:rsidRPr="009D170B">
        <w:rPr>
          <w:noProof/>
        </w:rPr>
        <w:t>[146]</w:t>
      </w:r>
      <w:r w:rsidRPr="00BA4F0F">
        <w:fldChar w:fldCharType="end"/>
      </w:r>
      <w:r w:rsidRPr="00BA4F0F">
        <w:t>.</w:t>
      </w:r>
    </w:p>
    <w:p w14:paraId="38E84C6E" w14:textId="77777777" w:rsidR="0049053C" w:rsidRPr="00BA4F0F" w:rsidRDefault="0049053C" w:rsidP="002F75C7">
      <w:pPr>
        <w:pStyle w:val="1ff0"/>
        <w:rPr>
          <w:b/>
        </w:rPr>
      </w:pPr>
    </w:p>
    <w:p w14:paraId="42C8DAA6" w14:textId="77777777" w:rsidR="0049053C" w:rsidRPr="00BA4F0F" w:rsidRDefault="0049053C" w:rsidP="002F75C7">
      <w:pPr>
        <w:pStyle w:val="1ff0"/>
        <w:rPr>
          <w:u w:val="single"/>
        </w:rPr>
      </w:pPr>
      <w:r w:rsidRPr="00BA4F0F">
        <w:rPr>
          <w:u w:val="single"/>
        </w:rPr>
        <w:t xml:space="preserve">Блокаторы Н2-гистаминовых рецепторов </w:t>
      </w:r>
    </w:p>
    <w:p w14:paraId="6E13EF9D" w14:textId="77777777" w:rsidR="0049053C" w:rsidRPr="00BA4F0F" w:rsidRDefault="0049053C" w:rsidP="002F75C7">
      <w:pPr>
        <w:pStyle w:val="1ff0"/>
      </w:pPr>
      <w:r w:rsidRPr="00BA4F0F">
        <w:t xml:space="preserve">Препараты, блокирующие гистаминовые Н2-рецепторы – лекарственные средства, устраняющие физиологические эффекты гистамина, блокируя рецепторы чувствительных к нему клеток. </w:t>
      </w:r>
    </w:p>
    <w:p w14:paraId="0DDC4DF4" w14:textId="77777777" w:rsidR="0049053C" w:rsidRPr="00BA4F0F" w:rsidRDefault="0049053C" w:rsidP="002F75C7">
      <w:pPr>
        <w:pStyle w:val="1ff0"/>
      </w:pPr>
      <w:r w:rsidRPr="00BA4F0F">
        <w:t xml:space="preserve">Популяция гистаминорецепторов состоит из 2-х подтипов, названных Н (Н1- и Н2-гистаминорецепторы). Секреторные реакции желудка при действии экзогенного или эндогенного гистамина реализуются через Н2-гистаминорецепторы. Блокаторы гистаминовых Н2-рецепторов являются конкурентными антагонистами гистамина. Наиболее выраженный эффект ассоциирован с влиянием на секрецию желез слизистой оболочки желудка. Препараты воздействуют на гистаминовые Н2-рецепторы париетальных клеток и значительно уменьшают вызванную различными раздражителями секрецию соляной кислоты. </w:t>
      </w:r>
    </w:p>
    <w:p w14:paraId="7BEADD2F" w14:textId="7E55335C" w:rsidR="0049053C" w:rsidRPr="006E1ADA" w:rsidRDefault="0049053C" w:rsidP="002F75C7">
      <w:pPr>
        <w:pStyle w:val="1ff0"/>
      </w:pPr>
      <w:r w:rsidRPr="00BA4F0F">
        <w:t>Пациентам во время проведения курсов специфической противоопухолевой терапии, с профилактической целью рекомендован прием блокаторов Н2-</w:t>
      </w:r>
      <w:r w:rsidRPr="006E1ADA">
        <w:t xml:space="preserve">гистаминовых рецепторов в указанных в таблице </w:t>
      </w:r>
      <w:r w:rsidR="002F75C7">
        <w:t>А3.3.</w:t>
      </w:r>
      <w:r w:rsidRPr="006E1ADA">
        <w:t>10 дозах.</w:t>
      </w:r>
    </w:p>
    <w:p w14:paraId="7C344630" w14:textId="77777777" w:rsidR="0049053C" w:rsidRPr="006E1ADA" w:rsidRDefault="0049053C" w:rsidP="002F75C7">
      <w:pPr>
        <w:pStyle w:val="1ff0"/>
      </w:pPr>
    </w:p>
    <w:p w14:paraId="7C7591DA" w14:textId="49147849" w:rsidR="0049053C" w:rsidRPr="00BA4F0F" w:rsidRDefault="0049053C" w:rsidP="002F75C7">
      <w:pPr>
        <w:pStyle w:val="1ff0"/>
      </w:pPr>
      <w:r w:rsidRPr="006E1ADA">
        <w:t xml:space="preserve">Таблица </w:t>
      </w:r>
      <w:r w:rsidR="002F75C7">
        <w:t>А3.3.</w:t>
      </w:r>
      <w:r w:rsidRPr="006E1ADA">
        <w:t>10. Режим дозирования блокаторов Н2-гистаминовых рецепторов</w:t>
      </w:r>
      <w:r w:rsidRPr="00BA4F0F">
        <w:t xml:space="preserve"> </w:t>
      </w:r>
    </w:p>
    <w:tbl>
      <w:tblPr>
        <w:tblStyle w:val="31"/>
        <w:tblW w:w="0" w:type="auto"/>
        <w:jc w:val="center"/>
        <w:tblLook w:val="04A0" w:firstRow="1" w:lastRow="0" w:firstColumn="1" w:lastColumn="0" w:noHBand="0" w:noVBand="1"/>
      </w:tblPr>
      <w:tblGrid>
        <w:gridCol w:w="2220"/>
        <w:gridCol w:w="1857"/>
        <w:gridCol w:w="3491"/>
      </w:tblGrid>
      <w:tr w:rsidR="0049053C" w:rsidRPr="00BA4F0F" w14:paraId="640E8DEF" w14:textId="77777777" w:rsidTr="003D0E86">
        <w:trPr>
          <w:jc w:val="center"/>
        </w:trPr>
        <w:tc>
          <w:tcPr>
            <w:tcW w:w="2220" w:type="dxa"/>
          </w:tcPr>
          <w:p w14:paraId="4569401F" w14:textId="77777777" w:rsidR="0049053C" w:rsidRPr="00BA4F0F" w:rsidRDefault="0049053C" w:rsidP="002F75C7">
            <w:pPr>
              <w:tabs>
                <w:tab w:val="left" w:pos="0"/>
              </w:tabs>
              <w:spacing w:line="360" w:lineRule="auto"/>
              <w:jc w:val="center"/>
              <w:rPr>
                <w:b/>
              </w:rPr>
            </w:pPr>
            <w:r w:rsidRPr="00BA4F0F">
              <w:rPr>
                <w:b/>
              </w:rPr>
              <w:t>Препараты</w:t>
            </w:r>
          </w:p>
        </w:tc>
        <w:tc>
          <w:tcPr>
            <w:tcW w:w="1857" w:type="dxa"/>
          </w:tcPr>
          <w:p w14:paraId="71CDBCB3" w14:textId="77777777" w:rsidR="0049053C" w:rsidRPr="00BA4F0F" w:rsidRDefault="0049053C" w:rsidP="002F75C7">
            <w:pPr>
              <w:tabs>
                <w:tab w:val="left" w:pos="0"/>
              </w:tabs>
              <w:spacing w:line="360" w:lineRule="auto"/>
              <w:jc w:val="center"/>
              <w:rPr>
                <w:b/>
              </w:rPr>
            </w:pPr>
            <w:r w:rsidRPr="00BA4F0F">
              <w:rPr>
                <w:b/>
              </w:rPr>
              <w:t>Суточная доза, мг</w:t>
            </w:r>
          </w:p>
        </w:tc>
        <w:tc>
          <w:tcPr>
            <w:tcW w:w="3491" w:type="dxa"/>
          </w:tcPr>
          <w:p w14:paraId="7CCD1E41" w14:textId="77777777" w:rsidR="0049053C" w:rsidRPr="00BA4F0F" w:rsidRDefault="0049053C" w:rsidP="002F75C7">
            <w:pPr>
              <w:tabs>
                <w:tab w:val="left" w:pos="0"/>
              </w:tabs>
              <w:spacing w:line="360" w:lineRule="auto"/>
              <w:jc w:val="center"/>
              <w:rPr>
                <w:b/>
              </w:rPr>
            </w:pPr>
            <w:r w:rsidRPr="00BA4F0F">
              <w:rPr>
                <w:b/>
              </w:rPr>
              <w:t>Режим дозирования</w:t>
            </w:r>
          </w:p>
        </w:tc>
      </w:tr>
      <w:tr w:rsidR="0049053C" w:rsidRPr="00BA4F0F" w14:paraId="22A7CBC9" w14:textId="77777777" w:rsidTr="003D0E86">
        <w:trPr>
          <w:jc w:val="center"/>
        </w:trPr>
        <w:tc>
          <w:tcPr>
            <w:tcW w:w="2220" w:type="dxa"/>
          </w:tcPr>
          <w:p w14:paraId="1D680070" w14:textId="77777777" w:rsidR="0049053C" w:rsidRPr="00BA4F0F" w:rsidRDefault="0049053C" w:rsidP="002F75C7">
            <w:pPr>
              <w:tabs>
                <w:tab w:val="left" w:pos="0"/>
              </w:tabs>
              <w:spacing w:line="360" w:lineRule="auto"/>
            </w:pPr>
            <w:r w:rsidRPr="00BA4F0F">
              <w:t>Ранитидин</w:t>
            </w:r>
          </w:p>
        </w:tc>
        <w:tc>
          <w:tcPr>
            <w:tcW w:w="1857" w:type="dxa"/>
          </w:tcPr>
          <w:p w14:paraId="39E590C5" w14:textId="77777777" w:rsidR="0049053C" w:rsidRPr="00BA4F0F" w:rsidRDefault="0049053C" w:rsidP="002F75C7">
            <w:pPr>
              <w:tabs>
                <w:tab w:val="left" w:pos="0"/>
              </w:tabs>
              <w:spacing w:line="360" w:lineRule="auto"/>
            </w:pPr>
            <w:r w:rsidRPr="00BA4F0F">
              <w:t>150</w:t>
            </w:r>
          </w:p>
        </w:tc>
        <w:tc>
          <w:tcPr>
            <w:tcW w:w="3491" w:type="dxa"/>
          </w:tcPr>
          <w:p w14:paraId="36EFA55E" w14:textId="77777777" w:rsidR="0049053C" w:rsidRPr="00BA4F0F" w:rsidRDefault="0049053C" w:rsidP="002F75C7">
            <w:pPr>
              <w:tabs>
                <w:tab w:val="left" w:pos="0"/>
              </w:tabs>
              <w:spacing w:line="360" w:lineRule="auto"/>
            </w:pPr>
            <w:r w:rsidRPr="00BA4F0F">
              <w:t>Внутрь, 1 раз в сутки, на ночь</w:t>
            </w:r>
          </w:p>
        </w:tc>
      </w:tr>
      <w:tr w:rsidR="0049053C" w:rsidRPr="00BA4F0F" w14:paraId="793AB2D2" w14:textId="77777777" w:rsidTr="003D0E86">
        <w:trPr>
          <w:jc w:val="center"/>
        </w:trPr>
        <w:tc>
          <w:tcPr>
            <w:tcW w:w="2220" w:type="dxa"/>
          </w:tcPr>
          <w:p w14:paraId="1A41A02F" w14:textId="77777777" w:rsidR="0049053C" w:rsidRPr="00BA4F0F" w:rsidRDefault="0049053C" w:rsidP="002F75C7">
            <w:pPr>
              <w:tabs>
                <w:tab w:val="left" w:pos="0"/>
              </w:tabs>
              <w:spacing w:line="360" w:lineRule="auto"/>
            </w:pPr>
            <w:r w:rsidRPr="00BA4F0F">
              <w:t>Фамотидин</w:t>
            </w:r>
          </w:p>
        </w:tc>
        <w:tc>
          <w:tcPr>
            <w:tcW w:w="1857" w:type="dxa"/>
          </w:tcPr>
          <w:p w14:paraId="62AAED75" w14:textId="77777777" w:rsidR="0049053C" w:rsidRPr="00BA4F0F" w:rsidRDefault="0049053C" w:rsidP="002F75C7">
            <w:pPr>
              <w:tabs>
                <w:tab w:val="left" w:pos="0"/>
              </w:tabs>
              <w:spacing w:line="360" w:lineRule="auto"/>
            </w:pPr>
            <w:r w:rsidRPr="00BA4F0F">
              <w:t xml:space="preserve">20 </w:t>
            </w:r>
          </w:p>
        </w:tc>
        <w:tc>
          <w:tcPr>
            <w:tcW w:w="3491" w:type="dxa"/>
          </w:tcPr>
          <w:p w14:paraId="52649F28" w14:textId="77777777" w:rsidR="0049053C" w:rsidRPr="00BA4F0F" w:rsidRDefault="0049053C" w:rsidP="002F75C7">
            <w:pPr>
              <w:spacing w:line="360" w:lineRule="auto"/>
            </w:pPr>
            <w:r w:rsidRPr="00BA4F0F">
              <w:t>Внутрь, 1 раз в сутки, на ночь</w:t>
            </w:r>
          </w:p>
        </w:tc>
      </w:tr>
    </w:tbl>
    <w:p w14:paraId="5BEB14B4" w14:textId="77777777" w:rsidR="0049053C" w:rsidRPr="00BA4F0F" w:rsidRDefault="0049053C" w:rsidP="0049053C">
      <w:pPr>
        <w:autoSpaceDE w:val="0"/>
        <w:autoSpaceDN w:val="0"/>
        <w:adjustRightInd w:val="0"/>
        <w:ind w:firstLine="709"/>
        <w:rPr>
          <w:iCs/>
        </w:rPr>
      </w:pPr>
    </w:p>
    <w:p w14:paraId="64862550" w14:textId="56A4EDCF" w:rsidR="0049053C" w:rsidRPr="00BA4F0F" w:rsidRDefault="0049053C" w:rsidP="002F75C7">
      <w:pPr>
        <w:pStyle w:val="1ff0"/>
      </w:pPr>
      <w:r w:rsidRPr="00BA4F0F">
        <w:t xml:space="preserve">Н2-блокаторы гистамина подавляют секрецию соляной кислоты за счет вытеснения гистамина из связи с Н2-рецепторами париетальных клеток. Препараты </w:t>
      </w:r>
      <w:r w:rsidRPr="00BA4F0F">
        <w:lastRenderedPageBreak/>
        <w:t xml:space="preserve">этой группы поддерживают показатели внутрижелудочного рН &gt; 3 на протяжении суток. Проведенные исследования показали, что применение Н2-блокаторов в течение 1-1,5 месяца приводит к рубцеванию язвенного дефекта у 70–80 % пациентов с дуоденальными язвами и у 55–60 % пациентов с язвами желудка </w:t>
      </w:r>
      <w:r w:rsidRPr="00BA4F0F">
        <w:fldChar w:fldCharType="begin" w:fldLock="1"/>
      </w:r>
      <w:r w:rsidR="00A6794A">
        <w:instrText>ADDIN CSL_CITATION {"citationItems":[{"id":"ITEM-1","itemData":{"DOI":"10.1016/S0140-6736(16)32404-7","ISSN":"1474-547X","PMID":"28242110","abstract":"The rapidly declining prevalence of Helicobacter pylori infection and widespread use of potent anti-secretory drugs means peptic ulcer disease has become substantially less prevalent than it was two decades ago. Management has, however, become more challenging than ever because of the threat of increasing antimicrobial resistance worldwide and widespread use of complex anti-thrombotic therapy in the ageing population. Peptic ulcers not associated with H pylori infection or the use of non-steroidal anti-inflammatory drugs are now also imposing substantial diagnostic and therapeutic challenges. This Seminar aims to provide a balanced overview of the latest advances in the pathogenetic mechanisms of peptic ulcers, guidelines on therapies targeting H pylori infection, approaches to treatment of peptic ulcer complications associated with anti-inflammatory analgesics and anti-thrombotic agents, and the unmet needs in terms of our knowledge and management of this increasingly challenging condition.","author":[{"dropping-particle":"","family":"Lanas","given":"Angel","non-dropping-particle":"","parse-names":false,"suffix":""},{"dropping-particle":"","family":"Chan","given":"Francis K L","non-dropping-particle":"","parse-names":false,"suffix":""}],"container-title":"Lancet (London, England)","id":"ITEM-1","issue":"10094","issued":{"date-parts":[["2017"]]},"page":"613-624","publisher":"Lancet","title":"Peptic ulcer disease.","type":"article-journal","volume":"390"},"uris":["http://www.mendeley.com/documents/?uuid=dcbc625a-2314-3bed-910d-92b1cdf9da49","http://www.mendeley.com/documents/?uuid=624fee9b-1b8b-4f2d-a0e5-4146c75dcad9"]}],"mendeley":{"formattedCitation":"[245]","plainTextFormattedCitation":"[245]","previouslyFormattedCitation":"[245]"},"properties":{"noteIndex":0},"schema":"https://github.com/citation-style-language/schema/raw/master/csl-citation.json"}</w:instrText>
      </w:r>
      <w:r w:rsidRPr="00BA4F0F">
        <w:fldChar w:fldCharType="separate"/>
      </w:r>
      <w:r w:rsidR="006E1902" w:rsidRPr="006E1902">
        <w:rPr>
          <w:noProof/>
        </w:rPr>
        <w:t>[245]</w:t>
      </w:r>
      <w:r w:rsidRPr="00BA4F0F">
        <w:fldChar w:fldCharType="end"/>
      </w:r>
      <w:r w:rsidRPr="00BA4F0F">
        <w:t xml:space="preserve">. Н2-блокаторы значительно эффективнее плацебо в достижении рубцевания язвенного дефекта </w:t>
      </w:r>
      <w:r w:rsidRPr="00BA4F0F">
        <w:fldChar w:fldCharType="begin" w:fldLock="1"/>
      </w:r>
      <w:r w:rsidR="00021E2A">
        <w:instrText>ADDIN CSL_CITATION {"citationItems":[{"id":"ITEM-1","itemData":{"DOI":"10.1016/S2468-1253(18)30037-2","ISSN":"24681253","PMID":"29475806","abstract":"Background: Gastroprotectant drugs are used for the prevention and treatment of peptic ulcer disease and might reduce its associated complications, but reliable estimates of the effects of gastroprotectants in different clinical settings are scarce. We aimed to examine the effects of proton-pump inhibitors (PPIs), prostaglandin analogues, and histamine-2 receptor antagonists (H2RAs) in different clinical circumstances by doing meta-analyses of tabular data from all relevant unconfounded randomised trials of gastroprotectant drugs. Methods: We searched MEDLINE and Embase from Jan 1, 1950, to Dec 31, 2015, to identify unconfounded, randomised trials of a gastroprotectant drug (defined as a PPI, prostaglandin analogue, or H2RA) versus control, or versus another gastroprotectant. Two independent researchers reviewed the search results and extracted the prespecified outcomes and key characteristics for each trial. We did meta-analyses of the effects of gastroprotectant drugs on ulcer development, bleeding, and mortality overall, according to the class of gastroprotectant, and according to the individual drug within a gastroprotectant class. Findings: We identified comparisons of gastroprotectant versus control in 849 trials (142 485 participants): 580 prevention trials (110 626 participants), 233 healing trials (24 033 participants), and 36 trials for the treatment of acute upper gastrointestinal bleeding (7826 participants). Comparisons of one gastroprotectant drug versus another were available in 345 trials (64 905 participants), comprising 160 prevention trials (32 959 participants), 167 healing trials (28 306 participants), and 18 trials for treatment of acute upper gastrointestinal bleeding (3640 participants). The median number of patients in each trial was 78 (IQR 44·0–210·5) and the median duration was 1·4 months (0·9–2·8). In prevention trials, gastroprotectant drugs reduced development of endoscopic ulcers (odds ratio [OR] 0·27, 95% CI 0·25–0·29; p&lt;0·0001), symptomatic ulcers (0·25, 0·22–0·29; p&lt;0·0001), and upper gastrointestinal bleeding (0·40, 0·32–0·50; p&lt;0·0001), but did not significantly reduce mortality (0·85, 0·69–1·04; p=0·11). Larger proportional reductions in upper gastrointestinal bleeding were observed for PPIs than for other gastroprotectant drugs (PPIs 0·21, 99% CI 0·12–0·36; prostaglandin analogues 0·63, 0·35–1·12; H2RAs 0·49, 0·30–0·80; phet=0·0005). Gastroprotectant drugs were effective in preventing bleeding irrespective of the u…","author":[{"dropping-particle":"","family":"Scally","given":"Benjamin","non-dropping-particle":"","parse-names":false,"suffix":""},{"dropping-particle":"","family":"Emberson","given":"Jonathan R.","non-dropping-particle":"","parse-names":false,"suffix":""},{"dropping-particle":"","family":"Spata","given":"Enti","non-dropping-particle":"","parse-names":false,"suffix":""},{"dropping-particle":"","family":"Reith","given":"Christina","non-dropping-particle":"","parse-names":false,"suffix":""},{"dropping-particle":"","family":"Davies","given":"Kelly","non-dropping-particle":"","parse-names":false,"suffix":""},{"dropping-particle":"","family":"Halls","given":"Heather","non-dropping-particle":"","parse-names":false,"suffix":""},{"dropping-particle":"","family":"Holland","given":"Lisa","non-dropping-particle":"","parse-names":false,"suffix":""},{"dropping-particle":"","family":"Wilson","given":"Kate","non-dropping-particle":"","parse-names":false,"suffix":""},{"dropping-particle":"","family":"Bhala","given":"Neeraj","non-dropping-particle":"","parse-names":false,"suffix":""},{"dropping-particle":"","family":"Hawkey","given":"Christopher","non-dropping-particle":"","parse-names":false,"suffix":""},{"dropping-particle":"","family":"Hochberg","given":"Marc","non-dropping-particle":"","parse-names":false,"suffix":""},{"dropping-particle":"","family":"Hunt","given":"Richard","non-dropping-particle":"","parse-names":false,"suffix":""},{"dropping-particle":"","family":"Laine","given":"Loren","non-dropping-particle":"","parse-names":false,"suffix":""},{"dropping-particle":"","family":"Lanas","given":"Angel","non-dropping-particle":"","parse-names":false,"suffix":""},{"dropping-particle":"","family":"Patrono","given":"Carlo","non-dropping-particle":"","parse-names":false,"suffix":""},{"dropping-particle":"","family":"Baigent","given":"Colin","non-dropping-particle":"","parse-names":false,"suffix":""}],"container-title":"The Lancet Gastroenterology and Hepatology","id":"ITEM-1","issue":"4","issued":{"date-parts":[["2018","4","1"]]},"page":"231-241","publisher":"Elsevier Ltd","title":"Effects of gastroprotectant drugs for the prevention and treatment of peptic ulcer disease and its complications: a meta-analysis of randomised trials","type":"article-journal","volume":"3"},"uris":["http://www.mendeley.com/documents/?uuid=f1962b3a-e3e6-3474-95a8-4fc5245efa04"]}],"mendeley":{"formattedCitation":"[146]","plainTextFormattedCitation":"[146]","previouslyFormattedCitation":"[146]"},"properties":{"noteIndex":0},"schema":"https://github.com/citation-style-language/schema/raw/master/csl-citation.json"}</w:instrText>
      </w:r>
      <w:r w:rsidRPr="00BA4F0F">
        <w:fldChar w:fldCharType="separate"/>
      </w:r>
      <w:r w:rsidR="009D170B" w:rsidRPr="009D170B">
        <w:rPr>
          <w:noProof/>
        </w:rPr>
        <w:t>[146]</w:t>
      </w:r>
      <w:r w:rsidRPr="00BA4F0F">
        <w:fldChar w:fldCharType="end"/>
      </w:r>
      <w:r w:rsidRPr="00BA4F0F">
        <w:t>. Тем не менее, после внедрения ИПП в клиническую практику в качестве базисной антисекреторной терапии, Н2-блокаторы применяются реже, главным образом при невозможности применения ИПП.</w:t>
      </w:r>
    </w:p>
    <w:p w14:paraId="09526BCC" w14:textId="77777777" w:rsidR="0049053C" w:rsidRPr="00BA4F0F" w:rsidRDefault="0049053C" w:rsidP="002F75C7">
      <w:pPr>
        <w:pStyle w:val="1ff0"/>
        <w:rPr>
          <w:b/>
          <w:highlight w:val="green"/>
        </w:rPr>
      </w:pPr>
      <w:bookmarkStart w:id="126" w:name="_Toc44926638"/>
    </w:p>
    <w:p w14:paraId="39FE1CA5" w14:textId="77777777" w:rsidR="0049053C" w:rsidRPr="00BA4F0F" w:rsidRDefault="0049053C" w:rsidP="002F75C7">
      <w:pPr>
        <w:pStyle w:val="1ff0"/>
        <w:rPr>
          <w:b/>
        </w:rPr>
      </w:pPr>
      <w:r w:rsidRPr="00BA4F0F">
        <w:rPr>
          <w:b/>
        </w:rPr>
        <w:t>Антимикробная терапия</w:t>
      </w:r>
      <w:bookmarkEnd w:id="126"/>
    </w:p>
    <w:p w14:paraId="649DADDF" w14:textId="272EAA39" w:rsidR="0049053C" w:rsidRPr="00BA4F0F" w:rsidRDefault="0049053C" w:rsidP="002F75C7">
      <w:pPr>
        <w:pStyle w:val="1ff0"/>
      </w:pPr>
      <w:r w:rsidRPr="00BA4F0F">
        <w:t xml:space="preserve">Применение высокодозной химиотерапии с последующей трансплантацией аутологичных стволовых клеток крови по данным различных авторов приводит к развитию инфекционных осложнений более чем у 90 % больных </w:t>
      </w:r>
      <w:r w:rsidRPr="00BA4F0F">
        <w:fldChar w:fldCharType="begin" w:fldLock="1"/>
      </w:r>
      <w:r w:rsidR="00A6794A">
        <w:instrText>ADDIN CSL_CITATION {"citationItems":[{"id":"ITEM-1","itemData":{"DOI":"10.1007/s00277-002-0484-1","ISSN":"09395555","abstract":"It is yet undetermined whether patients with different hematological malignancies have different pro-pensities to infectious complications after high-dose chemotherapy (HDC) and autologous hematopoietic stem cell transplantation (HSCT). We retrospectively analyzed 136 cycles of HDC and autologous HSCT in 114 patients with acute myeloid leukemia (AML, 24 cycles), non-Hodgkin's lymphoma/Hodgkin's disease (NHL/HD, 55 cycles), and multiple myeloma (MM, 57 cycles) with respect to early infectious complications. Median duration of neutropenia was longer in patients with AML and NHL/HD than in patients with MM (11 days vs 8 days) and after conditioning including total body irradiation (TBI) compared with chemotherapy only preparative regimens (11 days vs 7 days). Fever requiring antimicrobial therapy was observed in 88% of cycles, with fever of unknown origin (FUO) accounting for 60% of febrile episodes. There was no proven fungal infection, but one case of probable invasive pulmonary aspergillosis. Microbiologically documented infections were seen in 29% and clinically documented infections in 11%. Response to first-line empirical antibiotic therapy was better for FUO than for documented infections (70% vs 40%). Patients with TBI as part of their conditioning regimen had more overall infections than patients without TBI (96% vs 82%). There were no differences with respect to the type or incidence of infections between patients with AML, NHL/HD, and MM. Patients with different hematological malignancies have similar rates of early infectious complications after HDC and autologous HSCT. TBI may be associated with an increased risk for infections in the early post-transplant period.","author":[{"dropping-particle":"","family":"Auner","given":"H. W.","non-dropping-particle":"","parse-names":false,"suffix":""},{"dropping-particle":"","family":"Sill","given":"H.","non-dropping-particle":"","parse-names":false,"suffix":""},{"dropping-particle":"","family":"Mulabecirovic","given":"A.","non-dropping-particle":"","parse-names":false,"suffix":""},{"dropping-particle":"","family":"Linkesch","given":"W.","non-dropping-particle":"","parse-names":false,"suffix":""},{"dropping-particle":"","family":"Krause","given":"R.","non-dropping-particle":"","parse-names":false,"suffix":""}],"container-title":"Annals of Hematology","id":"ITEM-1","issue":"7","issued":{"date-parts":[["2002"]]},"page":"374-377","publisher":"Ann Hematol","title":"Infectious complications after autologous hematopoietic stem cell transplantation: Comparison of patients with acute myeloid leukemia, malignant lymphoma, and multiple myeloma","type":"article-journal","volume":"81"},"uris":["http://www.mendeley.com/documents/?uuid=f1a86368-84b1-3c12-a8de-28ac6a6f005c","http://www.mendeley.com/documents/?uuid=4fdc9fd0-5eb8-4b96-b6b8-9b8085bef2b6","http://www.mendeley.com/documents/?uuid=81487a63-368f-45a3-96bd-a065db655523","http://www.mendeley.com/documents/?uuid=3f2b3f0f-80f0-426a-b243-a2231ace928a","http://www.mendeley.com/documents/?uuid=9ea48387-c84f-41f8-868e-392b32d4973d","http://www.mendeley.com/documents/?uuid=214eabb8-c545-489f-ad37-bd70dd8865a6","http://www.mendeley.com/documents/?uuid=f9b66049-e8d5-49d2-9034-b13f690ee446","http://www.mendeley.com/documents/?uuid=dc5e0773-1562-4dba-8594-e4550238c737"]},{"id":"ITEM-2","itemData":{"DOI":"10.1007/s15010-007-6350-2","ISSN":"03008126","abstract":"Background: Infectious complications occur in most of the patients receiving high-dose therapy (HDT) and autologous hematopoietic stem cell transplantation (HSCT). The objective of the study was to analyze of the type and incidence of infectious complications during neutropenia after HDT and autologous HSCT with respect to risk factors related to stem cell transplant setting in patients treated for hematological malignancies in a single center. Patients and Methods: A total number of 314 patients diagnosed for Hodgkin's disease (HD), non-Hodgkin's lymphoma (NHL), acute myeloid leukemia (AML), multiple myeloma (MM) or acute lymphoblastic leukemia (ALL) were included in the study. Analysis of risk factors and outcome of infections after HDT and autologous HSCT was performed. Results: Infectious complications during neutropenia after HDT occurred in 92.3% patients. Microbiologically documented infections (MDI) accounted for 38.9% of febrile episodes, clinically documented infections (CDI) for 9.3%, and fever of unknown origin (FUO) for 51.7% cases. Median time to defervescence with antibiotic therapy was seven days for FUO and nine days for documented infections (p &lt; 0.001). Duration of infection correlated with the length of very severe neutropenia (p &lt; 0.001). Response to first-line antibiotic therapy was seen in 34% patients. Infections were fatal in 12 (3.8%) patients. The highest probability of infection was observed for ALL and AML patients, especially these conditioned with total body irradiation (TBI). Conclusion: Patients at high risk of infection after autologous HSCT were identified as those with acute leukemia and those after conditioning with TBI, all with prolonged neutropenia. We suggest that newer prophylactic strategies should be administered to these groups of patients. © 2007 Urban &amp; Vogel.","author":[{"dropping-particle":"","family":"Gil","given":"L.","non-dropping-particle":"","parse-names":false,"suffix":""},{"dropping-particle":"","family":"Styczynski","given":"J.","non-dropping-particle":"","parse-names":false,"suffix":""},{"dropping-particle":"","family":"Komarnicki","given":"M.","non-dropping-particle":"","parse-names":false,"suffix":""}],"container-title":"Infection","id":"ITEM-2","issue":"6","issued":{"date-parts":[["2007","12"]]},"page":"421-427","publisher":"Infection","title":"Infectious complication in 314 patients after high-dose therapy and autologous hematopoietic stem cell transplantation: Risk factors analysis and outcome","type":"article-journal","volume":"35"},"uris":["http://www.mendeley.com/documents/?uuid=2484101e-8b0b-3a5f-a697-4baf2d1f00ec","http://www.mendeley.com/documents/?uuid=4b9974a2-0e3e-44ce-ac02-f3dad90354f7","http://www.mendeley.com/documents/?uuid=621597e4-9f72-47a3-98b8-f1cb6c6ec284","http://www.mendeley.com/documents/?uuid=2a53cc22-2809-49ef-869c-a3d053a9fe19","http://www.mendeley.com/documents/?uuid=9f0564c3-3b67-41ba-875e-02194c8b103f","http://www.mendeley.com/documents/?uuid=02c86a55-b501-43b0-aca1-e8355618aa56","http://www.mendeley.com/documents/?uuid=aa713873-711b-4840-84ae-7ab465fc9da8","http://www.mendeley.com/documents/?uuid=7e6ea6ab-47bd-4208-9803-60b645a808e3"]},{"id":"ITEM-3","itemData":{"DOI":"10.1002/ajh.21855","ISSN":"03618609","abstract":"One hundred and fifty-seven patients undergoing high-dose chemotherapy (HDT) and autologous stem-cell transplantation (ASCT) for hematopoietic malignancies and solid tumors were randomly assigned to receive (Group A) or not (Group B) prophylaxis with ciprofloxacin, orally, and vancomycin, intravenously. Prophylactic antibiotics were given from day 0 until resolution of neutropenia or the appearance of a febrile event. Furthermore, patients in both groups received once a day fluconazole, orally. The primary end-point of our study was the incidence of neutropenic febrile episodes attributed to infection. One hundred and twelve (71.3%) patients developed neutropenic fever, 50 (56.2%) in Group A and 62 (91.2%) in Group B (P &lt; 0.001) with the majority (82%) of patients developing fever of unknown origin. Patients on prophylactic antibiotics had a significantly lower rate of bacteremias (5.6%) than did those randomized to no prophylaxis (29.4%) (P = 0.005) and, when developing neutropenic fever, they had a lower probability of response to first-line empirical antibiotics (P = 0.025). Prophylactic administration of ciprofloxacin and vancomycin reduced the incidence of neutropenic fever in patients receiving HDT with ASCT, however, without affecting the total interval of hospitalization, time to engraftment, or all-cause mortality. Therefore, our results do not support the use of antibiotic prophylaxis for patients undergoing HDT and ASCT. © 2010 Wiley-Liss, Inc.","author":[{"dropping-particle":"","family":"Eleutherakis-Papaiakovou","given":"Evangelos","non-dropping-particle":"","parse-names":false,"suffix":""},{"dropping-particle":"","family":"Kostis","given":"Evangelos","non-dropping-particle":"","parse-names":false,"suffix":""},{"dropping-particle":"","family":"Migkou","given":"Magda","non-dropping-particle":"","parse-names":false,"suffix":""},{"dropping-particle":"","family":"Christoulas","given":"Dimitrios","non-dropping-particle":"","parse-names":false,"suffix":""},{"dropping-particle":"","family":"Terpos","given":"Evangelos","non-dropping-particle":"","parse-names":false,"suffix":""},{"dropping-particle":"","family":"Gavriatopoulou","given":"Maria","non-dropping-particle":"","parse-names":false,"suffix":""},{"dropping-particle":"","family":"Roussou","given":"Maria","non-dropping-particle":"","parse-names":false,"suffix":""},{"dropping-particle":"","family":"Bournakis","given":"Evangelos","non-dropping-particle":"","parse-names":false,"suffix":""},{"dropping-particle":"","family":"Kastritis","given":"Efstathios","non-dropping-particle":"","parse-names":false,"suffix":""},{"dropping-particle":"","family":"Efstathiou","given":"Eleni","non-dropping-particle":"","parse-names":false,"suffix":""},{"dropping-particle":"","family":"Dimopoulos","given":"Meletios A.","non-dropping-particle":"","parse-names":false,"suffix":""},{"dropping-particle":"","family":"Papadimitriou","given":"Christos A.","non-dropping-particle":"","parse-names":false,"suffix":""}],"container-title":"American Journal of Hematology","id":"ITEM-3","issue":"11","issued":{"date-parts":[["2010","11"]]},"page":"863-867","publisher":"Am J Hematol","title":"Prophylactic antibiotics for the prevention of neutropenic fever in patients undergoing autologous stem-cell transplantation: Results of a single institution, randomized phase 2 trial","type":"article-journal","volume":"85"},"uris":["http://www.mendeley.com/documents/?uuid=e9c8d6a3-bf24-3a10-be69-dbf56d33e220","http://www.mendeley.com/documents/?uuid=53d1d1c5-dcbb-4103-80be-837e10537355","http://www.mendeley.com/documents/?uuid=6e7642af-251b-4056-bc76-4c25fd6ab0e5","http://www.mendeley.com/documents/?uuid=16f62455-5dc2-4a1d-b988-18db9ac13408","http://www.mendeley.com/documents/?uuid=4c4353f2-c724-4054-bfb5-29023200ae81","http://www.mendeley.com/documents/?uuid=9a4fea57-5691-4c44-8c79-67124536a57e","http://www.mendeley.com/documents/?uuid=dc975761-e88a-4365-8582-efe82fb0848d","http://www.mendeley.com/documents/?uuid=d790a518-2556-405a-9e4a-e8c3041eb741"]},{"id":"ITEM-4","itemData":{"DOI":"10.1007/s00277-013-1698-0","ISSN":"09395555","abstract":"Bacterial infections are the most common cause for treatment-related mortality in patients with neutropenia after chemotherapy. Here, we discuss the use of antibacterial prophylaxis against bacteria and Pneumocystis pneumonia (PCP) in neutropenic cancer patients and offer guidance towards the choice of drug. A literature search was performed to screen all articles published between September 2000 and January 2012 on antibiotic prophylaxis in neutropenic cancer patients. The authors assembled original reports and meta-analysis from the literature and drew conclusions, which were discussed and approved in a consensus conference of the Infectious Disease Working Party of the German Society of Hematology and Oncology (AGIHO). Antibacterial prophylaxis has led to a reduction of febrile events and infections. A significant reduction of overall mortality could only be shown in a meta-analysis. Fluoroquinolones are preferred for antibacterial and trimethoprim-sulfamethoxazole for PCP prophylaxis. Due to serious concerns about an increase of resistant pathogens, only patients at high risk of severe infections should be considered for antibiotic prophylaxis. Risk factors of individual patients and local resistance patterns must be taken into account. Risk factors, choice of drug for antibacterial and PCP prophylaxis and concerns regarding the use of prophylactic antibiotics are discussed in the review. © 2013 The Author(s).","author":[{"dropping-particle":"","family":"Neumann","given":"S.","non-dropping-particle":"","parse-names":false,"suffix":""},{"dropping-particle":"","family":"Krause","given":"S. W.","non-dropping-particle":"","parse-names":false,"suffix":""},{"dropping-particle":"","family":"Maschmeyer","given":"G.","non-dropping-particle":"","parse-names":false,"suffix":""},{"dropping-particle":"","family":"Schiel","given":"X.","non-dropping-particle":"","parse-names":false,"suffix":""},{"dropping-particle":"","family":"Lilienfeld-Toal","given":"M.","non-dropping-particle":"Von","parse-names":false,"suffix":""}],"container-title":"Annals of Hematology","id":"ITEM-4","issue":"4","issued":{"date-parts":[["2013","4"]]},"page":"433-442","publisher":"Ann Hematol","title":"Primary prophylaxis of bacterial infections and Pneumocystis jirovecii pneumonia in patients with hematological malignancies and solid tumors: Guidelines of the Infectious Diseases Working Party (AGIHO) of the German Society of Hematology and Oncology (DG","type":"article","volume":"92"},"uris":["http://www.mendeley.com/documents/?uuid=5d017807-56d5-3c29-9e5b-06adbcf241d7","http://www.mendeley.com/documents/?uuid=0c431f2d-f131-4475-bc03-927c20fc8427","http://www.mendeley.com/documents/?uuid=cb8a28f6-34d3-47b6-aac5-75eae4c6597a","http://www.mendeley.com/documents/?uuid=1da004eb-c4a8-438d-8229-3b75c2c05578","http://www.mendeley.com/documents/?uuid=447ce80b-5ffd-4f72-a842-6d050b4c0058","http://www.mendeley.com/documents/?uuid=75718eaf-f3e7-47ed-a437-a0877b2432c4","http://www.mendeley.com/documents/?uuid=92ffaa87-61f2-4a29-ab3b-0229b7e2d3b0","http://www.mendeley.com/documents/?uuid=300b3a3c-d6fd-4873-aabf-5d8646d68ed5"]},{"id":"ITEM-5","itemData":{"DOI":"10.1007/s15010-018-1200-y","ISSN":"14390973","abstract":"Purpose: In this study, we assessed the incidence, contributing factors and outcome of prolonged neutropenia above 7 days and of bacteraemia in patients with lymphoma and multiple myeloma who underwent autologous haematopoietic stem cell transplantation (AHSCT) without antibacterial prophylaxis. Methods: This is a retrospective chart review of 190 adult patients who underwent AHSCT between 2005 and 2015 at a Lebanese hospital. Results: Neutropenia of 7 days duration and longer was documented in 66% of the patient population. Through univariate analysis, patients with lymphoma were significantly more likely to have prolonged neutropenia (≥ 7 days) compared to those with myeloma. Mucositis above grade 3, diarrhoea and fever were more likely to occur in patients with prolonged neutropenia. Bacteraemia was documented in 12.6% of the patients. Total mortality rate was 3.7%, and that attributed to bacteraemia was 12.5% in the bacteraemia subgroup. Among bacterial isolates recovered from clinical specimens (89 isolates), 70% were Gram-negative, of which 57% were fluoroquinolone susceptible. Ninety-five percent of the Gram-negative bacteria causing bacteraemia were susceptible to fluoroquinolones. Conclusion: Bacterial pathogens causing bacteraemia were still highly susceptible to fluoroquinolones, despite the high prevalence of fluoroquinolone-resistant strains in the general bacterial ecology. Accordingly, the pertinence of fluoroquinolone prophylaxis in the AHSCT setting warrants further investigation. Moreover, continuous surveillance of local antibiograms in this patient population has become a must in an era of preponderant antibiotic resistance.","author":[{"dropping-particle":"","family":"Moghnieh","given":"Rima","non-dropping-particle":"","parse-names":false,"suffix":""},{"dropping-particle":"","family":"Abdallah","given":"Dania","non-dropping-particle":"","parse-names":false,"suffix":""},{"dropping-particle":"","family":"Awad","given":"Lyn","non-dropping-particle":"","parse-names":false,"suffix":""},{"dropping-particle":"","family":"Jisr","given":"Tamima","non-dropping-particle":"","parse-names":false,"suffix":""},{"dropping-particle":"","family":"Mugharbil","given":"Anas","non-dropping-particle":"","parse-names":false,"suffix":""},{"dropping-particle":"","family":"Youssef","given":"Ali","non-dropping-particle":"","parse-names":false,"suffix":""},{"dropping-particle":"","family":"Tamim","given":"Hani","non-dropping-particle":"","parse-names":false,"suffix":""},{"dropping-particle":"","family":"Khaldieh","given":"Samer","non-dropping-particle":"","parse-names":false,"suffix":""},{"dropping-particle":"","family":"Massri","given":"Oula","non-dropping-particle":"","parse-names":false,"suffix":""},{"dropping-particle":"","family":"Rashini","given":"Najat","non-dropping-particle":"","parse-names":false,"suffix":""},{"dropping-particle":"","family":"Hamdan","given":"Youssef","non-dropping-particle":"","parse-names":false,"suffix":""},{"dropping-particle":"","family":"Ibrahim","given":"Ahmad","non-dropping-particle":"","parse-names":false,"suffix":""}],"container-title":"Infection","id":"ITEM-5","issue":"6","issued":{"date-parts":[["2018"]]},"publisher":"Urban und Vogel GmbH","title":"Bacteraemia post-autologous haematopoietic stem cell transplantation in the absence of antibacterial prophylaxis: a decade’s experience from Lebanon","type":"article-journal","volume":"46"},"uris":["http://www.mendeley.com/documents/?uuid=ae672191-2fc7-35b4-bb6f-de9083ec561f","http://www.mendeley.com/documents/?uuid=3eb7eca1-f810-48f1-8c56-0b2d965d8011","http://www.mendeley.com/documents/?uuid=5ebcf890-5e16-4450-9634-3c05a12d76c0","http://www.mendeley.com/documents/?uuid=853c0c3e-4b77-4603-bf23-18587d4490b6","http://www.mendeley.com/documents/?uuid=26920eda-53a6-4a84-9487-903994067277","http://www.mendeley.com/documents/?uuid=dd8b341d-4c23-4bd9-9d5d-3dceeb3afe7c","http://www.mendeley.com/documents/?uuid=994064a7-7ad5-46d6-af07-2b010e03da9d","http://www.mendeley.com/documents/?uuid=fcf50596-2552-44da-a965-28f05137efeb"]}],"mendeley":{"formattedCitation":"[151,246–249]","plainTextFormattedCitation":"[151,246–249]","previouslyFormattedCitation":"[151,246–249]"},"properties":{"noteIndex":0},"schema":"https://github.com/citation-style-language/schema/raw/master/csl-citation.json"}</w:instrText>
      </w:r>
      <w:r w:rsidRPr="00BA4F0F">
        <w:fldChar w:fldCharType="separate"/>
      </w:r>
      <w:r w:rsidR="006E1902" w:rsidRPr="006E1902">
        <w:rPr>
          <w:noProof/>
        </w:rPr>
        <w:t>[151,246–249]</w:t>
      </w:r>
      <w:r w:rsidRPr="00BA4F0F">
        <w:fldChar w:fldCharType="end"/>
      </w:r>
      <w:r w:rsidRPr="00BA4F0F">
        <w:t>.</w:t>
      </w:r>
    </w:p>
    <w:p w14:paraId="10242C3D" w14:textId="7C872D5D" w:rsidR="0049053C" w:rsidRPr="00BA4F0F" w:rsidRDefault="0049053C" w:rsidP="002F75C7">
      <w:pPr>
        <w:pStyle w:val="1ff0"/>
      </w:pPr>
      <w:r w:rsidRPr="00BA4F0F">
        <w:t>Основными факторами, определяющими развитие инфекций у иммунокомпрометированных больных, являются нейтропения (глубина, длительность и быстрота развития), нарушения клеточного и гуморального иммунитета, повреждение слизистой желудочно-кишечного тракта, наличие ЦВК.</w:t>
      </w:r>
    </w:p>
    <w:p w14:paraId="56C1ED09" w14:textId="1D8B90FC" w:rsidR="0049053C" w:rsidRPr="00BA4F0F" w:rsidRDefault="0049053C" w:rsidP="002F75C7">
      <w:pPr>
        <w:pStyle w:val="1ff0"/>
      </w:pPr>
      <w:r w:rsidRPr="00BA4F0F">
        <w:t xml:space="preserve">Наиболее высокая частота инфекционных осложнений наблюдается у больных с длительностью нейтропении от 10 дней и более </w:t>
      </w:r>
      <w:r w:rsidRPr="00BA4F0F">
        <w:fldChar w:fldCharType="begin" w:fldLock="1"/>
      </w:r>
      <w:r w:rsidR="00A6794A">
        <w:instrText>ADDIN CSL_CITATION {"citationItems":[{"id":"ITEM-1","itemData":{"DOI":"10.1007/s15010-018-1200-y","ISSN":"14390973","abstract":"Purpose: In this study, we assessed the incidence, contributing factors and outcome of prolonged neutropenia above 7 days and of bacteraemia in patients with lymphoma and multiple myeloma who underwent autologous haematopoietic stem cell transplantation (AHSCT) without antibacterial prophylaxis. Methods: This is a retrospective chart review of 190 adult patients who underwent AHSCT between 2005 and 2015 at a Lebanese hospital. Results: Neutropenia of 7 days duration and longer was documented in 66% of the patient population. Through univariate analysis, patients with lymphoma were significantly more likely to have prolonged neutropenia (≥ 7 days) compared to those with myeloma. Mucositis above grade 3, diarrhoea and fever were more likely to occur in patients with prolonged neutropenia. Bacteraemia was documented in 12.6% of the patients. Total mortality rate was 3.7%, and that attributed to bacteraemia was 12.5% in the bacteraemia subgroup. Among bacterial isolates recovered from clinical specimens (89 isolates), 70% were Gram-negative, of which 57% were fluoroquinolone susceptible. Ninety-five percent of the Gram-negative bacteria causing bacteraemia were susceptible to fluoroquinolones. Conclusion: Bacterial pathogens causing bacteraemia were still highly susceptible to fluoroquinolones, despite the high prevalence of fluoroquinolone-resistant strains in the general bacterial ecology. Accordingly, the pertinence of fluoroquinolone prophylaxis in the AHSCT setting warrants further investigation. Moreover, continuous surveillance of local antibiograms in this patient population has become a must in an era of preponderant antibiotic resistance.","author":[{"dropping-particle":"","family":"Moghnieh","given":"Rima","non-dropping-particle":"","parse-names":false,"suffix":""},{"dropping-particle":"","family":"Abdallah","given":"Dania","non-dropping-particle":"","parse-names":false,"suffix":""},{"dropping-particle":"","family":"Awad","given":"Lyn","non-dropping-particle":"","parse-names":false,"suffix":""},{"dropping-particle":"","family":"Jisr","given":"Tamima","non-dropping-particle":"","parse-names":false,"suffix":""},{"dropping-particle":"","family":"Mugharbil","given":"Anas","non-dropping-particle":"","parse-names":false,"suffix":""},{"dropping-particle":"","family":"Youssef","given":"Ali","non-dropping-particle":"","parse-names":false,"suffix":""},{"dropping-particle":"","family":"Tamim","given":"Hani","non-dropping-particle":"","parse-names":false,"suffix":""},{"dropping-particle":"","family":"Khaldieh","given":"Samer","non-dropping-particle":"","parse-names":false,"suffix":""},{"dropping-particle":"","family":"Massri","given":"Oula","non-dropping-particle":"","parse-names":false,"suffix":""},{"dropping-particle":"","family":"Rashini","given":"Najat","non-dropping-particle":"","parse-names":false,"suffix":""},{"dropping-particle":"","family":"Hamdan","given":"Youssef","non-dropping-particle":"","parse-names":false,"suffix":""},{"dropping-particle":"","family":"Ibrahim","given":"Ahmad","non-dropping-particle":"","parse-names":false,"suffix":""}],"container-title":"Infection","id":"ITEM-1","issue":"6","issued":{"date-parts":[["2018"]]},"publisher":"Urban und Vogel GmbH","title":"Bacteraemia post-autologous haematopoietic stem cell transplantation in the absence of antibacterial prophylaxis: a decade’s experience from Lebanon","type":"article-journal","volume":"46"},"uris":["http://www.mendeley.com/documents/?uuid=fcf50596-2552-44da-a965-28f05137efeb","http://www.mendeley.com/documents/?uuid=994064a7-7ad5-46d6-af07-2b010e03da9d","http://www.mendeley.com/documents/?uuid=dd8b341d-4c23-4bd9-9d5d-3dceeb3afe7c","http://www.mendeley.com/documents/?uuid=26920eda-53a6-4a84-9487-903994067277","http://www.mendeley.com/documents/?uuid=853c0c3e-4b77-4603-bf23-18587d4490b6","http://www.mendeley.com/documents/?uuid=5ebcf890-5e16-4450-9634-3c05a12d76c0","http://www.mendeley.com/documents/?uuid=3eb7eca1-f810-48f1-8c56-0b2d965d8011","http://www.mendeley.com/documents/?uuid=ae672191-2fc7-35b4-bb6f-de9083ec561f"]}],"mendeley":{"formattedCitation":"[249]","plainTextFormattedCitation":"[249]","previouslyFormattedCitation":"[249]"},"properties":{"noteIndex":0},"schema":"https://github.com/citation-style-language/schema/raw/master/csl-citation.json"}</w:instrText>
      </w:r>
      <w:r w:rsidRPr="00BA4F0F">
        <w:fldChar w:fldCharType="separate"/>
      </w:r>
      <w:r w:rsidR="006E1902" w:rsidRPr="006E1902">
        <w:rPr>
          <w:noProof/>
        </w:rPr>
        <w:t>[249]</w:t>
      </w:r>
      <w:r w:rsidRPr="00BA4F0F">
        <w:fldChar w:fldCharType="end"/>
      </w:r>
      <w:r w:rsidRPr="00BA4F0F">
        <w:t>.</w:t>
      </w:r>
    </w:p>
    <w:p w14:paraId="68AF5A0B" w14:textId="57F99C9E" w:rsidR="0049053C" w:rsidRPr="00BA4F0F" w:rsidRDefault="0049053C" w:rsidP="002F75C7">
      <w:pPr>
        <w:pStyle w:val="1ff0"/>
      </w:pPr>
      <w:r w:rsidRPr="00BA4F0F">
        <w:t xml:space="preserve">Клинические проявления инфекционного процесса у этой категории пациентов, особенно в период нейтропении, крайне скудные. Ранее лихорадка неясной этиологии (повышение температуры тела без каких-либо других проявлений инфекции) являлась наиболее частым проявлением фебрильной нейтропении (≈ 50% случаев) </w:t>
      </w:r>
      <w:r w:rsidRPr="00BA4F0F">
        <w:fldChar w:fldCharType="begin" w:fldLock="1"/>
      </w:r>
      <w:r w:rsidR="00A6794A">
        <w:instrText>ADDIN CSL_CITATION {"citationItems":[{"id":"ITEM-1","itemData":{"author":[{"dropping-particle":"","family":"Клясова","given":"Г.А.","non-dropping-particle":"","parse-names":false,"suffix":""},{"dropping-particle":"","family":"Савченко","given":"В.Г.","non-dropping-particle":"","parse-names":false,"suffix":""},{"dropping-particle":"","family":"Паровичникова","given":"Е.Н.","non-dropping-particle":"","parse-names":false,"suffix":""},{"dropping-particle":"","family":"Исаев","given":"В.Г.","non-dropping-particle":"","parse-names":false,"suffix":""},{"dropping-particle":"","family":"Толкачева","given":"Т.В.","non-dropping-particle":"","parse-names":false,"suffix":""},{"dropping-particle":"","family":"Маслова","given":"Е.Р.","non-dropping-particle":"","parse-names":false,"suffix":""}],"container-title":"Терапевтический архив","id":"ITEM-1","issue":"7","issued":{"date-parts":[["1998"]]},"page":"15-21","title":"Эмпирическая антимикробная терапия у больных острыми лейкозами: итоги многоцентрового исследования","type":"article-journal","volume":"70"},"uris":["http://www.mendeley.com/documents/?uuid=8c0ade5e-966e-4a67-abb0-83bf29a0c9b4"]}],"mendeley":{"formattedCitation":"[250]","plainTextFormattedCitation":"[250]","previouslyFormattedCitation":"[250]"},"properties":{"noteIndex":0},"schema":"https://github.com/citation-style-language/schema/raw/master/csl-citation.json"}</w:instrText>
      </w:r>
      <w:r w:rsidRPr="00BA4F0F">
        <w:fldChar w:fldCharType="separate"/>
      </w:r>
      <w:r w:rsidR="006E1902" w:rsidRPr="006E1902">
        <w:rPr>
          <w:noProof/>
        </w:rPr>
        <w:t>[250]</w:t>
      </w:r>
      <w:r w:rsidRPr="00BA4F0F">
        <w:fldChar w:fldCharType="end"/>
      </w:r>
      <w:r w:rsidRPr="00BA4F0F">
        <w:t>.</w:t>
      </w:r>
    </w:p>
    <w:p w14:paraId="2A1E47CA" w14:textId="77777777" w:rsidR="0049053C" w:rsidRPr="00BA4F0F" w:rsidRDefault="0049053C" w:rsidP="002F75C7">
      <w:pPr>
        <w:pStyle w:val="1ff0"/>
      </w:pPr>
      <w:r w:rsidRPr="00BA4F0F">
        <w:t xml:space="preserve">Микробиологически и клинически доказанные инфекции встречались реже. К клинически доказанным инфекциям относят те, которые удается верифицировать с помощью физикальных или инструментальных методов диагностики при отсутствии микробиологического подтверждения. Микробиологическим подтверждением наличия инфекции в период гранулоцитопении в большинстве случаев является выделение микроорганизмов из гемокультуры. </w:t>
      </w:r>
    </w:p>
    <w:p w14:paraId="66B4EA85" w14:textId="77777777" w:rsidR="0049053C" w:rsidRPr="00BA4F0F" w:rsidRDefault="0049053C" w:rsidP="002F75C7">
      <w:pPr>
        <w:pStyle w:val="1ff0"/>
      </w:pPr>
      <w:r w:rsidRPr="00BA4F0F">
        <w:t xml:space="preserve">В последнее время возможности по диагностике инфекционных осложнений существенно расширились как за счет внедрения новых и совершенствования ранее используемых методов, так и сокращения времени исследования в микробиологии благодаря введению в лабораторную практику автоматических анализаторов и новых технологий дли идентификации микроорганизмов. </w:t>
      </w:r>
    </w:p>
    <w:p w14:paraId="4595DDDD" w14:textId="77777777" w:rsidR="0049053C" w:rsidRPr="00BA4F0F" w:rsidRDefault="0049053C" w:rsidP="002F75C7">
      <w:pPr>
        <w:pStyle w:val="1ff0"/>
      </w:pPr>
      <w:r w:rsidRPr="00BA4F0F">
        <w:lastRenderedPageBreak/>
        <w:t xml:space="preserve">В первые сутки, как правило, единственным симптомом бывает лишь повышение температуры, а информацию о бактериемии или пневмонии у больных с нейтропенией удается получить не раньше, чем на второй день инфекционного эпизода. В связи с этим основным принципом терапии инфекционных осложнений у больных с фебрильной нейтропенией является эмпирический подход к назначению антибактериальных препаратов, когда их применяют при первых признаках инфекции, при лихорадке до идентификации возбудителей инфекции. В то же время эмпирический подход к назначению антибиотиков является относительным, поскольку выбор антимикробных препаратов определяется ретроспективным анализом верифицированных возбудителей и их антибиотикочувствительностью. </w:t>
      </w:r>
    </w:p>
    <w:p w14:paraId="216D3031" w14:textId="77777777" w:rsidR="0049053C" w:rsidRPr="00BA4F0F" w:rsidRDefault="0049053C" w:rsidP="002F75C7">
      <w:pPr>
        <w:pStyle w:val="1ff0"/>
        <w:rPr>
          <w:u w:val="single"/>
        </w:rPr>
      </w:pPr>
    </w:p>
    <w:p w14:paraId="74DE9786" w14:textId="63D7CB3F" w:rsidR="0049053C" w:rsidRPr="00BA4F0F" w:rsidRDefault="0049053C" w:rsidP="002F75C7">
      <w:pPr>
        <w:pStyle w:val="1ff0"/>
        <w:rPr>
          <w:u w:val="single"/>
        </w:rPr>
      </w:pPr>
      <w:r w:rsidRPr="00BA4F0F">
        <w:rPr>
          <w:u w:val="single"/>
        </w:rPr>
        <w:t xml:space="preserve">Диагностические исследования, проводимые при лихорадке у больных гемобластозами </w:t>
      </w:r>
      <w:r w:rsidRPr="00BA4F0F">
        <w:rPr>
          <w:u w:val="single"/>
        </w:rPr>
        <w:fldChar w:fldCharType="begin" w:fldLock="1"/>
      </w:r>
      <w:r w:rsidR="00A6794A">
        <w:rPr>
          <w:u w:val="single"/>
        </w:rPr>
        <w:instrText>ADDIN CSL_CITATION {"citationItems":[{"id":"ITEM-1","itemData":{"author":[{"dropping-particle":"","family":"Савченко В.Г. и др","given":"","non-dropping-particle":"","parse-names":false,"suffix":""}],"id":"ITEM-1","issued":{"date-parts":[["2018"]]},"number-of-pages":"1008","publisher":"Практика","publisher-place":"Москва","title":"Алгоритмы диагностики и протоколы лечения заболеваний системы крови.","type":"book"},"uris":["http://www.mendeley.com/documents/?uuid=f91ae641-8062-4f5f-b416-94b015742043","http://www.mendeley.com/documents/?uuid=c0eae3a3-34ee-40e1-8813-566cb7fa2b4a","http://www.mendeley.com/documents/?uuid=9cac36ab-7685-4894-b1cb-f141a1797526","http://www.mendeley.com/documents/?uuid=478d6ce1-e425-4912-87db-adfee39f1ce9","http://www.mendeley.com/documents/?uuid=a1e2f5d6-ef05-4351-9481-13fad4fd103b","http://www.mendeley.com/documents/?uuid=26da25a5-bd21-4509-8e88-e4e6744fab98","http://www.mendeley.com/documents/?uuid=fe583573-532c-46dc-b4f4-f9d01345e27c","http://www.mendeley.com/documents/?uuid=2cd270b2-efaf-4da9-a95d-66324661ea35"]}],"mendeley":{"formattedCitation":"[251]","plainTextFormattedCitation":"[251]","previouslyFormattedCitation":"[251]"},"properties":{"noteIndex":0},"schema":"https://github.com/citation-style-language/schema/raw/master/csl-citation.json"}</w:instrText>
      </w:r>
      <w:r w:rsidRPr="00BA4F0F">
        <w:rPr>
          <w:u w:val="single"/>
        </w:rPr>
        <w:fldChar w:fldCharType="separate"/>
      </w:r>
      <w:r w:rsidR="006E1902" w:rsidRPr="006E1902">
        <w:rPr>
          <w:noProof/>
        </w:rPr>
        <w:t>[251]</w:t>
      </w:r>
      <w:r w:rsidRPr="00BA4F0F">
        <w:rPr>
          <w:u w:val="single"/>
        </w:rPr>
        <w:fldChar w:fldCharType="end"/>
      </w:r>
    </w:p>
    <w:p w14:paraId="1A67D3B6" w14:textId="77777777" w:rsidR="0049053C" w:rsidRPr="00BA4F0F" w:rsidRDefault="0049053C" w:rsidP="002F75C7">
      <w:pPr>
        <w:pStyle w:val="1ff0"/>
      </w:pPr>
      <w:r w:rsidRPr="00BA4F0F">
        <w:t>Во всех случаях инфекционного процесса следует активно проводить диагностику, направленную на выявление, как очагов инфекции, так и этиологических агентов.</w:t>
      </w:r>
    </w:p>
    <w:p w14:paraId="1C31B37A" w14:textId="77777777" w:rsidR="0049053C" w:rsidRPr="00BA4F0F" w:rsidRDefault="0049053C" w:rsidP="002F75C7">
      <w:pPr>
        <w:pStyle w:val="1ff0"/>
      </w:pPr>
      <w:r w:rsidRPr="00BA4F0F">
        <w:t>При подозрении на инфекцию образцы клинического материала от больных должны быть взяты незамедлительно. Особо следует подчеркнуть необходимость пристального внимания и проведения тщательных микробиологических исследований у больных, принимающих глюкокортикоиды, и у лиц пожилого возраста.</w:t>
      </w:r>
    </w:p>
    <w:p w14:paraId="39BF184D" w14:textId="77777777" w:rsidR="0049053C" w:rsidRPr="00BA4F0F" w:rsidRDefault="0049053C" w:rsidP="002F75C7">
      <w:pPr>
        <w:pStyle w:val="1ff0"/>
      </w:pPr>
      <w:r w:rsidRPr="00BA4F0F">
        <w:t xml:space="preserve">У этой группы пациентов септицемия может протекать без температуры, что бывает у 70% тяжелобольных в возрасте от 66 лет и старше, или лихорадка может быть лишь субфебрильной. </w:t>
      </w:r>
    </w:p>
    <w:p w14:paraId="731418A9" w14:textId="77777777" w:rsidR="0049053C" w:rsidRPr="00BA4F0F" w:rsidRDefault="0049053C" w:rsidP="002F75C7">
      <w:pPr>
        <w:pStyle w:val="1ff0"/>
      </w:pPr>
    </w:p>
    <w:p w14:paraId="650311AA" w14:textId="1E956EDF" w:rsidR="0049053C" w:rsidRPr="00BA4F0F" w:rsidRDefault="0049053C" w:rsidP="002F75C7">
      <w:pPr>
        <w:pStyle w:val="1ff0"/>
      </w:pPr>
      <w:r w:rsidRPr="006E1ADA">
        <w:t xml:space="preserve">Таблица </w:t>
      </w:r>
      <w:r w:rsidR="002F75C7">
        <w:t>А3.3.</w:t>
      </w:r>
      <w:r w:rsidRPr="006E1ADA">
        <w:t>11. Алгоритм диагностики инфекционных осложнений у больных гемобластозами в период ауто-ТГСК.</w:t>
      </w:r>
    </w:p>
    <w:tbl>
      <w:tblPr>
        <w:tblStyle w:val="aff9"/>
        <w:tblW w:w="0" w:type="auto"/>
        <w:tblInd w:w="108" w:type="dxa"/>
        <w:tblLook w:val="04A0" w:firstRow="1" w:lastRow="0" w:firstColumn="1" w:lastColumn="0" w:noHBand="0" w:noVBand="1"/>
      </w:tblPr>
      <w:tblGrid>
        <w:gridCol w:w="4254"/>
        <w:gridCol w:w="4417"/>
      </w:tblGrid>
      <w:tr w:rsidR="0049053C" w:rsidRPr="00BA4F0F" w14:paraId="768C5E02" w14:textId="77777777" w:rsidTr="003D0E86">
        <w:tc>
          <w:tcPr>
            <w:tcW w:w="4677" w:type="dxa"/>
          </w:tcPr>
          <w:p w14:paraId="41C993C7" w14:textId="77777777" w:rsidR="0049053C" w:rsidRPr="00BA4F0F" w:rsidRDefault="0049053C" w:rsidP="002F75C7">
            <w:pPr>
              <w:tabs>
                <w:tab w:val="left" w:pos="176"/>
              </w:tabs>
              <w:spacing w:line="360" w:lineRule="auto"/>
              <w:ind w:left="34"/>
            </w:pPr>
            <w:r w:rsidRPr="00BA4F0F">
              <w:t>Показания</w:t>
            </w:r>
          </w:p>
        </w:tc>
        <w:tc>
          <w:tcPr>
            <w:tcW w:w="4786" w:type="dxa"/>
          </w:tcPr>
          <w:p w14:paraId="6D371E25" w14:textId="77777777" w:rsidR="0049053C" w:rsidRPr="00BA4F0F" w:rsidRDefault="0049053C" w:rsidP="002F75C7">
            <w:pPr>
              <w:tabs>
                <w:tab w:val="left" w:pos="34"/>
              </w:tabs>
              <w:spacing w:line="360" w:lineRule="auto"/>
              <w:ind w:left="35"/>
            </w:pPr>
            <w:r w:rsidRPr="00BA4F0F">
              <w:t>Исследование</w:t>
            </w:r>
          </w:p>
        </w:tc>
      </w:tr>
      <w:tr w:rsidR="0049053C" w:rsidRPr="00BA4F0F" w14:paraId="54E29076" w14:textId="77777777" w:rsidTr="003D0E86">
        <w:tc>
          <w:tcPr>
            <w:tcW w:w="4677" w:type="dxa"/>
          </w:tcPr>
          <w:p w14:paraId="01FF7A93" w14:textId="77777777" w:rsidR="0049053C" w:rsidRPr="00BA4F0F" w:rsidRDefault="0049053C" w:rsidP="002F75C7">
            <w:pPr>
              <w:tabs>
                <w:tab w:val="left" w:pos="176"/>
                <w:tab w:val="left" w:pos="284"/>
              </w:tabs>
              <w:spacing w:line="360" w:lineRule="auto"/>
              <w:ind w:left="34"/>
            </w:pPr>
            <w:r w:rsidRPr="00BA4F0F">
              <w:t>Температура ≥38</w:t>
            </w:r>
            <w:r w:rsidRPr="00BA4F0F">
              <w:rPr>
                <w:vertAlign w:val="superscript"/>
              </w:rPr>
              <w:t>о</w:t>
            </w:r>
            <w:r w:rsidRPr="00BA4F0F">
              <w:t>С, впервые возникшая</w:t>
            </w:r>
          </w:p>
        </w:tc>
        <w:tc>
          <w:tcPr>
            <w:tcW w:w="4786" w:type="dxa"/>
          </w:tcPr>
          <w:p w14:paraId="410E1904" w14:textId="77777777" w:rsidR="0049053C" w:rsidRPr="00BA4F0F" w:rsidRDefault="0049053C" w:rsidP="002F75C7">
            <w:pPr>
              <w:tabs>
                <w:tab w:val="left" w:pos="34"/>
              </w:tabs>
              <w:spacing w:line="360" w:lineRule="auto"/>
              <w:ind w:left="35"/>
            </w:pPr>
            <w:r w:rsidRPr="00BA4F0F">
              <w:t>Взятие крови в 2 флакона для гемокультуры (вена-катетер или вена-вена).</w:t>
            </w:r>
          </w:p>
        </w:tc>
      </w:tr>
      <w:tr w:rsidR="0049053C" w:rsidRPr="00BA4F0F" w14:paraId="5221348E" w14:textId="77777777" w:rsidTr="003D0E86">
        <w:tc>
          <w:tcPr>
            <w:tcW w:w="4677" w:type="dxa"/>
          </w:tcPr>
          <w:p w14:paraId="12CCDFD4" w14:textId="77777777" w:rsidR="0049053C" w:rsidRPr="00BA4F0F" w:rsidRDefault="0049053C" w:rsidP="002F75C7">
            <w:pPr>
              <w:tabs>
                <w:tab w:val="left" w:pos="176"/>
                <w:tab w:val="left" w:pos="284"/>
              </w:tabs>
              <w:spacing w:line="360" w:lineRule="auto"/>
              <w:ind w:left="34"/>
            </w:pPr>
            <w:r w:rsidRPr="00BA4F0F">
              <w:t>Температура ≥38</w:t>
            </w:r>
            <w:r w:rsidRPr="00BA4F0F">
              <w:rPr>
                <w:vertAlign w:val="superscript"/>
              </w:rPr>
              <w:t>о</w:t>
            </w:r>
            <w:r w:rsidRPr="00BA4F0F">
              <w:t>С в течение ≥5 дней и нейтропения</w:t>
            </w:r>
          </w:p>
        </w:tc>
        <w:tc>
          <w:tcPr>
            <w:tcW w:w="4786" w:type="dxa"/>
          </w:tcPr>
          <w:p w14:paraId="58B37D23" w14:textId="77777777" w:rsidR="0049053C" w:rsidRPr="00BA4F0F" w:rsidRDefault="0049053C" w:rsidP="002F75C7">
            <w:pPr>
              <w:tabs>
                <w:tab w:val="left" w:pos="34"/>
              </w:tabs>
              <w:spacing w:line="360" w:lineRule="auto"/>
              <w:ind w:left="35"/>
            </w:pPr>
            <w:r w:rsidRPr="00BA4F0F">
              <w:t xml:space="preserve">Повторное взятие крови для гемокультуры 1 раз в неделю. </w:t>
            </w:r>
          </w:p>
          <w:p w14:paraId="78D49F99" w14:textId="77777777" w:rsidR="0049053C" w:rsidRPr="00BA4F0F" w:rsidRDefault="0049053C" w:rsidP="002F75C7">
            <w:pPr>
              <w:tabs>
                <w:tab w:val="left" w:pos="34"/>
              </w:tabs>
              <w:spacing w:line="360" w:lineRule="auto"/>
              <w:ind w:left="35"/>
            </w:pPr>
            <w:r w:rsidRPr="00BA4F0F">
              <w:lastRenderedPageBreak/>
              <w:t xml:space="preserve">Микробиологическое исследование мочи. </w:t>
            </w:r>
          </w:p>
          <w:p w14:paraId="0FFBA267" w14:textId="77777777" w:rsidR="0049053C" w:rsidRPr="00BA4F0F" w:rsidRDefault="0049053C" w:rsidP="002F75C7">
            <w:pPr>
              <w:tabs>
                <w:tab w:val="left" w:pos="34"/>
              </w:tabs>
              <w:spacing w:line="360" w:lineRule="auto"/>
              <w:ind w:left="35"/>
            </w:pPr>
            <w:r w:rsidRPr="00BA4F0F">
              <w:t xml:space="preserve">КТ легких. </w:t>
            </w:r>
          </w:p>
          <w:p w14:paraId="4391F999" w14:textId="77777777" w:rsidR="0049053C" w:rsidRPr="00BA4F0F" w:rsidRDefault="0049053C" w:rsidP="002F75C7">
            <w:pPr>
              <w:tabs>
                <w:tab w:val="left" w:pos="34"/>
              </w:tabs>
              <w:spacing w:line="360" w:lineRule="auto"/>
              <w:ind w:left="35"/>
            </w:pPr>
            <w:r w:rsidRPr="00BA4F0F">
              <w:t>Мазок со слизистой оболочки кишечника.</w:t>
            </w:r>
          </w:p>
        </w:tc>
      </w:tr>
      <w:tr w:rsidR="0049053C" w:rsidRPr="00BA4F0F" w14:paraId="384DC120" w14:textId="77777777" w:rsidTr="003D0E86">
        <w:tc>
          <w:tcPr>
            <w:tcW w:w="4677" w:type="dxa"/>
          </w:tcPr>
          <w:p w14:paraId="5EE9FA7C" w14:textId="77777777" w:rsidR="0049053C" w:rsidRPr="00BA4F0F" w:rsidRDefault="0049053C" w:rsidP="002F75C7">
            <w:pPr>
              <w:tabs>
                <w:tab w:val="left" w:pos="176"/>
                <w:tab w:val="left" w:pos="284"/>
              </w:tabs>
              <w:spacing w:line="360" w:lineRule="auto"/>
              <w:ind w:left="34"/>
            </w:pPr>
            <w:r w:rsidRPr="00BA4F0F">
              <w:lastRenderedPageBreak/>
              <w:t>Температура ≥38</w:t>
            </w:r>
            <w:r w:rsidRPr="00BA4F0F">
              <w:rPr>
                <w:vertAlign w:val="superscript"/>
              </w:rPr>
              <w:t>о</w:t>
            </w:r>
            <w:r w:rsidRPr="00BA4F0F">
              <w:t>С, длительная, сохраняется после выхода из нейтропении</w:t>
            </w:r>
          </w:p>
        </w:tc>
        <w:tc>
          <w:tcPr>
            <w:tcW w:w="4786" w:type="dxa"/>
          </w:tcPr>
          <w:p w14:paraId="513B4B26" w14:textId="77777777" w:rsidR="0049053C" w:rsidRPr="00BA4F0F" w:rsidRDefault="0049053C" w:rsidP="002F75C7">
            <w:pPr>
              <w:tabs>
                <w:tab w:val="left" w:pos="34"/>
              </w:tabs>
              <w:spacing w:line="360" w:lineRule="auto"/>
              <w:ind w:left="35"/>
            </w:pPr>
            <w:r w:rsidRPr="00BA4F0F">
              <w:t xml:space="preserve">УЗИ брюшной полости. </w:t>
            </w:r>
          </w:p>
          <w:p w14:paraId="6ABEE46B" w14:textId="77777777" w:rsidR="0049053C" w:rsidRPr="00BA4F0F" w:rsidRDefault="0049053C" w:rsidP="002F75C7">
            <w:pPr>
              <w:tabs>
                <w:tab w:val="left" w:pos="34"/>
              </w:tabs>
              <w:spacing w:line="360" w:lineRule="auto"/>
              <w:ind w:left="35"/>
            </w:pPr>
            <w:r w:rsidRPr="00BA4F0F">
              <w:t xml:space="preserve">Определение антигена </w:t>
            </w:r>
            <w:r w:rsidRPr="00BA4F0F">
              <w:rPr>
                <w:i/>
                <w:lang w:val="en-US"/>
              </w:rPr>
              <w:t>Candida</w:t>
            </w:r>
            <w:r w:rsidRPr="00BA4F0F">
              <w:t xml:space="preserve"> (маннан) и антител </w:t>
            </w:r>
            <w:r w:rsidRPr="00BA4F0F">
              <w:rPr>
                <w:i/>
                <w:lang w:val="en-US"/>
              </w:rPr>
              <w:t>Candida</w:t>
            </w:r>
            <w:r w:rsidRPr="00BA4F0F">
              <w:t xml:space="preserve"> (антиманнан) в крови.</w:t>
            </w:r>
          </w:p>
        </w:tc>
      </w:tr>
      <w:tr w:rsidR="0049053C" w:rsidRPr="00BA4F0F" w14:paraId="375EA393" w14:textId="77777777" w:rsidTr="003D0E86">
        <w:tc>
          <w:tcPr>
            <w:tcW w:w="4677" w:type="dxa"/>
          </w:tcPr>
          <w:p w14:paraId="19F6C3D1" w14:textId="77777777" w:rsidR="0049053C" w:rsidRPr="00BA4F0F" w:rsidRDefault="0049053C" w:rsidP="002F75C7">
            <w:pPr>
              <w:tabs>
                <w:tab w:val="left" w:pos="176"/>
                <w:tab w:val="left" w:pos="284"/>
              </w:tabs>
              <w:spacing w:line="360" w:lineRule="auto"/>
              <w:ind w:left="34"/>
            </w:pPr>
            <w:r w:rsidRPr="00BA4F0F">
              <w:t>Катетер-ассоциированная инфекция</w:t>
            </w:r>
          </w:p>
        </w:tc>
        <w:tc>
          <w:tcPr>
            <w:tcW w:w="4786" w:type="dxa"/>
          </w:tcPr>
          <w:p w14:paraId="2AC2DE93" w14:textId="77777777" w:rsidR="0049053C" w:rsidRPr="00BA4F0F" w:rsidRDefault="0049053C" w:rsidP="002F75C7">
            <w:pPr>
              <w:tabs>
                <w:tab w:val="left" w:pos="34"/>
              </w:tabs>
              <w:spacing w:line="360" w:lineRule="auto"/>
              <w:ind w:left="35"/>
            </w:pPr>
            <w:r w:rsidRPr="00BA4F0F">
              <w:t xml:space="preserve">Взятие одновременно гемокультуры из вены и ЦВК. </w:t>
            </w:r>
          </w:p>
          <w:p w14:paraId="10E18958" w14:textId="77777777" w:rsidR="0049053C" w:rsidRPr="00BA4F0F" w:rsidRDefault="0049053C" w:rsidP="002F75C7">
            <w:pPr>
              <w:tabs>
                <w:tab w:val="left" w:pos="34"/>
              </w:tabs>
              <w:spacing w:line="360" w:lineRule="auto"/>
              <w:ind w:left="35"/>
            </w:pPr>
            <w:r w:rsidRPr="00BA4F0F">
              <w:t>При подтверждении необходимо удалить ЦВК .</w:t>
            </w:r>
          </w:p>
        </w:tc>
      </w:tr>
      <w:tr w:rsidR="0049053C" w:rsidRPr="00BA4F0F" w14:paraId="363538A6" w14:textId="77777777" w:rsidTr="003D0E86">
        <w:tc>
          <w:tcPr>
            <w:tcW w:w="4677" w:type="dxa"/>
          </w:tcPr>
          <w:p w14:paraId="44B6177E" w14:textId="77777777" w:rsidR="0049053C" w:rsidRPr="00BA4F0F" w:rsidRDefault="0049053C" w:rsidP="002F75C7">
            <w:pPr>
              <w:tabs>
                <w:tab w:val="left" w:pos="176"/>
                <w:tab w:val="left" w:pos="284"/>
              </w:tabs>
              <w:spacing w:line="360" w:lineRule="auto"/>
              <w:ind w:left="34"/>
            </w:pPr>
            <w:r w:rsidRPr="00BA4F0F">
              <w:t>Нейтропения более 10 дней</w:t>
            </w:r>
          </w:p>
        </w:tc>
        <w:tc>
          <w:tcPr>
            <w:tcW w:w="4786" w:type="dxa"/>
          </w:tcPr>
          <w:p w14:paraId="18B0157E" w14:textId="77777777" w:rsidR="0049053C" w:rsidRPr="00BA4F0F" w:rsidRDefault="0049053C" w:rsidP="002F75C7">
            <w:pPr>
              <w:tabs>
                <w:tab w:val="left" w:pos="34"/>
              </w:tabs>
              <w:spacing w:line="360" w:lineRule="auto"/>
              <w:ind w:left="35"/>
            </w:pPr>
            <w:r w:rsidRPr="00BA4F0F">
              <w:t xml:space="preserve">Исследование крови на антиген </w:t>
            </w:r>
            <w:r w:rsidRPr="00BA4F0F">
              <w:rPr>
                <w:lang w:val="en-US"/>
              </w:rPr>
              <w:t>Aspergillus</w:t>
            </w:r>
            <w:r w:rsidRPr="00BA4F0F">
              <w:t xml:space="preserve"> 2 раза в неделю.</w:t>
            </w:r>
          </w:p>
        </w:tc>
      </w:tr>
      <w:tr w:rsidR="0049053C" w:rsidRPr="00BA4F0F" w14:paraId="17E35157" w14:textId="77777777" w:rsidTr="003D0E86">
        <w:tc>
          <w:tcPr>
            <w:tcW w:w="4677" w:type="dxa"/>
          </w:tcPr>
          <w:p w14:paraId="32CB02C9" w14:textId="77777777" w:rsidR="0049053C" w:rsidRPr="00BA4F0F" w:rsidRDefault="0049053C" w:rsidP="002F75C7">
            <w:pPr>
              <w:tabs>
                <w:tab w:val="left" w:pos="176"/>
                <w:tab w:val="left" w:pos="284"/>
              </w:tabs>
              <w:spacing w:line="360" w:lineRule="auto"/>
              <w:ind w:left="34"/>
            </w:pPr>
            <w:r w:rsidRPr="00BA4F0F">
              <w:t>Стоматит</w:t>
            </w:r>
          </w:p>
        </w:tc>
        <w:tc>
          <w:tcPr>
            <w:tcW w:w="4786" w:type="dxa"/>
          </w:tcPr>
          <w:p w14:paraId="3136A1A0" w14:textId="77777777" w:rsidR="0049053C" w:rsidRPr="00BA4F0F" w:rsidRDefault="0049053C" w:rsidP="002F75C7">
            <w:pPr>
              <w:tabs>
                <w:tab w:val="left" w:pos="34"/>
              </w:tabs>
              <w:spacing w:line="360" w:lineRule="auto"/>
              <w:ind w:left="35"/>
            </w:pPr>
            <w:r w:rsidRPr="00BA4F0F">
              <w:t>Мазок со слизистой ротоглотки.</w:t>
            </w:r>
          </w:p>
        </w:tc>
      </w:tr>
      <w:tr w:rsidR="0049053C" w:rsidRPr="00BA4F0F" w14:paraId="7A00FE31" w14:textId="77777777" w:rsidTr="003D0E86">
        <w:tc>
          <w:tcPr>
            <w:tcW w:w="4677" w:type="dxa"/>
          </w:tcPr>
          <w:p w14:paraId="06B444C2" w14:textId="77777777" w:rsidR="0049053C" w:rsidRPr="00BA4F0F" w:rsidRDefault="0049053C" w:rsidP="002F75C7">
            <w:pPr>
              <w:tabs>
                <w:tab w:val="left" w:pos="176"/>
                <w:tab w:val="left" w:pos="284"/>
              </w:tabs>
              <w:spacing w:line="360" w:lineRule="auto"/>
              <w:ind w:left="34"/>
            </w:pPr>
            <w:r w:rsidRPr="00BA4F0F">
              <w:t>Эзофагит</w:t>
            </w:r>
          </w:p>
        </w:tc>
        <w:tc>
          <w:tcPr>
            <w:tcW w:w="4786" w:type="dxa"/>
          </w:tcPr>
          <w:p w14:paraId="4CBE8B43" w14:textId="77777777" w:rsidR="0049053C" w:rsidRPr="00BA4F0F" w:rsidRDefault="0049053C" w:rsidP="002F75C7">
            <w:pPr>
              <w:tabs>
                <w:tab w:val="left" w:pos="34"/>
              </w:tabs>
              <w:spacing w:line="360" w:lineRule="auto"/>
              <w:ind w:left="35"/>
            </w:pPr>
            <w:r w:rsidRPr="00BA4F0F">
              <w:t xml:space="preserve">Эзофагоскопия (тромбоцитов не менее 50 х 109/л). </w:t>
            </w:r>
          </w:p>
          <w:p w14:paraId="44F15970" w14:textId="77777777" w:rsidR="0049053C" w:rsidRPr="00BA4F0F" w:rsidRDefault="0049053C" w:rsidP="002F75C7">
            <w:pPr>
              <w:tabs>
                <w:tab w:val="left" w:pos="34"/>
              </w:tabs>
              <w:spacing w:line="360" w:lineRule="auto"/>
              <w:ind w:left="35"/>
            </w:pPr>
            <w:r w:rsidRPr="00BA4F0F">
              <w:t>Исследование – соскоб (браш-метод) со слизистой оболочки или биопсия.</w:t>
            </w:r>
          </w:p>
        </w:tc>
      </w:tr>
      <w:tr w:rsidR="0049053C" w:rsidRPr="00BA4F0F" w14:paraId="77634B27" w14:textId="77777777" w:rsidTr="003D0E86">
        <w:tc>
          <w:tcPr>
            <w:tcW w:w="4677" w:type="dxa"/>
          </w:tcPr>
          <w:p w14:paraId="13249C35" w14:textId="77777777" w:rsidR="0049053C" w:rsidRPr="00BA4F0F" w:rsidRDefault="0049053C" w:rsidP="002F75C7">
            <w:pPr>
              <w:tabs>
                <w:tab w:val="left" w:pos="176"/>
                <w:tab w:val="left" w:pos="284"/>
              </w:tabs>
              <w:spacing w:line="360" w:lineRule="auto"/>
              <w:ind w:left="34"/>
            </w:pPr>
            <w:r w:rsidRPr="00BA4F0F">
              <w:t>Некроз слизистой оболочки носового хода</w:t>
            </w:r>
          </w:p>
        </w:tc>
        <w:tc>
          <w:tcPr>
            <w:tcW w:w="4786" w:type="dxa"/>
          </w:tcPr>
          <w:p w14:paraId="7E896136" w14:textId="77777777" w:rsidR="0049053C" w:rsidRPr="00BA4F0F" w:rsidRDefault="0049053C" w:rsidP="002F75C7">
            <w:pPr>
              <w:tabs>
                <w:tab w:val="left" w:pos="34"/>
              </w:tabs>
              <w:spacing w:line="360" w:lineRule="auto"/>
              <w:ind w:left="35"/>
            </w:pPr>
            <w:r w:rsidRPr="00BA4F0F">
              <w:t>Мазок со слизистой оболочки носа</w:t>
            </w:r>
          </w:p>
        </w:tc>
      </w:tr>
      <w:tr w:rsidR="0049053C" w:rsidRPr="00BA4F0F" w14:paraId="39933D33" w14:textId="77777777" w:rsidTr="003D0E86">
        <w:tc>
          <w:tcPr>
            <w:tcW w:w="4677" w:type="dxa"/>
          </w:tcPr>
          <w:p w14:paraId="3746FECB" w14:textId="77777777" w:rsidR="0049053C" w:rsidRPr="00BA4F0F" w:rsidRDefault="0049053C" w:rsidP="002F75C7">
            <w:pPr>
              <w:tabs>
                <w:tab w:val="left" w:pos="176"/>
                <w:tab w:val="left" w:pos="284"/>
              </w:tabs>
              <w:spacing w:line="360" w:lineRule="auto"/>
              <w:ind w:left="34"/>
            </w:pPr>
            <w:r w:rsidRPr="00BA4F0F">
              <w:t>Гайморит</w:t>
            </w:r>
          </w:p>
        </w:tc>
        <w:tc>
          <w:tcPr>
            <w:tcW w:w="4786" w:type="dxa"/>
          </w:tcPr>
          <w:p w14:paraId="39A993AE" w14:textId="77777777" w:rsidR="0049053C" w:rsidRPr="00BA4F0F" w:rsidRDefault="0049053C" w:rsidP="002F75C7">
            <w:pPr>
              <w:tabs>
                <w:tab w:val="left" w:pos="34"/>
              </w:tabs>
              <w:spacing w:line="360" w:lineRule="auto"/>
              <w:ind w:left="35"/>
            </w:pPr>
            <w:r w:rsidRPr="00BA4F0F">
              <w:t>Исследование содержимого околоносовой пазухи, полученной при пункции.</w:t>
            </w:r>
          </w:p>
        </w:tc>
      </w:tr>
      <w:tr w:rsidR="0049053C" w:rsidRPr="00BA4F0F" w14:paraId="42EC90C4" w14:textId="77777777" w:rsidTr="003D0E86">
        <w:tc>
          <w:tcPr>
            <w:tcW w:w="4677" w:type="dxa"/>
          </w:tcPr>
          <w:p w14:paraId="609F8FD6" w14:textId="77777777" w:rsidR="0049053C" w:rsidRPr="00BA4F0F" w:rsidRDefault="0049053C" w:rsidP="002F75C7">
            <w:pPr>
              <w:tabs>
                <w:tab w:val="left" w:pos="176"/>
                <w:tab w:val="left" w:pos="284"/>
              </w:tabs>
              <w:spacing w:line="360" w:lineRule="auto"/>
              <w:ind w:left="34"/>
            </w:pPr>
            <w:r w:rsidRPr="00BA4F0F">
              <w:t>Симптомы инфекции мочевыводящих путей</w:t>
            </w:r>
          </w:p>
          <w:p w14:paraId="645DFB6D" w14:textId="77777777" w:rsidR="0049053C" w:rsidRPr="00BA4F0F" w:rsidRDefault="0049053C" w:rsidP="002F75C7">
            <w:pPr>
              <w:tabs>
                <w:tab w:val="left" w:pos="176"/>
                <w:tab w:val="left" w:pos="284"/>
              </w:tabs>
              <w:spacing w:line="360" w:lineRule="auto"/>
              <w:ind w:left="34"/>
            </w:pPr>
            <w:r w:rsidRPr="00BA4F0F">
              <w:t>Лейкоцитурия</w:t>
            </w:r>
          </w:p>
        </w:tc>
        <w:tc>
          <w:tcPr>
            <w:tcW w:w="4786" w:type="dxa"/>
          </w:tcPr>
          <w:p w14:paraId="04837A04" w14:textId="77777777" w:rsidR="0049053C" w:rsidRPr="00BA4F0F" w:rsidRDefault="0049053C" w:rsidP="002F75C7">
            <w:pPr>
              <w:tabs>
                <w:tab w:val="left" w:pos="34"/>
              </w:tabs>
              <w:spacing w:line="360" w:lineRule="auto"/>
              <w:ind w:left="35"/>
            </w:pPr>
            <w:r w:rsidRPr="00BA4F0F">
              <w:t>Микробиологическое исследование мочи.</w:t>
            </w:r>
          </w:p>
        </w:tc>
      </w:tr>
      <w:tr w:rsidR="0049053C" w:rsidRPr="00BA4F0F" w14:paraId="411BE051" w14:textId="77777777" w:rsidTr="003D0E86">
        <w:tc>
          <w:tcPr>
            <w:tcW w:w="4677" w:type="dxa"/>
          </w:tcPr>
          <w:p w14:paraId="087A9A94" w14:textId="77777777" w:rsidR="0049053C" w:rsidRPr="00BA4F0F" w:rsidRDefault="0049053C" w:rsidP="002F75C7">
            <w:pPr>
              <w:tabs>
                <w:tab w:val="left" w:pos="176"/>
                <w:tab w:val="left" w:pos="284"/>
              </w:tabs>
              <w:spacing w:line="360" w:lineRule="auto"/>
              <w:ind w:left="34"/>
            </w:pPr>
            <w:r w:rsidRPr="00BA4F0F">
              <w:t>Пневмония</w:t>
            </w:r>
          </w:p>
        </w:tc>
        <w:tc>
          <w:tcPr>
            <w:tcW w:w="4786" w:type="dxa"/>
          </w:tcPr>
          <w:p w14:paraId="6288DE67" w14:textId="77777777" w:rsidR="0049053C" w:rsidRPr="00BA4F0F" w:rsidRDefault="0049053C" w:rsidP="002F75C7">
            <w:pPr>
              <w:tabs>
                <w:tab w:val="left" w:pos="34"/>
              </w:tabs>
              <w:spacing w:line="360" w:lineRule="auto"/>
              <w:ind w:left="35"/>
            </w:pPr>
            <w:r w:rsidRPr="00BA4F0F">
              <w:t>КТ легких.</w:t>
            </w:r>
          </w:p>
          <w:p w14:paraId="37C90FED" w14:textId="77777777" w:rsidR="0049053C" w:rsidRPr="00BA4F0F" w:rsidRDefault="0049053C" w:rsidP="002F75C7">
            <w:pPr>
              <w:tabs>
                <w:tab w:val="left" w:pos="34"/>
              </w:tabs>
              <w:spacing w:line="360" w:lineRule="auto"/>
              <w:ind w:left="35"/>
            </w:pPr>
            <w:r w:rsidRPr="00BA4F0F">
              <w:t>БАЛ после КТ легких.</w:t>
            </w:r>
          </w:p>
          <w:p w14:paraId="3774D043" w14:textId="77777777" w:rsidR="0049053C" w:rsidRPr="00BA4F0F" w:rsidRDefault="0049053C" w:rsidP="002F75C7">
            <w:pPr>
              <w:tabs>
                <w:tab w:val="left" w:pos="34"/>
              </w:tabs>
              <w:spacing w:line="360" w:lineRule="auto"/>
              <w:ind w:left="35"/>
            </w:pPr>
            <w:r w:rsidRPr="00BA4F0F">
              <w:t>Полное исследование жидкости БАЛ.</w:t>
            </w:r>
          </w:p>
          <w:p w14:paraId="17667A07" w14:textId="77777777" w:rsidR="0049053C" w:rsidRPr="00BA4F0F" w:rsidRDefault="0049053C" w:rsidP="002F75C7">
            <w:pPr>
              <w:tabs>
                <w:tab w:val="left" w:pos="34"/>
              </w:tabs>
              <w:spacing w:line="360" w:lineRule="auto"/>
              <w:ind w:left="35"/>
            </w:pPr>
            <w:r w:rsidRPr="00BA4F0F">
              <w:t xml:space="preserve">Исследование крови на антиген </w:t>
            </w:r>
            <w:r w:rsidRPr="00BA4F0F">
              <w:rPr>
                <w:lang w:val="en-US"/>
              </w:rPr>
              <w:t>Aspergillus</w:t>
            </w:r>
            <w:r w:rsidRPr="00BA4F0F">
              <w:t>.</w:t>
            </w:r>
          </w:p>
          <w:p w14:paraId="5164104B" w14:textId="77777777" w:rsidR="0049053C" w:rsidRPr="00BA4F0F" w:rsidRDefault="0049053C" w:rsidP="002F75C7">
            <w:pPr>
              <w:tabs>
                <w:tab w:val="left" w:pos="34"/>
              </w:tabs>
              <w:spacing w:line="360" w:lineRule="auto"/>
              <w:ind w:left="35"/>
            </w:pPr>
            <w:r w:rsidRPr="00BA4F0F">
              <w:lastRenderedPageBreak/>
              <w:t xml:space="preserve">Исследование крови на антитела к </w:t>
            </w:r>
            <w:r w:rsidRPr="00BA4F0F">
              <w:rPr>
                <w:lang w:val="en-US"/>
              </w:rPr>
              <w:t>Mycoplasma</w:t>
            </w:r>
            <w:r w:rsidRPr="00BA4F0F">
              <w:t xml:space="preserve"> </w:t>
            </w:r>
            <w:r w:rsidRPr="00BA4F0F">
              <w:rPr>
                <w:lang w:val="en-US"/>
              </w:rPr>
              <w:t>pneumoniae</w:t>
            </w:r>
            <w:r w:rsidRPr="00BA4F0F">
              <w:t xml:space="preserve"> (</w:t>
            </w:r>
            <w:r w:rsidRPr="00BA4F0F">
              <w:rPr>
                <w:lang w:val="en-US"/>
              </w:rPr>
              <w:t>IgM</w:t>
            </w:r>
            <w:r w:rsidRPr="00BA4F0F">
              <w:t xml:space="preserve">, </w:t>
            </w:r>
            <w:r w:rsidRPr="00BA4F0F">
              <w:rPr>
                <w:lang w:val="en-US"/>
              </w:rPr>
              <w:t>IgG</w:t>
            </w:r>
            <w:r w:rsidRPr="00BA4F0F">
              <w:t xml:space="preserve">). </w:t>
            </w:r>
          </w:p>
          <w:p w14:paraId="06D1FE77" w14:textId="77777777" w:rsidR="0049053C" w:rsidRPr="00BA4F0F" w:rsidRDefault="0049053C" w:rsidP="002F75C7">
            <w:pPr>
              <w:tabs>
                <w:tab w:val="left" w:pos="34"/>
              </w:tabs>
              <w:spacing w:line="360" w:lineRule="auto"/>
              <w:ind w:left="35"/>
            </w:pPr>
            <w:r w:rsidRPr="00BA4F0F">
              <w:t xml:space="preserve">Исследование крови на антитела к </w:t>
            </w:r>
            <w:r w:rsidRPr="00BA4F0F">
              <w:rPr>
                <w:lang w:val="en-US"/>
              </w:rPr>
              <w:t>Chlamydia</w:t>
            </w:r>
            <w:r w:rsidRPr="00BA4F0F">
              <w:t xml:space="preserve"> </w:t>
            </w:r>
            <w:r w:rsidRPr="00BA4F0F">
              <w:rPr>
                <w:lang w:val="en-US"/>
              </w:rPr>
              <w:t>pneumoniae</w:t>
            </w:r>
            <w:r w:rsidRPr="00BA4F0F">
              <w:t xml:space="preserve"> (</w:t>
            </w:r>
            <w:r w:rsidRPr="00BA4F0F">
              <w:rPr>
                <w:lang w:val="en-US"/>
              </w:rPr>
              <w:t>IgM</w:t>
            </w:r>
            <w:r w:rsidRPr="00BA4F0F">
              <w:t xml:space="preserve">, </w:t>
            </w:r>
            <w:r w:rsidRPr="00BA4F0F">
              <w:rPr>
                <w:lang w:val="en-US"/>
              </w:rPr>
              <w:t>IgG</w:t>
            </w:r>
            <w:r w:rsidRPr="00BA4F0F">
              <w:t xml:space="preserve">). </w:t>
            </w:r>
          </w:p>
        </w:tc>
      </w:tr>
      <w:tr w:rsidR="0049053C" w:rsidRPr="00BA4F0F" w14:paraId="36F89742" w14:textId="77777777" w:rsidTr="003D0E86">
        <w:tc>
          <w:tcPr>
            <w:tcW w:w="4677" w:type="dxa"/>
          </w:tcPr>
          <w:p w14:paraId="65794908" w14:textId="77777777" w:rsidR="0049053C" w:rsidRPr="00BA4F0F" w:rsidRDefault="0049053C" w:rsidP="002F75C7">
            <w:pPr>
              <w:tabs>
                <w:tab w:val="left" w:pos="176"/>
                <w:tab w:val="left" w:pos="284"/>
              </w:tabs>
              <w:spacing w:line="360" w:lineRule="auto"/>
              <w:ind w:left="34"/>
            </w:pPr>
            <w:r w:rsidRPr="00BA4F0F">
              <w:lastRenderedPageBreak/>
              <w:t>Симптомы менингита. Мозговая симптоматика на фоне фебрильной нейтропении. Обнаружение очага (очагов) в головном мозге</w:t>
            </w:r>
          </w:p>
        </w:tc>
        <w:tc>
          <w:tcPr>
            <w:tcW w:w="4786" w:type="dxa"/>
          </w:tcPr>
          <w:p w14:paraId="78F3AE4A" w14:textId="77777777" w:rsidR="0049053C" w:rsidRPr="00BA4F0F" w:rsidRDefault="0049053C" w:rsidP="002F75C7">
            <w:pPr>
              <w:tabs>
                <w:tab w:val="left" w:pos="34"/>
              </w:tabs>
              <w:spacing w:line="360" w:lineRule="auto"/>
              <w:ind w:left="35"/>
            </w:pPr>
            <w:r w:rsidRPr="00BA4F0F">
              <w:t xml:space="preserve">Люмбальная пункция. </w:t>
            </w:r>
          </w:p>
          <w:p w14:paraId="37724CC9" w14:textId="77777777" w:rsidR="0049053C" w:rsidRPr="00BA4F0F" w:rsidRDefault="0049053C" w:rsidP="002F75C7">
            <w:pPr>
              <w:tabs>
                <w:tab w:val="left" w:pos="34"/>
              </w:tabs>
              <w:spacing w:line="360" w:lineRule="auto"/>
              <w:ind w:left="35"/>
            </w:pPr>
            <w:r w:rsidRPr="00BA4F0F">
              <w:t xml:space="preserve">Полное исследование СМЖ. </w:t>
            </w:r>
          </w:p>
        </w:tc>
      </w:tr>
      <w:tr w:rsidR="0049053C" w:rsidRPr="00BA4F0F" w14:paraId="08320A77" w14:textId="77777777" w:rsidTr="003D0E86">
        <w:tc>
          <w:tcPr>
            <w:tcW w:w="4677" w:type="dxa"/>
          </w:tcPr>
          <w:p w14:paraId="79CF8974" w14:textId="77777777" w:rsidR="0049053C" w:rsidRPr="00BA4F0F" w:rsidRDefault="0049053C" w:rsidP="002F75C7">
            <w:pPr>
              <w:tabs>
                <w:tab w:val="left" w:pos="176"/>
                <w:tab w:val="left" w:pos="284"/>
              </w:tabs>
              <w:spacing w:line="360" w:lineRule="auto"/>
              <w:ind w:left="34"/>
            </w:pPr>
            <w:r w:rsidRPr="00BA4F0F">
              <w:t>Диарея</w:t>
            </w:r>
          </w:p>
        </w:tc>
        <w:tc>
          <w:tcPr>
            <w:tcW w:w="4786" w:type="dxa"/>
          </w:tcPr>
          <w:p w14:paraId="29D9161C" w14:textId="77777777" w:rsidR="0049053C" w:rsidRPr="00BA4F0F" w:rsidRDefault="0049053C" w:rsidP="002F75C7">
            <w:pPr>
              <w:tabs>
                <w:tab w:val="left" w:pos="34"/>
              </w:tabs>
              <w:spacing w:line="360" w:lineRule="auto"/>
              <w:ind w:left="35"/>
            </w:pPr>
            <w:r w:rsidRPr="00BA4F0F">
              <w:t xml:space="preserve">Исследование кала на токсин </w:t>
            </w:r>
            <w:r w:rsidRPr="00BA4F0F">
              <w:rPr>
                <w:i/>
                <w:lang w:val="en-US"/>
              </w:rPr>
              <w:t>Clostridium</w:t>
            </w:r>
            <w:r w:rsidRPr="00BA4F0F">
              <w:rPr>
                <w:i/>
              </w:rPr>
              <w:t xml:space="preserve"> </w:t>
            </w:r>
            <w:r w:rsidRPr="00BA4F0F">
              <w:rPr>
                <w:i/>
                <w:lang w:val="en-US"/>
              </w:rPr>
              <w:t>difficil</w:t>
            </w:r>
            <w:r w:rsidRPr="00BA4F0F">
              <w:rPr>
                <w:i/>
              </w:rPr>
              <w:t xml:space="preserve">е. </w:t>
            </w:r>
          </w:p>
        </w:tc>
      </w:tr>
      <w:tr w:rsidR="0049053C" w:rsidRPr="00BA4F0F" w14:paraId="24DAD35E" w14:textId="77777777" w:rsidTr="003D0E86">
        <w:tc>
          <w:tcPr>
            <w:tcW w:w="4677" w:type="dxa"/>
          </w:tcPr>
          <w:p w14:paraId="02C825FD" w14:textId="77777777" w:rsidR="0049053C" w:rsidRPr="00BA4F0F" w:rsidRDefault="0049053C" w:rsidP="002F75C7">
            <w:pPr>
              <w:tabs>
                <w:tab w:val="left" w:pos="176"/>
                <w:tab w:val="left" w:pos="284"/>
              </w:tabs>
              <w:spacing w:line="360" w:lineRule="auto"/>
              <w:ind w:left="34"/>
            </w:pPr>
            <w:r w:rsidRPr="00BA4F0F">
              <w:t>Парапроктит</w:t>
            </w:r>
          </w:p>
          <w:p w14:paraId="53661B93" w14:textId="77777777" w:rsidR="0049053C" w:rsidRPr="00BA4F0F" w:rsidRDefault="0049053C" w:rsidP="002F75C7">
            <w:pPr>
              <w:tabs>
                <w:tab w:val="left" w:pos="176"/>
                <w:tab w:val="left" w:pos="284"/>
              </w:tabs>
              <w:spacing w:line="360" w:lineRule="auto"/>
              <w:ind w:left="34"/>
            </w:pPr>
            <w:r w:rsidRPr="00BA4F0F">
              <w:t>Трещина в области прямой кишки</w:t>
            </w:r>
          </w:p>
        </w:tc>
        <w:tc>
          <w:tcPr>
            <w:tcW w:w="4786" w:type="dxa"/>
          </w:tcPr>
          <w:p w14:paraId="0F3CA6E2" w14:textId="77777777" w:rsidR="0049053C" w:rsidRPr="00BA4F0F" w:rsidRDefault="0049053C" w:rsidP="002F75C7">
            <w:pPr>
              <w:tabs>
                <w:tab w:val="left" w:pos="34"/>
              </w:tabs>
              <w:spacing w:line="360" w:lineRule="auto"/>
              <w:ind w:left="35"/>
            </w:pPr>
            <w:r w:rsidRPr="00BA4F0F">
              <w:t>Мазок со слизистой оболочки прямой кишки.</w:t>
            </w:r>
          </w:p>
        </w:tc>
      </w:tr>
      <w:tr w:rsidR="0049053C" w:rsidRPr="00BA4F0F" w14:paraId="2B16011F" w14:textId="77777777" w:rsidTr="003D0E86">
        <w:tc>
          <w:tcPr>
            <w:tcW w:w="4677" w:type="dxa"/>
          </w:tcPr>
          <w:p w14:paraId="79EB7784" w14:textId="77777777" w:rsidR="0049053C" w:rsidRPr="00BA4F0F" w:rsidRDefault="0049053C" w:rsidP="002F75C7">
            <w:pPr>
              <w:tabs>
                <w:tab w:val="left" w:pos="176"/>
                <w:tab w:val="left" w:pos="284"/>
              </w:tabs>
              <w:spacing w:line="360" w:lineRule="auto"/>
              <w:ind w:left="34"/>
            </w:pPr>
            <w:r w:rsidRPr="00BA4F0F">
              <w:t>Инфильтраты на коже</w:t>
            </w:r>
          </w:p>
        </w:tc>
        <w:tc>
          <w:tcPr>
            <w:tcW w:w="4786" w:type="dxa"/>
          </w:tcPr>
          <w:p w14:paraId="5954EFE6" w14:textId="77777777" w:rsidR="0049053C" w:rsidRPr="00BA4F0F" w:rsidRDefault="0049053C" w:rsidP="002F75C7">
            <w:pPr>
              <w:tabs>
                <w:tab w:val="left" w:pos="34"/>
              </w:tabs>
              <w:spacing w:line="360" w:lineRule="auto"/>
              <w:ind w:left="35"/>
            </w:pPr>
            <w:r w:rsidRPr="00BA4F0F">
              <w:t xml:space="preserve">Биопсия. </w:t>
            </w:r>
          </w:p>
          <w:p w14:paraId="2A842897" w14:textId="77777777" w:rsidR="0049053C" w:rsidRPr="00BA4F0F" w:rsidRDefault="0049053C" w:rsidP="002F75C7">
            <w:pPr>
              <w:tabs>
                <w:tab w:val="left" w:pos="34"/>
              </w:tabs>
              <w:spacing w:line="360" w:lineRule="auto"/>
              <w:ind w:left="35"/>
            </w:pPr>
            <w:r w:rsidRPr="00BA4F0F">
              <w:t xml:space="preserve">Микробиологическое и гистологическое исследование биоптата. </w:t>
            </w:r>
          </w:p>
        </w:tc>
      </w:tr>
    </w:tbl>
    <w:p w14:paraId="0635DB0E" w14:textId="77777777" w:rsidR="0049053C" w:rsidRPr="00BA4F0F" w:rsidRDefault="0049053C" w:rsidP="0049053C">
      <w:pPr>
        <w:tabs>
          <w:tab w:val="left" w:pos="0"/>
          <w:tab w:val="left" w:pos="567"/>
        </w:tabs>
        <w:rPr>
          <w:b/>
        </w:rPr>
      </w:pPr>
    </w:p>
    <w:p w14:paraId="5B2164ED" w14:textId="77777777" w:rsidR="0049053C" w:rsidRPr="00C2728C" w:rsidRDefault="0049053C" w:rsidP="002F75C7">
      <w:pPr>
        <w:pStyle w:val="1ff0"/>
        <w:rPr>
          <w:i/>
          <w:iCs/>
        </w:rPr>
      </w:pPr>
      <w:r w:rsidRPr="00C2728C">
        <w:rPr>
          <w:i/>
          <w:iCs/>
        </w:rPr>
        <w:t>Ежедневный осмотр пациента</w:t>
      </w:r>
    </w:p>
    <w:p w14:paraId="2B29C4D2" w14:textId="6BD631C9" w:rsidR="0049053C" w:rsidRPr="00BA4F0F" w:rsidRDefault="0049053C" w:rsidP="002F75C7">
      <w:pPr>
        <w:pStyle w:val="1ff0"/>
      </w:pPr>
      <w:r w:rsidRPr="00BA4F0F">
        <w:t>При нейтропении ежедневно проводят тщательный осмотр пациента, который наряду с обычными терапевтическими стандартами обследования больных включает следующие подходы</w:t>
      </w:r>
      <w:r w:rsidR="00C2728C">
        <w:t>:</w:t>
      </w:r>
    </w:p>
    <w:p w14:paraId="7C707544" w14:textId="77777777" w:rsidR="0049053C" w:rsidRPr="00BA4F0F" w:rsidRDefault="0049053C" w:rsidP="00FE0193">
      <w:pPr>
        <w:pStyle w:val="1ff0"/>
        <w:numPr>
          <w:ilvl w:val="0"/>
          <w:numId w:val="100"/>
        </w:numPr>
      </w:pPr>
      <w:r w:rsidRPr="00BA4F0F">
        <w:t>Активный опрос больного относительно возможных симптомов инфекции, включая наличие болей по ходу пищевода, в промежности.</w:t>
      </w:r>
    </w:p>
    <w:p w14:paraId="014FAEC3" w14:textId="77777777" w:rsidR="0049053C" w:rsidRPr="00BA4F0F" w:rsidRDefault="0049053C" w:rsidP="00FE0193">
      <w:pPr>
        <w:pStyle w:val="1ff0"/>
        <w:numPr>
          <w:ilvl w:val="0"/>
          <w:numId w:val="100"/>
        </w:numPr>
      </w:pPr>
      <w:r w:rsidRPr="00BA4F0F">
        <w:t>Ежедневный осмотр слизистой оболочки полости рта при нейтропении, особенно периодонта. Обращают внимание на рыхлость, отек слизистой оболочки (мукозит), наличие налетов, язв.</w:t>
      </w:r>
    </w:p>
    <w:p w14:paraId="68F02875" w14:textId="77777777" w:rsidR="0049053C" w:rsidRPr="00BA4F0F" w:rsidRDefault="0049053C" w:rsidP="00FE0193">
      <w:pPr>
        <w:pStyle w:val="1ff0"/>
        <w:numPr>
          <w:ilvl w:val="0"/>
          <w:numId w:val="100"/>
        </w:numPr>
      </w:pPr>
      <w:r w:rsidRPr="00BA4F0F">
        <w:t>Осмотр кожи в отношении возможного появления септикопиемических очагов при лихорадке, даже в отсутствие жалоб больного. При лечении глюкокортикоидами септикопиемические очаги могут быть и при нормальной температуре.</w:t>
      </w:r>
    </w:p>
    <w:p w14:paraId="604D047E" w14:textId="77777777" w:rsidR="0049053C" w:rsidRPr="00BA4F0F" w:rsidRDefault="0049053C" w:rsidP="00FE0193">
      <w:pPr>
        <w:pStyle w:val="1ff0"/>
        <w:numPr>
          <w:ilvl w:val="0"/>
          <w:numId w:val="100"/>
        </w:numPr>
      </w:pPr>
      <w:r w:rsidRPr="00BA4F0F">
        <w:t xml:space="preserve">Осмотр места установки венозного катетера. </w:t>
      </w:r>
    </w:p>
    <w:p w14:paraId="05B241F9" w14:textId="77777777" w:rsidR="0049053C" w:rsidRPr="00BA4F0F" w:rsidRDefault="0049053C" w:rsidP="00FE0193">
      <w:pPr>
        <w:pStyle w:val="1ff0"/>
        <w:numPr>
          <w:ilvl w:val="0"/>
          <w:numId w:val="100"/>
        </w:numPr>
      </w:pPr>
      <w:r w:rsidRPr="00BA4F0F">
        <w:t xml:space="preserve">Внимательная аускультация грудной клетки. Жесткое дыхание в отсутствие хрипов, минимальное количество влажных хрипов на ограниченном участке могут быть начальным проявлением пневмонии. </w:t>
      </w:r>
    </w:p>
    <w:p w14:paraId="2299AC06" w14:textId="77777777" w:rsidR="0049053C" w:rsidRPr="00BA4F0F" w:rsidRDefault="0049053C" w:rsidP="00FE0193">
      <w:pPr>
        <w:pStyle w:val="1ff0"/>
        <w:numPr>
          <w:ilvl w:val="0"/>
          <w:numId w:val="100"/>
        </w:numPr>
      </w:pPr>
      <w:r w:rsidRPr="00BA4F0F">
        <w:lastRenderedPageBreak/>
        <w:t>Тщательная пальпация живота. Первые симптомы псевдомембранозного колита — это появление боли или «урчание» при пальпации в правой подвздошной области (область слепой кишки).</w:t>
      </w:r>
    </w:p>
    <w:p w14:paraId="7C692F5A" w14:textId="77777777" w:rsidR="0049053C" w:rsidRPr="00BA4F0F" w:rsidRDefault="0049053C" w:rsidP="002F75C7">
      <w:pPr>
        <w:pStyle w:val="1ff0"/>
      </w:pPr>
    </w:p>
    <w:p w14:paraId="4A03765A" w14:textId="77777777" w:rsidR="0049053C" w:rsidRPr="00C2728C" w:rsidRDefault="0049053C" w:rsidP="002F75C7">
      <w:pPr>
        <w:pStyle w:val="1ff0"/>
        <w:rPr>
          <w:i/>
          <w:iCs/>
        </w:rPr>
      </w:pPr>
      <w:r w:rsidRPr="00C2728C">
        <w:rPr>
          <w:i/>
          <w:iCs/>
        </w:rPr>
        <w:t>Микробиологическое исследование крови</w:t>
      </w:r>
    </w:p>
    <w:p w14:paraId="01E03D4E" w14:textId="7233651A" w:rsidR="0049053C" w:rsidRPr="00BA4F0F" w:rsidRDefault="0049053C" w:rsidP="002F75C7">
      <w:pPr>
        <w:pStyle w:val="1ff0"/>
      </w:pPr>
      <w:r w:rsidRPr="00BA4F0F">
        <w:t>Показания</w:t>
      </w:r>
      <w:r w:rsidR="00C2728C">
        <w:t>:</w:t>
      </w:r>
      <w:r w:rsidRPr="00BA4F0F">
        <w:t xml:space="preserve"> температура ≥ 38°С или наличие септикопиемических очагов на коже. </w:t>
      </w:r>
    </w:p>
    <w:p w14:paraId="129C8E50" w14:textId="77777777" w:rsidR="0049053C" w:rsidRPr="00BA4F0F" w:rsidRDefault="0049053C" w:rsidP="002F75C7">
      <w:pPr>
        <w:pStyle w:val="1ff0"/>
      </w:pPr>
      <w:r w:rsidRPr="00BA4F0F">
        <w:t xml:space="preserve">Кровь из вены берут до введения антибиотиков в два флакона (аэробы/анаэробы или аэробы/аэробы) одновременно из вены и из ЦВК или из разных вен; при перитоните или абдоминальной операции в два разных флакона (для аэробов и для анаэробов); при бактериальном эндокардите — 3 раза с интервалом 1—2 часа; при подозрении на катетер-ассоциированную инфекцию — одновременно из вены и из ЦВК во флаконы для автоматического бактериологического анализатора гемокультур (Bactek или другие автоматические анализаторы). На основании разницы во времени (2 часа и более) появления роста микроорганизмов можно предположить инфицирование венозного катетера. При катетер-ассоциированной инфекции положительная гемокультура из ЦВК опережает на 2 часа и более положительную гемокультуру из вены. </w:t>
      </w:r>
    </w:p>
    <w:p w14:paraId="1B0C56A7" w14:textId="77777777" w:rsidR="0049053C" w:rsidRPr="00BA4F0F" w:rsidRDefault="0049053C" w:rsidP="002F75C7">
      <w:pPr>
        <w:pStyle w:val="1ff0"/>
      </w:pPr>
      <w:r w:rsidRPr="00BA4F0F">
        <w:t xml:space="preserve">Взятие крови для микробиологического исследования следует проводить в период повышения температуры (≥ 38°С) с максимальным соблюдением правил асептики, чтобы исключить вероятность контаминации культуральной среды микробами с кожи. Медсестра должна проводить взятие крови в перчатках и в маске; кожа больного в месте венепункции тщательно обрабатывается дезинфицирующим раствором (дезинфицирующий раствор должен высохнуть); после обработки кожи дезинфицирующим раствором не проводят повторную пальпацию вены для определения места венепункции. </w:t>
      </w:r>
    </w:p>
    <w:p w14:paraId="43650901" w14:textId="77777777" w:rsidR="0049053C" w:rsidRPr="00BA4F0F" w:rsidRDefault="0049053C" w:rsidP="002F75C7">
      <w:pPr>
        <w:pStyle w:val="1ff0"/>
      </w:pPr>
      <w:r w:rsidRPr="00BA4F0F">
        <w:t xml:space="preserve">Крайне важным является взятие достаточного количества крови для гемокультуры – за одно исследование у взрослых суммарно берут 20-30 мл крови в 2-3 флакона (по 10 мл каждый флакон). </w:t>
      </w:r>
    </w:p>
    <w:p w14:paraId="16173805" w14:textId="77777777" w:rsidR="0049053C" w:rsidRPr="00BA4F0F" w:rsidRDefault="0049053C" w:rsidP="002F75C7">
      <w:pPr>
        <w:pStyle w:val="1ff0"/>
      </w:pPr>
      <w:r w:rsidRPr="00BA4F0F">
        <w:t>Не направляют в лабораторию на исследование гемокультуру из ЦВК без гемокультуры из вены.</w:t>
      </w:r>
    </w:p>
    <w:p w14:paraId="13CCC454" w14:textId="77777777" w:rsidR="0049053C" w:rsidRPr="00BA4F0F" w:rsidRDefault="0049053C" w:rsidP="002F75C7">
      <w:pPr>
        <w:pStyle w:val="1ff0"/>
      </w:pPr>
      <w:r w:rsidRPr="00BA4F0F">
        <w:t>Нельзя флаконы с гемокультурой ставить в холодильник.</w:t>
      </w:r>
    </w:p>
    <w:p w14:paraId="319479F2" w14:textId="6C492ADF" w:rsidR="0049053C" w:rsidRPr="00BA4F0F" w:rsidRDefault="0049053C" w:rsidP="002F75C7">
      <w:pPr>
        <w:pStyle w:val="1ff0"/>
      </w:pPr>
      <w:r w:rsidRPr="00BA4F0F">
        <w:t xml:space="preserve">Выделение коагулазанегативных стафилококков (основную долю которых составляет Staphylococcus epidermidis) должно быть подтверждено двумя гемокультурами, поскольку высока вероятность контаминации этими </w:t>
      </w:r>
      <w:r w:rsidRPr="00BA4F0F">
        <w:lastRenderedPageBreak/>
        <w:t xml:space="preserve">микроорганизмами исследуемых образцов крови (облигатная микрофлора). Это относится и к Corynebacterium spp. Повторное исследование проводится максимально близко по времени к первому исследованию. </w:t>
      </w:r>
    </w:p>
    <w:p w14:paraId="281711EE" w14:textId="77777777" w:rsidR="0049053C" w:rsidRPr="00BA4F0F" w:rsidRDefault="0049053C" w:rsidP="002F75C7">
      <w:pPr>
        <w:pStyle w:val="1ff0"/>
      </w:pPr>
    </w:p>
    <w:p w14:paraId="1817A936" w14:textId="77777777" w:rsidR="0049053C" w:rsidRPr="00C2728C" w:rsidRDefault="0049053C" w:rsidP="002F75C7">
      <w:pPr>
        <w:pStyle w:val="1ff0"/>
        <w:rPr>
          <w:i/>
          <w:iCs/>
        </w:rPr>
      </w:pPr>
      <w:r w:rsidRPr="00C2728C">
        <w:rPr>
          <w:i/>
          <w:iCs/>
        </w:rPr>
        <w:t>Микробиологическое исследование крови, взятой одновременно из вены и из центрального венозного катетера, при подозрении на катетер-ассоциированную инфекцию</w:t>
      </w:r>
    </w:p>
    <w:p w14:paraId="5EC3369C" w14:textId="77777777" w:rsidR="0049053C" w:rsidRPr="00BA4F0F" w:rsidRDefault="0049053C" w:rsidP="002F75C7">
      <w:pPr>
        <w:pStyle w:val="1ff0"/>
      </w:pPr>
      <w:r w:rsidRPr="00BA4F0F">
        <w:t>Показания:</w:t>
      </w:r>
    </w:p>
    <w:p w14:paraId="0212EF25" w14:textId="77777777" w:rsidR="0049053C" w:rsidRPr="00BA4F0F" w:rsidRDefault="0049053C" w:rsidP="00FE0193">
      <w:pPr>
        <w:pStyle w:val="1ff0"/>
        <w:numPr>
          <w:ilvl w:val="0"/>
          <w:numId w:val="101"/>
        </w:numPr>
      </w:pPr>
      <w:r w:rsidRPr="00BA4F0F">
        <w:t xml:space="preserve">Гиперемия (инфильтрат) в месте установки катетера. </w:t>
      </w:r>
    </w:p>
    <w:p w14:paraId="2B6D0435" w14:textId="77777777" w:rsidR="0049053C" w:rsidRPr="00BA4F0F" w:rsidRDefault="0049053C" w:rsidP="00FE0193">
      <w:pPr>
        <w:pStyle w:val="1ff0"/>
        <w:numPr>
          <w:ilvl w:val="0"/>
          <w:numId w:val="101"/>
        </w:numPr>
      </w:pPr>
      <w:r w:rsidRPr="00BA4F0F">
        <w:t xml:space="preserve">Повышение температуры сопряжено с инфузиями в катетер. </w:t>
      </w:r>
    </w:p>
    <w:p w14:paraId="10472DB7" w14:textId="77777777" w:rsidR="0049053C" w:rsidRPr="00BA4F0F" w:rsidRDefault="0049053C" w:rsidP="00FE0193">
      <w:pPr>
        <w:pStyle w:val="1ff0"/>
        <w:numPr>
          <w:ilvl w:val="0"/>
          <w:numId w:val="101"/>
        </w:numPr>
      </w:pPr>
      <w:r w:rsidRPr="00BA4F0F">
        <w:t xml:space="preserve">Плохая проходимость катетера (проблемы при промывании или заборе крови из катетера). </w:t>
      </w:r>
    </w:p>
    <w:p w14:paraId="15B18266" w14:textId="77777777" w:rsidR="0049053C" w:rsidRPr="00BA4F0F" w:rsidRDefault="0049053C" w:rsidP="00FE0193">
      <w:pPr>
        <w:pStyle w:val="1ff0"/>
        <w:numPr>
          <w:ilvl w:val="0"/>
          <w:numId w:val="101"/>
        </w:numPr>
      </w:pPr>
      <w:r w:rsidRPr="00BA4F0F">
        <w:t>Возникновение температуры &gt; 38°С при восстановлении числа нейтрофилов (число гранулоцитов &gt; 0,5 × 10</w:t>
      </w:r>
      <w:r w:rsidRPr="00BA4F0F">
        <w:rPr>
          <w:vertAlign w:val="superscript"/>
        </w:rPr>
        <w:t>9</w:t>
      </w:r>
      <w:r w:rsidRPr="00BA4F0F">
        <w:t xml:space="preserve"> /л). </w:t>
      </w:r>
    </w:p>
    <w:p w14:paraId="55E45061" w14:textId="77777777" w:rsidR="0049053C" w:rsidRPr="00BA4F0F" w:rsidRDefault="0049053C" w:rsidP="00FE0193">
      <w:pPr>
        <w:pStyle w:val="1ff0"/>
        <w:numPr>
          <w:ilvl w:val="0"/>
          <w:numId w:val="101"/>
        </w:numPr>
      </w:pPr>
      <w:r w:rsidRPr="00BA4F0F">
        <w:t>Возникновение температуры &gt; 38°С вне нейтропении (число гранулоцитов &gt; 0,5 × 10</w:t>
      </w:r>
      <w:r w:rsidRPr="00BA4F0F">
        <w:rPr>
          <w:vertAlign w:val="superscript"/>
        </w:rPr>
        <w:t>9</w:t>
      </w:r>
      <w:r w:rsidRPr="00BA4F0F">
        <w:t xml:space="preserve"> /л) и наличие центрального венозного катетера, давность установки которого ≥ 7 дней. </w:t>
      </w:r>
    </w:p>
    <w:p w14:paraId="32EC8476" w14:textId="0F57C26C" w:rsidR="0049053C" w:rsidRPr="00BA4F0F" w:rsidRDefault="0049053C" w:rsidP="002F75C7">
      <w:pPr>
        <w:pStyle w:val="1ff0"/>
      </w:pPr>
      <w:r w:rsidRPr="00BA4F0F">
        <w:t xml:space="preserve">Чаще всего катетер-ассоциированная инфекция развивается вне периода нейтропении или в период восстановления числа нейтрофилов. </w:t>
      </w:r>
    </w:p>
    <w:p w14:paraId="36A279EF" w14:textId="77777777" w:rsidR="0049053C" w:rsidRPr="00BA4F0F" w:rsidRDefault="0049053C" w:rsidP="002F75C7">
      <w:pPr>
        <w:pStyle w:val="1ff0"/>
      </w:pPr>
      <w:r w:rsidRPr="00BA4F0F">
        <w:t xml:space="preserve">При сохраняющейся температуре (≥ 38°С) посевы крови проводят каждые 4—5 дней. </w:t>
      </w:r>
    </w:p>
    <w:p w14:paraId="122CA237" w14:textId="77777777" w:rsidR="0049053C" w:rsidRPr="00BA4F0F" w:rsidRDefault="0049053C" w:rsidP="002F75C7">
      <w:pPr>
        <w:pStyle w:val="1ff0"/>
      </w:pPr>
    </w:p>
    <w:p w14:paraId="5557CA08" w14:textId="77777777" w:rsidR="0049053C" w:rsidRPr="00C2728C" w:rsidRDefault="0049053C" w:rsidP="002F75C7">
      <w:pPr>
        <w:pStyle w:val="1ff0"/>
        <w:rPr>
          <w:i/>
          <w:iCs/>
        </w:rPr>
      </w:pPr>
      <w:r w:rsidRPr="00C2728C">
        <w:rPr>
          <w:i/>
          <w:iCs/>
        </w:rPr>
        <w:t>Микробиологическое исследование центрального внутривенного катетера</w:t>
      </w:r>
    </w:p>
    <w:p w14:paraId="23EE7BA3" w14:textId="77777777" w:rsidR="0049053C" w:rsidRPr="00BA4F0F" w:rsidRDefault="0049053C" w:rsidP="002F75C7">
      <w:pPr>
        <w:pStyle w:val="1ff0"/>
      </w:pPr>
      <w:r w:rsidRPr="00BA4F0F">
        <w:t>Катетер удаляют и направляют на исследование в бактериологическую лабораторию.</w:t>
      </w:r>
    </w:p>
    <w:p w14:paraId="0F09D0D1" w14:textId="77777777" w:rsidR="0049053C" w:rsidRPr="00BA4F0F" w:rsidRDefault="0049053C" w:rsidP="002F75C7">
      <w:pPr>
        <w:pStyle w:val="1ff0"/>
      </w:pPr>
      <w:r w:rsidRPr="00BA4F0F">
        <w:t>Показания:</w:t>
      </w:r>
    </w:p>
    <w:p w14:paraId="069CA909" w14:textId="77777777" w:rsidR="0049053C" w:rsidRPr="00BA4F0F" w:rsidRDefault="0049053C" w:rsidP="00FE0193">
      <w:pPr>
        <w:pStyle w:val="1ff0"/>
        <w:numPr>
          <w:ilvl w:val="0"/>
          <w:numId w:val="102"/>
        </w:numPr>
      </w:pPr>
      <w:r w:rsidRPr="00BA4F0F">
        <w:t xml:space="preserve">Подозрение на катетер-ассоциированную инфекцию. </w:t>
      </w:r>
    </w:p>
    <w:p w14:paraId="430D8035" w14:textId="77777777" w:rsidR="0049053C" w:rsidRPr="00BA4F0F" w:rsidRDefault="0049053C" w:rsidP="00FE0193">
      <w:pPr>
        <w:pStyle w:val="1ff0"/>
        <w:numPr>
          <w:ilvl w:val="0"/>
          <w:numId w:val="102"/>
        </w:numPr>
      </w:pPr>
      <w:r w:rsidRPr="00BA4F0F">
        <w:t xml:space="preserve">Выделение дрожжевых или мицелиальных грибов из крови. </w:t>
      </w:r>
    </w:p>
    <w:p w14:paraId="77FC4518" w14:textId="77777777" w:rsidR="0049053C" w:rsidRPr="00BA4F0F" w:rsidRDefault="0049053C" w:rsidP="00FE0193">
      <w:pPr>
        <w:pStyle w:val="1ff0"/>
        <w:numPr>
          <w:ilvl w:val="0"/>
          <w:numId w:val="102"/>
        </w:numPr>
      </w:pPr>
      <w:r w:rsidRPr="00BA4F0F">
        <w:t xml:space="preserve">Перевод больного из другого стационара с ЦВК. </w:t>
      </w:r>
    </w:p>
    <w:p w14:paraId="23F3B3BD" w14:textId="77777777" w:rsidR="0049053C" w:rsidRPr="00BA4F0F" w:rsidRDefault="0049053C" w:rsidP="00FE0193">
      <w:pPr>
        <w:pStyle w:val="1ff0"/>
        <w:numPr>
          <w:ilvl w:val="0"/>
          <w:numId w:val="102"/>
        </w:numPr>
      </w:pPr>
      <w:r w:rsidRPr="00BA4F0F">
        <w:t xml:space="preserve">Восстановление числа гранулоцитов у больных сепсисом, обусловленным грамотрицательными бактериями. </w:t>
      </w:r>
    </w:p>
    <w:p w14:paraId="5743239D" w14:textId="4B8E9FB9" w:rsidR="0049053C" w:rsidRPr="00BA4F0F" w:rsidRDefault="0049053C" w:rsidP="002F75C7">
      <w:pPr>
        <w:pStyle w:val="1ff0"/>
      </w:pPr>
      <w:r w:rsidRPr="00BA4F0F">
        <w:t>Если больной переведен из другого стационара с ЦВК, то катетер удаляют в день поступления в другую клинику.</w:t>
      </w:r>
    </w:p>
    <w:p w14:paraId="45BA2297" w14:textId="77777777" w:rsidR="0049053C" w:rsidRPr="00BA4F0F" w:rsidRDefault="0049053C" w:rsidP="002F75C7">
      <w:pPr>
        <w:pStyle w:val="1ff0"/>
      </w:pPr>
      <w:r w:rsidRPr="00BA4F0F">
        <w:lastRenderedPageBreak/>
        <w:t xml:space="preserve">Для бактериологического исследования используется асептически удаленный дистальный отрезок катетера длиной 5—6 см. Удаленный отрезок катетера кладут в чашку Петри или другую стерильную емкость и сразу же доставляют в лабораторию для исследования. Хранение и последующее исследование удаленного катетера недопустимо. </w:t>
      </w:r>
    </w:p>
    <w:p w14:paraId="10CDCB8E" w14:textId="77777777" w:rsidR="0049053C" w:rsidRPr="00BA4F0F" w:rsidRDefault="0049053C" w:rsidP="002F75C7">
      <w:pPr>
        <w:pStyle w:val="1ff0"/>
      </w:pPr>
      <w:r w:rsidRPr="00BA4F0F">
        <w:t>Исследование проводят полуколичественным (метод Маки) или количественным методом. Диагностически значимым (подтверждает инфицирование катетера) при полуколичественном исследовании является выделение микроорганизмов в количестве ≥ 15 КОЕ, при количественном — ≥ 10</w:t>
      </w:r>
      <w:r w:rsidRPr="00BA4F0F">
        <w:rPr>
          <w:vertAlign w:val="superscript"/>
        </w:rPr>
        <w:t>3</w:t>
      </w:r>
      <w:r w:rsidRPr="00BA4F0F">
        <w:t xml:space="preserve"> КОЕ/мл. Для постановки диагноза катетер-ассоциированной инфекции, кроме выделения микроорганизмов в диагностически значимых количествах при исследовании удаленного катетера, необходимо выделение того же микроорганизма из крови. </w:t>
      </w:r>
    </w:p>
    <w:p w14:paraId="4206D21D" w14:textId="77777777" w:rsidR="0049053C" w:rsidRPr="00BA4F0F" w:rsidRDefault="0049053C" w:rsidP="002F75C7">
      <w:pPr>
        <w:pStyle w:val="1ff0"/>
      </w:pPr>
      <w:r w:rsidRPr="00BA4F0F">
        <w:t xml:space="preserve">При появлении признаков воспаления и отделяемого в месте установки венозного катетера необходимо провести микробиологическое исследование отделяемого, а если эти изменения сохраняются или приобретают хронический характер, выполнить исследование на наличие нетуберкулезных микобактерий. </w:t>
      </w:r>
    </w:p>
    <w:p w14:paraId="1AB77FF9" w14:textId="77777777" w:rsidR="0049053C" w:rsidRPr="00BA4F0F" w:rsidRDefault="0049053C" w:rsidP="002F75C7">
      <w:pPr>
        <w:pStyle w:val="1ff0"/>
      </w:pPr>
      <w:r w:rsidRPr="00BA4F0F">
        <w:t xml:space="preserve">Не проводят рутинное исследование всех удаленных катетеров. </w:t>
      </w:r>
    </w:p>
    <w:p w14:paraId="0CB53A58" w14:textId="77777777" w:rsidR="0049053C" w:rsidRPr="00BA4F0F" w:rsidRDefault="0049053C" w:rsidP="002F75C7">
      <w:pPr>
        <w:pStyle w:val="1ff0"/>
      </w:pPr>
    </w:p>
    <w:p w14:paraId="1F8BEF01" w14:textId="77777777" w:rsidR="0049053C" w:rsidRPr="00C2728C" w:rsidRDefault="0049053C" w:rsidP="002F75C7">
      <w:pPr>
        <w:pStyle w:val="1ff0"/>
        <w:rPr>
          <w:i/>
          <w:iCs/>
        </w:rPr>
      </w:pPr>
      <w:r w:rsidRPr="00C2728C">
        <w:rPr>
          <w:i/>
          <w:iCs/>
        </w:rPr>
        <w:t>Микробиологическое исследование мочи</w:t>
      </w:r>
    </w:p>
    <w:p w14:paraId="565CB335" w14:textId="77777777" w:rsidR="0049053C" w:rsidRPr="00BA4F0F" w:rsidRDefault="0049053C" w:rsidP="002F75C7">
      <w:pPr>
        <w:pStyle w:val="1ff0"/>
      </w:pPr>
      <w:r w:rsidRPr="00BA4F0F">
        <w:t>Показания:</w:t>
      </w:r>
    </w:p>
    <w:p w14:paraId="3D53DAC9" w14:textId="77777777" w:rsidR="0049053C" w:rsidRPr="00BA4F0F" w:rsidRDefault="0049053C" w:rsidP="00FE0193">
      <w:pPr>
        <w:pStyle w:val="1ff0"/>
        <w:numPr>
          <w:ilvl w:val="0"/>
          <w:numId w:val="103"/>
        </w:numPr>
      </w:pPr>
      <w:r w:rsidRPr="00BA4F0F">
        <w:t xml:space="preserve">Симптомы инфекции мочевыводящих путей. </w:t>
      </w:r>
    </w:p>
    <w:p w14:paraId="54FD2563" w14:textId="77777777" w:rsidR="0049053C" w:rsidRPr="00BA4F0F" w:rsidRDefault="0049053C" w:rsidP="00FE0193">
      <w:pPr>
        <w:pStyle w:val="1ff0"/>
        <w:numPr>
          <w:ilvl w:val="0"/>
          <w:numId w:val="103"/>
        </w:numPr>
      </w:pPr>
      <w:r w:rsidRPr="00BA4F0F">
        <w:t xml:space="preserve">Лейкоцитурия. </w:t>
      </w:r>
    </w:p>
    <w:p w14:paraId="0E90350A" w14:textId="77777777" w:rsidR="0049053C" w:rsidRPr="00BA4F0F" w:rsidRDefault="0049053C" w:rsidP="00FE0193">
      <w:pPr>
        <w:pStyle w:val="1ff0"/>
        <w:numPr>
          <w:ilvl w:val="0"/>
          <w:numId w:val="103"/>
        </w:numPr>
      </w:pPr>
      <w:r w:rsidRPr="00BA4F0F">
        <w:t xml:space="preserve">Длительная лихорадка неясной этиологии. </w:t>
      </w:r>
    </w:p>
    <w:p w14:paraId="4D4F6D97" w14:textId="77777777" w:rsidR="0049053C" w:rsidRPr="00BA4F0F" w:rsidRDefault="0049053C" w:rsidP="002F75C7">
      <w:pPr>
        <w:pStyle w:val="1ff0"/>
      </w:pPr>
      <w:r w:rsidRPr="00BA4F0F">
        <w:t xml:space="preserve">Для исследования направляют утреннюю среднюю порцию мочи; доставку мочи в лабораторию проводят немедленно, максимально допустимое время с момента забора до доставки в лабораторию — 2 часа. </w:t>
      </w:r>
    </w:p>
    <w:p w14:paraId="7B2C1317" w14:textId="2F77C92F" w:rsidR="0049053C" w:rsidRPr="00BA4F0F" w:rsidRDefault="0049053C" w:rsidP="002F75C7">
      <w:pPr>
        <w:pStyle w:val="1ff0"/>
      </w:pPr>
      <w:r w:rsidRPr="00BA4F0F">
        <w:t xml:space="preserve">Микробиологическое исследование мочи, взятой из катетера Фоли, мочесборных мешков, не проводят из-за контаминации пластика. Исследование мочи в этих случаях проводят в день постановки мочевого катетера. Микробиологическое исследование удаленного катетера Фоли также не проводят. </w:t>
      </w:r>
    </w:p>
    <w:p w14:paraId="64E5665E" w14:textId="77777777" w:rsidR="0049053C" w:rsidRPr="00BA4F0F" w:rsidRDefault="0049053C" w:rsidP="002F75C7">
      <w:pPr>
        <w:pStyle w:val="1ff0"/>
      </w:pPr>
      <w:r w:rsidRPr="00BA4F0F">
        <w:t>Бактериурия является диагностически значимой, если выделен один микроорганизм в количестве ≥ 10</w:t>
      </w:r>
      <w:r w:rsidRPr="00BA4F0F">
        <w:rPr>
          <w:vertAlign w:val="superscript"/>
        </w:rPr>
        <w:t>3</w:t>
      </w:r>
      <w:r w:rsidRPr="00BA4F0F">
        <w:t xml:space="preserve"> КОЕ/мл. </w:t>
      </w:r>
    </w:p>
    <w:p w14:paraId="4F951EA8" w14:textId="77777777" w:rsidR="0049053C" w:rsidRPr="00BA4F0F" w:rsidRDefault="0049053C" w:rsidP="002F75C7">
      <w:pPr>
        <w:pStyle w:val="1ff0"/>
      </w:pPr>
      <w:r w:rsidRPr="00BA4F0F">
        <w:t>Если выделены два микроорганизма в количестве ≥ 10</w:t>
      </w:r>
      <w:r w:rsidRPr="00BA4F0F">
        <w:rPr>
          <w:vertAlign w:val="superscript"/>
        </w:rPr>
        <w:t>3</w:t>
      </w:r>
      <w:r w:rsidRPr="00BA4F0F">
        <w:t xml:space="preserve"> КОЕ/мл, то микробиологическое исследование мочи повторяют на следующий день. Повторное </w:t>
      </w:r>
      <w:r w:rsidRPr="00BA4F0F">
        <w:lastRenderedPageBreak/>
        <w:t xml:space="preserve">выделение тех же микроорганизмов (за исключением бактерий, указанных в примечании) подтверждает инфекцию мочевыводящих путей. </w:t>
      </w:r>
    </w:p>
    <w:p w14:paraId="26C5EC33" w14:textId="77777777" w:rsidR="0049053C" w:rsidRPr="00BA4F0F" w:rsidRDefault="0049053C" w:rsidP="002F75C7">
      <w:pPr>
        <w:pStyle w:val="1ff0"/>
      </w:pPr>
      <w:r w:rsidRPr="00BA4F0F">
        <w:t xml:space="preserve">Любое количество бактерий в моче, полученной путем надлобковой пункции мочевого пузыря, является значимой бактериурией. </w:t>
      </w:r>
    </w:p>
    <w:p w14:paraId="120319DA" w14:textId="77777777" w:rsidR="0049053C" w:rsidRPr="00BA4F0F" w:rsidRDefault="0049053C" w:rsidP="002F75C7">
      <w:pPr>
        <w:pStyle w:val="1ff0"/>
      </w:pPr>
      <w:r w:rsidRPr="00BA4F0F">
        <w:t>Бактериурию считают бессимптомной, если в двух последовательных образцах, взятых с интервалом более 24 часов, обнаруживается один и тот же патогенный микроорганизм в количестве ≥ 10</w:t>
      </w:r>
      <w:r w:rsidRPr="00BA4F0F">
        <w:rPr>
          <w:vertAlign w:val="superscript"/>
        </w:rPr>
        <w:t>5</w:t>
      </w:r>
      <w:r w:rsidRPr="00BA4F0F">
        <w:t xml:space="preserve"> КОЕ/мл. </w:t>
      </w:r>
    </w:p>
    <w:p w14:paraId="1C0371F3" w14:textId="77777777" w:rsidR="0049053C" w:rsidRPr="00BA4F0F" w:rsidRDefault="0049053C" w:rsidP="002F75C7">
      <w:pPr>
        <w:pStyle w:val="1ff0"/>
      </w:pPr>
      <w:r w:rsidRPr="00BA4F0F">
        <w:t xml:space="preserve">Наиболее частые возбудители инфекции мочевыводящих путей — это энтеробактерии, в составе которых преобладают Escherichia coli, далее Staphylococcus saprophyticus (чаще у молодых женщин), Enterococcus spp., Pseudomonas aeruginosa. </w:t>
      </w:r>
    </w:p>
    <w:p w14:paraId="4B374221" w14:textId="77777777" w:rsidR="0049053C" w:rsidRPr="00BA4F0F" w:rsidRDefault="0049053C" w:rsidP="002F75C7">
      <w:pPr>
        <w:pStyle w:val="1ff0"/>
      </w:pPr>
      <w:r w:rsidRPr="00BA4F0F">
        <w:t>При выделении из мочи коагулазанегативных стафилококков в монокультуре (≥ 10</w:t>
      </w:r>
      <w:r w:rsidRPr="00BA4F0F">
        <w:rPr>
          <w:vertAlign w:val="superscript"/>
        </w:rPr>
        <w:t>4</w:t>
      </w:r>
      <w:r w:rsidRPr="00BA4F0F">
        <w:t xml:space="preserve"> КОЕ/мл) проводят дополнительное исследование для идентификации Staphylococcus saprophyticus. </w:t>
      </w:r>
    </w:p>
    <w:p w14:paraId="21F0D770" w14:textId="77777777" w:rsidR="0049053C" w:rsidRPr="00BA4F0F" w:rsidRDefault="0049053C" w:rsidP="002F75C7">
      <w:pPr>
        <w:pStyle w:val="1ff0"/>
      </w:pPr>
      <w:r w:rsidRPr="00BA4F0F">
        <w:t>Высокое содержание Staphylococcus epidermidis (≥ 10</w:t>
      </w:r>
      <w:r w:rsidRPr="00BA4F0F">
        <w:rPr>
          <w:vertAlign w:val="superscript"/>
        </w:rPr>
        <w:t>5</w:t>
      </w:r>
      <w:r w:rsidRPr="00BA4F0F">
        <w:t xml:space="preserve"> КОЕ/мл) является диагностически значимым. </w:t>
      </w:r>
    </w:p>
    <w:p w14:paraId="2F85A94C" w14:textId="77777777" w:rsidR="0049053C" w:rsidRPr="00BA4F0F" w:rsidRDefault="0049053C" w:rsidP="002F75C7">
      <w:pPr>
        <w:pStyle w:val="1ff0"/>
      </w:pPr>
      <w:r w:rsidRPr="00BA4F0F">
        <w:t xml:space="preserve">Неоднократное выделение из мочи Сandida spp. у больных с фебрильной нейтропенией, не имеющих мочевого катетера, свидетельствует о высокой вероятности наличия диссеминированного инвазивного кандидоза. </w:t>
      </w:r>
    </w:p>
    <w:p w14:paraId="35BC98A2" w14:textId="216DDED3" w:rsidR="0049053C" w:rsidRPr="00BA4F0F" w:rsidRDefault="0049053C" w:rsidP="002F75C7">
      <w:pPr>
        <w:pStyle w:val="1ff0"/>
      </w:pPr>
      <w:r w:rsidRPr="00BA4F0F">
        <w:t>Выделение из мочи таких микроорганизмов, как дифтероиды, стрептококки группы viridans, лактобактерии, коагулазанегативные стафилококки (исключение составляет Staphylococcus saprophyticus), свидетельствует о контаминации образцов мочи (кожа, влагалище).</w:t>
      </w:r>
    </w:p>
    <w:p w14:paraId="1F385865" w14:textId="77777777" w:rsidR="0049053C" w:rsidRPr="00BA4F0F" w:rsidRDefault="0049053C" w:rsidP="002F75C7">
      <w:pPr>
        <w:pStyle w:val="1ff0"/>
      </w:pPr>
    </w:p>
    <w:p w14:paraId="4FA3D07D" w14:textId="77777777" w:rsidR="0049053C" w:rsidRPr="00C2728C" w:rsidRDefault="0049053C" w:rsidP="002F75C7">
      <w:pPr>
        <w:pStyle w:val="1ff0"/>
        <w:rPr>
          <w:i/>
          <w:iCs/>
        </w:rPr>
      </w:pPr>
      <w:r w:rsidRPr="00C2728C">
        <w:rPr>
          <w:i/>
          <w:iCs/>
        </w:rPr>
        <w:t>Микробиологическое исследование спинномозговой жидкости</w:t>
      </w:r>
    </w:p>
    <w:p w14:paraId="5A823548" w14:textId="77777777" w:rsidR="0049053C" w:rsidRPr="00BA4F0F" w:rsidRDefault="0049053C" w:rsidP="002F75C7">
      <w:pPr>
        <w:pStyle w:val="1ff0"/>
      </w:pPr>
      <w:r w:rsidRPr="00BA4F0F">
        <w:t xml:space="preserve">Показания: </w:t>
      </w:r>
    </w:p>
    <w:p w14:paraId="5042FE3F" w14:textId="77777777" w:rsidR="0049053C" w:rsidRPr="00BA4F0F" w:rsidRDefault="0049053C" w:rsidP="00FE0193">
      <w:pPr>
        <w:pStyle w:val="1ff0"/>
        <w:numPr>
          <w:ilvl w:val="0"/>
          <w:numId w:val="104"/>
        </w:numPr>
      </w:pPr>
      <w:r w:rsidRPr="00BA4F0F">
        <w:t xml:space="preserve">Симптомы менингита. </w:t>
      </w:r>
    </w:p>
    <w:p w14:paraId="352090BA" w14:textId="77777777" w:rsidR="0049053C" w:rsidRPr="00BA4F0F" w:rsidRDefault="0049053C" w:rsidP="00FE0193">
      <w:pPr>
        <w:pStyle w:val="1ff0"/>
        <w:numPr>
          <w:ilvl w:val="0"/>
          <w:numId w:val="104"/>
        </w:numPr>
      </w:pPr>
      <w:r w:rsidRPr="00BA4F0F">
        <w:t xml:space="preserve">«Мозговая» симптоматика на фоне лихорадки и нейтропении. </w:t>
      </w:r>
    </w:p>
    <w:p w14:paraId="3D5D013E" w14:textId="77777777" w:rsidR="0049053C" w:rsidRPr="00BA4F0F" w:rsidRDefault="0049053C" w:rsidP="00FE0193">
      <w:pPr>
        <w:pStyle w:val="1ff0"/>
        <w:numPr>
          <w:ilvl w:val="0"/>
          <w:numId w:val="104"/>
        </w:numPr>
      </w:pPr>
      <w:r w:rsidRPr="00BA4F0F">
        <w:t xml:space="preserve">Обнаружение очага (очагов) в головном мозге при КТ или МРТ. </w:t>
      </w:r>
    </w:p>
    <w:p w14:paraId="340580EA" w14:textId="77777777" w:rsidR="0049053C" w:rsidRPr="00BA4F0F" w:rsidRDefault="0049053C" w:rsidP="002F75C7">
      <w:pPr>
        <w:pStyle w:val="1ff0"/>
      </w:pPr>
      <w:r w:rsidRPr="00BA4F0F">
        <w:t xml:space="preserve">Доставка материала в лабораторию должна быть немедленной в стерильной пробирке или в шприце с закрытым наконечником. </w:t>
      </w:r>
    </w:p>
    <w:p w14:paraId="522F5F3B" w14:textId="77777777" w:rsidR="0049053C" w:rsidRPr="00BA4F0F" w:rsidRDefault="0049053C" w:rsidP="002F75C7">
      <w:pPr>
        <w:pStyle w:val="1ff0"/>
      </w:pPr>
      <w:r w:rsidRPr="00BA4F0F">
        <w:t xml:space="preserve">Не помещают образцы СМЖ в холодильник. </w:t>
      </w:r>
    </w:p>
    <w:p w14:paraId="7E654C8C" w14:textId="77777777" w:rsidR="0049053C" w:rsidRPr="00BA4F0F" w:rsidRDefault="0049053C" w:rsidP="002F75C7">
      <w:pPr>
        <w:pStyle w:val="1ff0"/>
      </w:pPr>
      <w:r w:rsidRPr="00BA4F0F">
        <w:t>Для полного исследования (бактерии, грибы, антигены) необходимо 2 мл СМЖ. Минимальное количество жидкости, необходимое для микробиологического исследования, составляет 0,5-1 мл.</w:t>
      </w:r>
    </w:p>
    <w:p w14:paraId="0F368934" w14:textId="77777777" w:rsidR="0049053C" w:rsidRPr="00BA4F0F" w:rsidRDefault="0049053C" w:rsidP="002F75C7">
      <w:pPr>
        <w:pStyle w:val="1ff0"/>
      </w:pPr>
      <w:r w:rsidRPr="00BA4F0F">
        <w:lastRenderedPageBreak/>
        <w:t xml:space="preserve">Не направляют в лабораторию образец СМЖ, полученный в первой пробирке пункции, поскольку имеется высокая вероятность контаминации образца микроорганизмами с кожи и, вполне определенно, будут возникать проблемы в интерпретации результатов исследования в случае выделения коагулозанегативных стафилококков. Первый образец СМЖ может быть использован для цитологического исследования.  </w:t>
      </w:r>
    </w:p>
    <w:p w14:paraId="3A3A4A8F" w14:textId="4AE587CE" w:rsidR="0049053C" w:rsidRPr="00BA4F0F" w:rsidRDefault="0049053C" w:rsidP="002F75C7">
      <w:pPr>
        <w:pStyle w:val="1ff0"/>
      </w:pPr>
      <w:r w:rsidRPr="00BA4F0F">
        <w:t xml:space="preserve">СМЖ исследуют на бактерии (микроскопия, посев, определение антигенов), микобактерии (микроскопия, определение ДНК микобактерий), вирусы (определение ДНК вирусов герпетической группы, ЦМВ), грибы (микроскопия, посев, антигены), определяют антигены Cryptococcus spp., Aspergillus spp. – при наличии инвазиного аспергиллеза легких или придаточных пазух носа, при необходимости — антигены бактерий (Streptococcus pneumoniae, Haemophilus influenzae, Neisseria meningitides, стрептококки группы В - Streptococcus agalactiae). У больных, имеющих очаги в головном мозге и выраженный иммунодефицит (при длительной нейтропении), следует определять СМЖ ДНК Toxoplasma gondii (ПЦР). </w:t>
      </w:r>
    </w:p>
    <w:p w14:paraId="694B3267" w14:textId="77777777" w:rsidR="0049053C" w:rsidRPr="00BA4F0F" w:rsidRDefault="0049053C" w:rsidP="002F75C7">
      <w:pPr>
        <w:pStyle w:val="1ff0"/>
      </w:pPr>
    </w:p>
    <w:p w14:paraId="04D98D30" w14:textId="77777777" w:rsidR="0049053C" w:rsidRPr="00C2728C" w:rsidRDefault="0049053C" w:rsidP="002F75C7">
      <w:pPr>
        <w:pStyle w:val="1ff0"/>
        <w:rPr>
          <w:i/>
          <w:iCs/>
        </w:rPr>
      </w:pPr>
      <w:r w:rsidRPr="00C2728C">
        <w:rPr>
          <w:i/>
          <w:iCs/>
        </w:rPr>
        <w:t>Микробиологическое исследование кала</w:t>
      </w:r>
    </w:p>
    <w:p w14:paraId="290A0FE7" w14:textId="5946D58E" w:rsidR="0049053C" w:rsidRPr="00BA4F0F" w:rsidRDefault="0049053C" w:rsidP="002F75C7">
      <w:pPr>
        <w:pStyle w:val="1ff0"/>
      </w:pPr>
      <w:r w:rsidRPr="00BA4F0F">
        <w:t>Показани</w:t>
      </w:r>
      <w:r w:rsidR="00C2728C">
        <w:t>е</w:t>
      </w:r>
      <w:r w:rsidRPr="00BA4F0F">
        <w:t xml:space="preserve"> — диарея. </w:t>
      </w:r>
    </w:p>
    <w:p w14:paraId="0210E3DE" w14:textId="77777777" w:rsidR="0049053C" w:rsidRPr="00BA4F0F" w:rsidRDefault="0049053C" w:rsidP="002F75C7">
      <w:pPr>
        <w:pStyle w:val="1ff0"/>
      </w:pPr>
      <w:r w:rsidRPr="00BA4F0F">
        <w:t xml:space="preserve">Во всех случаях следует провести тест на токсин Clostridium difficile. </w:t>
      </w:r>
    </w:p>
    <w:p w14:paraId="5D02720C" w14:textId="77777777" w:rsidR="0049053C" w:rsidRPr="00BA4F0F" w:rsidRDefault="0049053C" w:rsidP="002F75C7">
      <w:pPr>
        <w:pStyle w:val="1ff0"/>
      </w:pPr>
      <w:r w:rsidRPr="00BA4F0F">
        <w:t xml:space="preserve">Если результат этого теста оказывается отрицательным, проводят количественное исследование на условно-патогенные микроорганизмы, а также на Сryptosporidium parvum, Salmonella spp., Shigella spp., Listeria spp., Yersenia spp., вирусы (ротавирусы, аденовирусы). Энтероколиты могут быть обусловлены Candida spp. При количественном исследовании кала следует обращать внимание на выделение штаммов Pseudomonas aeruginosa, энтеробактерий (Escherichia coli, Klebsiella spp.), продуцирующих БЛРС или карбапенемазы. У больных с персистирующей фебрильной нейтропенией и отсутствием положительной гемокультуры эти микроорганизмы могут быть причиной инфекции. </w:t>
      </w:r>
    </w:p>
    <w:p w14:paraId="41DE0B41" w14:textId="61A96579" w:rsidR="0049053C" w:rsidRPr="00BA4F0F" w:rsidRDefault="0049053C" w:rsidP="002F75C7">
      <w:pPr>
        <w:pStyle w:val="1ff0"/>
      </w:pPr>
      <w:r w:rsidRPr="00BA4F0F">
        <w:t xml:space="preserve">Исследование на дисбактериоз кишечника у больных без диареи относится к исследованиям, которые приняты лишь в России, оно трудоемко и малоинформативно, особенно у больных вне нейтропении. </w:t>
      </w:r>
    </w:p>
    <w:p w14:paraId="7E62A5BC" w14:textId="77777777" w:rsidR="0049053C" w:rsidRPr="00BA4F0F" w:rsidRDefault="0049053C" w:rsidP="002F75C7">
      <w:pPr>
        <w:pStyle w:val="1ff0"/>
      </w:pPr>
    </w:p>
    <w:p w14:paraId="297D176F" w14:textId="77777777" w:rsidR="0049053C" w:rsidRPr="00C2728C" w:rsidRDefault="0049053C" w:rsidP="002F75C7">
      <w:pPr>
        <w:pStyle w:val="1ff0"/>
        <w:rPr>
          <w:i/>
          <w:iCs/>
        </w:rPr>
      </w:pPr>
      <w:r w:rsidRPr="00C2728C">
        <w:rPr>
          <w:i/>
          <w:iCs/>
        </w:rPr>
        <w:t>Микробиологическое исследование мазка со слизистой оболочки ротоглотки</w:t>
      </w:r>
    </w:p>
    <w:p w14:paraId="3EF8B3CC" w14:textId="2992E503" w:rsidR="0049053C" w:rsidRPr="00BA4F0F" w:rsidRDefault="0049053C" w:rsidP="002F75C7">
      <w:pPr>
        <w:pStyle w:val="1ff0"/>
      </w:pPr>
      <w:r w:rsidRPr="00BA4F0F">
        <w:t>Показани</w:t>
      </w:r>
      <w:r w:rsidR="00C2728C">
        <w:t>е</w:t>
      </w:r>
      <w:r w:rsidRPr="00BA4F0F">
        <w:t xml:space="preserve"> — наличие признаков стоматита. </w:t>
      </w:r>
    </w:p>
    <w:p w14:paraId="661674F8" w14:textId="77777777" w:rsidR="0049053C" w:rsidRPr="00BA4F0F" w:rsidRDefault="0049053C" w:rsidP="002F75C7">
      <w:pPr>
        <w:pStyle w:val="1ff0"/>
      </w:pPr>
      <w:r w:rsidRPr="00BA4F0F">
        <w:lastRenderedPageBreak/>
        <w:t xml:space="preserve">При нейтропении обращают внимание на выделение Candida spp., грамотрицательных бактерий, особенно Pseudomonas aeruginosa или </w:t>
      </w:r>
      <w:r w:rsidRPr="00BA4F0F">
        <w:rPr>
          <w:lang w:val="en-US"/>
        </w:rPr>
        <w:t>Stenotrophomonas</w:t>
      </w:r>
      <w:r w:rsidRPr="00BA4F0F">
        <w:t xml:space="preserve"> </w:t>
      </w:r>
      <w:r w:rsidRPr="00BA4F0F">
        <w:rPr>
          <w:lang w:val="en-US"/>
        </w:rPr>
        <w:t>maltophilia</w:t>
      </w:r>
      <w:r w:rsidRPr="00BA4F0F">
        <w:t xml:space="preserve">, энтеробактерий (Escherichia coli, Klebsiella spp.), продуцирующих БЛРС или карбапенемазы. </w:t>
      </w:r>
    </w:p>
    <w:p w14:paraId="06924276" w14:textId="77777777" w:rsidR="0049053C" w:rsidRPr="00BA4F0F" w:rsidRDefault="0049053C" w:rsidP="002F75C7">
      <w:pPr>
        <w:pStyle w:val="1ff0"/>
      </w:pPr>
      <w:r w:rsidRPr="00BA4F0F">
        <w:t xml:space="preserve">Следует помнить, что такие бактерии, как Enterococcus spp. и стрептококки группы viridans, являются нормальными представителями микрофлоры ротоглотки. На основании выделения этих бактерий не следует добавлять ванкомицин при фебрильной нейтропении в отсутствие признаков мукозита. </w:t>
      </w:r>
    </w:p>
    <w:p w14:paraId="340C5FB7" w14:textId="0D7B9AA1" w:rsidR="0049053C" w:rsidRPr="00BA4F0F" w:rsidRDefault="0049053C" w:rsidP="002F75C7">
      <w:pPr>
        <w:pStyle w:val="1ff0"/>
      </w:pPr>
      <w:r w:rsidRPr="00BA4F0F">
        <w:t xml:space="preserve">Дрожжевые грибы рода Candida обнаруживают у 30% здоровых людей. </w:t>
      </w:r>
    </w:p>
    <w:p w14:paraId="59C0C7D2" w14:textId="77777777" w:rsidR="0049053C" w:rsidRPr="00BA4F0F" w:rsidRDefault="0049053C" w:rsidP="002F75C7">
      <w:pPr>
        <w:pStyle w:val="1ff0"/>
      </w:pPr>
    </w:p>
    <w:p w14:paraId="53BEA30C" w14:textId="77777777" w:rsidR="0049053C" w:rsidRPr="00C2728C" w:rsidRDefault="0049053C" w:rsidP="002F75C7">
      <w:pPr>
        <w:pStyle w:val="1ff0"/>
        <w:rPr>
          <w:i/>
          <w:iCs/>
        </w:rPr>
      </w:pPr>
      <w:r w:rsidRPr="00C2728C">
        <w:rPr>
          <w:i/>
          <w:iCs/>
        </w:rPr>
        <w:t>Микробиологическое исследование материала со слизистой оболочки пищевода</w:t>
      </w:r>
    </w:p>
    <w:p w14:paraId="5381E271" w14:textId="77777777" w:rsidR="0049053C" w:rsidRPr="00BA4F0F" w:rsidRDefault="0049053C" w:rsidP="002F75C7">
      <w:pPr>
        <w:pStyle w:val="1ff0"/>
      </w:pPr>
      <w:r w:rsidRPr="00BA4F0F">
        <w:t xml:space="preserve">Показания — боль по ходу пищевода. </w:t>
      </w:r>
    </w:p>
    <w:p w14:paraId="38D8F626" w14:textId="77777777" w:rsidR="0049053C" w:rsidRPr="00BA4F0F" w:rsidRDefault="0049053C" w:rsidP="002F75C7">
      <w:pPr>
        <w:pStyle w:val="1ff0"/>
      </w:pPr>
      <w:r w:rsidRPr="00BA4F0F">
        <w:t>Выполняется эзофагоскопия (число тромбоцитов должно быть не менее 50 × 10</w:t>
      </w:r>
      <w:r w:rsidRPr="00BA4F0F">
        <w:rPr>
          <w:vertAlign w:val="superscript"/>
        </w:rPr>
        <w:t>9</w:t>
      </w:r>
      <w:r w:rsidRPr="00BA4F0F">
        <w:t xml:space="preserve"> /л). </w:t>
      </w:r>
    </w:p>
    <w:p w14:paraId="7667D543" w14:textId="77777777" w:rsidR="0049053C" w:rsidRPr="00BA4F0F" w:rsidRDefault="0049053C" w:rsidP="002F75C7">
      <w:pPr>
        <w:pStyle w:val="1ff0"/>
      </w:pPr>
      <w:r w:rsidRPr="00BA4F0F">
        <w:t xml:space="preserve">Проводится соскоб со слизистой пищевода (браш-методом при нейтропении) или биопсия (вне нейтропении). </w:t>
      </w:r>
    </w:p>
    <w:p w14:paraId="086D53CB" w14:textId="77777777" w:rsidR="0049053C" w:rsidRPr="00BA4F0F" w:rsidRDefault="0049053C" w:rsidP="002F75C7">
      <w:pPr>
        <w:pStyle w:val="1ff0"/>
      </w:pPr>
      <w:r w:rsidRPr="00BA4F0F">
        <w:t xml:space="preserve">Исследуют образцы в микробиологической (бактерии, грибы), вирусологической (ДНК вируса простого герпеса, ЦМВ) и гистологической лаборатории. </w:t>
      </w:r>
    </w:p>
    <w:p w14:paraId="65344E50" w14:textId="77777777" w:rsidR="0049053C" w:rsidRPr="00BA4F0F" w:rsidRDefault="0049053C" w:rsidP="002F75C7">
      <w:pPr>
        <w:pStyle w:val="1ff0"/>
      </w:pPr>
    </w:p>
    <w:p w14:paraId="22AD3C6A" w14:textId="77777777" w:rsidR="0049053C" w:rsidRPr="00C2728C" w:rsidRDefault="0049053C" w:rsidP="002F75C7">
      <w:pPr>
        <w:pStyle w:val="1ff0"/>
        <w:rPr>
          <w:i/>
          <w:iCs/>
        </w:rPr>
      </w:pPr>
      <w:r w:rsidRPr="00C2728C">
        <w:rPr>
          <w:i/>
          <w:iCs/>
        </w:rPr>
        <w:t>Микробиологическое исследование мазка со слизистой оболочки прямой кишки</w:t>
      </w:r>
    </w:p>
    <w:p w14:paraId="6AF370D1" w14:textId="77777777" w:rsidR="0049053C" w:rsidRPr="00BA4F0F" w:rsidRDefault="0049053C" w:rsidP="002F75C7">
      <w:pPr>
        <w:pStyle w:val="1ff0"/>
      </w:pPr>
      <w:r w:rsidRPr="00BA4F0F">
        <w:t>Показания:</w:t>
      </w:r>
    </w:p>
    <w:p w14:paraId="183BF89D" w14:textId="77777777" w:rsidR="0049053C" w:rsidRPr="00BA4F0F" w:rsidRDefault="0049053C" w:rsidP="00FE0193">
      <w:pPr>
        <w:pStyle w:val="1ff0"/>
        <w:numPr>
          <w:ilvl w:val="0"/>
          <w:numId w:val="105"/>
        </w:numPr>
      </w:pPr>
      <w:r w:rsidRPr="00BA4F0F">
        <w:t xml:space="preserve">Воспаление или повреждение слизистой (трещина, парапроктит и др.) прямой кишки. </w:t>
      </w:r>
    </w:p>
    <w:p w14:paraId="4FBD6E15" w14:textId="77777777" w:rsidR="0049053C" w:rsidRPr="00BA4F0F" w:rsidRDefault="0049053C" w:rsidP="00FE0193">
      <w:pPr>
        <w:pStyle w:val="1ff0"/>
        <w:numPr>
          <w:ilvl w:val="0"/>
          <w:numId w:val="105"/>
        </w:numPr>
      </w:pPr>
      <w:r w:rsidRPr="00BA4F0F">
        <w:t xml:space="preserve">У больных с фебрильной нейтропенией более 3-4 дней. </w:t>
      </w:r>
    </w:p>
    <w:p w14:paraId="31350DAC" w14:textId="77777777" w:rsidR="0049053C" w:rsidRPr="00BA4F0F" w:rsidRDefault="0049053C" w:rsidP="002F75C7">
      <w:pPr>
        <w:pStyle w:val="1ff0"/>
      </w:pPr>
      <w:r w:rsidRPr="00BA4F0F">
        <w:t xml:space="preserve">На основании выделенных микроорганизмов может быть проведена коррекция антимикробной терапии при сохраняющейся фебрильной нейтропении в случаях отсутствия диагностически значимых результатов исследований из клинически значимых образцов. </w:t>
      </w:r>
    </w:p>
    <w:p w14:paraId="5B5A447E" w14:textId="77777777" w:rsidR="0049053C" w:rsidRPr="00BA4F0F" w:rsidRDefault="0049053C" w:rsidP="002F75C7">
      <w:pPr>
        <w:pStyle w:val="1ff0"/>
      </w:pPr>
      <w:r w:rsidRPr="00BA4F0F">
        <w:t xml:space="preserve">Обращают внимание, прежде всего на выделение полирезистентных грамотрицаетельных бактерий - Pseudomonas aeruginosa, энтеробактерий (Escherichia coli, Klebsiella spp.), продуцирующих БЛРС или карбапенемаз. </w:t>
      </w:r>
    </w:p>
    <w:p w14:paraId="31027AC7" w14:textId="77777777" w:rsidR="0049053C" w:rsidRPr="00BA4F0F" w:rsidRDefault="0049053C" w:rsidP="002F75C7">
      <w:pPr>
        <w:pStyle w:val="1ff0"/>
      </w:pPr>
    </w:p>
    <w:p w14:paraId="472CF870" w14:textId="77777777" w:rsidR="0049053C" w:rsidRPr="00C2728C" w:rsidRDefault="0049053C" w:rsidP="002F75C7">
      <w:pPr>
        <w:pStyle w:val="1ff0"/>
        <w:rPr>
          <w:i/>
          <w:iCs/>
        </w:rPr>
      </w:pPr>
      <w:r w:rsidRPr="00C2728C">
        <w:rPr>
          <w:i/>
          <w:iCs/>
        </w:rPr>
        <w:t>Микробиологическое исследование со слизистой оболочки носовых ходов</w:t>
      </w:r>
    </w:p>
    <w:p w14:paraId="2343B9DB" w14:textId="77777777" w:rsidR="0049053C" w:rsidRPr="00BA4F0F" w:rsidRDefault="0049053C" w:rsidP="002F75C7">
      <w:pPr>
        <w:pStyle w:val="1ff0"/>
      </w:pPr>
      <w:r w:rsidRPr="00BA4F0F">
        <w:lastRenderedPageBreak/>
        <w:t xml:space="preserve">Показания — наличие некроза слизистой оболочки носового хода. </w:t>
      </w:r>
    </w:p>
    <w:p w14:paraId="783DBFE0" w14:textId="77777777" w:rsidR="0049053C" w:rsidRPr="00BA4F0F" w:rsidRDefault="0049053C" w:rsidP="002F75C7">
      <w:pPr>
        <w:pStyle w:val="1ff0"/>
      </w:pPr>
      <w:r w:rsidRPr="00BA4F0F">
        <w:t xml:space="preserve">Исследование проводят только на плесневые (мицелиальные) грибы. </w:t>
      </w:r>
    </w:p>
    <w:p w14:paraId="73F6F2DA" w14:textId="38982AB2" w:rsidR="0049053C" w:rsidRPr="00BA4F0F" w:rsidRDefault="0049053C" w:rsidP="002F75C7">
      <w:pPr>
        <w:pStyle w:val="1ff0"/>
      </w:pPr>
      <w:r w:rsidRPr="00BA4F0F">
        <w:t xml:space="preserve">Рутинное исследование материала, взятого из носоглотки, ротоглотки, прямой кишки, а также посев мочи в отсутствие признаков поражения не представляет большой клинической ценности. </w:t>
      </w:r>
    </w:p>
    <w:p w14:paraId="63CF8669" w14:textId="77777777" w:rsidR="0049053C" w:rsidRPr="00BA4F0F" w:rsidRDefault="0049053C" w:rsidP="002F75C7">
      <w:pPr>
        <w:pStyle w:val="1ff0"/>
      </w:pPr>
    </w:p>
    <w:p w14:paraId="2B6455AB" w14:textId="77777777" w:rsidR="0049053C" w:rsidRPr="00D85998" w:rsidRDefault="0049053C" w:rsidP="002F75C7">
      <w:pPr>
        <w:pStyle w:val="1ff0"/>
        <w:rPr>
          <w:i/>
          <w:iCs/>
        </w:rPr>
      </w:pPr>
      <w:r w:rsidRPr="00D85998">
        <w:rPr>
          <w:i/>
          <w:iCs/>
        </w:rPr>
        <w:t>Микробиологическое исследование биоптатов кожи</w:t>
      </w:r>
    </w:p>
    <w:p w14:paraId="43374DB3" w14:textId="77777777" w:rsidR="0049053C" w:rsidRPr="00BA4F0F" w:rsidRDefault="0049053C" w:rsidP="002F75C7">
      <w:pPr>
        <w:pStyle w:val="1ff0"/>
      </w:pPr>
      <w:r w:rsidRPr="00BA4F0F">
        <w:t xml:space="preserve">Показания — наличие септикопиемических очагов (инфильтраты в толще кожи — в дерме — любых размеров, болезненные при пальпации, возникшие при лихорадке) или других образований на коже. </w:t>
      </w:r>
    </w:p>
    <w:p w14:paraId="3BAC97EE" w14:textId="77777777" w:rsidR="0049053C" w:rsidRPr="00BA4F0F" w:rsidRDefault="0049053C" w:rsidP="002F75C7">
      <w:pPr>
        <w:pStyle w:val="1ff0"/>
      </w:pPr>
      <w:r w:rsidRPr="00BA4F0F">
        <w:t xml:space="preserve">Проводят биопсию тех образований, давность которых составляет 1—2 суток. Биопсию проводят с захватом дермы. </w:t>
      </w:r>
    </w:p>
    <w:p w14:paraId="674D5F5F" w14:textId="77777777" w:rsidR="0049053C" w:rsidRPr="00BA4F0F" w:rsidRDefault="0049053C" w:rsidP="002F75C7">
      <w:pPr>
        <w:pStyle w:val="1ff0"/>
      </w:pPr>
      <w:r w:rsidRPr="00BA4F0F">
        <w:t xml:space="preserve">Проводят гистологическое и микробиологическое исследование на наличие бактерий, включая микобактерии, и грибов. Кроме культурального исследования проводят микроскопию всех образцов (окраска по Граму, Цилю— Нильсену, калькофлюором белым). </w:t>
      </w:r>
    </w:p>
    <w:p w14:paraId="1E50BE84" w14:textId="77777777" w:rsidR="0049053C" w:rsidRPr="00BA4F0F" w:rsidRDefault="0049053C" w:rsidP="002F75C7">
      <w:pPr>
        <w:pStyle w:val="1ff0"/>
        <w:rPr>
          <w:u w:val="single"/>
        </w:rPr>
      </w:pPr>
    </w:p>
    <w:p w14:paraId="1AA9A339" w14:textId="77777777" w:rsidR="0049053C" w:rsidRPr="00D85998" w:rsidRDefault="0049053C" w:rsidP="002F75C7">
      <w:pPr>
        <w:pStyle w:val="1ff0"/>
        <w:rPr>
          <w:i/>
          <w:iCs/>
        </w:rPr>
      </w:pPr>
      <w:r w:rsidRPr="00D85998">
        <w:rPr>
          <w:i/>
          <w:iCs/>
        </w:rPr>
        <w:t>Компьютерная томография легких</w:t>
      </w:r>
    </w:p>
    <w:p w14:paraId="78E7904E" w14:textId="77777777" w:rsidR="0049053C" w:rsidRPr="00BA4F0F" w:rsidRDefault="0049053C" w:rsidP="002F75C7">
      <w:pPr>
        <w:pStyle w:val="1ff0"/>
      </w:pPr>
      <w:r w:rsidRPr="00BA4F0F">
        <w:t>Показания:</w:t>
      </w:r>
    </w:p>
    <w:p w14:paraId="6697EEEE" w14:textId="77777777" w:rsidR="0049053C" w:rsidRPr="00BA4F0F" w:rsidRDefault="0049053C" w:rsidP="00FE0193">
      <w:pPr>
        <w:pStyle w:val="1ff0"/>
        <w:numPr>
          <w:ilvl w:val="0"/>
          <w:numId w:val="106"/>
        </w:numPr>
      </w:pPr>
      <w:r w:rsidRPr="00BA4F0F">
        <w:t xml:space="preserve">Лихорадка неясной этиологии ≥ 5 дней в период нейтропении при нормальной физикальной картине в легких. </w:t>
      </w:r>
    </w:p>
    <w:p w14:paraId="6DB5FE32" w14:textId="77777777" w:rsidR="0049053C" w:rsidRPr="00BA4F0F" w:rsidRDefault="0049053C" w:rsidP="00FE0193">
      <w:pPr>
        <w:pStyle w:val="1ff0"/>
        <w:numPr>
          <w:ilvl w:val="0"/>
          <w:numId w:val="106"/>
        </w:numPr>
      </w:pPr>
      <w:r w:rsidRPr="00BA4F0F">
        <w:t xml:space="preserve">Контроль выявленных изменений в легких (первое контрольное исследование проводят через 7 дней от момента диагностики пневмонии и начала антибактериальной или противогрибковой терапии, далее — по мере необходимости). </w:t>
      </w:r>
    </w:p>
    <w:p w14:paraId="79E5A6EB" w14:textId="77777777" w:rsidR="0049053C" w:rsidRPr="00BA4F0F" w:rsidRDefault="0049053C" w:rsidP="002F75C7">
      <w:pPr>
        <w:pStyle w:val="1ff0"/>
      </w:pPr>
      <w:r w:rsidRPr="00BA4F0F">
        <w:t xml:space="preserve">КТ легких следует проводить без предварительной рентгенографии грудной клетки. </w:t>
      </w:r>
    </w:p>
    <w:p w14:paraId="7A416ECB" w14:textId="77777777" w:rsidR="0049053C" w:rsidRPr="00BA4F0F" w:rsidRDefault="0049053C" w:rsidP="002F75C7">
      <w:pPr>
        <w:pStyle w:val="1ff0"/>
      </w:pPr>
      <w:r w:rsidRPr="00BA4F0F">
        <w:t xml:space="preserve">КТ легких при лихорадке в период нейтропении проводят независимо от аускультативной картины легких. </w:t>
      </w:r>
    </w:p>
    <w:p w14:paraId="3B445177" w14:textId="0EDFD265" w:rsidR="0049053C" w:rsidRPr="00BA4F0F" w:rsidRDefault="0049053C" w:rsidP="002F75C7">
      <w:pPr>
        <w:pStyle w:val="1ff0"/>
      </w:pPr>
      <w:r w:rsidRPr="00BA4F0F">
        <w:t xml:space="preserve">Рентгенография органов грудной клетки при нейтропении малоинформативна. С ее помощью нельзя своевременно диагностировать инвазивный аспергиллез, интерстициальные поражения легких (вирусные, грибковые). У больных с нейтропенией этот вид исследования, направленный на поиск инфекционного процесса в легких, необходимо исключить. </w:t>
      </w:r>
    </w:p>
    <w:p w14:paraId="46F6157A" w14:textId="77777777" w:rsidR="0049053C" w:rsidRPr="00BA4F0F" w:rsidRDefault="0049053C" w:rsidP="002F75C7">
      <w:pPr>
        <w:pStyle w:val="1ff0"/>
        <w:rPr>
          <w:u w:val="single"/>
        </w:rPr>
      </w:pPr>
    </w:p>
    <w:p w14:paraId="69A2BB97" w14:textId="77777777" w:rsidR="0049053C" w:rsidRPr="00D85998" w:rsidRDefault="0049053C" w:rsidP="002F75C7">
      <w:pPr>
        <w:pStyle w:val="1ff0"/>
        <w:rPr>
          <w:i/>
          <w:iCs/>
        </w:rPr>
      </w:pPr>
      <w:r w:rsidRPr="00D85998">
        <w:rPr>
          <w:i/>
          <w:iCs/>
        </w:rPr>
        <w:lastRenderedPageBreak/>
        <w:t>Бронхоальвеолярный лаваж</w:t>
      </w:r>
    </w:p>
    <w:p w14:paraId="23037AA1" w14:textId="77777777" w:rsidR="0049053C" w:rsidRPr="00BA4F0F" w:rsidRDefault="0049053C" w:rsidP="002F75C7">
      <w:pPr>
        <w:pStyle w:val="1ff0"/>
      </w:pPr>
      <w:r w:rsidRPr="00BA4F0F">
        <w:t>Показания: изменения в легких по данным КТ.</w:t>
      </w:r>
    </w:p>
    <w:p w14:paraId="5784461B" w14:textId="77777777" w:rsidR="0049053C" w:rsidRPr="00BA4F0F" w:rsidRDefault="0049053C" w:rsidP="002F75C7">
      <w:pPr>
        <w:pStyle w:val="1ff0"/>
      </w:pPr>
      <w:r w:rsidRPr="00BA4F0F">
        <w:t>Перечень диагностических тестов:</w:t>
      </w:r>
    </w:p>
    <w:p w14:paraId="08826EED" w14:textId="77777777" w:rsidR="0049053C" w:rsidRPr="00BA4F0F" w:rsidRDefault="0049053C" w:rsidP="00FE0193">
      <w:pPr>
        <w:pStyle w:val="1ff0"/>
        <w:numPr>
          <w:ilvl w:val="0"/>
          <w:numId w:val="107"/>
        </w:numPr>
      </w:pPr>
      <w:r w:rsidRPr="00BA4F0F">
        <w:t>Исследование жидкости бронхоальвеолярного лаважа (БАЛ):</w:t>
      </w:r>
    </w:p>
    <w:p w14:paraId="0EE629E8" w14:textId="77777777" w:rsidR="0049053C" w:rsidRPr="00BA4F0F" w:rsidRDefault="0049053C" w:rsidP="00FE0193">
      <w:pPr>
        <w:pStyle w:val="1ff0"/>
        <w:numPr>
          <w:ilvl w:val="0"/>
          <w:numId w:val="107"/>
        </w:numPr>
      </w:pPr>
      <w:r w:rsidRPr="00BA4F0F">
        <w:t xml:space="preserve">Цитология мазков. </w:t>
      </w:r>
    </w:p>
    <w:p w14:paraId="2EE2586A" w14:textId="77777777" w:rsidR="0049053C" w:rsidRPr="00BA4F0F" w:rsidRDefault="0049053C" w:rsidP="00FE0193">
      <w:pPr>
        <w:pStyle w:val="1ff0"/>
        <w:numPr>
          <w:ilvl w:val="0"/>
          <w:numId w:val="107"/>
        </w:numPr>
      </w:pPr>
      <w:r w:rsidRPr="00BA4F0F">
        <w:t xml:space="preserve">Микроскопия мазков (окраска по Граму, Цилю—Нильсену). </w:t>
      </w:r>
    </w:p>
    <w:p w14:paraId="3C6697A6" w14:textId="77777777" w:rsidR="0049053C" w:rsidRPr="00BA4F0F" w:rsidRDefault="0049053C" w:rsidP="00FE0193">
      <w:pPr>
        <w:pStyle w:val="1ff0"/>
        <w:numPr>
          <w:ilvl w:val="0"/>
          <w:numId w:val="107"/>
        </w:numPr>
      </w:pPr>
      <w:r w:rsidRPr="00BA4F0F">
        <w:t>Флюоресцентная микроскопия на грибы с калькофлуором белым.</w:t>
      </w:r>
    </w:p>
    <w:p w14:paraId="46D49D89" w14:textId="77777777" w:rsidR="0049053C" w:rsidRPr="00BA4F0F" w:rsidRDefault="0049053C" w:rsidP="00FE0193">
      <w:pPr>
        <w:pStyle w:val="1ff0"/>
        <w:numPr>
          <w:ilvl w:val="0"/>
          <w:numId w:val="107"/>
        </w:numPr>
      </w:pPr>
      <w:r w:rsidRPr="00BA4F0F">
        <w:t xml:space="preserve">Микробиологическое исследование (посев) на бактерии, включая нокардии, и грибы (обязательно на мицелиальные — посев на среду Чапека). </w:t>
      </w:r>
    </w:p>
    <w:p w14:paraId="65AC6FA0" w14:textId="77777777" w:rsidR="0049053C" w:rsidRPr="00BA4F0F" w:rsidRDefault="0049053C" w:rsidP="00FE0193">
      <w:pPr>
        <w:pStyle w:val="1ff0"/>
        <w:numPr>
          <w:ilvl w:val="0"/>
          <w:numId w:val="107"/>
        </w:numPr>
      </w:pPr>
      <w:r w:rsidRPr="00BA4F0F">
        <w:t xml:space="preserve">Микробиологическое исследование (посев) на </w:t>
      </w:r>
      <w:r w:rsidRPr="00BA4F0F">
        <w:rPr>
          <w:lang w:val="en-US"/>
        </w:rPr>
        <w:t>Legionella</w:t>
      </w:r>
      <w:r w:rsidRPr="00BA4F0F">
        <w:t xml:space="preserve"> </w:t>
      </w:r>
      <w:r w:rsidRPr="00BA4F0F">
        <w:rPr>
          <w:lang w:val="en-US"/>
        </w:rPr>
        <w:t>spp</w:t>
      </w:r>
      <w:r w:rsidRPr="00BA4F0F">
        <w:t xml:space="preserve">. </w:t>
      </w:r>
    </w:p>
    <w:p w14:paraId="23434BAE" w14:textId="77777777" w:rsidR="0049053C" w:rsidRPr="00BA4F0F" w:rsidRDefault="0049053C" w:rsidP="00FE0193">
      <w:pPr>
        <w:pStyle w:val="1ff0"/>
        <w:numPr>
          <w:ilvl w:val="0"/>
          <w:numId w:val="107"/>
        </w:numPr>
      </w:pPr>
      <w:r w:rsidRPr="00BA4F0F">
        <w:t xml:space="preserve">Исследование на микобактерии (ПЦР). </w:t>
      </w:r>
    </w:p>
    <w:p w14:paraId="67BB2408" w14:textId="77777777" w:rsidR="0049053C" w:rsidRPr="00BA4F0F" w:rsidRDefault="0049053C" w:rsidP="00FE0193">
      <w:pPr>
        <w:pStyle w:val="1ff0"/>
        <w:numPr>
          <w:ilvl w:val="0"/>
          <w:numId w:val="107"/>
        </w:numPr>
      </w:pPr>
      <w:r w:rsidRPr="00BA4F0F">
        <w:t xml:space="preserve">Флюоресцентная микроскопия на Pneumocystis jiroveci. </w:t>
      </w:r>
    </w:p>
    <w:p w14:paraId="11622E3C" w14:textId="77777777" w:rsidR="0049053C" w:rsidRPr="00BA4F0F" w:rsidRDefault="0049053C" w:rsidP="00FE0193">
      <w:pPr>
        <w:pStyle w:val="1ff0"/>
        <w:numPr>
          <w:ilvl w:val="0"/>
          <w:numId w:val="107"/>
        </w:numPr>
      </w:pPr>
      <w:r w:rsidRPr="00BA4F0F">
        <w:t xml:space="preserve">Определение ДНК </w:t>
      </w:r>
      <w:r w:rsidRPr="00BA4F0F">
        <w:rPr>
          <w:lang w:val="en-US"/>
        </w:rPr>
        <w:t>Pneumocystis</w:t>
      </w:r>
      <w:r w:rsidRPr="00BA4F0F">
        <w:t xml:space="preserve"> </w:t>
      </w:r>
      <w:r w:rsidRPr="00BA4F0F">
        <w:rPr>
          <w:lang w:val="en-US"/>
        </w:rPr>
        <w:t>jirovecii</w:t>
      </w:r>
      <w:r w:rsidRPr="00BA4F0F">
        <w:t xml:space="preserve"> (ПЦР).</w:t>
      </w:r>
    </w:p>
    <w:p w14:paraId="7E9479C7" w14:textId="77777777" w:rsidR="0049053C" w:rsidRPr="00BA4F0F" w:rsidRDefault="0049053C" w:rsidP="00FE0193">
      <w:pPr>
        <w:pStyle w:val="1ff0"/>
        <w:numPr>
          <w:ilvl w:val="0"/>
          <w:numId w:val="107"/>
        </w:numPr>
      </w:pPr>
      <w:r w:rsidRPr="00BA4F0F">
        <w:t>Определение антигена Aspergillus (галактоманнан) в жидкости БАЛ.</w:t>
      </w:r>
    </w:p>
    <w:p w14:paraId="2110BA29" w14:textId="77777777" w:rsidR="0049053C" w:rsidRPr="00BA4F0F" w:rsidRDefault="0049053C" w:rsidP="00FE0193">
      <w:pPr>
        <w:pStyle w:val="1ff0"/>
        <w:numPr>
          <w:ilvl w:val="0"/>
          <w:numId w:val="107"/>
        </w:numPr>
      </w:pPr>
      <w:r w:rsidRPr="00BA4F0F">
        <w:t xml:space="preserve">Определение антигена </w:t>
      </w:r>
      <w:r w:rsidRPr="00BA4F0F">
        <w:rPr>
          <w:lang w:val="en-US"/>
        </w:rPr>
        <w:t>Legionella</w:t>
      </w:r>
      <w:r w:rsidRPr="00BA4F0F">
        <w:t xml:space="preserve"> </w:t>
      </w:r>
      <w:r w:rsidRPr="00BA4F0F">
        <w:rPr>
          <w:lang w:val="en-US"/>
        </w:rPr>
        <w:t>pneumophilia</w:t>
      </w:r>
      <w:r w:rsidRPr="00BA4F0F">
        <w:t xml:space="preserve"> в моче. </w:t>
      </w:r>
    </w:p>
    <w:p w14:paraId="19C27BE8" w14:textId="77777777" w:rsidR="0049053C" w:rsidRPr="00BA4F0F" w:rsidRDefault="0049053C" w:rsidP="00FE0193">
      <w:pPr>
        <w:pStyle w:val="1ff0"/>
        <w:numPr>
          <w:ilvl w:val="0"/>
          <w:numId w:val="107"/>
        </w:numPr>
      </w:pPr>
      <w:r w:rsidRPr="00BA4F0F">
        <w:t xml:space="preserve">Определение ДНК </w:t>
      </w:r>
      <w:r w:rsidRPr="00BA4F0F">
        <w:rPr>
          <w:lang w:val="en-US"/>
        </w:rPr>
        <w:t>Mycoplasma</w:t>
      </w:r>
      <w:r w:rsidRPr="00BA4F0F">
        <w:t xml:space="preserve"> </w:t>
      </w:r>
      <w:r w:rsidRPr="00BA4F0F">
        <w:rPr>
          <w:lang w:val="en-US"/>
        </w:rPr>
        <w:t>pneumonia</w:t>
      </w:r>
      <w:r w:rsidRPr="00BA4F0F">
        <w:t xml:space="preserve">, </w:t>
      </w:r>
      <w:r w:rsidRPr="00BA4F0F">
        <w:rPr>
          <w:lang w:val="en-US"/>
        </w:rPr>
        <w:t>Chlamydophila</w:t>
      </w:r>
      <w:r w:rsidRPr="00BA4F0F">
        <w:t xml:space="preserve"> </w:t>
      </w:r>
      <w:r w:rsidRPr="00BA4F0F">
        <w:rPr>
          <w:lang w:val="en-US"/>
        </w:rPr>
        <w:t>pneumoniae</w:t>
      </w:r>
      <w:r w:rsidRPr="00BA4F0F">
        <w:t xml:space="preserve"> в жидкости БАЛ. </w:t>
      </w:r>
    </w:p>
    <w:p w14:paraId="551831EC" w14:textId="77777777" w:rsidR="0049053C" w:rsidRPr="00BA4F0F" w:rsidRDefault="0049053C" w:rsidP="00FE0193">
      <w:pPr>
        <w:pStyle w:val="1ff0"/>
        <w:numPr>
          <w:ilvl w:val="0"/>
          <w:numId w:val="107"/>
        </w:numPr>
      </w:pPr>
      <w:r w:rsidRPr="00BA4F0F">
        <w:t xml:space="preserve">Определение ДНК вирусов (ЦМВ, вирусов гриппа, парагриппа, респираторного синтициального вируса, короновирусов, метапнемовируса человека, герпесвируса человека 6 типа) в жидкости БАЛ (ПЦР). </w:t>
      </w:r>
    </w:p>
    <w:p w14:paraId="1C3FFEE2" w14:textId="77777777" w:rsidR="0049053C" w:rsidRPr="00BA4F0F" w:rsidRDefault="0049053C" w:rsidP="002F75C7">
      <w:pPr>
        <w:pStyle w:val="1ff0"/>
        <w:rPr>
          <w:u w:val="single"/>
        </w:rPr>
      </w:pPr>
    </w:p>
    <w:p w14:paraId="5E21D6E7" w14:textId="77777777" w:rsidR="0049053C" w:rsidRPr="00BA4F0F" w:rsidRDefault="0049053C" w:rsidP="00FE0193">
      <w:pPr>
        <w:pStyle w:val="1ff0"/>
        <w:numPr>
          <w:ilvl w:val="0"/>
          <w:numId w:val="107"/>
        </w:numPr>
      </w:pPr>
      <w:r w:rsidRPr="00BA4F0F">
        <w:t>Определение антигенов грибов</w:t>
      </w:r>
    </w:p>
    <w:p w14:paraId="533E3B9A" w14:textId="77777777" w:rsidR="0049053C" w:rsidRPr="00BA4F0F" w:rsidRDefault="0049053C" w:rsidP="00FE0193">
      <w:pPr>
        <w:pStyle w:val="1ff0"/>
        <w:numPr>
          <w:ilvl w:val="0"/>
          <w:numId w:val="107"/>
        </w:numPr>
      </w:pPr>
      <w:r w:rsidRPr="00BA4F0F">
        <w:t xml:space="preserve">Антиген Aspergillus (галактоманнан) </w:t>
      </w:r>
    </w:p>
    <w:p w14:paraId="15815B10" w14:textId="77777777" w:rsidR="0049053C" w:rsidRPr="00BA4F0F" w:rsidRDefault="0049053C" w:rsidP="00FE0193">
      <w:pPr>
        <w:pStyle w:val="1ff0"/>
        <w:numPr>
          <w:ilvl w:val="0"/>
          <w:numId w:val="107"/>
        </w:numPr>
      </w:pPr>
      <w:r w:rsidRPr="00BA4F0F">
        <w:t>Обнаружение антигена Aspergillus включено в критерии диагностики инвазивного аспергиллеза.</w:t>
      </w:r>
    </w:p>
    <w:p w14:paraId="1E8F3FAB" w14:textId="77777777" w:rsidR="0049053C" w:rsidRPr="00BA4F0F" w:rsidRDefault="0049053C" w:rsidP="002F75C7">
      <w:pPr>
        <w:pStyle w:val="1ff0"/>
      </w:pPr>
      <w:r w:rsidRPr="00BA4F0F">
        <w:t xml:space="preserve">Образцы для исследования: </w:t>
      </w:r>
    </w:p>
    <w:p w14:paraId="788A4834" w14:textId="77777777" w:rsidR="0049053C" w:rsidRPr="00BA4F0F" w:rsidRDefault="0049053C" w:rsidP="00FE0193">
      <w:pPr>
        <w:pStyle w:val="1ff0"/>
        <w:numPr>
          <w:ilvl w:val="0"/>
          <w:numId w:val="108"/>
        </w:numPr>
      </w:pPr>
      <w:r w:rsidRPr="00BA4F0F">
        <w:t xml:space="preserve">кровь; </w:t>
      </w:r>
    </w:p>
    <w:p w14:paraId="6C00DEDC" w14:textId="77777777" w:rsidR="0049053C" w:rsidRPr="00BA4F0F" w:rsidRDefault="0049053C" w:rsidP="00FE0193">
      <w:pPr>
        <w:pStyle w:val="1ff0"/>
        <w:numPr>
          <w:ilvl w:val="0"/>
          <w:numId w:val="108"/>
        </w:numPr>
      </w:pPr>
      <w:r w:rsidRPr="00BA4F0F">
        <w:t xml:space="preserve">жидкость БАЛ; </w:t>
      </w:r>
    </w:p>
    <w:p w14:paraId="78729461" w14:textId="77777777" w:rsidR="0049053C" w:rsidRPr="00BA4F0F" w:rsidRDefault="0049053C" w:rsidP="00FE0193">
      <w:pPr>
        <w:pStyle w:val="1ff0"/>
        <w:numPr>
          <w:ilvl w:val="0"/>
          <w:numId w:val="108"/>
        </w:numPr>
      </w:pPr>
      <w:r w:rsidRPr="00BA4F0F">
        <w:t xml:space="preserve">СМЖ. </w:t>
      </w:r>
    </w:p>
    <w:p w14:paraId="5EB3542F" w14:textId="77777777" w:rsidR="0049053C" w:rsidRPr="00BA4F0F" w:rsidRDefault="0049053C" w:rsidP="002F75C7">
      <w:pPr>
        <w:pStyle w:val="1ff0"/>
      </w:pPr>
      <w:r w:rsidRPr="00BA4F0F">
        <w:t>Результат определения антигена Aspergillus считают положительным в крови при индексе оптической плотности ≥ 0,5, в жидкости БАЛ ≥ 1,0, в СМЖ ≥ 0,5.</w:t>
      </w:r>
    </w:p>
    <w:p w14:paraId="20B16E29" w14:textId="77777777" w:rsidR="0049053C" w:rsidRPr="00BA4F0F" w:rsidRDefault="0049053C" w:rsidP="002F75C7">
      <w:pPr>
        <w:pStyle w:val="1ff0"/>
      </w:pPr>
      <w:r w:rsidRPr="00BA4F0F">
        <w:lastRenderedPageBreak/>
        <w:t>Проводят определение антигена Aspergillus у больных с клиническими признаками (или факторами риска) возможного инвазивного микоза.</w:t>
      </w:r>
    </w:p>
    <w:p w14:paraId="51DBE1A0" w14:textId="77777777" w:rsidR="0049053C" w:rsidRPr="00BA4F0F" w:rsidRDefault="0049053C" w:rsidP="002F75C7">
      <w:pPr>
        <w:pStyle w:val="1ff0"/>
      </w:pPr>
    </w:p>
    <w:p w14:paraId="7B6BA2F2" w14:textId="77777777" w:rsidR="0049053C" w:rsidRPr="00D85998" w:rsidRDefault="0049053C" w:rsidP="002F75C7">
      <w:pPr>
        <w:pStyle w:val="1ff0"/>
        <w:rPr>
          <w:i/>
          <w:iCs/>
        </w:rPr>
      </w:pPr>
      <w:r w:rsidRPr="00D85998">
        <w:rPr>
          <w:i/>
          <w:iCs/>
        </w:rPr>
        <w:t>Определение антигена Aspergillus</w:t>
      </w:r>
    </w:p>
    <w:p w14:paraId="6B57065D" w14:textId="1F3CC7E3" w:rsidR="0049053C" w:rsidRPr="00BA4F0F" w:rsidRDefault="0049053C" w:rsidP="002F75C7">
      <w:pPr>
        <w:pStyle w:val="1ff0"/>
      </w:pPr>
      <w:r w:rsidRPr="00BA4F0F">
        <w:t xml:space="preserve">Определение антигена Aspergillus (галактоманнана) показано реципиентам аутологичных стволовых клеток крови при подозрении у них инвазивного аспергиллеза на основании изменений в легких на КТ и наличия факторов риска, индуцирующих развитие инвазивного аспергиллеза (нейтропения от 10 дней и более, прием глюкокортикоидов, терапия флударабином или алемтузумабом). </w:t>
      </w:r>
    </w:p>
    <w:p w14:paraId="049BFFB8" w14:textId="77777777" w:rsidR="0049053C" w:rsidRPr="00BA4F0F" w:rsidRDefault="0049053C" w:rsidP="002F75C7">
      <w:pPr>
        <w:pStyle w:val="1ff0"/>
      </w:pPr>
      <w:r w:rsidRPr="00BA4F0F">
        <w:t>В этих случаях проводят однократное определение антигена Aspergillus в жидкости БАЛ или, если у больного нейтропения (гранулоцитов &lt; 0,5 × 10</w:t>
      </w:r>
      <w:r w:rsidRPr="00BA4F0F">
        <w:rPr>
          <w:vertAlign w:val="superscript"/>
        </w:rPr>
        <w:t>9</w:t>
      </w:r>
      <w:r w:rsidRPr="00BA4F0F">
        <w:t xml:space="preserve"> /л), определяют антиген Aspergillus в 2-3 образцах крови (не в одном!), взятых в течение суток или течение 2 дней.</w:t>
      </w:r>
    </w:p>
    <w:p w14:paraId="6FADF8E7" w14:textId="77777777" w:rsidR="0049053C" w:rsidRPr="00BA4F0F" w:rsidRDefault="0049053C" w:rsidP="002F75C7">
      <w:pPr>
        <w:pStyle w:val="1ff0"/>
      </w:pPr>
      <w:r w:rsidRPr="00BA4F0F">
        <w:t xml:space="preserve">Исследование антигена Aspergillus проводят до назначения противогрибковых препаратов, активных в отношении мицелиальных грибов. </w:t>
      </w:r>
    </w:p>
    <w:p w14:paraId="0032A591" w14:textId="09693A11" w:rsidR="0049053C" w:rsidRPr="00BA4F0F" w:rsidRDefault="0049053C" w:rsidP="002F75C7">
      <w:pPr>
        <w:pStyle w:val="1ff0"/>
      </w:pPr>
      <w:r w:rsidRPr="00BA4F0F">
        <w:t>У категории больных (при лимфомах, множественной миеломе, у реципиентов аутологичных стволовых клеток крови) вероятность развития инвазивного аспергиллеза составляет 1</w:t>
      </w:r>
      <w:r w:rsidR="0004178E" w:rsidRPr="0004178E">
        <w:t>-</w:t>
      </w:r>
      <w:r w:rsidRPr="00BA4F0F">
        <w:t xml:space="preserve">5%. </w:t>
      </w:r>
    </w:p>
    <w:p w14:paraId="320651AA" w14:textId="77777777" w:rsidR="0049053C" w:rsidRPr="00BA4F0F" w:rsidRDefault="0049053C" w:rsidP="002F75C7">
      <w:pPr>
        <w:pStyle w:val="1ff0"/>
      </w:pPr>
    </w:p>
    <w:p w14:paraId="3777C41F" w14:textId="77777777" w:rsidR="0049053C" w:rsidRPr="009C42EB" w:rsidRDefault="0049053C" w:rsidP="002F75C7">
      <w:pPr>
        <w:pStyle w:val="1ff0"/>
        <w:rPr>
          <w:i/>
          <w:iCs/>
        </w:rPr>
      </w:pPr>
      <w:r w:rsidRPr="009C42EB">
        <w:rPr>
          <w:i/>
          <w:iCs/>
        </w:rPr>
        <w:t>Антиген Candida (маннан) и антитела к Candida (антиманнан)</w:t>
      </w:r>
    </w:p>
    <w:p w14:paraId="3C481209" w14:textId="77777777" w:rsidR="0049053C" w:rsidRPr="00BA4F0F" w:rsidRDefault="0049053C" w:rsidP="002F75C7">
      <w:pPr>
        <w:pStyle w:val="1ff0"/>
      </w:pPr>
      <w:r w:rsidRPr="00BA4F0F">
        <w:t xml:space="preserve">Образец для исследования — кровь. </w:t>
      </w:r>
    </w:p>
    <w:p w14:paraId="33E8AB20" w14:textId="77777777" w:rsidR="0049053C" w:rsidRPr="00BA4F0F" w:rsidRDefault="0049053C" w:rsidP="002F75C7">
      <w:pPr>
        <w:pStyle w:val="1ff0"/>
      </w:pPr>
      <w:r w:rsidRPr="00BA4F0F">
        <w:t xml:space="preserve">Результат определения считается положительным при следующих значениях: </w:t>
      </w:r>
    </w:p>
    <w:p w14:paraId="7FF9CBE1" w14:textId="77777777" w:rsidR="0049053C" w:rsidRPr="00BA4F0F" w:rsidRDefault="0049053C" w:rsidP="00FE0193">
      <w:pPr>
        <w:pStyle w:val="1ff0"/>
        <w:numPr>
          <w:ilvl w:val="0"/>
          <w:numId w:val="109"/>
        </w:numPr>
      </w:pPr>
      <w:r w:rsidRPr="00BA4F0F">
        <w:t xml:space="preserve">антиген Candida (маннан): ≥ 125 пг/мл; </w:t>
      </w:r>
    </w:p>
    <w:p w14:paraId="2D0F6E1A" w14:textId="77777777" w:rsidR="0049053C" w:rsidRPr="00BA4F0F" w:rsidRDefault="0049053C" w:rsidP="00FE0193">
      <w:pPr>
        <w:pStyle w:val="1ff0"/>
        <w:numPr>
          <w:ilvl w:val="0"/>
          <w:numId w:val="109"/>
        </w:numPr>
      </w:pPr>
      <w:r w:rsidRPr="00BA4F0F">
        <w:t xml:space="preserve">антитела к Candida (антиманнан): ≥ 10 ME. </w:t>
      </w:r>
    </w:p>
    <w:p w14:paraId="43FF9C8F" w14:textId="77777777" w:rsidR="0049053C" w:rsidRPr="00BA4F0F" w:rsidRDefault="0049053C" w:rsidP="002F75C7">
      <w:pPr>
        <w:pStyle w:val="1ff0"/>
      </w:pPr>
      <w:r w:rsidRPr="00BA4F0F">
        <w:t xml:space="preserve">Показания к проведению исследования: </w:t>
      </w:r>
    </w:p>
    <w:p w14:paraId="4025EDDF" w14:textId="77777777" w:rsidR="0049053C" w:rsidRPr="00BA4F0F" w:rsidRDefault="0049053C" w:rsidP="00FE0193">
      <w:pPr>
        <w:pStyle w:val="1ff0"/>
        <w:numPr>
          <w:ilvl w:val="0"/>
          <w:numId w:val="110"/>
        </w:numPr>
      </w:pPr>
      <w:r w:rsidRPr="00BA4F0F">
        <w:t xml:space="preserve">множественные очаги в печени и/или селезенке (подозрение на гепатолиенальный кандидоз); </w:t>
      </w:r>
    </w:p>
    <w:p w14:paraId="0A234846" w14:textId="77777777" w:rsidR="0049053C" w:rsidRPr="00BA4F0F" w:rsidRDefault="0049053C" w:rsidP="00FE0193">
      <w:pPr>
        <w:pStyle w:val="1ff0"/>
        <w:numPr>
          <w:ilvl w:val="0"/>
          <w:numId w:val="110"/>
        </w:numPr>
      </w:pPr>
      <w:r w:rsidRPr="00BA4F0F">
        <w:t xml:space="preserve">предполагаемый инвазивный кандидоз. </w:t>
      </w:r>
    </w:p>
    <w:p w14:paraId="06986B1E" w14:textId="24E55506" w:rsidR="0049053C" w:rsidRPr="00BA4F0F" w:rsidRDefault="0049053C" w:rsidP="002F75C7">
      <w:pPr>
        <w:pStyle w:val="1ff0"/>
      </w:pPr>
      <w:r w:rsidRPr="00BA4F0F">
        <w:t xml:space="preserve">Чувствительность и специфичность исследования составляют около 50—60%. Интерпретация результатов должна быть осторожной, поскольку высока частота ложноположительных результатов. У больных с колонизацией слизистых оболочек кандидами выявляются положительные результаты определения антиманнана. </w:t>
      </w:r>
    </w:p>
    <w:p w14:paraId="20520E87" w14:textId="77777777" w:rsidR="0049053C" w:rsidRPr="00BA4F0F" w:rsidRDefault="0049053C" w:rsidP="002F75C7">
      <w:pPr>
        <w:pStyle w:val="1ff0"/>
      </w:pPr>
    </w:p>
    <w:p w14:paraId="07042677" w14:textId="77777777" w:rsidR="0049053C" w:rsidRPr="0004178E" w:rsidRDefault="0049053C" w:rsidP="002F75C7">
      <w:pPr>
        <w:pStyle w:val="1ff0"/>
        <w:rPr>
          <w:i/>
          <w:iCs/>
        </w:rPr>
      </w:pPr>
      <w:r w:rsidRPr="0004178E">
        <w:rPr>
          <w:i/>
          <w:iCs/>
        </w:rPr>
        <w:t>Антиген Cryptococcus (глюкуроноксиломаннан)</w:t>
      </w:r>
    </w:p>
    <w:p w14:paraId="45445967" w14:textId="77777777" w:rsidR="0049053C" w:rsidRPr="00BA4F0F" w:rsidRDefault="0049053C" w:rsidP="002F75C7">
      <w:pPr>
        <w:pStyle w:val="1ff0"/>
      </w:pPr>
      <w:r w:rsidRPr="00BA4F0F">
        <w:lastRenderedPageBreak/>
        <w:t xml:space="preserve">Обнаружение антигена Cryptococcus (глюкуроноксиломаннана) включено в критерии диагностики инвазивного криптоккоза. </w:t>
      </w:r>
    </w:p>
    <w:p w14:paraId="6A26AAC5" w14:textId="77777777" w:rsidR="0049053C" w:rsidRPr="00BA4F0F" w:rsidRDefault="0049053C" w:rsidP="002F75C7">
      <w:pPr>
        <w:pStyle w:val="1ff0"/>
      </w:pPr>
      <w:r w:rsidRPr="00BA4F0F">
        <w:t xml:space="preserve">Образцы для исследования: </w:t>
      </w:r>
    </w:p>
    <w:p w14:paraId="6872260D" w14:textId="77777777" w:rsidR="0049053C" w:rsidRPr="00BA4F0F" w:rsidRDefault="0049053C" w:rsidP="00FE0193">
      <w:pPr>
        <w:pStyle w:val="1ff0"/>
        <w:numPr>
          <w:ilvl w:val="0"/>
          <w:numId w:val="111"/>
        </w:numPr>
      </w:pPr>
      <w:r w:rsidRPr="00BA4F0F">
        <w:t xml:space="preserve">кровь; </w:t>
      </w:r>
    </w:p>
    <w:p w14:paraId="7E2A9C6E" w14:textId="77777777" w:rsidR="0049053C" w:rsidRPr="00BA4F0F" w:rsidRDefault="0049053C" w:rsidP="00FE0193">
      <w:pPr>
        <w:pStyle w:val="1ff0"/>
        <w:numPr>
          <w:ilvl w:val="0"/>
          <w:numId w:val="111"/>
        </w:numPr>
      </w:pPr>
      <w:r w:rsidRPr="00BA4F0F">
        <w:t xml:space="preserve">жидкость БАЛ; </w:t>
      </w:r>
    </w:p>
    <w:p w14:paraId="43C034C0" w14:textId="77777777" w:rsidR="0049053C" w:rsidRPr="00BA4F0F" w:rsidRDefault="0049053C" w:rsidP="00FE0193">
      <w:pPr>
        <w:pStyle w:val="1ff0"/>
        <w:numPr>
          <w:ilvl w:val="0"/>
          <w:numId w:val="111"/>
        </w:numPr>
      </w:pPr>
      <w:r w:rsidRPr="00BA4F0F">
        <w:t xml:space="preserve">СМЖ; </w:t>
      </w:r>
    </w:p>
    <w:p w14:paraId="3FB48F47" w14:textId="77777777" w:rsidR="0049053C" w:rsidRPr="00BA4F0F" w:rsidRDefault="0049053C" w:rsidP="00FE0193">
      <w:pPr>
        <w:pStyle w:val="1ff0"/>
        <w:numPr>
          <w:ilvl w:val="0"/>
          <w:numId w:val="111"/>
        </w:numPr>
      </w:pPr>
      <w:r w:rsidRPr="00BA4F0F">
        <w:t xml:space="preserve">моча. </w:t>
      </w:r>
    </w:p>
    <w:p w14:paraId="0CE9755B" w14:textId="77777777" w:rsidR="0049053C" w:rsidRPr="00BA4F0F" w:rsidRDefault="0049053C" w:rsidP="002F75C7">
      <w:pPr>
        <w:pStyle w:val="1ff0"/>
      </w:pPr>
      <w:r w:rsidRPr="00BA4F0F">
        <w:t xml:space="preserve">Высокой чувствительностью и специфичностью обладает латекс-тест (анализ качественный - положительный или отрицательный). </w:t>
      </w:r>
    </w:p>
    <w:p w14:paraId="7347E060" w14:textId="77777777" w:rsidR="0049053C" w:rsidRPr="00BA4F0F" w:rsidRDefault="0049053C" w:rsidP="002F75C7">
      <w:pPr>
        <w:pStyle w:val="1ff0"/>
      </w:pPr>
      <w:r w:rsidRPr="00BA4F0F">
        <w:t xml:space="preserve">Показания к определению антигена Cryptococcus (глюкуроноксиломаннан): </w:t>
      </w:r>
    </w:p>
    <w:p w14:paraId="2777A52F" w14:textId="77777777" w:rsidR="0049053C" w:rsidRPr="00BA4F0F" w:rsidRDefault="0049053C" w:rsidP="00FE0193">
      <w:pPr>
        <w:pStyle w:val="1ff0"/>
        <w:numPr>
          <w:ilvl w:val="0"/>
          <w:numId w:val="112"/>
        </w:numPr>
      </w:pPr>
      <w:r w:rsidRPr="00BA4F0F">
        <w:t xml:space="preserve">исследование всех первых образцов СМЖ при симптомах инфекции ЦНС у больных опухолями системы крови; </w:t>
      </w:r>
    </w:p>
    <w:p w14:paraId="3408BB8A" w14:textId="77777777" w:rsidR="0049053C" w:rsidRPr="00BA4F0F" w:rsidRDefault="0049053C" w:rsidP="00FE0193">
      <w:pPr>
        <w:pStyle w:val="1ff0"/>
        <w:numPr>
          <w:ilvl w:val="0"/>
          <w:numId w:val="112"/>
        </w:numPr>
      </w:pPr>
      <w:r w:rsidRPr="00BA4F0F">
        <w:t xml:space="preserve">исследование второго образца спинномозговой жидкости при некупируемой инфекции ЦНС; </w:t>
      </w:r>
    </w:p>
    <w:p w14:paraId="4E0F7134" w14:textId="77777777" w:rsidR="0049053C" w:rsidRPr="00BA4F0F" w:rsidRDefault="0049053C" w:rsidP="00FE0193">
      <w:pPr>
        <w:pStyle w:val="1ff0"/>
        <w:numPr>
          <w:ilvl w:val="0"/>
          <w:numId w:val="112"/>
        </w:numPr>
      </w:pPr>
      <w:r w:rsidRPr="00BA4F0F">
        <w:t xml:space="preserve">исследование антигена Cryptococcus (глюкуроноксиломаннан) в крови в случае предполагаемой криптококковой инфекции. </w:t>
      </w:r>
    </w:p>
    <w:p w14:paraId="4176AA16" w14:textId="2FA407BD" w:rsidR="0049053C" w:rsidRPr="00BA4F0F" w:rsidRDefault="0049053C" w:rsidP="002F75C7">
      <w:pPr>
        <w:pStyle w:val="1ff0"/>
      </w:pPr>
      <w:r w:rsidRPr="00BA4F0F">
        <w:t xml:space="preserve">Криптококкоз развивается, прежде всего, у больных с Т-клеточным иммунодефицитом (лимфома, хронический лимфолейкоз). Группу риска составляют больные, которые получают лечение глюкокортикоидами, флударабином, алемтузумабом, циклоспорином. </w:t>
      </w:r>
    </w:p>
    <w:p w14:paraId="0067F1CD" w14:textId="77777777" w:rsidR="0049053C" w:rsidRPr="00BA4F0F" w:rsidRDefault="0049053C" w:rsidP="002F75C7">
      <w:pPr>
        <w:pStyle w:val="1ff0"/>
        <w:rPr>
          <w:u w:val="single"/>
        </w:rPr>
      </w:pPr>
    </w:p>
    <w:p w14:paraId="2EB3F6DA" w14:textId="77777777" w:rsidR="0049053C" w:rsidRPr="0004178E" w:rsidRDefault="0049053C" w:rsidP="002F75C7">
      <w:pPr>
        <w:pStyle w:val="1ff0"/>
        <w:rPr>
          <w:i/>
          <w:iCs/>
        </w:rPr>
      </w:pPr>
      <w:r w:rsidRPr="0004178E">
        <w:rPr>
          <w:i/>
          <w:iCs/>
        </w:rPr>
        <w:t>Исследование крови на антитела к Мycoplasma pneumoniae (IgM, IgG), Chlamydia pneumoniae (IgM, IgG) в крови</w:t>
      </w:r>
    </w:p>
    <w:p w14:paraId="4911D792" w14:textId="77777777" w:rsidR="0049053C" w:rsidRPr="00BA4F0F" w:rsidRDefault="0049053C" w:rsidP="002F75C7">
      <w:pPr>
        <w:pStyle w:val="1ff0"/>
      </w:pPr>
      <w:r w:rsidRPr="00BA4F0F">
        <w:t xml:space="preserve">Показания — пневмония. </w:t>
      </w:r>
    </w:p>
    <w:p w14:paraId="4C87E41D" w14:textId="42C99A6D" w:rsidR="0049053C" w:rsidRPr="00BA4F0F" w:rsidRDefault="0049053C" w:rsidP="002F75C7">
      <w:pPr>
        <w:pStyle w:val="1ff0"/>
      </w:pPr>
      <w:r w:rsidRPr="00BA4F0F">
        <w:t xml:space="preserve">При положительных результатах определения IgG и наличии лихорадки исследование повторяют через 10—14 дней. </w:t>
      </w:r>
    </w:p>
    <w:p w14:paraId="144711D7" w14:textId="77777777" w:rsidR="0049053C" w:rsidRPr="00BA4F0F" w:rsidRDefault="0049053C" w:rsidP="002F75C7">
      <w:pPr>
        <w:pStyle w:val="1ff0"/>
      </w:pPr>
    </w:p>
    <w:p w14:paraId="05842EC4" w14:textId="77777777" w:rsidR="0049053C" w:rsidRPr="0004178E" w:rsidRDefault="0049053C" w:rsidP="002F75C7">
      <w:pPr>
        <w:pStyle w:val="1ff0"/>
        <w:rPr>
          <w:i/>
          <w:iCs/>
        </w:rPr>
      </w:pPr>
      <w:r w:rsidRPr="0004178E">
        <w:rPr>
          <w:i/>
          <w:iCs/>
        </w:rPr>
        <w:t>МРТ головного мозга</w:t>
      </w:r>
    </w:p>
    <w:p w14:paraId="3B02B785" w14:textId="77777777" w:rsidR="0049053C" w:rsidRPr="00BA4F0F" w:rsidRDefault="0049053C" w:rsidP="002F75C7">
      <w:pPr>
        <w:pStyle w:val="1ff0"/>
      </w:pPr>
      <w:r w:rsidRPr="00BA4F0F">
        <w:t xml:space="preserve">Показания – появление неврологической симптоматики, симптомов менингита. Развитие на фоне фебрильной нейтропении мозговой симптоматики. </w:t>
      </w:r>
    </w:p>
    <w:p w14:paraId="72474A7F" w14:textId="77777777" w:rsidR="0049053C" w:rsidRPr="00BA4F0F" w:rsidRDefault="0049053C" w:rsidP="002F75C7">
      <w:pPr>
        <w:pStyle w:val="1ff0"/>
      </w:pPr>
      <w:r w:rsidRPr="00BA4F0F">
        <w:t xml:space="preserve">При выявлении очага (очагов) в веществе головного мозга необходимо выполнение люмбальной пункции с последующими цитологическим и микробиологическими исследованиями. </w:t>
      </w:r>
    </w:p>
    <w:p w14:paraId="3401DA88" w14:textId="77777777" w:rsidR="0049053C" w:rsidRPr="00BA4F0F" w:rsidRDefault="0049053C" w:rsidP="002F75C7">
      <w:pPr>
        <w:pStyle w:val="1ff0"/>
        <w:rPr>
          <w:u w:val="single"/>
        </w:rPr>
      </w:pPr>
    </w:p>
    <w:p w14:paraId="46295891" w14:textId="77777777" w:rsidR="0049053C" w:rsidRPr="0004178E" w:rsidRDefault="0049053C" w:rsidP="002F75C7">
      <w:pPr>
        <w:pStyle w:val="1ff0"/>
        <w:rPr>
          <w:i/>
          <w:iCs/>
        </w:rPr>
      </w:pPr>
      <w:r w:rsidRPr="0004178E">
        <w:rPr>
          <w:i/>
          <w:iCs/>
        </w:rPr>
        <w:lastRenderedPageBreak/>
        <w:t>Ультразвуковое исследование или компьютерная томография органов брюшной полости</w:t>
      </w:r>
    </w:p>
    <w:p w14:paraId="3B377F41" w14:textId="77777777" w:rsidR="0049053C" w:rsidRPr="00BA4F0F" w:rsidRDefault="0049053C" w:rsidP="002F75C7">
      <w:pPr>
        <w:pStyle w:val="1ff0"/>
      </w:pPr>
      <w:r w:rsidRPr="00BA4F0F">
        <w:t>Показания — сохраняющаяся лихорадка (колебания температуры в течение суток от 37 до 39°С) при восстановлении числа нейтрофилов (число гранулоцитов &gt; 0,5 × 10</w:t>
      </w:r>
      <w:r w:rsidRPr="00BA4F0F">
        <w:rPr>
          <w:vertAlign w:val="superscript"/>
        </w:rPr>
        <w:t>9</w:t>
      </w:r>
      <w:r w:rsidRPr="00BA4F0F">
        <w:t xml:space="preserve"> /л). </w:t>
      </w:r>
    </w:p>
    <w:p w14:paraId="5B19AC84" w14:textId="4B362D5A" w:rsidR="0049053C" w:rsidRPr="00BA4F0F" w:rsidRDefault="0049053C" w:rsidP="002F75C7">
      <w:pPr>
        <w:pStyle w:val="1ff0"/>
      </w:pPr>
      <w:r w:rsidRPr="00BA4F0F">
        <w:t xml:space="preserve">УЗИ и КТ при гепатолиенальном кандидозе не являются взаимоисключающими диагностическими процедурами. У части больных очаги в печени и/или селезенке могут быть обнаружены только при УЗИ, у других — только при КТ. Наибольшее диагностическое значение имеет МРТ печени и селезенки. </w:t>
      </w:r>
    </w:p>
    <w:p w14:paraId="02FC1DDF" w14:textId="77777777" w:rsidR="0049053C" w:rsidRPr="00BA4F0F" w:rsidRDefault="0049053C" w:rsidP="002F75C7">
      <w:pPr>
        <w:pStyle w:val="1ff0"/>
      </w:pPr>
      <w:r w:rsidRPr="00BA4F0F">
        <w:t>При диагностике гепатолиенального кандидоза контрольное исследование проводят не ранее чем через 3—4 недели терапии системными противогрибковыми препаратами ввиду крайне медленной регрессии очагов.</w:t>
      </w:r>
    </w:p>
    <w:p w14:paraId="1D12A64B" w14:textId="77777777" w:rsidR="0049053C" w:rsidRPr="00BA4F0F" w:rsidRDefault="0049053C" w:rsidP="002F75C7">
      <w:pPr>
        <w:pStyle w:val="1ff0"/>
      </w:pPr>
      <w:r w:rsidRPr="00BA4F0F">
        <w:t>Оценивать состояние очагов (размеры, плотность) в печени и селезенке необходимо всегда при числе гранулоцитов &gt; 0,5 × 10</w:t>
      </w:r>
      <w:r w:rsidRPr="00BA4F0F">
        <w:rPr>
          <w:vertAlign w:val="superscript"/>
        </w:rPr>
        <w:t>9</w:t>
      </w:r>
      <w:r w:rsidRPr="00BA4F0F">
        <w:t xml:space="preserve"> /л. Проведение исследования в период нейтропении дает ложную информацию о меньшем размере очагов. </w:t>
      </w:r>
    </w:p>
    <w:p w14:paraId="6F823A27" w14:textId="77777777" w:rsidR="0049053C" w:rsidRPr="00BA4F0F" w:rsidRDefault="0049053C" w:rsidP="002F75C7">
      <w:pPr>
        <w:pStyle w:val="1ff0"/>
        <w:rPr>
          <w:u w:val="single"/>
        </w:rPr>
      </w:pPr>
    </w:p>
    <w:p w14:paraId="71FDCFC5" w14:textId="77777777" w:rsidR="0049053C" w:rsidRPr="0004178E" w:rsidRDefault="0049053C" w:rsidP="002F75C7">
      <w:pPr>
        <w:pStyle w:val="1ff0"/>
        <w:rPr>
          <w:i/>
          <w:iCs/>
        </w:rPr>
      </w:pPr>
      <w:r w:rsidRPr="0004178E">
        <w:rPr>
          <w:i/>
          <w:iCs/>
        </w:rPr>
        <w:t>Дополнительные исследования</w:t>
      </w:r>
    </w:p>
    <w:p w14:paraId="31189E18" w14:textId="77777777" w:rsidR="0049053C" w:rsidRPr="00BA4F0F" w:rsidRDefault="0049053C" w:rsidP="002F75C7">
      <w:pPr>
        <w:pStyle w:val="1ff0"/>
      </w:pPr>
      <w:r w:rsidRPr="00BA4F0F">
        <w:t>В случае внезапно развившейся нейтропении или тромбоцитопении либо длительно существующей необъяснимой нейтропении или тромбоцитопении необходимо провести исследования на ЦМВ (определение ДНК ЦМВ в крови), особенно у больных лифопролиферативными заболеваниями, а также у пациентов, длительно принимавших глюкокортикоиды.</w:t>
      </w:r>
    </w:p>
    <w:p w14:paraId="1875DD5B" w14:textId="77777777" w:rsidR="0049053C" w:rsidRPr="00BA4F0F" w:rsidRDefault="0049053C" w:rsidP="002F75C7">
      <w:pPr>
        <w:pStyle w:val="1ff0"/>
      </w:pPr>
      <w:r w:rsidRPr="00BA4F0F">
        <w:t xml:space="preserve">При тяжелой инфекции, особенно при бактериемии, может изменяться содержание С-реактивного белка, интерлейкинов (ИЛ-6, ИЛ-8) и прокальцитонина. Однако повышение этих маркеров происходит не всегда, особенно при вирусной или грибковой инфекции. Обнаружение биологически активных соединений в крови или повышение их уровня не является основанием для назначения антимикробных препаратов или изменения терапии инфекционных осложнений при стабильной клинической ситуации в период нейтропении. Не следует определять прокальцитонин и другие маркеры в первые часы повышения температуры, так как в любом случае при фебрильной нейтропении будет назначен антибиотик, и значения прокальцитонина не влияют на выбор антимикробного препарата. </w:t>
      </w:r>
    </w:p>
    <w:p w14:paraId="7CB9AF57" w14:textId="77777777" w:rsidR="0049053C" w:rsidRPr="00BA4F0F" w:rsidRDefault="0049053C" w:rsidP="002F75C7">
      <w:pPr>
        <w:pStyle w:val="1ff0"/>
        <w:rPr>
          <w:u w:val="single"/>
        </w:rPr>
      </w:pPr>
    </w:p>
    <w:p w14:paraId="384DCB32" w14:textId="77777777" w:rsidR="0049053C" w:rsidRPr="00BA4F0F" w:rsidRDefault="0049053C" w:rsidP="002F75C7">
      <w:pPr>
        <w:pStyle w:val="1ff0"/>
        <w:rPr>
          <w:u w:val="single"/>
        </w:rPr>
      </w:pPr>
      <w:r w:rsidRPr="00BA4F0F">
        <w:rPr>
          <w:u w:val="single"/>
        </w:rPr>
        <w:t>Профилактика инфекционных осложнений</w:t>
      </w:r>
    </w:p>
    <w:p w14:paraId="1B7919C7" w14:textId="3ACEF19A" w:rsidR="0049053C" w:rsidRPr="00C40CBC" w:rsidRDefault="0049053C" w:rsidP="002F75C7">
      <w:pPr>
        <w:pStyle w:val="1ff0"/>
        <w:rPr>
          <w:i/>
          <w:iCs/>
        </w:rPr>
      </w:pPr>
      <w:r w:rsidRPr="00C40CBC">
        <w:rPr>
          <w:i/>
          <w:iCs/>
        </w:rPr>
        <w:t xml:space="preserve">Противогрибковая профилактика </w:t>
      </w:r>
      <w:r w:rsidRPr="00C40CBC">
        <w:rPr>
          <w:i/>
          <w:iCs/>
        </w:rPr>
        <w:fldChar w:fldCharType="begin" w:fldLock="1"/>
      </w:r>
      <w:r w:rsidR="00A6794A">
        <w:rPr>
          <w:i/>
          <w:iCs/>
        </w:rPr>
        <w:instrText>ADDIN CSL_CITATION {"citationItems":[{"id":"ITEM-1","itemData":{"author":[{"dropping-particle":"","family":"Савченко В.Г. и др","given":"","non-dropping-particle":"","parse-names":false,"suffix":""}],"id":"ITEM-1","issued":{"date-parts":[["2018"]]},"number-of-pages":"1008","publisher":"Практика","publisher-place":"Москва","title":"Алгоритмы диагностики и протоколы лечения заболеваний системы крови.","type":"book"},"uris":["http://www.mendeley.com/documents/?uuid=f91ae641-8062-4f5f-b416-94b015742043","http://www.mendeley.com/documents/?uuid=2cd270b2-efaf-4da9-a95d-66324661ea35","http://www.mendeley.com/documents/?uuid=fe583573-532c-46dc-b4f4-f9d01345e27c","http://www.mendeley.com/documents/?uuid=26da25a5-bd21-4509-8e88-e4e6744fab98","http://www.mendeley.com/documents/?uuid=a1e2f5d6-ef05-4351-9481-13fad4fd103b","http://www.mendeley.com/documents/?uuid=478d6ce1-e425-4912-87db-adfee39f1ce9","http://www.mendeley.com/documents/?uuid=9cac36ab-7685-4894-b1cb-f141a1797526","http://www.mendeley.com/documents/?uuid=c0eae3a3-34ee-40e1-8813-566cb7fa2b4a"]}],"mendeley":{"formattedCitation":"[251]","plainTextFormattedCitation":"[251]","previouslyFormattedCitation":"[251]"},"properties":{"noteIndex":0},"schema":"https://github.com/citation-style-language/schema/raw/master/csl-citation.json"}</w:instrText>
      </w:r>
      <w:r w:rsidRPr="00C40CBC">
        <w:rPr>
          <w:i/>
          <w:iCs/>
        </w:rPr>
        <w:fldChar w:fldCharType="separate"/>
      </w:r>
      <w:r w:rsidR="006E1902" w:rsidRPr="006E1902">
        <w:rPr>
          <w:iCs/>
          <w:noProof/>
        </w:rPr>
        <w:t>[251]</w:t>
      </w:r>
      <w:r w:rsidRPr="00C40CBC">
        <w:rPr>
          <w:i/>
          <w:iCs/>
        </w:rPr>
        <w:fldChar w:fldCharType="end"/>
      </w:r>
    </w:p>
    <w:p w14:paraId="0FDEAE41" w14:textId="77777777" w:rsidR="0049053C" w:rsidRPr="00BA4F0F" w:rsidRDefault="0049053C" w:rsidP="002F75C7">
      <w:pPr>
        <w:pStyle w:val="1ff0"/>
      </w:pPr>
      <w:r w:rsidRPr="00BA4F0F">
        <w:lastRenderedPageBreak/>
        <w:t>Проводится пациентам с отягощенным анамнезом (острый диссеминированный кандидоз, хронический диссеминированный кандидоз, мукормикоз или инвазивный аспергиллез).</w:t>
      </w:r>
    </w:p>
    <w:p w14:paraId="6CCFA79C" w14:textId="77777777" w:rsidR="0049053C" w:rsidRPr="00BA4F0F" w:rsidRDefault="0049053C" w:rsidP="002F75C7">
      <w:pPr>
        <w:pStyle w:val="1ff0"/>
      </w:pPr>
      <w:r w:rsidRPr="00BA4F0F">
        <w:t xml:space="preserve">Назначают препарат, при использовании которого было достигнуто излечение от инвазивного микоза. </w:t>
      </w:r>
    </w:p>
    <w:p w14:paraId="755E0E1E" w14:textId="77777777" w:rsidR="0049053C" w:rsidRPr="00BA4F0F" w:rsidRDefault="0049053C" w:rsidP="002F75C7">
      <w:pPr>
        <w:pStyle w:val="1ff0"/>
      </w:pPr>
      <w:r w:rsidRPr="00BA4F0F">
        <w:t>Пациенты с наличием в анамнезе острого или хронического диссеминированного кандидоза (обычно один препарат из перечня):</w:t>
      </w:r>
    </w:p>
    <w:p w14:paraId="34509E3E" w14:textId="77777777" w:rsidR="0049053C" w:rsidRPr="00BA4F0F" w:rsidRDefault="0049053C" w:rsidP="00FE0193">
      <w:pPr>
        <w:pStyle w:val="1ff0"/>
        <w:numPr>
          <w:ilvl w:val="0"/>
          <w:numId w:val="113"/>
        </w:numPr>
      </w:pPr>
      <w:r w:rsidRPr="00BA4F0F">
        <w:t>Флуконазол, по 400 мг в сутки, внутривенно или внутрь.</w:t>
      </w:r>
    </w:p>
    <w:p w14:paraId="13D3886B" w14:textId="77777777" w:rsidR="0049053C" w:rsidRPr="00BA4F0F" w:rsidRDefault="0049053C" w:rsidP="00FE0193">
      <w:pPr>
        <w:pStyle w:val="1ff0"/>
        <w:numPr>
          <w:ilvl w:val="0"/>
          <w:numId w:val="113"/>
        </w:numPr>
      </w:pPr>
      <w:r w:rsidRPr="00BA4F0F">
        <w:t>Каспофунгин, по 50 мг в сутки внутривенно.</w:t>
      </w:r>
    </w:p>
    <w:p w14:paraId="352526D2" w14:textId="77777777" w:rsidR="0049053C" w:rsidRPr="00BA4F0F" w:rsidRDefault="0049053C" w:rsidP="00FE0193">
      <w:pPr>
        <w:pStyle w:val="1ff0"/>
        <w:numPr>
          <w:ilvl w:val="0"/>
          <w:numId w:val="113"/>
        </w:numPr>
      </w:pPr>
      <w:r w:rsidRPr="00BA4F0F">
        <w:t>Микафунгин, по 100 мг в сутки внутривенно.</w:t>
      </w:r>
    </w:p>
    <w:p w14:paraId="6D4F17BC" w14:textId="77777777" w:rsidR="0049053C" w:rsidRPr="00BA4F0F" w:rsidRDefault="0049053C" w:rsidP="00FE0193">
      <w:pPr>
        <w:pStyle w:val="1ff0"/>
        <w:numPr>
          <w:ilvl w:val="0"/>
          <w:numId w:val="113"/>
        </w:numPr>
      </w:pPr>
      <w:r w:rsidRPr="00BA4F0F">
        <w:t>Анидулафунгин, по 100 мг в сутки внутривенно.</w:t>
      </w:r>
    </w:p>
    <w:p w14:paraId="0E4E7226" w14:textId="77777777" w:rsidR="0049053C" w:rsidRPr="00BA4F0F" w:rsidRDefault="0049053C" w:rsidP="002F75C7">
      <w:pPr>
        <w:pStyle w:val="1ff0"/>
      </w:pPr>
      <w:r w:rsidRPr="00BA4F0F">
        <w:t>Пациенты с наличием в анамнезе инвазивного аспергиллеза (обычно один препарат из перечня):</w:t>
      </w:r>
    </w:p>
    <w:p w14:paraId="727DD02D" w14:textId="77777777" w:rsidR="0049053C" w:rsidRPr="00BA4F0F" w:rsidRDefault="0049053C" w:rsidP="00FE0193">
      <w:pPr>
        <w:pStyle w:val="1ff0"/>
        <w:numPr>
          <w:ilvl w:val="0"/>
          <w:numId w:val="114"/>
        </w:numPr>
      </w:pPr>
      <w:r w:rsidRPr="00BA4F0F">
        <w:t>Вориконазол, по 200 мг 2 раза в сутки внутрь (в таблетках, натощак) или внутривенно.</w:t>
      </w:r>
    </w:p>
    <w:p w14:paraId="5FA84D46" w14:textId="77777777" w:rsidR="0049053C" w:rsidRPr="00BA4F0F" w:rsidRDefault="0049053C" w:rsidP="00FE0193">
      <w:pPr>
        <w:pStyle w:val="1ff0"/>
        <w:numPr>
          <w:ilvl w:val="0"/>
          <w:numId w:val="114"/>
        </w:numPr>
      </w:pPr>
      <w:r w:rsidRPr="00BA4F0F">
        <w:t>Позаконазол (суспензия), по 200 мг 3 раза в сутки внутрь (после еды).</w:t>
      </w:r>
    </w:p>
    <w:p w14:paraId="56A96B3E" w14:textId="77777777" w:rsidR="0049053C" w:rsidRPr="00BA4F0F" w:rsidRDefault="0049053C" w:rsidP="00FE0193">
      <w:pPr>
        <w:pStyle w:val="1ff0"/>
        <w:numPr>
          <w:ilvl w:val="0"/>
          <w:numId w:val="114"/>
        </w:numPr>
      </w:pPr>
      <w:r w:rsidRPr="00BA4F0F">
        <w:t>Итраконазол (суспензия), по 200 мг 2 раза в сутки внутрь (натощак).</w:t>
      </w:r>
    </w:p>
    <w:p w14:paraId="3C840A2E" w14:textId="77777777" w:rsidR="0049053C" w:rsidRPr="00BA4F0F" w:rsidRDefault="0049053C" w:rsidP="00FE0193">
      <w:pPr>
        <w:pStyle w:val="1ff0"/>
        <w:numPr>
          <w:ilvl w:val="0"/>
          <w:numId w:val="114"/>
        </w:numPr>
      </w:pPr>
      <w:r w:rsidRPr="00BA4F0F">
        <w:t>Пациенты с наличием в анамнезе мукормикоза:</w:t>
      </w:r>
    </w:p>
    <w:p w14:paraId="30876CB1" w14:textId="77777777" w:rsidR="0049053C" w:rsidRPr="00BA4F0F" w:rsidRDefault="0049053C" w:rsidP="00FE0193">
      <w:pPr>
        <w:pStyle w:val="1ff0"/>
        <w:numPr>
          <w:ilvl w:val="0"/>
          <w:numId w:val="114"/>
        </w:numPr>
      </w:pPr>
      <w:r w:rsidRPr="00BA4F0F">
        <w:t xml:space="preserve">Позаконазол (суспензия), по 200 мг 3 раза в сутки внутрь (после еды). </w:t>
      </w:r>
    </w:p>
    <w:p w14:paraId="56617DF1" w14:textId="77777777" w:rsidR="0049053C" w:rsidRPr="00BA4F0F" w:rsidRDefault="0049053C" w:rsidP="002F75C7">
      <w:pPr>
        <w:pStyle w:val="1ff0"/>
      </w:pPr>
    </w:p>
    <w:p w14:paraId="752976DE" w14:textId="3B2284E2" w:rsidR="0049053C" w:rsidRPr="00C40CBC" w:rsidRDefault="0049053C" w:rsidP="002F75C7">
      <w:pPr>
        <w:pStyle w:val="1ff0"/>
        <w:rPr>
          <w:i/>
          <w:iCs/>
        </w:rPr>
      </w:pPr>
      <w:r w:rsidRPr="00C40CBC">
        <w:rPr>
          <w:i/>
          <w:iCs/>
        </w:rPr>
        <w:t xml:space="preserve">Противовирусная профилактика </w:t>
      </w:r>
      <w:r w:rsidRPr="00C40CBC">
        <w:rPr>
          <w:i/>
          <w:iCs/>
        </w:rPr>
        <w:fldChar w:fldCharType="begin" w:fldLock="1"/>
      </w:r>
      <w:r w:rsidR="00A6794A">
        <w:rPr>
          <w:i/>
          <w:iCs/>
        </w:rPr>
        <w:instrText>ADDIN CSL_CITATION {"citationItems":[{"id":"ITEM-1","itemData":{"DOI":"10.3324/haematol.2014.117176","ISSN":"15928721","PMID":"26432383","abstract":"The European Myeloma Network provides recommendations for the management of the most common complications of multiple myeloma. Whole body low-dose computed tomography is more sensitive than conventional radiography in depicting osteolytic disease and thus we recommend it as the novel standard for the detection of lytic lesions in myeloma (grade 1A). Myeloma patients with adequate renal function and bone disease at diagnosis should be treated with zoledronic acid or pamidronate (grade 1A). Symptomatic patients without lytic lesions on conventional radiography can be treated with zoledronic acid (grade 1B), but its advantage is not clear for patients with no bone involvement on computed tomography or magnetic resonance imaging. In asymptomatic myeloma, bisphosphonates are not recommended (grade 1A). Zoledronic acid should be given continuously, but it is not clear if patients who achieve at least a very good partial response benefit from its continuous use (grade 1B). Treatment with erythropoietic-stimulating agents may be initiated in patients with persistent symptomatic anemia (hemoglobin &lt;10g/dL) in whom other causes of anemia have been excluded (grade 1B). Erythropoietic agents should be stopped after 6-8 weeks if no adequate hemoglobin response is achieved. For renal impairment, bortezomib-based regimens are the current standard of care (grade 1A). For the management of treatment-induced peripheral neuropathy, drug modification is needed (grade 1C). Vaccination against influenza is recommended; vaccination against streptococcus pneumonia and hemophilus influenza is appropriate, but efficacy is not guaranteed due to suboptimal immune response (grade 1C). Prophylactic aciclovir (or valacyclovir) is recommended for patients receiving proteasome inhibitors, autologous or allogeneic transplantation (grade 1A).","author":[{"dropping-particle":"","family":"Terpos","given":"Evangelos","non-dropping-particle":"","parse-names":false,"suffix":""},{"dropping-particle":"","family":"Kleber","given":"Martina","non-dropping-particle":"","parse-names":false,"suffix":""},{"dropping-particle":"","family":"Engelhardt","given":"Monika","non-dropping-particle":"","parse-names":false,"suffix":""},{"dropping-particle":"","family":"Zweegman","given":"Sonja","non-dropping-particle":"","parse-names":false,"suffix":""},{"dropping-particle":"","family":"Gay","given":"Francesca","non-dropping-particle":"","parse-names":false,"suffix":""},{"dropping-particle":"","family":"Kastritis","given":"Efstathios","non-dropping-particle":"","parse-names":false,"suffix":""},{"dropping-particle":"","family":"Donk","given":"Niels W.C.J.","non-dropping-particle":"van de","parse-names":false,"suffix":""},{"dropping-particle":"","family":"Bruno","given":"Benedetto","non-dropping-particle":"","parse-names":false,"suffix":""},{"dropping-particle":"","family":"Sezer","given":"Orhan","non-dropping-particle":"","parse-names":false,"suffix":""},{"dropping-particle":"","family":"Broij","given":"Annemiek","non-dropping-particle":"","parse-names":false,"suffix":""},{"dropping-particle":"","family":"Bringhen","given":"Sara","non-dropping-particle":"","parse-names":false,"suffix":""},{"dropping-particle":"","family":"Beksac","given":"Meral","non-dropping-particle":"","parse-names":false,"suffix":""},{"dropping-particle":"","family":"Larocca","given":"Alessandra","non-dropping-particle":"","parse-names":false,"suffix":""},{"dropping-particle":"","family":"Hajek","given":"Roman","non-dropping-particle":"","parse-names":false,"suffix":""},{"dropping-particle":"","family":"Musto","given":"Pellegrino","non-dropping-particle":"","parse-names":false,"suffix":""},{"dropping-particle":"","family":"Johnsen","given":"Hans Erik","non-dropping-particle":"","parse-names":false,"suffix":""},{"dropping-particle":"","family":"Morabito","given":"Fortunato","non-dropping-particle":"","parse-names":false,"suffix":""},{"dropping-particle":"","family":"Ludwig","given":"Heinz","non-dropping-particle":"","parse-names":false,"suffix":""},{"dropping-particle":"","family":"Cavo","given":"Michele","non-dropping-particle":"","parse-names":false,"suffix":""},{"dropping-particle":"","family":"Einsele","given":"Hermann","non-dropping-particle":"","parse-names":false,"suffix":""},{"dropping-particle":"","family":"Sonneveld","given":"Pieter","non-dropping-particle":"","parse-names":false,"suffix":""},{"dropping-particle":"","family":"Dimopoulos","given":"Meletios A.","non-dropping-particle":"","parse-names":false,"suffix":""},{"dropping-particle":"","family":"Palumbo","given":"Antonio","non-dropping-particle":"","parse-names":false,"suffix":""}],"container-title":"Haematologica","id":"ITEM-1","issue":"10","issued":{"date-parts":[["2015","10"]]},"page":"1254-1266","publisher":"Ferrata Storti Foundation","title":"European myeloma network guidelines for the management of multiple myeloma-related complications","type":"article-journal","volume":"100"},"uris":["http://www.mendeley.com/documents/?uuid=aac7b897-8190-3c23-bc91-e35f2f0c34c2","http://www.mendeley.com/documents/?uuid=d764576b-b83c-433d-b5a2-7dad0d44d988","http://www.mendeley.com/documents/?uuid=ee597520-c0cc-44d1-88eb-388774bd8550","http://www.mendeley.com/documents/?uuid=c0612fc3-d7f0-4ab2-9abe-e086965714f4","http://www.mendeley.com/documents/?uuid=6d6938c8-1c2d-40c8-b1d1-d79df765c05d","http://www.mendeley.com/documents/?uuid=37f5270f-10ba-4092-bf91-5d27dd1c06ee","http://www.mendeley.com/documents/?uuid=b5a58553-9f9f-4514-b08b-dacb77967682","http://www.mendeley.com/documents/?uuid=a2dc2d73-6f14-4a34-af5c-17ae34364204"]}],"mendeley":{"formattedCitation":"[252]","plainTextFormattedCitation":"[252]","previouslyFormattedCitation":"[252]"},"properties":{"noteIndex":0},"schema":"https://github.com/citation-style-language/schema/raw/master/csl-citation.json"}</w:instrText>
      </w:r>
      <w:r w:rsidRPr="00C40CBC">
        <w:rPr>
          <w:i/>
          <w:iCs/>
        </w:rPr>
        <w:fldChar w:fldCharType="separate"/>
      </w:r>
      <w:r w:rsidR="006E1902" w:rsidRPr="006E1902">
        <w:rPr>
          <w:iCs/>
          <w:noProof/>
        </w:rPr>
        <w:t>[252]</w:t>
      </w:r>
      <w:r w:rsidRPr="00C40CBC">
        <w:rPr>
          <w:i/>
          <w:iCs/>
        </w:rPr>
        <w:fldChar w:fldCharType="end"/>
      </w:r>
    </w:p>
    <w:p w14:paraId="52C20734" w14:textId="77777777" w:rsidR="0049053C" w:rsidRPr="00BA4F0F" w:rsidRDefault="0049053C" w:rsidP="002F75C7">
      <w:pPr>
        <w:pStyle w:val="1ff0"/>
      </w:pPr>
      <w:r w:rsidRPr="00BA4F0F">
        <w:t xml:space="preserve">Показана пациентам, имеющим отягощенный анамнез (частые, рецидивирующие эпизоды герпетических инфекций). </w:t>
      </w:r>
    </w:p>
    <w:p w14:paraId="789B26BC" w14:textId="77777777" w:rsidR="0049053C" w:rsidRPr="00BA4F0F" w:rsidRDefault="0049053C" w:rsidP="002F75C7">
      <w:pPr>
        <w:pStyle w:val="1ff0"/>
      </w:pPr>
      <w:r w:rsidRPr="00BA4F0F">
        <w:t>Проводится пероральная профилактика валацикловиром в дозе 500 мг 2 раза в сутки или ацикловиром 250 мг/м</w:t>
      </w:r>
      <w:r w:rsidRPr="00BA4F0F">
        <w:rPr>
          <w:vertAlign w:val="superscript"/>
        </w:rPr>
        <w:t>2</w:t>
      </w:r>
      <w:r w:rsidRPr="00BA4F0F">
        <w:t xml:space="preserve"> х 2 раза в сутки с момента начала предтрансплантационного кондиционирования. </w:t>
      </w:r>
    </w:p>
    <w:p w14:paraId="7329FA1F" w14:textId="77777777" w:rsidR="0049053C" w:rsidRPr="00BA4F0F" w:rsidRDefault="0049053C" w:rsidP="002F75C7">
      <w:pPr>
        <w:pStyle w:val="1ff0"/>
      </w:pPr>
    </w:p>
    <w:p w14:paraId="2C6D72F8" w14:textId="48C43083" w:rsidR="0049053C" w:rsidRPr="00C40CBC" w:rsidRDefault="0049053C" w:rsidP="002F75C7">
      <w:pPr>
        <w:pStyle w:val="1ff0"/>
        <w:rPr>
          <w:i/>
          <w:iCs/>
        </w:rPr>
      </w:pPr>
      <w:r w:rsidRPr="00C40CBC">
        <w:rPr>
          <w:i/>
          <w:iCs/>
        </w:rPr>
        <w:t xml:space="preserve">Профилактика пневмоцистной пневмонии </w:t>
      </w:r>
      <w:r w:rsidRPr="00C40CBC">
        <w:rPr>
          <w:i/>
          <w:iCs/>
        </w:rPr>
        <w:fldChar w:fldCharType="begin" w:fldLock="1"/>
      </w:r>
      <w:r w:rsidR="00A6794A">
        <w:rPr>
          <w:i/>
          <w:iCs/>
        </w:rPr>
        <w:instrText>ADDIN CSL_CITATION {"citationItems":[{"id":"ITEM-1","itemData":{"author":[{"dropping-particle":"","family":"Савченко В.Г. и др","given":"","non-dropping-particle":"","parse-names":false,"suffix":""}],"id":"ITEM-1","issued":{"date-parts":[["2018"]]},"number-of-pages":"1008","publisher":"Практика","publisher-place":"Москва","title":"Алгоритмы диагностики и протоколы лечения заболеваний системы крови.","type":"book"},"uris":["http://www.mendeley.com/documents/?uuid=f91ae641-8062-4f5f-b416-94b015742043","http://www.mendeley.com/documents/?uuid=2cd270b2-efaf-4da9-a95d-66324661ea35","http://www.mendeley.com/documents/?uuid=fe583573-532c-46dc-b4f4-f9d01345e27c","http://www.mendeley.com/documents/?uuid=26da25a5-bd21-4509-8e88-e4e6744fab98","http://www.mendeley.com/documents/?uuid=a1e2f5d6-ef05-4351-9481-13fad4fd103b","http://www.mendeley.com/documents/?uuid=478d6ce1-e425-4912-87db-adfee39f1ce9","http://www.mendeley.com/documents/?uuid=9cac36ab-7685-4894-b1cb-f141a1797526","http://www.mendeley.com/documents/?uuid=c0eae3a3-34ee-40e1-8813-566cb7fa2b4a"]},{"id":"ITEM-2","itemData":{"DOI":"10.1093/jac/dkw157","ISSN":"14602091","PMID":"27550992","abstract":"The 5th European Conference on Infections in Leukaemia (ECIL-5) meeting aimed to establish evidence-based recommendations for the prophylaxis of Pneumocystis jirovecii pneumonia (PCP) in non-HIV-infected patients with an underlying haematological condition, including allogeneic HSCT recipients. Recommendations were based on the grading system of the IDSA. Trimethoprim/sulfamethoxazole given 2-3 times weekly is the drug of choice for the primary prophylaxis of PCP in adults (A-II) and children (A-I) and should be given during the entire period at risk. Recent data indicate that children may benefit equally from a once-weekly regimen (B-II). All other drugs, including pentamidine, atovaquone and dapsone, are considered second-line alternatives when trimethoprim/ sulfamethoxazole is poorly tolerated or contraindicated. The main indications of PCP prophylaxis are ALL, allogeneic HSCT, treatment with alemtuzumab, fludarabine/cyclophosphamide/rituximab combinations, &gt;4 weeks of treatmentwith corticosteroids andwell-defined primary immune deficiencies in children. Additional indications are proposed depending on the treatment regimen.","author":[{"dropping-particle":"","family":"Maertens","given":"Johan","non-dropping-particle":"","parse-names":false,"suffix":""},{"dropping-particle":"","family":"Cesaro","given":"Simone","non-dropping-particle":"","parse-names":false,"suffix":""},{"dropping-particle":"","family":"Maschmeyer","given":"Georg","non-dropping-particle":"","parse-names":false,"suffix":""},{"dropping-particle":"","family":"Einsele","given":"Hermann","non-dropping-particle":"","parse-names":false,"suffix":""},{"dropping-particle":"","family":"Donnelly","given":"J. Peter","non-dropping-particle":"","parse-names":false,"suffix":""},{"dropping-particle":"","family":"Alanio","given":"Alexandre","non-dropping-particle":"","parse-names":false,"suffix":""},{"dropping-particle":"","family":"Hauser","given":"Philippe","non-dropping-particle":"","parse-names":false,"suffix":""},{"dropping-particle":"","family":"Lagrou","given":"Katrien","non-dropping-particle":"","parse-names":false,"suffix":""},{"dropping-particle":"","family":"Melchers","given":"Willem J.G.","non-dropping-particle":"","parse-names":false,"suffix":""},{"dropping-particle":"","family":"Helweg-Larsen","given":"Jannik","non-dropping-particle":"","parse-names":false,"suffix":""},{"dropping-particle":"","family":"Matos","given":"Olga","non-dropping-particle":"","parse-names":false,"suffix":""},{"dropping-particle":"","family":"Bretagne","given":"Stéphane","non-dropping-particle":"","parse-names":false,"suffix":""},{"dropping-particle":"","family":"Cordonnier","given":"Catherine","non-dropping-particle":"","parse-names":false,"suffix":""},{"dropping-particle":"","family":"Agrawal","given":"Samir","non-dropping-particle":"","parse-names":false,"suffix":""},{"dropping-particle":"","family":"Kibbler","given":"Christopher","non-dropping-particle":"","parse-names":false,"suffix":""},{"dropping-particle":"","family":"Pagliuca","given":"Antonio","non-dropping-particle":"","parse-names":false,"suffix":""},{"dropping-particle":"","family":"Ward","given":"Katherine","non-dropping-particle":"","parse-names":false,"suffix":""},{"dropping-particle":"","family":"Akova","given":"Murat","non-dropping-particle":"","parse-names":false,"suffix":""},{"dropping-particle":"","family":"Herbrecht","given":"Raoul","non-dropping-particle":"","parse-names":false,"suffix":""},{"dropping-particle":"","family":"Mallet","given":"Vincent","non-dropping-particle":"","parse-names":false,"suffix":""},{"dropping-particle":"","family":"Ribaud","given":"Patricia","non-dropping-particle":"","parse-names":false,"suffix":""},{"dropping-particle":"","family":"Aljurf","given":"Mahmoud","non-dropping-particle":"","parse-names":false,"suffix":""},{"dropping-particle":"","family":"Averbuch","given":"Dina","non-dropping-particle":"","parse-names":false,"suffix":""},{"dropping-particle":"","family":"Engelhard","given":"Dan","non-dropping-particle":"","parse-names":false,"suffix":""},{"dropping-particle":"","family":"Berg","given":"Thomas","non-dropping-particle":"","parse-names":false,"suffix":""},{"dropping-particle":"","family":"Cornely","given":"Oliver","non-dropping-particle":"","parse-names":false,"suffix":""},{"dropping-particle":"","family":"Penack","given":"Olaf","non-dropping-particle":"","parse-names":false,"suffix":""},{"dropping-particle":"","family":"Boemmel","given":"Florian","non-dropping-particle":"van","parse-names":false,"suffix":""},{"dropping-particle":"","family":"Lilienfeld-Toal","given":"Marie","non-dropping-particle":"von","parse-names":false,"suffix":""},{"dropping-particle":"","family":"Blennow","given":"Ola","non-dropping-particle":"","parse-names":false,"suffix":""},{"dropping-particle":"","family":"Ljungman","given":"Per","non-dropping-particle":"","parse-names":false,"suffix":""},{"dropping-particle":"","family":"Bruggemann","given":"Roger","non-dropping-particle":"","parse-names":false,"suffix":""},{"dropping-particle":"","family":"Donnelly","given":"Peter","non-dropping-particle":"","parse-names":false,"suffix":""},{"dropping-particle":"","family":"Kullberg","given":"Bart Jan","non-dropping-particle":"","parse-names":false,"suffix":""},{"dropping-particle":"","family":"Melchers","given":"Willem","non-dropping-particle":"","parse-names":false,"suffix":""},{"dropping-particle":"","family":"Calandra","given":"Thierry","non-dropping-particle":"","parse-names":false,"suffix":""},{"dropping-particle":"","family":"Hirsch","given":"Hans","non-dropping-particle":"","parse-names":false,"suffix":""},{"dropping-particle":"","family":"Marchetti","given":"Oscar","non-dropping-particle":"","parse-names":false,"suffix":""},{"dropping-particle":"","family":"Orasch","given":"Christina","non-dropping-particle":"","parse-names":false,"suffix":""},{"dropping-particle":"","family":"Tissot","given":"Frederic","non-dropping-particle":"","parse-names":false,"suffix":""},{"dropping-particle":"","family":"Castagnola","given":"Elio","non-dropping-particle":"","parse-names":false,"suffix":""},{"dropping-particle":"","family":"Girmenia","given":"Corrado","non-dropping-particle":"","parse-names":false,"suffix":""},{"dropping-particle":"","family":"Mikulska","given":"Malgorzata","non-dropping-particle":"","parse-names":false,"suffix":""},{"dropping-particle":"","family":"Pagano","given":"Livio","non-dropping-particle":"","parse-names":false,"suffix":""},{"dropping-particle":"","family":"Viscoli","given":"Claudio","non-dropping-particle":"","parse-names":false,"suffix":""},{"dropping-particle":"","family":"La Camara","given":"Rafael","non-dropping-particle":"De","parse-names":false,"suffix":""},{"dropping-particle":"","family":"Duarte","given":"Rafael","non-dropping-particle":"","parse-names":false,"suffix":""},{"dropping-particle":"","family":"Munoz","given":"Patricia","non-dropping-particle":"","parse-names":false,"suffix":""},{"dropping-particle":"","family":"Drgona","given":"Lubos","non-dropping-particle":"","parse-names":false,"suffix":""},{"dropping-particle":"","family":"Hargreaves","given":"Ruth","non-dropping-particle":"","parse-names":false,"suffix":""},{"dropping-particle":"","family":"Hubacek","given":"Petr","non-dropping-particle":"","parse-names":false,"suffix":""},{"dropping-particle":"","family":"Kouba","given":"Michal","non-dropping-particle":"","parse-names":false,"suffix":""},{"dropping-particle":"","family":"Racil","given":"Zdenek","non-dropping-particle":"","parse-names":false,"suffix":""},{"dropping-particle":"","family":"Klyasova","given":"Galina","non-dropping-particle":"","parse-names":false,"suffix":""},{"dropping-particle":"","family":"Pettrikos","given":"George","non-dropping-particle":"","parse-names":false,"suffix":""},{"dropping-particle":"","family":"Roilides","given":"Emmanuel","non-dropping-particle":"","parse-names":false,"suffix":""},{"dropping-particle":"","family":"Skiada","given":"Anna","non-dropping-particle":"","parse-names":false,"suffix":""},{"dropping-particle":"","family":"Rizzi-Puechal","given":"Valérie","non-dropping-particle":"","parse-names":false,"suffix":""},{"dropping-particle":"","family":"Sinko","given":"Janos","non-dropping-particle":"","parse-names":false,"suffix":""},{"dropping-particle":"","family":"Slavin","given":"Monica","non-dropping-particle":"","parse-names":false,"suffix":""},{"dropping-particle":"","family":"Styczynski","given":"Jan","non-dropping-particle":"","parse-names":false,"suffix":""},{"dropping-particle":"","family":"Tweddle","given":"Lorraine","non-dropping-particle":"","parse-names":false,"suffix":""},{"dropping-particle":"","family":"Wood","given":"Craig","non-dropping-particle":"","parse-names":false,"suffix":""}],"container-title":"Journal of Antimicrobial Chemotherapy","id":"ITEM-2","issue":"9","issued":{"date-parts":[["2016","9","1"]]},"page":"1-8","publisher":"Oxford University Press","title":"ECIL guidelines for preventing Pneumocystis jirovecii pneumonia in patients with haematological malignancies and stem cell transplant recipients","type":"bill","volume":"71"},"uris":["http://www.mendeley.com/documents/?uuid=a0eb48bc-4417-4d24-8796-9587f2cfd3b7"]}],"mendeley":{"formattedCitation":"[251,253]","plainTextFormattedCitation":"[251,253]","previouslyFormattedCitation":"[251,253]"},"properties":{"noteIndex":0},"schema":"https://github.com/citation-style-language/schema/raw/master/csl-citation.json"}</w:instrText>
      </w:r>
      <w:r w:rsidRPr="00C40CBC">
        <w:rPr>
          <w:i/>
          <w:iCs/>
        </w:rPr>
        <w:fldChar w:fldCharType="separate"/>
      </w:r>
      <w:r w:rsidR="006E1902" w:rsidRPr="006E1902">
        <w:rPr>
          <w:iCs/>
          <w:noProof/>
        </w:rPr>
        <w:t>[251,253]</w:t>
      </w:r>
      <w:r w:rsidRPr="00C40CBC">
        <w:rPr>
          <w:i/>
          <w:iCs/>
        </w:rPr>
        <w:fldChar w:fldCharType="end"/>
      </w:r>
    </w:p>
    <w:p w14:paraId="7DE069BC" w14:textId="77777777" w:rsidR="0049053C" w:rsidRPr="00BA4F0F" w:rsidRDefault="0049053C" w:rsidP="002F75C7">
      <w:pPr>
        <w:pStyle w:val="1ff0"/>
      </w:pPr>
      <w:r w:rsidRPr="00BA4F0F">
        <w:t>Показания:</w:t>
      </w:r>
    </w:p>
    <w:p w14:paraId="254542BE" w14:textId="77777777" w:rsidR="0049053C" w:rsidRPr="00BA4F0F" w:rsidRDefault="0049053C" w:rsidP="00FE0193">
      <w:pPr>
        <w:pStyle w:val="1ff0"/>
        <w:numPr>
          <w:ilvl w:val="0"/>
          <w:numId w:val="115"/>
        </w:numPr>
      </w:pPr>
      <w:r w:rsidRPr="00BA4F0F">
        <w:t xml:space="preserve">Терапия глюкокортикоидами. </w:t>
      </w:r>
    </w:p>
    <w:p w14:paraId="6D1E26CC" w14:textId="77777777" w:rsidR="0049053C" w:rsidRPr="00BA4F0F" w:rsidRDefault="0049053C" w:rsidP="00FE0193">
      <w:pPr>
        <w:pStyle w:val="1ff0"/>
        <w:numPr>
          <w:ilvl w:val="0"/>
          <w:numId w:val="115"/>
        </w:numPr>
      </w:pPr>
      <w:r w:rsidRPr="00BA4F0F">
        <w:t>Лечение препаратами, приводящими к снижению числа лимфоцитов CD4.</w:t>
      </w:r>
    </w:p>
    <w:p w14:paraId="38C34DA8" w14:textId="77777777" w:rsidR="0049053C" w:rsidRPr="00BA4F0F" w:rsidRDefault="0049053C" w:rsidP="00FE0193">
      <w:pPr>
        <w:pStyle w:val="1ff0"/>
        <w:numPr>
          <w:ilvl w:val="0"/>
          <w:numId w:val="115"/>
        </w:numPr>
      </w:pPr>
      <w:r w:rsidRPr="00BA4F0F">
        <w:t>Пациенты, имеющие в анамнезе пневмоцистную пневмонию.</w:t>
      </w:r>
    </w:p>
    <w:p w14:paraId="3786EF16" w14:textId="77777777" w:rsidR="0049053C" w:rsidRPr="00BA4F0F" w:rsidRDefault="0049053C" w:rsidP="002F75C7">
      <w:pPr>
        <w:pStyle w:val="1ff0"/>
      </w:pPr>
      <w:r w:rsidRPr="00BA4F0F">
        <w:t>Назначают один из следующих препаратов:</w:t>
      </w:r>
    </w:p>
    <w:p w14:paraId="4E8EFCA7" w14:textId="77777777" w:rsidR="0049053C" w:rsidRPr="00BA4F0F" w:rsidRDefault="0049053C" w:rsidP="00FE0193">
      <w:pPr>
        <w:pStyle w:val="1ff0"/>
        <w:numPr>
          <w:ilvl w:val="0"/>
          <w:numId w:val="116"/>
        </w:numPr>
      </w:pPr>
      <w:r w:rsidRPr="00BA4F0F">
        <w:lastRenderedPageBreak/>
        <w:t xml:space="preserve">Триметоприм/сульфаметоксазол назначают по 480 мг ежедневно. </w:t>
      </w:r>
    </w:p>
    <w:p w14:paraId="5E7F6E74" w14:textId="77777777" w:rsidR="0049053C" w:rsidRPr="00BA4F0F" w:rsidRDefault="0049053C" w:rsidP="00FE0193">
      <w:pPr>
        <w:pStyle w:val="1ff0"/>
        <w:numPr>
          <w:ilvl w:val="0"/>
          <w:numId w:val="116"/>
        </w:numPr>
      </w:pPr>
      <w:r w:rsidRPr="00BA4F0F">
        <w:t>Дапсон, 100 мг внутрь ежедневно.</w:t>
      </w:r>
    </w:p>
    <w:p w14:paraId="59BD4589" w14:textId="77777777" w:rsidR="0049053C" w:rsidRPr="00BA4F0F" w:rsidRDefault="0049053C" w:rsidP="00FE0193">
      <w:pPr>
        <w:pStyle w:val="1ff0"/>
        <w:numPr>
          <w:ilvl w:val="0"/>
          <w:numId w:val="116"/>
        </w:numPr>
      </w:pPr>
      <w:r w:rsidRPr="00BA4F0F">
        <w:t>Пентамидин, 300 мг в виде аэрозоля через респираторный ингалятор или внутривенно каждые 3—4 недели.</w:t>
      </w:r>
    </w:p>
    <w:p w14:paraId="4D217A1A" w14:textId="77777777" w:rsidR="0049053C" w:rsidRPr="00BA4F0F" w:rsidRDefault="0049053C" w:rsidP="002F75C7">
      <w:pPr>
        <w:pStyle w:val="1ff0"/>
      </w:pPr>
      <w:r w:rsidRPr="00BA4F0F">
        <w:t>Препараты применяют в период цитостатической терапии и в течение всего периода нейтропении.</w:t>
      </w:r>
    </w:p>
    <w:p w14:paraId="18560F6A" w14:textId="77777777" w:rsidR="0049053C" w:rsidRPr="00BA4F0F" w:rsidRDefault="0049053C" w:rsidP="002F75C7">
      <w:pPr>
        <w:pStyle w:val="1ff0"/>
      </w:pPr>
      <w:r w:rsidRPr="00BA4F0F">
        <w:t xml:space="preserve">Использование триметоприма/сульфаметоксазола одновременно предупреждает инфекции, вызываемые Toxoplasma gondii, Listeria monocytogenes, Nocardia asteroides. </w:t>
      </w:r>
    </w:p>
    <w:p w14:paraId="389A126D" w14:textId="77777777" w:rsidR="0049053C" w:rsidRPr="00BA4F0F" w:rsidRDefault="0049053C" w:rsidP="002F75C7">
      <w:pPr>
        <w:pStyle w:val="1ff0"/>
      </w:pPr>
      <w:r w:rsidRPr="00BA4F0F">
        <w:t>Пациенты, инфицированные Pneumocystis jiroveci, не должны находиться в одной палате с другими иммунокомпрометированными больными.</w:t>
      </w:r>
      <w:r w:rsidRPr="00BA4F0F">
        <w:cr/>
      </w:r>
    </w:p>
    <w:p w14:paraId="09C1ACED" w14:textId="77777777" w:rsidR="0049053C" w:rsidRPr="00C40CBC" w:rsidRDefault="0049053C" w:rsidP="002F75C7">
      <w:pPr>
        <w:pStyle w:val="1ff0"/>
        <w:rPr>
          <w:i/>
          <w:iCs/>
        </w:rPr>
      </w:pPr>
      <w:r w:rsidRPr="00C40CBC">
        <w:rPr>
          <w:i/>
          <w:iCs/>
        </w:rPr>
        <w:t>Иммуноглобулин человеческий</w:t>
      </w:r>
    </w:p>
    <w:p w14:paraId="6613C4F4" w14:textId="77777777" w:rsidR="0049053C" w:rsidRPr="00BA4F0F" w:rsidRDefault="0049053C" w:rsidP="002F75C7">
      <w:pPr>
        <w:pStyle w:val="1ff0"/>
      </w:pPr>
      <w:r w:rsidRPr="00BA4F0F">
        <w:t xml:space="preserve">У пациентов после ауто-ТГСК развивается вторичный иммунодефицит. Для коррекции гипогаммаглобулинемии применяют препараты человеческого иммуноглобулина. Человеческий иммуноглобулин, восполняя дефицит антител, снижает риск развития инфекций у больных со вторичным иммунодефицитом. </w:t>
      </w:r>
    </w:p>
    <w:p w14:paraId="1F77C213" w14:textId="77777777" w:rsidR="0049053C" w:rsidRPr="00BA4F0F" w:rsidRDefault="0049053C" w:rsidP="002F75C7">
      <w:pPr>
        <w:pStyle w:val="1ff0"/>
      </w:pPr>
      <w:r w:rsidRPr="00BA4F0F">
        <w:t>До выхода больного из МТА рекомендовано введение препарата внутривенно капельно в дозе 0,4 г/кг еженедельно. При тяжелых бактериальных и вирусных инфекциях рекомендовано 0.4-1 г/кг ежедневно в течение 1-4 дней. Перед введением препарат следует согреть до комнатной температуры или температуры тела. Начальная скорость инфузии - 30 кап/мин (1.65 мл/мин), через 10 мин скорость увеличивают до 40 кап/мин (2.2 мл/мин).</w:t>
      </w:r>
    </w:p>
    <w:p w14:paraId="505D08ED" w14:textId="77777777" w:rsidR="0049053C" w:rsidRPr="00BA4F0F" w:rsidRDefault="0049053C" w:rsidP="002F75C7">
      <w:pPr>
        <w:pStyle w:val="1ff0"/>
        <w:rPr>
          <w:highlight w:val="green"/>
        </w:rPr>
      </w:pPr>
    </w:p>
    <w:p w14:paraId="6C525220" w14:textId="22E945F7" w:rsidR="0049053C" w:rsidRPr="00C40CBC" w:rsidRDefault="0049053C" w:rsidP="002F75C7">
      <w:pPr>
        <w:pStyle w:val="1ff0"/>
        <w:rPr>
          <w:u w:val="single"/>
        </w:rPr>
      </w:pPr>
      <w:bookmarkStart w:id="127" w:name="_Toc44926640"/>
      <w:r w:rsidRPr="00C40CBC">
        <w:rPr>
          <w:u w:val="single"/>
        </w:rPr>
        <w:t>Лабораторный и инструментальный мониторинг в раннем посттрансплантационном периоде</w:t>
      </w:r>
      <w:bookmarkEnd w:id="127"/>
    </w:p>
    <w:p w14:paraId="2D259860" w14:textId="77777777" w:rsidR="0049053C" w:rsidRPr="00BA4F0F" w:rsidRDefault="0049053C" w:rsidP="002F75C7">
      <w:pPr>
        <w:pStyle w:val="1ff0"/>
        <w:rPr>
          <w:rFonts w:eastAsia="Calibri"/>
        </w:rPr>
      </w:pPr>
      <w:r w:rsidRPr="00BA4F0F">
        <w:rPr>
          <w:rFonts w:eastAsia="Calibri"/>
        </w:rPr>
        <w:t xml:space="preserve">Всем пациентам в раннем посттрансплантационном периоде проводится регулярное исследование общего анализа крови (с целью коррекции анемии и тромбоцитопении), биохимических параметров (с целью коррекции электролитов, гипоальбуминемии), показателей коагулограммы с целью контроля гемостаза, общий анализ мочи, электрокардиограмма и др. методы исследования при необходимости, включая КТ легких, МРТ головного мозга, ХОЛТЕР-ЭКГ. </w:t>
      </w:r>
    </w:p>
    <w:p w14:paraId="1653735E" w14:textId="77777777" w:rsidR="0049053C" w:rsidRPr="00BA4F0F" w:rsidRDefault="0049053C" w:rsidP="002F75C7">
      <w:pPr>
        <w:pStyle w:val="1ff0"/>
        <w:rPr>
          <w:rFonts w:eastAsia="Calibri"/>
        </w:rPr>
      </w:pPr>
      <w:r w:rsidRPr="00BA4F0F">
        <w:rPr>
          <w:rFonts w:eastAsia="Calibri"/>
        </w:rPr>
        <w:t>Частота исследования данных показателей может изменяться в зависимости от конкретной клинической ситуации.</w:t>
      </w:r>
    </w:p>
    <w:p w14:paraId="1A7DA47C" w14:textId="05E3481C" w:rsidR="0049053C" w:rsidRPr="00C40CBC" w:rsidRDefault="0049053C" w:rsidP="00FE0193">
      <w:pPr>
        <w:pStyle w:val="1ff0"/>
        <w:numPr>
          <w:ilvl w:val="0"/>
          <w:numId w:val="115"/>
        </w:numPr>
      </w:pPr>
      <w:r w:rsidRPr="00C40CBC">
        <w:t>Общий анализ крови 1 раз в 2–3 дня.</w:t>
      </w:r>
    </w:p>
    <w:p w14:paraId="611BD986" w14:textId="7B51FE5C" w:rsidR="0049053C" w:rsidRPr="00C40CBC" w:rsidRDefault="0049053C" w:rsidP="00FE0193">
      <w:pPr>
        <w:pStyle w:val="1ff0"/>
        <w:numPr>
          <w:ilvl w:val="0"/>
          <w:numId w:val="115"/>
        </w:numPr>
      </w:pPr>
      <w:r w:rsidRPr="00C40CBC">
        <w:lastRenderedPageBreak/>
        <w:t>Биохимический анализ крови 1 раз в 2–3 дня.</w:t>
      </w:r>
    </w:p>
    <w:p w14:paraId="0474D787" w14:textId="1398055D" w:rsidR="0049053C" w:rsidRPr="00C40CBC" w:rsidRDefault="0049053C" w:rsidP="00FE0193">
      <w:pPr>
        <w:pStyle w:val="1ff0"/>
        <w:numPr>
          <w:ilvl w:val="0"/>
          <w:numId w:val="115"/>
        </w:numPr>
      </w:pPr>
      <w:r w:rsidRPr="00C40CBC">
        <w:t>Коагулограмма 1 раз в 3–4 дня.</w:t>
      </w:r>
    </w:p>
    <w:p w14:paraId="117D1476" w14:textId="4A1270AA" w:rsidR="0049053C" w:rsidRPr="00C40CBC" w:rsidRDefault="0049053C" w:rsidP="00FE0193">
      <w:pPr>
        <w:pStyle w:val="1ff0"/>
        <w:numPr>
          <w:ilvl w:val="0"/>
          <w:numId w:val="115"/>
        </w:numPr>
      </w:pPr>
      <w:r w:rsidRPr="00C40CBC">
        <w:t>Глюкоза крови 1 раз в 3–4 дня.</w:t>
      </w:r>
    </w:p>
    <w:p w14:paraId="0686B21C" w14:textId="40790638" w:rsidR="0049053C" w:rsidRPr="00C40CBC" w:rsidRDefault="0049053C" w:rsidP="00FE0193">
      <w:pPr>
        <w:pStyle w:val="1ff0"/>
        <w:numPr>
          <w:ilvl w:val="0"/>
          <w:numId w:val="115"/>
        </w:numPr>
      </w:pPr>
      <w:r w:rsidRPr="00C40CBC">
        <w:t>Общий анализ мочи - еженедельно.</w:t>
      </w:r>
    </w:p>
    <w:p w14:paraId="786B9B55" w14:textId="7DF071B9" w:rsidR="0049053C" w:rsidRPr="00C40CBC" w:rsidRDefault="0049053C" w:rsidP="00FE0193">
      <w:pPr>
        <w:pStyle w:val="1ff0"/>
        <w:numPr>
          <w:ilvl w:val="0"/>
          <w:numId w:val="115"/>
        </w:numPr>
      </w:pPr>
      <w:r w:rsidRPr="00C40CBC">
        <w:t>Электрокардиограмма - еженедельно.</w:t>
      </w:r>
    </w:p>
    <w:p w14:paraId="533310CD" w14:textId="77777777" w:rsidR="0049053C" w:rsidRPr="00BA4F0F" w:rsidRDefault="0049053C" w:rsidP="002F75C7">
      <w:pPr>
        <w:pStyle w:val="1ff0"/>
        <w:rPr>
          <w:highlight w:val="green"/>
        </w:rPr>
      </w:pPr>
      <w:bookmarkStart w:id="128" w:name="_Toc44926641"/>
    </w:p>
    <w:p w14:paraId="69186B4D" w14:textId="77777777" w:rsidR="0049053C" w:rsidRPr="00C40CBC" w:rsidRDefault="0049053C" w:rsidP="002F75C7">
      <w:pPr>
        <w:pStyle w:val="1ff0"/>
        <w:rPr>
          <w:u w:val="single"/>
        </w:rPr>
      </w:pPr>
      <w:r w:rsidRPr="00C40CBC">
        <w:rPr>
          <w:u w:val="single"/>
        </w:rPr>
        <w:t>Нутритивная терапия</w:t>
      </w:r>
      <w:bookmarkEnd w:id="128"/>
    </w:p>
    <w:p w14:paraId="68D95937" w14:textId="77777777" w:rsidR="0049053C" w:rsidRPr="00BA4F0F" w:rsidRDefault="0049053C" w:rsidP="002F75C7">
      <w:pPr>
        <w:pStyle w:val="1ff0"/>
      </w:pPr>
      <w:r w:rsidRPr="00BA4F0F">
        <w:t>Высокодозная химиотерапия с последующей ауто-ТГСК, длительный период гранулоцитопении, инфекционные осложнения, продолжительный период нахождения в стационаре – основные причины, приводящие к снижению поступления питательных веществ в организм и как следствие общей слабости, снижению физической активности, значимому уменьшению массы тела.</w:t>
      </w:r>
    </w:p>
    <w:p w14:paraId="75407090" w14:textId="10E8569A" w:rsidR="0049053C" w:rsidRPr="00BA4F0F" w:rsidRDefault="0049053C" w:rsidP="002F75C7">
      <w:pPr>
        <w:pStyle w:val="1ff0"/>
      </w:pPr>
      <w:r w:rsidRPr="00BA4F0F">
        <w:t xml:space="preserve">Недостаточным следует считать питание, при котором пациент не может сам обеспечить поступление более чем 60% от своих энергетических потребностей в течение 1–2 недель </w:t>
      </w:r>
      <w:r w:rsidRPr="00BA4F0F">
        <w:fldChar w:fldCharType="begin" w:fldLock="1"/>
      </w:r>
      <w:r w:rsidR="00A6794A">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d1a841f7-cf41-3658-b869-ec5c58850b6d","http://www.mendeley.com/documents/?uuid=b7d0213d-9037-458b-9137-8ba92417f389","http://www.mendeley.com/documents/?uuid=09a52a75-b0e4-4371-af21-5958257d9c6b","http://www.mendeley.com/documents/?uuid=a93dd076-f883-470f-9078-09d5bea12d18","http://www.mendeley.com/documents/?uuid=260337e2-8643-4a98-b22a-51f427e64df0","http://www.mendeley.com/documents/?uuid=d8f4044a-9d39-4071-8266-cbd0ae05b0d9","http://www.mendeley.com/documents/?uuid=a6673349-099e-4c86-922d-b6b69b73ee38"]},{"id":"ITEM-2","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Oncology","id":"ITEM-2","issue":"5","issued":{"date-parts":[["2018","5"]]},"page":"619-629","publisher":"Springer-Verlag Italia s.r.l.","title":"Nutritional support and parenteral nutrition in cancer patients: an expert consensus report","type":"article-journal","volume":"20"},"uris":["http://www.mendeley.com/documents/?uuid=555471fe-b9e3-303f-adcc-eecf69d63698","http://www.mendeley.com/documents/?uuid=ed2f4812-c506-484a-afb7-1bb5dae57ffb","http://www.mendeley.com/documents/?uuid=ddeb6586-712b-4c69-81e8-8e7e497e2d57","http://www.mendeley.com/documents/?uuid=99911acc-feb8-4597-a8e1-899d1f00b719","http://www.mendeley.com/documents/?uuid=dc45015e-2bbd-4e0a-8302-25dcb06c3c4c","http://www.mendeley.com/documents/?uuid=4a1cad31-99e3-4cf2-93ad-17d966d60db9","http://www.mendeley.com/documents/?uuid=c83d4cd9-a0be-448a-84b5-000651ccfa6e"]}],"mendeley":{"formattedCitation":"[158,254]","plainTextFormattedCitation":"[158,254]","previouslyFormattedCitation":"[158,254]"},"properties":{"noteIndex":0},"schema":"https://github.com/citation-style-language/schema/raw/master/csl-citation.json"}</w:instrText>
      </w:r>
      <w:r w:rsidRPr="00BA4F0F">
        <w:fldChar w:fldCharType="separate"/>
      </w:r>
      <w:r w:rsidR="006E1902" w:rsidRPr="006E1902">
        <w:rPr>
          <w:noProof/>
        </w:rPr>
        <w:t>[158,254]</w:t>
      </w:r>
      <w:r w:rsidRPr="00BA4F0F">
        <w:fldChar w:fldCharType="end"/>
      </w:r>
      <w:r w:rsidRPr="00BA4F0F">
        <w:t>.</w:t>
      </w:r>
    </w:p>
    <w:p w14:paraId="442B3F7F" w14:textId="6FAE6F63" w:rsidR="0049053C" w:rsidRPr="00BA4F0F" w:rsidRDefault="0049053C" w:rsidP="002F75C7">
      <w:pPr>
        <w:pStyle w:val="1ff0"/>
      </w:pPr>
      <w:r w:rsidRPr="00BA4F0F">
        <w:t xml:space="preserve">По данным ESPEN от 46 до 88% больных онкологического профиля в процессе противоопухолевого лечения требуют дополнительной нутритивной поддержке </w:t>
      </w:r>
      <w:r w:rsidRPr="00BA4F0F">
        <w:fldChar w:fldCharType="begin" w:fldLock="1"/>
      </w:r>
      <w:r w:rsidR="00A6794A">
        <w:instrText>ADDIN CSL_CITATION {"citationItems":[{"id":"ITEM-1","itemData":{"DOI":"10.1007/s12094-017-1757-4","ISSN":"16993055","PMID":"29043569","abstract":"Background: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Oncology","id":"ITEM-1","issue":"5","issued":{"date-parts":[["2018","5"]]},"page":"619-629","publisher":"Springer-Verlag Italia s.r.l.","title":"Nutritional support and parenteral nutrition in cancer patients: an expert consensus report","type":"article-journal","volume":"20"},"uris":["http://www.mendeley.com/documents/?uuid=c83d4cd9-a0be-448a-84b5-000651ccfa6e","http://www.mendeley.com/documents/?uuid=4a1cad31-99e3-4cf2-93ad-17d966d60db9","http://www.mendeley.com/documents/?uuid=dc45015e-2bbd-4e0a-8302-25dcb06c3c4c","http://www.mendeley.com/documents/?uuid=99911acc-feb8-4597-a8e1-899d1f00b719","http://www.mendeley.com/documents/?uuid=ddeb6586-712b-4c69-81e8-8e7e497e2d57","http://www.mendeley.com/documents/?uuid=ed2f4812-c506-484a-afb7-1bb5dae57ffb","http://www.mendeley.com/documents/?uuid=555471fe-b9e3-303f-adcc-eecf69d63698"]},{"id":"ITEM-2","itemData":{"author":[{"dropping-particle":"","family":"Бесова Н.С., Борисова Т.Н., Ларионова В.Б., Лейдерман И.Н., Обухова О.А., Попова Т.С., Салтанов А.И., Сельчук В.Ю., Снеговой А.В., Ткачев С.И., Тюляндин С.А.","given":"Шестопалов А.И.","non-dropping-particle":"","parse-names":false,"suffix":""}],"id":"ITEM-2","issued":{"date-parts":[["2014"]]},"title":"Клинические рекомендации по нутритивной поддержке при химиотерапии и/или лучевой терапии","type":"report"},"uris":["http://www.mendeley.com/documents/?uuid=fa470355-bcfd-3bef-a7a1-086215509c2d","http://www.mendeley.com/documents/?uuid=2da28a52-fa64-480f-9c45-312b59a7027b","http://www.mendeley.com/documents/?uuid=17acaf09-3d29-4b25-b43e-598e8835165d","http://www.mendeley.com/documents/?uuid=113bc17a-cb71-4ba2-afb9-083757d46c9b","http://www.mendeley.com/documents/?uuid=2db47854-c914-42bd-bd4d-a19b47e78e0d","http://www.mendeley.com/documents/?uuid=2475f28c-b7e0-408d-8d85-bd890e4862de","http://www.mendeley.com/documents/?uuid=59e000a3-48e0-4529-8954-5598c41cc72e"]}],"mendeley":{"formattedCitation":"[254,255]","plainTextFormattedCitation":"[254,255]","previouslyFormattedCitation":"[254,255]"},"properties":{"noteIndex":0},"schema":"https://github.com/citation-style-language/schema/raw/master/csl-citation.json"}</w:instrText>
      </w:r>
      <w:r w:rsidRPr="00BA4F0F">
        <w:fldChar w:fldCharType="separate"/>
      </w:r>
      <w:r w:rsidR="006E1902" w:rsidRPr="006E1902">
        <w:rPr>
          <w:noProof/>
        </w:rPr>
        <w:t>[254,255]</w:t>
      </w:r>
      <w:r w:rsidRPr="00BA4F0F">
        <w:fldChar w:fldCharType="end"/>
      </w:r>
      <w:r w:rsidRPr="00BA4F0F">
        <w:t>.</w:t>
      </w:r>
    </w:p>
    <w:p w14:paraId="4A2FB64A" w14:textId="2D6D0016" w:rsidR="0049053C" w:rsidRPr="00BA4F0F" w:rsidRDefault="0049053C" w:rsidP="002F75C7">
      <w:pPr>
        <w:pStyle w:val="1ff0"/>
      </w:pPr>
      <w:r w:rsidRPr="00BA4F0F">
        <w:t xml:space="preserve">Нутритивная поддержка – это способ обеспечения полноценного питания больных с использованием специальных средств, максимально сбалансированных в количественном и качественном соотношении. Нутритивная поддержка необходима не только для поддержания метаболических резервов организма, но и для повышения его устойчивости к проводимой терапии </w:t>
      </w:r>
      <w:r w:rsidRPr="00BA4F0F">
        <w:fldChar w:fldCharType="begin" w:fldLock="1"/>
      </w:r>
      <w:r w:rsidR="00A6794A">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id":"ITEM-2","itemData":{"DOI":"10.1016/j.clnu.2016.07.015","ISSN":"15321983","PMID":"27637832","abstract":"Cancers are among the leading causes of morbidity and mortality worldwide, and the number of new cases is expected to rise significantly over the next decades. At the same time, all types of cancer treatment, such as surgery, radiation therapy, and pharmacological therapies are improving in sophistication, precision and in the power to target specific characteristics of individual cancers. Thus, while many cancers may still not be cured they may be converted to chronic diseases. All of these treatments, however, are impeded or precluded by the frequent development of malnutrition and metabolic derangements in cancer patients, induced by the tumor or by its treatment. These evidence-based guidelines were developed to translate current best evidence and expert opinion into recommendations for multi-disciplinary teams responsible for identification, prevention, and treatment of reversible elements of malnutrition in adult cancer patients. The guidelines were commissioned and financially supported by ESPEN and by the European Partnership for Action Against Cancer (EPAAC), an EU level initiative. Members of the guideline group were selected by ESPEN to include a range of professions and fields of expertise. We searched for meta-analyses, systematic reviews and comparative studies based on clinical questions according to the PICO format. The evidence was evaluated and merged to develop clinical recommendations using the GRADE method. Due to the deficits in the available evidence, relevant still open questions were listed and should be addressed by future studies. Malnutrition and a loss of muscle mass are frequent in cancer patients and have a negative effect on clinical outcome. They may be driven by inadequate food intake, decreased physical activity and catabolic metabolic derangements. To screen for, prevent, assess in detail, monitor and treat malnutrition standard operating procedures, responsibilities and a quality control process should be established at each institution involved in treating cancer patients. All cancer patients should be screened regularly for the risk or the presence of malnutrition. In all patients – with the exception of end of life care – energy and substrate requirements should be met by offering in a step-wise manner nutritional interventions from counseling to parenteral nutrition. However, benefits and risks of nutritional interventions have to be balanced with special consideration in patients with advanced disease. Nutrition…","author":[{"dropping-particle":"","family":"Arends","given":"Jann","non-dropping-particle":"","parse-names":false,"suffix":""},{"dropping-particle":"","family":"Bachmann","given":"Patrick","non-dropping-particle":"","parse-names":false,"suffix":""},{"dropping-particle":"","family":"Baracos","given":"Vickie","non-dropping-particle":"","parse-names":false,"suffix":""},{"dropping-particle":"","family":"Barthelemy","given":"Nicole","non-dropping-particle":"","parse-names":false,"suffix":""},{"dropping-particle":"","family":"Bertz","given":"Hartmut","non-dropping-particle":"","parse-names":false,"suffix":""},{"dropping-particle":"","family":"Bozzetti","given":"Federico","non-dropping-particle":"","parse-names":false,"suffix":""},{"dropping-particle":"","family":"Fearon","given":"Ken","non-dropping-particle":"","parse-names":false,"suffix":""},{"dropping-particle":"","family":"Hütterer","given":"Elisabeth","non-dropping-particle":"","parse-names":false,"suffix":""},{"dropping-particle":"","family":"Isenring","given":"Elizabeth","non-dropping-particle":"","parse-names":false,"suffix":""},{"dropping-particle":"","family":"Kaasa","given":"Stein","non-dropping-particle":"","parse-names":false,"suffix":""},{"dropping-particle":"","family":"Krznaric","given":"Zeljko","non-dropping-particle":"","parse-names":false,"suffix":""},{"dropping-particle":"","family":"Laird","given":"Barry","non-dropping-particle":"","parse-names":false,"suffix":""},{"dropping-particle":"","family":"Larsson","given":"Maria","non-dropping-particle":"","parse-names":false,"suffix":""},{"dropping-particle":"","family":"Laviano","given":"Alessandro","non-dropping-particle":"","parse-names":false,"suffix":""},{"dropping-particle":"","family":"Mühlebach","given":"Stefan","non-dropping-particle":"","parse-names":false,"suffix":""},{"dropping-particle":"","family":"Muscaritoli","given":"Maurizio","non-dropping-particle":"","parse-names":false,"suffix":""},{"dropping-particle":"","family":"Oldervoll","given":"Line","non-dropping-particle":"","parse-names":false,"suffix":""},{"dropping-particle":"","family":"Ravasco","given":"Paula","non-dropping-particle":"","parse-names":false,"suffix":""},{"dropping-particle":"","family":"Solheim","given":"Tora","non-dropping-particle":"","parse-names":false,"suffix":""},{"dropping-particle":"","family":"Strasser","given":"Florian","non-dropping-particle":"","parse-names":false,"suffix":""},{"dropping-particle":"","family":"van der Schueren","given":"Marian","non-dropping-particle":"de","parse-names":false,"suffix":""},{"dropping-particle":"","family":"Preiser","given":"Jean Charles","non-dropping-particle":"","parse-names":false,"suffix":""}],"container-title":"Clinical Nutrition","id":"ITEM-2","issue":"1","issued":{"date-parts":[["2017"]]},"page":"11-48","publisher":"Churchill Livingstone","title":"ESPEN guidelines on nutrition in cancer patients","type":"article-journal","volume":"36"},"uris":["http://www.mendeley.com/documents/?uuid=2586b0c4-9eb6-4463-a0ba-87fe84fbad8f"]}],"mendeley":{"formattedCitation":"[158,256]","plainTextFormattedCitation":"[158,256]","previouslyFormattedCitation":"[158,256]"},"properties":{"noteIndex":0},"schema":"https://github.com/citation-style-language/schema/raw/master/csl-citation.json"}</w:instrText>
      </w:r>
      <w:r w:rsidRPr="00BA4F0F">
        <w:fldChar w:fldCharType="separate"/>
      </w:r>
      <w:r w:rsidR="006E1902" w:rsidRPr="006E1902">
        <w:rPr>
          <w:noProof/>
        </w:rPr>
        <w:t>[158,256]</w:t>
      </w:r>
      <w:r w:rsidRPr="00BA4F0F">
        <w:fldChar w:fldCharType="end"/>
      </w:r>
      <w:r w:rsidRPr="00BA4F0F">
        <w:t>.</w:t>
      </w:r>
    </w:p>
    <w:p w14:paraId="445FB498" w14:textId="6D1E46E5" w:rsidR="0049053C" w:rsidRPr="00C40CBC" w:rsidRDefault="0049053C" w:rsidP="002F75C7">
      <w:pPr>
        <w:pStyle w:val="1ff0"/>
        <w:rPr>
          <w:u w:val="single"/>
        </w:rPr>
      </w:pPr>
      <w:r w:rsidRPr="00C40CBC">
        <w:t>Цели нутритивной поддержки</w:t>
      </w:r>
      <w:r w:rsidRPr="00C40CBC">
        <w:rPr>
          <w:lang w:val="en-US"/>
        </w:rPr>
        <w:t xml:space="preserve"> </w:t>
      </w:r>
      <w:r w:rsidRPr="00BA4F0F">
        <w:fldChar w:fldCharType="begin" w:fldLock="1"/>
      </w:r>
      <w:r w:rsidR="00A6794A">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d1a841f7-cf41-3658-b869-ec5c58850b6d","http://www.mendeley.com/documents/?uuid=b7d0213d-9037-458b-9137-8ba92417f389","http://www.mendeley.com/documents/?uuid=09a52a75-b0e4-4371-af21-5958257d9c6b","http://www.mendeley.com/documents/?uuid=a93dd076-f883-470f-9078-09d5bea12d18","http://www.mendeley.com/documents/?uuid=260337e2-8643-4a98-b22a-51f427e64df0","http://www.mendeley.com/documents/?uuid=d8f4044a-9d39-4071-8266-cbd0ae05b0d9","http://www.mendeley.com/documents/?uuid=a6673349-099e-4c86-922d-b6b69b73ee38"]},{"id":"ITEM-2","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Oncology","id":"ITEM-2","issue":"5","issued":{"date-parts":[["2018","5"]]},"page":"619-629","publisher":"Springer-Verlag Italia s.r.l.","title":"Nutritional support and parenteral nutrition in cancer patients: an expert consensus report","type":"article-journal","volume":"20"},"uris":["http://www.mendeley.com/documents/?uuid=555471fe-b9e3-303f-adcc-eecf69d63698","http://www.mendeley.com/documents/?uuid=ed2f4812-c506-484a-afb7-1bb5dae57ffb","http://www.mendeley.com/documents/?uuid=ddeb6586-712b-4c69-81e8-8e7e497e2d57","http://www.mendeley.com/documents/?uuid=99911acc-feb8-4597-a8e1-899d1f00b719","http://www.mendeley.com/documents/?uuid=dc45015e-2bbd-4e0a-8302-25dcb06c3c4c","http://www.mendeley.com/documents/?uuid=4a1cad31-99e3-4cf2-93ad-17d966d60db9","http://www.mendeley.com/documents/?uuid=c83d4cd9-a0be-448a-84b5-000651ccfa6e"]}],"mendeley":{"formattedCitation":"[158,254]","plainTextFormattedCitation":"[158,254]","previouslyFormattedCitation":"[158,254]"},"properties":{"noteIndex":0},"schema":"https://github.com/citation-style-language/schema/raw/master/csl-citation.json"}</w:instrText>
      </w:r>
      <w:r w:rsidRPr="00BA4F0F">
        <w:fldChar w:fldCharType="separate"/>
      </w:r>
      <w:r w:rsidR="006E1902" w:rsidRPr="006E1902">
        <w:rPr>
          <w:noProof/>
        </w:rPr>
        <w:t>[158,254]</w:t>
      </w:r>
      <w:r w:rsidRPr="00BA4F0F">
        <w:fldChar w:fldCharType="end"/>
      </w:r>
      <w:r w:rsidR="00C40CBC" w:rsidRPr="00C40CBC">
        <w:t>:</w:t>
      </w:r>
    </w:p>
    <w:p w14:paraId="269FFCBE" w14:textId="2482D292" w:rsidR="0049053C" w:rsidRPr="00BA4F0F" w:rsidRDefault="0049053C" w:rsidP="00FE0193">
      <w:pPr>
        <w:pStyle w:val="1ff0"/>
        <w:numPr>
          <w:ilvl w:val="0"/>
          <w:numId w:val="115"/>
        </w:numPr>
      </w:pPr>
      <w:r w:rsidRPr="00BA4F0F">
        <w:t>Поддержание оптимальной массы тела.</w:t>
      </w:r>
    </w:p>
    <w:p w14:paraId="62AFD079" w14:textId="49D5016E" w:rsidR="0049053C" w:rsidRPr="00BA4F0F" w:rsidRDefault="0049053C" w:rsidP="00FE0193">
      <w:pPr>
        <w:pStyle w:val="1ff0"/>
        <w:numPr>
          <w:ilvl w:val="0"/>
          <w:numId w:val="115"/>
        </w:numPr>
      </w:pPr>
      <w:r w:rsidRPr="00BA4F0F">
        <w:t>Предотвращение или коррекция дефицита макро- и микронутриентов.</w:t>
      </w:r>
    </w:p>
    <w:p w14:paraId="0DDDAECA" w14:textId="0BA4C35D" w:rsidR="0049053C" w:rsidRPr="00BA4F0F" w:rsidRDefault="0049053C" w:rsidP="00FE0193">
      <w:pPr>
        <w:pStyle w:val="1ff0"/>
        <w:numPr>
          <w:ilvl w:val="0"/>
          <w:numId w:val="115"/>
        </w:numPr>
      </w:pPr>
      <w:r w:rsidRPr="00BA4F0F">
        <w:t>Повышение переносимости высокодозной ХТ.</w:t>
      </w:r>
    </w:p>
    <w:p w14:paraId="0C874664" w14:textId="4AE77790" w:rsidR="0049053C" w:rsidRPr="00BA4F0F" w:rsidRDefault="0049053C" w:rsidP="00FE0193">
      <w:pPr>
        <w:pStyle w:val="1ff0"/>
        <w:numPr>
          <w:ilvl w:val="0"/>
          <w:numId w:val="115"/>
        </w:numPr>
      </w:pPr>
      <w:r w:rsidRPr="00BA4F0F">
        <w:t>Снижение выраженности побочных эффектов ХТ.</w:t>
      </w:r>
    </w:p>
    <w:p w14:paraId="3CA416FC" w14:textId="2CE2B2AB" w:rsidR="0049053C" w:rsidRPr="00BA4F0F" w:rsidRDefault="0049053C" w:rsidP="00FE0193">
      <w:pPr>
        <w:pStyle w:val="1ff0"/>
        <w:numPr>
          <w:ilvl w:val="0"/>
          <w:numId w:val="115"/>
        </w:numPr>
      </w:pPr>
      <w:r w:rsidRPr="00BA4F0F">
        <w:t>Повышение качества жизни.</w:t>
      </w:r>
    </w:p>
    <w:p w14:paraId="7E12A546" w14:textId="77777777" w:rsidR="0049053C" w:rsidRPr="00BA4F0F" w:rsidRDefault="0049053C" w:rsidP="002F75C7">
      <w:pPr>
        <w:pStyle w:val="1ff0"/>
        <w:rPr>
          <w:u w:val="single"/>
        </w:rPr>
      </w:pPr>
    </w:p>
    <w:p w14:paraId="2C5B6591" w14:textId="77777777" w:rsidR="0049053C" w:rsidRPr="00C40CBC" w:rsidRDefault="0049053C" w:rsidP="002F75C7">
      <w:pPr>
        <w:pStyle w:val="1ff0"/>
        <w:rPr>
          <w:i/>
          <w:iCs/>
        </w:rPr>
      </w:pPr>
      <w:r w:rsidRPr="00C40CBC">
        <w:rPr>
          <w:i/>
          <w:iCs/>
        </w:rPr>
        <w:t xml:space="preserve">Показания к нутритивной поддержке </w:t>
      </w:r>
    </w:p>
    <w:p w14:paraId="49543E52" w14:textId="77777777" w:rsidR="0049053C" w:rsidRPr="00BA4F0F" w:rsidRDefault="0049053C" w:rsidP="002F75C7">
      <w:pPr>
        <w:pStyle w:val="1ff0"/>
      </w:pPr>
      <w:r w:rsidRPr="00BA4F0F">
        <w:t>Скрининг недостаточности питания должен проводиться на протяжении всего периода лечения. Для диагностики степени недостаточности питания предложено много критериев, основными из которых являются:</w:t>
      </w:r>
    </w:p>
    <w:p w14:paraId="3FE7B70A" w14:textId="77777777" w:rsidR="0049053C" w:rsidRPr="00BA4F0F" w:rsidRDefault="0049053C" w:rsidP="00FE0193">
      <w:pPr>
        <w:pStyle w:val="1ff0"/>
        <w:numPr>
          <w:ilvl w:val="0"/>
          <w:numId w:val="115"/>
        </w:numPr>
      </w:pPr>
      <w:r w:rsidRPr="00BA4F0F">
        <w:lastRenderedPageBreak/>
        <w:t>индекс массы тела &lt; 20 кг/м</w:t>
      </w:r>
      <w:r w:rsidRPr="00C40CBC">
        <w:rPr>
          <w:vertAlign w:val="superscript"/>
        </w:rPr>
        <w:t>2</w:t>
      </w:r>
      <w:r w:rsidRPr="00BA4F0F">
        <w:t>;</w:t>
      </w:r>
    </w:p>
    <w:p w14:paraId="3765E003" w14:textId="77777777" w:rsidR="0049053C" w:rsidRPr="00BA4F0F" w:rsidRDefault="0049053C" w:rsidP="00FE0193">
      <w:pPr>
        <w:pStyle w:val="1ff0"/>
        <w:numPr>
          <w:ilvl w:val="0"/>
          <w:numId w:val="115"/>
        </w:numPr>
      </w:pPr>
      <w:r w:rsidRPr="00BA4F0F">
        <w:t>темп потери массы тела;</w:t>
      </w:r>
    </w:p>
    <w:p w14:paraId="5A4FA3B6" w14:textId="77777777" w:rsidR="0049053C" w:rsidRPr="00BA4F0F" w:rsidRDefault="0049053C" w:rsidP="00FE0193">
      <w:pPr>
        <w:pStyle w:val="1ff0"/>
        <w:numPr>
          <w:ilvl w:val="0"/>
          <w:numId w:val="115"/>
        </w:numPr>
      </w:pPr>
      <w:r w:rsidRPr="00BA4F0F">
        <w:t>гипопротеинемия &lt; 60 г/л или гипоальбуминемия &lt; 30 г/л.;</w:t>
      </w:r>
    </w:p>
    <w:p w14:paraId="3C48680A" w14:textId="77777777" w:rsidR="0049053C" w:rsidRPr="00BA4F0F" w:rsidRDefault="0049053C" w:rsidP="00FE0193">
      <w:pPr>
        <w:pStyle w:val="1ff0"/>
        <w:numPr>
          <w:ilvl w:val="0"/>
          <w:numId w:val="115"/>
        </w:numPr>
      </w:pPr>
      <w:r w:rsidRPr="00BA4F0F">
        <w:t>невозможность адекватного энтерального питания;</w:t>
      </w:r>
    </w:p>
    <w:p w14:paraId="40CC2931" w14:textId="77777777" w:rsidR="0049053C" w:rsidRPr="00BA4F0F" w:rsidRDefault="0049053C" w:rsidP="00FE0193">
      <w:pPr>
        <w:pStyle w:val="1ff0"/>
        <w:numPr>
          <w:ilvl w:val="0"/>
          <w:numId w:val="115"/>
        </w:numPr>
      </w:pPr>
      <w:r w:rsidRPr="00BA4F0F">
        <w:t xml:space="preserve">побочные проявления высокодозной химиотерапии: </w:t>
      </w:r>
    </w:p>
    <w:p w14:paraId="7355034E" w14:textId="77777777" w:rsidR="0049053C" w:rsidRPr="00BA4F0F" w:rsidRDefault="0049053C" w:rsidP="00FE0193">
      <w:pPr>
        <w:pStyle w:val="1ff0"/>
        <w:numPr>
          <w:ilvl w:val="0"/>
          <w:numId w:val="115"/>
        </w:numPr>
      </w:pPr>
      <w:r w:rsidRPr="00BA4F0F">
        <w:t>тошнота,</w:t>
      </w:r>
    </w:p>
    <w:p w14:paraId="1F6CC49E" w14:textId="77777777" w:rsidR="0049053C" w:rsidRPr="00BA4F0F" w:rsidRDefault="0049053C" w:rsidP="00FE0193">
      <w:pPr>
        <w:pStyle w:val="1ff0"/>
        <w:numPr>
          <w:ilvl w:val="0"/>
          <w:numId w:val="115"/>
        </w:numPr>
      </w:pPr>
      <w:r w:rsidRPr="00BA4F0F">
        <w:t xml:space="preserve">рвота, </w:t>
      </w:r>
    </w:p>
    <w:p w14:paraId="2ABFAFDA" w14:textId="77777777" w:rsidR="0049053C" w:rsidRPr="00BA4F0F" w:rsidRDefault="0049053C" w:rsidP="00FE0193">
      <w:pPr>
        <w:pStyle w:val="1ff0"/>
        <w:numPr>
          <w:ilvl w:val="0"/>
          <w:numId w:val="115"/>
        </w:numPr>
      </w:pPr>
      <w:r w:rsidRPr="00BA4F0F">
        <w:t xml:space="preserve">потеря аппетита, </w:t>
      </w:r>
    </w:p>
    <w:p w14:paraId="16C9F87E" w14:textId="77777777" w:rsidR="0049053C" w:rsidRPr="00BA4F0F" w:rsidRDefault="0049053C" w:rsidP="00FE0193">
      <w:pPr>
        <w:pStyle w:val="1ff0"/>
        <w:numPr>
          <w:ilvl w:val="0"/>
          <w:numId w:val="115"/>
        </w:numPr>
      </w:pPr>
      <w:r w:rsidRPr="00BA4F0F">
        <w:t xml:space="preserve">дисфагия, </w:t>
      </w:r>
    </w:p>
    <w:p w14:paraId="5D4EB963" w14:textId="77777777" w:rsidR="0049053C" w:rsidRPr="00BA4F0F" w:rsidRDefault="0049053C" w:rsidP="00FE0193">
      <w:pPr>
        <w:pStyle w:val="1ff0"/>
        <w:numPr>
          <w:ilvl w:val="0"/>
          <w:numId w:val="115"/>
        </w:numPr>
      </w:pPr>
      <w:r w:rsidRPr="00BA4F0F">
        <w:t>мукозиты различной степени тяжести,</w:t>
      </w:r>
    </w:p>
    <w:p w14:paraId="302AECF9" w14:textId="77777777" w:rsidR="0049053C" w:rsidRPr="00BA4F0F" w:rsidRDefault="0049053C" w:rsidP="00FE0193">
      <w:pPr>
        <w:pStyle w:val="1ff0"/>
        <w:numPr>
          <w:ilvl w:val="0"/>
          <w:numId w:val="115"/>
        </w:numPr>
      </w:pPr>
      <w:r w:rsidRPr="00BA4F0F">
        <w:t xml:space="preserve">нарушения вкуса и обоняния, </w:t>
      </w:r>
    </w:p>
    <w:p w14:paraId="79D1D668" w14:textId="77777777" w:rsidR="0049053C" w:rsidRPr="00BA4F0F" w:rsidRDefault="0049053C" w:rsidP="00FE0193">
      <w:pPr>
        <w:pStyle w:val="1ff0"/>
        <w:numPr>
          <w:ilvl w:val="0"/>
          <w:numId w:val="115"/>
        </w:numPr>
      </w:pPr>
      <w:r w:rsidRPr="00BA4F0F">
        <w:t>некротическая энтеропатия средней и тяжелой степени.</w:t>
      </w:r>
    </w:p>
    <w:p w14:paraId="021B5EB4" w14:textId="23105DD0" w:rsidR="0049053C" w:rsidRPr="00BA4F0F" w:rsidRDefault="0049053C" w:rsidP="002F75C7">
      <w:pPr>
        <w:pStyle w:val="1ff0"/>
      </w:pPr>
      <w:r w:rsidRPr="00BA4F0F">
        <w:t xml:space="preserve">Своевременное выявление пациентов из группы нутритивного риска позволяет защитить пациента от прогрессирующей потери массы тела и развития рефрактерной кахексии. Для первичного скрининга можно использовать хорошо зарекомендовавшие себя шкалы, такие как NRS-2002, ИНР (индекс нарушения питания по Buzby G.P.), бальную шкалу А.Б.В.Г. (ESMO, 2008), индекс массы тела по Кетле и другие </w:t>
      </w:r>
      <w:r w:rsidR="00C40CBC">
        <w:fldChar w:fldCharType="begin" w:fldLock="1"/>
      </w:r>
      <w:r w:rsidR="00A6794A">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id":"ITEM-2","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Oncology","id":"ITEM-2","issue":"5","issued":{"date-parts":[["2018","5"]]},"page":"619-629","publisher":"Springer-Verlag Italia s.r.l.","title":"Nutritional support and parenteral nutrition in cancer patients: an expert consensus report","type":"article-journal","volume":"20"},"uris":["http://www.mendeley.com/documents/?uuid=c83d4cd9-a0be-448a-84b5-000651ccfa6e","http://www.mendeley.com/documents/?uuid=4a1cad31-99e3-4cf2-93ad-17d966d60db9","http://www.mendeley.com/documents/?uuid=dc45015e-2bbd-4e0a-8302-25dcb06c3c4c","http://www.mendeley.com/documents/?uuid=99911acc-feb8-4597-a8e1-899d1f00b719","http://www.mendeley.com/documents/?uuid=ddeb6586-712b-4c69-81e8-8e7e497e2d57","http://www.mendeley.com/documents/?uuid=ed2f4812-c506-484a-afb7-1bb5dae57ffb","http://www.mendeley.com/documents/?uuid=555471fe-b9e3-303f-adcc-eecf69d63698"]},{"id":"ITEM-3","itemData":{"author":[{"dropping-particle":"","family":"Бесова Н.С., Борисова Т.Н., Ларионова В.Б., Лейдерман И.Н., Обухова О.А., Попова Т.С., Салтанов А.И., Сельчук В.Ю., Снеговой А.В., Ткачев С.И., Тюляндин С.А.","given":"Шестопалов А.И.","non-dropping-particle":"","parse-names":false,"suffix":""}],"id":"ITEM-3","issued":{"date-parts":[["2014"]]},"title":"Клинические рекомендации по нутритивной поддержке при химиотерапии и/или лучевой терапии","type":"report"},"uris":["http://www.mendeley.com/documents/?uuid=59e000a3-48e0-4529-8954-5598c41cc72e","http://www.mendeley.com/documents/?uuid=2475f28c-b7e0-408d-8d85-bd890e4862de","http://www.mendeley.com/documents/?uuid=2db47854-c914-42bd-bd4d-a19b47e78e0d","http://www.mendeley.com/documents/?uuid=113bc17a-cb71-4ba2-afb9-083757d46c9b","http://www.mendeley.com/documents/?uuid=17acaf09-3d29-4b25-b43e-598e8835165d","http://www.mendeley.com/documents/?uuid=2da28a52-fa64-480f-9c45-312b59a7027b","http://www.mendeley.com/documents/?uuid=fa470355-bcfd-3bef-a7a1-086215509c2d"]}],"mendeley":{"formattedCitation":"[158,254,255]","plainTextFormattedCitation":"[158,254,255]","previouslyFormattedCitation":"[158,254,255]"},"properties":{"noteIndex":0},"schema":"https://github.com/citation-style-language/schema/raw/master/csl-citation.json"}</w:instrText>
      </w:r>
      <w:r w:rsidR="00C40CBC">
        <w:fldChar w:fldCharType="separate"/>
      </w:r>
      <w:r w:rsidR="006E1902" w:rsidRPr="006E1902">
        <w:rPr>
          <w:noProof/>
        </w:rPr>
        <w:t>[158,254,255]</w:t>
      </w:r>
      <w:r w:rsidR="00C40CBC">
        <w:fldChar w:fldCharType="end"/>
      </w:r>
      <w:r w:rsidRPr="00BA4F0F">
        <w:t xml:space="preserve">. </w:t>
      </w:r>
    </w:p>
    <w:p w14:paraId="6F0CC9DF" w14:textId="20FA810C" w:rsidR="0049053C" w:rsidRPr="00BA4F0F" w:rsidRDefault="0049053C" w:rsidP="002F75C7">
      <w:pPr>
        <w:pStyle w:val="1ff0"/>
      </w:pPr>
      <w:r w:rsidRPr="00BA4F0F">
        <w:t xml:space="preserve">В том случае, если проведение энтерального питания невозможно или неэффективно, необходимо назначать парентеральное питание </w:t>
      </w:r>
      <w:r w:rsidRPr="00BA4F0F">
        <w:fldChar w:fldCharType="begin" w:fldLock="1"/>
      </w:r>
      <w:r w:rsidR="00A6794A">
        <w:instrText>ADDIN CSL_CITATION {"citationItems":[{"id":"ITEM-1","itemData":{"DOI":"10.20960/nh.1361","ISSN":"0212-1611","abstract":"Introducción: La malnutrición es un problema médico frecuente de los pacientes oncológicos que impacta de forma negativa en la calidad de vida. Objetivo: analizar y dar respuesta a diferentes cuestiones a la hora de afrontar el manejo nutricional de un paciente oncológico en la práctica clínica. Métodos: Un grupo multidisciplinar de expertos en Oncología Médica, Farmacia y Nutrición elaboró una lista de temas relacionados con el estado nutricional del paciente oncológico, que fueron agrupados en tres bloques: soporte nutricional; nutrición parenteral (NP) y NP domiciliaria (NPD) en el paciente oncológico. Se realizó una revisión de la literatura que incluyó artículos publicados en español, inglés y francés hasta abril de 2017. El documento se estructuró como un cuestionario con aquellas preguntas que, según el criterio del panel, podrían generar mayor controversia o duda. Resultados: De las 17 cuestiones abordadas, 9 versaron sobre el soporte nutricional; 5 relacionadas con la NP y 3 trataron sobre la NPD. Dentro de las recomendaciones del panel destacar que, en el paciente oncológico, la NP está indicada principalmente cuando no es posible el uso del tubo digestivo y/o la alimentación oral y/o la nutrición enteral no es suficiente o posible. Además, el objetivo de la NPD es mejorar o mantener, el estado de nutrición de un paciente en el ámbito domiciliario. Conclusiones: Esta revisión constituye una herramienta para oncólogos y especialistas responsables del manejo nutricional del paciente con cáncer.","author":[{"dropping-particle":"","family":"Camblor-Álvarez","given":"Miguel","non-dropping-particle":"","parse-names":false,"suffix":""},{"dropping-particle":"","family":"Ocón-Bretón","given":"María Julia","non-dropping-particle":"","parse-names":false,"suffix":""},{"dropping-particle":"","family":"Luengo-Pérez","given":"Luis Miguel","non-dropping-particle":"","parse-names":false,"suffix":""},{"dropping-particle":"","family":"Viruzuela","given":"Juan Antonio","non-dropping-particle":"","parse-names":false,"suffix":""},{"dropping-particle":"","family":"Sendrós-Maroño","given":"María José","non-dropping-particle":"","parse-names":false,"suffix":""},{"dropping-particle":"","family":"Cervera-Peris","given":"Mercedes","non-dropping-particle":"","parse-names":false,"suffix":""},{"dropping-particle":"","family":"Grande","given":"Enrique","non-dropping-particle":"","parse-names":false,"suffix":""},{"dropping-particle":"","family":"Álvarez-Hernández","given":"Julia","non-dropping-particle":"","parse-names":false,"suffix":""},{"dropping-particle":"","family":"Jiménez-Fonseca","given":"Paula","non-dropping-particle":"","parse-names":false,"suffix":""}],"container-title":"Nutrición Hospitalaria","id":"ITEM-1","issue":"1","issued":{"date-parts":[["2018","1"]]},"publisher":"ARAN Ediciones","title":"Soporte nutricional y nutrición parenteral en el paciente oncológico: informe de consenso de un grupo de expertos","type":"article-journal","volume":"35"},"uris":["http://www.mendeley.com/documents/?uuid=2ba4ee95-2957-35dd-a5da-6ddc4066a510","http://www.mendeley.com/documents/?uuid=5fd60395-903b-4161-9de5-593401276b22","http://www.mendeley.com/documents/?uuid=77af6aa2-54a9-4922-85a6-2ba2782c1d0d","http://www.mendeley.com/documents/?uuid=15f2deaa-96e5-4d61-b18b-9ea61e38867f","http://www.mendeley.com/documents/?uuid=bb38c52a-b9be-49b0-b569-e7226cad9509","http://www.mendeley.com/documents/?uuid=cfbf8252-0ba3-48e8-9511-8226f1fa6b44","http://www.mendeley.com/documents/?uuid=28ec27e8-82e5-449f-987c-7f22bad4f962"]}],"mendeley":{"formattedCitation":"[257]","plainTextFormattedCitation":"[257]","previouslyFormattedCitation":"[257]"},"properties":{"noteIndex":0},"schema":"https://github.com/citation-style-language/schema/raw/master/csl-citation.json"}</w:instrText>
      </w:r>
      <w:r w:rsidRPr="00BA4F0F">
        <w:fldChar w:fldCharType="separate"/>
      </w:r>
      <w:r w:rsidR="006E1902" w:rsidRPr="006E1902">
        <w:rPr>
          <w:noProof/>
        </w:rPr>
        <w:t>[257]</w:t>
      </w:r>
      <w:r w:rsidRPr="00BA4F0F">
        <w:fldChar w:fldCharType="end"/>
      </w:r>
      <w:r w:rsidRPr="00BA4F0F">
        <w:t xml:space="preserve">. Доставка белка должна быть не менее 1 г/кг/сут, однако при возможности нужно стремиться к 1,5 г/кг/сут. </w:t>
      </w:r>
    </w:p>
    <w:p w14:paraId="58A96FD7" w14:textId="223074D6" w:rsidR="0049053C" w:rsidRPr="00BA4F0F" w:rsidRDefault="0049053C" w:rsidP="002F75C7">
      <w:pPr>
        <w:pStyle w:val="1ff0"/>
      </w:pPr>
      <w:r w:rsidRPr="00BA4F0F">
        <w:t xml:space="preserve">У больных с сопутствующей хронической почечной недостаточностью белковое обеспечение не должно превышать 1–1,2 г/кг/сут. Энергетическое обеспечение больного с онкологическим заболеванием следует поддерживать на уровне 25–30 ккал/кг/сут </w:t>
      </w:r>
      <w:r w:rsidR="009A54BC">
        <w:fldChar w:fldCharType="begin" w:fldLock="1"/>
      </w:r>
      <w:r w:rsidR="00A6794A">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id":"ITEM-2","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Oncology","id":"ITEM-2","issue":"5","issued":{"date-parts":[["2018","5"]]},"page":"619-629","publisher":"Springer-Verlag Italia s.r.l.","title":"Nutritional support and parenteral nutrition in cancer patients: an expert consensus report","type":"article-journal","volume":"20"},"uris":["http://www.mendeley.com/documents/?uuid=c83d4cd9-a0be-448a-84b5-000651ccfa6e","http://www.mendeley.com/documents/?uuid=4a1cad31-99e3-4cf2-93ad-17d966d60db9","http://www.mendeley.com/documents/?uuid=dc45015e-2bbd-4e0a-8302-25dcb06c3c4c","http://www.mendeley.com/documents/?uuid=99911acc-feb8-4597-a8e1-899d1f00b719","http://www.mendeley.com/documents/?uuid=ddeb6586-712b-4c69-81e8-8e7e497e2d57","http://www.mendeley.com/documents/?uuid=ed2f4812-c506-484a-afb7-1bb5dae57ffb","http://www.mendeley.com/documents/?uuid=555471fe-b9e3-303f-adcc-eecf69d63698"]}],"mendeley":{"formattedCitation":"[158,254]","plainTextFormattedCitation":"[158,254]","previouslyFormattedCitation":"[158,254]"},"properties":{"noteIndex":0},"schema":"https://github.com/citation-style-language/schema/raw/master/csl-citation.json"}</w:instrText>
      </w:r>
      <w:r w:rsidR="009A54BC">
        <w:fldChar w:fldCharType="separate"/>
      </w:r>
      <w:r w:rsidR="006E1902" w:rsidRPr="006E1902">
        <w:rPr>
          <w:noProof/>
        </w:rPr>
        <w:t>[158,254]</w:t>
      </w:r>
      <w:r w:rsidR="009A54BC">
        <w:fldChar w:fldCharType="end"/>
      </w:r>
      <w:r w:rsidRPr="00BA4F0F">
        <w:t>.</w:t>
      </w:r>
    </w:p>
    <w:p w14:paraId="77347760" w14:textId="77777777" w:rsidR="0049053C" w:rsidRPr="00BA4F0F" w:rsidRDefault="0049053C" w:rsidP="002F75C7">
      <w:pPr>
        <w:pStyle w:val="1ff0"/>
        <w:rPr>
          <w:u w:val="single"/>
        </w:rPr>
      </w:pPr>
    </w:p>
    <w:p w14:paraId="32D489C6" w14:textId="2D4FD004" w:rsidR="0049053C" w:rsidRPr="00BA4F0F" w:rsidRDefault="0049053C" w:rsidP="002F75C7">
      <w:pPr>
        <w:pStyle w:val="1ff0"/>
        <w:rPr>
          <w:u w:val="single"/>
        </w:rPr>
      </w:pPr>
      <w:r w:rsidRPr="009A54BC">
        <w:rPr>
          <w:i/>
          <w:iCs/>
        </w:rPr>
        <w:t>Виды нутритивной поддержки</w:t>
      </w:r>
      <w:r w:rsidRPr="00C63399">
        <w:t xml:space="preserve"> </w:t>
      </w:r>
      <w:r w:rsidRPr="00BA4F0F">
        <w:rPr>
          <w:u w:val="single"/>
        </w:rPr>
        <w:fldChar w:fldCharType="begin" w:fldLock="1"/>
      </w:r>
      <w:r w:rsidR="00A6794A">
        <w:rPr>
          <w:u w:val="single"/>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id":"ITEM-2","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Oncology","id":"ITEM-2","issue":"5","issued":{"date-parts":[["2018","5"]]},"page":"619-629","publisher":"Springer-Verlag Italia s.r.l.","title":"Nutritional support and parenteral nutrition in cancer patients: an expert consensus report","type":"article-journal","volume":"20"},"uris":["http://www.mendeley.com/documents/?uuid=c83d4cd9-a0be-448a-84b5-000651ccfa6e","http://www.mendeley.com/documents/?uuid=4a1cad31-99e3-4cf2-93ad-17d966d60db9","http://www.mendeley.com/documents/?uuid=dc45015e-2bbd-4e0a-8302-25dcb06c3c4c","http://www.mendeley.com/documents/?uuid=99911acc-feb8-4597-a8e1-899d1f00b719","http://www.mendeley.com/documents/?uuid=ddeb6586-712b-4c69-81e8-8e7e497e2d57","http://www.mendeley.com/documents/?uuid=ed2f4812-c506-484a-afb7-1bb5dae57ffb","http://www.mendeley.com/documents/?uuid=555471fe-b9e3-303f-adcc-eecf69d63698"]},{"id":"ITEM-3","itemData":{"DOI":"10.1016/j.clnu.2016.07.015","ISSN":"15321983","PMID":"27637832","abstract":"Cancers are among the leading causes of morbidity and mortality worldwide, and the number of new cases is expected to rise significantly over the next decades. At the same time, all types of cancer treatment, such as surgery, radiation therapy, and pharmacological therapies are improving in sophistication, precision and in the power to target specific characteristics of individual cancers. Thus, while many cancers may still not be cured they may be converted to chronic diseases. All of these treatments, however, are impeded or precluded by the frequent development of malnutrition and metabolic derangements in cancer patients, induced by the tumor or by its treatment. These evidence-based guidelines were developed to translate current best evidence and expert opinion into recommendations for multi-disciplinary teams responsible for identification, prevention, and treatment of reversible elements of malnutrition in adult cancer patients. The guidelines were commissioned and financially supported by ESPEN and by the European Partnership for Action Against Cancer (EPAAC), an EU level initiative. Members of the guideline group were selected by ESPEN to include a range of professions and fields of expertise. We searched for meta-analyses, systematic reviews and comparative studies based on clinical questions according to the PICO format. The evidence was evaluated and merged to develop clinical recommendations using the GRADE method. Due to the deficits in the available evidence, relevant still open questions were listed and should be addressed by future studies. Malnutrition and a loss of muscle mass are frequent in cancer patients and have a negative effect on clinical outcome. They may be driven by inadequate food intake, decreased physical activity and catabolic metabolic derangements. To screen for, prevent, assess in detail, monitor and treat malnutrition standard operating procedures, responsibilities and a quality control process should be established at each institution involved in treating cancer patients. All cancer patients should be screened regularly for the risk or the presence of malnutrition. In all patients – with the exception of end of life care – energy and substrate requirements should be met by offering in a step-wise manner nutritional interventions from counseling to parenteral nutrition. However, benefits and risks of nutritional interventions have to be balanced with special consideration in patients with advanced disease. Nutrition…","author":[{"dropping-particle":"","family":"Arends","given":"Jann","non-dropping-particle":"","parse-names":false,"suffix":""},{"dropping-particle":"","family":"Bachmann","given":"Patrick","non-dropping-particle":"","parse-names":false,"suffix":""},{"dropping-particle":"","family":"Baracos","given":"Vickie","non-dropping-particle":"","parse-names":false,"suffix":""},{"dropping-particle":"","family":"Barthelemy","given":"Nicole","non-dropping-particle":"","parse-names":false,"suffix":""},{"dropping-particle":"","family":"Bertz","given":"Hartmut","non-dropping-particle":"","parse-names":false,"suffix":""},{"dropping-particle":"","family":"Bozzetti","given":"Federico","non-dropping-particle":"","parse-names":false,"suffix":""},{"dropping-particle":"","family":"Fearon","given":"Ken","non-dropping-particle":"","parse-names":false,"suffix":""},{"dropping-particle":"","family":"Hütterer","given":"Elisabeth","non-dropping-particle":"","parse-names":false,"suffix":""},{"dropping-particle":"","family":"Isenring","given":"Elizabeth","non-dropping-particle":"","parse-names":false,"suffix":""},{"dropping-particle":"","family":"Kaasa","given":"Stein","non-dropping-particle":"","parse-names":false,"suffix":""},{"dropping-particle":"","family":"Krznaric","given":"Zeljko","non-dropping-particle":"","parse-names":false,"suffix":""},{"dropping-particle":"","family":"Laird","given":"Barry","non-dropping-particle":"","parse-names":false,"suffix":""},{"dropping-particle":"","family":"Larsson","given":"Maria","non-dropping-particle":"","parse-names":false,"suffix":""},{"dropping-particle":"","family":"Laviano","given":"Alessandro","non-dropping-particle":"","parse-names":false,"suffix":""},{"dropping-particle":"","family":"Mühlebach","given":"Stefan","non-dropping-particle":"","parse-names":false,"suffix":""},{"dropping-particle":"","family":"Muscaritoli","given":"Maurizio","non-dropping-particle":"","parse-names":false,"suffix":""},{"dropping-particle":"","family":"Oldervoll","given":"Line","non-dropping-particle":"","parse-names":false,"suffix":""},{"dropping-particle":"","family":"Ravasco","given":"Paula","non-dropping-particle":"","parse-names":false,"suffix":""},{"dropping-particle":"","family":"Solheim","given":"Tora","non-dropping-particle":"","parse-names":false,"suffix":""},{"dropping-particle":"","family":"Strasser","given":"Florian","non-dropping-particle":"","parse-names":false,"suffix":""},{"dropping-particle":"","family":"van der Schueren","given":"Marian","non-dropping-particle":"de","parse-names":false,"suffix":""},{"dropping-particle":"","family":"Preiser","given":"Jean Charles","non-dropping-particle":"","parse-names":false,"suffix":""}],"container-title":"Clinical Nutrition","id":"ITEM-3","issue":"1","issued":{"date-parts":[["2017"]]},"page":"11-48","publisher":"Churchill Livingstone","title":"ESPEN guidelines on nutrition in cancer patients","type":"article-journal","volume":"36"},"uris":["http://www.mendeley.com/documents/?uuid=2586b0c4-9eb6-4463-a0ba-87fe84fbad8f"]}],"mendeley":{"formattedCitation":"[158,254,256]","plainTextFormattedCitation":"[158,254,256]","previouslyFormattedCitation":"[158,254,256]"},"properties":{"noteIndex":0},"schema":"https://github.com/citation-style-language/schema/raw/master/csl-citation.json"}</w:instrText>
      </w:r>
      <w:r w:rsidRPr="00BA4F0F">
        <w:rPr>
          <w:u w:val="single"/>
        </w:rPr>
        <w:fldChar w:fldCharType="separate"/>
      </w:r>
      <w:r w:rsidR="006E1902" w:rsidRPr="006E1902">
        <w:rPr>
          <w:noProof/>
        </w:rPr>
        <w:t>[158,254,256]</w:t>
      </w:r>
      <w:r w:rsidRPr="00BA4F0F">
        <w:rPr>
          <w:u w:val="single"/>
        </w:rPr>
        <w:fldChar w:fldCharType="end"/>
      </w:r>
    </w:p>
    <w:p w14:paraId="1EB639FD" w14:textId="77777777" w:rsidR="0049053C" w:rsidRPr="00BA4F0F" w:rsidRDefault="0049053C" w:rsidP="002F75C7">
      <w:pPr>
        <w:pStyle w:val="1ff0"/>
      </w:pPr>
      <w:r w:rsidRPr="00BA4F0F">
        <w:t xml:space="preserve">Выделяют три вида нутритивной поддержки: </w:t>
      </w:r>
    </w:p>
    <w:p w14:paraId="4FDB5635" w14:textId="362E3EF3" w:rsidR="0049053C" w:rsidRPr="00BA4F0F" w:rsidRDefault="0049053C" w:rsidP="00FE0193">
      <w:pPr>
        <w:pStyle w:val="1ff0"/>
        <w:numPr>
          <w:ilvl w:val="0"/>
          <w:numId w:val="115"/>
        </w:numPr>
      </w:pPr>
      <w:r w:rsidRPr="00BA4F0F">
        <w:t xml:space="preserve">дополнение к пероральному питанию (сипинг) – пероральный прием лечебного (специализированного) питания маленькими глотками; </w:t>
      </w:r>
    </w:p>
    <w:p w14:paraId="2C870B0B" w14:textId="3B26BDF4" w:rsidR="0049053C" w:rsidRPr="00BA4F0F" w:rsidRDefault="0049053C" w:rsidP="00FE0193">
      <w:pPr>
        <w:pStyle w:val="1ff0"/>
        <w:numPr>
          <w:ilvl w:val="0"/>
          <w:numId w:val="115"/>
        </w:numPr>
      </w:pPr>
      <w:r w:rsidRPr="00BA4F0F">
        <w:t xml:space="preserve">энтеральное питание – возможно через назогастральный/назоинтестинальный зонд или через стому (чрескожную, эндоскопическую, лапароскопическую, лапаротомную); </w:t>
      </w:r>
    </w:p>
    <w:p w14:paraId="53BF6C07" w14:textId="5C8C0C57" w:rsidR="0049053C" w:rsidRPr="00BA4F0F" w:rsidRDefault="0049053C" w:rsidP="00FE0193">
      <w:pPr>
        <w:pStyle w:val="1ff0"/>
        <w:numPr>
          <w:ilvl w:val="0"/>
          <w:numId w:val="115"/>
        </w:numPr>
      </w:pPr>
      <w:r w:rsidRPr="00BA4F0F">
        <w:lastRenderedPageBreak/>
        <w:t xml:space="preserve">парентеральное питание. </w:t>
      </w:r>
    </w:p>
    <w:p w14:paraId="71A029DF" w14:textId="77777777" w:rsidR="0049053C" w:rsidRPr="00BA4F0F" w:rsidRDefault="0049053C" w:rsidP="002F75C7">
      <w:pPr>
        <w:pStyle w:val="1ff0"/>
      </w:pPr>
      <w:r w:rsidRPr="00BA4F0F">
        <w:t>Энтеральное питание является предпочтительным способом нутритивной поддержки за счет его физиологичности, способности поддерживать функцию кишечника, уменьшать гиперметаболический ответ на повреждение, уменьшать транслокацию бактерий и токсинов из кишечника.</w:t>
      </w:r>
    </w:p>
    <w:p w14:paraId="28734E58" w14:textId="77777777" w:rsidR="0049053C" w:rsidRPr="00BA4F0F" w:rsidRDefault="0049053C" w:rsidP="002F75C7">
      <w:pPr>
        <w:pStyle w:val="1ff0"/>
      </w:pPr>
      <w:r w:rsidRPr="00BA4F0F">
        <w:t>Энтеральное питание может проводиться при наличии хотя бы частичной функции ЖКТ. Отсутствие выслушиваемой перистальтики не является противопоказанием для энтерального питания.</w:t>
      </w:r>
    </w:p>
    <w:p w14:paraId="6A914308" w14:textId="34F48AA0" w:rsidR="0049053C" w:rsidRPr="00BA4F0F" w:rsidRDefault="0049053C" w:rsidP="002F75C7">
      <w:pPr>
        <w:pStyle w:val="1ff0"/>
      </w:pPr>
      <w:r w:rsidRPr="00BA4F0F">
        <w:t xml:space="preserve">Классификация смесей для энтерального питания </w:t>
      </w:r>
      <w:r w:rsidRPr="00BA4F0F">
        <w:fldChar w:fldCharType="begin" w:fldLock="1"/>
      </w:r>
      <w:r w:rsidR="00A6794A">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mendeley":{"formattedCitation":"[158]","plainTextFormattedCitation":"[158]","previouslyFormattedCitation":"[158]"},"properties":{"noteIndex":0},"schema":"https://github.com/citation-style-language/schema/raw/master/csl-citation.json"}</w:instrText>
      </w:r>
      <w:r w:rsidRPr="00BA4F0F">
        <w:fldChar w:fldCharType="separate"/>
      </w:r>
      <w:r w:rsidR="006E1902" w:rsidRPr="006E1902">
        <w:rPr>
          <w:noProof/>
        </w:rPr>
        <w:t>[158]</w:t>
      </w:r>
      <w:r w:rsidRPr="00BA4F0F">
        <w:fldChar w:fldCharType="end"/>
      </w:r>
    </w:p>
    <w:p w14:paraId="61C58B88" w14:textId="521F1B03" w:rsidR="0049053C" w:rsidRPr="00BA4F0F" w:rsidRDefault="0049053C" w:rsidP="00FE0193">
      <w:pPr>
        <w:pStyle w:val="1ff0"/>
        <w:numPr>
          <w:ilvl w:val="0"/>
          <w:numId w:val="115"/>
        </w:numPr>
      </w:pPr>
      <w:r w:rsidRPr="00BA4F0F">
        <w:t xml:space="preserve">полимерные: состоят из неизмененных белков, жиров и углеводов; </w:t>
      </w:r>
    </w:p>
    <w:p w14:paraId="7286C362" w14:textId="7E0192A1" w:rsidR="0049053C" w:rsidRPr="00BA4F0F" w:rsidRDefault="0049053C" w:rsidP="00FE0193">
      <w:pPr>
        <w:pStyle w:val="1ff0"/>
        <w:numPr>
          <w:ilvl w:val="0"/>
          <w:numId w:val="115"/>
        </w:numPr>
      </w:pPr>
      <w:r w:rsidRPr="00BA4F0F">
        <w:t xml:space="preserve">олигомерные (полуэлементные): состоят из расщепленных белков и простых углеводов и содержат масла среднецепочечных триглицеридов; </w:t>
      </w:r>
    </w:p>
    <w:p w14:paraId="370284C8" w14:textId="01AB8B91" w:rsidR="0049053C" w:rsidRPr="00BA4F0F" w:rsidRDefault="0049053C" w:rsidP="00FE0193">
      <w:pPr>
        <w:pStyle w:val="1ff0"/>
        <w:numPr>
          <w:ilvl w:val="0"/>
          <w:numId w:val="115"/>
        </w:numPr>
      </w:pPr>
      <w:r w:rsidRPr="00BA4F0F">
        <w:t xml:space="preserve">смеси для определенных состояний, изготовленные с учетом потребностей конкретного пациента, страдающего тем или иным заболеванием (сахарный диабет, заболевания почек, печени, легких). </w:t>
      </w:r>
    </w:p>
    <w:p w14:paraId="76ACC1FF" w14:textId="426EF4F0" w:rsidR="0049053C" w:rsidRPr="00BA4F0F" w:rsidRDefault="0049053C" w:rsidP="002F75C7">
      <w:pPr>
        <w:pStyle w:val="1ff0"/>
      </w:pPr>
      <w:r w:rsidRPr="00BA4F0F">
        <w:t xml:space="preserve">Противопоказания к энтеральному питанию </w:t>
      </w:r>
      <w:r w:rsidR="00C63399">
        <w:fldChar w:fldCharType="begin" w:fldLock="1"/>
      </w:r>
      <w:r w:rsidR="00A6794A">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id":"ITEM-2","itemData":{"author":[{"dropping-particle":"","family":"Бесова Н.С., Борисова Т.Н., Ларионова В.Б., Лейдерман И.Н., Обухова О.А., Попова Т.С., Салтанов А.И., Сельчук В.Ю., Снеговой А.В., Ткачев С.И., Тюляндин С.А.","given":"Шестопалов А.И.","non-dropping-particle":"","parse-names":false,"suffix":""}],"id":"ITEM-2","issued":{"date-parts":[["2014"]]},"title":"Клинические рекомендации по нутритивной поддержке при химиотерапии и/или лучевой терапии","type":"report"},"uris":["http://www.mendeley.com/documents/?uuid=59e000a3-48e0-4529-8954-5598c41cc72e","http://www.mendeley.com/documents/?uuid=2475f28c-b7e0-408d-8d85-bd890e4862de","http://www.mendeley.com/documents/?uuid=2db47854-c914-42bd-bd4d-a19b47e78e0d","http://www.mendeley.com/documents/?uuid=113bc17a-cb71-4ba2-afb9-083757d46c9b","http://www.mendeley.com/documents/?uuid=17acaf09-3d29-4b25-b43e-598e8835165d","http://www.mendeley.com/documents/?uuid=2da28a52-fa64-480f-9c45-312b59a7027b","http://www.mendeley.com/documents/?uuid=fa470355-bcfd-3bef-a7a1-086215509c2d"]}],"mendeley":{"formattedCitation":"[158,255]","plainTextFormattedCitation":"[158,255]","previouslyFormattedCitation":"[158,255]"},"properties":{"noteIndex":0},"schema":"https://github.com/citation-style-language/schema/raw/master/csl-citation.json"}</w:instrText>
      </w:r>
      <w:r w:rsidR="00C63399">
        <w:fldChar w:fldCharType="separate"/>
      </w:r>
      <w:r w:rsidR="006E1902" w:rsidRPr="006E1902">
        <w:rPr>
          <w:noProof/>
        </w:rPr>
        <w:t>[158,255]</w:t>
      </w:r>
      <w:r w:rsidR="00C63399">
        <w:fldChar w:fldCharType="end"/>
      </w:r>
    </w:p>
    <w:p w14:paraId="5C9B4F91" w14:textId="3E03D9A9" w:rsidR="0049053C" w:rsidRPr="00BA4F0F" w:rsidRDefault="0049053C" w:rsidP="00FE0193">
      <w:pPr>
        <w:pStyle w:val="1ff0"/>
        <w:numPr>
          <w:ilvl w:val="0"/>
          <w:numId w:val="115"/>
        </w:numPr>
      </w:pPr>
      <w:r w:rsidRPr="00BA4F0F">
        <w:t xml:space="preserve">механическая кишечная непроходимость; </w:t>
      </w:r>
    </w:p>
    <w:p w14:paraId="4D48584C" w14:textId="11A30C0F" w:rsidR="0049053C" w:rsidRPr="00BA4F0F" w:rsidRDefault="0049053C" w:rsidP="00FE0193">
      <w:pPr>
        <w:pStyle w:val="1ff0"/>
        <w:numPr>
          <w:ilvl w:val="0"/>
          <w:numId w:val="115"/>
        </w:numPr>
      </w:pPr>
      <w:r w:rsidRPr="00BA4F0F">
        <w:t xml:space="preserve">выраженная тошнота и рвота, не купирующаяся антиэметической терапией; </w:t>
      </w:r>
    </w:p>
    <w:p w14:paraId="6B7047A7" w14:textId="5533E2B7" w:rsidR="0049053C" w:rsidRPr="00BA4F0F" w:rsidRDefault="0049053C" w:rsidP="00FE0193">
      <w:pPr>
        <w:pStyle w:val="1ff0"/>
        <w:numPr>
          <w:ilvl w:val="0"/>
          <w:numId w:val="115"/>
        </w:numPr>
      </w:pPr>
      <w:r w:rsidRPr="00BA4F0F">
        <w:t xml:space="preserve">гипоксия (раО2 70 мм рт. ст.). </w:t>
      </w:r>
    </w:p>
    <w:p w14:paraId="2C5C1FFE" w14:textId="6FFC45FE" w:rsidR="0049053C" w:rsidRPr="00BA4F0F" w:rsidRDefault="0049053C" w:rsidP="002F75C7">
      <w:pPr>
        <w:pStyle w:val="1ff0"/>
      </w:pPr>
      <w:r w:rsidRPr="00BA4F0F">
        <w:t xml:space="preserve">Показанием к парентеральному питанию является невозможность адекватного энтерального питания более 3 суток </w:t>
      </w:r>
      <w:r w:rsidRPr="00BA4F0F">
        <w:fldChar w:fldCharType="begin" w:fldLock="1"/>
      </w:r>
      <w:r w:rsidR="00A6794A">
        <w:instrText>ADDIN CSL_CITATION {"citationItems":[{"id":"ITEM-1","itemData":{"DOI":"10.1007/s12094-017-1757-4","ISSN":"16993055","PMID":"29043569","abstract":"Background: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Oncology","id":"ITEM-1","issue":"5","issued":{"date-parts":[["2018","5"]]},"page":"619-629","publisher":"Springer-Verlag Italia s.r.l.","title":"Nutritional support and parenteral nutrition in cancer patients: an expert consensus report","type":"article-journal","volume":"20"},"uris":["http://www.mendeley.com/documents/?uuid=c83d4cd9-a0be-448a-84b5-000651ccfa6e","http://www.mendeley.com/documents/?uuid=4a1cad31-99e3-4cf2-93ad-17d966d60db9","http://www.mendeley.com/documents/?uuid=dc45015e-2bbd-4e0a-8302-25dcb06c3c4c","http://www.mendeley.com/documents/?uuid=99911acc-feb8-4597-a8e1-899d1f00b719","http://www.mendeley.com/documents/?uuid=ddeb6586-712b-4c69-81e8-8e7e497e2d57","http://www.mendeley.com/documents/?uuid=ed2f4812-c506-484a-afb7-1bb5dae57ffb","http://www.mendeley.com/documents/?uuid=555471fe-b9e3-303f-adcc-eecf69d63698"]}],"mendeley":{"formattedCitation":"[254]","plainTextFormattedCitation":"[254]","previouslyFormattedCitation":"[254]"},"properties":{"noteIndex":0},"schema":"https://github.com/citation-style-language/schema/raw/master/csl-citation.json"}</w:instrText>
      </w:r>
      <w:r w:rsidRPr="00BA4F0F">
        <w:fldChar w:fldCharType="separate"/>
      </w:r>
      <w:r w:rsidR="006E1902" w:rsidRPr="006E1902">
        <w:rPr>
          <w:noProof/>
        </w:rPr>
        <w:t>[254]</w:t>
      </w:r>
      <w:r w:rsidRPr="00BA4F0F">
        <w:fldChar w:fldCharType="end"/>
      </w:r>
      <w:r w:rsidRPr="00BA4F0F">
        <w:t>. В зависимости от продолжительности парентеральное питание подразделяется на:</w:t>
      </w:r>
    </w:p>
    <w:p w14:paraId="65440F24" w14:textId="4766DC6C" w:rsidR="0049053C" w:rsidRPr="00BA4F0F" w:rsidRDefault="0049053C" w:rsidP="00FE0193">
      <w:pPr>
        <w:pStyle w:val="1ff0"/>
        <w:numPr>
          <w:ilvl w:val="0"/>
          <w:numId w:val="115"/>
        </w:numPr>
      </w:pPr>
      <w:r w:rsidRPr="00BA4F0F">
        <w:t>краткосрочное ПП (10–15 суток):</w:t>
      </w:r>
    </w:p>
    <w:p w14:paraId="7F05B6EF" w14:textId="69515DDD" w:rsidR="0049053C" w:rsidRPr="00BA4F0F" w:rsidRDefault="0049053C" w:rsidP="00FE0193">
      <w:pPr>
        <w:pStyle w:val="1ff0"/>
        <w:numPr>
          <w:ilvl w:val="1"/>
          <w:numId w:val="115"/>
        </w:numPr>
      </w:pPr>
      <w:r w:rsidRPr="00BA4F0F">
        <w:t>острый и тяжелый мукозит, илеус, некупируемая рвота;</w:t>
      </w:r>
    </w:p>
    <w:p w14:paraId="1947ED61" w14:textId="76951276" w:rsidR="0049053C" w:rsidRPr="00BA4F0F" w:rsidRDefault="0049053C" w:rsidP="00FE0193">
      <w:pPr>
        <w:pStyle w:val="1ff0"/>
        <w:numPr>
          <w:ilvl w:val="0"/>
          <w:numId w:val="115"/>
        </w:numPr>
      </w:pPr>
      <w:r w:rsidRPr="00BA4F0F">
        <w:t>длительное (более 30 суток):</w:t>
      </w:r>
    </w:p>
    <w:p w14:paraId="776A7422" w14:textId="19FA3F7F" w:rsidR="0049053C" w:rsidRPr="00BA4F0F" w:rsidRDefault="0049053C" w:rsidP="00FE0193">
      <w:pPr>
        <w:pStyle w:val="1ff0"/>
        <w:numPr>
          <w:ilvl w:val="1"/>
          <w:numId w:val="115"/>
        </w:numPr>
      </w:pPr>
      <w:r w:rsidRPr="00BA4F0F">
        <w:t>тяжелая мальабсорбция;</w:t>
      </w:r>
    </w:p>
    <w:p w14:paraId="49F62AA5" w14:textId="544BC91C" w:rsidR="0049053C" w:rsidRPr="00BA4F0F" w:rsidRDefault="0049053C" w:rsidP="00FE0193">
      <w:pPr>
        <w:pStyle w:val="1ff0"/>
        <w:numPr>
          <w:ilvl w:val="1"/>
          <w:numId w:val="115"/>
        </w:numPr>
      </w:pPr>
      <w:r w:rsidRPr="00BA4F0F">
        <w:t>подострый или хронический энтерит;</w:t>
      </w:r>
    </w:p>
    <w:p w14:paraId="03CEE42C" w14:textId="43D4BD89" w:rsidR="0049053C" w:rsidRPr="00BA4F0F" w:rsidRDefault="0049053C" w:rsidP="00FE0193">
      <w:pPr>
        <w:pStyle w:val="1ff0"/>
        <w:numPr>
          <w:ilvl w:val="1"/>
          <w:numId w:val="115"/>
        </w:numPr>
      </w:pPr>
      <w:r w:rsidRPr="00BA4F0F">
        <w:t xml:space="preserve">тяжелая энтеропатия </w:t>
      </w:r>
      <w:r w:rsidR="00C63399">
        <w:fldChar w:fldCharType="begin" w:fldLock="1"/>
      </w:r>
      <w:r w:rsidR="00A6794A">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id":"ITEM-2","itemData":{"DOI":"10.1001/jama.2019.4410","ISSN":"15383598","PMID":"31162570","author":[{"dropping-particle":"","family":"Baiu","given":"Ioana","non-dropping-particle":"","parse-names":false,"suffix":""},{"dropping-particle":"","family":"Spain","given":"David A.","non-dropping-particle":"","parse-names":false,"suffix":""}],"container-title":"JAMA - Journal of the American Medical Association","id":"ITEM-2","issue":"21","issued":{"date-parts":[["2019","6"]]},"page":"2142","publisher":"American Medical Association","title":"Parenteral Nutrition","type":"article","volume":"321"},"uris":["http://www.mendeley.com/documents/?uuid=319ff49c-9a97-32da-a348-b9d79eca400b","http://www.mendeley.com/documents/?uuid=03649143-9c16-417d-8fce-a095e89ff015","http://www.mendeley.com/documents/?uuid=8d92b52e-0af0-435c-9547-6d9170d6c9cc","http://www.mendeley.com/documents/?uuid=49bd1d62-adbc-4b20-8d75-34e8045f6cca","http://www.mendeley.com/documents/?uuid=f45d6235-29b7-40a1-9ebd-0275ed3b5ca7","http://www.mendeley.com/documents/?uuid=34664a84-1020-4ffd-981d-6f9624985d2e","http://www.mendeley.com/documents/?uuid=1967195b-eca8-4ade-9d2d-ff8332f19f7b"]}],"mendeley":{"formattedCitation":"[158,258]","plainTextFormattedCitation":"[158,258]","previouslyFormattedCitation":"[158,258]"},"properties":{"noteIndex":0},"schema":"https://github.com/citation-style-language/schema/raw/master/csl-citation.json"}</w:instrText>
      </w:r>
      <w:r w:rsidR="00C63399">
        <w:fldChar w:fldCharType="separate"/>
      </w:r>
      <w:r w:rsidR="006E1902" w:rsidRPr="006E1902">
        <w:rPr>
          <w:noProof/>
        </w:rPr>
        <w:t>[158,258]</w:t>
      </w:r>
      <w:r w:rsidR="00C63399">
        <w:fldChar w:fldCharType="end"/>
      </w:r>
      <w:r w:rsidRPr="00BA4F0F">
        <w:t>.</w:t>
      </w:r>
    </w:p>
    <w:p w14:paraId="33141280" w14:textId="77777777" w:rsidR="0049053C" w:rsidRPr="00BA4F0F" w:rsidRDefault="0049053C" w:rsidP="002F75C7">
      <w:pPr>
        <w:pStyle w:val="1ff0"/>
      </w:pPr>
      <w:r w:rsidRPr="00BA4F0F">
        <w:t xml:space="preserve">Необходимые организму нутриенты вводятся непосредственно в кровь. Основными составляющими парентерального питания являются: </w:t>
      </w:r>
    </w:p>
    <w:p w14:paraId="241679EA" w14:textId="399AF97A" w:rsidR="0049053C" w:rsidRPr="00BA4F0F" w:rsidRDefault="0049053C" w:rsidP="00FE0193">
      <w:pPr>
        <w:pStyle w:val="1ff0"/>
        <w:numPr>
          <w:ilvl w:val="0"/>
          <w:numId w:val="115"/>
        </w:numPr>
      </w:pPr>
      <w:r w:rsidRPr="00BA4F0F">
        <w:t xml:space="preserve">источники энергии: 10–20% растворы углеводов, жировые эмульсии; </w:t>
      </w:r>
    </w:p>
    <w:p w14:paraId="0D4FCF71" w14:textId="7D89AD3D" w:rsidR="0049053C" w:rsidRPr="00BA4F0F" w:rsidRDefault="0049053C" w:rsidP="00FE0193">
      <w:pPr>
        <w:pStyle w:val="1ff0"/>
        <w:numPr>
          <w:ilvl w:val="0"/>
          <w:numId w:val="115"/>
        </w:numPr>
      </w:pPr>
      <w:r w:rsidRPr="00BA4F0F">
        <w:lastRenderedPageBreak/>
        <w:t xml:space="preserve">источники пластического материала: растворы кристаллических аминокислот; </w:t>
      </w:r>
    </w:p>
    <w:p w14:paraId="49D5D5D3" w14:textId="246BE046" w:rsidR="0049053C" w:rsidRPr="00BA4F0F" w:rsidRDefault="0049053C" w:rsidP="00FE0193">
      <w:pPr>
        <w:pStyle w:val="1ff0"/>
        <w:numPr>
          <w:ilvl w:val="0"/>
          <w:numId w:val="115"/>
        </w:numPr>
      </w:pPr>
      <w:r w:rsidRPr="00BA4F0F">
        <w:t xml:space="preserve">поливитаминные комплексы для парентерального введения: – препараты водорастворимых витаминов; – препараты жирорастворимых витаминов; – препараты водо- и жирорастворимых витаминов; – комплексы микроэлементов для парентерального введения </w:t>
      </w:r>
      <w:r w:rsidRPr="00BA4F0F">
        <w:fldChar w:fldCharType="begin" w:fldLock="1"/>
      </w:r>
      <w:r w:rsidR="00A6794A">
        <w:instrText>ADDIN CSL_CITATION {"citationItems":[{"id":"ITEM-1","itemData":{"DOI":"10.1007/s12094-017-1757-4","ISSN":"16993055","PMID":"29043569","abstract":"Background: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Oncology","id":"ITEM-1","issue":"5","issued":{"date-parts":[["2018","5"]]},"page":"619-629","publisher":"Springer-Verlag Italia s.r.l.","title":"Nutritional support and parenteral nutrition in cancer patients: an expert consensus report","type":"article-journal","volume":"20"},"uris":["http://www.mendeley.com/documents/?uuid=c83d4cd9-a0be-448a-84b5-000651ccfa6e","http://www.mendeley.com/documents/?uuid=4a1cad31-99e3-4cf2-93ad-17d966d60db9","http://www.mendeley.com/documents/?uuid=dc45015e-2bbd-4e0a-8302-25dcb06c3c4c","http://www.mendeley.com/documents/?uuid=99911acc-feb8-4597-a8e1-899d1f00b719","http://www.mendeley.com/documents/?uuid=ddeb6586-712b-4c69-81e8-8e7e497e2d57","http://www.mendeley.com/documents/?uuid=ed2f4812-c506-484a-afb7-1bb5dae57ffb","http://www.mendeley.com/documents/?uuid=555471fe-b9e3-303f-adcc-eecf69d63698"]}],"mendeley":{"formattedCitation":"[254]","plainTextFormattedCitation":"[254]","previouslyFormattedCitation":"[254]"},"properties":{"noteIndex":0},"schema":"https://github.com/citation-style-language/schema/raw/master/csl-citation.json"}</w:instrText>
      </w:r>
      <w:r w:rsidRPr="00BA4F0F">
        <w:fldChar w:fldCharType="separate"/>
      </w:r>
      <w:r w:rsidR="006E1902" w:rsidRPr="006E1902">
        <w:rPr>
          <w:noProof/>
        </w:rPr>
        <w:t>[254]</w:t>
      </w:r>
      <w:r w:rsidRPr="00BA4F0F">
        <w:fldChar w:fldCharType="end"/>
      </w:r>
      <w:r w:rsidRPr="00BA4F0F">
        <w:t xml:space="preserve">. </w:t>
      </w:r>
    </w:p>
    <w:p w14:paraId="2B78ED33" w14:textId="4C19E8DB" w:rsidR="0049053C" w:rsidRPr="00BA4F0F" w:rsidRDefault="0049053C" w:rsidP="002F75C7">
      <w:pPr>
        <w:pStyle w:val="1ff0"/>
      </w:pPr>
      <w:r w:rsidRPr="00BA4F0F">
        <w:t xml:space="preserve">Системы парентерального питания </w:t>
      </w:r>
      <w:r w:rsidR="00C63399">
        <w:fldChar w:fldCharType="begin" w:fldLock="1"/>
      </w:r>
      <w:r w:rsidR="00A6794A">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id":"ITEM-2","itemData":{"DOI":"10.1016/j.clnu.2016.07.015","ISSN":"15321983","PMID":"27637832","abstract":"Cancers are among the leading causes of morbidity and mortality worldwide, and the number of new cases is expected to rise significantly over the next decades. At the same time, all types of cancer treatment, such as surgery, radiation therapy, and pharmacological therapies are improving in sophistication, precision and in the power to target specific characteristics of individual cancers. Thus, while many cancers may still not be cured they may be converted to chronic diseases. All of these treatments, however, are impeded or precluded by the frequent development of malnutrition and metabolic derangements in cancer patients, induced by the tumor or by its treatment. These evidence-based guidelines were developed to translate current best evidence and expert opinion into recommendations for multi-disciplinary teams responsible for identification, prevention, and treatment of reversible elements of malnutrition in adult cancer patients. The guidelines were commissioned and financially supported by ESPEN and by the European Partnership for Action Against Cancer (EPAAC), an EU level initiative. Members of the guideline group were selected by ESPEN to include a range of professions and fields of expertise. We searched for meta-analyses, systematic reviews and comparative studies based on clinical questions according to the PICO format. The evidence was evaluated and merged to develop clinical recommendations using the GRADE method. Due to the deficits in the available evidence, relevant still open questions were listed and should be addressed by future studies. Malnutrition and a loss of muscle mass are frequent in cancer patients and have a negative effect on clinical outcome. They may be driven by inadequate food intake, decreased physical activity and catabolic metabolic derangements. To screen for, prevent, assess in detail, monitor and treat malnutrition standard operating procedures, responsibilities and a quality control process should be established at each institution involved in treating cancer patients. All cancer patients should be screened regularly for the risk or the presence of malnutrition. In all patients – with the exception of end of life care – energy and substrate requirements should be met by offering in a step-wise manner nutritional interventions from counseling to parenteral nutrition. However, benefits and risks of nutritional interventions have to be balanced with special consideration in patients with advanced disease. Nutrition…","author":[{"dropping-particle":"","family":"Arends","given":"Jann","non-dropping-particle":"","parse-names":false,"suffix":""},{"dropping-particle":"","family":"Bachmann","given":"Patrick","non-dropping-particle":"","parse-names":false,"suffix":""},{"dropping-particle":"","family":"Baracos","given":"Vickie","non-dropping-particle":"","parse-names":false,"suffix":""},{"dropping-particle":"","family":"Barthelemy","given":"Nicole","non-dropping-particle":"","parse-names":false,"suffix":""},{"dropping-particle":"","family":"Bertz","given":"Hartmut","non-dropping-particle":"","parse-names":false,"suffix":""},{"dropping-particle":"","family":"Bozzetti","given":"Federico","non-dropping-particle":"","parse-names":false,"suffix":""},{"dropping-particle":"","family":"Fearon","given":"Ken","non-dropping-particle":"","parse-names":false,"suffix":""},{"dropping-particle":"","family":"Hütterer","given":"Elisabeth","non-dropping-particle":"","parse-names":false,"suffix":""},{"dropping-particle":"","family":"Isenring","given":"Elizabeth","non-dropping-particle":"","parse-names":false,"suffix":""},{"dropping-particle":"","family":"Kaasa","given":"Stein","non-dropping-particle":"","parse-names":false,"suffix":""},{"dropping-particle":"","family":"Krznaric","given":"Zeljko","non-dropping-particle":"","parse-names":false,"suffix":""},{"dropping-particle":"","family":"Laird","given":"Barry","non-dropping-particle":"","parse-names":false,"suffix":""},{"dropping-particle":"","family":"Larsson","given":"Maria","non-dropping-particle":"","parse-names":false,"suffix":""},{"dropping-particle":"","family":"Laviano","given":"Alessandro","non-dropping-particle":"","parse-names":false,"suffix":""},{"dropping-particle":"","family":"Mühlebach","given":"Stefan","non-dropping-particle":"","parse-names":false,"suffix":""},{"dropping-particle":"","family":"Muscaritoli","given":"Maurizio","non-dropping-particle":"","parse-names":false,"suffix":""},{"dropping-particle":"","family":"Oldervoll","given":"Line","non-dropping-particle":"","parse-names":false,"suffix":""},{"dropping-particle":"","family":"Ravasco","given":"Paula","non-dropping-particle":"","parse-names":false,"suffix":""},{"dropping-particle":"","family":"Solheim","given":"Tora","non-dropping-particle":"","parse-names":false,"suffix":""},{"dropping-particle":"","family":"Strasser","given":"Florian","non-dropping-particle":"","parse-names":false,"suffix":""},{"dropping-particle":"","family":"van der Schueren","given":"Marian","non-dropping-particle":"de","parse-names":false,"suffix":""},{"dropping-particle":"","family":"Preiser","given":"Jean Charles","non-dropping-particle":"","parse-names":false,"suffix":""}],"container-title":"Clinical Nutrition","id":"ITEM-2","issue":"1","issued":{"date-parts":[["2017"]]},"page":"11-48","publisher":"Churchill Livingstone","title":"ESPEN guidelines on nutrition in cancer patients","type":"article-journal","volume":"36"},"uris":["http://www.mendeley.com/documents/?uuid=2586b0c4-9eb6-4463-a0ba-87fe84fbad8f"]}],"mendeley":{"formattedCitation":"[158,256]","plainTextFormattedCitation":"[158,256]","previouslyFormattedCitation":"[158,256]"},"properties":{"noteIndex":0},"schema":"https://github.com/citation-style-language/schema/raw/master/csl-citation.json"}</w:instrText>
      </w:r>
      <w:r w:rsidR="00C63399">
        <w:fldChar w:fldCharType="separate"/>
      </w:r>
      <w:r w:rsidR="006E1902" w:rsidRPr="006E1902">
        <w:rPr>
          <w:noProof/>
        </w:rPr>
        <w:t>[158,256]</w:t>
      </w:r>
      <w:r w:rsidR="00C63399">
        <w:fldChar w:fldCharType="end"/>
      </w:r>
    </w:p>
    <w:p w14:paraId="5930866E" w14:textId="475F7DE0" w:rsidR="0049053C" w:rsidRPr="00BA4F0F" w:rsidRDefault="0049053C" w:rsidP="00FE0193">
      <w:pPr>
        <w:pStyle w:val="1ff0"/>
        <w:numPr>
          <w:ilvl w:val="0"/>
          <w:numId w:val="115"/>
        </w:numPr>
      </w:pPr>
      <w:r w:rsidRPr="00BA4F0F">
        <w:t xml:space="preserve">«модульная» – использование флаконов с аминокислотами, глюкозой, жировыми эмульсиями; (главным недостатком данного метода является различная скорость введения препаратов); </w:t>
      </w:r>
    </w:p>
    <w:p w14:paraId="35A2200D" w14:textId="299D8498" w:rsidR="0049053C" w:rsidRPr="00BA4F0F" w:rsidRDefault="0049053C" w:rsidP="00FE0193">
      <w:pPr>
        <w:pStyle w:val="1ff0"/>
        <w:numPr>
          <w:ilvl w:val="0"/>
          <w:numId w:val="115"/>
        </w:numPr>
      </w:pPr>
      <w:r w:rsidRPr="00BA4F0F">
        <w:t xml:space="preserve">система «все в одном» предполагает использование двух- и трехкомпонентных контейнеров с подобранным необходимым количеством и метаболически верным соотношением аминокислот, глюкозы, липидов и электролитов. </w:t>
      </w:r>
    </w:p>
    <w:p w14:paraId="27B45064" w14:textId="17A8740C" w:rsidR="0049053C" w:rsidRPr="00BA4F0F" w:rsidRDefault="0049053C" w:rsidP="002F75C7">
      <w:pPr>
        <w:pStyle w:val="1ff0"/>
      </w:pPr>
      <w:r w:rsidRPr="00BA4F0F">
        <w:t xml:space="preserve">Противопоказания к парентеральному питанию </w:t>
      </w:r>
      <w:r w:rsidR="002363B2">
        <w:fldChar w:fldCharType="begin" w:fldLock="1"/>
      </w:r>
      <w:r w:rsidR="00A6794A">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id":"ITEM-2","itemData":{"DOI":"10.1016/j.clnu.2016.07.015","ISSN":"15321983","PMID":"27637832","abstract":"Cancers are among the leading causes of morbidity and mortality worldwide, and the number of new cases is expected to rise significantly over the next decades. At the same time, all types of cancer treatment, such as surgery, radiation therapy, and pharmacological therapies are improving in sophistication, precision and in the power to target specific characteristics of individual cancers. Thus, while many cancers may still not be cured they may be converted to chronic diseases. All of these treatments, however, are impeded or precluded by the frequent development of malnutrition and metabolic derangements in cancer patients, induced by the tumor or by its treatment. These evidence-based guidelines were developed to translate current best evidence and expert opinion into recommendations for multi-disciplinary teams responsible for identification, prevention, and treatment of reversible elements of malnutrition in adult cancer patients. The guidelines were commissioned and financially supported by ESPEN and by the European Partnership for Action Against Cancer (EPAAC), an EU level initiative. Members of the guideline group were selected by ESPEN to include a range of professions and fields of expertise. We searched for meta-analyses, systematic reviews and comparative studies based on clinical questions according to the PICO format. The evidence was evaluated and merged to develop clinical recommendations using the GRADE method. Due to the deficits in the available evidence, relevant still open questions were listed and should be addressed by future studies. Malnutrition and a loss of muscle mass are frequent in cancer patients and have a negative effect on clinical outcome. They may be driven by inadequate food intake, decreased physical activity and catabolic metabolic derangements. To screen for, prevent, assess in detail, monitor and treat malnutrition standard operating procedures, responsibilities and a quality control process should be established at each institution involved in treating cancer patients. All cancer patients should be screened regularly for the risk or the presence of malnutrition. In all patients – with the exception of end of life care – energy and substrate requirements should be met by offering in a step-wise manner nutritional interventions from counseling to parenteral nutrition. However, benefits and risks of nutritional interventions have to be balanced with special consideration in patients with advanced disease. Nutrition…","author":[{"dropping-particle":"","family":"Arends","given":"Jann","non-dropping-particle":"","parse-names":false,"suffix":""},{"dropping-particle":"","family":"Bachmann","given":"Patrick","non-dropping-particle":"","parse-names":false,"suffix":""},{"dropping-particle":"","family":"Baracos","given":"Vickie","non-dropping-particle":"","parse-names":false,"suffix":""},{"dropping-particle":"","family":"Barthelemy","given":"Nicole","non-dropping-particle":"","parse-names":false,"suffix":""},{"dropping-particle":"","family":"Bertz","given":"Hartmut","non-dropping-particle":"","parse-names":false,"suffix":""},{"dropping-particle":"","family":"Bozzetti","given":"Federico","non-dropping-particle":"","parse-names":false,"suffix":""},{"dropping-particle":"","family":"Fearon","given":"Ken","non-dropping-particle":"","parse-names":false,"suffix":""},{"dropping-particle":"","family":"Hütterer","given":"Elisabeth","non-dropping-particle":"","parse-names":false,"suffix":""},{"dropping-particle":"","family":"Isenring","given":"Elizabeth","non-dropping-particle":"","parse-names":false,"suffix":""},{"dropping-particle":"","family":"Kaasa","given":"Stein","non-dropping-particle":"","parse-names":false,"suffix":""},{"dropping-particle":"","family":"Krznaric","given":"Zeljko","non-dropping-particle":"","parse-names":false,"suffix":""},{"dropping-particle":"","family":"Laird","given":"Barry","non-dropping-particle":"","parse-names":false,"suffix":""},{"dropping-particle":"","family":"Larsson","given":"Maria","non-dropping-particle":"","parse-names":false,"suffix":""},{"dropping-particle":"","family":"Laviano","given":"Alessandro","non-dropping-particle":"","parse-names":false,"suffix":""},{"dropping-particle":"","family":"Mühlebach","given":"Stefan","non-dropping-particle":"","parse-names":false,"suffix":""},{"dropping-particle":"","family":"Muscaritoli","given":"Maurizio","non-dropping-particle":"","parse-names":false,"suffix":""},{"dropping-particle":"","family":"Oldervoll","given":"Line","non-dropping-particle":"","parse-names":false,"suffix":""},{"dropping-particle":"","family":"Ravasco","given":"Paula","non-dropping-particle":"","parse-names":false,"suffix":""},{"dropping-particle":"","family":"Solheim","given":"Tora","non-dropping-particle":"","parse-names":false,"suffix":""},{"dropping-particle":"","family":"Strasser","given":"Florian","non-dropping-particle":"","parse-names":false,"suffix":""},{"dropping-particle":"","family":"van der Schueren","given":"Marian","non-dropping-particle":"de","parse-names":false,"suffix":""},{"dropping-particle":"","family":"Preiser","given":"Jean Charles","non-dropping-particle":"","parse-names":false,"suffix":""}],"container-title":"Clinical Nutrition","id":"ITEM-2","issue":"1","issued":{"date-parts":[["2017"]]},"page":"11-48","publisher":"Churchill Livingstone","title":"ESPEN guidelines on nutrition in cancer patients","type":"article-journal","volume":"36"},"uris":["http://www.mendeley.com/documents/?uuid=2586b0c4-9eb6-4463-a0ba-87fe84fbad8f"]}],"mendeley":{"formattedCitation":"[158,256]","plainTextFormattedCitation":"[158,256]","previouslyFormattedCitation":"[158,256]"},"properties":{"noteIndex":0},"schema":"https://github.com/citation-style-language/schema/raw/master/csl-citation.json"}</w:instrText>
      </w:r>
      <w:r w:rsidR="002363B2">
        <w:fldChar w:fldCharType="separate"/>
      </w:r>
      <w:r w:rsidR="006E1902" w:rsidRPr="006E1902">
        <w:rPr>
          <w:noProof/>
        </w:rPr>
        <w:t>[158,256]</w:t>
      </w:r>
      <w:r w:rsidR="002363B2">
        <w:fldChar w:fldCharType="end"/>
      </w:r>
    </w:p>
    <w:p w14:paraId="4B7CD29C" w14:textId="40F6696C" w:rsidR="0049053C" w:rsidRPr="00BA4F0F" w:rsidRDefault="0049053C" w:rsidP="00FE0193">
      <w:pPr>
        <w:pStyle w:val="1ff0"/>
        <w:numPr>
          <w:ilvl w:val="0"/>
          <w:numId w:val="115"/>
        </w:numPr>
      </w:pPr>
      <w:r w:rsidRPr="00BA4F0F">
        <w:t>возможность энтерального питания;</w:t>
      </w:r>
    </w:p>
    <w:p w14:paraId="0EA8930D" w14:textId="0A0BC844" w:rsidR="0049053C" w:rsidRPr="00BA4F0F" w:rsidRDefault="0049053C" w:rsidP="00FE0193">
      <w:pPr>
        <w:pStyle w:val="1ff0"/>
        <w:numPr>
          <w:ilvl w:val="0"/>
          <w:numId w:val="115"/>
        </w:numPr>
      </w:pPr>
      <w:r w:rsidRPr="00BA4F0F">
        <w:t xml:space="preserve">невозможность обеспечения адекватного сосудистого доступа; </w:t>
      </w:r>
    </w:p>
    <w:p w14:paraId="741E0E2B" w14:textId="24F3E018" w:rsidR="0049053C" w:rsidRPr="00BA4F0F" w:rsidRDefault="0049053C" w:rsidP="00FE0193">
      <w:pPr>
        <w:pStyle w:val="1ff0"/>
        <w:numPr>
          <w:ilvl w:val="0"/>
          <w:numId w:val="115"/>
        </w:numPr>
      </w:pPr>
      <w:r w:rsidRPr="00BA4F0F">
        <w:t xml:space="preserve">отсутствие признаков белково-энергетической недостаточности; </w:t>
      </w:r>
    </w:p>
    <w:p w14:paraId="40128D85" w14:textId="0D4ABE83" w:rsidR="0049053C" w:rsidRPr="00BA4F0F" w:rsidRDefault="0049053C" w:rsidP="00FE0193">
      <w:pPr>
        <w:pStyle w:val="1ff0"/>
        <w:numPr>
          <w:ilvl w:val="0"/>
          <w:numId w:val="115"/>
        </w:numPr>
      </w:pPr>
      <w:r w:rsidRPr="00BA4F0F">
        <w:t xml:space="preserve">гипоксия (раО2 70 мм рт. ст., сывороточный лактат &gt; 3 ммоль/л); </w:t>
      </w:r>
    </w:p>
    <w:p w14:paraId="22CBF193" w14:textId="20E8DDCB" w:rsidR="0049053C" w:rsidRPr="00BA4F0F" w:rsidRDefault="0049053C" w:rsidP="00FE0193">
      <w:pPr>
        <w:pStyle w:val="1ff0"/>
        <w:numPr>
          <w:ilvl w:val="0"/>
          <w:numId w:val="115"/>
        </w:numPr>
      </w:pPr>
      <w:r w:rsidRPr="00BA4F0F">
        <w:t xml:space="preserve">анурия или гипергидратация без диализа. </w:t>
      </w:r>
    </w:p>
    <w:p w14:paraId="04FF481B" w14:textId="3739A423" w:rsidR="0049053C" w:rsidRPr="00BA4F0F" w:rsidRDefault="0049053C" w:rsidP="002F75C7">
      <w:pPr>
        <w:pStyle w:val="1ff0"/>
      </w:pPr>
      <w:r w:rsidRPr="00BA4F0F">
        <w:t xml:space="preserve">Смешанное питание </w:t>
      </w:r>
      <w:r w:rsidR="002363B2">
        <w:fldChar w:fldCharType="begin" w:fldLock="1"/>
      </w:r>
      <w:r w:rsidR="00A6794A">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id":"ITEM-2","itemData":{"author":[{"dropping-particle":"","family":"Бесова Н.С., Борисова Т.Н., Ларионова В.Б., Лейдерман И.Н., Обухова О.А., Попова Т.С., Салтанов А.И., Сельчук В.Ю., Снеговой А.В., Ткачев С.И., Тюляндин С.А.","given":"Шестопалов А.И.","non-dropping-particle":"","parse-names":false,"suffix":""}],"id":"ITEM-2","issued":{"date-parts":[["2014"]]},"title":"Клинические рекомендации по нутритивной поддержке при химиотерапии и/или лучевой терапии","type":"report"},"uris":["http://www.mendeley.com/documents/?uuid=59e000a3-48e0-4529-8954-5598c41cc72e","http://www.mendeley.com/documents/?uuid=2475f28c-b7e0-408d-8d85-bd890e4862de","http://www.mendeley.com/documents/?uuid=2db47854-c914-42bd-bd4d-a19b47e78e0d","http://www.mendeley.com/documents/?uuid=113bc17a-cb71-4ba2-afb9-083757d46c9b","http://www.mendeley.com/documents/?uuid=17acaf09-3d29-4b25-b43e-598e8835165d","http://www.mendeley.com/documents/?uuid=2da28a52-fa64-480f-9c45-312b59a7027b","http://www.mendeley.com/documents/?uuid=fa470355-bcfd-3bef-a7a1-086215509c2d"]}],"mendeley":{"formattedCitation":"[158,255]","plainTextFormattedCitation":"[158,255]","previouslyFormattedCitation":"[158,255]"},"properties":{"noteIndex":0},"schema":"https://github.com/citation-style-language/schema/raw/master/csl-citation.json"}</w:instrText>
      </w:r>
      <w:r w:rsidR="002363B2">
        <w:fldChar w:fldCharType="separate"/>
      </w:r>
      <w:r w:rsidR="006E1902" w:rsidRPr="006E1902">
        <w:rPr>
          <w:noProof/>
        </w:rPr>
        <w:t>[158,255]</w:t>
      </w:r>
      <w:r w:rsidR="002363B2">
        <w:fldChar w:fldCharType="end"/>
      </w:r>
    </w:p>
    <w:p w14:paraId="507DF405" w14:textId="77777777" w:rsidR="0049053C" w:rsidRPr="00BA4F0F" w:rsidRDefault="0049053C" w:rsidP="002F75C7">
      <w:pPr>
        <w:pStyle w:val="1ff0"/>
      </w:pPr>
      <w:r w:rsidRPr="00BA4F0F">
        <w:t xml:space="preserve">Энтеральное и парентеральное питание может назначаться пациентам одновременно при недостаточной эффективности одного из этих методов (не позволяющем обеспечить более 60% от потребности в энергии). </w:t>
      </w:r>
    </w:p>
    <w:p w14:paraId="25C5C29E" w14:textId="77777777" w:rsidR="002363B2" w:rsidRDefault="002363B2" w:rsidP="002F75C7">
      <w:pPr>
        <w:pStyle w:val="1ff0"/>
      </w:pPr>
    </w:p>
    <w:p w14:paraId="0B075736" w14:textId="3868C120" w:rsidR="0049053C" w:rsidRPr="00CF578C" w:rsidRDefault="0049053C" w:rsidP="002F75C7">
      <w:pPr>
        <w:pStyle w:val="1ff0"/>
        <w:rPr>
          <w:i/>
          <w:iCs/>
        </w:rPr>
      </w:pPr>
      <w:r w:rsidRPr="002363B2">
        <w:rPr>
          <w:i/>
          <w:iCs/>
        </w:rPr>
        <w:t xml:space="preserve">Мониторинг эффективности нутритивной поддержки </w:t>
      </w:r>
    </w:p>
    <w:p w14:paraId="33A95B9B" w14:textId="77777777" w:rsidR="0049053C" w:rsidRPr="00BA4F0F" w:rsidRDefault="0049053C" w:rsidP="002F75C7">
      <w:pPr>
        <w:pStyle w:val="1ff0"/>
      </w:pPr>
      <w:r w:rsidRPr="00BA4F0F">
        <w:t>Частота исследования данных показателей может изменяться в зависимости от конкретной клинической ситуации.</w:t>
      </w:r>
    </w:p>
    <w:p w14:paraId="032C0A80" w14:textId="094F7D5F" w:rsidR="0049053C" w:rsidRPr="00BA4F0F" w:rsidRDefault="0049053C" w:rsidP="00FE0193">
      <w:pPr>
        <w:pStyle w:val="1ff0"/>
        <w:numPr>
          <w:ilvl w:val="0"/>
          <w:numId w:val="115"/>
        </w:numPr>
      </w:pPr>
      <w:r w:rsidRPr="00BA4F0F">
        <w:t>Общий белок сыворотки крови 1 раз в 5–7 дней.</w:t>
      </w:r>
    </w:p>
    <w:p w14:paraId="4B9B8506" w14:textId="3749DB03" w:rsidR="0049053C" w:rsidRPr="00BA4F0F" w:rsidRDefault="0049053C" w:rsidP="00FE0193">
      <w:pPr>
        <w:pStyle w:val="1ff0"/>
        <w:numPr>
          <w:ilvl w:val="0"/>
          <w:numId w:val="115"/>
        </w:numPr>
      </w:pPr>
      <w:r w:rsidRPr="00BA4F0F">
        <w:t>Альбумин сыворотки крови 1 раз в 5–7 дней.</w:t>
      </w:r>
    </w:p>
    <w:p w14:paraId="284B1DB0" w14:textId="3A8C2711" w:rsidR="0049053C" w:rsidRPr="00BA4F0F" w:rsidRDefault="0049053C" w:rsidP="00FE0193">
      <w:pPr>
        <w:pStyle w:val="1ff0"/>
        <w:numPr>
          <w:ilvl w:val="0"/>
          <w:numId w:val="115"/>
        </w:numPr>
      </w:pPr>
      <w:r w:rsidRPr="00BA4F0F">
        <w:t>Гемоглобин 1 раз в 5–7 дней.</w:t>
      </w:r>
    </w:p>
    <w:p w14:paraId="64BE9FA2" w14:textId="43B8CB73" w:rsidR="0049053C" w:rsidRPr="00BA4F0F" w:rsidRDefault="0049053C" w:rsidP="00FE0193">
      <w:pPr>
        <w:pStyle w:val="1ff0"/>
        <w:numPr>
          <w:ilvl w:val="0"/>
          <w:numId w:val="115"/>
        </w:numPr>
      </w:pPr>
      <w:r w:rsidRPr="00BA4F0F">
        <w:t>Лимфоциты периферической крови 1 раз в 5–7 дней.</w:t>
      </w:r>
    </w:p>
    <w:p w14:paraId="7FFEFA9D" w14:textId="7DCCE48C" w:rsidR="0049053C" w:rsidRPr="00BA4F0F" w:rsidRDefault="0049053C" w:rsidP="00FE0193">
      <w:pPr>
        <w:pStyle w:val="1ff0"/>
        <w:numPr>
          <w:ilvl w:val="0"/>
          <w:numId w:val="115"/>
        </w:numPr>
      </w:pPr>
      <w:r w:rsidRPr="00BA4F0F">
        <w:t>Масса тела и ИМТ тела 1 раз в 7–10 дней.</w:t>
      </w:r>
    </w:p>
    <w:p w14:paraId="3DC61413" w14:textId="77777777" w:rsidR="0049053C" w:rsidRPr="00CF578C" w:rsidRDefault="0049053C" w:rsidP="008B2A2D">
      <w:pPr>
        <w:pStyle w:val="1ff0"/>
        <w:ind w:firstLine="0"/>
      </w:pPr>
    </w:p>
    <w:p w14:paraId="37966C1B" w14:textId="783982C0" w:rsidR="0049053C" w:rsidRDefault="0049053C" w:rsidP="002F75C7">
      <w:pPr>
        <w:pStyle w:val="1ff0"/>
        <w:rPr>
          <w:rFonts w:cstheme="minorHAnsi"/>
        </w:rPr>
      </w:pPr>
    </w:p>
    <w:p w14:paraId="5159E8E0" w14:textId="77777777" w:rsidR="0049053C" w:rsidRPr="000322E4" w:rsidRDefault="0049053C" w:rsidP="002F75C7">
      <w:pPr>
        <w:pStyle w:val="1ff0"/>
        <w:rPr>
          <w:rFonts w:cstheme="minorHAnsi"/>
        </w:rPr>
      </w:pPr>
    </w:p>
    <w:p w14:paraId="52F3D179" w14:textId="68C90704" w:rsidR="000414F6" w:rsidRPr="000322E4" w:rsidRDefault="00CB71DA" w:rsidP="008E3584">
      <w:pPr>
        <w:pStyle w:val="afff2"/>
      </w:pPr>
      <w:bookmarkStart w:id="129" w:name="_Toc96601274"/>
      <w:r w:rsidRPr="000322E4">
        <w:t xml:space="preserve">Приложение Б. Алгоритмы </w:t>
      </w:r>
      <w:bookmarkEnd w:id="92"/>
      <w:r w:rsidR="003527A8" w:rsidRPr="000322E4">
        <w:t>действий врача</w:t>
      </w:r>
      <w:bookmarkEnd w:id="129"/>
    </w:p>
    <w:p w14:paraId="6EB7FE86" w14:textId="77777777" w:rsidR="0066496D" w:rsidRPr="000322E4" w:rsidRDefault="0066496D" w:rsidP="008E3584">
      <w:pPr>
        <w:spacing w:line="360" w:lineRule="auto"/>
        <w:jc w:val="both"/>
        <w:divId w:val="764688137"/>
      </w:pPr>
      <w:r w:rsidRPr="000322E4">
        <w:t>Приложение Б1.1 Алгоритм первой линии терапии пациента с ДВКЛ</w:t>
      </w:r>
    </w:p>
    <w:p w14:paraId="23AC4647" w14:textId="77777777" w:rsidR="0066496D" w:rsidRPr="000322E4" w:rsidRDefault="0066496D" w:rsidP="008E3584">
      <w:pPr>
        <w:spacing w:line="360" w:lineRule="auto"/>
        <w:ind w:left="-426"/>
        <w:jc w:val="both"/>
        <w:divId w:val="764688137"/>
      </w:pPr>
      <w:r w:rsidRPr="000322E4">
        <w:rPr>
          <w:noProof/>
        </w:rPr>
        <w:drawing>
          <wp:inline distT="0" distB="0" distL="0" distR="0" wp14:anchorId="670BA358" wp14:editId="44864C1F">
            <wp:extent cx="6448425" cy="3474720"/>
            <wp:effectExtent l="19050" t="0" r="9525" b="0"/>
            <wp:docPr id="99" name="Рисунок 99" descr="Изображение выглядит как снимок экран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2" cstate="print"/>
                    <a:srcRect/>
                    <a:stretch>
                      <a:fillRect/>
                    </a:stretch>
                  </pic:blipFill>
                  <pic:spPr bwMode="auto">
                    <a:xfrm>
                      <a:off x="0" y="0"/>
                      <a:ext cx="6448425" cy="3474720"/>
                    </a:xfrm>
                    <a:prstGeom prst="rect">
                      <a:avLst/>
                    </a:prstGeom>
                    <a:noFill/>
                    <a:ln w="9525">
                      <a:noFill/>
                      <a:miter lim="800000"/>
                      <a:headEnd/>
                      <a:tailEnd/>
                    </a:ln>
                  </pic:spPr>
                </pic:pic>
              </a:graphicData>
            </a:graphic>
          </wp:inline>
        </w:drawing>
      </w:r>
    </w:p>
    <w:p w14:paraId="2310E557" w14:textId="77777777" w:rsidR="0066496D" w:rsidRPr="000322E4" w:rsidRDefault="0066496D" w:rsidP="008E3584">
      <w:pPr>
        <w:spacing w:line="360" w:lineRule="auto"/>
        <w:jc w:val="both"/>
        <w:divId w:val="764688137"/>
      </w:pPr>
      <w:r w:rsidRPr="000322E4">
        <w:t>Приложение Б1.2 Алгоритм второй линии терапии пациента с ДВКЛ</w:t>
      </w:r>
    </w:p>
    <w:p w14:paraId="5A3B0263" w14:textId="77777777" w:rsidR="00C4630C" w:rsidRPr="000322E4" w:rsidRDefault="00204469" w:rsidP="008E3584">
      <w:pPr>
        <w:spacing w:line="360" w:lineRule="auto"/>
        <w:jc w:val="both"/>
        <w:divId w:val="764688137"/>
        <w:rPr>
          <w:noProof/>
        </w:rPr>
      </w:pPr>
      <w:r w:rsidRPr="000322E4">
        <w:rPr>
          <w:noProof/>
        </w:rPr>
        <w:drawing>
          <wp:inline distT="0" distB="0" distL="0" distR="0" wp14:anchorId="6F232357" wp14:editId="320FB7E4">
            <wp:extent cx="5581015" cy="3424135"/>
            <wp:effectExtent l="0" t="0" r="0" b="5080"/>
            <wp:docPr id="101" name="Рисунок 101" descr="Изображение выглядит как снимок экран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3" cstate="print"/>
                    <a:srcRect/>
                    <a:stretch>
                      <a:fillRect/>
                    </a:stretch>
                  </pic:blipFill>
                  <pic:spPr bwMode="auto">
                    <a:xfrm>
                      <a:off x="0" y="0"/>
                      <a:ext cx="5581015" cy="3424135"/>
                    </a:xfrm>
                    <a:prstGeom prst="rect">
                      <a:avLst/>
                    </a:prstGeom>
                    <a:noFill/>
                    <a:ln w="9525">
                      <a:noFill/>
                      <a:miter lim="800000"/>
                      <a:headEnd/>
                      <a:tailEnd/>
                    </a:ln>
                  </pic:spPr>
                </pic:pic>
              </a:graphicData>
            </a:graphic>
          </wp:inline>
        </w:drawing>
      </w:r>
    </w:p>
    <w:p w14:paraId="24D76A41" w14:textId="77777777" w:rsidR="00204469" w:rsidRPr="000322E4" w:rsidRDefault="00204469" w:rsidP="008E3584">
      <w:pPr>
        <w:spacing w:line="360" w:lineRule="auto"/>
        <w:jc w:val="both"/>
        <w:divId w:val="764688137"/>
      </w:pPr>
    </w:p>
    <w:p w14:paraId="771414BB" w14:textId="77777777" w:rsidR="00204469" w:rsidRPr="000322E4" w:rsidRDefault="00204469" w:rsidP="008E3584">
      <w:pPr>
        <w:spacing w:line="360" w:lineRule="auto"/>
        <w:jc w:val="both"/>
        <w:divId w:val="764688137"/>
      </w:pPr>
      <w:r w:rsidRPr="000322E4">
        <w:lastRenderedPageBreak/>
        <w:t>Приложение Б2. Алгоритм первой линии терапии пациента с ПЛЦНС</w:t>
      </w:r>
    </w:p>
    <w:p w14:paraId="586C30F5" w14:textId="77777777" w:rsidR="00204469" w:rsidRPr="000322E4" w:rsidRDefault="00204469" w:rsidP="008E3584">
      <w:pPr>
        <w:spacing w:line="360" w:lineRule="auto"/>
        <w:ind w:left="-567"/>
        <w:jc w:val="both"/>
        <w:divId w:val="764688137"/>
        <w:rPr>
          <w:b/>
          <w:u w:val="single"/>
        </w:rPr>
      </w:pPr>
      <w:r w:rsidRPr="000322E4">
        <w:rPr>
          <w:b/>
          <w:noProof/>
          <w:u w:val="single"/>
        </w:rPr>
        <w:drawing>
          <wp:inline distT="0" distB="0" distL="0" distR="0" wp14:anchorId="200E8643" wp14:editId="68418969">
            <wp:extent cx="6448425" cy="3300095"/>
            <wp:effectExtent l="19050" t="0" r="9525" b="0"/>
            <wp:docPr id="100" name="Рисунок 100" descr="Изображение выглядит как снимок экран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4" cstate="print"/>
                    <a:srcRect/>
                    <a:stretch>
                      <a:fillRect/>
                    </a:stretch>
                  </pic:blipFill>
                  <pic:spPr bwMode="auto">
                    <a:xfrm>
                      <a:off x="0" y="0"/>
                      <a:ext cx="6448425" cy="3300095"/>
                    </a:xfrm>
                    <a:prstGeom prst="rect">
                      <a:avLst/>
                    </a:prstGeom>
                    <a:noFill/>
                    <a:ln w="9525">
                      <a:noFill/>
                      <a:miter lim="800000"/>
                      <a:headEnd/>
                      <a:tailEnd/>
                    </a:ln>
                  </pic:spPr>
                </pic:pic>
              </a:graphicData>
            </a:graphic>
          </wp:inline>
        </w:drawing>
      </w:r>
    </w:p>
    <w:p w14:paraId="499F1DEA" w14:textId="77777777" w:rsidR="00204469" w:rsidRPr="000322E4" w:rsidRDefault="00204469" w:rsidP="008E3584">
      <w:pPr>
        <w:spacing w:line="360" w:lineRule="auto"/>
        <w:jc w:val="both"/>
        <w:divId w:val="764688137"/>
      </w:pPr>
    </w:p>
    <w:p w14:paraId="784B7DF6" w14:textId="77777777" w:rsidR="00204469" w:rsidRPr="000322E4" w:rsidRDefault="00204469" w:rsidP="008E3584">
      <w:pPr>
        <w:spacing w:line="360" w:lineRule="auto"/>
        <w:jc w:val="both"/>
        <w:divId w:val="764688137"/>
      </w:pPr>
      <w:r w:rsidRPr="000322E4">
        <w:t>Приложение Б3. Алгоритм первой линии терапии пациента ПМВККЛ</w:t>
      </w:r>
      <w:r w:rsidRPr="000322E4">
        <w:rPr>
          <w:b/>
          <w:noProof/>
        </w:rPr>
        <w:drawing>
          <wp:inline distT="0" distB="0" distL="0" distR="0" wp14:anchorId="35416F84" wp14:editId="2A5FE3C9">
            <wp:extent cx="6242050" cy="2894330"/>
            <wp:effectExtent l="19050" t="0" r="6350" b="0"/>
            <wp:docPr id="102" name="Рисунок 102" descr="Изображение выглядит как снимок экран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5" cstate="print"/>
                    <a:srcRect/>
                    <a:stretch>
                      <a:fillRect/>
                    </a:stretch>
                  </pic:blipFill>
                  <pic:spPr bwMode="auto">
                    <a:xfrm>
                      <a:off x="0" y="0"/>
                      <a:ext cx="6242050" cy="2894330"/>
                    </a:xfrm>
                    <a:prstGeom prst="rect">
                      <a:avLst/>
                    </a:prstGeom>
                    <a:noFill/>
                    <a:ln w="9525">
                      <a:noFill/>
                      <a:miter lim="800000"/>
                      <a:headEnd/>
                      <a:tailEnd/>
                    </a:ln>
                  </pic:spPr>
                </pic:pic>
              </a:graphicData>
            </a:graphic>
          </wp:inline>
        </w:drawing>
      </w:r>
    </w:p>
    <w:p w14:paraId="032C2C0D" w14:textId="77777777" w:rsidR="00D41455" w:rsidRPr="000322E4" w:rsidRDefault="00D41455" w:rsidP="008E3584">
      <w:pPr>
        <w:pStyle w:val="afd"/>
        <w:divId w:val="764688137"/>
      </w:pPr>
    </w:p>
    <w:p w14:paraId="50A28E91" w14:textId="77777777" w:rsidR="00494319" w:rsidRPr="000322E4" w:rsidRDefault="00494319" w:rsidP="008E3584">
      <w:pPr>
        <w:pStyle w:val="afd"/>
        <w:rPr>
          <w:noProof/>
        </w:rPr>
      </w:pPr>
    </w:p>
    <w:p w14:paraId="07443217" w14:textId="77777777" w:rsidR="000414F6" w:rsidRPr="000322E4" w:rsidRDefault="00CB71DA" w:rsidP="008E3584">
      <w:pPr>
        <w:pStyle w:val="afff2"/>
      </w:pPr>
      <w:r w:rsidRPr="000322E4">
        <w:br w:type="page"/>
      </w:r>
      <w:bookmarkStart w:id="130" w:name="__RefHeading___doc_v"/>
      <w:bookmarkStart w:id="131" w:name="_Toc96601275"/>
      <w:r w:rsidRPr="000322E4">
        <w:lastRenderedPageBreak/>
        <w:t>Приложение В. Информация для пациент</w:t>
      </w:r>
      <w:bookmarkEnd w:id="130"/>
      <w:r w:rsidR="003527A8" w:rsidRPr="000322E4">
        <w:t>а</w:t>
      </w:r>
      <w:bookmarkEnd w:id="131"/>
    </w:p>
    <w:p w14:paraId="5E424591" w14:textId="77777777" w:rsidR="006E172F" w:rsidRPr="000322E4" w:rsidRDefault="006E172F" w:rsidP="00CA442F">
      <w:pPr>
        <w:pStyle w:val="aff8"/>
      </w:pPr>
      <w:r w:rsidRPr="000322E4">
        <w:t>Лимфомы – это опухоли из лимфоидных клеток. Лимфома – не одна болезнь, это большая группа, включающая более 30 разных заболеваний, которые отличаются друг от друга по своим проявлениям, по течению, по ответу на лечение. Лимфомы ведут себя и лечатся совершенно по-разному. Поэтому просто слово «лимфома» ни о чем не говорит – чтобы понимать, как лечить, надо знать конкретный вариант лимфомы.</w:t>
      </w:r>
    </w:p>
    <w:p w14:paraId="2F73A1C5" w14:textId="77777777" w:rsidR="00204469" w:rsidRPr="000322E4" w:rsidRDefault="00204469" w:rsidP="008E3584">
      <w:pPr>
        <w:pStyle w:val="afd"/>
        <w:numPr>
          <w:ilvl w:val="0"/>
          <w:numId w:val="53"/>
        </w:numPr>
        <w:suppressAutoHyphens/>
        <w:ind w:firstLine="709"/>
      </w:pPr>
      <w:r w:rsidRPr="000322E4">
        <w:t>Диффузная В-крупноклеточная лимфома – агрессивное лимфопролиферативное заболевание. Прогноз зависит от многих факторов, в том числе от объема поражения, в связи с чем необходимо полное и всестороннее обследование.  Своевременное и адекватное лечение является залогом успеха. Пациент должен четко выполнять все рекомедации врача относительно времени и сроков диагностических процедур, а также все назначения, касающиеся противоопухолевого лечения и сопроводительной терапии.</w:t>
      </w:r>
    </w:p>
    <w:p w14:paraId="0211D118" w14:textId="77777777" w:rsidR="00204469" w:rsidRPr="000322E4" w:rsidRDefault="00204469" w:rsidP="008E3584">
      <w:pPr>
        <w:pStyle w:val="afd"/>
        <w:numPr>
          <w:ilvl w:val="0"/>
          <w:numId w:val="53"/>
        </w:numPr>
        <w:suppressAutoHyphens/>
        <w:ind w:firstLine="709"/>
      </w:pPr>
      <w:r w:rsidRPr="000322E4">
        <w:t>Во время прохождения лечения при появлении нежелательных явлений пациент обязан вовремя сообщить о них врачу для принятия своевременных решений об их коррекции.</w:t>
      </w:r>
    </w:p>
    <w:p w14:paraId="008F46FC" w14:textId="77777777" w:rsidR="006E172F" w:rsidRPr="000322E4" w:rsidRDefault="006E172F" w:rsidP="00CA442F">
      <w:pPr>
        <w:pStyle w:val="aff8"/>
      </w:pPr>
    </w:p>
    <w:p w14:paraId="13A2ED0C" w14:textId="77777777" w:rsidR="00174593" w:rsidRPr="000322E4" w:rsidRDefault="00174593" w:rsidP="00CA442F">
      <w:pPr>
        <w:pStyle w:val="aff8"/>
      </w:pPr>
    </w:p>
    <w:p w14:paraId="6C6C9202" w14:textId="77777777" w:rsidR="00427B0E" w:rsidRPr="000322E4" w:rsidRDefault="00CB71DA" w:rsidP="008E3584">
      <w:pPr>
        <w:pStyle w:val="afff2"/>
        <w:spacing w:before="0"/>
        <w:jc w:val="both"/>
      </w:pPr>
      <w:r w:rsidRPr="000322E4">
        <w:br w:type="page"/>
      </w:r>
      <w:bookmarkStart w:id="132" w:name="__RefHeading___doc_g"/>
      <w:bookmarkStart w:id="133" w:name="_Toc96601276"/>
      <w:r w:rsidRPr="000322E4">
        <w:lastRenderedPageBreak/>
        <w:t>Приложение</w:t>
      </w:r>
      <w:bookmarkEnd w:id="132"/>
      <w:r w:rsidR="003527A8" w:rsidRPr="000322E4">
        <w:t xml:space="preserve"> Г. Шкалы оценки, вопросники и другие оценочные инструменты состояния пациента, приведенные в клинических рекомендациях</w:t>
      </w:r>
      <w:bookmarkStart w:id="134" w:name="bookmark6"/>
      <w:bookmarkEnd w:id="133"/>
    </w:p>
    <w:p w14:paraId="1C2A4DB2" w14:textId="77777777" w:rsidR="00A54C2B" w:rsidRPr="000322E4" w:rsidRDefault="00A54C2B" w:rsidP="008E3584">
      <w:pPr>
        <w:pStyle w:val="2"/>
        <w:spacing w:before="0"/>
      </w:pPr>
      <w:bookmarkStart w:id="135" w:name="_Toc11747754"/>
      <w:bookmarkStart w:id="136" w:name="_Toc24572141"/>
      <w:bookmarkStart w:id="137" w:name="_Toc24964262"/>
      <w:bookmarkStart w:id="138" w:name="_Toc96601277"/>
      <w:bookmarkEnd w:id="134"/>
      <w:r w:rsidRPr="000322E4">
        <w:t>Приложение Г</w:t>
      </w:r>
      <w:bookmarkStart w:id="139" w:name="_Toc19799875"/>
      <w:bookmarkStart w:id="140" w:name="_Toc16755716"/>
      <w:bookmarkEnd w:id="135"/>
      <w:r w:rsidRPr="000322E4">
        <w:t>1. Шкала оценки общего состояния пациента Восточной объединенной онкологической группы (ECOG</w:t>
      </w:r>
      <w:bookmarkEnd w:id="139"/>
      <w:r w:rsidRPr="000322E4">
        <w:t>)</w:t>
      </w:r>
      <w:bookmarkEnd w:id="136"/>
      <w:bookmarkEnd w:id="137"/>
      <w:bookmarkEnd w:id="138"/>
    </w:p>
    <w:p w14:paraId="1DF3722B" w14:textId="77777777" w:rsidR="00A54C2B" w:rsidRPr="000322E4" w:rsidRDefault="00A54C2B" w:rsidP="008E3584">
      <w:pPr>
        <w:spacing w:line="360" w:lineRule="auto"/>
        <w:jc w:val="both"/>
        <w:rPr>
          <w:lang w:val="en-US"/>
        </w:rPr>
      </w:pPr>
      <w:r w:rsidRPr="000322E4">
        <w:t>Оригинальное</w:t>
      </w:r>
      <w:r w:rsidRPr="000322E4">
        <w:rPr>
          <w:lang w:val="en-US"/>
        </w:rPr>
        <w:t xml:space="preserve"> </w:t>
      </w:r>
      <w:r w:rsidRPr="000322E4">
        <w:t>название</w:t>
      </w:r>
      <w:r w:rsidRPr="000322E4">
        <w:rPr>
          <w:lang w:val="en-US"/>
        </w:rPr>
        <w:t>: The ECOG Scale of Performance Status</w:t>
      </w:r>
    </w:p>
    <w:p w14:paraId="1F6FA08F" w14:textId="0C50EDA7" w:rsidR="00A54C2B" w:rsidRPr="000322E4" w:rsidRDefault="00A54C2B" w:rsidP="008E3584">
      <w:pPr>
        <w:spacing w:line="360" w:lineRule="auto"/>
        <w:jc w:val="both"/>
      </w:pPr>
      <w:r w:rsidRPr="000322E4">
        <w:t>Источник</w:t>
      </w:r>
      <w:r w:rsidRPr="000322E4">
        <w:rPr>
          <w:lang w:val="en-US"/>
        </w:rPr>
        <w:t>: Oken M.M. et al. Toxicity and response criteria of the Eastern Cooperative Oncology Group. Am</w:t>
      </w:r>
      <w:r w:rsidRPr="00CF578C">
        <w:t xml:space="preserve">. </w:t>
      </w:r>
      <w:r w:rsidRPr="000322E4">
        <w:rPr>
          <w:lang w:val="en-US"/>
        </w:rPr>
        <w:t>J</w:t>
      </w:r>
      <w:r w:rsidRPr="00CF578C">
        <w:t xml:space="preserve">. </w:t>
      </w:r>
      <w:r w:rsidRPr="000322E4">
        <w:rPr>
          <w:lang w:val="en-US"/>
        </w:rPr>
        <w:t>Clin</w:t>
      </w:r>
      <w:r w:rsidRPr="00CF578C">
        <w:t xml:space="preserve">. </w:t>
      </w:r>
      <w:r w:rsidRPr="000322E4">
        <w:rPr>
          <w:lang w:val="en-US"/>
        </w:rPr>
        <w:t>Oncol</w:t>
      </w:r>
      <w:r w:rsidRPr="000322E4">
        <w:t xml:space="preserve">. 1982;5(6):649–65 </w:t>
      </w:r>
      <w:r w:rsidRPr="000322E4">
        <w:fldChar w:fldCharType="begin" w:fldLock="1"/>
      </w:r>
      <w:r w:rsidR="00A6794A">
        <w:rPr>
          <w:lang w:val="en-US"/>
        </w:rPr>
        <w:instrText>ADDIN</w:instrText>
      </w:r>
      <w:r w:rsidR="00A6794A" w:rsidRPr="00471424">
        <w:instrText xml:space="preserve"> </w:instrText>
      </w:r>
      <w:r w:rsidR="00A6794A">
        <w:rPr>
          <w:lang w:val="en-US"/>
        </w:rPr>
        <w:instrText>CSL</w:instrText>
      </w:r>
      <w:r w:rsidR="00A6794A" w:rsidRPr="00471424">
        <w:instrText>_</w:instrText>
      </w:r>
      <w:r w:rsidR="00A6794A">
        <w:rPr>
          <w:lang w:val="en-US"/>
        </w:rPr>
        <w:instrText>CITATION</w:instrText>
      </w:r>
      <w:r w:rsidR="00A6794A" w:rsidRPr="00471424">
        <w:instrText xml:space="preserve"> {"</w:instrText>
      </w:r>
      <w:r w:rsidR="00A6794A">
        <w:rPr>
          <w:lang w:val="en-US"/>
        </w:rPr>
        <w:instrText>citationItems</w:instrText>
      </w:r>
      <w:r w:rsidR="00A6794A" w:rsidRPr="00471424">
        <w:instrText>":[{"</w:instrText>
      </w:r>
      <w:r w:rsidR="00A6794A">
        <w:rPr>
          <w:lang w:val="en-US"/>
        </w:rPr>
        <w:instrText>id</w:instrText>
      </w:r>
      <w:r w:rsidR="00A6794A" w:rsidRPr="00471424">
        <w:instrText>":"</w:instrText>
      </w:r>
      <w:r w:rsidR="00A6794A">
        <w:rPr>
          <w:lang w:val="en-US"/>
        </w:rPr>
        <w:instrText>ITEM</w:instrText>
      </w:r>
      <w:r w:rsidR="00A6794A" w:rsidRPr="00471424">
        <w:instrText>-1","</w:instrText>
      </w:r>
      <w:r w:rsidR="00A6794A">
        <w:rPr>
          <w:lang w:val="en-US"/>
        </w:rPr>
        <w:instrText>itemData</w:instrText>
      </w:r>
      <w:r w:rsidR="00A6794A" w:rsidRPr="00471424">
        <w:instrText>":{"</w:instrText>
      </w:r>
      <w:r w:rsidR="00A6794A">
        <w:rPr>
          <w:lang w:val="en-US"/>
        </w:rPr>
        <w:instrText>DOI</w:instrText>
      </w:r>
      <w:r w:rsidR="00A6794A" w:rsidRPr="00471424">
        <w:instrText>":"10.1097/00000421-198212000-00014","</w:instrText>
      </w:r>
      <w:r w:rsidR="00A6794A">
        <w:rPr>
          <w:lang w:val="en-US"/>
        </w:rPr>
        <w:instrText>ISSN</w:instrText>
      </w:r>
      <w:r w:rsidR="00A6794A" w:rsidRPr="00471424">
        <w:instrText>":"02773732","</w:instrText>
      </w:r>
      <w:r w:rsidR="00A6794A">
        <w:rPr>
          <w:lang w:val="en-US"/>
        </w:rPr>
        <w:instrText>PMID</w:instrText>
      </w:r>
      <w:r w:rsidR="00A6794A" w:rsidRPr="00471424">
        <w:instrText>":"7165009","</w:instrText>
      </w:r>
      <w:r w:rsidR="00A6794A">
        <w:rPr>
          <w:lang w:val="en-US"/>
        </w:rPr>
        <w:instrText>abstract</w:instrText>
      </w:r>
      <w:r w:rsidR="00A6794A" w:rsidRPr="00471424">
        <w:instrText>":"</w:instrText>
      </w:r>
      <w:r w:rsidR="00A6794A">
        <w:rPr>
          <w:lang w:val="en-US"/>
        </w:rPr>
        <w:instrText>Standard</w:instrText>
      </w:r>
      <w:r w:rsidR="00A6794A" w:rsidRPr="00471424">
        <w:instrText xml:space="preserve"> </w:instrText>
      </w:r>
      <w:r w:rsidR="00A6794A">
        <w:rPr>
          <w:lang w:val="en-US"/>
        </w:rPr>
        <w:instrText>criteria</w:instrText>
      </w:r>
      <w:r w:rsidR="00A6794A" w:rsidRPr="00471424">
        <w:instrText xml:space="preserve"> </w:instrText>
      </w:r>
      <w:r w:rsidR="00A6794A">
        <w:rPr>
          <w:lang w:val="en-US"/>
        </w:rPr>
        <w:instrText>for</w:instrText>
      </w:r>
      <w:r w:rsidR="00A6794A" w:rsidRPr="00471424">
        <w:instrText xml:space="preserve"> </w:instrText>
      </w:r>
      <w:r w:rsidR="00A6794A">
        <w:rPr>
          <w:lang w:val="en-US"/>
        </w:rPr>
        <w:instrText>toxicity</w:instrText>
      </w:r>
      <w:r w:rsidR="00A6794A" w:rsidRPr="00471424">
        <w:instrText xml:space="preserve"> </w:instrText>
      </w:r>
      <w:r w:rsidR="00A6794A">
        <w:rPr>
          <w:lang w:val="en-US"/>
        </w:rPr>
        <w:instrText>and</w:instrText>
      </w:r>
      <w:r w:rsidR="00A6794A" w:rsidRPr="00471424">
        <w:instrText xml:space="preserve"> </w:instrText>
      </w:r>
      <w:r w:rsidR="00A6794A">
        <w:rPr>
          <w:lang w:val="en-US"/>
        </w:rPr>
        <w:instrText>for</w:instrText>
      </w:r>
      <w:r w:rsidR="00A6794A" w:rsidRPr="00471424">
        <w:instrText xml:space="preserve"> </w:instrText>
      </w:r>
      <w:r w:rsidR="00A6794A">
        <w:rPr>
          <w:lang w:val="en-US"/>
        </w:rPr>
        <w:instrText>response</w:instrText>
      </w:r>
      <w:r w:rsidR="00A6794A" w:rsidRPr="00471424">
        <w:instrText xml:space="preserve"> </w:instrText>
      </w:r>
      <w:r w:rsidR="00A6794A">
        <w:rPr>
          <w:lang w:val="en-US"/>
        </w:rPr>
        <w:instrText>to</w:instrText>
      </w:r>
      <w:r w:rsidR="00A6794A" w:rsidRPr="00471424">
        <w:instrText xml:space="preserve"> </w:instrText>
      </w:r>
      <w:r w:rsidR="00A6794A">
        <w:rPr>
          <w:lang w:val="en-US"/>
        </w:rPr>
        <w:instrText>treatment</w:instrText>
      </w:r>
      <w:r w:rsidR="00A6794A" w:rsidRPr="00471424">
        <w:instrText xml:space="preserve"> </w:instrText>
      </w:r>
      <w:r w:rsidR="00A6794A">
        <w:rPr>
          <w:lang w:val="en-US"/>
        </w:rPr>
        <w:instrText>are</w:instrText>
      </w:r>
      <w:r w:rsidR="00A6794A" w:rsidRPr="00471424">
        <w:instrText xml:space="preserve"> </w:instrText>
      </w:r>
      <w:r w:rsidR="00A6794A">
        <w:rPr>
          <w:lang w:val="en-US"/>
        </w:rPr>
        <w:instrText>important</w:instrText>
      </w:r>
      <w:r w:rsidR="00A6794A" w:rsidRPr="00471424">
        <w:instrText xml:space="preserve"> </w:instrText>
      </w:r>
      <w:r w:rsidR="00A6794A">
        <w:rPr>
          <w:lang w:val="en-US"/>
        </w:rPr>
        <w:instrText>prerequisites</w:instrText>
      </w:r>
      <w:r w:rsidR="00A6794A" w:rsidRPr="00471424">
        <w:instrText xml:space="preserve"> </w:instrText>
      </w:r>
      <w:r w:rsidR="00A6794A">
        <w:rPr>
          <w:lang w:val="en-US"/>
        </w:rPr>
        <w:instrText>to</w:instrText>
      </w:r>
      <w:r w:rsidR="00A6794A" w:rsidRPr="00471424">
        <w:instrText xml:space="preserve"> </w:instrText>
      </w:r>
      <w:r w:rsidR="00A6794A">
        <w:rPr>
          <w:lang w:val="en-US"/>
        </w:rPr>
        <w:instrText>the</w:instrText>
      </w:r>
      <w:r w:rsidR="00A6794A" w:rsidRPr="00471424">
        <w:instrText xml:space="preserve"> </w:instrText>
      </w:r>
      <w:r w:rsidR="00A6794A">
        <w:rPr>
          <w:lang w:val="en-US"/>
        </w:rPr>
        <w:instrText>conduct</w:instrText>
      </w:r>
      <w:r w:rsidR="00A6794A" w:rsidRPr="00471424">
        <w:instrText xml:space="preserve"> </w:instrText>
      </w:r>
      <w:r w:rsidR="00A6794A">
        <w:rPr>
          <w:lang w:val="en-US"/>
        </w:rPr>
        <w:instrText>of</w:instrText>
      </w:r>
      <w:r w:rsidR="00A6794A" w:rsidRPr="00471424">
        <w:instrText xml:space="preserve"> </w:instrText>
      </w:r>
      <w:r w:rsidR="00A6794A">
        <w:rPr>
          <w:lang w:val="en-US"/>
        </w:rPr>
        <w:instrText>cancer</w:instrText>
      </w:r>
      <w:r w:rsidR="00A6794A" w:rsidRPr="00471424">
        <w:instrText xml:space="preserve"> </w:instrText>
      </w:r>
      <w:r w:rsidR="00A6794A">
        <w:rPr>
          <w:lang w:val="en-US"/>
        </w:rPr>
        <w:instrText>trials</w:instrText>
      </w:r>
      <w:r w:rsidR="00A6794A" w:rsidRPr="00471424">
        <w:instrText xml:space="preserve">. </w:instrText>
      </w:r>
      <w:r w:rsidR="00A6794A">
        <w:rPr>
          <w:lang w:val="en-US"/>
        </w:rPr>
        <w:instrText>The</w:instrText>
      </w:r>
      <w:r w:rsidR="00A6794A" w:rsidRPr="00471424">
        <w:instrText xml:space="preserve"> </w:instrText>
      </w:r>
      <w:r w:rsidR="00A6794A">
        <w:rPr>
          <w:lang w:val="en-US"/>
        </w:rPr>
        <w:instrText>Eastern</w:instrText>
      </w:r>
      <w:r w:rsidR="00A6794A" w:rsidRPr="00471424">
        <w:instrText xml:space="preserve"> </w:instrText>
      </w:r>
      <w:r w:rsidR="00A6794A">
        <w:rPr>
          <w:lang w:val="en-US"/>
        </w:rPr>
        <w:instrText>Cooperative</w:instrText>
      </w:r>
      <w:r w:rsidR="00A6794A" w:rsidRPr="00471424">
        <w:instrText xml:space="preserve"> </w:instrText>
      </w:r>
      <w:r w:rsidR="00A6794A">
        <w:rPr>
          <w:lang w:val="en-US"/>
        </w:rPr>
        <w:instrText>Oncology</w:instrText>
      </w:r>
      <w:r w:rsidR="00A6794A" w:rsidRPr="00471424">
        <w:instrText xml:space="preserve"> </w:instrText>
      </w:r>
      <w:r w:rsidR="00A6794A">
        <w:rPr>
          <w:lang w:val="en-US"/>
        </w:rPr>
        <w:instrText>Group</w:instrText>
      </w:r>
      <w:r w:rsidR="00A6794A" w:rsidRPr="00471424">
        <w:instrText xml:space="preserve"> </w:instrText>
      </w:r>
      <w:r w:rsidR="00A6794A">
        <w:rPr>
          <w:lang w:val="en-US"/>
        </w:rPr>
        <w:instrText>criteria</w:instrText>
      </w:r>
      <w:r w:rsidR="00A6794A" w:rsidRPr="00471424">
        <w:instrText xml:space="preserve"> </w:instrText>
      </w:r>
      <w:r w:rsidR="00A6794A">
        <w:rPr>
          <w:lang w:val="en-US"/>
        </w:rPr>
        <w:instrText>for</w:instrText>
      </w:r>
      <w:r w:rsidR="00A6794A" w:rsidRPr="00471424">
        <w:instrText xml:space="preserve"> </w:instrText>
      </w:r>
      <w:r w:rsidR="00A6794A">
        <w:rPr>
          <w:lang w:val="en-US"/>
        </w:rPr>
        <w:instrText>toxicity</w:instrText>
      </w:r>
      <w:r w:rsidR="00A6794A" w:rsidRPr="00471424">
        <w:instrText xml:space="preserve"> </w:instrText>
      </w:r>
      <w:r w:rsidR="00A6794A">
        <w:rPr>
          <w:lang w:val="en-US"/>
        </w:rPr>
        <w:instrText>and</w:instrText>
      </w:r>
      <w:r w:rsidR="00A6794A" w:rsidRPr="00471424">
        <w:instrText xml:space="preserve"> </w:instrText>
      </w:r>
      <w:r w:rsidR="00A6794A">
        <w:rPr>
          <w:lang w:val="en-US"/>
        </w:rPr>
        <w:instrText>response</w:instrText>
      </w:r>
      <w:r w:rsidR="00A6794A" w:rsidRPr="00471424">
        <w:instrText xml:space="preserve"> </w:instrText>
      </w:r>
      <w:r w:rsidR="00A6794A">
        <w:rPr>
          <w:lang w:val="en-US"/>
        </w:rPr>
        <w:instrText>are</w:instrText>
      </w:r>
      <w:r w:rsidR="00A6794A" w:rsidRPr="00471424">
        <w:instrText xml:space="preserve"> </w:instrText>
      </w:r>
      <w:r w:rsidR="00A6794A">
        <w:rPr>
          <w:lang w:val="en-US"/>
        </w:rPr>
        <w:instrText>presented</w:instrText>
      </w:r>
      <w:r w:rsidR="00A6794A" w:rsidRPr="00471424">
        <w:instrText xml:space="preserve"> </w:instrText>
      </w:r>
      <w:r w:rsidR="00A6794A">
        <w:rPr>
          <w:lang w:val="en-US"/>
        </w:rPr>
        <w:instrText>to</w:instrText>
      </w:r>
      <w:r w:rsidR="00A6794A" w:rsidRPr="00471424">
        <w:instrText xml:space="preserve"> </w:instrText>
      </w:r>
      <w:r w:rsidR="00A6794A">
        <w:rPr>
          <w:lang w:val="en-US"/>
        </w:rPr>
        <w:instrText>facilitate</w:instrText>
      </w:r>
      <w:r w:rsidR="00A6794A" w:rsidRPr="00471424">
        <w:instrText xml:space="preserve"> </w:instrText>
      </w:r>
      <w:r w:rsidR="00A6794A">
        <w:rPr>
          <w:lang w:val="en-US"/>
        </w:rPr>
        <w:instrText>future</w:instrText>
      </w:r>
      <w:r w:rsidR="00A6794A" w:rsidRPr="00471424">
        <w:instrText xml:space="preserve"> </w:instrText>
      </w:r>
      <w:r w:rsidR="00A6794A">
        <w:rPr>
          <w:lang w:val="en-US"/>
        </w:rPr>
        <w:instrText>reference</w:instrText>
      </w:r>
      <w:r w:rsidR="00A6794A" w:rsidRPr="00471424">
        <w:instrText xml:space="preserve"> </w:instrText>
      </w:r>
      <w:r w:rsidR="00A6794A">
        <w:rPr>
          <w:lang w:val="en-US"/>
        </w:rPr>
        <w:instrText>and</w:instrText>
      </w:r>
      <w:r w:rsidR="00A6794A" w:rsidRPr="00471424">
        <w:instrText xml:space="preserve"> </w:instrText>
      </w:r>
      <w:r w:rsidR="00A6794A">
        <w:rPr>
          <w:lang w:val="en-US"/>
        </w:rPr>
        <w:instrText>to</w:instrText>
      </w:r>
      <w:r w:rsidR="00A6794A" w:rsidRPr="00471424">
        <w:instrText xml:space="preserve"> </w:instrText>
      </w:r>
      <w:r w:rsidR="00A6794A">
        <w:rPr>
          <w:lang w:val="en-US"/>
        </w:rPr>
        <w:instrText>encourage</w:instrText>
      </w:r>
      <w:r w:rsidR="00A6794A" w:rsidRPr="00471424">
        <w:instrText xml:space="preserve"> </w:instrText>
      </w:r>
      <w:r w:rsidR="00A6794A">
        <w:rPr>
          <w:lang w:val="en-US"/>
        </w:rPr>
        <w:instrText>further</w:instrText>
      </w:r>
      <w:r w:rsidR="00A6794A" w:rsidRPr="00471424">
        <w:instrText xml:space="preserve"> </w:instrText>
      </w:r>
      <w:r w:rsidR="00A6794A">
        <w:rPr>
          <w:lang w:val="en-US"/>
        </w:rPr>
        <w:instrText>standardization</w:instrText>
      </w:r>
      <w:r w:rsidR="00A6794A" w:rsidRPr="00471424">
        <w:instrText xml:space="preserve"> </w:instrText>
      </w:r>
      <w:r w:rsidR="00A6794A">
        <w:rPr>
          <w:lang w:val="en-US"/>
        </w:rPr>
        <w:instrText>among</w:instrText>
      </w:r>
      <w:r w:rsidR="00A6794A" w:rsidRPr="00471424">
        <w:instrText xml:space="preserve"> </w:instrText>
      </w:r>
      <w:r w:rsidR="00A6794A">
        <w:rPr>
          <w:lang w:val="en-US"/>
        </w:rPr>
        <w:instrText>those</w:instrText>
      </w:r>
      <w:r w:rsidR="00A6794A" w:rsidRPr="00471424">
        <w:instrText xml:space="preserve"> </w:instrText>
      </w:r>
      <w:r w:rsidR="00A6794A">
        <w:rPr>
          <w:lang w:val="en-US"/>
        </w:rPr>
        <w:instrText>conducting</w:instrText>
      </w:r>
      <w:r w:rsidR="00A6794A" w:rsidRPr="00471424">
        <w:instrText xml:space="preserve"> </w:instrText>
      </w:r>
      <w:r w:rsidR="00A6794A">
        <w:rPr>
          <w:lang w:val="en-US"/>
        </w:rPr>
        <w:instrText>clinical</w:instrText>
      </w:r>
      <w:r w:rsidR="00A6794A" w:rsidRPr="00471424">
        <w:instrText xml:space="preserve"> </w:instrText>
      </w:r>
      <w:r w:rsidR="00A6794A">
        <w:rPr>
          <w:lang w:val="en-US"/>
        </w:rPr>
        <w:instrText>trials</w:instrText>
      </w:r>
      <w:r w:rsidR="00A6794A" w:rsidRPr="00471424">
        <w:instrText>.","</w:instrText>
      </w:r>
      <w:r w:rsidR="00A6794A">
        <w:rPr>
          <w:lang w:val="en-US"/>
        </w:rPr>
        <w:instrText>author</w:instrText>
      </w:r>
      <w:r w:rsidR="00A6794A" w:rsidRPr="00471424">
        <w:instrText>":[{"</w:instrText>
      </w:r>
      <w:r w:rsidR="00A6794A">
        <w:rPr>
          <w:lang w:val="en-US"/>
        </w:rPr>
        <w:instrText>dropping</w:instrText>
      </w:r>
      <w:r w:rsidR="00A6794A" w:rsidRPr="00471424">
        <w:instrText>-</w:instrText>
      </w:r>
      <w:r w:rsidR="00A6794A">
        <w:rPr>
          <w:lang w:val="en-US"/>
        </w:rPr>
        <w:instrText>particle</w:instrText>
      </w:r>
      <w:r w:rsidR="00A6794A" w:rsidRPr="00471424">
        <w:instrText>":"","</w:instrText>
      </w:r>
      <w:r w:rsidR="00A6794A">
        <w:rPr>
          <w:lang w:val="en-US"/>
        </w:rPr>
        <w:instrText>family</w:instrText>
      </w:r>
      <w:r w:rsidR="00A6794A" w:rsidRPr="00471424">
        <w:instrText>":"</w:instrText>
      </w:r>
      <w:r w:rsidR="00A6794A">
        <w:rPr>
          <w:lang w:val="en-US"/>
        </w:rPr>
        <w:instrText>Oken</w:instrText>
      </w:r>
      <w:r w:rsidR="00A6794A" w:rsidRPr="00471424">
        <w:instrText>","</w:instrText>
      </w:r>
      <w:r w:rsidR="00A6794A">
        <w:rPr>
          <w:lang w:val="en-US"/>
        </w:rPr>
        <w:instrText>given</w:instrText>
      </w:r>
      <w:r w:rsidR="00A6794A" w:rsidRPr="00471424">
        <w:instrText>":"</w:instrText>
      </w:r>
      <w:r w:rsidR="00A6794A">
        <w:rPr>
          <w:lang w:val="en-US"/>
        </w:rPr>
        <w:instrText>M</w:instrText>
      </w:r>
      <w:r w:rsidR="00A6794A" w:rsidRPr="00471424">
        <w:instrText>.</w:instrText>
      </w:r>
      <w:r w:rsidR="00A6794A">
        <w:rPr>
          <w:lang w:val="en-US"/>
        </w:rPr>
        <w:instrText>M</w:instrText>
      </w:r>
      <w:r w:rsidR="00A6794A" w:rsidRPr="00471424">
        <w:instrText>.","</w:instrText>
      </w:r>
      <w:r w:rsidR="00A6794A">
        <w:rPr>
          <w:lang w:val="en-US"/>
        </w:rPr>
        <w:instrText>non</w:instrText>
      </w:r>
      <w:r w:rsidR="00A6794A" w:rsidRPr="00471424">
        <w:instrText>-</w:instrText>
      </w:r>
      <w:r w:rsidR="00A6794A">
        <w:rPr>
          <w:lang w:val="en-US"/>
        </w:rPr>
        <w:instrText>dropping</w:instrText>
      </w:r>
      <w:r w:rsidR="00A6794A" w:rsidRPr="00471424">
        <w:instrText>-</w:instrText>
      </w:r>
      <w:r w:rsidR="00A6794A">
        <w:rPr>
          <w:lang w:val="en-US"/>
        </w:rPr>
        <w:instrText>particle</w:instrText>
      </w:r>
      <w:r w:rsidR="00A6794A" w:rsidRPr="00471424">
        <w:instrText>":"","</w:instrText>
      </w:r>
      <w:r w:rsidR="00A6794A">
        <w:rPr>
          <w:lang w:val="en-US"/>
        </w:rPr>
        <w:instrText>parse</w:instrText>
      </w:r>
      <w:r w:rsidR="00A6794A" w:rsidRPr="00471424">
        <w:instrText>-</w:instrText>
      </w:r>
      <w:r w:rsidR="00A6794A">
        <w:rPr>
          <w:lang w:val="en-US"/>
        </w:rPr>
        <w:instrText>names</w:instrText>
      </w:r>
      <w:r w:rsidR="00A6794A" w:rsidRPr="00471424">
        <w:instrText>":</w:instrText>
      </w:r>
      <w:r w:rsidR="00A6794A">
        <w:rPr>
          <w:lang w:val="en-US"/>
        </w:rPr>
        <w:instrText>false</w:instrText>
      </w:r>
      <w:r w:rsidR="00A6794A" w:rsidRPr="00471424">
        <w:instrText>,"</w:instrText>
      </w:r>
      <w:r w:rsidR="00A6794A">
        <w:rPr>
          <w:lang w:val="en-US"/>
        </w:rPr>
        <w:instrText>suffix</w:instrText>
      </w:r>
      <w:r w:rsidR="00A6794A" w:rsidRPr="00471424">
        <w:instrText>":""},{"</w:instrText>
      </w:r>
      <w:r w:rsidR="00A6794A">
        <w:rPr>
          <w:lang w:val="en-US"/>
        </w:rPr>
        <w:instrText>dropping</w:instrText>
      </w:r>
      <w:r w:rsidR="00A6794A" w:rsidRPr="00471424">
        <w:instrText>-</w:instrText>
      </w:r>
      <w:r w:rsidR="00A6794A">
        <w:rPr>
          <w:lang w:val="en-US"/>
        </w:rPr>
        <w:instrText>particle</w:instrText>
      </w:r>
      <w:r w:rsidR="00A6794A" w:rsidRPr="00471424">
        <w:instrText>":"","</w:instrText>
      </w:r>
      <w:r w:rsidR="00A6794A">
        <w:rPr>
          <w:lang w:val="en-US"/>
        </w:rPr>
        <w:instrText>family</w:instrText>
      </w:r>
      <w:r w:rsidR="00A6794A" w:rsidRPr="00471424">
        <w:instrText>":"</w:instrText>
      </w:r>
      <w:r w:rsidR="00A6794A">
        <w:rPr>
          <w:lang w:val="en-US"/>
        </w:rPr>
        <w:instrText>Creech</w:instrText>
      </w:r>
      <w:r w:rsidR="00A6794A" w:rsidRPr="00471424">
        <w:instrText>","</w:instrText>
      </w:r>
      <w:r w:rsidR="00A6794A">
        <w:rPr>
          <w:lang w:val="en-US"/>
        </w:rPr>
        <w:instrText>given</w:instrText>
      </w:r>
      <w:r w:rsidR="00A6794A" w:rsidRPr="00471424">
        <w:instrText>":"</w:instrText>
      </w:r>
      <w:r w:rsidR="00A6794A">
        <w:rPr>
          <w:lang w:val="en-US"/>
        </w:rPr>
        <w:instrText>R</w:instrText>
      </w:r>
      <w:r w:rsidR="00A6794A" w:rsidRPr="00471424">
        <w:instrText>.</w:instrText>
      </w:r>
      <w:r w:rsidR="00A6794A">
        <w:rPr>
          <w:lang w:val="en-US"/>
        </w:rPr>
        <w:instrText>H</w:instrText>
      </w:r>
      <w:r w:rsidR="00A6794A" w:rsidRPr="00471424">
        <w:instrText>.","</w:instrText>
      </w:r>
      <w:r w:rsidR="00A6794A">
        <w:rPr>
          <w:lang w:val="en-US"/>
        </w:rPr>
        <w:instrText>non</w:instrText>
      </w:r>
      <w:r w:rsidR="00A6794A" w:rsidRPr="00471424">
        <w:instrText>-</w:instrText>
      </w:r>
      <w:r w:rsidR="00A6794A">
        <w:rPr>
          <w:lang w:val="en-US"/>
        </w:rPr>
        <w:instrText>dropping</w:instrText>
      </w:r>
      <w:r w:rsidR="00A6794A" w:rsidRPr="00471424">
        <w:instrText>-</w:instrText>
      </w:r>
      <w:r w:rsidR="00A6794A">
        <w:rPr>
          <w:lang w:val="en-US"/>
        </w:rPr>
        <w:instrText>particle</w:instrText>
      </w:r>
      <w:r w:rsidR="00A6794A" w:rsidRPr="00471424">
        <w:instrText>":"","</w:instrText>
      </w:r>
      <w:r w:rsidR="00A6794A">
        <w:rPr>
          <w:lang w:val="en-US"/>
        </w:rPr>
        <w:instrText>parse</w:instrText>
      </w:r>
      <w:r w:rsidR="00A6794A" w:rsidRPr="00471424">
        <w:instrText>-</w:instrText>
      </w:r>
      <w:r w:rsidR="00A6794A">
        <w:rPr>
          <w:lang w:val="en-US"/>
        </w:rPr>
        <w:instrText>names</w:instrText>
      </w:r>
      <w:r w:rsidR="00A6794A" w:rsidRPr="00471424">
        <w:instrText>":</w:instrText>
      </w:r>
      <w:r w:rsidR="00A6794A">
        <w:rPr>
          <w:lang w:val="en-US"/>
        </w:rPr>
        <w:instrText>false</w:instrText>
      </w:r>
      <w:r w:rsidR="00A6794A" w:rsidRPr="00471424">
        <w:instrText>,"</w:instrText>
      </w:r>
      <w:r w:rsidR="00A6794A">
        <w:rPr>
          <w:lang w:val="en-US"/>
        </w:rPr>
        <w:instrText>suffix</w:instrText>
      </w:r>
      <w:r w:rsidR="00A6794A" w:rsidRPr="00471424">
        <w:instrText>":""},{"</w:instrText>
      </w:r>
      <w:r w:rsidR="00A6794A">
        <w:rPr>
          <w:lang w:val="en-US"/>
        </w:rPr>
        <w:instrText>dropping</w:instrText>
      </w:r>
      <w:r w:rsidR="00A6794A" w:rsidRPr="00471424">
        <w:instrText>-</w:instrText>
      </w:r>
      <w:r w:rsidR="00A6794A">
        <w:rPr>
          <w:lang w:val="en-US"/>
        </w:rPr>
        <w:instrText>particle</w:instrText>
      </w:r>
      <w:r w:rsidR="00A6794A" w:rsidRPr="00471424">
        <w:instrText>":"","</w:instrText>
      </w:r>
      <w:r w:rsidR="00A6794A">
        <w:rPr>
          <w:lang w:val="en-US"/>
        </w:rPr>
        <w:instrText>family</w:instrText>
      </w:r>
      <w:r w:rsidR="00A6794A" w:rsidRPr="00471424">
        <w:instrText>":"</w:instrText>
      </w:r>
      <w:r w:rsidR="00A6794A">
        <w:rPr>
          <w:lang w:val="en-US"/>
        </w:rPr>
        <w:instrText>Tormey</w:instrText>
      </w:r>
      <w:r w:rsidR="00A6794A" w:rsidRPr="00471424">
        <w:instrText>","</w:instrText>
      </w:r>
      <w:r w:rsidR="00A6794A">
        <w:rPr>
          <w:lang w:val="en-US"/>
        </w:rPr>
        <w:instrText>given</w:instrText>
      </w:r>
      <w:r w:rsidR="00A6794A" w:rsidRPr="00471424">
        <w:instrText>":"</w:instrText>
      </w:r>
      <w:r w:rsidR="00A6794A">
        <w:rPr>
          <w:lang w:val="en-US"/>
        </w:rPr>
        <w:instrText>D</w:instrText>
      </w:r>
      <w:r w:rsidR="00A6794A" w:rsidRPr="00471424">
        <w:instrText>.</w:instrText>
      </w:r>
      <w:r w:rsidR="00A6794A">
        <w:rPr>
          <w:lang w:val="en-US"/>
        </w:rPr>
        <w:instrText>C</w:instrText>
      </w:r>
      <w:r w:rsidR="00A6794A" w:rsidRPr="00471424">
        <w:instrText>.","</w:instrText>
      </w:r>
      <w:r w:rsidR="00A6794A">
        <w:rPr>
          <w:lang w:val="en-US"/>
        </w:rPr>
        <w:instrText>non</w:instrText>
      </w:r>
      <w:r w:rsidR="00A6794A" w:rsidRPr="00471424">
        <w:instrText>-</w:instrText>
      </w:r>
      <w:r w:rsidR="00A6794A">
        <w:rPr>
          <w:lang w:val="en-US"/>
        </w:rPr>
        <w:instrText>dropping</w:instrText>
      </w:r>
      <w:r w:rsidR="00A6794A" w:rsidRPr="00471424">
        <w:instrText>-</w:instrText>
      </w:r>
      <w:r w:rsidR="00A6794A">
        <w:rPr>
          <w:lang w:val="en-US"/>
        </w:rPr>
        <w:instrText>particle</w:instrText>
      </w:r>
      <w:r w:rsidR="00A6794A" w:rsidRPr="00471424">
        <w:instrText>":"","</w:instrText>
      </w:r>
      <w:r w:rsidR="00A6794A">
        <w:rPr>
          <w:lang w:val="en-US"/>
        </w:rPr>
        <w:instrText>parse</w:instrText>
      </w:r>
      <w:r w:rsidR="00A6794A" w:rsidRPr="00471424">
        <w:instrText>-</w:instrText>
      </w:r>
      <w:r w:rsidR="00A6794A">
        <w:rPr>
          <w:lang w:val="en-US"/>
        </w:rPr>
        <w:instrText>names</w:instrText>
      </w:r>
      <w:r w:rsidR="00A6794A" w:rsidRPr="00471424">
        <w:instrText>":</w:instrText>
      </w:r>
      <w:r w:rsidR="00A6794A">
        <w:rPr>
          <w:lang w:val="en-US"/>
        </w:rPr>
        <w:instrText>false</w:instrText>
      </w:r>
      <w:r w:rsidR="00A6794A" w:rsidRPr="00471424">
        <w:instrText>,"</w:instrText>
      </w:r>
      <w:r w:rsidR="00A6794A">
        <w:rPr>
          <w:lang w:val="en-US"/>
        </w:rPr>
        <w:instrText>suffix</w:instrText>
      </w:r>
      <w:r w:rsidR="00A6794A" w:rsidRPr="00471424">
        <w:instrText>":""},{"</w:instrText>
      </w:r>
      <w:r w:rsidR="00A6794A">
        <w:rPr>
          <w:lang w:val="en-US"/>
        </w:rPr>
        <w:instrText>dropping</w:instrText>
      </w:r>
      <w:r w:rsidR="00A6794A" w:rsidRPr="00471424">
        <w:instrText>-</w:instrText>
      </w:r>
      <w:r w:rsidR="00A6794A">
        <w:rPr>
          <w:lang w:val="en-US"/>
        </w:rPr>
        <w:instrText>particle</w:instrText>
      </w:r>
      <w:r w:rsidR="00A6794A" w:rsidRPr="00471424">
        <w:instrText>":"","</w:instrText>
      </w:r>
      <w:r w:rsidR="00A6794A">
        <w:rPr>
          <w:lang w:val="en-US"/>
        </w:rPr>
        <w:instrText>family</w:instrText>
      </w:r>
      <w:r w:rsidR="00A6794A" w:rsidRPr="00471424">
        <w:instrText>":"</w:instrText>
      </w:r>
      <w:r w:rsidR="00A6794A">
        <w:rPr>
          <w:lang w:val="en-US"/>
        </w:rPr>
        <w:instrText>Horton</w:instrText>
      </w:r>
      <w:r w:rsidR="00A6794A" w:rsidRPr="00471424">
        <w:instrText>","</w:instrText>
      </w:r>
      <w:r w:rsidR="00A6794A">
        <w:rPr>
          <w:lang w:val="en-US"/>
        </w:rPr>
        <w:instrText>given</w:instrText>
      </w:r>
      <w:r w:rsidR="00A6794A" w:rsidRPr="00471424">
        <w:instrText>":"</w:instrText>
      </w:r>
      <w:r w:rsidR="00A6794A">
        <w:rPr>
          <w:lang w:val="en-US"/>
        </w:rPr>
        <w:instrText>J</w:instrText>
      </w:r>
      <w:r w:rsidR="00A6794A" w:rsidRPr="00471424">
        <w:instrText>.","</w:instrText>
      </w:r>
      <w:r w:rsidR="00A6794A">
        <w:rPr>
          <w:lang w:val="en-US"/>
        </w:rPr>
        <w:instrText>non</w:instrText>
      </w:r>
      <w:r w:rsidR="00A6794A" w:rsidRPr="00471424">
        <w:instrText>-</w:instrText>
      </w:r>
      <w:r w:rsidR="00A6794A">
        <w:rPr>
          <w:lang w:val="en-US"/>
        </w:rPr>
        <w:instrText>dropping</w:instrText>
      </w:r>
      <w:r w:rsidR="00A6794A" w:rsidRPr="00471424">
        <w:instrText>-</w:instrText>
      </w:r>
      <w:r w:rsidR="00A6794A">
        <w:rPr>
          <w:lang w:val="en-US"/>
        </w:rPr>
        <w:instrText>particle</w:instrText>
      </w:r>
      <w:r w:rsidR="00A6794A" w:rsidRPr="00471424">
        <w:instrText>":"","</w:instrText>
      </w:r>
      <w:r w:rsidR="00A6794A">
        <w:rPr>
          <w:lang w:val="en-US"/>
        </w:rPr>
        <w:instrText>parse</w:instrText>
      </w:r>
      <w:r w:rsidR="00A6794A" w:rsidRPr="00471424">
        <w:instrText>-</w:instrText>
      </w:r>
      <w:r w:rsidR="00A6794A">
        <w:rPr>
          <w:lang w:val="en-US"/>
        </w:rPr>
        <w:instrText>names</w:instrText>
      </w:r>
      <w:r w:rsidR="00A6794A" w:rsidRPr="00471424">
        <w:instrText>":</w:instrText>
      </w:r>
      <w:r w:rsidR="00A6794A">
        <w:rPr>
          <w:lang w:val="en-US"/>
        </w:rPr>
        <w:instrText>false</w:instrText>
      </w:r>
      <w:r w:rsidR="00A6794A" w:rsidRPr="00471424">
        <w:instrText>,"</w:instrText>
      </w:r>
      <w:r w:rsidR="00A6794A">
        <w:rPr>
          <w:lang w:val="en-US"/>
        </w:rPr>
        <w:instrText>suffix</w:instrText>
      </w:r>
      <w:r w:rsidR="00A6794A" w:rsidRPr="00471424">
        <w:instrText>":""},{"</w:instrText>
      </w:r>
      <w:r w:rsidR="00A6794A">
        <w:rPr>
          <w:lang w:val="en-US"/>
        </w:rPr>
        <w:instrText>dropping</w:instrText>
      </w:r>
      <w:r w:rsidR="00A6794A" w:rsidRPr="00471424">
        <w:instrText>-</w:instrText>
      </w:r>
      <w:r w:rsidR="00A6794A">
        <w:rPr>
          <w:lang w:val="en-US"/>
        </w:rPr>
        <w:instrText>particle</w:instrText>
      </w:r>
      <w:r w:rsidR="00A6794A" w:rsidRPr="00471424">
        <w:instrText>":"","</w:instrText>
      </w:r>
      <w:r w:rsidR="00A6794A">
        <w:rPr>
          <w:lang w:val="en-US"/>
        </w:rPr>
        <w:instrText>family</w:instrText>
      </w:r>
      <w:r w:rsidR="00A6794A" w:rsidRPr="00471424">
        <w:instrText>":"</w:instrText>
      </w:r>
      <w:r w:rsidR="00A6794A">
        <w:rPr>
          <w:lang w:val="en-US"/>
        </w:rPr>
        <w:instrText>Davis</w:instrText>
      </w:r>
      <w:r w:rsidR="00A6794A" w:rsidRPr="00471424">
        <w:instrText>","</w:instrText>
      </w:r>
      <w:r w:rsidR="00A6794A">
        <w:rPr>
          <w:lang w:val="en-US"/>
        </w:rPr>
        <w:instrText>given</w:instrText>
      </w:r>
      <w:r w:rsidR="00A6794A" w:rsidRPr="00471424">
        <w:instrText>":"</w:instrText>
      </w:r>
      <w:r w:rsidR="00A6794A">
        <w:rPr>
          <w:lang w:val="en-US"/>
        </w:rPr>
        <w:instrText>T</w:instrText>
      </w:r>
      <w:r w:rsidR="00A6794A" w:rsidRPr="00471424">
        <w:instrText>.</w:instrText>
      </w:r>
      <w:r w:rsidR="00A6794A">
        <w:rPr>
          <w:lang w:val="en-US"/>
        </w:rPr>
        <w:instrText>E</w:instrText>
      </w:r>
      <w:r w:rsidR="00A6794A" w:rsidRPr="00471424">
        <w:instrText>.","</w:instrText>
      </w:r>
      <w:r w:rsidR="00A6794A">
        <w:rPr>
          <w:lang w:val="en-US"/>
        </w:rPr>
        <w:instrText>non</w:instrText>
      </w:r>
      <w:r w:rsidR="00A6794A" w:rsidRPr="00471424">
        <w:instrText>-</w:instrText>
      </w:r>
      <w:r w:rsidR="00A6794A">
        <w:rPr>
          <w:lang w:val="en-US"/>
        </w:rPr>
        <w:instrText>dropping</w:instrText>
      </w:r>
      <w:r w:rsidR="00A6794A" w:rsidRPr="00471424">
        <w:instrText>-</w:instrText>
      </w:r>
      <w:r w:rsidR="00A6794A">
        <w:rPr>
          <w:lang w:val="en-US"/>
        </w:rPr>
        <w:instrText>particle</w:instrText>
      </w:r>
      <w:r w:rsidR="00A6794A" w:rsidRPr="00471424">
        <w:instrText>":"","</w:instrText>
      </w:r>
      <w:r w:rsidR="00A6794A">
        <w:rPr>
          <w:lang w:val="en-US"/>
        </w:rPr>
        <w:instrText>parse</w:instrText>
      </w:r>
      <w:r w:rsidR="00A6794A" w:rsidRPr="00471424">
        <w:instrText>-</w:instrText>
      </w:r>
      <w:r w:rsidR="00A6794A">
        <w:rPr>
          <w:lang w:val="en-US"/>
        </w:rPr>
        <w:instrText>names</w:instrText>
      </w:r>
      <w:r w:rsidR="00A6794A" w:rsidRPr="00471424">
        <w:instrText>":</w:instrText>
      </w:r>
      <w:r w:rsidR="00A6794A">
        <w:rPr>
          <w:lang w:val="en-US"/>
        </w:rPr>
        <w:instrText>false</w:instrText>
      </w:r>
      <w:r w:rsidR="00A6794A" w:rsidRPr="00471424">
        <w:instrText>,"</w:instrText>
      </w:r>
      <w:r w:rsidR="00A6794A">
        <w:rPr>
          <w:lang w:val="en-US"/>
        </w:rPr>
        <w:instrText>suffix</w:instrText>
      </w:r>
      <w:r w:rsidR="00A6794A" w:rsidRPr="00471424">
        <w:instrText>":""},{"</w:instrText>
      </w:r>
      <w:r w:rsidR="00A6794A">
        <w:rPr>
          <w:lang w:val="en-US"/>
        </w:rPr>
        <w:instrText>dropping</w:instrText>
      </w:r>
      <w:r w:rsidR="00A6794A" w:rsidRPr="00471424">
        <w:instrText>-</w:instrText>
      </w:r>
      <w:r w:rsidR="00A6794A">
        <w:rPr>
          <w:lang w:val="en-US"/>
        </w:rPr>
        <w:instrText>particle</w:instrText>
      </w:r>
      <w:r w:rsidR="00A6794A" w:rsidRPr="00471424">
        <w:instrText>":"","</w:instrText>
      </w:r>
      <w:r w:rsidR="00A6794A">
        <w:rPr>
          <w:lang w:val="en-US"/>
        </w:rPr>
        <w:instrText>family</w:instrText>
      </w:r>
      <w:r w:rsidR="00A6794A" w:rsidRPr="00471424">
        <w:instrText>":"</w:instrText>
      </w:r>
      <w:r w:rsidR="00A6794A">
        <w:rPr>
          <w:lang w:val="en-US"/>
        </w:rPr>
        <w:instrText>McFadden</w:instrText>
      </w:r>
      <w:r w:rsidR="00A6794A" w:rsidRPr="00471424">
        <w:instrText>","</w:instrText>
      </w:r>
      <w:r w:rsidR="00A6794A">
        <w:rPr>
          <w:lang w:val="en-US"/>
        </w:rPr>
        <w:instrText>given</w:instrText>
      </w:r>
      <w:r w:rsidR="00A6794A" w:rsidRPr="00471424">
        <w:instrText>":"</w:instrText>
      </w:r>
      <w:r w:rsidR="00A6794A">
        <w:rPr>
          <w:lang w:val="en-US"/>
        </w:rPr>
        <w:instrText>E</w:instrText>
      </w:r>
      <w:r w:rsidR="00A6794A" w:rsidRPr="00471424">
        <w:instrText>.</w:instrText>
      </w:r>
      <w:r w:rsidR="00A6794A">
        <w:rPr>
          <w:lang w:val="en-US"/>
        </w:rPr>
        <w:instrText>T</w:instrText>
      </w:r>
      <w:r w:rsidR="00A6794A" w:rsidRPr="00471424">
        <w:instrText>.","</w:instrText>
      </w:r>
      <w:r w:rsidR="00A6794A">
        <w:rPr>
          <w:lang w:val="en-US"/>
        </w:rPr>
        <w:instrText>non</w:instrText>
      </w:r>
      <w:r w:rsidR="00A6794A" w:rsidRPr="00471424">
        <w:instrText>-</w:instrText>
      </w:r>
      <w:r w:rsidR="00A6794A">
        <w:rPr>
          <w:lang w:val="en-US"/>
        </w:rPr>
        <w:instrText>dropping</w:instrText>
      </w:r>
      <w:r w:rsidR="00A6794A" w:rsidRPr="00471424">
        <w:instrText>-</w:instrText>
      </w:r>
      <w:r w:rsidR="00A6794A">
        <w:rPr>
          <w:lang w:val="en-US"/>
        </w:rPr>
        <w:instrText>particle</w:instrText>
      </w:r>
      <w:r w:rsidR="00A6794A" w:rsidRPr="00471424">
        <w:instrText>":"","</w:instrText>
      </w:r>
      <w:r w:rsidR="00A6794A">
        <w:rPr>
          <w:lang w:val="en-US"/>
        </w:rPr>
        <w:instrText>parse</w:instrText>
      </w:r>
      <w:r w:rsidR="00A6794A" w:rsidRPr="00471424">
        <w:instrText>-</w:instrText>
      </w:r>
      <w:r w:rsidR="00A6794A">
        <w:rPr>
          <w:lang w:val="en-US"/>
        </w:rPr>
        <w:instrText>names</w:instrText>
      </w:r>
      <w:r w:rsidR="00A6794A" w:rsidRPr="00471424">
        <w:instrText>":</w:instrText>
      </w:r>
      <w:r w:rsidR="00A6794A">
        <w:rPr>
          <w:lang w:val="en-US"/>
        </w:rPr>
        <w:instrText>false</w:instrText>
      </w:r>
      <w:r w:rsidR="00A6794A" w:rsidRPr="00471424">
        <w:instrText>,"</w:instrText>
      </w:r>
      <w:r w:rsidR="00A6794A">
        <w:rPr>
          <w:lang w:val="en-US"/>
        </w:rPr>
        <w:instrText>suffix</w:instrText>
      </w:r>
      <w:r w:rsidR="00A6794A" w:rsidRPr="00471424">
        <w:instrText>":""},{"</w:instrText>
      </w:r>
      <w:r w:rsidR="00A6794A">
        <w:rPr>
          <w:lang w:val="en-US"/>
        </w:rPr>
        <w:instrText>dropping</w:instrText>
      </w:r>
      <w:r w:rsidR="00A6794A" w:rsidRPr="00471424">
        <w:instrText>-</w:instrText>
      </w:r>
      <w:r w:rsidR="00A6794A">
        <w:rPr>
          <w:lang w:val="en-US"/>
        </w:rPr>
        <w:instrText>particle</w:instrText>
      </w:r>
      <w:r w:rsidR="00A6794A" w:rsidRPr="00471424">
        <w:instrText>":"","</w:instrText>
      </w:r>
      <w:r w:rsidR="00A6794A">
        <w:rPr>
          <w:lang w:val="en-US"/>
        </w:rPr>
        <w:instrText>family</w:instrText>
      </w:r>
      <w:r w:rsidR="00A6794A" w:rsidRPr="00471424">
        <w:instrText>":"</w:instrText>
      </w:r>
      <w:r w:rsidR="00A6794A">
        <w:rPr>
          <w:lang w:val="en-US"/>
        </w:rPr>
        <w:instrText>Carbone</w:instrText>
      </w:r>
      <w:r w:rsidR="00A6794A" w:rsidRPr="00471424">
        <w:instrText>","</w:instrText>
      </w:r>
      <w:r w:rsidR="00A6794A">
        <w:rPr>
          <w:lang w:val="en-US"/>
        </w:rPr>
        <w:instrText>given</w:instrText>
      </w:r>
      <w:r w:rsidR="00A6794A" w:rsidRPr="00471424">
        <w:instrText>":"</w:instrText>
      </w:r>
      <w:r w:rsidR="00A6794A">
        <w:rPr>
          <w:lang w:val="en-US"/>
        </w:rPr>
        <w:instrText>P</w:instrText>
      </w:r>
      <w:r w:rsidR="00A6794A" w:rsidRPr="00471424">
        <w:instrText>.</w:instrText>
      </w:r>
      <w:r w:rsidR="00A6794A">
        <w:rPr>
          <w:lang w:val="en-US"/>
        </w:rPr>
        <w:instrText>P</w:instrText>
      </w:r>
      <w:r w:rsidR="00A6794A" w:rsidRPr="00471424">
        <w:instrText>.","</w:instrText>
      </w:r>
      <w:r w:rsidR="00A6794A">
        <w:rPr>
          <w:lang w:val="en-US"/>
        </w:rPr>
        <w:instrText>non</w:instrText>
      </w:r>
      <w:r w:rsidR="00A6794A" w:rsidRPr="00471424">
        <w:instrText>-</w:instrText>
      </w:r>
      <w:r w:rsidR="00A6794A">
        <w:rPr>
          <w:lang w:val="en-US"/>
        </w:rPr>
        <w:instrText>dropping</w:instrText>
      </w:r>
      <w:r w:rsidR="00A6794A" w:rsidRPr="00471424">
        <w:instrText>-</w:instrText>
      </w:r>
      <w:r w:rsidR="00A6794A">
        <w:rPr>
          <w:lang w:val="en-US"/>
        </w:rPr>
        <w:instrText>particle</w:instrText>
      </w:r>
      <w:r w:rsidR="00A6794A" w:rsidRPr="00471424">
        <w:instrText>":"","</w:instrText>
      </w:r>
      <w:r w:rsidR="00A6794A">
        <w:rPr>
          <w:lang w:val="en-US"/>
        </w:rPr>
        <w:instrText>parse</w:instrText>
      </w:r>
      <w:r w:rsidR="00A6794A" w:rsidRPr="00471424">
        <w:instrText>-</w:instrText>
      </w:r>
      <w:r w:rsidR="00A6794A">
        <w:rPr>
          <w:lang w:val="en-US"/>
        </w:rPr>
        <w:instrText>names</w:instrText>
      </w:r>
      <w:r w:rsidR="00A6794A" w:rsidRPr="00471424">
        <w:instrText>":</w:instrText>
      </w:r>
      <w:r w:rsidR="00A6794A">
        <w:rPr>
          <w:lang w:val="en-US"/>
        </w:rPr>
        <w:instrText>false</w:instrText>
      </w:r>
      <w:r w:rsidR="00A6794A" w:rsidRPr="00471424">
        <w:instrText>,"</w:instrText>
      </w:r>
      <w:r w:rsidR="00A6794A">
        <w:rPr>
          <w:lang w:val="en-US"/>
        </w:rPr>
        <w:instrText>suffix</w:instrText>
      </w:r>
      <w:r w:rsidR="00A6794A" w:rsidRPr="00471424">
        <w:instrText>":""}],"</w:instrText>
      </w:r>
      <w:r w:rsidR="00A6794A">
        <w:rPr>
          <w:lang w:val="en-US"/>
        </w:rPr>
        <w:instrText>container</w:instrText>
      </w:r>
      <w:r w:rsidR="00A6794A" w:rsidRPr="00471424">
        <w:instrText>-</w:instrText>
      </w:r>
      <w:r w:rsidR="00A6794A">
        <w:rPr>
          <w:lang w:val="en-US"/>
        </w:rPr>
        <w:instrText>title</w:instrText>
      </w:r>
      <w:r w:rsidR="00A6794A" w:rsidRPr="00471424">
        <w:instrText>":"</w:instrText>
      </w:r>
      <w:r w:rsidR="00A6794A">
        <w:rPr>
          <w:lang w:val="en-US"/>
        </w:rPr>
        <w:instrText>American</w:instrText>
      </w:r>
      <w:r w:rsidR="00A6794A" w:rsidRPr="00471424">
        <w:instrText xml:space="preserve"> </w:instrText>
      </w:r>
      <w:r w:rsidR="00A6794A">
        <w:rPr>
          <w:lang w:val="en-US"/>
        </w:rPr>
        <w:instrText>Journal</w:instrText>
      </w:r>
      <w:r w:rsidR="00A6794A" w:rsidRPr="00471424">
        <w:instrText xml:space="preserve"> </w:instrText>
      </w:r>
      <w:r w:rsidR="00A6794A">
        <w:rPr>
          <w:lang w:val="en-US"/>
        </w:rPr>
        <w:instrText>of</w:instrText>
      </w:r>
      <w:r w:rsidR="00A6794A" w:rsidRPr="00471424">
        <w:instrText xml:space="preserve"> </w:instrText>
      </w:r>
      <w:r w:rsidR="00A6794A">
        <w:rPr>
          <w:lang w:val="en-US"/>
        </w:rPr>
        <w:instrText>Clinical</w:instrText>
      </w:r>
      <w:r w:rsidR="00A6794A" w:rsidRPr="00471424">
        <w:instrText xml:space="preserve"> </w:instrText>
      </w:r>
      <w:r w:rsidR="00A6794A">
        <w:rPr>
          <w:lang w:val="en-US"/>
        </w:rPr>
        <w:instrText>Oncology</w:instrText>
      </w:r>
      <w:r w:rsidR="00A6794A" w:rsidRPr="00471424">
        <w:instrText>","</w:instrText>
      </w:r>
      <w:r w:rsidR="00A6794A">
        <w:rPr>
          <w:lang w:val="en-US"/>
        </w:rPr>
        <w:instrText>id</w:instrText>
      </w:r>
      <w:r w:rsidR="00A6794A" w:rsidRPr="00471424">
        <w:instrText>":"</w:instrText>
      </w:r>
      <w:r w:rsidR="00A6794A">
        <w:rPr>
          <w:lang w:val="en-US"/>
        </w:rPr>
        <w:instrText>ITEM</w:instrText>
      </w:r>
      <w:r w:rsidR="00A6794A" w:rsidRPr="00471424">
        <w:instrText>-1","</w:instrText>
      </w:r>
      <w:r w:rsidR="00A6794A">
        <w:rPr>
          <w:lang w:val="en-US"/>
        </w:rPr>
        <w:instrText>issue</w:instrText>
      </w:r>
      <w:r w:rsidR="00A6794A" w:rsidRPr="00471424">
        <w:instrText>":"6","</w:instrText>
      </w:r>
      <w:r w:rsidR="00A6794A">
        <w:rPr>
          <w:lang w:val="en-US"/>
        </w:rPr>
        <w:instrText>issued</w:instrText>
      </w:r>
      <w:r w:rsidR="00A6794A" w:rsidRPr="00471424">
        <w:instrText>":{"</w:instrText>
      </w:r>
      <w:r w:rsidR="00A6794A">
        <w:rPr>
          <w:lang w:val="en-US"/>
        </w:rPr>
        <w:instrText>date</w:instrText>
      </w:r>
      <w:r w:rsidR="00A6794A" w:rsidRPr="00471424">
        <w:instrText>-</w:instrText>
      </w:r>
      <w:r w:rsidR="00A6794A">
        <w:rPr>
          <w:lang w:val="en-US"/>
        </w:rPr>
        <w:instrText>parts</w:instrText>
      </w:r>
      <w:r w:rsidR="00A6794A" w:rsidRPr="00471424">
        <w:instrText>":[["1982"]]},"</w:instrText>
      </w:r>
      <w:r w:rsidR="00A6794A">
        <w:rPr>
          <w:lang w:val="en-US"/>
        </w:rPr>
        <w:instrText>page</w:instrText>
      </w:r>
      <w:r w:rsidR="00A6794A" w:rsidRPr="00471424">
        <w:instrText>":"649-655","</w:instrText>
      </w:r>
      <w:r w:rsidR="00A6794A">
        <w:rPr>
          <w:lang w:val="en-US"/>
        </w:rPr>
        <w:instrText>title</w:instrText>
      </w:r>
      <w:r w:rsidR="00A6794A" w:rsidRPr="00471424">
        <w:instrText>":"</w:instrText>
      </w:r>
      <w:r w:rsidR="00A6794A">
        <w:rPr>
          <w:lang w:val="en-US"/>
        </w:rPr>
        <w:instrText>Toxicity</w:instrText>
      </w:r>
      <w:r w:rsidR="00A6794A" w:rsidRPr="00471424">
        <w:instrText xml:space="preserve"> </w:instrText>
      </w:r>
      <w:r w:rsidR="00A6794A">
        <w:rPr>
          <w:lang w:val="en-US"/>
        </w:rPr>
        <w:instrText>and</w:instrText>
      </w:r>
      <w:r w:rsidR="00A6794A" w:rsidRPr="00471424">
        <w:instrText xml:space="preserve"> </w:instrText>
      </w:r>
      <w:r w:rsidR="00A6794A">
        <w:rPr>
          <w:lang w:val="en-US"/>
        </w:rPr>
        <w:instrText>response</w:instrText>
      </w:r>
      <w:r w:rsidR="00A6794A" w:rsidRPr="00471424">
        <w:instrText xml:space="preserve"> </w:instrText>
      </w:r>
      <w:r w:rsidR="00A6794A">
        <w:rPr>
          <w:lang w:val="en-US"/>
        </w:rPr>
        <w:instrText>criteria</w:instrText>
      </w:r>
      <w:r w:rsidR="00A6794A" w:rsidRPr="00471424">
        <w:instrText xml:space="preserve"> </w:instrText>
      </w:r>
      <w:r w:rsidR="00A6794A">
        <w:rPr>
          <w:lang w:val="en-US"/>
        </w:rPr>
        <w:instrText>of</w:instrText>
      </w:r>
      <w:r w:rsidR="00A6794A" w:rsidRPr="00471424">
        <w:instrText xml:space="preserve"> </w:instrText>
      </w:r>
      <w:r w:rsidR="00A6794A">
        <w:rPr>
          <w:lang w:val="en-US"/>
        </w:rPr>
        <w:instrText>the</w:instrText>
      </w:r>
      <w:r w:rsidR="00A6794A" w:rsidRPr="00471424">
        <w:instrText xml:space="preserve"> </w:instrText>
      </w:r>
      <w:r w:rsidR="00A6794A">
        <w:rPr>
          <w:lang w:val="en-US"/>
        </w:rPr>
        <w:instrText>Eastern</w:instrText>
      </w:r>
      <w:r w:rsidR="00A6794A" w:rsidRPr="00471424">
        <w:instrText xml:space="preserve"> </w:instrText>
      </w:r>
      <w:r w:rsidR="00A6794A">
        <w:rPr>
          <w:lang w:val="en-US"/>
        </w:rPr>
        <w:instrText>Cooperative</w:instrText>
      </w:r>
      <w:r w:rsidR="00A6794A" w:rsidRPr="00471424">
        <w:instrText xml:space="preserve"> </w:instrText>
      </w:r>
      <w:r w:rsidR="00A6794A">
        <w:rPr>
          <w:lang w:val="en-US"/>
        </w:rPr>
        <w:instrText>Oncology</w:instrText>
      </w:r>
      <w:r w:rsidR="00A6794A" w:rsidRPr="00471424">
        <w:instrText xml:space="preserve"> </w:instrText>
      </w:r>
      <w:r w:rsidR="00A6794A">
        <w:rPr>
          <w:lang w:val="en-US"/>
        </w:rPr>
        <w:instrText>Group</w:instrText>
      </w:r>
      <w:r w:rsidR="00A6794A" w:rsidRPr="00471424">
        <w:instrText>","</w:instrText>
      </w:r>
      <w:r w:rsidR="00A6794A">
        <w:rPr>
          <w:lang w:val="en-US"/>
        </w:rPr>
        <w:instrText>type</w:instrText>
      </w:r>
      <w:r w:rsidR="00A6794A" w:rsidRPr="00471424">
        <w:instrText>":"</w:instrText>
      </w:r>
      <w:r w:rsidR="00A6794A">
        <w:rPr>
          <w:lang w:val="en-US"/>
        </w:rPr>
        <w:instrText>article</w:instrText>
      </w:r>
      <w:r w:rsidR="00A6794A" w:rsidRPr="00471424">
        <w:instrText>-</w:instrText>
      </w:r>
      <w:r w:rsidR="00A6794A">
        <w:rPr>
          <w:lang w:val="en-US"/>
        </w:rPr>
        <w:instrText>journal</w:instrText>
      </w:r>
      <w:r w:rsidR="00A6794A" w:rsidRPr="00471424">
        <w:instrText>","</w:instrText>
      </w:r>
      <w:r w:rsidR="00A6794A">
        <w:rPr>
          <w:lang w:val="en-US"/>
        </w:rPr>
        <w:instrText>volume</w:instrText>
      </w:r>
      <w:r w:rsidR="00A6794A" w:rsidRPr="00471424">
        <w:instrText>":"5"},"</w:instrText>
      </w:r>
      <w:r w:rsidR="00A6794A">
        <w:rPr>
          <w:lang w:val="en-US"/>
        </w:rPr>
        <w:instrText>uris</w:instrText>
      </w:r>
      <w:r w:rsidR="00A6794A" w:rsidRPr="00471424">
        <w:instrText>":["</w:instrText>
      </w:r>
      <w:r w:rsidR="00A6794A">
        <w:rPr>
          <w:lang w:val="en-US"/>
        </w:rPr>
        <w:instrText>http</w:instrText>
      </w:r>
      <w:r w:rsidR="00A6794A" w:rsidRPr="00471424">
        <w:instrText>://</w:instrText>
      </w:r>
      <w:r w:rsidR="00A6794A">
        <w:rPr>
          <w:lang w:val="en-US"/>
        </w:rPr>
        <w:instrText>www</w:instrText>
      </w:r>
      <w:r w:rsidR="00A6794A" w:rsidRPr="00471424">
        <w:instrText>.</w:instrText>
      </w:r>
      <w:r w:rsidR="00A6794A">
        <w:rPr>
          <w:lang w:val="en-US"/>
        </w:rPr>
        <w:instrText>mendeley</w:instrText>
      </w:r>
      <w:r w:rsidR="00A6794A" w:rsidRPr="00471424">
        <w:instrText>.</w:instrText>
      </w:r>
      <w:r w:rsidR="00A6794A">
        <w:rPr>
          <w:lang w:val="en-US"/>
        </w:rPr>
        <w:instrText>com</w:instrText>
      </w:r>
      <w:r w:rsidR="00A6794A" w:rsidRPr="00471424">
        <w:instrText>/</w:instrText>
      </w:r>
      <w:r w:rsidR="00A6794A">
        <w:rPr>
          <w:lang w:val="en-US"/>
        </w:rPr>
        <w:instrText>documents</w:instrText>
      </w:r>
      <w:r w:rsidR="00A6794A" w:rsidRPr="00471424">
        <w:instrText>/?</w:instrText>
      </w:r>
      <w:r w:rsidR="00A6794A">
        <w:rPr>
          <w:lang w:val="en-US"/>
        </w:rPr>
        <w:instrText>uuid</w:instrText>
      </w:r>
      <w:r w:rsidR="00A6794A" w:rsidRPr="00471424">
        <w:instrText>=</w:instrText>
      </w:r>
      <w:r w:rsidR="00A6794A">
        <w:rPr>
          <w:lang w:val="en-US"/>
        </w:rPr>
        <w:instrText>a</w:instrText>
      </w:r>
      <w:r w:rsidR="00A6794A" w:rsidRPr="00471424">
        <w:instrText>75</w:instrText>
      </w:r>
      <w:r w:rsidR="00A6794A">
        <w:rPr>
          <w:lang w:val="en-US"/>
        </w:rPr>
        <w:instrText>f</w:instrText>
      </w:r>
      <w:r w:rsidR="00A6794A" w:rsidRPr="00471424">
        <w:instrText>02</w:instrText>
      </w:r>
      <w:r w:rsidR="00A6794A">
        <w:rPr>
          <w:lang w:val="en-US"/>
        </w:rPr>
        <w:instrText>f</w:instrText>
      </w:r>
      <w:r w:rsidR="00A6794A" w:rsidRPr="00471424">
        <w:instrText>1-</w:instrText>
      </w:r>
      <w:r w:rsidR="00A6794A">
        <w:rPr>
          <w:lang w:val="en-US"/>
        </w:rPr>
        <w:instrText>b</w:instrText>
      </w:r>
      <w:r w:rsidR="00A6794A" w:rsidRPr="00471424">
        <w:instrText>78</w:instrText>
      </w:r>
      <w:r w:rsidR="00A6794A">
        <w:rPr>
          <w:lang w:val="en-US"/>
        </w:rPr>
        <w:instrText>b</w:instrText>
      </w:r>
      <w:r w:rsidR="00A6794A" w:rsidRPr="00471424">
        <w:instrText>-458</w:instrText>
      </w:r>
      <w:r w:rsidR="00A6794A">
        <w:rPr>
          <w:lang w:val="en-US"/>
        </w:rPr>
        <w:instrText>d</w:instrText>
      </w:r>
      <w:r w:rsidR="00A6794A" w:rsidRPr="00471424">
        <w:instrText>-</w:instrText>
      </w:r>
      <w:r w:rsidR="00A6794A">
        <w:rPr>
          <w:lang w:val="en-US"/>
        </w:rPr>
        <w:instrText>b</w:instrText>
      </w:r>
      <w:r w:rsidR="00A6794A" w:rsidRPr="00471424">
        <w:instrText>3</w:instrText>
      </w:r>
      <w:r w:rsidR="00A6794A">
        <w:rPr>
          <w:lang w:val="en-US"/>
        </w:rPr>
        <w:instrText>c</w:instrText>
      </w:r>
      <w:r w:rsidR="00A6794A" w:rsidRPr="00471424">
        <w:instrText>4-9</w:instrText>
      </w:r>
      <w:r w:rsidR="00A6794A">
        <w:rPr>
          <w:lang w:val="en-US"/>
        </w:rPr>
        <w:instrText>c</w:instrText>
      </w:r>
      <w:r w:rsidR="00A6794A" w:rsidRPr="00471424">
        <w:instrText>8</w:instrText>
      </w:r>
      <w:r w:rsidR="00A6794A">
        <w:rPr>
          <w:lang w:val="en-US"/>
        </w:rPr>
        <w:instrText>b</w:instrText>
      </w:r>
      <w:r w:rsidR="00A6794A" w:rsidRPr="00471424">
        <w:instrText>402</w:instrText>
      </w:r>
      <w:r w:rsidR="00A6794A">
        <w:rPr>
          <w:lang w:val="en-US"/>
        </w:rPr>
        <w:instrText>a</w:instrText>
      </w:r>
      <w:r w:rsidR="00A6794A" w:rsidRPr="00471424">
        <w:instrText>67</w:instrText>
      </w:r>
      <w:r w:rsidR="00A6794A">
        <w:rPr>
          <w:lang w:val="en-US"/>
        </w:rPr>
        <w:instrText>f</w:instrText>
      </w:r>
      <w:r w:rsidR="00A6794A" w:rsidRPr="00471424">
        <w:instrText>0"]}],"</w:instrText>
      </w:r>
      <w:r w:rsidR="00A6794A">
        <w:rPr>
          <w:lang w:val="en-US"/>
        </w:rPr>
        <w:instrText>mendeley</w:instrText>
      </w:r>
      <w:r w:rsidR="00A6794A" w:rsidRPr="00471424">
        <w:instrText>":{"</w:instrText>
      </w:r>
      <w:r w:rsidR="00A6794A">
        <w:rPr>
          <w:lang w:val="en-US"/>
        </w:rPr>
        <w:instrText>formattedCitation</w:instrText>
      </w:r>
      <w:r w:rsidR="00A6794A" w:rsidRPr="00471424">
        <w:instrText>":"[259]","</w:instrText>
      </w:r>
      <w:r w:rsidR="00A6794A">
        <w:rPr>
          <w:lang w:val="en-US"/>
        </w:rPr>
        <w:instrText>plainTextFormattedCitation</w:instrText>
      </w:r>
      <w:r w:rsidR="00A6794A" w:rsidRPr="00471424">
        <w:instrText>":"[259]","</w:instrText>
      </w:r>
      <w:r w:rsidR="00A6794A">
        <w:rPr>
          <w:lang w:val="en-US"/>
        </w:rPr>
        <w:instrText>previouslyFormattedCitation</w:instrText>
      </w:r>
      <w:r w:rsidR="00A6794A" w:rsidRPr="00471424">
        <w:instrText>":"[259]"},"</w:instrText>
      </w:r>
      <w:r w:rsidR="00A6794A">
        <w:rPr>
          <w:lang w:val="en-US"/>
        </w:rPr>
        <w:instrText>properties</w:instrText>
      </w:r>
      <w:r w:rsidR="00A6794A" w:rsidRPr="00471424">
        <w:instrText>":{"</w:instrText>
      </w:r>
      <w:r w:rsidR="00A6794A">
        <w:rPr>
          <w:lang w:val="en-US"/>
        </w:rPr>
        <w:instrText>noteIndex</w:instrText>
      </w:r>
      <w:r w:rsidR="00A6794A" w:rsidRPr="00471424">
        <w:instrText>":0},"</w:instrText>
      </w:r>
      <w:r w:rsidR="00A6794A">
        <w:rPr>
          <w:lang w:val="en-US"/>
        </w:rPr>
        <w:instrText>schema</w:instrText>
      </w:r>
      <w:r w:rsidR="00A6794A" w:rsidRPr="00471424">
        <w:instrText>":"</w:instrText>
      </w:r>
      <w:r w:rsidR="00A6794A">
        <w:rPr>
          <w:lang w:val="en-US"/>
        </w:rPr>
        <w:instrText>https</w:instrText>
      </w:r>
      <w:r w:rsidR="00A6794A" w:rsidRPr="00471424">
        <w:instrText>://</w:instrText>
      </w:r>
      <w:r w:rsidR="00A6794A">
        <w:rPr>
          <w:lang w:val="en-US"/>
        </w:rPr>
        <w:instrText>github</w:instrText>
      </w:r>
      <w:r w:rsidR="00A6794A" w:rsidRPr="00471424">
        <w:instrText>.</w:instrText>
      </w:r>
      <w:r w:rsidR="00A6794A">
        <w:rPr>
          <w:lang w:val="en-US"/>
        </w:rPr>
        <w:instrText>com</w:instrText>
      </w:r>
      <w:r w:rsidR="00A6794A" w:rsidRPr="00471424">
        <w:instrText>/</w:instrText>
      </w:r>
      <w:r w:rsidR="00A6794A">
        <w:rPr>
          <w:lang w:val="en-US"/>
        </w:rPr>
        <w:instrText>citation</w:instrText>
      </w:r>
      <w:r w:rsidR="00A6794A" w:rsidRPr="00471424">
        <w:instrText>-</w:instrText>
      </w:r>
      <w:r w:rsidR="00A6794A">
        <w:rPr>
          <w:lang w:val="en-US"/>
        </w:rPr>
        <w:instrText>style</w:instrText>
      </w:r>
      <w:r w:rsidR="00A6794A" w:rsidRPr="00471424">
        <w:instrText>-</w:instrText>
      </w:r>
      <w:r w:rsidR="00A6794A">
        <w:rPr>
          <w:lang w:val="en-US"/>
        </w:rPr>
        <w:instrText>language</w:instrText>
      </w:r>
      <w:r w:rsidR="00A6794A" w:rsidRPr="00471424">
        <w:instrText>/</w:instrText>
      </w:r>
      <w:r w:rsidR="00A6794A">
        <w:rPr>
          <w:lang w:val="en-US"/>
        </w:rPr>
        <w:instrText>schema</w:instrText>
      </w:r>
      <w:r w:rsidR="00A6794A" w:rsidRPr="00471424">
        <w:instrText>/</w:instrText>
      </w:r>
      <w:r w:rsidR="00A6794A">
        <w:rPr>
          <w:lang w:val="en-US"/>
        </w:rPr>
        <w:instrText>raw</w:instrText>
      </w:r>
      <w:r w:rsidR="00A6794A" w:rsidRPr="00471424">
        <w:instrText>/</w:instrText>
      </w:r>
      <w:r w:rsidR="00A6794A">
        <w:rPr>
          <w:lang w:val="en-US"/>
        </w:rPr>
        <w:instrText>master</w:instrText>
      </w:r>
      <w:r w:rsidR="00A6794A" w:rsidRPr="00471424">
        <w:instrText>/</w:instrText>
      </w:r>
      <w:r w:rsidR="00A6794A">
        <w:rPr>
          <w:lang w:val="en-US"/>
        </w:rPr>
        <w:instrText>csl</w:instrText>
      </w:r>
      <w:r w:rsidR="00A6794A" w:rsidRPr="00471424">
        <w:instrText>-</w:instrText>
      </w:r>
      <w:r w:rsidR="00A6794A">
        <w:rPr>
          <w:lang w:val="en-US"/>
        </w:rPr>
        <w:instrText>citation</w:instrText>
      </w:r>
      <w:r w:rsidR="00A6794A" w:rsidRPr="00471424">
        <w:instrText>.</w:instrText>
      </w:r>
      <w:r w:rsidR="00A6794A">
        <w:rPr>
          <w:lang w:val="en-US"/>
        </w:rPr>
        <w:instrText>json</w:instrText>
      </w:r>
      <w:r w:rsidR="00A6794A" w:rsidRPr="00471424">
        <w:instrText>"}</w:instrText>
      </w:r>
      <w:r w:rsidRPr="000322E4">
        <w:fldChar w:fldCharType="separate"/>
      </w:r>
      <w:r w:rsidR="006E1902" w:rsidRPr="006E1902">
        <w:rPr>
          <w:noProof/>
        </w:rPr>
        <w:t>[259]</w:t>
      </w:r>
      <w:r w:rsidRPr="000322E4">
        <w:fldChar w:fldCharType="end"/>
      </w:r>
    </w:p>
    <w:p w14:paraId="186F45A0" w14:textId="77777777" w:rsidR="00A54C2B" w:rsidRPr="000322E4" w:rsidRDefault="00A54C2B" w:rsidP="008E3584">
      <w:pPr>
        <w:spacing w:line="360" w:lineRule="auto"/>
        <w:jc w:val="both"/>
      </w:pPr>
      <w:r w:rsidRPr="000322E4">
        <w:t>Тип: шкала оценки</w:t>
      </w:r>
    </w:p>
    <w:p w14:paraId="7FCEBD06" w14:textId="77777777" w:rsidR="00A54C2B" w:rsidRPr="000322E4" w:rsidRDefault="00A54C2B" w:rsidP="008E3584">
      <w:pPr>
        <w:spacing w:line="360" w:lineRule="auto"/>
        <w:jc w:val="both"/>
      </w:pPr>
      <w:r w:rsidRPr="000322E4">
        <w:t xml:space="preserve">Назначение: клиническая оценка общего состояния пациента </w:t>
      </w:r>
    </w:p>
    <w:p w14:paraId="39368E55" w14:textId="77777777" w:rsidR="00A54C2B" w:rsidRPr="000322E4" w:rsidRDefault="00A54C2B" w:rsidP="008E3584">
      <w:pPr>
        <w:spacing w:line="360" w:lineRule="auto"/>
        <w:jc w:val="both"/>
        <w:rPr>
          <w:bCs/>
        </w:rPr>
      </w:pPr>
      <w:r w:rsidRPr="000322E4">
        <w:rPr>
          <w:bCs/>
        </w:rPr>
        <w:t>Содержание и интерпретация: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839"/>
        <w:gridCol w:w="6940"/>
      </w:tblGrid>
      <w:tr w:rsidR="00A54C2B" w:rsidRPr="000322E4" w14:paraId="1A229F92" w14:textId="77777777" w:rsidTr="004F0134">
        <w:tc>
          <w:tcPr>
            <w:tcW w:w="1950" w:type="dxa"/>
            <w:tcBorders>
              <w:top w:val="single" w:sz="4" w:space="0" w:color="auto"/>
              <w:left w:val="single" w:sz="4" w:space="0" w:color="auto"/>
              <w:bottom w:val="single" w:sz="4" w:space="0" w:color="auto"/>
              <w:right w:val="single" w:sz="4" w:space="0" w:color="auto"/>
            </w:tcBorders>
          </w:tcPr>
          <w:p w14:paraId="7CFF3628" w14:textId="77777777" w:rsidR="00A54C2B" w:rsidRPr="000322E4" w:rsidRDefault="00A54C2B" w:rsidP="008E3584">
            <w:pPr>
              <w:pStyle w:val="afd"/>
              <w:ind w:firstLine="0"/>
              <w:rPr>
                <w:rStyle w:val="affb"/>
                <w:b w:val="0"/>
              </w:rPr>
            </w:pPr>
            <w:r w:rsidRPr="000322E4">
              <w:rPr>
                <w:rStyle w:val="affb"/>
                <w:b w:val="0"/>
              </w:rPr>
              <w:t>С</w:t>
            </w:r>
            <w:r w:rsidRPr="000322E4">
              <w:rPr>
                <w:rStyle w:val="affb"/>
              </w:rPr>
              <w:t>татус (баллы)</w:t>
            </w:r>
          </w:p>
        </w:tc>
        <w:tc>
          <w:tcPr>
            <w:tcW w:w="7615" w:type="dxa"/>
            <w:tcBorders>
              <w:top w:val="single" w:sz="4" w:space="0" w:color="auto"/>
              <w:left w:val="single" w:sz="4" w:space="0" w:color="auto"/>
              <w:bottom w:val="single" w:sz="4" w:space="0" w:color="auto"/>
              <w:right w:val="single" w:sz="4" w:space="0" w:color="auto"/>
            </w:tcBorders>
          </w:tcPr>
          <w:p w14:paraId="65CD9038" w14:textId="77777777" w:rsidR="00A54C2B" w:rsidRPr="000322E4" w:rsidRDefault="00A54C2B" w:rsidP="008E3584">
            <w:pPr>
              <w:pStyle w:val="afd"/>
              <w:ind w:firstLine="36"/>
              <w:rPr>
                <w:rStyle w:val="affb"/>
                <w:b w:val="0"/>
              </w:rPr>
            </w:pPr>
            <w:r w:rsidRPr="000322E4">
              <w:rPr>
                <w:rStyle w:val="affb"/>
                <w:b w:val="0"/>
              </w:rPr>
              <w:t>О</w:t>
            </w:r>
            <w:r w:rsidRPr="000322E4">
              <w:rPr>
                <w:rStyle w:val="affb"/>
              </w:rPr>
              <w:t>писание общего состояния пациента</w:t>
            </w:r>
          </w:p>
        </w:tc>
      </w:tr>
      <w:tr w:rsidR="00A54C2B" w:rsidRPr="000322E4" w14:paraId="39D46990" w14:textId="77777777" w:rsidTr="004F0134">
        <w:tc>
          <w:tcPr>
            <w:tcW w:w="1950" w:type="dxa"/>
            <w:tcBorders>
              <w:top w:val="single" w:sz="4" w:space="0" w:color="auto"/>
              <w:left w:val="single" w:sz="4" w:space="0" w:color="auto"/>
              <w:bottom w:val="single" w:sz="4" w:space="0" w:color="auto"/>
              <w:right w:val="single" w:sz="4" w:space="0" w:color="auto"/>
            </w:tcBorders>
          </w:tcPr>
          <w:p w14:paraId="3D5054BE" w14:textId="77777777" w:rsidR="00A54C2B" w:rsidRPr="000322E4" w:rsidRDefault="00A54C2B" w:rsidP="008E3584">
            <w:pPr>
              <w:pStyle w:val="afd"/>
              <w:rPr>
                <w:rStyle w:val="affb"/>
                <w:b w:val="0"/>
                <w:lang w:val="en-US"/>
              </w:rPr>
            </w:pPr>
            <w:r w:rsidRPr="000322E4">
              <w:rPr>
                <w:rStyle w:val="affb"/>
                <w:b w:val="0"/>
                <w:lang w:val="en-US"/>
              </w:rPr>
              <w:t>0</w:t>
            </w:r>
          </w:p>
        </w:tc>
        <w:tc>
          <w:tcPr>
            <w:tcW w:w="7615" w:type="dxa"/>
            <w:tcBorders>
              <w:top w:val="single" w:sz="4" w:space="0" w:color="auto"/>
              <w:left w:val="single" w:sz="4" w:space="0" w:color="auto"/>
              <w:bottom w:val="single" w:sz="4" w:space="0" w:color="auto"/>
              <w:right w:val="single" w:sz="4" w:space="0" w:color="auto"/>
            </w:tcBorders>
          </w:tcPr>
          <w:p w14:paraId="4DCFD969" w14:textId="77777777" w:rsidR="00A54C2B" w:rsidRPr="000322E4" w:rsidRDefault="00A54C2B" w:rsidP="008E3584">
            <w:pPr>
              <w:pStyle w:val="afd"/>
              <w:ind w:firstLine="0"/>
              <w:rPr>
                <w:rStyle w:val="affb"/>
                <w:b w:val="0"/>
              </w:rPr>
            </w:pPr>
            <w:r w:rsidRPr="000322E4">
              <w:rPr>
                <w:rStyle w:val="affb"/>
                <w:b w:val="0"/>
              </w:rPr>
              <w:t>Пациент полностью активен, способен выполнять все, как и до заболевания.</w:t>
            </w:r>
          </w:p>
        </w:tc>
      </w:tr>
      <w:tr w:rsidR="00A54C2B" w:rsidRPr="000322E4" w14:paraId="29F23EAC" w14:textId="77777777" w:rsidTr="004F0134">
        <w:tc>
          <w:tcPr>
            <w:tcW w:w="1950" w:type="dxa"/>
            <w:tcBorders>
              <w:top w:val="single" w:sz="4" w:space="0" w:color="auto"/>
              <w:left w:val="single" w:sz="4" w:space="0" w:color="auto"/>
              <w:bottom w:val="single" w:sz="4" w:space="0" w:color="auto"/>
              <w:right w:val="single" w:sz="4" w:space="0" w:color="auto"/>
            </w:tcBorders>
          </w:tcPr>
          <w:p w14:paraId="24E279AE" w14:textId="77777777" w:rsidR="00A54C2B" w:rsidRPr="000322E4" w:rsidRDefault="00A54C2B" w:rsidP="008E3584">
            <w:pPr>
              <w:pStyle w:val="afd"/>
              <w:rPr>
                <w:rStyle w:val="affb"/>
                <w:b w:val="0"/>
              </w:rPr>
            </w:pPr>
            <w:r w:rsidRPr="000322E4">
              <w:rPr>
                <w:rStyle w:val="affb"/>
                <w:b w:val="0"/>
              </w:rPr>
              <w:t>1</w:t>
            </w:r>
          </w:p>
        </w:tc>
        <w:tc>
          <w:tcPr>
            <w:tcW w:w="7615" w:type="dxa"/>
            <w:tcBorders>
              <w:top w:val="single" w:sz="4" w:space="0" w:color="auto"/>
              <w:left w:val="single" w:sz="4" w:space="0" w:color="auto"/>
              <w:bottom w:val="single" w:sz="4" w:space="0" w:color="auto"/>
              <w:right w:val="single" w:sz="4" w:space="0" w:color="auto"/>
            </w:tcBorders>
          </w:tcPr>
          <w:p w14:paraId="1F62BCD0" w14:textId="77777777" w:rsidR="00A54C2B" w:rsidRPr="000322E4" w:rsidRDefault="00A54C2B" w:rsidP="008E3584">
            <w:pPr>
              <w:pStyle w:val="afd"/>
              <w:ind w:firstLine="0"/>
              <w:rPr>
                <w:rStyle w:val="affb"/>
                <w:b w:val="0"/>
              </w:rPr>
            </w:pPr>
            <w:r w:rsidRPr="000322E4">
              <w:rPr>
                <w:rStyle w:val="affb"/>
                <w:b w:val="0"/>
              </w:rPr>
              <w:t>Пациент неспособен выполнять тяжелую, но может выполнять легкую или сидячую работу (например, легкую домашнюю или канцелярскую работу).</w:t>
            </w:r>
          </w:p>
        </w:tc>
      </w:tr>
      <w:tr w:rsidR="00A54C2B" w:rsidRPr="000322E4" w14:paraId="2ADFF7EC" w14:textId="77777777" w:rsidTr="004F0134">
        <w:tc>
          <w:tcPr>
            <w:tcW w:w="1950" w:type="dxa"/>
            <w:tcBorders>
              <w:top w:val="single" w:sz="4" w:space="0" w:color="auto"/>
              <w:left w:val="single" w:sz="4" w:space="0" w:color="auto"/>
              <w:bottom w:val="single" w:sz="4" w:space="0" w:color="auto"/>
              <w:right w:val="single" w:sz="4" w:space="0" w:color="auto"/>
            </w:tcBorders>
          </w:tcPr>
          <w:p w14:paraId="4D5B0E6C" w14:textId="77777777" w:rsidR="00A54C2B" w:rsidRPr="000322E4" w:rsidRDefault="00A54C2B" w:rsidP="008E3584">
            <w:pPr>
              <w:pStyle w:val="afd"/>
              <w:rPr>
                <w:rStyle w:val="affb"/>
                <w:b w:val="0"/>
              </w:rPr>
            </w:pPr>
            <w:r w:rsidRPr="000322E4">
              <w:rPr>
                <w:rStyle w:val="affb"/>
                <w:b w:val="0"/>
              </w:rPr>
              <w:t>2</w:t>
            </w:r>
          </w:p>
        </w:tc>
        <w:tc>
          <w:tcPr>
            <w:tcW w:w="7615" w:type="dxa"/>
            <w:tcBorders>
              <w:top w:val="single" w:sz="4" w:space="0" w:color="auto"/>
              <w:left w:val="single" w:sz="4" w:space="0" w:color="auto"/>
              <w:bottom w:val="single" w:sz="4" w:space="0" w:color="auto"/>
              <w:right w:val="single" w:sz="4" w:space="0" w:color="auto"/>
            </w:tcBorders>
          </w:tcPr>
          <w:p w14:paraId="39451914" w14:textId="77777777" w:rsidR="00A54C2B" w:rsidRPr="000322E4" w:rsidRDefault="00A54C2B" w:rsidP="008E3584">
            <w:pPr>
              <w:pStyle w:val="afd"/>
              <w:ind w:firstLine="0"/>
              <w:rPr>
                <w:rStyle w:val="affb"/>
                <w:b w:val="0"/>
              </w:rPr>
            </w:pPr>
            <w:r w:rsidRPr="000322E4">
              <w:rPr>
                <w:rStyle w:val="affb"/>
                <w:b w:val="0"/>
              </w:rPr>
              <w:t>Пациент лечится амбулаторно, способен к самообслуживанию, но не может выполнять работу. Более 50 % времени проводит активно – в вертикальном положении.</w:t>
            </w:r>
          </w:p>
        </w:tc>
      </w:tr>
      <w:tr w:rsidR="00A54C2B" w:rsidRPr="000322E4" w14:paraId="52E004B0" w14:textId="77777777" w:rsidTr="004F0134">
        <w:tc>
          <w:tcPr>
            <w:tcW w:w="1950" w:type="dxa"/>
            <w:tcBorders>
              <w:top w:val="single" w:sz="4" w:space="0" w:color="auto"/>
              <w:left w:val="single" w:sz="4" w:space="0" w:color="auto"/>
              <w:bottom w:val="single" w:sz="4" w:space="0" w:color="auto"/>
              <w:right w:val="single" w:sz="4" w:space="0" w:color="auto"/>
            </w:tcBorders>
          </w:tcPr>
          <w:p w14:paraId="6D36E289" w14:textId="77777777" w:rsidR="00A54C2B" w:rsidRPr="000322E4" w:rsidRDefault="00A54C2B" w:rsidP="008E3584">
            <w:pPr>
              <w:pStyle w:val="afd"/>
              <w:rPr>
                <w:rStyle w:val="affb"/>
                <w:b w:val="0"/>
              </w:rPr>
            </w:pPr>
            <w:r w:rsidRPr="000322E4">
              <w:rPr>
                <w:rStyle w:val="affb"/>
                <w:b w:val="0"/>
              </w:rPr>
              <w:t>3</w:t>
            </w:r>
          </w:p>
        </w:tc>
        <w:tc>
          <w:tcPr>
            <w:tcW w:w="7615" w:type="dxa"/>
            <w:tcBorders>
              <w:top w:val="single" w:sz="4" w:space="0" w:color="auto"/>
              <w:left w:val="single" w:sz="4" w:space="0" w:color="auto"/>
              <w:bottom w:val="single" w:sz="4" w:space="0" w:color="auto"/>
              <w:right w:val="single" w:sz="4" w:space="0" w:color="auto"/>
            </w:tcBorders>
          </w:tcPr>
          <w:p w14:paraId="6D9D9EBF" w14:textId="77777777" w:rsidR="00A54C2B" w:rsidRPr="000322E4" w:rsidRDefault="00A54C2B" w:rsidP="008E3584">
            <w:pPr>
              <w:pStyle w:val="afd"/>
              <w:ind w:firstLine="0"/>
              <w:rPr>
                <w:rStyle w:val="affb"/>
                <w:b w:val="0"/>
              </w:rPr>
            </w:pPr>
            <w:r w:rsidRPr="000322E4">
              <w:rPr>
                <w:rStyle w:val="affb"/>
                <w:b w:val="0"/>
              </w:rPr>
              <w:t>Пациент способен лишь к ограниченному самообслуживанию, проводит в кресле или постели более 50 % времени бодрствования.</w:t>
            </w:r>
          </w:p>
        </w:tc>
      </w:tr>
      <w:tr w:rsidR="00A54C2B" w:rsidRPr="000322E4" w14:paraId="6F12F727" w14:textId="77777777" w:rsidTr="004F0134">
        <w:tc>
          <w:tcPr>
            <w:tcW w:w="1950" w:type="dxa"/>
            <w:tcBorders>
              <w:top w:val="single" w:sz="4" w:space="0" w:color="auto"/>
              <w:left w:val="single" w:sz="4" w:space="0" w:color="auto"/>
              <w:bottom w:val="single" w:sz="4" w:space="0" w:color="auto"/>
              <w:right w:val="single" w:sz="4" w:space="0" w:color="auto"/>
            </w:tcBorders>
          </w:tcPr>
          <w:p w14:paraId="7720C527" w14:textId="77777777" w:rsidR="00A54C2B" w:rsidRPr="000322E4" w:rsidRDefault="00A54C2B" w:rsidP="008E3584">
            <w:pPr>
              <w:pStyle w:val="afd"/>
              <w:rPr>
                <w:rStyle w:val="affb"/>
                <w:b w:val="0"/>
              </w:rPr>
            </w:pPr>
            <w:r w:rsidRPr="000322E4">
              <w:rPr>
                <w:rStyle w:val="affb"/>
                <w:b w:val="0"/>
              </w:rPr>
              <w:t>4</w:t>
            </w:r>
          </w:p>
        </w:tc>
        <w:tc>
          <w:tcPr>
            <w:tcW w:w="7615" w:type="dxa"/>
            <w:tcBorders>
              <w:top w:val="single" w:sz="4" w:space="0" w:color="auto"/>
              <w:left w:val="single" w:sz="4" w:space="0" w:color="auto"/>
              <w:bottom w:val="single" w:sz="4" w:space="0" w:color="auto"/>
              <w:right w:val="single" w:sz="4" w:space="0" w:color="auto"/>
            </w:tcBorders>
          </w:tcPr>
          <w:p w14:paraId="3F38549E" w14:textId="77777777" w:rsidR="00A54C2B" w:rsidRPr="000322E4" w:rsidRDefault="00A54C2B" w:rsidP="008E3584">
            <w:pPr>
              <w:pStyle w:val="afd"/>
              <w:ind w:firstLine="0"/>
              <w:rPr>
                <w:rStyle w:val="affb"/>
                <w:b w:val="0"/>
              </w:rPr>
            </w:pPr>
            <w:r w:rsidRPr="000322E4">
              <w:rPr>
                <w:rStyle w:val="affb"/>
                <w:b w:val="0"/>
              </w:rPr>
              <w:t>Инвалид, совершенно не способен к самообслуживанию, прикован к креслу или постели.</w:t>
            </w:r>
          </w:p>
        </w:tc>
      </w:tr>
      <w:tr w:rsidR="00A54C2B" w:rsidRPr="000322E4" w14:paraId="0DBCE532" w14:textId="77777777" w:rsidTr="004F0134">
        <w:tc>
          <w:tcPr>
            <w:tcW w:w="1950" w:type="dxa"/>
            <w:tcBorders>
              <w:top w:val="single" w:sz="4" w:space="0" w:color="auto"/>
              <w:left w:val="single" w:sz="4" w:space="0" w:color="auto"/>
              <w:bottom w:val="single" w:sz="4" w:space="0" w:color="auto"/>
              <w:right w:val="single" w:sz="4" w:space="0" w:color="auto"/>
            </w:tcBorders>
          </w:tcPr>
          <w:p w14:paraId="45A0977E" w14:textId="77777777" w:rsidR="00A54C2B" w:rsidRPr="000322E4" w:rsidRDefault="00A54C2B" w:rsidP="008E3584">
            <w:pPr>
              <w:pStyle w:val="afd"/>
              <w:rPr>
                <w:rStyle w:val="affb"/>
                <w:b w:val="0"/>
              </w:rPr>
            </w:pPr>
            <w:r w:rsidRPr="000322E4">
              <w:rPr>
                <w:rStyle w:val="affb"/>
                <w:b w:val="0"/>
              </w:rPr>
              <w:t>5</w:t>
            </w:r>
          </w:p>
        </w:tc>
        <w:tc>
          <w:tcPr>
            <w:tcW w:w="7615" w:type="dxa"/>
            <w:tcBorders>
              <w:top w:val="single" w:sz="4" w:space="0" w:color="auto"/>
              <w:left w:val="single" w:sz="4" w:space="0" w:color="auto"/>
              <w:bottom w:val="single" w:sz="4" w:space="0" w:color="auto"/>
              <w:right w:val="single" w:sz="4" w:space="0" w:color="auto"/>
            </w:tcBorders>
          </w:tcPr>
          <w:p w14:paraId="3CE08E39" w14:textId="77777777" w:rsidR="00A54C2B" w:rsidRPr="000322E4" w:rsidRDefault="00A54C2B" w:rsidP="008E3584">
            <w:pPr>
              <w:pStyle w:val="afd"/>
              <w:ind w:firstLine="0"/>
              <w:rPr>
                <w:rStyle w:val="affb"/>
                <w:b w:val="0"/>
              </w:rPr>
            </w:pPr>
            <w:r w:rsidRPr="000322E4">
              <w:rPr>
                <w:rStyle w:val="affb"/>
                <w:b w:val="0"/>
              </w:rPr>
              <w:t>Смерть пациента</w:t>
            </w:r>
          </w:p>
        </w:tc>
      </w:tr>
      <w:bookmarkEnd w:id="140"/>
    </w:tbl>
    <w:p w14:paraId="22B16364" w14:textId="77777777" w:rsidR="00AE3406" w:rsidRPr="000322E4" w:rsidRDefault="00AE3406" w:rsidP="00CA442F">
      <w:pPr>
        <w:pStyle w:val="afffb"/>
        <w:ind w:firstLine="0"/>
      </w:pPr>
    </w:p>
    <w:p w14:paraId="0A3EBDF6" w14:textId="77777777" w:rsidR="00A54C2B" w:rsidRPr="000322E4" w:rsidRDefault="00A54C2B" w:rsidP="008E3584">
      <w:pPr>
        <w:pStyle w:val="2"/>
        <w:spacing w:before="0"/>
      </w:pPr>
      <w:bookmarkStart w:id="141" w:name="_Toc14773437"/>
      <w:bookmarkStart w:id="142" w:name="_Toc96601278"/>
      <w:r w:rsidRPr="000322E4">
        <w:t>Приложение Г2. Шкала визуальной оценки ПЭТ-данных</w:t>
      </w:r>
      <w:bookmarkEnd w:id="141"/>
      <w:bookmarkEnd w:id="142"/>
    </w:p>
    <w:p w14:paraId="240A368C" w14:textId="77777777" w:rsidR="00A54C2B" w:rsidRPr="000322E4" w:rsidRDefault="00A54C2B" w:rsidP="008E3584">
      <w:pPr>
        <w:spacing w:line="360" w:lineRule="auto"/>
        <w:jc w:val="both"/>
        <w:rPr>
          <w:lang w:val="en-US"/>
        </w:rPr>
      </w:pPr>
      <w:r w:rsidRPr="000322E4">
        <w:t>Оригинальное</w:t>
      </w:r>
      <w:r w:rsidRPr="000322E4">
        <w:rPr>
          <w:lang w:val="en-US"/>
        </w:rPr>
        <w:t xml:space="preserve"> </w:t>
      </w:r>
      <w:r w:rsidRPr="000322E4">
        <w:t>название</w:t>
      </w:r>
      <w:r w:rsidRPr="000322E4">
        <w:rPr>
          <w:lang w:val="en-US"/>
        </w:rPr>
        <w:t xml:space="preserve">: </w:t>
      </w:r>
      <w:r w:rsidR="00A519D4" w:rsidRPr="000322E4">
        <w:rPr>
          <w:lang w:val="en-US"/>
        </w:rPr>
        <w:t>The Deauville five point scale</w:t>
      </w:r>
    </w:p>
    <w:p w14:paraId="36DB6AD5" w14:textId="5C939CE9" w:rsidR="00A54C2B" w:rsidRPr="000322E4" w:rsidRDefault="00A54C2B" w:rsidP="008E3584">
      <w:pPr>
        <w:spacing w:line="360" w:lineRule="auto"/>
        <w:jc w:val="both"/>
      </w:pPr>
      <w:r w:rsidRPr="000322E4">
        <w:t>Источник</w:t>
      </w:r>
      <w:r w:rsidRPr="000322E4">
        <w:rPr>
          <w:lang w:val="en-US"/>
        </w:rPr>
        <w:t xml:space="preserve">: </w:t>
      </w:r>
      <w:r w:rsidR="00A519D4" w:rsidRPr="000322E4">
        <w:rPr>
          <w:lang w:val="en-US"/>
        </w:rPr>
        <w:t xml:space="preserve">Meignan </w:t>
      </w:r>
      <w:r w:rsidRPr="000322E4">
        <w:rPr>
          <w:lang w:val="en-US"/>
        </w:rPr>
        <w:t xml:space="preserve">M. et al. </w:t>
      </w:r>
      <w:r w:rsidR="00A519D4" w:rsidRPr="000322E4">
        <w:rPr>
          <w:lang w:val="en-US"/>
        </w:rPr>
        <w:t>Report on the First International Workshop on Interim-PET-Scan in Lymphoma</w:t>
      </w:r>
      <w:r w:rsidRPr="000322E4">
        <w:rPr>
          <w:lang w:val="en-US"/>
        </w:rPr>
        <w:t xml:space="preserve">. </w:t>
      </w:r>
      <w:r w:rsidR="00A519D4" w:rsidRPr="000322E4">
        <w:rPr>
          <w:lang w:val="en-US"/>
        </w:rPr>
        <w:t>Leuk</w:t>
      </w:r>
      <w:r w:rsidR="00A519D4" w:rsidRPr="00CF578C">
        <w:t xml:space="preserve"> </w:t>
      </w:r>
      <w:r w:rsidR="00A519D4" w:rsidRPr="000322E4">
        <w:rPr>
          <w:lang w:val="en-US"/>
        </w:rPr>
        <w:t>Lymphoma</w:t>
      </w:r>
      <w:r w:rsidRPr="00CF578C">
        <w:t xml:space="preserve">. </w:t>
      </w:r>
      <w:r w:rsidR="00A519D4" w:rsidRPr="000322E4">
        <w:t>2009</w:t>
      </w:r>
      <w:r w:rsidRPr="000322E4">
        <w:t>;5</w:t>
      </w:r>
      <w:r w:rsidR="00A519D4" w:rsidRPr="000322E4">
        <w:t>0</w:t>
      </w:r>
      <w:r w:rsidRPr="000322E4">
        <w:t>(</w:t>
      </w:r>
      <w:r w:rsidR="00A519D4" w:rsidRPr="000322E4">
        <w:t>8</w:t>
      </w:r>
      <w:r w:rsidRPr="000322E4">
        <w:t>):</w:t>
      </w:r>
      <w:r w:rsidR="00A519D4" w:rsidRPr="000322E4">
        <w:t>1257-1260</w:t>
      </w:r>
      <w:r w:rsidRPr="000322E4">
        <w:t xml:space="preserve"> </w:t>
      </w:r>
      <w:r w:rsidRPr="000322E4">
        <w:fldChar w:fldCharType="begin" w:fldLock="1"/>
      </w:r>
      <w:r w:rsidR="00A6794A">
        <w:rPr>
          <w:lang w:val="en-US"/>
        </w:rPr>
        <w:instrText>ADDIN</w:instrText>
      </w:r>
      <w:r w:rsidR="00A6794A" w:rsidRPr="00471424">
        <w:instrText xml:space="preserve"> </w:instrText>
      </w:r>
      <w:r w:rsidR="00A6794A">
        <w:rPr>
          <w:lang w:val="en-US"/>
        </w:rPr>
        <w:instrText>CSL</w:instrText>
      </w:r>
      <w:r w:rsidR="00A6794A" w:rsidRPr="00471424">
        <w:instrText>_</w:instrText>
      </w:r>
      <w:r w:rsidR="00A6794A">
        <w:rPr>
          <w:lang w:val="en-US"/>
        </w:rPr>
        <w:instrText>CITATION</w:instrText>
      </w:r>
      <w:r w:rsidR="00A6794A" w:rsidRPr="00471424">
        <w:instrText xml:space="preserve"> {"</w:instrText>
      </w:r>
      <w:r w:rsidR="00A6794A">
        <w:rPr>
          <w:lang w:val="en-US"/>
        </w:rPr>
        <w:instrText>citationItems</w:instrText>
      </w:r>
      <w:r w:rsidR="00A6794A" w:rsidRPr="00471424">
        <w:instrText>":[{"</w:instrText>
      </w:r>
      <w:r w:rsidR="00A6794A">
        <w:rPr>
          <w:lang w:val="en-US"/>
        </w:rPr>
        <w:instrText>id</w:instrText>
      </w:r>
      <w:r w:rsidR="00A6794A" w:rsidRPr="00471424">
        <w:instrText>":"</w:instrText>
      </w:r>
      <w:r w:rsidR="00A6794A">
        <w:rPr>
          <w:lang w:val="en-US"/>
        </w:rPr>
        <w:instrText>ITEM</w:instrText>
      </w:r>
      <w:r w:rsidR="00A6794A" w:rsidRPr="00471424">
        <w:instrText>-1","</w:instrText>
      </w:r>
      <w:r w:rsidR="00A6794A">
        <w:rPr>
          <w:lang w:val="en-US"/>
        </w:rPr>
        <w:instrText>itemData</w:instrText>
      </w:r>
      <w:r w:rsidR="00A6794A" w:rsidRPr="00471424">
        <w:instrText>":{"</w:instrText>
      </w:r>
      <w:r w:rsidR="00A6794A">
        <w:rPr>
          <w:lang w:val="en-US"/>
        </w:rPr>
        <w:instrText>DOI</w:instrText>
      </w:r>
      <w:r w:rsidR="00A6794A" w:rsidRPr="00471424">
        <w:instrText>":"10.1080/10428190903040048","</w:instrText>
      </w:r>
      <w:r w:rsidR="00A6794A">
        <w:rPr>
          <w:lang w:val="en-US"/>
        </w:rPr>
        <w:instrText>ISSN</w:instrText>
      </w:r>
      <w:r w:rsidR="00A6794A" w:rsidRPr="00471424">
        <w:instrText>":"10428194","</w:instrText>
      </w:r>
      <w:r w:rsidR="00A6794A">
        <w:rPr>
          <w:lang w:val="en-US"/>
        </w:rPr>
        <w:instrText>abstract</w:instrText>
      </w:r>
      <w:r w:rsidR="00A6794A" w:rsidRPr="00471424">
        <w:instrText>":"</w:instrText>
      </w:r>
      <w:r w:rsidR="00A6794A">
        <w:rPr>
          <w:lang w:val="en-US"/>
        </w:rPr>
        <w:instrText>An</w:instrText>
      </w:r>
      <w:r w:rsidR="00A6794A" w:rsidRPr="00471424">
        <w:instrText xml:space="preserve"> </w:instrText>
      </w:r>
      <w:r w:rsidR="00A6794A">
        <w:rPr>
          <w:lang w:val="en-US"/>
        </w:rPr>
        <w:instrText>international</w:instrText>
      </w:r>
      <w:r w:rsidR="00A6794A" w:rsidRPr="00471424">
        <w:instrText xml:space="preserve"> </w:instrText>
      </w:r>
      <w:r w:rsidR="00A6794A">
        <w:rPr>
          <w:lang w:val="en-US"/>
        </w:rPr>
        <w:instrText>workshop</w:instrText>
      </w:r>
      <w:r w:rsidR="00A6794A" w:rsidRPr="00471424">
        <w:instrText xml:space="preserve">, </w:instrText>
      </w:r>
      <w:r w:rsidR="00A6794A">
        <w:rPr>
          <w:lang w:val="en-US"/>
        </w:rPr>
        <w:instrText>under</w:instrText>
      </w:r>
      <w:r w:rsidR="00A6794A" w:rsidRPr="00471424">
        <w:instrText xml:space="preserve"> </w:instrText>
      </w:r>
      <w:r w:rsidR="00A6794A">
        <w:rPr>
          <w:lang w:val="en-US"/>
        </w:rPr>
        <w:instrText>the</w:instrText>
      </w:r>
      <w:r w:rsidR="00A6794A" w:rsidRPr="00471424">
        <w:instrText xml:space="preserve"> </w:instrText>
      </w:r>
      <w:r w:rsidR="00A6794A">
        <w:rPr>
          <w:lang w:val="en-US"/>
        </w:rPr>
        <w:instrText>auspices</w:instrText>
      </w:r>
      <w:r w:rsidR="00A6794A" w:rsidRPr="00471424">
        <w:instrText xml:space="preserve"> </w:instrText>
      </w:r>
      <w:r w:rsidR="00A6794A">
        <w:rPr>
          <w:lang w:val="en-US"/>
        </w:rPr>
        <w:instrText>of</w:instrText>
      </w:r>
      <w:r w:rsidR="00A6794A" w:rsidRPr="00471424">
        <w:instrText xml:space="preserve"> </w:instrText>
      </w:r>
      <w:r w:rsidR="00A6794A">
        <w:rPr>
          <w:lang w:val="en-US"/>
        </w:rPr>
        <w:instrText>Group</w:instrText>
      </w:r>
      <w:r w:rsidR="00A6794A" w:rsidRPr="00471424">
        <w:instrText xml:space="preserve"> </w:instrText>
      </w:r>
      <w:r w:rsidR="00A6794A">
        <w:rPr>
          <w:lang w:val="en-US"/>
        </w:rPr>
        <w:instrText>d</w:instrText>
      </w:r>
      <w:r w:rsidR="00A6794A" w:rsidRPr="00471424">
        <w:instrText>'</w:instrText>
      </w:r>
      <w:r w:rsidR="00A6794A">
        <w:rPr>
          <w:lang w:val="en-US"/>
        </w:rPr>
        <w:instrText>Etude</w:instrText>
      </w:r>
      <w:r w:rsidR="00A6794A" w:rsidRPr="00471424">
        <w:instrText xml:space="preserve"> </w:instrText>
      </w:r>
      <w:r w:rsidR="00A6794A">
        <w:rPr>
          <w:lang w:val="en-US"/>
        </w:rPr>
        <w:instrText>des</w:instrText>
      </w:r>
      <w:r w:rsidR="00A6794A" w:rsidRPr="00471424">
        <w:instrText xml:space="preserve"> </w:instrText>
      </w:r>
      <w:r w:rsidR="00A6794A">
        <w:rPr>
          <w:lang w:val="en-US"/>
        </w:rPr>
        <w:instrText>Lymphomes</w:instrText>
      </w:r>
      <w:r w:rsidR="00A6794A" w:rsidRPr="00471424">
        <w:instrText xml:space="preserve"> </w:instrText>
      </w:r>
      <w:r w:rsidR="00A6794A">
        <w:rPr>
          <w:lang w:val="en-US"/>
        </w:rPr>
        <w:instrText>de</w:instrText>
      </w:r>
      <w:r w:rsidR="00A6794A" w:rsidRPr="00471424">
        <w:instrText xml:space="preserve"> </w:instrText>
      </w:r>
      <w:r w:rsidR="00A6794A">
        <w:rPr>
          <w:lang w:val="en-US"/>
        </w:rPr>
        <w:instrText>l</w:instrText>
      </w:r>
      <w:r w:rsidR="00A6794A" w:rsidRPr="00471424">
        <w:instrText>'</w:instrText>
      </w:r>
      <w:r w:rsidR="00A6794A">
        <w:rPr>
          <w:lang w:val="en-US"/>
        </w:rPr>
        <w:instrText>Adulte</w:instrText>
      </w:r>
      <w:r w:rsidR="00A6794A" w:rsidRPr="00471424">
        <w:instrText xml:space="preserve"> (</w:instrText>
      </w:r>
      <w:r w:rsidR="00A6794A">
        <w:rPr>
          <w:lang w:val="en-US"/>
        </w:rPr>
        <w:instrText>GELA</w:instrText>
      </w:r>
      <w:r w:rsidR="00A6794A" w:rsidRPr="00471424">
        <w:instrText xml:space="preserve">) </w:instrText>
      </w:r>
      <w:r w:rsidR="00A6794A">
        <w:rPr>
          <w:lang w:val="en-US"/>
        </w:rPr>
        <w:instrText>took</w:instrText>
      </w:r>
      <w:r w:rsidR="00A6794A" w:rsidRPr="00471424">
        <w:instrText xml:space="preserve"> </w:instrText>
      </w:r>
      <w:r w:rsidR="00A6794A">
        <w:rPr>
          <w:lang w:val="en-US"/>
        </w:rPr>
        <w:instrText>place</w:instrText>
      </w:r>
      <w:r w:rsidR="00A6794A" w:rsidRPr="00471424">
        <w:instrText xml:space="preserve"> </w:instrText>
      </w:r>
      <w:r w:rsidR="00A6794A">
        <w:rPr>
          <w:lang w:val="en-US"/>
        </w:rPr>
        <w:instrText>in</w:instrText>
      </w:r>
      <w:r w:rsidR="00A6794A" w:rsidRPr="00471424">
        <w:instrText xml:space="preserve"> </w:instrText>
      </w:r>
      <w:r w:rsidR="00A6794A">
        <w:rPr>
          <w:lang w:val="en-US"/>
        </w:rPr>
        <w:instrText>Deauville</w:instrText>
      </w:r>
      <w:r w:rsidR="00A6794A" w:rsidRPr="00471424">
        <w:instrText xml:space="preserve">, </w:instrText>
      </w:r>
      <w:r w:rsidR="00A6794A">
        <w:rPr>
          <w:lang w:val="en-US"/>
        </w:rPr>
        <w:instrText>France</w:instrText>
      </w:r>
      <w:r w:rsidR="00A6794A" w:rsidRPr="00471424">
        <w:instrText xml:space="preserve">, </w:instrText>
      </w:r>
      <w:r w:rsidR="00A6794A">
        <w:rPr>
          <w:lang w:val="en-US"/>
        </w:rPr>
        <w:instrText>in</w:instrText>
      </w:r>
      <w:r w:rsidR="00A6794A" w:rsidRPr="00471424">
        <w:instrText xml:space="preserve"> </w:instrText>
      </w:r>
      <w:r w:rsidR="00A6794A">
        <w:rPr>
          <w:lang w:val="en-US"/>
        </w:rPr>
        <w:instrText>April</w:instrText>
      </w:r>
      <w:r w:rsidR="00A6794A" w:rsidRPr="00471424">
        <w:instrText xml:space="preserve"> 3-4, 2009. </w:instrText>
      </w:r>
      <w:r w:rsidR="00A6794A">
        <w:rPr>
          <w:lang w:val="en-US"/>
        </w:rPr>
        <w:instrText>The</w:instrText>
      </w:r>
      <w:r w:rsidR="00A6794A" w:rsidRPr="00471424">
        <w:instrText xml:space="preserve"> </w:instrText>
      </w:r>
      <w:r w:rsidR="00A6794A">
        <w:rPr>
          <w:lang w:val="en-US"/>
        </w:rPr>
        <w:instrText>European</w:instrText>
      </w:r>
      <w:r w:rsidR="00A6794A" w:rsidRPr="00471424">
        <w:instrText xml:space="preserve"> </w:instrText>
      </w:r>
      <w:r w:rsidR="00A6794A">
        <w:rPr>
          <w:lang w:val="en-US"/>
        </w:rPr>
        <w:instrText>experts</w:instrText>
      </w:r>
      <w:r w:rsidR="00A6794A" w:rsidRPr="00471424">
        <w:instrText xml:space="preserve"> </w:instrText>
      </w:r>
      <w:r w:rsidR="00A6794A">
        <w:rPr>
          <w:lang w:val="en-US"/>
        </w:rPr>
        <w:instrText>with</w:instrText>
      </w:r>
      <w:r w:rsidR="00A6794A" w:rsidRPr="00471424">
        <w:instrText xml:space="preserve"> </w:instrText>
      </w:r>
      <w:r w:rsidR="00A6794A">
        <w:rPr>
          <w:lang w:val="en-US"/>
        </w:rPr>
        <w:instrText>a</w:instrText>
      </w:r>
      <w:r w:rsidR="00A6794A" w:rsidRPr="00471424">
        <w:instrText xml:space="preserve"> </w:instrText>
      </w:r>
      <w:r w:rsidR="00A6794A">
        <w:rPr>
          <w:lang w:val="en-US"/>
        </w:rPr>
        <w:instrText>published</w:instrText>
      </w:r>
      <w:r w:rsidR="00A6794A" w:rsidRPr="00471424">
        <w:instrText xml:space="preserve"> </w:instrText>
      </w:r>
      <w:r w:rsidR="00A6794A">
        <w:rPr>
          <w:lang w:val="en-US"/>
        </w:rPr>
        <w:instrText>or</w:instrText>
      </w:r>
      <w:r w:rsidR="00A6794A" w:rsidRPr="00471424">
        <w:instrText xml:space="preserve"> </w:instrText>
      </w:r>
      <w:r w:rsidR="00A6794A">
        <w:rPr>
          <w:lang w:val="en-US"/>
        </w:rPr>
        <w:instrText>personal</w:instrText>
      </w:r>
      <w:r w:rsidR="00A6794A" w:rsidRPr="00471424">
        <w:instrText xml:space="preserve"> </w:instrText>
      </w:r>
      <w:r w:rsidR="00A6794A">
        <w:rPr>
          <w:lang w:val="en-US"/>
        </w:rPr>
        <w:instrText>experience</w:instrText>
      </w:r>
      <w:r w:rsidR="00A6794A" w:rsidRPr="00471424">
        <w:instrText xml:space="preserve"> </w:instrText>
      </w:r>
      <w:r w:rsidR="00A6794A">
        <w:rPr>
          <w:lang w:val="en-US"/>
        </w:rPr>
        <w:instrText>on</w:instrText>
      </w:r>
      <w:r w:rsidR="00A6794A" w:rsidRPr="00471424">
        <w:instrText xml:space="preserve"> </w:instrText>
      </w:r>
      <w:r w:rsidR="00A6794A">
        <w:rPr>
          <w:lang w:val="en-US"/>
        </w:rPr>
        <w:instrText>interim</w:instrText>
      </w:r>
      <w:r w:rsidR="00A6794A" w:rsidRPr="00471424">
        <w:instrText>-</w:instrText>
      </w:r>
      <w:r w:rsidR="00A6794A">
        <w:rPr>
          <w:lang w:val="en-US"/>
        </w:rPr>
        <w:instrText>PET</w:instrText>
      </w:r>
      <w:r w:rsidR="00A6794A" w:rsidRPr="00471424">
        <w:instrText xml:space="preserve"> </w:instrText>
      </w:r>
      <w:r w:rsidR="00A6794A">
        <w:rPr>
          <w:lang w:val="en-US"/>
        </w:rPr>
        <w:instrText>in</w:instrText>
      </w:r>
      <w:r w:rsidR="00A6794A" w:rsidRPr="00471424">
        <w:instrText xml:space="preserve"> </w:instrText>
      </w:r>
      <w:r w:rsidR="00A6794A">
        <w:rPr>
          <w:lang w:val="en-US"/>
        </w:rPr>
        <w:instrText>lymphoma</w:instrText>
      </w:r>
      <w:r w:rsidR="00A6794A" w:rsidRPr="00471424">
        <w:instrText xml:space="preserve"> </w:instrText>
      </w:r>
      <w:r w:rsidR="00A6794A">
        <w:rPr>
          <w:lang w:val="en-US"/>
        </w:rPr>
        <w:instrText>were</w:instrText>
      </w:r>
      <w:r w:rsidR="00A6794A" w:rsidRPr="00471424">
        <w:instrText xml:space="preserve"> </w:instrText>
      </w:r>
      <w:r w:rsidR="00A6794A">
        <w:rPr>
          <w:lang w:val="en-US"/>
        </w:rPr>
        <w:instrText>invited</w:instrText>
      </w:r>
      <w:r w:rsidR="00A6794A" w:rsidRPr="00471424">
        <w:instrText xml:space="preserve"> </w:instrText>
      </w:r>
      <w:r w:rsidR="00A6794A">
        <w:rPr>
          <w:lang w:val="en-US"/>
        </w:rPr>
        <w:instrText>to</w:instrText>
      </w:r>
      <w:r w:rsidR="00A6794A" w:rsidRPr="00471424">
        <w:instrText xml:space="preserve"> </w:instrText>
      </w:r>
      <w:r w:rsidR="00A6794A">
        <w:rPr>
          <w:lang w:val="en-US"/>
        </w:rPr>
        <w:instrText>the</w:instrText>
      </w:r>
      <w:r w:rsidR="00A6794A" w:rsidRPr="00471424">
        <w:instrText xml:space="preserve"> </w:instrText>
      </w:r>
      <w:r w:rsidR="00A6794A">
        <w:rPr>
          <w:lang w:val="en-US"/>
        </w:rPr>
        <w:instrText>meeting</w:instrText>
      </w:r>
      <w:r w:rsidR="00A6794A" w:rsidRPr="00471424">
        <w:instrText xml:space="preserve">. </w:instrText>
      </w:r>
      <w:r w:rsidR="00A6794A">
        <w:rPr>
          <w:lang w:val="en-US"/>
        </w:rPr>
        <w:instrText>The</w:instrText>
      </w:r>
      <w:r w:rsidR="00A6794A" w:rsidRPr="00471424">
        <w:instrText xml:space="preserve"> </w:instrText>
      </w:r>
      <w:r w:rsidR="00A6794A">
        <w:rPr>
          <w:lang w:val="en-US"/>
        </w:rPr>
        <w:instrText>aim</w:instrText>
      </w:r>
      <w:r w:rsidR="00A6794A" w:rsidRPr="00471424">
        <w:instrText xml:space="preserve"> </w:instrText>
      </w:r>
      <w:r w:rsidR="00A6794A">
        <w:rPr>
          <w:lang w:val="en-US"/>
        </w:rPr>
        <w:instrText>of</w:instrText>
      </w:r>
      <w:r w:rsidR="00A6794A" w:rsidRPr="00471424">
        <w:instrText xml:space="preserve"> </w:instrText>
      </w:r>
      <w:r w:rsidR="00A6794A">
        <w:rPr>
          <w:lang w:val="en-US"/>
        </w:rPr>
        <w:instrText>the</w:instrText>
      </w:r>
      <w:r w:rsidR="00A6794A" w:rsidRPr="00471424">
        <w:instrText xml:space="preserve"> </w:instrText>
      </w:r>
      <w:r w:rsidR="00A6794A">
        <w:rPr>
          <w:lang w:val="en-US"/>
        </w:rPr>
        <w:instrText>workshop</w:instrText>
      </w:r>
      <w:r w:rsidR="00A6794A" w:rsidRPr="00471424">
        <w:instrText xml:space="preserve"> </w:instrText>
      </w:r>
      <w:r w:rsidR="00A6794A">
        <w:rPr>
          <w:lang w:val="en-US"/>
        </w:rPr>
        <w:instrText>was</w:instrText>
      </w:r>
      <w:r w:rsidR="00A6794A" w:rsidRPr="00471424">
        <w:instrText xml:space="preserve"> </w:instrText>
      </w:r>
      <w:r w:rsidR="00A6794A">
        <w:rPr>
          <w:lang w:val="en-US"/>
        </w:rPr>
        <w:instrText>twofold</w:instrText>
      </w:r>
      <w:r w:rsidR="00A6794A" w:rsidRPr="00471424">
        <w:instrText xml:space="preserve">: (1) </w:instrText>
      </w:r>
      <w:r w:rsidR="00A6794A">
        <w:rPr>
          <w:lang w:val="en-US"/>
        </w:rPr>
        <w:instrText>to</w:instrText>
      </w:r>
      <w:r w:rsidR="00A6794A" w:rsidRPr="00471424">
        <w:instrText xml:space="preserve"> </w:instrText>
      </w:r>
      <w:r w:rsidR="00A6794A">
        <w:rPr>
          <w:lang w:val="en-US"/>
        </w:rPr>
        <w:instrText>reach</w:instrText>
      </w:r>
      <w:r w:rsidR="00A6794A" w:rsidRPr="00471424">
        <w:instrText xml:space="preserve"> </w:instrText>
      </w:r>
      <w:r w:rsidR="00A6794A">
        <w:rPr>
          <w:lang w:val="en-US"/>
        </w:rPr>
        <w:instrText>a</w:instrText>
      </w:r>
      <w:r w:rsidR="00A6794A" w:rsidRPr="00471424">
        <w:instrText xml:space="preserve"> </w:instrText>
      </w:r>
      <w:r w:rsidR="00A6794A">
        <w:rPr>
          <w:lang w:val="en-US"/>
        </w:rPr>
        <w:instrText>consensus</w:instrText>
      </w:r>
      <w:r w:rsidR="00A6794A" w:rsidRPr="00471424">
        <w:instrText xml:space="preserve"> </w:instrText>
      </w:r>
      <w:r w:rsidR="00A6794A">
        <w:rPr>
          <w:lang w:val="en-US"/>
        </w:rPr>
        <w:instrText>on</w:instrText>
      </w:r>
      <w:r w:rsidR="00A6794A" w:rsidRPr="00471424">
        <w:instrText xml:space="preserve"> </w:instrText>
      </w:r>
      <w:r w:rsidR="00A6794A">
        <w:rPr>
          <w:lang w:val="en-US"/>
        </w:rPr>
        <w:instrText>simple</w:instrText>
      </w:r>
      <w:r w:rsidR="00A6794A" w:rsidRPr="00471424">
        <w:instrText xml:space="preserve">, </w:instrText>
      </w:r>
      <w:r w:rsidR="00A6794A">
        <w:rPr>
          <w:lang w:val="en-US"/>
        </w:rPr>
        <w:instrText>reproducible</w:instrText>
      </w:r>
      <w:r w:rsidR="00A6794A" w:rsidRPr="00471424">
        <w:instrText xml:space="preserve"> </w:instrText>
      </w:r>
      <w:r w:rsidR="00A6794A">
        <w:rPr>
          <w:lang w:val="en-US"/>
        </w:rPr>
        <w:instrText>criteria</w:instrText>
      </w:r>
      <w:r w:rsidR="00A6794A" w:rsidRPr="00471424">
        <w:instrText xml:space="preserve"> </w:instrText>
      </w:r>
      <w:r w:rsidR="00A6794A">
        <w:rPr>
          <w:lang w:val="en-US"/>
        </w:rPr>
        <w:instrText>for</w:instrText>
      </w:r>
      <w:r w:rsidR="00A6794A" w:rsidRPr="00471424">
        <w:instrText xml:space="preserve"> </w:instrText>
      </w:r>
      <w:r w:rsidR="00A6794A">
        <w:rPr>
          <w:lang w:val="en-US"/>
        </w:rPr>
        <w:instrText>interim</w:instrText>
      </w:r>
      <w:r w:rsidR="00A6794A" w:rsidRPr="00471424">
        <w:instrText>-</w:instrText>
      </w:r>
      <w:r w:rsidR="00A6794A">
        <w:rPr>
          <w:lang w:val="en-US"/>
        </w:rPr>
        <w:instrText>PET</w:instrText>
      </w:r>
      <w:r w:rsidR="00A6794A" w:rsidRPr="00471424">
        <w:instrText xml:space="preserve"> </w:instrText>
      </w:r>
      <w:r w:rsidR="00A6794A">
        <w:rPr>
          <w:lang w:val="en-US"/>
        </w:rPr>
        <w:instrText>interpretation</w:instrText>
      </w:r>
      <w:r w:rsidR="00A6794A" w:rsidRPr="00471424">
        <w:instrText xml:space="preserve"> </w:instrText>
      </w:r>
      <w:r w:rsidR="00A6794A">
        <w:rPr>
          <w:lang w:val="en-US"/>
        </w:rPr>
        <w:instrText>in</w:instrText>
      </w:r>
      <w:r w:rsidR="00A6794A" w:rsidRPr="00471424">
        <w:instrText xml:space="preserve"> </w:instrText>
      </w:r>
      <w:r w:rsidR="00A6794A">
        <w:rPr>
          <w:lang w:val="en-US"/>
        </w:rPr>
        <w:instrText>Hodgkin</w:instrText>
      </w:r>
      <w:r w:rsidR="00A6794A" w:rsidRPr="00471424">
        <w:instrText xml:space="preserve"> </w:instrText>
      </w:r>
      <w:r w:rsidR="00A6794A">
        <w:rPr>
          <w:lang w:val="en-US"/>
        </w:rPr>
        <w:instrText>lymphoma</w:instrText>
      </w:r>
      <w:r w:rsidR="00A6794A" w:rsidRPr="00471424">
        <w:instrText xml:space="preserve"> </w:instrText>
      </w:r>
      <w:r w:rsidR="00A6794A">
        <w:rPr>
          <w:lang w:val="en-US"/>
        </w:rPr>
        <w:instrText>and</w:instrText>
      </w:r>
      <w:r w:rsidR="00A6794A" w:rsidRPr="00471424">
        <w:instrText xml:space="preserve"> </w:instrText>
      </w:r>
      <w:r w:rsidR="00A6794A">
        <w:rPr>
          <w:lang w:val="en-US"/>
        </w:rPr>
        <w:instrText>diffuse</w:instrText>
      </w:r>
      <w:r w:rsidR="00A6794A" w:rsidRPr="00471424">
        <w:instrText xml:space="preserve"> </w:instrText>
      </w:r>
      <w:r w:rsidR="00A6794A">
        <w:rPr>
          <w:lang w:val="en-US"/>
        </w:rPr>
        <w:instrText>large</w:instrText>
      </w:r>
      <w:r w:rsidR="00A6794A" w:rsidRPr="00471424">
        <w:instrText xml:space="preserve"> </w:instrText>
      </w:r>
      <w:r w:rsidR="00A6794A">
        <w:rPr>
          <w:lang w:val="en-US"/>
        </w:rPr>
        <w:instrText>B</w:instrText>
      </w:r>
      <w:r w:rsidR="00A6794A" w:rsidRPr="00471424">
        <w:instrText>-</w:instrText>
      </w:r>
      <w:r w:rsidR="00A6794A">
        <w:rPr>
          <w:lang w:val="en-US"/>
        </w:rPr>
        <w:instrText>cell</w:instrText>
      </w:r>
      <w:r w:rsidR="00A6794A" w:rsidRPr="00471424">
        <w:instrText xml:space="preserve"> </w:instrText>
      </w:r>
      <w:r w:rsidR="00A6794A">
        <w:rPr>
          <w:lang w:val="en-US"/>
        </w:rPr>
        <w:instrText>lymphoma</w:instrText>
      </w:r>
      <w:r w:rsidR="00A6794A" w:rsidRPr="00471424">
        <w:instrText xml:space="preserve"> (</w:instrText>
      </w:r>
      <w:r w:rsidR="00A6794A">
        <w:rPr>
          <w:lang w:val="en-US"/>
        </w:rPr>
        <w:instrText>DLBCL</w:instrText>
      </w:r>
      <w:r w:rsidR="00A6794A" w:rsidRPr="00471424">
        <w:instrText xml:space="preserve">), </w:instrText>
      </w:r>
      <w:r w:rsidR="00A6794A">
        <w:rPr>
          <w:lang w:val="en-US"/>
        </w:rPr>
        <w:instrText>and</w:instrText>
      </w:r>
      <w:r w:rsidR="00A6794A" w:rsidRPr="00471424">
        <w:instrText xml:space="preserve"> (2) </w:instrText>
      </w:r>
      <w:r w:rsidR="00A6794A">
        <w:rPr>
          <w:lang w:val="en-US"/>
        </w:rPr>
        <w:instrText>to</w:instrText>
      </w:r>
      <w:r w:rsidR="00A6794A" w:rsidRPr="00471424">
        <w:instrText xml:space="preserve"> </w:instrText>
      </w:r>
      <w:r w:rsidR="00A6794A">
        <w:rPr>
          <w:lang w:val="en-US"/>
        </w:rPr>
        <w:instrText>launch</w:instrText>
      </w:r>
      <w:r w:rsidR="00A6794A" w:rsidRPr="00471424">
        <w:instrText xml:space="preserve"> </w:instrText>
      </w:r>
      <w:r w:rsidR="00A6794A">
        <w:rPr>
          <w:lang w:val="en-US"/>
        </w:rPr>
        <w:instrText>two</w:instrText>
      </w:r>
      <w:r w:rsidR="00A6794A" w:rsidRPr="00471424">
        <w:instrText xml:space="preserve"> </w:instrText>
      </w:r>
      <w:r w:rsidR="00A6794A">
        <w:rPr>
          <w:lang w:val="en-US"/>
        </w:rPr>
        <w:instrText>or</w:instrText>
      </w:r>
      <w:r w:rsidR="00A6794A" w:rsidRPr="00471424">
        <w:instrText xml:space="preserve"> </w:instrText>
      </w:r>
      <w:r w:rsidR="00A6794A">
        <w:rPr>
          <w:lang w:val="en-US"/>
        </w:rPr>
        <w:instrText>more</w:instrText>
      </w:r>
      <w:r w:rsidR="00A6794A" w:rsidRPr="00471424">
        <w:instrText xml:space="preserve"> </w:instrText>
      </w:r>
      <w:r w:rsidR="00A6794A">
        <w:rPr>
          <w:lang w:val="en-US"/>
        </w:rPr>
        <w:instrText>international</w:instrText>
      </w:r>
      <w:r w:rsidR="00A6794A" w:rsidRPr="00471424">
        <w:instrText xml:space="preserve"> </w:instrText>
      </w:r>
      <w:r w:rsidR="00A6794A">
        <w:rPr>
          <w:lang w:val="en-US"/>
        </w:rPr>
        <w:instrText>validation</w:instrText>
      </w:r>
      <w:r w:rsidR="00A6794A" w:rsidRPr="00471424">
        <w:instrText xml:space="preserve"> </w:instrText>
      </w:r>
      <w:r w:rsidR="00A6794A">
        <w:rPr>
          <w:lang w:val="en-US"/>
        </w:rPr>
        <w:instrText>studies</w:instrText>
      </w:r>
      <w:r w:rsidR="00A6794A" w:rsidRPr="00471424">
        <w:instrText xml:space="preserve">, </w:instrText>
      </w:r>
      <w:r w:rsidR="00A6794A">
        <w:rPr>
          <w:lang w:val="en-US"/>
        </w:rPr>
        <w:instrText>in</w:instrText>
      </w:r>
      <w:r w:rsidR="00A6794A" w:rsidRPr="00471424">
        <w:instrText xml:space="preserve"> </w:instrText>
      </w:r>
      <w:r w:rsidR="00A6794A">
        <w:rPr>
          <w:lang w:val="en-US"/>
        </w:rPr>
        <w:instrText>an</w:instrText>
      </w:r>
      <w:r w:rsidR="00A6794A" w:rsidRPr="00471424">
        <w:instrText xml:space="preserve"> </w:instrText>
      </w:r>
      <w:r w:rsidR="00A6794A">
        <w:rPr>
          <w:lang w:val="en-US"/>
        </w:rPr>
        <w:instrText>attempt</w:instrText>
      </w:r>
      <w:r w:rsidR="00A6794A" w:rsidRPr="00471424">
        <w:instrText xml:space="preserve"> </w:instrText>
      </w:r>
      <w:r w:rsidR="00A6794A">
        <w:rPr>
          <w:lang w:val="en-US"/>
        </w:rPr>
        <w:instrText>to</w:instrText>
      </w:r>
      <w:r w:rsidR="00A6794A" w:rsidRPr="00471424">
        <w:instrText xml:space="preserve"> </w:instrText>
      </w:r>
      <w:r w:rsidR="00A6794A">
        <w:rPr>
          <w:lang w:val="en-US"/>
        </w:rPr>
        <w:instrText>validate</w:instrText>
      </w:r>
      <w:r w:rsidR="00A6794A" w:rsidRPr="00471424">
        <w:instrText xml:space="preserve"> </w:instrText>
      </w:r>
      <w:r w:rsidR="00A6794A">
        <w:rPr>
          <w:lang w:val="en-US"/>
        </w:rPr>
        <w:instrText>these</w:instrText>
      </w:r>
      <w:r w:rsidR="00A6794A" w:rsidRPr="00471424">
        <w:instrText xml:space="preserve"> </w:instrText>
      </w:r>
      <w:r w:rsidR="00A6794A">
        <w:rPr>
          <w:lang w:val="en-US"/>
        </w:rPr>
        <w:instrText>rules</w:instrText>
      </w:r>
      <w:r w:rsidR="00A6794A" w:rsidRPr="00471424">
        <w:instrText xml:space="preserve">. </w:instrText>
      </w:r>
      <w:r w:rsidR="00A6794A">
        <w:rPr>
          <w:lang w:val="en-US"/>
        </w:rPr>
        <w:instrText>We</w:instrText>
      </w:r>
      <w:r w:rsidR="00A6794A" w:rsidRPr="00471424">
        <w:instrText xml:space="preserve"> </w:instrText>
      </w:r>
      <w:r w:rsidR="00A6794A">
        <w:rPr>
          <w:lang w:val="en-US"/>
        </w:rPr>
        <w:instrText>concisely</w:instrText>
      </w:r>
      <w:r w:rsidR="00A6794A" w:rsidRPr="00471424">
        <w:instrText xml:space="preserve"> </w:instrText>
      </w:r>
      <w:r w:rsidR="00A6794A">
        <w:rPr>
          <w:lang w:val="en-US"/>
        </w:rPr>
        <w:instrText>report</w:instrText>
      </w:r>
      <w:r w:rsidR="00A6794A" w:rsidRPr="00471424">
        <w:instrText xml:space="preserve"> </w:instrText>
      </w:r>
      <w:r w:rsidR="00A6794A">
        <w:rPr>
          <w:lang w:val="en-US"/>
        </w:rPr>
        <w:instrText>here</w:instrText>
      </w:r>
      <w:r w:rsidR="00A6794A" w:rsidRPr="00471424">
        <w:instrText xml:space="preserve"> </w:instrText>
      </w:r>
      <w:r w:rsidR="00A6794A">
        <w:rPr>
          <w:lang w:val="en-US"/>
        </w:rPr>
        <w:instrText>the</w:instrText>
      </w:r>
      <w:r w:rsidR="00A6794A" w:rsidRPr="00471424">
        <w:instrText xml:space="preserve"> </w:instrText>
      </w:r>
      <w:r w:rsidR="00A6794A">
        <w:rPr>
          <w:lang w:val="en-US"/>
        </w:rPr>
        <w:instrText>minutes</w:instrText>
      </w:r>
      <w:r w:rsidR="00A6794A" w:rsidRPr="00471424">
        <w:instrText xml:space="preserve"> </w:instrText>
      </w:r>
      <w:r w:rsidR="00A6794A">
        <w:rPr>
          <w:lang w:val="en-US"/>
        </w:rPr>
        <w:instrText>of</w:instrText>
      </w:r>
      <w:r w:rsidR="00A6794A" w:rsidRPr="00471424">
        <w:instrText xml:space="preserve"> </w:instrText>
      </w:r>
      <w:r w:rsidR="00A6794A">
        <w:rPr>
          <w:lang w:val="en-US"/>
        </w:rPr>
        <w:instrText>the</w:instrText>
      </w:r>
      <w:r w:rsidR="00A6794A" w:rsidRPr="00471424">
        <w:instrText xml:space="preserve"> </w:instrText>
      </w:r>
      <w:r w:rsidR="00A6794A">
        <w:rPr>
          <w:lang w:val="en-US"/>
        </w:rPr>
        <w:instrText>meeting</w:instrText>
      </w:r>
      <w:r w:rsidR="00A6794A" w:rsidRPr="00471424">
        <w:instrText xml:space="preserve"> </w:instrText>
      </w:r>
      <w:r w:rsidR="00A6794A">
        <w:rPr>
          <w:lang w:val="en-US"/>
        </w:rPr>
        <w:instrText>and</w:instrText>
      </w:r>
      <w:r w:rsidR="00A6794A" w:rsidRPr="00471424">
        <w:instrText xml:space="preserve"> </w:instrText>
      </w:r>
      <w:r w:rsidR="00A6794A">
        <w:rPr>
          <w:lang w:val="en-US"/>
        </w:rPr>
        <w:instrText>the</w:instrText>
      </w:r>
      <w:r w:rsidR="00A6794A" w:rsidRPr="00471424">
        <w:instrText xml:space="preserve"> </w:instrText>
      </w:r>
      <w:r w:rsidR="00A6794A">
        <w:rPr>
          <w:lang w:val="en-US"/>
        </w:rPr>
        <w:instrText>conclusions</w:instrText>
      </w:r>
      <w:r w:rsidR="00A6794A" w:rsidRPr="00471424">
        <w:instrText>/</w:instrText>
      </w:r>
      <w:r w:rsidR="00A6794A">
        <w:rPr>
          <w:lang w:val="en-US"/>
        </w:rPr>
        <w:instrText>statements</w:instrText>
      </w:r>
      <w:r w:rsidR="00A6794A" w:rsidRPr="00471424">
        <w:instrText xml:space="preserve"> </w:instrText>
      </w:r>
      <w:r w:rsidR="00A6794A">
        <w:rPr>
          <w:lang w:val="en-US"/>
        </w:rPr>
        <w:instrText>that</w:instrText>
      </w:r>
      <w:r w:rsidR="00A6794A" w:rsidRPr="00471424">
        <w:instrText xml:space="preserve"> </w:instrText>
      </w:r>
      <w:r w:rsidR="00A6794A">
        <w:rPr>
          <w:lang w:val="en-US"/>
        </w:rPr>
        <w:instrText>have</w:instrText>
      </w:r>
      <w:r w:rsidR="00A6794A" w:rsidRPr="00471424">
        <w:instrText xml:space="preserve"> </w:instrText>
      </w:r>
      <w:r w:rsidR="00A6794A">
        <w:rPr>
          <w:lang w:val="en-US"/>
        </w:rPr>
        <w:instrText>been</w:instrText>
      </w:r>
      <w:r w:rsidR="00A6794A" w:rsidRPr="00471424">
        <w:instrText xml:space="preserve"> </w:instrText>
      </w:r>
      <w:r w:rsidR="00A6794A">
        <w:rPr>
          <w:lang w:val="en-US"/>
        </w:rPr>
        <w:instrText>reached</w:instrText>
      </w:r>
      <w:r w:rsidR="00A6794A" w:rsidRPr="00471424">
        <w:instrText xml:space="preserve">. © 2009 </w:instrText>
      </w:r>
      <w:r w:rsidR="00A6794A">
        <w:rPr>
          <w:lang w:val="en-US"/>
        </w:rPr>
        <w:instrText>Informa</w:instrText>
      </w:r>
      <w:r w:rsidR="00A6794A" w:rsidRPr="00471424">
        <w:instrText xml:space="preserve"> </w:instrText>
      </w:r>
      <w:r w:rsidR="00A6794A">
        <w:rPr>
          <w:lang w:val="en-US"/>
        </w:rPr>
        <w:instrText>UK</w:instrText>
      </w:r>
      <w:r w:rsidR="00A6794A" w:rsidRPr="00471424">
        <w:instrText xml:space="preserve"> </w:instrText>
      </w:r>
      <w:r w:rsidR="00A6794A">
        <w:rPr>
          <w:lang w:val="en-US"/>
        </w:rPr>
        <w:instrText>Ltd</w:instrText>
      </w:r>
      <w:r w:rsidR="00A6794A" w:rsidRPr="00471424">
        <w:instrText xml:space="preserve"> </w:instrText>
      </w:r>
      <w:r w:rsidR="00A6794A">
        <w:rPr>
          <w:lang w:val="en-US"/>
        </w:rPr>
        <w:instrText>All</w:instrText>
      </w:r>
      <w:r w:rsidR="00A6794A" w:rsidRPr="00471424">
        <w:instrText xml:space="preserve"> </w:instrText>
      </w:r>
      <w:r w:rsidR="00A6794A">
        <w:rPr>
          <w:lang w:val="en-US"/>
        </w:rPr>
        <w:instrText>rights</w:instrText>
      </w:r>
      <w:r w:rsidR="00A6794A" w:rsidRPr="00471424">
        <w:instrText xml:space="preserve"> </w:instrText>
      </w:r>
      <w:r w:rsidR="00A6794A">
        <w:rPr>
          <w:lang w:val="en-US"/>
        </w:rPr>
        <w:instrText>reserved</w:instrText>
      </w:r>
      <w:r w:rsidR="00A6794A" w:rsidRPr="00471424">
        <w:instrText>.","</w:instrText>
      </w:r>
      <w:r w:rsidR="00A6794A">
        <w:rPr>
          <w:lang w:val="en-US"/>
        </w:rPr>
        <w:instrText>author</w:instrText>
      </w:r>
      <w:r w:rsidR="00A6794A" w:rsidRPr="00471424">
        <w:instrText>":[{"</w:instrText>
      </w:r>
      <w:r w:rsidR="00A6794A">
        <w:rPr>
          <w:lang w:val="en-US"/>
        </w:rPr>
        <w:instrText>dropping</w:instrText>
      </w:r>
      <w:r w:rsidR="00A6794A" w:rsidRPr="00471424">
        <w:instrText>-</w:instrText>
      </w:r>
      <w:r w:rsidR="00A6794A">
        <w:rPr>
          <w:lang w:val="en-US"/>
        </w:rPr>
        <w:instrText>particle</w:instrText>
      </w:r>
      <w:r w:rsidR="00A6794A" w:rsidRPr="00471424">
        <w:instrText>":"","</w:instrText>
      </w:r>
      <w:r w:rsidR="00A6794A">
        <w:rPr>
          <w:lang w:val="en-US"/>
        </w:rPr>
        <w:instrText>family</w:instrText>
      </w:r>
      <w:r w:rsidR="00A6794A" w:rsidRPr="00471424">
        <w:instrText>":"</w:instrText>
      </w:r>
      <w:r w:rsidR="00A6794A">
        <w:rPr>
          <w:lang w:val="en-US"/>
        </w:rPr>
        <w:instrText>Meignan</w:instrText>
      </w:r>
      <w:r w:rsidR="00A6794A" w:rsidRPr="00471424">
        <w:instrText>","</w:instrText>
      </w:r>
      <w:r w:rsidR="00A6794A">
        <w:rPr>
          <w:lang w:val="en-US"/>
        </w:rPr>
        <w:instrText>given</w:instrText>
      </w:r>
      <w:r w:rsidR="00A6794A" w:rsidRPr="00471424">
        <w:instrText>":"</w:instrText>
      </w:r>
      <w:r w:rsidR="00A6794A">
        <w:rPr>
          <w:lang w:val="en-US"/>
        </w:rPr>
        <w:instrText>Michel</w:instrText>
      </w:r>
      <w:r w:rsidR="00A6794A" w:rsidRPr="00471424">
        <w:instrText>","</w:instrText>
      </w:r>
      <w:r w:rsidR="00A6794A">
        <w:rPr>
          <w:lang w:val="en-US"/>
        </w:rPr>
        <w:instrText>non</w:instrText>
      </w:r>
      <w:r w:rsidR="00A6794A" w:rsidRPr="00471424">
        <w:instrText>-</w:instrText>
      </w:r>
      <w:r w:rsidR="00A6794A">
        <w:rPr>
          <w:lang w:val="en-US"/>
        </w:rPr>
        <w:instrText>dropping</w:instrText>
      </w:r>
      <w:r w:rsidR="00A6794A" w:rsidRPr="00471424">
        <w:instrText>-</w:instrText>
      </w:r>
      <w:r w:rsidR="00A6794A">
        <w:rPr>
          <w:lang w:val="en-US"/>
        </w:rPr>
        <w:instrText>particle</w:instrText>
      </w:r>
      <w:r w:rsidR="00A6794A" w:rsidRPr="00471424">
        <w:instrText>":"","</w:instrText>
      </w:r>
      <w:r w:rsidR="00A6794A">
        <w:rPr>
          <w:lang w:val="en-US"/>
        </w:rPr>
        <w:instrText>parse</w:instrText>
      </w:r>
      <w:r w:rsidR="00A6794A" w:rsidRPr="00471424">
        <w:instrText>-</w:instrText>
      </w:r>
      <w:r w:rsidR="00A6794A">
        <w:rPr>
          <w:lang w:val="en-US"/>
        </w:rPr>
        <w:instrText>names</w:instrText>
      </w:r>
      <w:r w:rsidR="00A6794A" w:rsidRPr="00471424">
        <w:instrText>":</w:instrText>
      </w:r>
      <w:r w:rsidR="00A6794A">
        <w:rPr>
          <w:lang w:val="en-US"/>
        </w:rPr>
        <w:instrText>false</w:instrText>
      </w:r>
      <w:r w:rsidR="00A6794A" w:rsidRPr="00471424">
        <w:instrText>,"</w:instrText>
      </w:r>
      <w:r w:rsidR="00A6794A">
        <w:rPr>
          <w:lang w:val="en-US"/>
        </w:rPr>
        <w:instrText>suffix</w:instrText>
      </w:r>
      <w:r w:rsidR="00A6794A" w:rsidRPr="00471424">
        <w:instrText>":""},{"</w:instrText>
      </w:r>
      <w:r w:rsidR="00A6794A">
        <w:rPr>
          <w:lang w:val="en-US"/>
        </w:rPr>
        <w:instrText>dropping</w:instrText>
      </w:r>
      <w:r w:rsidR="00A6794A" w:rsidRPr="00471424">
        <w:instrText>-</w:instrText>
      </w:r>
      <w:r w:rsidR="00A6794A">
        <w:rPr>
          <w:lang w:val="en-US"/>
        </w:rPr>
        <w:instrText>particle</w:instrText>
      </w:r>
      <w:r w:rsidR="00A6794A" w:rsidRPr="00471424">
        <w:instrText>":"","</w:instrText>
      </w:r>
      <w:r w:rsidR="00A6794A">
        <w:rPr>
          <w:lang w:val="en-US"/>
        </w:rPr>
        <w:instrText>family</w:instrText>
      </w:r>
      <w:r w:rsidR="00A6794A" w:rsidRPr="00471424">
        <w:instrText>":"</w:instrText>
      </w:r>
      <w:r w:rsidR="00A6794A">
        <w:rPr>
          <w:lang w:val="en-US"/>
        </w:rPr>
        <w:instrText>Gallamini</w:instrText>
      </w:r>
      <w:r w:rsidR="00A6794A" w:rsidRPr="00471424">
        <w:instrText>","</w:instrText>
      </w:r>
      <w:r w:rsidR="00A6794A">
        <w:rPr>
          <w:lang w:val="en-US"/>
        </w:rPr>
        <w:instrText>given</w:instrText>
      </w:r>
      <w:r w:rsidR="00A6794A" w:rsidRPr="00471424">
        <w:instrText>":"</w:instrText>
      </w:r>
      <w:r w:rsidR="00A6794A">
        <w:rPr>
          <w:lang w:val="en-US"/>
        </w:rPr>
        <w:instrText>Andrea</w:instrText>
      </w:r>
      <w:r w:rsidR="00A6794A" w:rsidRPr="00471424">
        <w:instrText>","</w:instrText>
      </w:r>
      <w:r w:rsidR="00A6794A">
        <w:rPr>
          <w:lang w:val="en-US"/>
        </w:rPr>
        <w:instrText>non</w:instrText>
      </w:r>
      <w:r w:rsidR="00A6794A" w:rsidRPr="00471424">
        <w:instrText>-</w:instrText>
      </w:r>
      <w:r w:rsidR="00A6794A">
        <w:rPr>
          <w:lang w:val="en-US"/>
        </w:rPr>
        <w:instrText>dropping</w:instrText>
      </w:r>
      <w:r w:rsidR="00A6794A" w:rsidRPr="00471424">
        <w:instrText>-</w:instrText>
      </w:r>
      <w:r w:rsidR="00A6794A">
        <w:rPr>
          <w:lang w:val="en-US"/>
        </w:rPr>
        <w:instrText>particle</w:instrText>
      </w:r>
      <w:r w:rsidR="00A6794A" w:rsidRPr="00471424">
        <w:instrText>":"","</w:instrText>
      </w:r>
      <w:r w:rsidR="00A6794A">
        <w:rPr>
          <w:lang w:val="en-US"/>
        </w:rPr>
        <w:instrText>parse</w:instrText>
      </w:r>
      <w:r w:rsidR="00A6794A" w:rsidRPr="00471424">
        <w:instrText>-</w:instrText>
      </w:r>
      <w:r w:rsidR="00A6794A">
        <w:rPr>
          <w:lang w:val="en-US"/>
        </w:rPr>
        <w:instrText>names</w:instrText>
      </w:r>
      <w:r w:rsidR="00A6794A" w:rsidRPr="00471424">
        <w:instrText>":</w:instrText>
      </w:r>
      <w:r w:rsidR="00A6794A">
        <w:rPr>
          <w:lang w:val="en-US"/>
        </w:rPr>
        <w:instrText>false</w:instrText>
      </w:r>
      <w:r w:rsidR="00A6794A" w:rsidRPr="00471424">
        <w:instrText>,"</w:instrText>
      </w:r>
      <w:r w:rsidR="00A6794A">
        <w:rPr>
          <w:lang w:val="en-US"/>
        </w:rPr>
        <w:instrText>suffix</w:instrText>
      </w:r>
      <w:r w:rsidR="00A6794A" w:rsidRPr="00471424">
        <w:instrText>":""},{"</w:instrText>
      </w:r>
      <w:r w:rsidR="00A6794A">
        <w:rPr>
          <w:lang w:val="en-US"/>
        </w:rPr>
        <w:instrText>dropping</w:instrText>
      </w:r>
      <w:r w:rsidR="00A6794A" w:rsidRPr="00471424">
        <w:instrText>-</w:instrText>
      </w:r>
      <w:r w:rsidR="00A6794A">
        <w:rPr>
          <w:lang w:val="en-US"/>
        </w:rPr>
        <w:instrText>particle</w:instrText>
      </w:r>
      <w:r w:rsidR="00A6794A" w:rsidRPr="00471424">
        <w:instrText>":"","</w:instrText>
      </w:r>
      <w:r w:rsidR="00A6794A">
        <w:rPr>
          <w:lang w:val="en-US"/>
        </w:rPr>
        <w:instrText>family</w:instrText>
      </w:r>
      <w:r w:rsidR="00A6794A" w:rsidRPr="00471424">
        <w:instrText>":"</w:instrText>
      </w:r>
      <w:r w:rsidR="00A6794A">
        <w:rPr>
          <w:lang w:val="en-US"/>
        </w:rPr>
        <w:instrText>Haioun</w:instrText>
      </w:r>
      <w:r w:rsidR="00A6794A" w:rsidRPr="00471424">
        <w:instrText>","</w:instrText>
      </w:r>
      <w:r w:rsidR="00A6794A">
        <w:rPr>
          <w:lang w:val="en-US"/>
        </w:rPr>
        <w:instrText>given</w:instrText>
      </w:r>
      <w:r w:rsidR="00A6794A" w:rsidRPr="00471424">
        <w:instrText>":"</w:instrText>
      </w:r>
      <w:r w:rsidR="00A6794A">
        <w:rPr>
          <w:lang w:val="en-US"/>
        </w:rPr>
        <w:instrText>Corinne</w:instrText>
      </w:r>
      <w:r w:rsidR="00A6794A" w:rsidRPr="00471424">
        <w:instrText>","</w:instrText>
      </w:r>
      <w:r w:rsidR="00A6794A">
        <w:rPr>
          <w:lang w:val="en-US"/>
        </w:rPr>
        <w:instrText>non</w:instrText>
      </w:r>
      <w:r w:rsidR="00A6794A" w:rsidRPr="00471424">
        <w:instrText>-</w:instrText>
      </w:r>
      <w:r w:rsidR="00A6794A">
        <w:rPr>
          <w:lang w:val="en-US"/>
        </w:rPr>
        <w:instrText>dropping</w:instrText>
      </w:r>
      <w:r w:rsidR="00A6794A" w:rsidRPr="00471424">
        <w:instrText>-</w:instrText>
      </w:r>
      <w:r w:rsidR="00A6794A">
        <w:rPr>
          <w:lang w:val="en-US"/>
        </w:rPr>
        <w:instrText>particle</w:instrText>
      </w:r>
      <w:r w:rsidR="00A6794A" w:rsidRPr="00471424">
        <w:instrText>":"","</w:instrText>
      </w:r>
      <w:r w:rsidR="00A6794A">
        <w:rPr>
          <w:lang w:val="en-US"/>
        </w:rPr>
        <w:instrText>parse</w:instrText>
      </w:r>
      <w:r w:rsidR="00A6794A" w:rsidRPr="00471424">
        <w:instrText>-</w:instrText>
      </w:r>
      <w:r w:rsidR="00A6794A">
        <w:rPr>
          <w:lang w:val="en-US"/>
        </w:rPr>
        <w:instrText>names</w:instrText>
      </w:r>
      <w:r w:rsidR="00A6794A" w:rsidRPr="00471424">
        <w:instrText>":</w:instrText>
      </w:r>
      <w:r w:rsidR="00A6794A">
        <w:rPr>
          <w:lang w:val="en-US"/>
        </w:rPr>
        <w:instrText>false</w:instrText>
      </w:r>
      <w:r w:rsidR="00A6794A" w:rsidRPr="00471424">
        <w:instrText>,"</w:instrText>
      </w:r>
      <w:r w:rsidR="00A6794A">
        <w:rPr>
          <w:lang w:val="en-US"/>
        </w:rPr>
        <w:instrText>suffix</w:instrText>
      </w:r>
      <w:r w:rsidR="00A6794A" w:rsidRPr="00471424">
        <w:instrText>":""}],"</w:instrText>
      </w:r>
      <w:r w:rsidR="00A6794A">
        <w:rPr>
          <w:lang w:val="en-US"/>
        </w:rPr>
        <w:instrText>container</w:instrText>
      </w:r>
      <w:r w:rsidR="00A6794A" w:rsidRPr="00471424">
        <w:instrText>-</w:instrText>
      </w:r>
      <w:r w:rsidR="00A6794A">
        <w:rPr>
          <w:lang w:val="en-US"/>
        </w:rPr>
        <w:instrText>title</w:instrText>
      </w:r>
      <w:r w:rsidR="00A6794A" w:rsidRPr="00471424">
        <w:instrText>":"</w:instrText>
      </w:r>
      <w:r w:rsidR="00A6794A">
        <w:rPr>
          <w:lang w:val="en-US"/>
        </w:rPr>
        <w:instrText>Leukemia</w:instrText>
      </w:r>
      <w:r w:rsidR="00A6794A" w:rsidRPr="00471424">
        <w:instrText xml:space="preserve"> </w:instrText>
      </w:r>
      <w:r w:rsidR="00A6794A">
        <w:rPr>
          <w:lang w:val="en-US"/>
        </w:rPr>
        <w:instrText>and</w:instrText>
      </w:r>
      <w:r w:rsidR="00A6794A" w:rsidRPr="00471424">
        <w:instrText xml:space="preserve"> </w:instrText>
      </w:r>
      <w:r w:rsidR="00A6794A">
        <w:rPr>
          <w:lang w:val="en-US"/>
        </w:rPr>
        <w:instrText>Lymphoma</w:instrText>
      </w:r>
      <w:r w:rsidR="00A6794A" w:rsidRPr="00471424">
        <w:instrText>","</w:instrText>
      </w:r>
      <w:r w:rsidR="00A6794A">
        <w:rPr>
          <w:lang w:val="en-US"/>
        </w:rPr>
        <w:instrText>id</w:instrText>
      </w:r>
      <w:r w:rsidR="00A6794A" w:rsidRPr="00471424">
        <w:instrText>":"</w:instrText>
      </w:r>
      <w:r w:rsidR="00A6794A">
        <w:rPr>
          <w:lang w:val="en-US"/>
        </w:rPr>
        <w:instrText>ITEM</w:instrText>
      </w:r>
      <w:r w:rsidR="00A6794A" w:rsidRPr="00471424">
        <w:instrText>-1","</w:instrText>
      </w:r>
      <w:r w:rsidR="00A6794A">
        <w:rPr>
          <w:lang w:val="en-US"/>
        </w:rPr>
        <w:instrText>issue</w:instrText>
      </w:r>
      <w:r w:rsidR="00A6794A" w:rsidRPr="00471424">
        <w:instrText>":"8","</w:instrText>
      </w:r>
      <w:r w:rsidR="00A6794A">
        <w:rPr>
          <w:lang w:val="en-US"/>
        </w:rPr>
        <w:instrText>issued</w:instrText>
      </w:r>
      <w:r w:rsidR="00A6794A" w:rsidRPr="00471424">
        <w:instrText>":{"</w:instrText>
      </w:r>
      <w:r w:rsidR="00A6794A">
        <w:rPr>
          <w:lang w:val="en-US"/>
        </w:rPr>
        <w:instrText>date</w:instrText>
      </w:r>
      <w:r w:rsidR="00A6794A" w:rsidRPr="00471424">
        <w:instrText>-</w:instrText>
      </w:r>
      <w:r w:rsidR="00A6794A">
        <w:rPr>
          <w:lang w:val="en-US"/>
        </w:rPr>
        <w:instrText>parts</w:instrText>
      </w:r>
      <w:r w:rsidR="00A6794A" w:rsidRPr="00471424">
        <w:instrText>":[["2009"]]},"</w:instrText>
      </w:r>
      <w:r w:rsidR="00A6794A">
        <w:rPr>
          <w:lang w:val="en-US"/>
        </w:rPr>
        <w:instrText>page</w:instrText>
      </w:r>
      <w:r w:rsidR="00A6794A" w:rsidRPr="00471424">
        <w:instrText>":"1257-1260","</w:instrText>
      </w:r>
      <w:r w:rsidR="00A6794A">
        <w:rPr>
          <w:lang w:val="en-US"/>
        </w:rPr>
        <w:instrText>title</w:instrText>
      </w:r>
      <w:r w:rsidR="00A6794A" w:rsidRPr="00471424">
        <w:instrText>":"</w:instrText>
      </w:r>
      <w:r w:rsidR="00A6794A">
        <w:rPr>
          <w:lang w:val="en-US"/>
        </w:rPr>
        <w:instrText>Report</w:instrText>
      </w:r>
      <w:r w:rsidR="00A6794A" w:rsidRPr="00471424">
        <w:instrText xml:space="preserve"> </w:instrText>
      </w:r>
      <w:r w:rsidR="00A6794A">
        <w:rPr>
          <w:lang w:val="en-US"/>
        </w:rPr>
        <w:instrText>on</w:instrText>
      </w:r>
      <w:r w:rsidR="00A6794A" w:rsidRPr="00471424">
        <w:instrText xml:space="preserve"> </w:instrText>
      </w:r>
      <w:r w:rsidR="00A6794A">
        <w:rPr>
          <w:lang w:val="en-US"/>
        </w:rPr>
        <w:instrText>the</w:instrText>
      </w:r>
      <w:r w:rsidR="00A6794A" w:rsidRPr="00471424">
        <w:instrText xml:space="preserve"> </w:instrText>
      </w:r>
      <w:r w:rsidR="00A6794A">
        <w:rPr>
          <w:lang w:val="en-US"/>
        </w:rPr>
        <w:instrText>First</w:instrText>
      </w:r>
      <w:r w:rsidR="00A6794A" w:rsidRPr="00471424">
        <w:instrText xml:space="preserve"> </w:instrText>
      </w:r>
      <w:r w:rsidR="00A6794A">
        <w:rPr>
          <w:lang w:val="en-US"/>
        </w:rPr>
        <w:instrText>International</w:instrText>
      </w:r>
      <w:r w:rsidR="00A6794A" w:rsidRPr="00471424">
        <w:instrText xml:space="preserve"> </w:instrText>
      </w:r>
      <w:r w:rsidR="00A6794A">
        <w:rPr>
          <w:lang w:val="en-US"/>
        </w:rPr>
        <w:instrText>Workshop</w:instrText>
      </w:r>
      <w:r w:rsidR="00A6794A" w:rsidRPr="00471424">
        <w:instrText xml:space="preserve"> </w:instrText>
      </w:r>
      <w:r w:rsidR="00A6794A">
        <w:rPr>
          <w:lang w:val="en-US"/>
        </w:rPr>
        <w:instrText>on</w:instrText>
      </w:r>
      <w:r w:rsidR="00A6794A" w:rsidRPr="00471424">
        <w:instrText xml:space="preserve"> </w:instrText>
      </w:r>
      <w:r w:rsidR="00A6794A">
        <w:rPr>
          <w:lang w:val="en-US"/>
        </w:rPr>
        <w:instrText>interim</w:instrText>
      </w:r>
      <w:r w:rsidR="00A6794A" w:rsidRPr="00471424">
        <w:instrText>-</w:instrText>
      </w:r>
      <w:r w:rsidR="00A6794A">
        <w:rPr>
          <w:lang w:val="en-US"/>
        </w:rPr>
        <w:instrText>PET</w:instrText>
      </w:r>
      <w:r w:rsidR="00A6794A" w:rsidRPr="00471424">
        <w:instrText xml:space="preserve"> </w:instrText>
      </w:r>
      <w:r w:rsidR="00A6794A">
        <w:rPr>
          <w:lang w:val="en-US"/>
        </w:rPr>
        <w:instrText>scan</w:instrText>
      </w:r>
      <w:r w:rsidR="00A6794A" w:rsidRPr="00471424">
        <w:instrText xml:space="preserve"> </w:instrText>
      </w:r>
      <w:r w:rsidR="00A6794A">
        <w:rPr>
          <w:lang w:val="en-US"/>
        </w:rPr>
        <w:instrText>in</w:instrText>
      </w:r>
      <w:r w:rsidR="00A6794A" w:rsidRPr="00471424">
        <w:instrText xml:space="preserve"> </w:instrText>
      </w:r>
      <w:r w:rsidR="00A6794A">
        <w:rPr>
          <w:lang w:val="en-US"/>
        </w:rPr>
        <w:instrText>lymphoma</w:instrText>
      </w:r>
      <w:r w:rsidR="00A6794A" w:rsidRPr="00471424">
        <w:instrText>","</w:instrText>
      </w:r>
      <w:r w:rsidR="00A6794A">
        <w:rPr>
          <w:lang w:val="en-US"/>
        </w:rPr>
        <w:instrText>type</w:instrText>
      </w:r>
      <w:r w:rsidR="00A6794A" w:rsidRPr="00471424">
        <w:instrText>":"</w:instrText>
      </w:r>
      <w:r w:rsidR="00A6794A">
        <w:rPr>
          <w:lang w:val="en-US"/>
        </w:rPr>
        <w:instrText>paper</w:instrText>
      </w:r>
      <w:r w:rsidR="00A6794A" w:rsidRPr="00471424">
        <w:instrText>-</w:instrText>
      </w:r>
      <w:r w:rsidR="00A6794A">
        <w:rPr>
          <w:lang w:val="en-US"/>
        </w:rPr>
        <w:instrText>conference</w:instrText>
      </w:r>
      <w:r w:rsidR="00A6794A" w:rsidRPr="00471424">
        <w:instrText>","</w:instrText>
      </w:r>
      <w:r w:rsidR="00A6794A">
        <w:rPr>
          <w:lang w:val="en-US"/>
        </w:rPr>
        <w:instrText>volume</w:instrText>
      </w:r>
      <w:r w:rsidR="00A6794A" w:rsidRPr="00471424">
        <w:instrText>":"50"},"</w:instrText>
      </w:r>
      <w:r w:rsidR="00A6794A">
        <w:rPr>
          <w:lang w:val="en-US"/>
        </w:rPr>
        <w:instrText>uris</w:instrText>
      </w:r>
      <w:r w:rsidR="00A6794A" w:rsidRPr="00471424">
        <w:instrText>":["</w:instrText>
      </w:r>
      <w:r w:rsidR="00A6794A">
        <w:rPr>
          <w:lang w:val="en-US"/>
        </w:rPr>
        <w:instrText>http</w:instrText>
      </w:r>
      <w:r w:rsidR="00A6794A" w:rsidRPr="00471424">
        <w:instrText>://</w:instrText>
      </w:r>
      <w:r w:rsidR="00A6794A">
        <w:rPr>
          <w:lang w:val="en-US"/>
        </w:rPr>
        <w:instrText>www</w:instrText>
      </w:r>
      <w:r w:rsidR="00A6794A" w:rsidRPr="00471424">
        <w:instrText>.</w:instrText>
      </w:r>
      <w:r w:rsidR="00A6794A">
        <w:rPr>
          <w:lang w:val="en-US"/>
        </w:rPr>
        <w:instrText>mendeley</w:instrText>
      </w:r>
      <w:r w:rsidR="00A6794A" w:rsidRPr="00471424">
        <w:instrText>.</w:instrText>
      </w:r>
      <w:r w:rsidR="00A6794A">
        <w:rPr>
          <w:lang w:val="en-US"/>
        </w:rPr>
        <w:instrText>com</w:instrText>
      </w:r>
      <w:r w:rsidR="00A6794A" w:rsidRPr="00471424">
        <w:instrText>/</w:instrText>
      </w:r>
      <w:r w:rsidR="00A6794A">
        <w:rPr>
          <w:lang w:val="en-US"/>
        </w:rPr>
        <w:instrText>documents</w:instrText>
      </w:r>
      <w:r w:rsidR="00A6794A" w:rsidRPr="00471424">
        <w:instrText>/?</w:instrText>
      </w:r>
      <w:r w:rsidR="00A6794A">
        <w:rPr>
          <w:lang w:val="en-US"/>
        </w:rPr>
        <w:instrText>uuid</w:instrText>
      </w:r>
      <w:r w:rsidR="00A6794A" w:rsidRPr="00471424">
        <w:instrText>=</w:instrText>
      </w:r>
      <w:r w:rsidR="00A6794A">
        <w:rPr>
          <w:lang w:val="en-US"/>
        </w:rPr>
        <w:instrText>fc</w:instrText>
      </w:r>
      <w:r w:rsidR="00A6794A" w:rsidRPr="00471424">
        <w:instrText>9</w:instrText>
      </w:r>
      <w:r w:rsidR="00A6794A">
        <w:rPr>
          <w:lang w:val="en-US"/>
        </w:rPr>
        <w:instrText>f</w:instrText>
      </w:r>
      <w:r w:rsidR="00A6794A" w:rsidRPr="00471424">
        <w:instrText>795</w:instrText>
      </w:r>
      <w:r w:rsidR="00A6794A">
        <w:rPr>
          <w:lang w:val="en-US"/>
        </w:rPr>
        <w:instrText>a</w:instrText>
      </w:r>
      <w:r w:rsidR="00A6794A" w:rsidRPr="00471424">
        <w:instrText>-</w:instrText>
      </w:r>
      <w:r w:rsidR="00A6794A">
        <w:rPr>
          <w:lang w:val="en-US"/>
        </w:rPr>
        <w:instrText>d</w:instrText>
      </w:r>
      <w:r w:rsidR="00A6794A" w:rsidRPr="00471424">
        <w:instrText>2</w:instrText>
      </w:r>
      <w:r w:rsidR="00A6794A">
        <w:rPr>
          <w:lang w:val="en-US"/>
        </w:rPr>
        <w:instrText>b</w:instrText>
      </w:r>
      <w:r w:rsidR="00A6794A" w:rsidRPr="00471424">
        <w:instrText>4-36</w:instrText>
      </w:r>
      <w:r w:rsidR="00A6794A">
        <w:rPr>
          <w:lang w:val="en-US"/>
        </w:rPr>
        <w:instrText>db</w:instrText>
      </w:r>
      <w:r w:rsidR="00A6794A" w:rsidRPr="00471424">
        <w:instrText>-</w:instrText>
      </w:r>
      <w:r w:rsidR="00A6794A">
        <w:rPr>
          <w:lang w:val="en-US"/>
        </w:rPr>
        <w:instrText>aea</w:instrText>
      </w:r>
      <w:r w:rsidR="00A6794A" w:rsidRPr="00471424">
        <w:instrText>1-317</w:instrText>
      </w:r>
      <w:r w:rsidR="00A6794A">
        <w:rPr>
          <w:lang w:val="en-US"/>
        </w:rPr>
        <w:instrText>b</w:instrText>
      </w:r>
      <w:r w:rsidR="00A6794A" w:rsidRPr="00471424">
        <w:instrText>258251</w:instrText>
      </w:r>
      <w:r w:rsidR="00A6794A">
        <w:rPr>
          <w:lang w:val="en-US"/>
        </w:rPr>
        <w:instrText>ba</w:instrText>
      </w:r>
      <w:r w:rsidR="00A6794A" w:rsidRPr="00471424">
        <w:instrText>"]}],"</w:instrText>
      </w:r>
      <w:r w:rsidR="00A6794A">
        <w:rPr>
          <w:lang w:val="en-US"/>
        </w:rPr>
        <w:instrText>mendeley</w:instrText>
      </w:r>
      <w:r w:rsidR="00A6794A" w:rsidRPr="00471424">
        <w:instrText>":{"</w:instrText>
      </w:r>
      <w:r w:rsidR="00A6794A">
        <w:rPr>
          <w:lang w:val="en-US"/>
        </w:rPr>
        <w:instrText>formattedCitation</w:instrText>
      </w:r>
      <w:r w:rsidR="00A6794A" w:rsidRPr="00471424">
        <w:instrText>":"[260]","</w:instrText>
      </w:r>
      <w:r w:rsidR="00A6794A">
        <w:rPr>
          <w:lang w:val="en-US"/>
        </w:rPr>
        <w:instrText>plainTextFormattedCitation</w:instrText>
      </w:r>
      <w:r w:rsidR="00A6794A" w:rsidRPr="00471424">
        <w:instrText>":"[260]","</w:instrText>
      </w:r>
      <w:r w:rsidR="00A6794A">
        <w:rPr>
          <w:lang w:val="en-US"/>
        </w:rPr>
        <w:instrText>previouslyFormattedCitation</w:instrText>
      </w:r>
      <w:r w:rsidR="00A6794A" w:rsidRPr="00471424">
        <w:instrText>":"[260]"},"</w:instrText>
      </w:r>
      <w:r w:rsidR="00A6794A">
        <w:rPr>
          <w:lang w:val="en-US"/>
        </w:rPr>
        <w:instrText>properties</w:instrText>
      </w:r>
      <w:r w:rsidR="00A6794A" w:rsidRPr="00471424">
        <w:instrText>":{"</w:instrText>
      </w:r>
      <w:r w:rsidR="00A6794A">
        <w:rPr>
          <w:lang w:val="en-US"/>
        </w:rPr>
        <w:instrText>noteIndex</w:instrText>
      </w:r>
      <w:r w:rsidR="00A6794A" w:rsidRPr="00471424">
        <w:instrText>":0},"</w:instrText>
      </w:r>
      <w:r w:rsidR="00A6794A">
        <w:rPr>
          <w:lang w:val="en-US"/>
        </w:rPr>
        <w:instrText>schema</w:instrText>
      </w:r>
      <w:r w:rsidR="00A6794A" w:rsidRPr="00471424">
        <w:instrText>":"</w:instrText>
      </w:r>
      <w:r w:rsidR="00A6794A">
        <w:rPr>
          <w:lang w:val="en-US"/>
        </w:rPr>
        <w:instrText>https</w:instrText>
      </w:r>
      <w:r w:rsidR="00A6794A" w:rsidRPr="00471424">
        <w:instrText>://</w:instrText>
      </w:r>
      <w:r w:rsidR="00A6794A">
        <w:rPr>
          <w:lang w:val="en-US"/>
        </w:rPr>
        <w:instrText>github</w:instrText>
      </w:r>
      <w:r w:rsidR="00A6794A" w:rsidRPr="00471424">
        <w:instrText>.</w:instrText>
      </w:r>
      <w:r w:rsidR="00A6794A">
        <w:rPr>
          <w:lang w:val="en-US"/>
        </w:rPr>
        <w:instrText>com</w:instrText>
      </w:r>
      <w:r w:rsidR="00A6794A" w:rsidRPr="00471424">
        <w:instrText>/</w:instrText>
      </w:r>
      <w:r w:rsidR="00A6794A">
        <w:rPr>
          <w:lang w:val="en-US"/>
        </w:rPr>
        <w:instrText>citation</w:instrText>
      </w:r>
      <w:r w:rsidR="00A6794A" w:rsidRPr="00471424">
        <w:instrText>-</w:instrText>
      </w:r>
      <w:r w:rsidR="00A6794A">
        <w:rPr>
          <w:lang w:val="en-US"/>
        </w:rPr>
        <w:instrText>style</w:instrText>
      </w:r>
      <w:r w:rsidR="00A6794A" w:rsidRPr="00471424">
        <w:instrText>-</w:instrText>
      </w:r>
      <w:r w:rsidR="00A6794A">
        <w:rPr>
          <w:lang w:val="en-US"/>
        </w:rPr>
        <w:instrText>language</w:instrText>
      </w:r>
      <w:r w:rsidR="00A6794A" w:rsidRPr="00471424">
        <w:instrText>/</w:instrText>
      </w:r>
      <w:r w:rsidR="00A6794A">
        <w:rPr>
          <w:lang w:val="en-US"/>
        </w:rPr>
        <w:instrText>schema</w:instrText>
      </w:r>
      <w:r w:rsidR="00A6794A" w:rsidRPr="00471424">
        <w:instrText>/</w:instrText>
      </w:r>
      <w:r w:rsidR="00A6794A">
        <w:rPr>
          <w:lang w:val="en-US"/>
        </w:rPr>
        <w:instrText>raw</w:instrText>
      </w:r>
      <w:r w:rsidR="00A6794A" w:rsidRPr="00471424">
        <w:instrText>/</w:instrText>
      </w:r>
      <w:r w:rsidR="00A6794A">
        <w:rPr>
          <w:lang w:val="en-US"/>
        </w:rPr>
        <w:instrText>master</w:instrText>
      </w:r>
      <w:r w:rsidR="00A6794A" w:rsidRPr="00471424">
        <w:instrText>/</w:instrText>
      </w:r>
      <w:r w:rsidR="00A6794A">
        <w:rPr>
          <w:lang w:val="en-US"/>
        </w:rPr>
        <w:instrText>csl</w:instrText>
      </w:r>
      <w:r w:rsidR="00A6794A" w:rsidRPr="00471424">
        <w:instrText>-</w:instrText>
      </w:r>
      <w:r w:rsidR="00A6794A">
        <w:rPr>
          <w:lang w:val="en-US"/>
        </w:rPr>
        <w:instrText>citation</w:instrText>
      </w:r>
      <w:r w:rsidR="00A6794A" w:rsidRPr="00471424">
        <w:instrText>.</w:instrText>
      </w:r>
      <w:r w:rsidR="00A6794A">
        <w:rPr>
          <w:lang w:val="en-US"/>
        </w:rPr>
        <w:instrText>json</w:instrText>
      </w:r>
      <w:r w:rsidR="00A6794A" w:rsidRPr="00471424">
        <w:instrText>"}</w:instrText>
      </w:r>
      <w:r w:rsidRPr="000322E4">
        <w:fldChar w:fldCharType="separate"/>
      </w:r>
      <w:r w:rsidR="006E1902" w:rsidRPr="006E1902">
        <w:rPr>
          <w:noProof/>
        </w:rPr>
        <w:t>[260]</w:t>
      </w:r>
      <w:r w:rsidRPr="000322E4">
        <w:fldChar w:fldCharType="end"/>
      </w:r>
    </w:p>
    <w:p w14:paraId="1A9E3C48" w14:textId="77777777" w:rsidR="00A54C2B" w:rsidRPr="000322E4" w:rsidRDefault="00A54C2B" w:rsidP="008E3584">
      <w:pPr>
        <w:spacing w:line="360" w:lineRule="auto"/>
        <w:jc w:val="both"/>
      </w:pPr>
      <w:r w:rsidRPr="000322E4">
        <w:t>Тип: шкала оценки</w:t>
      </w:r>
    </w:p>
    <w:p w14:paraId="437B53E6" w14:textId="77777777" w:rsidR="00A54C2B" w:rsidRPr="000322E4" w:rsidRDefault="00A54C2B" w:rsidP="008E3584">
      <w:pPr>
        <w:spacing w:line="360" w:lineRule="auto"/>
        <w:jc w:val="both"/>
      </w:pPr>
      <w:r w:rsidRPr="000322E4">
        <w:t xml:space="preserve">Назначение: </w:t>
      </w:r>
      <w:r w:rsidR="00A519D4" w:rsidRPr="000322E4">
        <w:t>оценка результатов</w:t>
      </w:r>
      <w:r w:rsidR="00CE3F35" w:rsidRPr="000322E4">
        <w:t xml:space="preserve"> ПЭТ или</w:t>
      </w:r>
      <w:r w:rsidR="00A519D4" w:rsidRPr="000322E4">
        <w:t xml:space="preserve"> ПЭТ/КТ исследования</w:t>
      </w:r>
      <w:r w:rsidRPr="000322E4">
        <w:t xml:space="preserve"> </w:t>
      </w:r>
    </w:p>
    <w:p w14:paraId="6D4E6BCE" w14:textId="6E7FD91D" w:rsidR="00A54C2B" w:rsidRPr="000322E4" w:rsidRDefault="00A54C2B" w:rsidP="008E3584">
      <w:pPr>
        <w:spacing w:line="360" w:lineRule="auto"/>
        <w:jc w:val="both"/>
        <w:rPr>
          <w:bCs/>
        </w:rPr>
      </w:pPr>
      <w:r w:rsidRPr="000322E4">
        <w:rPr>
          <w:bCs/>
        </w:rPr>
        <w:lastRenderedPageBreak/>
        <w:t>Содержание и интерпретация:</w:t>
      </w:r>
      <w:r w:rsidR="00A519D4" w:rsidRPr="000322E4">
        <w:rPr>
          <w:bCs/>
        </w:rPr>
        <w:t xml:space="preserve"> </w:t>
      </w:r>
      <w:r w:rsidR="00A519D4" w:rsidRPr="000322E4">
        <w:t xml:space="preserve">для </w:t>
      </w:r>
      <w:r w:rsidRPr="000322E4">
        <w:t>стандартизации, воспроизводимости и возможности сравнения результатов</w:t>
      </w:r>
      <w:r w:rsidR="00CE3F35" w:rsidRPr="000322E4">
        <w:t xml:space="preserve"> ПЭТ или</w:t>
      </w:r>
      <w:r w:rsidRPr="000322E4">
        <w:t xml:space="preserve"> ПЭТ/КТ, полученных в различных медицинских учреждениях, при оценке эффективности лечения у </w:t>
      </w:r>
      <w:r w:rsidR="00103620" w:rsidRPr="000322E4">
        <w:t>пациентов с</w:t>
      </w:r>
      <w:r w:rsidR="00CE3F35" w:rsidRPr="000322E4">
        <w:t xml:space="preserve"> </w:t>
      </w:r>
      <w:r w:rsidRPr="000322E4">
        <w:t>лимфомами используется визуальный анализ ПЭТ-данных по 5-балльной шкале</w:t>
      </w:r>
      <w:r w:rsidR="00A519D4" w:rsidRPr="000322E4">
        <w:t xml:space="preserve"> </w:t>
      </w:r>
      <w:r w:rsidR="00A519D4" w:rsidRPr="000322E4">
        <w:fldChar w:fldCharType="begin" w:fldLock="1"/>
      </w:r>
      <w:r w:rsidR="00A6794A">
        <w:instrText>ADDIN CSL_CITATION {"citationItems":[{"id":"ITEM-1","itemData":{"DOI":"10.1080/10428190903040048","ISSN":"10428194","abstract":"An international workshop, under the auspices of Group d'Etude des Lymphomes de l'Adulte (GELA) took place in Deauville, France, in April 3-4, 2009. The European experts with a published or personal experience on interim-PET in lymphoma were invited to the meeting. The aim of the workshop was twofold: (1) to reach a consensus on simple, reproducible criteria for interim-PET interpretation in Hodgkin lymphoma and diffuse large B-cell lymphoma (DLBCL), and (2) to launch two or more international validation studies, in an attempt to validate these rules. We concisely report here the minutes of the meeting and the conclusions/statements that have been reached. © 2009 Informa UK Ltd All rights reserved.","author":[{"dropping-particle":"","family":"Meignan","given":"Michel","non-dropping-particle":"","parse-names":false,"suffix":""},{"dropping-particle":"","family":"Gallamini","given":"Andrea","non-dropping-particle":"","parse-names":false,"suffix":""},{"dropping-particle":"","family":"Haioun","given":"Corinne","non-dropping-particle":"","parse-names":false,"suffix":""}],"container-title":"Leukemia and Lymphoma","id":"ITEM-1","issue":"8","issued":{"date-parts":[["2009"]]},"page":"1257-1260","title":"Report on the First International Workshop on interim-PET scan in lymphoma","type":"paper-conference","volume":"50"},"uris":["http://www.mendeley.com/documents/?uuid=fc9f795a-d2b4-36db-aea1-317b258251ba"]}],"mendeley":{"formattedCitation":"[260]","plainTextFormattedCitation":"[260]","previouslyFormattedCitation":"[260]"},"properties":{"noteIndex":0},"schema":"https://github.com/citation-style-language/schema/raw/master/csl-citation.json"}</w:instrText>
      </w:r>
      <w:r w:rsidR="00A519D4" w:rsidRPr="000322E4">
        <w:fldChar w:fldCharType="separate"/>
      </w:r>
      <w:r w:rsidR="006E1902" w:rsidRPr="006E1902">
        <w:rPr>
          <w:noProof/>
        </w:rPr>
        <w:t>[260]</w:t>
      </w:r>
      <w:r w:rsidR="00A519D4" w:rsidRPr="000322E4">
        <w:fldChar w:fldCharType="end"/>
      </w:r>
      <w:r w:rsidRPr="000322E4">
        <w:t xml:space="preserve">. При этом интенсивность накопления 18F-ФДГ в патологическом очаге сравнивается с интенсивностью накопления препарата в неизмененных отделах средостения или в правой доле печени: </w:t>
      </w:r>
    </w:p>
    <w:p w14:paraId="748AA216" w14:textId="77777777" w:rsidR="00A54C2B" w:rsidRPr="000322E4" w:rsidRDefault="00A54C2B" w:rsidP="008E3584">
      <w:pPr>
        <w:spacing w:line="360" w:lineRule="auto"/>
        <w:ind w:left="567" w:right="-142"/>
        <w:jc w:val="both"/>
      </w:pPr>
      <w:r w:rsidRPr="000322E4">
        <w:t xml:space="preserve">1 балл – характеризуется отсутствием накопления препарата в определяемом ранее патологическом очаге; </w:t>
      </w:r>
    </w:p>
    <w:p w14:paraId="057927B2" w14:textId="77777777" w:rsidR="00A54C2B" w:rsidRPr="000322E4" w:rsidRDefault="00A54C2B" w:rsidP="008E3584">
      <w:pPr>
        <w:spacing w:line="360" w:lineRule="auto"/>
        <w:ind w:left="567" w:right="-142"/>
        <w:jc w:val="both"/>
      </w:pPr>
      <w:r w:rsidRPr="000322E4">
        <w:t xml:space="preserve">2 балла – накопление препарата в патологическом очаге не превышает по интенсивности накопление препарата в неизмененных отделах средостения; </w:t>
      </w:r>
    </w:p>
    <w:p w14:paraId="13F49B54" w14:textId="77777777" w:rsidR="00A54C2B" w:rsidRPr="000322E4" w:rsidRDefault="00A54C2B" w:rsidP="008E3584">
      <w:pPr>
        <w:spacing w:line="360" w:lineRule="auto"/>
        <w:ind w:left="567" w:right="-142"/>
        <w:jc w:val="both"/>
      </w:pPr>
      <w:r w:rsidRPr="000322E4">
        <w:t xml:space="preserve">3 балла – накопление препарата в патологическом очаге выше, чем в средостении, но не превышает накопление препарата в правой доле печени; </w:t>
      </w:r>
    </w:p>
    <w:p w14:paraId="29F799D1" w14:textId="77777777" w:rsidR="00A54C2B" w:rsidRPr="000322E4" w:rsidRDefault="00A54C2B" w:rsidP="008E3584">
      <w:pPr>
        <w:spacing w:line="360" w:lineRule="auto"/>
        <w:ind w:left="567" w:right="-142"/>
        <w:jc w:val="both"/>
      </w:pPr>
      <w:r w:rsidRPr="000322E4">
        <w:t xml:space="preserve">4 балла – накопление препарата в патологическом очаге несколько выше, чем в печени; </w:t>
      </w:r>
    </w:p>
    <w:p w14:paraId="1AD4B886" w14:textId="77777777" w:rsidR="00A54C2B" w:rsidRPr="000322E4" w:rsidRDefault="00A54C2B" w:rsidP="008E3584">
      <w:pPr>
        <w:spacing w:line="360" w:lineRule="auto"/>
        <w:ind w:left="567" w:right="-142"/>
        <w:jc w:val="both"/>
      </w:pPr>
      <w:r w:rsidRPr="000322E4">
        <w:t xml:space="preserve">5 баллов – накопление препарата в патологическом очаге значительно выше, чем в печени, или определяется появление новых патологических очагов, связанных с заболеванием. </w:t>
      </w:r>
    </w:p>
    <w:p w14:paraId="6DB7BF19" w14:textId="77777777" w:rsidR="00A54C2B" w:rsidRPr="000322E4" w:rsidRDefault="00A54C2B" w:rsidP="008E3584">
      <w:pPr>
        <w:spacing w:line="360" w:lineRule="auto"/>
        <w:ind w:right="-142" w:firstLine="567"/>
        <w:jc w:val="both"/>
      </w:pPr>
      <w:r w:rsidRPr="000322E4">
        <w:t>Также введено понятие Х-баллов, характеризующих наличие очагов накопления 18F-ФДГ неясного, скорее воспалительного генеза, связь которых с основным заболеванием маловероятна.</w:t>
      </w:r>
    </w:p>
    <w:p w14:paraId="3D2B1ACB" w14:textId="77777777" w:rsidR="00A54C2B" w:rsidRPr="000322E4" w:rsidRDefault="00A54C2B" w:rsidP="008E3584">
      <w:pPr>
        <w:spacing w:line="360" w:lineRule="auto"/>
        <w:ind w:right="-142" w:firstLine="567"/>
        <w:jc w:val="both"/>
      </w:pPr>
      <w:r w:rsidRPr="000322E4">
        <w:t>Интерпретация результатов ПЭТ</w:t>
      </w:r>
      <w:r w:rsidR="00CE3F35" w:rsidRPr="000322E4">
        <w:t xml:space="preserve"> или ПЭТ/КТ</w:t>
      </w:r>
      <w:r w:rsidRPr="000322E4">
        <w:t xml:space="preserve"> по шкале Deauville проводится комплексно с учетом клинических и исходных ПЭТ-данных, этапа лечения, а также других показателей ответа на лечение. </w:t>
      </w:r>
    </w:p>
    <w:p w14:paraId="39AFA933" w14:textId="77777777" w:rsidR="00A54C2B" w:rsidRPr="000322E4" w:rsidRDefault="00A54C2B" w:rsidP="00CA442F">
      <w:pPr>
        <w:pStyle w:val="afffb"/>
        <w:ind w:firstLine="0"/>
      </w:pPr>
    </w:p>
    <w:p w14:paraId="22FADFFF" w14:textId="77777777" w:rsidR="00F82D52" w:rsidRPr="000322E4" w:rsidRDefault="00F82D52" w:rsidP="008E3584">
      <w:pPr>
        <w:pStyle w:val="2"/>
        <w:spacing w:before="0"/>
      </w:pPr>
      <w:bookmarkStart w:id="143" w:name="_Toc96601279"/>
      <w:r w:rsidRPr="000322E4">
        <w:t>Приложение Г3. Шкала Khorana для оценки риска ВТЭО у пациентов, получающих химиотерапию</w:t>
      </w:r>
      <w:bookmarkEnd w:id="143"/>
      <w:r w:rsidRPr="000322E4">
        <w:t xml:space="preserve">  </w:t>
      </w:r>
    </w:p>
    <w:p w14:paraId="0D7004A5" w14:textId="77777777" w:rsidR="00F82D52" w:rsidRPr="000322E4" w:rsidRDefault="00F82D52" w:rsidP="008E3584">
      <w:pPr>
        <w:spacing w:line="360" w:lineRule="auto"/>
        <w:jc w:val="both"/>
        <w:rPr>
          <w:lang w:val="en-US"/>
        </w:rPr>
      </w:pPr>
      <w:r w:rsidRPr="000322E4">
        <w:t>Оригинальное</w:t>
      </w:r>
      <w:r w:rsidRPr="000322E4">
        <w:rPr>
          <w:lang w:val="en-US"/>
        </w:rPr>
        <w:t xml:space="preserve"> </w:t>
      </w:r>
      <w:r w:rsidRPr="000322E4">
        <w:t>название</w:t>
      </w:r>
      <w:r w:rsidRPr="000322E4">
        <w:rPr>
          <w:lang w:val="en-US"/>
        </w:rPr>
        <w:t xml:space="preserve">: </w:t>
      </w:r>
    </w:p>
    <w:p w14:paraId="1D6EDA9A" w14:textId="2CADF6EC" w:rsidR="00F82D52" w:rsidRPr="000322E4" w:rsidRDefault="00F82D52" w:rsidP="008E3584">
      <w:pPr>
        <w:spacing w:line="360" w:lineRule="auto"/>
        <w:jc w:val="both"/>
      </w:pPr>
      <w:r w:rsidRPr="000322E4">
        <w:t>Источник</w:t>
      </w:r>
      <w:r w:rsidRPr="000322E4">
        <w:rPr>
          <w:lang w:val="en-US"/>
        </w:rPr>
        <w:t xml:space="preserve">: </w:t>
      </w:r>
      <w:r w:rsidRPr="000322E4">
        <w:rPr>
          <w:rFonts w:eastAsia="ArialNarrow"/>
          <w:lang w:val="en-US"/>
        </w:rPr>
        <w:t>Development and Validation of a predictive model for chemotherapyassociated thrombosis. Blood</w:t>
      </w:r>
      <w:r w:rsidRPr="000322E4">
        <w:rPr>
          <w:rFonts w:eastAsia="ArialNarrow"/>
        </w:rPr>
        <w:t>. 2008;111(10):4902-4907</w:t>
      </w:r>
      <w:r w:rsidRPr="000322E4">
        <w:t xml:space="preserve"> </w:t>
      </w:r>
      <w:r w:rsidRPr="000322E4">
        <w:fldChar w:fldCharType="begin" w:fldLock="1"/>
      </w:r>
      <w:r w:rsidR="00A6794A">
        <w:rPr>
          <w:lang w:val="en-US"/>
        </w:rPr>
        <w:instrText>ADDIN</w:instrText>
      </w:r>
      <w:r w:rsidR="00A6794A" w:rsidRPr="00471424">
        <w:instrText xml:space="preserve"> </w:instrText>
      </w:r>
      <w:r w:rsidR="00A6794A">
        <w:rPr>
          <w:lang w:val="en-US"/>
        </w:rPr>
        <w:instrText>CSL</w:instrText>
      </w:r>
      <w:r w:rsidR="00A6794A" w:rsidRPr="00471424">
        <w:instrText>_</w:instrText>
      </w:r>
      <w:r w:rsidR="00A6794A">
        <w:rPr>
          <w:lang w:val="en-US"/>
        </w:rPr>
        <w:instrText>CITATION</w:instrText>
      </w:r>
      <w:r w:rsidR="00A6794A" w:rsidRPr="00471424">
        <w:instrText xml:space="preserve"> {"</w:instrText>
      </w:r>
      <w:r w:rsidR="00A6794A">
        <w:rPr>
          <w:lang w:val="en-US"/>
        </w:rPr>
        <w:instrText>citationItems</w:instrText>
      </w:r>
      <w:r w:rsidR="00A6794A" w:rsidRPr="00471424">
        <w:instrText>":[{"</w:instrText>
      </w:r>
      <w:r w:rsidR="00A6794A">
        <w:rPr>
          <w:lang w:val="en-US"/>
        </w:rPr>
        <w:instrText>id</w:instrText>
      </w:r>
      <w:r w:rsidR="00A6794A" w:rsidRPr="00471424">
        <w:instrText>":"</w:instrText>
      </w:r>
      <w:r w:rsidR="00A6794A">
        <w:rPr>
          <w:lang w:val="en-US"/>
        </w:rPr>
        <w:instrText>ITEM</w:instrText>
      </w:r>
      <w:r w:rsidR="00A6794A" w:rsidRPr="00471424">
        <w:instrText>-1","</w:instrText>
      </w:r>
      <w:r w:rsidR="00A6794A">
        <w:rPr>
          <w:lang w:val="en-US"/>
        </w:rPr>
        <w:instrText>itemData</w:instrText>
      </w:r>
      <w:r w:rsidR="00A6794A" w:rsidRPr="00471424">
        <w:instrText>":{"</w:instrText>
      </w:r>
      <w:r w:rsidR="00A6794A">
        <w:rPr>
          <w:lang w:val="en-US"/>
        </w:rPr>
        <w:instrText>DOI</w:instrText>
      </w:r>
      <w:r w:rsidR="00A6794A" w:rsidRPr="00471424">
        <w:instrText>":"10.1182/</w:instrText>
      </w:r>
      <w:r w:rsidR="00A6794A">
        <w:rPr>
          <w:lang w:val="en-US"/>
        </w:rPr>
        <w:instrText>blood</w:instrText>
      </w:r>
      <w:r w:rsidR="00A6794A" w:rsidRPr="00471424">
        <w:instrText>-2007-10-116327","</w:instrText>
      </w:r>
      <w:r w:rsidR="00A6794A">
        <w:rPr>
          <w:lang w:val="en-US"/>
        </w:rPr>
        <w:instrText>ISSN</w:instrText>
      </w:r>
      <w:r w:rsidR="00A6794A" w:rsidRPr="00471424">
        <w:instrText>":"00064971","</w:instrText>
      </w:r>
      <w:r w:rsidR="00A6794A">
        <w:rPr>
          <w:lang w:val="en-US"/>
        </w:rPr>
        <w:instrText>abstract</w:instrText>
      </w:r>
      <w:r w:rsidR="00A6794A" w:rsidRPr="00471424">
        <w:instrText>":"</w:instrText>
      </w:r>
      <w:r w:rsidR="00A6794A">
        <w:rPr>
          <w:lang w:val="en-US"/>
        </w:rPr>
        <w:instrText>Risk</w:instrText>
      </w:r>
      <w:r w:rsidR="00A6794A" w:rsidRPr="00471424">
        <w:instrText xml:space="preserve"> </w:instrText>
      </w:r>
      <w:r w:rsidR="00A6794A">
        <w:rPr>
          <w:lang w:val="en-US"/>
        </w:rPr>
        <w:instrText>of</w:instrText>
      </w:r>
      <w:r w:rsidR="00A6794A" w:rsidRPr="00471424">
        <w:instrText xml:space="preserve"> </w:instrText>
      </w:r>
      <w:r w:rsidR="00A6794A">
        <w:rPr>
          <w:lang w:val="en-US"/>
        </w:rPr>
        <w:instrText>venous</w:instrText>
      </w:r>
      <w:r w:rsidR="00A6794A" w:rsidRPr="00471424">
        <w:instrText xml:space="preserve"> </w:instrText>
      </w:r>
      <w:r w:rsidR="00A6794A">
        <w:rPr>
          <w:lang w:val="en-US"/>
        </w:rPr>
        <w:instrText>thromboembolism</w:instrText>
      </w:r>
      <w:r w:rsidR="00A6794A" w:rsidRPr="00471424">
        <w:instrText xml:space="preserve"> (</w:instrText>
      </w:r>
      <w:r w:rsidR="00A6794A">
        <w:rPr>
          <w:lang w:val="en-US"/>
        </w:rPr>
        <w:instrText>VTE</w:instrText>
      </w:r>
      <w:r w:rsidR="00A6794A" w:rsidRPr="00471424">
        <w:instrText xml:space="preserve">) </w:instrText>
      </w:r>
      <w:r w:rsidR="00A6794A">
        <w:rPr>
          <w:lang w:val="en-US"/>
        </w:rPr>
        <w:instrText>is</w:instrText>
      </w:r>
      <w:r w:rsidR="00A6794A" w:rsidRPr="00471424">
        <w:instrText xml:space="preserve"> </w:instrText>
      </w:r>
      <w:r w:rsidR="00A6794A">
        <w:rPr>
          <w:lang w:val="en-US"/>
        </w:rPr>
        <w:instrText>elevated</w:instrText>
      </w:r>
      <w:r w:rsidR="00A6794A" w:rsidRPr="00471424">
        <w:instrText xml:space="preserve"> </w:instrText>
      </w:r>
      <w:r w:rsidR="00A6794A">
        <w:rPr>
          <w:lang w:val="en-US"/>
        </w:rPr>
        <w:instrText>in</w:instrText>
      </w:r>
      <w:r w:rsidR="00A6794A" w:rsidRPr="00471424">
        <w:instrText xml:space="preserve"> </w:instrText>
      </w:r>
      <w:r w:rsidR="00A6794A">
        <w:rPr>
          <w:lang w:val="en-US"/>
        </w:rPr>
        <w:instrText>cancer</w:instrText>
      </w:r>
      <w:r w:rsidR="00A6794A" w:rsidRPr="00471424">
        <w:instrText xml:space="preserve">, </w:instrText>
      </w:r>
      <w:r w:rsidR="00A6794A">
        <w:rPr>
          <w:lang w:val="en-US"/>
        </w:rPr>
        <w:instrText>but</w:instrText>
      </w:r>
      <w:r w:rsidR="00A6794A" w:rsidRPr="00471424">
        <w:instrText xml:space="preserve"> </w:instrText>
      </w:r>
      <w:r w:rsidR="00A6794A">
        <w:rPr>
          <w:lang w:val="en-US"/>
        </w:rPr>
        <w:instrText>individual</w:instrText>
      </w:r>
      <w:r w:rsidR="00A6794A" w:rsidRPr="00471424">
        <w:instrText xml:space="preserve"> </w:instrText>
      </w:r>
      <w:r w:rsidR="00A6794A">
        <w:rPr>
          <w:lang w:val="en-US"/>
        </w:rPr>
        <w:instrText>risk</w:instrText>
      </w:r>
      <w:r w:rsidR="00A6794A" w:rsidRPr="00471424">
        <w:instrText xml:space="preserve"> </w:instrText>
      </w:r>
      <w:r w:rsidR="00A6794A">
        <w:rPr>
          <w:lang w:val="en-US"/>
        </w:rPr>
        <w:instrText>factors</w:instrText>
      </w:r>
      <w:r w:rsidR="00A6794A" w:rsidRPr="00471424">
        <w:instrText xml:space="preserve"> </w:instrText>
      </w:r>
      <w:r w:rsidR="00A6794A">
        <w:rPr>
          <w:lang w:val="en-US"/>
        </w:rPr>
        <w:instrText>cannot</w:instrText>
      </w:r>
      <w:r w:rsidR="00A6794A" w:rsidRPr="00471424">
        <w:instrText xml:space="preserve"> </w:instrText>
      </w:r>
      <w:r w:rsidR="00A6794A">
        <w:rPr>
          <w:lang w:val="en-US"/>
        </w:rPr>
        <w:instrText>identify</w:instrText>
      </w:r>
      <w:r w:rsidR="00A6794A" w:rsidRPr="00471424">
        <w:instrText xml:space="preserve"> </w:instrText>
      </w:r>
      <w:r w:rsidR="00A6794A">
        <w:rPr>
          <w:lang w:val="en-US"/>
        </w:rPr>
        <w:instrText>a</w:instrText>
      </w:r>
      <w:r w:rsidR="00A6794A" w:rsidRPr="00471424">
        <w:instrText xml:space="preserve"> </w:instrText>
      </w:r>
      <w:r w:rsidR="00A6794A">
        <w:rPr>
          <w:lang w:val="en-US"/>
        </w:rPr>
        <w:instrText>sufficiently</w:instrText>
      </w:r>
      <w:r w:rsidR="00A6794A" w:rsidRPr="00471424">
        <w:instrText xml:space="preserve"> </w:instrText>
      </w:r>
      <w:r w:rsidR="00A6794A">
        <w:rPr>
          <w:lang w:val="en-US"/>
        </w:rPr>
        <w:instrText>high</w:instrText>
      </w:r>
      <w:r w:rsidR="00A6794A" w:rsidRPr="00471424">
        <w:instrText xml:space="preserve">- </w:instrText>
      </w:r>
      <w:r w:rsidR="00A6794A">
        <w:rPr>
          <w:lang w:val="en-US"/>
        </w:rPr>
        <w:instrText>risk</w:instrText>
      </w:r>
      <w:r w:rsidR="00A6794A" w:rsidRPr="00471424">
        <w:instrText xml:space="preserve"> </w:instrText>
      </w:r>
      <w:r w:rsidR="00A6794A">
        <w:rPr>
          <w:lang w:val="en-US"/>
        </w:rPr>
        <w:instrText>group</w:instrText>
      </w:r>
      <w:r w:rsidR="00A6794A" w:rsidRPr="00471424">
        <w:instrText xml:space="preserve"> </w:instrText>
      </w:r>
      <w:r w:rsidR="00A6794A">
        <w:rPr>
          <w:lang w:val="en-US"/>
        </w:rPr>
        <w:instrText>of</w:instrText>
      </w:r>
      <w:r w:rsidR="00A6794A" w:rsidRPr="00471424">
        <w:instrText xml:space="preserve"> </w:instrText>
      </w:r>
      <w:r w:rsidR="00A6794A">
        <w:rPr>
          <w:lang w:val="en-US"/>
        </w:rPr>
        <w:instrText>outpatients</w:instrText>
      </w:r>
      <w:r w:rsidR="00A6794A" w:rsidRPr="00471424">
        <w:instrText xml:space="preserve"> </w:instrText>
      </w:r>
      <w:r w:rsidR="00A6794A">
        <w:rPr>
          <w:lang w:val="en-US"/>
        </w:rPr>
        <w:instrText>for</w:instrText>
      </w:r>
      <w:r w:rsidR="00A6794A" w:rsidRPr="00471424">
        <w:instrText xml:space="preserve"> </w:instrText>
      </w:r>
      <w:r w:rsidR="00A6794A">
        <w:rPr>
          <w:lang w:val="en-US"/>
        </w:rPr>
        <w:instrText>thromboprophylaxis</w:instrText>
      </w:r>
      <w:r w:rsidR="00A6794A" w:rsidRPr="00471424">
        <w:instrText xml:space="preserve">. </w:instrText>
      </w:r>
      <w:r w:rsidR="00A6794A">
        <w:rPr>
          <w:lang w:val="en-US"/>
        </w:rPr>
        <w:instrText>We</w:instrText>
      </w:r>
      <w:r w:rsidR="00A6794A" w:rsidRPr="00471424">
        <w:instrText xml:space="preserve"> </w:instrText>
      </w:r>
      <w:r w:rsidR="00A6794A">
        <w:rPr>
          <w:lang w:val="en-US"/>
        </w:rPr>
        <w:instrText>developed</w:instrText>
      </w:r>
      <w:r w:rsidR="00A6794A" w:rsidRPr="00471424">
        <w:instrText xml:space="preserve"> </w:instrText>
      </w:r>
      <w:r w:rsidR="00A6794A">
        <w:rPr>
          <w:lang w:val="en-US"/>
        </w:rPr>
        <w:instrText>a</w:instrText>
      </w:r>
      <w:r w:rsidR="00A6794A" w:rsidRPr="00471424">
        <w:instrText xml:space="preserve"> </w:instrText>
      </w:r>
      <w:r w:rsidR="00A6794A">
        <w:rPr>
          <w:lang w:val="en-US"/>
        </w:rPr>
        <w:instrText>simple</w:instrText>
      </w:r>
      <w:r w:rsidR="00A6794A" w:rsidRPr="00471424">
        <w:instrText xml:space="preserve"> </w:instrText>
      </w:r>
      <w:r w:rsidR="00A6794A">
        <w:rPr>
          <w:lang w:val="en-US"/>
        </w:rPr>
        <w:instrText>model</w:instrText>
      </w:r>
      <w:r w:rsidR="00A6794A" w:rsidRPr="00471424">
        <w:instrText xml:space="preserve"> </w:instrText>
      </w:r>
      <w:r w:rsidR="00A6794A">
        <w:rPr>
          <w:lang w:val="en-US"/>
        </w:rPr>
        <w:instrText>for</w:instrText>
      </w:r>
      <w:r w:rsidR="00A6794A" w:rsidRPr="00471424">
        <w:instrText xml:space="preserve"> </w:instrText>
      </w:r>
      <w:r w:rsidR="00A6794A">
        <w:rPr>
          <w:lang w:val="en-US"/>
        </w:rPr>
        <w:instrText>predicting</w:instrText>
      </w:r>
      <w:r w:rsidR="00A6794A" w:rsidRPr="00471424">
        <w:instrText xml:space="preserve"> </w:instrText>
      </w:r>
      <w:r w:rsidR="00A6794A">
        <w:rPr>
          <w:lang w:val="en-US"/>
        </w:rPr>
        <w:instrText>chemotherapy</w:instrText>
      </w:r>
      <w:r w:rsidR="00A6794A" w:rsidRPr="00471424">
        <w:instrText>-</w:instrText>
      </w:r>
      <w:r w:rsidR="00A6794A">
        <w:rPr>
          <w:lang w:val="en-US"/>
        </w:rPr>
        <w:instrText>associated</w:instrText>
      </w:r>
      <w:r w:rsidR="00A6794A" w:rsidRPr="00471424">
        <w:instrText xml:space="preserve"> </w:instrText>
      </w:r>
      <w:r w:rsidR="00A6794A">
        <w:rPr>
          <w:lang w:val="en-US"/>
        </w:rPr>
        <w:instrText>VTE</w:instrText>
      </w:r>
      <w:r w:rsidR="00A6794A" w:rsidRPr="00471424">
        <w:instrText xml:space="preserve"> </w:instrText>
      </w:r>
      <w:r w:rsidR="00A6794A">
        <w:rPr>
          <w:lang w:val="en-US"/>
        </w:rPr>
        <w:instrText>using</w:instrText>
      </w:r>
      <w:r w:rsidR="00A6794A" w:rsidRPr="00471424">
        <w:instrText xml:space="preserve"> </w:instrText>
      </w:r>
      <w:r w:rsidR="00A6794A">
        <w:rPr>
          <w:lang w:val="en-US"/>
        </w:rPr>
        <w:instrText>baseline</w:instrText>
      </w:r>
      <w:r w:rsidR="00A6794A" w:rsidRPr="00471424">
        <w:instrText xml:space="preserve"> </w:instrText>
      </w:r>
      <w:r w:rsidR="00A6794A">
        <w:rPr>
          <w:lang w:val="en-US"/>
        </w:rPr>
        <w:instrText>clinical</w:instrText>
      </w:r>
      <w:r w:rsidR="00A6794A" w:rsidRPr="00471424">
        <w:instrText xml:space="preserve"> </w:instrText>
      </w:r>
      <w:r w:rsidR="00A6794A">
        <w:rPr>
          <w:lang w:val="en-US"/>
        </w:rPr>
        <w:instrText>and</w:instrText>
      </w:r>
      <w:r w:rsidR="00A6794A" w:rsidRPr="00471424">
        <w:instrText xml:space="preserve"> </w:instrText>
      </w:r>
      <w:r w:rsidR="00A6794A">
        <w:rPr>
          <w:lang w:val="en-US"/>
        </w:rPr>
        <w:instrText>laboratory</w:instrText>
      </w:r>
      <w:r w:rsidR="00A6794A" w:rsidRPr="00471424">
        <w:instrText xml:space="preserve"> </w:instrText>
      </w:r>
      <w:r w:rsidR="00A6794A">
        <w:rPr>
          <w:lang w:val="en-US"/>
        </w:rPr>
        <w:instrText>variables</w:instrText>
      </w:r>
      <w:r w:rsidR="00A6794A" w:rsidRPr="00471424">
        <w:instrText xml:space="preserve">. </w:instrText>
      </w:r>
      <w:r w:rsidR="00A6794A">
        <w:rPr>
          <w:lang w:val="en-US"/>
        </w:rPr>
        <w:instrText>The</w:instrText>
      </w:r>
      <w:r w:rsidR="00A6794A" w:rsidRPr="00471424">
        <w:instrText xml:space="preserve"> </w:instrText>
      </w:r>
      <w:r w:rsidR="00A6794A">
        <w:rPr>
          <w:lang w:val="en-US"/>
        </w:rPr>
        <w:instrText>association</w:instrText>
      </w:r>
      <w:r w:rsidR="00A6794A" w:rsidRPr="00471424">
        <w:instrText xml:space="preserve"> </w:instrText>
      </w:r>
      <w:r w:rsidR="00A6794A">
        <w:rPr>
          <w:lang w:val="en-US"/>
        </w:rPr>
        <w:instrText>of</w:instrText>
      </w:r>
      <w:r w:rsidR="00A6794A" w:rsidRPr="00471424">
        <w:instrText xml:space="preserve"> </w:instrText>
      </w:r>
      <w:r w:rsidR="00A6794A">
        <w:rPr>
          <w:lang w:val="en-US"/>
        </w:rPr>
        <w:instrText>VTE</w:instrText>
      </w:r>
      <w:r w:rsidR="00A6794A" w:rsidRPr="00471424">
        <w:instrText xml:space="preserve"> </w:instrText>
      </w:r>
      <w:r w:rsidR="00A6794A">
        <w:rPr>
          <w:lang w:val="en-US"/>
        </w:rPr>
        <w:instrText>with</w:instrText>
      </w:r>
      <w:r w:rsidR="00A6794A" w:rsidRPr="00471424">
        <w:instrText xml:space="preserve"> </w:instrText>
      </w:r>
      <w:r w:rsidR="00A6794A">
        <w:rPr>
          <w:lang w:val="en-US"/>
        </w:rPr>
        <w:instrText>multiple</w:instrText>
      </w:r>
      <w:r w:rsidR="00A6794A" w:rsidRPr="00471424">
        <w:instrText xml:space="preserve"> </w:instrText>
      </w:r>
      <w:r w:rsidR="00A6794A">
        <w:rPr>
          <w:lang w:val="en-US"/>
        </w:rPr>
        <w:instrText>variables</w:instrText>
      </w:r>
      <w:r w:rsidR="00A6794A" w:rsidRPr="00471424">
        <w:instrText xml:space="preserve"> </w:instrText>
      </w:r>
      <w:r w:rsidR="00A6794A">
        <w:rPr>
          <w:lang w:val="en-US"/>
        </w:rPr>
        <w:instrText>was</w:instrText>
      </w:r>
      <w:r w:rsidR="00A6794A" w:rsidRPr="00471424">
        <w:instrText xml:space="preserve"> </w:instrText>
      </w:r>
      <w:r w:rsidR="00A6794A">
        <w:rPr>
          <w:lang w:val="en-US"/>
        </w:rPr>
        <w:instrText>characterized</w:instrText>
      </w:r>
      <w:r w:rsidR="00A6794A" w:rsidRPr="00471424">
        <w:instrText xml:space="preserve"> </w:instrText>
      </w:r>
      <w:r w:rsidR="00A6794A">
        <w:rPr>
          <w:lang w:val="en-US"/>
        </w:rPr>
        <w:instrText>in</w:instrText>
      </w:r>
      <w:r w:rsidR="00A6794A" w:rsidRPr="00471424">
        <w:instrText xml:space="preserve"> </w:instrText>
      </w:r>
      <w:r w:rsidR="00A6794A">
        <w:rPr>
          <w:lang w:val="en-US"/>
        </w:rPr>
        <w:instrText>a</w:instrText>
      </w:r>
      <w:r w:rsidR="00A6794A" w:rsidRPr="00471424">
        <w:instrText xml:space="preserve"> </w:instrText>
      </w:r>
      <w:r w:rsidR="00A6794A">
        <w:rPr>
          <w:lang w:val="en-US"/>
        </w:rPr>
        <w:instrText>derivation</w:instrText>
      </w:r>
      <w:r w:rsidR="00A6794A" w:rsidRPr="00471424">
        <w:instrText xml:space="preserve"> </w:instrText>
      </w:r>
      <w:r w:rsidR="00A6794A">
        <w:rPr>
          <w:lang w:val="en-US"/>
        </w:rPr>
        <w:instrText>cohort</w:instrText>
      </w:r>
      <w:r w:rsidR="00A6794A" w:rsidRPr="00471424">
        <w:instrText xml:space="preserve"> </w:instrText>
      </w:r>
      <w:r w:rsidR="00A6794A">
        <w:rPr>
          <w:lang w:val="en-US"/>
        </w:rPr>
        <w:instrText>of</w:instrText>
      </w:r>
      <w:r w:rsidR="00A6794A" w:rsidRPr="00471424">
        <w:instrText xml:space="preserve"> 2701 </w:instrText>
      </w:r>
      <w:r w:rsidR="00A6794A">
        <w:rPr>
          <w:lang w:val="en-US"/>
        </w:rPr>
        <w:instrText>cancer</w:instrText>
      </w:r>
      <w:r w:rsidR="00A6794A" w:rsidRPr="00471424">
        <w:instrText xml:space="preserve"> </w:instrText>
      </w:r>
      <w:r w:rsidR="00A6794A">
        <w:rPr>
          <w:lang w:val="en-US"/>
        </w:rPr>
        <w:instrText>outpatients</w:instrText>
      </w:r>
      <w:r w:rsidR="00A6794A" w:rsidRPr="00471424">
        <w:instrText xml:space="preserve"> </w:instrText>
      </w:r>
      <w:r w:rsidR="00A6794A">
        <w:rPr>
          <w:lang w:val="en-US"/>
        </w:rPr>
        <w:instrText>from</w:instrText>
      </w:r>
      <w:r w:rsidR="00A6794A" w:rsidRPr="00471424">
        <w:instrText xml:space="preserve"> </w:instrText>
      </w:r>
      <w:r w:rsidR="00A6794A">
        <w:rPr>
          <w:lang w:val="en-US"/>
        </w:rPr>
        <w:instrText>a</w:instrText>
      </w:r>
      <w:r w:rsidR="00A6794A" w:rsidRPr="00471424">
        <w:instrText xml:space="preserve"> </w:instrText>
      </w:r>
      <w:r w:rsidR="00A6794A">
        <w:rPr>
          <w:lang w:val="en-US"/>
        </w:rPr>
        <w:instrText>prospective</w:instrText>
      </w:r>
      <w:r w:rsidR="00A6794A" w:rsidRPr="00471424">
        <w:instrText xml:space="preserve"> </w:instrText>
      </w:r>
      <w:r w:rsidR="00A6794A">
        <w:rPr>
          <w:lang w:val="en-US"/>
        </w:rPr>
        <w:instrText>observational</w:instrText>
      </w:r>
      <w:r w:rsidR="00A6794A" w:rsidRPr="00471424">
        <w:instrText xml:space="preserve"> </w:instrText>
      </w:r>
      <w:r w:rsidR="00A6794A">
        <w:rPr>
          <w:lang w:val="en-US"/>
        </w:rPr>
        <w:instrText>study</w:instrText>
      </w:r>
      <w:r w:rsidR="00A6794A" w:rsidRPr="00471424">
        <w:instrText xml:space="preserve">. </w:instrText>
      </w:r>
      <w:r w:rsidR="00A6794A">
        <w:rPr>
          <w:lang w:val="en-US"/>
        </w:rPr>
        <w:instrText>A</w:instrText>
      </w:r>
      <w:r w:rsidR="00A6794A" w:rsidRPr="00471424">
        <w:instrText xml:space="preserve"> </w:instrText>
      </w:r>
      <w:r w:rsidR="00A6794A">
        <w:rPr>
          <w:lang w:val="en-US"/>
        </w:rPr>
        <w:instrText>risk</w:instrText>
      </w:r>
      <w:r w:rsidR="00A6794A" w:rsidRPr="00471424">
        <w:instrText xml:space="preserve"> </w:instrText>
      </w:r>
      <w:r w:rsidR="00A6794A">
        <w:rPr>
          <w:lang w:val="en-US"/>
        </w:rPr>
        <w:instrText>model</w:instrText>
      </w:r>
      <w:r w:rsidR="00A6794A" w:rsidRPr="00471424">
        <w:instrText xml:space="preserve"> </w:instrText>
      </w:r>
      <w:r w:rsidR="00A6794A">
        <w:rPr>
          <w:lang w:val="en-US"/>
        </w:rPr>
        <w:instrText>was</w:instrText>
      </w:r>
      <w:r w:rsidR="00A6794A" w:rsidRPr="00471424">
        <w:instrText xml:space="preserve"> </w:instrText>
      </w:r>
      <w:r w:rsidR="00A6794A">
        <w:rPr>
          <w:lang w:val="en-US"/>
        </w:rPr>
        <w:instrText>derived</w:instrText>
      </w:r>
      <w:r w:rsidR="00A6794A" w:rsidRPr="00471424">
        <w:instrText xml:space="preserve"> </w:instrText>
      </w:r>
      <w:r w:rsidR="00A6794A">
        <w:rPr>
          <w:lang w:val="en-US"/>
        </w:rPr>
        <w:instrText>and</w:instrText>
      </w:r>
      <w:r w:rsidR="00A6794A" w:rsidRPr="00471424">
        <w:instrText xml:space="preserve"> </w:instrText>
      </w:r>
      <w:r w:rsidR="00A6794A">
        <w:rPr>
          <w:lang w:val="en-US"/>
        </w:rPr>
        <w:instrText>validated</w:instrText>
      </w:r>
      <w:r w:rsidR="00A6794A" w:rsidRPr="00471424">
        <w:instrText xml:space="preserve"> </w:instrText>
      </w:r>
      <w:r w:rsidR="00A6794A">
        <w:rPr>
          <w:lang w:val="en-US"/>
        </w:rPr>
        <w:instrText>in</w:instrText>
      </w:r>
      <w:r w:rsidR="00A6794A" w:rsidRPr="00471424">
        <w:instrText xml:space="preserve"> </w:instrText>
      </w:r>
      <w:r w:rsidR="00A6794A">
        <w:rPr>
          <w:lang w:val="en-US"/>
        </w:rPr>
        <w:instrText>an</w:instrText>
      </w:r>
      <w:r w:rsidR="00A6794A" w:rsidRPr="00471424">
        <w:instrText xml:space="preserve"> </w:instrText>
      </w:r>
      <w:r w:rsidR="00A6794A">
        <w:rPr>
          <w:lang w:val="en-US"/>
        </w:rPr>
        <w:instrText>independent</w:instrText>
      </w:r>
      <w:r w:rsidR="00A6794A" w:rsidRPr="00471424">
        <w:instrText xml:space="preserve"> </w:instrText>
      </w:r>
      <w:r w:rsidR="00A6794A">
        <w:rPr>
          <w:lang w:val="en-US"/>
        </w:rPr>
        <w:instrText>cohort</w:instrText>
      </w:r>
      <w:r w:rsidR="00A6794A" w:rsidRPr="00471424">
        <w:instrText xml:space="preserve"> </w:instrText>
      </w:r>
      <w:r w:rsidR="00A6794A">
        <w:rPr>
          <w:lang w:val="en-US"/>
        </w:rPr>
        <w:instrText>of</w:instrText>
      </w:r>
      <w:r w:rsidR="00A6794A" w:rsidRPr="00471424">
        <w:instrText xml:space="preserve"> 1365 </w:instrText>
      </w:r>
      <w:r w:rsidR="00A6794A">
        <w:rPr>
          <w:lang w:val="en-US"/>
        </w:rPr>
        <w:instrText>patients</w:instrText>
      </w:r>
      <w:r w:rsidR="00A6794A" w:rsidRPr="00471424">
        <w:instrText xml:space="preserve"> </w:instrText>
      </w:r>
      <w:r w:rsidR="00A6794A">
        <w:rPr>
          <w:lang w:val="en-US"/>
        </w:rPr>
        <w:instrText>from</w:instrText>
      </w:r>
      <w:r w:rsidR="00A6794A" w:rsidRPr="00471424">
        <w:instrText xml:space="preserve"> </w:instrText>
      </w:r>
      <w:r w:rsidR="00A6794A">
        <w:rPr>
          <w:lang w:val="en-US"/>
        </w:rPr>
        <w:instrText>the</w:instrText>
      </w:r>
      <w:r w:rsidR="00A6794A" w:rsidRPr="00471424">
        <w:instrText xml:space="preserve"> </w:instrText>
      </w:r>
      <w:r w:rsidR="00A6794A">
        <w:rPr>
          <w:lang w:val="en-US"/>
        </w:rPr>
        <w:instrText>same</w:instrText>
      </w:r>
      <w:r w:rsidR="00A6794A" w:rsidRPr="00471424">
        <w:instrText xml:space="preserve"> </w:instrText>
      </w:r>
      <w:r w:rsidR="00A6794A">
        <w:rPr>
          <w:lang w:val="en-US"/>
        </w:rPr>
        <w:instrText>study</w:instrText>
      </w:r>
      <w:r w:rsidR="00A6794A" w:rsidRPr="00471424">
        <w:instrText xml:space="preserve">. </w:instrText>
      </w:r>
      <w:r w:rsidR="00A6794A">
        <w:rPr>
          <w:lang w:val="en-US"/>
        </w:rPr>
        <w:instrText>Five</w:instrText>
      </w:r>
      <w:r w:rsidR="00A6794A" w:rsidRPr="00471424">
        <w:instrText xml:space="preserve"> </w:instrText>
      </w:r>
      <w:r w:rsidR="00A6794A">
        <w:rPr>
          <w:lang w:val="en-US"/>
        </w:rPr>
        <w:instrText>predictive</w:instrText>
      </w:r>
      <w:r w:rsidR="00A6794A" w:rsidRPr="00471424">
        <w:instrText xml:space="preserve"> </w:instrText>
      </w:r>
      <w:r w:rsidR="00A6794A">
        <w:rPr>
          <w:lang w:val="en-US"/>
        </w:rPr>
        <w:instrText>variables</w:instrText>
      </w:r>
      <w:r w:rsidR="00A6794A" w:rsidRPr="00471424">
        <w:instrText xml:space="preserve"> </w:instrText>
      </w:r>
      <w:r w:rsidR="00A6794A">
        <w:rPr>
          <w:lang w:val="en-US"/>
        </w:rPr>
        <w:instrText>were</w:instrText>
      </w:r>
      <w:r w:rsidR="00A6794A" w:rsidRPr="00471424">
        <w:instrText xml:space="preserve"> </w:instrText>
      </w:r>
      <w:r w:rsidR="00A6794A">
        <w:rPr>
          <w:lang w:val="en-US"/>
        </w:rPr>
        <w:instrText>identified</w:instrText>
      </w:r>
      <w:r w:rsidR="00A6794A" w:rsidRPr="00471424">
        <w:instrText xml:space="preserve"> </w:instrText>
      </w:r>
      <w:r w:rsidR="00A6794A">
        <w:rPr>
          <w:lang w:val="en-US"/>
        </w:rPr>
        <w:instrText>in</w:instrText>
      </w:r>
      <w:r w:rsidR="00A6794A" w:rsidRPr="00471424">
        <w:instrText xml:space="preserve"> </w:instrText>
      </w:r>
      <w:r w:rsidR="00A6794A">
        <w:rPr>
          <w:lang w:val="en-US"/>
        </w:rPr>
        <w:instrText>a</w:instrText>
      </w:r>
      <w:r w:rsidR="00A6794A" w:rsidRPr="00471424">
        <w:instrText xml:space="preserve"> </w:instrText>
      </w:r>
      <w:r w:rsidR="00A6794A">
        <w:rPr>
          <w:lang w:val="en-US"/>
        </w:rPr>
        <w:instrText>multivariate</w:instrText>
      </w:r>
      <w:r w:rsidR="00A6794A" w:rsidRPr="00471424">
        <w:instrText xml:space="preserve"> </w:instrText>
      </w:r>
      <w:r w:rsidR="00A6794A">
        <w:rPr>
          <w:lang w:val="en-US"/>
        </w:rPr>
        <w:instrText>model</w:instrText>
      </w:r>
      <w:r w:rsidR="00A6794A" w:rsidRPr="00471424">
        <w:instrText xml:space="preserve">: </w:instrText>
      </w:r>
      <w:r w:rsidR="00A6794A">
        <w:rPr>
          <w:lang w:val="en-US"/>
        </w:rPr>
        <w:instrText>site</w:instrText>
      </w:r>
      <w:r w:rsidR="00A6794A" w:rsidRPr="00471424">
        <w:instrText xml:space="preserve"> </w:instrText>
      </w:r>
      <w:r w:rsidR="00A6794A">
        <w:rPr>
          <w:lang w:val="en-US"/>
        </w:rPr>
        <w:instrText>of</w:instrText>
      </w:r>
      <w:r w:rsidR="00A6794A" w:rsidRPr="00471424">
        <w:instrText xml:space="preserve"> </w:instrText>
      </w:r>
      <w:r w:rsidR="00A6794A">
        <w:rPr>
          <w:lang w:val="en-US"/>
        </w:rPr>
        <w:instrText>cancer</w:instrText>
      </w:r>
      <w:r w:rsidR="00A6794A" w:rsidRPr="00471424">
        <w:instrText xml:space="preserve"> (2 </w:instrText>
      </w:r>
      <w:r w:rsidR="00A6794A">
        <w:rPr>
          <w:lang w:val="en-US"/>
        </w:rPr>
        <w:instrText>points</w:instrText>
      </w:r>
      <w:r w:rsidR="00A6794A" w:rsidRPr="00471424">
        <w:instrText xml:space="preserve"> </w:instrText>
      </w:r>
      <w:r w:rsidR="00A6794A">
        <w:rPr>
          <w:lang w:val="en-US"/>
        </w:rPr>
        <w:instrText>for</w:instrText>
      </w:r>
      <w:r w:rsidR="00A6794A" w:rsidRPr="00471424">
        <w:instrText xml:space="preserve"> </w:instrText>
      </w:r>
      <w:r w:rsidR="00A6794A">
        <w:rPr>
          <w:lang w:val="en-US"/>
        </w:rPr>
        <w:instrText>very</w:instrText>
      </w:r>
      <w:r w:rsidR="00A6794A" w:rsidRPr="00471424">
        <w:instrText xml:space="preserve"> </w:instrText>
      </w:r>
      <w:r w:rsidR="00A6794A">
        <w:rPr>
          <w:lang w:val="en-US"/>
        </w:rPr>
        <w:instrText>high</w:instrText>
      </w:r>
      <w:r w:rsidR="00A6794A" w:rsidRPr="00471424">
        <w:instrText>-</w:instrText>
      </w:r>
      <w:r w:rsidR="00A6794A">
        <w:rPr>
          <w:lang w:val="en-US"/>
        </w:rPr>
        <w:instrText>risk</w:instrText>
      </w:r>
      <w:r w:rsidR="00A6794A" w:rsidRPr="00471424">
        <w:instrText xml:space="preserve"> </w:instrText>
      </w:r>
      <w:r w:rsidR="00A6794A">
        <w:rPr>
          <w:lang w:val="en-US"/>
        </w:rPr>
        <w:instrText>site</w:instrText>
      </w:r>
      <w:r w:rsidR="00A6794A" w:rsidRPr="00471424">
        <w:instrText xml:space="preserve">, 1 </w:instrText>
      </w:r>
      <w:r w:rsidR="00A6794A">
        <w:rPr>
          <w:lang w:val="en-US"/>
        </w:rPr>
        <w:instrText>point</w:instrText>
      </w:r>
      <w:r w:rsidR="00A6794A" w:rsidRPr="00471424">
        <w:instrText xml:space="preserve"> </w:instrText>
      </w:r>
      <w:r w:rsidR="00A6794A">
        <w:rPr>
          <w:lang w:val="en-US"/>
        </w:rPr>
        <w:instrText>for</w:instrText>
      </w:r>
      <w:r w:rsidR="00A6794A" w:rsidRPr="00471424">
        <w:instrText xml:space="preserve"> </w:instrText>
      </w:r>
      <w:r w:rsidR="00A6794A">
        <w:rPr>
          <w:lang w:val="en-US"/>
        </w:rPr>
        <w:instrText>high</w:instrText>
      </w:r>
      <w:r w:rsidR="00A6794A" w:rsidRPr="00471424">
        <w:instrText xml:space="preserve">- </w:instrText>
      </w:r>
      <w:r w:rsidR="00A6794A">
        <w:rPr>
          <w:lang w:val="en-US"/>
        </w:rPr>
        <w:instrText>risk</w:instrText>
      </w:r>
      <w:r w:rsidR="00A6794A" w:rsidRPr="00471424">
        <w:instrText xml:space="preserve"> </w:instrText>
      </w:r>
      <w:r w:rsidR="00A6794A">
        <w:rPr>
          <w:lang w:val="en-US"/>
        </w:rPr>
        <w:instrText>site</w:instrText>
      </w:r>
      <w:r w:rsidR="00A6794A" w:rsidRPr="00471424">
        <w:instrText xml:space="preserve">), </w:instrText>
      </w:r>
      <w:r w:rsidR="00A6794A">
        <w:rPr>
          <w:lang w:val="en-US"/>
        </w:rPr>
        <w:instrText>platelet</w:instrText>
      </w:r>
      <w:r w:rsidR="00A6794A" w:rsidRPr="00471424">
        <w:instrText xml:space="preserve"> </w:instrText>
      </w:r>
      <w:r w:rsidR="00A6794A">
        <w:rPr>
          <w:lang w:val="en-US"/>
        </w:rPr>
        <w:instrText>count</w:instrText>
      </w:r>
      <w:r w:rsidR="00A6794A" w:rsidRPr="00471424">
        <w:instrText xml:space="preserve"> </w:instrText>
      </w:r>
      <w:r w:rsidR="00A6794A">
        <w:rPr>
          <w:lang w:val="en-US"/>
        </w:rPr>
        <w:instrText>of</w:instrText>
      </w:r>
      <w:r w:rsidR="00A6794A" w:rsidRPr="00471424">
        <w:instrText xml:space="preserve"> 350 </w:instrText>
      </w:r>
      <w:r w:rsidR="00A6794A">
        <w:rPr>
          <w:lang w:val="en-US"/>
        </w:rPr>
        <w:instrText>x</w:instrText>
      </w:r>
      <w:r w:rsidR="00A6794A" w:rsidRPr="00471424">
        <w:instrText xml:space="preserve"> 109/</w:instrText>
      </w:r>
      <w:r w:rsidR="00A6794A">
        <w:rPr>
          <w:lang w:val="en-US"/>
        </w:rPr>
        <w:instrText>L</w:instrText>
      </w:r>
      <w:r w:rsidR="00A6794A" w:rsidRPr="00471424">
        <w:instrText xml:space="preserve"> </w:instrText>
      </w:r>
      <w:r w:rsidR="00A6794A">
        <w:rPr>
          <w:lang w:val="en-US"/>
        </w:rPr>
        <w:instrText>or</w:instrText>
      </w:r>
      <w:r w:rsidR="00A6794A" w:rsidRPr="00471424">
        <w:instrText xml:space="preserve"> </w:instrText>
      </w:r>
      <w:r w:rsidR="00A6794A">
        <w:rPr>
          <w:lang w:val="en-US"/>
        </w:rPr>
        <w:instrText>more</w:instrText>
      </w:r>
      <w:r w:rsidR="00A6794A" w:rsidRPr="00471424">
        <w:instrText xml:space="preserve">, </w:instrText>
      </w:r>
      <w:r w:rsidR="00A6794A">
        <w:rPr>
          <w:lang w:val="en-US"/>
        </w:rPr>
        <w:instrText>hemoglobin</w:instrText>
      </w:r>
      <w:r w:rsidR="00A6794A" w:rsidRPr="00471424">
        <w:instrText xml:space="preserve"> </w:instrText>
      </w:r>
      <w:r w:rsidR="00A6794A">
        <w:rPr>
          <w:lang w:val="en-US"/>
        </w:rPr>
        <w:instrText>less</w:instrText>
      </w:r>
      <w:r w:rsidR="00A6794A" w:rsidRPr="00471424">
        <w:instrText xml:space="preserve"> </w:instrText>
      </w:r>
      <w:r w:rsidR="00A6794A">
        <w:rPr>
          <w:lang w:val="en-US"/>
        </w:rPr>
        <w:instrText>than</w:instrText>
      </w:r>
      <w:r w:rsidR="00A6794A" w:rsidRPr="00471424">
        <w:instrText xml:space="preserve"> 100 </w:instrText>
      </w:r>
      <w:r w:rsidR="00A6794A">
        <w:rPr>
          <w:lang w:val="en-US"/>
        </w:rPr>
        <w:instrText>g</w:instrText>
      </w:r>
      <w:r w:rsidR="00A6794A" w:rsidRPr="00471424">
        <w:instrText>/</w:instrText>
      </w:r>
      <w:r w:rsidR="00A6794A">
        <w:rPr>
          <w:lang w:val="en-US"/>
        </w:rPr>
        <w:instrText>L</w:instrText>
      </w:r>
      <w:r w:rsidR="00A6794A" w:rsidRPr="00471424">
        <w:instrText xml:space="preserve"> (10</w:instrText>
      </w:r>
      <w:r w:rsidR="00A6794A">
        <w:rPr>
          <w:lang w:val="en-US"/>
        </w:rPr>
        <w:instrText>g</w:instrText>
      </w:r>
      <w:r w:rsidR="00A6794A" w:rsidRPr="00471424">
        <w:instrText>/</w:instrText>
      </w:r>
      <w:r w:rsidR="00A6794A">
        <w:rPr>
          <w:lang w:val="en-US"/>
        </w:rPr>
        <w:instrText>dL</w:instrText>
      </w:r>
      <w:r w:rsidR="00A6794A" w:rsidRPr="00471424">
        <w:instrText xml:space="preserve">) </w:instrText>
      </w:r>
      <w:r w:rsidR="00A6794A">
        <w:rPr>
          <w:lang w:val="en-US"/>
        </w:rPr>
        <w:instrText>and</w:instrText>
      </w:r>
      <w:r w:rsidR="00A6794A" w:rsidRPr="00471424">
        <w:instrText>/</w:instrText>
      </w:r>
      <w:r w:rsidR="00A6794A">
        <w:rPr>
          <w:lang w:val="en-US"/>
        </w:rPr>
        <w:instrText>or</w:instrText>
      </w:r>
      <w:r w:rsidR="00A6794A" w:rsidRPr="00471424">
        <w:instrText xml:space="preserve"> </w:instrText>
      </w:r>
      <w:r w:rsidR="00A6794A">
        <w:rPr>
          <w:lang w:val="en-US"/>
        </w:rPr>
        <w:instrText>use</w:instrText>
      </w:r>
      <w:r w:rsidR="00A6794A" w:rsidRPr="00471424">
        <w:instrText xml:space="preserve"> </w:instrText>
      </w:r>
      <w:r w:rsidR="00A6794A">
        <w:rPr>
          <w:lang w:val="en-US"/>
        </w:rPr>
        <w:instrText>of</w:instrText>
      </w:r>
      <w:r w:rsidR="00A6794A" w:rsidRPr="00471424">
        <w:instrText xml:space="preserve"> </w:instrText>
      </w:r>
      <w:r w:rsidR="00A6794A">
        <w:rPr>
          <w:lang w:val="en-US"/>
        </w:rPr>
        <w:instrText>erythropoiesis</w:instrText>
      </w:r>
      <w:r w:rsidR="00A6794A" w:rsidRPr="00471424">
        <w:instrText xml:space="preserve">- </w:instrText>
      </w:r>
      <w:r w:rsidR="00A6794A">
        <w:rPr>
          <w:lang w:val="en-US"/>
        </w:rPr>
        <w:instrText>stimulating</w:instrText>
      </w:r>
      <w:r w:rsidR="00A6794A" w:rsidRPr="00471424">
        <w:instrText xml:space="preserve"> </w:instrText>
      </w:r>
      <w:r w:rsidR="00A6794A">
        <w:rPr>
          <w:lang w:val="en-US"/>
        </w:rPr>
        <w:instrText>agents</w:instrText>
      </w:r>
      <w:r w:rsidR="00A6794A" w:rsidRPr="00471424">
        <w:instrText xml:space="preserve">, </w:instrText>
      </w:r>
      <w:r w:rsidR="00A6794A">
        <w:rPr>
          <w:lang w:val="en-US"/>
        </w:rPr>
        <w:instrText>leukocyte</w:instrText>
      </w:r>
      <w:r w:rsidR="00A6794A" w:rsidRPr="00471424">
        <w:instrText xml:space="preserve"> </w:instrText>
      </w:r>
      <w:r w:rsidR="00A6794A">
        <w:rPr>
          <w:lang w:val="en-US"/>
        </w:rPr>
        <w:instrText>count</w:instrText>
      </w:r>
      <w:r w:rsidR="00A6794A" w:rsidRPr="00471424">
        <w:instrText xml:space="preserve"> </w:instrText>
      </w:r>
      <w:r w:rsidR="00A6794A">
        <w:rPr>
          <w:lang w:val="en-US"/>
        </w:rPr>
        <w:instrText>more</w:instrText>
      </w:r>
      <w:r w:rsidR="00A6794A" w:rsidRPr="00471424">
        <w:instrText xml:space="preserve"> </w:instrText>
      </w:r>
      <w:r w:rsidR="00A6794A">
        <w:rPr>
          <w:lang w:val="en-US"/>
        </w:rPr>
        <w:instrText>than</w:instrText>
      </w:r>
      <w:r w:rsidR="00A6794A" w:rsidRPr="00471424">
        <w:instrText xml:space="preserve"> 11 </w:instrText>
      </w:r>
      <w:r w:rsidR="00A6794A">
        <w:rPr>
          <w:lang w:val="en-US"/>
        </w:rPr>
        <w:instrText>x</w:instrText>
      </w:r>
      <w:r w:rsidR="00A6794A" w:rsidRPr="00471424">
        <w:instrText xml:space="preserve"> 109/</w:instrText>
      </w:r>
      <w:r w:rsidR="00A6794A">
        <w:rPr>
          <w:lang w:val="en-US"/>
        </w:rPr>
        <w:instrText>L</w:instrText>
      </w:r>
      <w:r w:rsidR="00A6794A" w:rsidRPr="00471424">
        <w:instrText xml:space="preserve">, </w:instrText>
      </w:r>
      <w:r w:rsidR="00A6794A">
        <w:rPr>
          <w:lang w:val="en-US"/>
        </w:rPr>
        <w:instrText>and</w:instrText>
      </w:r>
      <w:r w:rsidR="00A6794A" w:rsidRPr="00471424">
        <w:instrText xml:space="preserve"> </w:instrText>
      </w:r>
      <w:r w:rsidR="00A6794A">
        <w:rPr>
          <w:lang w:val="en-US"/>
        </w:rPr>
        <w:instrText>body</w:instrText>
      </w:r>
      <w:r w:rsidR="00A6794A" w:rsidRPr="00471424">
        <w:instrText xml:space="preserve"> </w:instrText>
      </w:r>
      <w:r w:rsidR="00A6794A">
        <w:rPr>
          <w:lang w:val="en-US"/>
        </w:rPr>
        <w:instrText>mass</w:instrText>
      </w:r>
      <w:r w:rsidR="00A6794A" w:rsidRPr="00471424">
        <w:instrText xml:space="preserve"> </w:instrText>
      </w:r>
      <w:r w:rsidR="00A6794A">
        <w:rPr>
          <w:lang w:val="en-US"/>
        </w:rPr>
        <w:instrText>index</w:instrText>
      </w:r>
      <w:r w:rsidR="00A6794A" w:rsidRPr="00471424">
        <w:instrText xml:space="preserve"> </w:instrText>
      </w:r>
      <w:r w:rsidR="00A6794A">
        <w:rPr>
          <w:lang w:val="en-US"/>
        </w:rPr>
        <w:instrText>of</w:instrText>
      </w:r>
      <w:r w:rsidR="00A6794A" w:rsidRPr="00471424">
        <w:instrText xml:space="preserve"> 35 </w:instrText>
      </w:r>
      <w:r w:rsidR="00A6794A">
        <w:rPr>
          <w:lang w:val="en-US"/>
        </w:rPr>
        <w:instrText>kg</w:instrText>
      </w:r>
      <w:r w:rsidR="00A6794A" w:rsidRPr="00471424">
        <w:instrText>/</w:instrText>
      </w:r>
      <w:r w:rsidR="00A6794A">
        <w:rPr>
          <w:lang w:val="en-US"/>
        </w:rPr>
        <w:instrText>m</w:instrText>
      </w:r>
      <w:r w:rsidR="00A6794A" w:rsidRPr="00471424">
        <w:instrText xml:space="preserve"> 2 </w:instrText>
      </w:r>
      <w:r w:rsidR="00A6794A">
        <w:rPr>
          <w:lang w:val="en-US"/>
        </w:rPr>
        <w:instrText>or</w:instrText>
      </w:r>
      <w:r w:rsidR="00A6794A" w:rsidRPr="00471424">
        <w:instrText xml:space="preserve"> </w:instrText>
      </w:r>
      <w:r w:rsidR="00A6794A">
        <w:rPr>
          <w:lang w:val="en-US"/>
        </w:rPr>
        <w:instrText>more</w:instrText>
      </w:r>
      <w:r w:rsidR="00A6794A" w:rsidRPr="00471424">
        <w:instrText xml:space="preserve"> (1 </w:instrText>
      </w:r>
      <w:r w:rsidR="00A6794A">
        <w:rPr>
          <w:lang w:val="en-US"/>
        </w:rPr>
        <w:instrText>point</w:instrText>
      </w:r>
      <w:r w:rsidR="00A6794A" w:rsidRPr="00471424">
        <w:instrText xml:space="preserve"> </w:instrText>
      </w:r>
      <w:r w:rsidR="00A6794A">
        <w:rPr>
          <w:lang w:val="en-US"/>
        </w:rPr>
        <w:instrText>each</w:instrText>
      </w:r>
      <w:r w:rsidR="00A6794A" w:rsidRPr="00471424">
        <w:instrText xml:space="preserve">). </w:instrText>
      </w:r>
      <w:r w:rsidR="00A6794A">
        <w:rPr>
          <w:lang w:val="en-US"/>
        </w:rPr>
        <w:instrText>Rates</w:instrText>
      </w:r>
      <w:r w:rsidR="00A6794A" w:rsidRPr="00471424">
        <w:instrText xml:space="preserve"> </w:instrText>
      </w:r>
      <w:r w:rsidR="00A6794A">
        <w:rPr>
          <w:lang w:val="en-US"/>
        </w:rPr>
        <w:instrText>of</w:instrText>
      </w:r>
      <w:r w:rsidR="00A6794A" w:rsidRPr="00471424">
        <w:instrText xml:space="preserve"> </w:instrText>
      </w:r>
      <w:r w:rsidR="00A6794A">
        <w:rPr>
          <w:lang w:val="en-US"/>
        </w:rPr>
        <w:instrText>VTE</w:instrText>
      </w:r>
      <w:r w:rsidR="00A6794A" w:rsidRPr="00471424">
        <w:instrText xml:space="preserve"> </w:instrText>
      </w:r>
      <w:r w:rsidR="00A6794A">
        <w:rPr>
          <w:lang w:val="en-US"/>
        </w:rPr>
        <w:instrText>in</w:instrText>
      </w:r>
      <w:r w:rsidR="00A6794A" w:rsidRPr="00471424">
        <w:instrText xml:space="preserve"> </w:instrText>
      </w:r>
      <w:r w:rsidR="00A6794A">
        <w:rPr>
          <w:lang w:val="en-US"/>
        </w:rPr>
        <w:instrText>the</w:instrText>
      </w:r>
      <w:r w:rsidR="00A6794A" w:rsidRPr="00471424">
        <w:instrText xml:space="preserve"> </w:instrText>
      </w:r>
      <w:r w:rsidR="00A6794A">
        <w:rPr>
          <w:lang w:val="en-US"/>
        </w:rPr>
        <w:instrText>derivation</w:instrText>
      </w:r>
      <w:r w:rsidR="00A6794A" w:rsidRPr="00471424">
        <w:instrText xml:space="preserve"> </w:instrText>
      </w:r>
      <w:r w:rsidR="00A6794A">
        <w:rPr>
          <w:lang w:val="en-US"/>
        </w:rPr>
        <w:instrText>and</w:instrText>
      </w:r>
      <w:r w:rsidR="00A6794A" w:rsidRPr="00471424">
        <w:instrText xml:space="preserve"> </w:instrText>
      </w:r>
      <w:r w:rsidR="00A6794A">
        <w:rPr>
          <w:lang w:val="en-US"/>
        </w:rPr>
        <w:instrText>validation</w:instrText>
      </w:r>
      <w:r w:rsidR="00A6794A" w:rsidRPr="00471424">
        <w:instrText xml:space="preserve"> </w:instrText>
      </w:r>
      <w:r w:rsidR="00A6794A">
        <w:rPr>
          <w:lang w:val="en-US"/>
        </w:rPr>
        <w:instrText>cohorts</w:instrText>
      </w:r>
      <w:r w:rsidR="00A6794A" w:rsidRPr="00471424">
        <w:instrText xml:space="preserve">, </w:instrText>
      </w:r>
      <w:r w:rsidR="00A6794A">
        <w:rPr>
          <w:lang w:val="en-US"/>
        </w:rPr>
        <w:instrText>respectively</w:instrText>
      </w:r>
      <w:r w:rsidR="00A6794A" w:rsidRPr="00471424">
        <w:instrText xml:space="preserve">, </w:instrText>
      </w:r>
      <w:r w:rsidR="00A6794A">
        <w:rPr>
          <w:lang w:val="en-US"/>
        </w:rPr>
        <w:instrText>were</w:instrText>
      </w:r>
      <w:r w:rsidR="00A6794A" w:rsidRPr="00471424">
        <w:instrText xml:space="preserve"> 0.8% </w:instrText>
      </w:r>
      <w:r w:rsidR="00A6794A">
        <w:rPr>
          <w:lang w:val="en-US"/>
        </w:rPr>
        <w:instrText>and</w:instrText>
      </w:r>
      <w:r w:rsidR="00A6794A" w:rsidRPr="00471424">
        <w:instrText xml:space="preserve"> 0.3% </w:instrText>
      </w:r>
      <w:r w:rsidR="00A6794A">
        <w:rPr>
          <w:lang w:val="en-US"/>
        </w:rPr>
        <w:instrText>in</w:instrText>
      </w:r>
      <w:r w:rsidR="00A6794A" w:rsidRPr="00471424">
        <w:instrText xml:space="preserve"> </w:instrText>
      </w:r>
      <w:r w:rsidR="00A6794A">
        <w:rPr>
          <w:lang w:val="en-US"/>
        </w:rPr>
        <w:instrText>low</w:instrText>
      </w:r>
      <w:r w:rsidR="00A6794A" w:rsidRPr="00471424">
        <w:instrText>-</w:instrText>
      </w:r>
      <w:r w:rsidR="00A6794A">
        <w:rPr>
          <w:lang w:val="en-US"/>
        </w:rPr>
        <w:instrText>risk</w:instrText>
      </w:r>
      <w:r w:rsidR="00A6794A" w:rsidRPr="00471424">
        <w:instrText xml:space="preserve"> (</w:instrText>
      </w:r>
      <w:r w:rsidR="00A6794A">
        <w:rPr>
          <w:lang w:val="en-US"/>
        </w:rPr>
        <w:instrText>score</w:instrText>
      </w:r>
      <w:r w:rsidR="00A6794A" w:rsidRPr="00471424">
        <w:instrText xml:space="preserve"> = 0), 1.8% </w:instrText>
      </w:r>
      <w:r w:rsidR="00A6794A">
        <w:rPr>
          <w:lang w:val="en-US"/>
        </w:rPr>
        <w:instrText>and</w:instrText>
      </w:r>
      <w:r w:rsidR="00A6794A" w:rsidRPr="00471424">
        <w:instrText xml:space="preserve"> 2% </w:instrText>
      </w:r>
      <w:r w:rsidR="00A6794A">
        <w:rPr>
          <w:lang w:val="en-US"/>
        </w:rPr>
        <w:instrText>in</w:instrText>
      </w:r>
      <w:r w:rsidR="00A6794A" w:rsidRPr="00471424">
        <w:instrText xml:space="preserve"> </w:instrText>
      </w:r>
      <w:r w:rsidR="00A6794A">
        <w:rPr>
          <w:lang w:val="en-US"/>
        </w:rPr>
        <w:instrText>intermediate</w:instrText>
      </w:r>
      <w:r w:rsidR="00A6794A" w:rsidRPr="00471424">
        <w:instrText>-</w:instrText>
      </w:r>
      <w:r w:rsidR="00A6794A">
        <w:rPr>
          <w:lang w:val="en-US"/>
        </w:rPr>
        <w:instrText>risk</w:instrText>
      </w:r>
      <w:r w:rsidR="00A6794A" w:rsidRPr="00471424">
        <w:instrText xml:space="preserve"> (</w:instrText>
      </w:r>
      <w:r w:rsidR="00A6794A">
        <w:rPr>
          <w:lang w:val="en-US"/>
        </w:rPr>
        <w:instrText>score</w:instrText>
      </w:r>
      <w:r w:rsidR="00A6794A" w:rsidRPr="00471424">
        <w:instrText xml:space="preserve"> = 1-2), </w:instrText>
      </w:r>
      <w:r w:rsidR="00A6794A">
        <w:rPr>
          <w:lang w:val="en-US"/>
        </w:rPr>
        <w:instrText>and</w:instrText>
      </w:r>
      <w:r w:rsidR="00A6794A" w:rsidRPr="00471424">
        <w:instrText xml:space="preserve"> 7.1% </w:instrText>
      </w:r>
      <w:r w:rsidR="00A6794A">
        <w:rPr>
          <w:lang w:val="en-US"/>
        </w:rPr>
        <w:instrText>and</w:instrText>
      </w:r>
      <w:r w:rsidR="00A6794A" w:rsidRPr="00471424">
        <w:instrText xml:space="preserve"> 6.7% </w:instrText>
      </w:r>
      <w:r w:rsidR="00A6794A">
        <w:rPr>
          <w:lang w:val="en-US"/>
        </w:rPr>
        <w:instrText>in</w:instrText>
      </w:r>
      <w:r w:rsidR="00A6794A" w:rsidRPr="00471424">
        <w:instrText xml:space="preserve"> </w:instrText>
      </w:r>
      <w:r w:rsidR="00A6794A">
        <w:rPr>
          <w:lang w:val="en-US"/>
        </w:rPr>
        <w:instrText>high</w:instrText>
      </w:r>
      <w:r w:rsidR="00A6794A" w:rsidRPr="00471424">
        <w:instrText>-</w:instrText>
      </w:r>
      <w:r w:rsidR="00A6794A">
        <w:rPr>
          <w:lang w:val="en-US"/>
        </w:rPr>
        <w:instrText>risk</w:instrText>
      </w:r>
      <w:r w:rsidR="00A6794A" w:rsidRPr="00471424">
        <w:instrText xml:space="preserve"> (</w:instrText>
      </w:r>
      <w:r w:rsidR="00A6794A">
        <w:rPr>
          <w:lang w:val="en-US"/>
        </w:rPr>
        <w:instrText>score</w:instrText>
      </w:r>
      <w:r w:rsidR="00A6794A" w:rsidRPr="00471424">
        <w:instrText xml:space="preserve"> =: 3) </w:instrText>
      </w:r>
      <w:r w:rsidR="00A6794A">
        <w:rPr>
          <w:lang w:val="en-US"/>
        </w:rPr>
        <w:instrText>category</w:instrText>
      </w:r>
      <w:r w:rsidR="00A6794A" w:rsidRPr="00471424">
        <w:instrText xml:space="preserve"> </w:instrText>
      </w:r>
      <w:r w:rsidR="00A6794A">
        <w:rPr>
          <w:lang w:val="en-US"/>
        </w:rPr>
        <w:instrText>over</w:instrText>
      </w:r>
      <w:r w:rsidR="00A6794A" w:rsidRPr="00471424">
        <w:instrText xml:space="preserve"> </w:instrText>
      </w:r>
      <w:r w:rsidR="00A6794A">
        <w:rPr>
          <w:lang w:val="en-US"/>
        </w:rPr>
        <w:instrText>a</w:instrText>
      </w:r>
      <w:r w:rsidR="00A6794A" w:rsidRPr="00471424">
        <w:instrText xml:space="preserve"> </w:instrText>
      </w:r>
      <w:r w:rsidR="00A6794A">
        <w:rPr>
          <w:lang w:val="en-US"/>
        </w:rPr>
        <w:instrText>median</w:instrText>
      </w:r>
      <w:r w:rsidR="00A6794A" w:rsidRPr="00471424">
        <w:instrText xml:space="preserve"> </w:instrText>
      </w:r>
      <w:r w:rsidR="00A6794A">
        <w:rPr>
          <w:lang w:val="en-US"/>
        </w:rPr>
        <w:instrText>of</w:instrText>
      </w:r>
      <w:r w:rsidR="00A6794A" w:rsidRPr="00471424">
        <w:instrText xml:space="preserve"> 2.5 </w:instrText>
      </w:r>
      <w:r w:rsidR="00A6794A">
        <w:rPr>
          <w:lang w:val="en-US"/>
        </w:rPr>
        <w:instrText>months</w:instrText>
      </w:r>
      <w:r w:rsidR="00A6794A" w:rsidRPr="00471424">
        <w:instrText xml:space="preserve"> (</w:instrText>
      </w:r>
      <w:r w:rsidR="00A6794A">
        <w:rPr>
          <w:lang w:val="en-US"/>
        </w:rPr>
        <w:instrText>C</w:instrText>
      </w:r>
      <w:r w:rsidR="00A6794A" w:rsidRPr="00471424">
        <w:instrText xml:space="preserve">- </w:instrText>
      </w:r>
      <w:r w:rsidR="00A6794A">
        <w:rPr>
          <w:lang w:val="en-US"/>
        </w:rPr>
        <w:instrText>statistic</w:instrText>
      </w:r>
      <w:r w:rsidR="00A6794A" w:rsidRPr="00471424">
        <w:instrText xml:space="preserve"> = 0.7 </w:instrText>
      </w:r>
      <w:r w:rsidR="00A6794A">
        <w:rPr>
          <w:lang w:val="en-US"/>
        </w:rPr>
        <w:instrText>for</w:instrText>
      </w:r>
      <w:r w:rsidR="00A6794A" w:rsidRPr="00471424">
        <w:instrText xml:space="preserve"> </w:instrText>
      </w:r>
      <w:r w:rsidR="00A6794A">
        <w:rPr>
          <w:lang w:val="en-US"/>
        </w:rPr>
        <w:instrText>both</w:instrText>
      </w:r>
      <w:r w:rsidR="00A6794A" w:rsidRPr="00471424">
        <w:instrText xml:space="preserve"> </w:instrText>
      </w:r>
      <w:r w:rsidR="00A6794A">
        <w:rPr>
          <w:lang w:val="en-US"/>
        </w:rPr>
        <w:instrText>cohorts</w:instrText>
      </w:r>
      <w:r w:rsidR="00A6794A" w:rsidRPr="00471424">
        <w:instrText xml:space="preserve">). </w:instrText>
      </w:r>
      <w:r w:rsidR="00A6794A">
        <w:rPr>
          <w:lang w:val="en-US"/>
        </w:rPr>
        <w:instrText>This</w:instrText>
      </w:r>
      <w:r w:rsidR="00A6794A" w:rsidRPr="00471424">
        <w:instrText xml:space="preserve"> </w:instrText>
      </w:r>
      <w:r w:rsidR="00A6794A">
        <w:rPr>
          <w:lang w:val="en-US"/>
        </w:rPr>
        <w:instrText>model</w:instrText>
      </w:r>
      <w:r w:rsidR="00A6794A" w:rsidRPr="00471424">
        <w:instrText xml:space="preserve"> </w:instrText>
      </w:r>
      <w:r w:rsidR="00A6794A">
        <w:rPr>
          <w:lang w:val="en-US"/>
        </w:rPr>
        <w:instrText>can</w:instrText>
      </w:r>
      <w:r w:rsidR="00A6794A" w:rsidRPr="00471424">
        <w:instrText xml:space="preserve"> </w:instrText>
      </w:r>
      <w:r w:rsidR="00A6794A">
        <w:rPr>
          <w:lang w:val="en-US"/>
        </w:rPr>
        <w:instrText>identify</w:instrText>
      </w:r>
      <w:r w:rsidR="00A6794A" w:rsidRPr="00471424">
        <w:instrText xml:space="preserve"> </w:instrText>
      </w:r>
      <w:r w:rsidR="00A6794A">
        <w:rPr>
          <w:lang w:val="en-US"/>
        </w:rPr>
        <w:instrText>patients</w:instrText>
      </w:r>
      <w:r w:rsidR="00A6794A" w:rsidRPr="00471424">
        <w:instrText xml:space="preserve"> </w:instrText>
      </w:r>
      <w:r w:rsidR="00A6794A">
        <w:rPr>
          <w:lang w:val="en-US"/>
        </w:rPr>
        <w:instrText>with</w:instrText>
      </w:r>
      <w:r w:rsidR="00A6794A" w:rsidRPr="00471424">
        <w:instrText xml:space="preserve"> </w:instrText>
      </w:r>
      <w:r w:rsidR="00A6794A">
        <w:rPr>
          <w:lang w:val="en-US"/>
        </w:rPr>
        <w:instrText>a</w:instrText>
      </w:r>
      <w:r w:rsidR="00A6794A" w:rsidRPr="00471424">
        <w:instrText xml:space="preserve"> </w:instrText>
      </w:r>
      <w:r w:rsidR="00A6794A">
        <w:rPr>
          <w:lang w:val="en-US"/>
        </w:rPr>
        <w:instrText>nearly</w:instrText>
      </w:r>
      <w:r w:rsidR="00A6794A" w:rsidRPr="00471424">
        <w:instrText xml:space="preserve"> 7% </w:instrText>
      </w:r>
      <w:r w:rsidR="00A6794A">
        <w:rPr>
          <w:lang w:val="en-US"/>
        </w:rPr>
        <w:instrText>short</w:instrText>
      </w:r>
      <w:r w:rsidR="00A6794A" w:rsidRPr="00471424">
        <w:instrText>-</w:instrText>
      </w:r>
      <w:r w:rsidR="00A6794A">
        <w:rPr>
          <w:lang w:val="en-US"/>
        </w:rPr>
        <w:instrText>term</w:instrText>
      </w:r>
      <w:r w:rsidR="00A6794A" w:rsidRPr="00471424">
        <w:instrText xml:space="preserve"> </w:instrText>
      </w:r>
      <w:r w:rsidR="00A6794A">
        <w:rPr>
          <w:lang w:val="en-US"/>
        </w:rPr>
        <w:instrText>risk</w:instrText>
      </w:r>
      <w:r w:rsidR="00A6794A" w:rsidRPr="00471424">
        <w:instrText xml:space="preserve"> </w:instrText>
      </w:r>
      <w:r w:rsidR="00A6794A">
        <w:rPr>
          <w:lang w:val="en-US"/>
        </w:rPr>
        <w:instrText>of</w:instrText>
      </w:r>
      <w:r w:rsidR="00A6794A" w:rsidRPr="00471424">
        <w:instrText xml:space="preserve"> </w:instrText>
      </w:r>
      <w:r w:rsidR="00A6794A">
        <w:rPr>
          <w:lang w:val="en-US"/>
        </w:rPr>
        <w:instrText>symptomatic</w:instrText>
      </w:r>
      <w:r w:rsidR="00A6794A" w:rsidRPr="00471424">
        <w:instrText xml:space="preserve"> </w:instrText>
      </w:r>
      <w:r w:rsidR="00A6794A">
        <w:rPr>
          <w:lang w:val="en-US"/>
        </w:rPr>
        <w:instrText>VTE</w:instrText>
      </w:r>
      <w:r w:rsidR="00A6794A" w:rsidRPr="00471424">
        <w:instrText xml:space="preserve"> </w:instrText>
      </w:r>
      <w:r w:rsidR="00A6794A">
        <w:rPr>
          <w:lang w:val="en-US"/>
        </w:rPr>
        <w:instrText>and</w:instrText>
      </w:r>
      <w:r w:rsidR="00A6794A" w:rsidRPr="00471424">
        <w:instrText xml:space="preserve"> </w:instrText>
      </w:r>
      <w:r w:rsidR="00A6794A">
        <w:rPr>
          <w:lang w:val="en-US"/>
        </w:rPr>
        <w:instrText>may</w:instrText>
      </w:r>
      <w:r w:rsidR="00A6794A" w:rsidRPr="00471424">
        <w:instrText xml:space="preserve"> </w:instrText>
      </w:r>
      <w:r w:rsidR="00A6794A">
        <w:rPr>
          <w:lang w:val="en-US"/>
        </w:rPr>
        <w:instrText>be</w:instrText>
      </w:r>
      <w:r w:rsidR="00A6794A" w:rsidRPr="00471424">
        <w:instrText xml:space="preserve"> </w:instrText>
      </w:r>
      <w:r w:rsidR="00A6794A">
        <w:rPr>
          <w:lang w:val="en-US"/>
        </w:rPr>
        <w:instrText>used</w:instrText>
      </w:r>
      <w:r w:rsidR="00A6794A" w:rsidRPr="00471424">
        <w:instrText xml:space="preserve"> </w:instrText>
      </w:r>
      <w:r w:rsidR="00A6794A">
        <w:rPr>
          <w:lang w:val="en-US"/>
        </w:rPr>
        <w:instrText>to</w:instrText>
      </w:r>
      <w:r w:rsidR="00A6794A" w:rsidRPr="00471424">
        <w:instrText xml:space="preserve"> </w:instrText>
      </w:r>
      <w:r w:rsidR="00A6794A">
        <w:rPr>
          <w:lang w:val="en-US"/>
        </w:rPr>
        <w:instrText>select</w:instrText>
      </w:r>
      <w:r w:rsidR="00A6794A" w:rsidRPr="00471424">
        <w:instrText xml:space="preserve"> </w:instrText>
      </w:r>
      <w:r w:rsidR="00A6794A">
        <w:rPr>
          <w:lang w:val="en-US"/>
        </w:rPr>
        <w:instrText>cancer</w:instrText>
      </w:r>
      <w:r w:rsidR="00A6794A" w:rsidRPr="00471424">
        <w:instrText xml:space="preserve"> </w:instrText>
      </w:r>
      <w:r w:rsidR="00A6794A">
        <w:rPr>
          <w:lang w:val="en-US"/>
        </w:rPr>
        <w:instrText>outpatients</w:instrText>
      </w:r>
      <w:r w:rsidR="00A6794A" w:rsidRPr="00471424">
        <w:instrText xml:space="preserve"> </w:instrText>
      </w:r>
      <w:r w:rsidR="00A6794A">
        <w:rPr>
          <w:lang w:val="en-US"/>
        </w:rPr>
        <w:instrText>for</w:instrText>
      </w:r>
      <w:r w:rsidR="00A6794A" w:rsidRPr="00471424">
        <w:instrText xml:space="preserve"> </w:instrText>
      </w:r>
      <w:r w:rsidR="00A6794A">
        <w:rPr>
          <w:lang w:val="en-US"/>
        </w:rPr>
        <w:instrText>studies</w:instrText>
      </w:r>
      <w:r w:rsidR="00A6794A" w:rsidRPr="00471424">
        <w:instrText xml:space="preserve"> </w:instrText>
      </w:r>
      <w:r w:rsidR="00A6794A">
        <w:rPr>
          <w:lang w:val="en-US"/>
        </w:rPr>
        <w:instrText>of</w:instrText>
      </w:r>
      <w:r w:rsidR="00A6794A" w:rsidRPr="00471424">
        <w:instrText xml:space="preserve"> </w:instrText>
      </w:r>
      <w:r w:rsidR="00A6794A">
        <w:rPr>
          <w:lang w:val="en-US"/>
        </w:rPr>
        <w:instrText>thromboprophylaxis</w:instrText>
      </w:r>
      <w:r w:rsidR="00A6794A" w:rsidRPr="00471424">
        <w:instrText>.","</w:instrText>
      </w:r>
      <w:r w:rsidR="00A6794A">
        <w:rPr>
          <w:lang w:val="en-US"/>
        </w:rPr>
        <w:instrText>author</w:instrText>
      </w:r>
      <w:r w:rsidR="00A6794A" w:rsidRPr="00471424">
        <w:instrText>":[{"</w:instrText>
      </w:r>
      <w:r w:rsidR="00A6794A">
        <w:rPr>
          <w:lang w:val="en-US"/>
        </w:rPr>
        <w:instrText>dropping</w:instrText>
      </w:r>
      <w:r w:rsidR="00A6794A" w:rsidRPr="00471424">
        <w:instrText>-</w:instrText>
      </w:r>
      <w:r w:rsidR="00A6794A">
        <w:rPr>
          <w:lang w:val="en-US"/>
        </w:rPr>
        <w:instrText>particle</w:instrText>
      </w:r>
      <w:r w:rsidR="00A6794A" w:rsidRPr="00471424">
        <w:instrText>":"","</w:instrText>
      </w:r>
      <w:r w:rsidR="00A6794A">
        <w:rPr>
          <w:lang w:val="en-US"/>
        </w:rPr>
        <w:instrText>family</w:instrText>
      </w:r>
      <w:r w:rsidR="00A6794A" w:rsidRPr="00471424">
        <w:instrText>":"</w:instrText>
      </w:r>
      <w:r w:rsidR="00A6794A">
        <w:rPr>
          <w:lang w:val="en-US"/>
        </w:rPr>
        <w:instrText>Khorana</w:instrText>
      </w:r>
      <w:r w:rsidR="00A6794A" w:rsidRPr="00471424">
        <w:instrText>","</w:instrText>
      </w:r>
      <w:r w:rsidR="00A6794A">
        <w:rPr>
          <w:lang w:val="en-US"/>
        </w:rPr>
        <w:instrText>given</w:instrText>
      </w:r>
      <w:r w:rsidR="00A6794A" w:rsidRPr="00471424">
        <w:instrText>":"</w:instrText>
      </w:r>
      <w:r w:rsidR="00A6794A">
        <w:rPr>
          <w:lang w:val="en-US"/>
        </w:rPr>
        <w:instrText>Aloka</w:instrText>
      </w:r>
      <w:r w:rsidR="00A6794A" w:rsidRPr="00471424">
        <w:instrText>","</w:instrText>
      </w:r>
      <w:r w:rsidR="00A6794A">
        <w:rPr>
          <w:lang w:val="en-US"/>
        </w:rPr>
        <w:instrText>non</w:instrText>
      </w:r>
      <w:r w:rsidR="00A6794A" w:rsidRPr="00471424">
        <w:instrText>-</w:instrText>
      </w:r>
      <w:r w:rsidR="00A6794A">
        <w:rPr>
          <w:lang w:val="en-US"/>
        </w:rPr>
        <w:instrText>dropping</w:instrText>
      </w:r>
      <w:r w:rsidR="00A6794A" w:rsidRPr="00471424">
        <w:instrText>-</w:instrText>
      </w:r>
      <w:r w:rsidR="00A6794A">
        <w:rPr>
          <w:lang w:val="en-US"/>
        </w:rPr>
        <w:instrText>particle</w:instrText>
      </w:r>
      <w:r w:rsidR="00A6794A" w:rsidRPr="00471424">
        <w:instrText>":"","</w:instrText>
      </w:r>
      <w:r w:rsidR="00A6794A">
        <w:rPr>
          <w:lang w:val="en-US"/>
        </w:rPr>
        <w:instrText>parse</w:instrText>
      </w:r>
      <w:r w:rsidR="00A6794A" w:rsidRPr="00471424">
        <w:instrText>-</w:instrText>
      </w:r>
      <w:r w:rsidR="00A6794A">
        <w:rPr>
          <w:lang w:val="en-US"/>
        </w:rPr>
        <w:instrText>names</w:instrText>
      </w:r>
      <w:r w:rsidR="00A6794A" w:rsidRPr="00471424">
        <w:instrText>":</w:instrText>
      </w:r>
      <w:r w:rsidR="00A6794A">
        <w:rPr>
          <w:lang w:val="en-US"/>
        </w:rPr>
        <w:instrText>false</w:instrText>
      </w:r>
      <w:r w:rsidR="00A6794A" w:rsidRPr="00471424">
        <w:instrText>,"</w:instrText>
      </w:r>
      <w:r w:rsidR="00A6794A">
        <w:rPr>
          <w:lang w:val="en-US"/>
        </w:rPr>
        <w:instrText>suffix</w:instrText>
      </w:r>
      <w:r w:rsidR="00A6794A" w:rsidRPr="00471424">
        <w:instrText>":""},{"</w:instrText>
      </w:r>
      <w:r w:rsidR="00A6794A">
        <w:rPr>
          <w:lang w:val="en-US"/>
        </w:rPr>
        <w:instrText>dropping</w:instrText>
      </w:r>
      <w:r w:rsidR="00A6794A" w:rsidRPr="00471424">
        <w:instrText>-</w:instrText>
      </w:r>
      <w:r w:rsidR="00A6794A">
        <w:rPr>
          <w:lang w:val="en-US"/>
        </w:rPr>
        <w:instrText>particle</w:instrText>
      </w:r>
      <w:r w:rsidR="00A6794A" w:rsidRPr="00471424">
        <w:instrText>":"","</w:instrText>
      </w:r>
      <w:r w:rsidR="00A6794A">
        <w:rPr>
          <w:lang w:val="en-US"/>
        </w:rPr>
        <w:instrText>family</w:instrText>
      </w:r>
      <w:r w:rsidR="00A6794A" w:rsidRPr="00471424">
        <w:instrText>":"</w:instrText>
      </w:r>
      <w:r w:rsidR="00A6794A">
        <w:rPr>
          <w:lang w:val="en-US"/>
        </w:rPr>
        <w:instrText>Kuderer</w:instrText>
      </w:r>
      <w:r w:rsidR="00A6794A" w:rsidRPr="00471424">
        <w:instrText>","</w:instrText>
      </w:r>
      <w:r w:rsidR="00A6794A">
        <w:rPr>
          <w:lang w:val="en-US"/>
        </w:rPr>
        <w:instrText>given</w:instrText>
      </w:r>
      <w:r w:rsidR="00A6794A" w:rsidRPr="00471424">
        <w:instrText>":"</w:instrText>
      </w:r>
      <w:r w:rsidR="00A6794A">
        <w:rPr>
          <w:lang w:val="en-US"/>
        </w:rPr>
        <w:instrText>Nicole</w:instrText>
      </w:r>
      <w:r w:rsidR="00A6794A" w:rsidRPr="00471424">
        <w:instrText xml:space="preserve"> </w:instrText>
      </w:r>
      <w:r w:rsidR="00A6794A">
        <w:rPr>
          <w:lang w:val="en-US"/>
        </w:rPr>
        <w:instrText>M</w:instrText>
      </w:r>
      <w:r w:rsidR="00A6794A" w:rsidRPr="00471424">
        <w:instrText>.","</w:instrText>
      </w:r>
      <w:r w:rsidR="00A6794A">
        <w:rPr>
          <w:lang w:val="en-US"/>
        </w:rPr>
        <w:instrText>non</w:instrText>
      </w:r>
      <w:r w:rsidR="00A6794A" w:rsidRPr="00471424">
        <w:instrText>-</w:instrText>
      </w:r>
      <w:r w:rsidR="00A6794A">
        <w:rPr>
          <w:lang w:val="en-US"/>
        </w:rPr>
        <w:instrText>dropping</w:instrText>
      </w:r>
      <w:r w:rsidR="00A6794A" w:rsidRPr="00471424">
        <w:instrText>-</w:instrText>
      </w:r>
      <w:r w:rsidR="00A6794A">
        <w:rPr>
          <w:lang w:val="en-US"/>
        </w:rPr>
        <w:instrText>particle</w:instrText>
      </w:r>
      <w:r w:rsidR="00A6794A" w:rsidRPr="00471424">
        <w:instrText>":"","</w:instrText>
      </w:r>
      <w:r w:rsidR="00A6794A">
        <w:rPr>
          <w:lang w:val="en-US"/>
        </w:rPr>
        <w:instrText>parse</w:instrText>
      </w:r>
      <w:r w:rsidR="00A6794A" w:rsidRPr="00471424">
        <w:instrText>-</w:instrText>
      </w:r>
      <w:r w:rsidR="00A6794A">
        <w:rPr>
          <w:lang w:val="en-US"/>
        </w:rPr>
        <w:instrText>names</w:instrText>
      </w:r>
      <w:r w:rsidR="00A6794A" w:rsidRPr="00471424">
        <w:instrText>":</w:instrText>
      </w:r>
      <w:r w:rsidR="00A6794A">
        <w:rPr>
          <w:lang w:val="en-US"/>
        </w:rPr>
        <w:instrText>false</w:instrText>
      </w:r>
      <w:r w:rsidR="00A6794A" w:rsidRPr="00471424">
        <w:instrText>,"</w:instrText>
      </w:r>
      <w:r w:rsidR="00A6794A">
        <w:rPr>
          <w:lang w:val="en-US"/>
        </w:rPr>
        <w:instrText>suffix</w:instrText>
      </w:r>
      <w:r w:rsidR="00A6794A" w:rsidRPr="00471424">
        <w:instrText>":""},{"</w:instrText>
      </w:r>
      <w:r w:rsidR="00A6794A">
        <w:rPr>
          <w:lang w:val="en-US"/>
        </w:rPr>
        <w:instrText>dropping</w:instrText>
      </w:r>
      <w:r w:rsidR="00A6794A" w:rsidRPr="00471424">
        <w:instrText>-</w:instrText>
      </w:r>
      <w:r w:rsidR="00A6794A">
        <w:rPr>
          <w:lang w:val="en-US"/>
        </w:rPr>
        <w:instrText>particle</w:instrText>
      </w:r>
      <w:r w:rsidR="00A6794A" w:rsidRPr="00471424">
        <w:instrText>":"","</w:instrText>
      </w:r>
      <w:r w:rsidR="00A6794A">
        <w:rPr>
          <w:lang w:val="en-US"/>
        </w:rPr>
        <w:instrText>family</w:instrText>
      </w:r>
      <w:r w:rsidR="00A6794A" w:rsidRPr="00471424">
        <w:instrText>":"</w:instrText>
      </w:r>
      <w:r w:rsidR="00A6794A">
        <w:rPr>
          <w:lang w:val="en-US"/>
        </w:rPr>
        <w:instrText>Culakova</w:instrText>
      </w:r>
      <w:r w:rsidR="00A6794A" w:rsidRPr="00471424">
        <w:instrText>","</w:instrText>
      </w:r>
      <w:r w:rsidR="00A6794A">
        <w:rPr>
          <w:lang w:val="en-US"/>
        </w:rPr>
        <w:instrText>given</w:instrText>
      </w:r>
      <w:r w:rsidR="00A6794A" w:rsidRPr="00471424">
        <w:instrText>":"</w:instrText>
      </w:r>
      <w:r w:rsidR="00A6794A">
        <w:rPr>
          <w:lang w:val="en-US"/>
        </w:rPr>
        <w:instrText>Eva</w:instrText>
      </w:r>
      <w:r w:rsidR="00A6794A" w:rsidRPr="00471424">
        <w:instrText>","</w:instrText>
      </w:r>
      <w:r w:rsidR="00A6794A">
        <w:rPr>
          <w:lang w:val="en-US"/>
        </w:rPr>
        <w:instrText>non</w:instrText>
      </w:r>
      <w:r w:rsidR="00A6794A" w:rsidRPr="00471424">
        <w:instrText>-</w:instrText>
      </w:r>
      <w:r w:rsidR="00A6794A">
        <w:rPr>
          <w:lang w:val="en-US"/>
        </w:rPr>
        <w:instrText>dropping</w:instrText>
      </w:r>
      <w:r w:rsidR="00A6794A" w:rsidRPr="00471424">
        <w:instrText>-</w:instrText>
      </w:r>
      <w:r w:rsidR="00A6794A">
        <w:rPr>
          <w:lang w:val="en-US"/>
        </w:rPr>
        <w:instrText>particle</w:instrText>
      </w:r>
      <w:r w:rsidR="00A6794A" w:rsidRPr="00471424">
        <w:instrText>":"","</w:instrText>
      </w:r>
      <w:r w:rsidR="00A6794A">
        <w:rPr>
          <w:lang w:val="en-US"/>
        </w:rPr>
        <w:instrText>parse</w:instrText>
      </w:r>
      <w:r w:rsidR="00A6794A" w:rsidRPr="00471424">
        <w:instrText>-</w:instrText>
      </w:r>
      <w:r w:rsidR="00A6794A">
        <w:rPr>
          <w:lang w:val="en-US"/>
        </w:rPr>
        <w:instrText>names</w:instrText>
      </w:r>
      <w:r w:rsidR="00A6794A" w:rsidRPr="00471424">
        <w:instrText>":</w:instrText>
      </w:r>
      <w:r w:rsidR="00A6794A">
        <w:rPr>
          <w:lang w:val="en-US"/>
        </w:rPr>
        <w:instrText>false</w:instrText>
      </w:r>
      <w:r w:rsidR="00A6794A" w:rsidRPr="00471424">
        <w:instrText>,"</w:instrText>
      </w:r>
      <w:r w:rsidR="00A6794A">
        <w:rPr>
          <w:lang w:val="en-US"/>
        </w:rPr>
        <w:instrText>suffix</w:instrText>
      </w:r>
      <w:r w:rsidR="00A6794A" w:rsidRPr="00471424">
        <w:instrText>":""},{"</w:instrText>
      </w:r>
      <w:r w:rsidR="00A6794A">
        <w:rPr>
          <w:lang w:val="en-US"/>
        </w:rPr>
        <w:instrText>dropping</w:instrText>
      </w:r>
      <w:r w:rsidR="00A6794A" w:rsidRPr="00471424">
        <w:instrText>-</w:instrText>
      </w:r>
      <w:r w:rsidR="00A6794A">
        <w:rPr>
          <w:lang w:val="en-US"/>
        </w:rPr>
        <w:instrText>particle</w:instrText>
      </w:r>
      <w:r w:rsidR="00A6794A" w:rsidRPr="00471424">
        <w:instrText>":"","</w:instrText>
      </w:r>
      <w:r w:rsidR="00A6794A">
        <w:rPr>
          <w:lang w:val="en-US"/>
        </w:rPr>
        <w:instrText>family</w:instrText>
      </w:r>
      <w:r w:rsidR="00A6794A" w:rsidRPr="00471424">
        <w:instrText>":"</w:instrText>
      </w:r>
      <w:r w:rsidR="00A6794A">
        <w:rPr>
          <w:lang w:val="en-US"/>
        </w:rPr>
        <w:instrText>Lyman</w:instrText>
      </w:r>
      <w:r w:rsidR="00A6794A" w:rsidRPr="00471424">
        <w:instrText>","</w:instrText>
      </w:r>
      <w:r w:rsidR="00A6794A">
        <w:rPr>
          <w:lang w:val="en-US"/>
        </w:rPr>
        <w:instrText>given</w:instrText>
      </w:r>
      <w:r w:rsidR="00A6794A" w:rsidRPr="00471424">
        <w:instrText>":"</w:instrText>
      </w:r>
      <w:r w:rsidR="00A6794A">
        <w:rPr>
          <w:lang w:val="en-US"/>
        </w:rPr>
        <w:instrText>Gary</w:instrText>
      </w:r>
      <w:r w:rsidR="00A6794A" w:rsidRPr="00471424">
        <w:instrText xml:space="preserve"> </w:instrText>
      </w:r>
      <w:r w:rsidR="00A6794A">
        <w:rPr>
          <w:lang w:val="en-US"/>
        </w:rPr>
        <w:instrText>H</w:instrText>
      </w:r>
      <w:r w:rsidR="00A6794A" w:rsidRPr="00471424">
        <w:instrText>.","</w:instrText>
      </w:r>
      <w:r w:rsidR="00A6794A">
        <w:rPr>
          <w:lang w:val="en-US"/>
        </w:rPr>
        <w:instrText>non</w:instrText>
      </w:r>
      <w:r w:rsidR="00A6794A" w:rsidRPr="00471424">
        <w:instrText>-</w:instrText>
      </w:r>
      <w:r w:rsidR="00A6794A">
        <w:rPr>
          <w:lang w:val="en-US"/>
        </w:rPr>
        <w:instrText>dropping</w:instrText>
      </w:r>
      <w:r w:rsidR="00A6794A" w:rsidRPr="00471424">
        <w:instrText>-</w:instrText>
      </w:r>
      <w:r w:rsidR="00A6794A">
        <w:rPr>
          <w:lang w:val="en-US"/>
        </w:rPr>
        <w:instrText>particle</w:instrText>
      </w:r>
      <w:r w:rsidR="00A6794A" w:rsidRPr="00471424">
        <w:instrText>":"","</w:instrText>
      </w:r>
      <w:r w:rsidR="00A6794A">
        <w:rPr>
          <w:lang w:val="en-US"/>
        </w:rPr>
        <w:instrText>parse</w:instrText>
      </w:r>
      <w:r w:rsidR="00A6794A" w:rsidRPr="00471424">
        <w:instrText>-</w:instrText>
      </w:r>
      <w:r w:rsidR="00A6794A">
        <w:rPr>
          <w:lang w:val="en-US"/>
        </w:rPr>
        <w:instrText>names</w:instrText>
      </w:r>
      <w:r w:rsidR="00A6794A" w:rsidRPr="00471424">
        <w:instrText>":</w:instrText>
      </w:r>
      <w:r w:rsidR="00A6794A">
        <w:rPr>
          <w:lang w:val="en-US"/>
        </w:rPr>
        <w:instrText>false</w:instrText>
      </w:r>
      <w:r w:rsidR="00A6794A" w:rsidRPr="00471424">
        <w:instrText>,"</w:instrText>
      </w:r>
      <w:r w:rsidR="00A6794A">
        <w:rPr>
          <w:lang w:val="en-US"/>
        </w:rPr>
        <w:instrText>suffix</w:instrText>
      </w:r>
      <w:r w:rsidR="00A6794A" w:rsidRPr="00471424">
        <w:instrText>":""},{"</w:instrText>
      </w:r>
      <w:r w:rsidR="00A6794A">
        <w:rPr>
          <w:lang w:val="en-US"/>
        </w:rPr>
        <w:instrText>dropping</w:instrText>
      </w:r>
      <w:r w:rsidR="00A6794A" w:rsidRPr="00471424">
        <w:instrText>-</w:instrText>
      </w:r>
      <w:r w:rsidR="00A6794A">
        <w:rPr>
          <w:lang w:val="en-US"/>
        </w:rPr>
        <w:instrText>particle</w:instrText>
      </w:r>
      <w:r w:rsidR="00A6794A" w:rsidRPr="00471424">
        <w:instrText>":"","</w:instrText>
      </w:r>
      <w:r w:rsidR="00A6794A">
        <w:rPr>
          <w:lang w:val="en-US"/>
        </w:rPr>
        <w:instrText>family</w:instrText>
      </w:r>
      <w:r w:rsidR="00A6794A" w:rsidRPr="00471424">
        <w:instrText>":"</w:instrText>
      </w:r>
      <w:r w:rsidR="00A6794A">
        <w:rPr>
          <w:lang w:val="en-US"/>
        </w:rPr>
        <w:instrText>Francis</w:instrText>
      </w:r>
      <w:r w:rsidR="00A6794A" w:rsidRPr="00471424">
        <w:instrText>","</w:instrText>
      </w:r>
      <w:r w:rsidR="00A6794A">
        <w:rPr>
          <w:lang w:val="en-US"/>
        </w:rPr>
        <w:instrText>given</w:instrText>
      </w:r>
      <w:r w:rsidR="00A6794A" w:rsidRPr="00471424">
        <w:instrText>":"</w:instrText>
      </w:r>
      <w:r w:rsidR="00A6794A">
        <w:rPr>
          <w:lang w:val="en-US"/>
        </w:rPr>
        <w:instrText>Charles</w:instrText>
      </w:r>
      <w:r w:rsidR="00A6794A" w:rsidRPr="00471424">
        <w:instrText xml:space="preserve"> </w:instrText>
      </w:r>
      <w:r w:rsidR="00A6794A">
        <w:rPr>
          <w:lang w:val="en-US"/>
        </w:rPr>
        <w:instrText>W</w:instrText>
      </w:r>
      <w:r w:rsidR="00A6794A" w:rsidRPr="00471424">
        <w:instrText>.","</w:instrText>
      </w:r>
      <w:r w:rsidR="00A6794A">
        <w:rPr>
          <w:lang w:val="en-US"/>
        </w:rPr>
        <w:instrText>non</w:instrText>
      </w:r>
      <w:r w:rsidR="00A6794A" w:rsidRPr="00471424">
        <w:instrText>-</w:instrText>
      </w:r>
      <w:r w:rsidR="00A6794A">
        <w:rPr>
          <w:lang w:val="en-US"/>
        </w:rPr>
        <w:instrText>dropping</w:instrText>
      </w:r>
      <w:r w:rsidR="00A6794A" w:rsidRPr="00471424">
        <w:instrText>-</w:instrText>
      </w:r>
      <w:r w:rsidR="00A6794A">
        <w:rPr>
          <w:lang w:val="en-US"/>
        </w:rPr>
        <w:instrText>particle</w:instrText>
      </w:r>
      <w:r w:rsidR="00A6794A" w:rsidRPr="00471424">
        <w:instrText>":"","</w:instrText>
      </w:r>
      <w:r w:rsidR="00A6794A">
        <w:rPr>
          <w:lang w:val="en-US"/>
        </w:rPr>
        <w:instrText>parse</w:instrText>
      </w:r>
      <w:r w:rsidR="00A6794A" w:rsidRPr="00471424">
        <w:instrText>-</w:instrText>
      </w:r>
      <w:r w:rsidR="00A6794A">
        <w:rPr>
          <w:lang w:val="en-US"/>
        </w:rPr>
        <w:instrText>names</w:instrText>
      </w:r>
      <w:r w:rsidR="00A6794A" w:rsidRPr="00471424">
        <w:instrText>":</w:instrText>
      </w:r>
      <w:r w:rsidR="00A6794A">
        <w:rPr>
          <w:lang w:val="en-US"/>
        </w:rPr>
        <w:instrText>false</w:instrText>
      </w:r>
      <w:r w:rsidR="00A6794A" w:rsidRPr="00471424">
        <w:instrText>,"</w:instrText>
      </w:r>
      <w:r w:rsidR="00A6794A">
        <w:rPr>
          <w:lang w:val="en-US"/>
        </w:rPr>
        <w:instrText>suffix</w:instrText>
      </w:r>
      <w:r w:rsidR="00A6794A" w:rsidRPr="00471424">
        <w:instrText>":""}],"</w:instrText>
      </w:r>
      <w:r w:rsidR="00A6794A">
        <w:rPr>
          <w:lang w:val="en-US"/>
        </w:rPr>
        <w:instrText>container</w:instrText>
      </w:r>
      <w:r w:rsidR="00A6794A" w:rsidRPr="00471424">
        <w:instrText>-</w:instrText>
      </w:r>
      <w:r w:rsidR="00A6794A">
        <w:rPr>
          <w:lang w:val="en-US"/>
        </w:rPr>
        <w:instrText>title</w:instrText>
      </w:r>
      <w:r w:rsidR="00A6794A" w:rsidRPr="00471424">
        <w:instrText>":"</w:instrText>
      </w:r>
      <w:r w:rsidR="00A6794A">
        <w:rPr>
          <w:lang w:val="en-US"/>
        </w:rPr>
        <w:instrText>Blood</w:instrText>
      </w:r>
      <w:r w:rsidR="00A6794A" w:rsidRPr="00471424">
        <w:instrText>","</w:instrText>
      </w:r>
      <w:r w:rsidR="00A6794A">
        <w:rPr>
          <w:lang w:val="en-US"/>
        </w:rPr>
        <w:instrText>id</w:instrText>
      </w:r>
      <w:r w:rsidR="00A6794A" w:rsidRPr="00471424">
        <w:instrText>":"</w:instrText>
      </w:r>
      <w:r w:rsidR="00A6794A">
        <w:rPr>
          <w:lang w:val="en-US"/>
        </w:rPr>
        <w:instrText>ITEM</w:instrText>
      </w:r>
      <w:r w:rsidR="00A6794A" w:rsidRPr="00471424">
        <w:instrText>-1","</w:instrText>
      </w:r>
      <w:r w:rsidR="00A6794A">
        <w:rPr>
          <w:lang w:val="en-US"/>
        </w:rPr>
        <w:instrText>issue</w:instrText>
      </w:r>
      <w:r w:rsidR="00A6794A" w:rsidRPr="00471424">
        <w:instrText>":"10","</w:instrText>
      </w:r>
      <w:r w:rsidR="00A6794A">
        <w:rPr>
          <w:lang w:val="en-US"/>
        </w:rPr>
        <w:instrText>issued</w:instrText>
      </w:r>
      <w:r w:rsidR="00A6794A" w:rsidRPr="00471424">
        <w:instrText>":{"</w:instrText>
      </w:r>
      <w:r w:rsidR="00A6794A">
        <w:rPr>
          <w:lang w:val="en-US"/>
        </w:rPr>
        <w:instrText>date</w:instrText>
      </w:r>
      <w:r w:rsidR="00A6794A" w:rsidRPr="00471424">
        <w:instrText>-</w:instrText>
      </w:r>
      <w:r w:rsidR="00A6794A">
        <w:rPr>
          <w:lang w:val="en-US"/>
        </w:rPr>
        <w:instrText>parts</w:instrText>
      </w:r>
      <w:r w:rsidR="00A6794A" w:rsidRPr="00471424">
        <w:instrText>":[["2008","5","15"]]},"</w:instrText>
      </w:r>
      <w:r w:rsidR="00A6794A">
        <w:rPr>
          <w:lang w:val="en-US"/>
        </w:rPr>
        <w:instrText>page</w:instrText>
      </w:r>
      <w:r w:rsidR="00A6794A" w:rsidRPr="00471424">
        <w:instrText>":"4902-4907","</w:instrText>
      </w:r>
      <w:r w:rsidR="00A6794A">
        <w:rPr>
          <w:lang w:val="en-US"/>
        </w:rPr>
        <w:instrText>title</w:instrText>
      </w:r>
      <w:r w:rsidR="00A6794A" w:rsidRPr="00471424">
        <w:instrText>":"</w:instrText>
      </w:r>
      <w:r w:rsidR="00A6794A">
        <w:rPr>
          <w:lang w:val="en-US"/>
        </w:rPr>
        <w:instrText>Development</w:instrText>
      </w:r>
      <w:r w:rsidR="00A6794A" w:rsidRPr="00471424">
        <w:instrText xml:space="preserve"> </w:instrText>
      </w:r>
      <w:r w:rsidR="00A6794A">
        <w:rPr>
          <w:lang w:val="en-US"/>
        </w:rPr>
        <w:instrText>and</w:instrText>
      </w:r>
      <w:r w:rsidR="00A6794A" w:rsidRPr="00471424">
        <w:instrText xml:space="preserve"> </w:instrText>
      </w:r>
      <w:r w:rsidR="00A6794A">
        <w:rPr>
          <w:lang w:val="en-US"/>
        </w:rPr>
        <w:instrText>validation</w:instrText>
      </w:r>
      <w:r w:rsidR="00A6794A" w:rsidRPr="00471424">
        <w:instrText xml:space="preserve"> </w:instrText>
      </w:r>
      <w:r w:rsidR="00A6794A">
        <w:rPr>
          <w:lang w:val="en-US"/>
        </w:rPr>
        <w:instrText>of</w:instrText>
      </w:r>
      <w:r w:rsidR="00A6794A" w:rsidRPr="00471424">
        <w:instrText xml:space="preserve"> </w:instrText>
      </w:r>
      <w:r w:rsidR="00A6794A">
        <w:rPr>
          <w:lang w:val="en-US"/>
        </w:rPr>
        <w:instrText>a</w:instrText>
      </w:r>
      <w:r w:rsidR="00A6794A" w:rsidRPr="00471424">
        <w:instrText xml:space="preserve"> </w:instrText>
      </w:r>
      <w:r w:rsidR="00A6794A">
        <w:rPr>
          <w:lang w:val="en-US"/>
        </w:rPr>
        <w:instrText>predictive</w:instrText>
      </w:r>
      <w:r w:rsidR="00A6794A" w:rsidRPr="00471424">
        <w:instrText xml:space="preserve"> </w:instrText>
      </w:r>
      <w:r w:rsidR="00A6794A">
        <w:rPr>
          <w:lang w:val="en-US"/>
        </w:rPr>
        <w:instrText>model</w:instrText>
      </w:r>
      <w:r w:rsidR="00A6794A" w:rsidRPr="00471424">
        <w:instrText xml:space="preserve"> </w:instrText>
      </w:r>
      <w:r w:rsidR="00A6794A">
        <w:rPr>
          <w:lang w:val="en-US"/>
        </w:rPr>
        <w:instrText>for</w:instrText>
      </w:r>
      <w:r w:rsidR="00A6794A" w:rsidRPr="00471424">
        <w:instrText xml:space="preserve"> </w:instrText>
      </w:r>
      <w:r w:rsidR="00A6794A">
        <w:rPr>
          <w:lang w:val="en-US"/>
        </w:rPr>
        <w:instrText>chemotherapy</w:instrText>
      </w:r>
      <w:r w:rsidR="00A6794A" w:rsidRPr="00471424">
        <w:instrText xml:space="preserve">- </w:instrText>
      </w:r>
      <w:r w:rsidR="00A6794A">
        <w:rPr>
          <w:lang w:val="en-US"/>
        </w:rPr>
        <w:instrText>associated</w:instrText>
      </w:r>
      <w:r w:rsidR="00A6794A" w:rsidRPr="00471424">
        <w:instrText xml:space="preserve"> </w:instrText>
      </w:r>
      <w:r w:rsidR="00A6794A">
        <w:rPr>
          <w:lang w:val="en-US"/>
        </w:rPr>
        <w:instrText>thrombosis</w:instrText>
      </w:r>
      <w:r w:rsidR="00A6794A" w:rsidRPr="00471424">
        <w:instrText>","</w:instrText>
      </w:r>
      <w:r w:rsidR="00A6794A">
        <w:rPr>
          <w:lang w:val="en-US"/>
        </w:rPr>
        <w:instrText>type</w:instrText>
      </w:r>
      <w:r w:rsidR="00A6794A" w:rsidRPr="00471424">
        <w:instrText>":"</w:instrText>
      </w:r>
      <w:r w:rsidR="00A6794A">
        <w:rPr>
          <w:lang w:val="en-US"/>
        </w:rPr>
        <w:instrText>article</w:instrText>
      </w:r>
      <w:r w:rsidR="00A6794A" w:rsidRPr="00471424">
        <w:instrText>-</w:instrText>
      </w:r>
      <w:r w:rsidR="00A6794A">
        <w:rPr>
          <w:lang w:val="en-US"/>
        </w:rPr>
        <w:instrText>journal</w:instrText>
      </w:r>
      <w:r w:rsidR="00A6794A" w:rsidRPr="00471424">
        <w:instrText>","</w:instrText>
      </w:r>
      <w:r w:rsidR="00A6794A">
        <w:rPr>
          <w:lang w:val="en-US"/>
        </w:rPr>
        <w:instrText>volume</w:instrText>
      </w:r>
      <w:r w:rsidR="00A6794A" w:rsidRPr="00471424">
        <w:instrText>":"111"},"</w:instrText>
      </w:r>
      <w:r w:rsidR="00A6794A">
        <w:rPr>
          <w:lang w:val="en-US"/>
        </w:rPr>
        <w:instrText>uris</w:instrText>
      </w:r>
      <w:r w:rsidR="00A6794A" w:rsidRPr="00471424">
        <w:instrText>":["</w:instrText>
      </w:r>
      <w:r w:rsidR="00A6794A">
        <w:rPr>
          <w:lang w:val="en-US"/>
        </w:rPr>
        <w:instrText>http</w:instrText>
      </w:r>
      <w:r w:rsidR="00A6794A" w:rsidRPr="00471424">
        <w:instrText>://</w:instrText>
      </w:r>
      <w:r w:rsidR="00A6794A">
        <w:rPr>
          <w:lang w:val="en-US"/>
        </w:rPr>
        <w:instrText>www</w:instrText>
      </w:r>
      <w:r w:rsidR="00A6794A" w:rsidRPr="00471424">
        <w:instrText>.</w:instrText>
      </w:r>
      <w:r w:rsidR="00A6794A">
        <w:rPr>
          <w:lang w:val="en-US"/>
        </w:rPr>
        <w:instrText>mendeley</w:instrText>
      </w:r>
      <w:r w:rsidR="00A6794A" w:rsidRPr="00471424">
        <w:instrText>.</w:instrText>
      </w:r>
      <w:r w:rsidR="00A6794A">
        <w:rPr>
          <w:lang w:val="en-US"/>
        </w:rPr>
        <w:instrText>com</w:instrText>
      </w:r>
      <w:r w:rsidR="00A6794A" w:rsidRPr="00471424">
        <w:instrText>/</w:instrText>
      </w:r>
      <w:r w:rsidR="00A6794A">
        <w:rPr>
          <w:lang w:val="en-US"/>
        </w:rPr>
        <w:instrText>documents</w:instrText>
      </w:r>
      <w:r w:rsidR="00A6794A" w:rsidRPr="00471424">
        <w:instrText>/?</w:instrText>
      </w:r>
      <w:r w:rsidR="00A6794A">
        <w:rPr>
          <w:lang w:val="en-US"/>
        </w:rPr>
        <w:instrText>uuid</w:instrText>
      </w:r>
      <w:r w:rsidR="00A6794A" w:rsidRPr="00471424">
        <w:instrText>=4</w:instrText>
      </w:r>
      <w:r w:rsidR="00A6794A">
        <w:rPr>
          <w:lang w:val="en-US"/>
        </w:rPr>
        <w:instrText>c</w:instrText>
      </w:r>
      <w:r w:rsidR="00A6794A" w:rsidRPr="00471424">
        <w:instrText>4</w:instrText>
      </w:r>
      <w:r w:rsidR="00A6794A">
        <w:rPr>
          <w:lang w:val="en-US"/>
        </w:rPr>
        <w:instrText>dbd</w:instrText>
      </w:r>
      <w:r w:rsidR="00A6794A" w:rsidRPr="00471424">
        <w:instrText>48-436</w:instrText>
      </w:r>
      <w:r w:rsidR="00A6794A">
        <w:rPr>
          <w:lang w:val="en-US"/>
        </w:rPr>
        <w:instrText>b</w:instrText>
      </w:r>
      <w:r w:rsidR="00A6794A" w:rsidRPr="00471424">
        <w:instrText>-35</w:instrText>
      </w:r>
      <w:r w:rsidR="00A6794A">
        <w:rPr>
          <w:lang w:val="en-US"/>
        </w:rPr>
        <w:instrText>e</w:instrText>
      </w:r>
      <w:r w:rsidR="00A6794A" w:rsidRPr="00471424">
        <w:instrText>3-9</w:instrText>
      </w:r>
      <w:r w:rsidR="00A6794A">
        <w:rPr>
          <w:lang w:val="en-US"/>
        </w:rPr>
        <w:instrText>a</w:instrText>
      </w:r>
      <w:r w:rsidR="00A6794A" w:rsidRPr="00471424">
        <w:instrText>94-775</w:instrText>
      </w:r>
      <w:r w:rsidR="00A6794A">
        <w:rPr>
          <w:lang w:val="en-US"/>
        </w:rPr>
        <w:instrText>de</w:instrText>
      </w:r>
      <w:r w:rsidR="00A6794A" w:rsidRPr="00471424">
        <w:instrText>2</w:instrText>
      </w:r>
      <w:r w:rsidR="00A6794A">
        <w:rPr>
          <w:lang w:val="en-US"/>
        </w:rPr>
        <w:instrText>fff</w:instrText>
      </w:r>
      <w:r w:rsidR="00A6794A" w:rsidRPr="00471424">
        <w:instrText>380"]}],"</w:instrText>
      </w:r>
      <w:r w:rsidR="00A6794A">
        <w:rPr>
          <w:lang w:val="en-US"/>
        </w:rPr>
        <w:instrText>mendeley</w:instrText>
      </w:r>
      <w:r w:rsidR="00A6794A" w:rsidRPr="00471424">
        <w:instrText>":{"</w:instrText>
      </w:r>
      <w:r w:rsidR="00A6794A">
        <w:rPr>
          <w:lang w:val="en-US"/>
        </w:rPr>
        <w:instrText>formattedCitation</w:instrText>
      </w:r>
      <w:r w:rsidR="00A6794A" w:rsidRPr="00471424">
        <w:instrText>":"[261]","</w:instrText>
      </w:r>
      <w:r w:rsidR="00A6794A">
        <w:rPr>
          <w:lang w:val="en-US"/>
        </w:rPr>
        <w:instrText>plainTextFormattedCitation</w:instrText>
      </w:r>
      <w:r w:rsidR="00A6794A" w:rsidRPr="00471424">
        <w:instrText>":"[261]","</w:instrText>
      </w:r>
      <w:r w:rsidR="00A6794A">
        <w:rPr>
          <w:lang w:val="en-US"/>
        </w:rPr>
        <w:instrText>previouslyFormattedCitation</w:instrText>
      </w:r>
      <w:r w:rsidR="00A6794A" w:rsidRPr="00471424">
        <w:instrText>":"[261]"},"</w:instrText>
      </w:r>
      <w:r w:rsidR="00A6794A">
        <w:rPr>
          <w:lang w:val="en-US"/>
        </w:rPr>
        <w:instrText>properties</w:instrText>
      </w:r>
      <w:r w:rsidR="00A6794A" w:rsidRPr="00471424">
        <w:instrText>":{"</w:instrText>
      </w:r>
      <w:r w:rsidR="00A6794A">
        <w:rPr>
          <w:lang w:val="en-US"/>
        </w:rPr>
        <w:instrText>noteIndex</w:instrText>
      </w:r>
      <w:r w:rsidR="00A6794A" w:rsidRPr="00471424">
        <w:instrText>":0},"</w:instrText>
      </w:r>
      <w:r w:rsidR="00A6794A">
        <w:rPr>
          <w:lang w:val="en-US"/>
        </w:rPr>
        <w:instrText>schema</w:instrText>
      </w:r>
      <w:r w:rsidR="00A6794A" w:rsidRPr="00471424">
        <w:instrText>":"</w:instrText>
      </w:r>
      <w:r w:rsidR="00A6794A">
        <w:rPr>
          <w:lang w:val="en-US"/>
        </w:rPr>
        <w:instrText>https</w:instrText>
      </w:r>
      <w:r w:rsidR="00A6794A" w:rsidRPr="00471424">
        <w:instrText>://</w:instrText>
      </w:r>
      <w:r w:rsidR="00A6794A">
        <w:rPr>
          <w:lang w:val="en-US"/>
        </w:rPr>
        <w:instrText>github</w:instrText>
      </w:r>
      <w:r w:rsidR="00A6794A" w:rsidRPr="00471424">
        <w:instrText>.</w:instrText>
      </w:r>
      <w:r w:rsidR="00A6794A">
        <w:rPr>
          <w:lang w:val="en-US"/>
        </w:rPr>
        <w:instrText>com</w:instrText>
      </w:r>
      <w:r w:rsidR="00A6794A" w:rsidRPr="00471424">
        <w:instrText>/</w:instrText>
      </w:r>
      <w:r w:rsidR="00A6794A">
        <w:rPr>
          <w:lang w:val="en-US"/>
        </w:rPr>
        <w:instrText>citation</w:instrText>
      </w:r>
      <w:r w:rsidR="00A6794A" w:rsidRPr="00471424">
        <w:instrText>-</w:instrText>
      </w:r>
      <w:r w:rsidR="00A6794A">
        <w:rPr>
          <w:lang w:val="en-US"/>
        </w:rPr>
        <w:instrText>style</w:instrText>
      </w:r>
      <w:r w:rsidR="00A6794A" w:rsidRPr="00471424">
        <w:instrText>-</w:instrText>
      </w:r>
      <w:r w:rsidR="00A6794A">
        <w:rPr>
          <w:lang w:val="en-US"/>
        </w:rPr>
        <w:instrText>language</w:instrText>
      </w:r>
      <w:r w:rsidR="00A6794A" w:rsidRPr="00471424">
        <w:instrText>/</w:instrText>
      </w:r>
      <w:r w:rsidR="00A6794A">
        <w:rPr>
          <w:lang w:val="en-US"/>
        </w:rPr>
        <w:instrText>schema</w:instrText>
      </w:r>
      <w:r w:rsidR="00A6794A" w:rsidRPr="00471424">
        <w:instrText>/</w:instrText>
      </w:r>
      <w:r w:rsidR="00A6794A">
        <w:rPr>
          <w:lang w:val="en-US"/>
        </w:rPr>
        <w:instrText>raw</w:instrText>
      </w:r>
      <w:r w:rsidR="00A6794A" w:rsidRPr="00471424">
        <w:instrText>/</w:instrText>
      </w:r>
      <w:r w:rsidR="00A6794A">
        <w:rPr>
          <w:lang w:val="en-US"/>
        </w:rPr>
        <w:instrText>master</w:instrText>
      </w:r>
      <w:r w:rsidR="00A6794A" w:rsidRPr="00471424">
        <w:instrText>/</w:instrText>
      </w:r>
      <w:r w:rsidR="00A6794A">
        <w:rPr>
          <w:lang w:val="en-US"/>
        </w:rPr>
        <w:instrText>csl</w:instrText>
      </w:r>
      <w:r w:rsidR="00A6794A" w:rsidRPr="00471424">
        <w:instrText>-</w:instrText>
      </w:r>
      <w:r w:rsidR="00A6794A">
        <w:rPr>
          <w:lang w:val="en-US"/>
        </w:rPr>
        <w:instrText>citation</w:instrText>
      </w:r>
      <w:r w:rsidR="00A6794A" w:rsidRPr="00471424">
        <w:instrText>.</w:instrText>
      </w:r>
      <w:r w:rsidR="00A6794A">
        <w:rPr>
          <w:lang w:val="en-US"/>
        </w:rPr>
        <w:instrText>json</w:instrText>
      </w:r>
      <w:r w:rsidR="00A6794A" w:rsidRPr="00471424">
        <w:instrText>"}</w:instrText>
      </w:r>
      <w:r w:rsidRPr="000322E4">
        <w:fldChar w:fldCharType="separate"/>
      </w:r>
      <w:r w:rsidR="006E1902" w:rsidRPr="006E1902">
        <w:rPr>
          <w:noProof/>
        </w:rPr>
        <w:t>[261]</w:t>
      </w:r>
      <w:r w:rsidRPr="000322E4">
        <w:fldChar w:fldCharType="end"/>
      </w:r>
    </w:p>
    <w:p w14:paraId="40C50350" w14:textId="77777777" w:rsidR="00F82D52" w:rsidRPr="000322E4" w:rsidRDefault="00F82D52" w:rsidP="008E3584">
      <w:pPr>
        <w:spacing w:line="360" w:lineRule="auto"/>
        <w:jc w:val="both"/>
      </w:pPr>
      <w:r w:rsidRPr="000322E4">
        <w:t>Тип: шкала оценки</w:t>
      </w:r>
    </w:p>
    <w:p w14:paraId="611CE4D5" w14:textId="77777777" w:rsidR="00F82D52" w:rsidRPr="000322E4" w:rsidRDefault="00F82D52" w:rsidP="008E3584">
      <w:pPr>
        <w:spacing w:line="360" w:lineRule="auto"/>
        <w:jc w:val="both"/>
      </w:pPr>
      <w:r w:rsidRPr="000322E4">
        <w:t xml:space="preserve">Назначение: клиническая оценка общего состояния пациента </w:t>
      </w:r>
    </w:p>
    <w:p w14:paraId="2C83B83D" w14:textId="77777777" w:rsidR="00F82D52" w:rsidRPr="000322E4" w:rsidRDefault="00F82D52" w:rsidP="008E3584">
      <w:pPr>
        <w:spacing w:line="360" w:lineRule="auto"/>
        <w:jc w:val="both"/>
        <w:rPr>
          <w:bCs/>
        </w:rPr>
      </w:pPr>
      <w:r w:rsidRPr="000322E4">
        <w:rPr>
          <w:bCs/>
        </w:rPr>
        <w:t>Содержание и интерпретация:</w:t>
      </w:r>
    </w:p>
    <w:p w14:paraId="543FD579" w14:textId="77777777" w:rsidR="00F82D52" w:rsidRPr="000322E4" w:rsidRDefault="00F82D52" w:rsidP="00CA442F">
      <w:pPr>
        <w:pStyle w:val="afffb"/>
        <w:ind w:firstLine="0"/>
      </w:pPr>
    </w:p>
    <w:p w14:paraId="2FED7094" w14:textId="77777777" w:rsidR="00F82D52" w:rsidRPr="000322E4" w:rsidRDefault="00F82D52" w:rsidP="00CA442F">
      <w:pPr>
        <w:pStyle w:val="afffb"/>
        <w:ind w:firstLine="0"/>
      </w:pPr>
    </w:p>
    <w:tbl>
      <w:tblPr>
        <w:tblW w:w="5000" w:type="pct"/>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50" w:type="dxa"/>
          <w:bottom w:w="55" w:type="dxa"/>
          <w:right w:w="55" w:type="dxa"/>
        </w:tblCellMar>
        <w:tblLook w:val="0000" w:firstRow="0" w:lastRow="0" w:firstColumn="0" w:lastColumn="0" w:noHBand="0" w:noVBand="0"/>
      </w:tblPr>
      <w:tblGrid>
        <w:gridCol w:w="5424"/>
        <w:gridCol w:w="3359"/>
      </w:tblGrid>
      <w:tr w:rsidR="00F82D52" w:rsidRPr="000322E4" w14:paraId="2926211E" w14:textId="77777777" w:rsidTr="00CE3F35">
        <w:tc>
          <w:tcPr>
            <w:tcW w:w="3088" w:type="pct"/>
            <w:tcBorders>
              <w:top w:val="single" w:sz="2" w:space="0" w:color="000001"/>
              <w:left w:val="single" w:sz="2" w:space="0" w:color="000001"/>
              <w:bottom w:val="single" w:sz="2" w:space="0" w:color="000001"/>
              <w:right w:val="single" w:sz="2" w:space="0" w:color="000001"/>
            </w:tcBorders>
            <w:shd w:val="clear" w:color="auto" w:fill="auto"/>
          </w:tcPr>
          <w:p w14:paraId="4304ADA4" w14:textId="77777777" w:rsidR="00F82D52" w:rsidRPr="000322E4" w:rsidRDefault="00F82D52" w:rsidP="008E3584">
            <w:pPr>
              <w:spacing w:line="360" w:lineRule="auto"/>
              <w:jc w:val="both"/>
              <w:rPr>
                <w:b/>
              </w:rPr>
            </w:pPr>
            <w:r w:rsidRPr="000322E4">
              <w:rPr>
                <w:b/>
              </w:rPr>
              <w:lastRenderedPageBreak/>
              <w:t>ФАКТОРЫ РИСКА БАЛЛЫ</w:t>
            </w:r>
          </w:p>
        </w:tc>
        <w:tc>
          <w:tcPr>
            <w:tcW w:w="1912" w:type="pct"/>
            <w:tcBorders>
              <w:top w:val="single" w:sz="2" w:space="0" w:color="000001"/>
              <w:left w:val="single" w:sz="2" w:space="0" w:color="000001"/>
              <w:bottom w:val="single" w:sz="2" w:space="0" w:color="000001"/>
              <w:right w:val="single" w:sz="2" w:space="0" w:color="000001"/>
            </w:tcBorders>
            <w:shd w:val="clear" w:color="auto" w:fill="auto"/>
          </w:tcPr>
          <w:p w14:paraId="2586382F" w14:textId="77777777" w:rsidR="00F82D52" w:rsidRPr="000322E4" w:rsidRDefault="00F82D52" w:rsidP="008E3584">
            <w:pPr>
              <w:spacing w:line="360" w:lineRule="auto"/>
              <w:jc w:val="both"/>
              <w:rPr>
                <w:b/>
              </w:rPr>
            </w:pPr>
            <w:r w:rsidRPr="000322E4">
              <w:rPr>
                <w:b/>
              </w:rPr>
              <w:t>ФАКТОРЫ РИСКА БАЛЛЫ</w:t>
            </w:r>
          </w:p>
        </w:tc>
      </w:tr>
      <w:tr w:rsidR="00F82D52" w:rsidRPr="000322E4" w14:paraId="2E27DF36" w14:textId="77777777" w:rsidTr="00CE3F35">
        <w:tc>
          <w:tcPr>
            <w:tcW w:w="3088" w:type="pct"/>
            <w:tcBorders>
              <w:top w:val="single" w:sz="2" w:space="0" w:color="000001"/>
              <w:left w:val="single" w:sz="2" w:space="0" w:color="000001"/>
              <w:bottom w:val="single" w:sz="2" w:space="0" w:color="000001"/>
              <w:right w:val="single" w:sz="2" w:space="0" w:color="000001"/>
            </w:tcBorders>
            <w:shd w:val="clear" w:color="auto" w:fill="auto"/>
          </w:tcPr>
          <w:p w14:paraId="36D13EA9" w14:textId="77777777" w:rsidR="00F82D52" w:rsidRPr="000322E4" w:rsidRDefault="00F82D52" w:rsidP="008E3584">
            <w:pPr>
              <w:spacing w:line="360" w:lineRule="auto"/>
              <w:jc w:val="both"/>
            </w:pPr>
            <w:r w:rsidRPr="000322E4">
              <w:t>Локализация опухоли</w:t>
            </w:r>
          </w:p>
          <w:p w14:paraId="145DAD2B" w14:textId="77777777" w:rsidR="00F82D52" w:rsidRPr="000322E4" w:rsidRDefault="00F82D52" w:rsidP="008E3584">
            <w:pPr>
              <w:spacing w:line="360" w:lineRule="auto"/>
              <w:jc w:val="both"/>
            </w:pPr>
            <w:r w:rsidRPr="000322E4">
              <w:t>Очень высокий риск (желудок, поджелудочная железа)</w:t>
            </w:r>
          </w:p>
          <w:p w14:paraId="68C900F1" w14:textId="77777777" w:rsidR="00F82D52" w:rsidRPr="000322E4" w:rsidRDefault="00F82D52" w:rsidP="008E3584">
            <w:pPr>
              <w:spacing w:line="360" w:lineRule="auto"/>
              <w:jc w:val="both"/>
            </w:pPr>
            <w:r w:rsidRPr="000322E4">
              <w:t>Высокий риск (легкие, лимфома, кровь, яички, яичники, матка)</w:t>
            </w:r>
          </w:p>
        </w:tc>
        <w:tc>
          <w:tcPr>
            <w:tcW w:w="1912" w:type="pct"/>
            <w:tcBorders>
              <w:top w:val="single" w:sz="2" w:space="0" w:color="000001"/>
              <w:left w:val="single" w:sz="2" w:space="0" w:color="000001"/>
              <w:bottom w:val="single" w:sz="2" w:space="0" w:color="000001"/>
              <w:right w:val="single" w:sz="2" w:space="0" w:color="000001"/>
            </w:tcBorders>
            <w:shd w:val="clear" w:color="auto" w:fill="auto"/>
          </w:tcPr>
          <w:p w14:paraId="023611D8" w14:textId="77777777" w:rsidR="00F82D52" w:rsidRPr="000322E4" w:rsidRDefault="00F82D52" w:rsidP="008E3584">
            <w:pPr>
              <w:spacing w:line="360" w:lineRule="auto"/>
              <w:jc w:val="both"/>
            </w:pPr>
            <w:r w:rsidRPr="000322E4">
              <w:t>2</w:t>
            </w:r>
          </w:p>
          <w:p w14:paraId="6F573B58" w14:textId="77777777" w:rsidR="00F82D52" w:rsidRPr="000322E4" w:rsidRDefault="00F82D52" w:rsidP="008E3584">
            <w:pPr>
              <w:spacing w:line="360" w:lineRule="auto"/>
              <w:jc w:val="both"/>
            </w:pPr>
          </w:p>
          <w:p w14:paraId="008CA1CD" w14:textId="77777777" w:rsidR="00F82D52" w:rsidRPr="000322E4" w:rsidRDefault="00F82D52" w:rsidP="008E3584">
            <w:pPr>
              <w:spacing w:line="360" w:lineRule="auto"/>
              <w:jc w:val="both"/>
            </w:pPr>
            <w:r w:rsidRPr="000322E4">
              <w:t>1</w:t>
            </w:r>
          </w:p>
        </w:tc>
      </w:tr>
      <w:tr w:rsidR="00F82D52" w:rsidRPr="000322E4" w14:paraId="2434222D" w14:textId="77777777" w:rsidTr="00CE3F35">
        <w:tc>
          <w:tcPr>
            <w:tcW w:w="3088" w:type="pct"/>
            <w:tcBorders>
              <w:top w:val="single" w:sz="2" w:space="0" w:color="000001"/>
              <w:left w:val="single" w:sz="2" w:space="0" w:color="000001"/>
              <w:bottom w:val="single" w:sz="2" w:space="0" w:color="000001"/>
              <w:right w:val="single" w:sz="2" w:space="0" w:color="000001"/>
            </w:tcBorders>
            <w:shd w:val="clear" w:color="auto" w:fill="auto"/>
          </w:tcPr>
          <w:p w14:paraId="4AAAD4C3" w14:textId="77777777" w:rsidR="00F82D52" w:rsidRPr="000322E4" w:rsidRDefault="00F82D52" w:rsidP="008E3584">
            <w:pPr>
              <w:spacing w:line="360" w:lineRule="auto"/>
              <w:jc w:val="both"/>
            </w:pPr>
            <w:r w:rsidRPr="000322E4">
              <w:t>Количество тромбоцитов в крови перед началом химиотерапии ≥ 350 000/мл</w:t>
            </w:r>
            <w:r w:rsidRPr="000322E4">
              <w:rPr>
                <w:vertAlign w:val="superscript"/>
              </w:rPr>
              <w:t>3</w:t>
            </w:r>
          </w:p>
        </w:tc>
        <w:tc>
          <w:tcPr>
            <w:tcW w:w="1912" w:type="pct"/>
            <w:tcBorders>
              <w:top w:val="single" w:sz="2" w:space="0" w:color="000001"/>
              <w:left w:val="single" w:sz="2" w:space="0" w:color="000001"/>
              <w:bottom w:val="single" w:sz="2" w:space="0" w:color="000001"/>
              <w:right w:val="single" w:sz="2" w:space="0" w:color="000001"/>
            </w:tcBorders>
            <w:shd w:val="clear" w:color="auto" w:fill="auto"/>
          </w:tcPr>
          <w:p w14:paraId="16B12063" w14:textId="77777777" w:rsidR="00F82D52" w:rsidRPr="000322E4" w:rsidRDefault="00F82D52" w:rsidP="008E3584">
            <w:pPr>
              <w:spacing w:line="360" w:lineRule="auto"/>
              <w:jc w:val="both"/>
            </w:pPr>
            <w:r w:rsidRPr="000322E4">
              <w:t>1</w:t>
            </w:r>
          </w:p>
        </w:tc>
      </w:tr>
      <w:tr w:rsidR="00F82D52" w:rsidRPr="000322E4" w14:paraId="7FCAEF23" w14:textId="77777777" w:rsidTr="00CE3F35">
        <w:tc>
          <w:tcPr>
            <w:tcW w:w="3088" w:type="pct"/>
            <w:tcBorders>
              <w:top w:val="single" w:sz="2" w:space="0" w:color="000001"/>
              <w:left w:val="single" w:sz="2" w:space="0" w:color="000001"/>
              <w:bottom w:val="single" w:sz="2" w:space="0" w:color="000001"/>
              <w:right w:val="single" w:sz="2" w:space="0" w:color="000001"/>
            </w:tcBorders>
            <w:shd w:val="clear" w:color="auto" w:fill="auto"/>
          </w:tcPr>
          <w:p w14:paraId="7F0FD244" w14:textId="77777777" w:rsidR="00F82D52" w:rsidRPr="000322E4" w:rsidRDefault="00F82D52" w:rsidP="008E3584">
            <w:pPr>
              <w:spacing w:line="360" w:lineRule="auto"/>
              <w:jc w:val="both"/>
            </w:pPr>
            <w:r w:rsidRPr="000322E4">
              <w:t>Уровень гемоглобина менее 10 г/дл или использование эритропоэтинов</w:t>
            </w:r>
          </w:p>
        </w:tc>
        <w:tc>
          <w:tcPr>
            <w:tcW w:w="1912" w:type="pct"/>
            <w:tcBorders>
              <w:top w:val="single" w:sz="2" w:space="0" w:color="000001"/>
              <w:left w:val="single" w:sz="2" w:space="0" w:color="000001"/>
              <w:bottom w:val="single" w:sz="2" w:space="0" w:color="000001"/>
              <w:right w:val="single" w:sz="2" w:space="0" w:color="000001"/>
            </w:tcBorders>
            <w:shd w:val="clear" w:color="auto" w:fill="auto"/>
          </w:tcPr>
          <w:p w14:paraId="1D026434" w14:textId="77777777" w:rsidR="00F82D52" w:rsidRPr="000322E4" w:rsidRDefault="00F82D52" w:rsidP="008E3584">
            <w:pPr>
              <w:pStyle w:val="affff5"/>
              <w:jc w:val="both"/>
              <w:rPr>
                <w:rFonts w:cs="Times New Roman"/>
                <w:szCs w:val="24"/>
              </w:rPr>
            </w:pPr>
            <w:r w:rsidRPr="000322E4">
              <w:rPr>
                <w:rFonts w:cs="Times New Roman"/>
                <w:szCs w:val="24"/>
              </w:rPr>
              <w:t>1</w:t>
            </w:r>
          </w:p>
        </w:tc>
      </w:tr>
      <w:tr w:rsidR="00F82D52" w:rsidRPr="000322E4" w14:paraId="0774D50B" w14:textId="77777777" w:rsidTr="00CE3F35">
        <w:tc>
          <w:tcPr>
            <w:tcW w:w="3088" w:type="pct"/>
            <w:tcBorders>
              <w:top w:val="single" w:sz="2" w:space="0" w:color="000001"/>
              <w:left w:val="single" w:sz="2" w:space="0" w:color="000001"/>
              <w:bottom w:val="single" w:sz="2" w:space="0" w:color="000001"/>
              <w:right w:val="single" w:sz="2" w:space="0" w:color="000001"/>
            </w:tcBorders>
            <w:shd w:val="clear" w:color="auto" w:fill="auto"/>
          </w:tcPr>
          <w:p w14:paraId="27450029" w14:textId="77777777" w:rsidR="00F82D52" w:rsidRPr="000322E4" w:rsidRDefault="00F82D52" w:rsidP="008E3584">
            <w:pPr>
              <w:spacing w:line="360" w:lineRule="auto"/>
              <w:jc w:val="both"/>
            </w:pPr>
            <w:r w:rsidRPr="000322E4">
              <w:t>Количество лейкоцитов в крови перед началом химиотерапии &gt; 11 000/мл</w:t>
            </w:r>
            <w:r w:rsidRPr="000322E4">
              <w:rPr>
                <w:vertAlign w:val="superscript"/>
              </w:rPr>
              <w:t>3</w:t>
            </w:r>
          </w:p>
        </w:tc>
        <w:tc>
          <w:tcPr>
            <w:tcW w:w="1912" w:type="pct"/>
            <w:tcBorders>
              <w:top w:val="single" w:sz="2" w:space="0" w:color="000001"/>
              <w:left w:val="single" w:sz="2" w:space="0" w:color="000001"/>
              <w:bottom w:val="single" w:sz="2" w:space="0" w:color="000001"/>
              <w:right w:val="single" w:sz="2" w:space="0" w:color="000001"/>
            </w:tcBorders>
            <w:shd w:val="clear" w:color="auto" w:fill="auto"/>
          </w:tcPr>
          <w:p w14:paraId="1D23F4D8" w14:textId="77777777" w:rsidR="00F82D52" w:rsidRPr="000322E4" w:rsidRDefault="00F82D52" w:rsidP="008E3584">
            <w:pPr>
              <w:pStyle w:val="affff5"/>
              <w:jc w:val="both"/>
              <w:rPr>
                <w:rFonts w:cs="Times New Roman"/>
                <w:szCs w:val="24"/>
              </w:rPr>
            </w:pPr>
            <w:r w:rsidRPr="000322E4">
              <w:rPr>
                <w:rFonts w:cs="Times New Roman"/>
                <w:szCs w:val="24"/>
              </w:rPr>
              <w:t>1</w:t>
            </w:r>
          </w:p>
        </w:tc>
      </w:tr>
      <w:tr w:rsidR="00F82D52" w:rsidRPr="000322E4" w14:paraId="50C5DD79" w14:textId="77777777" w:rsidTr="00CE3F35">
        <w:tc>
          <w:tcPr>
            <w:tcW w:w="3088" w:type="pct"/>
            <w:tcBorders>
              <w:top w:val="single" w:sz="2" w:space="0" w:color="000001"/>
              <w:left w:val="single" w:sz="2" w:space="0" w:color="000001"/>
              <w:bottom w:val="single" w:sz="2" w:space="0" w:color="000001"/>
              <w:right w:val="single" w:sz="2" w:space="0" w:color="000001"/>
            </w:tcBorders>
            <w:shd w:val="clear" w:color="auto" w:fill="auto"/>
          </w:tcPr>
          <w:p w14:paraId="281DC0EB" w14:textId="77777777" w:rsidR="00F82D52" w:rsidRPr="000322E4" w:rsidRDefault="00F82D52" w:rsidP="008E3584">
            <w:pPr>
              <w:spacing w:line="360" w:lineRule="auto"/>
              <w:jc w:val="both"/>
            </w:pPr>
            <w:r w:rsidRPr="000322E4">
              <w:t>Ожирение (индекс массы тела выше 35 кг/м</w:t>
            </w:r>
            <w:r w:rsidRPr="000322E4">
              <w:rPr>
                <w:vertAlign w:val="superscript"/>
              </w:rPr>
              <w:t>2</w:t>
            </w:r>
            <w:r w:rsidRPr="000322E4">
              <w:t>) и выше</w:t>
            </w:r>
          </w:p>
        </w:tc>
        <w:tc>
          <w:tcPr>
            <w:tcW w:w="1912" w:type="pct"/>
            <w:tcBorders>
              <w:top w:val="single" w:sz="2" w:space="0" w:color="000001"/>
              <w:left w:val="single" w:sz="2" w:space="0" w:color="000001"/>
              <w:bottom w:val="single" w:sz="2" w:space="0" w:color="000001"/>
              <w:right w:val="single" w:sz="2" w:space="0" w:color="000001"/>
            </w:tcBorders>
            <w:shd w:val="clear" w:color="auto" w:fill="auto"/>
          </w:tcPr>
          <w:p w14:paraId="187EBA82" w14:textId="77777777" w:rsidR="00F82D52" w:rsidRPr="000322E4" w:rsidRDefault="00F82D52" w:rsidP="008E3584">
            <w:pPr>
              <w:pStyle w:val="affff5"/>
              <w:jc w:val="both"/>
              <w:rPr>
                <w:rFonts w:cs="Times New Roman"/>
                <w:szCs w:val="24"/>
              </w:rPr>
            </w:pPr>
            <w:r w:rsidRPr="000322E4">
              <w:rPr>
                <w:rFonts w:cs="Times New Roman"/>
                <w:szCs w:val="24"/>
              </w:rPr>
              <w:t>1</w:t>
            </w:r>
          </w:p>
        </w:tc>
      </w:tr>
      <w:tr w:rsidR="00F82D52" w:rsidRPr="000322E4" w14:paraId="64121B58" w14:textId="77777777" w:rsidTr="00CE3F35">
        <w:tc>
          <w:tcPr>
            <w:tcW w:w="3088" w:type="pct"/>
            <w:tcBorders>
              <w:top w:val="single" w:sz="2" w:space="0" w:color="000001"/>
              <w:left w:val="single" w:sz="2" w:space="0" w:color="000001"/>
              <w:bottom w:val="single" w:sz="2" w:space="0" w:color="000001"/>
              <w:right w:val="single" w:sz="2" w:space="0" w:color="000001"/>
            </w:tcBorders>
            <w:shd w:val="clear" w:color="auto" w:fill="auto"/>
          </w:tcPr>
          <w:p w14:paraId="51CE5967" w14:textId="77777777" w:rsidR="00F82D52" w:rsidRPr="000322E4" w:rsidRDefault="00F82D52" w:rsidP="008E3584">
            <w:pPr>
              <w:pStyle w:val="affff5"/>
              <w:jc w:val="both"/>
              <w:rPr>
                <w:rFonts w:cs="Times New Roman"/>
                <w:szCs w:val="24"/>
              </w:rPr>
            </w:pPr>
          </w:p>
        </w:tc>
        <w:tc>
          <w:tcPr>
            <w:tcW w:w="1912" w:type="pct"/>
            <w:tcBorders>
              <w:top w:val="single" w:sz="2" w:space="0" w:color="000001"/>
              <w:left w:val="single" w:sz="2" w:space="0" w:color="000001"/>
              <w:bottom w:val="single" w:sz="2" w:space="0" w:color="000001"/>
              <w:right w:val="single" w:sz="2" w:space="0" w:color="000001"/>
            </w:tcBorders>
            <w:shd w:val="clear" w:color="auto" w:fill="auto"/>
          </w:tcPr>
          <w:p w14:paraId="74489437" w14:textId="77777777" w:rsidR="00F82D52" w:rsidRPr="000322E4" w:rsidRDefault="00F82D52" w:rsidP="008E3584">
            <w:pPr>
              <w:spacing w:line="360" w:lineRule="auto"/>
              <w:jc w:val="both"/>
            </w:pPr>
            <w:r w:rsidRPr="000322E4">
              <w:t>Риск развития ВТЭО</w:t>
            </w:r>
          </w:p>
          <w:p w14:paraId="1F6AECFB" w14:textId="77777777" w:rsidR="00F82D52" w:rsidRPr="000322E4" w:rsidRDefault="00F82D52" w:rsidP="008E3584">
            <w:pPr>
              <w:spacing w:line="360" w:lineRule="auto"/>
              <w:jc w:val="both"/>
            </w:pPr>
            <w:r w:rsidRPr="000322E4">
              <w:t>за 2–5 мес. (%)</w:t>
            </w:r>
          </w:p>
        </w:tc>
      </w:tr>
      <w:tr w:rsidR="00F82D52" w:rsidRPr="000322E4" w14:paraId="4623EAA5" w14:textId="77777777" w:rsidTr="00CE3F35">
        <w:tc>
          <w:tcPr>
            <w:tcW w:w="3088" w:type="pct"/>
            <w:tcBorders>
              <w:top w:val="single" w:sz="2" w:space="0" w:color="000001"/>
              <w:left w:val="single" w:sz="2" w:space="0" w:color="000001"/>
              <w:bottom w:val="single" w:sz="2" w:space="0" w:color="000001"/>
              <w:right w:val="single" w:sz="2" w:space="0" w:color="000001"/>
            </w:tcBorders>
            <w:shd w:val="clear" w:color="auto" w:fill="auto"/>
          </w:tcPr>
          <w:p w14:paraId="25AFE7B8" w14:textId="77777777" w:rsidR="00F82D52" w:rsidRPr="000322E4" w:rsidRDefault="00F82D52" w:rsidP="008E3584">
            <w:pPr>
              <w:spacing w:line="360" w:lineRule="auto"/>
              <w:jc w:val="both"/>
            </w:pPr>
            <w:r w:rsidRPr="000322E4">
              <w:t>Высокий риск, сумма баллов ≥ 3</w:t>
            </w:r>
          </w:p>
        </w:tc>
        <w:tc>
          <w:tcPr>
            <w:tcW w:w="1912" w:type="pct"/>
            <w:tcBorders>
              <w:top w:val="single" w:sz="2" w:space="0" w:color="000001"/>
              <w:left w:val="single" w:sz="2" w:space="0" w:color="000001"/>
              <w:bottom w:val="single" w:sz="2" w:space="0" w:color="000001"/>
              <w:right w:val="single" w:sz="2" w:space="0" w:color="000001"/>
            </w:tcBorders>
            <w:shd w:val="clear" w:color="auto" w:fill="auto"/>
          </w:tcPr>
          <w:p w14:paraId="68595522" w14:textId="77777777" w:rsidR="00F82D52" w:rsidRPr="000322E4" w:rsidRDefault="00F82D52" w:rsidP="008E3584">
            <w:pPr>
              <w:spacing w:line="360" w:lineRule="auto"/>
              <w:jc w:val="both"/>
            </w:pPr>
            <w:r w:rsidRPr="000322E4">
              <w:t>6,7–7,1</w:t>
            </w:r>
          </w:p>
        </w:tc>
      </w:tr>
      <w:tr w:rsidR="00F82D52" w:rsidRPr="000322E4" w14:paraId="178FB32D" w14:textId="77777777" w:rsidTr="00CE3F35">
        <w:tc>
          <w:tcPr>
            <w:tcW w:w="3088" w:type="pct"/>
            <w:tcBorders>
              <w:top w:val="single" w:sz="2" w:space="0" w:color="000001"/>
              <w:left w:val="single" w:sz="2" w:space="0" w:color="000001"/>
              <w:bottom w:val="single" w:sz="2" w:space="0" w:color="000001"/>
              <w:right w:val="single" w:sz="2" w:space="0" w:color="000001"/>
            </w:tcBorders>
            <w:shd w:val="clear" w:color="auto" w:fill="auto"/>
          </w:tcPr>
          <w:p w14:paraId="6AED87FE" w14:textId="77777777" w:rsidR="00F82D52" w:rsidRPr="000322E4" w:rsidRDefault="00F82D52" w:rsidP="008E3584">
            <w:pPr>
              <w:spacing w:line="360" w:lineRule="auto"/>
              <w:jc w:val="both"/>
            </w:pPr>
            <w:r w:rsidRPr="000322E4">
              <w:t>Средний риск, сумма баллов 1–2</w:t>
            </w:r>
          </w:p>
        </w:tc>
        <w:tc>
          <w:tcPr>
            <w:tcW w:w="1912" w:type="pct"/>
            <w:tcBorders>
              <w:top w:val="single" w:sz="2" w:space="0" w:color="000001"/>
              <w:left w:val="single" w:sz="2" w:space="0" w:color="000001"/>
              <w:bottom w:val="single" w:sz="2" w:space="0" w:color="000001"/>
              <w:right w:val="single" w:sz="2" w:space="0" w:color="000001"/>
            </w:tcBorders>
            <w:shd w:val="clear" w:color="auto" w:fill="auto"/>
          </w:tcPr>
          <w:p w14:paraId="35870320" w14:textId="77777777" w:rsidR="00F82D52" w:rsidRPr="000322E4" w:rsidRDefault="00F82D52" w:rsidP="008E3584">
            <w:pPr>
              <w:spacing w:line="360" w:lineRule="auto"/>
              <w:jc w:val="both"/>
            </w:pPr>
            <w:r w:rsidRPr="000322E4">
              <w:t>1,8–2</w:t>
            </w:r>
          </w:p>
        </w:tc>
      </w:tr>
      <w:tr w:rsidR="00F82D52" w:rsidRPr="00154AEE" w14:paraId="685708DB" w14:textId="77777777" w:rsidTr="00CE3F35">
        <w:tc>
          <w:tcPr>
            <w:tcW w:w="3088" w:type="pct"/>
            <w:tcBorders>
              <w:top w:val="single" w:sz="2" w:space="0" w:color="000001"/>
              <w:left w:val="single" w:sz="2" w:space="0" w:color="000001"/>
              <w:bottom w:val="single" w:sz="2" w:space="0" w:color="000001"/>
              <w:right w:val="single" w:sz="2" w:space="0" w:color="000001"/>
            </w:tcBorders>
            <w:shd w:val="clear" w:color="auto" w:fill="auto"/>
          </w:tcPr>
          <w:p w14:paraId="7ED982EF" w14:textId="77777777" w:rsidR="00F82D52" w:rsidRPr="000322E4" w:rsidRDefault="00F82D52" w:rsidP="008E3584">
            <w:pPr>
              <w:spacing w:line="360" w:lineRule="auto"/>
              <w:jc w:val="both"/>
            </w:pPr>
            <w:r w:rsidRPr="000322E4">
              <w:t>Низкий риск, сумма баллов 0</w:t>
            </w:r>
          </w:p>
        </w:tc>
        <w:tc>
          <w:tcPr>
            <w:tcW w:w="1912" w:type="pct"/>
            <w:tcBorders>
              <w:top w:val="single" w:sz="2" w:space="0" w:color="000001"/>
              <w:left w:val="single" w:sz="2" w:space="0" w:color="000001"/>
              <w:bottom w:val="single" w:sz="2" w:space="0" w:color="000001"/>
              <w:right w:val="single" w:sz="2" w:space="0" w:color="000001"/>
            </w:tcBorders>
            <w:shd w:val="clear" w:color="auto" w:fill="auto"/>
          </w:tcPr>
          <w:p w14:paraId="798116DD" w14:textId="77777777" w:rsidR="00F82D52" w:rsidRPr="00154AEE" w:rsidRDefault="00F82D52" w:rsidP="008E3584">
            <w:pPr>
              <w:spacing w:line="360" w:lineRule="auto"/>
              <w:jc w:val="both"/>
            </w:pPr>
            <w:r w:rsidRPr="000322E4">
              <w:t>0,3–0,8</w:t>
            </w:r>
          </w:p>
        </w:tc>
      </w:tr>
    </w:tbl>
    <w:p w14:paraId="6DFB9B0A" w14:textId="77777777" w:rsidR="00F82D52" w:rsidRPr="00583004" w:rsidRDefault="00F82D52" w:rsidP="00CA442F">
      <w:pPr>
        <w:pStyle w:val="afffb"/>
        <w:ind w:firstLine="0"/>
      </w:pPr>
    </w:p>
    <w:sectPr w:rsidR="00F82D52" w:rsidRPr="00583004" w:rsidSect="00B075C5">
      <w:headerReference w:type="default" r:id="rId16"/>
      <w:footerReference w:type="default" r:id="rId17"/>
      <w:pgSz w:w="11906" w:h="16838"/>
      <w:pgMar w:top="1134" w:right="1416" w:bottom="1134" w:left="1701" w:header="708" w:footer="708" w:gutter="0"/>
      <w:cols w:space="720"/>
      <w:formProt w:val="0"/>
      <w:titlePg/>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FDBA77" w14:textId="77777777" w:rsidR="00712FBD" w:rsidRDefault="00712FBD">
      <w:r>
        <w:separator/>
      </w:r>
    </w:p>
    <w:p w14:paraId="58E7342E" w14:textId="77777777" w:rsidR="00712FBD" w:rsidRDefault="00712FBD"/>
  </w:endnote>
  <w:endnote w:type="continuationSeparator" w:id="0">
    <w:p w14:paraId="2D8FC8D0" w14:textId="77777777" w:rsidR="00712FBD" w:rsidRDefault="00712FBD">
      <w:r>
        <w:continuationSeparator/>
      </w:r>
    </w:p>
    <w:p w14:paraId="0017AE15" w14:textId="77777777" w:rsidR="00712FBD" w:rsidRDefault="00712F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Sans">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Gill Sans">
    <w:charset w:val="B1"/>
    <w:family w:val="swiss"/>
    <w:pitch w:val="variable"/>
    <w:sig w:usb0="80000A67" w:usb1="00000000" w:usb2="00000000" w:usb3="00000000" w:csb0="000001F7" w:csb1="00000000"/>
  </w:font>
  <w:font w:name="OpenSymbol">
    <w:altName w:val="Arial Unicode MS"/>
    <w:charset w:val="80"/>
    <w:family w:val="auto"/>
    <w:pitch w:val="default"/>
  </w:font>
  <w:font w:name="Palatino Linotype">
    <w:panose1 w:val="02040502050505030304"/>
    <w:charset w:val="CC"/>
    <w:family w:val="roman"/>
    <w:pitch w:val="variable"/>
    <w:sig w:usb0="E0000287" w:usb1="40000013" w:usb2="00000000" w:usb3="00000000" w:csb0="0000019F" w:csb1="00000000"/>
  </w:font>
  <w:font w:name="Helvetica Neue">
    <w:altName w:val="Times New Roman"/>
    <w:charset w:val="00"/>
    <w:family w:val="auto"/>
    <w:pitch w:val="variable"/>
    <w:sig w:usb0="00000003" w:usb1="500079DB" w:usb2="00000010" w:usb3="00000000" w:csb0="00000001" w:csb1="00000000"/>
  </w:font>
  <w:font w:name="TimesNewRomanPS-ItalicMT">
    <w:altName w:val="Times New Roman"/>
    <w:charset w:val="00"/>
    <w:family w:val="roman"/>
    <w:pitch w:val="variable"/>
    <w:sig w:usb0="E0000AFF" w:usb1="00007843" w:usb2="00000001" w:usb3="00000000" w:csb0="000001BF" w:csb1="00000000"/>
  </w:font>
  <w:font w:name="BalticaC">
    <w:altName w:val="Yu Gothic UI"/>
    <w:panose1 w:val="00000000000000000000"/>
    <w:charset w:val="80"/>
    <w:family w:val="auto"/>
    <w:notTrueType/>
    <w:pitch w:val="default"/>
    <w:sig w:usb0="00000001" w:usb1="08070000" w:usb2="00000010" w:usb3="00000000" w:csb0="00020000" w:csb1="00000000"/>
  </w:font>
  <w:font w:name="ＭＳ 明朝 (Основной текст темы (ази">
    <w:charset w:val="00"/>
    <w:family w:val="auto"/>
    <w:pitch w:val="default"/>
  </w:font>
  <w:font w:name="Georgia">
    <w:panose1 w:val="02040502050405020303"/>
    <w:charset w:val="CC"/>
    <w:family w:val="roman"/>
    <w:pitch w:val="variable"/>
    <w:sig w:usb0="00000287" w:usb1="00000000" w:usb2="00000000" w:usb3="00000000" w:csb0="0000009F" w:csb1="00000000"/>
  </w:font>
  <w:font w:name="ArialNarrow">
    <w:altName w:val="Times New Roman"/>
    <w:charset w:val="CC"/>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7631649"/>
      <w:docPartObj>
        <w:docPartGallery w:val="Page Numbers (Bottom of Page)"/>
        <w:docPartUnique/>
      </w:docPartObj>
    </w:sdtPr>
    <w:sdtEndPr/>
    <w:sdtContent>
      <w:p w14:paraId="53CAA3D8" w14:textId="70C2DDE2" w:rsidR="00F47A24" w:rsidRDefault="00F47A24">
        <w:pPr>
          <w:pStyle w:val="afc"/>
          <w:jc w:val="center"/>
        </w:pPr>
        <w:r>
          <w:fldChar w:fldCharType="begin"/>
        </w:r>
        <w:r>
          <w:instrText>PAGE</w:instrText>
        </w:r>
        <w:r>
          <w:fldChar w:fldCharType="separate"/>
        </w:r>
        <w:r w:rsidR="00AA43FB">
          <w:rPr>
            <w:noProof/>
          </w:rPr>
          <w:t>20</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3847DC" w14:textId="77777777" w:rsidR="00712FBD" w:rsidRDefault="00712FBD">
      <w:r>
        <w:separator/>
      </w:r>
    </w:p>
    <w:p w14:paraId="7D298827" w14:textId="77777777" w:rsidR="00712FBD" w:rsidRDefault="00712FBD"/>
  </w:footnote>
  <w:footnote w:type="continuationSeparator" w:id="0">
    <w:p w14:paraId="2315D920" w14:textId="77777777" w:rsidR="00712FBD" w:rsidRDefault="00712FBD">
      <w:r>
        <w:continuationSeparator/>
      </w:r>
    </w:p>
    <w:p w14:paraId="18375B85" w14:textId="77777777" w:rsidR="00712FBD" w:rsidRDefault="00712FB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C20E58" w14:textId="77777777" w:rsidR="00F47A24" w:rsidRDefault="00F47A24" w:rsidP="00186C35">
    <w:pPr>
      <w:pStyle w:val="afb"/>
      <w:ind w:firstLine="0"/>
      <w:rPr>
        <w:i/>
      </w:rPr>
    </w:pPr>
  </w:p>
  <w:p w14:paraId="4DAD2919" w14:textId="77777777" w:rsidR="00F47A24" w:rsidRDefault="00F47A2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4"/>
    <w:multiLevelType w:val="singleLevel"/>
    <w:tmpl w:val="00000004"/>
    <w:name w:val="WW8Num4"/>
    <w:lvl w:ilvl="0">
      <w:numFmt w:val="bullet"/>
      <w:lvlText w:val=""/>
      <w:lvlJc w:val="left"/>
      <w:pPr>
        <w:tabs>
          <w:tab w:val="num" w:pos="0"/>
        </w:tabs>
        <w:ind w:left="158" w:hanging="423"/>
      </w:pPr>
      <w:rPr>
        <w:rFonts w:ascii="Symbol" w:hAnsi="Symbol" w:cs="Symbol" w:hint="default"/>
        <w:w w:val="99"/>
        <w:sz w:val="28"/>
        <w:szCs w:val="28"/>
        <w:lang w:val="ru-RU"/>
      </w:rPr>
    </w:lvl>
  </w:abstractNum>
  <w:abstractNum w:abstractNumId="2" w15:restartNumberingAfterBreak="0">
    <w:nsid w:val="0000000D"/>
    <w:multiLevelType w:val="singleLevel"/>
    <w:tmpl w:val="0000000D"/>
    <w:name w:val="WW8Num13"/>
    <w:lvl w:ilvl="0">
      <w:numFmt w:val="bullet"/>
      <w:lvlText w:val=""/>
      <w:lvlJc w:val="left"/>
      <w:pPr>
        <w:tabs>
          <w:tab w:val="num" w:pos="708"/>
        </w:tabs>
        <w:ind w:left="158" w:hanging="423"/>
      </w:pPr>
      <w:rPr>
        <w:rFonts w:ascii="Symbol" w:hAnsi="Symbol" w:cs="Symbol" w:hint="default"/>
        <w:w w:val="99"/>
        <w:sz w:val="28"/>
        <w:szCs w:val="28"/>
        <w:lang w:val="ru-RU"/>
      </w:rPr>
    </w:lvl>
  </w:abstractNum>
  <w:abstractNum w:abstractNumId="3" w15:restartNumberingAfterBreak="0">
    <w:nsid w:val="00000016"/>
    <w:multiLevelType w:val="singleLevel"/>
    <w:tmpl w:val="00000016"/>
    <w:name w:val="WW8Num24"/>
    <w:lvl w:ilvl="0">
      <w:numFmt w:val="bullet"/>
      <w:lvlText w:val=""/>
      <w:lvlJc w:val="left"/>
      <w:pPr>
        <w:tabs>
          <w:tab w:val="num" w:pos="708"/>
        </w:tabs>
        <w:ind w:left="158" w:hanging="423"/>
      </w:pPr>
      <w:rPr>
        <w:rFonts w:ascii="Symbol" w:hAnsi="Symbol" w:cs="Symbol" w:hint="default"/>
        <w:w w:val="99"/>
        <w:sz w:val="28"/>
        <w:szCs w:val="28"/>
        <w:lang w:val="ru-RU"/>
      </w:rPr>
    </w:lvl>
  </w:abstractNum>
  <w:abstractNum w:abstractNumId="4" w15:restartNumberingAfterBreak="0">
    <w:nsid w:val="00000019"/>
    <w:multiLevelType w:val="singleLevel"/>
    <w:tmpl w:val="00000019"/>
    <w:name w:val="WW8Num28"/>
    <w:lvl w:ilvl="0">
      <w:start w:val="1"/>
      <w:numFmt w:val="decimal"/>
      <w:lvlText w:val="%1."/>
      <w:lvlJc w:val="left"/>
      <w:pPr>
        <w:tabs>
          <w:tab w:val="num" w:pos="0"/>
        </w:tabs>
        <w:ind w:left="720" w:hanging="360"/>
      </w:pPr>
    </w:lvl>
  </w:abstractNum>
  <w:abstractNum w:abstractNumId="5" w15:restartNumberingAfterBreak="0">
    <w:nsid w:val="0000001B"/>
    <w:multiLevelType w:val="singleLevel"/>
    <w:tmpl w:val="0000001B"/>
    <w:name w:val="WW8Num30"/>
    <w:lvl w:ilvl="0">
      <w:start w:val="1"/>
      <w:numFmt w:val="bullet"/>
      <w:lvlText w:val=""/>
      <w:lvlJc w:val="left"/>
      <w:pPr>
        <w:tabs>
          <w:tab w:val="num" w:pos="0"/>
        </w:tabs>
        <w:ind w:left="1414" w:hanging="705"/>
      </w:pPr>
      <w:rPr>
        <w:rFonts w:ascii="Symbol" w:hAnsi="Symbol" w:cs="Symbol" w:hint="default"/>
      </w:rPr>
    </w:lvl>
  </w:abstractNum>
  <w:abstractNum w:abstractNumId="6" w15:restartNumberingAfterBreak="0">
    <w:nsid w:val="0000002B"/>
    <w:multiLevelType w:val="singleLevel"/>
    <w:tmpl w:val="0000002B"/>
    <w:name w:val="WW8Num46"/>
    <w:lvl w:ilvl="0">
      <w:numFmt w:val="bullet"/>
      <w:lvlText w:val=""/>
      <w:lvlJc w:val="left"/>
      <w:pPr>
        <w:tabs>
          <w:tab w:val="num" w:pos="708"/>
        </w:tabs>
        <w:ind w:left="423" w:hanging="423"/>
      </w:pPr>
      <w:rPr>
        <w:rFonts w:ascii="Symbol" w:hAnsi="Symbol" w:cs="Symbol" w:hint="default"/>
        <w:w w:val="99"/>
        <w:sz w:val="28"/>
        <w:szCs w:val="28"/>
        <w:lang w:val="ru-RU"/>
      </w:rPr>
    </w:lvl>
  </w:abstractNum>
  <w:abstractNum w:abstractNumId="7" w15:restartNumberingAfterBreak="0">
    <w:nsid w:val="0000002C"/>
    <w:multiLevelType w:val="singleLevel"/>
    <w:tmpl w:val="0000002C"/>
    <w:name w:val="WW8Num47"/>
    <w:lvl w:ilvl="0">
      <w:numFmt w:val="bullet"/>
      <w:lvlText w:val="•"/>
      <w:lvlJc w:val="left"/>
      <w:pPr>
        <w:tabs>
          <w:tab w:val="num" w:pos="0"/>
        </w:tabs>
        <w:ind w:left="705" w:hanging="705"/>
      </w:pPr>
      <w:rPr>
        <w:rFonts w:ascii="Calibri" w:hAnsi="Calibri" w:cs="Calibri" w:hint="default"/>
      </w:rPr>
    </w:lvl>
  </w:abstractNum>
  <w:abstractNum w:abstractNumId="8" w15:restartNumberingAfterBreak="0">
    <w:nsid w:val="016A70C7"/>
    <w:multiLevelType w:val="hybridMultilevel"/>
    <w:tmpl w:val="B4025D86"/>
    <w:lvl w:ilvl="0" w:tplc="05063346">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018E600C"/>
    <w:multiLevelType w:val="hybridMultilevel"/>
    <w:tmpl w:val="FE24563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01E96A89"/>
    <w:multiLevelType w:val="hybridMultilevel"/>
    <w:tmpl w:val="ABB25E8C"/>
    <w:lvl w:ilvl="0" w:tplc="05063346">
      <w:start w:val="1"/>
      <w:numFmt w:val="bullet"/>
      <w:lvlText w:val=""/>
      <w:lvlJc w:val="left"/>
      <w:pPr>
        <w:ind w:left="720" w:hanging="360"/>
      </w:pPr>
      <w:rPr>
        <w:rFonts w:ascii="Symbol" w:hAnsi="Symbol" w:cs="Symbol" w:hint="default"/>
      </w:rPr>
    </w:lvl>
    <w:lvl w:ilvl="1" w:tplc="04190019">
      <w:start w:val="1"/>
      <w:numFmt w:val="bullet"/>
      <w:lvlText w:val="o"/>
      <w:lvlJc w:val="left"/>
      <w:pPr>
        <w:ind w:left="1440" w:hanging="360"/>
      </w:pPr>
      <w:rPr>
        <w:rFonts w:ascii="Courier New" w:hAnsi="Courier New" w:cs="Courier New" w:hint="default"/>
      </w:rPr>
    </w:lvl>
    <w:lvl w:ilvl="2" w:tplc="0419001B">
      <w:start w:val="1"/>
      <w:numFmt w:val="bullet"/>
      <w:lvlText w:val=""/>
      <w:lvlJc w:val="left"/>
      <w:pPr>
        <w:ind w:left="2160" w:hanging="360"/>
      </w:pPr>
      <w:rPr>
        <w:rFonts w:ascii="Wingdings" w:hAnsi="Wingdings" w:cs="Wingdings" w:hint="default"/>
      </w:rPr>
    </w:lvl>
    <w:lvl w:ilvl="3" w:tplc="0419000F">
      <w:start w:val="1"/>
      <w:numFmt w:val="bullet"/>
      <w:lvlText w:val=""/>
      <w:lvlJc w:val="left"/>
      <w:pPr>
        <w:ind w:left="2880" w:hanging="360"/>
      </w:pPr>
      <w:rPr>
        <w:rFonts w:ascii="Symbol" w:hAnsi="Symbol" w:cs="Symbol" w:hint="default"/>
      </w:rPr>
    </w:lvl>
    <w:lvl w:ilvl="4" w:tplc="04190019">
      <w:start w:val="1"/>
      <w:numFmt w:val="bullet"/>
      <w:lvlText w:val="o"/>
      <w:lvlJc w:val="left"/>
      <w:pPr>
        <w:ind w:left="3600" w:hanging="360"/>
      </w:pPr>
      <w:rPr>
        <w:rFonts w:ascii="Courier New" w:hAnsi="Courier New" w:cs="Courier New" w:hint="default"/>
      </w:rPr>
    </w:lvl>
    <w:lvl w:ilvl="5" w:tplc="0419001B">
      <w:start w:val="1"/>
      <w:numFmt w:val="bullet"/>
      <w:lvlText w:val=""/>
      <w:lvlJc w:val="left"/>
      <w:pPr>
        <w:ind w:left="4320" w:hanging="360"/>
      </w:pPr>
      <w:rPr>
        <w:rFonts w:ascii="Wingdings" w:hAnsi="Wingdings" w:cs="Wingdings" w:hint="default"/>
      </w:rPr>
    </w:lvl>
    <w:lvl w:ilvl="6" w:tplc="0419000F">
      <w:start w:val="1"/>
      <w:numFmt w:val="bullet"/>
      <w:lvlText w:val=""/>
      <w:lvlJc w:val="left"/>
      <w:pPr>
        <w:ind w:left="5040" w:hanging="360"/>
      </w:pPr>
      <w:rPr>
        <w:rFonts w:ascii="Symbol" w:hAnsi="Symbol" w:cs="Symbol" w:hint="default"/>
      </w:rPr>
    </w:lvl>
    <w:lvl w:ilvl="7" w:tplc="04190019">
      <w:start w:val="1"/>
      <w:numFmt w:val="bullet"/>
      <w:lvlText w:val="o"/>
      <w:lvlJc w:val="left"/>
      <w:pPr>
        <w:ind w:left="5760" w:hanging="360"/>
      </w:pPr>
      <w:rPr>
        <w:rFonts w:ascii="Courier New" w:hAnsi="Courier New" w:cs="Courier New" w:hint="default"/>
      </w:rPr>
    </w:lvl>
    <w:lvl w:ilvl="8" w:tplc="0419001B">
      <w:start w:val="1"/>
      <w:numFmt w:val="bullet"/>
      <w:lvlText w:val=""/>
      <w:lvlJc w:val="left"/>
      <w:pPr>
        <w:ind w:left="6480" w:hanging="360"/>
      </w:pPr>
      <w:rPr>
        <w:rFonts w:ascii="Wingdings" w:hAnsi="Wingdings" w:cs="Wingdings" w:hint="default"/>
      </w:rPr>
    </w:lvl>
  </w:abstractNum>
  <w:abstractNum w:abstractNumId="11" w15:restartNumberingAfterBreak="0">
    <w:nsid w:val="05426066"/>
    <w:multiLevelType w:val="hybridMultilevel"/>
    <w:tmpl w:val="D9FA0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076A0D58"/>
    <w:multiLevelType w:val="hybridMultilevel"/>
    <w:tmpl w:val="534AC682"/>
    <w:lvl w:ilvl="0" w:tplc="04190001">
      <w:start w:val="1"/>
      <w:numFmt w:val="bullet"/>
      <w:lvlText w:val=""/>
      <w:lvlJc w:val="left"/>
      <w:pPr>
        <w:ind w:left="1080" w:hanging="360"/>
      </w:pPr>
      <w:rPr>
        <w:rFonts w:ascii="Symbol" w:hAnsi="Symbol" w:cs="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abstractNum w:abstractNumId="13" w15:restartNumberingAfterBreak="0">
    <w:nsid w:val="07D1015B"/>
    <w:multiLevelType w:val="hybridMultilevel"/>
    <w:tmpl w:val="3DD476BA"/>
    <w:lvl w:ilvl="0" w:tplc="04190003">
      <w:start w:val="1"/>
      <w:numFmt w:val="bullet"/>
      <w:lvlText w:val="o"/>
      <w:lvlJc w:val="left"/>
      <w:pPr>
        <w:ind w:left="1440" w:hanging="360"/>
      </w:pPr>
      <w:rPr>
        <w:rFonts w:ascii="Courier New" w:hAnsi="Courier New" w:cs="Courier New" w:hint="default"/>
      </w:rPr>
    </w:lvl>
    <w:lvl w:ilvl="1" w:tplc="04190001">
      <w:start w:val="1"/>
      <w:numFmt w:val="bullet"/>
      <w:lvlText w:val=""/>
      <w:lvlJc w:val="left"/>
      <w:pPr>
        <w:ind w:left="1788" w:hanging="360"/>
      </w:pPr>
      <w:rPr>
        <w:rFonts w:ascii="Symbol" w:hAnsi="Symbol"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4" w15:restartNumberingAfterBreak="0">
    <w:nsid w:val="09DA1747"/>
    <w:multiLevelType w:val="hybridMultilevel"/>
    <w:tmpl w:val="8B68BA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0A6A3687"/>
    <w:multiLevelType w:val="hybridMultilevel"/>
    <w:tmpl w:val="31CA6D48"/>
    <w:styleLink w:val="1ai"/>
    <w:lvl w:ilvl="0" w:tplc="A75AA490">
      <w:start w:val="1"/>
      <w:numFmt w:val="bullet"/>
      <w:lvlText w:val=""/>
      <w:lvlJc w:val="left"/>
      <w:pPr>
        <w:ind w:left="720" w:hanging="360"/>
      </w:pPr>
      <w:rPr>
        <w:rFonts w:ascii="Symbol" w:hAnsi="Symbol" w:hint="default"/>
      </w:rPr>
    </w:lvl>
    <w:lvl w:ilvl="1" w:tplc="B406001A" w:tentative="1">
      <w:start w:val="1"/>
      <w:numFmt w:val="bullet"/>
      <w:lvlText w:val="o"/>
      <w:lvlJc w:val="left"/>
      <w:pPr>
        <w:ind w:left="1440" w:hanging="360"/>
      </w:pPr>
      <w:rPr>
        <w:rFonts w:ascii="Courier New" w:hAnsi="Courier New" w:cs="Courier New" w:hint="default"/>
      </w:rPr>
    </w:lvl>
    <w:lvl w:ilvl="2" w:tplc="577203BE" w:tentative="1">
      <w:start w:val="1"/>
      <w:numFmt w:val="bullet"/>
      <w:lvlText w:val=""/>
      <w:lvlJc w:val="left"/>
      <w:pPr>
        <w:ind w:left="2160" w:hanging="360"/>
      </w:pPr>
      <w:rPr>
        <w:rFonts w:ascii="Wingdings" w:hAnsi="Wingdings" w:hint="default"/>
      </w:rPr>
    </w:lvl>
    <w:lvl w:ilvl="3" w:tplc="12C8FB5A" w:tentative="1">
      <w:start w:val="1"/>
      <w:numFmt w:val="bullet"/>
      <w:lvlText w:val=""/>
      <w:lvlJc w:val="left"/>
      <w:pPr>
        <w:ind w:left="2880" w:hanging="360"/>
      </w:pPr>
      <w:rPr>
        <w:rFonts w:ascii="Symbol" w:hAnsi="Symbol" w:hint="default"/>
      </w:rPr>
    </w:lvl>
    <w:lvl w:ilvl="4" w:tplc="7374A596" w:tentative="1">
      <w:start w:val="1"/>
      <w:numFmt w:val="bullet"/>
      <w:lvlText w:val="o"/>
      <w:lvlJc w:val="left"/>
      <w:pPr>
        <w:ind w:left="3600" w:hanging="360"/>
      </w:pPr>
      <w:rPr>
        <w:rFonts w:ascii="Courier New" w:hAnsi="Courier New" w:cs="Courier New" w:hint="default"/>
      </w:rPr>
    </w:lvl>
    <w:lvl w:ilvl="5" w:tplc="E2044D6C" w:tentative="1">
      <w:start w:val="1"/>
      <w:numFmt w:val="bullet"/>
      <w:lvlText w:val=""/>
      <w:lvlJc w:val="left"/>
      <w:pPr>
        <w:ind w:left="4320" w:hanging="360"/>
      </w:pPr>
      <w:rPr>
        <w:rFonts w:ascii="Wingdings" w:hAnsi="Wingdings" w:hint="default"/>
      </w:rPr>
    </w:lvl>
    <w:lvl w:ilvl="6" w:tplc="7F9E63CE" w:tentative="1">
      <w:start w:val="1"/>
      <w:numFmt w:val="bullet"/>
      <w:lvlText w:val=""/>
      <w:lvlJc w:val="left"/>
      <w:pPr>
        <w:ind w:left="5040" w:hanging="360"/>
      </w:pPr>
      <w:rPr>
        <w:rFonts w:ascii="Symbol" w:hAnsi="Symbol" w:hint="default"/>
      </w:rPr>
    </w:lvl>
    <w:lvl w:ilvl="7" w:tplc="5A7A8954" w:tentative="1">
      <w:start w:val="1"/>
      <w:numFmt w:val="bullet"/>
      <w:lvlText w:val="o"/>
      <w:lvlJc w:val="left"/>
      <w:pPr>
        <w:ind w:left="5760" w:hanging="360"/>
      </w:pPr>
      <w:rPr>
        <w:rFonts w:ascii="Courier New" w:hAnsi="Courier New" w:cs="Courier New" w:hint="default"/>
      </w:rPr>
    </w:lvl>
    <w:lvl w:ilvl="8" w:tplc="EC48257A" w:tentative="1">
      <w:start w:val="1"/>
      <w:numFmt w:val="bullet"/>
      <w:lvlText w:val=""/>
      <w:lvlJc w:val="left"/>
      <w:pPr>
        <w:ind w:left="6480" w:hanging="360"/>
      </w:pPr>
      <w:rPr>
        <w:rFonts w:ascii="Wingdings" w:hAnsi="Wingdings" w:hint="default"/>
      </w:rPr>
    </w:lvl>
  </w:abstractNum>
  <w:abstractNum w:abstractNumId="16" w15:restartNumberingAfterBreak="0">
    <w:nsid w:val="0CFB2C23"/>
    <w:multiLevelType w:val="hybridMultilevel"/>
    <w:tmpl w:val="D700BC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0DE52B76"/>
    <w:multiLevelType w:val="hybridMultilevel"/>
    <w:tmpl w:val="36526F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0E1A3AF8"/>
    <w:multiLevelType w:val="hybridMultilevel"/>
    <w:tmpl w:val="D26407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0E660950"/>
    <w:multiLevelType w:val="hybridMultilevel"/>
    <w:tmpl w:val="C114AB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0F0911B3"/>
    <w:multiLevelType w:val="hybridMultilevel"/>
    <w:tmpl w:val="6FA0E2E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0F1C4733"/>
    <w:multiLevelType w:val="hybridMultilevel"/>
    <w:tmpl w:val="6D027C68"/>
    <w:lvl w:ilvl="0" w:tplc="04190001">
      <w:start w:val="1"/>
      <w:numFmt w:val="decimal"/>
      <w:lvlText w:val="%1."/>
      <w:lvlJc w:val="left"/>
      <w:pPr>
        <w:ind w:left="720" w:hanging="360"/>
      </w:pPr>
      <w:rPr>
        <w:rFonts w:cs="Times New Roman"/>
      </w:rPr>
    </w:lvl>
    <w:lvl w:ilvl="1" w:tplc="04190003" w:tentative="1">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22" w15:restartNumberingAfterBreak="0">
    <w:nsid w:val="0F804A37"/>
    <w:multiLevelType w:val="multilevel"/>
    <w:tmpl w:val="0090D9AC"/>
    <w:lvl w:ilvl="0">
      <w:start w:val="1"/>
      <w:numFmt w:val="bullet"/>
      <w:lvlText w:val=""/>
      <w:lvlJc w:val="left"/>
      <w:pPr>
        <w:tabs>
          <w:tab w:val="num" w:pos="720"/>
        </w:tabs>
        <w:ind w:left="720" w:hanging="360"/>
      </w:pPr>
      <w:rPr>
        <w:rFonts w:ascii="Symbol" w:hAnsi="Symbol" w:hint="default"/>
        <w:sz w:val="24"/>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FA724CE"/>
    <w:multiLevelType w:val="hybridMultilevel"/>
    <w:tmpl w:val="77FC78E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100074B4"/>
    <w:multiLevelType w:val="hybridMultilevel"/>
    <w:tmpl w:val="E30CEB64"/>
    <w:lvl w:ilvl="0" w:tplc="0AB06D68">
      <w:start w:val="1"/>
      <w:numFmt w:val="bullet"/>
      <w:lvlText w:val="•"/>
      <w:lvlJc w:val="left"/>
      <w:pPr>
        <w:tabs>
          <w:tab w:val="num" w:pos="720"/>
        </w:tabs>
        <w:ind w:left="720" w:hanging="360"/>
      </w:pPr>
      <w:rPr>
        <w:rFonts w:ascii="Arial" w:hAnsi="Arial" w:hint="default"/>
      </w:rPr>
    </w:lvl>
    <w:lvl w:ilvl="1" w:tplc="9D9857E0" w:tentative="1">
      <w:start w:val="1"/>
      <w:numFmt w:val="bullet"/>
      <w:lvlText w:val="•"/>
      <w:lvlJc w:val="left"/>
      <w:pPr>
        <w:tabs>
          <w:tab w:val="num" w:pos="1440"/>
        </w:tabs>
        <w:ind w:left="1440" w:hanging="360"/>
      </w:pPr>
      <w:rPr>
        <w:rFonts w:ascii="Arial" w:hAnsi="Arial" w:hint="default"/>
      </w:rPr>
    </w:lvl>
    <w:lvl w:ilvl="2" w:tplc="8168F5BE" w:tentative="1">
      <w:start w:val="1"/>
      <w:numFmt w:val="bullet"/>
      <w:lvlText w:val="•"/>
      <w:lvlJc w:val="left"/>
      <w:pPr>
        <w:tabs>
          <w:tab w:val="num" w:pos="2160"/>
        </w:tabs>
        <w:ind w:left="2160" w:hanging="360"/>
      </w:pPr>
      <w:rPr>
        <w:rFonts w:ascii="Arial" w:hAnsi="Arial" w:hint="default"/>
      </w:rPr>
    </w:lvl>
    <w:lvl w:ilvl="3" w:tplc="002ACBCC" w:tentative="1">
      <w:start w:val="1"/>
      <w:numFmt w:val="bullet"/>
      <w:lvlText w:val="•"/>
      <w:lvlJc w:val="left"/>
      <w:pPr>
        <w:tabs>
          <w:tab w:val="num" w:pos="2880"/>
        </w:tabs>
        <w:ind w:left="2880" w:hanging="360"/>
      </w:pPr>
      <w:rPr>
        <w:rFonts w:ascii="Arial" w:hAnsi="Arial" w:hint="default"/>
      </w:rPr>
    </w:lvl>
    <w:lvl w:ilvl="4" w:tplc="E67A6770" w:tentative="1">
      <w:start w:val="1"/>
      <w:numFmt w:val="bullet"/>
      <w:lvlText w:val="•"/>
      <w:lvlJc w:val="left"/>
      <w:pPr>
        <w:tabs>
          <w:tab w:val="num" w:pos="3600"/>
        </w:tabs>
        <w:ind w:left="3600" w:hanging="360"/>
      </w:pPr>
      <w:rPr>
        <w:rFonts w:ascii="Arial" w:hAnsi="Arial" w:hint="default"/>
      </w:rPr>
    </w:lvl>
    <w:lvl w:ilvl="5" w:tplc="8CD42242" w:tentative="1">
      <w:start w:val="1"/>
      <w:numFmt w:val="bullet"/>
      <w:lvlText w:val="•"/>
      <w:lvlJc w:val="left"/>
      <w:pPr>
        <w:tabs>
          <w:tab w:val="num" w:pos="4320"/>
        </w:tabs>
        <w:ind w:left="4320" w:hanging="360"/>
      </w:pPr>
      <w:rPr>
        <w:rFonts w:ascii="Arial" w:hAnsi="Arial" w:hint="default"/>
      </w:rPr>
    </w:lvl>
    <w:lvl w:ilvl="6" w:tplc="8DA8123C" w:tentative="1">
      <w:start w:val="1"/>
      <w:numFmt w:val="bullet"/>
      <w:lvlText w:val="•"/>
      <w:lvlJc w:val="left"/>
      <w:pPr>
        <w:tabs>
          <w:tab w:val="num" w:pos="5040"/>
        </w:tabs>
        <w:ind w:left="5040" w:hanging="360"/>
      </w:pPr>
      <w:rPr>
        <w:rFonts w:ascii="Arial" w:hAnsi="Arial" w:hint="default"/>
      </w:rPr>
    </w:lvl>
    <w:lvl w:ilvl="7" w:tplc="D4B6D4DC" w:tentative="1">
      <w:start w:val="1"/>
      <w:numFmt w:val="bullet"/>
      <w:lvlText w:val="•"/>
      <w:lvlJc w:val="left"/>
      <w:pPr>
        <w:tabs>
          <w:tab w:val="num" w:pos="5760"/>
        </w:tabs>
        <w:ind w:left="5760" w:hanging="360"/>
      </w:pPr>
      <w:rPr>
        <w:rFonts w:ascii="Arial" w:hAnsi="Arial" w:hint="default"/>
      </w:rPr>
    </w:lvl>
    <w:lvl w:ilvl="8" w:tplc="BC4A1AF4"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105D60C4"/>
    <w:multiLevelType w:val="hybridMultilevel"/>
    <w:tmpl w:val="E8628526"/>
    <w:lvl w:ilvl="0" w:tplc="2AD23686">
      <w:start w:val="1"/>
      <w:numFmt w:val="bullet"/>
      <w:pStyle w:val="a"/>
      <w:lvlText w:val=""/>
      <w:lvlJc w:val="left"/>
      <w:pPr>
        <w:ind w:left="9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15:restartNumberingAfterBreak="0">
    <w:nsid w:val="113D15EC"/>
    <w:multiLevelType w:val="hybridMultilevel"/>
    <w:tmpl w:val="557AA6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129876EF"/>
    <w:multiLevelType w:val="hybridMultilevel"/>
    <w:tmpl w:val="F942145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13374BA8"/>
    <w:multiLevelType w:val="hybridMultilevel"/>
    <w:tmpl w:val="659A61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13403AF2"/>
    <w:multiLevelType w:val="hybridMultilevel"/>
    <w:tmpl w:val="15AA73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18F22CF2"/>
    <w:multiLevelType w:val="hybridMultilevel"/>
    <w:tmpl w:val="13C282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18F530D2"/>
    <w:multiLevelType w:val="hybridMultilevel"/>
    <w:tmpl w:val="323CA9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1A723168"/>
    <w:multiLevelType w:val="hybridMultilevel"/>
    <w:tmpl w:val="3932B9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1AEC1080"/>
    <w:multiLevelType w:val="multilevel"/>
    <w:tmpl w:val="E230D3C0"/>
    <w:lvl w:ilvl="0">
      <w:start w:val="1"/>
      <w:numFmt w:val="bullet"/>
      <w:lvlText w:val=""/>
      <w:lvlJc w:val="left"/>
      <w:pPr>
        <w:tabs>
          <w:tab w:val="num" w:pos="720"/>
        </w:tabs>
        <w:ind w:left="720" w:hanging="360"/>
      </w:pPr>
      <w:rPr>
        <w:rFonts w:ascii="Symbol" w:hAnsi="Symbol" w:hint="default"/>
        <w:sz w:val="24"/>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C2A3EB5"/>
    <w:multiLevelType w:val="hybridMultilevel"/>
    <w:tmpl w:val="B84A5C38"/>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1CB62D3D"/>
    <w:multiLevelType w:val="hybridMultilevel"/>
    <w:tmpl w:val="5AC47FFA"/>
    <w:lvl w:ilvl="0" w:tplc="0419000F">
      <w:start w:val="1"/>
      <w:numFmt w:val="bullet"/>
      <w:lvlText w:val=""/>
      <w:lvlJc w:val="left"/>
      <w:pPr>
        <w:ind w:left="720" w:hanging="360"/>
      </w:pPr>
      <w:rPr>
        <w:rFonts w:ascii="Symbol" w:hAnsi="Symbol" w:cs="Symbol" w:hint="default"/>
      </w:rPr>
    </w:lvl>
    <w:lvl w:ilvl="1" w:tplc="04190019">
      <w:start w:val="1"/>
      <w:numFmt w:val="bullet"/>
      <w:lvlText w:val="o"/>
      <w:lvlJc w:val="left"/>
      <w:pPr>
        <w:ind w:left="1440" w:hanging="360"/>
      </w:pPr>
      <w:rPr>
        <w:rFonts w:ascii="Courier New" w:hAnsi="Courier New" w:cs="Courier New" w:hint="default"/>
      </w:rPr>
    </w:lvl>
    <w:lvl w:ilvl="2" w:tplc="0419001B">
      <w:start w:val="1"/>
      <w:numFmt w:val="bullet"/>
      <w:lvlText w:val=""/>
      <w:lvlJc w:val="left"/>
      <w:pPr>
        <w:ind w:left="2160" w:hanging="360"/>
      </w:pPr>
      <w:rPr>
        <w:rFonts w:ascii="Wingdings" w:hAnsi="Wingdings" w:cs="Wingdings" w:hint="default"/>
      </w:rPr>
    </w:lvl>
    <w:lvl w:ilvl="3" w:tplc="0419000F">
      <w:start w:val="1"/>
      <w:numFmt w:val="bullet"/>
      <w:lvlText w:val=""/>
      <w:lvlJc w:val="left"/>
      <w:pPr>
        <w:ind w:left="2880" w:hanging="360"/>
      </w:pPr>
      <w:rPr>
        <w:rFonts w:ascii="Symbol" w:hAnsi="Symbol" w:cs="Symbol" w:hint="default"/>
      </w:rPr>
    </w:lvl>
    <w:lvl w:ilvl="4" w:tplc="04190019">
      <w:start w:val="1"/>
      <w:numFmt w:val="bullet"/>
      <w:lvlText w:val="o"/>
      <w:lvlJc w:val="left"/>
      <w:pPr>
        <w:ind w:left="3600" w:hanging="360"/>
      </w:pPr>
      <w:rPr>
        <w:rFonts w:ascii="Courier New" w:hAnsi="Courier New" w:cs="Courier New" w:hint="default"/>
      </w:rPr>
    </w:lvl>
    <w:lvl w:ilvl="5" w:tplc="0419001B">
      <w:start w:val="1"/>
      <w:numFmt w:val="bullet"/>
      <w:lvlText w:val=""/>
      <w:lvlJc w:val="left"/>
      <w:pPr>
        <w:ind w:left="4320" w:hanging="360"/>
      </w:pPr>
      <w:rPr>
        <w:rFonts w:ascii="Wingdings" w:hAnsi="Wingdings" w:cs="Wingdings" w:hint="default"/>
      </w:rPr>
    </w:lvl>
    <w:lvl w:ilvl="6" w:tplc="0419000F">
      <w:start w:val="1"/>
      <w:numFmt w:val="bullet"/>
      <w:lvlText w:val=""/>
      <w:lvlJc w:val="left"/>
      <w:pPr>
        <w:ind w:left="5040" w:hanging="360"/>
      </w:pPr>
      <w:rPr>
        <w:rFonts w:ascii="Symbol" w:hAnsi="Symbol" w:cs="Symbol" w:hint="default"/>
      </w:rPr>
    </w:lvl>
    <w:lvl w:ilvl="7" w:tplc="04190019">
      <w:start w:val="1"/>
      <w:numFmt w:val="bullet"/>
      <w:lvlText w:val="o"/>
      <w:lvlJc w:val="left"/>
      <w:pPr>
        <w:ind w:left="5760" w:hanging="360"/>
      </w:pPr>
      <w:rPr>
        <w:rFonts w:ascii="Courier New" w:hAnsi="Courier New" w:cs="Courier New" w:hint="default"/>
      </w:rPr>
    </w:lvl>
    <w:lvl w:ilvl="8" w:tplc="0419001B">
      <w:start w:val="1"/>
      <w:numFmt w:val="bullet"/>
      <w:lvlText w:val=""/>
      <w:lvlJc w:val="left"/>
      <w:pPr>
        <w:ind w:left="6480" w:hanging="360"/>
      </w:pPr>
      <w:rPr>
        <w:rFonts w:ascii="Wingdings" w:hAnsi="Wingdings" w:cs="Wingdings" w:hint="default"/>
      </w:rPr>
    </w:lvl>
  </w:abstractNum>
  <w:abstractNum w:abstractNumId="36" w15:restartNumberingAfterBreak="0">
    <w:nsid w:val="1DD22EF4"/>
    <w:multiLevelType w:val="hybridMultilevel"/>
    <w:tmpl w:val="1994C544"/>
    <w:lvl w:ilvl="0" w:tplc="FFFFFFFF">
      <w:start w:val="1"/>
      <w:numFmt w:val="decimal"/>
      <w:lvlText w:val="%1)"/>
      <w:lvlJc w:val="left"/>
      <w:pPr>
        <w:ind w:left="1069" w:hanging="360"/>
      </w:pPr>
    </w:lvl>
    <w:lvl w:ilvl="1" w:tplc="FFFFFFFF">
      <w:start w:val="1"/>
      <w:numFmt w:val="lowerLetter"/>
      <w:lvlText w:val="%2."/>
      <w:lvlJc w:val="left"/>
      <w:pPr>
        <w:ind w:left="1789" w:hanging="360"/>
      </w:pPr>
    </w:lvl>
    <w:lvl w:ilvl="2" w:tplc="FFFFFFFF">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37" w15:restartNumberingAfterBreak="0">
    <w:nsid w:val="1EA01933"/>
    <w:multiLevelType w:val="hybridMultilevel"/>
    <w:tmpl w:val="B9C6761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20267762"/>
    <w:multiLevelType w:val="hybridMultilevel"/>
    <w:tmpl w:val="7FD219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207A1425"/>
    <w:multiLevelType w:val="hybridMultilevel"/>
    <w:tmpl w:val="F12CDB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21F72B4D"/>
    <w:multiLevelType w:val="hybridMultilevel"/>
    <w:tmpl w:val="B6508FE4"/>
    <w:lvl w:ilvl="0" w:tplc="0419000F">
      <w:start w:val="1"/>
      <w:numFmt w:val="bullet"/>
      <w:lvlText w:val=""/>
      <w:lvlJc w:val="left"/>
      <w:pPr>
        <w:ind w:left="720" w:hanging="360"/>
      </w:pPr>
      <w:rPr>
        <w:rFonts w:ascii="Symbol" w:hAnsi="Symbol" w:cs="Symbol" w:hint="default"/>
      </w:rPr>
    </w:lvl>
    <w:lvl w:ilvl="1" w:tplc="04190019">
      <w:start w:val="1"/>
      <w:numFmt w:val="bullet"/>
      <w:lvlText w:val="o"/>
      <w:lvlJc w:val="left"/>
      <w:pPr>
        <w:ind w:left="1440" w:hanging="360"/>
      </w:pPr>
      <w:rPr>
        <w:rFonts w:ascii="Courier New" w:hAnsi="Courier New" w:cs="Courier New" w:hint="default"/>
      </w:rPr>
    </w:lvl>
    <w:lvl w:ilvl="2" w:tplc="0419001B">
      <w:start w:val="1"/>
      <w:numFmt w:val="bullet"/>
      <w:lvlText w:val=""/>
      <w:lvlJc w:val="left"/>
      <w:pPr>
        <w:ind w:left="2160" w:hanging="360"/>
      </w:pPr>
      <w:rPr>
        <w:rFonts w:ascii="Wingdings" w:hAnsi="Wingdings" w:cs="Wingdings" w:hint="default"/>
      </w:rPr>
    </w:lvl>
    <w:lvl w:ilvl="3" w:tplc="0419000F">
      <w:start w:val="1"/>
      <w:numFmt w:val="bullet"/>
      <w:lvlText w:val=""/>
      <w:lvlJc w:val="left"/>
      <w:pPr>
        <w:ind w:left="2880" w:hanging="360"/>
      </w:pPr>
      <w:rPr>
        <w:rFonts w:ascii="Symbol" w:hAnsi="Symbol" w:cs="Symbol" w:hint="default"/>
      </w:rPr>
    </w:lvl>
    <w:lvl w:ilvl="4" w:tplc="04190019">
      <w:start w:val="1"/>
      <w:numFmt w:val="bullet"/>
      <w:lvlText w:val="o"/>
      <w:lvlJc w:val="left"/>
      <w:pPr>
        <w:ind w:left="3600" w:hanging="360"/>
      </w:pPr>
      <w:rPr>
        <w:rFonts w:ascii="Courier New" w:hAnsi="Courier New" w:cs="Courier New" w:hint="default"/>
      </w:rPr>
    </w:lvl>
    <w:lvl w:ilvl="5" w:tplc="0419001B">
      <w:start w:val="1"/>
      <w:numFmt w:val="bullet"/>
      <w:lvlText w:val=""/>
      <w:lvlJc w:val="left"/>
      <w:pPr>
        <w:ind w:left="4320" w:hanging="360"/>
      </w:pPr>
      <w:rPr>
        <w:rFonts w:ascii="Wingdings" w:hAnsi="Wingdings" w:cs="Wingdings" w:hint="default"/>
      </w:rPr>
    </w:lvl>
    <w:lvl w:ilvl="6" w:tplc="0419000F">
      <w:start w:val="1"/>
      <w:numFmt w:val="bullet"/>
      <w:lvlText w:val=""/>
      <w:lvlJc w:val="left"/>
      <w:pPr>
        <w:ind w:left="5040" w:hanging="360"/>
      </w:pPr>
      <w:rPr>
        <w:rFonts w:ascii="Symbol" w:hAnsi="Symbol" w:cs="Symbol" w:hint="default"/>
      </w:rPr>
    </w:lvl>
    <w:lvl w:ilvl="7" w:tplc="04190019">
      <w:start w:val="1"/>
      <w:numFmt w:val="bullet"/>
      <w:lvlText w:val="o"/>
      <w:lvlJc w:val="left"/>
      <w:pPr>
        <w:ind w:left="5760" w:hanging="360"/>
      </w:pPr>
      <w:rPr>
        <w:rFonts w:ascii="Courier New" w:hAnsi="Courier New" w:cs="Courier New" w:hint="default"/>
      </w:rPr>
    </w:lvl>
    <w:lvl w:ilvl="8" w:tplc="0419001B">
      <w:start w:val="1"/>
      <w:numFmt w:val="bullet"/>
      <w:lvlText w:val=""/>
      <w:lvlJc w:val="left"/>
      <w:pPr>
        <w:ind w:left="6480" w:hanging="360"/>
      </w:pPr>
      <w:rPr>
        <w:rFonts w:ascii="Wingdings" w:hAnsi="Wingdings" w:cs="Wingdings" w:hint="default"/>
      </w:rPr>
    </w:lvl>
  </w:abstractNum>
  <w:abstractNum w:abstractNumId="41" w15:restartNumberingAfterBreak="0">
    <w:nsid w:val="22FA79B0"/>
    <w:multiLevelType w:val="hybridMultilevel"/>
    <w:tmpl w:val="13D4044A"/>
    <w:lvl w:ilvl="0" w:tplc="04190001">
      <w:start w:val="1"/>
      <w:numFmt w:val="bullet"/>
      <w:lvlText w:val=""/>
      <w:lvlJc w:val="left"/>
      <w:pPr>
        <w:ind w:left="1777" w:hanging="360"/>
      </w:pPr>
      <w:rPr>
        <w:rFonts w:ascii="Symbol" w:hAnsi="Symbol" w:hint="default"/>
      </w:rPr>
    </w:lvl>
    <w:lvl w:ilvl="1" w:tplc="04190003">
      <w:start w:val="1"/>
      <w:numFmt w:val="bullet"/>
      <w:lvlText w:val="o"/>
      <w:lvlJc w:val="left"/>
      <w:pPr>
        <w:ind w:left="2487" w:hanging="360"/>
      </w:pPr>
      <w:rPr>
        <w:rFonts w:ascii="Courier New" w:hAnsi="Courier New" w:cs="Courier New" w:hint="default"/>
      </w:rPr>
    </w:lvl>
    <w:lvl w:ilvl="2" w:tplc="04190003">
      <w:start w:val="1"/>
      <w:numFmt w:val="bullet"/>
      <w:lvlText w:val="o"/>
      <w:lvlJc w:val="left"/>
      <w:pPr>
        <w:ind w:left="1440" w:hanging="360"/>
      </w:pPr>
      <w:rPr>
        <w:rFonts w:ascii="Courier New" w:hAnsi="Courier New" w:cs="Courier New" w:hint="default"/>
      </w:rPr>
    </w:lvl>
    <w:lvl w:ilvl="3" w:tplc="04190001" w:tentative="1">
      <w:start w:val="1"/>
      <w:numFmt w:val="bullet"/>
      <w:lvlText w:val=""/>
      <w:lvlJc w:val="left"/>
      <w:pPr>
        <w:ind w:left="3937" w:hanging="360"/>
      </w:pPr>
      <w:rPr>
        <w:rFonts w:ascii="Symbol" w:hAnsi="Symbol" w:hint="default"/>
      </w:rPr>
    </w:lvl>
    <w:lvl w:ilvl="4" w:tplc="04190003" w:tentative="1">
      <w:start w:val="1"/>
      <w:numFmt w:val="bullet"/>
      <w:lvlText w:val="o"/>
      <w:lvlJc w:val="left"/>
      <w:pPr>
        <w:ind w:left="4657" w:hanging="360"/>
      </w:pPr>
      <w:rPr>
        <w:rFonts w:ascii="Courier New" w:hAnsi="Courier New" w:cs="Courier New" w:hint="default"/>
      </w:rPr>
    </w:lvl>
    <w:lvl w:ilvl="5" w:tplc="04190005" w:tentative="1">
      <w:start w:val="1"/>
      <w:numFmt w:val="bullet"/>
      <w:lvlText w:val=""/>
      <w:lvlJc w:val="left"/>
      <w:pPr>
        <w:ind w:left="5377" w:hanging="360"/>
      </w:pPr>
      <w:rPr>
        <w:rFonts w:ascii="Wingdings" w:hAnsi="Wingdings" w:hint="default"/>
      </w:rPr>
    </w:lvl>
    <w:lvl w:ilvl="6" w:tplc="04190001" w:tentative="1">
      <w:start w:val="1"/>
      <w:numFmt w:val="bullet"/>
      <w:lvlText w:val=""/>
      <w:lvlJc w:val="left"/>
      <w:pPr>
        <w:ind w:left="6097" w:hanging="360"/>
      </w:pPr>
      <w:rPr>
        <w:rFonts w:ascii="Symbol" w:hAnsi="Symbol" w:hint="default"/>
      </w:rPr>
    </w:lvl>
    <w:lvl w:ilvl="7" w:tplc="04190003" w:tentative="1">
      <w:start w:val="1"/>
      <w:numFmt w:val="bullet"/>
      <w:lvlText w:val="o"/>
      <w:lvlJc w:val="left"/>
      <w:pPr>
        <w:ind w:left="6817" w:hanging="360"/>
      </w:pPr>
      <w:rPr>
        <w:rFonts w:ascii="Courier New" w:hAnsi="Courier New" w:cs="Courier New" w:hint="default"/>
      </w:rPr>
    </w:lvl>
    <w:lvl w:ilvl="8" w:tplc="04190005" w:tentative="1">
      <w:start w:val="1"/>
      <w:numFmt w:val="bullet"/>
      <w:lvlText w:val=""/>
      <w:lvlJc w:val="left"/>
      <w:pPr>
        <w:ind w:left="7537" w:hanging="360"/>
      </w:pPr>
      <w:rPr>
        <w:rFonts w:ascii="Wingdings" w:hAnsi="Wingdings" w:hint="default"/>
      </w:rPr>
    </w:lvl>
  </w:abstractNum>
  <w:abstractNum w:abstractNumId="42" w15:restartNumberingAfterBreak="0">
    <w:nsid w:val="233978D9"/>
    <w:multiLevelType w:val="hybridMultilevel"/>
    <w:tmpl w:val="C78E15D6"/>
    <w:lvl w:ilvl="0" w:tplc="0456C786">
      <w:numFmt w:val="bullet"/>
      <w:lvlText w:val="•"/>
      <w:lvlJc w:val="left"/>
      <w:rPr>
        <w:rFonts w:ascii="Cambria Math" w:hAnsi="Cambria Math"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24296242"/>
    <w:multiLevelType w:val="hybridMultilevel"/>
    <w:tmpl w:val="ABFC87B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25712644"/>
    <w:multiLevelType w:val="hybridMultilevel"/>
    <w:tmpl w:val="83329D8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25EC195C"/>
    <w:multiLevelType w:val="hybridMultilevel"/>
    <w:tmpl w:val="4D82F190"/>
    <w:styleLink w:val="1ai1"/>
    <w:lvl w:ilvl="0" w:tplc="29A64A5E">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46" w15:restartNumberingAfterBreak="0">
    <w:nsid w:val="26001ACC"/>
    <w:multiLevelType w:val="hybridMultilevel"/>
    <w:tmpl w:val="83F0F3F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7" w15:restartNumberingAfterBreak="0">
    <w:nsid w:val="265666C9"/>
    <w:multiLevelType w:val="hybridMultilevel"/>
    <w:tmpl w:val="12AE0B0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275822F4"/>
    <w:multiLevelType w:val="hybridMultilevel"/>
    <w:tmpl w:val="4DF632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27744C17"/>
    <w:multiLevelType w:val="hybridMultilevel"/>
    <w:tmpl w:val="AB3487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2A180DC9"/>
    <w:multiLevelType w:val="hybridMultilevel"/>
    <w:tmpl w:val="C14C1B6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1" w15:restartNumberingAfterBreak="0">
    <w:nsid w:val="2A6A6397"/>
    <w:multiLevelType w:val="hybridMultilevel"/>
    <w:tmpl w:val="AC64127C"/>
    <w:lvl w:ilvl="0" w:tplc="64FA2BDC">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2B657FF0"/>
    <w:multiLevelType w:val="hybridMultilevel"/>
    <w:tmpl w:val="CDB2AB66"/>
    <w:styleLink w:val="1111111"/>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2C585995"/>
    <w:multiLevelType w:val="hybridMultilevel"/>
    <w:tmpl w:val="C66A7C86"/>
    <w:lvl w:ilvl="0" w:tplc="728ABAA4">
      <w:start w:val="1"/>
      <w:numFmt w:val="bullet"/>
      <w:lvlText w:val=""/>
      <w:lvlJc w:val="left"/>
      <w:pPr>
        <w:ind w:left="720" w:hanging="360"/>
      </w:pPr>
      <w:rPr>
        <w:rFonts w:ascii="Symbol" w:hAnsi="Symbol" w:cs="Symbol" w:hint="default"/>
      </w:rPr>
    </w:lvl>
    <w:lvl w:ilvl="1" w:tplc="C8A2AB44">
      <w:start w:val="1"/>
      <w:numFmt w:val="bullet"/>
      <w:lvlText w:val="o"/>
      <w:lvlJc w:val="left"/>
      <w:pPr>
        <w:ind w:left="1440" w:hanging="360"/>
      </w:pPr>
      <w:rPr>
        <w:rFonts w:ascii="Courier New" w:hAnsi="Courier New" w:cs="Courier New" w:hint="default"/>
      </w:rPr>
    </w:lvl>
    <w:lvl w:ilvl="2" w:tplc="D16C9390">
      <w:start w:val="1"/>
      <w:numFmt w:val="bullet"/>
      <w:lvlText w:val=""/>
      <w:lvlJc w:val="left"/>
      <w:pPr>
        <w:ind w:left="2160" w:hanging="360"/>
      </w:pPr>
      <w:rPr>
        <w:rFonts w:ascii="Wingdings" w:hAnsi="Wingdings" w:cs="Wingdings" w:hint="default"/>
      </w:rPr>
    </w:lvl>
    <w:lvl w:ilvl="3" w:tplc="86B445C4">
      <w:start w:val="1"/>
      <w:numFmt w:val="bullet"/>
      <w:lvlText w:val=""/>
      <w:lvlJc w:val="left"/>
      <w:pPr>
        <w:ind w:left="2880" w:hanging="360"/>
      </w:pPr>
      <w:rPr>
        <w:rFonts w:ascii="Symbol" w:hAnsi="Symbol" w:cs="Symbol" w:hint="default"/>
      </w:rPr>
    </w:lvl>
    <w:lvl w:ilvl="4" w:tplc="0276BFF8">
      <w:start w:val="1"/>
      <w:numFmt w:val="bullet"/>
      <w:lvlText w:val="o"/>
      <w:lvlJc w:val="left"/>
      <w:pPr>
        <w:ind w:left="3600" w:hanging="360"/>
      </w:pPr>
      <w:rPr>
        <w:rFonts w:ascii="Courier New" w:hAnsi="Courier New" w:cs="Courier New" w:hint="default"/>
      </w:rPr>
    </w:lvl>
    <w:lvl w:ilvl="5" w:tplc="2EF4CFF0">
      <w:start w:val="1"/>
      <w:numFmt w:val="bullet"/>
      <w:lvlText w:val=""/>
      <w:lvlJc w:val="left"/>
      <w:pPr>
        <w:ind w:left="4320" w:hanging="360"/>
      </w:pPr>
      <w:rPr>
        <w:rFonts w:ascii="Wingdings" w:hAnsi="Wingdings" w:cs="Wingdings" w:hint="default"/>
      </w:rPr>
    </w:lvl>
    <w:lvl w:ilvl="6" w:tplc="C0C4C408">
      <w:start w:val="1"/>
      <w:numFmt w:val="bullet"/>
      <w:lvlText w:val=""/>
      <w:lvlJc w:val="left"/>
      <w:pPr>
        <w:ind w:left="5040" w:hanging="360"/>
      </w:pPr>
      <w:rPr>
        <w:rFonts w:ascii="Symbol" w:hAnsi="Symbol" w:cs="Symbol" w:hint="default"/>
      </w:rPr>
    </w:lvl>
    <w:lvl w:ilvl="7" w:tplc="EE00031E">
      <w:start w:val="1"/>
      <w:numFmt w:val="bullet"/>
      <w:lvlText w:val="o"/>
      <w:lvlJc w:val="left"/>
      <w:pPr>
        <w:ind w:left="5760" w:hanging="360"/>
      </w:pPr>
      <w:rPr>
        <w:rFonts w:ascii="Courier New" w:hAnsi="Courier New" w:cs="Courier New" w:hint="default"/>
      </w:rPr>
    </w:lvl>
    <w:lvl w:ilvl="8" w:tplc="E01660BA">
      <w:start w:val="1"/>
      <w:numFmt w:val="bullet"/>
      <w:lvlText w:val=""/>
      <w:lvlJc w:val="left"/>
      <w:pPr>
        <w:ind w:left="6480" w:hanging="360"/>
      </w:pPr>
      <w:rPr>
        <w:rFonts w:ascii="Wingdings" w:hAnsi="Wingdings" w:cs="Wingdings" w:hint="default"/>
      </w:rPr>
    </w:lvl>
  </w:abstractNum>
  <w:abstractNum w:abstractNumId="54" w15:restartNumberingAfterBreak="0">
    <w:nsid w:val="2DBF3812"/>
    <w:multiLevelType w:val="hybridMultilevel"/>
    <w:tmpl w:val="6E4A6E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315C42B1"/>
    <w:multiLevelType w:val="hybridMultilevel"/>
    <w:tmpl w:val="64904FC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6" w15:restartNumberingAfterBreak="0">
    <w:nsid w:val="32D002B2"/>
    <w:multiLevelType w:val="hybridMultilevel"/>
    <w:tmpl w:val="D77E79DC"/>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57" w15:restartNumberingAfterBreak="0">
    <w:nsid w:val="34086318"/>
    <w:multiLevelType w:val="hybridMultilevel"/>
    <w:tmpl w:val="CC9E56E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15:restartNumberingAfterBreak="0">
    <w:nsid w:val="34CA54C5"/>
    <w:multiLevelType w:val="hybridMultilevel"/>
    <w:tmpl w:val="A1D26F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360945F5"/>
    <w:multiLevelType w:val="hybridMultilevel"/>
    <w:tmpl w:val="0B727090"/>
    <w:lvl w:ilvl="0" w:tplc="04190011">
      <w:start w:val="1"/>
      <w:numFmt w:val="decimal"/>
      <w:lvlText w:val="%1)"/>
      <w:lvlJc w:val="left"/>
      <w:pPr>
        <w:ind w:left="1428"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60" w15:restartNumberingAfterBreak="0">
    <w:nsid w:val="36A33EFF"/>
    <w:multiLevelType w:val="hybridMultilevel"/>
    <w:tmpl w:val="EFECED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15:restartNumberingAfterBreak="0">
    <w:nsid w:val="3711583E"/>
    <w:multiLevelType w:val="hybridMultilevel"/>
    <w:tmpl w:val="0B5664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15:restartNumberingAfterBreak="0">
    <w:nsid w:val="37AC6E4B"/>
    <w:multiLevelType w:val="hybridMultilevel"/>
    <w:tmpl w:val="C11A92B4"/>
    <w:lvl w:ilvl="0" w:tplc="04190001">
      <w:start w:val="1"/>
      <w:numFmt w:val="bullet"/>
      <w:lvlText w:val=""/>
      <w:lvlJc w:val="left"/>
      <w:pPr>
        <w:ind w:left="1429" w:hanging="360"/>
      </w:pPr>
      <w:rPr>
        <w:rFonts w:ascii="Symbol" w:hAnsi="Symbol" w:hint="default"/>
      </w:rPr>
    </w:lvl>
    <w:lvl w:ilvl="1" w:tplc="8676CE10">
      <w:start w:val="2"/>
      <w:numFmt w:val="bullet"/>
      <w:lvlText w:val="•"/>
      <w:lvlJc w:val="left"/>
      <w:pPr>
        <w:ind w:left="2509" w:hanging="720"/>
      </w:pPr>
      <w:rPr>
        <w:rFonts w:ascii="Times New Roman" w:eastAsiaTheme="minorHAnsi"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15:restartNumberingAfterBreak="0">
    <w:nsid w:val="37AC70C1"/>
    <w:multiLevelType w:val="hybridMultilevel"/>
    <w:tmpl w:val="D59444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15:restartNumberingAfterBreak="0">
    <w:nsid w:val="38BA64FE"/>
    <w:multiLevelType w:val="hybridMultilevel"/>
    <w:tmpl w:val="55168E3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15:restartNumberingAfterBreak="0">
    <w:nsid w:val="39914123"/>
    <w:multiLevelType w:val="hybridMultilevel"/>
    <w:tmpl w:val="1AFEC7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15:restartNumberingAfterBreak="0">
    <w:nsid w:val="3A6B6607"/>
    <w:multiLevelType w:val="hybridMultilevel"/>
    <w:tmpl w:val="E44CCE10"/>
    <w:lvl w:ilvl="0" w:tplc="0419000F">
      <w:start w:val="1"/>
      <w:numFmt w:val="bullet"/>
      <w:lvlText w:val=""/>
      <w:lvlJc w:val="left"/>
      <w:pPr>
        <w:ind w:left="720" w:hanging="360"/>
      </w:pPr>
      <w:rPr>
        <w:rFonts w:ascii="Symbol" w:hAnsi="Symbol" w:cs="Symbol" w:hint="default"/>
      </w:rPr>
    </w:lvl>
    <w:lvl w:ilvl="1" w:tplc="04190019">
      <w:start w:val="1"/>
      <w:numFmt w:val="bullet"/>
      <w:lvlText w:val="o"/>
      <w:lvlJc w:val="left"/>
      <w:pPr>
        <w:ind w:left="1440" w:hanging="360"/>
      </w:pPr>
      <w:rPr>
        <w:rFonts w:ascii="Courier New" w:hAnsi="Courier New" w:cs="Courier New" w:hint="default"/>
      </w:rPr>
    </w:lvl>
    <w:lvl w:ilvl="2" w:tplc="0419001B">
      <w:start w:val="1"/>
      <w:numFmt w:val="bullet"/>
      <w:lvlText w:val=""/>
      <w:lvlJc w:val="left"/>
      <w:pPr>
        <w:ind w:left="2160" w:hanging="360"/>
      </w:pPr>
      <w:rPr>
        <w:rFonts w:ascii="Wingdings" w:hAnsi="Wingdings" w:cs="Wingdings" w:hint="default"/>
      </w:rPr>
    </w:lvl>
    <w:lvl w:ilvl="3" w:tplc="0419000F">
      <w:start w:val="1"/>
      <w:numFmt w:val="bullet"/>
      <w:lvlText w:val=""/>
      <w:lvlJc w:val="left"/>
      <w:pPr>
        <w:ind w:left="2880" w:hanging="360"/>
      </w:pPr>
      <w:rPr>
        <w:rFonts w:ascii="Symbol" w:hAnsi="Symbol" w:cs="Symbol" w:hint="default"/>
      </w:rPr>
    </w:lvl>
    <w:lvl w:ilvl="4" w:tplc="04190019">
      <w:start w:val="1"/>
      <w:numFmt w:val="bullet"/>
      <w:lvlText w:val="o"/>
      <w:lvlJc w:val="left"/>
      <w:pPr>
        <w:ind w:left="3600" w:hanging="360"/>
      </w:pPr>
      <w:rPr>
        <w:rFonts w:ascii="Courier New" w:hAnsi="Courier New" w:cs="Courier New" w:hint="default"/>
      </w:rPr>
    </w:lvl>
    <w:lvl w:ilvl="5" w:tplc="0419001B">
      <w:start w:val="1"/>
      <w:numFmt w:val="bullet"/>
      <w:lvlText w:val=""/>
      <w:lvlJc w:val="left"/>
      <w:pPr>
        <w:ind w:left="4320" w:hanging="360"/>
      </w:pPr>
      <w:rPr>
        <w:rFonts w:ascii="Wingdings" w:hAnsi="Wingdings" w:cs="Wingdings" w:hint="default"/>
      </w:rPr>
    </w:lvl>
    <w:lvl w:ilvl="6" w:tplc="0419000F">
      <w:start w:val="1"/>
      <w:numFmt w:val="bullet"/>
      <w:lvlText w:val=""/>
      <w:lvlJc w:val="left"/>
      <w:pPr>
        <w:ind w:left="5040" w:hanging="360"/>
      </w:pPr>
      <w:rPr>
        <w:rFonts w:ascii="Symbol" w:hAnsi="Symbol" w:cs="Symbol" w:hint="default"/>
      </w:rPr>
    </w:lvl>
    <w:lvl w:ilvl="7" w:tplc="04190019">
      <w:start w:val="1"/>
      <w:numFmt w:val="bullet"/>
      <w:lvlText w:val="o"/>
      <w:lvlJc w:val="left"/>
      <w:pPr>
        <w:ind w:left="5760" w:hanging="360"/>
      </w:pPr>
      <w:rPr>
        <w:rFonts w:ascii="Courier New" w:hAnsi="Courier New" w:cs="Courier New" w:hint="default"/>
      </w:rPr>
    </w:lvl>
    <w:lvl w:ilvl="8" w:tplc="0419001B">
      <w:start w:val="1"/>
      <w:numFmt w:val="bullet"/>
      <w:lvlText w:val=""/>
      <w:lvlJc w:val="left"/>
      <w:pPr>
        <w:ind w:left="6480" w:hanging="360"/>
      </w:pPr>
      <w:rPr>
        <w:rFonts w:ascii="Wingdings" w:hAnsi="Wingdings" w:cs="Wingdings" w:hint="default"/>
      </w:rPr>
    </w:lvl>
  </w:abstractNum>
  <w:abstractNum w:abstractNumId="67" w15:restartNumberingAfterBreak="0">
    <w:nsid w:val="3B96315D"/>
    <w:multiLevelType w:val="hybridMultilevel"/>
    <w:tmpl w:val="DAF2F4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3C4C64A4"/>
    <w:multiLevelType w:val="hybridMultilevel"/>
    <w:tmpl w:val="441A1A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15:restartNumberingAfterBreak="0">
    <w:nsid w:val="3E200F46"/>
    <w:multiLevelType w:val="hybridMultilevel"/>
    <w:tmpl w:val="50068776"/>
    <w:lvl w:ilvl="0" w:tplc="64569F7E">
      <w:start w:val="1"/>
      <w:numFmt w:val="bullet"/>
      <w:lvlText w:val="•"/>
      <w:lvlJc w:val="left"/>
      <w:pPr>
        <w:tabs>
          <w:tab w:val="num" w:pos="720"/>
        </w:tabs>
        <w:ind w:left="720" w:hanging="360"/>
      </w:pPr>
      <w:rPr>
        <w:rFonts w:ascii="Arial" w:hAnsi="Arial" w:hint="default"/>
      </w:rPr>
    </w:lvl>
    <w:lvl w:ilvl="1" w:tplc="33D27E1E" w:tentative="1">
      <w:start w:val="1"/>
      <w:numFmt w:val="bullet"/>
      <w:lvlText w:val="•"/>
      <w:lvlJc w:val="left"/>
      <w:pPr>
        <w:tabs>
          <w:tab w:val="num" w:pos="1440"/>
        </w:tabs>
        <w:ind w:left="1440" w:hanging="360"/>
      </w:pPr>
      <w:rPr>
        <w:rFonts w:ascii="Arial" w:hAnsi="Arial" w:hint="default"/>
      </w:rPr>
    </w:lvl>
    <w:lvl w:ilvl="2" w:tplc="AC7CB716" w:tentative="1">
      <w:start w:val="1"/>
      <w:numFmt w:val="bullet"/>
      <w:lvlText w:val="•"/>
      <w:lvlJc w:val="left"/>
      <w:pPr>
        <w:tabs>
          <w:tab w:val="num" w:pos="2160"/>
        </w:tabs>
        <w:ind w:left="2160" w:hanging="360"/>
      </w:pPr>
      <w:rPr>
        <w:rFonts w:ascii="Arial" w:hAnsi="Arial" w:hint="default"/>
      </w:rPr>
    </w:lvl>
    <w:lvl w:ilvl="3" w:tplc="7158BAF0" w:tentative="1">
      <w:start w:val="1"/>
      <w:numFmt w:val="bullet"/>
      <w:lvlText w:val="•"/>
      <w:lvlJc w:val="left"/>
      <w:pPr>
        <w:tabs>
          <w:tab w:val="num" w:pos="2880"/>
        </w:tabs>
        <w:ind w:left="2880" w:hanging="360"/>
      </w:pPr>
      <w:rPr>
        <w:rFonts w:ascii="Arial" w:hAnsi="Arial" w:hint="default"/>
      </w:rPr>
    </w:lvl>
    <w:lvl w:ilvl="4" w:tplc="FD7C29BC" w:tentative="1">
      <w:start w:val="1"/>
      <w:numFmt w:val="bullet"/>
      <w:lvlText w:val="•"/>
      <w:lvlJc w:val="left"/>
      <w:pPr>
        <w:tabs>
          <w:tab w:val="num" w:pos="3600"/>
        </w:tabs>
        <w:ind w:left="3600" w:hanging="360"/>
      </w:pPr>
      <w:rPr>
        <w:rFonts w:ascii="Arial" w:hAnsi="Arial" w:hint="default"/>
      </w:rPr>
    </w:lvl>
    <w:lvl w:ilvl="5" w:tplc="7CA2D29A" w:tentative="1">
      <w:start w:val="1"/>
      <w:numFmt w:val="bullet"/>
      <w:lvlText w:val="•"/>
      <w:lvlJc w:val="left"/>
      <w:pPr>
        <w:tabs>
          <w:tab w:val="num" w:pos="4320"/>
        </w:tabs>
        <w:ind w:left="4320" w:hanging="360"/>
      </w:pPr>
      <w:rPr>
        <w:rFonts w:ascii="Arial" w:hAnsi="Arial" w:hint="default"/>
      </w:rPr>
    </w:lvl>
    <w:lvl w:ilvl="6" w:tplc="E2988B64" w:tentative="1">
      <w:start w:val="1"/>
      <w:numFmt w:val="bullet"/>
      <w:lvlText w:val="•"/>
      <w:lvlJc w:val="left"/>
      <w:pPr>
        <w:tabs>
          <w:tab w:val="num" w:pos="5040"/>
        </w:tabs>
        <w:ind w:left="5040" w:hanging="360"/>
      </w:pPr>
      <w:rPr>
        <w:rFonts w:ascii="Arial" w:hAnsi="Arial" w:hint="default"/>
      </w:rPr>
    </w:lvl>
    <w:lvl w:ilvl="7" w:tplc="DF0EE008" w:tentative="1">
      <w:start w:val="1"/>
      <w:numFmt w:val="bullet"/>
      <w:lvlText w:val="•"/>
      <w:lvlJc w:val="left"/>
      <w:pPr>
        <w:tabs>
          <w:tab w:val="num" w:pos="5760"/>
        </w:tabs>
        <w:ind w:left="5760" w:hanging="360"/>
      </w:pPr>
      <w:rPr>
        <w:rFonts w:ascii="Arial" w:hAnsi="Arial" w:hint="default"/>
      </w:rPr>
    </w:lvl>
    <w:lvl w:ilvl="8" w:tplc="1E1C805E" w:tentative="1">
      <w:start w:val="1"/>
      <w:numFmt w:val="bullet"/>
      <w:lvlText w:val="•"/>
      <w:lvlJc w:val="left"/>
      <w:pPr>
        <w:tabs>
          <w:tab w:val="num" w:pos="6480"/>
        </w:tabs>
        <w:ind w:left="6480" w:hanging="360"/>
      </w:pPr>
      <w:rPr>
        <w:rFonts w:ascii="Arial" w:hAnsi="Arial" w:hint="default"/>
      </w:rPr>
    </w:lvl>
  </w:abstractNum>
  <w:abstractNum w:abstractNumId="70" w15:restartNumberingAfterBreak="0">
    <w:nsid w:val="40065B7D"/>
    <w:multiLevelType w:val="hybridMultilevel"/>
    <w:tmpl w:val="13EEE0DE"/>
    <w:lvl w:ilvl="0" w:tplc="0419000F">
      <w:start w:val="1"/>
      <w:numFmt w:val="bullet"/>
      <w:lvlText w:val=""/>
      <w:lvlJc w:val="left"/>
      <w:pPr>
        <w:ind w:left="720" w:hanging="360"/>
      </w:pPr>
      <w:rPr>
        <w:rFonts w:ascii="Symbol" w:hAnsi="Symbol" w:cs="Symbol" w:hint="default"/>
      </w:rPr>
    </w:lvl>
    <w:lvl w:ilvl="1" w:tplc="04190019">
      <w:start w:val="1"/>
      <w:numFmt w:val="bullet"/>
      <w:lvlText w:val="o"/>
      <w:lvlJc w:val="left"/>
      <w:pPr>
        <w:ind w:left="1440" w:hanging="360"/>
      </w:pPr>
      <w:rPr>
        <w:rFonts w:ascii="Courier New" w:hAnsi="Courier New" w:cs="Courier New" w:hint="default"/>
      </w:rPr>
    </w:lvl>
    <w:lvl w:ilvl="2" w:tplc="0419001B">
      <w:start w:val="1"/>
      <w:numFmt w:val="bullet"/>
      <w:lvlText w:val=""/>
      <w:lvlJc w:val="left"/>
      <w:pPr>
        <w:ind w:left="2160" w:hanging="360"/>
      </w:pPr>
      <w:rPr>
        <w:rFonts w:ascii="Wingdings" w:hAnsi="Wingdings" w:cs="Wingdings" w:hint="default"/>
      </w:rPr>
    </w:lvl>
    <w:lvl w:ilvl="3" w:tplc="0419000F">
      <w:start w:val="1"/>
      <w:numFmt w:val="bullet"/>
      <w:lvlText w:val=""/>
      <w:lvlJc w:val="left"/>
      <w:pPr>
        <w:ind w:left="2880" w:hanging="360"/>
      </w:pPr>
      <w:rPr>
        <w:rFonts w:ascii="Symbol" w:hAnsi="Symbol" w:cs="Symbol" w:hint="default"/>
      </w:rPr>
    </w:lvl>
    <w:lvl w:ilvl="4" w:tplc="04190019">
      <w:start w:val="1"/>
      <w:numFmt w:val="bullet"/>
      <w:lvlText w:val="o"/>
      <w:lvlJc w:val="left"/>
      <w:pPr>
        <w:ind w:left="3600" w:hanging="360"/>
      </w:pPr>
      <w:rPr>
        <w:rFonts w:ascii="Courier New" w:hAnsi="Courier New" w:cs="Courier New" w:hint="default"/>
      </w:rPr>
    </w:lvl>
    <w:lvl w:ilvl="5" w:tplc="0419001B">
      <w:start w:val="1"/>
      <w:numFmt w:val="bullet"/>
      <w:lvlText w:val=""/>
      <w:lvlJc w:val="left"/>
      <w:pPr>
        <w:ind w:left="4320" w:hanging="360"/>
      </w:pPr>
      <w:rPr>
        <w:rFonts w:ascii="Wingdings" w:hAnsi="Wingdings" w:cs="Wingdings" w:hint="default"/>
      </w:rPr>
    </w:lvl>
    <w:lvl w:ilvl="6" w:tplc="0419000F">
      <w:start w:val="1"/>
      <w:numFmt w:val="bullet"/>
      <w:lvlText w:val=""/>
      <w:lvlJc w:val="left"/>
      <w:pPr>
        <w:ind w:left="5040" w:hanging="360"/>
      </w:pPr>
      <w:rPr>
        <w:rFonts w:ascii="Symbol" w:hAnsi="Symbol" w:cs="Symbol" w:hint="default"/>
      </w:rPr>
    </w:lvl>
    <w:lvl w:ilvl="7" w:tplc="04190019">
      <w:start w:val="1"/>
      <w:numFmt w:val="bullet"/>
      <w:lvlText w:val="o"/>
      <w:lvlJc w:val="left"/>
      <w:pPr>
        <w:ind w:left="5760" w:hanging="360"/>
      </w:pPr>
      <w:rPr>
        <w:rFonts w:ascii="Courier New" w:hAnsi="Courier New" w:cs="Courier New" w:hint="default"/>
      </w:rPr>
    </w:lvl>
    <w:lvl w:ilvl="8" w:tplc="0419001B">
      <w:start w:val="1"/>
      <w:numFmt w:val="bullet"/>
      <w:lvlText w:val=""/>
      <w:lvlJc w:val="left"/>
      <w:pPr>
        <w:ind w:left="6480" w:hanging="360"/>
      </w:pPr>
      <w:rPr>
        <w:rFonts w:ascii="Wingdings" w:hAnsi="Wingdings" w:cs="Wingdings" w:hint="default"/>
      </w:rPr>
    </w:lvl>
  </w:abstractNum>
  <w:abstractNum w:abstractNumId="71" w15:restartNumberingAfterBreak="0">
    <w:nsid w:val="405C414E"/>
    <w:multiLevelType w:val="hybridMultilevel"/>
    <w:tmpl w:val="87483C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412E44F8"/>
    <w:multiLevelType w:val="hybridMultilevel"/>
    <w:tmpl w:val="5A94606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15:restartNumberingAfterBreak="0">
    <w:nsid w:val="42515376"/>
    <w:multiLevelType w:val="hybridMultilevel"/>
    <w:tmpl w:val="3550B2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15:restartNumberingAfterBreak="0">
    <w:nsid w:val="427D7FA7"/>
    <w:multiLevelType w:val="hybridMultilevel"/>
    <w:tmpl w:val="1994C544"/>
    <w:lvl w:ilvl="0" w:tplc="04190011">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5" w15:restartNumberingAfterBreak="0">
    <w:nsid w:val="44A8174F"/>
    <w:multiLevelType w:val="hybridMultilevel"/>
    <w:tmpl w:val="F3CC5D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15:restartNumberingAfterBreak="0">
    <w:nsid w:val="45E53229"/>
    <w:multiLevelType w:val="hybridMultilevel"/>
    <w:tmpl w:val="22DCCD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15:restartNumberingAfterBreak="0">
    <w:nsid w:val="47497BE7"/>
    <w:multiLevelType w:val="hybridMultilevel"/>
    <w:tmpl w:val="531CB4D6"/>
    <w:lvl w:ilvl="0" w:tplc="04190001">
      <w:start w:val="1"/>
      <w:numFmt w:val="bullet"/>
      <w:lvlText w:val=""/>
      <w:lvlJc w:val="left"/>
      <w:pPr>
        <w:ind w:left="1069" w:hanging="360"/>
      </w:pPr>
      <w:rPr>
        <w:rFonts w:ascii="Symbol" w:hAnsi="Symbol" w:hint="default"/>
      </w:rPr>
    </w:lvl>
    <w:lvl w:ilvl="1" w:tplc="04190001">
      <w:start w:val="1"/>
      <w:numFmt w:val="bullet"/>
      <w:lvlText w:val=""/>
      <w:lvlJc w:val="left"/>
      <w:pPr>
        <w:ind w:left="2134" w:hanging="705"/>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8" w15:restartNumberingAfterBreak="0">
    <w:nsid w:val="47803458"/>
    <w:multiLevelType w:val="multilevel"/>
    <w:tmpl w:val="E0804D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8"/>
      <w:numFmt w:val="bullet"/>
      <w:lvlText w:val=""/>
      <w:lvlJc w:val="left"/>
      <w:pPr>
        <w:ind w:left="2160" w:hanging="360"/>
      </w:pPr>
      <w:rPr>
        <w:rFonts w:ascii="Wingdings" w:eastAsiaTheme="minorHAnsi" w:hAnsi="Wingdings" w:cstheme="minorBid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4B1B7FC4"/>
    <w:multiLevelType w:val="hybridMultilevel"/>
    <w:tmpl w:val="A9AA6FD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15:restartNumberingAfterBreak="0">
    <w:nsid w:val="4B912FC9"/>
    <w:multiLevelType w:val="hybridMultilevel"/>
    <w:tmpl w:val="F8BE31C4"/>
    <w:styleLink w:val="1"/>
    <w:lvl w:ilvl="0" w:tplc="B97EBB6A">
      <w:start w:val="1"/>
      <w:numFmt w:val="bullet"/>
      <w:lvlText w:val="·"/>
      <w:lvlJc w:val="left"/>
      <w:pPr>
        <w:ind w:left="967" w:hanging="570"/>
      </w:pPr>
      <w:rPr>
        <w:rFonts w:ascii="Symbol" w:eastAsia="Times New Roman" w:hAnsi="Symbol"/>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C182848">
      <w:start w:val="1"/>
      <w:numFmt w:val="bullet"/>
      <w:lvlText w:val="o"/>
      <w:lvlJc w:val="left"/>
      <w:pPr>
        <w:tabs>
          <w:tab w:val="num" w:pos="1761"/>
        </w:tabs>
        <w:ind w:left="1364" w:firstLine="15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0ECE9D2">
      <w:start w:val="1"/>
      <w:numFmt w:val="bullet"/>
      <w:lvlText w:val="▪"/>
      <w:lvlJc w:val="left"/>
      <w:pPr>
        <w:ind w:left="219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7745518">
      <w:start w:val="1"/>
      <w:numFmt w:val="bullet"/>
      <w:lvlText w:val="·"/>
      <w:lvlJc w:val="left"/>
      <w:pPr>
        <w:ind w:left="2914" w:hanging="570"/>
      </w:pPr>
      <w:rPr>
        <w:rFonts w:ascii="Symbol" w:eastAsia="Times New Roman" w:hAnsi="Symbol"/>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FB2730C">
      <w:start w:val="1"/>
      <w:numFmt w:val="bullet"/>
      <w:lvlText w:val="o"/>
      <w:lvlJc w:val="left"/>
      <w:pPr>
        <w:ind w:left="363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F60F3CA">
      <w:start w:val="1"/>
      <w:numFmt w:val="bullet"/>
      <w:lvlText w:val="▪"/>
      <w:lvlJc w:val="left"/>
      <w:pPr>
        <w:ind w:left="435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03C1838">
      <w:start w:val="1"/>
      <w:numFmt w:val="bullet"/>
      <w:lvlText w:val="·"/>
      <w:lvlJc w:val="left"/>
      <w:pPr>
        <w:ind w:left="5074" w:hanging="570"/>
      </w:pPr>
      <w:rPr>
        <w:rFonts w:ascii="Symbol" w:eastAsia="Times New Roman" w:hAnsi="Symbol"/>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312015A">
      <w:start w:val="1"/>
      <w:numFmt w:val="bullet"/>
      <w:lvlText w:val="o"/>
      <w:lvlJc w:val="left"/>
      <w:pPr>
        <w:ind w:left="579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ACA0E84">
      <w:start w:val="1"/>
      <w:numFmt w:val="bullet"/>
      <w:lvlText w:val="▪"/>
      <w:lvlJc w:val="left"/>
      <w:pPr>
        <w:ind w:left="651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1" w15:restartNumberingAfterBreak="0">
    <w:nsid w:val="4BBF220D"/>
    <w:multiLevelType w:val="hybridMultilevel"/>
    <w:tmpl w:val="0FE66328"/>
    <w:lvl w:ilvl="0" w:tplc="04190001">
      <w:start w:val="1"/>
      <w:numFmt w:val="bullet"/>
      <w:lvlText w:val=""/>
      <w:lvlJc w:val="left"/>
      <w:pPr>
        <w:ind w:left="2509" w:hanging="360"/>
      </w:pPr>
      <w:rPr>
        <w:rFonts w:ascii="Symbol" w:hAnsi="Symbol" w:hint="default"/>
      </w:rPr>
    </w:lvl>
    <w:lvl w:ilvl="1" w:tplc="04190003" w:tentative="1">
      <w:start w:val="1"/>
      <w:numFmt w:val="bullet"/>
      <w:lvlText w:val="o"/>
      <w:lvlJc w:val="left"/>
      <w:pPr>
        <w:ind w:left="3229" w:hanging="360"/>
      </w:pPr>
      <w:rPr>
        <w:rFonts w:ascii="Courier New" w:hAnsi="Courier New" w:cs="Courier New" w:hint="default"/>
      </w:rPr>
    </w:lvl>
    <w:lvl w:ilvl="2" w:tplc="04190005" w:tentative="1">
      <w:start w:val="1"/>
      <w:numFmt w:val="bullet"/>
      <w:lvlText w:val=""/>
      <w:lvlJc w:val="left"/>
      <w:pPr>
        <w:ind w:left="3949" w:hanging="360"/>
      </w:pPr>
      <w:rPr>
        <w:rFonts w:ascii="Wingdings" w:hAnsi="Wingdings" w:hint="default"/>
      </w:rPr>
    </w:lvl>
    <w:lvl w:ilvl="3" w:tplc="04190001" w:tentative="1">
      <w:start w:val="1"/>
      <w:numFmt w:val="bullet"/>
      <w:lvlText w:val=""/>
      <w:lvlJc w:val="left"/>
      <w:pPr>
        <w:ind w:left="4669" w:hanging="360"/>
      </w:pPr>
      <w:rPr>
        <w:rFonts w:ascii="Symbol" w:hAnsi="Symbol" w:hint="default"/>
      </w:rPr>
    </w:lvl>
    <w:lvl w:ilvl="4" w:tplc="04190003" w:tentative="1">
      <w:start w:val="1"/>
      <w:numFmt w:val="bullet"/>
      <w:lvlText w:val="o"/>
      <w:lvlJc w:val="left"/>
      <w:pPr>
        <w:ind w:left="5389" w:hanging="360"/>
      </w:pPr>
      <w:rPr>
        <w:rFonts w:ascii="Courier New" w:hAnsi="Courier New" w:cs="Courier New" w:hint="default"/>
      </w:rPr>
    </w:lvl>
    <w:lvl w:ilvl="5" w:tplc="04190005" w:tentative="1">
      <w:start w:val="1"/>
      <w:numFmt w:val="bullet"/>
      <w:lvlText w:val=""/>
      <w:lvlJc w:val="left"/>
      <w:pPr>
        <w:ind w:left="6109" w:hanging="360"/>
      </w:pPr>
      <w:rPr>
        <w:rFonts w:ascii="Wingdings" w:hAnsi="Wingdings" w:hint="default"/>
      </w:rPr>
    </w:lvl>
    <w:lvl w:ilvl="6" w:tplc="04190001" w:tentative="1">
      <w:start w:val="1"/>
      <w:numFmt w:val="bullet"/>
      <w:lvlText w:val=""/>
      <w:lvlJc w:val="left"/>
      <w:pPr>
        <w:ind w:left="6829" w:hanging="360"/>
      </w:pPr>
      <w:rPr>
        <w:rFonts w:ascii="Symbol" w:hAnsi="Symbol" w:hint="default"/>
      </w:rPr>
    </w:lvl>
    <w:lvl w:ilvl="7" w:tplc="04190003" w:tentative="1">
      <w:start w:val="1"/>
      <w:numFmt w:val="bullet"/>
      <w:lvlText w:val="o"/>
      <w:lvlJc w:val="left"/>
      <w:pPr>
        <w:ind w:left="7549" w:hanging="360"/>
      </w:pPr>
      <w:rPr>
        <w:rFonts w:ascii="Courier New" w:hAnsi="Courier New" w:cs="Courier New" w:hint="default"/>
      </w:rPr>
    </w:lvl>
    <w:lvl w:ilvl="8" w:tplc="04190005" w:tentative="1">
      <w:start w:val="1"/>
      <w:numFmt w:val="bullet"/>
      <w:lvlText w:val=""/>
      <w:lvlJc w:val="left"/>
      <w:pPr>
        <w:ind w:left="8269" w:hanging="360"/>
      </w:pPr>
      <w:rPr>
        <w:rFonts w:ascii="Wingdings" w:hAnsi="Wingdings" w:hint="default"/>
      </w:rPr>
    </w:lvl>
  </w:abstractNum>
  <w:abstractNum w:abstractNumId="82" w15:restartNumberingAfterBreak="0">
    <w:nsid w:val="4D477266"/>
    <w:multiLevelType w:val="hybridMultilevel"/>
    <w:tmpl w:val="EA68324C"/>
    <w:lvl w:ilvl="0" w:tplc="196A3E4A">
      <w:start w:val="1"/>
      <w:numFmt w:val="bullet"/>
      <w:lvlText w:val="•"/>
      <w:lvlJc w:val="left"/>
      <w:pPr>
        <w:tabs>
          <w:tab w:val="num" w:pos="720"/>
        </w:tabs>
        <w:ind w:left="720" w:hanging="360"/>
      </w:pPr>
      <w:rPr>
        <w:rFonts w:ascii="Arial" w:hAnsi="Arial" w:hint="default"/>
      </w:rPr>
    </w:lvl>
    <w:lvl w:ilvl="1" w:tplc="EB743F26" w:tentative="1">
      <w:start w:val="1"/>
      <w:numFmt w:val="bullet"/>
      <w:lvlText w:val="•"/>
      <w:lvlJc w:val="left"/>
      <w:pPr>
        <w:tabs>
          <w:tab w:val="num" w:pos="1440"/>
        </w:tabs>
        <w:ind w:left="1440" w:hanging="360"/>
      </w:pPr>
      <w:rPr>
        <w:rFonts w:ascii="Arial" w:hAnsi="Arial" w:hint="default"/>
      </w:rPr>
    </w:lvl>
    <w:lvl w:ilvl="2" w:tplc="25442FA2" w:tentative="1">
      <w:start w:val="1"/>
      <w:numFmt w:val="bullet"/>
      <w:lvlText w:val="•"/>
      <w:lvlJc w:val="left"/>
      <w:pPr>
        <w:tabs>
          <w:tab w:val="num" w:pos="2160"/>
        </w:tabs>
        <w:ind w:left="2160" w:hanging="360"/>
      </w:pPr>
      <w:rPr>
        <w:rFonts w:ascii="Arial" w:hAnsi="Arial" w:hint="default"/>
      </w:rPr>
    </w:lvl>
    <w:lvl w:ilvl="3" w:tplc="A5100978" w:tentative="1">
      <w:start w:val="1"/>
      <w:numFmt w:val="bullet"/>
      <w:lvlText w:val="•"/>
      <w:lvlJc w:val="left"/>
      <w:pPr>
        <w:tabs>
          <w:tab w:val="num" w:pos="2880"/>
        </w:tabs>
        <w:ind w:left="2880" w:hanging="360"/>
      </w:pPr>
      <w:rPr>
        <w:rFonts w:ascii="Arial" w:hAnsi="Arial" w:hint="default"/>
      </w:rPr>
    </w:lvl>
    <w:lvl w:ilvl="4" w:tplc="9708A15E" w:tentative="1">
      <w:start w:val="1"/>
      <w:numFmt w:val="bullet"/>
      <w:lvlText w:val="•"/>
      <w:lvlJc w:val="left"/>
      <w:pPr>
        <w:tabs>
          <w:tab w:val="num" w:pos="3600"/>
        </w:tabs>
        <w:ind w:left="3600" w:hanging="360"/>
      </w:pPr>
      <w:rPr>
        <w:rFonts w:ascii="Arial" w:hAnsi="Arial" w:hint="default"/>
      </w:rPr>
    </w:lvl>
    <w:lvl w:ilvl="5" w:tplc="4560E776" w:tentative="1">
      <w:start w:val="1"/>
      <w:numFmt w:val="bullet"/>
      <w:lvlText w:val="•"/>
      <w:lvlJc w:val="left"/>
      <w:pPr>
        <w:tabs>
          <w:tab w:val="num" w:pos="4320"/>
        </w:tabs>
        <w:ind w:left="4320" w:hanging="360"/>
      </w:pPr>
      <w:rPr>
        <w:rFonts w:ascii="Arial" w:hAnsi="Arial" w:hint="default"/>
      </w:rPr>
    </w:lvl>
    <w:lvl w:ilvl="6" w:tplc="38C43DA4" w:tentative="1">
      <w:start w:val="1"/>
      <w:numFmt w:val="bullet"/>
      <w:lvlText w:val="•"/>
      <w:lvlJc w:val="left"/>
      <w:pPr>
        <w:tabs>
          <w:tab w:val="num" w:pos="5040"/>
        </w:tabs>
        <w:ind w:left="5040" w:hanging="360"/>
      </w:pPr>
      <w:rPr>
        <w:rFonts w:ascii="Arial" w:hAnsi="Arial" w:hint="default"/>
      </w:rPr>
    </w:lvl>
    <w:lvl w:ilvl="7" w:tplc="306AC712" w:tentative="1">
      <w:start w:val="1"/>
      <w:numFmt w:val="bullet"/>
      <w:lvlText w:val="•"/>
      <w:lvlJc w:val="left"/>
      <w:pPr>
        <w:tabs>
          <w:tab w:val="num" w:pos="5760"/>
        </w:tabs>
        <w:ind w:left="5760" w:hanging="360"/>
      </w:pPr>
      <w:rPr>
        <w:rFonts w:ascii="Arial" w:hAnsi="Arial" w:hint="default"/>
      </w:rPr>
    </w:lvl>
    <w:lvl w:ilvl="8" w:tplc="81B6BAF4" w:tentative="1">
      <w:start w:val="1"/>
      <w:numFmt w:val="bullet"/>
      <w:lvlText w:val="•"/>
      <w:lvlJc w:val="left"/>
      <w:pPr>
        <w:tabs>
          <w:tab w:val="num" w:pos="6480"/>
        </w:tabs>
        <w:ind w:left="6480" w:hanging="360"/>
      </w:pPr>
      <w:rPr>
        <w:rFonts w:ascii="Arial" w:hAnsi="Arial" w:hint="default"/>
      </w:rPr>
    </w:lvl>
  </w:abstractNum>
  <w:abstractNum w:abstractNumId="83" w15:restartNumberingAfterBreak="0">
    <w:nsid w:val="51321F6E"/>
    <w:multiLevelType w:val="hybridMultilevel"/>
    <w:tmpl w:val="FB1E710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15:restartNumberingAfterBreak="0">
    <w:nsid w:val="51E0483C"/>
    <w:multiLevelType w:val="hybridMultilevel"/>
    <w:tmpl w:val="E02EC8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15:restartNumberingAfterBreak="0">
    <w:nsid w:val="5236352A"/>
    <w:multiLevelType w:val="hybridMultilevel"/>
    <w:tmpl w:val="840E83A8"/>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86" w15:restartNumberingAfterBreak="0">
    <w:nsid w:val="53051F45"/>
    <w:multiLevelType w:val="hybridMultilevel"/>
    <w:tmpl w:val="96549B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15:restartNumberingAfterBreak="0">
    <w:nsid w:val="5399506D"/>
    <w:multiLevelType w:val="hybridMultilevel"/>
    <w:tmpl w:val="65BC56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15:restartNumberingAfterBreak="0">
    <w:nsid w:val="55DD441C"/>
    <w:multiLevelType w:val="hybridMultilevel"/>
    <w:tmpl w:val="C71CFD9E"/>
    <w:lvl w:ilvl="0" w:tplc="70B68430">
      <w:start w:val="1"/>
      <w:numFmt w:val="decimal"/>
      <w:lvlText w:val="%1."/>
      <w:lvlJc w:val="left"/>
      <w:pPr>
        <w:ind w:left="720" w:hanging="360"/>
      </w:pPr>
      <w:rPr>
        <w:rFonts w:cs="Times New Roman"/>
      </w:rPr>
    </w:lvl>
    <w:lvl w:ilvl="1" w:tplc="04190003">
      <w:start w:val="1"/>
      <w:numFmt w:val="decimal"/>
      <w:lvlText w:val="%2)"/>
      <w:lvlJc w:val="left"/>
      <w:pPr>
        <w:ind w:left="1470" w:hanging="390"/>
      </w:pPr>
      <w:rPr>
        <w:rFonts w:hint="default"/>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89" w15:restartNumberingAfterBreak="0">
    <w:nsid w:val="55E56EC6"/>
    <w:multiLevelType w:val="hybridMultilevel"/>
    <w:tmpl w:val="C164C7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15:restartNumberingAfterBreak="0">
    <w:nsid w:val="56D57828"/>
    <w:multiLevelType w:val="hybridMultilevel"/>
    <w:tmpl w:val="051A2E54"/>
    <w:lvl w:ilvl="0" w:tplc="9CFE2CFA">
      <w:start w:val="1"/>
      <w:numFmt w:val="bullet"/>
      <w:pStyle w:val="a0"/>
      <w:lvlText w:val="o"/>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57021D6D"/>
    <w:multiLevelType w:val="hybridMultilevel"/>
    <w:tmpl w:val="2964693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2" w15:restartNumberingAfterBreak="0">
    <w:nsid w:val="59E72E42"/>
    <w:multiLevelType w:val="hybridMultilevel"/>
    <w:tmpl w:val="B936D9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15:restartNumberingAfterBreak="0">
    <w:nsid w:val="5BBD3B17"/>
    <w:multiLevelType w:val="hybridMultilevel"/>
    <w:tmpl w:val="299476A2"/>
    <w:lvl w:ilvl="0" w:tplc="0419000F">
      <w:start w:val="1"/>
      <w:numFmt w:val="bullet"/>
      <w:lvlText w:val=""/>
      <w:lvlJc w:val="left"/>
      <w:pPr>
        <w:ind w:left="720" w:hanging="360"/>
      </w:pPr>
      <w:rPr>
        <w:rFonts w:ascii="Symbol" w:hAnsi="Symbol" w:cs="Symbol" w:hint="default"/>
      </w:rPr>
    </w:lvl>
    <w:lvl w:ilvl="1" w:tplc="04190019">
      <w:start w:val="1"/>
      <w:numFmt w:val="bullet"/>
      <w:lvlText w:val="o"/>
      <w:lvlJc w:val="left"/>
      <w:pPr>
        <w:ind w:left="1440" w:hanging="360"/>
      </w:pPr>
      <w:rPr>
        <w:rFonts w:ascii="Courier New" w:hAnsi="Courier New" w:cs="Courier New" w:hint="default"/>
      </w:rPr>
    </w:lvl>
    <w:lvl w:ilvl="2" w:tplc="0419001B">
      <w:start w:val="1"/>
      <w:numFmt w:val="bullet"/>
      <w:lvlText w:val=""/>
      <w:lvlJc w:val="left"/>
      <w:pPr>
        <w:ind w:left="2160" w:hanging="360"/>
      </w:pPr>
      <w:rPr>
        <w:rFonts w:ascii="Wingdings" w:hAnsi="Wingdings" w:cs="Wingdings" w:hint="default"/>
      </w:rPr>
    </w:lvl>
    <w:lvl w:ilvl="3" w:tplc="0419000F">
      <w:start w:val="1"/>
      <w:numFmt w:val="bullet"/>
      <w:lvlText w:val=""/>
      <w:lvlJc w:val="left"/>
      <w:pPr>
        <w:ind w:left="2880" w:hanging="360"/>
      </w:pPr>
      <w:rPr>
        <w:rFonts w:ascii="Symbol" w:hAnsi="Symbol" w:cs="Symbol" w:hint="default"/>
      </w:rPr>
    </w:lvl>
    <w:lvl w:ilvl="4" w:tplc="04190019">
      <w:start w:val="1"/>
      <w:numFmt w:val="bullet"/>
      <w:lvlText w:val="o"/>
      <w:lvlJc w:val="left"/>
      <w:pPr>
        <w:ind w:left="3600" w:hanging="360"/>
      </w:pPr>
      <w:rPr>
        <w:rFonts w:ascii="Courier New" w:hAnsi="Courier New" w:cs="Courier New" w:hint="default"/>
      </w:rPr>
    </w:lvl>
    <w:lvl w:ilvl="5" w:tplc="0419001B">
      <w:start w:val="1"/>
      <w:numFmt w:val="bullet"/>
      <w:lvlText w:val=""/>
      <w:lvlJc w:val="left"/>
      <w:pPr>
        <w:ind w:left="4320" w:hanging="360"/>
      </w:pPr>
      <w:rPr>
        <w:rFonts w:ascii="Wingdings" w:hAnsi="Wingdings" w:cs="Wingdings" w:hint="default"/>
      </w:rPr>
    </w:lvl>
    <w:lvl w:ilvl="6" w:tplc="0419000F">
      <w:start w:val="1"/>
      <w:numFmt w:val="bullet"/>
      <w:lvlText w:val=""/>
      <w:lvlJc w:val="left"/>
      <w:pPr>
        <w:ind w:left="5040" w:hanging="360"/>
      </w:pPr>
      <w:rPr>
        <w:rFonts w:ascii="Symbol" w:hAnsi="Symbol" w:cs="Symbol" w:hint="default"/>
      </w:rPr>
    </w:lvl>
    <w:lvl w:ilvl="7" w:tplc="04190019">
      <w:start w:val="1"/>
      <w:numFmt w:val="bullet"/>
      <w:lvlText w:val="o"/>
      <w:lvlJc w:val="left"/>
      <w:pPr>
        <w:ind w:left="5760" w:hanging="360"/>
      </w:pPr>
      <w:rPr>
        <w:rFonts w:ascii="Courier New" w:hAnsi="Courier New" w:cs="Courier New" w:hint="default"/>
      </w:rPr>
    </w:lvl>
    <w:lvl w:ilvl="8" w:tplc="0419001B">
      <w:start w:val="1"/>
      <w:numFmt w:val="bullet"/>
      <w:lvlText w:val=""/>
      <w:lvlJc w:val="left"/>
      <w:pPr>
        <w:ind w:left="6480" w:hanging="360"/>
      </w:pPr>
      <w:rPr>
        <w:rFonts w:ascii="Wingdings" w:hAnsi="Wingdings" w:cs="Wingdings" w:hint="default"/>
      </w:rPr>
    </w:lvl>
  </w:abstractNum>
  <w:abstractNum w:abstractNumId="94" w15:restartNumberingAfterBreak="0">
    <w:nsid w:val="5D8A3271"/>
    <w:multiLevelType w:val="hybridMultilevel"/>
    <w:tmpl w:val="427CF01E"/>
    <w:lvl w:ilvl="0" w:tplc="09DA5912">
      <w:start w:val="1"/>
      <w:numFmt w:val="bullet"/>
      <w:lvlText w:val=""/>
      <w:lvlJc w:val="left"/>
      <w:pPr>
        <w:ind w:left="720" w:hanging="360"/>
      </w:pPr>
      <w:rPr>
        <w:rFonts w:ascii="Symbol" w:hAnsi="Symbol" w:cs="Symbol" w:hint="default"/>
      </w:rPr>
    </w:lvl>
    <w:lvl w:ilvl="1" w:tplc="04190019">
      <w:start w:val="1"/>
      <w:numFmt w:val="bullet"/>
      <w:lvlText w:val="o"/>
      <w:lvlJc w:val="left"/>
      <w:pPr>
        <w:ind w:left="1495" w:hanging="360"/>
      </w:pPr>
      <w:rPr>
        <w:rFonts w:ascii="Courier New" w:hAnsi="Courier New" w:cs="Courier New" w:hint="default"/>
      </w:rPr>
    </w:lvl>
    <w:lvl w:ilvl="2" w:tplc="0419001B">
      <w:start w:val="1"/>
      <w:numFmt w:val="bullet"/>
      <w:lvlText w:val=""/>
      <w:lvlJc w:val="left"/>
      <w:pPr>
        <w:ind w:left="2160" w:hanging="360"/>
      </w:pPr>
      <w:rPr>
        <w:rFonts w:ascii="Wingdings" w:hAnsi="Wingdings" w:cs="Wingdings" w:hint="default"/>
      </w:rPr>
    </w:lvl>
    <w:lvl w:ilvl="3" w:tplc="0419000F">
      <w:start w:val="1"/>
      <w:numFmt w:val="bullet"/>
      <w:lvlText w:val=""/>
      <w:lvlJc w:val="left"/>
      <w:pPr>
        <w:ind w:left="2880" w:hanging="360"/>
      </w:pPr>
      <w:rPr>
        <w:rFonts w:ascii="Symbol" w:hAnsi="Symbol" w:cs="Symbol" w:hint="default"/>
      </w:rPr>
    </w:lvl>
    <w:lvl w:ilvl="4" w:tplc="04190019">
      <w:start w:val="1"/>
      <w:numFmt w:val="bullet"/>
      <w:lvlText w:val="o"/>
      <w:lvlJc w:val="left"/>
      <w:pPr>
        <w:ind w:left="3600" w:hanging="360"/>
      </w:pPr>
      <w:rPr>
        <w:rFonts w:ascii="Courier New" w:hAnsi="Courier New" w:cs="Courier New" w:hint="default"/>
      </w:rPr>
    </w:lvl>
    <w:lvl w:ilvl="5" w:tplc="0419001B">
      <w:start w:val="1"/>
      <w:numFmt w:val="bullet"/>
      <w:lvlText w:val=""/>
      <w:lvlJc w:val="left"/>
      <w:pPr>
        <w:ind w:left="4320" w:hanging="360"/>
      </w:pPr>
      <w:rPr>
        <w:rFonts w:ascii="Wingdings" w:hAnsi="Wingdings" w:cs="Wingdings" w:hint="default"/>
      </w:rPr>
    </w:lvl>
    <w:lvl w:ilvl="6" w:tplc="0419000F">
      <w:start w:val="1"/>
      <w:numFmt w:val="bullet"/>
      <w:lvlText w:val=""/>
      <w:lvlJc w:val="left"/>
      <w:pPr>
        <w:ind w:left="5040" w:hanging="360"/>
      </w:pPr>
      <w:rPr>
        <w:rFonts w:ascii="Symbol" w:hAnsi="Symbol" w:cs="Symbol" w:hint="default"/>
      </w:rPr>
    </w:lvl>
    <w:lvl w:ilvl="7" w:tplc="04190019">
      <w:start w:val="1"/>
      <w:numFmt w:val="bullet"/>
      <w:lvlText w:val="o"/>
      <w:lvlJc w:val="left"/>
      <w:pPr>
        <w:ind w:left="5760" w:hanging="360"/>
      </w:pPr>
      <w:rPr>
        <w:rFonts w:ascii="Courier New" w:hAnsi="Courier New" w:cs="Courier New" w:hint="default"/>
      </w:rPr>
    </w:lvl>
    <w:lvl w:ilvl="8" w:tplc="0419001B">
      <w:start w:val="1"/>
      <w:numFmt w:val="bullet"/>
      <w:lvlText w:val=""/>
      <w:lvlJc w:val="left"/>
      <w:pPr>
        <w:ind w:left="6480" w:hanging="360"/>
      </w:pPr>
      <w:rPr>
        <w:rFonts w:ascii="Wingdings" w:hAnsi="Wingdings" w:cs="Wingdings" w:hint="default"/>
      </w:rPr>
    </w:lvl>
  </w:abstractNum>
  <w:abstractNum w:abstractNumId="95" w15:restartNumberingAfterBreak="0">
    <w:nsid w:val="5DB653DD"/>
    <w:multiLevelType w:val="hybridMultilevel"/>
    <w:tmpl w:val="2510397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6" w15:restartNumberingAfterBreak="0">
    <w:nsid w:val="5E9B328B"/>
    <w:multiLevelType w:val="hybridMultilevel"/>
    <w:tmpl w:val="7C5A1B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15:restartNumberingAfterBreak="0">
    <w:nsid w:val="5FD6635B"/>
    <w:multiLevelType w:val="hybridMultilevel"/>
    <w:tmpl w:val="3B80EA4A"/>
    <w:lvl w:ilvl="0" w:tplc="0456C786">
      <w:numFmt w:val="bullet"/>
      <w:lvlText w:val="•"/>
      <w:lvlJc w:val="left"/>
      <w:rPr>
        <w:rFonts w:ascii="Cambria Math" w:hAnsi="Cambria Math"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98" w15:restartNumberingAfterBreak="0">
    <w:nsid w:val="60D87C6C"/>
    <w:multiLevelType w:val="hybridMultilevel"/>
    <w:tmpl w:val="135E3F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15:restartNumberingAfterBreak="0">
    <w:nsid w:val="631B5061"/>
    <w:multiLevelType w:val="hybridMultilevel"/>
    <w:tmpl w:val="9CB41666"/>
    <w:lvl w:ilvl="0" w:tplc="04190001">
      <w:start w:val="1"/>
      <w:numFmt w:val="bullet"/>
      <w:lvlText w:val=""/>
      <w:lvlJc w:val="left"/>
      <w:pPr>
        <w:ind w:left="720" w:hanging="360"/>
      </w:pPr>
      <w:rPr>
        <w:rFonts w:ascii="Symbol" w:hAnsi="Symbol" w:cs="Symbol" w:hint="default"/>
      </w:rPr>
    </w:lvl>
    <w:lvl w:ilvl="1" w:tplc="04190019">
      <w:start w:val="1"/>
      <w:numFmt w:val="bullet"/>
      <w:lvlText w:val="o"/>
      <w:lvlJc w:val="left"/>
      <w:pPr>
        <w:ind w:left="1440" w:hanging="360"/>
      </w:pPr>
      <w:rPr>
        <w:rFonts w:ascii="Courier New" w:hAnsi="Courier New" w:cs="Courier New" w:hint="default"/>
      </w:rPr>
    </w:lvl>
    <w:lvl w:ilvl="2" w:tplc="0419001B">
      <w:start w:val="1"/>
      <w:numFmt w:val="bullet"/>
      <w:lvlText w:val=""/>
      <w:lvlJc w:val="left"/>
      <w:pPr>
        <w:ind w:left="2160" w:hanging="360"/>
      </w:pPr>
      <w:rPr>
        <w:rFonts w:ascii="Wingdings" w:hAnsi="Wingdings" w:cs="Wingdings" w:hint="default"/>
      </w:rPr>
    </w:lvl>
    <w:lvl w:ilvl="3" w:tplc="0419000F">
      <w:start w:val="1"/>
      <w:numFmt w:val="bullet"/>
      <w:lvlText w:val=""/>
      <w:lvlJc w:val="left"/>
      <w:pPr>
        <w:ind w:left="2880" w:hanging="360"/>
      </w:pPr>
      <w:rPr>
        <w:rFonts w:ascii="Symbol" w:hAnsi="Symbol" w:cs="Symbol" w:hint="default"/>
      </w:rPr>
    </w:lvl>
    <w:lvl w:ilvl="4" w:tplc="04190019">
      <w:start w:val="1"/>
      <w:numFmt w:val="bullet"/>
      <w:lvlText w:val="o"/>
      <w:lvlJc w:val="left"/>
      <w:pPr>
        <w:ind w:left="3600" w:hanging="360"/>
      </w:pPr>
      <w:rPr>
        <w:rFonts w:ascii="Courier New" w:hAnsi="Courier New" w:cs="Courier New" w:hint="default"/>
      </w:rPr>
    </w:lvl>
    <w:lvl w:ilvl="5" w:tplc="0419001B">
      <w:start w:val="1"/>
      <w:numFmt w:val="bullet"/>
      <w:lvlText w:val=""/>
      <w:lvlJc w:val="left"/>
      <w:pPr>
        <w:ind w:left="4320" w:hanging="360"/>
      </w:pPr>
      <w:rPr>
        <w:rFonts w:ascii="Wingdings" w:hAnsi="Wingdings" w:cs="Wingdings" w:hint="default"/>
      </w:rPr>
    </w:lvl>
    <w:lvl w:ilvl="6" w:tplc="0419000F">
      <w:start w:val="1"/>
      <w:numFmt w:val="bullet"/>
      <w:lvlText w:val=""/>
      <w:lvlJc w:val="left"/>
      <w:pPr>
        <w:ind w:left="5040" w:hanging="360"/>
      </w:pPr>
      <w:rPr>
        <w:rFonts w:ascii="Symbol" w:hAnsi="Symbol" w:cs="Symbol" w:hint="default"/>
      </w:rPr>
    </w:lvl>
    <w:lvl w:ilvl="7" w:tplc="04190019">
      <w:start w:val="1"/>
      <w:numFmt w:val="bullet"/>
      <w:lvlText w:val="o"/>
      <w:lvlJc w:val="left"/>
      <w:pPr>
        <w:ind w:left="5760" w:hanging="360"/>
      </w:pPr>
      <w:rPr>
        <w:rFonts w:ascii="Courier New" w:hAnsi="Courier New" w:cs="Courier New" w:hint="default"/>
      </w:rPr>
    </w:lvl>
    <w:lvl w:ilvl="8" w:tplc="0419001B">
      <w:start w:val="1"/>
      <w:numFmt w:val="bullet"/>
      <w:lvlText w:val=""/>
      <w:lvlJc w:val="left"/>
      <w:pPr>
        <w:ind w:left="6480" w:hanging="360"/>
      </w:pPr>
      <w:rPr>
        <w:rFonts w:ascii="Wingdings" w:hAnsi="Wingdings" w:cs="Wingdings" w:hint="default"/>
      </w:rPr>
    </w:lvl>
  </w:abstractNum>
  <w:abstractNum w:abstractNumId="100" w15:restartNumberingAfterBreak="0">
    <w:nsid w:val="63AA35FD"/>
    <w:multiLevelType w:val="multilevel"/>
    <w:tmpl w:val="79984E7E"/>
    <w:lvl w:ilvl="0">
      <w:start w:val="1"/>
      <w:numFmt w:val="bullet"/>
      <w:pStyle w:val="10"/>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64E27415"/>
    <w:multiLevelType w:val="hybridMultilevel"/>
    <w:tmpl w:val="1E866E5C"/>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2" w15:restartNumberingAfterBreak="0">
    <w:nsid w:val="65EE1CD2"/>
    <w:multiLevelType w:val="hybridMultilevel"/>
    <w:tmpl w:val="D4FAF1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15:restartNumberingAfterBreak="0">
    <w:nsid w:val="6622708A"/>
    <w:multiLevelType w:val="hybridMultilevel"/>
    <w:tmpl w:val="646266C6"/>
    <w:lvl w:ilvl="0" w:tplc="04190001">
      <w:start w:val="1"/>
      <w:numFmt w:val="bullet"/>
      <w:lvlText w:val=""/>
      <w:lvlJc w:val="left"/>
      <w:pPr>
        <w:ind w:left="928" w:hanging="360"/>
      </w:pPr>
      <w:rPr>
        <w:rFonts w:ascii="Symbol" w:hAnsi="Symbol" w:hint="default"/>
      </w:rPr>
    </w:lvl>
    <w:lvl w:ilvl="1" w:tplc="FFFFFFFF">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104" w15:restartNumberingAfterBreak="0">
    <w:nsid w:val="671844FD"/>
    <w:multiLevelType w:val="hybridMultilevel"/>
    <w:tmpl w:val="AD4E3D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15:restartNumberingAfterBreak="0">
    <w:nsid w:val="68BC3ACC"/>
    <w:multiLevelType w:val="hybridMultilevel"/>
    <w:tmpl w:val="E0944C8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6" w15:restartNumberingAfterBreak="0">
    <w:nsid w:val="68CD5708"/>
    <w:multiLevelType w:val="hybridMultilevel"/>
    <w:tmpl w:val="F7E6E68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7" w15:restartNumberingAfterBreak="0">
    <w:nsid w:val="68D9229D"/>
    <w:multiLevelType w:val="hybridMultilevel"/>
    <w:tmpl w:val="1C9AAC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15:restartNumberingAfterBreak="0">
    <w:nsid w:val="6A15066B"/>
    <w:multiLevelType w:val="hybridMultilevel"/>
    <w:tmpl w:val="DA8A817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09" w15:restartNumberingAfterBreak="0">
    <w:nsid w:val="6A9F2DE9"/>
    <w:multiLevelType w:val="hybridMultilevel"/>
    <w:tmpl w:val="FBDE297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15:restartNumberingAfterBreak="0">
    <w:nsid w:val="70FC54B2"/>
    <w:multiLevelType w:val="multilevel"/>
    <w:tmpl w:val="3D4AC2A6"/>
    <w:lvl w:ilvl="0">
      <w:start w:val="1"/>
      <w:numFmt w:val="bullet"/>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7148189A"/>
    <w:multiLevelType w:val="hybridMultilevel"/>
    <w:tmpl w:val="FBF22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15:restartNumberingAfterBreak="0">
    <w:nsid w:val="72DC45AC"/>
    <w:multiLevelType w:val="hybridMultilevel"/>
    <w:tmpl w:val="431019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15:restartNumberingAfterBreak="0">
    <w:nsid w:val="75D82873"/>
    <w:multiLevelType w:val="hybridMultilevel"/>
    <w:tmpl w:val="EFDA391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14" w15:restartNumberingAfterBreak="0">
    <w:nsid w:val="75F17712"/>
    <w:multiLevelType w:val="hybridMultilevel"/>
    <w:tmpl w:val="6C7EC0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5" w15:restartNumberingAfterBreak="0">
    <w:nsid w:val="760F7789"/>
    <w:multiLevelType w:val="hybridMultilevel"/>
    <w:tmpl w:val="A976A3FA"/>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16" w15:restartNumberingAfterBreak="0">
    <w:nsid w:val="778E6444"/>
    <w:multiLevelType w:val="hybridMultilevel"/>
    <w:tmpl w:val="BC44061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15:restartNumberingAfterBreak="0">
    <w:nsid w:val="784E078A"/>
    <w:multiLevelType w:val="hybridMultilevel"/>
    <w:tmpl w:val="E99493A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15:restartNumberingAfterBreak="0">
    <w:nsid w:val="79F915DB"/>
    <w:multiLevelType w:val="hybridMultilevel"/>
    <w:tmpl w:val="31EE0868"/>
    <w:lvl w:ilvl="0" w:tplc="FFFFFFFF">
      <w:start w:val="1"/>
      <w:numFmt w:val="bullet"/>
      <w:lvlText w:val=""/>
      <w:lvlJc w:val="left"/>
      <w:pPr>
        <w:ind w:left="1429" w:hanging="360"/>
      </w:pPr>
      <w:rPr>
        <w:rFonts w:ascii="Symbol" w:hAnsi="Symbol" w:hint="default"/>
      </w:rPr>
    </w:lvl>
    <w:lvl w:ilvl="1" w:tplc="041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19" w15:restartNumberingAfterBreak="0">
    <w:nsid w:val="7B4A0FA2"/>
    <w:multiLevelType w:val="hybridMultilevel"/>
    <w:tmpl w:val="E3F266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0" w15:restartNumberingAfterBreak="0">
    <w:nsid w:val="7B651D20"/>
    <w:multiLevelType w:val="hybridMultilevel"/>
    <w:tmpl w:val="F1B43AE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15:restartNumberingAfterBreak="0">
    <w:nsid w:val="7CB759C6"/>
    <w:multiLevelType w:val="hybridMultilevel"/>
    <w:tmpl w:val="A4F615D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2" w15:restartNumberingAfterBreak="0">
    <w:nsid w:val="7CEE1064"/>
    <w:multiLevelType w:val="multilevel"/>
    <w:tmpl w:val="DE00292C"/>
    <w:lvl w:ilvl="0">
      <w:start w:val="1"/>
      <w:numFmt w:val="decimal"/>
      <w:lvlText w:val="%1."/>
      <w:lvlJc w:val="left"/>
      <w:pPr>
        <w:ind w:left="720" w:hanging="360"/>
      </w:pPr>
      <w:rPr>
        <w:rFonts w:cs="Times New Roman"/>
      </w:rPr>
    </w:lvl>
    <w:lvl w:ilvl="1">
      <w:start w:val="3"/>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3" w15:restartNumberingAfterBreak="0">
    <w:nsid w:val="7D352FBE"/>
    <w:multiLevelType w:val="hybridMultilevel"/>
    <w:tmpl w:val="304C527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15:restartNumberingAfterBreak="0">
    <w:nsid w:val="7DF9120D"/>
    <w:multiLevelType w:val="hybridMultilevel"/>
    <w:tmpl w:val="669CE38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5" w15:restartNumberingAfterBreak="0">
    <w:nsid w:val="7E5726EA"/>
    <w:multiLevelType w:val="hybridMultilevel"/>
    <w:tmpl w:val="2D64D7C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26" w15:restartNumberingAfterBreak="0">
    <w:nsid w:val="7F110791"/>
    <w:multiLevelType w:val="hybridMultilevel"/>
    <w:tmpl w:val="12B60E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7" w15:restartNumberingAfterBreak="0">
    <w:nsid w:val="7F3D118A"/>
    <w:multiLevelType w:val="hybridMultilevel"/>
    <w:tmpl w:val="FB78D584"/>
    <w:lvl w:ilvl="0" w:tplc="04190001">
      <w:start w:val="1"/>
      <w:numFmt w:val="bullet"/>
      <w:lvlText w:val=""/>
      <w:lvlJc w:val="left"/>
      <w:pPr>
        <w:ind w:left="1778"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9F66AA4E">
      <w:start w:val="3"/>
      <w:numFmt w:val="bullet"/>
      <w:lvlText w:val="-"/>
      <w:lvlJc w:val="left"/>
      <w:pPr>
        <w:ind w:left="2869" w:hanging="360"/>
      </w:pPr>
      <w:rPr>
        <w:rFonts w:ascii="Times New Roman" w:eastAsiaTheme="minorHAnsi" w:hAnsi="Times New Roman" w:cs="Times New Roman"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15:restartNumberingAfterBreak="0">
    <w:nsid w:val="7F401676"/>
    <w:multiLevelType w:val="hybridMultilevel"/>
    <w:tmpl w:val="A0E639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9" w15:restartNumberingAfterBreak="0">
    <w:nsid w:val="7FA41105"/>
    <w:multiLevelType w:val="hybridMultilevel"/>
    <w:tmpl w:val="1A8A6C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0" w15:restartNumberingAfterBreak="0">
    <w:nsid w:val="7FC164C6"/>
    <w:multiLevelType w:val="hybridMultilevel"/>
    <w:tmpl w:val="9F087242"/>
    <w:styleLink w:val="111111"/>
    <w:lvl w:ilvl="0" w:tplc="70B6843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0"/>
  </w:num>
  <w:num w:numId="2">
    <w:abstractNumId w:val="115"/>
  </w:num>
  <w:num w:numId="3">
    <w:abstractNumId w:val="90"/>
  </w:num>
  <w:num w:numId="4">
    <w:abstractNumId w:val="50"/>
  </w:num>
  <w:num w:numId="5">
    <w:abstractNumId w:val="123"/>
  </w:num>
  <w:num w:numId="6">
    <w:abstractNumId w:val="127"/>
  </w:num>
  <w:num w:numId="7">
    <w:abstractNumId w:val="13"/>
  </w:num>
  <w:num w:numId="8">
    <w:abstractNumId w:val="78"/>
  </w:num>
  <w:num w:numId="9">
    <w:abstractNumId w:val="41"/>
  </w:num>
  <w:num w:numId="10">
    <w:abstractNumId w:val="77"/>
  </w:num>
  <w:num w:numId="11">
    <w:abstractNumId w:val="130"/>
  </w:num>
  <w:num w:numId="12">
    <w:abstractNumId w:val="15"/>
  </w:num>
  <w:num w:numId="13">
    <w:abstractNumId w:val="52"/>
  </w:num>
  <w:num w:numId="14">
    <w:abstractNumId w:val="45"/>
  </w:num>
  <w:num w:numId="15">
    <w:abstractNumId w:val="25"/>
  </w:num>
  <w:num w:numId="16">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num>
  <w:num w:numId="18">
    <w:abstractNumId w:val="22"/>
  </w:num>
  <w:num w:numId="19">
    <w:abstractNumId w:val="71"/>
  </w:num>
  <w:num w:numId="20">
    <w:abstractNumId w:val="8"/>
  </w:num>
  <w:num w:numId="21">
    <w:abstractNumId w:val="88"/>
  </w:num>
  <w:num w:numId="22">
    <w:abstractNumId w:val="122"/>
  </w:num>
  <w:num w:numId="23">
    <w:abstractNumId w:val="21"/>
  </w:num>
  <w:num w:numId="2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2"/>
  </w:num>
  <w:num w:numId="26">
    <w:abstractNumId w:val="51"/>
  </w:num>
  <w:num w:numId="27">
    <w:abstractNumId w:val="82"/>
  </w:num>
  <w:num w:numId="28">
    <w:abstractNumId w:val="24"/>
  </w:num>
  <w:num w:numId="29">
    <w:abstractNumId w:val="69"/>
  </w:num>
  <w:num w:numId="30">
    <w:abstractNumId w:val="102"/>
  </w:num>
  <w:num w:numId="31">
    <w:abstractNumId w:val="85"/>
  </w:num>
  <w:num w:numId="32">
    <w:abstractNumId w:val="28"/>
  </w:num>
  <w:num w:numId="33">
    <w:abstractNumId w:val="107"/>
  </w:num>
  <w:num w:numId="34">
    <w:abstractNumId w:val="62"/>
  </w:num>
  <w:num w:numId="35">
    <w:abstractNumId w:val="81"/>
  </w:num>
  <w:num w:numId="36">
    <w:abstractNumId w:val="7"/>
  </w:num>
  <w:num w:numId="37">
    <w:abstractNumId w:val="55"/>
  </w:num>
  <w:num w:numId="38">
    <w:abstractNumId w:val="4"/>
  </w:num>
  <w:num w:numId="39">
    <w:abstractNumId w:val="94"/>
  </w:num>
  <w:num w:numId="40">
    <w:abstractNumId w:val="113"/>
  </w:num>
  <w:num w:numId="41">
    <w:abstractNumId w:val="46"/>
  </w:num>
  <w:num w:numId="42">
    <w:abstractNumId w:val="40"/>
  </w:num>
  <w:num w:numId="43">
    <w:abstractNumId w:val="10"/>
  </w:num>
  <w:num w:numId="44">
    <w:abstractNumId w:val="12"/>
  </w:num>
  <w:num w:numId="45">
    <w:abstractNumId w:val="35"/>
  </w:num>
  <w:num w:numId="46">
    <w:abstractNumId w:val="66"/>
  </w:num>
  <w:num w:numId="47">
    <w:abstractNumId w:val="93"/>
  </w:num>
  <w:num w:numId="48">
    <w:abstractNumId w:val="99"/>
  </w:num>
  <w:num w:numId="49">
    <w:abstractNumId w:val="125"/>
  </w:num>
  <w:num w:numId="50">
    <w:abstractNumId w:val="53"/>
  </w:num>
  <w:num w:numId="51">
    <w:abstractNumId w:val="108"/>
  </w:num>
  <w:num w:numId="52">
    <w:abstractNumId w:val="70"/>
  </w:num>
  <w:num w:numId="53">
    <w:abstractNumId w:val="0"/>
  </w:num>
  <w:num w:numId="54">
    <w:abstractNumId w:val="97"/>
  </w:num>
  <w:num w:numId="55">
    <w:abstractNumId w:val="42"/>
  </w:num>
  <w:num w:numId="56">
    <w:abstractNumId w:val="120"/>
  </w:num>
  <w:num w:numId="57">
    <w:abstractNumId w:val="89"/>
  </w:num>
  <w:num w:numId="58">
    <w:abstractNumId w:val="129"/>
  </w:num>
  <w:num w:numId="59">
    <w:abstractNumId w:val="23"/>
  </w:num>
  <w:num w:numId="60">
    <w:abstractNumId w:val="104"/>
  </w:num>
  <w:num w:numId="61">
    <w:abstractNumId w:val="96"/>
  </w:num>
  <w:num w:numId="62">
    <w:abstractNumId w:val="60"/>
  </w:num>
  <w:num w:numId="63">
    <w:abstractNumId w:val="17"/>
  </w:num>
  <w:num w:numId="64">
    <w:abstractNumId w:val="43"/>
  </w:num>
  <w:num w:numId="65">
    <w:abstractNumId w:val="48"/>
  </w:num>
  <w:num w:numId="66">
    <w:abstractNumId w:val="31"/>
  </w:num>
  <w:num w:numId="67">
    <w:abstractNumId w:val="61"/>
  </w:num>
  <w:num w:numId="68">
    <w:abstractNumId w:val="54"/>
  </w:num>
  <w:num w:numId="69">
    <w:abstractNumId w:val="121"/>
  </w:num>
  <w:num w:numId="70">
    <w:abstractNumId w:val="47"/>
  </w:num>
  <w:num w:numId="71">
    <w:abstractNumId w:val="126"/>
  </w:num>
  <w:num w:numId="72">
    <w:abstractNumId w:val="63"/>
  </w:num>
  <w:num w:numId="73">
    <w:abstractNumId w:val="105"/>
  </w:num>
  <w:num w:numId="74">
    <w:abstractNumId w:val="83"/>
  </w:num>
  <w:num w:numId="75">
    <w:abstractNumId w:val="114"/>
  </w:num>
  <w:num w:numId="76">
    <w:abstractNumId w:val="19"/>
  </w:num>
  <w:num w:numId="77">
    <w:abstractNumId w:val="124"/>
  </w:num>
  <w:num w:numId="78">
    <w:abstractNumId w:val="14"/>
  </w:num>
  <w:num w:numId="79">
    <w:abstractNumId w:val="68"/>
  </w:num>
  <w:num w:numId="80">
    <w:abstractNumId w:val="79"/>
  </w:num>
  <w:num w:numId="81">
    <w:abstractNumId w:val="26"/>
  </w:num>
  <w:num w:numId="82">
    <w:abstractNumId w:val="109"/>
  </w:num>
  <w:num w:numId="83">
    <w:abstractNumId w:val="37"/>
  </w:num>
  <w:num w:numId="84">
    <w:abstractNumId w:val="117"/>
  </w:num>
  <w:num w:numId="85">
    <w:abstractNumId w:val="57"/>
  </w:num>
  <w:num w:numId="86">
    <w:abstractNumId w:val="95"/>
  </w:num>
  <w:num w:numId="87">
    <w:abstractNumId w:val="30"/>
  </w:num>
  <w:num w:numId="88">
    <w:abstractNumId w:val="80"/>
  </w:num>
  <w:num w:numId="89">
    <w:abstractNumId w:val="27"/>
  </w:num>
  <w:num w:numId="90">
    <w:abstractNumId w:val="119"/>
  </w:num>
  <w:num w:numId="91">
    <w:abstractNumId w:val="9"/>
  </w:num>
  <w:num w:numId="92">
    <w:abstractNumId w:val="11"/>
  </w:num>
  <w:num w:numId="93">
    <w:abstractNumId w:val="75"/>
  </w:num>
  <w:num w:numId="94">
    <w:abstractNumId w:val="106"/>
  </w:num>
  <w:num w:numId="95">
    <w:abstractNumId w:val="116"/>
  </w:num>
  <w:num w:numId="96">
    <w:abstractNumId w:val="112"/>
  </w:num>
  <w:num w:numId="97">
    <w:abstractNumId w:val="73"/>
  </w:num>
  <w:num w:numId="98">
    <w:abstractNumId w:val="91"/>
  </w:num>
  <w:num w:numId="99">
    <w:abstractNumId w:val="84"/>
  </w:num>
  <w:num w:numId="100">
    <w:abstractNumId w:val="29"/>
  </w:num>
  <w:num w:numId="101">
    <w:abstractNumId w:val="64"/>
  </w:num>
  <w:num w:numId="102">
    <w:abstractNumId w:val="58"/>
  </w:num>
  <w:num w:numId="103">
    <w:abstractNumId w:val="65"/>
  </w:num>
  <w:num w:numId="104">
    <w:abstractNumId w:val="20"/>
  </w:num>
  <w:num w:numId="105">
    <w:abstractNumId w:val="92"/>
  </w:num>
  <w:num w:numId="106">
    <w:abstractNumId w:val="87"/>
  </w:num>
  <w:num w:numId="107">
    <w:abstractNumId w:val="67"/>
  </w:num>
  <w:num w:numId="108">
    <w:abstractNumId w:val="128"/>
  </w:num>
  <w:num w:numId="109">
    <w:abstractNumId w:val="16"/>
  </w:num>
  <w:num w:numId="110">
    <w:abstractNumId w:val="18"/>
  </w:num>
  <w:num w:numId="111">
    <w:abstractNumId w:val="44"/>
  </w:num>
  <w:num w:numId="112">
    <w:abstractNumId w:val="86"/>
  </w:num>
  <w:num w:numId="113">
    <w:abstractNumId w:val="76"/>
  </w:num>
  <w:num w:numId="114">
    <w:abstractNumId w:val="98"/>
  </w:num>
  <w:num w:numId="115">
    <w:abstractNumId w:val="34"/>
  </w:num>
  <w:num w:numId="116">
    <w:abstractNumId w:val="38"/>
  </w:num>
  <w:num w:numId="117">
    <w:abstractNumId w:val="32"/>
  </w:num>
  <w:num w:numId="118">
    <w:abstractNumId w:val="111"/>
  </w:num>
  <w:num w:numId="119">
    <w:abstractNumId w:val="49"/>
  </w:num>
  <w:num w:numId="120">
    <w:abstractNumId w:val="39"/>
  </w:num>
  <w:num w:numId="121">
    <w:abstractNumId w:val="101"/>
  </w:num>
  <w:num w:numId="122">
    <w:abstractNumId w:val="118"/>
  </w:num>
  <w:num w:numId="123">
    <w:abstractNumId w:val="110"/>
  </w:num>
  <w:num w:numId="124">
    <w:abstractNumId w:val="103"/>
  </w:num>
  <w:num w:numId="125">
    <w:abstractNumId w:val="74"/>
  </w:num>
  <w:num w:numId="126">
    <w:abstractNumId w:val="36"/>
  </w:num>
  <w:numIdMacAtCleanup w:val="1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0" w:nlCheck="1" w:checkStyle="0"/>
  <w:activeWritingStyle w:appName="MSWord" w:lang="en-US" w:vendorID="64" w:dllVersion="0" w:nlCheck="1" w:checkStyle="0"/>
  <w:activeWritingStyle w:appName="MSWord" w:lang="ru-RU" w:vendorID="64" w:dllVersion="131078" w:nlCheck="1" w:checkStyle="0"/>
  <w:activeWritingStyle w:appName="MSWord" w:lang="en-US" w:vendorID="64" w:dllVersion="131078" w:nlCheck="1" w:checkStyle="1"/>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U2NLE0MjYwNTQ0NzVU0lEKTi0uzszPAykwrAUAaRCJPCwAAAA="/>
  </w:docVars>
  <w:rsids>
    <w:rsidRoot w:val="00187BA3"/>
    <w:rsid w:val="000009BA"/>
    <w:rsid w:val="00001800"/>
    <w:rsid w:val="0001073F"/>
    <w:rsid w:val="00013C75"/>
    <w:rsid w:val="00015B13"/>
    <w:rsid w:val="00015EE5"/>
    <w:rsid w:val="000171A1"/>
    <w:rsid w:val="000178E1"/>
    <w:rsid w:val="000215FE"/>
    <w:rsid w:val="00021E2A"/>
    <w:rsid w:val="00021FC9"/>
    <w:rsid w:val="00021FEA"/>
    <w:rsid w:val="00024C20"/>
    <w:rsid w:val="000309FC"/>
    <w:rsid w:val="00030ACD"/>
    <w:rsid w:val="000314A6"/>
    <w:rsid w:val="000322E4"/>
    <w:rsid w:val="00034E4B"/>
    <w:rsid w:val="000366BC"/>
    <w:rsid w:val="00040660"/>
    <w:rsid w:val="000414F6"/>
    <w:rsid w:val="0004178E"/>
    <w:rsid w:val="0004292D"/>
    <w:rsid w:val="00043202"/>
    <w:rsid w:val="00043F95"/>
    <w:rsid w:val="00047821"/>
    <w:rsid w:val="00051772"/>
    <w:rsid w:val="00051F38"/>
    <w:rsid w:val="000555C9"/>
    <w:rsid w:val="00056C09"/>
    <w:rsid w:val="000578EF"/>
    <w:rsid w:val="00057D82"/>
    <w:rsid w:val="0006156A"/>
    <w:rsid w:val="00062D82"/>
    <w:rsid w:val="00063D1A"/>
    <w:rsid w:val="000648CE"/>
    <w:rsid w:val="00064FEC"/>
    <w:rsid w:val="000653FA"/>
    <w:rsid w:val="000657A8"/>
    <w:rsid w:val="00065D0C"/>
    <w:rsid w:val="0007109D"/>
    <w:rsid w:val="000718D1"/>
    <w:rsid w:val="00071B0D"/>
    <w:rsid w:val="00072ECA"/>
    <w:rsid w:val="0007784C"/>
    <w:rsid w:val="00080840"/>
    <w:rsid w:val="00080B1D"/>
    <w:rsid w:val="00085E80"/>
    <w:rsid w:val="00087C81"/>
    <w:rsid w:val="00094ED6"/>
    <w:rsid w:val="000958E3"/>
    <w:rsid w:val="00095D58"/>
    <w:rsid w:val="00096052"/>
    <w:rsid w:val="00096860"/>
    <w:rsid w:val="00097073"/>
    <w:rsid w:val="00097E92"/>
    <w:rsid w:val="000A277C"/>
    <w:rsid w:val="000A457B"/>
    <w:rsid w:val="000A6EAB"/>
    <w:rsid w:val="000B0DCD"/>
    <w:rsid w:val="000B7A71"/>
    <w:rsid w:val="000C58AB"/>
    <w:rsid w:val="000C630B"/>
    <w:rsid w:val="000D1A18"/>
    <w:rsid w:val="000D3073"/>
    <w:rsid w:val="000D4484"/>
    <w:rsid w:val="000D5584"/>
    <w:rsid w:val="000E02DD"/>
    <w:rsid w:val="000E14DB"/>
    <w:rsid w:val="000E2605"/>
    <w:rsid w:val="000E2BA9"/>
    <w:rsid w:val="000E45D4"/>
    <w:rsid w:val="000E5A78"/>
    <w:rsid w:val="000E7A54"/>
    <w:rsid w:val="000F1BAF"/>
    <w:rsid w:val="000F4D7F"/>
    <w:rsid w:val="00101310"/>
    <w:rsid w:val="00101F95"/>
    <w:rsid w:val="001035CE"/>
    <w:rsid w:val="00103620"/>
    <w:rsid w:val="001062E8"/>
    <w:rsid w:val="001071EC"/>
    <w:rsid w:val="0011642B"/>
    <w:rsid w:val="00116B73"/>
    <w:rsid w:val="00122110"/>
    <w:rsid w:val="00124E1A"/>
    <w:rsid w:val="00125C10"/>
    <w:rsid w:val="001260FA"/>
    <w:rsid w:val="00127542"/>
    <w:rsid w:val="00130A98"/>
    <w:rsid w:val="00131A9A"/>
    <w:rsid w:val="00140246"/>
    <w:rsid w:val="00144C58"/>
    <w:rsid w:val="00146FA3"/>
    <w:rsid w:val="00150FA6"/>
    <w:rsid w:val="0015288D"/>
    <w:rsid w:val="001528A9"/>
    <w:rsid w:val="00152CDD"/>
    <w:rsid w:val="001532E4"/>
    <w:rsid w:val="0015481C"/>
    <w:rsid w:val="00155462"/>
    <w:rsid w:val="001565D2"/>
    <w:rsid w:val="00160448"/>
    <w:rsid w:val="00161351"/>
    <w:rsid w:val="00163AA0"/>
    <w:rsid w:val="00164FEE"/>
    <w:rsid w:val="001662C9"/>
    <w:rsid w:val="00170E50"/>
    <w:rsid w:val="00171D80"/>
    <w:rsid w:val="00172112"/>
    <w:rsid w:val="001730AB"/>
    <w:rsid w:val="001739BA"/>
    <w:rsid w:val="00174593"/>
    <w:rsid w:val="0017531C"/>
    <w:rsid w:val="00175C52"/>
    <w:rsid w:val="00182B95"/>
    <w:rsid w:val="00185239"/>
    <w:rsid w:val="00185A7E"/>
    <w:rsid w:val="00186C35"/>
    <w:rsid w:val="00187BA3"/>
    <w:rsid w:val="001914DF"/>
    <w:rsid w:val="001A3F5A"/>
    <w:rsid w:val="001A55B7"/>
    <w:rsid w:val="001B13FE"/>
    <w:rsid w:val="001B6771"/>
    <w:rsid w:val="001B6C0A"/>
    <w:rsid w:val="001C217F"/>
    <w:rsid w:val="001D24E4"/>
    <w:rsid w:val="001D28F8"/>
    <w:rsid w:val="001D40F8"/>
    <w:rsid w:val="001D4258"/>
    <w:rsid w:val="001D484A"/>
    <w:rsid w:val="001E05D1"/>
    <w:rsid w:val="001E1A3A"/>
    <w:rsid w:val="001E4047"/>
    <w:rsid w:val="001E523B"/>
    <w:rsid w:val="001E738E"/>
    <w:rsid w:val="001E7C83"/>
    <w:rsid w:val="001F1449"/>
    <w:rsid w:val="001F280A"/>
    <w:rsid w:val="001F29B4"/>
    <w:rsid w:val="001F3F42"/>
    <w:rsid w:val="001F4A3C"/>
    <w:rsid w:val="001F5BC1"/>
    <w:rsid w:val="001F60B9"/>
    <w:rsid w:val="001F6712"/>
    <w:rsid w:val="002022B0"/>
    <w:rsid w:val="002024D4"/>
    <w:rsid w:val="00204469"/>
    <w:rsid w:val="00207691"/>
    <w:rsid w:val="0020771B"/>
    <w:rsid w:val="00210FA0"/>
    <w:rsid w:val="00212EF5"/>
    <w:rsid w:val="002145F1"/>
    <w:rsid w:val="002165EA"/>
    <w:rsid w:val="0021676E"/>
    <w:rsid w:val="002177F4"/>
    <w:rsid w:val="002200A6"/>
    <w:rsid w:val="00221384"/>
    <w:rsid w:val="002215D8"/>
    <w:rsid w:val="00224547"/>
    <w:rsid w:val="00227150"/>
    <w:rsid w:val="0023095D"/>
    <w:rsid w:val="00231660"/>
    <w:rsid w:val="00231F54"/>
    <w:rsid w:val="00233F79"/>
    <w:rsid w:val="002363B2"/>
    <w:rsid w:val="00247551"/>
    <w:rsid w:val="0025228A"/>
    <w:rsid w:val="00255B40"/>
    <w:rsid w:val="00256D37"/>
    <w:rsid w:val="00260AFA"/>
    <w:rsid w:val="00260D24"/>
    <w:rsid w:val="00262CC3"/>
    <w:rsid w:val="00263322"/>
    <w:rsid w:val="00265111"/>
    <w:rsid w:val="002651E9"/>
    <w:rsid w:val="002667AE"/>
    <w:rsid w:val="00270790"/>
    <w:rsid w:val="00270A52"/>
    <w:rsid w:val="00270FAF"/>
    <w:rsid w:val="00271F07"/>
    <w:rsid w:val="002758A4"/>
    <w:rsid w:val="00275A41"/>
    <w:rsid w:val="0027680D"/>
    <w:rsid w:val="002818CC"/>
    <w:rsid w:val="00284A3D"/>
    <w:rsid w:val="002853BB"/>
    <w:rsid w:val="00285B5C"/>
    <w:rsid w:val="00286EF8"/>
    <w:rsid w:val="00290650"/>
    <w:rsid w:val="002929B1"/>
    <w:rsid w:val="00293480"/>
    <w:rsid w:val="00293AC8"/>
    <w:rsid w:val="002A0C02"/>
    <w:rsid w:val="002A1864"/>
    <w:rsid w:val="002A535B"/>
    <w:rsid w:val="002A5F06"/>
    <w:rsid w:val="002A607D"/>
    <w:rsid w:val="002A7272"/>
    <w:rsid w:val="002B055B"/>
    <w:rsid w:val="002B377C"/>
    <w:rsid w:val="002C0F8E"/>
    <w:rsid w:val="002C165F"/>
    <w:rsid w:val="002C4A23"/>
    <w:rsid w:val="002C5128"/>
    <w:rsid w:val="002C7010"/>
    <w:rsid w:val="002D13CA"/>
    <w:rsid w:val="002D2CF7"/>
    <w:rsid w:val="002D6604"/>
    <w:rsid w:val="002E0F4E"/>
    <w:rsid w:val="002E5945"/>
    <w:rsid w:val="002E6441"/>
    <w:rsid w:val="002E6588"/>
    <w:rsid w:val="002E6B0E"/>
    <w:rsid w:val="002E6C4C"/>
    <w:rsid w:val="002E795F"/>
    <w:rsid w:val="002E7C19"/>
    <w:rsid w:val="002F38B6"/>
    <w:rsid w:val="002F7153"/>
    <w:rsid w:val="002F75C7"/>
    <w:rsid w:val="002F7719"/>
    <w:rsid w:val="003002AD"/>
    <w:rsid w:val="00301C01"/>
    <w:rsid w:val="00303629"/>
    <w:rsid w:val="003045CE"/>
    <w:rsid w:val="00310255"/>
    <w:rsid w:val="00311757"/>
    <w:rsid w:val="003117D0"/>
    <w:rsid w:val="003122E1"/>
    <w:rsid w:val="00315A5D"/>
    <w:rsid w:val="003177AD"/>
    <w:rsid w:val="00320416"/>
    <w:rsid w:val="0032061E"/>
    <w:rsid w:val="00325BC4"/>
    <w:rsid w:val="003263CD"/>
    <w:rsid w:val="0033051F"/>
    <w:rsid w:val="003329C6"/>
    <w:rsid w:val="00334941"/>
    <w:rsid w:val="00334F6C"/>
    <w:rsid w:val="00337A20"/>
    <w:rsid w:val="00341C3D"/>
    <w:rsid w:val="00342EE0"/>
    <w:rsid w:val="003430E6"/>
    <w:rsid w:val="00346035"/>
    <w:rsid w:val="00347A28"/>
    <w:rsid w:val="00350858"/>
    <w:rsid w:val="003527A8"/>
    <w:rsid w:val="0035419A"/>
    <w:rsid w:val="00354395"/>
    <w:rsid w:val="00357C19"/>
    <w:rsid w:val="00364741"/>
    <w:rsid w:val="003670CE"/>
    <w:rsid w:val="0036727F"/>
    <w:rsid w:val="00370263"/>
    <w:rsid w:val="00371DE0"/>
    <w:rsid w:val="003730F6"/>
    <w:rsid w:val="003741B5"/>
    <w:rsid w:val="0037752C"/>
    <w:rsid w:val="00381476"/>
    <w:rsid w:val="00384B6A"/>
    <w:rsid w:val="0038545E"/>
    <w:rsid w:val="0039190D"/>
    <w:rsid w:val="00392E36"/>
    <w:rsid w:val="00396F46"/>
    <w:rsid w:val="003A0423"/>
    <w:rsid w:val="003A0E7E"/>
    <w:rsid w:val="003A282F"/>
    <w:rsid w:val="003A4E57"/>
    <w:rsid w:val="003A661A"/>
    <w:rsid w:val="003B006C"/>
    <w:rsid w:val="003B0404"/>
    <w:rsid w:val="003B1A7D"/>
    <w:rsid w:val="003B35F7"/>
    <w:rsid w:val="003B392D"/>
    <w:rsid w:val="003B604F"/>
    <w:rsid w:val="003B7977"/>
    <w:rsid w:val="003C0FA3"/>
    <w:rsid w:val="003C376C"/>
    <w:rsid w:val="003D0E86"/>
    <w:rsid w:val="003D3A29"/>
    <w:rsid w:val="003D6DE3"/>
    <w:rsid w:val="003D7CD6"/>
    <w:rsid w:val="003E0500"/>
    <w:rsid w:val="003E2397"/>
    <w:rsid w:val="003E254E"/>
    <w:rsid w:val="003E29AE"/>
    <w:rsid w:val="003F0349"/>
    <w:rsid w:val="003F04E7"/>
    <w:rsid w:val="003F0AA9"/>
    <w:rsid w:val="003F7029"/>
    <w:rsid w:val="00401821"/>
    <w:rsid w:val="00401CD5"/>
    <w:rsid w:val="00402333"/>
    <w:rsid w:val="0040701D"/>
    <w:rsid w:val="00407213"/>
    <w:rsid w:val="00407F32"/>
    <w:rsid w:val="00410741"/>
    <w:rsid w:val="004158BC"/>
    <w:rsid w:val="00416CC7"/>
    <w:rsid w:val="00416EB2"/>
    <w:rsid w:val="00417BB2"/>
    <w:rsid w:val="00422C46"/>
    <w:rsid w:val="004252FC"/>
    <w:rsid w:val="00427B0E"/>
    <w:rsid w:val="00434E3B"/>
    <w:rsid w:val="00435096"/>
    <w:rsid w:val="00435A99"/>
    <w:rsid w:val="0044108E"/>
    <w:rsid w:val="00441E32"/>
    <w:rsid w:val="004436C7"/>
    <w:rsid w:val="0044532A"/>
    <w:rsid w:val="00447C9B"/>
    <w:rsid w:val="00455425"/>
    <w:rsid w:val="00456685"/>
    <w:rsid w:val="00463592"/>
    <w:rsid w:val="00467FA0"/>
    <w:rsid w:val="00471424"/>
    <w:rsid w:val="0047349C"/>
    <w:rsid w:val="00476949"/>
    <w:rsid w:val="00480B19"/>
    <w:rsid w:val="0048745A"/>
    <w:rsid w:val="0049053C"/>
    <w:rsid w:val="004914BD"/>
    <w:rsid w:val="00494319"/>
    <w:rsid w:val="004957AB"/>
    <w:rsid w:val="0049584C"/>
    <w:rsid w:val="00496F35"/>
    <w:rsid w:val="00497137"/>
    <w:rsid w:val="004978B3"/>
    <w:rsid w:val="004A0BA3"/>
    <w:rsid w:val="004A21C0"/>
    <w:rsid w:val="004A345B"/>
    <w:rsid w:val="004A4684"/>
    <w:rsid w:val="004A7406"/>
    <w:rsid w:val="004A781E"/>
    <w:rsid w:val="004B1A79"/>
    <w:rsid w:val="004B346B"/>
    <w:rsid w:val="004B7BA3"/>
    <w:rsid w:val="004C0214"/>
    <w:rsid w:val="004C0EED"/>
    <w:rsid w:val="004C2E09"/>
    <w:rsid w:val="004C6DE4"/>
    <w:rsid w:val="004C7535"/>
    <w:rsid w:val="004D011A"/>
    <w:rsid w:val="004D1259"/>
    <w:rsid w:val="004D1B5D"/>
    <w:rsid w:val="004D306A"/>
    <w:rsid w:val="004D6B87"/>
    <w:rsid w:val="004E1288"/>
    <w:rsid w:val="004E5E50"/>
    <w:rsid w:val="004F0134"/>
    <w:rsid w:val="004F2D3F"/>
    <w:rsid w:val="004F413D"/>
    <w:rsid w:val="004F4F24"/>
    <w:rsid w:val="005008F9"/>
    <w:rsid w:val="00500DF3"/>
    <w:rsid w:val="00512374"/>
    <w:rsid w:val="00512950"/>
    <w:rsid w:val="005145E6"/>
    <w:rsid w:val="0052193F"/>
    <w:rsid w:val="005219AF"/>
    <w:rsid w:val="0052462B"/>
    <w:rsid w:val="0052679E"/>
    <w:rsid w:val="00527A4D"/>
    <w:rsid w:val="0053335B"/>
    <w:rsid w:val="00537471"/>
    <w:rsid w:val="005413BC"/>
    <w:rsid w:val="00543365"/>
    <w:rsid w:val="00543CFE"/>
    <w:rsid w:val="0054405C"/>
    <w:rsid w:val="00544490"/>
    <w:rsid w:val="00546683"/>
    <w:rsid w:val="005469FC"/>
    <w:rsid w:val="00554450"/>
    <w:rsid w:val="005572BF"/>
    <w:rsid w:val="00557EAE"/>
    <w:rsid w:val="00562435"/>
    <w:rsid w:val="005627B3"/>
    <w:rsid w:val="00562845"/>
    <w:rsid w:val="0056407D"/>
    <w:rsid w:val="00566FC8"/>
    <w:rsid w:val="005708CB"/>
    <w:rsid w:val="00571482"/>
    <w:rsid w:val="0057254D"/>
    <w:rsid w:val="0057542B"/>
    <w:rsid w:val="00576B90"/>
    <w:rsid w:val="00577102"/>
    <w:rsid w:val="00583004"/>
    <w:rsid w:val="00586362"/>
    <w:rsid w:val="005873C2"/>
    <w:rsid w:val="00593501"/>
    <w:rsid w:val="005939AE"/>
    <w:rsid w:val="005A2396"/>
    <w:rsid w:val="005A50FB"/>
    <w:rsid w:val="005B0324"/>
    <w:rsid w:val="005B0A67"/>
    <w:rsid w:val="005B27FF"/>
    <w:rsid w:val="005B2989"/>
    <w:rsid w:val="005B54C3"/>
    <w:rsid w:val="005B6D15"/>
    <w:rsid w:val="005B7062"/>
    <w:rsid w:val="005B7DE0"/>
    <w:rsid w:val="005C1E9B"/>
    <w:rsid w:val="005C2AD2"/>
    <w:rsid w:val="005C2F6B"/>
    <w:rsid w:val="005C347F"/>
    <w:rsid w:val="005C4D46"/>
    <w:rsid w:val="005C5D2F"/>
    <w:rsid w:val="005C7877"/>
    <w:rsid w:val="005D0A68"/>
    <w:rsid w:val="005D4E90"/>
    <w:rsid w:val="005D72F0"/>
    <w:rsid w:val="005E0767"/>
    <w:rsid w:val="005E12CF"/>
    <w:rsid w:val="005E26A0"/>
    <w:rsid w:val="005E4671"/>
    <w:rsid w:val="005F1C5F"/>
    <w:rsid w:val="005F2C4B"/>
    <w:rsid w:val="005F2D66"/>
    <w:rsid w:val="005F44A0"/>
    <w:rsid w:val="005F4BC9"/>
    <w:rsid w:val="005F668D"/>
    <w:rsid w:val="0060254C"/>
    <w:rsid w:val="00613DB8"/>
    <w:rsid w:val="006161D3"/>
    <w:rsid w:val="00622670"/>
    <w:rsid w:val="00624119"/>
    <w:rsid w:val="00624531"/>
    <w:rsid w:val="006250AC"/>
    <w:rsid w:val="0062529D"/>
    <w:rsid w:val="0062583E"/>
    <w:rsid w:val="00633541"/>
    <w:rsid w:val="006364D5"/>
    <w:rsid w:val="0064071E"/>
    <w:rsid w:val="006409DD"/>
    <w:rsid w:val="006425FF"/>
    <w:rsid w:val="006446FF"/>
    <w:rsid w:val="00647F84"/>
    <w:rsid w:val="00650324"/>
    <w:rsid w:val="006534F0"/>
    <w:rsid w:val="00653525"/>
    <w:rsid w:val="00655C97"/>
    <w:rsid w:val="00656546"/>
    <w:rsid w:val="006619AD"/>
    <w:rsid w:val="00663970"/>
    <w:rsid w:val="0066485C"/>
    <w:rsid w:val="0066496D"/>
    <w:rsid w:val="00664FDA"/>
    <w:rsid w:val="00665A6C"/>
    <w:rsid w:val="00665C29"/>
    <w:rsid w:val="00666D68"/>
    <w:rsid w:val="0066740A"/>
    <w:rsid w:val="00674635"/>
    <w:rsid w:val="00684975"/>
    <w:rsid w:val="00685BEC"/>
    <w:rsid w:val="0068676A"/>
    <w:rsid w:val="0068704A"/>
    <w:rsid w:val="00690549"/>
    <w:rsid w:val="0069234F"/>
    <w:rsid w:val="00694780"/>
    <w:rsid w:val="00695151"/>
    <w:rsid w:val="00697C42"/>
    <w:rsid w:val="006A2B13"/>
    <w:rsid w:val="006A4859"/>
    <w:rsid w:val="006A5F00"/>
    <w:rsid w:val="006A602E"/>
    <w:rsid w:val="006A608F"/>
    <w:rsid w:val="006A6862"/>
    <w:rsid w:val="006B29A4"/>
    <w:rsid w:val="006B427A"/>
    <w:rsid w:val="006B6073"/>
    <w:rsid w:val="006C029F"/>
    <w:rsid w:val="006C0C64"/>
    <w:rsid w:val="006C1022"/>
    <w:rsid w:val="006C3E0B"/>
    <w:rsid w:val="006C4781"/>
    <w:rsid w:val="006C6AB6"/>
    <w:rsid w:val="006C7FA2"/>
    <w:rsid w:val="006D0BE5"/>
    <w:rsid w:val="006D2D89"/>
    <w:rsid w:val="006D44E2"/>
    <w:rsid w:val="006D5B03"/>
    <w:rsid w:val="006D66BF"/>
    <w:rsid w:val="006E0A80"/>
    <w:rsid w:val="006E172F"/>
    <w:rsid w:val="006E1902"/>
    <w:rsid w:val="006E20DB"/>
    <w:rsid w:val="006E5F42"/>
    <w:rsid w:val="006E5FC2"/>
    <w:rsid w:val="006E6304"/>
    <w:rsid w:val="006F29CD"/>
    <w:rsid w:val="006F4D87"/>
    <w:rsid w:val="007026B1"/>
    <w:rsid w:val="00702D8D"/>
    <w:rsid w:val="0071141A"/>
    <w:rsid w:val="00712FBD"/>
    <w:rsid w:val="00716437"/>
    <w:rsid w:val="00721F93"/>
    <w:rsid w:val="0072615F"/>
    <w:rsid w:val="00726C75"/>
    <w:rsid w:val="0073118A"/>
    <w:rsid w:val="00732ADF"/>
    <w:rsid w:val="00733711"/>
    <w:rsid w:val="00733D6C"/>
    <w:rsid w:val="00737866"/>
    <w:rsid w:val="0074040E"/>
    <w:rsid w:val="00746BF7"/>
    <w:rsid w:val="007501FB"/>
    <w:rsid w:val="0075206A"/>
    <w:rsid w:val="007524DF"/>
    <w:rsid w:val="00754DD3"/>
    <w:rsid w:val="00755343"/>
    <w:rsid w:val="00762B40"/>
    <w:rsid w:val="007671CE"/>
    <w:rsid w:val="007717F3"/>
    <w:rsid w:val="007726E0"/>
    <w:rsid w:val="0077688A"/>
    <w:rsid w:val="007818F7"/>
    <w:rsid w:val="00782FD6"/>
    <w:rsid w:val="0079074D"/>
    <w:rsid w:val="00791E66"/>
    <w:rsid w:val="0079328C"/>
    <w:rsid w:val="007936C4"/>
    <w:rsid w:val="00796731"/>
    <w:rsid w:val="007A10E9"/>
    <w:rsid w:val="007A1EFD"/>
    <w:rsid w:val="007A344D"/>
    <w:rsid w:val="007A52E6"/>
    <w:rsid w:val="007A7BCA"/>
    <w:rsid w:val="007B6060"/>
    <w:rsid w:val="007B620C"/>
    <w:rsid w:val="007B637A"/>
    <w:rsid w:val="007B772C"/>
    <w:rsid w:val="007C056A"/>
    <w:rsid w:val="007C15F9"/>
    <w:rsid w:val="007C17A0"/>
    <w:rsid w:val="007C1C15"/>
    <w:rsid w:val="007C3C41"/>
    <w:rsid w:val="007D2D2B"/>
    <w:rsid w:val="007D42AC"/>
    <w:rsid w:val="007D4302"/>
    <w:rsid w:val="007D6BA4"/>
    <w:rsid w:val="007E1018"/>
    <w:rsid w:val="007E22B4"/>
    <w:rsid w:val="007E272E"/>
    <w:rsid w:val="007E3301"/>
    <w:rsid w:val="007E429F"/>
    <w:rsid w:val="007E7369"/>
    <w:rsid w:val="007F2CD8"/>
    <w:rsid w:val="007F4661"/>
    <w:rsid w:val="007F529C"/>
    <w:rsid w:val="007F575F"/>
    <w:rsid w:val="007F5C33"/>
    <w:rsid w:val="007F6483"/>
    <w:rsid w:val="007F72A9"/>
    <w:rsid w:val="007F795C"/>
    <w:rsid w:val="008001E4"/>
    <w:rsid w:val="008006F0"/>
    <w:rsid w:val="00802EFF"/>
    <w:rsid w:val="00803655"/>
    <w:rsid w:val="008042FE"/>
    <w:rsid w:val="008051C4"/>
    <w:rsid w:val="008119CC"/>
    <w:rsid w:val="008139BC"/>
    <w:rsid w:val="008141CB"/>
    <w:rsid w:val="0081627D"/>
    <w:rsid w:val="008174F3"/>
    <w:rsid w:val="008216A7"/>
    <w:rsid w:val="0082300C"/>
    <w:rsid w:val="008243BE"/>
    <w:rsid w:val="00826735"/>
    <w:rsid w:val="00827F70"/>
    <w:rsid w:val="00831EAA"/>
    <w:rsid w:val="008327E3"/>
    <w:rsid w:val="00833EB7"/>
    <w:rsid w:val="00834102"/>
    <w:rsid w:val="00834AEB"/>
    <w:rsid w:val="008358AE"/>
    <w:rsid w:val="008371F9"/>
    <w:rsid w:val="00837BC5"/>
    <w:rsid w:val="00841C19"/>
    <w:rsid w:val="00841FEF"/>
    <w:rsid w:val="00845520"/>
    <w:rsid w:val="00853F07"/>
    <w:rsid w:val="00857364"/>
    <w:rsid w:val="00861F2F"/>
    <w:rsid w:val="00864FD4"/>
    <w:rsid w:val="008679B5"/>
    <w:rsid w:val="00871548"/>
    <w:rsid w:val="008762E9"/>
    <w:rsid w:val="00877EF5"/>
    <w:rsid w:val="00880FB4"/>
    <w:rsid w:val="00880FB8"/>
    <w:rsid w:val="00886B7D"/>
    <w:rsid w:val="00890B9B"/>
    <w:rsid w:val="00890C4B"/>
    <w:rsid w:val="00894642"/>
    <w:rsid w:val="00895771"/>
    <w:rsid w:val="008964CF"/>
    <w:rsid w:val="00897B91"/>
    <w:rsid w:val="008A24EB"/>
    <w:rsid w:val="008A2747"/>
    <w:rsid w:val="008A39E5"/>
    <w:rsid w:val="008A40EA"/>
    <w:rsid w:val="008A7169"/>
    <w:rsid w:val="008B02FA"/>
    <w:rsid w:val="008B04BE"/>
    <w:rsid w:val="008B0A4A"/>
    <w:rsid w:val="008B2A2D"/>
    <w:rsid w:val="008B322C"/>
    <w:rsid w:val="008B4EDE"/>
    <w:rsid w:val="008B54CB"/>
    <w:rsid w:val="008B6AF1"/>
    <w:rsid w:val="008C0296"/>
    <w:rsid w:val="008C24B5"/>
    <w:rsid w:val="008D5C85"/>
    <w:rsid w:val="008D6C00"/>
    <w:rsid w:val="008D6D89"/>
    <w:rsid w:val="008D6F8C"/>
    <w:rsid w:val="008E19BB"/>
    <w:rsid w:val="008E1B7D"/>
    <w:rsid w:val="008E1C96"/>
    <w:rsid w:val="008E1E62"/>
    <w:rsid w:val="008E1EF9"/>
    <w:rsid w:val="008E2118"/>
    <w:rsid w:val="008E3584"/>
    <w:rsid w:val="008E7EEC"/>
    <w:rsid w:val="008F298C"/>
    <w:rsid w:val="00902140"/>
    <w:rsid w:val="00903272"/>
    <w:rsid w:val="00906BDC"/>
    <w:rsid w:val="00910303"/>
    <w:rsid w:val="009103C4"/>
    <w:rsid w:val="00911FEB"/>
    <w:rsid w:val="00912E0E"/>
    <w:rsid w:val="009133CF"/>
    <w:rsid w:val="0091604A"/>
    <w:rsid w:val="00916D58"/>
    <w:rsid w:val="0092166A"/>
    <w:rsid w:val="009218FC"/>
    <w:rsid w:val="00924161"/>
    <w:rsid w:val="00924918"/>
    <w:rsid w:val="00927D4F"/>
    <w:rsid w:val="009318D0"/>
    <w:rsid w:val="009324BA"/>
    <w:rsid w:val="0093339E"/>
    <w:rsid w:val="00934537"/>
    <w:rsid w:val="009345DD"/>
    <w:rsid w:val="00934A9D"/>
    <w:rsid w:val="009359F4"/>
    <w:rsid w:val="009375D9"/>
    <w:rsid w:val="009417DC"/>
    <w:rsid w:val="00941EC3"/>
    <w:rsid w:val="009423C8"/>
    <w:rsid w:val="009462E4"/>
    <w:rsid w:val="00946706"/>
    <w:rsid w:val="009470C1"/>
    <w:rsid w:val="00947E67"/>
    <w:rsid w:val="00951071"/>
    <w:rsid w:val="009512F1"/>
    <w:rsid w:val="009513DB"/>
    <w:rsid w:val="00960259"/>
    <w:rsid w:val="009631F9"/>
    <w:rsid w:val="009647C3"/>
    <w:rsid w:val="009673D9"/>
    <w:rsid w:val="0097294B"/>
    <w:rsid w:val="00973A7E"/>
    <w:rsid w:val="00981BC3"/>
    <w:rsid w:val="00981E11"/>
    <w:rsid w:val="00982813"/>
    <w:rsid w:val="00982F80"/>
    <w:rsid w:val="00985FE3"/>
    <w:rsid w:val="009878CA"/>
    <w:rsid w:val="00991BF8"/>
    <w:rsid w:val="009A20F4"/>
    <w:rsid w:val="009A2FEF"/>
    <w:rsid w:val="009A54BC"/>
    <w:rsid w:val="009B3194"/>
    <w:rsid w:val="009B4039"/>
    <w:rsid w:val="009B70C4"/>
    <w:rsid w:val="009B77D9"/>
    <w:rsid w:val="009C0364"/>
    <w:rsid w:val="009C3091"/>
    <w:rsid w:val="009C36FB"/>
    <w:rsid w:val="009C42EB"/>
    <w:rsid w:val="009C4518"/>
    <w:rsid w:val="009C533D"/>
    <w:rsid w:val="009C6B5A"/>
    <w:rsid w:val="009C7671"/>
    <w:rsid w:val="009D1643"/>
    <w:rsid w:val="009D170B"/>
    <w:rsid w:val="009D3818"/>
    <w:rsid w:val="009D48DA"/>
    <w:rsid w:val="009D7E19"/>
    <w:rsid w:val="009E2C2B"/>
    <w:rsid w:val="009E3472"/>
    <w:rsid w:val="009E44C8"/>
    <w:rsid w:val="009E685D"/>
    <w:rsid w:val="009F2091"/>
    <w:rsid w:val="009F286F"/>
    <w:rsid w:val="009F4FA6"/>
    <w:rsid w:val="009F5D92"/>
    <w:rsid w:val="009F6196"/>
    <w:rsid w:val="009F6F86"/>
    <w:rsid w:val="009F744C"/>
    <w:rsid w:val="00A054AC"/>
    <w:rsid w:val="00A07386"/>
    <w:rsid w:val="00A07AE4"/>
    <w:rsid w:val="00A16C4F"/>
    <w:rsid w:val="00A16E51"/>
    <w:rsid w:val="00A1741B"/>
    <w:rsid w:val="00A203FD"/>
    <w:rsid w:val="00A231F6"/>
    <w:rsid w:val="00A26422"/>
    <w:rsid w:val="00A265AD"/>
    <w:rsid w:val="00A27C6F"/>
    <w:rsid w:val="00A311CB"/>
    <w:rsid w:val="00A33C04"/>
    <w:rsid w:val="00A36748"/>
    <w:rsid w:val="00A4325F"/>
    <w:rsid w:val="00A43CE5"/>
    <w:rsid w:val="00A44021"/>
    <w:rsid w:val="00A45883"/>
    <w:rsid w:val="00A45E2F"/>
    <w:rsid w:val="00A46466"/>
    <w:rsid w:val="00A519D4"/>
    <w:rsid w:val="00A53CD4"/>
    <w:rsid w:val="00A54C2B"/>
    <w:rsid w:val="00A54E67"/>
    <w:rsid w:val="00A55F6F"/>
    <w:rsid w:val="00A567F4"/>
    <w:rsid w:val="00A571EA"/>
    <w:rsid w:val="00A6186F"/>
    <w:rsid w:val="00A61C76"/>
    <w:rsid w:val="00A63644"/>
    <w:rsid w:val="00A666D3"/>
    <w:rsid w:val="00A6794A"/>
    <w:rsid w:val="00A67AED"/>
    <w:rsid w:val="00A70014"/>
    <w:rsid w:val="00A70F44"/>
    <w:rsid w:val="00A74B4C"/>
    <w:rsid w:val="00A75C08"/>
    <w:rsid w:val="00A76511"/>
    <w:rsid w:val="00A81848"/>
    <w:rsid w:val="00A82372"/>
    <w:rsid w:val="00A836D8"/>
    <w:rsid w:val="00A848C4"/>
    <w:rsid w:val="00A84901"/>
    <w:rsid w:val="00A8531D"/>
    <w:rsid w:val="00A859D3"/>
    <w:rsid w:val="00A85B34"/>
    <w:rsid w:val="00A86E5F"/>
    <w:rsid w:val="00A87256"/>
    <w:rsid w:val="00A877EB"/>
    <w:rsid w:val="00A91645"/>
    <w:rsid w:val="00A9169E"/>
    <w:rsid w:val="00A96B2C"/>
    <w:rsid w:val="00AA1C98"/>
    <w:rsid w:val="00AA43FB"/>
    <w:rsid w:val="00AA49EC"/>
    <w:rsid w:val="00AB22BC"/>
    <w:rsid w:val="00AB384B"/>
    <w:rsid w:val="00AB3FBF"/>
    <w:rsid w:val="00AB4DB0"/>
    <w:rsid w:val="00AB6FCB"/>
    <w:rsid w:val="00AC3ED1"/>
    <w:rsid w:val="00AD0AE4"/>
    <w:rsid w:val="00AD0C41"/>
    <w:rsid w:val="00AE0A1D"/>
    <w:rsid w:val="00AE1EB9"/>
    <w:rsid w:val="00AE3406"/>
    <w:rsid w:val="00AE5DB2"/>
    <w:rsid w:val="00AE61A0"/>
    <w:rsid w:val="00AE77FF"/>
    <w:rsid w:val="00AF07AB"/>
    <w:rsid w:val="00AF3168"/>
    <w:rsid w:val="00AF52E2"/>
    <w:rsid w:val="00AF7684"/>
    <w:rsid w:val="00B006A6"/>
    <w:rsid w:val="00B0429E"/>
    <w:rsid w:val="00B0565A"/>
    <w:rsid w:val="00B057FE"/>
    <w:rsid w:val="00B075C5"/>
    <w:rsid w:val="00B104EF"/>
    <w:rsid w:val="00B145CD"/>
    <w:rsid w:val="00B16826"/>
    <w:rsid w:val="00B204CE"/>
    <w:rsid w:val="00B21452"/>
    <w:rsid w:val="00B23363"/>
    <w:rsid w:val="00B264A8"/>
    <w:rsid w:val="00B356F3"/>
    <w:rsid w:val="00B4008F"/>
    <w:rsid w:val="00B43407"/>
    <w:rsid w:val="00B46390"/>
    <w:rsid w:val="00B468B9"/>
    <w:rsid w:val="00B559C0"/>
    <w:rsid w:val="00B569C3"/>
    <w:rsid w:val="00B570E9"/>
    <w:rsid w:val="00B573AE"/>
    <w:rsid w:val="00B57ECE"/>
    <w:rsid w:val="00B57EFF"/>
    <w:rsid w:val="00B6021C"/>
    <w:rsid w:val="00B61BD5"/>
    <w:rsid w:val="00B6445C"/>
    <w:rsid w:val="00B65A2B"/>
    <w:rsid w:val="00B706A9"/>
    <w:rsid w:val="00B7479D"/>
    <w:rsid w:val="00B7749F"/>
    <w:rsid w:val="00B779CA"/>
    <w:rsid w:val="00B80D71"/>
    <w:rsid w:val="00B8195D"/>
    <w:rsid w:val="00B8218A"/>
    <w:rsid w:val="00B8401B"/>
    <w:rsid w:val="00B8507B"/>
    <w:rsid w:val="00B85809"/>
    <w:rsid w:val="00B8726F"/>
    <w:rsid w:val="00B9412E"/>
    <w:rsid w:val="00B95E2C"/>
    <w:rsid w:val="00B96B0A"/>
    <w:rsid w:val="00B972D6"/>
    <w:rsid w:val="00BA157E"/>
    <w:rsid w:val="00BA2398"/>
    <w:rsid w:val="00BA2C65"/>
    <w:rsid w:val="00BA46B4"/>
    <w:rsid w:val="00BA5B48"/>
    <w:rsid w:val="00BA5C05"/>
    <w:rsid w:val="00BB3904"/>
    <w:rsid w:val="00BB661F"/>
    <w:rsid w:val="00BB6D57"/>
    <w:rsid w:val="00BB7996"/>
    <w:rsid w:val="00BB7C62"/>
    <w:rsid w:val="00BC0F0B"/>
    <w:rsid w:val="00BC258F"/>
    <w:rsid w:val="00BC33D5"/>
    <w:rsid w:val="00BC3865"/>
    <w:rsid w:val="00BD1243"/>
    <w:rsid w:val="00BD1ED5"/>
    <w:rsid w:val="00BD230E"/>
    <w:rsid w:val="00BD2E10"/>
    <w:rsid w:val="00BD30F5"/>
    <w:rsid w:val="00BD68C0"/>
    <w:rsid w:val="00BD6E2A"/>
    <w:rsid w:val="00BE01B8"/>
    <w:rsid w:val="00BE5D4B"/>
    <w:rsid w:val="00BE61A4"/>
    <w:rsid w:val="00BE6B57"/>
    <w:rsid w:val="00BE7AD6"/>
    <w:rsid w:val="00BF1B99"/>
    <w:rsid w:val="00BF3A59"/>
    <w:rsid w:val="00BF3F8D"/>
    <w:rsid w:val="00BF4184"/>
    <w:rsid w:val="00BF5D0B"/>
    <w:rsid w:val="00BF6032"/>
    <w:rsid w:val="00C026F9"/>
    <w:rsid w:val="00C054F6"/>
    <w:rsid w:val="00C10D41"/>
    <w:rsid w:val="00C10DBD"/>
    <w:rsid w:val="00C114E4"/>
    <w:rsid w:val="00C12369"/>
    <w:rsid w:val="00C12988"/>
    <w:rsid w:val="00C16891"/>
    <w:rsid w:val="00C20A53"/>
    <w:rsid w:val="00C20DD2"/>
    <w:rsid w:val="00C2696C"/>
    <w:rsid w:val="00C2728C"/>
    <w:rsid w:val="00C346EB"/>
    <w:rsid w:val="00C34847"/>
    <w:rsid w:val="00C3662B"/>
    <w:rsid w:val="00C36E4E"/>
    <w:rsid w:val="00C37789"/>
    <w:rsid w:val="00C40CBC"/>
    <w:rsid w:val="00C4469F"/>
    <w:rsid w:val="00C44D3B"/>
    <w:rsid w:val="00C452E1"/>
    <w:rsid w:val="00C45F04"/>
    <w:rsid w:val="00C4630C"/>
    <w:rsid w:val="00C50E9F"/>
    <w:rsid w:val="00C511A4"/>
    <w:rsid w:val="00C51648"/>
    <w:rsid w:val="00C51C7E"/>
    <w:rsid w:val="00C55C6D"/>
    <w:rsid w:val="00C57AE8"/>
    <w:rsid w:val="00C6020A"/>
    <w:rsid w:val="00C628DB"/>
    <w:rsid w:val="00C63399"/>
    <w:rsid w:val="00C6417C"/>
    <w:rsid w:val="00C659D6"/>
    <w:rsid w:val="00C65E68"/>
    <w:rsid w:val="00C7219D"/>
    <w:rsid w:val="00C76650"/>
    <w:rsid w:val="00C85A73"/>
    <w:rsid w:val="00C9051B"/>
    <w:rsid w:val="00C92724"/>
    <w:rsid w:val="00C9728F"/>
    <w:rsid w:val="00CA22E4"/>
    <w:rsid w:val="00CA3A78"/>
    <w:rsid w:val="00CA3E60"/>
    <w:rsid w:val="00CA442F"/>
    <w:rsid w:val="00CA64E2"/>
    <w:rsid w:val="00CB29F4"/>
    <w:rsid w:val="00CB562F"/>
    <w:rsid w:val="00CB68F0"/>
    <w:rsid w:val="00CB6FFD"/>
    <w:rsid w:val="00CB71DA"/>
    <w:rsid w:val="00CC24FE"/>
    <w:rsid w:val="00CC4998"/>
    <w:rsid w:val="00CC4F53"/>
    <w:rsid w:val="00CC5156"/>
    <w:rsid w:val="00CC5BAC"/>
    <w:rsid w:val="00CC7701"/>
    <w:rsid w:val="00CC7927"/>
    <w:rsid w:val="00CD0151"/>
    <w:rsid w:val="00CD01CE"/>
    <w:rsid w:val="00CD0739"/>
    <w:rsid w:val="00CD2797"/>
    <w:rsid w:val="00CD4024"/>
    <w:rsid w:val="00CD75E6"/>
    <w:rsid w:val="00CD77AA"/>
    <w:rsid w:val="00CE0D10"/>
    <w:rsid w:val="00CE0E26"/>
    <w:rsid w:val="00CE2761"/>
    <w:rsid w:val="00CE3AE3"/>
    <w:rsid w:val="00CE3F35"/>
    <w:rsid w:val="00CE6A32"/>
    <w:rsid w:val="00CF12E4"/>
    <w:rsid w:val="00CF18C6"/>
    <w:rsid w:val="00CF578C"/>
    <w:rsid w:val="00CF5D64"/>
    <w:rsid w:val="00CF72A1"/>
    <w:rsid w:val="00CF74E8"/>
    <w:rsid w:val="00CF782A"/>
    <w:rsid w:val="00D051CB"/>
    <w:rsid w:val="00D07C36"/>
    <w:rsid w:val="00D16E33"/>
    <w:rsid w:val="00D17164"/>
    <w:rsid w:val="00D2153B"/>
    <w:rsid w:val="00D22084"/>
    <w:rsid w:val="00D2226B"/>
    <w:rsid w:val="00D2304E"/>
    <w:rsid w:val="00D234C0"/>
    <w:rsid w:val="00D24B72"/>
    <w:rsid w:val="00D254F2"/>
    <w:rsid w:val="00D25A39"/>
    <w:rsid w:val="00D26A78"/>
    <w:rsid w:val="00D3063E"/>
    <w:rsid w:val="00D30F0A"/>
    <w:rsid w:val="00D32112"/>
    <w:rsid w:val="00D3329D"/>
    <w:rsid w:val="00D3550C"/>
    <w:rsid w:val="00D36123"/>
    <w:rsid w:val="00D36141"/>
    <w:rsid w:val="00D41455"/>
    <w:rsid w:val="00D41707"/>
    <w:rsid w:val="00D433D9"/>
    <w:rsid w:val="00D44FB9"/>
    <w:rsid w:val="00D462F1"/>
    <w:rsid w:val="00D46F1E"/>
    <w:rsid w:val="00D472A4"/>
    <w:rsid w:val="00D476E4"/>
    <w:rsid w:val="00D51B7B"/>
    <w:rsid w:val="00D5342C"/>
    <w:rsid w:val="00D5432B"/>
    <w:rsid w:val="00D5502C"/>
    <w:rsid w:val="00D570F8"/>
    <w:rsid w:val="00D60231"/>
    <w:rsid w:val="00D61017"/>
    <w:rsid w:val="00D611C5"/>
    <w:rsid w:val="00D625D4"/>
    <w:rsid w:val="00D63FBB"/>
    <w:rsid w:val="00D67C73"/>
    <w:rsid w:val="00D7072C"/>
    <w:rsid w:val="00D714AB"/>
    <w:rsid w:val="00D74813"/>
    <w:rsid w:val="00D74C6E"/>
    <w:rsid w:val="00D75478"/>
    <w:rsid w:val="00D75819"/>
    <w:rsid w:val="00D763A5"/>
    <w:rsid w:val="00D804E0"/>
    <w:rsid w:val="00D80973"/>
    <w:rsid w:val="00D833C3"/>
    <w:rsid w:val="00D84C86"/>
    <w:rsid w:val="00D85998"/>
    <w:rsid w:val="00D85B71"/>
    <w:rsid w:val="00D865BC"/>
    <w:rsid w:val="00D90134"/>
    <w:rsid w:val="00D916F1"/>
    <w:rsid w:val="00D9209D"/>
    <w:rsid w:val="00D928DC"/>
    <w:rsid w:val="00D92BF9"/>
    <w:rsid w:val="00D95B78"/>
    <w:rsid w:val="00D96EAB"/>
    <w:rsid w:val="00D977B1"/>
    <w:rsid w:val="00DA1F72"/>
    <w:rsid w:val="00DB0D55"/>
    <w:rsid w:val="00DB4171"/>
    <w:rsid w:val="00DC18EF"/>
    <w:rsid w:val="00DC1F88"/>
    <w:rsid w:val="00DC2554"/>
    <w:rsid w:val="00DD28C7"/>
    <w:rsid w:val="00DD62F5"/>
    <w:rsid w:val="00DE0590"/>
    <w:rsid w:val="00DE2B04"/>
    <w:rsid w:val="00DE3AE7"/>
    <w:rsid w:val="00DE4D5D"/>
    <w:rsid w:val="00DE4EC5"/>
    <w:rsid w:val="00DE6A24"/>
    <w:rsid w:val="00DF14AA"/>
    <w:rsid w:val="00DF723B"/>
    <w:rsid w:val="00DF784A"/>
    <w:rsid w:val="00DF7D52"/>
    <w:rsid w:val="00DF7E3C"/>
    <w:rsid w:val="00E00568"/>
    <w:rsid w:val="00E008AD"/>
    <w:rsid w:val="00E00D75"/>
    <w:rsid w:val="00E0145A"/>
    <w:rsid w:val="00E0494A"/>
    <w:rsid w:val="00E05B2D"/>
    <w:rsid w:val="00E07D1C"/>
    <w:rsid w:val="00E10DBD"/>
    <w:rsid w:val="00E12857"/>
    <w:rsid w:val="00E13065"/>
    <w:rsid w:val="00E136D2"/>
    <w:rsid w:val="00E13E67"/>
    <w:rsid w:val="00E16010"/>
    <w:rsid w:val="00E252A0"/>
    <w:rsid w:val="00E25A52"/>
    <w:rsid w:val="00E26065"/>
    <w:rsid w:val="00E26299"/>
    <w:rsid w:val="00E30AEE"/>
    <w:rsid w:val="00E32862"/>
    <w:rsid w:val="00E4137C"/>
    <w:rsid w:val="00E450EB"/>
    <w:rsid w:val="00E4547D"/>
    <w:rsid w:val="00E45C65"/>
    <w:rsid w:val="00E47E08"/>
    <w:rsid w:val="00E47FC8"/>
    <w:rsid w:val="00E5278F"/>
    <w:rsid w:val="00E55C77"/>
    <w:rsid w:val="00E606F0"/>
    <w:rsid w:val="00E61A9E"/>
    <w:rsid w:val="00E65564"/>
    <w:rsid w:val="00E67C82"/>
    <w:rsid w:val="00E67C8E"/>
    <w:rsid w:val="00E72CFB"/>
    <w:rsid w:val="00E74758"/>
    <w:rsid w:val="00E74FBD"/>
    <w:rsid w:val="00E75CF1"/>
    <w:rsid w:val="00E8072E"/>
    <w:rsid w:val="00E80F3F"/>
    <w:rsid w:val="00E904D8"/>
    <w:rsid w:val="00E90592"/>
    <w:rsid w:val="00E96E4B"/>
    <w:rsid w:val="00EA30F2"/>
    <w:rsid w:val="00EA4E78"/>
    <w:rsid w:val="00EA5B5D"/>
    <w:rsid w:val="00EA74D7"/>
    <w:rsid w:val="00EB0681"/>
    <w:rsid w:val="00EB08D0"/>
    <w:rsid w:val="00EB2B59"/>
    <w:rsid w:val="00EB3D5F"/>
    <w:rsid w:val="00EB4C46"/>
    <w:rsid w:val="00EB78B2"/>
    <w:rsid w:val="00EC4000"/>
    <w:rsid w:val="00EC5E28"/>
    <w:rsid w:val="00ED28B4"/>
    <w:rsid w:val="00ED3411"/>
    <w:rsid w:val="00ED4DB4"/>
    <w:rsid w:val="00ED5598"/>
    <w:rsid w:val="00ED5E5C"/>
    <w:rsid w:val="00EE09D7"/>
    <w:rsid w:val="00EE3B0B"/>
    <w:rsid w:val="00EE59C2"/>
    <w:rsid w:val="00EE74A4"/>
    <w:rsid w:val="00EF12FD"/>
    <w:rsid w:val="00EF5047"/>
    <w:rsid w:val="00EF5C06"/>
    <w:rsid w:val="00F015A9"/>
    <w:rsid w:val="00F02F1F"/>
    <w:rsid w:val="00F03161"/>
    <w:rsid w:val="00F037C8"/>
    <w:rsid w:val="00F03E80"/>
    <w:rsid w:val="00F109FA"/>
    <w:rsid w:val="00F12200"/>
    <w:rsid w:val="00F12E3F"/>
    <w:rsid w:val="00F14825"/>
    <w:rsid w:val="00F15B82"/>
    <w:rsid w:val="00F15FD5"/>
    <w:rsid w:val="00F201E7"/>
    <w:rsid w:val="00F24A5D"/>
    <w:rsid w:val="00F3553D"/>
    <w:rsid w:val="00F35A3E"/>
    <w:rsid w:val="00F414BF"/>
    <w:rsid w:val="00F42580"/>
    <w:rsid w:val="00F42D54"/>
    <w:rsid w:val="00F43101"/>
    <w:rsid w:val="00F47A24"/>
    <w:rsid w:val="00F50D40"/>
    <w:rsid w:val="00F533A5"/>
    <w:rsid w:val="00F542DA"/>
    <w:rsid w:val="00F5607D"/>
    <w:rsid w:val="00F569D1"/>
    <w:rsid w:val="00F5789A"/>
    <w:rsid w:val="00F609E5"/>
    <w:rsid w:val="00F6558C"/>
    <w:rsid w:val="00F65B65"/>
    <w:rsid w:val="00F66932"/>
    <w:rsid w:val="00F756F0"/>
    <w:rsid w:val="00F76439"/>
    <w:rsid w:val="00F77455"/>
    <w:rsid w:val="00F8063E"/>
    <w:rsid w:val="00F807A4"/>
    <w:rsid w:val="00F80DBE"/>
    <w:rsid w:val="00F81529"/>
    <w:rsid w:val="00F81854"/>
    <w:rsid w:val="00F8226D"/>
    <w:rsid w:val="00F82D52"/>
    <w:rsid w:val="00F82F9F"/>
    <w:rsid w:val="00F83A02"/>
    <w:rsid w:val="00F87A85"/>
    <w:rsid w:val="00FA47CA"/>
    <w:rsid w:val="00FB0125"/>
    <w:rsid w:val="00FB0205"/>
    <w:rsid w:val="00FB280E"/>
    <w:rsid w:val="00FB58EF"/>
    <w:rsid w:val="00FC0FDC"/>
    <w:rsid w:val="00FC31C8"/>
    <w:rsid w:val="00FC49E2"/>
    <w:rsid w:val="00FC577B"/>
    <w:rsid w:val="00FC6F6E"/>
    <w:rsid w:val="00FC72BC"/>
    <w:rsid w:val="00FC7C18"/>
    <w:rsid w:val="00FD0E36"/>
    <w:rsid w:val="00FD245A"/>
    <w:rsid w:val="00FD4028"/>
    <w:rsid w:val="00FD4952"/>
    <w:rsid w:val="00FD701B"/>
    <w:rsid w:val="00FE0193"/>
    <w:rsid w:val="00FE0969"/>
    <w:rsid w:val="00FE1379"/>
    <w:rsid w:val="00FE2B46"/>
    <w:rsid w:val="00FE42B8"/>
    <w:rsid w:val="00FE4AC0"/>
    <w:rsid w:val="00FE7926"/>
    <w:rsid w:val="00FF47BC"/>
    <w:rsid w:val="00FF4D6F"/>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525CFB4"/>
  <w15:docId w15:val="{726741E1-1F7E-F24F-BF4B-AB471F640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iPriority="0" w:unhideWhenUsed="1" w:qFormat="1"/>
    <w:lsdException w:name="footer" w:semiHidden="1" w:uiPriority="0" w:unhideWhenUsed="1" w:qFormat="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qFormat="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aliases w:val="Термины"/>
    <w:qFormat/>
    <w:rsid w:val="001F5BC1"/>
    <w:rPr>
      <w:rFonts w:ascii="Times New Roman" w:eastAsia="Times New Roman" w:hAnsi="Times New Roman" w:cs="Times New Roman"/>
      <w:sz w:val="24"/>
      <w:szCs w:val="24"/>
      <w:lang w:eastAsia="ru-RU"/>
    </w:rPr>
  </w:style>
  <w:style w:type="paragraph" w:styleId="11">
    <w:name w:val="heading 1"/>
    <w:basedOn w:val="2"/>
    <w:link w:val="12"/>
    <w:qFormat/>
    <w:rsid w:val="00183653"/>
    <w:pPr>
      <w:ind w:firstLine="0"/>
      <w:outlineLvl w:val="0"/>
    </w:pPr>
  </w:style>
  <w:style w:type="paragraph" w:styleId="2">
    <w:name w:val="heading 2"/>
    <w:aliases w:val="Наим. подраздела"/>
    <w:basedOn w:val="a2"/>
    <w:link w:val="20"/>
    <w:unhideWhenUsed/>
    <w:qFormat/>
    <w:rsid w:val="002F7719"/>
    <w:pPr>
      <w:outlineLvl w:val="1"/>
    </w:pPr>
  </w:style>
  <w:style w:type="paragraph" w:styleId="3">
    <w:name w:val="heading 3"/>
    <w:basedOn w:val="a1"/>
    <w:next w:val="a1"/>
    <w:link w:val="30"/>
    <w:unhideWhenUsed/>
    <w:qFormat/>
    <w:rsid w:val="009C36FB"/>
    <w:pPr>
      <w:keepNext/>
      <w:keepLines/>
      <w:spacing w:before="40" w:line="360" w:lineRule="auto"/>
      <w:ind w:firstLine="709"/>
      <w:jc w:val="both"/>
      <w:outlineLvl w:val="2"/>
    </w:pPr>
    <w:rPr>
      <w:rFonts w:asciiTheme="majorHAnsi" w:eastAsiaTheme="majorEastAsia" w:hAnsiTheme="majorHAnsi" w:cstheme="majorBidi"/>
      <w:color w:val="1F4D78" w:themeColor="accent1" w:themeShade="7F"/>
      <w:lang w:eastAsia="en-US"/>
    </w:rPr>
  </w:style>
  <w:style w:type="paragraph" w:styleId="4">
    <w:name w:val="heading 4"/>
    <w:basedOn w:val="a1"/>
    <w:next w:val="a1"/>
    <w:link w:val="40"/>
    <w:qFormat/>
    <w:rsid w:val="00204469"/>
    <w:pPr>
      <w:keepNext/>
      <w:shd w:val="clear" w:color="auto" w:fill="FFFFFF"/>
      <w:tabs>
        <w:tab w:val="num" w:pos="0"/>
      </w:tabs>
      <w:suppressAutoHyphens/>
      <w:spacing w:line="348" w:lineRule="atLeast"/>
      <w:outlineLvl w:val="3"/>
    </w:pPr>
    <w:rPr>
      <w:rFonts w:eastAsia="Calibri"/>
      <w:b/>
      <w:sz w:val="20"/>
      <w:szCs w:val="20"/>
      <w:lang w:val="en-US" w:eastAsia="zh-CN"/>
    </w:rPr>
  </w:style>
  <w:style w:type="paragraph" w:styleId="5">
    <w:name w:val="heading 5"/>
    <w:basedOn w:val="13"/>
    <w:next w:val="a3"/>
    <w:link w:val="50"/>
    <w:qFormat/>
    <w:rsid w:val="00204469"/>
    <w:pPr>
      <w:keepNext w:val="0"/>
      <w:tabs>
        <w:tab w:val="num" w:pos="0"/>
      </w:tabs>
      <w:suppressAutoHyphens/>
      <w:spacing w:before="120" w:after="60"/>
      <w:ind w:firstLine="0"/>
      <w:jc w:val="center"/>
      <w:outlineLvl w:val="4"/>
    </w:pPr>
    <w:rPr>
      <w:rFonts w:ascii="Calibri Light" w:eastAsia="Times New Roman" w:hAnsi="Calibri Light" w:cs="Calibri Light"/>
      <w:b/>
      <w:bCs/>
      <w:kern w:val="1"/>
      <w:sz w:val="24"/>
      <w:szCs w:val="24"/>
      <w:lang w:eastAsia="zh-CN"/>
    </w:rPr>
  </w:style>
  <w:style w:type="paragraph" w:styleId="6">
    <w:name w:val="heading 6"/>
    <w:basedOn w:val="13"/>
    <w:next w:val="a3"/>
    <w:link w:val="60"/>
    <w:qFormat/>
    <w:rsid w:val="00204469"/>
    <w:pPr>
      <w:keepNext w:val="0"/>
      <w:tabs>
        <w:tab w:val="num" w:pos="0"/>
      </w:tabs>
      <w:suppressAutoHyphens/>
      <w:spacing w:before="60" w:after="60"/>
      <w:ind w:firstLine="0"/>
      <w:jc w:val="center"/>
      <w:outlineLvl w:val="5"/>
    </w:pPr>
    <w:rPr>
      <w:rFonts w:ascii="Calibri Light" w:eastAsia="Times New Roman" w:hAnsi="Calibri Light" w:cs="Calibri Light"/>
      <w:b/>
      <w:bCs/>
      <w:i/>
      <w:iCs/>
      <w:kern w:val="1"/>
      <w:sz w:val="24"/>
      <w:szCs w:val="24"/>
      <w:lang w:eastAsia="zh-CN"/>
    </w:rPr>
  </w:style>
  <w:style w:type="paragraph" w:styleId="7">
    <w:name w:val="heading 7"/>
    <w:basedOn w:val="13"/>
    <w:next w:val="a3"/>
    <w:link w:val="70"/>
    <w:qFormat/>
    <w:rsid w:val="00204469"/>
    <w:pPr>
      <w:keepNext w:val="0"/>
      <w:tabs>
        <w:tab w:val="num" w:pos="0"/>
      </w:tabs>
      <w:suppressAutoHyphens/>
      <w:spacing w:before="60" w:after="60"/>
      <w:ind w:firstLine="0"/>
      <w:jc w:val="center"/>
      <w:outlineLvl w:val="6"/>
    </w:pPr>
    <w:rPr>
      <w:rFonts w:ascii="Calibri Light" w:eastAsia="Times New Roman" w:hAnsi="Calibri Light" w:cs="Calibri Light"/>
      <w:b/>
      <w:bCs/>
      <w:kern w:val="1"/>
      <w:sz w:val="22"/>
      <w:szCs w:val="22"/>
      <w:lang w:eastAsia="zh-CN"/>
    </w:rPr>
  </w:style>
  <w:style w:type="paragraph" w:styleId="8">
    <w:name w:val="heading 8"/>
    <w:basedOn w:val="13"/>
    <w:next w:val="a3"/>
    <w:link w:val="80"/>
    <w:qFormat/>
    <w:rsid w:val="00204469"/>
    <w:pPr>
      <w:keepNext w:val="0"/>
      <w:tabs>
        <w:tab w:val="num" w:pos="0"/>
      </w:tabs>
      <w:suppressAutoHyphens/>
      <w:spacing w:before="60" w:after="60"/>
      <w:ind w:firstLine="0"/>
      <w:jc w:val="center"/>
      <w:outlineLvl w:val="7"/>
    </w:pPr>
    <w:rPr>
      <w:rFonts w:ascii="Calibri Light" w:eastAsia="Times New Roman" w:hAnsi="Calibri Light" w:cs="Calibri Light"/>
      <w:b/>
      <w:bCs/>
      <w:i/>
      <w:iCs/>
      <w:kern w:val="1"/>
      <w:sz w:val="22"/>
      <w:szCs w:val="22"/>
      <w:lang w:eastAsia="zh-CN"/>
    </w:rPr>
  </w:style>
  <w:style w:type="paragraph" w:styleId="9">
    <w:name w:val="heading 9"/>
    <w:basedOn w:val="13"/>
    <w:next w:val="a3"/>
    <w:link w:val="90"/>
    <w:qFormat/>
    <w:rsid w:val="00204469"/>
    <w:pPr>
      <w:keepNext w:val="0"/>
      <w:tabs>
        <w:tab w:val="num" w:pos="0"/>
      </w:tabs>
      <w:suppressAutoHyphens/>
      <w:spacing w:before="60" w:after="60"/>
      <w:ind w:firstLine="0"/>
      <w:jc w:val="center"/>
      <w:outlineLvl w:val="8"/>
    </w:pPr>
    <w:rPr>
      <w:rFonts w:ascii="Calibri Light" w:eastAsia="Times New Roman" w:hAnsi="Calibri Light" w:cs="Calibri Light"/>
      <w:b/>
      <w:bCs/>
      <w:kern w:val="1"/>
      <w:sz w:val="21"/>
      <w:szCs w:val="21"/>
      <w:lang w:eastAsia="zh-CN"/>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a7">
    <w:name w:val="Верхний колонтитул Знак"/>
    <w:basedOn w:val="a4"/>
    <w:rsid w:val="00C15E9F"/>
  </w:style>
  <w:style w:type="character" w:customStyle="1" w:styleId="a8">
    <w:name w:val="Нижний колонтитул Знак"/>
    <w:basedOn w:val="a4"/>
    <w:rsid w:val="00C15E9F"/>
  </w:style>
  <w:style w:type="character" w:customStyle="1" w:styleId="apple-converted-space">
    <w:name w:val="apple-converted-space"/>
    <w:basedOn w:val="a4"/>
    <w:rsid w:val="004B3C53"/>
  </w:style>
  <w:style w:type="character" w:customStyle="1" w:styleId="-">
    <w:name w:val="Интернет-ссылка"/>
    <w:basedOn w:val="a4"/>
    <w:uiPriority w:val="99"/>
    <w:unhideWhenUsed/>
    <w:rsid w:val="004B3C53"/>
    <w:rPr>
      <w:color w:val="0000FF"/>
      <w:u w:val="single"/>
    </w:rPr>
  </w:style>
  <w:style w:type="character" w:customStyle="1" w:styleId="12">
    <w:name w:val="Заголовок 1 Знак"/>
    <w:basedOn w:val="a4"/>
    <w:link w:val="11"/>
    <w:uiPriority w:val="9"/>
    <w:qFormat/>
    <w:rsid w:val="00183653"/>
    <w:rPr>
      <w:rFonts w:ascii="Times New Roman" w:hAnsi="Times New Roman" w:cs="Times New Roman"/>
      <w:b/>
      <w:sz w:val="24"/>
      <w:szCs w:val="24"/>
      <w:u w:val="single"/>
    </w:rPr>
  </w:style>
  <w:style w:type="character" w:customStyle="1" w:styleId="a9">
    <w:name w:val="Текст выноски Знак"/>
    <w:basedOn w:val="a4"/>
    <w:uiPriority w:val="99"/>
    <w:qFormat/>
    <w:rsid w:val="00E9341B"/>
    <w:rPr>
      <w:rFonts w:ascii="Tahoma" w:hAnsi="Tahoma" w:cs="Tahoma"/>
      <w:sz w:val="16"/>
      <w:szCs w:val="16"/>
    </w:rPr>
  </w:style>
  <w:style w:type="character" w:customStyle="1" w:styleId="aa">
    <w:name w:val="Подзаголовок Знак"/>
    <w:basedOn w:val="a4"/>
    <w:uiPriority w:val="11"/>
    <w:rsid w:val="00181EC4"/>
    <w:rPr>
      <w:rFonts w:ascii="Times New Roman" w:hAnsi="Times New Roman" w:cs="Times New Roman"/>
      <w:b/>
      <w:sz w:val="24"/>
      <w:szCs w:val="24"/>
      <w:u w:val="single"/>
    </w:rPr>
  </w:style>
  <w:style w:type="character" w:styleId="ab">
    <w:name w:val="Subtle Reference"/>
    <w:uiPriority w:val="31"/>
    <w:qFormat/>
    <w:rsid w:val="00181EC4"/>
    <w:rPr>
      <w:rFonts w:ascii="Times New Roman" w:hAnsi="Times New Roman" w:cs="Times New Roman"/>
      <w:b/>
      <w:sz w:val="24"/>
      <w:szCs w:val="24"/>
    </w:rPr>
  </w:style>
  <w:style w:type="character" w:customStyle="1" w:styleId="ac">
    <w:name w:val="Абзац списка Знак"/>
    <w:basedOn w:val="a4"/>
    <w:uiPriority w:val="34"/>
    <w:rsid w:val="00300F50"/>
  </w:style>
  <w:style w:type="character" w:customStyle="1" w:styleId="ad">
    <w:name w:val="Без интервала Знак"/>
    <w:basedOn w:val="ac"/>
    <w:uiPriority w:val="1"/>
    <w:rsid w:val="008B1499"/>
    <w:rPr>
      <w:rFonts w:ascii="Times New Roman" w:hAnsi="Times New Roman" w:cs="Times New Roman"/>
      <w:sz w:val="24"/>
      <w:szCs w:val="24"/>
    </w:rPr>
  </w:style>
  <w:style w:type="character" w:customStyle="1" w:styleId="ae">
    <w:name w:val="УД Знак"/>
    <w:basedOn w:val="ad"/>
    <w:rsid w:val="00300F50"/>
    <w:rPr>
      <w:rFonts w:ascii="Times New Roman" w:hAnsi="Times New Roman" w:cs="Times New Roman"/>
      <w:b/>
      <w:sz w:val="24"/>
      <w:szCs w:val="24"/>
    </w:rPr>
  </w:style>
  <w:style w:type="character" w:customStyle="1" w:styleId="af">
    <w:name w:val="Ком Знак"/>
    <w:basedOn w:val="ac"/>
    <w:rsid w:val="008B1499"/>
    <w:rPr>
      <w:rFonts w:ascii="Times New Roman" w:hAnsi="Times New Roman" w:cs="Times New Roman"/>
      <w:i/>
      <w:sz w:val="24"/>
      <w:szCs w:val="24"/>
    </w:rPr>
  </w:style>
  <w:style w:type="character" w:styleId="af0">
    <w:name w:val="annotation reference"/>
    <w:basedOn w:val="a4"/>
    <w:unhideWhenUsed/>
    <w:qFormat/>
    <w:rsid w:val="009C1F13"/>
    <w:rPr>
      <w:sz w:val="16"/>
      <w:szCs w:val="16"/>
    </w:rPr>
  </w:style>
  <w:style w:type="character" w:customStyle="1" w:styleId="af1">
    <w:name w:val="Текст примечания Знак"/>
    <w:basedOn w:val="a4"/>
    <w:uiPriority w:val="99"/>
    <w:qFormat/>
    <w:rsid w:val="009C1F13"/>
    <w:rPr>
      <w:rFonts w:ascii="Times New Roman" w:hAnsi="Times New Roman"/>
      <w:sz w:val="20"/>
      <w:szCs w:val="20"/>
    </w:rPr>
  </w:style>
  <w:style w:type="character" w:customStyle="1" w:styleId="af2">
    <w:name w:val="Тема примечания Знак"/>
    <w:basedOn w:val="af1"/>
    <w:uiPriority w:val="99"/>
    <w:qFormat/>
    <w:rsid w:val="009C1F13"/>
    <w:rPr>
      <w:rFonts w:ascii="Times New Roman" w:hAnsi="Times New Roman"/>
      <w:b/>
      <w:bCs/>
      <w:sz w:val="20"/>
      <w:szCs w:val="20"/>
    </w:rPr>
  </w:style>
  <w:style w:type="character" w:customStyle="1" w:styleId="af3">
    <w:name w:val="Название Знак"/>
    <w:basedOn w:val="a4"/>
    <w:rsid w:val="00A43933"/>
    <w:rPr>
      <w:rFonts w:ascii="Times New Roman" w:eastAsiaTheme="majorEastAsia" w:hAnsi="Times New Roman" w:cstheme="majorBidi"/>
      <w:spacing w:val="-10"/>
      <w:sz w:val="28"/>
      <w:szCs w:val="56"/>
      <w:u w:val="single"/>
    </w:rPr>
  </w:style>
  <w:style w:type="character" w:customStyle="1" w:styleId="pop-slug-vol">
    <w:name w:val="pop-slug-vol"/>
    <w:uiPriority w:val="99"/>
    <w:qFormat/>
    <w:rsid w:val="00A43933"/>
    <w:rPr>
      <w:rFonts w:cs="Times New Roman"/>
    </w:rPr>
  </w:style>
  <w:style w:type="character" w:customStyle="1" w:styleId="af4">
    <w:name w:val="Текст сноски Знак"/>
    <w:basedOn w:val="a4"/>
    <w:rsid w:val="004008B9"/>
    <w:rPr>
      <w:rFonts w:ascii="Calibri" w:eastAsia="Calibri" w:hAnsi="Calibri" w:cs="Times New Roman"/>
      <w:sz w:val="20"/>
      <w:szCs w:val="20"/>
    </w:rPr>
  </w:style>
  <w:style w:type="character" w:styleId="af5">
    <w:name w:val="footnote reference"/>
    <w:uiPriority w:val="99"/>
    <w:unhideWhenUsed/>
    <w:qFormat/>
    <w:rsid w:val="004008B9"/>
    <w:rPr>
      <w:vertAlign w:val="superscript"/>
    </w:rPr>
  </w:style>
  <w:style w:type="character" w:customStyle="1" w:styleId="20">
    <w:name w:val="Заголовок 2 Знак"/>
    <w:aliases w:val="Наим. подраздела Знак"/>
    <w:basedOn w:val="a4"/>
    <w:link w:val="2"/>
    <w:qFormat/>
    <w:rsid w:val="002F7719"/>
    <w:rPr>
      <w:rFonts w:ascii="Times New Roman" w:hAnsi="Times New Roman" w:cs="Times New Roman"/>
      <w:b/>
      <w:sz w:val="24"/>
      <w:szCs w:val="24"/>
      <w:u w:val="single"/>
    </w:rPr>
  </w:style>
  <w:style w:type="character" w:customStyle="1" w:styleId="Normal1">
    <w:name w:val="Normal1 Знак"/>
    <w:basedOn w:val="a4"/>
    <w:uiPriority w:val="99"/>
    <w:rsid w:val="003F4166"/>
    <w:rPr>
      <w:rFonts w:ascii="Times New Roman" w:eastAsia="Times New Roman" w:hAnsi="Times New Roman" w:cs="Times New Roman"/>
      <w:sz w:val="20"/>
      <w:szCs w:val="20"/>
      <w:lang w:eastAsia="ru-RU"/>
    </w:rPr>
  </w:style>
  <w:style w:type="character" w:customStyle="1" w:styleId="14">
    <w:name w:val="Стиль1 Знак"/>
    <w:basedOn w:val="Normal1"/>
    <w:rsid w:val="003F4166"/>
    <w:rPr>
      <w:rFonts w:ascii="Times New Roman" w:eastAsiaTheme="majorEastAsia" w:hAnsi="Times New Roman" w:cs="Times New Roman"/>
      <w:sz w:val="24"/>
      <w:szCs w:val="24"/>
      <w:lang w:eastAsia="ru-RU"/>
    </w:rPr>
  </w:style>
  <w:style w:type="character" w:customStyle="1" w:styleId="ListLabel1">
    <w:name w:val="ListLabel 1"/>
    <w:rsid w:val="00275A41"/>
    <w:rPr>
      <w:rFonts w:cs="Courier New"/>
    </w:rPr>
  </w:style>
  <w:style w:type="character" w:customStyle="1" w:styleId="ListLabel2">
    <w:name w:val="ListLabel 2"/>
    <w:rsid w:val="00275A41"/>
    <w:rPr>
      <w:rFonts w:cs="Courier New"/>
    </w:rPr>
  </w:style>
  <w:style w:type="character" w:customStyle="1" w:styleId="ListLabel3">
    <w:name w:val="ListLabel 3"/>
    <w:rsid w:val="00275A41"/>
    <w:rPr>
      <w:rFonts w:cs="Courier New"/>
    </w:rPr>
  </w:style>
  <w:style w:type="character" w:customStyle="1" w:styleId="ListLabel4">
    <w:name w:val="ListLabel 4"/>
    <w:rsid w:val="00275A41"/>
    <w:rPr>
      <w:rFonts w:cs="Courier New"/>
    </w:rPr>
  </w:style>
  <w:style w:type="character" w:customStyle="1" w:styleId="ListLabel5">
    <w:name w:val="ListLabel 5"/>
    <w:rsid w:val="00275A41"/>
    <w:rPr>
      <w:rFonts w:cs="Courier New"/>
    </w:rPr>
  </w:style>
  <w:style w:type="character" w:customStyle="1" w:styleId="ListLabel6">
    <w:name w:val="ListLabel 6"/>
    <w:rsid w:val="00275A41"/>
    <w:rPr>
      <w:rFonts w:cs="Courier New"/>
    </w:rPr>
  </w:style>
  <w:style w:type="character" w:customStyle="1" w:styleId="ListLabel7">
    <w:name w:val="ListLabel 7"/>
    <w:rsid w:val="00275A41"/>
    <w:rPr>
      <w:rFonts w:cs="Courier New"/>
    </w:rPr>
  </w:style>
  <w:style w:type="character" w:customStyle="1" w:styleId="ListLabel8">
    <w:name w:val="ListLabel 8"/>
    <w:rsid w:val="00275A41"/>
    <w:rPr>
      <w:rFonts w:cs="Courier New"/>
    </w:rPr>
  </w:style>
  <w:style w:type="character" w:customStyle="1" w:styleId="ListLabel9">
    <w:name w:val="ListLabel 9"/>
    <w:rsid w:val="00275A41"/>
    <w:rPr>
      <w:rFonts w:cs="Courier New"/>
    </w:rPr>
  </w:style>
  <w:style w:type="character" w:customStyle="1" w:styleId="ListLabel10">
    <w:name w:val="ListLabel 10"/>
    <w:rsid w:val="00275A41"/>
    <w:rPr>
      <w:rFonts w:cs="Courier New"/>
      <w:sz w:val="24"/>
    </w:rPr>
  </w:style>
  <w:style w:type="character" w:customStyle="1" w:styleId="ListLabel11">
    <w:name w:val="ListLabel 11"/>
    <w:rsid w:val="00275A41"/>
    <w:rPr>
      <w:rFonts w:cs="Courier New"/>
    </w:rPr>
  </w:style>
  <w:style w:type="character" w:customStyle="1" w:styleId="ListLabel12">
    <w:name w:val="ListLabel 12"/>
    <w:rsid w:val="00275A41"/>
    <w:rPr>
      <w:rFonts w:cs="Courier New"/>
    </w:rPr>
  </w:style>
  <w:style w:type="character" w:customStyle="1" w:styleId="ListLabel13">
    <w:name w:val="ListLabel 13"/>
    <w:rsid w:val="00275A41"/>
    <w:rPr>
      <w:rFonts w:cs="Courier New"/>
    </w:rPr>
  </w:style>
  <w:style w:type="character" w:customStyle="1" w:styleId="ListLabel14">
    <w:name w:val="ListLabel 14"/>
    <w:rsid w:val="00275A41"/>
    <w:rPr>
      <w:rFonts w:cs="Courier New"/>
    </w:rPr>
  </w:style>
  <w:style w:type="character" w:customStyle="1" w:styleId="ListLabel15">
    <w:name w:val="ListLabel 15"/>
    <w:rsid w:val="00275A41"/>
    <w:rPr>
      <w:rFonts w:cs="Courier New"/>
    </w:rPr>
  </w:style>
  <w:style w:type="character" w:customStyle="1" w:styleId="ListLabel16">
    <w:name w:val="ListLabel 16"/>
    <w:rsid w:val="00275A41"/>
    <w:rPr>
      <w:rFonts w:cs="Courier New"/>
    </w:rPr>
  </w:style>
  <w:style w:type="character" w:customStyle="1" w:styleId="ListLabel17">
    <w:name w:val="ListLabel 17"/>
    <w:rsid w:val="00275A41"/>
    <w:rPr>
      <w:rFonts w:cs="Courier New"/>
    </w:rPr>
  </w:style>
  <w:style w:type="character" w:customStyle="1" w:styleId="ListLabel18">
    <w:name w:val="ListLabel 18"/>
    <w:rsid w:val="00275A41"/>
    <w:rPr>
      <w:rFonts w:cs="Courier New"/>
    </w:rPr>
  </w:style>
  <w:style w:type="character" w:customStyle="1" w:styleId="ListLabel19">
    <w:name w:val="ListLabel 19"/>
    <w:rsid w:val="00275A41"/>
    <w:rPr>
      <w:rFonts w:cs="Courier New"/>
    </w:rPr>
  </w:style>
  <w:style w:type="character" w:customStyle="1" w:styleId="ListLabel20">
    <w:name w:val="ListLabel 20"/>
    <w:rsid w:val="00275A41"/>
    <w:rPr>
      <w:rFonts w:cs="Courier New"/>
    </w:rPr>
  </w:style>
  <w:style w:type="character" w:customStyle="1" w:styleId="ListLabel21">
    <w:name w:val="ListLabel 21"/>
    <w:rsid w:val="00275A41"/>
    <w:rPr>
      <w:rFonts w:cs="Courier New"/>
    </w:rPr>
  </w:style>
  <w:style w:type="character" w:customStyle="1" w:styleId="ListLabel22">
    <w:name w:val="ListLabel 22"/>
    <w:rsid w:val="00275A41"/>
    <w:rPr>
      <w:rFonts w:cs="Courier New"/>
    </w:rPr>
  </w:style>
  <w:style w:type="character" w:customStyle="1" w:styleId="ListLabel23">
    <w:name w:val="ListLabel 23"/>
    <w:rsid w:val="00275A41"/>
    <w:rPr>
      <w:rFonts w:cs="Courier New"/>
    </w:rPr>
  </w:style>
  <w:style w:type="character" w:customStyle="1" w:styleId="ListLabel24">
    <w:name w:val="ListLabel 24"/>
    <w:rsid w:val="00275A41"/>
    <w:rPr>
      <w:rFonts w:cs="Courier New"/>
    </w:rPr>
  </w:style>
  <w:style w:type="character" w:customStyle="1" w:styleId="ListLabel25">
    <w:name w:val="ListLabel 25"/>
    <w:rsid w:val="00275A41"/>
    <w:rPr>
      <w:rFonts w:cs="Courier New"/>
    </w:rPr>
  </w:style>
  <w:style w:type="character" w:customStyle="1" w:styleId="ListLabel26">
    <w:name w:val="ListLabel 26"/>
    <w:rsid w:val="00275A41"/>
    <w:rPr>
      <w:rFonts w:cs="Courier New"/>
    </w:rPr>
  </w:style>
  <w:style w:type="character" w:customStyle="1" w:styleId="ListLabel27">
    <w:name w:val="ListLabel 27"/>
    <w:rsid w:val="00275A41"/>
    <w:rPr>
      <w:rFonts w:cs="Courier New"/>
    </w:rPr>
  </w:style>
  <w:style w:type="character" w:customStyle="1" w:styleId="ListLabel28">
    <w:name w:val="ListLabel 28"/>
    <w:rsid w:val="00275A41"/>
    <w:rPr>
      <w:rFonts w:cs="Courier New"/>
    </w:rPr>
  </w:style>
  <w:style w:type="character" w:customStyle="1" w:styleId="ListLabel29">
    <w:name w:val="ListLabel 29"/>
    <w:rsid w:val="00275A41"/>
    <w:rPr>
      <w:rFonts w:cs="Courier New"/>
    </w:rPr>
  </w:style>
  <w:style w:type="character" w:customStyle="1" w:styleId="ListLabel30">
    <w:name w:val="ListLabel 30"/>
    <w:rsid w:val="00275A41"/>
    <w:rPr>
      <w:rFonts w:cs="Courier New"/>
    </w:rPr>
  </w:style>
  <w:style w:type="character" w:customStyle="1" w:styleId="ListLabel31">
    <w:name w:val="ListLabel 31"/>
    <w:rsid w:val="00275A41"/>
    <w:rPr>
      <w:rFonts w:cs="Courier New"/>
    </w:rPr>
  </w:style>
  <w:style w:type="character" w:customStyle="1" w:styleId="ListLabel32">
    <w:name w:val="ListLabel 32"/>
    <w:rsid w:val="00275A41"/>
    <w:rPr>
      <w:rFonts w:cs="Courier New"/>
    </w:rPr>
  </w:style>
  <w:style w:type="character" w:customStyle="1" w:styleId="ListLabel33">
    <w:name w:val="ListLabel 33"/>
    <w:rsid w:val="00275A41"/>
    <w:rPr>
      <w:rFonts w:cs="Courier New"/>
    </w:rPr>
  </w:style>
  <w:style w:type="character" w:customStyle="1" w:styleId="ListLabel34">
    <w:name w:val="ListLabel 34"/>
    <w:rsid w:val="00275A41"/>
    <w:rPr>
      <w:rFonts w:cs="Courier New"/>
    </w:rPr>
  </w:style>
  <w:style w:type="character" w:customStyle="1" w:styleId="ListLabel35">
    <w:name w:val="ListLabel 35"/>
    <w:rsid w:val="00275A41"/>
    <w:rPr>
      <w:rFonts w:cs="Courier New"/>
    </w:rPr>
  </w:style>
  <w:style w:type="character" w:customStyle="1" w:styleId="ListLabel36">
    <w:name w:val="ListLabel 36"/>
    <w:rsid w:val="00275A41"/>
    <w:rPr>
      <w:rFonts w:cs="Courier New"/>
      <w:b/>
      <w:sz w:val="24"/>
    </w:rPr>
  </w:style>
  <w:style w:type="character" w:customStyle="1" w:styleId="ListLabel37">
    <w:name w:val="ListLabel 37"/>
    <w:rsid w:val="00275A41"/>
    <w:rPr>
      <w:rFonts w:cs="Courier New"/>
    </w:rPr>
  </w:style>
  <w:style w:type="character" w:customStyle="1" w:styleId="ListLabel38">
    <w:name w:val="ListLabel 38"/>
    <w:rsid w:val="00275A41"/>
    <w:rPr>
      <w:rFonts w:cs="Courier New"/>
    </w:rPr>
  </w:style>
  <w:style w:type="character" w:customStyle="1" w:styleId="ListLabel39">
    <w:name w:val="ListLabel 39"/>
    <w:rsid w:val="00275A41"/>
    <w:rPr>
      <w:rFonts w:cs="Courier New"/>
    </w:rPr>
  </w:style>
  <w:style w:type="character" w:customStyle="1" w:styleId="af6">
    <w:name w:val="Ссылка указателя"/>
    <w:qFormat/>
    <w:rsid w:val="00275A41"/>
  </w:style>
  <w:style w:type="paragraph" w:customStyle="1" w:styleId="13">
    <w:name w:val="Заголовок1"/>
    <w:basedOn w:val="a1"/>
    <w:next w:val="a3"/>
    <w:rsid w:val="00275A41"/>
    <w:pPr>
      <w:keepNext/>
      <w:spacing w:before="240" w:after="120" w:line="360" w:lineRule="auto"/>
      <w:ind w:firstLine="709"/>
      <w:jc w:val="both"/>
    </w:pPr>
    <w:rPr>
      <w:rFonts w:ascii="Liberation Sans" w:eastAsia="Microsoft YaHei" w:hAnsi="Liberation Sans" w:cs="Mangal"/>
      <w:sz w:val="28"/>
      <w:szCs w:val="28"/>
      <w:lang w:eastAsia="en-US"/>
    </w:rPr>
  </w:style>
  <w:style w:type="paragraph" w:styleId="a3">
    <w:name w:val="Body Text"/>
    <w:basedOn w:val="a1"/>
    <w:link w:val="af7"/>
    <w:rsid w:val="00275A41"/>
    <w:pPr>
      <w:spacing w:after="140" w:line="288" w:lineRule="auto"/>
      <w:ind w:firstLine="709"/>
      <w:jc w:val="both"/>
    </w:pPr>
    <w:rPr>
      <w:rFonts w:eastAsiaTheme="minorHAnsi" w:cstheme="minorBidi"/>
      <w:szCs w:val="22"/>
      <w:lang w:eastAsia="en-US"/>
    </w:rPr>
  </w:style>
  <w:style w:type="paragraph" w:styleId="af8">
    <w:name w:val="List"/>
    <w:basedOn w:val="a3"/>
    <w:rsid w:val="00275A41"/>
    <w:rPr>
      <w:rFonts w:cs="Mangal"/>
    </w:rPr>
  </w:style>
  <w:style w:type="paragraph" w:styleId="af9">
    <w:name w:val="caption"/>
    <w:basedOn w:val="a1"/>
    <w:qFormat/>
    <w:rsid w:val="00275A41"/>
    <w:pPr>
      <w:suppressLineNumbers/>
      <w:spacing w:before="120" w:after="120" w:line="360" w:lineRule="auto"/>
      <w:ind w:firstLine="709"/>
      <w:jc w:val="both"/>
    </w:pPr>
    <w:rPr>
      <w:rFonts w:eastAsiaTheme="minorHAnsi" w:cs="Mangal"/>
      <w:i/>
      <w:iCs/>
      <w:lang w:eastAsia="en-US"/>
    </w:rPr>
  </w:style>
  <w:style w:type="paragraph" w:styleId="afa">
    <w:name w:val="index heading"/>
    <w:basedOn w:val="a1"/>
    <w:rsid w:val="00275A41"/>
    <w:pPr>
      <w:suppressLineNumbers/>
      <w:spacing w:line="360" w:lineRule="auto"/>
      <w:ind w:firstLine="709"/>
      <w:jc w:val="both"/>
    </w:pPr>
    <w:rPr>
      <w:rFonts w:eastAsiaTheme="minorHAnsi" w:cs="Mangal"/>
      <w:szCs w:val="22"/>
      <w:lang w:eastAsia="en-US"/>
    </w:rPr>
  </w:style>
  <w:style w:type="paragraph" w:styleId="afb">
    <w:name w:val="header"/>
    <w:basedOn w:val="a1"/>
    <w:link w:val="15"/>
    <w:unhideWhenUsed/>
    <w:qFormat/>
    <w:rsid w:val="00C15E9F"/>
    <w:pPr>
      <w:tabs>
        <w:tab w:val="center" w:pos="4677"/>
        <w:tab w:val="right" w:pos="9355"/>
      </w:tabs>
      <w:ind w:firstLine="709"/>
      <w:jc w:val="both"/>
    </w:pPr>
    <w:rPr>
      <w:rFonts w:eastAsiaTheme="minorHAnsi" w:cstheme="minorBidi"/>
      <w:szCs w:val="22"/>
      <w:lang w:eastAsia="en-US"/>
    </w:rPr>
  </w:style>
  <w:style w:type="paragraph" w:styleId="afc">
    <w:name w:val="footer"/>
    <w:basedOn w:val="a1"/>
    <w:link w:val="16"/>
    <w:unhideWhenUsed/>
    <w:qFormat/>
    <w:rsid w:val="00C15E9F"/>
    <w:pPr>
      <w:tabs>
        <w:tab w:val="center" w:pos="4677"/>
        <w:tab w:val="right" w:pos="9355"/>
      </w:tabs>
      <w:ind w:firstLine="709"/>
      <w:jc w:val="both"/>
    </w:pPr>
    <w:rPr>
      <w:rFonts w:eastAsiaTheme="minorHAnsi" w:cstheme="minorBidi"/>
      <w:szCs w:val="22"/>
      <w:lang w:eastAsia="en-US"/>
    </w:rPr>
  </w:style>
  <w:style w:type="paragraph" w:styleId="afd">
    <w:name w:val="Normal (Web)"/>
    <w:basedOn w:val="a1"/>
    <w:link w:val="17"/>
    <w:uiPriority w:val="99"/>
    <w:unhideWhenUsed/>
    <w:qFormat/>
    <w:rsid w:val="00C45F04"/>
    <w:pPr>
      <w:spacing w:line="360" w:lineRule="auto"/>
      <w:ind w:firstLine="709"/>
      <w:jc w:val="both"/>
    </w:pPr>
  </w:style>
  <w:style w:type="paragraph" w:styleId="afe">
    <w:name w:val="List Paragraph"/>
    <w:basedOn w:val="a1"/>
    <w:link w:val="18"/>
    <w:uiPriority w:val="34"/>
    <w:qFormat/>
    <w:rsid w:val="006B7CAB"/>
    <w:pPr>
      <w:spacing w:line="360" w:lineRule="auto"/>
      <w:ind w:left="720" w:firstLine="709"/>
      <w:contextualSpacing/>
      <w:jc w:val="both"/>
    </w:pPr>
    <w:rPr>
      <w:rFonts w:eastAsiaTheme="minorHAnsi" w:cstheme="minorBidi"/>
      <w:szCs w:val="22"/>
      <w:lang w:eastAsia="en-US"/>
    </w:rPr>
  </w:style>
  <w:style w:type="paragraph" w:customStyle="1" w:styleId="desc">
    <w:name w:val="desc"/>
    <w:basedOn w:val="a1"/>
    <w:rsid w:val="006B7CAB"/>
    <w:pPr>
      <w:spacing w:beforeAutospacing="1" w:afterAutospacing="1"/>
      <w:ind w:firstLine="709"/>
      <w:jc w:val="both"/>
    </w:pPr>
  </w:style>
  <w:style w:type="paragraph" w:styleId="aff">
    <w:name w:val="TOC Heading"/>
    <w:basedOn w:val="11"/>
    <w:uiPriority w:val="39"/>
    <w:unhideWhenUsed/>
    <w:qFormat/>
    <w:rsid w:val="00E9341B"/>
    <w:pPr>
      <w:spacing w:line="276" w:lineRule="auto"/>
    </w:pPr>
  </w:style>
  <w:style w:type="paragraph" w:styleId="aff0">
    <w:name w:val="Balloon Text"/>
    <w:basedOn w:val="a1"/>
    <w:link w:val="19"/>
    <w:unhideWhenUsed/>
    <w:qFormat/>
    <w:rsid w:val="00E9341B"/>
    <w:pPr>
      <w:ind w:firstLine="709"/>
      <w:jc w:val="both"/>
    </w:pPr>
    <w:rPr>
      <w:rFonts w:ascii="Tahoma" w:eastAsiaTheme="minorHAnsi" w:hAnsi="Tahoma" w:cs="Tahoma"/>
      <w:sz w:val="16"/>
      <w:szCs w:val="16"/>
      <w:lang w:eastAsia="en-US"/>
    </w:rPr>
  </w:style>
  <w:style w:type="paragraph" w:styleId="1a">
    <w:name w:val="toc 1"/>
    <w:basedOn w:val="a1"/>
    <w:autoRedefine/>
    <w:uiPriority w:val="39"/>
    <w:unhideWhenUsed/>
    <w:qFormat/>
    <w:rsid w:val="00F77455"/>
    <w:pPr>
      <w:tabs>
        <w:tab w:val="right" w:leader="dot" w:pos="9345"/>
      </w:tabs>
      <w:spacing w:after="100" w:line="360" w:lineRule="auto"/>
      <w:jc w:val="both"/>
    </w:pPr>
    <w:rPr>
      <w:rFonts w:eastAsiaTheme="minorHAnsi" w:cstheme="minorBidi"/>
      <w:szCs w:val="22"/>
      <w:lang w:eastAsia="en-US"/>
    </w:rPr>
  </w:style>
  <w:style w:type="paragraph" w:styleId="a2">
    <w:name w:val="Subtitle"/>
    <w:basedOn w:val="a1"/>
    <w:link w:val="1b"/>
    <w:uiPriority w:val="11"/>
    <w:qFormat/>
    <w:rsid w:val="00181EC4"/>
    <w:pPr>
      <w:suppressAutoHyphens/>
      <w:spacing w:before="240" w:line="360" w:lineRule="auto"/>
      <w:ind w:firstLine="709"/>
      <w:jc w:val="both"/>
    </w:pPr>
    <w:rPr>
      <w:rFonts w:eastAsiaTheme="minorHAnsi"/>
      <w:b/>
      <w:u w:val="single"/>
      <w:lang w:eastAsia="en-US"/>
    </w:rPr>
  </w:style>
  <w:style w:type="paragraph" w:styleId="aff1">
    <w:name w:val="No Spacing"/>
    <w:basedOn w:val="afe"/>
    <w:uiPriority w:val="1"/>
    <w:qFormat/>
    <w:rsid w:val="008B1499"/>
    <w:pPr>
      <w:spacing w:before="240"/>
      <w:ind w:left="851" w:hanging="425"/>
    </w:pPr>
    <w:rPr>
      <w:rFonts w:cs="Times New Roman"/>
      <w:szCs w:val="24"/>
    </w:rPr>
  </w:style>
  <w:style w:type="paragraph" w:customStyle="1" w:styleId="aff2">
    <w:name w:val="УДД;УУР"/>
    <w:basedOn w:val="aff1"/>
    <w:qFormat/>
    <w:rsid w:val="00B104EF"/>
    <w:pPr>
      <w:spacing w:before="0"/>
      <w:ind w:left="709" w:firstLine="0"/>
    </w:pPr>
    <w:rPr>
      <w:b/>
    </w:rPr>
  </w:style>
  <w:style w:type="paragraph" w:customStyle="1" w:styleId="aff3">
    <w:name w:val="Ком"/>
    <w:basedOn w:val="aff2"/>
    <w:qFormat/>
    <w:rsid w:val="00334F6C"/>
    <w:rPr>
      <w:b w:val="0"/>
    </w:rPr>
  </w:style>
  <w:style w:type="paragraph" w:styleId="aff4">
    <w:name w:val="annotation text"/>
    <w:basedOn w:val="a1"/>
    <w:link w:val="1c"/>
    <w:unhideWhenUsed/>
    <w:qFormat/>
    <w:rsid w:val="009C1F13"/>
    <w:pPr>
      <w:ind w:firstLine="709"/>
      <w:jc w:val="both"/>
    </w:pPr>
    <w:rPr>
      <w:rFonts w:eastAsiaTheme="minorHAnsi" w:cstheme="minorBidi"/>
      <w:sz w:val="20"/>
      <w:szCs w:val="20"/>
      <w:lang w:eastAsia="en-US"/>
    </w:rPr>
  </w:style>
  <w:style w:type="paragraph" w:styleId="aff5">
    <w:name w:val="annotation subject"/>
    <w:basedOn w:val="aff4"/>
    <w:link w:val="1d"/>
    <w:unhideWhenUsed/>
    <w:qFormat/>
    <w:rsid w:val="009C1F13"/>
    <w:rPr>
      <w:b/>
      <w:bCs/>
    </w:rPr>
  </w:style>
  <w:style w:type="paragraph" w:styleId="aff6">
    <w:name w:val="Title"/>
    <w:aliases w:val="Заголовок мой,Название1"/>
    <w:basedOn w:val="a1"/>
    <w:link w:val="1e"/>
    <w:qFormat/>
    <w:rsid w:val="00A43933"/>
    <w:pPr>
      <w:spacing w:line="360" w:lineRule="auto"/>
      <w:ind w:firstLine="709"/>
      <w:contextualSpacing/>
      <w:jc w:val="center"/>
    </w:pPr>
    <w:rPr>
      <w:rFonts w:eastAsiaTheme="majorEastAsia" w:cstheme="majorBidi"/>
      <w:spacing w:val="-10"/>
      <w:sz w:val="28"/>
      <w:szCs w:val="56"/>
      <w:u w:val="single"/>
      <w:lang w:eastAsia="en-US"/>
    </w:rPr>
  </w:style>
  <w:style w:type="paragraph" w:styleId="21">
    <w:name w:val="toc 2"/>
    <w:basedOn w:val="a1"/>
    <w:autoRedefine/>
    <w:uiPriority w:val="39"/>
    <w:qFormat/>
    <w:rsid w:val="00186C35"/>
    <w:pPr>
      <w:tabs>
        <w:tab w:val="right" w:leader="dot" w:pos="9345"/>
      </w:tabs>
      <w:spacing w:after="200" w:line="276" w:lineRule="auto"/>
      <w:ind w:left="220" w:firstLine="64"/>
      <w:jc w:val="both"/>
    </w:pPr>
    <w:rPr>
      <w:rFonts w:ascii="Calibri" w:eastAsia="Calibri" w:hAnsi="Calibri"/>
      <w:sz w:val="22"/>
      <w:szCs w:val="22"/>
      <w:lang w:eastAsia="en-US"/>
    </w:rPr>
  </w:style>
  <w:style w:type="paragraph" w:customStyle="1" w:styleId="Normal10">
    <w:name w:val="Normal1"/>
    <w:uiPriority w:val="99"/>
    <w:rsid w:val="004008B9"/>
    <w:pPr>
      <w:widowControl w:val="0"/>
      <w:jc w:val="both"/>
    </w:pPr>
    <w:rPr>
      <w:rFonts w:ascii="Times New Roman" w:eastAsia="Times New Roman" w:hAnsi="Times New Roman" w:cs="Times New Roman"/>
      <w:szCs w:val="20"/>
      <w:lang w:eastAsia="ru-RU"/>
    </w:rPr>
  </w:style>
  <w:style w:type="paragraph" w:styleId="aff7">
    <w:name w:val="footnote text"/>
    <w:basedOn w:val="a1"/>
    <w:link w:val="1f"/>
    <w:unhideWhenUsed/>
    <w:qFormat/>
    <w:rsid w:val="004008B9"/>
    <w:pPr>
      <w:spacing w:after="200" w:line="276" w:lineRule="auto"/>
      <w:ind w:firstLine="709"/>
      <w:jc w:val="both"/>
    </w:pPr>
    <w:rPr>
      <w:rFonts w:ascii="Calibri" w:eastAsia="Calibri" w:hAnsi="Calibri"/>
      <w:sz w:val="20"/>
      <w:szCs w:val="20"/>
      <w:lang w:eastAsia="en-US"/>
    </w:rPr>
  </w:style>
  <w:style w:type="paragraph" w:customStyle="1" w:styleId="1f0">
    <w:name w:val="Оглавление 1 Знак"/>
    <w:basedOn w:val="Normal10"/>
    <w:qFormat/>
    <w:rsid w:val="003F4166"/>
    <w:pPr>
      <w:spacing w:line="360" w:lineRule="auto"/>
      <w:ind w:left="709" w:hanging="283"/>
    </w:pPr>
    <w:rPr>
      <w:rFonts w:eastAsiaTheme="majorEastAsia"/>
      <w:sz w:val="24"/>
      <w:szCs w:val="24"/>
    </w:rPr>
  </w:style>
  <w:style w:type="paragraph" w:customStyle="1" w:styleId="aff8">
    <w:name w:val="Содержимое врезки"/>
    <w:basedOn w:val="a1"/>
    <w:uiPriority w:val="99"/>
    <w:qFormat/>
    <w:rsid w:val="00275A41"/>
    <w:pPr>
      <w:spacing w:line="360" w:lineRule="auto"/>
      <w:ind w:firstLine="709"/>
      <w:jc w:val="both"/>
    </w:pPr>
    <w:rPr>
      <w:rFonts w:eastAsiaTheme="minorHAnsi" w:cstheme="minorBidi"/>
      <w:szCs w:val="22"/>
      <w:lang w:eastAsia="en-US"/>
    </w:rPr>
  </w:style>
  <w:style w:type="table" w:styleId="aff9">
    <w:name w:val="Table Grid"/>
    <w:basedOn w:val="a5"/>
    <w:rsid w:val="00D713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a">
    <w:qFormat/>
    <w:rsid w:val="00275A41"/>
    <w:pPr>
      <w:keepNext/>
      <w:keepLines/>
      <w:spacing w:line="276" w:lineRule="auto"/>
      <w:contextualSpacing/>
      <w:outlineLvl w:val="0"/>
    </w:pPr>
    <w:rPr>
      <w:rFonts w:ascii="Times New Roman" w:eastAsia="Sans" w:hAnsi="Times New Roman"/>
      <w:sz w:val="24"/>
    </w:rPr>
  </w:style>
  <w:style w:type="paragraph" w:customStyle="1" w:styleId="CustomContentNormal">
    <w:name w:val="Custom Content Normal"/>
    <w:link w:val="CustomContentNormal0"/>
    <w:rsid w:val="00B104EF"/>
    <w:pPr>
      <w:keepNext/>
      <w:keepLines/>
      <w:spacing w:before="240" w:line="360" w:lineRule="auto"/>
      <w:contextualSpacing/>
      <w:jc w:val="center"/>
      <w:outlineLvl w:val="0"/>
    </w:pPr>
    <w:rPr>
      <w:rFonts w:ascii="Times New Roman" w:eastAsia="Sans" w:hAnsi="Times New Roman"/>
      <w:b/>
      <w:sz w:val="28"/>
    </w:rPr>
  </w:style>
  <w:style w:type="character" w:styleId="affb">
    <w:name w:val="Strong"/>
    <w:basedOn w:val="a4"/>
    <w:uiPriority w:val="22"/>
    <w:qFormat/>
    <w:rsid w:val="009E685D"/>
    <w:rPr>
      <w:b/>
      <w:bCs/>
    </w:rPr>
  </w:style>
  <w:style w:type="character" w:styleId="affc">
    <w:name w:val="Emphasis"/>
    <w:basedOn w:val="a4"/>
    <w:uiPriority w:val="20"/>
    <w:qFormat/>
    <w:rsid w:val="002F7719"/>
    <w:rPr>
      <w:i/>
      <w:iCs/>
    </w:rPr>
  </w:style>
  <w:style w:type="character" w:styleId="affd">
    <w:name w:val="Hyperlink"/>
    <w:basedOn w:val="a4"/>
    <w:uiPriority w:val="99"/>
    <w:unhideWhenUsed/>
    <w:rsid w:val="00275A41"/>
    <w:rPr>
      <w:color w:val="0000FF"/>
      <w:u w:val="single"/>
    </w:rPr>
  </w:style>
  <w:style w:type="paragraph" w:customStyle="1" w:styleId="10">
    <w:name w:val="Стиль1"/>
    <w:basedOn w:val="a1"/>
    <w:link w:val="110"/>
    <w:rsid w:val="00EE59C2"/>
    <w:pPr>
      <w:numPr>
        <w:numId w:val="1"/>
      </w:numPr>
      <w:spacing w:before="240" w:line="360" w:lineRule="auto"/>
      <w:jc w:val="both"/>
    </w:pPr>
    <w:rPr>
      <w:rFonts w:cstheme="minorBidi"/>
      <w:szCs w:val="22"/>
      <w:lang w:eastAsia="en-US"/>
    </w:rPr>
  </w:style>
  <w:style w:type="character" w:customStyle="1" w:styleId="110">
    <w:name w:val="Стиль1 Знак1"/>
    <w:basedOn w:val="a4"/>
    <w:link w:val="10"/>
    <w:rsid w:val="00EE59C2"/>
    <w:rPr>
      <w:rFonts w:ascii="Times New Roman" w:eastAsia="Times New Roman" w:hAnsi="Times New Roman"/>
      <w:sz w:val="24"/>
    </w:rPr>
  </w:style>
  <w:style w:type="character" w:customStyle="1" w:styleId="apple-style-span">
    <w:name w:val="apple-style-span"/>
    <w:rsid w:val="00021FEA"/>
  </w:style>
  <w:style w:type="paragraph" w:styleId="affe">
    <w:name w:val="Revision"/>
    <w:hidden/>
    <w:uiPriority w:val="99"/>
    <w:rsid w:val="00AE3406"/>
    <w:rPr>
      <w:rFonts w:ascii="Times New Roman" w:hAnsi="Times New Roman"/>
      <w:sz w:val="24"/>
    </w:rPr>
  </w:style>
  <w:style w:type="paragraph" w:customStyle="1" w:styleId="a0">
    <w:name w:val="Список ключевых слов"/>
    <w:basedOn w:val="afe"/>
    <w:link w:val="afff"/>
    <w:qFormat/>
    <w:rsid w:val="0021676E"/>
    <w:pPr>
      <w:numPr>
        <w:numId w:val="3"/>
      </w:numPr>
      <w:ind w:left="0" w:firstLine="709"/>
    </w:pPr>
    <w:rPr>
      <w:szCs w:val="28"/>
    </w:rPr>
  </w:style>
  <w:style w:type="paragraph" w:customStyle="1" w:styleId="afff0">
    <w:name w:val="Сокращения"/>
    <w:basedOn w:val="a1"/>
    <w:link w:val="afff1"/>
    <w:qFormat/>
    <w:rsid w:val="0021676E"/>
    <w:pPr>
      <w:spacing w:line="360" w:lineRule="auto"/>
      <w:ind w:firstLine="709"/>
      <w:jc w:val="both"/>
    </w:pPr>
    <w:rPr>
      <w:rFonts w:eastAsiaTheme="minorHAnsi" w:cstheme="minorBidi"/>
      <w:szCs w:val="22"/>
      <w:lang w:eastAsia="en-US"/>
    </w:rPr>
  </w:style>
  <w:style w:type="character" w:customStyle="1" w:styleId="18">
    <w:name w:val="Абзац списка Знак1"/>
    <w:basedOn w:val="a4"/>
    <w:link w:val="afe"/>
    <w:uiPriority w:val="34"/>
    <w:rsid w:val="0021676E"/>
    <w:rPr>
      <w:rFonts w:ascii="Times New Roman" w:hAnsi="Times New Roman"/>
      <w:sz w:val="24"/>
    </w:rPr>
  </w:style>
  <w:style w:type="character" w:customStyle="1" w:styleId="afff">
    <w:name w:val="Список ключевых слов Знак"/>
    <w:basedOn w:val="18"/>
    <w:link w:val="a0"/>
    <w:rsid w:val="0021676E"/>
    <w:rPr>
      <w:rFonts w:ascii="Times New Roman" w:hAnsi="Times New Roman"/>
      <w:sz w:val="24"/>
      <w:szCs w:val="28"/>
    </w:rPr>
  </w:style>
  <w:style w:type="paragraph" w:customStyle="1" w:styleId="afff2">
    <w:name w:val="Наим. раздела"/>
    <w:basedOn w:val="CustomContentNormal"/>
    <w:link w:val="afff3"/>
    <w:qFormat/>
    <w:rsid w:val="00C4630C"/>
  </w:style>
  <w:style w:type="character" w:customStyle="1" w:styleId="afff1">
    <w:name w:val="Сокращения Знак"/>
    <w:basedOn w:val="a4"/>
    <w:link w:val="afff0"/>
    <w:rsid w:val="0021676E"/>
    <w:rPr>
      <w:rFonts w:ascii="Times New Roman" w:hAnsi="Times New Roman"/>
      <w:sz w:val="24"/>
    </w:rPr>
  </w:style>
  <w:style w:type="paragraph" w:customStyle="1" w:styleId="1f1">
    <w:name w:val="Текст в 1 разделе"/>
    <w:basedOn w:val="a1"/>
    <w:link w:val="1f2"/>
    <w:qFormat/>
    <w:rsid w:val="0021676E"/>
    <w:pPr>
      <w:spacing w:line="360" w:lineRule="auto"/>
      <w:ind w:firstLine="709"/>
      <w:jc w:val="both"/>
    </w:pPr>
    <w:rPr>
      <w:lang w:eastAsia="en-US"/>
    </w:rPr>
  </w:style>
  <w:style w:type="character" w:customStyle="1" w:styleId="CustomContentNormal0">
    <w:name w:val="Custom Content Normal Знак"/>
    <w:basedOn w:val="a4"/>
    <w:link w:val="CustomContentNormal"/>
    <w:rsid w:val="0021676E"/>
    <w:rPr>
      <w:rFonts w:ascii="Times New Roman" w:eastAsia="Sans" w:hAnsi="Times New Roman"/>
      <w:b/>
      <w:sz w:val="28"/>
    </w:rPr>
  </w:style>
  <w:style w:type="character" w:customStyle="1" w:styleId="afff3">
    <w:name w:val="Наим. раздела Знак"/>
    <w:basedOn w:val="CustomContentNormal0"/>
    <w:link w:val="afff2"/>
    <w:rsid w:val="00C4630C"/>
    <w:rPr>
      <w:rFonts w:ascii="Times New Roman" w:eastAsia="Sans" w:hAnsi="Times New Roman"/>
      <w:b/>
      <w:sz w:val="28"/>
    </w:rPr>
  </w:style>
  <w:style w:type="paragraph" w:customStyle="1" w:styleId="afff4">
    <w:name w:val="Таблицы"/>
    <w:basedOn w:val="afd"/>
    <w:link w:val="afff5"/>
    <w:qFormat/>
    <w:rsid w:val="0021676E"/>
    <w:pPr>
      <w:spacing w:line="240" w:lineRule="auto"/>
      <w:ind w:firstLine="0"/>
    </w:pPr>
  </w:style>
  <w:style w:type="character" w:customStyle="1" w:styleId="1f2">
    <w:name w:val="Текст в 1 разделе Знак"/>
    <w:basedOn w:val="a4"/>
    <w:link w:val="1f1"/>
    <w:rsid w:val="0021676E"/>
    <w:rPr>
      <w:rFonts w:ascii="Times New Roman" w:eastAsia="Times New Roman" w:hAnsi="Times New Roman" w:cs="Times New Roman"/>
      <w:sz w:val="24"/>
      <w:szCs w:val="24"/>
    </w:rPr>
  </w:style>
  <w:style w:type="paragraph" w:customStyle="1" w:styleId="afff6">
    <w:name w:val="Наим. табл"/>
    <w:basedOn w:val="a1"/>
    <w:link w:val="afff7"/>
    <w:qFormat/>
    <w:rsid w:val="0021676E"/>
    <w:pPr>
      <w:spacing w:line="360" w:lineRule="auto"/>
      <w:ind w:firstLine="709"/>
      <w:jc w:val="both"/>
    </w:pPr>
    <w:rPr>
      <w:rFonts w:eastAsiaTheme="minorHAnsi" w:cstheme="minorBidi"/>
      <w:szCs w:val="22"/>
      <w:lang w:eastAsia="en-US"/>
    </w:rPr>
  </w:style>
  <w:style w:type="character" w:customStyle="1" w:styleId="17">
    <w:name w:val="Обычный (веб) Знак1"/>
    <w:basedOn w:val="a4"/>
    <w:link w:val="afd"/>
    <w:uiPriority w:val="99"/>
    <w:rsid w:val="00C45F04"/>
    <w:rPr>
      <w:rFonts w:ascii="Times New Roman" w:eastAsia="Times New Roman" w:hAnsi="Times New Roman" w:cs="Times New Roman"/>
      <w:sz w:val="24"/>
      <w:szCs w:val="24"/>
      <w:lang w:eastAsia="ru-RU"/>
    </w:rPr>
  </w:style>
  <w:style w:type="character" w:customStyle="1" w:styleId="afff5">
    <w:name w:val="Таблицы Знак"/>
    <w:basedOn w:val="17"/>
    <w:link w:val="afff4"/>
    <w:rsid w:val="0021676E"/>
    <w:rPr>
      <w:rFonts w:ascii="Times New Roman" w:eastAsia="Times New Roman" w:hAnsi="Times New Roman" w:cs="Times New Roman"/>
      <w:sz w:val="24"/>
      <w:szCs w:val="24"/>
      <w:lang w:eastAsia="ru-RU"/>
    </w:rPr>
  </w:style>
  <w:style w:type="paragraph" w:customStyle="1" w:styleId="2-6">
    <w:name w:val="Вводный текст 2-6 разделы"/>
    <w:basedOn w:val="a1"/>
    <w:link w:val="2-60"/>
    <w:qFormat/>
    <w:rsid w:val="00334F6C"/>
    <w:pPr>
      <w:spacing w:line="360" w:lineRule="auto"/>
      <w:ind w:firstLine="709"/>
      <w:jc w:val="both"/>
    </w:pPr>
    <w:rPr>
      <w:rFonts w:eastAsiaTheme="minorHAnsi" w:cstheme="minorBidi"/>
      <w:lang w:eastAsia="en-US"/>
    </w:rPr>
  </w:style>
  <w:style w:type="character" w:customStyle="1" w:styleId="afff7">
    <w:name w:val="Наим. табл Знак"/>
    <w:basedOn w:val="a4"/>
    <w:link w:val="afff6"/>
    <w:rsid w:val="0021676E"/>
    <w:rPr>
      <w:rFonts w:ascii="Times New Roman" w:hAnsi="Times New Roman"/>
      <w:sz w:val="24"/>
    </w:rPr>
  </w:style>
  <w:style w:type="paragraph" w:customStyle="1" w:styleId="afff8">
    <w:name w:val="Рекомендация"/>
    <w:basedOn w:val="10"/>
    <w:link w:val="afff9"/>
    <w:qFormat/>
    <w:rsid w:val="0021676E"/>
  </w:style>
  <w:style w:type="character" w:customStyle="1" w:styleId="2-60">
    <w:name w:val="Вводный текст 2-6 разделы Знак"/>
    <w:basedOn w:val="a4"/>
    <w:link w:val="2-6"/>
    <w:rsid w:val="00334F6C"/>
    <w:rPr>
      <w:rFonts w:ascii="Times New Roman" w:hAnsi="Times New Roman"/>
      <w:sz w:val="24"/>
      <w:szCs w:val="24"/>
    </w:rPr>
  </w:style>
  <w:style w:type="paragraph" w:customStyle="1" w:styleId="afffa">
    <w:name w:val="УДД"/>
    <w:aliases w:val="УУР"/>
    <w:basedOn w:val="aff2"/>
    <w:rsid w:val="0021676E"/>
  </w:style>
  <w:style w:type="character" w:customStyle="1" w:styleId="afff9">
    <w:name w:val="Рекомендация Знак"/>
    <w:basedOn w:val="110"/>
    <w:link w:val="afff8"/>
    <w:rsid w:val="0021676E"/>
    <w:rPr>
      <w:rFonts w:ascii="Times New Roman" w:eastAsia="Times New Roman" w:hAnsi="Times New Roman"/>
      <w:sz w:val="24"/>
    </w:rPr>
  </w:style>
  <w:style w:type="paragraph" w:customStyle="1" w:styleId="Default">
    <w:name w:val="Default"/>
    <w:rsid w:val="00BF3A59"/>
    <w:pPr>
      <w:autoSpaceDE w:val="0"/>
      <w:autoSpaceDN w:val="0"/>
      <w:adjustRightInd w:val="0"/>
    </w:pPr>
    <w:rPr>
      <w:rFonts w:ascii="Times New Roman" w:hAnsi="Times New Roman" w:cs="Times New Roman"/>
      <w:color w:val="000000"/>
      <w:sz w:val="24"/>
      <w:szCs w:val="24"/>
    </w:rPr>
  </w:style>
  <w:style w:type="paragraph" w:customStyle="1" w:styleId="afffb">
    <w:name w:val="Памятки"/>
    <w:basedOn w:val="1f1"/>
    <w:link w:val="afffc"/>
    <w:uiPriority w:val="99"/>
    <w:qFormat/>
    <w:rsid w:val="00094ED6"/>
    <w:rPr>
      <w:i/>
      <w:color w:val="FF0000"/>
      <w:sz w:val="18"/>
    </w:rPr>
  </w:style>
  <w:style w:type="character" w:customStyle="1" w:styleId="afffc">
    <w:name w:val="Памятки Знак"/>
    <w:basedOn w:val="1f2"/>
    <w:link w:val="afffb"/>
    <w:uiPriority w:val="99"/>
    <w:rsid w:val="00094ED6"/>
    <w:rPr>
      <w:rFonts w:ascii="Times New Roman" w:eastAsia="Times New Roman" w:hAnsi="Times New Roman" w:cs="Times New Roman"/>
      <w:i/>
      <w:color w:val="FF0000"/>
      <w:sz w:val="18"/>
      <w:szCs w:val="24"/>
    </w:rPr>
  </w:style>
  <w:style w:type="table" w:customStyle="1" w:styleId="71">
    <w:name w:val="Сетка таблицы7"/>
    <w:basedOn w:val="a5"/>
    <w:next w:val="aff9"/>
    <w:uiPriority w:val="59"/>
    <w:rsid w:val="00A91645"/>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5"/>
    <w:next w:val="aff9"/>
    <w:uiPriority w:val="59"/>
    <w:rsid w:val="00A91645"/>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5"/>
    <w:next w:val="aff9"/>
    <w:uiPriority w:val="59"/>
    <w:rsid w:val="00A91645"/>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3">
    <w:name w:val="Сетка таблицы1"/>
    <w:basedOn w:val="a5"/>
    <w:next w:val="aff9"/>
    <w:uiPriority w:val="59"/>
    <w:rsid w:val="00A91645"/>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5"/>
    <w:next w:val="aff9"/>
    <w:uiPriority w:val="59"/>
    <w:rsid w:val="00A91645"/>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5"/>
    <w:next w:val="aff9"/>
    <w:uiPriority w:val="59"/>
    <w:rsid w:val="00A91645"/>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5"/>
    <w:next w:val="aff9"/>
    <w:uiPriority w:val="59"/>
    <w:rsid w:val="00A91645"/>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d">
    <w:name w:val="ссылка"/>
    <w:basedOn w:val="a1"/>
    <w:link w:val="afffe"/>
    <w:qFormat/>
    <w:rsid w:val="00A91645"/>
    <w:pPr>
      <w:spacing w:line="360" w:lineRule="auto"/>
      <w:ind w:firstLine="709"/>
      <w:jc w:val="both"/>
    </w:pPr>
    <w:rPr>
      <w:i/>
      <w:color w:val="0070C0"/>
      <w:u w:val="single"/>
      <w:lang w:eastAsia="en-US"/>
    </w:rPr>
  </w:style>
  <w:style w:type="character" w:customStyle="1" w:styleId="afffe">
    <w:name w:val="ссылка Знак"/>
    <w:basedOn w:val="a4"/>
    <w:link w:val="afffd"/>
    <w:rsid w:val="00A91645"/>
    <w:rPr>
      <w:rFonts w:ascii="Times New Roman" w:eastAsia="Times New Roman" w:hAnsi="Times New Roman" w:cs="Times New Roman"/>
      <w:i/>
      <w:color w:val="0070C0"/>
      <w:sz w:val="24"/>
      <w:szCs w:val="24"/>
      <w:u w:val="single"/>
    </w:rPr>
  </w:style>
  <w:style w:type="character" w:customStyle="1" w:styleId="affff">
    <w:name w:val="Основной текст_"/>
    <w:basedOn w:val="a4"/>
    <w:link w:val="1f4"/>
    <w:rsid w:val="00C4630C"/>
    <w:rPr>
      <w:rFonts w:ascii="Times New Roman" w:eastAsia="Times New Roman" w:hAnsi="Times New Roman" w:cs="Times New Roman"/>
      <w:sz w:val="28"/>
      <w:szCs w:val="28"/>
      <w:shd w:val="clear" w:color="auto" w:fill="FFFFFF"/>
    </w:rPr>
  </w:style>
  <w:style w:type="character" w:customStyle="1" w:styleId="22">
    <w:name w:val="Заголовок №2_"/>
    <w:basedOn w:val="a4"/>
    <w:link w:val="23"/>
    <w:rsid w:val="00C4630C"/>
    <w:rPr>
      <w:rFonts w:ascii="Times New Roman" w:eastAsia="Times New Roman" w:hAnsi="Times New Roman" w:cs="Times New Roman"/>
      <w:b/>
      <w:bCs/>
      <w:sz w:val="28"/>
      <w:szCs w:val="28"/>
      <w:shd w:val="clear" w:color="auto" w:fill="FFFFFF"/>
    </w:rPr>
  </w:style>
  <w:style w:type="paragraph" w:customStyle="1" w:styleId="1f4">
    <w:name w:val="Основной текст1"/>
    <w:basedOn w:val="a1"/>
    <w:link w:val="affff"/>
    <w:rsid w:val="00C4630C"/>
    <w:pPr>
      <w:widowControl w:val="0"/>
      <w:shd w:val="clear" w:color="auto" w:fill="FFFFFF"/>
      <w:ind w:firstLine="400"/>
      <w:jc w:val="both"/>
    </w:pPr>
    <w:rPr>
      <w:sz w:val="28"/>
      <w:szCs w:val="28"/>
      <w:lang w:eastAsia="en-US"/>
    </w:rPr>
  </w:style>
  <w:style w:type="paragraph" w:customStyle="1" w:styleId="23">
    <w:name w:val="Заголовок №2"/>
    <w:basedOn w:val="a1"/>
    <w:link w:val="22"/>
    <w:rsid w:val="00C4630C"/>
    <w:pPr>
      <w:widowControl w:val="0"/>
      <w:shd w:val="clear" w:color="auto" w:fill="FFFFFF"/>
      <w:spacing w:after="160"/>
      <w:ind w:right="100"/>
      <w:jc w:val="center"/>
      <w:outlineLvl w:val="1"/>
    </w:pPr>
    <w:rPr>
      <w:b/>
      <w:bCs/>
      <w:sz w:val="28"/>
      <w:szCs w:val="28"/>
      <w:lang w:eastAsia="en-US"/>
    </w:rPr>
  </w:style>
  <w:style w:type="paragraph" w:customStyle="1" w:styleId="affff0">
    <w:basedOn w:val="a1"/>
    <w:next w:val="afd"/>
    <w:link w:val="affff1"/>
    <w:unhideWhenUsed/>
    <w:qFormat/>
    <w:rsid w:val="000578EF"/>
    <w:pPr>
      <w:spacing w:line="360" w:lineRule="auto"/>
      <w:ind w:firstLine="709"/>
      <w:jc w:val="both"/>
    </w:pPr>
    <w:rPr>
      <w:rFonts w:cstheme="minorBidi"/>
      <w:lang w:eastAsia="en-US"/>
    </w:rPr>
  </w:style>
  <w:style w:type="character" w:customStyle="1" w:styleId="affff1">
    <w:name w:val="Обычный (веб) Знак"/>
    <w:link w:val="affff0"/>
    <w:rsid w:val="000578EF"/>
    <w:rPr>
      <w:rFonts w:ascii="Times New Roman" w:eastAsia="Times New Roman" w:hAnsi="Times New Roman"/>
      <w:sz w:val="24"/>
      <w:szCs w:val="24"/>
    </w:rPr>
  </w:style>
  <w:style w:type="table" w:customStyle="1" w:styleId="-131">
    <w:name w:val="Список-таблица 1 светлая — акцент 31"/>
    <w:basedOn w:val="a5"/>
    <w:uiPriority w:val="46"/>
    <w:rsid w:val="000578EF"/>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TableParagraph">
    <w:name w:val="Table Paragraph"/>
    <w:basedOn w:val="a1"/>
    <w:qFormat/>
    <w:rsid w:val="000578EF"/>
    <w:pPr>
      <w:widowControl w:val="0"/>
      <w:ind w:left="103"/>
    </w:pPr>
    <w:rPr>
      <w:rFonts w:ascii="Calibri" w:hAnsi="Calibri" w:cs="Calibri"/>
      <w:sz w:val="22"/>
      <w:szCs w:val="22"/>
      <w:lang w:val="en-US" w:eastAsia="en-US"/>
    </w:rPr>
  </w:style>
  <w:style w:type="character" w:customStyle="1" w:styleId="1c">
    <w:name w:val="Текст примечания Знак1"/>
    <w:basedOn w:val="a4"/>
    <w:link w:val="aff4"/>
    <w:uiPriority w:val="99"/>
    <w:rsid w:val="000578EF"/>
    <w:rPr>
      <w:rFonts w:ascii="Times New Roman" w:hAnsi="Times New Roman"/>
      <w:szCs w:val="20"/>
    </w:rPr>
  </w:style>
  <w:style w:type="character" w:customStyle="1" w:styleId="1e">
    <w:name w:val="Название Знак1"/>
    <w:aliases w:val="Заголовок мой Знак,Название1 Знак"/>
    <w:basedOn w:val="a4"/>
    <w:link w:val="aff6"/>
    <w:rsid w:val="000578EF"/>
    <w:rPr>
      <w:rFonts w:ascii="Times New Roman" w:eastAsiaTheme="majorEastAsia" w:hAnsi="Times New Roman" w:cstheme="majorBidi"/>
      <w:spacing w:val="-10"/>
      <w:sz w:val="28"/>
      <w:szCs w:val="56"/>
      <w:u w:val="single"/>
    </w:rPr>
  </w:style>
  <w:style w:type="table" w:customStyle="1" w:styleId="-11">
    <w:name w:val="Таблица-сетка 1 светлая1"/>
    <w:basedOn w:val="a5"/>
    <w:uiPriority w:val="46"/>
    <w:rsid w:val="000578EF"/>
    <w:rPr>
      <w:sz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1111111">
    <w:name w:val="1 / 1.1 / 1.1.11"/>
    <w:basedOn w:val="a6"/>
    <w:next w:val="111111"/>
    <w:rsid w:val="000578EF"/>
    <w:pPr>
      <w:numPr>
        <w:numId w:val="13"/>
      </w:numPr>
    </w:pPr>
  </w:style>
  <w:style w:type="numbering" w:customStyle="1" w:styleId="1ai1">
    <w:name w:val="1 / a / i1"/>
    <w:basedOn w:val="a6"/>
    <w:next w:val="1ai"/>
    <w:rsid w:val="000578EF"/>
    <w:pPr>
      <w:numPr>
        <w:numId w:val="14"/>
      </w:numPr>
    </w:pPr>
  </w:style>
  <w:style w:type="numbering" w:styleId="111111">
    <w:name w:val="Outline List 2"/>
    <w:basedOn w:val="a6"/>
    <w:uiPriority w:val="99"/>
    <w:semiHidden/>
    <w:unhideWhenUsed/>
    <w:rsid w:val="000578EF"/>
    <w:pPr>
      <w:numPr>
        <w:numId w:val="11"/>
      </w:numPr>
    </w:pPr>
  </w:style>
  <w:style w:type="numbering" w:styleId="1ai">
    <w:name w:val="Outline List 1"/>
    <w:basedOn w:val="a6"/>
    <w:uiPriority w:val="99"/>
    <w:semiHidden/>
    <w:unhideWhenUsed/>
    <w:rsid w:val="000578EF"/>
    <w:pPr>
      <w:numPr>
        <w:numId w:val="12"/>
      </w:numPr>
    </w:pPr>
  </w:style>
  <w:style w:type="character" w:styleId="affff2">
    <w:name w:val="FollowedHyperlink"/>
    <w:basedOn w:val="a4"/>
    <w:uiPriority w:val="99"/>
    <w:unhideWhenUsed/>
    <w:rsid w:val="000578EF"/>
    <w:rPr>
      <w:color w:val="954F72" w:themeColor="followedHyperlink"/>
      <w:u w:val="single"/>
    </w:rPr>
  </w:style>
  <w:style w:type="paragraph" w:customStyle="1" w:styleId="msonormal0">
    <w:name w:val="msonormal"/>
    <w:basedOn w:val="a1"/>
    <w:qFormat/>
    <w:rsid w:val="000578EF"/>
    <w:pPr>
      <w:spacing w:before="100" w:beforeAutospacing="1" w:after="100" w:afterAutospacing="1" w:line="288" w:lineRule="auto"/>
    </w:pPr>
  </w:style>
  <w:style w:type="character" w:customStyle="1" w:styleId="1f5">
    <w:name w:val="Заголовок Знак1"/>
    <w:aliases w:val="Заголовок мой Знак1"/>
    <w:basedOn w:val="a4"/>
    <w:rsid w:val="000578EF"/>
    <w:rPr>
      <w:rFonts w:asciiTheme="majorHAnsi" w:eastAsiaTheme="majorEastAsia" w:hAnsiTheme="majorHAnsi" w:cstheme="majorBidi"/>
      <w:spacing w:val="-10"/>
      <w:kern w:val="28"/>
      <w:sz w:val="56"/>
      <w:szCs w:val="56"/>
    </w:rPr>
  </w:style>
  <w:style w:type="paragraph" w:customStyle="1" w:styleId="a">
    <w:name w:val="рек"/>
    <w:basedOn w:val="afe"/>
    <w:link w:val="affff3"/>
    <w:qFormat/>
    <w:rsid w:val="000578EF"/>
    <w:pPr>
      <w:numPr>
        <w:numId w:val="15"/>
      </w:numPr>
      <w:tabs>
        <w:tab w:val="left" w:pos="1134"/>
      </w:tabs>
      <w:spacing w:before="240"/>
      <w:contextualSpacing w:val="0"/>
    </w:pPr>
    <w:rPr>
      <w:rFonts w:cs="Times New Roman"/>
      <w:szCs w:val="24"/>
    </w:rPr>
  </w:style>
  <w:style w:type="character" w:customStyle="1" w:styleId="affff3">
    <w:name w:val="рек Знак"/>
    <w:basedOn w:val="ac"/>
    <w:link w:val="a"/>
    <w:rsid w:val="000578EF"/>
    <w:rPr>
      <w:rFonts w:ascii="Times New Roman" w:hAnsi="Times New Roman" w:cs="Times New Roman"/>
      <w:sz w:val="24"/>
      <w:szCs w:val="24"/>
    </w:rPr>
  </w:style>
  <w:style w:type="paragraph" w:customStyle="1" w:styleId="1f6">
    <w:name w:val="Обычный с отступом 1 см"/>
    <w:basedOn w:val="a1"/>
    <w:rsid w:val="003F0AA9"/>
    <w:pPr>
      <w:widowControl w:val="0"/>
      <w:spacing w:line="360" w:lineRule="auto"/>
      <w:ind w:firstLine="680"/>
      <w:jc w:val="both"/>
    </w:pPr>
    <w:rPr>
      <w:rFonts w:ascii="Arial" w:hAnsi="Arial"/>
      <w:bCs/>
      <w:iCs/>
      <w:sz w:val="28"/>
      <w:szCs w:val="20"/>
    </w:rPr>
  </w:style>
  <w:style w:type="character" w:styleId="affff4">
    <w:name w:val="endnote reference"/>
    <w:basedOn w:val="a4"/>
    <w:unhideWhenUsed/>
    <w:rsid w:val="0015288D"/>
    <w:rPr>
      <w:vertAlign w:val="superscript"/>
    </w:rPr>
  </w:style>
  <w:style w:type="character" w:customStyle="1" w:styleId="ListLabel67">
    <w:name w:val="ListLabel 67"/>
    <w:qFormat/>
    <w:rsid w:val="003329C6"/>
    <w:rPr>
      <w:sz w:val="20"/>
    </w:rPr>
  </w:style>
  <w:style w:type="paragraph" w:customStyle="1" w:styleId="affff5">
    <w:name w:val="Содержимое таблицы"/>
    <w:basedOn w:val="a1"/>
    <w:qFormat/>
    <w:rsid w:val="00F82D52"/>
    <w:pPr>
      <w:suppressLineNumbers/>
      <w:spacing w:line="360" w:lineRule="auto"/>
    </w:pPr>
    <w:rPr>
      <w:rFonts w:eastAsia="Calibri" w:cs="Tahoma"/>
      <w:szCs w:val="22"/>
      <w:lang w:eastAsia="en-US"/>
    </w:rPr>
  </w:style>
  <w:style w:type="character" w:styleId="affff6">
    <w:name w:val="Placeholder Text"/>
    <w:basedOn w:val="a4"/>
    <w:uiPriority w:val="99"/>
    <w:semiHidden/>
    <w:rsid w:val="00D85B71"/>
    <w:rPr>
      <w:color w:val="808080"/>
    </w:rPr>
  </w:style>
  <w:style w:type="character" w:customStyle="1" w:styleId="30">
    <w:name w:val="Заголовок 3 Знак"/>
    <w:basedOn w:val="a4"/>
    <w:link w:val="3"/>
    <w:rsid w:val="009C36FB"/>
    <w:rPr>
      <w:rFonts w:asciiTheme="majorHAnsi" w:eastAsiaTheme="majorEastAsia" w:hAnsiTheme="majorHAnsi" w:cstheme="majorBidi"/>
      <w:color w:val="1F4D78" w:themeColor="accent1" w:themeShade="7F"/>
      <w:sz w:val="24"/>
      <w:szCs w:val="24"/>
    </w:rPr>
  </w:style>
  <w:style w:type="character" w:customStyle="1" w:styleId="WW8Num60z8">
    <w:name w:val="WW8Num60z8"/>
    <w:rsid w:val="000718D1"/>
  </w:style>
  <w:style w:type="character" w:customStyle="1" w:styleId="1f7">
    <w:name w:val="Строгий1"/>
    <w:basedOn w:val="a4"/>
    <w:rsid w:val="000718D1"/>
    <w:rPr>
      <w:b/>
      <w:bCs/>
    </w:rPr>
  </w:style>
  <w:style w:type="character" w:customStyle="1" w:styleId="WW8Num37z5">
    <w:name w:val="WW8Num37z5"/>
    <w:rsid w:val="00D41707"/>
  </w:style>
  <w:style w:type="character" w:customStyle="1" w:styleId="WW8Num37z0">
    <w:name w:val="WW8Num37z0"/>
    <w:rsid w:val="00EA74D7"/>
  </w:style>
  <w:style w:type="character" w:customStyle="1" w:styleId="40">
    <w:name w:val="Заголовок 4 Знак"/>
    <w:basedOn w:val="a4"/>
    <w:link w:val="4"/>
    <w:rsid w:val="00204469"/>
    <w:rPr>
      <w:rFonts w:ascii="Times New Roman" w:eastAsia="Calibri" w:hAnsi="Times New Roman" w:cs="Times New Roman"/>
      <w:b/>
      <w:szCs w:val="20"/>
      <w:shd w:val="clear" w:color="auto" w:fill="FFFFFF"/>
      <w:lang w:val="en-US" w:eastAsia="zh-CN"/>
    </w:rPr>
  </w:style>
  <w:style w:type="character" w:customStyle="1" w:styleId="50">
    <w:name w:val="Заголовок 5 Знак"/>
    <w:basedOn w:val="a4"/>
    <w:link w:val="5"/>
    <w:rsid w:val="00204469"/>
    <w:rPr>
      <w:rFonts w:ascii="Calibri Light" w:eastAsia="Times New Roman" w:hAnsi="Calibri Light" w:cs="Calibri Light"/>
      <w:b/>
      <w:bCs/>
      <w:kern w:val="1"/>
      <w:sz w:val="24"/>
      <w:szCs w:val="24"/>
      <w:lang w:eastAsia="zh-CN"/>
    </w:rPr>
  </w:style>
  <w:style w:type="character" w:customStyle="1" w:styleId="60">
    <w:name w:val="Заголовок 6 Знак"/>
    <w:basedOn w:val="a4"/>
    <w:link w:val="6"/>
    <w:rsid w:val="00204469"/>
    <w:rPr>
      <w:rFonts w:ascii="Calibri Light" w:eastAsia="Times New Roman" w:hAnsi="Calibri Light" w:cs="Calibri Light"/>
      <w:b/>
      <w:bCs/>
      <w:i/>
      <w:iCs/>
      <w:kern w:val="1"/>
      <w:sz w:val="24"/>
      <w:szCs w:val="24"/>
      <w:lang w:eastAsia="zh-CN"/>
    </w:rPr>
  </w:style>
  <w:style w:type="character" w:customStyle="1" w:styleId="70">
    <w:name w:val="Заголовок 7 Знак"/>
    <w:basedOn w:val="a4"/>
    <w:link w:val="7"/>
    <w:rsid w:val="00204469"/>
    <w:rPr>
      <w:rFonts w:ascii="Calibri Light" w:eastAsia="Times New Roman" w:hAnsi="Calibri Light" w:cs="Calibri Light"/>
      <w:b/>
      <w:bCs/>
      <w:kern w:val="1"/>
      <w:sz w:val="22"/>
      <w:lang w:eastAsia="zh-CN"/>
    </w:rPr>
  </w:style>
  <w:style w:type="character" w:customStyle="1" w:styleId="80">
    <w:name w:val="Заголовок 8 Знак"/>
    <w:basedOn w:val="a4"/>
    <w:link w:val="8"/>
    <w:rsid w:val="00204469"/>
    <w:rPr>
      <w:rFonts w:ascii="Calibri Light" w:eastAsia="Times New Roman" w:hAnsi="Calibri Light" w:cs="Calibri Light"/>
      <w:b/>
      <w:bCs/>
      <w:i/>
      <w:iCs/>
      <w:kern w:val="1"/>
      <w:sz w:val="22"/>
      <w:lang w:eastAsia="zh-CN"/>
    </w:rPr>
  </w:style>
  <w:style w:type="character" w:customStyle="1" w:styleId="90">
    <w:name w:val="Заголовок 9 Знак"/>
    <w:basedOn w:val="a4"/>
    <w:link w:val="9"/>
    <w:rsid w:val="00204469"/>
    <w:rPr>
      <w:rFonts w:ascii="Calibri Light" w:eastAsia="Times New Roman" w:hAnsi="Calibri Light" w:cs="Calibri Light"/>
      <w:b/>
      <w:bCs/>
      <w:kern w:val="1"/>
      <w:sz w:val="21"/>
      <w:szCs w:val="21"/>
      <w:lang w:eastAsia="zh-CN"/>
    </w:rPr>
  </w:style>
  <w:style w:type="character" w:customStyle="1" w:styleId="highlight">
    <w:name w:val="highlight"/>
    <w:basedOn w:val="a4"/>
    <w:rsid w:val="00981E11"/>
  </w:style>
  <w:style w:type="paragraph" w:customStyle="1" w:styleId="ConsPlusNormal">
    <w:name w:val="ConsPlusNormal"/>
    <w:qFormat/>
    <w:rsid w:val="00E0494A"/>
    <w:pPr>
      <w:widowControl w:val="0"/>
      <w:autoSpaceDE w:val="0"/>
      <w:autoSpaceDN w:val="0"/>
    </w:pPr>
    <w:rPr>
      <w:rFonts w:ascii="Calibri" w:eastAsia="Times New Roman" w:hAnsi="Calibri" w:cs="Calibri"/>
      <w:sz w:val="22"/>
      <w:szCs w:val="20"/>
      <w:lang w:eastAsia="ru-RU"/>
    </w:rPr>
  </w:style>
  <w:style w:type="paragraph" w:customStyle="1" w:styleId="-51">
    <w:name w:val="Светлый список - Акцент 51"/>
    <w:basedOn w:val="a1"/>
    <w:uiPriority w:val="34"/>
    <w:qFormat/>
    <w:rsid w:val="00D80973"/>
    <w:pPr>
      <w:suppressAutoHyphens/>
      <w:ind w:left="708"/>
      <w:jc w:val="both"/>
    </w:pPr>
    <w:rPr>
      <w:rFonts w:eastAsia="Calibri"/>
      <w:szCs w:val="22"/>
      <w:lang w:eastAsia="zh-CN"/>
    </w:rPr>
  </w:style>
  <w:style w:type="paragraph" w:customStyle="1" w:styleId="1f8">
    <w:name w:val="Абзац списка1"/>
    <w:basedOn w:val="a1"/>
    <w:uiPriority w:val="34"/>
    <w:qFormat/>
    <w:rsid w:val="009B70C4"/>
    <w:pPr>
      <w:spacing w:after="160" w:line="360" w:lineRule="auto"/>
      <w:ind w:left="720" w:firstLine="709"/>
      <w:contextualSpacing/>
      <w:jc w:val="both"/>
    </w:pPr>
    <w:rPr>
      <w:szCs w:val="22"/>
      <w:lang w:eastAsia="en-US"/>
    </w:rPr>
  </w:style>
  <w:style w:type="character" w:customStyle="1" w:styleId="af7">
    <w:name w:val="Основной текст Знак"/>
    <w:basedOn w:val="a4"/>
    <w:link w:val="a3"/>
    <w:rsid w:val="00666D68"/>
    <w:rPr>
      <w:rFonts w:ascii="Times New Roman" w:hAnsi="Times New Roman"/>
      <w:sz w:val="24"/>
    </w:rPr>
  </w:style>
  <w:style w:type="paragraph" w:styleId="1f9">
    <w:name w:val="index 1"/>
    <w:basedOn w:val="a1"/>
    <w:next w:val="a1"/>
    <w:autoRedefine/>
    <w:uiPriority w:val="99"/>
    <w:semiHidden/>
    <w:unhideWhenUsed/>
    <w:rsid w:val="00666D68"/>
    <w:pPr>
      <w:ind w:left="240" w:hanging="240"/>
      <w:jc w:val="both"/>
    </w:pPr>
    <w:rPr>
      <w:rFonts w:eastAsiaTheme="minorHAnsi" w:cstheme="minorBidi"/>
      <w:szCs w:val="22"/>
      <w:lang w:eastAsia="en-US"/>
    </w:rPr>
  </w:style>
  <w:style w:type="character" w:customStyle="1" w:styleId="15">
    <w:name w:val="Верхний колонтитул Знак1"/>
    <w:basedOn w:val="a4"/>
    <w:link w:val="afb"/>
    <w:uiPriority w:val="99"/>
    <w:rsid w:val="00666D68"/>
    <w:rPr>
      <w:rFonts w:ascii="Times New Roman" w:hAnsi="Times New Roman"/>
      <w:sz w:val="24"/>
    </w:rPr>
  </w:style>
  <w:style w:type="character" w:customStyle="1" w:styleId="16">
    <w:name w:val="Нижний колонтитул Знак1"/>
    <w:basedOn w:val="a4"/>
    <w:link w:val="afc"/>
    <w:uiPriority w:val="99"/>
    <w:rsid w:val="00666D68"/>
    <w:rPr>
      <w:rFonts w:ascii="Times New Roman" w:hAnsi="Times New Roman"/>
      <w:sz w:val="24"/>
    </w:rPr>
  </w:style>
  <w:style w:type="character" w:customStyle="1" w:styleId="19">
    <w:name w:val="Текст выноски Знак1"/>
    <w:basedOn w:val="a4"/>
    <w:link w:val="aff0"/>
    <w:uiPriority w:val="99"/>
    <w:rsid w:val="00666D68"/>
    <w:rPr>
      <w:rFonts w:ascii="Tahoma" w:hAnsi="Tahoma" w:cs="Tahoma"/>
      <w:sz w:val="16"/>
      <w:szCs w:val="16"/>
    </w:rPr>
  </w:style>
  <w:style w:type="character" w:customStyle="1" w:styleId="1b">
    <w:name w:val="Подзаголовок Знак1"/>
    <w:basedOn w:val="a4"/>
    <w:link w:val="a2"/>
    <w:uiPriority w:val="11"/>
    <w:rsid w:val="00666D68"/>
    <w:rPr>
      <w:rFonts w:ascii="Times New Roman" w:hAnsi="Times New Roman" w:cs="Times New Roman"/>
      <w:b/>
      <w:sz w:val="24"/>
      <w:szCs w:val="24"/>
      <w:u w:val="single"/>
    </w:rPr>
  </w:style>
  <w:style w:type="character" w:customStyle="1" w:styleId="1d">
    <w:name w:val="Тема примечания Знак1"/>
    <w:basedOn w:val="1c"/>
    <w:link w:val="aff5"/>
    <w:uiPriority w:val="99"/>
    <w:rsid w:val="00666D68"/>
    <w:rPr>
      <w:rFonts w:ascii="Times New Roman" w:hAnsi="Times New Roman"/>
      <w:b/>
      <w:bCs/>
      <w:szCs w:val="20"/>
    </w:rPr>
  </w:style>
  <w:style w:type="character" w:customStyle="1" w:styleId="1f">
    <w:name w:val="Текст сноски Знак1"/>
    <w:basedOn w:val="a4"/>
    <w:link w:val="aff7"/>
    <w:uiPriority w:val="99"/>
    <w:rsid w:val="00666D68"/>
    <w:rPr>
      <w:rFonts w:ascii="Calibri" w:eastAsia="Calibri" w:hAnsi="Calibri" w:cs="Times New Roman"/>
      <w:szCs w:val="20"/>
    </w:rPr>
  </w:style>
  <w:style w:type="character" w:customStyle="1" w:styleId="1fa">
    <w:name w:val="Неразрешенное упоминание1"/>
    <w:basedOn w:val="a4"/>
    <w:uiPriority w:val="99"/>
    <w:semiHidden/>
    <w:unhideWhenUsed/>
    <w:rsid w:val="00666D68"/>
    <w:rPr>
      <w:color w:val="605E5C"/>
      <w:shd w:val="clear" w:color="auto" w:fill="E1DFDD"/>
    </w:rPr>
  </w:style>
  <w:style w:type="paragraph" w:styleId="HTML">
    <w:name w:val="HTML Preformatted"/>
    <w:basedOn w:val="a1"/>
    <w:link w:val="HTML0"/>
    <w:unhideWhenUsed/>
    <w:rsid w:val="001A55B7"/>
    <w:pPr>
      <w:ind w:firstLine="709"/>
      <w:jc w:val="both"/>
    </w:pPr>
    <w:rPr>
      <w:rFonts w:ascii="Consolas" w:eastAsiaTheme="minorHAnsi" w:hAnsi="Consolas" w:cs="Consolas"/>
      <w:sz w:val="20"/>
      <w:szCs w:val="20"/>
      <w:lang w:eastAsia="en-US"/>
    </w:rPr>
  </w:style>
  <w:style w:type="character" w:customStyle="1" w:styleId="HTML0">
    <w:name w:val="Стандартный HTML Знак"/>
    <w:basedOn w:val="a4"/>
    <w:link w:val="HTML"/>
    <w:rsid w:val="001A55B7"/>
    <w:rPr>
      <w:rFonts w:ascii="Consolas" w:hAnsi="Consolas" w:cs="Consolas"/>
      <w:szCs w:val="20"/>
    </w:rPr>
  </w:style>
  <w:style w:type="character" w:customStyle="1" w:styleId="24">
    <w:name w:val="Неразрешенное упоминание2"/>
    <w:basedOn w:val="a4"/>
    <w:uiPriority w:val="99"/>
    <w:semiHidden/>
    <w:unhideWhenUsed/>
    <w:rsid w:val="001F5BC1"/>
    <w:rPr>
      <w:color w:val="605E5C"/>
      <w:shd w:val="clear" w:color="auto" w:fill="E1DFDD"/>
    </w:rPr>
  </w:style>
  <w:style w:type="character" w:customStyle="1" w:styleId="32">
    <w:name w:val="Неразрешенное упоминание3"/>
    <w:basedOn w:val="a4"/>
    <w:uiPriority w:val="99"/>
    <w:semiHidden/>
    <w:unhideWhenUsed/>
    <w:rsid w:val="00247551"/>
    <w:rPr>
      <w:color w:val="605E5C"/>
      <w:shd w:val="clear" w:color="auto" w:fill="E1DFDD"/>
    </w:rPr>
  </w:style>
  <w:style w:type="paragraph" w:customStyle="1" w:styleId="Numlist">
    <w:name w:val="Num_list"/>
    <w:basedOn w:val="a1"/>
    <w:qFormat/>
    <w:rsid w:val="0049053C"/>
    <w:pPr>
      <w:overflowPunct w:val="0"/>
      <w:ind w:firstLine="708"/>
      <w:textAlignment w:val="baseline"/>
    </w:pPr>
  </w:style>
  <w:style w:type="table" w:customStyle="1" w:styleId="1fb">
    <w:name w:val="Сетка таблицы светлая1"/>
    <w:basedOn w:val="a5"/>
    <w:uiPriority w:val="40"/>
    <w:rsid w:val="0049053C"/>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paragraph" w:customStyle="1" w:styleId="Normal11">
    <w:name w:val="Normal 1"/>
    <w:basedOn w:val="a1"/>
    <w:uiPriority w:val="99"/>
    <w:rsid w:val="0049053C"/>
    <w:pPr>
      <w:shd w:val="clear" w:color="auto" w:fill="FFFFFF"/>
      <w:tabs>
        <w:tab w:val="left" w:pos="394"/>
      </w:tabs>
      <w:overflowPunct w:val="0"/>
      <w:autoSpaceDE w:val="0"/>
      <w:autoSpaceDN w:val="0"/>
      <w:adjustRightInd w:val="0"/>
      <w:spacing w:before="5"/>
      <w:ind w:left="10" w:hanging="10"/>
      <w:textAlignment w:val="baseline"/>
    </w:pPr>
    <w:rPr>
      <w:color w:val="000000"/>
      <w:spacing w:val="4"/>
      <w:szCs w:val="20"/>
    </w:rPr>
  </w:style>
  <w:style w:type="paragraph" w:customStyle="1" w:styleId="Number1">
    <w:name w:val="Number1"/>
    <w:basedOn w:val="a1"/>
    <w:rsid w:val="0049053C"/>
    <w:pPr>
      <w:shd w:val="clear" w:color="auto" w:fill="FFFFFF"/>
      <w:tabs>
        <w:tab w:val="left" w:pos="394"/>
      </w:tabs>
      <w:overflowPunct w:val="0"/>
      <w:autoSpaceDE w:val="0"/>
      <w:autoSpaceDN w:val="0"/>
      <w:adjustRightInd w:val="0"/>
      <w:spacing w:before="5"/>
      <w:ind w:left="284" w:hanging="284"/>
      <w:textAlignment w:val="baseline"/>
    </w:pPr>
    <w:rPr>
      <w:color w:val="000000"/>
      <w:spacing w:val="-1"/>
      <w:szCs w:val="20"/>
    </w:rPr>
  </w:style>
  <w:style w:type="paragraph" w:customStyle="1" w:styleId="Author">
    <w:name w:val="Author"/>
    <w:basedOn w:val="a1"/>
    <w:rsid w:val="0049053C"/>
    <w:pPr>
      <w:overflowPunct w:val="0"/>
      <w:autoSpaceDE w:val="0"/>
      <w:autoSpaceDN w:val="0"/>
      <w:adjustRightInd w:val="0"/>
      <w:ind w:firstLine="284"/>
      <w:jc w:val="center"/>
      <w:textAlignment w:val="baseline"/>
    </w:pPr>
    <w:rPr>
      <w:i/>
      <w:szCs w:val="20"/>
    </w:rPr>
  </w:style>
  <w:style w:type="paragraph" w:customStyle="1" w:styleId="affff7">
    <w:name w:val="Стиль"/>
    <w:uiPriority w:val="99"/>
    <w:rsid w:val="0049053C"/>
    <w:pPr>
      <w:keepNext/>
      <w:keepLines/>
      <w:spacing w:line="276" w:lineRule="auto"/>
      <w:outlineLvl w:val="0"/>
    </w:pPr>
    <w:rPr>
      <w:rFonts w:ascii="Times New Roman" w:eastAsia="Calibri" w:hAnsi="Times New Roman" w:cs="Times New Roman"/>
      <w:sz w:val="24"/>
    </w:rPr>
  </w:style>
  <w:style w:type="paragraph" w:customStyle="1" w:styleId="1fc">
    <w:name w:val="УДД1"/>
    <w:aliases w:val="УУР1"/>
    <w:basedOn w:val="afffa"/>
    <w:uiPriority w:val="99"/>
    <w:rsid w:val="0049053C"/>
    <w:pPr>
      <w:contextualSpacing w:val="0"/>
    </w:pPr>
    <w:rPr>
      <w:rFonts w:eastAsia="Calibri"/>
    </w:rPr>
  </w:style>
  <w:style w:type="paragraph" w:styleId="33">
    <w:name w:val="toc 3"/>
    <w:basedOn w:val="a1"/>
    <w:next w:val="a1"/>
    <w:autoRedefine/>
    <w:uiPriority w:val="39"/>
    <w:unhideWhenUsed/>
    <w:qFormat/>
    <w:rsid w:val="0049053C"/>
    <w:pPr>
      <w:spacing w:line="360" w:lineRule="auto"/>
      <w:ind w:left="480" w:firstLine="709"/>
    </w:pPr>
    <w:rPr>
      <w:rFonts w:asciiTheme="minorHAnsi" w:eastAsia="Calibri" w:hAnsiTheme="minorHAnsi"/>
      <w:sz w:val="20"/>
      <w:szCs w:val="20"/>
      <w:lang w:eastAsia="en-US"/>
    </w:rPr>
  </w:style>
  <w:style w:type="numbering" w:customStyle="1" w:styleId="1fd">
    <w:name w:val="Нет списка1"/>
    <w:next w:val="a6"/>
    <w:uiPriority w:val="99"/>
    <w:semiHidden/>
    <w:unhideWhenUsed/>
    <w:rsid w:val="0049053C"/>
  </w:style>
  <w:style w:type="numbering" w:customStyle="1" w:styleId="25">
    <w:name w:val="Нет списка2"/>
    <w:next w:val="a6"/>
    <w:uiPriority w:val="99"/>
    <w:semiHidden/>
    <w:unhideWhenUsed/>
    <w:rsid w:val="0049053C"/>
  </w:style>
  <w:style w:type="numbering" w:customStyle="1" w:styleId="34">
    <w:name w:val="Нет списка3"/>
    <w:next w:val="a6"/>
    <w:uiPriority w:val="99"/>
    <w:semiHidden/>
    <w:unhideWhenUsed/>
    <w:rsid w:val="0049053C"/>
  </w:style>
  <w:style w:type="paragraph" w:styleId="affff8">
    <w:name w:val="endnote text"/>
    <w:basedOn w:val="a1"/>
    <w:link w:val="affff9"/>
    <w:uiPriority w:val="99"/>
    <w:unhideWhenUsed/>
    <w:rsid w:val="0049053C"/>
    <w:pPr>
      <w:ind w:firstLine="567"/>
      <w:jc w:val="both"/>
    </w:pPr>
    <w:rPr>
      <w:rFonts w:ascii="Calibri" w:eastAsia="Calibri" w:hAnsi="Calibri"/>
      <w:sz w:val="20"/>
      <w:szCs w:val="20"/>
      <w:lang w:eastAsia="en-US"/>
    </w:rPr>
  </w:style>
  <w:style w:type="character" w:customStyle="1" w:styleId="affff9">
    <w:name w:val="Текст концевой сноски Знак"/>
    <w:basedOn w:val="a4"/>
    <w:link w:val="affff8"/>
    <w:uiPriority w:val="99"/>
    <w:rsid w:val="0049053C"/>
    <w:rPr>
      <w:rFonts w:ascii="Calibri" w:eastAsia="Calibri" w:hAnsi="Calibri" w:cs="Times New Roman"/>
      <w:szCs w:val="20"/>
    </w:rPr>
  </w:style>
  <w:style w:type="paragraph" w:customStyle="1" w:styleId="310">
    <w:name w:val="Основной текст с отступом 31"/>
    <w:basedOn w:val="a1"/>
    <w:rsid w:val="0049053C"/>
    <w:pPr>
      <w:suppressAutoHyphens/>
      <w:spacing w:after="120"/>
      <w:ind w:left="283" w:firstLine="567"/>
      <w:jc w:val="both"/>
    </w:pPr>
    <w:rPr>
      <w:rFonts w:cs="Calibri"/>
      <w:sz w:val="16"/>
      <w:szCs w:val="16"/>
      <w:lang w:eastAsia="ar-SA"/>
    </w:rPr>
  </w:style>
  <w:style w:type="table" w:customStyle="1" w:styleId="26">
    <w:name w:val="Сетка таблицы2"/>
    <w:basedOn w:val="a5"/>
    <w:next w:val="aff9"/>
    <w:uiPriority w:val="59"/>
    <w:rsid w:val="0049053C"/>
    <w:rPr>
      <w:rFonts w:ascii="Calibri" w:eastAsia="Calibri" w:hAnsi="Calibri" w:cs="Times New Roman"/>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ial105pt">
    <w:name w:val="Основной текст + Arial;10;5 pt"/>
    <w:rsid w:val="0049053C"/>
    <w:rPr>
      <w:rFonts w:ascii="Arial" w:eastAsia="Arial" w:hAnsi="Arial" w:cs="Arial"/>
      <w:b w:val="0"/>
      <w:bCs w:val="0"/>
      <w:i w:val="0"/>
      <w:iCs w:val="0"/>
      <w:smallCaps w:val="0"/>
      <w:strike w:val="0"/>
      <w:color w:val="000000"/>
      <w:spacing w:val="0"/>
      <w:w w:val="100"/>
      <w:position w:val="0"/>
      <w:sz w:val="21"/>
      <w:szCs w:val="21"/>
      <w:u w:val="none"/>
      <w:lang w:val="ru-RU"/>
    </w:rPr>
  </w:style>
  <w:style w:type="character" w:customStyle="1" w:styleId="src">
    <w:name w:val="src"/>
    <w:rsid w:val="0049053C"/>
  </w:style>
  <w:style w:type="paragraph" w:customStyle="1" w:styleId="firstlast">
    <w:name w:val="first last"/>
    <w:basedOn w:val="a1"/>
    <w:uiPriority w:val="99"/>
    <w:rsid w:val="0049053C"/>
    <w:pPr>
      <w:spacing w:before="100" w:beforeAutospacing="1" w:after="100" w:afterAutospacing="1"/>
      <w:ind w:firstLine="567"/>
      <w:jc w:val="both"/>
    </w:pPr>
  </w:style>
  <w:style w:type="paragraph" w:customStyle="1" w:styleId="last">
    <w:name w:val="last"/>
    <w:basedOn w:val="a1"/>
    <w:uiPriority w:val="99"/>
    <w:rsid w:val="0049053C"/>
    <w:pPr>
      <w:spacing w:before="100" w:beforeAutospacing="1" w:after="100" w:afterAutospacing="1"/>
      <w:ind w:firstLine="567"/>
      <w:jc w:val="both"/>
    </w:pPr>
  </w:style>
  <w:style w:type="paragraph" w:customStyle="1" w:styleId="para">
    <w:name w:val="para"/>
    <w:basedOn w:val="a1"/>
    <w:uiPriority w:val="99"/>
    <w:rsid w:val="0049053C"/>
    <w:pPr>
      <w:spacing w:before="100" w:beforeAutospacing="1" w:after="100" w:afterAutospacing="1"/>
      <w:ind w:firstLine="567"/>
      <w:jc w:val="both"/>
    </w:pPr>
    <w:rPr>
      <w:rFonts w:ascii="Arial" w:hAnsi="Arial" w:cs="Arial"/>
      <w:color w:val="000000"/>
      <w:sz w:val="26"/>
      <w:szCs w:val="26"/>
    </w:rPr>
  </w:style>
  <w:style w:type="character" w:customStyle="1" w:styleId="selectbg">
    <w:name w:val="select_bg"/>
    <w:rsid w:val="0049053C"/>
  </w:style>
  <w:style w:type="character" w:customStyle="1" w:styleId="postbody1">
    <w:name w:val="postbody1"/>
    <w:rsid w:val="0049053C"/>
    <w:rPr>
      <w:sz w:val="18"/>
      <w:szCs w:val="18"/>
    </w:rPr>
  </w:style>
  <w:style w:type="character" w:customStyle="1" w:styleId="volume">
    <w:name w:val="volume"/>
    <w:rsid w:val="0049053C"/>
  </w:style>
  <w:style w:type="character" w:customStyle="1" w:styleId="issue">
    <w:name w:val="issue"/>
    <w:rsid w:val="0049053C"/>
  </w:style>
  <w:style w:type="character" w:customStyle="1" w:styleId="pages">
    <w:name w:val="pages"/>
    <w:rsid w:val="0049053C"/>
  </w:style>
  <w:style w:type="paragraph" w:customStyle="1" w:styleId="210">
    <w:name w:val="Основной текст 21"/>
    <w:basedOn w:val="a1"/>
    <w:rsid w:val="0049053C"/>
    <w:pPr>
      <w:suppressAutoHyphens/>
      <w:ind w:firstLine="567"/>
      <w:jc w:val="both"/>
    </w:pPr>
    <w:rPr>
      <w:rFonts w:cs="Calibri"/>
      <w:szCs w:val="20"/>
      <w:lang w:eastAsia="ar-SA"/>
    </w:rPr>
  </w:style>
  <w:style w:type="paragraph" w:customStyle="1" w:styleId="220">
    <w:name w:val="Основной текст 22"/>
    <w:basedOn w:val="a1"/>
    <w:rsid w:val="0049053C"/>
    <w:pPr>
      <w:suppressAutoHyphens/>
      <w:spacing w:line="100" w:lineRule="atLeast"/>
      <w:ind w:firstLine="567"/>
      <w:jc w:val="both"/>
    </w:pPr>
    <w:rPr>
      <w:kern w:val="1"/>
      <w:lang w:eastAsia="ar-SA"/>
    </w:rPr>
  </w:style>
  <w:style w:type="paragraph" w:styleId="affffa">
    <w:name w:val="Body Text Indent"/>
    <w:basedOn w:val="a1"/>
    <w:link w:val="affffb"/>
    <w:uiPriority w:val="99"/>
    <w:unhideWhenUsed/>
    <w:rsid w:val="0049053C"/>
    <w:pPr>
      <w:spacing w:after="120" w:line="288" w:lineRule="auto"/>
      <w:ind w:left="283" w:firstLine="567"/>
      <w:jc w:val="both"/>
    </w:pPr>
    <w:rPr>
      <w:rFonts w:ascii="Calibri" w:eastAsia="Calibri" w:hAnsi="Calibri"/>
      <w:sz w:val="22"/>
      <w:szCs w:val="22"/>
      <w:lang w:eastAsia="en-US"/>
    </w:rPr>
  </w:style>
  <w:style w:type="character" w:customStyle="1" w:styleId="affffb">
    <w:name w:val="Основной текст с отступом Знак"/>
    <w:basedOn w:val="a4"/>
    <w:link w:val="affffa"/>
    <w:uiPriority w:val="99"/>
    <w:rsid w:val="0049053C"/>
    <w:rPr>
      <w:rFonts w:ascii="Calibri" w:eastAsia="Calibri" w:hAnsi="Calibri" w:cs="Times New Roman"/>
      <w:sz w:val="22"/>
    </w:rPr>
  </w:style>
  <w:style w:type="paragraph" w:customStyle="1" w:styleId="TextDrugs">
    <w:name w:val="Text_Drugs"/>
    <w:basedOn w:val="a1"/>
    <w:rsid w:val="0049053C"/>
    <w:pPr>
      <w:suppressAutoHyphens/>
      <w:spacing w:line="100" w:lineRule="atLeast"/>
      <w:ind w:firstLine="567"/>
      <w:jc w:val="both"/>
    </w:pPr>
    <w:rPr>
      <w:rFonts w:ascii="Cambria" w:eastAsia="MS Mincho" w:hAnsi="Cambria"/>
      <w:kern w:val="1"/>
      <w:lang w:val="de-DE" w:eastAsia="ar-SA"/>
    </w:rPr>
  </w:style>
  <w:style w:type="character" w:customStyle="1" w:styleId="jrnl">
    <w:name w:val="jrnl"/>
    <w:rsid w:val="0049053C"/>
  </w:style>
  <w:style w:type="character" w:customStyle="1" w:styleId="maintextbldleft">
    <w:name w:val="maintextbldleft"/>
    <w:rsid w:val="0049053C"/>
  </w:style>
  <w:style w:type="character" w:customStyle="1" w:styleId="maintextleft">
    <w:name w:val="maintextleft"/>
    <w:rsid w:val="0049053C"/>
  </w:style>
  <w:style w:type="paragraph" w:customStyle="1" w:styleId="27">
    <w:name w:val="Абзац списка2"/>
    <w:basedOn w:val="a1"/>
    <w:rsid w:val="0049053C"/>
    <w:pPr>
      <w:suppressAutoHyphens/>
      <w:spacing w:after="200" w:line="276" w:lineRule="auto"/>
      <w:ind w:firstLine="567"/>
      <w:jc w:val="both"/>
    </w:pPr>
    <w:rPr>
      <w:rFonts w:ascii="Calibri" w:eastAsia="Calibri" w:hAnsi="Calibri" w:cs="Calibri"/>
      <w:sz w:val="22"/>
      <w:szCs w:val="22"/>
      <w:lang w:val="nl-NL" w:eastAsia="ar-SA"/>
    </w:rPr>
  </w:style>
  <w:style w:type="paragraph" w:customStyle="1" w:styleId="230">
    <w:name w:val="Основной текст 23"/>
    <w:basedOn w:val="a1"/>
    <w:rsid w:val="0049053C"/>
    <w:pPr>
      <w:suppressAutoHyphens/>
      <w:spacing w:line="100" w:lineRule="atLeast"/>
      <w:ind w:firstLine="567"/>
      <w:jc w:val="both"/>
    </w:pPr>
    <w:rPr>
      <w:kern w:val="1"/>
      <w:lang w:eastAsia="ar-SA"/>
    </w:rPr>
  </w:style>
  <w:style w:type="character" w:customStyle="1" w:styleId="hps">
    <w:name w:val="hps"/>
    <w:rsid w:val="0049053C"/>
  </w:style>
  <w:style w:type="paragraph" w:styleId="28">
    <w:name w:val="Body Text 2"/>
    <w:basedOn w:val="a1"/>
    <w:link w:val="29"/>
    <w:semiHidden/>
    <w:rsid w:val="0049053C"/>
    <w:pPr>
      <w:ind w:firstLine="567"/>
      <w:jc w:val="both"/>
    </w:pPr>
    <w:rPr>
      <w:szCs w:val="20"/>
    </w:rPr>
  </w:style>
  <w:style w:type="character" w:customStyle="1" w:styleId="29">
    <w:name w:val="Основной текст 2 Знак"/>
    <w:basedOn w:val="a4"/>
    <w:link w:val="28"/>
    <w:semiHidden/>
    <w:rsid w:val="0049053C"/>
    <w:rPr>
      <w:rFonts w:ascii="Times New Roman" w:eastAsia="Times New Roman" w:hAnsi="Times New Roman" w:cs="Times New Roman"/>
      <w:sz w:val="24"/>
      <w:szCs w:val="20"/>
      <w:lang w:eastAsia="ru-RU"/>
    </w:rPr>
  </w:style>
  <w:style w:type="paragraph" w:customStyle="1" w:styleId="Number">
    <w:name w:val="Number"/>
    <w:basedOn w:val="a1"/>
    <w:uiPriority w:val="99"/>
    <w:rsid w:val="0049053C"/>
    <w:pPr>
      <w:autoSpaceDE w:val="0"/>
      <w:autoSpaceDN w:val="0"/>
      <w:adjustRightInd w:val="0"/>
      <w:spacing w:before="40" w:line="360" w:lineRule="auto"/>
      <w:ind w:left="715" w:hanging="6"/>
      <w:jc w:val="both"/>
    </w:pPr>
    <w:rPr>
      <w:color w:val="000000"/>
    </w:rPr>
  </w:style>
  <w:style w:type="character" w:customStyle="1" w:styleId="highwire-citation-authors">
    <w:name w:val="highwire-citation-authors"/>
    <w:rsid w:val="0049053C"/>
  </w:style>
  <w:style w:type="character" w:customStyle="1" w:styleId="nlm-given-names">
    <w:name w:val="nlm-given-names"/>
    <w:rsid w:val="0049053C"/>
  </w:style>
  <w:style w:type="character" w:customStyle="1" w:styleId="nlm-surname">
    <w:name w:val="nlm-surname"/>
    <w:rsid w:val="0049053C"/>
  </w:style>
  <w:style w:type="character" w:customStyle="1" w:styleId="highwire-cite-metadata-journal">
    <w:name w:val="highwire-cite-metadata-journal"/>
    <w:rsid w:val="0049053C"/>
  </w:style>
  <w:style w:type="character" w:customStyle="1" w:styleId="highwire-cite-metadata-date">
    <w:name w:val="highwire-cite-metadata-date"/>
    <w:rsid w:val="0049053C"/>
  </w:style>
  <w:style w:type="character" w:customStyle="1" w:styleId="highwire-cite-metadata-volume-pages">
    <w:name w:val="highwire-cite-metadata-volume-pages"/>
    <w:rsid w:val="0049053C"/>
  </w:style>
  <w:style w:type="character" w:customStyle="1" w:styleId="highwire-cite-metadata-doi">
    <w:name w:val="highwire-cite-metadata-doi"/>
    <w:rsid w:val="0049053C"/>
  </w:style>
  <w:style w:type="character" w:customStyle="1" w:styleId="freeaccess">
    <w:name w:val="freeaccess"/>
    <w:rsid w:val="0049053C"/>
  </w:style>
  <w:style w:type="character" w:styleId="affffc">
    <w:name w:val="page number"/>
    <w:uiPriority w:val="99"/>
    <w:rsid w:val="0049053C"/>
  </w:style>
  <w:style w:type="paragraph" w:customStyle="1" w:styleId="35">
    <w:name w:val="Абзац списка3"/>
    <w:basedOn w:val="a1"/>
    <w:rsid w:val="0049053C"/>
    <w:pPr>
      <w:ind w:left="720" w:firstLine="567"/>
      <w:jc w:val="both"/>
    </w:pPr>
    <w:rPr>
      <w:rFonts w:eastAsia="Calibri"/>
    </w:rPr>
  </w:style>
  <w:style w:type="character" w:customStyle="1" w:styleId="WW8Num3z0">
    <w:name w:val="WW8Num3z0"/>
    <w:rsid w:val="0049053C"/>
    <w:rPr>
      <w:rFonts w:ascii="Symbol" w:hAnsi="Symbol" w:cs="Symbol"/>
    </w:rPr>
  </w:style>
  <w:style w:type="character" w:customStyle="1" w:styleId="WW8Num3z1">
    <w:name w:val="WW8Num3z1"/>
    <w:rsid w:val="0049053C"/>
    <w:rPr>
      <w:rFonts w:ascii="Courier New" w:hAnsi="Courier New" w:cs="Courier New"/>
    </w:rPr>
  </w:style>
  <w:style w:type="character" w:customStyle="1" w:styleId="WW8Num3z2">
    <w:name w:val="WW8Num3z2"/>
    <w:rsid w:val="0049053C"/>
    <w:rPr>
      <w:rFonts w:ascii="Wingdings" w:hAnsi="Wingdings" w:cs="Wingdings"/>
    </w:rPr>
  </w:style>
  <w:style w:type="character" w:customStyle="1" w:styleId="WW8Num3z4">
    <w:name w:val="WW8Num3z4"/>
    <w:rsid w:val="0049053C"/>
    <w:rPr>
      <w:rFonts w:ascii="Courier New" w:hAnsi="Courier New" w:cs="Courier New"/>
    </w:rPr>
  </w:style>
  <w:style w:type="character" w:customStyle="1" w:styleId="WW8Num4z0">
    <w:name w:val="WW8Num4z0"/>
    <w:rsid w:val="0049053C"/>
    <w:rPr>
      <w:rFonts w:ascii="Symbol" w:hAnsi="Symbol" w:cs="Symbol"/>
    </w:rPr>
  </w:style>
  <w:style w:type="character" w:customStyle="1" w:styleId="WW8Num5z0">
    <w:name w:val="WW8Num5z0"/>
    <w:rsid w:val="0049053C"/>
    <w:rPr>
      <w:rFonts w:ascii="Calibri" w:hAnsi="Calibri" w:cs="Calibri"/>
    </w:rPr>
  </w:style>
  <w:style w:type="character" w:customStyle="1" w:styleId="WW8Num5z1">
    <w:name w:val="WW8Num5z1"/>
    <w:rsid w:val="0049053C"/>
    <w:rPr>
      <w:rFonts w:ascii="Calibri" w:hAnsi="Calibri" w:cs="Calibri"/>
    </w:rPr>
  </w:style>
  <w:style w:type="character" w:customStyle="1" w:styleId="WW8Num5z2">
    <w:name w:val="WW8Num5z2"/>
    <w:rsid w:val="0049053C"/>
    <w:rPr>
      <w:rFonts w:ascii="Wingdings" w:hAnsi="Wingdings" w:cs="Wingdings"/>
    </w:rPr>
  </w:style>
  <w:style w:type="character" w:customStyle="1" w:styleId="WW8Num5z4">
    <w:name w:val="WW8Num5z4"/>
    <w:rsid w:val="0049053C"/>
    <w:rPr>
      <w:rFonts w:ascii="Courier New" w:hAnsi="Courier New" w:cs="Courier New"/>
    </w:rPr>
  </w:style>
  <w:style w:type="character" w:customStyle="1" w:styleId="WW8Num6z0">
    <w:name w:val="WW8Num6z0"/>
    <w:rsid w:val="0049053C"/>
    <w:rPr>
      <w:rFonts w:ascii="Gill Sans" w:hAnsi="Gill Sans" w:cs="Gill Sans"/>
      <w:sz w:val="28"/>
      <w:szCs w:val="22"/>
    </w:rPr>
  </w:style>
  <w:style w:type="character" w:customStyle="1" w:styleId="WW8Num6z1">
    <w:name w:val="WW8Num6z1"/>
    <w:rsid w:val="0049053C"/>
    <w:rPr>
      <w:rFonts w:ascii="Courier New" w:hAnsi="Courier New" w:cs="Courier New"/>
    </w:rPr>
  </w:style>
  <w:style w:type="character" w:customStyle="1" w:styleId="WW8Num6z2">
    <w:name w:val="WW8Num6z2"/>
    <w:rsid w:val="0049053C"/>
    <w:rPr>
      <w:rFonts w:ascii="Wingdings" w:hAnsi="Wingdings" w:cs="Wingdings"/>
    </w:rPr>
  </w:style>
  <w:style w:type="character" w:customStyle="1" w:styleId="WW8Num7z0">
    <w:name w:val="WW8Num7z0"/>
    <w:rsid w:val="0049053C"/>
    <w:rPr>
      <w:rFonts w:ascii="Symbol" w:hAnsi="Symbol" w:cs="Symbol"/>
    </w:rPr>
  </w:style>
  <w:style w:type="character" w:customStyle="1" w:styleId="WW8Num7z1">
    <w:name w:val="WW8Num7z1"/>
    <w:rsid w:val="0049053C"/>
    <w:rPr>
      <w:rFonts w:ascii="Calibri" w:hAnsi="Calibri" w:cs="Calibri"/>
    </w:rPr>
  </w:style>
  <w:style w:type="character" w:customStyle="1" w:styleId="WW8Num8z0">
    <w:name w:val="WW8Num8z0"/>
    <w:rsid w:val="0049053C"/>
    <w:rPr>
      <w:rFonts w:ascii="Symbol" w:hAnsi="Symbol" w:cs="Symbol"/>
    </w:rPr>
  </w:style>
  <w:style w:type="character" w:customStyle="1" w:styleId="WW8Num9z0">
    <w:name w:val="WW8Num9z0"/>
    <w:rsid w:val="0049053C"/>
    <w:rPr>
      <w:rFonts w:ascii="Calibri" w:eastAsia="Times New Roman" w:hAnsi="Calibri" w:cs="Times New Roman"/>
    </w:rPr>
  </w:style>
  <w:style w:type="character" w:customStyle="1" w:styleId="WW8Num10z0">
    <w:name w:val="WW8Num10z0"/>
    <w:rsid w:val="0049053C"/>
    <w:rPr>
      <w:b w:val="0"/>
      <w:i w:val="0"/>
    </w:rPr>
  </w:style>
  <w:style w:type="character" w:customStyle="1" w:styleId="WW8Num11z0">
    <w:name w:val="WW8Num11z0"/>
    <w:rsid w:val="0049053C"/>
    <w:rPr>
      <w:rFonts w:ascii="Symbol" w:hAnsi="Symbol" w:cs="Symbol"/>
    </w:rPr>
  </w:style>
  <w:style w:type="character" w:customStyle="1" w:styleId="WW8Num12z0">
    <w:name w:val="WW8Num12z0"/>
    <w:rsid w:val="0049053C"/>
    <w:rPr>
      <w:rFonts w:ascii="Symbol" w:hAnsi="Symbol" w:cs="Symbol"/>
    </w:rPr>
  </w:style>
  <w:style w:type="character" w:customStyle="1" w:styleId="WW8Num13z0">
    <w:name w:val="WW8Num13z0"/>
    <w:rsid w:val="0049053C"/>
    <w:rPr>
      <w:rFonts w:ascii="Symbol" w:hAnsi="Symbol" w:cs="Symbol"/>
    </w:rPr>
  </w:style>
  <w:style w:type="character" w:customStyle="1" w:styleId="WW8Num14z0">
    <w:name w:val="WW8Num14z0"/>
    <w:rsid w:val="0049053C"/>
    <w:rPr>
      <w:rFonts w:ascii="Calibri" w:hAnsi="Calibri" w:cs="Calibri"/>
    </w:rPr>
  </w:style>
  <w:style w:type="character" w:customStyle="1" w:styleId="WW8Num15z0">
    <w:name w:val="WW8Num15z0"/>
    <w:rsid w:val="0049053C"/>
    <w:rPr>
      <w:rFonts w:ascii="Symbol" w:hAnsi="Symbol" w:cs="Symbol"/>
    </w:rPr>
  </w:style>
  <w:style w:type="character" w:customStyle="1" w:styleId="WW8Num16z0">
    <w:name w:val="WW8Num16z0"/>
    <w:rsid w:val="0049053C"/>
    <w:rPr>
      <w:rFonts w:ascii="Symbol" w:hAnsi="Symbol" w:cs="Symbol"/>
    </w:rPr>
  </w:style>
  <w:style w:type="character" w:customStyle="1" w:styleId="WW8Num17z0">
    <w:name w:val="WW8Num17z0"/>
    <w:rsid w:val="0049053C"/>
    <w:rPr>
      <w:rFonts w:ascii="Calibri" w:hAnsi="Calibri" w:cs="Calibri"/>
    </w:rPr>
  </w:style>
  <w:style w:type="character" w:customStyle="1" w:styleId="WW8Num18z0">
    <w:name w:val="WW8Num18z0"/>
    <w:rsid w:val="0049053C"/>
    <w:rPr>
      <w:rFonts w:ascii="Symbol" w:hAnsi="Symbol" w:cs="Symbol"/>
    </w:rPr>
  </w:style>
  <w:style w:type="character" w:customStyle="1" w:styleId="WW8Num19z0">
    <w:name w:val="WW8Num19z0"/>
    <w:rsid w:val="0049053C"/>
    <w:rPr>
      <w:rFonts w:ascii="Symbol" w:hAnsi="Symbol" w:cs="Symbol"/>
    </w:rPr>
  </w:style>
  <w:style w:type="character" w:customStyle="1" w:styleId="WW8Num20z0">
    <w:name w:val="WW8Num20z0"/>
    <w:rsid w:val="0049053C"/>
    <w:rPr>
      <w:rFonts w:ascii="Symbol" w:hAnsi="Symbol" w:cs="Symbol"/>
    </w:rPr>
  </w:style>
  <w:style w:type="character" w:customStyle="1" w:styleId="WW8Num21z0">
    <w:name w:val="WW8Num21z0"/>
    <w:rsid w:val="0049053C"/>
    <w:rPr>
      <w:rFonts w:ascii="Symbol" w:hAnsi="Symbol" w:cs="Symbol"/>
    </w:rPr>
  </w:style>
  <w:style w:type="character" w:customStyle="1" w:styleId="WW8Num22z0">
    <w:name w:val="WW8Num22z0"/>
    <w:rsid w:val="0049053C"/>
    <w:rPr>
      <w:rFonts w:ascii="Symbol" w:hAnsi="Symbol" w:cs="Symbol"/>
    </w:rPr>
  </w:style>
  <w:style w:type="character" w:customStyle="1" w:styleId="WW8Num23z0">
    <w:name w:val="WW8Num23z0"/>
    <w:rsid w:val="0049053C"/>
    <w:rPr>
      <w:rFonts w:ascii="Symbol" w:hAnsi="Symbol" w:cs="Symbol"/>
    </w:rPr>
  </w:style>
  <w:style w:type="character" w:customStyle="1" w:styleId="WW8Num24z0">
    <w:name w:val="WW8Num24z0"/>
    <w:rsid w:val="0049053C"/>
    <w:rPr>
      <w:rFonts w:ascii="Symbol" w:hAnsi="Symbol" w:cs="Symbol"/>
    </w:rPr>
  </w:style>
  <w:style w:type="character" w:customStyle="1" w:styleId="WW8Num25z0">
    <w:name w:val="WW8Num25z0"/>
    <w:rsid w:val="0049053C"/>
    <w:rPr>
      <w:rFonts w:ascii="Symbol" w:hAnsi="Symbol" w:cs="Symbol"/>
    </w:rPr>
  </w:style>
  <w:style w:type="character" w:customStyle="1" w:styleId="WW8Num26z0">
    <w:name w:val="WW8Num26z0"/>
    <w:rsid w:val="0049053C"/>
    <w:rPr>
      <w:rFonts w:ascii="Symbol" w:hAnsi="Symbol" w:cs="Symbol"/>
    </w:rPr>
  </w:style>
  <w:style w:type="character" w:customStyle="1" w:styleId="WW8Num27z0">
    <w:name w:val="WW8Num27z0"/>
    <w:rsid w:val="0049053C"/>
    <w:rPr>
      <w:rFonts w:ascii="Calibri" w:hAnsi="Calibri" w:cs="Calibri"/>
    </w:rPr>
  </w:style>
  <w:style w:type="character" w:customStyle="1" w:styleId="WW8Num27z1">
    <w:name w:val="WW8Num27z1"/>
    <w:rsid w:val="0049053C"/>
    <w:rPr>
      <w:rFonts w:ascii="Courier New" w:hAnsi="Courier New" w:cs="Courier New"/>
    </w:rPr>
  </w:style>
  <w:style w:type="character" w:customStyle="1" w:styleId="WW8Num27z2">
    <w:name w:val="WW8Num27z2"/>
    <w:rsid w:val="0049053C"/>
    <w:rPr>
      <w:rFonts w:ascii="Wingdings" w:hAnsi="Wingdings" w:cs="Wingdings"/>
    </w:rPr>
  </w:style>
  <w:style w:type="character" w:customStyle="1" w:styleId="WW8Num27z4">
    <w:name w:val="WW8Num27z4"/>
    <w:rsid w:val="0049053C"/>
    <w:rPr>
      <w:rFonts w:ascii="Courier New" w:hAnsi="Courier New" w:cs="Courier New"/>
    </w:rPr>
  </w:style>
  <w:style w:type="character" w:customStyle="1" w:styleId="WW8Num28z0">
    <w:name w:val="WW8Num28z0"/>
    <w:rsid w:val="0049053C"/>
    <w:rPr>
      <w:rFonts w:ascii="Symbol" w:hAnsi="Symbol" w:cs="Symbol"/>
    </w:rPr>
  </w:style>
  <w:style w:type="character" w:customStyle="1" w:styleId="WW8Num29z0">
    <w:name w:val="WW8Num29z0"/>
    <w:rsid w:val="0049053C"/>
    <w:rPr>
      <w:rFonts w:ascii="Symbol" w:hAnsi="Symbol" w:cs="Symbol"/>
    </w:rPr>
  </w:style>
  <w:style w:type="character" w:customStyle="1" w:styleId="WW8Num30z0">
    <w:name w:val="WW8Num30z0"/>
    <w:rsid w:val="0049053C"/>
    <w:rPr>
      <w:rFonts w:ascii="Symbol" w:hAnsi="Symbol" w:cs="Symbol"/>
    </w:rPr>
  </w:style>
  <w:style w:type="character" w:customStyle="1" w:styleId="WW8Num31z0">
    <w:name w:val="WW8Num31z0"/>
    <w:rsid w:val="0049053C"/>
    <w:rPr>
      <w:b w:val="0"/>
      <w:i w:val="0"/>
      <w:kern w:val="1"/>
    </w:rPr>
  </w:style>
  <w:style w:type="character" w:customStyle="1" w:styleId="WW8Num32z0">
    <w:name w:val="WW8Num32z0"/>
    <w:rsid w:val="0049053C"/>
    <w:rPr>
      <w:rFonts w:ascii="Symbol" w:hAnsi="Symbol" w:cs="Symbol"/>
    </w:rPr>
  </w:style>
  <w:style w:type="character" w:customStyle="1" w:styleId="WW8Num34z0">
    <w:name w:val="WW8Num34z0"/>
    <w:rsid w:val="0049053C"/>
    <w:rPr>
      <w:rFonts w:ascii="Symbol" w:hAnsi="Symbol" w:cs="Symbol"/>
    </w:rPr>
  </w:style>
  <w:style w:type="character" w:customStyle="1" w:styleId="WW8Num34z1">
    <w:name w:val="WW8Num34z1"/>
    <w:rsid w:val="0049053C"/>
    <w:rPr>
      <w:rFonts w:ascii="Courier New" w:hAnsi="Courier New" w:cs="Courier New"/>
    </w:rPr>
  </w:style>
  <w:style w:type="character" w:customStyle="1" w:styleId="WW8Num34z2">
    <w:name w:val="WW8Num34z2"/>
    <w:rsid w:val="0049053C"/>
    <w:rPr>
      <w:rFonts w:ascii="Wingdings" w:hAnsi="Wingdings" w:cs="Wingdings"/>
    </w:rPr>
  </w:style>
  <w:style w:type="character" w:customStyle="1" w:styleId="WW8Num34z4">
    <w:name w:val="WW8Num34z4"/>
    <w:rsid w:val="0049053C"/>
    <w:rPr>
      <w:rFonts w:ascii="Courier New" w:hAnsi="Courier New" w:cs="Courier New"/>
    </w:rPr>
  </w:style>
  <w:style w:type="character" w:customStyle="1" w:styleId="WW8Num35z0">
    <w:name w:val="WW8Num35z0"/>
    <w:rsid w:val="0049053C"/>
    <w:rPr>
      <w:rFonts w:ascii="Calibri" w:hAnsi="Calibri" w:cs="Calibri"/>
    </w:rPr>
  </w:style>
  <w:style w:type="character" w:customStyle="1" w:styleId="WW8Num36z0">
    <w:name w:val="WW8Num36z0"/>
    <w:rsid w:val="0049053C"/>
    <w:rPr>
      <w:rFonts w:ascii="Symbol" w:hAnsi="Symbol" w:cs="Symbol"/>
    </w:rPr>
  </w:style>
  <w:style w:type="character" w:customStyle="1" w:styleId="WW8Num38z0">
    <w:name w:val="WW8Num38z0"/>
    <w:rsid w:val="0049053C"/>
    <w:rPr>
      <w:rFonts w:ascii="Symbol" w:hAnsi="Symbol" w:cs="Symbol"/>
    </w:rPr>
  </w:style>
  <w:style w:type="character" w:customStyle="1" w:styleId="WW8Num39z0">
    <w:name w:val="WW8Num39z0"/>
    <w:rsid w:val="0049053C"/>
    <w:rPr>
      <w:rFonts w:ascii="Symbol" w:hAnsi="Symbol" w:cs="Symbol"/>
    </w:rPr>
  </w:style>
  <w:style w:type="character" w:customStyle="1" w:styleId="WW8Num40z0">
    <w:name w:val="WW8Num40z0"/>
    <w:rsid w:val="0049053C"/>
    <w:rPr>
      <w:rFonts w:ascii="Symbol" w:hAnsi="Symbol" w:cs="Symbol"/>
    </w:rPr>
  </w:style>
  <w:style w:type="character" w:customStyle="1" w:styleId="WW8Num41z0">
    <w:name w:val="WW8Num41z0"/>
    <w:rsid w:val="0049053C"/>
    <w:rPr>
      <w:rFonts w:ascii="Calibri" w:hAnsi="Calibri" w:cs="Calibri"/>
    </w:rPr>
  </w:style>
  <w:style w:type="character" w:customStyle="1" w:styleId="WW8Num42z0">
    <w:name w:val="WW8Num42z0"/>
    <w:rsid w:val="0049053C"/>
    <w:rPr>
      <w:rFonts w:ascii="Symbol" w:hAnsi="Symbol" w:cs="Symbol"/>
    </w:rPr>
  </w:style>
  <w:style w:type="character" w:customStyle="1" w:styleId="WW8Num43z0">
    <w:name w:val="WW8Num43z0"/>
    <w:rsid w:val="0049053C"/>
    <w:rPr>
      <w:rFonts w:ascii="Symbol" w:hAnsi="Symbol" w:cs="Symbol"/>
    </w:rPr>
  </w:style>
  <w:style w:type="character" w:customStyle="1" w:styleId="WW8Num44z0">
    <w:name w:val="WW8Num44z0"/>
    <w:rsid w:val="0049053C"/>
    <w:rPr>
      <w:rFonts w:ascii="Symbol" w:hAnsi="Symbol" w:cs="Symbol"/>
    </w:rPr>
  </w:style>
  <w:style w:type="character" w:customStyle="1" w:styleId="WW8Num45z0">
    <w:name w:val="WW8Num45z0"/>
    <w:rsid w:val="0049053C"/>
    <w:rPr>
      <w:rFonts w:ascii="Symbol" w:hAnsi="Symbol" w:cs="Symbol"/>
    </w:rPr>
  </w:style>
  <w:style w:type="character" w:customStyle="1" w:styleId="WW8Num46z0">
    <w:name w:val="WW8Num46z0"/>
    <w:rsid w:val="0049053C"/>
    <w:rPr>
      <w:rFonts w:ascii="Symbol" w:hAnsi="Symbol" w:cs="Symbol"/>
    </w:rPr>
  </w:style>
  <w:style w:type="character" w:customStyle="1" w:styleId="WW8Num47z0">
    <w:name w:val="WW8Num47z0"/>
    <w:rsid w:val="0049053C"/>
    <w:rPr>
      <w:rFonts w:ascii="Calibri" w:hAnsi="Calibri" w:cs="Calibri"/>
    </w:rPr>
  </w:style>
  <w:style w:type="character" w:customStyle="1" w:styleId="WW8Num48z0">
    <w:name w:val="WW8Num48z0"/>
    <w:rsid w:val="0049053C"/>
    <w:rPr>
      <w:rFonts w:ascii="Symbol" w:hAnsi="Symbol" w:cs="Symbol"/>
    </w:rPr>
  </w:style>
  <w:style w:type="character" w:customStyle="1" w:styleId="WW8Num49z0">
    <w:name w:val="WW8Num49z0"/>
    <w:rsid w:val="0049053C"/>
    <w:rPr>
      <w:rFonts w:ascii="Symbol" w:hAnsi="Symbol" w:cs="Symbol"/>
    </w:rPr>
  </w:style>
  <w:style w:type="character" w:customStyle="1" w:styleId="WW8Num49z1">
    <w:name w:val="WW8Num49z1"/>
    <w:rsid w:val="0049053C"/>
    <w:rPr>
      <w:rFonts w:ascii="Courier New" w:hAnsi="Courier New" w:cs="Courier New"/>
    </w:rPr>
  </w:style>
  <w:style w:type="character" w:customStyle="1" w:styleId="WW8Num49z2">
    <w:name w:val="WW8Num49z2"/>
    <w:rsid w:val="0049053C"/>
    <w:rPr>
      <w:rFonts w:ascii="Wingdings" w:hAnsi="Wingdings" w:cs="Wingdings"/>
    </w:rPr>
  </w:style>
  <w:style w:type="character" w:customStyle="1" w:styleId="WW8Num50z0">
    <w:name w:val="WW8Num50z0"/>
    <w:rsid w:val="0049053C"/>
    <w:rPr>
      <w:rFonts w:ascii="Symbol" w:hAnsi="Symbol" w:cs="Symbol"/>
    </w:rPr>
  </w:style>
  <w:style w:type="character" w:customStyle="1" w:styleId="2a">
    <w:name w:val="Основной шрифт абзаца2"/>
    <w:rsid w:val="0049053C"/>
  </w:style>
  <w:style w:type="character" w:customStyle="1" w:styleId="WW8Num4z1">
    <w:name w:val="WW8Num4z1"/>
    <w:rsid w:val="0049053C"/>
    <w:rPr>
      <w:rFonts w:ascii="Courier New" w:hAnsi="Courier New" w:cs="Courier New"/>
      <w:color w:val="000000"/>
    </w:rPr>
  </w:style>
  <w:style w:type="character" w:customStyle="1" w:styleId="WW8Num4z2">
    <w:name w:val="WW8Num4z2"/>
    <w:rsid w:val="0049053C"/>
    <w:rPr>
      <w:rFonts w:ascii="Wingdings" w:hAnsi="Wingdings" w:cs="Wingdings"/>
    </w:rPr>
  </w:style>
  <w:style w:type="character" w:customStyle="1" w:styleId="WW8Num4z4">
    <w:name w:val="WW8Num4z4"/>
    <w:rsid w:val="0049053C"/>
    <w:rPr>
      <w:rFonts w:ascii="Courier New" w:hAnsi="Courier New" w:cs="Courier New"/>
    </w:rPr>
  </w:style>
  <w:style w:type="character" w:customStyle="1" w:styleId="WW8Num7z2">
    <w:name w:val="WW8Num7z2"/>
    <w:rsid w:val="0049053C"/>
    <w:rPr>
      <w:rFonts w:ascii="Wingdings" w:hAnsi="Wingdings" w:cs="Wingdings"/>
    </w:rPr>
  </w:style>
  <w:style w:type="character" w:customStyle="1" w:styleId="WW8Num7z4">
    <w:name w:val="WW8Num7z4"/>
    <w:rsid w:val="0049053C"/>
    <w:rPr>
      <w:rFonts w:ascii="Courier New" w:hAnsi="Courier New" w:cs="Courier New"/>
    </w:rPr>
  </w:style>
  <w:style w:type="character" w:customStyle="1" w:styleId="WW8Num8z1">
    <w:name w:val="WW8Num8z1"/>
    <w:rsid w:val="0049053C"/>
    <w:rPr>
      <w:rFonts w:ascii="Courier New" w:hAnsi="Courier New" w:cs="Courier New"/>
    </w:rPr>
  </w:style>
  <w:style w:type="character" w:customStyle="1" w:styleId="WW8Num8z2">
    <w:name w:val="WW8Num8z2"/>
    <w:rsid w:val="0049053C"/>
    <w:rPr>
      <w:rFonts w:ascii="Wingdings" w:hAnsi="Wingdings" w:cs="Wingdings"/>
    </w:rPr>
  </w:style>
  <w:style w:type="character" w:customStyle="1" w:styleId="WW8Num9z1">
    <w:name w:val="WW8Num9z1"/>
    <w:rsid w:val="0049053C"/>
    <w:rPr>
      <w:rFonts w:ascii="Symbol" w:hAnsi="Symbol" w:cs="Courier New"/>
    </w:rPr>
  </w:style>
  <w:style w:type="character" w:customStyle="1" w:styleId="WW8Num15z1">
    <w:name w:val="WW8Num15z1"/>
    <w:rsid w:val="0049053C"/>
    <w:rPr>
      <w:rFonts w:ascii="Courier New" w:hAnsi="Courier New" w:cs="Courier New"/>
    </w:rPr>
  </w:style>
  <w:style w:type="character" w:customStyle="1" w:styleId="WW8Num15z2">
    <w:name w:val="WW8Num15z2"/>
    <w:rsid w:val="0049053C"/>
    <w:rPr>
      <w:rFonts w:ascii="Wingdings" w:hAnsi="Wingdings" w:cs="Wingdings"/>
    </w:rPr>
  </w:style>
  <w:style w:type="character" w:customStyle="1" w:styleId="WW8Num16z1">
    <w:name w:val="WW8Num16z1"/>
    <w:rsid w:val="0049053C"/>
    <w:rPr>
      <w:rFonts w:ascii="Courier New" w:hAnsi="Courier New" w:cs="Courier New"/>
    </w:rPr>
  </w:style>
  <w:style w:type="character" w:customStyle="1" w:styleId="WW8Num16z2">
    <w:name w:val="WW8Num16z2"/>
    <w:rsid w:val="0049053C"/>
    <w:rPr>
      <w:rFonts w:ascii="Wingdings" w:hAnsi="Wingdings" w:cs="Wingdings"/>
    </w:rPr>
  </w:style>
  <w:style w:type="character" w:customStyle="1" w:styleId="WW8Num17z1">
    <w:name w:val="WW8Num17z1"/>
    <w:rsid w:val="0049053C"/>
    <w:rPr>
      <w:rFonts w:ascii="Courier New" w:hAnsi="Courier New" w:cs="Courier New"/>
    </w:rPr>
  </w:style>
  <w:style w:type="character" w:customStyle="1" w:styleId="WW8Num17z2">
    <w:name w:val="WW8Num17z2"/>
    <w:rsid w:val="0049053C"/>
    <w:rPr>
      <w:rFonts w:ascii="Wingdings" w:hAnsi="Wingdings" w:cs="Wingdings"/>
    </w:rPr>
  </w:style>
  <w:style w:type="character" w:customStyle="1" w:styleId="WW8Num17z3">
    <w:name w:val="WW8Num17z3"/>
    <w:rsid w:val="0049053C"/>
    <w:rPr>
      <w:rFonts w:ascii="Symbol" w:hAnsi="Symbol" w:cs="Symbol"/>
    </w:rPr>
  </w:style>
  <w:style w:type="character" w:customStyle="1" w:styleId="WW8Num18z1">
    <w:name w:val="WW8Num18z1"/>
    <w:rsid w:val="0049053C"/>
    <w:rPr>
      <w:rFonts w:ascii="Courier New" w:hAnsi="Courier New" w:cs="Courier New"/>
    </w:rPr>
  </w:style>
  <w:style w:type="character" w:customStyle="1" w:styleId="WW8Num18z2">
    <w:name w:val="WW8Num18z2"/>
    <w:rsid w:val="0049053C"/>
    <w:rPr>
      <w:rFonts w:ascii="Wingdings" w:hAnsi="Wingdings" w:cs="Wingdings"/>
    </w:rPr>
  </w:style>
  <w:style w:type="character" w:customStyle="1" w:styleId="WW8Num19z1">
    <w:name w:val="WW8Num19z1"/>
    <w:rsid w:val="0049053C"/>
    <w:rPr>
      <w:rFonts w:ascii="Courier New" w:hAnsi="Courier New" w:cs="Courier New"/>
    </w:rPr>
  </w:style>
  <w:style w:type="character" w:customStyle="1" w:styleId="WW8Num19z2">
    <w:name w:val="WW8Num19z2"/>
    <w:rsid w:val="0049053C"/>
    <w:rPr>
      <w:rFonts w:ascii="Wingdings" w:hAnsi="Wingdings" w:cs="Wingdings"/>
    </w:rPr>
  </w:style>
  <w:style w:type="character" w:customStyle="1" w:styleId="WW8Num20z1">
    <w:name w:val="WW8Num20z1"/>
    <w:rsid w:val="0049053C"/>
    <w:rPr>
      <w:rFonts w:ascii="Courier New" w:hAnsi="Courier New" w:cs="Courier New"/>
    </w:rPr>
  </w:style>
  <w:style w:type="character" w:customStyle="1" w:styleId="WW8Num20z2">
    <w:name w:val="WW8Num20z2"/>
    <w:rsid w:val="0049053C"/>
    <w:rPr>
      <w:rFonts w:ascii="Wingdings" w:hAnsi="Wingdings" w:cs="Wingdings"/>
    </w:rPr>
  </w:style>
  <w:style w:type="character" w:customStyle="1" w:styleId="WW8Num21z1">
    <w:name w:val="WW8Num21z1"/>
    <w:rsid w:val="0049053C"/>
    <w:rPr>
      <w:rFonts w:ascii="Courier New" w:hAnsi="Courier New" w:cs="Courier New"/>
    </w:rPr>
  </w:style>
  <w:style w:type="character" w:customStyle="1" w:styleId="WW8Num21z2">
    <w:name w:val="WW8Num21z2"/>
    <w:rsid w:val="0049053C"/>
    <w:rPr>
      <w:rFonts w:ascii="Wingdings" w:hAnsi="Wingdings" w:cs="Wingdings"/>
    </w:rPr>
  </w:style>
  <w:style w:type="character" w:customStyle="1" w:styleId="WW8Num22z1">
    <w:name w:val="WW8Num22z1"/>
    <w:rsid w:val="0049053C"/>
    <w:rPr>
      <w:rFonts w:ascii="Courier New" w:hAnsi="Courier New" w:cs="Courier New"/>
    </w:rPr>
  </w:style>
  <w:style w:type="character" w:customStyle="1" w:styleId="WW8Num22z2">
    <w:name w:val="WW8Num22z2"/>
    <w:rsid w:val="0049053C"/>
    <w:rPr>
      <w:rFonts w:ascii="Wingdings" w:hAnsi="Wingdings" w:cs="Wingdings"/>
    </w:rPr>
  </w:style>
  <w:style w:type="character" w:customStyle="1" w:styleId="WW8Num23z1">
    <w:name w:val="WW8Num23z1"/>
    <w:rsid w:val="0049053C"/>
    <w:rPr>
      <w:rFonts w:ascii="Courier New" w:hAnsi="Courier New" w:cs="Courier New"/>
    </w:rPr>
  </w:style>
  <w:style w:type="character" w:customStyle="1" w:styleId="WW8Num23z2">
    <w:name w:val="WW8Num23z2"/>
    <w:rsid w:val="0049053C"/>
    <w:rPr>
      <w:rFonts w:ascii="Wingdings" w:hAnsi="Wingdings" w:cs="Wingdings"/>
    </w:rPr>
  </w:style>
  <w:style w:type="character" w:customStyle="1" w:styleId="WW8Num24z1">
    <w:name w:val="WW8Num24z1"/>
    <w:rsid w:val="0049053C"/>
    <w:rPr>
      <w:rFonts w:ascii="Courier New" w:hAnsi="Courier New" w:cs="Courier New"/>
    </w:rPr>
  </w:style>
  <w:style w:type="character" w:customStyle="1" w:styleId="WW8Num24z2">
    <w:name w:val="WW8Num24z2"/>
    <w:rsid w:val="0049053C"/>
    <w:rPr>
      <w:rFonts w:ascii="Wingdings" w:hAnsi="Wingdings" w:cs="Wingdings"/>
    </w:rPr>
  </w:style>
  <w:style w:type="character" w:customStyle="1" w:styleId="WW8Num25z1">
    <w:name w:val="WW8Num25z1"/>
    <w:rsid w:val="0049053C"/>
    <w:rPr>
      <w:rFonts w:ascii="Courier New" w:hAnsi="Courier New" w:cs="Courier New"/>
    </w:rPr>
  </w:style>
  <w:style w:type="character" w:customStyle="1" w:styleId="WW8Num25z2">
    <w:name w:val="WW8Num25z2"/>
    <w:rsid w:val="0049053C"/>
    <w:rPr>
      <w:rFonts w:ascii="Wingdings" w:hAnsi="Wingdings" w:cs="Wingdings"/>
    </w:rPr>
  </w:style>
  <w:style w:type="character" w:customStyle="1" w:styleId="WW8Num26z1">
    <w:name w:val="WW8Num26z1"/>
    <w:rsid w:val="0049053C"/>
    <w:rPr>
      <w:rFonts w:ascii="Courier New" w:hAnsi="Courier New" w:cs="Courier New"/>
    </w:rPr>
  </w:style>
  <w:style w:type="character" w:customStyle="1" w:styleId="WW8Num26z2">
    <w:name w:val="WW8Num26z2"/>
    <w:rsid w:val="0049053C"/>
    <w:rPr>
      <w:rFonts w:ascii="Wingdings" w:hAnsi="Wingdings" w:cs="Wingdings"/>
    </w:rPr>
  </w:style>
  <w:style w:type="character" w:customStyle="1" w:styleId="WW8Num27z3">
    <w:name w:val="WW8Num27z3"/>
    <w:rsid w:val="0049053C"/>
    <w:rPr>
      <w:rFonts w:ascii="Symbol" w:hAnsi="Symbol" w:cs="Symbol"/>
    </w:rPr>
  </w:style>
  <w:style w:type="character" w:customStyle="1" w:styleId="WW8Num28z1">
    <w:name w:val="WW8Num28z1"/>
    <w:rsid w:val="0049053C"/>
    <w:rPr>
      <w:rFonts w:ascii="Courier New" w:hAnsi="Courier New" w:cs="Courier New"/>
    </w:rPr>
  </w:style>
  <w:style w:type="character" w:customStyle="1" w:styleId="WW8Num28z2">
    <w:name w:val="WW8Num28z2"/>
    <w:rsid w:val="0049053C"/>
    <w:rPr>
      <w:rFonts w:ascii="Wingdings" w:hAnsi="Wingdings" w:cs="Wingdings"/>
    </w:rPr>
  </w:style>
  <w:style w:type="character" w:customStyle="1" w:styleId="WW8Num29z1">
    <w:name w:val="WW8Num29z1"/>
    <w:rsid w:val="0049053C"/>
    <w:rPr>
      <w:rFonts w:ascii="Courier New" w:hAnsi="Courier New" w:cs="Courier New"/>
    </w:rPr>
  </w:style>
  <w:style w:type="character" w:customStyle="1" w:styleId="WW8Num29z2">
    <w:name w:val="WW8Num29z2"/>
    <w:rsid w:val="0049053C"/>
    <w:rPr>
      <w:rFonts w:ascii="Wingdings" w:hAnsi="Wingdings" w:cs="Wingdings"/>
    </w:rPr>
  </w:style>
  <w:style w:type="character" w:customStyle="1" w:styleId="WW8Num32z1">
    <w:name w:val="WW8Num32z1"/>
    <w:rsid w:val="0049053C"/>
    <w:rPr>
      <w:rFonts w:ascii="Calibri" w:hAnsi="Calibri" w:cs="Calibri"/>
    </w:rPr>
  </w:style>
  <w:style w:type="character" w:customStyle="1" w:styleId="WW8Num32z2">
    <w:name w:val="WW8Num32z2"/>
    <w:rsid w:val="0049053C"/>
    <w:rPr>
      <w:rFonts w:ascii="Wingdings" w:hAnsi="Wingdings" w:cs="Wingdings"/>
    </w:rPr>
  </w:style>
  <w:style w:type="character" w:customStyle="1" w:styleId="WW8Num32z4">
    <w:name w:val="WW8Num32z4"/>
    <w:rsid w:val="0049053C"/>
    <w:rPr>
      <w:rFonts w:ascii="Courier New" w:hAnsi="Courier New" w:cs="Courier New"/>
    </w:rPr>
  </w:style>
  <w:style w:type="character" w:customStyle="1" w:styleId="WW8Num33z0">
    <w:name w:val="WW8Num33z0"/>
    <w:rsid w:val="0049053C"/>
    <w:rPr>
      <w:rFonts w:ascii="Symbol" w:hAnsi="Symbol" w:cs="Symbol"/>
    </w:rPr>
  </w:style>
  <w:style w:type="character" w:customStyle="1" w:styleId="WW8Num35z1">
    <w:name w:val="WW8Num35z1"/>
    <w:rsid w:val="0049053C"/>
    <w:rPr>
      <w:rFonts w:ascii="Courier New" w:hAnsi="Courier New" w:cs="Courier New"/>
    </w:rPr>
  </w:style>
  <w:style w:type="character" w:customStyle="1" w:styleId="WW8Num35z2">
    <w:name w:val="WW8Num35z2"/>
    <w:rsid w:val="0049053C"/>
    <w:rPr>
      <w:rFonts w:ascii="Wingdings" w:hAnsi="Wingdings" w:cs="Wingdings"/>
    </w:rPr>
  </w:style>
  <w:style w:type="character" w:customStyle="1" w:styleId="WW8Num35z3">
    <w:name w:val="WW8Num35z3"/>
    <w:rsid w:val="0049053C"/>
    <w:rPr>
      <w:rFonts w:ascii="Symbol" w:hAnsi="Symbol" w:cs="Symbol"/>
    </w:rPr>
  </w:style>
  <w:style w:type="character" w:customStyle="1" w:styleId="WW8Num36z1">
    <w:name w:val="WW8Num36z1"/>
    <w:rsid w:val="0049053C"/>
    <w:rPr>
      <w:rFonts w:ascii="Courier New" w:hAnsi="Courier New" w:cs="Courier New"/>
    </w:rPr>
  </w:style>
  <w:style w:type="character" w:customStyle="1" w:styleId="WW8Num36z2">
    <w:name w:val="WW8Num36z2"/>
    <w:rsid w:val="0049053C"/>
    <w:rPr>
      <w:rFonts w:ascii="Wingdings" w:hAnsi="Wingdings" w:cs="Wingdings"/>
    </w:rPr>
  </w:style>
  <w:style w:type="character" w:customStyle="1" w:styleId="WW8Num37z1">
    <w:name w:val="WW8Num37z1"/>
    <w:rsid w:val="0049053C"/>
    <w:rPr>
      <w:rFonts w:ascii="Courier New" w:hAnsi="Courier New" w:cs="Courier New"/>
    </w:rPr>
  </w:style>
  <w:style w:type="character" w:customStyle="1" w:styleId="WW8Num37z2">
    <w:name w:val="WW8Num37z2"/>
    <w:rsid w:val="0049053C"/>
    <w:rPr>
      <w:rFonts w:ascii="Wingdings" w:hAnsi="Wingdings" w:cs="Wingdings"/>
    </w:rPr>
  </w:style>
  <w:style w:type="character" w:customStyle="1" w:styleId="WW8Num39z1">
    <w:name w:val="WW8Num39z1"/>
    <w:rsid w:val="0049053C"/>
    <w:rPr>
      <w:rFonts w:ascii="Calibri" w:hAnsi="Calibri" w:cs="Calibri"/>
    </w:rPr>
  </w:style>
  <w:style w:type="character" w:customStyle="1" w:styleId="WW8Num39z2">
    <w:name w:val="WW8Num39z2"/>
    <w:rsid w:val="0049053C"/>
    <w:rPr>
      <w:rFonts w:ascii="Wingdings" w:hAnsi="Wingdings" w:cs="Wingdings"/>
    </w:rPr>
  </w:style>
  <w:style w:type="character" w:customStyle="1" w:styleId="WW8Num39z4">
    <w:name w:val="WW8Num39z4"/>
    <w:rsid w:val="0049053C"/>
    <w:rPr>
      <w:rFonts w:ascii="Courier New" w:hAnsi="Courier New" w:cs="Courier New"/>
    </w:rPr>
  </w:style>
  <w:style w:type="character" w:customStyle="1" w:styleId="WW8Num40z1">
    <w:name w:val="WW8Num40z1"/>
    <w:rsid w:val="0049053C"/>
    <w:rPr>
      <w:rFonts w:ascii="Courier New" w:hAnsi="Courier New" w:cs="Courier New"/>
    </w:rPr>
  </w:style>
  <w:style w:type="character" w:customStyle="1" w:styleId="WW8Num40z2">
    <w:name w:val="WW8Num40z2"/>
    <w:rsid w:val="0049053C"/>
    <w:rPr>
      <w:rFonts w:ascii="Wingdings" w:hAnsi="Wingdings" w:cs="Wingdings"/>
    </w:rPr>
  </w:style>
  <w:style w:type="character" w:customStyle="1" w:styleId="WW8Num41z1">
    <w:name w:val="WW8Num41z1"/>
    <w:rsid w:val="0049053C"/>
    <w:rPr>
      <w:rFonts w:ascii="Courier New" w:hAnsi="Courier New" w:cs="Courier New"/>
    </w:rPr>
  </w:style>
  <w:style w:type="character" w:customStyle="1" w:styleId="WW8Num41z2">
    <w:name w:val="WW8Num41z2"/>
    <w:rsid w:val="0049053C"/>
    <w:rPr>
      <w:rFonts w:ascii="Wingdings" w:hAnsi="Wingdings" w:cs="Wingdings"/>
    </w:rPr>
  </w:style>
  <w:style w:type="character" w:customStyle="1" w:styleId="WW8Num41z3">
    <w:name w:val="WW8Num41z3"/>
    <w:rsid w:val="0049053C"/>
    <w:rPr>
      <w:rFonts w:ascii="Symbol" w:hAnsi="Symbol" w:cs="Symbol"/>
    </w:rPr>
  </w:style>
  <w:style w:type="character" w:customStyle="1" w:styleId="WW8Num42z1">
    <w:name w:val="WW8Num42z1"/>
    <w:rsid w:val="0049053C"/>
    <w:rPr>
      <w:rFonts w:ascii="Courier New" w:hAnsi="Courier New" w:cs="Courier New"/>
    </w:rPr>
  </w:style>
  <w:style w:type="character" w:customStyle="1" w:styleId="WW8Num42z2">
    <w:name w:val="WW8Num42z2"/>
    <w:rsid w:val="0049053C"/>
    <w:rPr>
      <w:rFonts w:ascii="Wingdings" w:hAnsi="Wingdings" w:cs="Wingdings"/>
    </w:rPr>
  </w:style>
  <w:style w:type="character" w:customStyle="1" w:styleId="WW8Num43z1">
    <w:name w:val="WW8Num43z1"/>
    <w:rsid w:val="0049053C"/>
    <w:rPr>
      <w:rFonts w:ascii="Courier New" w:hAnsi="Courier New" w:cs="Courier New"/>
    </w:rPr>
  </w:style>
  <w:style w:type="character" w:customStyle="1" w:styleId="WW8Num43z2">
    <w:name w:val="WW8Num43z2"/>
    <w:rsid w:val="0049053C"/>
    <w:rPr>
      <w:rFonts w:ascii="Wingdings" w:hAnsi="Wingdings" w:cs="Wingdings"/>
    </w:rPr>
  </w:style>
  <w:style w:type="character" w:customStyle="1" w:styleId="WW8Num44z1">
    <w:name w:val="WW8Num44z1"/>
    <w:rsid w:val="0049053C"/>
    <w:rPr>
      <w:rFonts w:ascii="Courier New" w:hAnsi="Courier New" w:cs="Courier New"/>
    </w:rPr>
  </w:style>
  <w:style w:type="character" w:customStyle="1" w:styleId="WW8Num44z2">
    <w:name w:val="WW8Num44z2"/>
    <w:rsid w:val="0049053C"/>
    <w:rPr>
      <w:rFonts w:ascii="Wingdings" w:hAnsi="Wingdings" w:cs="Wingdings"/>
    </w:rPr>
  </w:style>
  <w:style w:type="character" w:customStyle="1" w:styleId="WW8Num45z1">
    <w:name w:val="WW8Num45z1"/>
    <w:rsid w:val="0049053C"/>
    <w:rPr>
      <w:rFonts w:ascii="Courier New" w:hAnsi="Courier New" w:cs="Courier New"/>
    </w:rPr>
  </w:style>
  <w:style w:type="character" w:customStyle="1" w:styleId="WW8Num45z2">
    <w:name w:val="WW8Num45z2"/>
    <w:rsid w:val="0049053C"/>
    <w:rPr>
      <w:rFonts w:ascii="Wingdings" w:hAnsi="Wingdings" w:cs="Wingdings"/>
    </w:rPr>
  </w:style>
  <w:style w:type="character" w:customStyle="1" w:styleId="WW8Num46z1">
    <w:name w:val="WW8Num46z1"/>
    <w:rsid w:val="0049053C"/>
    <w:rPr>
      <w:rFonts w:ascii="Courier New" w:hAnsi="Courier New" w:cs="Courier New"/>
    </w:rPr>
  </w:style>
  <w:style w:type="character" w:customStyle="1" w:styleId="WW8Num46z2">
    <w:name w:val="WW8Num46z2"/>
    <w:rsid w:val="0049053C"/>
    <w:rPr>
      <w:rFonts w:ascii="Wingdings" w:hAnsi="Wingdings" w:cs="Wingdings"/>
    </w:rPr>
  </w:style>
  <w:style w:type="character" w:customStyle="1" w:styleId="WW8Num47z1">
    <w:name w:val="WW8Num47z1"/>
    <w:rsid w:val="0049053C"/>
    <w:rPr>
      <w:rFonts w:ascii="Courier New" w:hAnsi="Courier New" w:cs="Courier New"/>
    </w:rPr>
  </w:style>
  <w:style w:type="character" w:customStyle="1" w:styleId="WW8Num47z2">
    <w:name w:val="WW8Num47z2"/>
    <w:rsid w:val="0049053C"/>
    <w:rPr>
      <w:rFonts w:ascii="Wingdings" w:hAnsi="Wingdings" w:cs="Wingdings"/>
    </w:rPr>
  </w:style>
  <w:style w:type="character" w:customStyle="1" w:styleId="WW8Num47z3">
    <w:name w:val="WW8Num47z3"/>
    <w:rsid w:val="0049053C"/>
    <w:rPr>
      <w:rFonts w:ascii="Symbol" w:hAnsi="Symbol" w:cs="Symbol"/>
    </w:rPr>
  </w:style>
  <w:style w:type="character" w:customStyle="1" w:styleId="WW8Num48z1">
    <w:name w:val="WW8Num48z1"/>
    <w:rsid w:val="0049053C"/>
    <w:rPr>
      <w:rFonts w:ascii="Courier New" w:hAnsi="Courier New" w:cs="Courier New"/>
    </w:rPr>
  </w:style>
  <w:style w:type="character" w:customStyle="1" w:styleId="WW8Num48z2">
    <w:name w:val="WW8Num48z2"/>
    <w:rsid w:val="0049053C"/>
    <w:rPr>
      <w:rFonts w:ascii="Wingdings" w:hAnsi="Wingdings" w:cs="Wingdings"/>
    </w:rPr>
  </w:style>
  <w:style w:type="character" w:customStyle="1" w:styleId="WW8Num50z1">
    <w:name w:val="WW8Num50z1"/>
    <w:rsid w:val="0049053C"/>
    <w:rPr>
      <w:rFonts w:ascii="Courier New" w:hAnsi="Courier New" w:cs="Courier New"/>
    </w:rPr>
  </w:style>
  <w:style w:type="character" w:customStyle="1" w:styleId="WW8Num50z2">
    <w:name w:val="WW8Num50z2"/>
    <w:rsid w:val="0049053C"/>
    <w:rPr>
      <w:rFonts w:ascii="Wingdings" w:hAnsi="Wingdings" w:cs="Wingdings"/>
    </w:rPr>
  </w:style>
  <w:style w:type="character" w:customStyle="1" w:styleId="WW8Num51z0">
    <w:name w:val="WW8Num51z0"/>
    <w:rsid w:val="0049053C"/>
    <w:rPr>
      <w:rFonts w:ascii="Symbol" w:hAnsi="Symbol" w:cs="Symbol"/>
    </w:rPr>
  </w:style>
  <w:style w:type="character" w:customStyle="1" w:styleId="WW8Num51z1">
    <w:name w:val="WW8Num51z1"/>
    <w:rsid w:val="0049053C"/>
    <w:rPr>
      <w:rFonts w:ascii="Courier New" w:hAnsi="Courier New" w:cs="Courier New"/>
    </w:rPr>
  </w:style>
  <w:style w:type="character" w:customStyle="1" w:styleId="WW8Num51z2">
    <w:name w:val="WW8Num51z2"/>
    <w:rsid w:val="0049053C"/>
    <w:rPr>
      <w:rFonts w:ascii="Wingdings" w:hAnsi="Wingdings" w:cs="Wingdings"/>
    </w:rPr>
  </w:style>
  <w:style w:type="character" w:customStyle="1" w:styleId="WW8Num52z0">
    <w:name w:val="WW8Num52z0"/>
    <w:rsid w:val="0049053C"/>
    <w:rPr>
      <w:rFonts w:ascii="Symbol" w:hAnsi="Symbol" w:cs="Symbol"/>
    </w:rPr>
  </w:style>
  <w:style w:type="character" w:customStyle="1" w:styleId="WW8Num52z1">
    <w:name w:val="WW8Num52z1"/>
    <w:rsid w:val="0049053C"/>
    <w:rPr>
      <w:rFonts w:ascii="Courier New" w:hAnsi="Courier New" w:cs="Courier New"/>
    </w:rPr>
  </w:style>
  <w:style w:type="character" w:customStyle="1" w:styleId="WW8Num52z2">
    <w:name w:val="WW8Num52z2"/>
    <w:rsid w:val="0049053C"/>
    <w:rPr>
      <w:rFonts w:ascii="Wingdings" w:hAnsi="Wingdings" w:cs="Wingdings"/>
    </w:rPr>
  </w:style>
  <w:style w:type="character" w:customStyle="1" w:styleId="WW8Num53z0">
    <w:name w:val="WW8Num53z0"/>
    <w:rsid w:val="0049053C"/>
    <w:rPr>
      <w:rFonts w:ascii="Symbol" w:hAnsi="Symbol" w:cs="Symbol"/>
    </w:rPr>
  </w:style>
  <w:style w:type="character" w:customStyle="1" w:styleId="WW8Num53z1">
    <w:name w:val="WW8Num53z1"/>
    <w:rsid w:val="0049053C"/>
    <w:rPr>
      <w:rFonts w:ascii="Courier New" w:hAnsi="Courier New" w:cs="Courier New"/>
    </w:rPr>
  </w:style>
  <w:style w:type="character" w:customStyle="1" w:styleId="WW8Num53z2">
    <w:name w:val="WW8Num53z2"/>
    <w:rsid w:val="0049053C"/>
    <w:rPr>
      <w:rFonts w:ascii="Wingdings" w:hAnsi="Wingdings" w:cs="Wingdings"/>
    </w:rPr>
  </w:style>
  <w:style w:type="character" w:customStyle="1" w:styleId="WW8Num54z0">
    <w:name w:val="WW8Num54z0"/>
    <w:rsid w:val="0049053C"/>
    <w:rPr>
      <w:rFonts w:ascii="Symbol" w:hAnsi="Symbol" w:cs="Symbol"/>
    </w:rPr>
  </w:style>
  <w:style w:type="character" w:customStyle="1" w:styleId="WW8Num54z1">
    <w:name w:val="WW8Num54z1"/>
    <w:rsid w:val="0049053C"/>
    <w:rPr>
      <w:rFonts w:ascii="Courier New" w:hAnsi="Courier New" w:cs="Courier New"/>
    </w:rPr>
  </w:style>
  <w:style w:type="character" w:customStyle="1" w:styleId="WW8Num54z2">
    <w:name w:val="WW8Num54z2"/>
    <w:rsid w:val="0049053C"/>
    <w:rPr>
      <w:rFonts w:ascii="Wingdings" w:hAnsi="Wingdings" w:cs="Wingdings"/>
    </w:rPr>
  </w:style>
  <w:style w:type="character" w:customStyle="1" w:styleId="1fe">
    <w:name w:val="Основной шрифт абзаца1"/>
    <w:rsid w:val="0049053C"/>
  </w:style>
  <w:style w:type="character" w:customStyle="1" w:styleId="affffd">
    <w:name w:val="Символ сноски"/>
    <w:rsid w:val="0049053C"/>
    <w:rPr>
      <w:rFonts w:cs="Times New Roman"/>
      <w:vertAlign w:val="superscript"/>
    </w:rPr>
  </w:style>
  <w:style w:type="character" w:customStyle="1" w:styleId="affffe">
    <w:name w:val="Символы концевой сноски"/>
    <w:rsid w:val="0049053C"/>
    <w:rPr>
      <w:vertAlign w:val="superscript"/>
    </w:rPr>
  </w:style>
  <w:style w:type="character" w:customStyle="1" w:styleId="afffff">
    <w:name w:val="Маркеры списка"/>
    <w:rsid w:val="0049053C"/>
    <w:rPr>
      <w:rFonts w:ascii="OpenSymbol" w:eastAsia="OpenSymbol" w:hAnsi="OpenSymbol" w:cs="OpenSymbol"/>
    </w:rPr>
  </w:style>
  <w:style w:type="paragraph" w:customStyle="1" w:styleId="2b">
    <w:name w:val="Название2"/>
    <w:basedOn w:val="a1"/>
    <w:rsid w:val="0049053C"/>
    <w:pPr>
      <w:suppressLineNumbers/>
      <w:suppressAutoHyphens/>
      <w:spacing w:before="120" w:after="120" w:line="288" w:lineRule="auto"/>
      <w:ind w:firstLine="567"/>
      <w:jc w:val="both"/>
    </w:pPr>
    <w:rPr>
      <w:rFonts w:ascii="Calibri" w:eastAsia="Calibri" w:hAnsi="Calibri" w:cs="Mangal"/>
      <w:i/>
      <w:iCs/>
      <w:lang w:eastAsia="ar-SA"/>
    </w:rPr>
  </w:style>
  <w:style w:type="paragraph" w:customStyle="1" w:styleId="2c">
    <w:name w:val="Указатель2"/>
    <w:basedOn w:val="a1"/>
    <w:rsid w:val="0049053C"/>
    <w:pPr>
      <w:suppressLineNumbers/>
      <w:suppressAutoHyphens/>
      <w:spacing w:line="288" w:lineRule="auto"/>
      <w:ind w:firstLine="567"/>
      <w:jc w:val="both"/>
    </w:pPr>
    <w:rPr>
      <w:rFonts w:ascii="Calibri" w:eastAsia="Calibri" w:hAnsi="Calibri" w:cs="Mangal"/>
      <w:sz w:val="22"/>
      <w:szCs w:val="22"/>
      <w:lang w:eastAsia="ar-SA"/>
    </w:rPr>
  </w:style>
  <w:style w:type="paragraph" w:customStyle="1" w:styleId="1ff">
    <w:name w:val="Указатель1"/>
    <w:basedOn w:val="a1"/>
    <w:rsid w:val="0049053C"/>
    <w:pPr>
      <w:suppressLineNumbers/>
      <w:suppressAutoHyphens/>
      <w:spacing w:line="288" w:lineRule="auto"/>
      <w:ind w:firstLine="567"/>
      <w:jc w:val="both"/>
    </w:pPr>
    <w:rPr>
      <w:rFonts w:ascii="Calibri" w:eastAsia="Calibri" w:hAnsi="Calibri" w:cs="Mangal"/>
      <w:sz w:val="22"/>
      <w:szCs w:val="22"/>
      <w:lang w:eastAsia="ar-SA"/>
    </w:rPr>
  </w:style>
  <w:style w:type="paragraph" w:customStyle="1" w:styleId="afffff0">
    <w:name w:val="Заголовок таблицы"/>
    <w:basedOn w:val="affff5"/>
    <w:rsid w:val="0049053C"/>
    <w:pPr>
      <w:widowControl w:val="0"/>
      <w:suppressAutoHyphens/>
      <w:spacing w:line="240" w:lineRule="auto"/>
      <w:ind w:firstLine="567"/>
      <w:jc w:val="center"/>
    </w:pPr>
    <w:rPr>
      <w:rFonts w:ascii="Arial" w:eastAsia="Arial Unicode MS" w:hAnsi="Arial" w:cs="Times New Roman"/>
      <w:b/>
      <w:bCs/>
      <w:kern w:val="1"/>
      <w:sz w:val="20"/>
      <w:szCs w:val="24"/>
      <w:lang w:eastAsia="ar-SA"/>
    </w:rPr>
  </w:style>
  <w:style w:type="character" w:customStyle="1" w:styleId="slug-pub-date3">
    <w:name w:val="slug-pub-date3"/>
    <w:rsid w:val="0049053C"/>
    <w:rPr>
      <w:b/>
      <w:bCs/>
    </w:rPr>
  </w:style>
  <w:style w:type="character" w:customStyle="1" w:styleId="slug-vol">
    <w:name w:val="slug-vol"/>
    <w:rsid w:val="0049053C"/>
  </w:style>
  <w:style w:type="character" w:customStyle="1" w:styleId="slug-issue">
    <w:name w:val="slug-issue"/>
    <w:rsid w:val="0049053C"/>
  </w:style>
  <w:style w:type="character" w:customStyle="1" w:styleId="slug-pages3">
    <w:name w:val="slug-pages3"/>
    <w:rsid w:val="0049053C"/>
    <w:rPr>
      <w:b/>
      <w:bCs/>
    </w:rPr>
  </w:style>
  <w:style w:type="paragraph" w:customStyle="1" w:styleId="LTGliederung1">
    <w:name w:val="???????~LT~Gliederung 1"/>
    <w:rsid w:val="0049053C"/>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pPr>
    <w:rPr>
      <w:rFonts w:ascii="Mangal" w:eastAsia="Mangal" w:hAnsi="Mangal" w:cs="Mangal"/>
      <w:color w:val="000000"/>
      <w:sz w:val="64"/>
      <w:szCs w:val="64"/>
      <w:lang w:eastAsia="hi-IN" w:bidi="hi-IN"/>
    </w:rPr>
  </w:style>
  <w:style w:type="character" w:customStyle="1" w:styleId="9PalatinoLinotype">
    <w:name w:val="Основной текст (9) + Palatino Linotype"/>
    <w:aliases w:val="7,5 pt"/>
    <w:uiPriority w:val="99"/>
    <w:rsid w:val="0049053C"/>
    <w:rPr>
      <w:rFonts w:ascii="Palatino Linotype" w:hAnsi="Palatino Linotype" w:cs="Palatino Linotype"/>
      <w:spacing w:val="0"/>
      <w:sz w:val="15"/>
      <w:szCs w:val="15"/>
    </w:rPr>
  </w:style>
  <w:style w:type="table" w:customStyle="1" w:styleId="510">
    <w:name w:val="Таблица простая 51"/>
    <w:basedOn w:val="a5"/>
    <w:uiPriority w:val="45"/>
    <w:rsid w:val="0049053C"/>
    <w:rPr>
      <w:rFonts w:ascii="Calibri" w:eastAsia="Calibri" w:hAnsi="Calibri" w:cs="Times New Roman"/>
      <w:szCs w:val="20"/>
      <w:lang w:eastAsia="ru-RU"/>
    </w:rPr>
    <w:tblPr>
      <w:tblStyleRowBandSize w:val="1"/>
      <w:tblStyleColBandSize w:val="1"/>
    </w:tblPr>
    <w:tblStylePr w:type="firstRow">
      <w:rPr>
        <w:rFonts w:ascii="Arial Unicode MS" w:eastAsia="Times New Roman" w:hAnsi="Arial Unicode MS" w:cs="Times New Roman"/>
        <w:i/>
        <w:iCs/>
        <w:sz w:val="26"/>
      </w:rPr>
      <w:tblPr/>
      <w:tcPr>
        <w:tcBorders>
          <w:bottom w:val="single" w:sz="4" w:space="0" w:color="7F7F7F"/>
        </w:tcBorders>
        <w:shd w:val="clear" w:color="auto" w:fill="FFFFFF"/>
      </w:tcPr>
    </w:tblStylePr>
    <w:tblStylePr w:type="lastRow">
      <w:rPr>
        <w:rFonts w:ascii="Arial Unicode MS" w:eastAsia="Times New Roman" w:hAnsi="Arial Unicode MS" w:cs="Times New Roman"/>
        <w:i/>
        <w:iCs/>
        <w:sz w:val="26"/>
      </w:rPr>
      <w:tblPr/>
      <w:tcPr>
        <w:tcBorders>
          <w:top w:val="single" w:sz="4" w:space="0" w:color="7F7F7F"/>
        </w:tcBorders>
        <w:shd w:val="clear" w:color="auto" w:fill="FFFFFF"/>
      </w:tcPr>
    </w:tblStylePr>
    <w:tblStylePr w:type="firstCol">
      <w:pPr>
        <w:jc w:val="right"/>
      </w:pPr>
      <w:rPr>
        <w:rFonts w:ascii="Arial Unicode MS" w:eastAsia="Times New Roman" w:hAnsi="Arial Unicode MS" w:cs="Times New Roman"/>
        <w:i/>
        <w:iCs/>
        <w:sz w:val="26"/>
      </w:rPr>
      <w:tblPr/>
      <w:tcPr>
        <w:tcBorders>
          <w:right w:val="single" w:sz="4" w:space="0" w:color="7F7F7F"/>
        </w:tcBorders>
        <w:shd w:val="clear" w:color="auto" w:fill="FFFFFF"/>
      </w:tcPr>
    </w:tblStylePr>
    <w:tblStylePr w:type="lastCol">
      <w:rPr>
        <w:rFonts w:ascii="Arial Unicode MS" w:eastAsia="Times New Roman" w:hAnsi="Arial Unicode MS"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bsatz-Standardschriftart">
    <w:name w:val="Absatz-Standardschriftart"/>
    <w:rsid w:val="0049053C"/>
  </w:style>
  <w:style w:type="character" w:customStyle="1" w:styleId="WW-Absatz-Standardschriftart">
    <w:name w:val="WW-Absatz-Standardschriftart"/>
    <w:rsid w:val="0049053C"/>
  </w:style>
  <w:style w:type="paragraph" w:customStyle="1" w:styleId="p1">
    <w:name w:val="p1"/>
    <w:basedOn w:val="a1"/>
    <w:rsid w:val="0049053C"/>
    <w:rPr>
      <w:rFonts w:ascii="Helvetica Neue" w:eastAsia="Calibri" w:hAnsi="Helvetica Neue"/>
      <w:color w:val="000000"/>
      <w:sz w:val="20"/>
      <w:szCs w:val="20"/>
    </w:rPr>
  </w:style>
  <w:style w:type="paragraph" w:customStyle="1" w:styleId="ListParagraph1">
    <w:name w:val="List Paragraph1"/>
    <w:basedOn w:val="a1"/>
    <w:rsid w:val="0049053C"/>
    <w:pPr>
      <w:suppressAutoHyphens/>
      <w:spacing w:after="200" w:line="276" w:lineRule="auto"/>
    </w:pPr>
    <w:rPr>
      <w:rFonts w:ascii="Calibri" w:eastAsia="Calibri" w:hAnsi="Calibri" w:cs="Calibri"/>
      <w:sz w:val="22"/>
      <w:szCs w:val="22"/>
      <w:lang w:val="nl-NL" w:eastAsia="ar-SA"/>
    </w:rPr>
  </w:style>
  <w:style w:type="character" w:customStyle="1" w:styleId="Caaieiaie1Ciae">
    <w:name w:val="Caaieiaie 1 Ciae"/>
    <w:uiPriority w:val="99"/>
    <w:rsid w:val="0049053C"/>
    <w:rPr>
      <w:rFonts w:ascii="Cambria" w:hAnsi="Cambria" w:cs="Cambria"/>
      <w:b/>
      <w:bCs/>
      <w:kern w:val="32"/>
      <w:sz w:val="32"/>
      <w:szCs w:val="32"/>
    </w:rPr>
  </w:style>
  <w:style w:type="character" w:customStyle="1" w:styleId="Caaieiaie2Ciae">
    <w:name w:val="Caaieiaie 2 Ciae"/>
    <w:uiPriority w:val="99"/>
    <w:rsid w:val="0049053C"/>
    <w:rPr>
      <w:rFonts w:ascii="Cambria" w:hAnsi="Cambria" w:cs="Cambria"/>
      <w:b/>
      <w:bCs/>
      <w:i/>
      <w:iCs/>
      <w:sz w:val="28"/>
      <w:szCs w:val="28"/>
    </w:rPr>
  </w:style>
  <w:style w:type="character" w:customStyle="1" w:styleId="Caaieiaie3Ciae">
    <w:name w:val="Caaieiaie 3 Ciae"/>
    <w:uiPriority w:val="99"/>
    <w:rsid w:val="0049053C"/>
    <w:rPr>
      <w:rFonts w:ascii="Cambria" w:hAnsi="Cambria" w:cs="Cambria"/>
      <w:b/>
      <w:bCs/>
      <w:sz w:val="26"/>
      <w:szCs w:val="26"/>
    </w:rPr>
  </w:style>
  <w:style w:type="character" w:customStyle="1" w:styleId="Caaieiaie4Ciae">
    <w:name w:val="Caaieiaie 4 Ciae"/>
    <w:uiPriority w:val="99"/>
    <w:rsid w:val="0049053C"/>
    <w:rPr>
      <w:rFonts w:ascii="Times New Roman" w:hAnsi="Times New Roman" w:cs="Times New Roman"/>
      <w:b/>
      <w:bCs/>
      <w:sz w:val="28"/>
      <w:szCs w:val="28"/>
    </w:rPr>
  </w:style>
  <w:style w:type="character" w:customStyle="1" w:styleId="Caaieiaie5Ciae">
    <w:name w:val="Caaieiaie 5 Ciae"/>
    <w:uiPriority w:val="99"/>
    <w:rsid w:val="0049053C"/>
    <w:rPr>
      <w:rFonts w:cs="Times New Roman"/>
      <w:b/>
      <w:bCs/>
      <w:i/>
      <w:iCs/>
      <w:sz w:val="26"/>
      <w:szCs w:val="26"/>
    </w:rPr>
  </w:style>
  <w:style w:type="character" w:customStyle="1" w:styleId="Caaieiaie6Ciae">
    <w:name w:val="Caaieiaie 6 Ciae"/>
    <w:uiPriority w:val="99"/>
    <w:rsid w:val="0049053C"/>
    <w:rPr>
      <w:rFonts w:cs="Times New Roman"/>
      <w:b/>
      <w:bCs/>
    </w:rPr>
  </w:style>
  <w:style w:type="character" w:customStyle="1" w:styleId="Caaieiaie7Ciae">
    <w:name w:val="Caaieiaie 7 Ciae"/>
    <w:uiPriority w:val="99"/>
    <w:rsid w:val="0049053C"/>
    <w:rPr>
      <w:rFonts w:cs="Times New Roman"/>
      <w:sz w:val="24"/>
      <w:szCs w:val="24"/>
    </w:rPr>
  </w:style>
  <w:style w:type="character" w:customStyle="1" w:styleId="Caaieiaie1Ciae1">
    <w:name w:val="Caaieiaie 1 Ciae1"/>
    <w:uiPriority w:val="99"/>
    <w:rsid w:val="0049053C"/>
    <w:rPr>
      <w:rFonts w:ascii="Cambria" w:hAnsi="Cambria" w:cs="Cambria"/>
      <w:b/>
      <w:bCs/>
      <w:kern w:val="32"/>
      <w:sz w:val="32"/>
      <w:szCs w:val="32"/>
    </w:rPr>
  </w:style>
  <w:style w:type="character" w:customStyle="1" w:styleId="Caaieiaie2Ciae1">
    <w:name w:val="Caaieiaie 2 Ciae1"/>
    <w:uiPriority w:val="99"/>
    <w:rsid w:val="0049053C"/>
    <w:rPr>
      <w:rFonts w:ascii="Cambria" w:hAnsi="Cambria" w:cs="Cambria"/>
      <w:b/>
      <w:bCs/>
      <w:i/>
      <w:iCs/>
      <w:sz w:val="28"/>
      <w:szCs w:val="28"/>
    </w:rPr>
  </w:style>
  <w:style w:type="character" w:customStyle="1" w:styleId="Caaieiaie3Ciae1">
    <w:name w:val="Caaieiaie 3 Ciae1"/>
    <w:uiPriority w:val="99"/>
    <w:rsid w:val="0049053C"/>
    <w:rPr>
      <w:rFonts w:ascii="Cambria" w:hAnsi="Cambria" w:cs="Cambria"/>
      <w:b/>
      <w:bCs/>
      <w:sz w:val="26"/>
      <w:szCs w:val="26"/>
    </w:rPr>
  </w:style>
  <w:style w:type="character" w:customStyle="1" w:styleId="Caaieiaie4Ciae1">
    <w:name w:val="Caaieiaie 4 Ciae1"/>
    <w:uiPriority w:val="99"/>
    <w:rsid w:val="0049053C"/>
    <w:rPr>
      <w:rFonts w:ascii="Times New Roman" w:hAnsi="Times New Roman" w:cs="Times New Roman"/>
      <w:b/>
      <w:bCs/>
      <w:sz w:val="28"/>
      <w:szCs w:val="28"/>
    </w:rPr>
  </w:style>
  <w:style w:type="character" w:customStyle="1" w:styleId="Caaieiaie5Ciae1">
    <w:name w:val="Caaieiaie 5 Ciae1"/>
    <w:uiPriority w:val="99"/>
    <w:rsid w:val="0049053C"/>
    <w:rPr>
      <w:rFonts w:cs="Times New Roman"/>
      <w:b/>
      <w:bCs/>
      <w:i/>
      <w:iCs/>
      <w:sz w:val="26"/>
      <w:szCs w:val="26"/>
    </w:rPr>
  </w:style>
  <w:style w:type="character" w:customStyle="1" w:styleId="Caaieiaie6Ciae1">
    <w:name w:val="Caaieiaie 6 Ciae1"/>
    <w:uiPriority w:val="99"/>
    <w:rsid w:val="0049053C"/>
    <w:rPr>
      <w:rFonts w:cs="Times New Roman"/>
      <w:b/>
      <w:bCs/>
    </w:rPr>
  </w:style>
  <w:style w:type="character" w:customStyle="1" w:styleId="Caaieiaie7Ciae1">
    <w:name w:val="Caaieiaie 7 Ciae1"/>
    <w:uiPriority w:val="99"/>
    <w:rsid w:val="0049053C"/>
    <w:rPr>
      <w:rFonts w:cs="Times New Roman"/>
      <w:sz w:val="24"/>
      <w:szCs w:val="24"/>
    </w:rPr>
  </w:style>
  <w:style w:type="paragraph" w:customStyle="1" w:styleId="Heading5">
    <w:name w:val="Heading5"/>
    <w:basedOn w:val="a1"/>
    <w:uiPriority w:val="99"/>
    <w:rsid w:val="0049053C"/>
    <w:pPr>
      <w:autoSpaceDE w:val="0"/>
      <w:autoSpaceDN w:val="0"/>
      <w:adjustRightInd w:val="0"/>
      <w:spacing w:before="100" w:after="100"/>
    </w:pPr>
    <w:rPr>
      <w:b/>
      <w:bCs/>
      <w:i/>
      <w:iCs/>
    </w:rPr>
  </w:style>
  <w:style w:type="paragraph" w:customStyle="1" w:styleId="FitzBullet">
    <w:name w:val="FitzBullet"/>
    <w:basedOn w:val="a1"/>
    <w:uiPriority w:val="99"/>
    <w:rsid w:val="0049053C"/>
    <w:pPr>
      <w:shd w:val="clear" w:color="auto" w:fill="FFFFFF"/>
      <w:tabs>
        <w:tab w:val="left" w:pos="317"/>
      </w:tabs>
      <w:autoSpaceDE w:val="0"/>
      <w:autoSpaceDN w:val="0"/>
      <w:adjustRightInd w:val="0"/>
      <w:spacing w:before="60" w:after="60"/>
      <w:ind w:left="283" w:hanging="283"/>
    </w:pPr>
    <w:rPr>
      <w:color w:val="000000"/>
    </w:rPr>
  </w:style>
  <w:style w:type="paragraph" w:customStyle="1" w:styleId="author0">
    <w:name w:val="author"/>
    <w:basedOn w:val="3"/>
    <w:uiPriority w:val="99"/>
    <w:rsid w:val="0049053C"/>
    <w:pPr>
      <w:widowControl w:val="0"/>
      <w:shd w:val="clear" w:color="auto" w:fill="FFFFFF"/>
      <w:autoSpaceDE w:val="0"/>
      <w:autoSpaceDN w:val="0"/>
      <w:adjustRightInd w:val="0"/>
      <w:spacing w:after="40" w:line="240" w:lineRule="auto"/>
      <w:jc w:val="left"/>
      <w:outlineLvl w:val="9"/>
    </w:pPr>
    <w:rPr>
      <w:rFonts w:ascii="Arial" w:eastAsia="Times New Roman" w:hAnsi="Arial" w:cs="Arial"/>
      <w:color w:val="auto"/>
      <w:sz w:val="26"/>
      <w:szCs w:val="26"/>
      <w:lang w:val="en-US" w:eastAsia="ru-RU"/>
    </w:rPr>
  </w:style>
  <w:style w:type="paragraph" w:customStyle="1" w:styleId="Bullet-2">
    <w:name w:val="Bullet-2"/>
    <w:basedOn w:val="FitzBullet"/>
    <w:uiPriority w:val="99"/>
    <w:rsid w:val="0049053C"/>
    <w:pPr>
      <w:tabs>
        <w:tab w:val="clear" w:pos="317"/>
        <w:tab w:val="left" w:pos="1134"/>
      </w:tabs>
      <w:ind w:left="1417"/>
    </w:pPr>
    <w:rPr>
      <w:lang w:val="en-US"/>
    </w:rPr>
  </w:style>
  <w:style w:type="character" w:customStyle="1" w:styleId="sokr">
    <w:name w:val="sokr"/>
    <w:rsid w:val="0049053C"/>
  </w:style>
  <w:style w:type="paragraph" w:customStyle="1" w:styleId="opisdvfld">
    <w:name w:val="opis_dvfld"/>
    <w:basedOn w:val="a1"/>
    <w:rsid w:val="0049053C"/>
    <w:pPr>
      <w:spacing w:before="100" w:beforeAutospacing="1" w:after="100" w:afterAutospacing="1"/>
    </w:pPr>
  </w:style>
  <w:style w:type="paragraph" w:customStyle="1" w:styleId="afffff1">
    <w:name w:val="Литература"/>
    <w:basedOn w:val="a1"/>
    <w:qFormat/>
    <w:rsid w:val="0049053C"/>
    <w:pPr>
      <w:suppressAutoHyphens/>
      <w:spacing w:after="120"/>
    </w:pPr>
    <w:rPr>
      <w:rFonts w:eastAsia="Calibri"/>
      <w:i/>
      <w:kern w:val="2"/>
      <w:lang w:val="en-US" w:eastAsia="en-US"/>
    </w:rPr>
  </w:style>
  <w:style w:type="character" w:customStyle="1" w:styleId="cit">
    <w:name w:val="cit"/>
    <w:basedOn w:val="a4"/>
    <w:rsid w:val="0049053C"/>
  </w:style>
  <w:style w:type="character" w:customStyle="1" w:styleId="al-author-delim">
    <w:name w:val="al-author-delim"/>
    <w:basedOn w:val="a4"/>
    <w:rsid w:val="0049053C"/>
  </w:style>
  <w:style w:type="character" w:styleId="afffff2">
    <w:name w:val="line number"/>
    <w:basedOn w:val="a4"/>
    <w:uiPriority w:val="99"/>
    <w:semiHidden/>
    <w:unhideWhenUsed/>
    <w:rsid w:val="0049053C"/>
  </w:style>
  <w:style w:type="character" w:customStyle="1" w:styleId="author-sup-separator">
    <w:name w:val="author-sup-separator"/>
    <w:rsid w:val="0049053C"/>
  </w:style>
  <w:style w:type="character" w:customStyle="1" w:styleId="comma">
    <w:name w:val="comma"/>
    <w:rsid w:val="0049053C"/>
  </w:style>
  <w:style w:type="character" w:customStyle="1" w:styleId="citation-doi">
    <w:name w:val="citation-doi"/>
    <w:rsid w:val="0049053C"/>
  </w:style>
  <w:style w:type="character" w:customStyle="1" w:styleId="st">
    <w:name w:val="st"/>
    <w:rsid w:val="0049053C"/>
  </w:style>
  <w:style w:type="character" w:customStyle="1" w:styleId="2d">
    <w:name w:val="Строгий2"/>
    <w:rsid w:val="0049053C"/>
  </w:style>
  <w:style w:type="character" w:customStyle="1" w:styleId="pagelast">
    <w:name w:val="pagelast"/>
    <w:uiPriority w:val="99"/>
    <w:rsid w:val="0049053C"/>
    <w:rPr>
      <w:rFonts w:cs="Times New Roman"/>
    </w:rPr>
  </w:style>
  <w:style w:type="paragraph" w:customStyle="1" w:styleId="Autor">
    <w:name w:val="Autor"/>
    <w:basedOn w:val="a1"/>
    <w:rsid w:val="0049053C"/>
    <w:pPr>
      <w:widowControl w:val="0"/>
      <w:shd w:val="clear" w:color="auto" w:fill="FFFFFF"/>
      <w:overflowPunct w:val="0"/>
      <w:autoSpaceDE w:val="0"/>
      <w:autoSpaceDN w:val="0"/>
      <w:adjustRightInd w:val="0"/>
      <w:spacing w:before="120" w:line="240" w:lineRule="atLeast"/>
      <w:textAlignment w:val="baseline"/>
    </w:pPr>
    <w:rPr>
      <w:rFonts w:eastAsia="Calibri"/>
      <w:i/>
      <w:iCs/>
      <w:sz w:val="22"/>
      <w:szCs w:val="22"/>
      <w:lang w:val="en-US"/>
    </w:rPr>
  </w:style>
  <w:style w:type="paragraph" w:customStyle="1" w:styleId="table-name">
    <w:name w:val="table-name"/>
    <w:basedOn w:val="a1"/>
    <w:rsid w:val="0049053C"/>
    <w:pPr>
      <w:autoSpaceDE w:val="0"/>
      <w:autoSpaceDN w:val="0"/>
      <w:adjustRightInd w:val="0"/>
      <w:spacing w:before="40"/>
      <w:ind w:firstLine="425"/>
    </w:pPr>
    <w:rPr>
      <w:b/>
      <w:bCs/>
      <w:color w:val="000000"/>
      <w:sz w:val="20"/>
      <w:szCs w:val="20"/>
      <w:lang w:val="en-US"/>
    </w:rPr>
  </w:style>
  <w:style w:type="paragraph" w:customStyle="1" w:styleId="Table-head-italic">
    <w:name w:val="Table-head-italic"/>
    <w:basedOn w:val="a1"/>
    <w:rsid w:val="0049053C"/>
    <w:pPr>
      <w:widowControl w:val="0"/>
      <w:shd w:val="clear" w:color="auto" w:fill="FFFFFF"/>
      <w:autoSpaceDE w:val="0"/>
      <w:autoSpaceDN w:val="0"/>
      <w:adjustRightInd w:val="0"/>
    </w:pPr>
    <w:rPr>
      <w:i/>
      <w:iCs/>
      <w:sz w:val="18"/>
      <w:szCs w:val="18"/>
      <w:lang w:val="en-US"/>
    </w:rPr>
  </w:style>
  <w:style w:type="paragraph" w:customStyle="1" w:styleId="table-text-0">
    <w:name w:val="table-text-0"/>
    <w:basedOn w:val="a1"/>
    <w:rsid w:val="0049053C"/>
    <w:pPr>
      <w:autoSpaceDE w:val="0"/>
      <w:autoSpaceDN w:val="0"/>
      <w:adjustRightInd w:val="0"/>
      <w:spacing w:before="40"/>
      <w:ind w:left="113" w:firstLine="425"/>
    </w:pPr>
    <w:rPr>
      <w:sz w:val="20"/>
      <w:szCs w:val="20"/>
      <w:lang w:val="en-US"/>
    </w:rPr>
  </w:style>
  <w:style w:type="paragraph" w:customStyle="1" w:styleId="FitzFootnote">
    <w:name w:val="FitzFootnote"/>
    <w:basedOn w:val="a1"/>
    <w:rsid w:val="0049053C"/>
    <w:pPr>
      <w:shd w:val="clear" w:color="auto" w:fill="FFFFFF"/>
      <w:autoSpaceDE w:val="0"/>
      <w:autoSpaceDN w:val="0"/>
      <w:adjustRightInd w:val="0"/>
      <w:spacing w:before="60" w:after="60"/>
    </w:pPr>
    <w:rPr>
      <w:color w:val="000000"/>
      <w:sz w:val="18"/>
      <w:szCs w:val="18"/>
      <w:lang w:val="en-US"/>
    </w:rPr>
  </w:style>
  <w:style w:type="paragraph" w:customStyle="1" w:styleId="table-text-1">
    <w:name w:val="table-text-1"/>
    <w:basedOn w:val="a1"/>
    <w:rsid w:val="0049053C"/>
    <w:pPr>
      <w:overflowPunct w:val="0"/>
      <w:autoSpaceDE w:val="0"/>
      <w:autoSpaceDN w:val="0"/>
      <w:adjustRightInd w:val="0"/>
      <w:spacing w:before="40" w:after="40"/>
      <w:ind w:left="340" w:hanging="170"/>
      <w:textAlignment w:val="baseline"/>
    </w:pPr>
    <w:rPr>
      <w:color w:val="000000"/>
      <w:sz w:val="17"/>
      <w:szCs w:val="20"/>
    </w:rPr>
  </w:style>
  <w:style w:type="paragraph" w:customStyle="1" w:styleId="formula">
    <w:name w:val="formula"/>
    <w:basedOn w:val="a1"/>
    <w:rsid w:val="0049053C"/>
    <w:pPr>
      <w:shd w:val="clear" w:color="auto" w:fill="FFFFFF"/>
      <w:tabs>
        <w:tab w:val="left" w:pos="394"/>
      </w:tabs>
      <w:overflowPunct w:val="0"/>
      <w:autoSpaceDE w:val="0"/>
      <w:autoSpaceDN w:val="0"/>
      <w:adjustRightInd w:val="0"/>
      <w:spacing w:before="60" w:after="60"/>
      <w:ind w:firstLine="227"/>
      <w:textAlignment w:val="baseline"/>
    </w:pPr>
    <w:rPr>
      <w:sz w:val="20"/>
      <w:szCs w:val="20"/>
    </w:rPr>
  </w:style>
  <w:style w:type="paragraph" w:customStyle="1" w:styleId="1ff0">
    <w:name w:val="Обычный (веб)1"/>
    <w:basedOn w:val="a1"/>
    <w:uiPriority w:val="99"/>
    <w:unhideWhenUsed/>
    <w:qFormat/>
    <w:rsid w:val="0049053C"/>
    <w:pPr>
      <w:spacing w:line="360" w:lineRule="auto"/>
      <w:ind w:firstLine="709"/>
      <w:jc w:val="both"/>
    </w:pPr>
  </w:style>
  <w:style w:type="character" w:customStyle="1" w:styleId="highlight1">
    <w:name w:val="highlight1"/>
    <w:basedOn w:val="a4"/>
    <w:rsid w:val="0049053C"/>
  </w:style>
  <w:style w:type="character" w:customStyle="1" w:styleId="element-citation">
    <w:name w:val="element-citation"/>
    <w:basedOn w:val="a4"/>
    <w:rsid w:val="0049053C"/>
  </w:style>
  <w:style w:type="character" w:customStyle="1" w:styleId="ref-journal">
    <w:name w:val="ref-journal"/>
    <w:basedOn w:val="a4"/>
    <w:rsid w:val="0049053C"/>
  </w:style>
  <w:style w:type="character" w:customStyle="1" w:styleId="ref-vol">
    <w:name w:val="ref-vol"/>
    <w:basedOn w:val="a4"/>
    <w:rsid w:val="0049053C"/>
  </w:style>
  <w:style w:type="character" w:customStyle="1" w:styleId="nowrap">
    <w:name w:val="nowrap"/>
    <w:basedOn w:val="a4"/>
    <w:rsid w:val="0049053C"/>
  </w:style>
  <w:style w:type="paragraph" w:customStyle="1" w:styleId="1ff1">
    <w:name w:val="Заголовок оглавления1"/>
    <w:basedOn w:val="11"/>
    <w:rsid w:val="0049053C"/>
    <w:pPr>
      <w:suppressAutoHyphens w:val="0"/>
      <w:spacing w:after="120" w:line="276" w:lineRule="auto"/>
      <w:jc w:val="center"/>
    </w:pPr>
    <w:rPr>
      <w:rFonts w:eastAsia="Times New Roman"/>
      <w:sz w:val="22"/>
      <w:szCs w:val="20"/>
      <w:u w:val="none"/>
    </w:rPr>
  </w:style>
  <w:style w:type="paragraph" w:customStyle="1" w:styleId="36">
    <w:name w:val="3"/>
    <w:basedOn w:val="a1"/>
    <w:link w:val="37"/>
    <w:qFormat/>
    <w:rsid w:val="0049053C"/>
    <w:pPr>
      <w:spacing w:line="360" w:lineRule="auto"/>
      <w:ind w:left="142"/>
      <w:contextualSpacing/>
      <w:jc w:val="both"/>
    </w:pPr>
    <w:rPr>
      <w:rFonts w:eastAsia="Calibri"/>
      <w:szCs w:val="22"/>
      <w:lang w:eastAsia="en-US"/>
    </w:rPr>
  </w:style>
  <w:style w:type="character" w:customStyle="1" w:styleId="37">
    <w:name w:val="3 Знак"/>
    <w:basedOn w:val="a4"/>
    <w:link w:val="36"/>
    <w:rsid w:val="0049053C"/>
    <w:rPr>
      <w:rFonts w:ascii="Times New Roman" w:eastAsia="Calibri" w:hAnsi="Times New Roman" w:cs="Times New Roman"/>
      <w:sz w:val="24"/>
    </w:rPr>
  </w:style>
  <w:style w:type="paragraph" w:styleId="42">
    <w:name w:val="toc 4"/>
    <w:basedOn w:val="a1"/>
    <w:next w:val="a1"/>
    <w:autoRedefine/>
    <w:uiPriority w:val="39"/>
    <w:unhideWhenUsed/>
    <w:rsid w:val="0049053C"/>
    <w:pPr>
      <w:spacing w:line="360" w:lineRule="auto"/>
      <w:ind w:left="720" w:firstLine="709"/>
    </w:pPr>
    <w:rPr>
      <w:rFonts w:asciiTheme="minorHAnsi" w:eastAsia="Calibri" w:hAnsiTheme="minorHAnsi"/>
      <w:sz w:val="20"/>
      <w:szCs w:val="20"/>
      <w:lang w:eastAsia="en-US"/>
    </w:rPr>
  </w:style>
  <w:style w:type="paragraph" w:styleId="52">
    <w:name w:val="toc 5"/>
    <w:basedOn w:val="a1"/>
    <w:next w:val="a1"/>
    <w:autoRedefine/>
    <w:uiPriority w:val="39"/>
    <w:unhideWhenUsed/>
    <w:rsid w:val="0049053C"/>
    <w:pPr>
      <w:spacing w:line="360" w:lineRule="auto"/>
      <w:ind w:left="960" w:firstLine="709"/>
    </w:pPr>
    <w:rPr>
      <w:rFonts w:asciiTheme="minorHAnsi" w:eastAsia="Calibri" w:hAnsiTheme="minorHAnsi"/>
      <w:sz w:val="20"/>
      <w:szCs w:val="20"/>
      <w:lang w:eastAsia="en-US"/>
    </w:rPr>
  </w:style>
  <w:style w:type="paragraph" w:styleId="61">
    <w:name w:val="toc 6"/>
    <w:basedOn w:val="a1"/>
    <w:next w:val="a1"/>
    <w:autoRedefine/>
    <w:uiPriority w:val="39"/>
    <w:unhideWhenUsed/>
    <w:rsid w:val="0049053C"/>
    <w:pPr>
      <w:spacing w:line="360" w:lineRule="auto"/>
      <w:ind w:left="1200" w:firstLine="709"/>
    </w:pPr>
    <w:rPr>
      <w:rFonts w:asciiTheme="minorHAnsi" w:eastAsia="Calibri" w:hAnsiTheme="minorHAnsi"/>
      <w:sz w:val="20"/>
      <w:szCs w:val="20"/>
      <w:lang w:eastAsia="en-US"/>
    </w:rPr>
  </w:style>
  <w:style w:type="paragraph" w:styleId="72">
    <w:name w:val="toc 7"/>
    <w:basedOn w:val="a1"/>
    <w:next w:val="a1"/>
    <w:autoRedefine/>
    <w:uiPriority w:val="39"/>
    <w:unhideWhenUsed/>
    <w:rsid w:val="0049053C"/>
    <w:pPr>
      <w:spacing w:line="360" w:lineRule="auto"/>
      <w:ind w:left="1440" w:firstLine="709"/>
    </w:pPr>
    <w:rPr>
      <w:rFonts w:asciiTheme="minorHAnsi" w:eastAsia="Calibri" w:hAnsiTheme="minorHAnsi"/>
      <w:sz w:val="20"/>
      <w:szCs w:val="20"/>
      <w:lang w:eastAsia="en-US"/>
    </w:rPr>
  </w:style>
  <w:style w:type="paragraph" w:styleId="82">
    <w:name w:val="toc 8"/>
    <w:basedOn w:val="a1"/>
    <w:next w:val="a1"/>
    <w:autoRedefine/>
    <w:uiPriority w:val="39"/>
    <w:unhideWhenUsed/>
    <w:rsid w:val="0049053C"/>
    <w:pPr>
      <w:spacing w:line="360" w:lineRule="auto"/>
      <w:ind w:left="1680" w:firstLine="709"/>
    </w:pPr>
    <w:rPr>
      <w:rFonts w:asciiTheme="minorHAnsi" w:eastAsia="Calibri" w:hAnsiTheme="minorHAnsi"/>
      <w:sz w:val="20"/>
      <w:szCs w:val="20"/>
      <w:lang w:eastAsia="en-US"/>
    </w:rPr>
  </w:style>
  <w:style w:type="paragraph" w:styleId="92">
    <w:name w:val="toc 9"/>
    <w:basedOn w:val="a1"/>
    <w:next w:val="a1"/>
    <w:autoRedefine/>
    <w:uiPriority w:val="39"/>
    <w:unhideWhenUsed/>
    <w:rsid w:val="0049053C"/>
    <w:pPr>
      <w:spacing w:line="360" w:lineRule="auto"/>
      <w:ind w:left="1920" w:firstLine="709"/>
    </w:pPr>
    <w:rPr>
      <w:rFonts w:asciiTheme="minorHAnsi" w:eastAsia="Calibri" w:hAnsiTheme="minorHAnsi"/>
      <w:sz w:val="20"/>
      <w:szCs w:val="20"/>
      <w:lang w:eastAsia="en-US"/>
    </w:rPr>
  </w:style>
  <w:style w:type="paragraph" w:customStyle="1" w:styleId="table-head-bold">
    <w:name w:val="table-head-bold"/>
    <w:basedOn w:val="a1"/>
    <w:uiPriority w:val="99"/>
    <w:rsid w:val="0049053C"/>
    <w:pPr>
      <w:autoSpaceDE w:val="0"/>
      <w:autoSpaceDN w:val="0"/>
      <w:adjustRightInd w:val="0"/>
      <w:spacing w:before="40" w:line="360" w:lineRule="auto"/>
      <w:jc w:val="both"/>
    </w:pPr>
    <w:rPr>
      <w:rFonts w:eastAsia="Calibri"/>
      <w:b/>
      <w:bCs/>
      <w:sz w:val="20"/>
      <w:szCs w:val="20"/>
    </w:rPr>
  </w:style>
  <w:style w:type="paragraph" w:customStyle="1" w:styleId="table-ref">
    <w:name w:val="table-ref"/>
    <w:basedOn w:val="a1"/>
    <w:rsid w:val="0049053C"/>
    <w:pPr>
      <w:shd w:val="clear" w:color="auto" w:fill="FFFFFF"/>
      <w:tabs>
        <w:tab w:val="left" w:pos="394"/>
      </w:tabs>
      <w:overflowPunct w:val="0"/>
      <w:autoSpaceDE w:val="0"/>
      <w:autoSpaceDN w:val="0"/>
      <w:adjustRightInd w:val="0"/>
      <w:spacing w:before="40" w:after="40" w:line="360" w:lineRule="auto"/>
      <w:ind w:left="10" w:firstLine="284"/>
      <w:jc w:val="both"/>
      <w:textAlignment w:val="baseline"/>
    </w:pPr>
    <w:rPr>
      <w:rFonts w:eastAsia="Calibri"/>
      <w:color w:val="000000"/>
      <w:spacing w:val="-5"/>
      <w:sz w:val="15"/>
      <w:szCs w:val="20"/>
    </w:rPr>
  </w:style>
  <w:style w:type="paragraph" w:customStyle="1" w:styleId="1ff2">
    <w:name w:val="Обычный1"/>
    <w:rsid w:val="0049053C"/>
    <w:pPr>
      <w:widowControl w:val="0"/>
      <w:overflowPunct w:val="0"/>
      <w:autoSpaceDE w:val="0"/>
      <w:autoSpaceDN w:val="0"/>
      <w:adjustRightInd w:val="0"/>
      <w:textAlignment w:val="baseline"/>
    </w:pPr>
    <w:rPr>
      <w:rFonts w:ascii="Times New Roman" w:eastAsia="Times New Roman" w:hAnsi="Times New Roman" w:cs="Times New Roman"/>
      <w:szCs w:val="20"/>
      <w:lang w:eastAsia="ru-RU"/>
    </w:rPr>
  </w:style>
  <w:style w:type="paragraph" w:customStyle="1" w:styleId="bullet">
    <w:name w:val="bullet"/>
    <w:rsid w:val="0049053C"/>
    <w:pPr>
      <w:shd w:val="clear" w:color="auto" w:fill="FFFFFF"/>
      <w:tabs>
        <w:tab w:val="left" w:pos="360"/>
        <w:tab w:val="left" w:pos="394"/>
        <w:tab w:val="left" w:pos="1364"/>
      </w:tabs>
      <w:ind w:firstLine="397"/>
    </w:pPr>
    <w:rPr>
      <w:rFonts w:ascii="Times New Roman" w:eastAsia="Arial Unicode MS" w:hAnsi="Times New Roman" w:cs="Arial Unicode MS"/>
      <w:color w:val="000000"/>
      <w:spacing w:val="-7"/>
      <w:sz w:val="24"/>
      <w:szCs w:val="24"/>
      <w:u w:color="000000"/>
      <w:lang w:eastAsia="ru-RU"/>
    </w:rPr>
  </w:style>
  <w:style w:type="paragraph" w:customStyle="1" w:styleId="Literature">
    <w:name w:val="Literature"/>
    <w:rsid w:val="0049053C"/>
    <w:pPr>
      <w:shd w:val="clear" w:color="auto" w:fill="FFFFFF"/>
      <w:tabs>
        <w:tab w:val="left" w:pos="1068"/>
      </w:tabs>
      <w:spacing w:before="5"/>
      <w:ind w:left="720" w:hanging="360"/>
    </w:pPr>
    <w:rPr>
      <w:rFonts w:ascii="Times New Roman" w:eastAsia="Arial Unicode MS" w:hAnsi="Times New Roman" w:cs="Arial Unicode MS"/>
      <w:color w:val="000000"/>
      <w:spacing w:val="-1"/>
      <w:sz w:val="24"/>
      <w:szCs w:val="24"/>
      <w:u w:color="000000"/>
      <w:lang w:eastAsia="ru-RU"/>
    </w:rPr>
  </w:style>
  <w:style w:type="numbering" w:customStyle="1" w:styleId="1">
    <w:name w:val="Импортированный стиль 1"/>
    <w:rsid w:val="0049053C"/>
    <w:pPr>
      <w:numPr>
        <w:numId w:val="88"/>
      </w:numPr>
    </w:pPr>
  </w:style>
  <w:style w:type="character" w:customStyle="1" w:styleId="html-italic">
    <w:name w:val="html-italic"/>
    <w:basedOn w:val="a4"/>
    <w:rsid w:val="0049053C"/>
  </w:style>
  <w:style w:type="character" w:customStyle="1" w:styleId="highwire-cite-metadata-volume">
    <w:name w:val="highwire-cite-metadata-volume"/>
    <w:basedOn w:val="a4"/>
    <w:rsid w:val="0049053C"/>
  </w:style>
  <w:style w:type="character" w:customStyle="1" w:styleId="infolabel">
    <w:name w:val="info_label"/>
    <w:basedOn w:val="a4"/>
    <w:rsid w:val="0049053C"/>
  </w:style>
  <w:style w:type="character" w:customStyle="1" w:styleId="infovalue">
    <w:name w:val="info_value"/>
    <w:basedOn w:val="a4"/>
    <w:rsid w:val="0049053C"/>
  </w:style>
  <w:style w:type="paragraph" w:customStyle="1" w:styleId="table-head-left">
    <w:name w:val="table-head-left"/>
    <w:basedOn w:val="a1"/>
    <w:rsid w:val="0049053C"/>
    <w:pPr>
      <w:widowControl w:val="0"/>
      <w:shd w:val="clear" w:color="auto" w:fill="FFFFFF"/>
      <w:tabs>
        <w:tab w:val="left" w:pos="394"/>
      </w:tabs>
      <w:overflowPunct w:val="0"/>
      <w:autoSpaceDE w:val="0"/>
      <w:autoSpaceDN w:val="0"/>
      <w:adjustRightInd w:val="0"/>
      <w:spacing w:before="40" w:after="40" w:line="360" w:lineRule="auto"/>
      <w:ind w:left="57" w:hanging="57"/>
      <w:jc w:val="both"/>
      <w:textAlignment w:val="baseline"/>
    </w:pPr>
    <w:rPr>
      <w:rFonts w:eastAsia="Arial Unicode MS"/>
      <w:color w:val="000000"/>
      <w:spacing w:val="-5"/>
      <w:sz w:val="17"/>
      <w:szCs w:val="20"/>
    </w:rPr>
  </w:style>
  <w:style w:type="paragraph" w:customStyle="1" w:styleId="Insert">
    <w:name w:val="Insert"/>
    <w:basedOn w:val="a1"/>
    <w:autoRedefine/>
    <w:rsid w:val="0049053C"/>
    <w:pPr>
      <w:widowControl w:val="0"/>
      <w:overflowPunct w:val="0"/>
      <w:autoSpaceDE w:val="0"/>
      <w:autoSpaceDN w:val="0"/>
      <w:adjustRightInd w:val="0"/>
      <w:spacing w:line="264" w:lineRule="auto"/>
      <w:ind w:left="397" w:firstLine="425"/>
      <w:textAlignment w:val="baseline"/>
    </w:pPr>
    <w:rPr>
      <w:color w:val="000000"/>
      <w:szCs w:val="20"/>
      <w:lang w:val="en-US"/>
    </w:rPr>
  </w:style>
  <w:style w:type="paragraph" w:customStyle="1" w:styleId="Number2">
    <w:name w:val="Number2"/>
    <w:basedOn w:val="Number1"/>
    <w:rsid w:val="0049053C"/>
    <w:pPr>
      <w:spacing w:line="264" w:lineRule="auto"/>
      <w:ind w:left="426" w:hanging="142"/>
    </w:pPr>
  </w:style>
  <w:style w:type="paragraph" w:customStyle="1" w:styleId="figure">
    <w:name w:val="figure"/>
    <w:basedOn w:val="a1"/>
    <w:rsid w:val="0049053C"/>
    <w:pPr>
      <w:overflowPunct w:val="0"/>
      <w:autoSpaceDE w:val="0"/>
      <w:autoSpaceDN w:val="0"/>
      <w:adjustRightInd w:val="0"/>
      <w:spacing w:before="240" w:after="40" w:line="264" w:lineRule="auto"/>
      <w:ind w:firstLine="425"/>
      <w:textAlignment w:val="baseline"/>
    </w:pPr>
    <w:rPr>
      <w:szCs w:val="20"/>
    </w:rPr>
  </w:style>
  <w:style w:type="paragraph" w:customStyle="1" w:styleId="author-1">
    <w:name w:val="author-1"/>
    <w:basedOn w:val="Author"/>
    <w:rsid w:val="0049053C"/>
    <w:pPr>
      <w:keepNext/>
      <w:keepLines/>
      <w:overflowPunct/>
      <w:spacing w:before="60" w:after="120" w:line="264" w:lineRule="auto"/>
      <w:ind w:firstLine="425"/>
      <w:jc w:val="right"/>
      <w:textAlignment w:val="auto"/>
    </w:pPr>
    <w:rPr>
      <w:b/>
      <w:iCs/>
      <w:noProof/>
      <w:color w:val="000000"/>
      <w:sz w:val="20"/>
      <w:lang w:val="en-US"/>
    </w:rPr>
  </w:style>
  <w:style w:type="paragraph" w:customStyle="1" w:styleId="Insert1">
    <w:name w:val="Insert 1"/>
    <w:basedOn w:val="Insert"/>
    <w:rsid w:val="0049053C"/>
    <w:pPr>
      <w:ind w:left="0"/>
    </w:pPr>
    <w:rPr>
      <w:sz w:val="20"/>
      <w:lang w:val="ru-RU"/>
    </w:rPr>
  </w:style>
  <w:style w:type="paragraph" w:customStyle="1" w:styleId="Bullit-2">
    <w:name w:val="Bullit-2"/>
    <w:basedOn w:val="a1"/>
    <w:rsid w:val="0049053C"/>
    <w:pPr>
      <w:tabs>
        <w:tab w:val="left" w:pos="0"/>
        <w:tab w:val="left" w:pos="1160"/>
      </w:tabs>
      <w:autoSpaceDE w:val="0"/>
      <w:autoSpaceDN w:val="0"/>
      <w:adjustRightInd w:val="0"/>
      <w:spacing w:line="264" w:lineRule="auto"/>
      <w:ind w:left="754" w:hanging="357"/>
    </w:pPr>
    <w:rPr>
      <w:rFonts w:eastAsia="MS Mincho"/>
      <w:color w:val="000000"/>
      <w:szCs w:val="22"/>
      <w:lang w:val="en-US" w:eastAsia="ja-JP"/>
    </w:rPr>
  </w:style>
  <w:style w:type="character" w:customStyle="1" w:styleId="extended-textshort">
    <w:name w:val="extended-text__short"/>
    <w:basedOn w:val="a4"/>
    <w:rsid w:val="0049053C"/>
  </w:style>
  <w:style w:type="paragraph" w:customStyle="1" w:styleId="Normalfirst">
    <w:name w:val="Normalfirst"/>
    <w:basedOn w:val="a1"/>
    <w:rsid w:val="0049053C"/>
    <w:pPr>
      <w:autoSpaceDE w:val="0"/>
      <w:autoSpaceDN w:val="0"/>
      <w:adjustRightInd w:val="0"/>
    </w:pPr>
    <w:rPr>
      <w:rFonts w:eastAsia="MS Mincho"/>
      <w:lang w:eastAsia="ja-JP"/>
    </w:rPr>
  </w:style>
  <w:style w:type="paragraph" w:customStyle="1" w:styleId="xl68">
    <w:name w:val="xl68"/>
    <w:basedOn w:val="a1"/>
    <w:rsid w:val="0049053C"/>
    <w:pPr>
      <w:spacing w:before="100" w:beforeAutospacing="1" w:after="100" w:afterAutospacing="1"/>
    </w:pPr>
  </w:style>
  <w:style w:type="paragraph" w:customStyle="1" w:styleId="xl69">
    <w:name w:val="xl69"/>
    <w:basedOn w:val="a1"/>
    <w:rsid w:val="004905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70">
    <w:name w:val="xl70"/>
    <w:basedOn w:val="a1"/>
    <w:rsid w:val="0049053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xl71">
    <w:name w:val="xl71"/>
    <w:basedOn w:val="a1"/>
    <w:rsid w:val="0049053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xl65">
    <w:name w:val="xl65"/>
    <w:basedOn w:val="a1"/>
    <w:rsid w:val="0049053C"/>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0"/>
      <w:szCs w:val="20"/>
    </w:rPr>
  </w:style>
  <w:style w:type="paragraph" w:customStyle="1" w:styleId="xl66">
    <w:name w:val="xl66"/>
    <w:basedOn w:val="a1"/>
    <w:rsid w:val="0049053C"/>
    <w:pPr>
      <w:pBdr>
        <w:bottom w:val="single" w:sz="8" w:space="0" w:color="auto"/>
        <w:right w:val="single" w:sz="8" w:space="0" w:color="auto"/>
      </w:pBdr>
      <w:spacing w:before="100" w:beforeAutospacing="1" w:after="100" w:afterAutospacing="1"/>
      <w:textAlignment w:val="center"/>
    </w:pPr>
    <w:rPr>
      <w:rFonts w:ascii="Arial" w:hAnsi="Arial" w:cs="Arial"/>
      <w:color w:val="000000"/>
      <w:sz w:val="20"/>
      <w:szCs w:val="20"/>
    </w:rPr>
  </w:style>
  <w:style w:type="paragraph" w:customStyle="1" w:styleId="xl67">
    <w:name w:val="xl67"/>
    <w:basedOn w:val="a1"/>
    <w:rsid w:val="0049053C"/>
    <w:pPr>
      <w:pBdr>
        <w:left w:val="single" w:sz="8" w:space="0" w:color="auto"/>
        <w:bottom w:val="single" w:sz="8" w:space="0" w:color="auto"/>
        <w:right w:val="single" w:sz="8" w:space="0" w:color="auto"/>
      </w:pBdr>
      <w:spacing w:before="100" w:beforeAutospacing="1" w:after="100" w:afterAutospacing="1"/>
      <w:jc w:val="right"/>
      <w:textAlignment w:val="center"/>
    </w:pPr>
    <w:rPr>
      <w:rFonts w:ascii="Arial" w:hAnsi="Arial" w:cs="Arial"/>
      <w:color w:val="000000"/>
      <w:sz w:val="20"/>
      <w:szCs w:val="20"/>
    </w:rPr>
  </w:style>
  <w:style w:type="paragraph" w:customStyle="1" w:styleId="Standard">
    <w:name w:val="Standard"/>
    <w:rsid w:val="0049053C"/>
    <w:pPr>
      <w:suppressAutoHyphens/>
      <w:autoSpaceDN w:val="0"/>
      <w:spacing w:line="264" w:lineRule="auto"/>
      <w:ind w:firstLine="425"/>
      <w:textAlignment w:val="baseline"/>
    </w:pPr>
    <w:rPr>
      <w:rFonts w:ascii="Times New Roman" w:eastAsia="Times New Roman" w:hAnsi="Times New Roman" w:cs="Times New Roman"/>
      <w:kern w:val="3"/>
      <w:sz w:val="24"/>
      <w:szCs w:val="20"/>
      <w:lang w:val="en-GB" w:eastAsia="ru-RU"/>
    </w:rPr>
  </w:style>
  <w:style w:type="character" w:customStyle="1" w:styleId="fontstyle01">
    <w:name w:val="fontstyle01"/>
    <w:rsid w:val="0049053C"/>
    <w:rPr>
      <w:rFonts w:ascii="TimesNewRomanPS-ItalicMT" w:hAnsi="TimesNewRomanPS-ItalicMT" w:hint="default"/>
      <w:b w:val="0"/>
      <w:bCs w:val="0"/>
      <w:i/>
      <w:iCs/>
      <w:color w:val="FFFFFF"/>
      <w:sz w:val="32"/>
      <w:szCs w:val="32"/>
    </w:rPr>
  </w:style>
  <w:style w:type="character" w:customStyle="1" w:styleId="43">
    <w:name w:val="Неразрешенное упоминание4"/>
    <w:uiPriority w:val="99"/>
    <w:semiHidden/>
    <w:unhideWhenUsed/>
    <w:rsid w:val="0049053C"/>
    <w:rPr>
      <w:color w:val="605E5C"/>
      <w:shd w:val="clear" w:color="auto" w:fill="E1DFDD"/>
    </w:rPr>
  </w:style>
  <w:style w:type="character" w:customStyle="1" w:styleId="article-headermeta-info-label">
    <w:name w:val="article-header__meta-info-label"/>
    <w:basedOn w:val="a8"/>
    <w:rsid w:val="009D3818"/>
  </w:style>
  <w:style w:type="character" w:customStyle="1" w:styleId="article-headermeta-info-data">
    <w:name w:val="article-header__meta-info-data"/>
    <w:basedOn w:val="a8"/>
    <w:rsid w:val="009D38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27915">
      <w:bodyDiv w:val="1"/>
      <w:marLeft w:val="0"/>
      <w:marRight w:val="0"/>
      <w:marTop w:val="0"/>
      <w:marBottom w:val="0"/>
      <w:divBdr>
        <w:top w:val="none" w:sz="0" w:space="0" w:color="auto"/>
        <w:left w:val="none" w:sz="0" w:space="0" w:color="auto"/>
        <w:bottom w:val="none" w:sz="0" w:space="0" w:color="auto"/>
        <w:right w:val="none" w:sz="0" w:space="0" w:color="auto"/>
      </w:divBdr>
    </w:div>
    <w:div w:id="12608737">
      <w:bodyDiv w:val="1"/>
      <w:marLeft w:val="0"/>
      <w:marRight w:val="0"/>
      <w:marTop w:val="0"/>
      <w:marBottom w:val="0"/>
      <w:divBdr>
        <w:top w:val="none" w:sz="0" w:space="0" w:color="auto"/>
        <w:left w:val="none" w:sz="0" w:space="0" w:color="auto"/>
        <w:bottom w:val="none" w:sz="0" w:space="0" w:color="auto"/>
        <w:right w:val="none" w:sz="0" w:space="0" w:color="auto"/>
      </w:divBdr>
    </w:div>
    <w:div w:id="34082226">
      <w:bodyDiv w:val="1"/>
      <w:marLeft w:val="0"/>
      <w:marRight w:val="0"/>
      <w:marTop w:val="0"/>
      <w:marBottom w:val="0"/>
      <w:divBdr>
        <w:top w:val="none" w:sz="0" w:space="0" w:color="auto"/>
        <w:left w:val="none" w:sz="0" w:space="0" w:color="auto"/>
        <w:bottom w:val="none" w:sz="0" w:space="0" w:color="auto"/>
        <w:right w:val="none" w:sz="0" w:space="0" w:color="auto"/>
      </w:divBdr>
    </w:div>
    <w:div w:id="42482027">
      <w:bodyDiv w:val="1"/>
      <w:marLeft w:val="0"/>
      <w:marRight w:val="0"/>
      <w:marTop w:val="0"/>
      <w:marBottom w:val="0"/>
      <w:divBdr>
        <w:top w:val="none" w:sz="0" w:space="0" w:color="auto"/>
        <w:left w:val="none" w:sz="0" w:space="0" w:color="auto"/>
        <w:bottom w:val="none" w:sz="0" w:space="0" w:color="auto"/>
        <w:right w:val="none" w:sz="0" w:space="0" w:color="auto"/>
      </w:divBdr>
    </w:div>
    <w:div w:id="49771666">
      <w:bodyDiv w:val="1"/>
      <w:marLeft w:val="0"/>
      <w:marRight w:val="0"/>
      <w:marTop w:val="0"/>
      <w:marBottom w:val="0"/>
      <w:divBdr>
        <w:top w:val="none" w:sz="0" w:space="0" w:color="auto"/>
        <w:left w:val="none" w:sz="0" w:space="0" w:color="auto"/>
        <w:bottom w:val="none" w:sz="0" w:space="0" w:color="auto"/>
        <w:right w:val="none" w:sz="0" w:space="0" w:color="auto"/>
      </w:divBdr>
    </w:div>
    <w:div w:id="78521815">
      <w:bodyDiv w:val="1"/>
      <w:marLeft w:val="0"/>
      <w:marRight w:val="0"/>
      <w:marTop w:val="0"/>
      <w:marBottom w:val="0"/>
      <w:divBdr>
        <w:top w:val="none" w:sz="0" w:space="0" w:color="auto"/>
        <w:left w:val="none" w:sz="0" w:space="0" w:color="auto"/>
        <w:bottom w:val="none" w:sz="0" w:space="0" w:color="auto"/>
        <w:right w:val="none" w:sz="0" w:space="0" w:color="auto"/>
      </w:divBdr>
    </w:div>
    <w:div w:id="105782722">
      <w:bodyDiv w:val="1"/>
      <w:marLeft w:val="0"/>
      <w:marRight w:val="0"/>
      <w:marTop w:val="0"/>
      <w:marBottom w:val="0"/>
      <w:divBdr>
        <w:top w:val="none" w:sz="0" w:space="0" w:color="auto"/>
        <w:left w:val="none" w:sz="0" w:space="0" w:color="auto"/>
        <w:bottom w:val="none" w:sz="0" w:space="0" w:color="auto"/>
        <w:right w:val="none" w:sz="0" w:space="0" w:color="auto"/>
      </w:divBdr>
    </w:div>
    <w:div w:id="129131041">
      <w:bodyDiv w:val="1"/>
      <w:marLeft w:val="0"/>
      <w:marRight w:val="0"/>
      <w:marTop w:val="0"/>
      <w:marBottom w:val="0"/>
      <w:divBdr>
        <w:top w:val="none" w:sz="0" w:space="0" w:color="auto"/>
        <w:left w:val="none" w:sz="0" w:space="0" w:color="auto"/>
        <w:bottom w:val="none" w:sz="0" w:space="0" w:color="auto"/>
        <w:right w:val="none" w:sz="0" w:space="0" w:color="auto"/>
      </w:divBdr>
    </w:div>
    <w:div w:id="133647194">
      <w:bodyDiv w:val="1"/>
      <w:marLeft w:val="0"/>
      <w:marRight w:val="0"/>
      <w:marTop w:val="0"/>
      <w:marBottom w:val="0"/>
      <w:divBdr>
        <w:top w:val="none" w:sz="0" w:space="0" w:color="auto"/>
        <w:left w:val="none" w:sz="0" w:space="0" w:color="auto"/>
        <w:bottom w:val="none" w:sz="0" w:space="0" w:color="auto"/>
        <w:right w:val="none" w:sz="0" w:space="0" w:color="auto"/>
      </w:divBdr>
    </w:div>
    <w:div w:id="134757537">
      <w:bodyDiv w:val="1"/>
      <w:marLeft w:val="0"/>
      <w:marRight w:val="0"/>
      <w:marTop w:val="0"/>
      <w:marBottom w:val="0"/>
      <w:divBdr>
        <w:top w:val="none" w:sz="0" w:space="0" w:color="auto"/>
        <w:left w:val="none" w:sz="0" w:space="0" w:color="auto"/>
        <w:bottom w:val="none" w:sz="0" w:space="0" w:color="auto"/>
        <w:right w:val="none" w:sz="0" w:space="0" w:color="auto"/>
      </w:divBdr>
    </w:div>
    <w:div w:id="225116363">
      <w:bodyDiv w:val="1"/>
      <w:marLeft w:val="0"/>
      <w:marRight w:val="0"/>
      <w:marTop w:val="0"/>
      <w:marBottom w:val="0"/>
      <w:divBdr>
        <w:top w:val="none" w:sz="0" w:space="0" w:color="auto"/>
        <w:left w:val="none" w:sz="0" w:space="0" w:color="auto"/>
        <w:bottom w:val="none" w:sz="0" w:space="0" w:color="auto"/>
        <w:right w:val="none" w:sz="0" w:space="0" w:color="auto"/>
      </w:divBdr>
    </w:div>
    <w:div w:id="265238084">
      <w:bodyDiv w:val="1"/>
      <w:marLeft w:val="0"/>
      <w:marRight w:val="0"/>
      <w:marTop w:val="0"/>
      <w:marBottom w:val="0"/>
      <w:divBdr>
        <w:top w:val="none" w:sz="0" w:space="0" w:color="auto"/>
        <w:left w:val="none" w:sz="0" w:space="0" w:color="auto"/>
        <w:bottom w:val="none" w:sz="0" w:space="0" w:color="auto"/>
        <w:right w:val="none" w:sz="0" w:space="0" w:color="auto"/>
      </w:divBdr>
    </w:div>
    <w:div w:id="266810958">
      <w:bodyDiv w:val="1"/>
      <w:marLeft w:val="0"/>
      <w:marRight w:val="0"/>
      <w:marTop w:val="0"/>
      <w:marBottom w:val="0"/>
      <w:divBdr>
        <w:top w:val="none" w:sz="0" w:space="0" w:color="auto"/>
        <w:left w:val="none" w:sz="0" w:space="0" w:color="auto"/>
        <w:bottom w:val="none" w:sz="0" w:space="0" w:color="auto"/>
        <w:right w:val="none" w:sz="0" w:space="0" w:color="auto"/>
      </w:divBdr>
    </w:div>
    <w:div w:id="286276941">
      <w:bodyDiv w:val="1"/>
      <w:marLeft w:val="0"/>
      <w:marRight w:val="0"/>
      <w:marTop w:val="0"/>
      <w:marBottom w:val="0"/>
      <w:divBdr>
        <w:top w:val="none" w:sz="0" w:space="0" w:color="auto"/>
        <w:left w:val="none" w:sz="0" w:space="0" w:color="auto"/>
        <w:bottom w:val="none" w:sz="0" w:space="0" w:color="auto"/>
        <w:right w:val="none" w:sz="0" w:space="0" w:color="auto"/>
      </w:divBdr>
    </w:div>
    <w:div w:id="320155829">
      <w:bodyDiv w:val="1"/>
      <w:marLeft w:val="0"/>
      <w:marRight w:val="0"/>
      <w:marTop w:val="0"/>
      <w:marBottom w:val="0"/>
      <w:divBdr>
        <w:top w:val="none" w:sz="0" w:space="0" w:color="auto"/>
        <w:left w:val="none" w:sz="0" w:space="0" w:color="auto"/>
        <w:bottom w:val="none" w:sz="0" w:space="0" w:color="auto"/>
        <w:right w:val="none" w:sz="0" w:space="0" w:color="auto"/>
      </w:divBdr>
    </w:div>
    <w:div w:id="323972881">
      <w:bodyDiv w:val="1"/>
      <w:marLeft w:val="0"/>
      <w:marRight w:val="0"/>
      <w:marTop w:val="0"/>
      <w:marBottom w:val="0"/>
      <w:divBdr>
        <w:top w:val="none" w:sz="0" w:space="0" w:color="auto"/>
        <w:left w:val="none" w:sz="0" w:space="0" w:color="auto"/>
        <w:bottom w:val="none" w:sz="0" w:space="0" w:color="auto"/>
        <w:right w:val="none" w:sz="0" w:space="0" w:color="auto"/>
      </w:divBdr>
    </w:div>
    <w:div w:id="361856538">
      <w:bodyDiv w:val="1"/>
      <w:marLeft w:val="0"/>
      <w:marRight w:val="0"/>
      <w:marTop w:val="0"/>
      <w:marBottom w:val="0"/>
      <w:divBdr>
        <w:top w:val="none" w:sz="0" w:space="0" w:color="auto"/>
        <w:left w:val="none" w:sz="0" w:space="0" w:color="auto"/>
        <w:bottom w:val="none" w:sz="0" w:space="0" w:color="auto"/>
        <w:right w:val="none" w:sz="0" w:space="0" w:color="auto"/>
      </w:divBdr>
    </w:div>
    <w:div w:id="370232997">
      <w:bodyDiv w:val="1"/>
      <w:marLeft w:val="0"/>
      <w:marRight w:val="0"/>
      <w:marTop w:val="0"/>
      <w:marBottom w:val="0"/>
      <w:divBdr>
        <w:top w:val="none" w:sz="0" w:space="0" w:color="auto"/>
        <w:left w:val="none" w:sz="0" w:space="0" w:color="auto"/>
        <w:bottom w:val="none" w:sz="0" w:space="0" w:color="auto"/>
        <w:right w:val="none" w:sz="0" w:space="0" w:color="auto"/>
      </w:divBdr>
    </w:div>
    <w:div w:id="371927521">
      <w:bodyDiv w:val="1"/>
      <w:marLeft w:val="0"/>
      <w:marRight w:val="0"/>
      <w:marTop w:val="0"/>
      <w:marBottom w:val="0"/>
      <w:divBdr>
        <w:top w:val="none" w:sz="0" w:space="0" w:color="auto"/>
        <w:left w:val="none" w:sz="0" w:space="0" w:color="auto"/>
        <w:bottom w:val="none" w:sz="0" w:space="0" w:color="auto"/>
        <w:right w:val="none" w:sz="0" w:space="0" w:color="auto"/>
      </w:divBdr>
    </w:div>
    <w:div w:id="402873853">
      <w:bodyDiv w:val="1"/>
      <w:marLeft w:val="0"/>
      <w:marRight w:val="0"/>
      <w:marTop w:val="0"/>
      <w:marBottom w:val="0"/>
      <w:divBdr>
        <w:top w:val="none" w:sz="0" w:space="0" w:color="auto"/>
        <w:left w:val="none" w:sz="0" w:space="0" w:color="auto"/>
        <w:bottom w:val="none" w:sz="0" w:space="0" w:color="auto"/>
        <w:right w:val="none" w:sz="0" w:space="0" w:color="auto"/>
      </w:divBdr>
    </w:div>
    <w:div w:id="576134796">
      <w:bodyDiv w:val="1"/>
      <w:marLeft w:val="0"/>
      <w:marRight w:val="0"/>
      <w:marTop w:val="0"/>
      <w:marBottom w:val="0"/>
      <w:divBdr>
        <w:top w:val="none" w:sz="0" w:space="0" w:color="auto"/>
        <w:left w:val="none" w:sz="0" w:space="0" w:color="auto"/>
        <w:bottom w:val="none" w:sz="0" w:space="0" w:color="auto"/>
        <w:right w:val="none" w:sz="0" w:space="0" w:color="auto"/>
      </w:divBdr>
    </w:div>
    <w:div w:id="591548568">
      <w:bodyDiv w:val="1"/>
      <w:marLeft w:val="0"/>
      <w:marRight w:val="0"/>
      <w:marTop w:val="0"/>
      <w:marBottom w:val="0"/>
      <w:divBdr>
        <w:top w:val="none" w:sz="0" w:space="0" w:color="auto"/>
        <w:left w:val="none" w:sz="0" w:space="0" w:color="auto"/>
        <w:bottom w:val="none" w:sz="0" w:space="0" w:color="auto"/>
        <w:right w:val="none" w:sz="0" w:space="0" w:color="auto"/>
      </w:divBdr>
    </w:div>
    <w:div w:id="591862432">
      <w:bodyDiv w:val="1"/>
      <w:marLeft w:val="0"/>
      <w:marRight w:val="0"/>
      <w:marTop w:val="0"/>
      <w:marBottom w:val="0"/>
      <w:divBdr>
        <w:top w:val="none" w:sz="0" w:space="0" w:color="auto"/>
        <w:left w:val="none" w:sz="0" w:space="0" w:color="auto"/>
        <w:bottom w:val="none" w:sz="0" w:space="0" w:color="auto"/>
        <w:right w:val="none" w:sz="0" w:space="0" w:color="auto"/>
      </w:divBdr>
    </w:div>
    <w:div w:id="701857167">
      <w:bodyDiv w:val="1"/>
      <w:marLeft w:val="0"/>
      <w:marRight w:val="0"/>
      <w:marTop w:val="0"/>
      <w:marBottom w:val="0"/>
      <w:divBdr>
        <w:top w:val="none" w:sz="0" w:space="0" w:color="auto"/>
        <w:left w:val="none" w:sz="0" w:space="0" w:color="auto"/>
        <w:bottom w:val="none" w:sz="0" w:space="0" w:color="auto"/>
        <w:right w:val="none" w:sz="0" w:space="0" w:color="auto"/>
      </w:divBdr>
      <w:divsChild>
        <w:div w:id="761877380">
          <w:marLeft w:val="240"/>
          <w:marRight w:val="0"/>
          <w:marTop w:val="60"/>
          <w:marBottom w:val="0"/>
          <w:divBdr>
            <w:top w:val="none" w:sz="0" w:space="0" w:color="auto"/>
            <w:left w:val="none" w:sz="0" w:space="0" w:color="auto"/>
            <w:bottom w:val="none" w:sz="0" w:space="0" w:color="auto"/>
            <w:right w:val="none" w:sz="0" w:space="0" w:color="auto"/>
          </w:divBdr>
        </w:div>
        <w:div w:id="392780507">
          <w:marLeft w:val="240"/>
          <w:marRight w:val="0"/>
          <w:marTop w:val="60"/>
          <w:marBottom w:val="0"/>
          <w:divBdr>
            <w:top w:val="none" w:sz="0" w:space="0" w:color="auto"/>
            <w:left w:val="none" w:sz="0" w:space="0" w:color="auto"/>
            <w:bottom w:val="none" w:sz="0" w:space="0" w:color="auto"/>
            <w:right w:val="none" w:sz="0" w:space="0" w:color="auto"/>
          </w:divBdr>
        </w:div>
      </w:divsChild>
    </w:div>
    <w:div w:id="750543080">
      <w:bodyDiv w:val="1"/>
      <w:marLeft w:val="0"/>
      <w:marRight w:val="0"/>
      <w:marTop w:val="0"/>
      <w:marBottom w:val="0"/>
      <w:divBdr>
        <w:top w:val="none" w:sz="0" w:space="0" w:color="auto"/>
        <w:left w:val="none" w:sz="0" w:space="0" w:color="auto"/>
        <w:bottom w:val="none" w:sz="0" w:space="0" w:color="auto"/>
        <w:right w:val="none" w:sz="0" w:space="0" w:color="auto"/>
      </w:divBdr>
    </w:div>
    <w:div w:id="816385406">
      <w:bodyDiv w:val="1"/>
      <w:marLeft w:val="0"/>
      <w:marRight w:val="0"/>
      <w:marTop w:val="0"/>
      <w:marBottom w:val="0"/>
      <w:divBdr>
        <w:top w:val="none" w:sz="0" w:space="0" w:color="auto"/>
        <w:left w:val="none" w:sz="0" w:space="0" w:color="auto"/>
        <w:bottom w:val="none" w:sz="0" w:space="0" w:color="auto"/>
        <w:right w:val="none" w:sz="0" w:space="0" w:color="auto"/>
      </w:divBdr>
    </w:div>
    <w:div w:id="831608673">
      <w:bodyDiv w:val="1"/>
      <w:marLeft w:val="0"/>
      <w:marRight w:val="0"/>
      <w:marTop w:val="0"/>
      <w:marBottom w:val="0"/>
      <w:divBdr>
        <w:top w:val="none" w:sz="0" w:space="0" w:color="auto"/>
        <w:left w:val="none" w:sz="0" w:space="0" w:color="auto"/>
        <w:bottom w:val="none" w:sz="0" w:space="0" w:color="auto"/>
        <w:right w:val="none" w:sz="0" w:space="0" w:color="auto"/>
      </w:divBdr>
    </w:div>
    <w:div w:id="874585724">
      <w:bodyDiv w:val="1"/>
      <w:marLeft w:val="0"/>
      <w:marRight w:val="0"/>
      <w:marTop w:val="0"/>
      <w:marBottom w:val="0"/>
      <w:divBdr>
        <w:top w:val="none" w:sz="0" w:space="0" w:color="auto"/>
        <w:left w:val="none" w:sz="0" w:space="0" w:color="auto"/>
        <w:bottom w:val="none" w:sz="0" w:space="0" w:color="auto"/>
        <w:right w:val="none" w:sz="0" w:space="0" w:color="auto"/>
      </w:divBdr>
    </w:div>
    <w:div w:id="897278808">
      <w:bodyDiv w:val="1"/>
      <w:marLeft w:val="0"/>
      <w:marRight w:val="0"/>
      <w:marTop w:val="0"/>
      <w:marBottom w:val="0"/>
      <w:divBdr>
        <w:top w:val="none" w:sz="0" w:space="0" w:color="auto"/>
        <w:left w:val="none" w:sz="0" w:space="0" w:color="auto"/>
        <w:bottom w:val="none" w:sz="0" w:space="0" w:color="auto"/>
        <w:right w:val="none" w:sz="0" w:space="0" w:color="auto"/>
      </w:divBdr>
    </w:div>
    <w:div w:id="904753761">
      <w:bodyDiv w:val="1"/>
      <w:marLeft w:val="0"/>
      <w:marRight w:val="0"/>
      <w:marTop w:val="0"/>
      <w:marBottom w:val="0"/>
      <w:divBdr>
        <w:top w:val="none" w:sz="0" w:space="0" w:color="auto"/>
        <w:left w:val="none" w:sz="0" w:space="0" w:color="auto"/>
        <w:bottom w:val="none" w:sz="0" w:space="0" w:color="auto"/>
        <w:right w:val="none" w:sz="0" w:space="0" w:color="auto"/>
      </w:divBdr>
    </w:div>
    <w:div w:id="945381997">
      <w:bodyDiv w:val="1"/>
      <w:marLeft w:val="0"/>
      <w:marRight w:val="0"/>
      <w:marTop w:val="0"/>
      <w:marBottom w:val="0"/>
      <w:divBdr>
        <w:top w:val="none" w:sz="0" w:space="0" w:color="auto"/>
        <w:left w:val="none" w:sz="0" w:space="0" w:color="auto"/>
        <w:bottom w:val="none" w:sz="0" w:space="0" w:color="auto"/>
        <w:right w:val="none" w:sz="0" w:space="0" w:color="auto"/>
      </w:divBdr>
    </w:div>
    <w:div w:id="971135122">
      <w:bodyDiv w:val="1"/>
      <w:marLeft w:val="0"/>
      <w:marRight w:val="0"/>
      <w:marTop w:val="0"/>
      <w:marBottom w:val="0"/>
      <w:divBdr>
        <w:top w:val="none" w:sz="0" w:space="0" w:color="auto"/>
        <w:left w:val="none" w:sz="0" w:space="0" w:color="auto"/>
        <w:bottom w:val="none" w:sz="0" w:space="0" w:color="auto"/>
        <w:right w:val="none" w:sz="0" w:space="0" w:color="auto"/>
      </w:divBdr>
    </w:div>
    <w:div w:id="989602893">
      <w:bodyDiv w:val="1"/>
      <w:marLeft w:val="0"/>
      <w:marRight w:val="0"/>
      <w:marTop w:val="0"/>
      <w:marBottom w:val="0"/>
      <w:divBdr>
        <w:top w:val="none" w:sz="0" w:space="0" w:color="auto"/>
        <w:left w:val="none" w:sz="0" w:space="0" w:color="auto"/>
        <w:bottom w:val="none" w:sz="0" w:space="0" w:color="auto"/>
        <w:right w:val="none" w:sz="0" w:space="0" w:color="auto"/>
      </w:divBdr>
    </w:div>
    <w:div w:id="997004063">
      <w:bodyDiv w:val="1"/>
      <w:marLeft w:val="0"/>
      <w:marRight w:val="0"/>
      <w:marTop w:val="0"/>
      <w:marBottom w:val="0"/>
      <w:divBdr>
        <w:top w:val="none" w:sz="0" w:space="0" w:color="auto"/>
        <w:left w:val="none" w:sz="0" w:space="0" w:color="auto"/>
        <w:bottom w:val="none" w:sz="0" w:space="0" w:color="auto"/>
        <w:right w:val="none" w:sz="0" w:space="0" w:color="auto"/>
      </w:divBdr>
    </w:div>
    <w:div w:id="1029450706">
      <w:bodyDiv w:val="1"/>
      <w:marLeft w:val="0"/>
      <w:marRight w:val="0"/>
      <w:marTop w:val="0"/>
      <w:marBottom w:val="0"/>
      <w:divBdr>
        <w:top w:val="none" w:sz="0" w:space="0" w:color="auto"/>
        <w:left w:val="none" w:sz="0" w:space="0" w:color="auto"/>
        <w:bottom w:val="none" w:sz="0" w:space="0" w:color="auto"/>
        <w:right w:val="none" w:sz="0" w:space="0" w:color="auto"/>
      </w:divBdr>
    </w:div>
    <w:div w:id="1032193553">
      <w:bodyDiv w:val="1"/>
      <w:marLeft w:val="0"/>
      <w:marRight w:val="0"/>
      <w:marTop w:val="0"/>
      <w:marBottom w:val="0"/>
      <w:divBdr>
        <w:top w:val="none" w:sz="0" w:space="0" w:color="auto"/>
        <w:left w:val="none" w:sz="0" w:space="0" w:color="auto"/>
        <w:bottom w:val="none" w:sz="0" w:space="0" w:color="auto"/>
        <w:right w:val="none" w:sz="0" w:space="0" w:color="auto"/>
      </w:divBdr>
    </w:div>
    <w:div w:id="1040938942">
      <w:bodyDiv w:val="1"/>
      <w:marLeft w:val="0"/>
      <w:marRight w:val="0"/>
      <w:marTop w:val="0"/>
      <w:marBottom w:val="0"/>
      <w:divBdr>
        <w:top w:val="none" w:sz="0" w:space="0" w:color="auto"/>
        <w:left w:val="none" w:sz="0" w:space="0" w:color="auto"/>
        <w:bottom w:val="none" w:sz="0" w:space="0" w:color="auto"/>
        <w:right w:val="none" w:sz="0" w:space="0" w:color="auto"/>
      </w:divBdr>
    </w:div>
    <w:div w:id="1050304772">
      <w:bodyDiv w:val="1"/>
      <w:marLeft w:val="0"/>
      <w:marRight w:val="0"/>
      <w:marTop w:val="0"/>
      <w:marBottom w:val="0"/>
      <w:divBdr>
        <w:top w:val="none" w:sz="0" w:space="0" w:color="auto"/>
        <w:left w:val="none" w:sz="0" w:space="0" w:color="auto"/>
        <w:bottom w:val="none" w:sz="0" w:space="0" w:color="auto"/>
        <w:right w:val="none" w:sz="0" w:space="0" w:color="auto"/>
      </w:divBdr>
    </w:div>
    <w:div w:id="1092124345">
      <w:bodyDiv w:val="1"/>
      <w:marLeft w:val="0"/>
      <w:marRight w:val="0"/>
      <w:marTop w:val="0"/>
      <w:marBottom w:val="0"/>
      <w:divBdr>
        <w:top w:val="none" w:sz="0" w:space="0" w:color="auto"/>
        <w:left w:val="none" w:sz="0" w:space="0" w:color="auto"/>
        <w:bottom w:val="none" w:sz="0" w:space="0" w:color="auto"/>
        <w:right w:val="none" w:sz="0" w:space="0" w:color="auto"/>
      </w:divBdr>
    </w:div>
    <w:div w:id="1155073778">
      <w:bodyDiv w:val="1"/>
      <w:marLeft w:val="0"/>
      <w:marRight w:val="0"/>
      <w:marTop w:val="0"/>
      <w:marBottom w:val="0"/>
      <w:divBdr>
        <w:top w:val="none" w:sz="0" w:space="0" w:color="auto"/>
        <w:left w:val="none" w:sz="0" w:space="0" w:color="auto"/>
        <w:bottom w:val="none" w:sz="0" w:space="0" w:color="auto"/>
        <w:right w:val="none" w:sz="0" w:space="0" w:color="auto"/>
      </w:divBdr>
    </w:div>
    <w:div w:id="1219434925">
      <w:bodyDiv w:val="1"/>
      <w:marLeft w:val="0"/>
      <w:marRight w:val="0"/>
      <w:marTop w:val="0"/>
      <w:marBottom w:val="0"/>
      <w:divBdr>
        <w:top w:val="none" w:sz="0" w:space="0" w:color="auto"/>
        <w:left w:val="none" w:sz="0" w:space="0" w:color="auto"/>
        <w:bottom w:val="none" w:sz="0" w:space="0" w:color="auto"/>
        <w:right w:val="none" w:sz="0" w:space="0" w:color="auto"/>
      </w:divBdr>
    </w:div>
    <w:div w:id="1243374241">
      <w:bodyDiv w:val="1"/>
      <w:marLeft w:val="0"/>
      <w:marRight w:val="0"/>
      <w:marTop w:val="0"/>
      <w:marBottom w:val="0"/>
      <w:divBdr>
        <w:top w:val="none" w:sz="0" w:space="0" w:color="auto"/>
        <w:left w:val="none" w:sz="0" w:space="0" w:color="auto"/>
        <w:bottom w:val="none" w:sz="0" w:space="0" w:color="auto"/>
        <w:right w:val="none" w:sz="0" w:space="0" w:color="auto"/>
      </w:divBdr>
    </w:div>
    <w:div w:id="1260796605">
      <w:bodyDiv w:val="1"/>
      <w:marLeft w:val="0"/>
      <w:marRight w:val="0"/>
      <w:marTop w:val="0"/>
      <w:marBottom w:val="0"/>
      <w:divBdr>
        <w:top w:val="none" w:sz="0" w:space="0" w:color="auto"/>
        <w:left w:val="none" w:sz="0" w:space="0" w:color="auto"/>
        <w:bottom w:val="none" w:sz="0" w:space="0" w:color="auto"/>
        <w:right w:val="none" w:sz="0" w:space="0" w:color="auto"/>
      </w:divBdr>
    </w:div>
    <w:div w:id="1325891271">
      <w:bodyDiv w:val="1"/>
      <w:marLeft w:val="0"/>
      <w:marRight w:val="0"/>
      <w:marTop w:val="0"/>
      <w:marBottom w:val="0"/>
      <w:divBdr>
        <w:top w:val="none" w:sz="0" w:space="0" w:color="auto"/>
        <w:left w:val="none" w:sz="0" w:space="0" w:color="auto"/>
        <w:bottom w:val="none" w:sz="0" w:space="0" w:color="auto"/>
        <w:right w:val="none" w:sz="0" w:space="0" w:color="auto"/>
      </w:divBdr>
    </w:div>
    <w:div w:id="1333020968">
      <w:bodyDiv w:val="1"/>
      <w:marLeft w:val="0"/>
      <w:marRight w:val="0"/>
      <w:marTop w:val="0"/>
      <w:marBottom w:val="0"/>
      <w:divBdr>
        <w:top w:val="none" w:sz="0" w:space="0" w:color="auto"/>
        <w:left w:val="none" w:sz="0" w:space="0" w:color="auto"/>
        <w:bottom w:val="none" w:sz="0" w:space="0" w:color="auto"/>
        <w:right w:val="none" w:sz="0" w:space="0" w:color="auto"/>
      </w:divBdr>
    </w:div>
    <w:div w:id="1379161233">
      <w:bodyDiv w:val="1"/>
      <w:marLeft w:val="0"/>
      <w:marRight w:val="0"/>
      <w:marTop w:val="0"/>
      <w:marBottom w:val="0"/>
      <w:divBdr>
        <w:top w:val="none" w:sz="0" w:space="0" w:color="auto"/>
        <w:left w:val="none" w:sz="0" w:space="0" w:color="auto"/>
        <w:bottom w:val="none" w:sz="0" w:space="0" w:color="auto"/>
        <w:right w:val="none" w:sz="0" w:space="0" w:color="auto"/>
      </w:divBdr>
    </w:div>
    <w:div w:id="1483958660">
      <w:bodyDiv w:val="1"/>
      <w:marLeft w:val="0"/>
      <w:marRight w:val="0"/>
      <w:marTop w:val="0"/>
      <w:marBottom w:val="0"/>
      <w:divBdr>
        <w:top w:val="none" w:sz="0" w:space="0" w:color="auto"/>
        <w:left w:val="none" w:sz="0" w:space="0" w:color="auto"/>
        <w:bottom w:val="none" w:sz="0" w:space="0" w:color="auto"/>
        <w:right w:val="none" w:sz="0" w:space="0" w:color="auto"/>
      </w:divBdr>
    </w:div>
    <w:div w:id="1485198990">
      <w:bodyDiv w:val="1"/>
      <w:marLeft w:val="0"/>
      <w:marRight w:val="0"/>
      <w:marTop w:val="0"/>
      <w:marBottom w:val="0"/>
      <w:divBdr>
        <w:top w:val="none" w:sz="0" w:space="0" w:color="auto"/>
        <w:left w:val="none" w:sz="0" w:space="0" w:color="auto"/>
        <w:bottom w:val="none" w:sz="0" w:space="0" w:color="auto"/>
        <w:right w:val="none" w:sz="0" w:space="0" w:color="auto"/>
      </w:divBdr>
    </w:div>
    <w:div w:id="1496992077">
      <w:bodyDiv w:val="1"/>
      <w:marLeft w:val="0"/>
      <w:marRight w:val="0"/>
      <w:marTop w:val="0"/>
      <w:marBottom w:val="0"/>
      <w:divBdr>
        <w:top w:val="none" w:sz="0" w:space="0" w:color="auto"/>
        <w:left w:val="none" w:sz="0" w:space="0" w:color="auto"/>
        <w:bottom w:val="none" w:sz="0" w:space="0" w:color="auto"/>
        <w:right w:val="none" w:sz="0" w:space="0" w:color="auto"/>
      </w:divBdr>
    </w:div>
    <w:div w:id="1551838190">
      <w:bodyDiv w:val="1"/>
      <w:marLeft w:val="0"/>
      <w:marRight w:val="0"/>
      <w:marTop w:val="0"/>
      <w:marBottom w:val="0"/>
      <w:divBdr>
        <w:top w:val="none" w:sz="0" w:space="0" w:color="auto"/>
        <w:left w:val="none" w:sz="0" w:space="0" w:color="auto"/>
        <w:bottom w:val="none" w:sz="0" w:space="0" w:color="auto"/>
        <w:right w:val="none" w:sz="0" w:space="0" w:color="auto"/>
      </w:divBdr>
    </w:div>
    <w:div w:id="1560432205">
      <w:bodyDiv w:val="1"/>
      <w:marLeft w:val="0"/>
      <w:marRight w:val="0"/>
      <w:marTop w:val="0"/>
      <w:marBottom w:val="0"/>
      <w:divBdr>
        <w:top w:val="none" w:sz="0" w:space="0" w:color="auto"/>
        <w:left w:val="none" w:sz="0" w:space="0" w:color="auto"/>
        <w:bottom w:val="none" w:sz="0" w:space="0" w:color="auto"/>
        <w:right w:val="none" w:sz="0" w:space="0" w:color="auto"/>
      </w:divBdr>
    </w:div>
    <w:div w:id="1582063603">
      <w:bodyDiv w:val="1"/>
      <w:marLeft w:val="0"/>
      <w:marRight w:val="0"/>
      <w:marTop w:val="0"/>
      <w:marBottom w:val="0"/>
      <w:divBdr>
        <w:top w:val="none" w:sz="0" w:space="0" w:color="auto"/>
        <w:left w:val="none" w:sz="0" w:space="0" w:color="auto"/>
        <w:bottom w:val="none" w:sz="0" w:space="0" w:color="auto"/>
        <w:right w:val="none" w:sz="0" w:space="0" w:color="auto"/>
      </w:divBdr>
    </w:div>
    <w:div w:id="1626155923">
      <w:bodyDiv w:val="1"/>
      <w:marLeft w:val="0"/>
      <w:marRight w:val="0"/>
      <w:marTop w:val="0"/>
      <w:marBottom w:val="0"/>
      <w:divBdr>
        <w:top w:val="none" w:sz="0" w:space="0" w:color="auto"/>
        <w:left w:val="none" w:sz="0" w:space="0" w:color="auto"/>
        <w:bottom w:val="none" w:sz="0" w:space="0" w:color="auto"/>
        <w:right w:val="none" w:sz="0" w:space="0" w:color="auto"/>
      </w:divBdr>
    </w:div>
    <w:div w:id="1647053396">
      <w:bodyDiv w:val="1"/>
      <w:marLeft w:val="0"/>
      <w:marRight w:val="0"/>
      <w:marTop w:val="0"/>
      <w:marBottom w:val="0"/>
      <w:divBdr>
        <w:top w:val="none" w:sz="0" w:space="0" w:color="auto"/>
        <w:left w:val="none" w:sz="0" w:space="0" w:color="auto"/>
        <w:bottom w:val="none" w:sz="0" w:space="0" w:color="auto"/>
        <w:right w:val="none" w:sz="0" w:space="0" w:color="auto"/>
      </w:divBdr>
      <w:divsChild>
        <w:div w:id="764688137">
          <w:marLeft w:val="0"/>
          <w:marRight w:val="0"/>
          <w:marTop w:val="0"/>
          <w:marBottom w:val="0"/>
          <w:divBdr>
            <w:top w:val="none" w:sz="0" w:space="0" w:color="auto"/>
            <w:left w:val="none" w:sz="0" w:space="0" w:color="auto"/>
            <w:bottom w:val="none" w:sz="0" w:space="0" w:color="auto"/>
            <w:right w:val="none" w:sz="0" w:space="0" w:color="auto"/>
          </w:divBdr>
        </w:div>
      </w:divsChild>
    </w:div>
    <w:div w:id="1653948401">
      <w:bodyDiv w:val="1"/>
      <w:marLeft w:val="0"/>
      <w:marRight w:val="0"/>
      <w:marTop w:val="0"/>
      <w:marBottom w:val="0"/>
      <w:divBdr>
        <w:top w:val="none" w:sz="0" w:space="0" w:color="auto"/>
        <w:left w:val="none" w:sz="0" w:space="0" w:color="auto"/>
        <w:bottom w:val="none" w:sz="0" w:space="0" w:color="auto"/>
        <w:right w:val="none" w:sz="0" w:space="0" w:color="auto"/>
      </w:divBdr>
    </w:div>
    <w:div w:id="1717243123">
      <w:bodyDiv w:val="1"/>
      <w:marLeft w:val="0"/>
      <w:marRight w:val="0"/>
      <w:marTop w:val="0"/>
      <w:marBottom w:val="0"/>
      <w:divBdr>
        <w:top w:val="none" w:sz="0" w:space="0" w:color="auto"/>
        <w:left w:val="none" w:sz="0" w:space="0" w:color="auto"/>
        <w:bottom w:val="none" w:sz="0" w:space="0" w:color="auto"/>
        <w:right w:val="none" w:sz="0" w:space="0" w:color="auto"/>
      </w:divBdr>
    </w:div>
    <w:div w:id="1717661548">
      <w:bodyDiv w:val="1"/>
      <w:marLeft w:val="0"/>
      <w:marRight w:val="0"/>
      <w:marTop w:val="0"/>
      <w:marBottom w:val="0"/>
      <w:divBdr>
        <w:top w:val="none" w:sz="0" w:space="0" w:color="auto"/>
        <w:left w:val="none" w:sz="0" w:space="0" w:color="auto"/>
        <w:bottom w:val="none" w:sz="0" w:space="0" w:color="auto"/>
        <w:right w:val="none" w:sz="0" w:space="0" w:color="auto"/>
      </w:divBdr>
    </w:div>
    <w:div w:id="1726029577">
      <w:bodyDiv w:val="1"/>
      <w:marLeft w:val="0"/>
      <w:marRight w:val="0"/>
      <w:marTop w:val="0"/>
      <w:marBottom w:val="0"/>
      <w:divBdr>
        <w:top w:val="none" w:sz="0" w:space="0" w:color="auto"/>
        <w:left w:val="none" w:sz="0" w:space="0" w:color="auto"/>
        <w:bottom w:val="none" w:sz="0" w:space="0" w:color="auto"/>
        <w:right w:val="none" w:sz="0" w:space="0" w:color="auto"/>
      </w:divBdr>
    </w:div>
    <w:div w:id="1756973031">
      <w:bodyDiv w:val="1"/>
      <w:marLeft w:val="0"/>
      <w:marRight w:val="0"/>
      <w:marTop w:val="0"/>
      <w:marBottom w:val="0"/>
      <w:divBdr>
        <w:top w:val="none" w:sz="0" w:space="0" w:color="auto"/>
        <w:left w:val="none" w:sz="0" w:space="0" w:color="auto"/>
        <w:bottom w:val="none" w:sz="0" w:space="0" w:color="auto"/>
        <w:right w:val="none" w:sz="0" w:space="0" w:color="auto"/>
      </w:divBdr>
    </w:div>
    <w:div w:id="1757557760">
      <w:bodyDiv w:val="1"/>
      <w:marLeft w:val="0"/>
      <w:marRight w:val="0"/>
      <w:marTop w:val="0"/>
      <w:marBottom w:val="0"/>
      <w:divBdr>
        <w:top w:val="none" w:sz="0" w:space="0" w:color="auto"/>
        <w:left w:val="none" w:sz="0" w:space="0" w:color="auto"/>
        <w:bottom w:val="none" w:sz="0" w:space="0" w:color="auto"/>
        <w:right w:val="none" w:sz="0" w:space="0" w:color="auto"/>
      </w:divBdr>
    </w:div>
    <w:div w:id="1767193717">
      <w:bodyDiv w:val="1"/>
      <w:marLeft w:val="0"/>
      <w:marRight w:val="0"/>
      <w:marTop w:val="0"/>
      <w:marBottom w:val="0"/>
      <w:divBdr>
        <w:top w:val="none" w:sz="0" w:space="0" w:color="auto"/>
        <w:left w:val="none" w:sz="0" w:space="0" w:color="auto"/>
        <w:bottom w:val="none" w:sz="0" w:space="0" w:color="auto"/>
        <w:right w:val="none" w:sz="0" w:space="0" w:color="auto"/>
      </w:divBdr>
    </w:div>
    <w:div w:id="1810782368">
      <w:bodyDiv w:val="1"/>
      <w:marLeft w:val="0"/>
      <w:marRight w:val="0"/>
      <w:marTop w:val="0"/>
      <w:marBottom w:val="0"/>
      <w:divBdr>
        <w:top w:val="none" w:sz="0" w:space="0" w:color="auto"/>
        <w:left w:val="none" w:sz="0" w:space="0" w:color="auto"/>
        <w:bottom w:val="none" w:sz="0" w:space="0" w:color="auto"/>
        <w:right w:val="none" w:sz="0" w:space="0" w:color="auto"/>
      </w:divBdr>
    </w:div>
    <w:div w:id="1822382791">
      <w:bodyDiv w:val="1"/>
      <w:marLeft w:val="0"/>
      <w:marRight w:val="0"/>
      <w:marTop w:val="0"/>
      <w:marBottom w:val="0"/>
      <w:divBdr>
        <w:top w:val="none" w:sz="0" w:space="0" w:color="auto"/>
        <w:left w:val="none" w:sz="0" w:space="0" w:color="auto"/>
        <w:bottom w:val="none" w:sz="0" w:space="0" w:color="auto"/>
        <w:right w:val="none" w:sz="0" w:space="0" w:color="auto"/>
      </w:divBdr>
    </w:div>
    <w:div w:id="1855800048">
      <w:bodyDiv w:val="1"/>
      <w:marLeft w:val="0"/>
      <w:marRight w:val="0"/>
      <w:marTop w:val="0"/>
      <w:marBottom w:val="0"/>
      <w:divBdr>
        <w:top w:val="none" w:sz="0" w:space="0" w:color="auto"/>
        <w:left w:val="none" w:sz="0" w:space="0" w:color="auto"/>
        <w:bottom w:val="none" w:sz="0" w:space="0" w:color="auto"/>
        <w:right w:val="none" w:sz="0" w:space="0" w:color="auto"/>
      </w:divBdr>
    </w:div>
    <w:div w:id="1871381745">
      <w:bodyDiv w:val="1"/>
      <w:marLeft w:val="0"/>
      <w:marRight w:val="0"/>
      <w:marTop w:val="0"/>
      <w:marBottom w:val="0"/>
      <w:divBdr>
        <w:top w:val="none" w:sz="0" w:space="0" w:color="auto"/>
        <w:left w:val="none" w:sz="0" w:space="0" w:color="auto"/>
        <w:bottom w:val="none" w:sz="0" w:space="0" w:color="auto"/>
        <w:right w:val="none" w:sz="0" w:space="0" w:color="auto"/>
      </w:divBdr>
      <w:divsChild>
        <w:div w:id="130247951">
          <w:marLeft w:val="360"/>
          <w:marRight w:val="0"/>
          <w:marTop w:val="60"/>
          <w:marBottom w:val="0"/>
          <w:divBdr>
            <w:top w:val="none" w:sz="0" w:space="0" w:color="auto"/>
            <w:left w:val="single" w:sz="24" w:space="24" w:color="BBBBAA"/>
            <w:bottom w:val="none" w:sz="0" w:space="0" w:color="auto"/>
            <w:right w:val="none" w:sz="0" w:space="0" w:color="auto"/>
          </w:divBdr>
        </w:div>
      </w:divsChild>
    </w:div>
    <w:div w:id="1892956598">
      <w:bodyDiv w:val="1"/>
      <w:marLeft w:val="0"/>
      <w:marRight w:val="0"/>
      <w:marTop w:val="0"/>
      <w:marBottom w:val="0"/>
      <w:divBdr>
        <w:top w:val="none" w:sz="0" w:space="0" w:color="auto"/>
        <w:left w:val="none" w:sz="0" w:space="0" w:color="auto"/>
        <w:bottom w:val="none" w:sz="0" w:space="0" w:color="auto"/>
        <w:right w:val="none" w:sz="0" w:space="0" w:color="auto"/>
      </w:divBdr>
    </w:div>
    <w:div w:id="1960646376">
      <w:bodyDiv w:val="1"/>
      <w:marLeft w:val="0"/>
      <w:marRight w:val="0"/>
      <w:marTop w:val="0"/>
      <w:marBottom w:val="0"/>
      <w:divBdr>
        <w:top w:val="none" w:sz="0" w:space="0" w:color="auto"/>
        <w:left w:val="none" w:sz="0" w:space="0" w:color="auto"/>
        <w:bottom w:val="none" w:sz="0" w:space="0" w:color="auto"/>
        <w:right w:val="none" w:sz="0" w:space="0" w:color="auto"/>
      </w:divBdr>
    </w:div>
    <w:div w:id="1980574084">
      <w:bodyDiv w:val="1"/>
      <w:marLeft w:val="0"/>
      <w:marRight w:val="0"/>
      <w:marTop w:val="0"/>
      <w:marBottom w:val="0"/>
      <w:divBdr>
        <w:top w:val="none" w:sz="0" w:space="0" w:color="auto"/>
        <w:left w:val="none" w:sz="0" w:space="0" w:color="auto"/>
        <w:bottom w:val="none" w:sz="0" w:space="0" w:color="auto"/>
        <w:right w:val="none" w:sz="0" w:space="0" w:color="auto"/>
      </w:divBdr>
    </w:div>
    <w:div w:id="1987970812">
      <w:bodyDiv w:val="1"/>
      <w:marLeft w:val="0"/>
      <w:marRight w:val="0"/>
      <w:marTop w:val="0"/>
      <w:marBottom w:val="0"/>
      <w:divBdr>
        <w:top w:val="none" w:sz="0" w:space="0" w:color="auto"/>
        <w:left w:val="none" w:sz="0" w:space="0" w:color="auto"/>
        <w:bottom w:val="none" w:sz="0" w:space="0" w:color="auto"/>
        <w:right w:val="none" w:sz="0" w:space="0" w:color="auto"/>
      </w:divBdr>
    </w:div>
    <w:div w:id="2025396603">
      <w:bodyDiv w:val="1"/>
      <w:marLeft w:val="0"/>
      <w:marRight w:val="0"/>
      <w:marTop w:val="0"/>
      <w:marBottom w:val="0"/>
      <w:divBdr>
        <w:top w:val="none" w:sz="0" w:space="0" w:color="auto"/>
        <w:left w:val="none" w:sz="0" w:space="0" w:color="auto"/>
        <w:bottom w:val="none" w:sz="0" w:space="0" w:color="auto"/>
        <w:right w:val="none" w:sz="0" w:space="0" w:color="auto"/>
      </w:divBdr>
    </w:div>
    <w:div w:id="2034071516">
      <w:bodyDiv w:val="1"/>
      <w:marLeft w:val="0"/>
      <w:marRight w:val="0"/>
      <w:marTop w:val="0"/>
      <w:marBottom w:val="0"/>
      <w:divBdr>
        <w:top w:val="none" w:sz="0" w:space="0" w:color="auto"/>
        <w:left w:val="none" w:sz="0" w:space="0" w:color="auto"/>
        <w:bottom w:val="none" w:sz="0" w:space="0" w:color="auto"/>
        <w:right w:val="none" w:sz="0" w:space="0" w:color="auto"/>
      </w:divBdr>
    </w:div>
    <w:div w:id="2039043231">
      <w:bodyDiv w:val="1"/>
      <w:marLeft w:val="0"/>
      <w:marRight w:val="0"/>
      <w:marTop w:val="0"/>
      <w:marBottom w:val="0"/>
      <w:divBdr>
        <w:top w:val="none" w:sz="0" w:space="0" w:color="auto"/>
        <w:left w:val="none" w:sz="0" w:space="0" w:color="auto"/>
        <w:bottom w:val="none" w:sz="0" w:space="0" w:color="auto"/>
        <w:right w:val="none" w:sz="0" w:space="0" w:color="auto"/>
      </w:divBdr>
    </w:div>
    <w:div w:id="2072730472">
      <w:bodyDiv w:val="1"/>
      <w:marLeft w:val="0"/>
      <w:marRight w:val="0"/>
      <w:marTop w:val="0"/>
      <w:marBottom w:val="0"/>
      <w:divBdr>
        <w:top w:val="none" w:sz="0" w:space="0" w:color="auto"/>
        <w:left w:val="none" w:sz="0" w:space="0" w:color="auto"/>
        <w:bottom w:val="none" w:sz="0" w:space="0" w:color="auto"/>
        <w:right w:val="none" w:sz="0" w:space="0" w:color="auto"/>
      </w:divBdr>
    </w:div>
    <w:div w:id="21213371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203588-8FE2-42B6-8417-E362AE978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221</Pages>
  <Words>279722</Words>
  <Characters>1569246</Characters>
  <Application>Microsoft Office Word</Application>
  <DocSecurity>0</DocSecurity>
  <Lines>37363</Lines>
  <Paragraphs>18127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1830841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ФГБУ "ЦЭККМП" Минздрава России</dc:creator>
  <dc:description/>
  <cp:lastModifiedBy>Аль-Ради Любовь Саттаровна</cp:lastModifiedBy>
  <cp:revision>12</cp:revision>
  <cp:lastPrinted>2022-03-04T13:45:00Z</cp:lastPrinted>
  <dcterms:created xsi:type="dcterms:W3CDTF">2022-03-09T11:36:00Z</dcterms:created>
  <dcterms:modified xsi:type="dcterms:W3CDTF">2022-03-16T13:27:00Z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Mendeley Recent Style Id 0_1">
    <vt:lpwstr>http://www.zotero.org/styles/american-political-science-association</vt:lpwstr>
  </property>
  <property fmtid="{D5CDD505-2E9C-101B-9397-08002B2CF9AE}" pid="10" name="Mendeley Recent Style Name 0_1">
    <vt:lpwstr>American Political Science Association</vt:lpwstr>
  </property>
  <property fmtid="{D5CDD505-2E9C-101B-9397-08002B2CF9AE}" pid="11" name="Mendeley Recent Style Id 1_1">
    <vt:lpwstr>http://www.zotero.org/styles/american-sociological-association</vt:lpwstr>
  </property>
  <property fmtid="{D5CDD505-2E9C-101B-9397-08002B2CF9AE}" pid="12" name="Mendeley Recent Style Name 1_1">
    <vt:lpwstr>American Sociological Association</vt:lpwstr>
  </property>
  <property fmtid="{D5CDD505-2E9C-101B-9397-08002B2CF9AE}" pid="13" name="Mendeley Recent Style Id 2_1">
    <vt:lpwstr>http://www.zotero.org/styles/chicago-author-date</vt:lpwstr>
  </property>
  <property fmtid="{D5CDD505-2E9C-101B-9397-08002B2CF9AE}" pid="14" name="Mendeley Recent Style Name 2_1">
    <vt:lpwstr>Chicago Manual of Style 17th edition (author-date)</vt:lpwstr>
  </property>
  <property fmtid="{D5CDD505-2E9C-101B-9397-08002B2CF9AE}" pid="15" name="Mendeley Recent Style Id 3_1">
    <vt:lpwstr>http://www.zotero.org/styles/harvard-cite-them-right</vt:lpwstr>
  </property>
  <property fmtid="{D5CDD505-2E9C-101B-9397-08002B2CF9AE}" pid="16" name="Mendeley Recent Style Name 3_1">
    <vt:lpwstr>Cite Them Right 10th edition - Harvard</vt:lpwstr>
  </property>
  <property fmtid="{D5CDD505-2E9C-101B-9397-08002B2CF9AE}" pid="17" name="Mendeley Recent Style Id 4_1">
    <vt:lpwstr>http://csl.mendeley.com/styles/265073341/hematology-and-transfusiology-ver2</vt:lpwstr>
  </property>
  <property fmtid="{D5CDD505-2E9C-101B-9397-08002B2CF9AE}" pid="18" name="Mendeley Recent Style Name 4_1">
    <vt:lpwstr>Hematology and Transfusiology</vt:lpwstr>
  </property>
  <property fmtid="{D5CDD505-2E9C-101B-9397-08002B2CF9AE}" pid="19" name="Mendeley Recent Style Id 5_1">
    <vt:lpwstr>http://www.zotero.org/styles/ieee</vt:lpwstr>
  </property>
  <property fmtid="{D5CDD505-2E9C-101B-9397-08002B2CF9AE}" pid="20" name="Mendeley Recent Style Name 5_1">
    <vt:lpwstr>IEEE</vt:lpwstr>
  </property>
  <property fmtid="{D5CDD505-2E9C-101B-9397-08002B2CF9AE}" pid="21" name="Mendeley Recent Style Id 6_1">
    <vt:lpwstr>http://www.zotero.org/styles/modern-humanities-research-association</vt:lpwstr>
  </property>
  <property fmtid="{D5CDD505-2E9C-101B-9397-08002B2CF9AE}" pid="22" name="Mendeley Recent Style Name 6_1">
    <vt:lpwstr>Modern Humanities Research Association 3rd edition (note with bibliography)</vt:lpwstr>
  </property>
  <property fmtid="{D5CDD505-2E9C-101B-9397-08002B2CF9AE}" pid="23" name="Mendeley Recent Style Id 7_1">
    <vt:lpwstr>http://www.zotero.org/styles/modern-language-association</vt:lpwstr>
  </property>
  <property fmtid="{D5CDD505-2E9C-101B-9397-08002B2CF9AE}" pid="24" name="Mendeley Recent Style Name 7_1">
    <vt:lpwstr>Modern Language Association 8th edition</vt:lpwstr>
  </property>
  <property fmtid="{D5CDD505-2E9C-101B-9397-08002B2CF9AE}" pid="25" name="Mendeley Recent Style Id 8_1">
    <vt:lpwstr>http://www.zotero.org/styles/gost-r-7-0-5-2008-numeric</vt:lpwstr>
  </property>
  <property fmtid="{D5CDD505-2E9C-101B-9397-08002B2CF9AE}" pid="26" name="Mendeley Recent Style Name 8_1">
    <vt:lpwstr>Russian GOST R 7.0.5-2008 (numeric)</vt:lpwstr>
  </property>
  <property fmtid="{D5CDD505-2E9C-101B-9397-08002B2CF9AE}" pid="27" name="Mendeley Recent Style Id 9_1">
    <vt:lpwstr>https://csl.mendeley.com/styles/507103441/RussianPediatricOncology3</vt:lpwstr>
  </property>
  <property fmtid="{D5CDD505-2E9C-101B-9397-08002B2CF9AE}" pid="28" name="Mendeley Recent Style Name 9_1">
    <vt:lpwstr>Russian Pediatric Oncology Journal</vt:lpwstr>
  </property>
  <property fmtid="{D5CDD505-2E9C-101B-9397-08002B2CF9AE}" pid="29" name="Mendeley Document_1">
    <vt:lpwstr>True</vt:lpwstr>
  </property>
  <property fmtid="{D5CDD505-2E9C-101B-9397-08002B2CF9AE}" pid="30" name="Mendeley Unique User Id_1">
    <vt:lpwstr>557ca738-a0c4-3a69-aff2-aa601aaa397d</vt:lpwstr>
  </property>
  <property fmtid="{D5CDD505-2E9C-101B-9397-08002B2CF9AE}" pid="31" name="Mendeley Citation Style_1">
    <vt:lpwstr>http://www.zotero.org/styles/gost-r-7-0-5-2008-numeric</vt:lpwstr>
  </property>
</Properties>
</file>